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footer2.xml" ContentType="application/vnd.openxmlformats-officedocument.wordprocessingml.footer+xml"/>
  <Override PartName="/word/header55.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tasks/documenttasks1.xml" ContentType="application/vnd.ms-office.documenttask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0" w:type="auto"/>
        <w:tblLook w:val="04A0" w:firstRow="1" w:lastRow="0" w:firstColumn="1" w:lastColumn="0" w:noHBand="0" w:noVBand="1"/>
      </w:tblPr>
      <w:tblGrid>
        <w:gridCol w:w="4516"/>
        <w:gridCol w:w="4510"/>
      </w:tblGrid>
      <w:tr w:rsidR="009563B4" w:rsidRPr="00CE1EA7" w14:paraId="332605F3" w14:textId="77777777" w:rsidTr="78C544BE">
        <w:trPr>
          <w:trHeight w:val="1475"/>
        </w:trPr>
        <w:tc>
          <w:tcPr>
            <w:tcW w:w="5418" w:type="dxa"/>
            <w:shd w:val="clear" w:color="auto" w:fill="auto"/>
            <w:vAlign w:val="center"/>
          </w:tcPr>
          <w:p w14:paraId="759D62BA" w14:textId="1E046054" w:rsidR="009563B4" w:rsidRPr="00C311BA" w:rsidRDefault="66CF5DE6" w:rsidP="00A94370">
            <w:pPr>
              <w:ind w:left="720" w:hanging="720"/>
              <w:rPr>
                <w:b/>
                <w:highlight w:val="cyan"/>
              </w:rPr>
            </w:pPr>
            <w:r>
              <w:rPr>
                <w:noProof/>
              </w:rPr>
              <w:drawing>
                <wp:inline distT="0" distB="0" distL="0" distR="0" wp14:anchorId="50C334EE" wp14:editId="7FE48136">
                  <wp:extent cx="542925" cy="523875"/>
                  <wp:effectExtent l="0" t="0" r="9525" b="9525"/>
                  <wp:docPr id="16" name="Picture 16" descr="A close up of a 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pic:nvPicPr>
                        <pic:blipFill>
                          <a:blip r:embed="rId11">
                            <a:extLst>
                              <a:ext uri="{28A0092B-C50C-407E-A947-70E740481C1C}">
                                <a14:useLocalDpi xmlns:a14="http://schemas.microsoft.com/office/drawing/2010/main"/>
                              </a:ext>
                            </a:extLst>
                          </a:blip>
                          <a:stretch>
                            <a:fillRect/>
                          </a:stretch>
                        </pic:blipFill>
                        <pic:spPr>
                          <a:xfrm>
                            <a:off x="0" y="0"/>
                            <a:ext cx="542925" cy="523875"/>
                          </a:xfrm>
                          <a:prstGeom prst="rect">
                            <a:avLst/>
                          </a:prstGeom>
                        </pic:spPr>
                      </pic:pic>
                    </a:graphicData>
                  </a:graphic>
                </wp:inline>
              </w:drawing>
            </w:r>
          </w:p>
        </w:tc>
        <w:tc>
          <w:tcPr>
            <w:tcW w:w="5418" w:type="dxa"/>
            <w:shd w:val="clear" w:color="auto" w:fill="auto"/>
          </w:tcPr>
          <w:p w14:paraId="31E18131" w14:textId="77777777" w:rsidR="009563B4" w:rsidRPr="00C311BA" w:rsidRDefault="66CF5DE6" w:rsidP="00481CA4">
            <w:pPr>
              <w:jc w:val="right"/>
              <w:rPr>
                <w:b/>
                <w:highlight w:val="cyan"/>
              </w:rPr>
            </w:pPr>
            <w:r>
              <w:rPr>
                <w:noProof/>
              </w:rPr>
              <w:drawing>
                <wp:inline distT="0" distB="0" distL="0" distR="0" wp14:anchorId="02D579B1" wp14:editId="3E9194CE">
                  <wp:extent cx="532627" cy="628153"/>
                  <wp:effectExtent l="0" t="0" r="1270" b="635"/>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pic:nvPicPr>
                        <pic:blipFill>
                          <a:blip r:embed="rId12">
                            <a:extLst>
                              <a:ext uri="{28A0092B-C50C-407E-A947-70E740481C1C}">
                                <a14:useLocalDpi xmlns:a14="http://schemas.microsoft.com/office/drawing/2010/main"/>
                              </a:ext>
                            </a:extLst>
                          </a:blip>
                          <a:stretch>
                            <a:fillRect/>
                          </a:stretch>
                        </pic:blipFill>
                        <pic:spPr>
                          <a:xfrm>
                            <a:off x="0" y="0"/>
                            <a:ext cx="532627" cy="628153"/>
                          </a:xfrm>
                          <a:prstGeom prst="rect">
                            <a:avLst/>
                          </a:prstGeom>
                        </pic:spPr>
                      </pic:pic>
                    </a:graphicData>
                  </a:graphic>
                </wp:inline>
              </w:drawing>
            </w:r>
          </w:p>
        </w:tc>
      </w:tr>
    </w:tbl>
    <w:p w14:paraId="54BF0A40" w14:textId="77777777" w:rsidR="009563B4" w:rsidRPr="00CE1EA7" w:rsidRDefault="009563B4" w:rsidP="009563B4">
      <w:pPr>
        <w:rPr>
          <w:b/>
          <w:bCs/>
          <w:caps/>
          <w:color w:val="000000"/>
          <w:sz w:val="28"/>
          <w:szCs w:val="28"/>
        </w:rPr>
      </w:pPr>
    </w:p>
    <w:p w14:paraId="3FF92453" w14:textId="70BE7831" w:rsidR="009563B4" w:rsidRPr="00CE1EA7" w:rsidRDefault="009563B4" w:rsidP="009563B4">
      <w:pPr>
        <w:pStyle w:val="Heading1"/>
        <w:jc w:val="center"/>
      </w:pPr>
      <w:bookmarkStart w:id="0" w:name="_Ref51599101"/>
      <w:bookmarkStart w:id="1" w:name="_Toc58398577"/>
      <w:r>
        <w:rPr>
          <w:caps w:val="0"/>
        </w:rPr>
        <w:t>SIGNATURE PAGE</w:t>
      </w:r>
      <w:bookmarkEnd w:id="0"/>
      <w:bookmarkEnd w:id="1"/>
    </w:p>
    <w:p w14:paraId="53F34D48" w14:textId="77777777" w:rsidR="009563B4" w:rsidRPr="00CE1EA7" w:rsidRDefault="009563B4" w:rsidP="009563B4">
      <w:pPr>
        <w:jc w:val="center"/>
      </w:pPr>
    </w:p>
    <w:p w14:paraId="37E8A7C9" w14:textId="2BFB7065" w:rsidR="009563B4" w:rsidRPr="00CE1EA7" w:rsidRDefault="009563B4" w:rsidP="009563B4">
      <w:pPr>
        <w:jc w:val="center"/>
      </w:pPr>
      <w:r>
        <w:t xml:space="preserve">Upon request from the Government of Angola, represented by the Ministry of </w:t>
      </w:r>
      <w:r w:rsidR="05F68B17">
        <w:t xml:space="preserve">Culture, Tourism and </w:t>
      </w:r>
      <w:r>
        <w:t>Environment (M</w:t>
      </w:r>
      <w:r w:rsidR="71752528">
        <w:t>CTA</w:t>
      </w:r>
      <w:r>
        <w:t>);</w:t>
      </w:r>
    </w:p>
    <w:p w14:paraId="7379A1AF" w14:textId="52F587FE" w:rsidR="009563B4" w:rsidRPr="00CE1EA7" w:rsidRDefault="460C6265" w:rsidP="009563B4">
      <w:pPr>
        <w:jc w:val="center"/>
      </w:pPr>
      <w:r>
        <w:t xml:space="preserve">the Food and Agriculture Organization of the United Nations (FAO) will provide technical assistance for the project entitled: </w:t>
      </w:r>
      <w:r w:rsidRPr="3764D022">
        <w:rPr>
          <w:i/>
          <w:iCs/>
        </w:rPr>
        <w:t>“</w:t>
      </w:r>
      <w:r w:rsidR="7918EA9C" w:rsidRPr="3764D022">
        <w:rPr>
          <w:i/>
          <w:iCs/>
        </w:rPr>
        <w:t>Integrated landscape management to reduce land degradation and enhance community resilience in Angola’s Miombo-Mopane dry forests.”</w:t>
      </w:r>
    </w:p>
    <w:p w14:paraId="1C3CA459" w14:textId="77777777" w:rsidR="009563B4" w:rsidRPr="00CE1EA7" w:rsidRDefault="009563B4" w:rsidP="009563B4"/>
    <w:p w14:paraId="5D79A1DA" w14:textId="77777777" w:rsidR="009563B4" w:rsidRPr="00CE1EA7" w:rsidRDefault="009563B4" w:rsidP="009563B4">
      <w:pPr>
        <w:jc w:val="center"/>
      </w:pPr>
      <w:r w:rsidRPr="00CE1EA7">
        <w:t>Upon signature of this project document by the duly authorized representatives of both parties, the project will be implemented in accordance with the background, rationale and management arrangements described herein.</w:t>
      </w:r>
    </w:p>
    <w:p w14:paraId="1E4318E4" w14:textId="77777777" w:rsidR="009563B4" w:rsidRPr="00CE1EA7" w:rsidRDefault="009563B4" w:rsidP="009563B4">
      <w:pPr>
        <w:jc w:val="center"/>
      </w:pPr>
    </w:p>
    <w:tbl>
      <w:tblPr>
        <w:tblW w:w="0" w:type="auto"/>
        <w:tblInd w:w="75" w:type="dxa"/>
        <w:tblBorders>
          <w:top w:val="single" w:sz="4" w:space="0" w:color="auto"/>
          <w:left w:val="single" w:sz="4" w:space="0" w:color="auto"/>
          <w:bottom w:val="single" w:sz="4" w:space="0" w:color="auto"/>
          <w:right w:val="single" w:sz="4" w:space="0" w:color="auto"/>
        </w:tblBorders>
        <w:tblLayout w:type="fixed"/>
        <w:tblCellMar>
          <w:left w:w="75" w:type="dxa"/>
          <w:right w:w="75" w:type="dxa"/>
        </w:tblCellMar>
        <w:tblLook w:val="0000" w:firstRow="0" w:lastRow="0" w:firstColumn="0" w:lastColumn="0" w:noHBand="0" w:noVBand="0"/>
      </w:tblPr>
      <w:tblGrid>
        <w:gridCol w:w="913"/>
        <w:gridCol w:w="3178"/>
        <w:gridCol w:w="1075"/>
        <w:gridCol w:w="3698"/>
      </w:tblGrid>
      <w:tr w:rsidR="009563B4" w:rsidRPr="00CE1EA7" w14:paraId="706B7A3B" w14:textId="77777777" w:rsidTr="00481CA4">
        <w:trPr>
          <w:trHeight w:val="648"/>
        </w:trPr>
        <w:tc>
          <w:tcPr>
            <w:tcW w:w="4091" w:type="dxa"/>
            <w:gridSpan w:val="2"/>
          </w:tcPr>
          <w:p w14:paraId="0F1E9D80" w14:textId="77777777" w:rsidR="009563B4" w:rsidRPr="00CE1EA7" w:rsidRDefault="009563B4" w:rsidP="00481CA4">
            <w:r w:rsidRPr="00CE1EA7">
              <w:t>On behalf of the Government:</w:t>
            </w:r>
          </w:p>
          <w:p w14:paraId="248CF398" w14:textId="77777777" w:rsidR="009563B4" w:rsidRPr="00CE1EA7" w:rsidRDefault="009563B4" w:rsidP="00481CA4">
            <w:pPr>
              <w:jc w:val="center"/>
            </w:pPr>
          </w:p>
        </w:tc>
        <w:tc>
          <w:tcPr>
            <w:tcW w:w="4773" w:type="dxa"/>
            <w:gridSpan w:val="2"/>
          </w:tcPr>
          <w:p w14:paraId="4E69DB9E" w14:textId="77777777" w:rsidR="009563B4" w:rsidRPr="00CE1EA7" w:rsidRDefault="009563B4" w:rsidP="00481CA4">
            <w:r w:rsidRPr="00CE1EA7">
              <w:t>On behalf of:</w:t>
            </w:r>
          </w:p>
          <w:p w14:paraId="4E1B2E97" w14:textId="77777777" w:rsidR="009563B4" w:rsidRPr="00CE1EA7" w:rsidRDefault="009563B4" w:rsidP="00481CA4">
            <w:r w:rsidRPr="00CE1EA7">
              <w:t>The Food and Agriculture Organization</w:t>
            </w:r>
          </w:p>
          <w:p w14:paraId="03D729CE" w14:textId="77777777" w:rsidR="009563B4" w:rsidRPr="00CE1EA7" w:rsidRDefault="009563B4" w:rsidP="00481CA4">
            <w:r w:rsidRPr="00CE1EA7">
              <w:t>of the United Nations</w:t>
            </w:r>
          </w:p>
        </w:tc>
      </w:tr>
      <w:tr w:rsidR="009563B4" w:rsidRPr="00CE1EA7" w14:paraId="6C5C41E0" w14:textId="77777777" w:rsidTr="00481CA4">
        <w:trPr>
          <w:trHeight w:val="316"/>
        </w:trPr>
        <w:tc>
          <w:tcPr>
            <w:tcW w:w="913" w:type="dxa"/>
          </w:tcPr>
          <w:p w14:paraId="663D24B0" w14:textId="77777777" w:rsidR="009563B4" w:rsidRPr="00CE1EA7" w:rsidRDefault="009563B4" w:rsidP="00481CA4">
            <w:pPr>
              <w:jc w:val="center"/>
            </w:pPr>
            <w:r w:rsidRPr="00CE1EA7">
              <w:t>Name:</w:t>
            </w:r>
          </w:p>
          <w:p w14:paraId="52B56C7F" w14:textId="77777777" w:rsidR="009563B4" w:rsidRPr="00CE1EA7" w:rsidRDefault="009563B4" w:rsidP="00481CA4">
            <w:pPr>
              <w:jc w:val="center"/>
            </w:pPr>
          </w:p>
        </w:tc>
        <w:tc>
          <w:tcPr>
            <w:tcW w:w="3177" w:type="dxa"/>
          </w:tcPr>
          <w:p w14:paraId="151027F2" w14:textId="10AEA245" w:rsidR="009563B4" w:rsidRPr="00CE1EA7" w:rsidRDefault="009563B4" w:rsidP="005C5125"/>
        </w:tc>
        <w:tc>
          <w:tcPr>
            <w:tcW w:w="1075" w:type="dxa"/>
          </w:tcPr>
          <w:p w14:paraId="27D9204B" w14:textId="77777777" w:rsidR="009563B4" w:rsidRPr="00CE1EA7" w:rsidRDefault="009563B4" w:rsidP="00481CA4">
            <w:pPr>
              <w:jc w:val="center"/>
            </w:pPr>
            <w:r w:rsidRPr="00CE1EA7">
              <w:t>Name:</w:t>
            </w:r>
          </w:p>
          <w:p w14:paraId="4FB8AB9F" w14:textId="77777777" w:rsidR="009563B4" w:rsidRPr="00CE1EA7" w:rsidRDefault="009563B4" w:rsidP="00481CA4">
            <w:pPr>
              <w:jc w:val="center"/>
            </w:pPr>
          </w:p>
        </w:tc>
        <w:tc>
          <w:tcPr>
            <w:tcW w:w="3697" w:type="dxa"/>
          </w:tcPr>
          <w:p w14:paraId="7A9CCC73" w14:textId="64283906" w:rsidR="009563B4" w:rsidRPr="00CE1EA7" w:rsidRDefault="009563B4" w:rsidP="005C5125"/>
        </w:tc>
      </w:tr>
      <w:tr w:rsidR="009563B4" w:rsidRPr="00CE1EA7" w14:paraId="367FD896" w14:textId="77777777" w:rsidTr="00481CA4">
        <w:trPr>
          <w:trHeight w:val="316"/>
        </w:trPr>
        <w:tc>
          <w:tcPr>
            <w:tcW w:w="913" w:type="dxa"/>
          </w:tcPr>
          <w:p w14:paraId="2A581002" w14:textId="77777777" w:rsidR="009563B4" w:rsidRPr="00CE1EA7" w:rsidRDefault="009563B4" w:rsidP="00481CA4">
            <w:pPr>
              <w:jc w:val="center"/>
            </w:pPr>
            <w:r w:rsidRPr="00CE1EA7">
              <w:t>Title:</w:t>
            </w:r>
          </w:p>
          <w:p w14:paraId="0F6AEA48" w14:textId="77777777" w:rsidR="009563B4" w:rsidRPr="00CE1EA7" w:rsidRDefault="009563B4" w:rsidP="00481CA4">
            <w:pPr>
              <w:jc w:val="center"/>
            </w:pPr>
          </w:p>
        </w:tc>
        <w:tc>
          <w:tcPr>
            <w:tcW w:w="3177" w:type="dxa"/>
          </w:tcPr>
          <w:p w14:paraId="13AA7F8F" w14:textId="41872FA9" w:rsidR="009563B4" w:rsidRPr="00CE1EA7" w:rsidRDefault="009563B4" w:rsidP="005C5125"/>
        </w:tc>
        <w:tc>
          <w:tcPr>
            <w:tcW w:w="1075" w:type="dxa"/>
          </w:tcPr>
          <w:p w14:paraId="0EEC5BA8" w14:textId="77777777" w:rsidR="009563B4" w:rsidRPr="00CE1EA7" w:rsidRDefault="009563B4" w:rsidP="00481CA4">
            <w:pPr>
              <w:jc w:val="center"/>
            </w:pPr>
            <w:r w:rsidRPr="00CE1EA7">
              <w:t>Title:</w:t>
            </w:r>
          </w:p>
          <w:p w14:paraId="1C84F32E" w14:textId="77777777" w:rsidR="009563B4" w:rsidRPr="00CE1EA7" w:rsidRDefault="009563B4" w:rsidP="00481CA4">
            <w:pPr>
              <w:jc w:val="center"/>
            </w:pPr>
          </w:p>
        </w:tc>
        <w:tc>
          <w:tcPr>
            <w:tcW w:w="3697" w:type="dxa"/>
          </w:tcPr>
          <w:p w14:paraId="3371F990" w14:textId="70AF6F0F" w:rsidR="009563B4" w:rsidRPr="00CE1EA7" w:rsidRDefault="009563B4" w:rsidP="005C5125"/>
        </w:tc>
      </w:tr>
      <w:tr w:rsidR="009563B4" w:rsidRPr="00CE1EA7" w14:paraId="44649A73" w14:textId="77777777" w:rsidTr="00481CA4">
        <w:trPr>
          <w:trHeight w:val="316"/>
        </w:trPr>
        <w:tc>
          <w:tcPr>
            <w:tcW w:w="913" w:type="dxa"/>
          </w:tcPr>
          <w:p w14:paraId="61A4D313" w14:textId="77777777" w:rsidR="009563B4" w:rsidRPr="00CE1EA7" w:rsidRDefault="009563B4" w:rsidP="00481CA4">
            <w:pPr>
              <w:jc w:val="center"/>
            </w:pPr>
            <w:r w:rsidRPr="00CE1EA7">
              <w:t>Date:</w:t>
            </w:r>
          </w:p>
          <w:p w14:paraId="0B425EEA" w14:textId="77777777" w:rsidR="009563B4" w:rsidRPr="00CE1EA7" w:rsidRDefault="009563B4" w:rsidP="00481CA4">
            <w:pPr>
              <w:jc w:val="center"/>
            </w:pPr>
          </w:p>
        </w:tc>
        <w:tc>
          <w:tcPr>
            <w:tcW w:w="3177" w:type="dxa"/>
          </w:tcPr>
          <w:p w14:paraId="0C3FF6C6" w14:textId="1C0F984D" w:rsidR="009563B4" w:rsidRPr="00CE1EA7" w:rsidRDefault="009563B4" w:rsidP="005C5125"/>
        </w:tc>
        <w:tc>
          <w:tcPr>
            <w:tcW w:w="1075" w:type="dxa"/>
          </w:tcPr>
          <w:p w14:paraId="0CEAD383" w14:textId="77777777" w:rsidR="009563B4" w:rsidRPr="00CE1EA7" w:rsidRDefault="009563B4" w:rsidP="00481CA4">
            <w:pPr>
              <w:jc w:val="center"/>
            </w:pPr>
            <w:r w:rsidRPr="00CE1EA7">
              <w:t>Date:</w:t>
            </w:r>
          </w:p>
          <w:p w14:paraId="27C10A4E" w14:textId="77777777" w:rsidR="009563B4" w:rsidRPr="00CE1EA7" w:rsidRDefault="009563B4" w:rsidP="00481CA4">
            <w:pPr>
              <w:jc w:val="center"/>
            </w:pPr>
          </w:p>
        </w:tc>
        <w:tc>
          <w:tcPr>
            <w:tcW w:w="3697" w:type="dxa"/>
          </w:tcPr>
          <w:p w14:paraId="33B51147" w14:textId="6069C8A2" w:rsidR="009563B4" w:rsidRPr="00CE1EA7" w:rsidRDefault="009563B4" w:rsidP="005C5125"/>
        </w:tc>
      </w:tr>
    </w:tbl>
    <w:p w14:paraId="6285F675" w14:textId="77777777" w:rsidR="009563B4" w:rsidRPr="00CE1EA7" w:rsidRDefault="009563B4" w:rsidP="009563B4">
      <w:pPr>
        <w:jc w:val="center"/>
      </w:pPr>
    </w:p>
    <w:p w14:paraId="08F330B5" w14:textId="1D2A3EE6" w:rsidR="009563B4" w:rsidRPr="00CE1EA7" w:rsidRDefault="009563B4" w:rsidP="009563B4">
      <w:pPr>
        <w:jc w:val="center"/>
      </w:pPr>
    </w:p>
    <w:p w14:paraId="74A0434D" w14:textId="77777777" w:rsidR="009563B4" w:rsidRPr="00CE1EA7" w:rsidRDefault="009563B4" w:rsidP="009563B4">
      <w:r w:rsidRPr="00CE1EA7">
        <w:br w:type="page"/>
      </w:r>
    </w:p>
    <w:tbl>
      <w:tblPr>
        <w:tblW w:w="0" w:type="auto"/>
        <w:tblLook w:val="04A0" w:firstRow="1" w:lastRow="0" w:firstColumn="1" w:lastColumn="0" w:noHBand="0" w:noVBand="1"/>
      </w:tblPr>
      <w:tblGrid>
        <w:gridCol w:w="4511"/>
        <w:gridCol w:w="4515"/>
      </w:tblGrid>
      <w:tr w:rsidR="009563B4" w:rsidRPr="00CE1EA7" w14:paraId="02C4D3D4" w14:textId="77777777" w:rsidTr="78C544BE">
        <w:trPr>
          <w:trHeight w:val="426"/>
        </w:trPr>
        <w:tc>
          <w:tcPr>
            <w:tcW w:w="4511" w:type="dxa"/>
            <w:shd w:val="clear" w:color="auto" w:fill="auto"/>
          </w:tcPr>
          <w:p w14:paraId="4342DFFA" w14:textId="77777777" w:rsidR="009563B4" w:rsidRPr="00CE1EA7" w:rsidRDefault="66CF5DE6" w:rsidP="00481CA4">
            <w:pPr>
              <w:rPr>
                <w:b/>
              </w:rPr>
            </w:pPr>
            <w:r>
              <w:rPr>
                <w:noProof/>
              </w:rPr>
              <w:lastRenderedPageBreak/>
              <w:drawing>
                <wp:inline distT="0" distB="0" distL="0" distR="0" wp14:anchorId="7295F895" wp14:editId="2A35B64E">
                  <wp:extent cx="542925" cy="523875"/>
                  <wp:effectExtent l="0" t="0" r="9525" b="9525"/>
                  <wp:docPr id="22" name="Picture 22" descr="A close up of a 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pic:nvPicPr>
                        <pic:blipFill>
                          <a:blip r:embed="rId11">
                            <a:extLst>
                              <a:ext uri="{28A0092B-C50C-407E-A947-70E740481C1C}">
                                <a14:useLocalDpi xmlns:a14="http://schemas.microsoft.com/office/drawing/2010/main"/>
                              </a:ext>
                            </a:extLst>
                          </a:blip>
                          <a:stretch>
                            <a:fillRect/>
                          </a:stretch>
                        </pic:blipFill>
                        <pic:spPr>
                          <a:xfrm>
                            <a:off x="0" y="0"/>
                            <a:ext cx="542925" cy="523875"/>
                          </a:xfrm>
                          <a:prstGeom prst="rect">
                            <a:avLst/>
                          </a:prstGeom>
                        </pic:spPr>
                      </pic:pic>
                    </a:graphicData>
                  </a:graphic>
                </wp:inline>
              </w:drawing>
            </w:r>
          </w:p>
        </w:tc>
        <w:tc>
          <w:tcPr>
            <w:tcW w:w="4515" w:type="dxa"/>
            <w:shd w:val="clear" w:color="auto" w:fill="auto"/>
          </w:tcPr>
          <w:p w14:paraId="77974F29" w14:textId="77777777" w:rsidR="009563B4" w:rsidRPr="00CE1EA7" w:rsidRDefault="66CF5DE6" w:rsidP="00481CA4">
            <w:pPr>
              <w:jc w:val="right"/>
              <w:rPr>
                <w:b/>
              </w:rPr>
            </w:pPr>
            <w:r>
              <w:rPr>
                <w:noProof/>
              </w:rPr>
              <w:drawing>
                <wp:inline distT="0" distB="0" distL="0" distR="0" wp14:anchorId="6C83F31B" wp14:editId="33CC0017">
                  <wp:extent cx="532627" cy="628153"/>
                  <wp:effectExtent l="0" t="0" r="1270" b="635"/>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pic:nvPicPr>
                        <pic:blipFill>
                          <a:blip r:embed="rId12">
                            <a:extLst>
                              <a:ext uri="{28A0092B-C50C-407E-A947-70E740481C1C}">
                                <a14:useLocalDpi xmlns:a14="http://schemas.microsoft.com/office/drawing/2010/main"/>
                              </a:ext>
                            </a:extLst>
                          </a:blip>
                          <a:stretch>
                            <a:fillRect/>
                          </a:stretch>
                        </pic:blipFill>
                        <pic:spPr>
                          <a:xfrm>
                            <a:off x="0" y="0"/>
                            <a:ext cx="532627" cy="628153"/>
                          </a:xfrm>
                          <a:prstGeom prst="rect">
                            <a:avLst/>
                          </a:prstGeom>
                        </pic:spPr>
                      </pic:pic>
                    </a:graphicData>
                  </a:graphic>
                </wp:inline>
              </w:drawing>
            </w:r>
          </w:p>
        </w:tc>
      </w:tr>
    </w:tbl>
    <w:p w14:paraId="53FF3046" w14:textId="77777777" w:rsidR="009563B4" w:rsidRDefault="009563B4" w:rsidP="009563B4"/>
    <w:p w14:paraId="7FEBD97A" w14:textId="77777777" w:rsidR="009563B4" w:rsidRDefault="009563B4" w:rsidP="009563B4">
      <w:pPr>
        <w:pStyle w:val="Heading1"/>
        <w:jc w:val="center"/>
      </w:pPr>
      <w:bookmarkStart w:id="2" w:name="_Toc58398578"/>
      <w:r>
        <w:t xml:space="preserve">COVER PAGE: </w:t>
      </w:r>
      <w:r w:rsidRPr="002B5BCF">
        <w:t>FAO-GEF PROJECT DOCUMENT</w:t>
      </w:r>
      <w:bookmarkEnd w:id="2"/>
    </w:p>
    <w:p w14:paraId="16030B51" w14:textId="77777777" w:rsidR="009563B4" w:rsidRPr="002B5BCF" w:rsidRDefault="009563B4" w:rsidP="009563B4"/>
    <w:tbl>
      <w:tblPr>
        <w:tblW w:w="90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87"/>
        <w:gridCol w:w="7251"/>
      </w:tblGrid>
      <w:tr w:rsidR="009563B4" w:rsidRPr="00CE1EA7" w14:paraId="2F4F5DF2" w14:textId="77777777" w:rsidTr="3764D022">
        <w:trPr>
          <w:trHeight w:val="638"/>
        </w:trPr>
        <w:tc>
          <w:tcPr>
            <w:tcW w:w="1787" w:type="dxa"/>
            <w:shd w:val="clear" w:color="auto" w:fill="auto"/>
          </w:tcPr>
          <w:p w14:paraId="0DD5EEC8" w14:textId="77777777" w:rsidR="009563B4" w:rsidRPr="00CE1EA7" w:rsidRDefault="009563B4" w:rsidP="00481CA4">
            <w:pPr>
              <w:tabs>
                <w:tab w:val="left" w:pos="-720"/>
                <w:tab w:val="left" w:pos="0"/>
                <w:tab w:val="left" w:pos="720"/>
                <w:tab w:val="left" w:pos="1282"/>
                <w:tab w:val="left" w:pos="1822"/>
                <w:tab w:val="left" w:pos="2880"/>
                <w:tab w:val="left" w:pos="3600"/>
                <w:tab w:val="left" w:pos="4320"/>
                <w:tab w:val="left" w:pos="5040"/>
                <w:tab w:val="left" w:pos="5760"/>
                <w:tab w:val="left" w:pos="6142"/>
                <w:tab w:val="left" w:pos="7200"/>
                <w:tab w:val="left" w:pos="7920"/>
                <w:tab w:val="left" w:pos="8640"/>
                <w:tab w:val="left" w:pos="9360"/>
              </w:tabs>
              <w:jc w:val="center"/>
              <w:rPr>
                <w:b/>
              </w:rPr>
            </w:pPr>
            <w:r w:rsidRPr="00CE1EA7">
              <w:rPr>
                <w:b/>
              </w:rPr>
              <w:t>Project Title:</w:t>
            </w:r>
          </w:p>
        </w:tc>
        <w:tc>
          <w:tcPr>
            <w:tcW w:w="7251" w:type="dxa"/>
            <w:shd w:val="clear" w:color="auto" w:fill="auto"/>
          </w:tcPr>
          <w:p w14:paraId="633625A7" w14:textId="425C0D42" w:rsidR="009563B4" w:rsidRPr="00CE1EA7" w:rsidRDefault="244F9EA6" w:rsidP="3764D022">
            <w:pPr>
              <w:jc w:val="center"/>
              <w:rPr>
                <w:i/>
                <w:iCs/>
              </w:rPr>
            </w:pPr>
            <w:r w:rsidRPr="3764D022">
              <w:rPr>
                <w:i/>
                <w:iCs/>
              </w:rPr>
              <w:t>Integrated l</w:t>
            </w:r>
            <w:r w:rsidR="460C6265" w:rsidRPr="3764D022">
              <w:rPr>
                <w:i/>
                <w:iCs/>
              </w:rPr>
              <w:t>and</w:t>
            </w:r>
            <w:r w:rsidRPr="3764D022">
              <w:rPr>
                <w:i/>
                <w:iCs/>
              </w:rPr>
              <w:t>scape management to reduce l</w:t>
            </w:r>
            <w:r w:rsidR="460C6265" w:rsidRPr="3764D022">
              <w:rPr>
                <w:i/>
                <w:iCs/>
              </w:rPr>
              <w:t xml:space="preserve">and </w:t>
            </w:r>
            <w:r w:rsidRPr="3764D022">
              <w:rPr>
                <w:i/>
                <w:iCs/>
              </w:rPr>
              <w:t>d</w:t>
            </w:r>
            <w:r w:rsidR="460C6265" w:rsidRPr="3764D022">
              <w:rPr>
                <w:i/>
                <w:iCs/>
              </w:rPr>
              <w:t xml:space="preserve">egradation and </w:t>
            </w:r>
            <w:r w:rsidRPr="3764D022">
              <w:rPr>
                <w:i/>
                <w:iCs/>
              </w:rPr>
              <w:t xml:space="preserve">enhance </w:t>
            </w:r>
            <w:r w:rsidR="460C6265" w:rsidRPr="3764D022">
              <w:rPr>
                <w:i/>
                <w:iCs/>
              </w:rPr>
              <w:t xml:space="preserve">community </w:t>
            </w:r>
            <w:r w:rsidRPr="3764D022">
              <w:rPr>
                <w:i/>
                <w:iCs/>
              </w:rPr>
              <w:t xml:space="preserve">resilience in Angola’s </w:t>
            </w:r>
            <w:r w:rsidR="460C6265" w:rsidRPr="3764D022">
              <w:rPr>
                <w:i/>
                <w:iCs/>
              </w:rPr>
              <w:t>Miombo</w:t>
            </w:r>
            <w:r w:rsidRPr="3764D022">
              <w:rPr>
                <w:i/>
                <w:iCs/>
              </w:rPr>
              <w:t>-</w:t>
            </w:r>
            <w:r w:rsidR="460C6265" w:rsidRPr="3764D022">
              <w:rPr>
                <w:i/>
                <w:iCs/>
              </w:rPr>
              <w:t xml:space="preserve">Mopane </w:t>
            </w:r>
            <w:r w:rsidRPr="3764D022">
              <w:rPr>
                <w:i/>
                <w:iCs/>
              </w:rPr>
              <w:t>dry forests</w:t>
            </w:r>
            <w:r w:rsidR="460C6265" w:rsidRPr="3764D022">
              <w:rPr>
                <w:i/>
                <w:iCs/>
              </w:rPr>
              <w:t>.</w:t>
            </w:r>
          </w:p>
        </w:tc>
      </w:tr>
    </w:tbl>
    <w:p w14:paraId="12D3E46F" w14:textId="77777777" w:rsidR="009563B4" w:rsidRPr="00CE1EA7" w:rsidRDefault="009563B4" w:rsidP="009563B4">
      <w:pPr>
        <w:tabs>
          <w:tab w:val="left" w:pos="-720"/>
          <w:tab w:val="left" w:pos="0"/>
          <w:tab w:val="left" w:pos="720"/>
          <w:tab w:val="left" w:pos="1282"/>
          <w:tab w:val="left" w:pos="1822"/>
          <w:tab w:val="left" w:pos="2880"/>
          <w:tab w:val="left" w:pos="3600"/>
          <w:tab w:val="left" w:pos="4320"/>
          <w:tab w:val="left" w:pos="5040"/>
          <w:tab w:val="left" w:pos="5760"/>
          <w:tab w:val="left" w:pos="6142"/>
          <w:tab w:val="left" w:pos="7200"/>
          <w:tab w:val="left" w:pos="7920"/>
          <w:tab w:val="left" w:pos="8640"/>
          <w:tab w:val="left" w:pos="9360"/>
        </w:tabs>
        <w:rPr>
          <w:sz w:val="4"/>
          <w:szCs w:val="4"/>
        </w:rPr>
      </w:pPr>
    </w:p>
    <w:tbl>
      <w:tblPr>
        <w:tblW w:w="5000" w:type="pct"/>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03"/>
        <w:gridCol w:w="7213"/>
      </w:tblGrid>
      <w:tr w:rsidR="00DA42EB" w:rsidRPr="00CE1EA7" w14:paraId="176CCF16" w14:textId="77777777" w:rsidTr="5F57611A">
        <w:tc>
          <w:tcPr>
            <w:tcW w:w="1000" w:type="pct"/>
          </w:tcPr>
          <w:p w14:paraId="65EF2FCB" w14:textId="0B3A474A" w:rsidR="009563B4" w:rsidRPr="00CE1EA7" w:rsidRDefault="009563B4" w:rsidP="00481CA4">
            <w:pPr>
              <w:rPr>
                <w:color w:val="000000"/>
                <w:sz w:val="18"/>
                <w:szCs w:val="18"/>
              </w:rPr>
            </w:pPr>
            <w:r w:rsidRPr="00CE1EA7">
              <w:rPr>
                <w:color w:val="000000"/>
                <w:sz w:val="18"/>
                <w:szCs w:val="18"/>
              </w:rPr>
              <w:t>GEF ID: 102</w:t>
            </w:r>
            <w:r w:rsidR="0024105E">
              <w:rPr>
                <w:color w:val="000000"/>
                <w:sz w:val="18"/>
                <w:szCs w:val="18"/>
              </w:rPr>
              <w:t>5</w:t>
            </w:r>
            <w:r w:rsidRPr="00CE1EA7">
              <w:rPr>
                <w:color w:val="000000"/>
                <w:sz w:val="18"/>
                <w:szCs w:val="18"/>
              </w:rPr>
              <w:t>6</w:t>
            </w:r>
          </w:p>
        </w:tc>
        <w:tc>
          <w:tcPr>
            <w:tcW w:w="4000" w:type="pct"/>
          </w:tcPr>
          <w:p w14:paraId="240964CD" w14:textId="735F855C" w:rsidR="009563B4" w:rsidRPr="00CE1EA7" w:rsidRDefault="009563B4" w:rsidP="00481CA4">
            <w:pPr>
              <w:tabs>
                <w:tab w:val="left" w:pos="1977"/>
              </w:tabs>
              <w:rPr>
                <w:color w:val="000000"/>
                <w:sz w:val="18"/>
                <w:szCs w:val="18"/>
                <w:highlight w:val="red"/>
              </w:rPr>
            </w:pPr>
            <w:r w:rsidRPr="00947FEC">
              <w:rPr>
                <w:color w:val="000000"/>
                <w:sz w:val="18"/>
                <w:szCs w:val="18"/>
              </w:rPr>
              <w:t xml:space="preserve">FAO Entity Number    </w:t>
            </w:r>
            <w:r w:rsidR="00947FEC" w:rsidRPr="00947FEC">
              <w:rPr>
                <w:color w:val="000000"/>
                <w:sz w:val="18"/>
                <w:szCs w:val="18"/>
              </w:rPr>
              <w:t>657340</w:t>
            </w:r>
            <w:r w:rsidRPr="00947FEC">
              <w:rPr>
                <w:color w:val="000000"/>
                <w:sz w:val="18"/>
                <w:szCs w:val="18"/>
              </w:rPr>
              <w:t xml:space="preserve">                       FAO Project Symbol: </w:t>
            </w:r>
            <w:r w:rsidR="00AE19BB" w:rsidRPr="00947FEC">
              <w:rPr>
                <w:color w:val="000000"/>
                <w:sz w:val="18"/>
                <w:szCs w:val="18"/>
              </w:rPr>
              <w:t>GEF/ANG/060</w:t>
            </w:r>
            <w:r w:rsidR="00AD7F08" w:rsidRPr="00947FEC">
              <w:rPr>
                <w:color w:val="000000"/>
                <w:sz w:val="18"/>
                <w:szCs w:val="18"/>
              </w:rPr>
              <w:t>/GFF</w:t>
            </w:r>
          </w:p>
        </w:tc>
      </w:tr>
      <w:tr w:rsidR="00DA42EB" w:rsidRPr="00CE1EA7" w14:paraId="74C31C4D" w14:textId="77777777" w:rsidTr="5F57611A">
        <w:tc>
          <w:tcPr>
            <w:tcW w:w="1000" w:type="pct"/>
          </w:tcPr>
          <w:p w14:paraId="445144D3" w14:textId="77777777" w:rsidR="009563B4" w:rsidRPr="00CE1EA7" w:rsidRDefault="009563B4" w:rsidP="00481CA4">
            <w:pPr>
              <w:rPr>
                <w:color w:val="000000"/>
                <w:sz w:val="18"/>
                <w:szCs w:val="18"/>
              </w:rPr>
            </w:pPr>
            <w:r w:rsidRPr="00CE1EA7">
              <w:rPr>
                <w:color w:val="000000"/>
                <w:sz w:val="18"/>
                <w:szCs w:val="18"/>
              </w:rPr>
              <w:t>Country(ies):</w:t>
            </w:r>
          </w:p>
        </w:tc>
        <w:tc>
          <w:tcPr>
            <w:tcW w:w="4000" w:type="pct"/>
          </w:tcPr>
          <w:p w14:paraId="7CCA3794" w14:textId="77777777" w:rsidR="009563B4" w:rsidRPr="00CE1EA7" w:rsidRDefault="009563B4" w:rsidP="00481CA4">
            <w:pPr>
              <w:tabs>
                <w:tab w:val="left" w:pos="1977"/>
              </w:tabs>
              <w:rPr>
                <w:color w:val="000000"/>
                <w:sz w:val="18"/>
                <w:szCs w:val="18"/>
              </w:rPr>
            </w:pPr>
            <w:r w:rsidRPr="00CE1EA7">
              <w:rPr>
                <w:color w:val="000000"/>
                <w:sz w:val="18"/>
                <w:szCs w:val="18"/>
              </w:rPr>
              <w:t>Angola</w:t>
            </w:r>
          </w:p>
        </w:tc>
      </w:tr>
      <w:tr w:rsidR="00DA42EB" w:rsidRPr="00CE1EA7" w14:paraId="299589E8" w14:textId="77777777" w:rsidTr="5F57611A">
        <w:tc>
          <w:tcPr>
            <w:tcW w:w="1000" w:type="pct"/>
          </w:tcPr>
          <w:p w14:paraId="7C21B9C5" w14:textId="77777777" w:rsidR="009563B4" w:rsidRPr="00CE1EA7" w:rsidRDefault="009563B4" w:rsidP="00481CA4">
            <w:pPr>
              <w:rPr>
                <w:color w:val="000000"/>
                <w:sz w:val="18"/>
                <w:szCs w:val="18"/>
                <w:highlight w:val="magenta"/>
              </w:rPr>
            </w:pPr>
          </w:p>
        </w:tc>
        <w:tc>
          <w:tcPr>
            <w:tcW w:w="4000" w:type="pct"/>
          </w:tcPr>
          <w:p w14:paraId="34E0A7E3" w14:textId="027C6239" w:rsidR="009563B4" w:rsidRPr="00CE1EA7" w:rsidRDefault="009563B4" w:rsidP="00481CA4">
            <w:pPr>
              <w:tabs>
                <w:tab w:val="left" w:pos="1977"/>
              </w:tabs>
              <w:rPr>
                <w:color w:val="000000"/>
                <w:sz w:val="18"/>
                <w:szCs w:val="18"/>
                <w:highlight w:val="magenta"/>
              </w:rPr>
            </w:pPr>
            <w:r w:rsidRPr="30EABF76">
              <w:rPr>
                <w:color w:val="000000" w:themeColor="text1"/>
                <w:sz w:val="18"/>
                <w:szCs w:val="18"/>
              </w:rPr>
              <w:t xml:space="preserve">EOD (Implementation start):    </w:t>
            </w:r>
            <w:r w:rsidR="00947FEC" w:rsidRPr="30EABF76">
              <w:rPr>
                <w:color w:val="000000" w:themeColor="text1"/>
                <w:sz w:val="18"/>
                <w:szCs w:val="18"/>
              </w:rPr>
              <w:t>01-</w:t>
            </w:r>
            <w:r w:rsidR="4DA94031" w:rsidRPr="30EABF76">
              <w:rPr>
                <w:color w:val="000000" w:themeColor="text1"/>
                <w:sz w:val="18"/>
                <w:szCs w:val="18"/>
              </w:rPr>
              <w:t>May</w:t>
            </w:r>
            <w:r w:rsidR="00947FEC" w:rsidRPr="30EABF76">
              <w:rPr>
                <w:color w:val="000000" w:themeColor="text1"/>
                <w:sz w:val="18"/>
                <w:szCs w:val="18"/>
              </w:rPr>
              <w:t>-2021</w:t>
            </w:r>
            <w:r w:rsidRPr="30EABF76">
              <w:rPr>
                <w:color w:val="000000" w:themeColor="text1"/>
                <w:sz w:val="18"/>
                <w:szCs w:val="18"/>
              </w:rPr>
              <w:t xml:space="preserve">       NTE (Implementation end):  </w:t>
            </w:r>
            <w:r w:rsidR="731918B1" w:rsidRPr="30EABF76">
              <w:rPr>
                <w:color w:val="000000" w:themeColor="text1"/>
                <w:sz w:val="18"/>
                <w:szCs w:val="18"/>
              </w:rPr>
              <w:t>30</w:t>
            </w:r>
            <w:r w:rsidR="00947FEC" w:rsidRPr="30EABF76">
              <w:rPr>
                <w:color w:val="000000" w:themeColor="text1"/>
                <w:sz w:val="18"/>
                <w:szCs w:val="18"/>
              </w:rPr>
              <w:t>-</w:t>
            </w:r>
            <w:r w:rsidR="602DFFC9" w:rsidRPr="30EABF76">
              <w:rPr>
                <w:color w:val="000000" w:themeColor="text1"/>
                <w:sz w:val="18"/>
                <w:szCs w:val="18"/>
              </w:rPr>
              <w:t>Apr</w:t>
            </w:r>
            <w:r w:rsidR="00947FEC" w:rsidRPr="30EABF76">
              <w:rPr>
                <w:color w:val="000000" w:themeColor="text1"/>
                <w:sz w:val="18"/>
                <w:szCs w:val="18"/>
              </w:rPr>
              <w:t>-202</w:t>
            </w:r>
            <w:r w:rsidR="1593F4D7" w:rsidRPr="30EABF76">
              <w:rPr>
                <w:color w:val="000000" w:themeColor="text1"/>
                <w:sz w:val="18"/>
                <w:szCs w:val="18"/>
              </w:rPr>
              <w:t>6</w:t>
            </w:r>
          </w:p>
        </w:tc>
      </w:tr>
      <w:tr w:rsidR="00DA42EB" w:rsidRPr="00CE1EA7" w14:paraId="136E8455" w14:textId="77777777" w:rsidTr="5F57611A">
        <w:tc>
          <w:tcPr>
            <w:tcW w:w="1000" w:type="pct"/>
          </w:tcPr>
          <w:p w14:paraId="68D845F9" w14:textId="77777777" w:rsidR="009563B4" w:rsidRPr="00CE1EA7" w:rsidRDefault="009563B4" w:rsidP="00481CA4">
            <w:pPr>
              <w:rPr>
                <w:color w:val="000000"/>
                <w:sz w:val="18"/>
                <w:szCs w:val="18"/>
              </w:rPr>
            </w:pPr>
            <w:r w:rsidRPr="00CE1EA7">
              <w:rPr>
                <w:color w:val="000000"/>
                <w:sz w:val="18"/>
                <w:szCs w:val="18"/>
              </w:rPr>
              <w:t xml:space="preserve">Environmental and Social Risk Classification: </w:t>
            </w:r>
          </w:p>
        </w:tc>
        <w:tc>
          <w:tcPr>
            <w:tcW w:w="4000" w:type="pct"/>
          </w:tcPr>
          <w:p w14:paraId="4C01403E" w14:textId="5BE9DDE1" w:rsidR="009563B4" w:rsidRPr="00CE1EA7" w:rsidRDefault="009563B4" w:rsidP="00481CA4">
            <w:pPr>
              <w:rPr>
                <w:color w:val="000000"/>
                <w:sz w:val="18"/>
                <w:szCs w:val="18"/>
              </w:rPr>
            </w:pPr>
            <w:r w:rsidRPr="5F57611A">
              <w:rPr>
                <w:color w:val="000000" w:themeColor="text1"/>
                <w:sz w:val="18"/>
                <w:szCs w:val="18"/>
              </w:rPr>
              <w:t>low risk</w:t>
            </w:r>
            <w:r w:rsidR="1561C80B" w:rsidRPr="5F57611A">
              <w:rPr>
                <w:rFonts w:ascii="Symbol" w:eastAsia="Symbol" w:hAnsi="Symbol" w:cs="Symbol"/>
                <w:color w:val="000000" w:themeColor="text1"/>
                <w:sz w:val="18"/>
                <w:szCs w:val="18"/>
              </w:rPr>
              <w:t xml:space="preserve"> </w:t>
            </w:r>
            <w:r w:rsidR="1561C80B" w:rsidRPr="5F57611A">
              <w:rPr>
                <w:rFonts w:ascii="Symbol" w:eastAsia="Symbol" w:hAnsi="Symbol" w:cs="Symbol"/>
                <w:color w:val="000000" w:themeColor="text1"/>
                <w:sz w:val="18"/>
                <w:szCs w:val="18"/>
              </w:rPr>
              <w:t></w:t>
            </w:r>
            <w:r w:rsidRPr="5F57611A">
              <w:rPr>
                <w:color w:val="000000" w:themeColor="text1"/>
                <w:sz w:val="18"/>
                <w:szCs w:val="18"/>
              </w:rPr>
              <w:t xml:space="preserve">     moderate risk </w:t>
            </w:r>
            <w:r w:rsidR="6CFC3E6A" w:rsidRPr="5F57611A">
              <w:rPr>
                <w:color w:val="000000" w:themeColor="text1"/>
                <w:sz w:val="18"/>
                <w:szCs w:val="18"/>
              </w:rPr>
              <w:t xml:space="preserve">[X]  </w:t>
            </w:r>
            <w:r w:rsidRPr="5F57611A">
              <w:rPr>
                <w:color w:val="000000" w:themeColor="text1"/>
                <w:sz w:val="18"/>
                <w:szCs w:val="18"/>
              </w:rPr>
              <w:t xml:space="preserve">    high risk </w:t>
            </w:r>
            <w:r w:rsidRPr="5F57611A">
              <w:rPr>
                <w:rFonts w:ascii="Symbol" w:eastAsia="Symbol" w:hAnsi="Symbol" w:cs="Symbol"/>
                <w:color w:val="000000" w:themeColor="text1"/>
                <w:sz w:val="18"/>
                <w:szCs w:val="18"/>
              </w:rPr>
              <w:t></w:t>
            </w:r>
          </w:p>
          <w:p w14:paraId="670A5BBE" w14:textId="77777777" w:rsidR="009563B4" w:rsidRPr="00CE1EA7" w:rsidRDefault="009563B4" w:rsidP="00481CA4">
            <w:pPr>
              <w:rPr>
                <w:color w:val="000000"/>
                <w:sz w:val="18"/>
                <w:szCs w:val="18"/>
              </w:rPr>
            </w:pPr>
          </w:p>
        </w:tc>
      </w:tr>
      <w:tr w:rsidR="00DA42EB" w:rsidRPr="00CE1EA7" w14:paraId="6610EA30" w14:textId="77777777" w:rsidTr="5F57611A">
        <w:tc>
          <w:tcPr>
            <w:tcW w:w="1000" w:type="pct"/>
          </w:tcPr>
          <w:p w14:paraId="11D77178" w14:textId="77777777" w:rsidR="009563B4" w:rsidRPr="00CE1EA7" w:rsidRDefault="009563B4" w:rsidP="00481CA4">
            <w:pPr>
              <w:rPr>
                <w:color w:val="000000"/>
                <w:sz w:val="18"/>
                <w:szCs w:val="18"/>
              </w:rPr>
            </w:pPr>
            <w:r w:rsidRPr="00CE1EA7">
              <w:rPr>
                <w:color w:val="000000"/>
                <w:sz w:val="18"/>
                <w:szCs w:val="18"/>
              </w:rPr>
              <w:t>Gender Marker:</w:t>
            </w:r>
          </w:p>
        </w:tc>
        <w:tc>
          <w:tcPr>
            <w:tcW w:w="4000" w:type="pct"/>
          </w:tcPr>
          <w:p w14:paraId="1128D21A" w14:textId="77777777" w:rsidR="009563B4" w:rsidRPr="00CE1EA7" w:rsidRDefault="009563B4" w:rsidP="00481CA4">
            <w:pPr>
              <w:rPr>
                <w:color w:val="000000"/>
                <w:sz w:val="18"/>
                <w:szCs w:val="18"/>
              </w:rPr>
            </w:pPr>
            <w:r w:rsidRPr="00CE1EA7">
              <w:rPr>
                <w:color w:val="000000"/>
                <w:sz w:val="18"/>
                <w:szCs w:val="18"/>
              </w:rPr>
              <w:t xml:space="preserve">G0  </w:t>
            </w:r>
            <w:r w:rsidRPr="00CE1EA7">
              <w:rPr>
                <w:rFonts w:ascii="Symbol" w:eastAsia="Symbol" w:hAnsi="Symbol" w:cs="Symbol"/>
                <w:color w:val="000000"/>
                <w:sz w:val="18"/>
                <w:szCs w:val="18"/>
              </w:rPr>
              <w:t></w:t>
            </w:r>
            <w:r w:rsidRPr="00CE1EA7">
              <w:rPr>
                <w:color w:val="000000"/>
                <w:sz w:val="18"/>
                <w:szCs w:val="18"/>
              </w:rPr>
              <w:t xml:space="preserve">     G1 </w:t>
            </w:r>
            <w:r w:rsidRPr="00CE1EA7">
              <w:rPr>
                <w:rFonts w:ascii="Symbol" w:eastAsia="Symbol" w:hAnsi="Symbol" w:cs="Symbol"/>
                <w:color w:val="000000"/>
                <w:sz w:val="18"/>
                <w:szCs w:val="18"/>
              </w:rPr>
              <w:t></w:t>
            </w:r>
            <w:r w:rsidRPr="00CE1EA7">
              <w:rPr>
                <w:color w:val="000000"/>
                <w:sz w:val="18"/>
                <w:szCs w:val="18"/>
              </w:rPr>
              <w:t xml:space="preserve">     G2a  [X]    G2b </w:t>
            </w:r>
            <w:r w:rsidRPr="00CE1EA7">
              <w:rPr>
                <w:rFonts w:ascii="Symbol" w:eastAsia="Symbol" w:hAnsi="Symbol" w:cs="Symbol"/>
                <w:color w:val="000000"/>
                <w:sz w:val="18"/>
                <w:szCs w:val="18"/>
              </w:rPr>
              <w:t></w:t>
            </w:r>
          </w:p>
        </w:tc>
      </w:tr>
      <w:tr w:rsidR="00DA42EB" w:rsidRPr="00CE1EA7" w14:paraId="435586DC" w14:textId="77777777" w:rsidTr="5F57611A">
        <w:trPr>
          <w:trHeight w:val="3397"/>
        </w:trPr>
        <w:tc>
          <w:tcPr>
            <w:tcW w:w="1000" w:type="pct"/>
          </w:tcPr>
          <w:p w14:paraId="31F51CDD" w14:textId="77777777" w:rsidR="009563B4" w:rsidRPr="00CE1EA7" w:rsidRDefault="009563B4" w:rsidP="00481CA4">
            <w:pPr>
              <w:rPr>
                <w:color w:val="000000"/>
                <w:sz w:val="18"/>
                <w:szCs w:val="18"/>
                <w:highlight w:val="cyan"/>
              </w:rPr>
            </w:pPr>
            <w:r w:rsidRPr="00D51945">
              <w:rPr>
                <w:color w:val="000000"/>
                <w:sz w:val="18"/>
                <w:szCs w:val="18"/>
              </w:rPr>
              <w:t>Contribution to FAO’s Strategic Framework:</w:t>
            </w:r>
          </w:p>
        </w:tc>
        <w:tc>
          <w:tcPr>
            <w:tcW w:w="4000" w:type="pct"/>
          </w:tcPr>
          <w:p w14:paraId="23611391" w14:textId="77777777" w:rsidR="009563B4" w:rsidRPr="00FD6E34" w:rsidRDefault="009563B4" w:rsidP="003D5924">
            <w:pPr>
              <w:ind w:left="284" w:hanging="284"/>
              <w:jc w:val="both"/>
              <w:rPr>
                <w:sz w:val="16"/>
                <w:szCs w:val="16"/>
              </w:rPr>
            </w:pPr>
            <w:r w:rsidRPr="00FD6E34">
              <w:rPr>
                <w:sz w:val="16"/>
                <w:szCs w:val="16"/>
                <w:u w:val="single"/>
              </w:rPr>
              <w:t>FAO Strategic Objective (SO) /Organizational Outcome</w:t>
            </w:r>
            <w:r w:rsidRPr="00FD6E34">
              <w:rPr>
                <w:sz w:val="16"/>
                <w:szCs w:val="16"/>
              </w:rPr>
              <w:t>:</w:t>
            </w:r>
            <w:r w:rsidRPr="00FD6E34">
              <w:rPr>
                <w:sz w:val="16"/>
                <w:szCs w:val="16"/>
              </w:rPr>
              <w:tab/>
            </w:r>
          </w:p>
          <w:p w14:paraId="5E386DE0" w14:textId="77777777" w:rsidR="009563B4" w:rsidRPr="00FD6E34" w:rsidRDefault="009563B4" w:rsidP="003D5924">
            <w:pPr>
              <w:ind w:left="284" w:hanging="284"/>
              <w:jc w:val="both"/>
              <w:rPr>
                <w:i/>
                <w:iCs/>
                <w:sz w:val="16"/>
                <w:szCs w:val="16"/>
              </w:rPr>
            </w:pPr>
            <w:r w:rsidRPr="00FD6E34">
              <w:rPr>
                <w:sz w:val="16"/>
                <w:szCs w:val="16"/>
              </w:rPr>
              <w:tab/>
            </w:r>
            <w:r w:rsidRPr="00FD6E34">
              <w:rPr>
                <w:i/>
                <w:iCs/>
                <w:sz w:val="16"/>
                <w:szCs w:val="16"/>
                <w:u w:val="single"/>
              </w:rPr>
              <w:t>SO #2:</w:t>
            </w:r>
            <w:r w:rsidRPr="00FD6E34">
              <w:rPr>
                <w:i/>
                <w:iCs/>
                <w:sz w:val="16"/>
                <w:szCs w:val="16"/>
              </w:rPr>
              <w:t xml:space="preserve"> Make agriculture, forestry and fisheries more productive and sustainable. </w:t>
            </w:r>
          </w:p>
          <w:p w14:paraId="35DC202A" w14:textId="77777777" w:rsidR="009563B4" w:rsidRPr="00FD6E34" w:rsidRDefault="009563B4" w:rsidP="003D5924">
            <w:pPr>
              <w:ind w:left="284" w:hanging="284"/>
              <w:jc w:val="both"/>
              <w:rPr>
                <w:i/>
                <w:iCs/>
                <w:sz w:val="16"/>
                <w:szCs w:val="16"/>
              </w:rPr>
            </w:pPr>
            <w:r w:rsidRPr="00FD6E34">
              <w:rPr>
                <w:i/>
                <w:iCs/>
                <w:sz w:val="16"/>
                <w:szCs w:val="16"/>
              </w:rPr>
              <w:tab/>
            </w:r>
            <w:r w:rsidRPr="00FD6E34">
              <w:rPr>
                <w:i/>
                <w:iCs/>
                <w:sz w:val="16"/>
                <w:szCs w:val="16"/>
                <w:u w:val="single"/>
              </w:rPr>
              <w:t>Org. Outcome 2.1:</w:t>
            </w:r>
            <w:r w:rsidRPr="00FD6E34">
              <w:rPr>
                <w:i/>
                <w:iCs/>
                <w:sz w:val="16"/>
                <w:szCs w:val="16"/>
              </w:rPr>
              <w:t xml:space="preserve"> Countries adopted practices to increase productivity sustainably while addressing climate change and environmental degradation in agriculture, forestry and fisheries.</w:t>
            </w:r>
          </w:p>
          <w:p w14:paraId="58CAB36A" w14:textId="77777777" w:rsidR="009563B4" w:rsidRPr="00FD6E34" w:rsidRDefault="009563B4" w:rsidP="003D5924">
            <w:pPr>
              <w:ind w:left="284" w:hanging="284"/>
              <w:jc w:val="both"/>
              <w:rPr>
                <w:sz w:val="16"/>
                <w:szCs w:val="16"/>
              </w:rPr>
            </w:pPr>
            <w:r w:rsidRPr="00FD6E34">
              <w:rPr>
                <w:sz w:val="16"/>
                <w:szCs w:val="16"/>
                <w:u w:val="single"/>
              </w:rPr>
              <w:t>Country Outcome(s) UNDAF:</w:t>
            </w:r>
            <w:r w:rsidRPr="00FD6E34">
              <w:rPr>
                <w:sz w:val="16"/>
                <w:szCs w:val="16"/>
              </w:rPr>
              <w:tab/>
            </w:r>
          </w:p>
          <w:p w14:paraId="7351C046" w14:textId="77777777" w:rsidR="009563B4" w:rsidRPr="00FD6E34" w:rsidRDefault="009563B4" w:rsidP="003D5924">
            <w:pPr>
              <w:ind w:left="284" w:hanging="284"/>
              <w:jc w:val="both"/>
              <w:rPr>
                <w:i/>
                <w:iCs/>
                <w:color w:val="000000"/>
                <w:sz w:val="16"/>
                <w:szCs w:val="16"/>
              </w:rPr>
            </w:pPr>
            <w:r w:rsidRPr="00FD6E34">
              <w:rPr>
                <w:i/>
                <w:iCs/>
                <w:color w:val="000000"/>
                <w:sz w:val="16"/>
                <w:szCs w:val="16"/>
              </w:rPr>
              <w:tab/>
            </w:r>
            <w:r w:rsidRPr="00FD6E34">
              <w:rPr>
                <w:i/>
                <w:iCs/>
                <w:color w:val="000000"/>
                <w:sz w:val="16"/>
                <w:szCs w:val="16"/>
                <w:u w:val="single"/>
              </w:rPr>
              <w:t>Angola’s UNDAF 2020-2022, under preparation, Pilar #3, as currently defined)</w:t>
            </w:r>
            <w:r w:rsidRPr="00FD6E34">
              <w:rPr>
                <w:i/>
                <w:iCs/>
                <w:color w:val="000000"/>
                <w:sz w:val="16"/>
                <w:szCs w:val="16"/>
              </w:rPr>
              <w:t xml:space="preserve"> Environmental services and resilience for the most vulnerable population. </w:t>
            </w:r>
            <w:r w:rsidRPr="00FD6E34">
              <w:rPr>
                <w:i/>
                <w:iCs/>
                <w:color w:val="000000"/>
                <w:sz w:val="16"/>
                <w:szCs w:val="16"/>
                <w:u w:val="single"/>
              </w:rPr>
              <w:t>Linking up to</w:t>
            </w:r>
            <w:r w:rsidRPr="00FD6E34">
              <w:rPr>
                <w:i/>
                <w:iCs/>
                <w:color w:val="000000"/>
                <w:sz w:val="16"/>
                <w:szCs w:val="16"/>
              </w:rPr>
              <w:t xml:space="preserve">: Angola’s National Development Plan's (PND) Axes 1, 2, 5 and 6; and to SDGs 1, 2, 3, 6, 7, 8, 9, 11, 12, 13, 14, 15 and 17. </w:t>
            </w:r>
          </w:p>
          <w:p w14:paraId="1E889BE6" w14:textId="77777777" w:rsidR="009563B4" w:rsidRPr="00FD6E34" w:rsidRDefault="009563B4" w:rsidP="003D5924">
            <w:pPr>
              <w:ind w:left="284" w:hanging="284"/>
              <w:jc w:val="both"/>
              <w:rPr>
                <w:color w:val="000000"/>
                <w:sz w:val="16"/>
                <w:szCs w:val="16"/>
                <w:u w:val="single"/>
              </w:rPr>
            </w:pPr>
            <w:r w:rsidRPr="00FD6E34">
              <w:rPr>
                <w:color w:val="000000"/>
                <w:sz w:val="16"/>
                <w:szCs w:val="16"/>
                <w:u w:val="single"/>
              </w:rPr>
              <w:t xml:space="preserve">Country Programming Framework(s) Output(s): </w:t>
            </w:r>
          </w:p>
          <w:p w14:paraId="79D1851E" w14:textId="6D0D80CB" w:rsidR="009563B4" w:rsidRPr="00D51945" w:rsidRDefault="00D51945" w:rsidP="003D5924">
            <w:pPr>
              <w:ind w:left="216"/>
              <w:jc w:val="both"/>
              <w:rPr>
                <w:i/>
                <w:iCs/>
                <w:color w:val="000000"/>
                <w:sz w:val="16"/>
                <w:szCs w:val="16"/>
              </w:rPr>
            </w:pPr>
            <w:r>
              <w:rPr>
                <w:i/>
                <w:iCs/>
                <w:color w:val="000000"/>
                <w:sz w:val="16"/>
                <w:szCs w:val="16"/>
              </w:rPr>
              <w:t>Priority 3: Improving sustainable and coordinated management of natural resources and building the resilience of small producers to best adapt to the impacts of climate change. Outputs 3.1, 3.2, 3.3, 3.4, 3.5.</w:t>
            </w:r>
          </w:p>
          <w:p w14:paraId="75ECC36F" w14:textId="77777777" w:rsidR="009563B4" w:rsidRPr="00FD6E34" w:rsidRDefault="009563B4" w:rsidP="003D5924">
            <w:pPr>
              <w:ind w:left="284" w:hanging="284"/>
              <w:jc w:val="both"/>
              <w:rPr>
                <w:color w:val="000000"/>
                <w:sz w:val="16"/>
                <w:szCs w:val="16"/>
                <w:u w:val="single"/>
              </w:rPr>
            </w:pPr>
            <w:r w:rsidRPr="00FD6E34">
              <w:rPr>
                <w:color w:val="000000"/>
                <w:sz w:val="16"/>
                <w:szCs w:val="16"/>
                <w:u w:val="single"/>
              </w:rPr>
              <w:t xml:space="preserve">Regional Initiative(s) /Priority Area: </w:t>
            </w:r>
          </w:p>
          <w:p w14:paraId="17127D20" w14:textId="77777777" w:rsidR="009563B4" w:rsidRPr="00FD6E34" w:rsidRDefault="009563B4" w:rsidP="00C53A49">
            <w:pPr>
              <w:pStyle w:val="ListParagraph"/>
              <w:numPr>
                <w:ilvl w:val="0"/>
                <w:numId w:val="16"/>
              </w:numPr>
              <w:spacing w:after="0"/>
              <w:ind w:left="462"/>
              <w:rPr>
                <w:rFonts w:asciiTheme="minorHAnsi" w:hAnsiTheme="minorHAnsi" w:cstheme="minorHAnsi"/>
                <w:i/>
                <w:iCs/>
                <w:sz w:val="16"/>
                <w:szCs w:val="16"/>
              </w:rPr>
            </w:pPr>
            <w:r w:rsidRPr="00FD6E34">
              <w:rPr>
                <w:rFonts w:asciiTheme="minorHAnsi" w:hAnsiTheme="minorHAnsi" w:cstheme="minorHAnsi"/>
                <w:i/>
                <w:iCs/>
                <w:sz w:val="16"/>
                <w:szCs w:val="16"/>
                <w:u w:val="single"/>
              </w:rPr>
              <w:t>SADC’s Initiative</w:t>
            </w:r>
            <w:r w:rsidRPr="00FD6E34">
              <w:rPr>
                <w:rFonts w:asciiTheme="minorHAnsi" w:hAnsiTheme="minorHAnsi" w:cstheme="minorHAnsi"/>
                <w:i/>
                <w:iCs/>
                <w:sz w:val="16"/>
                <w:szCs w:val="16"/>
              </w:rPr>
              <w:t>: Great Green Wall of Southern Africa, with focus on Miombo ecosystems</w:t>
            </w:r>
          </w:p>
          <w:p w14:paraId="3B56FB95" w14:textId="3BEF0466" w:rsidR="009563B4" w:rsidRPr="00FD6E34" w:rsidRDefault="009563B4" w:rsidP="00C53A49">
            <w:pPr>
              <w:pStyle w:val="ListParagraph"/>
              <w:numPr>
                <w:ilvl w:val="0"/>
                <w:numId w:val="16"/>
              </w:numPr>
              <w:spacing w:after="0"/>
              <w:ind w:left="462"/>
              <w:rPr>
                <w:rFonts w:asciiTheme="minorHAnsi" w:hAnsiTheme="minorHAnsi" w:cstheme="minorHAnsi"/>
                <w:i/>
                <w:iCs/>
                <w:sz w:val="16"/>
                <w:szCs w:val="16"/>
              </w:rPr>
            </w:pPr>
            <w:r w:rsidRPr="00FD6E34">
              <w:rPr>
                <w:rFonts w:asciiTheme="minorHAnsi" w:hAnsiTheme="minorHAnsi" w:cstheme="minorHAnsi"/>
                <w:i/>
                <w:iCs/>
                <w:sz w:val="16"/>
                <w:szCs w:val="16"/>
                <w:u w:val="single"/>
              </w:rPr>
              <w:t>GEF’s Global Impact Program, with FAO in the lead</w:t>
            </w:r>
            <w:r w:rsidRPr="00FD6E34">
              <w:rPr>
                <w:rFonts w:asciiTheme="minorHAnsi" w:hAnsiTheme="minorHAnsi" w:cstheme="minorHAnsi"/>
                <w:i/>
                <w:iCs/>
                <w:sz w:val="16"/>
                <w:szCs w:val="16"/>
              </w:rPr>
              <w:t xml:space="preserve">: Sustainable Forest Management Impact Program on Dryland Sustainable Landscapes: ‘to avoid, reduce, and reverse further degradation, desertification, and deforestation of land and ecosystems in </w:t>
            </w:r>
            <w:r w:rsidR="00E24249">
              <w:rPr>
                <w:rFonts w:asciiTheme="minorHAnsi" w:hAnsiTheme="minorHAnsi" w:cstheme="minorHAnsi"/>
                <w:i/>
                <w:iCs/>
                <w:sz w:val="16"/>
                <w:szCs w:val="16"/>
              </w:rPr>
              <w:t xml:space="preserve">dryland </w:t>
            </w:r>
            <w:r w:rsidRPr="00FD6E34">
              <w:rPr>
                <w:rFonts w:asciiTheme="minorHAnsi" w:hAnsiTheme="minorHAnsi" w:cstheme="minorHAnsi"/>
                <w:i/>
                <w:iCs/>
                <w:sz w:val="16"/>
                <w:szCs w:val="16"/>
              </w:rPr>
              <w:t>through the sustainable management of production landscapes’</w:t>
            </w:r>
          </w:p>
          <w:p w14:paraId="12FE5D7F" w14:textId="77777777" w:rsidR="009563B4" w:rsidRPr="004B0FFB" w:rsidRDefault="009563B4" w:rsidP="00C53A49">
            <w:pPr>
              <w:pStyle w:val="ListParagraph"/>
              <w:numPr>
                <w:ilvl w:val="0"/>
                <w:numId w:val="16"/>
              </w:numPr>
              <w:spacing w:after="0"/>
              <w:ind w:left="462"/>
              <w:rPr>
                <w:rFonts w:asciiTheme="minorHAnsi" w:hAnsiTheme="minorHAnsi" w:cstheme="minorHAnsi"/>
                <w:i/>
                <w:iCs/>
                <w:sz w:val="21"/>
                <w:szCs w:val="21"/>
              </w:rPr>
            </w:pPr>
            <w:r w:rsidRPr="00FD6E34">
              <w:rPr>
                <w:rFonts w:asciiTheme="minorHAnsi" w:hAnsiTheme="minorHAnsi" w:cstheme="minorHAnsi"/>
                <w:i/>
                <w:iCs/>
                <w:sz w:val="16"/>
                <w:szCs w:val="16"/>
                <w:u w:val="single"/>
              </w:rPr>
              <w:t>FAO’s Regional Priority Areas:</w:t>
            </w:r>
            <w:r w:rsidRPr="00FD6E34">
              <w:rPr>
                <w:rFonts w:asciiTheme="minorHAnsi" w:hAnsiTheme="minorHAnsi" w:cstheme="minorHAnsi"/>
                <w:i/>
                <w:iCs/>
                <w:sz w:val="16"/>
                <w:szCs w:val="16"/>
              </w:rPr>
              <w:t xml:space="preserve"> Integrated Management of Agricultural Landscapes in Africa / Generating and sharing knowledge and Capacity Building.</w:t>
            </w:r>
          </w:p>
        </w:tc>
      </w:tr>
      <w:tr w:rsidR="00DA42EB" w:rsidRPr="00CE1EA7" w14:paraId="49E923A2" w14:textId="77777777" w:rsidTr="5F57611A">
        <w:tc>
          <w:tcPr>
            <w:tcW w:w="1000" w:type="pct"/>
          </w:tcPr>
          <w:p w14:paraId="432388D4" w14:textId="77777777" w:rsidR="009563B4" w:rsidRPr="00CE1EA7" w:rsidRDefault="009563B4" w:rsidP="00481CA4">
            <w:pPr>
              <w:rPr>
                <w:color w:val="000000"/>
                <w:sz w:val="18"/>
                <w:szCs w:val="18"/>
                <w:highlight w:val="magenta"/>
              </w:rPr>
            </w:pPr>
          </w:p>
        </w:tc>
        <w:tc>
          <w:tcPr>
            <w:tcW w:w="4000" w:type="pct"/>
          </w:tcPr>
          <w:p w14:paraId="4544FDDD" w14:textId="77777777" w:rsidR="009563B4" w:rsidRPr="00CE1EA7" w:rsidRDefault="009563B4" w:rsidP="00481CA4">
            <w:pPr>
              <w:rPr>
                <w:color w:val="000000"/>
                <w:sz w:val="18"/>
                <w:szCs w:val="18"/>
                <w:highlight w:val="magenta"/>
              </w:rPr>
            </w:pPr>
          </w:p>
          <w:tbl>
            <w:tblPr>
              <w:tblStyle w:val="TableGrid"/>
              <w:tblW w:w="0" w:type="auto"/>
              <w:tblLook w:val="04A0" w:firstRow="1" w:lastRow="0" w:firstColumn="1" w:lastColumn="0" w:noHBand="0" w:noVBand="1"/>
            </w:tblPr>
            <w:tblGrid>
              <w:gridCol w:w="4627"/>
              <w:gridCol w:w="2360"/>
            </w:tblGrid>
            <w:tr w:rsidR="009563B4" w:rsidRPr="00CE1EA7" w14:paraId="7C9CDD8B" w14:textId="77777777" w:rsidTr="00481CA4">
              <w:tc>
                <w:tcPr>
                  <w:tcW w:w="4670" w:type="dxa"/>
                </w:tcPr>
                <w:p w14:paraId="02CBE0C1" w14:textId="77777777" w:rsidR="009563B4" w:rsidRPr="003D5924" w:rsidRDefault="009563B4" w:rsidP="00481CA4">
                  <w:pPr>
                    <w:rPr>
                      <w:rFonts w:asciiTheme="minorHAnsi" w:hAnsiTheme="minorHAnsi" w:cstheme="minorHAnsi"/>
                      <w:color w:val="000000"/>
                      <w:sz w:val="18"/>
                      <w:szCs w:val="18"/>
                    </w:rPr>
                  </w:pPr>
                  <w:r w:rsidRPr="003D5924">
                    <w:rPr>
                      <w:rFonts w:asciiTheme="minorHAnsi" w:hAnsiTheme="minorHAnsi" w:cstheme="minorHAnsi"/>
                      <w:color w:val="000000"/>
                      <w:sz w:val="18"/>
                      <w:szCs w:val="18"/>
                    </w:rPr>
                    <w:t>Project Budget (GEF Trust Fund):</w:t>
                  </w:r>
                </w:p>
              </w:tc>
              <w:tc>
                <w:tcPr>
                  <w:tcW w:w="2376" w:type="dxa"/>
                </w:tcPr>
                <w:p w14:paraId="6279FAF1" w14:textId="4A387060" w:rsidR="009563B4" w:rsidRPr="003D5924" w:rsidRDefault="000F2855" w:rsidP="00481CA4">
                  <w:pPr>
                    <w:jc w:val="right"/>
                    <w:rPr>
                      <w:rFonts w:asciiTheme="minorHAnsi" w:hAnsiTheme="minorHAnsi" w:cstheme="minorHAnsi"/>
                      <w:color w:val="000000"/>
                      <w:sz w:val="18"/>
                      <w:szCs w:val="18"/>
                    </w:rPr>
                  </w:pPr>
                  <w:r w:rsidRPr="003D5924">
                    <w:rPr>
                      <w:rFonts w:asciiTheme="minorHAnsi" w:hAnsiTheme="minorHAnsi" w:cstheme="minorHAnsi"/>
                      <w:color w:val="000000"/>
                      <w:sz w:val="18"/>
                      <w:szCs w:val="18"/>
                    </w:rPr>
                    <w:t>$ 5,359,633</w:t>
                  </w:r>
                </w:p>
              </w:tc>
            </w:tr>
            <w:tr w:rsidR="009563B4" w:rsidRPr="00CE1EA7" w14:paraId="25A64D46" w14:textId="77777777" w:rsidTr="00481CA4">
              <w:tc>
                <w:tcPr>
                  <w:tcW w:w="4670" w:type="dxa"/>
                </w:tcPr>
                <w:p w14:paraId="28EC2737" w14:textId="77777777" w:rsidR="009563B4" w:rsidRPr="003D5924" w:rsidRDefault="009563B4" w:rsidP="00481CA4">
                  <w:pPr>
                    <w:rPr>
                      <w:rFonts w:asciiTheme="minorHAnsi" w:hAnsiTheme="minorHAnsi" w:cstheme="minorHAnsi"/>
                      <w:color w:val="000000"/>
                      <w:sz w:val="18"/>
                      <w:szCs w:val="18"/>
                    </w:rPr>
                  </w:pPr>
                  <w:r w:rsidRPr="003D5924">
                    <w:rPr>
                      <w:rFonts w:asciiTheme="minorHAnsi" w:hAnsiTheme="minorHAnsi" w:cstheme="minorHAnsi"/>
                      <w:color w:val="000000"/>
                      <w:sz w:val="18"/>
                      <w:szCs w:val="18"/>
                    </w:rPr>
                    <w:t>Co-financing:</w:t>
                  </w:r>
                </w:p>
              </w:tc>
              <w:tc>
                <w:tcPr>
                  <w:tcW w:w="2376" w:type="dxa"/>
                </w:tcPr>
                <w:p w14:paraId="06A93D6E" w14:textId="25EDB90D" w:rsidR="009563B4" w:rsidRPr="003D5924" w:rsidRDefault="009563B4" w:rsidP="00481CA4">
                  <w:pPr>
                    <w:jc w:val="right"/>
                    <w:rPr>
                      <w:rFonts w:asciiTheme="minorHAnsi" w:hAnsiTheme="minorHAnsi" w:cstheme="minorHAnsi"/>
                      <w:color w:val="000000"/>
                      <w:sz w:val="18"/>
                      <w:szCs w:val="18"/>
                    </w:rPr>
                  </w:pPr>
                  <w:r w:rsidRPr="003D5924">
                    <w:rPr>
                      <w:rFonts w:asciiTheme="minorHAnsi" w:hAnsiTheme="minorHAnsi" w:cstheme="minorHAnsi"/>
                      <w:color w:val="000000"/>
                      <w:sz w:val="18"/>
                      <w:szCs w:val="18"/>
                    </w:rPr>
                    <w:t xml:space="preserve">$ </w:t>
                  </w:r>
                  <w:r w:rsidR="00EA70D2" w:rsidRPr="003D5924">
                    <w:rPr>
                      <w:rFonts w:asciiTheme="minorHAnsi" w:hAnsiTheme="minorHAnsi" w:cstheme="minorHAnsi"/>
                      <w:color w:val="000000"/>
                      <w:sz w:val="18"/>
                      <w:szCs w:val="18"/>
                    </w:rPr>
                    <w:t>34</w:t>
                  </w:r>
                  <w:r w:rsidRPr="003D5924">
                    <w:rPr>
                      <w:rFonts w:asciiTheme="minorHAnsi" w:hAnsiTheme="minorHAnsi" w:cstheme="minorHAnsi"/>
                      <w:color w:val="000000"/>
                      <w:sz w:val="18"/>
                      <w:szCs w:val="18"/>
                    </w:rPr>
                    <w:t>,</w:t>
                  </w:r>
                  <w:r w:rsidR="00EA70D2" w:rsidRPr="003D5924">
                    <w:rPr>
                      <w:rFonts w:asciiTheme="minorHAnsi" w:hAnsiTheme="minorHAnsi" w:cstheme="minorHAnsi"/>
                      <w:color w:val="000000"/>
                      <w:sz w:val="18"/>
                      <w:szCs w:val="18"/>
                    </w:rPr>
                    <w:t>500</w:t>
                  </w:r>
                  <w:r w:rsidRPr="003D5924">
                    <w:rPr>
                      <w:rFonts w:asciiTheme="minorHAnsi" w:hAnsiTheme="minorHAnsi" w:cstheme="minorHAnsi"/>
                      <w:color w:val="000000"/>
                      <w:sz w:val="18"/>
                      <w:szCs w:val="18"/>
                    </w:rPr>
                    <w:t>,000</w:t>
                  </w:r>
                </w:p>
              </w:tc>
            </w:tr>
            <w:tr w:rsidR="009563B4" w:rsidRPr="00CE1EA7" w14:paraId="4069C793" w14:textId="77777777" w:rsidTr="00481CA4">
              <w:tc>
                <w:tcPr>
                  <w:tcW w:w="4670" w:type="dxa"/>
                </w:tcPr>
                <w:p w14:paraId="77EF45A0" w14:textId="7B588BB5" w:rsidR="009563B4" w:rsidRPr="003D5924" w:rsidRDefault="009563B4" w:rsidP="00481CA4">
                  <w:pPr>
                    <w:rPr>
                      <w:rFonts w:asciiTheme="minorHAnsi" w:hAnsiTheme="minorHAnsi" w:cstheme="minorHAnsi"/>
                      <w:color w:val="000000"/>
                      <w:sz w:val="18"/>
                      <w:szCs w:val="18"/>
                    </w:rPr>
                  </w:pPr>
                  <w:r w:rsidRPr="003D5924">
                    <w:rPr>
                      <w:rFonts w:asciiTheme="minorHAnsi" w:hAnsiTheme="minorHAnsi" w:cstheme="minorHAnsi"/>
                      <w:color w:val="000000"/>
                      <w:sz w:val="18"/>
                      <w:szCs w:val="18"/>
                    </w:rPr>
                    <w:t>Total Project Budget:</w:t>
                  </w:r>
                </w:p>
              </w:tc>
              <w:tc>
                <w:tcPr>
                  <w:tcW w:w="2376" w:type="dxa"/>
                </w:tcPr>
                <w:p w14:paraId="314F0B1B" w14:textId="705F3C3C" w:rsidR="009563B4" w:rsidRPr="003D5924" w:rsidRDefault="009563B4" w:rsidP="00481CA4">
                  <w:pPr>
                    <w:jc w:val="right"/>
                    <w:rPr>
                      <w:rFonts w:asciiTheme="minorHAnsi" w:hAnsiTheme="minorHAnsi" w:cstheme="minorHAnsi"/>
                      <w:color w:val="000000"/>
                      <w:sz w:val="18"/>
                      <w:szCs w:val="18"/>
                    </w:rPr>
                  </w:pPr>
                  <w:r w:rsidRPr="00B02C45">
                    <w:rPr>
                      <w:rFonts w:asciiTheme="minorHAnsi" w:hAnsiTheme="minorHAnsi" w:cstheme="minorHAnsi"/>
                      <w:color w:val="000000"/>
                      <w:sz w:val="18"/>
                      <w:szCs w:val="18"/>
                    </w:rPr>
                    <w:t xml:space="preserve">$ </w:t>
                  </w:r>
                  <w:r w:rsidR="001E6A26" w:rsidRPr="00B02C45">
                    <w:rPr>
                      <w:rFonts w:asciiTheme="minorHAnsi" w:hAnsiTheme="minorHAnsi" w:cstheme="minorHAnsi"/>
                      <w:color w:val="000000"/>
                      <w:sz w:val="18"/>
                      <w:szCs w:val="18"/>
                    </w:rPr>
                    <w:t>39</w:t>
                  </w:r>
                  <w:r w:rsidRPr="00B02C45">
                    <w:rPr>
                      <w:rFonts w:asciiTheme="minorHAnsi" w:hAnsiTheme="minorHAnsi" w:cstheme="minorHAnsi"/>
                      <w:color w:val="000000"/>
                      <w:sz w:val="18"/>
                      <w:szCs w:val="18"/>
                    </w:rPr>
                    <w:t>,</w:t>
                  </w:r>
                  <w:r w:rsidR="002A500F" w:rsidRPr="00B02C45">
                    <w:rPr>
                      <w:rFonts w:asciiTheme="minorHAnsi" w:hAnsiTheme="minorHAnsi" w:cstheme="minorHAnsi"/>
                      <w:color w:val="000000"/>
                      <w:sz w:val="18"/>
                      <w:szCs w:val="18"/>
                    </w:rPr>
                    <w:t>859</w:t>
                  </w:r>
                  <w:r w:rsidRPr="00B02C45">
                    <w:rPr>
                      <w:rFonts w:asciiTheme="minorHAnsi" w:hAnsiTheme="minorHAnsi" w:cstheme="minorHAnsi"/>
                      <w:color w:val="000000"/>
                      <w:sz w:val="18"/>
                      <w:szCs w:val="18"/>
                    </w:rPr>
                    <w:t>,</w:t>
                  </w:r>
                  <w:r w:rsidR="002A500F" w:rsidRPr="00B02C45">
                    <w:rPr>
                      <w:rFonts w:asciiTheme="minorHAnsi" w:hAnsiTheme="minorHAnsi" w:cstheme="minorHAnsi"/>
                      <w:color w:val="000000"/>
                      <w:sz w:val="18"/>
                      <w:szCs w:val="18"/>
                    </w:rPr>
                    <w:t>633</w:t>
                  </w:r>
                </w:p>
              </w:tc>
            </w:tr>
          </w:tbl>
          <w:p w14:paraId="351A3828" w14:textId="7A0883B1" w:rsidR="009563B4" w:rsidRPr="00CE1EA7" w:rsidRDefault="009563B4" w:rsidP="00481CA4">
            <w:pPr>
              <w:rPr>
                <w:color w:val="000000"/>
                <w:sz w:val="18"/>
                <w:szCs w:val="18"/>
                <w:highlight w:val="cyan"/>
              </w:rPr>
            </w:pPr>
          </w:p>
        </w:tc>
      </w:tr>
    </w:tbl>
    <w:p w14:paraId="1008D42C" w14:textId="77777777" w:rsidR="009563B4" w:rsidRPr="00CE1EA7" w:rsidRDefault="009563B4" w:rsidP="009563B4">
      <w:pPr>
        <w:rPr>
          <w:sz w:val="4"/>
          <w:szCs w:val="4"/>
        </w:rPr>
      </w:pPr>
    </w:p>
    <w:p w14:paraId="3DC0590D" w14:textId="432D770E" w:rsidR="009563B4" w:rsidRPr="0076243C" w:rsidRDefault="009563B4" w:rsidP="009563B4">
      <w:pPr>
        <w:pStyle w:val="Heading1"/>
        <w:spacing w:before="0" w:after="0"/>
        <w:rPr>
          <w:sz w:val="18"/>
          <w:szCs w:val="18"/>
        </w:rPr>
      </w:pPr>
      <w:bookmarkStart w:id="3" w:name="_Toc58398579"/>
      <w:r w:rsidRPr="0076243C">
        <w:rPr>
          <w:caps w:val="0"/>
          <w:sz w:val="18"/>
          <w:szCs w:val="18"/>
        </w:rPr>
        <w:t>EXECUTIVE SUMMARY</w:t>
      </w:r>
      <w:bookmarkEnd w:id="3"/>
      <w:r w:rsidRPr="0076243C">
        <w:rPr>
          <w:caps w:val="0"/>
          <w:sz w:val="18"/>
          <w:szCs w:val="18"/>
        </w:rPr>
        <w:t xml:space="preserve"> </w:t>
      </w:r>
    </w:p>
    <w:tbl>
      <w:tblPr>
        <w:tblStyle w:val="TableGrid"/>
        <w:tblW w:w="0" w:type="auto"/>
        <w:tblLook w:val="04A0" w:firstRow="1" w:lastRow="0" w:firstColumn="1" w:lastColumn="0" w:noHBand="0" w:noVBand="1"/>
      </w:tblPr>
      <w:tblGrid>
        <w:gridCol w:w="9016"/>
      </w:tblGrid>
      <w:tr w:rsidR="009563B4" w:rsidRPr="00932D98" w14:paraId="0CC930A5" w14:textId="77777777" w:rsidTr="00481CA4">
        <w:tc>
          <w:tcPr>
            <w:tcW w:w="9350" w:type="dxa"/>
          </w:tcPr>
          <w:p w14:paraId="172522FD" w14:textId="77777777" w:rsidR="009563B4" w:rsidRPr="007357BC" w:rsidRDefault="009563B4" w:rsidP="0030463F">
            <w:pPr>
              <w:pStyle w:val="ParagraphOED"/>
              <w:numPr>
                <w:ilvl w:val="0"/>
                <w:numId w:val="0"/>
              </w:numPr>
              <w:spacing w:after="0"/>
              <w:rPr>
                <w:rFonts w:asciiTheme="minorHAnsi" w:eastAsia="Times New Roman" w:hAnsiTheme="minorHAnsi" w:cstheme="minorHAnsi"/>
                <w:sz w:val="18"/>
                <w:szCs w:val="18"/>
              </w:rPr>
            </w:pPr>
            <w:r w:rsidRPr="007357BC">
              <w:rPr>
                <w:rFonts w:asciiTheme="minorHAnsi" w:eastAsia="Times New Roman" w:hAnsiTheme="minorHAnsi" w:cstheme="minorHAnsi"/>
                <w:sz w:val="18"/>
                <w:szCs w:val="18"/>
              </w:rPr>
              <w:t>Landscapes of Miombo and Mopane woodlands in Angola are exposed to varying degrees of land degradation due to the</w:t>
            </w:r>
            <w:r w:rsidRPr="007357BC">
              <w:rPr>
                <w:rFonts w:asciiTheme="minorHAnsi" w:hAnsiTheme="minorHAnsi" w:cstheme="minorHAnsi"/>
                <w:sz w:val="18"/>
                <w:szCs w:val="18"/>
              </w:rPr>
              <w:t xml:space="preserve"> expansion of agricultural lands, unsustainable charcoal production and overgrazing in grassland areas. These trends are accelerated by population pressure, the associated demand for food and other ecosystem services, the expansion of settlements and climate change. Angola also faces land governance challenges, including issues of land tenure security and the need to accord environmental protection to important natural assets -- in particular, forests and water bodies in dryland areas. This project addresses some of these challenges through </w:t>
            </w:r>
            <w:r w:rsidRPr="007357BC">
              <w:rPr>
                <w:rFonts w:asciiTheme="minorHAnsi" w:eastAsia="Times New Roman" w:hAnsiTheme="minorHAnsi" w:cstheme="minorHAnsi"/>
                <w:sz w:val="18"/>
                <w:szCs w:val="18"/>
              </w:rPr>
              <w:t xml:space="preserve">the adoption of SLM/SFM practices across selected landscapes in southern Angola, covering an area of at least 1.3 million hectares of Miombo and Mopane woodlands ecosystems. </w:t>
            </w:r>
          </w:p>
          <w:p w14:paraId="06BC0088" w14:textId="77777777" w:rsidR="009563B4" w:rsidRPr="007357BC" w:rsidRDefault="009563B4" w:rsidP="0030463F">
            <w:pPr>
              <w:pStyle w:val="ParagraphOED"/>
              <w:numPr>
                <w:ilvl w:val="0"/>
                <w:numId w:val="0"/>
              </w:numPr>
              <w:spacing w:after="0"/>
              <w:rPr>
                <w:rFonts w:asciiTheme="minorHAnsi" w:eastAsia="Times New Roman" w:hAnsiTheme="minorHAnsi" w:cstheme="minorHAnsi"/>
                <w:sz w:val="18"/>
                <w:szCs w:val="18"/>
              </w:rPr>
            </w:pPr>
          </w:p>
          <w:p w14:paraId="756D12DB" w14:textId="77777777" w:rsidR="009563B4" w:rsidRPr="007357BC" w:rsidRDefault="009563B4" w:rsidP="0030463F">
            <w:pPr>
              <w:jc w:val="both"/>
              <w:rPr>
                <w:rFonts w:asciiTheme="minorHAnsi" w:hAnsiTheme="minorHAnsi" w:cstheme="minorHAnsi"/>
                <w:color w:val="000000"/>
                <w:sz w:val="18"/>
                <w:szCs w:val="18"/>
              </w:rPr>
            </w:pPr>
            <w:r w:rsidRPr="007357BC">
              <w:rPr>
                <w:rFonts w:asciiTheme="minorHAnsi" w:hAnsiTheme="minorHAnsi" w:cstheme="minorHAnsi"/>
                <w:color w:val="000000"/>
                <w:sz w:val="18"/>
                <w:szCs w:val="18"/>
              </w:rPr>
              <w:t xml:space="preserve">The project is expected to positively contribute to the achievement, by 2030, of Angola’s Land Degradation Neutrality (LDN) Target, which had been set in 2018 as a national commitment under the UNCCD. The national LDN Target has been since mainstreamed into the country’s climate change and national development policies’ and frameworks. </w:t>
            </w:r>
          </w:p>
          <w:p w14:paraId="74795743" w14:textId="77777777" w:rsidR="009563B4" w:rsidRPr="007357BC" w:rsidRDefault="009563B4" w:rsidP="0030463F">
            <w:pPr>
              <w:jc w:val="both"/>
              <w:rPr>
                <w:rFonts w:asciiTheme="minorHAnsi" w:hAnsiTheme="minorHAnsi" w:cstheme="minorHAnsi"/>
                <w:color w:val="000000"/>
                <w:sz w:val="18"/>
                <w:szCs w:val="18"/>
              </w:rPr>
            </w:pPr>
          </w:p>
          <w:p w14:paraId="6E15A158" w14:textId="73C4CC94" w:rsidR="009563B4" w:rsidRPr="004A539B" w:rsidRDefault="009563B4" w:rsidP="0030463F">
            <w:pPr>
              <w:jc w:val="both"/>
              <w:rPr>
                <w:rFonts w:asciiTheme="minorHAnsi" w:hAnsiTheme="minorHAnsi" w:cstheme="minorHAnsi"/>
                <w:sz w:val="18"/>
                <w:szCs w:val="18"/>
              </w:rPr>
            </w:pPr>
            <w:r w:rsidRPr="007357BC">
              <w:rPr>
                <w:rFonts w:asciiTheme="minorHAnsi" w:hAnsiTheme="minorHAnsi" w:cstheme="minorHAnsi"/>
                <w:color w:val="000000"/>
                <w:sz w:val="18"/>
                <w:szCs w:val="18"/>
              </w:rPr>
              <w:t xml:space="preserve">More specifically, the project will pioneer the application of two important LDN principles in Angola: (1) the development and implementation of integrated </w:t>
            </w:r>
            <w:r w:rsidR="001B248C">
              <w:rPr>
                <w:rFonts w:asciiTheme="minorHAnsi" w:hAnsiTheme="minorHAnsi" w:cstheme="minorHAnsi"/>
                <w:color w:val="000000"/>
                <w:sz w:val="18"/>
                <w:szCs w:val="18"/>
              </w:rPr>
              <w:t>land-use plan</w:t>
            </w:r>
            <w:r w:rsidRPr="007357BC">
              <w:rPr>
                <w:rFonts w:asciiTheme="minorHAnsi" w:hAnsiTheme="minorHAnsi" w:cstheme="minorHAnsi"/>
                <w:color w:val="000000"/>
                <w:sz w:val="18"/>
                <w:szCs w:val="18"/>
              </w:rPr>
              <w:t xml:space="preserve">ning tools for the management of landscapes by embedding in the planning the neutrality mechanism; and (2) the application of the LDN response hierarchy in the active management of the landscapes. The latter implies the consistent and tracked management of land to avoid, </w:t>
            </w:r>
            <w:r w:rsidRPr="004A539B">
              <w:rPr>
                <w:rFonts w:asciiTheme="minorHAnsi" w:hAnsiTheme="minorHAnsi" w:cstheme="minorHAnsi"/>
                <w:sz w:val="18"/>
                <w:szCs w:val="18"/>
              </w:rPr>
              <w:t>reduce or rever</w:t>
            </w:r>
            <w:r w:rsidR="00284783" w:rsidRPr="004A539B">
              <w:rPr>
                <w:rFonts w:asciiTheme="minorHAnsi" w:hAnsiTheme="minorHAnsi" w:cstheme="minorHAnsi"/>
                <w:sz w:val="18"/>
                <w:szCs w:val="18"/>
              </w:rPr>
              <w:t>se</w:t>
            </w:r>
            <w:r w:rsidRPr="004A539B">
              <w:rPr>
                <w:rFonts w:asciiTheme="minorHAnsi" w:hAnsiTheme="minorHAnsi" w:cstheme="minorHAnsi"/>
                <w:sz w:val="18"/>
                <w:szCs w:val="18"/>
              </w:rPr>
              <w:t xml:space="preserve"> degradation.</w:t>
            </w:r>
          </w:p>
          <w:p w14:paraId="4EDB9E7C" w14:textId="77777777" w:rsidR="009563B4" w:rsidRPr="004A539B" w:rsidRDefault="009563B4" w:rsidP="0030463F">
            <w:pPr>
              <w:jc w:val="both"/>
              <w:rPr>
                <w:rFonts w:asciiTheme="minorHAnsi" w:hAnsiTheme="minorHAnsi" w:cstheme="minorHAnsi"/>
                <w:sz w:val="18"/>
                <w:szCs w:val="18"/>
              </w:rPr>
            </w:pPr>
          </w:p>
          <w:p w14:paraId="5A5BDC14" w14:textId="77777777" w:rsidR="009563B4" w:rsidRPr="007357BC" w:rsidRDefault="009563B4" w:rsidP="0030463F">
            <w:pPr>
              <w:jc w:val="both"/>
              <w:rPr>
                <w:rFonts w:asciiTheme="minorHAnsi" w:hAnsiTheme="minorHAnsi" w:cstheme="minorHAnsi"/>
                <w:sz w:val="18"/>
                <w:szCs w:val="18"/>
              </w:rPr>
            </w:pPr>
            <w:r w:rsidRPr="004A539B">
              <w:rPr>
                <w:rFonts w:asciiTheme="minorHAnsi" w:hAnsiTheme="minorHAnsi" w:cstheme="minorHAnsi"/>
                <w:sz w:val="18"/>
                <w:szCs w:val="18"/>
              </w:rPr>
              <w:t xml:space="preserve">The present project is part of the Sustainable Forest Management Impact Program on Dryland Sustainable Landscapes </w:t>
            </w:r>
            <w:r w:rsidRPr="007357BC">
              <w:rPr>
                <w:rFonts w:asciiTheme="minorHAnsi" w:hAnsiTheme="minorHAnsi" w:cstheme="minorHAnsi"/>
                <w:sz w:val="18"/>
                <w:szCs w:val="18"/>
              </w:rPr>
              <w:t xml:space="preserve">(the Global DSL IP), approved by the GEF in 2019 and benefitting 11 countries in Africa and Asia. The objective of the </w:t>
            </w:r>
            <w:r w:rsidRPr="007357BC">
              <w:rPr>
                <w:rFonts w:asciiTheme="minorHAnsi" w:hAnsiTheme="minorHAnsi" w:cstheme="minorHAnsi"/>
                <w:sz w:val="18"/>
                <w:szCs w:val="18"/>
              </w:rPr>
              <w:lastRenderedPageBreak/>
              <w:t xml:space="preserve">Angola Child Project under the DSL IP is to support a transformational shift towards a sustainable and integrated management of multi-use dryland landscapes of the Miombo and Mopane ecoregions of Angola (Okavango and Cunene river basins) following Land Degradation Neutrality (LDN) principles. </w:t>
            </w:r>
          </w:p>
          <w:p w14:paraId="1116CDB9" w14:textId="77777777" w:rsidR="009563B4" w:rsidRPr="007357BC" w:rsidRDefault="009563B4" w:rsidP="0030463F">
            <w:pPr>
              <w:jc w:val="both"/>
              <w:rPr>
                <w:rFonts w:asciiTheme="minorHAnsi" w:hAnsiTheme="minorHAnsi" w:cstheme="minorHAnsi"/>
                <w:sz w:val="18"/>
              </w:rPr>
            </w:pPr>
          </w:p>
          <w:p w14:paraId="32DEFF9C" w14:textId="31C02F3A" w:rsidR="009563B4" w:rsidRPr="007357BC" w:rsidRDefault="009563B4" w:rsidP="0030463F">
            <w:pPr>
              <w:jc w:val="both"/>
              <w:rPr>
                <w:rFonts w:asciiTheme="minorHAnsi" w:hAnsiTheme="minorHAnsi" w:cstheme="minorBidi"/>
                <w:sz w:val="18"/>
                <w:szCs w:val="18"/>
              </w:rPr>
            </w:pPr>
            <w:r w:rsidRPr="5F57611A">
              <w:rPr>
                <w:rFonts w:asciiTheme="minorHAnsi" w:hAnsiTheme="minorHAnsi" w:cstheme="minorBidi"/>
                <w:sz w:val="18"/>
                <w:szCs w:val="18"/>
              </w:rPr>
              <w:t xml:space="preserve">The project objective will be delivered through three components. </w:t>
            </w:r>
            <w:r w:rsidRPr="5F57611A">
              <w:rPr>
                <w:rFonts w:asciiTheme="minorHAnsi" w:hAnsiTheme="minorHAnsi" w:cstheme="minorBidi"/>
                <w:b/>
                <w:sz w:val="18"/>
                <w:szCs w:val="18"/>
              </w:rPr>
              <w:t>Component 1</w:t>
            </w:r>
            <w:r w:rsidRPr="5F57611A">
              <w:rPr>
                <w:rFonts w:asciiTheme="minorHAnsi" w:hAnsiTheme="minorHAnsi" w:cstheme="minorBidi"/>
                <w:sz w:val="18"/>
                <w:szCs w:val="18"/>
              </w:rPr>
              <w:t xml:space="preserve"> focuses on the strengthening of the enabling environment and frameworks for LDN and the management of landscapes. </w:t>
            </w:r>
            <w:r w:rsidRPr="5F57611A">
              <w:rPr>
                <w:rFonts w:asciiTheme="minorHAnsi" w:hAnsiTheme="minorHAnsi" w:cstheme="minorBidi"/>
                <w:b/>
                <w:sz w:val="18"/>
                <w:szCs w:val="18"/>
              </w:rPr>
              <w:t>Component 2</w:t>
            </w:r>
            <w:r w:rsidRPr="5F57611A">
              <w:rPr>
                <w:rFonts w:asciiTheme="minorHAnsi" w:hAnsiTheme="minorHAnsi" w:cstheme="minorBidi"/>
                <w:sz w:val="18"/>
                <w:szCs w:val="18"/>
              </w:rPr>
              <w:t xml:space="preserve"> will help Angola develop an integrated </w:t>
            </w:r>
            <w:r w:rsidR="001B248C" w:rsidRPr="5F57611A">
              <w:rPr>
                <w:rFonts w:asciiTheme="minorHAnsi" w:hAnsiTheme="minorHAnsi" w:cstheme="minorBidi"/>
                <w:sz w:val="18"/>
                <w:szCs w:val="18"/>
              </w:rPr>
              <w:t>land-use plan</w:t>
            </w:r>
            <w:r w:rsidRPr="5F57611A">
              <w:rPr>
                <w:rFonts w:asciiTheme="minorHAnsi" w:hAnsiTheme="minorHAnsi" w:cstheme="minorBidi"/>
                <w:sz w:val="18"/>
                <w:szCs w:val="18"/>
              </w:rPr>
              <w:t xml:space="preserve">ning (ILUP) for two selected landscapes and support the implementation of priority actions embedded in the plan, which will have a long-term sustainability goal. The landscapes constitute sub-basins of the Okavango and Cunene river basins and are located in Cuando Cubango and Cunene provinces. The development and implementation of the ILUPs will engage all relevant stakeholders and propose solutions that reconcile </w:t>
            </w:r>
            <w:r w:rsidR="001B248C" w:rsidRPr="5F57611A">
              <w:rPr>
                <w:rFonts w:asciiTheme="minorHAnsi" w:hAnsiTheme="minorHAnsi" w:cstheme="minorBidi"/>
                <w:sz w:val="18"/>
                <w:szCs w:val="18"/>
              </w:rPr>
              <w:t xml:space="preserve">land-use </w:t>
            </w:r>
            <w:r w:rsidRPr="5F57611A">
              <w:rPr>
                <w:rFonts w:asciiTheme="minorHAnsi" w:hAnsiTheme="minorHAnsi" w:cstheme="minorBidi"/>
                <w:sz w:val="18"/>
                <w:szCs w:val="18"/>
              </w:rPr>
              <w:t>goals under various sectors. Also</w:t>
            </w:r>
            <w:r w:rsidR="684C6CD3" w:rsidRPr="5F57611A">
              <w:rPr>
                <w:rFonts w:asciiTheme="minorHAnsi" w:hAnsiTheme="minorHAnsi" w:cstheme="minorBidi"/>
                <w:sz w:val="18"/>
                <w:szCs w:val="18"/>
              </w:rPr>
              <w:t>,</w:t>
            </w:r>
            <w:r w:rsidRPr="5F57611A">
              <w:rPr>
                <w:rFonts w:asciiTheme="minorHAnsi" w:hAnsiTheme="minorHAnsi" w:cstheme="minorBidi"/>
                <w:sz w:val="18"/>
                <w:szCs w:val="18"/>
              </w:rPr>
              <w:t xml:space="preserve"> under the second Component, the project will focus on the development of sustainable value chains based on dryland products. The realization of specific SLM/SFM goals within multi-use landscapes will count on specialized rural advisory services conveyed by FAO, including the strengthening of land-users’ capacity for SLM/SFM through Farmer Field Schools (FFS) and Forest-Farm Facility (FFF) models – both being signature support programs of FAO. The project will equally strengthen support the organization of Community Seed Banks (CSB) and various other actions linked to the sustainability of </w:t>
            </w:r>
            <w:r w:rsidR="00E24249" w:rsidRPr="5F57611A">
              <w:rPr>
                <w:rFonts w:asciiTheme="minorHAnsi" w:hAnsiTheme="minorHAnsi" w:cstheme="minorBidi"/>
                <w:sz w:val="18"/>
                <w:szCs w:val="18"/>
              </w:rPr>
              <w:t xml:space="preserve">dryland </w:t>
            </w:r>
            <w:r w:rsidRPr="5F57611A">
              <w:rPr>
                <w:rFonts w:asciiTheme="minorHAnsi" w:hAnsiTheme="minorHAnsi" w:cstheme="minorBidi"/>
                <w:sz w:val="18"/>
                <w:szCs w:val="18"/>
              </w:rPr>
              <w:t xml:space="preserve">value chains and local livelihoods. </w:t>
            </w:r>
            <w:r w:rsidRPr="5F57611A">
              <w:rPr>
                <w:rFonts w:asciiTheme="minorHAnsi" w:hAnsiTheme="minorHAnsi" w:cstheme="minorBidi"/>
                <w:b/>
                <w:sz w:val="18"/>
                <w:szCs w:val="18"/>
              </w:rPr>
              <w:t>Component 3</w:t>
            </w:r>
            <w:r w:rsidRPr="5F57611A">
              <w:rPr>
                <w:rFonts w:asciiTheme="minorHAnsi" w:hAnsiTheme="minorHAnsi" w:cstheme="minorBidi"/>
                <w:sz w:val="18"/>
                <w:szCs w:val="18"/>
              </w:rPr>
              <w:t xml:space="preserve"> will </w:t>
            </w:r>
            <w:r w:rsidRPr="5F57611A">
              <w:rPr>
                <w:rFonts w:asciiTheme="minorHAnsi" w:hAnsiTheme="minorHAnsi" w:cstheme="minorBidi"/>
              </w:rPr>
              <w:t xml:space="preserve"> </w:t>
            </w:r>
            <w:r w:rsidRPr="5F57611A">
              <w:rPr>
                <w:rFonts w:asciiTheme="minorHAnsi" w:hAnsiTheme="minorHAnsi" w:cstheme="minorBidi"/>
                <w:sz w:val="18"/>
                <w:szCs w:val="18"/>
              </w:rPr>
              <w:t xml:space="preserve"> focus on strengthening national and landscape level assessment and monitoring for LDN, while facilitating national stakeholders’ participation in regional and global level initiatives under the DSL IP, which will improve Angola’s access to best practices and other capacity development resources for LDN. Among them are the Regional Exchange Mechanism (REM), which involves 6 other countries in southern African that form part of the DSL IP’s Miombo Cluster. These countries share not only the Miombo-Mopane Woodlands ecoregion and various transboundary river basins, but also common challenges and the potential to jointly develop solutions.</w:t>
            </w:r>
          </w:p>
          <w:p w14:paraId="3000CF80" w14:textId="77777777" w:rsidR="009563B4" w:rsidRPr="007357BC" w:rsidRDefault="009563B4" w:rsidP="0030463F">
            <w:pPr>
              <w:jc w:val="both"/>
              <w:rPr>
                <w:rFonts w:asciiTheme="minorHAnsi" w:hAnsiTheme="minorHAnsi" w:cstheme="minorHAnsi"/>
                <w:sz w:val="18"/>
              </w:rPr>
            </w:pPr>
          </w:p>
          <w:p w14:paraId="2A253473" w14:textId="56170E17" w:rsidR="009563B4" w:rsidRPr="007357BC" w:rsidRDefault="009563B4" w:rsidP="0030463F">
            <w:pPr>
              <w:jc w:val="both"/>
              <w:rPr>
                <w:rFonts w:asciiTheme="minorHAnsi" w:hAnsiTheme="minorHAnsi" w:cstheme="minorHAnsi"/>
                <w:sz w:val="18"/>
              </w:rPr>
            </w:pPr>
            <w:r w:rsidRPr="007357BC">
              <w:rPr>
                <w:rFonts w:asciiTheme="minorHAnsi" w:hAnsiTheme="minorHAnsi" w:cstheme="minorHAnsi"/>
                <w:sz w:val="18"/>
              </w:rPr>
              <w:t xml:space="preserve">Global Environmental Benefits (GEBs) to be generated by the project include the achievement of the following targets aligned with GEF Core Indicators: The ILUP will apply to </w:t>
            </w:r>
            <w:r w:rsidR="00406F26" w:rsidRPr="00A87DE6">
              <w:rPr>
                <w:rFonts w:asciiTheme="minorHAnsi" w:hAnsiTheme="minorHAnsi" w:cstheme="minorHAnsi"/>
                <w:sz w:val="18"/>
                <w:highlight w:val="yellow"/>
              </w:rPr>
              <w:t>at least 633,278 ha (with</w:t>
            </w:r>
            <w:r w:rsidR="00564548" w:rsidRPr="00A87DE6">
              <w:rPr>
                <w:rFonts w:asciiTheme="minorHAnsi" w:hAnsiTheme="minorHAnsi" w:cstheme="minorHAnsi"/>
                <w:sz w:val="18"/>
                <w:highlight w:val="yellow"/>
              </w:rPr>
              <w:t xml:space="preserve"> </w:t>
            </w:r>
            <w:r w:rsidR="005765DE" w:rsidRPr="00A87DE6">
              <w:rPr>
                <w:rFonts w:asciiTheme="minorHAnsi" w:hAnsiTheme="minorHAnsi" w:cstheme="minorHAnsi"/>
                <w:sz w:val="18"/>
                <w:highlight w:val="yellow"/>
              </w:rPr>
              <w:t>a roadmap plan</w:t>
            </w:r>
            <w:r w:rsidR="00564548" w:rsidRPr="00A87DE6">
              <w:rPr>
                <w:rFonts w:asciiTheme="minorHAnsi" w:hAnsiTheme="minorHAnsi" w:cstheme="minorHAnsi"/>
                <w:sz w:val="18"/>
                <w:highlight w:val="yellow"/>
              </w:rPr>
              <w:t xml:space="preserve"> to cover</w:t>
            </w:r>
            <w:r w:rsidR="00564548">
              <w:rPr>
                <w:rFonts w:asciiTheme="minorHAnsi" w:hAnsiTheme="minorHAnsi" w:cstheme="minorHAnsi"/>
                <w:sz w:val="18"/>
              </w:rPr>
              <w:t xml:space="preserve"> </w:t>
            </w:r>
            <w:r w:rsidRPr="007357BC">
              <w:rPr>
                <w:rFonts w:asciiTheme="minorHAnsi" w:hAnsiTheme="minorHAnsi" w:cstheme="minorHAnsi"/>
                <w:sz w:val="18"/>
              </w:rPr>
              <w:t>1.36 million hectares, corresponding the sum of the surfaces of Sub-basins #1 and #2</w:t>
            </w:r>
            <w:r w:rsidR="00564548">
              <w:rPr>
                <w:rFonts w:asciiTheme="minorHAnsi" w:hAnsiTheme="minorHAnsi" w:cstheme="minorHAnsi"/>
                <w:sz w:val="18"/>
              </w:rPr>
              <w:t>)</w:t>
            </w:r>
            <w:r w:rsidRPr="007357BC">
              <w:rPr>
                <w:rFonts w:asciiTheme="minorHAnsi" w:hAnsiTheme="minorHAnsi" w:cstheme="minorHAnsi"/>
                <w:sz w:val="18"/>
              </w:rPr>
              <w:t>. Within this wider landscape, priority areas of multi-use landscapes will come under improved management</w:t>
            </w:r>
            <w:r w:rsidR="00AE3380">
              <w:rPr>
                <w:rFonts w:asciiTheme="minorHAnsi" w:hAnsiTheme="minorHAnsi" w:cstheme="minorHAnsi"/>
                <w:sz w:val="18"/>
              </w:rPr>
              <w:t xml:space="preserve"> </w:t>
            </w:r>
            <w:r w:rsidR="00AE3380" w:rsidRPr="00A87DE6">
              <w:rPr>
                <w:rFonts w:asciiTheme="minorHAnsi" w:hAnsiTheme="minorHAnsi" w:cstheme="minorHAnsi"/>
                <w:sz w:val="18"/>
                <w:highlight w:val="yellow"/>
              </w:rPr>
              <w:t>through on the ground interventions</w:t>
            </w:r>
            <w:r w:rsidRPr="007357BC">
              <w:rPr>
                <w:rFonts w:asciiTheme="minorHAnsi" w:hAnsiTheme="minorHAnsi" w:cstheme="minorHAnsi"/>
                <w:sz w:val="18"/>
              </w:rPr>
              <w:t xml:space="preserve">, covering at least </w:t>
            </w:r>
            <w:r w:rsidR="00BE0406" w:rsidRPr="00BE0406">
              <w:rPr>
                <w:rFonts w:asciiTheme="minorHAnsi" w:hAnsiTheme="minorHAnsi" w:cstheme="minorHAnsi"/>
                <w:sz w:val="18"/>
              </w:rPr>
              <w:t xml:space="preserve"> 35,74</w:t>
            </w:r>
            <w:r w:rsidR="00BE0406">
              <w:rPr>
                <w:rFonts w:asciiTheme="minorHAnsi" w:hAnsiTheme="minorHAnsi" w:cstheme="minorHAnsi"/>
                <w:sz w:val="18"/>
              </w:rPr>
              <w:t>2</w:t>
            </w:r>
            <w:r w:rsidR="00BE0406" w:rsidRPr="00BE0406">
              <w:rPr>
                <w:rFonts w:asciiTheme="minorHAnsi" w:hAnsiTheme="minorHAnsi" w:cstheme="minorHAnsi"/>
                <w:sz w:val="18"/>
              </w:rPr>
              <w:t xml:space="preserve">   </w:t>
            </w:r>
            <w:r w:rsidRPr="007357BC">
              <w:rPr>
                <w:rFonts w:asciiTheme="minorHAnsi" w:hAnsiTheme="minorHAnsi" w:cstheme="minorHAnsi"/>
                <w:sz w:val="18"/>
              </w:rPr>
              <w:t xml:space="preserve">hectares, which has been classified according to land cover classes, predominant </w:t>
            </w:r>
            <w:r w:rsidR="001B248C">
              <w:rPr>
                <w:rFonts w:asciiTheme="minorHAnsi" w:hAnsiTheme="minorHAnsi" w:cstheme="minorHAnsi"/>
                <w:sz w:val="18"/>
              </w:rPr>
              <w:t>land-use sys</w:t>
            </w:r>
            <w:r w:rsidRPr="007357BC">
              <w:rPr>
                <w:rFonts w:asciiTheme="minorHAnsi" w:hAnsiTheme="minorHAnsi" w:cstheme="minorHAnsi"/>
                <w:sz w:val="18"/>
              </w:rPr>
              <w:t xml:space="preserve">tems and where socio-economic features have been studied. An initial strategy for management of intervention sites according to the LDN response hierarchy was devised. Much of GEBs in terms of land under improved management will be delivered through production systems covering some 85% of the surface area, while the remainder 15% represents would be in forest fragments to which different degrees of forest protection would apply. </w:t>
            </w:r>
          </w:p>
          <w:p w14:paraId="7059D62C" w14:textId="77777777" w:rsidR="009563B4" w:rsidRPr="007357BC" w:rsidRDefault="009563B4" w:rsidP="0030463F">
            <w:pPr>
              <w:jc w:val="both"/>
              <w:rPr>
                <w:rFonts w:asciiTheme="minorHAnsi" w:hAnsiTheme="minorHAnsi" w:cstheme="minorBidi"/>
                <w:sz w:val="18"/>
                <w:szCs w:val="18"/>
              </w:rPr>
            </w:pPr>
          </w:p>
          <w:p w14:paraId="417A513E" w14:textId="095D2854" w:rsidR="009563B4" w:rsidRPr="007357BC" w:rsidRDefault="009563B4" w:rsidP="0030463F">
            <w:pPr>
              <w:jc w:val="both"/>
              <w:rPr>
                <w:rFonts w:asciiTheme="minorHAnsi" w:hAnsiTheme="minorHAnsi" w:cstheme="minorBidi"/>
                <w:sz w:val="18"/>
                <w:szCs w:val="18"/>
              </w:rPr>
            </w:pPr>
            <w:r w:rsidRPr="5F57611A">
              <w:rPr>
                <w:rFonts w:asciiTheme="minorHAnsi" w:hAnsiTheme="minorHAnsi" w:cstheme="minorBidi"/>
                <w:sz w:val="18"/>
                <w:szCs w:val="18"/>
              </w:rPr>
              <w:t xml:space="preserve">Some </w:t>
            </w:r>
            <w:r w:rsidR="5F9DEBC3" w:rsidRPr="5F57611A">
              <w:rPr>
                <w:rFonts w:asciiTheme="minorHAnsi" w:hAnsiTheme="minorHAnsi" w:cstheme="minorBidi"/>
                <w:sz w:val="18"/>
                <w:szCs w:val="18"/>
              </w:rPr>
              <w:t>107,722</w:t>
            </w:r>
            <w:r w:rsidRPr="5F57611A">
              <w:rPr>
                <w:rFonts w:asciiTheme="minorHAnsi" w:hAnsiTheme="minorHAnsi" w:cstheme="minorBidi"/>
                <w:sz w:val="18"/>
                <w:szCs w:val="18"/>
              </w:rPr>
              <w:t xml:space="preserve"> hectares of forests will </w:t>
            </w:r>
            <w:r w:rsidR="00B835E6" w:rsidRPr="00A87DE6">
              <w:rPr>
                <w:rFonts w:asciiTheme="minorHAnsi" w:hAnsiTheme="minorHAnsi" w:cstheme="minorBidi"/>
                <w:sz w:val="18"/>
                <w:szCs w:val="18"/>
                <w:highlight w:val="yellow"/>
              </w:rPr>
              <w:t>be covered by ILUPs</w:t>
            </w:r>
            <w:r w:rsidR="00E5070D" w:rsidRPr="00A87DE6">
              <w:rPr>
                <w:rFonts w:asciiTheme="minorHAnsi" w:hAnsiTheme="minorHAnsi" w:cstheme="minorBidi"/>
                <w:sz w:val="18"/>
                <w:szCs w:val="18"/>
                <w:highlight w:val="yellow"/>
              </w:rPr>
              <w:t xml:space="preserve">, with </w:t>
            </w:r>
            <w:r w:rsidR="00A22FA5" w:rsidRPr="00A87DE6">
              <w:rPr>
                <w:rFonts w:asciiTheme="minorHAnsi" w:hAnsiTheme="minorHAnsi" w:cstheme="minorBidi"/>
                <w:sz w:val="18"/>
                <w:szCs w:val="18"/>
                <w:highlight w:val="yellow"/>
              </w:rPr>
              <w:t xml:space="preserve">at least </w:t>
            </w:r>
            <w:r w:rsidR="000503B6" w:rsidRPr="00A87DE6">
              <w:rPr>
                <w:rFonts w:asciiTheme="minorHAnsi" w:hAnsiTheme="minorHAnsi" w:cstheme="minorBidi"/>
                <w:sz w:val="18"/>
                <w:szCs w:val="18"/>
                <w:highlight w:val="yellow"/>
              </w:rPr>
              <w:t>16,825 ha</w:t>
            </w:r>
            <w:r w:rsidR="000503B6">
              <w:rPr>
                <w:rFonts w:asciiTheme="minorHAnsi" w:hAnsiTheme="minorHAnsi" w:cstheme="minorBidi"/>
                <w:sz w:val="18"/>
                <w:szCs w:val="18"/>
              </w:rPr>
              <w:t xml:space="preserve"> </w:t>
            </w:r>
            <w:r w:rsidRPr="00A87DE6">
              <w:rPr>
                <w:rFonts w:asciiTheme="minorHAnsi" w:hAnsiTheme="minorHAnsi" w:cstheme="minorBidi"/>
                <w:sz w:val="18"/>
                <w:szCs w:val="18"/>
                <w:highlight w:val="yellow"/>
              </w:rPr>
              <w:t xml:space="preserve">under </w:t>
            </w:r>
            <w:r w:rsidR="00FA4127" w:rsidRPr="00A87DE6">
              <w:rPr>
                <w:rFonts w:asciiTheme="minorHAnsi" w:hAnsiTheme="minorHAnsi" w:cstheme="minorBidi"/>
                <w:sz w:val="18"/>
                <w:szCs w:val="18"/>
                <w:highlight w:val="yellow"/>
              </w:rPr>
              <w:t>direct</w:t>
            </w:r>
            <w:r w:rsidR="00FA4127">
              <w:rPr>
                <w:rFonts w:asciiTheme="minorHAnsi" w:hAnsiTheme="minorHAnsi" w:cstheme="minorBidi"/>
                <w:sz w:val="18"/>
                <w:szCs w:val="18"/>
              </w:rPr>
              <w:t xml:space="preserve"> </w:t>
            </w:r>
            <w:r w:rsidRPr="5F57611A">
              <w:rPr>
                <w:rFonts w:asciiTheme="minorHAnsi" w:hAnsiTheme="minorHAnsi" w:cstheme="minorBidi"/>
                <w:sz w:val="18"/>
                <w:szCs w:val="18"/>
              </w:rPr>
              <w:t>improved management through the adoption suitable sustainable forest management (SFM) techniques</w:t>
            </w:r>
            <w:r w:rsidR="006D76EF">
              <w:rPr>
                <w:rFonts w:asciiTheme="minorHAnsi" w:hAnsiTheme="minorHAnsi" w:cstheme="minorBidi"/>
                <w:sz w:val="18"/>
                <w:szCs w:val="18"/>
              </w:rPr>
              <w:t>,</w:t>
            </w:r>
            <w:r w:rsidRPr="5F57611A">
              <w:rPr>
                <w:rFonts w:asciiTheme="minorHAnsi" w:hAnsiTheme="minorHAnsi" w:cstheme="minorBidi"/>
                <w:sz w:val="18"/>
                <w:szCs w:val="18"/>
              </w:rPr>
              <w:t xml:space="preserve"> where ecosystem functions or structure can be potentially restored and generate multiple benefits. The ecosystem rehabilitation/restoration strategy has great potential for replication, 1,000 ha at a time. Another approach to forest protection includes the development of Community-Based Forest Management (CBFM), a promising land stewardship model that is relatively new in Angola but has good chances of being proven sustainable, if adequately supported. As for other </w:t>
            </w:r>
            <w:r w:rsidR="00D07369" w:rsidRPr="00A87DE6">
              <w:rPr>
                <w:rFonts w:asciiTheme="minorHAnsi" w:hAnsiTheme="minorHAnsi" w:cstheme="minorBidi"/>
                <w:sz w:val="18"/>
                <w:szCs w:val="18"/>
                <w:highlight w:val="yellow"/>
              </w:rPr>
              <w:t>land uses</w:t>
            </w:r>
            <w:r w:rsidR="005076A1" w:rsidRPr="00A87DE6">
              <w:rPr>
                <w:rFonts w:asciiTheme="minorHAnsi" w:hAnsiTheme="minorHAnsi" w:cstheme="minorBidi"/>
                <w:sz w:val="18"/>
                <w:szCs w:val="18"/>
                <w:highlight w:val="yellow"/>
              </w:rPr>
              <w:t>, ILUPs</w:t>
            </w:r>
            <w:r w:rsidRPr="00A87DE6">
              <w:rPr>
                <w:rFonts w:asciiTheme="minorHAnsi" w:hAnsiTheme="minorHAnsi" w:cstheme="minorBidi"/>
                <w:sz w:val="18"/>
                <w:szCs w:val="18"/>
                <w:highlight w:val="yellow"/>
              </w:rPr>
              <w:t xml:space="preserve"> </w:t>
            </w:r>
            <w:r w:rsidR="00AA372D" w:rsidRPr="00A87DE6">
              <w:rPr>
                <w:rFonts w:asciiTheme="minorHAnsi" w:hAnsiTheme="minorHAnsi" w:cstheme="minorBidi"/>
                <w:sz w:val="18"/>
                <w:szCs w:val="18"/>
                <w:highlight w:val="yellow"/>
              </w:rPr>
              <w:t xml:space="preserve">will cover at least </w:t>
            </w:r>
            <w:r w:rsidR="0044509B" w:rsidRPr="00A87DE6">
              <w:rPr>
                <w:rFonts w:asciiTheme="minorHAnsi" w:hAnsiTheme="minorHAnsi" w:cstheme="minorBidi"/>
                <w:sz w:val="18"/>
                <w:szCs w:val="18"/>
                <w:highlight w:val="yellow"/>
              </w:rPr>
              <w:t>525</w:t>
            </w:r>
            <w:r w:rsidR="006507DA" w:rsidRPr="00A87DE6">
              <w:rPr>
                <w:rFonts w:asciiTheme="minorHAnsi" w:hAnsiTheme="minorHAnsi" w:cstheme="minorBidi"/>
                <w:sz w:val="18"/>
                <w:szCs w:val="18"/>
                <w:highlight w:val="yellow"/>
              </w:rPr>
              <w:t>,556 ha</w:t>
            </w:r>
            <w:r w:rsidR="006C37FC" w:rsidRPr="00A87DE6">
              <w:rPr>
                <w:rFonts w:asciiTheme="minorHAnsi" w:hAnsiTheme="minorHAnsi" w:cstheme="minorBidi"/>
                <w:sz w:val="18"/>
                <w:szCs w:val="18"/>
                <w:highlight w:val="yellow"/>
              </w:rPr>
              <w:t>, of which</w:t>
            </w:r>
            <w:r w:rsidR="00857A83" w:rsidRPr="00A87DE6">
              <w:rPr>
                <w:rFonts w:asciiTheme="minorHAnsi" w:hAnsiTheme="minorHAnsi" w:cstheme="minorBidi"/>
                <w:sz w:val="18"/>
                <w:szCs w:val="18"/>
                <w:highlight w:val="yellow"/>
              </w:rPr>
              <w:t xml:space="preserve"> croplands</w:t>
            </w:r>
            <w:r w:rsidR="00F21553" w:rsidRPr="00A87DE6">
              <w:rPr>
                <w:rFonts w:asciiTheme="minorHAnsi" w:hAnsiTheme="minorHAnsi" w:cstheme="minorBidi"/>
                <w:sz w:val="18"/>
                <w:szCs w:val="18"/>
                <w:highlight w:val="yellow"/>
              </w:rPr>
              <w:t xml:space="preserve"> account for 217,056 ha</w:t>
            </w:r>
            <w:r w:rsidR="002579D0" w:rsidRPr="00A87DE6">
              <w:rPr>
                <w:rFonts w:asciiTheme="minorHAnsi" w:hAnsiTheme="minorHAnsi" w:cstheme="minorBidi"/>
                <w:sz w:val="18"/>
                <w:szCs w:val="18"/>
                <w:highlight w:val="yellow"/>
              </w:rPr>
              <w:t xml:space="preserve">, rangelands </w:t>
            </w:r>
            <w:r w:rsidR="00D14793" w:rsidRPr="00A87DE6">
              <w:rPr>
                <w:rFonts w:asciiTheme="minorHAnsi" w:hAnsiTheme="minorHAnsi" w:cstheme="minorBidi"/>
                <w:sz w:val="18"/>
                <w:szCs w:val="18"/>
                <w:highlight w:val="yellow"/>
              </w:rPr>
              <w:t>141,200 ha</w:t>
            </w:r>
            <w:r w:rsidR="00A5749F" w:rsidRPr="00A87DE6">
              <w:rPr>
                <w:rFonts w:asciiTheme="minorHAnsi" w:hAnsiTheme="minorHAnsi" w:cstheme="minorBidi"/>
                <w:sz w:val="18"/>
                <w:szCs w:val="18"/>
                <w:highlight w:val="yellow"/>
              </w:rPr>
              <w:t xml:space="preserve">, and </w:t>
            </w:r>
            <w:r w:rsidR="00F404D0" w:rsidRPr="00A87DE6">
              <w:rPr>
                <w:rFonts w:asciiTheme="minorHAnsi" w:hAnsiTheme="minorHAnsi" w:cstheme="minorBidi"/>
                <w:sz w:val="18"/>
                <w:szCs w:val="18"/>
                <w:highlight w:val="yellow"/>
              </w:rPr>
              <w:t>167,300</w:t>
            </w:r>
            <w:r w:rsidR="0023420F" w:rsidRPr="00A87DE6">
              <w:rPr>
                <w:rFonts w:asciiTheme="minorHAnsi" w:hAnsiTheme="minorHAnsi" w:cstheme="minorBidi"/>
                <w:sz w:val="18"/>
                <w:szCs w:val="18"/>
                <w:highlight w:val="yellow"/>
              </w:rPr>
              <w:t xml:space="preserve"> ha</w:t>
            </w:r>
            <w:r w:rsidR="00F404D0" w:rsidRPr="00A87DE6">
              <w:rPr>
                <w:rFonts w:asciiTheme="minorHAnsi" w:hAnsiTheme="minorHAnsi" w:cstheme="minorBidi"/>
                <w:sz w:val="18"/>
                <w:szCs w:val="18"/>
                <w:highlight w:val="yellow"/>
              </w:rPr>
              <w:t xml:space="preserve"> of </w:t>
            </w:r>
            <w:r w:rsidR="00A5749F" w:rsidRPr="00A87DE6">
              <w:rPr>
                <w:rFonts w:asciiTheme="minorHAnsi" w:hAnsiTheme="minorHAnsi" w:cstheme="minorBidi"/>
                <w:sz w:val="18"/>
                <w:szCs w:val="18"/>
                <w:highlight w:val="yellow"/>
              </w:rPr>
              <w:t>mixed land uses</w:t>
            </w:r>
            <w:r w:rsidR="005D143E">
              <w:rPr>
                <w:rFonts w:asciiTheme="minorHAnsi" w:hAnsiTheme="minorHAnsi" w:cstheme="minorBidi"/>
                <w:sz w:val="18"/>
                <w:szCs w:val="18"/>
              </w:rPr>
              <w:t>.</w:t>
            </w:r>
          </w:p>
          <w:p w14:paraId="0C8B89B9" w14:textId="77777777" w:rsidR="009563B4" w:rsidRPr="007357BC" w:rsidRDefault="009563B4" w:rsidP="0030463F">
            <w:pPr>
              <w:jc w:val="both"/>
              <w:rPr>
                <w:rFonts w:asciiTheme="minorHAnsi" w:hAnsiTheme="minorHAnsi" w:cstheme="minorHAnsi"/>
                <w:sz w:val="18"/>
              </w:rPr>
            </w:pPr>
          </w:p>
          <w:p w14:paraId="602F3BA6" w14:textId="4CBE7123" w:rsidR="009563B4" w:rsidRPr="007357BC" w:rsidRDefault="009563B4" w:rsidP="0030463F">
            <w:pPr>
              <w:jc w:val="both"/>
              <w:rPr>
                <w:rFonts w:asciiTheme="minorHAnsi" w:hAnsiTheme="minorHAnsi" w:cstheme="minorBidi"/>
                <w:sz w:val="18"/>
                <w:szCs w:val="18"/>
              </w:rPr>
            </w:pPr>
            <w:r w:rsidRPr="5F57611A">
              <w:rPr>
                <w:rFonts w:asciiTheme="minorHAnsi" w:hAnsiTheme="minorHAnsi" w:cstheme="minorBidi"/>
                <w:sz w:val="18"/>
                <w:szCs w:val="18"/>
              </w:rPr>
              <w:t xml:space="preserve">. In addition, </w:t>
            </w:r>
            <w:r w:rsidR="00676BBE" w:rsidRPr="00A87DE6">
              <w:rPr>
                <w:rFonts w:asciiTheme="minorHAnsi" w:hAnsiTheme="minorHAnsi" w:cstheme="minorBidi"/>
                <w:sz w:val="18"/>
                <w:szCs w:val="18"/>
                <w:highlight w:val="yellow"/>
              </w:rPr>
              <w:t>direct inter</w:t>
            </w:r>
            <w:r w:rsidR="00643449" w:rsidRPr="00A87DE6">
              <w:rPr>
                <w:rFonts w:asciiTheme="minorHAnsi" w:hAnsiTheme="minorHAnsi" w:cstheme="minorBidi"/>
                <w:sz w:val="18"/>
                <w:szCs w:val="18"/>
                <w:highlight w:val="yellow"/>
              </w:rPr>
              <w:t>v</w:t>
            </w:r>
            <w:r w:rsidR="00676BBE" w:rsidRPr="00A87DE6">
              <w:rPr>
                <w:rFonts w:asciiTheme="minorHAnsi" w:hAnsiTheme="minorHAnsi" w:cstheme="minorBidi"/>
                <w:sz w:val="18"/>
                <w:szCs w:val="18"/>
                <w:highlight w:val="yellow"/>
              </w:rPr>
              <w:t>ention</w:t>
            </w:r>
            <w:r w:rsidR="00643449" w:rsidRPr="00A87DE6">
              <w:rPr>
                <w:rFonts w:asciiTheme="minorHAnsi" w:hAnsiTheme="minorHAnsi" w:cstheme="minorBidi"/>
                <w:sz w:val="18"/>
                <w:szCs w:val="18"/>
                <w:highlight w:val="yellow"/>
              </w:rPr>
              <w:t>s</w:t>
            </w:r>
            <w:r w:rsidR="00676BBE" w:rsidRPr="00A87DE6">
              <w:rPr>
                <w:rFonts w:asciiTheme="minorHAnsi" w:hAnsiTheme="minorHAnsi" w:cstheme="minorBidi"/>
                <w:sz w:val="18"/>
                <w:szCs w:val="18"/>
                <w:highlight w:val="yellow"/>
              </w:rPr>
              <w:t xml:space="preserve"> on croplands</w:t>
            </w:r>
            <w:r w:rsidR="005E1E69" w:rsidRPr="00A87DE6">
              <w:rPr>
                <w:rFonts w:asciiTheme="minorHAnsi" w:hAnsiTheme="minorHAnsi" w:cstheme="minorBidi"/>
                <w:sz w:val="18"/>
                <w:szCs w:val="18"/>
                <w:highlight w:val="yellow"/>
              </w:rPr>
              <w:t xml:space="preserve"> and rangelands are expected to </w:t>
            </w:r>
            <w:r w:rsidR="005D339C" w:rsidRPr="00A87DE6">
              <w:rPr>
                <w:rFonts w:asciiTheme="minorHAnsi" w:hAnsiTheme="minorHAnsi" w:cstheme="minorBidi"/>
                <w:sz w:val="18"/>
                <w:szCs w:val="18"/>
                <w:highlight w:val="yellow"/>
              </w:rPr>
              <w:t>cover an area</w:t>
            </w:r>
            <w:r w:rsidR="00292F15" w:rsidRPr="00A87DE6">
              <w:rPr>
                <w:rFonts w:asciiTheme="minorHAnsi" w:hAnsiTheme="minorHAnsi" w:cstheme="minorBidi"/>
                <w:sz w:val="18"/>
                <w:szCs w:val="18"/>
                <w:highlight w:val="yellow"/>
              </w:rPr>
              <w:t xml:space="preserve"> of  4,92</w:t>
            </w:r>
            <w:r w:rsidR="00FA5155" w:rsidRPr="00A87DE6">
              <w:rPr>
                <w:rFonts w:asciiTheme="minorHAnsi" w:hAnsiTheme="minorHAnsi" w:cstheme="minorBidi"/>
                <w:sz w:val="18"/>
                <w:szCs w:val="18"/>
                <w:highlight w:val="yellow"/>
              </w:rPr>
              <w:t>9 ha</w:t>
            </w:r>
            <w:r w:rsidR="00292F15" w:rsidRPr="00A87DE6">
              <w:rPr>
                <w:rFonts w:asciiTheme="minorHAnsi" w:hAnsiTheme="minorHAnsi" w:cstheme="minorBidi"/>
                <w:sz w:val="18"/>
                <w:szCs w:val="18"/>
                <w:highlight w:val="yellow"/>
              </w:rPr>
              <w:t xml:space="preserve"> and </w:t>
            </w:r>
            <w:r w:rsidR="00414466" w:rsidRPr="00A87DE6">
              <w:rPr>
                <w:rFonts w:asciiTheme="minorHAnsi" w:hAnsiTheme="minorHAnsi" w:cstheme="minorBidi"/>
                <w:sz w:val="18"/>
                <w:szCs w:val="18"/>
                <w:highlight w:val="yellow"/>
              </w:rPr>
              <w:t xml:space="preserve"> 13,988</w:t>
            </w:r>
            <w:r w:rsidR="00FA5155" w:rsidRPr="00A87DE6">
              <w:rPr>
                <w:rFonts w:asciiTheme="minorHAnsi" w:hAnsiTheme="minorHAnsi" w:cstheme="minorBidi"/>
                <w:sz w:val="18"/>
                <w:szCs w:val="18"/>
                <w:highlight w:val="yellow"/>
              </w:rPr>
              <w:t xml:space="preserve"> ha</w:t>
            </w:r>
            <w:r w:rsidR="00414466" w:rsidRPr="00A87DE6">
              <w:rPr>
                <w:rFonts w:asciiTheme="minorHAnsi" w:hAnsiTheme="minorHAnsi" w:cstheme="minorBidi"/>
                <w:sz w:val="18"/>
                <w:szCs w:val="18"/>
                <w:highlight w:val="yellow"/>
              </w:rPr>
              <w:t xml:space="preserve"> respectively.</w:t>
            </w:r>
            <w:r w:rsidR="00292F15" w:rsidRPr="00A87DE6">
              <w:rPr>
                <w:rFonts w:asciiTheme="minorHAnsi" w:hAnsiTheme="minorHAnsi" w:cstheme="minorBidi"/>
                <w:sz w:val="18"/>
                <w:szCs w:val="18"/>
                <w:highlight w:val="yellow"/>
              </w:rPr>
              <w:t xml:space="preserve"> </w:t>
            </w:r>
            <w:r w:rsidR="005D339C" w:rsidRPr="00A87DE6">
              <w:rPr>
                <w:rFonts w:asciiTheme="minorHAnsi" w:hAnsiTheme="minorHAnsi" w:cstheme="minorBidi"/>
                <w:sz w:val="18"/>
                <w:szCs w:val="18"/>
                <w:highlight w:val="yellow"/>
              </w:rPr>
              <w:t xml:space="preserve"> </w:t>
            </w:r>
            <w:r w:rsidR="004D5ECD" w:rsidRPr="00A87DE6">
              <w:rPr>
                <w:rFonts w:asciiTheme="minorHAnsi" w:hAnsiTheme="minorHAnsi" w:cstheme="minorBidi"/>
                <w:sz w:val="18"/>
                <w:szCs w:val="18"/>
                <w:highlight w:val="yellow"/>
              </w:rPr>
              <w:t>Within the and beyond the targeted landscapes, there is scope for identifying additional areas for improved managemen</w:t>
            </w:r>
            <w:r w:rsidR="004D5ECD" w:rsidRPr="5F57611A">
              <w:rPr>
                <w:rFonts w:asciiTheme="minorHAnsi" w:hAnsiTheme="minorHAnsi" w:cstheme="minorBidi"/>
                <w:sz w:val="18"/>
                <w:szCs w:val="18"/>
              </w:rPr>
              <w:t>t</w:t>
            </w:r>
            <w:r w:rsidR="007A679A">
              <w:rPr>
                <w:rFonts w:asciiTheme="minorHAnsi" w:hAnsiTheme="minorHAnsi" w:cstheme="minorBidi"/>
                <w:sz w:val="18"/>
                <w:szCs w:val="18"/>
              </w:rPr>
              <w:t>.</w:t>
            </w:r>
          </w:p>
          <w:p w14:paraId="0F10270D" w14:textId="77777777" w:rsidR="009563B4" w:rsidRPr="007357BC" w:rsidRDefault="009563B4" w:rsidP="0030463F">
            <w:pPr>
              <w:jc w:val="both"/>
              <w:rPr>
                <w:rFonts w:asciiTheme="minorHAnsi" w:hAnsiTheme="minorHAnsi" w:cstheme="minorHAnsi"/>
                <w:sz w:val="18"/>
              </w:rPr>
            </w:pPr>
          </w:p>
          <w:p w14:paraId="79B6C5BB" w14:textId="41071EA9" w:rsidR="009563B4" w:rsidRPr="007357BC" w:rsidRDefault="009563B4" w:rsidP="0030463F">
            <w:pPr>
              <w:jc w:val="both"/>
              <w:rPr>
                <w:rFonts w:asciiTheme="minorHAnsi" w:hAnsiTheme="minorHAnsi" w:cstheme="minorBidi"/>
                <w:sz w:val="18"/>
                <w:szCs w:val="18"/>
              </w:rPr>
            </w:pPr>
            <w:r w:rsidRPr="7EED7827">
              <w:rPr>
                <w:rFonts w:asciiTheme="minorHAnsi" w:hAnsiTheme="minorHAnsi" w:cstheme="minorBidi"/>
                <w:sz w:val="18"/>
                <w:szCs w:val="18"/>
              </w:rPr>
              <w:t xml:space="preserve">Furthermore, an improved and integrated management of land, soil, water and forests resources will generate GEBs through recognized AFOLU methodologies, resulting in the mitigation of </w:t>
            </w:r>
            <w:r w:rsidR="0008266E" w:rsidRPr="0008266E">
              <w:rPr>
                <w:rFonts w:asciiTheme="minorHAnsi" w:hAnsiTheme="minorHAnsi" w:cstheme="minorBidi"/>
                <w:sz w:val="18"/>
                <w:szCs w:val="18"/>
              </w:rPr>
              <w:t>1,047,911</w:t>
            </w:r>
            <w:r w:rsidR="00095450" w:rsidRPr="7EED7827">
              <w:rPr>
                <w:rFonts w:asciiTheme="minorHAnsi" w:hAnsiTheme="minorHAnsi" w:cstheme="minorBidi"/>
                <w:sz w:val="18"/>
                <w:szCs w:val="18"/>
              </w:rPr>
              <w:t xml:space="preserve"> tCO2e</w:t>
            </w:r>
            <w:r w:rsidRPr="7EED7827">
              <w:rPr>
                <w:rFonts w:asciiTheme="minorHAnsi" w:hAnsiTheme="minorHAnsi" w:cstheme="minorBidi"/>
                <w:sz w:val="18"/>
                <w:szCs w:val="18"/>
              </w:rPr>
              <w:t xml:space="preserve"> emissions over a 20-year period. </w:t>
            </w:r>
          </w:p>
          <w:p w14:paraId="73CC96FC" w14:textId="77777777" w:rsidR="009563B4" w:rsidRPr="007357BC" w:rsidRDefault="009563B4" w:rsidP="0030463F">
            <w:pPr>
              <w:jc w:val="both"/>
              <w:rPr>
                <w:rFonts w:asciiTheme="minorHAnsi" w:hAnsiTheme="minorHAnsi" w:cstheme="minorHAnsi"/>
                <w:sz w:val="18"/>
                <w:szCs w:val="18"/>
              </w:rPr>
            </w:pPr>
          </w:p>
          <w:p w14:paraId="0AC92BB9" w14:textId="538E5973" w:rsidR="009563B4" w:rsidRDefault="009563B4" w:rsidP="0030463F">
            <w:pPr>
              <w:jc w:val="both"/>
              <w:rPr>
                <w:rFonts w:asciiTheme="minorHAnsi" w:hAnsiTheme="minorHAnsi" w:cstheme="minorBidi"/>
                <w:sz w:val="18"/>
                <w:szCs w:val="18"/>
              </w:rPr>
            </w:pPr>
            <w:r w:rsidRPr="5F57611A">
              <w:rPr>
                <w:rFonts w:asciiTheme="minorHAnsi" w:hAnsiTheme="minorHAnsi" w:cstheme="minorBidi"/>
                <w:sz w:val="18"/>
                <w:szCs w:val="18"/>
              </w:rPr>
              <w:t xml:space="preserve">Up to </w:t>
            </w:r>
            <w:r w:rsidR="394B22B5" w:rsidRPr="5F57611A">
              <w:rPr>
                <w:rFonts w:asciiTheme="minorHAnsi" w:hAnsiTheme="minorHAnsi" w:cstheme="minorBidi"/>
                <w:sz w:val="18"/>
                <w:szCs w:val="18"/>
              </w:rPr>
              <w:t>5</w:t>
            </w:r>
            <w:r w:rsidRPr="5F57611A">
              <w:rPr>
                <w:rFonts w:asciiTheme="minorHAnsi" w:hAnsiTheme="minorHAnsi" w:cstheme="minorBidi"/>
                <w:sz w:val="18"/>
                <w:szCs w:val="18"/>
              </w:rPr>
              <w:t>,000 people (</w:t>
            </w:r>
            <w:r w:rsidR="79F51EA3" w:rsidRPr="5F57611A">
              <w:rPr>
                <w:rFonts w:asciiTheme="minorHAnsi" w:hAnsiTheme="minorHAnsi" w:cstheme="minorBidi"/>
                <w:sz w:val="18"/>
                <w:szCs w:val="18"/>
              </w:rPr>
              <w:t>45% Women</w:t>
            </w:r>
            <w:r w:rsidRPr="5F57611A">
              <w:rPr>
                <w:rFonts w:asciiTheme="minorHAnsi" w:hAnsiTheme="minorHAnsi" w:cstheme="minorBidi"/>
                <w:sz w:val="18"/>
                <w:szCs w:val="18"/>
              </w:rPr>
              <w:t>) are expected to benefit directly from the project’s activities within the two selected landscapes in southern Angola, and a much larger number will benefit indirectly</w:t>
            </w:r>
            <w:r w:rsidR="5D7A5587" w:rsidRPr="5F57611A">
              <w:rPr>
                <w:rFonts w:asciiTheme="minorHAnsi" w:hAnsiTheme="minorHAnsi" w:cstheme="minorBidi"/>
                <w:sz w:val="18"/>
                <w:szCs w:val="18"/>
              </w:rPr>
              <w:t>,</w:t>
            </w:r>
            <w:r w:rsidRPr="5F57611A">
              <w:rPr>
                <w:rFonts w:asciiTheme="minorHAnsi" w:hAnsiTheme="minorHAnsi" w:cstheme="minorBidi"/>
                <w:sz w:val="18"/>
                <w:szCs w:val="18"/>
              </w:rPr>
              <w:t xml:space="preserve"> if the wider landscape, which will be object of a </w:t>
            </w:r>
            <w:r w:rsidR="001B248C" w:rsidRPr="5F57611A">
              <w:rPr>
                <w:rFonts w:asciiTheme="minorHAnsi" w:hAnsiTheme="minorHAnsi" w:cstheme="minorBidi"/>
                <w:sz w:val="18"/>
                <w:szCs w:val="18"/>
              </w:rPr>
              <w:t xml:space="preserve">land-use </w:t>
            </w:r>
            <w:r w:rsidRPr="5F57611A">
              <w:rPr>
                <w:rFonts w:asciiTheme="minorHAnsi" w:hAnsiTheme="minorHAnsi" w:cstheme="minorBidi"/>
                <w:sz w:val="18"/>
                <w:szCs w:val="18"/>
              </w:rPr>
              <w:t>zoning, is considered. Gender mainstreaming will be addressed by the project as a cross-cutting issue, including with respect to the access to land, natural resources, income and capacity development opportunities.</w:t>
            </w:r>
          </w:p>
          <w:p w14:paraId="170A6C45" w14:textId="05E83E3B" w:rsidR="003B7B0F" w:rsidRDefault="003B7B0F" w:rsidP="0030463F">
            <w:pPr>
              <w:jc w:val="both"/>
              <w:rPr>
                <w:rFonts w:asciiTheme="minorHAnsi" w:hAnsiTheme="minorHAnsi" w:cstheme="minorBidi"/>
                <w:sz w:val="18"/>
                <w:szCs w:val="18"/>
              </w:rPr>
            </w:pPr>
          </w:p>
          <w:p w14:paraId="39A80286" w14:textId="36523F2C" w:rsidR="003B7B0F" w:rsidRPr="00A87DE6" w:rsidRDefault="002943B5" w:rsidP="0030463F">
            <w:pPr>
              <w:jc w:val="both"/>
              <w:rPr>
                <w:rFonts w:asciiTheme="minorHAnsi" w:hAnsiTheme="minorHAnsi" w:cstheme="minorBidi"/>
                <w:sz w:val="18"/>
                <w:szCs w:val="18"/>
              </w:rPr>
            </w:pPr>
            <w:r w:rsidRPr="00A87DE6">
              <w:rPr>
                <w:rFonts w:asciiTheme="minorHAnsi" w:hAnsiTheme="minorHAnsi" w:cstheme="minorBidi"/>
                <w:sz w:val="18"/>
                <w:szCs w:val="18"/>
                <w:highlight w:val="yellow"/>
              </w:rPr>
              <w:t>The project will address the Covid19 crisis in a multiple way, mainstreaming Covid19 issues into the project interventions and responding to the recommendations of the UN Framework for the Immediate Socio-economic Response to Covid19.</w:t>
            </w:r>
            <w:r w:rsidRPr="00A87DE6">
              <w:rPr>
                <w:rFonts w:asciiTheme="minorHAnsi" w:hAnsiTheme="minorHAnsi" w:cstheme="minorBidi"/>
                <w:sz w:val="18"/>
                <w:szCs w:val="18"/>
              </w:rPr>
              <w:t> </w:t>
            </w:r>
          </w:p>
          <w:p w14:paraId="629F1A84" w14:textId="77777777" w:rsidR="009563B4" w:rsidRPr="007357BC" w:rsidRDefault="009563B4" w:rsidP="0030463F">
            <w:pPr>
              <w:jc w:val="both"/>
              <w:rPr>
                <w:rFonts w:asciiTheme="minorHAnsi" w:hAnsiTheme="minorHAnsi" w:cstheme="minorHAnsi"/>
              </w:rPr>
            </w:pPr>
          </w:p>
        </w:tc>
      </w:tr>
    </w:tbl>
    <w:p w14:paraId="1D5BD2A1" w14:textId="77777777" w:rsidR="009563B4" w:rsidRPr="00CE1EA7" w:rsidRDefault="009563B4" w:rsidP="009563B4">
      <w:pPr>
        <w:sectPr w:rsidR="009563B4" w:rsidRPr="00CE1EA7" w:rsidSect="00903274">
          <w:headerReference w:type="default" r:id="rId13"/>
          <w:footerReference w:type="default" r:id="rId14"/>
          <w:pgSz w:w="11906" w:h="16838" w:code="9"/>
          <w:pgMar w:top="1440" w:right="1440" w:bottom="1440" w:left="1440" w:header="720" w:footer="720" w:gutter="0"/>
          <w:cols w:space="720"/>
          <w:docGrid w:linePitch="360"/>
        </w:sectPr>
      </w:pPr>
    </w:p>
    <w:p w14:paraId="66AC362A" w14:textId="784D7F27" w:rsidR="009563B4" w:rsidRPr="007273B3" w:rsidRDefault="009563B4" w:rsidP="009563B4">
      <w:pPr>
        <w:pStyle w:val="Heading1"/>
        <w:rPr>
          <w:rFonts w:asciiTheme="minorHAnsi" w:hAnsiTheme="minorHAnsi" w:cstheme="minorHAnsi"/>
          <w:color w:val="000000" w:themeColor="text1"/>
          <w:sz w:val="20"/>
          <w:szCs w:val="20"/>
        </w:rPr>
      </w:pPr>
      <w:bookmarkStart w:id="4" w:name="_Toc58398580"/>
      <w:r w:rsidRPr="007273B3">
        <w:rPr>
          <w:rFonts w:asciiTheme="minorHAnsi" w:hAnsiTheme="minorHAnsi" w:cstheme="minorHAnsi"/>
          <w:color w:val="000000" w:themeColor="text1"/>
          <w:sz w:val="20"/>
          <w:szCs w:val="20"/>
        </w:rPr>
        <w:lastRenderedPageBreak/>
        <w:t>TABLE OF CONTENT</w:t>
      </w:r>
      <w:r w:rsidR="00452C85" w:rsidRPr="007273B3">
        <w:rPr>
          <w:rFonts w:asciiTheme="minorHAnsi" w:hAnsiTheme="minorHAnsi" w:cstheme="minorHAnsi"/>
          <w:color w:val="000000" w:themeColor="text1"/>
          <w:sz w:val="20"/>
          <w:szCs w:val="20"/>
        </w:rPr>
        <w:t>S</w:t>
      </w:r>
      <w:bookmarkEnd w:id="4"/>
    </w:p>
    <w:p w14:paraId="076247E0" w14:textId="403F7100" w:rsidR="003C3308" w:rsidRDefault="00E809DB">
      <w:pPr>
        <w:pStyle w:val="TOC1"/>
        <w:tabs>
          <w:tab w:val="right" w:leader="dot" w:pos="9736"/>
        </w:tabs>
        <w:rPr>
          <w:rFonts w:eastAsiaTheme="minorEastAsia" w:cstheme="minorBidi"/>
          <w:b w:val="0"/>
          <w:bCs w:val="0"/>
          <w:caps w:val="0"/>
          <w:noProof/>
          <w:sz w:val="22"/>
          <w:szCs w:val="22"/>
          <w:lang w:val="en-US" w:eastAsia="en-US"/>
        </w:rPr>
      </w:pPr>
      <w:r>
        <w:rPr>
          <w:b w:val="0"/>
          <w:bCs w:val="0"/>
          <w:caps w:val="0"/>
        </w:rPr>
        <w:fldChar w:fldCharType="begin"/>
      </w:r>
      <w:r>
        <w:rPr>
          <w:b w:val="0"/>
          <w:bCs w:val="0"/>
          <w:caps w:val="0"/>
        </w:rPr>
        <w:instrText xml:space="preserve"> TOC \o "1-2" \h \z \u </w:instrText>
      </w:r>
      <w:r>
        <w:rPr>
          <w:b w:val="0"/>
          <w:bCs w:val="0"/>
          <w:caps w:val="0"/>
        </w:rPr>
        <w:fldChar w:fldCharType="separate"/>
      </w:r>
      <w:hyperlink w:anchor="_Toc58398577" w:history="1">
        <w:r w:rsidR="003C3308" w:rsidRPr="001C5832">
          <w:rPr>
            <w:rStyle w:val="Hyperlink"/>
            <w:noProof/>
          </w:rPr>
          <w:t>SIGNATURE PAGE</w:t>
        </w:r>
        <w:r w:rsidR="003C3308">
          <w:rPr>
            <w:noProof/>
            <w:webHidden/>
          </w:rPr>
          <w:tab/>
        </w:r>
        <w:r w:rsidR="003C3308">
          <w:rPr>
            <w:noProof/>
            <w:webHidden/>
          </w:rPr>
          <w:fldChar w:fldCharType="begin"/>
        </w:r>
        <w:r w:rsidR="003C3308">
          <w:rPr>
            <w:noProof/>
            <w:webHidden/>
          </w:rPr>
          <w:instrText xml:space="preserve"> PAGEREF _Toc58398577 \h </w:instrText>
        </w:r>
        <w:r w:rsidR="003C3308">
          <w:rPr>
            <w:noProof/>
            <w:webHidden/>
          </w:rPr>
        </w:r>
        <w:r w:rsidR="003C3308">
          <w:rPr>
            <w:noProof/>
            <w:webHidden/>
          </w:rPr>
          <w:fldChar w:fldCharType="separate"/>
        </w:r>
        <w:r w:rsidR="003C3308">
          <w:rPr>
            <w:noProof/>
            <w:webHidden/>
          </w:rPr>
          <w:t>1</w:t>
        </w:r>
        <w:r w:rsidR="003C3308">
          <w:rPr>
            <w:noProof/>
            <w:webHidden/>
          </w:rPr>
          <w:fldChar w:fldCharType="end"/>
        </w:r>
      </w:hyperlink>
    </w:p>
    <w:p w14:paraId="606BFEEA" w14:textId="33372955" w:rsidR="003C3308" w:rsidRDefault="000C73F8">
      <w:pPr>
        <w:pStyle w:val="TOC1"/>
        <w:tabs>
          <w:tab w:val="right" w:leader="dot" w:pos="9736"/>
        </w:tabs>
        <w:rPr>
          <w:rFonts w:eastAsiaTheme="minorEastAsia" w:cstheme="minorBidi"/>
          <w:b w:val="0"/>
          <w:bCs w:val="0"/>
          <w:caps w:val="0"/>
          <w:noProof/>
          <w:sz w:val="22"/>
          <w:szCs w:val="22"/>
          <w:lang w:val="en-US" w:eastAsia="en-US"/>
        </w:rPr>
      </w:pPr>
      <w:hyperlink w:anchor="_Toc58398578" w:history="1">
        <w:r w:rsidR="003C3308" w:rsidRPr="001C5832">
          <w:rPr>
            <w:rStyle w:val="Hyperlink"/>
            <w:noProof/>
          </w:rPr>
          <w:t>COVER PAGE: FAO-GEF PROJECT DOCUMENT</w:t>
        </w:r>
        <w:r w:rsidR="003C3308">
          <w:rPr>
            <w:noProof/>
            <w:webHidden/>
          </w:rPr>
          <w:tab/>
        </w:r>
        <w:r w:rsidR="003C3308">
          <w:rPr>
            <w:noProof/>
            <w:webHidden/>
          </w:rPr>
          <w:fldChar w:fldCharType="begin"/>
        </w:r>
        <w:r w:rsidR="003C3308">
          <w:rPr>
            <w:noProof/>
            <w:webHidden/>
          </w:rPr>
          <w:instrText xml:space="preserve"> PAGEREF _Toc58398578 \h </w:instrText>
        </w:r>
        <w:r w:rsidR="003C3308">
          <w:rPr>
            <w:noProof/>
            <w:webHidden/>
          </w:rPr>
        </w:r>
        <w:r w:rsidR="003C3308">
          <w:rPr>
            <w:noProof/>
            <w:webHidden/>
          </w:rPr>
          <w:fldChar w:fldCharType="separate"/>
        </w:r>
        <w:r w:rsidR="003C3308">
          <w:rPr>
            <w:noProof/>
            <w:webHidden/>
          </w:rPr>
          <w:t>2</w:t>
        </w:r>
        <w:r w:rsidR="003C3308">
          <w:rPr>
            <w:noProof/>
            <w:webHidden/>
          </w:rPr>
          <w:fldChar w:fldCharType="end"/>
        </w:r>
      </w:hyperlink>
    </w:p>
    <w:p w14:paraId="2A1F4D19" w14:textId="705D98BA" w:rsidR="003C3308" w:rsidRDefault="000C73F8">
      <w:pPr>
        <w:pStyle w:val="TOC1"/>
        <w:tabs>
          <w:tab w:val="right" w:leader="dot" w:pos="9736"/>
        </w:tabs>
        <w:rPr>
          <w:rFonts w:eastAsiaTheme="minorEastAsia" w:cstheme="minorBidi"/>
          <w:b w:val="0"/>
          <w:bCs w:val="0"/>
          <w:caps w:val="0"/>
          <w:noProof/>
          <w:sz w:val="22"/>
          <w:szCs w:val="22"/>
          <w:lang w:val="en-US" w:eastAsia="en-US"/>
        </w:rPr>
      </w:pPr>
      <w:hyperlink w:anchor="_Toc58398579" w:history="1">
        <w:r w:rsidR="003C3308" w:rsidRPr="001C5832">
          <w:rPr>
            <w:rStyle w:val="Hyperlink"/>
            <w:noProof/>
          </w:rPr>
          <w:t>EXECUTIVE SUMMARY</w:t>
        </w:r>
        <w:r w:rsidR="003C3308">
          <w:rPr>
            <w:noProof/>
            <w:webHidden/>
          </w:rPr>
          <w:tab/>
        </w:r>
        <w:r w:rsidR="003C3308">
          <w:rPr>
            <w:noProof/>
            <w:webHidden/>
          </w:rPr>
          <w:fldChar w:fldCharType="begin"/>
        </w:r>
        <w:r w:rsidR="003C3308">
          <w:rPr>
            <w:noProof/>
            <w:webHidden/>
          </w:rPr>
          <w:instrText xml:space="preserve"> PAGEREF _Toc58398579 \h </w:instrText>
        </w:r>
        <w:r w:rsidR="003C3308">
          <w:rPr>
            <w:noProof/>
            <w:webHidden/>
          </w:rPr>
        </w:r>
        <w:r w:rsidR="003C3308">
          <w:rPr>
            <w:noProof/>
            <w:webHidden/>
          </w:rPr>
          <w:fldChar w:fldCharType="separate"/>
        </w:r>
        <w:r w:rsidR="003C3308">
          <w:rPr>
            <w:noProof/>
            <w:webHidden/>
          </w:rPr>
          <w:t>2</w:t>
        </w:r>
        <w:r w:rsidR="003C3308">
          <w:rPr>
            <w:noProof/>
            <w:webHidden/>
          </w:rPr>
          <w:fldChar w:fldCharType="end"/>
        </w:r>
      </w:hyperlink>
    </w:p>
    <w:p w14:paraId="0DDD75C0" w14:textId="0A801535" w:rsidR="003C3308" w:rsidRDefault="000C73F8">
      <w:pPr>
        <w:pStyle w:val="TOC1"/>
        <w:tabs>
          <w:tab w:val="right" w:leader="dot" w:pos="9736"/>
        </w:tabs>
        <w:rPr>
          <w:rFonts w:eastAsiaTheme="minorEastAsia" w:cstheme="minorBidi"/>
          <w:b w:val="0"/>
          <w:bCs w:val="0"/>
          <w:caps w:val="0"/>
          <w:noProof/>
          <w:sz w:val="22"/>
          <w:szCs w:val="22"/>
          <w:lang w:val="en-US" w:eastAsia="en-US"/>
        </w:rPr>
      </w:pPr>
      <w:hyperlink w:anchor="_Toc58398580" w:history="1">
        <w:r w:rsidR="003C3308" w:rsidRPr="001C5832">
          <w:rPr>
            <w:rStyle w:val="Hyperlink"/>
            <w:noProof/>
          </w:rPr>
          <w:t>TABLE OF CONTENTS</w:t>
        </w:r>
        <w:r w:rsidR="003C3308">
          <w:rPr>
            <w:noProof/>
            <w:webHidden/>
          </w:rPr>
          <w:tab/>
        </w:r>
        <w:r w:rsidR="003C3308">
          <w:rPr>
            <w:noProof/>
            <w:webHidden/>
          </w:rPr>
          <w:fldChar w:fldCharType="begin"/>
        </w:r>
        <w:r w:rsidR="003C3308">
          <w:rPr>
            <w:noProof/>
            <w:webHidden/>
          </w:rPr>
          <w:instrText xml:space="preserve"> PAGEREF _Toc58398580 \h </w:instrText>
        </w:r>
        <w:r w:rsidR="003C3308">
          <w:rPr>
            <w:noProof/>
            <w:webHidden/>
          </w:rPr>
        </w:r>
        <w:r w:rsidR="003C3308">
          <w:rPr>
            <w:noProof/>
            <w:webHidden/>
          </w:rPr>
          <w:fldChar w:fldCharType="separate"/>
        </w:r>
        <w:r w:rsidR="003C3308">
          <w:rPr>
            <w:noProof/>
            <w:webHidden/>
          </w:rPr>
          <w:t>4</w:t>
        </w:r>
        <w:r w:rsidR="003C3308">
          <w:rPr>
            <w:noProof/>
            <w:webHidden/>
          </w:rPr>
          <w:fldChar w:fldCharType="end"/>
        </w:r>
      </w:hyperlink>
    </w:p>
    <w:p w14:paraId="03FB0D09" w14:textId="04287A9E" w:rsidR="003C3308" w:rsidRDefault="000C73F8">
      <w:pPr>
        <w:pStyle w:val="TOC1"/>
        <w:tabs>
          <w:tab w:val="right" w:leader="dot" w:pos="9736"/>
        </w:tabs>
        <w:rPr>
          <w:rFonts w:eastAsiaTheme="minorEastAsia" w:cstheme="minorBidi"/>
          <w:b w:val="0"/>
          <w:bCs w:val="0"/>
          <w:caps w:val="0"/>
          <w:noProof/>
          <w:sz w:val="22"/>
          <w:szCs w:val="22"/>
          <w:lang w:val="en-US" w:eastAsia="en-US"/>
        </w:rPr>
      </w:pPr>
      <w:hyperlink w:anchor="_Toc58398581" w:history="1">
        <w:r w:rsidR="003C3308" w:rsidRPr="001C5832">
          <w:rPr>
            <w:rStyle w:val="Hyperlink"/>
            <w:noProof/>
          </w:rPr>
          <w:t>LISTS OF TABLES, FIGURES &amp; BOXES</w:t>
        </w:r>
        <w:r w:rsidR="003C3308">
          <w:rPr>
            <w:noProof/>
            <w:webHidden/>
          </w:rPr>
          <w:tab/>
        </w:r>
        <w:r w:rsidR="003C3308">
          <w:rPr>
            <w:noProof/>
            <w:webHidden/>
          </w:rPr>
          <w:fldChar w:fldCharType="begin"/>
        </w:r>
        <w:r w:rsidR="003C3308">
          <w:rPr>
            <w:noProof/>
            <w:webHidden/>
          </w:rPr>
          <w:instrText xml:space="preserve"> PAGEREF _Toc58398581 \h </w:instrText>
        </w:r>
        <w:r w:rsidR="003C3308">
          <w:rPr>
            <w:noProof/>
            <w:webHidden/>
          </w:rPr>
        </w:r>
        <w:r w:rsidR="003C3308">
          <w:rPr>
            <w:noProof/>
            <w:webHidden/>
          </w:rPr>
          <w:fldChar w:fldCharType="separate"/>
        </w:r>
        <w:r w:rsidR="003C3308">
          <w:rPr>
            <w:noProof/>
            <w:webHidden/>
          </w:rPr>
          <w:t>5</w:t>
        </w:r>
        <w:r w:rsidR="003C3308">
          <w:rPr>
            <w:noProof/>
            <w:webHidden/>
          </w:rPr>
          <w:fldChar w:fldCharType="end"/>
        </w:r>
      </w:hyperlink>
    </w:p>
    <w:p w14:paraId="512FD448" w14:textId="550CABEC" w:rsidR="003C3308" w:rsidRDefault="000C73F8">
      <w:pPr>
        <w:pStyle w:val="TOC1"/>
        <w:tabs>
          <w:tab w:val="right" w:leader="dot" w:pos="9736"/>
        </w:tabs>
        <w:rPr>
          <w:rFonts w:eastAsiaTheme="minorEastAsia" w:cstheme="minorBidi"/>
          <w:b w:val="0"/>
          <w:bCs w:val="0"/>
          <w:caps w:val="0"/>
          <w:noProof/>
          <w:sz w:val="22"/>
          <w:szCs w:val="22"/>
          <w:lang w:val="en-US" w:eastAsia="en-US"/>
        </w:rPr>
      </w:pPr>
      <w:hyperlink w:anchor="_Toc58398582" w:history="1">
        <w:r w:rsidR="003C3308" w:rsidRPr="001C5832">
          <w:rPr>
            <w:rStyle w:val="Hyperlink"/>
            <w:noProof/>
          </w:rPr>
          <w:t>ACRONYMS</w:t>
        </w:r>
        <w:r w:rsidR="003C3308">
          <w:rPr>
            <w:noProof/>
            <w:webHidden/>
          </w:rPr>
          <w:tab/>
        </w:r>
        <w:r w:rsidR="003C3308">
          <w:rPr>
            <w:noProof/>
            <w:webHidden/>
          </w:rPr>
          <w:fldChar w:fldCharType="begin"/>
        </w:r>
        <w:r w:rsidR="003C3308">
          <w:rPr>
            <w:noProof/>
            <w:webHidden/>
          </w:rPr>
          <w:instrText xml:space="preserve"> PAGEREF _Toc58398582 \h </w:instrText>
        </w:r>
        <w:r w:rsidR="003C3308">
          <w:rPr>
            <w:noProof/>
            <w:webHidden/>
          </w:rPr>
        </w:r>
        <w:r w:rsidR="003C3308">
          <w:rPr>
            <w:noProof/>
            <w:webHidden/>
          </w:rPr>
          <w:fldChar w:fldCharType="separate"/>
        </w:r>
        <w:r w:rsidR="003C3308">
          <w:rPr>
            <w:noProof/>
            <w:webHidden/>
          </w:rPr>
          <w:t>7</w:t>
        </w:r>
        <w:r w:rsidR="003C3308">
          <w:rPr>
            <w:noProof/>
            <w:webHidden/>
          </w:rPr>
          <w:fldChar w:fldCharType="end"/>
        </w:r>
      </w:hyperlink>
    </w:p>
    <w:p w14:paraId="32EFA8F8" w14:textId="5026F58C" w:rsidR="003C3308" w:rsidRDefault="000C73F8">
      <w:pPr>
        <w:pStyle w:val="TOC1"/>
        <w:tabs>
          <w:tab w:val="right" w:leader="dot" w:pos="9736"/>
        </w:tabs>
        <w:rPr>
          <w:rFonts w:eastAsiaTheme="minorEastAsia" w:cstheme="minorBidi"/>
          <w:b w:val="0"/>
          <w:bCs w:val="0"/>
          <w:caps w:val="0"/>
          <w:noProof/>
          <w:sz w:val="22"/>
          <w:szCs w:val="22"/>
          <w:lang w:val="en-US" w:eastAsia="en-US"/>
        </w:rPr>
      </w:pPr>
      <w:hyperlink w:anchor="_Toc58398583" w:history="1">
        <w:r w:rsidR="003C3308" w:rsidRPr="001C5832">
          <w:rPr>
            <w:rStyle w:val="Hyperlink"/>
            <w:noProof/>
          </w:rPr>
          <w:t>PART I: PROJECT INFORMATION</w:t>
        </w:r>
        <w:r w:rsidR="003C3308">
          <w:rPr>
            <w:noProof/>
            <w:webHidden/>
          </w:rPr>
          <w:tab/>
        </w:r>
        <w:r w:rsidR="003C3308">
          <w:rPr>
            <w:noProof/>
            <w:webHidden/>
          </w:rPr>
          <w:fldChar w:fldCharType="begin"/>
        </w:r>
        <w:r w:rsidR="003C3308">
          <w:rPr>
            <w:noProof/>
            <w:webHidden/>
          </w:rPr>
          <w:instrText xml:space="preserve"> PAGEREF _Toc58398583 \h </w:instrText>
        </w:r>
        <w:r w:rsidR="003C3308">
          <w:rPr>
            <w:noProof/>
            <w:webHidden/>
          </w:rPr>
        </w:r>
        <w:r w:rsidR="003C3308">
          <w:rPr>
            <w:noProof/>
            <w:webHidden/>
          </w:rPr>
          <w:fldChar w:fldCharType="separate"/>
        </w:r>
        <w:r w:rsidR="003C3308">
          <w:rPr>
            <w:noProof/>
            <w:webHidden/>
          </w:rPr>
          <w:t>9</w:t>
        </w:r>
        <w:r w:rsidR="003C3308">
          <w:rPr>
            <w:noProof/>
            <w:webHidden/>
          </w:rPr>
          <w:fldChar w:fldCharType="end"/>
        </w:r>
      </w:hyperlink>
    </w:p>
    <w:p w14:paraId="2F3211A1" w14:textId="7E76F68E" w:rsidR="003C3308" w:rsidRDefault="000C73F8">
      <w:pPr>
        <w:pStyle w:val="TOC2"/>
        <w:tabs>
          <w:tab w:val="right" w:leader="dot" w:pos="9736"/>
        </w:tabs>
        <w:rPr>
          <w:rFonts w:eastAsiaTheme="minorEastAsia" w:cstheme="minorBidi"/>
          <w:smallCaps w:val="0"/>
          <w:noProof/>
          <w:sz w:val="22"/>
          <w:szCs w:val="22"/>
          <w:lang w:val="en-US" w:eastAsia="en-US"/>
        </w:rPr>
      </w:pPr>
      <w:hyperlink w:anchor="_Toc58398584" w:history="1">
        <w:r w:rsidR="003C3308" w:rsidRPr="001C5832">
          <w:rPr>
            <w:rStyle w:val="Hyperlink"/>
            <w:noProof/>
            <w:lang w:val="en-US"/>
          </w:rPr>
          <w:t>A. Focal/Non-Focal Area Elements</w:t>
        </w:r>
        <w:r w:rsidR="003C3308">
          <w:rPr>
            <w:noProof/>
            <w:webHidden/>
          </w:rPr>
          <w:tab/>
        </w:r>
        <w:r w:rsidR="003C3308">
          <w:rPr>
            <w:noProof/>
            <w:webHidden/>
          </w:rPr>
          <w:fldChar w:fldCharType="begin"/>
        </w:r>
        <w:r w:rsidR="003C3308">
          <w:rPr>
            <w:noProof/>
            <w:webHidden/>
          </w:rPr>
          <w:instrText xml:space="preserve"> PAGEREF _Toc58398584 \h </w:instrText>
        </w:r>
        <w:r w:rsidR="003C3308">
          <w:rPr>
            <w:noProof/>
            <w:webHidden/>
          </w:rPr>
        </w:r>
        <w:r w:rsidR="003C3308">
          <w:rPr>
            <w:noProof/>
            <w:webHidden/>
          </w:rPr>
          <w:fldChar w:fldCharType="separate"/>
        </w:r>
        <w:r w:rsidR="003C3308">
          <w:rPr>
            <w:noProof/>
            <w:webHidden/>
          </w:rPr>
          <w:t>9</w:t>
        </w:r>
        <w:r w:rsidR="003C3308">
          <w:rPr>
            <w:noProof/>
            <w:webHidden/>
          </w:rPr>
          <w:fldChar w:fldCharType="end"/>
        </w:r>
      </w:hyperlink>
    </w:p>
    <w:p w14:paraId="2EDB17AB" w14:textId="1D9A321C" w:rsidR="003C3308" w:rsidRDefault="000C73F8">
      <w:pPr>
        <w:pStyle w:val="TOC2"/>
        <w:tabs>
          <w:tab w:val="right" w:leader="dot" w:pos="9736"/>
        </w:tabs>
        <w:rPr>
          <w:rFonts w:eastAsiaTheme="minorEastAsia" w:cstheme="minorBidi"/>
          <w:smallCaps w:val="0"/>
          <w:noProof/>
          <w:sz w:val="22"/>
          <w:szCs w:val="22"/>
          <w:lang w:val="en-US" w:eastAsia="en-US"/>
        </w:rPr>
      </w:pPr>
      <w:hyperlink w:anchor="_Toc58398585" w:history="1">
        <w:r w:rsidR="003C3308" w:rsidRPr="001C5832">
          <w:rPr>
            <w:rStyle w:val="Hyperlink"/>
            <w:noProof/>
          </w:rPr>
          <w:t>B. Project description summary</w:t>
        </w:r>
        <w:r w:rsidR="003C3308">
          <w:rPr>
            <w:noProof/>
            <w:webHidden/>
          </w:rPr>
          <w:tab/>
        </w:r>
        <w:r w:rsidR="003C3308">
          <w:rPr>
            <w:noProof/>
            <w:webHidden/>
          </w:rPr>
          <w:fldChar w:fldCharType="begin"/>
        </w:r>
        <w:r w:rsidR="003C3308">
          <w:rPr>
            <w:noProof/>
            <w:webHidden/>
          </w:rPr>
          <w:instrText xml:space="preserve"> PAGEREF _Toc58398585 \h </w:instrText>
        </w:r>
        <w:r w:rsidR="003C3308">
          <w:rPr>
            <w:noProof/>
            <w:webHidden/>
          </w:rPr>
        </w:r>
        <w:r w:rsidR="003C3308">
          <w:rPr>
            <w:noProof/>
            <w:webHidden/>
          </w:rPr>
          <w:fldChar w:fldCharType="separate"/>
        </w:r>
        <w:r w:rsidR="003C3308">
          <w:rPr>
            <w:noProof/>
            <w:webHidden/>
          </w:rPr>
          <w:t>10</w:t>
        </w:r>
        <w:r w:rsidR="003C3308">
          <w:rPr>
            <w:noProof/>
            <w:webHidden/>
          </w:rPr>
          <w:fldChar w:fldCharType="end"/>
        </w:r>
      </w:hyperlink>
    </w:p>
    <w:p w14:paraId="2627CE38" w14:textId="24FDAF5B" w:rsidR="003C3308" w:rsidRDefault="000C73F8">
      <w:pPr>
        <w:pStyle w:val="TOC2"/>
        <w:tabs>
          <w:tab w:val="right" w:leader="dot" w:pos="9736"/>
        </w:tabs>
        <w:rPr>
          <w:rFonts w:eastAsiaTheme="minorEastAsia" w:cstheme="minorBidi"/>
          <w:smallCaps w:val="0"/>
          <w:noProof/>
          <w:sz w:val="22"/>
          <w:szCs w:val="22"/>
          <w:lang w:val="en-US" w:eastAsia="en-US"/>
        </w:rPr>
      </w:pPr>
      <w:hyperlink w:anchor="_Toc58398586" w:history="1">
        <w:r w:rsidR="003C3308" w:rsidRPr="001C5832">
          <w:rPr>
            <w:rStyle w:val="Hyperlink"/>
            <w:noProof/>
            <w:lang w:val="en-US"/>
          </w:rPr>
          <w:t>C. Confirmed sources of Co-financing for the project by name and by type</w:t>
        </w:r>
        <w:r w:rsidR="003C3308">
          <w:rPr>
            <w:noProof/>
            <w:webHidden/>
          </w:rPr>
          <w:tab/>
        </w:r>
        <w:r w:rsidR="003C3308">
          <w:rPr>
            <w:noProof/>
            <w:webHidden/>
          </w:rPr>
          <w:fldChar w:fldCharType="begin"/>
        </w:r>
        <w:r w:rsidR="003C3308">
          <w:rPr>
            <w:noProof/>
            <w:webHidden/>
          </w:rPr>
          <w:instrText xml:space="preserve"> PAGEREF _Toc58398586 \h </w:instrText>
        </w:r>
        <w:r w:rsidR="003C3308">
          <w:rPr>
            <w:noProof/>
            <w:webHidden/>
          </w:rPr>
        </w:r>
        <w:r w:rsidR="003C3308">
          <w:rPr>
            <w:noProof/>
            <w:webHidden/>
          </w:rPr>
          <w:fldChar w:fldCharType="separate"/>
        </w:r>
        <w:r w:rsidR="003C3308">
          <w:rPr>
            <w:noProof/>
            <w:webHidden/>
          </w:rPr>
          <w:t>11</w:t>
        </w:r>
        <w:r w:rsidR="003C3308">
          <w:rPr>
            <w:noProof/>
            <w:webHidden/>
          </w:rPr>
          <w:fldChar w:fldCharType="end"/>
        </w:r>
      </w:hyperlink>
    </w:p>
    <w:p w14:paraId="601EFEAD" w14:textId="1FD1A520" w:rsidR="003C3308" w:rsidRDefault="000C73F8">
      <w:pPr>
        <w:pStyle w:val="TOC2"/>
        <w:tabs>
          <w:tab w:val="right" w:leader="dot" w:pos="9736"/>
        </w:tabs>
        <w:rPr>
          <w:rFonts w:eastAsiaTheme="minorEastAsia" w:cstheme="minorBidi"/>
          <w:smallCaps w:val="0"/>
          <w:noProof/>
          <w:sz w:val="22"/>
          <w:szCs w:val="22"/>
          <w:lang w:val="en-US" w:eastAsia="en-US"/>
        </w:rPr>
      </w:pPr>
      <w:hyperlink w:anchor="_Toc58398587" w:history="1">
        <w:r w:rsidR="003C3308" w:rsidRPr="001C5832">
          <w:rPr>
            <w:rStyle w:val="Hyperlink"/>
            <w:rFonts w:ascii="Calibri" w:hAnsi="Calibri" w:cs="Calibri"/>
            <w:noProof/>
            <w:lang w:val="en-US"/>
          </w:rPr>
          <w:t>D. Trust Fund Resources by Agency(ies), Country(ies), Focal Area and</w:t>
        </w:r>
        <w:r w:rsidR="003C3308" w:rsidRPr="001C5832">
          <w:rPr>
            <w:rStyle w:val="Hyperlink"/>
            <w:noProof/>
            <w:lang w:val="en-US"/>
          </w:rPr>
          <w:t xml:space="preserve"> Programming of Funds</w:t>
        </w:r>
        <w:r w:rsidR="003C3308">
          <w:rPr>
            <w:noProof/>
            <w:webHidden/>
          </w:rPr>
          <w:tab/>
        </w:r>
        <w:r w:rsidR="003C3308">
          <w:rPr>
            <w:noProof/>
            <w:webHidden/>
          </w:rPr>
          <w:fldChar w:fldCharType="begin"/>
        </w:r>
        <w:r w:rsidR="003C3308">
          <w:rPr>
            <w:noProof/>
            <w:webHidden/>
          </w:rPr>
          <w:instrText xml:space="preserve"> PAGEREF _Toc58398587 \h </w:instrText>
        </w:r>
        <w:r w:rsidR="003C3308">
          <w:rPr>
            <w:noProof/>
            <w:webHidden/>
          </w:rPr>
        </w:r>
        <w:r w:rsidR="003C3308">
          <w:rPr>
            <w:noProof/>
            <w:webHidden/>
          </w:rPr>
          <w:fldChar w:fldCharType="separate"/>
        </w:r>
        <w:r w:rsidR="003C3308">
          <w:rPr>
            <w:noProof/>
            <w:webHidden/>
          </w:rPr>
          <w:t>11</w:t>
        </w:r>
        <w:r w:rsidR="003C3308">
          <w:rPr>
            <w:noProof/>
            <w:webHidden/>
          </w:rPr>
          <w:fldChar w:fldCharType="end"/>
        </w:r>
      </w:hyperlink>
    </w:p>
    <w:p w14:paraId="201D25DD" w14:textId="506F05C1" w:rsidR="003C3308" w:rsidRDefault="000C73F8">
      <w:pPr>
        <w:pStyle w:val="TOC2"/>
        <w:tabs>
          <w:tab w:val="right" w:leader="dot" w:pos="9736"/>
        </w:tabs>
        <w:rPr>
          <w:rFonts w:eastAsiaTheme="minorEastAsia" w:cstheme="minorBidi"/>
          <w:smallCaps w:val="0"/>
          <w:noProof/>
          <w:sz w:val="22"/>
          <w:szCs w:val="22"/>
          <w:lang w:val="en-US" w:eastAsia="en-US"/>
        </w:rPr>
      </w:pPr>
      <w:hyperlink w:anchor="_Toc58398588" w:history="1">
        <w:r w:rsidR="003C3308" w:rsidRPr="001C5832">
          <w:rPr>
            <w:rStyle w:val="Hyperlink"/>
            <w:noProof/>
            <w:lang w:val="en-US"/>
          </w:rPr>
          <w:t>E. Does the project include a “non-grant” instrument?</w:t>
        </w:r>
        <w:r w:rsidR="003C3308">
          <w:rPr>
            <w:noProof/>
            <w:webHidden/>
          </w:rPr>
          <w:tab/>
        </w:r>
        <w:r w:rsidR="003C3308">
          <w:rPr>
            <w:noProof/>
            <w:webHidden/>
          </w:rPr>
          <w:fldChar w:fldCharType="begin"/>
        </w:r>
        <w:r w:rsidR="003C3308">
          <w:rPr>
            <w:noProof/>
            <w:webHidden/>
          </w:rPr>
          <w:instrText xml:space="preserve"> PAGEREF _Toc58398588 \h </w:instrText>
        </w:r>
        <w:r w:rsidR="003C3308">
          <w:rPr>
            <w:noProof/>
            <w:webHidden/>
          </w:rPr>
        </w:r>
        <w:r w:rsidR="003C3308">
          <w:rPr>
            <w:noProof/>
            <w:webHidden/>
          </w:rPr>
          <w:fldChar w:fldCharType="separate"/>
        </w:r>
        <w:r w:rsidR="003C3308">
          <w:rPr>
            <w:noProof/>
            <w:webHidden/>
          </w:rPr>
          <w:t>11</w:t>
        </w:r>
        <w:r w:rsidR="003C3308">
          <w:rPr>
            <w:noProof/>
            <w:webHidden/>
          </w:rPr>
          <w:fldChar w:fldCharType="end"/>
        </w:r>
      </w:hyperlink>
    </w:p>
    <w:p w14:paraId="19426229" w14:textId="2E897699" w:rsidR="003C3308" w:rsidRDefault="000C73F8">
      <w:pPr>
        <w:pStyle w:val="TOC2"/>
        <w:tabs>
          <w:tab w:val="right" w:leader="dot" w:pos="9736"/>
        </w:tabs>
        <w:rPr>
          <w:rFonts w:eastAsiaTheme="minorEastAsia" w:cstheme="minorBidi"/>
          <w:smallCaps w:val="0"/>
          <w:noProof/>
          <w:sz w:val="22"/>
          <w:szCs w:val="22"/>
          <w:lang w:val="en-US" w:eastAsia="en-US"/>
        </w:rPr>
      </w:pPr>
      <w:hyperlink w:anchor="_Toc58398589" w:history="1">
        <w:r w:rsidR="003C3308" w:rsidRPr="001C5832">
          <w:rPr>
            <w:rStyle w:val="Hyperlink"/>
            <w:noProof/>
            <w:lang w:val="en-US"/>
          </w:rPr>
          <w:t>F. Project’s Target Contributions to GEF-7 Core Indicators</w:t>
        </w:r>
        <w:r w:rsidR="003C3308">
          <w:rPr>
            <w:noProof/>
            <w:webHidden/>
          </w:rPr>
          <w:tab/>
        </w:r>
        <w:r w:rsidR="003C3308">
          <w:rPr>
            <w:noProof/>
            <w:webHidden/>
          </w:rPr>
          <w:fldChar w:fldCharType="begin"/>
        </w:r>
        <w:r w:rsidR="003C3308">
          <w:rPr>
            <w:noProof/>
            <w:webHidden/>
          </w:rPr>
          <w:instrText xml:space="preserve"> PAGEREF _Toc58398589 \h </w:instrText>
        </w:r>
        <w:r w:rsidR="003C3308">
          <w:rPr>
            <w:noProof/>
            <w:webHidden/>
          </w:rPr>
        </w:r>
        <w:r w:rsidR="003C3308">
          <w:rPr>
            <w:noProof/>
            <w:webHidden/>
          </w:rPr>
          <w:fldChar w:fldCharType="separate"/>
        </w:r>
        <w:r w:rsidR="003C3308">
          <w:rPr>
            <w:noProof/>
            <w:webHidden/>
          </w:rPr>
          <w:t>12</w:t>
        </w:r>
        <w:r w:rsidR="003C3308">
          <w:rPr>
            <w:noProof/>
            <w:webHidden/>
          </w:rPr>
          <w:fldChar w:fldCharType="end"/>
        </w:r>
      </w:hyperlink>
    </w:p>
    <w:p w14:paraId="22BC6E54" w14:textId="782A14EA" w:rsidR="003C3308" w:rsidRDefault="000C73F8">
      <w:pPr>
        <w:pStyle w:val="TOC1"/>
        <w:tabs>
          <w:tab w:val="right" w:leader="dot" w:pos="9736"/>
        </w:tabs>
        <w:rPr>
          <w:rFonts w:eastAsiaTheme="minorEastAsia" w:cstheme="minorBidi"/>
          <w:b w:val="0"/>
          <w:bCs w:val="0"/>
          <w:caps w:val="0"/>
          <w:noProof/>
          <w:sz w:val="22"/>
          <w:szCs w:val="22"/>
          <w:lang w:val="en-US" w:eastAsia="en-US"/>
        </w:rPr>
      </w:pPr>
      <w:hyperlink w:anchor="_Toc58398590" w:history="1">
        <w:r w:rsidR="003C3308" w:rsidRPr="001C5832">
          <w:rPr>
            <w:rStyle w:val="Hyperlink"/>
            <w:noProof/>
          </w:rPr>
          <w:t>PART II: PROJECT JUSTIFICATION</w:t>
        </w:r>
        <w:r w:rsidR="003C3308">
          <w:rPr>
            <w:noProof/>
            <w:webHidden/>
          </w:rPr>
          <w:tab/>
        </w:r>
        <w:r w:rsidR="003C3308">
          <w:rPr>
            <w:noProof/>
            <w:webHidden/>
          </w:rPr>
          <w:fldChar w:fldCharType="begin"/>
        </w:r>
        <w:r w:rsidR="003C3308">
          <w:rPr>
            <w:noProof/>
            <w:webHidden/>
          </w:rPr>
          <w:instrText xml:space="preserve"> PAGEREF _Toc58398590 \h </w:instrText>
        </w:r>
        <w:r w:rsidR="003C3308">
          <w:rPr>
            <w:noProof/>
            <w:webHidden/>
          </w:rPr>
        </w:r>
        <w:r w:rsidR="003C3308">
          <w:rPr>
            <w:noProof/>
            <w:webHidden/>
          </w:rPr>
          <w:fldChar w:fldCharType="separate"/>
        </w:r>
        <w:r w:rsidR="003C3308">
          <w:rPr>
            <w:noProof/>
            <w:webHidden/>
          </w:rPr>
          <w:t>13</w:t>
        </w:r>
        <w:r w:rsidR="003C3308">
          <w:rPr>
            <w:noProof/>
            <w:webHidden/>
          </w:rPr>
          <w:fldChar w:fldCharType="end"/>
        </w:r>
      </w:hyperlink>
    </w:p>
    <w:p w14:paraId="31E13F2B" w14:textId="667B2318" w:rsidR="003C3308" w:rsidRDefault="000C73F8">
      <w:pPr>
        <w:pStyle w:val="TOC2"/>
        <w:tabs>
          <w:tab w:val="right" w:leader="dot" w:pos="9736"/>
        </w:tabs>
        <w:rPr>
          <w:rFonts w:eastAsiaTheme="minorEastAsia" w:cstheme="minorBidi"/>
          <w:smallCaps w:val="0"/>
          <w:noProof/>
          <w:sz w:val="22"/>
          <w:szCs w:val="22"/>
          <w:lang w:val="en-US" w:eastAsia="en-US"/>
        </w:rPr>
      </w:pPr>
      <w:hyperlink w:anchor="_Toc58398591" w:history="1">
        <w:r w:rsidR="003C3308" w:rsidRPr="001C5832">
          <w:rPr>
            <w:rStyle w:val="Hyperlink"/>
            <w:rFonts w:ascii="Calibri" w:hAnsi="Calibri" w:cs="Calibri"/>
            <w:noProof/>
            <w:lang w:val="en-US"/>
          </w:rPr>
          <w:t>1.a Project Description</w:t>
        </w:r>
        <w:r w:rsidR="003C3308">
          <w:rPr>
            <w:noProof/>
            <w:webHidden/>
          </w:rPr>
          <w:tab/>
        </w:r>
        <w:r w:rsidR="003C3308">
          <w:rPr>
            <w:noProof/>
            <w:webHidden/>
          </w:rPr>
          <w:fldChar w:fldCharType="begin"/>
        </w:r>
        <w:r w:rsidR="003C3308">
          <w:rPr>
            <w:noProof/>
            <w:webHidden/>
          </w:rPr>
          <w:instrText xml:space="preserve"> PAGEREF _Toc58398591 \h </w:instrText>
        </w:r>
        <w:r w:rsidR="003C3308">
          <w:rPr>
            <w:noProof/>
            <w:webHidden/>
          </w:rPr>
        </w:r>
        <w:r w:rsidR="003C3308">
          <w:rPr>
            <w:noProof/>
            <w:webHidden/>
          </w:rPr>
          <w:fldChar w:fldCharType="separate"/>
        </w:r>
        <w:r w:rsidR="003C3308">
          <w:rPr>
            <w:noProof/>
            <w:webHidden/>
          </w:rPr>
          <w:t>13</w:t>
        </w:r>
        <w:r w:rsidR="003C3308">
          <w:rPr>
            <w:noProof/>
            <w:webHidden/>
          </w:rPr>
          <w:fldChar w:fldCharType="end"/>
        </w:r>
      </w:hyperlink>
    </w:p>
    <w:p w14:paraId="2941265F" w14:textId="60BF07E2" w:rsidR="003C3308" w:rsidRDefault="000C73F8">
      <w:pPr>
        <w:pStyle w:val="TOC2"/>
        <w:tabs>
          <w:tab w:val="right" w:leader="dot" w:pos="9736"/>
        </w:tabs>
        <w:rPr>
          <w:rFonts w:eastAsiaTheme="minorEastAsia" w:cstheme="minorBidi"/>
          <w:smallCaps w:val="0"/>
          <w:noProof/>
          <w:sz w:val="22"/>
          <w:szCs w:val="22"/>
          <w:lang w:val="en-US" w:eastAsia="en-US"/>
        </w:rPr>
      </w:pPr>
      <w:hyperlink w:anchor="_Toc58398592" w:history="1">
        <w:r w:rsidR="003C3308" w:rsidRPr="001C5832">
          <w:rPr>
            <w:rStyle w:val="Hyperlink"/>
            <w:rFonts w:ascii="Calibri" w:hAnsi="Calibri" w:cs="Calibri"/>
            <w:noProof/>
            <w:lang w:val="en-US"/>
          </w:rPr>
          <w:t>1.b Project Map and Geo-Coordinates</w:t>
        </w:r>
        <w:r w:rsidR="003C3308">
          <w:rPr>
            <w:noProof/>
            <w:webHidden/>
          </w:rPr>
          <w:tab/>
        </w:r>
        <w:r w:rsidR="003C3308">
          <w:rPr>
            <w:noProof/>
            <w:webHidden/>
          </w:rPr>
          <w:fldChar w:fldCharType="begin"/>
        </w:r>
        <w:r w:rsidR="003C3308">
          <w:rPr>
            <w:noProof/>
            <w:webHidden/>
          </w:rPr>
          <w:instrText xml:space="preserve"> PAGEREF _Toc58398592 \h </w:instrText>
        </w:r>
        <w:r w:rsidR="003C3308">
          <w:rPr>
            <w:noProof/>
            <w:webHidden/>
          </w:rPr>
        </w:r>
        <w:r w:rsidR="003C3308">
          <w:rPr>
            <w:noProof/>
            <w:webHidden/>
          </w:rPr>
          <w:fldChar w:fldCharType="separate"/>
        </w:r>
        <w:r w:rsidR="003C3308">
          <w:rPr>
            <w:noProof/>
            <w:webHidden/>
          </w:rPr>
          <w:t>110</w:t>
        </w:r>
        <w:r w:rsidR="003C3308">
          <w:rPr>
            <w:noProof/>
            <w:webHidden/>
          </w:rPr>
          <w:fldChar w:fldCharType="end"/>
        </w:r>
      </w:hyperlink>
    </w:p>
    <w:p w14:paraId="4369C482" w14:textId="44FD705F" w:rsidR="003C3308" w:rsidRDefault="000C73F8">
      <w:pPr>
        <w:pStyle w:val="TOC2"/>
        <w:tabs>
          <w:tab w:val="left" w:pos="720"/>
          <w:tab w:val="right" w:leader="dot" w:pos="9736"/>
        </w:tabs>
        <w:rPr>
          <w:rFonts w:eastAsiaTheme="minorEastAsia" w:cstheme="minorBidi"/>
          <w:smallCaps w:val="0"/>
          <w:noProof/>
          <w:sz w:val="22"/>
          <w:szCs w:val="22"/>
          <w:lang w:val="en-US" w:eastAsia="en-US"/>
        </w:rPr>
      </w:pPr>
      <w:hyperlink w:anchor="_Toc58398593" w:history="1">
        <w:r w:rsidR="003C3308" w:rsidRPr="001C5832">
          <w:rPr>
            <w:rStyle w:val="Hyperlink"/>
            <w:rFonts w:ascii="Calibri" w:hAnsi="Calibri"/>
            <w:noProof/>
            <w:lang w:val="en-US"/>
          </w:rPr>
          <w:t>2.</w:t>
        </w:r>
        <w:r w:rsidR="003C3308">
          <w:rPr>
            <w:rFonts w:eastAsiaTheme="minorEastAsia" w:cstheme="minorBidi"/>
            <w:smallCaps w:val="0"/>
            <w:noProof/>
            <w:sz w:val="22"/>
            <w:szCs w:val="22"/>
            <w:lang w:val="en-US" w:eastAsia="en-US"/>
          </w:rPr>
          <w:tab/>
        </w:r>
        <w:r w:rsidR="003C3308" w:rsidRPr="001C5832">
          <w:rPr>
            <w:rStyle w:val="Hyperlink"/>
            <w:rFonts w:ascii="Calibri" w:hAnsi="Calibri" w:cs="Calibri"/>
            <w:noProof/>
            <w:lang w:val="en-US"/>
          </w:rPr>
          <w:t>Stakeholders</w:t>
        </w:r>
        <w:r w:rsidR="003C3308">
          <w:rPr>
            <w:noProof/>
            <w:webHidden/>
          </w:rPr>
          <w:tab/>
        </w:r>
        <w:r w:rsidR="003C3308">
          <w:rPr>
            <w:noProof/>
            <w:webHidden/>
          </w:rPr>
          <w:fldChar w:fldCharType="begin"/>
        </w:r>
        <w:r w:rsidR="003C3308">
          <w:rPr>
            <w:noProof/>
            <w:webHidden/>
          </w:rPr>
          <w:instrText xml:space="preserve"> PAGEREF _Toc58398593 \h </w:instrText>
        </w:r>
        <w:r w:rsidR="003C3308">
          <w:rPr>
            <w:noProof/>
            <w:webHidden/>
          </w:rPr>
        </w:r>
        <w:r w:rsidR="003C3308">
          <w:rPr>
            <w:noProof/>
            <w:webHidden/>
          </w:rPr>
          <w:fldChar w:fldCharType="separate"/>
        </w:r>
        <w:r w:rsidR="003C3308">
          <w:rPr>
            <w:noProof/>
            <w:webHidden/>
          </w:rPr>
          <w:t>111</w:t>
        </w:r>
        <w:r w:rsidR="003C3308">
          <w:rPr>
            <w:noProof/>
            <w:webHidden/>
          </w:rPr>
          <w:fldChar w:fldCharType="end"/>
        </w:r>
      </w:hyperlink>
    </w:p>
    <w:p w14:paraId="4BA47955" w14:textId="09CD06BF" w:rsidR="003C3308" w:rsidRDefault="000C73F8">
      <w:pPr>
        <w:pStyle w:val="TOC2"/>
        <w:tabs>
          <w:tab w:val="left" w:pos="720"/>
          <w:tab w:val="right" w:leader="dot" w:pos="9736"/>
        </w:tabs>
        <w:rPr>
          <w:rFonts w:eastAsiaTheme="minorEastAsia" w:cstheme="minorBidi"/>
          <w:smallCaps w:val="0"/>
          <w:noProof/>
          <w:sz w:val="22"/>
          <w:szCs w:val="22"/>
          <w:lang w:val="en-US" w:eastAsia="en-US"/>
        </w:rPr>
      </w:pPr>
      <w:hyperlink w:anchor="_Toc58398594" w:history="1">
        <w:r w:rsidR="003C3308" w:rsidRPr="001C5832">
          <w:rPr>
            <w:rStyle w:val="Hyperlink"/>
            <w:rFonts w:ascii="Calibri" w:hAnsi="Calibri"/>
            <w:noProof/>
            <w:lang w:val="en-US"/>
          </w:rPr>
          <w:t>3.</w:t>
        </w:r>
        <w:r w:rsidR="003C3308">
          <w:rPr>
            <w:rFonts w:eastAsiaTheme="minorEastAsia" w:cstheme="minorBidi"/>
            <w:smallCaps w:val="0"/>
            <w:noProof/>
            <w:sz w:val="22"/>
            <w:szCs w:val="22"/>
            <w:lang w:val="en-US" w:eastAsia="en-US"/>
          </w:rPr>
          <w:tab/>
        </w:r>
        <w:r w:rsidR="003C3308" w:rsidRPr="001C5832">
          <w:rPr>
            <w:rStyle w:val="Hyperlink"/>
            <w:rFonts w:ascii="Calibri" w:hAnsi="Calibri" w:cs="Calibri"/>
            <w:noProof/>
            <w:lang w:val="en-US"/>
          </w:rPr>
          <w:t>Gender Equality and Women's Empowerment</w:t>
        </w:r>
        <w:r w:rsidR="003C3308">
          <w:rPr>
            <w:noProof/>
            <w:webHidden/>
          </w:rPr>
          <w:tab/>
        </w:r>
        <w:r w:rsidR="003C3308">
          <w:rPr>
            <w:noProof/>
            <w:webHidden/>
          </w:rPr>
          <w:fldChar w:fldCharType="begin"/>
        </w:r>
        <w:r w:rsidR="003C3308">
          <w:rPr>
            <w:noProof/>
            <w:webHidden/>
          </w:rPr>
          <w:instrText xml:space="preserve"> PAGEREF _Toc58398594 \h </w:instrText>
        </w:r>
        <w:r w:rsidR="003C3308">
          <w:rPr>
            <w:noProof/>
            <w:webHidden/>
          </w:rPr>
        </w:r>
        <w:r w:rsidR="003C3308">
          <w:rPr>
            <w:noProof/>
            <w:webHidden/>
          </w:rPr>
          <w:fldChar w:fldCharType="separate"/>
        </w:r>
        <w:r w:rsidR="003C3308">
          <w:rPr>
            <w:noProof/>
            <w:webHidden/>
          </w:rPr>
          <w:t>115</w:t>
        </w:r>
        <w:r w:rsidR="003C3308">
          <w:rPr>
            <w:noProof/>
            <w:webHidden/>
          </w:rPr>
          <w:fldChar w:fldCharType="end"/>
        </w:r>
      </w:hyperlink>
    </w:p>
    <w:p w14:paraId="7FCF7E01" w14:textId="361020DA" w:rsidR="003C3308" w:rsidRDefault="000C73F8">
      <w:pPr>
        <w:pStyle w:val="TOC2"/>
        <w:tabs>
          <w:tab w:val="left" w:pos="720"/>
          <w:tab w:val="right" w:leader="dot" w:pos="9736"/>
        </w:tabs>
        <w:rPr>
          <w:rFonts w:eastAsiaTheme="minorEastAsia" w:cstheme="minorBidi"/>
          <w:smallCaps w:val="0"/>
          <w:noProof/>
          <w:sz w:val="22"/>
          <w:szCs w:val="22"/>
          <w:lang w:val="en-US" w:eastAsia="en-US"/>
        </w:rPr>
      </w:pPr>
      <w:hyperlink w:anchor="_Toc58398595" w:history="1">
        <w:r w:rsidR="003C3308" w:rsidRPr="001C5832">
          <w:rPr>
            <w:rStyle w:val="Hyperlink"/>
            <w:rFonts w:ascii="Calibri" w:hAnsi="Calibri"/>
            <w:noProof/>
            <w:lang w:val="en-US"/>
          </w:rPr>
          <w:t>4.</w:t>
        </w:r>
        <w:r w:rsidR="003C3308">
          <w:rPr>
            <w:rFonts w:eastAsiaTheme="minorEastAsia" w:cstheme="minorBidi"/>
            <w:smallCaps w:val="0"/>
            <w:noProof/>
            <w:sz w:val="22"/>
            <w:szCs w:val="22"/>
            <w:lang w:val="en-US" w:eastAsia="en-US"/>
          </w:rPr>
          <w:tab/>
        </w:r>
        <w:r w:rsidR="003C3308" w:rsidRPr="001C5832">
          <w:rPr>
            <w:rStyle w:val="Hyperlink"/>
            <w:rFonts w:ascii="Calibri" w:hAnsi="Calibri" w:cs="Calibri"/>
            <w:noProof/>
            <w:lang w:val="en-US"/>
          </w:rPr>
          <w:t>Private Sector Engagement</w:t>
        </w:r>
        <w:r w:rsidR="003C3308">
          <w:rPr>
            <w:noProof/>
            <w:webHidden/>
          </w:rPr>
          <w:tab/>
        </w:r>
        <w:r w:rsidR="003C3308">
          <w:rPr>
            <w:noProof/>
            <w:webHidden/>
          </w:rPr>
          <w:fldChar w:fldCharType="begin"/>
        </w:r>
        <w:r w:rsidR="003C3308">
          <w:rPr>
            <w:noProof/>
            <w:webHidden/>
          </w:rPr>
          <w:instrText xml:space="preserve"> PAGEREF _Toc58398595 \h </w:instrText>
        </w:r>
        <w:r w:rsidR="003C3308">
          <w:rPr>
            <w:noProof/>
            <w:webHidden/>
          </w:rPr>
        </w:r>
        <w:r w:rsidR="003C3308">
          <w:rPr>
            <w:noProof/>
            <w:webHidden/>
          </w:rPr>
          <w:fldChar w:fldCharType="separate"/>
        </w:r>
        <w:r w:rsidR="003C3308">
          <w:rPr>
            <w:noProof/>
            <w:webHidden/>
          </w:rPr>
          <w:t>123</w:t>
        </w:r>
        <w:r w:rsidR="003C3308">
          <w:rPr>
            <w:noProof/>
            <w:webHidden/>
          </w:rPr>
          <w:fldChar w:fldCharType="end"/>
        </w:r>
      </w:hyperlink>
    </w:p>
    <w:p w14:paraId="5621DB2E" w14:textId="34F1C460" w:rsidR="003C3308" w:rsidRDefault="000C73F8">
      <w:pPr>
        <w:pStyle w:val="TOC2"/>
        <w:tabs>
          <w:tab w:val="left" w:pos="720"/>
          <w:tab w:val="right" w:leader="dot" w:pos="9736"/>
        </w:tabs>
        <w:rPr>
          <w:rFonts w:eastAsiaTheme="minorEastAsia" w:cstheme="minorBidi"/>
          <w:smallCaps w:val="0"/>
          <w:noProof/>
          <w:sz w:val="22"/>
          <w:szCs w:val="22"/>
          <w:lang w:val="en-US" w:eastAsia="en-US"/>
        </w:rPr>
      </w:pPr>
      <w:hyperlink w:anchor="_Toc58398596" w:history="1">
        <w:r w:rsidR="003C3308" w:rsidRPr="001C5832">
          <w:rPr>
            <w:rStyle w:val="Hyperlink"/>
            <w:rFonts w:ascii="Calibri" w:hAnsi="Calibri"/>
            <w:noProof/>
            <w:lang w:val="en-US"/>
          </w:rPr>
          <w:t>5.</w:t>
        </w:r>
        <w:r w:rsidR="003C3308">
          <w:rPr>
            <w:rFonts w:eastAsiaTheme="minorEastAsia" w:cstheme="minorBidi"/>
            <w:smallCaps w:val="0"/>
            <w:noProof/>
            <w:sz w:val="22"/>
            <w:szCs w:val="22"/>
            <w:lang w:val="en-US" w:eastAsia="en-US"/>
          </w:rPr>
          <w:tab/>
        </w:r>
        <w:r w:rsidR="003C3308" w:rsidRPr="001C5832">
          <w:rPr>
            <w:rStyle w:val="Hyperlink"/>
            <w:rFonts w:ascii="Calibri" w:hAnsi="Calibri" w:cs="Calibri"/>
            <w:noProof/>
            <w:lang w:val="en-US"/>
          </w:rPr>
          <w:t>Risks</w:t>
        </w:r>
        <w:r w:rsidR="003C3308">
          <w:rPr>
            <w:noProof/>
            <w:webHidden/>
          </w:rPr>
          <w:tab/>
        </w:r>
        <w:r w:rsidR="003C3308">
          <w:rPr>
            <w:noProof/>
            <w:webHidden/>
          </w:rPr>
          <w:fldChar w:fldCharType="begin"/>
        </w:r>
        <w:r w:rsidR="003C3308">
          <w:rPr>
            <w:noProof/>
            <w:webHidden/>
          </w:rPr>
          <w:instrText xml:space="preserve"> PAGEREF _Toc58398596 \h </w:instrText>
        </w:r>
        <w:r w:rsidR="003C3308">
          <w:rPr>
            <w:noProof/>
            <w:webHidden/>
          </w:rPr>
        </w:r>
        <w:r w:rsidR="003C3308">
          <w:rPr>
            <w:noProof/>
            <w:webHidden/>
          </w:rPr>
          <w:fldChar w:fldCharType="separate"/>
        </w:r>
        <w:r w:rsidR="003C3308">
          <w:rPr>
            <w:noProof/>
            <w:webHidden/>
          </w:rPr>
          <w:t>125</w:t>
        </w:r>
        <w:r w:rsidR="003C3308">
          <w:rPr>
            <w:noProof/>
            <w:webHidden/>
          </w:rPr>
          <w:fldChar w:fldCharType="end"/>
        </w:r>
      </w:hyperlink>
    </w:p>
    <w:p w14:paraId="6BE2666C" w14:textId="683A4220" w:rsidR="003C3308" w:rsidRDefault="000C73F8">
      <w:pPr>
        <w:pStyle w:val="TOC2"/>
        <w:tabs>
          <w:tab w:val="left" w:pos="720"/>
          <w:tab w:val="right" w:leader="dot" w:pos="9736"/>
        </w:tabs>
        <w:rPr>
          <w:rFonts w:eastAsiaTheme="minorEastAsia" w:cstheme="minorBidi"/>
          <w:smallCaps w:val="0"/>
          <w:noProof/>
          <w:sz w:val="22"/>
          <w:szCs w:val="22"/>
          <w:lang w:val="en-US" w:eastAsia="en-US"/>
        </w:rPr>
      </w:pPr>
      <w:hyperlink w:anchor="_Toc58398597" w:history="1">
        <w:r w:rsidR="003C3308" w:rsidRPr="001C5832">
          <w:rPr>
            <w:rStyle w:val="Hyperlink"/>
            <w:rFonts w:ascii="Calibri" w:hAnsi="Calibri"/>
            <w:noProof/>
            <w:lang w:val="en-US"/>
          </w:rPr>
          <w:t>6.</w:t>
        </w:r>
        <w:r w:rsidR="003C3308">
          <w:rPr>
            <w:rFonts w:eastAsiaTheme="minorEastAsia" w:cstheme="minorBidi"/>
            <w:smallCaps w:val="0"/>
            <w:noProof/>
            <w:sz w:val="22"/>
            <w:szCs w:val="22"/>
            <w:lang w:val="en-US" w:eastAsia="en-US"/>
          </w:rPr>
          <w:tab/>
        </w:r>
        <w:r w:rsidR="003C3308" w:rsidRPr="001C5832">
          <w:rPr>
            <w:rStyle w:val="Hyperlink"/>
            <w:rFonts w:ascii="Calibri" w:hAnsi="Calibri" w:cs="Calibri"/>
            <w:noProof/>
            <w:lang w:val="en-US"/>
          </w:rPr>
          <w:t>Institutional Arrangements and Coordination</w:t>
        </w:r>
        <w:r w:rsidR="003C3308">
          <w:rPr>
            <w:noProof/>
            <w:webHidden/>
          </w:rPr>
          <w:tab/>
        </w:r>
        <w:r w:rsidR="003C3308">
          <w:rPr>
            <w:noProof/>
            <w:webHidden/>
          </w:rPr>
          <w:fldChar w:fldCharType="begin"/>
        </w:r>
        <w:r w:rsidR="003C3308">
          <w:rPr>
            <w:noProof/>
            <w:webHidden/>
          </w:rPr>
          <w:instrText xml:space="preserve"> PAGEREF _Toc58398597 \h </w:instrText>
        </w:r>
        <w:r w:rsidR="003C3308">
          <w:rPr>
            <w:noProof/>
            <w:webHidden/>
          </w:rPr>
        </w:r>
        <w:r w:rsidR="003C3308">
          <w:rPr>
            <w:noProof/>
            <w:webHidden/>
          </w:rPr>
          <w:fldChar w:fldCharType="separate"/>
        </w:r>
        <w:r w:rsidR="003C3308">
          <w:rPr>
            <w:noProof/>
            <w:webHidden/>
          </w:rPr>
          <w:t>130</w:t>
        </w:r>
        <w:r w:rsidR="003C3308">
          <w:rPr>
            <w:noProof/>
            <w:webHidden/>
          </w:rPr>
          <w:fldChar w:fldCharType="end"/>
        </w:r>
      </w:hyperlink>
    </w:p>
    <w:p w14:paraId="678040F5" w14:textId="1D4B482A" w:rsidR="003C3308" w:rsidRDefault="000C73F8">
      <w:pPr>
        <w:pStyle w:val="TOC2"/>
        <w:tabs>
          <w:tab w:val="left" w:pos="720"/>
          <w:tab w:val="right" w:leader="dot" w:pos="9736"/>
        </w:tabs>
        <w:rPr>
          <w:rFonts w:eastAsiaTheme="minorEastAsia" w:cstheme="minorBidi"/>
          <w:smallCaps w:val="0"/>
          <w:noProof/>
          <w:sz w:val="22"/>
          <w:szCs w:val="22"/>
          <w:lang w:val="en-US" w:eastAsia="en-US"/>
        </w:rPr>
      </w:pPr>
      <w:hyperlink w:anchor="_Toc58398598" w:history="1">
        <w:r w:rsidR="003C3308" w:rsidRPr="001C5832">
          <w:rPr>
            <w:rStyle w:val="Hyperlink"/>
            <w:rFonts w:ascii="Calibri" w:hAnsi="Calibri"/>
            <w:noProof/>
            <w:lang w:val="en-US"/>
          </w:rPr>
          <w:t>7.</w:t>
        </w:r>
        <w:r w:rsidR="003C3308">
          <w:rPr>
            <w:rFonts w:eastAsiaTheme="minorEastAsia" w:cstheme="minorBidi"/>
            <w:smallCaps w:val="0"/>
            <w:noProof/>
            <w:sz w:val="22"/>
            <w:szCs w:val="22"/>
            <w:lang w:val="en-US" w:eastAsia="en-US"/>
          </w:rPr>
          <w:tab/>
        </w:r>
        <w:r w:rsidR="003C3308" w:rsidRPr="001C5832">
          <w:rPr>
            <w:rStyle w:val="Hyperlink"/>
            <w:rFonts w:ascii="Calibri" w:hAnsi="Calibri" w:cs="Calibri"/>
            <w:noProof/>
            <w:lang w:val="en-US"/>
          </w:rPr>
          <w:t>Consistency with National Priorities</w:t>
        </w:r>
        <w:r w:rsidR="003C3308">
          <w:rPr>
            <w:noProof/>
            <w:webHidden/>
          </w:rPr>
          <w:tab/>
        </w:r>
        <w:r w:rsidR="003C3308">
          <w:rPr>
            <w:noProof/>
            <w:webHidden/>
          </w:rPr>
          <w:fldChar w:fldCharType="begin"/>
        </w:r>
        <w:r w:rsidR="003C3308">
          <w:rPr>
            <w:noProof/>
            <w:webHidden/>
          </w:rPr>
          <w:instrText xml:space="preserve"> PAGEREF _Toc58398598 \h </w:instrText>
        </w:r>
        <w:r w:rsidR="003C3308">
          <w:rPr>
            <w:noProof/>
            <w:webHidden/>
          </w:rPr>
        </w:r>
        <w:r w:rsidR="003C3308">
          <w:rPr>
            <w:noProof/>
            <w:webHidden/>
          </w:rPr>
          <w:fldChar w:fldCharType="separate"/>
        </w:r>
        <w:r w:rsidR="003C3308">
          <w:rPr>
            <w:noProof/>
            <w:webHidden/>
          </w:rPr>
          <w:t>135</w:t>
        </w:r>
        <w:r w:rsidR="003C3308">
          <w:rPr>
            <w:noProof/>
            <w:webHidden/>
          </w:rPr>
          <w:fldChar w:fldCharType="end"/>
        </w:r>
      </w:hyperlink>
    </w:p>
    <w:p w14:paraId="3E48DD6E" w14:textId="78680DB5" w:rsidR="003C3308" w:rsidRDefault="000C73F8">
      <w:pPr>
        <w:pStyle w:val="TOC2"/>
        <w:tabs>
          <w:tab w:val="left" w:pos="720"/>
          <w:tab w:val="right" w:leader="dot" w:pos="9736"/>
        </w:tabs>
        <w:rPr>
          <w:rFonts w:eastAsiaTheme="minorEastAsia" w:cstheme="minorBidi"/>
          <w:smallCaps w:val="0"/>
          <w:noProof/>
          <w:sz w:val="22"/>
          <w:szCs w:val="22"/>
          <w:lang w:val="en-US" w:eastAsia="en-US"/>
        </w:rPr>
      </w:pPr>
      <w:hyperlink w:anchor="_Toc58398599" w:history="1">
        <w:r w:rsidR="003C3308" w:rsidRPr="001C5832">
          <w:rPr>
            <w:rStyle w:val="Hyperlink"/>
            <w:rFonts w:ascii="Calibri" w:hAnsi="Calibri"/>
            <w:noProof/>
            <w:lang w:val="en-US"/>
          </w:rPr>
          <w:t>8.</w:t>
        </w:r>
        <w:r w:rsidR="003C3308">
          <w:rPr>
            <w:rFonts w:eastAsiaTheme="minorEastAsia" w:cstheme="minorBidi"/>
            <w:smallCaps w:val="0"/>
            <w:noProof/>
            <w:sz w:val="22"/>
            <w:szCs w:val="22"/>
            <w:lang w:val="en-US" w:eastAsia="en-US"/>
          </w:rPr>
          <w:tab/>
        </w:r>
        <w:r w:rsidR="003C3308" w:rsidRPr="001C5832">
          <w:rPr>
            <w:rStyle w:val="Hyperlink"/>
            <w:rFonts w:ascii="Calibri" w:hAnsi="Calibri" w:cs="Calibri"/>
            <w:noProof/>
            <w:lang w:val="en-US"/>
          </w:rPr>
          <w:t>Knowledge Management</w:t>
        </w:r>
        <w:r w:rsidR="003C3308">
          <w:rPr>
            <w:noProof/>
            <w:webHidden/>
          </w:rPr>
          <w:tab/>
        </w:r>
        <w:r w:rsidR="003C3308">
          <w:rPr>
            <w:noProof/>
            <w:webHidden/>
          </w:rPr>
          <w:fldChar w:fldCharType="begin"/>
        </w:r>
        <w:r w:rsidR="003C3308">
          <w:rPr>
            <w:noProof/>
            <w:webHidden/>
          </w:rPr>
          <w:instrText xml:space="preserve"> PAGEREF _Toc58398599 \h </w:instrText>
        </w:r>
        <w:r w:rsidR="003C3308">
          <w:rPr>
            <w:noProof/>
            <w:webHidden/>
          </w:rPr>
        </w:r>
        <w:r w:rsidR="003C3308">
          <w:rPr>
            <w:noProof/>
            <w:webHidden/>
          </w:rPr>
          <w:fldChar w:fldCharType="separate"/>
        </w:r>
        <w:r w:rsidR="003C3308">
          <w:rPr>
            <w:noProof/>
            <w:webHidden/>
          </w:rPr>
          <w:t>139</w:t>
        </w:r>
        <w:r w:rsidR="003C3308">
          <w:rPr>
            <w:noProof/>
            <w:webHidden/>
          </w:rPr>
          <w:fldChar w:fldCharType="end"/>
        </w:r>
      </w:hyperlink>
    </w:p>
    <w:p w14:paraId="0C63AA6B" w14:textId="48B29AC9" w:rsidR="003C3308" w:rsidRDefault="000C73F8">
      <w:pPr>
        <w:pStyle w:val="TOC2"/>
        <w:tabs>
          <w:tab w:val="left" w:pos="720"/>
          <w:tab w:val="right" w:leader="dot" w:pos="9736"/>
        </w:tabs>
        <w:rPr>
          <w:rFonts w:eastAsiaTheme="minorEastAsia" w:cstheme="minorBidi"/>
          <w:smallCaps w:val="0"/>
          <w:noProof/>
          <w:sz w:val="22"/>
          <w:szCs w:val="22"/>
          <w:lang w:val="en-US" w:eastAsia="en-US"/>
        </w:rPr>
      </w:pPr>
      <w:hyperlink w:anchor="_Toc58398600" w:history="1">
        <w:r w:rsidR="003C3308" w:rsidRPr="001C5832">
          <w:rPr>
            <w:rStyle w:val="Hyperlink"/>
            <w:rFonts w:ascii="Calibri" w:hAnsi="Calibri"/>
            <w:noProof/>
            <w:lang w:val="en-US"/>
          </w:rPr>
          <w:t>9.</w:t>
        </w:r>
        <w:r w:rsidR="003C3308">
          <w:rPr>
            <w:rFonts w:eastAsiaTheme="minorEastAsia" w:cstheme="minorBidi"/>
            <w:smallCaps w:val="0"/>
            <w:noProof/>
            <w:sz w:val="22"/>
            <w:szCs w:val="22"/>
            <w:lang w:val="en-US" w:eastAsia="en-US"/>
          </w:rPr>
          <w:tab/>
        </w:r>
        <w:r w:rsidR="003C3308" w:rsidRPr="001C5832">
          <w:rPr>
            <w:rStyle w:val="Hyperlink"/>
            <w:rFonts w:ascii="Calibri" w:hAnsi="Calibri" w:cs="Calibri"/>
            <w:noProof/>
            <w:lang w:val="en-US"/>
          </w:rPr>
          <w:t>Monitoring and Evaluation</w:t>
        </w:r>
        <w:r w:rsidR="003C3308">
          <w:rPr>
            <w:noProof/>
            <w:webHidden/>
          </w:rPr>
          <w:tab/>
        </w:r>
        <w:r w:rsidR="003C3308">
          <w:rPr>
            <w:noProof/>
            <w:webHidden/>
          </w:rPr>
          <w:fldChar w:fldCharType="begin"/>
        </w:r>
        <w:r w:rsidR="003C3308">
          <w:rPr>
            <w:noProof/>
            <w:webHidden/>
          </w:rPr>
          <w:instrText xml:space="preserve"> PAGEREF _Toc58398600 \h </w:instrText>
        </w:r>
        <w:r w:rsidR="003C3308">
          <w:rPr>
            <w:noProof/>
            <w:webHidden/>
          </w:rPr>
        </w:r>
        <w:r w:rsidR="003C3308">
          <w:rPr>
            <w:noProof/>
            <w:webHidden/>
          </w:rPr>
          <w:fldChar w:fldCharType="separate"/>
        </w:r>
        <w:r w:rsidR="003C3308">
          <w:rPr>
            <w:noProof/>
            <w:webHidden/>
          </w:rPr>
          <w:t>140</w:t>
        </w:r>
        <w:r w:rsidR="003C3308">
          <w:rPr>
            <w:noProof/>
            <w:webHidden/>
          </w:rPr>
          <w:fldChar w:fldCharType="end"/>
        </w:r>
      </w:hyperlink>
    </w:p>
    <w:p w14:paraId="668D7C19" w14:textId="4C780239" w:rsidR="003C3308" w:rsidRDefault="000C73F8">
      <w:pPr>
        <w:pStyle w:val="TOC2"/>
        <w:tabs>
          <w:tab w:val="left" w:pos="720"/>
          <w:tab w:val="right" w:leader="dot" w:pos="9736"/>
        </w:tabs>
        <w:rPr>
          <w:rFonts w:eastAsiaTheme="minorEastAsia" w:cstheme="minorBidi"/>
          <w:smallCaps w:val="0"/>
          <w:noProof/>
          <w:sz w:val="22"/>
          <w:szCs w:val="22"/>
          <w:lang w:val="en-US" w:eastAsia="en-US"/>
        </w:rPr>
      </w:pPr>
      <w:hyperlink w:anchor="_Toc58398601" w:history="1">
        <w:r w:rsidR="003C3308" w:rsidRPr="001C5832">
          <w:rPr>
            <w:rStyle w:val="Hyperlink"/>
            <w:rFonts w:ascii="Calibri" w:hAnsi="Calibri"/>
            <w:noProof/>
            <w:lang w:val="en-US"/>
          </w:rPr>
          <w:t>10.</w:t>
        </w:r>
        <w:r w:rsidR="003C3308">
          <w:rPr>
            <w:rFonts w:eastAsiaTheme="minorEastAsia" w:cstheme="minorBidi"/>
            <w:smallCaps w:val="0"/>
            <w:noProof/>
            <w:sz w:val="22"/>
            <w:szCs w:val="22"/>
            <w:lang w:val="en-US" w:eastAsia="en-US"/>
          </w:rPr>
          <w:tab/>
        </w:r>
        <w:r w:rsidR="003C3308" w:rsidRPr="001C5832">
          <w:rPr>
            <w:rStyle w:val="Hyperlink"/>
            <w:rFonts w:ascii="Calibri" w:hAnsi="Calibri" w:cs="Calibri"/>
            <w:noProof/>
            <w:lang w:val="en-US"/>
          </w:rPr>
          <w:t>Benefits</w:t>
        </w:r>
        <w:r w:rsidR="003C3308">
          <w:rPr>
            <w:noProof/>
            <w:webHidden/>
          </w:rPr>
          <w:tab/>
        </w:r>
        <w:r w:rsidR="003C3308">
          <w:rPr>
            <w:noProof/>
            <w:webHidden/>
          </w:rPr>
          <w:fldChar w:fldCharType="begin"/>
        </w:r>
        <w:r w:rsidR="003C3308">
          <w:rPr>
            <w:noProof/>
            <w:webHidden/>
          </w:rPr>
          <w:instrText xml:space="preserve"> PAGEREF _Toc58398601 \h </w:instrText>
        </w:r>
        <w:r w:rsidR="003C3308">
          <w:rPr>
            <w:noProof/>
            <w:webHidden/>
          </w:rPr>
        </w:r>
        <w:r w:rsidR="003C3308">
          <w:rPr>
            <w:noProof/>
            <w:webHidden/>
          </w:rPr>
          <w:fldChar w:fldCharType="separate"/>
        </w:r>
        <w:r w:rsidR="003C3308">
          <w:rPr>
            <w:noProof/>
            <w:webHidden/>
          </w:rPr>
          <w:t>142</w:t>
        </w:r>
        <w:r w:rsidR="003C3308">
          <w:rPr>
            <w:noProof/>
            <w:webHidden/>
          </w:rPr>
          <w:fldChar w:fldCharType="end"/>
        </w:r>
      </w:hyperlink>
    </w:p>
    <w:p w14:paraId="5CDEB1E2" w14:textId="78CC96BC" w:rsidR="003C3308" w:rsidRDefault="000C73F8">
      <w:pPr>
        <w:pStyle w:val="TOC1"/>
        <w:tabs>
          <w:tab w:val="right" w:leader="dot" w:pos="9736"/>
        </w:tabs>
        <w:rPr>
          <w:rFonts w:eastAsiaTheme="minorEastAsia" w:cstheme="minorBidi"/>
          <w:b w:val="0"/>
          <w:bCs w:val="0"/>
          <w:caps w:val="0"/>
          <w:noProof/>
          <w:sz w:val="22"/>
          <w:szCs w:val="22"/>
          <w:lang w:val="en-US" w:eastAsia="en-US"/>
        </w:rPr>
      </w:pPr>
      <w:hyperlink w:anchor="_Toc58398602" w:history="1">
        <w:r w:rsidR="003C3308" w:rsidRPr="001C5832">
          <w:rPr>
            <w:rStyle w:val="Hyperlink"/>
            <w:noProof/>
          </w:rPr>
          <w:t>PART III: ANNEXES</w:t>
        </w:r>
        <w:r w:rsidR="003C3308">
          <w:rPr>
            <w:noProof/>
            <w:webHidden/>
          </w:rPr>
          <w:tab/>
        </w:r>
        <w:r w:rsidR="003C3308">
          <w:rPr>
            <w:noProof/>
            <w:webHidden/>
          </w:rPr>
          <w:fldChar w:fldCharType="begin"/>
        </w:r>
        <w:r w:rsidR="003C3308">
          <w:rPr>
            <w:noProof/>
            <w:webHidden/>
          </w:rPr>
          <w:instrText xml:space="preserve"> PAGEREF _Toc58398602 \h </w:instrText>
        </w:r>
        <w:r w:rsidR="003C3308">
          <w:rPr>
            <w:noProof/>
            <w:webHidden/>
          </w:rPr>
        </w:r>
        <w:r w:rsidR="003C3308">
          <w:rPr>
            <w:noProof/>
            <w:webHidden/>
          </w:rPr>
          <w:fldChar w:fldCharType="separate"/>
        </w:r>
        <w:r w:rsidR="003C3308">
          <w:rPr>
            <w:noProof/>
            <w:webHidden/>
          </w:rPr>
          <w:t>144</w:t>
        </w:r>
        <w:r w:rsidR="003C3308">
          <w:rPr>
            <w:noProof/>
            <w:webHidden/>
          </w:rPr>
          <w:fldChar w:fldCharType="end"/>
        </w:r>
      </w:hyperlink>
    </w:p>
    <w:p w14:paraId="665B0D08" w14:textId="06EC07A1" w:rsidR="003C3308" w:rsidRDefault="000C73F8">
      <w:pPr>
        <w:pStyle w:val="TOC2"/>
        <w:tabs>
          <w:tab w:val="right" w:leader="dot" w:pos="9736"/>
        </w:tabs>
        <w:rPr>
          <w:rFonts w:eastAsiaTheme="minorEastAsia" w:cstheme="minorBidi"/>
          <w:smallCaps w:val="0"/>
          <w:noProof/>
          <w:sz w:val="22"/>
          <w:szCs w:val="22"/>
          <w:lang w:val="en-US" w:eastAsia="en-US"/>
        </w:rPr>
      </w:pPr>
      <w:hyperlink w:anchor="_Toc58398603" w:history="1">
        <w:r w:rsidR="003C3308" w:rsidRPr="001C5832">
          <w:rPr>
            <w:rStyle w:val="Hyperlink"/>
            <w:noProof/>
            <w:lang w:val="en-US"/>
          </w:rPr>
          <w:t>Annex A1: Project Results Framework</w:t>
        </w:r>
        <w:r w:rsidR="003C3308">
          <w:rPr>
            <w:noProof/>
            <w:webHidden/>
          </w:rPr>
          <w:tab/>
        </w:r>
        <w:r w:rsidR="003C3308">
          <w:rPr>
            <w:noProof/>
            <w:webHidden/>
          </w:rPr>
          <w:fldChar w:fldCharType="begin"/>
        </w:r>
        <w:r w:rsidR="003C3308">
          <w:rPr>
            <w:noProof/>
            <w:webHidden/>
          </w:rPr>
          <w:instrText xml:space="preserve"> PAGEREF _Toc58398603 \h </w:instrText>
        </w:r>
        <w:r w:rsidR="003C3308">
          <w:rPr>
            <w:noProof/>
            <w:webHidden/>
          </w:rPr>
        </w:r>
        <w:r w:rsidR="003C3308">
          <w:rPr>
            <w:noProof/>
            <w:webHidden/>
          </w:rPr>
          <w:fldChar w:fldCharType="separate"/>
        </w:r>
        <w:r w:rsidR="003C3308">
          <w:rPr>
            <w:noProof/>
            <w:webHidden/>
          </w:rPr>
          <w:t>144</w:t>
        </w:r>
        <w:r w:rsidR="003C3308">
          <w:rPr>
            <w:noProof/>
            <w:webHidden/>
          </w:rPr>
          <w:fldChar w:fldCharType="end"/>
        </w:r>
      </w:hyperlink>
    </w:p>
    <w:p w14:paraId="4E0FD541" w14:textId="62B615F5" w:rsidR="003C3308" w:rsidRDefault="000C73F8">
      <w:pPr>
        <w:pStyle w:val="TOC2"/>
        <w:tabs>
          <w:tab w:val="right" w:leader="dot" w:pos="9736"/>
        </w:tabs>
        <w:rPr>
          <w:rFonts w:eastAsiaTheme="minorEastAsia" w:cstheme="minorBidi"/>
          <w:smallCaps w:val="0"/>
          <w:noProof/>
          <w:sz w:val="22"/>
          <w:szCs w:val="22"/>
          <w:lang w:val="en-US" w:eastAsia="en-US"/>
        </w:rPr>
      </w:pPr>
      <w:hyperlink w:anchor="_Toc58398604" w:history="1">
        <w:r w:rsidR="003C3308" w:rsidRPr="001C5832">
          <w:rPr>
            <w:rStyle w:val="Hyperlink"/>
            <w:noProof/>
            <w:lang w:val="en-US"/>
          </w:rPr>
          <w:t>Annex A2: Project Budget</w:t>
        </w:r>
        <w:r w:rsidR="003C3308">
          <w:rPr>
            <w:noProof/>
            <w:webHidden/>
          </w:rPr>
          <w:tab/>
        </w:r>
        <w:r w:rsidR="003C3308">
          <w:rPr>
            <w:noProof/>
            <w:webHidden/>
          </w:rPr>
          <w:fldChar w:fldCharType="begin"/>
        </w:r>
        <w:r w:rsidR="003C3308">
          <w:rPr>
            <w:noProof/>
            <w:webHidden/>
          </w:rPr>
          <w:instrText xml:space="preserve"> PAGEREF _Toc58398604 \h </w:instrText>
        </w:r>
        <w:r w:rsidR="003C3308">
          <w:rPr>
            <w:noProof/>
            <w:webHidden/>
          </w:rPr>
        </w:r>
        <w:r w:rsidR="003C3308">
          <w:rPr>
            <w:noProof/>
            <w:webHidden/>
          </w:rPr>
          <w:fldChar w:fldCharType="separate"/>
        </w:r>
        <w:r w:rsidR="003C3308">
          <w:rPr>
            <w:noProof/>
            <w:webHidden/>
          </w:rPr>
          <w:t>151</w:t>
        </w:r>
        <w:r w:rsidR="003C3308">
          <w:rPr>
            <w:noProof/>
            <w:webHidden/>
          </w:rPr>
          <w:fldChar w:fldCharType="end"/>
        </w:r>
      </w:hyperlink>
    </w:p>
    <w:p w14:paraId="5075074A" w14:textId="29C04888" w:rsidR="003C3308" w:rsidRDefault="000C73F8">
      <w:pPr>
        <w:pStyle w:val="TOC2"/>
        <w:tabs>
          <w:tab w:val="right" w:leader="dot" w:pos="9736"/>
        </w:tabs>
        <w:rPr>
          <w:rFonts w:eastAsiaTheme="minorEastAsia" w:cstheme="minorBidi"/>
          <w:smallCaps w:val="0"/>
          <w:noProof/>
          <w:sz w:val="22"/>
          <w:szCs w:val="22"/>
          <w:lang w:val="en-US" w:eastAsia="en-US"/>
        </w:rPr>
      </w:pPr>
      <w:hyperlink w:anchor="_Toc58398605" w:history="1">
        <w:r w:rsidR="003C3308" w:rsidRPr="001C5832">
          <w:rPr>
            <w:rStyle w:val="Hyperlink"/>
            <w:noProof/>
            <w:lang w:val="en-US"/>
          </w:rPr>
          <w:t>Annex A3: Co-financing – Government Baselines and co-financing investments</w:t>
        </w:r>
        <w:r w:rsidR="003C3308">
          <w:rPr>
            <w:noProof/>
            <w:webHidden/>
          </w:rPr>
          <w:tab/>
        </w:r>
        <w:r w:rsidR="003C3308">
          <w:rPr>
            <w:noProof/>
            <w:webHidden/>
          </w:rPr>
          <w:fldChar w:fldCharType="begin"/>
        </w:r>
        <w:r w:rsidR="003C3308">
          <w:rPr>
            <w:noProof/>
            <w:webHidden/>
          </w:rPr>
          <w:instrText xml:space="preserve"> PAGEREF _Toc58398605 \h </w:instrText>
        </w:r>
        <w:r w:rsidR="003C3308">
          <w:rPr>
            <w:noProof/>
            <w:webHidden/>
          </w:rPr>
        </w:r>
        <w:r w:rsidR="003C3308">
          <w:rPr>
            <w:noProof/>
            <w:webHidden/>
          </w:rPr>
          <w:fldChar w:fldCharType="separate"/>
        </w:r>
        <w:r w:rsidR="003C3308">
          <w:rPr>
            <w:noProof/>
            <w:webHidden/>
          </w:rPr>
          <w:t>152</w:t>
        </w:r>
        <w:r w:rsidR="003C3308">
          <w:rPr>
            <w:noProof/>
            <w:webHidden/>
          </w:rPr>
          <w:fldChar w:fldCharType="end"/>
        </w:r>
      </w:hyperlink>
    </w:p>
    <w:p w14:paraId="34A57235" w14:textId="0C73C254" w:rsidR="003C3308" w:rsidRDefault="000C73F8">
      <w:pPr>
        <w:pStyle w:val="TOC2"/>
        <w:tabs>
          <w:tab w:val="right" w:leader="dot" w:pos="9736"/>
        </w:tabs>
        <w:rPr>
          <w:rFonts w:eastAsiaTheme="minorEastAsia" w:cstheme="minorBidi"/>
          <w:smallCaps w:val="0"/>
          <w:noProof/>
          <w:sz w:val="22"/>
          <w:szCs w:val="22"/>
          <w:lang w:val="en-US" w:eastAsia="en-US"/>
        </w:rPr>
      </w:pPr>
      <w:hyperlink w:anchor="_Toc58398606" w:history="1">
        <w:r w:rsidR="003C3308" w:rsidRPr="001C5832">
          <w:rPr>
            <w:rStyle w:val="Hyperlink"/>
            <w:noProof/>
            <w:lang w:val="en-US"/>
          </w:rPr>
          <w:t>Annex B: Response to Project Reviews</w:t>
        </w:r>
        <w:r w:rsidR="003C3308">
          <w:rPr>
            <w:noProof/>
            <w:webHidden/>
          </w:rPr>
          <w:tab/>
        </w:r>
        <w:r w:rsidR="003C3308">
          <w:rPr>
            <w:noProof/>
            <w:webHidden/>
          </w:rPr>
          <w:fldChar w:fldCharType="begin"/>
        </w:r>
        <w:r w:rsidR="003C3308">
          <w:rPr>
            <w:noProof/>
            <w:webHidden/>
          </w:rPr>
          <w:instrText xml:space="preserve"> PAGEREF _Toc58398606 \h </w:instrText>
        </w:r>
        <w:r w:rsidR="003C3308">
          <w:rPr>
            <w:noProof/>
            <w:webHidden/>
          </w:rPr>
        </w:r>
        <w:r w:rsidR="003C3308">
          <w:rPr>
            <w:noProof/>
            <w:webHidden/>
          </w:rPr>
          <w:fldChar w:fldCharType="separate"/>
        </w:r>
        <w:r w:rsidR="003C3308">
          <w:rPr>
            <w:noProof/>
            <w:webHidden/>
          </w:rPr>
          <w:t>157</w:t>
        </w:r>
        <w:r w:rsidR="003C3308">
          <w:rPr>
            <w:noProof/>
            <w:webHidden/>
          </w:rPr>
          <w:fldChar w:fldCharType="end"/>
        </w:r>
      </w:hyperlink>
    </w:p>
    <w:p w14:paraId="4A1B2A4E" w14:textId="1336A33A" w:rsidR="003C3308" w:rsidRDefault="000C73F8">
      <w:pPr>
        <w:pStyle w:val="TOC2"/>
        <w:tabs>
          <w:tab w:val="right" w:leader="dot" w:pos="9736"/>
        </w:tabs>
        <w:rPr>
          <w:rFonts w:eastAsiaTheme="minorEastAsia" w:cstheme="minorBidi"/>
          <w:smallCaps w:val="0"/>
          <w:noProof/>
          <w:sz w:val="22"/>
          <w:szCs w:val="22"/>
          <w:lang w:val="en-US" w:eastAsia="en-US"/>
        </w:rPr>
      </w:pPr>
      <w:hyperlink w:anchor="_Toc58398607" w:history="1">
        <w:r w:rsidR="003C3308" w:rsidRPr="001C5832">
          <w:rPr>
            <w:rStyle w:val="Hyperlink"/>
            <w:rFonts w:ascii="Calibri" w:hAnsi="Calibri"/>
            <w:noProof/>
            <w:lang w:val="en-US"/>
          </w:rPr>
          <w:t>Annex C</w:t>
        </w:r>
        <w:r w:rsidR="003C3308" w:rsidRPr="001C5832">
          <w:rPr>
            <w:rStyle w:val="Hyperlink"/>
            <w:noProof/>
            <w:lang w:val="en-US"/>
          </w:rPr>
          <w:t>: Status of Utilization of Project Preparation Grant (PPG)</w:t>
        </w:r>
        <w:r w:rsidR="003C3308">
          <w:rPr>
            <w:noProof/>
            <w:webHidden/>
          </w:rPr>
          <w:tab/>
        </w:r>
        <w:r w:rsidR="003C3308">
          <w:rPr>
            <w:noProof/>
            <w:webHidden/>
          </w:rPr>
          <w:fldChar w:fldCharType="begin"/>
        </w:r>
        <w:r w:rsidR="003C3308">
          <w:rPr>
            <w:noProof/>
            <w:webHidden/>
          </w:rPr>
          <w:instrText xml:space="preserve"> PAGEREF _Toc58398607 \h </w:instrText>
        </w:r>
        <w:r w:rsidR="003C3308">
          <w:rPr>
            <w:noProof/>
            <w:webHidden/>
          </w:rPr>
        </w:r>
        <w:r w:rsidR="003C3308">
          <w:rPr>
            <w:noProof/>
            <w:webHidden/>
          </w:rPr>
          <w:fldChar w:fldCharType="separate"/>
        </w:r>
        <w:r w:rsidR="003C3308">
          <w:rPr>
            <w:noProof/>
            <w:webHidden/>
          </w:rPr>
          <w:t>158</w:t>
        </w:r>
        <w:r w:rsidR="003C3308">
          <w:rPr>
            <w:noProof/>
            <w:webHidden/>
          </w:rPr>
          <w:fldChar w:fldCharType="end"/>
        </w:r>
      </w:hyperlink>
    </w:p>
    <w:p w14:paraId="0F32BE04" w14:textId="5D06C163" w:rsidR="003C3308" w:rsidRDefault="000C73F8">
      <w:pPr>
        <w:pStyle w:val="TOC2"/>
        <w:tabs>
          <w:tab w:val="right" w:leader="dot" w:pos="9736"/>
        </w:tabs>
        <w:rPr>
          <w:rFonts w:eastAsiaTheme="minorEastAsia" w:cstheme="minorBidi"/>
          <w:smallCaps w:val="0"/>
          <w:noProof/>
          <w:sz w:val="22"/>
          <w:szCs w:val="22"/>
          <w:lang w:val="en-US" w:eastAsia="en-US"/>
        </w:rPr>
      </w:pPr>
      <w:hyperlink w:anchor="_Toc58398608" w:history="1">
        <w:r w:rsidR="003C3308" w:rsidRPr="001C5832">
          <w:rPr>
            <w:rStyle w:val="Hyperlink"/>
            <w:noProof/>
            <w:lang w:val="en-US"/>
          </w:rPr>
          <w:t>Annex D: Calendar of Expected Reflows (if non-grant instrument is used)</w:t>
        </w:r>
        <w:r w:rsidR="003C3308">
          <w:rPr>
            <w:noProof/>
            <w:webHidden/>
          </w:rPr>
          <w:tab/>
        </w:r>
        <w:r w:rsidR="003C3308">
          <w:rPr>
            <w:noProof/>
            <w:webHidden/>
          </w:rPr>
          <w:fldChar w:fldCharType="begin"/>
        </w:r>
        <w:r w:rsidR="003C3308">
          <w:rPr>
            <w:noProof/>
            <w:webHidden/>
          </w:rPr>
          <w:instrText xml:space="preserve"> PAGEREF _Toc58398608 \h </w:instrText>
        </w:r>
        <w:r w:rsidR="003C3308">
          <w:rPr>
            <w:noProof/>
            <w:webHidden/>
          </w:rPr>
        </w:r>
        <w:r w:rsidR="003C3308">
          <w:rPr>
            <w:noProof/>
            <w:webHidden/>
          </w:rPr>
          <w:fldChar w:fldCharType="separate"/>
        </w:r>
        <w:r w:rsidR="003C3308">
          <w:rPr>
            <w:noProof/>
            <w:webHidden/>
          </w:rPr>
          <w:t>158</w:t>
        </w:r>
        <w:r w:rsidR="003C3308">
          <w:rPr>
            <w:noProof/>
            <w:webHidden/>
          </w:rPr>
          <w:fldChar w:fldCharType="end"/>
        </w:r>
      </w:hyperlink>
    </w:p>
    <w:p w14:paraId="28B06477" w14:textId="3714C2D9" w:rsidR="003C3308" w:rsidRDefault="000C73F8">
      <w:pPr>
        <w:pStyle w:val="TOC2"/>
        <w:tabs>
          <w:tab w:val="right" w:leader="dot" w:pos="9736"/>
        </w:tabs>
        <w:rPr>
          <w:rFonts w:eastAsiaTheme="minorEastAsia" w:cstheme="minorBidi"/>
          <w:smallCaps w:val="0"/>
          <w:noProof/>
          <w:sz w:val="22"/>
          <w:szCs w:val="22"/>
          <w:lang w:val="en-US" w:eastAsia="en-US"/>
        </w:rPr>
      </w:pPr>
      <w:hyperlink w:anchor="_Toc58398609" w:history="1">
        <w:r w:rsidR="003C3308" w:rsidRPr="001C5832">
          <w:rPr>
            <w:rStyle w:val="Hyperlink"/>
            <w:noProof/>
            <w:lang w:val="en-US"/>
          </w:rPr>
          <w:t>Annex E: Project Map(s) and Coordinates</w:t>
        </w:r>
        <w:r w:rsidR="003C3308">
          <w:rPr>
            <w:noProof/>
            <w:webHidden/>
          </w:rPr>
          <w:tab/>
        </w:r>
        <w:r w:rsidR="003C3308">
          <w:rPr>
            <w:noProof/>
            <w:webHidden/>
          </w:rPr>
          <w:fldChar w:fldCharType="begin"/>
        </w:r>
        <w:r w:rsidR="003C3308">
          <w:rPr>
            <w:noProof/>
            <w:webHidden/>
          </w:rPr>
          <w:instrText xml:space="preserve"> PAGEREF _Toc58398609 \h </w:instrText>
        </w:r>
        <w:r w:rsidR="003C3308">
          <w:rPr>
            <w:noProof/>
            <w:webHidden/>
          </w:rPr>
        </w:r>
        <w:r w:rsidR="003C3308">
          <w:rPr>
            <w:noProof/>
            <w:webHidden/>
          </w:rPr>
          <w:fldChar w:fldCharType="separate"/>
        </w:r>
        <w:r w:rsidR="003C3308">
          <w:rPr>
            <w:noProof/>
            <w:webHidden/>
          </w:rPr>
          <w:t>159</w:t>
        </w:r>
        <w:r w:rsidR="003C3308">
          <w:rPr>
            <w:noProof/>
            <w:webHidden/>
          </w:rPr>
          <w:fldChar w:fldCharType="end"/>
        </w:r>
      </w:hyperlink>
    </w:p>
    <w:p w14:paraId="120AE7E0" w14:textId="7FF57B23" w:rsidR="003C3308" w:rsidRDefault="000C73F8">
      <w:pPr>
        <w:pStyle w:val="TOC2"/>
        <w:tabs>
          <w:tab w:val="right" w:leader="dot" w:pos="9736"/>
        </w:tabs>
        <w:rPr>
          <w:rFonts w:eastAsiaTheme="minorEastAsia" w:cstheme="minorBidi"/>
          <w:smallCaps w:val="0"/>
          <w:noProof/>
          <w:sz w:val="22"/>
          <w:szCs w:val="22"/>
          <w:lang w:val="en-US" w:eastAsia="en-US"/>
        </w:rPr>
      </w:pPr>
      <w:hyperlink w:anchor="_Toc58398610" w:history="1">
        <w:r w:rsidR="003C3308" w:rsidRPr="001C5832">
          <w:rPr>
            <w:rStyle w:val="Hyperlink"/>
            <w:noProof/>
            <w:lang w:val="en-US"/>
          </w:rPr>
          <w:t>Annex F: GEF TF / LDCF/ SCCF Core Indicator Worksheet</w:t>
        </w:r>
        <w:r w:rsidR="003C3308">
          <w:rPr>
            <w:noProof/>
            <w:webHidden/>
          </w:rPr>
          <w:tab/>
        </w:r>
        <w:r w:rsidR="003C3308">
          <w:rPr>
            <w:noProof/>
            <w:webHidden/>
          </w:rPr>
          <w:fldChar w:fldCharType="begin"/>
        </w:r>
        <w:r w:rsidR="003C3308">
          <w:rPr>
            <w:noProof/>
            <w:webHidden/>
          </w:rPr>
          <w:instrText xml:space="preserve"> PAGEREF _Toc58398610 \h </w:instrText>
        </w:r>
        <w:r w:rsidR="003C3308">
          <w:rPr>
            <w:noProof/>
            <w:webHidden/>
          </w:rPr>
        </w:r>
        <w:r w:rsidR="003C3308">
          <w:rPr>
            <w:noProof/>
            <w:webHidden/>
          </w:rPr>
          <w:fldChar w:fldCharType="separate"/>
        </w:r>
        <w:r w:rsidR="003C3308">
          <w:rPr>
            <w:noProof/>
            <w:webHidden/>
          </w:rPr>
          <w:t>160</w:t>
        </w:r>
        <w:r w:rsidR="003C3308">
          <w:rPr>
            <w:noProof/>
            <w:webHidden/>
          </w:rPr>
          <w:fldChar w:fldCharType="end"/>
        </w:r>
      </w:hyperlink>
    </w:p>
    <w:p w14:paraId="476E2A28" w14:textId="375EA267" w:rsidR="003C3308" w:rsidRDefault="000C73F8">
      <w:pPr>
        <w:pStyle w:val="TOC2"/>
        <w:tabs>
          <w:tab w:val="right" w:leader="dot" w:pos="9736"/>
        </w:tabs>
        <w:rPr>
          <w:rFonts w:eastAsiaTheme="minorEastAsia" w:cstheme="minorBidi"/>
          <w:smallCaps w:val="0"/>
          <w:noProof/>
          <w:sz w:val="22"/>
          <w:szCs w:val="22"/>
          <w:lang w:val="en-US" w:eastAsia="en-US"/>
        </w:rPr>
      </w:pPr>
      <w:hyperlink w:anchor="_Toc58398611" w:history="1">
        <w:r w:rsidR="003C3308" w:rsidRPr="001C5832">
          <w:rPr>
            <w:rStyle w:val="Hyperlink"/>
            <w:noProof/>
            <w:lang w:val="en-US"/>
          </w:rPr>
          <w:t>Annex G: GEF Project Taxonomy Worksheet</w:t>
        </w:r>
        <w:r w:rsidR="003C3308">
          <w:rPr>
            <w:noProof/>
            <w:webHidden/>
          </w:rPr>
          <w:tab/>
        </w:r>
        <w:r w:rsidR="003C3308">
          <w:rPr>
            <w:noProof/>
            <w:webHidden/>
          </w:rPr>
          <w:fldChar w:fldCharType="begin"/>
        </w:r>
        <w:r w:rsidR="003C3308">
          <w:rPr>
            <w:noProof/>
            <w:webHidden/>
          </w:rPr>
          <w:instrText xml:space="preserve"> PAGEREF _Toc58398611 \h </w:instrText>
        </w:r>
        <w:r w:rsidR="003C3308">
          <w:rPr>
            <w:noProof/>
            <w:webHidden/>
          </w:rPr>
        </w:r>
        <w:r w:rsidR="003C3308">
          <w:rPr>
            <w:noProof/>
            <w:webHidden/>
          </w:rPr>
          <w:fldChar w:fldCharType="separate"/>
        </w:r>
        <w:r w:rsidR="003C3308">
          <w:rPr>
            <w:noProof/>
            <w:webHidden/>
          </w:rPr>
          <w:t>162</w:t>
        </w:r>
        <w:r w:rsidR="003C3308">
          <w:rPr>
            <w:noProof/>
            <w:webHidden/>
          </w:rPr>
          <w:fldChar w:fldCharType="end"/>
        </w:r>
      </w:hyperlink>
    </w:p>
    <w:p w14:paraId="685419B2" w14:textId="6957EEDD" w:rsidR="003C3308" w:rsidRDefault="000C73F8">
      <w:pPr>
        <w:pStyle w:val="TOC2"/>
        <w:tabs>
          <w:tab w:val="right" w:leader="dot" w:pos="9736"/>
        </w:tabs>
        <w:rPr>
          <w:rFonts w:eastAsiaTheme="minorEastAsia" w:cstheme="minorBidi"/>
          <w:smallCaps w:val="0"/>
          <w:noProof/>
          <w:sz w:val="22"/>
          <w:szCs w:val="22"/>
          <w:lang w:val="en-US" w:eastAsia="en-US"/>
        </w:rPr>
      </w:pPr>
      <w:hyperlink w:anchor="_Toc58398612" w:history="1">
        <w:r w:rsidR="003C3308" w:rsidRPr="001C5832">
          <w:rPr>
            <w:rStyle w:val="Hyperlink"/>
            <w:noProof/>
            <w:lang w:val="en-US"/>
          </w:rPr>
          <w:t>Annex H: Work Plan (indicative)</w:t>
        </w:r>
        <w:r w:rsidR="003C3308">
          <w:rPr>
            <w:noProof/>
            <w:webHidden/>
          </w:rPr>
          <w:tab/>
        </w:r>
        <w:r w:rsidR="003C3308">
          <w:rPr>
            <w:noProof/>
            <w:webHidden/>
          </w:rPr>
          <w:fldChar w:fldCharType="begin"/>
        </w:r>
        <w:r w:rsidR="003C3308">
          <w:rPr>
            <w:noProof/>
            <w:webHidden/>
          </w:rPr>
          <w:instrText xml:space="preserve"> PAGEREF _Toc58398612 \h </w:instrText>
        </w:r>
        <w:r w:rsidR="003C3308">
          <w:rPr>
            <w:noProof/>
            <w:webHidden/>
          </w:rPr>
        </w:r>
        <w:r w:rsidR="003C3308">
          <w:rPr>
            <w:noProof/>
            <w:webHidden/>
          </w:rPr>
          <w:fldChar w:fldCharType="separate"/>
        </w:r>
        <w:r w:rsidR="003C3308">
          <w:rPr>
            <w:noProof/>
            <w:webHidden/>
          </w:rPr>
          <w:t>163</w:t>
        </w:r>
        <w:r w:rsidR="003C3308">
          <w:rPr>
            <w:noProof/>
            <w:webHidden/>
          </w:rPr>
          <w:fldChar w:fldCharType="end"/>
        </w:r>
      </w:hyperlink>
    </w:p>
    <w:p w14:paraId="7D6AA158" w14:textId="27703F3F" w:rsidR="003C3308" w:rsidRDefault="000C73F8">
      <w:pPr>
        <w:pStyle w:val="TOC2"/>
        <w:tabs>
          <w:tab w:val="right" w:leader="dot" w:pos="9736"/>
        </w:tabs>
        <w:rPr>
          <w:rFonts w:eastAsiaTheme="minorEastAsia" w:cstheme="minorBidi"/>
          <w:smallCaps w:val="0"/>
          <w:noProof/>
          <w:sz w:val="22"/>
          <w:szCs w:val="22"/>
          <w:lang w:val="en-US" w:eastAsia="en-US"/>
        </w:rPr>
      </w:pPr>
      <w:hyperlink w:anchor="_Toc58398613" w:history="1">
        <w:r w:rsidR="003C3308" w:rsidRPr="001C5832">
          <w:rPr>
            <w:rStyle w:val="Hyperlink"/>
            <w:noProof/>
            <w:lang w:val="en-US"/>
          </w:rPr>
          <w:t>Annex I1: Environmental and Social Risk Certification</w:t>
        </w:r>
        <w:r w:rsidR="003C3308">
          <w:rPr>
            <w:noProof/>
            <w:webHidden/>
          </w:rPr>
          <w:tab/>
        </w:r>
        <w:r w:rsidR="003C3308">
          <w:rPr>
            <w:noProof/>
            <w:webHidden/>
          </w:rPr>
          <w:fldChar w:fldCharType="begin"/>
        </w:r>
        <w:r w:rsidR="003C3308">
          <w:rPr>
            <w:noProof/>
            <w:webHidden/>
          </w:rPr>
          <w:instrText xml:space="preserve"> PAGEREF _Toc58398613 \h </w:instrText>
        </w:r>
        <w:r w:rsidR="003C3308">
          <w:rPr>
            <w:noProof/>
            <w:webHidden/>
          </w:rPr>
        </w:r>
        <w:r w:rsidR="003C3308">
          <w:rPr>
            <w:noProof/>
            <w:webHidden/>
          </w:rPr>
          <w:fldChar w:fldCharType="separate"/>
        </w:r>
        <w:r w:rsidR="003C3308">
          <w:rPr>
            <w:noProof/>
            <w:webHidden/>
          </w:rPr>
          <w:t>163</w:t>
        </w:r>
        <w:r w:rsidR="003C3308">
          <w:rPr>
            <w:noProof/>
            <w:webHidden/>
          </w:rPr>
          <w:fldChar w:fldCharType="end"/>
        </w:r>
      </w:hyperlink>
    </w:p>
    <w:p w14:paraId="7EBCAB72" w14:textId="2DF764DD" w:rsidR="003C3308" w:rsidRDefault="000C73F8">
      <w:pPr>
        <w:pStyle w:val="TOC2"/>
        <w:tabs>
          <w:tab w:val="right" w:leader="dot" w:pos="9736"/>
        </w:tabs>
        <w:rPr>
          <w:rFonts w:eastAsiaTheme="minorEastAsia" w:cstheme="minorBidi"/>
          <w:smallCaps w:val="0"/>
          <w:noProof/>
          <w:sz w:val="22"/>
          <w:szCs w:val="22"/>
          <w:lang w:val="en-US" w:eastAsia="en-US"/>
        </w:rPr>
      </w:pPr>
      <w:hyperlink w:anchor="_Toc58398614" w:history="1">
        <w:r w:rsidR="003C3308" w:rsidRPr="001C5832">
          <w:rPr>
            <w:rStyle w:val="Hyperlink"/>
            <w:noProof/>
            <w:lang w:val="en-US"/>
          </w:rPr>
          <w:t>Annex I2:  Stakeholder Engagement Matrix and Grievance Redress Mechanism</w:t>
        </w:r>
        <w:r w:rsidR="003C3308">
          <w:rPr>
            <w:noProof/>
            <w:webHidden/>
          </w:rPr>
          <w:tab/>
        </w:r>
        <w:r w:rsidR="003C3308">
          <w:rPr>
            <w:noProof/>
            <w:webHidden/>
          </w:rPr>
          <w:fldChar w:fldCharType="begin"/>
        </w:r>
        <w:r w:rsidR="003C3308">
          <w:rPr>
            <w:noProof/>
            <w:webHidden/>
          </w:rPr>
          <w:instrText xml:space="preserve"> PAGEREF _Toc58398614 \h </w:instrText>
        </w:r>
        <w:r w:rsidR="003C3308">
          <w:rPr>
            <w:noProof/>
            <w:webHidden/>
          </w:rPr>
        </w:r>
        <w:r w:rsidR="003C3308">
          <w:rPr>
            <w:noProof/>
            <w:webHidden/>
          </w:rPr>
          <w:fldChar w:fldCharType="separate"/>
        </w:r>
        <w:r w:rsidR="003C3308">
          <w:rPr>
            <w:noProof/>
            <w:webHidden/>
          </w:rPr>
          <w:t>163</w:t>
        </w:r>
        <w:r w:rsidR="003C3308">
          <w:rPr>
            <w:noProof/>
            <w:webHidden/>
          </w:rPr>
          <w:fldChar w:fldCharType="end"/>
        </w:r>
      </w:hyperlink>
    </w:p>
    <w:p w14:paraId="270A25A2" w14:textId="45FF03E2" w:rsidR="003C3308" w:rsidRDefault="000C73F8">
      <w:pPr>
        <w:pStyle w:val="TOC2"/>
        <w:tabs>
          <w:tab w:val="right" w:leader="dot" w:pos="9736"/>
        </w:tabs>
        <w:rPr>
          <w:rFonts w:eastAsiaTheme="minorEastAsia" w:cstheme="minorBidi"/>
          <w:smallCaps w:val="0"/>
          <w:noProof/>
          <w:sz w:val="22"/>
          <w:szCs w:val="22"/>
          <w:lang w:val="en-US" w:eastAsia="en-US"/>
        </w:rPr>
      </w:pPr>
      <w:hyperlink w:anchor="_Toc58398615" w:history="1">
        <w:r w:rsidR="003C3308" w:rsidRPr="001C5832">
          <w:rPr>
            <w:rStyle w:val="Hyperlink"/>
            <w:noProof/>
          </w:rPr>
          <w:t>Annex J: Indigenous Peoples</w:t>
        </w:r>
        <w:r w:rsidR="003C3308">
          <w:rPr>
            <w:noProof/>
            <w:webHidden/>
          </w:rPr>
          <w:tab/>
        </w:r>
        <w:r w:rsidR="003C3308">
          <w:rPr>
            <w:noProof/>
            <w:webHidden/>
          </w:rPr>
          <w:fldChar w:fldCharType="begin"/>
        </w:r>
        <w:r w:rsidR="003C3308">
          <w:rPr>
            <w:noProof/>
            <w:webHidden/>
          </w:rPr>
          <w:instrText xml:space="preserve"> PAGEREF _Toc58398615 \h </w:instrText>
        </w:r>
        <w:r w:rsidR="003C3308">
          <w:rPr>
            <w:noProof/>
            <w:webHidden/>
          </w:rPr>
        </w:r>
        <w:r w:rsidR="003C3308">
          <w:rPr>
            <w:noProof/>
            <w:webHidden/>
          </w:rPr>
          <w:fldChar w:fldCharType="separate"/>
        </w:r>
        <w:r w:rsidR="003C3308">
          <w:rPr>
            <w:noProof/>
            <w:webHidden/>
          </w:rPr>
          <w:t>169</w:t>
        </w:r>
        <w:r w:rsidR="003C3308">
          <w:rPr>
            <w:noProof/>
            <w:webHidden/>
          </w:rPr>
          <w:fldChar w:fldCharType="end"/>
        </w:r>
      </w:hyperlink>
    </w:p>
    <w:p w14:paraId="4B527D03" w14:textId="11DCAE30" w:rsidR="003C3308" w:rsidRDefault="000C73F8">
      <w:pPr>
        <w:pStyle w:val="TOC2"/>
        <w:tabs>
          <w:tab w:val="right" w:leader="dot" w:pos="9736"/>
        </w:tabs>
        <w:rPr>
          <w:rFonts w:eastAsiaTheme="minorEastAsia" w:cstheme="minorBidi"/>
          <w:smallCaps w:val="0"/>
          <w:noProof/>
          <w:sz w:val="22"/>
          <w:szCs w:val="22"/>
          <w:lang w:val="en-US" w:eastAsia="en-US"/>
        </w:rPr>
      </w:pPr>
      <w:hyperlink w:anchor="_Toc58398616" w:history="1">
        <w:r w:rsidR="003C3308" w:rsidRPr="001C5832">
          <w:rPr>
            <w:rStyle w:val="Hyperlink"/>
            <w:noProof/>
            <w:lang w:val="en-US"/>
          </w:rPr>
          <w:t>Annex K:  FAO’S Roles in Internal Organization</w:t>
        </w:r>
        <w:r w:rsidR="003C3308">
          <w:rPr>
            <w:noProof/>
            <w:webHidden/>
          </w:rPr>
          <w:tab/>
        </w:r>
        <w:r w:rsidR="003C3308">
          <w:rPr>
            <w:noProof/>
            <w:webHidden/>
          </w:rPr>
          <w:fldChar w:fldCharType="begin"/>
        </w:r>
        <w:r w:rsidR="003C3308">
          <w:rPr>
            <w:noProof/>
            <w:webHidden/>
          </w:rPr>
          <w:instrText xml:space="preserve"> PAGEREF _Toc58398616 \h </w:instrText>
        </w:r>
        <w:r w:rsidR="003C3308">
          <w:rPr>
            <w:noProof/>
            <w:webHidden/>
          </w:rPr>
        </w:r>
        <w:r w:rsidR="003C3308">
          <w:rPr>
            <w:noProof/>
            <w:webHidden/>
          </w:rPr>
          <w:fldChar w:fldCharType="separate"/>
        </w:r>
        <w:r w:rsidR="003C3308">
          <w:rPr>
            <w:noProof/>
            <w:webHidden/>
          </w:rPr>
          <w:t>173</w:t>
        </w:r>
        <w:r w:rsidR="003C3308">
          <w:rPr>
            <w:noProof/>
            <w:webHidden/>
          </w:rPr>
          <w:fldChar w:fldCharType="end"/>
        </w:r>
      </w:hyperlink>
    </w:p>
    <w:p w14:paraId="3692A8AB" w14:textId="76BD30E9" w:rsidR="003C3308" w:rsidRDefault="000C73F8">
      <w:pPr>
        <w:pStyle w:val="TOC2"/>
        <w:tabs>
          <w:tab w:val="right" w:leader="dot" w:pos="9736"/>
        </w:tabs>
        <w:rPr>
          <w:rFonts w:eastAsiaTheme="minorEastAsia" w:cstheme="minorBidi"/>
          <w:smallCaps w:val="0"/>
          <w:noProof/>
          <w:sz w:val="22"/>
          <w:szCs w:val="22"/>
          <w:lang w:val="en-US" w:eastAsia="en-US"/>
        </w:rPr>
      </w:pPr>
      <w:hyperlink w:anchor="_Toc58398617" w:history="1">
        <w:r w:rsidR="003C3308" w:rsidRPr="001C5832">
          <w:rPr>
            <w:rStyle w:val="Hyperlink"/>
            <w:noProof/>
            <w:lang w:val="en-US"/>
          </w:rPr>
          <w:t>Annex L: FAO and Government Obligations</w:t>
        </w:r>
        <w:r w:rsidR="003C3308">
          <w:rPr>
            <w:noProof/>
            <w:webHidden/>
          </w:rPr>
          <w:tab/>
        </w:r>
        <w:r w:rsidR="003C3308">
          <w:rPr>
            <w:noProof/>
            <w:webHidden/>
          </w:rPr>
          <w:fldChar w:fldCharType="begin"/>
        </w:r>
        <w:r w:rsidR="003C3308">
          <w:rPr>
            <w:noProof/>
            <w:webHidden/>
          </w:rPr>
          <w:instrText xml:space="preserve"> PAGEREF _Toc58398617 \h </w:instrText>
        </w:r>
        <w:r w:rsidR="003C3308">
          <w:rPr>
            <w:noProof/>
            <w:webHidden/>
          </w:rPr>
        </w:r>
        <w:r w:rsidR="003C3308">
          <w:rPr>
            <w:noProof/>
            <w:webHidden/>
          </w:rPr>
          <w:fldChar w:fldCharType="separate"/>
        </w:r>
        <w:r w:rsidR="003C3308">
          <w:rPr>
            <w:noProof/>
            <w:webHidden/>
          </w:rPr>
          <w:t>179</w:t>
        </w:r>
        <w:r w:rsidR="003C3308">
          <w:rPr>
            <w:noProof/>
            <w:webHidden/>
          </w:rPr>
          <w:fldChar w:fldCharType="end"/>
        </w:r>
      </w:hyperlink>
    </w:p>
    <w:p w14:paraId="335D7406" w14:textId="159D14D4" w:rsidR="003C3308" w:rsidRDefault="000C73F8">
      <w:pPr>
        <w:pStyle w:val="TOC2"/>
        <w:tabs>
          <w:tab w:val="right" w:leader="dot" w:pos="9736"/>
        </w:tabs>
        <w:rPr>
          <w:rFonts w:eastAsiaTheme="minorEastAsia" w:cstheme="minorBidi"/>
          <w:smallCaps w:val="0"/>
          <w:noProof/>
          <w:sz w:val="22"/>
          <w:szCs w:val="22"/>
          <w:lang w:val="en-US" w:eastAsia="en-US"/>
        </w:rPr>
      </w:pPr>
      <w:hyperlink w:anchor="_Toc58398618" w:history="1">
        <w:r w:rsidR="003C3308" w:rsidRPr="001C5832">
          <w:rPr>
            <w:rStyle w:val="Hyperlink"/>
            <w:noProof/>
            <w:lang w:val="en-US"/>
          </w:rPr>
          <w:t>Annex M: TORs</w:t>
        </w:r>
        <w:r w:rsidR="003C3308">
          <w:rPr>
            <w:noProof/>
            <w:webHidden/>
          </w:rPr>
          <w:tab/>
        </w:r>
        <w:r w:rsidR="003C3308">
          <w:rPr>
            <w:noProof/>
            <w:webHidden/>
          </w:rPr>
          <w:fldChar w:fldCharType="begin"/>
        </w:r>
        <w:r w:rsidR="003C3308">
          <w:rPr>
            <w:noProof/>
            <w:webHidden/>
          </w:rPr>
          <w:instrText xml:space="preserve"> PAGEREF _Toc58398618 \h </w:instrText>
        </w:r>
        <w:r w:rsidR="003C3308">
          <w:rPr>
            <w:noProof/>
            <w:webHidden/>
          </w:rPr>
        </w:r>
        <w:r w:rsidR="003C3308">
          <w:rPr>
            <w:noProof/>
            <w:webHidden/>
          </w:rPr>
          <w:fldChar w:fldCharType="separate"/>
        </w:r>
        <w:r w:rsidR="003C3308">
          <w:rPr>
            <w:noProof/>
            <w:webHidden/>
          </w:rPr>
          <w:t>181</w:t>
        </w:r>
        <w:r w:rsidR="003C3308">
          <w:rPr>
            <w:noProof/>
            <w:webHidden/>
          </w:rPr>
          <w:fldChar w:fldCharType="end"/>
        </w:r>
      </w:hyperlink>
    </w:p>
    <w:p w14:paraId="2338E419" w14:textId="29C92963" w:rsidR="003C3308" w:rsidRDefault="000C73F8">
      <w:pPr>
        <w:pStyle w:val="TOC2"/>
        <w:tabs>
          <w:tab w:val="right" w:leader="dot" w:pos="9736"/>
        </w:tabs>
        <w:rPr>
          <w:rFonts w:eastAsiaTheme="minorEastAsia" w:cstheme="minorBidi"/>
          <w:smallCaps w:val="0"/>
          <w:noProof/>
          <w:sz w:val="22"/>
          <w:szCs w:val="22"/>
          <w:lang w:val="en-US" w:eastAsia="en-US"/>
        </w:rPr>
      </w:pPr>
      <w:hyperlink w:anchor="_Toc58398619" w:history="1">
        <w:r w:rsidR="003C3308" w:rsidRPr="001C5832">
          <w:rPr>
            <w:rStyle w:val="Hyperlink"/>
            <w:noProof/>
            <w:lang w:val="en-US"/>
          </w:rPr>
          <w:t>Annex N: Integrated Landscape Assessment Methodology</w:t>
        </w:r>
        <w:r w:rsidR="003C3308">
          <w:rPr>
            <w:noProof/>
            <w:webHidden/>
          </w:rPr>
          <w:tab/>
        </w:r>
        <w:r w:rsidR="003C3308">
          <w:rPr>
            <w:noProof/>
            <w:webHidden/>
          </w:rPr>
          <w:fldChar w:fldCharType="begin"/>
        </w:r>
        <w:r w:rsidR="003C3308">
          <w:rPr>
            <w:noProof/>
            <w:webHidden/>
          </w:rPr>
          <w:instrText xml:space="preserve"> PAGEREF _Toc58398619 \h </w:instrText>
        </w:r>
        <w:r w:rsidR="003C3308">
          <w:rPr>
            <w:noProof/>
            <w:webHidden/>
          </w:rPr>
        </w:r>
        <w:r w:rsidR="003C3308">
          <w:rPr>
            <w:noProof/>
            <w:webHidden/>
          </w:rPr>
          <w:fldChar w:fldCharType="separate"/>
        </w:r>
        <w:r w:rsidR="003C3308">
          <w:rPr>
            <w:noProof/>
            <w:webHidden/>
          </w:rPr>
          <w:t>181</w:t>
        </w:r>
        <w:r w:rsidR="003C3308">
          <w:rPr>
            <w:noProof/>
            <w:webHidden/>
          </w:rPr>
          <w:fldChar w:fldCharType="end"/>
        </w:r>
      </w:hyperlink>
    </w:p>
    <w:p w14:paraId="5893455C" w14:textId="29C849F7" w:rsidR="003C3308" w:rsidRDefault="000C73F8">
      <w:pPr>
        <w:pStyle w:val="TOC1"/>
        <w:tabs>
          <w:tab w:val="right" w:leader="dot" w:pos="9736"/>
        </w:tabs>
        <w:rPr>
          <w:rFonts w:eastAsiaTheme="minorEastAsia" w:cstheme="minorBidi"/>
          <w:b w:val="0"/>
          <w:bCs w:val="0"/>
          <w:caps w:val="0"/>
          <w:noProof/>
          <w:sz w:val="22"/>
          <w:szCs w:val="22"/>
          <w:lang w:val="en-US" w:eastAsia="en-US"/>
        </w:rPr>
      </w:pPr>
      <w:hyperlink w:anchor="_Toc58398620" w:history="1">
        <w:r w:rsidR="003C3308" w:rsidRPr="001C5832">
          <w:rPr>
            <w:rStyle w:val="Hyperlink"/>
            <w:noProof/>
          </w:rPr>
          <w:t>PART IV: CO-FINANCING &amp; PROJECT SPECIFIC ANNEXURES (W &amp; X)</w:t>
        </w:r>
        <w:r w:rsidR="003C3308">
          <w:rPr>
            <w:noProof/>
            <w:webHidden/>
          </w:rPr>
          <w:tab/>
        </w:r>
        <w:r w:rsidR="003C3308">
          <w:rPr>
            <w:noProof/>
            <w:webHidden/>
          </w:rPr>
          <w:fldChar w:fldCharType="begin"/>
        </w:r>
        <w:r w:rsidR="003C3308">
          <w:rPr>
            <w:noProof/>
            <w:webHidden/>
          </w:rPr>
          <w:instrText xml:space="preserve"> PAGEREF _Toc58398620 \h </w:instrText>
        </w:r>
        <w:r w:rsidR="003C3308">
          <w:rPr>
            <w:noProof/>
            <w:webHidden/>
          </w:rPr>
        </w:r>
        <w:r w:rsidR="003C3308">
          <w:rPr>
            <w:noProof/>
            <w:webHidden/>
          </w:rPr>
          <w:fldChar w:fldCharType="separate"/>
        </w:r>
        <w:r w:rsidR="003C3308">
          <w:rPr>
            <w:noProof/>
            <w:webHidden/>
          </w:rPr>
          <w:t>182</w:t>
        </w:r>
        <w:r w:rsidR="003C3308">
          <w:rPr>
            <w:noProof/>
            <w:webHidden/>
          </w:rPr>
          <w:fldChar w:fldCharType="end"/>
        </w:r>
      </w:hyperlink>
    </w:p>
    <w:p w14:paraId="24D8AFB1" w14:textId="39CC1D89" w:rsidR="003C3308" w:rsidRDefault="000C73F8">
      <w:pPr>
        <w:pStyle w:val="TOC2"/>
        <w:tabs>
          <w:tab w:val="right" w:leader="dot" w:pos="9736"/>
        </w:tabs>
        <w:rPr>
          <w:rFonts w:eastAsiaTheme="minorEastAsia" w:cstheme="minorBidi"/>
          <w:smallCaps w:val="0"/>
          <w:noProof/>
          <w:sz w:val="22"/>
          <w:szCs w:val="22"/>
          <w:lang w:val="en-US" w:eastAsia="en-US"/>
        </w:rPr>
      </w:pPr>
      <w:hyperlink w:anchor="_Toc58398621" w:history="1">
        <w:r w:rsidR="003C3308" w:rsidRPr="001C5832">
          <w:rPr>
            <w:rStyle w:val="Hyperlink"/>
            <w:noProof/>
            <w:lang w:val="en-US"/>
          </w:rPr>
          <w:t>PART IV-1: Co-financing Letters</w:t>
        </w:r>
        <w:r w:rsidR="003C3308">
          <w:rPr>
            <w:noProof/>
            <w:webHidden/>
          </w:rPr>
          <w:tab/>
        </w:r>
        <w:r w:rsidR="003C3308">
          <w:rPr>
            <w:noProof/>
            <w:webHidden/>
          </w:rPr>
          <w:fldChar w:fldCharType="begin"/>
        </w:r>
        <w:r w:rsidR="003C3308">
          <w:rPr>
            <w:noProof/>
            <w:webHidden/>
          </w:rPr>
          <w:instrText xml:space="preserve"> PAGEREF _Toc58398621 \h </w:instrText>
        </w:r>
        <w:r w:rsidR="003C3308">
          <w:rPr>
            <w:noProof/>
            <w:webHidden/>
          </w:rPr>
        </w:r>
        <w:r w:rsidR="003C3308">
          <w:rPr>
            <w:noProof/>
            <w:webHidden/>
          </w:rPr>
          <w:fldChar w:fldCharType="separate"/>
        </w:r>
        <w:r w:rsidR="003C3308">
          <w:rPr>
            <w:noProof/>
            <w:webHidden/>
          </w:rPr>
          <w:t>182</w:t>
        </w:r>
        <w:r w:rsidR="003C3308">
          <w:rPr>
            <w:noProof/>
            <w:webHidden/>
          </w:rPr>
          <w:fldChar w:fldCharType="end"/>
        </w:r>
      </w:hyperlink>
    </w:p>
    <w:p w14:paraId="27D8E7E7" w14:textId="533708FF" w:rsidR="003C3308" w:rsidRDefault="000C73F8">
      <w:pPr>
        <w:pStyle w:val="TOC2"/>
        <w:tabs>
          <w:tab w:val="right" w:leader="dot" w:pos="9736"/>
        </w:tabs>
        <w:rPr>
          <w:rFonts w:eastAsiaTheme="minorEastAsia" w:cstheme="minorBidi"/>
          <w:smallCaps w:val="0"/>
          <w:noProof/>
          <w:sz w:val="22"/>
          <w:szCs w:val="22"/>
          <w:lang w:val="en-US" w:eastAsia="en-US"/>
        </w:rPr>
      </w:pPr>
      <w:hyperlink w:anchor="_Toc58398622" w:history="1">
        <w:r w:rsidR="003C3308" w:rsidRPr="001C5832">
          <w:rPr>
            <w:rStyle w:val="Hyperlink"/>
            <w:noProof/>
            <w:lang w:val="en-US"/>
          </w:rPr>
          <w:t>PART IV-2: Miombo-Mopane REM Strategy</w:t>
        </w:r>
        <w:r w:rsidR="003C3308">
          <w:rPr>
            <w:noProof/>
            <w:webHidden/>
          </w:rPr>
          <w:tab/>
        </w:r>
        <w:r w:rsidR="003C3308">
          <w:rPr>
            <w:noProof/>
            <w:webHidden/>
          </w:rPr>
          <w:fldChar w:fldCharType="begin"/>
        </w:r>
        <w:r w:rsidR="003C3308">
          <w:rPr>
            <w:noProof/>
            <w:webHidden/>
          </w:rPr>
          <w:instrText xml:space="preserve"> PAGEREF _Toc58398622 \h </w:instrText>
        </w:r>
        <w:r w:rsidR="003C3308">
          <w:rPr>
            <w:noProof/>
            <w:webHidden/>
          </w:rPr>
        </w:r>
        <w:r w:rsidR="003C3308">
          <w:rPr>
            <w:noProof/>
            <w:webHidden/>
          </w:rPr>
          <w:fldChar w:fldCharType="separate"/>
        </w:r>
        <w:r w:rsidR="003C3308">
          <w:rPr>
            <w:noProof/>
            <w:webHidden/>
          </w:rPr>
          <w:t>183</w:t>
        </w:r>
        <w:r w:rsidR="003C3308">
          <w:rPr>
            <w:noProof/>
            <w:webHidden/>
          </w:rPr>
          <w:fldChar w:fldCharType="end"/>
        </w:r>
      </w:hyperlink>
    </w:p>
    <w:p w14:paraId="47455126" w14:textId="540B83FF" w:rsidR="003C3308" w:rsidRDefault="000C73F8">
      <w:pPr>
        <w:pStyle w:val="TOC2"/>
        <w:tabs>
          <w:tab w:val="right" w:leader="dot" w:pos="9736"/>
        </w:tabs>
        <w:rPr>
          <w:rFonts w:eastAsiaTheme="minorEastAsia" w:cstheme="minorBidi"/>
          <w:smallCaps w:val="0"/>
          <w:noProof/>
          <w:sz w:val="22"/>
          <w:szCs w:val="22"/>
          <w:lang w:val="en-US" w:eastAsia="en-US"/>
        </w:rPr>
      </w:pPr>
      <w:hyperlink w:anchor="_Toc58398623" w:history="1">
        <w:r w:rsidR="003C3308" w:rsidRPr="001C5832">
          <w:rPr>
            <w:rStyle w:val="Hyperlink"/>
            <w:noProof/>
            <w:lang w:val="en-US"/>
          </w:rPr>
          <w:t>ANNEX W-1 LAND-USE PLANNING, SLM and SFM AND THE LDN CHECKLIST</w:t>
        </w:r>
        <w:r w:rsidR="003C3308">
          <w:rPr>
            <w:noProof/>
            <w:webHidden/>
          </w:rPr>
          <w:tab/>
        </w:r>
        <w:r w:rsidR="003C3308">
          <w:rPr>
            <w:noProof/>
            <w:webHidden/>
          </w:rPr>
          <w:fldChar w:fldCharType="begin"/>
        </w:r>
        <w:r w:rsidR="003C3308">
          <w:rPr>
            <w:noProof/>
            <w:webHidden/>
          </w:rPr>
          <w:instrText xml:space="preserve"> PAGEREF _Toc58398623 \h </w:instrText>
        </w:r>
        <w:r w:rsidR="003C3308">
          <w:rPr>
            <w:noProof/>
            <w:webHidden/>
          </w:rPr>
        </w:r>
        <w:r w:rsidR="003C3308">
          <w:rPr>
            <w:noProof/>
            <w:webHidden/>
          </w:rPr>
          <w:fldChar w:fldCharType="separate"/>
        </w:r>
        <w:r w:rsidR="003C3308">
          <w:rPr>
            <w:noProof/>
            <w:webHidden/>
          </w:rPr>
          <w:t>185</w:t>
        </w:r>
        <w:r w:rsidR="003C3308">
          <w:rPr>
            <w:noProof/>
            <w:webHidden/>
          </w:rPr>
          <w:fldChar w:fldCharType="end"/>
        </w:r>
      </w:hyperlink>
    </w:p>
    <w:p w14:paraId="4946FC8A" w14:textId="2F6CEF2F" w:rsidR="003C3308" w:rsidRDefault="000C73F8">
      <w:pPr>
        <w:pStyle w:val="TOC2"/>
        <w:tabs>
          <w:tab w:val="right" w:leader="dot" w:pos="9736"/>
        </w:tabs>
        <w:rPr>
          <w:rFonts w:eastAsiaTheme="minorEastAsia" w:cstheme="minorBidi"/>
          <w:smallCaps w:val="0"/>
          <w:noProof/>
          <w:sz w:val="22"/>
          <w:szCs w:val="22"/>
          <w:lang w:val="en-US" w:eastAsia="en-US"/>
        </w:rPr>
      </w:pPr>
      <w:hyperlink w:anchor="_Toc58398624" w:history="1">
        <w:r w:rsidR="003C3308" w:rsidRPr="001C5832">
          <w:rPr>
            <w:rStyle w:val="Hyperlink"/>
            <w:noProof/>
            <w:lang w:val="it-IT"/>
          </w:rPr>
          <w:t>Annex W-2: Socio-Economic context</w:t>
        </w:r>
        <w:r w:rsidR="003C3308">
          <w:rPr>
            <w:noProof/>
            <w:webHidden/>
          </w:rPr>
          <w:tab/>
        </w:r>
        <w:r w:rsidR="003C3308">
          <w:rPr>
            <w:noProof/>
            <w:webHidden/>
          </w:rPr>
          <w:fldChar w:fldCharType="begin"/>
        </w:r>
        <w:r w:rsidR="003C3308">
          <w:rPr>
            <w:noProof/>
            <w:webHidden/>
          </w:rPr>
          <w:instrText xml:space="preserve"> PAGEREF _Toc58398624 \h </w:instrText>
        </w:r>
        <w:r w:rsidR="003C3308">
          <w:rPr>
            <w:noProof/>
            <w:webHidden/>
          </w:rPr>
        </w:r>
        <w:r w:rsidR="003C3308">
          <w:rPr>
            <w:noProof/>
            <w:webHidden/>
          </w:rPr>
          <w:fldChar w:fldCharType="separate"/>
        </w:r>
        <w:r w:rsidR="003C3308">
          <w:rPr>
            <w:noProof/>
            <w:webHidden/>
          </w:rPr>
          <w:t>185</w:t>
        </w:r>
        <w:r w:rsidR="003C3308">
          <w:rPr>
            <w:noProof/>
            <w:webHidden/>
          </w:rPr>
          <w:fldChar w:fldCharType="end"/>
        </w:r>
      </w:hyperlink>
    </w:p>
    <w:p w14:paraId="43531CE3" w14:textId="4F0821E7" w:rsidR="003C3308" w:rsidRDefault="000C73F8">
      <w:pPr>
        <w:pStyle w:val="TOC2"/>
        <w:tabs>
          <w:tab w:val="right" w:leader="dot" w:pos="9736"/>
        </w:tabs>
        <w:rPr>
          <w:rFonts w:eastAsiaTheme="minorEastAsia" w:cstheme="minorBidi"/>
          <w:smallCaps w:val="0"/>
          <w:noProof/>
          <w:sz w:val="22"/>
          <w:szCs w:val="22"/>
          <w:lang w:val="en-US" w:eastAsia="en-US"/>
        </w:rPr>
      </w:pPr>
      <w:hyperlink w:anchor="_Toc58398625" w:history="1">
        <w:r w:rsidR="003C3308" w:rsidRPr="001C5832">
          <w:rPr>
            <w:rStyle w:val="Hyperlink"/>
            <w:noProof/>
            <w:lang w:val="en-US"/>
          </w:rPr>
          <w:t>Annex W-3: The Agrarian Sector of Angola</w:t>
        </w:r>
        <w:r w:rsidR="003C3308">
          <w:rPr>
            <w:noProof/>
            <w:webHidden/>
          </w:rPr>
          <w:tab/>
        </w:r>
        <w:r w:rsidR="003C3308">
          <w:rPr>
            <w:noProof/>
            <w:webHidden/>
          </w:rPr>
          <w:fldChar w:fldCharType="begin"/>
        </w:r>
        <w:r w:rsidR="003C3308">
          <w:rPr>
            <w:noProof/>
            <w:webHidden/>
          </w:rPr>
          <w:instrText xml:space="preserve"> PAGEREF _Toc58398625 \h </w:instrText>
        </w:r>
        <w:r w:rsidR="003C3308">
          <w:rPr>
            <w:noProof/>
            <w:webHidden/>
          </w:rPr>
        </w:r>
        <w:r w:rsidR="003C3308">
          <w:rPr>
            <w:noProof/>
            <w:webHidden/>
          </w:rPr>
          <w:fldChar w:fldCharType="separate"/>
        </w:r>
        <w:r w:rsidR="003C3308">
          <w:rPr>
            <w:noProof/>
            <w:webHidden/>
          </w:rPr>
          <w:t>185</w:t>
        </w:r>
        <w:r w:rsidR="003C3308">
          <w:rPr>
            <w:noProof/>
            <w:webHidden/>
          </w:rPr>
          <w:fldChar w:fldCharType="end"/>
        </w:r>
      </w:hyperlink>
    </w:p>
    <w:p w14:paraId="668819BD" w14:textId="471E4D5E" w:rsidR="003C3308" w:rsidRDefault="000C73F8">
      <w:pPr>
        <w:pStyle w:val="TOC2"/>
        <w:tabs>
          <w:tab w:val="right" w:leader="dot" w:pos="9736"/>
        </w:tabs>
        <w:rPr>
          <w:rFonts w:eastAsiaTheme="minorEastAsia" w:cstheme="minorBidi"/>
          <w:smallCaps w:val="0"/>
          <w:noProof/>
          <w:sz w:val="22"/>
          <w:szCs w:val="22"/>
          <w:lang w:val="en-US" w:eastAsia="en-US"/>
        </w:rPr>
      </w:pPr>
      <w:hyperlink w:anchor="_Toc58398626" w:history="1">
        <w:r w:rsidR="003C3308" w:rsidRPr="001C5832">
          <w:rPr>
            <w:rStyle w:val="Hyperlink"/>
            <w:noProof/>
            <w:lang w:val="en-US"/>
          </w:rPr>
          <w:t>Annex W-4: Detailed Multi-Scale Threat Analysis</w:t>
        </w:r>
        <w:r w:rsidR="003C3308">
          <w:rPr>
            <w:noProof/>
            <w:webHidden/>
          </w:rPr>
          <w:tab/>
        </w:r>
        <w:r w:rsidR="003C3308">
          <w:rPr>
            <w:noProof/>
            <w:webHidden/>
          </w:rPr>
          <w:fldChar w:fldCharType="begin"/>
        </w:r>
        <w:r w:rsidR="003C3308">
          <w:rPr>
            <w:noProof/>
            <w:webHidden/>
          </w:rPr>
          <w:instrText xml:space="preserve"> PAGEREF _Toc58398626 \h </w:instrText>
        </w:r>
        <w:r w:rsidR="003C3308">
          <w:rPr>
            <w:noProof/>
            <w:webHidden/>
          </w:rPr>
        </w:r>
        <w:r w:rsidR="003C3308">
          <w:rPr>
            <w:noProof/>
            <w:webHidden/>
          </w:rPr>
          <w:fldChar w:fldCharType="separate"/>
        </w:r>
        <w:r w:rsidR="003C3308">
          <w:rPr>
            <w:noProof/>
            <w:webHidden/>
          </w:rPr>
          <w:t>185</w:t>
        </w:r>
        <w:r w:rsidR="003C3308">
          <w:rPr>
            <w:noProof/>
            <w:webHidden/>
          </w:rPr>
          <w:fldChar w:fldCharType="end"/>
        </w:r>
      </w:hyperlink>
    </w:p>
    <w:p w14:paraId="0E50495F" w14:textId="3AF59A79" w:rsidR="003C3308" w:rsidRDefault="000C73F8">
      <w:pPr>
        <w:pStyle w:val="TOC2"/>
        <w:tabs>
          <w:tab w:val="right" w:leader="dot" w:pos="9736"/>
        </w:tabs>
        <w:rPr>
          <w:rFonts w:eastAsiaTheme="minorEastAsia" w:cstheme="minorBidi"/>
          <w:smallCaps w:val="0"/>
          <w:noProof/>
          <w:sz w:val="22"/>
          <w:szCs w:val="22"/>
          <w:lang w:val="en-US" w:eastAsia="en-US"/>
        </w:rPr>
      </w:pPr>
      <w:hyperlink w:anchor="_Toc58398627" w:history="1">
        <w:r w:rsidR="003C3308" w:rsidRPr="001C5832">
          <w:rPr>
            <w:rStyle w:val="Hyperlink"/>
            <w:noProof/>
            <w:lang w:val="en-US"/>
          </w:rPr>
          <w:t>Annex X-1: A Gender Sensitive Strategy for Integrated and gender mainstreaming approach in LDN management</w:t>
        </w:r>
        <w:r w:rsidR="003C3308">
          <w:rPr>
            <w:noProof/>
            <w:webHidden/>
          </w:rPr>
          <w:tab/>
        </w:r>
        <w:r w:rsidR="003C3308">
          <w:rPr>
            <w:noProof/>
            <w:webHidden/>
          </w:rPr>
          <w:fldChar w:fldCharType="begin"/>
        </w:r>
        <w:r w:rsidR="003C3308">
          <w:rPr>
            <w:noProof/>
            <w:webHidden/>
          </w:rPr>
          <w:instrText xml:space="preserve"> PAGEREF _Toc58398627 \h </w:instrText>
        </w:r>
        <w:r w:rsidR="003C3308">
          <w:rPr>
            <w:noProof/>
            <w:webHidden/>
          </w:rPr>
        </w:r>
        <w:r w:rsidR="003C3308">
          <w:rPr>
            <w:noProof/>
            <w:webHidden/>
          </w:rPr>
          <w:fldChar w:fldCharType="separate"/>
        </w:r>
        <w:r w:rsidR="003C3308">
          <w:rPr>
            <w:noProof/>
            <w:webHidden/>
          </w:rPr>
          <w:t>185</w:t>
        </w:r>
        <w:r w:rsidR="003C3308">
          <w:rPr>
            <w:noProof/>
            <w:webHidden/>
          </w:rPr>
          <w:fldChar w:fldCharType="end"/>
        </w:r>
      </w:hyperlink>
    </w:p>
    <w:p w14:paraId="391B6F98" w14:textId="08D6213E" w:rsidR="003C3308" w:rsidRDefault="000C73F8">
      <w:pPr>
        <w:pStyle w:val="TOC2"/>
        <w:tabs>
          <w:tab w:val="right" w:leader="dot" w:pos="9736"/>
        </w:tabs>
        <w:rPr>
          <w:rFonts w:eastAsiaTheme="minorEastAsia" w:cstheme="minorBidi"/>
          <w:smallCaps w:val="0"/>
          <w:noProof/>
          <w:sz w:val="22"/>
          <w:szCs w:val="22"/>
          <w:lang w:val="en-US" w:eastAsia="en-US"/>
        </w:rPr>
      </w:pPr>
      <w:hyperlink w:anchor="_Toc58398628" w:history="1">
        <w:r w:rsidR="003C3308" w:rsidRPr="001C5832">
          <w:rPr>
            <w:rStyle w:val="Hyperlink"/>
            <w:noProof/>
            <w:lang w:val="en-US"/>
          </w:rPr>
          <w:t>Annex X-2: PPG Reports</w:t>
        </w:r>
        <w:r w:rsidR="003C3308">
          <w:rPr>
            <w:noProof/>
            <w:webHidden/>
          </w:rPr>
          <w:tab/>
        </w:r>
        <w:r w:rsidR="003C3308">
          <w:rPr>
            <w:noProof/>
            <w:webHidden/>
          </w:rPr>
          <w:fldChar w:fldCharType="begin"/>
        </w:r>
        <w:r w:rsidR="003C3308">
          <w:rPr>
            <w:noProof/>
            <w:webHidden/>
          </w:rPr>
          <w:instrText xml:space="preserve"> PAGEREF _Toc58398628 \h </w:instrText>
        </w:r>
        <w:r w:rsidR="003C3308">
          <w:rPr>
            <w:noProof/>
            <w:webHidden/>
          </w:rPr>
        </w:r>
        <w:r w:rsidR="003C3308">
          <w:rPr>
            <w:noProof/>
            <w:webHidden/>
          </w:rPr>
          <w:fldChar w:fldCharType="separate"/>
        </w:r>
        <w:r w:rsidR="003C3308">
          <w:rPr>
            <w:noProof/>
            <w:webHidden/>
          </w:rPr>
          <w:t>185</w:t>
        </w:r>
        <w:r w:rsidR="003C3308">
          <w:rPr>
            <w:noProof/>
            <w:webHidden/>
          </w:rPr>
          <w:fldChar w:fldCharType="end"/>
        </w:r>
      </w:hyperlink>
    </w:p>
    <w:p w14:paraId="6C94E8E4" w14:textId="29D192F1" w:rsidR="003C3308" w:rsidRDefault="000C73F8">
      <w:pPr>
        <w:pStyle w:val="TOC2"/>
        <w:tabs>
          <w:tab w:val="right" w:leader="dot" w:pos="9736"/>
        </w:tabs>
        <w:rPr>
          <w:rFonts w:eastAsiaTheme="minorEastAsia" w:cstheme="minorBidi"/>
          <w:smallCaps w:val="0"/>
          <w:noProof/>
          <w:sz w:val="22"/>
          <w:szCs w:val="22"/>
          <w:lang w:val="en-US" w:eastAsia="en-US"/>
        </w:rPr>
      </w:pPr>
      <w:hyperlink w:anchor="_Toc58398629" w:history="1">
        <w:r w:rsidR="003C3308" w:rsidRPr="001C5832">
          <w:rPr>
            <w:rStyle w:val="Hyperlink"/>
            <w:noProof/>
            <w:lang w:val="en-US"/>
          </w:rPr>
          <w:t>Annex X-3: Additional Climate Change Considerations</w:t>
        </w:r>
        <w:r w:rsidR="003C3308">
          <w:rPr>
            <w:noProof/>
            <w:webHidden/>
          </w:rPr>
          <w:tab/>
        </w:r>
        <w:r w:rsidR="003C3308">
          <w:rPr>
            <w:noProof/>
            <w:webHidden/>
          </w:rPr>
          <w:fldChar w:fldCharType="begin"/>
        </w:r>
        <w:r w:rsidR="003C3308">
          <w:rPr>
            <w:noProof/>
            <w:webHidden/>
          </w:rPr>
          <w:instrText xml:space="preserve"> PAGEREF _Toc58398629 \h </w:instrText>
        </w:r>
        <w:r w:rsidR="003C3308">
          <w:rPr>
            <w:noProof/>
            <w:webHidden/>
          </w:rPr>
        </w:r>
        <w:r w:rsidR="003C3308">
          <w:rPr>
            <w:noProof/>
            <w:webHidden/>
          </w:rPr>
          <w:fldChar w:fldCharType="separate"/>
        </w:r>
        <w:r w:rsidR="003C3308">
          <w:rPr>
            <w:noProof/>
            <w:webHidden/>
          </w:rPr>
          <w:t>186</w:t>
        </w:r>
        <w:r w:rsidR="003C3308">
          <w:rPr>
            <w:noProof/>
            <w:webHidden/>
          </w:rPr>
          <w:fldChar w:fldCharType="end"/>
        </w:r>
      </w:hyperlink>
    </w:p>
    <w:p w14:paraId="27B76864" w14:textId="3F79F0A9" w:rsidR="003C3308" w:rsidRDefault="000C73F8">
      <w:pPr>
        <w:pStyle w:val="TOC2"/>
        <w:tabs>
          <w:tab w:val="right" w:leader="dot" w:pos="9736"/>
        </w:tabs>
        <w:rPr>
          <w:rFonts w:eastAsiaTheme="minorEastAsia" w:cstheme="minorBidi"/>
          <w:smallCaps w:val="0"/>
          <w:noProof/>
          <w:sz w:val="22"/>
          <w:szCs w:val="22"/>
          <w:lang w:val="en-US" w:eastAsia="en-US"/>
        </w:rPr>
      </w:pPr>
      <w:hyperlink w:anchor="_Toc58398630" w:history="1">
        <w:r w:rsidR="003C3308" w:rsidRPr="001C5832">
          <w:rPr>
            <w:rStyle w:val="Hyperlink"/>
            <w:noProof/>
            <w:lang w:val="en-US"/>
          </w:rPr>
          <w:t>END OF PRODOC</w:t>
        </w:r>
        <w:r w:rsidR="003C3308">
          <w:rPr>
            <w:noProof/>
            <w:webHidden/>
          </w:rPr>
          <w:tab/>
        </w:r>
        <w:r w:rsidR="003C3308">
          <w:rPr>
            <w:noProof/>
            <w:webHidden/>
          </w:rPr>
          <w:fldChar w:fldCharType="begin"/>
        </w:r>
        <w:r w:rsidR="003C3308">
          <w:rPr>
            <w:noProof/>
            <w:webHidden/>
          </w:rPr>
          <w:instrText xml:space="preserve"> PAGEREF _Toc58398630 \h </w:instrText>
        </w:r>
        <w:r w:rsidR="003C3308">
          <w:rPr>
            <w:noProof/>
            <w:webHidden/>
          </w:rPr>
        </w:r>
        <w:r w:rsidR="003C3308">
          <w:rPr>
            <w:noProof/>
            <w:webHidden/>
          </w:rPr>
          <w:fldChar w:fldCharType="separate"/>
        </w:r>
        <w:r w:rsidR="003C3308">
          <w:rPr>
            <w:noProof/>
            <w:webHidden/>
          </w:rPr>
          <w:t>186</w:t>
        </w:r>
        <w:r w:rsidR="003C3308">
          <w:rPr>
            <w:noProof/>
            <w:webHidden/>
          </w:rPr>
          <w:fldChar w:fldCharType="end"/>
        </w:r>
      </w:hyperlink>
    </w:p>
    <w:p w14:paraId="12D3EFF3" w14:textId="163D0CCF" w:rsidR="009563B4" w:rsidRPr="007273B3" w:rsidRDefault="00E809DB" w:rsidP="009563B4">
      <w:pPr>
        <w:rPr>
          <w:rFonts w:asciiTheme="minorHAnsi" w:hAnsiTheme="minorHAnsi" w:cstheme="minorHAnsi"/>
          <w:b/>
          <w:bCs/>
          <w:caps/>
          <w:sz w:val="20"/>
          <w:szCs w:val="20"/>
        </w:rPr>
      </w:pPr>
      <w:r>
        <w:rPr>
          <w:rFonts w:asciiTheme="minorHAnsi" w:hAnsiTheme="minorHAnsi" w:cstheme="minorHAnsi"/>
          <w:b/>
          <w:bCs/>
          <w:caps/>
          <w:sz w:val="20"/>
          <w:szCs w:val="20"/>
        </w:rPr>
        <w:fldChar w:fldCharType="end"/>
      </w:r>
    </w:p>
    <w:p w14:paraId="67A90A14" w14:textId="77777777" w:rsidR="009563B4" w:rsidRPr="007273B3" w:rsidRDefault="009563B4" w:rsidP="00FD6E34">
      <w:pPr>
        <w:pStyle w:val="Heading1"/>
        <w:keepNext/>
        <w:rPr>
          <w:rFonts w:asciiTheme="minorHAnsi" w:hAnsiTheme="minorHAnsi" w:cstheme="minorHAnsi"/>
          <w:sz w:val="20"/>
          <w:szCs w:val="20"/>
        </w:rPr>
      </w:pPr>
      <w:bookmarkStart w:id="5" w:name="_Toc58398581"/>
      <w:r w:rsidRPr="007273B3">
        <w:rPr>
          <w:rFonts w:asciiTheme="minorHAnsi" w:hAnsiTheme="minorHAnsi" w:cstheme="minorHAnsi"/>
          <w:sz w:val="20"/>
          <w:szCs w:val="20"/>
        </w:rPr>
        <w:t>LISTS OF TABLES, FIGURES &amp; BOXES</w:t>
      </w:r>
      <w:bookmarkEnd w:id="5"/>
    </w:p>
    <w:p w14:paraId="5AF48212" w14:textId="77777777" w:rsidR="009563B4" w:rsidRPr="0053408E" w:rsidRDefault="009563B4" w:rsidP="00FD6E34">
      <w:pPr>
        <w:keepNext/>
        <w:rPr>
          <w:rFonts w:asciiTheme="minorHAnsi" w:hAnsiTheme="minorHAnsi" w:cstheme="minorHAnsi"/>
          <w:sz w:val="20"/>
          <w:szCs w:val="20"/>
        </w:rPr>
      </w:pPr>
    </w:p>
    <w:p w14:paraId="2F66E5F5" w14:textId="6C8AC684" w:rsidR="006131D0" w:rsidRPr="0053408E" w:rsidRDefault="009563B4">
      <w:pPr>
        <w:pStyle w:val="TableofFigures"/>
        <w:tabs>
          <w:tab w:val="right" w:leader="dot" w:pos="9736"/>
        </w:tabs>
        <w:rPr>
          <w:rFonts w:asciiTheme="minorHAnsi" w:eastAsiaTheme="minorEastAsia" w:hAnsiTheme="minorHAnsi" w:cstheme="minorHAnsi"/>
          <w:noProof/>
          <w:sz w:val="20"/>
          <w:szCs w:val="20"/>
          <w:lang w:val="en-US" w:eastAsia="en-US"/>
        </w:rPr>
      </w:pPr>
      <w:r w:rsidRPr="0053408E">
        <w:rPr>
          <w:rFonts w:asciiTheme="minorHAnsi" w:hAnsiTheme="minorHAnsi" w:cstheme="minorHAnsi"/>
          <w:sz w:val="20"/>
          <w:szCs w:val="20"/>
        </w:rPr>
        <w:fldChar w:fldCharType="begin"/>
      </w:r>
      <w:r w:rsidRPr="0053408E">
        <w:rPr>
          <w:rFonts w:asciiTheme="minorHAnsi" w:hAnsiTheme="minorHAnsi" w:cstheme="minorHAnsi"/>
          <w:sz w:val="20"/>
          <w:szCs w:val="20"/>
        </w:rPr>
        <w:instrText xml:space="preserve"> TOC \h \z \c "Table" </w:instrText>
      </w:r>
      <w:r w:rsidRPr="0053408E">
        <w:rPr>
          <w:rFonts w:asciiTheme="minorHAnsi" w:hAnsiTheme="minorHAnsi" w:cstheme="minorHAnsi"/>
          <w:sz w:val="20"/>
          <w:szCs w:val="20"/>
        </w:rPr>
        <w:fldChar w:fldCharType="separate"/>
      </w:r>
      <w:hyperlink w:anchor="_Toc58398631" w:history="1">
        <w:r w:rsidR="006131D0" w:rsidRPr="0053408E">
          <w:rPr>
            <w:rStyle w:val="Hyperlink"/>
            <w:rFonts w:asciiTheme="minorHAnsi" w:hAnsiTheme="minorHAnsi" w:cstheme="minorHAnsi"/>
            <w:noProof/>
            <w:sz w:val="20"/>
            <w:szCs w:val="20"/>
          </w:rPr>
          <w:t>Table 1.  Co-financing Summary  – baselines and budgets (all initiatives)</w:t>
        </w:r>
        <w:r w:rsidR="006131D0" w:rsidRPr="0053408E">
          <w:rPr>
            <w:rFonts w:asciiTheme="minorHAnsi" w:hAnsiTheme="minorHAnsi" w:cstheme="minorHAnsi"/>
            <w:noProof/>
            <w:webHidden/>
            <w:sz w:val="20"/>
            <w:szCs w:val="20"/>
          </w:rPr>
          <w:tab/>
        </w:r>
        <w:r w:rsidR="006131D0" w:rsidRPr="0053408E">
          <w:rPr>
            <w:rFonts w:asciiTheme="minorHAnsi" w:hAnsiTheme="minorHAnsi" w:cstheme="minorHAnsi"/>
            <w:noProof/>
            <w:webHidden/>
            <w:sz w:val="20"/>
            <w:szCs w:val="20"/>
          </w:rPr>
          <w:fldChar w:fldCharType="begin"/>
        </w:r>
        <w:r w:rsidR="006131D0" w:rsidRPr="0053408E">
          <w:rPr>
            <w:rFonts w:asciiTheme="minorHAnsi" w:hAnsiTheme="minorHAnsi" w:cstheme="minorHAnsi"/>
            <w:noProof/>
            <w:webHidden/>
            <w:sz w:val="20"/>
            <w:szCs w:val="20"/>
          </w:rPr>
          <w:instrText xml:space="preserve"> PAGEREF _Toc58398631 \h </w:instrText>
        </w:r>
        <w:r w:rsidR="006131D0" w:rsidRPr="0053408E">
          <w:rPr>
            <w:rFonts w:asciiTheme="minorHAnsi" w:hAnsiTheme="minorHAnsi" w:cstheme="minorHAnsi"/>
            <w:noProof/>
            <w:webHidden/>
            <w:sz w:val="20"/>
            <w:szCs w:val="20"/>
          </w:rPr>
        </w:r>
        <w:r w:rsidR="006131D0" w:rsidRPr="0053408E">
          <w:rPr>
            <w:rFonts w:asciiTheme="minorHAnsi" w:hAnsiTheme="minorHAnsi" w:cstheme="minorHAnsi"/>
            <w:noProof/>
            <w:webHidden/>
            <w:sz w:val="20"/>
            <w:szCs w:val="20"/>
          </w:rPr>
          <w:fldChar w:fldCharType="separate"/>
        </w:r>
        <w:r w:rsidR="006131D0" w:rsidRPr="0053408E">
          <w:rPr>
            <w:rFonts w:asciiTheme="minorHAnsi" w:hAnsiTheme="minorHAnsi" w:cstheme="minorHAnsi"/>
            <w:noProof/>
            <w:webHidden/>
            <w:sz w:val="20"/>
            <w:szCs w:val="20"/>
          </w:rPr>
          <w:t>33</w:t>
        </w:r>
        <w:r w:rsidR="006131D0" w:rsidRPr="0053408E">
          <w:rPr>
            <w:rFonts w:asciiTheme="minorHAnsi" w:hAnsiTheme="minorHAnsi" w:cstheme="minorHAnsi"/>
            <w:noProof/>
            <w:webHidden/>
            <w:sz w:val="20"/>
            <w:szCs w:val="20"/>
          </w:rPr>
          <w:fldChar w:fldCharType="end"/>
        </w:r>
      </w:hyperlink>
    </w:p>
    <w:p w14:paraId="1990B1F6" w14:textId="693CDA00" w:rsidR="006131D0" w:rsidRPr="0053408E" w:rsidRDefault="000C73F8">
      <w:pPr>
        <w:pStyle w:val="TableofFigures"/>
        <w:tabs>
          <w:tab w:val="right" w:leader="dot" w:pos="9736"/>
        </w:tabs>
        <w:rPr>
          <w:rFonts w:asciiTheme="minorHAnsi" w:eastAsiaTheme="minorEastAsia" w:hAnsiTheme="minorHAnsi" w:cstheme="minorHAnsi"/>
          <w:noProof/>
          <w:sz w:val="20"/>
          <w:szCs w:val="20"/>
          <w:lang w:val="en-US" w:eastAsia="en-US"/>
        </w:rPr>
      </w:pPr>
      <w:hyperlink w:anchor="_Toc58398632" w:history="1">
        <w:r w:rsidR="006131D0" w:rsidRPr="0053408E">
          <w:rPr>
            <w:rStyle w:val="Hyperlink"/>
            <w:rFonts w:asciiTheme="minorHAnsi" w:hAnsiTheme="minorHAnsi" w:cstheme="minorHAnsi"/>
            <w:noProof/>
            <w:sz w:val="20"/>
            <w:szCs w:val="20"/>
          </w:rPr>
          <w:t>Table 2. Target landscapes, defined as sub-basins, and their stakeholders within the respective administrative divisions in the Project Zone</w:t>
        </w:r>
        <w:r w:rsidR="006131D0" w:rsidRPr="0053408E">
          <w:rPr>
            <w:rFonts w:asciiTheme="minorHAnsi" w:hAnsiTheme="minorHAnsi" w:cstheme="minorHAnsi"/>
            <w:noProof/>
            <w:webHidden/>
            <w:sz w:val="20"/>
            <w:szCs w:val="20"/>
          </w:rPr>
          <w:tab/>
        </w:r>
        <w:r w:rsidR="006131D0" w:rsidRPr="0053408E">
          <w:rPr>
            <w:rFonts w:asciiTheme="minorHAnsi" w:hAnsiTheme="minorHAnsi" w:cstheme="minorHAnsi"/>
            <w:noProof/>
            <w:webHidden/>
            <w:sz w:val="20"/>
            <w:szCs w:val="20"/>
          </w:rPr>
          <w:fldChar w:fldCharType="begin"/>
        </w:r>
        <w:r w:rsidR="006131D0" w:rsidRPr="0053408E">
          <w:rPr>
            <w:rFonts w:asciiTheme="minorHAnsi" w:hAnsiTheme="minorHAnsi" w:cstheme="minorHAnsi"/>
            <w:noProof/>
            <w:webHidden/>
            <w:sz w:val="20"/>
            <w:szCs w:val="20"/>
          </w:rPr>
          <w:instrText xml:space="preserve"> PAGEREF _Toc58398632 \h </w:instrText>
        </w:r>
        <w:r w:rsidR="006131D0" w:rsidRPr="0053408E">
          <w:rPr>
            <w:rFonts w:asciiTheme="minorHAnsi" w:hAnsiTheme="minorHAnsi" w:cstheme="minorHAnsi"/>
            <w:noProof/>
            <w:webHidden/>
            <w:sz w:val="20"/>
            <w:szCs w:val="20"/>
          </w:rPr>
        </w:r>
        <w:r w:rsidR="006131D0" w:rsidRPr="0053408E">
          <w:rPr>
            <w:rFonts w:asciiTheme="minorHAnsi" w:hAnsiTheme="minorHAnsi" w:cstheme="minorHAnsi"/>
            <w:noProof/>
            <w:webHidden/>
            <w:sz w:val="20"/>
            <w:szCs w:val="20"/>
          </w:rPr>
          <w:fldChar w:fldCharType="separate"/>
        </w:r>
        <w:r w:rsidR="006131D0" w:rsidRPr="0053408E">
          <w:rPr>
            <w:rFonts w:asciiTheme="minorHAnsi" w:hAnsiTheme="minorHAnsi" w:cstheme="minorHAnsi"/>
            <w:noProof/>
            <w:webHidden/>
            <w:sz w:val="20"/>
            <w:szCs w:val="20"/>
          </w:rPr>
          <w:t>36</w:t>
        </w:r>
        <w:r w:rsidR="006131D0" w:rsidRPr="0053408E">
          <w:rPr>
            <w:rFonts w:asciiTheme="minorHAnsi" w:hAnsiTheme="minorHAnsi" w:cstheme="minorHAnsi"/>
            <w:noProof/>
            <w:webHidden/>
            <w:sz w:val="20"/>
            <w:szCs w:val="20"/>
          </w:rPr>
          <w:fldChar w:fldCharType="end"/>
        </w:r>
      </w:hyperlink>
    </w:p>
    <w:p w14:paraId="5F07E88E" w14:textId="08BB21FA" w:rsidR="006131D0" w:rsidRPr="0053408E" w:rsidRDefault="000C73F8">
      <w:pPr>
        <w:pStyle w:val="TableofFigures"/>
        <w:tabs>
          <w:tab w:val="right" w:leader="dot" w:pos="9736"/>
        </w:tabs>
        <w:rPr>
          <w:rFonts w:asciiTheme="minorHAnsi" w:eastAsiaTheme="minorEastAsia" w:hAnsiTheme="minorHAnsi" w:cstheme="minorHAnsi"/>
          <w:noProof/>
          <w:sz w:val="20"/>
          <w:szCs w:val="20"/>
          <w:lang w:val="en-US" w:eastAsia="en-US"/>
        </w:rPr>
      </w:pPr>
      <w:hyperlink w:anchor="_Toc58398633" w:history="1">
        <w:r w:rsidR="006131D0" w:rsidRPr="0053408E">
          <w:rPr>
            <w:rStyle w:val="Hyperlink"/>
            <w:rFonts w:asciiTheme="minorHAnsi" w:hAnsiTheme="minorHAnsi" w:cstheme="minorHAnsi"/>
            <w:noProof/>
            <w:sz w:val="20"/>
            <w:szCs w:val="20"/>
          </w:rPr>
          <w:t>Table 3. Alignment of Project Strategy with elements of a four dimensional LDN enabling environment</w:t>
        </w:r>
        <w:r w:rsidR="006131D0" w:rsidRPr="0053408E">
          <w:rPr>
            <w:rFonts w:asciiTheme="minorHAnsi" w:hAnsiTheme="minorHAnsi" w:cstheme="minorHAnsi"/>
            <w:noProof/>
            <w:webHidden/>
            <w:sz w:val="20"/>
            <w:szCs w:val="20"/>
          </w:rPr>
          <w:tab/>
        </w:r>
        <w:r w:rsidR="006131D0" w:rsidRPr="0053408E">
          <w:rPr>
            <w:rFonts w:asciiTheme="minorHAnsi" w:hAnsiTheme="minorHAnsi" w:cstheme="minorHAnsi"/>
            <w:noProof/>
            <w:webHidden/>
            <w:sz w:val="20"/>
            <w:szCs w:val="20"/>
          </w:rPr>
          <w:fldChar w:fldCharType="begin"/>
        </w:r>
        <w:r w:rsidR="006131D0" w:rsidRPr="0053408E">
          <w:rPr>
            <w:rFonts w:asciiTheme="minorHAnsi" w:hAnsiTheme="minorHAnsi" w:cstheme="minorHAnsi"/>
            <w:noProof/>
            <w:webHidden/>
            <w:sz w:val="20"/>
            <w:szCs w:val="20"/>
          </w:rPr>
          <w:instrText xml:space="preserve"> PAGEREF _Toc58398633 \h </w:instrText>
        </w:r>
        <w:r w:rsidR="006131D0" w:rsidRPr="0053408E">
          <w:rPr>
            <w:rFonts w:asciiTheme="minorHAnsi" w:hAnsiTheme="minorHAnsi" w:cstheme="minorHAnsi"/>
            <w:noProof/>
            <w:webHidden/>
            <w:sz w:val="20"/>
            <w:szCs w:val="20"/>
          </w:rPr>
        </w:r>
        <w:r w:rsidR="006131D0" w:rsidRPr="0053408E">
          <w:rPr>
            <w:rFonts w:asciiTheme="minorHAnsi" w:hAnsiTheme="minorHAnsi" w:cstheme="minorHAnsi"/>
            <w:noProof/>
            <w:webHidden/>
            <w:sz w:val="20"/>
            <w:szCs w:val="20"/>
          </w:rPr>
          <w:fldChar w:fldCharType="separate"/>
        </w:r>
        <w:r w:rsidR="006131D0" w:rsidRPr="0053408E">
          <w:rPr>
            <w:rFonts w:asciiTheme="minorHAnsi" w:hAnsiTheme="minorHAnsi" w:cstheme="minorHAnsi"/>
            <w:noProof/>
            <w:webHidden/>
            <w:sz w:val="20"/>
            <w:szCs w:val="20"/>
          </w:rPr>
          <w:t>57</w:t>
        </w:r>
        <w:r w:rsidR="006131D0" w:rsidRPr="0053408E">
          <w:rPr>
            <w:rFonts w:asciiTheme="minorHAnsi" w:hAnsiTheme="minorHAnsi" w:cstheme="minorHAnsi"/>
            <w:noProof/>
            <w:webHidden/>
            <w:sz w:val="20"/>
            <w:szCs w:val="20"/>
          </w:rPr>
          <w:fldChar w:fldCharType="end"/>
        </w:r>
      </w:hyperlink>
    </w:p>
    <w:p w14:paraId="4D7186A6" w14:textId="6B72D6D8" w:rsidR="006131D0" w:rsidRPr="0053408E" w:rsidRDefault="000C73F8">
      <w:pPr>
        <w:pStyle w:val="TableofFigures"/>
        <w:tabs>
          <w:tab w:val="right" w:leader="dot" w:pos="9736"/>
        </w:tabs>
        <w:rPr>
          <w:rFonts w:asciiTheme="minorHAnsi" w:eastAsiaTheme="minorEastAsia" w:hAnsiTheme="minorHAnsi" w:cstheme="minorHAnsi"/>
          <w:noProof/>
          <w:sz w:val="20"/>
          <w:szCs w:val="20"/>
          <w:lang w:val="en-US" w:eastAsia="en-US"/>
        </w:rPr>
      </w:pPr>
      <w:hyperlink w:anchor="_Toc58398634" w:history="1">
        <w:r w:rsidR="006131D0" w:rsidRPr="0053408E">
          <w:rPr>
            <w:rStyle w:val="Hyperlink"/>
            <w:rFonts w:asciiTheme="minorHAnsi" w:hAnsiTheme="minorHAnsi" w:cstheme="minorHAnsi"/>
            <w:noProof/>
            <w:sz w:val="20"/>
            <w:szCs w:val="20"/>
          </w:rPr>
          <w:t>Table 4. Management interventions for prioritized LMUs, using a modified World Overview of Conservation Approaches and Technologies template</w:t>
        </w:r>
        <w:r w:rsidR="006131D0" w:rsidRPr="0053408E">
          <w:rPr>
            <w:rFonts w:asciiTheme="minorHAnsi" w:hAnsiTheme="minorHAnsi" w:cstheme="minorHAnsi"/>
            <w:noProof/>
            <w:webHidden/>
            <w:sz w:val="20"/>
            <w:szCs w:val="20"/>
          </w:rPr>
          <w:tab/>
        </w:r>
        <w:r w:rsidR="006131D0" w:rsidRPr="0053408E">
          <w:rPr>
            <w:rFonts w:asciiTheme="minorHAnsi" w:hAnsiTheme="minorHAnsi" w:cstheme="minorHAnsi"/>
            <w:noProof/>
            <w:webHidden/>
            <w:sz w:val="20"/>
            <w:szCs w:val="20"/>
          </w:rPr>
          <w:fldChar w:fldCharType="begin"/>
        </w:r>
        <w:r w:rsidR="006131D0" w:rsidRPr="0053408E">
          <w:rPr>
            <w:rFonts w:asciiTheme="minorHAnsi" w:hAnsiTheme="minorHAnsi" w:cstheme="minorHAnsi"/>
            <w:noProof/>
            <w:webHidden/>
            <w:sz w:val="20"/>
            <w:szCs w:val="20"/>
          </w:rPr>
          <w:instrText xml:space="preserve"> PAGEREF _Toc58398634 \h </w:instrText>
        </w:r>
        <w:r w:rsidR="006131D0" w:rsidRPr="0053408E">
          <w:rPr>
            <w:rFonts w:asciiTheme="minorHAnsi" w:hAnsiTheme="minorHAnsi" w:cstheme="minorHAnsi"/>
            <w:noProof/>
            <w:webHidden/>
            <w:sz w:val="20"/>
            <w:szCs w:val="20"/>
          </w:rPr>
        </w:r>
        <w:r w:rsidR="006131D0" w:rsidRPr="0053408E">
          <w:rPr>
            <w:rFonts w:asciiTheme="minorHAnsi" w:hAnsiTheme="minorHAnsi" w:cstheme="minorHAnsi"/>
            <w:noProof/>
            <w:webHidden/>
            <w:sz w:val="20"/>
            <w:szCs w:val="20"/>
          </w:rPr>
          <w:fldChar w:fldCharType="separate"/>
        </w:r>
        <w:r w:rsidR="006131D0" w:rsidRPr="0053408E">
          <w:rPr>
            <w:rFonts w:asciiTheme="minorHAnsi" w:hAnsiTheme="minorHAnsi" w:cstheme="minorHAnsi"/>
            <w:noProof/>
            <w:webHidden/>
            <w:sz w:val="20"/>
            <w:szCs w:val="20"/>
          </w:rPr>
          <w:t>70</w:t>
        </w:r>
        <w:r w:rsidR="006131D0" w:rsidRPr="0053408E">
          <w:rPr>
            <w:rFonts w:asciiTheme="minorHAnsi" w:hAnsiTheme="minorHAnsi" w:cstheme="minorHAnsi"/>
            <w:noProof/>
            <w:webHidden/>
            <w:sz w:val="20"/>
            <w:szCs w:val="20"/>
          </w:rPr>
          <w:fldChar w:fldCharType="end"/>
        </w:r>
      </w:hyperlink>
    </w:p>
    <w:p w14:paraId="174759D6" w14:textId="06CE7CA8" w:rsidR="006131D0" w:rsidRPr="0053408E" w:rsidRDefault="000C73F8">
      <w:pPr>
        <w:pStyle w:val="TableofFigures"/>
        <w:tabs>
          <w:tab w:val="right" w:leader="dot" w:pos="9736"/>
        </w:tabs>
        <w:rPr>
          <w:rFonts w:asciiTheme="minorHAnsi" w:eastAsiaTheme="minorEastAsia" w:hAnsiTheme="minorHAnsi" w:cstheme="minorHAnsi"/>
          <w:noProof/>
          <w:sz w:val="20"/>
          <w:szCs w:val="20"/>
          <w:lang w:val="en-US" w:eastAsia="en-US"/>
        </w:rPr>
      </w:pPr>
      <w:hyperlink w:anchor="_Toc58398635" w:history="1">
        <w:r w:rsidR="006131D0" w:rsidRPr="0053408E">
          <w:rPr>
            <w:rStyle w:val="Hyperlink"/>
            <w:rFonts w:asciiTheme="minorHAnsi" w:hAnsiTheme="minorHAnsi" w:cstheme="minorHAnsi"/>
            <w:noProof/>
            <w:sz w:val="20"/>
            <w:szCs w:val="20"/>
          </w:rPr>
          <w:t>Table 5. Summary of LMU interventions in the target landscapes based on LDN response strategy</w:t>
        </w:r>
        <w:r w:rsidR="006131D0" w:rsidRPr="0053408E">
          <w:rPr>
            <w:rFonts w:asciiTheme="minorHAnsi" w:hAnsiTheme="minorHAnsi" w:cstheme="minorHAnsi"/>
            <w:noProof/>
            <w:webHidden/>
            <w:sz w:val="20"/>
            <w:szCs w:val="20"/>
          </w:rPr>
          <w:tab/>
        </w:r>
        <w:r w:rsidR="006131D0" w:rsidRPr="0053408E">
          <w:rPr>
            <w:rFonts w:asciiTheme="minorHAnsi" w:hAnsiTheme="minorHAnsi" w:cstheme="minorHAnsi"/>
            <w:noProof/>
            <w:webHidden/>
            <w:sz w:val="20"/>
            <w:szCs w:val="20"/>
          </w:rPr>
          <w:fldChar w:fldCharType="begin"/>
        </w:r>
        <w:r w:rsidR="006131D0" w:rsidRPr="0053408E">
          <w:rPr>
            <w:rFonts w:asciiTheme="minorHAnsi" w:hAnsiTheme="minorHAnsi" w:cstheme="minorHAnsi"/>
            <w:noProof/>
            <w:webHidden/>
            <w:sz w:val="20"/>
            <w:szCs w:val="20"/>
          </w:rPr>
          <w:instrText xml:space="preserve"> PAGEREF _Toc58398635 \h </w:instrText>
        </w:r>
        <w:r w:rsidR="006131D0" w:rsidRPr="0053408E">
          <w:rPr>
            <w:rFonts w:asciiTheme="minorHAnsi" w:hAnsiTheme="minorHAnsi" w:cstheme="minorHAnsi"/>
            <w:noProof/>
            <w:webHidden/>
            <w:sz w:val="20"/>
            <w:szCs w:val="20"/>
          </w:rPr>
        </w:r>
        <w:r w:rsidR="006131D0" w:rsidRPr="0053408E">
          <w:rPr>
            <w:rFonts w:asciiTheme="minorHAnsi" w:hAnsiTheme="minorHAnsi" w:cstheme="minorHAnsi"/>
            <w:noProof/>
            <w:webHidden/>
            <w:sz w:val="20"/>
            <w:szCs w:val="20"/>
          </w:rPr>
          <w:fldChar w:fldCharType="separate"/>
        </w:r>
        <w:r w:rsidR="006131D0" w:rsidRPr="0053408E">
          <w:rPr>
            <w:rFonts w:asciiTheme="minorHAnsi" w:hAnsiTheme="minorHAnsi" w:cstheme="minorHAnsi"/>
            <w:noProof/>
            <w:webHidden/>
            <w:sz w:val="20"/>
            <w:szCs w:val="20"/>
          </w:rPr>
          <w:t>77</w:t>
        </w:r>
        <w:r w:rsidR="006131D0" w:rsidRPr="0053408E">
          <w:rPr>
            <w:rFonts w:asciiTheme="minorHAnsi" w:hAnsiTheme="minorHAnsi" w:cstheme="minorHAnsi"/>
            <w:noProof/>
            <w:webHidden/>
            <w:sz w:val="20"/>
            <w:szCs w:val="20"/>
          </w:rPr>
          <w:fldChar w:fldCharType="end"/>
        </w:r>
      </w:hyperlink>
    </w:p>
    <w:p w14:paraId="274E1DD1" w14:textId="438E8239" w:rsidR="006131D0" w:rsidRPr="0053408E" w:rsidRDefault="000C73F8">
      <w:pPr>
        <w:pStyle w:val="TableofFigures"/>
        <w:tabs>
          <w:tab w:val="right" w:leader="dot" w:pos="9736"/>
        </w:tabs>
        <w:rPr>
          <w:rFonts w:asciiTheme="minorHAnsi" w:eastAsiaTheme="minorEastAsia" w:hAnsiTheme="minorHAnsi" w:cstheme="minorHAnsi"/>
          <w:noProof/>
          <w:sz w:val="20"/>
          <w:szCs w:val="20"/>
          <w:lang w:val="en-US" w:eastAsia="en-US"/>
        </w:rPr>
      </w:pPr>
      <w:hyperlink w:anchor="_Toc58398636" w:history="1">
        <w:r w:rsidR="006131D0" w:rsidRPr="0053408E">
          <w:rPr>
            <w:rStyle w:val="Hyperlink"/>
            <w:rFonts w:asciiTheme="minorHAnsi" w:hAnsiTheme="minorHAnsi" w:cstheme="minorHAnsi"/>
            <w:noProof/>
            <w:sz w:val="20"/>
            <w:szCs w:val="20"/>
          </w:rPr>
          <w:t>Table 6. Project stakeholders and their potential role in the project</w:t>
        </w:r>
        <w:r w:rsidR="006131D0" w:rsidRPr="0053408E">
          <w:rPr>
            <w:rFonts w:asciiTheme="minorHAnsi" w:hAnsiTheme="minorHAnsi" w:cstheme="minorHAnsi"/>
            <w:noProof/>
            <w:webHidden/>
            <w:sz w:val="20"/>
            <w:szCs w:val="20"/>
          </w:rPr>
          <w:tab/>
        </w:r>
        <w:r w:rsidR="006131D0" w:rsidRPr="0053408E">
          <w:rPr>
            <w:rFonts w:asciiTheme="minorHAnsi" w:hAnsiTheme="minorHAnsi" w:cstheme="minorHAnsi"/>
            <w:noProof/>
            <w:webHidden/>
            <w:sz w:val="20"/>
            <w:szCs w:val="20"/>
          </w:rPr>
          <w:fldChar w:fldCharType="begin"/>
        </w:r>
        <w:r w:rsidR="006131D0" w:rsidRPr="0053408E">
          <w:rPr>
            <w:rFonts w:asciiTheme="minorHAnsi" w:hAnsiTheme="minorHAnsi" w:cstheme="minorHAnsi"/>
            <w:noProof/>
            <w:webHidden/>
            <w:sz w:val="20"/>
            <w:szCs w:val="20"/>
          </w:rPr>
          <w:instrText xml:space="preserve"> PAGEREF _Toc58398636 \h </w:instrText>
        </w:r>
        <w:r w:rsidR="006131D0" w:rsidRPr="0053408E">
          <w:rPr>
            <w:rFonts w:asciiTheme="minorHAnsi" w:hAnsiTheme="minorHAnsi" w:cstheme="minorHAnsi"/>
            <w:noProof/>
            <w:webHidden/>
            <w:sz w:val="20"/>
            <w:szCs w:val="20"/>
          </w:rPr>
        </w:r>
        <w:r w:rsidR="006131D0" w:rsidRPr="0053408E">
          <w:rPr>
            <w:rFonts w:asciiTheme="minorHAnsi" w:hAnsiTheme="minorHAnsi" w:cstheme="minorHAnsi"/>
            <w:noProof/>
            <w:webHidden/>
            <w:sz w:val="20"/>
            <w:szCs w:val="20"/>
          </w:rPr>
          <w:fldChar w:fldCharType="separate"/>
        </w:r>
        <w:r w:rsidR="006131D0" w:rsidRPr="0053408E">
          <w:rPr>
            <w:rFonts w:asciiTheme="minorHAnsi" w:hAnsiTheme="minorHAnsi" w:cstheme="minorHAnsi"/>
            <w:noProof/>
            <w:webHidden/>
            <w:sz w:val="20"/>
            <w:szCs w:val="20"/>
          </w:rPr>
          <w:t>112</w:t>
        </w:r>
        <w:r w:rsidR="006131D0" w:rsidRPr="0053408E">
          <w:rPr>
            <w:rFonts w:asciiTheme="minorHAnsi" w:hAnsiTheme="minorHAnsi" w:cstheme="minorHAnsi"/>
            <w:noProof/>
            <w:webHidden/>
            <w:sz w:val="20"/>
            <w:szCs w:val="20"/>
          </w:rPr>
          <w:fldChar w:fldCharType="end"/>
        </w:r>
      </w:hyperlink>
    </w:p>
    <w:p w14:paraId="7ADAA1CE" w14:textId="46E126B1" w:rsidR="006131D0" w:rsidRPr="0053408E" w:rsidRDefault="000C73F8">
      <w:pPr>
        <w:pStyle w:val="TableofFigures"/>
        <w:tabs>
          <w:tab w:val="right" w:leader="dot" w:pos="9736"/>
        </w:tabs>
        <w:rPr>
          <w:rFonts w:asciiTheme="minorHAnsi" w:eastAsiaTheme="minorEastAsia" w:hAnsiTheme="minorHAnsi" w:cstheme="minorHAnsi"/>
          <w:noProof/>
          <w:sz w:val="20"/>
          <w:szCs w:val="20"/>
          <w:lang w:val="en-US" w:eastAsia="en-US"/>
        </w:rPr>
      </w:pPr>
      <w:hyperlink w:anchor="_Toc58398637" w:history="1">
        <w:r w:rsidR="006131D0" w:rsidRPr="0053408E">
          <w:rPr>
            <w:rStyle w:val="Hyperlink"/>
            <w:rFonts w:asciiTheme="minorHAnsi" w:hAnsiTheme="minorHAnsi" w:cstheme="minorHAnsi"/>
            <w:noProof/>
            <w:sz w:val="20"/>
            <w:szCs w:val="20"/>
          </w:rPr>
          <w:t>Table 7. Gender Entry Points for Monitoring during Project Implementation</w:t>
        </w:r>
        <w:r w:rsidR="006131D0" w:rsidRPr="0053408E">
          <w:rPr>
            <w:rFonts w:asciiTheme="minorHAnsi" w:hAnsiTheme="minorHAnsi" w:cstheme="minorHAnsi"/>
            <w:noProof/>
            <w:webHidden/>
            <w:sz w:val="20"/>
            <w:szCs w:val="20"/>
          </w:rPr>
          <w:tab/>
        </w:r>
        <w:r w:rsidR="006131D0" w:rsidRPr="0053408E">
          <w:rPr>
            <w:rFonts w:asciiTheme="minorHAnsi" w:hAnsiTheme="minorHAnsi" w:cstheme="minorHAnsi"/>
            <w:noProof/>
            <w:webHidden/>
            <w:sz w:val="20"/>
            <w:szCs w:val="20"/>
          </w:rPr>
          <w:fldChar w:fldCharType="begin"/>
        </w:r>
        <w:r w:rsidR="006131D0" w:rsidRPr="0053408E">
          <w:rPr>
            <w:rFonts w:asciiTheme="minorHAnsi" w:hAnsiTheme="minorHAnsi" w:cstheme="minorHAnsi"/>
            <w:noProof/>
            <w:webHidden/>
            <w:sz w:val="20"/>
            <w:szCs w:val="20"/>
          </w:rPr>
          <w:instrText xml:space="preserve"> PAGEREF _Toc58398637 \h </w:instrText>
        </w:r>
        <w:r w:rsidR="006131D0" w:rsidRPr="0053408E">
          <w:rPr>
            <w:rFonts w:asciiTheme="minorHAnsi" w:hAnsiTheme="minorHAnsi" w:cstheme="minorHAnsi"/>
            <w:noProof/>
            <w:webHidden/>
            <w:sz w:val="20"/>
            <w:szCs w:val="20"/>
          </w:rPr>
        </w:r>
        <w:r w:rsidR="006131D0" w:rsidRPr="0053408E">
          <w:rPr>
            <w:rFonts w:asciiTheme="minorHAnsi" w:hAnsiTheme="minorHAnsi" w:cstheme="minorHAnsi"/>
            <w:noProof/>
            <w:webHidden/>
            <w:sz w:val="20"/>
            <w:szCs w:val="20"/>
          </w:rPr>
          <w:fldChar w:fldCharType="separate"/>
        </w:r>
        <w:r w:rsidR="006131D0" w:rsidRPr="0053408E">
          <w:rPr>
            <w:rFonts w:asciiTheme="minorHAnsi" w:hAnsiTheme="minorHAnsi" w:cstheme="minorHAnsi"/>
            <w:noProof/>
            <w:webHidden/>
            <w:sz w:val="20"/>
            <w:szCs w:val="20"/>
          </w:rPr>
          <w:t>119</w:t>
        </w:r>
        <w:r w:rsidR="006131D0" w:rsidRPr="0053408E">
          <w:rPr>
            <w:rFonts w:asciiTheme="minorHAnsi" w:hAnsiTheme="minorHAnsi" w:cstheme="minorHAnsi"/>
            <w:noProof/>
            <w:webHidden/>
            <w:sz w:val="20"/>
            <w:szCs w:val="20"/>
          </w:rPr>
          <w:fldChar w:fldCharType="end"/>
        </w:r>
      </w:hyperlink>
    </w:p>
    <w:p w14:paraId="307E5598" w14:textId="0B78AC00" w:rsidR="006131D0" w:rsidRPr="0053408E" w:rsidRDefault="000C73F8">
      <w:pPr>
        <w:pStyle w:val="TableofFigures"/>
        <w:tabs>
          <w:tab w:val="right" w:leader="dot" w:pos="9736"/>
        </w:tabs>
        <w:rPr>
          <w:rFonts w:asciiTheme="minorHAnsi" w:eastAsiaTheme="minorEastAsia" w:hAnsiTheme="minorHAnsi" w:cstheme="minorHAnsi"/>
          <w:noProof/>
          <w:sz w:val="20"/>
          <w:szCs w:val="20"/>
          <w:lang w:val="en-US" w:eastAsia="en-US"/>
        </w:rPr>
      </w:pPr>
      <w:hyperlink w:anchor="_Toc58398638" w:history="1">
        <w:r w:rsidR="006131D0" w:rsidRPr="0053408E">
          <w:rPr>
            <w:rStyle w:val="Hyperlink"/>
            <w:rFonts w:asciiTheme="minorHAnsi" w:hAnsiTheme="minorHAnsi" w:cstheme="minorHAnsi"/>
            <w:noProof/>
            <w:sz w:val="20"/>
            <w:szCs w:val="20"/>
          </w:rPr>
          <w:t>Table 8. Private sector stakeholder engagement modalities</w:t>
        </w:r>
        <w:r w:rsidR="006131D0" w:rsidRPr="0053408E">
          <w:rPr>
            <w:rFonts w:asciiTheme="minorHAnsi" w:hAnsiTheme="minorHAnsi" w:cstheme="minorHAnsi"/>
            <w:noProof/>
            <w:webHidden/>
            <w:sz w:val="20"/>
            <w:szCs w:val="20"/>
          </w:rPr>
          <w:tab/>
        </w:r>
        <w:r w:rsidR="006131D0" w:rsidRPr="0053408E">
          <w:rPr>
            <w:rFonts w:asciiTheme="minorHAnsi" w:hAnsiTheme="minorHAnsi" w:cstheme="minorHAnsi"/>
            <w:noProof/>
            <w:webHidden/>
            <w:sz w:val="20"/>
            <w:szCs w:val="20"/>
          </w:rPr>
          <w:fldChar w:fldCharType="begin"/>
        </w:r>
        <w:r w:rsidR="006131D0" w:rsidRPr="0053408E">
          <w:rPr>
            <w:rFonts w:asciiTheme="minorHAnsi" w:hAnsiTheme="minorHAnsi" w:cstheme="minorHAnsi"/>
            <w:noProof/>
            <w:webHidden/>
            <w:sz w:val="20"/>
            <w:szCs w:val="20"/>
          </w:rPr>
          <w:instrText xml:space="preserve"> PAGEREF _Toc58398638 \h </w:instrText>
        </w:r>
        <w:r w:rsidR="006131D0" w:rsidRPr="0053408E">
          <w:rPr>
            <w:rFonts w:asciiTheme="minorHAnsi" w:hAnsiTheme="minorHAnsi" w:cstheme="minorHAnsi"/>
            <w:noProof/>
            <w:webHidden/>
            <w:sz w:val="20"/>
            <w:szCs w:val="20"/>
          </w:rPr>
        </w:r>
        <w:r w:rsidR="006131D0" w:rsidRPr="0053408E">
          <w:rPr>
            <w:rFonts w:asciiTheme="minorHAnsi" w:hAnsiTheme="minorHAnsi" w:cstheme="minorHAnsi"/>
            <w:noProof/>
            <w:webHidden/>
            <w:sz w:val="20"/>
            <w:szCs w:val="20"/>
          </w:rPr>
          <w:fldChar w:fldCharType="separate"/>
        </w:r>
        <w:r w:rsidR="006131D0" w:rsidRPr="0053408E">
          <w:rPr>
            <w:rFonts w:asciiTheme="minorHAnsi" w:hAnsiTheme="minorHAnsi" w:cstheme="minorHAnsi"/>
            <w:noProof/>
            <w:webHidden/>
            <w:sz w:val="20"/>
            <w:szCs w:val="20"/>
          </w:rPr>
          <w:t>123</w:t>
        </w:r>
        <w:r w:rsidR="006131D0" w:rsidRPr="0053408E">
          <w:rPr>
            <w:rFonts w:asciiTheme="minorHAnsi" w:hAnsiTheme="minorHAnsi" w:cstheme="minorHAnsi"/>
            <w:noProof/>
            <w:webHidden/>
            <w:sz w:val="20"/>
            <w:szCs w:val="20"/>
          </w:rPr>
          <w:fldChar w:fldCharType="end"/>
        </w:r>
      </w:hyperlink>
    </w:p>
    <w:p w14:paraId="79A68880" w14:textId="3372C558" w:rsidR="006131D0" w:rsidRPr="0053408E" w:rsidRDefault="000C73F8">
      <w:pPr>
        <w:pStyle w:val="TableofFigures"/>
        <w:tabs>
          <w:tab w:val="right" w:leader="dot" w:pos="9736"/>
        </w:tabs>
        <w:rPr>
          <w:rFonts w:asciiTheme="minorHAnsi" w:eastAsiaTheme="minorEastAsia" w:hAnsiTheme="minorHAnsi" w:cstheme="minorHAnsi"/>
          <w:noProof/>
          <w:sz w:val="20"/>
          <w:szCs w:val="20"/>
          <w:lang w:val="en-US" w:eastAsia="en-US"/>
        </w:rPr>
      </w:pPr>
      <w:hyperlink w:anchor="_Toc58398639" w:history="1">
        <w:r w:rsidR="006131D0" w:rsidRPr="0053408E">
          <w:rPr>
            <w:rStyle w:val="Hyperlink"/>
            <w:rFonts w:asciiTheme="minorHAnsi" w:hAnsiTheme="minorHAnsi" w:cstheme="minorHAnsi"/>
            <w:noProof/>
            <w:sz w:val="20"/>
            <w:szCs w:val="20"/>
          </w:rPr>
          <w:t>Table 9 – Risk Description and mitigation actions</w:t>
        </w:r>
        <w:r w:rsidR="006131D0" w:rsidRPr="0053408E">
          <w:rPr>
            <w:rFonts w:asciiTheme="minorHAnsi" w:hAnsiTheme="minorHAnsi" w:cstheme="minorHAnsi"/>
            <w:noProof/>
            <w:webHidden/>
            <w:sz w:val="20"/>
            <w:szCs w:val="20"/>
          </w:rPr>
          <w:tab/>
        </w:r>
        <w:r w:rsidR="006131D0" w:rsidRPr="0053408E">
          <w:rPr>
            <w:rFonts w:asciiTheme="minorHAnsi" w:hAnsiTheme="minorHAnsi" w:cstheme="minorHAnsi"/>
            <w:noProof/>
            <w:webHidden/>
            <w:sz w:val="20"/>
            <w:szCs w:val="20"/>
          </w:rPr>
          <w:fldChar w:fldCharType="begin"/>
        </w:r>
        <w:r w:rsidR="006131D0" w:rsidRPr="0053408E">
          <w:rPr>
            <w:rFonts w:asciiTheme="minorHAnsi" w:hAnsiTheme="minorHAnsi" w:cstheme="minorHAnsi"/>
            <w:noProof/>
            <w:webHidden/>
            <w:sz w:val="20"/>
            <w:szCs w:val="20"/>
          </w:rPr>
          <w:instrText xml:space="preserve"> PAGEREF _Toc58398639 \h </w:instrText>
        </w:r>
        <w:r w:rsidR="006131D0" w:rsidRPr="0053408E">
          <w:rPr>
            <w:rFonts w:asciiTheme="minorHAnsi" w:hAnsiTheme="minorHAnsi" w:cstheme="minorHAnsi"/>
            <w:noProof/>
            <w:webHidden/>
            <w:sz w:val="20"/>
            <w:szCs w:val="20"/>
          </w:rPr>
        </w:r>
        <w:r w:rsidR="006131D0" w:rsidRPr="0053408E">
          <w:rPr>
            <w:rFonts w:asciiTheme="minorHAnsi" w:hAnsiTheme="minorHAnsi" w:cstheme="minorHAnsi"/>
            <w:noProof/>
            <w:webHidden/>
            <w:sz w:val="20"/>
            <w:szCs w:val="20"/>
          </w:rPr>
          <w:fldChar w:fldCharType="separate"/>
        </w:r>
        <w:r w:rsidR="006131D0" w:rsidRPr="0053408E">
          <w:rPr>
            <w:rFonts w:asciiTheme="minorHAnsi" w:hAnsiTheme="minorHAnsi" w:cstheme="minorHAnsi"/>
            <w:noProof/>
            <w:webHidden/>
            <w:sz w:val="20"/>
            <w:szCs w:val="20"/>
          </w:rPr>
          <w:t>125</w:t>
        </w:r>
        <w:r w:rsidR="006131D0" w:rsidRPr="0053408E">
          <w:rPr>
            <w:rFonts w:asciiTheme="minorHAnsi" w:hAnsiTheme="minorHAnsi" w:cstheme="minorHAnsi"/>
            <w:noProof/>
            <w:webHidden/>
            <w:sz w:val="20"/>
            <w:szCs w:val="20"/>
          </w:rPr>
          <w:fldChar w:fldCharType="end"/>
        </w:r>
      </w:hyperlink>
    </w:p>
    <w:p w14:paraId="04CF8001" w14:textId="3D154A7A" w:rsidR="006131D0" w:rsidRPr="0053408E" w:rsidRDefault="000C73F8">
      <w:pPr>
        <w:pStyle w:val="TableofFigures"/>
        <w:tabs>
          <w:tab w:val="right" w:leader="dot" w:pos="9736"/>
        </w:tabs>
        <w:rPr>
          <w:rFonts w:asciiTheme="minorHAnsi" w:eastAsiaTheme="minorEastAsia" w:hAnsiTheme="minorHAnsi" w:cstheme="minorHAnsi"/>
          <w:noProof/>
          <w:sz w:val="20"/>
          <w:szCs w:val="20"/>
          <w:lang w:val="en-US" w:eastAsia="en-US"/>
        </w:rPr>
      </w:pPr>
      <w:hyperlink w:anchor="_Toc58398640" w:history="1">
        <w:r w:rsidR="006131D0" w:rsidRPr="0053408E">
          <w:rPr>
            <w:rStyle w:val="Hyperlink"/>
            <w:rFonts w:asciiTheme="minorHAnsi" w:hAnsiTheme="minorHAnsi" w:cstheme="minorHAnsi"/>
            <w:noProof/>
            <w:sz w:val="20"/>
            <w:szCs w:val="20"/>
          </w:rPr>
          <w:t>Table 10 - Environmental and Social risks</w:t>
        </w:r>
        <w:r w:rsidR="006131D0" w:rsidRPr="0053408E">
          <w:rPr>
            <w:rFonts w:asciiTheme="minorHAnsi" w:hAnsiTheme="minorHAnsi" w:cstheme="minorHAnsi"/>
            <w:noProof/>
            <w:webHidden/>
            <w:sz w:val="20"/>
            <w:szCs w:val="20"/>
          </w:rPr>
          <w:tab/>
        </w:r>
        <w:r w:rsidR="006131D0" w:rsidRPr="0053408E">
          <w:rPr>
            <w:rFonts w:asciiTheme="minorHAnsi" w:hAnsiTheme="minorHAnsi" w:cstheme="minorHAnsi"/>
            <w:noProof/>
            <w:webHidden/>
            <w:sz w:val="20"/>
            <w:szCs w:val="20"/>
          </w:rPr>
          <w:fldChar w:fldCharType="begin"/>
        </w:r>
        <w:r w:rsidR="006131D0" w:rsidRPr="0053408E">
          <w:rPr>
            <w:rFonts w:asciiTheme="minorHAnsi" w:hAnsiTheme="minorHAnsi" w:cstheme="minorHAnsi"/>
            <w:noProof/>
            <w:webHidden/>
            <w:sz w:val="20"/>
            <w:szCs w:val="20"/>
          </w:rPr>
          <w:instrText xml:space="preserve"> PAGEREF _Toc58398640 \h </w:instrText>
        </w:r>
        <w:r w:rsidR="006131D0" w:rsidRPr="0053408E">
          <w:rPr>
            <w:rFonts w:asciiTheme="minorHAnsi" w:hAnsiTheme="minorHAnsi" w:cstheme="minorHAnsi"/>
            <w:noProof/>
            <w:webHidden/>
            <w:sz w:val="20"/>
            <w:szCs w:val="20"/>
          </w:rPr>
        </w:r>
        <w:r w:rsidR="006131D0" w:rsidRPr="0053408E">
          <w:rPr>
            <w:rFonts w:asciiTheme="minorHAnsi" w:hAnsiTheme="minorHAnsi" w:cstheme="minorHAnsi"/>
            <w:noProof/>
            <w:webHidden/>
            <w:sz w:val="20"/>
            <w:szCs w:val="20"/>
          </w:rPr>
          <w:fldChar w:fldCharType="separate"/>
        </w:r>
        <w:r w:rsidR="006131D0" w:rsidRPr="0053408E">
          <w:rPr>
            <w:rFonts w:asciiTheme="minorHAnsi" w:hAnsiTheme="minorHAnsi" w:cstheme="minorHAnsi"/>
            <w:noProof/>
            <w:webHidden/>
            <w:sz w:val="20"/>
            <w:szCs w:val="20"/>
          </w:rPr>
          <w:t>127</w:t>
        </w:r>
        <w:r w:rsidR="006131D0" w:rsidRPr="0053408E">
          <w:rPr>
            <w:rFonts w:asciiTheme="minorHAnsi" w:hAnsiTheme="minorHAnsi" w:cstheme="minorHAnsi"/>
            <w:noProof/>
            <w:webHidden/>
            <w:sz w:val="20"/>
            <w:szCs w:val="20"/>
          </w:rPr>
          <w:fldChar w:fldCharType="end"/>
        </w:r>
      </w:hyperlink>
    </w:p>
    <w:p w14:paraId="276E5040" w14:textId="74E498ED" w:rsidR="006131D0" w:rsidRPr="0053408E" w:rsidRDefault="000C73F8">
      <w:pPr>
        <w:pStyle w:val="TableofFigures"/>
        <w:tabs>
          <w:tab w:val="right" w:leader="dot" w:pos="9736"/>
        </w:tabs>
        <w:rPr>
          <w:rFonts w:asciiTheme="minorHAnsi" w:eastAsiaTheme="minorEastAsia" w:hAnsiTheme="minorHAnsi" w:cstheme="minorHAnsi"/>
          <w:noProof/>
          <w:sz w:val="20"/>
          <w:szCs w:val="20"/>
          <w:lang w:val="en-US" w:eastAsia="en-US"/>
        </w:rPr>
      </w:pPr>
      <w:hyperlink w:anchor="_Toc58398641" w:history="1">
        <w:r w:rsidR="006131D0" w:rsidRPr="0053408E">
          <w:rPr>
            <w:rStyle w:val="Hyperlink"/>
            <w:rFonts w:asciiTheme="minorHAnsi" w:hAnsiTheme="minorHAnsi" w:cstheme="minorHAnsi"/>
            <w:noProof/>
            <w:sz w:val="20"/>
            <w:szCs w:val="20"/>
          </w:rPr>
          <w:t>Table 11. Other relevant GEF Projects: lessons, potential collaboration and synergies</w:t>
        </w:r>
        <w:r w:rsidR="006131D0" w:rsidRPr="0053408E">
          <w:rPr>
            <w:rFonts w:asciiTheme="minorHAnsi" w:hAnsiTheme="minorHAnsi" w:cstheme="minorHAnsi"/>
            <w:noProof/>
            <w:webHidden/>
            <w:sz w:val="20"/>
            <w:szCs w:val="20"/>
          </w:rPr>
          <w:tab/>
        </w:r>
        <w:r w:rsidR="006131D0" w:rsidRPr="0053408E">
          <w:rPr>
            <w:rFonts w:asciiTheme="minorHAnsi" w:hAnsiTheme="minorHAnsi" w:cstheme="minorHAnsi"/>
            <w:noProof/>
            <w:webHidden/>
            <w:sz w:val="20"/>
            <w:szCs w:val="20"/>
          </w:rPr>
          <w:fldChar w:fldCharType="begin"/>
        </w:r>
        <w:r w:rsidR="006131D0" w:rsidRPr="0053408E">
          <w:rPr>
            <w:rFonts w:asciiTheme="minorHAnsi" w:hAnsiTheme="minorHAnsi" w:cstheme="minorHAnsi"/>
            <w:noProof/>
            <w:webHidden/>
            <w:sz w:val="20"/>
            <w:szCs w:val="20"/>
          </w:rPr>
          <w:instrText xml:space="preserve"> PAGEREF _Toc58398641 \h </w:instrText>
        </w:r>
        <w:r w:rsidR="006131D0" w:rsidRPr="0053408E">
          <w:rPr>
            <w:rFonts w:asciiTheme="minorHAnsi" w:hAnsiTheme="minorHAnsi" w:cstheme="minorHAnsi"/>
            <w:noProof/>
            <w:webHidden/>
            <w:sz w:val="20"/>
            <w:szCs w:val="20"/>
          </w:rPr>
        </w:r>
        <w:r w:rsidR="006131D0" w:rsidRPr="0053408E">
          <w:rPr>
            <w:rFonts w:asciiTheme="minorHAnsi" w:hAnsiTheme="minorHAnsi" w:cstheme="minorHAnsi"/>
            <w:noProof/>
            <w:webHidden/>
            <w:sz w:val="20"/>
            <w:szCs w:val="20"/>
          </w:rPr>
          <w:fldChar w:fldCharType="separate"/>
        </w:r>
        <w:r w:rsidR="006131D0" w:rsidRPr="0053408E">
          <w:rPr>
            <w:rFonts w:asciiTheme="minorHAnsi" w:hAnsiTheme="minorHAnsi" w:cstheme="minorHAnsi"/>
            <w:noProof/>
            <w:webHidden/>
            <w:sz w:val="20"/>
            <w:szCs w:val="20"/>
          </w:rPr>
          <w:t>134</w:t>
        </w:r>
        <w:r w:rsidR="006131D0" w:rsidRPr="0053408E">
          <w:rPr>
            <w:rFonts w:asciiTheme="minorHAnsi" w:hAnsiTheme="minorHAnsi" w:cstheme="minorHAnsi"/>
            <w:noProof/>
            <w:webHidden/>
            <w:sz w:val="20"/>
            <w:szCs w:val="20"/>
          </w:rPr>
          <w:fldChar w:fldCharType="end"/>
        </w:r>
      </w:hyperlink>
    </w:p>
    <w:p w14:paraId="4E096F55" w14:textId="422965A3" w:rsidR="006131D0" w:rsidRPr="0053408E" w:rsidRDefault="000C73F8">
      <w:pPr>
        <w:pStyle w:val="TableofFigures"/>
        <w:tabs>
          <w:tab w:val="right" w:leader="dot" w:pos="9736"/>
        </w:tabs>
        <w:rPr>
          <w:rFonts w:asciiTheme="minorHAnsi" w:eastAsiaTheme="minorEastAsia" w:hAnsiTheme="minorHAnsi" w:cstheme="minorHAnsi"/>
          <w:noProof/>
          <w:sz w:val="20"/>
          <w:szCs w:val="20"/>
          <w:lang w:val="en-US" w:eastAsia="en-US"/>
        </w:rPr>
      </w:pPr>
      <w:hyperlink w:anchor="_Toc58398642" w:history="1">
        <w:r w:rsidR="006131D0" w:rsidRPr="0053408E">
          <w:rPr>
            <w:rStyle w:val="Hyperlink"/>
            <w:rFonts w:asciiTheme="minorHAnsi" w:hAnsiTheme="minorHAnsi" w:cstheme="minorHAnsi"/>
            <w:noProof/>
            <w:sz w:val="20"/>
            <w:szCs w:val="20"/>
          </w:rPr>
          <w:t>Table 12. Project Monitoring and Evaluation Plan Activities and Budget</w:t>
        </w:r>
        <w:r w:rsidR="006131D0" w:rsidRPr="0053408E">
          <w:rPr>
            <w:rFonts w:asciiTheme="minorHAnsi" w:hAnsiTheme="minorHAnsi" w:cstheme="minorHAnsi"/>
            <w:noProof/>
            <w:webHidden/>
            <w:sz w:val="20"/>
            <w:szCs w:val="20"/>
          </w:rPr>
          <w:tab/>
        </w:r>
        <w:r w:rsidR="006131D0" w:rsidRPr="0053408E">
          <w:rPr>
            <w:rFonts w:asciiTheme="minorHAnsi" w:hAnsiTheme="minorHAnsi" w:cstheme="minorHAnsi"/>
            <w:noProof/>
            <w:webHidden/>
            <w:sz w:val="20"/>
            <w:szCs w:val="20"/>
          </w:rPr>
          <w:fldChar w:fldCharType="begin"/>
        </w:r>
        <w:r w:rsidR="006131D0" w:rsidRPr="0053408E">
          <w:rPr>
            <w:rFonts w:asciiTheme="minorHAnsi" w:hAnsiTheme="minorHAnsi" w:cstheme="minorHAnsi"/>
            <w:noProof/>
            <w:webHidden/>
            <w:sz w:val="20"/>
            <w:szCs w:val="20"/>
          </w:rPr>
          <w:instrText xml:space="preserve"> PAGEREF _Toc58398642 \h </w:instrText>
        </w:r>
        <w:r w:rsidR="006131D0" w:rsidRPr="0053408E">
          <w:rPr>
            <w:rFonts w:asciiTheme="minorHAnsi" w:hAnsiTheme="minorHAnsi" w:cstheme="minorHAnsi"/>
            <w:noProof/>
            <w:webHidden/>
            <w:sz w:val="20"/>
            <w:szCs w:val="20"/>
          </w:rPr>
        </w:r>
        <w:r w:rsidR="006131D0" w:rsidRPr="0053408E">
          <w:rPr>
            <w:rFonts w:asciiTheme="minorHAnsi" w:hAnsiTheme="minorHAnsi" w:cstheme="minorHAnsi"/>
            <w:noProof/>
            <w:webHidden/>
            <w:sz w:val="20"/>
            <w:szCs w:val="20"/>
          </w:rPr>
          <w:fldChar w:fldCharType="separate"/>
        </w:r>
        <w:r w:rsidR="006131D0" w:rsidRPr="0053408E">
          <w:rPr>
            <w:rFonts w:asciiTheme="minorHAnsi" w:hAnsiTheme="minorHAnsi" w:cstheme="minorHAnsi"/>
            <w:noProof/>
            <w:webHidden/>
            <w:sz w:val="20"/>
            <w:szCs w:val="20"/>
          </w:rPr>
          <w:t>141</w:t>
        </w:r>
        <w:r w:rsidR="006131D0" w:rsidRPr="0053408E">
          <w:rPr>
            <w:rFonts w:asciiTheme="minorHAnsi" w:hAnsiTheme="minorHAnsi" w:cstheme="minorHAnsi"/>
            <w:noProof/>
            <w:webHidden/>
            <w:sz w:val="20"/>
            <w:szCs w:val="20"/>
          </w:rPr>
          <w:fldChar w:fldCharType="end"/>
        </w:r>
      </w:hyperlink>
    </w:p>
    <w:p w14:paraId="5B00DFAD" w14:textId="492609F2" w:rsidR="006131D0" w:rsidRPr="0053408E" w:rsidRDefault="000C73F8">
      <w:pPr>
        <w:pStyle w:val="TableofFigures"/>
        <w:tabs>
          <w:tab w:val="right" w:leader="dot" w:pos="9736"/>
        </w:tabs>
        <w:rPr>
          <w:rFonts w:asciiTheme="minorHAnsi" w:eastAsiaTheme="minorEastAsia" w:hAnsiTheme="minorHAnsi" w:cstheme="minorHAnsi"/>
          <w:noProof/>
          <w:sz w:val="20"/>
          <w:szCs w:val="20"/>
          <w:lang w:val="en-US" w:eastAsia="en-US"/>
        </w:rPr>
      </w:pPr>
      <w:hyperlink w:anchor="_Toc58398643" w:history="1">
        <w:r w:rsidR="006131D0" w:rsidRPr="0053408E">
          <w:rPr>
            <w:rStyle w:val="Hyperlink"/>
            <w:rFonts w:asciiTheme="minorHAnsi" w:hAnsiTheme="minorHAnsi" w:cstheme="minorHAnsi"/>
            <w:noProof/>
            <w:sz w:val="20"/>
            <w:szCs w:val="20"/>
          </w:rPr>
          <w:t>Table 13. Screening for the need of FPIC during PPG and project implementation</w:t>
        </w:r>
        <w:r w:rsidR="006131D0" w:rsidRPr="0053408E">
          <w:rPr>
            <w:rFonts w:asciiTheme="minorHAnsi" w:hAnsiTheme="minorHAnsi" w:cstheme="minorHAnsi"/>
            <w:noProof/>
            <w:webHidden/>
            <w:sz w:val="20"/>
            <w:szCs w:val="20"/>
          </w:rPr>
          <w:tab/>
        </w:r>
        <w:r w:rsidR="006131D0" w:rsidRPr="0053408E">
          <w:rPr>
            <w:rFonts w:asciiTheme="minorHAnsi" w:hAnsiTheme="minorHAnsi" w:cstheme="minorHAnsi"/>
            <w:noProof/>
            <w:webHidden/>
            <w:sz w:val="20"/>
            <w:szCs w:val="20"/>
          </w:rPr>
          <w:fldChar w:fldCharType="begin"/>
        </w:r>
        <w:r w:rsidR="006131D0" w:rsidRPr="0053408E">
          <w:rPr>
            <w:rFonts w:asciiTheme="minorHAnsi" w:hAnsiTheme="minorHAnsi" w:cstheme="minorHAnsi"/>
            <w:noProof/>
            <w:webHidden/>
            <w:sz w:val="20"/>
            <w:szCs w:val="20"/>
          </w:rPr>
          <w:instrText xml:space="preserve"> PAGEREF _Toc58398643 \h </w:instrText>
        </w:r>
        <w:r w:rsidR="006131D0" w:rsidRPr="0053408E">
          <w:rPr>
            <w:rFonts w:asciiTheme="minorHAnsi" w:hAnsiTheme="minorHAnsi" w:cstheme="minorHAnsi"/>
            <w:noProof/>
            <w:webHidden/>
            <w:sz w:val="20"/>
            <w:szCs w:val="20"/>
          </w:rPr>
        </w:r>
        <w:r w:rsidR="006131D0" w:rsidRPr="0053408E">
          <w:rPr>
            <w:rFonts w:asciiTheme="minorHAnsi" w:hAnsiTheme="minorHAnsi" w:cstheme="minorHAnsi"/>
            <w:noProof/>
            <w:webHidden/>
            <w:sz w:val="20"/>
            <w:szCs w:val="20"/>
          </w:rPr>
          <w:fldChar w:fldCharType="separate"/>
        </w:r>
        <w:r w:rsidR="006131D0" w:rsidRPr="0053408E">
          <w:rPr>
            <w:rFonts w:asciiTheme="minorHAnsi" w:hAnsiTheme="minorHAnsi" w:cstheme="minorHAnsi"/>
            <w:noProof/>
            <w:webHidden/>
            <w:sz w:val="20"/>
            <w:szCs w:val="20"/>
          </w:rPr>
          <w:t>169</w:t>
        </w:r>
        <w:r w:rsidR="006131D0" w:rsidRPr="0053408E">
          <w:rPr>
            <w:rFonts w:asciiTheme="minorHAnsi" w:hAnsiTheme="minorHAnsi" w:cstheme="minorHAnsi"/>
            <w:noProof/>
            <w:webHidden/>
            <w:sz w:val="20"/>
            <w:szCs w:val="20"/>
          </w:rPr>
          <w:fldChar w:fldCharType="end"/>
        </w:r>
      </w:hyperlink>
    </w:p>
    <w:p w14:paraId="165464A2" w14:textId="467C5E18" w:rsidR="00CE38C0" w:rsidRPr="0045368E" w:rsidRDefault="009563B4" w:rsidP="00826029">
      <w:pPr>
        <w:pStyle w:val="TableofFigures"/>
        <w:tabs>
          <w:tab w:val="right" w:leader="dot" w:pos="9350"/>
        </w:tabs>
        <w:rPr>
          <w:rFonts w:asciiTheme="minorHAnsi" w:hAnsiTheme="minorHAnsi" w:cstheme="minorHAnsi"/>
          <w:sz w:val="20"/>
          <w:szCs w:val="20"/>
        </w:rPr>
      </w:pPr>
      <w:r w:rsidRPr="0053408E">
        <w:rPr>
          <w:rFonts w:asciiTheme="minorHAnsi" w:hAnsiTheme="minorHAnsi" w:cstheme="minorHAnsi"/>
          <w:sz w:val="20"/>
          <w:szCs w:val="20"/>
        </w:rPr>
        <w:fldChar w:fldCharType="end"/>
      </w:r>
    </w:p>
    <w:p w14:paraId="17FCB7CB" w14:textId="0C89A7DC" w:rsidR="0045368E" w:rsidRPr="0045368E" w:rsidRDefault="009563B4">
      <w:pPr>
        <w:pStyle w:val="TableofFigures"/>
        <w:tabs>
          <w:tab w:val="right" w:leader="dot" w:pos="9736"/>
        </w:tabs>
        <w:rPr>
          <w:rFonts w:asciiTheme="minorHAnsi" w:eastAsiaTheme="minorEastAsia" w:hAnsiTheme="minorHAnsi" w:cstheme="minorHAnsi"/>
          <w:noProof/>
          <w:sz w:val="20"/>
          <w:szCs w:val="20"/>
          <w:lang w:val="en-US" w:eastAsia="en-US"/>
        </w:rPr>
      </w:pPr>
      <w:r w:rsidRPr="0045368E">
        <w:rPr>
          <w:rFonts w:asciiTheme="minorHAnsi" w:hAnsiTheme="minorHAnsi" w:cstheme="minorHAnsi"/>
          <w:sz w:val="20"/>
          <w:szCs w:val="20"/>
        </w:rPr>
        <w:fldChar w:fldCharType="begin"/>
      </w:r>
      <w:r w:rsidRPr="0045368E">
        <w:rPr>
          <w:rFonts w:asciiTheme="minorHAnsi" w:hAnsiTheme="minorHAnsi" w:cstheme="minorHAnsi"/>
          <w:sz w:val="20"/>
          <w:szCs w:val="20"/>
        </w:rPr>
        <w:instrText xml:space="preserve"> TOC \h \z \c "Figure" </w:instrText>
      </w:r>
      <w:r w:rsidRPr="0045368E">
        <w:rPr>
          <w:rFonts w:asciiTheme="minorHAnsi" w:hAnsiTheme="minorHAnsi" w:cstheme="minorHAnsi"/>
          <w:sz w:val="20"/>
          <w:szCs w:val="20"/>
        </w:rPr>
        <w:fldChar w:fldCharType="separate"/>
      </w:r>
      <w:hyperlink w:anchor="_Toc64037177" w:history="1">
        <w:r w:rsidR="0045368E" w:rsidRPr="0045368E">
          <w:rPr>
            <w:rStyle w:val="Hyperlink"/>
            <w:rFonts w:asciiTheme="minorHAnsi" w:hAnsiTheme="minorHAnsi" w:cstheme="minorHAnsi"/>
            <w:noProof/>
            <w:sz w:val="20"/>
            <w:szCs w:val="20"/>
          </w:rPr>
          <w:t>Figure 1. Distribution of Miombo-Mopane woodland ecosystems and ecoregion in Angola [A] and across Southern Africa [B], respectively</w:t>
        </w:r>
        <w:r w:rsidR="0045368E" w:rsidRPr="0045368E">
          <w:rPr>
            <w:rFonts w:asciiTheme="minorHAnsi" w:hAnsiTheme="minorHAnsi" w:cstheme="minorHAnsi"/>
            <w:noProof/>
            <w:webHidden/>
            <w:sz w:val="20"/>
            <w:szCs w:val="20"/>
          </w:rPr>
          <w:tab/>
        </w:r>
        <w:r w:rsidR="0045368E" w:rsidRPr="0045368E">
          <w:rPr>
            <w:rFonts w:asciiTheme="minorHAnsi" w:hAnsiTheme="minorHAnsi" w:cstheme="minorHAnsi"/>
            <w:noProof/>
            <w:webHidden/>
            <w:sz w:val="20"/>
            <w:szCs w:val="20"/>
          </w:rPr>
          <w:fldChar w:fldCharType="begin"/>
        </w:r>
        <w:r w:rsidR="0045368E" w:rsidRPr="0045368E">
          <w:rPr>
            <w:rFonts w:asciiTheme="minorHAnsi" w:hAnsiTheme="minorHAnsi" w:cstheme="minorHAnsi"/>
            <w:noProof/>
            <w:webHidden/>
            <w:sz w:val="20"/>
            <w:szCs w:val="20"/>
          </w:rPr>
          <w:instrText xml:space="preserve"> PAGEREF _Toc64037177 \h </w:instrText>
        </w:r>
        <w:r w:rsidR="0045368E" w:rsidRPr="0045368E">
          <w:rPr>
            <w:rFonts w:asciiTheme="minorHAnsi" w:hAnsiTheme="minorHAnsi" w:cstheme="minorHAnsi"/>
            <w:noProof/>
            <w:webHidden/>
            <w:sz w:val="20"/>
            <w:szCs w:val="20"/>
          </w:rPr>
        </w:r>
        <w:r w:rsidR="0045368E" w:rsidRPr="0045368E">
          <w:rPr>
            <w:rFonts w:asciiTheme="minorHAnsi" w:hAnsiTheme="minorHAnsi" w:cstheme="minorHAnsi"/>
            <w:noProof/>
            <w:webHidden/>
            <w:sz w:val="20"/>
            <w:szCs w:val="20"/>
          </w:rPr>
          <w:fldChar w:fldCharType="separate"/>
        </w:r>
        <w:r w:rsidR="0045368E" w:rsidRPr="0045368E">
          <w:rPr>
            <w:rFonts w:asciiTheme="minorHAnsi" w:hAnsiTheme="minorHAnsi" w:cstheme="minorHAnsi"/>
            <w:noProof/>
            <w:webHidden/>
            <w:sz w:val="20"/>
            <w:szCs w:val="20"/>
          </w:rPr>
          <w:t>14</w:t>
        </w:r>
        <w:r w:rsidR="0045368E" w:rsidRPr="0045368E">
          <w:rPr>
            <w:rFonts w:asciiTheme="minorHAnsi" w:hAnsiTheme="minorHAnsi" w:cstheme="minorHAnsi"/>
            <w:noProof/>
            <w:webHidden/>
            <w:sz w:val="20"/>
            <w:szCs w:val="20"/>
          </w:rPr>
          <w:fldChar w:fldCharType="end"/>
        </w:r>
      </w:hyperlink>
    </w:p>
    <w:p w14:paraId="55239264" w14:textId="608E9434" w:rsidR="0045368E" w:rsidRPr="0045368E" w:rsidRDefault="000C73F8">
      <w:pPr>
        <w:pStyle w:val="TableofFigures"/>
        <w:tabs>
          <w:tab w:val="right" w:leader="dot" w:pos="9736"/>
        </w:tabs>
        <w:rPr>
          <w:rFonts w:asciiTheme="minorHAnsi" w:eastAsiaTheme="minorEastAsia" w:hAnsiTheme="minorHAnsi" w:cstheme="minorHAnsi"/>
          <w:noProof/>
          <w:sz w:val="20"/>
          <w:szCs w:val="20"/>
          <w:lang w:val="en-US" w:eastAsia="en-US"/>
        </w:rPr>
      </w:pPr>
      <w:hyperlink w:anchor="_Toc64037178" w:history="1">
        <w:r w:rsidR="0045368E" w:rsidRPr="0045368E">
          <w:rPr>
            <w:rStyle w:val="Hyperlink"/>
            <w:rFonts w:asciiTheme="minorHAnsi" w:hAnsiTheme="minorHAnsi" w:cstheme="minorHAnsi"/>
            <w:noProof/>
            <w:sz w:val="20"/>
            <w:szCs w:val="20"/>
          </w:rPr>
          <w:t>Figure 2. River basins of Angola [A] and their Southern Africa context [B]</w:t>
        </w:r>
        <w:r w:rsidR="0045368E" w:rsidRPr="0045368E">
          <w:rPr>
            <w:rFonts w:asciiTheme="minorHAnsi" w:hAnsiTheme="minorHAnsi" w:cstheme="minorHAnsi"/>
            <w:noProof/>
            <w:webHidden/>
            <w:sz w:val="20"/>
            <w:szCs w:val="20"/>
          </w:rPr>
          <w:tab/>
        </w:r>
        <w:r w:rsidR="0045368E" w:rsidRPr="0045368E">
          <w:rPr>
            <w:rFonts w:asciiTheme="minorHAnsi" w:hAnsiTheme="minorHAnsi" w:cstheme="minorHAnsi"/>
            <w:noProof/>
            <w:webHidden/>
            <w:sz w:val="20"/>
            <w:szCs w:val="20"/>
          </w:rPr>
          <w:fldChar w:fldCharType="begin"/>
        </w:r>
        <w:r w:rsidR="0045368E" w:rsidRPr="0045368E">
          <w:rPr>
            <w:rFonts w:asciiTheme="minorHAnsi" w:hAnsiTheme="minorHAnsi" w:cstheme="minorHAnsi"/>
            <w:noProof/>
            <w:webHidden/>
            <w:sz w:val="20"/>
            <w:szCs w:val="20"/>
          </w:rPr>
          <w:instrText xml:space="preserve"> PAGEREF _Toc64037178 \h </w:instrText>
        </w:r>
        <w:r w:rsidR="0045368E" w:rsidRPr="0045368E">
          <w:rPr>
            <w:rFonts w:asciiTheme="minorHAnsi" w:hAnsiTheme="minorHAnsi" w:cstheme="minorHAnsi"/>
            <w:noProof/>
            <w:webHidden/>
            <w:sz w:val="20"/>
            <w:szCs w:val="20"/>
          </w:rPr>
        </w:r>
        <w:r w:rsidR="0045368E" w:rsidRPr="0045368E">
          <w:rPr>
            <w:rFonts w:asciiTheme="minorHAnsi" w:hAnsiTheme="minorHAnsi" w:cstheme="minorHAnsi"/>
            <w:noProof/>
            <w:webHidden/>
            <w:sz w:val="20"/>
            <w:szCs w:val="20"/>
          </w:rPr>
          <w:fldChar w:fldCharType="separate"/>
        </w:r>
        <w:r w:rsidR="0045368E" w:rsidRPr="0045368E">
          <w:rPr>
            <w:rFonts w:asciiTheme="minorHAnsi" w:hAnsiTheme="minorHAnsi" w:cstheme="minorHAnsi"/>
            <w:noProof/>
            <w:webHidden/>
            <w:sz w:val="20"/>
            <w:szCs w:val="20"/>
          </w:rPr>
          <w:t>15</w:t>
        </w:r>
        <w:r w:rsidR="0045368E" w:rsidRPr="0045368E">
          <w:rPr>
            <w:rFonts w:asciiTheme="minorHAnsi" w:hAnsiTheme="minorHAnsi" w:cstheme="minorHAnsi"/>
            <w:noProof/>
            <w:webHidden/>
            <w:sz w:val="20"/>
            <w:szCs w:val="20"/>
          </w:rPr>
          <w:fldChar w:fldCharType="end"/>
        </w:r>
      </w:hyperlink>
    </w:p>
    <w:p w14:paraId="50B3EBE5" w14:textId="1F44DC80" w:rsidR="0045368E" w:rsidRPr="0045368E" w:rsidRDefault="000C73F8">
      <w:pPr>
        <w:pStyle w:val="TableofFigures"/>
        <w:tabs>
          <w:tab w:val="right" w:leader="dot" w:pos="9736"/>
        </w:tabs>
        <w:rPr>
          <w:rFonts w:asciiTheme="minorHAnsi" w:eastAsiaTheme="minorEastAsia" w:hAnsiTheme="minorHAnsi" w:cstheme="minorHAnsi"/>
          <w:noProof/>
          <w:sz w:val="20"/>
          <w:szCs w:val="20"/>
          <w:lang w:val="en-US" w:eastAsia="en-US"/>
        </w:rPr>
      </w:pPr>
      <w:hyperlink w:anchor="_Toc64037179" w:history="1">
        <w:r w:rsidR="0045368E" w:rsidRPr="0045368E">
          <w:rPr>
            <w:rStyle w:val="Hyperlink"/>
            <w:rFonts w:asciiTheme="minorHAnsi" w:hAnsiTheme="minorHAnsi" w:cstheme="minorHAnsi"/>
            <w:noProof/>
            <w:sz w:val="20"/>
            <w:szCs w:val="20"/>
          </w:rPr>
          <w:t>Figure 3. Encroachment into Bicuar National Park north of Sub-basin 2</w:t>
        </w:r>
        <w:r w:rsidR="0045368E" w:rsidRPr="0045368E">
          <w:rPr>
            <w:rFonts w:asciiTheme="minorHAnsi" w:hAnsiTheme="minorHAnsi" w:cstheme="minorHAnsi"/>
            <w:noProof/>
            <w:webHidden/>
            <w:sz w:val="20"/>
            <w:szCs w:val="20"/>
          </w:rPr>
          <w:tab/>
        </w:r>
        <w:r w:rsidR="0045368E" w:rsidRPr="0045368E">
          <w:rPr>
            <w:rFonts w:asciiTheme="minorHAnsi" w:hAnsiTheme="minorHAnsi" w:cstheme="minorHAnsi"/>
            <w:noProof/>
            <w:webHidden/>
            <w:sz w:val="20"/>
            <w:szCs w:val="20"/>
          </w:rPr>
          <w:fldChar w:fldCharType="begin"/>
        </w:r>
        <w:r w:rsidR="0045368E" w:rsidRPr="0045368E">
          <w:rPr>
            <w:rFonts w:asciiTheme="minorHAnsi" w:hAnsiTheme="minorHAnsi" w:cstheme="minorHAnsi"/>
            <w:noProof/>
            <w:webHidden/>
            <w:sz w:val="20"/>
            <w:szCs w:val="20"/>
          </w:rPr>
          <w:instrText xml:space="preserve"> PAGEREF _Toc64037179 \h </w:instrText>
        </w:r>
        <w:r w:rsidR="0045368E" w:rsidRPr="0045368E">
          <w:rPr>
            <w:rFonts w:asciiTheme="minorHAnsi" w:hAnsiTheme="minorHAnsi" w:cstheme="minorHAnsi"/>
            <w:noProof/>
            <w:webHidden/>
            <w:sz w:val="20"/>
            <w:szCs w:val="20"/>
          </w:rPr>
        </w:r>
        <w:r w:rsidR="0045368E" w:rsidRPr="0045368E">
          <w:rPr>
            <w:rFonts w:asciiTheme="minorHAnsi" w:hAnsiTheme="minorHAnsi" w:cstheme="minorHAnsi"/>
            <w:noProof/>
            <w:webHidden/>
            <w:sz w:val="20"/>
            <w:szCs w:val="20"/>
          </w:rPr>
          <w:fldChar w:fldCharType="separate"/>
        </w:r>
        <w:r w:rsidR="0045368E" w:rsidRPr="0045368E">
          <w:rPr>
            <w:rFonts w:asciiTheme="minorHAnsi" w:hAnsiTheme="minorHAnsi" w:cstheme="minorHAnsi"/>
            <w:noProof/>
            <w:webHidden/>
            <w:sz w:val="20"/>
            <w:szCs w:val="20"/>
          </w:rPr>
          <w:t>20</w:t>
        </w:r>
        <w:r w:rsidR="0045368E" w:rsidRPr="0045368E">
          <w:rPr>
            <w:rFonts w:asciiTheme="minorHAnsi" w:hAnsiTheme="minorHAnsi" w:cstheme="minorHAnsi"/>
            <w:noProof/>
            <w:webHidden/>
            <w:sz w:val="20"/>
            <w:szCs w:val="20"/>
          </w:rPr>
          <w:fldChar w:fldCharType="end"/>
        </w:r>
      </w:hyperlink>
    </w:p>
    <w:p w14:paraId="216D7F05" w14:textId="2D039C61" w:rsidR="0045368E" w:rsidRPr="0045368E" w:rsidRDefault="000C73F8">
      <w:pPr>
        <w:pStyle w:val="TableofFigures"/>
        <w:tabs>
          <w:tab w:val="right" w:leader="dot" w:pos="9736"/>
        </w:tabs>
        <w:rPr>
          <w:rFonts w:asciiTheme="minorHAnsi" w:eastAsiaTheme="minorEastAsia" w:hAnsiTheme="minorHAnsi" w:cstheme="minorHAnsi"/>
          <w:noProof/>
          <w:sz w:val="20"/>
          <w:szCs w:val="20"/>
          <w:lang w:val="en-US" w:eastAsia="en-US"/>
        </w:rPr>
      </w:pPr>
      <w:hyperlink w:anchor="_Toc64037180" w:history="1">
        <w:r w:rsidR="0045368E" w:rsidRPr="0045368E">
          <w:rPr>
            <w:rStyle w:val="Hyperlink"/>
            <w:rFonts w:asciiTheme="minorHAnsi" w:hAnsiTheme="minorHAnsi" w:cstheme="minorHAnsi"/>
            <w:noProof/>
            <w:sz w:val="20"/>
            <w:szCs w:val="20"/>
          </w:rPr>
          <w:t>Figure 4. Pre-conditions for delivering LDN through land-use planning and management</w:t>
        </w:r>
        <w:r w:rsidR="0045368E" w:rsidRPr="0045368E">
          <w:rPr>
            <w:rFonts w:asciiTheme="minorHAnsi" w:hAnsiTheme="minorHAnsi" w:cstheme="minorHAnsi"/>
            <w:noProof/>
            <w:webHidden/>
            <w:sz w:val="20"/>
            <w:szCs w:val="20"/>
          </w:rPr>
          <w:tab/>
        </w:r>
        <w:r w:rsidR="0045368E" w:rsidRPr="0045368E">
          <w:rPr>
            <w:rFonts w:asciiTheme="minorHAnsi" w:hAnsiTheme="minorHAnsi" w:cstheme="minorHAnsi"/>
            <w:noProof/>
            <w:webHidden/>
            <w:sz w:val="20"/>
            <w:szCs w:val="20"/>
          </w:rPr>
          <w:fldChar w:fldCharType="begin"/>
        </w:r>
        <w:r w:rsidR="0045368E" w:rsidRPr="0045368E">
          <w:rPr>
            <w:rFonts w:asciiTheme="minorHAnsi" w:hAnsiTheme="minorHAnsi" w:cstheme="minorHAnsi"/>
            <w:noProof/>
            <w:webHidden/>
            <w:sz w:val="20"/>
            <w:szCs w:val="20"/>
          </w:rPr>
          <w:instrText xml:space="preserve"> PAGEREF _Toc64037180 \h </w:instrText>
        </w:r>
        <w:r w:rsidR="0045368E" w:rsidRPr="0045368E">
          <w:rPr>
            <w:rFonts w:asciiTheme="minorHAnsi" w:hAnsiTheme="minorHAnsi" w:cstheme="minorHAnsi"/>
            <w:noProof/>
            <w:webHidden/>
            <w:sz w:val="20"/>
            <w:szCs w:val="20"/>
          </w:rPr>
        </w:r>
        <w:r w:rsidR="0045368E" w:rsidRPr="0045368E">
          <w:rPr>
            <w:rFonts w:asciiTheme="minorHAnsi" w:hAnsiTheme="minorHAnsi" w:cstheme="minorHAnsi"/>
            <w:noProof/>
            <w:webHidden/>
            <w:sz w:val="20"/>
            <w:szCs w:val="20"/>
          </w:rPr>
          <w:fldChar w:fldCharType="separate"/>
        </w:r>
        <w:r w:rsidR="0045368E" w:rsidRPr="0045368E">
          <w:rPr>
            <w:rFonts w:asciiTheme="minorHAnsi" w:hAnsiTheme="minorHAnsi" w:cstheme="minorHAnsi"/>
            <w:noProof/>
            <w:webHidden/>
            <w:sz w:val="20"/>
            <w:szCs w:val="20"/>
          </w:rPr>
          <w:t>40</w:t>
        </w:r>
        <w:r w:rsidR="0045368E" w:rsidRPr="0045368E">
          <w:rPr>
            <w:rFonts w:asciiTheme="minorHAnsi" w:hAnsiTheme="minorHAnsi" w:cstheme="minorHAnsi"/>
            <w:noProof/>
            <w:webHidden/>
            <w:sz w:val="20"/>
            <w:szCs w:val="20"/>
          </w:rPr>
          <w:fldChar w:fldCharType="end"/>
        </w:r>
      </w:hyperlink>
    </w:p>
    <w:p w14:paraId="00AE9998" w14:textId="454E0702" w:rsidR="0045368E" w:rsidRPr="0045368E" w:rsidRDefault="000C73F8">
      <w:pPr>
        <w:pStyle w:val="TableofFigures"/>
        <w:tabs>
          <w:tab w:val="right" w:leader="dot" w:pos="9736"/>
        </w:tabs>
        <w:rPr>
          <w:rFonts w:asciiTheme="minorHAnsi" w:eastAsiaTheme="minorEastAsia" w:hAnsiTheme="minorHAnsi" w:cstheme="minorHAnsi"/>
          <w:noProof/>
          <w:sz w:val="20"/>
          <w:szCs w:val="20"/>
          <w:lang w:val="en-US" w:eastAsia="en-US"/>
        </w:rPr>
      </w:pPr>
      <w:hyperlink w:anchor="_Toc64037181" w:history="1">
        <w:r w:rsidR="0045368E" w:rsidRPr="0045368E">
          <w:rPr>
            <w:rStyle w:val="Hyperlink"/>
            <w:rFonts w:asciiTheme="minorHAnsi" w:hAnsiTheme="minorHAnsi" w:cstheme="minorHAnsi"/>
            <w:noProof/>
            <w:sz w:val="20"/>
            <w:szCs w:val="20"/>
          </w:rPr>
          <w:t>Figure 5. Integrated Landscape Assessment Methodology applied to FAO GEF DSL IP Child Projects of the Miombo Cluster, based on a framework developed in 2017 by UNCCD’s Science Policy Interface</w:t>
        </w:r>
        <w:r w:rsidR="0045368E" w:rsidRPr="0045368E">
          <w:rPr>
            <w:rFonts w:asciiTheme="minorHAnsi" w:hAnsiTheme="minorHAnsi" w:cstheme="minorHAnsi"/>
            <w:noProof/>
            <w:webHidden/>
            <w:sz w:val="20"/>
            <w:szCs w:val="20"/>
          </w:rPr>
          <w:tab/>
        </w:r>
        <w:r w:rsidR="0045368E" w:rsidRPr="0045368E">
          <w:rPr>
            <w:rFonts w:asciiTheme="minorHAnsi" w:hAnsiTheme="minorHAnsi" w:cstheme="minorHAnsi"/>
            <w:noProof/>
            <w:webHidden/>
            <w:sz w:val="20"/>
            <w:szCs w:val="20"/>
          </w:rPr>
          <w:fldChar w:fldCharType="begin"/>
        </w:r>
        <w:r w:rsidR="0045368E" w:rsidRPr="0045368E">
          <w:rPr>
            <w:rFonts w:asciiTheme="minorHAnsi" w:hAnsiTheme="minorHAnsi" w:cstheme="minorHAnsi"/>
            <w:noProof/>
            <w:webHidden/>
            <w:sz w:val="20"/>
            <w:szCs w:val="20"/>
          </w:rPr>
          <w:instrText xml:space="preserve"> PAGEREF _Toc64037181 \h </w:instrText>
        </w:r>
        <w:r w:rsidR="0045368E" w:rsidRPr="0045368E">
          <w:rPr>
            <w:rFonts w:asciiTheme="minorHAnsi" w:hAnsiTheme="minorHAnsi" w:cstheme="minorHAnsi"/>
            <w:noProof/>
            <w:webHidden/>
            <w:sz w:val="20"/>
            <w:szCs w:val="20"/>
          </w:rPr>
        </w:r>
        <w:r w:rsidR="0045368E" w:rsidRPr="0045368E">
          <w:rPr>
            <w:rFonts w:asciiTheme="minorHAnsi" w:hAnsiTheme="minorHAnsi" w:cstheme="minorHAnsi"/>
            <w:noProof/>
            <w:webHidden/>
            <w:sz w:val="20"/>
            <w:szCs w:val="20"/>
          </w:rPr>
          <w:fldChar w:fldCharType="separate"/>
        </w:r>
        <w:r w:rsidR="0045368E" w:rsidRPr="0045368E">
          <w:rPr>
            <w:rFonts w:asciiTheme="minorHAnsi" w:hAnsiTheme="minorHAnsi" w:cstheme="minorHAnsi"/>
            <w:noProof/>
            <w:webHidden/>
            <w:sz w:val="20"/>
            <w:szCs w:val="20"/>
          </w:rPr>
          <w:t>65</w:t>
        </w:r>
        <w:r w:rsidR="0045368E" w:rsidRPr="0045368E">
          <w:rPr>
            <w:rFonts w:asciiTheme="minorHAnsi" w:hAnsiTheme="minorHAnsi" w:cstheme="minorHAnsi"/>
            <w:noProof/>
            <w:webHidden/>
            <w:sz w:val="20"/>
            <w:szCs w:val="20"/>
          </w:rPr>
          <w:fldChar w:fldCharType="end"/>
        </w:r>
      </w:hyperlink>
    </w:p>
    <w:p w14:paraId="4547073A" w14:textId="259DF6D0" w:rsidR="0045368E" w:rsidRPr="0045368E" w:rsidRDefault="000C73F8">
      <w:pPr>
        <w:pStyle w:val="TableofFigures"/>
        <w:tabs>
          <w:tab w:val="right" w:leader="dot" w:pos="9736"/>
        </w:tabs>
        <w:rPr>
          <w:rFonts w:asciiTheme="minorHAnsi" w:eastAsiaTheme="minorEastAsia" w:hAnsiTheme="minorHAnsi" w:cstheme="minorHAnsi"/>
          <w:noProof/>
          <w:sz w:val="20"/>
          <w:szCs w:val="20"/>
          <w:lang w:val="en-US" w:eastAsia="en-US"/>
        </w:rPr>
      </w:pPr>
      <w:hyperlink w:anchor="_Toc64037182" w:history="1">
        <w:r w:rsidR="0045368E" w:rsidRPr="0045368E">
          <w:rPr>
            <w:rStyle w:val="Hyperlink"/>
            <w:rFonts w:asciiTheme="minorHAnsi" w:hAnsiTheme="minorHAnsi" w:cstheme="minorHAnsi"/>
            <w:noProof/>
            <w:sz w:val="20"/>
            <w:szCs w:val="20"/>
          </w:rPr>
          <w:t>Figure 6. ILUP is a participatory planning process by which future desirable land status is identified, such as LDN, and becomes attainable through zoning land usage according to land suitability and other agreed criteria.</w:t>
        </w:r>
        <w:r w:rsidR="0045368E" w:rsidRPr="0045368E">
          <w:rPr>
            <w:rStyle w:val="Hyperlink"/>
            <w:rFonts w:asciiTheme="minorHAnsi" w:hAnsiTheme="minorHAnsi" w:cstheme="minorHAnsi"/>
            <w:noProof/>
            <w:sz w:val="20"/>
            <w:szCs w:val="20"/>
            <w:vertAlign w:val="superscript"/>
          </w:rPr>
          <w:t>58</w:t>
        </w:r>
        <w:r w:rsidR="0045368E" w:rsidRPr="0045368E">
          <w:rPr>
            <w:rFonts w:asciiTheme="minorHAnsi" w:hAnsiTheme="minorHAnsi" w:cstheme="minorHAnsi"/>
            <w:noProof/>
            <w:webHidden/>
            <w:sz w:val="20"/>
            <w:szCs w:val="20"/>
          </w:rPr>
          <w:tab/>
        </w:r>
        <w:r w:rsidR="0045368E" w:rsidRPr="0045368E">
          <w:rPr>
            <w:rFonts w:asciiTheme="minorHAnsi" w:hAnsiTheme="minorHAnsi" w:cstheme="minorHAnsi"/>
            <w:noProof/>
            <w:webHidden/>
            <w:sz w:val="20"/>
            <w:szCs w:val="20"/>
          </w:rPr>
          <w:fldChar w:fldCharType="begin"/>
        </w:r>
        <w:r w:rsidR="0045368E" w:rsidRPr="0045368E">
          <w:rPr>
            <w:rFonts w:asciiTheme="minorHAnsi" w:hAnsiTheme="minorHAnsi" w:cstheme="minorHAnsi"/>
            <w:noProof/>
            <w:webHidden/>
            <w:sz w:val="20"/>
            <w:szCs w:val="20"/>
          </w:rPr>
          <w:instrText xml:space="preserve"> PAGEREF _Toc64037182 \h </w:instrText>
        </w:r>
        <w:r w:rsidR="0045368E" w:rsidRPr="0045368E">
          <w:rPr>
            <w:rFonts w:asciiTheme="minorHAnsi" w:hAnsiTheme="minorHAnsi" w:cstheme="minorHAnsi"/>
            <w:noProof/>
            <w:webHidden/>
            <w:sz w:val="20"/>
            <w:szCs w:val="20"/>
          </w:rPr>
        </w:r>
        <w:r w:rsidR="0045368E" w:rsidRPr="0045368E">
          <w:rPr>
            <w:rFonts w:asciiTheme="minorHAnsi" w:hAnsiTheme="minorHAnsi" w:cstheme="minorHAnsi"/>
            <w:noProof/>
            <w:webHidden/>
            <w:sz w:val="20"/>
            <w:szCs w:val="20"/>
          </w:rPr>
          <w:fldChar w:fldCharType="separate"/>
        </w:r>
        <w:r w:rsidR="0045368E" w:rsidRPr="0045368E">
          <w:rPr>
            <w:rFonts w:asciiTheme="minorHAnsi" w:hAnsiTheme="minorHAnsi" w:cstheme="minorHAnsi"/>
            <w:noProof/>
            <w:webHidden/>
            <w:sz w:val="20"/>
            <w:szCs w:val="20"/>
          </w:rPr>
          <w:t>68</w:t>
        </w:r>
        <w:r w:rsidR="0045368E" w:rsidRPr="0045368E">
          <w:rPr>
            <w:rFonts w:asciiTheme="minorHAnsi" w:hAnsiTheme="minorHAnsi" w:cstheme="minorHAnsi"/>
            <w:noProof/>
            <w:webHidden/>
            <w:sz w:val="20"/>
            <w:szCs w:val="20"/>
          </w:rPr>
          <w:fldChar w:fldCharType="end"/>
        </w:r>
      </w:hyperlink>
    </w:p>
    <w:p w14:paraId="50ED1FF3" w14:textId="41E7D15D" w:rsidR="0045368E" w:rsidRPr="0045368E" w:rsidRDefault="000C73F8">
      <w:pPr>
        <w:pStyle w:val="TableofFigures"/>
        <w:tabs>
          <w:tab w:val="right" w:leader="dot" w:pos="9736"/>
        </w:tabs>
        <w:rPr>
          <w:rFonts w:asciiTheme="minorHAnsi" w:eastAsiaTheme="minorEastAsia" w:hAnsiTheme="minorHAnsi" w:cstheme="minorHAnsi"/>
          <w:noProof/>
          <w:sz w:val="20"/>
          <w:szCs w:val="20"/>
          <w:lang w:val="en-US" w:eastAsia="en-US"/>
        </w:rPr>
      </w:pPr>
      <w:hyperlink w:anchor="_Toc64037183" w:history="1">
        <w:r w:rsidR="0045368E" w:rsidRPr="0045368E">
          <w:rPr>
            <w:rStyle w:val="Hyperlink"/>
            <w:rFonts w:asciiTheme="minorHAnsi" w:hAnsiTheme="minorHAnsi" w:cstheme="minorHAnsi"/>
            <w:noProof/>
            <w:sz w:val="20"/>
            <w:szCs w:val="20"/>
          </w:rPr>
          <w:t>Figure 7. Indicative LMUs for Sub-Basin 1 (Cuchi-Okavango), covering a total area of 242,796 ha (corrected for nested intervention site B3) within their 485,412.83 ha target landscape (i.e. 50% coverage).*</w:t>
        </w:r>
        <w:r w:rsidR="0045368E" w:rsidRPr="0045368E">
          <w:rPr>
            <w:rFonts w:asciiTheme="minorHAnsi" w:hAnsiTheme="minorHAnsi" w:cstheme="minorHAnsi"/>
            <w:noProof/>
            <w:webHidden/>
            <w:sz w:val="20"/>
            <w:szCs w:val="20"/>
          </w:rPr>
          <w:tab/>
        </w:r>
        <w:r w:rsidR="0045368E" w:rsidRPr="0045368E">
          <w:rPr>
            <w:rFonts w:asciiTheme="minorHAnsi" w:hAnsiTheme="minorHAnsi" w:cstheme="minorHAnsi"/>
            <w:noProof/>
            <w:webHidden/>
            <w:sz w:val="20"/>
            <w:szCs w:val="20"/>
          </w:rPr>
          <w:fldChar w:fldCharType="begin"/>
        </w:r>
        <w:r w:rsidR="0045368E" w:rsidRPr="0045368E">
          <w:rPr>
            <w:rFonts w:asciiTheme="minorHAnsi" w:hAnsiTheme="minorHAnsi" w:cstheme="minorHAnsi"/>
            <w:noProof/>
            <w:webHidden/>
            <w:sz w:val="20"/>
            <w:szCs w:val="20"/>
          </w:rPr>
          <w:instrText xml:space="preserve"> PAGEREF _Toc64037183 \h </w:instrText>
        </w:r>
        <w:r w:rsidR="0045368E" w:rsidRPr="0045368E">
          <w:rPr>
            <w:rFonts w:asciiTheme="minorHAnsi" w:hAnsiTheme="minorHAnsi" w:cstheme="minorHAnsi"/>
            <w:noProof/>
            <w:webHidden/>
            <w:sz w:val="20"/>
            <w:szCs w:val="20"/>
          </w:rPr>
        </w:r>
        <w:r w:rsidR="0045368E" w:rsidRPr="0045368E">
          <w:rPr>
            <w:rFonts w:asciiTheme="minorHAnsi" w:hAnsiTheme="minorHAnsi" w:cstheme="minorHAnsi"/>
            <w:noProof/>
            <w:webHidden/>
            <w:sz w:val="20"/>
            <w:szCs w:val="20"/>
          </w:rPr>
          <w:fldChar w:fldCharType="separate"/>
        </w:r>
        <w:r w:rsidR="0045368E" w:rsidRPr="0045368E">
          <w:rPr>
            <w:rFonts w:asciiTheme="minorHAnsi" w:hAnsiTheme="minorHAnsi" w:cstheme="minorHAnsi"/>
            <w:noProof/>
            <w:webHidden/>
            <w:sz w:val="20"/>
            <w:szCs w:val="20"/>
          </w:rPr>
          <w:t>73</w:t>
        </w:r>
        <w:r w:rsidR="0045368E" w:rsidRPr="0045368E">
          <w:rPr>
            <w:rFonts w:asciiTheme="minorHAnsi" w:hAnsiTheme="minorHAnsi" w:cstheme="minorHAnsi"/>
            <w:noProof/>
            <w:webHidden/>
            <w:sz w:val="20"/>
            <w:szCs w:val="20"/>
          </w:rPr>
          <w:fldChar w:fldCharType="end"/>
        </w:r>
      </w:hyperlink>
    </w:p>
    <w:p w14:paraId="33EF9774" w14:textId="745CCF35" w:rsidR="0045368E" w:rsidRPr="0045368E" w:rsidRDefault="000C73F8">
      <w:pPr>
        <w:pStyle w:val="TableofFigures"/>
        <w:tabs>
          <w:tab w:val="right" w:leader="dot" w:pos="9736"/>
        </w:tabs>
        <w:rPr>
          <w:rFonts w:asciiTheme="minorHAnsi" w:eastAsiaTheme="minorEastAsia" w:hAnsiTheme="minorHAnsi" w:cstheme="minorHAnsi"/>
          <w:noProof/>
          <w:sz w:val="20"/>
          <w:szCs w:val="20"/>
          <w:lang w:val="en-US" w:eastAsia="en-US"/>
        </w:rPr>
      </w:pPr>
      <w:hyperlink w:anchor="_Toc64037184" w:history="1">
        <w:r w:rsidR="0045368E" w:rsidRPr="0045368E">
          <w:rPr>
            <w:rStyle w:val="Hyperlink"/>
            <w:rFonts w:asciiTheme="minorHAnsi" w:hAnsiTheme="minorHAnsi" w:cstheme="minorHAnsi"/>
            <w:noProof/>
            <w:sz w:val="20"/>
            <w:szCs w:val="20"/>
          </w:rPr>
          <w:t>Figure 8. Indicative LMUs for Sub-Basin 2 (Cahama-Cunene), covering a total area of 390,482 within their 880,046.04 ha target landscape (i.e. 44% coverage).*</w:t>
        </w:r>
        <w:r w:rsidR="0045368E" w:rsidRPr="0045368E">
          <w:rPr>
            <w:rFonts w:asciiTheme="minorHAnsi" w:hAnsiTheme="minorHAnsi" w:cstheme="minorHAnsi"/>
            <w:noProof/>
            <w:webHidden/>
            <w:sz w:val="20"/>
            <w:szCs w:val="20"/>
          </w:rPr>
          <w:tab/>
        </w:r>
        <w:r w:rsidR="0045368E" w:rsidRPr="0045368E">
          <w:rPr>
            <w:rFonts w:asciiTheme="minorHAnsi" w:hAnsiTheme="minorHAnsi" w:cstheme="minorHAnsi"/>
            <w:noProof/>
            <w:webHidden/>
            <w:sz w:val="20"/>
            <w:szCs w:val="20"/>
          </w:rPr>
          <w:fldChar w:fldCharType="begin"/>
        </w:r>
        <w:r w:rsidR="0045368E" w:rsidRPr="0045368E">
          <w:rPr>
            <w:rFonts w:asciiTheme="minorHAnsi" w:hAnsiTheme="minorHAnsi" w:cstheme="minorHAnsi"/>
            <w:noProof/>
            <w:webHidden/>
            <w:sz w:val="20"/>
            <w:szCs w:val="20"/>
          </w:rPr>
          <w:instrText xml:space="preserve"> PAGEREF _Toc64037184 \h </w:instrText>
        </w:r>
        <w:r w:rsidR="0045368E" w:rsidRPr="0045368E">
          <w:rPr>
            <w:rFonts w:asciiTheme="minorHAnsi" w:hAnsiTheme="minorHAnsi" w:cstheme="minorHAnsi"/>
            <w:noProof/>
            <w:webHidden/>
            <w:sz w:val="20"/>
            <w:szCs w:val="20"/>
          </w:rPr>
        </w:r>
        <w:r w:rsidR="0045368E" w:rsidRPr="0045368E">
          <w:rPr>
            <w:rFonts w:asciiTheme="minorHAnsi" w:hAnsiTheme="minorHAnsi" w:cstheme="minorHAnsi"/>
            <w:noProof/>
            <w:webHidden/>
            <w:sz w:val="20"/>
            <w:szCs w:val="20"/>
          </w:rPr>
          <w:fldChar w:fldCharType="separate"/>
        </w:r>
        <w:r w:rsidR="0045368E" w:rsidRPr="0045368E">
          <w:rPr>
            <w:rFonts w:asciiTheme="minorHAnsi" w:hAnsiTheme="minorHAnsi" w:cstheme="minorHAnsi"/>
            <w:noProof/>
            <w:webHidden/>
            <w:sz w:val="20"/>
            <w:szCs w:val="20"/>
          </w:rPr>
          <w:t>74</w:t>
        </w:r>
        <w:r w:rsidR="0045368E" w:rsidRPr="0045368E">
          <w:rPr>
            <w:rFonts w:asciiTheme="minorHAnsi" w:hAnsiTheme="minorHAnsi" w:cstheme="minorHAnsi"/>
            <w:noProof/>
            <w:webHidden/>
            <w:sz w:val="20"/>
            <w:szCs w:val="20"/>
          </w:rPr>
          <w:fldChar w:fldCharType="end"/>
        </w:r>
      </w:hyperlink>
    </w:p>
    <w:p w14:paraId="0991FF62" w14:textId="4F65E32C" w:rsidR="0045368E" w:rsidRPr="0045368E" w:rsidRDefault="000C73F8">
      <w:pPr>
        <w:pStyle w:val="TableofFigures"/>
        <w:tabs>
          <w:tab w:val="right" w:leader="dot" w:pos="9736"/>
        </w:tabs>
        <w:rPr>
          <w:rFonts w:asciiTheme="minorHAnsi" w:eastAsiaTheme="minorEastAsia" w:hAnsiTheme="minorHAnsi" w:cstheme="minorHAnsi"/>
          <w:noProof/>
          <w:sz w:val="20"/>
          <w:szCs w:val="20"/>
          <w:lang w:val="en-US" w:eastAsia="en-US"/>
        </w:rPr>
      </w:pPr>
      <w:hyperlink w:anchor="_Toc64037185" w:history="1">
        <w:r w:rsidR="0045368E" w:rsidRPr="0045368E">
          <w:rPr>
            <w:rStyle w:val="Hyperlink"/>
            <w:rFonts w:asciiTheme="minorHAnsi" w:hAnsiTheme="minorHAnsi" w:cstheme="minorHAnsi"/>
            <w:noProof/>
            <w:sz w:val="20"/>
            <w:szCs w:val="20"/>
          </w:rPr>
          <w:t>Figure 9. Results from the Stakeholder Analysis  Exercise</w:t>
        </w:r>
        <w:r w:rsidR="0045368E" w:rsidRPr="0045368E">
          <w:rPr>
            <w:rFonts w:asciiTheme="minorHAnsi" w:hAnsiTheme="minorHAnsi" w:cstheme="minorHAnsi"/>
            <w:noProof/>
            <w:webHidden/>
            <w:sz w:val="20"/>
            <w:szCs w:val="20"/>
          </w:rPr>
          <w:tab/>
        </w:r>
        <w:r w:rsidR="0045368E" w:rsidRPr="0045368E">
          <w:rPr>
            <w:rFonts w:asciiTheme="minorHAnsi" w:hAnsiTheme="minorHAnsi" w:cstheme="minorHAnsi"/>
            <w:noProof/>
            <w:webHidden/>
            <w:sz w:val="20"/>
            <w:szCs w:val="20"/>
          </w:rPr>
          <w:fldChar w:fldCharType="begin"/>
        </w:r>
        <w:r w:rsidR="0045368E" w:rsidRPr="0045368E">
          <w:rPr>
            <w:rFonts w:asciiTheme="minorHAnsi" w:hAnsiTheme="minorHAnsi" w:cstheme="minorHAnsi"/>
            <w:noProof/>
            <w:webHidden/>
            <w:sz w:val="20"/>
            <w:szCs w:val="20"/>
          </w:rPr>
          <w:instrText xml:space="preserve"> PAGEREF _Toc64037185 \h </w:instrText>
        </w:r>
        <w:r w:rsidR="0045368E" w:rsidRPr="0045368E">
          <w:rPr>
            <w:rFonts w:asciiTheme="minorHAnsi" w:hAnsiTheme="minorHAnsi" w:cstheme="minorHAnsi"/>
            <w:noProof/>
            <w:webHidden/>
            <w:sz w:val="20"/>
            <w:szCs w:val="20"/>
          </w:rPr>
        </w:r>
        <w:r w:rsidR="0045368E" w:rsidRPr="0045368E">
          <w:rPr>
            <w:rFonts w:asciiTheme="minorHAnsi" w:hAnsiTheme="minorHAnsi" w:cstheme="minorHAnsi"/>
            <w:noProof/>
            <w:webHidden/>
            <w:sz w:val="20"/>
            <w:szCs w:val="20"/>
          </w:rPr>
          <w:fldChar w:fldCharType="separate"/>
        </w:r>
        <w:r w:rsidR="0045368E" w:rsidRPr="0045368E">
          <w:rPr>
            <w:rFonts w:asciiTheme="minorHAnsi" w:hAnsiTheme="minorHAnsi" w:cstheme="minorHAnsi"/>
            <w:noProof/>
            <w:webHidden/>
            <w:sz w:val="20"/>
            <w:szCs w:val="20"/>
          </w:rPr>
          <w:t>111</w:t>
        </w:r>
        <w:r w:rsidR="0045368E" w:rsidRPr="0045368E">
          <w:rPr>
            <w:rFonts w:asciiTheme="minorHAnsi" w:hAnsiTheme="minorHAnsi" w:cstheme="minorHAnsi"/>
            <w:noProof/>
            <w:webHidden/>
            <w:sz w:val="20"/>
            <w:szCs w:val="20"/>
          </w:rPr>
          <w:fldChar w:fldCharType="end"/>
        </w:r>
      </w:hyperlink>
    </w:p>
    <w:p w14:paraId="40FEF598" w14:textId="3F3B88C6" w:rsidR="0045368E" w:rsidRPr="0045368E" w:rsidRDefault="000C73F8">
      <w:pPr>
        <w:pStyle w:val="TableofFigures"/>
        <w:tabs>
          <w:tab w:val="right" w:leader="dot" w:pos="9736"/>
        </w:tabs>
        <w:rPr>
          <w:rFonts w:asciiTheme="minorHAnsi" w:eastAsiaTheme="minorEastAsia" w:hAnsiTheme="minorHAnsi" w:cstheme="minorHAnsi"/>
          <w:noProof/>
          <w:sz w:val="20"/>
          <w:szCs w:val="20"/>
          <w:lang w:val="en-US" w:eastAsia="en-US"/>
        </w:rPr>
      </w:pPr>
      <w:hyperlink w:anchor="_Toc64037186" w:history="1">
        <w:r w:rsidR="0045368E" w:rsidRPr="0045368E">
          <w:rPr>
            <w:rStyle w:val="Hyperlink"/>
            <w:rFonts w:asciiTheme="minorHAnsi" w:hAnsiTheme="minorHAnsi" w:cstheme="minorHAnsi"/>
            <w:noProof/>
            <w:sz w:val="20"/>
            <w:szCs w:val="20"/>
          </w:rPr>
          <w:t>Figure 10. Engaging private sector stakeholders in agro/forests value chains</w:t>
        </w:r>
        <w:r w:rsidR="0045368E" w:rsidRPr="0045368E">
          <w:rPr>
            <w:rFonts w:asciiTheme="minorHAnsi" w:hAnsiTheme="minorHAnsi" w:cstheme="minorHAnsi"/>
            <w:noProof/>
            <w:webHidden/>
            <w:sz w:val="20"/>
            <w:szCs w:val="20"/>
          </w:rPr>
          <w:tab/>
        </w:r>
        <w:r w:rsidR="0045368E" w:rsidRPr="0045368E">
          <w:rPr>
            <w:rFonts w:asciiTheme="minorHAnsi" w:hAnsiTheme="minorHAnsi" w:cstheme="minorHAnsi"/>
            <w:noProof/>
            <w:webHidden/>
            <w:sz w:val="20"/>
            <w:szCs w:val="20"/>
          </w:rPr>
          <w:fldChar w:fldCharType="begin"/>
        </w:r>
        <w:r w:rsidR="0045368E" w:rsidRPr="0045368E">
          <w:rPr>
            <w:rFonts w:asciiTheme="minorHAnsi" w:hAnsiTheme="minorHAnsi" w:cstheme="minorHAnsi"/>
            <w:noProof/>
            <w:webHidden/>
            <w:sz w:val="20"/>
            <w:szCs w:val="20"/>
          </w:rPr>
          <w:instrText xml:space="preserve"> PAGEREF _Toc64037186 \h </w:instrText>
        </w:r>
        <w:r w:rsidR="0045368E" w:rsidRPr="0045368E">
          <w:rPr>
            <w:rFonts w:asciiTheme="minorHAnsi" w:hAnsiTheme="minorHAnsi" w:cstheme="minorHAnsi"/>
            <w:noProof/>
            <w:webHidden/>
            <w:sz w:val="20"/>
            <w:szCs w:val="20"/>
          </w:rPr>
        </w:r>
        <w:r w:rsidR="0045368E" w:rsidRPr="0045368E">
          <w:rPr>
            <w:rFonts w:asciiTheme="minorHAnsi" w:hAnsiTheme="minorHAnsi" w:cstheme="minorHAnsi"/>
            <w:noProof/>
            <w:webHidden/>
            <w:sz w:val="20"/>
            <w:szCs w:val="20"/>
          </w:rPr>
          <w:fldChar w:fldCharType="separate"/>
        </w:r>
        <w:r w:rsidR="0045368E" w:rsidRPr="0045368E">
          <w:rPr>
            <w:rFonts w:asciiTheme="minorHAnsi" w:hAnsiTheme="minorHAnsi" w:cstheme="minorHAnsi"/>
            <w:noProof/>
            <w:webHidden/>
            <w:sz w:val="20"/>
            <w:szCs w:val="20"/>
          </w:rPr>
          <w:t>124</w:t>
        </w:r>
        <w:r w:rsidR="0045368E" w:rsidRPr="0045368E">
          <w:rPr>
            <w:rFonts w:asciiTheme="minorHAnsi" w:hAnsiTheme="minorHAnsi" w:cstheme="minorHAnsi"/>
            <w:noProof/>
            <w:webHidden/>
            <w:sz w:val="20"/>
            <w:szCs w:val="20"/>
          </w:rPr>
          <w:fldChar w:fldCharType="end"/>
        </w:r>
      </w:hyperlink>
    </w:p>
    <w:p w14:paraId="10209B64" w14:textId="7620C2FB" w:rsidR="0045368E" w:rsidRPr="0045368E" w:rsidRDefault="000C73F8">
      <w:pPr>
        <w:pStyle w:val="TableofFigures"/>
        <w:tabs>
          <w:tab w:val="right" w:leader="dot" w:pos="9736"/>
        </w:tabs>
        <w:rPr>
          <w:rFonts w:asciiTheme="minorHAnsi" w:eastAsiaTheme="minorEastAsia" w:hAnsiTheme="minorHAnsi" w:cstheme="minorHAnsi"/>
          <w:noProof/>
          <w:sz w:val="20"/>
          <w:szCs w:val="20"/>
          <w:lang w:val="en-US" w:eastAsia="en-US"/>
        </w:rPr>
      </w:pPr>
      <w:hyperlink w:anchor="_Toc64037187" w:history="1">
        <w:r w:rsidR="0045368E" w:rsidRPr="0045368E">
          <w:rPr>
            <w:rStyle w:val="Hyperlink"/>
            <w:rFonts w:asciiTheme="minorHAnsi" w:hAnsiTheme="minorHAnsi" w:cstheme="minorHAnsi"/>
            <w:noProof/>
            <w:sz w:val="20"/>
            <w:szCs w:val="20"/>
          </w:rPr>
          <w:t>Figure 11. Project organizational structure</w:t>
        </w:r>
        <w:r w:rsidR="0045368E" w:rsidRPr="0045368E">
          <w:rPr>
            <w:rFonts w:asciiTheme="minorHAnsi" w:hAnsiTheme="minorHAnsi" w:cstheme="minorHAnsi"/>
            <w:noProof/>
            <w:webHidden/>
            <w:sz w:val="20"/>
            <w:szCs w:val="20"/>
          </w:rPr>
          <w:tab/>
        </w:r>
        <w:r w:rsidR="0045368E" w:rsidRPr="0045368E">
          <w:rPr>
            <w:rFonts w:asciiTheme="minorHAnsi" w:hAnsiTheme="minorHAnsi" w:cstheme="minorHAnsi"/>
            <w:noProof/>
            <w:webHidden/>
            <w:sz w:val="20"/>
            <w:szCs w:val="20"/>
          </w:rPr>
          <w:fldChar w:fldCharType="begin"/>
        </w:r>
        <w:r w:rsidR="0045368E" w:rsidRPr="0045368E">
          <w:rPr>
            <w:rFonts w:asciiTheme="minorHAnsi" w:hAnsiTheme="minorHAnsi" w:cstheme="minorHAnsi"/>
            <w:noProof/>
            <w:webHidden/>
            <w:sz w:val="20"/>
            <w:szCs w:val="20"/>
          </w:rPr>
          <w:instrText xml:space="preserve"> PAGEREF _Toc64037187 \h </w:instrText>
        </w:r>
        <w:r w:rsidR="0045368E" w:rsidRPr="0045368E">
          <w:rPr>
            <w:rFonts w:asciiTheme="minorHAnsi" w:hAnsiTheme="minorHAnsi" w:cstheme="minorHAnsi"/>
            <w:noProof/>
            <w:webHidden/>
            <w:sz w:val="20"/>
            <w:szCs w:val="20"/>
          </w:rPr>
        </w:r>
        <w:r w:rsidR="0045368E" w:rsidRPr="0045368E">
          <w:rPr>
            <w:rFonts w:asciiTheme="minorHAnsi" w:hAnsiTheme="minorHAnsi" w:cstheme="minorHAnsi"/>
            <w:noProof/>
            <w:webHidden/>
            <w:sz w:val="20"/>
            <w:szCs w:val="20"/>
          </w:rPr>
          <w:fldChar w:fldCharType="separate"/>
        </w:r>
        <w:r w:rsidR="0045368E" w:rsidRPr="0045368E">
          <w:rPr>
            <w:rFonts w:asciiTheme="minorHAnsi" w:hAnsiTheme="minorHAnsi" w:cstheme="minorHAnsi"/>
            <w:noProof/>
            <w:webHidden/>
            <w:sz w:val="20"/>
            <w:szCs w:val="20"/>
          </w:rPr>
          <w:t>132</w:t>
        </w:r>
        <w:r w:rsidR="0045368E" w:rsidRPr="0045368E">
          <w:rPr>
            <w:rFonts w:asciiTheme="minorHAnsi" w:hAnsiTheme="minorHAnsi" w:cstheme="minorHAnsi"/>
            <w:noProof/>
            <w:webHidden/>
            <w:sz w:val="20"/>
            <w:szCs w:val="20"/>
          </w:rPr>
          <w:fldChar w:fldCharType="end"/>
        </w:r>
      </w:hyperlink>
    </w:p>
    <w:p w14:paraId="52531E77" w14:textId="4DF616A1" w:rsidR="009563B4" w:rsidRPr="0053408E" w:rsidRDefault="009563B4" w:rsidP="009563B4">
      <w:pPr>
        <w:rPr>
          <w:rFonts w:asciiTheme="minorHAnsi" w:hAnsiTheme="minorHAnsi" w:cstheme="minorHAnsi"/>
          <w:sz w:val="20"/>
          <w:szCs w:val="20"/>
        </w:rPr>
      </w:pPr>
      <w:r w:rsidRPr="0045368E">
        <w:rPr>
          <w:rFonts w:asciiTheme="minorHAnsi" w:hAnsiTheme="minorHAnsi" w:cstheme="minorHAnsi"/>
          <w:sz w:val="20"/>
          <w:szCs w:val="20"/>
        </w:rPr>
        <w:fldChar w:fldCharType="end"/>
      </w:r>
    </w:p>
    <w:p w14:paraId="0A47A0B2" w14:textId="7EC2A2B0" w:rsidR="0053408E" w:rsidRPr="0053408E" w:rsidRDefault="009563B4">
      <w:pPr>
        <w:pStyle w:val="TableofFigures"/>
        <w:tabs>
          <w:tab w:val="right" w:leader="dot" w:pos="9736"/>
        </w:tabs>
        <w:rPr>
          <w:rFonts w:asciiTheme="minorHAnsi" w:eastAsiaTheme="minorEastAsia" w:hAnsiTheme="minorHAnsi" w:cstheme="minorHAnsi"/>
          <w:noProof/>
          <w:sz w:val="20"/>
          <w:szCs w:val="20"/>
          <w:lang w:val="en-US" w:eastAsia="en-US"/>
        </w:rPr>
      </w:pPr>
      <w:r w:rsidRPr="0053408E">
        <w:rPr>
          <w:rFonts w:asciiTheme="minorHAnsi" w:hAnsiTheme="minorHAnsi" w:cstheme="minorHAnsi"/>
          <w:sz w:val="20"/>
          <w:szCs w:val="20"/>
        </w:rPr>
        <w:fldChar w:fldCharType="begin"/>
      </w:r>
      <w:r w:rsidRPr="0053408E">
        <w:rPr>
          <w:rFonts w:asciiTheme="minorHAnsi" w:hAnsiTheme="minorHAnsi" w:cstheme="minorHAnsi"/>
          <w:sz w:val="20"/>
          <w:szCs w:val="20"/>
        </w:rPr>
        <w:instrText xml:space="preserve"> TOC \h \z \c "Box" </w:instrText>
      </w:r>
      <w:r w:rsidRPr="0053408E">
        <w:rPr>
          <w:rFonts w:asciiTheme="minorHAnsi" w:hAnsiTheme="minorHAnsi" w:cstheme="minorHAnsi"/>
          <w:sz w:val="20"/>
          <w:szCs w:val="20"/>
        </w:rPr>
        <w:fldChar w:fldCharType="separate"/>
      </w:r>
      <w:hyperlink w:anchor="_Toc58398655" w:history="1">
        <w:r w:rsidR="0053408E" w:rsidRPr="0053408E">
          <w:rPr>
            <w:rStyle w:val="Hyperlink"/>
            <w:rFonts w:asciiTheme="minorHAnsi" w:hAnsiTheme="minorHAnsi" w:cstheme="minorHAnsi"/>
            <w:noProof/>
            <w:sz w:val="20"/>
            <w:szCs w:val="20"/>
          </w:rPr>
          <w:t>Box 1. How land degradation is manifested in southern Angola</w:t>
        </w:r>
        <w:r w:rsidR="0053408E" w:rsidRPr="0053408E">
          <w:rPr>
            <w:rFonts w:asciiTheme="minorHAnsi" w:hAnsiTheme="minorHAnsi" w:cstheme="minorHAnsi"/>
            <w:noProof/>
            <w:webHidden/>
            <w:sz w:val="20"/>
            <w:szCs w:val="20"/>
          </w:rPr>
          <w:tab/>
        </w:r>
        <w:r w:rsidR="0053408E" w:rsidRPr="0053408E">
          <w:rPr>
            <w:rFonts w:asciiTheme="minorHAnsi" w:hAnsiTheme="minorHAnsi" w:cstheme="minorHAnsi"/>
            <w:noProof/>
            <w:webHidden/>
            <w:sz w:val="20"/>
            <w:szCs w:val="20"/>
          </w:rPr>
          <w:fldChar w:fldCharType="begin"/>
        </w:r>
        <w:r w:rsidR="0053408E" w:rsidRPr="0053408E">
          <w:rPr>
            <w:rFonts w:asciiTheme="minorHAnsi" w:hAnsiTheme="minorHAnsi" w:cstheme="minorHAnsi"/>
            <w:noProof/>
            <w:webHidden/>
            <w:sz w:val="20"/>
            <w:szCs w:val="20"/>
          </w:rPr>
          <w:instrText xml:space="preserve"> PAGEREF _Toc58398655 \h </w:instrText>
        </w:r>
        <w:r w:rsidR="0053408E" w:rsidRPr="0053408E">
          <w:rPr>
            <w:rFonts w:asciiTheme="minorHAnsi" w:hAnsiTheme="minorHAnsi" w:cstheme="minorHAnsi"/>
            <w:noProof/>
            <w:webHidden/>
            <w:sz w:val="20"/>
            <w:szCs w:val="20"/>
          </w:rPr>
        </w:r>
        <w:r w:rsidR="0053408E" w:rsidRPr="0053408E">
          <w:rPr>
            <w:rFonts w:asciiTheme="minorHAnsi" w:hAnsiTheme="minorHAnsi" w:cstheme="minorHAnsi"/>
            <w:noProof/>
            <w:webHidden/>
            <w:sz w:val="20"/>
            <w:szCs w:val="20"/>
          </w:rPr>
          <w:fldChar w:fldCharType="separate"/>
        </w:r>
        <w:r w:rsidR="0053408E" w:rsidRPr="0053408E">
          <w:rPr>
            <w:rFonts w:asciiTheme="minorHAnsi" w:hAnsiTheme="minorHAnsi" w:cstheme="minorHAnsi"/>
            <w:noProof/>
            <w:webHidden/>
            <w:sz w:val="20"/>
            <w:szCs w:val="20"/>
          </w:rPr>
          <w:t>22</w:t>
        </w:r>
        <w:r w:rsidR="0053408E" w:rsidRPr="0053408E">
          <w:rPr>
            <w:rFonts w:asciiTheme="minorHAnsi" w:hAnsiTheme="minorHAnsi" w:cstheme="minorHAnsi"/>
            <w:noProof/>
            <w:webHidden/>
            <w:sz w:val="20"/>
            <w:szCs w:val="20"/>
          </w:rPr>
          <w:fldChar w:fldCharType="end"/>
        </w:r>
      </w:hyperlink>
    </w:p>
    <w:p w14:paraId="78EC89BA" w14:textId="1D10BB3F" w:rsidR="0053408E" w:rsidRPr="0053408E" w:rsidRDefault="000C73F8">
      <w:pPr>
        <w:pStyle w:val="TableofFigures"/>
        <w:tabs>
          <w:tab w:val="right" w:leader="dot" w:pos="9736"/>
        </w:tabs>
        <w:rPr>
          <w:rFonts w:asciiTheme="minorHAnsi" w:eastAsiaTheme="minorEastAsia" w:hAnsiTheme="minorHAnsi" w:cstheme="minorHAnsi"/>
          <w:noProof/>
          <w:sz w:val="20"/>
          <w:szCs w:val="20"/>
          <w:lang w:val="en-US" w:eastAsia="en-US"/>
        </w:rPr>
      </w:pPr>
      <w:hyperlink w:anchor="_Toc58398656" w:history="1">
        <w:r w:rsidR="0053408E" w:rsidRPr="0053408E">
          <w:rPr>
            <w:rStyle w:val="Hyperlink"/>
            <w:rFonts w:asciiTheme="minorHAnsi" w:hAnsiTheme="minorHAnsi" w:cstheme="minorHAnsi"/>
            <w:noProof/>
            <w:sz w:val="20"/>
            <w:szCs w:val="20"/>
          </w:rPr>
          <w:t>Box 2. Project’s alignment with</w:t>
        </w:r>
        <w:r w:rsidR="0053408E" w:rsidRPr="0053408E">
          <w:rPr>
            <w:rStyle w:val="Hyperlink"/>
            <w:rFonts w:asciiTheme="minorHAnsi" w:eastAsia="Times" w:hAnsiTheme="minorHAnsi" w:cstheme="minorHAnsi"/>
            <w:noProof/>
            <w:sz w:val="20"/>
            <w:szCs w:val="20"/>
          </w:rPr>
          <w:t xml:space="preserve"> Angola’s LD status (2001-2015) and LDN targets</w:t>
        </w:r>
        <w:r w:rsidR="0053408E" w:rsidRPr="0053408E">
          <w:rPr>
            <w:rFonts w:asciiTheme="minorHAnsi" w:hAnsiTheme="minorHAnsi" w:cstheme="minorHAnsi"/>
            <w:noProof/>
            <w:webHidden/>
            <w:sz w:val="20"/>
            <w:szCs w:val="20"/>
          </w:rPr>
          <w:tab/>
        </w:r>
        <w:r w:rsidR="0053408E" w:rsidRPr="0053408E">
          <w:rPr>
            <w:rFonts w:asciiTheme="minorHAnsi" w:hAnsiTheme="minorHAnsi" w:cstheme="minorHAnsi"/>
            <w:noProof/>
            <w:webHidden/>
            <w:sz w:val="20"/>
            <w:szCs w:val="20"/>
          </w:rPr>
          <w:fldChar w:fldCharType="begin"/>
        </w:r>
        <w:r w:rsidR="0053408E" w:rsidRPr="0053408E">
          <w:rPr>
            <w:rFonts w:asciiTheme="minorHAnsi" w:hAnsiTheme="minorHAnsi" w:cstheme="minorHAnsi"/>
            <w:noProof/>
            <w:webHidden/>
            <w:sz w:val="20"/>
            <w:szCs w:val="20"/>
          </w:rPr>
          <w:instrText xml:space="preserve"> PAGEREF _Toc58398656 \h </w:instrText>
        </w:r>
        <w:r w:rsidR="0053408E" w:rsidRPr="0053408E">
          <w:rPr>
            <w:rFonts w:asciiTheme="minorHAnsi" w:hAnsiTheme="minorHAnsi" w:cstheme="minorHAnsi"/>
            <w:noProof/>
            <w:webHidden/>
            <w:sz w:val="20"/>
            <w:szCs w:val="20"/>
          </w:rPr>
        </w:r>
        <w:r w:rsidR="0053408E" w:rsidRPr="0053408E">
          <w:rPr>
            <w:rFonts w:asciiTheme="minorHAnsi" w:hAnsiTheme="minorHAnsi" w:cstheme="minorHAnsi"/>
            <w:noProof/>
            <w:webHidden/>
            <w:sz w:val="20"/>
            <w:szCs w:val="20"/>
          </w:rPr>
          <w:fldChar w:fldCharType="separate"/>
        </w:r>
        <w:r w:rsidR="0053408E" w:rsidRPr="0053408E">
          <w:rPr>
            <w:rFonts w:asciiTheme="minorHAnsi" w:hAnsiTheme="minorHAnsi" w:cstheme="minorHAnsi"/>
            <w:noProof/>
            <w:webHidden/>
            <w:sz w:val="20"/>
            <w:szCs w:val="20"/>
          </w:rPr>
          <w:t>25</w:t>
        </w:r>
        <w:r w:rsidR="0053408E" w:rsidRPr="0053408E">
          <w:rPr>
            <w:rFonts w:asciiTheme="minorHAnsi" w:hAnsiTheme="minorHAnsi" w:cstheme="minorHAnsi"/>
            <w:noProof/>
            <w:webHidden/>
            <w:sz w:val="20"/>
            <w:szCs w:val="20"/>
          </w:rPr>
          <w:fldChar w:fldCharType="end"/>
        </w:r>
      </w:hyperlink>
    </w:p>
    <w:p w14:paraId="256CA633" w14:textId="0F92C670" w:rsidR="0053408E" w:rsidRPr="0053408E" w:rsidRDefault="000C73F8">
      <w:pPr>
        <w:pStyle w:val="TableofFigures"/>
        <w:tabs>
          <w:tab w:val="right" w:leader="dot" w:pos="9736"/>
        </w:tabs>
        <w:rPr>
          <w:rFonts w:asciiTheme="minorHAnsi" w:eastAsiaTheme="minorEastAsia" w:hAnsiTheme="minorHAnsi" w:cstheme="minorHAnsi"/>
          <w:noProof/>
          <w:sz w:val="20"/>
          <w:szCs w:val="20"/>
          <w:lang w:val="en-US" w:eastAsia="en-US"/>
        </w:rPr>
      </w:pPr>
      <w:hyperlink w:anchor="_Toc58398657" w:history="1">
        <w:r w:rsidR="0053408E" w:rsidRPr="0053408E">
          <w:rPr>
            <w:rStyle w:val="Hyperlink"/>
            <w:rFonts w:asciiTheme="minorHAnsi" w:hAnsiTheme="minorHAnsi" w:cstheme="minorHAnsi"/>
            <w:noProof/>
            <w:sz w:val="20"/>
            <w:szCs w:val="20"/>
          </w:rPr>
          <w:t>Box 3. Frameworks for municipal and local level spatial and land-use planning</w:t>
        </w:r>
        <w:r w:rsidR="0053408E" w:rsidRPr="0053408E">
          <w:rPr>
            <w:rFonts w:asciiTheme="minorHAnsi" w:hAnsiTheme="minorHAnsi" w:cstheme="minorHAnsi"/>
            <w:noProof/>
            <w:webHidden/>
            <w:sz w:val="20"/>
            <w:szCs w:val="20"/>
          </w:rPr>
          <w:tab/>
        </w:r>
        <w:r w:rsidR="0053408E" w:rsidRPr="0053408E">
          <w:rPr>
            <w:rFonts w:asciiTheme="minorHAnsi" w:hAnsiTheme="minorHAnsi" w:cstheme="minorHAnsi"/>
            <w:noProof/>
            <w:webHidden/>
            <w:sz w:val="20"/>
            <w:szCs w:val="20"/>
          </w:rPr>
          <w:fldChar w:fldCharType="begin"/>
        </w:r>
        <w:r w:rsidR="0053408E" w:rsidRPr="0053408E">
          <w:rPr>
            <w:rFonts w:asciiTheme="minorHAnsi" w:hAnsiTheme="minorHAnsi" w:cstheme="minorHAnsi"/>
            <w:noProof/>
            <w:webHidden/>
            <w:sz w:val="20"/>
            <w:szCs w:val="20"/>
          </w:rPr>
          <w:instrText xml:space="preserve"> PAGEREF _Toc58398657 \h </w:instrText>
        </w:r>
        <w:r w:rsidR="0053408E" w:rsidRPr="0053408E">
          <w:rPr>
            <w:rFonts w:asciiTheme="minorHAnsi" w:hAnsiTheme="minorHAnsi" w:cstheme="minorHAnsi"/>
            <w:noProof/>
            <w:webHidden/>
            <w:sz w:val="20"/>
            <w:szCs w:val="20"/>
          </w:rPr>
        </w:r>
        <w:r w:rsidR="0053408E" w:rsidRPr="0053408E">
          <w:rPr>
            <w:rFonts w:asciiTheme="minorHAnsi" w:hAnsiTheme="minorHAnsi" w:cstheme="minorHAnsi"/>
            <w:noProof/>
            <w:webHidden/>
            <w:sz w:val="20"/>
            <w:szCs w:val="20"/>
          </w:rPr>
          <w:fldChar w:fldCharType="separate"/>
        </w:r>
        <w:r w:rsidR="0053408E" w:rsidRPr="0053408E">
          <w:rPr>
            <w:rFonts w:asciiTheme="minorHAnsi" w:hAnsiTheme="minorHAnsi" w:cstheme="minorHAnsi"/>
            <w:noProof/>
            <w:webHidden/>
            <w:sz w:val="20"/>
            <w:szCs w:val="20"/>
          </w:rPr>
          <w:t>27</w:t>
        </w:r>
        <w:r w:rsidR="0053408E" w:rsidRPr="0053408E">
          <w:rPr>
            <w:rFonts w:asciiTheme="minorHAnsi" w:hAnsiTheme="minorHAnsi" w:cstheme="minorHAnsi"/>
            <w:noProof/>
            <w:webHidden/>
            <w:sz w:val="20"/>
            <w:szCs w:val="20"/>
          </w:rPr>
          <w:fldChar w:fldCharType="end"/>
        </w:r>
      </w:hyperlink>
    </w:p>
    <w:p w14:paraId="5430AF4B" w14:textId="134B740D" w:rsidR="0053408E" w:rsidRPr="0053408E" w:rsidRDefault="000C73F8">
      <w:pPr>
        <w:pStyle w:val="TableofFigures"/>
        <w:tabs>
          <w:tab w:val="right" w:leader="dot" w:pos="9736"/>
        </w:tabs>
        <w:rPr>
          <w:rFonts w:asciiTheme="minorHAnsi" w:eastAsiaTheme="minorEastAsia" w:hAnsiTheme="minorHAnsi" w:cstheme="minorHAnsi"/>
          <w:noProof/>
          <w:sz w:val="20"/>
          <w:szCs w:val="20"/>
          <w:lang w:val="en-US" w:eastAsia="en-US"/>
        </w:rPr>
      </w:pPr>
      <w:hyperlink w:anchor="_Toc58398658" w:history="1">
        <w:r w:rsidR="0053408E" w:rsidRPr="0053408E">
          <w:rPr>
            <w:rStyle w:val="Hyperlink"/>
            <w:rFonts w:asciiTheme="minorHAnsi" w:hAnsiTheme="minorHAnsi" w:cstheme="minorHAnsi"/>
            <w:noProof/>
            <w:sz w:val="20"/>
            <w:szCs w:val="20"/>
          </w:rPr>
          <w:t>Box 4. Quotes on gender inequality and land tenure patterns in Angola</w:t>
        </w:r>
        <w:r w:rsidR="0053408E" w:rsidRPr="0053408E">
          <w:rPr>
            <w:rFonts w:asciiTheme="minorHAnsi" w:hAnsiTheme="minorHAnsi" w:cstheme="minorHAnsi"/>
            <w:noProof/>
            <w:webHidden/>
            <w:sz w:val="20"/>
            <w:szCs w:val="20"/>
          </w:rPr>
          <w:tab/>
        </w:r>
        <w:r w:rsidR="0053408E" w:rsidRPr="0053408E">
          <w:rPr>
            <w:rFonts w:asciiTheme="minorHAnsi" w:hAnsiTheme="minorHAnsi" w:cstheme="minorHAnsi"/>
            <w:noProof/>
            <w:webHidden/>
            <w:sz w:val="20"/>
            <w:szCs w:val="20"/>
          </w:rPr>
          <w:fldChar w:fldCharType="begin"/>
        </w:r>
        <w:r w:rsidR="0053408E" w:rsidRPr="0053408E">
          <w:rPr>
            <w:rFonts w:asciiTheme="minorHAnsi" w:hAnsiTheme="minorHAnsi" w:cstheme="minorHAnsi"/>
            <w:noProof/>
            <w:webHidden/>
            <w:sz w:val="20"/>
            <w:szCs w:val="20"/>
          </w:rPr>
          <w:instrText xml:space="preserve"> PAGEREF _Toc58398658 \h </w:instrText>
        </w:r>
        <w:r w:rsidR="0053408E" w:rsidRPr="0053408E">
          <w:rPr>
            <w:rFonts w:asciiTheme="minorHAnsi" w:hAnsiTheme="minorHAnsi" w:cstheme="minorHAnsi"/>
            <w:noProof/>
            <w:webHidden/>
            <w:sz w:val="20"/>
            <w:szCs w:val="20"/>
          </w:rPr>
        </w:r>
        <w:r w:rsidR="0053408E" w:rsidRPr="0053408E">
          <w:rPr>
            <w:rFonts w:asciiTheme="minorHAnsi" w:hAnsiTheme="minorHAnsi" w:cstheme="minorHAnsi"/>
            <w:noProof/>
            <w:webHidden/>
            <w:sz w:val="20"/>
            <w:szCs w:val="20"/>
          </w:rPr>
          <w:fldChar w:fldCharType="separate"/>
        </w:r>
        <w:r w:rsidR="0053408E" w:rsidRPr="0053408E">
          <w:rPr>
            <w:rFonts w:asciiTheme="minorHAnsi" w:hAnsiTheme="minorHAnsi" w:cstheme="minorHAnsi"/>
            <w:noProof/>
            <w:webHidden/>
            <w:sz w:val="20"/>
            <w:szCs w:val="20"/>
          </w:rPr>
          <w:t>30</w:t>
        </w:r>
        <w:r w:rsidR="0053408E" w:rsidRPr="0053408E">
          <w:rPr>
            <w:rFonts w:asciiTheme="minorHAnsi" w:hAnsiTheme="minorHAnsi" w:cstheme="minorHAnsi"/>
            <w:noProof/>
            <w:webHidden/>
            <w:sz w:val="20"/>
            <w:szCs w:val="20"/>
          </w:rPr>
          <w:fldChar w:fldCharType="end"/>
        </w:r>
      </w:hyperlink>
    </w:p>
    <w:p w14:paraId="6AC1B5FF" w14:textId="3DB04151" w:rsidR="0053408E" w:rsidRPr="0053408E" w:rsidRDefault="000C73F8">
      <w:pPr>
        <w:pStyle w:val="TableofFigures"/>
        <w:tabs>
          <w:tab w:val="right" w:leader="dot" w:pos="9736"/>
        </w:tabs>
        <w:rPr>
          <w:rFonts w:asciiTheme="minorHAnsi" w:eastAsiaTheme="minorEastAsia" w:hAnsiTheme="minorHAnsi" w:cstheme="minorHAnsi"/>
          <w:noProof/>
          <w:sz w:val="20"/>
          <w:szCs w:val="20"/>
          <w:lang w:val="en-US" w:eastAsia="en-US"/>
        </w:rPr>
      </w:pPr>
      <w:hyperlink w:anchor="_Toc58398659" w:history="1">
        <w:r w:rsidR="0053408E" w:rsidRPr="0053408E">
          <w:rPr>
            <w:rStyle w:val="Hyperlink"/>
            <w:rFonts w:asciiTheme="minorHAnsi" w:hAnsiTheme="minorHAnsi" w:cstheme="minorHAnsi"/>
            <w:noProof/>
            <w:sz w:val="20"/>
            <w:szCs w:val="20"/>
          </w:rPr>
          <w:t>Box 5. Angola’s IPCC scenario and n</w:t>
        </w:r>
        <w:r w:rsidR="0053408E" w:rsidRPr="0053408E">
          <w:rPr>
            <w:rStyle w:val="Hyperlink"/>
            <w:rFonts w:asciiTheme="minorHAnsi" w:eastAsia="Times" w:hAnsiTheme="minorHAnsi" w:cstheme="minorHAnsi"/>
            <w:noProof/>
            <w:sz w:val="20"/>
            <w:szCs w:val="20"/>
          </w:rPr>
          <w:t>ational commitments and interventions to UNFCCC</w:t>
        </w:r>
        <w:r w:rsidR="0053408E" w:rsidRPr="0053408E">
          <w:rPr>
            <w:rFonts w:asciiTheme="minorHAnsi" w:hAnsiTheme="minorHAnsi" w:cstheme="minorHAnsi"/>
            <w:noProof/>
            <w:webHidden/>
            <w:sz w:val="20"/>
            <w:szCs w:val="20"/>
          </w:rPr>
          <w:tab/>
        </w:r>
        <w:r w:rsidR="0053408E" w:rsidRPr="0053408E">
          <w:rPr>
            <w:rFonts w:asciiTheme="minorHAnsi" w:hAnsiTheme="minorHAnsi" w:cstheme="minorHAnsi"/>
            <w:noProof/>
            <w:webHidden/>
            <w:sz w:val="20"/>
            <w:szCs w:val="20"/>
          </w:rPr>
          <w:fldChar w:fldCharType="begin"/>
        </w:r>
        <w:r w:rsidR="0053408E" w:rsidRPr="0053408E">
          <w:rPr>
            <w:rFonts w:asciiTheme="minorHAnsi" w:hAnsiTheme="minorHAnsi" w:cstheme="minorHAnsi"/>
            <w:noProof/>
            <w:webHidden/>
            <w:sz w:val="20"/>
            <w:szCs w:val="20"/>
          </w:rPr>
          <w:instrText xml:space="preserve"> PAGEREF _Toc58398659 \h </w:instrText>
        </w:r>
        <w:r w:rsidR="0053408E" w:rsidRPr="0053408E">
          <w:rPr>
            <w:rFonts w:asciiTheme="minorHAnsi" w:hAnsiTheme="minorHAnsi" w:cstheme="minorHAnsi"/>
            <w:noProof/>
            <w:webHidden/>
            <w:sz w:val="20"/>
            <w:szCs w:val="20"/>
          </w:rPr>
        </w:r>
        <w:r w:rsidR="0053408E" w:rsidRPr="0053408E">
          <w:rPr>
            <w:rFonts w:asciiTheme="minorHAnsi" w:hAnsiTheme="minorHAnsi" w:cstheme="minorHAnsi"/>
            <w:noProof/>
            <w:webHidden/>
            <w:sz w:val="20"/>
            <w:szCs w:val="20"/>
          </w:rPr>
          <w:fldChar w:fldCharType="separate"/>
        </w:r>
        <w:r w:rsidR="0053408E" w:rsidRPr="0053408E">
          <w:rPr>
            <w:rFonts w:asciiTheme="minorHAnsi" w:hAnsiTheme="minorHAnsi" w:cstheme="minorHAnsi"/>
            <w:noProof/>
            <w:webHidden/>
            <w:sz w:val="20"/>
            <w:szCs w:val="20"/>
          </w:rPr>
          <w:t>32</w:t>
        </w:r>
        <w:r w:rsidR="0053408E" w:rsidRPr="0053408E">
          <w:rPr>
            <w:rFonts w:asciiTheme="minorHAnsi" w:hAnsiTheme="minorHAnsi" w:cstheme="minorHAnsi"/>
            <w:noProof/>
            <w:webHidden/>
            <w:sz w:val="20"/>
            <w:szCs w:val="20"/>
          </w:rPr>
          <w:fldChar w:fldCharType="end"/>
        </w:r>
      </w:hyperlink>
    </w:p>
    <w:p w14:paraId="246FEB1A" w14:textId="7743A0C5" w:rsidR="0053408E" w:rsidRPr="0053408E" w:rsidRDefault="000C73F8">
      <w:pPr>
        <w:pStyle w:val="TableofFigures"/>
        <w:tabs>
          <w:tab w:val="right" w:leader="dot" w:pos="9736"/>
        </w:tabs>
        <w:rPr>
          <w:rFonts w:asciiTheme="minorHAnsi" w:eastAsiaTheme="minorEastAsia" w:hAnsiTheme="minorHAnsi" w:cstheme="minorHAnsi"/>
          <w:noProof/>
          <w:sz w:val="20"/>
          <w:szCs w:val="20"/>
          <w:lang w:val="en-US" w:eastAsia="en-US"/>
        </w:rPr>
      </w:pPr>
      <w:hyperlink w:anchor="_Toc58398660" w:history="1">
        <w:r w:rsidR="0053408E" w:rsidRPr="0053408E">
          <w:rPr>
            <w:rStyle w:val="Hyperlink"/>
            <w:rFonts w:asciiTheme="minorHAnsi" w:hAnsiTheme="minorHAnsi" w:cstheme="minorHAnsi"/>
            <w:noProof/>
            <w:sz w:val="20"/>
            <w:szCs w:val="20"/>
          </w:rPr>
          <w:t>Box 6. Target landscapes in the project zone: location and key features</w:t>
        </w:r>
        <w:r w:rsidR="0053408E" w:rsidRPr="0053408E">
          <w:rPr>
            <w:rFonts w:asciiTheme="minorHAnsi" w:hAnsiTheme="minorHAnsi" w:cstheme="minorHAnsi"/>
            <w:noProof/>
            <w:webHidden/>
            <w:sz w:val="20"/>
            <w:szCs w:val="20"/>
          </w:rPr>
          <w:tab/>
        </w:r>
        <w:r w:rsidR="0053408E" w:rsidRPr="0053408E">
          <w:rPr>
            <w:rFonts w:asciiTheme="minorHAnsi" w:hAnsiTheme="minorHAnsi" w:cstheme="minorHAnsi"/>
            <w:noProof/>
            <w:webHidden/>
            <w:sz w:val="20"/>
            <w:szCs w:val="20"/>
          </w:rPr>
          <w:fldChar w:fldCharType="begin"/>
        </w:r>
        <w:r w:rsidR="0053408E" w:rsidRPr="0053408E">
          <w:rPr>
            <w:rFonts w:asciiTheme="minorHAnsi" w:hAnsiTheme="minorHAnsi" w:cstheme="minorHAnsi"/>
            <w:noProof/>
            <w:webHidden/>
            <w:sz w:val="20"/>
            <w:szCs w:val="20"/>
          </w:rPr>
          <w:instrText xml:space="preserve"> PAGEREF _Toc58398660 \h </w:instrText>
        </w:r>
        <w:r w:rsidR="0053408E" w:rsidRPr="0053408E">
          <w:rPr>
            <w:rFonts w:asciiTheme="minorHAnsi" w:hAnsiTheme="minorHAnsi" w:cstheme="minorHAnsi"/>
            <w:noProof/>
            <w:webHidden/>
            <w:sz w:val="20"/>
            <w:szCs w:val="20"/>
          </w:rPr>
        </w:r>
        <w:r w:rsidR="0053408E" w:rsidRPr="0053408E">
          <w:rPr>
            <w:rFonts w:asciiTheme="minorHAnsi" w:hAnsiTheme="minorHAnsi" w:cstheme="minorHAnsi"/>
            <w:noProof/>
            <w:webHidden/>
            <w:sz w:val="20"/>
            <w:szCs w:val="20"/>
          </w:rPr>
          <w:fldChar w:fldCharType="separate"/>
        </w:r>
        <w:r w:rsidR="0053408E" w:rsidRPr="0053408E">
          <w:rPr>
            <w:rFonts w:asciiTheme="minorHAnsi" w:hAnsiTheme="minorHAnsi" w:cstheme="minorHAnsi"/>
            <w:noProof/>
            <w:webHidden/>
            <w:sz w:val="20"/>
            <w:szCs w:val="20"/>
          </w:rPr>
          <w:t>36</w:t>
        </w:r>
        <w:r w:rsidR="0053408E" w:rsidRPr="0053408E">
          <w:rPr>
            <w:rFonts w:asciiTheme="minorHAnsi" w:hAnsiTheme="minorHAnsi" w:cstheme="minorHAnsi"/>
            <w:noProof/>
            <w:webHidden/>
            <w:sz w:val="20"/>
            <w:szCs w:val="20"/>
          </w:rPr>
          <w:fldChar w:fldCharType="end"/>
        </w:r>
      </w:hyperlink>
    </w:p>
    <w:p w14:paraId="749B1AC3" w14:textId="25BFCBF4" w:rsidR="0053408E" w:rsidRPr="0053408E" w:rsidRDefault="000C73F8">
      <w:pPr>
        <w:pStyle w:val="TableofFigures"/>
        <w:tabs>
          <w:tab w:val="right" w:leader="dot" w:pos="9736"/>
        </w:tabs>
        <w:rPr>
          <w:rFonts w:asciiTheme="minorHAnsi" w:eastAsiaTheme="minorEastAsia" w:hAnsiTheme="minorHAnsi" w:cstheme="minorHAnsi"/>
          <w:noProof/>
          <w:sz w:val="20"/>
          <w:szCs w:val="20"/>
          <w:lang w:val="en-US" w:eastAsia="en-US"/>
        </w:rPr>
      </w:pPr>
      <w:hyperlink w:anchor="_Toc58398661" w:history="1">
        <w:r w:rsidR="0053408E" w:rsidRPr="0053408E">
          <w:rPr>
            <w:rStyle w:val="Hyperlink"/>
            <w:rFonts w:asciiTheme="minorHAnsi" w:hAnsiTheme="minorHAnsi" w:cstheme="minorHAnsi"/>
            <w:noProof/>
            <w:sz w:val="20"/>
            <w:szCs w:val="20"/>
          </w:rPr>
          <w:t>Box 7. SHARP results for Cuchi (Cuando Cubango Province) and Tchipelongo (Cunene Province)</w:t>
        </w:r>
        <w:r w:rsidR="0053408E" w:rsidRPr="0053408E">
          <w:rPr>
            <w:rFonts w:asciiTheme="minorHAnsi" w:hAnsiTheme="minorHAnsi" w:cstheme="minorHAnsi"/>
            <w:noProof/>
            <w:webHidden/>
            <w:sz w:val="20"/>
            <w:szCs w:val="20"/>
          </w:rPr>
          <w:tab/>
        </w:r>
        <w:r w:rsidR="0053408E" w:rsidRPr="0053408E">
          <w:rPr>
            <w:rFonts w:asciiTheme="minorHAnsi" w:hAnsiTheme="minorHAnsi" w:cstheme="minorHAnsi"/>
            <w:noProof/>
            <w:webHidden/>
            <w:sz w:val="20"/>
            <w:szCs w:val="20"/>
          </w:rPr>
          <w:fldChar w:fldCharType="begin"/>
        </w:r>
        <w:r w:rsidR="0053408E" w:rsidRPr="0053408E">
          <w:rPr>
            <w:rFonts w:asciiTheme="minorHAnsi" w:hAnsiTheme="minorHAnsi" w:cstheme="minorHAnsi"/>
            <w:noProof/>
            <w:webHidden/>
            <w:sz w:val="20"/>
            <w:szCs w:val="20"/>
          </w:rPr>
          <w:instrText xml:space="preserve"> PAGEREF _Toc58398661 \h </w:instrText>
        </w:r>
        <w:r w:rsidR="0053408E" w:rsidRPr="0053408E">
          <w:rPr>
            <w:rFonts w:asciiTheme="minorHAnsi" w:hAnsiTheme="minorHAnsi" w:cstheme="minorHAnsi"/>
            <w:noProof/>
            <w:webHidden/>
            <w:sz w:val="20"/>
            <w:szCs w:val="20"/>
          </w:rPr>
        </w:r>
        <w:r w:rsidR="0053408E" w:rsidRPr="0053408E">
          <w:rPr>
            <w:rFonts w:asciiTheme="minorHAnsi" w:hAnsiTheme="minorHAnsi" w:cstheme="minorHAnsi"/>
            <w:noProof/>
            <w:webHidden/>
            <w:sz w:val="20"/>
            <w:szCs w:val="20"/>
          </w:rPr>
          <w:fldChar w:fldCharType="separate"/>
        </w:r>
        <w:r w:rsidR="0053408E" w:rsidRPr="0053408E">
          <w:rPr>
            <w:rFonts w:asciiTheme="minorHAnsi" w:hAnsiTheme="minorHAnsi" w:cstheme="minorHAnsi"/>
            <w:noProof/>
            <w:webHidden/>
            <w:sz w:val="20"/>
            <w:szCs w:val="20"/>
          </w:rPr>
          <w:t>37</w:t>
        </w:r>
        <w:r w:rsidR="0053408E" w:rsidRPr="0053408E">
          <w:rPr>
            <w:rFonts w:asciiTheme="minorHAnsi" w:hAnsiTheme="minorHAnsi" w:cstheme="minorHAnsi"/>
            <w:noProof/>
            <w:webHidden/>
            <w:sz w:val="20"/>
            <w:szCs w:val="20"/>
          </w:rPr>
          <w:fldChar w:fldCharType="end"/>
        </w:r>
      </w:hyperlink>
    </w:p>
    <w:p w14:paraId="7D5E8E44" w14:textId="14087BE5" w:rsidR="0053408E" w:rsidRPr="0053408E" w:rsidRDefault="000C73F8">
      <w:pPr>
        <w:pStyle w:val="TableofFigures"/>
        <w:tabs>
          <w:tab w:val="right" w:leader="dot" w:pos="9736"/>
        </w:tabs>
        <w:rPr>
          <w:rFonts w:asciiTheme="minorHAnsi" w:eastAsiaTheme="minorEastAsia" w:hAnsiTheme="minorHAnsi" w:cstheme="minorHAnsi"/>
          <w:noProof/>
          <w:sz w:val="20"/>
          <w:szCs w:val="20"/>
          <w:lang w:val="en-US" w:eastAsia="en-US"/>
        </w:rPr>
      </w:pPr>
      <w:hyperlink w:anchor="_Toc58398662" w:history="1">
        <w:r w:rsidR="0053408E" w:rsidRPr="0053408E">
          <w:rPr>
            <w:rStyle w:val="Hyperlink"/>
            <w:rFonts w:asciiTheme="minorHAnsi" w:hAnsiTheme="minorHAnsi" w:cstheme="minorHAnsi"/>
            <w:noProof/>
            <w:sz w:val="20"/>
            <w:szCs w:val="20"/>
          </w:rPr>
          <w:t>Box 8. Integrated Landscape Assessment Methodology (ILAM) toolbox</w:t>
        </w:r>
        <w:r w:rsidR="0053408E" w:rsidRPr="0053408E">
          <w:rPr>
            <w:rFonts w:asciiTheme="minorHAnsi" w:hAnsiTheme="minorHAnsi" w:cstheme="minorHAnsi"/>
            <w:noProof/>
            <w:webHidden/>
            <w:sz w:val="20"/>
            <w:szCs w:val="20"/>
          </w:rPr>
          <w:tab/>
        </w:r>
        <w:r w:rsidR="0053408E" w:rsidRPr="0053408E">
          <w:rPr>
            <w:rFonts w:asciiTheme="minorHAnsi" w:hAnsiTheme="minorHAnsi" w:cstheme="minorHAnsi"/>
            <w:noProof/>
            <w:webHidden/>
            <w:sz w:val="20"/>
            <w:szCs w:val="20"/>
          </w:rPr>
          <w:fldChar w:fldCharType="begin"/>
        </w:r>
        <w:r w:rsidR="0053408E" w:rsidRPr="0053408E">
          <w:rPr>
            <w:rFonts w:asciiTheme="minorHAnsi" w:hAnsiTheme="minorHAnsi" w:cstheme="minorHAnsi"/>
            <w:noProof/>
            <w:webHidden/>
            <w:sz w:val="20"/>
            <w:szCs w:val="20"/>
          </w:rPr>
          <w:instrText xml:space="preserve"> PAGEREF _Toc58398662 \h </w:instrText>
        </w:r>
        <w:r w:rsidR="0053408E" w:rsidRPr="0053408E">
          <w:rPr>
            <w:rFonts w:asciiTheme="minorHAnsi" w:hAnsiTheme="minorHAnsi" w:cstheme="minorHAnsi"/>
            <w:noProof/>
            <w:webHidden/>
            <w:sz w:val="20"/>
            <w:szCs w:val="20"/>
          </w:rPr>
        </w:r>
        <w:r w:rsidR="0053408E" w:rsidRPr="0053408E">
          <w:rPr>
            <w:rFonts w:asciiTheme="minorHAnsi" w:hAnsiTheme="minorHAnsi" w:cstheme="minorHAnsi"/>
            <w:noProof/>
            <w:webHidden/>
            <w:sz w:val="20"/>
            <w:szCs w:val="20"/>
          </w:rPr>
          <w:fldChar w:fldCharType="separate"/>
        </w:r>
        <w:r w:rsidR="0053408E" w:rsidRPr="0053408E">
          <w:rPr>
            <w:rFonts w:asciiTheme="minorHAnsi" w:hAnsiTheme="minorHAnsi" w:cstheme="minorHAnsi"/>
            <w:noProof/>
            <w:webHidden/>
            <w:sz w:val="20"/>
            <w:szCs w:val="20"/>
          </w:rPr>
          <w:t>66</w:t>
        </w:r>
        <w:r w:rsidR="0053408E" w:rsidRPr="0053408E">
          <w:rPr>
            <w:rFonts w:asciiTheme="minorHAnsi" w:hAnsiTheme="minorHAnsi" w:cstheme="minorHAnsi"/>
            <w:noProof/>
            <w:webHidden/>
            <w:sz w:val="20"/>
            <w:szCs w:val="20"/>
          </w:rPr>
          <w:fldChar w:fldCharType="end"/>
        </w:r>
      </w:hyperlink>
    </w:p>
    <w:p w14:paraId="2F84C868" w14:textId="53FE37FB" w:rsidR="0053408E" w:rsidRPr="0053408E" w:rsidRDefault="000C73F8">
      <w:pPr>
        <w:pStyle w:val="TableofFigures"/>
        <w:tabs>
          <w:tab w:val="right" w:leader="dot" w:pos="9736"/>
        </w:tabs>
        <w:rPr>
          <w:rFonts w:asciiTheme="minorHAnsi" w:eastAsiaTheme="minorEastAsia" w:hAnsiTheme="minorHAnsi" w:cstheme="minorHAnsi"/>
          <w:noProof/>
          <w:sz w:val="20"/>
          <w:szCs w:val="20"/>
          <w:lang w:val="en-US" w:eastAsia="en-US"/>
        </w:rPr>
      </w:pPr>
      <w:hyperlink w:anchor="_Toc58398663" w:history="1">
        <w:r w:rsidR="0053408E" w:rsidRPr="0053408E">
          <w:rPr>
            <w:rStyle w:val="Hyperlink"/>
            <w:rFonts w:asciiTheme="minorHAnsi" w:hAnsiTheme="minorHAnsi" w:cstheme="minorHAnsi"/>
            <w:noProof/>
            <w:sz w:val="20"/>
            <w:szCs w:val="20"/>
          </w:rPr>
          <w:t>Box 9. Honey – Most promising value chain for green development</w:t>
        </w:r>
        <w:r w:rsidR="0053408E" w:rsidRPr="0053408E">
          <w:rPr>
            <w:rFonts w:asciiTheme="minorHAnsi" w:hAnsiTheme="minorHAnsi" w:cstheme="minorHAnsi"/>
            <w:noProof/>
            <w:webHidden/>
            <w:sz w:val="20"/>
            <w:szCs w:val="20"/>
          </w:rPr>
          <w:tab/>
        </w:r>
        <w:r w:rsidR="0053408E" w:rsidRPr="0053408E">
          <w:rPr>
            <w:rFonts w:asciiTheme="minorHAnsi" w:hAnsiTheme="minorHAnsi" w:cstheme="minorHAnsi"/>
            <w:noProof/>
            <w:webHidden/>
            <w:sz w:val="20"/>
            <w:szCs w:val="20"/>
          </w:rPr>
          <w:fldChar w:fldCharType="begin"/>
        </w:r>
        <w:r w:rsidR="0053408E" w:rsidRPr="0053408E">
          <w:rPr>
            <w:rFonts w:asciiTheme="minorHAnsi" w:hAnsiTheme="minorHAnsi" w:cstheme="minorHAnsi"/>
            <w:noProof/>
            <w:webHidden/>
            <w:sz w:val="20"/>
            <w:szCs w:val="20"/>
          </w:rPr>
          <w:instrText xml:space="preserve"> PAGEREF _Toc58398663 \h </w:instrText>
        </w:r>
        <w:r w:rsidR="0053408E" w:rsidRPr="0053408E">
          <w:rPr>
            <w:rFonts w:asciiTheme="minorHAnsi" w:hAnsiTheme="minorHAnsi" w:cstheme="minorHAnsi"/>
            <w:noProof/>
            <w:webHidden/>
            <w:sz w:val="20"/>
            <w:szCs w:val="20"/>
          </w:rPr>
        </w:r>
        <w:r w:rsidR="0053408E" w:rsidRPr="0053408E">
          <w:rPr>
            <w:rFonts w:asciiTheme="minorHAnsi" w:hAnsiTheme="minorHAnsi" w:cstheme="minorHAnsi"/>
            <w:noProof/>
            <w:webHidden/>
            <w:sz w:val="20"/>
            <w:szCs w:val="20"/>
          </w:rPr>
          <w:fldChar w:fldCharType="separate"/>
        </w:r>
        <w:r w:rsidR="0053408E" w:rsidRPr="0053408E">
          <w:rPr>
            <w:rFonts w:asciiTheme="minorHAnsi" w:hAnsiTheme="minorHAnsi" w:cstheme="minorHAnsi"/>
            <w:noProof/>
            <w:webHidden/>
            <w:sz w:val="20"/>
            <w:szCs w:val="20"/>
          </w:rPr>
          <w:t>89</w:t>
        </w:r>
        <w:r w:rsidR="0053408E" w:rsidRPr="0053408E">
          <w:rPr>
            <w:rFonts w:asciiTheme="minorHAnsi" w:hAnsiTheme="minorHAnsi" w:cstheme="minorHAnsi"/>
            <w:noProof/>
            <w:webHidden/>
            <w:sz w:val="20"/>
            <w:szCs w:val="20"/>
          </w:rPr>
          <w:fldChar w:fldCharType="end"/>
        </w:r>
      </w:hyperlink>
    </w:p>
    <w:p w14:paraId="14090172" w14:textId="3C3515A2" w:rsidR="0053408E" w:rsidRPr="0053408E" w:rsidRDefault="000C73F8">
      <w:pPr>
        <w:pStyle w:val="TableofFigures"/>
        <w:tabs>
          <w:tab w:val="right" w:leader="dot" w:pos="9736"/>
        </w:tabs>
        <w:rPr>
          <w:rFonts w:asciiTheme="minorHAnsi" w:eastAsiaTheme="minorEastAsia" w:hAnsiTheme="minorHAnsi" w:cstheme="minorHAnsi"/>
          <w:noProof/>
          <w:sz w:val="20"/>
          <w:szCs w:val="20"/>
          <w:lang w:val="en-US" w:eastAsia="en-US"/>
        </w:rPr>
      </w:pPr>
      <w:hyperlink w:anchor="_Toc58398664" w:history="1">
        <w:r w:rsidR="0053408E" w:rsidRPr="0053408E">
          <w:rPr>
            <w:rStyle w:val="Hyperlink"/>
            <w:rFonts w:asciiTheme="minorHAnsi" w:hAnsiTheme="minorHAnsi" w:cstheme="minorHAnsi"/>
            <w:noProof/>
            <w:sz w:val="20"/>
            <w:szCs w:val="20"/>
          </w:rPr>
          <w:t>Box 10. Forest fruits - potential NTFPs for green value chains development</w:t>
        </w:r>
        <w:r w:rsidR="0053408E" w:rsidRPr="0053408E">
          <w:rPr>
            <w:rFonts w:asciiTheme="minorHAnsi" w:hAnsiTheme="minorHAnsi" w:cstheme="minorHAnsi"/>
            <w:noProof/>
            <w:webHidden/>
            <w:sz w:val="20"/>
            <w:szCs w:val="20"/>
          </w:rPr>
          <w:tab/>
        </w:r>
        <w:r w:rsidR="0053408E" w:rsidRPr="0053408E">
          <w:rPr>
            <w:rFonts w:asciiTheme="minorHAnsi" w:hAnsiTheme="minorHAnsi" w:cstheme="minorHAnsi"/>
            <w:noProof/>
            <w:webHidden/>
            <w:sz w:val="20"/>
            <w:szCs w:val="20"/>
          </w:rPr>
          <w:fldChar w:fldCharType="begin"/>
        </w:r>
        <w:r w:rsidR="0053408E" w:rsidRPr="0053408E">
          <w:rPr>
            <w:rFonts w:asciiTheme="minorHAnsi" w:hAnsiTheme="minorHAnsi" w:cstheme="minorHAnsi"/>
            <w:noProof/>
            <w:webHidden/>
            <w:sz w:val="20"/>
            <w:szCs w:val="20"/>
          </w:rPr>
          <w:instrText xml:space="preserve"> PAGEREF _Toc58398664 \h </w:instrText>
        </w:r>
        <w:r w:rsidR="0053408E" w:rsidRPr="0053408E">
          <w:rPr>
            <w:rFonts w:asciiTheme="minorHAnsi" w:hAnsiTheme="minorHAnsi" w:cstheme="minorHAnsi"/>
            <w:noProof/>
            <w:webHidden/>
            <w:sz w:val="20"/>
            <w:szCs w:val="20"/>
          </w:rPr>
        </w:r>
        <w:r w:rsidR="0053408E" w:rsidRPr="0053408E">
          <w:rPr>
            <w:rFonts w:asciiTheme="minorHAnsi" w:hAnsiTheme="minorHAnsi" w:cstheme="minorHAnsi"/>
            <w:noProof/>
            <w:webHidden/>
            <w:sz w:val="20"/>
            <w:szCs w:val="20"/>
          </w:rPr>
          <w:fldChar w:fldCharType="separate"/>
        </w:r>
        <w:r w:rsidR="0053408E" w:rsidRPr="0053408E">
          <w:rPr>
            <w:rFonts w:asciiTheme="minorHAnsi" w:hAnsiTheme="minorHAnsi" w:cstheme="minorHAnsi"/>
            <w:noProof/>
            <w:webHidden/>
            <w:sz w:val="20"/>
            <w:szCs w:val="20"/>
          </w:rPr>
          <w:t>90</w:t>
        </w:r>
        <w:r w:rsidR="0053408E" w:rsidRPr="0053408E">
          <w:rPr>
            <w:rFonts w:asciiTheme="minorHAnsi" w:hAnsiTheme="minorHAnsi" w:cstheme="minorHAnsi"/>
            <w:noProof/>
            <w:webHidden/>
            <w:sz w:val="20"/>
            <w:szCs w:val="20"/>
          </w:rPr>
          <w:fldChar w:fldCharType="end"/>
        </w:r>
      </w:hyperlink>
    </w:p>
    <w:p w14:paraId="388926B7" w14:textId="3B28759B" w:rsidR="0053408E" w:rsidRPr="0053408E" w:rsidRDefault="000C73F8">
      <w:pPr>
        <w:pStyle w:val="TableofFigures"/>
        <w:tabs>
          <w:tab w:val="right" w:leader="dot" w:pos="9736"/>
        </w:tabs>
        <w:rPr>
          <w:rFonts w:asciiTheme="minorHAnsi" w:eastAsiaTheme="minorEastAsia" w:hAnsiTheme="minorHAnsi" w:cstheme="minorHAnsi"/>
          <w:noProof/>
          <w:sz w:val="20"/>
          <w:szCs w:val="20"/>
          <w:lang w:val="en-US" w:eastAsia="en-US"/>
        </w:rPr>
      </w:pPr>
      <w:hyperlink w:anchor="_Toc58398665" w:history="1">
        <w:r w:rsidR="0053408E" w:rsidRPr="0053408E">
          <w:rPr>
            <w:rStyle w:val="Hyperlink"/>
            <w:rFonts w:asciiTheme="minorHAnsi" w:hAnsiTheme="minorHAnsi" w:cstheme="minorHAnsi"/>
            <w:noProof/>
            <w:sz w:val="20"/>
            <w:szCs w:val="20"/>
          </w:rPr>
          <w:t>Box 10. SHARP results summary, including self-assessed priorities, from project target landscapes</w:t>
        </w:r>
        <w:r w:rsidR="0053408E" w:rsidRPr="0053408E">
          <w:rPr>
            <w:rFonts w:asciiTheme="minorHAnsi" w:hAnsiTheme="minorHAnsi" w:cstheme="minorHAnsi"/>
            <w:noProof/>
            <w:webHidden/>
            <w:sz w:val="20"/>
            <w:szCs w:val="20"/>
          </w:rPr>
          <w:tab/>
        </w:r>
        <w:r w:rsidR="0053408E" w:rsidRPr="0053408E">
          <w:rPr>
            <w:rFonts w:asciiTheme="minorHAnsi" w:hAnsiTheme="minorHAnsi" w:cstheme="minorHAnsi"/>
            <w:noProof/>
            <w:webHidden/>
            <w:sz w:val="20"/>
            <w:szCs w:val="20"/>
          </w:rPr>
          <w:fldChar w:fldCharType="begin"/>
        </w:r>
        <w:r w:rsidR="0053408E" w:rsidRPr="0053408E">
          <w:rPr>
            <w:rFonts w:asciiTheme="minorHAnsi" w:hAnsiTheme="minorHAnsi" w:cstheme="minorHAnsi"/>
            <w:noProof/>
            <w:webHidden/>
            <w:sz w:val="20"/>
            <w:szCs w:val="20"/>
          </w:rPr>
          <w:instrText xml:space="preserve"> PAGEREF _Toc58398665 \h </w:instrText>
        </w:r>
        <w:r w:rsidR="0053408E" w:rsidRPr="0053408E">
          <w:rPr>
            <w:rFonts w:asciiTheme="minorHAnsi" w:hAnsiTheme="minorHAnsi" w:cstheme="minorHAnsi"/>
            <w:noProof/>
            <w:webHidden/>
            <w:sz w:val="20"/>
            <w:szCs w:val="20"/>
          </w:rPr>
        </w:r>
        <w:r w:rsidR="0053408E" w:rsidRPr="0053408E">
          <w:rPr>
            <w:rFonts w:asciiTheme="minorHAnsi" w:hAnsiTheme="minorHAnsi" w:cstheme="minorHAnsi"/>
            <w:noProof/>
            <w:webHidden/>
            <w:sz w:val="20"/>
            <w:szCs w:val="20"/>
          </w:rPr>
          <w:fldChar w:fldCharType="separate"/>
        </w:r>
        <w:r w:rsidR="0053408E" w:rsidRPr="0053408E">
          <w:rPr>
            <w:rFonts w:asciiTheme="minorHAnsi" w:hAnsiTheme="minorHAnsi" w:cstheme="minorHAnsi"/>
            <w:noProof/>
            <w:webHidden/>
            <w:sz w:val="20"/>
            <w:szCs w:val="20"/>
          </w:rPr>
          <w:t>118</w:t>
        </w:r>
        <w:r w:rsidR="0053408E" w:rsidRPr="0053408E">
          <w:rPr>
            <w:rFonts w:asciiTheme="minorHAnsi" w:hAnsiTheme="minorHAnsi" w:cstheme="minorHAnsi"/>
            <w:noProof/>
            <w:webHidden/>
            <w:sz w:val="20"/>
            <w:szCs w:val="20"/>
          </w:rPr>
          <w:fldChar w:fldCharType="end"/>
        </w:r>
      </w:hyperlink>
    </w:p>
    <w:p w14:paraId="009F0C15" w14:textId="7F72CDDC" w:rsidR="0053408E" w:rsidRPr="0053408E" w:rsidRDefault="000C73F8">
      <w:pPr>
        <w:pStyle w:val="TableofFigures"/>
        <w:tabs>
          <w:tab w:val="right" w:leader="dot" w:pos="9736"/>
        </w:tabs>
        <w:rPr>
          <w:rFonts w:asciiTheme="minorHAnsi" w:eastAsiaTheme="minorEastAsia" w:hAnsiTheme="minorHAnsi" w:cstheme="minorHAnsi"/>
          <w:noProof/>
          <w:sz w:val="20"/>
          <w:szCs w:val="20"/>
          <w:lang w:val="en-US" w:eastAsia="en-US"/>
        </w:rPr>
      </w:pPr>
      <w:hyperlink w:anchor="_Toc58398666" w:history="1">
        <w:r w:rsidR="0053408E" w:rsidRPr="0053408E">
          <w:rPr>
            <w:rStyle w:val="Hyperlink"/>
            <w:rFonts w:asciiTheme="minorHAnsi" w:hAnsiTheme="minorHAnsi" w:cstheme="minorHAnsi"/>
            <w:noProof/>
            <w:sz w:val="20"/>
            <w:szCs w:val="20"/>
          </w:rPr>
          <w:t>Box 11. Results from survey on the REM among the DSL IP global stakeholders</w:t>
        </w:r>
        <w:r w:rsidR="0053408E" w:rsidRPr="0053408E">
          <w:rPr>
            <w:rFonts w:asciiTheme="minorHAnsi" w:hAnsiTheme="minorHAnsi" w:cstheme="minorHAnsi"/>
            <w:noProof/>
            <w:webHidden/>
            <w:sz w:val="20"/>
            <w:szCs w:val="20"/>
          </w:rPr>
          <w:tab/>
        </w:r>
        <w:r w:rsidR="0053408E" w:rsidRPr="0053408E">
          <w:rPr>
            <w:rFonts w:asciiTheme="minorHAnsi" w:hAnsiTheme="minorHAnsi" w:cstheme="minorHAnsi"/>
            <w:noProof/>
            <w:webHidden/>
            <w:sz w:val="20"/>
            <w:szCs w:val="20"/>
          </w:rPr>
          <w:fldChar w:fldCharType="begin"/>
        </w:r>
        <w:r w:rsidR="0053408E" w:rsidRPr="0053408E">
          <w:rPr>
            <w:rFonts w:asciiTheme="minorHAnsi" w:hAnsiTheme="minorHAnsi" w:cstheme="minorHAnsi"/>
            <w:noProof/>
            <w:webHidden/>
            <w:sz w:val="20"/>
            <w:szCs w:val="20"/>
          </w:rPr>
          <w:instrText xml:space="preserve"> PAGEREF _Toc58398666 \h </w:instrText>
        </w:r>
        <w:r w:rsidR="0053408E" w:rsidRPr="0053408E">
          <w:rPr>
            <w:rFonts w:asciiTheme="minorHAnsi" w:hAnsiTheme="minorHAnsi" w:cstheme="minorHAnsi"/>
            <w:noProof/>
            <w:webHidden/>
            <w:sz w:val="20"/>
            <w:szCs w:val="20"/>
          </w:rPr>
        </w:r>
        <w:r w:rsidR="0053408E" w:rsidRPr="0053408E">
          <w:rPr>
            <w:rFonts w:asciiTheme="minorHAnsi" w:hAnsiTheme="minorHAnsi" w:cstheme="minorHAnsi"/>
            <w:noProof/>
            <w:webHidden/>
            <w:sz w:val="20"/>
            <w:szCs w:val="20"/>
          </w:rPr>
          <w:fldChar w:fldCharType="separate"/>
        </w:r>
        <w:r w:rsidR="0053408E" w:rsidRPr="0053408E">
          <w:rPr>
            <w:rFonts w:asciiTheme="minorHAnsi" w:hAnsiTheme="minorHAnsi" w:cstheme="minorHAnsi"/>
            <w:noProof/>
            <w:webHidden/>
            <w:sz w:val="20"/>
            <w:szCs w:val="20"/>
          </w:rPr>
          <w:t>183</w:t>
        </w:r>
        <w:r w:rsidR="0053408E" w:rsidRPr="0053408E">
          <w:rPr>
            <w:rFonts w:asciiTheme="minorHAnsi" w:hAnsiTheme="minorHAnsi" w:cstheme="minorHAnsi"/>
            <w:noProof/>
            <w:webHidden/>
            <w:sz w:val="20"/>
            <w:szCs w:val="20"/>
          </w:rPr>
          <w:fldChar w:fldCharType="end"/>
        </w:r>
      </w:hyperlink>
    </w:p>
    <w:p w14:paraId="1943D6F1" w14:textId="709F2DAF" w:rsidR="009563B4" w:rsidRPr="0020613E" w:rsidRDefault="009563B4" w:rsidP="009563B4">
      <w:pPr>
        <w:rPr>
          <w:rFonts w:asciiTheme="minorHAnsi" w:hAnsiTheme="minorHAnsi" w:cstheme="minorHAnsi"/>
          <w:sz w:val="21"/>
          <w:szCs w:val="21"/>
        </w:rPr>
      </w:pPr>
      <w:r w:rsidRPr="0053408E">
        <w:rPr>
          <w:rFonts w:asciiTheme="minorHAnsi" w:hAnsiTheme="minorHAnsi" w:cstheme="minorHAnsi"/>
          <w:sz w:val="20"/>
          <w:szCs w:val="20"/>
        </w:rPr>
        <w:fldChar w:fldCharType="end"/>
      </w:r>
    </w:p>
    <w:p w14:paraId="4F13DC98" w14:textId="77777777" w:rsidR="009563B4" w:rsidRPr="000B45FF" w:rsidRDefault="009563B4" w:rsidP="009563B4">
      <w:pPr>
        <w:spacing w:before="240" w:after="80"/>
        <w:rPr>
          <w:rFonts w:ascii="Calibri" w:hAnsi="Calibri" w:cs="Calibri"/>
          <w:b/>
          <w:smallCaps/>
          <w:color w:val="000000"/>
          <w:sz w:val="20"/>
          <w:szCs w:val="20"/>
          <w:lang w:eastAsia="x-none"/>
        </w:rPr>
        <w:sectPr w:rsidR="009563B4" w:rsidRPr="000B45FF" w:rsidSect="00903274">
          <w:headerReference w:type="even" r:id="rId15"/>
          <w:headerReference w:type="default" r:id="rId16"/>
          <w:headerReference w:type="first" r:id="rId17"/>
          <w:pgSz w:w="11906" w:h="16838" w:code="9"/>
          <w:pgMar w:top="1440" w:right="1080" w:bottom="1440" w:left="1080" w:header="720" w:footer="720" w:gutter="0"/>
          <w:cols w:space="720"/>
          <w:docGrid w:linePitch="360"/>
        </w:sectPr>
      </w:pPr>
    </w:p>
    <w:p w14:paraId="2773ECE5" w14:textId="77777777" w:rsidR="009563B4" w:rsidRPr="00CE1EA7" w:rsidRDefault="009563B4" w:rsidP="009563B4">
      <w:pPr>
        <w:pStyle w:val="Heading1"/>
      </w:pPr>
      <w:bookmarkStart w:id="6" w:name="_Toc58398582"/>
      <w:r w:rsidRPr="00CE1EA7">
        <w:lastRenderedPageBreak/>
        <w:t>ACRONYMS</w:t>
      </w:r>
      <w:bookmarkEnd w:id="6"/>
    </w:p>
    <w:tbl>
      <w:tblPr>
        <w:tblW w:w="9274" w:type="dxa"/>
        <w:tblInd w:w="5" w:type="dxa"/>
        <w:tblLook w:val="04A0" w:firstRow="1" w:lastRow="0" w:firstColumn="1" w:lastColumn="0" w:noHBand="0" w:noVBand="1"/>
      </w:tblPr>
      <w:tblGrid>
        <w:gridCol w:w="1620"/>
        <w:gridCol w:w="7654"/>
      </w:tblGrid>
      <w:tr w:rsidR="00CE3C27" w:rsidRPr="009B43C9" w14:paraId="29C76D2E" w14:textId="77777777" w:rsidTr="000F2855">
        <w:tc>
          <w:tcPr>
            <w:tcW w:w="1620" w:type="dxa"/>
            <w:tcBorders>
              <w:top w:val="nil"/>
              <w:left w:val="nil"/>
              <w:bottom w:val="nil"/>
              <w:right w:val="nil"/>
            </w:tcBorders>
            <w:shd w:val="clear" w:color="auto" w:fill="auto"/>
            <w:noWrap/>
            <w:hideMark/>
          </w:tcPr>
          <w:p w14:paraId="2355291C" w14:textId="77777777" w:rsidR="00CE3C27" w:rsidRPr="009B43C9" w:rsidRDefault="00CE3C27" w:rsidP="00CE3C27">
            <w:pPr>
              <w:rPr>
                <w:rFonts w:ascii="Calibri" w:hAnsi="Calibri" w:cs="Calibri"/>
                <w:color w:val="000000"/>
                <w:sz w:val="17"/>
                <w:szCs w:val="17"/>
              </w:rPr>
            </w:pPr>
            <w:r w:rsidRPr="009B43C9">
              <w:rPr>
                <w:rFonts w:ascii="Calibri" w:hAnsi="Calibri" w:cs="Calibri"/>
                <w:color w:val="000000"/>
                <w:sz w:val="17"/>
                <w:szCs w:val="17"/>
              </w:rPr>
              <w:t>AFD</w:t>
            </w:r>
          </w:p>
        </w:tc>
        <w:tc>
          <w:tcPr>
            <w:tcW w:w="7654" w:type="dxa"/>
            <w:tcBorders>
              <w:top w:val="nil"/>
              <w:left w:val="nil"/>
              <w:bottom w:val="nil"/>
              <w:right w:val="nil"/>
            </w:tcBorders>
            <w:shd w:val="clear" w:color="auto" w:fill="auto"/>
            <w:noWrap/>
            <w:hideMark/>
          </w:tcPr>
          <w:p w14:paraId="1516E121" w14:textId="6E5D8703" w:rsidR="00CE3C27" w:rsidRPr="009B43C9" w:rsidRDefault="00CE3C27" w:rsidP="006D4470">
            <w:pPr>
              <w:rPr>
                <w:rFonts w:ascii="Calibri" w:hAnsi="Calibri" w:cs="Calibri"/>
                <w:color w:val="000000"/>
                <w:sz w:val="17"/>
                <w:szCs w:val="17"/>
              </w:rPr>
            </w:pPr>
            <w:r w:rsidRPr="5DDE12F0">
              <w:rPr>
                <w:rFonts w:ascii="Calibri" w:hAnsi="Calibri" w:cs="Calibri"/>
                <w:color w:val="000000" w:themeColor="text1"/>
                <w:sz w:val="17"/>
                <w:szCs w:val="17"/>
              </w:rPr>
              <w:t>Agence Française de Développement</w:t>
            </w:r>
          </w:p>
        </w:tc>
      </w:tr>
      <w:tr w:rsidR="00CE3C27" w:rsidRPr="009B43C9" w14:paraId="7FB4ECEB" w14:textId="77777777" w:rsidTr="000F2855">
        <w:tc>
          <w:tcPr>
            <w:tcW w:w="1620" w:type="dxa"/>
            <w:tcBorders>
              <w:top w:val="nil"/>
              <w:left w:val="nil"/>
              <w:bottom w:val="nil"/>
              <w:right w:val="nil"/>
            </w:tcBorders>
            <w:shd w:val="clear" w:color="auto" w:fill="auto"/>
            <w:noWrap/>
            <w:hideMark/>
          </w:tcPr>
          <w:p w14:paraId="62B44E68" w14:textId="77777777" w:rsidR="00CE3C27" w:rsidRPr="009B43C9" w:rsidRDefault="00CE3C27" w:rsidP="00CE3C27">
            <w:pPr>
              <w:rPr>
                <w:rFonts w:ascii="Calibri" w:hAnsi="Calibri" w:cs="Calibri"/>
                <w:color w:val="000000"/>
                <w:sz w:val="17"/>
                <w:szCs w:val="17"/>
              </w:rPr>
            </w:pPr>
            <w:r w:rsidRPr="009B43C9">
              <w:rPr>
                <w:rFonts w:ascii="Calibri" w:hAnsi="Calibri" w:cs="Calibri"/>
                <w:color w:val="000000"/>
                <w:sz w:val="17"/>
                <w:szCs w:val="17"/>
              </w:rPr>
              <w:t>AFOLU</w:t>
            </w:r>
          </w:p>
        </w:tc>
        <w:tc>
          <w:tcPr>
            <w:tcW w:w="7654" w:type="dxa"/>
            <w:tcBorders>
              <w:top w:val="nil"/>
              <w:left w:val="nil"/>
              <w:bottom w:val="nil"/>
              <w:right w:val="nil"/>
            </w:tcBorders>
            <w:shd w:val="clear" w:color="auto" w:fill="auto"/>
            <w:noWrap/>
            <w:hideMark/>
          </w:tcPr>
          <w:p w14:paraId="3A30DDAC" w14:textId="77777777" w:rsidR="00CE3C27" w:rsidRPr="009B43C9" w:rsidRDefault="00CE3C27" w:rsidP="00CE3C27">
            <w:pPr>
              <w:rPr>
                <w:rFonts w:ascii="Calibri" w:hAnsi="Calibri" w:cs="Calibri"/>
                <w:color w:val="000000"/>
                <w:sz w:val="17"/>
                <w:szCs w:val="17"/>
              </w:rPr>
            </w:pPr>
            <w:r w:rsidRPr="009B43C9">
              <w:rPr>
                <w:rFonts w:ascii="Calibri" w:hAnsi="Calibri" w:cs="Calibri"/>
                <w:color w:val="000000"/>
                <w:sz w:val="17"/>
                <w:szCs w:val="17"/>
              </w:rPr>
              <w:t>Agriculture, Forestry, and Other Land Use</w:t>
            </w:r>
          </w:p>
        </w:tc>
      </w:tr>
      <w:tr w:rsidR="00CE3C27" w:rsidRPr="009B43C9" w14:paraId="7CBC6BB1" w14:textId="77777777" w:rsidTr="000F2855">
        <w:tc>
          <w:tcPr>
            <w:tcW w:w="1620" w:type="dxa"/>
            <w:tcBorders>
              <w:top w:val="nil"/>
              <w:left w:val="nil"/>
              <w:bottom w:val="nil"/>
              <w:right w:val="nil"/>
            </w:tcBorders>
            <w:shd w:val="clear" w:color="auto" w:fill="auto"/>
            <w:noWrap/>
            <w:hideMark/>
          </w:tcPr>
          <w:p w14:paraId="5AF1E09E" w14:textId="77777777" w:rsidR="00CE3C27" w:rsidRPr="009B43C9" w:rsidRDefault="00CE3C27" w:rsidP="00CE3C27">
            <w:pPr>
              <w:rPr>
                <w:rFonts w:ascii="Calibri" w:hAnsi="Calibri" w:cs="Calibri"/>
                <w:color w:val="000000"/>
                <w:sz w:val="17"/>
                <w:szCs w:val="17"/>
              </w:rPr>
            </w:pPr>
            <w:r w:rsidRPr="009B43C9">
              <w:rPr>
                <w:rFonts w:ascii="Calibri" w:hAnsi="Calibri" w:cs="Calibri"/>
                <w:color w:val="000000"/>
                <w:sz w:val="17"/>
                <w:szCs w:val="17"/>
              </w:rPr>
              <w:t>APFS(s)</w:t>
            </w:r>
          </w:p>
        </w:tc>
        <w:tc>
          <w:tcPr>
            <w:tcW w:w="7654" w:type="dxa"/>
            <w:tcBorders>
              <w:top w:val="nil"/>
              <w:left w:val="nil"/>
              <w:bottom w:val="nil"/>
              <w:right w:val="nil"/>
            </w:tcBorders>
            <w:shd w:val="clear" w:color="auto" w:fill="auto"/>
            <w:noWrap/>
            <w:hideMark/>
          </w:tcPr>
          <w:p w14:paraId="0C42E0F2" w14:textId="77777777" w:rsidR="00CE3C27" w:rsidRPr="009B43C9" w:rsidRDefault="00CE3C27" w:rsidP="00CE3C27">
            <w:pPr>
              <w:rPr>
                <w:rFonts w:ascii="Calibri" w:hAnsi="Calibri" w:cs="Calibri"/>
                <w:color w:val="000000"/>
                <w:sz w:val="17"/>
                <w:szCs w:val="17"/>
              </w:rPr>
            </w:pPr>
            <w:r w:rsidRPr="009B43C9">
              <w:rPr>
                <w:rFonts w:ascii="Calibri" w:hAnsi="Calibri" w:cs="Calibri"/>
                <w:color w:val="000000"/>
                <w:sz w:val="17"/>
                <w:szCs w:val="17"/>
              </w:rPr>
              <w:t>Agro-Pastoral Field School(s)</w:t>
            </w:r>
          </w:p>
        </w:tc>
      </w:tr>
      <w:tr w:rsidR="00CE3C27" w:rsidRPr="009B43C9" w14:paraId="1F58D760" w14:textId="77777777" w:rsidTr="000F2855">
        <w:tc>
          <w:tcPr>
            <w:tcW w:w="1620" w:type="dxa"/>
            <w:tcBorders>
              <w:top w:val="nil"/>
              <w:left w:val="nil"/>
              <w:bottom w:val="nil"/>
              <w:right w:val="nil"/>
            </w:tcBorders>
            <w:shd w:val="clear" w:color="auto" w:fill="auto"/>
            <w:noWrap/>
            <w:hideMark/>
          </w:tcPr>
          <w:p w14:paraId="637C65F3" w14:textId="77777777" w:rsidR="00CE3C27" w:rsidRPr="009B43C9" w:rsidRDefault="00CE3C27" w:rsidP="00CE3C27">
            <w:pPr>
              <w:rPr>
                <w:rFonts w:ascii="Calibri" w:hAnsi="Calibri" w:cs="Calibri"/>
                <w:color w:val="000000"/>
                <w:sz w:val="17"/>
                <w:szCs w:val="17"/>
              </w:rPr>
            </w:pPr>
            <w:r w:rsidRPr="009B43C9">
              <w:rPr>
                <w:rFonts w:ascii="Calibri" w:hAnsi="Calibri" w:cs="Calibri"/>
                <w:color w:val="000000"/>
                <w:sz w:val="17"/>
                <w:szCs w:val="17"/>
              </w:rPr>
              <w:t>ANR</w:t>
            </w:r>
          </w:p>
        </w:tc>
        <w:tc>
          <w:tcPr>
            <w:tcW w:w="7654" w:type="dxa"/>
            <w:tcBorders>
              <w:top w:val="nil"/>
              <w:left w:val="nil"/>
              <w:bottom w:val="nil"/>
              <w:right w:val="nil"/>
            </w:tcBorders>
            <w:shd w:val="clear" w:color="auto" w:fill="auto"/>
            <w:noWrap/>
            <w:hideMark/>
          </w:tcPr>
          <w:p w14:paraId="366016D6" w14:textId="77777777" w:rsidR="00CE3C27" w:rsidRPr="009B43C9" w:rsidRDefault="00CE3C27" w:rsidP="00CE3C27">
            <w:pPr>
              <w:rPr>
                <w:rFonts w:ascii="Calibri" w:hAnsi="Calibri" w:cs="Calibri"/>
                <w:color w:val="000000"/>
                <w:sz w:val="17"/>
                <w:szCs w:val="17"/>
              </w:rPr>
            </w:pPr>
            <w:r w:rsidRPr="009B43C9">
              <w:rPr>
                <w:rFonts w:ascii="Calibri" w:hAnsi="Calibri" w:cs="Calibri"/>
                <w:color w:val="000000"/>
                <w:sz w:val="17"/>
                <w:szCs w:val="17"/>
              </w:rPr>
              <w:t xml:space="preserve">Assisted Natural Regeneration </w:t>
            </w:r>
          </w:p>
        </w:tc>
      </w:tr>
      <w:tr w:rsidR="00CE3C27" w:rsidRPr="009B43C9" w14:paraId="49C5123D" w14:textId="77777777" w:rsidTr="000F2855">
        <w:tc>
          <w:tcPr>
            <w:tcW w:w="1620" w:type="dxa"/>
            <w:tcBorders>
              <w:top w:val="nil"/>
              <w:left w:val="nil"/>
              <w:bottom w:val="nil"/>
              <w:right w:val="nil"/>
            </w:tcBorders>
            <w:shd w:val="clear" w:color="auto" w:fill="auto"/>
            <w:noWrap/>
            <w:hideMark/>
          </w:tcPr>
          <w:p w14:paraId="2E4B4A3A" w14:textId="1BACB245" w:rsidR="00CE3C27" w:rsidRPr="009B43C9" w:rsidRDefault="00CE3C27" w:rsidP="00CE3C27">
            <w:pPr>
              <w:rPr>
                <w:rFonts w:ascii="Calibri" w:hAnsi="Calibri" w:cs="Calibri"/>
                <w:color w:val="000000"/>
                <w:sz w:val="17"/>
                <w:szCs w:val="17"/>
              </w:rPr>
            </w:pPr>
            <w:r w:rsidRPr="23356FAB">
              <w:rPr>
                <w:rFonts w:ascii="Calibri" w:hAnsi="Calibri" w:cs="Calibri"/>
                <w:color w:val="000000" w:themeColor="text1"/>
                <w:sz w:val="17"/>
                <w:szCs w:val="17"/>
              </w:rPr>
              <w:t>AO</w:t>
            </w:r>
            <w:r w:rsidR="23A123EF" w:rsidRPr="23356FAB">
              <w:rPr>
                <w:rFonts w:ascii="Calibri" w:hAnsi="Calibri" w:cs="Calibri"/>
                <w:color w:val="000000" w:themeColor="text1"/>
                <w:sz w:val="17"/>
                <w:szCs w:val="17"/>
              </w:rPr>
              <w:t>A</w:t>
            </w:r>
          </w:p>
        </w:tc>
        <w:tc>
          <w:tcPr>
            <w:tcW w:w="7654" w:type="dxa"/>
            <w:tcBorders>
              <w:top w:val="nil"/>
              <w:left w:val="nil"/>
              <w:bottom w:val="nil"/>
              <w:right w:val="nil"/>
            </w:tcBorders>
            <w:shd w:val="clear" w:color="auto" w:fill="auto"/>
            <w:noWrap/>
            <w:hideMark/>
          </w:tcPr>
          <w:p w14:paraId="196B706F" w14:textId="77777777" w:rsidR="00CE3C27" w:rsidRPr="009B43C9" w:rsidRDefault="00CE3C27" w:rsidP="00CE3C27">
            <w:pPr>
              <w:rPr>
                <w:rFonts w:ascii="Calibri" w:hAnsi="Calibri" w:cs="Calibri"/>
                <w:color w:val="000000"/>
                <w:sz w:val="17"/>
                <w:szCs w:val="17"/>
              </w:rPr>
            </w:pPr>
            <w:r w:rsidRPr="009B43C9">
              <w:rPr>
                <w:rFonts w:ascii="Calibri" w:hAnsi="Calibri" w:cs="Calibri"/>
                <w:color w:val="000000"/>
                <w:sz w:val="17"/>
                <w:szCs w:val="17"/>
              </w:rPr>
              <w:t>Angolan Kwanzas</w:t>
            </w:r>
          </w:p>
        </w:tc>
      </w:tr>
      <w:tr w:rsidR="00CE3C27" w:rsidRPr="009B43C9" w14:paraId="23BCC2E8" w14:textId="77777777" w:rsidTr="000F2855">
        <w:tc>
          <w:tcPr>
            <w:tcW w:w="1620" w:type="dxa"/>
            <w:tcBorders>
              <w:top w:val="nil"/>
              <w:left w:val="nil"/>
              <w:bottom w:val="nil"/>
              <w:right w:val="nil"/>
            </w:tcBorders>
            <w:shd w:val="clear" w:color="auto" w:fill="auto"/>
            <w:noWrap/>
            <w:hideMark/>
          </w:tcPr>
          <w:p w14:paraId="43EF2D51" w14:textId="77777777" w:rsidR="00CE3C27" w:rsidRPr="009B43C9" w:rsidRDefault="00CE3C27" w:rsidP="00CE3C27">
            <w:pPr>
              <w:rPr>
                <w:rFonts w:ascii="Calibri" w:hAnsi="Calibri" w:cs="Calibri"/>
                <w:color w:val="000000"/>
                <w:sz w:val="17"/>
                <w:szCs w:val="17"/>
              </w:rPr>
            </w:pPr>
            <w:r w:rsidRPr="009B43C9">
              <w:rPr>
                <w:rFonts w:ascii="Calibri" w:hAnsi="Calibri" w:cs="Calibri"/>
                <w:color w:val="000000"/>
                <w:sz w:val="17"/>
                <w:szCs w:val="17"/>
              </w:rPr>
              <w:t>ASAP</w:t>
            </w:r>
          </w:p>
        </w:tc>
        <w:tc>
          <w:tcPr>
            <w:tcW w:w="7654" w:type="dxa"/>
            <w:tcBorders>
              <w:top w:val="nil"/>
              <w:left w:val="nil"/>
              <w:bottom w:val="nil"/>
              <w:right w:val="nil"/>
            </w:tcBorders>
            <w:shd w:val="clear" w:color="auto" w:fill="auto"/>
            <w:noWrap/>
            <w:hideMark/>
          </w:tcPr>
          <w:p w14:paraId="49AA4242" w14:textId="77777777" w:rsidR="00CE3C27" w:rsidRPr="009B43C9" w:rsidRDefault="00CE3C27" w:rsidP="00CE3C27">
            <w:pPr>
              <w:rPr>
                <w:rFonts w:ascii="Calibri" w:hAnsi="Calibri" w:cs="Calibri"/>
                <w:color w:val="000000"/>
                <w:sz w:val="17"/>
                <w:szCs w:val="17"/>
              </w:rPr>
            </w:pPr>
            <w:r w:rsidRPr="009B43C9">
              <w:rPr>
                <w:rFonts w:ascii="Calibri" w:hAnsi="Calibri" w:cs="Calibri"/>
                <w:color w:val="000000"/>
                <w:sz w:val="17"/>
                <w:szCs w:val="17"/>
              </w:rPr>
              <w:t xml:space="preserve">Adaptation for Smallholder Agriculture Program </w:t>
            </w:r>
          </w:p>
        </w:tc>
      </w:tr>
      <w:tr w:rsidR="00CE3C27" w:rsidRPr="009B43C9" w14:paraId="2DD978B1" w14:textId="77777777" w:rsidTr="00A00D85">
        <w:trPr>
          <w:trHeight w:val="153"/>
        </w:trPr>
        <w:tc>
          <w:tcPr>
            <w:tcW w:w="1620" w:type="dxa"/>
            <w:tcBorders>
              <w:top w:val="nil"/>
              <w:left w:val="nil"/>
              <w:bottom w:val="nil"/>
              <w:right w:val="nil"/>
            </w:tcBorders>
            <w:shd w:val="clear" w:color="auto" w:fill="auto"/>
            <w:noWrap/>
            <w:hideMark/>
          </w:tcPr>
          <w:p w14:paraId="1B8E0B76" w14:textId="77777777" w:rsidR="00CE3C27" w:rsidRPr="009B43C9" w:rsidRDefault="00CE3C27" w:rsidP="00CE3C27">
            <w:pPr>
              <w:rPr>
                <w:rFonts w:ascii="Calibri" w:hAnsi="Calibri" w:cs="Calibri"/>
                <w:color w:val="000000"/>
                <w:sz w:val="17"/>
                <w:szCs w:val="17"/>
              </w:rPr>
            </w:pPr>
            <w:r w:rsidRPr="009B43C9">
              <w:rPr>
                <w:rFonts w:ascii="Calibri" w:hAnsi="Calibri" w:cs="Calibri"/>
                <w:color w:val="000000"/>
                <w:sz w:val="17"/>
                <w:szCs w:val="17"/>
              </w:rPr>
              <w:t>BaU</w:t>
            </w:r>
          </w:p>
        </w:tc>
        <w:tc>
          <w:tcPr>
            <w:tcW w:w="7654" w:type="dxa"/>
            <w:tcBorders>
              <w:top w:val="nil"/>
              <w:left w:val="nil"/>
              <w:bottom w:val="nil"/>
              <w:right w:val="nil"/>
            </w:tcBorders>
            <w:shd w:val="clear" w:color="auto" w:fill="auto"/>
            <w:noWrap/>
            <w:hideMark/>
          </w:tcPr>
          <w:p w14:paraId="335A64CA" w14:textId="77777777" w:rsidR="00CE3C27" w:rsidRPr="009B43C9" w:rsidRDefault="00CE3C27" w:rsidP="00CE3C27">
            <w:pPr>
              <w:rPr>
                <w:rFonts w:ascii="Calibri" w:hAnsi="Calibri" w:cs="Calibri"/>
                <w:color w:val="000000"/>
                <w:sz w:val="17"/>
                <w:szCs w:val="17"/>
              </w:rPr>
            </w:pPr>
            <w:r w:rsidRPr="009B43C9">
              <w:rPr>
                <w:rFonts w:ascii="Calibri" w:hAnsi="Calibri" w:cs="Calibri"/>
                <w:color w:val="000000"/>
                <w:sz w:val="17"/>
                <w:szCs w:val="17"/>
              </w:rPr>
              <w:t>Business as Usual</w:t>
            </w:r>
          </w:p>
        </w:tc>
      </w:tr>
      <w:tr w:rsidR="00CE3C27" w:rsidRPr="009B43C9" w14:paraId="322EE284" w14:textId="77777777" w:rsidTr="000F2855">
        <w:tc>
          <w:tcPr>
            <w:tcW w:w="1620" w:type="dxa"/>
            <w:tcBorders>
              <w:top w:val="nil"/>
              <w:left w:val="nil"/>
              <w:bottom w:val="nil"/>
              <w:right w:val="nil"/>
            </w:tcBorders>
            <w:shd w:val="clear" w:color="auto" w:fill="auto"/>
            <w:noWrap/>
            <w:hideMark/>
          </w:tcPr>
          <w:p w14:paraId="0AF7F9F1" w14:textId="77777777" w:rsidR="00CE3C27" w:rsidRPr="009B43C9" w:rsidRDefault="00CE3C27" w:rsidP="00CE3C27">
            <w:pPr>
              <w:rPr>
                <w:rFonts w:ascii="Calibri" w:hAnsi="Calibri" w:cs="Calibri"/>
                <w:color w:val="000000"/>
                <w:sz w:val="17"/>
                <w:szCs w:val="17"/>
              </w:rPr>
            </w:pPr>
            <w:r w:rsidRPr="009B43C9">
              <w:rPr>
                <w:rFonts w:ascii="Calibri" w:hAnsi="Calibri" w:cs="Calibri"/>
                <w:color w:val="000000"/>
                <w:sz w:val="17"/>
                <w:szCs w:val="17"/>
              </w:rPr>
              <w:t>BH</w:t>
            </w:r>
          </w:p>
        </w:tc>
        <w:tc>
          <w:tcPr>
            <w:tcW w:w="7654" w:type="dxa"/>
            <w:tcBorders>
              <w:top w:val="nil"/>
              <w:left w:val="nil"/>
              <w:bottom w:val="nil"/>
              <w:right w:val="nil"/>
            </w:tcBorders>
            <w:shd w:val="clear" w:color="auto" w:fill="auto"/>
            <w:noWrap/>
            <w:hideMark/>
          </w:tcPr>
          <w:p w14:paraId="663C4BA5" w14:textId="77777777" w:rsidR="00CE3C27" w:rsidRPr="009B43C9" w:rsidRDefault="00CE3C27" w:rsidP="00CE3C27">
            <w:pPr>
              <w:rPr>
                <w:rFonts w:ascii="Calibri" w:hAnsi="Calibri" w:cs="Calibri"/>
                <w:color w:val="000000"/>
                <w:sz w:val="17"/>
                <w:szCs w:val="17"/>
              </w:rPr>
            </w:pPr>
            <w:r w:rsidRPr="009B43C9">
              <w:rPr>
                <w:rFonts w:ascii="Calibri" w:hAnsi="Calibri" w:cs="Calibri"/>
                <w:color w:val="000000"/>
                <w:sz w:val="17"/>
                <w:szCs w:val="17"/>
              </w:rPr>
              <w:t>Budget Holder</w:t>
            </w:r>
          </w:p>
        </w:tc>
      </w:tr>
      <w:tr w:rsidR="00CE3C27" w:rsidRPr="009B43C9" w14:paraId="35356417" w14:textId="77777777" w:rsidTr="000F2855">
        <w:tc>
          <w:tcPr>
            <w:tcW w:w="1620" w:type="dxa"/>
            <w:tcBorders>
              <w:top w:val="nil"/>
              <w:left w:val="nil"/>
              <w:bottom w:val="nil"/>
              <w:right w:val="nil"/>
            </w:tcBorders>
            <w:shd w:val="clear" w:color="auto" w:fill="auto"/>
            <w:noWrap/>
            <w:hideMark/>
          </w:tcPr>
          <w:p w14:paraId="4BB4B92B" w14:textId="77777777" w:rsidR="00CE3C27" w:rsidRPr="009B43C9" w:rsidRDefault="00CE3C27" w:rsidP="00CE3C27">
            <w:pPr>
              <w:rPr>
                <w:rFonts w:ascii="Calibri" w:hAnsi="Calibri" w:cs="Calibri"/>
                <w:color w:val="000000"/>
                <w:sz w:val="17"/>
                <w:szCs w:val="17"/>
              </w:rPr>
            </w:pPr>
            <w:r w:rsidRPr="009B43C9">
              <w:rPr>
                <w:rFonts w:ascii="Calibri" w:hAnsi="Calibri" w:cs="Calibri"/>
                <w:color w:val="000000"/>
                <w:sz w:val="17"/>
                <w:szCs w:val="17"/>
              </w:rPr>
              <w:t>CA</w:t>
            </w:r>
          </w:p>
        </w:tc>
        <w:tc>
          <w:tcPr>
            <w:tcW w:w="7654" w:type="dxa"/>
            <w:tcBorders>
              <w:top w:val="nil"/>
              <w:left w:val="nil"/>
              <w:bottom w:val="nil"/>
              <w:right w:val="nil"/>
            </w:tcBorders>
            <w:shd w:val="clear" w:color="auto" w:fill="auto"/>
            <w:noWrap/>
            <w:hideMark/>
          </w:tcPr>
          <w:p w14:paraId="6F3090F1" w14:textId="77777777" w:rsidR="00CE3C27" w:rsidRPr="009B43C9" w:rsidRDefault="00CE3C27" w:rsidP="00CE3C27">
            <w:pPr>
              <w:rPr>
                <w:rFonts w:ascii="Calibri" w:hAnsi="Calibri" w:cs="Calibri"/>
                <w:color w:val="000000"/>
                <w:sz w:val="17"/>
                <w:szCs w:val="17"/>
              </w:rPr>
            </w:pPr>
            <w:r w:rsidRPr="009B43C9">
              <w:rPr>
                <w:rFonts w:ascii="Calibri" w:hAnsi="Calibri" w:cs="Calibri"/>
                <w:color w:val="000000"/>
                <w:sz w:val="17"/>
                <w:szCs w:val="17"/>
              </w:rPr>
              <w:t xml:space="preserve">Conservation Agriculture </w:t>
            </w:r>
          </w:p>
        </w:tc>
      </w:tr>
      <w:tr w:rsidR="00CE3C27" w:rsidRPr="009B43C9" w14:paraId="532291FE" w14:textId="77777777" w:rsidTr="000F2855">
        <w:tc>
          <w:tcPr>
            <w:tcW w:w="1620" w:type="dxa"/>
            <w:tcBorders>
              <w:top w:val="nil"/>
              <w:left w:val="nil"/>
              <w:bottom w:val="nil"/>
              <w:right w:val="nil"/>
            </w:tcBorders>
            <w:shd w:val="clear" w:color="auto" w:fill="auto"/>
            <w:noWrap/>
            <w:hideMark/>
          </w:tcPr>
          <w:p w14:paraId="5C4D879E" w14:textId="77777777" w:rsidR="00CE3C27" w:rsidRPr="009B43C9" w:rsidRDefault="00CE3C27" w:rsidP="00CE3C27">
            <w:pPr>
              <w:rPr>
                <w:rFonts w:ascii="Calibri" w:hAnsi="Calibri" w:cs="Calibri"/>
                <w:color w:val="000000"/>
                <w:sz w:val="17"/>
                <w:szCs w:val="17"/>
              </w:rPr>
            </w:pPr>
            <w:r w:rsidRPr="009B43C9">
              <w:rPr>
                <w:rFonts w:ascii="Calibri" w:hAnsi="Calibri" w:cs="Calibri"/>
                <w:color w:val="000000"/>
                <w:sz w:val="17"/>
                <w:szCs w:val="17"/>
              </w:rPr>
              <w:t>CACS</w:t>
            </w:r>
          </w:p>
        </w:tc>
        <w:tc>
          <w:tcPr>
            <w:tcW w:w="7654" w:type="dxa"/>
            <w:tcBorders>
              <w:top w:val="nil"/>
              <w:left w:val="nil"/>
              <w:bottom w:val="nil"/>
              <w:right w:val="nil"/>
            </w:tcBorders>
            <w:shd w:val="clear" w:color="auto" w:fill="auto"/>
            <w:noWrap/>
            <w:hideMark/>
          </w:tcPr>
          <w:p w14:paraId="25589A42" w14:textId="77777777" w:rsidR="00CE3C27" w:rsidRPr="009B43C9" w:rsidRDefault="00CE3C27" w:rsidP="00CE3C27">
            <w:pPr>
              <w:rPr>
                <w:rFonts w:ascii="Calibri" w:hAnsi="Calibri" w:cs="Calibri"/>
                <w:color w:val="000000"/>
                <w:sz w:val="17"/>
                <w:szCs w:val="17"/>
              </w:rPr>
            </w:pPr>
            <w:r w:rsidRPr="009B43C9">
              <w:rPr>
                <w:rFonts w:ascii="Calibri" w:hAnsi="Calibri" w:cs="Calibri"/>
                <w:color w:val="000000"/>
                <w:sz w:val="17"/>
                <w:szCs w:val="17"/>
              </w:rPr>
              <w:t>Council for Social Consultation and Concertation</w:t>
            </w:r>
          </w:p>
        </w:tc>
      </w:tr>
      <w:tr w:rsidR="00CE3C27" w:rsidRPr="009B43C9" w14:paraId="23D4420F" w14:textId="77777777" w:rsidTr="000F2855">
        <w:tc>
          <w:tcPr>
            <w:tcW w:w="1620" w:type="dxa"/>
            <w:tcBorders>
              <w:top w:val="nil"/>
              <w:left w:val="nil"/>
              <w:bottom w:val="nil"/>
              <w:right w:val="nil"/>
            </w:tcBorders>
            <w:shd w:val="clear" w:color="auto" w:fill="auto"/>
            <w:noWrap/>
            <w:hideMark/>
          </w:tcPr>
          <w:p w14:paraId="7047AA11" w14:textId="60FD35F0" w:rsidR="00CE3C27" w:rsidRPr="009B43C9" w:rsidRDefault="423E345F" w:rsidP="00CE3C27">
            <w:pPr>
              <w:rPr>
                <w:rFonts w:ascii="Calibri" w:hAnsi="Calibri" w:cs="Calibri"/>
                <w:color w:val="000000"/>
                <w:sz w:val="17"/>
                <w:szCs w:val="17"/>
              </w:rPr>
            </w:pPr>
            <w:r w:rsidRPr="4D10DE74">
              <w:rPr>
                <w:rFonts w:ascii="Calibri" w:hAnsi="Calibri" w:cs="Calibri"/>
                <w:color w:val="000000" w:themeColor="text1"/>
                <w:sz w:val="17"/>
                <w:szCs w:val="17"/>
              </w:rPr>
              <w:t>C</w:t>
            </w:r>
            <w:r w:rsidR="7F6D382D" w:rsidRPr="4D10DE74">
              <w:rPr>
                <w:rFonts w:ascii="Calibri" w:hAnsi="Calibri" w:cs="Calibri"/>
                <w:color w:val="000000" w:themeColor="text1"/>
                <w:sz w:val="17"/>
                <w:szCs w:val="17"/>
              </w:rPr>
              <w:t>N</w:t>
            </w:r>
            <w:r w:rsidRPr="4D10DE74">
              <w:rPr>
                <w:rFonts w:ascii="Calibri" w:hAnsi="Calibri" w:cs="Calibri"/>
                <w:color w:val="000000" w:themeColor="text1"/>
                <w:sz w:val="17"/>
                <w:szCs w:val="17"/>
              </w:rPr>
              <w:t>A</w:t>
            </w:r>
          </w:p>
        </w:tc>
        <w:tc>
          <w:tcPr>
            <w:tcW w:w="7654" w:type="dxa"/>
            <w:tcBorders>
              <w:top w:val="nil"/>
              <w:left w:val="nil"/>
              <w:bottom w:val="nil"/>
              <w:right w:val="nil"/>
            </w:tcBorders>
            <w:shd w:val="clear" w:color="auto" w:fill="auto"/>
            <w:noWrap/>
            <w:hideMark/>
          </w:tcPr>
          <w:p w14:paraId="0854447E" w14:textId="77777777" w:rsidR="00CE3C27" w:rsidRPr="009B43C9" w:rsidRDefault="00CE3C27" w:rsidP="00CE3C27">
            <w:pPr>
              <w:rPr>
                <w:rFonts w:ascii="Calibri" w:hAnsi="Calibri" w:cs="Calibri"/>
                <w:color w:val="000000"/>
                <w:sz w:val="17"/>
                <w:szCs w:val="17"/>
              </w:rPr>
            </w:pPr>
            <w:r w:rsidRPr="009B43C9">
              <w:rPr>
                <w:rFonts w:ascii="Calibri" w:hAnsi="Calibri" w:cs="Calibri"/>
                <w:color w:val="000000"/>
                <w:sz w:val="17"/>
                <w:szCs w:val="17"/>
              </w:rPr>
              <w:t>Capacity Needs Assessment</w:t>
            </w:r>
          </w:p>
        </w:tc>
      </w:tr>
      <w:tr w:rsidR="00CE3C27" w:rsidRPr="009B43C9" w14:paraId="05AE9663" w14:textId="77777777" w:rsidTr="000F2855">
        <w:tc>
          <w:tcPr>
            <w:tcW w:w="1620" w:type="dxa"/>
            <w:tcBorders>
              <w:top w:val="nil"/>
              <w:left w:val="nil"/>
              <w:bottom w:val="nil"/>
              <w:right w:val="nil"/>
            </w:tcBorders>
            <w:shd w:val="clear" w:color="auto" w:fill="auto"/>
            <w:noWrap/>
            <w:hideMark/>
          </w:tcPr>
          <w:p w14:paraId="20F6FA57" w14:textId="77777777" w:rsidR="00CE3C27" w:rsidRPr="009B43C9" w:rsidRDefault="00CE3C27" w:rsidP="00CE3C27">
            <w:pPr>
              <w:rPr>
                <w:rFonts w:ascii="Calibri" w:hAnsi="Calibri" w:cs="Calibri"/>
                <w:color w:val="000000"/>
                <w:sz w:val="17"/>
                <w:szCs w:val="17"/>
              </w:rPr>
            </w:pPr>
            <w:r w:rsidRPr="009B43C9">
              <w:rPr>
                <w:rFonts w:ascii="Calibri" w:hAnsi="Calibri" w:cs="Calibri"/>
                <w:color w:val="000000"/>
                <w:sz w:val="17"/>
                <w:szCs w:val="17"/>
              </w:rPr>
              <w:t>CBFM</w:t>
            </w:r>
          </w:p>
        </w:tc>
        <w:tc>
          <w:tcPr>
            <w:tcW w:w="7654" w:type="dxa"/>
            <w:tcBorders>
              <w:top w:val="nil"/>
              <w:left w:val="nil"/>
              <w:bottom w:val="nil"/>
              <w:right w:val="nil"/>
            </w:tcBorders>
            <w:shd w:val="clear" w:color="auto" w:fill="auto"/>
            <w:noWrap/>
            <w:hideMark/>
          </w:tcPr>
          <w:p w14:paraId="3DEE9A9F" w14:textId="77777777" w:rsidR="00CE3C27" w:rsidRPr="009B43C9" w:rsidRDefault="00CE3C27" w:rsidP="00CE3C27">
            <w:pPr>
              <w:rPr>
                <w:rFonts w:ascii="Calibri" w:hAnsi="Calibri" w:cs="Calibri"/>
                <w:color w:val="000000"/>
                <w:sz w:val="17"/>
                <w:szCs w:val="17"/>
              </w:rPr>
            </w:pPr>
            <w:r w:rsidRPr="009B43C9">
              <w:rPr>
                <w:rFonts w:ascii="Calibri" w:hAnsi="Calibri" w:cs="Calibri"/>
                <w:color w:val="000000"/>
                <w:sz w:val="17"/>
                <w:szCs w:val="17"/>
              </w:rPr>
              <w:t xml:space="preserve">Community-based Forest Management </w:t>
            </w:r>
          </w:p>
        </w:tc>
      </w:tr>
      <w:tr w:rsidR="00CE3C27" w:rsidRPr="009B43C9" w14:paraId="0D8A20AC" w14:textId="77777777" w:rsidTr="000F2855">
        <w:tc>
          <w:tcPr>
            <w:tcW w:w="1620" w:type="dxa"/>
            <w:tcBorders>
              <w:top w:val="nil"/>
              <w:left w:val="nil"/>
              <w:bottom w:val="nil"/>
              <w:right w:val="nil"/>
            </w:tcBorders>
            <w:shd w:val="clear" w:color="auto" w:fill="auto"/>
            <w:noWrap/>
            <w:hideMark/>
          </w:tcPr>
          <w:p w14:paraId="15CC1887" w14:textId="77777777" w:rsidR="00CE3C27" w:rsidRPr="009B43C9" w:rsidRDefault="00CE3C27" w:rsidP="00CE3C27">
            <w:pPr>
              <w:rPr>
                <w:rFonts w:ascii="Calibri" w:hAnsi="Calibri" w:cs="Calibri"/>
                <w:color w:val="000000"/>
                <w:sz w:val="17"/>
                <w:szCs w:val="17"/>
              </w:rPr>
            </w:pPr>
            <w:r w:rsidRPr="009B43C9">
              <w:rPr>
                <w:rFonts w:ascii="Calibri" w:hAnsi="Calibri" w:cs="Calibri"/>
                <w:color w:val="000000"/>
                <w:sz w:val="17"/>
                <w:szCs w:val="17"/>
              </w:rPr>
              <w:t>CBNRM</w:t>
            </w:r>
          </w:p>
        </w:tc>
        <w:tc>
          <w:tcPr>
            <w:tcW w:w="7654" w:type="dxa"/>
            <w:tcBorders>
              <w:top w:val="nil"/>
              <w:left w:val="nil"/>
              <w:bottom w:val="nil"/>
              <w:right w:val="nil"/>
            </w:tcBorders>
            <w:shd w:val="clear" w:color="auto" w:fill="auto"/>
            <w:noWrap/>
            <w:hideMark/>
          </w:tcPr>
          <w:p w14:paraId="51D5AE3C" w14:textId="77777777" w:rsidR="00CE3C27" w:rsidRPr="009B43C9" w:rsidRDefault="00CE3C27" w:rsidP="00CE3C27">
            <w:pPr>
              <w:rPr>
                <w:rFonts w:ascii="Calibri" w:hAnsi="Calibri" w:cs="Calibri"/>
                <w:color w:val="000000"/>
                <w:sz w:val="17"/>
                <w:szCs w:val="17"/>
              </w:rPr>
            </w:pPr>
            <w:r w:rsidRPr="009B43C9">
              <w:rPr>
                <w:rFonts w:ascii="Calibri" w:hAnsi="Calibri" w:cs="Calibri"/>
                <w:color w:val="000000"/>
                <w:sz w:val="17"/>
                <w:szCs w:val="17"/>
              </w:rPr>
              <w:t xml:space="preserve">Community-Based Natural Resource Management </w:t>
            </w:r>
          </w:p>
        </w:tc>
      </w:tr>
      <w:tr w:rsidR="000D15ED" w:rsidRPr="009B43C9" w14:paraId="414DCC37" w14:textId="77777777" w:rsidTr="000F2855">
        <w:tc>
          <w:tcPr>
            <w:tcW w:w="1620" w:type="dxa"/>
            <w:tcBorders>
              <w:top w:val="nil"/>
              <w:left w:val="nil"/>
              <w:bottom w:val="nil"/>
              <w:right w:val="nil"/>
            </w:tcBorders>
            <w:shd w:val="clear" w:color="auto" w:fill="auto"/>
            <w:noWrap/>
          </w:tcPr>
          <w:p w14:paraId="595E7BBC" w14:textId="2204758A" w:rsidR="000D15ED" w:rsidRPr="009B43C9" w:rsidRDefault="000D15ED" w:rsidP="00CE3C27">
            <w:pPr>
              <w:rPr>
                <w:rFonts w:ascii="Calibri" w:hAnsi="Calibri" w:cs="Calibri"/>
                <w:color w:val="000000"/>
                <w:sz w:val="17"/>
                <w:szCs w:val="17"/>
              </w:rPr>
            </w:pPr>
            <w:r w:rsidRPr="009B43C9">
              <w:rPr>
                <w:rFonts w:ascii="Calibri" w:hAnsi="Calibri" w:cs="Calibri"/>
                <w:color w:val="000000"/>
                <w:sz w:val="17"/>
                <w:szCs w:val="17"/>
              </w:rPr>
              <w:t>CC(M)</w:t>
            </w:r>
          </w:p>
        </w:tc>
        <w:tc>
          <w:tcPr>
            <w:tcW w:w="7654" w:type="dxa"/>
            <w:tcBorders>
              <w:top w:val="nil"/>
              <w:left w:val="nil"/>
              <w:bottom w:val="nil"/>
              <w:right w:val="nil"/>
            </w:tcBorders>
            <w:shd w:val="clear" w:color="auto" w:fill="auto"/>
            <w:noWrap/>
          </w:tcPr>
          <w:p w14:paraId="18BDB823" w14:textId="6B1459D8" w:rsidR="000D15ED" w:rsidRPr="009B43C9" w:rsidRDefault="000D15ED" w:rsidP="00CE3C27">
            <w:pPr>
              <w:rPr>
                <w:rFonts w:ascii="Calibri" w:hAnsi="Calibri" w:cs="Calibri"/>
                <w:color w:val="000000"/>
                <w:sz w:val="17"/>
                <w:szCs w:val="17"/>
              </w:rPr>
            </w:pPr>
            <w:r w:rsidRPr="009B43C9">
              <w:rPr>
                <w:rFonts w:ascii="Calibri" w:hAnsi="Calibri" w:cs="Calibri"/>
                <w:color w:val="000000"/>
                <w:sz w:val="17"/>
                <w:szCs w:val="17"/>
              </w:rPr>
              <w:t>Climate Change (Mitigation)</w:t>
            </w:r>
          </w:p>
        </w:tc>
      </w:tr>
      <w:tr w:rsidR="00D47DE5" w:rsidRPr="009B43C9" w14:paraId="4E63BFD4" w14:textId="77777777" w:rsidTr="000F2855">
        <w:tc>
          <w:tcPr>
            <w:tcW w:w="1620" w:type="dxa"/>
            <w:tcBorders>
              <w:top w:val="nil"/>
              <w:left w:val="nil"/>
              <w:bottom w:val="nil"/>
              <w:right w:val="nil"/>
            </w:tcBorders>
            <w:shd w:val="clear" w:color="auto" w:fill="auto"/>
            <w:noWrap/>
          </w:tcPr>
          <w:p w14:paraId="5944AB04" w14:textId="66688549" w:rsidR="00D47DE5" w:rsidRPr="009B43C9" w:rsidRDefault="00D47DE5" w:rsidP="00CE3C27">
            <w:pPr>
              <w:rPr>
                <w:rFonts w:ascii="Calibri" w:hAnsi="Calibri" w:cs="Calibri"/>
                <w:color w:val="000000"/>
                <w:sz w:val="17"/>
                <w:szCs w:val="17"/>
              </w:rPr>
            </w:pPr>
            <w:r>
              <w:rPr>
                <w:rFonts w:ascii="Calibri" w:hAnsi="Calibri" w:cs="Calibri"/>
                <w:color w:val="000000"/>
                <w:sz w:val="17"/>
                <w:szCs w:val="17"/>
              </w:rPr>
              <w:t>CDM</w:t>
            </w:r>
          </w:p>
        </w:tc>
        <w:tc>
          <w:tcPr>
            <w:tcW w:w="7654" w:type="dxa"/>
            <w:tcBorders>
              <w:top w:val="nil"/>
              <w:left w:val="nil"/>
              <w:bottom w:val="nil"/>
              <w:right w:val="nil"/>
            </w:tcBorders>
            <w:shd w:val="clear" w:color="auto" w:fill="auto"/>
            <w:noWrap/>
          </w:tcPr>
          <w:p w14:paraId="3A61A0D4" w14:textId="4A9487E2" w:rsidR="00D47DE5" w:rsidRPr="009B43C9" w:rsidRDefault="00D47DE5" w:rsidP="00CE3C27">
            <w:pPr>
              <w:rPr>
                <w:rFonts w:ascii="Calibri" w:hAnsi="Calibri" w:cs="Calibri"/>
                <w:color w:val="000000"/>
                <w:sz w:val="17"/>
                <w:szCs w:val="17"/>
              </w:rPr>
            </w:pPr>
            <w:r>
              <w:rPr>
                <w:rFonts w:ascii="Calibri" w:hAnsi="Calibri" w:cs="Calibri"/>
                <w:color w:val="000000"/>
                <w:sz w:val="17"/>
                <w:szCs w:val="17"/>
              </w:rPr>
              <w:t>Clean Development Mechanism (UNFCCC – Kyoto Protocol)</w:t>
            </w:r>
          </w:p>
        </w:tc>
      </w:tr>
      <w:tr w:rsidR="00CE3C27" w:rsidRPr="009B43C9" w14:paraId="1B976B4A" w14:textId="77777777" w:rsidTr="000F2855">
        <w:tc>
          <w:tcPr>
            <w:tcW w:w="1620" w:type="dxa"/>
            <w:tcBorders>
              <w:top w:val="nil"/>
              <w:left w:val="nil"/>
              <w:bottom w:val="nil"/>
              <w:right w:val="nil"/>
            </w:tcBorders>
            <w:shd w:val="clear" w:color="auto" w:fill="auto"/>
            <w:noWrap/>
            <w:hideMark/>
          </w:tcPr>
          <w:p w14:paraId="0714170B" w14:textId="77777777" w:rsidR="00CE3C27" w:rsidRPr="009B43C9" w:rsidRDefault="00CE3C27" w:rsidP="00CE3C27">
            <w:pPr>
              <w:rPr>
                <w:rFonts w:ascii="Calibri" w:hAnsi="Calibri" w:cs="Calibri"/>
                <w:color w:val="000000"/>
                <w:sz w:val="17"/>
                <w:szCs w:val="17"/>
              </w:rPr>
            </w:pPr>
            <w:r w:rsidRPr="009B43C9">
              <w:rPr>
                <w:rFonts w:ascii="Calibri" w:hAnsi="Calibri" w:cs="Calibri"/>
                <w:color w:val="000000"/>
                <w:sz w:val="17"/>
                <w:szCs w:val="17"/>
              </w:rPr>
              <w:t>CMA</w:t>
            </w:r>
          </w:p>
        </w:tc>
        <w:tc>
          <w:tcPr>
            <w:tcW w:w="7654" w:type="dxa"/>
            <w:tcBorders>
              <w:top w:val="nil"/>
              <w:left w:val="nil"/>
              <w:bottom w:val="nil"/>
              <w:right w:val="nil"/>
            </w:tcBorders>
            <w:shd w:val="clear" w:color="auto" w:fill="auto"/>
            <w:noWrap/>
            <w:hideMark/>
          </w:tcPr>
          <w:p w14:paraId="28C4A916" w14:textId="77777777" w:rsidR="00CE3C27" w:rsidRPr="009B43C9" w:rsidRDefault="00CE3C27" w:rsidP="00CE3C27">
            <w:pPr>
              <w:rPr>
                <w:rFonts w:ascii="Calibri" w:hAnsi="Calibri" w:cs="Calibri"/>
                <w:color w:val="000000"/>
                <w:sz w:val="17"/>
                <w:szCs w:val="17"/>
              </w:rPr>
            </w:pPr>
            <w:r w:rsidRPr="009B43C9">
              <w:rPr>
                <w:rFonts w:ascii="Calibri" w:hAnsi="Calibri" w:cs="Calibri"/>
                <w:color w:val="000000"/>
                <w:sz w:val="17"/>
                <w:szCs w:val="17"/>
              </w:rPr>
              <w:t xml:space="preserve">Multisectoral Commission for the Environment </w:t>
            </w:r>
          </w:p>
        </w:tc>
      </w:tr>
      <w:tr w:rsidR="00CE3C27" w:rsidRPr="009B43C9" w14:paraId="41A87465" w14:textId="77777777" w:rsidTr="000F2855">
        <w:tc>
          <w:tcPr>
            <w:tcW w:w="1620" w:type="dxa"/>
            <w:tcBorders>
              <w:top w:val="nil"/>
              <w:left w:val="nil"/>
              <w:bottom w:val="nil"/>
              <w:right w:val="nil"/>
            </w:tcBorders>
            <w:shd w:val="clear" w:color="auto" w:fill="auto"/>
            <w:noWrap/>
            <w:hideMark/>
          </w:tcPr>
          <w:p w14:paraId="1AFBB580" w14:textId="77777777" w:rsidR="00CE3C27" w:rsidRPr="009B43C9" w:rsidRDefault="00CE3C27" w:rsidP="00CE3C27">
            <w:pPr>
              <w:rPr>
                <w:rFonts w:ascii="Calibri" w:hAnsi="Calibri" w:cs="Calibri"/>
                <w:color w:val="000000"/>
                <w:sz w:val="17"/>
                <w:szCs w:val="17"/>
              </w:rPr>
            </w:pPr>
            <w:r w:rsidRPr="009B43C9">
              <w:rPr>
                <w:rFonts w:ascii="Calibri" w:hAnsi="Calibri" w:cs="Calibri"/>
                <w:color w:val="000000"/>
                <w:sz w:val="17"/>
                <w:szCs w:val="17"/>
              </w:rPr>
              <w:t>COVID-19</w:t>
            </w:r>
          </w:p>
        </w:tc>
        <w:tc>
          <w:tcPr>
            <w:tcW w:w="7654" w:type="dxa"/>
            <w:tcBorders>
              <w:top w:val="nil"/>
              <w:left w:val="nil"/>
              <w:bottom w:val="nil"/>
              <w:right w:val="nil"/>
            </w:tcBorders>
            <w:shd w:val="clear" w:color="auto" w:fill="auto"/>
            <w:noWrap/>
            <w:hideMark/>
          </w:tcPr>
          <w:p w14:paraId="456EAB25" w14:textId="77777777" w:rsidR="00CE3C27" w:rsidRPr="009B43C9" w:rsidRDefault="00CE3C27" w:rsidP="00CE3C27">
            <w:pPr>
              <w:rPr>
                <w:rFonts w:ascii="Calibri" w:hAnsi="Calibri" w:cs="Calibri"/>
                <w:color w:val="000000"/>
                <w:sz w:val="17"/>
                <w:szCs w:val="17"/>
              </w:rPr>
            </w:pPr>
            <w:r w:rsidRPr="009B43C9">
              <w:rPr>
                <w:rFonts w:ascii="Calibri" w:hAnsi="Calibri" w:cs="Calibri"/>
                <w:color w:val="000000"/>
                <w:sz w:val="17"/>
                <w:szCs w:val="17"/>
              </w:rPr>
              <w:t>Corona Virus Disease 2019</w:t>
            </w:r>
          </w:p>
        </w:tc>
      </w:tr>
      <w:tr w:rsidR="00CE3C27" w:rsidRPr="009B43C9" w14:paraId="71F5A618" w14:textId="77777777" w:rsidTr="000F2855">
        <w:tc>
          <w:tcPr>
            <w:tcW w:w="1620" w:type="dxa"/>
            <w:tcBorders>
              <w:top w:val="nil"/>
              <w:left w:val="nil"/>
              <w:bottom w:val="nil"/>
              <w:right w:val="nil"/>
            </w:tcBorders>
            <w:shd w:val="clear" w:color="auto" w:fill="auto"/>
            <w:noWrap/>
            <w:hideMark/>
          </w:tcPr>
          <w:p w14:paraId="76862B3E" w14:textId="77777777" w:rsidR="00CE3C27" w:rsidRPr="009B43C9" w:rsidRDefault="00CE3C27" w:rsidP="00CE3C27">
            <w:pPr>
              <w:rPr>
                <w:rFonts w:ascii="Calibri" w:hAnsi="Calibri" w:cs="Calibri"/>
                <w:color w:val="000000"/>
                <w:sz w:val="17"/>
                <w:szCs w:val="17"/>
              </w:rPr>
            </w:pPr>
            <w:r w:rsidRPr="009B43C9">
              <w:rPr>
                <w:rFonts w:ascii="Calibri" w:hAnsi="Calibri" w:cs="Calibri"/>
                <w:color w:val="000000"/>
                <w:sz w:val="17"/>
                <w:szCs w:val="17"/>
              </w:rPr>
              <w:t>CRA</w:t>
            </w:r>
          </w:p>
        </w:tc>
        <w:tc>
          <w:tcPr>
            <w:tcW w:w="7654" w:type="dxa"/>
            <w:tcBorders>
              <w:top w:val="nil"/>
              <w:left w:val="nil"/>
              <w:bottom w:val="nil"/>
              <w:right w:val="nil"/>
            </w:tcBorders>
            <w:shd w:val="clear" w:color="auto" w:fill="auto"/>
            <w:noWrap/>
            <w:hideMark/>
          </w:tcPr>
          <w:p w14:paraId="1435E096" w14:textId="77777777" w:rsidR="00CE3C27" w:rsidRPr="009B43C9" w:rsidRDefault="00CE3C27" w:rsidP="00CE3C27">
            <w:pPr>
              <w:rPr>
                <w:rFonts w:ascii="Calibri" w:hAnsi="Calibri" w:cs="Calibri"/>
                <w:color w:val="000000"/>
                <w:sz w:val="17"/>
                <w:szCs w:val="17"/>
              </w:rPr>
            </w:pPr>
            <w:r w:rsidRPr="009B43C9">
              <w:rPr>
                <w:rFonts w:ascii="Calibri" w:hAnsi="Calibri" w:cs="Calibri"/>
                <w:color w:val="000000"/>
                <w:sz w:val="17"/>
                <w:szCs w:val="17"/>
              </w:rPr>
              <w:t xml:space="preserve">Climate Risk Assessment </w:t>
            </w:r>
          </w:p>
        </w:tc>
      </w:tr>
      <w:tr w:rsidR="00CE3C27" w:rsidRPr="009B43C9" w14:paraId="3047A2D0" w14:textId="77777777" w:rsidTr="000F2855">
        <w:tc>
          <w:tcPr>
            <w:tcW w:w="1620" w:type="dxa"/>
            <w:tcBorders>
              <w:top w:val="nil"/>
              <w:left w:val="nil"/>
              <w:bottom w:val="nil"/>
              <w:right w:val="nil"/>
            </w:tcBorders>
            <w:shd w:val="clear" w:color="auto" w:fill="auto"/>
            <w:noWrap/>
            <w:hideMark/>
          </w:tcPr>
          <w:p w14:paraId="77F1CB1F" w14:textId="77777777" w:rsidR="00CE3C27" w:rsidRPr="009B43C9" w:rsidRDefault="00CE3C27" w:rsidP="00CE3C27">
            <w:pPr>
              <w:rPr>
                <w:rFonts w:ascii="Calibri" w:hAnsi="Calibri" w:cs="Calibri"/>
                <w:color w:val="000000"/>
                <w:sz w:val="17"/>
                <w:szCs w:val="17"/>
              </w:rPr>
            </w:pPr>
            <w:r w:rsidRPr="009B43C9">
              <w:rPr>
                <w:rFonts w:ascii="Calibri" w:hAnsi="Calibri" w:cs="Calibri"/>
                <w:color w:val="000000"/>
                <w:sz w:val="17"/>
                <w:szCs w:val="17"/>
              </w:rPr>
              <w:t>CSA</w:t>
            </w:r>
          </w:p>
        </w:tc>
        <w:tc>
          <w:tcPr>
            <w:tcW w:w="7654" w:type="dxa"/>
            <w:tcBorders>
              <w:top w:val="nil"/>
              <w:left w:val="nil"/>
              <w:bottom w:val="nil"/>
              <w:right w:val="nil"/>
            </w:tcBorders>
            <w:shd w:val="clear" w:color="auto" w:fill="auto"/>
            <w:noWrap/>
            <w:hideMark/>
          </w:tcPr>
          <w:p w14:paraId="120A4D64" w14:textId="77777777" w:rsidR="00CE3C27" w:rsidRPr="009B43C9" w:rsidRDefault="00CE3C27" w:rsidP="00CE3C27">
            <w:pPr>
              <w:rPr>
                <w:rFonts w:ascii="Calibri" w:hAnsi="Calibri" w:cs="Calibri"/>
                <w:color w:val="000000"/>
                <w:sz w:val="17"/>
                <w:szCs w:val="17"/>
              </w:rPr>
            </w:pPr>
            <w:r w:rsidRPr="009B43C9">
              <w:rPr>
                <w:rFonts w:ascii="Calibri" w:hAnsi="Calibri" w:cs="Calibri"/>
                <w:color w:val="000000"/>
                <w:sz w:val="17"/>
                <w:szCs w:val="17"/>
              </w:rPr>
              <w:t xml:space="preserve">Climate Smart Agriculture </w:t>
            </w:r>
          </w:p>
        </w:tc>
      </w:tr>
      <w:tr w:rsidR="00CE3C27" w:rsidRPr="009B43C9" w14:paraId="05656768" w14:textId="77777777" w:rsidTr="000F2855">
        <w:tc>
          <w:tcPr>
            <w:tcW w:w="1620" w:type="dxa"/>
            <w:tcBorders>
              <w:top w:val="nil"/>
              <w:left w:val="nil"/>
              <w:bottom w:val="nil"/>
              <w:right w:val="nil"/>
            </w:tcBorders>
            <w:shd w:val="clear" w:color="auto" w:fill="auto"/>
            <w:noWrap/>
            <w:hideMark/>
          </w:tcPr>
          <w:p w14:paraId="473DC2DB" w14:textId="77777777" w:rsidR="00CE3C27" w:rsidRPr="009B43C9" w:rsidRDefault="00CE3C27" w:rsidP="00CE3C27">
            <w:pPr>
              <w:rPr>
                <w:rFonts w:ascii="Calibri" w:hAnsi="Calibri" w:cs="Calibri"/>
                <w:color w:val="000000"/>
                <w:sz w:val="17"/>
                <w:szCs w:val="17"/>
              </w:rPr>
            </w:pPr>
            <w:r w:rsidRPr="009B43C9">
              <w:rPr>
                <w:rFonts w:ascii="Calibri" w:hAnsi="Calibri" w:cs="Calibri"/>
                <w:color w:val="000000"/>
                <w:sz w:val="17"/>
                <w:szCs w:val="17"/>
              </w:rPr>
              <w:t>CSB(s)</w:t>
            </w:r>
          </w:p>
        </w:tc>
        <w:tc>
          <w:tcPr>
            <w:tcW w:w="7654" w:type="dxa"/>
            <w:tcBorders>
              <w:top w:val="nil"/>
              <w:left w:val="nil"/>
              <w:bottom w:val="nil"/>
              <w:right w:val="nil"/>
            </w:tcBorders>
            <w:shd w:val="clear" w:color="auto" w:fill="auto"/>
            <w:noWrap/>
            <w:hideMark/>
          </w:tcPr>
          <w:p w14:paraId="2769155D" w14:textId="77777777" w:rsidR="00CE3C27" w:rsidRPr="009B43C9" w:rsidRDefault="00CE3C27" w:rsidP="00CE3C27">
            <w:pPr>
              <w:rPr>
                <w:rFonts w:ascii="Calibri" w:hAnsi="Calibri" w:cs="Calibri"/>
                <w:color w:val="000000"/>
                <w:sz w:val="17"/>
                <w:szCs w:val="17"/>
              </w:rPr>
            </w:pPr>
            <w:r w:rsidRPr="009B43C9">
              <w:rPr>
                <w:rFonts w:ascii="Calibri" w:hAnsi="Calibri" w:cs="Calibri"/>
                <w:color w:val="000000"/>
                <w:sz w:val="17"/>
                <w:szCs w:val="17"/>
              </w:rPr>
              <w:t>Community Seed Bank(s)</w:t>
            </w:r>
          </w:p>
        </w:tc>
      </w:tr>
      <w:tr w:rsidR="00CE3C27" w:rsidRPr="009B43C9" w14:paraId="0083D803" w14:textId="77777777" w:rsidTr="000F2855">
        <w:tc>
          <w:tcPr>
            <w:tcW w:w="1620" w:type="dxa"/>
            <w:tcBorders>
              <w:top w:val="nil"/>
              <w:left w:val="nil"/>
              <w:bottom w:val="nil"/>
              <w:right w:val="nil"/>
            </w:tcBorders>
            <w:shd w:val="clear" w:color="auto" w:fill="auto"/>
            <w:noWrap/>
            <w:hideMark/>
          </w:tcPr>
          <w:p w14:paraId="1E3CB35C" w14:textId="77777777" w:rsidR="00CE3C27" w:rsidRPr="009B43C9" w:rsidRDefault="00CE3C27" w:rsidP="00CE3C27">
            <w:pPr>
              <w:rPr>
                <w:rFonts w:ascii="Calibri" w:hAnsi="Calibri" w:cs="Calibri"/>
                <w:color w:val="000000"/>
                <w:sz w:val="17"/>
                <w:szCs w:val="17"/>
              </w:rPr>
            </w:pPr>
            <w:r w:rsidRPr="009B43C9">
              <w:rPr>
                <w:rFonts w:ascii="Calibri" w:hAnsi="Calibri" w:cs="Calibri"/>
                <w:color w:val="000000"/>
                <w:sz w:val="17"/>
                <w:szCs w:val="17"/>
              </w:rPr>
              <w:t>CSR</w:t>
            </w:r>
          </w:p>
        </w:tc>
        <w:tc>
          <w:tcPr>
            <w:tcW w:w="7654" w:type="dxa"/>
            <w:tcBorders>
              <w:top w:val="nil"/>
              <w:left w:val="nil"/>
              <w:bottom w:val="nil"/>
              <w:right w:val="nil"/>
            </w:tcBorders>
            <w:shd w:val="clear" w:color="auto" w:fill="auto"/>
            <w:noWrap/>
            <w:hideMark/>
          </w:tcPr>
          <w:p w14:paraId="19B99B34" w14:textId="77777777" w:rsidR="00CE3C27" w:rsidRPr="009B43C9" w:rsidRDefault="00CE3C27" w:rsidP="00CE3C27">
            <w:pPr>
              <w:rPr>
                <w:rFonts w:ascii="Calibri" w:hAnsi="Calibri" w:cs="Calibri"/>
                <w:color w:val="000000"/>
                <w:sz w:val="17"/>
                <w:szCs w:val="17"/>
              </w:rPr>
            </w:pPr>
            <w:r w:rsidRPr="009B43C9">
              <w:rPr>
                <w:rFonts w:ascii="Calibri" w:hAnsi="Calibri" w:cs="Calibri"/>
                <w:color w:val="000000"/>
                <w:sz w:val="17"/>
                <w:szCs w:val="17"/>
              </w:rPr>
              <w:t>Corporate Social Responsibility</w:t>
            </w:r>
          </w:p>
        </w:tc>
      </w:tr>
      <w:tr w:rsidR="00CE3C27" w:rsidRPr="009B43C9" w14:paraId="520036B1" w14:textId="77777777" w:rsidTr="000F2855">
        <w:tc>
          <w:tcPr>
            <w:tcW w:w="1620" w:type="dxa"/>
            <w:tcBorders>
              <w:top w:val="nil"/>
              <w:left w:val="nil"/>
              <w:bottom w:val="nil"/>
              <w:right w:val="nil"/>
            </w:tcBorders>
            <w:shd w:val="clear" w:color="auto" w:fill="auto"/>
            <w:noWrap/>
            <w:hideMark/>
          </w:tcPr>
          <w:p w14:paraId="5D028E74" w14:textId="77777777" w:rsidR="00CE3C27" w:rsidRPr="009B43C9" w:rsidRDefault="00CE3C27" w:rsidP="00CE3C27">
            <w:pPr>
              <w:rPr>
                <w:rFonts w:ascii="Calibri" w:hAnsi="Calibri" w:cs="Calibri"/>
                <w:color w:val="000000"/>
                <w:sz w:val="17"/>
                <w:szCs w:val="17"/>
              </w:rPr>
            </w:pPr>
            <w:r w:rsidRPr="009B43C9">
              <w:rPr>
                <w:rFonts w:ascii="Calibri" w:hAnsi="Calibri" w:cs="Calibri"/>
                <w:color w:val="000000"/>
                <w:sz w:val="17"/>
                <w:szCs w:val="17"/>
              </w:rPr>
              <w:t>CTA</w:t>
            </w:r>
          </w:p>
        </w:tc>
        <w:tc>
          <w:tcPr>
            <w:tcW w:w="7654" w:type="dxa"/>
            <w:tcBorders>
              <w:top w:val="nil"/>
              <w:left w:val="nil"/>
              <w:bottom w:val="nil"/>
              <w:right w:val="nil"/>
            </w:tcBorders>
            <w:shd w:val="clear" w:color="auto" w:fill="auto"/>
            <w:noWrap/>
            <w:hideMark/>
          </w:tcPr>
          <w:p w14:paraId="461FEE27" w14:textId="77777777" w:rsidR="00CE3C27" w:rsidRPr="009B43C9" w:rsidRDefault="00CE3C27" w:rsidP="00CE3C27">
            <w:pPr>
              <w:rPr>
                <w:rFonts w:ascii="Calibri" w:hAnsi="Calibri" w:cs="Calibri"/>
                <w:color w:val="000000"/>
                <w:sz w:val="17"/>
                <w:szCs w:val="17"/>
              </w:rPr>
            </w:pPr>
            <w:r w:rsidRPr="009B43C9">
              <w:rPr>
                <w:rFonts w:ascii="Calibri" w:hAnsi="Calibri" w:cs="Calibri"/>
                <w:color w:val="000000"/>
                <w:sz w:val="17"/>
                <w:szCs w:val="17"/>
              </w:rPr>
              <w:t>Chief Technical Advisor</w:t>
            </w:r>
          </w:p>
        </w:tc>
      </w:tr>
      <w:tr w:rsidR="00CE3C27" w:rsidRPr="009B43C9" w14:paraId="2782FB75" w14:textId="77777777" w:rsidTr="000F2855">
        <w:tc>
          <w:tcPr>
            <w:tcW w:w="1620" w:type="dxa"/>
            <w:tcBorders>
              <w:top w:val="nil"/>
              <w:left w:val="nil"/>
              <w:bottom w:val="nil"/>
              <w:right w:val="nil"/>
            </w:tcBorders>
            <w:shd w:val="clear" w:color="auto" w:fill="auto"/>
            <w:noWrap/>
            <w:hideMark/>
          </w:tcPr>
          <w:p w14:paraId="6D3F0D0C" w14:textId="77777777" w:rsidR="00CE3C27" w:rsidRPr="009B43C9" w:rsidRDefault="00CE3C27" w:rsidP="00CE3C27">
            <w:pPr>
              <w:rPr>
                <w:rFonts w:ascii="Calibri" w:hAnsi="Calibri" w:cs="Calibri"/>
                <w:color w:val="000000"/>
                <w:sz w:val="17"/>
                <w:szCs w:val="17"/>
              </w:rPr>
            </w:pPr>
            <w:r w:rsidRPr="009B43C9">
              <w:rPr>
                <w:rFonts w:ascii="Calibri" w:hAnsi="Calibri" w:cs="Calibri"/>
                <w:color w:val="000000"/>
                <w:sz w:val="17"/>
                <w:szCs w:val="17"/>
              </w:rPr>
              <w:t>CUVECOM</w:t>
            </w:r>
          </w:p>
        </w:tc>
        <w:tc>
          <w:tcPr>
            <w:tcW w:w="7654" w:type="dxa"/>
            <w:tcBorders>
              <w:top w:val="nil"/>
              <w:left w:val="nil"/>
              <w:bottom w:val="nil"/>
              <w:right w:val="nil"/>
            </w:tcBorders>
            <w:shd w:val="clear" w:color="auto" w:fill="auto"/>
            <w:noWrap/>
            <w:hideMark/>
          </w:tcPr>
          <w:p w14:paraId="26E48304" w14:textId="77777777" w:rsidR="00CE3C27" w:rsidRPr="009B43C9" w:rsidRDefault="00CE3C27" w:rsidP="00CE3C27">
            <w:pPr>
              <w:rPr>
                <w:rFonts w:ascii="Calibri" w:hAnsi="Calibri" w:cs="Calibri"/>
                <w:color w:val="000000"/>
                <w:sz w:val="17"/>
                <w:szCs w:val="17"/>
              </w:rPr>
            </w:pPr>
            <w:r w:rsidRPr="009B43C9">
              <w:rPr>
                <w:rFonts w:ascii="Calibri" w:hAnsi="Calibri" w:cs="Calibri"/>
                <w:color w:val="000000"/>
                <w:sz w:val="17"/>
                <w:szCs w:val="17"/>
              </w:rPr>
              <w:t>Cuvelai River Basin Commission</w:t>
            </w:r>
          </w:p>
        </w:tc>
      </w:tr>
      <w:tr w:rsidR="00CE3C27" w:rsidRPr="009B43C9" w14:paraId="6E91FEEA" w14:textId="77777777" w:rsidTr="000F2855">
        <w:tc>
          <w:tcPr>
            <w:tcW w:w="1620" w:type="dxa"/>
            <w:tcBorders>
              <w:top w:val="nil"/>
              <w:left w:val="nil"/>
              <w:bottom w:val="nil"/>
              <w:right w:val="nil"/>
            </w:tcBorders>
            <w:shd w:val="clear" w:color="auto" w:fill="auto"/>
            <w:noWrap/>
            <w:hideMark/>
          </w:tcPr>
          <w:p w14:paraId="66F58A86" w14:textId="77777777" w:rsidR="00CE3C27" w:rsidRPr="009B43C9" w:rsidRDefault="00CE3C27" w:rsidP="00CE3C27">
            <w:pPr>
              <w:rPr>
                <w:rFonts w:ascii="Calibri" w:hAnsi="Calibri" w:cs="Calibri"/>
                <w:color w:val="000000"/>
                <w:sz w:val="17"/>
                <w:szCs w:val="17"/>
              </w:rPr>
            </w:pPr>
            <w:r w:rsidRPr="009B43C9">
              <w:rPr>
                <w:rFonts w:ascii="Calibri" w:hAnsi="Calibri" w:cs="Calibri"/>
                <w:color w:val="000000"/>
                <w:sz w:val="17"/>
                <w:szCs w:val="17"/>
              </w:rPr>
              <w:t>DLDD</w:t>
            </w:r>
          </w:p>
        </w:tc>
        <w:tc>
          <w:tcPr>
            <w:tcW w:w="7654" w:type="dxa"/>
            <w:tcBorders>
              <w:top w:val="nil"/>
              <w:left w:val="nil"/>
              <w:bottom w:val="nil"/>
              <w:right w:val="nil"/>
            </w:tcBorders>
            <w:shd w:val="clear" w:color="auto" w:fill="auto"/>
            <w:noWrap/>
            <w:hideMark/>
          </w:tcPr>
          <w:p w14:paraId="74D01A68" w14:textId="77777777" w:rsidR="00CE3C27" w:rsidRPr="009B43C9" w:rsidRDefault="00CE3C27" w:rsidP="00CE3C27">
            <w:pPr>
              <w:rPr>
                <w:rFonts w:ascii="Calibri" w:hAnsi="Calibri" w:cs="Calibri"/>
                <w:color w:val="000000"/>
                <w:sz w:val="17"/>
                <w:szCs w:val="17"/>
              </w:rPr>
            </w:pPr>
            <w:r w:rsidRPr="009B43C9">
              <w:rPr>
                <w:rFonts w:ascii="Calibri" w:hAnsi="Calibri" w:cs="Calibri"/>
                <w:color w:val="000000"/>
                <w:sz w:val="17"/>
                <w:szCs w:val="17"/>
              </w:rPr>
              <w:t>Desertification Land Degradation and Drought</w:t>
            </w:r>
          </w:p>
        </w:tc>
      </w:tr>
      <w:tr w:rsidR="00CE3C27" w:rsidRPr="009B43C9" w14:paraId="47760EB7" w14:textId="77777777" w:rsidTr="000F2855">
        <w:tc>
          <w:tcPr>
            <w:tcW w:w="1620" w:type="dxa"/>
            <w:tcBorders>
              <w:top w:val="nil"/>
              <w:left w:val="nil"/>
              <w:bottom w:val="nil"/>
              <w:right w:val="nil"/>
            </w:tcBorders>
            <w:shd w:val="clear" w:color="auto" w:fill="auto"/>
            <w:noWrap/>
            <w:hideMark/>
          </w:tcPr>
          <w:p w14:paraId="30833836" w14:textId="7320AD8A" w:rsidR="00CE3C27" w:rsidRPr="009B43C9" w:rsidRDefault="00CE3C27" w:rsidP="5A15F65A">
            <w:pPr>
              <w:rPr>
                <w:rFonts w:ascii="Calibri" w:hAnsi="Calibri" w:cs="Calibri"/>
                <w:color w:val="000000" w:themeColor="text1"/>
                <w:sz w:val="17"/>
                <w:szCs w:val="17"/>
              </w:rPr>
            </w:pPr>
            <w:r w:rsidRPr="5A15F65A">
              <w:rPr>
                <w:rFonts w:ascii="Calibri" w:hAnsi="Calibri" w:cs="Calibri"/>
                <w:color w:val="000000" w:themeColor="text1"/>
                <w:sz w:val="17"/>
                <w:szCs w:val="17"/>
              </w:rPr>
              <w:t>DNA</w:t>
            </w:r>
          </w:p>
          <w:p w14:paraId="71ED5004" w14:textId="7AFDD167" w:rsidR="00CE3C27" w:rsidRPr="009B43C9" w:rsidRDefault="6353F5D0" w:rsidP="00CE3C27">
            <w:pPr>
              <w:rPr>
                <w:rFonts w:ascii="Calibri" w:hAnsi="Calibri" w:cs="Calibri"/>
                <w:color w:val="000000"/>
                <w:sz w:val="17"/>
                <w:szCs w:val="17"/>
              </w:rPr>
            </w:pPr>
            <w:r w:rsidRPr="5A15F65A">
              <w:rPr>
                <w:rFonts w:ascii="Calibri" w:hAnsi="Calibri" w:cs="Calibri"/>
                <w:color w:val="000000" w:themeColor="text1"/>
                <w:sz w:val="17"/>
                <w:szCs w:val="17"/>
              </w:rPr>
              <w:t>DNAP</w:t>
            </w:r>
          </w:p>
        </w:tc>
        <w:tc>
          <w:tcPr>
            <w:tcW w:w="7654" w:type="dxa"/>
            <w:tcBorders>
              <w:top w:val="nil"/>
              <w:left w:val="nil"/>
              <w:bottom w:val="nil"/>
              <w:right w:val="nil"/>
            </w:tcBorders>
            <w:shd w:val="clear" w:color="auto" w:fill="auto"/>
            <w:noWrap/>
            <w:hideMark/>
          </w:tcPr>
          <w:p w14:paraId="11200E49" w14:textId="245413C1" w:rsidR="00CE3C27" w:rsidRPr="009B43C9" w:rsidRDefault="00CE3C27" w:rsidP="0744D5CF">
            <w:pPr>
              <w:rPr>
                <w:rFonts w:ascii="Calibri" w:hAnsi="Calibri" w:cs="Calibri"/>
                <w:color w:val="000000" w:themeColor="text1"/>
                <w:sz w:val="17"/>
                <w:szCs w:val="17"/>
              </w:rPr>
            </w:pPr>
            <w:r w:rsidRPr="0744D5CF">
              <w:rPr>
                <w:rFonts w:ascii="Calibri" w:hAnsi="Calibri" w:cs="Calibri"/>
                <w:color w:val="000000" w:themeColor="text1"/>
                <w:sz w:val="17"/>
                <w:szCs w:val="17"/>
              </w:rPr>
              <w:t>National Directorate for Waters</w:t>
            </w:r>
          </w:p>
          <w:p w14:paraId="382390C8" w14:textId="5461B96A" w:rsidR="00CE3C27" w:rsidRPr="009B43C9" w:rsidRDefault="3FAECC7D" w:rsidP="00CE3C27">
            <w:pPr>
              <w:rPr>
                <w:rFonts w:ascii="Calibri" w:hAnsi="Calibri" w:cs="Calibri"/>
                <w:color w:val="000000"/>
                <w:sz w:val="17"/>
                <w:szCs w:val="17"/>
              </w:rPr>
            </w:pPr>
            <w:r w:rsidRPr="0744D5CF">
              <w:rPr>
                <w:rFonts w:ascii="Calibri" w:hAnsi="Calibri" w:cs="Calibri"/>
                <w:color w:val="000000" w:themeColor="text1"/>
                <w:sz w:val="17"/>
                <w:szCs w:val="17"/>
              </w:rPr>
              <w:t>National Directorate for Agriculture and Livestock</w:t>
            </w:r>
          </w:p>
        </w:tc>
      </w:tr>
      <w:tr w:rsidR="00CE3C27" w:rsidRPr="009B43C9" w14:paraId="02696A8E" w14:textId="77777777" w:rsidTr="000F2855">
        <w:tc>
          <w:tcPr>
            <w:tcW w:w="1620" w:type="dxa"/>
            <w:tcBorders>
              <w:top w:val="nil"/>
              <w:left w:val="nil"/>
              <w:bottom w:val="nil"/>
              <w:right w:val="nil"/>
            </w:tcBorders>
            <w:shd w:val="clear" w:color="auto" w:fill="auto"/>
            <w:noWrap/>
            <w:hideMark/>
          </w:tcPr>
          <w:p w14:paraId="171F55F4" w14:textId="6D0B29DA" w:rsidR="00CE3C27" w:rsidRPr="009B43C9" w:rsidRDefault="6A00A0C8" w:rsidP="00CE3C27">
            <w:pPr>
              <w:rPr>
                <w:rFonts w:ascii="Calibri" w:hAnsi="Calibri" w:cs="Calibri"/>
                <w:color w:val="000000"/>
                <w:sz w:val="17"/>
                <w:szCs w:val="17"/>
              </w:rPr>
            </w:pPr>
            <w:r w:rsidRPr="5A15F65A">
              <w:rPr>
                <w:rFonts w:ascii="Calibri" w:hAnsi="Calibri" w:cs="Calibri"/>
                <w:color w:val="000000" w:themeColor="text1"/>
                <w:sz w:val="17"/>
                <w:szCs w:val="17"/>
              </w:rPr>
              <w:t>DPA</w:t>
            </w:r>
            <w:r w:rsidR="40BFB5D3" w:rsidRPr="5A15F65A">
              <w:rPr>
                <w:rFonts w:ascii="Calibri" w:hAnsi="Calibri" w:cs="Calibri"/>
                <w:color w:val="000000" w:themeColor="text1"/>
                <w:sz w:val="17"/>
                <w:szCs w:val="17"/>
              </w:rPr>
              <w:t>PP</w:t>
            </w:r>
          </w:p>
        </w:tc>
        <w:tc>
          <w:tcPr>
            <w:tcW w:w="7654" w:type="dxa"/>
            <w:tcBorders>
              <w:top w:val="nil"/>
              <w:left w:val="nil"/>
              <w:bottom w:val="nil"/>
              <w:right w:val="nil"/>
            </w:tcBorders>
            <w:shd w:val="clear" w:color="auto" w:fill="auto"/>
            <w:noWrap/>
            <w:hideMark/>
          </w:tcPr>
          <w:p w14:paraId="28313275" w14:textId="660AAE37" w:rsidR="00CE3C27" w:rsidRPr="009B43C9" w:rsidRDefault="00CE3C27" w:rsidP="00CE3C27">
            <w:pPr>
              <w:rPr>
                <w:rFonts w:ascii="Calibri" w:hAnsi="Calibri" w:cs="Calibri"/>
                <w:color w:val="000000"/>
                <w:sz w:val="17"/>
                <w:szCs w:val="17"/>
              </w:rPr>
            </w:pPr>
            <w:r w:rsidRPr="5A15F65A">
              <w:rPr>
                <w:rFonts w:ascii="Calibri" w:hAnsi="Calibri" w:cs="Calibri"/>
                <w:color w:val="000000" w:themeColor="text1"/>
                <w:sz w:val="17"/>
                <w:szCs w:val="17"/>
              </w:rPr>
              <w:t>Provincial Directorate for Agriculture</w:t>
            </w:r>
            <w:r w:rsidR="6246C767" w:rsidRPr="5A15F65A">
              <w:rPr>
                <w:rFonts w:ascii="Calibri" w:hAnsi="Calibri" w:cs="Calibri"/>
                <w:color w:val="000000" w:themeColor="text1"/>
                <w:sz w:val="17"/>
                <w:szCs w:val="17"/>
              </w:rPr>
              <w:t>,</w:t>
            </w:r>
            <w:r w:rsidRPr="5A15F65A">
              <w:rPr>
                <w:rFonts w:ascii="Calibri" w:hAnsi="Calibri" w:cs="Calibri"/>
                <w:color w:val="000000" w:themeColor="text1"/>
                <w:sz w:val="17"/>
                <w:szCs w:val="17"/>
              </w:rPr>
              <w:t xml:space="preserve">  </w:t>
            </w:r>
            <w:r w:rsidR="2AFF1B40" w:rsidRPr="5A15F65A">
              <w:rPr>
                <w:rFonts w:ascii="Calibri" w:hAnsi="Calibri" w:cs="Calibri"/>
                <w:color w:val="000000" w:themeColor="text1"/>
                <w:sz w:val="17"/>
                <w:szCs w:val="17"/>
              </w:rPr>
              <w:t>Livestock and Fishery</w:t>
            </w:r>
            <w:r w:rsidR="6A00A0C8" w:rsidRPr="5A15F65A">
              <w:rPr>
                <w:rFonts w:ascii="Calibri" w:hAnsi="Calibri" w:cs="Calibri"/>
                <w:color w:val="000000" w:themeColor="text1"/>
                <w:sz w:val="17"/>
                <w:szCs w:val="17"/>
              </w:rPr>
              <w:t xml:space="preserve"> </w:t>
            </w:r>
          </w:p>
        </w:tc>
      </w:tr>
      <w:tr w:rsidR="00CE3C27" w:rsidRPr="009B43C9" w14:paraId="54F884E0" w14:textId="77777777" w:rsidTr="000F2855">
        <w:tc>
          <w:tcPr>
            <w:tcW w:w="1620" w:type="dxa"/>
            <w:tcBorders>
              <w:top w:val="nil"/>
              <w:left w:val="nil"/>
              <w:bottom w:val="nil"/>
              <w:right w:val="nil"/>
            </w:tcBorders>
            <w:shd w:val="clear" w:color="auto" w:fill="auto"/>
            <w:noWrap/>
            <w:hideMark/>
          </w:tcPr>
          <w:p w14:paraId="212977F8" w14:textId="60517F16" w:rsidR="00CE3C27" w:rsidRPr="009B43C9" w:rsidRDefault="078B3C6F" w:rsidP="00CE3C27">
            <w:pPr>
              <w:rPr>
                <w:rFonts w:ascii="Calibri" w:hAnsi="Calibri" w:cs="Calibri"/>
                <w:color w:val="000000"/>
                <w:sz w:val="17"/>
                <w:szCs w:val="17"/>
              </w:rPr>
            </w:pPr>
            <w:r w:rsidRPr="6491AA2D">
              <w:rPr>
                <w:rFonts w:ascii="Calibri" w:hAnsi="Calibri" w:cs="Calibri"/>
                <w:color w:val="000000" w:themeColor="text1"/>
                <w:sz w:val="17"/>
                <w:szCs w:val="17"/>
              </w:rPr>
              <w:t>DPO</w:t>
            </w:r>
            <w:r w:rsidR="1081A4D7" w:rsidRPr="6491AA2D">
              <w:rPr>
                <w:rFonts w:ascii="Calibri" w:hAnsi="Calibri" w:cs="Calibri"/>
                <w:color w:val="000000" w:themeColor="text1"/>
                <w:sz w:val="17"/>
                <w:szCs w:val="17"/>
              </w:rPr>
              <w:t>PO</w:t>
            </w:r>
            <w:r w:rsidRPr="6491AA2D">
              <w:rPr>
                <w:rFonts w:ascii="Calibri" w:hAnsi="Calibri" w:cs="Calibri"/>
                <w:color w:val="000000" w:themeColor="text1"/>
                <w:sz w:val="17"/>
                <w:szCs w:val="17"/>
              </w:rPr>
              <w:t>T</w:t>
            </w:r>
          </w:p>
        </w:tc>
        <w:tc>
          <w:tcPr>
            <w:tcW w:w="7654" w:type="dxa"/>
            <w:tcBorders>
              <w:top w:val="nil"/>
              <w:left w:val="nil"/>
              <w:bottom w:val="nil"/>
              <w:right w:val="nil"/>
            </w:tcBorders>
            <w:shd w:val="clear" w:color="auto" w:fill="auto"/>
            <w:noWrap/>
            <w:hideMark/>
          </w:tcPr>
          <w:p w14:paraId="4EEC2948" w14:textId="3185689A" w:rsidR="00CE3C27" w:rsidRPr="009B43C9" w:rsidRDefault="67D3E174" w:rsidP="00CE3C27">
            <w:pPr>
              <w:rPr>
                <w:rFonts w:ascii="Calibri" w:hAnsi="Calibri" w:cs="Calibri"/>
                <w:color w:val="000000"/>
                <w:sz w:val="17"/>
                <w:szCs w:val="17"/>
              </w:rPr>
            </w:pPr>
            <w:r w:rsidRPr="6491AA2D">
              <w:rPr>
                <w:rFonts w:ascii="Calibri" w:hAnsi="Calibri" w:cs="Calibri"/>
                <w:color w:val="000000" w:themeColor="text1"/>
                <w:sz w:val="17"/>
                <w:szCs w:val="17"/>
              </w:rPr>
              <w:t xml:space="preserve">Provincial Directorate for Public Works and </w:t>
            </w:r>
            <w:r w:rsidR="00CE3C27" w:rsidRPr="6491AA2D">
              <w:rPr>
                <w:rFonts w:ascii="Calibri" w:hAnsi="Calibri" w:cs="Calibri"/>
                <w:color w:val="000000" w:themeColor="text1"/>
                <w:sz w:val="17"/>
                <w:szCs w:val="17"/>
              </w:rPr>
              <w:t xml:space="preserve">Spatial Planning </w:t>
            </w:r>
          </w:p>
        </w:tc>
      </w:tr>
      <w:tr w:rsidR="00CE3C27" w:rsidRPr="009B43C9" w14:paraId="52D6E56D" w14:textId="77777777" w:rsidTr="000F2855">
        <w:tc>
          <w:tcPr>
            <w:tcW w:w="1620" w:type="dxa"/>
            <w:tcBorders>
              <w:top w:val="nil"/>
              <w:left w:val="nil"/>
              <w:bottom w:val="nil"/>
              <w:right w:val="nil"/>
            </w:tcBorders>
            <w:shd w:val="clear" w:color="auto" w:fill="auto"/>
            <w:noWrap/>
            <w:hideMark/>
          </w:tcPr>
          <w:p w14:paraId="5D0E576C" w14:textId="77777777" w:rsidR="00CE3C27" w:rsidRPr="009B43C9" w:rsidRDefault="00CE3C27" w:rsidP="00CE3C27">
            <w:pPr>
              <w:rPr>
                <w:rFonts w:ascii="Calibri" w:hAnsi="Calibri" w:cs="Calibri"/>
                <w:color w:val="000000"/>
                <w:sz w:val="17"/>
                <w:szCs w:val="17"/>
              </w:rPr>
            </w:pPr>
            <w:r w:rsidRPr="009B43C9">
              <w:rPr>
                <w:rFonts w:ascii="Calibri" w:hAnsi="Calibri" w:cs="Calibri"/>
                <w:color w:val="000000"/>
                <w:sz w:val="17"/>
                <w:szCs w:val="17"/>
              </w:rPr>
              <w:t>DSL</w:t>
            </w:r>
          </w:p>
        </w:tc>
        <w:tc>
          <w:tcPr>
            <w:tcW w:w="7654" w:type="dxa"/>
            <w:tcBorders>
              <w:top w:val="nil"/>
              <w:left w:val="nil"/>
              <w:bottom w:val="nil"/>
              <w:right w:val="nil"/>
            </w:tcBorders>
            <w:shd w:val="clear" w:color="auto" w:fill="auto"/>
            <w:noWrap/>
            <w:hideMark/>
          </w:tcPr>
          <w:p w14:paraId="0A3CA01B" w14:textId="77777777" w:rsidR="00CE3C27" w:rsidRPr="009B43C9" w:rsidRDefault="00CE3C27" w:rsidP="00CE3C27">
            <w:pPr>
              <w:rPr>
                <w:rFonts w:ascii="Calibri" w:hAnsi="Calibri" w:cs="Calibri"/>
                <w:color w:val="000000"/>
                <w:sz w:val="17"/>
                <w:szCs w:val="17"/>
              </w:rPr>
            </w:pPr>
            <w:r w:rsidRPr="009B43C9">
              <w:rPr>
                <w:rFonts w:ascii="Calibri" w:hAnsi="Calibri" w:cs="Calibri"/>
                <w:color w:val="000000"/>
                <w:sz w:val="17"/>
                <w:szCs w:val="17"/>
              </w:rPr>
              <w:t>Dryland Sustainable Landscapes</w:t>
            </w:r>
          </w:p>
        </w:tc>
      </w:tr>
      <w:tr w:rsidR="00CE3C27" w:rsidRPr="009B43C9" w14:paraId="566D50A7" w14:textId="77777777" w:rsidTr="000F2855">
        <w:tc>
          <w:tcPr>
            <w:tcW w:w="1620" w:type="dxa"/>
            <w:tcBorders>
              <w:top w:val="nil"/>
              <w:left w:val="nil"/>
              <w:bottom w:val="nil"/>
              <w:right w:val="nil"/>
            </w:tcBorders>
            <w:shd w:val="clear" w:color="auto" w:fill="auto"/>
            <w:noWrap/>
            <w:hideMark/>
          </w:tcPr>
          <w:p w14:paraId="192C7A97" w14:textId="77777777" w:rsidR="00CE3C27" w:rsidRPr="009B43C9" w:rsidRDefault="00CE3C27" w:rsidP="00CE3C27">
            <w:pPr>
              <w:rPr>
                <w:rFonts w:ascii="Calibri" w:hAnsi="Calibri" w:cs="Calibri"/>
                <w:color w:val="000000"/>
                <w:sz w:val="17"/>
                <w:szCs w:val="17"/>
              </w:rPr>
            </w:pPr>
            <w:r w:rsidRPr="009B43C9">
              <w:rPr>
                <w:rFonts w:ascii="Calibri" w:hAnsi="Calibri" w:cs="Calibri"/>
                <w:color w:val="000000"/>
                <w:sz w:val="17"/>
                <w:szCs w:val="17"/>
              </w:rPr>
              <w:t>DSL IP</w:t>
            </w:r>
          </w:p>
        </w:tc>
        <w:tc>
          <w:tcPr>
            <w:tcW w:w="7654" w:type="dxa"/>
            <w:tcBorders>
              <w:top w:val="nil"/>
              <w:left w:val="nil"/>
              <w:bottom w:val="nil"/>
              <w:right w:val="nil"/>
            </w:tcBorders>
            <w:shd w:val="clear" w:color="auto" w:fill="auto"/>
            <w:noWrap/>
            <w:hideMark/>
          </w:tcPr>
          <w:p w14:paraId="5A67AD39" w14:textId="77777777" w:rsidR="00CE3C27" w:rsidRPr="009B43C9" w:rsidRDefault="00CE3C27" w:rsidP="00CE3C27">
            <w:pPr>
              <w:rPr>
                <w:rFonts w:ascii="Calibri" w:hAnsi="Calibri" w:cs="Calibri"/>
                <w:color w:val="000000"/>
                <w:sz w:val="17"/>
                <w:szCs w:val="17"/>
              </w:rPr>
            </w:pPr>
            <w:r w:rsidRPr="009B43C9">
              <w:rPr>
                <w:rFonts w:ascii="Calibri" w:hAnsi="Calibri" w:cs="Calibri"/>
                <w:color w:val="000000"/>
                <w:sz w:val="17"/>
                <w:szCs w:val="17"/>
              </w:rPr>
              <w:t xml:space="preserve">Impact Program on Dryland Sustainable Landscapes </w:t>
            </w:r>
          </w:p>
        </w:tc>
      </w:tr>
      <w:tr w:rsidR="00CE3C27" w:rsidRPr="009B43C9" w14:paraId="71CCB30A" w14:textId="77777777" w:rsidTr="000F2855">
        <w:tc>
          <w:tcPr>
            <w:tcW w:w="1620" w:type="dxa"/>
            <w:tcBorders>
              <w:top w:val="nil"/>
              <w:left w:val="nil"/>
              <w:bottom w:val="nil"/>
              <w:right w:val="nil"/>
            </w:tcBorders>
            <w:shd w:val="clear" w:color="auto" w:fill="auto"/>
            <w:noWrap/>
            <w:hideMark/>
          </w:tcPr>
          <w:p w14:paraId="3ABBF48E" w14:textId="77777777" w:rsidR="00CE3C27" w:rsidRPr="009B43C9" w:rsidRDefault="00CE3C27" w:rsidP="00CE3C27">
            <w:pPr>
              <w:rPr>
                <w:rFonts w:ascii="Calibri" w:hAnsi="Calibri" w:cs="Calibri"/>
                <w:color w:val="000000"/>
                <w:sz w:val="17"/>
                <w:szCs w:val="17"/>
              </w:rPr>
            </w:pPr>
            <w:r w:rsidRPr="009B43C9">
              <w:rPr>
                <w:rFonts w:ascii="Calibri" w:hAnsi="Calibri" w:cs="Calibri"/>
                <w:color w:val="000000"/>
                <w:sz w:val="17"/>
                <w:szCs w:val="17"/>
              </w:rPr>
              <w:t>DSS</w:t>
            </w:r>
          </w:p>
        </w:tc>
        <w:tc>
          <w:tcPr>
            <w:tcW w:w="7654" w:type="dxa"/>
            <w:tcBorders>
              <w:top w:val="nil"/>
              <w:left w:val="nil"/>
              <w:bottom w:val="nil"/>
              <w:right w:val="nil"/>
            </w:tcBorders>
            <w:shd w:val="clear" w:color="auto" w:fill="auto"/>
            <w:noWrap/>
            <w:hideMark/>
          </w:tcPr>
          <w:p w14:paraId="57A1B5EA" w14:textId="77777777" w:rsidR="00CE3C27" w:rsidRPr="009B43C9" w:rsidRDefault="00CE3C27" w:rsidP="00CE3C27">
            <w:pPr>
              <w:rPr>
                <w:rFonts w:ascii="Calibri" w:hAnsi="Calibri" w:cs="Calibri"/>
                <w:color w:val="000000"/>
                <w:sz w:val="17"/>
                <w:szCs w:val="17"/>
              </w:rPr>
            </w:pPr>
            <w:r w:rsidRPr="009B43C9">
              <w:rPr>
                <w:rFonts w:ascii="Calibri" w:hAnsi="Calibri" w:cs="Calibri"/>
                <w:color w:val="000000"/>
                <w:sz w:val="17"/>
                <w:szCs w:val="17"/>
              </w:rPr>
              <w:t>Decision Support System</w:t>
            </w:r>
          </w:p>
        </w:tc>
      </w:tr>
      <w:tr w:rsidR="00CE3C27" w:rsidRPr="009B43C9" w14:paraId="01ECF20D" w14:textId="77777777" w:rsidTr="000F2855">
        <w:tc>
          <w:tcPr>
            <w:tcW w:w="1620" w:type="dxa"/>
            <w:tcBorders>
              <w:top w:val="nil"/>
              <w:left w:val="nil"/>
              <w:bottom w:val="nil"/>
              <w:right w:val="nil"/>
            </w:tcBorders>
            <w:shd w:val="clear" w:color="auto" w:fill="auto"/>
            <w:noWrap/>
            <w:hideMark/>
          </w:tcPr>
          <w:p w14:paraId="54FD6916" w14:textId="77777777" w:rsidR="00CE3C27" w:rsidRPr="009B43C9" w:rsidRDefault="00CE3C27" w:rsidP="00CE3C27">
            <w:pPr>
              <w:rPr>
                <w:rFonts w:ascii="Calibri" w:hAnsi="Calibri" w:cs="Calibri"/>
                <w:color w:val="000000"/>
                <w:sz w:val="17"/>
                <w:szCs w:val="17"/>
              </w:rPr>
            </w:pPr>
            <w:r w:rsidRPr="009B43C9">
              <w:rPr>
                <w:rFonts w:ascii="Calibri" w:hAnsi="Calibri" w:cs="Calibri"/>
                <w:color w:val="000000"/>
                <w:sz w:val="17"/>
                <w:szCs w:val="17"/>
              </w:rPr>
              <w:t>FAO</w:t>
            </w:r>
          </w:p>
        </w:tc>
        <w:tc>
          <w:tcPr>
            <w:tcW w:w="7654" w:type="dxa"/>
            <w:tcBorders>
              <w:top w:val="nil"/>
              <w:left w:val="nil"/>
              <w:bottom w:val="nil"/>
              <w:right w:val="nil"/>
            </w:tcBorders>
            <w:shd w:val="clear" w:color="auto" w:fill="auto"/>
            <w:noWrap/>
            <w:hideMark/>
          </w:tcPr>
          <w:p w14:paraId="18B564E9" w14:textId="77777777" w:rsidR="00CE3C27" w:rsidRPr="009B43C9" w:rsidRDefault="00CE3C27" w:rsidP="00CE3C27">
            <w:pPr>
              <w:rPr>
                <w:rFonts w:ascii="Calibri" w:hAnsi="Calibri" w:cs="Calibri"/>
                <w:color w:val="000000"/>
                <w:sz w:val="17"/>
                <w:szCs w:val="17"/>
              </w:rPr>
            </w:pPr>
            <w:r w:rsidRPr="009B43C9">
              <w:rPr>
                <w:rFonts w:ascii="Calibri" w:hAnsi="Calibri" w:cs="Calibri"/>
                <w:color w:val="000000"/>
                <w:sz w:val="17"/>
                <w:szCs w:val="17"/>
              </w:rPr>
              <w:t>Food and Agriculture Organizations of the United Nations</w:t>
            </w:r>
          </w:p>
        </w:tc>
      </w:tr>
      <w:tr w:rsidR="00CE3C27" w:rsidRPr="009B43C9" w14:paraId="7D36F514" w14:textId="77777777" w:rsidTr="000F2855">
        <w:tc>
          <w:tcPr>
            <w:tcW w:w="1620" w:type="dxa"/>
            <w:tcBorders>
              <w:top w:val="nil"/>
              <w:left w:val="nil"/>
              <w:bottom w:val="nil"/>
              <w:right w:val="nil"/>
            </w:tcBorders>
            <w:shd w:val="clear" w:color="auto" w:fill="auto"/>
            <w:noWrap/>
            <w:hideMark/>
          </w:tcPr>
          <w:p w14:paraId="7A0E810F" w14:textId="77777777" w:rsidR="00CE3C27" w:rsidRPr="009B43C9" w:rsidRDefault="00CE3C27" w:rsidP="00CE3C27">
            <w:pPr>
              <w:rPr>
                <w:rFonts w:ascii="Calibri" w:hAnsi="Calibri" w:cs="Calibri"/>
                <w:color w:val="000000"/>
                <w:sz w:val="17"/>
                <w:szCs w:val="17"/>
              </w:rPr>
            </w:pPr>
            <w:r w:rsidRPr="009B43C9">
              <w:rPr>
                <w:rFonts w:ascii="Calibri" w:hAnsi="Calibri" w:cs="Calibri"/>
                <w:color w:val="000000"/>
                <w:sz w:val="17"/>
                <w:szCs w:val="17"/>
              </w:rPr>
              <w:t>FFF(s)</w:t>
            </w:r>
          </w:p>
        </w:tc>
        <w:tc>
          <w:tcPr>
            <w:tcW w:w="7654" w:type="dxa"/>
            <w:tcBorders>
              <w:top w:val="nil"/>
              <w:left w:val="nil"/>
              <w:bottom w:val="nil"/>
              <w:right w:val="nil"/>
            </w:tcBorders>
            <w:shd w:val="clear" w:color="auto" w:fill="auto"/>
            <w:noWrap/>
            <w:hideMark/>
          </w:tcPr>
          <w:p w14:paraId="197A2054" w14:textId="77777777" w:rsidR="00CE3C27" w:rsidRPr="009B43C9" w:rsidRDefault="00CE3C27" w:rsidP="00CE3C27">
            <w:pPr>
              <w:rPr>
                <w:rFonts w:ascii="Calibri" w:hAnsi="Calibri" w:cs="Calibri"/>
                <w:color w:val="000000"/>
                <w:sz w:val="17"/>
                <w:szCs w:val="17"/>
              </w:rPr>
            </w:pPr>
            <w:r w:rsidRPr="009B43C9">
              <w:rPr>
                <w:rFonts w:ascii="Calibri" w:hAnsi="Calibri" w:cs="Calibri"/>
                <w:color w:val="000000"/>
                <w:sz w:val="17"/>
                <w:szCs w:val="17"/>
              </w:rPr>
              <w:t xml:space="preserve">Forest-Farm Facility(ies) </w:t>
            </w:r>
          </w:p>
        </w:tc>
      </w:tr>
      <w:tr w:rsidR="00CE3C27" w:rsidRPr="009B43C9" w14:paraId="5B8C5B4F" w14:textId="77777777" w:rsidTr="000F2855">
        <w:tc>
          <w:tcPr>
            <w:tcW w:w="1620" w:type="dxa"/>
            <w:tcBorders>
              <w:top w:val="nil"/>
              <w:left w:val="nil"/>
              <w:bottom w:val="nil"/>
              <w:right w:val="nil"/>
            </w:tcBorders>
            <w:shd w:val="clear" w:color="auto" w:fill="auto"/>
            <w:noWrap/>
            <w:hideMark/>
          </w:tcPr>
          <w:p w14:paraId="4064F3CE" w14:textId="77777777" w:rsidR="00CE3C27" w:rsidRPr="009B43C9" w:rsidRDefault="00CE3C27" w:rsidP="00CE3C27">
            <w:pPr>
              <w:rPr>
                <w:rFonts w:ascii="Calibri" w:hAnsi="Calibri" w:cs="Calibri"/>
                <w:color w:val="000000"/>
                <w:sz w:val="17"/>
                <w:szCs w:val="17"/>
              </w:rPr>
            </w:pPr>
            <w:r w:rsidRPr="009B43C9">
              <w:rPr>
                <w:rFonts w:ascii="Calibri" w:hAnsi="Calibri" w:cs="Calibri"/>
                <w:color w:val="000000"/>
                <w:sz w:val="17"/>
                <w:szCs w:val="17"/>
              </w:rPr>
              <w:t>FFS(s)</w:t>
            </w:r>
          </w:p>
        </w:tc>
        <w:tc>
          <w:tcPr>
            <w:tcW w:w="7654" w:type="dxa"/>
            <w:tcBorders>
              <w:top w:val="nil"/>
              <w:left w:val="nil"/>
              <w:bottom w:val="nil"/>
              <w:right w:val="nil"/>
            </w:tcBorders>
            <w:shd w:val="clear" w:color="auto" w:fill="auto"/>
            <w:noWrap/>
            <w:hideMark/>
          </w:tcPr>
          <w:p w14:paraId="7BEA0345" w14:textId="77777777" w:rsidR="00CE3C27" w:rsidRPr="009B43C9" w:rsidRDefault="00CE3C27" w:rsidP="00CE3C27">
            <w:pPr>
              <w:rPr>
                <w:rFonts w:ascii="Calibri" w:hAnsi="Calibri" w:cs="Calibri"/>
                <w:color w:val="000000"/>
                <w:sz w:val="17"/>
                <w:szCs w:val="17"/>
              </w:rPr>
            </w:pPr>
            <w:r w:rsidRPr="009B43C9">
              <w:rPr>
                <w:rFonts w:ascii="Calibri" w:hAnsi="Calibri" w:cs="Calibri"/>
                <w:color w:val="000000"/>
                <w:sz w:val="17"/>
                <w:szCs w:val="17"/>
              </w:rPr>
              <w:t xml:space="preserve">Farmer Field School(s) </w:t>
            </w:r>
          </w:p>
        </w:tc>
      </w:tr>
      <w:tr w:rsidR="00CE3C27" w:rsidRPr="009B43C9" w14:paraId="0F11DB6F" w14:textId="77777777" w:rsidTr="000F2855">
        <w:tc>
          <w:tcPr>
            <w:tcW w:w="1620" w:type="dxa"/>
            <w:tcBorders>
              <w:top w:val="nil"/>
              <w:left w:val="nil"/>
              <w:bottom w:val="nil"/>
              <w:right w:val="nil"/>
            </w:tcBorders>
            <w:shd w:val="clear" w:color="auto" w:fill="auto"/>
            <w:noWrap/>
            <w:hideMark/>
          </w:tcPr>
          <w:p w14:paraId="3297DF9C" w14:textId="77777777" w:rsidR="00CE3C27" w:rsidRPr="009B43C9" w:rsidRDefault="00CE3C27" w:rsidP="00CE3C27">
            <w:pPr>
              <w:rPr>
                <w:rFonts w:ascii="Calibri" w:hAnsi="Calibri" w:cs="Calibri"/>
                <w:color w:val="000000"/>
                <w:sz w:val="17"/>
                <w:szCs w:val="17"/>
              </w:rPr>
            </w:pPr>
            <w:r w:rsidRPr="009B43C9">
              <w:rPr>
                <w:rFonts w:ascii="Calibri" w:hAnsi="Calibri" w:cs="Calibri"/>
                <w:color w:val="000000"/>
                <w:sz w:val="17"/>
                <w:szCs w:val="17"/>
              </w:rPr>
              <w:t>FPIC</w:t>
            </w:r>
          </w:p>
        </w:tc>
        <w:tc>
          <w:tcPr>
            <w:tcW w:w="7654" w:type="dxa"/>
            <w:tcBorders>
              <w:top w:val="nil"/>
              <w:left w:val="nil"/>
              <w:bottom w:val="nil"/>
              <w:right w:val="nil"/>
            </w:tcBorders>
            <w:shd w:val="clear" w:color="auto" w:fill="auto"/>
            <w:noWrap/>
            <w:hideMark/>
          </w:tcPr>
          <w:p w14:paraId="076A2B75" w14:textId="77777777" w:rsidR="00CE3C27" w:rsidRPr="009B43C9" w:rsidRDefault="00CE3C27" w:rsidP="00CE3C27">
            <w:pPr>
              <w:rPr>
                <w:rFonts w:ascii="Calibri" w:hAnsi="Calibri" w:cs="Calibri"/>
                <w:color w:val="000000"/>
                <w:sz w:val="17"/>
                <w:szCs w:val="17"/>
              </w:rPr>
            </w:pPr>
            <w:r w:rsidRPr="009B43C9">
              <w:rPr>
                <w:rFonts w:ascii="Calibri" w:hAnsi="Calibri" w:cs="Calibri"/>
                <w:color w:val="000000"/>
                <w:sz w:val="17"/>
                <w:szCs w:val="17"/>
              </w:rPr>
              <w:t>Free, Prior and Informed Consent</w:t>
            </w:r>
          </w:p>
        </w:tc>
      </w:tr>
      <w:tr w:rsidR="00CE3C27" w:rsidRPr="009B43C9" w14:paraId="69457BB8" w14:textId="77777777" w:rsidTr="000F2855">
        <w:trPr>
          <w:trHeight w:val="244"/>
        </w:trPr>
        <w:tc>
          <w:tcPr>
            <w:tcW w:w="1620" w:type="dxa"/>
            <w:tcBorders>
              <w:top w:val="nil"/>
              <w:left w:val="nil"/>
              <w:bottom w:val="nil"/>
              <w:right w:val="nil"/>
            </w:tcBorders>
            <w:shd w:val="clear" w:color="auto" w:fill="auto"/>
            <w:noWrap/>
            <w:hideMark/>
          </w:tcPr>
          <w:p w14:paraId="3B1BE015" w14:textId="520A2F69" w:rsidR="00CE3C27" w:rsidRPr="009B43C9" w:rsidRDefault="6DC5AE82" w:rsidP="00CE3C27">
            <w:pPr>
              <w:rPr>
                <w:rFonts w:ascii="Calibri" w:hAnsi="Calibri" w:cs="Calibri"/>
                <w:color w:val="000000"/>
                <w:sz w:val="17"/>
                <w:szCs w:val="17"/>
              </w:rPr>
            </w:pPr>
            <w:r w:rsidRPr="619CA689">
              <w:rPr>
                <w:rFonts w:ascii="Calibri" w:hAnsi="Calibri" w:cs="Calibri"/>
                <w:color w:val="000000" w:themeColor="text1"/>
                <w:sz w:val="17"/>
                <w:szCs w:val="17"/>
              </w:rPr>
              <w:t>DNAAC</w:t>
            </w:r>
          </w:p>
        </w:tc>
        <w:tc>
          <w:tcPr>
            <w:tcW w:w="7654" w:type="dxa"/>
            <w:tcBorders>
              <w:top w:val="nil"/>
              <w:left w:val="nil"/>
              <w:bottom w:val="nil"/>
              <w:right w:val="nil"/>
            </w:tcBorders>
            <w:shd w:val="clear" w:color="auto" w:fill="auto"/>
            <w:noWrap/>
            <w:hideMark/>
          </w:tcPr>
          <w:p w14:paraId="3770464B" w14:textId="6BC9BBF0" w:rsidR="00CE3C27" w:rsidRPr="009B43C9" w:rsidRDefault="270B8CEA" w:rsidP="00CE3C27">
            <w:pPr>
              <w:rPr>
                <w:rFonts w:ascii="Calibri" w:hAnsi="Calibri" w:cs="Calibri"/>
                <w:color w:val="000000"/>
                <w:sz w:val="17"/>
                <w:szCs w:val="17"/>
              </w:rPr>
            </w:pPr>
            <w:r w:rsidRPr="619CA689">
              <w:rPr>
                <w:rFonts w:ascii="Calibri" w:hAnsi="Calibri" w:cs="Calibri"/>
                <w:color w:val="000000" w:themeColor="text1"/>
                <w:sz w:val="17"/>
                <w:szCs w:val="17"/>
              </w:rPr>
              <w:t xml:space="preserve"> Directorate of Environment and Climate action</w:t>
            </w:r>
            <w:r w:rsidR="1EFCE62D" w:rsidRPr="619CA689">
              <w:rPr>
                <w:rFonts w:ascii="Calibri" w:hAnsi="Calibri" w:cs="Calibri"/>
                <w:color w:val="000000" w:themeColor="text1"/>
                <w:sz w:val="17"/>
                <w:szCs w:val="17"/>
              </w:rPr>
              <w:t xml:space="preserve"> (under </w:t>
            </w:r>
            <w:r w:rsidR="5B7ED067" w:rsidRPr="619CA689">
              <w:rPr>
                <w:rFonts w:ascii="Calibri" w:hAnsi="Calibri" w:cs="Calibri"/>
                <w:color w:val="000000" w:themeColor="text1"/>
                <w:sz w:val="17"/>
                <w:szCs w:val="17"/>
              </w:rPr>
              <w:t>MCTA</w:t>
            </w:r>
            <w:r w:rsidR="1EFCE62D" w:rsidRPr="619CA689">
              <w:rPr>
                <w:rFonts w:ascii="Calibri" w:hAnsi="Calibri" w:cs="Calibri"/>
                <w:color w:val="000000" w:themeColor="text1"/>
                <w:sz w:val="17"/>
                <w:szCs w:val="17"/>
              </w:rPr>
              <w:t>)</w:t>
            </w:r>
          </w:p>
        </w:tc>
      </w:tr>
      <w:tr w:rsidR="00CE3C27" w:rsidRPr="009B43C9" w14:paraId="5160DBAF" w14:textId="77777777" w:rsidTr="000F2855">
        <w:tc>
          <w:tcPr>
            <w:tcW w:w="1620" w:type="dxa"/>
            <w:tcBorders>
              <w:top w:val="nil"/>
              <w:left w:val="nil"/>
              <w:bottom w:val="nil"/>
              <w:right w:val="nil"/>
            </w:tcBorders>
            <w:shd w:val="clear" w:color="auto" w:fill="auto"/>
            <w:noWrap/>
            <w:hideMark/>
          </w:tcPr>
          <w:p w14:paraId="29A81ED5" w14:textId="77777777" w:rsidR="00CE3C27" w:rsidRPr="009B43C9" w:rsidRDefault="00CE3C27" w:rsidP="00CE3C27">
            <w:pPr>
              <w:rPr>
                <w:rFonts w:ascii="Calibri" w:hAnsi="Calibri" w:cs="Calibri"/>
                <w:color w:val="000000"/>
                <w:sz w:val="17"/>
                <w:szCs w:val="17"/>
              </w:rPr>
            </w:pPr>
            <w:r w:rsidRPr="009B43C9">
              <w:rPr>
                <w:rFonts w:ascii="Calibri" w:hAnsi="Calibri" w:cs="Calibri"/>
                <w:color w:val="000000"/>
                <w:sz w:val="17"/>
                <w:szCs w:val="17"/>
              </w:rPr>
              <w:t>GABHIC</w:t>
            </w:r>
          </w:p>
        </w:tc>
        <w:tc>
          <w:tcPr>
            <w:tcW w:w="7654" w:type="dxa"/>
            <w:tcBorders>
              <w:top w:val="nil"/>
              <w:left w:val="nil"/>
              <w:bottom w:val="nil"/>
              <w:right w:val="nil"/>
            </w:tcBorders>
            <w:shd w:val="clear" w:color="auto" w:fill="auto"/>
            <w:noWrap/>
            <w:hideMark/>
          </w:tcPr>
          <w:p w14:paraId="31B394D1" w14:textId="77777777" w:rsidR="00CE3C27" w:rsidRPr="009B43C9" w:rsidRDefault="00CE3C27" w:rsidP="00CE3C27">
            <w:pPr>
              <w:rPr>
                <w:rFonts w:ascii="Calibri" w:hAnsi="Calibri" w:cs="Calibri"/>
                <w:color w:val="000000"/>
                <w:sz w:val="17"/>
                <w:szCs w:val="17"/>
              </w:rPr>
            </w:pPr>
            <w:r w:rsidRPr="009B43C9">
              <w:rPr>
                <w:rFonts w:ascii="Calibri" w:hAnsi="Calibri" w:cs="Calibri"/>
                <w:color w:val="000000"/>
                <w:sz w:val="17"/>
                <w:szCs w:val="17"/>
              </w:rPr>
              <w:t>Office for the Management of the Cunene, Okavango and Cuvelai Hydrographical Basins</w:t>
            </w:r>
          </w:p>
        </w:tc>
      </w:tr>
      <w:tr w:rsidR="00CE3C27" w:rsidRPr="009B43C9" w14:paraId="030B1417" w14:textId="77777777" w:rsidTr="000F2855">
        <w:tc>
          <w:tcPr>
            <w:tcW w:w="1620" w:type="dxa"/>
            <w:tcBorders>
              <w:top w:val="nil"/>
              <w:left w:val="nil"/>
              <w:bottom w:val="nil"/>
              <w:right w:val="nil"/>
            </w:tcBorders>
            <w:shd w:val="clear" w:color="auto" w:fill="auto"/>
            <w:noWrap/>
            <w:hideMark/>
          </w:tcPr>
          <w:p w14:paraId="0BD8A68A" w14:textId="77777777" w:rsidR="00CE3C27" w:rsidRPr="009B43C9" w:rsidRDefault="00CE3C27" w:rsidP="00CE3C27">
            <w:pPr>
              <w:rPr>
                <w:rFonts w:ascii="Calibri" w:hAnsi="Calibri" w:cs="Calibri"/>
                <w:color w:val="000000"/>
                <w:sz w:val="17"/>
                <w:szCs w:val="17"/>
              </w:rPr>
            </w:pPr>
            <w:r w:rsidRPr="009B43C9">
              <w:rPr>
                <w:rFonts w:ascii="Calibri" w:hAnsi="Calibri" w:cs="Calibri"/>
                <w:color w:val="000000"/>
                <w:sz w:val="17"/>
                <w:szCs w:val="17"/>
              </w:rPr>
              <w:t>GCP</w:t>
            </w:r>
          </w:p>
        </w:tc>
        <w:tc>
          <w:tcPr>
            <w:tcW w:w="7654" w:type="dxa"/>
            <w:tcBorders>
              <w:top w:val="nil"/>
              <w:left w:val="nil"/>
              <w:bottom w:val="nil"/>
              <w:right w:val="nil"/>
            </w:tcBorders>
            <w:shd w:val="clear" w:color="auto" w:fill="auto"/>
            <w:noWrap/>
            <w:hideMark/>
          </w:tcPr>
          <w:p w14:paraId="1179A712" w14:textId="77777777" w:rsidR="00CE3C27" w:rsidRPr="009B43C9" w:rsidRDefault="00CE3C27" w:rsidP="00CE3C27">
            <w:pPr>
              <w:rPr>
                <w:rFonts w:ascii="Calibri" w:hAnsi="Calibri" w:cs="Calibri"/>
                <w:color w:val="000000"/>
                <w:sz w:val="17"/>
                <w:szCs w:val="17"/>
              </w:rPr>
            </w:pPr>
            <w:r w:rsidRPr="009B43C9">
              <w:rPr>
                <w:rFonts w:ascii="Calibri" w:hAnsi="Calibri" w:cs="Calibri"/>
                <w:color w:val="000000"/>
                <w:sz w:val="17"/>
                <w:szCs w:val="17"/>
              </w:rPr>
              <w:t>Global Child Project</w:t>
            </w:r>
          </w:p>
        </w:tc>
      </w:tr>
      <w:tr w:rsidR="00CE3C27" w:rsidRPr="009B43C9" w14:paraId="48349FFF" w14:textId="77777777" w:rsidTr="000F2855">
        <w:tc>
          <w:tcPr>
            <w:tcW w:w="1620" w:type="dxa"/>
            <w:tcBorders>
              <w:top w:val="nil"/>
              <w:left w:val="nil"/>
              <w:bottom w:val="nil"/>
              <w:right w:val="nil"/>
            </w:tcBorders>
            <w:shd w:val="clear" w:color="auto" w:fill="auto"/>
            <w:noWrap/>
            <w:hideMark/>
          </w:tcPr>
          <w:p w14:paraId="5B0E72D2" w14:textId="77777777" w:rsidR="00CE3C27" w:rsidRPr="009B43C9" w:rsidRDefault="00CE3C27" w:rsidP="00CE3C27">
            <w:pPr>
              <w:rPr>
                <w:rFonts w:ascii="Calibri" w:hAnsi="Calibri" w:cs="Calibri"/>
                <w:color w:val="000000"/>
                <w:sz w:val="17"/>
                <w:szCs w:val="17"/>
              </w:rPr>
            </w:pPr>
            <w:r w:rsidRPr="009B43C9">
              <w:rPr>
                <w:rFonts w:ascii="Calibri" w:hAnsi="Calibri" w:cs="Calibri"/>
                <w:color w:val="000000"/>
                <w:sz w:val="17"/>
                <w:szCs w:val="17"/>
              </w:rPr>
              <w:t>GDP</w:t>
            </w:r>
          </w:p>
        </w:tc>
        <w:tc>
          <w:tcPr>
            <w:tcW w:w="7654" w:type="dxa"/>
            <w:tcBorders>
              <w:top w:val="nil"/>
              <w:left w:val="nil"/>
              <w:bottom w:val="nil"/>
              <w:right w:val="nil"/>
            </w:tcBorders>
            <w:shd w:val="clear" w:color="auto" w:fill="auto"/>
            <w:noWrap/>
            <w:hideMark/>
          </w:tcPr>
          <w:p w14:paraId="5457D288" w14:textId="77777777" w:rsidR="00CE3C27" w:rsidRPr="009B43C9" w:rsidRDefault="00CE3C27" w:rsidP="00CE3C27">
            <w:pPr>
              <w:rPr>
                <w:rFonts w:ascii="Calibri" w:hAnsi="Calibri" w:cs="Calibri"/>
                <w:color w:val="000000"/>
                <w:sz w:val="17"/>
                <w:szCs w:val="17"/>
              </w:rPr>
            </w:pPr>
            <w:r w:rsidRPr="009B43C9">
              <w:rPr>
                <w:rFonts w:ascii="Calibri" w:hAnsi="Calibri" w:cs="Calibri"/>
                <w:color w:val="000000"/>
                <w:sz w:val="17"/>
                <w:szCs w:val="17"/>
              </w:rPr>
              <w:t>Gross Domestic Product/Good Distribution Practice</w:t>
            </w:r>
          </w:p>
        </w:tc>
      </w:tr>
      <w:tr w:rsidR="00CE3C27" w:rsidRPr="009B43C9" w14:paraId="27A5E638" w14:textId="77777777" w:rsidTr="000F2855">
        <w:tc>
          <w:tcPr>
            <w:tcW w:w="1620" w:type="dxa"/>
            <w:tcBorders>
              <w:top w:val="nil"/>
              <w:left w:val="nil"/>
              <w:bottom w:val="nil"/>
              <w:right w:val="nil"/>
            </w:tcBorders>
            <w:shd w:val="clear" w:color="auto" w:fill="auto"/>
            <w:noWrap/>
            <w:hideMark/>
          </w:tcPr>
          <w:p w14:paraId="25EAC564" w14:textId="77777777" w:rsidR="00CE3C27" w:rsidRPr="009B43C9" w:rsidRDefault="00CE3C27" w:rsidP="00CE3C27">
            <w:pPr>
              <w:rPr>
                <w:rFonts w:ascii="Calibri" w:hAnsi="Calibri" w:cs="Calibri"/>
                <w:color w:val="000000"/>
                <w:sz w:val="17"/>
                <w:szCs w:val="17"/>
              </w:rPr>
            </w:pPr>
            <w:r w:rsidRPr="009B43C9">
              <w:rPr>
                <w:rFonts w:ascii="Calibri" w:hAnsi="Calibri" w:cs="Calibri"/>
                <w:color w:val="000000"/>
                <w:sz w:val="17"/>
                <w:szCs w:val="17"/>
              </w:rPr>
              <w:t>GEBs</w:t>
            </w:r>
          </w:p>
        </w:tc>
        <w:tc>
          <w:tcPr>
            <w:tcW w:w="7654" w:type="dxa"/>
            <w:tcBorders>
              <w:top w:val="nil"/>
              <w:left w:val="nil"/>
              <w:bottom w:val="nil"/>
              <w:right w:val="nil"/>
            </w:tcBorders>
            <w:shd w:val="clear" w:color="auto" w:fill="auto"/>
            <w:noWrap/>
            <w:hideMark/>
          </w:tcPr>
          <w:p w14:paraId="3AA3594E" w14:textId="77777777" w:rsidR="00CE3C27" w:rsidRPr="009B43C9" w:rsidRDefault="00CE3C27" w:rsidP="00CE3C27">
            <w:pPr>
              <w:rPr>
                <w:rFonts w:ascii="Calibri" w:hAnsi="Calibri" w:cs="Calibri"/>
                <w:color w:val="000000"/>
                <w:sz w:val="17"/>
                <w:szCs w:val="17"/>
              </w:rPr>
            </w:pPr>
            <w:r w:rsidRPr="009B43C9">
              <w:rPr>
                <w:rFonts w:ascii="Calibri" w:hAnsi="Calibri" w:cs="Calibri"/>
                <w:color w:val="000000"/>
                <w:sz w:val="17"/>
                <w:szCs w:val="17"/>
              </w:rPr>
              <w:t xml:space="preserve">Global Environmental Benefits </w:t>
            </w:r>
          </w:p>
        </w:tc>
      </w:tr>
      <w:tr w:rsidR="00CE3C27" w:rsidRPr="009B43C9" w14:paraId="76E23289" w14:textId="77777777" w:rsidTr="000F2855">
        <w:tc>
          <w:tcPr>
            <w:tcW w:w="1620" w:type="dxa"/>
            <w:tcBorders>
              <w:top w:val="nil"/>
              <w:left w:val="nil"/>
              <w:bottom w:val="nil"/>
              <w:right w:val="nil"/>
            </w:tcBorders>
            <w:shd w:val="clear" w:color="auto" w:fill="auto"/>
            <w:noWrap/>
            <w:hideMark/>
          </w:tcPr>
          <w:p w14:paraId="227DC6DD" w14:textId="77777777" w:rsidR="00CE3C27" w:rsidRPr="009B43C9" w:rsidRDefault="00CE3C27" w:rsidP="00CE3C27">
            <w:pPr>
              <w:rPr>
                <w:rFonts w:ascii="Calibri" w:hAnsi="Calibri" w:cs="Calibri"/>
                <w:color w:val="000000"/>
                <w:sz w:val="17"/>
                <w:szCs w:val="17"/>
              </w:rPr>
            </w:pPr>
            <w:r w:rsidRPr="009B43C9">
              <w:rPr>
                <w:rFonts w:ascii="Calibri" w:hAnsi="Calibri" w:cs="Calibri"/>
                <w:color w:val="000000"/>
                <w:sz w:val="17"/>
                <w:szCs w:val="17"/>
              </w:rPr>
              <w:t>GEM</w:t>
            </w:r>
          </w:p>
        </w:tc>
        <w:tc>
          <w:tcPr>
            <w:tcW w:w="7654" w:type="dxa"/>
            <w:tcBorders>
              <w:top w:val="nil"/>
              <w:left w:val="nil"/>
              <w:bottom w:val="nil"/>
              <w:right w:val="nil"/>
            </w:tcBorders>
            <w:shd w:val="clear" w:color="auto" w:fill="auto"/>
            <w:noWrap/>
            <w:hideMark/>
          </w:tcPr>
          <w:p w14:paraId="4E42E1ED" w14:textId="77777777" w:rsidR="00CE3C27" w:rsidRPr="009B43C9" w:rsidRDefault="00CE3C27" w:rsidP="00CE3C27">
            <w:pPr>
              <w:rPr>
                <w:rFonts w:ascii="Calibri" w:hAnsi="Calibri" w:cs="Calibri"/>
                <w:color w:val="000000"/>
                <w:sz w:val="17"/>
                <w:szCs w:val="17"/>
              </w:rPr>
            </w:pPr>
            <w:r w:rsidRPr="009B43C9">
              <w:rPr>
                <w:rFonts w:ascii="Calibri" w:hAnsi="Calibri" w:cs="Calibri"/>
                <w:color w:val="000000"/>
                <w:sz w:val="17"/>
                <w:szCs w:val="17"/>
              </w:rPr>
              <w:t>Global Exchange Mechanism (also see REM)</w:t>
            </w:r>
          </w:p>
        </w:tc>
      </w:tr>
      <w:tr w:rsidR="00CE3C27" w:rsidRPr="009B43C9" w14:paraId="505CD207" w14:textId="77777777" w:rsidTr="000F2855">
        <w:tc>
          <w:tcPr>
            <w:tcW w:w="1620" w:type="dxa"/>
            <w:tcBorders>
              <w:top w:val="nil"/>
              <w:left w:val="nil"/>
              <w:bottom w:val="nil"/>
              <w:right w:val="nil"/>
            </w:tcBorders>
            <w:shd w:val="clear" w:color="auto" w:fill="auto"/>
            <w:noWrap/>
            <w:hideMark/>
          </w:tcPr>
          <w:p w14:paraId="5EB9B21F" w14:textId="77777777" w:rsidR="00CE3C27" w:rsidRPr="009B43C9" w:rsidRDefault="00CE3C27" w:rsidP="00CE3C27">
            <w:pPr>
              <w:rPr>
                <w:rFonts w:ascii="Calibri" w:hAnsi="Calibri" w:cs="Calibri"/>
                <w:color w:val="000000"/>
                <w:sz w:val="17"/>
                <w:szCs w:val="17"/>
              </w:rPr>
            </w:pPr>
            <w:r w:rsidRPr="009B43C9">
              <w:rPr>
                <w:rFonts w:ascii="Calibri" w:hAnsi="Calibri" w:cs="Calibri"/>
                <w:color w:val="000000"/>
                <w:sz w:val="17"/>
                <w:szCs w:val="17"/>
              </w:rPr>
              <w:t>GFW</w:t>
            </w:r>
          </w:p>
        </w:tc>
        <w:tc>
          <w:tcPr>
            <w:tcW w:w="7654" w:type="dxa"/>
            <w:tcBorders>
              <w:top w:val="nil"/>
              <w:left w:val="nil"/>
              <w:bottom w:val="nil"/>
              <w:right w:val="nil"/>
            </w:tcBorders>
            <w:shd w:val="clear" w:color="auto" w:fill="auto"/>
            <w:noWrap/>
            <w:hideMark/>
          </w:tcPr>
          <w:p w14:paraId="14F32EF3" w14:textId="77777777" w:rsidR="00CE3C27" w:rsidRPr="009B43C9" w:rsidRDefault="00CE3C27" w:rsidP="00CE3C27">
            <w:pPr>
              <w:rPr>
                <w:rFonts w:ascii="Calibri" w:hAnsi="Calibri" w:cs="Calibri"/>
                <w:color w:val="000000"/>
                <w:sz w:val="17"/>
                <w:szCs w:val="17"/>
              </w:rPr>
            </w:pPr>
            <w:r w:rsidRPr="009B43C9">
              <w:rPr>
                <w:rFonts w:ascii="Calibri" w:hAnsi="Calibri" w:cs="Calibri"/>
                <w:color w:val="000000"/>
                <w:sz w:val="17"/>
                <w:szCs w:val="17"/>
              </w:rPr>
              <w:t xml:space="preserve">Global Forest Watch </w:t>
            </w:r>
          </w:p>
        </w:tc>
      </w:tr>
      <w:tr w:rsidR="00CE3C27" w:rsidRPr="009B43C9" w14:paraId="35A3F1B5" w14:textId="77777777" w:rsidTr="000F2855">
        <w:tc>
          <w:tcPr>
            <w:tcW w:w="1620" w:type="dxa"/>
            <w:tcBorders>
              <w:top w:val="nil"/>
              <w:left w:val="nil"/>
              <w:bottom w:val="nil"/>
              <w:right w:val="nil"/>
            </w:tcBorders>
            <w:shd w:val="clear" w:color="auto" w:fill="auto"/>
            <w:noWrap/>
            <w:hideMark/>
          </w:tcPr>
          <w:p w14:paraId="13F247C3" w14:textId="77777777" w:rsidR="00CE3C27" w:rsidRPr="009B43C9" w:rsidRDefault="00CE3C27" w:rsidP="00CE3C27">
            <w:pPr>
              <w:rPr>
                <w:rFonts w:ascii="Calibri" w:hAnsi="Calibri" w:cs="Calibri"/>
                <w:color w:val="000000"/>
                <w:sz w:val="17"/>
                <w:szCs w:val="17"/>
              </w:rPr>
            </w:pPr>
            <w:r w:rsidRPr="009B43C9">
              <w:rPr>
                <w:rFonts w:ascii="Calibri" w:hAnsi="Calibri" w:cs="Calibri"/>
                <w:color w:val="000000"/>
                <w:sz w:val="17"/>
                <w:szCs w:val="17"/>
              </w:rPr>
              <w:t>GGWI-S</w:t>
            </w:r>
          </w:p>
        </w:tc>
        <w:tc>
          <w:tcPr>
            <w:tcW w:w="7654" w:type="dxa"/>
            <w:tcBorders>
              <w:top w:val="nil"/>
              <w:left w:val="nil"/>
              <w:bottom w:val="nil"/>
              <w:right w:val="nil"/>
            </w:tcBorders>
            <w:shd w:val="clear" w:color="auto" w:fill="auto"/>
            <w:noWrap/>
            <w:hideMark/>
          </w:tcPr>
          <w:p w14:paraId="50B7C8EC" w14:textId="77777777" w:rsidR="00CE3C27" w:rsidRPr="009B43C9" w:rsidRDefault="00CE3C27" w:rsidP="00CE3C27">
            <w:pPr>
              <w:rPr>
                <w:rFonts w:ascii="Calibri" w:hAnsi="Calibri" w:cs="Calibri"/>
                <w:color w:val="000000"/>
                <w:sz w:val="17"/>
                <w:szCs w:val="17"/>
              </w:rPr>
            </w:pPr>
            <w:r w:rsidRPr="009B43C9">
              <w:rPr>
                <w:rFonts w:ascii="Calibri" w:hAnsi="Calibri" w:cs="Calibri"/>
                <w:color w:val="000000"/>
                <w:sz w:val="17"/>
                <w:szCs w:val="17"/>
              </w:rPr>
              <w:t>Great Green Wall Initiative for Southern Africa</w:t>
            </w:r>
          </w:p>
        </w:tc>
      </w:tr>
      <w:tr w:rsidR="00CE3C27" w:rsidRPr="009B43C9" w14:paraId="3158429E" w14:textId="77777777" w:rsidTr="000F2855">
        <w:tc>
          <w:tcPr>
            <w:tcW w:w="1620" w:type="dxa"/>
            <w:tcBorders>
              <w:top w:val="nil"/>
              <w:left w:val="nil"/>
              <w:bottom w:val="nil"/>
              <w:right w:val="nil"/>
            </w:tcBorders>
            <w:shd w:val="clear" w:color="auto" w:fill="auto"/>
            <w:noWrap/>
            <w:hideMark/>
          </w:tcPr>
          <w:p w14:paraId="6D7C7CC6" w14:textId="77777777" w:rsidR="00CE3C27" w:rsidRPr="009B43C9" w:rsidRDefault="00CE3C27" w:rsidP="00CE3C27">
            <w:pPr>
              <w:rPr>
                <w:rFonts w:ascii="Calibri" w:hAnsi="Calibri" w:cs="Calibri"/>
                <w:color w:val="000000"/>
                <w:sz w:val="17"/>
                <w:szCs w:val="17"/>
              </w:rPr>
            </w:pPr>
            <w:r w:rsidRPr="009B43C9">
              <w:rPr>
                <w:rFonts w:ascii="Calibri" w:hAnsi="Calibri" w:cs="Calibri"/>
                <w:color w:val="000000"/>
                <w:sz w:val="17"/>
                <w:szCs w:val="17"/>
              </w:rPr>
              <w:t>GHG</w:t>
            </w:r>
          </w:p>
        </w:tc>
        <w:tc>
          <w:tcPr>
            <w:tcW w:w="7654" w:type="dxa"/>
            <w:tcBorders>
              <w:top w:val="nil"/>
              <w:left w:val="nil"/>
              <w:bottom w:val="nil"/>
              <w:right w:val="nil"/>
            </w:tcBorders>
            <w:shd w:val="clear" w:color="auto" w:fill="auto"/>
            <w:noWrap/>
            <w:hideMark/>
          </w:tcPr>
          <w:p w14:paraId="5BCBB7D5" w14:textId="77777777" w:rsidR="00CE3C27" w:rsidRPr="009B43C9" w:rsidRDefault="00CE3C27" w:rsidP="00CE3C27">
            <w:pPr>
              <w:rPr>
                <w:rFonts w:ascii="Calibri" w:hAnsi="Calibri" w:cs="Calibri"/>
                <w:color w:val="000000"/>
                <w:sz w:val="17"/>
                <w:szCs w:val="17"/>
              </w:rPr>
            </w:pPr>
            <w:r w:rsidRPr="009B43C9">
              <w:rPr>
                <w:rFonts w:ascii="Calibri" w:hAnsi="Calibri" w:cs="Calibri"/>
                <w:color w:val="000000"/>
                <w:sz w:val="17"/>
                <w:szCs w:val="17"/>
              </w:rPr>
              <w:t>Greenhouse Gases</w:t>
            </w:r>
          </w:p>
        </w:tc>
      </w:tr>
      <w:tr w:rsidR="00CE3C27" w:rsidRPr="009B43C9" w14:paraId="36C4432F" w14:textId="77777777" w:rsidTr="000F2855">
        <w:tc>
          <w:tcPr>
            <w:tcW w:w="1620" w:type="dxa"/>
            <w:tcBorders>
              <w:top w:val="nil"/>
              <w:left w:val="nil"/>
              <w:bottom w:val="nil"/>
              <w:right w:val="nil"/>
            </w:tcBorders>
            <w:shd w:val="clear" w:color="auto" w:fill="auto"/>
            <w:noWrap/>
            <w:hideMark/>
          </w:tcPr>
          <w:p w14:paraId="220071E1" w14:textId="77777777" w:rsidR="00CE3C27" w:rsidRPr="009B43C9" w:rsidRDefault="00CE3C27" w:rsidP="00CE3C27">
            <w:pPr>
              <w:rPr>
                <w:rFonts w:ascii="Calibri" w:hAnsi="Calibri" w:cs="Calibri"/>
                <w:color w:val="000000"/>
                <w:sz w:val="17"/>
                <w:szCs w:val="17"/>
              </w:rPr>
            </w:pPr>
            <w:r w:rsidRPr="009B43C9">
              <w:rPr>
                <w:rFonts w:ascii="Calibri" w:hAnsi="Calibri" w:cs="Calibri"/>
                <w:color w:val="000000"/>
                <w:sz w:val="17"/>
                <w:szCs w:val="17"/>
              </w:rPr>
              <w:t>GIS</w:t>
            </w:r>
          </w:p>
        </w:tc>
        <w:tc>
          <w:tcPr>
            <w:tcW w:w="7654" w:type="dxa"/>
            <w:tcBorders>
              <w:top w:val="nil"/>
              <w:left w:val="nil"/>
              <w:bottom w:val="nil"/>
              <w:right w:val="nil"/>
            </w:tcBorders>
            <w:shd w:val="clear" w:color="auto" w:fill="auto"/>
            <w:noWrap/>
            <w:hideMark/>
          </w:tcPr>
          <w:p w14:paraId="061D8D59" w14:textId="77777777" w:rsidR="00CE3C27" w:rsidRPr="009B43C9" w:rsidRDefault="00CE3C27" w:rsidP="00CE3C27">
            <w:pPr>
              <w:rPr>
                <w:rFonts w:ascii="Calibri" w:hAnsi="Calibri" w:cs="Calibri"/>
                <w:color w:val="000000"/>
                <w:sz w:val="17"/>
                <w:szCs w:val="17"/>
              </w:rPr>
            </w:pPr>
            <w:r w:rsidRPr="009B43C9">
              <w:rPr>
                <w:rFonts w:ascii="Calibri" w:hAnsi="Calibri" w:cs="Calibri"/>
                <w:color w:val="000000"/>
                <w:sz w:val="17"/>
                <w:szCs w:val="17"/>
              </w:rPr>
              <w:t>Geographic Information System</w:t>
            </w:r>
          </w:p>
        </w:tc>
      </w:tr>
      <w:tr w:rsidR="00CE3C27" w:rsidRPr="009B43C9" w14:paraId="114ED2A9" w14:textId="77777777" w:rsidTr="000F2855">
        <w:tc>
          <w:tcPr>
            <w:tcW w:w="1620" w:type="dxa"/>
            <w:tcBorders>
              <w:top w:val="nil"/>
              <w:left w:val="nil"/>
              <w:bottom w:val="nil"/>
              <w:right w:val="nil"/>
            </w:tcBorders>
            <w:shd w:val="clear" w:color="auto" w:fill="auto"/>
            <w:noWrap/>
            <w:hideMark/>
          </w:tcPr>
          <w:p w14:paraId="2252303A" w14:textId="77777777" w:rsidR="00CE3C27" w:rsidRPr="009B43C9" w:rsidRDefault="00CE3C27" w:rsidP="00CE3C27">
            <w:pPr>
              <w:rPr>
                <w:rFonts w:ascii="Calibri" w:hAnsi="Calibri" w:cs="Calibri"/>
                <w:color w:val="000000"/>
                <w:sz w:val="17"/>
                <w:szCs w:val="17"/>
              </w:rPr>
            </w:pPr>
            <w:r w:rsidRPr="009B43C9">
              <w:rPr>
                <w:rFonts w:ascii="Calibri" w:hAnsi="Calibri" w:cs="Calibri"/>
                <w:color w:val="000000"/>
                <w:sz w:val="17"/>
                <w:szCs w:val="17"/>
              </w:rPr>
              <w:t>GSA</w:t>
            </w:r>
          </w:p>
        </w:tc>
        <w:tc>
          <w:tcPr>
            <w:tcW w:w="7654" w:type="dxa"/>
            <w:tcBorders>
              <w:top w:val="nil"/>
              <w:left w:val="nil"/>
              <w:bottom w:val="nil"/>
              <w:right w:val="nil"/>
            </w:tcBorders>
            <w:shd w:val="clear" w:color="auto" w:fill="auto"/>
            <w:noWrap/>
            <w:hideMark/>
          </w:tcPr>
          <w:p w14:paraId="4610E5DB" w14:textId="77777777" w:rsidR="00CE3C27" w:rsidRPr="009B43C9" w:rsidRDefault="00CE3C27" w:rsidP="00CE3C27">
            <w:pPr>
              <w:rPr>
                <w:rFonts w:ascii="Calibri" w:hAnsi="Calibri" w:cs="Calibri"/>
                <w:color w:val="000000"/>
                <w:sz w:val="17"/>
                <w:szCs w:val="17"/>
              </w:rPr>
            </w:pPr>
            <w:r w:rsidRPr="009B43C9">
              <w:rPr>
                <w:rFonts w:ascii="Calibri" w:hAnsi="Calibri" w:cs="Calibri"/>
                <w:color w:val="000000"/>
                <w:sz w:val="17"/>
                <w:szCs w:val="17"/>
              </w:rPr>
              <w:t xml:space="preserve">Office for Food Security </w:t>
            </w:r>
          </w:p>
        </w:tc>
      </w:tr>
      <w:tr w:rsidR="00CE3C27" w:rsidRPr="009B43C9" w14:paraId="0C387F3C" w14:textId="77777777" w:rsidTr="000F2855">
        <w:tc>
          <w:tcPr>
            <w:tcW w:w="1620" w:type="dxa"/>
            <w:tcBorders>
              <w:top w:val="nil"/>
              <w:left w:val="nil"/>
              <w:bottom w:val="nil"/>
              <w:right w:val="nil"/>
            </w:tcBorders>
            <w:shd w:val="clear" w:color="auto" w:fill="auto"/>
            <w:noWrap/>
            <w:hideMark/>
          </w:tcPr>
          <w:p w14:paraId="17F4578B" w14:textId="77777777" w:rsidR="00CE3C27" w:rsidRPr="009B43C9" w:rsidRDefault="00CE3C27" w:rsidP="00CE3C27">
            <w:pPr>
              <w:rPr>
                <w:rFonts w:ascii="Calibri" w:hAnsi="Calibri" w:cs="Calibri"/>
                <w:color w:val="000000"/>
                <w:sz w:val="17"/>
                <w:szCs w:val="17"/>
              </w:rPr>
            </w:pPr>
            <w:r w:rsidRPr="009B43C9">
              <w:rPr>
                <w:rFonts w:ascii="Calibri" w:hAnsi="Calibri" w:cs="Calibri"/>
                <w:color w:val="000000"/>
                <w:sz w:val="17"/>
                <w:szCs w:val="17"/>
              </w:rPr>
              <w:t>GVC(s)</w:t>
            </w:r>
          </w:p>
        </w:tc>
        <w:tc>
          <w:tcPr>
            <w:tcW w:w="7654" w:type="dxa"/>
            <w:tcBorders>
              <w:top w:val="nil"/>
              <w:left w:val="nil"/>
              <w:bottom w:val="nil"/>
              <w:right w:val="nil"/>
            </w:tcBorders>
            <w:shd w:val="clear" w:color="auto" w:fill="auto"/>
            <w:noWrap/>
            <w:hideMark/>
          </w:tcPr>
          <w:p w14:paraId="13CF212D" w14:textId="77777777" w:rsidR="00CE3C27" w:rsidRPr="009B43C9" w:rsidRDefault="00CE3C27" w:rsidP="00CE3C27">
            <w:pPr>
              <w:rPr>
                <w:rFonts w:ascii="Calibri" w:hAnsi="Calibri" w:cs="Calibri"/>
                <w:color w:val="000000"/>
                <w:sz w:val="17"/>
                <w:szCs w:val="17"/>
              </w:rPr>
            </w:pPr>
            <w:r w:rsidRPr="009B43C9">
              <w:rPr>
                <w:rFonts w:ascii="Calibri" w:hAnsi="Calibri" w:cs="Calibri"/>
                <w:color w:val="000000"/>
                <w:sz w:val="17"/>
                <w:szCs w:val="17"/>
              </w:rPr>
              <w:t>Green Value Chain(s)</w:t>
            </w:r>
          </w:p>
        </w:tc>
      </w:tr>
      <w:tr w:rsidR="00CE3C27" w:rsidRPr="009B43C9" w14:paraId="380DDA21" w14:textId="77777777" w:rsidTr="000F2855">
        <w:tc>
          <w:tcPr>
            <w:tcW w:w="1620" w:type="dxa"/>
            <w:tcBorders>
              <w:top w:val="nil"/>
              <w:left w:val="nil"/>
              <w:bottom w:val="nil"/>
              <w:right w:val="nil"/>
            </w:tcBorders>
            <w:shd w:val="clear" w:color="auto" w:fill="auto"/>
            <w:noWrap/>
            <w:hideMark/>
          </w:tcPr>
          <w:p w14:paraId="6E75EA00" w14:textId="77777777" w:rsidR="00CE3C27" w:rsidRPr="009B43C9" w:rsidRDefault="00CE3C27" w:rsidP="00CE3C27">
            <w:pPr>
              <w:rPr>
                <w:rFonts w:ascii="Calibri" w:hAnsi="Calibri" w:cs="Calibri"/>
                <w:color w:val="000000"/>
                <w:sz w:val="17"/>
                <w:szCs w:val="17"/>
              </w:rPr>
            </w:pPr>
            <w:r w:rsidRPr="009B43C9">
              <w:rPr>
                <w:rFonts w:ascii="Calibri" w:hAnsi="Calibri" w:cs="Calibri"/>
                <w:color w:val="000000"/>
                <w:sz w:val="17"/>
                <w:szCs w:val="17"/>
              </w:rPr>
              <w:t>HDI</w:t>
            </w:r>
          </w:p>
        </w:tc>
        <w:tc>
          <w:tcPr>
            <w:tcW w:w="7654" w:type="dxa"/>
            <w:tcBorders>
              <w:top w:val="nil"/>
              <w:left w:val="nil"/>
              <w:bottom w:val="nil"/>
              <w:right w:val="nil"/>
            </w:tcBorders>
            <w:shd w:val="clear" w:color="auto" w:fill="auto"/>
            <w:noWrap/>
            <w:hideMark/>
          </w:tcPr>
          <w:p w14:paraId="3C9EED99" w14:textId="77777777" w:rsidR="00CE3C27" w:rsidRPr="009B43C9" w:rsidRDefault="00CE3C27" w:rsidP="00CE3C27">
            <w:pPr>
              <w:rPr>
                <w:rFonts w:ascii="Calibri" w:hAnsi="Calibri" w:cs="Calibri"/>
                <w:color w:val="000000"/>
                <w:sz w:val="17"/>
                <w:szCs w:val="17"/>
              </w:rPr>
            </w:pPr>
            <w:r w:rsidRPr="009B43C9">
              <w:rPr>
                <w:rFonts w:ascii="Calibri" w:hAnsi="Calibri" w:cs="Calibri"/>
                <w:color w:val="000000"/>
                <w:sz w:val="17"/>
                <w:szCs w:val="17"/>
              </w:rPr>
              <w:t xml:space="preserve">Human Development Index </w:t>
            </w:r>
          </w:p>
        </w:tc>
      </w:tr>
      <w:tr w:rsidR="00826029" w:rsidRPr="009B43C9" w14:paraId="624FB3F8" w14:textId="77777777" w:rsidTr="000F2855">
        <w:tc>
          <w:tcPr>
            <w:tcW w:w="1620" w:type="dxa"/>
            <w:tcBorders>
              <w:top w:val="nil"/>
              <w:left w:val="nil"/>
              <w:bottom w:val="nil"/>
              <w:right w:val="nil"/>
            </w:tcBorders>
            <w:shd w:val="clear" w:color="auto" w:fill="auto"/>
            <w:noWrap/>
          </w:tcPr>
          <w:p w14:paraId="70AFA565" w14:textId="218160F1" w:rsidR="00826029" w:rsidRPr="009B43C9" w:rsidRDefault="00826029" w:rsidP="00CE3C27">
            <w:pPr>
              <w:rPr>
                <w:rFonts w:ascii="Calibri" w:hAnsi="Calibri" w:cs="Calibri"/>
                <w:color w:val="000000"/>
                <w:sz w:val="17"/>
                <w:szCs w:val="17"/>
              </w:rPr>
            </w:pPr>
            <w:r w:rsidRPr="009B43C9">
              <w:rPr>
                <w:rFonts w:ascii="Calibri" w:hAnsi="Calibri" w:cs="Calibri"/>
                <w:color w:val="000000"/>
                <w:sz w:val="17"/>
                <w:szCs w:val="17"/>
              </w:rPr>
              <w:t>HH(s)</w:t>
            </w:r>
          </w:p>
        </w:tc>
        <w:tc>
          <w:tcPr>
            <w:tcW w:w="7654" w:type="dxa"/>
            <w:tcBorders>
              <w:top w:val="nil"/>
              <w:left w:val="nil"/>
              <w:bottom w:val="nil"/>
              <w:right w:val="nil"/>
            </w:tcBorders>
            <w:shd w:val="clear" w:color="auto" w:fill="auto"/>
            <w:noWrap/>
          </w:tcPr>
          <w:p w14:paraId="1D690E20" w14:textId="5A7FA43E" w:rsidR="00826029" w:rsidRPr="009B43C9" w:rsidRDefault="00826029" w:rsidP="00CE3C27">
            <w:pPr>
              <w:rPr>
                <w:rFonts w:ascii="Calibri" w:hAnsi="Calibri" w:cs="Calibri"/>
                <w:color w:val="000000"/>
                <w:sz w:val="17"/>
                <w:szCs w:val="17"/>
              </w:rPr>
            </w:pPr>
            <w:r w:rsidRPr="009B43C9">
              <w:rPr>
                <w:rFonts w:ascii="Calibri" w:hAnsi="Calibri" w:cs="Calibri"/>
                <w:color w:val="000000"/>
                <w:sz w:val="17"/>
                <w:szCs w:val="17"/>
              </w:rPr>
              <w:t>Household(s)</w:t>
            </w:r>
          </w:p>
        </w:tc>
      </w:tr>
      <w:tr w:rsidR="00CE3C27" w:rsidRPr="009B43C9" w14:paraId="39C0ACAE" w14:textId="77777777" w:rsidTr="000F2855">
        <w:tc>
          <w:tcPr>
            <w:tcW w:w="1620" w:type="dxa"/>
            <w:tcBorders>
              <w:top w:val="nil"/>
              <w:left w:val="nil"/>
              <w:bottom w:val="nil"/>
              <w:right w:val="nil"/>
            </w:tcBorders>
            <w:shd w:val="clear" w:color="auto" w:fill="auto"/>
            <w:noWrap/>
            <w:hideMark/>
          </w:tcPr>
          <w:p w14:paraId="0675EBC6" w14:textId="77777777" w:rsidR="00CE3C27" w:rsidRPr="009B43C9" w:rsidRDefault="00CE3C27" w:rsidP="00CE3C27">
            <w:pPr>
              <w:rPr>
                <w:rFonts w:ascii="Calibri" w:hAnsi="Calibri" w:cs="Calibri"/>
                <w:color w:val="000000"/>
                <w:sz w:val="17"/>
                <w:szCs w:val="17"/>
              </w:rPr>
            </w:pPr>
            <w:r w:rsidRPr="009B43C9">
              <w:rPr>
                <w:rFonts w:ascii="Calibri" w:hAnsi="Calibri" w:cs="Calibri"/>
                <w:color w:val="000000"/>
                <w:sz w:val="17"/>
                <w:szCs w:val="17"/>
              </w:rPr>
              <w:t>ICRAF</w:t>
            </w:r>
          </w:p>
        </w:tc>
        <w:tc>
          <w:tcPr>
            <w:tcW w:w="7654" w:type="dxa"/>
            <w:tcBorders>
              <w:top w:val="nil"/>
              <w:left w:val="nil"/>
              <w:bottom w:val="nil"/>
              <w:right w:val="nil"/>
            </w:tcBorders>
            <w:shd w:val="clear" w:color="auto" w:fill="auto"/>
            <w:noWrap/>
            <w:hideMark/>
          </w:tcPr>
          <w:p w14:paraId="74E2BEDA" w14:textId="77777777" w:rsidR="00CE3C27" w:rsidRPr="009B43C9" w:rsidRDefault="00CE3C27" w:rsidP="00CE3C27">
            <w:pPr>
              <w:rPr>
                <w:rFonts w:ascii="Calibri" w:hAnsi="Calibri" w:cs="Calibri"/>
                <w:color w:val="000000"/>
                <w:sz w:val="17"/>
                <w:szCs w:val="17"/>
              </w:rPr>
            </w:pPr>
            <w:r w:rsidRPr="009B43C9">
              <w:rPr>
                <w:rFonts w:ascii="Calibri" w:hAnsi="Calibri" w:cs="Calibri"/>
                <w:color w:val="000000"/>
                <w:sz w:val="17"/>
                <w:szCs w:val="17"/>
              </w:rPr>
              <w:t>World Agroforestry (International Centre for Research in Agroforestry)</w:t>
            </w:r>
          </w:p>
        </w:tc>
      </w:tr>
      <w:tr w:rsidR="00CE3C27" w:rsidRPr="009B43C9" w14:paraId="30D2A5D2" w14:textId="77777777" w:rsidTr="000F2855">
        <w:tc>
          <w:tcPr>
            <w:tcW w:w="1620" w:type="dxa"/>
            <w:tcBorders>
              <w:top w:val="nil"/>
              <w:left w:val="nil"/>
              <w:bottom w:val="nil"/>
              <w:right w:val="nil"/>
            </w:tcBorders>
            <w:shd w:val="clear" w:color="auto" w:fill="auto"/>
            <w:noWrap/>
            <w:hideMark/>
          </w:tcPr>
          <w:p w14:paraId="2FAD4FE0" w14:textId="77777777" w:rsidR="00CE3C27" w:rsidRPr="009B43C9" w:rsidRDefault="00CE3C27" w:rsidP="00CE3C27">
            <w:pPr>
              <w:rPr>
                <w:rFonts w:ascii="Calibri" w:hAnsi="Calibri" w:cs="Calibri"/>
                <w:color w:val="000000"/>
                <w:sz w:val="17"/>
                <w:szCs w:val="17"/>
              </w:rPr>
            </w:pPr>
            <w:r w:rsidRPr="009B43C9">
              <w:rPr>
                <w:rFonts w:ascii="Calibri" w:hAnsi="Calibri" w:cs="Calibri"/>
                <w:color w:val="000000"/>
                <w:sz w:val="17"/>
                <w:szCs w:val="17"/>
              </w:rPr>
              <w:t>IDA</w:t>
            </w:r>
          </w:p>
        </w:tc>
        <w:tc>
          <w:tcPr>
            <w:tcW w:w="7654" w:type="dxa"/>
            <w:tcBorders>
              <w:top w:val="nil"/>
              <w:left w:val="nil"/>
              <w:bottom w:val="nil"/>
              <w:right w:val="nil"/>
            </w:tcBorders>
            <w:shd w:val="clear" w:color="auto" w:fill="auto"/>
            <w:noWrap/>
            <w:hideMark/>
          </w:tcPr>
          <w:p w14:paraId="26DE14DA" w14:textId="77777777" w:rsidR="00CE3C27" w:rsidRPr="009B43C9" w:rsidRDefault="00CE3C27" w:rsidP="00CE3C27">
            <w:pPr>
              <w:rPr>
                <w:rFonts w:ascii="Calibri" w:hAnsi="Calibri" w:cs="Calibri"/>
                <w:color w:val="000000"/>
                <w:sz w:val="17"/>
                <w:szCs w:val="17"/>
              </w:rPr>
            </w:pPr>
            <w:r w:rsidRPr="009B43C9">
              <w:rPr>
                <w:rFonts w:ascii="Calibri" w:hAnsi="Calibri" w:cs="Calibri"/>
                <w:color w:val="000000"/>
                <w:sz w:val="17"/>
                <w:szCs w:val="17"/>
              </w:rPr>
              <w:t xml:space="preserve">Institute of Agrarian Development </w:t>
            </w:r>
          </w:p>
        </w:tc>
      </w:tr>
      <w:tr w:rsidR="00CE3C27" w:rsidRPr="009B43C9" w14:paraId="07A9F17B" w14:textId="77777777" w:rsidTr="000F2855">
        <w:tc>
          <w:tcPr>
            <w:tcW w:w="1620" w:type="dxa"/>
            <w:tcBorders>
              <w:top w:val="nil"/>
              <w:left w:val="nil"/>
              <w:bottom w:val="nil"/>
              <w:right w:val="nil"/>
            </w:tcBorders>
            <w:shd w:val="clear" w:color="auto" w:fill="auto"/>
            <w:noWrap/>
            <w:hideMark/>
          </w:tcPr>
          <w:p w14:paraId="1C302CBA" w14:textId="77777777" w:rsidR="00CE3C27" w:rsidRPr="009B43C9" w:rsidRDefault="00CE3C27" w:rsidP="00CE3C27">
            <w:pPr>
              <w:rPr>
                <w:rFonts w:ascii="Calibri" w:hAnsi="Calibri" w:cs="Calibri"/>
                <w:color w:val="000000"/>
                <w:sz w:val="17"/>
                <w:szCs w:val="17"/>
              </w:rPr>
            </w:pPr>
            <w:r w:rsidRPr="009B43C9">
              <w:rPr>
                <w:rFonts w:ascii="Calibri" w:hAnsi="Calibri" w:cs="Calibri"/>
                <w:color w:val="000000"/>
                <w:sz w:val="17"/>
                <w:szCs w:val="17"/>
              </w:rPr>
              <w:t>IDF</w:t>
            </w:r>
          </w:p>
        </w:tc>
        <w:tc>
          <w:tcPr>
            <w:tcW w:w="7654" w:type="dxa"/>
            <w:tcBorders>
              <w:top w:val="nil"/>
              <w:left w:val="nil"/>
              <w:bottom w:val="nil"/>
              <w:right w:val="nil"/>
            </w:tcBorders>
            <w:shd w:val="clear" w:color="auto" w:fill="auto"/>
            <w:noWrap/>
            <w:hideMark/>
          </w:tcPr>
          <w:p w14:paraId="7F30A153" w14:textId="77777777" w:rsidR="00CE3C27" w:rsidRPr="009B43C9" w:rsidRDefault="00CE3C27" w:rsidP="00CE3C27">
            <w:pPr>
              <w:rPr>
                <w:rFonts w:ascii="Calibri" w:hAnsi="Calibri" w:cs="Calibri"/>
                <w:color w:val="000000"/>
                <w:sz w:val="17"/>
                <w:szCs w:val="17"/>
              </w:rPr>
            </w:pPr>
            <w:r w:rsidRPr="009B43C9">
              <w:rPr>
                <w:rFonts w:ascii="Calibri" w:hAnsi="Calibri" w:cs="Calibri"/>
                <w:color w:val="000000"/>
                <w:sz w:val="17"/>
                <w:szCs w:val="17"/>
              </w:rPr>
              <w:t xml:space="preserve">Institute for Forestry Development </w:t>
            </w:r>
          </w:p>
        </w:tc>
      </w:tr>
      <w:tr w:rsidR="00CE3C27" w:rsidRPr="009B43C9" w14:paraId="35E10550" w14:textId="77777777" w:rsidTr="000F2855">
        <w:tc>
          <w:tcPr>
            <w:tcW w:w="1620" w:type="dxa"/>
            <w:tcBorders>
              <w:top w:val="nil"/>
              <w:left w:val="nil"/>
              <w:bottom w:val="nil"/>
              <w:right w:val="nil"/>
            </w:tcBorders>
            <w:shd w:val="clear" w:color="auto" w:fill="auto"/>
            <w:noWrap/>
            <w:hideMark/>
          </w:tcPr>
          <w:p w14:paraId="1DA1A6C5" w14:textId="77777777" w:rsidR="00CE3C27" w:rsidRPr="009B43C9" w:rsidRDefault="00CE3C27" w:rsidP="00CE3C27">
            <w:pPr>
              <w:rPr>
                <w:rFonts w:ascii="Calibri" w:hAnsi="Calibri" w:cs="Calibri"/>
                <w:color w:val="000000"/>
                <w:sz w:val="17"/>
                <w:szCs w:val="17"/>
              </w:rPr>
            </w:pPr>
            <w:r w:rsidRPr="009B43C9">
              <w:rPr>
                <w:rFonts w:ascii="Calibri" w:hAnsi="Calibri" w:cs="Calibri"/>
                <w:color w:val="000000"/>
                <w:sz w:val="17"/>
                <w:szCs w:val="17"/>
              </w:rPr>
              <w:t>IFAD</w:t>
            </w:r>
          </w:p>
        </w:tc>
        <w:tc>
          <w:tcPr>
            <w:tcW w:w="7654" w:type="dxa"/>
            <w:tcBorders>
              <w:top w:val="nil"/>
              <w:left w:val="nil"/>
              <w:bottom w:val="nil"/>
              <w:right w:val="nil"/>
            </w:tcBorders>
            <w:shd w:val="clear" w:color="auto" w:fill="auto"/>
            <w:noWrap/>
            <w:hideMark/>
          </w:tcPr>
          <w:p w14:paraId="5D87980D" w14:textId="77777777" w:rsidR="00CE3C27" w:rsidRPr="009B43C9" w:rsidRDefault="00CE3C27" w:rsidP="00CE3C27">
            <w:pPr>
              <w:rPr>
                <w:rFonts w:ascii="Calibri" w:hAnsi="Calibri" w:cs="Calibri"/>
                <w:color w:val="000000"/>
                <w:sz w:val="17"/>
                <w:szCs w:val="17"/>
              </w:rPr>
            </w:pPr>
            <w:r w:rsidRPr="009B43C9">
              <w:rPr>
                <w:rFonts w:ascii="Calibri" w:hAnsi="Calibri" w:cs="Calibri"/>
                <w:color w:val="000000"/>
                <w:sz w:val="17"/>
                <w:szCs w:val="17"/>
              </w:rPr>
              <w:t xml:space="preserve">IFAD-funded ‘Climate Risk Assessment (CRA) </w:t>
            </w:r>
          </w:p>
        </w:tc>
      </w:tr>
      <w:tr w:rsidR="00CE3C27" w:rsidRPr="009B43C9" w14:paraId="52CDF471" w14:textId="77777777" w:rsidTr="000F2855">
        <w:tc>
          <w:tcPr>
            <w:tcW w:w="1620" w:type="dxa"/>
            <w:tcBorders>
              <w:top w:val="nil"/>
              <w:left w:val="nil"/>
              <w:bottom w:val="nil"/>
              <w:right w:val="nil"/>
            </w:tcBorders>
            <w:shd w:val="clear" w:color="auto" w:fill="auto"/>
            <w:noWrap/>
            <w:hideMark/>
          </w:tcPr>
          <w:p w14:paraId="149598B2" w14:textId="77777777" w:rsidR="00CE3C27" w:rsidRPr="009B43C9" w:rsidRDefault="00CE3C27" w:rsidP="00CE3C27">
            <w:pPr>
              <w:rPr>
                <w:rFonts w:ascii="Calibri" w:hAnsi="Calibri" w:cs="Calibri"/>
                <w:color w:val="000000"/>
                <w:sz w:val="17"/>
                <w:szCs w:val="17"/>
              </w:rPr>
            </w:pPr>
            <w:r w:rsidRPr="009B43C9">
              <w:rPr>
                <w:rFonts w:ascii="Calibri" w:hAnsi="Calibri" w:cs="Calibri"/>
                <w:color w:val="000000"/>
                <w:sz w:val="17"/>
                <w:szCs w:val="17"/>
              </w:rPr>
              <w:t>IGCA</w:t>
            </w:r>
          </w:p>
        </w:tc>
        <w:tc>
          <w:tcPr>
            <w:tcW w:w="7654" w:type="dxa"/>
            <w:tcBorders>
              <w:top w:val="nil"/>
              <w:left w:val="nil"/>
              <w:bottom w:val="nil"/>
              <w:right w:val="nil"/>
            </w:tcBorders>
            <w:shd w:val="clear" w:color="auto" w:fill="auto"/>
            <w:noWrap/>
            <w:hideMark/>
          </w:tcPr>
          <w:p w14:paraId="4A0F94D8" w14:textId="77777777" w:rsidR="00CE3C27" w:rsidRPr="009B43C9" w:rsidRDefault="00CE3C27" w:rsidP="00CE3C27">
            <w:pPr>
              <w:rPr>
                <w:rFonts w:ascii="Calibri" w:hAnsi="Calibri" w:cs="Calibri"/>
                <w:color w:val="000000"/>
                <w:sz w:val="17"/>
                <w:szCs w:val="17"/>
              </w:rPr>
            </w:pPr>
            <w:r w:rsidRPr="009B43C9">
              <w:rPr>
                <w:rFonts w:ascii="Calibri" w:hAnsi="Calibri" w:cs="Calibri"/>
                <w:color w:val="000000"/>
                <w:sz w:val="17"/>
                <w:szCs w:val="17"/>
              </w:rPr>
              <w:t xml:space="preserve">Geodesic and Cartographic Institute of Angola </w:t>
            </w:r>
          </w:p>
        </w:tc>
      </w:tr>
      <w:tr w:rsidR="00CE3C27" w:rsidRPr="009B43C9" w14:paraId="3020FBDB" w14:textId="77777777" w:rsidTr="000F2855">
        <w:tc>
          <w:tcPr>
            <w:tcW w:w="1620" w:type="dxa"/>
            <w:tcBorders>
              <w:top w:val="nil"/>
              <w:left w:val="nil"/>
              <w:bottom w:val="nil"/>
              <w:right w:val="nil"/>
            </w:tcBorders>
            <w:shd w:val="clear" w:color="auto" w:fill="auto"/>
            <w:noWrap/>
            <w:hideMark/>
          </w:tcPr>
          <w:p w14:paraId="422761F3" w14:textId="77777777" w:rsidR="00CE3C27" w:rsidRPr="009B43C9" w:rsidRDefault="00CE3C27" w:rsidP="00CE3C27">
            <w:pPr>
              <w:rPr>
                <w:rFonts w:ascii="Calibri" w:hAnsi="Calibri" w:cs="Calibri"/>
                <w:color w:val="000000"/>
                <w:sz w:val="17"/>
                <w:szCs w:val="17"/>
              </w:rPr>
            </w:pPr>
            <w:r w:rsidRPr="009B43C9">
              <w:rPr>
                <w:rFonts w:ascii="Calibri" w:hAnsi="Calibri" w:cs="Calibri"/>
                <w:color w:val="000000"/>
                <w:sz w:val="17"/>
                <w:szCs w:val="17"/>
              </w:rPr>
              <w:t xml:space="preserve">ILAM </w:t>
            </w:r>
          </w:p>
        </w:tc>
        <w:tc>
          <w:tcPr>
            <w:tcW w:w="7654" w:type="dxa"/>
            <w:tcBorders>
              <w:top w:val="nil"/>
              <w:left w:val="nil"/>
              <w:bottom w:val="nil"/>
              <w:right w:val="nil"/>
            </w:tcBorders>
            <w:shd w:val="clear" w:color="auto" w:fill="auto"/>
            <w:noWrap/>
            <w:hideMark/>
          </w:tcPr>
          <w:p w14:paraId="7BE58B61" w14:textId="77777777" w:rsidR="00CE3C27" w:rsidRPr="009B43C9" w:rsidRDefault="00CE3C27" w:rsidP="00CE3C27">
            <w:pPr>
              <w:rPr>
                <w:rFonts w:ascii="Calibri" w:hAnsi="Calibri" w:cs="Calibri"/>
                <w:color w:val="000000"/>
                <w:sz w:val="17"/>
                <w:szCs w:val="17"/>
              </w:rPr>
            </w:pPr>
            <w:r w:rsidRPr="009B43C9">
              <w:rPr>
                <w:rFonts w:ascii="Calibri" w:hAnsi="Calibri" w:cs="Calibri"/>
                <w:color w:val="000000"/>
                <w:sz w:val="17"/>
                <w:szCs w:val="17"/>
              </w:rPr>
              <w:t>Integrated Landscape Assessment Methodology</w:t>
            </w:r>
          </w:p>
        </w:tc>
      </w:tr>
      <w:tr w:rsidR="00CE3C27" w:rsidRPr="009B43C9" w14:paraId="1ABF75C9" w14:textId="77777777" w:rsidTr="000F2855">
        <w:tc>
          <w:tcPr>
            <w:tcW w:w="1620" w:type="dxa"/>
            <w:tcBorders>
              <w:top w:val="nil"/>
              <w:left w:val="nil"/>
              <w:bottom w:val="nil"/>
              <w:right w:val="nil"/>
            </w:tcBorders>
            <w:shd w:val="clear" w:color="auto" w:fill="auto"/>
            <w:noWrap/>
            <w:hideMark/>
          </w:tcPr>
          <w:p w14:paraId="7C6ABE85" w14:textId="77777777" w:rsidR="00CE3C27" w:rsidRPr="009B43C9" w:rsidRDefault="00CE3C27" w:rsidP="00CE3C27">
            <w:pPr>
              <w:rPr>
                <w:rFonts w:ascii="Calibri" w:hAnsi="Calibri" w:cs="Calibri"/>
                <w:color w:val="000000"/>
                <w:sz w:val="17"/>
                <w:szCs w:val="17"/>
              </w:rPr>
            </w:pPr>
            <w:r w:rsidRPr="009B43C9">
              <w:rPr>
                <w:rFonts w:ascii="Calibri" w:hAnsi="Calibri" w:cs="Calibri"/>
                <w:color w:val="000000"/>
                <w:sz w:val="17"/>
                <w:szCs w:val="17"/>
              </w:rPr>
              <w:t>ILUP</w:t>
            </w:r>
          </w:p>
        </w:tc>
        <w:tc>
          <w:tcPr>
            <w:tcW w:w="7654" w:type="dxa"/>
            <w:tcBorders>
              <w:top w:val="nil"/>
              <w:left w:val="nil"/>
              <w:bottom w:val="nil"/>
              <w:right w:val="nil"/>
            </w:tcBorders>
            <w:shd w:val="clear" w:color="auto" w:fill="auto"/>
            <w:noWrap/>
            <w:hideMark/>
          </w:tcPr>
          <w:p w14:paraId="261BFCD6" w14:textId="78DBD7D8" w:rsidR="00CE3C27" w:rsidRPr="009B43C9" w:rsidRDefault="00CE3C27" w:rsidP="00CE3C27">
            <w:pPr>
              <w:rPr>
                <w:rFonts w:ascii="Calibri" w:hAnsi="Calibri" w:cs="Calibri"/>
                <w:color w:val="000000"/>
                <w:sz w:val="17"/>
                <w:szCs w:val="17"/>
              </w:rPr>
            </w:pPr>
            <w:r w:rsidRPr="009B43C9">
              <w:rPr>
                <w:rFonts w:ascii="Calibri" w:hAnsi="Calibri" w:cs="Calibri"/>
                <w:color w:val="000000"/>
                <w:sz w:val="17"/>
                <w:szCs w:val="17"/>
              </w:rPr>
              <w:t>Integrated Land-Use Planning</w:t>
            </w:r>
            <w:r w:rsidR="00F52739" w:rsidRPr="009B43C9">
              <w:rPr>
                <w:rStyle w:val="FootnoteReference"/>
                <w:rFonts w:ascii="Calibri" w:hAnsi="Calibri" w:cs="Calibri"/>
                <w:color w:val="000000"/>
                <w:sz w:val="17"/>
                <w:szCs w:val="17"/>
              </w:rPr>
              <w:footnoteReference w:id="2"/>
            </w:r>
          </w:p>
        </w:tc>
      </w:tr>
      <w:tr w:rsidR="00CE3C27" w:rsidRPr="009B43C9" w14:paraId="2DFE74A5" w14:textId="77777777" w:rsidTr="000F2855">
        <w:tc>
          <w:tcPr>
            <w:tcW w:w="1620" w:type="dxa"/>
            <w:tcBorders>
              <w:top w:val="nil"/>
              <w:left w:val="nil"/>
              <w:bottom w:val="nil"/>
              <w:right w:val="nil"/>
            </w:tcBorders>
            <w:shd w:val="clear" w:color="auto" w:fill="auto"/>
            <w:noWrap/>
            <w:hideMark/>
          </w:tcPr>
          <w:p w14:paraId="3E1663E8" w14:textId="77777777" w:rsidR="00CE3C27" w:rsidRPr="009B43C9" w:rsidRDefault="00CE3C27" w:rsidP="00CE3C27">
            <w:pPr>
              <w:rPr>
                <w:rFonts w:ascii="Calibri" w:hAnsi="Calibri" w:cs="Calibri"/>
                <w:color w:val="000000"/>
                <w:sz w:val="17"/>
                <w:szCs w:val="17"/>
              </w:rPr>
            </w:pPr>
            <w:r w:rsidRPr="009B43C9">
              <w:rPr>
                <w:rFonts w:ascii="Calibri" w:hAnsi="Calibri" w:cs="Calibri"/>
                <w:color w:val="000000"/>
                <w:sz w:val="17"/>
                <w:szCs w:val="17"/>
              </w:rPr>
              <w:t>INBAC</w:t>
            </w:r>
          </w:p>
        </w:tc>
        <w:tc>
          <w:tcPr>
            <w:tcW w:w="7654" w:type="dxa"/>
            <w:tcBorders>
              <w:top w:val="nil"/>
              <w:left w:val="nil"/>
              <w:bottom w:val="nil"/>
              <w:right w:val="nil"/>
            </w:tcBorders>
            <w:shd w:val="clear" w:color="auto" w:fill="auto"/>
            <w:noWrap/>
            <w:hideMark/>
          </w:tcPr>
          <w:p w14:paraId="7C03847C" w14:textId="77777777" w:rsidR="00CE3C27" w:rsidRPr="009B43C9" w:rsidRDefault="00CE3C27" w:rsidP="00CE3C27">
            <w:pPr>
              <w:rPr>
                <w:rFonts w:ascii="Calibri" w:hAnsi="Calibri" w:cs="Calibri"/>
                <w:color w:val="000000"/>
                <w:sz w:val="17"/>
                <w:szCs w:val="17"/>
              </w:rPr>
            </w:pPr>
            <w:r w:rsidRPr="009B43C9">
              <w:rPr>
                <w:rFonts w:ascii="Calibri" w:hAnsi="Calibri" w:cs="Calibri"/>
                <w:color w:val="000000"/>
                <w:sz w:val="17"/>
                <w:szCs w:val="17"/>
              </w:rPr>
              <w:t xml:space="preserve">National Institute for Biodiversity and Conservation Areas </w:t>
            </w:r>
          </w:p>
        </w:tc>
      </w:tr>
      <w:tr w:rsidR="00CE3C27" w:rsidRPr="009B43C9" w14:paraId="2C25C217" w14:textId="77777777" w:rsidTr="000F2855">
        <w:tc>
          <w:tcPr>
            <w:tcW w:w="1620" w:type="dxa"/>
            <w:tcBorders>
              <w:top w:val="nil"/>
              <w:left w:val="nil"/>
              <w:bottom w:val="nil"/>
              <w:right w:val="nil"/>
            </w:tcBorders>
            <w:shd w:val="clear" w:color="auto" w:fill="auto"/>
            <w:noWrap/>
            <w:hideMark/>
          </w:tcPr>
          <w:p w14:paraId="15CDB17D" w14:textId="77777777" w:rsidR="00CE3C27" w:rsidRPr="009B43C9" w:rsidRDefault="00CE3C27" w:rsidP="00CE3C27">
            <w:pPr>
              <w:rPr>
                <w:rFonts w:ascii="Calibri" w:hAnsi="Calibri" w:cs="Calibri"/>
                <w:color w:val="000000"/>
                <w:sz w:val="17"/>
                <w:szCs w:val="17"/>
              </w:rPr>
            </w:pPr>
            <w:r w:rsidRPr="009B43C9">
              <w:rPr>
                <w:rFonts w:ascii="Calibri" w:hAnsi="Calibri" w:cs="Calibri"/>
                <w:color w:val="000000"/>
                <w:sz w:val="17"/>
                <w:szCs w:val="17"/>
              </w:rPr>
              <w:t>INDC</w:t>
            </w:r>
          </w:p>
        </w:tc>
        <w:tc>
          <w:tcPr>
            <w:tcW w:w="7654" w:type="dxa"/>
            <w:tcBorders>
              <w:top w:val="nil"/>
              <w:left w:val="nil"/>
              <w:bottom w:val="nil"/>
              <w:right w:val="nil"/>
            </w:tcBorders>
            <w:shd w:val="clear" w:color="auto" w:fill="auto"/>
            <w:noWrap/>
            <w:hideMark/>
          </w:tcPr>
          <w:p w14:paraId="0F1ED032" w14:textId="77777777" w:rsidR="00CE3C27" w:rsidRPr="009B43C9" w:rsidRDefault="00CE3C27" w:rsidP="00CE3C27">
            <w:pPr>
              <w:rPr>
                <w:rFonts w:ascii="Calibri" w:hAnsi="Calibri" w:cs="Calibri"/>
                <w:color w:val="000000"/>
                <w:sz w:val="17"/>
                <w:szCs w:val="17"/>
              </w:rPr>
            </w:pPr>
            <w:r w:rsidRPr="009B43C9">
              <w:rPr>
                <w:rFonts w:ascii="Calibri" w:hAnsi="Calibri" w:cs="Calibri"/>
                <w:color w:val="000000"/>
                <w:sz w:val="17"/>
                <w:szCs w:val="17"/>
              </w:rPr>
              <w:t xml:space="preserve">Intended Nationally Determined Contribution </w:t>
            </w:r>
          </w:p>
        </w:tc>
      </w:tr>
      <w:tr w:rsidR="00CE3C27" w:rsidRPr="009B43C9" w14:paraId="10280506" w14:textId="77777777" w:rsidTr="000F2855">
        <w:tc>
          <w:tcPr>
            <w:tcW w:w="1620" w:type="dxa"/>
            <w:tcBorders>
              <w:top w:val="nil"/>
              <w:left w:val="nil"/>
              <w:bottom w:val="nil"/>
              <w:right w:val="nil"/>
            </w:tcBorders>
            <w:shd w:val="clear" w:color="auto" w:fill="auto"/>
            <w:noWrap/>
            <w:hideMark/>
          </w:tcPr>
          <w:p w14:paraId="3F93C179" w14:textId="77777777" w:rsidR="00CE3C27" w:rsidRPr="009B43C9" w:rsidRDefault="00CE3C27" w:rsidP="00CE3C27">
            <w:pPr>
              <w:rPr>
                <w:rFonts w:ascii="Calibri" w:hAnsi="Calibri" w:cs="Calibri"/>
                <w:color w:val="000000"/>
                <w:sz w:val="17"/>
                <w:szCs w:val="17"/>
              </w:rPr>
            </w:pPr>
            <w:r w:rsidRPr="009B43C9">
              <w:rPr>
                <w:rFonts w:ascii="Calibri" w:hAnsi="Calibri" w:cs="Calibri"/>
                <w:color w:val="000000"/>
                <w:sz w:val="17"/>
                <w:szCs w:val="17"/>
              </w:rPr>
              <w:t>INOTU</w:t>
            </w:r>
          </w:p>
        </w:tc>
        <w:tc>
          <w:tcPr>
            <w:tcW w:w="7654" w:type="dxa"/>
            <w:tcBorders>
              <w:top w:val="nil"/>
              <w:left w:val="nil"/>
              <w:bottom w:val="nil"/>
              <w:right w:val="nil"/>
            </w:tcBorders>
            <w:shd w:val="clear" w:color="auto" w:fill="auto"/>
            <w:noWrap/>
            <w:hideMark/>
          </w:tcPr>
          <w:p w14:paraId="227225FC" w14:textId="77777777" w:rsidR="00CE3C27" w:rsidRPr="009B43C9" w:rsidRDefault="00CE3C27" w:rsidP="00CE3C27">
            <w:pPr>
              <w:rPr>
                <w:rFonts w:ascii="Calibri" w:hAnsi="Calibri" w:cs="Calibri"/>
                <w:color w:val="000000"/>
                <w:sz w:val="17"/>
                <w:szCs w:val="17"/>
              </w:rPr>
            </w:pPr>
            <w:r w:rsidRPr="009B43C9">
              <w:rPr>
                <w:rFonts w:ascii="Calibri" w:hAnsi="Calibri" w:cs="Calibri"/>
                <w:color w:val="000000"/>
                <w:sz w:val="17"/>
                <w:szCs w:val="17"/>
              </w:rPr>
              <w:t>National Institute for Territorial Planning and Urban Development</w:t>
            </w:r>
          </w:p>
        </w:tc>
      </w:tr>
      <w:tr w:rsidR="00CE3C27" w:rsidRPr="009B43C9" w14:paraId="5588B230" w14:textId="77777777" w:rsidTr="000F2855">
        <w:tc>
          <w:tcPr>
            <w:tcW w:w="1620" w:type="dxa"/>
            <w:tcBorders>
              <w:top w:val="nil"/>
              <w:left w:val="nil"/>
              <w:bottom w:val="nil"/>
              <w:right w:val="nil"/>
            </w:tcBorders>
            <w:shd w:val="clear" w:color="auto" w:fill="auto"/>
            <w:noWrap/>
            <w:hideMark/>
          </w:tcPr>
          <w:p w14:paraId="6A556DCD" w14:textId="77777777" w:rsidR="00CE3C27" w:rsidRPr="009B43C9" w:rsidRDefault="00CE3C27" w:rsidP="00CE3C27">
            <w:pPr>
              <w:rPr>
                <w:rFonts w:ascii="Calibri" w:hAnsi="Calibri" w:cs="Calibri"/>
                <w:color w:val="000000"/>
                <w:sz w:val="17"/>
                <w:szCs w:val="17"/>
              </w:rPr>
            </w:pPr>
            <w:r w:rsidRPr="009B43C9">
              <w:rPr>
                <w:rFonts w:ascii="Calibri" w:hAnsi="Calibri" w:cs="Calibri"/>
                <w:color w:val="000000"/>
                <w:sz w:val="17"/>
                <w:szCs w:val="17"/>
              </w:rPr>
              <w:t>INRH</w:t>
            </w:r>
          </w:p>
        </w:tc>
        <w:tc>
          <w:tcPr>
            <w:tcW w:w="7654" w:type="dxa"/>
            <w:tcBorders>
              <w:top w:val="nil"/>
              <w:left w:val="nil"/>
              <w:bottom w:val="nil"/>
              <w:right w:val="nil"/>
            </w:tcBorders>
            <w:shd w:val="clear" w:color="auto" w:fill="auto"/>
            <w:noWrap/>
            <w:hideMark/>
          </w:tcPr>
          <w:p w14:paraId="6A623B45" w14:textId="77777777" w:rsidR="00CE3C27" w:rsidRPr="009B43C9" w:rsidRDefault="00CE3C27" w:rsidP="00CE3C27">
            <w:pPr>
              <w:rPr>
                <w:rFonts w:ascii="Calibri" w:hAnsi="Calibri" w:cs="Calibri"/>
                <w:color w:val="000000"/>
                <w:sz w:val="17"/>
                <w:szCs w:val="17"/>
              </w:rPr>
            </w:pPr>
            <w:r w:rsidRPr="009B43C9">
              <w:rPr>
                <w:rFonts w:ascii="Calibri" w:hAnsi="Calibri" w:cs="Calibri"/>
                <w:color w:val="000000"/>
                <w:sz w:val="17"/>
                <w:szCs w:val="17"/>
              </w:rPr>
              <w:t>National Institute of Water Resources</w:t>
            </w:r>
          </w:p>
        </w:tc>
      </w:tr>
      <w:tr w:rsidR="00CE3C27" w:rsidRPr="009B43C9" w14:paraId="0FBA0CAF" w14:textId="77777777" w:rsidTr="000F2855">
        <w:tc>
          <w:tcPr>
            <w:tcW w:w="1620" w:type="dxa"/>
            <w:tcBorders>
              <w:top w:val="nil"/>
              <w:left w:val="nil"/>
              <w:bottom w:val="nil"/>
              <w:right w:val="nil"/>
            </w:tcBorders>
            <w:shd w:val="clear" w:color="auto" w:fill="auto"/>
            <w:noWrap/>
            <w:hideMark/>
          </w:tcPr>
          <w:p w14:paraId="7828B965" w14:textId="77777777" w:rsidR="00CE3C27" w:rsidRPr="009B43C9" w:rsidRDefault="00CE3C27" w:rsidP="00CE3C27">
            <w:pPr>
              <w:rPr>
                <w:rFonts w:ascii="Calibri" w:hAnsi="Calibri" w:cs="Calibri"/>
                <w:color w:val="000000"/>
                <w:sz w:val="17"/>
                <w:szCs w:val="17"/>
              </w:rPr>
            </w:pPr>
            <w:r w:rsidRPr="009B43C9">
              <w:rPr>
                <w:rFonts w:ascii="Calibri" w:hAnsi="Calibri" w:cs="Calibri"/>
                <w:color w:val="000000"/>
                <w:sz w:val="17"/>
                <w:szCs w:val="17"/>
              </w:rPr>
              <w:t>IP</w:t>
            </w:r>
          </w:p>
        </w:tc>
        <w:tc>
          <w:tcPr>
            <w:tcW w:w="7654" w:type="dxa"/>
            <w:tcBorders>
              <w:top w:val="nil"/>
              <w:left w:val="nil"/>
              <w:bottom w:val="nil"/>
              <w:right w:val="nil"/>
            </w:tcBorders>
            <w:shd w:val="clear" w:color="auto" w:fill="auto"/>
            <w:noWrap/>
            <w:hideMark/>
          </w:tcPr>
          <w:p w14:paraId="4D5D4F5A" w14:textId="77777777" w:rsidR="00CE3C27" w:rsidRPr="009B43C9" w:rsidRDefault="00CE3C27" w:rsidP="00CE3C27">
            <w:pPr>
              <w:rPr>
                <w:rFonts w:ascii="Calibri" w:hAnsi="Calibri" w:cs="Calibri"/>
                <w:color w:val="000000"/>
                <w:sz w:val="17"/>
                <w:szCs w:val="17"/>
              </w:rPr>
            </w:pPr>
            <w:r w:rsidRPr="009B43C9">
              <w:rPr>
                <w:rFonts w:ascii="Calibri" w:hAnsi="Calibri" w:cs="Calibri"/>
                <w:color w:val="000000"/>
                <w:sz w:val="17"/>
                <w:szCs w:val="17"/>
              </w:rPr>
              <w:t>Impact Program</w:t>
            </w:r>
          </w:p>
        </w:tc>
      </w:tr>
      <w:tr w:rsidR="00CE3C27" w:rsidRPr="009B43C9" w14:paraId="4EB29BDE" w14:textId="77777777" w:rsidTr="000F2855">
        <w:tc>
          <w:tcPr>
            <w:tcW w:w="1620" w:type="dxa"/>
            <w:tcBorders>
              <w:top w:val="nil"/>
              <w:left w:val="nil"/>
              <w:bottom w:val="nil"/>
              <w:right w:val="nil"/>
            </w:tcBorders>
            <w:shd w:val="clear" w:color="auto" w:fill="auto"/>
            <w:noWrap/>
            <w:hideMark/>
          </w:tcPr>
          <w:p w14:paraId="6F855902" w14:textId="77777777" w:rsidR="00CE3C27" w:rsidRPr="009B43C9" w:rsidRDefault="00CE3C27" w:rsidP="00CE3C27">
            <w:pPr>
              <w:rPr>
                <w:rFonts w:ascii="Calibri" w:hAnsi="Calibri" w:cs="Calibri"/>
                <w:color w:val="000000"/>
                <w:sz w:val="17"/>
                <w:szCs w:val="17"/>
              </w:rPr>
            </w:pPr>
            <w:r w:rsidRPr="009B43C9">
              <w:rPr>
                <w:rFonts w:ascii="Calibri" w:hAnsi="Calibri" w:cs="Calibri"/>
                <w:color w:val="000000"/>
                <w:sz w:val="17"/>
                <w:szCs w:val="17"/>
              </w:rPr>
              <w:lastRenderedPageBreak/>
              <w:t>IWRM</w:t>
            </w:r>
          </w:p>
        </w:tc>
        <w:tc>
          <w:tcPr>
            <w:tcW w:w="7654" w:type="dxa"/>
            <w:tcBorders>
              <w:top w:val="nil"/>
              <w:left w:val="nil"/>
              <w:bottom w:val="nil"/>
              <w:right w:val="nil"/>
            </w:tcBorders>
            <w:shd w:val="clear" w:color="auto" w:fill="auto"/>
            <w:noWrap/>
            <w:hideMark/>
          </w:tcPr>
          <w:p w14:paraId="69B48DD9" w14:textId="77777777" w:rsidR="00CE3C27" w:rsidRPr="009B43C9" w:rsidRDefault="00CE3C27" w:rsidP="00CE3C27">
            <w:pPr>
              <w:rPr>
                <w:rFonts w:ascii="Calibri" w:hAnsi="Calibri" w:cs="Calibri"/>
                <w:color w:val="000000"/>
                <w:sz w:val="17"/>
                <w:szCs w:val="17"/>
              </w:rPr>
            </w:pPr>
            <w:r w:rsidRPr="009B43C9">
              <w:rPr>
                <w:rFonts w:ascii="Calibri" w:hAnsi="Calibri" w:cs="Calibri"/>
                <w:color w:val="000000"/>
                <w:sz w:val="17"/>
                <w:szCs w:val="17"/>
              </w:rPr>
              <w:t xml:space="preserve">Integrated Water Resource Management </w:t>
            </w:r>
          </w:p>
        </w:tc>
      </w:tr>
      <w:tr w:rsidR="00CE3C27" w:rsidRPr="009B43C9" w14:paraId="319E1D51" w14:textId="77777777" w:rsidTr="000F2855">
        <w:tc>
          <w:tcPr>
            <w:tcW w:w="1620" w:type="dxa"/>
            <w:tcBorders>
              <w:top w:val="nil"/>
              <w:left w:val="nil"/>
              <w:bottom w:val="nil"/>
              <w:right w:val="nil"/>
            </w:tcBorders>
            <w:shd w:val="clear" w:color="auto" w:fill="auto"/>
            <w:noWrap/>
            <w:hideMark/>
          </w:tcPr>
          <w:p w14:paraId="35126BEA" w14:textId="77777777" w:rsidR="00CE3C27" w:rsidRPr="009B43C9" w:rsidRDefault="00CE3C27" w:rsidP="00CE3C27">
            <w:pPr>
              <w:rPr>
                <w:rFonts w:ascii="Calibri" w:hAnsi="Calibri" w:cs="Calibri"/>
                <w:color w:val="000000"/>
                <w:sz w:val="17"/>
                <w:szCs w:val="17"/>
              </w:rPr>
            </w:pPr>
            <w:r w:rsidRPr="009B43C9">
              <w:rPr>
                <w:rFonts w:ascii="Calibri" w:hAnsi="Calibri" w:cs="Calibri"/>
                <w:color w:val="000000"/>
                <w:sz w:val="17"/>
                <w:szCs w:val="17"/>
              </w:rPr>
              <w:t>JFM</w:t>
            </w:r>
          </w:p>
        </w:tc>
        <w:tc>
          <w:tcPr>
            <w:tcW w:w="7654" w:type="dxa"/>
            <w:tcBorders>
              <w:top w:val="nil"/>
              <w:left w:val="nil"/>
              <w:bottom w:val="nil"/>
              <w:right w:val="nil"/>
            </w:tcBorders>
            <w:shd w:val="clear" w:color="auto" w:fill="auto"/>
            <w:noWrap/>
            <w:hideMark/>
          </w:tcPr>
          <w:p w14:paraId="1EC2C8CD" w14:textId="77777777" w:rsidR="00CE3C27" w:rsidRPr="009B43C9" w:rsidRDefault="00CE3C27" w:rsidP="00CE3C27">
            <w:pPr>
              <w:rPr>
                <w:rFonts w:ascii="Calibri" w:hAnsi="Calibri" w:cs="Calibri"/>
                <w:color w:val="000000"/>
                <w:sz w:val="17"/>
                <w:szCs w:val="17"/>
              </w:rPr>
            </w:pPr>
            <w:r w:rsidRPr="009B43C9">
              <w:rPr>
                <w:rFonts w:ascii="Calibri" w:hAnsi="Calibri" w:cs="Calibri"/>
                <w:color w:val="000000"/>
                <w:sz w:val="17"/>
                <w:szCs w:val="17"/>
              </w:rPr>
              <w:t xml:space="preserve">Joint Forest Management </w:t>
            </w:r>
          </w:p>
        </w:tc>
      </w:tr>
      <w:tr w:rsidR="00CE3C27" w:rsidRPr="009B43C9" w14:paraId="3F65A0B1" w14:textId="77777777" w:rsidTr="000F2855">
        <w:tc>
          <w:tcPr>
            <w:tcW w:w="1620" w:type="dxa"/>
            <w:tcBorders>
              <w:top w:val="nil"/>
              <w:left w:val="nil"/>
              <w:bottom w:val="nil"/>
              <w:right w:val="nil"/>
            </w:tcBorders>
            <w:shd w:val="clear" w:color="auto" w:fill="auto"/>
            <w:noWrap/>
            <w:hideMark/>
          </w:tcPr>
          <w:p w14:paraId="19D772C9" w14:textId="77777777" w:rsidR="00CE3C27" w:rsidRPr="009B43C9" w:rsidRDefault="00CE3C27" w:rsidP="00CE3C27">
            <w:pPr>
              <w:rPr>
                <w:rFonts w:ascii="Calibri" w:hAnsi="Calibri" w:cs="Calibri"/>
                <w:color w:val="000000"/>
                <w:sz w:val="17"/>
                <w:szCs w:val="17"/>
              </w:rPr>
            </w:pPr>
            <w:r w:rsidRPr="009B43C9">
              <w:rPr>
                <w:rFonts w:ascii="Calibri" w:hAnsi="Calibri" w:cs="Calibri"/>
                <w:color w:val="000000"/>
                <w:sz w:val="17"/>
                <w:szCs w:val="17"/>
              </w:rPr>
              <w:t>LD</w:t>
            </w:r>
          </w:p>
        </w:tc>
        <w:tc>
          <w:tcPr>
            <w:tcW w:w="7654" w:type="dxa"/>
            <w:tcBorders>
              <w:top w:val="nil"/>
              <w:left w:val="nil"/>
              <w:bottom w:val="nil"/>
              <w:right w:val="nil"/>
            </w:tcBorders>
            <w:shd w:val="clear" w:color="auto" w:fill="auto"/>
            <w:noWrap/>
            <w:hideMark/>
          </w:tcPr>
          <w:p w14:paraId="795B51FF" w14:textId="77777777" w:rsidR="00CE3C27" w:rsidRPr="009B43C9" w:rsidRDefault="00CE3C27" w:rsidP="00CE3C27">
            <w:pPr>
              <w:rPr>
                <w:rFonts w:ascii="Calibri" w:hAnsi="Calibri" w:cs="Calibri"/>
                <w:color w:val="000000"/>
                <w:sz w:val="17"/>
                <w:szCs w:val="17"/>
              </w:rPr>
            </w:pPr>
            <w:r w:rsidRPr="009B43C9">
              <w:rPr>
                <w:rFonts w:ascii="Calibri" w:hAnsi="Calibri" w:cs="Calibri"/>
                <w:color w:val="000000"/>
                <w:sz w:val="17"/>
                <w:szCs w:val="17"/>
              </w:rPr>
              <w:t>Land Degradation</w:t>
            </w:r>
          </w:p>
        </w:tc>
      </w:tr>
      <w:tr w:rsidR="00CE3C27" w:rsidRPr="009B43C9" w14:paraId="7D1FA82C" w14:textId="77777777" w:rsidTr="000F2855">
        <w:tc>
          <w:tcPr>
            <w:tcW w:w="1620" w:type="dxa"/>
            <w:tcBorders>
              <w:top w:val="nil"/>
              <w:left w:val="nil"/>
              <w:bottom w:val="nil"/>
              <w:right w:val="nil"/>
            </w:tcBorders>
            <w:shd w:val="clear" w:color="auto" w:fill="auto"/>
            <w:noWrap/>
            <w:hideMark/>
          </w:tcPr>
          <w:p w14:paraId="38D28649" w14:textId="77777777" w:rsidR="00CE3C27" w:rsidRPr="009B43C9" w:rsidRDefault="00CE3C27" w:rsidP="00CE3C27">
            <w:pPr>
              <w:rPr>
                <w:rFonts w:ascii="Calibri" w:hAnsi="Calibri" w:cs="Calibri"/>
                <w:color w:val="000000"/>
                <w:sz w:val="17"/>
                <w:szCs w:val="17"/>
              </w:rPr>
            </w:pPr>
            <w:r w:rsidRPr="009B43C9">
              <w:rPr>
                <w:rFonts w:ascii="Calibri" w:hAnsi="Calibri" w:cs="Calibri"/>
                <w:color w:val="000000"/>
                <w:sz w:val="17"/>
                <w:szCs w:val="17"/>
              </w:rPr>
              <w:t>LDCF</w:t>
            </w:r>
          </w:p>
        </w:tc>
        <w:tc>
          <w:tcPr>
            <w:tcW w:w="7654" w:type="dxa"/>
            <w:tcBorders>
              <w:top w:val="nil"/>
              <w:left w:val="nil"/>
              <w:bottom w:val="nil"/>
              <w:right w:val="nil"/>
            </w:tcBorders>
            <w:shd w:val="clear" w:color="auto" w:fill="auto"/>
            <w:noWrap/>
            <w:hideMark/>
          </w:tcPr>
          <w:p w14:paraId="7F766C24" w14:textId="77777777" w:rsidR="00CE3C27" w:rsidRPr="009B43C9" w:rsidRDefault="00CE3C27" w:rsidP="00CE3C27">
            <w:pPr>
              <w:rPr>
                <w:rFonts w:ascii="Calibri" w:hAnsi="Calibri" w:cs="Calibri"/>
                <w:color w:val="000000"/>
                <w:sz w:val="17"/>
                <w:szCs w:val="17"/>
              </w:rPr>
            </w:pPr>
            <w:r w:rsidRPr="009B43C9">
              <w:rPr>
                <w:rFonts w:ascii="Calibri" w:hAnsi="Calibri" w:cs="Calibri"/>
                <w:color w:val="000000"/>
                <w:sz w:val="17"/>
                <w:szCs w:val="17"/>
              </w:rPr>
              <w:t>Least Developed Countries Fund</w:t>
            </w:r>
          </w:p>
        </w:tc>
      </w:tr>
      <w:tr w:rsidR="00CE3C27" w:rsidRPr="009B43C9" w14:paraId="69D9BE6C" w14:textId="77777777" w:rsidTr="000F2855">
        <w:tc>
          <w:tcPr>
            <w:tcW w:w="1620" w:type="dxa"/>
            <w:tcBorders>
              <w:top w:val="nil"/>
              <w:left w:val="nil"/>
              <w:bottom w:val="nil"/>
              <w:right w:val="nil"/>
            </w:tcBorders>
            <w:shd w:val="clear" w:color="auto" w:fill="auto"/>
            <w:noWrap/>
            <w:hideMark/>
          </w:tcPr>
          <w:p w14:paraId="42838D01" w14:textId="77777777" w:rsidR="00CE3C27" w:rsidRPr="009B43C9" w:rsidRDefault="00CE3C27" w:rsidP="00CE3C27">
            <w:pPr>
              <w:rPr>
                <w:rFonts w:ascii="Calibri" w:hAnsi="Calibri" w:cs="Calibri"/>
                <w:color w:val="000000"/>
                <w:sz w:val="17"/>
                <w:szCs w:val="17"/>
              </w:rPr>
            </w:pPr>
            <w:r w:rsidRPr="009B43C9">
              <w:rPr>
                <w:rFonts w:ascii="Calibri" w:hAnsi="Calibri" w:cs="Calibri"/>
                <w:color w:val="000000"/>
                <w:sz w:val="17"/>
                <w:szCs w:val="17"/>
              </w:rPr>
              <w:t>LDN</w:t>
            </w:r>
          </w:p>
        </w:tc>
        <w:tc>
          <w:tcPr>
            <w:tcW w:w="7654" w:type="dxa"/>
            <w:tcBorders>
              <w:top w:val="nil"/>
              <w:left w:val="nil"/>
              <w:bottom w:val="nil"/>
              <w:right w:val="nil"/>
            </w:tcBorders>
            <w:shd w:val="clear" w:color="auto" w:fill="auto"/>
            <w:noWrap/>
            <w:hideMark/>
          </w:tcPr>
          <w:p w14:paraId="4BC5444B" w14:textId="77777777" w:rsidR="00CE3C27" w:rsidRPr="009B43C9" w:rsidRDefault="00CE3C27" w:rsidP="00CE3C27">
            <w:pPr>
              <w:rPr>
                <w:rFonts w:ascii="Calibri" w:hAnsi="Calibri" w:cs="Calibri"/>
                <w:color w:val="000000"/>
                <w:sz w:val="17"/>
                <w:szCs w:val="17"/>
              </w:rPr>
            </w:pPr>
            <w:r w:rsidRPr="009B43C9">
              <w:rPr>
                <w:rFonts w:ascii="Calibri" w:hAnsi="Calibri" w:cs="Calibri"/>
                <w:color w:val="000000"/>
                <w:sz w:val="17"/>
                <w:szCs w:val="17"/>
              </w:rPr>
              <w:t>Land Degradation Neutrality</w:t>
            </w:r>
          </w:p>
        </w:tc>
      </w:tr>
      <w:tr w:rsidR="00CE3C27" w:rsidRPr="009B43C9" w14:paraId="4BD870C3" w14:textId="77777777" w:rsidTr="000F2855">
        <w:tc>
          <w:tcPr>
            <w:tcW w:w="1620" w:type="dxa"/>
            <w:tcBorders>
              <w:top w:val="nil"/>
              <w:left w:val="nil"/>
              <w:bottom w:val="nil"/>
              <w:right w:val="nil"/>
            </w:tcBorders>
            <w:shd w:val="clear" w:color="auto" w:fill="auto"/>
            <w:noWrap/>
            <w:hideMark/>
          </w:tcPr>
          <w:p w14:paraId="616B1285" w14:textId="77777777" w:rsidR="00CE3C27" w:rsidRPr="009B43C9" w:rsidRDefault="00CE3C27" w:rsidP="00CE3C27">
            <w:pPr>
              <w:rPr>
                <w:rFonts w:ascii="Calibri" w:hAnsi="Calibri" w:cs="Calibri"/>
                <w:color w:val="000000"/>
                <w:sz w:val="17"/>
                <w:szCs w:val="17"/>
              </w:rPr>
            </w:pPr>
            <w:r w:rsidRPr="009B43C9">
              <w:rPr>
                <w:rFonts w:ascii="Calibri" w:hAnsi="Calibri" w:cs="Calibri"/>
                <w:color w:val="000000"/>
                <w:sz w:val="17"/>
                <w:szCs w:val="17"/>
              </w:rPr>
              <w:t>LDN-TSP</w:t>
            </w:r>
          </w:p>
        </w:tc>
        <w:tc>
          <w:tcPr>
            <w:tcW w:w="7654" w:type="dxa"/>
            <w:tcBorders>
              <w:top w:val="nil"/>
              <w:left w:val="nil"/>
              <w:bottom w:val="nil"/>
              <w:right w:val="nil"/>
            </w:tcBorders>
            <w:shd w:val="clear" w:color="auto" w:fill="auto"/>
            <w:noWrap/>
            <w:hideMark/>
          </w:tcPr>
          <w:p w14:paraId="63B257A0" w14:textId="77777777" w:rsidR="00CE3C27" w:rsidRPr="009B43C9" w:rsidRDefault="00CE3C27" w:rsidP="00CE3C27">
            <w:pPr>
              <w:rPr>
                <w:rFonts w:ascii="Calibri" w:hAnsi="Calibri" w:cs="Calibri"/>
                <w:color w:val="000000"/>
                <w:sz w:val="17"/>
                <w:szCs w:val="17"/>
              </w:rPr>
            </w:pPr>
            <w:r w:rsidRPr="009B43C9">
              <w:rPr>
                <w:rFonts w:ascii="Calibri" w:hAnsi="Calibri" w:cs="Calibri"/>
                <w:color w:val="000000"/>
                <w:sz w:val="17"/>
                <w:szCs w:val="17"/>
              </w:rPr>
              <w:t xml:space="preserve">Land Degradation Neutrality Target Setting Program </w:t>
            </w:r>
          </w:p>
        </w:tc>
      </w:tr>
      <w:tr w:rsidR="00CE3C27" w:rsidRPr="009B43C9" w14:paraId="40D4E34B" w14:textId="77777777" w:rsidTr="000F2855">
        <w:tc>
          <w:tcPr>
            <w:tcW w:w="1620" w:type="dxa"/>
            <w:tcBorders>
              <w:top w:val="nil"/>
              <w:left w:val="nil"/>
              <w:bottom w:val="nil"/>
              <w:right w:val="nil"/>
            </w:tcBorders>
            <w:shd w:val="clear" w:color="auto" w:fill="auto"/>
            <w:noWrap/>
            <w:hideMark/>
          </w:tcPr>
          <w:p w14:paraId="496AC84C" w14:textId="77777777" w:rsidR="00CE3C27" w:rsidRPr="009B43C9" w:rsidRDefault="00CE3C27" w:rsidP="00CE3C27">
            <w:pPr>
              <w:rPr>
                <w:rFonts w:ascii="Calibri" w:hAnsi="Calibri" w:cs="Calibri"/>
                <w:color w:val="000000"/>
                <w:sz w:val="17"/>
                <w:szCs w:val="17"/>
              </w:rPr>
            </w:pPr>
            <w:r w:rsidRPr="009B43C9">
              <w:rPr>
                <w:rFonts w:ascii="Calibri" w:hAnsi="Calibri" w:cs="Calibri"/>
                <w:color w:val="000000"/>
                <w:sz w:val="17"/>
                <w:szCs w:val="17"/>
              </w:rPr>
              <w:t>LMU(s)</w:t>
            </w:r>
          </w:p>
        </w:tc>
        <w:tc>
          <w:tcPr>
            <w:tcW w:w="7654" w:type="dxa"/>
            <w:tcBorders>
              <w:top w:val="nil"/>
              <w:left w:val="nil"/>
              <w:bottom w:val="nil"/>
              <w:right w:val="nil"/>
            </w:tcBorders>
            <w:shd w:val="clear" w:color="auto" w:fill="auto"/>
            <w:noWrap/>
            <w:hideMark/>
          </w:tcPr>
          <w:p w14:paraId="2092F530" w14:textId="77777777" w:rsidR="00CE3C27" w:rsidRPr="009B43C9" w:rsidRDefault="00CE3C27" w:rsidP="00CE3C27">
            <w:pPr>
              <w:rPr>
                <w:rFonts w:ascii="Calibri" w:hAnsi="Calibri" w:cs="Calibri"/>
                <w:color w:val="000000"/>
                <w:sz w:val="17"/>
                <w:szCs w:val="17"/>
              </w:rPr>
            </w:pPr>
            <w:r w:rsidRPr="009B43C9">
              <w:rPr>
                <w:rFonts w:ascii="Calibri" w:hAnsi="Calibri" w:cs="Calibri"/>
                <w:color w:val="000000"/>
                <w:sz w:val="17"/>
                <w:szCs w:val="17"/>
              </w:rPr>
              <w:t>Land Management Unit(s)</w:t>
            </w:r>
          </w:p>
        </w:tc>
      </w:tr>
      <w:tr w:rsidR="00CE3C27" w:rsidRPr="009B43C9" w14:paraId="72639212" w14:textId="77777777" w:rsidTr="000F2855">
        <w:tc>
          <w:tcPr>
            <w:tcW w:w="1620" w:type="dxa"/>
            <w:tcBorders>
              <w:top w:val="nil"/>
              <w:left w:val="nil"/>
              <w:bottom w:val="nil"/>
              <w:right w:val="nil"/>
            </w:tcBorders>
            <w:shd w:val="clear" w:color="auto" w:fill="auto"/>
            <w:noWrap/>
            <w:hideMark/>
          </w:tcPr>
          <w:p w14:paraId="42207835" w14:textId="77777777" w:rsidR="00CE3C27" w:rsidRPr="009B43C9" w:rsidRDefault="00CE3C27" w:rsidP="00CE3C27">
            <w:pPr>
              <w:rPr>
                <w:rFonts w:ascii="Calibri" w:hAnsi="Calibri" w:cs="Calibri"/>
                <w:color w:val="000000"/>
                <w:sz w:val="17"/>
                <w:szCs w:val="17"/>
              </w:rPr>
            </w:pPr>
            <w:r w:rsidRPr="009B43C9">
              <w:rPr>
                <w:rFonts w:ascii="Calibri" w:hAnsi="Calibri" w:cs="Calibri"/>
                <w:color w:val="000000"/>
                <w:sz w:val="17"/>
                <w:szCs w:val="17"/>
              </w:rPr>
              <w:t>LPD</w:t>
            </w:r>
          </w:p>
        </w:tc>
        <w:tc>
          <w:tcPr>
            <w:tcW w:w="7654" w:type="dxa"/>
            <w:tcBorders>
              <w:top w:val="nil"/>
              <w:left w:val="nil"/>
              <w:bottom w:val="nil"/>
              <w:right w:val="nil"/>
            </w:tcBorders>
            <w:shd w:val="clear" w:color="auto" w:fill="auto"/>
            <w:noWrap/>
            <w:hideMark/>
          </w:tcPr>
          <w:p w14:paraId="72B0596D" w14:textId="77777777" w:rsidR="00CE3C27" w:rsidRPr="009B43C9" w:rsidRDefault="00CE3C27" w:rsidP="00CE3C27">
            <w:pPr>
              <w:rPr>
                <w:rFonts w:ascii="Calibri" w:hAnsi="Calibri" w:cs="Calibri"/>
                <w:color w:val="000000"/>
                <w:sz w:val="17"/>
                <w:szCs w:val="17"/>
              </w:rPr>
            </w:pPr>
            <w:r w:rsidRPr="009B43C9">
              <w:rPr>
                <w:rFonts w:ascii="Calibri" w:hAnsi="Calibri" w:cs="Calibri"/>
                <w:color w:val="000000"/>
                <w:sz w:val="17"/>
                <w:szCs w:val="17"/>
              </w:rPr>
              <w:t>Land Productivity Dynamics</w:t>
            </w:r>
          </w:p>
        </w:tc>
      </w:tr>
      <w:tr w:rsidR="00CE3C27" w:rsidRPr="009B43C9" w14:paraId="0070A088" w14:textId="77777777" w:rsidTr="000F2855">
        <w:tc>
          <w:tcPr>
            <w:tcW w:w="1620" w:type="dxa"/>
            <w:tcBorders>
              <w:top w:val="nil"/>
              <w:left w:val="nil"/>
              <w:bottom w:val="nil"/>
              <w:right w:val="nil"/>
            </w:tcBorders>
            <w:shd w:val="clear" w:color="auto" w:fill="auto"/>
            <w:noWrap/>
            <w:hideMark/>
          </w:tcPr>
          <w:p w14:paraId="70E7B6E5" w14:textId="77777777" w:rsidR="00CE3C27" w:rsidRPr="009B43C9" w:rsidRDefault="00CE3C27" w:rsidP="00CE3C27">
            <w:pPr>
              <w:rPr>
                <w:rFonts w:ascii="Calibri" w:hAnsi="Calibri" w:cs="Calibri"/>
                <w:color w:val="000000"/>
                <w:sz w:val="17"/>
                <w:szCs w:val="17"/>
              </w:rPr>
            </w:pPr>
            <w:r w:rsidRPr="009B43C9">
              <w:rPr>
                <w:rFonts w:ascii="Calibri" w:hAnsi="Calibri" w:cs="Calibri"/>
                <w:color w:val="000000"/>
                <w:sz w:val="17"/>
                <w:szCs w:val="17"/>
              </w:rPr>
              <w:t>LULUCF</w:t>
            </w:r>
          </w:p>
        </w:tc>
        <w:tc>
          <w:tcPr>
            <w:tcW w:w="7654" w:type="dxa"/>
            <w:tcBorders>
              <w:top w:val="nil"/>
              <w:left w:val="nil"/>
              <w:bottom w:val="nil"/>
              <w:right w:val="nil"/>
            </w:tcBorders>
            <w:shd w:val="clear" w:color="auto" w:fill="auto"/>
            <w:noWrap/>
            <w:hideMark/>
          </w:tcPr>
          <w:p w14:paraId="046060DD" w14:textId="77777777" w:rsidR="00CE3C27" w:rsidRPr="009B43C9" w:rsidRDefault="00CE3C27" w:rsidP="00CE3C27">
            <w:pPr>
              <w:rPr>
                <w:rFonts w:ascii="Calibri" w:hAnsi="Calibri" w:cs="Calibri"/>
                <w:color w:val="000000"/>
                <w:sz w:val="17"/>
                <w:szCs w:val="17"/>
              </w:rPr>
            </w:pPr>
            <w:r w:rsidRPr="009B43C9">
              <w:rPr>
                <w:rFonts w:ascii="Calibri" w:hAnsi="Calibri" w:cs="Calibri"/>
                <w:color w:val="000000"/>
                <w:sz w:val="17"/>
                <w:szCs w:val="17"/>
              </w:rPr>
              <w:t>Land Use, Land-Use Change and Forestry</w:t>
            </w:r>
          </w:p>
        </w:tc>
      </w:tr>
      <w:tr w:rsidR="00CE3C27" w:rsidRPr="009B43C9" w14:paraId="146A0964" w14:textId="77777777" w:rsidTr="000F2855">
        <w:tc>
          <w:tcPr>
            <w:tcW w:w="1620" w:type="dxa"/>
            <w:tcBorders>
              <w:top w:val="nil"/>
              <w:left w:val="nil"/>
              <w:bottom w:val="nil"/>
              <w:right w:val="nil"/>
            </w:tcBorders>
            <w:shd w:val="clear" w:color="auto" w:fill="auto"/>
            <w:noWrap/>
            <w:hideMark/>
          </w:tcPr>
          <w:p w14:paraId="7BCB3541" w14:textId="77777777" w:rsidR="00CE3C27" w:rsidRPr="009B43C9" w:rsidRDefault="00CE3C27" w:rsidP="00CE3C27">
            <w:pPr>
              <w:rPr>
                <w:rFonts w:ascii="Calibri" w:hAnsi="Calibri" w:cs="Calibri"/>
                <w:color w:val="000000"/>
                <w:sz w:val="17"/>
                <w:szCs w:val="17"/>
              </w:rPr>
            </w:pPr>
            <w:r w:rsidRPr="009B43C9">
              <w:rPr>
                <w:rFonts w:ascii="Calibri" w:hAnsi="Calibri" w:cs="Calibri"/>
                <w:color w:val="000000"/>
                <w:sz w:val="17"/>
                <w:szCs w:val="17"/>
              </w:rPr>
              <w:t>LUS(s)</w:t>
            </w:r>
          </w:p>
        </w:tc>
        <w:tc>
          <w:tcPr>
            <w:tcW w:w="7654" w:type="dxa"/>
            <w:tcBorders>
              <w:top w:val="nil"/>
              <w:left w:val="nil"/>
              <w:bottom w:val="nil"/>
              <w:right w:val="nil"/>
            </w:tcBorders>
            <w:shd w:val="clear" w:color="auto" w:fill="auto"/>
            <w:noWrap/>
            <w:hideMark/>
          </w:tcPr>
          <w:p w14:paraId="3DC6F321" w14:textId="77777777" w:rsidR="00CE3C27" w:rsidRPr="009B43C9" w:rsidRDefault="00CE3C27" w:rsidP="00CE3C27">
            <w:pPr>
              <w:rPr>
                <w:rFonts w:ascii="Calibri" w:hAnsi="Calibri" w:cs="Calibri"/>
                <w:color w:val="000000"/>
                <w:sz w:val="17"/>
                <w:szCs w:val="17"/>
              </w:rPr>
            </w:pPr>
            <w:r w:rsidRPr="009B43C9">
              <w:rPr>
                <w:rFonts w:ascii="Calibri" w:hAnsi="Calibri" w:cs="Calibri"/>
                <w:color w:val="000000"/>
                <w:sz w:val="17"/>
                <w:szCs w:val="17"/>
              </w:rPr>
              <w:t xml:space="preserve">Land-Use System(s) </w:t>
            </w:r>
          </w:p>
        </w:tc>
      </w:tr>
      <w:tr w:rsidR="00CE3C27" w:rsidRPr="009B43C9" w14:paraId="7021C031" w14:textId="77777777" w:rsidTr="000F2855">
        <w:tc>
          <w:tcPr>
            <w:tcW w:w="1620" w:type="dxa"/>
            <w:tcBorders>
              <w:top w:val="nil"/>
              <w:left w:val="nil"/>
              <w:bottom w:val="nil"/>
              <w:right w:val="nil"/>
            </w:tcBorders>
            <w:shd w:val="clear" w:color="auto" w:fill="auto"/>
            <w:noWrap/>
            <w:hideMark/>
          </w:tcPr>
          <w:p w14:paraId="42F6F0FC" w14:textId="77777777" w:rsidR="00CE3C27" w:rsidRPr="009B43C9" w:rsidRDefault="00CE3C27" w:rsidP="00CE3C27">
            <w:pPr>
              <w:rPr>
                <w:rFonts w:ascii="Calibri" w:hAnsi="Calibri" w:cs="Calibri"/>
                <w:color w:val="000000"/>
                <w:sz w:val="17"/>
                <w:szCs w:val="17"/>
              </w:rPr>
            </w:pPr>
            <w:r w:rsidRPr="009B43C9">
              <w:rPr>
                <w:rFonts w:ascii="Calibri" w:hAnsi="Calibri" w:cs="Calibri"/>
                <w:color w:val="000000"/>
                <w:sz w:val="17"/>
                <w:szCs w:val="17"/>
              </w:rPr>
              <w:t>M&amp;E</w:t>
            </w:r>
          </w:p>
        </w:tc>
        <w:tc>
          <w:tcPr>
            <w:tcW w:w="7654" w:type="dxa"/>
            <w:tcBorders>
              <w:top w:val="nil"/>
              <w:left w:val="nil"/>
              <w:bottom w:val="nil"/>
              <w:right w:val="nil"/>
            </w:tcBorders>
            <w:shd w:val="clear" w:color="auto" w:fill="auto"/>
            <w:noWrap/>
            <w:hideMark/>
          </w:tcPr>
          <w:p w14:paraId="1687BB1B" w14:textId="77777777" w:rsidR="00CE3C27" w:rsidRPr="009B43C9" w:rsidRDefault="00CE3C27" w:rsidP="00CE3C27">
            <w:pPr>
              <w:rPr>
                <w:rFonts w:ascii="Calibri" w:hAnsi="Calibri" w:cs="Calibri"/>
                <w:color w:val="000000"/>
                <w:sz w:val="17"/>
                <w:szCs w:val="17"/>
              </w:rPr>
            </w:pPr>
            <w:r w:rsidRPr="009B43C9">
              <w:rPr>
                <w:rFonts w:ascii="Calibri" w:hAnsi="Calibri" w:cs="Calibri"/>
                <w:color w:val="000000"/>
                <w:sz w:val="17"/>
                <w:szCs w:val="17"/>
              </w:rPr>
              <w:t>Monitoring and Evaluation</w:t>
            </w:r>
          </w:p>
        </w:tc>
      </w:tr>
      <w:tr w:rsidR="00CE3C27" w:rsidRPr="009B43C9" w14:paraId="7D6B6B5B" w14:textId="77777777" w:rsidTr="000F2855">
        <w:tc>
          <w:tcPr>
            <w:tcW w:w="1620" w:type="dxa"/>
            <w:tcBorders>
              <w:top w:val="nil"/>
              <w:left w:val="nil"/>
              <w:bottom w:val="nil"/>
              <w:right w:val="nil"/>
            </w:tcBorders>
            <w:shd w:val="clear" w:color="auto" w:fill="auto"/>
            <w:noWrap/>
            <w:hideMark/>
          </w:tcPr>
          <w:p w14:paraId="59D6F948" w14:textId="77777777" w:rsidR="00CE3C27" w:rsidRPr="009B43C9" w:rsidRDefault="00CE3C27" w:rsidP="00CE3C27">
            <w:pPr>
              <w:rPr>
                <w:rFonts w:ascii="Calibri" w:hAnsi="Calibri" w:cs="Calibri"/>
                <w:color w:val="000000"/>
                <w:sz w:val="17"/>
                <w:szCs w:val="17"/>
              </w:rPr>
            </w:pPr>
            <w:r w:rsidRPr="009B43C9">
              <w:rPr>
                <w:rFonts w:ascii="Calibri" w:hAnsi="Calibri" w:cs="Calibri"/>
                <w:color w:val="000000"/>
                <w:sz w:val="17"/>
                <w:szCs w:val="17"/>
              </w:rPr>
              <w:t>MAT</w:t>
            </w:r>
          </w:p>
        </w:tc>
        <w:tc>
          <w:tcPr>
            <w:tcW w:w="7654" w:type="dxa"/>
            <w:tcBorders>
              <w:top w:val="nil"/>
              <w:left w:val="nil"/>
              <w:bottom w:val="nil"/>
              <w:right w:val="nil"/>
            </w:tcBorders>
            <w:shd w:val="clear" w:color="auto" w:fill="auto"/>
            <w:noWrap/>
            <w:hideMark/>
          </w:tcPr>
          <w:p w14:paraId="27262523" w14:textId="77777777" w:rsidR="00CE3C27" w:rsidRPr="009B43C9" w:rsidRDefault="00CE3C27" w:rsidP="00CE3C27">
            <w:pPr>
              <w:rPr>
                <w:rFonts w:ascii="Calibri" w:hAnsi="Calibri" w:cs="Calibri"/>
                <w:color w:val="000000"/>
                <w:sz w:val="17"/>
                <w:szCs w:val="17"/>
              </w:rPr>
            </w:pPr>
            <w:r w:rsidRPr="009B43C9">
              <w:rPr>
                <w:rFonts w:ascii="Calibri" w:hAnsi="Calibri" w:cs="Calibri"/>
                <w:color w:val="000000"/>
                <w:sz w:val="17"/>
                <w:szCs w:val="17"/>
              </w:rPr>
              <w:t xml:space="preserve">Ministry of Territorial Administration and State Reform </w:t>
            </w:r>
          </w:p>
        </w:tc>
      </w:tr>
      <w:tr w:rsidR="00CE3C27" w:rsidRPr="009B43C9" w14:paraId="23A87988" w14:textId="77777777" w:rsidTr="000F2855">
        <w:tc>
          <w:tcPr>
            <w:tcW w:w="1620" w:type="dxa"/>
            <w:tcBorders>
              <w:top w:val="nil"/>
              <w:left w:val="nil"/>
              <w:bottom w:val="nil"/>
              <w:right w:val="nil"/>
            </w:tcBorders>
            <w:shd w:val="clear" w:color="auto" w:fill="auto"/>
            <w:noWrap/>
            <w:hideMark/>
          </w:tcPr>
          <w:p w14:paraId="1D027261" w14:textId="77777777" w:rsidR="00CE3C27" w:rsidRPr="009B43C9" w:rsidRDefault="00CE3C27" w:rsidP="00CE3C27">
            <w:pPr>
              <w:rPr>
                <w:rFonts w:ascii="Calibri" w:hAnsi="Calibri" w:cs="Calibri"/>
                <w:color w:val="000000"/>
                <w:sz w:val="17"/>
                <w:szCs w:val="17"/>
              </w:rPr>
            </w:pPr>
            <w:r w:rsidRPr="009B43C9">
              <w:rPr>
                <w:rFonts w:ascii="Calibri" w:hAnsi="Calibri" w:cs="Calibri"/>
                <w:color w:val="000000"/>
                <w:sz w:val="17"/>
                <w:szCs w:val="17"/>
              </w:rPr>
              <w:t>MFA</w:t>
            </w:r>
          </w:p>
        </w:tc>
        <w:tc>
          <w:tcPr>
            <w:tcW w:w="7654" w:type="dxa"/>
            <w:tcBorders>
              <w:top w:val="nil"/>
              <w:left w:val="nil"/>
              <w:bottom w:val="nil"/>
              <w:right w:val="nil"/>
            </w:tcBorders>
            <w:shd w:val="clear" w:color="auto" w:fill="auto"/>
            <w:noWrap/>
            <w:hideMark/>
          </w:tcPr>
          <w:p w14:paraId="01EAB182" w14:textId="77777777" w:rsidR="00CE3C27" w:rsidRPr="009B43C9" w:rsidRDefault="00CE3C27" w:rsidP="00CE3C27">
            <w:pPr>
              <w:rPr>
                <w:rFonts w:ascii="Calibri" w:hAnsi="Calibri" w:cs="Calibri"/>
                <w:color w:val="000000"/>
                <w:sz w:val="17"/>
                <w:szCs w:val="17"/>
              </w:rPr>
            </w:pPr>
            <w:r w:rsidRPr="009B43C9">
              <w:rPr>
                <w:rFonts w:ascii="Calibri" w:hAnsi="Calibri" w:cs="Calibri"/>
                <w:color w:val="000000"/>
                <w:sz w:val="17"/>
                <w:szCs w:val="17"/>
              </w:rPr>
              <w:t>Multi-Focal Area</w:t>
            </w:r>
          </w:p>
        </w:tc>
      </w:tr>
      <w:tr w:rsidR="00CE3C27" w:rsidRPr="009B43C9" w14:paraId="3245A889" w14:textId="77777777" w:rsidTr="000F2855">
        <w:tc>
          <w:tcPr>
            <w:tcW w:w="1620" w:type="dxa"/>
            <w:tcBorders>
              <w:top w:val="nil"/>
              <w:left w:val="nil"/>
              <w:bottom w:val="nil"/>
              <w:right w:val="nil"/>
            </w:tcBorders>
            <w:shd w:val="clear" w:color="auto" w:fill="auto"/>
            <w:noWrap/>
            <w:hideMark/>
          </w:tcPr>
          <w:p w14:paraId="114B1DD2" w14:textId="353BDC80" w:rsidR="00CE3C27" w:rsidRPr="009B43C9" w:rsidRDefault="423E345F" w:rsidP="00CE3C27">
            <w:pPr>
              <w:rPr>
                <w:rFonts w:ascii="Calibri" w:hAnsi="Calibri" w:cs="Calibri"/>
                <w:color w:val="000000"/>
                <w:sz w:val="17"/>
                <w:szCs w:val="17"/>
              </w:rPr>
            </w:pPr>
            <w:r w:rsidRPr="4D10DE74">
              <w:rPr>
                <w:rFonts w:ascii="Calibri" w:hAnsi="Calibri" w:cs="Calibri"/>
                <w:color w:val="000000" w:themeColor="text1"/>
                <w:sz w:val="17"/>
                <w:szCs w:val="17"/>
              </w:rPr>
              <w:t>MINAGRI</w:t>
            </w:r>
            <w:r w:rsidR="0ABE2B86" w:rsidRPr="4D10DE74">
              <w:rPr>
                <w:rFonts w:ascii="Calibri" w:hAnsi="Calibri" w:cs="Calibri"/>
                <w:color w:val="000000" w:themeColor="text1"/>
                <w:sz w:val="17"/>
                <w:szCs w:val="17"/>
              </w:rPr>
              <w:t>P</w:t>
            </w:r>
          </w:p>
        </w:tc>
        <w:tc>
          <w:tcPr>
            <w:tcW w:w="7654" w:type="dxa"/>
            <w:tcBorders>
              <w:top w:val="nil"/>
              <w:left w:val="nil"/>
              <w:bottom w:val="nil"/>
              <w:right w:val="nil"/>
            </w:tcBorders>
            <w:shd w:val="clear" w:color="auto" w:fill="auto"/>
            <w:noWrap/>
            <w:hideMark/>
          </w:tcPr>
          <w:p w14:paraId="09C3A961" w14:textId="72244394" w:rsidR="00CE3C27" w:rsidRPr="009B43C9" w:rsidRDefault="00CE3C27" w:rsidP="00CE3C27">
            <w:pPr>
              <w:rPr>
                <w:rFonts w:ascii="Calibri" w:hAnsi="Calibri" w:cs="Calibri"/>
                <w:color w:val="000000"/>
                <w:sz w:val="17"/>
                <w:szCs w:val="17"/>
              </w:rPr>
            </w:pPr>
            <w:r w:rsidRPr="23356FAB">
              <w:rPr>
                <w:rFonts w:ascii="Calibri" w:hAnsi="Calibri" w:cs="Calibri"/>
                <w:color w:val="000000" w:themeColor="text1"/>
                <w:sz w:val="17"/>
                <w:szCs w:val="17"/>
              </w:rPr>
              <w:t xml:space="preserve">Ministry of Agriculture and </w:t>
            </w:r>
            <w:r w:rsidR="1BB20832" w:rsidRPr="23356FAB">
              <w:rPr>
                <w:rFonts w:ascii="Calibri" w:hAnsi="Calibri" w:cs="Calibri"/>
                <w:color w:val="000000" w:themeColor="text1"/>
                <w:sz w:val="17"/>
                <w:szCs w:val="17"/>
              </w:rPr>
              <w:t>Fishery</w:t>
            </w:r>
          </w:p>
        </w:tc>
      </w:tr>
      <w:tr w:rsidR="00CE3C27" w:rsidRPr="009B43C9" w14:paraId="41D5DEA0" w14:textId="77777777" w:rsidTr="000F2855">
        <w:tc>
          <w:tcPr>
            <w:tcW w:w="1620" w:type="dxa"/>
            <w:tcBorders>
              <w:top w:val="nil"/>
              <w:left w:val="nil"/>
              <w:bottom w:val="nil"/>
              <w:right w:val="nil"/>
            </w:tcBorders>
            <w:shd w:val="clear" w:color="auto" w:fill="auto"/>
            <w:noWrap/>
            <w:hideMark/>
          </w:tcPr>
          <w:p w14:paraId="355F4F62" w14:textId="5AAE7751" w:rsidR="00CE3C27" w:rsidRPr="00A55D9B" w:rsidRDefault="1EFCE62D" w:rsidP="00CE3C27">
            <w:pPr>
              <w:rPr>
                <w:rFonts w:ascii="Calibri" w:hAnsi="Calibri" w:cs="Calibri"/>
                <w:color w:val="000000"/>
                <w:sz w:val="17"/>
                <w:szCs w:val="17"/>
              </w:rPr>
            </w:pPr>
            <w:r w:rsidRPr="00A55D9B">
              <w:rPr>
                <w:rFonts w:ascii="Calibri" w:hAnsi="Calibri" w:cs="Calibri"/>
                <w:color w:val="000000" w:themeColor="text1"/>
                <w:sz w:val="17"/>
                <w:szCs w:val="17"/>
              </w:rPr>
              <w:t>M</w:t>
            </w:r>
            <w:r w:rsidR="1B867E1F" w:rsidRPr="00A55D9B">
              <w:rPr>
                <w:rFonts w:ascii="Calibri" w:hAnsi="Calibri" w:cs="Calibri"/>
                <w:color w:val="000000" w:themeColor="text1"/>
                <w:sz w:val="17"/>
                <w:szCs w:val="17"/>
              </w:rPr>
              <w:t>CTA</w:t>
            </w:r>
          </w:p>
        </w:tc>
        <w:tc>
          <w:tcPr>
            <w:tcW w:w="7654" w:type="dxa"/>
            <w:tcBorders>
              <w:top w:val="nil"/>
              <w:left w:val="nil"/>
              <w:bottom w:val="nil"/>
              <w:right w:val="nil"/>
            </w:tcBorders>
            <w:shd w:val="clear" w:color="auto" w:fill="auto"/>
            <w:noWrap/>
            <w:hideMark/>
          </w:tcPr>
          <w:p w14:paraId="2475449C" w14:textId="0C1363D5" w:rsidR="00CE3C27" w:rsidRPr="00A55D9B" w:rsidRDefault="6F2D0E8F" w:rsidP="00CE3C27">
            <w:pPr>
              <w:rPr>
                <w:rFonts w:ascii="Calibri" w:hAnsi="Calibri" w:cs="Calibri"/>
                <w:color w:val="000000"/>
                <w:sz w:val="17"/>
                <w:szCs w:val="17"/>
              </w:rPr>
            </w:pPr>
            <w:r w:rsidRPr="00A55D9B">
              <w:rPr>
                <w:rFonts w:ascii="Calibri" w:hAnsi="Calibri" w:cs="Calibri"/>
                <w:color w:val="000000" w:themeColor="text1"/>
                <w:sz w:val="17"/>
                <w:szCs w:val="17"/>
              </w:rPr>
              <w:t xml:space="preserve">Ministry of Culture, Tourism and Environment </w:t>
            </w:r>
          </w:p>
        </w:tc>
      </w:tr>
      <w:tr w:rsidR="00CE3C27" w:rsidRPr="009B43C9" w14:paraId="4077D12C" w14:textId="77777777" w:rsidTr="000F2855">
        <w:tc>
          <w:tcPr>
            <w:tcW w:w="1620" w:type="dxa"/>
            <w:tcBorders>
              <w:top w:val="nil"/>
              <w:left w:val="nil"/>
              <w:bottom w:val="nil"/>
              <w:right w:val="nil"/>
            </w:tcBorders>
            <w:shd w:val="clear" w:color="auto" w:fill="auto"/>
            <w:noWrap/>
            <w:hideMark/>
          </w:tcPr>
          <w:p w14:paraId="44CA84AE" w14:textId="77777777" w:rsidR="00CE3C27" w:rsidRPr="009B43C9" w:rsidRDefault="00CE3C27" w:rsidP="00CE3C27">
            <w:pPr>
              <w:rPr>
                <w:rFonts w:ascii="Calibri" w:hAnsi="Calibri" w:cs="Calibri"/>
                <w:color w:val="000000"/>
                <w:sz w:val="17"/>
                <w:szCs w:val="17"/>
              </w:rPr>
            </w:pPr>
            <w:r w:rsidRPr="009B43C9">
              <w:rPr>
                <w:rFonts w:ascii="Calibri" w:hAnsi="Calibri" w:cs="Calibri"/>
                <w:color w:val="000000"/>
                <w:sz w:val="17"/>
                <w:szCs w:val="17"/>
              </w:rPr>
              <w:t>MINEA</w:t>
            </w:r>
          </w:p>
        </w:tc>
        <w:tc>
          <w:tcPr>
            <w:tcW w:w="7654" w:type="dxa"/>
            <w:tcBorders>
              <w:top w:val="nil"/>
              <w:left w:val="nil"/>
              <w:bottom w:val="nil"/>
              <w:right w:val="nil"/>
            </w:tcBorders>
            <w:shd w:val="clear" w:color="auto" w:fill="auto"/>
            <w:noWrap/>
            <w:hideMark/>
          </w:tcPr>
          <w:p w14:paraId="2850D7E9" w14:textId="77777777" w:rsidR="00CE3C27" w:rsidRPr="009B43C9" w:rsidRDefault="00CE3C27" w:rsidP="00CE3C27">
            <w:pPr>
              <w:rPr>
                <w:rFonts w:ascii="Calibri" w:hAnsi="Calibri" w:cs="Calibri"/>
                <w:color w:val="000000"/>
                <w:sz w:val="17"/>
                <w:szCs w:val="17"/>
              </w:rPr>
            </w:pPr>
            <w:r w:rsidRPr="009B43C9">
              <w:rPr>
                <w:rFonts w:ascii="Calibri" w:hAnsi="Calibri" w:cs="Calibri"/>
                <w:color w:val="000000"/>
                <w:sz w:val="17"/>
                <w:szCs w:val="17"/>
              </w:rPr>
              <w:t xml:space="preserve">Ministry of Energy and Waters </w:t>
            </w:r>
          </w:p>
        </w:tc>
      </w:tr>
      <w:tr w:rsidR="00CE3C27" w:rsidRPr="009B43C9" w14:paraId="4C61A24B" w14:textId="77777777" w:rsidTr="000F2855">
        <w:tc>
          <w:tcPr>
            <w:tcW w:w="1620" w:type="dxa"/>
            <w:tcBorders>
              <w:top w:val="nil"/>
              <w:left w:val="nil"/>
              <w:bottom w:val="nil"/>
              <w:right w:val="nil"/>
            </w:tcBorders>
            <w:shd w:val="clear" w:color="auto" w:fill="auto"/>
            <w:noWrap/>
            <w:hideMark/>
          </w:tcPr>
          <w:p w14:paraId="4FA0626B" w14:textId="77A2BF48" w:rsidR="00CE3C27" w:rsidRPr="009B43C9" w:rsidRDefault="00CE3C27" w:rsidP="00CE3C27">
            <w:pPr>
              <w:rPr>
                <w:rFonts w:ascii="Calibri" w:hAnsi="Calibri" w:cs="Calibri"/>
                <w:color w:val="000000"/>
                <w:sz w:val="17"/>
                <w:szCs w:val="17"/>
              </w:rPr>
            </w:pPr>
            <w:r w:rsidRPr="23356FAB">
              <w:rPr>
                <w:rFonts w:ascii="Calibri" w:hAnsi="Calibri" w:cs="Calibri"/>
                <w:color w:val="000000" w:themeColor="text1"/>
                <w:sz w:val="17"/>
                <w:szCs w:val="17"/>
              </w:rPr>
              <w:t>M</w:t>
            </w:r>
            <w:r w:rsidR="1C8A0376" w:rsidRPr="23356FAB">
              <w:rPr>
                <w:rFonts w:ascii="Calibri" w:hAnsi="Calibri" w:cs="Calibri"/>
                <w:color w:val="000000" w:themeColor="text1"/>
                <w:sz w:val="17"/>
                <w:szCs w:val="17"/>
              </w:rPr>
              <w:t>AS</w:t>
            </w:r>
            <w:r w:rsidRPr="23356FAB">
              <w:rPr>
                <w:rFonts w:ascii="Calibri" w:hAnsi="Calibri" w:cs="Calibri"/>
                <w:color w:val="000000" w:themeColor="text1"/>
                <w:sz w:val="17"/>
                <w:szCs w:val="17"/>
              </w:rPr>
              <w:t>FAMU</w:t>
            </w:r>
          </w:p>
        </w:tc>
        <w:tc>
          <w:tcPr>
            <w:tcW w:w="7654" w:type="dxa"/>
            <w:tcBorders>
              <w:top w:val="nil"/>
              <w:left w:val="nil"/>
              <w:bottom w:val="nil"/>
              <w:right w:val="nil"/>
            </w:tcBorders>
            <w:shd w:val="clear" w:color="auto" w:fill="auto"/>
            <w:noWrap/>
            <w:hideMark/>
          </w:tcPr>
          <w:p w14:paraId="56EC901E" w14:textId="36175A20" w:rsidR="00CE3C27" w:rsidRPr="009B43C9" w:rsidRDefault="00CE3C27" w:rsidP="00CE3C27">
            <w:pPr>
              <w:rPr>
                <w:rFonts w:ascii="Calibri" w:hAnsi="Calibri" w:cs="Calibri"/>
                <w:color w:val="000000"/>
                <w:sz w:val="17"/>
                <w:szCs w:val="17"/>
              </w:rPr>
            </w:pPr>
            <w:r w:rsidRPr="23356FAB">
              <w:rPr>
                <w:rFonts w:ascii="Calibri" w:hAnsi="Calibri" w:cs="Calibri"/>
                <w:color w:val="000000" w:themeColor="text1"/>
                <w:sz w:val="17"/>
                <w:szCs w:val="17"/>
              </w:rPr>
              <w:t xml:space="preserve">Ministry of </w:t>
            </w:r>
            <w:r w:rsidR="4C1C4624" w:rsidRPr="23356FAB">
              <w:rPr>
                <w:rFonts w:ascii="Calibri" w:hAnsi="Calibri" w:cs="Calibri"/>
                <w:color w:val="000000" w:themeColor="text1"/>
                <w:sz w:val="17"/>
                <w:szCs w:val="17"/>
              </w:rPr>
              <w:t xml:space="preserve">Social Action </w:t>
            </w:r>
            <w:r w:rsidRPr="23356FAB">
              <w:rPr>
                <w:rFonts w:ascii="Calibri" w:hAnsi="Calibri" w:cs="Calibri"/>
                <w:color w:val="000000" w:themeColor="text1"/>
                <w:sz w:val="17"/>
                <w:szCs w:val="17"/>
              </w:rPr>
              <w:t xml:space="preserve"> Family and </w:t>
            </w:r>
            <w:r w:rsidR="2C39FFBB" w:rsidRPr="23356FAB">
              <w:rPr>
                <w:rFonts w:ascii="Calibri" w:hAnsi="Calibri" w:cs="Calibri"/>
                <w:color w:val="000000" w:themeColor="text1"/>
                <w:sz w:val="17"/>
                <w:szCs w:val="17"/>
              </w:rPr>
              <w:t xml:space="preserve">Women Promotion </w:t>
            </w:r>
            <w:r w:rsidRPr="23356FAB">
              <w:rPr>
                <w:rFonts w:ascii="Calibri" w:hAnsi="Calibri" w:cs="Calibri"/>
                <w:color w:val="000000" w:themeColor="text1"/>
                <w:sz w:val="17"/>
                <w:szCs w:val="17"/>
              </w:rPr>
              <w:t xml:space="preserve"> </w:t>
            </w:r>
          </w:p>
        </w:tc>
      </w:tr>
      <w:tr w:rsidR="00CE3C27" w:rsidRPr="009B43C9" w14:paraId="740D3DDA" w14:textId="77777777" w:rsidTr="000F2855">
        <w:tc>
          <w:tcPr>
            <w:tcW w:w="1620" w:type="dxa"/>
            <w:tcBorders>
              <w:top w:val="nil"/>
              <w:left w:val="nil"/>
              <w:bottom w:val="nil"/>
              <w:right w:val="nil"/>
            </w:tcBorders>
            <w:shd w:val="clear" w:color="auto" w:fill="auto"/>
            <w:noWrap/>
            <w:hideMark/>
          </w:tcPr>
          <w:p w14:paraId="589BF774" w14:textId="39911755" w:rsidR="00CE3C27" w:rsidRPr="009B43C9" w:rsidRDefault="078B3C6F" w:rsidP="00CE3C27">
            <w:pPr>
              <w:rPr>
                <w:rFonts w:ascii="Calibri" w:hAnsi="Calibri" w:cs="Calibri"/>
                <w:color w:val="000000"/>
                <w:sz w:val="17"/>
                <w:szCs w:val="17"/>
              </w:rPr>
            </w:pPr>
            <w:r w:rsidRPr="6491AA2D">
              <w:rPr>
                <w:rFonts w:ascii="Calibri" w:hAnsi="Calibri" w:cs="Calibri"/>
                <w:color w:val="000000" w:themeColor="text1"/>
                <w:sz w:val="17"/>
                <w:szCs w:val="17"/>
              </w:rPr>
              <w:t>MINO</w:t>
            </w:r>
            <w:r w:rsidR="6A498D0C" w:rsidRPr="6491AA2D">
              <w:rPr>
                <w:rFonts w:ascii="Calibri" w:hAnsi="Calibri" w:cs="Calibri"/>
                <w:color w:val="000000" w:themeColor="text1"/>
                <w:sz w:val="17"/>
                <w:szCs w:val="17"/>
              </w:rPr>
              <w:t>PO</w:t>
            </w:r>
            <w:r w:rsidRPr="6491AA2D">
              <w:rPr>
                <w:rFonts w:ascii="Calibri" w:hAnsi="Calibri" w:cs="Calibri"/>
                <w:color w:val="000000" w:themeColor="text1"/>
                <w:sz w:val="17"/>
                <w:szCs w:val="17"/>
              </w:rPr>
              <w:t>T</w:t>
            </w:r>
          </w:p>
        </w:tc>
        <w:tc>
          <w:tcPr>
            <w:tcW w:w="7654" w:type="dxa"/>
            <w:tcBorders>
              <w:top w:val="nil"/>
              <w:left w:val="nil"/>
              <w:bottom w:val="nil"/>
              <w:right w:val="nil"/>
            </w:tcBorders>
            <w:shd w:val="clear" w:color="auto" w:fill="auto"/>
            <w:noWrap/>
            <w:hideMark/>
          </w:tcPr>
          <w:p w14:paraId="7270FFAB" w14:textId="38E94CAD" w:rsidR="00CE3C27" w:rsidRPr="009B43C9" w:rsidRDefault="00CE3C27" w:rsidP="00CE3C27">
            <w:pPr>
              <w:rPr>
                <w:rFonts w:ascii="Calibri" w:hAnsi="Calibri" w:cs="Calibri"/>
                <w:color w:val="000000"/>
                <w:sz w:val="17"/>
                <w:szCs w:val="17"/>
              </w:rPr>
            </w:pPr>
            <w:r w:rsidRPr="6491AA2D">
              <w:rPr>
                <w:rFonts w:ascii="Calibri" w:hAnsi="Calibri" w:cs="Calibri"/>
                <w:color w:val="000000" w:themeColor="text1"/>
                <w:sz w:val="17"/>
                <w:szCs w:val="17"/>
              </w:rPr>
              <w:t xml:space="preserve">Ministry of </w:t>
            </w:r>
            <w:r w:rsidR="6A41A183" w:rsidRPr="6491AA2D">
              <w:rPr>
                <w:rFonts w:ascii="Calibri" w:hAnsi="Calibri" w:cs="Calibri"/>
                <w:color w:val="000000" w:themeColor="text1"/>
                <w:sz w:val="17"/>
                <w:szCs w:val="17"/>
              </w:rPr>
              <w:t xml:space="preserve">Public Works and </w:t>
            </w:r>
            <w:r w:rsidRPr="6491AA2D">
              <w:rPr>
                <w:rFonts w:ascii="Calibri" w:hAnsi="Calibri" w:cs="Calibri"/>
                <w:color w:val="000000" w:themeColor="text1"/>
                <w:sz w:val="17"/>
                <w:szCs w:val="17"/>
              </w:rPr>
              <w:t xml:space="preserve">Spatial Planning </w:t>
            </w:r>
          </w:p>
        </w:tc>
      </w:tr>
      <w:tr w:rsidR="00CE3C27" w:rsidRPr="009B43C9" w14:paraId="443E3912" w14:textId="77777777" w:rsidTr="000F2855">
        <w:tc>
          <w:tcPr>
            <w:tcW w:w="1620" w:type="dxa"/>
            <w:tcBorders>
              <w:top w:val="nil"/>
              <w:left w:val="nil"/>
              <w:bottom w:val="nil"/>
              <w:right w:val="nil"/>
            </w:tcBorders>
            <w:shd w:val="clear" w:color="auto" w:fill="auto"/>
            <w:noWrap/>
            <w:hideMark/>
          </w:tcPr>
          <w:p w14:paraId="3B0AC26A" w14:textId="77777777" w:rsidR="00CE3C27" w:rsidRPr="009B43C9" w:rsidDel="00A83BA7" w:rsidRDefault="00CE3C27" w:rsidP="00CE3C27">
            <w:pPr>
              <w:rPr>
                <w:rFonts w:ascii="Calibri" w:hAnsi="Calibri" w:cs="Calibri"/>
                <w:color w:val="000000"/>
                <w:sz w:val="17"/>
                <w:szCs w:val="17"/>
              </w:rPr>
            </w:pPr>
            <w:r w:rsidRPr="009B43C9">
              <w:rPr>
                <w:rFonts w:ascii="Calibri" w:hAnsi="Calibri" w:cs="Calibri"/>
                <w:color w:val="000000"/>
                <w:sz w:val="17"/>
                <w:szCs w:val="17"/>
              </w:rPr>
              <w:t>MRV</w:t>
            </w:r>
          </w:p>
        </w:tc>
        <w:tc>
          <w:tcPr>
            <w:tcW w:w="7654" w:type="dxa"/>
            <w:tcBorders>
              <w:top w:val="nil"/>
              <w:left w:val="nil"/>
              <w:bottom w:val="nil"/>
              <w:right w:val="nil"/>
            </w:tcBorders>
            <w:shd w:val="clear" w:color="auto" w:fill="auto"/>
            <w:noWrap/>
            <w:hideMark/>
          </w:tcPr>
          <w:p w14:paraId="26D13DD7" w14:textId="77777777" w:rsidR="00CE3C27" w:rsidRPr="009B43C9" w:rsidRDefault="00CE3C27" w:rsidP="00CE3C27">
            <w:pPr>
              <w:rPr>
                <w:rFonts w:ascii="Calibri" w:hAnsi="Calibri" w:cs="Calibri"/>
                <w:color w:val="000000"/>
                <w:sz w:val="17"/>
                <w:szCs w:val="17"/>
              </w:rPr>
            </w:pPr>
            <w:r w:rsidRPr="009B43C9">
              <w:rPr>
                <w:rFonts w:ascii="Calibri" w:hAnsi="Calibri" w:cs="Calibri"/>
                <w:color w:val="000000"/>
                <w:sz w:val="17"/>
                <w:szCs w:val="17"/>
              </w:rPr>
              <w:t>Measurement, Reporting and Verification</w:t>
            </w:r>
          </w:p>
        </w:tc>
      </w:tr>
      <w:tr w:rsidR="00CE3C27" w:rsidRPr="009B43C9" w14:paraId="64739D41" w14:textId="77777777" w:rsidTr="000F2855">
        <w:tc>
          <w:tcPr>
            <w:tcW w:w="1620" w:type="dxa"/>
            <w:tcBorders>
              <w:top w:val="nil"/>
              <w:left w:val="nil"/>
              <w:bottom w:val="nil"/>
              <w:right w:val="nil"/>
            </w:tcBorders>
            <w:shd w:val="clear" w:color="auto" w:fill="auto"/>
            <w:noWrap/>
            <w:hideMark/>
          </w:tcPr>
          <w:p w14:paraId="22204AD2" w14:textId="77777777" w:rsidR="00CE3C27" w:rsidRPr="009B43C9" w:rsidRDefault="00CE3C27" w:rsidP="00CE3C27">
            <w:pPr>
              <w:rPr>
                <w:rFonts w:ascii="Calibri" w:hAnsi="Calibri" w:cs="Calibri"/>
                <w:color w:val="000000"/>
                <w:sz w:val="17"/>
                <w:szCs w:val="17"/>
              </w:rPr>
            </w:pPr>
            <w:r w:rsidRPr="009B43C9">
              <w:rPr>
                <w:rFonts w:ascii="Calibri" w:hAnsi="Calibri" w:cs="Calibri"/>
                <w:color w:val="000000"/>
                <w:sz w:val="17"/>
                <w:szCs w:val="17"/>
              </w:rPr>
              <w:t>MT</w:t>
            </w:r>
          </w:p>
        </w:tc>
        <w:tc>
          <w:tcPr>
            <w:tcW w:w="7654" w:type="dxa"/>
            <w:tcBorders>
              <w:top w:val="nil"/>
              <w:left w:val="nil"/>
              <w:bottom w:val="nil"/>
              <w:right w:val="nil"/>
            </w:tcBorders>
            <w:shd w:val="clear" w:color="auto" w:fill="auto"/>
            <w:noWrap/>
            <w:hideMark/>
          </w:tcPr>
          <w:p w14:paraId="4BE3279D" w14:textId="77777777" w:rsidR="00CE3C27" w:rsidRPr="009B43C9" w:rsidRDefault="00CE3C27" w:rsidP="00CE3C27">
            <w:pPr>
              <w:rPr>
                <w:rFonts w:ascii="Calibri" w:hAnsi="Calibri" w:cs="Calibri"/>
                <w:color w:val="000000"/>
                <w:sz w:val="17"/>
                <w:szCs w:val="17"/>
              </w:rPr>
            </w:pPr>
            <w:r w:rsidRPr="009B43C9">
              <w:rPr>
                <w:rFonts w:ascii="Calibri" w:hAnsi="Calibri" w:cs="Calibri"/>
                <w:color w:val="000000"/>
                <w:sz w:val="17"/>
                <w:szCs w:val="17"/>
              </w:rPr>
              <w:t>Metric Tons</w:t>
            </w:r>
          </w:p>
        </w:tc>
      </w:tr>
      <w:tr w:rsidR="00CE3C27" w:rsidRPr="009B43C9" w14:paraId="587EA604" w14:textId="77777777" w:rsidTr="000F2855">
        <w:tc>
          <w:tcPr>
            <w:tcW w:w="1620" w:type="dxa"/>
            <w:tcBorders>
              <w:top w:val="nil"/>
              <w:left w:val="nil"/>
              <w:bottom w:val="nil"/>
              <w:right w:val="nil"/>
            </w:tcBorders>
            <w:shd w:val="clear" w:color="auto" w:fill="auto"/>
            <w:noWrap/>
            <w:hideMark/>
          </w:tcPr>
          <w:p w14:paraId="4264C40B" w14:textId="77777777" w:rsidR="00CE3C27" w:rsidRPr="009B43C9" w:rsidRDefault="00CE3C27" w:rsidP="00CE3C27">
            <w:pPr>
              <w:rPr>
                <w:rFonts w:ascii="Calibri" w:hAnsi="Calibri" w:cs="Calibri"/>
                <w:color w:val="000000"/>
                <w:sz w:val="17"/>
                <w:szCs w:val="17"/>
              </w:rPr>
            </w:pPr>
            <w:r w:rsidRPr="009B43C9">
              <w:rPr>
                <w:rFonts w:ascii="Calibri" w:hAnsi="Calibri" w:cs="Calibri"/>
                <w:color w:val="000000"/>
                <w:sz w:val="17"/>
                <w:szCs w:val="17"/>
              </w:rPr>
              <w:t>MTTI</w:t>
            </w:r>
          </w:p>
        </w:tc>
        <w:tc>
          <w:tcPr>
            <w:tcW w:w="7654" w:type="dxa"/>
            <w:tcBorders>
              <w:top w:val="nil"/>
              <w:left w:val="nil"/>
              <w:bottom w:val="nil"/>
              <w:right w:val="nil"/>
            </w:tcBorders>
            <w:shd w:val="clear" w:color="auto" w:fill="auto"/>
            <w:noWrap/>
            <w:hideMark/>
          </w:tcPr>
          <w:p w14:paraId="2EC1B662" w14:textId="77777777" w:rsidR="00CE3C27" w:rsidRPr="009B43C9" w:rsidRDefault="00CE3C27" w:rsidP="00CE3C27">
            <w:pPr>
              <w:rPr>
                <w:rFonts w:ascii="Calibri" w:hAnsi="Calibri" w:cs="Calibri"/>
                <w:color w:val="000000"/>
                <w:sz w:val="17"/>
                <w:szCs w:val="17"/>
              </w:rPr>
            </w:pPr>
            <w:r w:rsidRPr="009B43C9">
              <w:rPr>
                <w:rFonts w:ascii="Calibri" w:hAnsi="Calibri" w:cs="Calibri"/>
                <w:color w:val="000000"/>
                <w:sz w:val="17"/>
                <w:szCs w:val="17"/>
              </w:rPr>
              <w:t xml:space="preserve">Ministry of Telecommunications and Information Technologies </w:t>
            </w:r>
          </w:p>
        </w:tc>
      </w:tr>
      <w:tr w:rsidR="00CE3C27" w:rsidRPr="009B43C9" w14:paraId="12EFD4F5" w14:textId="77777777" w:rsidTr="000F2855">
        <w:tc>
          <w:tcPr>
            <w:tcW w:w="1620" w:type="dxa"/>
            <w:tcBorders>
              <w:top w:val="nil"/>
              <w:left w:val="nil"/>
              <w:bottom w:val="nil"/>
              <w:right w:val="nil"/>
            </w:tcBorders>
            <w:shd w:val="clear" w:color="auto" w:fill="auto"/>
            <w:noWrap/>
            <w:hideMark/>
          </w:tcPr>
          <w:p w14:paraId="0DB3CE2F" w14:textId="77777777" w:rsidR="00CE3C27" w:rsidRPr="009B43C9" w:rsidRDefault="00CE3C27" w:rsidP="00CE3C27">
            <w:pPr>
              <w:rPr>
                <w:rFonts w:ascii="Calibri" w:hAnsi="Calibri" w:cs="Calibri"/>
                <w:color w:val="000000"/>
                <w:sz w:val="17"/>
                <w:szCs w:val="17"/>
              </w:rPr>
            </w:pPr>
            <w:r w:rsidRPr="009B43C9">
              <w:rPr>
                <w:rFonts w:ascii="Calibri" w:hAnsi="Calibri" w:cs="Calibri"/>
                <w:color w:val="000000"/>
                <w:sz w:val="17"/>
                <w:szCs w:val="17"/>
              </w:rPr>
              <w:t>NAP(s)</w:t>
            </w:r>
          </w:p>
        </w:tc>
        <w:tc>
          <w:tcPr>
            <w:tcW w:w="7654" w:type="dxa"/>
            <w:tcBorders>
              <w:top w:val="nil"/>
              <w:left w:val="nil"/>
              <w:bottom w:val="nil"/>
              <w:right w:val="nil"/>
            </w:tcBorders>
            <w:shd w:val="clear" w:color="auto" w:fill="auto"/>
            <w:noWrap/>
            <w:hideMark/>
          </w:tcPr>
          <w:p w14:paraId="45F995AD" w14:textId="77777777" w:rsidR="00CE3C27" w:rsidRPr="009B43C9" w:rsidRDefault="00CE3C27" w:rsidP="00CE3C27">
            <w:pPr>
              <w:rPr>
                <w:rFonts w:ascii="Calibri" w:hAnsi="Calibri" w:cs="Calibri"/>
                <w:color w:val="000000"/>
                <w:sz w:val="17"/>
                <w:szCs w:val="17"/>
              </w:rPr>
            </w:pPr>
            <w:r w:rsidRPr="009B43C9">
              <w:rPr>
                <w:rFonts w:ascii="Calibri" w:hAnsi="Calibri" w:cs="Calibri"/>
                <w:color w:val="000000"/>
                <w:sz w:val="17"/>
                <w:szCs w:val="17"/>
              </w:rPr>
              <w:t xml:space="preserve">National Action Program(s) </w:t>
            </w:r>
          </w:p>
        </w:tc>
      </w:tr>
      <w:tr w:rsidR="00CE3C27" w:rsidRPr="009B43C9" w14:paraId="1F67EF59" w14:textId="77777777" w:rsidTr="000F2855">
        <w:tc>
          <w:tcPr>
            <w:tcW w:w="1620" w:type="dxa"/>
            <w:tcBorders>
              <w:top w:val="nil"/>
              <w:left w:val="nil"/>
              <w:bottom w:val="nil"/>
              <w:right w:val="nil"/>
            </w:tcBorders>
            <w:shd w:val="clear" w:color="auto" w:fill="auto"/>
            <w:noWrap/>
            <w:hideMark/>
          </w:tcPr>
          <w:p w14:paraId="15C97CF2" w14:textId="77777777" w:rsidR="00CE3C27" w:rsidRPr="009B43C9" w:rsidRDefault="00CE3C27" w:rsidP="00CE3C27">
            <w:pPr>
              <w:rPr>
                <w:rFonts w:ascii="Calibri" w:hAnsi="Calibri" w:cs="Calibri"/>
                <w:color w:val="000000"/>
                <w:sz w:val="17"/>
                <w:szCs w:val="17"/>
              </w:rPr>
            </w:pPr>
            <w:r w:rsidRPr="009B43C9">
              <w:rPr>
                <w:rFonts w:ascii="Calibri" w:hAnsi="Calibri" w:cs="Calibri"/>
                <w:color w:val="000000"/>
                <w:sz w:val="17"/>
                <w:szCs w:val="17"/>
              </w:rPr>
              <w:t>NRM</w:t>
            </w:r>
          </w:p>
        </w:tc>
        <w:tc>
          <w:tcPr>
            <w:tcW w:w="7654" w:type="dxa"/>
            <w:tcBorders>
              <w:top w:val="nil"/>
              <w:left w:val="nil"/>
              <w:bottom w:val="nil"/>
              <w:right w:val="nil"/>
            </w:tcBorders>
            <w:shd w:val="clear" w:color="auto" w:fill="auto"/>
            <w:noWrap/>
            <w:hideMark/>
          </w:tcPr>
          <w:p w14:paraId="6DCAFD65" w14:textId="77777777" w:rsidR="00CE3C27" w:rsidRPr="009B43C9" w:rsidRDefault="00CE3C27" w:rsidP="00CE3C27">
            <w:pPr>
              <w:rPr>
                <w:rFonts w:ascii="Calibri" w:hAnsi="Calibri" w:cs="Calibri"/>
                <w:color w:val="000000"/>
                <w:sz w:val="17"/>
                <w:szCs w:val="17"/>
              </w:rPr>
            </w:pPr>
            <w:r w:rsidRPr="009B43C9">
              <w:rPr>
                <w:rFonts w:ascii="Calibri" w:hAnsi="Calibri" w:cs="Calibri"/>
                <w:color w:val="000000"/>
                <w:sz w:val="17"/>
                <w:szCs w:val="17"/>
              </w:rPr>
              <w:t xml:space="preserve">Natural Resource Management </w:t>
            </w:r>
          </w:p>
        </w:tc>
      </w:tr>
      <w:tr w:rsidR="00CE3C27" w:rsidRPr="009B43C9" w14:paraId="3A38D5C0" w14:textId="77777777" w:rsidTr="000F2855">
        <w:tc>
          <w:tcPr>
            <w:tcW w:w="1620" w:type="dxa"/>
            <w:tcBorders>
              <w:top w:val="nil"/>
              <w:left w:val="nil"/>
              <w:bottom w:val="nil"/>
              <w:right w:val="nil"/>
            </w:tcBorders>
            <w:shd w:val="clear" w:color="auto" w:fill="auto"/>
            <w:noWrap/>
            <w:hideMark/>
          </w:tcPr>
          <w:p w14:paraId="7155F349" w14:textId="77777777" w:rsidR="00CE3C27" w:rsidRPr="009B43C9" w:rsidRDefault="00CE3C27" w:rsidP="00CE3C27">
            <w:pPr>
              <w:rPr>
                <w:rFonts w:ascii="Calibri" w:hAnsi="Calibri" w:cs="Calibri"/>
                <w:color w:val="000000"/>
                <w:sz w:val="17"/>
                <w:szCs w:val="17"/>
              </w:rPr>
            </w:pPr>
            <w:r w:rsidRPr="009B43C9">
              <w:rPr>
                <w:rFonts w:ascii="Calibri" w:hAnsi="Calibri" w:cs="Calibri"/>
                <w:color w:val="000000"/>
                <w:sz w:val="17"/>
                <w:szCs w:val="17"/>
              </w:rPr>
              <w:t>NTFP(s)</w:t>
            </w:r>
          </w:p>
        </w:tc>
        <w:tc>
          <w:tcPr>
            <w:tcW w:w="7654" w:type="dxa"/>
            <w:tcBorders>
              <w:top w:val="nil"/>
              <w:left w:val="nil"/>
              <w:bottom w:val="nil"/>
              <w:right w:val="nil"/>
            </w:tcBorders>
            <w:shd w:val="clear" w:color="auto" w:fill="auto"/>
            <w:noWrap/>
            <w:hideMark/>
          </w:tcPr>
          <w:p w14:paraId="09631C14" w14:textId="77777777" w:rsidR="00CE3C27" w:rsidRPr="009B43C9" w:rsidRDefault="00CE3C27" w:rsidP="00CE3C27">
            <w:pPr>
              <w:rPr>
                <w:rFonts w:ascii="Calibri" w:hAnsi="Calibri" w:cs="Calibri"/>
                <w:color w:val="000000"/>
                <w:sz w:val="17"/>
                <w:szCs w:val="17"/>
              </w:rPr>
            </w:pPr>
            <w:r w:rsidRPr="009B43C9">
              <w:rPr>
                <w:rFonts w:ascii="Calibri" w:hAnsi="Calibri" w:cs="Calibri"/>
                <w:color w:val="000000"/>
                <w:sz w:val="17"/>
                <w:szCs w:val="17"/>
              </w:rPr>
              <w:t>Non-Timber Forest Product(s)</w:t>
            </w:r>
          </w:p>
        </w:tc>
      </w:tr>
      <w:tr w:rsidR="00CE3C27" w:rsidRPr="009B43C9" w14:paraId="5A226CFA" w14:textId="77777777" w:rsidTr="000F2855">
        <w:tc>
          <w:tcPr>
            <w:tcW w:w="1620" w:type="dxa"/>
            <w:tcBorders>
              <w:top w:val="nil"/>
              <w:left w:val="nil"/>
              <w:bottom w:val="nil"/>
              <w:right w:val="nil"/>
            </w:tcBorders>
            <w:shd w:val="clear" w:color="auto" w:fill="auto"/>
            <w:noWrap/>
            <w:hideMark/>
          </w:tcPr>
          <w:p w14:paraId="316D0037" w14:textId="77777777" w:rsidR="00CE3C27" w:rsidRPr="009B43C9" w:rsidRDefault="00CE3C27" w:rsidP="00CE3C27">
            <w:pPr>
              <w:rPr>
                <w:rFonts w:ascii="Calibri" w:hAnsi="Calibri" w:cs="Calibri"/>
                <w:color w:val="000000"/>
                <w:sz w:val="17"/>
                <w:szCs w:val="17"/>
              </w:rPr>
            </w:pPr>
            <w:r w:rsidRPr="009B43C9">
              <w:rPr>
                <w:rFonts w:ascii="Calibri" w:hAnsi="Calibri" w:cs="Calibri"/>
                <w:color w:val="000000"/>
                <w:sz w:val="17"/>
                <w:szCs w:val="17"/>
              </w:rPr>
              <w:t>NUS</w:t>
            </w:r>
          </w:p>
        </w:tc>
        <w:tc>
          <w:tcPr>
            <w:tcW w:w="7654" w:type="dxa"/>
            <w:tcBorders>
              <w:top w:val="nil"/>
              <w:left w:val="nil"/>
              <w:bottom w:val="nil"/>
              <w:right w:val="nil"/>
            </w:tcBorders>
            <w:shd w:val="clear" w:color="auto" w:fill="auto"/>
            <w:noWrap/>
            <w:hideMark/>
          </w:tcPr>
          <w:p w14:paraId="3DAE132D" w14:textId="77777777" w:rsidR="00CE3C27" w:rsidRPr="009B43C9" w:rsidRDefault="00CE3C27" w:rsidP="00CE3C27">
            <w:pPr>
              <w:rPr>
                <w:rFonts w:ascii="Calibri" w:hAnsi="Calibri" w:cs="Calibri"/>
                <w:color w:val="000000"/>
                <w:sz w:val="17"/>
                <w:szCs w:val="17"/>
              </w:rPr>
            </w:pPr>
            <w:r w:rsidRPr="009B43C9">
              <w:rPr>
                <w:rFonts w:ascii="Calibri" w:hAnsi="Calibri" w:cs="Calibri"/>
                <w:color w:val="000000"/>
                <w:sz w:val="17"/>
                <w:szCs w:val="17"/>
              </w:rPr>
              <w:t>Neglected Underutilized Seeds</w:t>
            </w:r>
          </w:p>
        </w:tc>
      </w:tr>
      <w:tr w:rsidR="00CE3C27" w:rsidRPr="009B43C9" w14:paraId="7F571669" w14:textId="77777777" w:rsidTr="000F2855">
        <w:tc>
          <w:tcPr>
            <w:tcW w:w="1620" w:type="dxa"/>
            <w:tcBorders>
              <w:top w:val="nil"/>
              <w:left w:val="nil"/>
              <w:bottom w:val="nil"/>
              <w:right w:val="nil"/>
            </w:tcBorders>
            <w:shd w:val="clear" w:color="auto" w:fill="auto"/>
            <w:noWrap/>
            <w:hideMark/>
          </w:tcPr>
          <w:p w14:paraId="75BBA588" w14:textId="77777777" w:rsidR="00CE3C27" w:rsidRPr="009B43C9" w:rsidRDefault="00CE3C27" w:rsidP="00CE3C27">
            <w:pPr>
              <w:rPr>
                <w:rFonts w:ascii="Calibri" w:hAnsi="Calibri" w:cs="Calibri"/>
                <w:color w:val="000000"/>
                <w:sz w:val="17"/>
                <w:szCs w:val="17"/>
              </w:rPr>
            </w:pPr>
            <w:r w:rsidRPr="009B43C9">
              <w:rPr>
                <w:rFonts w:ascii="Calibri" w:hAnsi="Calibri" w:cs="Calibri"/>
                <w:color w:val="000000"/>
                <w:sz w:val="17"/>
                <w:szCs w:val="17"/>
              </w:rPr>
              <w:t>OBSC</w:t>
            </w:r>
          </w:p>
        </w:tc>
        <w:tc>
          <w:tcPr>
            <w:tcW w:w="7654" w:type="dxa"/>
            <w:tcBorders>
              <w:top w:val="nil"/>
              <w:left w:val="nil"/>
              <w:bottom w:val="nil"/>
              <w:right w:val="nil"/>
            </w:tcBorders>
            <w:shd w:val="clear" w:color="auto" w:fill="auto"/>
            <w:noWrap/>
            <w:hideMark/>
          </w:tcPr>
          <w:p w14:paraId="3ACA5621" w14:textId="77777777" w:rsidR="00CE3C27" w:rsidRPr="009B43C9" w:rsidRDefault="00CE3C27" w:rsidP="00CE3C27">
            <w:pPr>
              <w:rPr>
                <w:rFonts w:ascii="Calibri" w:hAnsi="Calibri" w:cs="Calibri"/>
                <w:color w:val="000000"/>
                <w:sz w:val="17"/>
                <w:szCs w:val="17"/>
              </w:rPr>
            </w:pPr>
            <w:r w:rsidRPr="009B43C9">
              <w:rPr>
                <w:rFonts w:ascii="Calibri" w:hAnsi="Calibri" w:cs="Calibri"/>
                <w:color w:val="000000"/>
                <w:sz w:val="17"/>
                <w:szCs w:val="17"/>
              </w:rPr>
              <w:t xml:space="preserve">Okavango Basin Steering Committee </w:t>
            </w:r>
          </w:p>
        </w:tc>
      </w:tr>
      <w:tr w:rsidR="00CE3C27" w:rsidRPr="009B43C9" w14:paraId="06646E8D" w14:textId="77777777" w:rsidTr="000F2855">
        <w:tc>
          <w:tcPr>
            <w:tcW w:w="1620" w:type="dxa"/>
            <w:tcBorders>
              <w:top w:val="nil"/>
              <w:left w:val="nil"/>
              <w:bottom w:val="nil"/>
              <w:right w:val="nil"/>
            </w:tcBorders>
            <w:shd w:val="clear" w:color="auto" w:fill="auto"/>
            <w:noWrap/>
            <w:hideMark/>
          </w:tcPr>
          <w:p w14:paraId="4B03C5F6" w14:textId="77777777" w:rsidR="00CE3C27" w:rsidRPr="009B43C9" w:rsidRDefault="00CE3C27" w:rsidP="00CE3C27">
            <w:pPr>
              <w:rPr>
                <w:rFonts w:ascii="Calibri" w:hAnsi="Calibri" w:cs="Calibri"/>
                <w:color w:val="000000"/>
                <w:sz w:val="17"/>
                <w:szCs w:val="17"/>
              </w:rPr>
            </w:pPr>
            <w:r w:rsidRPr="009B43C9">
              <w:rPr>
                <w:rFonts w:ascii="Calibri" w:hAnsi="Calibri" w:cs="Calibri"/>
                <w:color w:val="000000"/>
                <w:sz w:val="17"/>
                <w:szCs w:val="17"/>
              </w:rPr>
              <w:t>OGE</w:t>
            </w:r>
          </w:p>
        </w:tc>
        <w:tc>
          <w:tcPr>
            <w:tcW w:w="7654" w:type="dxa"/>
            <w:tcBorders>
              <w:top w:val="nil"/>
              <w:left w:val="nil"/>
              <w:bottom w:val="nil"/>
              <w:right w:val="nil"/>
            </w:tcBorders>
            <w:shd w:val="clear" w:color="auto" w:fill="auto"/>
            <w:noWrap/>
            <w:hideMark/>
          </w:tcPr>
          <w:p w14:paraId="6ACE461B" w14:textId="77777777" w:rsidR="00CE3C27" w:rsidRPr="009B43C9" w:rsidRDefault="00CE3C27" w:rsidP="00CE3C27">
            <w:pPr>
              <w:rPr>
                <w:rFonts w:ascii="Calibri" w:hAnsi="Calibri" w:cs="Calibri"/>
                <w:color w:val="000000"/>
                <w:sz w:val="17"/>
                <w:szCs w:val="17"/>
              </w:rPr>
            </w:pPr>
            <w:r w:rsidRPr="009B43C9">
              <w:rPr>
                <w:rFonts w:ascii="Calibri" w:hAnsi="Calibri" w:cs="Calibri"/>
                <w:color w:val="000000"/>
                <w:sz w:val="17"/>
                <w:szCs w:val="17"/>
              </w:rPr>
              <w:t xml:space="preserve">Central State Budget </w:t>
            </w:r>
          </w:p>
        </w:tc>
      </w:tr>
      <w:tr w:rsidR="00CE3C27" w:rsidRPr="009B43C9" w14:paraId="0DDFDA6C" w14:textId="77777777" w:rsidTr="000F2855">
        <w:tc>
          <w:tcPr>
            <w:tcW w:w="1620" w:type="dxa"/>
            <w:tcBorders>
              <w:top w:val="nil"/>
              <w:left w:val="nil"/>
              <w:bottom w:val="nil"/>
              <w:right w:val="nil"/>
            </w:tcBorders>
            <w:shd w:val="clear" w:color="auto" w:fill="auto"/>
            <w:noWrap/>
            <w:hideMark/>
          </w:tcPr>
          <w:p w14:paraId="55F1CAB3" w14:textId="77777777" w:rsidR="00CE3C27" w:rsidRPr="009B43C9" w:rsidRDefault="00CE3C27" w:rsidP="00CE3C27">
            <w:pPr>
              <w:rPr>
                <w:rFonts w:ascii="Calibri" w:hAnsi="Calibri" w:cs="Calibri"/>
                <w:color w:val="000000"/>
                <w:sz w:val="17"/>
                <w:szCs w:val="17"/>
              </w:rPr>
            </w:pPr>
            <w:r w:rsidRPr="009B43C9">
              <w:rPr>
                <w:rFonts w:ascii="Calibri" w:hAnsi="Calibri" w:cs="Calibri"/>
                <w:color w:val="000000"/>
                <w:sz w:val="17"/>
                <w:szCs w:val="17"/>
              </w:rPr>
              <w:t>OKACOM</w:t>
            </w:r>
          </w:p>
        </w:tc>
        <w:tc>
          <w:tcPr>
            <w:tcW w:w="7654" w:type="dxa"/>
            <w:tcBorders>
              <w:top w:val="nil"/>
              <w:left w:val="nil"/>
              <w:bottom w:val="nil"/>
              <w:right w:val="nil"/>
            </w:tcBorders>
            <w:shd w:val="clear" w:color="auto" w:fill="auto"/>
            <w:noWrap/>
            <w:hideMark/>
          </w:tcPr>
          <w:p w14:paraId="37FA06B3" w14:textId="77777777" w:rsidR="00CE3C27" w:rsidRPr="009B43C9" w:rsidRDefault="00CE3C27" w:rsidP="00CE3C27">
            <w:pPr>
              <w:rPr>
                <w:rFonts w:ascii="Calibri" w:hAnsi="Calibri" w:cs="Calibri"/>
                <w:color w:val="000000"/>
                <w:sz w:val="17"/>
                <w:szCs w:val="17"/>
              </w:rPr>
            </w:pPr>
            <w:r w:rsidRPr="009B43C9">
              <w:rPr>
                <w:rFonts w:ascii="Calibri" w:hAnsi="Calibri" w:cs="Calibri"/>
                <w:color w:val="000000"/>
                <w:sz w:val="17"/>
                <w:szCs w:val="17"/>
              </w:rPr>
              <w:t xml:space="preserve">Okavango River Basin Water Commission </w:t>
            </w:r>
          </w:p>
        </w:tc>
      </w:tr>
      <w:tr w:rsidR="00CE3C27" w:rsidRPr="009B43C9" w14:paraId="37BA10B8" w14:textId="77777777" w:rsidTr="000F2855">
        <w:tc>
          <w:tcPr>
            <w:tcW w:w="1620" w:type="dxa"/>
            <w:tcBorders>
              <w:top w:val="nil"/>
              <w:left w:val="nil"/>
              <w:bottom w:val="nil"/>
              <w:right w:val="nil"/>
            </w:tcBorders>
            <w:shd w:val="clear" w:color="auto" w:fill="auto"/>
            <w:noWrap/>
            <w:hideMark/>
          </w:tcPr>
          <w:p w14:paraId="5FCB0918" w14:textId="6399DC40" w:rsidR="00CE3C27" w:rsidRPr="009B43C9" w:rsidRDefault="00CE3C27" w:rsidP="00CE3C27">
            <w:pPr>
              <w:rPr>
                <w:rFonts w:ascii="Calibri" w:hAnsi="Calibri" w:cs="Calibri"/>
                <w:color w:val="000000"/>
                <w:sz w:val="17"/>
                <w:szCs w:val="17"/>
              </w:rPr>
            </w:pPr>
            <w:r w:rsidRPr="009B43C9">
              <w:rPr>
                <w:rFonts w:ascii="Calibri" w:hAnsi="Calibri" w:cs="Calibri"/>
                <w:color w:val="000000"/>
                <w:sz w:val="17"/>
                <w:szCs w:val="17"/>
              </w:rPr>
              <w:t>OP</w:t>
            </w:r>
            <w:r w:rsidR="009B43C9" w:rsidRPr="009B43C9">
              <w:rPr>
                <w:rFonts w:ascii="Calibri" w:hAnsi="Calibri" w:cs="Calibri"/>
                <w:color w:val="000000"/>
                <w:sz w:val="17"/>
                <w:szCs w:val="17"/>
              </w:rPr>
              <w:t>(</w:t>
            </w:r>
            <w:r w:rsidRPr="009B43C9">
              <w:rPr>
                <w:rFonts w:ascii="Calibri" w:hAnsi="Calibri" w:cs="Calibri"/>
                <w:color w:val="000000"/>
                <w:sz w:val="17"/>
                <w:szCs w:val="17"/>
              </w:rPr>
              <w:t>IM</w:t>
            </w:r>
            <w:r w:rsidR="009B43C9" w:rsidRPr="009B43C9">
              <w:rPr>
                <w:rFonts w:ascii="Calibri" w:hAnsi="Calibri" w:cs="Calibri"/>
                <w:color w:val="000000"/>
                <w:sz w:val="17"/>
                <w:szCs w:val="17"/>
              </w:rPr>
              <w:t>)</w:t>
            </w:r>
          </w:p>
        </w:tc>
        <w:tc>
          <w:tcPr>
            <w:tcW w:w="7654" w:type="dxa"/>
            <w:tcBorders>
              <w:top w:val="nil"/>
              <w:left w:val="nil"/>
              <w:bottom w:val="nil"/>
              <w:right w:val="nil"/>
            </w:tcBorders>
            <w:shd w:val="clear" w:color="auto" w:fill="auto"/>
            <w:noWrap/>
            <w:hideMark/>
          </w:tcPr>
          <w:p w14:paraId="0B28CFD7" w14:textId="0D1ED039" w:rsidR="00CE3C27" w:rsidRPr="009B43C9" w:rsidRDefault="00CE3C27" w:rsidP="00CE3C27">
            <w:pPr>
              <w:rPr>
                <w:rFonts w:ascii="Calibri" w:hAnsi="Calibri" w:cs="Calibri"/>
                <w:color w:val="000000"/>
                <w:sz w:val="17"/>
                <w:szCs w:val="17"/>
              </w:rPr>
            </w:pPr>
            <w:r w:rsidRPr="009B43C9">
              <w:rPr>
                <w:rFonts w:ascii="Calibri" w:hAnsi="Calibri" w:cs="Calibri"/>
                <w:color w:val="000000"/>
                <w:sz w:val="17"/>
                <w:szCs w:val="17"/>
              </w:rPr>
              <w:t xml:space="preserve">Operational Partner </w:t>
            </w:r>
            <w:r w:rsidR="009B43C9" w:rsidRPr="009B43C9">
              <w:rPr>
                <w:rFonts w:ascii="Calibri" w:hAnsi="Calibri" w:cs="Calibri"/>
                <w:color w:val="000000"/>
                <w:sz w:val="17"/>
                <w:szCs w:val="17"/>
              </w:rPr>
              <w:t>(</w:t>
            </w:r>
            <w:r w:rsidRPr="009B43C9">
              <w:rPr>
                <w:rFonts w:ascii="Calibri" w:hAnsi="Calibri" w:cs="Calibri"/>
                <w:color w:val="000000"/>
                <w:sz w:val="17"/>
                <w:szCs w:val="17"/>
              </w:rPr>
              <w:t>Implementation Modality</w:t>
            </w:r>
            <w:r w:rsidR="009B43C9" w:rsidRPr="009B43C9">
              <w:rPr>
                <w:rFonts w:ascii="Calibri" w:hAnsi="Calibri" w:cs="Calibri"/>
                <w:color w:val="000000"/>
                <w:sz w:val="17"/>
                <w:szCs w:val="17"/>
              </w:rPr>
              <w:t>)</w:t>
            </w:r>
          </w:p>
        </w:tc>
      </w:tr>
      <w:tr w:rsidR="00CE3C27" w:rsidRPr="009B43C9" w14:paraId="235D4700" w14:textId="77777777" w:rsidTr="000F2855">
        <w:tc>
          <w:tcPr>
            <w:tcW w:w="1620" w:type="dxa"/>
            <w:tcBorders>
              <w:top w:val="nil"/>
              <w:left w:val="nil"/>
              <w:bottom w:val="nil"/>
              <w:right w:val="nil"/>
            </w:tcBorders>
            <w:shd w:val="clear" w:color="auto" w:fill="auto"/>
            <w:noWrap/>
            <w:hideMark/>
          </w:tcPr>
          <w:p w14:paraId="782043B9" w14:textId="77777777" w:rsidR="00CE3C27" w:rsidRPr="009B43C9" w:rsidRDefault="00CE3C27" w:rsidP="00CE3C27">
            <w:pPr>
              <w:rPr>
                <w:rFonts w:ascii="Calibri" w:hAnsi="Calibri" w:cs="Calibri"/>
                <w:color w:val="000000"/>
                <w:sz w:val="17"/>
                <w:szCs w:val="17"/>
              </w:rPr>
            </w:pPr>
            <w:r w:rsidRPr="009B43C9">
              <w:rPr>
                <w:rFonts w:ascii="Calibri" w:hAnsi="Calibri" w:cs="Calibri"/>
                <w:color w:val="000000"/>
                <w:sz w:val="17"/>
                <w:szCs w:val="17"/>
              </w:rPr>
              <w:t>PANCOD</w:t>
            </w:r>
          </w:p>
        </w:tc>
        <w:tc>
          <w:tcPr>
            <w:tcW w:w="7654" w:type="dxa"/>
            <w:tcBorders>
              <w:top w:val="nil"/>
              <w:left w:val="nil"/>
              <w:bottom w:val="nil"/>
              <w:right w:val="nil"/>
            </w:tcBorders>
            <w:shd w:val="clear" w:color="auto" w:fill="auto"/>
            <w:noWrap/>
            <w:hideMark/>
          </w:tcPr>
          <w:p w14:paraId="08D30B18" w14:textId="77777777" w:rsidR="00CE3C27" w:rsidRPr="009B43C9" w:rsidRDefault="00CE3C27" w:rsidP="00CE3C27">
            <w:pPr>
              <w:rPr>
                <w:rFonts w:ascii="Calibri" w:hAnsi="Calibri" w:cs="Calibri"/>
                <w:color w:val="000000"/>
                <w:sz w:val="17"/>
                <w:szCs w:val="17"/>
              </w:rPr>
            </w:pPr>
            <w:r w:rsidRPr="009B43C9">
              <w:rPr>
                <w:rFonts w:ascii="Calibri" w:hAnsi="Calibri" w:cs="Calibri"/>
                <w:color w:val="000000"/>
                <w:sz w:val="17"/>
                <w:szCs w:val="17"/>
              </w:rPr>
              <w:t>National Action Program to Combat Desertification</w:t>
            </w:r>
          </w:p>
        </w:tc>
      </w:tr>
      <w:tr w:rsidR="00CE3C27" w:rsidRPr="009B43C9" w14:paraId="0343383A" w14:textId="77777777" w:rsidTr="000F2855">
        <w:tc>
          <w:tcPr>
            <w:tcW w:w="1620" w:type="dxa"/>
            <w:tcBorders>
              <w:top w:val="nil"/>
              <w:left w:val="nil"/>
              <w:bottom w:val="nil"/>
              <w:right w:val="nil"/>
            </w:tcBorders>
            <w:shd w:val="clear" w:color="auto" w:fill="auto"/>
            <w:noWrap/>
            <w:hideMark/>
          </w:tcPr>
          <w:p w14:paraId="4C799614" w14:textId="77777777" w:rsidR="00CE3C27" w:rsidRPr="009B43C9" w:rsidRDefault="00CE3C27" w:rsidP="00CE3C27">
            <w:pPr>
              <w:rPr>
                <w:rFonts w:ascii="Calibri" w:hAnsi="Calibri" w:cs="Calibri"/>
                <w:color w:val="000000"/>
                <w:sz w:val="17"/>
                <w:szCs w:val="17"/>
              </w:rPr>
            </w:pPr>
            <w:r w:rsidRPr="009B43C9">
              <w:rPr>
                <w:rFonts w:ascii="Calibri" w:hAnsi="Calibri" w:cs="Calibri"/>
                <w:color w:val="000000"/>
                <w:sz w:val="17"/>
                <w:szCs w:val="17"/>
              </w:rPr>
              <w:t>PDM(s)</w:t>
            </w:r>
          </w:p>
        </w:tc>
        <w:tc>
          <w:tcPr>
            <w:tcW w:w="7654" w:type="dxa"/>
            <w:tcBorders>
              <w:top w:val="nil"/>
              <w:left w:val="nil"/>
              <w:bottom w:val="nil"/>
              <w:right w:val="nil"/>
            </w:tcBorders>
            <w:shd w:val="clear" w:color="auto" w:fill="auto"/>
            <w:noWrap/>
            <w:hideMark/>
          </w:tcPr>
          <w:p w14:paraId="6F7F5740" w14:textId="77777777" w:rsidR="00CE3C27" w:rsidRPr="009B43C9" w:rsidRDefault="00CE3C27" w:rsidP="00CE3C27">
            <w:pPr>
              <w:rPr>
                <w:rFonts w:ascii="Calibri" w:hAnsi="Calibri" w:cs="Calibri"/>
                <w:color w:val="000000"/>
                <w:sz w:val="17"/>
                <w:szCs w:val="17"/>
              </w:rPr>
            </w:pPr>
            <w:r w:rsidRPr="009B43C9">
              <w:rPr>
                <w:rFonts w:ascii="Calibri" w:hAnsi="Calibri" w:cs="Calibri"/>
                <w:color w:val="000000"/>
                <w:sz w:val="17"/>
                <w:szCs w:val="17"/>
              </w:rPr>
              <w:t xml:space="preserve">Municipal Master Plan(s) </w:t>
            </w:r>
          </w:p>
        </w:tc>
      </w:tr>
      <w:tr w:rsidR="00CE3C27" w:rsidRPr="009B43C9" w14:paraId="69780E7B" w14:textId="77777777" w:rsidTr="000F2855">
        <w:tc>
          <w:tcPr>
            <w:tcW w:w="1620" w:type="dxa"/>
            <w:tcBorders>
              <w:top w:val="nil"/>
              <w:left w:val="nil"/>
              <w:bottom w:val="nil"/>
              <w:right w:val="nil"/>
            </w:tcBorders>
            <w:shd w:val="clear" w:color="auto" w:fill="auto"/>
            <w:noWrap/>
            <w:hideMark/>
          </w:tcPr>
          <w:p w14:paraId="44D0B3DB" w14:textId="77777777" w:rsidR="00CE3C27" w:rsidRPr="009B43C9" w:rsidRDefault="00CE3C27" w:rsidP="00CE3C27">
            <w:pPr>
              <w:rPr>
                <w:rFonts w:ascii="Calibri" w:hAnsi="Calibri" w:cs="Calibri"/>
                <w:color w:val="000000"/>
                <w:sz w:val="17"/>
                <w:szCs w:val="17"/>
              </w:rPr>
            </w:pPr>
            <w:r w:rsidRPr="009B43C9">
              <w:rPr>
                <w:rFonts w:ascii="Calibri" w:hAnsi="Calibri" w:cs="Calibri"/>
                <w:color w:val="000000"/>
                <w:sz w:val="17"/>
                <w:szCs w:val="17"/>
              </w:rPr>
              <w:t>PJTC</w:t>
            </w:r>
          </w:p>
        </w:tc>
        <w:tc>
          <w:tcPr>
            <w:tcW w:w="7654" w:type="dxa"/>
            <w:tcBorders>
              <w:top w:val="nil"/>
              <w:left w:val="nil"/>
              <w:bottom w:val="nil"/>
              <w:right w:val="nil"/>
            </w:tcBorders>
            <w:shd w:val="clear" w:color="auto" w:fill="auto"/>
            <w:noWrap/>
            <w:hideMark/>
          </w:tcPr>
          <w:p w14:paraId="1590A78A" w14:textId="77777777" w:rsidR="00CE3C27" w:rsidRPr="009B43C9" w:rsidRDefault="00CE3C27" w:rsidP="00CE3C27">
            <w:pPr>
              <w:rPr>
                <w:rFonts w:ascii="Calibri" w:hAnsi="Calibri" w:cs="Calibri"/>
                <w:color w:val="000000"/>
                <w:sz w:val="17"/>
                <w:szCs w:val="17"/>
              </w:rPr>
            </w:pPr>
            <w:r w:rsidRPr="009B43C9">
              <w:rPr>
                <w:rFonts w:ascii="Calibri" w:hAnsi="Calibri" w:cs="Calibri"/>
                <w:color w:val="000000"/>
                <w:sz w:val="17"/>
                <w:szCs w:val="17"/>
              </w:rPr>
              <w:t xml:space="preserve">Joint Permanent Technical Commission </w:t>
            </w:r>
          </w:p>
        </w:tc>
      </w:tr>
      <w:tr w:rsidR="00CE3C27" w:rsidRPr="009B43C9" w14:paraId="36672FB8" w14:textId="77777777" w:rsidTr="000F2855">
        <w:tc>
          <w:tcPr>
            <w:tcW w:w="1620" w:type="dxa"/>
            <w:tcBorders>
              <w:top w:val="nil"/>
              <w:left w:val="nil"/>
              <w:bottom w:val="nil"/>
              <w:right w:val="nil"/>
            </w:tcBorders>
            <w:shd w:val="clear" w:color="auto" w:fill="auto"/>
            <w:noWrap/>
            <w:hideMark/>
          </w:tcPr>
          <w:p w14:paraId="3DD06B1C" w14:textId="77777777" w:rsidR="00CE3C27" w:rsidRPr="009B43C9" w:rsidRDefault="00CE3C27" w:rsidP="00CE3C27">
            <w:pPr>
              <w:rPr>
                <w:rFonts w:ascii="Calibri" w:hAnsi="Calibri" w:cs="Calibri"/>
                <w:color w:val="000000"/>
                <w:sz w:val="17"/>
                <w:szCs w:val="17"/>
              </w:rPr>
            </w:pPr>
            <w:r w:rsidRPr="009B43C9">
              <w:rPr>
                <w:rFonts w:ascii="Calibri" w:hAnsi="Calibri" w:cs="Calibri"/>
                <w:color w:val="000000"/>
                <w:sz w:val="17"/>
                <w:szCs w:val="17"/>
              </w:rPr>
              <w:t>PMC</w:t>
            </w:r>
          </w:p>
        </w:tc>
        <w:tc>
          <w:tcPr>
            <w:tcW w:w="7654" w:type="dxa"/>
            <w:tcBorders>
              <w:top w:val="nil"/>
              <w:left w:val="nil"/>
              <w:bottom w:val="nil"/>
              <w:right w:val="nil"/>
            </w:tcBorders>
            <w:shd w:val="clear" w:color="auto" w:fill="auto"/>
            <w:noWrap/>
            <w:hideMark/>
          </w:tcPr>
          <w:p w14:paraId="7FA9F69F" w14:textId="77777777" w:rsidR="00CE3C27" w:rsidRPr="009B43C9" w:rsidRDefault="00CE3C27" w:rsidP="00CE3C27">
            <w:pPr>
              <w:rPr>
                <w:rFonts w:ascii="Calibri" w:hAnsi="Calibri" w:cs="Calibri"/>
                <w:color w:val="000000"/>
                <w:sz w:val="17"/>
                <w:szCs w:val="17"/>
              </w:rPr>
            </w:pPr>
            <w:r w:rsidRPr="009B43C9">
              <w:rPr>
                <w:rFonts w:ascii="Calibri" w:hAnsi="Calibri" w:cs="Calibri"/>
                <w:color w:val="000000"/>
                <w:sz w:val="17"/>
                <w:szCs w:val="17"/>
              </w:rPr>
              <w:t>Project Management Costs</w:t>
            </w:r>
          </w:p>
        </w:tc>
      </w:tr>
      <w:tr w:rsidR="00CE3C27" w:rsidRPr="009B43C9" w14:paraId="5324313B" w14:textId="77777777" w:rsidTr="000F2855">
        <w:tc>
          <w:tcPr>
            <w:tcW w:w="1620" w:type="dxa"/>
            <w:tcBorders>
              <w:top w:val="nil"/>
              <w:left w:val="nil"/>
              <w:bottom w:val="nil"/>
              <w:right w:val="nil"/>
            </w:tcBorders>
            <w:shd w:val="clear" w:color="auto" w:fill="auto"/>
            <w:noWrap/>
            <w:hideMark/>
          </w:tcPr>
          <w:p w14:paraId="2F9E665C" w14:textId="77777777" w:rsidR="00CE3C27" w:rsidRPr="009B43C9" w:rsidRDefault="00CE3C27" w:rsidP="00CE3C27">
            <w:pPr>
              <w:rPr>
                <w:rFonts w:ascii="Calibri" w:hAnsi="Calibri" w:cs="Calibri"/>
                <w:color w:val="000000"/>
                <w:sz w:val="17"/>
                <w:szCs w:val="17"/>
              </w:rPr>
            </w:pPr>
            <w:r w:rsidRPr="009B43C9">
              <w:rPr>
                <w:rFonts w:ascii="Calibri" w:hAnsi="Calibri" w:cs="Calibri"/>
                <w:color w:val="000000"/>
                <w:sz w:val="17"/>
                <w:szCs w:val="17"/>
              </w:rPr>
              <w:t>PMPSA</w:t>
            </w:r>
          </w:p>
        </w:tc>
        <w:tc>
          <w:tcPr>
            <w:tcW w:w="7654" w:type="dxa"/>
            <w:tcBorders>
              <w:top w:val="nil"/>
              <w:left w:val="nil"/>
              <w:bottom w:val="nil"/>
              <w:right w:val="nil"/>
            </w:tcBorders>
            <w:shd w:val="clear" w:color="auto" w:fill="auto"/>
            <w:noWrap/>
            <w:hideMark/>
          </w:tcPr>
          <w:p w14:paraId="6AC999F5" w14:textId="77777777" w:rsidR="00CE3C27" w:rsidRPr="009B43C9" w:rsidRDefault="00CE3C27" w:rsidP="00CE3C27">
            <w:pPr>
              <w:rPr>
                <w:rFonts w:ascii="Calibri" w:hAnsi="Calibri" w:cs="Calibri"/>
                <w:color w:val="000000"/>
                <w:sz w:val="17"/>
                <w:szCs w:val="17"/>
              </w:rPr>
            </w:pPr>
            <w:r w:rsidRPr="009B43C9">
              <w:rPr>
                <w:rFonts w:ascii="Calibri" w:hAnsi="Calibri" w:cs="Calibri"/>
                <w:color w:val="000000"/>
                <w:sz w:val="17"/>
                <w:szCs w:val="17"/>
              </w:rPr>
              <w:t xml:space="preserve">Agricultural Sector Mid-Term Plan </w:t>
            </w:r>
          </w:p>
        </w:tc>
      </w:tr>
      <w:tr w:rsidR="00CE3C27" w:rsidRPr="009B43C9" w14:paraId="6810C187" w14:textId="77777777" w:rsidTr="000F2855">
        <w:tc>
          <w:tcPr>
            <w:tcW w:w="1620" w:type="dxa"/>
            <w:tcBorders>
              <w:top w:val="nil"/>
              <w:left w:val="nil"/>
              <w:bottom w:val="nil"/>
              <w:right w:val="nil"/>
            </w:tcBorders>
            <w:shd w:val="clear" w:color="auto" w:fill="auto"/>
            <w:noWrap/>
            <w:hideMark/>
          </w:tcPr>
          <w:p w14:paraId="2E818D8F" w14:textId="77777777" w:rsidR="00CE3C27" w:rsidRPr="009B43C9" w:rsidRDefault="00CE3C27" w:rsidP="00CE3C27">
            <w:pPr>
              <w:rPr>
                <w:rFonts w:ascii="Calibri" w:hAnsi="Calibri" w:cs="Calibri"/>
                <w:color w:val="000000"/>
                <w:sz w:val="17"/>
                <w:szCs w:val="17"/>
              </w:rPr>
            </w:pPr>
            <w:r w:rsidRPr="009B43C9">
              <w:rPr>
                <w:rFonts w:ascii="Calibri" w:hAnsi="Calibri" w:cs="Calibri"/>
                <w:color w:val="000000"/>
                <w:sz w:val="17"/>
                <w:szCs w:val="17"/>
              </w:rPr>
              <w:t>PND</w:t>
            </w:r>
          </w:p>
        </w:tc>
        <w:tc>
          <w:tcPr>
            <w:tcW w:w="7654" w:type="dxa"/>
            <w:tcBorders>
              <w:top w:val="nil"/>
              <w:left w:val="nil"/>
              <w:bottom w:val="nil"/>
              <w:right w:val="nil"/>
            </w:tcBorders>
            <w:shd w:val="clear" w:color="auto" w:fill="auto"/>
            <w:noWrap/>
            <w:hideMark/>
          </w:tcPr>
          <w:p w14:paraId="3B207AB8" w14:textId="77777777" w:rsidR="00CE3C27" w:rsidRPr="009B43C9" w:rsidRDefault="00CE3C27" w:rsidP="00CE3C27">
            <w:pPr>
              <w:rPr>
                <w:rFonts w:ascii="Calibri" w:hAnsi="Calibri" w:cs="Calibri"/>
                <w:color w:val="000000"/>
                <w:sz w:val="17"/>
                <w:szCs w:val="17"/>
              </w:rPr>
            </w:pPr>
            <w:r w:rsidRPr="009B43C9">
              <w:rPr>
                <w:rFonts w:ascii="Calibri" w:hAnsi="Calibri" w:cs="Calibri"/>
                <w:color w:val="000000"/>
                <w:sz w:val="17"/>
                <w:szCs w:val="17"/>
              </w:rPr>
              <w:t xml:space="preserve">National Development Program </w:t>
            </w:r>
          </w:p>
        </w:tc>
      </w:tr>
      <w:tr w:rsidR="00CE3C27" w:rsidRPr="009B43C9" w14:paraId="4F0A94B9" w14:textId="77777777" w:rsidTr="000F2855">
        <w:tc>
          <w:tcPr>
            <w:tcW w:w="1620" w:type="dxa"/>
            <w:tcBorders>
              <w:top w:val="nil"/>
              <w:left w:val="nil"/>
              <w:bottom w:val="nil"/>
              <w:right w:val="nil"/>
            </w:tcBorders>
            <w:shd w:val="clear" w:color="auto" w:fill="auto"/>
            <w:noWrap/>
            <w:hideMark/>
          </w:tcPr>
          <w:p w14:paraId="65DD4C54" w14:textId="77777777" w:rsidR="00CE3C27" w:rsidRPr="009B43C9" w:rsidRDefault="00CE3C27" w:rsidP="00CE3C27">
            <w:pPr>
              <w:rPr>
                <w:rFonts w:ascii="Calibri" w:hAnsi="Calibri" w:cs="Calibri"/>
                <w:color w:val="000000"/>
                <w:sz w:val="17"/>
                <w:szCs w:val="17"/>
              </w:rPr>
            </w:pPr>
            <w:r w:rsidRPr="009B43C9">
              <w:rPr>
                <w:rFonts w:ascii="Calibri" w:hAnsi="Calibri" w:cs="Calibri"/>
                <w:color w:val="000000"/>
                <w:sz w:val="17"/>
                <w:szCs w:val="17"/>
              </w:rPr>
              <w:t>POR</w:t>
            </w:r>
          </w:p>
        </w:tc>
        <w:tc>
          <w:tcPr>
            <w:tcW w:w="7654" w:type="dxa"/>
            <w:tcBorders>
              <w:top w:val="nil"/>
              <w:left w:val="nil"/>
              <w:bottom w:val="nil"/>
              <w:right w:val="nil"/>
            </w:tcBorders>
            <w:shd w:val="clear" w:color="auto" w:fill="auto"/>
            <w:noWrap/>
            <w:hideMark/>
          </w:tcPr>
          <w:p w14:paraId="75C62F1E" w14:textId="77777777" w:rsidR="00CE3C27" w:rsidRPr="009B43C9" w:rsidRDefault="00CE3C27" w:rsidP="00CE3C27">
            <w:pPr>
              <w:rPr>
                <w:rFonts w:ascii="Calibri" w:hAnsi="Calibri" w:cs="Calibri"/>
                <w:color w:val="000000"/>
                <w:sz w:val="17"/>
                <w:szCs w:val="17"/>
              </w:rPr>
            </w:pPr>
            <w:r w:rsidRPr="009B43C9">
              <w:rPr>
                <w:rFonts w:ascii="Calibri" w:hAnsi="Calibri" w:cs="Calibri"/>
                <w:color w:val="000000"/>
                <w:sz w:val="17"/>
                <w:szCs w:val="17"/>
              </w:rPr>
              <w:t>Rural Land-Use Plans / Plano de Ordenamento Rural</w:t>
            </w:r>
          </w:p>
        </w:tc>
      </w:tr>
      <w:tr w:rsidR="00CE3C27" w:rsidRPr="009B43C9" w14:paraId="16F030FD" w14:textId="77777777" w:rsidTr="000F2855">
        <w:tc>
          <w:tcPr>
            <w:tcW w:w="1620" w:type="dxa"/>
            <w:tcBorders>
              <w:top w:val="nil"/>
              <w:left w:val="nil"/>
              <w:bottom w:val="nil"/>
              <w:right w:val="nil"/>
            </w:tcBorders>
            <w:shd w:val="clear" w:color="auto" w:fill="auto"/>
            <w:noWrap/>
            <w:hideMark/>
          </w:tcPr>
          <w:p w14:paraId="63F85CBD" w14:textId="77777777" w:rsidR="00CE3C27" w:rsidRPr="009B43C9" w:rsidRDefault="00CE3C27" w:rsidP="00CE3C27">
            <w:pPr>
              <w:rPr>
                <w:rFonts w:ascii="Calibri" w:hAnsi="Calibri" w:cs="Calibri"/>
                <w:color w:val="000000"/>
                <w:sz w:val="17"/>
                <w:szCs w:val="17"/>
              </w:rPr>
            </w:pPr>
            <w:r w:rsidRPr="009B43C9">
              <w:rPr>
                <w:rFonts w:ascii="Calibri" w:hAnsi="Calibri" w:cs="Calibri"/>
                <w:color w:val="000000"/>
                <w:sz w:val="17"/>
                <w:szCs w:val="17"/>
              </w:rPr>
              <w:t>PPG</w:t>
            </w:r>
          </w:p>
        </w:tc>
        <w:tc>
          <w:tcPr>
            <w:tcW w:w="7654" w:type="dxa"/>
            <w:tcBorders>
              <w:top w:val="nil"/>
              <w:left w:val="nil"/>
              <w:bottom w:val="nil"/>
              <w:right w:val="nil"/>
            </w:tcBorders>
            <w:shd w:val="clear" w:color="auto" w:fill="auto"/>
            <w:noWrap/>
            <w:hideMark/>
          </w:tcPr>
          <w:p w14:paraId="4A0AAF34" w14:textId="77777777" w:rsidR="00CE3C27" w:rsidRPr="009B43C9" w:rsidRDefault="00CE3C27" w:rsidP="00CE3C27">
            <w:pPr>
              <w:rPr>
                <w:rFonts w:ascii="Calibri" w:hAnsi="Calibri" w:cs="Calibri"/>
                <w:color w:val="000000"/>
                <w:sz w:val="17"/>
                <w:szCs w:val="17"/>
              </w:rPr>
            </w:pPr>
            <w:r w:rsidRPr="009B43C9">
              <w:rPr>
                <w:rFonts w:ascii="Calibri" w:hAnsi="Calibri" w:cs="Calibri"/>
                <w:color w:val="000000"/>
                <w:sz w:val="17"/>
                <w:szCs w:val="17"/>
              </w:rPr>
              <w:t>Project Preparation Grant</w:t>
            </w:r>
          </w:p>
        </w:tc>
      </w:tr>
      <w:tr w:rsidR="00CE3C27" w:rsidRPr="009B43C9" w14:paraId="7EB53800" w14:textId="77777777" w:rsidTr="000F2855">
        <w:tc>
          <w:tcPr>
            <w:tcW w:w="1620" w:type="dxa"/>
            <w:tcBorders>
              <w:top w:val="nil"/>
              <w:left w:val="nil"/>
              <w:bottom w:val="nil"/>
              <w:right w:val="nil"/>
            </w:tcBorders>
            <w:shd w:val="clear" w:color="auto" w:fill="auto"/>
            <w:noWrap/>
            <w:hideMark/>
          </w:tcPr>
          <w:p w14:paraId="17941E3F" w14:textId="77777777" w:rsidR="00CE3C27" w:rsidRPr="009B43C9" w:rsidRDefault="00CE3C27" w:rsidP="00CE3C27">
            <w:pPr>
              <w:rPr>
                <w:rFonts w:ascii="Calibri" w:hAnsi="Calibri" w:cs="Calibri"/>
                <w:color w:val="000000"/>
                <w:sz w:val="17"/>
                <w:szCs w:val="17"/>
              </w:rPr>
            </w:pPr>
            <w:r w:rsidRPr="009B43C9">
              <w:rPr>
                <w:rFonts w:ascii="Calibri" w:hAnsi="Calibri" w:cs="Calibri"/>
                <w:color w:val="000000"/>
                <w:sz w:val="17"/>
                <w:szCs w:val="17"/>
              </w:rPr>
              <w:t>PPOT(s)</w:t>
            </w:r>
          </w:p>
        </w:tc>
        <w:tc>
          <w:tcPr>
            <w:tcW w:w="7654" w:type="dxa"/>
            <w:tcBorders>
              <w:top w:val="nil"/>
              <w:left w:val="nil"/>
              <w:bottom w:val="nil"/>
              <w:right w:val="nil"/>
            </w:tcBorders>
            <w:shd w:val="clear" w:color="auto" w:fill="auto"/>
            <w:noWrap/>
            <w:hideMark/>
          </w:tcPr>
          <w:p w14:paraId="2859238A" w14:textId="77777777" w:rsidR="00CE3C27" w:rsidRPr="009B43C9" w:rsidRDefault="00CE3C27" w:rsidP="00CE3C27">
            <w:pPr>
              <w:rPr>
                <w:rFonts w:ascii="Calibri" w:hAnsi="Calibri" w:cs="Calibri"/>
                <w:color w:val="000000"/>
                <w:sz w:val="17"/>
                <w:szCs w:val="17"/>
              </w:rPr>
            </w:pPr>
            <w:r w:rsidRPr="009B43C9">
              <w:rPr>
                <w:rFonts w:ascii="Calibri" w:hAnsi="Calibri" w:cs="Calibri"/>
                <w:color w:val="000000"/>
                <w:sz w:val="17"/>
                <w:szCs w:val="17"/>
              </w:rPr>
              <w:t xml:space="preserve">Provincial-Level Spatial Management Plan(s) </w:t>
            </w:r>
          </w:p>
        </w:tc>
      </w:tr>
      <w:tr w:rsidR="00CE3C27" w:rsidRPr="009B43C9" w14:paraId="496EBB7A" w14:textId="77777777" w:rsidTr="000F2855">
        <w:tc>
          <w:tcPr>
            <w:tcW w:w="1620" w:type="dxa"/>
            <w:tcBorders>
              <w:top w:val="nil"/>
              <w:left w:val="nil"/>
              <w:bottom w:val="nil"/>
              <w:right w:val="nil"/>
            </w:tcBorders>
            <w:shd w:val="clear" w:color="auto" w:fill="auto"/>
            <w:noWrap/>
            <w:hideMark/>
          </w:tcPr>
          <w:p w14:paraId="09325429" w14:textId="77777777" w:rsidR="00CE3C27" w:rsidRPr="009B43C9" w:rsidRDefault="00CE3C27" w:rsidP="00CE3C27">
            <w:pPr>
              <w:rPr>
                <w:rFonts w:ascii="Calibri" w:hAnsi="Calibri" w:cs="Calibri"/>
                <w:color w:val="000000"/>
                <w:sz w:val="17"/>
                <w:szCs w:val="17"/>
              </w:rPr>
            </w:pPr>
            <w:r w:rsidRPr="009B43C9">
              <w:rPr>
                <w:rFonts w:ascii="Calibri" w:hAnsi="Calibri" w:cs="Calibri"/>
                <w:color w:val="000000"/>
                <w:sz w:val="17"/>
                <w:szCs w:val="17"/>
              </w:rPr>
              <w:t>PSPL</w:t>
            </w:r>
          </w:p>
        </w:tc>
        <w:tc>
          <w:tcPr>
            <w:tcW w:w="7654" w:type="dxa"/>
            <w:tcBorders>
              <w:top w:val="nil"/>
              <w:left w:val="nil"/>
              <w:bottom w:val="nil"/>
              <w:right w:val="nil"/>
            </w:tcBorders>
            <w:shd w:val="clear" w:color="auto" w:fill="auto"/>
            <w:noWrap/>
            <w:hideMark/>
          </w:tcPr>
          <w:p w14:paraId="6AD35B9E" w14:textId="77777777" w:rsidR="00CE3C27" w:rsidRPr="009B43C9" w:rsidRDefault="00CE3C27" w:rsidP="00CE3C27">
            <w:pPr>
              <w:rPr>
                <w:rFonts w:ascii="Calibri" w:hAnsi="Calibri" w:cs="Calibri"/>
                <w:color w:val="000000"/>
                <w:sz w:val="17"/>
                <w:szCs w:val="17"/>
              </w:rPr>
            </w:pPr>
            <w:r w:rsidRPr="009B43C9">
              <w:rPr>
                <w:rFonts w:ascii="Calibri" w:hAnsi="Calibri" w:cs="Calibri"/>
                <w:color w:val="000000"/>
                <w:sz w:val="17"/>
                <w:szCs w:val="17"/>
              </w:rPr>
              <w:t xml:space="preserve">Land Tenure Unit </w:t>
            </w:r>
          </w:p>
        </w:tc>
      </w:tr>
      <w:tr w:rsidR="00CE3C27" w:rsidRPr="009B43C9" w14:paraId="42248791" w14:textId="77777777" w:rsidTr="000F2855">
        <w:tc>
          <w:tcPr>
            <w:tcW w:w="1620" w:type="dxa"/>
            <w:tcBorders>
              <w:top w:val="nil"/>
              <w:left w:val="nil"/>
              <w:bottom w:val="nil"/>
              <w:right w:val="nil"/>
            </w:tcBorders>
            <w:shd w:val="clear" w:color="auto" w:fill="auto"/>
            <w:noWrap/>
            <w:hideMark/>
          </w:tcPr>
          <w:p w14:paraId="381B138F" w14:textId="77777777" w:rsidR="00CE3C27" w:rsidRPr="009B43C9" w:rsidRDefault="00CE3C27" w:rsidP="00CE3C27">
            <w:pPr>
              <w:rPr>
                <w:rFonts w:ascii="Calibri" w:hAnsi="Calibri" w:cs="Calibri"/>
                <w:color w:val="000000"/>
                <w:sz w:val="17"/>
                <w:szCs w:val="17"/>
              </w:rPr>
            </w:pPr>
            <w:r w:rsidRPr="009B43C9">
              <w:rPr>
                <w:rFonts w:ascii="Calibri" w:hAnsi="Calibri" w:cs="Calibri"/>
                <w:color w:val="000000"/>
                <w:sz w:val="17"/>
                <w:szCs w:val="17"/>
              </w:rPr>
              <w:t>REM</w:t>
            </w:r>
          </w:p>
        </w:tc>
        <w:tc>
          <w:tcPr>
            <w:tcW w:w="7654" w:type="dxa"/>
            <w:tcBorders>
              <w:top w:val="nil"/>
              <w:left w:val="nil"/>
              <w:bottom w:val="nil"/>
              <w:right w:val="nil"/>
            </w:tcBorders>
            <w:shd w:val="clear" w:color="auto" w:fill="auto"/>
            <w:noWrap/>
            <w:hideMark/>
          </w:tcPr>
          <w:p w14:paraId="01CA1F6F" w14:textId="77777777" w:rsidR="00CE3C27" w:rsidRPr="009B43C9" w:rsidRDefault="00CE3C27" w:rsidP="00CE3C27">
            <w:pPr>
              <w:rPr>
                <w:rFonts w:ascii="Calibri" w:hAnsi="Calibri" w:cs="Calibri"/>
                <w:color w:val="000000"/>
                <w:sz w:val="17"/>
                <w:szCs w:val="17"/>
              </w:rPr>
            </w:pPr>
            <w:r w:rsidRPr="009B43C9">
              <w:rPr>
                <w:rFonts w:ascii="Calibri" w:hAnsi="Calibri" w:cs="Calibri"/>
                <w:color w:val="000000"/>
                <w:sz w:val="17"/>
                <w:szCs w:val="17"/>
              </w:rPr>
              <w:t>Regional Exchange Mechanism (also see GEM)</w:t>
            </w:r>
          </w:p>
        </w:tc>
      </w:tr>
      <w:tr w:rsidR="00CE3C27" w:rsidRPr="009B43C9" w14:paraId="521DC944" w14:textId="77777777" w:rsidTr="000F2855">
        <w:tc>
          <w:tcPr>
            <w:tcW w:w="1620" w:type="dxa"/>
            <w:tcBorders>
              <w:top w:val="nil"/>
              <w:left w:val="nil"/>
              <w:bottom w:val="nil"/>
              <w:right w:val="nil"/>
            </w:tcBorders>
            <w:shd w:val="clear" w:color="auto" w:fill="auto"/>
            <w:noWrap/>
            <w:hideMark/>
          </w:tcPr>
          <w:p w14:paraId="0E719FE5" w14:textId="77777777" w:rsidR="00CE3C27" w:rsidRPr="009B43C9" w:rsidRDefault="00CE3C27" w:rsidP="00CE3C27">
            <w:pPr>
              <w:rPr>
                <w:rFonts w:ascii="Calibri" w:hAnsi="Calibri" w:cs="Calibri"/>
                <w:color w:val="000000"/>
                <w:sz w:val="17"/>
                <w:szCs w:val="17"/>
              </w:rPr>
            </w:pPr>
            <w:r w:rsidRPr="009B43C9">
              <w:rPr>
                <w:rFonts w:ascii="Calibri" w:hAnsi="Calibri" w:cs="Calibri"/>
                <w:color w:val="000000"/>
                <w:sz w:val="17"/>
                <w:szCs w:val="17"/>
              </w:rPr>
              <w:t>RS(A)</w:t>
            </w:r>
          </w:p>
        </w:tc>
        <w:tc>
          <w:tcPr>
            <w:tcW w:w="7654" w:type="dxa"/>
            <w:tcBorders>
              <w:top w:val="nil"/>
              <w:left w:val="nil"/>
              <w:bottom w:val="nil"/>
              <w:right w:val="nil"/>
            </w:tcBorders>
            <w:shd w:val="clear" w:color="auto" w:fill="auto"/>
            <w:noWrap/>
            <w:hideMark/>
          </w:tcPr>
          <w:p w14:paraId="380FD2FB" w14:textId="77777777" w:rsidR="00CE3C27" w:rsidRPr="009B43C9" w:rsidRDefault="00CE3C27" w:rsidP="00CE3C27">
            <w:pPr>
              <w:rPr>
                <w:rFonts w:ascii="Calibri" w:hAnsi="Calibri" w:cs="Calibri"/>
                <w:color w:val="000000"/>
                <w:sz w:val="17"/>
                <w:szCs w:val="17"/>
              </w:rPr>
            </w:pPr>
            <w:r w:rsidRPr="009B43C9">
              <w:rPr>
                <w:rFonts w:ascii="Calibri" w:hAnsi="Calibri" w:cs="Calibri"/>
                <w:color w:val="000000"/>
                <w:sz w:val="17"/>
                <w:szCs w:val="17"/>
              </w:rPr>
              <w:t>Remote Sensing (Assessment)</w:t>
            </w:r>
          </w:p>
        </w:tc>
      </w:tr>
      <w:tr w:rsidR="00CE3C27" w:rsidRPr="009B43C9" w14:paraId="7A4B2705" w14:textId="77777777" w:rsidTr="000F2855">
        <w:tc>
          <w:tcPr>
            <w:tcW w:w="1620" w:type="dxa"/>
            <w:tcBorders>
              <w:top w:val="nil"/>
              <w:left w:val="nil"/>
              <w:bottom w:val="nil"/>
              <w:right w:val="nil"/>
            </w:tcBorders>
            <w:shd w:val="clear" w:color="auto" w:fill="auto"/>
            <w:noWrap/>
            <w:hideMark/>
          </w:tcPr>
          <w:p w14:paraId="5BBF06A0" w14:textId="77777777" w:rsidR="00CE3C27" w:rsidRPr="009B43C9" w:rsidRDefault="00CE3C27" w:rsidP="00CE3C27">
            <w:pPr>
              <w:rPr>
                <w:rFonts w:ascii="Calibri" w:hAnsi="Calibri" w:cs="Calibri"/>
                <w:color w:val="000000"/>
                <w:sz w:val="17"/>
                <w:szCs w:val="17"/>
              </w:rPr>
            </w:pPr>
            <w:r w:rsidRPr="009B43C9">
              <w:rPr>
                <w:rFonts w:ascii="Calibri" w:hAnsi="Calibri" w:cs="Calibri"/>
                <w:color w:val="000000"/>
                <w:sz w:val="17"/>
                <w:szCs w:val="17"/>
              </w:rPr>
              <w:t>SADC</w:t>
            </w:r>
          </w:p>
        </w:tc>
        <w:tc>
          <w:tcPr>
            <w:tcW w:w="7654" w:type="dxa"/>
            <w:tcBorders>
              <w:top w:val="nil"/>
              <w:left w:val="nil"/>
              <w:bottom w:val="nil"/>
              <w:right w:val="nil"/>
            </w:tcBorders>
            <w:shd w:val="clear" w:color="auto" w:fill="auto"/>
            <w:noWrap/>
            <w:hideMark/>
          </w:tcPr>
          <w:p w14:paraId="4A6E088F" w14:textId="77777777" w:rsidR="00CE3C27" w:rsidRPr="009B43C9" w:rsidRDefault="00CE3C27" w:rsidP="00CE3C27">
            <w:pPr>
              <w:rPr>
                <w:rFonts w:ascii="Calibri" w:hAnsi="Calibri" w:cs="Calibri"/>
                <w:color w:val="000000"/>
                <w:sz w:val="17"/>
                <w:szCs w:val="17"/>
              </w:rPr>
            </w:pPr>
            <w:r w:rsidRPr="009B43C9">
              <w:rPr>
                <w:rFonts w:ascii="Calibri" w:hAnsi="Calibri" w:cs="Calibri"/>
                <w:color w:val="000000"/>
                <w:sz w:val="17"/>
                <w:szCs w:val="17"/>
              </w:rPr>
              <w:t>Southern African Development Community</w:t>
            </w:r>
          </w:p>
        </w:tc>
      </w:tr>
      <w:tr w:rsidR="00CE3C27" w:rsidRPr="009B43C9" w14:paraId="509B32B1" w14:textId="77777777" w:rsidTr="000F2855">
        <w:tc>
          <w:tcPr>
            <w:tcW w:w="1620" w:type="dxa"/>
            <w:tcBorders>
              <w:top w:val="nil"/>
              <w:left w:val="nil"/>
              <w:bottom w:val="nil"/>
              <w:right w:val="nil"/>
            </w:tcBorders>
            <w:shd w:val="clear" w:color="auto" w:fill="auto"/>
            <w:noWrap/>
            <w:hideMark/>
          </w:tcPr>
          <w:p w14:paraId="3024D930" w14:textId="77777777" w:rsidR="00CE3C27" w:rsidRPr="009B43C9" w:rsidRDefault="00CE3C27" w:rsidP="00CE3C27">
            <w:pPr>
              <w:rPr>
                <w:rFonts w:ascii="Calibri" w:hAnsi="Calibri" w:cs="Calibri"/>
                <w:color w:val="000000"/>
                <w:sz w:val="17"/>
                <w:szCs w:val="17"/>
              </w:rPr>
            </w:pPr>
            <w:r w:rsidRPr="009B43C9">
              <w:rPr>
                <w:rFonts w:ascii="Calibri" w:hAnsi="Calibri" w:cs="Calibri"/>
                <w:color w:val="000000"/>
                <w:sz w:val="17"/>
                <w:szCs w:val="17"/>
              </w:rPr>
              <w:t>SAP</w:t>
            </w:r>
          </w:p>
        </w:tc>
        <w:tc>
          <w:tcPr>
            <w:tcW w:w="7654" w:type="dxa"/>
            <w:tcBorders>
              <w:top w:val="nil"/>
              <w:left w:val="nil"/>
              <w:bottom w:val="nil"/>
              <w:right w:val="nil"/>
            </w:tcBorders>
            <w:shd w:val="clear" w:color="auto" w:fill="auto"/>
            <w:noWrap/>
            <w:hideMark/>
          </w:tcPr>
          <w:p w14:paraId="10ACCF59" w14:textId="77777777" w:rsidR="00CE3C27" w:rsidRPr="009B43C9" w:rsidRDefault="00CE3C27" w:rsidP="00CE3C27">
            <w:pPr>
              <w:rPr>
                <w:rFonts w:ascii="Calibri" w:hAnsi="Calibri" w:cs="Calibri"/>
                <w:color w:val="000000"/>
                <w:sz w:val="17"/>
                <w:szCs w:val="17"/>
              </w:rPr>
            </w:pPr>
            <w:r w:rsidRPr="009B43C9">
              <w:rPr>
                <w:rFonts w:ascii="Calibri" w:hAnsi="Calibri" w:cs="Calibri"/>
                <w:color w:val="000000"/>
                <w:sz w:val="17"/>
                <w:szCs w:val="17"/>
              </w:rPr>
              <w:t>Strategic Action Program</w:t>
            </w:r>
          </w:p>
        </w:tc>
      </w:tr>
      <w:tr w:rsidR="00CE3C27" w:rsidRPr="009B43C9" w14:paraId="4615D86B" w14:textId="77777777" w:rsidTr="000F2855">
        <w:tc>
          <w:tcPr>
            <w:tcW w:w="1620" w:type="dxa"/>
            <w:tcBorders>
              <w:top w:val="nil"/>
              <w:left w:val="nil"/>
              <w:bottom w:val="nil"/>
              <w:right w:val="nil"/>
            </w:tcBorders>
            <w:shd w:val="clear" w:color="auto" w:fill="auto"/>
            <w:noWrap/>
            <w:hideMark/>
          </w:tcPr>
          <w:p w14:paraId="6CF49454" w14:textId="77777777" w:rsidR="00CE3C27" w:rsidRPr="009B43C9" w:rsidRDefault="00CE3C27" w:rsidP="00CE3C27">
            <w:pPr>
              <w:rPr>
                <w:rFonts w:ascii="Calibri" w:hAnsi="Calibri" w:cs="Calibri"/>
                <w:color w:val="000000"/>
                <w:sz w:val="17"/>
                <w:szCs w:val="17"/>
              </w:rPr>
            </w:pPr>
            <w:r w:rsidRPr="009B43C9">
              <w:rPr>
                <w:rFonts w:ascii="Calibri" w:hAnsi="Calibri" w:cs="Calibri"/>
                <w:color w:val="000000"/>
                <w:sz w:val="17"/>
                <w:szCs w:val="17"/>
              </w:rPr>
              <w:t>SARUA</w:t>
            </w:r>
          </w:p>
        </w:tc>
        <w:tc>
          <w:tcPr>
            <w:tcW w:w="7654" w:type="dxa"/>
            <w:tcBorders>
              <w:top w:val="nil"/>
              <w:left w:val="nil"/>
              <w:bottom w:val="nil"/>
              <w:right w:val="nil"/>
            </w:tcBorders>
            <w:shd w:val="clear" w:color="auto" w:fill="auto"/>
            <w:noWrap/>
            <w:hideMark/>
          </w:tcPr>
          <w:p w14:paraId="7DEB4729" w14:textId="77777777" w:rsidR="00CE3C27" w:rsidRPr="009B43C9" w:rsidRDefault="00CE3C27" w:rsidP="00CE3C27">
            <w:pPr>
              <w:rPr>
                <w:rFonts w:ascii="Calibri" w:hAnsi="Calibri" w:cs="Calibri"/>
                <w:color w:val="000000"/>
                <w:sz w:val="17"/>
                <w:szCs w:val="17"/>
              </w:rPr>
            </w:pPr>
            <w:r w:rsidRPr="009B43C9">
              <w:rPr>
                <w:rFonts w:ascii="Calibri" w:hAnsi="Calibri" w:cs="Calibri"/>
                <w:color w:val="000000"/>
                <w:sz w:val="17"/>
                <w:szCs w:val="17"/>
              </w:rPr>
              <w:t xml:space="preserve">The Southern African Regional Universities Association </w:t>
            </w:r>
          </w:p>
        </w:tc>
      </w:tr>
      <w:tr w:rsidR="00CE3C27" w:rsidRPr="009B43C9" w14:paraId="44DCDDE8" w14:textId="77777777" w:rsidTr="000F2855">
        <w:tc>
          <w:tcPr>
            <w:tcW w:w="1620" w:type="dxa"/>
            <w:tcBorders>
              <w:top w:val="nil"/>
              <w:left w:val="nil"/>
              <w:bottom w:val="nil"/>
              <w:right w:val="nil"/>
            </w:tcBorders>
            <w:shd w:val="clear" w:color="auto" w:fill="auto"/>
            <w:noWrap/>
            <w:hideMark/>
          </w:tcPr>
          <w:p w14:paraId="4F1C69B2" w14:textId="77777777" w:rsidR="00CE3C27" w:rsidRPr="009B43C9" w:rsidRDefault="00CE3C27" w:rsidP="00CE3C27">
            <w:pPr>
              <w:rPr>
                <w:rFonts w:ascii="Calibri" w:hAnsi="Calibri" w:cs="Calibri"/>
                <w:color w:val="000000"/>
                <w:sz w:val="17"/>
                <w:szCs w:val="17"/>
              </w:rPr>
            </w:pPr>
            <w:r w:rsidRPr="009B43C9">
              <w:rPr>
                <w:rFonts w:ascii="Calibri" w:hAnsi="Calibri" w:cs="Calibri"/>
                <w:color w:val="000000"/>
                <w:sz w:val="17"/>
                <w:szCs w:val="17"/>
              </w:rPr>
              <w:t>SDG(s)</w:t>
            </w:r>
          </w:p>
        </w:tc>
        <w:tc>
          <w:tcPr>
            <w:tcW w:w="7654" w:type="dxa"/>
            <w:tcBorders>
              <w:top w:val="nil"/>
              <w:left w:val="nil"/>
              <w:bottom w:val="nil"/>
              <w:right w:val="nil"/>
            </w:tcBorders>
            <w:shd w:val="clear" w:color="auto" w:fill="auto"/>
            <w:noWrap/>
            <w:hideMark/>
          </w:tcPr>
          <w:p w14:paraId="100FAFED" w14:textId="77777777" w:rsidR="00CE3C27" w:rsidRPr="009B43C9" w:rsidRDefault="00CE3C27" w:rsidP="00CE3C27">
            <w:pPr>
              <w:rPr>
                <w:rFonts w:ascii="Calibri" w:hAnsi="Calibri" w:cs="Calibri"/>
                <w:color w:val="000000"/>
                <w:sz w:val="17"/>
                <w:szCs w:val="17"/>
              </w:rPr>
            </w:pPr>
            <w:r w:rsidRPr="009B43C9">
              <w:rPr>
                <w:rFonts w:ascii="Calibri" w:hAnsi="Calibri" w:cs="Calibri"/>
                <w:color w:val="000000"/>
                <w:sz w:val="17"/>
                <w:szCs w:val="17"/>
              </w:rPr>
              <w:t>Sustainable Development Goal(s)</w:t>
            </w:r>
          </w:p>
        </w:tc>
      </w:tr>
      <w:tr w:rsidR="00CE3C27" w:rsidRPr="009B43C9" w14:paraId="5AD1DCC9" w14:textId="77777777" w:rsidTr="000F2855">
        <w:tc>
          <w:tcPr>
            <w:tcW w:w="1620" w:type="dxa"/>
            <w:tcBorders>
              <w:top w:val="nil"/>
              <w:left w:val="nil"/>
              <w:bottom w:val="nil"/>
              <w:right w:val="nil"/>
            </w:tcBorders>
            <w:shd w:val="clear" w:color="auto" w:fill="auto"/>
            <w:noWrap/>
            <w:hideMark/>
          </w:tcPr>
          <w:p w14:paraId="6839D9B5" w14:textId="77777777" w:rsidR="00CE3C27" w:rsidRPr="009B43C9" w:rsidRDefault="00CE3C27" w:rsidP="00CE3C27">
            <w:pPr>
              <w:rPr>
                <w:rFonts w:ascii="Calibri" w:hAnsi="Calibri" w:cs="Calibri"/>
                <w:color w:val="000000"/>
                <w:sz w:val="17"/>
                <w:szCs w:val="17"/>
              </w:rPr>
            </w:pPr>
            <w:r w:rsidRPr="009B43C9">
              <w:rPr>
                <w:rFonts w:ascii="Calibri" w:hAnsi="Calibri" w:cs="Calibri"/>
                <w:color w:val="000000"/>
                <w:sz w:val="17"/>
                <w:szCs w:val="17"/>
              </w:rPr>
              <w:t>SFM</w:t>
            </w:r>
          </w:p>
        </w:tc>
        <w:tc>
          <w:tcPr>
            <w:tcW w:w="7654" w:type="dxa"/>
            <w:tcBorders>
              <w:top w:val="nil"/>
              <w:left w:val="nil"/>
              <w:bottom w:val="nil"/>
              <w:right w:val="nil"/>
            </w:tcBorders>
            <w:shd w:val="clear" w:color="auto" w:fill="auto"/>
            <w:noWrap/>
            <w:hideMark/>
          </w:tcPr>
          <w:p w14:paraId="0E61D916" w14:textId="77777777" w:rsidR="00CE3C27" w:rsidRPr="009B43C9" w:rsidRDefault="00CE3C27" w:rsidP="00CE3C27">
            <w:pPr>
              <w:rPr>
                <w:rFonts w:ascii="Calibri" w:hAnsi="Calibri" w:cs="Calibri"/>
                <w:color w:val="000000"/>
                <w:sz w:val="17"/>
                <w:szCs w:val="17"/>
              </w:rPr>
            </w:pPr>
            <w:r w:rsidRPr="009B43C9">
              <w:rPr>
                <w:rFonts w:ascii="Calibri" w:hAnsi="Calibri" w:cs="Calibri"/>
                <w:color w:val="000000"/>
                <w:sz w:val="17"/>
                <w:szCs w:val="17"/>
              </w:rPr>
              <w:t xml:space="preserve">Sustainable Forest Management </w:t>
            </w:r>
          </w:p>
        </w:tc>
      </w:tr>
      <w:tr w:rsidR="00CE3C27" w:rsidRPr="009B43C9" w14:paraId="3742E874" w14:textId="77777777" w:rsidTr="000F2855">
        <w:tc>
          <w:tcPr>
            <w:tcW w:w="1620" w:type="dxa"/>
            <w:tcBorders>
              <w:top w:val="nil"/>
              <w:left w:val="nil"/>
              <w:bottom w:val="nil"/>
              <w:right w:val="nil"/>
            </w:tcBorders>
            <w:shd w:val="clear" w:color="auto" w:fill="auto"/>
            <w:noWrap/>
            <w:hideMark/>
          </w:tcPr>
          <w:p w14:paraId="400FE2E9" w14:textId="77777777" w:rsidR="00CE3C27" w:rsidRPr="009B43C9" w:rsidRDefault="00CE3C27" w:rsidP="00CE3C27">
            <w:pPr>
              <w:rPr>
                <w:rFonts w:ascii="Calibri" w:hAnsi="Calibri" w:cs="Calibri"/>
                <w:color w:val="000000"/>
                <w:sz w:val="17"/>
                <w:szCs w:val="17"/>
              </w:rPr>
            </w:pPr>
            <w:r w:rsidRPr="009B43C9">
              <w:rPr>
                <w:rFonts w:ascii="Calibri" w:hAnsi="Calibri" w:cs="Calibri"/>
                <w:color w:val="000000"/>
                <w:sz w:val="17"/>
                <w:szCs w:val="17"/>
              </w:rPr>
              <w:t>SHARP</w:t>
            </w:r>
          </w:p>
        </w:tc>
        <w:tc>
          <w:tcPr>
            <w:tcW w:w="7654" w:type="dxa"/>
            <w:tcBorders>
              <w:top w:val="nil"/>
              <w:left w:val="nil"/>
              <w:bottom w:val="nil"/>
              <w:right w:val="nil"/>
            </w:tcBorders>
            <w:shd w:val="clear" w:color="auto" w:fill="auto"/>
            <w:noWrap/>
            <w:hideMark/>
          </w:tcPr>
          <w:p w14:paraId="3C80E0F5" w14:textId="77777777" w:rsidR="00CE3C27" w:rsidRPr="009B43C9" w:rsidRDefault="00CE3C27" w:rsidP="006D4470">
            <w:pPr>
              <w:rPr>
                <w:rFonts w:ascii="Calibri" w:hAnsi="Calibri" w:cs="Calibri"/>
                <w:color w:val="000000"/>
                <w:sz w:val="17"/>
                <w:szCs w:val="17"/>
              </w:rPr>
            </w:pPr>
            <w:r w:rsidRPr="009B43C9">
              <w:rPr>
                <w:rFonts w:ascii="Calibri" w:hAnsi="Calibri" w:cs="Calibri"/>
                <w:color w:val="000000"/>
                <w:sz w:val="17"/>
                <w:szCs w:val="17"/>
              </w:rPr>
              <w:t>Self-evaluation and Holistic Assessment of climate Resilience of farmers and Pastoralists</w:t>
            </w:r>
          </w:p>
        </w:tc>
      </w:tr>
      <w:tr w:rsidR="00CE3C27" w:rsidRPr="009B43C9" w14:paraId="6749991B" w14:textId="77777777" w:rsidTr="000F2855">
        <w:tc>
          <w:tcPr>
            <w:tcW w:w="1620" w:type="dxa"/>
            <w:tcBorders>
              <w:top w:val="nil"/>
              <w:left w:val="nil"/>
              <w:bottom w:val="nil"/>
              <w:right w:val="nil"/>
            </w:tcBorders>
            <w:shd w:val="clear" w:color="auto" w:fill="auto"/>
            <w:noWrap/>
            <w:hideMark/>
          </w:tcPr>
          <w:p w14:paraId="1CDC6EA1" w14:textId="77777777" w:rsidR="00CE3C27" w:rsidRPr="009B43C9" w:rsidRDefault="00CE3C27" w:rsidP="00CE3C27">
            <w:pPr>
              <w:rPr>
                <w:rFonts w:ascii="Calibri" w:hAnsi="Calibri" w:cs="Calibri"/>
                <w:color w:val="000000"/>
                <w:sz w:val="17"/>
                <w:szCs w:val="17"/>
              </w:rPr>
            </w:pPr>
            <w:r w:rsidRPr="009B43C9">
              <w:rPr>
                <w:rFonts w:ascii="Calibri" w:hAnsi="Calibri" w:cs="Calibri"/>
                <w:color w:val="000000"/>
                <w:sz w:val="17"/>
                <w:szCs w:val="17"/>
              </w:rPr>
              <w:t>SHG(s)</w:t>
            </w:r>
          </w:p>
        </w:tc>
        <w:tc>
          <w:tcPr>
            <w:tcW w:w="7654" w:type="dxa"/>
            <w:tcBorders>
              <w:top w:val="nil"/>
              <w:left w:val="nil"/>
              <w:bottom w:val="nil"/>
              <w:right w:val="nil"/>
            </w:tcBorders>
            <w:shd w:val="clear" w:color="auto" w:fill="auto"/>
            <w:noWrap/>
            <w:hideMark/>
          </w:tcPr>
          <w:p w14:paraId="4F8CCAB6" w14:textId="77777777" w:rsidR="00CE3C27" w:rsidRPr="009B43C9" w:rsidRDefault="00CE3C27" w:rsidP="00CE3C27">
            <w:pPr>
              <w:rPr>
                <w:rFonts w:ascii="Calibri" w:hAnsi="Calibri" w:cs="Calibri"/>
                <w:color w:val="000000"/>
                <w:sz w:val="17"/>
                <w:szCs w:val="17"/>
              </w:rPr>
            </w:pPr>
            <w:r w:rsidRPr="009B43C9">
              <w:rPr>
                <w:rFonts w:ascii="Calibri" w:hAnsi="Calibri" w:cs="Calibri"/>
                <w:color w:val="000000"/>
                <w:sz w:val="17"/>
                <w:szCs w:val="17"/>
              </w:rPr>
              <w:t xml:space="preserve">Self Help Group(s) </w:t>
            </w:r>
          </w:p>
        </w:tc>
      </w:tr>
      <w:tr w:rsidR="000625FA" w:rsidRPr="009B43C9" w14:paraId="3E6C84C8" w14:textId="77777777" w:rsidTr="000F2855">
        <w:tc>
          <w:tcPr>
            <w:tcW w:w="1620" w:type="dxa"/>
            <w:tcBorders>
              <w:top w:val="nil"/>
              <w:left w:val="nil"/>
              <w:bottom w:val="nil"/>
              <w:right w:val="nil"/>
            </w:tcBorders>
            <w:shd w:val="clear" w:color="auto" w:fill="auto"/>
            <w:noWrap/>
            <w:hideMark/>
          </w:tcPr>
          <w:p w14:paraId="277BD503" w14:textId="77777777" w:rsidR="000625FA" w:rsidRPr="009B43C9" w:rsidRDefault="000625FA" w:rsidP="00FD0EF8">
            <w:pPr>
              <w:rPr>
                <w:rFonts w:ascii="Calibri" w:hAnsi="Calibri" w:cs="Calibri"/>
                <w:color w:val="000000"/>
                <w:sz w:val="17"/>
                <w:szCs w:val="17"/>
              </w:rPr>
            </w:pPr>
            <w:r w:rsidRPr="009B43C9">
              <w:rPr>
                <w:rFonts w:ascii="Calibri" w:hAnsi="Calibri" w:cs="Calibri"/>
                <w:color w:val="000000"/>
                <w:sz w:val="17"/>
                <w:szCs w:val="17"/>
              </w:rPr>
              <w:t>S</w:t>
            </w:r>
            <w:r>
              <w:rPr>
                <w:rFonts w:ascii="Calibri" w:hAnsi="Calibri" w:cs="Calibri"/>
                <w:color w:val="000000"/>
                <w:sz w:val="17"/>
                <w:szCs w:val="17"/>
              </w:rPr>
              <w:t>F</w:t>
            </w:r>
            <w:r w:rsidRPr="009B43C9">
              <w:rPr>
                <w:rFonts w:ascii="Calibri" w:hAnsi="Calibri" w:cs="Calibri"/>
                <w:color w:val="000000"/>
                <w:sz w:val="17"/>
                <w:szCs w:val="17"/>
              </w:rPr>
              <w:t>M</w:t>
            </w:r>
          </w:p>
        </w:tc>
        <w:tc>
          <w:tcPr>
            <w:tcW w:w="7654" w:type="dxa"/>
            <w:tcBorders>
              <w:top w:val="nil"/>
              <w:left w:val="nil"/>
              <w:bottom w:val="nil"/>
              <w:right w:val="nil"/>
            </w:tcBorders>
            <w:shd w:val="clear" w:color="auto" w:fill="auto"/>
            <w:noWrap/>
            <w:hideMark/>
          </w:tcPr>
          <w:p w14:paraId="54A7A4DD" w14:textId="77777777" w:rsidR="000625FA" w:rsidRPr="009B43C9" w:rsidRDefault="000625FA" w:rsidP="00FD0EF8">
            <w:pPr>
              <w:rPr>
                <w:rFonts w:ascii="Calibri" w:hAnsi="Calibri" w:cs="Calibri"/>
                <w:color w:val="000000"/>
                <w:sz w:val="17"/>
                <w:szCs w:val="17"/>
              </w:rPr>
            </w:pPr>
            <w:r w:rsidRPr="009B43C9">
              <w:rPr>
                <w:rFonts w:ascii="Calibri" w:hAnsi="Calibri" w:cs="Calibri"/>
                <w:color w:val="000000"/>
                <w:sz w:val="17"/>
                <w:szCs w:val="17"/>
              </w:rPr>
              <w:t xml:space="preserve">Sustainable Forest Management </w:t>
            </w:r>
          </w:p>
        </w:tc>
      </w:tr>
      <w:tr w:rsidR="00CE3C27" w:rsidRPr="009B43C9" w14:paraId="5C2FFC0A" w14:textId="77777777" w:rsidTr="000F2855">
        <w:tc>
          <w:tcPr>
            <w:tcW w:w="1620" w:type="dxa"/>
            <w:tcBorders>
              <w:top w:val="nil"/>
              <w:left w:val="nil"/>
              <w:bottom w:val="nil"/>
              <w:right w:val="nil"/>
            </w:tcBorders>
            <w:shd w:val="clear" w:color="auto" w:fill="auto"/>
            <w:noWrap/>
            <w:hideMark/>
          </w:tcPr>
          <w:p w14:paraId="0D839DB8" w14:textId="77777777" w:rsidR="00CE3C27" w:rsidRPr="009B43C9" w:rsidRDefault="00CE3C27" w:rsidP="00CE3C27">
            <w:pPr>
              <w:rPr>
                <w:rFonts w:ascii="Calibri" w:hAnsi="Calibri" w:cs="Calibri"/>
                <w:color w:val="000000"/>
                <w:sz w:val="17"/>
                <w:szCs w:val="17"/>
              </w:rPr>
            </w:pPr>
            <w:r w:rsidRPr="009B43C9">
              <w:rPr>
                <w:rFonts w:ascii="Calibri" w:hAnsi="Calibri" w:cs="Calibri"/>
                <w:color w:val="000000"/>
                <w:sz w:val="17"/>
                <w:szCs w:val="17"/>
              </w:rPr>
              <w:t>SLM</w:t>
            </w:r>
          </w:p>
        </w:tc>
        <w:tc>
          <w:tcPr>
            <w:tcW w:w="7654" w:type="dxa"/>
            <w:tcBorders>
              <w:top w:val="nil"/>
              <w:left w:val="nil"/>
              <w:bottom w:val="nil"/>
              <w:right w:val="nil"/>
            </w:tcBorders>
            <w:shd w:val="clear" w:color="auto" w:fill="auto"/>
            <w:noWrap/>
            <w:hideMark/>
          </w:tcPr>
          <w:p w14:paraId="0D464775" w14:textId="77777777" w:rsidR="00CE3C27" w:rsidRPr="009B43C9" w:rsidRDefault="00CE3C27" w:rsidP="00CE3C27">
            <w:pPr>
              <w:rPr>
                <w:rFonts w:ascii="Calibri" w:hAnsi="Calibri" w:cs="Calibri"/>
                <w:color w:val="000000"/>
                <w:sz w:val="17"/>
                <w:szCs w:val="17"/>
              </w:rPr>
            </w:pPr>
            <w:r w:rsidRPr="009B43C9">
              <w:rPr>
                <w:rFonts w:ascii="Calibri" w:hAnsi="Calibri" w:cs="Calibri"/>
                <w:color w:val="000000"/>
                <w:sz w:val="17"/>
                <w:szCs w:val="17"/>
              </w:rPr>
              <w:t xml:space="preserve">Sustainable Land Management </w:t>
            </w:r>
          </w:p>
        </w:tc>
      </w:tr>
      <w:tr w:rsidR="000625FA" w:rsidRPr="009B43C9" w14:paraId="459AAB4D" w14:textId="77777777" w:rsidTr="000F2855">
        <w:tc>
          <w:tcPr>
            <w:tcW w:w="1620" w:type="dxa"/>
            <w:tcBorders>
              <w:top w:val="nil"/>
              <w:left w:val="nil"/>
              <w:bottom w:val="nil"/>
              <w:right w:val="nil"/>
            </w:tcBorders>
            <w:shd w:val="clear" w:color="auto" w:fill="auto"/>
            <w:noWrap/>
          </w:tcPr>
          <w:p w14:paraId="21DEA4FA" w14:textId="6B3AC833" w:rsidR="000625FA" w:rsidRPr="009B43C9" w:rsidRDefault="000625FA" w:rsidP="00CE3C27">
            <w:pPr>
              <w:rPr>
                <w:rFonts w:ascii="Calibri" w:hAnsi="Calibri" w:cs="Calibri"/>
                <w:color w:val="000000"/>
                <w:sz w:val="17"/>
                <w:szCs w:val="17"/>
              </w:rPr>
            </w:pPr>
            <w:r>
              <w:rPr>
                <w:rFonts w:ascii="Calibri" w:hAnsi="Calibri" w:cs="Calibri"/>
                <w:color w:val="000000"/>
                <w:sz w:val="17"/>
                <w:szCs w:val="17"/>
              </w:rPr>
              <w:t>SRM</w:t>
            </w:r>
          </w:p>
        </w:tc>
        <w:tc>
          <w:tcPr>
            <w:tcW w:w="7654" w:type="dxa"/>
            <w:tcBorders>
              <w:top w:val="nil"/>
              <w:left w:val="nil"/>
              <w:bottom w:val="nil"/>
              <w:right w:val="nil"/>
            </w:tcBorders>
            <w:shd w:val="clear" w:color="auto" w:fill="auto"/>
            <w:noWrap/>
          </w:tcPr>
          <w:p w14:paraId="756BDA17" w14:textId="23EC345F" w:rsidR="000625FA" w:rsidRPr="009B43C9" w:rsidRDefault="000625FA" w:rsidP="00CE3C27">
            <w:pPr>
              <w:rPr>
                <w:rFonts w:ascii="Calibri" w:hAnsi="Calibri" w:cs="Calibri"/>
                <w:sz w:val="17"/>
                <w:szCs w:val="17"/>
              </w:rPr>
            </w:pPr>
            <w:r>
              <w:rPr>
                <w:rFonts w:ascii="Calibri" w:hAnsi="Calibri" w:cs="Calibri"/>
                <w:sz w:val="17"/>
                <w:szCs w:val="17"/>
              </w:rPr>
              <w:t>Sustainable Range Management</w:t>
            </w:r>
          </w:p>
        </w:tc>
      </w:tr>
      <w:tr w:rsidR="00C265EF" w:rsidRPr="009B43C9" w14:paraId="530B8A1B" w14:textId="77777777" w:rsidTr="000F2855">
        <w:tc>
          <w:tcPr>
            <w:tcW w:w="1620" w:type="dxa"/>
            <w:tcBorders>
              <w:top w:val="nil"/>
              <w:left w:val="nil"/>
              <w:bottom w:val="nil"/>
              <w:right w:val="nil"/>
            </w:tcBorders>
            <w:shd w:val="clear" w:color="auto" w:fill="auto"/>
            <w:noWrap/>
          </w:tcPr>
          <w:p w14:paraId="6AD24C1C" w14:textId="6C247428" w:rsidR="00C265EF" w:rsidRPr="009B43C9" w:rsidRDefault="00C265EF" w:rsidP="00CE3C27">
            <w:pPr>
              <w:rPr>
                <w:rFonts w:ascii="Calibri" w:hAnsi="Calibri" w:cs="Calibri"/>
                <w:color w:val="000000"/>
                <w:sz w:val="17"/>
                <w:szCs w:val="17"/>
              </w:rPr>
            </w:pPr>
            <w:r w:rsidRPr="009B43C9">
              <w:rPr>
                <w:rFonts w:ascii="Calibri" w:hAnsi="Calibri" w:cs="Calibri"/>
                <w:color w:val="000000"/>
                <w:sz w:val="17"/>
                <w:szCs w:val="17"/>
              </w:rPr>
              <w:t>SMART</w:t>
            </w:r>
          </w:p>
        </w:tc>
        <w:tc>
          <w:tcPr>
            <w:tcW w:w="7654" w:type="dxa"/>
            <w:tcBorders>
              <w:top w:val="nil"/>
              <w:left w:val="nil"/>
              <w:bottom w:val="nil"/>
              <w:right w:val="nil"/>
            </w:tcBorders>
            <w:shd w:val="clear" w:color="auto" w:fill="auto"/>
            <w:noWrap/>
          </w:tcPr>
          <w:p w14:paraId="20BECEAD" w14:textId="7CBDFDAE" w:rsidR="00C265EF" w:rsidRPr="009B43C9" w:rsidRDefault="00C265EF" w:rsidP="00CE3C27">
            <w:pPr>
              <w:rPr>
                <w:rFonts w:ascii="Calibri" w:hAnsi="Calibri" w:cs="Calibri"/>
                <w:color w:val="000000"/>
                <w:sz w:val="17"/>
                <w:szCs w:val="17"/>
              </w:rPr>
            </w:pPr>
            <w:r w:rsidRPr="009B43C9">
              <w:rPr>
                <w:rFonts w:ascii="Calibri" w:hAnsi="Calibri" w:cs="Calibri"/>
                <w:sz w:val="17"/>
                <w:szCs w:val="17"/>
              </w:rPr>
              <w:t>Specific, Measurable, Achievable, Relevant, and Time-Bound (indicators)</w:t>
            </w:r>
          </w:p>
        </w:tc>
      </w:tr>
      <w:tr w:rsidR="00CE3C27" w:rsidRPr="009B43C9" w14:paraId="24C11035" w14:textId="77777777" w:rsidTr="000F2855">
        <w:tc>
          <w:tcPr>
            <w:tcW w:w="1620" w:type="dxa"/>
            <w:tcBorders>
              <w:top w:val="nil"/>
              <w:left w:val="nil"/>
              <w:bottom w:val="nil"/>
              <w:right w:val="nil"/>
            </w:tcBorders>
            <w:shd w:val="clear" w:color="auto" w:fill="auto"/>
            <w:noWrap/>
            <w:hideMark/>
          </w:tcPr>
          <w:p w14:paraId="537E2ABE" w14:textId="77777777" w:rsidR="00CE3C27" w:rsidRPr="009B43C9" w:rsidRDefault="00CE3C27" w:rsidP="00CE3C27">
            <w:pPr>
              <w:rPr>
                <w:rFonts w:ascii="Calibri" w:hAnsi="Calibri" w:cs="Calibri"/>
                <w:color w:val="000000"/>
                <w:sz w:val="17"/>
                <w:szCs w:val="17"/>
              </w:rPr>
            </w:pPr>
            <w:r w:rsidRPr="009B43C9">
              <w:rPr>
                <w:rFonts w:ascii="Calibri" w:hAnsi="Calibri" w:cs="Calibri"/>
                <w:color w:val="000000"/>
                <w:sz w:val="17"/>
                <w:szCs w:val="17"/>
              </w:rPr>
              <w:t>SO</w:t>
            </w:r>
          </w:p>
        </w:tc>
        <w:tc>
          <w:tcPr>
            <w:tcW w:w="7654" w:type="dxa"/>
            <w:tcBorders>
              <w:top w:val="nil"/>
              <w:left w:val="nil"/>
              <w:bottom w:val="nil"/>
              <w:right w:val="nil"/>
            </w:tcBorders>
            <w:shd w:val="clear" w:color="auto" w:fill="auto"/>
            <w:noWrap/>
            <w:hideMark/>
          </w:tcPr>
          <w:p w14:paraId="2A3A9709" w14:textId="77777777" w:rsidR="00CE3C27" w:rsidRPr="009B43C9" w:rsidRDefault="00CE3C27" w:rsidP="00CE3C27">
            <w:pPr>
              <w:rPr>
                <w:rFonts w:ascii="Calibri" w:hAnsi="Calibri" w:cs="Calibri"/>
                <w:color w:val="000000"/>
                <w:sz w:val="17"/>
                <w:szCs w:val="17"/>
              </w:rPr>
            </w:pPr>
            <w:r w:rsidRPr="009B43C9">
              <w:rPr>
                <w:rFonts w:ascii="Calibri" w:hAnsi="Calibri" w:cs="Calibri"/>
                <w:color w:val="000000"/>
                <w:sz w:val="17"/>
                <w:szCs w:val="17"/>
              </w:rPr>
              <w:t xml:space="preserve">Strategic Objective </w:t>
            </w:r>
          </w:p>
        </w:tc>
      </w:tr>
      <w:tr w:rsidR="00CE3C27" w:rsidRPr="009B43C9" w14:paraId="2E6527D3" w14:textId="77777777" w:rsidTr="000F2855">
        <w:tc>
          <w:tcPr>
            <w:tcW w:w="1620" w:type="dxa"/>
            <w:tcBorders>
              <w:top w:val="nil"/>
              <w:left w:val="nil"/>
              <w:bottom w:val="nil"/>
              <w:right w:val="nil"/>
            </w:tcBorders>
            <w:shd w:val="clear" w:color="auto" w:fill="auto"/>
            <w:noWrap/>
            <w:hideMark/>
          </w:tcPr>
          <w:p w14:paraId="1D97963A" w14:textId="77777777" w:rsidR="00CE3C27" w:rsidRPr="009B43C9" w:rsidRDefault="00CE3C27" w:rsidP="00CE3C27">
            <w:pPr>
              <w:rPr>
                <w:rFonts w:ascii="Calibri" w:hAnsi="Calibri" w:cs="Calibri"/>
                <w:color w:val="000000"/>
                <w:sz w:val="17"/>
                <w:szCs w:val="17"/>
              </w:rPr>
            </w:pPr>
            <w:r w:rsidRPr="009B43C9">
              <w:rPr>
                <w:rFonts w:ascii="Calibri" w:hAnsi="Calibri" w:cs="Calibri"/>
                <w:color w:val="000000"/>
                <w:sz w:val="17"/>
                <w:szCs w:val="17"/>
              </w:rPr>
              <w:t>SRAP</w:t>
            </w:r>
          </w:p>
        </w:tc>
        <w:tc>
          <w:tcPr>
            <w:tcW w:w="7654" w:type="dxa"/>
            <w:tcBorders>
              <w:top w:val="nil"/>
              <w:left w:val="nil"/>
              <w:bottom w:val="nil"/>
              <w:right w:val="nil"/>
            </w:tcBorders>
            <w:shd w:val="clear" w:color="auto" w:fill="auto"/>
            <w:noWrap/>
            <w:hideMark/>
          </w:tcPr>
          <w:p w14:paraId="5B6AE1CC" w14:textId="77777777" w:rsidR="00CE3C27" w:rsidRPr="009B43C9" w:rsidRDefault="00CE3C27" w:rsidP="00CE3C27">
            <w:pPr>
              <w:rPr>
                <w:rFonts w:ascii="Calibri" w:hAnsi="Calibri" w:cs="Calibri"/>
                <w:color w:val="000000"/>
                <w:sz w:val="17"/>
                <w:szCs w:val="17"/>
              </w:rPr>
            </w:pPr>
            <w:r w:rsidRPr="009B43C9">
              <w:rPr>
                <w:rFonts w:ascii="Calibri" w:hAnsi="Calibri" w:cs="Calibri"/>
                <w:color w:val="000000"/>
                <w:sz w:val="17"/>
                <w:szCs w:val="17"/>
              </w:rPr>
              <w:t xml:space="preserve">Sub-Regional Action Program on Drought and Desertification </w:t>
            </w:r>
          </w:p>
        </w:tc>
      </w:tr>
      <w:tr w:rsidR="00CE3C27" w:rsidRPr="009B43C9" w14:paraId="38F52D75" w14:textId="77777777" w:rsidTr="000F2855">
        <w:tc>
          <w:tcPr>
            <w:tcW w:w="1620" w:type="dxa"/>
            <w:tcBorders>
              <w:top w:val="nil"/>
              <w:left w:val="nil"/>
              <w:bottom w:val="nil"/>
              <w:right w:val="nil"/>
            </w:tcBorders>
            <w:shd w:val="clear" w:color="auto" w:fill="auto"/>
            <w:noWrap/>
            <w:hideMark/>
          </w:tcPr>
          <w:p w14:paraId="79B5A5E3" w14:textId="77777777" w:rsidR="00CE3C27" w:rsidRPr="009B43C9" w:rsidRDefault="00CE3C27" w:rsidP="00CE3C27">
            <w:pPr>
              <w:rPr>
                <w:rFonts w:ascii="Calibri" w:hAnsi="Calibri" w:cs="Calibri"/>
                <w:color w:val="000000"/>
                <w:sz w:val="17"/>
                <w:szCs w:val="17"/>
              </w:rPr>
            </w:pPr>
            <w:r w:rsidRPr="009B43C9">
              <w:rPr>
                <w:rFonts w:ascii="Calibri" w:hAnsi="Calibri" w:cs="Calibri"/>
                <w:color w:val="000000"/>
                <w:sz w:val="17"/>
                <w:szCs w:val="17"/>
              </w:rPr>
              <w:t xml:space="preserve">SREP </w:t>
            </w:r>
          </w:p>
        </w:tc>
        <w:tc>
          <w:tcPr>
            <w:tcW w:w="7654" w:type="dxa"/>
            <w:tcBorders>
              <w:top w:val="nil"/>
              <w:left w:val="nil"/>
              <w:bottom w:val="nil"/>
              <w:right w:val="nil"/>
            </w:tcBorders>
            <w:shd w:val="clear" w:color="auto" w:fill="auto"/>
            <w:noWrap/>
            <w:hideMark/>
          </w:tcPr>
          <w:p w14:paraId="48A9E64F" w14:textId="77777777" w:rsidR="00CE3C27" w:rsidRPr="009B43C9" w:rsidRDefault="00CE3C27" w:rsidP="00CE3C27">
            <w:pPr>
              <w:rPr>
                <w:rFonts w:ascii="Calibri" w:hAnsi="Calibri" w:cs="Calibri"/>
                <w:color w:val="000000"/>
                <w:sz w:val="17"/>
                <w:szCs w:val="17"/>
              </w:rPr>
            </w:pPr>
            <w:r w:rsidRPr="009B43C9">
              <w:rPr>
                <w:rFonts w:ascii="Calibri" w:hAnsi="Calibri" w:cs="Calibri"/>
                <w:color w:val="000000"/>
                <w:sz w:val="17"/>
                <w:szCs w:val="17"/>
              </w:rPr>
              <w:t>Smallholder Resilience Enhancement Project</w:t>
            </w:r>
          </w:p>
        </w:tc>
      </w:tr>
      <w:tr w:rsidR="00CE3C27" w:rsidRPr="009B43C9" w14:paraId="1F99D611" w14:textId="77777777" w:rsidTr="000F2855">
        <w:tc>
          <w:tcPr>
            <w:tcW w:w="1620" w:type="dxa"/>
            <w:tcBorders>
              <w:top w:val="nil"/>
              <w:left w:val="nil"/>
              <w:bottom w:val="nil"/>
              <w:right w:val="nil"/>
            </w:tcBorders>
            <w:shd w:val="clear" w:color="auto" w:fill="auto"/>
            <w:noWrap/>
            <w:hideMark/>
          </w:tcPr>
          <w:p w14:paraId="30DDA34B" w14:textId="77777777" w:rsidR="00CE3C27" w:rsidRPr="009B43C9" w:rsidRDefault="00CE3C27" w:rsidP="00CE3C27">
            <w:pPr>
              <w:rPr>
                <w:rFonts w:ascii="Calibri" w:hAnsi="Calibri" w:cs="Calibri"/>
                <w:color w:val="000000"/>
                <w:sz w:val="17"/>
                <w:szCs w:val="17"/>
              </w:rPr>
            </w:pPr>
            <w:r w:rsidRPr="009B43C9">
              <w:rPr>
                <w:rFonts w:ascii="Calibri" w:hAnsi="Calibri" w:cs="Calibri"/>
                <w:color w:val="000000"/>
                <w:sz w:val="17"/>
                <w:szCs w:val="17"/>
              </w:rPr>
              <w:t>ToC</w:t>
            </w:r>
          </w:p>
        </w:tc>
        <w:tc>
          <w:tcPr>
            <w:tcW w:w="7654" w:type="dxa"/>
            <w:tcBorders>
              <w:top w:val="nil"/>
              <w:left w:val="nil"/>
              <w:bottom w:val="nil"/>
              <w:right w:val="nil"/>
            </w:tcBorders>
            <w:shd w:val="clear" w:color="auto" w:fill="auto"/>
            <w:noWrap/>
            <w:hideMark/>
          </w:tcPr>
          <w:p w14:paraId="41CE3A28" w14:textId="77777777" w:rsidR="00CE3C27" w:rsidRPr="009B43C9" w:rsidRDefault="00CE3C27" w:rsidP="00CE3C27">
            <w:pPr>
              <w:rPr>
                <w:rFonts w:ascii="Calibri" w:hAnsi="Calibri" w:cs="Calibri"/>
                <w:color w:val="000000"/>
                <w:sz w:val="17"/>
                <w:szCs w:val="17"/>
              </w:rPr>
            </w:pPr>
            <w:r w:rsidRPr="009B43C9">
              <w:rPr>
                <w:rFonts w:ascii="Calibri" w:hAnsi="Calibri" w:cs="Calibri"/>
                <w:color w:val="000000"/>
                <w:sz w:val="17"/>
                <w:szCs w:val="17"/>
              </w:rPr>
              <w:t>Theory of Change</w:t>
            </w:r>
          </w:p>
        </w:tc>
      </w:tr>
      <w:tr w:rsidR="00CE3C27" w:rsidRPr="009B43C9" w14:paraId="55CD20A8" w14:textId="77777777" w:rsidTr="000F2855">
        <w:tc>
          <w:tcPr>
            <w:tcW w:w="1620" w:type="dxa"/>
            <w:tcBorders>
              <w:top w:val="nil"/>
              <w:left w:val="nil"/>
              <w:bottom w:val="nil"/>
              <w:right w:val="nil"/>
            </w:tcBorders>
            <w:shd w:val="clear" w:color="auto" w:fill="auto"/>
            <w:noWrap/>
            <w:hideMark/>
          </w:tcPr>
          <w:p w14:paraId="6BB6133B" w14:textId="77777777" w:rsidR="00CE3C27" w:rsidRPr="009B43C9" w:rsidRDefault="00CE3C27" w:rsidP="00CE3C27">
            <w:pPr>
              <w:rPr>
                <w:rFonts w:ascii="Calibri" w:hAnsi="Calibri" w:cs="Calibri"/>
                <w:color w:val="000000"/>
                <w:sz w:val="17"/>
                <w:szCs w:val="17"/>
              </w:rPr>
            </w:pPr>
            <w:r w:rsidRPr="009B43C9">
              <w:rPr>
                <w:rFonts w:ascii="Calibri" w:hAnsi="Calibri" w:cs="Calibri"/>
                <w:color w:val="000000"/>
                <w:sz w:val="17"/>
                <w:szCs w:val="17"/>
              </w:rPr>
              <w:t>TPP</w:t>
            </w:r>
          </w:p>
        </w:tc>
        <w:tc>
          <w:tcPr>
            <w:tcW w:w="7654" w:type="dxa"/>
            <w:tcBorders>
              <w:top w:val="nil"/>
              <w:left w:val="nil"/>
              <w:bottom w:val="nil"/>
              <w:right w:val="nil"/>
            </w:tcBorders>
            <w:shd w:val="clear" w:color="auto" w:fill="auto"/>
            <w:noWrap/>
            <w:hideMark/>
          </w:tcPr>
          <w:p w14:paraId="430C9C18" w14:textId="77777777" w:rsidR="00CE3C27" w:rsidRPr="009B43C9" w:rsidRDefault="00CE3C27" w:rsidP="00CE3C27">
            <w:pPr>
              <w:rPr>
                <w:rFonts w:ascii="Calibri" w:hAnsi="Calibri" w:cs="Calibri"/>
                <w:color w:val="000000"/>
                <w:sz w:val="17"/>
                <w:szCs w:val="17"/>
              </w:rPr>
            </w:pPr>
            <w:r w:rsidRPr="009B43C9">
              <w:rPr>
                <w:rFonts w:ascii="Calibri" w:hAnsi="Calibri" w:cs="Calibri"/>
                <w:color w:val="000000"/>
                <w:sz w:val="17"/>
                <w:szCs w:val="17"/>
              </w:rPr>
              <w:t xml:space="preserve">Transformative Projects and Programs </w:t>
            </w:r>
          </w:p>
        </w:tc>
      </w:tr>
      <w:tr w:rsidR="00CE3C27" w:rsidRPr="009B43C9" w14:paraId="03445213" w14:textId="77777777" w:rsidTr="000F2855">
        <w:tc>
          <w:tcPr>
            <w:tcW w:w="1620" w:type="dxa"/>
            <w:tcBorders>
              <w:top w:val="nil"/>
              <w:left w:val="nil"/>
              <w:bottom w:val="nil"/>
              <w:right w:val="nil"/>
            </w:tcBorders>
            <w:shd w:val="clear" w:color="auto" w:fill="auto"/>
            <w:noWrap/>
            <w:hideMark/>
          </w:tcPr>
          <w:p w14:paraId="396AA200" w14:textId="77777777" w:rsidR="00CE3C27" w:rsidRPr="009B43C9" w:rsidRDefault="00CE3C27" w:rsidP="00CE3C27">
            <w:pPr>
              <w:rPr>
                <w:rFonts w:ascii="Calibri" w:hAnsi="Calibri" w:cs="Calibri"/>
                <w:color w:val="000000"/>
                <w:sz w:val="17"/>
                <w:szCs w:val="17"/>
              </w:rPr>
            </w:pPr>
            <w:r w:rsidRPr="009B43C9">
              <w:rPr>
                <w:rFonts w:ascii="Calibri" w:hAnsi="Calibri" w:cs="Calibri"/>
                <w:color w:val="000000"/>
                <w:sz w:val="17"/>
                <w:szCs w:val="17"/>
              </w:rPr>
              <w:t>UNCCD</w:t>
            </w:r>
          </w:p>
        </w:tc>
        <w:tc>
          <w:tcPr>
            <w:tcW w:w="7654" w:type="dxa"/>
            <w:tcBorders>
              <w:top w:val="nil"/>
              <w:left w:val="nil"/>
              <w:bottom w:val="nil"/>
              <w:right w:val="nil"/>
            </w:tcBorders>
            <w:shd w:val="clear" w:color="auto" w:fill="auto"/>
            <w:noWrap/>
            <w:hideMark/>
          </w:tcPr>
          <w:p w14:paraId="4AD5B317" w14:textId="77777777" w:rsidR="00CE3C27" w:rsidRPr="009B43C9" w:rsidRDefault="00CE3C27" w:rsidP="00CE3C27">
            <w:pPr>
              <w:rPr>
                <w:rFonts w:ascii="Calibri" w:hAnsi="Calibri" w:cs="Calibri"/>
                <w:color w:val="000000"/>
                <w:sz w:val="17"/>
                <w:szCs w:val="17"/>
              </w:rPr>
            </w:pPr>
            <w:r w:rsidRPr="009B43C9">
              <w:rPr>
                <w:rFonts w:ascii="Calibri" w:hAnsi="Calibri" w:cs="Calibri"/>
                <w:color w:val="000000"/>
                <w:sz w:val="17"/>
                <w:szCs w:val="17"/>
              </w:rPr>
              <w:t>United Nations Convention to Combat Desertification</w:t>
            </w:r>
          </w:p>
        </w:tc>
      </w:tr>
      <w:tr w:rsidR="00CE3C27" w:rsidRPr="009B43C9" w14:paraId="003F4F9E" w14:textId="77777777" w:rsidTr="000F2855">
        <w:tc>
          <w:tcPr>
            <w:tcW w:w="1620" w:type="dxa"/>
            <w:tcBorders>
              <w:top w:val="nil"/>
              <w:left w:val="nil"/>
              <w:bottom w:val="nil"/>
              <w:right w:val="nil"/>
            </w:tcBorders>
            <w:shd w:val="clear" w:color="auto" w:fill="auto"/>
            <w:noWrap/>
            <w:hideMark/>
          </w:tcPr>
          <w:p w14:paraId="6F0D58C6" w14:textId="77777777" w:rsidR="00CE3C27" w:rsidRPr="009B43C9" w:rsidRDefault="00CE3C27" w:rsidP="00CE3C27">
            <w:pPr>
              <w:rPr>
                <w:rFonts w:ascii="Calibri" w:hAnsi="Calibri" w:cs="Calibri"/>
                <w:color w:val="000000"/>
                <w:sz w:val="17"/>
                <w:szCs w:val="17"/>
              </w:rPr>
            </w:pPr>
            <w:r w:rsidRPr="009B43C9">
              <w:rPr>
                <w:rFonts w:ascii="Calibri" w:hAnsi="Calibri" w:cs="Calibri"/>
                <w:color w:val="000000"/>
                <w:sz w:val="17"/>
                <w:szCs w:val="17"/>
              </w:rPr>
              <w:t>UNDAF</w:t>
            </w:r>
          </w:p>
        </w:tc>
        <w:tc>
          <w:tcPr>
            <w:tcW w:w="7654" w:type="dxa"/>
            <w:tcBorders>
              <w:top w:val="nil"/>
              <w:left w:val="nil"/>
              <w:bottom w:val="nil"/>
              <w:right w:val="nil"/>
            </w:tcBorders>
            <w:shd w:val="clear" w:color="auto" w:fill="auto"/>
            <w:noWrap/>
            <w:hideMark/>
          </w:tcPr>
          <w:p w14:paraId="6E1394C6" w14:textId="77777777" w:rsidR="00CE3C27" w:rsidRPr="009B43C9" w:rsidRDefault="00CE3C27" w:rsidP="00CE3C27">
            <w:pPr>
              <w:rPr>
                <w:rFonts w:ascii="Calibri" w:hAnsi="Calibri" w:cs="Calibri"/>
                <w:color w:val="000000"/>
                <w:sz w:val="17"/>
                <w:szCs w:val="17"/>
              </w:rPr>
            </w:pPr>
            <w:r w:rsidRPr="009B43C9">
              <w:rPr>
                <w:rFonts w:ascii="Calibri" w:hAnsi="Calibri" w:cs="Calibri"/>
                <w:color w:val="000000"/>
                <w:sz w:val="17"/>
                <w:szCs w:val="17"/>
              </w:rPr>
              <w:t>United Nations Development Assistance Framework</w:t>
            </w:r>
          </w:p>
        </w:tc>
      </w:tr>
      <w:tr w:rsidR="00D47DE5" w:rsidRPr="009B43C9" w14:paraId="455EAB3F" w14:textId="77777777" w:rsidTr="000F2855">
        <w:tc>
          <w:tcPr>
            <w:tcW w:w="1620" w:type="dxa"/>
            <w:tcBorders>
              <w:top w:val="nil"/>
              <w:left w:val="nil"/>
              <w:bottom w:val="nil"/>
              <w:right w:val="nil"/>
            </w:tcBorders>
            <w:shd w:val="clear" w:color="auto" w:fill="auto"/>
            <w:noWrap/>
          </w:tcPr>
          <w:p w14:paraId="5C26EF59" w14:textId="01FF6E36" w:rsidR="00D47DE5" w:rsidRPr="009B43C9" w:rsidRDefault="00D47DE5" w:rsidP="00CE3C27">
            <w:pPr>
              <w:rPr>
                <w:rFonts w:ascii="Calibri" w:hAnsi="Calibri" w:cs="Calibri"/>
                <w:color w:val="000000"/>
                <w:sz w:val="17"/>
                <w:szCs w:val="17"/>
              </w:rPr>
            </w:pPr>
            <w:r>
              <w:rPr>
                <w:rFonts w:ascii="Calibri" w:hAnsi="Calibri" w:cs="Calibri"/>
                <w:color w:val="000000"/>
                <w:sz w:val="17"/>
                <w:szCs w:val="17"/>
              </w:rPr>
              <w:t>UNFCCC</w:t>
            </w:r>
          </w:p>
        </w:tc>
        <w:tc>
          <w:tcPr>
            <w:tcW w:w="7654" w:type="dxa"/>
            <w:tcBorders>
              <w:top w:val="nil"/>
              <w:left w:val="nil"/>
              <w:bottom w:val="nil"/>
              <w:right w:val="nil"/>
            </w:tcBorders>
            <w:shd w:val="clear" w:color="auto" w:fill="auto"/>
            <w:noWrap/>
          </w:tcPr>
          <w:p w14:paraId="5CB9221D" w14:textId="64B46790" w:rsidR="00D47DE5" w:rsidRPr="009B43C9" w:rsidRDefault="00D47DE5" w:rsidP="00CE3C27">
            <w:pPr>
              <w:rPr>
                <w:rFonts w:ascii="Calibri" w:hAnsi="Calibri" w:cs="Calibri"/>
                <w:color w:val="000000"/>
                <w:sz w:val="17"/>
                <w:szCs w:val="17"/>
              </w:rPr>
            </w:pPr>
            <w:r>
              <w:rPr>
                <w:rFonts w:ascii="Calibri" w:hAnsi="Calibri" w:cs="Calibri"/>
                <w:color w:val="000000"/>
                <w:sz w:val="17"/>
                <w:szCs w:val="17"/>
              </w:rPr>
              <w:t>United Nations Framework Convention on Climate Change</w:t>
            </w:r>
          </w:p>
        </w:tc>
      </w:tr>
      <w:tr w:rsidR="00CE3C27" w:rsidRPr="009B43C9" w14:paraId="41F17C86" w14:textId="77777777" w:rsidTr="000F2855">
        <w:tc>
          <w:tcPr>
            <w:tcW w:w="1620" w:type="dxa"/>
            <w:tcBorders>
              <w:top w:val="nil"/>
              <w:left w:val="nil"/>
              <w:bottom w:val="nil"/>
              <w:right w:val="nil"/>
            </w:tcBorders>
            <w:shd w:val="clear" w:color="auto" w:fill="auto"/>
            <w:noWrap/>
            <w:hideMark/>
          </w:tcPr>
          <w:p w14:paraId="17DE123B" w14:textId="77777777" w:rsidR="00CE3C27" w:rsidRPr="009B43C9" w:rsidRDefault="00CE3C27" w:rsidP="00CE3C27">
            <w:pPr>
              <w:rPr>
                <w:rFonts w:ascii="Calibri" w:hAnsi="Calibri" w:cs="Calibri"/>
                <w:color w:val="000000"/>
                <w:sz w:val="17"/>
                <w:szCs w:val="17"/>
              </w:rPr>
            </w:pPr>
            <w:r w:rsidRPr="009B43C9">
              <w:rPr>
                <w:rFonts w:ascii="Calibri" w:hAnsi="Calibri" w:cs="Calibri"/>
                <w:color w:val="000000"/>
                <w:sz w:val="17"/>
                <w:szCs w:val="17"/>
              </w:rPr>
              <w:t>VC(s)</w:t>
            </w:r>
          </w:p>
        </w:tc>
        <w:tc>
          <w:tcPr>
            <w:tcW w:w="7654" w:type="dxa"/>
            <w:tcBorders>
              <w:top w:val="nil"/>
              <w:left w:val="nil"/>
              <w:bottom w:val="nil"/>
              <w:right w:val="nil"/>
            </w:tcBorders>
            <w:shd w:val="clear" w:color="auto" w:fill="auto"/>
            <w:noWrap/>
            <w:hideMark/>
          </w:tcPr>
          <w:p w14:paraId="3D6E0CE5" w14:textId="77777777" w:rsidR="00CE3C27" w:rsidRPr="009B43C9" w:rsidRDefault="00CE3C27" w:rsidP="00CE3C27">
            <w:pPr>
              <w:rPr>
                <w:rFonts w:ascii="Calibri" w:hAnsi="Calibri" w:cs="Calibri"/>
                <w:color w:val="000000"/>
                <w:sz w:val="17"/>
                <w:szCs w:val="17"/>
              </w:rPr>
            </w:pPr>
            <w:r w:rsidRPr="009B43C9">
              <w:rPr>
                <w:rFonts w:ascii="Calibri" w:hAnsi="Calibri" w:cs="Calibri"/>
                <w:color w:val="000000"/>
                <w:sz w:val="17"/>
                <w:szCs w:val="17"/>
              </w:rPr>
              <w:t>Value Chain(s)</w:t>
            </w:r>
          </w:p>
        </w:tc>
      </w:tr>
      <w:tr w:rsidR="00CE3C27" w:rsidRPr="009B43C9" w14:paraId="29FDC8CB" w14:textId="77777777" w:rsidTr="000F2855">
        <w:tc>
          <w:tcPr>
            <w:tcW w:w="1620" w:type="dxa"/>
            <w:tcBorders>
              <w:top w:val="nil"/>
              <w:left w:val="nil"/>
              <w:bottom w:val="nil"/>
              <w:right w:val="nil"/>
            </w:tcBorders>
            <w:shd w:val="clear" w:color="auto" w:fill="auto"/>
            <w:noWrap/>
            <w:hideMark/>
          </w:tcPr>
          <w:p w14:paraId="6842E9BC" w14:textId="77777777" w:rsidR="00CE3C27" w:rsidRPr="009B43C9" w:rsidRDefault="00CE3C27" w:rsidP="00CE3C27">
            <w:pPr>
              <w:rPr>
                <w:rFonts w:ascii="Calibri" w:hAnsi="Calibri" w:cs="Calibri"/>
                <w:color w:val="000000"/>
                <w:sz w:val="17"/>
                <w:szCs w:val="17"/>
              </w:rPr>
            </w:pPr>
            <w:r w:rsidRPr="009B43C9">
              <w:rPr>
                <w:rFonts w:ascii="Calibri" w:hAnsi="Calibri" w:cs="Calibri"/>
                <w:color w:val="000000"/>
                <w:sz w:val="17"/>
                <w:szCs w:val="17"/>
              </w:rPr>
              <w:t>VGGT</w:t>
            </w:r>
          </w:p>
        </w:tc>
        <w:tc>
          <w:tcPr>
            <w:tcW w:w="7654" w:type="dxa"/>
            <w:tcBorders>
              <w:top w:val="nil"/>
              <w:left w:val="nil"/>
              <w:bottom w:val="nil"/>
              <w:right w:val="nil"/>
            </w:tcBorders>
            <w:shd w:val="clear" w:color="auto" w:fill="auto"/>
            <w:noWrap/>
            <w:hideMark/>
          </w:tcPr>
          <w:p w14:paraId="6A0DAEF4" w14:textId="77777777" w:rsidR="00CE3C27" w:rsidRPr="009B43C9" w:rsidRDefault="00CE3C27" w:rsidP="00CE3C27">
            <w:pPr>
              <w:rPr>
                <w:rFonts w:ascii="Calibri" w:hAnsi="Calibri" w:cs="Calibri"/>
                <w:color w:val="000000"/>
                <w:sz w:val="17"/>
                <w:szCs w:val="17"/>
              </w:rPr>
            </w:pPr>
            <w:r w:rsidRPr="009B43C9">
              <w:rPr>
                <w:rFonts w:ascii="Calibri" w:hAnsi="Calibri" w:cs="Calibri"/>
                <w:color w:val="000000"/>
                <w:sz w:val="17"/>
                <w:szCs w:val="17"/>
              </w:rPr>
              <w:t>Voluntary Guidelines on the Responsible Governance of Tenure</w:t>
            </w:r>
          </w:p>
        </w:tc>
      </w:tr>
      <w:tr w:rsidR="00CE3C27" w:rsidRPr="009B43C9" w14:paraId="45430317" w14:textId="77777777" w:rsidTr="000F2855">
        <w:tc>
          <w:tcPr>
            <w:tcW w:w="1620" w:type="dxa"/>
            <w:tcBorders>
              <w:top w:val="nil"/>
              <w:left w:val="nil"/>
              <w:bottom w:val="nil"/>
              <w:right w:val="nil"/>
            </w:tcBorders>
            <w:shd w:val="clear" w:color="auto" w:fill="auto"/>
            <w:noWrap/>
            <w:hideMark/>
          </w:tcPr>
          <w:p w14:paraId="080CDAC8" w14:textId="77777777" w:rsidR="00CE3C27" w:rsidRPr="009B43C9" w:rsidRDefault="00CE3C27" w:rsidP="00CE3C27">
            <w:pPr>
              <w:rPr>
                <w:rFonts w:ascii="Calibri" w:hAnsi="Calibri" w:cs="Calibri"/>
                <w:color w:val="000000"/>
                <w:sz w:val="17"/>
                <w:szCs w:val="17"/>
              </w:rPr>
            </w:pPr>
            <w:r w:rsidRPr="009B43C9">
              <w:rPr>
                <w:rFonts w:ascii="Calibri" w:hAnsi="Calibri" w:cs="Calibri"/>
                <w:color w:val="000000"/>
                <w:sz w:val="17"/>
                <w:szCs w:val="17"/>
              </w:rPr>
              <w:t>WHO</w:t>
            </w:r>
          </w:p>
        </w:tc>
        <w:tc>
          <w:tcPr>
            <w:tcW w:w="7654" w:type="dxa"/>
            <w:tcBorders>
              <w:top w:val="nil"/>
              <w:left w:val="nil"/>
              <w:bottom w:val="nil"/>
              <w:right w:val="nil"/>
            </w:tcBorders>
            <w:shd w:val="clear" w:color="auto" w:fill="auto"/>
            <w:noWrap/>
            <w:hideMark/>
          </w:tcPr>
          <w:p w14:paraId="7031E59F" w14:textId="77777777" w:rsidR="00CE3C27" w:rsidRPr="009B43C9" w:rsidRDefault="00CE3C27" w:rsidP="00CE3C27">
            <w:pPr>
              <w:rPr>
                <w:rFonts w:ascii="Calibri" w:hAnsi="Calibri" w:cs="Calibri"/>
                <w:color w:val="000000"/>
                <w:sz w:val="17"/>
                <w:szCs w:val="17"/>
              </w:rPr>
            </w:pPr>
            <w:r w:rsidRPr="009B43C9">
              <w:rPr>
                <w:rFonts w:ascii="Calibri" w:hAnsi="Calibri" w:cs="Calibri"/>
                <w:color w:val="000000"/>
                <w:sz w:val="17"/>
                <w:szCs w:val="17"/>
              </w:rPr>
              <w:t>World Health Organization</w:t>
            </w:r>
          </w:p>
        </w:tc>
      </w:tr>
      <w:tr w:rsidR="00CE3C27" w:rsidRPr="009B43C9" w14:paraId="420B4B23" w14:textId="77777777" w:rsidTr="000F2855">
        <w:tc>
          <w:tcPr>
            <w:tcW w:w="1620" w:type="dxa"/>
            <w:tcBorders>
              <w:top w:val="nil"/>
              <w:left w:val="nil"/>
              <w:bottom w:val="nil"/>
              <w:right w:val="nil"/>
            </w:tcBorders>
            <w:shd w:val="clear" w:color="auto" w:fill="auto"/>
            <w:noWrap/>
            <w:hideMark/>
          </w:tcPr>
          <w:p w14:paraId="36DA6CC9" w14:textId="77777777" w:rsidR="00CE3C27" w:rsidRPr="009B43C9" w:rsidRDefault="00CE3C27" w:rsidP="00CE3C27">
            <w:pPr>
              <w:rPr>
                <w:rFonts w:ascii="Calibri" w:hAnsi="Calibri" w:cs="Calibri"/>
                <w:color w:val="000000"/>
                <w:sz w:val="17"/>
                <w:szCs w:val="17"/>
              </w:rPr>
            </w:pPr>
            <w:r w:rsidRPr="009B43C9">
              <w:rPr>
                <w:rFonts w:ascii="Calibri" w:hAnsi="Calibri" w:cs="Calibri"/>
                <w:color w:val="000000"/>
                <w:sz w:val="17"/>
                <w:szCs w:val="17"/>
              </w:rPr>
              <w:t>WOCAT</w:t>
            </w:r>
          </w:p>
        </w:tc>
        <w:tc>
          <w:tcPr>
            <w:tcW w:w="7654" w:type="dxa"/>
            <w:tcBorders>
              <w:top w:val="nil"/>
              <w:left w:val="nil"/>
              <w:bottom w:val="nil"/>
              <w:right w:val="nil"/>
            </w:tcBorders>
            <w:shd w:val="clear" w:color="auto" w:fill="auto"/>
            <w:noWrap/>
            <w:hideMark/>
          </w:tcPr>
          <w:p w14:paraId="748C3648" w14:textId="77777777" w:rsidR="00CE3C27" w:rsidRPr="009B43C9" w:rsidRDefault="00CE3C27" w:rsidP="00CE3C27">
            <w:pPr>
              <w:rPr>
                <w:rFonts w:ascii="Calibri" w:hAnsi="Calibri" w:cs="Calibri"/>
                <w:color w:val="000000"/>
                <w:sz w:val="17"/>
                <w:szCs w:val="17"/>
              </w:rPr>
            </w:pPr>
            <w:r w:rsidRPr="009B43C9">
              <w:rPr>
                <w:rFonts w:ascii="Calibri" w:hAnsi="Calibri" w:cs="Calibri"/>
                <w:color w:val="000000"/>
                <w:sz w:val="17"/>
                <w:szCs w:val="17"/>
              </w:rPr>
              <w:t>World Overview of Conservation Approaches and Technologies</w:t>
            </w:r>
          </w:p>
        </w:tc>
      </w:tr>
    </w:tbl>
    <w:p w14:paraId="6F51E26B" w14:textId="77777777" w:rsidR="009563B4" w:rsidRPr="006359EE" w:rsidRDefault="009563B4" w:rsidP="006359EE"/>
    <w:p w14:paraId="794D5A78" w14:textId="77777777" w:rsidR="009563B4" w:rsidRPr="006359EE" w:rsidRDefault="009563B4" w:rsidP="006359EE">
      <w:pPr>
        <w:sectPr w:rsidR="009563B4" w:rsidRPr="006359EE" w:rsidSect="00903274">
          <w:headerReference w:type="even" r:id="rId18"/>
          <w:headerReference w:type="default" r:id="rId19"/>
          <w:headerReference w:type="first" r:id="rId20"/>
          <w:pgSz w:w="11906" w:h="16838" w:code="9"/>
          <w:pgMar w:top="1440" w:right="1440" w:bottom="1440" w:left="1440" w:header="720" w:footer="720" w:gutter="0"/>
          <w:cols w:space="720"/>
          <w:docGrid w:linePitch="360"/>
        </w:sectPr>
      </w:pPr>
    </w:p>
    <w:p w14:paraId="0F380D23" w14:textId="77777777" w:rsidR="009563B4" w:rsidRPr="00CE1EA7" w:rsidRDefault="009563B4" w:rsidP="00E65CFF">
      <w:pPr>
        <w:pStyle w:val="Heading1"/>
        <w:spacing w:before="0" w:after="240"/>
        <w:rPr>
          <w:noProof w:val="0"/>
        </w:rPr>
      </w:pPr>
      <w:bookmarkStart w:id="7" w:name="_Toc58398583"/>
      <w:r w:rsidRPr="00CE1EA7">
        <w:rPr>
          <w:noProof w:val="0"/>
        </w:rPr>
        <w:lastRenderedPageBreak/>
        <w:t>PART I: PROJECT INFORMATION</w:t>
      </w:r>
      <w:bookmarkEnd w:id="7"/>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14"/>
        <w:gridCol w:w="1975"/>
        <w:gridCol w:w="2460"/>
        <w:gridCol w:w="2167"/>
      </w:tblGrid>
      <w:tr w:rsidR="009563B4" w:rsidRPr="00F9038E" w14:paraId="242911F8" w14:textId="77777777" w:rsidTr="3764D022">
        <w:trPr>
          <w:trHeight w:val="538"/>
        </w:trPr>
        <w:tc>
          <w:tcPr>
            <w:tcW w:w="5000" w:type="pct"/>
            <w:gridSpan w:val="4"/>
            <w:tcMar>
              <w:left w:w="57" w:type="dxa"/>
              <w:right w:w="28" w:type="dxa"/>
            </w:tcMar>
          </w:tcPr>
          <w:p w14:paraId="2211E91F" w14:textId="119FC29A" w:rsidR="009563B4" w:rsidRPr="00F9038E" w:rsidRDefault="009563B4" w:rsidP="00481CA4">
            <w:pPr>
              <w:rPr>
                <w:color w:val="000000"/>
                <w:sz w:val="20"/>
                <w:szCs w:val="20"/>
              </w:rPr>
            </w:pPr>
            <w:r w:rsidRPr="00F9038E">
              <w:rPr>
                <w:b/>
                <w:bCs/>
                <w:color w:val="000000"/>
                <w:sz w:val="20"/>
                <w:szCs w:val="20"/>
              </w:rPr>
              <w:t>Project Title:</w:t>
            </w:r>
            <w:r w:rsidRPr="00F9038E">
              <w:rPr>
                <w:color w:val="000000"/>
                <w:sz w:val="20"/>
                <w:szCs w:val="20"/>
              </w:rPr>
              <w:t xml:space="preserve"> </w:t>
            </w:r>
            <w:r w:rsidR="00B35205">
              <w:rPr>
                <w:i/>
                <w:iCs/>
              </w:rPr>
              <w:t>Integrated l</w:t>
            </w:r>
            <w:r w:rsidR="00B35205" w:rsidRPr="00CE1EA7">
              <w:rPr>
                <w:i/>
                <w:iCs/>
              </w:rPr>
              <w:t>and</w:t>
            </w:r>
            <w:r w:rsidR="00B35205">
              <w:rPr>
                <w:i/>
                <w:iCs/>
              </w:rPr>
              <w:t xml:space="preserve">scape management to </w:t>
            </w:r>
            <w:r w:rsidR="00E2608A">
              <w:rPr>
                <w:i/>
                <w:iCs/>
              </w:rPr>
              <w:t>address</w:t>
            </w:r>
            <w:r w:rsidR="00B35205">
              <w:rPr>
                <w:i/>
                <w:iCs/>
              </w:rPr>
              <w:t xml:space="preserve"> land d</w:t>
            </w:r>
            <w:r w:rsidR="00B35205" w:rsidRPr="00CE1EA7">
              <w:rPr>
                <w:i/>
                <w:iCs/>
              </w:rPr>
              <w:t xml:space="preserve">egradation and </w:t>
            </w:r>
            <w:r w:rsidR="00B35205">
              <w:rPr>
                <w:i/>
                <w:iCs/>
              </w:rPr>
              <w:t xml:space="preserve">enhance </w:t>
            </w:r>
            <w:r w:rsidR="00B35205" w:rsidRPr="00CE1EA7">
              <w:rPr>
                <w:i/>
                <w:iCs/>
              </w:rPr>
              <w:t xml:space="preserve">community </w:t>
            </w:r>
            <w:r w:rsidR="00B35205">
              <w:rPr>
                <w:i/>
                <w:iCs/>
              </w:rPr>
              <w:t xml:space="preserve">resilience in </w:t>
            </w:r>
            <w:r w:rsidR="00B35205" w:rsidRPr="00CE1EA7">
              <w:rPr>
                <w:i/>
                <w:iCs/>
              </w:rPr>
              <w:t>Angola</w:t>
            </w:r>
            <w:r w:rsidR="00B35205">
              <w:rPr>
                <w:i/>
                <w:iCs/>
              </w:rPr>
              <w:t>’s</w:t>
            </w:r>
            <w:r w:rsidR="00B35205" w:rsidRPr="00CE1EA7" w:rsidDel="00B35205">
              <w:rPr>
                <w:i/>
                <w:iCs/>
              </w:rPr>
              <w:t xml:space="preserve"> </w:t>
            </w:r>
            <w:r w:rsidR="00B35205" w:rsidRPr="00CE1EA7">
              <w:rPr>
                <w:i/>
                <w:iCs/>
              </w:rPr>
              <w:t>Miombo</w:t>
            </w:r>
            <w:r w:rsidR="00B35205">
              <w:rPr>
                <w:i/>
                <w:iCs/>
              </w:rPr>
              <w:t>-</w:t>
            </w:r>
            <w:r w:rsidR="00B35205" w:rsidRPr="00CE1EA7">
              <w:rPr>
                <w:i/>
                <w:iCs/>
              </w:rPr>
              <w:t xml:space="preserve">Mopane </w:t>
            </w:r>
            <w:r w:rsidR="00B35205">
              <w:rPr>
                <w:i/>
                <w:iCs/>
              </w:rPr>
              <w:t>dry forests</w:t>
            </w:r>
            <w:r w:rsidR="00B35205" w:rsidRPr="00CE1EA7">
              <w:rPr>
                <w:i/>
                <w:iCs/>
              </w:rPr>
              <w:t>.</w:t>
            </w:r>
            <w:r w:rsidR="007E39CA">
              <w:rPr>
                <w:rStyle w:val="FootnoteReference"/>
                <w:i/>
                <w:iCs/>
              </w:rPr>
              <w:footnoteReference w:id="3"/>
            </w:r>
          </w:p>
        </w:tc>
      </w:tr>
      <w:tr w:rsidR="009563B4" w:rsidRPr="00F9038E" w14:paraId="40F639B7" w14:textId="77777777" w:rsidTr="3764D022">
        <w:trPr>
          <w:trHeight w:val="197"/>
        </w:trPr>
        <w:tc>
          <w:tcPr>
            <w:tcW w:w="1339" w:type="pct"/>
            <w:tcMar>
              <w:left w:w="57" w:type="dxa"/>
              <w:right w:w="28" w:type="dxa"/>
            </w:tcMar>
          </w:tcPr>
          <w:p w14:paraId="56A32A6A" w14:textId="77777777" w:rsidR="009563B4" w:rsidRPr="00F9038E" w:rsidRDefault="009563B4" w:rsidP="00481CA4">
            <w:pPr>
              <w:rPr>
                <w:color w:val="000000"/>
                <w:sz w:val="20"/>
                <w:szCs w:val="20"/>
              </w:rPr>
            </w:pPr>
            <w:r w:rsidRPr="00F9038E">
              <w:rPr>
                <w:color w:val="000000"/>
                <w:sz w:val="20"/>
                <w:szCs w:val="20"/>
              </w:rPr>
              <w:t>Country(ies):</w:t>
            </w:r>
          </w:p>
        </w:tc>
        <w:tc>
          <w:tcPr>
            <w:tcW w:w="1095" w:type="pct"/>
            <w:tcMar>
              <w:left w:w="57" w:type="dxa"/>
              <w:right w:w="28" w:type="dxa"/>
            </w:tcMar>
          </w:tcPr>
          <w:p w14:paraId="4C9EFDBF" w14:textId="77777777" w:rsidR="009563B4" w:rsidRPr="00F9038E" w:rsidRDefault="009563B4" w:rsidP="00481CA4">
            <w:pPr>
              <w:rPr>
                <w:color w:val="000000"/>
                <w:sz w:val="20"/>
                <w:szCs w:val="20"/>
              </w:rPr>
            </w:pPr>
            <w:r w:rsidRPr="00F9038E">
              <w:rPr>
                <w:color w:val="000000"/>
                <w:sz w:val="20"/>
                <w:szCs w:val="20"/>
              </w:rPr>
              <w:t>Angola</w:t>
            </w:r>
          </w:p>
        </w:tc>
        <w:tc>
          <w:tcPr>
            <w:tcW w:w="1364" w:type="pct"/>
            <w:tcMar>
              <w:left w:w="57" w:type="dxa"/>
              <w:right w:w="28" w:type="dxa"/>
            </w:tcMar>
          </w:tcPr>
          <w:p w14:paraId="0A796F0B" w14:textId="77777777" w:rsidR="009563B4" w:rsidRPr="00F9038E" w:rsidRDefault="009563B4" w:rsidP="00481CA4">
            <w:pPr>
              <w:rPr>
                <w:color w:val="000000"/>
                <w:sz w:val="20"/>
                <w:szCs w:val="20"/>
              </w:rPr>
            </w:pPr>
            <w:r w:rsidRPr="00F9038E">
              <w:rPr>
                <w:color w:val="000000"/>
                <w:sz w:val="20"/>
                <w:szCs w:val="20"/>
              </w:rPr>
              <w:t>GEF Project ID:</w:t>
            </w:r>
          </w:p>
        </w:tc>
        <w:tc>
          <w:tcPr>
            <w:tcW w:w="1201" w:type="pct"/>
            <w:tcMar>
              <w:left w:w="57" w:type="dxa"/>
              <w:right w:w="28" w:type="dxa"/>
            </w:tcMar>
          </w:tcPr>
          <w:p w14:paraId="6FA5A6A0" w14:textId="77777777" w:rsidR="009563B4" w:rsidRPr="00F9038E" w:rsidRDefault="009563B4" w:rsidP="00481CA4">
            <w:pPr>
              <w:rPr>
                <w:color w:val="000000"/>
                <w:sz w:val="20"/>
                <w:szCs w:val="20"/>
              </w:rPr>
            </w:pPr>
            <w:r w:rsidRPr="00F9038E">
              <w:rPr>
                <w:color w:val="000000"/>
                <w:sz w:val="20"/>
                <w:szCs w:val="20"/>
              </w:rPr>
              <w:t>10206</w:t>
            </w:r>
          </w:p>
        </w:tc>
      </w:tr>
      <w:tr w:rsidR="009563B4" w:rsidRPr="00F9038E" w14:paraId="35ADA404" w14:textId="77777777" w:rsidTr="3764D022">
        <w:trPr>
          <w:trHeight w:val="207"/>
        </w:trPr>
        <w:tc>
          <w:tcPr>
            <w:tcW w:w="1339" w:type="pct"/>
            <w:tcMar>
              <w:left w:w="57" w:type="dxa"/>
              <w:right w:w="28" w:type="dxa"/>
            </w:tcMar>
          </w:tcPr>
          <w:p w14:paraId="41110968" w14:textId="77777777" w:rsidR="009563B4" w:rsidRPr="00F9038E" w:rsidRDefault="009563B4" w:rsidP="00481CA4">
            <w:pPr>
              <w:rPr>
                <w:color w:val="000000"/>
                <w:sz w:val="20"/>
                <w:szCs w:val="20"/>
              </w:rPr>
            </w:pPr>
            <w:r w:rsidRPr="00F9038E">
              <w:rPr>
                <w:color w:val="000000"/>
                <w:sz w:val="20"/>
                <w:szCs w:val="20"/>
              </w:rPr>
              <w:t>GEF Agency(ies):</w:t>
            </w:r>
          </w:p>
        </w:tc>
        <w:tc>
          <w:tcPr>
            <w:tcW w:w="1095" w:type="pct"/>
            <w:tcMar>
              <w:left w:w="57" w:type="dxa"/>
              <w:right w:w="28" w:type="dxa"/>
            </w:tcMar>
          </w:tcPr>
          <w:p w14:paraId="45A2B226" w14:textId="77777777" w:rsidR="009563B4" w:rsidRPr="00F9038E" w:rsidRDefault="009563B4" w:rsidP="00481CA4">
            <w:pPr>
              <w:rPr>
                <w:color w:val="000000"/>
                <w:sz w:val="20"/>
                <w:szCs w:val="20"/>
              </w:rPr>
            </w:pPr>
            <w:r w:rsidRPr="00F9038E">
              <w:rPr>
                <w:color w:val="000000"/>
                <w:sz w:val="20"/>
                <w:szCs w:val="20"/>
              </w:rPr>
              <w:t>FAO</w:t>
            </w:r>
          </w:p>
        </w:tc>
        <w:tc>
          <w:tcPr>
            <w:tcW w:w="1364" w:type="pct"/>
            <w:tcMar>
              <w:left w:w="57" w:type="dxa"/>
              <w:right w:w="28" w:type="dxa"/>
            </w:tcMar>
          </w:tcPr>
          <w:p w14:paraId="0D992DB4" w14:textId="5C2A94ED" w:rsidR="009563B4" w:rsidRPr="00F9038E" w:rsidRDefault="009563B4" w:rsidP="00481CA4">
            <w:pPr>
              <w:rPr>
                <w:color w:val="000000"/>
                <w:sz w:val="20"/>
                <w:szCs w:val="20"/>
                <w:highlight w:val="red"/>
              </w:rPr>
            </w:pPr>
            <w:r w:rsidRPr="00182C6E">
              <w:rPr>
                <w:color w:val="000000"/>
                <w:sz w:val="20"/>
                <w:szCs w:val="20"/>
              </w:rPr>
              <w:t>GEF Agency Project ID</w:t>
            </w:r>
            <w:r w:rsidR="00617FA9" w:rsidRPr="00182C6E">
              <w:rPr>
                <w:color w:val="000000"/>
                <w:sz w:val="20"/>
                <w:szCs w:val="20"/>
              </w:rPr>
              <w:t>:</w:t>
            </w:r>
          </w:p>
        </w:tc>
        <w:tc>
          <w:tcPr>
            <w:tcW w:w="1201" w:type="pct"/>
            <w:tcMar>
              <w:left w:w="57" w:type="dxa"/>
              <w:right w:w="28" w:type="dxa"/>
            </w:tcMar>
          </w:tcPr>
          <w:p w14:paraId="487B1A52" w14:textId="5FBCD67B" w:rsidR="009563B4" w:rsidRPr="00F9038E" w:rsidRDefault="00617FA9" w:rsidP="00481CA4">
            <w:pPr>
              <w:rPr>
                <w:color w:val="000000"/>
                <w:sz w:val="20"/>
                <w:szCs w:val="20"/>
                <w:highlight w:val="red"/>
              </w:rPr>
            </w:pPr>
            <w:r w:rsidRPr="00617FA9">
              <w:rPr>
                <w:color w:val="000000"/>
                <w:sz w:val="20"/>
                <w:szCs w:val="20"/>
              </w:rPr>
              <w:t>657340</w:t>
            </w:r>
          </w:p>
        </w:tc>
      </w:tr>
      <w:tr w:rsidR="009563B4" w:rsidRPr="00F9038E" w14:paraId="6A11E517" w14:textId="77777777" w:rsidTr="3764D022">
        <w:trPr>
          <w:trHeight w:val="197"/>
        </w:trPr>
        <w:tc>
          <w:tcPr>
            <w:tcW w:w="1339" w:type="pct"/>
            <w:vMerge w:val="restart"/>
            <w:tcMar>
              <w:left w:w="57" w:type="dxa"/>
              <w:right w:w="28" w:type="dxa"/>
            </w:tcMar>
          </w:tcPr>
          <w:p w14:paraId="6179FA54" w14:textId="77777777" w:rsidR="009563B4" w:rsidRPr="00F9038E" w:rsidRDefault="009563B4" w:rsidP="00481CA4">
            <w:pPr>
              <w:rPr>
                <w:color w:val="000000"/>
                <w:sz w:val="20"/>
                <w:szCs w:val="20"/>
              </w:rPr>
            </w:pPr>
            <w:r w:rsidRPr="00F9038E">
              <w:rPr>
                <w:color w:val="000000"/>
                <w:sz w:val="20"/>
                <w:szCs w:val="20"/>
              </w:rPr>
              <w:t>Project Executing Entity(s):</w:t>
            </w:r>
          </w:p>
        </w:tc>
        <w:tc>
          <w:tcPr>
            <w:tcW w:w="1095" w:type="pct"/>
            <w:vMerge w:val="restart"/>
            <w:tcMar>
              <w:left w:w="57" w:type="dxa"/>
              <w:right w:w="28" w:type="dxa"/>
            </w:tcMar>
          </w:tcPr>
          <w:p w14:paraId="1F85504B" w14:textId="5542DDD2" w:rsidR="009563B4" w:rsidRPr="00F9038E" w:rsidRDefault="60A2FCFD" w:rsidP="00481CA4">
            <w:pPr>
              <w:rPr>
                <w:color w:val="000000"/>
                <w:sz w:val="20"/>
                <w:szCs w:val="20"/>
              </w:rPr>
            </w:pPr>
            <w:r w:rsidRPr="619CA689">
              <w:rPr>
                <w:color w:val="000000" w:themeColor="text1"/>
                <w:sz w:val="20"/>
                <w:szCs w:val="20"/>
              </w:rPr>
              <w:t>Ministry of Culture, Tourism and Environment</w:t>
            </w:r>
            <w:r w:rsidR="009563B4" w:rsidRPr="619CA689">
              <w:rPr>
                <w:color w:val="000000" w:themeColor="text1"/>
                <w:sz w:val="20"/>
                <w:szCs w:val="20"/>
              </w:rPr>
              <w:t xml:space="preserve"> (M</w:t>
            </w:r>
            <w:r w:rsidR="01EC78BD" w:rsidRPr="619CA689">
              <w:rPr>
                <w:color w:val="000000" w:themeColor="text1"/>
                <w:sz w:val="20"/>
                <w:szCs w:val="20"/>
              </w:rPr>
              <w:t>CTA</w:t>
            </w:r>
            <w:r w:rsidR="009563B4" w:rsidRPr="619CA689">
              <w:rPr>
                <w:color w:val="000000" w:themeColor="text1"/>
                <w:sz w:val="20"/>
                <w:szCs w:val="20"/>
              </w:rPr>
              <w:t>) of Angola</w:t>
            </w:r>
          </w:p>
        </w:tc>
        <w:tc>
          <w:tcPr>
            <w:tcW w:w="1364" w:type="pct"/>
            <w:tcMar>
              <w:left w:w="57" w:type="dxa"/>
              <w:right w:w="28" w:type="dxa"/>
            </w:tcMar>
          </w:tcPr>
          <w:p w14:paraId="586616AD" w14:textId="77777777" w:rsidR="009563B4" w:rsidRPr="00F9038E" w:rsidRDefault="460C6265" w:rsidP="3764D022">
            <w:pPr>
              <w:rPr>
                <w:sz w:val="20"/>
                <w:szCs w:val="20"/>
              </w:rPr>
            </w:pPr>
            <w:r w:rsidRPr="3764D022">
              <w:rPr>
                <w:sz w:val="20"/>
                <w:szCs w:val="20"/>
              </w:rPr>
              <w:t>Submission Date</w:t>
            </w:r>
          </w:p>
        </w:tc>
        <w:tc>
          <w:tcPr>
            <w:tcW w:w="1201" w:type="pct"/>
            <w:tcMar>
              <w:left w:w="57" w:type="dxa"/>
              <w:right w:w="28" w:type="dxa"/>
            </w:tcMar>
          </w:tcPr>
          <w:p w14:paraId="5F80C4FC" w14:textId="1E3C154F" w:rsidR="009563B4" w:rsidRPr="00F9038E" w:rsidRDefault="2F4E12C3" w:rsidP="3764D022">
            <w:pPr>
              <w:spacing w:line="259" w:lineRule="auto"/>
              <w:rPr>
                <w:color w:val="000000" w:themeColor="text1"/>
                <w:sz w:val="20"/>
                <w:szCs w:val="20"/>
                <w:highlight w:val="red"/>
              </w:rPr>
            </w:pPr>
            <w:r w:rsidRPr="3764D022">
              <w:rPr>
                <w:color w:val="000000" w:themeColor="text1"/>
                <w:sz w:val="20"/>
                <w:szCs w:val="20"/>
              </w:rPr>
              <w:t>13 December 2020</w:t>
            </w:r>
          </w:p>
        </w:tc>
      </w:tr>
      <w:tr w:rsidR="009563B4" w:rsidRPr="00F9038E" w14:paraId="7AF83E33" w14:textId="77777777" w:rsidTr="3764D022">
        <w:trPr>
          <w:trHeight w:val="416"/>
        </w:trPr>
        <w:tc>
          <w:tcPr>
            <w:tcW w:w="1339" w:type="pct"/>
            <w:vMerge/>
            <w:tcMar>
              <w:left w:w="57" w:type="dxa"/>
              <w:right w:w="28" w:type="dxa"/>
            </w:tcMar>
          </w:tcPr>
          <w:p w14:paraId="4B8E92A0" w14:textId="77777777" w:rsidR="009563B4" w:rsidRPr="00F9038E" w:rsidRDefault="009563B4" w:rsidP="00481CA4">
            <w:pPr>
              <w:rPr>
                <w:color w:val="000000"/>
                <w:sz w:val="20"/>
                <w:szCs w:val="20"/>
                <w:highlight w:val="magenta"/>
              </w:rPr>
            </w:pPr>
          </w:p>
        </w:tc>
        <w:tc>
          <w:tcPr>
            <w:tcW w:w="1095" w:type="pct"/>
            <w:vMerge/>
            <w:tcMar>
              <w:left w:w="57" w:type="dxa"/>
              <w:right w:w="28" w:type="dxa"/>
            </w:tcMar>
          </w:tcPr>
          <w:p w14:paraId="379BD3D9" w14:textId="77777777" w:rsidR="009563B4" w:rsidRPr="00F9038E" w:rsidRDefault="009563B4" w:rsidP="00481CA4">
            <w:pPr>
              <w:rPr>
                <w:color w:val="000000"/>
                <w:sz w:val="20"/>
                <w:szCs w:val="20"/>
                <w:highlight w:val="magenta"/>
              </w:rPr>
            </w:pPr>
          </w:p>
        </w:tc>
        <w:tc>
          <w:tcPr>
            <w:tcW w:w="1364" w:type="pct"/>
            <w:tcMar>
              <w:left w:w="57" w:type="dxa"/>
              <w:right w:w="28" w:type="dxa"/>
            </w:tcMar>
          </w:tcPr>
          <w:p w14:paraId="701B0FDC" w14:textId="77777777" w:rsidR="009563B4" w:rsidRPr="00242079" w:rsidRDefault="009563B4" w:rsidP="00481CA4">
            <w:pPr>
              <w:rPr>
                <w:sz w:val="20"/>
                <w:szCs w:val="20"/>
              </w:rPr>
            </w:pPr>
            <w:r w:rsidRPr="00242079">
              <w:rPr>
                <w:sz w:val="20"/>
                <w:szCs w:val="20"/>
              </w:rPr>
              <w:t>Expected Implementation Start</w:t>
            </w:r>
          </w:p>
        </w:tc>
        <w:tc>
          <w:tcPr>
            <w:tcW w:w="1201" w:type="pct"/>
            <w:tcMar>
              <w:left w:w="57" w:type="dxa"/>
              <w:right w:w="28" w:type="dxa"/>
            </w:tcMar>
          </w:tcPr>
          <w:p w14:paraId="593C5791" w14:textId="62C49592" w:rsidR="009563B4" w:rsidRPr="00F9038E" w:rsidRDefault="7C117D59" w:rsidP="00481CA4">
            <w:pPr>
              <w:rPr>
                <w:color w:val="000000"/>
                <w:sz w:val="20"/>
                <w:szCs w:val="20"/>
                <w:highlight w:val="magenta"/>
              </w:rPr>
            </w:pPr>
            <w:r w:rsidRPr="3764D022">
              <w:rPr>
                <w:color w:val="000000" w:themeColor="text1"/>
                <w:sz w:val="20"/>
                <w:szCs w:val="20"/>
              </w:rPr>
              <w:t xml:space="preserve">1 May </w:t>
            </w:r>
            <w:r w:rsidR="219FC2D5" w:rsidRPr="3764D022">
              <w:rPr>
                <w:color w:val="000000" w:themeColor="text1"/>
                <w:sz w:val="20"/>
                <w:szCs w:val="20"/>
              </w:rPr>
              <w:t>2021</w:t>
            </w:r>
          </w:p>
        </w:tc>
      </w:tr>
      <w:tr w:rsidR="009563B4" w:rsidRPr="00F9038E" w14:paraId="3CA0BC47" w14:textId="77777777" w:rsidTr="3764D022">
        <w:trPr>
          <w:trHeight w:val="405"/>
        </w:trPr>
        <w:tc>
          <w:tcPr>
            <w:tcW w:w="1339" w:type="pct"/>
            <w:tcMar>
              <w:left w:w="57" w:type="dxa"/>
              <w:right w:w="28" w:type="dxa"/>
            </w:tcMar>
          </w:tcPr>
          <w:p w14:paraId="20771348" w14:textId="77777777" w:rsidR="009563B4" w:rsidRPr="00F9038E" w:rsidRDefault="009563B4" w:rsidP="00481CA4">
            <w:pPr>
              <w:rPr>
                <w:color w:val="000000"/>
                <w:sz w:val="20"/>
                <w:szCs w:val="20"/>
              </w:rPr>
            </w:pPr>
            <w:r w:rsidRPr="00F9038E">
              <w:rPr>
                <w:color w:val="000000"/>
                <w:sz w:val="20"/>
                <w:szCs w:val="20"/>
              </w:rPr>
              <w:t>GEF Focal Area (s):</w:t>
            </w:r>
          </w:p>
        </w:tc>
        <w:tc>
          <w:tcPr>
            <w:tcW w:w="1095" w:type="pct"/>
            <w:tcMar>
              <w:left w:w="57" w:type="dxa"/>
              <w:right w:w="28" w:type="dxa"/>
            </w:tcMar>
          </w:tcPr>
          <w:p w14:paraId="132B623D" w14:textId="77777777" w:rsidR="009563B4" w:rsidRPr="00F9038E" w:rsidRDefault="009563B4" w:rsidP="00481CA4">
            <w:pPr>
              <w:rPr>
                <w:color w:val="000000"/>
                <w:sz w:val="20"/>
                <w:szCs w:val="20"/>
                <w:highlight w:val="magenta"/>
              </w:rPr>
            </w:pPr>
            <w:r w:rsidRPr="00F9038E">
              <w:rPr>
                <w:color w:val="000000"/>
                <w:sz w:val="20"/>
                <w:szCs w:val="20"/>
              </w:rPr>
              <w:t>Multi-focal Areas</w:t>
            </w:r>
          </w:p>
        </w:tc>
        <w:tc>
          <w:tcPr>
            <w:tcW w:w="1364" w:type="pct"/>
            <w:tcMar>
              <w:left w:w="57" w:type="dxa"/>
              <w:right w:w="28" w:type="dxa"/>
            </w:tcMar>
          </w:tcPr>
          <w:p w14:paraId="026470AA" w14:textId="77777777" w:rsidR="009563B4" w:rsidRPr="00242079" w:rsidRDefault="009563B4" w:rsidP="00481CA4">
            <w:pPr>
              <w:rPr>
                <w:sz w:val="20"/>
                <w:szCs w:val="20"/>
              </w:rPr>
            </w:pPr>
            <w:r w:rsidRPr="00242079">
              <w:rPr>
                <w:sz w:val="20"/>
                <w:szCs w:val="20"/>
              </w:rPr>
              <w:t>Expected Completion Date</w:t>
            </w:r>
          </w:p>
        </w:tc>
        <w:tc>
          <w:tcPr>
            <w:tcW w:w="1201" w:type="pct"/>
            <w:tcMar>
              <w:left w:w="57" w:type="dxa"/>
              <w:right w:w="28" w:type="dxa"/>
            </w:tcMar>
          </w:tcPr>
          <w:p w14:paraId="6242ED91" w14:textId="70A3D886" w:rsidR="009563B4" w:rsidRPr="00F9038E" w:rsidRDefault="6D25D248" w:rsidP="00481CA4">
            <w:pPr>
              <w:rPr>
                <w:color w:val="000000"/>
                <w:sz w:val="20"/>
                <w:szCs w:val="20"/>
                <w:highlight w:val="magenta"/>
              </w:rPr>
            </w:pPr>
            <w:r w:rsidRPr="3764D022">
              <w:rPr>
                <w:color w:val="000000" w:themeColor="text1"/>
                <w:sz w:val="20"/>
                <w:szCs w:val="20"/>
              </w:rPr>
              <w:t xml:space="preserve">30 Apr </w:t>
            </w:r>
            <w:r w:rsidR="219FC2D5" w:rsidRPr="3764D022">
              <w:rPr>
                <w:color w:val="000000" w:themeColor="text1"/>
                <w:sz w:val="20"/>
                <w:szCs w:val="20"/>
              </w:rPr>
              <w:t>202</w:t>
            </w:r>
            <w:r w:rsidR="29518E02" w:rsidRPr="3764D022">
              <w:rPr>
                <w:color w:val="000000" w:themeColor="text1"/>
                <w:sz w:val="20"/>
                <w:szCs w:val="20"/>
              </w:rPr>
              <w:t>6</w:t>
            </w:r>
          </w:p>
        </w:tc>
      </w:tr>
      <w:tr w:rsidR="009563B4" w:rsidRPr="00F9038E" w14:paraId="091E94D3" w14:textId="77777777" w:rsidTr="3764D022">
        <w:trPr>
          <w:trHeight w:val="197"/>
        </w:trPr>
        <w:tc>
          <w:tcPr>
            <w:tcW w:w="1339" w:type="pct"/>
            <w:tcMar>
              <w:left w:w="57" w:type="dxa"/>
              <w:right w:w="28" w:type="dxa"/>
            </w:tcMar>
          </w:tcPr>
          <w:p w14:paraId="7D63D026" w14:textId="77777777" w:rsidR="009563B4" w:rsidRPr="00F9038E" w:rsidRDefault="009563B4" w:rsidP="00481CA4">
            <w:pPr>
              <w:rPr>
                <w:color w:val="000000"/>
                <w:sz w:val="20"/>
                <w:szCs w:val="20"/>
              </w:rPr>
            </w:pPr>
            <w:r w:rsidRPr="00F9038E">
              <w:rPr>
                <w:color w:val="000000"/>
                <w:sz w:val="20"/>
                <w:szCs w:val="20"/>
              </w:rPr>
              <w:t>Name of Parent Program</w:t>
            </w:r>
          </w:p>
        </w:tc>
        <w:tc>
          <w:tcPr>
            <w:tcW w:w="1095" w:type="pct"/>
            <w:tcMar>
              <w:left w:w="57" w:type="dxa"/>
              <w:right w:w="28" w:type="dxa"/>
            </w:tcMar>
          </w:tcPr>
          <w:p w14:paraId="79353245" w14:textId="77777777" w:rsidR="009563B4" w:rsidRPr="00F9038E" w:rsidRDefault="009563B4" w:rsidP="00481CA4">
            <w:pPr>
              <w:rPr>
                <w:color w:val="000000"/>
                <w:sz w:val="20"/>
                <w:szCs w:val="20"/>
              </w:rPr>
            </w:pPr>
            <w:r w:rsidRPr="00F9038E">
              <w:rPr>
                <w:sz w:val="20"/>
                <w:szCs w:val="20"/>
              </w:rPr>
              <w:t>IP SFM Drylands</w:t>
            </w:r>
          </w:p>
        </w:tc>
        <w:tc>
          <w:tcPr>
            <w:tcW w:w="1364" w:type="pct"/>
            <w:tcMar>
              <w:left w:w="57" w:type="dxa"/>
              <w:right w:w="28" w:type="dxa"/>
            </w:tcMar>
          </w:tcPr>
          <w:p w14:paraId="08D673A3" w14:textId="77777777" w:rsidR="009563B4" w:rsidRPr="00F9038E" w:rsidDel="002D61AB" w:rsidRDefault="009563B4" w:rsidP="00481CA4">
            <w:pPr>
              <w:rPr>
                <w:color w:val="000000"/>
                <w:sz w:val="20"/>
                <w:szCs w:val="20"/>
                <w:highlight w:val="red"/>
              </w:rPr>
            </w:pPr>
            <w:r w:rsidRPr="00182C6E">
              <w:rPr>
                <w:color w:val="000000"/>
                <w:sz w:val="20"/>
                <w:szCs w:val="20"/>
              </w:rPr>
              <w:t>Parent Program ID:</w:t>
            </w:r>
          </w:p>
        </w:tc>
        <w:tc>
          <w:tcPr>
            <w:tcW w:w="1201" w:type="pct"/>
            <w:tcMar>
              <w:left w:w="57" w:type="dxa"/>
              <w:right w:w="28" w:type="dxa"/>
            </w:tcMar>
          </w:tcPr>
          <w:p w14:paraId="261EDD5A" w14:textId="60B1C7A4" w:rsidR="009563B4" w:rsidRPr="00F9038E" w:rsidRDefault="41ABBCCC" w:rsidP="3764D022">
            <w:pPr>
              <w:rPr>
                <w:color w:val="000000"/>
                <w:sz w:val="20"/>
                <w:szCs w:val="20"/>
              </w:rPr>
            </w:pPr>
            <w:r w:rsidRPr="3764D022">
              <w:rPr>
                <w:color w:val="000000" w:themeColor="text1"/>
                <w:sz w:val="20"/>
                <w:szCs w:val="20"/>
              </w:rPr>
              <w:t>10206</w:t>
            </w:r>
          </w:p>
        </w:tc>
      </w:tr>
    </w:tbl>
    <w:p w14:paraId="3589CE14" w14:textId="2E228B90" w:rsidR="009563B4" w:rsidRPr="00A87DE6" w:rsidRDefault="009563B4" w:rsidP="00E65CFF">
      <w:pPr>
        <w:pStyle w:val="Heading2"/>
        <w:spacing w:after="160"/>
        <w:rPr>
          <w:sz w:val="24"/>
          <w:szCs w:val="24"/>
          <w:highlight w:val="yellow"/>
          <w:lang w:val="en-US"/>
        </w:rPr>
      </w:pPr>
      <w:bookmarkStart w:id="8" w:name="_Toc58398584"/>
      <w:r w:rsidRPr="00A87DE6">
        <w:rPr>
          <w:sz w:val="24"/>
          <w:szCs w:val="24"/>
          <w:highlight w:val="yellow"/>
          <w:lang w:val="en-US"/>
        </w:rPr>
        <w:t>A. Focal/Non-Focal Area Elements</w:t>
      </w:r>
      <w:bookmarkEnd w:id="8"/>
    </w:p>
    <w:tbl>
      <w:tblPr>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2263"/>
        <w:gridCol w:w="3900"/>
        <w:gridCol w:w="942"/>
        <w:gridCol w:w="971"/>
        <w:gridCol w:w="1133"/>
      </w:tblGrid>
      <w:tr w:rsidR="009563B4" w:rsidRPr="00A87DE6" w14:paraId="652119C0" w14:textId="77777777" w:rsidTr="3764D022">
        <w:trPr>
          <w:trHeight w:val="140"/>
          <w:tblHeader/>
        </w:trPr>
        <w:tc>
          <w:tcPr>
            <w:tcW w:w="2263" w:type="dxa"/>
            <w:vMerge w:val="restart"/>
            <w:shd w:val="clear" w:color="auto" w:fill="FFFFFF" w:themeFill="background1"/>
            <w:tcMar>
              <w:left w:w="57" w:type="dxa"/>
              <w:right w:w="28" w:type="dxa"/>
            </w:tcMar>
          </w:tcPr>
          <w:p w14:paraId="02B3946F" w14:textId="09717A73" w:rsidR="009563B4" w:rsidRPr="00A87DE6" w:rsidRDefault="00F61EDE" w:rsidP="00481CA4">
            <w:pPr>
              <w:jc w:val="center"/>
              <w:rPr>
                <w:b/>
                <w:bCs/>
                <w:sz w:val="21"/>
                <w:szCs w:val="21"/>
                <w:highlight w:val="yellow"/>
              </w:rPr>
            </w:pPr>
            <w:r w:rsidRPr="00A87DE6">
              <w:rPr>
                <w:b/>
                <w:bCs/>
                <w:sz w:val="21"/>
                <w:szCs w:val="21"/>
                <w:highlight w:val="yellow"/>
              </w:rPr>
              <w:t>GEF-7</w:t>
            </w:r>
            <w:r w:rsidR="009563B4" w:rsidRPr="00A87DE6">
              <w:rPr>
                <w:b/>
                <w:bCs/>
                <w:sz w:val="21"/>
                <w:szCs w:val="21"/>
                <w:highlight w:val="yellow"/>
              </w:rPr>
              <w:t xml:space="preserve"> Programming Directions</w:t>
            </w:r>
          </w:p>
        </w:tc>
        <w:tc>
          <w:tcPr>
            <w:tcW w:w="3900" w:type="dxa"/>
            <w:vMerge w:val="restart"/>
            <w:shd w:val="clear" w:color="auto" w:fill="FFFFFF" w:themeFill="background1"/>
            <w:tcMar>
              <w:left w:w="57" w:type="dxa"/>
              <w:right w:w="28" w:type="dxa"/>
            </w:tcMar>
          </w:tcPr>
          <w:p w14:paraId="3E521E85" w14:textId="1C451BAD" w:rsidR="009563B4" w:rsidRPr="00A87DE6" w:rsidRDefault="00F61EDE" w:rsidP="00481CA4">
            <w:pPr>
              <w:jc w:val="center"/>
              <w:rPr>
                <w:i/>
                <w:sz w:val="21"/>
                <w:szCs w:val="21"/>
                <w:highlight w:val="yellow"/>
              </w:rPr>
            </w:pPr>
            <w:r w:rsidRPr="00A87DE6">
              <w:rPr>
                <w:b/>
                <w:bCs/>
                <w:sz w:val="21"/>
                <w:szCs w:val="21"/>
                <w:highlight w:val="yellow"/>
              </w:rPr>
              <w:t>GEF-7</w:t>
            </w:r>
            <w:r w:rsidR="009563B4" w:rsidRPr="00A87DE6">
              <w:rPr>
                <w:b/>
                <w:bCs/>
                <w:sz w:val="21"/>
                <w:szCs w:val="21"/>
                <w:highlight w:val="yellow"/>
              </w:rPr>
              <w:t xml:space="preserve"> Focal Area Outcomes </w:t>
            </w:r>
          </w:p>
        </w:tc>
        <w:tc>
          <w:tcPr>
            <w:tcW w:w="942" w:type="dxa"/>
            <w:vMerge w:val="restart"/>
            <w:shd w:val="clear" w:color="auto" w:fill="FFFFFF" w:themeFill="background1"/>
            <w:tcMar>
              <w:left w:w="57" w:type="dxa"/>
              <w:right w:w="28" w:type="dxa"/>
            </w:tcMar>
          </w:tcPr>
          <w:p w14:paraId="6F69B6FF" w14:textId="77777777" w:rsidR="009563B4" w:rsidRPr="00A87DE6" w:rsidRDefault="009563B4" w:rsidP="00481CA4">
            <w:pPr>
              <w:ind w:left="-57" w:right="-57"/>
              <w:jc w:val="center"/>
              <w:rPr>
                <w:b/>
                <w:bCs/>
                <w:sz w:val="21"/>
                <w:szCs w:val="21"/>
                <w:highlight w:val="yellow"/>
              </w:rPr>
            </w:pPr>
            <w:r w:rsidRPr="00A87DE6">
              <w:rPr>
                <w:b/>
                <w:bCs/>
                <w:sz w:val="21"/>
                <w:szCs w:val="21"/>
                <w:highlight w:val="yellow"/>
              </w:rPr>
              <w:t>Trust Fund</w:t>
            </w:r>
          </w:p>
        </w:tc>
        <w:tc>
          <w:tcPr>
            <w:tcW w:w="2104" w:type="dxa"/>
            <w:gridSpan w:val="2"/>
            <w:shd w:val="clear" w:color="auto" w:fill="FFFFFF" w:themeFill="background1"/>
            <w:tcMar>
              <w:left w:w="57" w:type="dxa"/>
              <w:right w:w="28" w:type="dxa"/>
            </w:tcMar>
          </w:tcPr>
          <w:p w14:paraId="459E4DF2" w14:textId="60E6CF1B" w:rsidR="009563B4" w:rsidRPr="00A87DE6" w:rsidRDefault="009563B4" w:rsidP="00481CA4">
            <w:pPr>
              <w:ind w:left="-57" w:right="-57"/>
              <w:jc w:val="center"/>
              <w:rPr>
                <w:b/>
                <w:bCs/>
                <w:sz w:val="21"/>
                <w:szCs w:val="21"/>
                <w:highlight w:val="yellow"/>
              </w:rPr>
            </w:pPr>
            <w:r w:rsidRPr="00A87DE6">
              <w:rPr>
                <w:b/>
                <w:bCs/>
                <w:sz w:val="21"/>
                <w:szCs w:val="21"/>
                <w:highlight w:val="yellow"/>
              </w:rPr>
              <w:t>(</w:t>
            </w:r>
            <w:r w:rsidR="00743D23" w:rsidRPr="00A87DE6">
              <w:rPr>
                <w:b/>
                <w:bCs/>
                <w:sz w:val="21"/>
                <w:szCs w:val="21"/>
                <w:highlight w:val="yellow"/>
              </w:rPr>
              <w:t>US</w:t>
            </w:r>
            <w:r w:rsidRPr="00A87DE6">
              <w:rPr>
                <w:b/>
                <w:bCs/>
                <w:sz w:val="21"/>
                <w:szCs w:val="21"/>
                <w:highlight w:val="yellow"/>
              </w:rPr>
              <w:t xml:space="preserve"> $)</w:t>
            </w:r>
          </w:p>
        </w:tc>
      </w:tr>
      <w:tr w:rsidR="00A364E0" w:rsidRPr="00A87DE6" w14:paraId="4810F724" w14:textId="77777777" w:rsidTr="3764D022">
        <w:trPr>
          <w:trHeight w:val="132"/>
          <w:tblHeader/>
        </w:trPr>
        <w:tc>
          <w:tcPr>
            <w:tcW w:w="2263" w:type="dxa"/>
            <w:vMerge/>
            <w:tcMar>
              <w:left w:w="57" w:type="dxa"/>
              <w:right w:w="28" w:type="dxa"/>
            </w:tcMar>
          </w:tcPr>
          <w:p w14:paraId="41E5B69D" w14:textId="77777777" w:rsidR="009563B4" w:rsidRPr="00A87DE6" w:rsidRDefault="009563B4" w:rsidP="00481CA4">
            <w:pPr>
              <w:rPr>
                <w:b/>
                <w:bCs/>
                <w:sz w:val="21"/>
                <w:szCs w:val="21"/>
                <w:highlight w:val="yellow"/>
              </w:rPr>
            </w:pPr>
          </w:p>
        </w:tc>
        <w:tc>
          <w:tcPr>
            <w:tcW w:w="3900" w:type="dxa"/>
            <w:vMerge/>
            <w:tcMar>
              <w:left w:w="57" w:type="dxa"/>
              <w:right w:w="28" w:type="dxa"/>
            </w:tcMar>
          </w:tcPr>
          <w:p w14:paraId="249B730A" w14:textId="77777777" w:rsidR="009563B4" w:rsidRPr="00A87DE6" w:rsidRDefault="009563B4" w:rsidP="00481CA4">
            <w:pPr>
              <w:rPr>
                <w:b/>
                <w:bCs/>
                <w:sz w:val="21"/>
                <w:szCs w:val="21"/>
                <w:highlight w:val="yellow"/>
              </w:rPr>
            </w:pPr>
          </w:p>
        </w:tc>
        <w:tc>
          <w:tcPr>
            <w:tcW w:w="942" w:type="dxa"/>
            <w:vMerge/>
            <w:tcMar>
              <w:left w:w="57" w:type="dxa"/>
              <w:right w:w="28" w:type="dxa"/>
            </w:tcMar>
          </w:tcPr>
          <w:p w14:paraId="7A98FD7A" w14:textId="77777777" w:rsidR="009563B4" w:rsidRPr="00A87DE6" w:rsidRDefault="009563B4" w:rsidP="00481CA4">
            <w:pPr>
              <w:ind w:left="-113" w:right="-57"/>
              <w:jc w:val="center"/>
              <w:rPr>
                <w:b/>
                <w:bCs/>
                <w:sz w:val="21"/>
                <w:szCs w:val="21"/>
                <w:highlight w:val="yellow"/>
              </w:rPr>
            </w:pPr>
          </w:p>
        </w:tc>
        <w:tc>
          <w:tcPr>
            <w:tcW w:w="971" w:type="dxa"/>
            <w:shd w:val="clear" w:color="auto" w:fill="FFFFFF" w:themeFill="background1"/>
            <w:tcMar>
              <w:left w:w="57" w:type="dxa"/>
              <w:right w:w="28" w:type="dxa"/>
            </w:tcMar>
          </w:tcPr>
          <w:p w14:paraId="5A413006" w14:textId="77777777" w:rsidR="009563B4" w:rsidRPr="00A87DE6" w:rsidRDefault="009563B4" w:rsidP="00481CA4">
            <w:pPr>
              <w:ind w:left="-57" w:right="-57"/>
              <w:jc w:val="center"/>
              <w:rPr>
                <w:b/>
                <w:sz w:val="21"/>
                <w:szCs w:val="21"/>
                <w:highlight w:val="yellow"/>
              </w:rPr>
            </w:pPr>
            <w:r w:rsidRPr="00A87DE6">
              <w:rPr>
                <w:b/>
                <w:sz w:val="21"/>
                <w:szCs w:val="21"/>
                <w:highlight w:val="yellow"/>
              </w:rPr>
              <w:t>GEF Project Financing</w:t>
            </w:r>
          </w:p>
        </w:tc>
        <w:tc>
          <w:tcPr>
            <w:tcW w:w="1133" w:type="dxa"/>
            <w:shd w:val="clear" w:color="auto" w:fill="FFFFFF" w:themeFill="background1"/>
            <w:tcMar>
              <w:left w:w="57" w:type="dxa"/>
              <w:right w:w="28" w:type="dxa"/>
            </w:tcMar>
          </w:tcPr>
          <w:p w14:paraId="11DC3604" w14:textId="77777777" w:rsidR="009563B4" w:rsidRPr="00A87DE6" w:rsidRDefault="009563B4" w:rsidP="00481CA4">
            <w:pPr>
              <w:ind w:left="-57" w:right="-57"/>
              <w:jc w:val="center"/>
              <w:rPr>
                <w:b/>
                <w:sz w:val="21"/>
                <w:szCs w:val="21"/>
                <w:highlight w:val="yellow"/>
              </w:rPr>
            </w:pPr>
            <w:r w:rsidRPr="00A87DE6">
              <w:rPr>
                <w:b/>
                <w:sz w:val="21"/>
                <w:szCs w:val="21"/>
                <w:highlight w:val="yellow"/>
              </w:rPr>
              <w:t>Co-financing</w:t>
            </w:r>
          </w:p>
        </w:tc>
      </w:tr>
      <w:tr w:rsidR="00A364E0" w:rsidRPr="00A87DE6" w14:paraId="4BC21137" w14:textId="77777777" w:rsidTr="3764D022">
        <w:trPr>
          <w:trHeight w:val="56"/>
        </w:trPr>
        <w:tc>
          <w:tcPr>
            <w:tcW w:w="2263" w:type="dxa"/>
            <w:shd w:val="clear" w:color="auto" w:fill="FFFFFF" w:themeFill="background1"/>
            <w:tcMar>
              <w:left w:w="57" w:type="dxa"/>
              <w:right w:w="28" w:type="dxa"/>
            </w:tcMar>
          </w:tcPr>
          <w:p w14:paraId="09634F8E" w14:textId="4C84097E" w:rsidR="00077C72" w:rsidRPr="00A87DE6" w:rsidRDefault="009563B4" w:rsidP="00481CA4">
            <w:pPr>
              <w:rPr>
                <w:sz w:val="20"/>
                <w:szCs w:val="20"/>
                <w:highlight w:val="yellow"/>
              </w:rPr>
            </w:pPr>
            <w:r w:rsidRPr="00A87DE6">
              <w:rPr>
                <w:b/>
                <w:bCs/>
                <w:sz w:val="20"/>
                <w:szCs w:val="20"/>
                <w:highlight w:val="yellow"/>
              </w:rPr>
              <w:t xml:space="preserve">IP SFM </w:t>
            </w:r>
            <w:r w:rsidR="00077C72" w:rsidRPr="00A87DE6">
              <w:rPr>
                <w:b/>
                <w:bCs/>
                <w:sz w:val="20"/>
                <w:szCs w:val="20"/>
                <w:highlight w:val="yellow"/>
              </w:rPr>
              <w:t xml:space="preserve">Drylands </w:t>
            </w:r>
            <w:r w:rsidRPr="00A87DE6">
              <w:rPr>
                <w:b/>
                <w:bCs/>
                <w:sz w:val="20"/>
                <w:szCs w:val="20"/>
                <w:highlight w:val="yellow"/>
              </w:rPr>
              <w:t>Objective</w:t>
            </w:r>
            <w:r w:rsidR="00FA1030" w:rsidRPr="00A87DE6">
              <w:rPr>
                <w:b/>
                <w:bCs/>
                <w:sz w:val="20"/>
                <w:szCs w:val="20"/>
                <w:highlight w:val="yellow"/>
              </w:rPr>
              <w:t>/</w:t>
            </w:r>
            <w:r w:rsidRPr="00A87DE6">
              <w:rPr>
                <w:b/>
                <w:bCs/>
                <w:sz w:val="20"/>
                <w:szCs w:val="20"/>
                <w:highlight w:val="yellow"/>
              </w:rPr>
              <w:t>Programmatic Approach</w:t>
            </w:r>
            <w:r w:rsidRPr="00A87DE6">
              <w:rPr>
                <w:sz w:val="20"/>
                <w:szCs w:val="20"/>
                <w:highlight w:val="yellow"/>
              </w:rPr>
              <w:t xml:space="preserve"> </w:t>
            </w:r>
          </w:p>
          <w:p w14:paraId="4D0015D2" w14:textId="169BA1EC" w:rsidR="009563B4" w:rsidRPr="00A87DE6" w:rsidRDefault="009563B4" w:rsidP="00481CA4">
            <w:pPr>
              <w:rPr>
                <w:sz w:val="20"/>
                <w:szCs w:val="20"/>
                <w:highlight w:val="yellow"/>
              </w:rPr>
            </w:pPr>
            <w:r w:rsidRPr="00A87DE6">
              <w:rPr>
                <w:sz w:val="20"/>
                <w:szCs w:val="20"/>
                <w:highlight w:val="yellow"/>
              </w:rPr>
              <w:t>M</w:t>
            </w:r>
            <w:r w:rsidR="00FA1030" w:rsidRPr="00A87DE6">
              <w:rPr>
                <w:sz w:val="20"/>
                <w:szCs w:val="20"/>
                <w:highlight w:val="yellow"/>
              </w:rPr>
              <w:t xml:space="preserve">ulti-focal </w:t>
            </w:r>
            <w:r w:rsidR="00B07552" w:rsidRPr="00A87DE6">
              <w:rPr>
                <w:sz w:val="20"/>
                <w:szCs w:val="20"/>
                <w:highlight w:val="yellow"/>
              </w:rPr>
              <w:t>a</w:t>
            </w:r>
            <w:r w:rsidR="00FA1030" w:rsidRPr="00A87DE6">
              <w:rPr>
                <w:sz w:val="20"/>
                <w:szCs w:val="20"/>
                <w:highlight w:val="yellow"/>
              </w:rPr>
              <w:t>rea</w:t>
            </w:r>
            <w:r w:rsidRPr="00A87DE6">
              <w:rPr>
                <w:sz w:val="20"/>
                <w:szCs w:val="20"/>
                <w:highlight w:val="yellow"/>
              </w:rPr>
              <w:t xml:space="preserve"> </w:t>
            </w:r>
            <w:r w:rsidR="00077C72" w:rsidRPr="00A87DE6">
              <w:rPr>
                <w:sz w:val="20"/>
                <w:szCs w:val="20"/>
                <w:highlight w:val="yellow"/>
              </w:rPr>
              <w:t>c</w:t>
            </w:r>
            <w:r w:rsidRPr="00A87DE6">
              <w:rPr>
                <w:sz w:val="20"/>
                <w:szCs w:val="20"/>
                <w:highlight w:val="yellow"/>
              </w:rPr>
              <w:t>ontribution to Dryland Sustainable Landscapes Impact Program</w:t>
            </w:r>
          </w:p>
        </w:tc>
        <w:tc>
          <w:tcPr>
            <w:tcW w:w="3900" w:type="dxa"/>
            <w:shd w:val="clear" w:color="auto" w:fill="auto"/>
            <w:tcMar>
              <w:left w:w="57" w:type="dxa"/>
              <w:right w:w="28" w:type="dxa"/>
            </w:tcMar>
          </w:tcPr>
          <w:p w14:paraId="1751F095" w14:textId="77777777" w:rsidR="009563B4" w:rsidRPr="00A87DE6" w:rsidRDefault="009563B4" w:rsidP="00A364E0">
            <w:pPr>
              <w:spacing w:after="80"/>
              <w:rPr>
                <w:sz w:val="20"/>
                <w:szCs w:val="20"/>
                <w:highlight w:val="yellow"/>
              </w:rPr>
            </w:pPr>
            <w:r w:rsidRPr="00A87DE6">
              <w:rPr>
                <w:sz w:val="20"/>
                <w:szCs w:val="20"/>
                <w:highlight w:val="yellow"/>
              </w:rPr>
              <w:t>Degradation, desertification, and deforestation of land and ecosystems in drylands avoided, reduced and further reversed through an integrated and sustainable management of production landscapes</w:t>
            </w:r>
          </w:p>
          <w:p w14:paraId="0AF0BE81" w14:textId="77777777" w:rsidR="009563B4" w:rsidRPr="00A87DE6" w:rsidRDefault="009563B4" w:rsidP="00481CA4">
            <w:pPr>
              <w:rPr>
                <w:sz w:val="20"/>
                <w:szCs w:val="20"/>
                <w:highlight w:val="yellow"/>
              </w:rPr>
            </w:pPr>
            <w:r w:rsidRPr="00A87DE6">
              <w:rPr>
                <w:sz w:val="20"/>
                <w:szCs w:val="20"/>
                <w:highlight w:val="yellow"/>
              </w:rPr>
              <w:t>IP SFM Drylands [GEF-7 Impact Program: Sustainable Forest Management, Dryland Sustainable Landscapes (DSL)]</w:t>
            </w:r>
          </w:p>
        </w:tc>
        <w:tc>
          <w:tcPr>
            <w:tcW w:w="942" w:type="dxa"/>
            <w:shd w:val="clear" w:color="auto" w:fill="FFFFFF" w:themeFill="background1"/>
            <w:tcMar>
              <w:left w:w="57" w:type="dxa"/>
              <w:right w:w="28" w:type="dxa"/>
            </w:tcMar>
          </w:tcPr>
          <w:p w14:paraId="50C91C5A" w14:textId="77777777" w:rsidR="009563B4" w:rsidRPr="00A87DE6" w:rsidRDefault="009563B4" w:rsidP="00481CA4">
            <w:pPr>
              <w:ind w:left="-113" w:right="-57"/>
              <w:jc w:val="center"/>
              <w:rPr>
                <w:sz w:val="20"/>
                <w:szCs w:val="20"/>
                <w:highlight w:val="yellow"/>
              </w:rPr>
            </w:pPr>
            <w:r w:rsidRPr="00A87DE6">
              <w:rPr>
                <w:sz w:val="20"/>
                <w:szCs w:val="20"/>
                <w:highlight w:val="yellow"/>
              </w:rPr>
              <w:t>GEF TF</w:t>
            </w:r>
          </w:p>
        </w:tc>
        <w:tc>
          <w:tcPr>
            <w:tcW w:w="971" w:type="dxa"/>
            <w:shd w:val="clear" w:color="auto" w:fill="FFFFFF" w:themeFill="background1"/>
            <w:tcMar>
              <w:left w:w="57" w:type="dxa"/>
              <w:right w:w="28" w:type="dxa"/>
            </w:tcMar>
          </w:tcPr>
          <w:p w14:paraId="4E517918" w14:textId="7F05B0A0" w:rsidR="009563B4" w:rsidRPr="00A87DE6" w:rsidRDefault="00A87DE6" w:rsidP="0026104E">
            <w:pPr>
              <w:jc w:val="right"/>
              <w:rPr>
                <w:sz w:val="20"/>
                <w:szCs w:val="20"/>
                <w:highlight w:val="yellow"/>
              </w:rPr>
            </w:pPr>
            <w:r w:rsidRPr="00A87DE6">
              <w:rPr>
                <w:rFonts w:cs="Calibri"/>
                <w:b/>
                <w:bCs/>
                <w:sz w:val="20"/>
                <w:szCs w:val="20"/>
                <w:highlight w:val="yellow"/>
              </w:rPr>
              <w:t>5,359,633</w:t>
            </w:r>
          </w:p>
        </w:tc>
        <w:tc>
          <w:tcPr>
            <w:tcW w:w="1133" w:type="dxa"/>
            <w:shd w:val="clear" w:color="auto" w:fill="FFFFFF" w:themeFill="background1"/>
            <w:tcMar>
              <w:left w:w="57" w:type="dxa"/>
              <w:right w:w="28" w:type="dxa"/>
            </w:tcMar>
          </w:tcPr>
          <w:p w14:paraId="269F63BD" w14:textId="7BB9866F" w:rsidR="009563B4" w:rsidRPr="00A87DE6" w:rsidRDefault="00B02C45" w:rsidP="0026104E">
            <w:pPr>
              <w:jc w:val="right"/>
              <w:rPr>
                <w:sz w:val="20"/>
                <w:szCs w:val="20"/>
                <w:highlight w:val="yellow"/>
              </w:rPr>
            </w:pPr>
            <w:r w:rsidRPr="00A87DE6">
              <w:rPr>
                <w:rFonts w:cs="Calibri"/>
                <w:b/>
                <w:bCs/>
                <w:sz w:val="20"/>
                <w:szCs w:val="20"/>
                <w:highlight w:val="yellow"/>
              </w:rPr>
              <w:t>34,500,000</w:t>
            </w:r>
          </w:p>
        </w:tc>
      </w:tr>
      <w:tr w:rsidR="009563B4" w:rsidRPr="00F9038E" w14:paraId="1FF7773A" w14:textId="77777777" w:rsidTr="3764D022">
        <w:trPr>
          <w:trHeight w:val="225"/>
        </w:trPr>
        <w:tc>
          <w:tcPr>
            <w:tcW w:w="6163" w:type="dxa"/>
            <w:gridSpan w:val="2"/>
            <w:tcBorders>
              <w:top w:val="double" w:sz="4" w:space="0" w:color="auto"/>
              <w:bottom w:val="double" w:sz="4" w:space="0" w:color="auto"/>
            </w:tcBorders>
            <w:shd w:val="clear" w:color="auto" w:fill="FFFFFF" w:themeFill="background1"/>
            <w:tcMar>
              <w:left w:w="57" w:type="dxa"/>
              <w:right w:w="28" w:type="dxa"/>
            </w:tcMar>
          </w:tcPr>
          <w:p w14:paraId="6F1B56BA" w14:textId="77777777" w:rsidR="009563B4" w:rsidRPr="00A87DE6" w:rsidRDefault="009563B4" w:rsidP="00481CA4">
            <w:pPr>
              <w:rPr>
                <w:b/>
                <w:sz w:val="20"/>
                <w:szCs w:val="20"/>
                <w:highlight w:val="yellow"/>
              </w:rPr>
            </w:pPr>
            <w:r w:rsidRPr="00A87DE6">
              <w:rPr>
                <w:b/>
                <w:sz w:val="20"/>
                <w:szCs w:val="20"/>
                <w:highlight w:val="yellow"/>
              </w:rPr>
              <w:t>Total project costs</w:t>
            </w:r>
          </w:p>
        </w:tc>
        <w:tc>
          <w:tcPr>
            <w:tcW w:w="942" w:type="dxa"/>
            <w:tcBorders>
              <w:top w:val="double" w:sz="4" w:space="0" w:color="auto"/>
              <w:bottom w:val="double" w:sz="4" w:space="0" w:color="auto"/>
            </w:tcBorders>
            <w:shd w:val="clear" w:color="auto" w:fill="FFFFFF" w:themeFill="background1"/>
            <w:tcMar>
              <w:left w:w="57" w:type="dxa"/>
              <w:right w:w="28" w:type="dxa"/>
            </w:tcMar>
          </w:tcPr>
          <w:p w14:paraId="06DAFF0E" w14:textId="77777777" w:rsidR="009563B4" w:rsidRPr="00A87DE6" w:rsidRDefault="009563B4" w:rsidP="00481CA4">
            <w:pPr>
              <w:ind w:left="-57" w:right="-57"/>
              <w:jc w:val="center"/>
              <w:rPr>
                <w:sz w:val="20"/>
                <w:szCs w:val="20"/>
                <w:highlight w:val="yellow"/>
              </w:rPr>
            </w:pPr>
          </w:p>
        </w:tc>
        <w:tc>
          <w:tcPr>
            <w:tcW w:w="971" w:type="dxa"/>
            <w:tcBorders>
              <w:top w:val="double" w:sz="4" w:space="0" w:color="auto"/>
              <w:bottom w:val="double" w:sz="4" w:space="0" w:color="auto"/>
            </w:tcBorders>
            <w:shd w:val="clear" w:color="auto" w:fill="FFFFFF" w:themeFill="background1"/>
            <w:tcMar>
              <w:left w:w="57" w:type="dxa"/>
              <w:right w:w="28" w:type="dxa"/>
            </w:tcMar>
          </w:tcPr>
          <w:p w14:paraId="1A777BB4" w14:textId="6A63DC61" w:rsidR="009563B4" w:rsidRPr="00A87DE6" w:rsidRDefault="009563B4" w:rsidP="0026104E">
            <w:pPr>
              <w:jc w:val="right"/>
              <w:rPr>
                <w:sz w:val="20"/>
                <w:szCs w:val="20"/>
                <w:highlight w:val="yellow"/>
              </w:rPr>
            </w:pPr>
            <w:r w:rsidRPr="00A87DE6">
              <w:rPr>
                <w:rFonts w:cs="Calibri"/>
                <w:b/>
                <w:bCs/>
                <w:sz w:val="20"/>
                <w:szCs w:val="20"/>
                <w:highlight w:val="yellow"/>
              </w:rPr>
              <w:t>5,</w:t>
            </w:r>
            <w:r w:rsidR="0026104E" w:rsidRPr="00A87DE6">
              <w:rPr>
                <w:rFonts w:cs="Calibri"/>
                <w:b/>
                <w:bCs/>
                <w:sz w:val="20"/>
                <w:szCs w:val="20"/>
                <w:highlight w:val="yellow"/>
              </w:rPr>
              <w:t>359</w:t>
            </w:r>
            <w:r w:rsidRPr="00A87DE6">
              <w:rPr>
                <w:rFonts w:cs="Calibri"/>
                <w:b/>
                <w:bCs/>
                <w:sz w:val="20"/>
                <w:szCs w:val="20"/>
                <w:highlight w:val="yellow"/>
              </w:rPr>
              <w:t>,633</w:t>
            </w:r>
          </w:p>
        </w:tc>
        <w:tc>
          <w:tcPr>
            <w:tcW w:w="1133" w:type="dxa"/>
            <w:tcBorders>
              <w:top w:val="double" w:sz="4" w:space="0" w:color="auto"/>
              <w:bottom w:val="double" w:sz="4" w:space="0" w:color="auto"/>
            </w:tcBorders>
            <w:shd w:val="clear" w:color="auto" w:fill="FFFFFF" w:themeFill="background1"/>
            <w:tcMar>
              <w:left w:w="57" w:type="dxa"/>
              <w:right w:w="28" w:type="dxa"/>
            </w:tcMar>
          </w:tcPr>
          <w:p w14:paraId="74D16408" w14:textId="4CD53F61" w:rsidR="009563B4" w:rsidRPr="00836C18" w:rsidRDefault="0026104E" w:rsidP="0026104E">
            <w:pPr>
              <w:jc w:val="right"/>
              <w:rPr>
                <w:sz w:val="20"/>
                <w:szCs w:val="20"/>
              </w:rPr>
            </w:pPr>
            <w:r w:rsidRPr="00A87DE6">
              <w:rPr>
                <w:rFonts w:cs="Calibri"/>
                <w:b/>
                <w:bCs/>
                <w:sz w:val="20"/>
                <w:szCs w:val="20"/>
                <w:highlight w:val="yellow"/>
              </w:rPr>
              <w:t>3</w:t>
            </w:r>
            <w:r w:rsidR="00836C18" w:rsidRPr="00A87DE6">
              <w:rPr>
                <w:rFonts w:cs="Calibri"/>
                <w:b/>
                <w:bCs/>
                <w:sz w:val="20"/>
                <w:szCs w:val="20"/>
                <w:highlight w:val="yellow"/>
              </w:rPr>
              <w:t>4</w:t>
            </w:r>
            <w:r w:rsidR="009563B4" w:rsidRPr="00A87DE6">
              <w:rPr>
                <w:rFonts w:cs="Calibri"/>
                <w:b/>
                <w:bCs/>
                <w:sz w:val="20"/>
                <w:szCs w:val="20"/>
                <w:highlight w:val="yellow"/>
              </w:rPr>
              <w:t>,</w:t>
            </w:r>
            <w:r w:rsidR="00836C18" w:rsidRPr="00A87DE6">
              <w:rPr>
                <w:rFonts w:cs="Calibri"/>
                <w:b/>
                <w:bCs/>
                <w:sz w:val="20"/>
                <w:szCs w:val="20"/>
                <w:highlight w:val="yellow"/>
              </w:rPr>
              <w:t>5</w:t>
            </w:r>
            <w:r w:rsidR="009563B4" w:rsidRPr="00A87DE6">
              <w:rPr>
                <w:rFonts w:cs="Calibri"/>
                <w:b/>
                <w:bCs/>
                <w:sz w:val="20"/>
                <w:szCs w:val="20"/>
                <w:highlight w:val="yellow"/>
              </w:rPr>
              <w:t>00</w:t>
            </w:r>
            <w:r w:rsidRPr="00A87DE6">
              <w:rPr>
                <w:rFonts w:cs="Calibri"/>
                <w:b/>
                <w:bCs/>
                <w:sz w:val="20"/>
                <w:szCs w:val="20"/>
                <w:highlight w:val="yellow"/>
              </w:rPr>
              <w:t>,000</w:t>
            </w:r>
          </w:p>
        </w:tc>
      </w:tr>
    </w:tbl>
    <w:p w14:paraId="25E47760" w14:textId="77777777" w:rsidR="009170AD" w:rsidRDefault="009170AD">
      <w:r>
        <w:br w:type="page"/>
      </w:r>
    </w:p>
    <w:p w14:paraId="73E6A2AF" w14:textId="5E3A7F8C" w:rsidR="243D3ABE" w:rsidRDefault="243D3ABE" w:rsidP="243D3ABE"/>
    <w:p w14:paraId="638D888E" w14:textId="10181A71" w:rsidR="243D3ABE" w:rsidRDefault="243D3ABE" w:rsidP="243D3ABE"/>
    <w:p w14:paraId="345D14FE" w14:textId="7851B4F1" w:rsidR="243D3ABE" w:rsidRDefault="243D3ABE" w:rsidP="243D3ABE"/>
    <w:p w14:paraId="78D979A1" w14:textId="03DFF40C" w:rsidR="00640AAE" w:rsidRPr="00F9289C" w:rsidRDefault="009563B4" w:rsidP="00743D23">
      <w:pPr>
        <w:pStyle w:val="Heading2"/>
        <w:rPr>
          <w:sz w:val="24"/>
          <w:szCs w:val="24"/>
          <w:lang w:eastAsia="zh-CN"/>
        </w:rPr>
      </w:pPr>
      <w:bookmarkStart w:id="9" w:name="_Toc58398585"/>
      <w:r w:rsidRPr="00F9289C">
        <w:rPr>
          <w:sz w:val="24"/>
          <w:szCs w:val="24"/>
        </w:rPr>
        <w:t>B.</w:t>
      </w:r>
      <w:r w:rsidR="009170AD" w:rsidRPr="009170AD">
        <w:rPr>
          <w:sz w:val="24"/>
          <w:szCs w:val="24"/>
        </w:rPr>
        <w:t xml:space="preserve"> </w:t>
      </w:r>
      <w:r w:rsidR="009170AD" w:rsidRPr="00F9289C">
        <w:rPr>
          <w:sz w:val="24"/>
          <w:szCs w:val="24"/>
        </w:rPr>
        <w:t>Project description summary</w:t>
      </w:r>
      <w:bookmarkEnd w:id="9"/>
      <w:r w:rsidR="009170AD" w:rsidRPr="00F9289C">
        <w:rPr>
          <w:sz w:val="24"/>
          <w:szCs w:val="24"/>
          <w:lang w:eastAsia="zh-CN"/>
        </w:rPr>
        <w:t xml:space="preserve"> </w:t>
      </w:r>
      <w:r w:rsidRPr="00F9289C">
        <w:rPr>
          <w:sz w:val="24"/>
          <w:szCs w:val="24"/>
        </w:rPr>
        <w:t xml:space="preserve"> </w:t>
      </w:r>
    </w:p>
    <w:tbl>
      <w:tblPr>
        <w:tblW w:w="9350" w:type="dxa"/>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1264"/>
        <w:gridCol w:w="421"/>
        <w:gridCol w:w="1517"/>
        <w:gridCol w:w="3615"/>
        <w:gridCol w:w="720"/>
        <w:gridCol w:w="884"/>
        <w:gridCol w:w="929"/>
      </w:tblGrid>
      <w:tr w:rsidR="004C4FD4" w:rsidRPr="00436B29" w14:paraId="59D5B36B" w14:textId="77777777" w:rsidTr="7F4D7136">
        <w:trPr>
          <w:trHeight w:val="688"/>
        </w:trPr>
        <w:tc>
          <w:tcPr>
            <w:tcW w:w="9350" w:type="dxa"/>
            <w:gridSpan w:val="7"/>
            <w:shd w:val="clear" w:color="auto" w:fill="FFFFFF" w:themeFill="background1"/>
            <w:tcMar>
              <w:left w:w="57" w:type="dxa"/>
              <w:right w:w="28" w:type="dxa"/>
            </w:tcMar>
          </w:tcPr>
          <w:p w14:paraId="55224406" w14:textId="77777777" w:rsidR="00436B29" w:rsidRPr="00436B29" w:rsidRDefault="00436B29" w:rsidP="00436B29">
            <w:pPr>
              <w:rPr>
                <w:rFonts w:cs="Calibri"/>
                <w:sz w:val="18"/>
                <w:szCs w:val="18"/>
              </w:rPr>
            </w:pPr>
            <w:r w:rsidRPr="00436B29">
              <w:rPr>
                <w:rFonts w:cs="Calibri"/>
                <w:b/>
                <w:sz w:val="18"/>
                <w:szCs w:val="18"/>
              </w:rPr>
              <w:t>Project Objective</w:t>
            </w:r>
            <w:r w:rsidRPr="00436B29">
              <w:rPr>
                <w:rFonts w:cs="Calibri"/>
                <w:sz w:val="18"/>
                <w:szCs w:val="18"/>
              </w:rPr>
              <w:t xml:space="preserve">: </w:t>
            </w:r>
          </w:p>
          <w:p w14:paraId="1E987538" w14:textId="77777777" w:rsidR="00436B29" w:rsidRPr="00436B29" w:rsidRDefault="00436B29" w:rsidP="00436B29">
            <w:pPr>
              <w:rPr>
                <w:rFonts w:cs="Calibri"/>
                <w:sz w:val="18"/>
                <w:szCs w:val="18"/>
              </w:rPr>
            </w:pPr>
            <w:r w:rsidRPr="00436B29">
              <w:rPr>
                <w:rFonts w:cs="Calibri"/>
                <w:sz w:val="18"/>
                <w:szCs w:val="18"/>
              </w:rPr>
              <w:t>To initiate a transformational shift towards sustainable,</w:t>
            </w:r>
            <w:r w:rsidRPr="00436B29" w:rsidDel="00AA350D">
              <w:rPr>
                <w:rFonts w:cs="Calibri"/>
                <w:sz w:val="18"/>
                <w:szCs w:val="18"/>
              </w:rPr>
              <w:t xml:space="preserve"> </w:t>
            </w:r>
            <w:r w:rsidRPr="00436B29">
              <w:rPr>
                <w:rFonts w:cs="Calibri"/>
                <w:sz w:val="18"/>
                <w:szCs w:val="18"/>
              </w:rPr>
              <w:t>integrated management of multi-use dryland landscapes in the Miombo-Mopane ecoregions of Angola (Okavango and Cunene river basins) based on</w:t>
            </w:r>
            <w:r w:rsidRPr="00436B29" w:rsidDel="008F6C0D">
              <w:rPr>
                <w:rFonts w:cs="Calibri"/>
                <w:sz w:val="18"/>
                <w:szCs w:val="18"/>
              </w:rPr>
              <w:t xml:space="preserve"> </w:t>
            </w:r>
            <w:r w:rsidRPr="00436B29">
              <w:rPr>
                <w:rFonts w:cs="Calibri"/>
                <w:sz w:val="18"/>
                <w:szCs w:val="18"/>
              </w:rPr>
              <w:t>Land Degradation Neutrality principles</w:t>
            </w:r>
          </w:p>
        </w:tc>
      </w:tr>
      <w:tr w:rsidR="004C4FD4" w:rsidRPr="00436B29" w14:paraId="7E25BAB8" w14:textId="77777777" w:rsidTr="7F4D7136">
        <w:trPr>
          <w:tblHeader/>
        </w:trPr>
        <w:tc>
          <w:tcPr>
            <w:tcW w:w="1264" w:type="dxa"/>
            <w:vMerge w:val="restart"/>
            <w:shd w:val="clear" w:color="auto" w:fill="FFFFFF" w:themeFill="background1"/>
            <w:tcMar>
              <w:left w:w="57" w:type="dxa"/>
              <w:right w:w="28" w:type="dxa"/>
            </w:tcMar>
          </w:tcPr>
          <w:p w14:paraId="7650F40C" w14:textId="77777777" w:rsidR="00436B29" w:rsidRPr="00436B29" w:rsidRDefault="00436B29" w:rsidP="00436B29">
            <w:pPr>
              <w:jc w:val="center"/>
              <w:rPr>
                <w:rFonts w:cs="Calibri"/>
                <w:b/>
                <w:bCs/>
                <w:sz w:val="18"/>
                <w:szCs w:val="18"/>
              </w:rPr>
            </w:pPr>
            <w:r w:rsidRPr="00436B29">
              <w:rPr>
                <w:rFonts w:cs="Calibri"/>
                <w:b/>
                <w:bCs/>
                <w:sz w:val="18"/>
                <w:szCs w:val="18"/>
              </w:rPr>
              <w:t>Project Components/</w:t>
            </w:r>
          </w:p>
          <w:p w14:paraId="1AAF6AF2" w14:textId="77777777" w:rsidR="00436B29" w:rsidRPr="00436B29" w:rsidRDefault="00436B29" w:rsidP="00436B29">
            <w:pPr>
              <w:jc w:val="center"/>
              <w:rPr>
                <w:rFonts w:cs="Calibri"/>
                <w:b/>
                <w:bCs/>
                <w:sz w:val="18"/>
                <w:szCs w:val="18"/>
              </w:rPr>
            </w:pPr>
            <w:r w:rsidRPr="00436B29">
              <w:rPr>
                <w:rFonts w:cs="Calibri"/>
                <w:b/>
                <w:bCs/>
                <w:sz w:val="18"/>
                <w:szCs w:val="18"/>
              </w:rPr>
              <w:t>Programs</w:t>
            </w:r>
          </w:p>
        </w:tc>
        <w:tc>
          <w:tcPr>
            <w:tcW w:w="421" w:type="dxa"/>
            <w:vMerge w:val="restart"/>
            <w:shd w:val="clear" w:color="auto" w:fill="FFFFFF" w:themeFill="background1"/>
            <w:tcMar>
              <w:left w:w="57" w:type="dxa"/>
              <w:right w:w="28" w:type="dxa"/>
            </w:tcMar>
          </w:tcPr>
          <w:p w14:paraId="56A67FAF" w14:textId="77777777" w:rsidR="00436B29" w:rsidRPr="00436B29" w:rsidRDefault="00436B29" w:rsidP="00436B29">
            <w:pPr>
              <w:ind w:left="-57" w:right="-57"/>
              <w:jc w:val="center"/>
              <w:rPr>
                <w:rFonts w:cs="Calibri"/>
                <w:b/>
                <w:bCs/>
                <w:sz w:val="18"/>
                <w:szCs w:val="18"/>
              </w:rPr>
            </w:pPr>
            <w:r w:rsidRPr="00436B29">
              <w:rPr>
                <w:rFonts w:cs="Calibri"/>
                <w:b/>
                <w:bCs/>
                <w:sz w:val="18"/>
                <w:szCs w:val="18"/>
              </w:rPr>
              <w:t>Type</w:t>
            </w:r>
          </w:p>
        </w:tc>
        <w:tc>
          <w:tcPr>
            <w:tcW w:w="1517" w:type="dxa"/>
            <w:vMerge w:val="restart"/>
            <w:shd w:val="clear" w:color="auto" w:fill="FFFFFF" w:themeFill="background1"/>
            <w:tcMar>
              <w:left w:w="57" w:type="dxa"/>
              <w:right w:w="28" w:type="dxa"/>
            </w:tcMar>
          </w:tcPr>
          <w:p w14:paraId="4C7D3823" w14:textId="77777777" w:rsidR="00436B29" w:rsidRPr="00436B29" w:rsidRDefault="00436B29" w:rsidP="00436B29">
            <w:pPr>
              <w:jc w:val="center"/>
              <w:rPr>
                <w:rFonts w:cs="Calibri"/>
                <w:b/>
                <w:bCs/>
                <w:sz w:val="18"/>
                <w:szCs w:val="18"/>
              </w:rPr>
            </w:pPr>
            <w:r w:rsidRPr="00436B29">
              <w:rPr>
                <w:rFonts w:cs="Calibri"/>
                <w:b/>
                <w:bCs/>
                <w:sz w:val="18"/>
                <w:szCs w:val="18"/>
              </w:rPr>
              <w:t>Project Outcomes</w:t>
            </w:r>
          </w:p>
        </w:tc>
        <w:tc>
          <w:tcPr>
            <w:tcW w:w="3615" w:type="dxa"/>
            <w:vMerge w:val="restart"/>
            <w:shd w:val="clear" w:color="auto" w:fill="FFFFFF" w:themeFill="background1"/>
            <w:tcMar>
              <w:left w:w="57" w:type="dxa"/>
              <w:right w:w="28" w:type="dxa"/>
            </w:tcMar>
          </w:tcPr>
          <w:p w14:paraId="7ADF6F34" w14:textId="77777777" w:rsidR="00436B29" w:rsidRPr="00436B29" w:rsidRDefault="00436B29" w:rsidP="00436B29">
            <w:pPr>
              <w:jc w:val="center"/>
              <w:rPr>
                <w:rFonts w:cs="Calibri"/>
                <w:b/>
                <w:bCs/>
                <w:sz w:val="18"/>
                <w:szCs w:val="18"/>
              </w:rPr>
            </w:pPr>
            <w:r w:rsidRPr="00436B29">
              <w:rPr>
                <w:rFonts w:cs="Calibri"/>
                <w:b/>
                <w:bCs/>
                <w:sz w:val="18"/>
                <w:szCs w:val="18"/>
              </w:rPr>
              <w:t>Project Outputs</w:t>
            </w:r>
          </w:p>
        </w:tc>
        <w:tc>
          <w:tcPr>
            <w:tcW w:w="720" w:type="dxa"/>
            <w:vMerge w:val="restart"/>
            <w:shd w:val="clear" w:color="auto" w:fill="FFFFFF" w:themeFill="background1"/>
            <w:tcMar>
              <w:left w:w="57" w:type="dxa"/>
              <w:right w:w="28" w:type="dxa"/>
            </w:tcMar>
          </w:tcPr>
          <w:p w14:paraId="68BA0B95" w14:textId="77777777" w:rsidR="00436B29" w:rsidRPr="00436B29" w:rsidRDefault="00436B29" w:rsidP="00436B29">
            <w:pPr>
              <w:ind w:left="-57" w:right="-57"/>
              <w:jc w:val="center"/>
              <w:rPr>
                <w:rFonts w:cs="Calibri"/>
                <w:b/>
                <w:bCs/>
                <w:sz w:val="18"/>
                <w:szCs w:val="18"/>
              </w:rPr>
            </w:pPr>
            <w:r w:rsidRPr="00436B29">
              <w:rPr>
                <w:rFonts w:cs="Calibri"/>
                <w:b/>
                <w:bCs/>
                <w:sz w:val="18"/>
                <w:szCs w:val="18"/>
              </w:rPr>
              <w:t>Trust Fund</w:t>
            </w:r>
          </w:p>
        </w:tc>
        <w:tc>
          <w:tcPr>
            <w:tcW w:w="1813" w:type="dxa"/>
            <w:gridSpan w:val="2"/>
            <w:shd w:val="clear" w:color="auto" w:fill="FFFFFF" w:themeFill="background1"/>
            <w:tcMar>
              <w:left w:w="57" w:type="dxa"/>
              <w:right w:w="28" w:type="dxa"/>
            </w:tcMar>
          </w:tcPr>
          <w:p w14:paraId="445B5056" w14:textId="77777777" w:rsidR="00436B29" w:rsidRPr="00436B29" w:rsidRDefault="00436B29" w:rsidP="00436B29">
            <w:pPr>
              <w:jc w:val="center"/>
              <w:rPr>
                <w:rFonts w:cs="Calibri"/>
                <w:b/>
                <w:bCs/>
                <w:sz w:val="18"/>
                <w:szCs w:val="18"/>
              </w:rPr>
            </w:pPr>
            <w:r w:rsidRPr="00436B29">
              <w:rPr>
                <w:rFonts w:cs="Calibri"/>
                <w:b/>
                <w:bCs/>
                <w:sz w:val="18"/>
                <w:szCs w:val="18"/>
              </w:rPr>
              <w:t>(US $)</w:t>
            </w:r>
          </w:p>
        </w:tc>
      </w:tr>
      <w:tr w:rsidR="00DA42EB" w:rsidRPr="00436B29" w14:paraId="2A544A52" w14:textId="77777777" w:rsidTr="7F4D7136">
        <w:trPr>
          <w:tblHeader/>
        </w:trPr>
        <w:tc>
          <w:tcPr>
            <w:tcW w:w="1264" w:type="dxa"/>
            <w:vMerge/>
            <w:tcMar>
              <w:left w:w="57" w:type="dxa"/>
              <w:right w:w="28" w:type="dxa"/>
            </w:tcMar>
          </w:tcPr>
          <w:p w14:paraId="08792FFD" w14:textId="77777777" w:rsidR="00436B29" w:rsidRPr="00436B29" w:rsidRDefault="00436B29" w:rsidP="00436B29">
            <w:pPr>
              <w:jc w:val="center"/>
              <w:rPr>
                <w:rFonts w:cs="Calibri"/>
                <w:sz w:val="18"/>
                <w:szCs w:val="18"/>
              </w:rPr>
            </w:pPr>
          </w:p>
        </w:tc>
        <w:tc>
          <w:tcPr>
            <w:tcW w:w="421" w:type="dxa"/>
            <w:vMerge/>
            <w:tcMar>
              <w:left w:w="57" w:type="dxa"/>
              <w:right w:w="28" w:type="dxa"/>
            </w:tcMar>
          </w:tcPr>
          <w:p w14:paraId="2C32BC3A" w14:textId="77777777" w:rsidR="00436B29" w:rsidRPr="00436B29" w:rsidRDefault="00436B29" w:rsidP="00436B29">
            <w:pPr>
              <w:jc w:val="center"/>
              <w:rPr>
                <w:rFonts w:cs="Calibri"/>
                <w:sz w:val="18"/>
                <w:szCs w:val="18"/>
              </w:rPr>
            </w:pPr>
          </w:p>
        </w:tc>
        <w:tc>
          <w:tcPr>
            <w:tcW w:w="1517" w:type="dxa"/>
            <w:vMerge/>
            <w:tcMar>
              <w:left w:w="57" w:type="dxa"/>
              <w:right w:w="28" w:type="dxa"/>
            </w:tcMar>
          </w:tcPr>
          <w:p w14:paraId="316BC334" w14:textId="77777777" w:rsidR="00436B29" w:rsidRPr="00436B29" w:rsidRDefault="00436B29" w:rsidP="00436B29">
            <w:pPr>
              <w:jc w:val="center"/>
              <w:rPr>
                <w:rFonts w:cs="Calibri"/>
                <w:sz w:val="18"/>
                <w:szCs w:val="18"/>
              </w:rPr>
            </w:pPr>
          </w:p>
        </w:tc>
        <w:tc>
          <w:tcPr>
            <w:tcW w:w="3615" w:type="dxa"/>
            <w:vMerge/>
            <w:tcMar>
              <w:left w:w="57" w:type="dxa"/>
              <w:right w:w="28" w:type="dxa"/>
            </w:tcMar>
          </w:tcPr>
          <w:p w14:paraId="0E2C7C55" w14:textId="77777777" w:rsidR="00436B29" w:rsidRPr="00436B29" w:rsidRDefault="00436B29" w:rsidP="00436B29">
            <w:pPr>
              <w:jc w:val="center"/>
              <w:rPr>
                <w:rFonts w:cs="Calibri"/>
                <w:sz w:val="18"/>
                <w:szCs w:val="18"/>
              </w:rPr>
            </w:pPr>
          </w:p>
        </w:tc>
        <w:tc>
          <w:tcPr>
            <w:tcW w:w="720" w:type="dxa"/>
            <w:vMerge/>
            <w:tcMar>
              <w:left w:w="57" w:type="dxa"/>
              <w:right w:w="28" w:type="dxa"/>
            </w:tcMar>
          </w:tcPr>
          <w:p w14:paraId="5BAA8592" w14:textId="77777777" w:rsidR="00436B29" w:rsidRPr="00436B29" w:rsidRDefault="00436B29" w:rsidP="00436B29">
            <w:pPr>
              <w:jc w:val="center"/>
              <w:rPr>
                <w:rFonts w:cs="Calibri"/>
                <w:sz w:val="18"/>
                <w:szCs w:val="18"/>
              </w:rPr>
            </w:pPr>
          </w:p>
        </w:tc>
        <w:tc>
          <w:tcPr>
            <w:tcW w:w="884" w:type="dxa"/>
            <w:shd w:val="clear" w:color="auto" w:fill="FFFFFF" w:themeFill="background1"/>
            <w:tcMar>
              <w:left w:w="57" w:type="dxa"/>
              <w:right w:w="28" w:type="dxa"/>
            </w:tcMar>
          </w:tcPr>
          <w:p w14:paraId="37D310D3" w14:textId="77777777" w:rsidR="00436B29" w:rsidRPr="00436B29" w:rsidRDefault="00436B29" w:rsidP="00436B29">
            <w:pPr>
              <w:jc w:val="center"/>
              <w:rPr>
                <w:rFonts w:cs="Calibri"/>
                <w:b/>
                <w:sz w:val="18"/>
                <w:szCs w:val="18"/>
              </w:rPr>
            </w:pPr>
            <w:r w:rsidRPr="00436B29">
              <w:rPr>
                <w:rFonts w:cs="Calibri"/>
                <w:b/>
                <w:sz w:val="18"/>
                <w:szCs w:val="18"/>
              </w:rPr>
              <w:t>GEF Project Financing</w:t>
            </w:r>
          </w:p>
        </w:tc>
        <w:tc>
          <w:tcPr>
            <w:tcW w:w="929" w:type="dxa"/>
            <w:shd w:val="clear" w:color="auto" w:fill="FFFFFF" w:themeFill="background1"/>
            <w:tcMar>
              <w:left w:w="57" w:type="dxa"/>
              <w:right w:w="28" w:type="dxa"/>
            </w:tcMar>
          </w:tcPr>
          <w:p w14:paraId="37393FE0" w14:textId="77777777" w:rsidR="00436B29" w:rsidRPr="00436B29" w:rsidRDefault="00436B29" w:rsidP="00436B29">
            <w:pPr>
              <w:jc w:val="center"/>
              <w:rPr>
                <w:rFonts w:cs="Calibri"/>
                <w:b/>
                <w:sz w:val="18"/>
                <w:szCs w:val="18"/>
              </w:rPr>
            </w:pPr>
            <w:r w:rsidRPr="00436B29">
              <w:rPr>
                <w:rFonts w:cs="Calibri"/>
                <w:b/>
                <w:sz w:val="18"/>
                <w:szCs w:val="18"/>
              </w:rPr>
              <w:t>Co-financing</w:t>
            </w:r>
          </w:p>
        </w:tc>
      </w:tr>
      <w:tr w:rsidR="00871AA1" w:rsidRPr="0097048E" w14:paraId="5EC564F6" w14:textId="77777777" w:rsidTr="7F4D7136">
        <w:tc>
          <w:tcPr>
            <w:tcW w:w="1264" w:type="dxa"/>
            <w:shd w:val="clear" w:color="auto" w:fill="FFFFFF" w:themeFill="background1"/>
            <w:tcMar>
              <w:left w:w="57" w:type="dxa"/>
              <w:right w:w="28" w:type="dxa"/>
            </w:tcMar>
          </w:tcPr>
          <w:p w14:paraId="7EB3EC60" w14:textId="77777777" w:rsidR="00436B29" w:rsidRPr="00436B29" w:rsidRDefault="00436B29" w:rsidP="00436B29">
            <w:pPr>
              <w:rPr>
                <w:rFonts w:cs="Calibri"/>
                <w:sz w:val="18"/>
                <w:szCs w:val="18"/>
              </w:rPr>
            </w:pPr>
            <w:r w:rsidRPr="00436B29">
              <w:rPr>
                <w:rFonts w:cs="Calibri"/>
                <w:sz w:val="18"/>
                <w:szCs w:val="18"/>
              </w:rPr>
              <w:t>1. Enabling frameworks for Land Degradation Neutrality at national and landscape levels</w:t>
            </w:r>
          </w:p>
        </w:tc>
        <w:tc>
          <w:tcPr>
            <w:tcW w:w="421" w:type="dxa"/>
            <w:shd w:val="clear" w:color="auto" w:fill="FFFFFF" w:themeFill="background1"/>
            <w:tcMar>
              <w:left w:w="57" w:type="dxa"/>
              <w:right w:w="28" w:type="dxa"/>
            </w:tcMar>
          </w:tcPr>
          <w:p w14:paraId="57800EBE" w14:textId="77777777" w:rsidR="00436B29" w:rsidRPr="00436B29" w:rsidRDefault="00436B29" w:rsidP="00436B29">
            <w:pPr>
              <w:rPr>
                <w:rFonts w:cs="Calibri"/>
                <w:sz w:val="18"/>
                <w:szCs w:val="18"/>
              </w:rPr>
            </w:pPr>
            <w:r w:rsidRPr="00436B29">
              <w:rPr>
                <w:rFonts w:cs="Calibri"/>
                <w:sz w:val="18"/>
                <w:szCs w:val="18"/>
              </w:rPr>
              <w:t>TA</w:t>
            </w:r>
          </w:p>
        </w:tc>
        <w:tc>
          <w:tcPr>
            <w:tcW w:w="1517" w:type="dxa"/>
            <w:shd w:val="clear" w:color="auto" w:fill="FFFFFF" w:themeFill="background1"/>
            <w:tcMar>
              <w:left w:w="57" w:type="dxa"/>
              <w:right w:w="28" w:type="dxa"/>
            </w:tcMar>
          </w:tcPr>
          <w:p w14:paraId="66C27034" w14:textId="77777777" w:rsidR="00436B29" w:rsidRPr="00436B29" w:rsidRDefault="00436B29" w:rsidP="00436B29">
            <w:pPr>
              <w:rPr>
                <w:rFonts w:cs="Calibri"/>
                <w:sz w:val="18"/>
                <w:szCs w:val="18"/>
                <w:highlight w:val="yellow"/>
              </w:rPr>
            </w:pPr>
            <w:r w:rsidRPr="00436B29">
              <w:rPr>
                <w:rFonts w:cs="Calibri"/>
                <w:sz w:val="18"/>
                <w:szCs w:val="18"/>
              </w:rPr>
              <w:t>1.1 Strengthened policy-regulatory and decision-making frameworks for LDN at national and sub-national levels</w:t>
            </w:r>
          </w:p>
        </w:tc>
        <w:tc>
          <w:tcPr>
            <w:tcW w:w="3615" w:type="dxa"/>
            <w:shd w:val="clear" w:color="auto" w:fill="FFFFFF" w:themeFill="background1"/>
            <w:tcMar>
              <w:left w:w="57" w:type="dxa"/>
              <w:right w:w="28" w:type="dxa"/>
            </w:tcMar>
          </w:tcPr>
          <w:p w14:paraId="4C576B48" w14:textId="77777777" w:rsidR="00436B29" w:rsidRPr="00436B29" w:rsidRDefault="00436B29" w:rsidP="00436B29">
            <w:pPr>
              <w:spacing w:after="80"/>
              <w:rPr>
                <w:rFonts w:cs="Calibri"/>
                <w:sz w:val="18"/>
                <w:szCs w:val="18"/>
              </w:rPr>
            </w:pPr>
            <w:r w:rsidRPr="00436B29">
              <w:rPr>
                <w:rFonts w:cs="Calibri"/>
                <w:sz w:val="18"/>
                <w:szCs w:val="18"/>
              </w:rPr>
              <w:t>1.1.1 LDN  stakeholder participatory structures and processes at national level strengthened/established, with vertical integration to landscape level multi-sectoral working groups</w:t>
            </w:r>
          </w:p>
          <w:p w14:paraId="50BB94AD" w14:textId="77777777" w:rsidR="00436B29" w:rsidRPr="00436B29" w:rsidRDefault="00436B29" w:rsidP="00F9038E">
            <w:pPr>
              <w:rPr>
                <w:rFonts w:cs="Calibri"/>
                <w:sz w:val="18"/>
                <w:szCs w:val="18"/>
              </w:rPr>
            </w:pPr>
            <w:r w:rsidRPr="00436B29">
              <w:rPr>
                <w:rFonts w:cs="Calibri"/>
                <w:sz w:val="18"/>
                <w:szCs w:val="18"/>
              </w:rPr>
              <w:t xml:space="preserve">1.1.2 Policy and regulatory frameworks relevant to land-use planning and management reviewed and revised for effectively applying LDN principles and mainstreaming SLM/SFM interventions  </w:t>
            </w:r>
          </w:p>
        </w:tc>
        <w:tc>
          <w:tcPr>
            <w:tcW w:w="720" w:type="dxa"/>
            <w:shd w:val="clear" w:color="auto" w:fill="FFFFFF" w:themeFill="background1"/>
            <w:tcMar>
              <w:left w:w="57" w:type="dxa"/>
              <w:right w:w="28" w:type="dxa"/>
            </w:tcMar>
          </w:tcPr>
          <w:p w14:paraId="4743A3CA" w14:textId="0A0E52DA" w:rsidR="00436B29" w:rsidRPr="0097048E" w:rsidRDefault="00BF19B3" w:rsidP="00436B29">
            <w:pPr>
              <w:rPr>
                <w:rFonts w:cs="Calibri"/>
                <w:color w:val="000000" w:themeColor="text1"/>
                <w:sz w:val="18"/>
                <w:szCs w:val="18"/>
              </w:rPr>
            </w:pPr>
            <w:r w:rsidRPr="0097048E">
              <w:rPr>
                <w:rFonts w:cs="Calibri"/>
                <w:color w:val="000000" w:themeColor="text1"/>
                <w:sz w:val="18"/>
                <w:szCs w:val="18"/>
              </w:rPr>
              <w:t>GEF TF</w:t>
            </w:r>
          </w:p>
        </w:tc>
        <w:tc>
          <w:tcPr>
            <w:tcW w:w="884" w:type="dxa"/>
            <w:shd w:val="clear" w:color="auto" w:fill="FFFFFF" w:themeFill="background1"/>
            <w:tcMar>
              <w:left w:w="57" w:type="dxa"/>
              <w:right w:w="28" w:type="dxa"/>
            </w:tcMar>
          </w:tcPr>
          <w:p w14:paraId="08EF484A" w14:textId="17188C3D" w:rsidR="00436B29" w:rsidRPr="0097048E" w:rsidRDefault="25648E27" w:rsidP="78C544BE">
            <w:pPr>
              <w:spacing w:line="259" w:lineRule="auto"/>
              <w:rPr>
                <w:rFonts w:cs="Calibri"/>
                <w:color w:val="000000" w:themeColor="text1"/>
                <w:sz w:val="18"/>
                <w:szCs w:val="18"/>
                <w:highlight w:val="yellow"/>
              </w:rPr>
            </w:pPr>
            <w:r w:rsidRPr="78C544BE">
              <w:rPr>
                <w:rFonts w:cs="Calibri"/>
                <w:color w:val="000000" w:themeColor="text1"/>
                <w:sz w:val="18"/>
                <w:szCs w:val="18"/>
                <w:highlight w:val="yellow"/>
              </w:rPr>
              <w:t>41</w:t>
            </w:r>
            <w:r w:rsidR="013570E0" w:rsidRPr="78C544BE">
              <w:rPr>
                <w:rFonts w:cs="Calibri"/>
                <w:color w:val="000000" w:themeColor="text1"/>
                <w:sz w:val="18"/>
                <w:szCs w:val="18"/>
                <w:highlight w:val="yellow"/>
              </w:rPr>
              <w:t>3</w:t>
            </w:r>
            <w:r w:rsidR="2169B38F" w:rsidRPr="78C544BE">
              <w:rPr>
                <w:rFonts w:cs="Calibri"/>
                <w:color w:val="000000" w:themeColor="text1"/>
                <w:sz w:val="18"/>
                <w:szCs w:val="18"/>
                <w:highlight w:val="yellow"/>
              </w:rPr>
              <w:t>,</w:t>
            </w:r>
            <w:r w:rsidR="56D95FED" w:rsidRPr="78C544BE">
              <w:rPr>
                <w:rFonts w:cs="Calibri"/>
                <w:color w:val="000000" w:themeColor="text1"/>
                <w:sz w:val="18"/>
                <w:szCs w:val="18"/>
                <w:highlight w:val="yellow"/>
              </w:rPr>
              <w:t>870</w:t>
            </w:r>
          </w:p>
        </w:tc>
        <w:tc>
          <w:tcPr>
            <w:tcW w:w="929" w:type="dxa"/>
            <w:shd w:val="clear" w:color="auto" w:fill="FFFFFF" w:themeFill="background1"/>
            <w:tcMar>
              <w:left w:w="57" w:type="dxa"/>
              <w:right w:w="28" w:type="dxa"/>
            </w:tcMar>
          </w:tcPr>
          <w:p w14:paraId="5EB4F26F" w14:textId="3545FBBD" w:rsidR="00436B29" w:rsidRPr="0097048E" w:rsidRDefault="584495DE" w:rsidP="00436B29">
            <w:pPr>
              <w:rPr>
                <w:rFonts w:cs="Calibri"/>
                <w:color w:val="000000" w:themeColor="text1"/>
                <w:sz w:val="18"/>
                <w:szCs w:val="18"/>
                <w:highlight w:val="magenta"/>
              </w:rPr>
            </w:pPr>
            <w:r w:rsidRPr="00E7539B">
              <w:rPr>
                <w:rFonts w:cs="Calibri"/>
                <w:color w:val="000000" w:themeColor="text1"/>
                <w:sz w:val="18"/>
                <w:szCs w:val="18"/>
                <w:highlight w:val="yellow"/>
              </w:rPr>
              <w:t>8,448,600</w:t>
            </w:r>
            <w:r w:rsidR="00517054" w:rsidRPr="00517054">
              <w:rPr>
                <w:rFonts w:cs="Calibri"/>
                <w:color w:val="000000" w:themeColor="text1"/>
                <w:sz w:val="18"/>
                <w:szCs w:val="18"/>
              </w:rPr>
              <w:t xml:space="preserve">   </w:t>
            </w:r>
          </w:p>
        </w:tc>
      </w:tr>
      <w:tr w:rsidR="00871AA1" w:rsidRPr="0097048E" w14:paraId="79900057" w14:textId="77777777" w:rsidTr="7F4D7136">
        <w:tc>
          <w:tcPr>
            <w:tcW w:w="1264" w:type="dxa"/>
            <w:vMerge w:val="restart"/>
            <w:shd w:val="clear" w:color="auto" w:fill="FFFFFF" w:themeFill="background1"/>
            <w:tcMar>
              <w:left w:w="57" w:type="dxa"/>
              <w:right w:w="28" w:type="dxa"/>
            </w:tcMar>
          </w:tcPr>
          <w:p w14:paraId="55BF2CFF" w14:textId="285763C2" w:rsidR="00836C18" w:rsidRPr="00436B29" w:rsidRDefault="00836C18" w:rsidP="00436B29">
            <w:pPr>
              <w:rPr>
                <w:rFonts w:cs="Calibri"/>
                <w:sz w:val="18"/>
                <w:szCs w:val="18"/>
              </w:rPr>
            </w:pPr>
            <w:r w:rsidRPr="00436B29">
              <w:rPr>
                <w:rFonts w:cs="Calibri"/>
                <w:sz w:val="18"/>
                <w:szCs w:val="18"/>
              </w:rPr>
              <w:t>2.Strengthening implementation and replicating SLM and SFM practices</w:t>
            </w:r>
          </w:p>
        </w:tc>
        <w:tc>
          <w:tcPr>
            <w:tcW w:w="421" w:type="dxa"/>
            <w:shd w:val="clear" w:color="auto" w:fill="FFFFFF" w:themeFill="background1"/>
            <w:tcMar>
              <w:left w:w="57" w:type="dxa"/>
              <w:right w:w="28" w:type="dxa"/>
            </w:tcMar>
          </w:tcPr>
          <w:p w14:paraId="222E279A" w14:textId="77777777" w:rsidR="00836C18" w:rsidRPr="00436B29" w:rsidRDefault="00836C18" w:rsidP="00436B29">
            <w:pPr>
              <w:rPr>
                <w:rFonts w:cs="Calibri"/>
                <w:sz w:val="18"/>
                <w:szCs w:val="18"/>
              </w:rPr>
            </w:pPr>
            <w:r w:rsidRPr="00436B29">
              <w:rPr>
                <w:rFonts w:cs="Calibri"/>
                <w:sz w:val="18"/>
                <w:szCs w:val="18"/>
              </w:rPr>
              <w:t>TA</w:t>
            </w:r>
          </w:p>
        </w:tc>
        <w:tc>
          <w:tcPr>
            <w:tcW w:w="1517" w:type="dxa"/>
            <w:shd w:val="clear" w:color="auto" w:fill="FFFFFF" w:themeFill="background1"/>
            <w:tcMar>
              <w:left w:w="57" w:type="dxa"/>
              <w:right w:w="28" w:type="dxa"/>
            </w:tcMar>
          </w:tcPr>
          <w:p w14:paraId="5FB2072D" w14:textId="3B7BF4E9" w:rsidR="00836C18" w:rsidRPr="00436B29" w:rsidRDefault="00836C18" w:rsidP="00436B29">
            <w:pPr>
              <w:rPr>
                <w:rFonts w:cs="Calibri"/>
                <w:sz w:val="18"/>
                <w:szCs w:val="18"/>
              </w:rPr>
            </w:pPr>
            <w:r w:rsidRPr="00436B29">
              <w:rPr>
                <w:rFonts w:cs="Calibri"/>
                <w:sz w:val="18"/>
                <w:szCs w:val="18"/>
              </w:rPr>
              <w:t>2.1 Landscapes in</w:t>
            </w:r>
            <w:r>
              <w:rPr>
                <w:rFonts w:cs="Calibri"/>
                <w:sz w:val="18"/>
                <w:szCs w:val="18"/>
              </w:rPr>
              <w:t xml:space="preserve"> southern Angola</w:t>
            </w:r>
            <w:r w:rsidRPr="00436B29">
              <w:rPr>
                <w:rFonts w:cs="Calibri"/>
                <w:sz w:val="18"/>
                <w:szCs w:val="18"/>
              </w:rPr>
              <w:t xml:space="preserve"> under </w:t>
            </w:r>
            <w:r>
              <w:rPr>
                <w:rFonts w:cs="Calibri"/>
                <w:sz w:val="18"/>
                <w:szCs w:val="18"/>
              </w:rPr>
              <w:t>I</w:t>
            </w:r>
            <w:r w:rsidRPr="00436B29">
              <w:rPr>
                <w:rFonts w:cs="Calibri"/>
                <w:sz w:val="18"/>
                <w:szCs w:val="18"/>
              </w:rPr>
              <w:t xml:space="preserve">ntegrated </w:t>
            </w:r>
            <w:r>
              <w:rPr>
                <w:rFonts w:cs="Calibri"/>
                <w:sz w:val="18"/>
                <w:szCs w:val="18"/>
              </w:rPr>
              <w:t>L</w:t>
            </w:r>
            <w:r w:rsidRPr="00436B29">
              <w:rPr>
                <w:rFonts w:cs="Calibri"/>
                <w:sz w:val="18"/>
                <w:szCs w:val="18"/>
              </w:rPr>
              <w:t>and-</w:t>
            </w:r>
            <w:r>
              <w:rPr>
                <w:rFonts w:cs="Calibri"/>
                <w:sz w:val="18"/>
                <w:szCs w:val="18"/>
              </w:rPr>
              <w:t>U</w:t>
            </w:r>
            <w:r w:rsidRPr="00436B29">
              <w:rPr>
                <w:rFonts w:cs="Calibri"/>
                <w:sz w:val="18"/>
                <w:szCs w:val="18"/>
              </w:rPr>
              <w:t xml:space="preserve">se </w:t>
            </w:r>
            <w:r>
              <w:rPr>
                <w:rFonts w:cs="Calibri"/>
                <w:sz w:val="18"/>
                <w:szCs w:val="18"/>
              </w:rPr>
              <w:t>P</w:t>
            </w:r>
            <w:r w:rsidRPr="00436B29">
              <w:rPr>
                <w:rFonts w:cs="Calibri"/>
                <w:sz w:val="18"/>
                <w:szCs w:val="18"/>
              </w:rPr>
              <w:t xml:space="preserve">lanning </w:t>
            </w:r>
            <w:r>
              <w:rPr>
                <w:rFonts w:cs="Calibri"/>
                <w:sz w:val="18"/>
                <w:szCs w:val="18"/>
              </w:rPr>
              <w:t>(ILUP)</w:t>
            </w:r>
            <w:r w:rsidRPr="00436B29">
              <w:rPr>
                <w:rFonts w:cs="Calibri"/>
                <w:sz w:val="18"/>
                <w:szCs w:val="18"/>
              </w:rPr>
              <w:t xml:space="preserve"> for LDN</w:t>
            </w:r>
          </w:p>
        </w:tc>
        <w:tc>
          <w:tcPr>
            <w:tcW w:w="3615" w:type="dxa"/>
            <w:shd w:val="clear" w:color="auto" w:fill="FFFFFF" w:themeFill="background1"/>
            <w:tcMar>
              <w:left w:w="57" w:type="dxa"/>
              <w:right w:w="28" w:type="dxa"/>
            </w:tcMar>
          </w:tcPr>
          <w:p w14:paraId="4BCA2715" w14:textId="77777777" w:rsidR="00836C18" w:rsidRPr="00436B29" w:rsidRDefault="00836C18" w:rsidP="00436B29">
            <w:pPr>
              <w:spacing w:after="80"/>
              <w:rPr>
                <w:rFonts w:cs="Calibri"/>
                <w:sz w:val="18"/>
                <w:szCs w:val="18"/>
              </w:rPr>
            </w:pPr>
            <w:r w:rsidRPr="00436B29">
              <w:rPr>
                <w:rFonts w:cs="Calibri"/>
                <w:sz w:val="18"/>
                <w:szCs w:val="18"/>
              </w:rPr>
              <w:t>2.1.1</w:t>
            </w:r>
            <w:r w:rsidRPr="00436B29">
              <w:rPr>
                <w:rFonts w:cs="Calibri"/>
                <w:b/>
                <w:bCs/>
                <w:sz w:val="18"/>
                <w:szCs w:val="18"/>
              </w:rPr>
              <w:t xml:space="preserve"> </w:t>
            </w:r>
            <w:r w:rsidRPr="00436B29">
              <w:rPr>
                <w:rFonts w:cs="Calibri"/>
                <w:sz w:val="18"/>
                <w:szCs w:val="18"/>
              </w:rPr>
              <w:t>Land Management Units and respective interventions selected, landscape assessments expanded and deepened using ILAM,</w:t>
            </w:r>
            <w:r w:rsidRPr="00436B29" w:rsidDel="00E52134">
              <w:rPr>
                <w:rFonts w:cs="Calibri"/>
                <w:sz w:val="18"/>
                <w:szCs w:val="18"/>
              </w:rPr>
              <w:t xml:space="preserve"> </w:t>
            </w:r>
            <w:r w:rsidRPr="00436B29">
              <w:rPr>
                <w:rFonts w:cs="Calibri"/>
                <w:sz w:val="18"/>
                <w:szCs w:val="18"/>
              </w:rPr>
              <w:t>and LDN balance sheet prepared</w:t>
            </w:r>
          </w:p>
          <w:p w14:paraId="254A3363" w14:textId="77777777" w:rsidR="00836C18" w:rsidRPr="00436B29" w:rsidRDefault="00836C18" w:rsidP="00F9038E">
            <w:pPr>
              <w:spacing w:after="80"/>
              <w:rPr>
                <w:rFonts w:cs="Calibri"/>
                <w:sz w:val="18"/>
                <w:szCs w:val="18"/>
              </w:rPr>
            </w:pPr>
            <w:r w:rsidRPr="00436B29">
              <w:rPr>
                <w:rFonts w:cs="Calibri"/>
                <w:sz w:val="18"/>
                <w:szCs w:val="18"/>
              </w:rPr>
              <w:t>2.1.2 Integrated Land-Use Plans developed for LMUs in each target landscape, based on consultation processes and mechanisms outlined in respective Stakeholder Engagement Plans</w:t>
            </w:r>
          </w:p>
          <w:p w14:paraId="2AA21FE1" w14:textId="77777777" w:rsidR="00836C18" w:rsidRPr="00F9038E" w:rsidRDefault="00836C18" w:rsidP="00F9038E">
            <w:pPr>
              <w:spacing w:after="80"/>
              <w:rPr>
                <w:rFonts w:cs="Calibri"/>
                <w:sz w:val="18"/>
                <w:szCs w:val="18"/>
              </w:rPr>
            </w:pPr>
            <w:r w:rsidRPr="00436B29">
              <w:rPr>
                <w:rFonts w:cs="Calibri"/>
                <w:sz w:val="18"/>
                <w:szCs w:val="18"/>
              </w:rPr>
              <w:t>2.1.3 Integrated Land-Use Plans under implementation in target landscapes</w:t>
            </w:r>
          </w:p>
          <w:p w14:paraId="28ADB615" w14:textId="77777777" w:rsidR="00836C18" w:rsidRPr="00436B29" w:rsidRDefault="00836C18" w:rsidP="00F9038E">
            <w:pPr>
              <w:rPr>
                <w:rFonts w:cs="Calibri"/>
                <w:sz w:val="18"/>
                <w:szCs w:val="18"/>
              </w:rPr>
            </w:pPr>
            <w:r w:rsidRPr="00436B29">
              <w:rPr>
                <w:rFonts w:cs="Calibri"/>
                <w:sz w:val="18"/>
                <w:szCs w:val="18"/>
              </w:rPr>
              <w:t>2.1.4 Capacity Development Program on integrated land-use planning, management and investment designed and delivered</w:t>
            </w:r>
          </w:p>
        </w:tc>
        <w:tc>
          <w:tcPr>
            <w:tcW w:w="720" w:type="dxa"/>
            <w:vMerge w:val="restart"/>
            <w:shd w:val="clear" w:color="auto" w:fill="FFFFFF" w:themeFill="background1"/>
            <w:tcMar>
              <w:left w:w="57" w:type="dxa"/>
              <w:right w:w="28" w:type="dxa"/>
            </w:tcMar>
          </w:tcPr>
          <w:p w14:paraId="6892EBE8" w14:textId="77777777" w:rsidR="00836C18" w:rsidRPr="0097048E" w:rsidRDefault="00836C18" w:rsidP="00436B29">
            <w:pPr>
              <w:rPr>
                <w:rFonts w:cs="Calibri"/>
                <w:color w:val="000000" w:themeColor="text1"/>
                <w:sz w:val="18"/>
                <w:szCs w:val="18"/>
              </w:rPr>
            </w:pPr>
            <w:r w:rsidRPr="0097048E">
              <w:rPr>
                <w:rFonts w:cs="Calibri"/>
                <w:color w:val="000000" w:themeColor="text1"/>
                <w:sz w:val="18"/>
                <w:szCs w:val="18"/>
              </w:rPr>
              <w:t>GEF TF</w:t>
            </w:r>
          </w:p>
          <w:p w14:paraId="2B2F1813" w14:textId="26858C95" w:rsidR="00836C18" w:rsidRPr="0097048E" w:rsidRDefault="00836C18" w:rsidP="00436B29">
            <w:pPr>
              <w:rPr>
                <w:rFonts w:cs="Calibri"/>
                <w:color w:val="000000" w:themeColor="text1"/>
                <w:sz w:val="18"/>
                <w:szCs w:val="18"/>
              </w:rPr>
            </w:pPr>
          </w:p>
        </w:tc>
        <w:tc>
          <w:tcPr>
            <w:tcW w:w="884" w:type="dxa"/>
            <w:vMerge w:val="restart"/>
            <w:shd w:val="clear" w:color="auto" w:fill="FFFFFF" w:themeFill="background1"/>
            <w:tcMar>
              <w:left w:w="57" w:type="dxa"/>
              <w:right w:w="28" w:type="dxa"/>
            </w:tcMar>
          </w:tcPr>
          <w:p w14:paraId="48BB5F94" w14:textId="1DC69152" w:rsidR="00836C18" w:rsidRPr="0097048E" w:rsidRDefault="49BEC562" w:rsidP="00436B29">
            <w:pPr>
              <w:rPr>
                <w:rFonts w:cs="Calibri"/>
                <w:color w:val="000000" w:themeColor="text1"/>
                <w:sz w:val="18"/>
                <w:szCs w:val="18"/>
                <w:highlight w:val="yellow"/>
              </w:rPr>
            </w:pPr>
            <w:r w:rsidRPr="7F4D7136">
              <w:rPr>
                <w:rFonts w:cs="Calibri"/>
                <w:color w:val="000000" w:themeColor="text1"/>
                <w:sz w:val="18"/>
                <w:szCs w:val="18"/>
                <w:highlight w:val="yellow"/>
              </w:rPr>
              <w:t>3,2</w:t>
            </w:r>
            <w:r w:rsidR="20FEBF43" w:rsidRPr="7F4D7136">
              <w:rPr>
                <w:rFonts w:cs="Calibri"/>
                <w:color w:val="000000" w:themeColor="text1"/>
                <w:sz w:val="18"/>
                <w:szCs w:val="18"/>
                <w:highlight w:val="yellow"/>
              </w:rPr>
              <w:t>38</w:t>
            </w:r>
            <w:r w:rsidRPr="7F4D7136">
              <w:rPr>
                <w:rFonts w:cs="Calibri"/>
                <w:color w:val="000000" w:themeColor="text1"/>
                <w:sz w:val="18"/>
                <w:szCs w:val="18"/>
                <w:highlight w:val="yellow"/>
              </w:rPr>
              <w:t>,</w:t>
            </w:r>
            <w:r w:rsidR="6B88523F" w:rsidRPr="7F4D7136">
              <w:rPr>
                <w:rFonts w:cs="Calibri"/>
                <w:color w:val="000000" w:themeColor="text1"/>
                <w:sz w:val="18"/>
                <w:szCs w:val="18"/>
                <w:highlight w:val="yellow"/>
              </w:rPr>
              <w:t>533</w:t>
            </w:r>
          </w:p>
        </w:tc>
        <w:tc>
          <w:tcPr>
            <w:tcW w:w="929" w:type="dxa"/>
            <w:vMerge w:val="restart"/>
            <w:shd w:val="clear" w:color="auto" w:fill="FFFFFF" w:themeFill="background1"/>
            <w:tcMar>
              <w:left w:w="57" w:type="dxa"/>
              <w:right w:w="28" w:type="dxa"/>
            </w:tcMar>
          </w:tcPr>
          <w:p w14:paraId="3C465029" w14:textId="58D755CE" w:rsidR="00836C18" w:rsidRPr="0097048E" w:rsidRDefault="7EC747C8" w:rsidP="00FB507E">
            <w:pPr>
              <w:spacing w:line="259" w:lineRule="auto"/>
              <w:rPr>
                <w:color w:val="000000" w:themeColor="text1"/>
                <w:sz w:val="18"/>
                <w:szCs w:val="18"/>
              </w:rPr>
            </w:pPr>
            <w:r w:rsidRPr="00E7539B">
              <w:rPr>
                <w:rFonts w:cs="Calibri"/>
                <w:color w:val="000000" w:themeColor="text1"/>
                <w:sz w:val="18"/>
                <w:szCs w:val="18"/>
                <w:highlight w:val="yellow"/>
              </w:rPr>
              <w:t>17,760,000</w:t>
            </w:r>
          </w:p>
          <w:p w14:paraId="574E7FF7" w14:textId="245D714F" w:rsidR="00836C18" w:rsidRPr="0097048E" w:rsidRDefault="00836C18" w:rsidP="1388C8A3">
            <w:pPr>
              <w:spacing w:line="259" w:lineRule="auto"/>
              <w:rPr>
                <w:color w:val="000000" w:themeColor="text1"/>
                <w:sz w:val="18"/>
                <w:szCs w:val="18"/>
              </w:rPr>
            </w:pPr>
          </w:p>
        </w:tc>
      </w:tr>
      <w:tr w:rsidR="00DA42EB" w:rsidRPr="0097048E" w14:paraId="65A86AD4" w14:textId="77777777" w:rsidTr="7F4D7136">
        <w:tc>
          <w:tcPr>
            <w:tcW w:w="1264" w:type="dxa"/>
            <w:vMerge/>
            <w:tcMar>
              <w:left w:w="57" w:type="dxa"/>
              <w:right w:w="28" w:type="dxa"/>
            </w:tcMar>
          </w:tcPr>
          <w:p w14:paraId="246A131A" w14:textId="77777777" w:rsidR="00836C18" w:rsidRPr="00436B29" w:rsidRDefault="00836C18" w:rsidP="00436B29">
            <w:pPr>
              <w:rPr>
                <w:rFonts w:cs="Calibri"/>
                <w:sz w:val="18"/>
                <w:szCs w:val="18"/>
              </w:rPr>
            </w:pPr>
          </w:p>
        </w:tc>
        <w:tc>
          <w:tcPr>
            <w:tcW w:w="421" w:type="dxa"/>
            <w:shd w:val="clear" w:color="auto" w:fill="FFFFFF" w:themeFill="background1"/>
            <w:tcMar>
              <w:left w:w="57" w:type="dxa"/>
              <w:right w:w="28" w:type="dxa"/>
            </w:tcMar>
          </w:tcPr>
          <w:p w14:paraId="146B8BEA" w14:textId="77777777" w:rsidR="00836C18" w:rsidRPr="00436B29" w:rsidRDefault="00836C18" w:rsidP="00436B29">
            <w:pPr>
              <w:rPr>
                <w:rFonts w:cs="Calibri"/>
                <w:sz w:val="18"/>
                <w:szCs w:val="18"/>
              </w:rPr>
            </w:pPr>
            <w:r w:rsidRPr="00436B29">
              <w:rPr>
                <w:rFonts w:cs="Calibri"/>
                <w:sz w:val="18"/>
                <w:szCs w:val="18"/>
              </w:rPr>
              <w:t>TA</w:t>
            </w:r>
          </w:p>
        </w:tc>
        <w:tc>
          <w:tcPr>
            <w:tcW w:w="1517" w:type="dxa"/>
            <w:shd w:val="clear" w:color="auto" w:fill="FFFFFF" w:themeFill="background1"/>
            <w:tcMar>
              <w:left w:w="57" w:type="dxa"/>
              <w:right w:w="28" w:type="dxa"/>
            </w:tcMar>
          </w:tcPr>
          <w:p w14:paraId="7CE33DB6" w14:textId="77777777" w:rsidR="00836C18" w:rsidRPr="00436B29" w:rsidRDefault="00836C18" w:rsidP="00436B29">
            <w:pPr>
              <w:rPr>
                <w:rFonts w:cs="Calibri"/>
                <w:sz w:val="18"/>
                <w:szCs w:val="18"/>
              </w:rPr>
            </w:pPr>
            <w:r w:rsidRPr="00436B29">
              <w:rPr>
                <w:rFonts w:cs="Calibri"/>
                <w:sz w:val="18"/>
                <w:szCs w:val="18"/>
              </w:rPr>
              <w:t xml:space="preserve">2.2  Landscape management enhanced by innovative, gender-sensitive investments in land user production capacity and resilience </w:t>
            </w:r>
          </w:p>
        </w:tc>
        <w:tc>
          <w:tcPr>
            <w:tcW w:w="3615" w:type="dxa"/>
            <w:shd w:val="clear" w:color="auto" w:fill="FFFFFF" w:themeFill="background1"/>
            <w:tcMar>
              <w:left w:w="57" w:type="dxa"/>
              <w:right w:w="28" w:type="dxa"/>
            </w:tcMar>
          </w:tcPr>
          <w:p w14:paraId="34C367AE" w14:textId="77777777" w:rsidR="00836C18" w:rsidRPr="00436B29" w:rsidRDefault="00836C18" w:rsidP="00F9038E">
            <w:pPr>
              <w:spacing w:after="80"/>
              <w:rPr>
                <w:rFonts w:cs="Calibri"/>
                <w:sz w:val="18"/>
                <w:szCs w:val="18"/>
              </w:rPr>
            </w:pPr>
            <w:r w:rsidRPr="00436B29">
              <w:rPr>
                <w:rFonts w:cs="Calibri"/>
                <w:sz w:val="18"/>
                <w:szCs w:val="18"/>
              </w:rPr>
              <w:t>2.2.1 Gender sensitive SLM/SFM practices  identified/developed and promoted in target landscapes, and further enhanced by strengthening Farmer/Agro-Pastoral Field Schools network</w:t>
            </w:r>
          </w:p>
          <w:p w14:paraId="476D3BBA" w14:textId="77777777" w:rsidR="00836C18" w:rsidRPr="00436B29" w:rsidRDefault="00836C18" w:rsidP="00F9038E">
            <w:pPr>
              <w:rPr>
                <w:rFonts w:cs="Calibri"/>
                <w:sz w:val="18"/>
                <w:szCs w:val="18"/>
              </w:rPr>
            </w:pPr>
            <w:r w:rsidRPr="00436B29">
              <w:rPr>
                <w:rFonts w:cs="Calibri"/>
                <w:sz w:val="18"/>
                <w:szCs w:val="18"/>
              </w:rPr>
              <w:t>2.2.2 Land users’ resilience and production capacity enhanced by Forest-Farm Facility investments in communal assets</w:t>
            </w:r>
          </w:p>
        </w:tc>
        <w:tc>
          <w:tcPr>
            <w:tcW w:w="720" w:type="dxa"/>
            <w:vMerge/>
            <w:tcMar>
              <w:left w:w="57" w:type="dxa"/>
              <w:right w:w="28" w:type="dxa"/>
            </w:tcMar>
          </w:tcPr>
          <w:p w14:paraId="44992D48" w14:textId="1AF5D121" w:rsidR="00836C18" w:rsidRPr="0097048E" w:rsidRDefault="00836C18" w:rsidP="00436B29">
            <w:pPr>
              <w:rPr>
                <w:rFonts w:cs="Calibri"/>
                <w:color w:val="000000" w:themeColor="text1"/>
                <w:sz w:val="18"/>
                <w:szCs w:val="18"/>
              </w:rPr>
            </w:pPr>
          </w:p>
        </w:tc>
        <w:tc>
          <w:tcPr>
            <w:tcW w:w="884" w:type="dxa"/>
            <w:vMerge/>
            <w:tcMar>
              <w:left w:w="57" w:type="dxa"/>
              <w:right w:w="28" w:type="dxa"/>
            </w:tcMar>
          </w:tcPr>
          <w:p w14:paraId="436AED69" w14:textId="201E03FA" w:rsidR="00836C18" w:rsidRPr="0097048E" w:rsidRDefault="00836C18" w:rsidP="00436B29">
            <w:pPr>
              <w:rPr>
                <w:rFonts w:cs="Calibri"/>
                <w:color w:val="000000" w:themeColor="text1"/>
                <w:sz w:val="18"/>
                <w:szCs w:val="18"/>
                <w:highlight w:val="yellow"/>
              </w:rPr>
            </w:pPr>
          </w:p>
        </w:tc>
        <w:tc>
          <w:tcPr>
            <w:tcW w:w="929" w:type="dxa"/>
            <w:vMerge/>
            <w:tcMar>
              <w:left w:w="57" w:type="dxa"/>
              <w:right w:w="28" w:type="dxa"/>
            </w:tcMar>
          </w:tcPr>
          <w:p w14:paraId="7822AF35" w14:textId="428FC5C5" w:rsidR="00836C18" w:rsidRPr="0097048E" w:rsidRDefault="00836C18" w:rsidP="00436B29">
            <w:pPr>
              <w:rPr>
                <w:rFonts w:cs="Calibri"/>
                <w:color w:val="000000" w:themeColor="text1"/>
                <w:sz w:val="18"/>
                <w:szCs w:val="18"/>
                <w:highlight w:val="magenta"/>
              </w:rPr>
            </w:pPr>
          </w:p>
        </w:tc>
      </w:tr>
      <w:tr w:rsidR="00DA42EB" w:rsidRPr="0097048E" w14:paraId="269014E2" w14:textId="77777777" w:rsidTr="7F4D7136">
        <w:tc>
          <w:tcPr>
            <w:tcW w:w="1264" w:type="dxa"/>
            <w:vMerge/>
            <w:tcMar>
              <w:left w:w="57" w:type="dxa"/>
              <w:right w:w="28" w:type="dxa"/>
            </w:tcMar>
          </w:tcPr>
          <w:p w14:paraId="09173A7C" w14:textId="77777777" w:rsidR="00836C18" w:rsidRPr="00436B29" w:rsidRDefault="00836C18" w:rsidP="00436B29">
            <w:pPr>
              <w:rPr>
                <w:rFonts w:cs="Calibri"/>
                <w:sz w:val="18"/>
                <w:szCs w:val="18"/>
              </w:rPr>
            </w:pPr>
          </w:p>
        </w:tc>
        <w:tc>
          <w:tcPr>
            <w:tcW w:w="421" w:type="dxa"/>
            <w:shd w:val="clear" w:color="auto" w:fill="FFFFFF" w:themeFill="background1"/>
            <w:tcMar>
              <w:left w:w="57" w:type="dxa"/>
              <w:right w:w="28" w:type="dxa"/>
            </w:tcMar>
          </w:tcPr>
          <w:p w14:paraId="5B2B5700" w14:textId="77777777" w:rsidR="00836C18" w:rsidRPr="00436B29" w:rsidRDefault="00836C18" w:rsidP="00436B29">
            <w:pPr>
              <w:rPr>
                <w:rFonts w:cs="Calibri"/>
                <w:sz w:val="18"/>
                <w:szCs w:val="18"/>
              </w:rPr>
            </w:pPr>
            <w:r w:rsidRPr="00436B29">
              <w:rPr>
                <w:rFonts w:cs="Calibri"/>
                <w:sz w:val="18"/>
                <w:szCs w:val="18"/>
              </w:rPr>
              <w:t>Inv</w:t>
            </w:r>
          </w:p>
        </w:tc>
        <w:tc>
          <w:tcPr>
            <w:tcW w:w="1517" w:type="dxa"/>
            <w:shd w:val="clear" w:color="auto" w:fill="FFFFFF" w:themeFill="background1"/>
            <w:tcMar>
              <w:left w:w="57" w:type="dxa"/>
              <w:right w:w="28" w:type="dxa"/>
            </w:tcMar>
          </w:tcPr>
          <w:p w14:paraId="28B57E6E" w14:textId="77777777" w:rsidR="00836C18" w:rsidRPr="00436B29" w:rsidRDefault="00836C18" w:rsidP="00436B29">
            <w:pPr>
              <w:rPr>
                <w:rFonts w:cs="Calibri"/>
                <w:sz w:val="18"/>
                <w:szCs w:val="18"/>
              </w:rPr>
            </w:pPr>
            <w:r w:rsidRPr="00436B29">
              <w:rPr>
                <w:rFonts w:cs="Calibri"/>
                <w:sz w:val="18"/>
                <w:szCs w:val="18"/>
              </w:rPr>
              <w:t>2.3 Sustainable harvesting of dryland products from target landscapes enhanced by green value chains</w:t>
            </w:r>
          </w:p>
        </w:tc>
        <w:tc>
          <w:tcPr>
            <w:tcW w:w="3615" w:type="dxa"/>
            <w:shd w:val="clear" w:color="auto" w:fill="FFFFFF" w:themeFill="background1"/>
            <w:tcMar>
              <w:left w:w="57" w:type="dxa"/>
              <w:right w:w="28" w:type="dxa"/>
            </w:tcMar>
          </w:tcPr>
          <w:p w14:paraId="55C01D39" w14:textId="2ED8CDDA" w:rsidR="00836C18" w:rsidRPr="00436B29" w:rsidRDefault="00836C18" w:rsidP="00F9038E">
            <w:pPr>
              <w:spacing w:after="80"/>
              <w:rPr>
                <w:rFonts w:cs="Calibri"/>
                <w:sz w:val="18"/>
                <w:szCs w:val="18"/>
              </w:rPr>
            </w:pPr>
            <w:r w:rsidRPr="00436B29">
              <w:rPr>
                <w:rFonts w:cs="Calibri"/>
                <w:sz w:val="18"/>
                <w:szCs w:val="18"/>
              </w:rPr>
              <w:t>2.3.1 Drylands Green Value Chain Strategy developed for</w:t>
            </w:r>
            <w:r>
              <w:rPr>
                <w:rFonts w:cs="Calibri"/>
                <w:sz w:val="18"/>
                <w:szCs w:val="18"/>
              </w:rPr>
              <w:t xml:space="preserve"> southern Angola</w:t>
            </w:r>
          </w:p>
          <w:p w14:paraId="7B46C7B1" w14:textId="6E5A2B88" w:rsidR="00836C18" w:rsidRDefault="00836C18" w:rsidP="00F9038E">
            <w:pPr>
              <w:rPr>
                <w:rFonts w:cs="Calibri"/>
                <w:sz w:val="18"/>
                <w:szCs w:val="18"/>
              </w:rPr>
            </w:pPr>
            <w:r w:rsidRPr="00436B29">
              <w:rPr>
                <w:rFonts w:cs="Calibri"/>
                <w:sz w:val="18"/>
                <w:szCs w:val="18"/>
              </w:rPr>
              <w:t xml:space="preserve">2.3.2 </w:t>
            </w:r>
            <w:r w:rsidR="00013221" w:rsidRPr="00013221">
              <w:rPr>
                <w:rFonts w:cs="Calibri"/>
                <w:sz w:val="18"/>
                <w:szCs w:val="18"/>
              </w:rPr>
              <w:t>The Green Value Chain strategy implemented for selected Value chains</w:t>
            </w:r>
            <w:r w:rsidRPr="00436B29">
              <w:rPr>
                <w:rFonts w:cs="Calibri"/>
                <w:sz w:val="18"/>
                <w:szCs w:val="18"/>
              </w:rPr>
              <w:t xml:space="preserve"> </w:t>
            </w:r>
          </w:p>
          <w:p w14:paraId="462DF6B0" w14:textId="4656C6DD" w:rsidR="00840998" w:rsidRPr="00436B29" w:rsidRDefault="00840998" w:rsidP="00F9038E">
            <w:pPr>
              <w:rPr>
                <w:rFonts w:cs="Calibri"/>
                <w:sz w:val="18"/>
                <w:szCs w:val="18"/>
              </w:rPr>
            </w:pPr>
            <w:r w:rsidRPr="00840998">
              <w:rPr>
                <w:rFonts w:cs="Calibri"/>
                <w:sz w:val="18"/>
                <w:szCs w:val="18"/>
              </w:rPr>
              <w:t>2.3.3. Youth and women led enterprises and value addition supported through FBS within FFS and FFF</w:t>
            </w:r>
          </w:p>
        </w:tc>
        <w:tc>
          <w:tcPr>
            <w:tcW w:w="720" w:type="dxa"/>
            <w:vMerge/>
            <w:tcMar>
              <w:left w:w="57" w:type="dxa"/>
              <w:right w:w="28" w:type="dxa"/>
            </w:tcMar>
          </w:tcPr>
          <w:p w14:paraId="6C5D95C0" w14:textId="3393E07F" w:rsidR="00836C18" w:rsidRPr="0097048E" w:rsidRDefault="00836C18" w:rsidP="00436B29">
            <w:pPr>
              <w:rPr>
                <w:rFonts w:cs="Calibri"/>
                <w:color w:val="000000" w:themeColor="text1"/>
                <w:sz w:val="18"/>
                <w:szCs w:val="18"/>
              </w:rPr>
            </w:pPr>
          </w:p>
        </w:tc>
        <w:tc>
          <w:tcPr>
            <w:tcW w:w="884" w:type="dxa"/>
            <w:vMerge/>
            <w:tcMar>
              <w:left w:w="57" w:type="dxa"/>
              <w:right w:w="28" w:type="dxa"/>
            </w:tcMar>
          </w:tcPr>
          <w:p w14:paraId="5D46E275" w14:textId="337CA71A" w:rsidR="00836C18" w:rsidRPr="0097048E" w:rsidRDefault="00836C18" w:rsidP="00436B29">
            <w:pPr>
              <w:rPr>
                <w:rFonts w:cs="Calibri"/>
                <w:color w:val="000000" w:themeColor="text1"/>
                <w:sz w:val="18"/>
                <w:szCs w:val="18"/>
                <w:highlight w:val="yellow"/>
              </w:rPr>
            </w:pPr>
          </w:p>
        </w:tc>
        <w:tc>
          <w:tcPr>
            <w:tcW w:w="929" w:type="dxa"/>
            <w:vMerge/>
            <w:tcMar>
              <w:left w:w="57" w:type="dxa"/>
              <w:right w:w="28" w:type="dxa"/>
            </w:tcMar>
          </w:tcPr>
          <w:p w14:paraId="036A7827" w14:textId="7FAB0E8C" w:rsidR="00836C18" w:rsidRPr="0097048E" w:rsidRDefault="00836C18" w:rsidP="00436B29">
            <w:pPr>
              <w:rPr>
                <w:rFonts w:cs="Calibri"/>
                <w:color w:val="000000" w:themeColor="text1"/>
                <w:sz w:val="18"/>
                <w:szCs w:val="18"/>
                <w:highlight w:val="magenta"/>
              </w:rPr>
            </w:pPr>
          </w:p>
        </w:tc>
      </w:tr>
      <w:tr w:rsidR="00871AA1" w:rsidRPr="0097048E" w14:paraId="779F4230" w14:textId="77777777" w:rsidTr="7F4D7136">
        <w:tc>
          <w:tcPr>
            <w:tcW w:w="1264" w:type="dxa"/>
            <w:vMerge w:val="restart"/>
            <w:shd w:val="clear" w:color="auto" w:fill="FFFFFF" w:themeFill="background1"/>
            <w:tcMar>
              <w:left w:w="57" w:type="dxa"/>
              <w:right w:w="28" w:type="dxa"/>
            </w:tcMar>
          </w:tcPr>
          <w:p w14:paraId="007DFC18" w14:textId="03B7CED5" w:rsidR="00710FAD" w:rsidRPr="0031672B" w:rsidRDefault="00710FAD" w:rsidP="00436B29">
            <w:pPr>
              <w:rPr>
                <w:rFonts w:cs="Calibri"/>
                <w:sz w:val="18"/>
                <w:szCs w:val="18"/>
              </w:rPr>
            </w:pPr>
            <w:r w:rsidRPr="0031672B">
              <w:rPr>
                <w:rFonts w:cs="Calibri"/>
                <w:sz w:val="18"/>
                <w:szCs w:val="18"/>
              </w:rPr>
              <w:t>3.</w:t>
            </w:r>
            <w:r w:rsidRPr="0031672B">
              <w:rPr>
                <w:sz w:val="18"/>
                <w:szCs w:val="18"/>
              </w:rPr>
              <w:t>Strengthening knowledge, learning and collaboration to support progress towards achieving national LDN targets</w:t>
            </w:r>
          </w:p>
        </w:tc>
        <w:tc>
          <w:tcPr>
            <w:tcW w:w="421" w:type="dxa"/>
            <w:shd w:val="clear" w:color="auto" w:fill="FFFFFF" w:themeFill="background1"/>
            <w:tcMar>
              <w:left w:w="57" w:type="dxa"/>
              <w:right w:w="28" w:type="dxa"/>
            </w:tcMar>
          </w:tcPr>
          <w:p w14:paraId="7C3CDDF6" w14:textId="7AEC4C89" w:rsidR="00710FAD" w:rsidRPr="0031672B" w:rsidRDefault="00710FAD" w:rsidP="00436B29">
            <w:pPr>
              <w:rPr>
                <w:rFonts w:cs="Calibri"/>
                <w:sz w:val="18"/>
                <w:szCs w:val="18"/>
              </w:rPr>
            </w:pPr>
            <w:r w:rsidRPr="0031672B">
              <w:rPr>
                <w:rFonts w:cs="Calibri"/>
                <w:sz w:val="18"/>
                <w:szCs w:val="18"/>
              </w:rPr>
              <w:t>TA</w:t>
            </w:r>
          </w:p>
        </w:tc>
        <w:tc>
          <w:tcPr>
            <w:tcW w:w="1517" w:type="dxa"/>
            <w:shd w:val="clear" w:color="auto" w:fill="FFFFFF" w:themeFill="background1"/>
            <w:tcMar>
              <w:left w:w="57" w:type="dxa"/>
              <w:right w:w="28" w:type="dxa"/>
            </w:tcMar>
          </w:tcPr>
          <w:p w14:paraId="461C1DE1" w14:textId="1BF72DD8" w:rsidR="00710FAD" w:rsidRPr="0031672B" w:rsidRDefault="00710FAD" w:rsidP="00436B29">
            <w:pPr>
              <w:rPr>
                <w:rFonts w:cs="Calibri"/>
                <w:sz w:val="18"/>
                <w:szCs w:val="18"/>
              </w:rPr>
            </w:pPr>
            <w:r w:rsidRPr="0031672B">
              <w:rPr>
                <w:rFonts w:cs="Calibri"/>
                <w:sz w:val="18"/>
                <w:szCs w:val="18"/>
              </w:rPr>
              <w:t xml:space="preserve">3.1 </w:t>
            </w:r>
            <w:r w:rsidRPr="009A106D">
              <w:rPr>
                <w:color w:val="444444"/>
                <w:sz w:val="18"/>
                <w:szCs w:val="18"/>
              </w:rPr>
              <w:t>National land information framework strengthened to inform LDN-related policy, planning and management at national and global levels</w:t>
            </w:r>
          </w:p>
        </w:tc>
        <w:tc>
          <w:tcPr>
            <w:tcW w:w="3615" w:type="dxa"/>
            <w:shd w:val="clear" w:color="auto" w:fill="FFFFFF" w:themeFill="background1"/>
            <w:tcMar>
              <w:left w:w="57" w:type="dxa"/>
              <w:right w:w="28" w:type="dxa"/>
            </w:tcMar>
          </w:tcPr>
          <w:p w14:paraId="3FB31B54" w14:textId="2A42A5BB" w:rsidR="00710FAD" w:rsidRPr="0031672B" w:rsidRDefault="00710FAD" w:rsidP="00F9038E">
            <w:pPr>
              <w:spacing w:after="80"/>
              <w:rPr>
                <w:rFonts w:cs="Calibri"/>
                <w:sz w:val="18"/>
                <w:szCs w:val="18"/>
              </w:rPr>
            </w:pPr>
            <w:r w:rsidRPr="0031672B">
              <w:rPr>
                <w:rFonts w:cs="Calibri"/>
                <w:sz w:val="18"/>
                <w:szCs w:val="18"/>
              </w:rPr>
              <w:t xml:space="preserve">3.1.1 </w:t>
            </w:r>
            <w:r w:rsidRPr="00F9038E">
              <w:rPr>
                <w:rFonts w:cs="Calibri"/>
                <w:sz w:val="18"/>
                <w:szCs w:val="18"/>
              </w:rPr>
              <w:t>National and sub-national LDN assessment, monitoring and reporting systems and tools, including LDN knowledge platform developed and operational, with relevant reporting to global level</w:t>
            </w:r>
          </w:p>
          <w:p w14:paraId="1B3FD1FC" w14:textId="6A9E9CAA" w:rsidR="00710FAD" w:rsidRPr="0031672B" w:rsidRDefault="00710FAD" w:rsidP="00F9038E">
            <w:pPr>
              <w:rPr>
                <w:rFonts w:cs="Calibri"/>
                <w:sz w:val="18"/>
                <w:szCs w:val="18"/>
              </w:rPr>
            </w:pPr>
            <w:r w:rsidRPr="0031672B">
              <w:rPr>
                <w:rFonts w:cs="Calibri"/>
                <w:sz w:val="18"/>
                <w:szCs w:val="18"/>
              </w:rPr>
              <w:t xml:space="preserve">3.1.2 </w:t>
            </w:r>
            <w:r w:rsidRPr="00F9038E">
              <w:rPr>
                <w:rFonts w:cs="Calibri"/>
                <w:sz w:val="18"/>
                <w:szCs w:val="18"/>
              </w:rPr>
              <w:t xml:space="preserve">Capacity development for key stakeholder individuals and institutions at national and sub-national levels on: (i) LDN approaches that support integration of LDN targets into multi-sector policy, planning and management; and </w:t>
            </w:r>
            <w:r w:rsidRPr="00F9038E">
              <w:rPr>
                <w:rFonts w:cs="Calibri"/>
                <w:sz w:val="18"/>
                <w:szCs w:val="18"/>
              </w:rPr>
              <w:lastRenderedPageBreak/>
              <w:t>(ii) assessment, monitoring and analysis tools to support national LDN reporting, designed and delivered.</w:t>
            </w:r>
          </w:p>
        </w:tc>
        <w:tc>
          <w:tcPr>
            <w:tcW w:w="720" w:type="dxa"/>
            <w:vMerge w:val="restart"/>
            <w:shd w:val="clear" w:color="auto" w:fill="FFFFFF" w:themeFill="background1"/>
            <w:tcMar>
              <w:left w:w="57" w:type="dxa"/>
              <w:right w:w="28" w:type="dxa"/>
            </w:tcMar>
          </w:tcPr>
          <w:p w14:paraId="14B8E1F1" w14:textId="77777777" w:rsidR="00710FAD" w:rsidRPr="0097048E" w:rsidRDefault="00710FAD" w:rsidP="00436B29">
            <w:pPr>
              <w:rPr>
                <w:rFonts w:cs="Calibri"/>
                <w:color w:val="000000" w:themeColor="text1"/>
                <w:sz w:val="18"/>
                <w:szCs w:val="18"/>
              </w:rPr>
            </w:pPr>
            <w:r w:rsidRPr="0097048E">
              <w:rPr>
                <w:rFonts w:cs="Calibri"/>
                <w:color w:val="000000" w:themeColor="text1"/>
                <w:sz w:val="18"/>
                <w:szCs w:val="18"/>
              </w:rPr>
              <w:lastRenderedPageBreak/>
              <w:t>GEF TF</w:t>
            </w:r>
          </w:p>
          <w:p w14:paraId="7A678284" w14:textId="38894C82" w:rsidR="00710FAD" w:rsidRPr="0097048E" w:rsidRDefault="00710FAD" w:rsidP="00F8381F">
            <w:pPr>
              <w:rPr>
                <w:rFonts w:cs="Calibri"/>
                <w:color w:val="000000" w:themeColor="text1"/>
                <w:sz w:val="18"/>
                <w:szCs w:val="18"/>
              </w:rPr>
            </w:pPr>
          </w:p>
        </w:tc>
        <w:tc>
          <w:tcPr>
            <w:tcW w:w="884" w:type="dxa"/>
            <w:vMerge w:val="restart"/>
            <w:shd w:val="clear" w:color="auto" w:fill="FFFFFF" w:themeFill="background1"/>
            <w:tcMar>
              <w:left w:w="57" w:type="dxa"/>
              <w:right w:w="28" w:type="dxa"/>
            </w:tcMar>
          </w:tcPr>
          <w:p w14:paraId="7006F737" w14:textId="1B9BEB09" w:rsidR="00710FAD" w:rsidRPr="0097048E" w:rsidRDefault="1CAD1DE7" w:rsidP="00436B29">
            <w:pPr>
              <w:rPr>
                <w:rFonts w:cs="Calibri"/>
                <w:color w:val="000000" w:themeColor="text1"/>
                <w:sz w:val="18"/>
                <w:szCs w:val="18"/>
                <w:highlight w:val="yellow"/>
              </w:rPr>
            </w:pPr>
            <w:r w:rsidRPr="7F4D7136">
              <w:rPr>
                <w:rFonts w:cs="Calibri"/>
                <w:color w:val="000000" w:themeColor="text1"/>
                <w:sz w:val="18"/>
                <w:szCs w:val="18"/>
                <w:highlight w:val="yellow"/>
              </w:rPr>
              <w:t>1</w:t>
            </w:r>
            <w:r w:rsidR="1BAB6719" w:rsidRPr="7F4D7136">
              <w:rPr>
                <w:rFonts w:cs="Calibri"/>
                <w:color w:val="000000" w:themeColor="text1"/>
                <w:sz w:val="18"/>
                <w:szCs w:val="18"/>
                <w:highlight w:val="yellow"/>
              </w:rPr>
              <w:t>,</w:t>
            </w:r>
            <w:r w:rsidR="00632BE6">
              <w:rPr>
                <w:rFonts w:cs="Calibri"/>
                <w:color w:val="000000" w:themeColor="text1"/>
                <w:sz w:val="18"/>
                <w:szCs w:val="18"/>
                <w:highlight w:val="yellow"/>
              </w:rPr>
              <w:t>452</w:t>
            </w:r>
            <w:r w:rsidR="40E90A60" w:rsidRPr="7F4D7136">
              <w:rPr>
                <w:rFonts w:cs="Calibri"/>
                <w:color w:val="000000" w:themeColor="text1"/>
                <w:sz w:val="18"/>
                <w:szCs w:val="18"/>
                <w:highlight w:val="yellow"/>
              </w:rPr>
              <w:t>,</w:t>
            </w:r>
            <w:r w:rsidR="00632BE6">
              <w:rPr>
                <w:rFonts w:cs="Calibri"/>
                <w:color w:val="000000" w:themeColor="text1"/>
                <w:sz w:val="18"/>
                <w:szCs w:val="18"/>
                <w:highlight w:val="yellow"/>
              </w:rPr>
              <w:t>00</w:t>
            </w:r>
            <w:r w:rsidR="195C53BC" w:rsidRPr="7F4D7136">
              <w:rPr>
                <w:rFonts w:cs="Calibri"/>
                <w:color w:val="000000" w:themeColor="text1"/>
                <w:sz w:val="18"/>
                <w:szCs w:val="18"/>
                <w:highlight w:val="yellow"/>
              </w:rPr>
              <w:t>9</w:t>
            </w:r>
          </w:p>
        </w:tc>
        <w:tc>
          <w:tcPr>
            <w:tcW w:w="929" w:type="dxa"/>
            <w:vMerge w:val="restart"/>
            <w:shd w:val="clear" w:color="auto" w:fill="FFFFFF" w:themeFill="background1"/>
            <w:tcMar>
              <w:left w:w="57" w:type="dxa"/>
              <w:right w:w="28" w:type="dxa"/>
            </w:tcMar>
          </w:tcPr>
          <w:p w14:paraId="5646DD29" w14:textId="58039900" w:rsidR="00710FAD" w:rsidRPr="0097048E" w:rsidRDefault="00F87B5D" w:rsidP="00F8381F">
            <w:pPr>
              <w:rPr>
                <w:rFonts w:cs="Calibri"/>
                <w:color w:val="000000" w:themeColor="text1"/>
                <w:sz w:val="18"/>
                <w:szCs w:val="18"/>
                <w:highlight w:val="magenta"/>
              </w:rPr>
            </w:pPr>
            <w:r w:rsidRPr="00E7539B">
              <w:rPr>
                <w:rFonts w:cs="Calibri"/>
                <w:color w:val="000000" w:themeColor="text1"/>
                <w:sz w:val="18"/>
                <w:szCs w:val="18"/>
                <w:highlight w:val="yellow"/>
              </w:rPr>
              <w:t>7,1</w:t>
            </w:r>
            <w:r w:rsidR="6E4DD9EC" w:rsidRPr="00E7539B">
              <w:rPr>
                <w:rFonts w:cs="Calibri"/>
                <w:color w:val="000000" w:themeColor="text1"/>
                <w:sz w:val="18"/>
                <w:szCs w:val="18"/>
                <w:highlight w:val="yellow"/>
              </w:rPr>
              <w:t>48,600</w:t>
            </w:r>
            <w:r w:rsidRPr="00F87B5D">
              <w:rPr>
                <w:rFonts w:cs="Calibri"/>
                <w:color w:val="000000" w:themeColor="text1"/>
                <w:sz w:val="18"/>
                <w:szCs w:val="18"/>
              </w:rPr>
              <w:t xml:space="preserve">   </w:t>
            </w:r>
          </w:p>
        </w:tc>
      </w:tr>
      <w:tr w:rsidR="00DA42EB" w:rsidRPr="0097048E" w14:paraId="0A06E04C" w14:textId="77777777" w:rsidTr="7F4D7136">
        <w:tc>
          <w:tcPr>
            <w:tcW w:w="1264" w:type="dxa"/>
            <w:vMerge/>
            <w:tcMar>
              <w:left w:w="57" w:type="dxa"/>
              <w:right w:w="28" w:type="dxa"/>
            </w:tcMar>
          </w:tcPr>
          <w:p w14:paraId="33BB128A" w14:textId="77777777" w:rsidR="00710FAD" w:rsidRPr="00436B29" w:rsidRDefault="00710FAD" w:rsidP="00436B29">
            <w:pPr>
              <w:rPr>
                <w:rFonts w:cs="Calibri"/>
                <w:b/>
                <w:bCs/>
                <w:sz w:val="18"/>
                <w:szCs w:val="18"/>
              </w:rPr>
            </w:pPr>
          </w:p>
        </w:tc>
        <w:tc>
          <w:tcPr>
            <w:tcW w:w="421" w:type="dxa"/>
            <w:shd w:val="clear" w:color="auto" w:fill="FFFFFF" w:themeFill="background1"/>
            <w:tcMar>
              <w:left w:w="57" w:type="dxa"/>
              <w:right w:w="28" w:type="dxa"/>
            </w:tcMar>
          </w:tcPr>
          <w:p w14:paraId="2AC30F93" w14:textId="5D87F60E" w:rsidR="00710FAD" w:rsidRPr="00436B29" w:rsidRDefault="00710FAD" w:rsidP="00436B29">
            <w:pPr>
              <w:rPr>
                <w:rFonts w:cs="Calibri"/>
                <w:sz w:val="18"/>
                <w:szCs w:val="18"/>
              </w:rPr>
            </w:pPr>
            <w:r>
              <w:rPr>
                <w:rFonts w:cs="Calibri"/>
                <w:sz w:val="18"/>
                <w:szCs w:val="18"/>
              </w:rPr>
              <w:t>TA</w:t>
            </w:r>
          </w:p>
        </w:tc>
        <w:tc>
          <w:tcPr>
            <w:tcW w:w="1517" w:type="dxa"/>
            <w:shd w:val="clear" w:color="auto" w:fill="FFFFFF" w:themeFill="background1"/>
            <w:tcMar>
              <w:left w:w="57" w:type="dxa"/>
              <w:right w:w="28" w:type="dxa"/>
            </w:tcMar>
          </w:tcPr>
          <w:p w14:paraId="18395345" w14:textId="23E2EDF4" w:rsidR="00710FAD" w:rsidRPr="0031672B" w:rsidRDefault="00710FAD" w:rsidP="00436B29">
            <w:pPr>
              <w:rPr>
                <w:rFonts w:cs="Calibri"/>
                <w:sz w:val="18"/>
                <w:szCs w:val="18"/>
              </w:rPr>
            </w:pPr>
            <w:r w:rsidRPr="0031672B">
              <w:rPr>
                <w:rFonts w:cs="Calibri"/>
                <w:sz w:val="18"/>
                <w:szCs w:val="18"/>
              </w:rPr>
              <w:t xml:space="preserve">3.2 </w:t>
            </w:r>
            <w:r w:rsidRPr="0031672B">
              <w:rPr>
                <w:sz w:val="18"/>
                <w:szCs w:val="18"/>
              </w:rPr>
              <w:t>Knowledge and awareness to support progress towards achieving national LDN targets enhanced</w:t>
            </w:r>
          </w:p>
        </w:tc>
        <w:tc>
          <w:tcPr>
            <w:tcW w:w="3615" w:type="dxa"/>
            <w:shd w:val="clear" w:color="auto" w:fill="FFFFFF" w:themeFill="background1"/>
            <w:tcMar>
              <w:left w:w="57" w:type="dxa"/>
              <w:right w:w="28" w:type="dxa"/>
            </w:tcMar>
          </w:tcPr>
          <w:p w14:paraId="6A3C41E0" w14:textId="2891CC60" w:rsidR="00710FAD" w:rsidRPr="0031672B" w:rsidRDefault="00710FAD" w:rsidP="00436B29">
            <w:pPr>
              <w:spacing w:after="80"/>
              <w:rPr>
                <w:rFonts w:cs="Calibri"/>
                <w:sz w:val="18"/>
                <w:szCs w:val="18"/>
              </w:rPr>
            </w:pPr>
            <w:r w:rsidRPr="0031672B">
              <w:rPr>
                <w:rFonts w:cs="Calibri"/>
                <w:sz w:val="18"/>
                <w:szCs w:val="18"/>
              </w:rPr>
              <w:t xml:space="preserve">3.2.1 </w:t>
            </w:r>
            <w:r w:rsidRPr="0031672B">
              <w:rPr>
                <w:sz w:val="18"/>
                <w:szCs w:val="18"/>
              </w:rPr>
              <w:t>Project knowledge management, communication and dissemination framework</w:t>
            </w:r>
            <w:r>
              <w:rPr>
                <w:sz w:val="18"/>
                <w:szCs w:val="18"/>
              </w:rPr>
              <w:t>,</w:t>
            </w:r>
            <w:r w:rsidRPr="0031672B">
              <w:rPr>
                <w:sz w:val="18"/>
                <w:szCs w:val="18"/>
              </w:rPr>
              <w:t xml:space="preserve"> and strategy developed and implemented</w:t>
            </w:r>
          </w:p>
          <w:p w14:paraId="24B816FA" w14:textId="7197BD61" w:rsidR="00710FAD" w:rsidRPr="0031672B" w:rsidRDefault="00710FAD" w:rsidP="00F9038E">
            <w:pPr>
              <w:rPr>
                <w:rFonts w:cs="Calibri"/>
                <w:sz w:val="18"/>
                <w:szCs w:val="18"/>
              </w:rPr>
            </w:pPr>
            <w:r w:rsidRPr="0031672B">
              <w:rPr>
                <w:rFonts w:cs="Calibri"/>
                <w:sz w:val="18"/>
                <w:szCs w:val="18"/>
              </w:rPr>
              <w:t xml:space="preserve">3.2.2 </w:t>
            </w:r>
            <w:r w:rsidRPr="0031672B">
              <w:rPr>
                <w:sz w:val="18"/>
                <w:szCs w:val="18"/>
              </w:rPr>
              <w:t>Project M&amp;E framework, supporting lesson learning and adaptive management, developed and operational from national through to community levels</w:t>
            </w:r>
          </w:p>
        </w:tc>
        <w:tc>
          <w:tcPr>
            <w:tcW w:w="720" w:type="dxa"/>
            <w:vMerge/>
            <w:tcMar>
              <w:left w:w="57" w:type="dxa"/>
              <w:right w:w="28" w:type="dxa"/>
            </w:tcMar>
          </w:tcPr>
          <w:p w14:paraId="45563E2D" w14:textId="4FECEE0F" w:rsidR="00710FAD" w:rsidRPr="0097048E" w:rsidRDefault="00710FAD" w:rsidP="00F8381F">
            <w:pPr>
              <w:rPr>
                <w:rFonts w:cs="Calibri"/>
                <w:color w:val="000000" w:themeColor="text1"/>
                <w:sz w:val="18"/>
                <w:szCs w:val="18"/>
              </w:rPr>
            </w:pPr>
          </w:p>
        </w:tc>
        <w:tc>
          <w:tcPr>
            <w:tcW w:w="884" w:type="dxa"/>
            <w:vMerge/>
            <w:tcMar>
              <w:left w:w="57" w:type="dxa"/>
              <w:right w:w="28" w:type="dxa"/>
            </w:tcMar>
          </w:tcPr>
          <w:p w14:paraId="189C1785" w14:textId="77777777" w:rsidR="00710FAD" w:rsidRPr="0097048E" w:rsidRDefault="00710FAD" w:rsidP="00436B29">
            <w:pPr>
              <w:rPr>
                <w:rFonts w:cs="Calibri"/>
                <w:color w:val="000000" w:themeColor="text1"/>
                <w:sz w:val="18"/>
                <w:szCs w:val="18"/>
              </w:rPr>
            </w:pPr>
          </w:p>
        </w:tc>
        <w:tc>
          <w:tcPr>
            <w:tcW w:w="929" w:type="dxa"/>
            <w:vMerge/>
            <w:tcMar>
              <w:left w:w="57" w:type="dxa"/>
              <w:right w:w="28" w:type="dxa"/>
            </w:tcMar>
          </w:tcPr>
          <w:p w14:paraId="373F149F" w14:textId="0993A4F8" w:rsidR="00710FAD" w:rsidRPr="0097048E" w:rsidRDefault="00710FAD" w:rsidP="00F8381F">
            <w:pPr>
              <w:rPr>
                <w:rFonts w:cs="Calibri"/>
                <w:color w:val="000000" w:themeColor="text1"/>
                <w:sz w:val="18"/>
                <w:szCs w:val="18"/>
                <w:highlight w:val="magenta"/>
              </w:rPr>
            </w:pPr>
          </w:p>
        </w:tc>
      </w:tr>
      <w:tr w:rsidR="00DA42EB" w:rsidRPr="0097048E" w14:paraId="548C6D82" w14:textId="77777777" w:rsidTr="7F4D7136">
        <w:tc>
          <w:tcPr>
            <w:tcW w:w="1264" w:type="dxa"/>
            <w:vMerge/>
            <w:tcMar>
              <w:left w:w="57" w:type="dxa"/>
              <w:right w:w="28" w:type="dxa"/>
            </w:tcMar>
          </w:tcPr>
          <w:p w14:paraId="188FFF43" w14:textId="2513B768" w:rsidR="00710FAD" w:rsidRPr="00436B29" w:rsidRDefault="00710FAD" w:rsidP="00F8381F">
            <w:pPr>
              <w:rPr>
                <w:rFonts w:cs="Calibri"/>
                <w:sz w:val="18"/>
                <w:szCs w:val="18"/>
              </w:rPr>
            </w:pPr>
          </w:p>
        </w:tc>
        <w:tc>
          <w:tcPr>
            <w:tcW w:w="421" w:type="dxa"/>
            <w:shd w:val="clear" w:color="auto" w:fill="FFFFFF" w:themeFill="background1"/>
            <w:tcMar>
              <w:left w:w="57" w:type="dxa"/>
              <w:right w:w="28" w:type="dxa"/>
            </w:tcMar>
          </w:tcPr>
          <w:p w14:paraId="67405F77" w14:textId="77777777" w:rsidR="00710FAD" w:rsidRPr="00436B29" w:rsidRDefault="00710FAD" w:rsidP="00F8381F">
            <w:pPr>
              <w:rPr>
                <w:rFonts w:cs="Calibri"/>
                <w:sz w:val="18"/>
                <w:szCs w:val="18"/>
              </w:rPr>
            </w:pPr>
            <w:r w:rsidRPr="00436B29">
              <w:rPr>
                <w:rFonts w:cs="Calibri"/>
                <w:sz w:val="18"/>
                <w:szCs w:val="18"/>
              </w:rPr>
              <w:t>TA</w:t>
            </w:r>
          </w:p>
        </w:tc>
        <w:tc>
          <w:tcPr>
            <w:tcW w:w="1517" w:type="dxa"/>
            <w:shd w:val="clear" w:color="auto" w:fill="FFFFFF" w:themeFill="background1"/>
            <w:tcMar>
              <w:left w:w="57" w:type="dxa"/>
              <w:right w:w="28" w:type="dxa"/>
            </w:tcMar>
          </w:tcPr>
          <w:p w14:paraId="2B9B45ED" w14:textId="53CF650F" w:rsidR="00710FAD" w:rsidRPr="0031672B" w:rsidRDefault="00710FAD" w:rsidP="00F8381F">
            <w:pPr>
              <w:rPr>
                <w:rFonts w:cs="Calibri"/>
                <w:sz w:val="18"/>
                <w:szCs w:val="18"/>
                <w:highlight w:val="yellow"/>
              </w:rPr>
            </w:pPr>
            <w:r w:rsidRPr="0031672B">
              <w:rPr>
                <w:rFonts w:cs="Calibri"/>
                <w:sz w:val="18"/>
                <w:szCs w:val="18"/>
              </w:rPr>
              <w:t xml:space="preserve">3.3 </w:t>
            </w:r>
            <w:r w:rsidRPr="0031672B">
              <w:rPr>
                <w:sz w:val="18"/>
                <w:szCs w:val="18"/>
              </w:rPr>
              <w:t>National and sub-national measures to deliver LDN enhanced through improved regional and global opportunities for collaboration, exchange and learning lessons</w:t>
            </w:r>
          </w:p>
        </w:tc>
        <w:tc>
          <w:tcPr>
            <w:tcW w:w="3615" w:type="dxa"/>
            <w:shd w:val="clear" w:color="auto" w:fill="FFFFFF" w:themeFill="background1"/>
            <w:tcMar>
              <w:left w:w="57" w:type="dxa"/>
              <w:right w:w="28" w:type="dxa"/>
            </w:tcMar>
          </w:tcPr>
          <w:p w14:paraId="7ED66BF0" w14:textId="5EE0108D" w:rsidR="00710FAD" w:rsidRPr="0018580B" w:rsidRDefault="00710FAD" w:rsidP="00F8381F">
            <w:pPr>
              <w:spacing w:after="80"/>
              <w:rPr>
                <w:rFonts w:cs="Calibri"/>
                <w:sz w:val="18"/>
                <w:szCs w:val="18"/>
              </w:rPr>
            </w:pPr>
            <w:r w:rsidRPr="0018580B">
              <w:rPr>
                <w:rFonts w:cs="Calibri"/>
                <w:sz w:val="18"/>
                <w:szCs w:val="18"/>
              </w:rPr>
              <w:t xml:space="preserve">3.3.1 </w:t>
            </w:r>
            <w:r w:rsidRPr="0018580B">
              <w:rPr>
                <w:sz w:val="18"/>
                <w:szCs w:val="18"/>
              </w:rPr>
              <w:t>Actions, collaboration and investments identified to address transboundary land and environmental degradation priorities in Miombo-Mopane ecoregion and bi-/multi-lateral initiatives strengthened/established to progress towards LDN</w:t>
            </w:r>
          </w:p>
          <w:p w14:paraId="073CB4B9" w14:textId="43E1CF81" w:rsidR="00710FAD" w:rsidRPr="0031672B" w:rsidRDefault="00710FAD" w:rsidP="00F8381F">
            <w:pPr>
              <w:spacing w:after="80"/>
              <w:rPr>
                <w:rFonts w:cs="Calibri"/>
                <w:sz w:val="18"/>
                <w:szCs w:val="18"/>
              </w:rPr>
            </w:pPr>
            <w:r w:rsidRPr="0031672B">
              <w:rPr>
                <w:rFonts w:cs="Calibri"/>
                <w:sz w:val="18"/>
                <w:szCs w:val="18"/>
              </w:rPr>
              <w:t xml:space="preserve">3.3.2 </w:t>
            </w:r>
            <w:r w:rsidRPr="0031672B">
              <w:rPr>
                <w:sz w:val="18"/>
                <w:szCs w:val="18"/>
              </w:rPr>
              <w:t xml:space="preserve">Collaborative actions to </w:t>
            </w:r>
            <w:r w:rsidRPr="007962B3">
              <w:rPr>
                <w:sz w:val="18"/>
                <w:szCs w:val="18"/>
              </w:rPr>
              <w:t xml:space="preserve">support business and market development for SLM/SFM </w:t>
            </w:r>
            <w:r w:rsidRPr="0031672B">
              <w:rPr>
                <w:sz w:val="18"/>
                <w:szCs w:val="18"/>
              </w:rPr>
              <w:t>products across the Miombo-Mopane region undertaken</w:t>
            </w:r>
          </w:p>
          <w:p w14:paraId="02F7C409" w14:textId="371928BD" w:rsidR="00710FAD" w:rsidRPr="0031672B" w:rsidRDefault="00710FAD" w:rsidP="00F9038E">
            <w:pPr>
              <w:rPr>
                <w:rFonts w:cs="Calibri"/>
                <w:sz w:val="18"/>
                <w:szCs w:val="18"/>
              </w:rPr>
            </w:pPr>
            <w:r w:rsidRPr="0031672B">
              <w:rPr>
                <w:rFonts w:cs="Calibri"/>
                <w:sz w:val="18"/>
                <w:szCs w:val="18"/>
              </w:rPr>
              <w:t xml:space="preserve">3.3.3 </w:t>
            </w:r>
            <w:r w:rsidRPr="0031672B">
              <w:rPr>
                <w:sz w:val="18"/>
                <w:szCs w:val="18"/>
              </w:rPr>
              <w:t>Opportunities for national and landscape-level stakeholders to exchange knowledge and lessons learnt at regional and global levels identified, developed and supported</w:t>
            </w:r>
          </w:p>
        </w:tc>
        <w:tc>
          <w:tcPr>
            <w:tcW w:w="720" w:type="dxa"/>
            <w:vMerge/>
            <w:tcMar>
              <w:left w:w="57" w:type="dxa"/>
              <w:right w:w="28" w:type="dxa"/>
            </w:tcMar>
          </w:tcPr>
          <w:p w14:paraId="76284BD5" w14:textId="5E06B5BC" w:rsidR="00710FAD" w:rsidRPr="0097048E" w:rsidRDefault="00710FAD" w:rsidP="00F8381F">
            <w:pPr>
              <w:rPr>
                <w:rFonts w:cs="Calibri"/>
                <w:color w:val="000000" w:themeColor="text1"/>
                <w:sz w:val="18"/>
                <w:szCs w:val="18"/>
              </w:rPr>
            </w:pPr>
          </w:p>
        </w:tc>
        <w:tc>
          <w:tcPr>
            <w:tcW w:w="884" w:type="dxa"/>
            <w:vMerge/>
            <w:tcMar>
              <w:left w:w="57" w:type="dxa"/>
              <w:right w:w="28" w:type="dxa"/>
            </w:tcMar>
          </w:tcPr>
          <w:p w14:paraId="02F21DED" w14:textId="77777777" w:rsidR="00710FAD" w:rsidRPr="0097048E" w:rsidRDefault="00710FAD" w:rsidP="00F8381F">
            <w:pPr>
              <w:rPr>
                <w:rFonts w:cs="Calibri"/>
                <w:color w:val="000000" w:themeColor="text1"/>
                <w:sz w:val="18"/>
                <w:szCs w:val="18"/>
              </w:rPr>
            </w:pPr>
          </w:p>
        </w:tc>
        <w:tc>
          <w:tcPr>
            <w:tcW w:w="929" w:type="dxa"/>
            <w:vMerge/>
            <w:tcMar>
              <w:left w:w="57" w:type="dxa"/>
              <w:right w:w="28" w:type="dxa"/>
            </w:tcMar>
          </w:tcPr>
          <w:p w14:paraId="1D72B4BD" w14:textId="0205E25A" w:rsidR="00710FAD" w:rsidRPr="0097048E" w:rsidRDefault="00710FAD" w:rsidP="00F8381F">
            <w:pPr>
              <w:rPr>
                <w:rFonts w:cs="Calibri"/>
                <w:color w:val="000000" w:themeColor="text1"/>
                <w:sz w:val="18"/>
                <w:szCs w:val="18"/>
                <w:highlight w:val="magenta"/>
              </w:rPr>
            </w:pPr>
          </w:p>
        </w:tc>
      </w:tr>
      <w:tr w:rsidR="00DA42EB" w:rsidRPr="0097048E" w14:paraId="3B9C5930" w14:textId="77777777" w:rsidTr="7F4D7136">
        <w:tc>
          <w:tcPr>
            <w:tcW w:w="6817" w:type="dxa"/>
            <w:gridSpan w:val="4"/>
            <w:shd w:val="clear" w:color="auto" w:fill="FFFFFF" w:themeFill="background1"/>
            <w:tcMar>
              <w:left w:w="57" w:type="dxa"/>
              <w:right w:w="28" w:type="dxa"/>
            </w:tcMar>
          </w:tcPr>
          <w:p w14:paraId="44D7707E" w14:textId="77777777" w:rsidR="00436B29" w:rsidRPr="00436B29" w:rsidRDefault="00436B29" w:rsidP="00436B29">
            <w:pPr>
              <w:jc w:val="right"/>
              <w:rPr>
                <w:rFonts w:cs="Calibri"/>
                <w:sz w:val="18"/>
                <w:szCs w:val="18"/>
              </w:rPr>
            </w:pPr>
            <w:r w:rsidRPr="00436B29">
              <w:rPr>
                <w:rFonts w:cs="Calibri"/>
                <w:sz w:val="18"/>
                <w:szCs w:val="18"/>
              </w:rPr>
              <w:tab/>
              <w:t>Subtotal</w:t>
            </w:r>
          </w:p>
        </w:tc>
        <w:tc>
          <w:tcPr>
            <w:tcW w:w="720" w:type="dxa"/>
            <w:shd w:val="clear" w:color="auto" w:fill="FFFFFF" w:themeFill="background1"/>
            <w:tcMar>
              <w:left w:w="57" w:type="dxa"/>
              <w:right w:w="28" w:type="dxa"/>
            </w:tcMar>
          </w:tcPr>
          <w:p w14:paraId="1803640C" w14:textId="77777777" w:rsidR="00436B29" w:rsidRPr="0097048E" w:rsidRDefault="00436B29" w:rsidP="00436B29">
            <w:pPr>
              <w:rPr>
                <w:rFonts w:cs="Calibri"/>
                <w:color w:val="000000" w:themeColor="text1"/>
                <w:sz w:val="18"/>
                <w:szCs w:val="18"/>
              </w:rPr>
            </w:pPr>
          </w:p>
        </w:tc>
        <w:tc>
          <w:tcPr>
            <w:tcW w:w="884" w:type="dxa"/>
            <w:shd w:val="clear" w:color="auto" w:fill="FFFFFF" w:themeFill="background1"/>
            <w:tcMar>
              <w:left w:w="57" w:type="dxa"/>
              <w:right w:w="28" w:type="dxa"/>
            </w:tcMar>
          </w:tcPr>
          <w:p w14:paraId="5521E4C5" w14:textId="4D90DBA8" w:rsidR="00436B29" w:rsidRPr="0097048E" w:rsidRDefault="008C74FF" w:rsidP="00436B29">
            <w:pPr>
              <w:jc w:val="right"/>
              <w:rPr>
                <w:rFonts w:cs="Calibri"/>
                <w:color w:val="000000" w:themeColor="text1"/>
                <w:sz w:val="18"/>
                <w:szCs w:val="18"/>
                <w:highlight w:val="yellow"/>
              </w:rPr>
            </w:pPr>
            <w:r w:rsidRPr="004D0164">
              <w:rPr>
                <w:rFonts w:cs="Calibri"/>
                <w:color w:val="000000" w:themeColor="text1"/>
                <w:sz w:val="18"/>
                <w:szCs w:val="18"/>
                <w:highlight w:val="yellow"/>
              </w:rPr>
              <w:t>5,104,412</w:t>
            </w:r>
          </w:p>
        </w:tc>
        <w:tc>
          <w:tcPr>
            <w:tcW w:w="929" w:type="dxa"/>
            <w:shd w:val="clear" w:color="auto" w:fill="FFFFFF" w:themeFill="background1"/>
            <w:tcMar>
              <w:left w:w="57" w:type="dxa"/>
              <w:right w:w="28" w:type="dxa"/>
            </w:tcMar>
          </w:tcPr>
          <w:p w14:paraId="10522D31" w14:textId="7691CD9D" w:rsidR="00436B29" w:rsidRPr="00E7539B" w:rsidRDefault="001D0354" w:rsidP="00436B29">
            <w:pPr>
              <w:jc w:val="right"/>
              <w:rPr>
                <w:rFonts w:cs="Calibri"/>
                <w:color w:val="000000" w:themeColor="text1"/>
                <w:sz w:val="18"/>
                <w:szCs w:val="18"/>
                <w:highlight w:val="yellow"/>
              </w:rPr>
            </w:pPr>
            <w:r w:rsidRPr="00E7539B">
              <w:rPr>
                <w:rFonts w:cs="Calibri"/>
                <w:color w:val="000000" w:themeColor="text1"/>
                <w:sz w:val="18"/>
                <w:szCs w:val="18"/>
                <w:highlight w:val="yellow"/>
              </w:rPr>
              <w:t>33,357,200</w:t>
            </w:r>
          </w:p>
        </w:tc>
      </w:tr>
      <w:tr w:rsidR="00DA42EB" w:rsidRPr="0097048E" w14:paraId="2932AA79" w14:textId="77777777" w:rsidTr="7F4D7136">
        <w:tc>
          <w:tcPr>
            <w:tcW w:w="6817" w:type="dxa"/>
            <w:gridSpan w:val="4"/>
            <w:shd w:val="clear" w:color="auto" w:fill="FFFFFF" w:themeFill="background1"/>
            <w:tcMar>
              <w:left w:w="57" w:type="dxa"/>
              <w:right w:w="28" w:type="dxa"/>
            </w:tcMar>
          </w:tcPr>
          <w:p w14:paraId="78165C9A" w14:textId="1F900E75" w:rsidR="00436B29" w:rsidRPr="00436B29" w:rsidRDefault="00436B29" w:rsidP="00436B29">
            <w:pPr>
              <w:jc w:val="right"/>
              <w:rPr>
                <w:rFonts w:cs="Calibri"/>
                <w:sz w:val="18"/>
                <w:szCs w:val="18"/>
              </w:rPr>
            </w:pPr>
            <w:r w:rsidRPr="00436B29">
              <w:rPr>
                <w:rFonts w:cs="Calibri"/>
                <w:sz w:val="18"/>
                <w:szCs w:val="18"/>
              </w:rPr>
              <w:t>Project Management Cost (PMC)</w:t>
            </w:r>
          </w:p>
        </w:tc>
        <w:tc>
          <w:tcPr>
            <w:tcW w:w="720" w:type="dxa"/>
            <w:shd w:val="clear" w:color="auto" w:fill="FFFFFF" w:themeFill="background1"/>
            <w:tcMar>
              <w:left w:w="57" w:type="dxa"/>
              <w:right w:w="28" w:type="dxa"/>
            </w:tcMar>
          </w:tcPr>
          <w:p w14:paraId="0CEB7BCE" w14:textId="0B9DDA74" w:rsidR="00436B29" w:rsidRPr="0097048E" w:rsidRDefault="00436B29" w:rsidP="00CE3A55">
            <w:pPr>
              <w:ind w:right="-57"/>
              <w:rPr>
                <w:rFonts w:cs="Calibri"/>
                <w:color w:val="000000" w:themeColor="text1"/>
                <w:sz w:val="18"/>
                <w:szCs w:val="18"/>
              </w:rPr>
            </w:pPr>
          </w:p>
        </w:tc>
        <w:tc>
          <w:tcPr>
            <w:tcW w:w="884" w:type="dxa"/>
            <w:shd w:val="clear" w:color="auto" w:fill="FFFFFF" w:themeFill="background1"/>
            <w:tcMar>
              <w:left w:w="57" w:type="dxa"/>
              <w:right w:w="28" w:type="dxa"/>
            </w:tcMar>
          </w:tcPr>
          <w:p w14:paraId="40F94B0D" w14:textId="0C565EC8" w:rsidR="00436B29" w:rsidRPr="0097048E" w:rsidRDefault="00A64889" w:rsidP="00436B29">
            <w:pPr>
              <w:jc w:val="right"/>
              <w:rPr>
                <w:rFonts w:cs="Calibri"/>
                <w:color w:val="000000" w:themeColor="text1"/>
                <w:sz w:val="18"/>
                <w:szCs w:val="18"/>
                <w:highlight w:val="yellow"/>
              </w:rPr>
            </w:pPr>
            <w:r w:rsidRPr="004D0164">
              <w:rPr>
                <w:rFonts w:cs="Calibri"/>
                <w:color w:val="000000" w:themeColor="text1"/>
                <w:sz w:val="18"/>
                <w:szCs w:val="18"/>
                <w:highlight w:val="yellow"/>
              </w:rPr>
              <w:t>255,221</w:t>
            </w:r>
          </w:p>
        </w:tc>
        <w:tc>
          <w:tcPr>
            <w:tcW w:w="929" w:type="dxa"/>
            <w:shd w:val="clear" w:color="auto" w:fill="FFFFFF" w:themeFill="background1"/>
            <w:tcMar>
              <w:left w:w="57" w:type="dxa"/>
              <w:right w:w="28" w:type="dxa"/>
            </w:tcMar>
          </w:tcPr>
          <w:p w14:paraId="36C11AEC" w14:textId="169DF72A" w:rsidR="00436B29" w:rsidRPr="00E7539B" w:rsidRDefault="00770677" w:rsidP="00436B29">
            <w:pPr>
              <w:jc w:val="right"/>
              <w:rPr>
                <w:rFonts w:cs="Calibri"/>
                <w:color w:val="000000" w:themeColor="text1"/>
                <w:sz w:val="18"/>
                <w:szCs w:val="18"/>
                <w:highlight w:val="yellow"/>
              </w:rPr>
            </w:pPr>
            <w:r w:rsidRPr="00E7539B">
              <w:rPr>
                <w:rFonts w:cs="Calibri"/>
                <w:color w:val="000000" w:themeColor="text1"/>
                <w:sz w:val="18"/>
                <w:szCs w:val="18"/>
                <w:highlight w:val="yellow"/>
              </w:rPr>
              <w:t>1,142,800</w:t>
            </w:r>
          </w:p>
        </w:tc>
      </w:tr>
      <w:tr w:rsidR="00DA42EB" w:rsidRPr="0097048E" w14:paraId="2F8008F9" w14:textId="77777777" w:rsidTr="7F4D7136">
        <w:tc>
          <w:tcPr>
            <w:tcW w:w="6817" w:type="dxa"/>
            <w:gridSpan w:val="4"/>
            <w:shd w:val="clear" w:color="auto" w:fill="FFFFFF" w:themeFill="background1"/>
            <w:tcMar>
              <w:left w:w="57" w:type="dxa"/>
              <w:right w:w="28" w:type="dxa"/>
            </w:tcMar>
          </w:tcPr>
          <w:p w14:paraId="17C2BC86" w14:textId="77777777" w:rsidR="00436B29" w:rsidRPr="00436B29" w:rsidRDefault="00436B29" w:rsidP="00436B29">
            <w:pPr>
              <w:jc w:val="right"/>
              <w:rPr>
                <w:rFonts w:cs="Calibri"/>
                <w:sz w:val="18"/>
                <w:szCs w:val="18"/>
              </w:rPr>
            </w:pPr>
            <w:r w:rsidRPr="00436B29">
              <w:rPr>
                <w:rFonts w:cs="Calibri"/>
                <w:sz w:val="18"/>
                <w:szCs w:val="18"/>
              </w:rPr>
              <w:t>Total project costs</w:t>
            </w:r>
          </w:p>
        </w:tc>
        <w:tc>
          <w:tcPr>
            <w:tcW w:w="720" w:type="dxa"/>
            <w:shd w:val="clear" w:color="auto" w:fill="FFFFFF" w:themeFill="background1"/>
            <w:tcMar>
              <w:left w:w="57" w:type="dxa"/>
              <w:right w:w="28" w:type="dxa"/>
            </w:tcMar>
          </w:tcPr>
          <w:p w14:paraId="24C72EFB" w14:textId="77777777" w:rsidR="00436B29" w:rsidRPr="0097048E" w:rsidRDefault="00436B29" w:rsidP="00436B29">
            <w:pPr>
              <w:ind w:left="-57" w:right="-57"/>
              <w:jc w:val="center"/>
              <w:rPr>
                <w:rFonts w:cs="Calibri"/>
                <w:color w:val="000000" w:themeColor="text1"/>
                <w:sz w:val="18"/>
                <w:szCs w:val="18"/>
              </w:rPr>
            </w:pPr>
          </w:p>
        </w:tc>
        <w:tc>
          <w:tcPr>
            <w:tcW w:w="884" w:type="dxa"/>
            <w:shd w:val="clear" w:color="auto" w:fill="FFFFFF" w:themeFill="background1"/>
            <w:tcMar>
              <w:left w:w="57" w:type="dxa"/>
              <w:right w:w="28" w:type="dxa"/>
            </w:tcMar>
          </w:tcPr>
          <w:p w14:paraId="086225E8" w14:textId="5333F9CE" w:rsidR="00436B29" w:rsidRPr="0097048E" w:rsidRDefault="00725CA7" w:rsidP="00436B29">
            <w:pPr>
              <w:jc w:val="right"/>
              <w:rPr>
                <w:rFonts w:cs="Calibri"/>
                <w:color w:val="000000" w:themeColor="text1"/>
                <w:sz w:val="18"/>
                <w:szCs w:val="18"/>
                <w:highlight w:val="yellow"/>
              </w:rPr>
            </w:pPr>
            <w:r w:rsidRPr="0097048E">
              <w:rPr>
                <w:rFonts w:cs="Calibri"/>
                <w:color w:val="000000" w:themeColor="text1"/>
                <w:sz w:val="18"/>
                <w:szCs w:val="18"/>
              </w:rPr>
              <w:t>5,359,633</w:t>
            </w:r>
          </w:p>
        </w:tc>
        <w:tc>
          <w:tcPr>
            <w:tcW w:w="929" w:type="dxa"/>
            <w:shd w:val="clear" w:color="auto" w:fill="FFFFFF" w:themeFill="background1"/>
            <w:tcMar>
              <w:left w:w="57" w:type="dxa"/>
              <w:right w:w="28" w:type="dxa"/>
            </w:tcMar>
          </w:tcPr>
          <w:p w14:paraId="3854FD23" w14:textId="5851B6B5" w:rsidR="00436B29" w:rsidRPr="0097048E" w:rsidRDefault="00674623" w:rsidP="00436B29">
            <w:pPr>
              <w:jc w:val="right"/>
              <w:rPr>
                <w:rFonts w:cs="Calibri"/>
                <w:color w:val="000000" w:themeColor="text1"/>
                <w:sz w:val="18"/>
                <w:szCs w:val="18"/>
                <w:highlight w:val="yellow"/>
              </w:rPr>
            </w:pPr>
            <w:r w:rsidRPr="0097048E">
              <w:rPr>
                <w:rFonts w:cs="Calibri"/>
                <w:color w:val="000000" w:themeColor="text1"/>
                <w:sz w:val="18"/>
                <w:szCs w:val="18"/>
              </w:rPr>
              <w:t>34</w:t>
            </w:r>
            <w:r w:rsidR="00447872" w:rsidRPr="0097048E">
              <w:rPr>
                <w:rFonts w:cs="Calibri"/>
                <w:color w:val="000000" w:themeColor="text1"/>
                <w:sz w:val="18"/>
                <w:szCs w:val="18"/>
              </w:rPr>
              <w:t>,</w:t>
            </w:r>
            <w:r w:rsidRPr="0097048E">
              <w:rPr>
                <w:rFonts w:cs="Calibri"/>
                <w:color w:val="000000" w:themeColor="text1"/>
                <w:sz w:val="18"/>
                <w:szCs w:val="18"/>
              </w:rPr>
              <w:t>500</w:t>
            </w:r>
            <w:r w:rsidR="00447872" w:rsidRPr="0097048E">
              <w:rPr>
                <w:rFonts w:cs="Calibri"/>
                <w:color w:val="000000" w:themeColor="text1"/>
                <w:sz w:val="18"/>
                <w:szCs w:val="18"/>
              </w:rPr>
              <w:t>,000</w:t>
            </w:r>
          </w:p>
        </w:tc>
      </w:tr>
    </w:tbl>
    <w:p w14:paraId="7058579C" w14:textId="06F831AB" w:rsidR="009563B4" w:rsidRPr="00F9289C" w:rsidRDefault="009563B4" w:rsidP="00E65CFF">
      <w:pPr>
        <w:pStyle w:val="Heading2"/>
        <w:spacing w:after="160"/>
        <w:rPr>
          <w:sz w:val="24"/>
          <w:szCs w:val="24"/>
          <w:lang w:val="en-US"/>
        </w:rPr>
      </w:pPr>
      <w:bookmarkStart w:id="10" w:name="_Toc58398586"/>
      <w:r w:rsidRPr="00F9289C">
        <w:rPr>
          <w:sz w:val="24"/>
          <w:szCs w:val="24"/>
          <w:lang w:val="en-US"/>
        </w:rPr>
        <w:t xml:space="preserve">C. Confirmed sources of </w:t>
      </w:r>
      <w:r w:rsidRPr="00F9289C">
        <w:rPr>
          <w:sz w:val="24"/>
          <w:szCs w:val="24"/>
          <w:u w:val="single"/>
          <w:lang w:val="en-US"/>
        </w:rPr>
        <w:t>Co-financing</w:t>
      </w:r>
      <w:r w:rsidRPr="00F9289C">
        <w:rPr>
          <w:sz w:val="24"/>
          <w:szCs w:val="24"/>
          <w:lang w:val="en-US"/>
        </w:rPr>
        <w:t xml:space="preserve"> for the project by name and by type</w:t>
      </w:r>
      <w:bookmarkEnd w:id="10"/>
    </w:p>
    <w:tbl>
      <w:tblPr>
        <w:tblW w:w="0" w:type="auto"/>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455"/>
        <w:gridCol w:w="4363"/>
        <w:gridCol w:w="1254"/>
        <w:gridCol w:w="1045"/>
        <w:gridCol w:w="1046"/>
      </w:tblGrid>
      <w:tr w:rsidR="003228B0" w:rsidRPr="00B0268D" w14:paraId="668BD8B0" w14:textId="77777777" w:rsidTr="72739566">
        <w:trPr>
          <w:cantSplit/>
          <w:trHeight w:val="359"/>
          <w:tblHeader/>
        </w:trPr>
        <w:tc>
          <w:tcPr>
            <w:tcW w:w="1455" w:type="dxa"/>
            <w:tcBorders>
              <w:bottom w:val="single" w:sz="4" w:space="0" w:color="auto"/>
            </w:tcBorders>
            <w:tcMar>
              <w:left w:w="28" w:type="dxa"/>
              <w:right w:w="57" w:type="dxa"/>
            </w:tcMar>
          </w:tcPr>
          <w:p w14:paraId="0825E3E7" w14:textId="77777777" w:rsidR="009563B4" w:rsidRPr="00B0268D" w:rsidRDefault="009563B4" w:rsidP="00B0268D">
            <w:pPr>
              <w:jc w:val="center"/>
              <w:rPr>
                <w:b/>
                <w:sz w:val="20"/>
                <w:szCs w:val="20"/>
              </w:rPr>
            </w:pPr>
            <w:r w:rsidRPr="00B0268D">
              <w:rPr>
                <w:b/>
                <w:sz w:val="20"/>
                <w:szCs w:val="20"/>
              </w:rPr>
              <w:t>Sources of Co-financing</w:t>
            </w:r>
          </w:p>
        </w:tc>
        <w:tc>
          <w:tcPr>
            <w:tcW w:w="4363" w:type="dxa"/>
            <w:tcBorders>
              <w:bottom w:val="single" w:sz="4" w:space="0" w:color="auto"/>
            </w:tcBorders>
            <w:tcMar>
              <w:left w:w="28" w:type="dxa"/>
              <w:right w:w="57" w:type="dxa"/>
            </w:tcMar>
          </w:tcPr>
          <w:p w14:paraId="30A4BB82" w14:textId="77777777" w:rsidR="009563B4" w:rsidRPr="00B0268D" w:rsidRDefault="009563B4" w:rsidP="00B0268D">
            <w:pPr>
              <w:jc w:val="center"/>
              <w:rPr>
                <w:b/>
                <w:sz w:val="20"/>
                <w:szCs w:val="20"/>
              </w:rPr>
            </w:pPr>
            <w:r w:rsidRPr="00B0268D">
              <w:rPr>
                <w:b/>
                <w:sz w:val="20"/>
                <w:szCs w:val="20"/>
              </w:rPr>
              <w:t>Name of Co-financier</w:t>
            </w:r>
          </w:p>
        </w:tc>
        <w:tc>
          <w:tcPr>
            <w:tcW w:w="1254" w:type="dxa"/>
            <w:tcBorders>
              <w:bottom w:val="single" w:sz="4" w:space="0" w:color="auto"/>
            </w:tcBorders>
            <w:tcMar>
              <w:left w:w="28" w:type="dxa"/>
              <w:right w:w="57" w:type="dxa"/>
            </w:tcMar>
          </w:tcPr>
          <w:p w14:paraId="3ABA329C" w14:textId="77777777" w:rsidR="009563B4" w:rsidRPr="00B0268D" w:rsidRDefault="009563B4" w:rsidP="00B0268D">
            <w:pPr>
              <w:jc w:val="center"/>
              <w:rPr>
                <w:b/>
                <w:sz w:val="20"/>
                <w:szCs w:val="20"/>
              </w:rPr>
            </w:pPr>
            <w:r w:rsidRPr="00B0268D">
              <w:rPr>
                <w:b/>
                <w:sz w:val="20"/>
                <w:szCs w:val="20"/>
              </w:rPr>
              <w:t>Type of Cofinancing</w:t>
            </w:r>
          </w:p>
        </w:tc>
        <w:tc>
          <w:tcPr>
            <w:tcW w:w="1045" w:type="dxa"/>
            <w:tcBorders>
              <w:bottom w:val="single" w:sz="4" w:space="0" w:color="auto"/>
            </w:tcBorders>
            <w:tcMar>
              <w:left w:w="28" w:type="dxa"/>
              <w:right w:w="57" w:type="dxa"/>
            </w:tcMar>
          </w:tcPr>
          <w:p w14:paraId="14344FFC" w14:textId="77777777" w:rsidR="009563B4" w:rsidRPr="00B0268D" w:rsidRDefault="009563B4" w:rsidP="00B0268D">
            <w:pPr>
              <w:jc w:val="center"/>
              <w:rPr>
                <w:b/>
                <w:sz w:val="20"/>
                <w:szCs w:val="20"/>
              </w:rPr>
            </w:pPr>
            <w:r w:rsidRPr="00B0268D">
              <w:rPr>
                <w:b/>
                <w:sz w:val="20"/>
                <w:szCs w:val="20"/>
              </w:rPr>
              <w:t>Investment Mobilized</w:t>
            </w:r>
          </w:p>
        </w:tc>
        <w:tc>
          <w:tcPr>
            <w:tcW w:w="1046" w:type="dxa"/>
            <w:tcBorders>
              <w:bottom w:val="single" w:sz="4" w:space="0" w:color="auto"/>
            </w:tcBorders>
            <w:shd w:val="clear" w:color="auto" w:fill="auto"/>
            <w:tcMar>
              <w:left w:w="28" w:type="dxa"/>
              <w:right w:w="57" w:type="dxa"/>
            </w:tcMar>
          </w:tcPr>
          <w:p w14:paraId="35ED2AB3" w14:textId="0F1CAF0E" w:rsidR="009563B4" w:rsidRPr="00B0268D" w:rsidRDefault="009563B4" w:rsidP="00B0268D">
            <w:pPr>
              <w:jc w:val="center"/>
              <w:rPr>
                <w:b/>
                <w:sz w:val="20"/>
                <w:szCs w:val="20"/>
              </w:rPr>
            </w:pPr>
            <w:r w:rsidRPr="00B0268D">
              <w:rPr>
                <w:b/>
                <w:sz w:val="20"/>
                <w:szCs w:val="20"/>
              </w:rPr>
              <w:t>Amount (</w:t>
            </w:r>
            <w:r w:rsidR="00743D23" w:rsidRPr="00B0268D">
              <w:rPr>
                <w:b/>
                <w:sz w:val="20"/>
                <w:szCs w:val="20"/>
              </w:rPr>
              <w:t xml:space="preserve">US </w:t>
            </w:r>
            <w:r w:rsidRPr="00B0268D">
              <w:rPr>
                <w:b/>
                <w:sz w:val="20"/>
                <w:szCs w:val="20"/>
              </w:rPr>
              <w:t>$)</w:t>
            </w:r>
          </w:p>
        </w:tc>
      </w:tr>
      <w:tr w:rsidR="003228B0" w:rsidRPr="00B0268D" w14:paraId="12E98E36" w14:textId="77777777" w:rsidTr="72739566">
        <w:trPr>
          <w:cantSplit/>
          <w:trHeight w:val="420"/>
        </w:trPr>
        <w:tc>
          <w:tcPr>
            <w:tcW w:w="1455" w:type="dxa"/>
            <w:vMerge w:val="restart"/>
            <w:tcMar>
              <w:left w:w="28" w:type="dxa"/>
              <w:right w:w="57" w:type="dxa"/>
            </w:tcMar>
          </w:tcPr>
          <w:p w14:paraId="1E04B29A" w14:textId="77777777" w:rsidR="006A6535" w:rsidRPr="0000203E" w:rsidRDefault="006A6535" w:rsidP="00481CA4">
            <w:pPr>
              <w:rPr>
                <w:sz w:val="18"/>
                <w:szCs w:val="18"/>
              </w:rPr>
            </w:pPr>
            <w:r w:rsidRPr="0000203E">
              <w:rPr>
                <w:rFonts w:cs="Calibri"/>
                <w:sz w:val="18"/>
                <w:szCs w:val="18"/>
              </w:rPr>
              <w:t>Recipient Country Government</w:t>
            </w:r>
          </w:p>
        </w:tc>
        <w:tc>
          <w:tcPr>
            <w:tcW w:w="4363" w:type="dxa"/>
            <w:vMerge w:val="restart"/>
            <w:tcMar>
              <w:left w:w="28" w:type="dxa"/>
              <w:right w:w="57" w:type="dxa"/>
            </w:tcMar>
          </w:tcPr>
          <w:p w14:paraId="35448F8B" w14:textId="1491BD23" w:rsidR="006A6535" w:rsidRPr="0000203E" w:rsidRDefault="006A6535" w:rsidP="00481CA4">
            <w:pPr>
              <w:rPr>
                <w:sz w:val="18"/>
                <w:szCs w:val="18"/>
              </w:rPr>
            </w:pPr>
            <w:r w:rsidRPr="0000203E">
              <w:rPr>
                <w:rFonts w:cs="Calibri"/>
                <w:sz w:val="18"/>
                <w:szCs w:val="18"/>
              </w:rPr>
              <w:t>Ministry of Culture, Tourism and Environment (MCTA) through the National Development Program # 2.4.1 (Climate Change)</w:t>
            </w:r>
          </w:p>
        </w:tc>
        <w:tc>
          <w:tcPr>
            <w:tcW w:w="1254" w:type="dxa"/>
            <w:tcMar>
              <w:left w:w="28" w:type="dxa"/>
              <w:right w:w="57" w:type="dxa"/>
            </w:tcMar>
          </w:tcPr>
          <w:p w14:paraId="224399EB" w14:textId="77777777" w:rsidR="006A6535" w:rsidRPr="0000203E" w:rsidRDefault="006A6535" w:rsidP="00481CA4">
            <w:pPr>
              <w:rPr>
                <w:sz w:val="18"/>
                <w:szCs w:val="18"/>
              </w:rPr>
            </w:pPr>
            <w:r w:rsidRPr="0000203E">
              <w:rPr>
                <w:rFonts w:cs="Calibri"/>
                <w:sz w:val="18"/>
                <w:szCs w:val="18"/>
              </w:rPr>
              <w:t xml:space="preserve">Public Investment </w:t>
            </w:r>
          </w:p>
        </w:tc>
        <w:tc>
          <w:tcPr>
            <w:tcW w:w="1045" w:type="dxa"/>
            <w:tcMar>
              <w:left w:w="28" w:type="dxa"/>
              <w:right w:w="57" w:type="dxa"/>
            </w:tcMar>
          </w:tcPr>
          <w:p w14:paraId="16749EB8" w14:textId="77777777" w:rsidR="006A6535" w:rsidRPr="0000203E" w:rsidRDefault="006A6535" w:rsidP="00481CA4">
            <w:pPr>
              <w:rPr>
                <w:sz w:val="18"/>
                <w:szCs w:val="18"/>
              </w:rPr>
            </w:pPr>
            <w:r w:rsidRPr="0000203E">
              <w:rPr>
                <w:rFonts w:cs="Calibri"/>
                <w:sz w:val="18"/>
                <w:szCs w:val="18"/>
              </w:rPr>
              <w:t>Investment mobilized</w:t>
            </w:r>
          </w:p>
        </w:tc>
        <w:tc>
          <w:tcPr>
            <w:tcW w:w="1046" w:type="dxa"/>
            <w:shd w:val="clear" w:color="auto" w:fill="auto"/>
            <w:tcMar>
              <w:left w:w="28" w:type="dxa"/>
              <w:right w:w="57" w:type="dxa"/>
            </w:tcMar>
          </w:tcPr>
          <w:p w14:paraId="12F9C43A" w14:textId="471BB064" w:rsidR="006A6535" w:rsidRPr="0000203E" w:rsidRDefault="3AA9B1EA" w:rsidP="5F3EA9C0">
            <w:pPr>
              <w:spacing w:line="259" w:lineRule="auto"/>
              <w:jc w:val="right"/>
              <w:rPr>
                <w:rFonts w:ascii="Times" w:eastAsia="Times" w:hAnsi="Times" w:cs="Times"/>
                <w:sz w:val="18"/>
                <w:szCs w:val="18"/>
                <w:lang w:val="en-US"/>
              </w:rPr>
            </w:pPr>
            <w:r w:rsidRPr="5F3EA9C0">
              <w:rPr>
                <w:rFonts w:ascii="Times" w:eastAsia="Times" w:hAnsi="Times" w:cs="Times"/>
                <w:sz w:val="18"/>
                <w:szCs w:val="18"/>
                <w:lang w:val="en-US"/>
              </w:rPr>
              <w:t>21</w:t>
            </w:r>
            <w:r w:rsidR="73E39165" w:rsidRPr="5F3EA9C0">
              <w:rPr>
                <w:rFonts w:ascii="Times" w:eastAsia="Times" w:hAnsi="Times" w:cs="Times"/>
                <w:sz w:val="18"/>
                <w:szCs w:val="18"/>
                <w:lang w:val="en-US"/>
              </w:rPr>
              <w:t>,</w:t>
            </w:r>
            <w:r w:rsidRPr="5F3EA9C0">
              <w:rPr>
                <w:rFonts w:ascii="Times" w:eastAsia="Times" w:hAnsi="Times" w:cs="Times"/>
                <w:sz w:val="18"/>
                <w:szCs w:val="18"/>
                <w:lang w:val="en-US"/>
              </w:rPr>
              <w:t>247</w:t>
            </w:r>
            <w:r w:rsidR="2C5C244E" w:rsidRPr="5F3EA9C0">
              <w:rPr>
                <w:rFonts w:ascii="Times" w:eastAsia="Times" w:hAnsi="Times" w:cs="Times"/>
                <w:sz w:val="18"/>
                <w:szCs w:val="18"/>
                <w:lang w:val="en-US"/>
              </w:rPr>
              <w:t>,</w:t>
            </w:r>
            <w:r w:rsidRPr="5F3EA9C0">
              <w:rPr>
                <w:rFonts w:ascii="Times" w:eastAsia="Times" w:hAnsi="Times" w:cs="Times"/>
                <w:sz w:val="18"/>
                <w:szCs w:val="18"/>
                <w:lang w:val="en-US"/>
              </w:rPr>
              <w:t>200</w:t>
            </w:r>
          </w:p>
        </w:tc>
      </w:tr>
      <w:tr w:rsidR="003228B0" w:rsidRPr="00B0268D" w14:paraId="25373D0C" w14:textId="77777777" w:rsidTr="72739566">
        <w:trPr>
          <w:cantSplit/>
          <w:trHeight w:val="203"/>
        </w:trPr>
        <w:tc>
          <w:tcPr>
            <w:tcW w:w="1455" w:type="dxa"/>
            <w:vMerge/>
            <w:tcMar>
              <w:left w:w="28" w:type="dxa"/>
              <w:right w:w="57" w:type="dxa"/>
            </w:tcMar>
          </w:tcPr>
          <w:p w14:paraId="7C711FE5" w14:textId="77777777" w:rsidR="006A6535" w:rsidRPr="0000203E" w:rsidRDefault="006A6535" w:rsidP="00481CA4">
            <w:pPr>
              <w:rPr>
                <w:rFonts w:cs="Calibri"/>
                <w:sz w:val="18"/>
                <w:szCs w:val="18"/>
              </w:rPr>
            </w:pPr>
          </w:p>
        </w:tc>
        <w:tc>
          <w:tcPr>
            <w:tcW w:w="4363" w:type="dxa"/>
            <w:vMerge/>
            <w:tcMar>
              <w:left w:w="28" w:type="dxa"/>
              <w:right w:w="57" w:type="dxa"/>
            </w:tcMar>
          </w:tcPr>
          <w:p w14:paraId="1AE19A77" w14:textId="77777777" w:rsidR="006A6535" w:rsidRPr="0000203E" w:rsidRDefault="006A6535" w:rsidP="00481CA4">
            <w:pPr>
              <w:rPr>
                <w:rFonts w:cs="Calibri"/>
                <w:sz w:val="18"/>
                <w:szCs w:val="18"/>
              </w:rPr>
            </w:pPr>
          </w:p>
        </w:tc>
        <w:tc>
          <w:tcPr>
            <w:tcW w:w="1254" w:type="dxa"/>
            <w:tcMar>
              <w:left w:w="28" w:type="dxa"/>
              <w:right w:w="57" w:type="dxa"/>
            </w:tcMar>
          </w:tcPr>
          <w:p w14:paraId="6FEDFFD4" w14:textId="11F6821F" w:rsidR="006A6535" w:rsidRPr="006A6535" w:rsidRDefault="006A6535" w:rsidP="00481CA4">
            <w:pPr>
              <w:rPr>
                <w:rFonts w:cs="Calibri"/>
                <w:sz w:val="18"/>
                <w:szCs w:val="18"/>
                <w:highlight w:val="yellow"/>
              </w:rPr>
            </w:pPr>
            <w:r w:rsidRPr="006A6535">
              <w:rPr>
                <w:rFonts w:cs="Calibri"/>
                <w:sz w:val="18"/>
                <w:szCs w:val="18"/>
                <w:highlight w:val="yellow"/>
              </w:rPr>
              <w:t xml:space="preserve">In-kind </w:t>
            </w:r>
          </w:p>
          <w:p w14:paraId="5BEF8DE3" w14:textId="290CED07" w:rsidR="006A6535" w:rsidRPr="006A6535" w:rsidRDefault="006A6535" w:rsidP="00481CA4">
            <w:pPr>
              <w:rPr>
                <w:rFonts w:cs="Calibri"/>
                <w:sz w:val="18"/>
                <w:szCs w:val="18"/>
                <w:highlight w:val="yellow"/>
              </w:rPr>
            </w:pPr>
          </w:p>
        </w:tc>
        <w:tc>
          <w:tcPr>
            <w:tcW w:w="1045" w:type="dxa"/>
            <w:tcMar>
              <w:left w:w="28" w:type="dxa"/>
              <w:right w:w="57" w:type="dxa"/>
            </w:tcMar>
          </w:tcPr>
          <w:p w14:paraId="10232252" w14:textId="1552562B" w:rsidR="006A6535" w:rsidRPr="006A6535" w:rsidRDefault="006A6535" w:rsidP="00481CA4">
            <w:pPr>
              <w:rPr>
                <w:rFonts w:cs="Calibri"/>
                <w:sz w:val="18"/>
                <w:szCs w:val="18"/>
                <w:highlight w:val="yellow"/>
              </w:rPr>
            </w:pPr>
            <w:r w:rsidRPr="006A6535">
              <w:rPr>
                <w:rFonts w:cs="Calibri"/>
                <w:sz w:val="18"/>
                <w:szCs w:val="18"/>
                <w:highlight w:val="yellow"/>
              </w:rPr>
              <w:t xml:space="preserve">Recurrent Expenditure </w:t>
            </w:r>
          </w:p>
        </w:tc>
        <w:tc>
          <w:tcPr>
            <w:tcW w:w="1046" w:type="dxa"/>
            <w:shd w:val="clear" w:color="auto" w:fill="auto"/>
            <w:tcMar>
              <w:left w:w="28" w:type="dxa"/>
              <w:right w:w="57" w:type="dxa"/>
            </w:tcMar>
          </w:tcPr>
          <w:p w14:paraId="2EE86A00" w14:textId="5134A88C" w:rsidR="006A6535" w:rsidRPr="0000203E" w:rsidRDefault="3A1A37CA" w:rsidP="00481CA4">
            <w:pPr>
              <w:jc w:val="right"/>
              <w:rPr>
                <w:rFonts w:ascii="Times" w:eastAsia="Times" w:hAnsi="Times" w:cs="Times"/>
                <w:sz w:val="18"/>
                <w:szCs w:val="18"/>
                <w:lang w:val="en-US"/>
              </w:rPr>
            </w:pPr>
            <w:r w:rsidRPr="00743AA6">
              <w:rPr>
                <w:rFonts w:ascii="Times" w:eastAsia="Times" w:hAnsi="Times" w:cs="Times"/>
                <w:sz w:val="18"/>
                <w:szCs w:val="18"/>
                <w:highlight w:val="yellow"/>
                <w:lang w:val="en-US"/>
              </w:rPr>
              <w:t>252</w:t>
            </w:r>
            <w:r w:rsidR="2EC26D4C" w:rsidRPr="00743AA6">
              <w:rPr>
                <w:rFonts w:ascii="Times" w:eastAsia="Times" w:hAnsi="Times" w:cs="Times"/>
                <w:sz w:val="18"/>
                <w:szCs w:val="18"/>
                <w:highlight w:val="yellow"/>
                <w:lang w:val="en-US"/>
              </w:rPr>
              <w:t>,</w:t>
            </w:r>
            <w:r w:rsidRPr="00743AA6">
              <w:rPr>
                <w:rFonts w:ascii="Times" w:eastAsia="Times" w:hAnsi="Times" w:cs="Times"/>
                <w:sz w:val="18"/>
                <w:szCs w:val="18"/>
                <w:highlight w:val="yellow"/>
                <w:lang w:val="en-US"/>
              </w:rPr>
              <w:t>800</w:t>
            </w:r>
          </w:p>
        </w:tc>
      </w:tr>
      <w:tr w:rsidR="00B4158D" w:rsidRPr="00D11CA5" w14:paraId="4821189A" w14:textId="77777777" w:rsidTr="72739566">
        <w:trPr>
          <w:cantSplit/>
          <w:trHeight w:val="540"/>
        </w:trPr>
        <w:tc>
          <w:tcPr>
            <w:tcW w:w="1455" w:type="dxa"/>
            <w:vMerge w:val="restart"/>
            <w:tcMar>
              <w:left w:w="28" w:type="dxa"/>
              <w:right w:w="57" w:type="dxa"/>
            </w:tcMar>
          </w:tcPr>
          <w:p w14:paraId="25015661" w14:textId="77777777" w:rsidR="006A6535" w:rsidRPr="0000203E" w:rsidRDefault="006A6535" w:rsidP="00481CA4">
            <w:pPr>
              <w:rPr>
                <w:sz w:val="18"/>
                <w:szCs w:val="18"/>
              </w:rPr>
            </w:pPr>
            <w:r w:rsidRPr="0000203E">
              <w:rPr>
                <w:rFonts w:cs="Calibri"/>
                <w:sz w:val="18"/>
                <w:szCs w:val="18"/>
              </w:rPr>
              <w:t>Recipient Country Government</w:t>
            </w:r>
          </w:p>
        </w:tc>
        <w:tc>
          <w:tcPr>
            <w:tcW w:w="4363" w:type="dxa"/>
            <w:vMerge w:val="restart"/>
            <w:tcMar>
              <w:left w:w="28" w:type="dxa"/>
              <w:right w:w="57" w:type="dxa"/>
            </w:tcMar>
          </w:tcPr>
          <w:p w14:paraId="3F5B99E2" w14:textId="5C6B2C51" w:rsidR="006A6535" w:rsidRPr="0000203E" w:rsidRDefault="006A6535" w:rsidP="00481CA4">
            <w:pPr>
              <w:rPr>
                <w:sz w:val="18"/>
                <w:szCs w:val="18"/>
              </w:rPr>
            </w:pPr>
            <w:r w:rsidRPr="3764D022">
              <w:rPr>
                <w:rFonts w:cs="Calibri"/>
                <w:sz w:val="18"/>
                <w:szCs w:val="18"/>
              </w:rPr>
              <w:t xml:space="preserve">Ministry of Agriculture and Fishery (MINAGRIP) through the National Development Programs # 2.3.2 (Promoting Agricultural Production) and # 2.3.4 (Promoting the Sustainable Use and Management of Forest Resources) </w:t>
            </w:r>
          </w:p>
        </w:tc>
        <w:tc>
          <w:tcPr>
            <w:tcW w:w="1254" w:type="dxa"/>
            <w:tcMar>
              <w:left w:w="28" w:type="dxa"/>
              <w:right w:w="57" w:type="dxa"/>
            </w:tcMar>
          </w:tcPr>
          <w:p w14:paraId="382B5A5B" w14:textId="77777777" w:rsidR="006A6535" w:rsidRPr="0000203E" w:rsidRDefault="006A6535" w:rsidP="00481CA4">
            <w:pPr>
              <w:rPr>
                <w:sz w:val="18"/>
                <w:szCs w:val="18"/>
              </w:rPr>
            </w:pPr>
            <w:r w:rsidRPr="0000203E">
              <w:rPr>
                <w:rFonts w:cs="Calibri"/>
                <w:sz w:val="18"/>
                <w:szCs w:val="18"/>
              </w:rPr>
              <w:t xml:space="preserve">Public Investment </w:t>
            </w:r>
          </w:p>
        </w:tc>
        <w:tc>
          <w:tcPr>
            <w:tcW w:w="1045" w:type="dxa"/>
            <w:tcMar>
              <w:left w:w="28" w:type="dxa"/>
              <w:right w:w="57" w:type="dxa"/>
            </w:tcMar>
          </w:tcPr>
          <w:p w14:paraId="72361412" w14:textId="77777777" w:rsidR="006A6535" w:rsidRPr="0000203E" w:rsidRDefault="006A6535" w:rsidP="00481CA4">
            <w:pPr>
              <w:rPr>
                <w:sz w:val="18"/>
                <w:szCs w:val="18"/>
              </w:rPr>
            </w:pPr>
            <w:r w:rsidRPr="0000203E">
              <w:rPr>
                <w:rFonts w:cs="Calibri"/>
                <w:sz w:val="18"/>
                <w:szCs w:val="18"/>
              </w:rPr>
              <w:t>Investment mobilized</w:t>
            </w:r>
          </w:p>
        </w:tc>
        <w:tc>
          <w:tcPr>
            <w:tcW w:w="1046" w:type="dxa"/>
            <w:shd w:val="clear" w:color="auto" w:fill="auto"/>
            <w:tcMar>
              <w:left w:w="28" w:type="dxa"/>
              <w:right w:w="57" w:type="dxa"/>
            </w:tcMar>
          </w:tcPr>
          <w:p w14:paraId="1FACED87" w14:textId="6850806D" w:rsidR="006A6535" w:rsidRPr="00D11CA5" w:rsidRDefault="006A6535" w:rsidP="00481CA4">
            <w:pPr>
              <w:jc w:val="right"/>
              <w:rPr>
                <w:rFonts w:ascii="Times" w:eastAsia="Times" w:hAnsi="Times" w:cs="Times"/>
                <w:sz w:val="18"/>
                <w:szCs w:val="18"/>
                <w:highlight w:val="red"/>
              </w:rPr>
            </w:pPr>
            <w:r w:rsidRPr="5F3EA9C0">
              <w:rPr>
                <w:rFonts w:ascii="Times" w:eastAsia="Times" w:hAnsi="Times" w:cs="Times"/>
                <w:sz w:val="18"/>
                <w:szCs w:val="18"/>
                <w:lang w:val="en-US"/>
              </w:rPr>
              <w:t>10,</w:t>
            </w:r>
            <w:r w:rsidR="4ECD97B2" w:rsidRPr="5F3EA9C0">
              <w:rPr>
                <w:rFonts w:ascii="Times" w:eastAsia="Times" w:hAnsi="Times" w:cs="Times"/>
                <w:sz w:val="18"/>
                <w:szCs w:val="18"/>
                <w:lang w:val="en-US"/>
              </w:rPr>
              <w:t>210</w:t>
            </w:r>
            <w:r w:rsidRPr="5F3EA9C0">
              <w:rPr>
                <w:rFonts w:ascii="Times" w:eastAsia="Times" w:hAnsi="Times" w:cs="Times"/>
                <w:sz w:val="18"/>
                <w:szCs w:val="18"/>
                <w:lang w:val="en-US"/>
              </w:rPr>
              <w:t>,000</w:t>
            </w:r>
          </w:p>
        </w:tc>
      </w:tr>
      <w:tr w:rsidR="003228B0" w:rsidRPr="00B0268D" w14:paraId="7FDB97D3" w14:textId="77777777" w:rsidTr="72739566">
        <w:trPr>
          <w:cantSplit/>
          <w:trHeight w:val="285"/>
        </w:trPr>
        <w:tc>
          <w:tcPr>
            <w:tcW w:w="1455" w:type="dxa"/>
            <w:vMerge/>
            <w:tcMar>
              <w:left w:w="28" w:type="dxa"/>
              <w:right w:w="57" w:type="dxa"/>
            </w:tcMar>
          </w:tcPr>
          <w:p w14:paraId="7E296205" w14:textId="77777777" w:rsidR="006A6535" w:rsidRPr="0000203E" w:rsidRDefault="006A6535" w:rsidP="00481CA4">
            <w:pPr>
              <w:rPr>
                <w:rFonts w:cs="Calibri"/>
                <w:sz w:val="18"/>
                <w:szCs w:val="18"/>
              </w:rPr>
            </w:pPr>
          </w:p>
        </w:tc>
        <w:tc>
          <w:tcPr>
            <w:tcW w:w="4363" w:type="dxa"/>
            <w:vMerge/>
            <w:tcMar>
              <w:left w:w="28" w:type="dxa"/>
              <w:right w:w="57" w:type="dxa"/>
            </w:tcMar>
          </w:tcPr>
          <w:p w14:paraId="14A24711" w14:textId="77777777" w:rsidR="006A6535" w:rsidRPr="3764D022" w:rsidRDefault="006A6535" w:rsidP="00481CA4">
            <w:pPr>
              <w:rPr>
                <w:rFonts w:cs="Calibri"/>
                <w:sz w:val="18"/>
                <w:szCs w:val="18"/>
              </w:rPr>
            </w:pPr>
          </w:p>
        </w:tc>
        <w:tc>
          <w:tcPr>
            <w:tcW w:w="1254" w:type="dxa"/>
            <w:tcMar>
              <w:left w:w="28" w:type="dxa"/>
              <w:right w:w="57" w:type="dxa"/>
            </w:tcMar>
          </w:tcPr>
          <w:p w14:paraId="1FE53758" w14:textId="77777777" w:rsidR="006A6535" w:rsidRPr="006A6535" w:rsidRDefault="006A6535" w:rsidP="006A6535">
            <w:pPr>
              <w:rPr>
                <w:rFonts w:cs="Calibri"/>
                <w:sz w:val="18"/>
                <w:szCs w:val="18"/>
                <w:highlight w:val="yellow"/>
              </w:rPr>
            </w:pPr>
            <w:r w:rsidRPr="006A6535">
              <w:rPr>
                <w:rFonts w:cs="Calibri"/>
                <w:sz w:val="18"/>
                <w:szCs w:val="18"/>
                <w:highlight w:val="yellow"/>
              </w:rPr>
              <w:t xml:space="preserve">In-kind </w:t>
            </w:r>
          </w:p>
          <w:p w14:paraId="308D045C" w14:textId="77777777" w:rsidR="006A6535" w:rsidRPr="0000203E" w:rsidRDefault="006A6535" w:rsidP="00481CA4">
            <w:pPr>
              <w:rPr>
                <w:rFonts w:cs="Calibri"/>
                <w:sz w:val="18"/>
                <w:szCs w:val="18"/>
              </w:rPr>
            </w:pPr>
          </w:p>
        </w:tc>
        <w:tc>
          <w:tcPr>
            <w:tcW w:w="1045" w:type="dxa"/>
            <w:tcMar>
              <w:left w:w="28" w:type="dxa"/>
              <w:right w:w="57" w:type="dxa"/>
            </w:tcMar>
          </w:tcPr>
          <w:p w14:paraId="2CED0534" w14:textId="19E4406A" w:rsidR="006A6535" w:rsidRPr="0000203E" w:rsidRDefault="006A6535" w:rsidP="00481CA4">
            <w:pPr>
              <w:rPr>
                <w:rFonts w:cs="Calibri"/>
                <w:sz w:val="18"/>
                <w:szCs w:val="18"/>
              </w:rPr>
            </w:pPr>
            <w:r w:rsidRPr="006A6535">
              <w:rPr>
                <w:rFonts w:cs="Calibri"/>
                <w:sz w:val="18"/>
                <w:szCs w:val="18"/>
                <w:highlight w:val="yellow"/>
              </w:rPr>
              <w:t>Recurrent Expenditure</w:t>
            </w:r>
          </w:p>
        </w:tc>
        <w:tc>
          <w:tcPr>
            <w:tcW w:w="1046" w:type="dxa"/>
            <w:shd w:val="clear" w:color="auto" w:fill="auto"/>
            <w:tcMar>
              <w:left w:w="28" w:type="dxa"/>
              <w:right w:w="57" w:type="dxa"/>
            </w:tcMar>
          </w:tcPr>
          <w:p w14:paraId="1BED762F" w14:textId="36BDD42B" w:rsidR="006A6535" w:rsidRPr="0000203E" w:rsidRDefault="53BCAB11" w:rsidP="00481CA4">
            <w:pPr>
              <w:jc w:val="right"/>
              <w:rPr>
                <w:rFonts w:ascii="Times" w:eastAsia="Times" w:hAnsi="Times" w:cs="Times"/>
                <w:sz w:val="18"/>
                <w:szCs w:val="18"/>
                <w:lang w:val="en-US"/>
              </w:rPr>
            </w:pPr>
            <w:r w:rsidRPr="00743AA6">
              <w:rPr>
                <w:rFonts w:ascii="Times" w:eastAsia="Times" w:hAnsi="Times" w:cs="Times"/>
                <w:sz w:val="18"/>
                <w:szCs w:val="18"/>
                <w:highlight w:val="yellow"/>
                <w:lang w:val="en-US"/>
              </w:rPr>
              <w:t>490</w:t>
            </w:r>
            <w:r w:rsidR="1210F5DD" w:rsidRPr="00743AA6">
              <w:rPr>
                <w:rFonts w:ascii="Times" w:eastAsia="Times" w:hAnsi="Times" w:cs="Times"/>
                <w:sz w:val="18"/>
                <w:szCs w:val="18"/>
                <w:highlight w:val="yellow"/>
                <w:lang w:val="en-US"/>
              </w:rPr>
              <w:t>,</w:t>
            </w:r>
            <w:r w:rsidRPr="00743AA6">
              <w:rPr>
                <w:rFonts w:ascii="Times" w:eastAsia="Times" w:hAnsi="Times" w:cs="Times"/>
                <w:sz w:val="18"/>
                <w:szCs w:val="18"/>
                <w:highlight w:val="yellow"/>
                <w:lang w:val="en-US"/>
              </w:rPr>
              <w:t>000</w:t>
            </w:r>
          </w:p>
        </w:tc>
      </w:tr>
      <w:tr w:rsidR="00B4158D" w:rsidRPr="00B0268D" w14:paraId="0FBFD753" w14:textId="77777777" w:rsidTr="72739566">
        <w:trPr>
          <w:cantSplit/>
        </w:trPr>
        <w:tc>
          <w:tcPr>
            <w:tcW w:w="1455" w:type="dxa"/>
            <w:tcMar>
              <w:left w:w="28" w:type="dxa"/>
              <w:right w:w="57" w:type="dxa"/>
            </w:tcMar>
          </w:tcPr>
          <w:p w14:paraId="38B9AD81" w14:textId="1FFA8C4D" w:rsidR="009563B4" w:rsidRPr="0000203E" w:rsidRDefault="00BF7BF8" w:rsidP="00481CA4">
            <w:pPr>
              <w:rPr>
                <w:sz w:val="18"/>
                <w:szCs w:val="18"/>
              </w:rPr>
            </w:pPr>
            <w:r>
              <w:rPr>
                <w:rFonts w:cs="Calibri"/>
                <w:sz w:val="18"/>
                <w:szCs w:val="18"/>
              </w:rPr>
              <w:t xml:space="preserve">Donor Agency </w:t>
            </w:r>
            <w:r w:rsidR="00E66FAC" w:rsidRPr="0000203E">
              <w:rPr>
                <w:rFonts w:cs="Calibri"/>
                <w:sz w:val="18"/>
                <w:szCs w:val="18"/>
              </w:rPr>
              <w:t>/IFAD</w:t>
            </w:r>
          </w:p>
        </w:tc>
        <w:tc>
          <w:tcPr>
            <w:tcW w:w="4363" w:type="dxa"/>
            <w:tcMar>
              <w:left w:w="28" w:type="dxa"/>
              <w:right w:w="57" w:type="dxa"/>
            </w:tcMar>
          </w:tcPr>
          <w:p w14:paraId="4641F45F" w14:textId="1ED089C8" w:rsidR="009563B4" w:rsidRPr="0000203E" w:rsidRDefault="008239F7" w:rsidP="00481CA4">
            <w:pPr>
              <w:rPr>
                <w:sz w:val="18"/>
                <w:szCs w:val="18"/>
              </w:rPr>
            </w:pPr>
            <w:r>
              <w:rPr>
                <w:rFonts w:cs="Calibri"/>
                <w:sz w:val="18"/>
                <w:szCs w:val="18"/>
              </w:rPr>
              <w:t xml:space="preserve">International Fund </w:t>
            </w:r>
            <w:r w:rsidR="007F1809">
              <w:rPr>
                <w:rFonts w:cs="Calibri"/>
                <w:sz w:val="18"/>
                <w:szCs w:val="18"/>
              </w:rPr>
              <w:t xml:space="preserve">for Agricultural Development (IFAD) </w:t>
            </w:r>
            <w:r w:rsidR="5E7FA2C6" w:rsidRPr="3764D022">
              <w:rPr>
                <w:rFonts w:cs="Calibri"/>
                <w:sz w:val="18"/>
                <w:szCs w:val="18"/>
              </w:rPr>
              <w:t>Smallholder Resilience Enhancement Project</w:t>
            </w:r>
          </w:p>
        </w:tc>
        <w:tc>
          <w:tcPr>
            <w:tcW w:w="1254" w:type="dxa"/>
            <w:tcMar>
              <w:left w:w="28" w:type="dxa"/>
              <w:right w:w="57" w:type="dxa"/>
            </w:tcMar>
          </w:tcPr>
          <w:p w14:paraId="6B48B76D" w14:textId="77777777" w:rsidR="009563B4" w:rsidRPr="0000203E" w:rsidRDefault="009563B4" w:rsidP="00481CA4">
            <w:pPr>
              <w:rPr>
                <w:sz w:val="18"/>
                <w:szCs w:val="18"/>
              </w:rPr>
            </w:pPr>
            <w:r w:rsidRPr="0000203E">
              <w:rPr>
                <w:rFonts w:cs="Calibri"/>
                <w:sz w:val="18"/>
                <w:szCs w:val="18"/>
              </w:rPr>
              <w:t xml:space="preserve">Public Investment </w:t>
            </w:r>
          </w:p>
        </w:tc>
        <w:tc>
          <w:tcPr>
            <w:tcW w:w="1045" w:type="dxa"/>
            <w:tcMar>
              <w:left w:w="28" w:type="dxa"/>
              <w:right w:w="57" w:type="dxa"/>
            </w:tcMar>
          </w:tcPr>
          <w:p w14:paraId="5FB1C569" w14:textId="77777777" w:rsidR="009563B4" w:rsidRPr="0000203E" w:rsidRDefault="009563B4" w:rsidP="00481CA4">
            <w:pPr>
              <w:rPr>
                <w:sz w:val="18"/>
                <w:szCs w:val="18"/>
              </w:rPr>
            </w:pPr>
            <w:r w:rsidRPr="0000203E">
              <w:rPr>
                <w:rFonts w:cs="Calibri"/>
                <w:sz w:val="18"/>
                <w:szCs w:val="18"/>
              </w:rPr>
              <w:t>Investment mobilized</w:t>
            </w:r>
          </w:p>
        </w:tc>
        <w:tc>
          <w:tcPr>
            <w:tcW w:w="1046" w:type="dxa"/>
            <w:shd w:val="clear" w:color="auto" w:fill="auto"/>
            <w:tcMar>
              <w:left w:w="28" w:type="dxa"/>
              <w:right w:w="57" w:type="dxa"/>
            </w:tcMar>
          </w:tcPr>
          <w:p w14:paraId="41EF2DE1" w14:textId="2E371A19" w:rsidR="009563B4" w:rsidRPr="0000203E" w:rsidRDefault="6FB69A1D" w:rsidP="00481CA4">
            <w:pPr>
              <w:jc w:val="right"/>
              <w:rPr>
                <w:rFonts w:ascii="Times" w:eastAsia="Times" w:hAnsi="Times" w:cs="Times"/>
                <w:sz w:val="18"/>
                <w:szCs w:val="18"/>
              </w:rPr>
            </w:pPr>
            <w:r w:rsidRPr="5F3EA9C0">
              <w:rPr>
                <w:rFonts w:ascii="Times" w:eastAsia="Times" w:hAnsi="Times" w:cs="Times"/>
                <w:sz w:val="18"/>
                <w:szCs w:val="18"/>
              </w:rPr>
              <w:t>1,8</w:t>
            </w:r>
            <w:r w:rsidR="009563B4" w:rsidRPr="5F3EA9C0">
              <w:rPr>
                <w:rFonts w:ascii="Times" w:eastAsia="Times" w:hAnsi="Times" w:cs="Times"/>
                <w:sz w:val="18"/>
                <w:szCs w:val="18"/>
              </w:rPr>
              <w:t>00,000</w:t>
            </w:r>
          </w:p>
        </w:tc>
      </w:tr>
      <w:tr w:rsidR="003228B0" w:rsidRPr="00B0268D" w14:paraId="63384900" w14:textId="77777777" w:rsidTr="72739566">
        <w:trPr>
          <w:cantSplit/>
          <w:trHeight w:val="487"/>
        </w:trPr>
        <w:tc>
          <w:tcPr>
            <w:tcW w:w="1455" w:type="dxa"/>
            <w:vMerge w:val="restart"/>
            <w:tcMar>
              <w:left w:w="28" w:type="dxa"/>
              <w:right w:w="57" w:type="dxa"/>
            </w:tcMar>
          </w:tcPr>
          <w:p w14:paraId="4DB442AC" w14:textId="77777777" w:rsidR="006A6535" w:rsidRPr="0000203E" w:rsidRDefault="006A6535" w:rsidP="00481CA4">
            <w:pPr>
              <w:rPr>
                <w:sz w:val="18"/>
                <w:szCs w:val="18"/>
              </w:rPr>
            </w:pPr>
            <w:r w:rsidRPr="0000203E">
              <w:rPr>
                <w:rFonts w:cs="Calibri"/>
                <w:sz w:val="18"/>
                <w:szCs w:val="18"/>
              </w:rPr>
              <w:t>GEF Agency</w:t>
            </w:r>
          </w:p>
        </w:tc>
        <w:tc>
          <w:tcPr>
            <w:tcW w:w="4363" w:type="dxa"/>
            <w:vMerge w:val="restart"/>
            <w:tcMar>
              <w:left w:w="28" w:type="dxa"/>
              <w:right w:w="57" w:type="dxa"/>
            </w:tcMar>
          </w:tcPr>
          <w:p w14:paraId="176EB12E" w14:textId="77777777" w:rsidR="006A6535" w:rsidRPr="0000203E" w:rsidRDefault="006A6535" w:rsidP="00481CA4">
            <w:pPr>
              <w:rPr>
                <w:sz w:val="18"/>
                <w:szCs w:val="18"/>
              </w:rPr>
            </w:pPr>
            <w:r w:rsidRPr="0000203E">
              <w:rPr>
                <w:rFonts w:cs="Calibri"/>
                <w:sz w:val="18"/>
                <w:szCs w:val="18"/>
              </w:rPr>
              <w:t>Food and Agriculture Organizations of the United Nations</w:t>
            </w:r>
          </w:p>
        </w:tc>
        <w:tc>
          <w:tcPr>
            <w:tcW w:w="1254" w:type="dxa"/>
            <w:tcMar>
              <w:left w:w="28" w:type="dxa"/>
              <w:right w:w="57" w:type="dxa"/>
            </w:tcMar>
          </w:tcPr>
          <w:p w14:paraId="0C8FEC62" w14:textId="77777777" w:rsidR="006A6535" w:rsidRPr="0000203E" w:rsidRDefault="006A6535" w:rsidP="00481CA4">
            <w:pPr>
              <w:rPr>
                <w:sz w:val="18"/>
                <w:szCs w:val="18"/>
              </w:rPr>
            </w:pPr>
            <w:r w:rsidRPr="0000203E">
              <w:rPr>
                <w:rFonts w:cs="Calibri"/>
                <w:sz w:val="18"/>
                <w:szCs w:val="18"/>
              </w:rPr>
              <w:t>Grant</w:t>
            </w:r>
          </w:p>
        </w:tc>
        <w:tc>
          <w:tcPr>
            <w:tcW w:w="1045" w:type="dxa"/>
            <w:tcMar>
              <w:left w:w="28" w:type="dxa"/>
              <w:right w:w="57" w:type="dxa"/>
            </w:tcMar>
          </w:tcPr>
          <w:p w14:paraId="086C27B3" w14:textId="77777777" w:rsidR="006A6535" w:rsidRPr="0000203E" w:rsidRDefault="006A6535" w:rsidP="00481CA4">
            <w:pPr>
              <w:rPr>
                <w:sz w:val="18"/>
                <w:szCs w:val="18"/>
              </w:rPr>
            </w:pPr>
            <w:r w:rsidRPr="0000203E">
              <w:rPr>
                <w:rFonts w:cs="Calibri"/>
                <w:sz w:val="18"/>
                <w:szCs w:val="18"/>
              </w:rPr>
              <w:t>Investment mobilized</w:t>
            </w:r>
          </w:p>
        </w:tc>
        <w:tc>
          <w:tcPr>
            <w:tcW w:w="1046" w:type="dxa"/>
            <w:shd w:val="clear" w:color="auto" w:fill="auto"/>
            <w:tcMar>
              <w:left w:w="28" w:type="dxa"/>
              <w:right w:w="57" w:type="dxa"/>
            </w:tcMar>
          </w:tcPr>
          <w:p w14:paraId="4CCF57B3" w14:textId="6BC7273F" w:rsidR="006A6535" w:rsidRDefault="5FD381C0" w:rsidP="00481CA4">
            <w:pPr>
              <w:jc w:val="right"/>
              <w:rPr>
                <w:rFonts w:ascii="Times" w:eastAsia="Times" w:hAnsi="Times" w:cs="Times"/>
                <w:sz w:val="18"/>
                <w:szCs w:val="18"/>
              </w:rPr>
            </w:pPr>
            <w:r w:rsidRPr="5F3EA9C0">
              <w:rPr>
                <w:rFonts w:ascii="Times" w:eastAsia="Times" w:hAnsi="Times" w:cs="Times"/>
                <w:sz w:val="18"/>
                <w:szCs w:val="18"/>
              </w:rPr>
              <w:t>1</w:t>
            </w:r>
            <w:r w:rsidR="006A6535" w:rsidRPr="5F3EA9C0">
              <w:rPr>
                <w:rFonts w:ascii="Times" w:eastAsia="Times" w:hAnsi="Times" w:cs="Times"/>
                <w:sz w:val="18"/>
                <w:szCs w:val="18"/>
              </w:rPr>
              <w:t>00,000</w:t>
            </w:r>
          </w:p>
          <w:p w14:paraId="250F3960" w14:textId="77777777" w:rsidR="006A6535" w:rsidRDefault="006A6535" w:rsidP="00481CA4">
            <w:pPr>
              <w:jc w:val="right"/>
              <w:rPr>
                <w:rFonts w:ascii="Times" w:eastAsia="Times" w:hAnsi="Times" w:cs="Times"/>
                <w:sz w:val="18"/>
                <w:szCs w:val="18"/>
              </w:rPr>
            </w:pPr>
          </w:p>
          <w:p w14:paraId="383BA511" w14:textId="4E00D24E" w:rsidR="006A6535" w:rsidRPr="0000203E" w:rsidRDefault="006A6535" w:rsidP="00481CA4">
            <w:pPr>
              <w:jc w:val="right"/>
              <w:rPr>
                <w:rFonts w:ascii="Times" w:eastAsia="Times" w:hAnsi="Times" w:cs="Times"/>
                <w:sz w:val="18"/>
                <w:szCs w:val="18"/>
              </w:rPr>
            </w:pPr>
          </w:p>
        </w:tc>
      </w:tr>
      <w:tr w:rsidR="003228B0" w:rsidRPr="00B0268D" w14:paraId="3E9AEE89" w14:textId="77777777" w:rsidTr="72739566">
        <w:trPr>
          <w:cantSplit/>
          <w:trHeight w:val="548"/>
        </w:trPr>
        <w:tc>
          <w:tcPr>
            <w:tcW w:w="1455" w:type="dxa"/>
            <w:vMerge/>
            <w:tcMar>
              <w:left w:w="28" w:type="dxa"/>
              <w:right w:w="57" w:type="dxa"/>
            </w:tcMar>
          </w:tcPr>
          <w:p w14:paraId="3B313B80" w14:textId="77777777" w:rsidR="006A6535" w:rsidRPr="0000203E" w:rsidRDefault="006A6535" w:rsidP="00481CA4">
            <w:pPr>
              <w:rPr>
                <w:rFonts w:cs="Calibri"/>
                <w:sz w:val="18"/>
                <w:szCs w:val="18"/>
              </w:rPr>
            </w:pPr>
          </w:p>
        </w:tc>
        <w:tc>
          <w:tcPr>
            <w:tcW w:w="4363" w:type="dxa"/>
            <w:vMerge/>
            <w:tcMar>
              <w:left w:w="28" w:type="dxa"/>
              <w:right w:w="57" w:type="dxa"/>
            </w:tcMar>
          </w:tcPr>
          <w:p w14:paraId="6AC473AA" w14:textId="77777777" w:rsidR="006A6535" w:rsidRPr="0000203E" w:rsidRDefault="006A6535" w:rsidP="00481CA4">
            <w:pPr>
              <w:rPr>
                <w:rFonts w:cs="Calibri"/>
                <w:sz w:val="18"/>
                <w:szCs w:val="18"/>
              </w:rPr>
            </w:pPr>
          </w:p>
        </w:tc>
        <w:tc>
          <w:tcPr>
            <w:tcW w:w="1254" w:type="dxa"/>
            <w:tcMar>
              <w:left w:w="28" w:type="dxa"/>
              <w:right w:w="57" w:type="dxa"/>
            </w:tcMar>
          </w:tcPr>
          <w:p w14:paraId="693E2396" w14:textId="77777777" w:rsidR="006A6535" w:rsidRPr="006A6535" w:rsidRDefault="006A6535" w:rsidP="006A6535">
            <w:pPr>
              <w:rPr>
                <w:rFonts w:cs="Calibri"/>
                <w:sz w:val="18"/>
                <w:szCs w:val="18"/>
                <w:highlight w:val="yellow"/>
              </w:rPr>
            </w:pPr>
            <w:r w:rsidRPr="006A6535">
              <w:rPr>
                <w:rFonts w:cs="Calibri"/>
                <w:sz w:val="18"/>
                <w:szCs w:val="18"/>
                <w:highlight w:val="yellow"/>
              </w:rPr>
              <w:t xml:space="preserve">In-kind </w:t>
            </w:r>
          </w:p>
          <w:p w14:paraId="0D963C9E" w14:textId="77777777" w:rsidR="006A6535" w:rsidRPr="0000203E" w:rsidRDefault="006A6535" w:rsidP="00481CA4">
            <w:pPr>
              <w:rPr>
                <w:rFonts w:cs="Calibri"/>
                <w:sz w:val="18"/>
                <w:szCs w:val="18"/>
              </w:rPr>
            </w:pPr>
          </w:p>
        </w:tc>
        <w:tc>
          <w:tcPr>
            <w:tcW w:w="1045" w:type="dxa"/>
            <w:tcMar>
              <w:left w:w="28" w:type="dxa"/>
              <w:right w:w="57" w:type="dxa"/>
            </w:tcMar>
          </w:tcPr>
          <w:p w14:paraId="57A0369D" w14:textId="0EA9063D" w:rsidR="006A6535" w:rsidRPr="0000203E" w:rsidRDefault="006A6535" w:rsidP="00481CA4">
            <w:pPr>
              <w:rPr>
                <w:rFonts w:cs="Calibri"/>
                <w:sz w:val="18"/>
                <w:szCs w:val="18"/>
              </w:rPr>
            </w:pPr>
            <w:r w:rsidRPr="006A6535">
              <w:rPr>
                <w:rFonts w:cs="Calibri"/>
                <w:sz w:val="18"/>
                <w:szCs w:val="18"/>
                <w:highlight w:val="yellow"/>
              </w:rPr>
              <w:t>Recurrent Expenditure</w:t>
            </w:r>
          </w:p>
        </w:tc>
        <w:tc>
          <w:tcPr>
            <w:tcW w:w="1046" w:type="dxa"/>
            <w:shd w:val="clear" w:color="auto" w:fill="auto"/>
            <w:tcMar>
              <w:left w:w="28" w:type="dxa"/>
              <w:right w:w="57" w:type="dxa"/>
            </w:tcMar>
          </w:tcPr>
          <w:p w14:paraId="58471156" w14:textId="3C95B3E4" w:rsidR="006A6535" w:rsidRDefault="5D355677" w:rsidP="006A6535">
            <w:pPr>
              <w:jc w:val="right"/>
              <w:rPr>
                <w:rFonts w:ascii="Times" w:eastAsia="Times" w:hAnsi="Times" w:cs="Times"/>
                <w:sz w:val="18"/>
                <w:szCs w:val="18"/>
              </w:rPr>
            </w:pPr>
            <w:r w:rsidRPr="00743AA6">
              <w:rPr>
                <w:rFonts w:ascii="Times" w:eastAsia="Times" w:hAnsi="Times" w:cs="Times"/>
                <w:sz w:val="18"/>
                <w:szCs w:val="18"/>
                <w:highlight w:val="yellow"/>
              </w:rPr>
              <w:t>400,000</w:t>
            </w:r>
          </w:p>
          <w:p w14:paraId="3970E6C9" w14:textId="77777777" w:rsidR="006A6535" w:rsidRDefault="006A6535" w:rsidP="006A6535">
            <w:pPr>
              <w:jc w:val="right"/>
              <w:rPr>
                <w:rFonts w:ascii="Times" w:eastAsia="Times" w:hAnsi="Times" w:cs="Times"/>
                <w:sz w:val="18"/>
                <w:szCs w:val="18"/>
              </w:rPr>
            </w:pPr>
          </w:p>
          <w:p w14:paraId="385C0E3C" w14:textId="77777777" w:rsidR="006A6535" w:rsidRPr="0000203E" w:rsidRDefault="006A6535" w:rsidP="00481CA4">
            <w:pPr>
              <w:jc w:val="right"/>
              <w:rPr>
                <w:rFonts w:ascii="Times" w:eastAsia="Times" w:hAnsi="Times" w:cs="Times"/>
                <w:sz w:val="18"/>
                <w:szCs w:val="18"/>
              </w:rPr>
            </w:pPr>
          </w:p>
        </w:tc>
      </w:tr>
      <w:tr w:rsidR="00B4158D" w:rsidRPr="00E65CFF" w14:paraId="49CF78C3" w14:textId="77777777" w:rsidTr="72739566">
        <w:trPr>
          <w:cantSplit/>
        </w:trPr>
        <w:tc>
          <w:tcPr>
            <w:tcW w:w="8117" w:type="dxa"/>
            <w:gridSpan w:val="4"/>
            <w:tcBorders>
              <w:top w:val="double" w:sz="4" w:space="0" w:color="auto"/>
            </w:tcBorders>
            <w:tcMar>
              <w:left w:w="28" w:type="dxa"/>
              <w:right w:w="57" w:type="dxa"/>
            </w:tcMar>
          </w:tcPr>
          <w:p w14:paraId="01557E50" w14:textId="77777777" w:rsidR="009563B4" w:rsidRPr="00E65CFF" w:rsidRDefault="009563B4" w:rsidP="00481CA4">
            <w:pPr>
              <w:rPr>
                <w:b/>
                <w:bCs/>
                <w:sz w:val="20"/>
                <w:szCs w:val="20"/>
              </w:rPr>
            </w:pPr>
            <w:r w:rsidRPr="00E65CFF">
              <w:rPr>
                <w:b/>
                <w:bCs/>
                <w:sz w:val="20"/>
                <w:szCs w:val="20"/>
              </w:rPr>
              <w:t>Total Co-financing</w:t>
            </w:r>
          </w:p>
        </w:tc>
        <w:tc>
          <w:tcPr>
            <w:tcW w:w="1046" w:type="dxa"/>
            <w:tcBorders>
              <w:top w:val="double" w:sz="4" w:space="0" w:color="auto"/>
            </w:tcBorders>
            <w:tcMar>
              <w:left w:w="28" w:type="dxa"/>
              <w:right w:w="57" w:type="dxa"/>
            </w:tcMar>
          </w:tcPr>
          <w:p w14:paraId="47DB7976" w14:textId="09F09AB5" w:rsidR="009563B4" w:rsidRPr="00E65CFF" w:rsidRDefault="00450A9C" w:rsidP="00481CA4">
            <w:pPr>
              <w:jc w:val="right"/>
              <w:rPr>
                <w:b/>
                <w:bCs/>
                <w:sz w:val="20"/>
                <w:szCs w:val="20"/>
              </w:rPr>
            </w:pPr>
            <w:r w:rsidRPr="5F3EA9C0">
              <w:rPr>
                <w:b/>
                <w:sz w:val="20"/>
                <w:szCs w:val="20"/>
              </w:rPr>
              <w:t>34</w:t>
            </w:r>
            <w:r w:rsidR="009563B4" w:rsidRPr="5F3EA9C0">
              <w:rPr>
                <w:b/>
                <w:sz w:val="20"/>
                <w:szCs w:val="20"/>
              </w:rPr>
              <w:t>,</w:t>
            </w:r>
            <w:r w:rsidRPr="5F3EA9C0">
              <w:rPr>
                <w:b/>
                <w:sz w:val="20"/>
                <w:szCs w:val="20"/>
              </w:rPr>
              <w:t>5</w:t>
            </w:r>
            <w:r w:rsidR="009563B4" w:rsidRPr="5F3EA9C0">
              <w:rPr>
                <w:b/>
                <w:sz w:val="20"/>
                <w:szCs w:val="20"/>
              </w:rPr>
              <w:t>00,000</w:t>
            </w:r>
          </w:p>
        </w:tc>
      </w:tr>
    </w:tbl>
    <w:p w14:paraId="5790282E" w14:textId="5B55F51F" w:rsidR="009563B4" w:rsidRPr="00F9289C" w:rsidRDefault="009563B4" w:rsidP="00F9289C">
      <w:pPr>
        <w:pStyle w:val="Heading2"/>
        <w:spacing w:after="160"/>
        <w:rPr>
          <w:sz w:val="24"/>
          <w:szCs w:val="24"/>
          <w:lang w:val="en-US"/>
        </w:rPr>
      </w:pPr>
      <w:bookmarkStart w:id="11" w:name="_Toc58398587"/>
      <w:r w:rsidRPr="00A8287A">
        <w:rPr>
          <w:rFonts w:ascii="Calibri" w:hAnsi="Calibri" w:cs="Calibri"/>
          <w:sz w:val="20"/>
          <w:szCs w:val="20"/>
          <w:lang w:val="en-US"/>
        </w:rPr>
        <w:lastRenderedPageBreak/>
        <w:t>D. Trust Fund Resources by Agency(ies), Country(ies), Focal Area and</w:t>
      </w:r>
      <w:r w:rsidRPr="00F9289C">
        <w:rPr>
          <w:sz w:val="24"/>
          <w:szCs w:val="24"/>
          <w:lang w:val="en-US"/>
        </w:rPr>
        <w:t xml:space="preserve"> Programming of Funds</w:t>
      </w:r>
      <w:bookmarkEnd w:id="11"/>
    </w:p>
    <w:tbl>
      <w:tblPr>
        <w:tblW w:w="89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20"/>
        <w:gridCol w:w="775"/>
        <w:gridCol w:w="1219"/>
        <w:gridCol w:w="1582"/>
        <w:gridCol w:w="1393"/>
        <w:gridCol w:w="975"/>
        <w:gridCol w:w="850"/>
        <w:gridCol w:w="1412"/>
      </w:tblGrid>
      <w:tr w:rsidR="009563B4" w:rsidRPr="00E65CFF" w14:paraId="38F2015C" w14:textId="77777777" w:rsidTr="3764D022">
        <w:trPr>
          <w:trHeight w:val="20"/>
          <w:tblHeader/>
        </w:trPr>
        <w:tc>
          <w:tcPr>
            <w:tcW w:w="719" w:type="dxa"/>
            <w:vMerge w:val="restart"/>
            <w:shd w:val="clear" w:color="auto" w:fill="auto"/>
            <w:tcMar>
              <w:left w:w="57" w:type="dxa"/>
              <w:right w:w="28" w:type="dxa"/>
            </w:tcMar>
          </w:tcPr>
          <w:p w14:paraId="50624B0C" w14:textId="77777777" w:rsidR="009563B4" w:rsidRPr="00E65CFF" w:rsidRDefault="009563B4" w:rsidP="00481CA4">
            <w:pPr>
              <w:keepNext/>
              <w:jc w:val="center"/>
              <w:rPr>
                <w:b/>
                <w:sz w:val="20"/>
                <w:szCs w:val="20"/>
              </w:rPr>
            </w:pPr>
            <w:r w:rsidRPr="00E65CFF">
              <w:rPr>
                <w:b/>
                <w:sz w:val="20"/>
                <w:szCs w:val="20"/>
              </w:rPr>
              <w:t>GEF Agency</w:t>
            </w:r>
          </w:p>
        </w:tc>
        <w:tc>
          <w:tcPr>
            <w:tcW w:w="780" w:type="dxa"/>
            <w:vMerge w:val="restart"/>
            <w:shd w:val="clear" w:color="auto" w:fill="auto"/>
            <w:tcMar>
              <w:left w:w="57" w:type="dxa"/>
              <w:right w:w="28" w:type="dxa"/>
            </w:tcMar>
          </w:tcPr>
          <w:p w14:paraId="65E5D922" w14:textId="77777777" w:rsidR="009563B4" w:rsidRPr="00E65CFF" w:rsidRDefault="009563B4" w:rsidP="00481CA4">
            <w:pPr>
              <w:keepNext/>
              <w:jc w:val="center"/>
              <w:rPr>
                <w:b/>
                <w:sz w:val="20"/>
                <w:szCs w:val="20"/>
              </w:rPr>
            </w:pPr>
            <w:r w:rsidRPr="00E65CFF">
              <w:rPr>
                <w:b/>
                <w:sz w:val="20"/>
                <w:szCs w:val="20"/>
              </w:rPr>
              <w:t>Trust Fund</w:t>
            </w:r>
          </w:p>
        </w:tc>
        <w:tc>
          <w:tcPr>
            <w:tcW w:w="1136" w:type="dxa"/>
            <w:vMerge w:val="restart"/>
            <w:shd w:val="clear" w:color="auto" w:fill="auto"/>
            <w:tcMar>
              <w:left w:w="57" w:type="dxa"/>
              <w:right w:w="28" w:type="dxa"/>
            </w:tcMar>
          </w:tcPr>
          <w:p w14:paraId="3DC7DC05" w14:textId="77777777" w:rsidR="009563B4" w:rsidRPr="00E65CFF" w:rsidRDefault="009563B4" w:rsidP="00481CA4">
            <w:pPr>
              <w:keepNext/>
              <w:jc w:val="center"/>
              <w:rPr>
                <w:b/>
                <w:sz w:val="20"/>
                <w:szCs w:val="20"/>
              </w:rPr>
            </w:pPr>
            <w:r w:rsidRPr="00E65CFF">
              <w:rPr>
                <w:b/>
                <w:sz w:val="20"/>
                <w:szCs w:val="20"/>
              </w:rPr>
              <w:t>Country</w:t>
            </w:r>
          </w:p>
          <w:p w14:paraId="37509085" w14:textId="77777777" w:rsidR="009563B4" w:rsidRPr="00E65CFF" w:rsidRDefault="009563B4" w:rsidP="00481CA4">
            <w:pPr>
              <w:keepNext/>
              <w:jc w:val="center"/>
              <w:rPr>
                <w:b/>
                <w:sz w:val="20"/>
                <w:szCs w:val="20"/>
              </w:rPr>
            </w:pPr>
            <w:r w:rsidRPr="00E65CFF">
              <w:rPr>
                <w:b/>
                <w:sz w:val="20"/>
                <w:szCs w:val="20"/>
              </w:rPr>
              <w:t>Name/Global</w:t>
            </w:r>
          </w:p>
        </w:tc>
        <w:tc>
          <w:tcPr>
            <w:tcW w:w="1613" w:type="dxa"/>
            <w:vMerge w:val="restart"/>
            <w:shd w:val="clear" w:color="auto" w:fill="auto"/>
            <w:tcMar>
              <w:left w:w="57" w:type="dxa"/>
              <w:right w:w="28" w:type="dxa"/>
            </w:tcMar>
          </w:tcPr>
          <w:p w14:paraId="28C51CF4" w14:textId="77777777" w:rsidR="009563B4" w:rsidRPr="00E65CFF" w:rsidRDefault="009563B4" w:rsidP="00481CA4">
            <w:pPr>
              <w:keepNext/>
              <w:jc w:val="center"/>
              <w:rPr>
                <w:b/>
                <w:sz w:val="20"/>
                <w:szCs w:val="20"/>
              </w:rPr>
            </w:pPr>
            <w:r w:rsidRPr="00E65CFF">
              <w:rPr>
                <w:b/>
                <w:sz w:val="20"/>
                <w:szCs w:val="20"/>
              </w:rPr>
              <w:t>Focal Area</w:t>
            </w:r>
          </w:p>
        </w:tc>
        <w:tc>
          <w:tcPr>
            <w:tcW w:w="1400" w:type="dxa"/>
            <w:vMerge w:val="restart"/>
            <w:shd w:val="clear" w:color="auto" w:fill="auto"/>
            <w:tcMar>
              <w:left w:w="57" w:type="dxa"/>
              <w:right w:w="28" w:type="dxa"/>
            </w:tcMar>
          </w:tcPr>
          <w:p w14:paraId="2CF47FED" w14:textId="77777777" w:rsidR="009563B4" w:rsidRPr="00E65CFF" w:rsidRDefault="009563B4" w:rsidP="00481CA4">
            <w:pPr>
              <w:keepNext/>
              <w:jc w:val="center"/>
              <w:rPr>
                <w:b/>
                <w:sz w:val="20"/>
                <w:szCs w:val="20"/>
              </w:rPr>
            </w:pPr>
            <w:r w:rsidRPr="00E65CFF">
              <w:rPr>
                <w:b/>
                <w:sz w:val="20"/>
                <w:szCs w:val="20"/>
              </w:rPr>
              <w:t>Programming of Funds</w:t>
            </w:r>
          </w:p>
        </w:tc>
        <w:tc>
          <w:tcPr>
            <w:tcW w:w="3278" w:type="dxa"/>
            <w:gridSpan w:val="3"/>
            <w:shd w:val="clear" w:color="auto" w:fill="auto"/>
            <w:tcMar>
              <w:left w:w="57" w:type="dxa"/>
              <w:right w:w="28" w:type="dxa"/>
            </w:tcMar>
          </w:tcPr>
          <w:p w14:paraId="3ADC8548" w14:textId="77777777" w:rsidR="009563B4" w:rsidRPr="00E65CFF" w:rsidRDefault="009563B4" w:rsidP="00481CA4">
            <w:pPr>
              <w:keepNext/>
              <w:jc w:val="center"/>
              <w:rPr>
                <w:b/>
                <w:sz w:val="20"/>
                <w:szCs w:val="20"/>
              </w:rPr>
            </w:pPr>
            <w:r w:rsidRPr="00E65CFF">
              <w:rPr>
                <w:b/>
                <w:sz w:val="20"/>
                <w:szCs w:val="20"/>
              </w:rPr>
              <w:t>(in $)</w:t>
            </w:r>
          </w:p>
        </w:tc>
      </w:tr>
      <w:tr w:rsidR="009563B4" w:rsidRPr="00E65CFF" w14:paraId="67EF3270" w14:textId="77777777" w:rsidTr="3764D022">
        <w:trPr>
          <w:trHeight w:val="20"/>
          <w:tblHeader/>
        </w:trPr>
        <w:tc>
          <w:tcPr>
            <w:tcW w:w="719" w:type="dxa"/>
            <w:vMerge/>
            <w:tcMar>
              <w:left w:w="57" w:type="dxa"/>
              <w:right w:w="28" w:type="dxa"/>
            </w:tcMar>
          </w:tcPr>
          <w:p w14:paraId="372AF6F8" w14:textId="77777777" w:rsidR="009563B4" w:rsidRPr="00E65CFF" w:rsidRDefault="009563B4" w:rsidP="00481CA4">
            <w:pPr>
              <w:jc w:val="center"/>
              <w:rPr>
                <w:sz w:val="20"/>
                <w:szCs w:val="20"/>
              </w:rPr>
            </w:pPr>
          </w:p>
        </w:tc>
        <w:tc>
          <w:tcPr>
            <w:tcW w:w="780" w:type="dxa"/>
            <w:vMerge/>
            <w:tcMar>
              <w:left w:w="57" w:type="dxa"/>
              <w:right w:w="28" w:type="dxa"/>
            </w:tcMar>
          </w:tcPr>
          <w:p w14:paraId="06516C0D" w14:textId="77777777" w:rsidR="009563B4" w:rsidRPr="00E65CFF" w:rsidRDefault="009563B4" w:rsidP="00481CA4">
            <w:pPr>
              <w:jc w:val="center"/>
              <w:rPr>
                <w:sz w:val="20"/>
                <w:szCs w:val="20"/>
              </w:rPr>
            </w:pPr>
          </w:p>
        </w:tc>
        <w:tc>
          <w:tcPr>
            <w:tcW w:w="1136" w:type="dxa"/>
            <w:vMerge/>
            <w:tcMar>
              <w:left w:w="57" w:type="dxa"/>
              <w:right w:w="28" w:type="dxa"/>
            </w:tcMar>
          </w:tcPr>
          <w:p w14:paraId="7CAAEE09" w14:textId="77777777" w:rsidR="009563B4" w:rsidRPr="00E65CFF" w:rsidRDefault="009563B4" w:rsidP="00481CA4">
            <w:pPr>
              <w:jc w:val="center"/>
              <w:rPr>
                <w:sz w:val="20"/>
                <w:szCs w:val="20"/>
              </w:rPr>
            </w:pPr>
          </w:p>
        </w:tc>
        <w:tc>
          <w:tcPr>
            <w:tcW w:w="1613" w:type="dxa"/>
            <w:vMerge/>
            <w:tcMar>
              <w:left w:w="57" w:type="dxa"/>
              <w:right w:w="28" w:type="dxa"/>
            </w:tcMar>
          </w:tcPr>
          <w:p w14:paraId="447ABBC4" w14:textId="77777777" w:rsidR="009563B4" w:rsidRPr="00E65CFF" w:rsidRDefault="009563B4" w:rsidP="00481CA4">
            <w:pPr>
              <w:jc w:val="center"/>
              <w:rPr>
                <w:sz w:val="20"/>
                <w:szCs w:val="20"/>
              </w:rPr>
            </w:pPr>
          </w:p>
        </w:tc>
        <w:tc>
          <w:tcPr>
            <w:tcW w:w="1400" w:type="dxa"/>
            <w:vMerge/>
            <w:tcMar>
              <w:left w:w="57" w:type="dxa"/>
              <w:right w:w="28" w:type="dxa"/>
            </w:tcMar>
          </w:tcPr>
          <w:p w14:paraId="338228A5" w14:textId="77777777" w:rsidR="009563B4" w:rsidRPr="00E65CFF" w:rsidRDefault="009563B4" w:rsidP="00481CA4">
            <w:pPr>
              <w:jc w:val="center"/>
              <w:rPr>
                <w:b/>
                <w:sz w:val="20"/>
                <w:szCs w:val="20"/>
              </w:rPr>
            </w:pPr>
          </w:p>
        </w:tc>
        <w:tc>
          <w:tcPr>
            <w:tcW w:w="977" w:type="dxa"/>
            <w:shd w:val="clear" w:color="auto" w:fill="auto"/>
            <w:tcMar>
              <w:left w:w="57" w:type="dxa"/>
              <w:right w:w="28" w:type="dxa"/>
            </w:tcMar>
          </w:tcPr>
          <w:p w14:paraId="235DFEA3" w14:textId="77777777" w:rsidR="009563B4" w:rsidRPr="00E65CFF" w:rsidRDefault="009563B4" w:rsidP="00481CA4">
            <w:pPr>
              <w:jc w:val="center"/>
              <w:rPr>
                <w:b/>
                <w:sz w:val="20"/>
                <w:szCs w:val="20"/>
              </w:rPr>
            </w:pPr>
            <w:r w:rsidRPr="00E65CFF">
              <w:rPr>
                <w:b/>
                <w:sz w:val="20"/>
                <w:szCs w:val="20"/>
              </w:rPr>
              <w:t>GEF Project Financing (a)</w:t>
            </w:r>
          </w:p>
        </w:tc>
        <w:tc>
          <w:tcPr>
            <w:tcW w:w="857" w:type="dxa"/>
            <w:shd w:val="clear" w:color="auto" w:fill="auto"/>
            <w:tcMar>
              <w:left w:w="57" w:type="dxa"/>
              <w:right w:w="28" w:type="dxa"/>
            </w:tcMar>
          </w:tcPr>
          <w:p w14:paraId="67FE6BA2" w14:textId="77777777" w:rsidR="009563B4" w:rsidRPr="00E65CFF" w:rsidRDefault="009563B4" w:rsidP="00481CA4">
            <w:pPr>
              <w:jc w:val="center"/>
              <w:rPr>
                <w:b/>
                <w:sz w:val="20"/>
                <w:szCs w:val="20"/>
              </w:rPr>
            </w:pPr>
            <w:r w:rsidRPr="00E65CFF">
              <w:rPr>
                <w:b/>
                <w:sz w:val="20"/>
                <w:szCs w:val="20"/>
              </w:rPr>
              <w:t>Agency Fee (b)</w:t>
            </w:r>
          </w:p>
        </w:tc>
        <w:tc>
          <w:tcPr>
            <w:tcW w:w="1444" w:type="dxa"/>
            <w:shd w:val="clear" w:color="auto" w:fill="auto"/>
            <w:tcMar>
              <w:left w:w="57" w:type="dxa"/>
              <w:right w:w="28" w:type="dxa"/>
            </w:tcMar>
          </w:tcPr>
          <w:p w14:paraId="26741D70" w14:textId="77777777" w:rsidR="009563B4" w:rsidRPr="00E65CFF" w:rsidRDefault="009563B4" w:rsidP="00481CA4">
            <w:pPr>
              <w:jc w:val="center"/>
              <w:rPr>
                <w:b/>
                <w:sz w:val="20"/>
                <w:szCs w:val="20"/>
              </w:rPr>
            </w:pPr>
            <w:r w:rsidRPr="00E65CFF">
              <w:rPr>
                <w:b/>
                <w:sz w:val="20"/>
                <w:szCs w:val="20"/>
              </w:rPr>
              <w:t>Total</w:t>
            </w:r>
          </w:p>
          <w:p w14:paraId="4F9A27A1" w14:textId="77777777" w:rsidR="009563B4" w:rsidRPr="00E65CFF" w:rsidRDefault="009563B4" w:rsidP="00481CA4">
            <w:pPr>
              <w:jc w:val="center"/>
              <w:rPr>
                <w:b/>
                <w:sz w:val="20"/>
                <w:szCs w:val="20"/>
              </w:rPr>
            </w:pPr>
            <w:r w:rsidRPr="00E65CFF">
              <w:rPr>
                <w:b/>
                <w:sz w:val="20"/>
                <w:szCs w:val="20"/>
              </w:rPr>
              <w:t>(c)=a+b</w:t>
            </w:r>
          </w:p>
        </w:tc>
      </w:tr>
      <w:tr w:rsidR="009F58F7" w:rsidRPr="00E65CFF" w14:paraId="40368617" w14:textId="77777777" w:rsidTr="3764D022">
        <w:trPr>
          <w:trHeight w:val="20"/>
        </w:trPr>
        <w:tc>
          <w:tcPr>
            <w:tcW w:w="719" w:type="dxa"/>
            <w:shd w:val="clear" w:color="auto" w:fill="auto"/>
            <w:tcMar>
              <w:left w:w="57" w:type="dxa"/>
              <w:right w:w="28" w:type="dxa"/>
            </w:tcMar>
          </w:tcPr>
          <w:p w14:paraId="5E6EE28E" w14:textId="77777777" w:rsidR="009F58F7" w:rsidRPr="00E65CFF" w:rsidRDefault="009F58F7" w:rsidP="009F58F7">
            <w:pPr>
              <w:keepNext/>
              <w:rPr>
                <w:sz w:val="20"/>
                <w:szCs w:val="20"/>
              </w:rPr>
            </w:pPr>
            <w:r w:rsidRPr="00E65CFF">
              <w:rPr>
                <w:sz w:val="20"/>
                <w:szCs w:val="20"/>
              </w:rPr>
              <w:t>FAO</w:t>
            </w:r>
          </w:p>
        </w:tc>
        <w:tc>
          <w:tcPr>
            <w:tcW w:w="780" w:type="dxa"/>
            <w:shd w:val="clear" w:color="auto" w:fill="auto"/>
            <w:tcMar>
              <w:left w:w="57" w:type="dxa"/>
              <w:right w:w="28" w:type="dxa"/>
            </w:tcMar>
          </w:tcPr>
          <w:p w14:paraId="5EF642B1" w14:textId="77777777" w:rsidR="009F58F7" w:rsidRPr="00E65CFF" w:rsidRDefault="009F58F7" w:rsidP="009F58F7">
            <w:pPr>
              <w:keepNext/>
              <w:rPr>
                <w:sz w:val="20"/>
                <w:szCs w:val="20"/>
              </w:rPr>
            </w:pPr>
            <w:r w:rsidRPr="00E65CFF">
              <w:rPr>
                <w:sz w:val="20"/>
                <w:szCs w:val="20"/>
              </w:rPr>
              <w:t>GEFTF</w:t>
            </w:r>
          </w:p>
        </w:tc>
        <w:tc>
          <w:tcPr>
            <w:tcW w:w="1136" w:type="dxa"/>
            <w:shd w:val="clear" w:color="auto" w:fill="auto"/>
            <w:tcMar>
              <w:left w:w="57" w:type="dxa"/>
              <w:right w:w="28" w:type="dxa"/>
            </w:tcMar>
          </w:tcPr>
          <w:p w14:paraId="286969BA" w14:textId="77777777" w:rsidR="009F58F7" w:rsidRPr="00E65CFF" w:rsidRDefault="009F58F7" w:rsidP="009F58F7">
            <w:pPr>
              <w:keepNext/>
              <w:rPr>
                <w:sz w:val="20"/>
                <w:szCs w:val="20"/>
              </w:rPr>
            </w:pPr>
            <w:r w:rsidRPr="00E65CFF">
              <w:rPr>
                <w:sz w:val="20"/>
                <w:szCs w:val="20"/>
              </w:rPr>
              <w:t>Angola</w:t>
            </w:r>
          </w:p>
        </w:tc>
        <w:tc>
          <w:tcPr>
            <w:tcW w:w="1613" w:type="dxa"/>
            <w:shd w:val="clear" w:color="auto" w:fill="auto"/>
            <w:tcMar>
              <w:left w:w="57" w:type="dxa"/>
              <w:right w:w="28" w:type="dxa"/>
            </w:tcMar>
          </w:tcPr>
          <w:p w14:paraId="6F09CDD9" w14:textId="0E2541A2" w:rsidR="009F58F7" w:rsidRPr="00E65CFF" w:rsidRDefault="00B7659D" w:rsidP="009F58F7">
            <w:pPr>
              <w:keepNext/>
              <w:rPr>
                <w:sz w:val="20"/>
                <w:szCs w:val="20"/>
              </w:rPr>
            </w:pPr>
            <w:r>
              <w:rPr>
                <w:sz w:val="20"/>
                <w:szCs w:val="20"/>
              </w:rPr>
              <w:t>Climate Change</w:t>
            </w:r>
          </w:p>
        </w:tc>
        <w:tc>
          <w:tcPr>
            <w:tcW w:w="1400" w:type="dxa"/>
            <w:shd w:val="clear" w:color="auto" w:fill="auto"/>
            <w:tcMar>
              <w:left w:w="57" w:type="dxa"/>
              <w:right w:w="28" w:type="dxa"/>
            </w:tcMar>
          </w:tcPr>
          <w:p w14:paraId="662AF065" w14:textId="77777777" w:rsidR="009F58F7" w:rsidRPr="00E65CFF" w:rsidRDefault="009F58F7" w:rsidP="009F58F7">
            <w:pPr>
              <w:keepNext/>
              <w:rPr>
                <w:sz w:val="20"/>
                <w:szCs w:val="20"/>
              </w:rPr>
            </w:pPr>
            <w:r w:rsidRPr="00E65CFF">
              <w:rPr>
                <w:sz w:val="20"/>
                <w:szCs w:val="20"/>
              </w:rPr>
              <w:t>IP SFM Drylands</w:t>
            </w:r>
          </w:p>
        </w:tc>
        <w:tc>
          <w:tcPr>
            <w:tcW w:w="977" w:type="dxa"/>
            <w:shd w:val="clear" w:color="auto" w:fill="auto"/>
            <w:tcMar>
              <w:left w:w="57" w:type="dxa"/>
              <w:right w:w="28" w:type="dxa"/>
            </w:tcMar>
            <w:vAlign w:val="center"/>
          </w:tcPr>
          <w:p w14:paraId="1855488E" w14:textId="2450F681" w:rsidR="009F58F7" w:rsidRPr="009F58F7" w:rsidRDefault="009F58F7" w:rsidP="009F58F7">
            <w:pPr>
              <w:keepNext/>
              <w:jc w:val="center"/>
              <w:rPr>
                <w:sz w:val="20"/>
                <w:szCs w:val="20"/>
              </w:rPr>
            </w:pPr>
            <w:r w:rsidRPr="009F58F7">
              <w:rPr>
                <w:color w:val="000000"/>
                <w:sz w:val="20"/>
                <w:szCs w:val="20"/>
              </w:rPr>
              <w:t>1,777,700</w:t>
            </w:r>
          </w:p>
        </w:tc>
        <w:tc>
          <w:tcPr>
            <w:tcW w:w="857" w:type="dxa"/>
            <w:shd w:val="clear" w:color="auto" w:fill="auto"/>
            <w:tcMar>
              <w:left w:w="57" w:type="dxa"/>
              <w:right w:w="28" w:type="dxa"/>
            </w:tcMar>
            <w:vAlign w:val="center"/>
          </w:tcPr>
          <w:p w14:paraId="1ACD3EB6" w14:textId="11743467" w:rsidR="009F58F7" w:rsidRPr="009F58F7" w:rsidRDefault="00786571" w:rsidP="009F58F7">
            <w:pPr>
              <w:keepNext/>
              <w:jc w:val="center"/>
              <w:rPr>
                <w:sz w:val="20"/>
                <w:szCs w:val="20"/>
              </w:rPr>
            </w:pPr>
            <w:r w:rsidRPr="00786571">
              <w:rPr>
                <w:color w:val="000000"/>
                <w:sz w:val="20"/>
                <w:szCs w:val="20"/>
              </w:rPr>
              <w:t>159,993</w:t>
            </w:r>
          </w:p>
        </w:tc>
        <w:tc>
          <w:tcPr>
            <w:tcW w:w="1444" w:type="dxa"/>
            <w:shd w:val="clear" w:color="auto" w:fill="auto"/>
            <w:tcMar>
              <w:left w:w="57" w:type="dxa"/>
              <w:right w:w="28" w:type="dxa"/>
            </w:tcMar>
            <w:vAlign w:val="center"/>
          </w:tcPr>
          <w:p w14:paraId="4EEB9EC3" w14:textId="05F112C5" w:rsidR="009F58F7" w:rsidRPr="009F58F7" w:rsidRDefault="00831DE5" w:rsidP="009F58F7">
            <w:pPr>
              <w:keepNext/>
              <w:jc w:val="center"/>
              <w:rPr>
                <w:sz w:val="20"/>
                <w:szCs w:val="20"/>
              </w:rPr>
            </w:pPr>
            <w:r w:rsidRPr="00831DE5">
              <w:rPr>
                <w:color w:val="000000"/>
                <w:sz w:val="20"/>
                <w:szCs w:val="20"/>
              </w:rPr>
              <w:t>1,937,693</w:t>
            </w:r>
          </w:p>
        </w:tc>
      </w:tr>
      <w:tr w:rsidR="009F58F7" w:rsidRPr="00E65CFF" w14:paraId="55EAD104" w14:textId="77777777" w:rsidTr="3764D022">
        <w:trPr>
          <w:trHeight w:val="20"/>
        </w:trPr>
        <w:tc>
          <w:tcPr>
            <w:tcW w:w="719" w:type="dxa"/>
            <w:shd w:val="clear" w:color="auto" w:fill="auto"/>
            <w:tcMar>
              <w:left w:w="57" w:type="dxa"/>
              <w:right w:w="28" w:type="dxa"/>
            </w:tcMar>
          </w:tcPr>
          <w:p w14:paraId="06C305BD" w14:textId="77777777" w:rsidR="009F58F7" w:rsidRPr="00E65CFF" w:rsidRDefault="009F58F7" w:rsidP="009F58F7">
            <w:pPr>
              <w:keepNext/>
              <w:rPr>
                <w:sz w:val="20"/>
                <w:szCs w:val="20"/>
              </w:rPr>
            </w:pPr>
            <w:r w:rsidRPr="00E65CFF">
              <w:rPr>
                <w:sz w:val="20"/>
                <w:szCs w:val="20"/>
              </w:rPr>
              <w:t>FAO</w:t>
            </w:r>
          </w:p>
        </w:tc>
        <w:tc>
          <w:tcPr>
            <w:tcW w:w="780" w:type="dxa"/>
            <w:shd w:val="clear" w:color="auto" w:fill="auto"/>
            <w:tcMar>
              <w:left w:w="57" w:type="dxa"/>
              <w:right w:w="28" w:type="dxa"/>
            </w:tcMar>
          </w:tcPr>
          <w:p w14:paraId="02BFCDEC" w14:textId="77777777" w:rsidR="009F58F7" w:rsidRPr="00E65CFF" w:rsidRDefault="009F58F7" w:rsidP="009F58F7">
            <w:pPr>
              <w:keepNext/>
              <w:rPr>
                <w:sz w:val="20"/>
                <w:szCs w:val="20"/>
              </w:rPr>
            </w:pPr>
            <w:r w:rsidRPr="00E65CFF">
              <w:rPr>
                <w:sz w:val="20"/>
                <w:szCs w:val="20"/>
              </w:rPr>
              <w:t>GEFTF</w:t>
            </w:r>
          </w:p>
        </w:tc>
        <w:tc>
          <w:tcPr>
            <w:tcW w:w="1136" w:type="dxa"/>
            <w:shd w:val="clear" w:color="auto" w:fill="auto"/>
            <w:tcMar>
              <w:left w:w="57" w:type="dxa"/>
              <w:right w:w="28" w:type="dxa"/>
            </w:tcMar>
          </w:tcPr>
          <w:p w14:paraId="134B9B4C" w14:textId="77777777" w:rsidR="009F58F7" w:rsidRPr="00E65CFF" w:rsidRDefault="009F58F7" w:rsidP="009F58F7">
            <w:pPr>
              <w:keepNext/>
              <w:rPr>
                <w:sz w:val="20"/>
                <w:szCs w:val="20"/>
              </w:rPr>
            </w:pPr>
            <w:r w:rsidRPr="00E65CFF">
              <w:rPr>
                <w:sz w:val="20"/>
                <w:szCs w:val="20"/>
              </w:rPr>
              <w:t>Angola</w:t>
            </w:r>
          </w:p>
        </w:tc>
        <w:tc>
          <w:tcPr>
            <w:tcW w:w="1613" w:type="dxa"/>
            <w:shd w:val="clear" w:color="auto" w:fill="auto"/>
            <w:tcMar>
              <w:left w:w="57" w:type="dxa"/>
              <w:right w:w="28" w:type="dxa"/>
            </w:tcMar>
          </w:tcPr>
          <w:p w14:paraId="56916DCE" w14:textId="5CD8A944" w:rsidR="009F58F7" w:rsidRPr="00E65CFF" w:rsidRDefault="00B7659D" w:rsidP="009F58F7">
            <w:pPr>
              <w:keepNext/>
              <w:rPr>
                <w:sz w:val="20"/>
                <w:szCs w:val="20"/>
              </w:rPr>
            </w:pPr>
            <w:r>
              <w:rPr>
                <w:sz w:val="20"/>
                <w:szCs w:val="20"/>
              </w:rPr>
              <w:t>Land Degradation</w:t>
            </w:r>
          </w:p>
        </w:tc>
        <w:tc>
          <w:tcPr>
            <w:tcW w:w="1400" w:type="dxa"/>
            <w:shd w:val="clear" w:color="auto" w:fill="auto"/>
            <w:tcMar>
              <w:left w:w="57" w:type="dxa"/>
              <w:right w:w="28" w:type="dxa"/>
            </w:tcMar>
          </w:tcPr>
          <w:p w14:paraId="242E5559" w14:textId="77777777" w:rsidR="009F58F7" w:rsidRPr="00E65CFF" w:rsidRDefault="009F58F7" w:rsidP="009F58F7">
            <w:pPr>
              <w:keepNext/>
              <w:rPr>
                <w:sz w:val="20"/>
                <w:szCs w:val="20"/>
              </w:rPr>
            </w:pPr>
            <w:r w:rsidRPr="00E65CFF">
              <w:rPr>
                <w:sz w:val="20"/>
                <w:szCs w:val="20"/>
              </w:rPr>
              <w:t>IP SFM Drylands</w:t>
            </w:r>
          </w:p>
        </w:tc>
        <w:tc>
          <w:tcPr>
            <w:tcW w:w="977" w:type="dxa"/>
            <w:shd w:val="clear" w:color="auto" w:fill="auto"/>
            <w:tcMar>
              <w:left w:w="57" w:type="dxa"/>
              <w:right w:w="28" w:type="dxa"/>
            </w:tcMar>
            <w:vAlign w:val="center"/>
          </w:tcPr>
          <w:p w14:paraId="208D052F" w14:textId="2DD40E8D" w:rsidR="009F58F7" w:rsidRPr="009F58F7" w:rsidRDefault="009F58F7" w:rsidP="009F58F7">
            <w:pPr>
              <w:keepNext/>
              <w:jc w:val="center"/>
              <w:rPr>
                <w:sz w:val="20"/>
                <w:szCs w:val="20"/>
              </w:rPr>
            </w:pPr>
            <w:r w:rsidRPr="009F58F7">
              <w:rPr>
                <w:color w:val="000000"/>
                <w:sz w:val="20"/>
                <w:szCs w:val="20"/>
              </w:rPr>
              <w:t>1,813,077</w:t>
            </w:r>
          </w:p>
        </w:tc>
        <w:tc>
          <w:tcPr>
            <w:tcW w:w="857" w:type="dxa"/>
            <w:shd w:val="clear" w:color="auto" w:fill="auto"/>
            <w:tcMar>
              <w:left w:w="57" w:type="dxa"/>
              <w:right w:w="28" w:type="dxa"/>
            </w:tcMar>
            <w:vAlign w:val="center"/>
          </w:tcPr>
          <w:p w14:paraId="5D0CAB59" w14:textId="642B5D05" w:rsidR="009F58F7" w:rsidRPr="009F58F7" w:rsidRDefault="00786571" w:rsidP="009F58F7">
            <w:pPr>
              <w:keepNext/>
              <w:jc w:val="center"/>
              <w:rPr>
                <w:sz w:val="20"/>
                <w:szCs w:val="20"/>
              </w:rPr>
            </w:pPr>
            <w:r w:rsidRPr="00786571">
              <w:rPr>
                <w:color w:val="000000"/>
                <w:sz w:val="20"/>
                <w:szCs w:val="20"/>
              </w:rPr>
              <w:t>163,177</w:t>
            </w:r>
          </w:p>
        </w:tc>
        <w:tc>
          <w:tcPr>
            <w:tcW w:w="1444" w:type="dxa"/>
            <w:shd w:val="clear" w:color="auto" w:fill="auto"/>
            <w:tcMar>
              <w:left w:w="57" w:type="dxa"/>
              <w:right w:w="28" w:type="dxa"/>
            </w:tcMar>
            <w:vAlign w:val="center"/>
          </w:tcPr>
          <w:p w14:paraId="4A1655EA" w14:textId="38E3CB22" w:rsidR="009F58F7" w:rsidRPr="009F58F7" w:rsidRDefault="00831DE5" w:rsidP="009F58F7">
            <w:pPr>
              <w:keepNext/>
              <w:jc w:val="center"/>
              <w:rPr>
                <w:sz w:val="20"/>
                <w:szCs w:val="20"/>
              </w:rPr>
            </w:pPr>
            <w:r w:rsidRPr="00831DE5">
              <w:rPr>
                <w:color w:val="000000"/>
                <w:sz w:val="20"/>
                <w:szCs w:val="20"/>
              </w:rPr>
              <w:t>1,976,254</w:t>
            </w:r>
          </w:p>
        </w:tc>
      </w:tr>
      <w:tr w:rsidR="009F58F7" w:rsidRPr="00E65CFF" w14:paraId="07AAA639" w14:textId="77777777" w:rsidTr="3764D022">
        <w:trPr>
          <w:trHeight w:val="20"/>
        </w:trPr>
        <w:tc>
          <w:tcPr>
            <w:tcW w:w="719" w:type="dxa"/>
            <w:shd w:val="clear" w:color="auto" w:fill="auto"/>
            <w:tcMar>
              <w:left w:w="57" w:type="dxa"/>
              <w:right w:w="28" w:type="dxa"/>
            </w:tcMar>
          </w:tcPr>
          <w:p w14:paraId="2C616C95" w14:textId="77777777" w:rsidR="009F58F7" w:rsidRPr="00E65CFF" w:rsidRDefault="009F58F7" w:rsidP="009F58F7">
            <w:pPr>
              <w:keepNext/>
              <w:rPr>
                <w:sz w:val="20"/>
                <w:szCs w:val="20"/>
              </w:rPr>
            </w:pPr>
            <w:r w:rsidRPr="00E65CFF">
              <w:rPr>
                <w:sz w:val="20"/>
                <w:szCs w:val="20"/>
              </w:rPr>
              <w:t>FAO</w:t>
            </w:r>
          </w:p>
        </w:tc>
        <w:tc>
          <w:tcPr>
            <w:tcW w:w="780" w:type="dxa"/>
            <w:shd w:val="clear" w:color="auto" w:fill="auto"/>
            <w:tcMar>
              <w:left w:w="57" w:type="dxa"/>
              <w:right w:w="28" w:type="dxa"/>
            </w:tcMar>
          </w:tcPr>
          <w:p w14:paraId="308F59B6" w14:textId="77777777" w:rsidR="009F58F7" w:rsidRPr="00E65CFF" w:rsidRDefault="009F58F7" w:rsidP="009F58F7">
            <w:pPr>
              <w:keepNext/>
              <w:rPr>
                <w:sz w:val="20"/>
                <w:szCs w:val="20"/>
              </w:rPr>
            </w:pPr>
            <w:r w:rsidRPr="00E65CFF">
              <w:rPr>
                <w:sz w:val="20"/>
                <w:szCs w:val="20"/>
              </w:rPr>
              <w:t>GEFTF</w:t>
            </w:r>
          </w:p>
        </w:tc>
        <w:tc>
          <w:tcPr>
            <w:tcW w:w="1136" w:type="dxa"/>
            <w:shd w:val="clear" w:color="auto" w:fill="auto"/>
            <w:tcMar>
              <w:left w:w="57" w:type="dxa"/>
              <w:right w:w="28" w:type="dxa"/>
            </w:tcMar>
          </w:tcPr>
          <w:p w14:paraId="06715CD5" w14:textId="77777777" w:rsidR="009F58F7" w:rsidRPr="00E65CFF" w:rsidRDefault="009F58F7" w:rsidP="009F58F7">
            <w:pPr>
              <w:keepNext/>
              <w:rPr>
                <w:sz w:val="20"/>
                <w:szCs w:val="20"/>
              </w:rPr>
            </w:pPr>
            <w:r w:rsidRPr="00E65CFF">
              <w:rPr>
                <w:sz w:val="20"/>
                <w:szCs w:val="20"/>
              </w:rPr>
              <w:t>Angola</w:t>
            </w:r>
          </w:p>
        </w:tc>
        <w:tc>
          <w:tcPr>
            <w:tcW w:w="1613" w:type="dxa"/>
            <w:shd w:val="clear" w:color="auto" w:fill="auto"/>
            <w:tcMar>
              <w:left w:w="57" w:type="dxa"/>
              <w:right w:w="28" w:type="dxa"/>
            </w:tcMar>
          </w:tcPr>
          <w:p w14:paraId="46031652" w14:textId="77777777" w:rsidR="009F58F7" w:rsidRPr="00E65CFF" w:rsidRDefault="009F58F7" w:rsidP="009F58F7">
            <w:pPr>
              <w:keepNext/>
              <w:rPr>
                <w:sz w:val="20"/>
                <w:szCs w:val="20"/>
              </w:rPr>
            </w:pPr>
            <w:r w:rsidRPr="00E65CFF">
              <w:rPr>
                <w:sz w:val="20"/>
                <w:szCs w:val="20"/>
              </w:rPr>
              <w:t>Multifocal Area</w:t>
            </w:r>
          </w:p>
        </w:tc>
        <w:tc>
          <w:tcPr>
            <w:tcW w:w="1400" w:type="dxa"/>
            <w:shd w:val="clear" w:color="auto" w:fill="auto"/>
            <w:tcMar>
              <w:left w:w="57" w:type="dxa"/>
              <w:right w:w="28" w:type="dxa"/>
            </w:tcMar>
          </w:tcPr>
          <w:p w14:paraId="7F7C1171" w14:textId="77777777" w:rsidR="009F58F7" w:rsidRPr="00E65CFF" w:rsidRDefault="009F58F7" w:rsidP="009F58F7">
            <w:pPr>
              <w:keepNext/>
              <w:rPr>
                <w:sz w:val="20"/>
                <w:szCs w:val="20"/>
              </w:rPr>
            </w:pPr>
            <w:r w:rsidRPr="00E65CFF">
              <w:rPr>
                <w:sz w:val="20"/>
                <w:szCs w:val="20"/>
              </w:rPr>
              <w:t>IP SFM Drylands</w:t>
            </w:r>
          </w:p>
        </w:tc>
        <w:tc>
          <w:tcPr>
            <w:tcW w:w="977" w:type="dxa"/>
            <w:shd w:val="clear" w:color="auto" w:fill="auto"/>
            <w:tcMar>
              <w:left w:w="57" w:type="dxa"/>
              <w:right w:w="28" w:type="dxa"/>
            </w:tcMar>
            <w:vAlign w:val="center"/>
          </w:tcPr>
          <w:p w14:paraId="55B60B18" w14:textId="3A42E929" w:rsidR="009F58F7" w:rsidRPr="009F58F7" w:rsidRDefault="009F58F7" w:rsidP="009F58F7">
            <w:pPr>
              <w:keepNext/>
              <w:jc w:val="center"/>
              <w:rPr>
                <w:sz w:val="20"/>
                <w:szCs w:val="20"/>
              </w:rPr>
            </w:pPr>
            <w:r w:rsidRPr="009F58F7">
              <w:rPr>
                <w:color w:val="000000"/>
                <w:sz w:val="20"/>
                <w:szCs w:val="20"/>
              </w:rPr>
              <w:t>1,768,856</w:t>
            </w:r>
          </w:p>
        </w:tc>
        <w:tc>
          <w:tcPr>
            <w:tcW w:w="857" w:type="dxa"/>
            <w:shd w:val="clear" w:color="auto" w:fill="auto"/>
            <w:tcMar>
              <w:left w:w="57" w:type="dxa"/>
              <w:right w:w="28" w:type="dxa"/>
            </w:tcMar>
            <w:vAlign w:val="center"/>
          </w:tcPr>
          <w:p w14:paraId="43D4790D" w14:textId="38842358" w:rsidR="009F58F7" w:rsidRPr="009F58F7" w:rsidRDefault="00786571" w:rsidP="00786571">
            <w:pPr>
              <w:keepNext/>
              <w:jc w:val="center"/>
              <w:rPr>
                <w:sz w:val="20"/>
                <w:szCs w:val="20"/>
              </w:rPr>
            </w:pPr>
            <w:r w:rsidRPr="00786571">
              <w:rPr>
                <w:color w:val="000000"/>
                <w:sz w:val="20"/>
                <w:szCs w:val="20"/>
              </w:rPr>
              <w:t>159,197</w:t>
            </w:r>
          </w:p>
        </w:tc>
        <w:tc>
          <w:tcPr>
            <w:tcW w:w="1444" w:type="dxa"/>
            <w:shd w:val="clear" w:color="auto" w:fill="auto"/>
            <w:tcMar>
              <w:left w:w="57" w:type="dxa"/>
              <w:right w:w="28" w:type="dxa"/>
            </w:tcMar>
            <w:vAlign w:val="center"/>
          </w:tcPr>
          <w:p w14:paraId="4934BFB0" w14:textId="7838C5DC" w:rsidR="009F58F7" w:rsidRPr="009F58F7" w:rsidRDefault="00224EB6" w:rsidP="009F58F7">
            <w:pPr>
              <w:keepNext/>
              <w:jc w:val="center"/>
              <w:rPr>
                <w:sz w:val="20"/>
                <w:szCs w:val="20"/>
              </w:rPr>
            </w:pPr>
            <w:r w:rsidRPr="00224EB6">
              <w:rPr>
                <w:color w:val="000000"/>
                <w:sz w:val="20"/>
                <w:szCs w:val="20"/>
              </w:rPr>
              <w:t>1,928,053</w:t>
            </w:r>
          </w:p>
        </w:tc>
      </w:tr>
      <w:tr w:rsidR="009F58F7" w:rsidRPr="00E65CFF" w14:paraId="7A0DEB42" w14:textId="77777777" w:rsidTr="3764D022">
        <w:trPr>
          <w:trHeight w:val="20"/>
        </w:trPr>
        <w:tc>
          <w:tcPr>
            <w:tcW w:w="5648" w:type="dxa"/>
            <w:gridSpan w:val="5"/>
            <w:tcBorders>
              <w:top w:val="double" w:sz="4" w:space="0" w:color="auto"/>
            </w:tcBorders>
            <w:shd w:val="clear" w:color="auto" w:fill="auto"/>
            <w:tcMar>
              <w:left w:w="57" w:type="dxa"/>
              <w:right w:w="28" w:type="dxa"/>
            </w:tcMar>
          </w:tcPr>
          <w:p w14:paraId="38B77FAC" w14:textId="77777777" w:rsidR="009F58F7" w:rsidRPr="00E65CFF" w:rsidRDefault="009F58F7" w:rsidP="009F58F7">
            <w:pPr>
              <w:rPr>
                <w:b/>
                <w:sz w:val="20"/>
                <w:szCs w:val="20"/>
              </w:rPr>
            </w:pPr>
            <w:r w:rsidRPr="00E65CFF">
              <w:rPr>
                <w:b/>
                <w:sz w:val="20"/>
                <w:szCs w:val="20"/>
              </w:rPr>
              <w:t>Total GEF Resources</w:t>
            </w:r>
          </w:p>
        </w:tc>
        <w:tc>
          <w:tcPr>
            <w:tcW w:w="977" w:type="dxa"/>
            <w:tcBorders>
              <w:top w:val="double" w:sz="4" w:space="0" w:color="auto"/>
            </w:tcBorders>
            <w:shd w:val="clear" w:color="auto" w:fill="auto"/>
            <w:tcMar>
              <w:left w:w="57" w:type="dxa"/>
              <w:right w:w="28" w:type="dxa"/>
            </w:tcMar>
            <w:vAlign w:val="center"/>
          </w:tcPr>
          <w:p w14:paraId="72A9AE57" w14:textId="47DE0205" w:rsidR="009F58F7" w:rsidRPr="009F58F7" w:rsidRDefault="009F58F7" w:rsidP="009F58F7">
            <w:pPr>
              <w:jc w:val="center"/>
              <w:rPr>
                <w:b/>
                <w:bCs/>
                <w:sz w:val="20"/>
                <w:szCs w:val="20"/>
              </w:rPr>
            </w:pPr>
            <w:r w:rsidRPr="009F58F7">
              <w:rPr>
                <w:b/>
                <w:bCs/>
                <w:color w:val="000000"/>
                <w:sz w:val="20"/>
                <w:szCs w:val="20"/>
              </w:rPr>
              <w:t>5,359,633</w:t>
            </w:r>
          </w:p>
        </w:tc>
        <w:tc>
          <w:tcPr>
            <w:tcW w:w="857" w:type="dxa"/>
            <w:tcBorders>
              <w:top w:val="double" w:sz="4" w:space="0" w:color="auto"/>
            </w:tcBorders>
            <w:shd w:val="clear" w:color="auto" w:fill="auto"/>
            <w:tcMar>
              <w:left w:w="57" w:type="dxa"/>
              <w:right w:w="28" w:type="dxa"/>
            </w:tcMar>
            <w:vAlign w:val="center"/>
          </w:tcPr>
          <w:p w14:paraId="72923D08" w14:textId="3C23BFA1" w:rsidR="009F58F7" w:rsidRPr="009F58F7" w:rsidRDefault="00786571" w:rsidP="009F58F7">
            <w:pPr>
              <w:jc w:val="center"/>
              <w:rPr>
                <w:b/>
                <w:bCs/>
                <w:sz w:val="20"/>
                <w:szCs w:val="20"/>
              </w:rPr>
            </w:pPr>
            <w:r w:rsidRPr="00786571">
              <w:rPr>
                <w:b/>
                <w:bCs/>
                <w:color w:val="000000"/>
                <w:sz w:val="20"/>
                <w:szCs w:val="20"/>
              </w:rPr>
              <w:t>482,367</w:t>
            </w:r>
          </w:p>
        </w:tc>
        <w:tc>
          <w:tcPr>
            <w:tcW w:w="1444" w:type="dxa"/>
            <w:tcBorders>
              <w:top w:val="double" w:sz="4" w:space="0" w:color="auto"/>
            </w:tcBorders>
            <w:shd w:val="clear" w:color="auto" w:fill="auto"/>
            <w:tcMar>
              <w:left w:w="57" w:type="dxa"/>
              <w:right w:w="28" w:type="dxa"/>
            </w:tcMar>
            <w:vAlign w:val="center"/>
          </w:tcPr>
          <w:p w14:paraId="6F3C5ECE" w14:textId="75E2D7BC" w:rsidR="009F58F7" w:rsidRPr="009F58F7" w:rsidRDefault="00224EB6" w:rsidP="009F58F7">
            <w:pPr>
              <w:jc w:val="center"/>
              <w:rPr>
                <w:b/>
                <w:bCs/>
                <w:sz w:val="20"/>
                <w:szCs w:val="20"/>
              </w:rPr>
            </w:pPr>
            <w:r w:rsidRPr="00224EB6">
              <w:rPr>
                <w:b/>
                <w:bCs/>
                <w:color w:val="000000"/>
                <w:sz w:val="20"/>
                <w:szCs w:val="20"/>
              </w:rPr>
              <w:t>5,842,000</w:t>
            </w:r>
          </w:p>
        </w:tc>
      </w:tr>
    </w:tbl>
    <w:p w14:paraId="4A697948" w14:textId="77777777" w:rsidR="009563B4" w:rsidRPr="00F9289C" w:rsidRDefault="009563B4" w:rsidP="00F9289C">
      <w:pPr>
        <w:pStyle w:val="Heading2"/>
        <w:spacing w:after="160"/>
        <w:rPr>
          <w:sz w:val="24"/>
          <w:szCs w:val="24"/>
          <w:lang w:val="en-US"/>
        </w:rPr>
      </w:pPr>
      <w:bookmarkStart w:id="12" w:name="_Toc58398588"/>
      <w:r w:rsidRPr="00F9289C">
        <w:rPr>
          <w:sz w:val="24"/>
          <w:szCs w:val="24"/>
          <w:lang w:val="en-US"/>
        </w:rPr>
        <w:t>E. Does the project include a “non-grant” instrument?</w:t>
      </w:r>
      <w:bookmarkEnd w:id="12"/>
    </w:p>
    <w:p w14:paraId="4B5EA8CF" w14:textId="0E6861B8" w:rsidR="009563B4" w:rsidRPr="00F9289C" w:rsidRDefault="009563B4" w:rsidP="009563B4">
      <w:pPr>
        <w:rPr>
          <w:color w:val="000000"/>
          <w:sz w:val="21"/>
          <w:szCs w:val="21"/>
        </w:rPr>
      </w:pPr>
      <w:r w:rsidRPr="00F9289C">
        <w:rPr>
          <w:sz w:val="21"/>
          <w:szCs w:val="21"/>
        </w:rPr>
        <w:fldChar w:fldCharType="begin">
          <w:ffData>
            <w:name w:val="NonGrantIns"/>
            <w:enabled/>
            <w:calcOnExit w:val="0"/>
            <w:ddList>
              <w:listEntry w:val="No"/>
              <w:listEntry w:val="(Select)"/>
              <w:listEntry w:val="Yes"/>
            </w:ddList>
          </w:ffData>
        </w:fldChar>
      </w:r>
      <w:r w:rsidRPr="00F9289C">
        <w:rPr>
          <w:sz w:val="21"/>
          <w:szCs w:val="21"/>
        </w:rPr>
        <w:instrText xml:space="preserve"> FORMDROPDOWN </w:instrText>
      </w:r>
      <w:r w:rsidR="000C73F8">
        <w:rPr>
          <w:sz w:val="21"/>
          <w:szCs w:val="21"/>
        </w:rPr>
      </w:r>
      <w:r w:rsidR="000C73F8">
        <w:rPr>
          <w:sz w:val="21"/>
          <w:szCs w:val="21"/>
        </w:rPr>
        <w:fldChar w:fldCharType="separate"/>
      </w:r>
      <w:r w:rsidRPr="00F9289C">
        <w:rPr>
          <w:sz w:val="21"/>
          <w:szCs w:val="21"/>
        </w:rPr>
        <w:fldChar w:fldCharType="end"/>
      </w:r>
      <w:r w:rsidRPr="00F9289C">
        <w:rPr>
          <w:sz w:val="21"/>
          <w:szCs w:val="21"/>
        </w:rPr>
        <w:t xml:space="preserve">  </w:t>
      </w:r>
      <w:r w:rsidRPr="00F9289C">
        <w:rPr>
          <w:color w:val="000000"/>
          <w:sz w:val="21"/>
          <w:szCs w:val="21"/>
        </w:rPr>
        <w:t>- Not applicable</w:t>
      </w:r>
    </w:p>
    <w:p w14:paraId="62CBAF50" w14:textId="7D134F25" w:rsidR="009563B4" w:rsidRPr="00F9289C" w:rsidRDefault="009563B4" w:rsidP="00F9289C">
      <w:pPr>
        <w:pStyle w:val="Heading2"/>
        <w:spacing w:after="160"/>
        <w:rPr>
          <w:sz w:val="24"/>
          <w:szCs w:val="24"/>
          <w:lang w:val="en-US"/>
        </w:rPr>
      </w:pPr>
      <w:bookmarkStart w:id="13" w:name="_Toc58398589"/>
      <w:r w:rsidRPr="00F9289C">
        <w:rPr>
          <w:sz w:val="24"/>
          <w:szCs w:val="24"/>
          <w:lang w:val="en-US"/>
        </w:rPr>
        <w:t xml:space="preserve">F. Project’s Target Contributions to </w:t>
      </w:r>
      <w:r w:rsidR="00F61EDE" w:rsidRPr="00F9289C">
        <w:rPr>
          <w:sz w:val="24"/>
          <w:szCs w:val="24"/>
          <w:lang w:val="en-US"/>
        </w:rPr>
        <w:t>GEF-7</w:t>
      </w:r>
      <w:r w:rsidRPr="00F9289C">
        <w:rPr>
          <w:sz w:val="24"/>
          <w:szCs w:val="24"/>
          <w:lang w:val="en-US"/>
        </w:rPr>
        <w:t xml:space="preserve"> Core Indicators</w:t>
      </w:r>
      <w:bookmarkEnd w:id="13"/>
    </w:p>
    <w:tbl>
      <w:tblPr>
        <w:tblW w:w="908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4"/>
        <w:gridCol w:w="5822"/>
        <w:gridCol w:w="2992"/>
      </w:tblGrid>
      <w:tr w:rsidR="00871AA1" w:rsidRPr="00CE1EA7" w14:paraId="77C8489E" w14:textId="77777777" w:rsidTr="00E65CFF">
        <w:trPr>
          <w:trHeight w:val="300"/>
          <w:tblHeader/>
        </w:trPr>
        <w:tc>
          <w:tcPr>
            <w:tcW w:w="6096" w:type="dxa"/>
            <w:gridSpan w:val="2"/>
            <w:tcBorders>
              <w:top w:val="single" w:sz="4" w:space="0" w:color="auto"/>
              <w:left w:val="single" w:sz="4" w:space="0" w:color="auto"/>
              <w:bottom w:val="single" w:sz="4" w:space="0" w:color="auto"/>
              <w:right w:val="single" w:sz="4" w:space="0" w:color="auto"/>
            </w:tcBorders>
            <w:shd w:val="clear" w:color="auto" w:fill="F2F2F2"/>
            <w:tcMar>
              <w:left w:w="57" w:type="dxa"/>
              <w:right w:w="28" w:type="dxa"/>
            </w:tcMar>
          </w:tcPr>
          <w:p w14:paraId="3B1187CC" w14:textId="77777777" w:rsidR="009563B4" w:rsidRPr="00CE1EA7" w:rsidRDefault="009563B4" w:rsidP="00481CA4">
            <w:pPr>
              <w:rPr>
                <w:rFonts w:cs="Calibri"/>
                <w:b/>
                <w:sz w:val="18"/>
                <w:szCs w:val="18"/>
              </w:rPr>
            </w:pPr>
            <w:r w:rsidRPr="00CE1EA7">
              <w:rPr>
                <w:rFonts w:cs="Calibri"/>
                <w:b/>
                <w:sz w:val="18"/>
                <w:szCs w:val="18"/>
              </w:rPr>
              <w:t>Project Core Indicators</w:t>
            </w:r>
          </w:p>
        </w:tc>
        <w:tc>
          <w:tcPr>
            <w:tcW w:w="2992" w:type="dxa"/>
            <w:tcBorders>
              <w:top w:val="single" w:sz="4" w:space="0" w:color="auto"/>
              <w:left w:val="single" w:sz="4" w:space="0" w:color="auto"/>
              <w:bottom w:val="single" w:sz="4" w:space="0" w:color="auto"/>
              <w:right w:val="single" w:sz="4" w:space="0" w:color="auto"/>
            </w:tcBorders>
            <w:shd w:val="clear" w:color="auto" w:fill="F2F2F2"/>
            <w:tcMar>
              <w:left w:w="57" w:type="dxa"/>
              <w:right w:w="28" w:type="dxa"/>
            </w:tcMar>
          </w:tcPr>
          <w:p w14:paraId="2A9380FE" w14:textId="77777777" w:rsidR="009563B4" w:rsidRPr="00CE1EA7" w:rsidRDefault="009563B4" w:rsidP="00481CA4">
            <w:pPr>
              <w:jc w:val="center"/>
              <w:rPr>
                <w:rFonts w:cs="Calibri"/>
                <w:b/>
                <w:sz w:val="18"/>
                <w:szCs w:val="18"/>
              </w:rPr>
            </w:pPr>
            <w:r w:rsidRPr="00CE1EA7">
              <w:rPr>
                <w:rFonts w:cs="Calibri"/>
                <w:b/>
                <w:sz w:val="18"/>
                <w:szCs w:val="18"/>
              </w:rPr>
              <w:t>Expected at CEO Endorsement</w:t>
            </w:r>
          </w:p>
        </w:tc>
      </w:tr>
      <w:tr w:rsidR="003228B0" w:rsidRPr="00CE1EA7" w14:paraId="7332F752" w14:textId="77777777" w:rsidTr="00E65CFF">
        <w:trPr>
          <w:trHeight w:val="313"/>
        </w:trPr>
        <w:tc>
          <w:tcPr>
            <w:tcW w:w="0" w:type="auto"/>
            <w:tcBorders>
              <w:top w:val="single" w:sz="4" w:space="0" w:color="auto"/>
              <w:left w:val="single" w:sz="4" w:space="0" w:color="auto"/>
              <w:bottom w:val="single" w:sz="4" w:space="0" w:color="auto"/>
              <w:right w:val="single" w:sz="4" w:space="0" w:color="auto"/>
            </w:tcBorders>
            <w:tcMar>
              <w:left w:w="57" w:type="dxa"/>
              <w:right w:w="28" w:type="dxa"/>
            </w:tcMar>
          </w:tcPr>
          <w:p w14:paraId="5996C604" w14:textId="77777777" w:rsidR="009563B4" w:rsidRPr="00CE1EA7" w:rsidRDefault="009563B4" w:rsidP="00481CA4">
            <w:pPr>
              <w:pStyle w:val="NoSpacing"/>
              <w:jc w:val="center"/>
              <w:rPr>
                <w:rFonts w:cs="Calibri"/>
                <w:sz w:val="18"/>
                <w:szCs w:val="18"/>
              </w:rPr>
            </w:pPr>
            <w:r w:rsidRPr="00CE1EA7">
              <w:rPr>
                <w:rFonts w:cs="Calibri"/>
                <w:sz w:val="18"/>
                <w:szCs w:val="18"/>
              </w:rPr>
              <w:t>1</w:t>
            </w:r>
          </w:p>
        </w:tc>
        <w:tc>
          <w:tcPr>
            <w:tcW w:w="5696" w:type="dxa"/>
            <w:tcBorders>
              <w:top w:val="single" w:sz="4" w:space="0" w:color="auto"/>
              <w:left w:val="single" w:sz="4" w:space="0" w:color="auto"/>
              <w:bottom w:val="single" w:sz="4" w:space="0" w:color="auto"/>
              <w:right w:val="single" w:sz="4" w:space="0" w:color="auto"/>
            </w:tcBorders>
            <w:tcMar>
              <w:left w:w="57" w:type="dxa"/>
              <w:right w:w="28" w:type="dxa"/>
            </w:tcMar>
          </w:tcPr>
          <w:p w14:paraId="08376198" w14:textId="77777777" w:rsidR="009563B4" w:rsidRPr="00CE1EA7" w:rsidRDefault="009563B4" w:rsidP="00481CA4">
            <w:pPr>
              <w:pStyle w:val="NoSpacing"/>
              <w:shd w:val="clear" w:color="auto" w:fill="FFFFFF"/>
              <w:rPr>
                <w:rFonts w:cs="Calibri"/>
                <w:sz w:val="18"/>
                <w:szCs w:val="18"/>
              </w:rPr>
            </w:pPr>
            <w:r w:rsidRPr="00CE1EA7">
              <w:rPr>
                <w:rFonts w:cs="Calibri"/>
                <w:b/>
                <w:sz w:val="18"/>
                <w:szCs w:val="18"/>
              </w:rPr>
              <w:t>Terrestrial protected areas</w:t>
            </w:r>
            <w:r w:rsidRPr="00CE1EA7">
              <w:rPr>
                <w:rFonts w:cs="Calibri"/>
                <w:sz w:val="18"/>
                <w:szCs w:val="18"/>
              </w:rPr>
              <w:t xml:space="preserve"> created or under improved management for conservation and sustainable use (Hectares)</w:t>
            </w:r>
          </w:p>
        </w:tc>
        <w:tc>
          <w:tcPr>
            <w:tcW w:w="2992" w:type="dxa"/>
            <w:tcBorders>
              <w:top w:val="single" w:sz="4" w:space="0" w:color="auto"/>
              <w:left w:val="single" w:sz="4" w:space="0" w:color="auto"/>
              <w:bottom w:val="single" w:sz="4" w:space="0" w:color="auto"/>
              <w:right w:val="single" w:sz="4" w:space="0" w:color="auto"/>
            </w:tcBorders>
            <w:tcMar>
              <w:left w:w="57" w:type="dxa"/>
              <w:right w:w="28" w:type="dxa"/>
            </w:tcMar>
          </w:tcPr>
          <w:p w14:paraId="4FA7CB66" w14:textId="77777777" w:rsidR="009563B4" w:rsidRPr="00CE1EA7" w:rsidRDefault="009563B4" w:rsidP="00481CA4">
            <w:pPr>
              <w:jc w:val="center"/>
              <w:rPr>
                <w:rFonts w:cs="Calibri"/>
                <w:sz w:val="18"/>
                <w:szCs w:val="18"/>
              </w:rPr>
            </w:pPr>
            <w:r w:rsidRPr="00CE1EA7">
              <w:rPr>
                <w:rFonts w:cs="Calibri"/>
                <w:sz w:val="18"/>
                <w:szCs w:val="18"/>
              </w:rPr>
              <w:t>NA</w:t>
            </w:r>
          </w:p>
        </w:tc>
      </w:tr>
      <w:tr w:rsidR="003228B0" w:rsidRPr="00CE1EA7" w14:paraId="34927930" w14:textId="77777777" w:rsidTr="00E65CFF">
        <w:trPr>
          <w:trHeight w:val="387"/>
        </w:trPr>
        <w:tc>
          <w:tcPr>
            <w:tcW w:w="0" w:type="auto"/>
            <w:tcBorders>
              <w:top w:val="single" w:sz="4" w:space="0" w:color="auto"/>
              <w:left w:val="single" w:sz="4" w:space="0" w:color="auto"/>
              <w:bottom w:val="single" w:sz="4" w:space="0" w:color="auto"/>
              <w:right w:val="single" w:sz="4" w:space="0" w:color="auto"/>
            </w:tcBorders>
            <w:tcMar>
              <w:left w:w="57" w:type="dxa"/>
              <w:right w:w="28" w:type="dxa"/>
            </w:tcMar>
          </w:tcPr>
          <w:p w14:paraId="0546FAE1" w14:textId="77777777" w:rsidR="009563B4" w:rsidRPr="00CE1EA7" w:rsidRDefault="009563B4" w:rsidP="00481CA4">
            <w:pPr>
              <w:pStyle w:val="NoSpacing"/>
              <w:jc w:val="center"/>
              <w:rPr>
                <w:rFonts w:cs="Calibri"/>
                <w:sz w:val="18"/>
                <w:szCs w:val="18"/>
              </w:rPr>
            </w:pPr>
            <w:r w:rsidRPr="00CE1EA7">
              <w:rPr>
                <w:rFonts w:cs="Calibri"/>
                <w:sz w:val="18"/>
                <w:szCs w:val="18"/>
              </w:rPr>
              <w:t>2</w:t>
            </w:r>
          </w:p>
        </w:tc>
        <w:tc>
          <w:tcPr>
            <w:tcW w:w="5696" w:type="dxa"/>
            <w:tcBorders>
              <w:top w:val="single" w:sz="4" w:space="0" w:color="auto"/>
              <w:left w:val="single" w:sz="4" w:space="0" w:color="auto"/>
              <w:bottom w:val="single" w:sz="4" w:space="0" w:color="auto"/>
              <w:right w:val="single" w:sz="4" w:space="0" w:color="auto"/>
            </w:tcBorders>
            <w:tcMar>
              <w:left w:w="57" w:type="dxa"/>
              <w:right w:w="28" w:type="dxa"/>
            </w:tcMar>
          </w:tcPr>
          <w:p w14:paraId="0F134768" w14:textId="77777777" w:rsidR="009563B4" w:rsidRPr="00CE1EA7" w:rsidRDefault="009563B4" w:rsidP="00481CA4">
            <w:pPr>
              <w:pStyle w:val="NoSpacing"/>
              <w:shd w:val="clear" w:color="auto" w:fill="FFFFFF"/>
              <w:rPr>
                <w:rFonts w:cs="Calibri"/>
                <w:sz w:val="18"/>
                <w:szCs w:val="18"/>
              </w:rPr>
            </w:pPr>
            <w:r w:rsidRPr="00CE1EA7">
              <w:rPr>
                <w:rFonts w:cs="Calibri"/>
                <w:b/>
                <w:sz w:val="18"/>
                <w:szCs w:val="18"/>
              </w:rPr>
              <w:t>Marine protected areas</w:t>
            </w:r>
            <w:r w:rsidRPr="00CE1EA7">
              <w:rPr>
                <w:rFonts w:cs="Calibri"/>
                <w:sz w:val="18"/>
                <w:szCs w:val="18"/>
              </w:rPr>
              <w:t xml:space="preserve"> created or under improved management for conservation and sustainable use (Hectares)</w:t>
            </w:r>
          </w:p>
        </w:tc>
        <w:tc>
          <w:tcPr>
            <w:tcW w:w="2992" w:type="dxa"/>
            <w:tcBorders>
              <w:top w:val="single" w:sz="4" w:space="0" w:color="auto"/>
              <w:left w:val="single" w:sz="4" w:space="0" w:color="auto"/>
              <w:bottom w:val="single" w:sz="4" w:space="0" w:color="auto"/>
              <w:right w:val="single" w:sz="4" w:space="0" w:color="auto"/>
            </w:tcBorders>
            <w:tcMar>
              <w:left w:w="57" w:type="dxa"/>
              <w:right w:w="28" w:type="dxa"/>
            </w:tcMar>
          </w:tcPr>
          <w:p w14:paraId="71A72710" w14:textId="77777777" w:rsidR="009563B4" w:rsidRPr="00CE1EA7" w:rsidRDefault="009563B4" w:rsidP="00481CA4">
            <w:pPr>
              <w:jc w:val="center"/>
              <w:rPr>
                <w:rFonts w:cs="Calibri"/>
                <w:sz w:val="18"/>
                <w:szCs w:val="18"/>
              </w:rPr>
            </w:pPr>
            <w:r w:rsidRPr="00CE1EA7">
              <w:rPr>
                <w:rFonts w:cs="Calibri"/>
                <w:sz w:val="18"/>
                <w:szCs w:val="18"/>
              </w:rPr>
              <w:t>NA</w:t>
            </w:r>
          </w:p>
        </w:tc>
      </w:tr>
      <w:tr w:rsidR="003228B0" w:rsidRPr="00CE1EA7" w14:paraId="4E5617D3" w14:textId="77777777" w:rsidTr="00E65CFF">
        <w:trPr>
          <w:trHeight w:val="139"/>
        </w:trPr>
        <w:tc>
          <w:tcPr>
            <w:tcW w:w="0" w:type="auto"/>
            <w:tcBorders>
              <w:top w:val="single" w:sz="4" w:space="0" w:color="auto"/>
              <w:left w:val="single" w:sz="4" w:space="0" w:color="auto"/>
              <w:bottom w:val="single" w:sz="4" w:space="0" w:color="auto"/>
              <w:right w:val="single" w:sz="4" w:space="0" w:color="auto"/>
            </w:tcBorders>
            <w:tcMar>
              <w:left w:w="57" w:type="dxa"/>
              <w:right w:w="28" w:type="dxa"/>
            </w:tcMar>
          </w:tcPr>
          <w:p w14:paraId="72400153" w14:textId="77777777" w:rsidR="009563B4" w:rsidRPr="00CE1EA7" w:rsidRDefault="009563B4" w:rsidP="00481CA4">
            <w:pPr>
              <w:pStyle w:val="NoSpacing"/>
              <w:jc w:val="center"/>
              <w:rPr>
                <w:rFonts w:cs="Calibri"/>
                <w:sz w:val="18"/>
                <w:szCs w:val="18"/>
              </w:rPr>
            </w:pPr>
            <w:r w:rsidRPr="00CE1EA7">
              <w:rPr>
                <w:rFonts w:cs="Calibri"/>
                <w:sz w:val="18"/>
                <w:szCs w:val="18"/>
              </w:rPr>
              <w:t>3</w:t>
            </w:r>
          </w:p>
        </w:tc>
        <w:tc>
          <w:tcPr>
            <w:tcW w:w="5696" w:type="dxa"/>
            <w:tcBorders>
              <w:top w:val="single" w:sz="4" w:space="0" w:color="auto"/>
              <w:left w:val="single" w:sz="4" w:space="0" w:color="auto"/>
              <w:bottom w:val="single" w:sz="4" w:space="0" w:color="auto"/>
              <w:right w:val="single" w:sz="4" w:space="0" w:color="auto"/>
            </w:tcBorders>
            <w:tcMar>
              <w:left w:w="57" w:type="dxa"/>
              <w:right w:w="28" w:type="dxa"/>
            </w:tcMar>
          </w:tcPr>
          <w:p w14:paraId="1C7FB3A8" w14:textId="77777777" w:rsidR="009563B4" w:rsidRPr="00CE1EA7" w:rsidRDefault="009563B4" w:rsidP="00481CA4">
            <w:pPr>
              <w:pStyle w:val="NoSpacing"/>
              <w:shd w:val="clear" w:color="auto" w:fill="FFFFFF"/>
              <w:rPr>
                <w:rFonts w:cs="Calibri"/>
                <w:sz w:val="18"/>
                <w:szCs w:val="18"/>
              </w:rPr>
            </w:pPr>
            <w:r w:rsidRPr="00CE1EA7">
              <w:rPr>
                <w:rFonts w:cs="Calibri"/>
                <w:sz w:val="18"/>
                <w:szCs w:val="18"/>
              </w:rPr>
              <w:t xml:space="preserve">Area of </w:t>
            </w:r>
            <w:r w:rsidRPr="00CE1EA7">
              <w:rPr>
                <w:rFonts w:cs="Calibri"/>
                <w:b/>
                <w:sz w:val="18"/>
                <w:szCs w:val="18"/>
              </w:rPr>
              <w:t>land restored (</w:t>
            </w:r>
            <w:r w:rsidRPr="00CE1EA7">
              <w:rPr>
                <w:rFonts w:cs="Calibri"/>
                <w:sz w:val="18"/>
                <w:szCs w:val="18"/>
              </w:rPr>
              <w:t>Hectares)</w:t>
            </w:r>
          </w:p>
        </w:tc>
        <w:tc>
          <w:tcPr>
            <w:tcW w:w="2992" w:type="dxa"/>
            <w:tcBorders>
              <w:top w:val="single" w:sz="4" w:space="0" w:color="auto"/>
              <w:left w:val="single" w:sz="4" w:space="0" w:color="auto"/>
              <w:bottom w:val="single" w:sz="4" w:space="0" w:color="auto"/>
              <w:right w:val="single" w:sz="4" w:space="0" w:color="auto"/>
            </w:tcBorders>
            <w:tcMar>
              <w:left w:w="57" w:type="dxa"/>
              <w:right w:w="28" w:type="dxa"/>
            </w:tcMar>
          </w:tcPr>
          <w:p w14:paraId="6A1BFA16" w14:textId="77777777" w:rsidR="009563B4" w:rsidRPr="00CE1EA7" w:rsidRDefault="009563B4" w:rsidP="00481CA4">
            <w:pPr>
              <w:jc w:val="center"/>
              <w:rPr>
                <w:rFonts w:cs="Calibri"/>
                <w:sz w:val="18"/>
                <w:szCs w:val="18"/>
                <w:highlight w:val="magenta"/>
              </w:rPr>
            </w:pPr>
            <w:r w:rsidRPr="005D6037">
              <w:rPr>
                <w:rFonts w:cs="Calibri"/>
                <w:sz w:val="18"/>
                <w:szCs w:val="18"/>
              </w:rPr>
              <w:t>9,288</w:t>
            </w:r>
          </w:p>
        </w:tc>
      </w:tr>
      <w:tr w:rsidR="003228B0" w:rsidRPr="00CE1EA7" w14:paraId="16A19128" w14:textId="77777777" w:rsidTr="00E65CFF">
        <w:trPr>
          <w:trHeight w:val="334"/>
        </w:trPr>
        <w:tc>
          <w:tcPr>
            <w:tcW w:w="0" w:type="auto"/>
            <w:tcBorders>
              <w:top w:val="single" w:sz="4" w:space="0" w:color="auto"/>
              <w:left w:val="single" w:sz="4" w:space="0" w:color="auto"/>
              <w:bottom w:val="single" w:sz="4" w:space="0" w:color="auto"/>
              <w:right w:val="single" w:sz="4" w:space="0" w:color="auto"/>
            </w:tcBorders>
            <w:tcMar>
              <w:left w:w="57" w:type="dxa"/>
              <w:right w:w="28" w:type="dxa"/>
            </w:tcMar>
          </w:tcPr>
          <w:p w14:paraId="57DCE0D4" w14:textId="77777777" w:rsidR="009563B4" w:rsidRPr="00CE1EA7" w:rsidRDefault="009563B4" w:rsidP="00481CA4">
            <w:pPr>
              <w:pStyle w:val="NoSpacing"/>
              <w:jc w:val="center"/>
              <w:rPr>
                <w:rFonts w:cs="Calibri"/>
                <w:sz w:val="18"/>
                <w:szCs w:val="18"/>
              </w:rPr>
            </w:pPr>
            <w:r w:rsidRPr="00CE1EA7">
              <w:rPr>
                <w:rFonts w:cs="Calibri"/>
                <w:sz w:val="18"/>
                <w:szCs w:val="18"/>
              </w:rPr>
              <w:t>4</w:t>
            </w:r>
          </w:p>
        </w:tc>
        <w:tc>
          <w:tcPr>
            <w:tcW w:w="5696" w:type="dxa"/>
            <w:tcBorders>
              <w:top w:val="single" w:sz="4" w:space="0" w:color="auto"/>
              <w:left w:val="single" w:sz="4" w:space="0" w:color="auto"/>
              <w:bottom w:val="single" w:sz="4" w:space="0" w:color="auto"/>
              <w:right w:val="single" w:sz="4" w:space="0" w:color="auto"/>
            </w:tcBorders>
            <w:tcMar>
              <w:left w:w="57" w:type="dxa"/>
              <w:right w:w="28" w:type="dxa"/>
            </w:tcMar>
          </w:tcPr>
          <w:p w14:paraId="4FAA036D" w14:textId="77777777" w:rsidR="009563B4" w:rsidRPr="00CE1EA7" w:rsidRDefault="009563B4" w:rsidP="00481CA4">
            <w:pPr>
              <w:pStyle w:val="NoSpacing"/>
              <w:shd w:val="clear" w:color="auto" w:fill="FFFFFF"/>
              <w:rPr>
                <w:rFonts w:cs="Calibri"/>
                <w:sz w:val="18"/>
                <w:szCs w:val="18"/>
              </w:rPr>
            </w:pPr>
            <w:r w:rsidRPr="00CE1EA7">
              <w:rPr>
                <w:rFonts w:cs="Calibri"/>
                <w:sz w:val="18"/>
                <w:szCs w:val="18"/>
              </w:rPr>
              <w:t xml:space="preserve">Area of </w:t>
            </w:r>
            <w:r w:rsidRPr="00CE1EA7">
              <w:rPr>
                <w:rFonts w:cs="Calibri"/>
                <w:b/>
                <w:sz w:val="18"/>
                <w:szCs w:val="18"/>
              </w:rPr>
              <w:t>landscapes under improved practices</w:t>
            </w:r>
            <w:r w:rsidRPr="00CE1EA7">
              <w:rPr>
                <w:rFonts w:cs="Calibri"/>
                <w:sz w:val="18"/>
                <w:szCs w:val="18"/>
              </w:rPr>
              <w:t xml:space="preserve"> (excluding protected areas) (Hectares)</w:t>
            </w:r>
          </w:p>
        </w:tc>
        <w:tc>
          <w:tcPr>
            <w:tcW w:w="2992" w:type="dxa"/>
            <w:tcBorders>
              <w:top w:val="single" w:sz="4" w:space="0" w:color="auto"/>
              <w:left w:val="single" w:sz="4" w:space="0" w:color="auto"/>
              <w:bottom w:val="single" w:sz="4" w:space="0" w:color="auto"/>
              <w:right w:val="single" w:sz="4" w:space="0" w:color="auto"/>
            </w:tcBorders>
            <w:tcMar>
              <w:left w:w="57" w:type="dxa"/>
              <w:right w:w="28" w:type="dxa"/>
            </w:tcMar>
          </w:tcPr>
          <w:p w14:paraId="48524157" w14:textId="52DCF752" w:rsidR="009563B4" w:rsidRPr="00CE1EA7" w:rsidRDefault="009563B4" w:rsidP="00481CA4">
            <w:pPr>
              <w:jc w:val="center"/>
              <w:rPr>
                <w:rFonts w:cs="Calibri"/>
                <w:sz w:val="18"/>
                <w:szCs w:val="18"/>
                <w:highlight w:val="magenta"/>
              </w:rPr>
            </w:pPr>
            <w:r w:rsidRPr="005D6037">
              <w:rPr>
                <w:rFonts w:cs="Calibri"/>
                <w:sz w:val="18"/>
                <w:szCs w:val="18"/>
              </w:rPr>
              <w:t>623,</w:t>
            </w:r>
            <w:r w:rsidR="004B423E">
              <w:rPr>
                <w:rFonts w:cs="Calibri"/>
                <w:sz w:val="18"/>
                <w:szCs w:val="18"/>
              </w:rPr>
              <w:t>990</w:t>
            </w:r>
          </w:p>
        </w:tc>
      </w:tr>
      <w:tr w:rsidR="003228B0" w:rsidRPr="00CE1EA7" w14:paraId="5237A521" w14:textId="77777777" w:rsidTr="00E65CFF">
        <w:trPr>
          <w:trHeight w:val="354"/>
        </w:trPr>
        <w:tc>
          <w:tcPr>
            <w:tcW w:w="0" w:type="auto"/>
            <w:tcBorders>
              <w:top w:val="single" w:sz="4" w:space="0" w:color="auto"/>
              <w:left w:val="single" w:sz="4" w:space="0" w:color="auto"/>
              <w:bottom w:val="single" w:sz="4" w:space="0" w:color="auto"/>
              <w:right w:val="single" w:sz="4" w:space="0" w:color="auto"/>
            </w:tcBorders>
            <w:tcMar>
              <w:left w:w="57" w:type="dxa"/>
              <w:right w:w="28" w:type="dxa"/>
            </w:tcMar>
          </w:tcPr>
          <w:p w14:paraId="4F4A6A3F" w14:textId="77777777" w:rsidR="009563B4" w:rsidRPr="00CE1EA7" w:rsidRDefault="009563B4" w:rsidP="00481CA4">
            <w:pPr>
              <w:pStyle w:val="NoSpacing"/>
              <w:jc w:val="center"/>
              <w:rPr>
                <w:rFonts w:cs="Calibri"/>
                <w:sz w:val="18"/>
                <w:szCs w:val="18"/>
              </w:rPr>
            </w:pPr>
            <w:r w:rsidRPr="00CE1EA7">
              <w:rPr>
                <w:rFonts w:cs="Calibri"/>
                <w:sz w:val="18"/>
                <w:szCs w:val="18"/>
              </w:rPr>
              <w:t>5</w:t>
            </w:r>
          </w:p>
        </w:tc>
        <w:tc>
          <w:tcPr>
            <w:tcW w:w="5696" w:type="dxa"/>
            <w:tcBorders>
              <w:top w:val="single" w:sz="4" w:space="0" w:color="auto"/>
              <w:left w:val="single" w:sz="4" w:space="0" w:color="auto"/>
              <w:bottom w:val="single" w:sz="4" w:space="0" w:color="auto"/>
              <w:right w:val="single" w:sz="4" w:space="0" w:color="auto"/>
            </w:tcBorders>
            <w:tcMar>
              <w:left w:w="57" w:type="dxa"/>
              <w:right w:w="28" w:type="dxa"/>
            </w:tcMar>
          </w:tcPr>
          <w:p w14:paraId="74DACDFF" w14:textId="77777777" w:rsidR="009563B4" w:rsidRPr="00CE1EA7" w:rsidRDefault="009563B4" w:rsidP="00481CA4">
            <w:pPr>
              <w:pStyle w:val="NoSpacing"/>
              <w:shd w:val="clear" w:color="auto" w:fill="FFFFFF"/>
              <w:rPr>
                <w:rFonts w:cs="Calibri"/>
                <w:sz w:val="18"/>
                <w:szCs w:val="18"/>
              </w:rPr>
            </w:pPr>
            <w:r w:rsidRPr="00CE1EA7">
              <w:rPr>
                <w:rFonts w:cs="Calibri"/>
                <w:sz w:val="18"/>
                <w:szCs w:val="18"/>
              </w:rPr>
              <w:t xml:space="preserve">Area of </w:t>
            </w:r>
            <w:r w:rsidRPr="00CE1EA7">
              <w:rPr>
                <w:rFonts w:cs="Calibri"/>
                <w:b/>
                <w:sz w:val="18"/>
                <w:szCs w:val="18"/>
              </w:rPr>
              <w:t>marine habitat under improved practices</w:t>
            </w:r>
            <w:r w:rsidRPr="00CE1EA7">
              <w:rPr>
                <w:rFonts w:cs="Calibri"/>
                <w:sz w:val="18"/>
                <w:szCs w:val="18"/>
              </w:rPr>
              <w:t xml:space="preserve"> (excluding protected areas) (Hectares)</w:t>
            </w:r>
          </w:p>
        </w:tc>
        <w:tc>
          <w:tcPr>
            <w:tcW w:w="2992" w:type="dxa"/>
            <w:tcBorders>
              <w:top w:val="single" w:sz="4" w:space="0" w:color="auto"/>
              <w:left w:val="single" w:sz="4" w:space="0" w:color="auto"/>
              <w:bottom w:val="single" w:sz="4" w:space="0" w:color="auto"/>
              <w:right w:val="single" w:sz="4" w:space="0" w:color="auto"/>
            </w:tcBorders>
            <w:tcMar>
              <w:left w:w="57" w:type="dxa"/>
              <w:right w:w="28" w:type="dxa"/>
            </w:tcMar>
          </w:tcPr>
          <w:p w14:paraId="091DAB0C" w14:textId="77777777" w:rsidR="009563B4" w:rsidRPr="00CE1EA7" w:rsidRDefault="009563B4" w:rsidP="00481CA4">
            <w:pPr>
              <w:jc w:val="center"/>
              <w:rPr>
                <w:rFonts w:cs="Calibri"/>
                <w:sz w:val="18"/>
                <w:szCs w:val="18"/>
              </w:rPr>
            </w:pPr>
            <w:r w:rsidRPr="00CE1EA7">
              <w:rPr>
                <w:rFonts w:cs="Calibri"/>
                <w:sz w:val="18"/>
                <w:szCs w:val="18"/>
              </w:rPr>
              <w:t>NA</w:t>
            </w:r>
          </w:p>
        </w:tc>
      </w:tr>
      <w:tr w:rsidR="004C4FD4" w:rsidRPr="007357BC" w14:paraId="232BC068" w14:textId="77777777" w:rsidTr="00E65CFF">
        <w:trPr>
          <w:trHeight w:val="106"/>
        </w:trPr>
        <w:tc>
          <w:tcPr>
            <w:tcW w:w="0" w:type="auto"/>
            <w:tcBorders>
              <w:top w:val="single" w:sz="4" w:space="0" w:color="auto"/>
              <w:left w:val="single" w:sz="4" w:space="0" w:color="auto"/>
              <w:bottom w:val="single" w:sz="4" w:space="0" w:color="auto"/>
              <w:right w:val="single" w:sz="4" w:space="0" w:color="auto"/>
            </w:tcBorders>
            <w:shd w:val="clear" w:color="auto" w:fill="D9D9D9" w:themeFill="background1" w:themeFillShade="D9"/>
            <w:tcMar>
              <w:left w:w="57" w:type="dxa"/>
              <w:right w:w="28" w:type="dxa"/>
            </w:tcMar>
          </w:tcPr>
          <w:p w14:paraId="3BC6BE8D" w14:textId="77777777" w:rsidR="009563B4" w:rsidRPr="007357BC" w:rsidRDefault="009563B4" w:rsidP="00481CA4">
            <w:pPr>
              <w:pStyle w:val="NoSpacing"/>
              <w:jc w:val="center"/>
              <w:rPr>
                <w:rFonts w:cs="Calibri"/>
                <w:b/>
                <w:bCs/>
                <w:sz w:val="18"/>
                <w:szCs w:val="18"/>
              </w:rPr>
            </w:pPr>
          </w:p>
        </w:tc>
        <w:tc>
          <w:tcPr>
            <w:tcW w:w="5696" w:type="dxa"/>
            <w:tcBorders>
              <w:top w:val="single" w:sz="4" w:space="0" w:color="auto"/>
              <w:left w:val="single" w:sz="4" w:space="0" w:color="auto"/>
              <w:bottom w:val="single" w:sz="4" w:space="0" w:color="auto"/>
              <w:right w:val="single" w:sz="4" w:space="0" w:color="auto"/>
            </w:tcBorders>
            <w:shd w:val="clear" w:color="auto" w:fill="D9D9D9" w:themeFill="background1" w:themeFillShade="D9"/>
            <w:tcMar>
              <w:left w:w="57" w:type="dxa"/>
              <w:right w:w="28" w:type="dxa"/>
            </w:tcMar>
          </w:tcPr>
          <w:p w14:paraId="5288FFB6" w14:textId="77777777" w:rsidR="009563B4" w:rsidRPr="007357BC" w:rsidRDefault="009563B4" w:rsidP="00481CA4">
            <w:pPr>
              <w:rPr>
                <w:b/>
                <w:bCs/>
                <w:sz w:val="18"/>
                <w:szCs w:val="18"/>
              </w:rPr>
            </w:pPr>
            <w:r w:rsidRPr="007357BC">
              <w:rPr>
                <w:b/>
                <w:bCs/>
                <w:sz w:val="18"/>
                <w:szCs w:val="18"/>
              </w:rPr>
              <w:t>Total area under improved management (Hectares)</w:t>
            </w:r>
          </w:p>
        </w:tc>
        <w:tc>
          <w:tcPr>
            <w:tcW w:w="2992" w:type="dxa"/>
            <w:tcBorders>
              <w:top w:val="single" w:sz="4" w:space="0" w:color="auto"/>
              <w:left w:val="single" w:sz="4" w:space="0" w:color="auto"/>
              <w:bottom w:val="single" w:sz="4" w:space="0" w:color="auto"/>
              <w:right w:val="single" w:sz="4" w:space="0" w:color="auto"/>
            </w:tcBorders>
            <w:shd w:val="clear" w:color="auto" w:fill="D9D9D9" w:themeFill="background1" w:themeFillShade="D9"/>
            <w:tcMar>
              <w:left w:w="57" w:type="dxa"/>
              <w:right w:w="28" w:type="dxa"/>
            </w:tcMar>
          </w:tcPr>
          <w:p w14:paraId="6CC6D6CF" w14:textId="5204E21B" w:rsidR="009563B4" w:rsidRPr="007357BC" w:rsidRDefault="009563B4" w:rsidP="00481CA4">
            <w:pPr>
              <w:jc w:val="center"/>
              <w:rPr>
                <w:rFonts w:cs="Calibri"/>
                <w:b/>
                <w:bCs/>
                <w:sz w:val="18"/>
                <w:szCs w:val="18"/>
              </w:rPr>
            </w:pPr>
            <w:r w:rsidRPr="007357BC">
              <w:rPr>
                <w:rFonts w:cs="Calibri"/>
                <w:b/>
                <w:bCs/>
                <w:sz w:val="18"/>
                <w:szCs w:val="18"/>
              </w:rPr>
              <w:t>633,</w:t>
            </w:r>
            <w:r w:rsidR="008B03B7">
              <w:rPr>
                <w:rFonts w:cs="Calibri"/>
                <w:b/>
                <w:bCs/>
                <w:sz w:val="18"/>
                <w:szCs w:val="18"/>
              </w:rPr>
              <w:t>278</w:t>
            </w:r>
            <w:r w:rsidRPr="007357BC">
              <w:rPr>
                <w:rFonts w:cs="Calibri"/>
                <w:b/>
                <w:bCs/>
                <w:sz w:val="18"/>
                <w:szCs w:val="18"/>
              </w:rPr>
              <w:t xml:space="preserve"> ha</w:t>
            </w:r>
          </w:p>
        </w:tc>
      </w:tr>
      <w:tr w:rsidR="003228B0" w:rsidRPr="00CE1EA7" w14:paraId="3537F03B" w14:textId="77777777" w:rsidTr="00E65CFF">
        <w:trPr>
          <w:trHeight w:val="233"/>
        </w:trPr>
        <w:tc>
          <w:tcPr>
            <w:tcW w:w="0" w:type="auto"/>
            <w:tcBorders>
              <w:top w:val="single" w:sz="4" w:space="0" w:color="auto"/>
              <w:left w:val="single" w:sz="4" w:space="0" w:color="auto"/>
              <w:bottom w:val="single" w:sz="4" w:space="0" w:color="auto"/>
              <w:right w:val="single" w:sz="4" w:space="0" w:color="auto"/>
            </w:tcBorders>
            <w:tcMar>
              <w:left w:w="57" w:type="dxa"/>
              <w:right w:w="28" w:type="dxa"/>
            </w:tcMar>
          </w:tcPr>
          <w:p w14:paraId="60811D56" w14:textId="77777777" w:rsidR="009563B4" w:rsidRPr="00A55D9B" w:rsidRDefault="009563B4" w:rsidP="00481CA4">
            <w:pPr>
              <w:pStyle w:val="NoSpacing"/>
              <w:jc w:val="center"/>
              <w:rPr>
                <w:rFonts w:cs="Calibri"/>
                <w:sz w:val="18"/>
                <w:szCs w:val="18"/>
              </w:rPr>
            </w:pPr>
            <w:r w:rsidRPr="00A55D9B">
              <w:rPr>
                <w:rFonts w:cs="Calibri"/>
                <w:sz w:val="18"/>
                <w:szCs w:val="18"/>
              </w:rPr>
              <w:t>6</w:t>
            </w:r>
          </w:p>
        </w:tc>
        <w:tc>
          <w:tcPr>
            <w:tcW w:w="5696" w:type="dxa"/>
            <w:tcBorders>
              <w:top w:val="single" w:sz="4" w:space="0" w:color="auto"/>
              <w:left w:val="single" w:sz="4" w:space="0" w:color="auto"/>
              <w:bottom w:val="single" w:sz="4" w:space="0" w:color="auto"/>
              <w:right w:val="single" w:sz="4" w:space="0" w:color="auto"/>
            </w:tcBorders>
            <w:tcMar>
              <w:left w:w="57" w:type="dxa"/>
              <w:right w:w="28" w:type="dxa"/>
            </w:tcMar>
          </w:tcPr>
          <w:p w14:paraId="544F57FD" w14:textId="77777777" w:rsidR="009563B4" w:rsidRPr="00A55D9B" w:rsidRDefault="009563B4" w:rsidP="00481CA4">
            <w:pPr>
              <w:pStyle w:val="NoSpacing"/>
              <w:shd w:val="clear" w:color="auto" w:fill="FFFFFF"/>
              <w:rPr>
                <w:rFonts w:cs="Calibri"/>
                <w:sz w:val="18"/>
                <w:szCs w:val="18"/>
              </w:rPr>
            </w:pPr>
            <w:r w:rsidRPr="00A55D9B">
              <w:rPr>
                <w:rFonts w:cs="Calibri"/>
                <w:b/>
                <w:sz w:val="18"/>
                <w:szCs w:val="18"/>
              </w:rPr>
              <w:t>Greenhouse Gas Emissions Mitigated</w:t>
            </w:r>
            <w:r w:rsidRPr="00A55D9B">
              <w:rPr>
                <w:rFonts w:cs="Calibri"/>
                <w:sz w:val="18"/>
                <w:szCs w:val="18"/>
              </w:rPr>
              <w:t xml:space="preserve"> (metric tons of CO2e)  </w:t>
            </w:r>
          </w:p>
        </w:tc>
        <w:tc>
          <w:tcPr>
            <w:tcW w:w="2992" w:type="dxa"/>
            <w:tcBorders>
              <w:top w:val="single" w:sz="4" w:space="0" w:color="auto"/>
              <w:left w:val="single" w:sz="4" w:space="0" w:color="auto"/>
              <w:bottom w:val="single" w:sz="4" w:space="0" w:color="auto"/>
              <w:right w:val="single" w:sz="4" w:space="0" w:color="auto"/>
            </w:tcBorders>
            <w:tcMar>
              <w:left w:w="57" w:type="dxa"/>
              <w:right w:w="28" w:type="dxa"/>
            </w:tcMar>
          </w:tcPr>
          <w:p w14:paraId="02EF6665" w14:textId="1B367A50" w:rsidR="009563B4" w:rsidRPr="00CE1EA7" w:rsidRDefault="006515C4" w:rsidP="00481CA4">
            <w:pPr>
              <w:jc w:val="center"/>
              <w:rPr>
                <w:rFonts w:cs="Calibri"/>
                <w:sz w:val="18"/>
                <w:szCs w:val="18"/>
              </w:rPr>
            </w:pPr>
            <w:r w:rsidRPr="006B326F">
              <w:rPr>
                <w:rFonts w:cs="Calibri"/>
                <w:sz w:val="18"/>
                <w:szCs w:val="18"/>
                <w:highlight w:val="yellow"/>
              </w:rPr>
              <w:t>1,047,911</w:t>
            </w:r>
            <w:r w:rsidRPr="006515C4" w:rsidDel="006515C4">
              <w:rPr>
                <w:rFonts w:cs="Calibri"/>
                <w:sz w:val="18"/>
                <w:szCs w:val="18"/>
              </w:rPr>
              <w:t xml:space="preserve"> </w:t>
            </w:r>
            <w:r w:rsidR="00A42889">
              <w:rPr>
                <w:rFonts w:cs="Calibri"/>
                <w:sz w:val="18"/>
                <w:szCs w:val="18"/>
              </w:rPr>
              <w:t>tCO2</w:t>
            </w:r>
            <w:r w:rsidR="00095450">
              <w:rPr>
                <w:rFonts w:cs="Calibri"/>
                <w:sz w:val="18"/>
                <w:szCs w:val="18"/>
              </w:rPr>
              <w:t>e</w:t>
            </w:r>
          </w:p>
        </w:tc>
      </w:tr>
      <w:tr w:rsidR="003228B0" w:rsidRPr="00CE1EA7" w14:paraId="1C3B51A6" w14:textId="77777777" w:rsidTr="00E65CFF">
        <w:trPr>
          <w:trHeight w:val="325"/>
        </w:trPr>
        <w:tc>
          <w:tcPr>
            <w:tcW w:w="0" w:type="auto"/>
            <w:tcBorders>
              <w:top w:val="single" w:sz="4" w:space="0" w:color="auto"/>
              <w:left w:val="single" w:sz="4" w:space="0" w:color="auto"/>
              <w:bottom w:val="single" w:sz="4" w:space="0" w:color="auto"/>
              <w:right w:val="single" w:sz="4" w:space="0" w:color="auto"/>
            </w:tcBorders>
            <w:tcMar>
              <w:left w:w="57" w:type="dxa"/>
              <w:right w:w="28" w:type="dxa"/>
            </w:tcMar>
          </w:tcPr>
          <w:p w14:paraId="3E07E279" w14:textId="77777777" w:rsidR="009563B4" w:rsidRPr="00CE1EA7" w:rsidRDefault="009563B4" w:rsidP="00481CA4">
            <w:pPr>
              <w:pStyle w:val="NoSpacing"/>
              <w:jc w:val="center"/>
              <w:rPr>
                <w:rFonts w:cs="Calibri"/>
                <w:sz w:val="18"/>
                <w:szCs w:val="18"/>
              </w:rPr>
            </w:pPr>
            <w:r w:rsidRPr="00CE1EA7">
              <w:rPr>
                <w:rFonts w:cs="Calibri"/>
                <w:sz w:val="18"/>
                <w:szCs w:val="18"/>
              </w:rPr>
              <w:t>7</w:t>
            </w:r>
          </w:p>
        </w:tc>
        <w:tc>
          <w:tcPr>
            <w:tcW w:w="5696" w:type="dxa"/>
            <w:tcBorders>
              <w:top w:val="single" w:sz="4" w:space="0" w:color="auto"/>
              <w:left w:val="single" w:sz="4" w:space="0" w:color="auto"/>
              <w:bottom w:val="single" w:sz="4" w:space="0" w:color="auto"/>
              <w:right w:val="single" w:sz="4" w:space="0" w:color="auto"/>
            </w:tcBorders>
            <w:tcMar>
              <w:left w:w="57" w:type="dxa"/>
              <w:right w:w="28" w:type="dxa"/>
            </w:tcMar>
          </w:tcPr>
          <w:p w14:paraId="4F882109" w14:textId="77777777" w:rsidR="009563B4" w:rsidRPr="00CE1EA7" w:rsidRDefault="009563B4" w:rsidP="00481CA4">
            <w:pPr>
              <w:pStyle w:val="NoSpacing"/>
              <w:shd w:val="clear" w:color="auto" w:fill="FFFFFF"/>
              <w:rPr>
                <w:rFonts w:cs="Calibri"/>
                <w:sz w:val="18"/>
                <w:szCs w:val="18"/>
              </w:rPr>
            </w:pPr>
            <w:r w:rsidRPr="00CE1EA7">
              <w:rPr>
                <w:rFonts w:cs="Calibri"/>
                <w:b/>
                <w:sz w:val="18"/>
                <w:szCs w:val="18"/>
              </w:rPr>
              <w:t>Number of shared water ecosystems</w:t>
            </w:r>
            <w:r w:rsidRPr="00CE1EA7">
              <w:rPr>
                <w:rFonts w:cs="Calibri"/>
                <w:sz w:val="18"/>
                <w:szCs w:val="18"/>
              </w:rPr>
              <w:t xml:space="preserve"> (fresh or marine) under new or improved cooperative management</w:t>
            </w:r>
          </w:p>
        </w:tc>
        <w:tc>
          <w:tcPr>
            <w:tcW w:w="2992" w:type="dxa"/>
            <w:tcBorders>
              <w:top w:val="single" w:sz="4" w:space="0" w:color="auto"/>
              <w:left w:val="single" w:sz="4" w:space="0" w:color="auto"/>
              <w:bottom w:val="single" w:sz="4" w:space="0" w:color="auto"/>
              <w:right w:val="single" w:sz="4" w:space="0" w:color="auto"/>
            </w:tcBorders>
            <w:tcMar>
              <w:left w:w="57" w:type="dxa"/>
              <w:right w:w="28" w:type="dxa"/>
            </w:tcMar>
          </w:tcPr>
          <w:p w14:paraId="34683162" w14:textId="77777777" w:rsidR="009563B4" w:rsidRPr="00CE1EA7" w:rsidRDefault="009563B4" w:rsidP="00481CA4">
            <w:pPr>
              <w:jc w:val="center"/>
              <w:rPr>
                <w:rFonts w:cs="Calibri"/>
                <w:sz w:val="18"/>
                <w:szCs w:val="18"/>
              </w:rPr>
            </w:pPr>
            <w:r w:rsidRPr="00CE1EA7">
              <w:rPr>
                <w:rFonts w:cs="Calibri"/>
                <w:sz w:val="18"/>
                <w:szCs w:val="18"/>
              </w:rPr>
              <w:t>NA</w:t>
            </w:r>
          </w:p>
        </w:tc>
      </w:tr>
      <w:tr w:rsidR="003228B0" w:rsidRPr="00CE1EA7" w14:paraId="02F78057" w14:textId="77777777" w:rsidTr="00E65CFF">
        <w:trPr>
          <w:trHeight w:val="213"/>
        </w:trPr>
        <w:tc>
          <w:tcPr>
            <w:tcW w:w="0" w:type="auto"/>
            <w:tcBorders>
              <w:top w:val="single" w:sz="4" w:space="0" w:color="auto"/>
              <w:left w:val="single" w:sz="4" w:space="0" w:color="auto"/>
              <w:bottom w:val="single" w:sz="4" w:space="0" w:color="auto"/>
              <w:right w:val="single" w:sz="4" w:space="0" w:color="auto"/>
            </w:tcBorders>
            <w:tcMar>
              <w:left w:w="57" w:type="dxa"/>
              <w:right w:w="28" w:type="dxa"/>
            </w:tcMar>
          </w:tcPr>
          <w:p w14:paraId="2AB80700" w14:textId="77777777" w:rsidR="009563B4" w:rsidRPr="00CE1EA7" w:rsidRDefault="009563B4" w:rsidP="00481CA4">
            <w:pPr>
              <w:jc w:val="center"/>
              <w:rPr>
                <w:rFonts w:cs="Calibri"/>
                <w:sz w:val="18"/>
                <w:szCs w:val="18"/>
              </w:rPr>
            </w:pPr>
            <w:r w:rsidRPr="00CE1EA7">
              <w:rPr>
                <w:rFonts w:cs="Calibri"/>
                <w:sz w:val="18"/>
                <w:szCs w:val="18"/>
              </w:rPr>
              <w:t>8</w:t>
            </w:r>
          </w:p>
        </w:tc>
        <w:tc>
          <w:tcPr>
            <w:tcW w:w="5696" w:type="dxa"/>
            <w:tcBorders>
              <w:top w:val="single" w:sz="4" w:space="0" w:color="auto"/>
              <w:left w:val="single" w:sz="4" w:space="0" w:color="auto"/>
              <w:bottom w:val="single" w:sz="4" w:space="0" w:color="auto"/>
              <w:right w:val="single" w:sz="4" w:space="0" w:color="auto"/>
            </w:tcBorders>
            <w:tcMar>
              <w:left w:w="57" w:type="dxa"/>
              <w:right w:w="28" w:type="dxa"/>
            </w:tcMar>
          </w:tcPr>
          <w:p w14:paraId="70F15F97" w14:textId="77777777" w:rsidR="009563B4" w:rsidRPr="00CE1EA7" w:rsidRDefault="009563B4" w:rsidP="00481CA4">
            <w:pPr>
              <w:shd w:val="clear" w:color="auto" w:fill="FFFFFF"/>
              <w:rPr>
                <w:rFonts w:cs="Calibri"/>
                <w:sz w:val="18"/>
                <w:szCs w:val="18"/>
              </w:rPr>
            </w:pPr>
            <w:r w:rsidRPr="00CE1EA7">
              <w:rPr>
                <w:rFonts w:cs="Calibri"/>
                <w:sz w:val="18"/>
                <w:szCs w:val="18"/>
              </w:rPr>
              <w:t xml:space="preserve">Globally over-exploited </w:t>
            </w:r>
            <w:r w:rsidRPr="00CE1EA7">
              <w:rPr>
                <w:rFonts w:cs="Calibri"/>
                <w:b/>
                <w:sz w:val="18"/>
                <w:szCs w:val="18"/>
              </w:rPr>
              <w:t>marine fisheries</w:t>
            </w:r>
            <w:r w:rsidRPr="00CE1EA7">
              <w:rPr>
                <w:rFonts w:cs="Calibri"/>
                <w:sz w:val="18"/>
                <w:szCs w:val="18"/>
              </w:rPr>
              <w:t xml:space="preserve"> moved to more sustainable levels (metric tons)</w:t>
            </w:r>
          </w:p>
        </w:tc>
        <w:tc>
          <w:tcPr>
            <w:tcW w:w="2992" w:type="dxa"/>
            <w:tcBorders>
              <w:top w:val="single" w:sz="4" w:space="0" w:color="auto"/>
              <w:left w:val="single" w:sz="4" w:space="0" w:color="auto"/>
              <w:bottom w:val="single" w:sz="4" w:space="0" w:color="auto"/>
              <w:right w:val="single" w:sz="4" w:space="0" w:color="auto"/>
            </w:tcBorders>
            <w:tcMar>
              <w:left w:w="57" w:type="dxa"/>
              <w:right w:w="28" w:type="dxa"/>
            </w:tcMar>
          </w:tcPr>
          <w:p w14:paraId="76ED26D4" w14:textId="77777777" w:rsidR="009563B4" w:rsidRPr="00CE1EA7" w:rsidRDefault="009563B4" w:rsidP="00481CA4">
            <w:pPr>
              <w:jc w:val="center"/>
              <w:rPr>
                <w:rFonts w:cs="Calibri"/>
                <w:sz w:val="18"/>
                <w:szCs w:val="18"/>
              </w:rPr>
            </w:pPr>
            <w:r w:rsidRPr="00CE1EA7">
              <w:rPr>
                <w:rFonts w:cs="Calibri"/>
                <w:sz w:val="18"/>
                <w:szCs w:val="18"/>
              </w:rPr>
              <w:t>NA</w:t>
            </w:r>
          </w:p>
        </w:tc>
      </w:tr>
      <w:tr w:rsidR="003228B0" w:rsidRPr="00CE1EA7" w14:paraId="6C1CAECC" w14:textId="77777777" w:rsidTr="00E65CFF">
        <w:trPr>
          <w:trHeight w:val="494"/>
        </w:trPr>
        <w:tc>
          <w:tcPr>
            <w:tcW w:w="0" w:type="auto"/>
            <w:tcBorders>
              <w:top w:val="single" w:sz="4" w:space="0" w:color="auto"/>
              <w:left w:val="single" w:sz="4" w:space="0" w:color="auto"/>
              <w:bottom w:val="single" w:sz="4" w:space="0" w:color="auto"/>
              <w:right w:val="single" w:sz="4" w:space="0" w:color="auto"/>
            </w:tcBorders>
            <w:tcMar>
              <w:left w:w="57" w:type="dxa"/>
              <w:right w:w="28" w:type="dxa"/>
            </w:tcMar>
          </w:tcPr>
          <w:p w14:paraId="6C033DAE" w14:textId="77777777" w:rsidR="009563B4" w:rsidRPr="00CE1EA7" w:rsidRDefault="009563B4" w:rsidP="00481CA4">
            <w:pPr>
              <w:pStyle w:val="NoSpacing"/>
              <w:jc w:val="center"/>
              <w:rPr>
                <w:rFonts w:cs="Calibri"/>
                <w:sz w:val="18"/>
                <w:szCs w:val="18"/>
              </w:rPr>
            </w:pPr>
            <w:r w:rsidRPr="00CE1EA7">
              <w:rPr>
                <w:rFonts w:cs="Calibri"/>
                <w:sz w:val="18"/>
                <w:szCs w:val="18"/>
              </w:rPr>
              <w:t>9</w:t>
            </w:r>
          </w:p>
        </w:tc>
        <w:tc>
          <w:tcPr>
            <w:tcW w:w="5696" w:type="dxa"/>
            <w:tcBorders>
              <w:top w:val="single" w:sz="4" w:space="0" w:color="auto"/>
              <w:left w:val="single" w:sz="4" w:space="0" w:color="auto"/>
              <w:bottom w:val="single" w:sz="4" w:space="0" w:color="auto"/>
              <w:right w:val="single" w:sz="4" w:space="0" w:color="auto"/>
            </w:tcBorders>
            <w:tcMar>
              <w:left w:w="57" w:type="dxa"/>
              <w:right w:w="28" w:type="dxa"/>
            </w:tcMar>
          </w:tcPr>
          <w:p w14:paraId="53621F45" w14:textId="77777777" w:rsidR="009563B4" w:rsidRPr="00CE1EA7" w:rsidRDefault="009563B4" w:rsidP="00481CA4">
            <w:pPr>
              <w:pStyle w:val="NoSpacing"/>
              <w:shd w:val="clear" w:color="auto" w:fill="FFFFFF"/>
              <w:rPr>
                <w:rFonts w:cs="Calibri"/>
                <w:sz w:val="18"/>
                <w:szCs w:val="18"/>
              </w:rPr>
            </w:pPr>
            <w:r w:rsidRPr="00CE1EA7">
              <w:rPr>
                <w:rFonts w:cs="Calibri"/>
                <w:b/>
                <w:sz w:val="18"/>
                <w:szCs w:val="18"/>
              </w:rPr>
              <w:t>Reduction</w:t>
            </w:r>
            <w:r w:rsidRPr="00CE1EA7">
              <w:rPr>
                <w:rFonts w:cs="Calibri"/>
                <w:sz w:val="18"/>
                <w:szCs w:val="18"/>
              </w:rPr>
              <w:t xml:space="preserve">, disposal/destruction, phase out, </w:t>
            </w:r>
            <w:r w:rsidRPr="00CE1EA7">
              <w:rPr>
                <w:rFonts w:cs="Calibri"/>
                <w:b/>
                <w:sz w:val="18"/>
                <w:szCs w:val="18"/>
              </w:rPr>
              <w:t>elimination</w:t>
            </w:r>
            <w:r w:rsidRPr="00CE1EA7">
              <w:rPr>
                <w:rFonts w:cs="Calibri"/>
                <w:sz w:val="18"/>
                <w:szCs w:val="18"/>
              </w:rPr>
              <w:t xml:space="preserve"> and avoidance of </w:t>
            </w:r>
            <w:r w:rsidRPr="00CE1EA7">
              <w:rPr>
                <w:rFonts w:cs="Calibri"/>
                <w:b/>
                <w:sz w:val="18"/>
                <w:szCs w:val="18"/>
              </w:rPr>
              <w:t>chemicals of global concern</w:t>
            </w:r>
            <w:r w:rsidRPr="00CE1EA7">
              <w:rPr>
                <w:rFonts w:cs="Calibri"/>
                <w:sz w:val="18"/>
                <w:szCs w:val="18"/>
              </w:rPr>
              <w:t xml:space="preserve"> and their waste in the environment and in processes, materials and products (metric tons of toxic chemicals reduced)</w:t>
            </w:r>
          </w:p>
        </w:tc>
        <w:tc>
          <w:tcPr>
            <w:tcW w:w="2992" w:type="dxa"/>
            <w:tcBorders>
              <w:top w:val="single" w:sz="4" w:space="0" w:color="auto"/>
              <w:left w:val="single" w:sz="4" w:space="0" w:color="auto"/>
              <w:bottom w:val="single" w:sz="4" w:space="0" w:color="auto"/>
              <w:right w:val="single" w:sz="4" w:space="0" w:color="auto"/>
            </w:tcBorders>
            <w:tcMar>
              <w:left w:w="57" w:type="dxa"/>
              <w:right w:w="28" w:type="dxa"/>
            </w:tcMar>
          </w:tcPr>
          <w:p w14:paraId="76566990" w14:textId="77777777" w:rsidR="009563B4" w:rsidRPr="00CE1EA7" w:rsidRDefault="009563B4" w:rsidP="00481CA4">
            <w:pPr>
              <w:jc w:val="center"/>
              <w:rPr>
                <w:rFonts w:cs="Calibri"/>
                <w:sz w:val="18"/>
                <w:szCs w:val="18"/>
              </w:rPr>
            </w:pPr>
            <w:r w:rsidRPr="00CE1EA7">
              <w:rPr>
                <w:rFonts w:cs="Calibri"/>
                <w:sz w:val="18"/>
                <w:szCs w:val="18"/>
              </w:rPr>
              <w:t>NA</w:t>
            </w:r>
          </w:p>
        </w:tc>
      </w:tr>
      <w:tr w:rsidR="003228B0" w:rsidRPr="00CE1EA7" w14:paraId="70565C3F" w14:textId="77777777" w:rsidTr="00E65CFF">
        <w:trPr>
          <w:trHeight w:val="494"/>
        </w:trPr>
        <w:tc>
          <w:tcPr>
            <w:tcW w:w="0" w:type="auto"/>
            <w:tcBorders>
              <w:top w:val="single" w:sz="4" w:space="0" w:color="auto"/>
              <w:left w:val="single" w:sz="4" w:space="0" w:color="auto"/>
              <w:bottom w:val="single" w:sz="4" w:space="0" w:color="auto"/>
              <w:right w:val="single" w:sz="4" w:space="0" w:color="auto"/>
            </w:tcBorders>
            <w:tcMar>
              <w:left w:w="57" w:type="dxa"/>
              <w:right w:w="28" w:type="dxa"/>
            </w:tcMar>
          </w:tcPr>
          <w:p w14:paraId="522D5657" w14:textId="77777777" w:rsidR="00900597" w:rsidRPr="00CE1EA7" w:rsidRDefault="00900597" w:rsidP="00481CA4">
            <w:pPr>
              <w:pStyle w:val="NoSpacing"/>
              <w:jc w:val="center"/>
              <w:rPr>
                <w:rFonts w:cs="Calibri"/>
                <w:sz w:val="18"/>
                <w:szCs w:val="18"/>
              </w:rPr>
            </w:pPr>
          </w:p>
        </w:tc>
        <w:tc>
          <w:tcPr>
            <w:tcW w:w="5696" w:type="dxa"/>
            <w:tcBorders>
              <w:top w:val="single" w:sz="4" w:space="0" w:color="auto"/>
              <w:left w:val="single" w:sz="4" w:space="0" w:color="auto"/>
              <w:bottom w:val="single" w:sz="4" w:space="0" w:color="auto"/>
              <w:right w:val="single" w:sz="4" w:space="0" w:color="auto"/>
            </w:tcBorders>
            <w:tcMar>
              <w:left w:w="57" w:type="dxa"/>
              <w:right w:w="28" w:type="dxa"/>
            </w:tcMar>
          </w:tcPr>
          <w:p w14:paraId="30562E8F" w14:textId="77777777" w:rsidR="00900597" w:rsidRPr="00CE1EA7" w:rsidRDefault="00900597" w:rsidP="00481CA4">
            <w:pPr>
              <w:pStyle w:val="NoSpacing"/>
              <w:shd w:val="clear" w:color="auto" w:fill="FFFFFF"/>
              <w:rPr>
                <w:rFonts w:cs="Calibri"/>
                <w:b/>
                <w:sz w:val="18"/>
                <w:szCs w:val="18"/>
              </w:rPr>
            </w:pPr>
          </w:p>
        </w:tc>
        <w:tc>
          <w:tcPr>
            <w:tcW w:w="2992" w:type="dxa"/>
            <w:tcBorders>
              <w:top w:val="single" w:sz="4" w:space="0" w:color="auto"/>
              <w:left w:val="single" w:sz="4" w:space="0" w:color="auto"/>
              <w:bottom w:val="single" w:sz="4" w:space="0" w:color="auto"/>
              <w:right w:val="single" w:sz="4" w:space="0" w:color="auto"/>
            </w:tcBorders>
            <w:tcMar>
              <w:left w:w="57" w:type="dxa"/>
              <w:right w:w="28" w:type="dxa"/>
            </w:tcMar>
          </w:tcPr>
          <w:p w14:paraId="7544ED73" w14:textId="77777777" w:rsidR="00900597" w:rsidRPr="00CE1EA7" w:rsidRDefault="00900597" w:rsidP="00481CA4">
            <w:pPr>
              <w:jc w:val="center"/>
              <w:rPr>
                <w:rFonts w:cs="Calibri"/>
                <w:sz w:val="18"/>
                <w:szCs w:val="18"/>
              </w:rPr>
            </w:pPr>
          </w:p>
        </w:tc>
      </w:tr>
      <w:tr w:rsidR="003228B0" w:rsidRPr="00CE1EA7" w14:paraId="7F59FB96" w14:textId="77777777" w:rsidTr="00E65CFF">
        <w:trPr>
          <w:trHeight w:val="360"/>
        </w:trPr>
        <w:tc>
          <w:tcPr>
            <w:tcW w:w="0" w:type="auto"/>
            <w:tcBorders>
              <w:top w:val="single" w:sz="4" w:space="0" w:color="auto"/>
              <w:left w:val="single" w:sz="4" w:space="0" w:color="auto"/>
              <w:bottom w:val="single" w:sz="4" w:space="0" w:color="auto"/>
              <w:right w:val="single" w:sz="4" w:space="0" w:color="auto"/>
            </w:tcBorders>
            <w:tcMar>
              <w:left w:w="57" w:type="dxa"/>
              <w:right w:w="28" w:type="dxa"/>
            </w:tcMar>
          </w:tcPr>
          <w:p w14:paraId="236AC11F" w14:textId="77777777" w:rsidR="009563B4" w:rsidRPr="00CE1EA7" w:rsidRDefault="009563B4" w:rsidP="00481CA4">
            <w:pPr>
              <w:pStyle w:val="NoSpacing"/>
              <w:jc w:val="center"/>
              <w:rPr>
                <w:rFonts w:cs="Calibri"/>
                <w:sz w:val="18"/>
                <w:szCs w:val="18"/>
              </w:rPr>
            </w:pPr>
            <w:r w:rsidRPr="00CE1EA7">
              <w:rPr>
                <w:rFonts w:cs="Calibri"/>
                <w:sz w:val="18"/>
                <w:szCs w:val="18"/>
              </w:rPr>
              <w:t>10</w:t>
            </w:r>
          </w:p>
        </w:tc>
        <w:tc>
          <w:tcPr>
            <w:tcW w:w="5696" w:type="dxa"/>
            <w:tcBorders>
              <w:top w:val="single" w:sz="4" w:space="0" w:color="auto"/>
              <w:left w:val="single" w:sz="4" w:space="0" w:color="auto"/>
              <w:bottom w:val="single" w:sz="4" w:space="0" w:color="auto"/>
              <w:right w:val="single" w:sz="4" w:space="0" w:color="auto"/>
            </w:tcBorders>
            <w:tcMar>
              <w:left w:w="57" w:type="dxa"/>
              <w:right w:w="28" w:type="dxa"/>
            </w:tcMar>
          </w:tcPr>
          <w:p w14:paraId="517F8339" w14:textId="77777777" w:rsidR="009563B4" w:rsidRPr="00CE1EA7" w:rsidRDefault="009563B4" w:rsidP="00481CA4">
            <w:pPr>
              <w:pStyle w:val="NoSpacing"/>
              <w:shd w:val="clear" w:color="auto" w:fill="FFFFFF"/>
              <w:rPr>
                <w:rFonts w:cs="Calibri"/>
                <w:sz w:val="18"/>
                <w:szCs w:val="18"/>
              </w:rPr>
            </w:pPr>
            <w:r w:rsidRPr="00CE1EA7">
              <w:rPr>
                <w:rFonts w:cs="Calibri"/>
                <w:sz w:val="18"/>
                <w:szCs w:val="18"/>
              </w:rPr>
              <w:t xml:space="preserve">Reduction, avoidance of emissions of </w:t>
            </w:r>
            <w:r w:rsidRPr="00CE1EA7">
              <w:rPr>
                <w:rFonts w:cs="Calibri"/>
                <w:b/>
                <w:sz w:val="18"/>
                <w:szCs w:val="18"/>
              </w:rPr>
              <w:t>POPs to air</w:t>
            </w:r>
            <w:r w:rsidRPr="00CE1EA7">
              <w:rPr>
                <w:rFonts w:cs="Calibri"/>
                <w:sz w:val="18"/>
                <w:szCs w:val="18"/>
              </w:rPr>
              <w:t xml:space="preserve"> from point and non-point sources (grams of toxic equivalent gTEQ)</w:t>
            </w:r>
          </w:p>
        </w:tc>
        <w:tc>
          <w:tcPr>
            <w:tcW w:w="2992" w:type="dxa"/>
            <w:tcBorders>
              <w:top w:val="single" w:sz="4" w:space="0" w:color="auto"/>
              <w:left w:val="single" w:sz="4" w:space="0" w:color="auto"/>
              <w:bottom w:val="single" w:sz="4" w:space="0" w:color="auto"/>
              <w:right w:val="single" w:sz="4" w:space="0" w:color="auto"/>
            </w:tcBorders>
            <w:tcMar>
              <w:left w:w="57" w:type="dxa"/>
              <w:right w:w="28" w:type="dxa"/>
            </w:tcMar>
          </w:tcPr>
          <w:p w14:paraId="23DA0E0E" w14:textId="77777777" w:rsidR="009563B4" w:rsidRPr="00CE1EA7" w:rsidRDefault="009563B4" w:rsidP="00481CA4">
            <w:pPr>
              <w:jc w:val="center"/>
              <w:rPr>
                <w:rFonts w:cs="Calibri"/>
                <w:sz w:val="18"/>
                <w:szCs w:val="18"/>
              </w:rPr>
            </w:pPr>
            <w:r w:rsidRPr="00CE1EA7">
              <w:rPr>
                <w:rFonts w:cs="Calibri"/>
                <w:sz w:val="18"/>
                <w:szCs w:val="18"/>
              </w:rPr>
              <w:t>NA</w:t>
            </w:r>
          </w:p>
        </w:tc>
      </w:tr>
      <w:tr w:rsidR="003228B0" w:rsidRPr="00CE1EA7" w14:paraId="02B73382" w14:textId="77777777" w:rsidTr="00E65CFF">
        <w:trPr>
          <w:trHeight w:val="394"/>
        </w:trPr>
        <w:tc>
          <w:tcPr>
            <w:tcW w:w="0" w:type="auto"/>
            <w:tcBorders>
              <w:top w:val="single" w:sz="4" w:space="0" w:color="auto"/>
              <w:left w:val="single" w:sz="4" w:space="0" w:color="auto"/>
              <w:bottom w:val="single" w:sz="4" w:space="0" w:color="auto"/>
              <w:right w:val="single" w:sz="4" w:space="0" w:color="auto"/>
            </w:tcBorders>
            <w:tcMar>
              <w:left w:w="57" w:type="dxa"/>
              <w:right w:w="28" w:type="dxa"/>
            </w:tcMar>
          </w:tcPr>
          <w:p w14:paraId="3A1594CA" w14:textId="77777777" w:rsidR="009563B4" w:rsidRPr="00732C3A" w:rsidRDefault="009563B4" w:rsidP="00481CA4">
            <w:pPr>
              <w:jc w:val="center"/>
              <w:rPr>
                <w:rFonts w:cs="Calibri"/>
                <w:sz w:val="18"/>
                <w:szCs w:val="18"/>
              </w:rPr>
            </w:pPr>
            <w:r w:rsidRPr="00732C3A">
              <w:rPr>
                <w:rFonts w:cs="Calibri"/>
                <w:sz w:val="18"/>
                <w:szCs w:val="18"/>
              </w:rPr>
              <w:t>11</w:t>
            </w:r>
          </w:p>
        </w:tc>
        <w:tc>
          <w:tcPr>
            <w:tcW w:w="5696" w:type="dxa"/>
            <w:tcBorders>
              <w:top w:val="single" w:sz="4" w:space="0" w:color="auto"/>
              <w:left w:val="single" w:sz="4" w:space="0" w:color="auto"/>
              <w:bottom w:val="single" w:sz="4" w:space="0" w:color="auto"/>
              <w:right w:val="single" w:sz="4" w:space="0" w:color="auto"/>
            </w:tcBorders>
            <w:tcMar>
              <w:left w:w="57" w:type="dxa"/>
              <w:right w:w="28" w:type="dxa"/>
            </w:tcMar>
          </w:tcPr>
          <w:p w14:paraId="68F9E76A" w14:textId="77777777" w:rsidR="009563B4" w:rsidRPr="00732C3A" w:rsidRDefault="009563B4" w:rsidP="00481CA4">
            <w:pPr>
              <w:shd w:val="clear" w:color="auto" w:fill="FFFFFF"/>
              <w:rPr>
                <w:rFonts w:cs="Calibri"/>
                <w:sz w:val="18"/>
                <w:szCs w:val="18"/>
              </w:rPr>
            </w:pPr>
            <w:r w:rsidRPr="00732C3A">
              <w:rPr>
                <w:rFonts w:cs="Calibri"/>
                <w:sz w:val="18"/>
                <w:szCs w:val="18"/>
              </w:rPr>
              <w:t xml:space="preserve">Number of </w:t>
            </w:r>
            <w:r w:rsidRPr="00732C3A">
              <w:rPr>
                <w:rFonts w:cs="Calibri"/>
                <w:b/>
                <w:sz w:val="18"/>
                <w:szCs w:val="18"/>
              </w:rPr>
              <w:t>direct beneficiaries disaggregated by gender</w:t>
            </w:r>
            <w:r w:rsidRPr="00732C3A">
              <w:rPr>
                <w:rFonts w:cs="Calibri"/>
                <w:sz w:val="18"/>
                <w:szCs w:val="18"/>
              </w:rPr>
              <w:t xml:space="preserve"> as co-benefit of GEF investment</w:t>
            </w:r>
          </w:p>
        </w:tc>
        <w:tc>
          <w:tcPr>
            <w:tcW w:w="2992" w:type="dxa"/>
            <w:tcBorders>
              <w:top w:val="single" w:sz="4" w:space="0" w:color="auto"/>
              <w:left w:val="single" w:sz="4" w:space="0" w:color="auto"/>
              <w:bottom w:val="single" w:sz="4" w:space="0" w:color="auto"/>
              <w:right w:val="single" w:sz="4" w:space="0" w:color="auto"/>
            </w:tcBorders>
            <w:tcMar>
              <w:left w:w="57" w:type="dxa"/>
              <w:right w:w="28" w:type="dxa"/>
            </w:tcMar>
          </w:tcPr>
          <w:p w14:paraId="562FCC23" w14:textId="46D46FF1" w:rsidR="009563B4" w:rsidRPr="00732C3A" w:rsidRDefault="009563B4" w:rsidP="00481CA4">
            <w:pPr>
              <w:jc w:val="center"/>
              <w:rPr>
                <w:rFonts w:cs="Calibri"/>
                <w:sz w:val="18"/>
                <w:szCs w:val="18"/>
              </w:rPr>
            </w:pPr>
            <w:r w:rsidRPr="00732C3A">
              <w:rPr>
                <w:rFonts w:cs="Calibri"/>
                <w:sz w:val="18"/>
                <w:szCs w:val="18"/>
              </w:rPr>
              <w:t>At least 2,000 households (with approx. 10,000 dwellers)</w:t>
            </w:r>
            <w:r w:rsidR="00E65CFF">
              <w:rPr>
                <w:rFonts w:cs="Calibri"/>
                <w:sz w:val="18"/>
                <w:szCs w:val="18"/>
              </w:rPr>
              <w:t>:</w:t>
            </w:r>
            <w:r w:rsidRPr="00732C3A">
              <w:rPr>
                <w:rFonts w:cs="Calibri"/>
                <w:sz w:val="18"/>
                <w:szCs w:val="18"/>
              </w:rPr>
              <w:t xml:space="preserve"> 65% are either female- or dual headed households</w:t>
            </w:r>
          </w:p>
        </w:tc>
      </w:tr>
    </w:tbl>
    <w:p w14:paraId="493FBF11" w14:textId="77777777" w:rsidR="009563B4" w:rsidRPr="00CE1EA7" w:rsidRDefault="009563B4" w:rsidP="009563B4">
      <w:pPr>
        <w:pStyle w:val="GEFQuestion"/>
        <w:ind w:left="142" w:right="221"/>
        <w:rPr>
          <w:color w:val="000000"/>
          <w:sz w:val="16"/>
          <w:szCs w:val="16"/>
          <w:highlight w:val="lightGray"/>
        </w:rPr>
      </w:pPr>
    </w:p>
    <w:p w14:paraId="2D91DBE7" w14:textId="77777777" w:rsidR="009563B4" w:rsidRPr="00F9289C" w:rsidRDefault="009563B4" w:rsidP="00F9289C">
      <w:pPr>
        <w:pStyle w:val="GEFQuestion"/>
        <w:ind w:left="0" w:right="221"/>
        <w:rPr>
          <w:sz w:val="21"/>
          <w:szCs w:val="21"/>
        </w:rPr>
      </w:pPr>
      <w:r w:rsidRPr="00F9289C">
        <w:rPr>
          <w:rFonts w:asciiTheme="minorHAnsi" w:hAnsiTheme="minorHAnsi" w:cstheme="minorHAnsi"/>
          <w:b/>
          <w:bCs/>
          <w:color w:val="000000"/>
          <w:sz w:val="21"/>
          <w:szCs w:val="21"/>
          <w:highlight w:val="lightGray"/>
        </w:rPr>
        <w:t>Provide additional explanation on targets, other methodologies used, and other focal area specifics (i.e., Aichi targets in BD) including justification where core indicator targets are not provided.</w:t>
      </w:r>
      <w:r w:rsidRPr="00F9289C">
        <w:rPr>
          <w:rFonts w:asciiTheme="minorHAnsi" w:hAnsiTheme="minorHAnsi" w:cstheme="minorHAnsi"/>
          <w:color w:val="000000"/>
          <w:sz w:val="21"/>
          <w:szCs w:val="21"/>
        </w:rPr>
        <w:t xml:space="preserve"> - NA </w:t>
      </w:r>
    </w:p>
    <w:p w14:paraId="4FADE68A" w14:textId="77777777" w:rsidR="009563B4" w:rsidRPr="00F9289C" w:rsidRDefault="009563B4" w:rsidP="00F9289C">
      <w:pPr>
        <w:rPr>
          <w:sz w:val="21"/>
          <w:szCs w:val="21"/>
        </w:rPr>
        <w:sectPr w:rsidR="009563B4" w:rsidRPr="00F9289C" w:rsidSect="00743D23">
          <w:headerReference w:type="even" r:id="rId21"/>
          <w:headerReference w:type="default" r:id="rId22"/>
          <w:headerReference w:type="first" r:id="rId23"/>
          <w:pgSz w:w="11906" w:h="16838"/>
          <w:pgMar w:top="1440" w:right="1440" w:bottom="1440" w:left="1440" w:header="720" w:footer="720" w:gutter="0"/>
          <w:cols w:space="720"/>
          <w:docGrid w:linePitch="360"/>
        </w:sectPr>
      </w:pPr>
    </w:p>
    <w:p w14:paraId="7AED3835" w14:textId="77777777" w:rsidR="009563B4" w:rsidRPr="00CE1EA7" w:rsidRDefault="009563B4" w:rsidP="009563B4">
      <w:pPr>
        <w:pStyle w:val="Heading1"/>
        <w:rPr>
          <w:noProof w:val="0"/>
        </w:rPr>
      </w:pPr>
      <w:bookmarkStart w:id="14" w:name="_Toc10554527"/>
      <w:bookmarkStart w:id="15" w:name="_Toc58398590"/>
      <w:r w:rsidRPr="00CE1EA7">
        <w:rPr>
          <w:noProof w:val="0"/>
        </w:rPr>
        <w:lastRenderedPageBreak/>
        <w:t>PART II: PROJECT JUSTIFICATION</w:t>
      </w:r>
      <w:bookmarkEnd w:id="14"/>
      <w:bookmarkEnd w:id="15"/>
      <w:r w:rsidRPr="00CE1EA7">
        <w:rPr>
          <w:noProof w:val="0"/>
        </w:rPr>
        <w:t xml:space="preserve"> </w:t>
      </w:r>
    </w:p>
    <w:p w14:paraId="79923632" w14:textId="77777777" w:rsidR="009563B4" w:rsidRPr="00CD1122" w:rsidRDefault="009563B4" w:rsidP="009563B4">
      <w:pPr>
        <w:pStyle w:val="Heading2"/>
        <w:rPr>
          <w:rFonts w:ascii="Calibri" w:hAnsi="Calibri" w:cs="Calibri"/>
          <w:lang w:val="en-US"/>
        </w:rPr>
      </w:pPr>
      <w:bookmarkStart w:id="16" w:name="_Toc10554528"/>
      <w:bookmarkStart w:id="17" w:name="_Toc12612941"/>
      <w:bookmarkStart w:id="18" w:name="_Toc58398591"/>
      <w:r w:rsidRPr="00CD1122">
        <w:rPr>
          <w:rFonts w:ascii="Calibri" w:hAnsi="Calibri" w:cs="Calibri"/>
          <w:smallCaps w:val="0"/>
          <w:lang w:val="en-US"/>
        </w:rPr>
        <w:t>1.a</w:t>
      </w:r>
      <w:r w:rsidRPr="00CD1122">
        <w:rPr>
          <w:rFonts w:ascii="Calibri" w:hAnsi="Calibri" w:cs="Calibri"/>
          <w:lang w:val="en-US"/>
        </w:rPr>
        <w:t xml:space="preserve"> Project Description</w:t>
      </w:r>
      <w:bookmarkEnd w:id="16"/>
      <w:bookmarkEnd w:id="17"/>
      <w:bookmarkEnd w:id="18"/>
    </w:p>
    <w:p w14:paraId="2445F555" w14:textId="0AA31812" w:rsidR="00271DE2" w:rsidRDefault="009563B4" w:rsidP="0023725D">
      <w:pPr>
        <w:pStyle w:val="Heading3"/>
        <w:shd w:val="clear" w:color="auto" w:fill="9CC2E5" w:themeFill="accent1" w:themeFillTint="99"/>
        <w:spacing w:before="240"/>
        <w:rPr>
          <w:rFonts w:ascii="Calibri" w:hAnsi="Calibri" w:cs="Calibri"/>
        </w:rPr>
      </w:pPr>
      <w:bookmarkStart w:id="19" w:name="_Toc42027088"/>
      <w:r w:rsidRPr="00CD1122">
        <w:rPr>
          <w:rFonts w:ascii="Calibri" w:hAnsi="Calibri" w:cs="Calibri"/>
        </w:rPr>
        <w:t>1</w:t>
      </w:r>
      <w:r w:rsidR="00000DA6" w:rsidRPr="00CD1122">
        <w:rPr>
          <w:rFonts w:ascii="Calibri" w:hAnsi="Calibri" w:cs="Calibri"/>
        </w:rPr>
        <w:t>.</w:t>
      </w:r>
      <w:r w:rsidRPr="00CD1122">
        <w:rPr>
          <w:rFonts w:ascii="Calibri" w:hAnsi="Calibri" w:cs="Calibri"/>
        </w:rPr>
        <w:t xml:space="preserve"> </w:t>
      </w:r>
      <w:r w:rsidR="00210C32" w:rsidRPr="00CD1122">
        <w:rPr>
          <w:rFonts w:ascii="Calibri" w:hAnsi="Calibri" w:cs="Calibri"/>
        </w:rPr>
        <w:t>G</w:t>
      </w:r>
      <w:r w:rsidRPr="00CD1122">
        <w:rPr>
          <w:rFonts w:ascii="Calibri" w:hAnsi="Calibri" w:cs="Calibri"/>
        </w:rPr>
        <w:t xml:space="preserve">lobal </w:t>
      </w:r>
      <w:r w:rsidR="00C64CBB" w:rsidRPr="00CD1122">
        <w:rPr>
          <w:rFonts w:ascii="Calibri" w:hAnsi="Calibri" w:cs="Calibri"/>
        </w:rPr>
        <w:t>E</w:t>
      </w:r>
      <w:r w:rsidRPr="00CD1122">
        <w:rPr>
          <w:rFonts w:ascii="Calibri" w:hAnsi="Calibri" w:cs="Calibri"/>
        </w:rPr>
        <w:t xml:space="preserve">nvironmental </w:t>
      </w:r>
      <w:r w:rsidR="00C64CBB" w:rsidRPr="00CD1122">
        <w:rPr>
          <w:rFonts w:ascii="Calibri" w:hAnsi="Calibri" w:cs="Calibri"/>
        </w:rPr>
        <w:t>P</w:t>
      </w:r>
      <w:r w:rsidRPr="00CD1122">
        <w:rPr>
          <w:rFonts w:ascii="Calibri" w:hAnsi="Calibri" w:cs="Calibri"/>
        </w:rPr>
        <w:t xml:space="preserve">roblem, </w:t>
      </w:r>
      <w:r w:rsidR="00C64CBB" w:rsidRPr="00CD1122">
        <w:rPr>
          <w:rFonts w:ascii="Calibri" w:hAnsi="Calibri" w:cs="Calibri"/>
        </w:rPr>
        <w:t>R</w:t>
      </w:r>
      <w:r w:rsidRPr="00CD1122">
        <w:rPr>
          <w:rFonts w:ascii="Calibri" w:hAnsi="Calibri" w:cs="Calibri"/>
        </w:rPr>
        <w:t xml:space="preserve">oot </w:t>
      </w:r>
      <w:r w:rsidR="00C64CBB" w:rsidRPr="00CD1122">
        <w:rPr>
          <w:rFonts w:ascii="Calibri" w:hAnsi="Calibri" w:cs="Calibri"/>
        </w:rPr>
        <w:t>C</w:t>
      </w:r>
      <w:r w:rsidRPr="00CD1122">
        <w:rPr>
          <w:rFonts w:ascii="Calibri" w:hAnsi="Calibri" w:cs="Calibri"/>
        </w:rPr>
        <w:t xml:space="preserve">auses and </w:t>
      </w:r>
      <w:r w:rsidR="00C64CBB" w:rsidRPr="00CD1122">
        <w:rPr>
          <w:rFonts w:ascii="Calibri" w:hAnsi="Calibri" w:cs="Calibri"/>
        </w:rPr>
        <w:t>B</w:t>
      </w:r>
      <w:r w:rsidRPr="00CD1122">
        <w:rPr>
          <w:rFonts w:ascii="Calibri" w:hAnsi="Calibri" w:cs="Calibri"/>
        </w:rPr>
        <w:t>arriers</w:t>
      </w:r>
      <w:r w:rsidR="0010155C" w:rsidRPr="00CD1122">
        <w:rPr>
          <w:rFonts w:ascii="Calibri" w:hAnsi="Calibri" w:cs="Calibri"/>
        </w:rPr>
        <w:t xml:space="preserve"> to</w:t>
      </w:r>
      <w:r w:rsidRPr="00CD1122">
        <w:rPr>
          <w:rFonts w:ascii="Calibri" w:hAnsi="Calibri" w:cs="Calibri"/>
        </w:rPr>
        <w:t xml:space="preserve"> </w:t>
      </w:r>
      <w:r w:rsidR="00C64CBB" w:rsidRPr="00CD1122">
        <w:rPr>
          <w:rFonts w:ascii="Calibri" w:hAnsi="Calibri" w:cs="Calibri"/>
        </w:rPr>
        <w:t>A</w:t>
      </w:r>
      <w:r w:rsidRPr="00CD1122">
        <w:rPr>
          <w:rFonts w:ascii="Calibri" w:hAnsi="Calibri" w:cs="Calibri"/>
        </w:rPr>
        <w:t xml:space="preserve">ddress </w:t>
      </w:r>
    </w:p>
    <w:p w14:paraId="1AC3B4F6" w14:textId="55FCADE0" w:rsidR="00973EBD" w:rsidRPr="00A55D9B" w:rsidRDefault="00D20DAE" w:rsidP="0023725D">
      <w:pPr>
        <w:pStyle w:val="ParagraphOED"/>
        <w:numPr>
          <w:ilvl w:val="0"/>
          <w:numId w:val="0"/>
        </w:numPr>
        <w:spacing w:before="160" w:after="160"/>
        <w:rPr>
          <w:b/>
          <w:bCs/>
        </w:rPr>
      </w:pPr>
      <w:bookmarkStart w:id="20" w:name="_Toc42027089"/>
      <w:bookmarkEnd w:id="19"/>
      <w:r w:rsidRPr="00A55D9B">
        <w:rPr>
          <w:b/>
          <w:bCs/>
        </w:rPr>
        <w:t xml:space="preserve">Impact </w:t>
      </w:r>
      <w:r w:rsidR="00973EBD" w:rsidRPr="00A55D9B">
        <w:rPr>
          <w:b/>
          <w:bCs/>
        </w:rPr>
        <w:t>Programm</w:t>
      </w:r>
      <w:r w:rsidRPr="00A55D9B">
        <w:rPr>
          <w:b/>
          <w:bCs/>
        </w:rPr>
        <w:t>e</w:t>
      </w:r>
      <w:r w:rsidR="00973EBD" w:rsidRPr="00A55D9B">
        <w:rPr>
          <w:b/>
          <w:bCs/>
        </w:rPr>
        <w:t xml:space="preserve"> Context</w:t>
      </w:r>
      <w:bookmarkEnd w:id="20"/>
    </w:p>
    <w:p w14:paraId="13CE4281" w14:textId="2FA0F9CC" w:rsidR="009563B4" w:rsidRPr="00477882" w:rsidRDefault="009563B4" w:rsidP="009563B4">
      <w:pPr>
        <w:pStyle w:val="ParagraphOED"/>
        <w:spacing w:after="160"/>
      </w:pPr>
      <w:r w:rsidRPr="00477882">
        <w:t xml:space="preserve">This project is part of the </w:t>
      </w:r>
      <w:r w:rsidR="009943C6">
        <w:t xml:space="preserve">global </w:t>
      </w:r>
      <w:r w:rsidRPr="00477882">
        <w:t xml:space="preserve">Sustainable Forest Management Impact Program on Dryland Sustainable Landscapes </w:t>
      </w:r>
      <w:r w:rsidR="009943C6">
        <w:t>(</w:t>
      </w:r>
      <w:r w:rsidRPr="00477882">
        <w:t xml:space="preserve">DSL IP), approved by the GEF in 2019 and </w:t>
      </w:r>
      <w:r w:rsidR="009943C6">
        <w:t xml:space="preserve">distributed across </w:t>
      </w:r>
      <w:r w:rsidRPr="00477882">
        <w:t>11 countries in Africa and Asia</w:t>
      </w:r>
      <w:r w:rsidR="009943C6">
        <w:t xml:space="preserve"> </w:t>
      </w:r>
      <w:r w:rsidRPr="00477882">
        <w:t xml:space="preserve">through Child Projects. The goal of the Program is to avoid, reduce, and reverse further degradation, desertification, and deforestation of </w:t>
      </w:r>
      <w:r w:rsidR="009943C6" w:rsidRPr="00477882">
        <w:t>dryland</w:t>
      </w:r>
      <w:r w:rsidR="009943C6">
        <w:t xml:space="preserve"> </w:t>
      </w:r>
      <w:r w:rsidRPr="00477882">
        <w:t xml:space="preserve">ecosystems through the sustainable management of production </w:t>
      </w:r>
      <w:r w:rsidR="00B81D16">
        <w:t xml:space="preserve">systems in concert with enhancing the integrity and connectivity of existing protected dryland forests through an </w:t>
      </w:r>
      <w:r w:rsidR="00B81D16" w:rsidRPr="00477882">
        <w:rPr>
          <w:i/>
          <w:iCs/>
        </w:rPr>
        <w:t>integrated</w:t>
      </w:r>
      <w:r w:rsidR="00B81D16">
        <w:t xml:space="preserve"> landscape approach</w:t>
      </w:r>
      <w:r w:rsidRPr="00477882">
        <w:t xml:space="preserve">. </w:t>
      </w:r>
    </w:p>
    <w:p w14:paraId="6ADA0E8D" w14:textId="60897F4B" w:rsidR="009563B4" w:rsidRPr="00477882" w:rsidRDefault="009563B4" w:rsidP="009563B4">
      <w:pPr>
        <w:pStyle w:val="ParagraphOED"/>
        <w:spacing w:after="160"/>
      </w:pPr>
      <w:r w:rsidRPr="00477882">
        <w:t>Among the 11 DSL IP countries, seven are part of the so-called ‘Miombo Cluster’: Angola, Namibia, Botswana, Zimbabwe, Malawi, Mozambique, and Tanzania.</w:t>
      </w:r>
      <w:r w:rsidR="005F3DB5">
        <w:rPr>
          <w:rStyle w:val="FootnoteReference"/>
        </w:rPr>
        <w:footnoteReference w:id="4"/>
      </w:r>
      <w:r w:rsidRPr="00477882">
        <w:t xml:space="preserve"> Countries within the Miombo Cluster not only </w:t>
      </w:r>
      <w:r w:rsidR="005F3DB5" w:rsidRPr="00477882">
        <w:t xml:space="preserve">share </w:t>
      </w:r>
      <w:r w:rsidRPr="00477882">
        <w:t xml:space="preserve">similar ecosystems unique to Southern Africa—Miombo-Mopane Woodlands—but </w:t>
      </w:r>
      <w:r w:rsidR="005F3DB5">
        <w:t>face</w:t>
      </w:r>
      <w:r w:rsidRPr="00477882">
        <w:t xml:space="preserve"> common challenges, including </w:t>
      </w:r>
      <w:r w:rsidR="00727E7E">
        <w:t>transfrontier</w:t>
      </w:r>
      <w:r w:rsidRPr="00477882">
        <w:t xml:space="preserve"> ones, with respect to land management. </w:t>
      </w:r>
      <w:r w:rsidR="00727E7E">
        <w:t>C</w:t>
      </w:r>
      <w:r w:rsidR="00727E7E" w:rsidRPr="00477882">
        <w:t xml:space="preserve">ountries participating </w:t>
      </w:r>
      <w:r w:rsidR="00727E7E">
        <w:t xml:space="preserve">in </w:t>
      </w:r>
      <w:r w:rsidRPr="00477882">
        <w:t>Child Projects of the ‘Miombo Cluster’</w:t>
      </w:r>
      <w:r w:rsidR="00727E7E">
        <w:t xml:space="preserve"> </w:t>
      </w:r>
      <w:r w:rsidRPr="00477882">
        <w:t>will seek strategic and conceptual cohesion</w:t>
      </w:r>
      <w:r w:rsidR="00727E7E">
        <w:t xml:space="preserve"> through</w:t>
      </w:r>
      <w:r w:rsidRPr="00477882">
        <w:t xml:space="preserve"> regional collaboration and peer learning opportunities to </w:t>
      </w:r>
      <w:r w:rsidR="00727E7E">
        <w:t xml:space="preserve">help </w:t>
      </w:r>
      <w:r w:rsidRPr="00477882">
        <w:t>address these common challenges and</w:t>
      </w:r>
      <w:r w:rsidR="00727E7E">
        <w:t>,</w:t>
      </w:r>
      <w:r w:rsidRPr="00477882">
        <w:t xml:space="preserve"> </w:t>
      </w:r>
      <w:r w:rsidR="00727E7E" w:rsidRPr="00477882">
        <w:t>with support from regional bodies and partners</w:t>
      </w:r>
      <w:r w:rsidR="00727E7E">
        <w:t xml:space="preserve">, </w:t>
      </w:r>
      <w:r w:rsidRPr="00477882">
        <w:t>devise solutions that can be shared across Southern Africa</w:t>
      </w:r>
      <w:r w:rsidR="00727E7E">
        <w:t>.</w:t>
      </w:r>
      <w:r w:rsidR="498B1E96">
        <w:t xml:space="preserve"> </w:t>
      </w:r>
      <w:r w:rsidRPr="00477882">
        <w:t xml:space="preserve">The shared interests of Miombo Cluster countries will add perspective to DSL IP processes and initiatives at the global level. </w:t>
      </w:r>
    </w:p>
    <w:p w14:paraId="4A6D2032" w14:textId="34371A3E" w:rsidR="009563B4" w:rsidRPr="00477882" w:rsidRDefault="00573444" w:rsidP="0023725D">
      <w:pPr>
        <w:pStyle w:val="ParagraphOED"/>
        <w:spacing w:after="160"/>
      </w:pPr>
      <w:r>
        <w:t>T</w:t>
      </w:r>
      <w:r w:rsidR="009563B4" w:rsidRPr="00477882">
        <w:t xml:space="preserve">he </w:t>
      </w:r>
      <w:r w:rsidRPr="00477882">
        <w:t xml:space="preserve">Angola </w:t>
      </w:r>
      <w:r w:rsidR="009563B4" w:rsidRPr="00477882">
        <w:t xml:space="preserve">DSL IP Child Project </w:t>
      </w:r>
      <w:r>
        <w:t>is designed</w:t>
      </w:r>
      <w:r w:rsidR="009563B4" w:rsidRPr="00477882">
        <w:t xml:space="preserve"> to </w:t>
      </w:r>
      <w:r w:rsidR="009563B4">
        <w:t>strengthen</w:t>
      </w:r>
      <w:r>
        <w:t xml:space="preserve"> the</w:t>
      </w:r>
      <w:r w:rsidR="009563B4">
        <w:t xml:space="preserve"> enabling environment for </w:t>
      </w:r>
      <w:r w:rsidR="001B248C">
        <w:t>land-use plan</w:t>
      </w:r>
      <w:r w:rsidR="009563B4">
        <w:t xml:space="preserve">ning and management for </w:t>
      </w:r>
      <w:r w:rsidRPr="00573444">
        <w:t>Land Degradation Neutrality</w:t>
      </w:r>
      <w:r w:rsidR="009563B4">
        <w:t xml:space="preserve"> in targeted landscapes of Miombo-Mopane Woodland in the country’s southern region</w:t>
      </w:r>
      <w:r>
        <w:t xml:space="preserve"> by</w:t>
      </w:r>
      <w:r w:rsidR="009563B4">
        <w:t xml:space="preserve"> </w:t>
      </w:r>
      <w:r>
        <w:t>mainstreaming</w:t>
      </w:r>
      <w:r w:rsidR="009563B4">
        <w:t xml:space="preserve"> the LDN response </w:t>
      </w:r>
      <w:r w:rsidR="009563B4" w:rsidRPr="007357BC">
        <w:t>hierarchy of avoiding, reducing and rever</w:t>
      </w:r>
      <w:r w:rsidR="00284783" w:rsidRPr="007357BC">
        <w:t>s</w:t>
      </w:r>
      <w:r w:rsidR="009563B4" w:rsidRPr="007357BC">
        <w:t xml:space="preserve">ing land degradation </w:t>
      </w:r>
      <w:r w:rsidR="00F83540">
        <w:t xml:space="preserve">across </w:t>
      </w:r>
      <w:r w:rsidR="009563B4">
        <w:t xml:space="preserve">of </w:t>
      </w:r>
      <w:r w:rsidR="001B248C">
        <w:t>land-use plan</w:t>
      </w:r>
      <w:r w:rsidR="00F83540">
        <w:t>ning</w:t>
      </w:r>
      <w:r w:rsidR="009563B4">
        <w:t xml:space="preserve"> and manag</w:t>
      </w:r>
      <w:r w:rsidR="00F83540">
        <w:t>ement at</w:t>
      </w:r>
      <w:r w:rsidR="009563B4">
        <w:t xml:space="preserve"> landscape</w:t>
      </w:r>
      <w:r w:rsidR="00F83540">
        <w:t xml:space="preserve"> scale</w:t>
      </w:r>
      <w:r w:rsidR="009563B4">
        <w:t xml:space="preserve">s. </w:t>
      </w:r>
      <w:r w:rsidR="00F83540">
        <w:t>To</w:t>
      </w:r>
      <w:r w:rsidR="009563B4">
        <w:t xml:space="preserve"> generat</w:t>
      </w:r>
      <w:r w:rsidR="00F83540">
        <w:t>e</w:t>
      </w:r>
      <w:r w:rsidR="009563B4">
        <w:t xml:space="preserve"> multiple benefits and </w:t>
      </w:r>
      <w:r w:rsidR="00F83540">
        <w:t>secure</w:t>
      </w:r>
      <w:r w:rsidR="009563B4">
        <w:t xml:space="preserve"> tangible change within managed landscapes, the project will adopt a barrier</w:t>
      </w:r>
      <w:r w:rsidR="00F83540">
        <w:t>-</w:t>
      </w:r>
      <w:r w:rsidR="009563B4">
        <w:t>removal approach based on a thorough and contextualized analysis of conditions and process</w:t>
      </w:r>
      <w:r w:rsidR="00F83540">
        <w:t>es</w:t>
      </w:r>
      <w:r w:rsidR="009563B4">
        <w:t xml:space="preserve"> at landscape and national level</w:t>
      </w:r>
      <w:r w:rsidR="00F83540">
        <w:t>s</w:t>
      </w:r>
      <w:r w:rsidR="009563B4">
        <w:t>. Technical assistance to land users and market-based mechanism</w:t>
      </w:r>
      <w:r w:rsidR="00F83540">
        <w:t>s</w:t>
      </w:r>
      <w:r w:rsidR="009563B4">
        <w:t xml:space="preserve"> will be </w:t>
      </w:r>
      <w:r w:rsidR="00F83540">
        <w:t>among</w:t>
      </w:r>
      <w:r w:rsidR="009563B4">
        <w:t xml:space="preserve"> the strategies used to facilitate their adoption of </w:t>
      </w:r>
      <w:r w:rsidR="00F83540">
        <w:t>sustainable land/forest management (</w:t>
      </w:r>
      <w:r w:rsidR="009563B4">
        <w:t>SLM/SFM</w:t>
      </w:r>
      <w:r w:rsidR="00F83540">
        <w:t>)</w:t>
      </w:r>
      <w:r w:rsidR="009563B4">
        <w:t xml:space="preserve"> practices on the ground. Angola’s participation in regional and global exchange mechanisms </w:t>
      </w:r>
      <w:r w:rsidR="00F83540">
        <w:t xml:space="preserve">is intended </w:t>
      </w:r>
      <w:r w:rsidR="009563B4">
        <w:t xml:space="preserve">to enhance </w:t>
      </w:r>
      <w:r w:rsidR="009563B4" w:rsidRPr="000945A2">
        <w:t xml:space="preserve">coordination </w:t>
      </w:r>
      <w:r w:rsidR="009563B4">
        <w:t xml:space="preserve">among countries and mutual </w:t>
      </w:r>
      <w:r w:rsidR="009563B4" w:rsidRPr="000945A2">
        <w:t xml:space="preserve">learning </w:t>
      </w:r>
      <w:r w:rsidR="009563B4">
        <w:t xml:space="preserve">across </w:t>
      </w:r>
      <w:r w:rsidR="009563B4" w:rsidRPr="000945A2">
        <w:t>the Miombo cluster</w:t>
      </w:r>
      <w:r w:rsidR="009563B4">
        <w:t xml:space="preserve"> and beyond.</w:t>
      </w:r>
    </w:p>
    <w:p w14:paraId="57790A6F" w14:textId="0BDA33A9" w:rsidR="009563B4" w:rsidRPr="00D20DAE" w:rsidRDefault="009563B4" w:rsidP="0023725D">
      <w:pPr>
        <w:pStyle w:val="Heading3"/>
        <w:shd w:val="clear" w:color="auto" w:fill="auto"/>
        <w:spacing w:before="240" w:after="160"/>
        <w:jc w:val="left"/>
        <w:rPr>
          <w:rFonts w:ascii="Calibri" w:hAnsi="Calibri" w:cs="Calibri"/>
          <w:color w:val="000000" w:themeColor="text1"/>
        </w:rPr>
      </w:pPr>
      <w:bookmarkStart w:id="21" w:name="_Toc42027090"/>
      <w:bookmarkStart w:id="22" w:name="_Toc42262597"/>
      <w:r w:rsidRPr="0023725D">
        <w:rPr>
          <w:rFonts w:ascii="Calibri" w:hAnsi="Calibri" w:cs="Calibri"/>
          <w:color w:val="000000" w:themeColor="text1"/>
          <w:shd w:val="clear" w:color="auto" w:fill="9CC2E5" w:themeFill="accent1" w:themeFillTint="99"/>
        </w:rPr>
        <w:t xml:space="preserve">1.1 National </w:t>
      </w:r>
      <w:r w:rsidR="00F25BFD" w:rsidRPr="0023725D">
        <w:rPr>
          <w:rFonts w:ascii="Calibri" w:hAnsi="Calibri" w:cs="Calibri"/>
          <w:color w:val="000000" w:themeColor="text1"/>
          <w:shd w:val="clear" w:color="auto" w:fill="9CC2E5" w:themeFill="accent1" w:themeFillTint="99"/>
        </w:rPr>
        <w:t>C</w:t>
      </w:r>
      <w:r w:rsidRPr="0023725D">
        <w:rPr>
          <w:rFonts w:ascii="Calibri" w:hAnsi="Calibri" w:cs="Calibri"/>
          <w:color w:val="000000" w:themeColor="text1"/>
          <w:shd w:val="clear" w:color="auto" w:fill="9CC2E5" w:themeFill="accent1" w:themeFillTint="99"/>
        </w:rPr>
        <w:t xml:space="preserve">ontext for </w:t>
      </w:r>
      <w:r w:rsidR="00F25BFD" w:rsidRPr="0023725D">
        <w:rPr>
          <w:rFonts w:ascii="Calibri" w:hAnsi="Calibri" w:cs="Calibri"/>
          <w:color w:val="000000" w:themeColor="text1"/>
          <w:shd w:val="clear" w:color="auto" w:fill="9CC2E5" w:themeFill="accent1" w:themeFillTint="99"/>
        </w:rPr>
        <w:t>S</w:t>
      </w:r>
      <w:r w:rsidRPr="0023725D">
        <w:rPr>
          <w:rFonts w:ascii="Calibri" w:hAnsi="Calibri" w:cs="Calibri"/>
          <w:color w:val="000000" w:themeColor="text1"/>
          <w:shd w:val="clear" w:color="auto" w:fill="9CC2E5" w:themeFill="accent1" w:themeFillTint="99"/>
        </w:rPr>
        <w:t xml:space="preserve">ustainable </w:t>
      </w:r>
      <w:r w:rsidR="00F25BFD" w:rsidRPr="0023725D">
        <w:rPr>
          <w:rFonts w:ascii="Calibri" w:hAnsi="Calibri" w:cs="Calibri"/>
          <w:color w:val="000000" w:themeColor="text1"/>
          <w:shd w:val="clear" w:color="auto" w:fill="9CC2E5" w:themeFill="accent1" w:themeFillTint="99"/>
        </w:rPr>
        <w:t>U</w:t>
      </w:r>
      <w:r w:rsidRPr="0023725D">
        <w:rPr>
          <w:rFonts w:ascii="Calibri" w:hAnsi="Calibri" w:cs="Calibri"/>
          <w:color w:val="000000" w:themeColor="text1"/>
          <w:shd w:val="clear" w:color="auto" w:fill="9CC2E5" w:themeFill="accent1" w:themeFillTint="99"/>
        </w:rPr>
        <w:t>se of Miombo</w:t>
      </w:r>
      <w:r w:rsidR="00AD08C5" w:rsidRPr="0023725D">
        <w:rPr>
          <w:rFonts w:ascii="Calibri" w:hAnsi="Calibri" w:cs="Calibri"/>
          <w:color w:val="000000" w:themeColor="text1"/>
          <w:shd w:val="clear" w:color="auto" w:fill="9CC2E5" w:themeFill="accent1" w:themeFillTint="99"/>
        </w:rPr>
        <w:t>-</w:t>
      </w:r>
      <w:r w:rsidRPr="0023725D">
        <w:rPr>
          <w:rFonts w:ascii="Calibri" w:hAnsi="Calibri" w:cs="Calibri"/>
          <w:color w:val="000000" w:themeColor="text1"/>
          <w:shd w:val="clear" w:color="auto" w:fill="9CC2E5" w:themeFill="accent1" w:themeFillTint="99"/>
        </w:rPr>
        <w:t xml:space="preserve">Mopane </w:t>
      </w:r>
      <w:r w:rsidR="00F25BFD" w:rsidRPr="0023725D">
        <w:rPr>
          <w:rFonts w:ascii="Calibri" w:hAnsi="Calibri" w:cs="Calibri"/>
          <w:color w:val="000000" w:themeColor="text1"/>
          <w:shd w:val="clear" w:color="auto" w:fill="9CC2E5" w:themeFill="accent1" w:themeFillTint="99"/>
        </w:rPr>
        <w:t>E</w:t>
      </w:r>
      <w:r w:rsidRPr="0023725D">
        <w:rPr>
          <w:rFonts w:ascii="Calibri" w:hAnsi="Calibri" w:cs="Calibri"/>
          <w:color w:val="000000" w:themeColor="text1"/>
          <w:shd w:val="clear" w:color="auto" w:fill="9CC2E5" w:themeFill="accent1" w:themeFillTint="99"/>
        </w:rPr>
        <w:t>cosystems in Angola</w:t>
      </w:r>
      <w:bookmarkEnd w:id="21"/>
      <w:bookmarkEnd w:id="22"/>
    </w:p>
    <w:p w14:paraId="687777B1" w14:textId="31120AEB" w:rsidR="00EB761D" w:rsidRDefault="009563B4" w:rsidP="00EB761D">
      <w:pPr>
        <w:pStyle w:val="ParagraphOED"/>
        <w:spacing w:after="160"/>
      </w:pPr>
      <w:r w:rsidRPr="00477882">
        <w:t xml:space="preserve">Angola is the third largest country in sub-Saharan Africa with an area of 1,246,700 </w:t>
      </w:r>
      <w:r>
        <w:t>sq</w:t>
      </w:r>
      <w:r w:rsidRPr="00477882">
        <w:t xml:space="preserve">. </w:t>
      </w:r>
      <w:r w:rsidR="000045EC" w:rsidRPr="00477882">
        <w:t>km</w:t>
      </w:r>
      <w:r w:rsidR="000045EC">
        <w:t>.</w:t>
      </w:r>
      <w:r w:rsidR="000045EC" w:rsidRPr="00477882">
        <w:t xml:space="preserve"> </w:t>
      </w:r>
      <w:r w:rsidRPr="00477882">
        <w:t xml:space="preserve">The country is rich natural resources, notably oil, gas, and minerals, as well as land, water and </w:t>
      </w:r>
      <w:r w:rsidR="00C04FDE">
        <w:t>diverse</w:t>
      </w:r>
      <w:r w:rsidRPr="00477882">
        <w:t xml:space="preserve"> ecosystems. </w:t>
      </w:r>
      <w:r w:rsidR="00FC1019">
        <w:t>The</w:t>
      </w:r>
      <w:r w:rsidR="00C04FDE" w:rsidRPr="00477882">
        <w:t xml:space="preserve"> </w:t>
      </w:r>
      <w:r w:rsidRPr="00477882">
        <w:t xml:space="preserve">economy depends on oil and gas exports, creating economic fragility and resulting in limited investments in sectors such as agriculture, despite </w:t>
      </w:r>
      <w:r w:rsidR="00FC1019">
        <w:t>its</w:t>
      </w:r>
      <w:r w:rsidRPr="00477882">
        <w:t xml:space="preserve"> large potential. Angola is a post-conflict Least Developed Country (LDC), with all the inherent challenges linked to this status, but currently scheduled to graduate</w:t>
      </w:r>
      <w:r w:rsidR="00805424">
        <w:t xml:space="preserve"> to</w:t>
      </w:r>
      <w:r w:rsidRPr="00477882">
        <w:t xml:space="preserve"> </w:t>
      </w:r>
      <w:r w:rsidR="00805424">
        <w:t xml:space="preserve">Developing Country </w:t>
      </w:r>
      <w:r w:rsidRPr="00477882">
        <w:t>in 2021</w:t>
      </w:r>
      <w:r w:rsidRPr="00477882">
        <w:rPr>
          <w:rStyle w:val="FootnoteReference"/>
        </w:rPr>
        <w:footnoteReference w:id="5"/>
      </w:r>
      <w:r w:rsidRPr="00477882">
        <w:t xml:space="preserve">. </w:t>
      </w:r>
    </w:p>
    <w:p w14:paraId="2551377F" w14:textId="46DADCBA" w:rsidR="00EB761D" w:rsidRPr="00477882" w:rsidRDefault="59813A6A" w:rsidP="00EB761D">
      <w:pPr>
        <w:pStyle w:val="ParagraphOED"/>
        <w:spacing w:after="160"/>
      </w:pPr>
      <w:r w:rsidRPr="00477882">
        <w:t xml:space="preserve">According to the 2014 Demographic Census, the resident population </w:t>
      </w:r>
      <w:r>
        <w:t>is</w:t>
      </w:r>
      <w:r w:rsidRPr="00477882">
        <w:t xml:space="preserve"> 25.7 million</w:t>
      </w:r>
      <w:r>
        <w:t xml:space="preserve">: </w:t>
      </w:r>
      <w:r w:rsidRPr="00477882">
        <w:t xml:space="preserve">52% </w:t>
      </w:r>
      <w:r>
        <w:t xml:space="preserve">are </w:t>
      </w:r>
      <w:r w:rsidRPr="00477882">
        <w:t>female</w:t>
      </w:r>
      <w:r>
        <w:t xml:space="preserve"> and </w:t>
      </w:r>
      <w:r w:rsidRPr="00477882">
        <w:t xml:space="preserve">65% </w:t>
      </w:r>
      <w:r>
        <w:t>are</w:t>
      </w:r>
      <w:r w:rsidRPr="00477882">
        <w:t xml:space="preserve"> under the age of 24</w:t>
      </w:r>
      <w:r>
        <w:t>. Urban areas account for 63%</w:t>
      </w:r>
      <w:r w:rsidRPr="00477882">
        <w:t xml:space="preserve"> of the population</w:t>
      </w:r>
      <w:r>
        <w:t xml:space="preserve">, including </w:t>
      </w:r>
      <w:r w:rsidRPr="00477882">
        <w:t>6 million in the capital</w:t>
      </w:r>
      <w:r>
        <w:t>,</w:t>
      </w:r>
      <w:r w:rsidRPr="00477882">
        <w:t xml:space="preserve"> Luanda</w:t>
      </w:r>
      <w:r>
        <w:t xml:space="preserve">, </w:t>
      </w:r>
      <w:r w:rsidRPr="00477882">
        <w:t xml:space="preserve">and 37% </w:t>
      </w:r>
      <w:r>
        <w:t xml:space="preserve">live </w:t>
      </w:r>
      <w:r w:rsidRPr="00477882">
        <w:t>in rural ones.</w:t>
      </w:r>
      <w:r w:rsidR="00EB761D" w:rsidRPr="00477882">
        <w:rPr>
          <w:rStyle w:val="FootnoteReference"/>
        </w:rPr>
        <w:footnoteReference w:id="6"/>
      </w:r>
      <w:r w:rsidRPr="00477882">
        <w:t>.</w:t>
      </w:r>
    </w:p>
    <w:p w14:paraId="6BF791CD" w14:textId="54C6378E" w:rsidR="00EB761D" w:rsidRPr="00477882" w:rsidRDefault="00EB761D" w:rsidP="00EB761D">
      <w:pPr>
        <w:pStyle w:val="ParagraphOED"/>
        <w:spacing w:after="160"/>
      </w:pPr>
      <w:r w:rsidRPr="00477882">
        <w:rPr>
          <w:b/>
          <w:bCs/>
        </w:rPr>
        <w:lastRenderedPageBreak/>
        <w:t>Angola’s climate</w:t>
      </w:r>
      <w:r w:rsidRPr="00477882">
        <w:t xml:space="preserve"> is tropical to sub-tropical, </w:t>
      </w:r>
      <w:r>
        <w:t>with</w:t>
      </w:r>
      <w:r w:rsidRPr="00477882">
        <w:t xml:space="preserve"> warm humid summers and mild dry winters. Along much of the coast and in the extreme south, the climate is hot semi-arid (BSh)</w:t>
      </w:r>
      <w:r>
        <w:t>;</w:t>
      </w:r>
      <w:r w:rsidRPr="00477882">
        <w:t xml:space="preserve"> and in the southeast it is hot desert (BWh). Rich in </w:t>
      </w:r>
      <w:r w:rsidRPr="00477882">
        <w:rPr>
          <w:b/>
          <w:bCs/>
        </w:rPr>
        <w:t>water resources</w:t>
      </w:r>
      <w:r w:rsidRPr="00477882">
        <w:t xml:space="preserve">, with </w:t>
      </w:r>
      <w:r>
        <w:t>over</w:t>
      </w:r>
      <w:r w:rsidRPr="00477882">
        <w:t xml:space="preserve"> a dozen major river basins, Angola </w:t>
      </w:r>
      <w:r>
        <w:t>has</w:t>
      </w:r>
      <w:r w:rsidRPr="00477882">
        <w:t xml:space="preserve"> a broad range of vegetation, soil types and impressive bio</w:t>
      </w:r>
      <w:r>
        <w:t xml:space="preserve">logical </w:t>
      </w:r>
      <w:r w:rsidRPr="00477882">
        <w:t>diversity. Both climate and vegetation are influenced by altitude, l</w:t>
      </w:r>
      <w:r w:rsidR="00BA2133">
        <w:t>at</w:t>
      </w:r>
      <w:r w:rsidRPr="00477882">
        <w:t xml:space="preserve">itude and the effects of the Atlantic Ocean on geophysical parameters. </w:t>
      </w:r>
    </w:p>
    <w:p w14:paraId="1A24ABE5" w14:textId="77777777" w:rsidR="001778A9" w:rsidRDefault="00F206BC" w:rsidP="001778A9">
      <w:pPr>
        <w:pStyle w:val="ParagraphOED"/>
        <w:spacing w:after="160"/>
      </w:pPr>
      <w:r w:rsidRPr="00477882">
        <w:rPr>
          <w:b/>
          <w:bCs/>
        </w:rPr>
        <w:t xml:space="preserve">Vegetation. </w:t>
      </w:r>
      <w:r w:rsidRPr="00477882">
        <w:t xml:space="preserve">Terrestrial ecosystems in Angola range from the desert biome in the southwest to the humid and sub-humid forests of Cabinda, Zaire and other northern provinces. The country is rich in </w:t>
      </w:r>
      <w:r w:rsidRPr="00477882">
        <w:rPr>
          <w:b/>
          <w:bCs/>
        </w:rPr>
        <w:t>forest-resources</w:t>
      </w:r>
      <w:r w:rsidRPr="00477882">
        <w:t xml:space="preserve"> and harbors varied forest types within its territory. Besides the northern rainforests, there are vast dry forests, which include Mopane woodlands and shrublands ecosystem in the south </w:t>
      </w:r>
      <w:r w:rsidR="00ED2A9F">
        <w:t xml:space="preserve">and abutting </w:t>
      </w:r>
      <w:r w:rsidRPr="00477882">
        <w:t>Zambezian Baikiaea woodlands</w:t>
      </w:r>
      <w:r w:rsidR="00ED2A9F">
        <w:t xml:space="preserve"> to the east.</w:t>
      </w:r>
      <w:r w:rsidRPr="00477882">
        <w:t xml:space="preserve"> Part of the varied Miombo woodlands and savannas ecosystems, which cover half the country, are also considered </w:t>
      </w:r>
      <w:r w:rsidR="00ED2A9F">
        <w:t xml:space="preserve">or </w:t>
      </w:r>
      <w:r w:rsidR="00ED2A9F" w:rsidRPr="00477882">
        <w:t xml:space="preserve">presumed </w:t>
      </w:r>
      <w:r w:rsidRPr="00477882">
        <w:t>drylands (</w:t>
      </w:r>
      <w:r w:rsidRPr="00477882">
        <w:rPr>
          <w:u w:val="single"/>
        </w:rPr>
        <w:fldChar w:fldCharType="begin"/>
      </w:r>
      <w:r w:rsidRPr="00477882">
        <w:rPr>
          <w:u w:val="single"/>
        </w:rPr>
        <w:instrText xml:space="preserve"> REF _Ref40122788 \h  \* MERGEFORMAT </w:instrText>
      </w:r>
      <w:r w:rsidRPr="00477882">
        <w:rPr>
          <w:u w:val="single"/>
        </w:rPr>
      </w:r>
      <w:r w:rsidRPr="00477882">
        <w:rPr>
          <w:u w:val="single"/>
        </w:rPr>
        <w:fldChar w:fldCharType="separate"/>
      </w:r>
      <w:r w:rsidR="00A64193" w:rsidRPr="00A64193">
        <w:rPr>
          <w:u w:val="single"/>
        </w:rPr>
        <w:t>Figure 1</w:t>
      </w:r>
      <w:r w:rsidRPr="00477882">
        <w:rPr>
          <w:u w:val="single"/>
        </w:rPr>
        <w:fldChar w:fldCharType="end"/>
      </w:r>
      <w:r w:rsidRPr="00477882">
        <w:rPr>
          <w:u w:val="single"/>
        </w:rPr>
        <w:t>A</w:t>
      </w:r>
      <w:r w:rsidRPr="00477882">
        <w:t>).</w:t>
      </w:r>
    </w:p>
    <w:p w14:paraId="126C94EB" w14:textId="17A11D4D" w:rsidR="009563B4" w:rsidRPr="003547ED" w:rsidRDefault="009563B4" w:rsidP="00AC1047">
      <w:pPr>
        <w:pStyle w:val="Caption"/>
        <w:spacing w:after="80"/>
        <w:rPr>
          <w:sz w:val="22"/>
          <w:szCs w:val="22"/>
        </w:rPr>
      </w:pPr>
      <w:bookmarkStart w:id="23" w:name="_Ref40122788"/>
      <w:bookmarkStart w:id="24" w:name="_Toc42262727"/>
      <w:bookmarkStart w:id="25" w:name="_Toc64037177"/>
      <w:r w:rsidRPr="003547ED">
        <w:rPr>
          <w:sz w:val="22"/>
          <w:szCs w:val="22"/>
        </w:rPr>
        <w:t xml:space="preserve">Figure </w:t>
      </w:r>
      <w:r w:rsidRPr="003547ED">
        <w:rPr>
          <w:sz w:val="22"/>
          <w:szCs w:val="22"/>
        </w:rPr>
        <w:fldChar w:fldCharType="begin"/>
      </w:r>
      <w:r w:rsidRPr="003547ED">
        <w:rPr>
          <w:sz w:val="22"/>
          <w:szCs w:val="22"/>
        </w:rPr>
        <w:instrText>SEQ Figure \* ARABIC</w:instrText>
      </w:r>
      <w:r w:rsidRPr="003547ED">
        <w:rPr>
          <w:sz w:val="22"/>
          <w:szCs w:val="22"/>
        </w:rPr>
        <w:fldChar w:fldCharType="separate"/>
      </w:r>
      <w:r w:rsidR="00A64193">
        <w:rPr>
          <w:noProof/>
          <w:sz w:val="22"/>
          <w:szCs w:val="22"/>
        </w:rPr>
        <w:t>1</w:t>
      </w:r>
      <w:r w:rsidRPr="003547ED">
        <w:rPr>
          <w:sz w:val="22"/>
          <w:szCs w:val="22"/>
        </w:rPr>
        <w:fldChar w:fldCharType="end"/>
      </w:r>
      <w:bookmarkEnd w:id="23"/>
      <w:r w:rsidRPr="003547ED">
        <w:rPr>
          <w:sz w:val="22"/>
          <w:szCs w:val="22"/>
        </w:rPr>
        <w:t xml:space="preserve">. </w:t>
      </w:r>
      <w:r w:rsidR="00E55C43" w:rsidRPr="003547ED">
        <w:rPr>
          <w:sz w:val="22"/>
          <w:szCs w:val="22"/>
        </w:rPr>
        <w:t xml:space="preserve">Distribution of Miombo-Mopane woodland ecosystems </w:t>
      </w:r>
      <w:r w:rsidR="009225BC" w:rsidRPr="003547ED">
        <w:rPr>
          <w:sz w:val="22"/>
          <w:szCs w:val="22"/>
        </w:rPr>
        <w:t xml:space="preserve">and ecoregion </w:t>
      </w:r>
      <w:r w:rsidR="00E55C43" w:rsidRPr="003547ED">
        <w:rPr>
          <w:sz w:val="22"/>
          <w:szCs w:val="22"/>
        </w:rPr>
        <w:t>in Angola [A] and across Southern Africa</w:t>
      </w:r>
      <w:r w:rsidR="00B8168B" w:rsidRPr="003547ED">
        <w:rPr>
          <w:sz w:val="22"/>
          <w:szCs w:val="22"/>
        </w:rPr>
        <w:t xml:space="preserve"> [B]</w:t>
      </w:r>
      <w:r w:rsidR="009225BC" w:rsidRPr="003547ED">
        <w:rPr>
          <w:sz w:val="22"/>
          <w:szCs w:val="22"/>
        </w:rPr>
        <w:t>, respectively</w:t>
      </w:r>
      <w:bookmarkEnd w:id="24"/>
      <w:r w:rsidRPr="003547ED">
        <w:rPr>
          <w:rStyle w:val="FootnoteReference"/>
          <w:sz w:val="22"/>
          <w:szCs w:val="22"/>
        </w:rPr>
        <w:footnoteReference w:id="7"/>
      </w:r>
      <w:bookmarkEnd w:id="25"/>
    </w:p>
    <w:tbl>
      <w:tblPr>
        <w:tblStyle w:val="TableGrid"/>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513"/>
        <w:gridCol w:w="4513"/>
      </w:tblGrid>
      <w:tr w:rsidR="00754BC8" w:rsidRPr="00CE1EA7" w14:paraId="25F4FF93" w14:textId="255FD78B" w:rsidTr="78C544BE">
        <w:trPr>
          <w:trHeight w:val="3655"/>
          <w:jc w:val="center"/>
        </w:trPr>
        <w:tc>
          <w:tcPr>
            <w:tcW w:w="2500" w:type="pct"/>
            <w:tcMar>
              <w:left w:w="0" w:type="dxa"/>
              <w:right w:w="0" w:type="dxa"/>
            </w:tcMar>
          </w:tcPr>
          <w:p w14:paraId="6A99B656" w14:textId="133FA640" w:rsidR="00754BC8" w:rsidRPr="00161836" w:rsidRDefault="00754BC8" w:rsidP="00481CA4">
            <w:pPr>
              <w:jc w:val="center"/>
            </w:pPr>
            <w:r>
              <w:rPr>
                <w:noProof/>
                <w:lang w:val="en-US" w:eastAsia="en-US"/>
              </w:rPr>
              <w:drawing>
                <wp:inline distT="0" distB="0" distL="0" distR="0" wp14:anchorId="25A70D69" wp14:editId="2B122B8E">
                  <wp:extent cx="2771029" cy="2343874"/>
                  <wp:effectExtent l="25400" t="25400" r="23495" b="18415"/>
                  <wp:docPr id="1" name="Picture 1" descr="A close up of a 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ig_1_asof_Jul10.jpg"/>
                          <pic:cNvPicPr/>
                        </pic:nvPicPr>
                        <pic:blipFill rotWithShape="1">
                          <a:blip r:embed="rId24" cstate="print">
                            <a:extLst>
                              <a:ext uri="{28A0092B-C50C-407E-A947-70E740481C1C}">
                                <a14:useLocalDpi xmlns:a14="http://schemas.microsoft.com/office/drawing/2010/main"/>
                              </a:ext>
                            </a:extLst>
                          </a:blip>
                          <a:srcRect/>
                          <a:stretch/>
                        </pic:blipFill>
                        <pic:spPr bwMode="auto">
                          <a:xfrm>
                            <a:off x="0" y="0"/>
                            <a:ext cx="2771029" cy="2343874"/>
                          </a:xfrm>
                          <a:prstGeom prst="rect">
                            <a:avLst/>
                          </a:prstGeom>
                          <a:ln w="19050">
                            <a:solidFill>
                              <a:schemeClr val="tx1"/>
                            </a:solidFill>
                          </a:ln>
                          <a:extLst>
                            <a:ext uri="{53640926-AAD7-44d8-BBD7-CCE9431645EC}">
                              <a14:shadowObscured xmlns:asvg="http://schemas.microsoft.com/office/drawing/2016/SVG/main" xmlns:a16="http://schemas.microsoft.com/office/drawing/2014/main" xmlns:ask="http://schemas.microsoft.com/office/drawing/2018/sketchyshapes"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xmlns:arto="http://schemas.microsoft.com/office/word/2006/arto"/>
                            </a:ext>
                          </a:extLst>
                        </pic:spPr>
                      </pic:pic>
                    </a:graphicData>
                  </a:graphic>
                </wp:inline>
              </w:drawing>
            </w:r>
          </w:p>
        </w:tc>
        <w:tc>
          <w:tcPr>
            <w:tcW w:w="2500" w:type="pct"/>
            <w:tcMar>
              <w:left w:w="0" w:type="dxa"/>
              <w:right w:w="0" w:type="dxa"/>
            </w:tcMar>
          </w:tcPr>
          <w:p w14:paraId="68DCBE2B" w14:textId="2AA3CFEE" w:rsidR="00754BC8" w:rsidRDefault="00754BC8" w:rsidP="00481CA4">
            <w:pPr>
              <w:jc w:val="center"/>
            </w:pPr>
            <w:r>
              <w:rPr>
                <w:noProof/>
                <w:lang w:val="en-US" w:eastAsia="en-US"/>
              </w:rPr>
              <w:drawing>
                <wp:inline distT="0" distB="0" distL="0" distR="0" wp14:anchorId="414CD21D" wp14:editId="7338AC8C">
                  <wp:extent cx="2806508" cy="2343873"/>
                  <wp:effectExtent l="25400" t="25400" r="13335" b="18415"/>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ig_1_asof_Jul10.jpg"/>
                          <pic:cNvPicPr/>
                        </pic:nvPicPr>
                        <pic:blipFill rotWithShape="1">
                          <a:blip r:embed="rId25" cstate="print">
                            <a:extLst>
                              <a:ext uri="{28A0092B-C50C-407E-A947-70E740481C1C}">
                                <a14:useLocalDpi xmlns:a14="http://schemas.microsoft.com/office/drawing/2010/main"/>
                              </a:ext>
                            </a:extLst>
                          </a:blip>
                          <a:srcRect r="-2040"/>
                          <a:stretch/>
                        </pic:blipFill>
                        <pic:spPr bwMode="auto">
                          <a:xfrm>
                            <a:off x="0" y="0"/>
                            <a:ext cx="2807363" cy="2344587"/>
                          </a:xfrm>
                          <a:prstGeom prst="rect">
                            <a:avLst/>
                          </a:prstGeom>
                          <a:ln w="19050">
                            <a:solidFill>
                              <a:schemeClr val="tx1"/>
                            </a:solidFill>
                          </a:ln>
                          <a:extLst>
                            <a:ext uri="{53640926-AAD7-44d8-BBD7-CCE9431645EC}">
                              <a14:shadowObscured xmlns:asvg="http://schemas.microsoft.com/office/drawing/2016/SVG/main" xmlns:a16="http://schemas.microsoft.com/office/drawing/2014/main" xmlns:ask="http://schemas.microsoft.com/office/drawing/2018/sketchyshapes"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xmlns:arto="http://schemas.microsoft.com/office/word/2006/arto"/>
                            </a:ext>
                          </a:extLst>
                        </pic:spPr>
                      </pic:pic>
                    </a:graphicData>
                  </a:graphic>
                </wp:inline>
              </w:drawing>
            </w:r>
          </w:p>
        </w:tc>
      </w:tr>
      <w:tr w:rsidR="002028DA" w:rsidRPr="003A3E05" w14:paraId="0E71821E" w14:textId="6E3FAC11" w:rsidTr="78C544BE">
        <w:trPr>
          <w:jc w:val="center"/>
        </w:trPr>
        <w:tc>
          <w:tcPr>
            <w:tcW w:w="5000" w:type="pct"/>
            <w:gridSpan w:val="2"/>
            <w:tcMar>
              <w:left w:w="0" w:type="dxa"/>
              <w:right w:w="0" w:type="dxa"/>
            </w:tcMar>
          </w:tcPr>
          <w:p w14:paraId="1BB8EDEE" w14:textId="1B3B0D46" w:rsidR="002028DA" w:rsidRPr="003A3E05" w:rsidRDefault="002028DA" w:rsidP="00AC1047">
            <w:pPr>
              <w:spacing w:after="160"/>
              <w:rPr>
                <w:rFonts w:ascii="Calibri Light" w:hAnsi="Calibri Light" w:cs="Calibri Light"/>
                <w:noProof/>
                <w:sz w:val="16"/>
                <w:szCs w:val="16"/>
              </w:rPr>
            </w:pPr>
            <w:r w:rsidRPr="002028DA">
              <w:rPr>
                <w:rFonts w:ascii="Calibri Light" w:hAnsi="Calibri Light" w:cs="Calibri Light"/>
                <w:b/>
                <w:noProof/>
                <w:sz w:val="16"/>
                <w:szCs w:val="16"/>
              </w:rPr>
              <w:t>NOTES:</w:t>
            </w:r>
            <w:r w:rsidRPr="003A3E05">
              <w:rPr>
                <w:rFonts w:ascii="Calibri Light" w:hAnsi="Calibri Light" w:cs="Calibri Light"/>
                <w:noProof/>
                <w:sz w:val="16"/>
                <w:szCs w:val="16"/>
              </w:rPr>
              <w:t xml:space="preserve"> </w:t>
            </w:r>
            <w:r>
              <w:rPr>
                <w:rFonts w:ascii="Calibri Light" w:hAnsi="Calibri Light" w:cs="Calibri Light"/>
                <w:noProof/>
                <w:sz w:val="16"/>
                <w:szCs w:val="16"/>
              </w:rPr>
              <w:t>A</w:t>
            </w:r>
            <w:r w:rsidRPr="003A3E05">
              <w:rPr>
                <w:rFonts w:ascii="Calibri Light" w:hAnsi="Calibri Light" w:cs="Calibri Light"/>
                <w:noProof/>
                <w:sz w:val="16"/>
                <w:szCs w:val="16"/>
              </w:rPr>
              <w:t>uthor</w:t>
            </w:r>
            <w:r w:rsidR="00B30AF5">
              <w:rPr>
                <w:rFonts w:ascii="Calibri Light" w:hAnsi="Calibri Light" w:cs="Calibri Light"/>
                <w:noProof/>
                <w:sz w:val="16"/>
                <w:szCs w:val="16"/>
              </w:rPr>
              <w:t>itie</w:t>
            </w:r>
            <w:r w:rsidRPr="003A3E05">
              <w:rPr>
                <w:rFonts w:ascii="Calibri Light" w:hAnsi="Calibri Light" w:cs="Calibri Light"/>
                <w:noProof/>
                <w:sz w:val="16"/>
                <w:szCs w:val="16"/>
              </w:rPr>
              <w:t xml:space="preserve">s define the distribution of Miombo-Mopane landscapes in different ways. </w:t>
            </w:r>
            <w:r w:rsidR="000474BB" w:rsidRPr="000474BB">
              <w:rPr>
                <w:rFonts w:ascii="Calibri Light" w:hAnsi="Calibri Light" w:cs="Calibri Light"/>
                <w:b/>
                <w:noProof/>
                <w:sz w:val="16"/>
                <w:szCs w:val="16"/>
              </w:rPr>
              <w:t>Figure 1A</w:t>
            </w:r>
            <w:r w:rsidR="000474BB">
              <w:rPr>
                <w:rFonts w:ascii="Calibri Light" w:hAnsi="Calibri Light" w:cs="Calibri Light"/>
                <w:noProof/>
                <w:sz w:val="16"/>
                <w:szCs w:val="16"/>
              </w:rPr>
              <w:t xml:space="preserve"> shows the distribution of Miombo-Mopane woodlands in Angola and location of the two project sites within the </w:t>
            </w:r>
            <w:r w:rsidR="00414235">
              <w:rPr>
                <w:rFonts w:ascii="Calibri Light" w:hAnsi="Calibri Light" w:cs="Calibri Light"/>
                <w:noProof/>
                <w:sz w:val="16"/>
                <w:szCs w:val="16"/>
              </w:rPr>
              <w:t>n</w:t>
            </w:r>
            <w:r w:rsidR="000474BB">
              <w:rPr>
                <w:rFonts w:ascii="Calibri Light" w:hAnsi="Calibri Light" w:cs="Calibri Light"/>
                <w:noProof/>
                <w:sz w:val="16"/>
                <w:szCs w:val="16"/>
              </w:rPr>
              <w:t xml:space="preserve">otional Project Zone. </w:t>
            </w:r>
            <w:r w:rsidRPr="003A3E05">
              <w:rPr>
                <w:rFonts w:ascii="Calibri Light" w:hAnsi="Calibri Light" w:cs="Calibri Light"/>
                <w:noProof/>
                <w:sz w:val="16"/>
                <w:szCs w:val="16"/>
              </w:rPr>
              <w:t xml:space="preserve">The distribution </w:t>
            </w:r>
            <w:r w:rsidR="00864E75">
              <w:rPr>
                <w:rFonts w:ascii="Calibri Light" w:hAnsi="Calibri Light" w:cs="Calibri Light"/>
                <w:noProof/>
                <w:sz w:val="16"/>
                <w:szCs w:val="16"/>
              </w:rPr>
              <w:t xml:space="preserve">of the Miombo-Mopane ecoregion, based on WWF’s classification of the world’s ecoregions and </w:t>
            </w:r>
            <w:r w:rsidRPr="003A3E05">
              <w:rPr>
                <w:rFonts w:ascii="Calibri Light" w:hAnsi="Calibri Light" w:cs="Calibri Light"/>
                <w:noProof/>
                <w:sz w:val="16"/>
                <w:szCs w:val="16"/>
              </w:rPr>
              <w:t xml:space="preserve">adopted </w:t>
            </w:r>
            <w:r w:rsidR="00864E75">
              <w:rPr>
                <w:rFonts w:ascii="Calibri Light" w:hAnsi="Calibri Light" w:cs="Calibri Light"/>
                <w:noProof/>
                <w:sz w:val="16"/>
                <w:szCs w:val="16"/>
              </w:rPr>
              <w:t xml:space="preserve">by </w:t>
            </w:r>
            <w:r w:rsidRPr="003A3E05">
              <w:rPr>
                <w:rFonts w:ascii="Calibri Light" w:hAnsi="Calibri Light" w:cs="Calibri Light"/>
                <w:noProof/>
                <w:sz w:val="16"/>
                <w:szCs w:val="16"/>
              </w:rPr>
              <w:t>the DSL IP</w:t>
            </w:r>
            <w:r w:rsidR="00B8168B">
              <w:rPr>
                <w:rFonts w:ascii="Calibri Light" w:hAnsi="Calibri Light" w:cs="Calibri Light"/>
                <w:noProof/>
                <w:sz w:val="16"/>
                <w:szCs w:val="16"/>
              </w:rPr>
              <w:t>, is shown in</w:t>
            </w:r>
            <w:r w:rsidR="00B13A5F" w:rsidRPr="000474BB">
              <w:rPr>
                <w:rFonts w:ascii="Calibri Light" w:hAnsi="Calibri Light" w:cs="Calibri Light"/>
                <w:b/>
                <w:noProof/>
                <w:sz w:val="16"/>
                <w:szCs w:val="16"/>
              </w:rPr>
              <w:t xml:space="preserve"> Figure 1B</w:t>
            </w:r>
            <w:r w:rsidR="00864E75">
              <w:rPr>
                <w:rFonts w:ascii="Calibri Light" w:hAnsi="Calibri Light" w:cs="Calibri Light"/>
                <w:noProof/>
                <w:sz w:val="16"/>
                <w:szCs w:val="16"/>
              </w:rPr>
              <w:t>. R</w:t>
            </w:r>
            <w:r w:rsidRPr="003A3E05">
              <w:rPr>
                <w:rFonts w:ascii="Calibri Light" w:hAnsi="Calibri Light" w:cs="Calibri Light"/>
                <w:noProof/>
                <w:sz w:val="16"/>
                <w:szCs w:val="16"/>
              </w:rPr>
              <w:t xml:space="preserve">efer to: </w:t>
            </w:r>
            <w:hyperlink r:id="rId26" w:history="1">
              <w:r w:rsidRPr="00AE073C">
                <w:rPr>
                  <w:rStyle w:val="Hyperlink"/>
                  <w:rFonts w:ascii="Calibri Light" w:hAnsi="Calibri Light" w:cs="Calibri Light"/>
                  <w:noProof/>
                  <w:sz w:val="16"/>
                  <w:szCs w:val="16"/>
                </w:rPr>
                <w:t>https://www.worldwildlife.org/ecoregions/at0724</w:t>
              </w:r>
            </w:hyperlink>
            <w:r w:rsidR="00864E75">
              <w:t xml:space="preserve"> </w:t>
            </w:r>
            <w:r>
              <w:rPr>
                <w:rFonts w:ascii="Calibri Light" w:hAnsi="Calibri Light" w:cs="Calibri Light"/>
                <w:noProof/>
                <w:sz w:val="16"/>
                <w:szCs w:val="16"/>
              </w:rPr>
              <w:t xml:space="preserve"> </w:t>
            </w:r>
            <w:r w:rsidR="00B13A5F">
              <w:rPr>
                <w:rFonts w:ascii="Calibri Light" w:hAnsi="Calibri Light" w:cs="Calibri Light"/>
                <w:noProof/>
                <w:sz w:val="16"/>
                <w:szCs w:val="16"/>
              </w:rPr>
              <w:t>for a more detailed</w:t>
            </w:r>
            <w:r w:rsidR="00864E75" w:rsidRPr="003A3E05">
              <w:rPr>
                <w:rFonts w:ascii="Calibri Light" w:hAnsi="Calibri Light" w:cs="Calibri Light"/>
                <w:noProof/>
                <w:sz w:val="16"/>
                <w:szCs w:val="16"/>
              </w:rPr>
              <w:t xml:space="preserve"> description of Miombo-Mopane </w:t>
            </w:r>
            <w:r w:rsidR="00864E75">
              <w:rPr>
                <w:rFonts w:ascii="Calibri Light" w:hAnsi="Calibri Light" w:cs="Calibri Light"/>
                <w:noProof/>
                <w:sz w:val="16"/>
                <w:szCs w:val="16"/>
              </w:rPr>
              <w:t>woodlands</w:t>
            </w:r>
            <w:r w:rsidR="00864E75" w:rsidRPr="003A3E05">
              <w:rPr>
                <w:rFonts w:ascii="Calibri Light" w:hAnsi="Calibri Light" w:cs="Calibri Light"/>
                <w:noProof/>
                <w:sz w:val="16"/>
                <w:szCs w:val="16"/>
              </w:rPr>
              <w:t xml:space="preserve"> in Angola</w:t>
            </w:r>
            <w:r w:rsidR="00B13A5F">
              <w:rPr>
                <w:rFonts w:ascii="Calibri Light" w:hAnsi="Calibri Light" w:cs="Calibri Light"/>
                <w:noProof/>
                <w:sz w:val="16"/>
                <w:szCs w:val="16"/>
              </w:rPr>
              <w:t>.</w:t>
            </w:r>
          </w:p>
        </w:tc>
      </w:tr>
    </w:tbl>
    <w:p w14:paraId="3C69CC81" w14:textId="089E08A6" w:rsidR="003C7413" w:rsidRPr="00E54F73" w:rsidRDefault="003C7413" w:rsidP="00E54F73">
      <w:pPr>
        <w:pStyle w:val="ParagraphOED"/>
        <w:rPr>
          <w:highlight w:val="yellow"/>
        </w:rPr>
      </w:pPr>
      <w:r w:rsidRPr="003C7413">
        <w:rPr>
          <w:rStyle w:val="normaltextrun"/>
          <w:b/>
          <w:bCs/>
          <w:highlight w:val="yellow"/>
        </w:rPr>
        <w:t>Biodiversity</w:t>
      </w:r>
      <w:r w:rsidRPr="003C7413">
        <w:rPr>
          <w:rStyle w:val="normaltextrun"/>
          <w:highlight w:val="yellow"/>
        </w:rPr>
        <w:t>: The</w:t>
      </w:r>
      <w:r w:rsidRPr="003C7413">
        <w:rPr>
          <w:rStyle w:val="apple-converted-space"/>
          <w:highlight w:val="yellow"/>
        </w:rPr>
        <w:t> </w:t>
      </w:r>
      <w:r w:rsidRPr="003C7413">
        <w:rPr>
          <w:rStyle w:val="normaltextrun"/>
          <w:highlight w:val="yellow"/>
        </w:rPr>
        <w:t>Miombo and Mopane woodlands are the most predominant type of vegetation in Southern Africa, covering ca. 3 million square kilometers, stretching from Angola, Namibia, Botswana, Democratic Republic of the Congo, Zambia, Zimbabwe, Malawi, Mozambique and Tanzania. Together with Amazonia, Congo Basin, New</w:t>
      </w:r>
      <w:r w:rsidRPr="003C7413">
        <w:rPr>
          <w:rStyle w:val="apple-converted-space"/>
          <w:highlight w:val="yellow"/>
        </w:rPr>
        <w:t> </w:t>
      </w:r>
      <w:r w:rsidRPr="003C7413">
        <w:rPr>
          <w:rStyle w:val="normaltextrun"/>
          <w:highlight w:val="yellow"/>
        </w:rPr>
        <w:t>Guinea</w:t>
      </w:r>
      <w:r w:rsidRPr="003C7413">
        <w:rPr>
          <w:rStyle w:val="apple-converted-space"/>
          <w:highlight w:val="yellow"/>
        </w:rPr>
        <w:t> </w:t>
      </w:r>
      <w:r w:rsidRPr="003C7413">
        <w:rPr>
          <w:rStyle w:val="normaltextrun"/>
          <w:highlight w:val="yellow"/>
        </w:rPr>
        <w:t>and the North American deserts, the Miombo and Mopane woodlands are considered wilderness areas of global conservation significance as they concentrate the majority of plant and vertebrate species endemic to individual wildernesses. These woodlands are the main ecosystems of the “Zambezian” region of Africa, distinct in terms of mammals, birds, amphibians,</w:t>
      </w:r>
      <w:r w:rsidRPr="003C7413">
        <w:rPr>
          <w:rStyle w:val="apple-converted-space"/>
          <w:highlight w:val="yellow"/>
        </w:rPr>
        <w:t> </w:t>
      </w:r>
      <w:r w:rsidRPr="003C7413">
        <w:rPr>
          <w:rStyle w:val="normaltextrun"/>
          <w:highlight w:val="yellow"/>
        </w:rPr>
        <w:t>reptiles</w:t>
      </w:r>
      <w:r w:rsidRPr="003C7413">
        <w:rPr>
          <w:rStyle w:val="apple-converted-space"/>
          <w:highlight w:val="yellow"/>
        </w:rPr>
        <w:t> </w:t>
      </w:r>
      <w:r w:rsidRPr="003C7413">
        <w:rPr>
          <w:rStyle w:val="normaltextrun"/>
          <w:highlight w:val="yellow"/>
        </w:rPr>
        <w:t>and plants, with high levels of diversity and endemism. The Miombo and Mopane Ecoregion has an estimated diversity of 8,500 flowering plant species, of which ca. 54% are endemic. Within the Afrotropical realm, the Angolan part of the ‘Miombo-Mopane Woodlands Ecoregion’</w:t>
      </w:r>
      <w:r w:rsidRPr="003C7413">
        <w:rPr>
          <w:rStyle w:val="apple-converted-space"/>
          <w:highlight w:val="yellow"/>
        </w:rPr>
        <w:t> </w:t>
      </w:r>
      <w:r w:rsidRPr="003C7413">
        <w:rPr>
          <w:rStyle w:val="normaltextrun"/>
          <w:highlight w:val="yellow"/>
        </w:rPr>
        <w:t>falls within the Zambezian Regional Center of Endemism, as outlined by White (1993), covering up to 63% of Angola’s land surface (Figure 1). The ecoregion lies mainly in the</w:t>
      </w:r>
      <w:r w:rsidRPr="003C7413">
        <w:rPr>
          <w:rStyle w:val="apple-converted-space"/>
          <w:highlight w:val="yellow"/>
        </w:rPr>
        <w:t> </w:t>
      </w:r>
      <w:r w:rsidRPr="003C7413">
        <w:rPr>
          <w:rStyle w:val="normaltextrun"/>
          <w:highlight w:val="yellow"/>
        </w:rPr>
        <w:t>Cubango-Zambezi Basin, which is an extensive area of undulating hills drained by rivers that flow eastwards into the Zambezi River. It is also drained by the endorheic</w:t>
      </w:r>
      <w:r w:rsidRPr="003C7413">
        <w:rPr>
          <w:rStyle w:val="apple-converted-space"/>
          <w:highlight w:val="yellow"/>
        </w:rPr>
        <w:t xml:space="preserve"> </w:t>
      </w:r>
      <w:r w:rsidRPr="003C7413">
        <w:rPr>
          <w:rStyle w:val="normaltextrun"/>
          <w:highlight w:val="yellow"/>
        </w:rPr>
        <w:t>Cuando-Cubango</w:t>
      </w:r>
      <w:r w:rsidRPr="003C7413">
        <w:rPr>
          <w:rStyle w:val="apple-converted-space"/>
          <w:highlight w:val="yellow"/>
        </w:rPr>
        <w:t> </w:t>
      </w:r>
      <w:r w:rsidRPr="003C7413">
        <w:rPr>
          <w:rStyle w:val="normaltextrun"/>
          <w:highlight w:val="yellow"/>
        </w:rPr>
        <w:t xml:space="preserve">system and the Cunene River. In the targeted southeastern part of Angola, these forests constitute the western portion of ‘wetter Zambezian miombo woodland’. </w:t>
      </w:r>
      <w:r w:rsidRPr="003C7413">
        <w:rPr>
          <w:rStyle w:val="normaltextrun"/>
          <w:highlight w:val="yellow"/>
        </w:rPr>
        <w:lastRenderedPageBreak/>
        <w:t>The landscapes include ‘mosaics of</w:t>
      </w:r>
      <w:r w:rsidRPr="003C7413">
        <w:rPr>
          <w:rStyle w:val="apple-converted-space"/>
          <w:highlight w:val="yellow"/>
        </w:rPr>
        <w:t> </w:t>
      </w:r>
      <w:r w:rsidRPr="003C7413">
        <w:rPr>
          <w:rStyle w:val="normaltextrun"/>
          <w:i/>
          <w:highlight w:val="yellow"/>
        </w:rPr>
        <w:t>Brachystegia</w:t>
      </w:r>
      <w:r w:rsidRPr="003C7413">
        <w:rPr>
          <w:rStyle w:val="apple-converted-space"/>
          <w:i/>
          <w:iCs/>
          <w:highlight w:val="yellow"/>
        </w:rPr>
        <w:t> </w:t>
      </w:r>
      <w:r w:rsidRPr="003C7413">
        <w:rPr>
          <w:rStyle w:val="normaltextrun"/>
          <w:i/>
          <w:highlight w:val="yellow"/>
        </w:rPr>
        <w:t>bakerana</w:t>
      </w:r>
      <w:r w:rsidRPr="003C7413">
        <w:rPr>
          <w:rStyle w:val="apple-converted-space"/>
          <w:highlight w:val="yellow"/>
        </w:rPr>
        <w:t xml:space="preserve"> </w:t>
      </w:r>
      <w:r w:rsidRPr="003C7413">
        <w:rPr>
          <w:rStyle w:val="normaltextrun"/>
          <w:highlight w:val="yellow"/>
        </w:rPr>
        <w:t>thicket and edaphic grassland,’ sharing similar faunal patterns with the Miombo and Mopane woodlands</w:t>
      </w:r>
      <w:r w:rsidRPr="003C7413">
        <w:rPr>
          <w:rStyle w:val="superscript"/>
          <w:szCs w:val="21"/>
          <w:highlight w:val="yellow"/>
          <w:shd w:val="clear" w:color="auto" w:fill="FFFF00"/>
          <w:vertAlign w:val="superscript"/>
        </w:rPr>
        <w:t>7</w:t>
      </w:r>
      <w:r w:rsidRPr="003C7413">
        <w:rPr>
          <w:rStyle w:val="apple-converted-space"/>
          <w:highlight w:val="yellow"/>
        </w:rPr>
        <w:t> </w:t>
      </w:r>
      <w:r w:rsidRPr="003C7413">
        <w:rPr>
          <w:rStyle w:val="normaltextrun"/>
          <w:highlight w:val="yellow"/>
        </w:rPr>
        <w:t>(</w:t>
      </w:r>
      <w:r w:rsidRPr="003C7413">
        <w:rPr>
          <w:rStyle w:val="normaltextrun"/>
          <w:highlight w:val="yellow"/>
          <w:u w:val="single"/>
        </w:rPr>
        <w:t>Figure 1B</w:t>
      </w:r>
      <w:r w:rsidRPr="003C7413">
        <w:rPr>
          <w:rStyle w:val="normaltextrun"/>
          <w:highlight w:val="yellow"/>
        </w:rPr>
        <w:t>).</w:t>
      </w:r>
      <w:r w:rsidRPr="003C7413">
        <w:rPr>
          <w:rStyle w:val="apple-converted-space"/>
          <w:highlight w:val="yellow"/>
        </w:rPr>
        <w:t xml:space="preserve"> </w:t>
      </w:r>
      <w:r w:rsidRPr="003C7413">
        <w:rPr>
          <w:rStyle w:val="normaltextrun"/>
          <w:highlight w:val="yellow"/>
        </w:rPr>
        <w:t>Baikiaea</w:t>
      </w:r>
      <w:r w:rsidRPr="003C7413">
        <w:rPr>
          <w:rStyle w:val="apple-converted-space"/>
          <w:highlight w:val="yellow"/>
        </w:rPr>
        <w:t> </w:t>
      </w:r>
      <w:r w:rsidRPr="003C7413">
        <w:rPr>
          <w:rStyle w:val="normaltextrun"/>
          <w:highlight w:val="yellow"/>
        </w:rPr>
        <w:t>woodlands dominate large parts of southern Angola along the border with Namibia and fall within the definition used for ‘Miombo-Mopane Woodlands of southern Angola’ that constitutes the</w:t>
      </w:r>
      <w:r w:rsidRPr="003C7413">
        <w:rPr>
          <w:rStyle w:val="apple-converted-space"/>
          <w:highlight w:val="yellow"/>
        </w:rPr>
        <w:t> </w:t>
      </w:r>
      <w:r w:rsidRPr="003C7413">
        <w:rPr>
          <w:rStyle w:val="normaltextrun"/>
          <w:highlight w:val="yellow"/>
        </w:rPr>
        <w:t>‘project zone’.</w:t>
      </w:r>
      <w:r w:rsidRPr="003C7413">
        <w:rPr>
          <w:rStyle w:val="apple-converted-space"/>
          <w:highlight w:val="yellow"/>
        </w:rPr>
        <w:t> </w:t>
      </w:r>
    </w:p>
    <w:p w14:paraId="41D740AA" w14:textId="77777777" w:rsidR="009563B4" w:rsidRPr="003547ED" w:rsidRDefault="009563B4" w:rsidP="00AC1047">
      <w:pPr>
        <w:pStyle w:val="Caption"/>
        <w:spacing w:after="80"/>
        <w:rPr>
          <w:sz w:val="22"/>
          <w:szCs w:val="22"/>
        </w:rPr>
      </w:pPr>
      <w:r w:rsidRPr="003547ED">
        <w:rPr>
          <w:sz w:val="22"/>
          <w:szCs w:val="22"/>
        </w:rPr>
        <w:t xml:space="preserve">Figure </w:t>
      </w:r>
      <w:r w:rsidRPr="003547ED">
        <w:rPr>
          <w:sz w:val="22"/>
          <w:szCs w:val="22"/>
        </w:rPr>
        <w:fldChar w:fldCharType="begin"/>
      </w:r>
      <w:r w:rsidRPr="003547ED">
        <w:rPr>
          <w:sz w:val="22"/>
          <w:szCs w:val="22"/>
        </w:rPr>
        <w:instrText>SEQ Figure \* ARABIC</w:instrText>
      </w:r>
      <w:r w:rsidRPr="003547ED">
        <w:rPr>
          <w:sz w:val="22"/>
          <w:szCs w:val="22"/>
        </w:rPr>
        <w:fldChar w:fldCharType="separate"/>
      </w:r>
      <w:r w:rsidR="00A64193">
        <w:rPr>
          <w:noProof/>
          <w:sz w:val="22"/>
          <w:szCs w:val="22"/>
        </w:rPr>
        <w:t>2</w:t>
      </w:r>
      <w:r w:rsidRPr="003547ED">
        <w:rPr>
          <w:sz w:val="22"/>
          <w:szCs w:val="22"/>
        </w:rPr>
        <w:fldChar w:fldCharType="end"/>
      </w:r>
      <w:r w:rsidRPr="003547ED">
        <w:rPr>
          <w:sz w:val="22"/>
          <w:szCs w:val="22"/>
        </w:rPr>
        <w:t xml:space="preserve">. River basins of Angola </w:t>
      </w:r>
      <w:r w:rsidR="00E176AD" w:rsidRPr="003547ED">
        <w:rPr>
          <w:sz w:val="22"/>
          <w:szCs w:val="22"/>
        </w:rPr>
        <w:t xml:space="preserve">[A] </w:t>
      </w:r>
      <w:r w:rsidRPr="003547ED">
        <w:rPr>
          <w:sz w:val="22"/>
          <w:szCs w:val="22"/>
        </w:rPr>
        <w:t xml:space="preserve">and </w:t>
      </w:r>
      <w:r w:rsidR="00903274" w:rsidRPr="003547ED">
        <w:rPr>
          <w:sz w:val="22"/>
          <w:szCs w:val="22"/>
        </w:rPr>
        <w:t xml:space="preserve">their </w:t>
      </w:r>
      <w:r w:rsidRPr="003547ED">
        <w:rPr>
          <w:sz w:val="22"/>
          <w:szCs w:val="22"/>
        </w:rPr>
        <w:t>Southern Africa</w:t>
      </w:r>
      <w:r w:rsidR="00E176AD" w:rsidRPr="003547ED">
        <w:rPr>
          <w:sz w:val="22"/>
          <w:szCs w:val="22"/>
        </w:rPr>
        <w:t xml:space="preserve"> </w:t>
      </w:r>
      <w:r w:rsidR="00903274" w:rsidRPr="003547ED">
        <w:rPr>
          <w:sz w:val="22"/>
          <w:szCs w:val="22"/>
        </w:rPr>
        <w:t>context [B]</w:t>
      </w:r>
    </w:p>
    <w:tbl>
      <w:tblPr>
        <w:tblStyle w:val="TableGrid"/>
        <w:tblW w:w="9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35"/>
        <w:gridCol w:w="4373"/>
      </w:tblGrid>
      <w:tr w:rsidR="0002632D" w:rsidRPr="00CE1EA7" w14:paraId="1A285606" w14:textId="77777777" w:rsidTr="78C544BE">
        <w:trPr>
          <w:trHeight w:val="2981"/>
        </w:trPr>
        <w:tc>
          <w:tcPr>
            <w:tcW w:w="0" w:type="auto"/>
            <w:tcMar>
              <w:left w:w="0" w:type="dxa"/>
              <w:right w:w="0" w:type="dxa"/>
            </w:tcMar>
          </w:tcPr>
          <w:p w14:paraId="79D87E64" w14:textId="77777777" w:rsidR="0002632D" w:rsidRPr="00C935D6" w:rsidRDefault="0002632D" w:rsidP="00863159">
            <w:pPr>
              <w:rPr>
                <w:rFonts w:asciiTheme="minorHAnsi" w:hAnsiTheme="minorHAnsi" w:cstheme="minorHAnsi"/>
              </w:rPr>
            </w:pPr>
            <w:r>
              <w:rPr>
                <w:rFonts w:asciiTheme="minorHAnsi" w:hAnsiTheme="minorHAnsi" w:cstheme="minorHAnsi"/>
                <w:noProof/>
                <w:lang w:val="en-US" w:eastAsia="en-US"/>
              </w:rPr>
              <w:drawing>
                <wp:inline distT="0" distB="0" distL="0" distR="0" wp14:anchorId="3A4BAC19" wp14:editId="041620B0">
                  <wp:extent cx="2911033" cy="1737720"/>
                  <wp:effectExtent l="25400" t="25400" r="35560" b="15240"/>
                  <wp:docPr id="41" name="Picture 41" descr="A close up of a 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Fig2.JPG"/>
                          <pic:cNvPicPr/>
                        </pic:nvPicPr>
                        <pic:blipFill>
                          <a:blip r:embed="rId27" cstate="print">
                            <a:extLst>
                              <a:ext uri="{28A0092B-C50C-407E-A947-70E740481C1C}">
                                <a14:useLocalDpi xmlns:a14="http://schemas.microsoft.com/office/drawing/2010/main"/>
                              </a:ext>
                            </a:extLst>
                          </a:blip>
                          <a:stretch>
                            <a:fillRect/>
                          </a:stretch>
                        </pic:blipFill>
                        <pic:spPr>
                          <a:xfrm>
                            <a:off x="0" y="0"/>
                            <a:ext cx="2911033" cy="1737720"/>
                          </a:xfrm>
                          <a:prstGeom prst="rect">
                            <a:avLst/>
                          </a:prstGeom>
                          <a:ln w="19050">
                            <a:solidFill>
                              <a:schemeClr val="tx1"/>
                            </a:solidFill>
                          </a:ln>
                        </pic:spPr>
                      </pic:pic>
                    </a:graphicData>
                  </a:graphic>
                </wp:inline>
              </w:drawing>
            </w:r>
          </w:p>
        </w:tc>
        <w:tc>
          <w:tcPr>
            <w:tcW w:w="0" w:type="auto"/>
            <w:tcMar>
              <w:left w:w="0" w:type="dxa"/>
              <w:right w:w="0" w:type="dxa"/>
            </w:tcMar>
          </w:tcPr>
          <w:p w14:paraId="0175AADB" w14:textId="77777777" w:rsidR="0002632D" w:rsidRPr="00CE1EA7" w:rsidRDefault="0002632D" w:rsidP="00863159">
            <w:pPr>
              <w:rPr>
                <w:rFonts w:asciiTheme="minorHAnsi" w:hAnsiTheme="minorHAnsi" w:cstheme="minorHAnsi"/>
                <w:i/>
                <w:color w:val="3B3838" w:themeColor="background2" w:themeShade="40"/>
              </w:rPr>
            </w:pPr>
            <w:r w:rsidRPr="00073FE4">
              <w:rPr>
                <w:rFonts w:asciiTheme="minorHAnsi" w:hAnsiTheme="minorHAnsi" w:cstheme="minorHAnsi"/>
                <w:noProof/>
                <w:color w:val="3B3838" w:themeColor="background2" w:themeShade="40"/>
                <w:lang w:val="en-US" w:eastAsia="en-US"/>
              </w:rPr>
              <w:drawing>
                <wp:inline distT="0" distB="0" distL="0" distR="0" wp14:anchorId="5FF0BF1A" wp14:editId="31E02702">
                  <wp:extent cx="2685327" cy="1731806"/>
                  <wp:effectExtent l="25400" t="25400" r="33020" b="20955"/>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cstate="print">
                            <a:extLst>
                              <a:ext uri="{28A0092B-C50C-407E-A947-70E740481C1C}">
                                <a14:useLocalDpi xmlns:a14="http://schemas.microsoft.com/office/drawing/2010/main"/>
                              </a:ext>
                            </a:extLst>
                          </a:blip>
                          <a:stretch>
                            <a:fillRect/>
                          </a:stretch>
                        </pic:blipFill>
                        <pic:spPr>
                          <a:xfrm>
                            <a:off x="0" y="0"/>
                            <a:ext cx="2685327" cy="1731806"/>
                          </a:xfrm>
                          <a:prstGeom prst="rect">
                            <a:avLst/>
                          </a:prstGeom>
                          <a:ln w="19050">
                            <a:solidFill>
                              <a:schemeClr val="tx1"/>
                            </a:solidFill>
                          </a:ln>
                        </pic:spPr>
                      </pic:pic>
                    </a:graphicData>
                  </a:graphic>
                </wp:inline>
              </w:drawing>
            </w:r>
          </w:p>
        </w:tc>
      </w:tr>
      <w:tr w:rsidR="0002632D" w:rsidRPr="00CE1EA7" w14:paraId="5E388B7A" w14:textId="77777777" w:rsidTr="78C544BE">
        <w:trPr>
          <w:trHeight w:val="751"/>
        </w:trPr>
        <w:tc>
          <w:tcPr>
            <w:tcW w:w="0" w:type="auto"/>
            <w:tcMar>
              <w:left w:w="0" w:type="dxa"/>
              <w:right w:w="28" w:type="dxa"/>
            </w:tcMar>
          </w:tcPr>
          <w:p w14:paraId="1878DC15" w14:textId="77777777" w:rsidR="0002632D" w:rsidRPr="00813D0F" w:rsidRDefault="0002632D" w:rsidP="00863159">
            <w:pPr>
              <w:keepNext/>
              <w:spacing w:after="160"/>
              <w:rPr>
                <w:rFonts w:asciiTheme="minorHAnsi" w:hAnsiTheme="minorHAnsi" w:cstheme="minorHAnsi"/>
                <w:color w:val="3B3838" w:themeColor="background2" w:themeShade="40"/>
              </w:rPr>
            </w:pPr>
            <w:r w:rsidRPr="00230679">
              <w:rPr>
                <w:rFonts w:asciiTheme="minorHAnsi" w:hAnsiTheme="minorHAnsi" w:cstheme="minorHAnsi"/>
                <w:b/>
                <w:color w:val="3B3838" w:themeColor="background2" w:themeShade="40"/>
                <w:sz w:val="21"/>
                <w:szCs w:val="21"/>
              </w:rPr>
              <w:t>[A]</w:t>
            </w:r>
            <w:r w:rsidRPr="00CE1EA7">
              <w:rPr>
                <w:rFonts w:asciiTheme="minorHAnsi" w:hAnsiTheme="minorHAnsi" w:cstheme="minorHAnsi"/>
                <w:i/>
                <w:color w:val="3B3838" w:themeColor="background2" w:themeShade="40"/>
                <w:sz w:val="16"/>
                <w:szCs w:val="16"/>
              </w:rPr>
              <w:t xml:space="preserve"> </w:t>
            </w:r>
            <w:r>
              <w:rPr>
                <w:rFonts w:asciiTheme="minorHAnsi" w:hAnsiTheme="minorHAnsi" w:cstheme="minorHAnsi"/>
                <w:i/>
                <w:color w:val="3B3838" w:themeColor="background2" w:themeShade="40"/>
                <w:sz w:val="16"/>
                <w:szCs w:val="16"/>
              </w:rPr>
              <w:t>The project area partly covers t</w:t>
            </w:r>
            <w:r w:rsidRPr="00CE1EA7">
              <w:rPr>
                <w:rFonts w:asciiTheme="minorHAnsi" w:hAnsiTheme="minorHAnsi" w:cstheme="minorHAnsi"/>
                <w:i/>
                <w:color w:val="3B3838" w:themeColor="background2" w:themeShade="40"/>
                <w:sz w:val="16"/>
                <w:szCs w:val="16"/>
              </w:rPr>
              <w:t>hree subregional river basins</w:t>
            </w:r>
            <w:r>
              <w:rPr>
                <w:rFonts w:asciiTheme="minorHAnsi" w:hAnsiTheme="minorHAnsi" w:cstheme="minorHAnsi"/>
                <w:i/>
                <w:color w:val="3B3838" w:themeColor="background2" w:themeShade="40"/>
                <w:sz w:val="16"/>
                <w:szCs w:val="16"/>
              </w:rPr>
              <w:t xml:space="preserve">, all of which </w:t>
            </w:r>
            <w:r w:rsidRPr="00CE1EA7">
              <w:rPr>
                <w:rFonts w:asciiTheme="minorHAnsi" w:hAnsiTheme="minorHAnsi" w:cstheme="minorHAnsi"/>
                <w:i/>
                <w:color w:val="3B3838" w:themeColor="background2" w:themeShade="40"/>
                <w:sz w:val="16"/>
                <w:szCs w:val="16"/>
              </w:rPr>
              <w:t>originate in Angola</w:t>
            </w:r>
            <w:r>
              <w:rPr>
                <w:rFonts w:asciiTheme="minorHAnsi" w:hAnsiTheme="minorHAnsi" w:cstheme="minorHAnsi"/>
                <w:i/>
                <w:color w:val="3B3838" w:themeColor="background2" w:themeShade="40"/>
                <w:sz w:val="16"/>
                <w:szCs w:val="16"/>
              </w:rPr>
              <w:t xml:space="preserve"> and underpin local livelihoods: Cunene,</w:t>
            </w:r>
            <w:r w:rsidRPr="00CE1EA7">
              <w:rPr>
                <w:rFonts w:asciiTheme="minorHAnsi" w:hAnsiTheme="minorHAnsi" w:cstheme="minorHAnsi"/>
                <w:i/>
                <w:color w:val="3B3838" w:themeColor="background2" w:themeShade="40"/>
                <w:sz w:val="16"/>
                <w:szCs w:val="16"/>
              </w:rPr>
              <w:t xml:space="preserve"> Cuvela</w:t>
            </w:r>
            <w:r>
              <w:rPr>
                <w:rFonts w:asciiTheme="minorHAnsi" w:hAnsiTheme="minorHAnsi" w:cstheme="minorHAnsi"/>
                <w:i/>
                <w:color w:val="3B3838" w:themeColor="background2" w:themeShade="40"/>
                <w:sz w:val="16"/>
                <w:szCs w:val="16"/>
              </w:rPr>
              <w:t>i (</w:t>
            </w:r>
            <w:r w:rsidRPr="00CE1EA7">
              <w:rPr>
                <w:rFonts w:asciiTheme="minorHAnsi" w:hAnsiTheme="minorHAnsi" w:cstheme="minorHAnsi"/>
                <w:i/>
                <w:color w:val="3B3838" w:themeColor="background2" w:themeShade="40"/>
                <w:sz w:val="16"/>
                <w:szCs w:val="16"/>
              </w:rPr>
              <w:t xml:space="preserve">known as Cahama-Etosha on the </w:t>
            </w:r>
            <w:r>
              <w:rPr>
                <w:rFonts w:asciiTheme="minorHAnsi" w:hAnsiTheme="minorHAnsi" w:cstheme="minorHAnsi"/>
                <w:i/>
                <w:color w:val="3B3838" w:themeColor="background2" w:themeShade="40"/>
                <w:sz w:val="16"/>
                <w:szCs w:val="16"/>
              </w:rPr>
              <w:t>Namibia</w:t>
            </w:r>
            <w:r w:rsidRPr="00CE1EA7">
              <w:rPr>
                <w:rFonts w:asciiTheme="minorHAnsi" w:hAnsiTheme="minorHAnsi" w:cstheme="minorHAnsi"/>
                <w:i/>
                <w:color w:val="3B3838" w:themeColor="background2" w:themeShade="40"/>
                <w:sz w:val="16"/>
                <w:szCs w:val="16"/>
              </w:rPr>
              <w:t xml:space="preserve"> side</w:t>
            </w:r>
            <w:r>
              <w:rPr>
                <w:rFonts w:asciiTheme="minorHAnsi" w:hAnsiTheme="minorHAnsi" w:cstheme="minorHAnsi"/>
                <w:i/>
                <w:color w:val="3B3838" w:themeColor="background2" w:themeShade="40"/>
                <w:sz w:val="16"/>
                <w:szCs w:val="16"/>
              </w:rPr>
              <w:t>) and</w:t>
            </w:r>
            <w:r w:rsidRPr="00CE1EA7">
              <w:rPr>
                <w:rFonts w:asciiTheme="minorHAnsi" w:hAnsiTheme="minorHAnsi" w:cstheme="minorHAnsi"/>
                <w:i/>
                <w:color w:val="3B3838" w:themeColor="background2" w:themeShade="40"/>
                <w:sz w:val="16"/>
                <w:szCs w:val="16"/>
              </w:rPr>
              <w:t xml:space="preserve"> Okavango</w:t>
            </w:r>
            <w:r>
              <w:rPr>
                <w:rFonts w:asciiTheme="minorHAnsi" w:hAnsiTheme="minorHAnsi" w:cstheme="minorHAnsi"/>
                <w:i/>
                <w:color w:val="3B3838" w:themeColor="background2" w:themeShade="40"/>
                <w:sz w:val="16"/>
                <w:szCs w:val="16"/>
              </w:rPr>
              <w:t>.</w:t>
            </w:r>
          </w:p>
        </w:tc>
        <w:tc>
          <w:tcPr>
            <w:tcW w:w="0" w:type="auto"/>
            <w:tcMar>
              <w:left w:w="57" w:type="dxa"/>
              <w:right w:w="0" w:type="dxa"/>
            </w:tcMar>
          </w:tcPr>
          <w:p w14:paraId="6F9FBD92" w14:textId="77777777" w:rsidR="0002632D" w:rsidRPr="00307ADD" w:rsidRDefault="0002632D" w:rsidP="00863159">
            <w:pPr>
              <w:pBdr>
                <w:bottom w:val="single" w:sz="6" w:space="1" w:color="auto"/>
              </w:pBdr>
              <w:spacing w:after="160"/>
              <w:rPr>
                <w:rFonts w:asciiTheme="minorHAnsi" w:hAnsiTheme="minorHAnsi" w:cstheme="minorHAnsi"/>
                <w:color w:val="3B3838" w:themeColor="background2" w:themeShade="40"/>
              </w:rPr>
            </w:pPr>
            <w:r w:rsidRPr="00230679">
              <w:rPr>
                <w:rFonts w:asciiTheme="minorHAnsi" w:hAnsiTheme="minorHAnsi" w:cstheme="minorHAnsi"/>
                <w:b/>
                <w:color w:val="3B3838" w:themeColor="background2" w:themeShade="40"/>
                <w:sz w:val="21"/>
                <w:szCs w:val="21"/>
              </w:rPr>
              <w:t>[B]</w:t>
            </w:r>
            <w:r>
              <w:rPr>
                <w:rFonts w:asciiTheme="minorHAnsi" w:hAnsiTheme="minorHAnsi" w:cstheme="minorHAnsi"/>
                <w:color w:val="3B3838" w:themeColor="background2" w:themeShade="40"/>
              </w:rPr>
              <w:t xml:space="preserve"> </w:t>
            </w:r>
            <w:r>
              <w:rPr>
                <w:rFonts w:asciiTheme="minorHAnsi" w:hAnsiTheme="minorHAnsi" w:cstheme="minorHAnsi"/>
                <w:i/>
                <w:color w:val="3B3838" w:themeColor="background2" w:themeShade="40"/>
                <w:sz w:val="16"/>
                <w:szCs w:val="16"/>
              </w:rPr>
              <w:t>S</w:t>
            </w:r>
            <w:r w:rsidRPr="00CE1EA7">
              <w:rPr>
                <w:rFonts w:asciiTheme="minorHAnsi" w:hAnsiTheme="minorHAnsi" w:cstheme="minorHAnsi"/>
                <w:i/>
                <w:color w:val="3B3838" w:themeColor="background2" w:themeShade="40"/>
                <w:sz w:val="16"/>
                <w:szCs w:val="16"/>
              </w:rPr>
              <w:t>outhern Angola is a vast area dominated by transboundary river basins that include the Cunene, Cahama-Etosha, Okavango and</w:t>
            </w:r>
            <w:r>
              <w:rPr>
                <w:rFonts w:asciiTheme="minorHAnsi" w:hAnsiTheme="minorHAnsi" w:cstheme="minorHAnsi"/>
                <w:i/>
                <w:color w:val="3B3838" w:themeColor="background2" w:themeShade="40"/>
                <w:sz w:val="16"/>
                <w:szCs w:val="16"/>
              </w:rPr>
              <w:t>,</w:t>
            </w:r>
            <w:r w:rsidRPr="00CE1EA7">
              <w:rPr>
                <w:rFonts w:asciiTheme="minorHAnsi" w:hAnsiTheme="minorHAnsi" w:cstheme="minorHAnsi"/>
                <w:i/>
                <w:color w:val="3B3838" w:themeColor="background2" w:themeShade="40"/>
                <w:sz w:val="16"/>
                <w:szCs w:val="16"/>
              </w:rPr>
              <w:t xml:space="preserve"> </w:t>
            </w:r>
            <w:r>
              <w:rPr>
                <w:rFonts w:asciiTheme="minorHAnsi" w:hAnsiTheme="minorHAnsi" w:cstheme="minorHAnsi"/>
                <w:i/>
                <w:color w:val="3B3838" w:themeColor="background2" w:themeShade="40"/>
                <w:sz w:val="16"/>
                <w:szCs w:val="16"/>
              </w:rPr>
              <w:t xml:space="preserve">as </w:t>
            </w:r>
            <w:r w:rsidRPr="00CE1EA7">
              <w:rPr>
                <w:rFonts w:asciiTheme="minorHAnsi" w:hAnsiTheme="minorHAnsi" w:cstheme="minorHAnsi"/>
                <w:i/>
                <w:color w:val="3B3838" w:themeColor="background2" w:themeShade="40"/>
                <w:sz w:val="16"/>
                <w:szCs w:val="16"/>
              </w:rPr>
              <w:t>par</w:t>
            </w:r>
            <w:r>
              <w:rPr>
                <w:rFonts w:asciiTheme="minorHAnsi" w:hAnsiTheme="minorHAnsi" w:cstheme="minorHAnsi"/>
                <w:i/>
                <w:color w:val="3B3838" w:themeColor="background2" w:themeShade="40"/>
                <w:sz w:val="16"/>
                <w:szCs w:val="16"/>
              </w:rPr>
              <w:t>t of the greater Zambezi r</w:t>
            </w:r>
            <w:r w:rsidRPr="00CE1EA7">
              <w:rPr>
                <w:rFonts w:asciiTheme="minorHAnsi" w:hAnsiTheme="minorHAnsi" w:cstheme="minorHAnsi"/>
                <w:i/>
                <w:color w:val="3B3838" w:themeColor="background2" w:themeShade="40"/>
                <w:sz w:val="16"/>
                <w:szCs w:val="16"/>
              </w:rPr>
              <w:t>iver basin</w:t>
            </w:r>
            <w:r>
              <w:rPr>
                <w:rFonts w:asciiTheme="minorHAnsi" w:hAnsiTheme="minorHAnsi" w:cstheme="minorHAnsi"/>
                <w:i/>
                <w:color w:val="3B3838" w:themeColor="background2" w:themeShade="40"/>
                <w:sz w:val="16"/>
                <w:szCs w:val="16"/>
              </w:rPr>
              <w:t>,</w:t>
            </w:r>
            <w:r w:rsidRPr="00CE1EA7">
              <w:rPr>
                <w:rFonts w:asciiTheme="minorHAnsi" w:hAnsiTheme="minorHAnsi" w:cstheme="minorHAnsi"/>
                <w:i/>
                <w:color w:val="3B3838" w:themeColor="background2" w:themeShade="40"/>
                <w:sz w:val="16"/>
                <w:szCs w:val="16"/>
              </w:rPr>
              <w:t xml:space="preserve"> Cuando</w:t>
            </w:r>
            <w:r>
              <w:rPr>
                <w:rFonts w:asciiTheme="minorHAnsi" w:hAnsiTheme="minorHAnsi" w:cstheme="minorHAnsi"/>
                <w:i/>
                <w:color w:val="3B3838" w:themeColor="background2" w:themeShade="40"/>
                <w:sz w:val="16"/>
                <w:szCs w:val="16"/>
              </w:rPr>
              <w:t xml:space="preserve"> Cubango</w:t>
            </w:r>
            <w:r w:rsidRPr="00CE1EA7">
              <w:rPr>
                <w:rFonts w:asciiTheme="minorHAnsi" w:hAnsiTheme="minorHAnsi" w:cstheme="minorHAnsi"/>
                <w:i/>
                <w:color w:val="3B3838" w:themeColor="background2" w:themeShade="40"/>
                <w:sz w:val="16"/>
                <w:szCs w:val="16"/>
              </w:rPr>
              <w:t>.</w:t>
            </w:r>
          </w:p>
        </w:tc>
      </w:tr>
    </w:tbl>
    <w:p w14:paraId="44AD3CB0" w14:textId="77777777" w:rsidR="0002632D" w:rsidRPr="003C7413" w:rsidRDefault="0002632D" w:rsidP="0002632D">
      <w:pPr>
        <w:pStyle w:val="paragraph"/>
        <w:shd w:val="clear" w:color="auto" w:fill="FFFFFF"/>
        <w:spacing w:before="0" w:beforeAutospacing="0" w:after="160" w:afterAutospacing="0"/>
        <w:jc w:val="both"/>
        <w:textAlignment w:val="baseline"/>
        <w:rPr>
          <w:rStyle w:val="apple-converted-space"/>
          <w:highlight w:val="yellow"/>
        </w:rPr>
      </w:pPr>
    </w:p>
    <w:p w14:paraId="09F9ABB2" w14:textId="3F58A078" w:rsidR="003C7413" w:rsidRPr="003C7413" w:rsidRDefault="003C7413" w:rsidP="001667C6">
      <w:pPr>
        <w:pStyle w:val="paragraph"/>
        <w:numPr>
          <w:ilvl w:val="0"/>
          <w:numId w:val="102"/>
        </w:numPr>
        <w:shd w:val="clear" w:color="auto" w:fill="FFFFFF"/>
        <w:spacing w:before="0" w:beforeAutospacing="0" w:after="160" w:afterAutospacing="0"/>
        <w:jc w:val="both"/>
        <w:textAlignment w:val="baseline"/>
        <w:rPr>
          <w:rFonts w:ascii="Calibri" w:hAnsi="Calibri" w:cs="Calibri"/>
          <w:sz w:val="21"/>
          <w:szCs w:val="21"/>
          <w:highlight w:val="yellow"/>
        </w:rPr>
      </w:pPr>
      <w:r w:rsidRPr="003C7413">
        <w:rPr>
          <w:rStyle w:val="normaltextrun"/>
          <w:b/>
          <w:bCs/>
          <w:highlight w:val="yellow"/>
        </w:rPr>
        <w:t>Eco-system</w:t>
      </w:r>
      <w:r w:rsidRPr="003C7413">
        <w:rPr>
          <w:rStyle w:val="apple-converted-space"/>
          <w:b/>
          <w:bCs/>
          <w:highlight w:val="yellow"/>
        </w:rPr>
        <w:t> </w:t>
      </w:r>
      <w:r w:rsidRPr="003C7413">
        <w:rPr>
          <w:rStyle w:val="normaltextrun"/>
          <w:b/>
          <w:bCs/>
          <w:highlight w:val="yellow"/>
        </w:rPr>
        <w:t>services</w:t>
      </w:r>
      <w:r w:rsidRPr="003C7413">
        <w:rPr>
          <w:rStyle w:val="normaltextrun"/>
          <w:highlight w:val="yellow"/>
        </w:rPr>
        <w:t xml:space="preserve">: The remaining Miombo-Mopane woodlands provide vital </w:t>
      </w:r>
      <w:r w:rsidR="009563B4" w:rsidRPr="003C7413" w:rsidDel="00C65B1A">
        <w:rPr>
          <w:rStyle w:val="normaltextrun"/>
          <w:highlight w:val="yellow"/>
        </w:rPr>
        <w:t xml:space="preserve">ecosystem services </w:t>
      </w:r>
      <w:r w:rsidRPr="003C7413">
        <w:rPr>
          <w:rStyle w:val="normaltextrun"/>
          <w:highlight w:val="yellow"/>
        </w:rPr>
        <w:t>(</w:t>
      </w:r>
      <w:r w:rsidR="009563B4" w:rsidRPr="003C7413" w:rsidDel="00C65B1A">
        <w:rPr>
          <w:rStyle w:val="normaltextrun"/>
          <w:highlight w:val="yellow"/>
        </w:rPr>
        <w:t>including water, food, nutrition, shelter,</w:t>
      </w:r>
      <w:r w:rsidRPr="003C7413">
        <w:rPr>
          <w:rStyle w:val="apple-converted-space"/>
          <w:highlight w:val="yellow"/>
        </w:rPr>
        <w:t> </w:t>
      </w:r>
      <w:r w:rsidR="009563B4" w:rsidRPr="003C7413" w:rsidDel="00C65B1A">
        <w:rPr>
          <w:rStyle w:val="normaltextrun"/>
          <w:highlight w:val="yellow"/>
        </w:rPr>
        <w:t>medicine</w:t>
      </w:r>
      <w:r w:rsidRPr="003C7413">
        <w:rPr>
          <w:rStyle w:val="apple-converted-space"/>
          <w:highlight w:val="yellow"/>
        </w:rPr>
        <w:t> </w:t>
      </w:r>
      <w:r w:rsidR="00603E2E" w:rsidRPr="003C7413" w:rsidDel="00C65B1A">
        <w:rPr>
          <w:rStyle w:val="normaltextrun"/>
          <w:highlight w:val="yellow"/>
        </w:rPr>
        <w:t>and</w:t>
      </w:r>
      <w:r w:rsidR="009563B4" w:rsidRPr="003C7413" w:rsidDel="00C65B1A">
        <w:rPr>
          <w:rStyle w:val="normaltextrun"/>
          <w:highlight w:val="yellow"/>
        </w:rPr>
        <w:t xml:space="preserve"> fiber</w:t>
      </w:r>
      <w:r w:rsidRPr="003C7413">
        <w:rPr>
          <w:rStyle w:val="normaltextrun"/>
          <w:highlight w:val="yellow"/>
        </w:rPr>
        <w:t>).</w:t>
      </w:r>
      <w:r w:rsidR="009563B4" w:rsidRPr="003C7413" w:rsidDel="00C65B1A">
        <w:rPr>
          <w:rStyle w:val="normaltextrun"/>
          <w:highlight w:val="yellow"/>
        </w:rPr>
        <w:t xml:space="preserve"> Healthy </w:t>
      </w:r>
      <w:r w:rsidR="00D03BCD" w:rsidRPr="003C7413" w:rsidDel="00C65B1A">
        <w:rPr>
          <w:rStyle w:val="normaltextrun"/>
          <w:highlight w:val="yellow"/>
        </w:rPr>
        <w:t>woodlands</w:t>
      </w:r>
      <w:r w:rsidR="009563B4" w:rsidRPr="003C7413" w:rsidDel="00C65B1A">
        <w:rPr>
          <w:rStyle w:val="normaltextrun"/>
          <w:highlight w:val="yellow"/>
        </w:rPr>
        <w:t xml:space="preserve"> </w:t>
      </w:r>
      <w:r w:rsidR="00D03BCD" w:rsidRPr="003C7413" w:rsidDel="00C65B1A">
        <w:rPr>
          <w:rStyle w:val="normaltextrun"/>
          <w:highlight w:val="yellow"/>
        </w:rPr>
        <w:t xml:space="preserve">provide </w:t>
      </w:r>
      <w:r w:rsidR="009563B4" w:rsidRPr="003C7413" w:rsidDel="00C65B1A">
        <w:rPr>
          <w:rStyle w:val="normaltextrun"/>
          <w:highlight w:val="yellow"/>
        </w:rPr>
        <w:t>game</w:t>
      </w:r>
      <w:r w:rsidR="00D03BCD" w:rsidRPr="003C7413" w:rsidDel="00C65B1A">
        <w:rPr>
          <w:rStyle w:val="normaltextrun"/>
          <w:highlight w:val="yellow"/>
        </w:rPr>
        <w:t xml:space="preserve">, timber and a variety of </w:t>
      </w:r>
      <w:r w:rsidR="009563B4" w:rsidRPr="003C7413" w:rsidDel="00C65B1A">
        <w:rPr>
          <w:rStyle w:val="normaltextrun"/>
          <w:highlight w:val="yellow"/>
        </w:rPr>
        <w:t>non-timber forest products (NTFP</w:t>
      </w:r>
      <w:r w:rsidR="00D03BCD" w:rsidRPr="003C7413" w:rsidDel="00C65B1A">
        <w:rPr>
          <w:rStyle w:val="normaltextrun"/>
          <w:highlight w:val="yellow"/>
        </w:rPr>
        <w:t>s</w:t>
      </w:r>
      <w:r w:rsidRPr="003C7413">
        <w:rPr>
          <w:rStyle w:val="normaltextrun"/>
          <w:highlight w:val="yellow"/>
        </w:rPr>
        <w:t>), including</w:t>
      </w:r>
      <w:r w:rsidR="009563B4" w:rsidRPr="003C7413" w:rsidDel="00C65B1A">
        <w:rPr>
          <w:rStyle w:val="normaltextrun"/>
          <w:highlight w:val="yellow"/>
        </w:rPr>
        <w:t xml:space="preserve"> honey, edible mushrooms and vari</w:t>
      </w:r>
      <w:r w:rsidR="003E7E7C" w:rsidRPr="003C7413" w:rsidDel="00C65B1A">
        <w:rPr>
          <w:rStyle w:val="normaltextrun"/>
          <w:highlight w:val="yellow"/>
        </w:rPr>
        <w:t>ous</w:t>
      </w:r>
      <w:r w:rsidR="009563B4" w:rsidRPr="003C7413" w:rsidDel="00C65B1A">
        <w:rPr>
          <w:rStyle w:val="normaltextrun"/>
          <w:highlight w:val="yellow"/>
        </w:rPr>
        <w:t xml:space="preserve"> wild protein</w:t>
      </w:r>
      <w:r w:rsidR="003E7E7C" w:rsidRPr="003C7413" w:rsidDel="00C65B1A">
        <w:rPr>
          <w:rStyle w:val="normaltextrun"/>
          <w:highlight w:val="yellow"/>
        </w:rPr>
        <w:t xml:space="preserve"> </w:t>
      </w:r>
      <w:r w:rsidR="00603E2E" w:rsidRPr="003C7413" w:rsidDel="00C65B1A">
        <w:rPr>
          <w:rStyle w:val="normaltextrun"/>
          <w:highlight w:val="yellow"/>
        </w:rPr>
        <w:t xml:space="preserve">sources </w:t>
      </w:r>
      <w:r w:rsidR="003E7E7C" w:rsidRPr="003C7413" w:rsidDel="00C65B1A">
        <w:rPr>
          <w:rStyle w:val="normaltextrun"/>
          <w:highlight w:val="yellow"/>
        </w:rPr>
        <w:t>(</w:t>
      </w:r>
      <w:r w:rsidR="003E7E7C" w:rsidRPr="003C7413" w:rsidDel="00C65B1A">
        <w:rPr>
          <w:rStyle w:val="normaltextrun"/>
          <w:highlight w:val="yellow"/>
          <w:shd w:val="clear" w:color="auto" w:fill="FFE5E5"/>
        </w:rPr>
        <w:t>e.g.</w:t>
      </w:r>
      <w:r w:rsidRPr="003C7413">
        <w:rPr>
          <w:rStyle w:val="normaltextrun"/>
          <w:highlight w:val="yellow"/>
          <w:shd w:val="clear" w:color="auto" w:fill="FFE5E5"/>
        </w:rPr>
        <w:t xml:space="preserve"> mopane</w:t>
      </w:r>
      <w:r w:rsidRPr="003C7413">
        <w:rPr>
          <w:rStyle w:val="apple-converted-space"/>
          <w:highlight w:val="yellow"/>
        </w:rPr>
        <w:t> </w:t>
      </w:r>
      <w:r w:rsidRPr="003C7413">
        <w:rPr>
          <w:rStyle w:val="normaltextrun"/>
          <w:highlight w:val="yellow"/>
        </w:rPr>
        <w:t>worms, now popular in Angola).</w:t>
      </w:r>
      <w:r w:rsidRPr="003C7413">
        <w:rPr>
          <w:rStyle w:val="apple-converted-space"/>
          <w:highlight w:val="yellow"/>
        </w:rPr>
        <w:t> </w:t>
      </w:r>
      <w:r w:rsidR="00A85DEA">
        <w:rPr>
          <w:rStyle w:val="apple-converted-space"/>
          <w:highlight w:val="yellow"/>
        </w:rPr>
        <w:t>Woodfuel</w:t>
      </w:r>
      <w:r w:rsidRPr="003C7413">
        <w:rPr>
          <w:rStyle w:val="apple-converted-space"/>
          <w:highlight w:val="yellow"/>
        </w:rPr>
        <w:t xml:space="preserve"> </w:t>
      </w:r>
      <w:r w:rsidRPr="003C7413">
        <w:rPr>
          <w:rStyle w:val="normaltextrun"/>
          <w:highlight w:val="yellow"/>
        </w:rPr>
        <w:t>provides both required energy for cooking daily meals (firewood</w:t>
      </w:r>
      <w:r w:rsidRPr="003C7413">
        <w:rPr>
          <w:rStyle w:val="scxw91214950"/>
          <w:rFonts w:ascii="Calibri" w:hAnsi="Calibri" w:cs="Calibri"/>
          <w:sz w:val="21"/>
          <w:szCs w:val="21"/>
          <w:highlight w:val="yellow"/>
          <w:shd w:val="clear" w:color="auto" w:fill="FFFF00"/>
          <w:vertAlign w:val="superscript"/>
          <w:lang w:val="en-US"/>
        </w:rPr>
        <w:t>8</w:t>
      </w:r>
      <w:r w:rsidRPr="003C7413">
        <w:rPr>
          <w:rStyle w:val="normaltextrun"/>
          <w:highlight w:val="yellow"/>
        </w:rPr>
        <w:t xml:space="preserve">) </w:t>
      </w:r>
      <w:r w:rsidR="00A85DEA">
        <w:rPr>
          <w:rStyle w:val="normaltextrun"/>
          <w:highlight w:val="yellow"/>
        </w:rPr>
        <w:t xml:space="preserve">as well as an </w:t>
      </w:r>
      <w:r w:rsidRPr="003C7413">
        <w:rPr>
          <w:rStyle w:val="normaltextrun"/>
          <w:highlight w:val="yellow"/>
        </w:rPr>
        <w:t>income- generating activity for an increasing number of</w:t>
      </w:r>
      <w:r w:rsidRPr="003C7413">
        <w:rPr>
          <w:rStyle w:val="apple-converted-space"/>
          <w:highlight w:val="yellow"/>
        </w:rPr>
        <w:t> </w:t>
      </w:r>
      <w:r w:rsidRPr="003C7413">
        <w:rPr>
          <w:rStyle w:val="normaltextrun"/>
          <w:highlight w:val="yellow"/>
        </w:rPr>
        <w:t>predominantly</w:t>
      </w:r>
      <w:r w:rsidRPr="003C7413">
        <w:rPr>
          <w:rStyle w:val="apple-converted-space"/>
          <w:highlight w:val="yellow"/>
        </w:rPr>
        <w:t> </w:t>
      </w:r>
      <w:r w:rsidRPr="003C7413">
        <w:rPr>
          <w:rStyle w:val="normaltextrun"/>
          <w:highlight w:val="yellow"/>
        </w:rPr>
        <w:t>rural poor that engage in charcoal production. Hence, safeguarding the continuity of ecosystem services from Miombo-Mopane woodlands is essential for the livelihoods of local communities in southern Angola. If local habitats are managed sustainably, multiple livelihood objectives can be</w:t>
      </w:r>
      <w:r w:rsidRPr="003C7413">
        <w:rPr>
          <w:rStyle w:val="apple-converted-space"/>
          <w:highlight w:val="yellow"/>
        </w:rPr>
        <w:t xml:space="preserve"> </w:t>
      </w:r>
      <w:r w:rsidRPr="003C7413">
        <w:rPr>
          <w:rStyle w:val="normaltextrun"/>
          <w:highlight w:val="yellow"/>
        </w:rPr>
        <w:t>achieved</w:t>
      </w:r>
      <w:r w:rsidRPr="003C7413">
        <w:rPr>
          <w:rStyle w:val="apple-converted-space"/>
          <w:highlight w:val="yellow"/>
        </w:rPr>
        <w:t xml:space="preserve"> </w:t>
      </w:r>
      <w:r w:rsidRPr="003C7413">
        <w:rPr>
          <w:rStyle w:val="normaltextrun"/>
          <w:highlight w:val="yellow"/>
        </w:rPr>
        <w:t>and land degradation counteracted. Over 1.0 million people are estimated to live in the Miombo-Mopane dominated rural areas of Cunene and</w:t>
      </w:r>
      <w:r w:rsidRPr="003C7413">
        <w:rPr>
          <w:rStyle w:val="apple-converted-space"/>
          <w:highlight w:val="yellow"/>
        </w:rPr>
        <w:t xml:space="preserve"> </w:t>
      </w:r>
      <w:r w:rsidRPr="003C7413">
        <w:rPr>
          <w:rStyle w:val="normaltextrun"/>
          <w:highlight w:val="yellow"/>
        </w:rPr>
        <w:t>Cuando</w:t>
      </w:r>
      <w:r w:rsidRPr="003C7413">
        <w:rPr>
          <w:rStyle w:val="apple-converted-space"/>
          <w:highlight w:val="yellow"/>
        </w:rPr>
        <w:t> </w:t>
      </w:r>
      <w:r w:rsidRPr="003C7413">
        <w:rPr>
          <w:rStyle w:val="normaltextrun"/>
          <w:highlight w:val="yellow"/>
        </w:rPr>
        <w:t>Cubango</w:t>
      </w:r>
      <w:r w:rsidRPr="003C7413">
        <w:rPr>
          <w:rStyle w:val="apple-converted-space"/>
          <w:highlight w:val="yellow"/>
        </w:rPr>
        <w:t> </w:t>
      </w:r>
      <w:r w:rsidRPr="003C7413">
        <w:rPr>
          <w:rStyle w:val="normaltextrun"/>
          <w:highlight w:val="yellow"/>
        </w:rPr>
        <w:t>provinces.</w:t>
      </w:r>
      <w:r w:rsidRPr="003C7413">
        <w:rPr>
          <w:rStyle w:val="apple-converted-space"/>
          <w:highlight w:val="yellow"/>
        </w:rPr>
        <w:t xml:space="preserve"> </w:t>
      </w:r>
      <w:r w:rsidRPr="003C7413">
        <w:rPr>
          <w:rStyle w:val="normaltextrun"/>
          <w:highlight w:val="yellow"/>
        </w:rPr>
        <w:t>Another</w:t>
      </w:r>
      <w:r w:rsidRPr="003C7413">
        <w:rPr>
          <w:rStyle w:val="apple-converted-space"/>
          <w:highlight w:val="yellow"/>
        </w:rPr>
        <w:t xml:space="preserve"> </w:t>
      </w:r>
      <w:r w:rsidRPr="003C7413">
        <w:rPr>
          <w:rStyle w:val="normaltextrun"/>
          <w:highlight w:val="yellow"/>
        </w:rPr>
        <w:t>1.8 million live in the rural areas of</w:t>
      </w:r>
      <w:r w:rsidRPr="003C7413">
        <w:rPr>
          <w:rStyle w:val="apple-converted-space"/>
          <w:highlight w:val="yellow"/>
        </w:rPr>
        <w:t xml:space="preserve"> </w:t>
      </w:r>
      <w:r w:rsidRPr="003C7413">
        <w:rPr>
          <w:rStyle w:val="normaltextrun"/>
          <w:highlight w:val="yellow"/>
        </w:rPr>
        <w:t>Huíla</w:t>
      </w:r>
      <w:r w:rsidRPr="003C7413">
        <w:rPr>
          <w:rStyle w:val="apple-converted-space"/>
          <w:highlight w:val="yellow"/>
        </w:rPr>
        <w:t xml:space="preserve"> </w:t>
      </w:r>
      <w:r w:rsidRPr="003C7413">
        <w:rPr>
          <w:rStyle w:val="normaltextrun"/>
          <w:highlight w:val="yellow"/>
        </w:rPr>
        <w:t>Province, which is Angola’s ‘Miombo heartland’, together with</w:t>
      </w:r>
      <w:r w:rsidRPr="003C7413">
        <w:rPr>
          <w:rStyle w:val="apple-converted-space"/>
          <w:highlight w:val="yellow"/>
        </w:rPr>
        <w:t> </w:t>
      </w:r>
      <w:r w:rsidRPr="003C7413">
        <w:rPr>
          <w:rStyle w:val="normaltextrun"/>
          <w:highlight w:val="yellow"/>
        </w:rPr>
        <w:t>Bié</w:t>
      </w:r>
      <w:r w:rsidRPr="003C7413">
        <w:rPr>
          <w:rStyle w:val="apple-converted-space"/>
          <w:highlight w:val="yellow"/>
        </w:rPr>
        <w:t> </w:t>
      </w:r>
      <w:r w:rsidRPr="003C7413">
        <w:rPr>
          <w:rStyle w:val="normaltextrun"/>
          <w:highlight w:val="yellow"/>
        </w:rPr>
        <w:t>and</w:t>
      </w:r>
      <w:r w:rsidRPr="003C7413">
        <w:rPr>
          <w:rStyle w:val="apple-converted-space"/>
          <w:highlight w:val="yellow"/>
        </w:rPr>
        <w:t> </w:t>
      </w:r>
      <w:r w:rsidRPr="003C7413">
        <w:rPr>
          <w:rStyle w:val="normaltextrun"/>
          <w:highlight w:val="yellow"/>
        </w:rPr>
        <w:t>Moxico</w:t>
      </w:r>
      <w:r w:rsidRPr="003C7413">
        <w:rPr>
          <w:rStyle w:val="apple-converted-space"/>
          <w:highlight w:val="yellow"/>
        </w:rPr>
        <w:t> </w:t>
      </w:r>
      <w:r w:rsidRPr="003C7413">
        <w:rPr>
          <w:rStyle w:val="normaltextrun"/>
          <w:highlight w:val="yellow"/>
        </w:rPr>
        <w:t>provinces (Figure 1A). Miombo-Mopane woodland ecosystems are naturally resilient and may recover from disturbances – if land is managed sustainably and landscapes maintained productive, with parts dedicated to conservation.</w:t>
      </w:r>
      <w:r w:rsidRPr="003C7413">
        <w:rPr>
          <w:rStyle w:val="apple-converted-space"/>
          <w:bCs/>
          <w:highlight w:val="yellow"/>
        </w:rPr>
        <w:t> </w:t>
      </w:r>
    </w:p>
    <w:p w14:paraId="4A3C855C" w14:textId="2A32B5F6" w:rsidR="003C7413" w:rsidRPr="003C7413" w:rsidRDefault="003C7413" w:rsidP="001667C6">
      <w:pPr>
        <w:pStyle w:val="paragraph"/>
        <w:numPr>
          <w:ilvl w:val="0"/>
          <w:numId w:val="102"/>
        </w:numPr>
        <w:shd w:val="clear" w:color="auto" w:fill="FFFFFF"/>
        <w:spacing w:before="0" w:beforeAutospacing="0" w:after="160" w:afterAutospacing="0"/>
        <w:jc w:val="both"/>
        <w:textAlignment w:val="baseline"/>
        <w:rPr>
          <w:rStyle w:val="normaltextrun"/>
          <w:highlight w:val="yellow"/>
        </w:rPr>
      </w:pPr>
      <w:r w:rsidRPr="003C7413">
        <w:rPr>
          <w:rStyle w:val="normaltextrun"/>
          <w:b/>
          <w:bCs/>
          <w:highlight w:val="yellow"/>
        </w:rPr>
        <w:t>Biodiversity conservation</w:t>
      </w:r>
      <w:r w:rsidRPr="003C7413">
        <w:rPr>
          <w:rStyle w:val="normaltextrun"/>
          <w:highlight w:val="yellow"/>
        </w:rPr>
        <w:t>: Within the context of Angola’s biodiversity, including its ecosystems that provide culturally, socially and economically valuable goods and services, globally important hotspots of key biodiversity (KBAs) have been identified under the KBA Partnership and these are shown in Figure 3A in relation to the two target sub-basins, Cuchi-Okavango (1) and Cahama-Cunene (2). Sub-basin 1 partly overlaps Kulei KBA, which is under direct pressure from this production landscape from such threats as upstream pollutants (e.g. sediment, fertilizers, pesticides) entering the river that flows through the KBA, encroachment and colonization of exotic and/or invasive plants. Examples of encroachment are all too evident, as shown in Figure 3B, and examined further in Section 1.2 under of forest fragmentation. In the case of Sub-</w:t>
      </w:r>
      <w:r w:rsidRPr="003C7413">
        <w:rPr>
          <w:rStyle w:val="normaltextrun"/>
          <w:highlight w:val="yellow"/>
        </w:rPr>
        <w:lastRenderedPageBreak/>
        <w:t xml:space="preserve">basin 2, catchments on either side include several protected KBAs (ie. national parks). Here pressures on these KBAs from production systems are better contained by topography and the challenge concerns maintaining or restoring opportunities for genetic exchange between populations of wild plants and animals in isolated protected areas through buffers, ecological corridors and stepping stones. Thus, both target areas provide major opportunities for demonstrating how pressures and threats on neighbouring refuges of biodiversity can be contained and reduced through SLM/SFM practices. The future integrity of the PAs system in Angola, comprising 14 sites (87,507 km2) and covering just 7% of the country (terrestrial), will depend increasingly on sustainable landscape management approaches, even with modest expansion of the PAs system. Hence, the vital </w:t>
      </w:r>
      <w:r w:rsidRPr="003C7413">
        <w:rPr>
          <w:rStyle w:val="normaltextrun"/>
          <w:rFonts w:hint="eastAsia"/>
          <w:highlight w:val="yellow"/>
        </w:rPr>
        <w:t>importance</w:t>
      </w:r>
      <w:r w:rsidRPr="003C7413">
        <w:rPr>
          <w:rStyle w:val="normaltextrun"/>
          <w:highlight w:val="yellow"/>
        </w:rPr>
        <w:t xml:space="preserve"> of demonstrating how this can be </w:t>
      </w:r>
      <w:r w:rsidRPr="003C7413">
        <w:rPr>
          <w:rStyle w:val="normaltextrun"/>
          <w:rFonts w:hint="eastAsia"/>
          <w:highlight w:val="yellow"/>
        </w:rPr>
        <w:t>achieved</w:t>
      </w:r>
      <w:r w:rsidRPr="003C7413">
        <w:rPr>
          <w:rStyle w:val="normaltextrun"/>
          <w:highlight w:val="yellow"/>
        </w:rPr>
        <w:t xml:space="preserve"> in these target landscapes, where replication post-project will be equally vital.</w:t>
      </w:r>
    </w:p>
    <w:p w14:paraId="0ED4EF05" w14:textId="77777777" w:rsidR="003C7413" w:rsidRPr="005F0FC0" w:rsidRDefault="003C7413" w:rsidP="003C7413">
      <w:pPr>
        <w:pStyle w:val="paragraph"/>
        <w:spacing w:before="0" w:beforeAutospacing="0" w:after="0" w:afterAutospacing="0"/>
        <w:jc w:val="center"/>
        <w:textAlignment w:val="baseline"/>
        <w:rPr>
          <w:rFonts w:ascii="Segoe UI" w:hAnsi="Segoe UI" w:cs="Segoe UI"/>
          <w:b/>
          <w:bCs/>
          <w:i/>
          <w:iCs/>
          <w:sz w:val="22"/>
          <w:szCs w:val="22"/>
        </w:rPr>
      </w:pPr>
      <w:r w:rsidRPr="00E3699D">
        <w:rPr>
          <w:rStyle w:val="normaltextrun"/>
          <w:i/>
          <w:sz w:val="22"/>
          <w:szCs w:val="22"/>
        </w:rPr>
        <w:t>Figure</w:t>
      </w:r>
      <w:r w:rsidRPr="00E3699D">
        <w:rPr>
          <w:rStyle w:val="apple-converted-space"/>
          <w:bCs/>
          <w:i/>
          <w:iCs/>
          <w:sz w:val="22"/>
          <w:szCs w:val="22"/>
        </w:rPr>
        <w:t> </w:t>
      </w:r>
      <w:r w:rsidRPr="00E3699D">
        <w:rPr>
          <w:rStyle w:val="normaltextrun"/>
          <w:i/>
          <w:sz w:val="22"/>
          <w:szCs w:val="22"/>
        </w:rPr>
        <w:t>3</w:t>
      </w:r>
      <w:r w:rsidRPr="005F0FC0">
        <w:rPr>
          <w:rStyle w:val="normaltextrun"/>
          <w:i/>
          <w:sz w:val="22"/>
          <w:szCs w:val="22"/>
        </w:rPr>
        <w:t>. Key Biodiversity Areas, protected areas</w:t>
      </w:r>
      <w:r>
        <w:rPr>
          <w:rStyle w:val="normaltextrun"/>
          <w:i/>
          <w:sz w:val="22"/>
          <w:szCs w:val="22"/>
        </w:rPr>
        <w:t xml:space="preserve"> [A]</w:t>
      </w:r>
      <w:r w:rsidRPr="005F0FC0">
        <w:rPr>
          <w:rStyle w:val="normaltextrun"/>
          <w:i/>
          <w:sz w:val="22"/>
          <w:szCs w:val="22"/>
        </w:rPr>
        <w:t xml:space="preserve"> and encroachment</w:t>
      </w:r>
      <w:r>
        <w:rPr>
          <w:rStyle w:val="normaltextrun"/>
          <w:i/>
          <w:sz w:val="22"/>
          <w:szCs w:val="22"/>
        </w:rPr>
        <w:t xml:space="preserve"> [B]</w:t>
      </w:r>
      <w:r w:rsidRPr="005F0FC0">
        <w:rPr>
          <w:rStyle w:val="normaltextrun"/>
          <w:i/>
          <w:sz w:val="22"/>
          <w:szCs w:val="22"/>
        </w:rPr>
        <w:t xml:space="preserve"> </w:t>
      </w:r>
    </w:p>
    <w:p w14:paraId="19E24911" w14:textId="77777777" w:rsidR="003C7413" w:rsidRPr="00BB5930" w:rsidRDefault="003C7413" w:rsidP="003C7413">
      <w:pPr>
        <w:rPr>
          <w:rFonts w:ascii="-webkit-standard" w:hAnsi="-webkit-standard"/>
          <w:color w:val="000000"/>
          <w:sz w:val="20"/>
          <w:szCs w:val="20"/>
        </w:rPr>
      </w:pPr>
    </w:p>
    <w:tbl>
      <w:tblPr>
        <w:tblStyle w:val="TableGrid"/>
        <w:tblW w:w="0" w:type="auto"/>
        <w:tblLook w:val="04A0" w:firstRow="1" w:lastRow="0" w:firstColumn="1" w:lastColumn="0" w:noHBand="0" w:noVBand="1"/>
      </w:tblPr>
      <w:tblGrid>
        <w:gridCol w:w="4114"/>
        <w:gridCol w:w="4902"/>
      </w:tblGrid>
      <w:tr w:rsidR="003C7413" w14:paraId="0C5BCA92" w14:textId="77777777" w:rsidTr="78C544BE">
        <w:trPr>
          <w:trHeight w:val="795"/>
        </w:trPr>
        <w:tc>
          <w:tcPr>
            <w:tcW w:w="4144" w:type="dxa"/>
            <w:vMerge w:val="restart"/>
            <w:shd w:val="clear" w:color="auto" w:fill="auto"/>
            <w:tcMar>
              <w:top w:w="28" w:type="dxa"/>
              <w:left w:w="28" w:type="dxa"/>
              <w:bottom w:w="28" w:type="dxa"/>
              <w:right w:w="28" w:type="dxa"/>
            </w:tcMar>
          </w:tcPr>
          <w:p w14:paraId="1919D823" w14:textId="77777777" w:rsidR="003C7413" w:rsidRDefault="580A52AE" w:rsidP="0032293C">
            <w:r>
              <w:rPr>
                <w:noProof/>
              </w:rPr>
              <w:drawing>
                <wp:inline distT="0" distB="0" distL="0" distR="0" wp14:anchorId="3312C4B9" wp14:editId="69DC3960">
                  <wp:extent cx="2612380" cy="2628607"/>
                  <wp:effectExtent l="0" t="0" r="444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pic:nvPicPr>
                        <pic:blipFill>
                          <a:blip r:embed="rId29">
                            <a:extLst>
                              <a:ext uri="{28A0092B-C50C-407E-A947-70E740481C1C}">
                                <a14:useLocalDpi xmlns:a14="http://schemas.microsoft.com/office/drawing/2010/main" val="0"/>
                              </a:ext>
                            </a:extLst>
                          </a:blip>
                          <a:stretch>
                            <a:fillRect/>
                          </a:stretch>
                        </pic:blipFill>
                        <pic:spPr>
                          <a:xfrm>
                            <a:off x="0" y="0"/>
                            <a:ext cx="2612380" cy="2628607"/>
                          </a:xfrm>
                          <a:prstGeom prst="rect">
                            <a:avLst/>
                          </a:prstGeom>
                        </pic:spPr>
                      </pic:pic>
                    </a:graphicData>
                  </a:graphic>
                </wp:inline>
              </w:drawing>
            </w:r>
          </w:p>
        </w:tc>
        <w:tc>
          <w:tcPr>
            <w:tcW w:w="4938" w:type="dxa"/>
            <w:shd w:val="clear" w:color="auto" w:fill="auto"/>
            <w:tcMar>
              <w:top w:w="28" w:type="dxa"/>
              <w:left w:w="28" w:type="dxa"/>
              <w:bottom w:w="28" w:type="dxa"/>
              <w:right w:w="28" w:type="dxa"/>
            </w:tcMar>
          </w:tcPr>
          <w:p w14:paraId="0F856AB8" w14:textId="77777777" w:rsidR="003C7413" w:rsidRDefault="003C7413" w:rsidP="0032293C">
            <w:r w:rsidRPr="005F0FC0">
              <w:rPr>
                <w:rStyle w:val="normaltextrun"/>
              </w:rPr>
              <w:t>3</w:t>
            </w:r>
            <w:r>
              <w:rPr>
                <w:rStyle w:val="normaltextrun"/>
              </w:rPr>
              <w:t>A</w:t>
            </w:r>
            <w:r w:rsidRPr="005F0FC0">
              <w:rPr>
                <w:rStyle w:val="normaltextrun"/>
              </w:rPr>
              <w:t>.</w:t>
            </w:r>
            <w:r>
              <w:rPr>
                <w:rStyle w:val="normaltextrun"/>
              </w:rPr>
              <w:t xml:space="preserve"> </w:t>
            </w:r>
            <w:r w:rsidRPr="00907C2E">
              <w:rPr>
                <w:rStyle w:val="normaltextrun"/>
                <w:sz w:val="16"/>
                <w:szCs w:val="16"/>
              </w:rPr>
              <w:t>(left) Angola’s</w:t>
            </w:r>
            <w:r>
              <w:rPr>
                <w:rStyle w:val="normaltextrun"/>
                <w:sz w:val="16"/>
                <w:szCs w:val="16"/>
              </w:rPr>
              <w:t xml:space="preserve"> network of 23 KBAs: 26% of their coverage Is included in its national PAs system. Sub-basin 2 is positioned between 3 protected KBAs (Mupa, Bicuari and Iona national parks) and a fourth PA; and Sub-basin 1 lies in a catchment that flows into an overlapping KBA (Culei).</w:t>
            </w:r>
          </w:p>
        </w:tc>
      </w:tr>
      <w:tr w:rsidR="003C7413" w14:paraId="1EFF9B49" w14:textId="77777777" w:rsidTr="78C544BE">
        <w:trPr>
          <w:trHeight w:val="3034"/>
        </w:trPr>
        <w:tc>
          <w:tcPr>
            <w:tcW w:w="4144" w:type="dxa"/>
            <w:vMerge/>
            <w:tcMar>
              <w:top w:w="28" w:type="dxa"/>
              <w:left w:w="28" w:type="dxa"/>
              <w:bottom w:w="28" w:type="dxa"/>
              <w:right w:w="28" w:type="dxa"/>
            </w:tcMar>
          </w:tcPr>
          <w:p w14:paraId="3876FF95" w14:textId="77777777" w:rsidR="003C7413" w:rsidRDefault="003C7413" w:rsidP="0032293C">
            <w:pPr>
              <w:rPr>
                <w:noProof/>
                <w:lang w:val="en-US"/>
              </w:rPr>
            </w:pPr>
          </w:p>
        </w:tc>
        <w:tc>
          <w:tcPr>
            <w:tcW w:w="4938" w:type="dxa"/>
            <w:tcBorders>
              <w:bottom w:val="single" w:sz="4" w:space="0" w:color="auto"/>
            </w:tcBorders>
            <w:shd w:val="clear" w:color="auto" w:fill="auto"/>
            <w:tcMar>
              <w:top w:w="28" w:type="dxa"/>
              <w:left w:w="28" w:type="dxa"/>
              <w:bottom w:w="28" w:type="dxa"/>
              <w:right w:w="28" w:type="dxa"/>
            </w:tcMar>
          </w:tcPr>
          <w:p w14:paraId="4837C7FA" w14:textId="77777777" w:rsidR="003C7413" w:rsidRDefault="003C7413" w:rsidP="0032293C">
            <w:pPr>
              <w:rPr>
                <w:noProof/>
                <w:szCs w:val="20"/>
                <w:lang w:val="en-US"/>
              </w:rPr>
            </w:pPr>
            <w:r>
              <w:rPr>
                <w:noProof/>
                <w:szCs w:val="20"/>
                <w:lang w:val="en-US"/>
              </w:rPr>
              <w:drawing>
                <wp:inline distT="0" distB="0" distL="0" distR="0" wp14:anchorId="2B92D120" wp14:editId="3A6D7731">
                  <wp:extent cx="3121201" cy="2022231"/>
                  <wp:effectExtent l="0" t="0" r="3175" b="10160"/>
                  <wp:docPr id="9" name="Picture 9"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Map&#10;&#10;Description automatically generated"/>
                          <pic:cNvPicPr/>
                        </pic:nvPicPr>
                        <pic:blipFill>
                          <a:blip r:embed="rId30" cstate="email">
                            <a:extLst>
                              <a:ext uri="{28A0092B-C50C-407E-A947-70E740481C1C}">
                                <a14:useLocalDpi xmlns:a14="http://schemas.microsoft.com/office/drawing/2010/main"/>
                              </a:ext>
                            </a:extLst>
                          </a:blip>
                          <a:stretch>
                            <a:fillRect/>
                          </a:stretch>
                        </pic:blipFill>
                        <pic:spPr bwMode="auto">
                          <a:xfrm>
                            <a:off x="0" y="0"/>
                            <a:ext cx="3123938" cy="2024005"/>
                          </a:xfrm>
                          <a:prstGeom prst="rect">
                            <a:avLst/>
                          </a:prstGeom>
                          <a:ln>
                            <a:noFill/>
                          </a:ln>
                          <a:extLst>
                            <a:ext uri="{53640926-AAD7-44d8-BBD7-CCE9431645EC}">
                              <a14:shadowObscured xmlns:arto="http://schemas.microsoft.com/office/word/2006/arto"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xmlns:ask="http://schemas.microsoft.com/office/drawing/2018/sketchyshapes"/>
                            </a:ext>
                          </a:extLst>
                        </pic:spPr>
                      </pic:pic>
                    </a:graphicData>
                  </a:graphic>
                </wp:inline>
              </w:drawing>
            </w:r>
          </w:p>
        </w:tc>
      </w:tr>
      <w:tr w:rsidR="003C7413" w14:paraId="2B28781D" w14:textId="77777777" w:rsidTr="78C544BE">
        <w:tc>
          <w:tcPr>
            <w:tcW w:w="9082" w:type="dxa"/>
            <w:gridSpan w:val="2"/>
            <w:tcBorders>
              <w:bottom w:val="nil"/>
            </w:tcBorders>
            <w:shd w:val="clear" w:color="auto" w:fill="auto"/>
            <w:tcMar>
              <w:top w:w="28" w:type="dxa"/>
              <w:left w:w="28" w:type="dxa"/>
              <w:bottom w:w="28" w:type="dxa"/>
              <w:right w:w="28" w:type="dxa"/>
            </w:tcMar>
          </w:tcPr>
          <w:p w14:paraId="4EF514B6" w14:textId="77777777" w:rsidR="003C7413" w:rsidRPr="00D12ABE" w:rsidRDefault="003C7413" w:rsidP="0032293C">
            <w:pPr>
              <w:pStyle w:val="paragraph"/>
              <w:spacing w:before="0" w:beforeAutospacing="0" w:after="0" w:afterAutospacing="0"/>
              <w:textAlignment w:val="baseline"/>
              <w:rPr>
                <w:rStyle w:val="normaltextrun"/>
                <w:b/>
              </w:rPr>
            </w:pPr>
            <w:r w:rsidRPr="00D12ABE">
              <w:rPr>
                <w:rStyle w:val="normaltextrun"/>
              </w:rPr>
              <w:t>3B</w:t>
            </w:r>
            <w:r w:rsidRPr="00E3699D">
              <w:rPr>
                <w:rStyle w:val="normaltextrun"/>
              </w:rPr>
              <w:t>.</w:t>
            </w:r>
            <w:r>
              <w:rPr>
                <w:rStyle w:val="normaltextrun"/>
                <w:sz w:val="16"/>
                <w:szCs w:val="16"/>
              </w:rPr>
              <w:t xml:space="preserve"> (</w:t>
            </w:r>
            <w:r w:rsidRPr="00E3699D">
              <w:rPr>
                <w:rStyle w:val="normaltextrun"/>
                <w:sz w:val="16"/>
                <w:szCs w:val="16"/>
              </w:rPr>
              <w:t>right) Encroachment from expansion of small farms along roads and rivers (yellow arrows) and into</w:t>
            </w:r>
            <w:r w:rsidRPr="00E3699D">
              <w:rPr>
                <w:rStyle w:val="apple-converted-space"/>
                <w:sz w:val="16"/>
                <w:szCs w:val="16"/>
              </w:rPr>
              <w:t> </w:t>
            </w:r>
            <w:r w:rsidRPr="00E3699D">
              <w:rPr>
                <w:rStyle w:val="normaltextrun"/>
                <w:sz w:val="16"/>
                <w:szCs w:val="16"/>
              </w:rPr>
              <w:t>Bicuari</w:t>
            </w:r>
            <w:r w:rsidRPr="00E3699D">
              <w:rPr>
                <w:rStyle w:val="apple-converted-space"/>
                <w:sz w:val="16"/>
                <w:szCs w:val="16"/>
              </w:rPr>
              <w:t> </w:t>
            </w:r>
            <w:r w:rsidRPr="00E3699D">
              <w:rPr>
                <w:rStyle w:val="normaltextrun"/>
                <w:sz w:val="16"/>
                <w:szCs w:val="16"/>
              </w:rPr>
              <w:t>National Park</w:t>
            </w:r>
            <w:r w:rsidRPr="00E3699D">
              <w:rPr>
                <w:rStyle w:val="apple-converted-space"/>
                <w:sz w:val="16"/>
                <w:szCs w:val="16"/>
              </w:rPr>
              <w:t> ,</w:t>
            </w:r>
            <w:r w:rsidRPr="00E3699D">
              <w:rPr>
                <w:rStyle w:val="normaltextrun"/>
                <w:sz w:val="16"/>
                <w:szCs w:val="16"/>
              </w:rPr>
              <w:t>north</w:t>
            </w:r>
            <w:r w:rsidRPr="00E3699D">
              <w:rPr>
                <w:rStyle w:val="apple-converted-space"/>
                <w:sz w:val="16"/>
                <w:szCs w:val="16"/>
              </w:rPr>
              <w:t> </w:t>
            </w:r>
            <w:r w:rsidRPr="00E3699D">
              <w:rPr>
                <w:rStyle w:val="normaltextrun"/>
                <w:sz w:val="16"/>
                <w:szCs w:val="16"/>
              </w:rPr>
              <w:t>of</w:t>
            </w:r>
            <w:r w:rsidRPr="00E3699D">
              <w:rPr>
                <w:rStyle w:val="apple-converted-space"/>
                <w:sz w:val="16"/>
                <w:szCs w:val="16"/>
              </w:rPr>
              <w:t> </w:t>
            </w:r>
            <w:r w:rsidRPr="00E3699D">
              <w:rPr>
                <w:rStyle w:val="normaltextrun"/>
                <w:sz w:val="16"/>
                <w:szCs w:val="16"/>
              </w:rPr>
              <w:t>Sub-basin 2, following the end of the Civil War in 2002.</w:t>
            </w:r>
          </w:p>
        </w:tc>
      </w:tr>
      <w:tr w:rsidR="003C7413" w14:paraId="471F2DD3" w14:textId="77777777" w:rsidTr="78C544BE">
        <w:trPr>
          <w:trHeight w:val="1599"/>
        </w:trPr>
        <w:tc>
          <w:tcPr>
            <w:tcW w:w="9082" w:type="dxa"/>
            <w:gridSpan w:val="2"/>
            <w:tcBorders>
              <w:top w:val="nil"/>
            </w:tcBorders>
            <w:shd w:val="clear" w:color="auto" w:fill="auto"/>
            <w:tcMar>
              <w:top w:w="28" w:type="dxa"/>
              <w:left w:w="28" w:type="dxa"/>
              <w:bottom w:w="28" w:type="dxa"/>
              <w:right w:w="28" w:type="dxa"/>
            </w:tcMar>
          </w:tcPr>
          <w:p w14:paraId="4A94BCE3" w14:textId="77777777" w:rsidR="003C7413" w:rsidRPr="00D12ABE" w:rsidRDefault="580A52AE" w:rsidP="0032293C">
            <w:pPr>
              <w:pStyle w:val="paragraph"/>
              <w:spacing w:before="0" w:beforeAutospacing="0" w:after="0" w:afterAutospacing="0"/>
              <w:textAlignment w:val="baseline"/>
              <w:rPr>
                <w:rFonts w:ascii="Segoe UI" w:hAnsi="Segoe UI" w:cs="Segoe UI"/>
                <w:b/>
                <w:bCs/>
                <w:i/>
                <w:iCs/>
                <w:sz w:val="16"/>
                <w:szCs w:val="16"/>
              </w:rPr>
            </w:pPr>
            <w:r>
              <w:rPr>
                <w:noProof/>
              </w:rPr>
              <w:drawing>
                <wp:inline distT="0" distB="0" distL="0" distR="0" wp14:anchorId="14825FFB" wp14:editId="05F98387">
                  <wp:extent cx="5710981" cy="1195754"/>
                  <wp:effectExtent l="0" t="0" r="4445" b="0"/>
                  <wp:docPr id="19" name="Picture 19" descr="Graphical user interface, text, application&#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pic:nvPicPr>
                        <pic:blipFill>
                          <a:blip r:embed="rId31">
                            <a:extLst>
                              <a:ext uri="{28A0092B-C50C-407E-A947-70E740481C1C}">
                                <a14:useLocalDpi xmlns:a14="http://schemas.microsoft.com/office/drawing/2010/main" val="0"/>
                              </a:ext>
                            </a:extLst>
                          </a:blip>
                          <a:stretch>
                            <a:fillRect/>
                          </a:stretch>
                        </pic:blipFill>
                        <pic:spPr>
                          <a:xfrm>
                            <a:off x="0" y="0"/>
                            <a:ext cx="5710981" cy="1195754"/>
                          </a:xfrm>
                          <a:prstGeom prst="rect">
                            <a:avLst/>
                          </a:prstGeom>
                        </pic:spPr>
                      </pic:pic>
                    </a:graphicData>
                  </a:graphic>
                </wp:inline>
              </w:drawing>
            </w:r>
          </w:p>
        </w:tc>
      </w:tr>
    </w:tbl>
    <w:p w14:paraId="368C0DC4" w14:textId="7E98866C" w:rsidR="009563B4" w:rsidRPr="00477882" w:rsidRDefault="009563B4" w:rsidP="003D1266">
      <w:pPr>
        <w:pStyle w:val="ParagraphOED"/>
        <w:numPr>
          <w:ilvl w:val="0"/>
          <w:numId w:val="0"/>
        </w:numPr>
        <w:spacing w:after="160"/>
      </w:pPr>
    </w:p>
    <w:p w14:paraId="5EDB5D39" w14:textId="6381282F" w:rsidR="009563B4" w:rsidRPr="00F252FB" w:rsidRDefault="002E15F2" w:rsidP="001667C6">
      <w:pPr>
        <w:pStyle w:val="ParagraphOED"/>
        <w:numPr>
          <w:ilvl w:val="0"/>
          <w:numId w:val="102"/>
        </w:numPr>
        <w:spacing w:after="160"/>
      </w:pPr>
      <w:r>
        <w:rPr>
          <w:b/>
          <w:bCs/>
        </w:rPr>
        <w:t>Angola’s</w:t>
      </w:r>
      <w:r w:rsidR="009563B4" w:rsidRPr="00F252FB">
        <w:rPr>
          <w:b/>
          <w:bCs/>
        </w:rPr>
        <w:t xml:space="preserve"> agrarian sector</w:t>
      </w:r>
      <w:r w:rsidR="001D0637">
        <w:rPr>
          <w:bCs/>
        </w:rPr>
        <w:t xml:space="preserve">, which </w:t>
      </w:r>
      <w:r w:rsidR="00A55F31">
        <w:rPr>
          <w:bCs/>
        </w:rPr>
        <w:t xml:space="preserve">technically </w:t>
      </w:r>
      <w:r w:rsidR="001D0637">
        <w:rPr>
          <w:bCs/>
        </w:rPr>
        <w:t>includes forestry,</w:t>
      </w:r>
      <w:r w:rsidR="009563B4" w:rsidRPr="00F252FB">
        <w:t xml:space="preserve"> </w:t>
      </w:r>
      <w:r w:rsidR="00073FE4">
        <w:t>account</w:t>
      </w:r>
      <w:r>
        <w:t>ed</w:t>
      </w:r>
      <w:r w:rsidR="00073FE4">
        <w:t xml:space="preserve"> for</w:t>
      </w:r>
      <w:r w:rsidR="009563B4" w:rsidRPr="00F252FB">
        <w:t xml:space="preserve"> 80% of the population and 44% of formal employment</w:t>
      </w:r>
      <w:r w:rsidR="006570C1">
        <w:t xml:space="preserve"> </w:t>
      </w:r>
      <w:r w:rsidR="009563B4" w:rsidRPr="00F252FB">
        <w:t>in 2017</w:t>
      </w:r>
      <w:r>
        <w:t xml:space="preserve"> but</w:t>
      </w:r>
      <w:r w:rsidR="009563B4" w:rsidRPr="00F252FB">
        <w:t xml:space="preserve"> contributed only 10% of the country’s GDP, remaining grossly underdeveloped.</w:t>
      </w:r>
      <w:r w:rsidR="00BD5751" w:rsidRPr="00F252FB">
        <w:rPr>
          <w:rStyle w:val="FootnoteReference"/>
        </w:rPr>
        <w:footnoteReference w:id="8"/>
      </w:r>
      <w:r w:rsidR="009563B4" w:rsidRPr="00F252FB">
        <w:t xml:space="preserve"> In spite of </w:t>
      </w:r>
      <w:r w:rsidR="001D0637">
        <w:t xml:space="preserve">its </w:t>
      </w:r>
      <w:r>
        <w:t>extensive</w:t>
      </w:r>
      <w:r w:rsidR="009563B4" w:rsidRPr="00F252FB">
        <w:t xml:space="preserve"> arable land</w:t>
      </w:r>
      <w:r>
        <w:t xml:space="preserve"> (57.6 million ha, 46.2% of total land area)</w:t>
      </w:r>
      <w:r w:rsidR="009563B4" w:rsidRPr="00F252FB">
        <w:t xml:space="preserve"> and sizable forest reserves, the sector is not able to feed the country</w:t>
      </w:r>
      <w:r w:rsidR="00A37797">
        <w:t>: only 5.7% of arable land is used</w:t>
      </w:r>
      <w:r w:rsidR="006570C1">
        <w:t>;</w:t>
      </w:r>
      <w:r w:rsidR="00A37797">
        <w:t xml:space="preserve"> planting, harvesting, processing and storage technologies and processing facilities are largely lacking; </w:t>
      </w:r>
      <w:r w:rsidR="00BD5751">
        <w:t xml:space="preserve">and </w:t>
      </w:r>
      <w:r w:rsidR="00A37797">
        <w:t>limited</w:t>
      </w:r>
      <w:r w:rsidR="00BD5751" w:rsidRPr="00BD5751">
        <w:t xml:space="preserve"> </w:t>
      </w:r>
      <w:r w:rsidR="00BD5751">
        <w:t>irrigation are among the key issues</w:t>
      </w:r>
      <w:r w:rsidR="009563B4" w:rsidRPr="00F252FB">
        <w:t>. According to FAO, food imports represented $2.7 billion in 2018, which contrasts starkly with food exports of only $19 million.</w:t>
      </w:r>
      <w:r>
        <w:t xml:space="preserve"> U</w:t>
      </w:r>
      <w:r w:rsidR="009563B4" w:rsidRPr="00F252FB">
        <w:t xml:space="preserve">p to 90% </w:t>
      </w:r>
      <w:r>
        <w:t>of the farming population</w:t>
      </w:r>
      <w:r w:rsidRPr="00F252FB">
        <w:t xml:space="preserve"> </w:t>
      </w:r>
      <w:r w:rsidR="009563B4" w:rsidRPr="00F252FB">
        <w:t>are smallholders</w:t>
      </w:r>
      <w:r>
        <w:t>, m</w:t>
      </w:r>
      <w:r w:rsidR="009563B4" w:rsidRPr="00F252FB">
        <w:t xml:space="preserve">any of </w:t>
      </w:r>
      <w:r>
        <w:t>whom</w:t>
      </w:r>
      <w:r w:rsidR="009563B4" w:rsidRPr="00F252FB">
        <w:t xml:space="preserve"> lack basic means for improving </w:t>
      </w:r>
      <w:r w:rsidR="009563B4" w:rsidRPr="00F252FB">
        <w:lastRenderedPageBreak/>
        <w:t xml:space="preserve">productivity of </w:t>
      </w:r>
      <w:r w:rsidRPr="00F252FB">
        <w:t>the</w:t>
      </w:r>
      <w:r>
        <w:t>ir</w:t>
      </w:r>
      <w:r w:rsidRPr="00F252FB">
        <w:t xml:space="preserve"> </w:t>
      </w:r>
      <w:r w:rsidR="009563B4" w:rsidRPr="00F252FB">
        <w:t>land</w:t>
      </w:r>
      <w:r>
        <w:t>,</w:t>
      </w:r>
      <w:r w:rsidR="009563B4" w:rsidRPr="00F252FB">
        <w:t xml:space="preserve"> </w:t>
      </w:r>
      <w:r>
        <w:t>so</w:t>
      </w:r>
      <w:r w:rsidR="009563B4" w:rsidRPr="00F252FB">
        <w:t xml:space="preserve"> they resort to</w:t>
      </w:r>
      <w:r w:rsidR="00D321AA">
        <w:t xml:space="preserve"> practices</w:t>
      </w:r>
      <w:r w:rsidR="009563B4" w:rsidRPr="00F252FB">
        <w:t xml:space="preserve"> that degrade land and forest resources, including land clear</w:t>
      </w:r>
      <w:r w:rsidR="00D321AA">
        <w:t>ance</w:t>
      </w:r>
      <w:r w:rsidR="009563B4" w:rsidRPr="00F252FB">
        <w:t xml:space="preserve">. Food production systems in Angola face </w:t>
      </w:r>
      <w:r w:rsidR="00FF0AD9">
        <w:t>acute</w:t>
      </w:r>
      <w:r w:rsidR="009563B4" w:rsidRPr="00F252FB">
        <w:t xml:space="preserve"> challenges</w:t>
      </w:r>
      <w:r w:rsidR="00FF0AD9">
        <w:t>, hence</w:t>
      </w:r>
      <w:r w:rsidR="009563B4" w:rsidRPr="00F252FB">
        <w:t xml:space="preserve"> modernization of the agrarian sector is a national priority</w:t>
      </w:r>
      <w:r w:rsidR="00BD5751">
        <w:t>, elaborated f</w:t>
      </w:r>
      <w:r w:rsidR="00FF0AD9">
        <w:t xml:space="preserve">urther in </w:t>
      </w:r>
      <w:r w:rsidR="00FF0AD9" w:rsidRPr="006570C1">
        <w:rPr>
          <w:highlight w:val="lightGray"/>
        </w:rPr>
        <w:t>Annex W-</w:t>
      </w:r>
      <w:r w:rsidR="00BD5751" w:rsidRPr="006570C1">
        <w:rPr>
          <w:highlight w:val="lightGray"/>
        </w:rPr>
        <w:t>3</w:t>
      </w:r>
      <w:r w:rsidR="00BD5751">
        <w:t xml:space="preserve"> with respect to </w:t>
      </w:r>
      <w:r w:rsidR="00BD5751" w:rsidRPr="00BD5751">
        <w:rPr>
          <w:i/>
        </w:rPr>
        <w:t>Angola’s Mid-Term Plan for the Agrarian Sector</w:t>
      </w:r>
      <w:r w:rsidR="009563B4" w:rsidRPr="00F252FB">
        <w:t xml:space="preserve">. </w:t>
      </w:r>
    </w:p>
    <w:p w14:paraId="7369FA13" w14:textId="7A710B10" w:rsidR="009563B4" w:rsidRPr="001D4992" w:rsidRDefault="009563B4" w:rsidP="001667C6">
      <w:pPr>
        <w:pStyle w:val="ParagraphOED"/>
        <w:numPr>
          <w:ilvl w:val="0"/>
          <w:numId w:val="102"/>
        </w:numPr>
        <w:spacing w:after="160"/>
        <w:rPr>
          <w:b/>
          <w:bCs/>
        </w:rPr>
      </w:pPr>
      <w:r w:rsidRPr="001D4992">
        <w:rPr>
          <w:bCs/>
        </w:rPr>
        <w:t xml:space="preserve">Overall, Angola faces important </w:t>
      </w:r>
      <w:r w:rsidRPr="001D4992">
        <w:rPr>
          <w:b/>
        </w:rPr>
        <w:t>food security and climat</w:t>
      </w:r>
      <w:r w:rsidR="00F46163">
        <w:rPr>
          <w:b/>
        </w:rPr>
        <w:t>e</w:t>
      </w:r>
      <w:r w:rsidRPr="001D4992">
        <w:rPr>
          <w:b/>
        </w:rPr>
        <w:t xml:space="preserve"> </w:t>
      </w:r>
      <w:r w:rsidR="00F46163">
        <w:rPr>
          <w:b/>
          <w:bCs/>
        </w:rPr>
        <w:t>r</w:t>
      </w:r>
      <w:r w:rsidR="00F46163" w:rsidRPr="00477882">
        <w:rPr>
          <w:b/>
          <w:bCs/>
        </w:rPr>
        <w:t xml:space="preserve">esilience </w:t>
      </w:r>
      <w:r w:rsidR="00F46163">
        <w:rPr>
          <w:b/>
          <w:bCs/>
        </w:rPr>
        <w:t>and v</w:t>
      </w:r>
      <w:r w:rsidR="00F46163" w:rsidRPr="00477882">
        <w:rPr>
          <w:b/>
          <w:bCs/>
        </w:rPr>
        <w:t>ulnerability</w:t>
      </w:r>
      <w:r w:rsidR="00F46163" w:rsidRPr="001D4992">
        <w:rPr>
          <w:b/>
        </w:rPr>
        <w:t xml:space="preserve"> </w:t>
      </w:r>
      <w:r w:rsidRPr="001D4992">
        <w:rPr>
          <w:b/>
        </w:rPr>
        <w:t>challenges</w:t>
      </w:r>
      <w:r w:rsidRPr="001D4992">
        <w:rPr>
          <w:bCs/>
        </w:rPr>
        <w:t>, in spite of recent progress towards SDGs</w:t>
      </w:r>
      <w:r w:rsidRPr="00E46C71">
        <w:rPr>
          <w:rStyle w:val="FootnoteReference"/>
          <w:bCs/>
        </w:rPr>
        <w:footnoteReference w:id="9"/>
      </w:r>
      <w:r w:rsidRPr="00E46C71">
        <w:t xml:space="preserve">. According to FAO’s 2018 flagship global </w:t>
      </w:r>
      <w:r w:rsidR="00FE6A33">
        <w:t>overview</w:t>
      </w:r>
      <w:r w:rsidRPr="00E46C71">
        <w:t xml:space="preserve"> on </w:t>
      </w:r>
      <w:r w:rsidRPr="00BD5751">
        <w:rPr>
          <w:i/>
        </w:rPr>
        <w:t>The State of Food Security and Nutrition</w:t>
      </w:r>
      <w:r w:rsidRPr="00E46C71">
        <w:t>, the</w:t>
      </w:r>
      <w:r w:rsidRPr="00477882">
        <w:t xml:space="preserve"> prevalence of stunting in children under 5 </w:t>
      </w:r>
      <w:r w:rsidR="00BD5751">
        <w:t xml:space="preserve">years old </w:t>
      </w:r>
      <w:r w:rsidRPr="00477882">
        <w:t xml:space="preserve">has actually increased in Angola </w:t>
      </w:r>
      <w:r w:rsidR="00BD5751" w:rsidRPr="00477882">
        <w:t>from 29.2% to 37.6%</w:t>
      </w:r>
      <w:r w:rsidR="00BD5751">
        <w:t xml:space="preserve"> </w:t>
      </w:r>
      <w:r w:rsidRPr="00477882">
        <w:t>between 2012 and 2017. This is a worr</w:t>
      </w:r>
      <w:r w:rsidR="00FE6A33">
        <w:t xml:space="preserve">isome </w:t>
      </w:r>
      <w:r w:rsidRPr="00477882">
        <w:t xml:space="preserve"> indicator, </w:t>
      </w:r>
      <w:r w:rsidR="00FE6A33">
        <w:t xml:space="preserve">especially given that </w:t>
      </w:r>
      <w:r w:rsidRPr="00477882">
        <w:t xml:space="preserve">the prevalence of undernourishment in the </w:t>
      </w:r>
      <w:r>
        <w:t>general</w:t>
      </w:r>
      <w:r w:rsidRPr="00477882">
        <w:t xml:space="preserve"> population </w:t>
      </w:r>
      <w:r w:rsidR="00FE6A33">
        <w:t xml:space="preserve">has been reduced </w:t>
      </w:r>
      <w:r w:rsidRPr="00477882">
        <w:t xml:space="preserve">by </w:t>
      </w:r>
      <w:r w:rsidR="00FE6A33">
        <w:t xml:space="preserve">over </w:t>
      </w:r>
      <w:r w:rsidRPr="00477882">
        <w:t>half in the last decade</w:t>
      </w:r>
      <w:r w:rsidR="00FE6A33">
        <w:t>, from</w:t>
      </w:r>
      <w:r w:rsidRPr="00477882">
        <w:t xml:space="preserve"> 54.8% in 2004-06</w:t>
      </w:r>
      <w:r w:rsidR="00FE6A33">
        <w:t xml:space="preserve"> </w:t>
      </w:r>
      <w:r w:rsidRPr="00477882">
        <w:t>to 23.9% in 2015-17).</w:t>
      </w:r>
      <w:r w:rsidR="00FE6A33" w:rsidRPr="00477882">
        <w:rPr>
          <w:rStyle w:val="FootnoteReference"/>
        </w:rPr>
        <w:footnoteReference w:id="10"/>
      </w:r>
    </w:p>
    <w:p w14:paraId="43ABA70F" w14:textId="3AA0A95B" w:rsidR="009563B4" w:rsidRPr="00CD36D5" w:rsidRDefault="009563B4" w:rsidP="001667C6">
      <w:pPr>
        <w:pStyle w:val="ParagraphOED"/>
        <w:numPr>
          <w:ilvl w:val="0"/>
          <w:numId w:val="102"/>
        </w:numPr>
        <w:spacing w:after="60"/>
        <w:rPr>
          <w:b/>
          <w:bCs/>
        </w:rPr>
      </w:pPr>
      <w:r>
        <w:t xml:space="preserve">The same FAO </w:t>
      </w:r>
      <w:r w:rsidR="00F46163">
        <w:t>report</w:t>
      </w:r>
      <w:r>
        <w:t xml:space="preserve"> </w:t>
      </w:r>
      <w:r w:rsidR="00FE6A33">
        <w:t xml:space="preserve">highlights </w:t>
      </w:r>
      <w:r>
        <w:t>the vulnerability of Angola</w:t>
      </w:r>
      <w:r w:rsidR="007F2847">
        <w:t>’s</w:t>
      </w:r>
      <w:r>
        <w:t xml:space="preserve"> agricultural systems to climatic shocks, classifying agricultural production and yields as ‘climate-sensitive’</w:t>
      </w:r>
      <w:r w:rsidR="00972722">
        <w:t xml:space="preserve"> on account of </w:t>
      </w:r>
      <w:r>
        <w:t xml:space="preserve">the country </w:t>
      </w:r>
      <w:r w:rsidR="00972722">
        <w:t>being</w:t>
      </w:r>
      <w:r>
        <w:t xml:space="preserve"> prone to dry spells and low rainfall. A 2018 USAID publication on Angola and climate change mention</w:t>
      </w:r>
      <w:r w:rsidR="00972722">
        <w:t>s</w:t>
      </w:r>
      <w:r>
        <w:t>:</w:t>
      </w:r>
    </w:p>
    <w:p w14:paraId="2B34C38A" w14:textId="77777777" w:rsidR="009563B4" w:rsidRPr="00CD36D5" w:rsidRDefault="009563B4" w:rsidP="00230679">
      <w:pPr>
        <w:pStyle w:val="ParagraphOED"/>
        <w:numPr>
          <w:ilvl w:val="0"/>
          <w:numId w:val="0"/>
        </w:numPr>
        <w:ind w:left="709"/>
        <w:rPr>
          <w:b/>
          <w:bCs/>
        </w:rPr>
      </w:pPr>
      <w:r w:rsidRPr="00477882">
        <w:rPr>
          <w:i/>
          <w:iCs/>
        </w:rPr>
        <w:t>“The effect of changes in rainfall will depend on location; however, throughout the country, temperature increases can reduce soil moisture, impacting both rainfed and irrigated crops. Some climate scenarios project a reduction in crop yields by 2030. Climate change will also impact livestock, which are an important asset in southern provinces such as Huíla and Cunene, where more than two-thirds of cattle are located.”</w:t>
      </w:r>
      <w:r w:rsidRPr="00477882">
        <w:t xml:space="preserve"> </w:t>
      </w:r>
    </w:p>
    <w:p w14:paraId="223E5DDA" w14:textId="0CA6BE20" w:rsidR="009563B4" w:rsidRPr="00477882" w:rsidRDefault="009563B4" w:rsidP="001667C6">
      <w:pPr>
        <w:pStyle w:val="ParagraphOED"/>
        <w:numPr>
          <w:ilvl w:val="0"/>
          <w:numId w:val="102"/>
        </w:numPr>
        <w:spacing w:after="160"/>
        <w:rPr>
          <w:b/>
          <w:bCs/>
        </w:rPr>
      </w:pPr>
      <w:r w:rsidRPr="00477882">
        <w:t xml:space="preserve">Small farmers and </w:t>
      </w:r>
      <w:r>
        <w:t xml:space="preserve">traditional </w:t>
      </w:r>
      <w:r w:rsidRPr="00477882">
        <w:t xml:space="preserve">livestock herders are particularly vulnerable </w:t>
      </w:r>
      <w:r>
        <w:t>to climate shocks and lack adaptive capacity</w:t>
      </w:r>
      <w:r w:rsidR="00972722">
        <w:t>, for example lacking</w:t>
      </w:r>
      <w:r w:rsidRPr="00477882">
        <w:t xml:space="preserve"> information on markets</w:t>
      </w:r>
      <w:r>
        <w:t xml:space="preserve"> and often rely</w:t>
      </w:r>
      <w:r w:rsidR="00972722">
        <w:t>ing</w:t>
      </w:r>
      <w:r>
        <w:t xml:space="preserve"> on </w:t>
      </w:r>
      <w:r w:rsidRPr="00477882">
        <w:t>outdated agrarian production technologies</w:t>
      </w:r>
      <w:r>
        <w:t xml:space="preserve">. Furthermore, both large and small land users in rural southern Angola </w:t>
      </w:r>
      <w:r w:rsidRPr="00477882">
        <w:t xml:space="preserve">have limited access to rural extension services. </w:t>
      </w:r>
      <w:r w:rsidR="00F46163">
        <w:t xml:space="preserve">A review of climate change considerations from selected studies is provided in </w:t>
      </w:r>
      <w:r w:rsidRPr="006570C1">
        <w:rPr>
          <w:highlight w:val="lightGray"/>
        </w:rPr>
        <w:fldChar w:fldCharType="begin"/>
      </w:r>
      <w:r w:rsidRPr="006570C1">
        <w:rPr>
          <w:highlight w:val="lightGray"/>
        </w:rPr>
        <w:instrText xml:space="preserve"> REF _Ref44856112 \h  \* MERGEFORMAT </w:instrText>
      </w:r>
      <w:r w:rsidRPr="006570C1">
        <w:rPr>
          <w:highlight w:val="lightGray"/>
        </w:rPr>
      </w:r>
      <w:r w:rsidRPr="006570C1">
        <w:rPr>
          <w:highlight w:val="lightGray"/>
        </w:rPr>
        <w:fldChar w:fldCharType="separate"/>
      </w:r>
      <w:r w:rsidR="00A64193" w:rsidRPr="00A64193">
        <w:rPr>
          <w:highlight w:val="lightGray"/>
        </w:rPr>
        <w:t xml:space="preserve">Box </w:t>
      </w:r>
      <w:r w:rsidR="00A64193" w:rsidRPr="00A64193">
        <w:rPr>
          <w:noProof/>
          <w:highlight w:val="lightGray"/>
        </w:rPr>
        <w:t>15</w:t>
      </w:r>
      <w:r w:rsidRPr="006570C1">
        <w:rPr>
          <w:highlight w:val="lightGray"/>
        </w:rPr>
        <w:fldChar w:fldCharType="end"/>
      </w:r>
      <w:r w:rsidR="006570C1" w:rsidRPr="006570C1">
        <w:rPr>
          <w:highlight w:val="lightGray"/>
        </w:rPr>
        <w:t xml:space="preserve"> of </w:t>
      </w:r>
      <w:hyperlink w:anchor="_Annex_X-3:_Additional_1" w:history="1">
        <w:r w:rsidR="006570C1" w:rsidRPr="006570C1">
          <w:rPr>
            <w:rStyle w:val="Hyperlink"/>
            <w:highlight w:val="lightGray"/>
            <w:u w:val="none"/>
          </w:rPr>
          <w:t>Annex X-3</w:t>
        </w:r>
      </w:hyperlink>
    </w:p>
    <w:p w14:paraId="4DA32A11" w14:textId="0A21CF1A" w:rsidR="009563B4" w:rsidRPr="00477882" w:rsidRDefault="009563B4" w:rsidP="001667C6">
      <w:pPr>
        <w:pStyle w:val="ParagraphOED"/>
        <w:numPr>
          <w:ilvl w:val="0"/>
          <w:numId w:val="102"/>
        </w:numPr>
        <w:spacing w:after="160"/>
      </w:pPr>
      <w:r w:rsidRPr="00477882">
        <w:rPr>
          <w:b/>
          <w:bCs/>
        </w:rPr>
        <w:t>Gender.</w:t>
      </w:r>
      <w:r w:rsidRPr="00477882">
        <w:t xml:space="preserve"> In southern Angola, </w:t>
      </w:r>
      <w:r>
        <w:t>farmers</w:t>
      </w:r>
      <w:r w:rsidRPr="00477882">
        <w:t xml:space="preserve">, forest users and livestock herders are </w:t>
      </w:r>
      <w:r w:rsidR="00F46163">
        <w:t>key</w:t>
      </w:r>
      <w:r w:rsidRPr="00477882">
        <w:t xml:space="preserve"> stakeholder</w:t>
      </w:r>
      <w:r w:rsidR="001D5A59">
        <w:t>s</w:t>
      </w:r>
      <w:r w:rsidR="00F46163" w:rsidRPr="00477882">
        <w:t xml:space="preserve"> </w:t>
      </w:r>
      <w:r w:rsidRPr="00477882">
        <w:t xml:space="preserve">in the complex process of </w:t>
      </w:r>
      <w:r w:rsidR="001D5A59">
        <w:t xml:space="preserve">integrating </w:t>
      </w:r>
      <w:r w:rsidRPr="00477882">
        <w:t>manag</w:t>
      </w:r>
      <w:r w:rsidR="001D5A59">
        <w:t>ement</w:t>
      </w:r>
      <w:r w:rsidRPr="00477882">
        <w:t xml:space="preserve"> </w:t>
      </w:r>
      <w:r w:rsidR="001D5A59">
        <w:t xml:space="preserve">of </w:t>
      </w:r>
      <w:r w:rsidRPr="00477882">
        <w:t xml:space="preserve">Miombo-Mopane woodland landscapes. Their land use and production techniques have important implications for land degradation and </w:t>
      </w:r>
      <w:r>
        <w:t xml:space="preserve">the </w:t>
      </w:r>
      <w:r w:rsidRPr="00477882">
        <w:t>resilience</w:t>
      </w:r>
      <w:r>
        <w:t xml:space="preserve"> of natural assets upon which they rely</w:t>
      </w:r>
      <w:r w:rsidRPr="00477882">
        <w:t>. According to the 2014 Census, 38% of households in Angola are headed by women</w:t>
      </w:r>
      <w:r w:rsidRPr="00477882">
        <w:rPr>
          <w:rStyle w:val="FootnoteReference"/>
        </w:rPr>
        <w:footnoteReference w:id="11"/>
      </w:r>
      <w:r w:rsidRPr="00477882">
        <w:t xml:space="preserve"> and household</w:t>
      </w:r>
      <w:r w:rsidR="001D5A59">
        <w:t xml:space="preserve"> </w:t>
      </w:r>
      <w:r w:rsidRPr="00477882">
        <w:t>s</w:t>
      </w:r>
      <w:r w:rsidR="001D5A59">
        <w:t>ize</w:t>
      </w:r>
      <w:r w:rsidRPr="00477882">
        <w:t xml:space="preserve"> </w:t>
      </w:r>
      <w:r w:rsidR="001D5A59">
        <w:t>o</w:t>
      </w:r>
      <w:r>
        <w:t xml:space="preserve">n average </w:t>
      </w:r>
      <w:r w:rsidR="001D5A59">
        <w:t xml:space="preserve">is </w:t>
      </w:r>
      <w:r w:rsidRPr="00477882">
        <w:t xml:space="preserve">more numerous in the south </w:t>
      </w:r>
      <w:r>
        <w:t xml:space="preserve">than </w:t>
      </w:r>
      <w:r w:rsidR="001D5A59">
        <w:t>elsewhere in</w:t>
      </w:r>
      <w:r>
        <w:t xml:space="preserve"> the country</w:t>
      </w:r>
      <w:r w:rsidRPr="00477882">
        <w:t>.</w:t>
      </w:r>
      <w:r>
        <w:rPr>
          <w:rStyle w:val="FootnoteReference"/>
        </w:rPr>
        <w:footnoteReference w:id="12"/>
      </w:r>
      <w:r w:rsidRPr="00477882">
        <w:t xml:space="preserve"> Understanding decision-making processes that influence the outcome for Miombo-Mopane woodland landscapes at </w:t>
      </w:r>
      <w:r w:rsidR="00C22610">
        <w:t>household and community levels is vital, as</w:t>
      </w:r>
      <w:r w:rsidRPr="00477882">
        <w:t xml:space="preserve"> is </w:t>
      </w:r>
      <w:r w:rsidR="00C22610">
        <w:t>the need</w:t>
      </w:r>
      <w:r w:rsidRPr="00477882">
        <w:t xml:space="preserve"> to </w:t>
      </w:r>
      <w:r w:rsidR="00C22610">
        <w:t>realise</w:t>
      </w:r>
      <w:r w:rsidRPr="00477882">
        <w:t xml:space="preserve"> the gender gap and potential role of women in sustainabl</w:t>
      </w:r>
      <w:r w:rsidR="00C22610">
        <w:t>y</w:t>
      </w:r>
      <w:r w:rsidRPr="00477882">
        <w:t xml:space="preserve"> manag</w:t>
      </w:r>
      <w:r w:rsidR="00C22610">
        <w:t>ing</w:t>
      </w:r>
      <w:r w:rsidRPr="00477882">
        <w:t xml:space="preserve"> these landscapes.</w:t>
      </w:r>
      <w:r w:rsidR="000554FE">
        <w:t xml:space="preserve"> Gender equality is addressed in </w:t>
      </w:r>
      <w:r w:rsidR="000554FE" w:rsidRPr="000554FE">
        <w:rPr>
          <w:highlight w:val="lightGray"/>
        </w:rPr>
        <w:t>1.b 3</w:t>
      </w:r>
    </w:p>
    <w:p w14:paraId="0791BF06" w14:textId="0217D2B2" w:rsidR="009563B4" w:rsidRPr="0023725D" w:rsidRDefault="009563B4" w:rsidP="0023725D">
      <w:pPr>
        <w:pStyle w:val="Heading3"/>
        <w:shd w:val="clear" w:color="auto" w:fill="auto"/>
        <w:spacing w:before="240" w:after="160"/>
        <w:jc w:val="left"/>
        <w:rPr>
          <w:rFonts w:ascii="Calibri" w:hAnsi="Calibri" w:cs="Calibri"/>
          <w:color w:val="000000" w:themeColor="text1"/>
          <w:highlight w:val="black"/>
          <w:shd w:val="clear" w:color="auto" w:fill="BDD6EE" w:themeFill="accent1" w:themeFillTint="66"/>
        </w:rPr>
      </w:pPr>
      <w:bookmarkStart w:id="26" w:name="_1.2)_Threats,_Root"/>
      <w:bookmarkStart w:id="27" w:name="_Toc45712151"/>
      <w:bookmarkEnd w:id="26"/>
      <w:r w:rsidRPr="0023725D">
        <w:rPr>
          <w:rFonts w:ascii="Calibri" w:hAnsi="Calibri" w:cs="Calibri"/>
          <w:color w:val="000000" w:themeColor="text1"/>
          <w:shd w:val="clear" w:color="auto" w:fill="9CC2E5" w:themeFill="accent1" w:themeFillTint="99"/>
        </w:rPr>
        <w:t>1.2 Threats, Root Causes, Drivers and Barriers</w:t>
      </w:r>
      <w:bookmarkEnd w:id="27"/>
    </w:p>
    <w:p w14:paraId="22B6E26B" w14:textId="219B2FB0" w:rsidR="00805423" w:rsidRPr="00805423" w:rsidRDefault="00805423" w:rsidP="001172E4">
      <w:pPr>
        <w:pStyle w:val="ParagraphOED"/>
        <w:numPr>
          <w:ilvl w:val="0"/>
          <w:numId w:val="0"/>
        </w:numPr>
        <w:spacing w:after="160"/>
        <w:rPr>
          <w:b/>
          <w:bCs/>
        </w:rPr>
      </w:pPr>
      <w:r w:rsidRPr="00805423">
        <w:rPr>
          <w:b/>
          <w:bCs/>
          <w:highlight w:val="lightGray"/>
        </w:rPr>
        <w:t>Main Processes that lead to Land Degradation</w:t>
      </w:r>
    </w:p>
    <w:p w14:paraId="0BC47E86" w14:textId="69480442" w:rsidR="008B1418" w:rsidRPr="00015BD3" w:rsidRDefault="00945765" w:rsidP="001667C6">
      <w:pPr>
        <w:pStyle w:val="paragraph"/>
        <w:numPr>
          <w:ilvl w:val="0"/>
          <w:numId w:val="102"/>
        </w:numPr>
        <w:shd w:val="clear" w:color="auto" w:fill="FFFFFF"/>
        <w:spacing w:before="0" w:beforeAutospacing="0" w:after="160" w:afterAutospacing="0"/>
        <w:jc w:val="both"/>
        <w:textAlignment w:val="baseline"/>
        <w:rPr>
          <w:rFonts w:asciiTheme="minorHAnsi" w:hAnsiTheme="minorHAnsi" w:cstheme="minorHAnsi"/>
          <w:sz w:val="21"/>
          <w:szCs w:val="21"/>
          <w:highlight w:val="yellow"/>
        </w:rPr>
      </w:pPr>
      <w:r w:rsidRPr="00015BD3">
        <w:rPr>
          <w:rFonts w:asciiTheme="minorHAnsi" w:hAnsiTheme="minorHAnsi" w:cstheme="minorHAnsi"/>
          <w:sz w:val="21"/>
          <w:szCs w:val="21"/>
          <w:highlight w:val="yellow"/>
        </w:rPr>
        <w:t>The Miombo wood</w:t>
      </w:r>
      <w:r w:rsidR="00E152FB" w:rsidRPr="00015BD3">
        <w:rPr>
          <w:rFonts w:asciiTheme="minorHAnsi" w:hAnsiTheme="minorHAnsi" w:cstheme="minorHAnsi"/>
          <w:sz w:val="21"/>
          <w:szCs w:val="21"/>
          <w:highlight w:val="yellow"/>
        </w:rPr>
        <w:t>lands</w:t>
      </w:r>
      <w:r w:rsidR="00E2089F" w:rsidRPr="00015BD3">
        <w:rPr>
          <w:rFonts w:asciiTheme="minorHAnsi" w:hAnsiTheme="minorHAnsi" w:cstheme="minorHAnsi"/>
          <w:sz w:val="21"/>
          <w:szCs w:val="21"/>
          <w:highlight w:val="yellow"/>
        </w:rPr>
        <w:t>’ biodiversity and ecosystem ser</w:t>
      </w:r>
      <w:r w:rsidR="001C7749" w:rsidRPr="00015BD3">
        <w:rPr>
          <w:rFonts w:asciiTheme="minorHAnsi" w:hAnsiTheme="minorHAnsi" w:cstheme="minorHAnsi"/>
          <w:sz w:val="21"/>
          <w:szCs w:val="21"/>
          <w:highlight w:val="yellow"/>
        </w:rPr>
        <w:t>vices</w:t>
      </w:r>
      <w:r w:rsidR="00E2089F" w:rsidRPr="00015BD3">
        <w:rPr>
          <w:rFonts w:asciiTheme="minorHAnsi" w:hAnsiTheme="minorHAnsi" w:cstheme="minorHAnsi"/>
          <w:sz w:val="21"/>
          <w:szCs w:val="21"/>
          <w:highlight w:val="yellow"/>
        </w:rPr>
        <w:t xml:space="preserve"> </w:t>
      </w:r>
      <w:r w:rsidR="00E152FB" w:rsidRPr="00015BD3">
        <w:rPr>
          <w:rFonts w:asciiTheme="minorHAnsi" w:hAnsiTheme="minorHAnsi" w:cstheme="minorHAnsi"/>
          <w:sz w:val="21"/>
          <w:szCs w:val="21"/>
          <w:highlight w:val="yellow"/>
        </w:rPr>
        <w:t>are increasingly thre</w:t>
      </w:r>
      <w:r w:rsidR="00347FE3" w:rsidRPr="00015BD3">
        <w:rPr>
          <w:rFonts w:asciiTheme="minorHAnsi" w:hAnsiTheme="minorHAnsi" w:cstheme="minorHAnsi"/>
          <w:sz w:val="21"/>
          <w:szCs w:val="21"/>
          <w:highlight w:val="yellow"/>
        </w:rPr>
        <w:t>atened</w:t>
      </w:r>
      <w:r w:rsidR="00FF13A4" w:rsidRPr="00015BD3">
        <w:rPr>
          <w:rFonts w:asciiTheme="minorHAnsi" w:hAnsiTheme="minorHAnsi" w:cstheme="minorHAnsi"/>
          <w:sz w:val="21"/>
          <w:szCs w:val="21"/>
          <w:highlight w:val="yellow"/>
        </w:rPr>
        <w:t xml:space="preserve">, mainly by </w:t>
      </w:r>
      <w:r w:rsidR="007C23EB" w:rsidRPr="00015BD3">
        <w:rPr>
          <w:rFonts w:asciiTheme="minorHAnsi" w:hAnsiTheme="minorHAnsi" w:cstheme="minorHAnsi"/>
          <w:sz w:val="21"/>
          <w:szCs w:val="21"/>
          <w:highlight w:val="yellow"/>
        </w:rPr>
        <w:t xml:space="preserve">uncontrolled </w:t>
      </w:r>
      <w:r w:rsidR="00FF13A4" w:rsidRPr="00015BD3">
        <w:rPr>
          <w:rFonts w:asciiTheme="minorHAnsi" w:hAnsiTheme="minorHAnsi" w:cstheme="minorHAnsi"/>
          <w:sz w:val="21"/>
          <w:szCs w:val="21"/>
          <w:highlight w:val="yellow"/>
        </w:rPr>
        <w:t>land-use changes</w:t>
      </w:r>
      <w:r w:rsidR="008B1EB9" w:rsidRPr="00015BD3">
        <w:rPr>
          <w:rFonts w:asciiTheme="minorHAnsi" w:hAnsiTheme="minorHAnsi" w:cstheme="minorHAnsi"/>
          <w:sz w:val="21"/>
          <w:szCs w:val="21"/>
          <w:highlight w:val="yellow"/>
        </w:rPr>
        <w:t>.</w:t>
      </w:r>
      <w:r w:rsidR="00FF13A4" w:rsidRPr="00015BD3">
        <w:rPr>
          <w:rFonts w:asciiTheme="minorHAnsi" w:hAnsiTheme="minorHAnsi" w:cstheme="minorHAnsi"/>
          <w:sz w:val="21"/>
          <w:szCs w:val="21"/>
          <w:highlight w:val="yellow"/>
        </w:rPr>
        <w:t xml:space="preserve"> </w:t>
      </w:r>
      <w:r w:rsidR="008B1418" w:rsidRPr="00015BD3">
        <w:rPr>
          <w:rStyle w:val="normaltextrun"/>
          <w:rFonts w:asciiTheme="minorHAnsi" w:hAnsiTheme="minorHAnsi" w:cstheme="minorHAnsi"/>
          <w:sz w:val="21"/>
          <w:szCs w:val="21"/>
          <w:highlight w:val="yellow"/>
        </w:rPr>
        <w:t>Forest resources are generally regarded as open access and have been converted into either grassland or cropland at an accelerated pace without any form of land-use planning; and uncontrolled wildfires are common during the dry season, often linked with land clearings (fire has recently devastated parts of</w:t>
      </w:r>
      <w:r w:rsidR="008B1418" w:rsidRPr="00015BD3">
        <w:rPr>
          <w:rStyle w:val="apple-converted-space"/>
          <w:rFonts w:asciiTheme="minorHAnsi" w:hAnsiTheme="minorHAnsi" w:cstheme="minorHAnsi"/>
          <w:sz w:val="21"/>
          <w:szCs w:val="21"/>
          <w:highlight w:val="yellow"/>
        </w:rPr>
        <w:t> </w:t>
      </w:r>
      <w:r w:rsidR="008B1418" w:rsidRPr="00015BD3">
        <w:rPr>
          <w:rStyle w:val="normaltextrun"/>
          <w:rFonts w:asciiTheme="minorHAnsi" w:hAnsiTheme="minorHAnsi" w:cstheme="minorHAnsi"/>
          <w:sz w:val="21"/>
          <w:szCs w:val="21"/>
          <w:highlight w:val="yellow"/>
        </w:rPr>
        <w:t>Cuando</w:t>
      </w:r>
      <w:r w:rsidR="008B1418" w:rsidRPr="00015BD3">
        <w:rPr>
          <w:rStyle w:val="apple-converted-space"/>
          <w:rFonts w:asciiTheme="minorHAnsi" w:hAnsiTheme="minorHAnsi" w:cstheme="minorHAnsi"/>
          <w:sz w:val="21"/>
          <w:szCs w:val="21"/>
          <w:highlight w:val="yellow"/>
        </w:rPr>
        <w:t> </w:t>
      </w:r>
      <w:r w:rsidR="008B1418" w:rsidRPr="00015BD3">
        <w:rPr>
          <w:rStyle w:val="normaltextrun"/>
          <w:rFonts w:asciiTheme="minorHAnsi" w:hAnsiTheme="minorHAnsi" w:cstheme="minorHAnsi"/>
          <w:sz w:val="21"/>
          <w:szCs w:val="21"/>
          <w:highlight w:val="yellow"/>
        </w:rPr>
        <w:t>Cubango). This</w:t>
      </w:r>
      <w:r w:rsidR="008B1418" w:rsidRPr="00015BD3">
        <w:rPr>
          <w:rStyle w:val="apple-converted-space"/>
          <w:rFonts w:asciiTheme="minorHAnsi" w:hAnsiTheme="minorHAnsi" w:cstheme="minorHAnsi"/>
          <w:sz w:val="21"/>
          <w:szCs w:val="21"/>
          <w:highlight w:val="yellow"/>
        </w:rPr>
        <w:t> </w:t>
      </w:r>
      <w:r w:rsidR="008B1418" w:rsidRPr="00015BD3">
        <w:rPr>
          <w:rStyle w:val="normaltextrun"/>
          <w:rFonts w:asciiTheme="minorHAnsi" w:hAnsiTheme="minorHAnsi" w:cstheme="minorHAnsi"/>
          <w:sz w:val="21"/>
          <w:szCs w:val="21"/>
          <w:highlight w:val="yellow"/>
        </w:rPr>
        <w:t>creates</w:t>
      </w:r>
      <w:r w:rsidR="008B1418" w:rsidRPr="00015BD3">
        <w:rPr>
          <w:rStyle w:val="apple-converted-space"/>
          <w:rFonts w:asciiTheme="minorHAnsi" w:hAnsiTheme="minorHAnsi" w:cstheme="minorHAnsi"/>
          <w:sz w:val="21"/>
          <w:szCs w:val="21"/>
          <w:highlight w:val="yellow"/>
        </w:rPr>
        <w:t> </w:t>
      </w:r>
      <w:r w:rsidR="008B1418" w:rsidRPr="00015BD3">
        <w:rPr>
          <w:rStyle w:val="normaltextrun"/>
          <w:rFonts w:asciiTheme="minorHAnsi" w:hAnsiTheme="minorHAnsi" w:cstheme="minorHAnsi"/>
          <w:sz w:val="21"/>
          <w:szCs w:val="21"/>
          <w:highlight w:val="yellow"/>
        </w:rPr>
        <w:t>additional hardship for local communities on top of challenges linked to the 2019 drought.</w:t>
      </w:r>
      <w:r w:rsidR="008B1418" w:rsidRPr="00015BD3">
        <w:rPr>
          <w:rStyle w:val="superscript"/>
          <w:rFonts w:asciiTheme="minorHAnsi" w:hAnsiTheme="minorHAnsi" w:cstheme="minorHAnsi"/>
          <w:sz w:val="21"/>
          <w:szCs w:val="21"/>
          <w:highlight w:val="yellow"/>
          <w:shd w:val="clear" w:color="auto" w:fill="FFFF00"/>
          <w:vertAlign w:val="superscript"/>
          <w:lang w:val="en-US"/>
        </w:rPr>
        <w:t>9</w:t>
      </w:r>
      <w:r w:rsidR="008B1418" w:rsidRPr="00015BD3">
        <w:rPr>
          <w:rStyle w:val="eop"/>
          <w:rFonts w:asciiTheme="minorHAnsi" w:hAnsiTheme="minorHAnsi" w:cstheme="minorHAnsi"/>
          <w:sz w:val="21"/>
          <w:szCs w:val="21"/>
          <w:highlight w:val="yellow"/>
        </w:rPr>
        <w:t> </w:t>
      </w:r>
    </w:p>
    <w:p w14:paraId="546C6CC0" w14:textId="09BB4ABD" w:rsidR="0061366A" w:rsidRPr="00015BD3" w:rsidRDefault="00D60C8F" w:rsidP="001D5DE1">
      <w:pPr>
        <w:pStyle w:val="paragraph"/>
        <w:shd w:val="clear" w:color="auto" w:fill="FFFFFF"/>
        <w:spacing w:before="0" w:beforeAutospacing="0" w:after="160" w:afterAutospacing="0"/>
        <w:ind w:left="720"/>
        <w:jc w:val="both"/>
        <w:textAlignment w:val="baseline"/>
        <w:rPr>
          <w:rFonts w:asciiTheme="minorHAnsi" w:hAnsiTheme="minorHAnsi" w:cstheme="minorHAnsi"/>
          <w:sz w:val="21"/>
          <w:szCs w:val="21"/>
          <w:highlight w:val="yellow"/>
        </w:rPr>
      </w:pPr>
      <w:r w:rsidRPr="00015BD3">
        <w:rPr>
          <w:rFonts w:asciiTheme="minorHAnsi" w:hAnsiTheme="minorHAnsi" w:cstheme="minorHAnsi"/>
          <w:sz w:val="21"/>
          <w:szCs w:val="21"/>
          <w:highlight w:val="yellow"/>
        </w:rPr>
        <w:lastRenderedPageBreak/>
        <w:t>Habitat fragmentation h</w:t>
      </w:r>
      <w:r w:rsidRPr="008F503B">
        <w:rPr>
          <w:sz w:val="20"/>
          <w:highlight w:val="yellow"/>
        </w:rPr>
        <w:t xml:space="preserve">as also a major effect in biodiversity loss, preventing the connection between small populations of the same species and destroying fundamental corridors for the movement of large mammal species. </w:t>
      </w:r>
      <w:r w:rsidR="005640FF" w:rsidRPr="00015BD3">
        <w:rPr>
          <w:rFonts w:asciiTheme="minorHAnsi" w:hAnsiTheme="minorHAnsi" w:cstheme="minorHAnsi"/>
          <w:sz w:val="21"/>
          <w:szCs w:val="21"/>
          <w:highlight w:val="yellow"/>
        </w:rPr>
        <w:t xml:space="preserve"> </w:t>
      </w:r>
      <w:r w:rsidR="00347FE3" w:rsidRPr="00015BD3">
        <w:rPr>
          <w:rFonts w:asciiTheme="minorHAnsi" w:hAnsiTheme="minorHAnsi" w:cstheme="minorHAnsi"/>
          <w:sz w:val="21"/>
          <w:szCs w:val="21"/>
          <w:highlight w:val="yellow"/>
        </w:rPr>
        <w:t xml:space="preserve"> </w:t>
      </w:r>
    </w:p>
    <w:p w14:paraId="026A145D" w14:textId="3881537B" w:rsidR="00C7715D" w:rsidRPr="00C7715D" w:rsidRDefault="00805423" w:rsidP="001667C6">
      <w:pPr>
        <w:pStyle w:val="ParagraphOED"/>
        <w:numPr>
          <w:ilvl w:val="0"/>
          <w:numId w:val="102"/>
        </w:numPr>
        <w:spacing w:after="160"/>
      </w:pPr>
      <w:r w:rsidRPr="4FA5C607">
        <w:t>A detailed multi-scale threat analysis undertaken for this project</w:t>
      </w:r>
      <w:r w:rsidRPr="4FA5C607">
        <w:rPr>
          <w:i/>
        </w:rPr>
        <w:t xml:space="preserve"> </w:t>
      </w:r>
      <w:r w:rsidRPr="4FA5C607">
        <w:t xml:space="preserve">is included in </w:t>
      </w:r>
      <w:hyperlink w:anchor="_Annex_W-4:_Detailed" w:history="1">
        <w:r w:rsidRPr="4FA5C607">
          <w:rPr>
            <w:rStyle w:val="Hyperlink"/>
          </w:rPr>
          <w:t>Annex W-4</w:t>
        </w:r>
      </w:hyperlink>
      <w:r w:rsidRPr="4FA5C607">
        <w:t>. It starts at the macro level (i.e. national and provincial), then zooms into the target landscapes (two sub-basins) and thereafter focuses on a Land Degradation PPG Assessment</w:t>
      </w:r>
      <w:r w:rsidRPr="4FA5C607">
        <w:rPr>
          <w:rStyle w:val="FootnoteReference"/>
        </w:rPr>
        <w:footnoteReference w:id="13"/>
      </w:r>
      <w:r w:rsidRPr="4FA5C607">
        <w:t xml:space="preserve"> of Baseline Sites #1 and #2. The study concludes that the most important </w:t>
      </w:r>
      <w:r w:rsidRPr="4FA5C607">
        <w:rPr>
          <w:b/>
          <w:i/>
          <w:u w:val="single"/>
        </w:rPr>
        <w:t>direct causes of land degradation</w:t>
      </w:r>
      <w:r w:rsidRPr="4FA5C607">
        <w:rPr>
          <w:b/>
        </w:rPr>
        <w:t xml:space="preserve"> within the project zone</w:t>
      </w:r>
      <w:r w:rsidRPr="4FA5C607">
        <w:t xml:space="preserve"> are:</w:t>
      </w:r>
    </w:p>
    <w:p w14:paraId="6E62250C" w14:textId="22B28846" w:rsidR="00080BAD" w:rsidRPr="00080BAD" w:rsidRDefault="00080BAD" w:rsidP="001667C6">
      <w:pPr>
        <w:pStyle w:val="ParagraphOED"/>
        <w:numPr>
          <w:ilvl w:val="0"/>
          <w:numId w:val="37"/>
        </w:numPr>
        <w:spacing w:after="80"/>
      </w:pPr>
      <w:r>
        <w:rPr>
          <w:b/>
          <w:bCs/>
        </w:rPr>
        <w:t>Land-use change</w:t>
      </w:r>
      <w:r w:rsidRPr="00CE1EA7">
        <w:rPr>
          <w:b/>
          <w:bCs/>
        </w:rPr>
        <w:t>/land conversion</w:t>
      </w:r>
      <w:r w:rsidRPr="00CE1EA7">
        <w:t xml:space="preserve">: </w:t>
      </w:r>
      <w:r>
        <w:t>L</w:t>
      </w:r>
      <w:r w:rsidRPr="00CE1EA7">
        <w:t>and clearings are the main drivers</w:t>
      </w:r>
      <w:r>
        <w:t xml:space="preserve"> of land-use change/land conversion</w:t>
      </w:r>
      <w:r w:rsidR="00E41D99" w:rsidRPr="00E41D99">
        <w:t xml:space="preserve"> </w:t>
      </w:r>
      <w:r w:rsidR="00E41D99" w:rsidRPr="00CE1EA7">
        <w:t>for both small-scale and large commercial</w:t>
      </w:r>
      <w:r w:rsidR="00E41D99">
        <w:t>-scale</w:t>
      </w:r>
      <w:r w:rsidR="00E41D99" w:rsidRPr="00CE1EA7">
        <w:t xml:space="preserve"> crop farming</w:t>
      </w:r>
      <w:r w:rsidRPr="00CE1EA7">
        <w:t xml:space="preserve">. As seen in many cases, </w:t>
      </w:r>
      <w:r>
        <w:t>land-use change</w:t>
      </w:r>
      <w:r w:rsidRPr="00CE1EA7">
        <w:t xml:space="preserve"> in the project zone has not resulted in land improvement over the years.</w:t>
      </w:r>
    </w:p>
    <w:p w14:paraId="18D4E155" w14:textId="543E7B8D" w:rsidR="009563B4" w:rsidRDefault="009563B4" w:rsidP="001667C6">
      <w:pPr>
        <w:pStyle w:val="ParagraphOED"/>
        <w:numPr>
          <w:ilvl w:val="0"/>
          <w:numId w:val="37"/>
        </w:numPr>
        <w:spacing w:after="80"/>
      </w:pPr>
      <w:r w:rsidRPr="00CE1EA7">
        <w:rPr>
          <w:b/>
          <w:bCs/>
        </w:rPr>
        <w:t xml:space="preserve">Removal of woody </w:t>
      </w:r>
      <w:r>
        <w:rPr>
          <w:b/>
          <w:bCs/>
        </w:rPr>
        <w:t xml:space="preserve">biomass from the </w:t>
      </w:r>
      <w:r w:rsidRPr="00CE1EA7">
        <w:rPr>
          <w:b/>
          <w:bCs/>
        </w:rPr>
        <w:t>vegetation</w:t>
      </w:r>
      <w:r w:rsidRPr="00CE1EA7">
        <w:t xml:space="preserve"> is primarily linked to the harvesting of wood</w:t>
      </w:r>
      <w:r>
        <w:t>y biomass</w:t>
      </w:r>
      <w:r w:rsidRPr="00CE1EA7">
        <w:t xml:space="preserve"> </w:t>
      </w:r>
      <w:r w:rsidR="00820BD2">
        <w:t>mainly</w:t>
      </w:r>
      <w:r w:rsidRPr="00CE1EA7">
        <w:t xml:space="preserve"> </w:t>
      </w:r>
      <w:r>
        <w:t xml:space="preserve">for </w:t>
      </w:r>
      <w:r w:rsidRPr="00CE1EA7">
        <w:t xml:space="preserve">commercial </w:t>
      </w:r>
      <w:r w:rsidR="00820BD2">
        <w:t>charcoal production</w:t>
      </w:r>
      <w:r w:rsidR="004A3963">
        <w:t xml:space="preserve"> (to be sold in urban centers)</w:t>
      </w:r>
      <w:r w:rsidR="003A62C2">
        <w:t>.</w:t>
      </w:r>
      <w:r w:rsidRPr="00CE1EA7">
        <w:t xml:space="preserve"> </w:t>
      </w:r>
      <w:r>
        <w:t xml:space="preserve"> </w:t>
      </w:r>
      <w:r w:rsidR="003A62C2">
        <w:t>N</w:t>
      </w:r>
      <w:r>
        <w:t>one of the prevailing practices within the project’s landscapes include any form of previous resource assessment, planned harvest, rotation, replanting, or even tracking offtake.</w:t>
      </w:r>
      <w:r>
        <w:rPr>
          <w:rStyle w:val="FootnoteReference"/>
        </w:rPr>
        <w:footnoteReference w:id="14"/>
      </w:r>
      <w:r>
        <w:t xml:space="preserve"> Woody biomass removal </w:t>
      </w:r>
      <w:r w:rsidRPr="00CE1EA7">
        <w:t>affects Landscape #1</w:t>
      </w:r>
      <w:r w:rsidR="003A62C2" w:rsidRPr="003A62C2">
        <w:t xml:space="preserve"> </w:t>
      </w:r>
      <w:r w:rsidR="003A62C2">
        <w:t>(</w:t>
      </w:r>
      <w:r w:rsidR="003A62C2" w:rsidRPr="00C016CA">
        <w:t>Cuchi-Okavango</w:t>
      </w:r>
      <w:r w:rsidR="003A62C2">
        <w:t xml:space="preserve">) </w:t>
      </w:r>
      <w:r w:rsidRPr="00CE1EA7">
        <w:t>more than #2</w:t>
      </w:r>
      <w:r w:rsidR="003A62C2">
        <w:t xml:space="preserve"> </w:t>
      </w:r>
      <w:r w:rsidR="003A62C2" w:rsidRPr="00C016CA">
        <w:t>(Cahama-Cunene)</w:t>
      </w:r>
      <w:r w:rsidRPr="00CE1EA7">
        <w:t xml:space="preserve">. </w:t>
      </w:r>
    </w:p>
    <w:p w14:paraId="6063A0E4" w14:textId="78D69141" w:rsidR="007E0199" w:rsidRDefault="007E0199" w:rsidP="001667C6">
      <w:pPr>
        <w:pStyle w:val="ParagraphOED"/>
        <w:numPr>
          <w:ilvl w:val="0"/>
          <w:numId w:val="37"/>
        </w:numPr>
        <w:spacing w:after="80"/>
      </w:pPr>
      <w:r w:rsidRPr="002D62E4">
        <w:rPr>
          <w:b/>
          <w:bCs/>
        </w:rPr>
        <w:t>Maladaptive and unsustainable production practices</w:t>
      </w:r>
      <w:r w:rsidRPr="002D62E4">
        <w:t xml:space="preserve"> refer to th</w:t>
      </w:r>
      <w:r w:rsidR="00B45307">
        <w:t>os</w:t>
      </w:r>
      <w:r w:rsidRPr="002D62E4">
        <w:t>e techniques, technologies and practices commonly appl</w:t>
      </w:r>
      <w:r w:rsidR="00B45307">
        <w:t>ied</w:t>
      </w:r>
      <w:r w:rsidRPr="002D62E4">
        <w:t xml:space="preserve"> </w:t>
      </w:r>
      <w:r w:rsidR="00B45307">
        <w:t>to</w:t>
      </w:r>
      <w:r w:rsidR="00B45307" w:rsidRPr="002D62E4">
        <w:t xml:space="preserve"> </w:t>
      </w:r>
      <w:r w:rsidRPr="002D62E4">
        <w:t>production landscapes</w:t>
      </w:r>
      <w:r w:rsidR="00B45307">
        <w:t xml:space="preserve"> that</w:t>
      </w:r>
      <w:r w:rsidRPr="002D62E4">
        <w:t xml:space="preserve"> either result in or contribute </w:t>
      </w:r>
      <w:r w:rsidRPr="00102806">
        <w:t>to erosion, soil impoverishment and loss of biomass</w:t>
      </w:r>
      <w:r w:rsidR="00743A1C">
        <w:t xml:space="preserve"> (</w:t>
      </w:r>
      <w:r w:rsidR="00053564">
        <w:t xml:space="preserve">over </w:t>
      </w:r>
      <w:r w:rsidR="00743A1C">
        <w:t xml:space="preserve">tillage, </w:t>
      </w:r>
      <w:r w:rsidR="00540161">
        <w:t>slash-and-burn, fires for clearing, monoculture</w:t>
      </w:r>
      <w:r w:rsidR="00BA2014">
        <w:t>, etc.)</w:t>
      </w:r>
      <w:r w:rsidRPr="00102806">
        <w:t xml:space="preserve">. Unless </w:t>
      </w:r>
      <w:r w:rsidR="00B45307">
        <w:t xml:space="preserve">such </w:t>
      </w:r>
      <w:r w:rsidRPr="00102806">
        <w:t>practices are improved</w:t>
      </w:r>
      <w:r w:rsidR="00B45307">
        <w:t>,</w:t>
      </w:r>
      <w:r w:rsidRPr="00102806">
        <w:t xml:space="preserve"> adapted </w:t>
      </w:r>
      <w:r w:rsidR="00B45307">
        <w:t>or even stopped, depending on</w:t>
      </w:r>
      <w:r w:rsidRPr="00102806">
        <w:t xml:space="preserve"> the local context</w:t>
      </w:r>
      <w:r w:rsidR="00B45307">
        <w:t>,</w:t>
      </w:r>
      <w:r w:rsidRPr="00102806">
        <w:t xml:space="preserve"> the</w:t>
      </w:r>
      <w:r w:rsidR="00B45307">
        <w:t>ir</w:t>
      </w:r>
      <w:r w:rsidRPr="00102806">
        <w:t xml:space="preserve"> persistence will </w:t>
      </w:r>
      <w:r w:rsidR="00B45307">
        <w:t xml:space="preserve">degrade </w:t>
      </w:r>
      <w:r w:rsidRPr="00102806">
        <w:t xml:space="preserve">land degradation. </w:t>
      </w:r>
      <w:hyperlink w:anchor="Driver_per_LUS" w:history="1">
        <w:r w:rsidRPr="00102806">
          <w:rPr>
            <w:rStyle w:val="Hyperlink"/>
          </w:rPr>
          <w:t xml:space="preserve">Drivers that apply to specific </w:t>
        </w:r>
        <w:r w:rsidR="00B45307">
          <w:rPr>
            <w:rStyle w:val="Hyperlink"/>
          </w:rPr>
          <w:t>l</w:t>
        </w:r>
        <w:r w:rsidR="001B248C">
          <w:rPr>
            <w:rStyle w:val="Hyperlink"/>
          </w:rPr>
          <w:t>and-use sys</w:t>
        </w:r>
        <w:r w:rsidRPr="00102806">
          <w:rPr>
            <w:rStyle w:val="Hyperlink"/>
          </w:rPr>
          <w:t>tems (LUS)</w:t>
        </w:r>
        <w:r w:rsidR="005F6C19" w:rsidRPr="00102806" w:rsidDel="005F6C19">
          <w:rPr>
            <w:rStyle w:val="Hyperlink"/>
          </w:rPr>
          <w:t xml:space="preserve"> </w:t>
        </w:r>
      </w:hyperlink>
      <w:r w:rsidR="005F6C19">
        <w:t xml:space="preserve">are considered </w:t>
      </w:r>
      <w:r w:rsidRPr="00102806">
        <w:t xml:space="preserve"> </w:t>
      </w:r>
    </w:p>
    <w:p w14:paraId="47059886" w14:textId="77777777" w:rsidR="009563B4" w:rsidRPr="00C165AD" w:rsidRDefault="009563B4" w:rsidP="009563B4"/>
    <w:p w14:paraId="320DCB15" w14:textId="5331AE5C" w:rsidR="003547ED" w:rsidRDefault="003547ED" w:rsidP="001667C6">
      <w:pPr>
        <w:pStyle w:val="ParagraphOED"/>
        <w:numPr>
          <w:ilvl w:val="0"/>
          <w:numId w:val="102"/>
        </w:numPr>
        <w:spacing w:after="160"/>
      </w:pPr>
      <w:r w:rsidRPr="002A062B">
        <w:rPr>
          <w:b/>
          <w:bCs/>
        </w:rPr>
        <w:t xml:space="preserve">The causes and effects of landscape degradation </w:t>
      </w:r>
      <w:r>
        <w:rPr>
          <w:b/>
          <w:bCs/>
        </w:rPr>
        <w:t>can be</w:t>
      </w:r>
      <w:r w:rsidRPr="002A062B">
        <w:rPr>
          <w:b/>
          <w:bCs/>
        </w:rPr>
        <w:t xml:space="preserve"> mutually reinforcing</w:t>
      </w:r>
      <w:r>
        <w:rPr>
          <w:b/>
          <w:bCs/>
        </w:rPr>
        <w:t xml:space="preserve">: </w:t>
      </w:r>
      <w:r w:rsidRPr="00AB1A84">
        <w:t>The decline in land productivity in the targeted landscapes is shown</w:t>
      </w:r>
      <w:r>
        <w:t xml:space="preserve"> and described</w:t>
      </w:r>
      <w:r w:rsidRPr="00AB1A84">
        <w:t xml:space="preserve"> in </w:t>
      </w:r>
      <w:r w:rsidRPr="005F6C19">
        <w:rPr>
          <w:highlight w:val="lightGray"/>
        </w:rPr>
        <w:fldChar w:fldCharType="begin"/>
      </w:r>
      <w:r w:rsidRPr="005F6C19">
        <w:rPr>
          <w:highlight w:val="lightGray"/>
        </w:rPr>
        <w:instrText xml:space="preserve"> REF _Ref45742759 \h  \* MERGEFORMAT </w:instrText>
      </w:r>
      <w:r w:rsidRPr="005F6C19">
        <w:rPr>
          <w:highlight w:val="lightGray"/>
        </w:rPr>
      </w:r>
      <w:r w:rsidRPr="005F6C19">
        <w:rPr>
          <w:highlight w:val="lightGray"/>
        </w:rPr>
        <w:fldChar w:fldCharType="separate"/>
      </w:r>
      <w:r w:rsidR="00A64193" w:rsidRPr="00A64193">
        <w:rPr>
          <w:highlight w:val="lightGray"/>
        </w:rPr>
        <w:t xml:space="preserve">Figure </w:t>
      </w:r>
      <w:r w:rsidR="00A64193" w:rsidRPr="00A64193">
        <w:rPr>
          <w:noProof/>
          <w:highlight w:val="lightGray"/>
        </w:rPr>
        <w:t>4</w:t>
      </w:r>
      <w:r w:rsidRPr="005F6C19">
        <w:rPr>
          <w:highlight w:val="lightGray"/>
        </w:rPr>
        <w:fldChar w:fldCharType="end"/>
      </w:r>
      <w:r w:rsidRPr="004319DF">
        <w:t xml:space="preserve">. </w:t>
      </w:r>
      <w:r w:rsidRPr="00102806">
        <w:t xml:space="preserve">Together, the removal of woody biomass from a landscapes followed by land clearings can increase the incidence of fire, leading to </w:t>
      </w:r>
      <w:r>
        <w:t>reduced</w:t>
      </w:r>
      <w:r w:rsidRPr="00102806">
        <w:t xml:space="preserve"> land productivity unless</w:t>
      </w:r>
      <w:r>
        <w:t xml:space="preserve"> </w:t>
      </w:r>
      <w:r w:rsidRPr="00102806">
        <w:t>counte</w:t>
      </w:r>
      <w:r>
        <w:t xml:space="preserve">red </w:t>
      </w:r>
      <w:r w:rsidRPr="00102806">
        <w:t>by land improvement measures. Where small scale farming predominates under a common property regime</w:t>
      </w:r>
      <w:r w:rsidRPr="00102806">
        <w:rPr>
          <w:rStyle w:val="FootnoteReference"/>
        </w:rPr>
        <w:footnoteReference w:id="15"/>
      </w:r>
      <w:r w:rsidRPr="00102806">
        <w:t xml:space="preserve">, access by individual farmers to additional parcels of land is theoretically ‘unhindered’. </w:t>
      </w:r>
      <w:r>
        <w:t>N</w:t>
      </w:r>
      <w:r w:rsidRPr="00102806">
        <w:t xml:space="preserve">atural </w:t>
      </w:r>
      <w:r w:rsidRPr="00EA0400">
        <w:t xml:space="preserve">population growth </w:t>
      </w:r>
      <w:r>
        <w:t xml:space="preserve">in such </w:t>
      </w:r>
      <w:r w:rsidRPr="00EA0400">
        <w:t xml:space="preserve">an area will lead to the expansion of agricultural land at the expense of woodland ecosystems. This process happens </w:t>
      </w:r>
      <w:r>
        <w:t xml:space="preserve">over </w:t>
      </w:r>
      <w:r w:rsidRPr="00EA0400">
        <w:t xml:space="preserve">decades but evidence </w:t>
      </w:r>
      <w:r>
        <w:t xml:space="preserve">suggests </w:t>
      </w:r>
      <w:r w:rsidRPr="00EA0400">
        <w:t>that it is accelerating in certain parts of Angola</w:t>
      </w:r>
      <w:r>
        <w:t xml:space="preserve"> as the population grows and to the extent that it remains rural, requiring land and drawing on ecosystem services for their livelihoods</w:t>
      </w:r>
      <w:r w:rsidRPr="00EA0400">
        <w:t xml:space="preserve">. </w:t>
      </w:r>
    </w:p>
    <w:p w14:paraId="2F388CA6" w14:textId="0BDF99A3" w:rsidR="006E152F" w:rsidRPr="003547ED" w:rsidRDefault="006E152F" w:rsidP="006E152F">
      <w:pPr>
        <w:pStyle w:val="Caption"/>
        <w:spacing w:before="160" w:after="80"/>
        <w:rPr>
          <w:rFonts w:ascii="Calibri" w:hAnsi="Calibri" w:cs="Calibri"/>
          <w:sz w:val="22"/>
          <w:szCs w:val="22"/>
        </w:rPr>
      </w:pPr>
      <w:bookmarkStart w:id="28" w:name="_Ref45742759"/>
      <w:bookmarkStart w:id="29" w:name="_Toc45712127"/>
      <w:r w:rsidRPr="003547ED">
        <w:rPr>
          <w:rFonts w:ascii="Calibri" w:hAnsi="Calibri" w:cs="Calibri"/>
          <w:sz w:val="22"/>
          <w:szCs w:val="22"/>
        </w:rPr>
        <w:t xml:space="preserve">Figure </w:t>
      </w:r>
      <w:r w:rsidR="004355AD">
        <w:rPr>
          <w:rFonts w:ascii="Calibri" w:hAnsi="Calibri" w:cs="Calibri"/>
          <w:sz w:val="22"/>
          <w:szCs w:val="22"/>
        </w:rPr>
        <w:t>4</w:t>
      </w:r>
      <w:bookmarkEnd w:id="28"/>
      <w:r w:rsidRPr="003547ED">
        <w:rPr>
          <w:rFonts w:ascii="Calibri" w:hAnsi="Calibri" w:cs="Calibri"/>
          <w:sz w:val="22"/>
          <w:szCs w:val="22"/>
        </w:rPr>
        <w:t xml:space="preserve">. Land </w:t>
      </w:r>
      <w:r>
        <w:rPr>
          <w:rFonts w:ascii="Calibri" w:hAnsi="Calibri" w:cs="Calibri"/>
          <w:sz w:val="22"/>
          <w:szCs w:val="22"/>
        </w:rPr>
        <w:t>p</w:t>
      </w:r>
      <w:r w:rsidRPr="003547ED">
        <w:rPr>
          <w:rFonts w:ascii="Calibri" w:hAnsi="Calibri" w:cs="Calibri"/>
          <w:sz w:val="22"/>
          <w:szCs w:val="22"/>
        </w:rPr>
        <w:t>roductivity within target landscapes</w:t>
      </w:r>
      <w:bookmarkEnd w:id="29"/>
      <w:r w:rsidRPr="003547ED">
        <w:rPr>
          <w:rFonts w:ascii="Calibri" w:hAnsi="Calibri" w:cs="Calibri"/>
          <w:sz w:val="22"/>
          <w:szCs w:val="22"/>
        </w:rPr>
        <w:t xml:space="preserve"> </w:t>
      </w:r>
    </w:p>
    <w:tbl>
      <w:tblPr>
        <w:tblStyle w:val="TableGrid"/>
        <w:tblW w:w="5000" w:type="pct"/>
        <w:tblBorders>
          <w:top w:val="none" w:sz="0" w:space="0" w:color="auto"/>
          <w:left w:val="single" w:sz="12" w:space="0" w:color="auto"/>
          <w:bottom w:val="single" w:sz="12" w:space="0" w:color="auto"/>
          <w:right w:val="single" w:sz="12"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3848"/>
        <w:gridCol w:w="5148"/>
      </w:tblGrid>
      <w:tr w:rsidR="006E152F" w14:paraId="620237A3" w14:textId="77777777" w:rsidTr="78C544BE">
        <w:trPr>
          <w:cantSplit/>
        </w:trPr>
        <w:tc>
          <w:tcPr>
            <w:tcW w:w="2139" w:type="pct"/>
            <w:tcBorders>
              <w:top w:val="single" w:sz="12" w:space="0" w:color="auto"/>
              <w:bottom w:val="single" w:sz="12" w:space="0" w:color="auto"/>
              <w:right w:val="single" w:sz="12" w:space="0" w:color="auto"/>
            </w:tcBorders>
            <w:tcMar>
              <w:left w:w="0" w:type="dxa"/>
              <w:right w:w="0" w:type="dxa"/>
            </w:tcMar>
          </w:tcPr>
          <w:p w14:paraId="27788ECD" w14:textId="77777777" w:rsidR="006E152F" w:rsidRPr="002A3586" w:rsidRDefault="006E152F" w:rsidP="00303996">
            <w:pPr>
              <w:jc w:val="center"/>
              <w:rPr>
                <w:rFonts w:asciiTheme="minorHAnsi" w:hAnsiTheme="minorHAnsi" w:cstheme="minorHAnsi"/>
                <w:b/>
                <w:bCs/>
                <w:szCs w:val="20"/>
              </w:rPr>
            </w:pPr>
            <w:r w:rsidRPr="001171A1">
              <w:rPr>
                <w:rFonts w:asciiTheme="minorHAnsi" w:hAnsiTheme="minorHAnsi" w:cstheme="minorHAnsi"/>
                <w:b/>
                <w:bCs/>
                <w:szCs w:val="20"/>
              </w:rPr>
              <w:t>Sub-Basin 1 (Cuchi-Okavango)</w:t>
            </w:r>
          </w:p>
        </w:tc>
        <w:tc>
          <w:tcPr>
            <w:tcW w:w="2861" w:type="pct"/>
            <w:tcBorders>
              <w:top w:val="single" w:sz="12" w:space="0" w:color="auto"/>
              <w:left w:val="single" w:sz="12" w:space="0" w:color="auto"/>
              <w:bottom w:val="single" w:sz="12" w:space="0" w:color="auto"/>
            </w:tcBorders>
            <w:tcMar>
              <w:left w:w="0" w:type="dxa"/>
              <w:right w:w="0" w:type="dxa"/>
            </w:tcMar>
          </w:tcPr>
          <w:p w14:paraId="570B27C9" w14:textId="77777777" w:rsidR="006E152F" w:rsidRPr="002A3586" w:rsidRDefault="006E152F" w:rsidP="00303996">
            <w:pPr>
              <w:jc w:val="center"/>
              <w:rPr>
                <w:rFonts w:asciiTheme="minorHAnsi" w:hAnsiTheme="minorHAnsi" w:cstheme="minorHAnsi"/>
                <w:b/>
                <w:bCs/>
                <w:szCs w:val="20"/>
              </w:rPr>
            </w:pPr>
            <w:r w:rsidRPr="001171A1">
              <w:rPr>
                <w:rFonts w:asciiTheme="minorHAnsi" w:hAnsiTheme="minorHAnsi" w:cstheme="minorHAnsi"/>
                <w:b/>
                <w:bCs/>
                <w:szCs w:val="20"/>
              </w:rPr>
              <w:t xml:space="preserve">Sub-Basin </w:t>
            </w:r>
            <w:r>
              <w:rPr>
                <w:rFonts w:asciiTheme="minorHAnsi" w:hAnsiTheme="minorHAnsi" w:cstheme="minorHAnsi"/>
                <w:b/>
                <w:bCs/>
                <w:szCs w:val="20"/>
              </w:rPr>
              <w:t>2</w:t>
            </w:r>
            <w:r w:rsidRPr="001171A1">
              <w:rPr>
                <w:rFonts w:asciiTheme="minorHAnsi" w:hAnsiTheme="minorHAnsi" w:cstheme="minorHAnsi"/>
                <w:b/>
                <w:bCs/>
                <w:szCs w:val="20"/>
              </w:rPr>
              <w:t xml:space="preserve"> (</w:t>
            </w:r>
            <w:r>
              <w:rPr>
                <w:rFonts w:asciiTheme="minorHAnsi" w:hAnsiTheme="minorHAnsi" w:cstheme="minorHAnsi"/>
                <w:b/>
                <w:bCs/>
                <w:szCs w:val="20"/>
              </w:rPr>
              <w:t>Cahama-Cunene</w:t>
            </w:r>
            <w:r w:rsidRPr="001171A1">
              <w:rPr>
                <w:rFonts w:asciiTheme="minorHAnsi" w:hAnsiTheme="minorHAnsi" w:cstheme="minorHAnsi"/>
                <w:b/>
                <w:bCs/>
                <w:szCs w:val="20"/>
              </w:rPr>
              <w:t>)</w:t>
            </w:r>
          </w:p>
        </w:tc>
      </w:tr>
      <w:tr w:rsidR="006E152F" w14:paraId="3142846E" w14:textId="77777777" w:rsidTr="78C544BE">
        <w:trPr>
          <w:cantSplit/>
        </w:trPr>
        <w:tc>
          <w:tcPr>
            <w:tcW w:w="2139" w:type="pct"/>
            <w:tcBorders>
              <w:top w:val="single" w:sz="12" w:space="0" w:color="auto"/>
              <w:bottom w:val="single" w:sz="12" w:space="0" w:color="auto"/>
              <w:right w:val="single" w:sz="12" w:space="0" w:color="auto"/>
            </w:tcBorders>
            <w:tcMar>
              <w:left w:w="0" w:type="dxa"/>
              <w:right w:w="0" w:type="dxa"/>
            </w:tcMar>
          </w:tcPr>
          <w:p w14:paraId="0A1D5E75" w14:textId="77777777" w:rsidR="006E152F" w:rsidRDefault="006E152F" w:rsidP="00303996">
            <w:r w:rsidRPr="000F3F78">
              <w:rPr>
                <w:b/>
                <w:bCs/>
                <w:noProof/>
                <w:szCs w:val="20"/>
                <w:lang w:val="en-US" w:eastAsia="en-US"/>
              </w:rPr>
              <w:lastRenderedPageBreak/>
              <w:drawing>
                <wp:inline distT="0" distB="0" distL="0" distR="0" wp14:anchorId="3493549B" wp14:editId="13219DB2">
                  <wp:extent cx="2434590" cy="2451301"/>
                  <wp:effectExtent l="12700" t="12700" r="16510" b="12700"/>
                  <wp:docPr id="25" name="Picture 25"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Picture 25" descr="Map&#10;&#10;Description automatically generated"/>
                          <pic:cNvPicPr/>
                        </pic:nvPicPr>
                        <pic:blipFill>
                          <a:blip r:embed="rId32">
                            <a:extLst>
                              <a:ext uri="{28A0092B-C50C-407E-A947-70E740481C1C}">
                                <a14:useLocalDpi xmlns:a14="http://schemas.microsoft.com/office/drawing/2010/main"/>
                              </a:ext>
                            </a:extLst>
                          </a:blip>
                          <a:stretch>
                            <a:fillRect/>
                          </a:stretch>
                        </pic:blipFill>
                        <pic:spPr bwMode="auto">
                          <a:xfrm>
                            <a:off x="0" y="0"/>
                            <a:ext cx="2472900" cy="2489874"/>
                          </a:xfrm>
                          <a:prstGeom prst="rect">
                            <a:avLst/>
                          </a:prstGeom>
                          <a:ln w="12700">
                            <a:solidFill>
                              <a:schemeClr val="tx1"/>
                            </a:solidFill>
                          </a:ln>
                          <a:extLst>
                            <a:ext uri="{53640926-AAD7-44d8-BBD7-CCE9431645EC}">
                              <a14:shadowObscured xmlns:asvg="http://schemas.microsoft.com/office/drawing/2016/SVG/main" xmlns:a16="http://schemas.microsoft.com/office/drawing/2014/main" xmlns:ask="http://schemas.microsoft.com/office/drawing/2018/sketchyshapes"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xmlns:arto="http://schemas.microsoft.com/office/word/2006/arto"/>
                            </a:ext>
                          </a:extLst>
                        </pic:spPr>
                      </pic:pic>
                    </a:graphicData>
                  </a:graphic>
                </wp:inline>
              </w:drawing>
            </w:r>
          </w:p>
        </w:tc>
        <w:tc>
          <w:tcPr>
            <w:tcW w:w="2861" w:type="pct"/>
            <w:tcBorders>
              <w:top w:val="single" w:sz="12" w:space="0" w:color="auto"/>
              <w:left w:val="single" w:sz="12" w:space="0" w:color="auto"/>
              <w:bottom w:val="single" w:sz="12" w:space="0" w:color="auto"/>
            </w:tcBorders>
            <w:tcMar>
              <w:left w:w="0" w:type="dxa"/>
              <w:right w:w="0" w:type="dxa"/>
            </w:tcMar>
          </w:tcPr>
          <w:p w14:paraId="23BD53BF" w14:textId="77777777" w:rsidR="006E152F" w:rsidRDefault="006E152F" w:rsidP="00303996">
            <w:pPr>
              <w:jc w:val="both"/>
            </w:pPr>
            <w:r>
              <w:rPr>
                <w:noProof/>
                <w:szCs w:val="20"/>
                <w:lang w:val="en-US" w:eastAsia="en-US"/>
              </w:rPr>
              <w:drawing>
                <wp:inline distT="0" distB="0" distL="0" distR="0" wp14:anchorId="0BAB71E9" wp14:editId="4B3DAC9E">
                  <wp:extent cx="3321768" cy="2463800"/>
                  <wp:effectExtent l="0" t="0" r="5715" b="0"/>
                  <wp:docPr id="14" name="Picture 14"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descr="Map&#10;&#10;Description automatically generated"/>
                          <pic:cNvPicPr/>
                        </pic:nvPicPr>
                        <pic:blipFill>
                          <a:blip r:embed="rId33">
                            <a:extLst>
                              <a:ext uri="{28A0092B-C50C-407E-A947-70E740481C1C}">
                                <a14:useLocalDpi xmlns:a14="http://schemas.microsoft.com/office/drawing/2010/main"/>
                              </a:ext>
                            </a:extLst>
                          </a:blip>
                          <a:stretch>
                            <a:fillRect/>
                          </a:stretch>
                        </pic:blipFill>
                        <pic:spPr bwMode="auto">
                          <a:xfrm>
                            <a:off x="0" y="0"/>
                            <a:ext cx="3455230" cy="2562791"/>
                          </a:xfrm>
                          <a:prstGeom prst="rect">
                            <a:avLst/>
                          </a:prstGeom>
                          <a:ln>
                            <a:noFill/>
                          </a:ln>
                          <a:extLst>
                            <a:ext uri="{53640926-AAD7-44d8-BBD7-CCE9431645EC}">
                              <a14:shadowObscured xmlns:asvg="http://schemas.microsoft.com/office/drawing/2016/SVG/main" xmlns:a16="http://schemas.microsoft.com/office/drawing/2014/main" xmlns:ask="http://schemas.microsoft.com/office/drawing/2018/sketchyshapes"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xmlns:arto="http://schemas.microsoft.com/office/word/2006/arto"/>
                            </a:ext>
                          </a:extLst>
                        </pic:spPr>
                      </pic:pic>
                    </a:graphicData>
                  </a:graphic>
                </wp:inline>
              </w:drawing>
            </w:r>
          </w:p>
        </w:tc>
      </w:tr>
      <w:tr w:rsidR="006E152F" w14:paraId="10A9B6FB" w14:textId="77777777" w:rsidTr="78C544BE">
        <w:trPr>
          <w:cantSplit/>
        </w:trPr>
        <w:tc>
          <w:tcPr>
            <w:tcW w:w="5000" w:type="pct"/>
            <w:gridSpan w:val="2"/>
            <w:tcBorders>
              <w:top w:val="single" w:sz="12" w:space="0" w:color="auto"/>
              <w:bottom w:val="nil"/>
            </w:tcBorders>
            <w:tcMar>
              <w:left w:w="0" w:type="dxa"/>
              <w:right w:w="0" w:type="dxa"/>
            </w:tcMar>
          </w:tcPr>
          <w:p w14:paraId="5FDF32B8" w14:textId="77777777" w:rsidR="006E152F" w:rsidRDefault="006E152F" w:rsidP="00303996">
            <w:pPr>
              <w:jc w:val="right"/>
            </w:pPr>
            <w:r w:rsidRPr="00EC2FB3">
              <w:rPr>
                <w:sz w:val="16"/>
                <w:szCs w:val="16"/>
              </w:rPr>
              <w:t xml:space="preserve">Source: </w:t>
            </w:r>
            <w:r w:rsidRPr="00EC2FB3">
              <w:rPr>
                <w:rFonts w:ascii="Calibri" w:hAnsi="Calibri" w:cs="Calibri"/>
                <w:sz w:val="16"/>
                <w:szCs w:val="16"/>
              </w:rPr>
              <w:t>Earth Map (</w:t>
            </w:r>
            <w:hyperlink r:id="rId34" w:history="1">
              <w:r w:rsidRPr="00EC2FB3">
                <w:rPr>
                  <w:rStyle w:val="Hyperlink"/>
                  <w:rFonts w:ascii="Calibri" w:hAnsi="Calibri" w:cs="Calibri"/>
                  <w:sz w:val="16"/>
                  <w:szCs w:val="16"/>
                </w:rPr>
                <w:t>https://earthmap.org/</w:t>
              </w:r>
            </w:hyperlink>
            <w:r w:rsidRPr="00EC2FB3">
              <w:rPr>
                <w:rFonts w:ascii="Calibri" w:hAnsi="Calibri" w:cs="Calibri"/>
                <w:sz w:val="16"/>
                <w:szCs w:val="16"/>
              </w:rPr>
              <w:t>)</w:t>
            </w:r>
          </w:p>
        </w:tc>
      </w:tr>
      <w:tr w:rsidR="006E152F" w14:paraId="1F585628" w14:textId="77777777" w:rsidTr="78C544BE">
        <w:trPr>
          <w:cantSplit/>
          <w:trHeight w:val="515"/>
        </w:trPr>
        <w:tc>
          <w:tcPr>
            <w:tcW w:w="5000" w:type="pct"/>
            <w:gridSpan w:val="2"/>
            <w:tcBorders>
              <w:bottom w:val="single" w:sz="12" w:space="0" w:color="auto"/>
            </w:tcBorders>
            <w:tcMar>
              <w:left w:w="0" w:type="dxa"/>
              <w:right w:w="0" w:type="dxa"/>
            </w:tcMar>
          </w:tcPr>
          <w:p w14:paraId="59DD7181" w14:textId="77777777" w:rsidR="006E152F" w:rsidRDefault="62C292BE" w:rsidP="00303996">
            <w:pPr>
              <w:jc w:val="center"/>
            </w:pPr>
            <w:r>
              <w:rPr>
                <w:noProof/>
              </w:rPr>
              <w:drawing>
                <wp:inline distT="0" distB="0" distL="0" distR="0" wp14:anchorId="1814135A" wp14:editId="60EA5743">
                  <wp:extent cx="5217457" cy="248451"/>
                  <wp:effectExtent l="0" t="0" r="2540" b="5715"/>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pic:nvPicPr>
                        <pic:blipFill>
                          <a:blip r:embed="rId35">
                            <a:extLst>
                              <a:ext uri="{28A0092B-C50C-407E-A947-70E740481C1C}">
                                <a14:useLocalDpi xmlns:a14="http://schemas.microsoft.com/office/drawing/2010/main"/>
                              </a:ext>
                            </a:extLst>
                          </a:blip>
                          <a:stretch>
                            <a:fillRect/>
                          </a:stretch>
                        </pic:blipFill>
                        <pic:spPr>
                          <a:xfrm>
                            <a:off x="0" y="0"/>
                            <a:ext cx="5217457" cy="248451"/>
                          </a:xfrm>
                          <a:prstGeom prst="rect">
                            <a:avLst/>
                          </a:prstGeom>
                        </pic:spPr>
                      </pic:pic>
                    </a:graphicData>
                  </a:graphic>
                </wp:inline>
              </w:drawing>
            </w:r>
          </w:p>
        </w:tc>
      </w:tr>
    </w:tbl>
    <w:p w14:paraId="22C9B308" w14:textId="760EAFA7" w:rsidR="009563B4" w:rsidRPr="0034265F" w:rsidRDefault="008D2615" w:rsidP="001667C6">
      <w:pPr>
        <w:pStyle w:val="ParagraphOED"/>
        <w:numPr>
          <w:ilvl w:val="0"/>
          <w:numId w:val="102"/>
        </w:numPr>
        <w:spacing w:before="160" w:after="160"/>
      </w:pPr>
      <w:r w:rsidRPr="008D2615">
        <w:rPr>
          <w:b/>
          <w:bCs/>
        </w:rPr>
        <w:t xml:space="preserve">Climate risks and threats will affect natural assets and livelihoods within </w:t>
      </w:r>
      <w:r>
        <w:rPr>
          <w:b/>
          <w:bCs/>
        </w:rPr>
        <w:t xml:space="preserve">the </w:t>
      </w:r>
      <w:r w:rsidRPr="008D2615">
        <w:rPr>
          <w:b/>
          <w:bCs/>
        </w:rPr>
        <w:t>project zone</w:t>
      </w:r>
      <w:r>
        <w:rPr>
          <w:b/>
          <w:bCs/>
        </w:rPr>
        <w:t>.</w:t>
      </w:r>
      <w:r>
        <w:t xml:space="preserve"> </w:t>
      </w:r>
      <w:r w:rsidR="007C6AEE">
        <w:t>M</w:t>
      </w:r>
      <w:r w:rsidR="009563B4" w:rsidRPr="0034265F">
        <w:t>ajor sectors likely to be affected by climate change include agriculture and food security, forests and biodiversity, and water resources</w:t>
      </w:r>
      <w:r w:rsidR="007C6AEE" w:rsidRPr="007C6AEE">
        <w:t xml:space="preserve"> </w:t>
      </w:r>
      <w:r w:rsidR="007C6AEE">
        <w:t>a</w:t>
      </w:r>
      <w:r w:rsidR="007C6AEE" w:rsidRPr="0034265F">
        <w:t>ccording to the Angolan NAPA (2011)</w:t>
      </w:r>
      <w:r w:rsidR="009563B4" w:rsidRPr="0034265F">
        <w:t xml:space="preserve">. The NAPA stressed that </w:t>
      </w:r>
      <w:r w:rsidR="007C6AEE">
        <w:t>P</w:t>
      </w:r>
      <w:r w:rsidR="009563B4" w:rsidRPr="0034265F">
        <w:t>revailing climatic scenarios for Angola in first half of the 21</w:t>
      </w:r>
      <w:r w:rsidR="009563B4" w:rsidRPr="000520B1">
        <w:rPr>
          <w:vertAlign w:val="superscript"/>
        </w:rPr>
        <w:t>st</w:t>
      </w:r>
      <w:r w:rsidR="009563B4" w:rsidRPr="0034265F">
        <w:t xml:space="preserve"> century </w:t>
      </w:r>
      <w:r w:rsidR="007C6AEE">
        <w:t>pose</w:t>
      </w:r>
      <w:r w:rsidR="009563B4" w:rsidRPr="0034265F">
        <w:t xml:space="preserve"> an added risk to the economy and to local communities’ resilience.</w:t>
      </w:r>
      <w:r w:rsidR="009563B4">
        <w:t xml:space="preserve"> </w:t>
      </w:r>
      <w:r w:rsidR="009563B4" w:rsidRPr="0034265F">
        <w:t xml:space="preserve"> Some of the </w:t>
      </w:r>
      <w:r w:rsidR="007C6AEE">
        <w:t>M</w:t>
      </w:r>
      <w:r w:rsidR="009563B4" w:rsidRPr="0034265F">
        <w:t xml:space="preserve">iombo and </w:t>
      </w:r>
      <w:r w:rsidR="007C6AEE">
        <w:t>M</w:t>
      </w:r>
      <w:r w:rsidR="009563B4" w:rsidRPr="0034265F">
        <w:t xml:space="preserve">opane belts in southern Angola fall within a water scarce region that undoubtedly </w:t>
      </w:r>
      <w:r w:rsidR="00A806E9" w:rsidRPr="0034265F">
        <w:t xml:space="preserve">would </w:t>
      </w:r>
      <w:r w:rsidR="009563B4" w:rsidRPr="0034265F">
        <w:t xml:space="preserve">be classified globally as a dryland (aridity index </w:t>
      </w:r>
      <w:r w:rsidR="00713A91">
        <w:rPr>
          <w:rFonts w:ascii="Symbol" w:eastAsia="Symbol" w:hAnsi="Symbol" w:cs="Symbol"/>
        </w:rPr>
        <w:t></w:t>
      </w:r>
      <w:r w:rsidR="009563B4" w:rsidRPr="0034265F">
        <w:t xml:space="preserve"> 0.65).</w:t>
      </w:r>
      <w:r w:rsidR="00A806E9" w:rsidRPr="00A806E9">
        <w:rPr>
          <w:rStyle w:val="FootnoteReference"/>
        </w:rPr>
        <w:t xml:space="preserve"> </w:t>
      </w:r>
      <w:r w:rsidR="00A806E9" w:rsidRPr="0034265F">
        <w:rPr>
          <w:rStyle w:val="FootnoteReference"/>
        </w:rPr>
        <w:footnoteReference w:id="16"/>
      </w:r>
      <w:r w:rsidR="009563B4" w:rsidRPr="0034265F">
        <w:t xml:space="preserve"> </w:t>
      </w:r>
    </w:p>
    <w:p w14:paraId="2EE5F52D" w14:textId="270AABDC" w:rsidR="009563B4" w:rsidRDefault="009563B4" w:rsidP="001667C6">
      <w:pPr>
        <w:pStyle w:val="ParagraphOED"/>
        <w:numPr>
          <w:ilvl w:val="0"/>
          <w:numId w:val="102"/>
        </w:numPr>
        <w:spacing w:after="160"/>
      </w:pPr>
      <w:bookmarkStart w:id="30" w:name="_Ref52200914"/>
      <w:r w:rsidRPr="0034265F">
        <w:t xml:space="preserve">More specifically, climate change will impact people and </w:t>
      </w:r>
      <w:r w:rsidR="00713A91">
        <w:t xml:space="preserve">their </w:t>
      </w:r>
      <w:r w:rsidRPr="0034265F">
        <w:t>livelihoods in southern Angola in ways that are only beginning to be assessed. IFAD</w:t>
      </w:r>
      <w:r w:rsidR="005B11D2">
        <w:t>’s</w:t>
      </w:r>
      <w:r w:rsidRPr="0034265F">
        <w:t xml:space="preserve"> CRA</w:t>
      </w:r>
      <w:r w:rsidRPr="0034265F">
        <w:rPr>
          <w:rStyle w:val="FootnoteReference"/>
        </w:rPr>
        <w:footnoteReference w:id="17"/>
      </w:r>
      <w:r w:rsidRPr="0034265F">
        <w:t xml:space="preserve"> indicates that </w:t>
      </w:r>
      <w:r w:rsidR="005B11D2">
        <w:t>l</w:t>
      </w:r>
      <w:r w:rsidRPr="0034265F">
        <w:t>arge parts of Cuando Cubango and Cunene province</w:t>
      </w:r>
      <w:r w:rsidR="000A096A">
        <w:t>s</w:t>
      </w:r>
      <w:r w:rsidRPr="0034265F">
        <w:t xml:space="preserve"> will likely experience water stress</w:t>
      </w:r>
      <w:r w:rsidR="000A096A">
        <w:t xml:space="preserve"> </w:t>
      </w:r>
      <w:r w:rsidRPr="0034265F">
        <w:t>and potentially conflict over water resources during periods of drought</w:t>
      </w:r>
      <w:r w:rsidR="005B11D2">
        <w:t>. Moreover,</w:t>
      </w:r>
      <w:r w:rsidR="000A096A">
        <w:t xml:space="preserve"> t</w:t>
      </w:r>
      <w:r w:rsidRPr="0034265F">
        <w:t>emperature and precipitation anomalies could make the cultivation of certain crops</w:t>
      </w:r>
      <w:r w:rsidR="000A096A">
        <w:t>, notably cassava and maize</w:t>
      </w:r>
      <w:r w:rsidR="00F171EA">
        <w:t xml:space="preserve"> – both staples</w:t>
      </w:r>
      <w:r w:rsidR="000A096A">
        <w:t>,</w:t>
      </w:r>
      <w:r w:rsidRPr="0034265F">
        <w:t xml:space="preserve"> unviable in </w:t>
      </w:r>
      <w:r w:rsidR="005B11D2">
        <w:t>both</w:t>
      </w:r>
      <w:r w:rsidRPr="0034265F">
        <w:t xml:space="preserve"> provinces</w:t>
      </w:r>
      <w:r w:rsidR="00F171EA">
        <w:t xml:space="preserve"> under mid-century climate change scenarios. Further details are summarized </w:t>
      </w:r>
      <w:r w:rsidR="00F171EA" w:rsidRPr="005B11D2">
        <w:t>in</w:t>
      </w:r>
      <w:r w:rsidR="00F171EA" w:rsidRPr="005B11D2">
        <w:rPr>
          <w:highlight w:val="lightGray"/>
        </w:rPr>
        <w:t xml:space="preserve"> </w:t>
      </w:r>
      <w:r w:rsidR="00F171EA" w:rsidRPr="005B11D2">
        <w:rPr>
          <w:highlight w:val="lightGray"/>
        </w:rPr>
        <w:fldChar w:fldCharType="begin"/>
      </w:r>
      <w:r w:rsidR="00F171EA" w:rsidRPr="005B11D2">
        <w:rPr>
          <w:highlight w:val="lightGray"/>
        </w:rPr>
        <w:instrText xml:space="preserve"> REF _Ref44856112 \h  \* MERGEFORMAT </w:instrText>
      </w:r>
      <w:r w:rsidR="00F171EA" w:rsidRPr="005B11D2">
        <w:rPr>
          <w:highlight w:val="lightGray"/>
        </w:rPr>
      </w:r>
      <w:r w:rsidR="00F171EA" w:rsidRPr="005B11D2">
        <w:rPr>
          <w:highlight w:val="lightGray"/>
        </w:rPr>
        <w:fldChar w:fldCharType="separate"/>
      </w:r>
      <w:r w:rsidR="00A64193" w:rsidRPr="00A64193">
        <w:rPr>
          <w:highlight w:val="lightGray"/>
          <w:u w:val="single"/>
        </w:rPr>
        <w:t>Box 15</w:t>
      </w:r>
      <w:r w:rsidR="00F171EA" w:rsidRPr="005B11D2">
        <w:rPr>
          <w:highlight w:val="lightGray"/>
        </w:rPr>
        <w:fldChar w:fldCharType="end"/>
      </w:r>
      <w:r w:rsidR="00F171EA">
        <w:t xml:space="preserve"> (</w:t>
      </w:r>
      <w:hyperlink w:anchor="_Annex_X-3:_Additional_1" w:history="1">
        <w:r w:rsidR="00F171EA" w:rsidRPr="005B11D2">
          <w:rPr>
            <w:rStyle w:val="Hyperlink"/>
            <w:highlight w:val="lightGray"/>
          </w:rPr>
          <w:t>Annex X-3</w:t>
        </w:r>
      </w:hyperlink>
      <w:r w:rsidR="00F171EA">
        <w:rPr>
          <w:rStyle w:val="Hyperlink"/>
        </w:rPr>
        <w:t>)</w:t>
      </w:r>
      <w:r w:rsidR="005B11D2">
        <w:t>.</w:t>
      </w:r>
      <w:r w:rsidRPr="0034265F">
        <w:t xml:space="preserve"> </w:t>
      </w:r>
      <w:r w:rsidR="005B11D2">
        <w:t>T</w:t>
      </w:r>
      <w:r w:rsidRPr="0034265F">
        <w:t xml:space="preserve">he SHARP results </w:t>
      </w:r>
      <w:r w:rsidR="005B11D2">
        <w:t xml:space="preserve">indicate that </w:t>
      </w:r>
      <w:r w:rsidRPr="0034265F">
        <w:t xml:space="preserve">those living in the project zone </w:t>
      </w:r>
      <w:r w:rsidR="005B11D2">
        <w:t>under</w:t>
      </w:r>
      <w:r w:rsidR="005B11D2" w:rsidRPr="0034265F">
        <w:t xml:space="preserve"> baseline</w:t>
      </w:r>
      <w:r w:rsidR="005B11D2">
        <w:t xml:space="preserve"> conditions</w:t>
      </w:r>
      <w:r w:rsidR="005B11D2" w:rsidRPr="0034265F">
        <w:t xml:space="preserve"> </w:t>
      </w:r>
      <w:r w:rsidRPr="0034265F">
        <w:t>display low levels of resilience and limited adaptive capacity with respect to crops, water conservation, pest management, etc.</w:t>
      </w:r>
      <w:bookmarkEnd w:id="30"/>
      <w:r w:rsidRPr="0034265F">
        <w:t xml:space="preserve"> </w:t>
      </w:r>
    </w:p>
    <w:p w14:paraId="3F8A62A6" w14:textId="1C4E10A3" w:rsidR="00F13837" w:rsidRPr="00A538FA" w:rsidRDefault="00A538FA" w:rsidP="00A538FA">
      <w:pPr>
        <w:pStyle w:val="ParagraphOED"/>
        <w:numPr>
          <w:ilvl w:val="0"/>
          <w:numId w:val="0"/>
        </w:numPr>
        <w:spacing w:after="160"/>
        <w:rPr>
          <w:b/>
          <w:bCs/>
        </w:rPr>
      </w:pPr>
      <w:r w:rsidRPr="00A538FA">
        <w:rPr>
          <w:b/>
          <w:bCs/>
          <w:szCs w:val="21"/>
          <w:highlight w:val="lightGray"/>
        </w:rPr>
        <w:t xml:space="preserve">Root Causes and Drivers of Land Degradation at </w:t>
      </w:r>
      <w:r w:rsidRPr="00A538FA">
        <w:rPr>
          <w:b/>
          <w:bCs/>
          <w:szCs w:val="21"/>
          <w:highlight w:val="lightGray"/>
          <w:lang w:val="en-GB"/>
        </w:rPr>
        <w:t>L</w:t>
      </w:r>
      <w:r w:rsidRPr="00A538FA">
        <w:rPr>
          <w:b/>
          <w:bCs/>
          <w:szCs w:val="21"/>
          <w:highlight w:val="lightGray"/>
        </w:rPr>
        <w:t xml:space="preserve">andscape </w:t>
      </w:r>
      <w:r w:rsidRPr="00A538FA">
        <w:rPr>
          <w:b/>
          <w:bCs/>
          <w:szCs w:val="21"/>
          <w:highlight w:val="lightGray"/>
          <w:lang w:val="en-GB"/>
        </w:rPr>
        <w:t>L</w:t>
      </w:r>
      <w:r w:rsidRPr="00A538FA">
        <w:rPr>
          <w:b/>
          <w:bCs/>
          <w:szCs w:val="21"/>
          <w:highlight w:val="lightGray"/>
        </w:rPr>
        <w:t>evel</w:t>
      </w:r>
      <w:r w:rsidRPr="00A538FA">
        <w:rPr>
          <w:b/>
          <w:bCs/>
          <w:szCs w:val="21"/>
          <w:highlight w:val="lightGray"/>
          <w:lang w:val="en-GB"/>
        </w:rPr>
        <w:t>s</w:t>
      </w:r>
    </w:p>
    <w:p w14:paraId="203ED3FE" w14:textId="4F910C56" w:rsidR="008D2615" w:rsidRPr="008D2615" w:rsidRDefault="001B248C" w:rsidP="008D2615">
      <w:pPr>
        <w:spacing w:after="160"/>
        <w:rPr>
          <w:rFonts w:ascii="Calibri" w:hAnsi="Calibri" w:cs="Calibri"/>
          <w:sz w:val="21"/>
          <w:szCs w:val="21"/>
        </w:rPr>
      </w:pPr>
      <w:r w:rsidRPr="008D2615">
        <w:rPr>
          <w:rFonts w:ascii="Calibri" w:hAnsi="Calibri" w:cs="Calibri"/>
          <w:b/>
          <w:bCs/>
          <w:sz w:val="21"/>
          <w:szCs w:val="21"/>
        </w:rPr>
        <w:t>Land-use change</w:t>
      </w:r>
      <w:r w:rsidR="009563B4" w:rsidRPr="008D2615">
        <w:rPr>
          <w:rFonts w:ascii="Calibri" w:hAnsi="Calibri" w:cs="Calibri"/>
          <w:sz w:val="21"/>
          <w:szCs w:val="21"/>
        </w:rPr>
        <w:t xml:space="preserve"> is the most important process</w:t>
      </w:r>
      <w:r w:rsidR="008A66B6" w:rsidRPr="008D2615">
        <w:rPr>
          <w:rFonts w:ascii="Calibri" w:hAnsi="Calibri" w:cs="Calibri"/>
          <w:sz w:val="21"/>
          <w:szCs w:val="21"/>
        </w:rPr>
        <w:t xml:space="preserve"> that</w:t>
      </w:r>
      <w:r w:rsidR="009563B4" w:rsidRPr="008D2615">
        <w:rPr>
          <w:rFonts w:ascii="Calibri" w:hAnsi="Calibri" w:cs="Calibri"/>
          <w:sz w:val="21"/>
          <w:szCs w:val="21"/>
        </w:rPr>
        <w:t xml:space="preserve"> affect</w:t>
      </w:r>
      <w:r w:rsidR="008A66B6" w:rsidRPr="008D2615">
        <w:rPr>
          <w:rFonts w:ascii="Calibri" w:hAnsi="Calibri" w:cs="Calibri"/>
          <w:sz w:val="21"/>
          <w:szCs w:val="21"/>
        </w:rPr>
        <w:t>s</w:t>
      </w:r>
      <w:r w:rsidR="009563B4" w:rsidRPr="008D2615">
        <w:rPr>
          <w:rFonts w:ascii="Calibri" w:hAnsi="Calibri" w:cs="Calibri"/>
          <w:sz w:val="21"/>
          <w:szCs w:val="21"/>
        </w:rPr>
        <w:t xml:space="preserve"> </w:t>
      </w:r>
      <w:r w:rsidR="009563B4" w:rsidRPr="008D2615">
        <w:rPr>
          <w:rFonts w:ascii="Calibri" w:hAnsi="Calibri" w:cs="Calibri"/>
          <w:b/>
          <w:bCs/>
          <w:sz w:val="21"/>
          <w:szCs w:val="21"/>
        </w:rPr>
        <w:t>natural and semi-natural vegetation</w:t>
      </w:r>
      <w:r w:rsidR="009563B4" w:rsidRPr="008D2615">
        <w:rPr>
          <w:rFonts w:ascii="Calibri" w:hAnsi="Calibri" w:cs="Calibri"/>
          <w:sz w:val="21"/>
          <w:szCs w:val="21"/>
        </w:rPr>
        <w:t xml:space="preserve">, and leads to land degradation within the </w:t>
      </w:r>
      <w:r w:rsidR="008A66B6" w:rsidRPr="008D2615">
        <w:rPr>
          <w:rFonts w:ascii="Calibri" w:hAnsi="Calibri" w:cs="Calibri"/>
          <w:sz w:val="21"/>
          <w:szCs w:val="21"/>
        </w:rPr>
        <w:t>Miombo-</w:t>
      </w:r>
      <w:r w:rsidR="009563B4" w:rsidRPr="008D2615">
        <w:rPr>
          <w:rFonts w:ascii="Calibri" w:hAnsi="Calibri" w:cs="Calibri"/>
          <w:sz w:val="21"/>
          <w:szCs w:val="21"/>
        </w:rPr>
        <w:t>Mopane woodlands landscapes of southern Angola</w:t>
      </w:r>
      <w:r w:rsidR="009563B4" w:rsidRPr="008D2615">
        <w:rPr>
          <w:rFonts w:ascii="Calibri" w:hAnsi="Calibri" w:cs="Calibri"/>
          <w:b/>
          <w:bCs/>
          <w:sz w:val="21"/>
          <w:szCs w:val="21"/>
        </w:rPr>
        <w:t>.</w:t>
      </w:r>
      <w:r w:rsidR="009563B4" w:rsidRPr="008D2615">
        <w:rPr>
          <w:rFonts w:ascii="Calibri" w:hAnsi="Calibri" w:cs="Calibri"/>
          <w:sz w:val="21"/>
          <w:szCs w:val="21"/>
        </w:rPr>
        <w:t xml:space="preserve"> </w:t>
      </w:r>
      <w:r w:rsidR="008A66B6" w:rsidRPr="008D2615">
        <w:rPr>
          <w:rFonts w:ascii="Calibri" w:hAnsi="Calibri" w:cs="Calibri"/>
          <w:sz w:val="21"/>
          <w:szCs w:val="21"/>
        </w:rPr>
        <w:t xml:space="preserve">The processes are different </w:t>
      </w:r>
      <w:r w:rsidR="006B2662" w:rsidRPr="008D2615">
        <w:rPr>
          <w:rFonts w:ascii="Calibri" w:hAnsi="Calibri" w:cs="Calibri"/>
          <w:sz w:val="21"/>
          <w:szCs w:val="21"/>
        </w:rPr>
        <w:t>for</w:t>
      </w:r>
      <w:r w:rsidR="006B2662" w:rsidRPr="008D2615">
        <w:rPr>
          <w:rFonts w:ascii="Calibri" w:hAnsi="Calibri" w:cs="Calibri"/>
          <w:b/>
          <w:bCs/>
          <w:sz w:val="21"/>
          <w:szCs w:val="21"/>
        </w:rPr>
        <w:t xml:space="preserve"> </w:t>
      </w:r>
      <w:r w:rsidR="009563B4" w:rsidRPr="008D2615">
        <w:rPr>
          <w:rFonts w:ascii="Calibri" w:hAnsi="Calibri" w:cs="Calibri"/>
          <w:b/>
          <w:bCs/>
          <w:sz w:val="21"/>
          <w:szCs w:val="21"/>
        </w:rPr>
        <w:t>productive lands</w:t>
      </w:r>
      <w:r w:rsidR="006B2662" w:rsidRPr="008D2615">
        <w:rPr>
          <w:rFonts w:ascii="Calibri" w:hAnsi="Calibri" w:cs="Calibri"/>
          <w:sz w:val="21"/>
          <w:szCs w:val="21"/>
        </w:rPr>
        <w:t xml:space="preserve">, which for purposes of this </w:t>
      </w:r>
      <w:r w:rsidR="009563B4" w:rsidRPr="008D2615">
        <w:rPr>
          <w:rFonts w:ascii="Calibri" w:hAnsi="Calibri" w:cs="Calibri"/>
          <w:sz w:val="21"/>
          <w:szCs w:val="21"/>
        </w:rPr>
        <w:t>project</w:t>
      </w:r>
      <w:r w:rsidR="006B2662" w:rsidRPr="008D2615">
        <w:rPr>
          <w:rFonts w:ascii="Calibri" w:hAnsi="Calibri" w:cs="Calibri"/>
          <w:sz w:val="21"/>
          <w:szCs w:val="21"/>
        </w:rPr>
        <w:t xml:space="preserve"> are defined as landscapes that comprise</w:t>
      </w:r>
      <w:r w:rsidR="009563B4" w:rsidRPr="008D2615">
        <w:rPr>
          <w:rFonts w:ascii="Calibri" w:hAnsi="Calibri" w:cs="Calibri"/>
          <w:sz w:val="21"/>
          <w:szCs w:val="21"/>
        </w:rPr>
        <w:t xml:space="preserve"> </w:t>
      </w:r>
      <w:r w:rsidR="009563B4" w:rsidRPr="008D2615">
        <w:rPr>
          <w:rFonts w:ascii="Calibri" w:hAnsi="Calibri" w:cs="Calibri"/>
          <w:i/>
          <w:iCs/>
          <w:sz w:val="21"/>
          <w:szCs w:val="21"/>
          <w:u w:val="single"/>
        </w:rPr>
        <w:t>cropland</w:t>
      </w:r>
      <w:r w:rsidR="006B2662" w:rsidRPr="008D2615">
        <w:rPr>
          <w:rFonts w:ascii="Calibri" w:hAnsi="Calibri" w:cs="Calibri"/>
          <w:i/>
          <w:iCs/>
          <w:sz w:val="21"/>
          <w:szCs w:val="21"/>
          <w:u w:val="single"/>
        </w:rPr>
        <w:t>s</w:t>
      </w:r>
      <w:r w:rsidR="009563B4" w:rsidRPr="008D2615">
        <w:rPr>
          <w:rFonts w:ascii="Calibri" w:hAnsi="Calibri" w:cs="Calibri"/>
          <w:i/>
          <w:iCs/>
          <w:sz w:val="21"/>
          <w:szCs w:val="21"/>
          <w:u w:val="single"/>
        </w:rPr>
        <w:t>, rangelands and</w:t>
      </w:r>
      <w:r w:rsidR="006B2662" w:rsidRPr="008D2615">
        <w:rPr>
          <w:rFonts w:ascii="Calibri" w:hAnsi="Calibri" w:cs="Calibri"/>
          <w:i/>
          <w:iCs/>
          <w:sz w:val="21"/>
          <w:szCs w:val="21"/>
          <w:u w:val="single"/>
        </w:rPr>
        <w:t>/or</w:t>
      </w:r>
      <w:r w:rsidR="009563B4" w:rsidRPr="008D2615">
        <w:rPr>
          <w:rFonts w:ascii="Calibri" w:hAnsi="Calibri" w:cs="Calibri"/>
          <w:i/>
          <w:iCs/>
          <w:sz w:val="21"/>
          <w:szCs w:val="21"/>
          <w:u w:val="single"/>
        </w:rPr>
        <w:t xml:space="preserve"> production forests/woodlands</w:t>
      </w:r>
      <w:r w:rsidR="006B2662" w:rsidRPr="008D2615">
        <w:rPr>
          <w:rFonts w:ascii="Calibri" w:hAnsi="Calibri" w:cs="Calibri"/>
          <w:sz w:val="21"/>
          <w:szCs w:val="21"/>
        </w:rPr>
        <w:t>.</w:t>
      </w:r>
      <w:r w:rsidR="009563B4" w:rsidRPr="008D2615">
        <w:rPr>
          <w:rFonts w:ascii="Calibri" w:hAnsi="Calibri" w:cs="Calibri"/>
          <w:sz w:val="21"/>
          <w:szCs w:val="21"/>
        </w:rPr>
        <w:t xml:space="preserve">Within </w:t>
      </w:r>
      <w:r w:rsidR="006B2662" w:rsidRPr="008D2615">
        <w:rPr>
          <w:rFonts w:ascii="Calibri" w:hAnsi="Calibri" w:cs="Calibri"/>
          <w:sz w:val="21"/>
          <w:szCs w:val="21"/>
        </w:rPr>
        <w:t>these productive lands</w:t>
      </w:r>
      <w:r w:rsidR="009563B4" w:rsidRPr="008D2615">
        <w:rPr>
          <w:rFonts w:ascii="Calibri" w:hAnsi="Calibri" w:cs="Calibri"/>
          <w:sz w:val="21"/>
          <w:szCs w:val="21"/>
        </w:rPr>
        <w:t xml:space="preserve">, a suite of </w:t>
      </w:r>
      <w:r w:rsidR="009563B4" w:rsidRPr="008D2615">
        <w:rPr>
          <w:rFonts w:ascii="Calibri" w:hAnsi="Calibri" w:cs="Calibri"/>
          <w:b/>
          <w:bCs/>
          <w:sz w:val="21"/>
          <w:szCs w:val="21"/>
        </w:rPr>
        <w:t>unsustainable agricultural, pastoral and forest management practices</w:t>
      </w:r>
      <w:r w:rsidR="009563B4" w:rsidRPr="008D2615">
        <w:rPr>
          <w:rFonts w:ascii="Calibri" w:hAnsi="Calibri" w:cs="Calibri"/>
          <w:sz w:val="21"/>
          <w:szCs w:val="21"/>
        </w:rPr>
        <w:t xml:space="preserve"> are common </w:t>
      </w:r>
      <w:r w:rsidR="006B2662" w:rsidRPr="008D2615">
        <w:rPr>
          <w:rFonts w:ascii="Calibri" w:hAnsi="Calibri" w:cs="Calibri"/>
          <w:sz w:val="21"/>
          <w:szCs w:val="21"/>
        </w:rPr>
        <w:t xml:space="preserve">place </w:t>
      </w:r>
      <w:r w:rsidR="009563B4" w:rsidRPr="008D2615">
        <w:rPr>
          <w:rFonts w:ascii="Calibri" w:hAnsi="Calibri" w:cs="Calibri"/>
          <w:sz w:val="21"/>
          <w:szCs w:val="21"/>
        </w:rPr>
        <w:t xml:space="preserve">and considered </w:t>
      </w:r>
      <w:r w:rsidR="006B2662" w:rsidRPr="008D2615">
        <w:rPr>
          <w:rFonts w:ascii="Calibri" w:hAnsi="Calibri" w:cs="Calibri"/>
          <w:sz w:val="21"/>
          <w:szCs w:val="21"/>
        </w:rPr>
        <w:t xml:space="preserve">to be </w:t>
      </w:r>
      <w:r w:rsidR="009563B4" w:rsidRPr="008D2615">
        <w:rPr>
          <w:rFonts w:ascii="Calibri" w:hAnsi="Calibri" w:cs="Calibri"/>
          <w:sz w:val="21"/>
          <w:szCs w:val="21"/>
        </w:rPr>
        <w:t xml:space="preserve">the main threats to ecosystem services, to the extent that the prevailing </w:t>
      </w:r>
      <w:r w:rsidR="006B2662" w:rsidRPr="008D2615">
        <w:rPr>
          <w:rFonts w:ascii="Calibri" w:hAnsi="Calibri" w:cs="Calibri"/>
          <w:sz w:val="21"/>
          <w:szCs w:val="21"/>
        </w:rPr>
        <w:t xml:space="preserve">land-use systems </w:t>
      </w:r>
      <w:r w:rsidR="009563B4" w:rsidRPr="008D2615">
        <w:rPr>
          <w:rFonts w:ascii="Calibri" w:hAnsi="Calibri" w:cs="Calibri"/>
          <w:sz w:val="21"/>
          <w:szCs w:val="21"/>
        </w:rPr>
        <w:t xml:space="preserve">result in land degradation. </w:t>
      </w:r>
    </w:p>
    <w:p w14:paraId="3B564D73" w14:textId="70569436" w:rsidR="009563B4" w:rsidRPr="008D2615" w:rsidRDefault="008D2615" w:rsidP="001667C6">
      <w:pPr>
        <w:pStyle w:val="ParagraphOED"/>
        <w:numPr>
          <w:ilvl w:val="0"/>
          <w:numId w:val="102"/>
        </w:numPr>
        <w:spacing w:after="80"/>
      </w:pPr>
      <w:r>
        <w:t xml:space="preserve">The </w:t>
      </w:r>
      <w:r w:rsidRPr="4FA5C607">
        <w:rPr>
          <w:b/>
        </w:rPr>
        <w:t>contextual drivers</w:t>
      </w:r>
      <w:r>
        <w:t xml:space="preserve"> behind degradation processes include:</w:t>
      </w:r>
    </w:p>
    <w:p w14:paraId="7D81C6BF" w14:textId="54D5E767" w:rsidR="009563B4" w:rsidRPr="00CE1EA7" w:rsidRDefault="009563B4" w:rsidP="001667C6">
      <w:pPr>
        <w:pStyle w:val="ParagraphOED"/>
        <w:numPr>
          <w:ilvl w:val="0"/>
          <w:numId w:val="82"/>
        </w:numPr>
        <w:spacing w:after="160"/>
        <w:contextualSpacing/>
      </w:pPr>
      <w:r w:rsidRPr="00CE1EA7">
        <w:t>Widespread use of slash-and-burn techniques in subsistence farming systems</w:t>
      </w:r>
      <w:r w:rsidR="003D6D74">
        <w:t>;</w:t>
      </w:r>
    </w:p>
    <w:p w14:paraId="76B28E56" w14:textId="48504562" w:rsidR="009563B4" w:rsidRPr="00CE1EA7" w:rsidRDefault="009563B4" w:rsidP="001667C6">
      <w:pPr>
        <w:pStyle w:val="ParagraphOED"/>
        <w:numPr>
          <w:ilvl w:val="0"/>
          <w:numId w:val="82"/>
        </w:numPr>
        <w:spacing w:after="160"/>
        <w:contextualSpacing/>
      </w:pPr>
      <w:r w:rsidRPr="00CE1EA7">
        <w:t>New commercial hold</w:t>
      </w:r>
      <w:r w:rsidR="008D2615">
        <w:t>ing</w:t>
      </w:r>
      <w:r w:rsidRPr="00CE1EA7">
        <w:t xml:space="preserve">s established in </w:t>
      </w:r>
      <w:r w:rsidR="008D2615" w:rsidRPr="00CE1EA7">
        <w:t xml:space="preserve">vast </w:t>
      </w:r>
      <w:r w:rsidR="008D2615">
        <w:t xml:space="preserve">tracts of </w:t>
      </w:r>
      <w:r w:rsidRPr="00CE1EA7">
        <w:t>land through land clearing and fire</w:t>
      </w:r>
      <w:r w:rsidR="003D6D74">
        <w:t>;</w:t>
      </w:r>
      <w:r w:rsidRPr="00CE1EA7">
        <w:t xml:space="preserve"> </w:t>
      </w:r>
    </w:p>
    <w:p w14:paraId="3B0B6A4F" w14:textId="131E9D03" w:rsidR="009563B4" w:rsidRPr="00CE1EA7" w:rsidRDefault="009563B4" w:rsidP="001667C6">
      <w:pPr>
        <w:pStyle w:val="ParagraphOED"/>
        <w:numPr>
          <w:ilvl w:val="0"/>
          <w:numId w:val="82"/>
        </w:numPr>
        <w:spacing w:after="160"/>
        <w:contextualSpacing/>
      </w:pPr>
      <w:r w:rsidRPr="00CE1EA7">
        <w:lastRenderedPageBreak/>
        <w:t>Excessive use of secondary forests for charcoal</w:t>
      </w:r>
      <w:r w:rsidR="007D0D7C">
        <w:t>; and</w:t>
      </w:r>
      <w:r w:rsidRPr="00CE1EA7">
        <w:t xml:space="preserve"> </w:t>
      </w:r>
    </w:p>
    <w:p w14:paraId="3FFA3649" w14:textId="524CF6B2" w:rsidR="009563B4" w:rsidRPr="00CE1EA7" w:rsidRDefault="009563B4" w:rsidP="001667C6">
      <w:pPr>
        <w:pStyle w:val="ParagraphOED"/>
        <w:numPr>
          <w:ilvl w:val="0"/>
          <w:numId w:val="82"/>
        </w:numPr>
        <w:spacing w:after="160"/>
      </w:pPr>
      <w:r w:rsidRPr="00CE1EA7">
        <w:t xml:space="preserve">Poorly monitored </w:t>
      </w:r>
      <w:r w:rsidR="007D0D7C">
        <w:t>timber</w:t>
      </w:r>
      <w:r w:rsidRPr="00CE1EA7">
        <w:t xml:space="preserve"> explo</w:t>
      </w:r>
      <w:r w:rsidR="007D0D7C">
        <w:t>itation</w:t>
      </w:r>
      <w:r w:rsidRPr="00CE1EA7">
        <w:t xml:space="preserve"> in forest fragments beyond sustainable regeneration rates (</w:t>
      </w:r>
      <w:r w:rsidR="007D0D7C" w:rsidRPr="00CE1EA7">
        <w:t xml:space="preserve">primarily </w:t>
      </w:r>
      <w:r w:rsidRPr="00CE1EA7">
        <w:t>affecting Cuando Cubango</w:t>
      </w:r>
      <w:r w:rsidR="007D0D7C">
        <w:t xml:space="preserve"> but</w:t>
      </w:r>
      <w:r>
        <w:t xml:space="preserve"> </w:t>
      </w:r>
      <w:r w:rsidRPr="00CE1EA7">
        <w:t xml:space="preserve">considered a minor driver compared </w:t>
      </w:r>
      <w:r w:rsidR="007649AE">
        <w:t>to</w:t>
      </w:r>
      <w:r w:rsidRPr="00CE1EA7">
        <w:t xml:space="preserve"> others)</w:t>
      </w:r>
      <w:r w:rsidR="007D0D7C">
        <w:t>.</w:t>
      </w:r>
    </w:p>
    <w:p w14:paraId="7D016356" w14:textId="0C7B1855" w:rsidR="009563B4" w:rsidRDefault="009563B4" w:rsidP="001667C6">
      <w:pPr>
        <w:pStyle w:val="ParagraphOED"/>
        <w:numPr>
          <w:ilvl w:val="0"/>
          <w:numId w:val="102"/>
        </w:numPr>
        <w:spacing w:after="160"/>
      </w:pPr>
      <w:r w:rsidRPr="1E65A5F7">
        <w:rPr>
          <w:b/>
          <w:bCs/>
        </w:rPr>
        <w:t>Other root causes and drivers</w:t>
      </w:r>
      <w:r w:rsidR="007D0D7C">
        <w:t xml:space="preserve"> </w:t>
      </w:r>
      <w:r>
        <w:t>acting in the background include: population increase and poverty, leading to increased demand</w:t>
      </w:r>
      <w:r w:rsidR="007D0D7C">
        <w:t>s</w:t>
      </w:r>
      <w:r>
        <w:t xml:space="preserve"> for land and natural resources.</w:t>
      </w:r>
      <w:r w:rsidR="007D0D7C">
        <w:t xml:space="preserve"> A</w:t>
      </w:r>
      <w:r>
        <w:t>ll applicable threats</w:t>
      </w:r>
      <w:r w:rsidR="007D0D7C">
        <w:t xml:space="preserve"> are considered to be exacerbated by</w:t>
      </w:r>
      <w:r>
        <w:t xml:space="preserve"> climate change. In the </w:t>
      </w:r>
      <w:hyperlink w:anchor="_2.1)_Remaining_Barriers">
        <w:r w:rsidRPr="1E65A5F7">
          <w:rPr>
            <w:rStyle w:val="Hyperlink"/>
          </w:rPr>
          <w:t>Barrier Analysis</w:t>
        </w:r>
      </w:hyperlink>
      <w:r>
        <w:t xml:space="preserve"> </w:t>
      </w:r>
      <w:r w:rsidR="007D0D7C">
        <w:t xml:space="preserve">(Section 2.1), </w:t>
      </w:r>
      <w:r w:rsidRPr="1E65A5F7">
        <w:rPr>
          <w:b/>
          <w:bCs/>
        </w:rPr>
        <w:t>policy, institutional capacity and market drivers</w:t>
      </w:r>
      <w:r>
        <w:t xml:space="preserve"> (plus ‘incentives’ for change) are more specifically analyzed.  Currently, non-climatic shocks such as the effects of the </w:t>
      </w:r>
      <w:r w:rsidR="006D17F4">
        <w:t>COVID-19</w:t>
      </w:r>
      <w:r>
        <w:t xml:space="preserve"> pandemic on the economy, rural livelihoods and food security in Angola may soon be add</w:t>
      </w:r>
      <w:r w:rsidR="007D0D7C">
        <w:t>ed</w:t>
      </w:r>
      <w:r>
        <w:t xml:space="preserve"> to the causal analysis. For now, the exact impacts of the pandemic are speculative, but the risks to the project should not be under</w:t>
      </w:r>
      <w:r w:rsidR="007D0D7C">
        <w:t>estim</w:t>
      </w:r>
      <w:r>
        <w:t>ated.</w:t>
      </w:r>
    </w:p>
    <w:p w14:paraId="394CCBC2" w14:textId="581C7061" w:rsidR="009563B4" w:rsidRPr="004E7401" w:rsidRDefault="007649AE" w:rsidP="004E7401">
      <w:pPr>
        <w:spacing w:after="160"/>
        <w:rPr>
          <w:rFonts w:ascii="Calibri" w:hAnsi="Calibri" w:cs="Calibri"/>
          <w:b/>
          <w:bCs/>
          <w:sz w:val="21"/>
          <w:szCs w:val="21"/>
        </w:rPr>
      </w:pPr>
      <w:r w:rsidRPr="004E7401">
        <w:rPr>
          <w:rFonts w:ascii="Calibri" w:hAnsi="Calibri" w:cs="Calibri"/>
          <w:b/>
          <w:bCs/>
          <w:sz w:val="21"/>
          <w:szCs w:val="21"/>
          <w:highlight w:val="lightGray"/>
        </w:rPr>
        <w:t xml:space="preserve">Drivers </w:t>
      </w:r>
      <w:r w:rsidR="004E7401">
        <w:rPr>
          <w:rFonts w:ascii="Calibri" w:hAnsi="Calibri" w:cs="Calibri"/>
          <w:b/>
          <w:bCs/>
          <w:sz w:val="21"/>
          <w:szCs w:val="21"/>
          <w:highlight w:val="lightGray"/>
        </w:rPr>
        <w:t>in</w:t>
      </w:r>
      <w:r w:rsidR="004E7401" w:rsidRPr="004E7401">
        <w:rPr>
          <w:rFonts w:ascii="Calibri" w:hAnsi="Calibri" w:cs="Calibri"/>
          <w:b/>
          <w:bCs/>
          <w:sz w:val="21"/>
          <w:szCs w:val="21"/>
          <w:highlight w:val="lightGray"/>
        </w:rPr>
        <w:t xml:space="preserve"> Specific </w:t>
      </w:r>
      <w:r w:rsidRPr="004E7401">
        <w:rPr>
          <w:rFonts w:ascii="Calibri" w:hAnsi="Calibri" w:cs="Calibri"/>
          <w:b/>
          <w:bCs/>
          <w:sz w:val="21"/>
          <w:szCs w:val="21"/>
          <w:highlight w:val="lightGray"/>
        </w:rPr>
        <w:t>Land</w:t>
      </w:r>
      <w:r w:rsidR="004E7401" w:rsidRPr="004E7401">
        <w:rPr>
          <w:rFonts w:ascii="Calibri" w:hAnsi="Calibri" w:cs="Calibri"/>
          <w:b/>
          <w:bCs/>
          <w:sz w:val="21"/>
          <w:szCs w:val="21"/>
          <w:highlight w:val="lightGray"/>
        </w:rPr>
        <w:t xml:space="preserve">-Use Systems </w:t>
      </w:r>
    </w:p>
    <w:p w14:paraId="4B2591FA" w14:textId="2FB4B413" w:rsidR="009563B4" w:rsidRPr="00CE1EA7" w:rsidRDefault="68723193" w:rsidP="001667C6">
      <w:pPr>
        <w:pStyle w:val="ParagraphOED"/>
        <w:numPr>
          <w:ilvl w:val="0"/>
          <w:numId w:val="102"/>
        </w:numPr>
        <w:spacing w:after="80"/>
      </w:pPr>
      <w:r>
        <w:t xml:space="preserve">The main causes of land degradation in </w:t>
      </w:r>
      <w:r w:rsidR="460C6265">
        <w:t xml:space="preserve">the </w:t>
      </w:r>
      <w:bookmarkStart w:id="31" w:name="Driver_per_LUS"/>
      <w:r w:rsidR="460C6265" w:rsidRPr="1E65A5F7">
        <w:rPr>
          <w:b/>
          <w:bCs/>
        </w:rPr>
        <w:t>different LUS</w:t>
      </w:r>
      <w:bookmarkEnd w:id="31"/>
      <w:r w:rsidRPr="1E65A5F7">
        <w:rPr>
          <w:b/>
          <w:bCs/>
        </w:rPr>
        <w:t>s</w:t>
      </w:r>
      <w:r w:rsidR="460C6265" w:rsidRPr="1E65A5F7">
        <w:rPr>
          <w:b/>
          <w:bCs/>
        </w:rPr>
        <w:t xml:space="preserve"> predominant in the project zone</w:t>
      </w:r>
      <w:r>
        <w:t xml:space="preserve"> are briefly described below</w:t>
      </w:r>
      <w:r w:rsidR="460C6265">
        <w:t>:</w:t>
      </w:r>
    </w:p>
    <w:p w14:paraId="7B5DEFA5" w14:textId="552A2628" w:rsidR="009563B4" w:rsidRPr="00F25955" w:rsidRDefault="009563B4" w:rsidP="00C53A49">
      <w:pPr>
        <w:pStyle w:val="ParagraphOED"/>
        <w:numPr>
          <w:ilvl w:val="0"/>
          <w:numId w:val="14"/>
        </w:numPr>
        <w:spacing w:after="80"/>
        <w:ind w:left="709" w:hanging="425"/>
      </w:pPr>
      <w:r w:rsidRPr="00F25955">
        <w:rPr>
          <w:b/>
          <w:bCs/>
        </w:rPr>
        <w:t>In Croplands</w:t>
      </w:r>
      <w:r w:rsidRPr="00F25955">
        <w:t xml:space="preserve"> </w:t>
      </w:r>
      <w:r w:rsidR="004E7401">
        <w:t>s</w:t>
      </w:r>
      <w:r w:rsidRPr="00CE1EA7">
        <w:t xml:space="preserve">lash-and-burn </w:t>
      </w:r>
      <w:r w:rsidR="004E7401">
        <w:t>(</w:t>
      </w:r>
      <w:r w:rsidRPr="00CE1EA7">
        <w:t>shifting cultivation</w:t>
      </w:r>
      <w:r w:rsidR="004E7401">
        <w:t>)</w:t>
      </w:r>
      <w:r w:rsidRPr="00CE1EA7">
        <w:t xml:space="preserve"> system is the most common </w:t>
      </w:r>
      <w:r w:rsidR="004E7401">
        <w:t>system used</w:t>
      </w:r>
      <w:r w:rsidRPr="00CE1EA7">
        <w:t xml:space="preserve"> for cultivating food crops in small plots within drylands. The </w:t>
      </w:r>
      <w:r w:rsidR="00E3018A">
        <w:t>practice</w:t>
      </w:r>
      <w:r w:rsidRPr="00CE1EA7">
        <w:t xml:space="preserve"> becomes unsustainable </w:t>
      </w:r>
      <w:r w:rsidR="00E3018A">
        <w:t xml:space="preserve">with </w:t>
      </w:r>
      <w:r w:rsidRPr="00F25955">
        <w:t>increased competition for land and resource</w:t>
      </w:r>
      <w:r w:rsidR="00E3018A">
        <w:t>s</w:t>
      </w:r>
      <w:r w:rsidRPr="00F25955">
        <w:t xml:space="preserve">, pushing the whole system beyond sustainability </w:t>
      </w:r>
      <w:r w:rsidR="00E3018A">
        <w:t>limits</w:t>
      </w:r>
      <w:r w:rsidR="00E3018A" w:rsidRPr="00F25955">
        <w:t xml:space="preserve"> </w:t>
      </w:r>
      <w:r w:rsidRPr="00F25955">
        <w:t>for soil, water and biomass</w:t>
      </w:r>
      <w:r w:rsidRPr="00CE1EA7">
        <w:t xml:space="preserve">. The </w:t>
      </w:r>
      <w:r w:rsidR="00E3018A">
        <w:t>practice</w:t>
      </w:r>
      <w:r w:rsidRPr="00CE1EA7">
        <w:t xml:space="preserve"> i</w:t>
      </w:r>
      <w:r w:rsidR="001E6AE4">
        <w:t>n</w:t>
      </w:r>
      <w:r w:rsidR="00E3018A">
        <w:t>volves</w:t>
      </w:r>
      <w:r w:rsidRPr="00CE1EA7">
        <w:t xml:space="preserve"> the use of fire </w:t>
      </w:r>
      <w:r w:rsidR="001E6AE4">
        <w:t>to</w:t>
      </w:r>
      <w:r w:rsidRPr="00CE1EA7">
        <w:t xml:space="preserve"> </w:t>
      </w:r>
      <w:r w:rsidR="00E3018A">
        <w:t>clear and</w:t>
      </w:r>
      <w:r w:rsidRPr="00CE1EA7">
        <w:t xml:space="preserve"> enrich</w:t>
      </w:r>
      <w:r w:rsidR="001E6AE4">
        <w:t xml:space="preserve"> the</w:t>
      </w:r>
      <w:r w:rsidRPr="00CE1EA7">
        <w:t xml:space="preserve"> land</w:t>
      </w:r>
      <w:r w:rsidR="00E3018A">
        <w:t xml:space="preserve">; and </w:t>
      </w:r>
      <w:r w:rsidRPr="00CE1EA7">
        <w:t>plot rotation</w:t>
      </w:r>
      <w:r>
        <w:t xml:space="preserve">, </w:t>
      </w:r>
      <w:r w:rsidRPr="00CE1EA7">
        <w:t>so that land can recover</w:t>
      </w:r>
      <w:r w:rsidR="001E6AE4" w:rsidRPr="001E6AE4">
        <w:t xml:space="preserve"> </w:t>
      </w:r>
      <w:r w:rsidR="001E6AE4" w:rsidRPr="00CE1EA7">
        <w:t>naturally</w:t>
      </w:r>
      <w:r w:rsidR="001E6AE4">
        <w:t xml:space="preserve"> during</w:t>
      </w:r>
      <w:r>
        <w:t xml:space="preserve"> </w:t>
      </w:r>
      <w:r w:rsidRPr="00CE1EA7">
        <w:t>a minimal fallow period.</w:t>
      </w:r>
      <w:r w:rsidRPr="00CE1EA7">
        <w:rPr>
          <w:rStyle w:val="FootnoteReference"/>
        </w:rPr>
        <w:footnoteReference w:id="18"/>
      </w:r>
      <w:r w:rsidRPr="00CE1EA7">
        <w:t xml:space="preserve"> </w:t>
      </w:r>
      <w:r w:rsidR="00C2357C" w:rsidRPr="008A23B0">
        <w:rPr>
          <w:szCs w:val="21"/>
          <w:highlight w:val="yellow"/>
        </w:rPr>
        <w:t xml:space="preserve">In particular the </w:t>
      </w:r>
      <w:r w:rsidR="00AF0006" w:rsidRPr="008A23B0">
        <w:rPr>
          <w:szCs w:val="21"/>
          <w:highlight w:val="yellow"/>
        </w:rPr>
        <w:t>clearance</w:t>
      </w:r>
      <w:r w:rsidR="00C2357C" w:rsidRPr="008A23B0">
        <w:rPr>
          <w:szCs w:val="21"/>
          <w:highlight w:val="yellow"/>
        </w:rPr>
        <w:t xml:space="preserve"> of dense woodland patches (Baikiaea-Burkea woodland) for agriculture has substantially increased as the dense woodlands are favoured by the farmers because of the higher soil content (silt, clay and potassium), higher woody biomass, and more abundant soft litter leading to better (short-term) yields. In addition, the closed canopy of the surrounding woodland creates a cooler and more humid microclimate</w:t>
      </w:r>
      <w:r w:rsidR="00AF0006" w:rsidRPr="008A23B0">
        <w:rPr>
          <w:szCs w:val="21"/>
          <w:highlight w:val="yellow"/>
        </w:rPr>
        <w:t>.</w:t>
      </w:r>
      <w:r w:rsidR="00AF0006">
        <w:rPr>
          <w:szCs w:val="21"/>
        </w:rPr>
        <w:t xml:space="preserve"> </w:t>
      </w:r>
      <w:r w:rsidRPr="00CE1EA7">
        <w:t>With population pressure and food insecurity (</w:t>
      </w:r>
      <w:r w:rsidR="00832F8C">
        <w:t>exacerbated by</w:t>
      </w:r>
      <w:r w:rsidRPr="00CE1EA7">
        <w:t xml:space="preserve"> poverty and/or drought), the necessary fallow periods </w:t>
      </w:r>
      <w:r>
        <w:t xml:space="preserve">may </w:t>
      </w:r>
      <w:r w:rsidRPr="00CE1EA7">
        <w:t>become too short and soil protection measures neglected</w:t>
      </w:r>
      <w:r w:rsidR="00832F8C">
        <w:t>; and</w:t>
      </w:r>
      <w:r w:rsidRPr="00CE1EA7">
        <w:t xml:space="preserve"> </w:t>
      </w:r>
      <w:r w:rsidR="00832F8C">
        <w:t>w</w:t>
      </w:r>
      <w:r w:rsidRPr="00CE1EA7">
        <w:t xml:space="preserve">ith changes in the climate and/or the fire regime, land may not recover naturally. Soil nutrients such as nitrogen, phosphorus and organic carbon </w:t>
      </w:r>
      <w:r w:rsidR="0073785B">
        <w:t>can be</w:t>
      </w:r>
      <w:r w:rsidRPr="00CE1EA7">
        <w:t xml:space="preserve"> </w:t>
      </w:r>
      <w:r w:rsidRPr="0073785B">
        <w:t xml:space="preserve">negatively </w:t>
      </w:r>
      <w:r w:rsidR="00832F8C" w:rsidRPr="0073785B">
        <w:t xml:space="preserve">impacted </w:t>
      </w:r>
      <w:r w:rsidRPr="0073785B">
        <w:t>by fire</w:t>
      </w:r>
      <w:r w:rsidRPr="00CE1EA7">
        <w:t xml:space="preserve">. Cooler fires </w:t>
      </w:r>
      <w:r w:rsidR="00832F8C">
        <w:t>can</w:t>
      </w:r>
      <w:r w:rsidRPr="00CE1EA7">
        <w:t xml:space="preserve"> facilitate the release of certain nutrients from plant matter into the soil</w:t>
      </w:r>
      <w:r w:rsidRPr="00CE1EA7">
        <w:rPr>
          <w:rStyle w:val="FootnoteReference"/>
        </w:rPr>
        <w:footnoteReference w:id="19"/>
      </w:r>
      <w:r w:rsidRPr="00CE1EA7">
        <w:t xml:space="preserve">, </w:t>
      </w:r>
      <w:r w:rsidR="00832F8C">
        <w:t xml:space="preserve">which is why they are </w:t>
      </w:r>
      <w:r w:rsidRPr="00CE1EA7">
        <w:t xml:space="preserve">often used </w:t>
      </w:r>
      <w:r w:rsidR="00832F8C">
        <w:t>to</w:t>
      </w:r>
      <w:r w:rsidRPr="00CE1EA7">
        <w:t xml:space="preserve"> clear land. However, ma</w:t>
      </w:r>
      <w:r>
        <w:t>n</w:t>
      </w:r>
      <w:r w:rsidRPr="00CE1EA7">
        <w:t xml:space="preserve">y </w:t>
      </w:r>
      <w:r>
        <w:t xml:space="preserve">land users do </w:t>
      </w:r>
      <w:r w:rsidRPr="00CE1EA7">
        <w:t>not master</w:t>
      </w:r>
      <w:r>
        <w:t xml:space="preserve"> </w:t>
      </w:r>
      <w:r w:rsidRPr="00CE1EA7">
        <w:t xml:space="preserve">fire control techniques. </w:t>
      </w:r>
    </w:p>
    <w:p w14:paraId="5DBF8640" w14:textId="45281837" w:rsidR="009563B4" w:rsidRPr="00F25955" w:rsidRDefault="009563B4" w:rsidP="00C53A49">
      <w:pPr>
        <w:pStyle w:val="ParagraphOED"/>
        <w:numPr>
          <w:ilvl w:val="0"/>
          <w:numId w:val="14"/>
        </w:numPr>
        <w:spacing w:after="80"/>
        <w:ind w:left="709" w:hanging="425"/>
      </w:pPr>
      <w:r w:rsidRPr="00F25955">
        <w:rPr>
          <w:b/>
          <w:bCs/>
        </w:rPr>
        <w:t>Grasslands/Rangelands</w:t>
      </w:r>
      <w:r w:rsidRPr="00F25955">
        <w:t xml:space="preserve">: </w:t>
      </w:r>
      <w:r w:rsidR="00832F8C">
        <w:t>A</w:t>
      </w:r>
      <w:r w:rsidRPr="00F25955">
        <w:t xml:space="preserve">reas classified as rangeland are </w:t>
      </w:r>
      <w:r w:rsidR="00832F8C">
        <w:t>among</w:t>
      </w:r>
      <w:r w:rsidRPr="00F25955">
        <w:t xml:space="preserve"> the most affected by land degradation. </w:t>
      </w:r>
      <w:r w:rsidR="00832F8C">
        <w:t>Overgrazing</w:t>
      </w:r>
      <w:r w:rsidR="00401965">
        <w:t>, lack of</w:t>
      </w:r>
      <w:r w:rsidR="00D37B7B">
        <w:t xml:space="preserve"> sustainable grazing rotations, and inadequate grazing calendar, are among</w:t>
      </w:r>
      <w:r w:rsidR="00832F8C">
        <w:t xml:space="preserve"> the principal</w:t>
      </w:r>
      <w:r w:rsidRPr="00F25955">
        <w:t xml:space="preserve"> unsustainable practice in grasslands/rangelands</w:t>
      </w:r>
      <w:r w:rsidR="00604613">
        <w:t>;</w:t>
      </w:r>
      <w:r w:rsidRPr="00F25955">
        <w:t xml:space="preserve"> </w:t>
      </w:r>
      <w:r w:rsidR="00E277E3">
        <w:t>these practices</w:t>
      </w:r>
      <w:r w:rsidRPr="00F25955">
        <w:t xml:space="preserve"> may leave the </w:t>
      </w:r>
      <w:r w:rsidR="00604613">
        <w:t>land</w:t>
      </w:r>
      <w:r w:rsidR="00604613" w:rsidRPr="00F25955">
        <w:t xml:space="preserve"> </w:t>
      </w:r>
      <w:r w:rsidR="00EC5E73">
        <w:t>bare</w:t>
      </w:r>
      <w:r w:rsidR="003F4849">
        <w:t xml:space="preserve">, </w:t>
      </w:r>
      <w:r w:rsidRPr="00F25955">
        <w:t>compact</w:t>
      </w:r>
      <w:r w:rsidR="003F4849">
        <w:t xml:space="preserve"> the soil, cause erosion</w:t>
      </w:r>
      <w:r w:rsidRPr="00F25955">
        <w:t xml:space="preserve"> and </w:t>
      </w:r>
      <w:r w:rsidR="003F4849">
        <w:t>reduce</w:t>
      </w:r>
      <w:r w:rsidR="000455B1">
        <w:t xml:space="preserve"> other ecosystem functions</w:t>
      </w:r>
      <w:r w:rsidRPr="00F25955">
        <w:t xml:space="preserve">. </w:t>
      </w:r>
      <w:r w:rsidR="00604613">
        <w:t>Livestock</w:t>
      </w:r>
      <w:r w:rsidR="00604613" w:rsidRPr="00F25955">
        <w:t xml:space="preserve"> </w:t>
      </w:r>
      <w:r w:rsidRPr="00F25955">
        <w:t xml:space="preserve">dung may contribute to soil enrichment but it depends on the availability of moisture in the soil </w:t>
      </w:r>
      <w:r w:rsidR="00604613">
        <w:t>and</w:t>
      </w:r>
      <w:r w:rsidR="00604613" w:rsidRPr="00F25955">
        <w:t xml:space="preserve"> </w:t>
      </w:r>
      <w:r w:rsidRPr="00F25955">
        <w:t>other conditions. Cunene and Huila have the highest livestock concentrations in the country, with 75-100 animals per sq</w:t>
      </w:r>
      <w:r w:rsidR="00604613">
        <w:t>.</w:t>
      </w:r>
      <w:r w:rsidRPr="00F25955">
        <w:t xml:space="preserve"> km. Locally it may reach even higher concentrations</w:t>
      </w:r>
      <w:r w:rsidR="00604613">
        <w:t xml:space="preserve"> and</w:t>
      </w:r>
      <w:r w:rsidRPr="00F25955">
        <w:t xml:space="preserve"> land degradation becomes inevitable. </w:t>
      </w:r>
      <w:r w:rsidR="00604613">
        <w:t>M</w:t>
      </w:r>
      <w:r w:rsidRPr="00F25955">
        <w:t>any grasslands are being converted to cropland</w:t>
      </w:r>
      <w:r w:rsidR="00604613">
        <w:t xml:space="preserve">, </w:t>
      </w:r>
      <w:r w:rsidRPr="00F25955">
        <w:t>particular</w:t>
      </w:r>
      <w:r w:rsidR="00604613">
        <w:t>ly</w:t>
      </w:r>
      <w:r w:rsidRPr="00F25955">
        <w:t xml:space="preserve"> in Cunene, creating addi</w:t>
      </w:r>
      <w:r w:rsidR="00604613">
        <w:t>ng</w:t>
      </w:r>
      <w:r w:rsidRPr="00F25955">
        <w:t xml:space="preserve"> pressure on existing rangeland</w:t>
      </w:r>
      <w:r w:rsidR="00604613">
        <w:t>s</w:t>
      </w:r>
      <w:r w:rsidRPr="00F25955">
        <w:t>.</w:t>
      </w:r>
    </w:p>
    <w:p w14:paraId="178E2217" w14:textId="22E44CE1" w:rsidR="009563B4" w:rsidRDefault="009563B4" w:rsidP="00C53A49">
      <w:pPr>
        <w:pStyle w:val="ParagraphOED"/>
        <w:numPr>
          <w:ilvl w:val="0"/>
          <w:numId w:val="14"/>
        </w:numPr>
        <w:spacing w:after="160"/>
        <w:ind w:left="709" w:hanging="425"/>
      </w:pPr>
      <w:r w:rsidRPr="00E155C8">
        <w:rPr>
          <w:b/>
          <w:bCs/>
        </w:rPr>
        <w:t>Forests/woodlands</w:t>
      </w:r>
      <w:r w:rsidR="00604613">
        <w:t>:</w:t>
      </w:r>
      <w:r w:rsidRPr="00CE1EA7">
        <w:t xml:space="preserve"> </w:t>
      </w:r>
      <w:r w:rsidR="00604613">
        <w:t>P</w:t>
      </w:r>
      <w:r w:rsidRPr="00CE1EA7">
        <w:t xml:space="preserve">rotection </w:t>
      </w:r>
      <w:r w:rsidR="00604613">
        <w:t>of existing</w:t>
      </w:r>
      <w:r w:rsidRPr="00CE1EA7">
        <w:t xml:space="preserve"> forest fragments </w:t>
      </w:r>
      <w:r>
        <w:t xml:space="preserve">that remain relatively intact </w:t>
      </w:r>
      <w:r w:rsidRPr="00CE1EA7">
        <w:t>within the project zone</w:t>
      </w:r>
      <w:r w:rsidR="00604613">
        <w:t xml:space="preserve"> is </w:t>
      </w:r>
      <w:r w:rsidR="00046ED6">
        <w:t>lacking</w:t>
      </w:r>
      <w:r w:rsidRPr="00CE1EA7">
        <w:t xml:space="preserve">. </w:t>
      </w:r>
      <w:r>
        <w:t>On the other</w:t>
      </w:r>
      <w:r w:rsidR="00046ED6">
        <w:t xml:space="preserve"> hand</w:t>
      </w:r>
      <w:r>
        <w:t xml:space="preserve">, the </w:t>
      </w:r>
      <w:r w:rsidR="00046ED6">
        <w:t>two national parks (Bicuar and Mupa)</w:t>
      </w:r>
      <w:r w:rsidR="00046ED6" w:rsidRPr="00CE1EA7">
        <w:t xml:space="preserve"> near Sub-basin 2 (Cahama-Cunene)</w:t>
      </w:r>
      <w:r w:rsidR="00046ED6">
        <w:t>,</w:t>
      </w:r>
      <w:r>
        <w:t xml:space="preserve"> that do enjoy formal protection are b</w:t>
      </w:r>
      <w:r w:rsidRPr="00CE1EA7">
        <w:t>oth  under threat</w:t>
      </w:r>
      <w:r>
        <w:t xml:space="preserve"> from the expansion of settlements</w:t>
      </w:r>
      <w:r w:rsidR="00046ED6">
        <w:t>.</w:t>
      </w:r>
      <w:r>
        <w:t xml:space="preserve"> </w:t>
      </w:r>
      <w:r w:rsidR="00046ED6">
        <w:t>For example, e</w:t>
      </w:r>
      <w:r>
        <w:t xml:space="preserve">ncroachment </w:t>
      </w:r>
      <w:r w:rsidR="00046ED6">
        <w:t xml:space="preserve">across </w:t>
      </w:r>
      <w:r>
        <w:t xml:space="preserve">Bicuar’s demarcated frontier is particularly </w:t>
      </w:r>
      <w:r w:rsidR="00046ED6">
        <w:t>serious, as evident</w:t>
      </w:r>
      <w:r>
        <w:t xml:space="preserve"> in </w:t>
      </w:r>
      <w:r w:rsidRPr="00046ED6">
        <w:rPr>
          <w:highlight w:val="lightGray"/>
        </w:rPr>
        <w:fldChar w:fldCharType="begin"/>
      </w:r>
      <w:r w:rsidRPr="00046ED6">
        <w:rPr>
          <w:highlight w:val="lightGray"/>
        </w:rPr>
        <w:instrText xml:space="preserve"> REF _Ref45742788 \h  \* MERGEFORMAT </w:instrText>
      </w:r>
      <w:r w:rsidRPr="00046ED6">
        <w:rPr>
          <w:highlight w:val="lightGray"/>
        </w:rPr>
      </w:r>
      <w:r w:rsidRPr="00046ED6">
        <w:rPr>
          <w:highlight w:val="lightGray"/>
        </w:rPr>
        <w:fldChar w:fldCharType="separate"/>
      </w:r>
      <w:r w:rsidR="00A64193" w:rsidRPr="00A64193">
        <w:rPr>
          <w:highlight w:val="lightGray"/>
        </w:rPr>
        <w:t xml:space="preserve">Figure </w:t>
      </w:r>
      <w:r w:rsidR="00A64193" w:rsidRPr="00A64193">
        <w:rPr>
          <w:noProof/>
          <w:highlight w:val="lightGray"/>
        </w:rPr>
        <w:t>3</w:t>
      </w:r>
      <w:r w:rsidRPr="00046ED6">
        <w:rPr>
          <w:highlight w:val="lightGray"/>
        </w:rPr>
        <w:fldChar w:fldCharType="end"/>
      </w:r>
      <w:r w:rsidR="00046ED6">
        <w:t>.</w:t>
      </w:r>
      <w:r>
        <w:t xml:space="preserve"> Forest fragments within the project landscapes are </w:t>
      </w:r>
      <w:r w:rsidR="00046ED6">
        <w:t>becoming increasingly denuded y</w:t>
      </w:r>
      <w:r>
        <w:t xml:space="preserve">et some </w:t>
      </w:r>
      <w:r w:rsidR="00046ED6">
        <w:t xml:space="preserve">still </w:t>
      </w:r>
      <w:r>
        <w:t xml:space="preserve">have conservation value. </w:t>
      </w:r>
      <w:r w:rsidRPr="00CE1EA7">
        <w:t xml:space="preserve">Currently in Angola, there </w:t>
      </w:r>
      <w:r w:rsidRPr="00CE1EA7">
        <w:lastRenderedPageBreak/>
        <w:t xml:space="preserve">is no real distinction between what constitutes a </w:t>
      </w:r>
      <w:r w:rsidRPr="00E155C8">
        <w:rPr>
          <w:i/>
          <w:iCs/>
        </w:rPr>
        <w:t>‘production forest’</w:t>
      </w:r>
      <w:r w:rsidRPr="00CE1EA7">
        <w:t xml:space="preserve"> and a </w:t>
      </w:r>
      <w:r w:rsidRPr="00E155C8">
        <w:rPr>
          <w:i/>
          <w:iCs/>
        </w:rPr>
        <w:t>‘natural forest’</w:t>
      </w:r>
      <w:r w:rsidRPr="00CE1EA7">
        <w:t xml:space="preserve"> (or woodland) within a given landscapes</w:t>
      </w:r>
      <w:r w:rsidR="00857BBF">
        <w:t>; and legal protection designation does not allow for offtake</w:t>
      </w:r>
      <w:r w:rsidRPr="00CE1EA7">
        <w:t>.</w:t>
      </w:r>
    </w:p>
    <w:p w14:paraId="1177D89C" w14:textId="3D449BC2" w:rsidR="00857BBF" w:rsidRPr="00857BBF" w:rsidRDefault="00857BBF" w:rsidP="009170AD">
      <w:pPr>
        <w:spacing w:before="160" w:after="160"/>
        <w:rPr>
          <w:rFonts w:ascii="Calibri" w:hAnsi="Calibri" w:cs="Calibri"/>
          <w:b/>
          <w:bCs/>
          <w:sz w:val="21"/>
          <w:szCs w:val="21"/>
          <w:highlight w:val="lightGray"/>
        </w:rPr>
      </w:pPr>
      <w:r w:rsidRPr="00857BBF">
        <w:rPr>
          <w:rFonts w:ascii="Calibri" w:hAnsi="Calibri" w:cs="Calibri"/>
          <w:b/>
          <w:bCs/>
          <w:sz w:val="21"/>
          <w:szCs w:val="21"/>
          <w:highlight w:val="lightGray"/>
        </w:rPr>
        <w:t xml:space="preserve">Drivers </w:t>
      </w:r>
      <w:r>
        <w:rPr>
          <w:rFonts w:ascii="Calibri" w:hAnsi="Calibri" w:cs="Calibri"/>
          <w:b/>
          <w:bCs/>
          <w:sz w:val="21"/>
          <w:szCs w:val="21"/>
          <w:highlight w:val="lightGray"/>
        </w:rPr>
        <w:t>a</w:t>
      </w:r>
      <w:r w:rsidRPr="00857BBF">
        <w:rPr>
          <w:rFonts w:ascii="Calibri" w:hAnsi="Calibri" w:cs="Calibri"/>
          <w:b/>
          <w:bCs/>
          <w:sz w:val="21"/>
          <w:szCs w:val="21"/>
          <w:highlight w:val="lightGray"/>
        </w:rPr>
        <w:t xml:space="preserve">ccording </w:t>
      </w:r>
      <w:r>
        <w:rPr>
          <w:rFonts w:ascii="Calibri" w:hAnsi="Calibri" w:cs="Calibri"/>
          <w:b/>
          <w:bCs/>
          <w:sz w:val="21"/>
          <w:szCs w:val="21"/>
          <w:highlight w:val="lightGray"/>
        </w:rPr>
        <w:t>t</w:t>
      </w:r>
      <w:r w:rsidRPr="00857BBF">
        <w:rPr>
          <w:rFonts w:ascii="Calibri" w:hAnsi="Calibri" w:cs="Calibri"/>
          <w:b/>
          <w:bCs/>
          <w:sz w:val="21"/>
          <w:szCs w:val="21"/>
          <w:highlight w:val="lightGray"/>
        </w:rPr>
        <w:t>o Geograph</w:t>
      </w:r>
      <w:r>
        <w:rPr>
          <w:rFonts w:ascii="Calibri" w:hAnsi="Calibri" w:cs="Calibri"/>
          <w:b/>
          <w:bCs/>
          <w:sz w:val="21"/>
          <w:szCs w:val="21"/>
          <w:highlight w:val="lightGray"/>
        </w:rPr>
        <w:t>ic</w:t>
      </w:r>
      <w:r w:rsidRPr="00857BBF">
        <w:rPr>
          <w:rFonts w:ascii="Calibri" w:hAnsi="Calibri" w:cs="Calibri"/>
          <w:b/>
          <w:bCs/>
          <w:sz w:val="21"/>
          <w:szCs w:val="21"/>
          <w:highlight w:val="lightGray"/>
        </w:rPr>
        <w:t xml:space="preserve"> </w:t>
      </w:r>
      <w:r>
        <w:rPr>
          <w:rFonts w:ascii="Calibri" w:hAnsi="Calibri" w:cs="Calibri"/>
          <w:b/>
          <w:bCs/>
          <w:sz w:val="21"/>
          <w:szCs w:val="21"/>
          <w:highlight w:val="lightGray"/>
        </w:rPr>
        <w:t>a</w:t>
      </w:r>
      <w:r w:rsidRPr="00857BBF">
        <w:rPr>
          <w:rFonts w:ascii="Calibri" w:hAnsi="Calibri" w:cs="Calibri"/>
          <w:b/>
          <w:bCs/>
          <w:sz w:val="21"/>
          <w:szCs w:val="21"/>
          <w:highlight w:val="lightGray"/>
        </w:rPr>
        <w:t xml:space="preserve">nd Landscape Management Priorities </w:t>
      </w:r>
    </w:p>
    <w:p w14:paraId="295F983D" w14:textId="4E63AB1F" w:rsidR="009563B4" w:rsidRPr="006B0C11" w:rsidRDefault="009563B4" w:rsidP="001667C6">
      <w:pPr>
        <w:pStyle w:val="ParagraphOED"/>
        <w:numPr>
          <w:ilvl w:val="0"/>
          <w:numId w:val="102"/>
        </w:numPr>
        <w:spacing w:after="160"/>
      </w:pPr>
      <w:r w:rsidRPr="1E65A5F7">
        <w:rPr>
          <w:b/>
          <w:bCs/>
        </w:rPr>
        <w:t>PPG assessments</w:t>
      </w:r>
      <w:r>
        <w:t xml:space="preserve"> have shown that </w:t>
      </w:r>
      <w:r w:rsidR="001B248C">
        <w:t>land-use change</w:t>
      </w:r>
      <w:r>
        <w:t xml:space="preserve"> is accelerating within the landscapes, especially in </w:t>
      </w:r>
      <w:r w:rsidR="00DA32A2">
        <w:t xml:space="preserve">the </w:t>
      </w:r>
      <w:r>
        <w:t>north</w:t>
      </w:r>
      <w:r w:rsidR="00DA32A2">
        <w:t xml:space="preserve"> of</w:t>
      </w:r>
      <w:r>
        <w:t xml:space="preserve"> Cuando Cubango </w:t>
      </w:r>
      <w:r w:rsidR="00DA32A2">
        <w:t>P</w:t>
      </w:r>
      <w:r>
        <w:t>rovince along main roads. Tree cover loss is most accentuated near roads</w:t>
      </w:r>
      <w:r w:rsidR="00DA32A2">
        <w:t>,</w:t>
      </w:r>
      <w:r>
        <w:t xml:space="preserve"> along riverbanks and where fire frequency </w:t>
      </w:r>
      <w:r w:rsidR="00DA32A2">
        <w:t xml:space="preserve">is </w:t>
      </w:r>
      <w:r>
        <w:t xml:space="preserve">significantly higher than in other areas. This is especially visible in Landscape #1 within Cuando Cubango, where </w:t>
      </w:r>
      <w:r w:rsidR="001B248C">
        <w:t>land-use change</w:t>
      </w:r>
      <w:r>
        <w:t xml:space="preserve"> and forest loss have been </w:t>
      </w:r>
      <w:r w:rsidR="00DA32A2">
        <w:t xml:space="preserve">significant over </w:t>
      </w:r>
      <w:r>
        <w:t xml:space="preserve">the past decade. Additionally, there is a </w:t>
      </w:r>
      <w:r w:rsidRPr="1E65A5F7">
        <w:rPr>
          <w:b/>
          <w:bCs/>
        </w:rPr>
        <w:t>notable reduction in rangelands</w:t>
      </w:r>
      <w:r>
        <w:t xml:space="preserve"> that were traditionally used as an open access resource for grazing due to the expansion of private enclosures for livestock production and agriculture. This is an important but localized driver of land degradation</w:t>
      </w:r>
      <w:r w:rsidR="00AC076E">
        <w:t xml:space="preserve"> that</w:t>
      </w:r>
      <w:r>
        <w:t xml:space="preserve"> applies primarily to Landscape #2. </w:t>
      </w:r>
      <w:r w:rsidR="00AC076E">
        <w:t>Stakeholders reported</w:t>
      </w:r>
      <w:r>
        <w:t xml:space="preserve"> </w:t>
      </w:r>
      <w:r w:rsidR="00AC076E">
        <w:t xml:space="preserve">during PPG </w:t>
      </w:r>
      <w:r>
        <w:t xml:space="preserve"> consultations that land access and </w:t>
      </w:r>
      <w:r w:rsidR="001B248C">
        <w:t xml:space="preserve">land-use </w:t>
      </w:r>
      <w:r>
        <w:t xml:space="preserve">conflicts between farmers and livestock keepers will likely be exacerbated by land degradation and climate change, if they remain unaddressed. </w:t>
      </w:r>
      <w:r w:rsidR="00AC076E">
        <w:t>More specific details about drivers are given below:</w:t>
      </w:r>
      <w:r>
        <w:t xml:space="preserve"> </w:t>
      </w:r>
    </w:p>
    <w:p w14:paraId="5360158E" w14:textId="1A6CE0C2" w:rsidR="009563B4" w:rsidRPr="006B0C11" w:rsidRDefault="009563B4" w:rsidP="001667C6">
      <w:pPr>
        <w:pStyle w:val="ParagraphOED"/>
        <w:numPr>
          <w:ilvl w:val="0"/>
          <w:numId w:val="34"/>
        </w:numPr>
        <w:spacing w:after="160"/>
      </w:pPr>
      <w:r w:rsidRPr="006B0C11">
        <w:rPr>
          <w:b/>
          <w:bCs/>
        </w:rPr>
        <w:t>In Sub-basin 1 (Cuchi-Okavango)</w:t>
      </w:r>
      <w:r w:rsidRPr="006B0C11">
        <w:t>, croplands are showing signs of land degradation</w:t>
      </w:r>
      <w:r w:rsidR="00AC076E">
        <w:t xml:space="preserve"> </w:t>
      </w:r>
      <w:r w:rsidRPr="006B0C11">
        <w:t xml:space="preserve">in parts of the landscape where access is easy </w:t>
      </w:r>
      <w:r w:rsidR="00AC076E">
        <w:t>from</w:t>
      </w:r>
      <w:r w:rsidRPr="006B0C11">
        <w:t xml:space="preserve"> roads or permanent rivers. The expansion of cropland into previously forested areas around Cuchi village ha</w:t>
      </w:r>
      <w:r w:rsidR="00AC076E">
        <w:t>s</w:t>
      </w:r>
      <w:r w:rsidRPr="006B0C11">
        <w:t xml:space="preserve"> been especially rapid compared to other zones </w:t>
      </w:r>
      <w:r w:rsidRPr="009170AD">
        <w:t>with less access. Because population growth in the Cuchi area has not been particularly fast</w:t>
      </w:r>
      <w:r w:rsidR="007D43F8" w:rsidRPr="009170AD">
        <w:rPr>
          <w:rStyle w:val="FootnoteReference"/>
        </w:rPr>
        <w:footnoteReference w:id="20"/>
      </w:r>
      <w:r w:rsidRPr="009170AD">
        <w:t xml:space="preserve">, population pressure alone </w:t>
      </w:r>
      <w:r w:rsidR="00677DB4" w:rsidRPr="009170AD">
        <w:t xml:space="preserve">does </w:t>
      </w:r>
      <w:r w:rsidRPr="009170AD">
        <w:t>not explain the rate of forest loss. It appears to be linked to</w:t>
      </w:r>
      <w:r w:rsidRPr="006B0C11">
        <w:t xml:space="preserve"> </w:t>
      </w:r>
      <w:r w:rsidRPr="009170AD">
        <w:t>demand for firewood</w:t>
      </w:r>
      <w:r w:rsidR="007B2BEA" w:rsidRPr="009170AD">
        <w:t xml:space="preserve"> and</w:t>
      </w:r>
      <w:r w:rsidRPr="009170AD">
        <w:t xml:space="preserve"> charcoal</w:t>
      </w:r>
      <w:r w:rsidR="007B2BEA" w:rsidRPr="009170AD">
        <w:t>, the</w:t>
      </w:r>
      <w:r w:rsidRPr="009170AD">
        <w:t xml:space="preserve"> </w:t>
      </w:r>
      <w:r w:rsidR="007B2BEA" w:rsidRPr="009170AD">
        <w:t xml:space="preserve">latter </w:t>
      </w:r>
      <w:r w:rsidRPr="009170AD">
        <w:t xml:space="preserve">for supplying the provincial capital Menongue and </w:t>
      </w:r>
      <w:r w:rsidR="00677DB4" w:rsidRPr="009170AD">
        <w:t xml:space="preserve">also </w:t>
      </w:r>
      <w:r w:rsidRPr="009170AD">
        <w:t xml:space="preserve">Cuchi </w:t>
      </w:r>
      <w:r w:rsidR="00677DB4" w:rsidRPr="009170AD">
        <w:t>T</w:t>
      </w:r>
      <w:r w:rsidRPr="009170AD">
        <w:t>own. Additionally, there is evidence (verified during PPG missions) that the rapid loss of forest is linked to the establishment of large-scale cattle farms south</w:t>
      </w:r>
      <w:r w:rsidR="00677DB4" w:rsidRPr="009170AD">
        <w:t xml:space="preserve"> of</w:t>
      </w:r>
      <w:r w:rsidRPr="009170AD">
        <w:t xml:space="preserve"> </w:t>
      </w:r>
      <w:r w:rsidR="005B7D51" w:rsidRPr="009170AD">
        <w:t xml:space="preserve">Cuchi </w:t>
      </w:r>
      <w:r w:rsidRPr="009170AD">
        <w:t xml:space="preserve">town’s center. These farms may or may not be currently productive. In the near future, it is expected that the installation of </w:t>
      </w:r>
      <w:r w:rsidR="00677DB4" w:rsidRPr="009170AD">
        <w:t xml:space="preserve">a </w:t>
      </w:r>
      <w:r w:rsidRPr="009170AD">
        <w:t xml:space="preserve">pig-iron smelting plant in the Cutato area (one of the communes within Cuchi </w:t>
      </w:r>
      <w:r w:rsidR="00677DB4" w:rsidRPr="009170AD">
        <w:t>M</w:t>
      </w:r>
      <w:r w:rsidRPr="009170AD">
        <w:t xml:space="preserve">unicipality) will </w:t>
      </w:r>
      <w:r w:rsidR="00677DB4" w:rsidRPr="009170AD">
        <w:t xml:space="preserve">result in </w:t>
      </w:r>
      <w:r w:rsidR="005B7D51" w:rsidRPr="009170AD">
        <w:t xml:space="preserve">industrial </w:t>
      </w:r>
      <w:r w:rsidRPr="009170AD">
        <w:t>demand</w:t>
      </w:r>
      <w:r w:rsidR="00677DB4" w:rsidRPr="009170AD">
        <w:t>s</w:t>
      </w:r>
      <w:r w:rsidRPr="009170AD">
        <w:t xml:space="preserve"> for charcoal from</w:t>
      </w:r>
      <w:r w:rsidR="00677DB4" w:rsidRPr="009170AD">
        <w:t xml:space="preserve"> the</w:t>
      </w:r>
      <w:r w:rsidRPr="009170AD">
        <w:t xml:space="preserve"> </w:t>
      </w:r>
      <w:r w:rsidR="005B7D51" w:rsidRPr="009170AD">
        <w:t xml:space="preserve">landscape’s </w:t>
      </w:r>
      <w:r w:rsidRPr="009170AD">
        <w:t>woodlands, threatening remaining forest fragments within</w:t>
      </w:r>
      <w:r w:rsidR="005B7D51" w:rsidRPr="009170AD">
        <w:t xml:space="preserve"> it </w:t>
      </w:r>
      <w:r w:rsidRPr="009170AD">
        <w:t xml:space="preserve">– unless </w:t>
      </w:r>
      <w:r w:rsidR="001B248C" w:rsidRPr="009170AD">
        <w:t>land-use plan</w:t>
      </w:r>
      <w:r w:rsidRPr="009170AD">
        <w:t xml:space="preserve">ning can bring a more </w:t>
      </w:r>
      <w:r w:rsidRPr="006B0C11">
        <w:t>rational and conciliatory solution to the problem.</w:t>
      </w:r>
    </w:p>
    <w:p w14:paraId="2827C7AC" w14:textId="58B530A3" w:rsidR="009563B4" w:rsidRPr="00CE1EA7" w:rsidRDefault="009563B4" w:rsidP="001667C6">
      <w:pPr>
        <w:pStyle w:val="ParagraphOED"/>
        <w:numPr>
          <w:ilvl w:val="0"/>
          <w:numId w:val="34"/>
        </w:numPr>
        <w:spacing w:after="160"/>
      </w:pPr>
      <w:r w:rsidRPr="006B0C11">
        <w:rPr>
          <w:b/>
          <w:bCs/>
        </w:rPr>
        <w:t>In Sub-basin 2 (Cahana-Cunene)</w:t>
      </w:r>
      <w:r w:rsidRPr="006B0C11">
        <w:t xml:space="preserve"> tree cover is naturally thinner in than in Cuando Cubango. Cropland has expanded at the expense of forests and grasslands. The latter is the original vegetation type that </w:t>
      </w:r>
      <w:r w:rsidR="00677DB4">
        <w:t xml:space="preserve">was </w:t>
      </w:r>
      <w:r w:rsidRPr="006B0C11">
        <w:t>naturally predomina</w:t>
      </w:r>
      <w:r w:rsidR="00677DB4">
        <w:t>nt</w:t>
      </w:r>
      <w:r w:rsidRPr="006B0C11">
        <w:t xml:space="preserve">. </w:t>
      </w:r>
      <w:r w:rsidR="00677DB4">
        <w:t>U</w:t>
      </w:r>
      <w:r w:rsidRPr="006B0C11">
        <w:t xml:space="preserve">nsustainable use of both rangelands and croplands has generally resulted in land degradation. Overstocking was reported </w:t>
      </w:r>
      <w:r w:rsidR="00677DB4">
        <w:t>to the</w:t>
      </w:r>
      <w:r w:rsidRPr="006B0C11">
        <w:t xml:space="preserve"> PPG </w:t>
      </w:r>
      <w:r w:rsidR="00677DB4">
        <w:t xml:space="preserve">team </w:t>
      </w:r>
      <w:r w:rsidRPr="006B0C11">
        <w:t xml:space="preserve">as </w:t>
      </w:r>
      <w:r w:rsidR="00677DB4">
        <w:t>exceeding</w:t>
      </w:r>
      <w:r w:rsidRPr="006B0C11">
        <w:t xml:space="preserve"> 100 animals per sq</w:t>
      </w:r>
      <w:r w:rsidR="00677DB4">
        <w:t>.</w:t>
      </w:r>
      <w:r w:rsidRPr="006B0C11">
        <w:t xml:space="preserve"> km. It is the second highest concentration of livestock in the country after f Luanda </w:t>
      </w:r>
      <w:r w:rsidR="00677DB4">
        <w:t>P</w:t>
      </w:r>
      <w:r w:rsidRPr="006B0C11">
        <w:t>rovince. Currently, the pressure for finding fresh</w:t>
      </w:r>
      <w:r w:rsidR="00677DB4">
        <w:t>,</w:t>
      </w:r>
      <w:r w:rsidRPr="006B0C11">
        <w:t xml:space="preserve"> palatable grasses for livestock may ev</w:t>
      </w:r>
      <w:r w:rsidRPr="00CE1EA7">
        <w:t xml:space="preserve">en be threatening the integrity of Bicuar National Park, where neither grazing nor the </w:t>
      </w:r>
      <w:r w:rsidR="008D3219">
        <w:t>cultivation are</w:t>
      </w:r>
      <w:r w:rsidRPr="00CE1EA7">
        <w:t xml:space="preserve"> allowed but are visibly happening (</w:t>
      </w:r>
      <w:r w:rsidRPr="008D3219">
        <w:rPr>
          <w:highlight w:val="lightGray"/>
        </w:rPr>
        <w:fldChar w:fldCharType="begin"/>
      </w:r>
      <w:r w:rsidRPr="008D3219">
        <w:rPr>
          <w:highlight w:val="lightGray"/>
        </w:rPr>
        <w:instrText xml:space="preserve"> REF _Ref45742788 \h  \* MERGEFORMAT </w:instrText>
      </w:r>
      <w:r w:rsidRPr="008D3219">
        <w:rPr>
          <w:highlight w:val="lightGray"/>
        </w:rPr>
      </w:r>
      <w:r w:rsidRPr="008D3219">
        <w:rPr>
          <w:highlight w:val="lightGray"/>
        </w:rPr>
        <w:fldChar w:fldCharType="separate"/>
      </w:r>
      <w:r w:rsidR="00A64193" w:rsidRPr="00A64193">
        <w:rPr>
          <w:highlight w:val="lightGray"/>
        </w:rPr>
        <w:t xml:space="preserve">Figure </w:t>
      </w:r>
      <w:r w:rsidR="00A64193" w:rsidRPr="00A64193">
        <w:rPr>
          <w:noProof/>
          <w:highlight w:val="lightGray"/>
        </w:rPr>
        <w:t>3</w:t>
      </w:r>
      <w:r w:rsidRPr="008D3219">
        <w:rPr>
          <w:highlight w:val="lightGray"/>
        </w:rPr>
        <w:fldChar w:fldCharType="end"/>
      </w:r>
      <w:r w:rsidRPr="00CE1EA7">
        <w:t xml:space="preserve">). </w:t>
      </w:r>
    </w:p>
    <w:p w14:paraId="5131837F" w14:textId="2D3EE693" w:rsidR="005F1A03" w:rsidRPr="005F1A03" w:rsidRDefault="64C9012A" w:rsidP="001667C6">
      <w:pPr>
        <w:pStyle w:val="ParagraphOED"/>
        <w:numPr>
          <w:ilvl w:val="0"/>
          <w:numId w:val="102"/>
        </w:numPr>
        <w:spacing w:after="160"/>
      </w:pPr>
      <w:r w:rsidRPr="1E65A5F7">
        <w:rPr>
          <w:b/>
          <w:bCs/>
        </w:rPr>
        <w:t>In summary,</w:t>
      </w:r>
      <w:r>
        <w:t xml:space="preserve"> the main causes and drivers of land degradation within the project zone are linked to the expansion of the agricultural frontier, </w:t>
      </w:r>
      <w:r w:rsidR="0E23AEC4">
        <w:t>resulting in</w:t>
      </w:r>
      <w:r>
        <w:t xml:space="preserve"> the multiplication of clearings to establish both small-holdings and commercial farms, charcoal production and overgrazing. These are accelerated by population pressure, driven to a certain extent by market forces, which have increased demands for food and other land-based ecosystem services. The process is visible through the rapid expansion of settlements and the loss of vegetation cover. According to remote sensing data, there has been little to no visible land improvement within the landscape. Finally, climate change poses an additional challenge to local communities’ vulnerability and requires due consideration in the design of land-use management measures for the target landscapes.</w:t>
      </w:r>
    </w:p>
    <w:p w14:paraId="2E6F0CC0" w14:textId="0D099A59" w:rsidR="009563B4" w:rsidRPr="00CD1122" w:rsidRDefault="009563B4" w:rsidP="00335B43">
      <w:pPr>
        <w:pStyle w:val="Heading3"/>
        <w:shd w:val="clear" w:color="auto" w:fill="9CC2E5" w:themeFill="accent1" w:themeFillTint="99"/>
        <w:spacing w:before="240"/>
        <w:rPr>
          <w:rFonts w:ascii="Calibri" w:hAnsi="Calibri" w:cs="Calibri"/>
        </w:rPr>
      </w:pPr>
      <w:bookmarkStart w:id="32" w:name="_Toc45712154"/>
      <w:r w:rsidRPr="00CD1122">
        <w:rPr>
          <w:rFonts w:ascii="Calibri" w:hAnsi="Calibri" w:cs="Calibri"/>
        </w:rPr>
        <w:t>2</w:t>
      </w:r>
      <w:r w:rsidR="006B606B" w:rsidRPr="00CD1122">
        <w:rPr>
          <w:rFonts w:ascii="Calibri" w:hAnsi="Calibri" w:cs="Calibri"/>
        </w:rPr>
        <w:t>.</w:t>
      </w:r>
      <w:r w:rsidRPr="00CD1122">
        <w:rPr>
          <w:rFonts w:ascii="Calibri" w:hAnsi="Calibri" w:cs="Calibri"/>
        </w:rPr>
        <w:t xml:space="preserve"> Baseline </w:t>
      </w:r>
      <w:r w:rsidR="00CA5218" w:rsidRPr="00CD1122">
        <w:rPr>
          <w:rFonts w:ascii="Calibri" w:hAnsi="Calibri" w:cs="Calibri"/>
        </w:rPr>
        <w:t>S</w:t>
      </w:r>
      <w:r w:rsidRPr="00CD1122">
        <w:rPr>
          <w:rFonts w:ascii="Calibri" w:hAnsi="Calibri" w:cs="Calibri"/>
        </w:rPr>
        <w:t xml:space="preserve">cenario and </w:t>
      </w:r>
      <w:r w:rsidR="00A451EF">
        <w:rPr>
          <w:rFonts w:ascii="Calibri" w:hAnsi="Calibri" w:cs="Calibri"/>
        </w:rPr>
        <w:t>A</w:t>
      </w:r>
      <w:r w:rsidRPr="00CD1122">
        <w:rPr>
          <w:rFonts w:ascii="Calibri" w:hAnsi="Calibri" w:cs="Calibri"/>
        </w:rPr>
        <w:t xml:space="preserve">ssociated </w:t>
      </w:r>
      <w:r w:rsidR="00CA5218" w:rsidRPr="00CD1122">
        <w:rPr>
          <w:rFonts w:ascii="Calibri" w:hAnsi="Calibri" w:cs="Calibri"/>
        </w:rPr>
        <w:t>B</w:t>
      </w:r>
      <w:r w:rsidRPr="00CD1122">
        <w:rPr>
          <w:rFonts w:ascii="Calibri" w:hAnsi="Calibri" w:cs="Calibri"/>
        </w:rPr>
        <w:t xml:space="preserve">aseline </w:t>
      </w:r>
      <w:r w:rsidR="00CA5218" w:rsidRPr="00CD1122">
        <w:rPr>
          <w:rFonts w:ascii="Calibri" w:hAnsi="Calibri" w:cs="Calibri"/>
        </w:rPr>
        <w:t>P</w:t>
      </w:r>
      <w:r w:rsidRPr="00CD1122">
        <w:rPr>
          <w:rFonts w:ascii="Calibri" w:hAnsi="Calibri" w:cs="Calibri"/>
        </w:rPr>
        <w:t>rojects</w:t>
      </w:r>
      <w:bookmarkEnd w:id="32"/>
    </w:p>
    <w:p w14:paraId="7548F13F" w14:textId="07B5DFB2" w:rsidR="009563B4" w:rsidRPr="00335B43" w:rsidRDefault="009563B4" w:rsidP="00335B43">
      <w:pPr>
        <w:pStyle w:val="Heading4"/>
        <w:spacing w:before="160" w:after="160"/>
        <w:ind w:left="0"/>
        <w:jc w:val="both"/>
        <w:rPr>
          <w:rFonts w:ascii="Calibri" w:hAnsi="Calibri"/>
          <w:sz w:val="21"/>
          <w:szCs w:val="21"/>
          <w:u w:val="none"/>
          <w:shd w:val="clear" w:color="auto" w:fill="9CC2E5" w:themeFill="accent1" w:themeFillTint="99"/>
        </w:rPr>
      </w:pPr>
      <w:bookmarkStart w:id="33" w:name="_Toc45712155"/>
      <w:r w:rsidRPr="00335B43">
        <w:rPr>
          <w:rFonts w:ascii="Calibri" w:hAnsi="Calibri"/>
          <w:sz w:val="21"/>
          <w:szCs w:val="21"/>
          <w:u w:val="none"/>
          <w:shd w:val="clear" w:color="auto" w:fill="9CC2E5" w:themeFill="accent1" w:themeFillTint="99"/>
        </w:rPr>
        <w:t>A</w:t>
      </w:r>
      <w:r w:rsidR="00C046D4" w:rsidRPr="00335B43">
        <w:rPr>
          <w:rFonts w:ascii="Calibri" w:hAnsi="Calibri"/>
          <w:sz w:val="21"/>
          <w:szCs w:val="21"/>
          <w:u w:val="none"/>
          <w:shd w:val="clear" w:color="auto" w:fill="9CC2E5" w:themeFill="accent1" w:themeFillTint="99"/>
        </w:rPr>
        <w:t>.</w:t>
      </w:r>
      <w:r w:rsidRPr="00335B43">
        <w:rPr>
          <w:rFonts w:ascii="Calibri" w:hAnsi="Calibri"/>
          <w:sz w:val="21"/>
          <w:szCs w:val="21"/>
          <w:u w:val="none"/>
          <w:shd w:val="clear" w:color="auto" w:fill="9CC2E5" w:themeFill="accent1" w:themeFillTint="99"/>
        </w:rPr>
        <w:t xml:space="preserve"> Baseline S</w:t>
      </w:r>
      <w:r w:rsidR="00853A0B">
        <w:rPr>
          <w:rFonts w:ascii="Calibri" w:hAnsi="Calibri"/>
          <w:sz w:val="21"/>
          <w:szCs w:val="21"/>
          <w:u w:val="none"/>
          <w:shd w:val="clear" w:color="auto" w:fill="9CC2E5" w:themeFill="accent1" w:themeFillTint="99"/>
        </w:rPr>
        <w:t>cenario</w:t>
      </w:r>
      <w:r w:rsidR="00B9025F" w:rsidRPr="00B9025F">
        <w:rPr>
          <w:rFonts w:ascii="Calibri" w:hAnsi="Calibri"/>
          <w:sz w:val="21"/>
          <w:szCs w:val="21"/>
          <w:u w:val="none"/>
          <w:shd w:val="clear" w:color="auto" w:fill="9CC2E5" w:themeFill="accent1" w:themeFillTint="99"/>
        </w:rPr>
        <w:t xml:space="preserve"> </w:t>
      </w:r>
      <w:r w:rsidR="00B9025F" w:rsidRPr="00335B43">
        <w:rPr>
          <w:rFonts w:ascii="Calibri" w:hAnsi="Calibri"/>
          <w:sz w:val="21"/>
          <w:szCs w:val="21"/>
          <w:u w:val="none"/>
          <w:shd w:val="clear" w:color="auto" w:fill="9CC2E5" w:themeFill="accent1" w:themeFillTint="99"/>
        </w:rPr>
        <w:t>Summary</w:t>
      </w:r>
      <w:r w:rsidR="00B9025F">
        <w:rPr>
          <w:rFonts w:ascii="Calibri" w:hAnsi="Calibri"/>
          <w:sz w:val="21"/>
          <w:szCs w:val="21"/>
          <w:u w:val="none"/>
          <w:shd w:val="clear" w:color="auto" w:fill="9CC2E5" w:themeFill="accent1" w:themeFillTint="99"/>
        </w:rPr>
        <w:t xml:space="preserve"> </w:t>
      </w:r>
      <w:bookmarkEnd w:id="33"/>
    </w:p>
    <w:p w14:paraId="0A5BF361" w14:textId="126C3208" w:rsidR="009563B4" w:rsidRPr="00853A0B" w:rsidRDefault="0168A6B3" w:rsidP="001667C6">
      <w:pPr>
        <w:pStyle w:val="ParagraphOED"/>
        <w:numPr>
          <w:ilvl w:val="0"/>
          <w:numId w:val="102"/>
        </w:numPr>
        <w:spacing w:after="160"/>
      </w:pPr>
      <w:r>
        <w:t>Assessments undertaken during the preparatory phase</w:t>
      </w:r>
      <w:r w:rsidR="4C1B76EB">
        <w:t xml:space="preserve"> (PPG)</w:t>
      </w:r>
      <w:r>
        <w:t xml:space="preserve"> of this project </w:t>
      </w:r>
      <w:r w:rsidR="460C6265">
        <w:t xml:space="preserve">show that the overall availability of land-based resources is dwindling across much of the targeted landscapes, including </w:t>
      </w:r>
      <w:r w:rsidR="460C6265">
        <w:lastRenderedPageBreak/>
        <w:t>carbon, water and fertile soil. With it, the valuable flow of ecosystem services is under threat. Similar patterns across the wider landscape have resulted, over the years, in the large</w:t>
      </w:r>
      <w:r w:rsidR="4C1B76EB">
        <w:t>-</w:t>
      </w:r>
      <w:r w:rsidR="460C6265">
        <w:t xml:space="preserve">scale degradation of Miombo-Mopane Woodlands in </w:t>
      </w:r>
      <w:r w:rsidR="4C1B76EB">
        <w:t xml:space="preserve">southern </w:t>
      </w:r>
      <w:r w:rsidR="460C6265">
        <w:t xml:space="preserve">Angola. </w:t>
      </w:r>
      <w:r w:rsidR="4C1B76EB" w:rsidRPr="1E65A5F7">
        <w:rPr>
          <w:b/>
          <w:bCs/>
        </w:rPr>
        <w:t>L</w:t>
      </w:r>
      <w:r w:rsidR="460C6265" w:rsidRPr="1E65A5F7">
        <w:rPr>
          <w:b/>
          <w:bCs/>
        </w:rPr>
        <w:t xml:space="preserve">and productivity </w:t>
      </w:r>
      <w:r w:rsidR="4C1B76EB" w:rsidRPr="1E65A5F7">
        <w:rPr>
          <w:b/>
          <w:bCs/>
        </w:rPr>
        <w:t>is currently</w:t>
      </w:r>
      <w:r w:rsidR="460C6265" w:rsidRPr="1E65A5F7">
        <w:rPr>
          <w:b/>
          <w:bCs/>
        </w:rPr>
        <w:t xml:space="preserve"> declining </w:t>
      </w:r>
      <w:r w:rsidR="460C6265">
        <w:t xml:space="preserve">in the region, not least as </w:t>
      </w:r>
      <w:r w:rsidR="4C1B76EB">
        <w:t xml:space="preserve">a </w:t>
      </w:r>
      <w:r w:rsidR="460C6265">
        <w:t xml:space="preserve">result of historical patterns of </w:t>
      </w:r>
      <w:r w:rsidR="27D042D8">
        <w:t>land-use change</w:t>
      </w:r>
      <w:r w:rsidR="460C6265">
        <w:t>.</w:t>
      </w:r>
    </w:p>
    <w:p w14:paraId="04947C86" w14:textId="4F190480" w:rsidR="009563B4" w:rsidRPr="00853A0B" w:rsidRDefault="009563B4" w:rsidP="001667C6">
      <w:pPr>
        <w:pStyle w:val="ParagraphOED"/>
        <w:numPr>
          <w:ilvl w:val="0"/>
          <w:numId w:val="102"/>
        </w:numPr>
        <w:spacing w:after="160"/>
      </w:pPr>
      <w:r w:rsidRPr="1E65A5F7">
        <w:rPr>
          <w:b/>
          <w:bCs/>
        </w:rPr>
        <w:t xml:space="preserve">The main environmental problem </w:t>
      </w:r>
      <w:r w:rsidR="00B9025F" w:rsidRPr="1E65A5F7">
        <w:rPr>
          <w:b/>
          <w:bCs/>
        </w:rPr>
        <w:t xml:space="preserve">to be </w:t>
      </w:r>
      <w:r w:rsidRPr="1E65A5F7">
        <w:rPr>
          <w:b/>
          <w:bCs/>
        </w:rPr>
        <w:t>addressed by this project</w:t>
      </w:r>
      <w:r>
        <w:t xml:space="preserve"> is linked to the unsustainable use of Miombo-Mopane Woodlands </w:t>
      </w:r>
      <w:r w:rsidR="00B9025F">
        <w:t>in</w:t>
      </w:r>
      <w:r>
        <w:t xml:space="preserve"> southern Angola. Valuable ecosystem services are being lost at an accelerat</w:t>
      </w:r>
      <w:r w:rsidR="00B9025F">
        <w:t>ing</w:t>
      </w:r>
      <w:r>
        <w:t xml:space="preserve"> pace in the region as a result of land degradation. </w:t>
      </w:r>
      <w:r w:rsidR="00B9025F">
        <w:t>N</w:t>
      </w:r>
      <w:r>
        <w:t>ational frameworks for managing landscapes in an integrated and sustainable way are not yet in place</w:t>
      </w:r>
      <w:r w:rsidR="00B9025F">
        <w:t>;</w:t>
      </w:r>
      <w:r>
        <w:t xml:space="preserve"> and the national capacity to do so remains underdeveloped. </w:t>
      </w:r>
    </w:p>
    <w:p w14:paraId="40F41C56" w14:textId="4FB80D3F" w:rsidR="001A164C" w:rsidRDefault="009563B4" w:rsidP="001667C6">
      <w:pPr>
        <w:pStyle w:val="ParagraphOED"/>
        <w:numPr>
          <w:ilvl w:val="0"/>
          <w:numId w:val="102"/>
        </w:numPr>
        <w:spacing w:after="160"/>
      </w:pPr>
      <w:r w:rsidRPr="1E65A5F7">
        <w:rPr>
          <w:b/>
          <w:bCs/>
        </w:rPr>
        <w:t>Land degradation and associated processes</w:t>
      </w:r>
      <w:r>
        <w:t xml:space="preserve"> undermines Angola’s development gains; it aggravates the country’s food security challenges and its climatic vulnerability, exacerbating the current status of rural poverty and deprivation, including its inherent gender gap. </w:t>
      </w:r>
      <w:r w:rsidR="00B9025F">
        <w:t>S</w:t>
      </w:r>
      <w:r>
        <w:t xml:space="preserve">outhern Angola is more affected </w:t>
      </w:r>
      <w:r w:rsidR="00B9025F">
        <w:t xml:space="preserve">by these problems </w:t>
      </w:r>
      <w:r>
        <w:t>than other parts of the country. The climate tends towards aridity and the risks of soil erosion caused by water runoff are greater than elsewhere in the country. Water-driven soil erosion is corroborated by the fact that the alluvial plains of southern Angola harbo</w:t>
      </w:r>
      <w:r w:rsidR="00B9025F">
        <w:t>u</w:t>
      </w:r>
      <w:r>
        <w:t xml:space="preserve">r a tight mesh of rivers and tributaries. Among them are a few international rivers that are crucially important </w:t>
      </w:r>
      <w:r w:rsidR="00B9025F">
        <w:t xml:space="preserve">to </w:t>
      </w:r>
      <w:r>
        <w:t>both Angola and its neighbo</w:t>
      </w:r>
      <w:r w:rsidR="00B9025F">
        <w:t>u</w:t>
      </w:r>
      <w:r>
        <w:t xml:space="preserve">rs in the sub-region. Local conditions of land use have also influenced the patterns of settlement and associated processes such as forest clearance and rangeland utilization, as well as the conditions for sustainability within productive landscapes. </w:t>
      </w:r>
      <w:r w:rsidR="00B458EB">
        <w:t>H</w:t>
      </w:r>
      <w:r>
        <w:t>ow land degradation affects various biophysical process</w:t>
      </w:r>
      <w:r w:rsidR="00B458EB">
        <w:t>es</w:t>
      </w:r>
      <w:r>
        <w:t xml:space="preserve"> in southern Angola</w:t>
      </w:r>
      <w:r w:rsidR="00B458EB">
        <w:t xml:space="preserve"> is summarized in </w:t>
      </w:r>
      <w:r w:rsidR="002F502B">
        <w:t>Box 1.</w:t>
      </w:r>
    </w:p>
    <w:p w14:paraId="43CF4F1F" w14:textId="1DA55B4C" w:rsidR="00F52E9A" w:rsidRPr="00F52E9A" w:rsidRDefault="3A96DB21" w:rsidP="001667C6">
      <w:pPr>
        <w:pStyle w:val="ParagraphOED"/>
        <w:numPr>
          <w:ilvl w:val="0"/>
          <w:numId w:val="102"/>
        </w:numPr>
      </w:pPr>
      <w:r>
        <w:t xml:space="preserve">An important conclusion from </w:t>
      </w:r>
      <w:r w:rsidR="04F21288">
        <w:t>t</w:t>
      </w:r>
      <w:r>
        <w:t>he implications of the above finding for the project relate to the importance of early detection of degradation (anticipated loss) and of strategies that avoid degradation. Besides careful monitoring of land-use</w:t>
      </w:r>
      <w:r w:rsidR="1CE16B04">
        <w:t xml:space="preserve"> c</w:t>
      </w:r>
      <w:r>
        <w:t xml:space="preserve">hange within landscapes, many of the degradation avoidance strategies must include fire management, as a minimum, and the negotiated control of ‘selective land/forest use’. </w:t>
      </w:r>
    </w:p>
    <w:p w14:paraId="031B3A6C" w14:textId="28024DA2" w:rsidR="00F52E9A" w:rsidRPr="00F52E9A" w:rsidRDefault="00F52E9A" w:rsidP="001667C6">
      <w:pPr>
        <w:pStyle w:val="ParagraphOED"/>
        <w:numPr>
          <w:ilvl w:val="0"/>
          <w:numId w:val="102"/>
        </w:numPr>
      </w:pPr>
      <w:r>
        <w:t xml:space="preserve">The project’s general scope considers a Project zone in southern Angola straddling over parts of Cuando Cubando, Cunene and Huila provinces (Figure 1A). Within this zone, Miombo and Mopane landscapes in Angola are threatened, along with their associated ecosystem services. Deforestation, uncontrolled wildfires and other unsustainable uses of natural resources are putting pressure on the tenuous balance that maintains Miombo-Mopane woodlands productive across the Okavango, Cunene and Cuvelai river basins. Given the transboundary character of these river basins, the strategy will need to consider land and water use in an integrated manner. </w:t>
      </w:r>
    </w:p>
    <w:p w14:paraId="469CF2C3" w14:textId="286987F3" w:rsidR="00F52E9A" w:rsidRPr="00F52E9A" w:rsidRDefault="00F52E9A" w:rsidP="001667C6">
      <w:pPr>
        <w:pStyle w:val="ParagraphOED"/>
        <w:numPr>
          <w:ilvl w:val="0"/>
          <w:numId w:val="102"/>
        </w:numPr>
      </w:pPr>
      <w:r>
        <w:t xml:space="preserve">Two Miombo- Mopane landscapes in southern Angola will be targeted in view of operationalizing viable solutions to the project’s core problem: Sub-basin 1 (Cuchi-Okavango), with 485,413 hectares, which features Miombo landscapes, and Sub-basin 2 (Cahama-Cunene), with 880,046 hectares, featuring Mopane landscapes. Together, the land surface of the two landscapes sums approximately 1.37 million hectares and harbor a population that is currently estimated at 125,000 people: 45,000 in Sub-basin 1 and 81,000 in Sub-basin 2. Both are multi-use landscapes, where cropland, forests and grasslands co-exist side-by-side, either as distinct or as mixed land-use systems (LUS). The landscapes’ approximate location is shown in Figure 1A. </w:t>
      </w:r>
    </w:p>
    <w:p w14:paraId="4F79E191" w14:textId="7DEC2D59" w:rsidR="009563B4" w:rsidRPr="001A164C" w:rsidRDefault="004E7298" w:rsidP="001667C6">
      <w:pPr>
        <w:pStyle w:val="ParagraphOED"/>
        <w:numPr>
          <w:ilvl w:val="0"/>
          <w:numId w:val="102"/>
        </w:numPr>
        <w:spacing w:after="160"/>
      </w:pPr>
      <w:r>
        <w:t>T</w:t>
      </w:r>
      <w:r w:rsidR="001A164C" w:rsidRPr="001A164C">
        <w:t>he remote sensing analysis</w:t>
      </w:r>
      <w:r w:rsidR="001A164C" w:rsidRPr="001A164C">
        <w:rPr>
          <w:highlight w:val="lightGray"/>
          <w:vertAlign w:val="superscript"/>
        </w:rPr>
        <w:footnoteReference w:id="21"/>
      </w:r>
      <w:r>
        <w:t>, which</w:t>
      </w:r>
      <w:r w:rsidR="001A164C" w:rsidRPr="001A164C">
        <w:t xml:space="preserve"> shows part of the project’s </w:t>
      </w:r>
      <w:r w:rsidR="001A164C" w:rsidRPr="4FA5C607">
        <w:t>Landscape 1</w:t>
      </w:r>
      <w:r>
        <w:rPr>
          <w:szCs w:val="21"/>
        </w:rPr>
        <w:t>,</w:t>
      </w:r>
      <w:r w:rsidR="001A164C" w:rsidRPr="4FA5C607">
        <w:rPr>
          <w:b/>
        </w:rPr>
        <w:t xml:space="preserve"> </w:t>
      </w:r>
      <w:r w:rsidR="001A164C" w:rsidRPr="4FA5C607">
        <w:t>concludes</w:t>
      </w:r>
      <w:r>
        <w:rPr>
          <w:szCs w:val="21"/>
        </w:rPr>
        <w:t xml:space="preserve"> </w:t>
      </w:r>
      <w:r w:rsidR="001A164C" w:rsidRPr="4FA5C607">
        <w:t xml:space="preserve">that degradation occurs more commonly in cultivated areas, which are usually established along roads or in close proximity to already existing fields, or alongside river banks. </w:t>
      </w:r>
      <w:r w:rsidR="001A164C" w:rsidRPr="1E65A5F7">
        <w:rPr>
          <w:rFonts w:asciiTheme="minorHAnsi" w:hAnsiTheme="minorHAnsi" w:cstheme="minorBidi"/>
        </w:rPr>
        <w:t xml:space="preserve">Schneibel et al. </w:t>
      </w:r>
      <w:r w:rsidR="001A164C" w:rsidRPr="4FA5C607">
        <w:t xml:space="preserve">also noted that degradation is occurring in closed forest areas, away from any infrastructure or settlements. They assumed that such areas are: </w:t>
      </w:r>
      <w:r w:rsidR="001A164C" w:rsidRPr="4FA5C607">
        <w:rPr>
          <w:i/>
        </w:rPr>
        <w:t>“either very early fields (before the observation period) or were selectively used and are thus more susceptible to recurring fires.”</w:t>
      </w:r>
    </w:p>
    <w:p w14:paraId="08DD2CA4" w14:textId="36DCBB04" w:rsidR="00FD1E54" w:rsidRPr="00853A0B" w:rsidRDefault="00FD1E54" w:rsidP="001667C6">
      <w:pPr>
        <w:pStyle w:val="ParagraphOED"/>
        <w:numPr>
          <w:ilvl w:val="0"/>
          <w:numId w:val="102"/>
        </w:numPr>
      </w:pPr>
      <w:bookmarkStart w:id="34" w:name="_Ref45736820"/>
      <w:bookmarkStart w:id="35" w:name="_Toc45712117"/>
      <w:r>
        <w:lastRenderedPageBreak/>
        <w:t xml:space="preserve">The implications of the above </w:t>
      </w:r>
      <w:r w:rsidR="004E7298">
        <w:t xml:space="preserve">finding </w:t>
      </w:r>
      <w:r w:rsidR="00E47667">
        <w:t xml:space="preserve">for the project </w:t>
      </w:r>
      <w:r>
        <w:t xml:space="preserve">relate to the importance of </w:t>
      </w:r>
      <w:r w:rsidRPr="4FA5C607">
        <w:rPr>
          <w:b/>
        </w:rPr>
        <w:t>early detection of degradation</w:t>
      </w:r>
      <w:r>
        <w:t xml:space="preserve"> (anticipated loss) and of </w:t>
      </w:r>
      <w:r w:rsidRPr="4FA5C607">
        <w:rPr>
          <w:b/>
        </w:rPr>
        <w:t>strategies that avoid degradation</w:t>
      </w:r>
      <w:r>
        <w:t xml:space="preserve">. Besides careful monitoring of land-use change within landscapes, many of the degradation avoidance strategies must include </w:t>
      </w:r>
      <w:r w:rsidRPr="4FA5C607">
        <w:rPr>
          <w:b/>
        </w:rPr>
        <w:t>fire management</w:t>
      </w:r>
      <w:r>
        <w:t xml:space="preserve">, as a minimum, and the negotiated </w:t>
      </w:r>
      <w:r w:rsidRPr="4FA5C607">
        <w:rPr>
          <w:b/>
        </w:rPr>
        <w:t>control of ‘selective land/forest use’</w:t>
      </w:r>
      <w:r>
        <w:t>.</w:t>
      </w:r>
      <w:r w:rsidRPr="1E65A5F7">
        <w:rPr>
          <w:sz w:val="18"/>
          <w:szCs w:val="18"/>
        </w:rPr>
        <w:t xml:space="preserve"> </w:t>
      </w:r>
    </w:p>
    <w:p w14:paraId="509E98F0" w14:textId="69216E82" w:rsidR="0080735B" w:rsidRPr="0080735B" w:rsidRDefault="00FD1E54" w:rsidP="001667C6">
      <w:pPr>
        <w:pStyle w:val="ParagraphOED"/>
        <w:numPr>
          <w:ilvl w:val="0"/>
          <w:numId w:val="102"/>
        </w:numPr>
        <w:spacing w:after="160"/>
        <w:rPr>
          <w:color w:val="FF0000"/>
          <w:sz w:val="22"/>
          <w:szCs w:val="22"/>
        </w:rPr>
      </w:pPr>
      <w:r>
        <w:t xml:space="preserve">The project’s general scope considers a </w:t>
      </w:r>
      <w:r w:rsidRPr="1E65A5F7">
        <w:rPr>
          <w:i/>
          <w:iCs/>
          <w:u w:val="single"/>
        </w:rPr>
        <w:t>Project zone</w:t>
      </w:r>
      <w:r>
        <w:t xml:space="preserve"> in southern Angola straddling over parts of Cuando Cubando, Cunene and Huila </w:t>
      </w:r>
      <w:r w:rsidR="00E47667">
        <w:t>p</w:t>
      </w:r>
      <w:r>
        <w:t>rovinces (</w:t>
      </w:r>
      <w:r>
        <w:fldChar w:fldCharType="begin"/>
      </w:r>
      <w:r>
        <w:instrText xml:space="preserve"> REF _Ref40122788 \h  \* MERGEFORMAT </w:instrText>
      </w:r>
      <w:r>
        <w:fldChar w:fldCharType="separate"/>
      </w:r>
      <w:r w:rsidR="00A64193" w:rsidRPr="1E65A5F7">
        <w:rPr>
          <w:u w:val="single"/>
        </w:rPr>
        <w:t>Figure 1</w:t>
      </w:r>
      <w:r>
        <w:fldChar w:fldCharType="end"/>
      </w:r>
      <w:r w:rsidRPr="1E65A5F7">
        <w:rPr>
          <w:u w:val="single"/>
        </w:rPr>
        <w:t>A</w:t>
      </w:r>
      <w:r>
        <w:t>). Within this zone, Miombo and Mopane landscapes in Angola are threatened, along with the</w:t>
      </w:r>
      <w:r w:rsidR="00E47667">
        <w:t>ir</w:t>
      </w:r>
      <w:r>
        <w:t xml:space="preserve"> </w:t>
      </w:r>
      <w:r w:rsidR="00E47667">
        <w:t xml:space="preserve">associated </w:t>
      </w:r>
      <w:r>
        <w:t>ecosystem services. Deforestation and other unsustainable uses of natural resources are putting pressure on the tenuous balance that maintains Miombo</w:t>
      </w:r>
      <w:r w:rsidR="00E47667">
        <w:t>-</w:t>
      </w:r>
      <w:r>
        <w:t>Mopane woodlands productive across the Okavango, Cunene and Cuvelai river basins.</w:t>
      </w:r>
    </w:p>
    <w:p w14:paraId="11CF5D0F" w14:textId="048CB89D" w:rsidR="0080735B" w:rsidRPr="0080735B" w:rsidRDefault="0080735B" w:rsidP="0080735B">
      <w:pPr>
        <w:pStyle w:val="Caption"/>
        <w:spacing w:after="80"/>
        <w:rPr>
          <w:rFonts w:ascii="Calibri" w:hAnsi="Calibri"/>
        </w:rPr>
      </w:pPr>
      <w:bookmarkStart w:id="36" w:name="_Toc58398655"/>
      <w:r w:rsidRPr="0080735B">
        <w:rPr>
          <w:rFonts w:ascii="Calibri" w:hAnsi="Calibri"/>
        </w:rPr>
        <w:t xml:space="preserve">Box </w:t>
      </w:r>
      <w:r w:rsidRPr="0080735B">
        <w:rPr>
          <w:rFonts w:ascii="Calibri" w:hAnsi="Calibri"/>
        </w:rPr>
        <w:fldChar w:fldCharType="begin"/>
      </w:r>
      <w:r w:rsidRPr="0080735B">
        <w:rPr>
          <w:rFonts w:ascii="Calibri" w:hAnsi="Calibri"/>
        </w:rPr>
        <w:instrText xml:space="preserve"> SEQ Box \* ARABIC </w:instrText>
      </w:r>
      <w:r w:rsidRPr="0080735B">
        <w:rPr>
          <w:rFonts w:ascii="Calibri" w:hAnsi="Calibri"/>
        </w:rPr>
        <w:fldChar w:fldCharType="separate"/>
      </w:r>
      <w:r w:rsidR="00A64193">
        <w:rPr>
          <w:rFonts w:ascii="Calibri" w:hAnsi="Calibri"/>
          <w:noProof/>
        </w:rPr>
        <w:t>1</w:t>
      </w:r>
      <w:r w:rsidRPr="0080735B">
        <w:rPr>
          <w:rFonts w:ascii="Calibri" w:hAnsi="Calibri"/>
        </w:rPr>
        <w:fldChar w:fldCharType="end"/>
      </w:r>
      <w:r w:rsidRPr="0080735B">
        <w:rPr>
          <w:rFonts w:ascii="Calibri" w:hAnsi="Calibri"/>
        </w:rPr>
        <w:t>. How land degradation is manifested in southern Angola</w:t>
      </w:r>
      <w:bookmarkEnd w:id="36"/>
    </w:p>
    <w:tbl>
      <w:tblPr>
        <w:tblStyle w:val="TableGrid2"/>
        <w:tblW w:w="4994" w:type="pct"/>
        <w:tblLook w:val="04A0" w:firstRow="1" w:lastRow="0" w:firstColumn="1" w:lastColumn="0" w:noHBand="0" w:noVBand="1"/>
      </w:tblPr>
      <w:tblGrid>
        <w:gridCol w:w="3964"/>
        <w:gridCol w:w="5041"/>
      </w:tblGrid>
      <w:tr w:rsidR="00DC2987" w:rsidRPr="0029161B" w14:paraId="65C13B37" w14:textId="77777777" w:rsidTr="78C544BE">
        <w:tc>
          <w:tcPr>
            <w:tcW w:w="5000" w:type="pct"/>
            <w:gridSpan w:val="2"/>
            <w:tcMar>
              <w:top w:w="28" w:type="dxa"/>
              <w:left w:w="57" w:type="dxa"/>
              <w:bottom w:w="28" w:type="dxa"/>
              <w:right w:w="57" w:type="dxa"/>
            </w:tcMar>
          </w:tcPr>
          <w:p w14:paraId="5A95C448" w14:textId="71FAED77" w:rsidR="00DC2987" w:rsidRDefault="00FD1E54" w:rsidP="00613A2E">
            <w:pPr>
              <w:jc w:val="center"/>
              <w:rPr>
                <w:rFonts w:ascii="Calibri" w:hAnsi="Calibri" w:cs="Calibri"/>
                <w:b/>
                <w:bCs/>
                <w:sz w:val="20"/>
                <w:szCs w:val="18"/>
              </w:rPr>
            </w:pPr>
            <w:r w:rsidRPr="00853A0B">
              <w:t xml:space="preserve"> </w:t>
            </w:r>
            <w:bookmarkEnd w:id="34"/>
            <w:bookmarkEnd w:id="35"/>
            <w:r w:rsidR="00DC2987" w:rsidRPr="0029161B">
              <w:rPr>
                <w:rFonts w:ascii="Calibri" w:hAnsi="Calibri" w:cs="Calibri"/>
                <w:b/>
                <w:bCs/>
                <w:sz w:val="20"/>
                <w:szCs w:val="18"/>
              </w:rPr>
              <w:t>In the project zone, disturbances are happening even below the canopy of closed forests.</w:t>
            </w:r>
          </w:p>
          <w:p w14:paraId="3E97EF39" w14:textId="77777777" w:rsidR="00DC2987" w:rsidRPr="0029161B" w:rsidRDefault="00DC2987" w:rsidP="00613A2E">
            <w:pPr>
              <w:jc w:val="center"/>
              <w:rPr>
                <w:rFonts w:ascii="Calibri" w:hAnsi="Calibri" w:cs="Calibri"/>
                <w:sz w:val="21"/>
                <w:szCs w:val="21"/>
              </w:rPr>
            </w:pPr>
            <w:r w:rsidRPr="0029161B">
              <w:rPr>
                <w:rFonts w:ascii="Calibri" w:hAnsi="Calibri" w:cs="Calibri"/>
                <w:b/>
                <w:bCs/>
                <w:sz w:val="20"/>
                <w:szCs w:val="18"/>
              </w:rPr>
              <w:t xml:space="preserve">This opens up the way </w:t>
            </w:r>
            <w:r>
              <w:rPr>
                <w:rFonts w:ascii="Calibri" w:hAnsi="Calibri" w:cs="Calibri"/>
                <w:b/>
                <w:bCs/>
                <w:sz w:val="20"/>
                <w:szCs w:val="18"/>
              </w:rPr>
              <w:t>for</w:t>
            </w:r>
            <w:r w:rsidRPr="0029161B">
              <w:rPr>
                <w:rFonts w:ascii="Calibri" w:hAnsi="Calibri" w:cs="Calibri"/>
                <w:b/>
                <w:bCs/>
                <w:sz w:val="20"/>
                <w:szCs w:val="18"/>
              </w:rPr>
              <w:t xml:space="preserve"> wild fires.</w:t>
            </w:r>
          </w:p>
        </w:tc>
      </w:tr>
      <w:tr w:rsidR="006E4658" w:rsidRPr="0029161B" w14:paraId="10910090" w14:textId="77777777" w:rsidTr="78C544BE">
        <w:trPr>
          <w:trHeight w:val="8014"/>
        </w:trPr>
        <w:tc>
          <w:tcPr>
            <w:tcW w:w="2201" w:type="pct"/>
            <w:tcMar>
              <w:top w:w="28" w:type="dxa"/>
              <w:left w:w="57" w:type="dxa"/>
              <w:bottom w:w="28" w:type="dxa"/>
              <w:right w:w="57" w:type="dxa"/>
            </w:tcMar>
          </w:tcPr>
          <w:p w14:paraId="4109A132" w14:textId="6B5A5F35" w:rsidR="0013199D" w:rsidRPr="0013199D" w:rsidRDefault="0013199D" w:rsidP="00613A2E">
            <w:pPr>
              <w:spacing w:before="40" w:after="80"/>
              <w:rPr>
                <w:rFonts w:ascii="Calibri" w:hAnsi="Calibri" w:cs="Calibri"/>
                <w:sz w:val="18"/>
                <w:szCs w:val="18"/>
              </w:rPr>
            </w:pPr>
            <w:r w:rsidRPr="0013199D">
              <w:rPr>
                <w:rFonts w:ascii="Calibri" w:hAnsi="Calibri" w:cs="Calibri"/>
                <w:sz w:val="18"/>
                <w:szCs w:val="18"/>
              </w:rPr>
              <w:t xml:space="preserve">In the project zone, land degradation is primarily manifested through the </w:t>
            </w:r>
            <w:r w:rsidRPr="0013199D">
              <w:rPr>
                <w:rFonts w:ascii="Calibri" w:hAnsi="Calibri" w:cs="Calibri"/>
                <w:b/>
                <w:bCs/>
                <w:sz w:val="18"/>
                <w:szCs w:val="18"/>
              </w:rPr>
              <w:t>physical degradation of the soil</w:t>
            </w:r>
            <w:r w:rsidRPr="0013199D">
              <w:rPr>
                <w:rFonts w:ascii="Calibri" w:hAnsi="Calibri" w:cs="Calibri"/>
                <w:sz w:val="18"/>
                <w:szCs w:val="18"/>
              </w:rPr>
              <w:t xml:space="preserve"> and the </w:t>
            </w:r>
            <w:r w:rsidRPr="0013199D">
              <w:rPr>
                <w:rFonts w:ascii="Calibri" w:hAnsi="Calibri" w:cs="Calibri"/>
                <w:b/>
                <w:bCs/>
                <w:sz w:val="18"/>
                <w:szCs w:val="18"/>
              </w:rPr>
              <w:t>biological degradation of ecosystems</w:t>
            </w:r>
            <w:r w:rsidRPr="0013199D">
              <w:rPr>
                <w:rFonts w:ascii="Calibri" w:hAnsi="Calibri" w:cs="Calibri"/>
                <w:sz w:val="18"/>
                <w:szCs w:val="18"/>
              </w:rPr>
              <w:t xml:space="preserve">, affecting woodlands, grasslands, croplands and water resources. </w:t>
            </w:r>
          </w:p>
          <w:p w14:paraId="2979CA71" w14:textId="02462ACC" w:rsidR="0013199D" w:rsidRPr="0013199D" w:rsidRDefault="0013199D" w:rsidP="00613A2E">
            <w:pPr>
              <w:spacing w:before="40" w:after="80"/>
              <w:rPr>
                <w:rFonts w:ascii="Calibri" w:hAnsi="Calibri" w:cs="Calibri"/>
                <w:sz w:val="18"/>
                <w:szCs w:val="18"/>
              </w:rPr>
            </w:pPr>
            <w:r w:rsidRPr="0013199D">
              <w:rPr>
                <w:rFonts w:ascii="Calibri" w:hAnsi="Calibri" w:cs="Calibri"/>
                <w:b/>
                <w:bCs/>
                <w:sz w:val="18"/>
                <w:szCs w:val="18"/>
              </w:rPr>
              <w:t>The vegetation has a protective role against soil erosion:</w:t>
            </w:r>
            <w:r w:rsidRPr="0013199D">
              <w:rPr>
                <w:rFonts w:ascii="Calibri" w:hAnsi="Calibri" w:cs="Calibri"/>
                <w:sz w:val="18"/>
                <w:szCs w:val="18"/>
              </w:rPr>
              <w:t xml:space="preserve"> once removed, the topsoil becomes denuded and at risk from exacerbated erosion (i.e. in excess of the natural erosion of soils). Land can then become degraded. The presence of erosion gullies near non-permanent water courses detected on site during PPG missions are obvious signs of advanced degradation. </w:t>
            </w:r>
          </w:p>
          <w:p w14:paraId="40580B45" w14:textId="24420868" w:rsidR="0013199D" w:rsidRPr="0013199D" w:rsidRDefault="0013199D" w:rsidP="00613A2E">
            <w:pPr>
              <w:spacing w:before="40" w:after="80"/>
              <w:rPr>
                <w:rFonts w:ascii="Calibri" w:hAnsi="Calibri" w:cs="Calibri"/>
                <w:sz w:val="18"/>
                <w:szCs w:val="18"/>
              </w:rPr>
            </w:pPr>
            <w:r w:rsidRPr="0013199D">
              <w:rPr>
                <w:rFonts w:ascii="Calibri" w:hAnsi="Calibri" w:cs="Calibri"/>
                <w:sz w:val="18"/>
                <w:szCs w:val="18"/>
              </w:rPr>
              <w:t xml:space="preserve">In shrublands, woodlands and grasslands, loss of vegetative cover is caused either by </w:t>
            </w:r>
            <w:r w:rsidRPr="0013199D">
              <w:rPr>
                <w:rFonts w:ascii="Calibri" w:hAnsi="Calibri" w:cs="Calibri"/>
                <w:b/>
                <w:bCs/>
                <w:sz w:val="18"/>
                <w:szCs w:val="18"/>
              </w:rPr>
              <w:t>land conversion</w:t>
            </w:r>
            <w:r w:rsidRPr="0013199D">
              <w:rPr>
                <w:rFonts w:ascii="Calibri" w:hAnsi="Calibri" w:cs="Calibri"/>
                <w:sz w:val="18"/>
                <w:szCs w:val="18"/>
              </w:rPr>
              <w:t xml:space="preserve"> or </w:t>
            </w:r>
            <w:r w:rsidRPr="0013199D">
              <w:rPr>
                <w:rFonts w:ascii="Calibri" w:hAnsi="Calibri" w:cs="Calibri"/>
                <w:b/>
                <w:bCs/>
                <w:sz w:val="18"/>
                <w:szCs w:val="18"/>
              </w:rPr>
              <w:t>runaway fires</w:t>
            </w:r>
            <w:r w:rsidRPr="0013199D">
              <w:rPr>
                <w:rFonts w:ascii="Calibri" w:hAnsi="Calibri" w:cs="Calibri"/>
                <w:sz w:val="18"/>
                <w:szCs w:val="18"/>
              </w:rPr>
              <w:t xml:space="preserve"> - and land conversion often involves the use of fire to remove vegetation. In croplands, degradation is caused by </w:t>
            </w:r>
            <w:r w:rsidRPr="0013199D">
              <w:rPr>
                <w:rFonts w:ascii="Calibri" w:hAnsi="Calibri" w:cs="Calibri"/>
                <w:b/>
                <w:bCs/>
                <w:sz w:val="18"/>
                <w:szCs w:val="18"/>
              </w:rPr>
              <w:t>improper land care</w:t>
            </w:r>
            <w:r w:rsidRPr="0013199D">
              <w:rPr>
                <w:rFonts w:ascii="Calibri" w:hAnsi="Calibri" w:cs="Calibri"/>
                <w:sz w:val="18"/>
                <w:szCs w:val="18"/>
              </w:rPr>
              <w:t xml:space="preserve">, or because land has been abandoned without soil protection measures. The latter is typical of </w:t>
            </w:r>
            <w:r w:rsidRPr="0013199D">
              <w:rPr>
                <w:rFonts w:ascii="Calibri" w:hAnsi="Calibri" w:cs="Calibri"/>
                <w:b/>
                <w:bCs/>
                <w:sz w:val="18"/>
                <w:szCs w:val="18"/>
              </w:rPr>
              <w:t>slash-and-burn/shifting cultivation systems</w:t>
            </w:r>
            <w:r w:rsidRPr="0013199D">
              <w:rPr>
                <w:rFonts w:ascii="Calibri" w:hAnsi="Calibri" w:cs="Calibri"/>
                <w:sz w:val="18"/>
                <w:szCs w:val="18"/>
              </w:rPr>
              <w:t xml:space="preserve">. Soil erosion, loss of biomass and degradation of biological resources are all interrelated, </w:t>
            </w:r>
            <w:r w:rsidRPr="0013199D">
              <w:rPr>
                <w:rFonts w:ascii="Calibri" w:hAnsi="Calibri" w:cs="Calibri"/>
                <w:b/>
                <w:bCs/>
                <w:sz w:val="18"/>
                <w:szCs w:val="18"/>
                <w:u w:val="single"/>
              </w:rPr>
              <w:t>mutually reinforcing</w:t>
            </w:r>
            <w:r w:rsidRPr="0013199D">
              <w:rPr>
                <w:rFonts w:ascii="Calibri" w:hAnsi="Calibri" w:cs="Calibri"/>
                <w:sz w:val="18"/>
                <w:szCs w:val="18"/>
              </w:rPr>
              <w:t xml:space="preserve"> processes.</w:t>
            </w:r>
          </w:p>
          <w:p w14:paraId="4A330C7A" w14:textId="14493AB3" w:rsidR="0013199D" w:rsidRPr="0013199D" w:rsidRDefault="0013199D" w:rsidP="00613A2E">
            <w:pPr>
              <w:spacing w:before="40" w:after="80"/>
              <w:rPr>
                <w:rFonts w:ascii="Calibri" w:hAnsi="Calibri" w:cs="Calibri"/>
                <w:sz w:val="18"/>
                <w:szCs w:val="18"/>
              </w:rPr>
            </w:pPr>
            <w:r w:rsidRPr="0013199D">
              <w:rPr>
                <w:rFonts w:ascii="Calibri" w:hAnsi="Calibri" w:cs="Calibri"/>
                <w:sz w:val="18"/>
                <w:szCs w:val="18"/>
              </w:rPr>
              <w:t xml:space="preserve">Other related processes include the </w:t>
            </w:r>
            <w:r w:rsidRPr="0013199D">
              <w:rPr>
                <w:rFonts w:ascii="Calibri" w:hAnsi="Calibri" w:cs="Calibri"/>
                <w:b/>
                <w:bCs/>
                <w:sz w:val="18"/>
                <w:szCs w:val="18"/>
              </w:rPr>
              <w:t>loss biocarbon above and below ground</w:t>
            </w:r>
            <w:r w:rsidRPr="0013199D">
              <w:rPr>
                <w:rFonts w:ascii="Calibri" w:hAnsi="Calibri" w:cs="Calibri"/>
                <w:sz w:val="18"/>
                <w:szCs w:val="18"/>
              </w:rPr>
              <w:t xml:space="preserve">, along with </w:t>
            </w:r>
            <w:r w:rsidRPr="0013199D">
              <w:rPr>
                <w:rFonts w:ascii="Calibri" w:hAnsi="Calibri" w:cs="Calibri"/>
                <w:b/>
                <w:bCs/>
                <w:sz w:val="18"/>
                <w:szCs w:val="18"/>
              </w:rPr>
              <w:t>disturbances to the water cycle</w:t>
            </w:r>
            <w:r w:rsidRPr="0013199D">
              <w:rPr>
                <w:rFonts w:ascii="Calibri" w:hAnsi="Calibri" w:cs="Calibri"/>
                <w:sz w:val="18"/>
                <w:szCs w:val="18"/>
              </w:rPr>
              <w:t xml:space="preserve">, and are general consequences of the above-mentioned processes. </w:t>
            </w:r>
          </w:p>
          <w:p w14:paraId="60E0CF90" w14:textId="0F55F4E5" w:rsidR="0013199D" w:rsidRPr="0013199D" w:rsidRDefault="0013199D" w:rsidP="00290BD8">
            <w:pPr>
              <w:spacing w:before="40" w:after="80"/>
              <w:rPr>
                <w:rFonts w:ascii="Calibri" w:hAnsi="Calibri" w:cs="Calibri"/>
                <w:sz w:val="21"/>
                <w:szCs w:val="21"/>
              </w:rPr>
            </w:pPr>
            <w:r w:rsidRPr="0013199D">
              <w:rPr>
                <w:rFonts w:ascii="Calibri" w:hAnsi="Calibri" w:cs="Calibri"/>
                <w:sz w:val="18"/>
                <w:szCs w:val="18"/>
              </w:rPr>
              <w:t>Over time, degraded landscapes lose their ability to withhold moisture in the soil, transport water and to make water available through percolation. Soils can become quite compacted in places, making cultivation and natural regeneration challenging. In other places, the soil layers may collapse and form gullies. With widespread loss of topsoil, due to land-use change and improper land care, rivers can also become loaded with sediment. Ever larger landscapes and entire watersheds will eventually be negatively transformed.</w:t>
            </w:r>
          </w:p>
        </w:tc>
        <w:tc>
          <w:tcPr>
            <w:tcW w:w="2799" w:type="pct"/>
            <w:tcBorders>
              <w:bottom w:val="nil"/>
            </w:tcBorders>
            <w:tcMar>
              <w:top w:w="28" w:type="dxa"/>
              <w:left w:w="57" w:type="dxa"/>
              <w:bottom w:w="28" w:type="dxa"/>
              <w:right w:w="57" w:type="dxa"/>
            </w:tcMar>
          </w:tcPr>
          <w:p w14:paraId="223F6224" w14:textId="3A1F4192" w:rsidR="0013199D" w:rsidRPr="0013199D" w:rsidRDefault="003E1C34" w:rsidP="000060C6">
            <w:pPr>
              <w:rPr>
                <w:rFonts w:ascii="Calibri" w:hAnsi="Calibri" w:cs="Calibri"/>
                <w:sz w:val="10"/>
                <w:szCs w:val="10"/>
              </w:rPr>
            </w:pPr>
            <w:r w:rsidRPr="0013199D">
              <w:rPr>
                <w:rFonts w:ascii="Calibri" w:hAnsi="Calibri" w:cs="Calibri"/>
                <w:noProof/>
                <w:sz w:val="10"/>
                <w:szCs w:val="10"/>
                <w:lang w:val="en-US" w:eastAsia="en-US"/>
              </w:rPr>
              <w:drawing>
                <wp:anchor distT="0" distB="0" distL="114300" distR="114300" simplePos="0" relativeHeight="251658241" behindDoc="1" locked="0" layoutInCell="1" allowOverlap="1" wp14:anchorId="2948BA1C" wp14:editId="3BC76AB0">
                  <wp:simplePos x="0" y="0"/>
                  <wp:positionH relativeFrom="column">
                    <wp:posOffset>-32563</wp:posOffset>
                  </wp:positionH>
                  <wp:positionV relativeFrom="paragraph">
                    <wp:posOffset>33</wp:posOffset>
                  </wp:positionV>
                  <wp:extent cx="3128256" cy="4860758"/>
                  <wp:effectExtent l="0" t="0" r="0" b="3810"/>
                  <wp:wrapTight wrapText="bothSides">
                    <wp:wrapPolygon edited="0">
                      <wp:start x="0" y="0"/>
                      <wp:lineTo x="0" y="21560"/>
                      <wp:lineTo x="21486" y="21560"/>
                      <wp:lineTo x="21486" y="0"/>
                      <wp:lineTo x="0" y="0"/>
                    </wp:wrapPolygon>
                  </wp:wrapTight>
                  <wp:docPr id="38" name="Picture 38" descr="A picture containing screensho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Box1_new_fig.JPG"/>
                          <pic:cNvPicPr/>
                        </pic:nvPicPr>
                        <pic:blipFill>
                          <a:blip r:embed="rId36">
                            <a:extLst>
                              <a:ext uri="{28A0092B-C50C-407E-A947-70E740481C1C}">
                                <a14:useLocalDpi xmlns:a14="http://schemas.microsoft.com/office/drawing/2010/main"/>
                              </a:ext>
                            </a:extLst>
                          </a:blip>
                          <a:stretch>
                            <a:fillRect/>
                          </a:stretch>
                        </pic:blipFill>
                        <pic:spPr>
                          <a:xfrm>
                            <a:off x="0" y="0"/>
                            <a:ext cx="3136599" cy="4873722"/>
                          </a:xfrm>
                          <a:prstGeom prst="rect">
                            <a:avLst/>
                          </a:prstGeom>
                        </pic:spPr>
                      </pic:pic>
                    </a:graphicData>
                  </a:graphic>
                  <wp14:sizeRelH relativeFrom="page">
                    <wp14:pctWidth>0</wp14:pctWidth>
                  </wp14:sizeRelH>
                  <wp14:sizeRelV relativeFrom="page">
                    <wp14:pctHeight>0</wp14:pctHeight>
                  </wp14:sizeRelV>
                </wp:anchor>
              </w:drawing>
            </w:r>
          </w:p>
          <w:p w14:paraId="5D80DD88" w14:textId="4ED07BF7" w:rsidR="0013199D" w:rsidRPr="003E1C34" w:rsidRDefault="003E1C34" w:rsidP="003E1C34">
            <w:pPr>
              <w:spacing w:after="80"/>
              <w:jc w:val="center"/>
              <w:rPr>
                <w:rFonts w:ascii="Calibri" w:hAnsi="Calibri" w:cs="Calibri"/>
                <w:b/>
                <w:bCs/>
                <w:sz w:val="20"/>
                <w:szCs w:val="20"/>
              </w:rPr>
            </w:pPr>
            <w:r w:rsidRPr="003E1C34">
              <w:rPr>
                <w:rFonts w:ascii="Calibri" w:hAnsi="Calibri" w:cs="Calibri"/>
                <w:b/>
                <w:bCs/>
                <w:sz w:val="20"/>
                <w:szCs w:val="20"/>
              </w:rPr>
              <w:t>Land/forest degradation in Cuchi-Menongue area</w:t>
            </w:r>
          </w:p>
          <w:p w14:paraId="4F5A17F8" w14:textId="755364C5" w:rsidR="003E1C34" w:rsidRPr="0013199D" w:rsidRDefault="003E1C34" w:rsidP="003E1C34">
            <w:pPr>
              <w:rPr>
                <w:rFonts w:asciiTheme="minorHAnsi" w:hAnsiTheme="minorHAnsi" w:cstheme="minorHAnsi"/>
                <w:sz w:val="15"/>
                <w:szCs w:val="15"/>
              </w:rPr>
            </w:pPr>
            <w:r w:rsidRPr="00CB210E">
              <w:rPr>
                <w:rFonts w:asciiTheme="minorHAnsi" w:hAnsiTheme="minorHAnsi" w:cstheme="minorHAnsi"/>
                <w:b/>
                <w:bCs/>
                <w:sz w:val="15"/>
                <w:szCs w:val="15"/>
                <w:lang w:val="fr-CA"/>
              </w:rPr>
              <w:t>Source:</w:t>
            </w:r>
            <w:r w:rsidRPr="00CB210E">
              <w:rPr>
                <w:rFonts w:asciiTheme="minorHAnsi" w:hAnsiTheme="minorHAnsi" w:cstheme="minorHAnsi"/>
                <w:sz w:val="15"/>
                <w:szCs w:val="15"/>
                <w:lang w:val="fr-CA"/>
              </w:rPr>
              <w:t xml:space="preserve">  Schneibel, A. et al. </w:t>
            </w:r>
            <w:r w:rsidRPr="0013199D">
              <w:rPr>
                <w:rFonts w:asciiTheme="minorHAnsi" w:hAnsiTheme="minorHAnsi" w:cstheme="minorHAnsi"/>
                <w:sz w:val="15"/>
                <w:szCs w:val="15"/>
              </w:rPr>
              <w:t xml:space="preserve">(2017) </w:t>
            </w:r>
            <w:r w:rsidRPr="0013199D">
              <w:rPr>
                <w:rFonts w:asciiTheme="minorHAnsi" w:hAnsiTheme="minorHAnsi" w:cstheme="minorHAnsi"/>
                <w:i/>
                <w:iCs/>
                <w:sz w:val="15"/>
                <w:szCs w:val="15"/>
              </w:rPr>
              <w:t>Using Annual Landsat Time Series for the Detection of Dry Forest Degradation Processes in South-Central Angola</w:t>
            </w:r>
            <w:r w:rsidRPr="0013199D">
              <w:rPr>
                <w:rFonts w:asciiTheme="minorHAnsi" w:hAnsiTheme="minorHAnsi" w:cstheme="minorHAnsi"/>
                <w:sz w:val="15"/>
                <w:szCs w:val="15"/>
              </w:rPr>
              <w:t xml:space="preserve">. Remote Sens. 2017, 9, 905; doi:10.3390/rs9090905. </w:t>
            </w:r>
          </w:p>
          <w:p w14:paraId="2B87B755" w14:textId="2F308454" w:rsidR="0013199D" w:rsidRPr="0013199D" w:rsidRDefault="003E1C34" w:rsidP="003E1C34">
            <w:pPr>
              <w:rPr>
                <w:rFonts w:ascii="Calibri" w:hAnsi="Calibri" w:cs="Calibri"/>
                <w:b/>
                <w:bCs/>
                <w:sz w:val="18"/>
                <w:szCs w:val="18"/>
              </w:rPr>
            </w:pPr>
            <w:r w:rsidRPr="003E1C34">
              <w:rPr>
                <w:rFonts w:asciiTheme="minorHAnsi" w:hAnsiTheme="minorHAnsi" w:cstheme="minorHAnsi"/>
                <w:b/>
                <w:bCs/>
                <w:sz w:val="15"/>
                <w:szCs w:val="15"/>
              </w:rPr>
              <w:t>Note:</w:t>
            </w:r>
            <w:r>
              <w:rPr>
                <w:rFonts w:asciiTheme="minorHAnsi" w:hAnsiTheme="minorHAnsi" w:cstheme="minorHAnsi"/>
                <w:sz w:val="15"/>
                <w:szCs w:val="15"/>
              </w:rPr>
              <w:t xml:space="preserve"> </w:t>
            </w:r>
            <w:r w:rsidRPr="0013199D">
              <w:rPr>
                <w:rFonts w:asciiTheme="minorHAnsi" w:hAnsiTheme="minorHAnsi" w:cstheme="minorHAnsi"/>
                <w:sz w:val="15"/>
                <w:szCs w:val="15"/>
              </w:rPr>
              <w:t>The background image from Schneibel, A. et al. (2017) reproduced herein is a true color image of Landsat long term average reflectance.</w:t>
            </w:r>
          </w:p>
        </w:tc>
      </w:tr>
      <w:tr w:rsidR="00513F87" w14:paraId="463E95C3" w14:textId="77777777" w:rsidTr="78C544BE">
        <w:tc>
          <w:tcPr>
            <w:tcW w:w="5000" w:type="pct"/>
            <w:gridSpan w:val="2"/>
            <w:tcMar>
              <w:top w:w="28" w:type="dxa"/>
              <w:left w:w="57" w:type="dxa"/>
              <w:bottom w:w="28" w:type="dxa"/>
              <w:right w:w="57" w:type="dxa"/>
            </w:tcMar>
          </w:tcPr>
          <w:p w14:paraId="784A0455" w14:textId="2BB1097C" w:rsidR="00FD1E54" w:rsidRPr="006E4658" w:rsidRDefault="003E1C34" w:rsidP="00513F87">
            <w:pPr>
              <w:spacing w:before="40" w:after="80"/>
              <w:rPr>
                <w:rFonts w:ascii="Calibri" w:hAnsi="Calibri" w:cs="Calibri"/>
                <w:sz w:val="18"/>
                <w:szCs w:val="18"/>
              </w:rPr>
            </w:pPr>
            <w:r w:rsidRPr="006E4658">
              <w:rPr>
                <w:rFonts w:ascii="Calibri" w:hAnsi="Calibri" w:cs="Calibri"/>
                <w:b/>
                <w:bCs/>
                <w:sz w:val="18"/>
                <w:szCs w:val="18"/>
              </w:rPr>
              <w:t>Determining and defining</w:t>
            </w:r>
            <w:r w:rsidR="00FD1E54" w:rsidRPr="006E4658">
              <w:rPr>
                <w:rFonts w:ascii="Calibri" w:hAnsi="Calibri" w:cs="Calibri"/>
                <w:b/>
                <w:bCs/>
                <w:sz w:val="18"/>
                <w:szCs w:val="18"/>
              </w:rPr>
              <w:t xml:space="preserve"> land/forest degradation</w:t>
            </w:r>
            <w:r w:rsidRPr="006E4658">
              <w:rPr>
                <w:rFonts w:ascii="Calibri" w:hAnsi="Calibri" w:cs="Calibri"/>
                <w:b/>
                <w:bCs/>
                <w:sz w:val="18"/>
                <w:szCs w:val="18"/>
              </w:rPr>
              <w:t xml:space="preserve"> is complex</w:t>
            </w:r>
            <w:r w:rsidR="006E4658" w:rsidRPr="006E4658">
              <w:rPr>
                <w:rFonts w:ascii="Calibri" w:hAnsi="Calibri" w:cs="Calibri"/>
                <w:b/>
                <w:bCs/>
                <w:sz w:val="18"/>
                <w:szCs w:val="18"/>
              </w:rPr>
              <w:t xml:space="preserve">: </w:t>
            </w:r>
            <w:r w:rsidR="006E4658">
              <w:rPr>
                <w:rFonts w:ascii="Calibri" w:hAnsi="Calibri" w:cs="Calibri"/>
                <w:noProof/>
                <w:sz w:val="18"/>
                <w:szCs w:val="18"/>
              </w:rPr>
              <w:t>as revealed in t</w:t>
            </w:r>
            <w:r w:rsidR="00513F87" w:rsidRPr="006E4658">
              <w:rPr>
                <w:rFonts w:ascii="Calibri" w:hAnsi="Calibri" w:cs="Calibri"/>
                <w:sz w:val="18"/>
                <w:szCs w:val="18"/>
              </w:rPr>
              <w:t>his independent study on the detection of degradation process</w:t>
            </w:r>
            <w:r w:rsidR="006E4658" w:rsidRPr="006E4658">
              <w:rPr>
                <w:rFonts w:ascii="Calibri" w:hAnsi="Calibri" w:cs="Calibri"/>
                <w:sz w:val="18"/>
                <w:szCs w:val="18"/>
              </w:rPr>
              <w:t>es</w:t>
            </w:r>
            <w:r w:rsidR="00513F87" w:rsidRPr="006E4658">
              <w:rPr>
                <w:rFonts w:ascii="Calibri" w:hAnsi="Calibri" w:cs="Calibri"/>
                <w:sz w:val="18"/>
                <w:szCs w:val="18"/>
              </w:rPr>
              <w:t xml:space="preserve"> in dry forest</w:t>
            </w:r>
            <w:r w:rsidR="006E4658">
              <w:rPr>
                <w:rFonts w:ascii="Calibri" w:hAnsi="Calibri" w:cs="Calibri"/>
                <w:sz w:val="18"/>
                <w:szCs w:val="18"/>
              </w:rPr>
              <w:t>, which</w:t>
            </w:r>
            <w:r w:rsidR="00513F87" w:rsidRPr="006E4658">
              <w:rPr>
                <w:rFonts w:ascii="Calibri" w:hAnsi="Calibri" w:cs="Calibri"/>
                <w:sz w:val="18"/>
                <w:szCs w:val="18"/>
              </w:rPr>
              <w:t xml:space="preserve"> incidentally focused on the</w:t>
            </w:r>
            <w:r w:rsidR="00513F87" w:rsidRPr="006E4658">
              <w:rPr>
                <w:rFonts w:ascii="Calibri" w:hAnsi="Calibri" w:cs="Calibri"/>
                <w:b/>
                <w:bCs/>
                <w:sz w:val="18"/>
                <w:szCs w:val="18"/>
              </w:rPr>
              <w:t xml:space="preserve"> Cuchi-Menongue area </w:t>
            </w:r>
            <w:r w:rsidR="00513F87" w:rsidRPr="006E4658">
              <w:rPr>
                <w:rFonts w:ascii="Calibri" w:hAnsi="Calibri" w:cs="Calibri"/>
                <w:sz w:val="18"/>
                <w:szCs w:val="18"/>
              </w:rPr>
              <w:t xml:space="preserve">(partly in Sub-basin 1). </w:t>
            </w:r>
          </w:p>
          <w:p w14:paraId="1D1B9562" w14:textId="64FF301D" w:rsidR="00513F87" w:rsidRPr="0013199D" w:rsidRDefault="00FD1E54" w:rsidP="00290BD8">
            <w:pPr>
              <w:rPr>
                <w:rFonts w:ascii="Calibri" w:hAnsi="Calibri" w:cs="Calibri"/>
                <w:sz w:val="21"/>
                <w:szCs w:val="21"/>
              </w:rPr>
            </w:pPr>
            <w:r w:rsidRPr="006E4658">
              <w:rPr>
                <w:rFonts w:ascii="Calibri" w:hAnsi="Calibri" w:cs="Calibri"/>
                <w:sz w:val="18"/>
                <w:szCs w:val="18"/>
              </w:rPr>
              <w:lastRenderedPageBreak/>
              <w:t>[</w:t>
            </w:r>
            <w:r w:rsidR="00513F87" w:rsidRPr="006E4658">
              <w:rPr>
                <w:rFonts w:ascii="Calibri" w:hAnsi="Calibri" w:cs="Calibri"/>
                <w:sz w:val="18"/>
                <w:szCs w:val="18"/>
              </w:rPr>
              <w:t>Linear regression analysis was used to group land-use classes as ‘stable’, ‘degradation’, or ‘regeneration’ areas.</w:t>
            </w:r>
            <w:r w:rsidRPr="006E4658">
              <w:rPr>
                <w:rFonts w:ascii="Calibri" w:hAnsi="Calibri" w:cs="Calibri"/>
                <w:sz w:val="18"/>
                <w:szCs w:val="18"/>
              </w:rPr>
              <w:t>]</w:t>
            </w:r>
          </w:p>
        </w:tc>
      </w:tr>
    </w:tbl>
    <w:p w14:paraId="6AC9B259" w14:textId="77777777" w:rsidR="00041551" w:rsidRPr="00853A0B" w:rsidRDefault="00041551" w:rsidP="00041551"/>
    <w:p w14:paraId="58FA4F08" w14:textId="04EE31EB" w:rsidR="009563B4" w:rsidRPr="00853A0B" w:rsidRDefault="009563B4" w:rsidP="001667C6">
      <w:pPr>
        <w:pStyle w:val="ParagraphOED"/>
        <w:numPr>
          <w:ilvl w:val="0"/>
          <w:numId w:val="102"/>
        </w:numPr>
        <w:spacing w:after="160"/>
      </w:pPr>
      <w:r w:rsidRPr="1E65A5F7">
        <w:rPr>
          <w:b/>
          <w:bCs/>
        </w:rPr>
        <w:t>Trends in land use.</w:t>
      </w:r>
      <w:r>
        <w:t xml:space="preserve"> Conditions within the landscapes of southern Angola vary significantly according to scale and location. The climate is more arid and more variable towards the southwest and the soils sandier. Hence, Sub-basin #2 is more </w:t>
      </w:r>
      <w:r w:rsidRPr="1E65A5F7">
        <w:rPr>
          <w:b/>
          <w:bCs/>
        </w:rPr>
        <w:t>naturally prone to land degradation</w:t>
      </w:r>
      <w:r>
        <w:t xml:space="preserve"> than Sub-basin #1. The natural drivers of land degradation in this case are mild, </w:t>
      </w:r>
      <w:r w:rsidR="006E4658">
        <w:t xml:space="preserve">however, </w:t>
      </w:r>
      <w:r>
        <w:t xml:space="preserve">when compared to the anthropic ones. </w:t>
      </w:r>
    </w:p>
    <w:p w14:paraId="15B6BA6E" w14:textId="094A7323" w:rsidR="009563B4" w:rsidRPr="00853A0B" w:rsidRDefault="009563B4" w:rsidP="001667C6">
      <w:pPr>
        <w:pStyle w:val="ParagraphOED"/>
        <w:numPr>
          <w:ilvl w:val="0"/>
          <w:numId w:val="102"/>
        </w:numPr>
        <w:spacing w:after="160"/>
      </w:pPr>
      <w:r>
        <w:t xml:space="preserve">Of all the processes that cause land degradation within the project zone, </w:t>
      </w:r>
      <w:r w:rsidR="001B248C" w:rsidRPr="1E65A5F7">
        <w:rPr>
          <w:b/>
          <w:bCs/>
        </w:rPr>
        <w:t>land-use change</w:t>
      </w:r>
      <w:r>
        <w:t xml:space="preserve"> (or conversion of land use) is the most widespread degrading process. It causes the strongest impact within the landscapes at large – and beyond them. Understanding </w:t>
      </w:r>
      <w:r w:rsidR="001B248C">
        <w:t>land-use change</w:t>
      </w:r>
      <w:r>
        <w:t xml:space="preserve"> patterns and the drivers behind them across different locations and scales is essential in the fight against land degradation. The two sub-basins that serve as ‘target landscapes’ in the project are in many respects quite different from each other</w:t>
      </w:r>
      <w:r w:rsidR="004B4D17">
        <w:t>. T</w:t>
      </w:r>
      <w:r>
        <w:t xml:space="preserve">ogether they offer a </w:t>
      </w:r>
      <w:r w:rsidR="004B4D17">
        <w:t xml:space="preserve">sound </w:t>
      </w:r>
      <w:r>
        <w:t xml:space="preserve">combination of representative conditions and challenges vis-à-vis land degradation. </w:t>
      </w:r>
    </w:p>
    <w:p w14:paraId="1E1ABD3E" w14:textId="1D12A4D9" w:rsidR="009563B4" w:rsidRPr="00853A0B" w:rsidRDefault="009563B4" w:rsidP="001667C6">
      <w:pPr>
        <w:pStyle w:val="ParagraphOED"/>
        <w:numPr>
          <w:ilvl w:val="0"/>
          <w:numId w:val="102"/>
        </w:numPr>
        <w:spacing w:after="160"/>
      </w:pPr>
      <w:r w:rsidRPr="00853A0B">
        <w:rPr>
          <w:b/>
          <w:bCs/>
        </w:rPr>
        <w:t xml:space="preserve">Poverty, low productivity of land and low resilience </w:t>
      </w:r>
      <w:r w:rsidRPr="00853A0B">
        <w:t>are prevalent conditions within the project zone. PPG results showed that local communities within the targeted landscapes are particularly challenged by these conditions. This is consistent with background data: the provinces concerned (Cunene and Cuando Cubango) display a lower HDI than the national average.</w:t>
      </w:r>
      <w:r w:rsidRPr="00853A0B">
        <w:rPr>
          <w:rStyle w:val="FootnoteReference"/>
        </w:rPr>
        <w:footnoteReference w:id="22"/>
      </w:r>
      <w:r w:rsidRPr="00853A0B">
        <w:t xml:space="preserve"> Land tenure is insecure among small-holders, who tend to be loosely organized around productive activities</w:t>
      </w:r>
      <w:r w:rsidR="004B4D17">
        <w:t>, as</w:t>
      </w:r>
      <w:r w:rsidRPr="00853A0B">
        <w:t xml:space="preserve"> confirmed by SHARP results. Some areas within the landscapes are known for harbo</w:t>
      </w:r>
      <w:r w:rsidR="004B4D17">
        <w:t>u</w:t>
      </w:r>
      <w:r w:rsidRPr="00853A0B">
        <w:t>ring land tenure conflict</w:t>
      </w:r>
      <w:r w:rsidR="004B4D17">
        <w:t>s</w:t>
      </w:r>
      <w:r w:rsidRPr="00853A0B">
        <w:rPr>
          <w:rStyle w:val="FootnoteReference"/>
        </w:rPr>
        <w:footnoteReference w:id="23"/>
      </w:r>
      <w:r w:rsidRPr="00853A0B">
        <w:t xml:space="preserve">. </w:t>
      </w:r>
    </w:p>
    <w:p w14:paraId="623ECD5E" w14:textId="22B5E0CB" w:rsidR="009563B4" w:rsidRDefault="009563B4" w:rsidP="001667C6">
      <w:pPr>
        <w:pStyle w:val="ParagraphOED"/>
        <w:numPr>
          <w:ilvl w:val="0"/>
          <w:numId w:val="102"/>
        </w:numPr>
        <w:spacing w:after="160"/>
      </w:pPr>
      <w:r>
        <w:t xml:space="preserve">When consulted during the PPG on the causes and effects of land degradation, local stakeholders </w:t>
      </w:r>
      <w:r w:rsidR="004B4D17">
        <w:t>identified</w:t>
      </w:r>
      <w:r>
        <w:t xml:space="preserve"> the collection of firewood, often with the purpose of producing charcoal, as one of the main reasons why forests are being thinned. Not only do these processes lead </w:t>
      </w:r>
      <w:r w:rsidR="004B4D17">
        <w:t xml:space="preserve">quickly </w:t>
      </w:r>
      <w:r>
        <w:t>to land degradation, but they are accelerated by the gradual decrease in land productivity, causing -- and caused by -- land degradation. This creates a vicious cycle of poverty, low resilience and land degradation, which requires positive management intervention</w:t>
      </w:r>
      <w:r w:rsidR="004B4D17">
        <w:t>s</w:t>
      </w:r>
      <w:r>
        <w:t xml:space="preserve"> at the landscape level.</w:t>
      </w:r>
    </w:p>
    <w:p w14:paraId="14F4827F" w14:textId="754CCF24" w:rsidR="7E3BD38A" w:rsidRPr="0089315F" w:rsidRDefault="7E3BD38A" w:rsidP="003E0ECB">
      <w:pPr>
        <w:spacing w:after="160"/>
      </w:pPr>
    </w:p>
    <w:p w14:paraId="1CCEF3F0" w14:textId="5F4C5EA8" w:rsidR="009563B4" w:rsidRPr="003E0ECB" w:rsidRDefault="009563B4" w:rsidP="00335B43">
      <w:pPr>
        <w:pStyle w:val="Heading4"/>
        <w:spacing w:before="160" w:after="160"/>
        <w:ind w:left="0"/>
        <w:jc w:val="both"/>
      </w:pPr>
      <w:bookmarkStart w:id="37" w:name="_Toc45712156"/>
      <w:bookmarkStart w:id="38" w:name="_Ref52095517"/>
      <w:r w:rsidRPr="003E0ECB">
        <w:rPr>
          <w:rFonts w:ascii="Calibri" w:hAnsi="Calibri"/>
          <w:i w:val="0"/>
          <w:sz w:val="22"/>
          <w:szCs w:val="22"/>
          <w:shd w:val="clear" w:color="auto" w:fill="9CC2E5" w:themeFill="accent1" w:themeFillTint="99"/>
        </w:rPr>
        <w:t>B</w:t>
      </w:r>
      <w:r w:rsidR="00C046D4" w:rsidRPr="003E0ECB">
        <w:rPr>
          <w:rFonts w:ascii="Calibri" w:hAnsi="Calibri"/>
          <w:i w:val="0"/>
          <w:sz w:val="22"/>
          <w:szCs w:val="22"/>
          <w:shd w:val="clear" w:color="auto" w:fill="9CC2E5" w:themeFill="accent1" w:themeFillTint="99"/>
        </w:rPr>
        <w:t>.</w:t>
      </w:r>
      <w:r w:rsidRPr="003E0ECB">
        <w:rPr>
          <w:rFonts w:ascii="Calibri" w:hAnsi="Calibri"/>
          <w:i w:val="0"/>
          <w:sz w:val="22"/>
          <w:szCs w:val="22"/>
          <w:shd w:val="clear" w:color="auto" w:fill="9CC2E5" w:themeFill="accent1" w:themeFillTint="99"/>
        </w:rPr>
        <w:t xml:space="preserve"> Legal, Policy </w:t>
      </w:r>
      <w:r w:rsidR="00EC62AA" w:rsidRPr="003E0ECB">
        <w:t>and</w:t>
      </w:r>
      <w:r w:rsidRPr="003E0ECB">
        <w:t xml:space="preserve"> Institutional Frameworks</w:t>
      </w:r>
      <w:bookmarkEnd w:id="37"/>
      <w:bookmarkEnd w:id="38"/>
    </w:p>
    <w:p w14:paraId="4A70F76F" w14:textId="6AD7320A" w:rsidR="009563B4" w:rsidRPr="00335B43" w:rsidRDefault="009563B4" w:rsidP="00335B43">
      <w:pPr>
        <w:spacing w:before="160" w:after="160"/>
        <w:rPr>
          <w:rFonts w:ascii="Calibri" w:hAnsi="Calibri"/>
          <w:i/>
          <w:iCs/>
          <w:sz w:val="21"/>
          <w:szCs w:val="21"/>
        </w:rPr>
      </w:pPr>
      <w:bookmarkStart w:id="39" w:name="_Toc45712157"/>
      <w:r w:rsidRPr="00335B43">
        <w:rPr>
          <w:rFonts w:ascii="Calibri" w:hAnsi="Calibri"/>
          <w:i/>
          <w:iCs/>
          <w:sz w:val="21"/>
          <w:szCs w:val="21"/>
          <w:highlight w:val="lightGray"/>
        </w:rPr>
        <w:t>LDN P</w:t>
      </w:r>
      <w:r w:rsidR="00B00EB1">
        <w:rPr>
          <w:rFonts w:ascii="Calibri" w:hAnsi="Calibri"/>
          <w:i/>
          <w:iCs/>
          <w:sz w:val="21"/>
          <w:szCs w:val="21"/>
          <w:highlight w:val="lightGray"/>
        </w:rPr>
        <w:t>olicy</w:t>
      </w:r>
      <w:r w:rsidRPr="00335B43">
        <w:rPr>
          <w:rFonts w:ascii="Calibri" w:hAnsi="Calibri"/>
          <w:i/>
          <w:iCs/>
          <w:sz w:val="21"/>
          <w:szCs w:val="21"/>
          <w:highlight w:val="lightGray"/>
        </w:rPr>
        <w:t xml:space="preserve">, </w:t>
      </w:r>
      <w:r w:rsidR="001B248C" w:rsidRPr="00335B43">
        <w:rPr>
          <w:rFonts w:ascii="Calibri" w:hAnsi="Calibri"/>
          <w:i/>
          <w:iCs/>
          <w:sz w:val="21"/>
          <w:szCs w:val="21"/>
          <w:highlight w:val="lightGray"/>
        </w:rPr>
        <w:t xml:space="preserve">Land-use </w:t>
      </w:r>
      <w:r w:rsidR="00B00EB1">
        <w:rPr>
          <w:rFonts w:ascii="Calibri" w:hAnsi="Calibri"/>
          <w:i/>
          <w:iCs/>
          <w:sz w:val="21"/>
          <w:szCs w:val="21"/>
          <w:highlight w:val="lightGray"/>
        </w:rPr>
        <w:t>P</w:t>
      </w:r>
      <w:r w:rsidR="001B248C" w:rsidRPr="00335B43">
        <w:rPr>
          <w:rFonts w:ascii="Calibri" w:hAnsi="Calibri"/>
          <w:i/>
          <w:iCs/>
          <w:sz w:val="21"/>
          <w:szCs w:val="21"/>
          <w:highlight w:val="lightGray"/>
        </w:rPr>
        <w:t>lan</w:t>
      </w:r>
      <w:r w:rsidRPr="00335B43">
        <w:rPr>
          <w:rFonts w:ascii="Calibri" w:hAnsi="Calibri"/>
          <w:i/>
          <w:iCs/>
          <w:sz w:val="21"/>
          <w:szCs w:val="21"/>
          <w:highlight w:val="lightGray"/>
        </w:rPr>
        <w:t>ning &amp; Management</w:t>
      </w:r>
      <w:bookmarkEnd w:id="39"/>
      <w:r w:rsidRPr="00335B43">
        <w:rPr>
          <w:rFonts w:ascii="Calibri" w:hAnsi="Calibri"/>
          <w:i/>
          <w:iCs/>
          <w:sz w:val="21"/>
          <w:szCs w:val="21"/>
        </w:rPr>
        <w:t xml:space="preserve"> </w:t>
      </w:r>
    </w:p>
    <w:p w14:paraId="72053B16" w14:textId="69E931CF" w:rsidR="002C715D" w:rsidRDefault="008326A3" w:rsidP="001667C6">
      <w:pPr>
        <w:pStyle w:val="ParagraphOED"/>
        <w:numPr>
          <w:ilvl w:val="0"/>
          <w:numId w:val="102"/>
        </w:numPr>
      </w:pPr>
      <w:r>
        <w:t>Land degradation affects both natural ecosystems and production sytsems. The project will explore ways of addressing land degradation at the landscape level, targeting two landscapes in</w:t>
      </w:r>
      <w:r w:rsidR="00493F8B">
        <w:t>southern Angola</w:t>
      </w:r>
      <w:r>
        <w:t xml:space="preserve"> that comprise a complex mosaic of productive and non-productive land-use systems arising from past land clearances due to changes in land use or land conversion, overharvesting, unsustainable production practices and wildfires, exacerbated by climate change anomalies. </w:t>
      </w:r>
    </w:p>
    <w:p w14:paraId="7EF1F6E0" w14:textId="65B59463" w:rsidR="006C4D2F" w:rsidRDefault="008326A3" w:rsidP="001667C6">
      <w:pPr>
        <w:pStyle w:val="ParagraphOED"/>
        <w:numPr>
          <w:ilvl w:val="0"/>
          <w:numId w:val="102"/>
        </w:numPr>
        <w:spacing w:after="160"/>
      </w:pPr>
      <w:bookmarkStart w:id="40" w:name="_Ref52194397"/>
      <w:r w:rsidRPr="00474BDB">
        <w:t xml:space="preserve">The </w:t>
      </w:r>
      <w:r>
        <w:t xml:space="preserve">concept of </w:t>
      </w:r>
      <w:r w:rsidRPr="00C62BB4">
        <w:rPr>
          <w:b/>
          <w:bCs/>
        </w:rPr>
        <w:t xml:space="preserve">Land Degradation Neutrality (LDN) </w:t>
      </w:r>
      <w:r>
        <w:rPr>
          <w:b/>
          <w:bCs/>
        </w:rPr>
        <w:t xml:space="preserve">is </w:t>
      </w:r>
      <w:r w:rsidRPr="00C62BB4">
        <w:rPr>
          <w:b/>
          <w:bCs/>
        </w:rPr>
        <w:t>central</w:t>
      </w:r>
      <w:r>
        <w:rPr>
          <w:b/>
          <w:bCs/>
        </w:rPr>
        <w:t xml:space="preserve"> to the </w:t>
      </w:r>
      <w:r w:rsidR="002C715D">
        <w:rPr>
          <w:b/>
          <w:bCs/>
        </w:rPr>
        <w:t xml:space="preserve">design of the </w:t>
      </w:r>
      <w:r>
        <w:rPr>
          <w:b/>
          <w:bCs/>
        </w:rPr>
        <w:t>project</w:t>
      </w:r>
      <w:r w:rsidR="002C715D">
        <w:rPr>
          <w:b/>
          <w:bCs/>
        </w:rPr>
        <w:t xml:space="preserve">, </w:t>
      </w:r>
      <w:r w:rsidR="002C715D" w:rsidRPr="00335B43">
        <w:t xml:space="preserve">which </w:t>
      </w:r>
      <w:r w:rsidRPr="00474BDB">
        <w:t xml:space="preserve">is </w:t>
      </w:r>
      <w:r w:rsidR="002C715D">
        <w:t>expected</w:t>
      </w:r>
      <w:r w:rsidRPr="00474BDB">
        <w:t xml:space="preserve"> to make a</w:t>
      </w:r>
      <w:r w:rsidR="002C715D">
        <w:t xml:space="preserve"> transformational</w:t>
      </w:r>
      <w:r w:rsidRPr="00474BDB">
        <w:t xml:space="preserve"> contribution to Angola’s efforts to operationaliz</w:t>
      </w:r>
      <w:r w:rsidR="006477CE">
        <w:t>e</w:t>
      </w:r>
      <w:r w:rsidRPr="00474BDB">
        <w:t xml:space="preserve"> its </w:t>
      </w:r>
      <w:r w:rsidR="002C715D">
        <w:t xml:space="preserve">commitments under UNCCD </w:t>
      </w:r>
      <w:r w:rsidR="006477CE">
        <w:t>and</w:t>
      </w:r>
      <w:r w:rsidR="00335B43">
        <w:t xml:space="preserve"> </w:t>
      </w:r>
      <w:r w:rsidR="002C715D">
        <w:t>achiev</w:t>
      </w:r>
      <w:r w:rsidR="00335B43">
        <w:t>e</w:t>
      </w:r>
      <w:r w:rsidR="002C715D">
        <w:t xml:space="preserve"> its </w:t>
      </w:r>
      <w:r w:rsidRPr="00474BDB">
        <w:t>LDN target</w:t>
      </w:r>
      <w:r w:rsidR="002C715D">
        <w:t xml:space="preserve">s, </w:t>
      </w:r>
      <w:r w:rsidR="006477CE">
        <w:t xml:space="preserve">as </w:t>
      </w:r>
      <w:r w:rsidR="002C715D">
        <w:t xml:space="preserve">summarized </w:t>
      </w:r>
      <w:r w:rsidRPr="00474BDB">
        <w:t xml:space="preserve"> </w:t>
      </w:r>
      <w:r w:rsidR="002C715D">
        <w:t xml:space="preserve">in </w:t>
      </w:r>
      <w:r w:rsidRPr="009804F5">
        <w:rPr>
          <w:highlight w:val="lightGray"/>
          <w:u w:val="single"/>
        </w:rPr>
        <w:fldChar w:fldCharType="begin"/>
      </w:r>
      <w:r w:rsidRPr="009804F5">
        <w:rPr>
          <w:highlight w:val="lightGray"/>
          <w:u w:val="single"/>
        </w:rPr>
        <w:instrText xml:space="preserve"> REF _Ref45643899 \h  \* MERGEFORMAT </w:instrText>
      </w:r>
      <w:r w:rsidRPr="009804F5">
        <w:rPr>
          <w:highlight w:val="lightGray"/>
          <w:u w:val="single"/>
        </w:rPr>
      </w:r>
      <w:r w:rsidRPr="009804F5">
        <w:rPr>
          <w:highlight w:val="lightGray"/>
          <w:u w:val="single"/>
        </w:rPr>
        <w:fldChar w:fldCharType="separate"/>
      </w:r>
      <w:r w:rsidR="00A64193" w:rsidRPr="00A64193">
        <w:rPr>
          <w:highlight w:val="lightGray"/>
          <w:u w:val="single"/>
        </w:rPr>
        <w:t xml:space="preserve">Box </w:t>
      </w:r>
      <w:r w:rsidR="00A64193" w:rsidRPr="00A64193">
        <w:rPr>
          <w:noProof/>
          <w:highlight w:val="lightGray"/>
          <w:u w:val="single"/>
        </w:rPr>
        <w:t>2</w:t>
      </w:r>
      <w:r w:rsidRPr="009804F5">
        <w:rPr>
          <w:highlight w:val="lightGray"/>
          <w:u w:val="single"/>
        </w:rPr>
        <w:fldChar w:fldCharType="end"/>
      </w:r>
      <w:r w:rsidRPr="00CE1EA7">
        <w:t>.</w:t>
      </w:r>
      <w:r w:rsidR="006C4D2F" w:rsidRPr="006C4D2F">
        <w:t xml:space="preserve"> </w:t>
      </w:r>
      <w:r w:rsidR="006C4D2F">
        <w:t xml:space="preserve">Alongside </w:t>
      </w:r>
      <w:r w:rsidR="006C4D2F" w:rsidRPr="00254E68">
        <w:t>L</w:t>
      </w:r>
      <w:r w:rsidR="006C4D2F">
        <w:t>DN and UNCCD</w:t>
      </w:r>
      <w:r w:rsidR="006C4D2F" w:rsidRPr="00254E68">
        <w:t xml:space="preserve">, </w:t>
      </w:r>
      <w:r w:rsidR="006C4D2F">
        <w:t>t</w:t>
      </w:r>
      <w:r w:rsidR="006C4D2F" w:rsidRPr="00254E68">
        <w:t>he project</w:t>
      </w:r>
      <w:r w:rsidR="006C4D2F">
        <w:t xml:space="preserve">’s interventions are equally well-aligned to </w:t>
      </w:r>
      <w:r w:rsidR="006C4D2F" w:rsidRPr="00F10208">
        <w:rPr>
          <w:b/>
          <w:bCs/>
        </w:rPr>
        <w:t>related national goals under UNFCCC</w:t>
      </w:r>
      <w:r w:rsidR="006C4D2F" w:rsidRPr="00B94362">
        <w:rPr>
          <w:b/>
          <w:bCs/>
        </w:rPr>
        <w:t xml:space="preserve">, </w:t>
      </w:r>
      <w:r w:rsidR="006C4D2F" w:rsidRPr="00B94362">
        <w:t xml:space="preserve">notably with respect to organic carbon emissions/sequestration </w:t>
      </w:r>
      <w:r w:rsidR="006C4D2F">
        <w:t>based on</w:t>
      </w:r>
      <w:r w:rsidR="006C4D2F" w:rsidRPr="00B94362">
        <w:t xml:space="preserve"> Angola’s Intended Nationally Determined Contribution (INDC) </w:t>
      </w:r>
      <w:r w:rsidR="006C4D2F">
        <w:t>in</w:t>
      </w:r>
      <w:r w:rsidR="006C4D2F" w:rsidRPr="00B94362">
        <w:t xml:space="preserve"> the framework of its National Strategy for the Implementation of UNFCCC and the Kyoto Protocol.</w:t>
      </w:r>
      <w:r w:rsidR="006C4D2F" w:rsidRPr="00B94362">
        <w:rPr>
          <w:rStyle w:val="FootnoteReference"/>
        </w:rPr>
        <w:footnoteReference w:id="24"/>
      </w:r>
      <w:r w:rsidR="006C4D2F" w:rsidRPr="00B94362">
        <w:t xml:space="preserve"> Angola’s </w:t>
      </w:r>
      <w:r w:rsidR="006C4D2F">
        <w:t>‘</w:t>
      </w:r>
      <w:r w:rsidR="006C4D2F" w:rsidRPr="00B94362">
        <w:t>INDC for Mitigation</w:t>
      </w:r>
      <w:r w:rsidR="006C4D2F">
        <w:t>’</w:t>
      </w:r>
      <w:r w:rsidR="006C4D2F" w:rsidRPr="00B94362">
        <w:t xml:space="preserve"> purposes </w:t>
      </w:r>
      <w:r w:rsidR="006C4D2F">
        <w:lastRenderedPageBreak/>
        <w:t>includes</w:t>
      </w:r>
      <w:r w:rsidR="006C4D2F" w:rsidRPr="00B94362">
        <w:t xml:space="preserve"> both unconditional measures to reduce GHG emissions by up to 35%, as compared to the Business-As-Usual </w:t>
      </w:r>
      <w:r w:rsidR="006C4D2F">
        <w:t xml:space="preserve">(BAU) </w:t>
      </w:r>
      <w:r w:rsidR="006C4D2F" w:rsidRPr="00B94362">
        <w:t xml:space="preserve">scenario (base year 2005), and a conditional mitigation scenario </w:t>
      </w:r>
      <w:r w:rsidR="006C4D2F">
        <w:t>to deliver</w:t>
      </w:r>
      <w:r w:rsidR="006C4D2F" w:rsidRPr="00B94362">
        <w:t xml:space="preserve"> an additional 15% </w:t>
      </w:r>
      <w:r w:rsidR="006C4D2F">
        <w:t xml:space="preserve">reduction </w:t>
      </w:r>
      <w:r w:rsidR="006C4D2F" w:rsidRPr="00B94362">
        <w:t xml:space="preserve">below BAU emission levels by 2030. The country is committed to stabilize its emissions and contribute to climate change mitigation by 2030 through targeting: </w:t>
      </w:r>
      <w:r w:rsidR="006C4D2F">
        <w:t xml:space="preserve">(i) </w:t>
      </w:r>
      <w:r w:rsidR="006C4D2F" w:rsidRPr="00B94362">
        <w:t xml:space="preserve">reforestation and </w:t>
      </w:r>
      <w:r w:rsidR="006C4D2F">
        <w:t xml:space="preserve">(ii) </w:t>
      </w:r>
      <w:r w:rsidR="006C4D2F" w:rsidRPr="00B94362">
        <w:t>power generation from renewable resources</w:t>
      </w:r>
      <w:r w:rsidR="006C4D2F">
        <w:t>,</w:t>
      </w:r>
      <w:r w:rsidR="006C4D2F" w:rsidRPr="00B94362">
        <w:t xml:space="preserve"> at an overall cost in excess of USD 14.7 billion.</w:t>
      </w:r>
      <w:bookmarkEnd w:id="40"/>
    </w:p>
    <w:p w14:paraId="27080D76" w14:textId="7AB9502E" w:rsidR="009170AD" w:rsidRPr="009170AD" w:rsidRDefault="00FC59EA" w:rsidP="001667C6">
      <w:pPr>
        <w:pStyle w:val="ParagraphOED"/>
        <w:numPr>
          <w:ilvl w:val="0"/>
          <w:numId w:val="102"/>
        </w:numPr>
        <w:spacing w:after="160"/>
      </w:pPr>
      <w:bookmarkStart w:id="41" w:name="_Ref52338566"/>
      <w:r w:rsidRPr="00AC3487">
        <w:t xml:space="preserve">The national LDN target for Angola was established in </w:t>
      </w:r>
      <w:r>
        <w:t>late 2018 and</w:t>
      </w:r>
      <w:r w:rsidRPr="00325B31">
        <w:t xml:space="preserve"> mainstreamed into the main development planning framework</w:t>
      </w:r>
      <w:r>
        <w:t xml:space="preserve"> - </w:t>
      </w:r>
      <w:r w:rsidRPr="00325B31">
        <w:t>Angola</w:t>
      </w:r>
      <w:r>
        <w:t>’s</w:t>
      </w:r>
      <w:r w:rsidRPr="00325B31">
        <w:t xml:space="preserve"> </w:t>
      </w:r>
      <w:r w:rsidRPr="00325B31">
        <w:rPr>
          <w:b/>
          <w:bCs/>
        </w:rPr>
        <w:t>National Development Program 2018-2022 (PND)</w:t>
      </w:r>
      <w:r>
        <w:t xml:space="preserve">; </w:t>
      </w:r>
      <w:r w:rsidRPr="00325B31">
        <w:t>and</w:t>
      </w:r>
      <w:r>
        <w:t xml:space="preserve"> its</w:t>
      </w:r>
      <w:r w:rsidRPr="00CE1EA7">
        <w:t xml:space="preserve"> official adoption </w:t>
      </w:r>
      <w:r>
        <w:t>communicated to UNCCD in 2019 has precipitated</w:t>
      </w:r>
      <w:r w:rsidRPr="00CE1EA7">
        <w:t xml:space="preserve"> the definition of long-term </w:t>
      </w:r>
      <w:r>
        <w:t>land-use man</w:t>
      </w:r>
      <w:r w:rsidRPr="00CE1EA7">
        <w:t>agement goals for the country</w:t>
      </w:r>
      <w:r>
        <w:t>.</w:t>
      </w:r>
      <w:r w:rsidRPr="00AC3487">
        <w:t xml:space="preserve"> </w:t>
      </w:r>
      <w:r>
        <w:t xml:space="preserve">Importantly, </w:t>
      </w:r>
      <w:r w:rsidRPr="00AC3487">
        <w:t xml:space="preserve">the </w:t>
      </w:r>
      <w:r w:rsidRPr="00233CFA">
        <w:rPr>
          <w:b/>
          <w:bCs/>
        </w:rPr>
        <w:t>National Action Program for the Fight against Desertification (PANCOD)</w:t>
      </w:r>
      <w:r w:rsidRPr="6451F561">
        <w:rPr>
          <w:rStyle w:val="FootnoteReference"/>
        </w:rPr>
        <w:footnoteReference w:id="25"/>
      </w:r>
      <w:r w:rsidRPr="00AC3487">
        <w:t xml:space="preserve"> approved by Government</w:t>
      </w:r>
      <w:r>
        <w:t xml:space="preserve"> five years poreviously in </w:t>
      </w:r>
      <w:r w:rsidRPr="00AC3487">
        <w:t xml:space="preserve">2014 policy document </w:t>
      </w:r>
      <w:r>
        <w:t xml:space="preserve">provides a comprehensive policy framework for addressing </w:t>
      </w:r>
      <w:r w:rsidRPr="00AC3487">
        <w:t>land degradation, drought, and desertification</w:t>
      </w:r>
      <w:r>
        <w:t xml:space="preserve"> </w:t>
      </w:r>
      <w:r w:rsidR="009170AD">
        <w:br w:type="page"/>
      </w:r>
    </w:p>
    <w:p w14:paraId="6AB1E00A" w14:textId="79679BC6" w:rsidR="009563B4" w:rsidRPr="001B2869" w:rsidRDefault="009563B4" w:rsidP="00E04F81">
      <w:pPr>
        <w:pStyle w:val="Caption"/>
        <w:spacing w:after="80"/>
        <w:rPr>
          <w:rFonts w:ascii="Calibri" w:eastAsia="Times" w:hAnsi="Calibri"/>
        </w:rPr>
      </w:pPr>
      <w:bookmarkStart w:id="42" w:name="_Ref45643899"/>
      <w:bookmarkStart w:id="43" w:name="_Toc45712118"/>
      <w:bookmarkStart w:id="44" w:name="_Toc58398656"/>
      <w:bookmarkEnd w:id="41"/>
      <w:r w:rsidRPr="001B2869">
        <w:rPr>
          <w:rFonts w:ascii="Calibri" w:hAnsi="Calibri"/>
        </w:rPr>
        <w:lastRenderedPageBreak/>
        <w:t xml:space="preserve">Box </w:t>
      </w:r>
      <w:r w:rsidRPr="001B2869">
        <w:rPr>
          <w:rFonts w:ascii="Calibri" w:hAnsi="Calibri"/>
        </w:rPr>
        <w:fldChar w:fldCharType="begin"/>
      </w:r>
      <w:r w:rsidRPr="001B2869">
        <w:rPr>
          <w:rFonts w:ascii="Calibri" w:hAnsi="Calibri"/>
        </w:rPr>
        <w:instrText>SEQ Box \* ARABIC</w:instrText>
      </w:r>
      <w:r w:rsidRPr="001B2869">
        <w:rPr>
          <w:rFonts w:ascii="Calibri" w:hAnsi="Calibri"/>
        </w:rPr>
        <w:fldChar w:fldCharType="separate"/>
      </w:r>
      <w:r w:rsidR="00A64193">
        <w:rPr>
          <w:rFonts w:ascii="Calibri" w:hAnsi="Calibri"/>
          <w:noProof/>
        </w:rPr>
        <w:t>2</w:t>
      </w:r>
      <w:r w:rsidRPr="001B2869">
        <w:rPr>
          <w:rFonts w:ascii="Calibri" w:hAnsi="Calibri"/>
        </w:rPr>
        <w:fldChar w:fldCharType="end"/>
      </w:r>
      <w:bookmarkEnd w:id="42"/>
      <w:r w:rsidRPr="001B2869">
        <w:rPr>
          <w:rFonts w:ascii="Calibri" w:hAnsi="Calibri"/>
        </w:rPr>
        <w:t xml:space="preserve">. </w:t>
      </w:r>
      <w:r w:rsidR="00CE5CD4" w:rsidRPr="001B2869">
        <w:rPr>
          <w:rFonts w:ascii="Calibri" w:hAnsi="Calibri"/>
        </w:rPr>
        <w:t>Project’s alignment with</w:t>
      </w:r>
      <w:r w:rsidRPr="001B2869">
        <w:rPr>
          <w:rFonts w:ascii="Calibri" w:eastAsia="Times" w:hAnsi="Calibri"/>
        </w:rPr>
        <w:t xml:space="preserve"> Angola’s </w:t>
      </w:r>
      <w:r w:rsidR="00CE5CD4" w:rsidRPr="001B2869">
        <w:rPr>
          <w:rFonts w:ascii="Calibri" w:eastAsia="Times" w:hAnsi="Calibri"/>
        </w:rPr>
        <w:t xml:space="preserve">LD status </w:t>
      </w:r>
      <w:r w:rsidR="00E04F81" w:rsidRPr="001B2869">
        <w:rPr>
          <w:rFonts w:ascii="Calibri" w:eastAsia="Times" w:hAnsi="Calibri"/>
        </w:rPr>
        <w:t>(</w:t>
      </w:r>
      <w:r w:rsidR="00CE5CD4" w:rsidRPr="001B2869">
        <w:rPr>
          <w:rFonts w:ascii="Calibri" w:eastAsia="Times" w:hAnsi="Calibri"/>
        </w:rPr>
        <w:t>2001-2015</w:t>
      </w:r>
      <w:r w:rsidR="00E04F81" w:rsidRPr="001B2869">
        <w:rPr>
          <w:rFonts w:ascii="Calibri" w:eastAsia="Times" w:hAnsi="Calibri"/>
        </w:rPr>
        <w:t>)</w:t>
      </w:r>
      <w:r w:rsidR="00CE5CD4" w:rsidRPr="001B2869">
        <w:rPr>
          <w:rFonts w:ascii="Calibri" w:eastAsia="Times" w:hAnsi="Calibri"/>
        </w:rPr>
        <w:t xml:space="preserve"> and </w:t>
      </w:r>
      <w:r w:rsidRPr="001B2869">
        <w:rPr>
          <w:rFonts w:ascii="Calibri" w:eastAsia="Times" w:hAnsi="Calibri"/>
        </w:rPr>
        <w:t>LDN targets</w:t>
      </w:r>
      <w:bookmarkEnd w:id="43"/>
      <w:bookmarkEnd w:id="44"/>
    </w:p>
    <w:tbl>
      <w:tblPr>
        <w:tblStyle w:val="TableGrid"/>
        <w:tblW w:w="5000" w:type="pct"/>
        <w:shd w:val="clear" w:color="auto" w:fill="FBE4D5" w:themeFill="accent2" w:themeFillTint="33"/>
        <w:tblLook w:val="04A0" w:firstRow="1" w:lastRow="0" w:firstColumn="1" w:lastColumn="0" w:noHBand="0" w:noVBand="1"/>
      </w:tblPr>
      <w:tblGrid>
        <w:gridCol w:w="4468"/>
        <w:gridCol w:w="4548"/>
      </w:tblGrid>
      <w:tr w:rsidR="007D1DAE" w14:paraId="5FCAC468" w14:textId="77777777" w:rsidTr="78C544BE">
        <w:trPr>
          <w:cantSplit/>
        </w:trPr>
        <w:tc>
          <w:tcPr>
            <w:tcW w:w="5000" w:type="pct"/>
            <w:gridSpan w:val="2"/>
            <w:shd w:val="clear" w:color="auto" w:fill="FBE4D5" w:themeFill="accent2" w:themeFillTint="33"/>
            <w:tcMar>
              <w:left w:w="28" w:type="dxa"/>
              <w:right w:w="28" w:type="dxa"/>
            </w:tcMar>
          </w:tcPr>
          <w:p w14:paraId="196C0364" w14:textId="77777777" w:rsidR="007D1DAE" w:rsidRDefault="007D1DAE" w:rsidP="00303996">
            <w:r w:rsidRPr="008C4895">
              <w:rPr>
                <w:rFonts w:ascii="Calibri" w:hAnsi="Calibri" w:cs="Calibri"/>
                <w:noProof/>
                <w:lang w:val="en-US" w:eastAsia="en-US"/>
              </w:rPr>
              <w:drawing>
                <wp:anchor distT="0" distB="0" distL="114300" distR="114300" simplePos="0" relativeHeight="251658240" behindDoc="0" locked="0" layoutInCell="1" allowOverlap="1" wp14:anchorId="6CB26367" wp14:editId="129C4F9F">
                  <wp:simplePos x="0" y="0"/>
                  <wp:positionH relativeFrom="column">
                    <wp:posOffset>-4445</wp:posOffset>
                  </wp:positionH>
                  <wp:positionV relativeFrom="paragraph">
                    <wp:posOffset>17780</wp:posOffset>
                  </wp:positionV>
                  <wp:extent cx="897255" cy="845820"/>
                  <wp:effectExtent l="0" t="0" r="29845" b="30480"/>
                  <wp:wrapTight wrapText="bothSides">
                    <wp:wrapPolygon edited="0">
                      <wp:start x="0" y="0"/>
                      <wp:lineTo x="0" y="22054"/>
                      <wp:lineTo x="22013" y="22054"/>
                      <wp:lineTo x="22013" y="0"/>
                      <wp:lineTo x="0" y="0"/>
                    </wp:wrapPolygon>
                  </wp:wrapTight>
                  <wp:docPr id="31" name="Picture 31"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Picture 31" descr="Graphical user interface, application&#10;&#10;Description automatically generated"/>
                          <pic:cNvPicPr>
                            <a:picLocks noChangeAspect="1" noChangeArrowheads="1"/>
                          </pic:cNvPicPr>
                        </pic:nvPicPr>
                        <pic:blipFill>
                          <a:blip r:embed="rId37">
                            <a:extLst>
                              <a:ext uri="{28A0092B-C50C-407E-A947-70E740481C1C}">
                                <a14:useLocalDpi xmlns:a14="http://schemas.microsoft.com/office/drawing/2010/main"/>
                              </a:ext>
                            </a:extLst>
                          </a:blip>
                          <a:srcRect/>
                          <a:stretch>
                            <a:fillRect/>
                          </a:stretch>
                        </pic:blipFill>
                        <pic:spPr bwMode="auto">
                          <a:xfrm>
                            <a:off x="0" y="0"/>
                            <a:ext cx="897255" cy="845820"/>
                          </a:xfrm>
                          <a:prstGeom prst="rect">
                            <a:avLst/>
                          </a:prstGeom>
                          <a:noFill/>
                          <a:ln>
                            <a:noFill/>
                          </a:ln>
                          <a:effectLst>
                            <a:outerShdw dist="35921" dir="2700000" algn="ctr" rotWithShape="0">
                              <a:srgbClr val="808080"/>
                            </a:outerShdw>
                          </a:effectLst>
                        </pic:spPr>
                      </pic:pic>
                    </a:graphicData>
                  </a:graphic>
                  <wp14:sizeRelH relativeFrom="page">
                    <wp14:pctWidth>0</wp14:pctWidth>
                  </wp14:sizeRelH>
                  <wp14:sizeRelV relativeFrom="page">
                    <wp14:pctHeight>0</wp14:pctHeight>
                  </wp14:sizeRelV>
                </wp:anchor>
              </w:drawing>
            </w:r>
            <w:r w:rsidR="31F8A818" w:rsidRPr="78C544BE">
              <w:rPr>
                <w:rFonts w:ascii="Calibri" w:hAnsi="Calibri" w:cs="Calibri"/>
                <w:b/>
                <w:bCs/>
                <w:i/>
                <w:iCs/>
                <w:sz w:val="18"/>
                <w:szCs w:val="18"/>
              </w:rPr>
              <w:t>LDN is an important concept coined by the UNCCD and defined as:</w:t>
            </w:r>
            <w:r w:rsidR="31F8A818" w:rsidRPr="78C544BE">
              <w:rPr>
                <w:rFonts w:ascii="Calibri" w:hAnsi="Calibri" w:cs="Calibri"/>
                <w:i/>
                <w:iCs/>
                <w:sz w:val="18"/>
                <w:szCs w:val="18"/>
              </w:rPr>
              <w:t xml:space="preserve"> “a state whereby the amount and quality of land resources necessary to support ecosystem function and services and enhance food security remain stable or increase within specified temporal and spatial scales and ecosystems”.</w:t>
            </w:r>
            <w:r w:rsidRPr="78C544BE">
              <w:rPr>
                <w:rStyle w:val="FootnoteReference"/>
                <w:rFonts w:ascii="Calibri" w:hAnsi="Calibri" w:cs="Calibri"/>
                <w:i/>
                <w:iCs/>
                <w:sz w:val="18"/>
                <w:szCs w:val="18"/>
              </w:rPr>
              <w:footnoteReference w:id="26"/>
            </w:r>
            <w:r w:rsidR="31F8A818" w:rsidRPr="78C544BE">
              <w:rPr>
                <w:rFonts w:ascii="Calibri" w:hAnsi="Calibri" w:cs="Calibri"/>
                <w:i/>
                <w:iCs/>
                <w:sz w:val="18"/>
                <w:szCs w:val="18"/>
              </w:rPr>
              <w:t xml:space="preserve"> Furthermore, according to the UNCCD, “[t]he implementation of LDN requires multi-stakeholder engagement and planning across scales and sectors, supported by national-scale coordination that utilizes existing local and regional governance structures.” </w:t>
            </w:r>
          </w:p>
        </w:tc>
      </w:tr>
      <w:tr w:rsidR="007D1DAE" w14:paraId="51B57E1D" w14:textId="77777777" w:rsidTr="78C544BE">
        <w:trPr>
          <w:cantSplit/>
        </w:trPr>
        <w:tc>
          <w:tcPr>
            <w:tcW w:w="5000" w:type="pct"/>
            <w:gridSpan w:val="2"/>
            <w:shd w:val="clear" w:color="auto" w:fill="FBE4D5" w:themeFill="accent2" w:themeFillTint="33"/>
            <w:tcMar>
              <w:left w:w="28" w:type="dxa"/>
              <w:right w:w="28" w:type="dxa"/>
            </w:tcMar>
          </w:tcPr>
          <w:p w14:paraId="00DDA2A6" w14:textId="3CC0E3A6" w:rsidR="007D1DAE" w:rsidRDefault="005404DE" w:rsidP="00303996">
            <w:pPr>
              <w:jc w:val="center"/>
            </w:pPr>
            <w:r>
              <w:rPr>
                <w:rFonts w:ascii="Calibri" w:hAnsi="Calibri" w:cs="Calibri"/>
                <w:b/>
                <w:smallCaps/>
                <w:sz w:val="22"/>
              </w:rPr>
              <w:t xml:space="preserve">LDN </w:t>
            </w:r>
            <w:r w:rsidR="007D1DAE" w:rsidRPr="008C4895">
              <w:rPr>
                <w:rFonts w:ascii="Calibri" w:hAnsi="Calibri" w:cs="Calibri"/>
                <w:b/>
                <w:smallCaps/>
                <w:sz w:val="22"/>
              </w:rPr>
              <w:t xml:space="preserve">Policy </w:t>
            </w:r>
            <w:r w:rsidR="00E04F81">
              <w:rPr>
                <w:rFonts w:ascii="Calibri" w:hAnsi="Calibri" w:cs="Calibri"/>
                <w:b/>
                <w:smallCaps/>
                <w:sz w:val="22"/>
              </w:rPr>
              <w:t>R</w:t>
            </w:r>
            <w:r w:rsidR="007D1DAE" w:rsidRPr="008C4895">
              <w:rPr>
                <w:rFonts w:ascii="Calibri" w:hAnsi="Calibri" w:cs="Calibri"/>
                <w:b/>
                <w:smallCaps/>
                <w:sz w:val="22"/>
              </w:rPr>
              <w:t xml:space="preserve">elevance and </w:t>
            </w:r>
            <w:r w:rsidR="00E04F81">
              <w:rPr>
                <w:rFonts w:ascii="Calibri" w:hAnsi="Calibri" w:cs="Calibri"/>
                <w:b/>
                <w:smallCaps/>
                <w:sz w:val="22"/>
              </w:rPr>
              <w:t>A</w:t>
            </w:r>
            <w:r w:rsidR="007D1DAE" w:rsidRPr="008C4895">
              <w:rPr>
                <w:rFonts w:ascii="Calibri" w:hAnsi="Calibri" w:cs="Calibri"/>
                <w:b/>
                <w:smallCaps/>
                <w:sz w:val="22"/>
              </w:rPr>
              <w:t>lignment with</w:t>
            </w:r>
            <w:r>
              <w:rPr>
                <w:rFonts w:ascii="Calibri" w:hAnsi="Calibri" w:cs="Calibri"/>
                <w:b/>
                <w:smallCaps/>
                <w:sz w:val="22"/>
              </w:rPr>
              <w:t>Project</w:t>
            </w:r>
          </w:p>
        </w:tc>
      </w:tr>
      <w:tr w:rsidR="007D1DAE" w14:paraId="5908B8EC" w14:textId="77777777" w:rsidTr="78C544BE">
        <w:trPr>
          <w:cantSplit/>
        </w:trPr>
        <w:tc>
          <w:tcPr>
            <w:tcW w:w="2478" w:type="pct"/>
            <w:tcBorders>
              <w:bottom w:val="single" w:sz="4" w:space="0" w:color="auto"/>
            </w:tcBorders>
            <w:shd w:val="clear" w:color="auto" w:fill="FBE4D5" w:themeFill="accent2" w:themeFillTint="33"/>
            <w:tcMar>
              <w:left w:w="28" w:type="dxa"/>
              <w:right w:w="28" w:type="dxa"/>
            </w:tcMar>
          </w:tcPr>
          <w:p w14:paraId="3AB40723" w14:textId="4B84D1CA" w:rsidR="007D1DAE" w:rsidRDefault="007D1DAE" w:rsidP="00303996">
            <w:pPr>
              <w:jc w:val="center"/>
            </w:pPr>
            <w:r w:rsidRPr="008C4895">
              <w:rPr>
                <w:rFonts w:ascii="Calibri" w:hAnsi="Calibri" w:cs="Calibri"/>
                <w:b/>
                <w:i/>
                <w:sz w:val="18"/>
                <w:szCs w:val="20"/>
              </w:rPr>
              <w:t>LDN Target</w:t>
            </w:r>
          </w:p>
        </w:tc>
        <w:tc>
          <w:tcPr>
            <w:tcW w:w="2522" w:type="pct"/>
            <w:tcBorders>
              <w:bottom w:val="single" w:sz="4" w:space="0" w:color="auto"/>
            </w:tcBorders>
            <w:shd w:val="clear" w:color="auto" w:fill="FBE4D5" w:themeFill="accent2" w:themeFillTint="33"/>
            <w:tcMar>
              <w:left w:w="28" w:type="dxa"/>
              <w:right w:w="28" w:type="dxa"/>
            </w:tcMar>
          </w:tcPr>
          <w:p w14:paraId="27829E89" w14:textId="77777777" w:rsidR="007D1DAE" w:rsidRDefault="007D1DAE" w:rsidP="00303996">
            <w:pPr>
              <w:jc w:val="center"/>
            </w:pPr>
            <w:r w:rsidRPr="008C4895">
              <w:rPr>
                <w:rFonts w:ascii="Calibri" w:hAnsi="Calibri" w:cs="Calibri"/>
                <w:b/>
                <w:i/>
                <w:sz w:val="18"/>
                <w:szCs w:val="20"/>
              </w:rPr>
              <w:t xml:space="preserve">Relevance </w:t>
            </w:r>
            <w:r>
              <w:rPr>
                <w:rFonts w:ascii="Calibri" w:hAnsi="Calibri" w:cs="Calibri"/>
                <w:b/>
                <w:i/>
                <w:sz w:val="18"/>
                <w:szCs w:val="20"/>
              </w:rPr>
              <w:t xml:space="preserve">and </w:t>
            </w:r>
            <w:r w:rsidRPr="008C4895">
              <w:rPr>
                <w:rFonts w:ascii="Calibri" w:hAnsi="Calibri" w:cs="Calibri"/>
                <w:b/>
                <w:i/>
                <w:sz w:val="18"/>
                <w:szCs w:val="20"/>
              </w:rPr>
              <w:t>Project Contribution</w:t>
            </w:r>
          </w:p>
        </w:tc>
      </w:tr>
      <w:tr w:rsidR="007D1DAE" w14:paraId="63B3A179" w14:textId="77777777" w:rsidTr="78C544BE">
        <w:trPr>
          <w:cantSplit/>
          <w:trHeight w:val="8285"/>
        </w:trPr>
        <w:tc>
          <w:tcPr>
            <w:tcW w:w="2478" w:type="pct"/>
            <w:tcBorders>
              <w:bottom w:val="nil"/>
            </w:tcBorders>
            <w:shd w:val="clear" w:color="auto" w:fill="FBE4D5" w:themeFill="accent2" w:themeFillTint="33"/>
            <w:tcMar>
              <w:left w:w="57" w:type="dxa"/>
              <w:right w:w="28" w:type="dxa"/>
            </w:tcMar>
          </w:tcPr>
          <w:p w14:paraId="3EAB16B1" w14:textId="1B4D201E" w:rsidR="007D1DAE" w:rsidRPr="008C4895" w:rsidRDefault="007D1DAE" w:rsidP="00303996">
            <w:pPr>
              <w:spacing w:before="40" w:after="120"/>
              <w:rPr>
                <w:rFonts w:ascii="Calibri" w:hAnsi="Calibri" w:cs="Calibri"/>
                <w:sz w:val="18"/>
                <w:szCs w:val="18"/>
              </w:rPr>
            </w:pPr>
            <w:r w:rsidRPr="008C4895">
              <w:rPr>
                <w:rFonts w:ascii="Calibri" w:hAnsi="Calibri" w:cs="Calibri"/>
                <w:sz w:val="18"/>
                <w:szCs w:val="18"/>
              </w:rPr>
              <w:t>Angola’s LDN target relates directly to</w:t>
            </w:r>
            <w:r w:rsidRPr="008C4895">
              <w:rPr>
                <w:rFonts w:ascii="Calibri" w:hAnsi="Calibri" w:cs="Calibri"/>
                <w:b/>
                <w:bCs/>
                <w:sz w:val="18"/>
                <w:szCs w:val="18"/>
              </w:rPr>
              <w:t xml:space="preserve"> SDG 15 </w:t>
            </w:r>
            <w:r w:rsidRPr="008C4895">
              <w:rPr>
                <w:rFonts w:ascii="Calibri" w:hAnsi="Calibri" w:cs="Calibri"/>
                <w:b/>
                <w:bCs/>
                <w:i/>
                <w:iCs/>
                <w:sz w:val="18"/>
                <w:szCs w:val="18"/>
              </w:rPr>
              <w:t>“Life on Land”</w:t>
            </w:r>
            <w:r w:rsidRPr="008C4895">
              <w:rPr>
                <w:rFonts w:ascii="Calibri" w:hAnsi="Calibri" w:cs="Calibri"/>
                <w:i/>
                <w:iCs/>
                <w:sz w:val="18"/>
                <w:szCs w:val="18"/>
              </w:rPr>
              <w:t xml:space="preserve"> </w:t>
            </w:r>
            <w:r w:rsidRPr="008C4895">
              <w:rPr>
                <w:rFonts w:ascii="Calibri" w:hAnsi="Calibri" w:cs="Calibri"/>
                <w:sz w:val="18"/>
                <w:szCs w:val="18"/>
              </w:rPr>
              <w:t xml:space="preserve">and more specifically to </w:t>
            </w:r>
            <w:r w:rsidRPr="008C4895">
              <w:rPr>
                <w:rFonts w:ascii="Calibri" w:hAnsi="Calibri" w:cs="Calibri"/>
                <w:b/>
                <w:bCs/>
                <w:sz w:val="18"/>
                <w:szCs w:val="18"/>
              </w:rPr>
              <w:t>SDG target 15.13 on LDN at the global level.</w:t>
            </w:r>
            <w:r w:rsidR="009310A1">
              <w:rPr>
                <w:rFonts w:ascii="Calibri" w:hAnsi="Calibri" w:cs="Calibri"/>
                <w:sz w:val="18"/>
                <w:szCs w:val="18"/>
                <w:vertAlign w:val="superscript"/>
              </w:rPr>
              <w:t>*</w:t>
            </w:r>
          </w:p>
          <w:p w14:paraId="44925FCA" w14:textId="3EA26A2F" w:rsidR="007D1DAE" w:rsidRDefault="007D1DAE" w:rsidP="00303996">
            <w:pPr>
              <w:spacing w:before="40"/>
              <w:rPr>
                <w:rFonts w:ascii="Calibri" w:hAnsi="Calibri" w:cs="Calibri"/>
                <w:sz w:val="18"/>
                <w:szCs w:val="18"/>
              </w:rPr>
            </w:pPr>
            <w:r w:rsidRPr="008C4895">
              <w:rPr>
                <w:rFonts w:ascii="Calibri" w:hAnsi="Calibri" w:cs="Calibri"/>
                <w:sz w:val="18"/>
                <w:szCs w:val="18"/>
              </w:rPr>
              <w:t>The national LDN target represents measurable goal</w:t>
            </w:r>
            <w:r w:rsidR="00656F14">
              <w:rPr>
                <w:rFonts w:ascii="Calibri" w:hAnsi="Calibri" w:cs="Calibri"/>
                <w:sz w:val="18"/>
                <w:szCs w:val="18"/>
              </w:rPr>
              <w:t>s</w:t>
            </w:r>
            <w:r w:rsidRPr="008C4895">
              <w:rPr>
                <w:rFonts w:ascii="Calibri" w:hAnsi="Calibri" w:cs="Calibri"/>
                <w:sz w:val="18"/>
                <w:szCs w:val="18"/>
              </w:rPr>
              <w:t xml:space="preserve"> for sustainable land management, which will be achieved by promoting a dual approach of measures to avoid or reduce land degradation, combined with measures to reverse past degradation. Angola’s LDN target </w:t>
            </w:r>
            <w:r w:rsidR="00656F14">
              <w:rPr>
                <w:rFonts w:ascii="Calibri" w:hAnsi="Calibri" w:cs="Calibri"/>
                <w:sz w:val="18"/>
                <w:szCs w:val="18"/>
              </w:rPr>
              <w:t>of 8 goals</w:t>
            </w:r>
            <w:r w:rsidR="005F3B17">
              <w:rPr>
                <w:rFonts w:ascii="Calibri" w:hAnsi="Calibri" w:cs="Calibri"/>
                <w:sz w:val="18"/>
                <w:szCs w:val="18"/>
              </w:rPr>
              <w:t xml:space="preserve"> </w:t>
            </w:r>
            <w:r w:rsidR="00656F14">
              <w:rPr>
                <w:rFonts w:ascii="Calibri" w:hAnsi="Calibri" w:cs="Calibri"/>
                <w:sz w:val="18"/>
                <w:szCs w:val="18"/>
              </w:rPr>
              <w:t>(below)</w:t>
            </w:r>
            <w:r w:rsidRPr="008C4895">
              <w:rPr>
                <w:rFonts w:ascii="Calibri" w:hAnsi="Calibri" w:cs="Calibri"/>
                <w:sz w:val="18"/>
                <w:szCs w:val="18"/>
              </w:rPr>
              <w:t xml:space="preserve"> w</w:t>
            </w:r>
            <w:r w:rsidR="00656F14">
              <w:rPr>
                <w:rFonts w:ascii="Calibri" w:hAnsi="Calibri" w:cs="Calibri"/>
                <w:sz w:val="18"/>
                <w:szCs w:val="18"/>
              </w:rPr>
              <w:t>as</w:t>
            </w:r>
            <w:r w:rsidRPr="008C4895">
              <w:rPr>
                <w:rFonts w:ascii="Calibri" w:hAnsi="Calibri" w:cs="Calibri"/>
                <w:sz w:val="18"/>
                <w:szCs w:val="18"/>
              </w:rPr>
              <w:t xml:space="preserve"> consolidated in December 2018</w:t>
            </w:r>
            <w:r w:rsidR="005F3B17">
              <w:rPr>
                <w:rFonts w:ascii="Calibri" w:hAnsi="Calibri" w:cs="Calibri"/>
                <w:sz w:val="18"/>
                <w:szCs w:val="18"/>
              </w:rPr>
              <w:t xml:space="preserve">; and </w:t>
            </w:r>
            <w:r w:rsidR="002F5604">
              <w:rPr>
                <w:rFonts w:ascii="Calibri" w:hAnsi="Calibri" w:cs="Calibri"/>
                <w:sz w:val="18"/>
                <w:szCs w:val="18"/>
              </w:rPr>
              <w:t xml:space="preserve">UNCCD was </w:t>
            </w:r>
            <w:r w:rsidRPr="008C4895">
              <w:rPr>
                <w:rFonts w:ascii="Calibri" w:hAnsi="Calibri" w:cs="Calibri"/>
                <w:sz w:val="18"/>
                <w:szCs w:val="18"/>
              </w:rPr>
              <w:t xml:space="preserve">officially </w:t>
            </w:r>
            <w:r w:rsidR="005F3B17">
              <w:rPr>
                <w:rFonts w:ascii="Calibri" w:hAnsi="Calibri" w:cs="Calibri"/>
                <w:sz w:val="18"/>
                <w:szCs w:val="18"/>
              </w:rPr>
              <w:t xml:space="preserve">informed of </w:t>
            </w:r>
            <w:r w:rsidR="002F5604">
              <w:rPr>
                <w:rFonts w:ascii="Calibri" w:hAnsi="Calibri" w:cs="Calibri"/>
                <w:sz w:val="18"/>
                <w:szCs w:val="18"/>
              </w:rPr>
              <w:t>Angola’s</w:t>
            </w:r>
            <w:r w:rsidR="002F5604" w:rsidRPr="008C4895">
              <w:rPr>
                <w:rFonts w:ascii="Calibri" w:hAnsi="Calibri" w:cs="Calibri"/>
                <w:sz w:val="18"/>
                <w:szCs w:val="18"/>
              </w:rPr>
              <w:t xml:space="preserve"> </w:t>
            </w:r>
            <w:r w:rsidRPr="008C4895">
              <w:rPr>
                <w:rFonts w:ascii="Calibri" w:hAnsi="Calibri" w:cs="Calibri"/>
                <w:sz w:val="18"/>
                <w:szCs w:val="18"/>
              </w:rPr>
              <w:t>commit</w:t>
            </w:r>
            <w:r w:rsidR="005F3B17">
              <w:rPr>
                <w:rFonts w:ascii="Calibri" w:hAnsi="Calibri" w:cs="Calibri"/>
                <w:sz w:val="18"/>
                <w:szCs w:val="18"/>
              </w:rPr>
              <w:t>ment</w:t>
            </w:r>
            <w:r w:rsidRPr="008C4895">
              <w:rPr>
                <w:rFonts w:ascii="Calibri" w:hAnsi="Calibri" w:cs="Calibri"/>
                <w:sz w:val="18"/>
                <w:szCs w:val="18"/>
              </w:rPr>
              <w:t xml:space="preserve"> </w:t>
            </w:r>
            <w:r w:rsidR="002F5604">
              <w:rPr>
                <w:rFonts w:ascii="Calibri" w:hAnsi="Calibri" w:cs="Calibri"/>
                <w:sz w:val="18"/>
                <w:szCs w:val="18"/>
              </w:rPr>
              <w:t>to the</w:t>
            </w:r>
            <w:r w:rsidR="001C15CB">
              <w:rPr>
                <w:rFonts w:ascii="Calibri" w:hAnsi="Calibri" w:cs="Calibri"/>
                <w:sz w:val="18"/>
                <w:szCs w:val="18"/>
              </w:rPr>
              <w:t xml:space="preserve"> </w:t>
            </w:r>
            <w:r w:rsidRPr="008C4895">
              <w:rPr>
                <w:rFonts w:ascii="Calibri" w:hAnsi="Calibri" w:cs="Calibri"/>
                <w:sz w:val="18"/>
                <w:szCs w:val="18"/>
              </w:rPr>
              <w:t>target in 2019.</w:t>
            </w:r>
            <w:r w:rsidR="009310A1">
              <w:rPr>
                <w:rFonts w:ascii="Calibri" w:hAnsi="Calibri" w:cs="Calibri"/>
                <w:sz w:val="18"/>
                <w:szCs w:val="18"/>
                <w:vertAlign w:val="superscript"/>
              </w:rPr>
              <w:t>**</w:t>
            </w:r>
            <w:r w:rsidRPr="008C4895">
              <w:rPr>
                <w:rFonts w:ascii="Calibri" w:hAnsi="Calibri" w:cs="Calibri"/>
                <w:sz w:val="18"/>
                <w:szCs w:val="18"/>
              </w:rPr>
              <w:t xml:space="preserve"> </w:t>
            </w:r>
          </w:p>
          <w:p w14:paraId="3E7199E8" w14:textId="77777777" w:rsidR="007D1DAE" w:rsidRPr="008C4895" w:rsidRDefault="007D1DAE" w:rsidP="00303996">
            <w:pPr>
              <w:spacing w:before="40"/>
              <w:rPr>
                <w:rFonts w:ascii="Calibri" w:hAnsi="Calibri" w:cs="Calibri"/>
                <w:sz w:val="18"/>
                <w:szCs w:val="18"/>
              </w:rPr>
            </w:pPr>
            <w:r w:rsidRPr="008C4895">
              <w:rPr>
                <w:rFonts w:ascii="Calibri" w:hAnsi="Calibri" w:cs="Calibri"/>
                <w:sz w:val="18"/>
                <w:szCs w:val="18"/>
              </w:rPr>
              <w:t>The minimum objective of pursuing a national LDN target is that ‘losses’ can be balanced by gains, so that a position of no net loss of healthy and productive land is achieved.</w:t>
            </w:r>
          </w:p>
          <w:p w14:paraId="272A24BC" w14:textId="77D059A6" w:rsidR="007D1DAE" w:rsidRPr="008C4895" w:rsidRDefault="007D1DAE" w:rsidP="00303996">
            <w:pPr>
              <w:spacing w:before="120" w:after="4"/>
              <w:rPr>
                <w:rFonts w:ascii="Calibri" w:hAnsi="Calibri" w:cs="Calibri"/>
                <w:b/>
                <w:bCs/>
                <w:sz w:val="18"/>
                <w:szCs w:val="18"/>
              </w:rPr>
            </w:pPr>
            <w:r w:rsidRPr="008C4895">
              <w:rPr>
                <w:rFonts w:ascii="Calibri" w:hAnsi="Calibri" w:cs="Calibri"/>
                <w:b/>
                <w:bCs/>
                <w:sz w:val="18"/>
                <w:szCs w:val="18"/>
              </w:rPr>
              <w:t>National</w:t>
            </w:r>
            <w:r w:rsidR="00CF47F1">
              <w:rPr>
                <w:rFonts w:ascii="Calibri" w:hAnsi="Calibri" w:cs="Calibri"/>
                <w:b/>
                <w:bCs/>
                <w:sz w:val="18"/>
                <w:szCs w:val="18"/>
              </w:rPr>
              <w:t xml:space="preserve"> </w:t>
            </w:r>
            <w:r w:rsidR="00656F14">
              <w:rPr>
                <w:rFonts w:ascii="Calibri" w:hAnsi="Calibri" w:cs="Calibri"/>
                <w:b/>
                <w:bCs/>
                <w:sz w:val="18"/>
                <w:szCs w:val="18"/>
              </w:rPr>
              <w:t xml:space="preserve"> voluntary </w:t>
            </w:r>
            <w:r w:rsidRPr="008C4895">
              <w:rPr>
                <w:rFonts w:ascii="Calibri" w:hAnsi="Calibri" w:cs="Calibri"/>
                <w:b/>
                <w:bCs/>
                <w:sz w:val="18"/>
                <w:szCs w:val="18"/>
              </w:rPr>
              <w:t xml:space="preserve">LDN target </w:t>
            </w:r>
            <w:r>
              <w:rPr>
                <w:rFonts w:ascii="Calibri" w:hAnsi="Calibri" w:cs="Calibri"/>
                <w:b/>
                <w:bCs/>
                <w:sz w:val="18"/>
                <w:szCs w:val="18"/>
              </w:rPr>
              <w:t>for Angola</w:t>
            </w:r>
            <w:r w:rsidRPr="008C4895">
              <w:rPr>
                <w:rFonts w:ascii="Calibri" w:hAnsi="Calibri" w:cs="Calibri"/>
                <w:b/>
                <w:bCs/>
                <w:sz w:val="18"/>
                <w:szCs w:val="18"/>
              </w:rPr>
              <w:t>:</w:t>
            </w:r>
          </w:p>
          <w:p w14:paraId="16D016C4" w14:textId="77777777" w:rsidR="007D1DAE" w:rsidRPr="00152066" w:rsidRDefault="007D1DAE" w:rsidP="00C53A49">
            <w:pPr>
              <w:numPr>
                <w:ilvl w:val="0"/>
                <w:numId w:val="19"/>
              </w:numPr>
              <w:spacing w:before="80"/>
              <w:ind w:left="357" w:hanging="242"/>
              <w:rPr>
                <w:rFonts w:ascii="Calibri" w:hAnsi="Calibri" w:cs="Calibri"/>
                <w:sz w:val="18"/>
                <w:szCs w:val="18"/>
              </w:rPr>
            </w:pPr>
            <w:r w:rsidRPr="00152066">
              <w:rPr>
                <w:rFonts w:ascii="Calibri" w:hAnsi="Calibri" w:cs="Calibri"/>
                <w:sz w:val="18"/>
                <w:szCs w:val="18"/>
              </w:rPr>
              <w:t>Reduction of severe land degradation by around 50% (UNCCD reporting process compared to the 2015 reference year) for current agricultural land;</w:t>
            </w:r>
          </w:p>
          <w:p w14:paraId="48062835" w14:textId="77777777" w:rsidR="007D1DAE" w:rsidRPr="00152066" w:rsidRDefault="007D1DAE" w:rsidP="00C53A49">
            <w:pPr>
              <w:numPr>
                <w:ilvl w:val="0"/>
                <w:numId w:val="19"/>
              </w:numPr>
              <w:spacing w:before="80"/>
              <w:ind w:left="357" w:hanging="242"/>
              <w:rPr>
                <w:rFonts w:ascii="Calibri" w:hAnsi="Calibri" w:cs="Calibri"/>
                <w:sz w:val="18"/>
                <w:szCs w:val="18"/>
              </w:rPr>
            </w:pPr>
            <w:r w:rsidRPr="00152066">
              <w:rPr>
                <w:rFonts w:ascii="Calibri" w:hAnsi="Calibri" w:cs="Calibri"/>
                <w:sz w:val="18"/>
                <w:szCs w:val="18"/>
              </w:rPr>
              <w:t>Restoration of 50% of ecosystems currently degraded by irregular land-use practices;</w:t>
            </w:r>
          </w:p>
          <w:p w14:paraId="2F414C47" w14:textId="0F0C2793" w:rsidR="007D1DAE" w:rsidRPr="00152066" w:rsidRDefault="007D1DAE" w:rsidP="00C53A49">
            <w:pPr>
              <w:numPr>
                <w:ilvl w:val="0"/>
                <w:numId w:val="19"/>
              </w:numPr>
              <w:spacing w:before="80"/>
              <w:ind w:left="357" w:hanging="242"/>
              <w:rPr>
                <w:rFonts w:ascii="Calibri" w:hAnsi="Calibri" w:cs="Calibri"/>
                <w:sz w:val="18"/>
                <w:szCs w:val="18"/>
              </w:rPr>
            </w:pPr>
            <w:r w:rsidRPr="00152066">
              <w:rPr>
                <w:rFonts w:ascii="Calibri" w:hAnsi="Calibri" w:cs="Calibri"/>
                <w:sz w:val="18"/>
                <w:szCs w:val="18"/>
              </w:rPr>
              <w:t xml:space="preserve">Increase content of soil organic carbon by 30% in all 3 land classes and contribute to halving (0.4%) current rate of deforestation throughout </w:t>
            </w:r>
            <w:r w:rsidR="005404DE">
              <w:rPr>
                <w:rFonts w:ascii="Calibri" w:hAnsi="Calibri" w:cs="Calibri"/>
                <w:sz w:val="18"/>
                <w:szCs w:val="18"/>
              </w:rPr>
              <w:t>the country</w:t>
            </w:r>
            <w:r w:rsidRPr="00152066">
              <w:rPr>
                <w:rFonts w:ascii="Calibri" w:hAnsi="Calibri" w:cs="Calibri"/>
                <w:sz w:val="18"/>
                <w:szCs w:val="18"/>
              </w:rPr>
              <w:t>;</w:t>
            </w:r>
          </w:p>
          <w:p w14:paraId="7717FD28" w14:textId="77777777" w:rsidR="007D1DAE" w:rsidRPr="00152066" w:rsidRDefault="007D1DAE" w:rsidP="00C53A49">
            <w:pPr>
              <w:numPr>
                <w:ilvl w:val="0"/>
                <w:numId w:val="19"/>
              </w:numPr>
              <w:spacing w:before="80"/>
              <w:ind w:left="357" w:hanging="242"/>
              <w:rPr>
                <w:rFonts w:ascii="Calibri" w:hAnsi="Calibri" w:cs="Calibri"/>
                <w:sz w:val="18"/>
                <w:szCs w:val="18"/>
              </w:rPr>
            </w:pPr>
            <w:r w:rsidRPr="00152066">
              <w:rPr>
                <w:rFonts w:ascii="Calibri" w:hAnsi="Calibri" w:cs="Calibri"/>
                <w:sz w:val="18"/>
                <w:szCs w:val="18"/>
              </w:rPr>
              <w:t>Reinforcement of information and awareness of good land-use practices including sustainable agriculture/conservation for 80% of rural families;</w:t>
            </w:r>
          </w:p>
          <w:p w14:paraId="6E57DEAA" w14:textId="77777777" w:rsidR="007D1DAE" w:rsidRPr="00152066" w:rsidRDefault="007D1DAE" w:rsidP="00C53A49">
            <w:pPr>
              <w:numPr>
                <w:ilvl w:val="0"/>
                <w:numId w:val="19"/>
              </w:numPr>
              <w:spacing w:before="80"/>
              <w:ind w:left="357" w:hanging="242"/>
              <w:rPr>
                <w:rFonts w:ascii="Calibri" w:hAnsi="Calibri" w:cs="Calibri"/>
                <w:sz w:val="18"/>
                <w:szCs w:val="18"/>
              </w:rPr>
            </w:pPr>
            <w:r w:rsidRPr="00152066">
              <w:rPr>
                <w:rFonts w:ascii="Calibri" w:hAnsi="Calibri" w:cs="Calibri"/>
                <w:sz w:val="18"/>
                <w:szCs w:val="18"/>
              </w:rPr>
              <w:t>Increase by 30% availability of water in poor areas of transhumance triangle (Cunene, Huila and Namibe);</w:t>
            </w:r>
          </w:p>
          <w:p w14:paraId="3C0618C4" w14:textId="77777777" w:rsidR="007D1DAE" w:rsidRPr="00152066" w:rsidRDefault="007D1DAE" w:rsidP="00C53A49">
            <w:pPr>
              <w:numPr>
                <w:ilvl w:val="0"/>
                <w:numId w:val="19"/>
              </w:numPr>
              <w:spacing w:before="80"/>
              <w:ind w:left="357" w:hanging="242"/>
              <w:rPr>
                <w:rFonts w:ascii="Calibri" w:hAnsi="Calibri" w:cs="Calibri"/>
                <w:sz w:val="18"/>
                <w:szCs w:val="18"/>
              </w:rPr>
            </w:pPr>
            <w:r w:rsidRPr="00152066">
              <w:rPr>
                <w:rFonts w:ascii="Calibri" w:hAnsi="Calibri" w:cs="Calibri"/>
                <w:sz w:val="18"/>
                <w:szCs w:val="18"/>
              </w:rPr>
              <w:t>Reduce by 25% the number of livestock in areas with a strong tradition of concentrated livestock production;</w:t>
            </w:r>
          </w:p>
          <w:p w14:paraId="50F0FE87" w14:textId="77777777" w:rsidR="007D1DAE" w:rsidRPr="00152066" w:rsidRDefault="007D1DAE" w:rsidP="00C53A49">
            <w:pPr>
              <w:numPr>
                <w:ilvl w:val="0"/>
                <w:numId w:val="19"/>
              </w:numPr>
              <w:spacing w:before="80"/>
              <w:ind w:left="357" w:hanging="242"/>
              <w:rPr>
                <w:rFonts w:ascii="Calibri" w:hAnsi="Calibri" w:cs="Calibri"/>
                <w:sz w:val="18"/>
                <w:szCs w:val="18"/>
              </w:rPr>
            </w:pPr>
            <w:r w:rsidRPr="00152066">
              <w:rPr>
                <w:rFonts w:ascii="Calibri" w:hAnsi="Calibri" w:cs="Calibri"/>
                <w:sz w:val="18"/>
                <w:szCs w:val="18"/>
              </w:rPr>
              <w:t>Increase by 18% of the territory the total area under conservation covering the set of the country's ecozones/biomes;</w:t>
            </w:r>
          </w:p>
          <w:p w14:paraId="48616D64" w14:textId="77777777" w:rsidR="007D1DAE" w:rsidRPr="00402C95" w:rsidRDefault="007D1DAE" w:rsidP="00C53A49">
            <w:pPr>
              <w:numPr>
                <w:ilvl w:val="0"/>
                <w:numId w:val="19"/>
              </w:numPr>
              <w:spacing w:before="80"/>
              <w:ind w:left="357" w:hanging="242"/>
              <w:rPr>
                <w:rFonts w:ascii="Calibri" w:hAnsi="Calibri" w:cs="Calibri"/>
                <w:sz w:val="18"/>
                <w:szCs w:val="18"/>
              </w:rPr>
            </w:pPr>
            <w:r w:rsidRPr="00152066">
              <w:rPr>
                <w:rFonts w:ascii="Calibri" w:hAnsi="Calibri" w:cs="Calibri"/>
                <w:sz w:val="18"/>
                <w:szCs w:val="18"/>
              </w:rPr>
              <w:t>Reduce greenhouse gas emissions by 50% by 2030.</w:t>
            </w:r>
          </w:p>
        </w:tc>
        <w:tc>
          <w:tcPr>
            <w:tcW w:w="2522" w:type="pct"/>
            <w:tcBorders>
              <w:bottom w:val="single" w:sz="4" w:space="0" w:color="auto"/>
            </w:tcBorders>
            <w:shd w:val="clear" w:color="auto" w:fill="FBE4D5" w:themeFill="accent2" w:themeFillTint="33"/>
            <w:tcMar>
              <w:left w:w="57" w:type="dxa"/>
              <w:right w:w="28" w:type="dxa"/>
            </w:tcMar>
          </w:tcPr>
          <w:p w14:paraId="5CAE61D4" w14:textId="3EBB65FB" w:rsidR="007D1DAE" w:rsidRDefault="007D1DAE" w:rsidP="00303996">
            <w:pPr>
              <w:spacing w:before="40"/>
              <w:rPr>
                <w:rFonts w:ascii="Calibri" w:hAnsi="Calibri" w:cs="Calibri"/>
                <w:b/>
                <w:bCs/>
                <w:sz w:val="18"/>
                <w:szCs w:val="18"/>
              </w:rPr>
            </w:pPr>
            <w:r w:rsidRPr="00751120">
              <w:rPr>
                <w:rFonts w:ascii="Calibri" w:hAnsi="Calibri" w:cs="Calibri"/>
                <w:b/>
                <w:bCs/>
                <w:sz w:val="18"/>
                <w:szCs w:val="18"/>
              </w:rPr>
              <w:t>P</w:t>
            </w:r>
            <w:r w:rsidRPr="008C4895">
              <w:rPr>
                <w:rFonts w:ascii="Calibri" w:hAnsi="Calibri" w:cs="Calibri"/>
                <w:b/>
                <w:bCs/>
                <w:sz w:val="18"/>
                <w:szCs w:val="18"/>
              </w:rPr>
              <w:t>roject strategy</w:t>
            </w:r>
            <w:r>
              <w:rPr>
                <w:rFonts w:ascii="Calibri" w:hAnsi="Calibri" w:cs="Calibri"/>
                <w:b/>
                <w:bCs/>
                <w:sz w:val="18"/>
                <w:szCs w:val="18"/>
              </w:rPr>
              <w:t>:</w:t>
            </w:r>
          </w:p>
          <w:p w14:paraId="28EBED51" w14:textId="77777777" w:rsidR="007D1DAE" w:rsidRPr="008C4895" w:rsidRDefault="007D1DAE" w:rsidP="00303996">
            <w:pPr>
              <w:spacing w:after="80"/>
              <w:rPr>
                <w:rFonts w:ascii="Calibri" w:hAnsi="Calibri" w:cs="Calibri"/>
                <w:sz w:val="18"/>
                <w:szCs w:val="18"/>
              </w:rPr>
            </w:pPr>
            <w:r w:rsidRPr="008C4895">
              <w:rPr>
                <w:rFonts w:ascii="Calibri" w:hAnsi="Calibri" w:cs="Calibri"/>
                <w:sz w:val="18"/>
                <w:szCs w:val="18"/>
              </w:rPr>
              <w:t xml:space="preserve">LDN-conducive targets will be pursued through the management of targeted landscapes considering the local context and the predominant </w:t>
            </w:r>
            <w:r>
              <w:rPr>
                <w:rFonts w:ascii="Calibri" w:hAnsi="Calibri" w:cs="Calibri"/>
                <w:sz w:val="18"/>
                <w:szCs w:val="18"/>
              </w:rPr>
              <w:t>l</w:t>
            </w:r>
            <w:r w:rsidRPr="008C4895">
              <w:rPr>
                <w:rFonts w:ascii="Calibri" w:hAnsi="Calibri" w:cs="Calibri"/>
                <w:sz w:val="18"/>
                <w:szCs w:val="18"/>
              </w:rPr>
              <w:t>and-use system</w:t>
            </w:r>
            <w:r>
              <w:rPr>
                <w:rFonts w:ascii="Calibri" w:hAnsi="Calibri" w:cs="Calibri"/>
                <w:sz w:val="18"/>
                <w:szCs w:val="18"/>
              </w:rPr>
              <w:t>s:</w:t>
            </w:r>
            <w:r w:rsidRPr="008C4895">
              <w:rPr>
                <w:rFonts w:ascii="Calibri" w:hAnsi="Calibri" w:cs="Calibri"/>
                <w:sz w:val="18"/>
                <w:szCs w:val="18"/>
              </w:rPr>
              <w:t xml:space="preserve"> </w:t>
            </w:r>
            <w:r>
              <w:rPr>
                <w:rFonts w:ascii="Calibri" w:hAnsi="Calibri" w:cs="Calibri"/>
                <w:sz w:val="18"/>
                <w:szCs w:val="18"/>
              </w:rPr>
              <w:t xml:space="preserve">- </w:t>
            </w:r>
            <w:r w:rsidRPr="008C4895">
              <w:rPr>
                <w:rFonts w:ascii="Calibri" w:hAnsi="Calibri" w:cs="Calibri"/>
                <w:sz w:val="18"/>
                <w:szCs w:val="18"/>
              </w:rPr>
              <w:t xml:space="preserve">forest, cropland and grassland. </w:t>
            </w:r>
          </w:p>
          <w:p w14:paraId="7DFBF418" w14:textId="77777777" w:rsidR="007D1DAE" w:rsidRPr="008C4895" w:rsidRDefault="007D1DAE" w:rsidP="00303996">
            <w:pPr>
              <w:spacing w:before="120" w:after="120"/>
              <w:rPr>
                <w:rFonts w:ascii="Calibri" w:hAnsi="Calibri" w:cs="Calibri"/>
                <w:sz w:val="18"/>
                <w:szCs w:val="18"/>
              </w:rPr>
            </w:pPr>
            <w:r>
              <w:rPr>
                <w:rFonts w:ascii="Calibri" w:hAnsi="Calibri" w:cs="Calibri"/>
                <w:sz w:val="18"/>
                <w:szCs w:val="18"/>
              </w:rPr>
              <w:t>T</w:t>
            </w:r>
            <w:r w:rsidRPr="008C4895">
              <w:rPr>
                <w:rFonts w:ascii="Calibri" w:hAnsi="Calibri" w:cs="Calibri"/>
                <w:sz w:val="18"/>
                <w:szCs w:val="18"/>
              </w:rPr>
              <w:t>he project will contribute to the national LDN targets by improv</w:t>
            </w:r>
            <w:r>
              <w:rPr>
                <w:rFonts w:ascii="Calibri" w:hAnsi="Calibri" w:cs="Calibri"/>
                <w:sz w:val="18"/>
                <w:szCs w:val="18"/>
              </w:rPr>
              <w:t>ing</w:t>
            </w:r>
            <w:r w:rsidRPr="008C4895">
              <w:rPr>
                <w:rFonts w:ascii="Calibri" w:hAnsi="Calibri" w:cs="Calibri"/>
                <w:sz w:val="18"/>
                <w:szCs w:val="18"/>
              </w:rPr>
              <w:t xml:space="preserve"> </w:t>
            </w:r>
            <w:r>
              <w:rPr>
                <w:rFonts w:ascii="Calibri" w:hAnsi="Calibri" w:cs="Calibri"/>
                <w:sz w:val="18"/>
                <w:szCs w:val="18"/>
              </w:rPr>
              <w:t xml:space="preserve">land </w:t>
            </w:r>
            <w:r w:rsidRPr="008C4895">
              <w:rPr>
                <w:rFonts w:ascii="Calibri" w:hAnsi="Calibri" w:cs="Calibri"/>
                <w:sz w:val="18"/>
                <w:szCs w:val="18"/>
              </w:rPr>
              <w:t xml:space="preserve">management across two sub-basins (landscapes) in southern Angola. Landscape management strategies that combine both protection- and production-oriented interventions will </w:t>
            </w:r>
            <w:r>
              <w:rPr>
                <w:rFonts w:ascii="Calibri" w:hAnsi="Calibri" w:cs="Calibri"/>
                <w:sz w:val="18"/>
                <w:szCs w:val="18"/>
              </w:rPr>
              <w:t xml:space="preserve">be </w:t>
            </w:r>
            <w:r w:rsidRPr="008C4895">
              <w:rPr>
                <w:rFonts w:ascii="Calibri" w:hAnsi="Calibri" w:cs="Calibri"/>
                <w:sz w:val="18"/>
                <w:szCs w:val="18"/>
              </w:rPr>
              <w:t>appl</w:t>
            </w:r>
            <w:r>
              <w:rPr>
                <w:rFonts w:ascii="Calibri" w:hAnsi="Calibri" w:cs="Calibri"/>
                <w:sz w:val="18"/>
                <w:szCs w:val="18"/>
              </w:rPr>
              <w:t>ied in line with</w:t>
            </w:r>
            <w:r w:rsidRPr="008C4895">
              <w:rPr>
                <w:rFonts w:ascii="Calibri" w:hAnsi="Calibri" w:cs="Calibri"/>
                <w:sz w:val="18"/>
                <w:szCs w:val="18"/>
              </w:rPr>
              <w:t xml:space="preserve"> the land-use systems in place at the intervention sites:</w:t>
            </w:r>
          </w:p>
          <w:tbl>
            <w:tblPr>
              <w:tblW w:w="4132" w:type="dxa"/>
              <w:tblLook w:val="04A0" w:firstRow="1" w:lastRow="0" w:firstColumn="1" w:lastColumn="0" w:noHBand="0" w:noVBand="1"/>
            </w:tblPr>
            <w:tblGrid>
              <w:gridCol w:w="2588"/>
              <w:gridCol w:w="1544"/>
            </w:tblGrid>
            <w:tr w:rsidR="007D1DAE" w:rsidRPr="008C4895" w14:paraId="67A1AE35" w14:textId="77777777" w:rsidTr="00303996">
              <w:trPr>
                <w:trHeight w:val="170"/>
              </w:trPr>
              <w:tc>
                <w:tcPr>
                  <w:tcW w:w="2588" w:type="dxa"/>
                  <w:tcBorders>
                    <w:top w:val="single" w:sz="4" w:space="0" w:color="auto"/>
                    <w:left w:val="nil"/>
                    <w:bottom w:val="single" w:sz="4" w:space="0" w:color="auto"/>
                    <w:right w:val="nil"/>
                  </w:tcBorders>
                  <w:shd w:val="clear" w:color="auto" w:fill="FBE4D5"/>
                  <w:noWrap/>
                  <w:vAlign w:val="bottom"/>
                </w:tcPr>
                <w:p w14:paraId="45D03B59" w14:textId="77777777" w:rsidR="007D1DAE" w:rsidRPr="008C4895" w:rsidRDefault="007D1DAE" w:rsidP="00303996">
                  <w:pPr>
                    <w:ind w:left="208"/>
                    <w:rPr>
                      <w:rFonts w:ascii="Calibri" w:hAnsi="Calibri" w:cs="Calibri"/>
                      <w:b/>
                      <w:bCs/>
                      <w:color w:val="000000"/>
                      <w:sz w:val="18"/>
                      <w:szCs w:val="18"/>
                    </w:rPr>
                  </w:pPr>
                  <w:r w:rsidRPr="008C4895">
                    <w:rPr>
                      <w:rFonts w:ascii="Calibri" w:hAnsi="Calibri" w:cs="Calibri"/>
                      <w:b/>
                      <w:bCs/>
                      <w:color w:val="000000"/>
                      <w:sz w:val="18"/>
                      <w:szCs w:val="18"/>
                    </w:rPr>
                    <w:t>L</w:t>
                  </w:r>
                  <w:r>
                    <w:rPr>
                      <w:rFonts w:ascii="Calibri" w:hAnsi="Calibri" w:cs="Calibri"/>
                      <w:b/>
                      <w:bCs/>
                      <w:color w:val="000000"/>
                      <w:sz w:val="18"/>
                      <w:szCs w:val="18"/>
                    </w:rPr>
                    <w:t xml:space="preserve">and </w:t>
                  </w:r>
                  <w:r w:rsidRPr="008C4895">
                    <w:rPr>
                      <w:rFonts w:ascii="Calibri" w:hAnsi="Calibri" w:cs="Calibri"/>
                      <w:b/>
                      <w:bCs/>
                      <w:color w:val="000000"/>
                      <w:sz w:val="18"/>
                      <w:szCs w:val="18"/>
                    </w:rPr>
                    <w:t>U</w:t>
                  </w:r>
                  <w:r>
                    <w:rPr>
                      <w:rFonts w:ascii="Calibri" w:hAnsi="Calibri" w:cs="Calibri"/>
                      <w:b/>
                      <w:bCs/>
                      <w:color w:val="000000"/>
                      <w:sz w:val="18"/>
                      <w:szCs w:val="18"/>
                    </w:rPr>
                    <w:t xml:space="preserve">se </w:t>
                  </w:r>
                  <w:r w:rsidRPr="008C4895">
                    <w:rPr>
                      <w:rFonts w:ascii="Calibri" w:hAnsi="Calibri" w:cs="Calibri"/>
                      <w:b/>
                      <w:bCs/>
                      <w:color w:val="000000"/>
                      <w:sz w:val="18"/>
                      <w:szCs w:val="18"/>
                    </w:rPr>
                    <w:t>S</w:t>
                  </w:r>
                  <w:r>
                    <w:rPr>
                      <w:rFonts w:ascii="Calibri" w:hAnsi="Calibri" w:cs="Calibri"/>
                      <w:b/>
                      <w:bCs/>
                      <w:color w:val="000000"/>
                      <w:sz w:val="18"/>
                      <w:szCs w:val="18"/>
                    </w:rPr>
                    <w:t>ystem</w:t>
                  </w:r>
                </w:p>
              </w:tc>
              <w:tc>
                <w:tcPr>
                  <w:tcW w:w="1544" w:type="dxa"/>
                  <w:tcBorders>
                    <w:top w:val="single" w:sz="4" w:space="0" w:color="auto"/>
                    <w:left w:val="nil"/>
                    <w:bottom w:val="single" w:sz="4" w:space="0" w:color="auto"/>
                    <w:right w:val="nil"/>
                  </w:tcBorders>
                  <w:shd w:val="clear" w:color="auto" w:fill="FBE4D5"/>
                  <w:noWrap/>
                  <w:vAlign w:val="bottom"/>
                </w:tcPr>
                <w:p w14:paraId="60819E45" w14:textId="58EADD2B" w:rsidR="007D1DAE" w:rsidRPr="008C4895" w:rsidRDefault="007D1DAE" w:rsidP="00303996">
                  <w:pPr>
                    <w:jc w:val="right"/>
                    <w:rPr>
                      <w:rFonts w:ascii="Calibri" w:hAnsi="Calibri" w:cs="Calibri"/>
                      <w:b/>
                      <w:bCs/>
                      <w:color w:val="000000"/>
                      <w:sz w:val="18"/>
                      <w:szCs w:val="18"/>
                    </w:rPr>
                  </w:pPr>
                  <w:r w:rsidRPr="008C4895">
                    <w:rPr>
                      <w:rFonts w:ascii="Calibri" w:hAnsi="Calibri" w:cs="Calibri"/>
                      <w:b/>
                      <w:bCs/>
                      <w:color w:val="000000"/>
                      <w:sz w:val="18"/>
                      <w:szCs w:val="18"/>
                    </w:rPr>
                    <w:t xml:space="preserve">Area </w:t>
                  </w:r>
                  <w:r w:rsidR="007C4705" w:rsidRPr="003E0ECB">
                    <w:rPr>
                      <w:rFonts w:ascii="Calibri" w:hAnsi="Calibri" w:cs="Calibri"/>
                      <w:b/>
                      <w:bCs/>
                      <w:color w:val="000000"/>
                      <w:sz w:val="18"/>
                      <w:szCs w:val="18"/>
                      <w:highlight w:val="yellow"/>
                    </w:rPr>
                    <w:t>covered by ILUPs</w:t>
                  </w:r>
                  <w:r w:rsidR="007C4705">
                    <w:rPr>
                      <w:rFonts w:ascii="Calibri" w:hAnsi="Calibri" w:cs="Calibri"/>
                      <w:b/>
                      <w:bCs/>
                      <w:color w:val="000000"/>
                      <w:sz w:val="18"/>
                      <w:szCs w:val="18"/>
                    </w:rPr>
                    <w:t xml:space="preserve"> </w:t>
                  </w:r>
                  <w:r w:rsidRPr="008C4895">
                    <w:rPr>
                      <w:rFonts w:ascii="Calibri" w:hAnsi="Calibri" w:cs="Calibri"/>
                      <w:b/>
                      <w:bCs/>
                      <w:color w:val="000000"/>
                      <w:sz w:val="18"/>
                      <w:szCs w:val="18"/>
                    </w:rPr>
                    <w:t>(ha)</w:t>
                  </w:r>
                </w:p>
              </w:tc>
            </w:tr>
            <w:tr w:rsidR="007D1DAE" w:rsidRPr="008C4895" w14:paraId="5D27DD31" w14:textId="77777777" w:rsidTr="00303996">
              <w:trPr>
                <w:trHeight w:val="253"/>
              </w:trPr>
              <w:tc>
                <w:tcPr>
                  <w:tcW w:w="2588" w:type="dxa"/>
                  <w:tcBorders>
                    <w:top w:val="single" w:sz="4" w:space="0" w:color="auto"/>
                    <w:left w:val="nil"/>
                    <w:bottom w:val="nil"/>
                    <w:right w:val="nil"/>
                  </w:tcBorders>
                  <w:shd w:val="clear" w:color="auto" w:fill="auto"/>
                  <w:noWrap/>
                  <w:vAlign w:val="bottom"/>
                </w:tcPr>
                <w:p w14:paraId="40A50BBC" w14:textId="77777777" w:rsidR="007D1DAE" w:rsidRPr="008C4895" w:rsidRDefault="007D1DAE" w:rsidP="00303996">
                  <w:pPr>
                    <w:ind w:left="208"/>
                    <w:rPr>
                      <w:rFonts w:ascii="Calibri" w:hAnsi="Calibri" w:cs="Calibri"/>
                      <w:b/>
                      <w:bCs/>
                      <w:color w:val="000000"/>
                      <w:sz w:val="18"/>
                      <w:szCs w:val="18"/>
                    </w:rPr>
                  </w:pPr>
                  <w:r w:rsidRPr="008C4895">
                    <w:rPr>
                      <w:rFonts w:ascii="Calibri" w:hAnsi="Calibri" w:cs="Calibri"/>
                      <w:b/>
                      <w:bCs/>
                      <w:color w:val="000000"/>
                      <w:sz w:val="18"/>
                      <w:szCs w:val="18"/>
                    </w:rPr>
                    <w:t>Forest</w:t>
                  </w:r>
                </w:p>
              </w:tc>
              <w:tc>
                <w:tcPr>
                  <w:tcW w:w="1544" w:type="dxa"/>
                  <w:tcBorders>
                    <w:top w:val="single" w:sz="4" w:space="0" w:color="auto"/>
                    <w:left w:val="nil"/>
                    <w:bottom w:val="nil"/>
                    <w:right w:val="nil"/>
                  </w:tcBorders>
                  <w:shd w:val="clear" w:color="auto" w:fill="auto"/>
                  <w:noWrap/>
                  <w:vAlign w:val="bottom"/>
                </w:tcPr>
                <w:p w14:paraId="16BFF507" w14:textId="77777777" w:rsidR="007D1DAE" w:rsidRPr="008C4895" w:rsidRDefault="007D1DAE" w:rsidP="00303996">
                  <w:pPr>
                    <w:jc w:val="right"/>
                    <w:rPr>
                      <w:rFonts w:ascii="Calibri" w:hAnsi="Calibri" w:cs="Calibri"/>
                      <w:color w:val="000000"/>
                      <w:sz w:val="18"/>
                      <w:szCs w:val="18"/>
                    </w:rPr>
                  </w:pPr>
                  <w:r w:rsidRPr="008C4895">
                    <w:rPr>
                      <w:rFonts w:ascii="Calibri" w:hAnsi="Calibri" w:cs="Calibri"/>
                      <w:color w:val="000000"/>
                      <w:sz w:val="18"/>
                      <w:szCs w:val="18"/>
                    </w:rPr>
                    <w:t>107,722</w:t>
                  </w:r>
                </w:p>
              </w:tc>
            </w:tr>
            <w:tr w:rsidR="007D1DAE" w:rsidRPr="008C4895" w14:paraId="61F4B4F0" w14:textId="77777777" w:rsidTr="00303996">
              <w:trPr>
                <w:trHeight w:val="253"/>
              </w:trPr>
              <w:tc>
                <w:tcPr>
                  <w:tcW w:w="2588" w:type="dxa"/>
                  <w:tcBorders>
                    <w:top w:val="nil"/>
                    <w:left w:val="nil"/>
                    <w:bottom w:val="nil"/>
                    <w:right w:val="nil"/>
                  </w:tcBorders>
                  <w:shd w:val="clear" w:color="auto" w:fill="auto"/>
                  <w:noWrap/>
                  <w:vAlign w:val="bottom"/>
                </w:tcPr>
                <w:p w14:paraId="5D5D7DDC" w14:textId="77777777" w:rsidR="007D1DAE" w:rsidRPr="008C4895" w:rsidRDefault="007D1DAE" w:rsidP="00303996">
                  <w:pPr>
                    <w:ind w:left="208"/>
                    <w:rPr>
                      <w:rFonts w:ascii="Calibri" w:hAnsi="Calibri" w:cs="Calibri"/>
                      <w:b/>
                      <w:bCs/>
                      <w:color w:val="000000"/>
                      <w:sz w:val="18"/>
                      <w:szCs w:val="18"/>
                    </w:rPr>
                  </w:pPr>
                  <w:r w:rsidRPr="008C4895">
                    <w:rPr>
                      <w:rFonts w:ascii="Calibri" w:hAnsi="Calibri" w:cs="Calibri"/>
                      <w:b/>
                      <w:bCs/>
                      <w:color w:val="000000"/>
                      <w:sz w:val="18"/>
                      <w:szCs w:val="18"/>
                    </w:rPr>
                    <w:t>Cropland</w:t>
                  </w:r>
                </w:p>
              </w:tc>
              <w:tc>
                <w:tcPr>
                  <w:tcW w:w="1544" w:type="dxa"/>
                  <w:tcBorders>
                    <w:top w:val="nil"/>
                    <w:left w:val="nil"/>
                    <w:bottom w:val="nil"/>
                    <w:right w:val="nil"/>
                  </w:tcBorders>
                  <w:shd w:val="clear" w:color="auto" w:fill="auto"/>
                  <w:noWrap/>
                  <w:vAlign w:val="bottom"/>
                </w:tcPr>
                <w:p w14:paraId="66B251B0" w14:textId="77777777" w:rsidR="007D1DAE" w:rsidRPr="008C4895" w:rsidRDefault="007D1DAE" w:rsidP="00303996">
                  <w:pPr>
                    <w:jc w:val="right"/>
                    <w:rPr>
                      <w:rFonts w:ascii="Calibri" w:hAnsi="Calibri" w:cs="Calibri"/>
                      <w:color w:val="000000"/>
                      <w:sz w:val="18"/>
                      <w:szCs w:val="18"/>
                    </w:rPr>
                  </w:pPr>
                  <w:r w:rsidRPr="008C4895">
                    <w:rPr>
                      <w:rFonts w:ascii="Calibri" w:hAnsi="Calibri" w:cs="Calibri"/>
                      <w:color w:val="000000"/>
                      <w:sz w:val="18"/>
                      <w:szCs w:val="18"/>
                    </w:rPr>
                    <w:t>217,056</w:t>
                  </w:r>
                </w:p>
              </w:tc>
            </w:tr>
            <w:tr w:rsidR="007D1DAE" w:rsidRPr="008C4895" w14:paraId="1B9C2BD0" w14:textId="77777777" w:rsidTr="00303996">
              <w:trPr>
                <w:trHeight w:val="265"/>
              </w:trPr>
              <w:tc>
                <w:tcPr>
                  <w:tcW w:w="2588" w:type="dxa"/>
                  <w:tcBorders>
                    <w:top w:val="nil"/>
                    <w:left w:val="nil"/>
                    <w:right w:val="nil"/>
                  </w:tcBorders>
                  <w:shd w:val="clear" w:color="auto" w:fill="auto"/>
                  <w:noWrap/>
                  <w:vAlign w:val="bottom"/>
                </w:tcPr>
                <w:p w14:paraId="03CE3987" w14:textId="77777777" w:rsidR="007D1DAE" w:rsidRPr="008C4895" w:rsidRDefault="007D1DAE" w:rsidP="00303996">
                  <w:pPr>
                    <w:ind w:left="208"/>
                    <w:rPr>
                      <w:rFonts w:ascii="Calibri" w:hAnsi="Calibri" w:cs="Calibri"/>
                      <w:b/>
                      <w:bCs/>
                      <w:color w:val="000000"/>
                      <w:sz w:val="18"/>
                      <w:szCs w:val="18"/>
                    </w:rPr>
                  </w:pPr>
                  <w:r w:rsidRPr="008C4895">
                    <w:rPr>
                      <w:rFonts w:ascii="Calibri" w:hAnsi="Calibri" w:cs="Calibri"/>
                      <w:b/>
                      <w:bCs/>
                      <w:color w:val="000000"/>
                      <w:sz w:val="18"/>
                      <w:szCs w:val="18"/>
                    </w:rPr>
                    <w:t>Grassland</w:t>
                  </w:r>
                </w:p>
              </w:tc>
              <w:tc>
                <w:tcPr>
                  <w:tcW w:w="1544" w:type="dxa"/>
                  <w:tcBorders>
                    <w:top w:val="nil"/>
                    <w:left w:val="nil"/>
                    <w:right w:val="nil"/>
                  </w:tcBorders>
                  <w:shd w:val="clear" w:color="auto" w:fill="auto"/>
                  <w:noWrap/>
                  <w:vAlign w:val="bottom"/>
                </w:tcPr>
                <w:p w14:paraId="19819775" w14:textId="77777777" w:rsidR="007D1DAE" w:rsidRPr="008C4895" w:rsidRDefault="007D1DAE" w:rsidP="00303996">
                  <w:pPr>
                    <w:jc w:val="right"/>
                    <w:rPr>
                      <w:rFonts w:ascii="Calibri" w:hAnsi="Calibri" w:cs="Calibri"/>
                      <w:color w:val="000000"/>
                      <w:sz w:val="18"/>
                      <w:szCs w:val="18"/>
                    </w:rPr>
                  </w:pPr>
                  <w:r w:rsidRPr="008C4895">
                    <w:rPr>
                      <w:rFonts w:ascii="Calibri" w:hAnsi="Calibri" w:cs="Calibri"/>
                      <w:color w:val="000000"/>
                      <w:sz w:val="18"/>
                      <w:szCs w:val="18"/>
                    </w:rPr>
                    <w:t>141,200</w:t>
                  </w:r>
                </w:p>
              </w:tc>
            </w:tr>
            <w:tr w:rsidR="007D1DAE" w:rsidRPr="008C4895" w14:paraId="1BEDDEE0" w14:textId="77777777" w:rsidTr="00303996">
              <w:trPr>
                <w:trHeight w:val="253"/>
              </w:trPr>
              <w:tc>
                <w:tcPr>
                  <w:tcW w:w="2588" w:type="dxa"/>
                  <w:tcBorders>
                    <w:top w:val="nil"/>
                    <w:left w:val="nil"/>
                    <w:bottom w:val="single" w:sz="4" w:space="0" w:color="auto"/>
                    <w:right w:val="nil"/>
                  </w:tcBorders>
                  <w:shd w:val="clear" w:color="auto" w:fill="auto"/>
                  <w:noWrap/>
                  <w:vAlign w:val="bottom"/>
                </w:tcPr>
                <w:p w14:paraId="514988E7" w14:textId="77777777" w:rsidR="007D1DAE" w:rsidRPr="008C4895" w:rsidRDefault="007D1DAE" w:rsidP="00303996">
                  <w:pPr>
                    <w:ind w:left="208"/>
                    <w:rPr>
                      <w:rFonts w:ascii="Calibri" w:hAnsi="Calibri" w:cs="Calibri"/>
                      <w:b/>
                      <w:bCs/>
                      <w:color w:val="000000"/>
                      <w:sz w:val="18"/>
                      <w:szCs w:val="18"/>
                    </w:rPr>
                  </w:pPr>
                  <w:r w:rsidRPr="008C4895">
                    <w:rPr>
                      <w:rFonts w:ascii="Calibri" w:hAnsi="Calibri" w:cs="Calibri"/>
                      <w:b/>
                      <w:bCs/>
                      <w:color w:val="000000"/>
                      <w:sz w:val="18"/>
                      <w:szCs w:val="18"/>
                    </w:rPr>
                    <w:t xml:space="preserve">Watershed: </w:t>
                  </w:r>
                  <w:r w:rsidRPr="008C4895">
                    <w:rPr>
                      <w:rFonts w:ascii="Calibri" w:hAnsi="Calibri" w:cs="Calibri"/>
                      <w:b/>
                      <w:bCs/>
                      <w:color w:val="000000"/>
                      <w:sz w:val="16"/>
                      <w:szCs w:val="16"/>
                    </w:rPr>
                    <w:t>Forest</w:t>
                  </w:r>
                  <w:r>
                    <w:rPr>
                      <w:rFonts w:ascii="Calibri" w:hAnsi="Calibri" w:cs="Calibri"/>
                      <w:b/>
                      <w:bCs/>
                      <w:color w:val="000000"/>
                      <w:sz w:val="16"/>
                      <w:szCs w:val="16"/>
                    </w:rPr>
                    <w:t xml:space="preserve"> / </w:t>
                  </w:r>
                  <w:r w:rsidRPr="008C4895">
                    <w:rPr>
                      <w:rFonts w:ascii="Calibri" w:hAnsi="Calibri" w:cs="Calibri"/>
                      <w:b/>
                      <w:bCs/>
                      <w:color w:val="000000"/>
                      <w:sz w:val="16"/>
                      <w:szCs w:val="16"/>
                    </w:rPr>
                    <w:t>Cropland</w:t>
                  </w:r>
                </w:p>
              </w:tc>
              <w:tc>
                <w:tcPr>
                  <w:tcW w:w="1544" w:type="dxa"/>
                  <w:tcBorders>
                    <w:top w:val="nil"/>
                    <w:left w:val="nil"/>
                    <w:bottom w:val="single" w:sz="4" w:space="0" w:color="auto"/>
                    <w:right w:val="nil"/>
                  </w:tcBorders>
                  <w:shd w:val="clear" w:color="auto" w:fill="auto"/>
                  <w:noWrap/>
                  <w:vAlign w:val="bottom"/>
                </w:tcPr>
                <w:p w14:paraId="0D15E48E" w14:textId="77777777" w:rsidR="007D1DAE" w:rsidRPr="008C4895" w:rsidRDefault="007D1DAE" w:rsidP="00303996">
                  <w:pPr>
                    <w:jc w:val="right"/>
                    <w:rPr>
                      <w:rFonts w:ascii="Calibri" w:hAnsi="Calibri" w:cs="Calibri"/>
                      <w:color w:val="000000"/>
                      <w:sz w:val="18"/>
                      <w:szCs w:val="18"/>
                    </w:rPr>
                  </w:pPr>
                  <w:r w:rsidRPr="008C4895">
                    <w:rPr>
                      <w:rFonts w:ascii="Calibri" w:hAnsi="Calibri" w:cs="Calibri"/>
                      <w:color w:val="000000"/>
                      <w:sz w:val="18"/>
                      <w:szCs w:val="18"/>
                    </w:rPr>
                    <w:t>167,300</w:t>
                  </w:r>
                </w:p>
              </w:tc>
            </w:tr>
            <w:tr w:rsidR="007D1DAE" w:rsidRPr="008C4895" w14:paraId="4DACE1B2" w14:textId="77777777" w:rsidTr="00303996">
              <w:trPr>
                <w:trHeight w:val="253"/>
              </w:trPr>
              <w:tc>
                <w:tcPr>
                  <w:tcW w:w="2588" w:type="dxa"/>
                  <w:tcBorders>
                    <w:top w:val="single" w:sz="4" w:space="0" w:color="auto"/>
                    <w:left w:val="nil"/>
                    <w:bottom w:val="single" w:sz="4" w:space="0" w:color="auto"/>
                    <w:right w:val="nil"/>
                  </w:tcBorders>
                  <w:shd w:val="clear" w:color="auto" w:fill="FBE4D5"/>
                  <w:noWrap/>
                  <w:vAlign w:val="bottom"/>
                </w:tcPr>
                <w:p w14:paraId="0F8BEF33" w14:textId="77777777" w:rsidR="007D1DAE" w:rsidRPr="008C4895" w:rsidRDefault="007D1DAE" w:rsidP="00303996">
                  <w:pPr>
                    <w:ind w:left="208"/>
                    <w:rPr>
                      <w:rFonts w:ascii="Calibri" w:hAnsi="Calibri" w:cs="Calibri"/>
                      <w:b/>
                      <w:bCs/>
                      <w:color w:val="000000"/>
                      <w:sz w:val="18"/>
                      <w:szCs w:val="18"/>
                    </w:rPr>
                  </w:pPr>
                  <w:r w:rsidRPr="008C4895">
                    <w:rPr>
                      <w:rFonts w:ascii="Calibri" w:hAnsi="Calibri" w:cs="Calibri"/>
                      <w:b/>
                      <w:bCs/>
                      <w:color w:val="000000"/>
                      <w:sz w:val="18"/>
                      <w:szCs w:val="18"/>
                    </w:rPr>
                    <w:t>Total</w:t>
                  </w:r>
                </w:p>
              </w:tc>
              <w:tc>
                <w:tcPr>
                  <w:tcW w:w="1544" w:type="dxa"/>
                  <w:tcBorders>
                    <w:top w:val="single" w:sz="4" w:space="0" w:color="auto"/>
                    <w:left w:val="nil"/>
                    <w:bottom w:val="single" w:sz="4" w:space="0" w:color="auto"/>
                    <w:right w:val="nil"/>
                  </w:tcBorders>
                  <w:shd w:val="clear" w:color="auto" w:fill="FBE4D5"/>
                  <w:noWrap/>
                  <w:vAlign w:val="bottom"/>
                </w:tcPr>
                <w:p w14:paraId="0664375F" w14:textId="77777777" w:rsidR="007D1DAE" w:rsidRPr="008C4895" w:rsidRDefault="007D1DAE" w:rsidP="00303996">
                  <w:pPr>
                    <w:jc w:val="right"/>
                    <w:rPr>
                      <w:rFonts w:ascii="Calibri" w:hAnsi="Calibri" w:cs="Calibri"/>
                      <w:b/>
                      <w:bCs/>
                      <w:color w:val="000000"/>
                      <w:sz w:val="18"/>
                      <w:szCs w:val="18"/>
                    </w:rPr>
                  </w:pPr>
                  <w:r w:rsidRPr="008C4895">
                    <w:rPr>
                      <w:rFonts w:ascii="Calibri" w:hAnsi="Calibri" w:cs="Calibri"/>
                      <w:b/>
                      <w:bCs/>
                      <w:color w:val="000000"/>
                      <w:sz w:val="18"/>
                      <w:szCs w:val="18"/>
                    </w:rPr>
                    <w:t>633,278</w:t>
                  </w:r>
                </w:p>
              </w:tc>
            </w:tr>
          </w:tbl>
          <w:p w14:paraId="7C5B4D9D" w14:textId="77777777" w:rsidR="007D1DAE" w:rsidRDefault="007D1DAE" w:rsidP="00303996">
            <w:pPr>
              <w:spacing w:before="120"/>
              <w:rPr>
                <w:rFonts w:ascii="Calibri" w:hAnsi="Calibri" w:cs="Calibri"/>
                <w:b/>
                <w:bCs/>
                <w:sz w:val="18"/>
                <w:szCs w:val="18"/>
              </w:rPr>
            </w:pPr>
            <w:r>
              <w:rPr>
                <w:noProof/>
                <w:szCs w:val="20"/>
                <w:lang w:val="en-US" w:eastAsia="en-US"/>
              </w:rPr>
              <w:drawing>
                <wp:inline distT="0" distB="0" distL="0" distR="0" wp14:anchorId="11A73B24" wp14:editId="57948647">
                  <wp:extent cx="2834597" cy="2396066"/>
                  <wp:effectExtent l="0" t="0" r="0" b="4445"/>
                  <wp:docPr id="28" name="Picture 28"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Picture 28" descr="Map&#10;&#10;Description automatically generated"/>
                          <pic:cNvPicPr/>
                        </pic:nvPicPr>
                        <pic:blipFill rotWithShape="1">
                          <a:blip r:embed="rId38" cstate="print">
                            <a:extLst>
                              <a:ext uri="{28A0092B-C50C-407E-A947-70E740481C1C}">
                                <a14:useLocalDpi xmlns:a14="http://schemas.microsoft.com/office/drawing/2010/main"/>
                              </a:ext>
                            </a:extLst>
                          </a:blip>
                          <a:srcRect/>
                          <a:stretch/>
                        </pic:blipFill>
                        <pic:spPr bwMode="auto">
                          <a:xfrm>
                            <a:off x="0" y="0"/>
                            <a:ext cx="2860669" cy="2418105"/>
                          </a:xfrm>
                          <a:prstGeom prst="rect">
                            <a:avLst/>
                          </a:prstGeom>
                          <a:ln>
                            <a:noFill/>
                          </a:ln>
                          <a:extLst>
                            <a:ext uri="{53640926-AAD7-44d8-BBD7-CCE9431645EC}">
                              <a14:shadowObscured xmlns:asvg="http://schemas.microsoft.com/office/drawing/2016/SVG/main" xmlns:a16="http://schemas.microsoft.com/office/drawing/2014/main" xmlns:ask="http://schemas.microsoft.com/office/drawing/2018/sketchyshapes"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xmlns:arto="http://schemas.microsoft.com/office/word/2006/arto"/>
                            </a:ext>
                          </a:extLst>
                        </pic:spPr>
                      </pic:pic>
                    </a:graphicData>
                  </a:graphic>
                </wp:inline>
              </w:drawing>
            </w:r>
          </w:p>
          <w:p w14:paraId="55BD8C13" w14:textId="26832167" w:rsidR="007D1DAE" w:rsidRDefault="00EE63D4" w:rsidP="00303996">
            <w:pPr>
              <w:spacing w:before="40"/>
              <w:jc w:val="center"/>
            </w:pPr>
            <w:r>
              <w:rPr>
                <w:rFonts w:ascii="Calibri" w:hAnsi="Calibri" w:cs="Calibri"/>
                <w:b/>
                <w:bCs/>
                <w:sz w:val="18"/>
                <w:szCs w:val="18"/>
              </w:rPr>
              <w:t xml:space="preserve">National </w:t>
            </w:r>
            <w:r w:rsidR="007D1DAE" w:rsidRPr="00751120">
              <w:rPr>
                <w:rFonts w:ascii="Calibri" w:hAnsi="Calibri" w:cs="Calibri"/>
                <w:b/>
                <w:bCs/>
                <w:sz w:val="18"/>
                <w:szCs w:val="18"/>
              </w:rPr>
              <w:t>LDN</w:t>
            </w:r>
            <w:r w:rsidR="00CF47F1">
              <w:rPr>
                <w:rFonts w:ascii="Calibri" w:hAnsi="Calibri" w:cs="Calibri"/>
                <w:b/>
                <w:bCs/>
                <w:sz w:val="18"/>
                <w:szCs w:val="18"/>
              </w:rPr>
              <w:t xml:space="preserve"> status</w:t>
            </w:r>
            <w:r w:rsidR="007D1DAE" w:rsidRPr="00751120">
              <w:rPr>
                <w:rFonts w:ascii="Calibri" w:hAnsi="Calibri" w:cs="Calibri"/>
                <w:b/>
                <w:bCs/>
                <w:sz w:val="18"/>
                <w:szCs w:val="18"/>
              </w:rPr>
              <w:t xml:space="preserve"> map (2001-2015) </w:t>
            </w:r>
            <w:r w:rsidR="00CF47F1">
              <w:rPr>
                <w:rFonts w:ascii="Calibri" w:hAnsi="Calibri" w:cs="Calibri"/>
                <w:b/>
                <w:bCs/>
                <w:sz w:val="18"/>
                <w:szCs w:val="18"/>
              </w:rPr>
              <w:t>with</w:t>
            </w:r>
            <w:r w:rsidR="00CF47F1" w:rsidRPr="00751120">
              <w:rPr>
                <w:rFonts w:ascii="Calibri" w:hAnsi="Calibri" w:cs="Calibri"/>
                <w:b/>
                <w:bCs/>
                <w:sz w:val="18"/>
                <w:szCs w:val="18"/>
              </w:rPr>
              <w:t xml:space="preserve"> </w:t>
            </w:r>
            <w:r w:rsidR="007D1DAE" w:rsidRPr="00751120">
              <w:rPr>
                <w:rFonts w:ascii="Calibri" w:hAnsi="Calibri" w:cs="Calibri"/>
                <w:b/>
                <w:bCs/>
                <w:sz w:val="18"/>
                <w:szCs w:val="18"/>
              </w:rPr>
              <w:t xml:space="preserve">project </w:t>
            </w:r>
            <w:r>
              <w:rPr>
                <w:rFonts w:ascii="Calibri" w:hAnsi="Calibri" w:cs="Calibri"/>
                <w:b/>
                <w:bCs/>
                <w:sz w:val="18"/>
                <w:szCs w:val="18"/>
              </w:rPr>
              <w:t>areas</w:t>
            </w:r>
            <w:r w:rsidR="007D1DAE" w:rsidRPr="00751120">
              <w:rPr>
                <w:rFonts w:ascii="Calibri" w:hAnsi="Calibri" w:cs="Calibri"/>
                <w:b/>
                <w:bCs/>
                <w:sz w:val="18"/>
                <w:szCs w:val="18"/>
              </w:rPr>
              <w:t xml:space="preserve"> </w:t>
            </w:r>
          </w:p>
        </w:tc>
      </w:tr>
      <w:tr w:rsidR="00871B8E" w14:paraId="02104716" w14:textId="77777777" w:rsidTr="78C544BE">
        <w:trPr>
          <w:cantSplit/>
        </w:trPr>
        <w:tc>
          <w:tcPr>
            <w:tcW w:w="5000" w:type="pct"/>
            <w:gridSpan w:val="2"/>
            <w:tcBorders>
              <w:top w:val="nil"/>
            </w:tcBorders>
            <w:shd w:val="clear" w:color="auto" w:fill="FBE4D5" w:themeFill="accent2" w:themeFillTint="33"/>
            <w:tcMar>
              <w:top w:w="28" w:type="dxa"/>
              <w:left w:w="28" w:type="dxa"/>
              <w:bottom w:w="28" w:type="dxa"/>
              <w:right w:w="28" w:type="dxa"/>
            </w:tcMar>
          </w:tcPr>
          <w:p w14:paraId="127A8A17" w14:textId="5E7B2C88" w:rsidR="00871B8E" w:rsidRPr="00871B8E" w:rsidDel="009310A1" w:rsidRDefault="00D4698B" w:rsidP="00871B8E">
            <w:pPr>
              <w:rPr>
                <w:rFonts w:ascii="Calibri" w:hAnsi="Calibri" w:cs="Calibri"/>
                <w:sz w:val="18"/>
                <w:szCs w:val="18"/>
              </w:rPr>
            </w:pPr>
            <w:r>
              <w:rPr>
                <w:rFonts w:ascii="Calibri" w:hAnsi="Calibri" w:cs="Calibri"/>
                <w:b/>
                <w:bCs/>
                <w:sz w:val="18"/>
                <w:szCs w:val="18"/>
              </w:rPr>
              <w:t>33,</w:t>
            </w:r>
            <w:r w:rsidR="00871B8E" w:rsidRPr="00871B8E">
              <w:rPr>
                <w:rFonts w:ascii="Calibri" w:hAnsi="Calibri" w:cs="Calibri"/>
                <w:b/>
                <w:bCs/>
                <w:sz w:val="18"/>
                <w:szCs w:val="18"/>
              </w:rPr>
              <w:t>Note</w:t>
            </w:r>
            <w:r w:rsidR="00871B8E" w:rsidRPr="00871B8E">
              <w:rPr>
                <w:rFonts w:ascii="Calibri" w:hAnsi="Calibri" w:cs="Calibri"/>
                <w:sz w:val="18"/>
                <w:szCs w:val="18"/>
              </w:rPr>
              <w:t xml:space="preserve"> that the </w:t>
            </w:r>
            <w:r w:rsidR="00EC558C">
              <w:rPr>
                <w:rFonts w:ascii="Calibri" w:hAnsi="Calibri" w:cs="Calibri"/>
                <w:sz w:val="18"/>
                <w:szCs w:val="18"/>
              </w:rPr>
              <w:t xml:space="preserve">GHG emissions </w:t>
            </w:r>
            <w:r w:rsidR="001B4B41">
              <w:rPr>
                <w:rFonts w:ascii="Calibri" w:hAnsi="Calibri" w:cs="Calibri"/>
                <w:sz w:val="18"/>
                <w:szCs w:val="18"/>
              </w:rPr>
              <w:t xml:space="preserve">goal in the </w:t>
            </w:r>
            <w:r w:rsidR="00EC558C">
              <w:rPr>
                <w:rFonts w:ascii="Calibri" w:hAnsi="Calibri" w:cs="Calibri"/>
                <w:sz w:val="18"/>
                <w:szCs w:val="18"/>
              </w:rPr>
              <w:t xml:space="preserve">LDN target (above) originates from Angola’s </w:t>
            </w:r>
            <w:r w:rsidR="00304651">
              <w:rPr>
                <w:rFonts w:ascii="Calibri" w:hAnsi="Calibri" w:cs="Calibri"/>
                <w:sz w:val="18"/>
                <w:szCs w:val="18"/>
              </w:rPr>
              <w:t xml:space="preserve">2015 </w:t>
            </w:r>
            <w:r w:rsidR="00CF47F1">
              <w:rPr>
                <w:rFonts w:ascii="Calibri" w:hAnsi="Calibri" w:cs="Calibri"/>
                <w:sz w:val="18"/>
                <w:szCs w:val="18"/>
              </w:rPr>
              <w:t>INDC (</w:t>
            </w:r>
            <w:r w:rsidR="00EC558C">
              <w:rPr>
                <w:rFonts w:ascii="Calibri" w:hAnsi="Calibri" w:cs="Calibri"/>
                <w:sz w:val="18"/>
                <w:szCs w:val="18"/>
              </w:rPr>
              <w:t>Intended Nationally Determined Contribution</w:t>
            </w:r>
            <w:r w:rsidR="00304651">
              <w:rPr>
                <w:rFonts w:ascii="Calibri" w:hAnsi="Calibri" w:cs="Calibri"/>
                <w:sz w:val="18"/>
                <w:szCs w:val="18"/>
              </w:rPr>
              <w:t>)</w:t>
            </w:r>
            <w:r w:rsidR="00EC558C">
              <w:rPr>
                <w:rFonts w:ascii="Calibri" w:hAnsi="Calibri" w:cs="Calibri"/>
                <w:sz w:val="18"/>
                <w:szCs w:val="18"/>
              </w:rPr>
              <w:t xml:space="preserve"> to UNFCCC</w:t>
            </w:r>
            <w:r w:rsidR="00304651">
              <w:rPr>
                <w:rFonts w:ascii="Calibri" w:hAnsi="Calibri" w:cs="Calibri"/>
                <w:sz w:val="18"/>
                <w:szCs w:val="18"/>
              </w:rPr>
              <w:t>. Thus, by default, the</w:t>
            </w:r>
            <w:r w:rsidR="001B4B41">
              <w:rPr>
                <w:rFonts w:ascii="Calibri" w:hAnsi="Calibri" w:cs="Calibri"/>
                <w:sz w:val="18"/>
                <w:szCs w:val="18"/>
              </w:rPr>
              <w:t xml:space="preserve"> GEF</w:t>
            </w:r>
            <w:r w:rsidR="00304651">
              <w:rPr>
                <w:rFonts w:ascii="Calibri" w:hAnsi="Calibri" w:cs="Calibri"/>
                <w:sz w:val="18"/>
                <w:szCs w:val="18"/>
              </w:rPr>
              <w:t xml:space="preserve"> project’s strategy also </w:t>
            </w:r>
            <w:r w:rsidR="00871B8E" w:rsidRPr="00871B8E">
              <w:rPr>
                <w:rFonts w:ascii="Calibri" w:hAnsi="Calibri" w:cs="Calibri"/>
                <w:sz w:val="18"/>
                <w:szCs w:val="18"/>
              </w:rPr>
              <w:t>contribute</w:t>
            </w:r>
            <w:r w:rsidR="00304651">
              <w:rPr>
                <w:rFonts w:ascii="Calibri" w:hAnsi="Calibri" w:cs="Calibri"/>
                <w:sz w:val="18"/>
                <w:szCs w:val="18"/>
              </w:rPr>
              <w:t>s</w:t>
            </w:r>
            <w:r w:rsidR="00871B8E" w:rsidRPr="00871B8E">
              <w:rPr>
                <w:rFonts w:ascii="Calibri" w:hAnsi="Calibri" w:cs="Calibri"/>
                <w:sz w:val="18"/>
                <w:szCs w:val="18"/>
              </w:rPr>
              <w:t xml:space="preserve"> to </w:t>
            </w:r>
            <w:r w:rsidR="001B4B41">
              <w:rPr>
                <w:rFonts w:ascii="Calibri" w:hAnsi="Calibri" w:cs="Calibri"/>
                <w:sz w:val="18"/>
                <w:szCs w:val="18"/>
              </w:rPr>
              <w:t>goal</w:t>
            </w:r>
            <w:r w:rsidR="00871B8E" w:rsidRPr="00871B8E">
              <w:rPr>
                <w:rFonts w:ascii="Calibri" w:hAnsi="Calibri" w:cs="Calibri"/>
                <w:sz w:val="18"/>
                <w:szCs w:val="18"/>
              </w:rPr>
              <w:t xml:space="preserve">s relating to </w:t>
            </w:r>
            <w:r w:rsidR="00871B8E" w:rsidRPr="00871B8E">
              <w:rPr>
                <w:rFonts w:ascii="Calibri" w:hAnsi="Calibri" w:cs="Calibri"/>
                <w:b/>
                <w:bCs/>
                <w:sz w:val="18"/>
                <w:szCs w:val="18"/>
              </w:rPr>
              <w:t>organic carbon</w:t>
            </w:r>
            <w:r w:rsidR="00871B8E" w:rsidRPr="00871B8E">
              <w:rPr>
                <w:rFonts w:ascii="Calibri" w:hAnsi="Calibri" w:cs="Calibri"/>
                <w:sz w:val="18"/>
                <w:szCs w:val="18"/>
              </w:rPr>
              <w:t>, including</w:t>
            </w:r>
            <w:r w:rsidR="00871B8E" w:rsidRPr="00871B8E">
              <w:rPr>
                <w:rFonts w:ascii="Calibri" w:hAnsi="Calibri" w:cs="Calibri"/>
                <w:b/>
                <w:bCs/>
                <w:sz w:val="18"/>
                <w:szCs w:val="18"/>
              </w:rPr>
              <w:t xml:space="preserve"> </w:t>
            </w:r>
            <w:r w:rsidR="00871B8E" w:rsidRPr="00871B8E">
              <w:rPr>
                <w:rFonts w:ascii="Calibri" w:hAnsi="Calibri" w:cs="Calibri"/>
                <w:sz w:val="18"/>
                <w:szCs w:val="18"/>
              </w:rPr>
              <w:t>above</w:t>
            </w:r>
            <w:r w:rsidR="00544E9F">
              <w:rPr>
                <w:rFonts w:ascii="Calibri" w:hAnsi="Calibri" w:cs="Calibri"/>
                <w:sz w:val="18"/>
                <w:szCs w:val="18"/>
              </w:rPr>
              <w:t>-</w:t>
            </w:r>
            <w:r w:rsidR="00871B8E" w:rsidRPr="00871B8E">
              <w:rPr>
                <w:rFonts w:ascii="Calibri" w:hAnsi="Calibri" w:cs="Calibri"/>
                <w:sz w:val="18"/>
                <w:szCs w:val="18"/>
              </w:rPr>
              <w:t xml:space="preserve"> and below</w:t>
            </w:r>
            <w:r w:rsidR="00544E9F">
              <w:rPr>
                <w:rFonts w:ascii="Calibri" w:hAnsi="Calibri" w:cs="Calibri"/>
                <w:sz w:val="18"/>
                <w:szCs w:val="18"/>
              </w:rPr>
              <w:t>-</w:t>
            </w:r>
            <w:r w:rsidR="00871B8E" w:rsidRPr="00871B8E">
              <w:rPr>
                <w:rFonts w:ascii="Calibri" w:hAnsi="Calibri" w:cs="Calibri"/>
                <w:sz w:val="18"/>
                <w:szCs w:val="18"/>
              </w:rPr>
              <w:t xml:space="preserve">ground biomass, within the targeted landscapes over a 20-year timeframe (refer to </w:t>
            </w:r>
            <w:hyperlink w:anchor="_Annex_F:_GEF" w:history="1">
              <w:r w:rsidR="00871B8E" w:rsidRPr="00871B8E">
                <w:rPr>
                  <w:rStyle w:val="Hyperlink"/>
                  <w:rFonts w:ascii="Calibri" w:hAnsi="Calibri" w:cs="Calibri"/>
                  <w:sz w:val="18"/>
                  <w:szCs w:val="18"/>
                </w:rPr>
                <w:t>Annex F</w:t>
              </w:r>
            </w:hyperlink>
            <w:r w:rsidR="00871B8E" w:rsidRPr="00871B8E">
              <w:rPr>
                <w:rFonts w:ascii="Calibri" w:hAnsi="Calibri" w:cs="Calibri"/>
                <w:sz w:val="18"/>
                <w:szCs w:val="18"/>
              </w:rPr>
              <w:t xml:space="preserve">), based on the </w:t>
            </w:r>
            <w:r w:rsidR="006B7132">
              <w:rPr>
                <w:rFonts w:ascii="Calibri" w:hAnsi="Calibri" w:cs="Calibri"/>
                <w:sz w:val="18"/>
                <w:szCs w:val="18"/>
              </w:rPr>
              <w:t>intervention sites</w:t>
            </w:r>
            <w:r w:rsidR="00871B8E" w:rsidRPr="00871B8E">
              <w:rPr>
                <w:rFonts w:ascii="Calibri" w:hAnsi="Calibri" w:cs="Calibri"/>
                <w:sz w:val="18"/>
                <w:szCs w:val="18"/>
              </w:rPr>
              <w:t xml:space="preserve"> to be placed under different regimes of improved management</w:t>
            </w:r>
            <w:r w:rsidR="00304651">
              <w:rPr>
                <w:rFonts w:ascii="Calibri" w:hAnsi="Calibri" w:cs="Calibri"/>
                <w:sz w:val="18"/>
                <w:szCs w:val="18"/>
              </w:rPr>
              <w:t>.</w:t>
            </w:r>
          </w:p>
        </w:tc>
      </w:tr>
      <w:tr w:rsidR="007D1DAE" w14:paraId="442F7BEF" w14:textId="77777777" w:rsidTr="78C544BE">
        <w:trPr>
          <w:cantSplit/>
        </w:trPr>
        <w:tc>
          <w:tcPr>
            <w:tcW w:w="5000" w:type="pct"/>
            <w:gridSpan w:val="2"/>
            <w:shd w:val="clear" w:color="auto" w:fill="FBE4D5" w:themeFill="accent2" w:themeFillTint="33"/>
            <w:tcMar>
              <w:top w:w="28" w:type="dxa"/>
              <w:left w:w="28" w:type="dxa"/>
              <w:bottom w:w="28" w:type="dxa"/>
              <w:right w:w="28" w:type="dxa"/>
            </w:tcMar>
          </w:tcPr>
          <w:p w14:paraId="7CE0D82C" w14:textId="5C65D803" w:rsidR="009310A1" w:rsidRDefault="007D1DAE" w:rsidP="00303996">
            <w:pPr>
              <w:spacing w:line="228" w:lineRule="auto"/>
              <w:rPr>
                <w:rFonts w:ascii="Calibri" w:hAnsi="Calibri" w:cs="Calibri"/>
                <w:sz w:val="14"/>
                <w:szCs w:val="14"/>
              </w:rPr>
            </w:pPr>
            <w:r w:rsidRPr="008C4895">
              <w:rPr>
                <w:rFonts w:ascii="Calibri" w:hAnsi="Calibri" w:cs="Calibri"/>
                <w:sz w:val="14"/>
                <w:szCs w:val="14"/>
              </w:rPr>
              <w:t>*</w:t>
            </w:r>
            <w:r w:rsidRPr="008C4895">
              <w:rPr>
                <w:rFonts w:ascii="Calibri" w:hAnsi="Calibri" w:cs="Calibri"/>
                <w:sz w:val="14"/>
                <w:szCs w:val="14"/>
                <w:u w:val="single"/>
              </w:rPr>
              <w:t xml:space="preserve">SDG 15 promotes </w:t>
            </w:r>
            <w:r w:rsidRPr="008C4895">
              <w:rPr>
                <w:rFonts w:ascii="Calibri" w:hAnsi="Calibri" w:cs="Calibri"/>
                <w:sz w:val="14"/>
                <w:szCs w:val="14"/>
              </w:rPr>
              <w:t>“Life on Land” and SDG target 15.3 states:</w:t>
            </w:r>
            <w:r w:rsidRPr="008C4895">
              <w:rPr>
                <w:rFonts w:ascii="Calibri" w:hAnsi="Calibri" w:cs="Calibri"/>
                <w:i/>
                <w:iCs/>
                <w:sz w:val="14"/>
                <w:szCs w:val="14"/>
              </w:rPr>
              <w:t xml:space="preserve"> ‘By 2030, combat desertification, restore degraded land and soil, including land affected by desertification, drought and floods, and strive to achieve a land degradation - neutral world.’</w:t>
            </w:r>
            <w:r w:rsidRPr="008C4895">
              <w:rPr>
                <w:rFonts w:ascii="Calibri" w:hAnsi="Calibri" w:cs="Calibri"/>
                <w:sz w:val="14"/>
                <w:szCs w:val="14"/>
                <w:u w:val="single"/>
              </w:rPr>
              <w:t>Refer to</w:t>
            </w:r>
            <w:r w:rsidRPr="008C4895">
              <w:rPr>
                <w:rFonts w:ascii="Calibri" w:hAnsi="Calibri" w:cs="Calibri"/>
                <w:sz w:val="14"/>
                <w:szCs w:val="14"/>
              </w:rPr>
              <w:t>: Angola -- Overview of LDN Targets:</w:t>
            </w:r>
          </w:p>
          <w:p w14:paraId="14B74EB9" w14:textId="3C7F5B5D" w:rsidR="007D1DAE" w:rsidRPr="008C4895" w:rsidRDefault="007D1DAE" w:rsidP="009310A1">
            <w:pPr>
              <w:spacing w:line="228" w:lineRule="auto"/>
              <w:jc w:val="right"/>
              <w:rPr>
                <w:rStyle w:val="Hyperlink"/>
                <w:rFonts w:ascii="Calibri" w:hAnsi="Calibri" w:cs="Calibri"/>
                <w:sz w:val="14"/>
                <w:szCs w:val="14"/>
              </w:rPr>
            </w:pPr>
            <w:r w:rsidRPr="008C4895">
              <w:rPr>
                <w:rFonts w:ascii="Calibri" w:hAnsi="Calibri" w:cs="Calibri"/>
                <w:sz w:val="14"/>
                <w:szCs w:val="14"/>
              </w:rPr>
              <w:t xml:space="preserve">  </w:t>
            </w:r>
            <w:hyperlink r:id="rId39" w:history="1">
              <w:r w:rsidRPr="008C4895">
                <w:rPr>
                  <w:rStyle w:val="Hyperlink"/>
                  <w:rFonts w:ascii="Calibri" w:hAnsi="Calibri" w:cs="Calibri"/>
                  <w:sz w:val="14"/>
                  <w:szCs w:val="14"/>
                </w:rPr>
                <w:t>https://knowledge.unccd.int/home/country-information/countries-having-set-voluntary-ldn-targets/angola</w:t>
              </w:r>
            </w:hyperlink>
            <w:r w:rsidRPr="008C4895">
              <w:rPr>
                <w:rStyle w:val="Hyperlink"/>
                <w:rFonts w:ascii="Calibri" w:hAnsi="Calibri" w:cs="Calibri"/>
                <w:sz w:val="14"/>
                <w:szCs w:val="14"/>
              </w:rPr>
              <w:t xml:space="preserve">. </w:t>
            </w:r>
          </w:p>
          <w:p w14:paraId="5753C814" w14:textId="4D6DFF1E" w:rsidR="00A276A0" w:rsidRPr="00871B8E" w:rsidRDefault="007D1DAE" w:rsidP="00303996">
            <w:pPr>
              <w:rPr>
                <w:rFonts w:ascii="Calibri" w:hAnsi="Calibri" w:cs="Calibri"/>
                <w:color w:val="0000FF"/>
                <w:sz w:val="12"/>
                <w:szCs w:val="12"/>
                <w:u w:val="single"/>
              </w:rPr>
            </w:pPr>
            <w:r w:rsidRPr="008C4895">
              <w:rPr>
                <w:rStyle w:val="Hyperlink"/>
                <w:rFonts w:ascii="Calibri" w:hAnsi="Calibri" w:cs="Calibri"/>
                <w:color w:val="auto"/>
                <w:sz w:val="14"/>
                <w:szCs w:val="14"/>
              </w:rPr>
              <w:t xml:space="preserve">**See also this link: </w:t>
            </w:r>
            <w:hyperlink r:id="rId40" w:history="1">
              <w:r w:rsidRPr="008C4895">
                <w:rPr>
                  <w:rStyle w:val="Hyperlink"/>
                  <w:rFonts w:ascii="Calibri" w:hAnsi="Calibri" w:cs="Calibri"/>
                  <w:sz w:val="12"/>
                  <w:szCs w:val="12"/>
                </w:rPr>
                <w:t>https://knowledge.unccd.int/sites/default/files/ldn_targets/2019-11/Republic%20of%20Angola%20LDN%20Country%20Commitments.pdf</w:t>
              </w:r>
            </w:hyperlink>
          </w:p>
        </w:tc>
      </w:tr>
    </w:tbl>
    <w:p w14:paraId="5BF2B46D" w14:textId="77777777" w:rsidR="009170AD" w:rsidRDefault="009170AD" w:rsidP="009170AD">
      <w:pPr>
        <w:pStyle w:val="ParagraphOED"/>
        <w:numPr>
          <w:ilvl w:val="0"/>
          <w:numId w:val="0"/>
        </w:numPr>
        <w:spacing w:after="160"/>
      </w:pPr>
    </w:p>
    <w:p w14:paraId="775B7364" w14:textId="77777777" w:rsidR="009170AD" w:rsidRDefault="009170AD">
      <w:pPr>
        <w:rPr>
          <w:rFonts w:ascii="Calibri" w:eastAsia="Calibri" w:hAnsi="Calibri" w:cs="Calibri"/>
          <w:sz w:val="21"/>
          <w:szCs w:val="20"/>
          <w:shd w:val="clear" w:color="auto" w:fill="FFFFFF"/>
          <w:lang w:val="en-US" w:eastAsia="en-US"/>
        </w:rPr>
      </w:pPr>
      <w:r>
        <w:br w:type="page"/>
      </w:r>
    </w:p>
    <w:p w14:paraId="08AE8555" w14:textId="1EE0A42E" w:rsidR="009170AD" w:rsidRDefault="009170AD" w:rsidP="009170AD">
      <w:pPr>
        <w:pStyle w:val="ParagraphOED"/>
        <w:numPr>
          <w:ilvl w:val="0"/>
          <w:numId w:val="0"/>
        </w:numPr>
        <w:spacing w:after="160"/>
      </w:pPr>
      <w:r>
        <w:lastRenderedPageBreak/>
        <w:t>that is well aligned with UNCCD goals and LDN principles; and</w:t>
      </w:r>
      <w:r w:rsidRPr="00AC3487">
        <w:t xml:space="preserve"> </w:t>
      </w:r>
      <w:r>
        <w:t>its framework is seen as an emerging mechanism for implementing the Convention in the country. Subsequent tangible progress includes</w:t>
      </w:r>
      <w:r w:rsidRPr="00254E68">
        <w:t xml:space="preserve"> a national GIS</w:t>
      </w:r>
      <w:r>
        <w:t>-</w:t>
      </w:r>
      <w:r w:rsidRPr="00254E68">
        <w:t xml:space="preserve">based assessment of LDN </w:t>
      </w:r>
      <w:r>
        <w:t xml:space="preserve">in </w:t>
      </w:r>
      <w:r w:rsidRPr="00254E68">
        <w:t xml:space="preserve">2019, with FAO’s </w:t>
      </w:r>
      <w:r>
        <w:t>support</w:t>
      </w:r>
      <w:r w:rsidRPr="00254E68">
        <w:t xml:space="preserve"> using global data</w:t>
      </w:r>
      <w:r>
        <w:t>, from which a</w:t>
      </w:r>
      <w:r w:rsidRPr="00254E68">
        <w:t xml:space="preserve"> national map was generated show</w:t>
      </w:r>
      <w:r>
        <w:t xml:space="preserve">ing the distribution of </w:t>
      </w:r>
      <w:r w:rsidRPr="00254E68">
        <w:t>land degradation hot</w:t>
      </w:r>
      <w:r>
        <w:t xml:space="preserve">, stable and improved </w:t>
      </w:r>
      <w:r w:rsidRPr="00254E68">
        <w:t>spots</w:t>
      </w:r>
      <w:r>
        <w:t xml:space="preserve"> (</w:t>
      </w:r>
      <w:r w:rsidRPr="00233CFA">
        <w:rPr>
          <w:highlight w:val="lightGray"/>
          <w:u w:val="single"/>
        </w:rPr>
        <w:fldChar w:fldCharType="begin"/>
      </w:r>
      <w:r w:rsidRPr="00233CFA">
        <w:rPr>
          <w:highlight w:val="lightGray"/>
          <w:u w:val="single"/>
        </w:rPr>
        <w:instrText xml:space="preserve"> REF _Ref45643899 \h  \* MERGEFORMAT </w:instrText>
      </w:r>
      <w:r w:rsidRPr="00233CFA">
        <w:rPr>
          <w:highlight w:val="lightGray"/>
          <w:u w:val="single"/>
        </w:rPr>
      </w:r>
      <w:r w:rsidRPr="00233CFA">
        <w:rPr>
          <w:highlight w:val="lightGray"/>
          <w:u w:val="single"/>
        </w:rPr>
        <w:fldChar w:fldCharType="separate"/>
      </w:r>
      <w:r w:rsidR="00A64193" w:rsidRPr="00A64193">
        <w:rPr>
          <w:highlight w:val="lightGray"/>
          <w:u w:val="single"/>
        </w:rPr>
        <w:t xml:space="preserve">Box </w:t>
      </w:r>
      <w:r w:rsidR="00A64193" w:rsidRPr="00A64193">
        <w:rPr>
          <w:noProof/>
          <w:highlight w:val="lightGray"/>
          <w:u w:val="single"/>
        </w:rPr>
        <w:t>2</w:t>
      </w:r>
      <w:r w:rsidRPr="00233CFA">
        <w:rPr>
          <w:highlight w:val="lightGray"/>
          <w:u w:val="single"/>
        </w:rPr>
        <w:fldChar w:fldCharType="end"/>
      </w:r>
      <w:r>
        <w:t>).</w:t>
      </w:r>
    </w:p>
    <w:p w14:paraId="3891F935" w14:textId="50FAC8BA" w:rsidR="00EC5035" w:rsidRPr="00CE1EA7" w:rsidRDefault="00EC5035" w:rsidP="001667C6">
      <w:pPr>
        <w:pStyle w:val="ParagraphOED"/>
        <w:numPr>
          <w:ilvl w:val="0"/>
          <w:numId w:val="102"/>
        </w:numPr>
        <w:spacing w:after="160"/>
      </w:pPr>
      <w:r>
        <w:t>PANCOD is as much convention-compliance mechanism for Angola, as it is an instrument for implementing national policies and actions aimed at controlling and combatting land degradation and desertification, as well as achieve a social impact on the importance of SLM. It is aimed at the Economic and Social Development Programs elaborated and implemented annually or bi-annually by government. Actions envisaged in the Program to combat desertification are multi-sectoral and delivered at different scales (local, municipal, provincial, regional and national).</w:t>
      </w:r>
    </w:p>
    <w:p w14:paraId="1FB84AFD" w14:textId="77AB3943" w:rsidR="00EC5035" w:rsidRDefault="00EC5035" w:rsidP="001667C6">
      <w:pPr>
        <w:pStyle w:val="ParagraphOED"/>
        <w:numPr>
          <w:ilvl w:val="0"/>
          <w:numId w:val="102"/>
        </w:numPr>
        <w:spacing w:after="160"/>
      </w:pPr>
      <w:r>
        <w:t xml:space="preserve">An important short-coming highlighted in the PANCOD concerns the lack of key data for assessing land use and levels of degradation across landscapes with sufficient accuracy. This is important for the project, which is designed around the LDN principles and due to operationalize a model for applying the LND response hierarchy to the management of landscapes. </w:t>
      </w:r>
    </w:p>
    <w:p w14:paraId="0951C2FF" w14:textId="70C3FEFC" w:rsidR="00FC59EA" w:rsidRPr="00254E68" w:rsidRDefault="00FC59EA" w:rsidP="001667C6">
      <w:pPr>
        <w:pStyle w:val="ParagraphOED"/>
        <w:numPr>
          <w:ilvl w:val="0"/>
          <w:numId w:val="102"/>
        </w:numPr>
        <w:spacing w:after="160"/>
      </w:pPr>
      <w:r>
        <w:t xml:space="preserve">In terms of sub-regional frameworks, three aspects are worth noting: (i) Angola is in the process of aligning its LDN-related efforts with other relevant frameworks, including the recent SADC-orchestrated </w:t>
      </w:r>
      <w:r w:rsidRPr="1E65A5F7">
        <w:rPr>
          <w:b/>
          <w:bCs/>
        </w:rPr>
        <w:t>Great Green Wall Initiative of Southern Africa (GGWI-S)</w:t>
      </w:r>
      <w:r>
        <w:t xml:space="preserve">; and (ii) Angola’s participation in the Sub-Regional Action Program on Drought and Desertification (SRAP), another SADC initiative and also a lasting policy support platform maintained by IUCN since the early 2000s. </w:t>
      </w:r>
    </w:p>
    <w:p w14:paraId="0A518241" w14:textId="512A3C69" w:rsidR="00705E0F" w:rsidRDefault="009563B4" w:rsidP="001667C6">
      <w:pPr>
        <w:pStyle w:val="ParagraphOED"/>
        <w:numPr>
          <w:ilvl w:val="0"/>
          <w:numId w:val="102"/>
        </w:numPr>
        <w:spacing w:after="160"/>
      </w:pPr>
      <w:r>
        <w:t xml:space="preserve">The national LDN target, </w:t>
      </w:r>
      <w:r w:rsidR="00C42838">
        <w:t>due to</w:t>
      </w:r>
      <w:r>
        <w:t xml:space="preserve"> be achieved by 2030, </w:t>
      </w:r>
      <w:r w:rsidR="009535D3">
        <w:t xml:space="preserve">is benchmarked on </w:t>
      </w:r>
      <w:r>
        <w:t xml:space="preserve">the status of the three LDN composite indicators in the year 2015. More specifically, </w:t>
      </w:r>
      <w:r w:rsidR="009535D3">
        <w:t>Angola’s</w:t>
      </w:r>
      <w:r>
        <w:t xml:space="preserve"> LDN </w:t>
      </w:r>
      <w:r w:rsidR="00E727E5">
        <w:t>agenda is focused</w:t>
      </w:r>
      <w:r w:rsidR="00BD493B">
        <w:t xml:space="preserve"> on</w:t>
      </w:r>
      <w:r>
        <w:t xml:space="preserve"> significantly reduc</w:t>
      </w:r>
      <w:r w:rsidR="00BD493B">
        <w:t>ing</w:t>
      </w:r>
      <w:r>
        <w:t xml:space="preserve"> the degradation of farmland and ecosystems, alongside a significant reduction in the deforestation rate and GHG emissions from the AFOLU</w:t>
      </w:r>
      <w:r w:rsidR="00303996">
        <w:t xml:space="preserve"> sector (Agriculture, Forestry, and Other Land Use)</w:t>
      </w:r>
      <w:r>
        <w:t xml:space="preserve">. Angola’s current LDN agenda and related frameworks </w:t>
      </w:r>
      <w:r w:rsidR="00661401">
        <w:t xml:space="preserve">have </w:t>
      </w:r>
      <w:r>
        <w:t xml:space="preserve">created the need for coordinating relevant sectoral policies in the realms of agriculture, forest management, </w:t>
      </w:r>
      <w:r w:rsidR="001B248C">
        <w:t>land-use plan</w:t>
      </w:r>
      <w:r>
        <w:t xml:space="preserve">ning and environmental management, and also for raising the bar </w:t>
      </w:r>
      <w:r w:rsidR="00661401">
        <w:t>for</w:t>
      </w:r>
      <w:r>
        <w:t xml:space="preserve"> national standards of </w:t>
      </w:r>
      <w:r w:rsidR="001B248C">
        <w:t>land-use plan</w:t>
      </w:r>
      <w:r>
        <w:t>ning and management. Landscapes managed for LDN require careful and inclusive</w:t>
      </w:r>
      <w:r w:rsidR="00661401">
        <w:t xml:space="preserve"> muli-sectoral</w:t>
      </w:r>
      <w:r>
        <w:t xml:space="preserve"> planning, which needs to be prepared and implemented </w:t>
      </w:r>
      <w:r w:rsidR="00610292">
        <w:t>through</w:t>
      </w:r>
      <w:r>
        <w:t xml:space="preserve"> a multi-stakeholder process</w:t>
      </w:r>
      <w:r w:rsidR="00661401">
        <w:t xml:space="preserve"> in order to secure consensus and ownership</w:t>
      </w:r>
      <w:r w:rsidR="0098172D">
        <w:t xml:space="preserve">. </w:t>
      </w:r>
      <w:r w:rsidR="0098172D" w:rsidRPr="1E65A5F7">
        <w:rPr>
          <w:b/>
          <w:bCs/>
        </w:rPr>
        <w:t>A</w:t>
      </w:r>
      <w:r w:rsidR="002A26C6" w:rsidRPr="1E65A5F7">
        <w:rPr>
          <w:b/>
          <w:bCs/>
        </w:rPr>
        <w:t xml:space="preserve">ll of </w:t>
      </w:r>
      <w:r w:rsidR="0098172D" w:rsidRPr="1E65A5F7">
        <w:rPr>
          <w:b/>
          <w:bCs/>
        </w:rPr>
        <w:t xml:space="preserve">this agenda is embedded in </w:t>
      </w:r>
      <w:r w:rsidR="002A26C6" w:rsidRPr="1E65A5F7">
        <w:rPr>
          <w:b/>
          <w:bCs/>
        </w:rPr>
        <w:t>the backbone to the design of this GEF-7 projec</w:t>
      </w:r>
      <w:r w:rsidR="002A26C6">
        <w:t>t.</w:t>
      </w:r>
      <w:r>
        <w:t xml:space="preserve"> </w:t>
      </w:r>
    </w:p>
    <w:p w14:paraId="68580F78" w14:textId="595714EA" w:rsidR="00FC59EA" w:rsidRDefault="00FC59EA" w:rsidP="001667C6">
      <w:pPr>
        <w:pStyle w:val="ParagraphOED"/>
        <w:numPr>
          <w:ilvl w:val="0"/>
          <w:numId w:val="102"/>
        </w:numPr>
        <w:spacing w:after="160"/>
      </w:pPr>
      <w:r w:rsidRPr="00254E68">
        <w:t xml:space="preserve">Contributions to the </w:t>
      </w:r>
      <w:r w:rsidRPr="00F10208">
        <w:rPr>
          <w:b/>
          <w:bCs/>
        </w:rPr>
        <w:t xml:space="preserve">SDGs </w:t>
      </w:r>
      <w:r w:rsidRPr="00BE3DDA">
        <w:t>and to</w:t>
      </w:r>
      <w:r w:rsidRPr="00F10208">
        <w:rPr>
          <w:b/>
          <w:bCs/>
        </w:rPr>
        <w:t xml:space="preserve"> Vision 2030</w:t>
      </w:r>
      <w:r w:rsidRPr="00254E68">
        <w:t xml:space="preserve"> are equally important and  taken into account in the project’s policy alignment section.</w:t>
      </w:r>
      <w:r>
        <w:rPr>
          <w:rStyle w:val="FootnoteReference"/>
        </w:rPr>
        <w:footnoteReference w:id="27"/>
      </w:r>
      <w:r w:rsidRPr="00254E68">
        <w:t xml:space="preserve"> </w:t>
      </w:r>
      <w:r>
        <w:t>Similarly</w:t>
      </w:r>
      <w:r w:rsidRPr="00254E68">
        <w:t xml:space="preserve">, </w:t>
      </w:r>
      <w:r w:rsidRPr="00F10208">
        <w:rPr>
          <w:b/>
          <w:bCs/>
        </w:rPr>
        <w:t>c</w:t>
      </w:r>
      <w:r w:rsidRPr="6451F561">
        <w:rPr>
          <w:b/>
          <w:bCs/>
        </w:rPr>
        <w:t>limatic vulnerability</w:t>
      </w:r>
      <w:r w:rsidRPr="00254E68">
        <w:t xml:space="preserve"> is</w:t>
      </w:r>
      <w:r>
        <w:t xml:space="preserve"> </w:t>
      </w:r>
      <w:r w:rsidRPr="00254E68">
        <w:t>consider</w:t>
      </w:r>
      <w:r>
        <w:t>ed</w:t>
      </w:r>
      <w:r w:rsidRPr="00254E68">
        <w:t xml:space="preserve"> in the project design.</w:t>
      </w:r>
    </w:p>
    <w:p w14:paraId="57083F7E" w14:textId="3CA49F27" w:rsidR="00082B04" w:rsidRPr="0073427F" w:rsidRDefault="00082B04" w:rsidP="001667C6">
      <w:pPr>
        <w:pStyle w:val="ParagraphOED"/>
        <w:numPr>
          <w:ilvl w:val="0"/>
          <w:numId w:val="102"/>
        </w:numPr>
        <w:spacing w:after="160"/>
        <w:rPr>
          <w:rFonts w:cs="Times New Roman"/>
          <w:sz w:val="24"/>
          <w:szCs w:val="24"/>
        </w:rPr>
      </w:pPr>
      <w:r w:rsidRPr="0073427F">
        <w:rPr>
          <w:b/>
          <w:bCs/>
        </w:rPr>
        <w:t xml:space="preserve">Provincial-Level Spatial Management Plans (PPOTs) </w:t>
      </w:r>
      <w:r w:rsidRPr="00BC278C">
        <w:t>and</w:t>
      </w:r>
      <w:r w:rsidRPr="0073427F">
        <w:rPr>
          <w:b/>
          <w:bCs/>
        </w:rPr>
        <w:t xml:space="preserve"> Municipal Master Plans (PDMs)</w:t>
      </w:r>
      <w:r w:rsidR="00D749B7">
        <w:t xml:space="preserve"> are</w:t>
      </w:r>
      <w:r w:rsidRPr="007052A2">
        <w:t xml:space="preserve"> </w:t>
      </w:r>
      <w:r>
        <w:t xml:space="preserve">multi-sectoral planning processes at </w:t>
      </w:r>
      <w:r w:rsidRPr="0073427F">
        <w:t>provincial and municipal administrative levels</w:t>
      </w:r>
      <w:r>
        <w:t xml:space="preserve">, </w:t>
      </w:r>
      <w:r w:rsidRPr="0073427F">
        <w:t>respectively</w:t>
      </w:r>
      <w:r w:rsidR="00E97100">
        <w:t xml:space="preserve"> that have considerable </w:t>
      </w:r>
      <w:r w:rsidRPr="0073427F">
        <w:t>influence on land-use decision-making on the ground</w:t>
      </w:r>
      <w:r w:rsidR="00D749B7">
        <w:t xml:space="preserve">. Further details on spatial and land-use </w:t>
      </w:r>
      <w:r w:rsidRPr="0073427F">
        <w:t xml:space="preserve"> </w:t>
      </w:r>
      <w:r w:rsidR="00D749B7">
        <w:t xml:space="preserve">policy at municipal and local levels is provided in </w:t>
      </w:r>
      <w:r w:rsidRPr="00D749B7">
        <w:rPr>
          <w:highlight w:val="lightGray"/>
        </w:rPr>
        <w:fldChar w:fldCharType="begin"/>
      </w:r>
      <w:r w:rsidRPr="00D749B7">
        <w:rPr>
          <w:highlight w:val="lightGray"/>
        </w:rPr>
        <w:instrText xml:space="preserve"> REF _Ref45744403 \h  \* MERGEFORMAT </w:instrText>
      </w:r>
      <w:r w:rsidRPr="00D749B7">
        <w:rPr>
          <w:highlight w:val="lightGray"/>
        </w:rPr>
      </w:r>
      <w:r w:rsidRPr="00D749B7">
        <w:rPr>
          <w:highlight w:val="lightGray"/>
        </w:rPr>
        <w:fldChar w:fldCharType="separate"/>
      </w:r>
      <w:r w:rsidR="00A64193" w:rsidRPr="00A64193">
        <w:rPr>
          <w:highlight w:val="lightGray"/>
        </w:rPr>
        <w:t xml:space="preserve">Box </w:t>
      </w:r>
      <w:r w:rsidR="00A64193" w:rsidRPr="00A64193">
        <w:rPr>
          <w:noProof/>
          <w:highlight w:val="lightGray"/>
        </w:rPr>
        <w:t>3</w:t>
      </w:r>
      <w:r w:rsidRPr="00D749B7">
        <w:rPr>
          <w:highlight w:val="lightGray"/>
        </w:rPr>
        <w:fldChar w:fldCharType="end"/>
      </w:r>
      <w:r w:rsidRPr="0073427F">
        <w:t xml:space="preserve">). Various sectoral policies and regulations have a bearing on the </w:t>
      </w:r>
      <w:r w:rsidRPr="00E97100">
        <w:t>LDN process and frameworks</w:t>
      </w:r>
      <w:r>
        <w:t xml:space="preserve"> </w:t>
      </w:r>
      <w:r w:rsidRPr="0073427F">
        <w:t>in Angola</w:t>
      </w:r>
      <w:r w:rsidR="00E97100">
        <w:t>:</w:t>
      </w:r>
      <w:r w:rsidRPr="0073427F">
        <w:t xml:space="preserve"> </w:t>
      </w:r>
      <w:r w:rsidR="00E97100">
        <w:t>t</w:t>
      </w:r>
      <w:r>
        <w:t xml:space="preserve">he relevant policy and legislation </w:t>
      </w:r>
      <w:r w:rsidRPr="0073427F">
        <w:t>include</w:t>
      </w:r>
      <w:r>
        <w:t>s</w:t>
      </w:r>
      <w:r w:rsidRPr="0073427F">
        <w:t xml:space="preserve"> </w:t>
      </w:r>
      <w:r w:rsidRPr="1E65A5F7">
        <w:rPr>
          <w:i/>
          <w:iCs/>
        </w:rPr>
        <w:t>inter alia</w:t>
      </w:r>
      <w:r w:rsidRPr="0073427F">
        <w:t xml:space="preserve"> the country’s Land Law (09/04), Territorial Planning Law (03/04), Agrarian Development Law (15/05), Environmental Law (5/98) and </w:t>
      </w:r>
      <w:r w:rsidR="00E97100">
        <w:t xml:space="preserve">the </w:t>
      </w:r>
      <w:r w:rsidRPr="0073427F">
        <w:t>Law on Forest (6/17)</w:t>
      </w:r>
      <w:r>
        <w:t xml:space="preserve">. </w:t>
      </w:r>
      <w:r w:rsidRPr="0073427F">
        <w:t xml:space="preserve"> </w:t>
      </w:r>
    </w:p>
    <w:p w14:paraId="647018F2" w14:textId="3B495CBA" w:rsidR="00BD7443" w:rsidRPr="00394914" w:rsidRDefault="00394914" w:rsidP="001667C6">
      <w:pPr>
        <w:pStyle w:val="ParagraphOED"/>
        <w:numPr>
          <w:ilvl w:val="0"/>
          <w:numId w:val="102"/>
        </w:numPr>
        <w:spacing w:after="160"/>
        <w:rPr>
          <w:rFonts w:cs="Times New Roman"/>
        </w:rPr>
      </w:pPr>
      <w:r>
        <w:t xml:space="preserve">Land use-/spatially- based plans in view of disseminating SLM/SMF techniques and approaches in rural Angola through this project would likely to fit under the POR and/or POA category, but considering their practicality in implementation as a hybrid plan for a geographical area, whose limits are those of a sub-basin. Currently, the GoA has a backlog of PDMs to prepare. Most of those prepared to date pertain to urban areas. Many of the PORs have so far failed to materialize as a </w:t>
      </w:r>
      <w:r>
        <w:lastRenderedPageBreak/>
        <w:t>functional tool for spatial planning in rural areas. Currently, none of the plans prepared under the LOTU have been made accessible online.</w:t>
      </w:r>
    </w:p>
    <w:p w14:paraId="0BE26EFE" w14:textId="70FD8DC7" w:rsidR="009563B4" w:rsidRPr="00B00EB1" w:rsidRDefault="009563B4" w:rsidP="00B00EB1">
      <w:pPr>
        <w:pStyle w:val="Caption"/>
        <w:spacing w:before="160" w:after="80"/>
        <w:rPr>
          <w:rFonts w:ascii="Calibri" w:hAnsi="Calibri"/>
        </w:rPr>
      </w:pPr>
      <w:bookmarkStart w:id="45" w:name="_Ref45744403"/>
      <w:bookmarkStart w:id="46" w:name="_Toc45712119"/>
      <w:bookmarkStart w:id="47" w:name="_Toc58398657"/>
      <w:r w:rsidRPr="00B00EB1">
        <w:rPr>
          <w:rFonts w:ascii="Calibri" w:hAnsi="Calibri"/>
        </w:rPr>
        <w:t xml:space="preserve">Box </w:t>
      </w:r>
      <w:r w:rsidRPr="00B00EB1">
        <w:rPr>
          <w:rFonts w:ascii="Calibri" w:hAnsi="Calibri"/>
        </w:rPr>
        <w:fldChar w:fldCharType="begin"/>
      </w:r>
      <w:r w:rsidRPr="00B00EB1">
        <w:rPr>
          <w:rFonts w:ascii="Calibri" w:hAnsi="Calibri"/>
        </w:rPr>
        <w:instrText>SEQ Box \* ARABIC</w:instrText>
      </w:r>
      <w:r w:rsidRPr="00B00EB1">
        <w:rPr>
          <w:rFonts w:ascii="Calibri" w:hAnsi="Calibri"/>
        </w:rPr>
        <w:fldChar w:fldCharType="separate"/>
      </w:r>
      <w:r w:rsidR="00A64193">
        <w:rPr>
          <w:rFonts w:ascii="Calibri" w:hAnsi="Calibri"/>
          <w:noProof/>
        </w:rPr>
        <w:t>3</w:t>
      </w:r>
      <w:r w:rsidRPr="00B00EB1">
        <w:rPr>
          <w:rFonts w:ascii="Calibri" w:hAnsi="Calibri"/>
        </w:rPr>
        <w:fldChar w:fldCharType="end"/>
      </w:r>
      <w:bookmarkEnd w:id="45"/>
      <w:r w:rsidRPr="00B00EB1">
        <w:rPr>
          <w:rFonts w:ascii="Calibri" w:hAnsi="Calibri"/>
        </w:rPr>
        <w:t>. Frameworks for municipal and local level spatial and land-use planning</w:t>
      </w:r>
      <w:bookmarkEnd w:id="46"/>
      <w:bookmarkEnd w:id="47"/>
    </w:p>
    <w:tbl>
      <w:tblPr>
        <w:tblW w:w="9072" w:type="dxa"/>
        <w:tblInd w:w="-5" w:type="dxa"/>
        <w:tblLook w:val="04A0" w:firstRow="1" w:lastRow="0" w:firstColumn="1" w:lastColumn="0" w:noHBand="0" w:noVBand="1"/>
      </w:tblPr>
      <w:tblGrid>
        <w:gridCol w:w="9072"/>
      </w:tblGrid>
      <w:tr w:rsidR="003228B0" w:rsidRPr="005022F4" w14:paraId="5BF6FC6B" w14:textId="77777777" w:rsidTr="00394914">
        <w:tc>
          <w:tcPr>
            <w:tcW w:w="9072" w:type="dxa"/>
            <w:tcBorders>
              <w:top w:val="single" w:sz="4" w:space="0" w:color="auto"/>
              <w:left w:val="single" w:sz="4" w:space="0" w:color="auto"/>
              <w:bottom w:val="single" w:sz="4" w:space="0" w:color="auto"/>
              <w:right w:val="single" w:sz="4" w:space="0" w:color="auto"/>
            </w:tcBorders>
            <w:shd w:val="clear" w:color="auto" w:fill="auto"/>
          </w:tcPr>
          <w:p w14:paraId="00E7E98A" w14:textId="77777777" w:rsidR="00394914" w:rsidRPr="005E5BDB" w:rsidRDefault="00394914" w:rsidP="00451FB4">
            <w:pPr>
              <w:rPr>
                <w:rFonts w:ascii="Calibri Light" w:hAnsi="Calibri Light" w:cs="Calibri Light"/>
                <w:sz w:val="20"/>
                <w:szCs w:val="20"/>
                <w:lang w:val="en-US"/>
              </w:rPr>
            </w:pPr>
            <w:r w:rsidRPr="005E5BDB">
              <w:rPr>
                <w:rFonts w:ascii="Calibri Light" w:hAnsi="Calibri Light" w:cs="Calibri Light"/>
                <w:b/>
                <w:bCs/>
                <w:sz w:val="20"/>
                <w:szCs w:val="20"/>
                <w:lang w:val="en-US"/>
              </w:rPr>
              <w:t>According to Spatial Planning Law LOTU (3/04) Articles #31, #32 and #33</w:t>
            </w:r>
            <w:r w:rsidRPr="005E5BDB">
              <w:rPr>
                <w:rFonts w:ascii="Calibri Light" w:hAnsi="Calibri Light" w:cs="Calibri Light"/>
                <w:sz w:val="20"/>
                <w:szCs w:val="20"/>
                <w:lang w:val="en-US"/>
              </w:rPr>
              <w:t>, there are different spatially-based planning frameworks at sub-national level, as shown in the diagram below and explained in the text.</w:t>
            </w:r>
          </w:p>
        </w:tc>
      </w:tr>
    </w:tbl>
    <w:tbl>
      <w:tblPr>
        <w:tblStyle w:val="TableGrid"/>
        <w:tblW w:w="4994" w:type="pct"/>
        <w:tblLook w:val="04A0" w:firstRow="1" w:lastRow="0" w:firstColumn="1" w:lastColumn="0" w:noHBand="0" w:noVBand="1"/>
      </w:tblPr>
      <w:tblGrid>
        <w:gridCol w:w="4502"/>
        <w:gridCol w:w="4503"/>
      </w:tblGrid>
      <w:tr w:rsidR="00394914" w14:paraId="0638072D" w14:textId="77777777" w:rsidTr="78C544BE">
        <w:trPr>
          <w:trHeight w:val="3139"/>
        </w:trPr>
        <w:tc>
          <w:tcPr>
            <w:tcW w:w="2500" w:type="pct"/>
            <w:vMerge w:val="restart"/>
            <w:tcMar>
              <w:top w:w="28" w:type="dxa"/>
              <w:left w:w="57" w:type="dxa"/>
              <w:bottom w:w="28" w:type="dxa"/>
              <w:right w:w="28" w:type="dxa"/>
            </w:tcMar>
          </w:tcPr>
          <w:p w14:paraId="2D3E71EF" w14:textId="77777777" w:rsidR="00394914" w:rsidRPr="00FC0B06" w:rsidRDefault="00394914" w:rsidP="001667C6">
            <w:pPr>
              <w:pStyle w:val="ListParagraph"/>
              <w:numPr>
                <w:ilvl w:val="0"/>
                <w:numId w:val="52"/>
              </w:numPr>
              <w:autoSpaceDE/>
              <w:autoSpaceDN/>
              <w:adjustRightInd/>
              <w:spacing w:after="80"/>
              <w:ind w:left="221" w:hanging="221"/>
              <w:contextualSpacing w:val="0"/>
              <w:jc w:val="left"/>
              <w:rPr>
                <w:rFonts w:cstheme="minorHAnsi"/>
                <w:sz w:val="20"/>
                <w:szCs w:val="20"/>
              </w:rPr>
            </w:pPr>
            <w:r w:rsidRPr="00FC0B06">
              <w:rPr>
                <w:rFonts w:cstheme="minorHAnsi"/>
                <w:b/>
                <w:sz w:val="20"/>
                <w:szCs w:val="20"/>
              </w:rPr>
              <w:t>Municipal Master Plan</w:t>
            </w:r>
            <w:r w:rsidRPr="00A6426B">
              <w:rPr>
                <w:rFonts w:cstheme="minorHAnsi"/>
                <w:sz w:val="20"/>
                <w:szCs w:val="20"/>
              </w:rPr>
              <w:t xml:space="preserve"> – </w:t>
            </w:r>
            <w:r w:rsidRPr="00FC0B06">
              <w:rPr>
                <w:rFonts w:cstheme="minorHAnsi"/>
                <w:sz w:val="20"/>
                <w:szCs w:val="20"/>
              </w:rPr>
              <w:t>PDM (</w:t>
            </w:r>
            <w:r w:rsidRPr="00FC0B06">
              <w:rPr>
                <w:rFonts w:cstheme="minorHAnsi"/>
                <w:i/>
                <w:sz w:val="20"/>
                <w:szCs w:val="20"/>
              </w:rPr>
              <w:t>Plano Director Municipal</w:t>
            </w:r>
            <w:r w:rsidRPr="00FC0B06">
              <w:rPr>
                <w:rFonts w:cstheme="minorHAnsi"/>
                <w:sz w:val="20"/>
                <w:szCs w:val="20"/>
              </w:rPr>
              <w:t>): covers the entire municipality with the dual function of regulating both urban and rural areas. PDMs provide generic strategic guidelines intended to eradicate territorial asymmetries between the urban and rural area, taking into account national and regional options that impact on the municipal area.</w:t>
            </w:r>
          </w:p>
          <w:p w14:paraId="4FA5B3B1" w14:textId="77777777" w:rsidR="00394914" w:rsidRPr="004308EF" w:rsidRDefault="00394914" w:rsidP="001667C6">
            <w:pPr>
              <w:pStyle w:val="ListParagraph"/>
              <w:numPr>
                <w:ilvl w:val="0"/>
                <w:numId w:val="100"/>
              </w:numPr>
              <w:spacing w:after="80"/>
              <w:ind w:left="221" w:hanging="221"/>
              <w:contextualSpacing w:val="0"/>
            </w:pPr>
            <w:r w:rsidRPr="004308EF">
              <w:rPr>
                <w:rFonts w:cstheme="minorHAnsi"/>
                <w:b/>
                <w:sz w:val="20"/>
                <w:szCs w:val="20"/>
              </w:rPr>
              <w:t>Environmental Land-Use Plan</w:t>
            </w:r>
            <w:r w:rsidRPr="004308EF">
              <w:rPr>
                <w:rFonts w:cstheme="minorHAnsi"/>
                <w:sz w:val="20"/>
                <w:szCs w:val="20"/>
              </w:rPr>
              <w:t xml:space="preserve"> – POA (</w:t>
            </w:r>
            <w:r w:rsidRPr="004308EF">
              <w:rPr>
                <w:rFonts w:cstheme="minorHAnsi"/>
                <w:i/>
                <w:sz w:val="20"/>
                <w:szCs w:val="20"/>
              </w:rPr>
              <w:t>Plano de Ordenamento Ambiental</w:t>
            </w:r>
            <w:r w:rsidRPr="004308EF">
              <w:rPr>
                <w:rFonts w:cstheme="minorHAnsi"/>
                <w:sz w:val="20"/>
                <w:szCs w:val="20"/>
              </w:rPr>
              <w:t>) is a regulatory plan that defines land use rules for the protection of natural and environmental assets, as well as the rules governing land use in natural reserves.</w:t>
            </w:r>
          </w:p>
          <w:p w14:paraId="22EB6D49" w14:textId="77777777" w:rsidR="00394914" w:rsidRPr="004308EF" w:rsidRDefault="00394914" w:rsidP="001667C6">
            <w:pPr>
              <w:pStyle w:val="ListParagraph"/>
              <w:numPr>
                <w:ilvl w:val="0"/>
                <w:numId w:val="52"/>
              </w:numPr>
              <w:autoSpaceDE/>
              <w:autoSpaceDN/>
              <w:adjustRightInd/>
              <w:spacing w:after="0"/>
              <w:ind w:left="221" w:hanging="221"/>
              <w:contextualSpacing w:val="0"/>
              <w:jc w:val="left"/>
              <w:rPr>
                <w:sz w:val="21"/>
                <w:szCs w:val="21"/>
              </w:rPr>
            </w:pPr>
            <w:r w:rsidRPr="004308EF">
              <w:rPr>
                <w:rFonts w:cstheme="minorHAnsi"/>
                <w:b/>
                <w:sz w:val="20"/>
                <w:szCs w:val="20"/>
              </w:rPr>
              <w:t>Rural Land-Use Plan</w:t>
            </w:r>
            <w:r w:rsidRPr="004308EF">
              <w:rPr>
                <w:rFonts w:cstheme="minorHAnsi"/>
                <w:sz w:val="20"/>
                <w:szCs w:val="20"/>
              </w:rPr>
              <w:t xml:space="preserve"> – POR (</w:t>
            </w:r>
            <w:r w:rsidRPr="004308EF">
              <w:rPr>
                <w:rFonts w:cstheme="minorHAnsi"/>
                <w:i/>
                <w:sz w:val="20"/>
                <w:szCs w:val="20"/>
              </w:rPr>
              <w:t>Plano de Ordenamento Rural</w:t>
            </w:r>
            <w:r w:rsidRPr="004308EF">
              <w:rPr>
                <w:rFonts w:cstheme="minorHAnsi"/>
                <w:sz w:val="20"/>
                <w:szCs w:val="20"/>
              </w:rPr>
              <w:t>) is also a regulatory plan that establishes the rules of occupation and use of rural areas in a municipality. Models for the preservation and development of spatial, natural and human organization are set out, namely: potential areas for mineral exploration, agricultural land according to their suitability or types of crop, as well as other economic, natural, landscape and social aspects of rural spatial planning  in order to provide better living conditions for citizens.</w:t>
            </w:r>
          </w:p>
        </w:tc>
        <w:tc>
          <w:tcPr>
            <w:tcW w:w="2500" w:type="pct"/>
            <w:tcBorders>
              <w:bottom w:val="single" w:sz="4" w:space="0" w:color="auto"/>
            </w:tcBorders>
            <w:tcMar>
              <w:top w:w="28" w:type="dxa"/>
              <w:left w:w="57" w:type="dxa"/>
              <w:bottom w:w="28" w:type="dxa"/>
              <w:right w:w="28" w:type="dxa"/>
            </w:tcMar>
          </w:tcPr>
          <w:p w14:paraId="3CCC5725" w14:textId="77777777" w:rsidR="00394914" w:rsidRDefault="59856FBF" w:rsidP="00451FB4">
            <w:pPr>
              <w:rPr>
                <w:rFonts w:ascii="Calibri" w:hAnsi="Calibri"/>
                <w:sz w:val="21"/>
                <w:szCs w:val="21"/>
              </w:rPr>
            </w:pPr>
            <w:r>
              <w:rPr>
                <w:noProof/>
              </w:rPr>
              <w:drawing>
                <wp:inline distT="0" distB="0" distL="0" distR="0" wp14:anchorId="0862ABDE" wp14:editId="28BA66C8">
                  <wp:extent cx="2799347" cy="2393742"/>
                  <wp:effectExtent l="0" t="0" r="0" b="0"/>
                  <wp:docPr id="37" name="Picture 37"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pic:nvPicPr>
                        <pic:blipFill>
                          <a:blip r:embed="rId41">
                            <a:extLst>
                              <a:ext uri="{28A0092B-C50C-407E-A947-70E740481C1C}">
                                <a14:useLocalDpi xmlns:a14="http://schemas.microsoft.com/office/drawing/2010/main" val="0"/>
                              </a:ext>
                            </a:extLst>
                          </a:blip>
                          <a:stretch>
                            <a:fillRect/>
                          </a:stretch>
                        </pic:blipFill>
                        <pic:spPr>
                          <a:xfrm>
                            <a:off x="0" y="0"/>
                            <a:ext cx="2799347" cy="2393742"/>
                          </a:xfrm>
                          <a:prstGeom prst="rect">
                            <a:avLst/>
                          </a:prstGeom>
                        </pic:spPr>
                      </pic:pic>
                    </a:graphicData>
                  </a:graphic>
                </wp:inline>
              </w:drawing>
            </w:r>
          </w:p>
        </w:tc>
      </w:tr>
      <w:tr w:rsidR="00394914" w:rsidRPr="00A6426B" w14:paraId="00424FAA" w14:textId="77777777" w:rsidTr="78C544BE">
        <w:trPr>
          <w:trHeight w:val="1293"/>
        </w:trPr>
        <w:tc>
          <w:tcPr>
            <w:tcW w:w="2500" w:type="pct"/>
            <w:vMerge/>
            <w:tcMar>
              <w:top w:w="28" w:type="dxa"/>
              <w:left w:w="57" w:type="dxa"/>
              <w:bottom w:w="28" w:type="dxa"/>
              <w:right w:w="28" w:type="dxa"/>
            </w:tcMar>
          </w:tcPr>
          <w:p w14:paraId="2E780FEE" w14:textId="77777777" w:rsidR="00394914" w:rsidRPr="00A6426B" w:rsidRDefault="00394914" w:rsidP="001667C6">
            <w:pPr>
              <w:pStyle w:val="ListParagraph"/>
              <w:numPr>
                <w:ilvl w:val="0"/>
                <w:numId w:val="52"/>
              </w:numPr>
              <w:autoSpaceDE/>
              <w:autoSpaceDN/>
              <w:adjustRightInd/>
              <w:spacing w:after="0"/>
              <w:ind w:left="221" w:hanging="221"/>
              <w:contextualSpacing w:val="0"/>
              <w:jc w:val="left"/>
              <w:rPr>
                <w:rFonts w:cstheme="minorHAnsi"/>
                <w:sz w:val="20"/>
                <w:szCs w:val="20"/>
              </w:rPr>
            </w:pPr>
          </w:p>
        </w:tc>
        <w:tc>
          <w:tcPr>
            <w:tcW w:w="2500" w:type="pct"/>
            <w:tcBorders>
              <w:left w:val="nil"/>
            </w:tcBorders>
            <w:tcMar>
              <w:top w:w="28" w:type="dxa"/>
              <w:left w:w="57" w:type="dxa"/>
              <w:bottom w:w="28" w:type="dxa"/>
              <w:right w:w="28" w:type="dxa"/>
            </w:tcMar>
          </w:tcPr>
          <w:p w14:paraId="4F07FB58" w14:textId="77777777" w:rsidR="00394914" w:rsidRPr="004308EF" w:rsidRDefault="00394914" w:rsidP="001667C6">
            <w:pPr>
              <w:pStyle w:val="ListParagraph"/>
              <w:numPr>
                <w:ilvl w:val="0"/>
                <w:numId w:val="52"/>
              </w:numPr>
              <w:autoSpaceDE/>
              <w:autoSpaceDN/>
              <w:adjustRightInd/>
              <w:spacing w:after="0"/>
              <w:ind w:left="260" w:hanging="260"/>
              <w:contextualSpacing w:val="0"/>
              <w:jc w:val="left"/>
              <w:rPr>
                <w:sz w:val="20"/>
                <w:szCs w:val="20"/>
              </w:rPr>
            </w:pPr>
            <w:r w:rsidRPr="00A6426B">
              <w:rPr>
                <w:rFonts w:cstheme="minorHAnsi"/>
                <w:b/>
                <w:sz w:val="20"/>
                <w:szCs w:val="20"/>
              </w:rPr>
              <w:t xml:space="preserve">Special Plans </w:t>
            </w:r>
            <w:r w:rsidRPr="004308EF">
              <w:rPr>
                <w:rFonts w:cstheme="minorHAnsi"/>
                <w:bCs/>
                <w:sz w:val="20"/>
                <w:szCs w:val="20"/>
              </w:rPr>
              <w:t>(PE)</w:t>
            </w:r>
            <w:r w:rsidRPr="00A6426B">
              <w:rPr>
                <w:rFonts w:cstheme="minorHAnsi"/>
                <w:sz w:val="20"/>
                <w:szCs w:val="20"/>
              </w:rPr>
              <w:t xml:space="preserve"> </w:t>
            </w:r>
            <w:r>
              <w:rPr>
                <w:rFonts w:cstheme="minorHAnsi"/>
                <w:sz w:val="20"/>
                <w:szCs w:val="20"/>
              </w:rPr>
              <w:t>concern a</w:t>
            </w:r>
            <w:r w:rsidRPr="00A6426B">
              <w:rPr>
                <w:rFonts w:cstheme="minorHAnsi"/>
                <w:sz w:val="20"/>
                <w:szCs w:val="20"/>
              </w:rPr>
              <w:t xml:space="preserve"> specific and well</w:t>
            </w:r>
            <w:r>
              <w:rPr>
                <w:rFonts w:cstheme="minorHAnsi"/>
                <w:sz w:val="20"/>
                <w:szCs w:val="20"/>
              </w:rPr>
              <w:t>-</w:t>
            </w:r>
            <w:r w:rsidRPr="00A6426B">
              <w:rPr>
                <w:rFonts w:cstheme="minorHAnsi"/>
                <w:sz w:val="20"/>
                <w:szCs w:val="20"/>
              </w:rPr>
              <w:t>delimited geographical area</w:t>
            </w:r>
            <w:r>
              <w:rPr>
                <w:rFonts w:cstheme="minorHAnsi"/>
                <w:sz w:val="20"/>
                <w:szCs w:val="20"/>
              </w:rPr>
              <w:t>. T</w:t>
            </w:r>
            <w:r w:rsidRPr="00A6426B">
              <w:rPr>
                <w:rFonts w:cstheme="minorHAnsi"/>
                <w:sz w:val="20"/>
                <w:szCs w:val="20"/>
              </w:rPr>
              <w:t>heir focus depend</w:t>
            </w:r>
            <w:r>
              <w:rPr>
                <w:rFonts w:cstheme="minorHAnsi"/>
                <w:sz w:val="20"/>
                <w:szCs w:val="20"/>
              </w:rPr>
              <w:t>s</w:t>
            </w:r>
            <w:r w:rsidRPr="00A6426B">
              <w:rPr>
                <w:rFonts w:cstheme="minorHAnsi"/>
                <w:sz w:val="20"/>
                <w:szCs w:val="20"/>
              </w:rPr>
              <w:t xml:space="preserve"> on the specific purposes of the proposed land use and settlement </w:t>
            </w:r>
            <w:r>
              <w:rPr>
                <w:rFonts w:cstheme="minorHAnsi"/>
                <w:sz w:val="20"/>
                <w:szCs w:val="20"/>
              </w:rPr>
              <w:t xml:space="preserve">in the context of the surrounding </w:t>
            </w:r>
            <w:r w:rsidRPr="00A6426B">
              <w:rPr>
                <w:rFonts w:cstheme="minorHAnsi"/>
                <w:sz w:val="20"/>
                <w:szCs w:val="20"/>
              </w:rPr>
              <w:t>area, e.g. coastal zone, agricultur</w:t>
            </w:r>
            <w:r>
              <w:rPr>
                <w:rFonts w:cstheme="minorHAnsi"/>
                <w:sz w:val="20"/>
                <w:szCs w:val="20"/>
              </w:rPr>
              <w:t>e</w:t>
            </w:r>
            <w:r w:rsidRPr="00A6426B">
              <w:rPr>
                <w:rFonts w:cstheme="minorHAnsi"/>
                <w:sz w:val="20"/>
                <w:szCs w:val="20"/>
              </w:rPr>
              <w:t>, tourism, industr</w:t>
            </w:r>
            <w:r>
              <w:rPr>
                <w:rFonts w:cstheme="minorHAnsi"/>
                <w:sz w:val="20"/>
                <w:szCs w:val="20"/>
              </w:rPr>
              <w:t>y</w:t>
            </w:r>
            <w:r w:rsidRPr="00A6426B">
              <w:rPr>
                <w:rFonts w:cstheme="minorHAnsi"/>
                <w:sz w:val="20"/>
                <w:szCs w:val="20"/>
              </w:rPr>
              <w:t xml:space="preserve"> and nature protection. Such plans, as well as </w:t>
            </w:r>
            <w:r w:rsidRPr="00A6426B">
              <w:rPr>
                <w:rFonts w:cstheme="minorHAnsi"/>
                <w:b/>
                <w:bCs/>
                <w:sz w:val="20"/>
                <w:szCs w:val="20"/>
              </w:rPr>
              <w:t xml:space="preserve">Sectoral Plans </w:t>
            </w:r>
            <w:r w:rsidRPr="00A6426B">
              <w:rPr>
                <w:rFonts w:cstheme="minorHAnsi"/>
                <w:sz w:val="20"/>
                <w:szCs w:val="20"/>
              </w:rPr>
              <w:t>(e.g. development of the national road network)</w:t>
            </w:r>
            <w:r w:rsidRPr="00A6426B">
              <w:rPr>
                <w:rFonts w:cstheme="minorHAnsi"/>
                <w:b/>
                <w:bCs/>
                <w:sz w:val="20"/>
                <w:szCs w:val="20"/>
              </w:rPr>
              <w:t>,</w:t>
            </w:r>
            <w:r w:rsidRPr="00A6426B">
              <w:rPr>
                <w:rFonts w:cstheme="minorHAnsi"/>
                <w:sz w:val="20"/>
                <w:szCs w:val="20"/>
              </w:rPr>
              <w:t xml:space="preserve"> cut across jurisdictional boundaries but </w:t>
            </w:r>
            <w:r>
              <w:rPr>
                <w:rFonts w:cstheme="minorHAnsi"/>
                <w:sz w:val="20"/>
                <w:szCs w:val="20"/>
              </w:rPr>
              <w:t xml:space="preserve">they </w:t>
            </w:r>
            <w:r w:rsidRPr="00A6426B">
              <w:rPr>
                <w:rFonts w:cstheme="minorHAnsi"/>
                <w:sz w:val="20"/>
                <w:szCs w:val="20"/>
              </w:rPr>
              <w:t>have rarely been effective in Angola.</w:t>
            </w:r>
          </w:p>
        </w:tc>
      </w:tr>
      <w:tr w:rsidR="00394914" w14:paraId="3D19230E" w14:textId="77777777" w:rsidTr="78C544BE">
        <w:tc>
          <w:tcPr>
            <w:tcW w:w="5000" w:type="pct"/>
            <w:gridSpan w:val="2"/>
            <w:tcMar>
              <w:top w:w="28" w:type="dxa"/>
              <w:left w:w="57" w:type="dxa"/>
              <w:bottom w:w="28" w:type="dxa"/>
              <w:right w:w="28" w:type="dxa"/>
            </w:tcMar>
          </w:tcPr>
          <w:p w14:paraId="0AF6E76E" w14:textId="77777777" w:rsidR="00394914" w:rsidRDefault="00394914" w:rsidP="00451FB4">
            <w:pPr>
              <w:rPr>
                <w:rFonts w:ascii="Calibri" w:hAnsi="Calibri"/>
                <w:sz w:val="21"/>
                <w:szCs w:val="21"/>
              </w:rPr>
            </w:pPr>
            <w:r>
              <w:rPr>
                <w:rFonts w:ascii="Calibri Light" w:hAnsi="Calibri Light" w:cs="Calibri Light"/>
                <w:sz w:val="15"/>
                <w:szCs w:val="15"/>
                <w:lang w:val="pt-BR"/>
              </w:rPr>
              <w:t>Source: A</w:t>
            </w:r>
            <w:r w:rsidRPr="00082B04">
              <w:rPr>
                <w:rFonts w:ascii="Calibri Light" w:hAnsi="Calibri Light" w:cs="Calibri Light"/>
                <w:sz w:val="15"/>
                <w:szCs w:val="15"/>
                <w:lang w:val="pt-BR"/>
              </w:rPr>
              <w:t>dapted from</w:t>
            </w:r>
            <w:r w:rsidRPr="00F25955">
              <w:rPr>
                <w:rFonts w:ascii="Calibri Light" w:hAnsi="Calibri Light" w:cs="Calibri Light"/>
                <w:sz w:val="15"/>
                <w:szCs w:val="15"/>
                <w:lang w:val="pt-BR"/>
              </w:rPr>
              <w:t xml:space="preserve"> Ministério do Urbanismo e Habitação (2013): </w:t>
            </w:r>
            <w:r w:rsidRPr="00F25955">
              <w:rPr>
                <w:rFonts w:ascii="Calibri Light" w:hAnsi="Calibri Light" w:cs="Calibri Light"/>
                <w:i/>
                <w:iCs/>
                <w:sz w:val="15"/>
                <w:szCs w:val="15"/>
                <w:lang w:val="pt-BR"/>
              </w:rPr>
              <w:t xml:space="preserve">Relatório de Identificação e Diagnóstico dos Planos Territoriais, </w:t>
            </w:r>
            <w:r w:rsidRPr="00A6426B">
              <w:rPr>
                <w:rFonts w:ascii="Calibri Light" w:hAnsi="Calibri Light" w:cs="Calibri Light"/>
                <w:sz w:val="15"/>
                <w:szCs w:val="15"/>
                <w:lang w:val="pt-BR"/>
              </w:rPr>
              <w:t xml:space="preserve">In </w:t>
            </w:r>
            <w:r w:rsidRPr="00F25955">
              <w:rPr>
                <w:rFonts w:ascii="Calibri Light" w:hAnsi="Calibri Light" w:cs="Calibri Light"/>
                <w:sz w:val="15"/>
                <w:szCs w:val="15"/>
                <w:lang w:val="pt-BR"/>
              </w:rPr>
              <w:t xml:space="preserve">(D.G.  </w:t>
            </w:r>
            <w:r w:rsidRPr="00F25955">
              <w:rPr>
                <w:rFonts w:ascii="Calibri Light" w:hAnsi="Calibri Light" w:cs="Calibri Light"/>
                <w:sz w:val="15"/>
                <w:szCs w:val="15"/>
              </w:rPr>
              <w:t xml:space="preserve">Martins, F. (2016): </w:t>
            </w:r>
            <w:r w:rsidRPr="00082B04">
              <w:rPr>
                <w:rFonts w:ascii="Calibri Light" w:hAnsi="Calibri Light" w:cs="Calibri Light"/>
                <w:i/>
                <w:iCs/>
                <w:sz w:val="15"/>
                <w:szCs w:val="15"/>
              </w:rPr>
              <w:t>The Spatial planning in Angola: A work in progresso and Future challenge.</w:t>
            </w:r>
            <w:r w:rsidRPr="00F25955">
              <w:rPr>
                <w:rFonts w:ascii="Calibri Light" w:hAnsi="Calibri Light" w:cs="Calibri Light"/>
                <w:sz w:val="15"/>
                <w:szCs w:val="15"/>
              </w:rPr>
              <w:t xml:space="preserve"> Master Thes</w:t>
            </w:r>
            <w:r>
              <w:rPr>
                <w:rFonts w:ascii="Calibri Light" w:hAnsi="Calibri Light" w:cs="Calibri Light"/>
                <w:sz w:val="15"/>
                <w:szCs w:val="15"/>
              </w:rPr>
              <w:t>i</w:t>
            </w:r>
            <w:r w:rsidRPr="00F25955">
              <w:rPr>
                <w:rFonts w:ascii="Calibri Light" w:hAnsi="Calibri Light" w:cs="Calibri Light"/>
                <w:sz w:val="15"/>
                <w:szCs w:val="15"/>
              </w:rPr>
              <w:t>s, Coimbra University, P</w:t>
            </w:r>
            <w:r>
              <w:rPr>
                <w:rFonts w:ascii="Calibri Light" w:hAnsi="Calibri Light" w:cs="Calibri Light"/>
                <w:sz w:val="15"/>
                <w:szCs w:val="15"/>
              </w:rPr>
              <w:t>or</w:t>
            </w:r>
            <w:r w:rsidRPr="00F25955">
              <w:rPr>
                <w:rFonts w:ascii="Calibri Light" w:hAnsi="Calibri Light" w:cs="Calibri Light"/>
                <w:sz w:val="15"/>
                <w:szCs w:val="15"/>
              </w:rPr>
              <w:t>tugal. [</w:t>
            </w:r>
            <w:hyperlink r:id="rId42" w:history="1">
              <w:r w:rsidRPr="00F25955">
                <w:rPr>
                  <w:rStyle w:val="Hyperlink"/>
                  <w:rFonts w:ascii="Calibri Light" w:hAnsi="Calibri Light" w:cs="Calibri Light"/>
                  <w:sz w:val="15"/>
                  <w:szCs w:val="15"/>
                </w:rPr>
                <w:t>Link</w:t>
              </w:r>
            </w:hyperlink>
            <w:r w:rsidRPr="00F25955">
              <w:rPr>
                <w:rFonts w:ascii="Calibri Light" w:hAnsi="Calibri Light" w:cs="Calibri Light"/>
                <w:sz w:val="15"/>
                <w:szCs w:val="15"/>
              </w:rPr>
              <w:t>]</w:t>
            </w:r>
          </w:p>
        </w:tc>
      </w:tr>
    </w:tbl>
    <w:p w14:paraId="66B8270D" w14:textId="12F283A3" w:rsidR="009563B4" w:rsidRPr="00B00EB1" w:rsidRDefault="009563B4" w:rsidP="009563B4">
      <w:pPr>
        <w:rPr>
          <w:rFonts w:ascii="Calibri" w:hAnsi="Calibri"/>
          <w:sz w:val="21"/>
          <w:szCs w:val="21"/>
        </w:rPr>
      </w:pPr>
    </w:p>
    <w:p w14:paraId="485FE141" w14:textId="2282F0DD" w:rsidR="00B00EB1" w:rsidRPr="00335B43" w:rsidRDefault="00B00EB1" w:rsidP="00B00EB1">
      <w:pPr>
        <w:spacing w:before="160" w:after="160"/>
        <w:rPr>
          <w:rFonts w:ascii="Calibri" w:hAnsi="Calibri"/>
          <w:i/>
          <w:iCs/>
          <w:sz w:val="21"/>
          <w:szCs w:val="21"/>
        </w:rPr>
      </w:pPr>
      <w:bookmarkStart w:id="48" w:name="_Toc45712158"/>
      <w:r w:rsidRPr="00B00EB1">
        <w:rPr>
          <w:rFonts w:ascii="Calibri" w:hAnsi="Calibri"/>
          <w:i/>
          <w:iCs/>
          <w:sz w:val="21"/>
          <w:szCs w:val="21"/>
          <w:highlight w:val="lightGray"/>
        </w:rPr>
        <w:t xml:space="preserve">National </w:t>
      </w:r>
      <w:r w:rsidR="000A4E07">
        <w:rPr>
          <w:rFonts w:ascii="Calibri" w:hAnsi="Calibri"/>
          <w:i/>
          <w:iCs/>
          <w:sz w:val="21"/>
          <w:szCs w:val="21"/>
          <w:highlight w:val="lightGray"/>
        </w:rPr>
        <w:t>a</w:t>
      </w:r>
      <w:r w:rsidR="000A4E07" w:rsidRPr="00B00EB1">
        <w:rPr>
          <w:rFonts w:ascii="Calibri" w:hAnsi="Calibri"/>
          <w:i/>
          <w:iCs/>
          <w:sz w:val="21"/>
          <w:szCs w:val="21"/>
          <w:highlight w:val="lightGray"/>
        </w:rPr>
        <w:t>nd Sub-National Institutional Frameworks</w:t>
      </w:r>
      <w:bookmarkEnd w:id="48"/>
    </w:p>
    <w:p w14:paraId="1C81D0E7" w14:textId="49AFCF7A" w:rsidR="00BA1C3F" w:rsidRPr="001C62EB" w:rsidRDefault="00BA1C3F" w:rsidP="001667C6">
      <w:pPr>
        <w:pStyle w:val="ParagraphOED"/>
        <w:numPr>
          <w:ilvl w:val="0"/>
          <w:numId w:val="102"/>
        </w:numPr>
        <w:spacing w:after="160"/>
      </w:pPr>
      <w:r>
        <w:t>Regarding land-use management in rural areas</w:t>
      </w:r>
      <w:r w:rsidR="00B00EB1">
        <w:t>,</w:t>
      </w:r>
      <w:r>
        <w:t xml:space="preserve"> three ministries are particularly </w:t>
      </w:r>
      <w:r w:rsidR="00B00EB1">
        <w:t>relevant</w:t>
      </w:r>
      <w:r>
        <w:t xml:space="preserve"> for operationalizing </w:t>
      </w:r>
      <w:r w:rsidR="001B248C">
        <w:t>land-use plan</w:t>
      </w:r>
      <w:r>
        <w:t>ning and management within</w:t>
      </w:r>
      <w:r w:rsidR="00416FED">
        <w:t xml:space="preserve"> </w:t>
      </w:r>
      <w:r w:rsidR="00B00EB1">
        <w:t xml:space="preserve">the target </w:t>
      </w:r>
      <w:r>
        <w:t>landscapes</w:t>
      </w:r>
      <w:r w:rsidR="00B00EB1">
        <w:t>, as follows</w:t>
      </w:r>
      <w:r>
        <w:t>:</w:t>
      </w:r>
    </w:p>
    <w:p w14:paraId="2C6B7A19" w14:textId="050A5A6A" w:rsidR="00451FB4" w:rsidRDefault="00451FB4" w:rsidP="00C53A49">
      <w:pPr>
        <w:pStyle w:val="ParagraphOED"/>
        <w:numPr>
          <w:ilvl w:val="0"/>
          <w:numId w:val="13"/>
        </w:numPr>
        <w:spacing w:after="80"/>
        <w:ind w:left="714" w:hanging="357"/>
        <w:rPr>
          <w:b/>
        </w:rPr>
      </w:pPr>
      <w:r w:rsidRPr="619CA689">
        <w:t xml:space="preserve">The </w:t>
      </w:r>
      <w:r w:rsidR="5C0CC76A" w:rsidRPr="4D10DE74">
        <w:rPr>
          <w:b/>
          <w:bCs/>
        </w:rPr>
        <w:t xml:space="preserve"> Ministry of Culture, Tourism and Environment</w:t>
      </w:r>
      <w:r w:rsidR="00BA1C3F" w:rsidRPr="619CA689">
        <w:rPr>
          <w:b/>
          <w:bCs/>
        </w:rPr>
        <w:t xml:space="preserve"> (</w:t>
      </w:r>
      <w:r w:rsidR="78D7A500" w:rsidRPr="4D10DE74">
        <w:rPr>
          <w:b/>
          <w:bCs/>
        </w:rPr>
        <w:t>MCTA</w:t>
      </w:r>
      <w:r w:rsidR="00BA1C3F" w:rsidRPr="619CA689">
        <w:rPr>
          <w:b/>
          <w:bCs/>
        </w:rPr>
        <w:t>)</w:t>
      </w:r>
      <w:bookmarkStart w:id="49" w:name="_Ref52117524"/>
      <w:r w:rsidR="00BA1C3F" w:rsidRPr="619CA689">
        <w:rPr>
          <w:rStyle w:val="FootnoteReference"/>
        </w:rPr>
        <w:footnoteReference w:id="28"/>
      </w:r>
      <w:bookmarkEnd w:id="49"/>
      <w:r w:rsidR="00BA1C3F" w:rsidRPr="00451FB4">
        <w:t xml:space="preserve"> </w:t>
      </w:r>
      <w:r w:rsidR="00DC46F8" w:rsidRPr="00451FB4">
        <w:t>is</w:t>
      </w:r>
      <w:r w:rsidR="00BA1C3F" w:rsidRPr="00451FB4">
        <w:t xml:space="preserve"> mandate</w:t>
      </w:r>
      <w:r w:rsidR="00DC46F8" w:rsidRPr="00451FB4">
        <w:t>d to</w:t>
      </w:r>
      <w:r w:rsidR="00BA1C3F" w:rsidRPr="00451FB4">
        <w:t xml:space="preserve"> develop and implement </w:t>
      </w:r>
      <w:r w:rsidR="6B6224EC">
        <w:t xml:space="preserve">culture, tourism and </w:t>
      </w:r>
      <w:r w:rsidR="00BA1C3F" w:rsidRPr="00451FB4">
        <w:t>environmental policies, including the management of protected areas.</w:t>
      </w:r>
      <w:r w:rsidR="00BA1C3F" w:rsidRPr="00451FB4">
        <w:rPr>
          <w:rFonts w:cs="Times New Roman"/>
        </w:rPr>
        <w:t xml:space="preserve"> </w:t>
      </w:r>
      <w:r w:rsidR="6B786234" w:rsidRPr="4D10DE74">
        <w:rPr>
          <w:rFonts w:cs="Times New Roman"/>
        </w:rPr>
        <w:t>I</w:t>
      </w:r>
      <w:r w:rsidR="00DC46F8">
        <w:rPr>
          <w:rFonts w:cs="Times New Roman"/>
        </w:rPr>
        <w:t>t</w:t>
      </w:r>
      <w:r w:rsidR="00BA1C3F" w:rsidRPr="00CE1EA7">
        <w:rPr>
          <w:rFonts w:cs="Times New Roman"/>
        </w:rPr>
        <w:t xml:space="preserve"> is responsible for the coordination, development, implementation, and monitoring of environmental policies, particularly in the areas of biodiversity, environmental technologies, impact assessment and prevention</w:t>
      </w:r>
      <w:r w:rsidR="00DC46F8">
        <w:rPr>
          <w:rFonts w:cs="Times New Roman"/>
        </w:rPr>
        <w:t>,</w:t>
      </w:r>
      <w:r w:rsidR="00BA1C3F" w:rsidRPr="00CE1EA7">
        <w:rPr>
          <w:rFonts w:cs="Times New Roman"/>
        </w:rPr>
        <w:t xml:space="preserve"> and environmental education. </w:t>
      </w:r>
      <w:r w:rsidR="00DC46F8">
        <w:rPr>
          <w:rFonts w:cs="Times New Roman"/>
        </w:rPr>
        <w:t>R</w:t>
      </w:r>
      <w:r w:rsidR="00BA1C3F" w:rsidRPr="00CE1EA7">
        <w:rPr>
          <w:rFonts w:cs="Times New Roman"/>
        </w:rPr>
        <w:t xml:space="preserve">esponsibilities are distributed throughout its central executive services: National Directorate for </w:t>
      </w:r>
      <w:r w:rsidR="3C98F1E5" w:rsidRPr="4D10DE74">
        <w:rPr>
          <w:rFonts w:cs="Times New Roman"/>
        </w:rPr>
        <w:t>Culture and Art</w:t>
      </w:r>
      <w:r w:rsidR="00BA1C3F" w:rsidRPr="6451F561">
        <w:rPr>
          <w:rFonts w:cs="Times New Roman"/>
        </w:rPr>
        <w:t>, National Directorate for</w:t>
      </w:r>
      <w:r w:rsidR="65DDE21C" w:rsidRPr="4D10DE74">
        <w:rPr>
          <w:rFonts w:cs="Times New Roman"/>
        </w:rPr>
        <w:t xml:space="preserve"> Communities and Institutions of Local Power</w:t>
      </w:r>
      <w:r w:rsidR="174B0F90" w:rsidRPr="4D10DE74">
        <w:rPr>
          <w:rFonts w:cs="Times New Roman"/>
        </w:rPr>
        <w:t>,</w:t>
      </w:r>
      <w:r w:rsidR="00F01C74">
        <w:rPr>
          <w:rFonts w:cs="Times New Roman"/>
        </w:rPr>
        <w:t xml:space="preserve"> </w:t>
      </w:r>
      <w:r w:rsidR="325F0BFB" w:rsidRPr="4D10DE74">
        <w:rPr>
          <w:rFonts w:cs="Times New Roman"/>
        </w:rPr>
        <w:t>National Directorate for Infrastructure and Tourism Products</w:t>
      </w:r>
      <w:r w:rsidR="325F0BFB" w:rsidRPr="6451F561">
        <w:rPr>
          <w:rFonts w:cs="Times New Roman"/>
        </w:rPr>
        <w:t xml:space="preserve"> </w:t>
      </w:r>
      <w:r w:rsidR="00BA1C3F" w:rsidRPr="4D10DE74">
        <w:rPr>
          <w:rFonts w:cs="Times New Roman"/>
        </w:rPr>
        <w:t xml:space="preserve">and the </w:t>
      </w:r>
      <w:r w:rsidR="1BAB7159" w:rsidRPr="00910A16">
        <w:rPr>
          <w:rFonts w:cs="Times New Roman"/>
          <w:b/>
          <w:bCs/>
        </w:rPr>
        <w:t>National Directorate for Environment and Climate Action</w:t>
      </w:r>
      <w:r w:rsidR="00085674" w:rsidRPr="619CA689">
        <w:rPr>
          <w:rStyle w:val="FootnoteReference"/>
          <w:rFonts w:cs="Times New Roman"/>
          <w:highlight w:val="lightGray"/>
        </w:rPr>
        <w:fldChar w:fldCharType="begin"/>
      </w:r>
      <w:r w:rsidR="00BA1C3F" w:rsidRPr="4D10DE74">
        <w:rPr>
          <w:rFonts w:cs="Times New Roman"/>
          <w:b/>
          <w:bCs/>
        </w:rPr>
        <w:instrText xml:space="preserve"> (</w:instrText>
      </w:r>
      <w:r w:rsidR="799A5067" w:rsidRPr="4D10DE74">
        <w:rPr>
          <w:rFonts w:cs="Times New Roman"/>
          <w:b/>
          <w:bCs/>
        </w:rPr>
        <w:instrText>DNAAC</w:instrText>
      </w:r>
      <w:r w:rsidR="00085674" w:rsidRPr="6451F561">
        <w:rPr>
          <w:rStyle w:val="FootnoteReference"/>
          <w:rFonts w:cs="Times New Roman"/>
          <w:highlight w:val="lightGray"/>
        </w:rPr>
        <w:instrText xml:space="preserve"> NOTEREF _Ref52117524 \h </w:instrText>
      </w:r>
      <w:r w:rsidR="00085674" w:rsidRPr="4D10DE74">
        <w:rPr>
          <w:rStyle w:val="FootnoteReference"/>
          <w:rFonts w:cs="Times New Roman"/>
          <w:highlight w:val="lightGray"/>
        </w:rPr>
        <w:instrText xml:space="preserve"> \* MERGEFORMAT </w:instrText>
      </w:r>
      <w:r w:rsidR="00085674" w:rsidRPr="619CA689">
        <w:rPr>
          <w:rStyle w:val="FootnoteReference"/>
          <w:rFonts w:cs="Times New Roman"/>
          <w:highlight w:val="lightGray"/>
        </w:rPr>
        <w:fldChar w:fldCharType="separate"/>
      </w:r>
      <w:r w:rsidR="00085674" w:rsidRPr="6451F561">
        <w:t>￼</w:t>
      </w:r>
      <w:r w:rsidR="00085674" w:rsidRPr="619CA689">
        <w:rPr>
          <w:rStyle w:val="FootnoteReference"/>
          <w:rFonts w:cs="Times New Roman"/>
          <w:highlight w:val="lightGray"/>
        </w:rPr>
        <w:fldChar w:fldCharType="end"/>
      </w:r>
      <w:r w:rsidR="00BA1C3F" w:rsidRPr="4D10DE74">
        <w:rPr>
          <w:rFonts w:cs="Times New Roman"/>
        </w:rPr>
        <w:t xml:space="preserve">. </w:t>
      </w:r>
    </w:p>
    <w:p w14:paraId="21FDA24B" w14:textId="2BD7168B" w:rsidR="00451FB4" w:rsidRDefault="00BA1C3F" w:rsidP="00451FB4">
      <w:pPr>
        <w:pStyle w:val="ParagraphOED"/>
        <w:numPr>
          <w:ilvl w:val="0"/>
          <w:numId w:val="0"/>
        </w:numPr>
        <w:spacing w:after="80"/>
        <w:ind w:left="720"/>
        <w:rPr>
          <w:rFonts w:cs="Times New Roman"/>
        </w:rPr>
      </w:pPr>
      <w:r w:rsidRPr="00CE1EA7">
        <w:rPr>
          <w:rFonts w:cs="Times New Roman"/>
        </w:rPr>
        <w:t xml:space="preserve">In </w:t>
      </w:r>
      <w:r w:rsidRPr="00F75961">
        <w:rPr>
          <w:rFonts w:cs="Times New Roman"/>
        </w:rPr>
        <w:t>201</w:t>
      </w:r>
      <w:r w:rsidR="180AEECD" w:rsidRPr="00F75961">
        <w:rPr>
          <w:rFonts w:cs="Times New Roman"/>
        </w:rPr>
        <w:t>1</w:t>
      </w:r>
      <w:r w:rsidR="00085674" w:rsidRPr="00F75961">
        <w:rPr>
          <w:rFonts w:cs="Times New Roman"/>
        </w:rPr>
        <w:t>,</w:t>
      </w:r>
      <w:r w:rsidRPr="00F75961">
        <w:rPr>
          <w:rFonts w:cs="Times New Roman"/>
        </w:rPr>
        <w:t xml:space="preserve"> </w:t>
      </w:r>
      <w:r w:rsidR="270EFE9D" w:rsidRPr="4D10DE74">
        <w:rPr>
          <w:rFonts w:cs="Times New Roman"/>
        </w:rPr>
        <w:t xml:space="preserve">former </w:t>
      </w:r>
      <w:r w:rsidR="336D9367" w:rsidRPr="6491AA2D">
        <w:rPr>
          <w:rFonts w:cs="Times New Roman"/>
        </w:rPr>
        <w:t>M</w:t>
      </w:r>
      <w:r w:rsidR="270EFE9D" w:rsidRPr="6491AA2D">
        <w:rPr>
          <w:rFonts w:cs="Times New Roman"/>
        </w:rPr>
        <w:t>inistry</w:t>
      </w:r>
      <w:r w:rsidR="270EFE9D" w:rsidRPr="4D10DE74">
        <w:rPr>
          <w:rFonts w:cs="Times New Roman"/>
        </w:rPr>
        <w:t xml:space="preserve"> of </w:t>
      </w:r>
      <w:r w:rsidR="48118BCE" w:rsidRPr="6491AA2D">
        <w:rPr>
          <w:rFonts w:cs="Times New Roman"/>
        </w:rPr>
        <w:t>E</w:t>
      </w:r>
      <w:r w:rsidR="270EFE9D" w:rsidRPr="6491AA2D">
        <w:rPr>
          <w:rFonts w:cs="Times New Roman"/>
        </w:rPr>
        <w:t>nvironment</w:t>
      </w:r>
      <w:r w:rsidR="270EFE9D" w:rsidRPr="00F75961">
        <w:rPr>
          <w:rFonts w:cs="Times New Roman"/>
        </w:rPr>
        <w:t xml:space="preserve"> </w:t>
      </w:r>
      <w:r w:rsidRPr="4D10DE74">
        <w:rPr>
          <w:rFonts w:cs="Times New Roman"/>
        </w:rPr>
        <w:t xml:space="preserve">established the </w:t>
      </w:r>
      <w:r w:rsidRPr="4D10DE74">
        <w:rPr>
          <w:rFonts w:cs="Times New Roman"/>
          <w:b/>
          <w:bCs/>
        </w:rPr>
        <w:t>Multisectoral Commission for the Environment (CMA)</w:t>
      </w:r>
      <w:r w:rsidR="00910A16">
        <w:rPr>
          <w:rFonts w:cs="Times New Roman"/>
          <w:b/>
          <w:bCs/>
        </w:rPr>
        <w:t xml:space="preserve"> </w:t>
      </w:r>
      <w:r>
        <w:rPr>
          <w:rFonts w:cs="Times New Roman"/>
        </w:rPr>
        <w:t>to coordinate and streamline activities that target the protection and sustainable use of natural resources</w:t>
      </w:r>
      <w:r w:rsidR="00085674" w:rsidRPr="00CE1EA7">
        <w:rPr>
          <w:rFonts w:cs="Times New Roman"/>
        </w:rPr>
        <w:t xml:space="preserve"> throughout</w:t>
      </w:r>
      <w:r>
        <w:rPr>
          <w:rFonts w:cs="Times New Roman"/>
        </w:rPr>
        <w:t xml:space="preserve"> the country. CMA’s objective is to promote dialogue between government departments, academic institutions, scientific research and civil society</w:t>
      </w:r>
      <w:r w:rsidR="002F1A1E" w:rsidRPr="00CE1EA7">
        <w:rPr>
          <w:rFonts w:cs="Times New Roman"/>
        </w:rPr>
        <w:t>,</w:t>
      </w:r>
      <w:r w:rsidRPr="4D10DE74">
        <w:rPr>
          <w:rFonts w:cs="Times New Roman"/>
        </w:rPr>
        <w:t xml:space="preserve"> ensuring public participation in environmental management. </w:t>
      </w:r>
    </w:p>
    <w:p w14:paraId="4DAAB1DB" w14:textId="20B4EEF1" w:rsidR="002901FE" w:rsidRPr="002901FE" w:rsidRDefault="00BA1C3F" w:rsidP="002901FE">
      <w:pPr>
        <w:pStyle w:val="ParagraphOED"/>
        <w:numPr>
          <w:ilvl w:val="0"/>
          <w:numId w:val="0"/>
        </w:numPr>
        <w:spacing w:after="80"/>
        <w:ind w:left="720"/>
        <w:rPr>
          <w:rFonts w:cs="Times New Roman"/>
        </w:rPr>
      </w:pPr>
      <w:r w:rsidRPr="619CA689">
        <w:rPr>
          <w:rFonts w:cs="Times New Roman"/>
        </w:rPr>
        <w:lastRenderedPageBreak/>
        <w:t>The National Committee on Climate Change and Biodiversity, coordinated by M</w:t>
      </w:r>
      <w:r w:rsidR="13AAE152" w:rsidRPr="619CA689">
        <w:rPr>
          <w:rFonts w:cs="Times New Roman"/>
        </w:rPr>
        <w:t>CTA</w:t>
      </w:r>
      <w:r w:rsidRPr="619CA689">
        <w:rPr>
          <w:rFonts w:cs="Times New Roman"/>
        </w:rPr>
        <w:t>, was created to</w:t>
      </w:r>
      <w:r w:rsidR="00475C64" w:rsidRPr="619CA689">
        <w:rPr>
          <w:rFonts w:cs="Times New Roman"/>
        </w:rPr>
        <w:t>:</w:t>
      </w:r>
      <w:r w:rsidRPr="619CA689">
        <w:rPr>
          <w:rFonts w:cs="Times New Roman"/>
        </w:rPr>
        <w:t xml:space="preserve"> harmonize programs and policies for implementation of the National Strategy on Climate Change and Biodiversity </w:t>
      </w:r>
      <w:r w:rsidR="002F1A1E" w:rsidRPr="619CA689">
        <w:rPr>
          <w:rFonts w:cs="Times New Roman"/>
        </w:rPr>
        <w:t>P</w:t>
      </w:r>
      <w:r w:rsidRPr="619CA689">
        <w:rPr>
          <w:rFonts w:cs="Times New Roman"/>
        </w:rPr>
        <w:t xml:space="preserve">reservation; </w:t>
      </w:r>
      <w:r w:rsidR="00475C64" w:rsidRPr="619CA689">
        <w:rPr>
          <w:rFonts w:cs="Times New Roman"/>
        </w:rPr>
        <w:t xml:space="preserve">facilitate </w:t>
      </w:r>
      <w:r w:rsidRPr="619CA689">
        <w:rPr>
          <w:rFonts w:cs="Times New Roman"/>
        </w:rPr>
        <w:t>implementation of the National Plan against Climate Change</w:t>
      </w:r>
      <w:r w:rsidR="00475C64" w:rsidRPr="619CA689">
        <w:rPr>
          <w:rFonts w:cs="Times New Roman"/>
        </w:rPr>
        <w:t xml:space="preserve"> and </w:t>
      </w:r>
      <w:r w:rsidRPr="619CA689">
        <w:rPr>
          <w:rFonts w:cs="Times New Roman"/>
        </w:rPr>
        <w:t>develop</w:t>
      </w:r>
      <w:r w:rsidR="00475C64" w:rsidRPr="619CA689">
        <w:rPr>
          <w:rFonts w:cs="Times New Roman"/>
        </w:rPr>
        <w:t>ment of</w:t>
      </w:r>
      <w:r w:rsidRPr="619CA689">
        <w:rPr>
          <w:rFonts w:cs="Times New Roman"/>
        </w:rPr>
        <w:t xml:space="preserve"> a National Plan for investments related to climate change</w:t>
      </w:r>
      <w:r w:rsidR="00475C64" w:rsidRPr="619CA689">
        <w:rPr>
          <w:rFonts w:cs="Times New Roman"/>
        </w:rPr>
        <w:t>;</w:t>
      </w:r>
      <w:r w:rsidRPr="619CA689">
        <w:rPr>
          <w:rFonts w:cs="Times New Roman"/>
        </w:rPr>
        <w:t xml:space="preserve"> and to create centers of excellence in order to carry out research and provide systematic observation</w:t>
      </w:r>
      <w:r w:rsidR="00475C64" w:rsidRPr="619CA689">
        <w:rPr>
          <w:rFonts w:cs="Times New Roman"/>
        </w:rPr>
        <w:t>s</w:t>
      </w:r>
      <w:r w:rsidRPr="619CA689">
        <w:rPr>
          <w:rFonts w:cs="Times New Roman"/>
        </w:rPr>
        <w:t xml:space="preserve"> on</w:t>
      </w:r>
      <w:r w:rsidR="00475C64" w:rsidRPr="619CA689">
        <w:rPr>
          <w:rFonts w:cs="Times New Roman"/>
        </w:rPr>
        <w:t xml:space="preserve"> natural disasters </w:t>
      </w:r>
      <w:r w:rsidRPr="619CA689">
        <w:rPr>
          <w:rFonts w:cs="Times New Roman"/>
        </w:rPr>
        <w:t xml:space="preserve">climate. </w:t>
      </w:r>
      <w:r w:rsidR="44C3D1FC" w:rsidRPr="619CA689">
        <w:rPr>
          <w:rFonts w:cs="Times New Roman"/>
        </w:rPr>
        <w:t>DNACC</w:t>
      </w:r>
      <w:r w:rsidRPr="619CA689">
        <w:rPr>
          <w:rFonts w:cs="Times New Roman"/>
        </w:rPr>
        <w:t xml:space="preserve"> is also the</w:t>
      </w:r>
      <w:r w:rsidR="008A3A46" w:rsidRPr="619CA689">
        <w:rPr>
          <w:rFonts w:cs="Times New Roman"/>
        </w:rPr>
        <w:t xml:space="preserve"> national</w:t>
      </w:r>
      <w:r w:rsidRPr="619CA689">
        <w:rPr>
          <w:rFonts w:cs="Times New Roman"/>
        </w:rPr>
        <w:t xml:space="preserve"> focal point for </w:t>
      </w:r>
      <w:r w:rsidR="00451FB4" w:rsidRPr="619CA689">
        <w:rPr>
          <w:rFonts w:cs="Times New Roman"/>
        </w:rPr>
        <w:t xml:space="preserve">UNCCD, including </w:t>
      </w:r>
      <w:r w:rsidRPr="619CA689">
        <w:rPr>
          <w:rFonts w:cs="Times New Roman"/>
        </w:rPr>
        <w:t>LDN</w:t>
      </w:r>
      <w:r w:rsidR="00451FB4" w:rsidRPr="619CA689">
        <w:rPr>
          <w:rFonts w:cs="Times New Roman"/>
        </w:rPr>
        <w:t>-related matters</w:t>
      </w:r>
      <w:r w:rsidRPr="619CA689">
        <w:rPr>
          <w:rFonts w:cs="Times New Roman"/>
        </w:rPr>
        <w:t>.</w:t>
      </w:r>
    </w:p>
    <w:p w14:paraId="6A168E21" w14:textId="7FE3355E" w:rsidR="00BA1C3F" w:rsidRPr="001C62EB" w:rsidRDefault="00BA1C3F" w:rsidP="00C53A49">
      <w:pPr>
        <w:pStyle w:val="ParagraphOED"/>
        <w:numPr>
          <w:ilvl w:val="0"/>
          <w:numId w:val="13"/>
        </w:numPr>
        <w:spacing w:before="160" w:after="160"/>
        <w:ind w:left="714" w:hanging="357"/>
        <w:rPr>
          <w:b/>
        </w:rPr>
      </w:pPr>
      <w:r w:rsidRPr="619CA689">
        <w:t xml:space="preserve">The </w:t>
      </w:r>
      <w:r w:rsidRPr="619CA689">
        <w:rPr>
          <w:b/>
          <w:bCs/>
        </w:rPr>
        <w:t xml:space="preserve">Ministry of Agriculture and  </w:t>
      </w:r>
      <w:r w:rsidR="6F562051" w:rsidRPr="77E37E9C">
        <w:rPr>
          <w:b/>
          <w:bCs/>
        </w:rPr>
        <w:t>Fishery</w:t>
      </w:r>
      <w:r w:rsidRPr="619CA689">
        <w:rPr>
          <w:b/>
          <w:bCs/>
        </w:rPr>
        <w:t xml:space="preserve"> (MINAGRI</w:t>
      </w:r>
      <w:r w:rsidR="0655AAC1" w:rsidRPr="619CA689">
        <w:rPr>
          <w:b/>
          <w:bCs/>
        </w:rPr>
        <w:t>P</w:t>
      </w:r>
      <w:r w:rsidRPr="619CA689">
        <w:rPr>
          <w:b/>
          <w:bCs/>
        </w:rPr>
        <w:t>)</w:t>
      </w:r>
      <w:bookmarkStart w:id="50" w:name="_Ref52122242"/>
      <w:r w:rsidRPr="619CA689">
        <w:rPr>
          <w:rStyle w:val="FootnoteReference"/>
          <w:rFonts w:cs="Times New Roman"/>
        </w:rPr>
        <w:footnoteReference w:id="29"/>
      </w:r>
      <w:bookmarkEnd w:id="50"/>
      <w:r w:rsidRPr="001C62EB">
        <w:rPr>
          <w:szCs w:val="21"/>
        </w:rPr>
        <w:t xml:space="preserve"> </w:t>
      </w:r>
      <w:r w:rsidR="00451FB4" w:rsidRPr="619CA689">
        <w:t xml:space="preserve">is responsible for </w:t>
      </w:r>
      <w:r w:rsidRPr="619CA689">
        <w:t>agricultural</w:t>
      </w:r>
      <w:r w:rsidR="782AA308" w:rsidRPr="619CA689">
        <w:t xml:space="preserve"> and fishery</w:t>
      </w:r>
      <w:r w:rsidRPr="619CA689">
        <w:t xml:space="preserve"> policies</w:t>
      </w:r>
      <w:r w:rsidR="00451FB4" w:rsidRPr="619CA689">
        <w:t>, as well as</w:t>
      </w:r>
      <w:r w:rsidRPr="619CA689">
        <w:t xml:space="preserve"> for manag</w:t>
      </w:r>
      <w:r w:rsidR="00451FB4" w:rsidRPr="619CA689">
        <w:t>ement of</w:t>
      </w:r>
      <w:r w:rsidRPr="619CA689">
        <w:t xml:space="preserve"> forest reserves </w:t>
      </w:r>
      <w:r w:rsidR="00451FB4" w:rsidRPr="619CA689">
        <w:t>under</w:t>
      </w:r>
      <w:r w:rsidRPr="619CA689">
        <w:t xml:space="preserve"> the </w:t>
      </w:r>
      <w:r w:rsidRPr="619CA689">
        <w:rPr>
          <w:b/>
          <w:bCs/>
        </w:rPr>
        <w:t>Institute for Forestry Development (IDF)</w:t>
      </w:r>
      <w:r w:rsidR="00F17E0C" w:rsidRPr="619CA689">
        <w:rPr>
          <w:rStyle w:val="FootnoteReference"/>
          <w:rFonts w:cs="Times New Roman"/>
          <w:highlight w:val="lightGray"/>
        </w:rPr>
        <w:fldChar w:fldCharType="begin"/>
      </w:r>
      <w:r w:rsidR="00F17E0C" w:rsidRPr="619CA689">
        <w:rPr>
          <w:highlight w:val="lightGray"/>
          <w:vertAlign w:val="superscript"/>
        </w:rPr>
        <w:instrText xml:space="preserve"> NOTEREF _Ref52122242 \h </w:instrText>
      </w:r>
      <w:r w:rsidR="00F17E0C" w:rsidRPr="619CA689">
        <w:rPr>
          <w:rStyle w:val="FootnoteReference"/>
          <w:rFonts w:cs="Times New Roman"/>
          <w:highlight w:val="lightGray"/>
        </w:rPr>
        <w:instrText xml:space="preserve"> \* MERGEFORMAT </w:instrText>
      </w:r>
      <w:r w:rsidR="00F17E0C" w:rsidRPr="619CA689">
        <w:rPr>
          <w:rStyle w:val="FootnoteReference"/>
          <w:rFonts w:cs="Times New Roman"/>
          <w:highlight w:val="lightGray"/>
        </w:rPr>
      </w:r>
      <w:r w:rsidR="00F17E0C" w:rsidRPr="619CA689">
        <w:rPr>
          <w:rStyle w:val="FootnoteReference"/>
          <w:rFonts w:cs="Times New Roman"/>
          <w:highlight w:val="lightGray"/>
        </w:rPr>
        <w:fldChar w:fldCharType="separate"/>
      </w:r>
      <w:r w:rsidR="00A64193">
        <w:rPr>
          <w:highlight w:val="lightGray"/>
          <w:vertAlign w:val="superscript"/>
        </w:rPr>
        <w:t>31</w:t>
      </w:r>
      <w:r w:rsidR="00F17E0C" w:rsidRPr="619CA689">
        <w:rPr>
          <w:rStyle w:val="FootnoteReference"/>
          <w:rFonts w:cs="Times New Roman"/>
          <w:highlight w:val="lightGray"/>
        </w:rPr>
        <w:fldChar w:fldCharType="end"/>
      </w:r>
      <w:r w:rsidRPr="619CA689">
        <w:t xml:space="preserve"> the rural Land Cadastr</w:t>
      </w:r>
      <w:r w:rsidR="00F17E0C" w:rsidRPr="619CA689">
        <w:t>e</w:t>
      </w:r>
      <w:r w:rsidRPr="001C62EB">
        <w:rPr>
          <w:szCs w:val="21"/>
        </w:rPr>
        <w:t xml:space="preserve"> </w:t>
      </w:r>
      <w:r w:rsidR="45F06A3F">
        <w:t xml:space="preserve">and </w:t>
      </w:r>
      <w:r w:rsidR="0081425B" w:rsidRPr="619CA689">
        <w:rPr>
          <w:rStyle w:val="FootnoteReference"/>
          <w:rFonts w:cs="Times New Roman"/>
          <w:highlight w:val="lightGray"/>
        </w:rPr>
        <w:t xml:space="preserve"> </w:t>
      </w:r>
      <w:r w:rsidR="0081425B" w:rsidRPr="619CA689">
        <w:rPr>
          <w:rStyle w:val="FootnoteReference"/>
          <w:rFonts w:cs="Times New Roman"/>
          <w:highlight w:val="lightGray"/>
        </w:rPr>
        <w:fldChar w:fldCharType="begin"/>
      </w:r>
      <w:r w:rsidR="0081425B" w:rsidRPr="619CA689">
        <w:rPr>
          <w:highlight w:val="lightGray"/>
          <w:vertAlign w:val="superscript"/>
        </w:rPr>
        <w:instrText xml:space="preserve"> NOTEREF _Ref52122242 \h </w:instrText>
      </w:r>
      <w:r w:rsidR="0081425B" w:rsidRPr="619CA689">
        <w:rPr>
          <w:rStyle w:val="FootnoteReference"/>
          <w:rFonts w:cs="Times New Roman"/>
          <w:highlight w:val="lightGray"/>
        </w:rPr>
        <w:instrText xml:space="preserve"> \* MERGEFORMAT </w:instrText>
      </w:r>
      <w:r w:rsidR="0081425B" w:rsidRPr="619CA689">
        <w:rPr>
          <w:rStyle w:val="FootnoteReference"/>
          <w:rFonts w:cs="Times New Roman"/>
          <w:highlight w:val="lightGray"/>
        </w:rPr>
      </w:r>
      <w:r w:rsidR="0081425B" w:rsidRPr="619CA689">
        <w:rPr>
          <w:rStyle w:val="FootnoteReference"/>
          <w:rFonts w:cs="Times New Roman"/>
          <w:highlight w:val="lightGray"/>
        </w:rPr>
        <w:fldChar w:fldCharType="separate"/>
      </w:r>
      <w:r w:rsidR="00A64193">
        <w:rPr>
          <w:highlight w:val="lightGray"/>
          <w:vertAlign w:val="superscript"/>
        </w:rPr>
        <w:t>31</w:t>
      </w:r>
      <w:r w:rsidR="0081425B" w:rsidRPr="619CA689">
        <w:rPr>
          <w:rStyle w:val="FootnoteReference"/>
          <w:rFonts w:cs="Times New Roman"/>
          <w:highlight w:val="lightGray"/>
        </w:rPr>
        <w:fldChar w:fldCharType="end"/>
      </w:r>
      <w:r w:rsidRPr="619CA689">
        <w:t xml:space="preserve">and food security </w:t>
      </w:r>
      <w:r w:rsidR="00451FB4" w:rsidRPr="619CA689">
        <w:t>under</w:t>
      </w:r>
      <w:r w:rsidRPr="619CA689">
        <w:t xml:space="preserve"> </w:t>
      </w:r>
      <w:r w:rsidR="62F23682">
        <w:t xml:space="preserve">National Directorate for Agriculture and Livestock </w:t>
      </w:r>
      <w:r w:rsidRPr="619CA689">
        <w:rPr>
          <w:b/>
          <w:bCs/>
        </w:rPr>
        <w:t>(</w:t>
      </w:r>
      <w:r w:rsidR="01E57512" w:rsidRPr="619CA689">
        <w:rPr>
          <w:b/>
          <w:bCs/>
        </w:rPr>
        <w:t>DNAP</w:t>
      </w:r>
      <w:r w:rsidRPr="001C62EB">
        <w:rPr>
          <w:szCs w:val="21"/>
        </w:rPr>
        <w:t>)</w:t>
      </w:r>
      <w:r w:rsidR="0081425B" w:rsidRPr="619CA689">
        <w:rPr>
          <w:rStyle w:val="FootnoteReference"/>
          <w:rFonts w:cs="Times New Roman"/>
          <w:highlight w:val="lightGray"/>
        </w:rPr>
        <w:fldChar w:fldCharType="begin"/>
      </w:r>
      <w:r w:rsidR="0081425B" w:rsidRPr="619CA689">
        <w:rPr>
          <w:highlight w:val="lightGray"/>
          <w:vertAlign w:val="superscript"/>
        </w:rPr>
        <w:instrText xml:space="preserve"> NOTEREF _Ref52122242 \h </w:instrText>
      </w:r>
      <w:r w:rsidR="0081425B" w:rsidRPr="619CA689">
        <w:rPr>
          <w:rStyle w:val="FootnoteReference"/>
          <w:rFonts w:cs="Times New Roman"/>
          <w:highlight w:val="lightGray"/>
        </w:rPr>
        <w:instrText xml:space="preserve"> \* MERGEFORMAT </w:instrText>
      </w:r>
      <w:r w:rsidR="0081425B" w:rsidRPr="619CA689">
        <w:rPr>
          <w:rStyle w:val="FootnoteReference"/>
          <w:rFonts w:cs="Times New Roman"/>
          <w:highlight w:val="lightGray"/>
        </w:rPr>
      </w:r>
      <w:r w:rsidR="0081425B" w:rsidRPr="619CA689">
        <w:rPr>
          <w:rStyle w:val="FootnoteReference"/>
          <w:rFonts w:cs="Times New Roman"/>
          <w:highlight w:val="lightGray"/>
        </w:rPr>
        <w:fldChar w:fldCharType="separate"/>
      </w:r>
      <w:r w:rsidR="00A64193">
        <w:rPr>
          <w:highlight w:val="lightGray"/>
          <w:vertAlign w:val="superscript"/>
        </w:rPr>
        <w:t>31</w:t>
      </w:r>
      <w:r w:rsidR="0081425B" w:rsidRPr="619CA689">
        <w:rPr>
          <w:rStyle w:val="FootnoteReference"/>
          <w:rFonts w:cs="Times New Roman"/>
          <w:highlight w:val="lightGray"/>
        </w:rPr>
        <w:fldChar w:fldCharType="end"/>
      </w:r>
      <w:r w:rsidRPr="619CA689">
        <w:t>. Various technical institutes are associated with MINAGRI</w:t>
      </w:r>
      <w:r w:rsidR="5AD9BF86" w:rsidRPr="619CA689">
        <w:t>P</w:t>
      </w:r>
      <w:r w:rsidRPr="619CA689">
        <w:t xml:space="preserve">, </w:t>
      </w:r>
      <w:r w:rsidR="00451FB4" w:rsidRPr="619CA689">
        <w:t>including:</w:t>
      </w:r>
      <w:r w:rsidRPr="619CA689">
        <w:t xml:space="preserve"> (a) Agricultural Research Unit (IIA), (b) Veterinary Research Unit (IIV), (c) Institute of Agrarian Development (IDA)</w:t>
      </w:r>
      <w:r w:rsidR="00451FB4">
        <w:rPr>
          <w:szCs w:val="21"/>
        </w:rPr>
        <w:t>,</w:t>
      </w:r>
      <w:r w:rsidRPr="619CA689">
        <w:t xml:space="preserve"> (d) Institute of Forestry Development (IDF)</w:t>
      </w:r>
      <w:r w:rsidR="00451FB4">
        <w:rPr>
          <w:szCs w:val="21"/>
        </w:rPr>
        <w:t>,</w:t>
      </w:r>
      <w:r w:rsidRPr="619CA689">
        <w:t xml:space="preserve"> and (e) Institute of Veterinary Services (ISV). IDA</w:t>
      </w:r>
      <w:r w:rsidR="00F17E0C" w:rsidRPr="619CA689">
        <w:t>’s</w:t>
      </w:r>
      <w:r w:rsidRPr="619CA689">
        <w:t xml:space="preserve"> mandate for provi</w:t>
      </w:r>
      <w:r w:rsidR="00F17E0C" w:rsidRPr="619CA689">
        <w:t>sion of</w:t>
      </w:r>
      <w:r w:rsidRPr="619CA689">
        <w:t xml:space="preserve"> extension services and support to small farmers</w:t>
      </w:r>
      <w:r w:rsidR="00F17E0C" w:rsidRPr="00F17E0C">
        <w:rPr>
          <w:szCs w:val="21"/>
        </w:rPr>
        <w:t xml:space="preserve"> </w:t>
      </w:r>
      <w:r w:rsidR="00F17E0C" w:rsidRPr="619CA689">
        <w:t>is especially important for this GEF-7 project</w:t>
      </w:r>
      <w:r w:rsidR="00F17E0C">
        <w:rPr>
          <w:szCs w:val="21"/>
        </w:rPr>
        <w:t>.</w:t>
      </w:r>
    </w:p>
    <w:p w14:paraId="7E576D70" w14:textId="685059FF" w:rsidR="00BA1C3F" w:rsidRPr="00CE1EA7" w:rsidRDefault="0081425B" w:rsidP="00C53A49">
      <w:pPr>
        <w:pStyle w:val="ParagraphOED"/>
        <w:numPr>
          <w:ilvl w:val="0"/>
          <w:numId w:val="13"/>
        </w:numPr>
        <w:spacing w:after="160"/>
      </w:pPr>
      <w:r>
        <w:t xml:space="preserve">The </w:t>
      </w:r>
      <w:r w:rsidR="00BA1C3F" w:rsidRPr="001C62EB">
        <w:rPr>
          <w:b/>
          <w:bCs/>
        </w:rPr>
        <w:t>Ministry of Energy and Waters (MINEA)</w:t>
      </w:r>
      <w:r w:rsidR="00BA1C3F" w:rsidRPr="001C62EB">
        <w:t xml:space="preserve"> ho</w:t>
      </w:r>
      <w:r w:rsidR="004B7D7F">
        <w:t>sts</w:t>
      </w:r>
      <w:r w:rsidR="00BA1C3F" w:rsidRPr="001C62EB">
        <w:t xml:space="preserve"> the </w:t>
      </w:r>
      <w:r w:rsidR="00BA1C3F" w:rsidRPr="001C62EB">
        <w:rPr>
          <w:b/>
          <w:bCs/>
        </w:rPr>
        <w:t>National Institute of Water Resources (INRH)</w:t>
      </w:r>
      <w:bookmarkStart w:id="51" w:name="_Ref52123625"/>
      <w:r w:rsidR="00BA1C3F" w:rsidRPr="004B7D7F">
        <w:rPr>
          <w:rStyle w:val="FootnoteReference"/>
          <w:b/>
          <w:bCs/>
          <w:highlight w:val="lightGray"/>
        </w:rPr>
        <w:footnoteReference w:id="30"/>
      </w:r>
      <w:bookmarkEnd w:id="51"/>
      <w:r w:rsidR="004B7D7F" w:rsidRPr="004B7D7F">
        <w:t xml:space="preserve"> and</w:t>
      </w:r>
      <w:r w:rsidR="00BA1C3F" w:rsidRPr="001C62EB">
        <w:rPr>
          <w:b/>
          <w:bCs/>
        </w:rPr>
        <w:t xml:space="preserve"> Office for the Management of the Cunene, Okavango and Cuvelai Hydrographical Basins (GABHIC)</w:t>
      </w:r>
      <w:r w:rsidR="004B7D7F" w:rsidRPr="004B7D7F">
        <w:rPr>
          <w:rStyle w:val="FootnoteReference"/>
          <w:highlight w:val="lightGray"/>
        </w:rPr>
        <w:fldChar w:fldCharType="begin"/>
      </w:r>
      <w:r w:rsidR="004B7D7F" w:rsidRPr="004B7D7F">
        <w:rPr>
          <w:highlight w:val="lightGray"/>
          <w:vertAlign w:val="superscript"/>
        </w:rPr>
        <w:instrText xml:space="preserve"> NOTEREF _Ref52123625 \h </w:instrText>
      </w:r>
      <w:r w:rsidR="004B7D7F" w:rsidRPr="004B7D7F">
        <w:rPr>
          <w:rStyle w:val="FootnoteReference"/>
          <w:highlight w:val="lightGray"/>
        </w:rPr>
        <w:instrText xml:space="preserve"> \* MERGEFORMAT </w:instrText>
      </w:r>
      <w:r w:rsidR="004B7D7F" w:rsidRPr="004B7D7F">
        <w:rPr>
          <w:rStyle w:val="FootnoteReference"/>
          <w:highlight w:val="lightGray"/>
        </w:rPr>
      </w:r>
      <w:r w:rsidR="004B7D7F" w:rsidRPr="004B7D7F">
        <w:rPr>
          <w:rStyle w:val="FootnoteReference"/>
          <w:highlight w:val="lightGray"/>
        </w:rPr>
        <w:fldChar w:fldCharType="separate"/>
      </w:r>
      <w:r w:rsidR="00A64193">
        <w:rPr>
          <w:highlight w:val="lightGray"/>
          <w:vertAlign w:val="superscript"/>
        </w:rPr>
        <w:t>32</w:t>
      </w:r>
      <w:r w:rsidR="004B7D7F" w:rsidRPr="004B7D7F">
        <w:rPr>
          <w:rStyle w:val="FootnoteReference"/>
          <w:highlight w:val="lightGray"/>
        </w:rPr>
        <w:fldChar w:fldCharType="end"/>
      </w:r>
      <w:r w:rsidR="00BA1C3F" w:rsidRPr="619CA689">
        <w:t xml:space="preserve">. INRH is responsible </w:t>
      </w:r>
      <w:r w:rsidR="004B7D7F" w:rsidRPr="619CA689">
        <w:t xml:space="preserve">nationally </w:t>
      </w:r>
      <w:r w:rsidR="00BA1C3F" w:rsidRPr="619CA689">
        <w:t>for the strategic management of water resources</w:t>
      </w:r>
      <w:r w:rsidR="00BA1C3F" w:rsidRPr="619CA689">
        <w:rPr>
          <w:rStyle w:val="FootnoteReference"/>
        </w:rPr>
        <w:footnoteReference w:id="31"/>
      </w:r>
      <w:r w:rsidR="00BA1C3F" w:rsidRPr="619CA689">
        <w:t>, while GABHIC has a specific mandate within South</w:t>
      </w:r>
      <w:r w:rsidR="004B7D7F" w:rsidRPr="619CA689">
        <w:t>ern</w:t>
      </w:r>
      <w:r w:rsidR="00BA1C3F" w:rsidRPr="619CA689">
        <w:t xml:space="preserve"> and Southwest</w:t>
      </w:r>
      <w:r w:rsidR="004B7D7F" w:rsidRPr="619CA689">
        <w:t>ern</w:t>
      </w:r>
      <w:r w:rsidR="00BA1C3F" w:rsidRPr="619CA689">
        <w:t xml:space="preserve"> Angola with respect to the Cunene, Okavango and Cuvelai river basins (</w:t>
      </w:r>
      <w:r w:rsidR="00BA1C3F" w:rsidRPr="004B7D7F">
        <w:rPr>
          <w:highlight w:val="lightGray"/>
        </w:rPr>
        <w:fldChar w:fldCharType="begin"/>
      </w:r>
      <w:r w:rsidR="00BA1C3F" w:rsidRPr="004B7D7F">
        <w:rPr>
          <w:highlight w:val="lightGray"/>
        </w:rPr>
        <w:instrText xml:space="preserve"> REF _Ref40194579 \h  \* MERGEFORMAT </w:instrText>
      </w:r>
      <w:r w:rsidR="00BA1C3F" w:rsidRPr="004B7D7F">
        <w:rPr>
          <w:highlight w:val="lightGray"/>
        </w:rPr>
      </w:r>
      <w:r w:rsidR="00BA1C3F" w:rsidRPr="004B7D7F">
        <w:rPr>
          <w:highlight w:val="lightGray"/>
        </w:rPr>
        <w:fldChar w:fldCharType="separate"/>
      </w:r>
      <w:r w:rsidR="00A64193" w:rsidRPr="00A64193">
        <w:rPr>
          <w:highlight w:val="lightGray"/>
        </w:rPr>
        <w:t>Figure 2</w:t>
      </w:r>
      <w:r w:rsidR="00BA1C3F" w:rsidRPr="004B7D7F">
        <w:rPr>
          <w:highlight w:val="lightGray"/>
        </w:rPr>
        <w:fldChar w:fldCharType="end"/>
      </w:r>
      <w:r w:rsidR="00BA1C3F" w:rsidRPr="619CA689">
        <w:t xml:space="preserve">). More specifically, GABHIC is tasked with </w:t>
      </w:r>
      <w:r w:rsidR="00913E78" w:rsidRPr="619CA689">
        <w:t xml:space="preserve">providing </w:t>
      </w:r>
      <w:r w:rsidR="00BA1C3F" w:rsidRPr="619CA689">
        <w:t xml:space="preserve">technical and administrative support to the Angolan representatives </w:t>
      </w:r>
      <w:r w:rsidR="00913E78" w:rsidRPr="619CA689">
        <w:t xml:space="preserve">the respective international </w:t>
      </w:r>
      <w:r w:rsidR="00BA1C3F" w:rsidRPr="619CA689">
        <w:t xml:space="preserve">technical commissions </w:t>
      </w:r>
      <w:r w:rsidR="00913E78" w:rsidRPr="619CA689">
        <w:t xml:space="preserve">responsible </w:t>
      </w:r>
      <w:r w:rsidR="00BA1C3F" w:rsidRPr="619CA689">
        <w:t xml:space="preserve">for the management of </w:t>
      </w:r>
      <w:r w:rsidR="00913E78" w:rsidRPr="619CA689">
        <w:t xml:space="preserve">the </w:t>
      </w:r>
      <w:r w:rsidR="00BA1C3F" w:rsidRPr="619CA689">
        <w:t xml:space="preserve">three shared </w:t>
      </w:r>
      <w:r w:rsidR="00913E78" w:rsidRPr="619CA689">
        <w:t xml:space="preserve">river </w:t>
      </w:r>
      <w:r w:rsidR="00BA1C3F" w:rsidRPr="619CA689">
        <w:t>basins to which Angola is a Party.</w:t>
      </w:r>
      <w:r w:rsidR="00BA1C3F" w:rsidRPr="619CA689">
        <w:rPr>
          <w:rStyle w:val="FootnoteReference"/>
        </w:rPr>
        <w:footnoteReference w:id="32"/>
      </w:r>
      <w:r w:rsidR="00BA1C3F" w:rsidRPr="619CA689">
        <w:t xml:space="preserve"> GABHIC was created by presidential decree in 2015</w:t>
      </w:r>
      <w:r w:rsidR="00BA1C3F" w:rsidRPr="619CA689">
        <w:rPr>
          <w:rStyle w:val="FootnoteReference"/>
        </w:rPr>
        <w:footnoteReference w:id="33"/>
      </w:r>
      <w:r w:rsidR="00BA1C3F" w:rsidRPr="00CE1EA7">
        <w:rPr>
          <w:szCs w:val="21"/>
        </w:rPr>
        <w:t xml:space="preserve"> </w:t>
      </w:r>
      <w:r w:rsidR="00F751D1" w:rsidRPr="619CA689">
        <w:t>to</w:t>
      </w:r>
      <w:r w:rsidR="00BA1C3F" w:rsidRPr="619CA689">
        <w:t xml:space="preserve"> advise the G</w:t>
      </w:r>
      <w:r w:rsidR="00F751D1" w:rsidRPr="619CA689">
        <w:t>overnment</w:t>
      </w:r>
      <w:r w:rsidR="00BA1C3F" w:rsidRPr="00CE1EA7">
        <w:rPr>
          <w:szCs w:val="21"/>
        </w:rPr>
        <w:t xml:space="preserve"> </w:t>
      </w:r>
      <w:r w:rsidR="00F751D1" w:rsidRPr="619CA689">
        <w:t>o</w:t>
      </w:r>
      <w:r w:rsidR="00BA1C3F" w:rsidRPr="619CA689">
        <w:t>n</w:t>
      </w:r>
      <w:r w:rsidR="00F751D1" w:rsidRPr="619CA689">
        <w:t xml:space="preserve"> all</w:t>
      </w:r>
      <w:r w:rsidR="00BA1C3F" w:rsidRPr="619CA689">
        <w:t xml:space="preserve"> matters concerning international river basins.</w:t>
      </w:r>
    </w:p>
    <w:p w14:paraId="32CFF258" w14:textId="7E14D829" w:rsidR="00F751D1" w:rsidRPr="00F751D1" w:rsidRDefault="00BA1C3F" w:rsidP="001667C6">
      <w:pPr>
        <w:pStyle w:val="ParagraphOED"/>
        <w:numPr>
          <w:ilvl w:val="0"/>
          <w:numId w:val="102"/>
        </w:numPr>
        <w:spacing w:after="80"/>
      </w:pPr>
      <w:r>
        <w:t>Other ministries</w:t>
      </w:r>
      <w:r w:rsidR="00F751D1">
        <w:t xml:space="preserve"> </w:t>
      </w:r>
      <w:r>
        <w:t>relevant to the project</w:t>
      </w:r>
      <w:r w:rsidR="00F751D1">
        <w:t xml:space="preserve"> are</w:t>
      </w:r>
      <w:r>
        <w:t xml:space="preserve">: </w:t>
      </w:r>
    </w:p>
    <w:p w14:paraId="3652CBA2" w14:textId="1FA65D47" w:rsidR="002901FE" w:rsidRDefault="002901FE" w:rsidP="00C53A49">
      <w:pPr>
        <w:pStyle w:val="ParagraphOED"/>
        <w:numPr>
          <w:ilvl w:val="0"/>
          <w:numId w:val="13"/>
        </w:numPr>
        <w:spacing w:after="80"/>
        <w:ind w:left="714" w:hanging="357"/>
      </w:pPr>
      <w:r>
        <w:t>T</w:t>
      </w:r>
      <w:r w:rsidR="00BA1C3F" w:rsidRPr="00CE1EA7">
        <w:t>he</w:t>
      </w:r>
      <w:r w:rsidR="00BA1C3F" w:rsidRPr="619CA689">
        <w:rPr>
          <w:b/>
          <w:bCs/>
        </w:rPr>
        <w:t xml:space="preserve"> Ministry of Territorial Administration (MAT)</w:t>
      </w:r>
      <w:r w:rsidR="00BA1C3F" w:rsidRPr="619CA689">
        <w:rPr>
          <w:rStyle w:val="FootnoteReference"/>
          <w:b/>
          <w:bCs/>
        </w:rPr>
        <w:footnoteReference w:id="34"/>
      </w:r>
      <w:r w:rsidR="00BA1C3F" w:rsidRPr="00CE1EA7">
        <w:t xml:space="preserve"> </w:t>
      </w:r>
      <w:r>
        <w:t>has</w:t>
      </w:r>
      <w:r w:rsidRPr="00CE1EA7">
        <w:t xml:space="preserve"> a role in local governance, providing guidance and training to local authorities.</w:t>
      </w:r>
    </w:p>
    <w:p w14:paraId="7B0E5FA4" w14:textId="37613694" w:rsidR="00BA1C3F" w:rsidRPr="00CE1EA7" w:rsidRDefault="005B591B" w:rsidP="00C53A49">
      <w:pPr>
        <w:pStyle w:val="ParagraphOED"/>
        <w:numPr>
          <w:ilvl w:val="0"/>
          <w:numId w:val="13"/>
        </w:numPr>
        <w:spacing w:after="160"/>
        <w:rPr>
          <w:b/>
        </w:rPr>
      </w:pPr>
      <w:r w:rsidRPr="619CA689">
        <w:t>The</w:t>
      </w:r>
      <w:r w:rsidR="00BA1C3F" w:rsidRPr="00CE1EA7">
        <w:t xml:space="preserve"> </w:t>
      </w:r>
      <w:r w:rsidR="00BA1C3F" w:rsidRPr="619CA689">
        <w:rPr>
          <w:b/>
          <w:bCs/>
        </w:rPr>
        <w:t xml:space="preserve">Ministry of </w:t>
      </w:r>
      <w:r w:rsidR="58CC4B56" w:rsidRPr="6491AA2D">
        <w:rPr>
          <w:b/>
          <w:bCs/>
        </w:rPr>
        <w:t>Public Works and</w:t>
      </w:r>
      <w:r w:rsidR="58CC4B56" w:rsidRPr="619CA689">
        <w:rPr>
          <w:b/>
          <w:bCs/>
        </w:rPr>
        <w:t xml:space="preserve"> </w:t>
      </w:r>
      <w:r w:rsidR="00BA1C3F" w:rsidRPr="619CA689">
        <w:rPr>
          <w:b/>
          <w:bCs/>
        </w:rPr>
        <w:t>Spatial Planning (MINO</w:t>
      </w:r>
      <w:r w:rsidR="66332E32" w:rsidRPr="619CA689">
        <w:rPr>
          <w:b/>
          <w:bCs/>
        </w:rPr>
        <w:t>PO</w:t>
      </w:r>
      <w:r w:rsidR="00BA1C3F" w:rsidRPr="619CA689">
        <w:rPr>
          <w:b/>
          <w:bCs/>
        </w:rPr>
        <w:t>T</w:t>
      </w:r>
      <w:bookmarkStart w:id="52" w:name="_Ref52126392"/>
      <w:r w:rsidR="00BA1C3F" w:rsidRPr="619CA689">
        <w:rPr>
          <w:rStyle w:val="FootnoteReference"/>
          <w:highlight w:val="lightGray"/>
        </w:rPr>
        <w:footnoteReference w:id="35"/>
      </w:r>
      <w:bookmarkEnd w:id="52"/>
      <w:r w:rsidRPr="619CA689">
        <w:t>,</w:t>
      </w:r>
      <w:r w:rsidRPr="005B591B">
        <w:rPr>
          <w:bCs/>
        </w:rPr>
        <w:t xml:space="preserve"> </w:t>
      </w:r>
      <w:r w:rsidRPr="619CA689">
        <w:t>together with MAT,</w:t>
      </w:r>
      <w:r w:rsidR="00BA1C3F" w:rsidRPr="005B591B">
        <w:rPr>
          <w:bCs/>
        </w:rPr>
        <w:t xml:space="preserve"> </w:t>
      </w:r>
      <w:r w:rsidRPr="619CA689">
        <w:t xml:space="preserve">has </w:t>
      </w:r>
      <w:r w:rsidR="00BA1C3F" w:rsidRPr="00CE1EA7">
        <w:t>a central role in statutory commissions responsible for land use and spatial planning (“</w:t>
      </w:r>
      <w:r w:rsidR="00BA1C3F" w:rsidRPr="4D10DE74">
        <w:rPr>
          <w:i/>
          <w:iCs/>
        </w:rPr>
        <w:t>ordenamento do territorio</w:t>
      </w:r>
      <w:r w:rsidR="00BA1C3F" w:rsidRPr="00CE1EA7">
        <w:t>”). MINO</w:t>
      </w:r>
      <w:r w:rsidR="59847491" w:rsidRPr="00CE1EA7">
        <w:t>PO</w:t>
      </w:r>
      <w:r w:rsidR="00BA1C3F" w:rsidRPr="00CE1EA7">
        <w:t>T ho</w:t>
      </w:r>
      <w:r>
        <w:t>sts</w:t>
      </w:r>
      <w:r w:rsidR="00BA1C3F" w:rsidRPr="00CE1EA7">
        <w:t xml:space="preserve"> the </w:t>
      </w:r>
      <w:r w:rsidRPr="619CA689">
        <w:rPr>
          <w:rStyle w:val="FootnoteReference"/>
          <w:highlight w:val="lightGray"/>
        </w:rPr>
        <w:fldChar w:fldCharType="begin"/>
      </w:r>
      <w:r w:rsidRPr="005B365C">
        <w:rPr>
          <w:highlight w:val="lightGray"/>
          <w:vertAlign w:val="superscript"/>
        </w:rPr>
        <w:instrText xml:space="preserve"> NOTEREF _Ref52126392 \h </w:instrText>
      </w:r>
      <w:r w:rsidR="005B365C" w:rsidRPr="619CA689">
        <w:rPr>
          <w:rStyle w:val="FootnoteReference"/>
          <w:highlight w:val="lightGray"/>
        </w:rPr>
        <w:instrText xml:space="preserve"> \* MERGEFORMAT </w:instrText>
      </w:r>
      <w:r w:rsidRPr="619CA689">
        <w:rPr>
          <w:rStyle w:val="FootnoteReference"/>
          <w:highlight w:val="lightGray"/>
        </w:rPr>
      </w:r>
      <w:r w:rsidRPr="619CA689">
        <w:rPr>
          <w:rStyle w:val="FootnoteReference"/>
          <w:highlight w:val="lightGray"/>
        </w:rPr>
        <w:fldChar w:fldCharType="separate"/>
      </w:r>
      <w:r w:rsidR="00A64193">
        <w:rPr>
          <w:highlight w:val="lightGray"/>
          <w:vertAlign w:val="superscript"/>
        </w:rPr>
        <w:t>37</w:t>
      </w:r>
      <w:r w:rsidRPr="619CA689">
        <w:rPr>
          <w:rStyle w:val="FootnoteReference"/>
          <w:highlight w:val="lightGray"/>
        </w:rPr>
        <w:fldChar w:fldCharType="end"/>
      </w:r>
      <w:r w:rsidR="00BA1C3F" w:rsidRPr="00CE1EA7">
        <w:t xml:space="preserve"> and the </w:t>
      </w:r>
      <w:r w:rsidR="00BA1C3F" w:rsidRPr="619CA689">
        <w:rPr>
          <w:b/>
          <w:bCs/>
        </w:rPr>
        <w:t>Geodesic and Cartographic Institute of Angola (IGCA</w:t>
      </w:r>
      <w:r w:rsidR="005B365C" w:rsidRPr="619CA689">
        <w:rPr>
          <w:rStyle w:val="FootnoteReference"/>
          <w:highlight w:val="lightGray"/>
        </w:rPr>
        <w:fldChar w:fldCharType="begin"/>
      </w:r>
      <w:r w:rsidR="005B365C" w:rsidRPr="005B365C">
        <w:rPr>
          <w:highlight w:val="lightGray"/>
          <w:vertAlign w:val="superscript"/>
        </w:rPr>
        <w:instrText xml:space="preserve"> NOTEREF _Ref52126392 \h </w:instrText>
      </w:r>
      <w:r w:rsidR="005B365C" w:rsidRPr="619CA689">
        <w:rPr>
          <w:rStyle w:val="FootnoteReference"/>
          <w:highlight w:val="lightGray"/>
        </w:rPr>
        <w:instrText xml:space="preserve"> \* MERGEFORMAT </w:instrText>
      </w:r>
      <w:r w:rsidR="005B365C" w:rsidRPr="619CA689">
        <w:rPr>
          <w:rStyle w:val="FootnoteReference"/>
          <w:highlight w:val="lightGray"/>
        </w:rPr>
      </w:r>
      <w:r w:rsidR="005B365C" w:rsidRPr="619CA689">
        <w:rPr>
          <w:rStyle w:val="FootnoteReference"/>
          <w:highlight w:val="lightGray"/>
        </w:rPr>
        <w:fldChar w:fldCharType="separate"/>
      </w:r>
      <w:r w:rsidR="00A64193">
        <w:rPr>
          <w:highlight w:val="lightGray"/>
          <w:vertAlign w:val="superscript"/>
        </w:rPr>
        <w:t>37</w:t>
      </w:r>
      <w:r w:rsidR="005B365C" w:rsidRPr="619CA689">
        <w:rPr>
          <w:rStyle w:val="FootnoteReference"/>
          <w:highlight w:val="lightGray"/>
        </w:rPr>
        <w:fldChar w:fldCharType="end"/>
      </w:r>
      <w:r w:rsidR="005B365C" w:rsidRPr="00CE1EA7">
        <w:t>.</w:t>
      </w:r>
      <w:r w:rsidR="005B365C">
        <w:t xml:space="preserve"> </w:t>
      </w:r>
      <w:r w:rsidR="00BA1C3F" w:rsidRPr="00CE1EA7">
        <w:t>Both institutes are mandated with providing technical services linked</w:t>
      </w:r>
      <w:r>
        <w:t>, respectively,</w:t>
      </w:r>
      <w:r w:rsidR="00BA1C3F" w:rsidRPr="00CE1EA7">
        <w:t xml:space="preserve"> to the delimitation of land tenure and </w:t>
      </w:r>
      <w:r w:rsidR="005B365C">
        <w:t xml:space="preserve">to </w:t>
      </w:r>
      <w:r w:rsidR="00BA1C3F" w:rsidRPr="00CE1EA7">
        <w:t xml:space="preserve">cadastral registration. </w:t>
      </w:r>
    </w:p>
    <w:p w14:paraId="7177FD74" w14:textId="0A06FA5E" w:rsidR="00BA1C3F" w:rsidRPr="00CE1EA7" w:rsidRDefault="00BA1C3F" w:rsidP="001667C6">
      <w:pPr>
        <w:pStyle w:val="ParagraphOED"/>
        <w:numPr>
          <w:ilvl w:val="0"/>
          <w:numId w:val="102"/>
        </w:numPr>
        <w:spacing w:after="80"/>
        <w:rPr>
          <w:b/>
          <w:bCs/>
        </w:rPr>
      </w:pPr>
      <w:r w:rsidRPr="1E65A5F7">
        <w:rPr>
          <w:b/>
          <w:bCs/>
        </w:rPr>
        <w:t xml:space="preserve">At </w:t>
      </w:r>
      <w:r w:rsidR="00416FED" w:rsidRPr="1E65A5F7">
        <w:rPr>
          <w:b/>
          <w:bCs/>
        </w:rPr>
        <w:t>s</w:t>
      </w:r>
      <w:r w:rsidRPr="1E65A5F7">
        <w:rPr>
          <w:b/>
          <w:bCs/>
        </w:rPr>
        <w:t>ub</w:t>
      </w:r>
      <w:r w:rsidR="00416FED" w:rsidRPr="1E65A5F7">
        <w:rPr>
          <w:b/>
          <w:bCs/>
        </w:rPr>
        <w:t>-</w:t>
      </w:r>
      <w:r w:rsidRPr="1E65A5F7">
        <w:rPr>
          <w:b/>
          <w:bCs/>
        </w:rPr>
        <w:t xml:space="preserve">national levels </w:t>
      </w:r>
      <w:r>
        <w:t xml:space="preserve">the </w:t>
      </w:r>
      <w:r w:rsidR="00416FED">
        <w:t>p</w:t>
      </w:r>
      <w:r>
        <w:t xml:space="preserve">rovincial and </w:t>
      </w:r>
      <w:r w:rsidR="00416FED">
        <w:t>l</w:t>
      </w:r>
      <w:r>
        <w:t>ocal Governments</w:t>
      </w:r>
      <w:r w:rsidR="00416FED">
        <w:t xml:space="preserve"> have broad responsibilities, including </w:t>
      </w:r>
      <w:r>
        <w:t xml:space="preserve">subsidiary representation </w:t>
      </w:r>
      <w:r w:rsidR="00416FED">
        <w:t>of</w:t>
      </w:r>
      <w:r>
        <w:t xml:space="preserve"> sectoral institution</w:t>
      </w:r>
      <w:r w:rsidR="00416FED">
        <w:t>s</w:t>
      </w:r>
      <w:r>
        <w:t xml:space="preserve"> at decentralized level</w:t>
      </w:r>
      <w:r w:rsidR="00416FED">
        <w:t>s</w:t>
      </w:r>
      <w:r>
        <w:t>:</w:t>
      </w:r>
    </w:p>
    <w:p w14:paraId="192649DF" w14:textId="04FA36E5" w:rsidR="00B556B5" w:rsidRPr="004B0FFB" w:rsidRDefault="00BA1C3F" w:rsidP="001667C6">
      <w:pPr>
        <w:pStyle w:val="ListParagraph"/>
        <w:numPr>
          <w:ilvl w:val="0"/>
          <w:numId w:val="26"/>
        </w:numPr>
        <w:spacing w:after="80"/>
        <w:ind w:left="709" w:hanging="425"/>
        <w:contextualSpacing w:val="0"/>
        <w:rPr>
          <w:rFonts w:asciiTheme="minorHAnsi" w:eastAsiaTheme="minorEastAsia" w:hAnsiTheme="minorHAnsi" w:cstheme="minorBidi"/>
          <w:color w:val="000000" w:themeColor="text1"/>
          <w:sz w:val="21"/>
          <w:szCs w:val="21"/>
        </w:rPr>
      </w:pPr>
      <w:r w:rsidRPr="619CA689">
        <w:rPr>
          <w:rFonts w:asciiTheme="minorHAnsi" w:hAnsiTheme="minorHAnsi" w:cstheme="minorBidi"/>
          <w:b/>
          <w:bCs/>
          <w:sz w:val="21"/>
          <w:szCs w:val="21"/>
        </w:rPr>
        <w:t xml:space="preserve">At Provincial </w:t>
      </w:r>
      <w:r w:rsidR="00EA1D2A" w:rsidRPr="619CA689">
        <w:rPr>
          <w:rFonts w:asciiTheme="minorHAnsi" w:hAnsiTheme="minorHAnsi" w:cstheme="minorBidi"/>
          <w:b/>
          <w:bCs/>
          <w:sz w:val="21"/>
          <w:szCs w:val="21"/>
        </w:rPr>
        <w:t>l</w:t>
      </w:r>
      <w:r w:rsidRPr="619CA689">
        <w:rPr>
          <w:rFonts w:asciiTheme="minorHAnsi" w:hAnsiTheme="minorHAnsi" w:cstheme="minorBidi"/>
          <w:b/>
          <w:bCs/>
          <w:sz w:val="21"/>
          <w:szCs w:val="21"/>
        </w:rPr>
        <w:t>eve</w:t>
      </w:r>
      <w:r w:rsidR="00EA1D2A" w:rsidRPr="619CA689">
        <w:rPr>
          <w:rFonts w:asciiTheme="minorHAnsi" w:hAnsiTheme="minorHAnsi" w:cstheme="minorBidi"/>
          <w:b/>
          <w:bCs/>
          <w:sz w:val="21"/>
          <w:szCs w:val="21"/>
        </w:rPr>
        <w:t>l</w:t>
      </w:r>
      <w:r w:rsidRPr="619CA689">
        <w:rPr>
          <w:rFonts w:asciiTheme="minorHAnsi" w:hAnsiTheme="minorHAnsi" w:cstheme="minorBidi"/>
          <w:b/>
          <w:bCs/>
          <w:sz w:val="21"/>
          <w:szCs w:val="21"/>
        </w:rPr>
        <w:t xml:space="preserve"> </w:t>
      </w:r>
      <w:r w:rsidR="003A1D88" w:rsidRPr="619CA689">
        <w:rPr>
          <w:rFonts w:asciiTheme="minorHAnsi" w:hAnsiTheme="minorHAnsi" w:cstheme="minorBidi"/>
          <w:sz w:val="21"/>
          <w:szCs w:val="21"/>
        </w:rPr>
        <w:t>f</w:t>
      </w:r>
      <w:r w:rsidRPr="619CA689">
        <w:rPr>
          <w:rFonts w:asciiTheme="minorHAnsi" w:hAnsiTheme="minorHAnsi" w:cstheme="minorBidi"/>
          <w:sz w:val="21"/>
          <w:szCs w:val="21"/>
        </w:rPr>
        <w:t xml:space="preserve">our of </w:t>
      </w:r>
      <w:r w:rsidR="00EA1D2A" w:rsidRPr="619CA689">
        <w:rPr>
          <w:rFonts w:asciiTheme="minorHAnsi" w:hAnsiTheme="minorHAnsi" w:cstheme="minorBidi"/>
          <w:sz w:val="21"/>
          <w:szCs w:val="21"/>
        </w:rPr>
        <w:t xml:space="preserve">the </w:t>
      </w:r>
      <w:r w:rsidRPr="619CA689">
        <w:rPr>
          <w:rFonts w:asciiTheme="minorHAnsi" w:hAnsiTheme="minorHAnsi" w:cstheme="minorBidi"/>
          <w:sz w:val="21"/>
          <w:szCs w:val="21"/>
        </w:rPr>
        <w:t>afore-mentioned ministries (M</w:t>
      </w:r>
      <w:r w:rsidR="3D60CBD5" w:rsidRPr="619CA689">
        <w:rPr>
          <w:rFonts w:asciiTheme="minorHAnsi" w:hAnsiTheme="minorHAnsi" w:cstheme="minorBidi"/>
          <w:sz w:val="21"/>
          <w:szCs w:val="21"/>
        </w:rPr>
        <w:t>CTA</w:t>
      </w:r>
      <w:r w:rsidRPr="619CA689">
        <w:rPr>
          <w:rFonts w:asciiTheme="minorHAnsi" w:hAnsiTheme="minorHAnsi" w:cstheme="minorBidi"/>
          <w:sz w:val="21"/>
          <w:szCs w:val="21"/>
        </w:rPr>
        <w:t xml:space="preserve">, </w:t>
      </w:r>
      <w:r w:rsidRPr="1DF45A6D">
        <w:rPr>
          <w:rFonts w:asciiTheme="minorHAnsi" w:hAnsiTheme="minorHAnsi" w:cstheme="minorBidi"/>
          <w:sz w:val="21"/>
          <w:szCs w:val="21"/>
        </w:rPr>
        <w:t>MINAGRI</w:t>
      </w:r>
      <w:r w:rsidR="57FEB69D" w:rsidRPr="1DF45A6D">
        <w:rPr>
          <w:rFonts w:asciiTheme="minorHAnsi" w:hAnsiTheme="minorHAnsi" w:cstheme="minorBidi"/>
          <w:sz w:val="21"/>
          <w:szCs w:val="21"/>
        </w:rPr>
        <w:t>P</w:t>
      </w:r>
      <w:r w:rsidRPr="619CA689">
        <w:rPr>
          <w:rFonts w:asciiTheme="minorHAnsi" w:hAnsiTheme="minorHAnsi" w:cstheme="minorBidi"/>
          <w:sz w:val="21"/>
          <w:szCs w:val="21"/>
        </w:rPr>
        <w:t xml:space="preserve">, MINEA and </w:t>
      </w:r>
      <w:r w:rsidRPr="6491AA2D">
        <w:rPr>
          <w:rFonts w:asciiTheme="minorHAnsi" w:hAnsiTheme="minorHAnsi" w:cstheme="minorBidi"/>
          <w:sz w:val="21"/>
          <w:szCs w:val="21"/>
        </w:rPr>
        <w:t>MINO</w:t>
      </w:r>
      <w:r w:rsidR="5C18DD2B" w:rsidRPr="6491AA2D">
        <w:rPr>
          <w:rFonts w:asciiTheme="minorHAnsi" w:hAnsiTheme="minorHAnsi" w:cstheme="minorBidi"/>
          <w:sz w:val="21"/>
          <w:szCs w:val="21"/>
        </w:rPr>
        <w:t>PO</w:t>
      </w:r>
      <w:r w:rsidRPr="6491AA2D">
        <w:rPr>
          <w:rFonts w:asciiTheme="minorHAnsi" w:hAnsiTheme="minorHAnsi" w:cstheme="minorBidi"/>
          <w:sz w:val="21"/>
          <w:szCs w:val="21"/>
        </w:rPr>
        <w:t>T</w:t>
      </w:r>
      <w:r w:rsidRPr="619CA689">
        <w:rPr>
          <w:rFonts w:asciiTheme="minorHAnsi" w:hAnsiTheme="minorHAnsi" w:cstheme="minorBidi"/>
          <w:sz w:val="21"/>
          <w:szCs w:val="21"/>
        </w:rPr>
        <w:t xml:space="preserve">) have provincial directorates. </w:t>
      </w:r>
      <w:r w:rsidR="00EA1D2A" w:rsidRPr="619CA689">
        <w:rPr>
          <w:rFonts w:asciiTheme="minorHAnsi" w:hAnsiTheme="minorHAnsi" w:cstheme="minorBidi"/>
          <w:sz w:val="21"/>
          <w:szCs w:val="21"/>
        </w:rPr>
        <w:t>M</w:t>
      </w:r>
      <w:r w:rsidRPr="619CA689">
        <w:rPr>
          <w:rFonts w:asciiTheme="minorHAnsi" w:hAnsiTheme="minorHAnsi" w:cstheme="minorBidi"/>
          <w:sz w:val="21"/>
          <w:szCs w:val="21"/>
        </w:rPr>
        <w:t xml:space="preserve">ost relevant for land-use management </w:t>
      </w:r>
      <w:r w:rsidR="00EA1D2A" w:rsidRPr="619CA689">
        <w:rPr>
          <w:rFonts w:asciiTheme="minorHAnsi" w:hAnsiTheme="minorHAnsi" w:cstheme="minorBidi"/>
          <w:sz w:val="21"/>
          <w:szCs w:val="21"/>
        </w:rPr>
        <w:t xml:space="preserve">is </w:t>
      </w:r>
      <w:r w:rsidRPr="619CA689">
        <w:rPr>
          <w:rFonts w:asciiTheme="minorHAnsi" w:hAnsiTheme="minorHAnsi" w:cstheme="minorBidi"/>
          <w:sz w:val="21"/>
          <w:szCs w:val="21"/>
        </w:rPr>
        <w:t xml:space="preserve">the Provincial Directorate for Environment </w:t>
      </w:r>
      <w:r w:rsidR="00EA1D2A" w:rsidRPr="619CA689">
        <w:rPr>
          <w:rFonts w:asciiTheme="minorHAnsi" w:hAnsiTheme="minorHAnsi" w:cstheme="minorBidi"/>
          <w:sz w:val="21"/>
          <w:szCs w:val="21"/>
        </w:rPr>
        <w:t xml:space="preserve">under </w:t>
      </w:r>
      <w:r w:rsidR="605AC047" w:rsidRPr="619CA689">
        <w:rPr>
          <w:rFonts w:asciiTheme="minorHAnsi" w:hAnsiTheme="minorHAnsi" w:cstheme="minorBidi"/>
          <w:sz w:val="21"/>
          <w:szCs w:val="21"/>
        </w:rPr>
        <w:t>MCTA</w:t>
      </w:r>
      <w:r w:rsidR="00EA1D2A" w:rsidRPr="619CA689">
        <w:rPr>
          <w:rFonts w:asciiTheme="minorHAnsi" w:hAnsiTheme="minorHAnsi" w:cstheme="minorBidi"/>
          <w:sz w:val="21"/>
          <w:szCs w:val="21"/>
        </w:rPr>
        <w:t xml:space="preserve"> </w:t>
      </w:r>
      <w:r w:rsidRPr="619CA689">
        <w:rPr>
          <w:rFonts w:asciiTheme="minorHAnsi" w:hAnsiTheme="minorHAnsi" w:cstheme="minorBidi"/>
          <w:sz w:val="21"/>
          <w:szCs w:val="21"/>
        </w:rPr>
        <w:t>and Spatial Planning and Urban Development (</w:t>
      </w:r>
      <w:r w:rsidRPr="6491AA2D">
        <w:rPr>
          <w:rFonts w:asciiTheme="minorHAnsi" w:hAnsiTheme="minorHAnsi" w:cstheme="minorBidi"/>
          <w:sz w:val="21"/>
          <w:szCs w:val="21"/>
        </w:rPr>
        <w:t>DPO</w:t>
      </w:r>
      <w:r w:rsidR="7744D7BD" w:rsidRPr="6491AA2D">
        <w:rPr>
          <w:rFonts w:asciiTheme="minorHAnsi" w:hAnsiTheme="minorHAnsi" w:cstheme="minorBidi"/>
          <w:sz w:val="21"/>
          <w:szCs w:val="21"/>
        </w:rPr>
        <w:t>PO</w:t>
      </w:r>
      <w:r w:rsidRPr="6491AA2D">
        <w:rPr>
          <w:rFonts w:asciiTheme="minorHAnsi" w:hAnsiTheme="minorHAnsi" w:cstheme="minorBidi"/>
          <w:sz w:val="21"/>
          <w:szCs w:val="21"/>
        </w:rPr>
        <w:t>T</w:t>
      </w:r>
      <w:r w:rsidRPr="619CA689">
        <w:rPr>
          <w:rStyle w:val="FootnoteReference"/>
          <w:rFonts w:asciiTheme="minorHAnsi" w:hAnsiTheme="minorHAnsi" w:cstheme="minorBidi"/>
          <w:sz w:val="21"/>
          <w:szCs w:val="21"/>
        </w:rPr>
        <w:footnoteReference w:id="36"/>
      </w:r>
      <w:r w:rsidRPr="619CA689">
        <w:rPr>
          <w:rFonts w:asciiTheme="minorHAnsi" w:hAnsiTheme="minorHAnsi" w:cstheme="minorBidi"/>
          <w:sz w:val="21"/>
          <w:szCs w:val="21"/>
        </w:rPr>
        <w:t xml:space="preserve">) under </w:t>
      </w:r>
      <w:r w:rsidRPr="6491AA2D">
        <w:rPr>
          <w:rFonts w:asciiTheme="minorHAnsi" w:hAnsiTheme="minorHAnsi" w:cstheme="minorBidi"/>
          <w:sz w:val="21"/>
          <w:szCs w:val="21"/>
        </w:rPr>
        <w:t>MINO</w:t>
      </w:r>
      <w:r w:rsidR="67F11BFC" w:rsidRPr="6491AA2D">
        <w:rPr>
          <w:rFonts w:asciiTheme="minorHAnsi" w:hAnsiTheme="minorHAnsi" w:cstheme="minorBidi"/>
          <w:sz w:val="21"/>
          <w:szCs w:val="21"/>
        </w:rPr>
        <w:t>PO</w:t>
      </w:r>
      <w:r w:rsidRPr="6491AA2D">
        <w:rPr>
          <w:rFonts w:asciiTheme="minorHAnsi" w:hAnsiTheme="minorHAnsi" w:cstheme="minorBidi"/>
          <w:sz w:val="21"/>
          <w:szCs w:val="21"/>
        </w:rPr>
        <w:t>T.</w:t>
      </w:r>
      <w:r w:rsidRPr="619CA689">
        <w:rPr>
          <w:rFonts w:asciiTheme="minorHAnsi" w:hAnsiTheme="minorHAnsi" w:cstheme="minorBidi"/>
          <w:sz w:val="21"/>
          <w:szCs w:val="21"/>
        </w:rPr>
        <w:t xml:space="preserve"> The Provincial Directorate for Agriculture</w:t>
      </w:r>
      <w:r w:rsidR="7A0A0F63" w:rsidRPr="6491AA2D">
        <w:rPr>
          <w:rFonts w:asciiTheme="minorHAnsi" w:hAnsiTheme="minorHAnsi" w:cstheme="minorBidi"/>
          <w:sz w:val="21"/>
          <w:szCs w:val="21"/>
        </w:rPr>
        <w:t>, Livestock and Fishery</w:t>
      </w:r>
      <w:r w:rsidRPr="619CA689">
        <w:rPr>
          <w:rFonts w:asciiTheme="minorHAnsi" w:hAnsiTheme="minorHAnsi" w:cstheme="minorBidi"/>
          <w:sz w:val="21"/>
          <w:szCs w:val="21"/>
        </w:rPr>
        <w:t xml:space="preserve">  (</w:t>
      </w:r>
      <w:r w:rsidRPr="6491AA2D">
        <w:rPr>
          <w:rFonts w:asciiTheme="minorHAnsi" w:hAnsiTheme="minorHAnsi" w:cstheme="minorBidi"/>
          <w:sz w:val="21"/>
          <w:szCs w:val="21"/>
        </w:rPr>
        <w:t>DPA</w:t>
      </w:r>
      <w:r w:rsidR="34D068A1" w:rsidRPr="6491AA2D">
        <w:rPr>
          <w:rFonts w:asciiTheme="minorHAnsi" w:hAnsiTheme="minorHAnsi" w:cstheme="minorBidi"/>
          <w:sz w:val="21"/>
          <w:szCs w:val="21"/>
        </w:rPr>
        <w:t>PP</w:t>
      </w:r>
      <w:r w:rsidRPr="619CA689">
        <w:rPr>
          <w:rStyle w:val="FootnoteReference"/>
          <w:rFonts w:asciiTheme="minorHAnsi" w:hAnsiTheme="minorHAnsi" w:cstheme="minorBidi"/>
          <w:sz w:val="21"/>
          <w:szCs w:val="21"/>
        </w:rPr>
        <w:footnoteReference w:id="37"/>
      </w:r>
      <w:r w:rsidRPr="619CA689">
        <w:rPr>
          <w:rFonts w:asciiTheme="minorHAnsi" w:hAnsiTheme="minorHAnsi" w:cstheme="minorBidi"/>
          <w:sz w:val="21"/>
          <w:szCs w:val="21"/>
        </w:rPr>
        <w:t xml:space="preserve">) under </w:t>
      </w:r>
      <w:r w:rsidRPr="1DF45A6D">
        <w:rPr>
          <w:rFonts w:asciiTheme="minorHAnsi" w:hAnsiTheme="minorHAnsi" w:cstheme="minorBidi"/>
          <w:sz w:val="21"/>
          <w:szCs w:val="21"/>
        </w:rPr>
        <w:t>MINAGRI</w:t>
      </w:r>
      <w:r w:rsidR="03285352" w:rsidRPr="1DF45A6D">
        <w:rPr>
          <w:rFonts w:asciiTheme="minorHAnsi" w:hAnsiTheme="minorHAnsi" w:cstheme="minorBidi"/>
          <w:sz w:val="21"/>
          <w:szCs w:val="21"/>
        </w:rPr>
        <w:t>P</w:t>
      </w:r>
      <w:r w:rsidR="00EA1D2A" w:rsidRPr="619CA689">
        <w:rPr>
          <w:rFonts w:asciiTheme="minorHAnsi" w:hAnsiTheme="minorHAnsi" w:cstheme="minorBidi"/>
          <w:sz w:val="21"/>
          <w:szCs w:val="21"/>
        </w:rPr>
        <w:t xml:space="preserve"> </w:t>
      </w:r>
      <w:r w:rsidRPr="619CA689">
        <w:rPr>
          <w:rFonts w:asciiTheme="minorHAnsi" w:hAnsiTheme="minorHAnsi" w:cstheme="minorBidi"/>
          <w:sz w:val="21"/>
          <w:szCs w:val="21"/>
        </w:rPr>
        <w:t>has one of the strongest presences at decentralized level and</w:t>
      </w:r>
      <w:r w:rsidR="00CC5B11" w:rsidRPr="619CA689">
        <w:rPr>
          <w:rFonts w:asciiTheme="minorHAnsi" w:hAnsiTheme="minorHAnsi" w:cstheme="minorBidi"/>
          <w:sz w:val="21"/>
          <w:szCs w:val="21"/>
        </w:rPr>
        <w:t xml:space="preserve"> </w:t>
      </w:r>
      <w:r w:rsidRPr="619CA689">
        <w:rPr>
          <w:rFonts w:asciiTheme="minorHAnsi" w:hAnsiTheme="minorHAnsi" w:cstheme="minorBidi"/>
          <w:sz w:val="21"/>
          <w:szCs w:val="21"/>
        </w:rPr>
        <w:t xml:space="preserve">is represented </w:t>
      </w:r>
      <w:r w:rsidR="00CC5B11" w:rsidRPr="619CA689">
        <w:rPr>
          <w:rFonts w:asciiTheme="minorHAnsi" w:hAnsiTheme="minorHAnsi" w:cstheme="minorBidi"/>
          <w:sz w:val="21"/>
          <w:szCs w:val="21"/>
        </w:rPr>
        <w:t xml:space="preserve">by </w:t>
      </w:r>
      <w:r w:rsidRPr="619CA689">
        <w:rPr>
          <w:rFonts w:asciiTheme="minorHAnsi" w:hAnsiTheme="minorHAnsi" w:cstheme="minorBidi"/>
          <w:sz w:val="21"/>
          <w:szCs w:val="21"/>
        </w:rPr>
        <w:t xml:space="preserve">its associated Department of Agrarian Development, Department of Forestry Development, Department of Rural Planning, and Department of Fisheries and Veterinarian </w:t>
      </w:r>
      <w:r w:rsidRPr="619CA689">
        <w:rPr>
          <w:rFonts w:asciiTheme="minorHAnsi" w:hAnsiTheme="minorHAnsi" w:cstheme="minorBidi"/>
          <w:sz w:val="21"/>
          <w:szCs w:val="21"/>
        </w:rPr>
        <w:lastRenderedPageBreak/>
        <w:t>Services. IDA is also represented at provincial level.</w:t>
      </w:r>
      <w:r w:rsidR="03E2143B" w:rsidRPr="5DDE12F0">
        <w:rPr>
          <w:rFonts w:asciiTheme="minorHAnsi" w:hAnsiTheme="minorHAnsi" w:cstheme="minorBidi"/>
          <w:sz w:val="21"/>
          <w:szCs w:val="21"/>
        </w:rPr>
        <w:t xml:space="preserve"> A</w:t>
      </w:r>
      <w:r w:rsidRPr="5DDE12F0">
        <w:rPr>
          <w:rFonts w:asciiTheme="minorHAnsi" w:hAnsiTheme="minorHAnsi" w:cstheme="minorBidi"/>
          <w:sz w:val="21"/>
          <w:szCs w:val="21"/>
        </w:rPr>
        <w:t xml:space="preserve">ccording to Angolan legislation (Presidential Decree. no. 2/07), </w:t>
      </w:r>
      <w:r w:rsidR="18D3E4B9" w:rsidRPr="5DDE12F0">
        <w:rPr>
          <w:rFonts w:asciiTheme="minorHAnsi" w:hAnsiTheme="minorHAnsi" w:cstheme="minorBidi"/>
          <w:sz w:val="21"/>
          <w:szCs w:val="21"/>
        </w:rPr>
        <w:t>provincial goverments</w:t>
      </w:r>
      <w:r w:rsidRPr="5DDE12F0">
        <w:rPr>
          <w:rFonts w:asciiTheme="minorHAnsi" w:hAnsiTheme="minorHAnsi" w:cstheme="minorBidi"/>
          <w:sz w:val="21"/>
          <w:szCs w:val="21"/>
        </w:rPr>
        <w:t xml:space="preserve"> have a competences in the licensing procedures to grant land tenure legalization claims</w:t>
      </w:r>
      <w:r w:rsidR="48A1B6A7" w:rsidRPr="5DDE12F0">
        <w:rPr>
          <w:rFonts w:asciiTheme="minorHAnsi" w:hAnsiTheme="minorHAnsi" w:cstheme="minorBidi"/>
          <w:sz w:val="21"/>
          <w:szCs w:val="21"/>
        </w:rPr>
        <w:t xml:space="preserve"> </w:t>
      </w:r>
      <w:r w:rsidR="7F7F8DAF" w:rsidRPr="5DDE12F0">
        <w:rPr>
          <w:rFonts w:asciiTheme="minorHAnsi" w:hAnsiTheme="minorHAnsi" w:cstheme="minorBidi"/>
          <w:sz w:val="21"/>
          <w:szCs w:val="21"/>
        </w:rPr>
        <w:t>of l</w:t>
      </w:r>
      <w:r w:rsidR="48A1B6A7" w:rsidRPr="5DDE12F0">
        <w:rPr>
          <w:rFonts w:asciiTheme="minorHAnsi" w:hAnsiTheme="minorHAnsi" w:cstheme="minorBidi"/>
          <w:sz w:val="21"/>
          <w:szCs w:val="21"/>
        </w:rPr>
        <w:t>ess than 1000 Ha</w:t>
      </w:r>
      <w:r w:rsidRPr="5DDE12F0">
        <w:rPr>
          <w:rFonts w:asciiTheme="minorHAnsi" w:hAnsiTheme="minorHAnsi" w:cstheme="minorBidi"/>
          <w:sz w:val="21"/>
          <w:szCs w:val="21"/>
        </w:rPr>
        <w:t xml:space="preserve">, both collectively from communities and also from individual citizens. </w:t>
      </w:r>
      <w:r w:rsidR="00714A32" w:rsidRPr="5DDE12F0">
        <w:rPr>
          <w:rFonts w:cstheme="minorBidi"/>
          <w:sz w:val="21"/>
          <w:szCs w:val="21"/>
        </w:rPr>
        <w:t xml:space="preserve"> </w:t>
      </w:r>
    </w:p>
    <w:p w14:paraId="19B152BC" w14:textId="3241A5F0" w:rsidR="00BA1C3F" w:rsidRPr="008A17C3" w:rsidRDefault="008A17C3" w:rsidP="001667C6">
      <w:pPr>
        <w:pStyle w:val="ListParagraph"/>
        <w:numPr>
          <w:ilvl w:val="0"/>
          <w:numId w:val="26"/>
        </w:numPr>
        <w:spacing w:after="80"/>
        <w:ind w:left="709" w:hanging="425"/>
        <w:contextualSpacing w:val="0"/>
        <w:rPr>
          <w:rFonts w:asciiTheme="minorHAnsi" w:hAnsiTheme="minorHAnsi" w:cstheme="minorBidi"/>
          <w:sz w:val="21"/>
          <w:szCs w:val="21"/>
        </w:rPr>
      </w:pPr>
      <w:r w:rsidRPr="00B556B5">
        <w:rPr>
          <w:b/>
          <w:iCs/>
          <w:sz w:val="21"/>
          <w:szCs w:val="21"/>
        </w:rPr>
        <w:t>Municipalities</w:t>
      </w:r>
      <w:r w:rsidRPr="00B556B5">
        <w:rPr>
          <w:iCs/>
          <w:sz w:val="21"/>
          <w:szCs w:val="21"/>
        </w:rPr>
        <w:t xml:space="preserve">, in addition to </w:t>
      </w:r>
      <w:r w:rsidR="00B556B5">
        <w:rPr>
          <w:iCs/>
          <w:sz w:val="21"/>
          <w:szCs w:val="21"/>
        </w:rPr>
        <w:t>a</w:t>
      </w:r>
      <w:r w:rsidRPr="00B556B5">
        <w:rPr>
          <w:iCs/>
          <w:sz w:val="21"/>
          <w:szCs w:val="21"/>
        </w:rPr>
        <w:t xml:space="preserve"> Municipal Administrator and Deputy Municipal Administrator,</w:t>
      </w:r>
      <w:r w:rsidR="00BA772F">
        <w:rPr>
          <w:iCs/>
          <w:sz w:val="21"/>
          <w:szCs w:val="21"/>
        </w:rPr>
        <w:t xml:space="preserve"> have</w:t>
      </w:r>
      <w:r w:rsidRPr="00B556B5">
        <w:rPr>
          <w:iCs/>
          <w:sz w:val="21"/>
          <w:szCs w:val="21"/>
        </w:rPr>
        <w:t xml:space="preserve"> a team with the usual technical competences and a</w:t>
      </w:r>
      <w:r w:rsidR="00BA772F">
        <w:rPr>
          <w:iCs/>
          <w:sz w:val="21"/>
          <w:szCs w:val="21"/>
        </w:rPr>
        <w:t xml:space="preserve"> </w:t>
      </w:r>
      <w:r w:rsidRPr="00B556B5">
        <w:rPr>
          <w:b/>
          <w:iCs/>
          <w:sz w:val="21"/>
          <w:szCs w:val="21"/>
        </w:rPr>
        <w:t>Council for Social Consultation and Concertation</w:t>
      </w:r>
      <w:r w:rsidR="00BA772F" w:rsidRPr="00B556B5">
        <w:rPr>
          <w:iCs/>
          <w:sz w:val="21"/>
          <w:szCs w:val="21"/>
        </w:rPr>
        <w:t xml:space="preserve"> </w:t>
      </w:r>
      <w:r w:rsidR="00BA772F" w:rsidRPr="00B556B5">
        <w:rPr>
          <w:b/>
          <w:iCs/>
          <w:sz w:val="21"/>
          <w:szCs w:val="21"/>
        </w:rPr>
        <w:t>(CACS</w:t>
      </w:r>
      <w:r w:rsidRPr="00B556B5">
        <w:rPr>
          <w:b/>
          <w:iCs/>
          <w:sz w:val="21"/>
          <w:szCs w:val="21"/>
        </w:rPr>
        <w:t>)</w:t>
      </w:r>
      <w:r w:rsidRPr="00B556B5">
        <w:rPr>
          <w:rStyle w:val="FootnoteReference"/>
          <w:iCs/>
          <w:sz w:val="21"/>
          <w:szCs w:val="21"/>
        </w:rPr>
        <w:footnoteReference w:id="38"/>
      </w:r>
      <w:r w:rsidRPr="00B556B5">
        <w:rPr>
          <w:iCs/>
          <w:sz w:val="21"/>
          <w:szCs w:val="21"/>
        </w:rPr>
        <w:t>. The same structure is replicated at commune</w:t>
      </w:r>
      <w:r w:rsidR="00BA772F" w:rsidRPr="00B556B5">
        <w:rPr>
          <w:iCs/>
          <w:sz w:val="21"/>
          <w:szCs w:val="21"/>
        </w:rPr>
        <w:t xml:space="preserve"> leve</w:t>
      </w:r>
      <w:r w:rsidR="00BA772F">
        <w:rPr>
          <w:iCs/>
          <w:sz w:val="21"/>
          <w:szCs w:val="21"/>
        </w:rPr>
        <w:t>l</w:t>
      </w:r>
      <w:r w:rsidRPr="00B556B5">
        <w:rPr>
          <w:iCs/>
          <w:sz w:val="21"/>
          <w:szCs w:val="21"/>
        </w:rPr>
        <w:t>. The CACS usually include</w:t>
      </w:r>
      <w:r w:rsidR="00BA772F">
        <w:rPr>
          <w:iCs/>
          <w:sz w:val="21"/>
          <w:szCs w:val="21"/>
        </w:rPr>
        <w:t>s</w:t>
      </w:r>
      <w:r w:rsidRPr="00B556B5">
        <w:rPr>
          <w:iCs/>
          <w:sz w:val="21"/>
          <w:szCs w:val="21"/>
        </w:rPr>
        <w:t xml:space="preserve"> </w:t>
      </w:r>
      <w:r w:rsidRPr="00B556B5">
        <w:rPr>
          <w:b/>
          <w:iCs/>
          <w:sz w:val="21"/>
          <w:szCs w:val="21"/>
        </w:rPr>
        <w:t>community authorities</w:t>
      </w:r>
      <w:r w:rsidRPr="00B556B5">
        <w:rPr>
          <w:iCs/>
          <w:sz w:val="21"/>
          <w:szCs w:val="21"/>
        </w:rPr>
        <w:t xml:space="preserve"> (</w:t>
      </w:r>
      <w:r w:rsidRPr="00B556B5">
        <w:rPr>
          <w:i/>
          <w:sz w:val="21"/>
          <w:szCs w:val="21"/>
        </w:rPr>
        <w:t>Sobas</w:t>
      </w:r>
      <w:r w:rsidRPr="00B556B5">
        <w:rPr>
          <w:iCs/>
          <w:sz w:val="21"/>
          <w:szCs w:val="21"/>
        </w:rPr>
        <w:t>), local associations and NGOs, religious authorities, people of social and economic importance, and companies. Working through municipal or communal administration to support the CACS to play a pro-active role in land-use management</w:t>
      </w:r>
      <w:r w:rsidRPr="00CE1EA7">
        <w:rPr>
          <w:iCs/>
        </w:rPr>
        <w:t>.</w:t>
      </w:r>
      <w:r w:rsidR="63A0F4CE" w:rsidRPr="5DDE12F0">
        <w:rPr>
          <w:rFonts w:asciiTheme="minorHAnsi" w:hAnsiTheme="minorHAnsi" w:cstheme="minorBidi"/>
          <w:sz w:val="21"/>
          <w:szCs w:val="21"/>
        </w:rPr>
        <w:t xml:space="preserve"> In the development of the country’s planning system, municipalities have a duty to develop municipal planning instruments in the form of Municipal Master Plans (PDMs) and Rural </w:t>
      </w:r>
      <w:r w:rsidR="63A0F4CE" w:rsidRPr="5DDE12F0">
        <w:rPr>
          <w:rFonts w:cstheme="minorBidi"/>
          <w:sz w:val="21"/>
          <w:szCs w:val="21"/>
        </w:rPr>
        <w:t>Land-Use Plans (PORs).</w:t>
      </w:r>
    </w:p>
    <w:p w14:paraId="511CBD5B" w14:textId="7FFB0D01" w:rsidR="00BA1C3F" w:rsidRPr="00CE1EA7" w:rsidRDefault="0065294A" w:rsidP="00BC23EE">
      <w:pPr>
        <w:pStyle w:val="ParagraphOED"/>
        <w:numPr>
          <w:ilvl w:val="0"/>
          <w:numId w:val="0"/>
        </w:numPr>
        <w:spacing w:after="80"/>
        <w:ind w:left="709"/>
        <w:rPr>
          <w:iCs/>
        </w:rPr>
      </w:pPr>
      <w:r>
        <w:rPr>
          <w:iCs/>
        </w:rPr>
        <w:t>L</w:t>
      </w:r>
      <w:r w:rsidR="00BA1C3F" w:rsidRPr="00CE1EA7">
        <w:rPr>
          <w:iCs/>
        </w:rPr>
        <w:t xml:space="preserve">egislative reform </w:t>
      </w:r>
      <w:r>
        <w:rPr>
          <w:iCs/>
        </w:rPr>
        <w:t xml:space="preserve">is </w:t>
      </w:r>
      <w:r w:rsidRPr="00CE1EA7">
        <w:rPr>
          <w:iCs/>
        </w:rPr>
        <w:t>under public consultation</w:t>
      </w:r>
      <w:r>
        <w:rPr>
          <w:iCs/>
        </w:rPr>
        <w:t xml:space="preserve">, notably  to change </w:t>
      </w:r>
      <w:r w:rsidR="00BA1C3F" w:rsidRPr="00CE1EA7">
        <w:rPr>
          <w:iCs/>
        </w:rPr>
        <w:t>the way municipalities function politically</w:t>
      </w:r>
      <w:r>
        <w:rPr>
          <w:iCs/>
        </w:rPr>
        <w:t xml:space="preserve"> from </w:t>
      </w:r>
      <w:r w:rsidR="00BC23EE">
        <w:rPr>
          <w:iCs/>
        </w:rPr>
        <w:t xml:space="preserve"> </w:t>
      </w:r>
      <w:r w:rsidRPr="00CE1EA7">
        <w:rPr>
          <w:iCs/>
        </w:rPr>
        <w:t xml:space="preserve">municipal administrators </w:t>
      </w:r>
      <w:r>
        <w:rPr>
          <w:iCs/>
        </w:rPr>
        <w:t xml:space="preserve">being </w:t>
      </w:r>
      <w:r w:rsidRPr="00CE1EA7">
        <w:rPr>
          <w:iCs/>
        </w:rPr>
        <w:t>appointed by provincial authorities</w:t>
      </w:r>
      <w:r>
        <w:rPr>
          <w:iCs/>
        </w:rPr>
        <w:t xml:space="preserve"> to being </w:t>
      </w:r>
      <w:r w:rsidRPr="00CE1EA7">
        <w:rPr>
          <w:iCs/>
        </w:rPr>
        <w:t>democratically elected</w:t>
      </w:r>
      <w:r>
        <w:rPr>
          <w:iCs/>
        </w:rPr>
        <w:t xml:space="preserve">. </w:t>
      </w:r>
      <w:r w:rsidR="00BA1C3F" w:rsidRPr="00CE1EA7">
        <w:rPr>
          <w:iCs/>
        </w:rPr>
        <w:t>A Commune Secretary</w:t>
      </w:r>
      <w:r w:rsidR="00D217F5">
        <w:rPr>
          <w:iCs/>
        </w:rPr>
        <w:t>,</w:t>
      </w:r>
      <w:r w:rsidR="00BA1C3F" w:rsidRPr="00CE1EA7">
        <w:rPr>
          <w:iCs/>
        </w:rPr>
        <w:t xml:space="preserve"> replacing the current Commune Administrator</w:t>
      </w:r>
      <w:r w:rsidR="00D217F5">
        <w:rPr>
          <w:iCs/>
        </w:rPr>
        <w:t>,</w:t>
      </w:r>
      <w:r w:rsidR="00BA1C3F" w:rsidRPr="00CE1EA7">
        <w:rPr>
          <w:iCs/>
        </w:rPr>
        <w:t xml:space="preserve"> will still be appointed </w:t>
      </w:r>
      <w:r w:rsidR="00BC23EE">
        <w:rPr>
          <w:iCs/>
        </w:rPr>
        <w:t>to</w:t>
      </w:r>
      <w:r w:rsidR="00BA1C3F" w:rsidRPr="00CE1EA7">
        <w:rPr>
          <w:iCs/>
        </w:rPr>
        <w:t xml:space="preserve"> head the </w:t>
      </w:r>
      <w:r w:rsidR="00BC23EE">
        <w:rPr>
          <w:iCs/>
        </w:rPr>
        <w:t>M</w:t>
      </w:r>
      <w:r w:rsidR="00BA1C3F" w:rsidRPr="00CE1EA7">
        <w:rPr>
          <w:iCs/>
        </w:rPr>
        <w:t>unicipality</w:t>
      </w:r>
      <w:r w:rsidR="00D217F5">
        <w:rPr>
          <w:iCs/>
        </w:rPr>
        <w:t xml:space="preserve"> and </w:t>
      </w:r>
      <w:r w:rsidR="00BA1C3F" w:rsidRPr="00CE1EA7">
        <w:rPr>
          <w:iCs/>
        </w:rPr>
        <w:t xml:space="preserve">the CACS will be replaced by </w:t>
      </w:r>
      <w:r w:rsidR="00D217F5">
        <w:rPr>
          <w:iCs/>
        </w:rPr>
        <w:t>a</w:t>
      </w:r>
      <w:r w:rsidR="00BA1C3F" w:rsidRPr="00CE1EA7">
        <w:rPr>
          <w:iCs/>
        </w:rPr>
        <w:t xml:space="preserve"> Municipal Council. </w:t>
      </w:r>
    </w:p>
    <w:p w14:paraId="569927D8" w14:textId="35D82AE2" w:rsidR="00BA1C3F" w:rsidRPr="00CE1EA7" w:rsidRDefault="00BA1C3F" w:rsidP="001667C6">
      <w:pPr>
        <w:pStyle w:val="ParagraphOED"/>
        <w:numPr>
          <w:ilvl w:val="0"/>
          <w:numId w:val="100"/>
        </w:numPr>
        <w:spacing w:after="160"/>
        <w:ind w:left="714" w:hanging="357"/>
      </w:pPr>
      <w:r w:rsidRPr="00CE1EA7">
        <w:rPr>
          <w:b/>
          <w:iCs/>
        </w:rPr>
        <w:t>Rural Communities</w:t>
      </w:r>
      <w:r w:rsidR="00BC23EE">
        <w:rPr>
          <w:b/>
          <w:iCs/>
        </w:rPr>
        <w:t>:</w:t>
      </w:r>
      <w:r w:rsidRPr="00CE1EA7">
        <w:rPr>
          <w:iCs/>
        </w:rPr>
        <w:t xml:space="preserve"> The traditional administrative authorities of villages or communities are the </w:t>
      </w:r>
      <w:r w:rsidRPr="00CE1EA7">
        <w:rPr>
          <w:i/>
        </w:rPr>
        <w:t>Sobas</w:t>
      </w:r>
      <w:r w:rsidRPr="00CE1EA7">
        <w:rPr>
          <w:iCs/>
        </w:rPr>
        <w:t xml:space="preserve"> (traditional chiefs), who </w:t>
      </w:r>
      <w:r w:rsidR="00BC23EE">
        <w:rPr>
          <w:iCs/>
        </w:rPr>
        <w:t>either</w:t>
      </w:r>
      <w:r w:rsidR="0065294A">
        <w:rPr>
          <w:iCs/>
        </w:rPr>
        <w:t xml:space="preserve"> </w:t>
      </w:r>
      <w:r w:rsidRPr="00CE1EA7">
        <w:rPr>
          <w:iCs/>
        </w:rPr>
        <w:t>inherit the position or, in some cases, are appointed by the Commune Administrator after consulting the community elders. Decis</w:t>
      </w:r>
      <w:r w:rsidRPr="00CE1EA7">
        <w:t>ions and deliberations take place at the “</w:t>
      </w:r>
      <w:r w:rsidRPr="00CE1EA7">
        <w:rPr>
          <w:i/>
          <w:iCs/>
        </w:rPr>
        <w:t>Jango</w:t>
      </w:r>
      <w:r w:rsidRPr="00CE1EA7">
        <w:t xml:space="preserve">”, a community council that traditionally included only the village elders but has recently become more open to the participation of women and other community members. </w:t>
      </w:r>
    </w:p>
    <w:p w14:paraId="41BF116A" w14:textId="0755AACA" w:rsidR="009563B4" w:rsidRPr="00B27B02" w:rsidRDefault="009E3AA6" w:rsidP="001667C6">
      <w:pPr>
        <w:pStyle w:val="ParagraphOED"/>
        <w:numPr>
          <w:ilvl w:val="0"/>
          <w:numId w:val="102"/>
        </w:numPr>
        <w:spacing w:after="160"/>
      </w:pPr>
      <w:r>
        <w:t xml:space="preserve">All </w:t>
      </w:r>
      <w:r w:rsidR="009563B4">
        <w:t xml:space="preserve">other stakeholders </w:t>
      </w:r>
      <w:r>
        <w:t xml:space="preserve">with vested interests will be </w:t>
      </w:r>
      <w:r w:rsidR="009563B4">
        <w:t xml:space="preserve">involved in the process of </w:t>
      </w:r>
      <w:r w:rsidR="001B248C">
        <w:t>land-use plan</w:t>
      </w:r>
      <w:r w:rsidR="009563B4">
        <w:t xml:space="preserve">ning and implementation. </w:t>
      </w:r>
      <w:r w:rsidR="009563B4" w:rsidRPr="1E65A5F7">
        <w:rPr>
          <w:b/>
          <w:bCs/>
        </w:rPr>
        <w:t>A</w:t>
      </w:r>
      <w:r w:rsidR="009563B4">
        <w:t xml:space="preserve"> </w:t>
      </w:r>
      <w:r w:rsidR="009563B4" w:rsidRPr="1E65A5F7">
        <w:rPr>
          <w:b/>
          <w:bCs/>
        </w:rPr>
        <w:t>thorough analysis of stakeholders</w:t>
      </w:r>
      <w:r w:rsidR="009563B4">
        <w:t xml:space="preserve"> is included in</w:t>
      </w:r>
      <w:r w:rsidR="00D217F5">
        <w:t xml:space="preserve"> Section 1.b</w:t>
      </w:r>
      <w:r>
        <w:fldChar w:fldCharType="begin"/>
      </w:r>
      <w:r>
        <w:instrText xml:space="preserve"> REF _Ref52163541 \r \h  \* MERGEFORMAT </w:instrText>
      </w:r>
      <w:r>
        <w:fldChar w:fldCharType="separate"/>
      </w:r>
      <w:r w:rsidR="00A64193">
        <w:t>2</w:t>
      </w:r>
      <w:r>
        <w:fldChar w:fldCharType="end"/>
      </w:r>
      <w:r w:rsidR="00D217F5">
        <w:t xml:space="preserve"> </w:t>
      </w:r>
      <w:r w:rsidR="009563B4">
        <w:t xml:space="preserve">and </w:t>
      </w:r>
      <w:r w:rsidR="0002063B">
        <w:t>further detail is provided</w:t>
      </w:r>
      <w:r w:rsidR="009563B4">
        <w:t xml:space="preserve"> in </w:t>
      </w:r>
      <w:r w:rsidR="009563B4" w:rsidRPr="1E65A5F7">
        <w:rPr>
          <w:rStyle w:val="Hyperlink"/>
        </w:rPr>
        <w:t>Annex I2</w:t>
      </w:r>
      <w:r w:rsidR="009563B4">
        <w:t xml:space="preserve">. </w:t>
      </w:r>
      <w:r w:rsidR="009563B4" w:rsidRPr="1E65A5F7">
        <w:rPr>
          <w:b/>
          <w:bCs/>
        </w:rPr>
        <w:t>Gender mainstreaming</w:t>
      </w:r>
      <w:r w:rsidR="009563B4">
        <w:t xml:space="preserve"> is </w:t>
      </w:r>
      <w:r w:rsidR="0002063B">
        <w:t>addressed in Section 1.b</w:t>
      </w:r>
      <w:r>
        <w:fldChar w:fldCharType="begin"/>
      </w:r>
      <w:r>
        <w:instrText xml:space="preserve"> REF _Ref40734109 \r \h  \* MERGEFORMAT </w:instrText>
      </w:r>
      <w:r>
        <w:fldChar w:fldCharType="separate"/>
      </w:r>
      <w:r w:rsidR="00A64193">
        <w:t>3</w:t>
      </w:r>
      <w:r>
        <w:fldChar w:fldCharType="end"/>
      </w:r>
      <w:r w:rsidR="009563B4">
        <w:t>.</w:t>
      </w:r>
    </w:p>
    <w:p w14:paraId="5A0BD45E" w14:textId="432D0BD9" w:rsidR="009563B4" w:rsidRPr="00FA7F9C" w:rsidRDefault="009563B4" w:rsidP="00FA7F9C">
      <w:pPr>
        <w:spacing w:before="160" w:after="160"/>
        <w:rPr>
          <w:rFonts w:ascii="Calibri" w:hAnsi="Calibri"/>
          <w:i/>
          <w:iCs/>
          <w:sz w:val="21"/>
          <w:szCs w:val="21"/>
          <w:highlight w:val="lightGray"/>
        </w:rPr>
      </w:pPr>
      <w:bookmarkStart w:id="53" w:name="_Land_Tenure_Policies"/>
      <w:bookmarkStart w:id="54" w:name="_Toc45712159"/>
      <w:bookmarkStart w:id="55" w:name="_Ref46128331"/>
      <w:bookmarkEnd w:id="53"/>
      <w:r w:rsidRPr="00FA7F9C">
        <w:rPr>
          <w:rFonts w:ascii="Calibri" w:hAnsi="Calibri"/>
          <w:i/>
          <w:iCs/>
          <w:sz w:val="21"/>
          <w:szCs w:val="21"/>
          <w:highlight w:val="lightGray"/>
        </w:rPr>
        <w:t>Land Tenure Policies and Practices</w:t>
      </w:r>
      <w:bookmarkEnd w:id="54"/>
      <w:bookmarkEnd w:id="55"/>
    </w:p>
    <w:p w14:paraId="12DEF138" w14:textId="33789EB0" w:rsidR="009563B4" w:rsidRPr="00214CD4" w:rsidRDefault="009563B4" w:rsidP="001667C6">
      <w:pPr>
        <w:pStyle w:val="ParagraphOED"/>
        <w:numPr>
          <w:ilvl w:val="0"/>
          <w:numId w:val="102"/>
        </w:numPr>
        <w:spacing w:after="160"/>
      </w:pPr>
      <w:r>
        <w:t xml:space="preserve">Addressing land claims and stabilizing settlements </w:t>
      </w:r>
      <w:r w:rsidR="00FA7F9C">
        <w:t xml:space="preserve">is a key issue for </w:t>
      </w:r>
      <w:r>
        <w:t>GoA in the country’s post</w:t>
      </w:r>
      <w:r w:rsidR="00FA7F9C">
        <w:t xml:space="preserve">-conflict </w:t>
      </w:r>
      <w:r>
        <w:t>recovery period</w:t>
      </w:r>
      <w:r w:rsidR="00071F9D">
        <w:t>, given</w:t>
      </w:r>
      <w:r>
        <w:t xml:space="preserve"> the high number of internally displaced people in need of livelihoods as a result of the war. </w:t>
      </w:r>
      <w:r w:rsidR="00071F9D">
        <w:t>A</w:t>
      </w:r>
      <w:r>
        <w:t xml:space="preserve">ccess to land, land entitlements and reconciling land tenure rights are important </w:t>
      </w:r>
      <w:r w:rsidR="00071F9D">
        <w:t>part of</w:t>
      </w:r>
      <w:r>
        <w:t xml:space="preserve"> the project’s scope because a large percentage of </w:t>
      </w:r>
      <w:r w:rsidR="00071F9D">
        <w:t>Angola’s rural</w:t>
      </w:r>
      <w:r>
        <w:t xml:space="preserve"> population is directly dependent on agriculture and related activities. </w:t>
      </w:r>
      <w:r w:rsidR="00071F9D">
        <w:t xml:space="preserve">Hence, this </w:t>
      </w:r>
      <w:r>
        <w:t xml:space="preserve">brief </w:t>
      </w:r>
      <w:r w:rsidR="00071F9D">
        <w:t>summary</w:t>
      </w:r>
      <w:r>
        <w:t xml:space="preserve"> of relevant </w:t>
      </w:r>
      <w:r w:rsidR="00071F9D">
        <w:t xml:space="preserve">land tenure </w:t>
      </w:r>
      <w:r>
        <w:t xml:space="preserve">policies and practices. </w:t>
      </w:r>
    </w:p>
    <w:p w14:paraId="74108386" w14:textId="3D651B45" w:rsidR="00BA1C3F" w:rsidRDefault="009563B4" w:rsidP="001667C6">
      <w:pPr>
        <w:pStyle w:val="ParagraphOED"/>
        <w:numPr>
          <w:ilvl w:val="0"/>
          <w:numId w:val="102"/>
        </w:numPr>
        <w:spacing w:after="160"/>
      </w:pPr>
      <w:r w:rsidRPr="00C12D83">
        <w:t>Patterns of human settlement and land use in</w:t>
      </w:r>
      <w:r w:rsidR="00493F8B" w:rsidRPr="00C12D83">
        <w:t xml:space="preserve"> southern Angola</w:t>
      </w:r>
      <w:r w:rsidRPr="00214CD4">
        <w:t xml:space="preserve"> re</w:t>
      </w:r>
      <w:r w:rsidR="00C12D83">
        <w:t>flect</w:t>
      </w:r>
      <w:r w:rsidRPr="00214CD4">
        <w:t xml:space="preserve"> successive historical processes, includ</w:t>
      </w:r>
      <w:r w:rsidR="00071F9D">
        <w:t xml:space="preserve">ing </w:t>
      </w:r>
      <w:r w:rsidRPr="00214CD4">
        <w:t>the long-lasting conflict that ended in 2002. During war-times, access to land was both difficult and unregulated. In</w:t>
      </w:r>
      <w:r w:rsidR="00493F8B">
        <w:t>southern Angola</w:t>
      </w:r>
      <w:r w:rsidRPr="00214CD4">
        <w:t xml:space="preserve"> and </w:t>
      </w:r>
      <w:r w:rsidR="00FD6504">
        <w:t xml:space="preserve">under </w:t>
      </w:r>
      <w:r w:rsidRPr="00214CD4">
        <w:t>the prevailing agro-ecological conditions, a number of small rural communities have mushroomed in a largely unplanned fashion</w:t>
      </w:r>
      <w:r>
        <w:t>, both during and after the end of the conflict</w:t>
      </w:r>
      <w:r w:rsidRPr="00214CD4">
        <w:t xml:space="preserve">. Many </w:t>
      </w:r>
      <w:r w:rsidR="00FD6504">
        <w:t>inhabitants</w:t>
      </w:r>
      <w:r w:rsidR="00FD6504" w:rsidRPr="00214CD4">
        <w:t xml:space="preserve"> </w:t>
      </w:r>
      <w:r w:rsidRPr="00214CD4">
        <w:t xml:space="preserve">remained settled in the alluvial plains of major river basins </w:t>
      </w:r>
      <w:r w:rsidR="00FD6504">
        <w:t>after</w:t>
      </w:r>
      <w:r w:rsidRPr="00214CD4">
        <w:t xml:space="preserve"> the war, </w:t>
      </w:r>
      <w:r w:rsidR="00FD6504">
        <w:t>often</w:t>
      </w:r>
      <w:r w:rsidRPr="00214CD4">
        <w:t xml:space="preserve"> because roads were scarce and not always safe. </w:t>
      </w:r>
      <w:r>
        <w:t>Also d</w:t>
      </w:r>
      <w:r w:rsidRPr="00214CD4">
        <w:t>uring the conflict, the boundaries of protected areas</w:t>
      </w:r>
      <w:r>
        <w:t xml:space="preserve"> </w:t>
      </w:r>
      <w:r w:rsidRPr="00214CD4">
        <w:t xml:space="preserve">were a legacy from colonial times </w:t>
      </w:r>
      <w:r w:rsidR="00FD6504">
        <w:t>and</w:t>
      </w:r>
      <w:r w:rsidR="00FD6504" w:rsidRPr="00214CD4">
        <w:t xml:space="preserve"> </w:t>
      </w:r>
      <w:r w:rsidRPr="00214CD4">
        <w:t xml:space="preserve">not actively </w:t>
      </w:r>
      <w:r>
        <w:t>enforced</w:t>
      </w:r>
      <w:r w:rsidR="00FD6504">
        <w:t xml:space="preserve">, resulting in </w:t>
      </w:r>
      <w:r>
        <w:t>i</w:t>
      </w:r>
      <w:r w:rsidRPr="00214CD4">
        <w:t xml:space="preserve">rregular settlement inside </w:t>
      </w:r>
      <w:r w:rsidR="00AF55E0">
        <w:t>and</w:t>
      </w:r>
      <w:r w:rsidR="00FD6504">
        <w:t xml:space="preserve"> adjacent to </w:t>
      </w:r>
      <w:r w:rsidRPr="00214CD4">
        <w:t xml:space="preserve">national parks such as Bicuar </w:t>
      </w:r>
      <w:r w:rsidR="00AF55E0" w:rsidRPr="00214CD4">
        <w:t>(</w:t>
      </w:r>
      <w:r w:rsidR="00AF55E0" w:rsidRPr="001522E6">
        <w:rPr>
          <w:u w:val="single"/>
        </w:rPr>
        <w:fldChar w:fldCharType="begin"/>
      </w:r>
      <w:r w:rsidR="00AF55E0" w:rsidRPr="001522E6">
        <w:rPr>
          <w:u w:val="single"/>
        </w:rPr>
        <w:instrText xml:space="preserve"> REF _Ref45742788 \h </w:instrText>
      </w:r>
      <w:r w:rsidR="00AF55E0">
        <w:rPr>
          <w:u w:val="single"/>
        </w:rPr>
        <w:instrText xml:space="preserve"> \* MERGEFORMAT </w:instrText>
      </w:r>
      <w:r w:rsidR="00AF55E0" w:rsidRPr="001522E6">
        <w:rPr>
          <w:u w:val="single"/>
        </w:rPr>
      </w:r>
      <w:r w:rsidR="00AF55E0" w:rsidRPr="001522E6">
        <w:rPr>
          <w:u w:val="single"/>
        </w:rPr>
        <w:fldChar w:fldCharType="separate"/>
      </w:r>
      <w:r w:rsidR="00A64193" w:rsidRPr="00A64193">
        <w:rPr>
          <w:u w:val="single"/>
        </w:rPr>
        <w:t xml:space="preserve">Figure </w:t>
      </w:r>
      <w:r w:rsidR="00A64193" w:rsidRPr="00A64193">
        <w:rPr>
          <w:noProof/>
          <w:u w:val="single"/>
        </w:rPr>
        <w:t>3</w:t>
      </w:r>
      <w:r w:rsidR="00AF55E0" w:rsidRPr="001522E6">
        <w:rPr>
          <w:u w:val="single"/>
        </w:rPr>
        <w:fldChar w:fldCharType="end"/>
      </w:r>
      <w:r w:rsidR="00AF55E0" w:rsidRPr="00214CD4">
        <w:t>)</w:t>
      </w:r>
      <w:r w:rsidR="00AF55E0">
        <w:t xml:space="preserve">, </w:t>
      </w:r>
      <w:r w:rsidR="00AF55E0" w:rsidRPr="00214CD4">
        <w:t>Mupa</w:t>
      </w:r>
      <w:r w:rsidRPr="00214CD4">
        <w:t xml:space="preserve">and Quiçama. </w:t>
      </w:r>
    </w:p>
    <w:p w14:paraId="0DD8A75F" w14:textId="471AE20F" w:rsidR="009563B4" w:rsidRDefault="009563B4" w:rsidP="001667C6">
      <w:pPr>
        <w:pStyle w:val="ParagraphOED"/>
        <w:numPr>
          <w:ilvl w:val="0"/>
          <w:numId w:val="102"/>
        </w:numPr>
        <w:spacing w:after="160"/>
      </w:pPr>
      <w:r>
        <w:t>Furthermore,</w:t>
      </w:r>
      <w:r w:rsidR="00493F8B">
        <w:t xml:space="preserve"> some nomadic</w:t>
      </w:r>
      <w:r>
        <w:t xml:space="preserve"> groups from southern Angola </w:t>
      </w:r>
      <w:r w:rsidR="00493F8B">
        <w:t xml:space="preserve">have </w:t>
      </w:r>
      <w:r>
        <w:t xml:space="preserve">had to </w:t>
      </w:r>
      <w:r w:rsidR="00493F8B">
        <w:t>settle because</w:t>
      </w:r>
      <w:r>
        <w:t xml:space="preserve"> </w:t>
      </w:r>
      <w:r w:rsidR="00E97945">
        <w:t xml:space="preserve">rules of access to </w:t>
      </w:r>
      <w:r>
        <w:t xml:space="preserve">traditional grazing areas and local forests </w:t>
      </w:r>
      <w:r w:rsidR="00E97945">
        <w:t>were</w:t>
      </w:r>
      <w:r>
        <w:t xml:space="preserve"> hardly enforced, neither by the State</w:t>
      </w:r>
      <w:r w:rsidR="00E97945">
        <w:t xml:space="preserve"> </w:t>
      </w:r>
      <w:r>
        <w:t>nor by local leaders</w:t>
      </w:r>
      <w:r w:rsidR="00E97945">
        <w:t>;</w:t>
      </w:r>
      <w:r>
        <w:t xml:space="preserve"> </w:t>
      </w:r>
      <w:r w:rsidR="00E97945">
        <w:t>and a</w:t>
      </w:r>
      <w:r>
        <w:t xml:space="preserve">ccess to </w:t>
      </w:r>
      <w:r w:rsidR="00E97945">
        <w:t xml:space="preserve">small plots of </w:t>
      </w:r>
      <w:r>
        <w:t xml:space="preserve">farmland by local family farmers </w:t>
      </w:r>
      <w:r w:rsidR="00E97945">
        <w:t>was</w:t>
      </w:r>
      <w:r>
        <w:t xml:space="preserve"> most</w:t>
      </w:r>
      <w:r w:rsidR="00E97945">
        <w:t>ly</w:t>
      </w:r>
      <w:r>
        <w:t xml:space="preserve"> informal</w:t>
      </w:r>
      <w:r w:rsidR="00E97945">
        <w:t xml:space="preserve">ly decided </w:t>
      </w:r>
      <w:r>
        <w:t xml:space="preserve">by local traditional leaders. </w:t>
      </w:r>
      <w:r w:rsidR="00E97945">
        <w:t>Thus,</w:t>
      </w:r>
      <w:r>
        <w:t xml:space="preserve"> the conflict </w:t>
      </w:r>
      <w:r w:rsidR="00C12D83">
        <w:t xml:space="preserve">period </w:t>
      </w:r>
      <w:r>
        <w:t xml:space="preserve">in Angola </w:t>
      </w:r>
      <w:r w:rsidR="00C12D83">
        <w:t xml:space="preserve">has had major repercussions on human setttlement patterns and land entitlement and, in the case of </w:t>
      </w:r>
      <w:r>
        <w:t xml:space="preserve">drylands </w:t>
      </w:r>
      <w:r>
        <w:lastRenderedPageBreak/>
        <w:t xml:space="preserve">with a limited resource base, </w:t>
      </w:r>
      <w:r w:rsidR="00C12D83">
        <w:t xml:space="preserve">ever-increasing human population pressures </w:t>
      </w:r>
      <w:r>
        <w:t>can quickly result in land degradation.</w:t>
      </w:r>
    </w:p>
    <w:p w14:paraId="1CFA8795" w14:textId="1A063F09" w:rsidR="0087650C" w:rsidRDefault="005865C3" w:rsidP="001667C6">
      <w:pPr>
        <w:pStyle w:val="ParagraphOED"/>
        <w:numPr>
          <w:ilvl w:val="0"/>
          <w:numId w:val="102"/>
        </w:numPr>
      </w:pPr>
      <w:r>
        <w:t xml:space="preserve">Article 15 of Angola’s Constitution (2010) states: “land is originally the property of the State, and may be passed to singular or collective persons for their rational and effective use”; and “recognizes the right of communities to have access and use of land”, without prejudice to the “possibility of expropriation for public utility, through fair compensation”. Such </w:t>
      </w:r>
      <w:r w:rsidR="0065246C">
        <w:t>provisions</w:t>
      </w:r>
      <w:r>
        <w:t xml:space="preserve"> regarding land rights are reinforced by the Land Law (Presidential Decree 9/04) and National Policy for Concession of Land Rights (Presidential Decree 216/11). In 2018 an inter-ministerial commission was created for Rural Land Registration in favour of Local Communities (Presidential Decree 14/18). This commission</w:t>
      </w:r>
      <w:r w:rsidR="0065246C">
        <w:t>,</w:t>
      </w:r>
      <w:r>
        <w:t xml:space="preserve"> led by Minister of State</w:t>
      </w:r>
      <w:r w:rsidR="0065246C">
        <w:t>,</w:t>
      </w:r>
      <w:r>
        <w:t xml:space="preserve"> has a two-year mandate to help in the identification and legalization of local communities’ rural lands.</w:t>
      </w:r>
    </w:p>
    <w:p w14:paraId="3E5F4B3E" w14:textId="2992E9D3" w:rsidR="00AD5593" w:rsidRDefault="009563B4" w:rsidP="001667C6">
      <w:pPr>
        <w:pStyle w:val="ParagraphOED"/>
        <w:numPr>
          <w:ilvl w:val="0"/>
          <w:numId w:val="102"/>
        </w:numPr>
      </w:pPr>
      <w:r>
        <w:t xml:space="preserve">Additionally, the 2004 Land Law accorded customary rural land tenure to local communities interested in asserting those rights, so that they are able to manage the land that they traditionally inhabit, according to their customs and traditions. A participatory process for asserting customary land tenure is established in the Land Law and related regulations. It prescribes highly consultative </w:t>
      </w:r>
      <w:r w:rsidR="005865C3">
        <w:t xml:space="preserve">one-off community-level </w:t>
      </w:r>
      <w:r>
        <w:t>process</w:t>
      </w:r>
      <w:r w:rsidR="005865C3">
        <w:t>es</w:t>
      </w:r>
      <w:r>
        <w:t xml:space="preserve"> to be carried</w:t>
      </w:r>
      <w:r w:rsidR="005865C3">
        <w:t xml:space="preserve"> out to</w:t>
      </w:r>
      <w:r>
        <w:t xml:space="preserve"> defin</w:t>
      </w:r>
      <w:r w:rsidR="005865C3">
        <w:t>e</w:t>
      </w:r>
      <w:r>
        <w:t xml:space="preserve"> (and at times demarcat</w:t>
      </w:r>
      <w:r w:rsidR="005865C3">
        <w:t>e</w:t>
      </w:r>
      <w:r>
        <w:t xml:space="preserve">) the boundaries of </w:t>
      </w:r>
      <w:r w:rsidR="005865C3">
        <w:t xml:space="preserve">the </w:t>
      </w:r>
      <w:r>
        <w:t xml:space="preserve">community’s land, and asserting a customary and common tenure right over that land. This right is asserted </w:t>
      </w:r>
      <w:r w:rsidR="005865C3">
        <w:t xml:space="preserve">with regard to </w:t>
      </w:r>
      <w:r>
        <w:t>neighbo</w:t>
      </w:r>
      <w:r w:rsidR="005865C3">
        <w:t>u</w:t>
      </w:r>
      <w:r>
        <w:t xml:space="preserve">ring communities and others (‘investors’) who may have a current or future interest in the same land. Under a customary, traditional and common property regime, the process may be important for communities in terms of securing their exclusive access to hunting grounds, production forests or water courses. </w:t>
      </w:r>
    </w:p>
    <w:p w14:paraId="1BC06B21" w14:textId="428A8095" w:rsidR="525A1D7D" w:rsidRDefault="77789234" w:rsidP="001667C6">
      <w:pPr>
        <w:pStyle w:val="ParagraphOED"/>
        <w:numPr>
          <w:ilvl w:val="0"/>
          <w:numId w:val="102"/>
        </w:numPr>
      </w:pPr>
      <w:r>
        <w:t>Although land tenuere is not a major problem for farmers in the project area (with exceptions in the Gambos Municipali</w:t>
      </w:r>
      <w:r w:rsidR="0EB52377">
        <w:t xml:space="preserve">ty, where private farms occupies extensive and most productive pieces of land, </w:t>
      </w:r>
      <w:r w:rsidR="770618EC">
        <w:t xml:space="preserve">the foreseen expansion of Agriculture claims to reinforce community land protection. </w:t>
      </w:r>
      <w:r w:rsidR="65F28F8A">
        <w:t>Current Land Law 09/04 allows community land delimitation ba</w:t>
      </w:r>
      <w:r w:rsidR="2A77AFA0">
        <w:t>sed</w:t>
      </w:r>
      <w:r w:rsidR="65F28F8A">
        <w:t xml:space="preserve"> on customa</w:t>
      </w:r>
      <w:r w:rsidR="392658DB">
        <w:t>ry rights</w:t>
      </w:r>
      <w:r w:rsidR="78527297">
        <w:t xml:space="preserve"> and several communities have </w:t>
      </w:r>
      <w:r w:rsidR="5FEC37A3">
        <w:t xml:space="preserve">recognized based in this right. </w:t>
      </w:r>
      <w:r w:rsidR="7B8202C0">
        <w:t xml:space="preserve">In 2019, the </w:t>
      </w:r>
      <w:r w:rsidR="6BF16281">
        <w:t>Government</w:t>
      </w:r>
      <w:r w:rsidR="78527297">
        <w:t xml:space="preserve"> </w:t>
      </w:r>
      <w:r w:rsidR="6BF16281">
        <w:t xml:space="preserve">of Angola launched “Minha Terra” programa which aims building capacities in local institutions to carry out community land </w:t>
      </w:r>
      <w:r w:rsidR="3FE5E982">
        <w:t>delimitation and carring out community land delimitations all along the country.</w:t>
      </w:r>
      <w:r w:rsidR="6BF16281">
        <w:t xml:space="preserve"> </w:t>
      </w:r>
    </w:p>
    <w:p w14:paraId="7A63881D" w14:textId="119910BD" w:rsidR="00F06BCB" w:rsidRPr="00F00EBA" w:rsidRDefault="00F06BCB" w:rsidP="001667C6">
      <w:pPr>
        <w:pStyle w:val="ParagraphOED"/>
        <w:numPr>
          <w:ilvl w:val="0"/>
          <w:numId w:val="102"/>
        </w:numPr>
        <w:spacing w:after="160"/>
      </w:pPr>
      <w:r>
        <w:t>C</w:t>
      </w:r>
      <w:r w:rsidRPr="00975573">
        <w:t xml:space="preserve">ritics of Angola’s land tenure policies and practices claim that there is little social equity in </w:t>
      </w:r>
      <w:r>
        <w:t>Angola’s L</w:t>
      </w:r>
      <w:r w:rsidRPr="00975573">
        <w:t>aw and its application</w:t>
      </w:r>
      <w:r>
        <w:t xml:space="preserve"> and that it helps perpetuate </w:t>
      </w:r>
      <w:r w:rsidRPr="00975573">
        <w:t xml:space="preserve">gender </w:t>
      </w:r>
      <w:r>
        <w:t>inequality in land access practices</w:t>
      </w:r>
      <w:r w:rsidRPr="00975573">
        <w:t xml:space="preserve">. This is because key decisions on land access and allocation </w:t>
      </w:r>
      <w:r>
        <w:t>are</w:t>
      </w:r>
      <w:r w:rsidRPr="00975573">
        <w:t xml:space="preserve"> ultimately made and reversed by traditional authorities at local level, according to their will</w:t>
      </w:r>
      <w:r>
        <w:t xml:space="preserve">, </w:t>
      </w:r>
      <w:r w:rsidRPr="00975573">
        <w:t>preferences</w:t>
      </w:r>
      <w:r>
        <w:t xml:space="preserve"> and tribal traditions</w:t>
      </w:r>
      <w:r w:rsidRPr="00975573">
        <w:t xml:space="preserve">. </w:t>
      </w:r>
      <w:r w:rsidRPr="00F00EBA">
        <w:t>The overwhelming majority of traditional leaders are men</w:t>
      </w:r>
      <w:r>
        <w:t>, as highlighted in several reports (</w:t>
      </w:r>
      <w:r w:rsidRPr="00F00EBA">
        <w:rPr>
          <w:u w:val="single"/>
        </w:rPr>
        <w:fldChar w:fldCharType="begin"/>
      </w:r>
      <w:r w:rsidRPr="00F00EBA">
        <w:rPr>
          <w:u w:val="single"/>
        </w:rPr>
        <w:instrText xml:space="preserve"> REF _Ref45990088 \h  \* MERGEFORMAT </w:instrText>
      </w:r>
      <w:r w:rsidRPr="00F00EBA">
        <w:rPr>
          <w:u w:val="single"/>
        </w:rPr>
      </w:r>
      <w:r w:rsidRPr="00F00EBA">
        <w:rPr>
          <w:u w:val="single"/>
        </w:rPr>
        <w:fldChar w:fldCharType="separate"/>
      </w:r>
      <w:r w:rsidR="00A64193" w:rsidRPr="00A64193">
        <w:rPr>
          <w:u w:val="single"/>
        </w:rPr>
        <w:t xml:space="preserve">Box </w:t>
      </w:r>
      <w:r w:rsidR="00A64193" w:rsidRPr="00A64193">
        <w:rPr>
          <w:noProof/>
          <w:u w:val="single"/>
        </w:rPr>
        <w:t>4</w:t>
      </w:r>
      <w:r w:rsidRPr="00F00EBA">
        <w:rPr>
          <w:u w:val="single"/>
        </w:rPr>
        <w:fldChar w:fldCharType="end"/>
      </w:r>
      <w:r>
        <w:rPr>
          <w:u w:val="single"/>
        </w:rPr>
        <w:t>)</w:t>
      </w:r>
      <w:r w:rsidRPr="00F00EBA">
        <w:t xml:space="preserve">. </w:t>
      </w:r>
    </w:p>
    <w:p w14:paraId="2D1FF6B1" w14:textId="20D26C16" w:rsidR="009563B4" w:rsidRPr="00F10999" w:rsidRDefault="009563B4" w:rsidP="0014719B">
      <w:pPr>
        <w:pStyle w:val="Caption"/>
        <w:spacing w:before="160" w:after="80"/>
        <w:rPr>
          <w:rFonts w:ascii="Calibri" w:hAnsi="Calibri" w:cs="Calibri"/>
        </w:rPr>
      </w:pPr>
      <w:bookmarkStart w:id="56" w:name="_Ref45990088"/>
      <w:bookmarkStart w:id="57" w:name="_Toc45712120"/>
      <w:bookmarkStart w:id="58" w:name="_Toc58398658"/>
      <w:r w:rsidRPr="00F10999">
        <w:rPr>
          <w:rFonts w:ascii="Calibri" w:hAnsi="Calibri" w:cs="Calibri"/>
        </w:rPr>
        <w:lastRenderedPageBreak/>
        <w:t xml:space="preserve">Box </w:t>
      </w:r>
      <w:r w:rsidRPr="00F10999">
        <w:rPr>
          <w:rFonts w:ascii="Calibri" w:hAnsi="Calibri" w:cs="Calibri"/>
        </w:rPr>
        <w:fldChar w:fldCharType="begin"/>
      </w:r>
      <w:r w:rsidRPr="00F10999">
        <w:rPr>
          <w:rFonts w:ascii="Calibri" w:hAnsi="Calibri" w:cs="Calibri"/>
        </w:rPr>
        <w:instrText>SEQ Box \* ARABIC</w:instrText>
      </w:r>
      <w:r w:rsidRPr="00F10999">
        <w:rPr>
          <w:rFonts w:ascii="Calibri" w:hAnsi="Calibri" w:cs="Calibri"/>
        </w:rPr>
        <w:fldChar w:fldCharType="separate"/>
      </w:r>
      <w:r w:rsidR="00A64193">
        <w:rPr>
          <w:rFonts w:ascii="Calibri" w:hAnsi="Calibri" w:cs="Calibri"/>
          <w:noProof/>
        </w:rPr>
        <w:t>4</w:t>
      </w:r>
      <w:r w:rsidRPr="00F10999">
        <w:rPr>
          <w:rFonts w:ascii="Calibri" w:hAnsi="Calibri" w:cs="Calibri"/>
        </w:rPr>
        <w:fldChar w:fldCharType="end"/>
      </w:r>
      <w:bookmarkEnd w:id="56"/>
      <w:r w:rsidRPr="00F10999">
        <w:rPr>
          <w:rFonts w:ascii="Calibri" w:hAnsi="Calibri" w:cs="Calibri"/>
        </w:rPr>
        <w:t xml:space="preserve">. </w:t>
      </w:r>
      <w:r w:rsidR="0014719B" w:rsidRPr="00F10999">
        <w:rPr>
          <w:rFonts w:ascii="Calibri" w:hAnsi="Calibri" w:cs="Calibri"/>
        </w:rPr>
        <w:t>Quot</w:t>
      </w:r>
      <w:r w:rsidR="00F10999" w:rsidRPr="00F10999">
        <w:rPr>
          <w:rFonts w:ascii="Calibri" w:hAnsi="Calibri" w:cs="Calibri"/>
        </w:rPr>
        <w:t>e</w:t>
      </w:r>
      <w:r w:rsidR="0014719B" w:rsidRPr="00F10999">
        <w:rPr>
          <w:rFonts w:ascii="Calibri" w:hAnsi="Calibri" w:cs="Calibri"/>
        </w:rPr>
        <w:t xml:space="preserve">s on </w:t>
      </w:r>
      <w:r w:rsidR="00F10999" w:rsidRPr="00F10999">
        <w:rPr>
          <w:rFonts w:ascii="Calibri" w:hAnsi="Calibri" w:cs="Calibri"/>
        </w:rPr>
        <w:t>g</w:t>
      </w:r>
      <w:r w:rsidRPr="00F10999">
        <w:rPr>
          <w:rFonts w:ascii="Calibri" w:hAnsi="Calibri" w:cs="Calibri"/>
        </w:rPr>
        <w:t>ender inequality and land tenure patterns in Angola</w:t>
      </w:r>
      <w:bookmarkEnd w:id="57"/>
      <w:bookmarkEnd w:id="58"/>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F00EBA" w:rsidRPr="0065246C" w14:paraId="511B7EBF" w14:textId="77777777" w:rsidTr="008612AA">
        <w:tc>
          <w:tcPr>
            <w:tcW w:w="5000" w:type="pct"/>
            <w:shd w:val="clear" w:color="auto" w:fill="auto"/>
            <w:tcMar>
              <w:top w:w="28" w:type="dxa"/>
              <w:left w:w="57" w:type="dxa"/>
              <w:bottom w:w="28" w:type="dxa"/>
              <w:right w:w="28" w:type="dxa"/>
            </w:tcMar>
          </w:tcPr>
          <w:p w14:paraId="3E47A650" w14:textId="4C77FCC2" w:rsidR="009563B4" w:rsidRPr="0065246C" w:rsidRDefault="009563B4" w:rsidP="0031480E">
            <w:pPr>
              <w:keepNext/>
              <w:shd w:val="clear" w:color="auto" w:fill="FFFFFF"/>
              <w:spacing w:before="40" w:after="40"/>
              <w:jc w:val="both"/>
              <w:rPr>
                <w:rFonts w:ascii="Calibri" w:hAnsi="Calibri" w:cs="Calibri"/>
                <w:b/>
                <w:bCs/>
                <w:i/>
                <w:iCs/>
                <w:sz w:val="18"/>
                <w:szCs w:val="18"/>
              </w:rPr>
            </w:pPr>
            <w:r w:rsidRPr="0065246C">
              <w:rPr>
                <w:rFonts w:ascii="Calibri" w:hAnsi="Calibri" w:cs="Calibri"/>
                <w:b/>
                <w:bCs/>
                <w:i/>
                <w:iCs/>
                <w:sz w:val="18"/>
                <w:szCs w:val="18"/>
              </w:rPr>
              <w:t>AfDB 2008 Report: ANGOLA, COUNTRY GENDER PROFILE</w:t>
            </w:r>
          </w:p>
          <w:p w14:paraId="0B81B2E9" w14:textId="57E9D296" w:rsidR="00F10999" w:rsidRPr="00BA1DED" w:rsidRDefault="009563B4" w:rsidP="0031480E">
            <w:pPr>
              <w:keepNext/>
              <w:jc w:val="both"/>
              <w:rPr>
                <w:rFonts w:ascii="Calibri" w:hAnsi="Calibri" w:cs="Calibri"/>
                <w:i/>
                <w:iCs/>
                <w:sz w:val="18"/>
                <w:szCs w:val="18"/>
              </w:rPr>
            </w:pPr>
            <w:r w:rsidRPr="00742383">
              <w:rPr>
                <w:rFonts w:ascii="Calibri" w:hAnsi="Calibri" w:cs="Calibri"/>
                <w:i/>
                <w:iCs/>
                <w:sz w:val="18"/>
                <w:szCs w:val="18"/>
              </w:rPr>
              <w:t>“Land Tenure: Legal rights to land are a basic requirement in any agricultural development plan. In post-war Angola, land rights represent a challenging legal and social issue both in rural and urban areas. For the agricultural sector, there are different categories of land tenure and land rights.</w:t>
            </w:r>
            <w:r w:rsidRPr="00742383">
              <w:rPr>
                <w:rFonts w:ascii="Calibri" w:hAnsi="Calibri" w:cs="Calibri"/>
                <w:b/>
                <w:bCs/>
                <w:i/>
                <w:iCs/>
                <w:sz w:val="18"/>
                <w:szCs w:val="18"/>
              </w:rPr>
              <w:t xml:space="preserve"> At present, Angola has publicly owned land - Soba – the unit of communal land that is managed by the local village elder, distributed by him to all adults of the community according to the villagers’ needs and the availability of labor.</w:t>
            </w:r>
            <w:r w:rsidRPr="00742383">
              <w:rPr>
                <w:rFonts w:ascii="Calibri" w:hAnsi="Calibri" w:cs="Calibri"/>
                <w:i/>
                <w:iCs/>
                <w:sz w:val="18"/>
                <w:szCs w:val="18"/>
              </w:rPr>
              <w:t xml:space="preserve"> Each adult member has at least two pieces of land, one for use in the rainy season, one for the dry season. Women’s </w:t>
            </w:r>
            <w:r w:rsidR="00B33376" w:rsidRPr="00742383">
              <w:rPr>
                <w:rFonts w:ascii="Calibri" w:hAnsi="Calibri" w:cs="Calibri"/>
                <w:i/>
                <w:iCs/>
                <w:sz w:val="18"/>
                <w:szCs w:val="18"/>
              </w:rPr>
              <w:t xml:space="preserve">land-use </w:t>
            </w:r>
            <w:r w:rsidRPr="00742383">
              <w:rPr>
                <w:rFonts w:ascii="Calibri" w:hAnsi="Calibri" w:cs="Calibri"/>
                <w:i/>
                <w:iCs/>
                <w:sz w:val="18"/>
                <w:szCs w:val="18"/>
              </w:rPr>
              <w:t>rights are allocated through their husbands. However, there are exceptions. Widowed women might inherit land in trust for their sons which are then allocated to the sons upon marriage. Women that are single or divorced, and widows who have lost all their sons, are forced to return to their families, and might be given a small area to farm. They might have to negotiate use of land for every season. The high number of female-headed households in rural areas also indicates that women are vulnerable in the process of getting access to land. Limited information is available on how the land rights and access to land favor or disfavor women in practice.”</w:t>
            </w:r>
            <w:r w:rsidR="00F06BCB" w:rsidRPr="00F06BCB">
              <w:rPr>
                <w:b/>
                <w:bCs/>
                <w:sz w:val="18"/>
                <w:szCs w:val="18"/>
                <w:vertAlign w:val="superscript"/>
              </w:rPr>
              <w:t xml:space="preserve"> 1</w:t>
            </w:r>
          </w:p>
          <w:p w14:paraId="6EC1913C" w14:textId="40409D0F" w:rsidR="00742383" w:rsidRPr="00742383" w:rsidRDefault="00742383" w:rsidP="0031480E">
            <w:pPr>
              <w:keepNext/>
              <w:spacing w:before="80" w:after="40"/>
              <w:jc w:val="both"/>
              <w:rPr>
                <w:rFonts w:ascii="Calibri" w:hAnsi="Calibri" w:cs="Calibri"/>
                <w:b/>
                <w:bCs/>
                <w:sz w:val="18"/>
                <w:szCs w:val="18"/>
              </w:rPr>
            </w:pPr>
            <w:r w:rsidRPr="00742383">
              <w:rPr>
                <w:rFonts w:ascii="Calibri" w:hAnsi="Calibri" w:cs="Calibri"/>
                <w:b/>
                <w:bCs/>
                <w:sz w:val="18"/>
                <w:szCs w:val="18"/>
              </w:rPr>
              <w:t>FAO’s Country Profile on ‘Gender and Land Rights Database’</w:t>
            </w:r>
          </w:p>
          <w:p w14:paraId="690071D2" w14:textId="6C0AA0A3" w:rsidR="009563B4" w:rsidRPr="00742383" w:rsidRDefault="00742383" w:rsidP="0031480E">
            <w:pPr>
              <w:keepNext/>
              <w:spacing w:after="40"/>
              <w:jc w:val="both"/>
              <w:rPr>
                <w:rFonts w:ascii="Calibri" w:hAnsi="Calibri" w:cs="Calibri"/>
                <w:i/>
                <w:iCs/>
                <w:sz w:val="18"/>
                <w:szCs w:val="18"/>
              </w:rPr>
            </w:pPr>
            <w:r w:rsidRPr="00742383">
              <w:rPr>
                <w:rFonts w:ascii="Calibri" w:hAnsi="Calibri" w:cs="Calibri"/>
                <w:i/>
                <w:iCs/>
                <w:sz w:val="18"/>
                <w:szCs w:val="18"/>
              </w:rPr>
              <w:t>“At the local authority level, the division between men and women in leadership positions shows a significant difference: among the Grand Sobas, there are seven women and 1,890 men; among the Sobas there are 98 women and 9,567 men; for Soba's position, women are 62 and men, 14,885.”</w:t>
            </w:r>
          </w:p>
        </w:tc>
      </w:tr>
      <w:tr w:rsidR="0014719B" w:rsidRPr="0065246C" w14:paraId="1EBF073A" w14:textId="77777777" w:rsidTr="00FE2C49">
        <w:trPr>
          <w:trHeight w:val="207"/>
        </w:trPr>
        <w:tc>
          <w:tcPr>
            <w:tcW w:w="5000" w:type="pct"/>
            <w:shd w:val="clear" w:color="auto" w:fill="auto"/>
            <w:tcMar>
              <w:top w:w="28" w:type="dxa"/>
              <w:left w:w="57" w:type="dxa"/>
              <w:bottom w:w="28" w:type="dxa"/>
              <w:right w:w="28" w:type="dxa"/>
            </w:tcMar>
          </w:tcPr>
          <w:p w14:paraId="266DCC66" w14:textId="32D635D0" w:rsidR="0014719B" w:rsidRPr="0014719B" w:rsidRDefault="00742383" w:rsidP="00742383">
            <w:pPr>
              <w:pStyle w:val="ParagraphOED"/>
              <w:numPr>
                <w:ilvl w:val="0"/>
                <w:numId w:val="0"/>
              </w:numPr>
              <w:tabs>
                <w:tab w:val="left" w:pos="78"/>
              </w:tabs>
              <w:spacing w:after="0"/>
              <w:jc w:val="left"/>
              <w:rPr>
                <w:sz w:val="18"/>
                <w:szCs w:val="18"/>
                <w:u w:val="single"/>
              </w:rPr>
            </w:pPr>
            <w:r w:rsidRPr="00F06BCB">
              <w:rPr>
                <w:b/>
                <w:bCs/>
                <w:sz w:val="18"/>
                <w:szCs w:val="18"/>
                <w:vertAlign w:val="superscript"/>
              </w:rPr>
              <w:t>1</w:t>
            </w:r>
            <w:r w:rsidRPr="0014719B">
              <w:rPr>
                <w:b/>
                <w:bCs/>
                <w:i/>
                <w:iCs/>
                <w:sz w:val="15"/>
                <w:szCs w:val="15"/>
              </w:rPr>
              <w:t>Agricultural &amp; Agro-industry Department North - East &amp; South Regions (OSAN) August 2008</w:t>
            </w:r>
            <w:r w:rsidRPr="0014719B">
              <w:rPr>
                <w:sz w:val="15"/>
                <w:szCs w:val="15"/>
              </w:rPr>
              <w:t xml:space="preserve">  </w:t>
            </w:r>
            <w:r>
              <w:rPr>
                <w:sz w:val="15"/>
                <w:szCs w:val="15"/>
              </w:rPr>
              <w:t xml:space="preserve">   </w:t>
            </w:r>
            <w:r>
              <w:rPr>
                <w:sz w:val="15"/>
                <w:szCs w:val="15"/>
              </w:rPr>
              <w:tab/>
            </w:r>
            <w:hyperlink r:id="rId43" w:history="1">
              <w:r w:rsidRPr="00C03A53">
                <w:rPr>
                  <w:rStyle w:val="Hyperlink"/>
                  <w:sz w:val="14"/>
                  <w:szCs w:val="14"/>
                </w:rPr>
                <w:t>https://www.afdb.org/fileadmin/uploads/afdb/Documents/Project-and-Operations/ADB-BD-IF-2008-210-EN-ANGOLA-COUNTRY-GENDER-PROFILE.PDF</w:t>
              </w:r>
            </w:hyperlink>
          </w:p>
          <w:p w14:paraId="6FC2C9A7" w14:textId="5EDB39E3" w:rsidR="0014719B" w:rsidRPr="0065246C" w:rsidRDefault="00F06BCB" w:rsidP="00F06BCB">
            <w:pPr>
              <w:pStyle w:val="ParagraphOED"/>
              <w:numPr>
                <w:ilvl w:val="0"/>
                <w:numId w:val="0"/>
              </w:numPr>
              <w:tabs>
                <w:tab w:val="left" w:pos="78"/>
              </w:tabs>
              <w:spacing w:after="0"/>
              <w:jc w:val="left"/>
            </w:pPr>
            <w:r>
              <w:rPr>
                <w:b/>
                <w:bCs/>
                <w:sz w:val="18"/>
                <w:szCs w:val="18"/>
                <w:vertAlign w:val="superscript"/>
              </w:rPr>
              <w:t>2</w:t>
            </w:r>
            <w:hyperlink r:id="rId44" w:history="1">
              <w:r w:rsidR="0014719B" w:rsidRPr="0065246C">
                <w:rPr>
                  <w:rStyle w:val="Hyperlink"/>
                  <w:sz w:val="14"/>
                  <w:szCs w:val="14"/>
                </w:rPr>
                <w:t>http://www.fao.org/gender-landrights-database/country-profiles/countries-list/civilsocietyorganizations/pt/?country_iso3=AGO</w:t>
              </w:r>
            </w:hyperlink>
          </w:p>
        </w:tc>
      </w:tr>
    </w:tbl>
    <w:p w14:paraId="413DDB86" w14:textId="77777777" w:rsidR="00313999" w:rsidRPr="00F06BCB" w:rsidRDefault="00313999" w:rsidP="009563B4">
      <w:pPr>
        <w:rPr>
          <w:rFonts w:ascii="Calibri" w:hAnsi="Calibri" w:cs="Calibri"/>
          <w:sz w:val="21"/>
          <w:szCs w:val="21"/>
        </w:rPr>
      </w:pPr>
    </w:p>
    <w:p w14:paraId="7123E3A5" w14:textId="77777777" w:rsidR="009563B4" w:rsidRPr="00F06BCB" w:rsidRDefault="009563B4" w:rsidP="00F06BCB">
      <w:pPr>
        <w:spacing w:before="160" w:after="160"/>
        <w:rPr>
          <w:rFonts w:ascii="Calibri" w:hAnsi="Calibri"/>
          <w:i/>
          <w:iCs/>
          <w:sz w:val="21"/>
          <w:szCs w:val="21"/>
          <w:highlight w:val="lightGray"/>
        </w:rPr>
      </w:pPr>
      <w:bookmarkStart w:id="59" w:name="_Management_of_International"/>
      <w:bookmarkStart w:id="60" w:name="_Toc45712160"/>
      <w:bookmarkEnd w:id="59"/>
      <w:r w:rsidRPr="00F06BCB">
        <w:rPr>
          <w:rFonts w:ascii="Calibri" w:hAnsi="Calibri"/>
          <w:i/>
          <w:iCs/>
          <w:sz w:val="21"/>
          <w:szCs w:val="21"/>
          <w:highlight w:val="lightGray"/>
        </w:rPr>
        <w:t>Management of International River Basins and the Importance of the Regional Perspective</w:t>
      </w:r>
      <w:bookmarkEnd w:id="60"/>
    </w:p>
    <w:p w14:paraId="08E137BE" w14:textId="7EC0E571" w:rsidR="009563B4" w:rsidRPr="00CE1EA7" w:rsidRDefault="00F06BCB" w:rsidP="001667C6">
      <w:pPr>
        <w:pStyle w:val="ParagraphOED"/>
        <w:numPr>
          <w:ilvl w:val="0"/>
          <w:numId w:val="102"/>
        </w:numPr>
      </w:pPr>
      <w:r>
        <w:t>T</w:t>
      </w:r>
      <w:r w:rsidR="009563B4">
        <w:t xml:space="preserve">he </w:t>
      </w:r>
      <w:r>
        <w:t xml:space="preserve">two </w:t>
      </w:r>
      <w:r w:rsidR="009563B4">
        <w:t xml:space="preserve">targeted landscapes for this Project are nested within two international river basins: The Okavango River Basin (or “Cubango” in Angola) and the Cunene River Basin (also spelt “Kunene” in Namibia). </w:t>
      </w:r>
      <w:r w:rsidR="003C6DAF">
        <w:t>River Basin Management Plans’ (or their equivalent)</w:t>
      </w:r>
      <w:r w:rsidR="009563B4">
        <w:t xml:space="preserve"> have been developed </w:t>
      </w:r>
      <w:r w:rsidR="003C6DAF">
        <w:t xml:space="preserve">for both the Okavango and Cunene </w:t>
      </w:r>
      <w:r w:rsidR="009563B4">
        <w:t xml:space="preserve">based on economic, environmental and social </w:t>
      </w:r>
      <w:r w:rsidR="003C6DAF">
        <w:t>criteria</w:t>
      </w:r>
      <w:r w:rsidR="009563B4">
        <w:t xml:space="preserve">. The plans attempt to balance economic development amongst SADC Member States, following the regional body’s guidance. </w:t>
      </w:r>
      <w:r w:rsidR="003C6DAF">
        <w:t>S</w:t>
      </w:r>
      <w:r w:rsidR="009563B4">
        <w:t xml:space="preserve">tandard instruments were developed </w:t>
      </w:r>
      <w:r w:rsidR="003C6DAF">
        <w:t>over</w:t>
      </w:r>
      <w:r w:rsidR="009563B4">
        <w:t xml:space="preserve"> 15 years ago</w:t>
      </w:r>
      <w:r w:rsidR="003C6DAF">
        <w:t>,</w:t>
      </w:r>
      <w:r w:rsidR="009563B4">
        <w:t>includ</w:t>
      </w:r>
      <w:r w:rsidR="003C6DAF">
        <w:t>ing</w:t>
      </w:r>
      <w:r w:rsidR="009563B4">
        <w:t xml:space="preserve"> primarily the Regional Indicative Strategic Development Plan (RISDP) and Regional Strategic Action Plan (RSAP). However, there are gaps in joint planning and implementation for both river basins. </w:t>
      </w:r>
    </w:p>
    <w:p w14:paraId="43241ECF" w14:textId="47F45F3C" w:rsidR="009563B4" w:rsidRPr="00CE1EA7" w:rsidRDefault="009563B4" w:rsidP="001667C6">
      <w:pPr>
        <w:pStyle w:val="ParagraphOED"/>
        <w:numPr>
          <w:ilvl w:val="0"/>
          <w:numId w:val="102"/>
        </w:numPr>
      </w:pPr>
      <w:r>
        <w:t>For the Cunene River Basin, Angola and Namibia signed a Revised Protocol on Shared Watercourses in 2000. The two countries maintain an open dialogue through the Angola-Namibia Joint Permanent Technical Commission on the Kunene River Basin (the PJTC). A major priority within the PJTC has been the development of a small and large hydroelectric power schemes along the river basin. Due to pressure from civil society groups and lack of stakeholder agreement, successive plans for building dams have been shelved. The lack of collaborative implementation of the Kunene River Master Plan from the early 2000s on</w:t>
      </w:r>
      <w:r w:rsidR="009A00C1">
        <w:t>wards</w:t>
      </w:r>
      <w:r>
        <w:t xml:space="preserve"> has </w:t>
      </w:r>
      <w:r w:rsidR="009A00C1">
        <w:t xml:space="preserve">highlighted </w:t>
      </w:r>
      <w:r>
        <w:t xml:space="preserve">the difficulties in reaching agreement among stakeholders on the management of shared water resources. The same barriers are thought to apply to </w:t>
      </w:r>
      <w:r w:rsidR="001B248C">
        <w:t>land-use man</w:t>
      </w:r>
      <w:r>
        <w:t>agement.</w:t>
      </w:r>
    </w:p>
    <w:p w14:paraId="5BBEBA2C" w14:textId="35599E70" w:rsidR="009563B4" w:rsidRPr="00CE1EA7" w:rsidRDefault="460C6265" w:rsidP="001667C6">
      <w:pPr>
        <w:pStyle w:val="ParagraphOED"/>
        <w:numPr>
          <w:ilvl w:val="0"/>
          <w:numId w:val="102"/>
        </w:numPr>
        <w:spacing w:after="160"/>
      </w:pPr>
      <w:r>
        <w:t xml:space="preserve">For the Cubango river, the Okavango Basin Steering Committee (OBSC) provides the governance framework at ministerial level, </w:t>
      </w:r>
      <w:r w:rsidR="2134B283">
        <w:t>supported by</w:t>
      </w:r>
      <w:r>
        <w:t xml:space="preserve"> The Permanent Okavango River Basin Water Commission (OKACOM)</w:t>
      </w:r>
      <w:r w:rsidR="2134B283">
        <w:t xml:space="preserve"> in its </w:t>
      </w:r>
      <w:r>
        <w:t>technical implementation role</w:t>
      </w:r>
      <w:r w:rsidR="2134B283">
        <w:t>.</w:t>
      </w:r>
      <w:r w:rsidR="2B713BD2">
        <w:t xml:space="preserve"> The </w:t>
      </w:r>
      <w:r>
        <w:t xml:space="preserve">Angolan portion of the basin provides 94.5% of the total water runoff in the catchment. In 2011, the Strategic Action Program (SAP) for the Sustainable Development and Management of the Cubango-Okavango Basin was developed, with support from UNDP and FAO, and subsequently approved by the member states (Angola, Namibia and Botswana). It represents an important joint management instrument for the Okavango, </w:t>
      </w:r>
      <w:r w:rsidR="2B713BD2">
        <w:t>from</w:t>
      </w:r>
      <w:r>
        <w:t xml:space="preserve"> which National Action Programs (NAPs) were developed</w:t>
      </w:r>
      <w:r w:rsidR="2B713BD2">
        <w:t xml:space="preserve"> and approved</w:t>
      </w:r>
      <w:r>
        <w:t xml:space="preserve">. In the Cubango River NAP for Angola (2011), </w:t>
      </w:r>
      <w:r w:rsidR="2B713BD2">
        <w:t xml:space="preserve">planning under </w:t>
      </w:r>
      <w:r>
        <w:t xml:space="preserve">‘Land Management’ </w:t>
      </w:r>
      <w:r w:rsidR="2B713BD2">
        <w:t>(</w:t>
      </w:r>
      <w:r>
        <w:t>Thematic Area #3</w:t>
      </w:r>
      <w:r w:rsidR="2B713BD2">
        <w:t>)</w:t>
      </w:r>
      <w:r>
        <w:t xml:space="preserve"> </w:t>
      </w:r>
      <w:r w:rsidR="2B713BD2">
        <w:t>given</w:t>
      </w:r>
      <w:r>
        <w:t xml:space="preserve"> a </w:t>
      </w:r>
      <w:r w:rsidR="2B713BD2">
        <w:t xml:space="preserve">10-year </w:t>
      </w:r>
      <w:r>
        <w:t xml:space="preserve">timeframe </w:t>
      </w:r>
      <w:r w:rsidR="2B713BD2">
        <w:t>to address</w:t>
      </w:r>
      <w:r>
        <w:t xml:space="preserve"> the following actions</w:t>
      </w:r>
      <w:r w:rsidR="5AF94814">
        <w:t>:</w:t>
      </w:r>
      <w:r>
        <w:t xml:space="preserve"> (i) </w:t>
      </w:r>
      <w:r w:rsidR="2B713BD2">
        <w:t>z</w:t>
      </w:r>
      <w:r>
        <w:t xml:space="preserve">oning community areas and acknowledgement of customary law; (ii) </w:t>
      </w:r>
      <w:r w:rsidR="2B713BD2">
        <w:t>d</w:t>
      </w:r>
      <w:r>
        <w:t xml:space="preserve">evelopment of land-use master plans in the basin municipalities; </w:t>
      </w:r>
      <w:r w:rsidR="2B713BD2">
        <w:t xml:space="preserve">and </w:t>
      </w:r>
      <w:r>
        <w:t xml:space="preserve">(iii) </w:t>
      </w:r>
      <w:r w:rsidR="2B713BD2">
        <w:t>r</w:t>
      </w:r>
      <w:r>
        <w:t xml:space="preserve">eforestation of perimeters and tree planting along the basin with local </w:t>
      </w:r>
      <w:r>
        <w:lastRenderedPageBreak/>
        <w:t xml:space="preserve">species. </w:t>
      </w:r>
      <w:r w:rsidR="5AF94814">
        <w:t>Ten</w:t>
      </w:r>
      <w:r>
        <w:t xml:space="preserve"> years </w:t>
      </w:r>
      <w:r w:rsidR="5AF94814">
        <w:t>have elapsed and</w:t>
      </w:r>
      <w:r>
        <w:t xml:space="preserve"> </w:t>
      </w:r>
      <w:r w:rsidR="5AF94814">
        <w:t>implementation is reported to be limited in actions and investments</w:t>
      </w:r>
      <w:r>
        <w:t>.</w:t>
      </w:r>
    </w:p>
    <w:p w14:paraId="3EF9150F" w14:textId="72CDD5C5" w:rsidR="009563B4" w:rsidRPr="00214995" w:rsidRDefault="009563B4" w:rsidP="00214995">
      <w:pPr>
        <w:spacing w:before="160" w:after="160"/>
        <w:rPr>
          <w:rFonts w:ascii="Calibri" w:hAnsi="Calibri"/>
          <w:i/>
          <w:iCs/>
          <w:sz w:val="21"/>
          <w:szCs w:val="21"/>
          <w:highlight w:val="lightGray"/>
        </w:rPr>
      </w:pPr>
      <w:bookmarkStart w:id="61" w:name="_Toc45712161"/>
      <w:r w:rsidRPr="00214995">
        <w:rPr>
          <w:rFonts w:ascii="Calibri" w:hAnsi="Calibri"/>
          <w:i/>
          <w:iCs/>
          <w:sz w:val="21"/>
          <w:szCs w:val="21"/>
          <w:highlight w:val="lightGray"/>
        </w:rPr>
        <w:t xml:space="preserve">Climate Risks and Resilience </w:t>
      </w:r>
      <w:bookmarkEnd w:id="61"/>
    </w:p>
    <w:p w14:paraId="74A9A994" w14:textId="3E3D66BA" w:rsidR="009563B4" w:rsidRPr="00CE1EA7" w:rsidRDefault="009563B4" w:rsidP="001667C6">
      <w:pPr>
        <w:pStyle w:val="ParagraphOED"/>
        <w:numPr>
          <w:ilvl w:val="0"/>
          <w:numId w:val="102"/>
        </w:numPr>
        <w:spacing w:after="160"/>
      </w:pPr>
      <w:r w:rsidRPr="1E65A5F7">
        <w:rPr>
          <w:b/>
          <w:bCs/>
        </w:rPr>
        <w:t>Climate Change is a</w:t>
      </w:r>
      <w:r w:rsidR="00C82386" w:rsidRPr="1E65A5F7">
        <w:rPr>
          <w:b/>
          <w:bCs/>
        </w:rPr>
        <w:t xml:space="preserve"> key</w:t>
      </w:r>
      <w:r w:rsidRPr="1E65A5F7">
        <w:rPr>
          <w:b/>
          <w:bCs/>
        </w:rPr>
        <w:t xml:space="preserve"> </w:t>
      </w:r>
      <w:r w:rsidR="00D35E04" w:rsidRPr="1E65A5F7">
        <w:rPr>
          <w:b/>
          <w:bCs/>
        </w:rPr>
        <w:t>element</w:t>
      </w:r>
      <w:r w:rsidRPr="1E65A5F7">
        <w:rPr>
          <w:b/>
          <w:bCs/>
        </w:rPr>
        <w:t xml:space="preserve"> </w:t>
      </w:r>
      <w:r w:rsidR="00D35E04" w:rsidRPr="1E65A5F7">
        <w:rPr>
          <w:b/>
          <w:bCs/>
        </w:rPr>
        <w:t>of</w:t>
      </w:r>
      <w:r w:rsidRPr="1E65A5F7">
        <w:rPr>
          <w:b/>
          <w:bCs/>
        </w:rPr>
        <w:t xml:space="preserve"> the project </w:t>
      </w:r>
      <w:r w:rsidR="00D35E04" w:rsidRPr="1E65A5F7">
        <w:rPr>
          <w:b/>
          <w:bCs/>
        </w:rPr>
        <w:t>being</w:t>
      </w:r>
      <w:r w:rsidRPr="1E65A5F7">
        <w:rPr>
          <w:b/>
          <w:bCs/>
        </w:rPr>
        <w:t xml:space="preserve"> one of the Focal Areas through which GEF funding</w:t>
      </w:r>
      <w:r w:rsidR="00D35E04" w:rsidRPr="1E65A5F7">
        <w:rPr>
          <w:b/>
          <w:bCs/>
        </w:rPr>
        <w:t xml:space="preserve"> is accessed</w:t>
      </w:r>
      <w:r>
        <w:t xml:space="preserve">. </w:t>
      </w:r>
      <w:r w:rsidR="00D35E04">
        <w:t>Its importance is closely allied with Land Degradation</w:t>
      </w:r>
      <w:r w:rsidR="00FE781B">
        <w:t xml:space="preserve">, another of the thre focal areas, given the project’s strategic focus on achieving LDN targets that embrace both LD and CC mitigation. This synergy has already been elaborated in </w:t>
      </w:r>
      <w:r w:rsidR="00FE781B" w:rsidRPr="1E65A5F7">
        <w:rPr>
          <w:highlight w:val="lightGray"/>
        </w:rPr>
        <w:t>Box 2</w:t>
      </w:r>
      <w:r w:rsidR="00FE781B">
        <w:t xml:space="preserve"> and the accompanying text</w:t>
      </w:r>
      <w:r w:rsidR="00091AB6">
        <w:t xml:space="preserve">; and the carbon emissions reduction benefits are provided </w:t>
      </w:r>
      <w:r w:rsidR="00C82386">
        <w:t xml:space="preserve">in </w:t>
      </w:r>
      <w:r w:rsidR="00C82386" w:rsidRPr="1E65A5F7">
        <w:rPr>
          <w:highlight w:val="lightGray"/>
        </w:rPr>
        <w:t>Part I Table F</w:t>
      </w:r>
      <w:r w:rsidR="00C82386">
        <w:t xml:space="preserve">, detailed in Annex F and calculated in </w:t>
      </w:r>
      <w:r w:rsidR="00C82386" w:rsidRPr="1E65A5F7">
        <w:rPr>
          <w:highlight w:val="lightGray"/>
        </w:rPr>
        <w:t>Annex X-2.6</w:t>
      </w:r>
      <w:r w:rsidR="00C82386">
        <w:t>.</w:t>
      </w:r>
    </w:p>
    <w:p w14:paraId="48672EA6" w14:textId="549AC28A" w:rsidR="006B6F97" w:rsidRPr="00F75961" w:rsidRDefault="009563B4" w:rsidP="001667C6">
      <w:pPr>
        <w:pStyle w:val="ParagraphOED"/>
        <w:numPr>
          <w:ilvl w:val="0"/>
          <w:numId w:val="102"/>
        </w:numPr>
        <w:spacing w:after="160"/>
      </w:pPr>
      <w:r>
        <w:t xml:space="preserve">The Government of Angola has taken steps to establish policies and regulations to address climate change adaptation, and in 2008 it approved a National Implementation Strategy for the United Nations Framework Convention on Climate Change (UNFCCC). This was followed by Angola’s participation in the Kyoto Protocol (including a few CDM projects) and, more recently, the country’s adherence to the Paris Agreement on Climate Change. </w:t>
      </w:r>
      <w:r w:rsidR="00EC1B8E">
        <w:t xml:space="preserve">Progress in identifying climate change scenarios/impacts, planning responses and commiting to actions over the last 10 years is summarized in </w:t>
      </w:r>
      <w:r w:rsidR="00EC1B8E" w:rsidRPr="1E65A5F7">
        <w:rPr>
          <w:highlight w:val="lightGray"/>
        </w:rPr>
        <w:t>Box 5</w:t>
      </w:r>
      <w:r w:rsidR="006B6F97">
        <w:t xml:space="preserve">, along with their </w:t>
      </w:r>
      <w:r w:rsidR="00EC1B8E">
        <w:t>relevance to this GEF-7 project</w:t>
      </w:r>
      <w:r w:rsidR="006B6F97">
        <w:t>.</w:t>
      </w:r>
    </w:p>
    <w:p w14:paraId="65506E8F" w14:textId="3B4B09E2" w:rsidR="002E6405" w:rsidRPr="00F75961" w:rsidRDefault="009563B4" w:rsidP="001667C6">
      <w:pPr>
        <w:pStyle w:val="ParagraphOED"/>
        <w:numPr>
          <w:ilvl w:val="0"/>
          <w:numId w:val="102"/>
        </w:numPr>
        <w:spacing w:after="160"/>
      </w:pPr>
      <w:r>
        <w:t>Angola has been actively accessing adaptation and mitigation funding through the GEF and other mechanisms</w:t>
      </w:r>
      <w:r w:rsidR="00D47DE5">
        <w:t xml:space="preserve">, </w:t>
      </w:r>
      <w:r w:rsidR="000B6928">
        <w:t xml:space="preserve">some </w:t>
      </w:r>
      <w:r w:rsidR="00D47DE5">
        <w:t>examples of which</w:t>
      </w:r>
      <w:r w:rsidR="000B6928">
        <w:t xml:space="preserve"> are summarized </w:t>
      </w:r>
      <w:r>
        <w:t xml:space="preserve"> </w:t>
      </w:r>
      <w:r w:rsidR="000B6928">
        <w:t xml:space="preserve">in </w:t>
      </w:r>
      <w:r>
        <w:fldChar w:fldCharType="begin"/>
      </w:r>
      <w:r>
        <w:instrText xml:space="preserve"> REF _Ref40735257 \h  \* MERGEFORMAT </w:instrText>
      </w:r>
      <w:r>
        <w:fldChar w:fldCharType="separate"/>
      </w:r>
      <w:r w:rsidR="00A64193" w:rsidRPr="1E65A5F7">
        <w:rPr>
          <w:u w:val="single"/>
        </w:rPr>
        <w:t>Table 9</w:t>
      </w:r>
      <w:r>
        <w:fldChar w:fldCharType="end"/>
      </w:r>
      <w:r>
        <w:t xml:space="preserve">. </w:t>
      </w:r>
      <w:r w:rsidR="000B6928">
        <w:t xml:space="preserve">As explained previously under the role of </w:t>
      </w:r>
      <w:r w:rsidR="000B6928" w:rsidRPr="1E65A5F7">
        <w:rPr>
          <w:b/>
          <w:bCs/>
        </w:rPr>
        <w:t>M</w:t>
      </w:r>
      <w:r w:rsidR="42F2A26B" w:rsidRPr="1E65A5F7">
        <w:rPr>
          <w:b/>
          <w:bCs/>
        </w:rPr>
        <w:t>CTA</w:t>
      </w:r>
      <w:r w:rsidR="000B6928">
        <w:t>, b</w:t>
      </w:r>
      <w:r>
        <w:t xml:space="preserve">oth </w:t>
      </w:r>
      <w:r w:rsidR="03D4BB08" w:rsidRPr="1E65A5F7">
        <w:rPr>
          <w:b/>
          <w:bCs/>
        </w:rPr>
        <w:t>DNAAC</w:t>
      </w:r>
      <w:r>
        <w:t xml:space="preserve"> and the </w:t>
      </w:r>
      <w:r w:rsidRPr="1E65A5F7">
        <w:rPr>
          <w:b/>
          <w:bCs/>
        </w:rPr>
        <w:t>CMA</w:t>
      </w:r>
      <w:r w:rsidR="000B6928">
        <w:t xml:space="preserve"> ha</w:t>
      </w:r>
      <w:r>
        <w:t>ve a role in harmonizing programs and policies to implement climate change strategies and to mobiliz</w:t>
      </w:r>
      <w:r w:rsidR="000B6928">
        <w:t>e</w:t>
      </w:r>
      <w:r>
        <w:t xml:space="preserve"> investments </w:t>
      </w:r>
      <w:r w:rsidR="000B6928">
        <w:t>for</w:t>
      </w:r>
      <w:r>
        <w:t xml:space="preserve"> climate change, biodiversity and desertification.</w:t>
      </w:r>
    </w:p>
    <w:p w14:paraId="7DD9F033" w14:textId="10E760E0" w:rsidR="009563B4" w:rsidRPr="00F671D7" w:rsidRDefault="009563B4" w:rsidP="00B27B02">
      <w:pPr>
        <w:rPr>
          <w:rFonts w:ascii="Calibri" w:eastAsia="Times" w:hAnsi="Calibri" w:cs="Calibri"/>
          <w:sz w:val="22"/>
          <w:szCs w:val="22"/>
        </w:rPr>
      </w:pPr>
      <w:bookmarkStart w:id="62" w:name="_Toc45712121"/>
      <w:bookmarkStart w:id="63" w:name="_Toc58398659"/>
      <w:r w:rsidRPr="00F671D7">
        <w:rPr>
          <w:rFonts w:ascii="Calibri" w:hAnsi="Calibri" w:cs="Calibri"/>
          <w:sz w:val="22"/>
          <w:szCs w:val="22"/>
        </w:rPr>
        <w:t xml:space="preserve">Box </w:t>
      </w:r>
      <w:r w:rsidRPr="00F671D7">
        <w:rPr>
          <w:rFonts w:ascii="Calibri" w:hAnsi="Calibri" w:cs="Calibri"/>
          <w:sz w:val="22"/>
          <w:szCs w:val="22"/>
        </w:rPr>
        <w:fldChar w:fldCharType="begin"/>
      </w:r>
      <w:r w:rsidRPr="00F671D7">
        <w:rPr>
          <w:rFonts w:ascii="Calibri" w:hAnsi="Calibri" w:cs="Calibri"/>
          <w:sz w:val="22"/>
          <w:szCs w:val="22"/>
        </w:rPr>
        <w:instrText>SEQ Box \* ARABIC</w:instrText>
      </w:r>
      <w:r w:rsidRPr="00F671D7">
        <w:rPr>
          <w:rFonts w:ascii="Calibri" w:hAnsi="Calibri" w:cs="Calibri"/>
          <w:sz w:val="22"/>
          <w:szCs w:val="22"/>
        </w:rPr>
        <w:fldChar w:fldCharType="separate"/>
      </w:r>
      <w:r w:rsidR="00A64193" w:rsidRPr="00F671D7">
        <w:rPr>
          <w:rFonts w:ascii="Calibri" w:hAnsi="Calibri" w:cs="Calibri"/>
          <w:noProof/>
          <w:sz w:val="22"/>
          <w:szCs w:val="22"/>
        </w:rPr>
        <w:t>5</w:t>
      </w:r>
      <w:r w:rsidRPr="00F671D7">
        <w:rPr>
          <w:rFonts w:ascii="Calibri" w:hAnsi="Calibri" w:cs="Calibri"/>
          <w:sz w:val="22"/>
          <w:szCs w:val="22"/>
        </w:rPr>
        <w:fldChar w:fldCharType="end"/>
      </w:r>
      <w:r w:rsidRPr="00F671D7">
        <w:rPr>
          <w:rFonts w:ascii="Calibri" w:hAnsi="Calibri" w:cs="Calibri"/>
          <w:sz w:val="22"/>
          <w:szCs w:val="22"/>
        </w:rPr>
        <w:t xml:space="preserve">. </w:t>
      </w:r>
      <w:r w:rsidR="009C5E86" w:rsidRPr="00F671D7">
        <w:rPr>
          <w:rFonts w:ascii="Calibri" w:hAnsi="Calibri" w:cs="Calibri"/>
          <w:sz w:val="22"/>
          <w:szCs w:val="22"/>
        </w:rPr>
        <w:t>Angola’s IPCC scenario and n</w:t>
      </w:r>
      <w:r w:rsidRPr="00F671D7">
        <w:rPr>
          <w:rFonts w:ascii="Calibri" w:eastAsia="Times" w:hAnsi="Calibri" w:cs="Calibri"/>
          <w:sz w:val="22"/>
          <w:szCs w:val="22"/>
        </w:rPr>
        <w:t xml:space="preserve">ational </w:t>
      </w:r>
      <w:r w:rsidR="009C5E86" w:rsidRPr="00F671D7">
        <w:rPr>
          <w:rFonts w:ascii="Calibri" w:eastAsia="Times" w:hAnsi="Calibri" w:cs="Calibri"/>
          <w:sz w:val="22"/>
          <w:szCs w:val="22"/>
        </w:rPr>
        <w:t>commitments and interventions to UNFCCC</w:t>
      </w:r>
      <w:bookmarkEnd w:id="62"/>
      <w:bookmarkEnd w:id="63"/>
    </w:p>
    <w:tbl>
      <w:tblPr>
        <w:tblW w:w="935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356"/>
      </w:tblGrid>
      <w:tr w:rsidR="009563B4" w:rsidRPr="00E44BFC" w14:paraId="46A74E9E" w14:textId="77777777" w:rsidTr="1E65A5F7">
        <w:trPr>
          <w:tblHeader/>
          <w:jc w:val="center"/>
        </w:trPr>
        <w:tc>
          <w:tcPr>
            <w:tcW w:w="9356" w:type="dxa"/>
            <w:shd w:val="clear" w:color="auto" w:fill="C00000"/>
            <w:tcMar>
              <w:top w:w="28" w:type="dxa"/>
              <w:left w:w="57" w:type="dxa"/>
              <w:bottom w:w="28" w:type="dxa"/>
              <w:right w:w="28" w:type="dxa"/>
            </w:tcMar>
          </w:tcPr>
          <w:p w14:paraId="2CE0C9B7" w14:textId="314A0701" w:rsidR="009563B4" w:rsidRPr="00E44BFC" w:rsidRDefault="009563B4" w:rsidP="00481CA4">
            <w:pPr>
              <w:widowControl w:val="0"/>
              <w:jc w:val="center"/>
              <w:rPr>
                <w:rFonts w:ascii="Calibri" w:hAnsi="Calibri" w:cs="Calibri"/>
                <w:b/>
                <w:smallCaps/>
                <w:color w:val="FFFFFF"/>
                <w:sz w:val="20"/>
                <w:szCs w:val="20"/>
              </w:rPr>
            </w:pPr>
            <w:r w:rsidRPr="009C5E86">
              <w:rPr>
                <w:rFonts w:ascii="Calibri" w:hAnsi="Calibri" w:cs="Calibri"/>
                <w:b/>
                <w:smallCaps/>
                <w:color w:val="FFFFFF" w:themeColor="background1"/>
                <w:sz w:val="20"/>
                <w:szCs w:val="20"/>
              </w:rPr>
              <w:t>Summary</w:t>
            </w:r>
            <w:r w:rsidR="009C5E86">
              <w:rPr>
                <w:rFonts w:ascii="Calibri" w:hAnsi="Calibri" w:cs="Calibri"/>
                <w:b/>
                <w:smallCaps/>
                <w:color w:val="FFFFFF" w:themeColor="background1"/>
                <w:sz w:val="20"/>
                <w:szCs w:val="20"/>
              </w:rPr>
              <w:t xml:space="preserve"> </w:t>
            </w:r>
            <w:r w:rsidRPr="009C5E86">
              <w:rPr>
                <w:rFonts w:ascii="Calibri" w:hAnsi="Calibri" w:cs="Calibri"/>
                <w:b/>
                <w:smallCaps/>
                <w:color w:val="FFFFFF" w:themeColor="background1"/>
                <w:sz w:val="20"/>
                <w:szCs w:val="20"/>
              </w:rPr>
              <w:t>and Relevance for the Project</w:t>
            </w:r>
          </w:p>
        </w:tc>
      </w:tr>
      <w:tr w:rsidR="009563B4" w:rsidRPr="00E44BFC" w14:paraId="43F3A4FD" w14:textId="77777777" w:rsidTr="1E65A5F7">
        <w:trPr>
          <w:jc w:val="center"/>
        </w:trPr>
        <w:tc>
          <w:tcPr>
            <w:tcW w:w="9356" w:type="dxa"/>
            <w:shd w:val="clear" w:color="auto" w:fill="FFF3F3"/>
            <w:tcMar>
              <w:top w:w="57" w:type="dxa"/>
              <w:left w:w="57" w:type="dxa"/>
              <w:bottom w:w="57" w:type="dxa"/>
              <w:right w:w="57" w:type="dxa"/>
            </w:tcMar>
          </w:tcPr>
          <w:p w14:paraId="051BCEE2" w14:textId="03C8B29F" w:rsidR="009563B4" w:rsidRPr="00E44BFC" w:rsidRDefault="009563B4" w:rsidP="00E44BFC">
            <w:pPr>
              <w:widowControl w:val="0"/>
              <w:spacing w:before="80"/>
              <w:rPr>
                <w:rFonts w:ascii="Calibri" w:hAnsi="Calibri" w:cs="Calibri"/>
                <w:sz w:val="20"/>
                <w:szCs w:val="20"/>
              </w:rPr>
            </w:pPr>
            <w:r w:rsidRPr="00E44BFC">
              <w:rPr>
                <w:rFonts w:ascii="Calibri" w:hAnsi="Calibri" w:cs="Calibri"/>
                <w:b/>
                <w:bCs/>
                <w:sz w:val="20"/>
                <w:szCs w:val="20"/>
              </w:rPr>
              <w:t>IPCC scenarios</w:t>
            </w:r>
            <w:r w:rsidRPr="00E44BFC">
              <w:rPr>
                <w:rFonts w:ascii="Calibri" w:hAnsi="Calibri" w:cs="Calibri"/>
                <w:sz w:val="20"/>
                <w:szCs w:val="20"/>
              </w:rPr>
              <w:t xml:space="preserve"> for Angola included in the INC and NAPA projected a </w:t>
            </w:r>
            <w:r w:rsidR="00957F0D" w:rsidRPr="00E44BFC">
              <w:rPr>
                <w:rFonts w:ascii="Calibri" w:hAnsi="Calibri" w:cs="Calibri"/>
                <w:sz w:val="20"/>
                <w:szCs w:val="20"/>
              </w:rPr>
              <w:t xml:space="preserve">1.2-3.2°C </w:t>
            </w:r>
            <w:r w:rsidRPr="00E44BFC">
              <w:rPr>
                <w:rFonts w:ascii="Calibri" w:hAnsi="Calibri" w:cs="Calibri"/>
                <w:sz w:val="20"/>
                <w:szCs w:val="20"/>
              </w:rPr>
              <w:t xml:space="preserve">increase </w:t>
            </w:r>
            <w:r w:rsidR="00957F0D" w:rsidRPr="00E44BFC">
              <w:rPr>
                <w:rFonts w:ascii="Calibri" w:hAnsi="Calibri" w:cs="Calibri"/>
                <w:sz w:val="20"/>
                <w:szCs w:val="20"/>
              </w:rPr>
              <w:t xml:space="preserve">in </w:t>
            </w:r>
            <w:r w:rsidRPr="00E44BFC">
              <w:rPr>
                <w:rFonts w:ascii="Calibri" w:hAnsi="Calibri" w:cs="Calibri"/>
                <w:sz w:val="20"/>
                <w:szCs w:val="20"/>
              </w:rPr>
              <w:t xml:space="preserve">mean annual temperatures by  the 2060s. The main climate models predicted more extreme weather events, an expansion of semi-arid regions, seasonal shifts in rainfall and increased wildfires. This is </w:t>
            </w:r>
            <w:r w:rsidR="00957F0D" w:rsidRPr="00E44BFC">
              <w:rPr>
                <w:rFonts w:ascii="Calibri" w:hAnsi="Calibri" w:cs="Calibri"/>
                <w:sz w:val="20"/>
                <w:szCs w:val="20"/>
              </w:rPr>
              <w:t xml:space="preserve">highly </w:t>
            </w:r>
            <w:r w:rsidRPr="00E44BFC">
              <w:rPr>
                <w:rFonts w:ascii="Calibri" w:hAnsi="Calibri" w:cs="Calibri"/>
                <w:sz w:val="20"/>
                <w:szCs w:val="20"/>
              </w:rPr>
              <w:t xml:space="preserve">relevant </w:t>
            </w:r>
            <w:r w:rsidR="00957F0D" w:rsidRPr="00E44BFC">
              <w:rPr>
                <w:rFonts w:ascii="Calibri" w:hAnsi="Calibri" w:cs="Calibri"/>
                <w:sz w:val="20"/>
                <w:szCs w:val="20"/>
              </w:rPr>
              <w:t xml:space="preserve">for drylands and presumed drylands in </w:t>
            </w:r>
            <w:r w:rsidRPr="00E44BFC">
              <w:rPr>
                <w:rFonts w:ascii="Calibri" w:hAnsi="Calibri" w:cs="Calibri"/>
                <w:sz w:val="20"/>
                <w:szCs w:val="20"/>
              </w:rPr>
              <w:t>the project zone</w:t>
            </w:r>
            <w:r w:rsidR="00957F0D" w:rsidRPr="00E44BFC">
              <w:rPr>
                <w:rFonts w:ascii="Calibri" w:hAnsi="Calibri" w:cs="Calibri"/>
                <w:sz w:val="20"/>
                <w:szCs w:val="20"/>
              </w:rPr>
              <w:t xml:space="preserve"> and includes the following </w:t>
            </w:r>
            <w:r w:rsidRPr="00E44BFC">
              <w:rPr>
                <w:rFonts w:ascii="Calibri" w:hAnsi="Calibri" w:cs="Calibri"/>
                <w:sz w:val="20"/>
                <w:szCs w:val="20"/>
              </w:rPr>
              <w:t>scenarios:</w:t>
            </w:r>
          </w:p>
          <w:p w14:paraId="16DC67CE" w14:textId="4D5A30A6" w:rsidR="009563B4" w:rsidRPr="00E44BFC" w:rsidRDefault="009563B4" w:rsidP="00C53A49">
            <w:pPr>
              <w:pStyle w:val="ListParagraph"/>
              <w:widowControl w:val="0"/>
              <w:numPr>
                <w:ilvl w:val="0"/>
                <w:numId w:val="23"/>
              </w:numPr>
              <w:spacing w:before="40" w:after="0"/>
              <w:ind w:left="448" w:hanging="284"/>
              <w:contextualSpacing w:val="0"/>
              <w:jc w:val="left"/>
              <w:rPr>
                <w:rFonts w:cs="Calibri"/>
                <w:b/>
                <w:smallCaps/>
                <w:color w:val="FF0000"/>
                <w:sz w:val="20"/>
                <w:szCs w:val="20"/>
              </w:rPr>
            </w:pPr>
            <w:r w:rsidRPr="00E44BFC">
              <w:rPr>
                <w:rFonts w:cs="Calibri"/>
                <w:b/>
                <w:bCs/>
                <w:sz w:val="20"/>
                <w:szCs w:val="20"/>
              </w:rPr>
              <w:t>Water stress:</w:t>
            </w:r>
            <w:r w:rsidRPr="00E44BFC">
              <w:rPr>
                <w:rFonts w:cs="Calibri"/>
                <w:sz w:val="20"/>
                <w:szCs w:val="20"/>
              </w:rPr>
              <w:t xml:space="preserve"> Much of the miombo and mopane belts in </w:t>
            </w:r>
            <w:r w:rsidR="006C4284">
              <w:rPr>
                <w:rFonts w:cs="Calibri"/>
                <w:sz w:val="20"/>
                <w:szCs w:val="20"/>
              </w:rPr>
              <w:t>southern Angola</w:t>
            </w:r>
            <w:r w:rsidRPr="00E44BFC">
              <w:rPr>
                <w:rFonts w:cs="Calibri"/>
                <w:sz w:val="20"/>
                <w:szCs w:val="20"/>
              </w:rPr>
              <w:t xml:space="preserve"> fall within a water scarce region that is globally </w:t>
            </w:r>
            <w:r w:rsidR="00957F0D" w:rsidRPr="00E44BFC">
              <w:rPr>
                <w:rFonts w:cs="Calibri"/>
                <w:sz w:val="20"/>
                <w:szCs w:val="20"/>
              </w:rPr>
              <w:t xml:space="preserve">classified </w:t>
            </w:r>
            <w:r w:rsidRPr="00E44BFC">
              <w:rPr>
                <w:rFonts w:cs="Calibri"/>
                <w:sz w:val="20"/>
                <w:szCs w:val="20"/>
              </w:rPr>
              <w:t xml:space="preserve">as drylands, where the aridity index is normally less than 0.65, requiring targeted </w:t>
            </w:r>
            <w:r w:rsidR="00957F0D" w:rsidRPr="00E44BFC">
              <w:rPr>
                <w:rFonts w:cs="Calibri"/>
                <w:sz w:val="20"/>
                <w:szCs w:val="20"/>
              </w:rPr>
              <w:t>sustainable interventions</w:t>
            </w:r>
            <w:r w:rsidRPr="00E44BFC">
              <w:rPr>
                <w:rFonts w:cs="Calibri"/>
                <w:sz w:val="20"/>
                <w:szCs w:val="20"/>
              </w:rPr>
              <w:t xml:space="preserve"> in terms of landscape management.</w:t>
            </w:r>
          </w:p>
          <w:p w14:paraId="20870A0D" w14:textId="5F2C775B" w:rsidR="009563B4" w:rsidRPr="00E44BFC" w:rsidRDefault="009563B4" w:rsidP="00C53A49">
            <w:pPr>
              <w:pStyle w:val="ListParagraph"/>
              <w:widowControl w:val="0"/>
              <w:numPr>
                <w:ilvl w:val="0"/>
                <w:numId w:val="23"/>
              </w:numPr>
              <w:spacing w:before="40" w:after="0"/>
              <w:ind w:left="448" w:hanging="284"/>
              <w:contextualSpacing w:val="0"/>
              <w:jc w:val="left"/>
              <w:rPr>
                <w:rFonts w:cs="Calibri"/>
                <w:b/>
                <w:smallCaps/>
                <w:color w:val="FF0000"/>
                <w:sz w:val="20"/>
                <w:szCs w:val="20"/>
              </w:rPr>
            </w:pPr>
            <w:r w:rsidRPr="00E44BFC">
              <w:rPr>
                <w:rFonts w:cs="Calibri"/>
                <w:b/>
                <w:bCs/>
                <w:sz w:val="20"/>
                <w:szCs w:val="20"/>
              </w:rPr>
              <w:t>Climatic variability trends</w:t>
            </w:r>
            <w:r w:rsidR="00957F0D" w:rsidRPr="00E44BFC">
              <w:rPr>
                <w:rFonts w:cs="Calibri"/>
                <w:b/>
                <w:bCs/>
                <w:sz w:val="20"/>
                <w:szCs w:val="20"/>
              </w:rPr>
              <w:t>:</w:t>
            </w:r>
            <w:r w:rsidRPr="00E44BFC">
              <w:rPr>
                <w:rFonts w:cs="Calibri"/>
                <w:b/>
                <w:bCs/>
                <w:sz w:val="20"/>
                <w:szCs w:val="20"/>
              </w:rPr>
              <w:t xml:space="preserve"> </w:t>
            </w:r>
            <w:r w:rsidR="00957F0D" w:rsidRPr="00E44BFC">
              <w:rPr>
                <w:rFonts w:cs="Calibri"/>
                <w:sz w:val="20"/>
                <w:szCs w:val="20"/>
              </w:rPr>
              <w:t>R</w:t>
            </w:r>
            <w:r w:rsidRPr="00E44BFC">
              <w:rPr>
                <w:rFonts w:cs="Calibri"/>
                <w:sz w:val="20"/>
                <w:szCs w:val="20"/>
              </w:rPr>
              <w:t>emain</w:t>
            </w:r>
            <w:r w:rsidR="00957F0D" w:rsidRPr="00E44BFC">
              <w:rPr>
                <w:rFonts w:cs="Calibri"/>
                <w:sz w:val="20"/>
                <w:szCs w:val="20"/>
              </w:rPr>
              <w:t>ing</w:t>
            </w:r>
            <w:r w:rsidRPr="00E44BFC">
              <w:rPr>
                <w:rFonts w:cs="Calibri"/>
                <w:sz w:val="20"/>
                <w:szCs w:val="20"/>
              </w:rPr>
              <w:t xml:space="preserve"> miombo and mopane ecosystems, both in Angola and in neighbo</w:t>
            </w:r>
            <w:r w:rsidR="00E44BFC" w:rsidRPr="00E44BFC">
              <w:rPr>
                <w:rFonts w:cs="Calibri"/>
                <w:sz w:val="20"/>
                <w:szCs w:val="20"/>
              </w:rPr>
              <w:t>u</w:t>
            </w:r>
            <w:r w:rsidRPr="00E44BFC">
              <w:rPr>
                <w:rFonts w:cs="Calibri"/>
                <w:sz w:val="20"/>
                <w:szCs w:val="20"/>
              </w:rPr>
              <w:t>ring countries, are located in areas that may experience negative changes in aridity under a high greenhouse gas emission scenarios</w:t>
            </w:r>
            <w:r w:rsidR="00E44BFC" w:rsidRPr="00E44BFC">
              <w:rPr>
                <w:rFonts w:cs="Calibri"/>
                <w:sz w:val="20"/>
                <w:szCs w:val="20"/>
              </w:rPr>
              <w:t xml:space="preserve"> </w:t>
            </w:r>
            <w:r w:rsidRPr="00E44BFC">
              <w:rPr>
                <w:rFonts w:cs="Calibri"/>
                <w:sz w:val="20"/>
                <w:szCs w:val="20"/>
              </w:rPr>
              <w:t xml:space="preserve"> – e.g. from semi-arid to arid or hyper-arid. </w:t>
            </w:r>
          </w:p>
          <w:p w14:paraId="779961BF" w14:textId="47EBC9F5" w:rsidR="009563B4" w:rsidRPr="00E44BFC" w:rsidRDefault="009563B4" w:rsidP="00C53A49">
            <w:pPr>
              <w:pStyle w:val="ListParagraph"/>
              <w:widowControl w:val="0"/>
              <w:numPr>
                <w:ilvl w:val="0"/>
                <w:numId w:val="23"/>
              </w:numPr>
              <w:spacing w:before="40" w:after="0"/>
              <w:ind w:left="448" w:hanging="284"/>
              <w:contextualSpacing w:val="0"/>
              <w:jc w:val="left"/>
              <w:rPr>
                <w:rFonts w:cs="Calibri"/>
                <w:b/>
                <w:smallCaps/>
                <w:color w:val="FF0000"/>
                <w:sz w:val="20"/>
                <w:szCs w:val="20"/>
              </w:rPr>
            </w:pPr>
            <w:r w:rsidRPr="00E44BFC">
              <w:rPr>
                <w:rFonts w:cs="Calibri"/>
                <w:b/>
                <w:bCs/>
                <w:sz w:val="20"/>
                <w:szCs w:val="20"/>
              </w:rPr>
              <w:t>Impacts.</w:t>
            </w:r>
            <w:r w:rsidRPr="00E44BFC">
              <w:rPr>
                <w:rFonts w:cs="Calibri"/>
                <w:sz w:val="20"/>
                <w:szCs w:val="20"/>
              </w:rPr>
              <w:t xml:space="preserve"> This process will necessarily lead to </w:t>
            </w:r>
            <w:r w:rsidRPr="00E44BFC">
              <w:rPr>
                <w:rFonts w:cs="Calibri"/>
                <w:b/>
                <w:bCs/>
                <w:sz w:val="20"/>
                <w:szCs w:val="20"/>
              </w:rPr>
              <w:t>declines in biodiversity, ecosystem function</w:t>
            </w:r>
            <w:r w:rsidR="00E44BFC" w:rsidRPr="00E44BFC">
              <w:rPr>
                <w:rFonts w:cs="Calibri"/>
                <w:b/>
                <w:bCs/>
                <w:sz w:val="20"/>
                <w:szCs w:val="20"/>
              </w:rPr>
              <w:t>ing</w:t>
            </w:r>
            <w:r w:rsidRPr="00E44BFC">
              <w:rPr>
                <w:rFonts w:cs="Calibri"/>
                <w:b/>
                <w:bCs/>
                <w:sz w:val="20"/>
                <w:szCs w:val="20"/>
              </w:rPr>
              <w:t xml:space="preserve"> and degradation of carbon stocks</w:t>
            </w:r>
            <w:r w:rsidR="00E44BFC" w:rsidRPr="00E44BFC">
              <w:rPr>
                <w:rFonts w:cs="Calibri"/>
                <w:b/>
                <w:bCs/>
                <w:sz w:val="20"/>
                <w:szCs w:val="20"/>
              </w:rPr>
              <w:t>,</w:t>
            </w:r>
            <w:r w:rsidRPr="00E44BFC">
              <w:rPr>
                <w:rFonts w:cs="Calibri"/>
                <w:b/>
                <w:bCs/>
                <w:sz w:val="20"/>
                <w:szCs w:val="20"/>
              </w:rPr>
              <w:t xml:space="preserve"> </w:t>
            </w:r>
            <w:r w:rsidRPr="00E44BFC">
              <w:rPr>
                <w:rFonts w:cs="Calibri"/>
                <w:sz w:val="20"/>
                <w:szCs w:val="20"/>
              </w:rPr>
              <w:t>as well as significant increases in social stress due in large part to production pressures and food insecurity.</w:t>
            </w:r>
          </w:p>
          <w:p w14:paraId="2853F0B6" w14:textId="3E45F575" w:rsidR="009563B4" w:rsidRPr="00E44BFC" w:rsidRDefault="009563B4" w:rsidP="00E44BFC">
            <w:pPr>
              <w:widowControl w:val="0"/>
              <w:spacing w:before="80"/>
              <w:rPr>
                <w:rFonts w:ascii="Calibri" w:hAnsi="Calibri" w:cs="Calibri"/>
                <w:sz w:val="20"/>
                <w:szCs w:val="20"/>
              </w:rPr>
            </w:pPr>
            <w:r w:rsidRPr="00E44BFC">
              <w:rPr>
                <w:rFonts w:ascii="Calibri" w:hAnsi="Calibri" w:cs="Calibri"/>
                <w:b/>
                <w:bCs/>
                <w:sz w:val="20"/>
                <w:szCs w:val="20"/>
              </w:rPr>
              <w:t>Angola conducted its first GHG inventory</w:t>
            </w:r>
            <w:r w:rsidR="00E44BFC" w:rsidRPr="00E44BFC">
              <w:rPr>
                <w:rFonts w:ascii="Calibri" w:hAnsi="Calibri" w:cs="Calibri"/>
                <w:b/>
                <w:bCs/>
                <w:sz w:val="20"/>
                <w:szCs w:val="20"/>
              </w:rPr>
              <w:t xml:space="preserve"> </w:t>
            </w:r>
            <w:r w:rsidR="00BC0864">
              <w:rPr>
                <w:rFonts w:ascii="Calibri" w:hAnsi="Calibri" w:cs="Calibri"/>
                <w:b/>
                <w:bCs/>
                <w:sz w:val="20"/>
                <w:szCs w:val="20"/>
              </w:rPr>
              <w:t>in</w:t>
            </w:r>
            <w:r w:rsidR="00E44BFC" w:rsidRPr="00E44BFC">
              <w:rPr>
                <w:rFonts w:ascii="Calibri" w:hAnsi="Calibri" w:cs="Calibri"/>
                <w:b/>
                <w:bCs/>
                <w:sz w:val="20"/>
                <w:szCs w:val="20"/>
              </w:rPr>
              <w:t xml:space="preserve"> 2011 </w:t>
            </w:r>
            <w:r w:rsidRPr="00E44BFC">
              <w:rPr>
                <w:rFonts w:ascii="Calibri" w:hAnsi="Calibri" w:cs="Calibri"/>
                <w:sz w:val="20"/>
                <w:szCs w:val="20"/>
              </w:rPr>
              <w:t>and listed priorities for mitigation</w:t>
            </w:r>
            <w:r w:rsidR="00BC0864">
              <w:rPr>
                <w:rFonts w:ascii="Calibri" w:hAnsi="Calibri" w:cs="Calibri"/>
                <w:sz w:val="20"/>
                <w:szCs w:val="20"/>
              </w:rPr>
              <w:t>. E</w:t>
            </w:r>
            <w:r w:rsidRPr="00E44BFC">
              <w:rPr>
                <w:rFonts w:ascii="Calibri" w:hAnsi="Calibri" w:cs="Calibri"/>
                <w:sz w:val="20"/>
                <w:szCs w:val="20"/>
              </w:rPr>
              <w:t>missions were assessed back then as coming primarily from the energy sector. The  GHG inventory highlighted a 195% increase in Angola’s GHG</w:t>
            </w:r>
            <w:r w:rsidR="00BC0864">
              <w:rPr>
                <w:rFonts w:ascii="Calibri" w:hAnsi="Calibri" w:cs="Calibri"/>
                <w:sz w:val="20"/>
                <w:szCs w:val="20"/>
              </w:rPr>
              <w:t>s</w:t>
            </w:r>
            <w:r w:rsidRPr="00E44BFC">
              <w:rPr>
                <w:rFonts w:ascii="Calibri" w:hAnsi="Calibri" w:cs="Calibri"/>
                <w:sz w:val="20"/>
                <w:szCs w:val="20"/>
              </w:rPr>
              <w:t xml:space="preserve"> </w:t>
            </w:r>
            <w:r w:rsidRPr="00B51E0E">
              <w:rPr>
                <w:rFonts w:ascii="Calibri" w:hAnsi="Calibri" w:cs="Calibri"/>
                <w:sz w:val="20"/>
                <w:szCs w:val="20"/>
              </w:rPr>
              <w:t>from</w:t>
            </w:r>
            <w:r w:rsidR="00B51E0E" w:rsidRPr="00B51E0E">
              <w:rPr>
                <w:rFonts w:ascii="Calibri" w:hAnsi="Calibri" w:cs="Calibri"/>
                <w:color w:val="000000"/>
                <w:sz w:val="20"/>
                <w:szCs w:val="20"/>
              </w:rPr>
              <w:t xml:space="preserve"> Land Use, Land-Use Change and Forestry</w:t>
            </w:r>
            <w:r w:rsidR="00B51E0E">
              <w:rPr>
                <w:rFonts w:ascii="Calibri" w:hAnsi="Calibri" w:cs="Calibri"/>
                <w:color w:val="000000"/>
                <w:sz w:val="20"/>
                <w:szCs w:val="20"/>
              </w:rPr>
              <w:t xml:space="preserve"> (</w:t>
            </w:r>
            <w:r w:rsidRPr="00B51E0E">
              <w:rPr>
                <w:rFonts w:ascii="Calibri" w:hAnsi="Calibri" w:cs="Calibri"/>
                <w:sz w:val="20"/>
                <w:szCs w:val="20"/>
              </w:rPr>
              <w:t>LULUCF</w:t>
            </w:r>
            <w:r w:rsidR="00B51E0E">
              <w:rPr>
                <w:rFonts w:ascii="Calibri" w:hAnsi="Calibri" w:cs="Calibri"/>
                <w:sz w:val="20"/>
                <w:szCs w:val="20"/>
              </w:rPr>
              <w:t>)</w:t>
            </w:r>
            <w:r w:rsidRPr="00E44BFC">
              <w:rPr>
                <w:rFonts w:ascii="Calibri" w:hAnsi="Calibri" w:cs="Calibri"/>
                <w:sz w:val="20"/>
                <w:szCs w:val="20"/>
              </w:rPr>
              <w:t xml:space="preserve"> sector between 2000 and 2005. </w:t>
            </w:r>
          </w:p>
          <w:p w14:paraId="1AEA100E" w14:textId="0687CC3F" w:rsidR="009563B4" w:rsidRPr="00E44BFC" w:rsidRDefault="00B51E0E" w:rsidP="00E44BFC">
            <w:pPr>
              <w:widowControl w:val="0"/>
              <w:spacing w:before="80"/>
              <w:rPr>
                <w:rFonts w:ascii="Calibri" w:hAnsi="Calibri" w:cs="Calibri"/>
                <w:sz w:val="20"/>
                <w:szCs w:val="20"/>
              </w:rPr>
            </w:pPr>
            <w:r>
              <w:rPr>
                <w:rFonts w:ascii="Calibri" w:hAnsi="Calibri" w:cs="Calibri"/>
                <w:b/>
                <w:bCs/>
                <w:sz w:val="20"/>
                <w:szCs w:val="20"/>
              </w:rPr>
              <w:t>In</w:t>
            </w:r>
            <w:r w:rsidR="009563B4" w:rsidRPr="00E44BFC">
              <w:rPr>
                <w:rFonts w:ascii="Calibri" w:hAnsi="Calibri" w:cs="Calibri"/>
                <w:b/>
                <w:bCs/>
                <w:sz w:val="20"/>
                <w:szCs w:val="20"/>
              </w:rPr>
              <w:t xml:space="preserve"> 2012, Angola’s NAPA </w:t>
            </w:r>
            <w:r w:rsidR="00E12E0A">
              <w:rPr>
                <w:rFonts w:ascii="Calibri" w:hAnsi="Calibri" w:cs="Calibri"/>
                <w:b/>
                <w:bCs/>
                <w:sz w:val="20"/>
                <w:szCs w:val="20"/>
              </w:rPr>
              <w:t xml:space="preserve">identified </w:t>
            </w:r>
            <w:r w:rsidR="009563B4" w:rsidRPr="00E44BFC">
              <w:rPr>
                <w:rFonts w:ascii="Calibri" w:hAnsi="Calibri" w:cs="Calibri"/>
                <w:b/>
                <w:bCs/>
                <w:sz w:val="20"/>
                <w:szCs w:val="20"/>
              </w:rPr>
              <w:t>sectors that would be most affected by climate change</w:t>
            </w:r>
            <w:r w:rsidR="00E12E0A">
              <w:rPr>
                <w:rFonts w:ascii="Calibri" w:hAnsi="Calibri" w:cs="Calibri"/>
                <w:b/>
                <w:bCs/>
                <w:sz w:val="20"/>
                <w:szCs w:val="20"/>
              </w:rPr>
              <w:t xml:space="preserve"> and prioritized</w:t>
            </w:r>
            <w:r>
              <w:rPr>
                <w:rFonts w:ascii="Calibri" w:hAnsi="Calibri" w:cs="Calibri"/>
                <w:b/>
                <w:bCs/>
                <w:sz w:val="20"/>
                <w:szCs w:val="20"/>
              </w:rPr>
              <w:t xml:space="preserve"> the top five </w:t>
            </w:r>
            <w:r w:rsidR="009563B4" w:rsidRPr="00E44BFC">
              <w:rPr>
                <w:rFonts w:ascii="Calibri" w:hAnsi="Calibri" w:cs="Calibri"/>
                <w:sz w:val="20"/>
                <w:szCs w:val="20"/>
              </w:rPr>
              <w:t xml:space="preserve">for adaptation and resilience building: (i) </w:t>
            </w:r>
            <w:r w:rsidR="00E12E0A" w:rsidRPr="00E44BFC">
              <w:rPr>
                <w:rFonts w:ascii="Calibri" w:hAnsi="Calibri" w:cs="Calibri"/>
                <w:sz w:val="20"/>
                <w:szCs w:val="20"/>
              </w:rPr>
              <w:t>agriculture and food security; (ii) forestry and biodiversity; (iii) fisheries; (iv) water resources; and (v) human health</w:t>
            </w:r>
            <w:r w:rsidR="009563B4" w:rsidRPr="00E44BFC">
              <w:rPr>
                <w:rFonts w:ascii="Calibri" w:hAnsi="Calibri" w:cs="Calibri"/>
                <w:sz w:val="20"/>
                <w:szCs w:val="20"/>
              </w:rPr>
              <w:t xml:space="preserve">. The NAPA also stressed the need to promote sustainable land management across the country and to increase agricultural yields as a response to climate change. </w:t>
            </w:r>
          </w:p>
          <w:p w14:paraId="2FEA0DB7" w14:textId="27D2D135" w:rsidR="009563B4" w:rsidRPr="00E44BFC" w:rsidRDefault="00BC33AB" w:rsidP="00E44BFC">
            <w:pPr>
              <w:widowControl w:val="0"/>
              <w:spacing w:before="80"/>
              <w:rPr>
                <w:rFonts w:ascii="Calibri" w:hAnsi="Calibri" w:cs="Calibri"/>
                <w:sz w:val="20"/>
                <w:szCs w:val="20"/>
              </w:rPr>
            </w:pPr>
            <w:r w:rsidRPr="00BC33AB">
              <w:rPr>
                <w:rFonts w:ascii="Calibri" w:hAnsi="Calibri" w:cs="Calibri"/>
                <w:b/>
                <w:bCs/>
                <w:sz w:val="20"/>
                <w:szCs w:val="20"/>
              </w:rPr>
              <w:t xml:space="preserve">In 2015, </w:t>
            </w:r>
            <w:r w:rsidR="009563B4" w:rsidRPr="00BC33AB">
              <w:rPr>
                <w:rFonts w:ascii="Calibri" w:hAnsi="Calibri" w:cs="Calibri"/>
                <w:b/>
                <w:bCs/>
                <w:sz w:val="20"/>
                <w:szCs w:val="20"/>
              </w:rPr>
              <w:t>Angola</w:t>
            </w:r>
            <w:r w:rsidR="009563B4" w:rsidRPr="00E44BFC">
              <w:rPr>
                <w:rFonts w:ascii="Calibri" w:hAnsi="Calibri" w:cs="Calibri"/>
                <w:b/>
                <w:bCs/>
                <w:sz w:val="20"/>
                <w:szCs w:val="20"/>
              </w:rPr>
              <w:t xml:space="preserve"> committed to stabilizing its emissions, and contributing to climate change mitigation by 2030 through the INDC</w:t>
            </w:r>
            <w:r w:rsidR="009563B4" w:rsidRPr="00E44BFC">
              <w:rPr>
                <w:rFonts w:ascii="Calibri" w:hAnsi="Calibri" w:cs="Calibri"/>
                <w:sz w:val="20"/>
                <w:szCs w:val="20"/>
              </w:rPr>
              <w:t>, both conditionally and unconditionally</w:t>
            </w:r>
            <w:r>
              <w:rPr>
                <w:rFonts w:ascii="Calibri" w:hAnsi="Calibri" w:cs="Calibri"/>
                <w:sz w:val="20"/>
                <w:szCs w:val="20"/>
              </w:rPr>
              <w:t xml:space="preserve"> (refer toParagraph </w:t>
            </w:r>
            <w:r>
              <w:rPr>
                <w:rFonts w:ascii="Calibri" w:hAnsi="Calibri" w:cs="Calibri"/>
                <w:sz w:val="20"/>
                <w:szCs w:val="20"/>
              </w:rPr>
              <w:fldChar w:fldCharType="begin"/>
            </w:r>
            <w:r>
              <w:rPr>
                <w:rFonts w:ascii="Calibri" w:hAnsi="Calibri" w:cs="Calibri"/>
                <w:sz w:val="20"/>
                <w:szCs w:val="20"/>
              </w:rPr>
              <w:instrText xml:space="preserve"> REF _Ref52194397 \r \h  \* MERGEFORMAT </w:instrText>
            </w:r>
            <w:r>
              <w:rPr>
                <w:rFonts w:ascii="Calibri" w:hAnsi="Calibri" w:cs="Calibri"/>
                <w:sz w:val="20"/>
                <w:szCs w:val="20"/>
              </w:rPr>
            </w:r>
            <w:r>
              <w:rPr>
                <w:rFonts w:ascii="Calibri" w:hAnsi="Calibri" w:cs="Calibri"/>
                <w:sz w:val="20"/>
                <w:szCs w:val="20"/>
              </w:rPr>
              <w:fldChar w:fldCharType="separate"/>
            </w:r>
            <w:r w:rsidR="00482604" w:rsidRPr="00482604">
              <w:rPr>
                <w:rFonts w:ascii="Calibri" w:hAnsi="Calibri" w:cs="Calibri"/>
                <w:sz w:val="20"/>
                <w:szCs w:val="20"/>
                <w:highlight w:val="lightGray"/>
              </w:rPr>
              <w:t>42</w:t>
            </w:r>
            <w:r>
              <w:rPr>
                <w:rFonts w:ascii="Calibri" w:hAnsi="Calibri" w:cs="Calibri"/>
                <w:sz w:val="20"/>
                <w:szCs w:val="20"/>
              </w:rPr>
              <w:fldChar w:fldCharType="end"/>
            </w:r>
            <w:r>
              <w:rPr>
                <w:rFonts w:ascii="Calibri" w:hAnsi="Calibri" w:cs="Calibri"/>
                <w:sz w:val="20"/>
                <w:szCs w:val="20"/>
              </w:rPr>
              <w:t xml:space="preserve"> for details). </w:t>
            </w:r>
            <w:r w:rsidR="005A3DB4">
              <w:rPr>
                <w:rFonts w:ascii="Calibri" w:hAnsi="Calibri" w:cs="Calibri"/>
                <w:sz w:val="20"/>
                <w:szCs w:val="20"/>
              </w:rPr>
              <w:t>Reforestation is one of two main</w:t>
            </w:r>
            <w:r w:rsidR="009563B4" w:rsidRPr="00E44BFC">
              <w:rPr>
                <w:rFonts w:ascii="Calibri" w:hAnsi="Calibri" w:cs="Calibri"/>
                <w:sz w:val="20"/>
                <w:szCs w:val="20"/>
              </w:rPr>
              <w:t xml:space="preserve"> INDC goals </w:t>
            </w:r>
            <w:r w:rsidR="005A3DB4">
              <w:rPr>
                <w:rFonts w:ascii="Calibri" w:hAnsi="Calibri" w:cs="Calibri"/>
                <w:sz w:val="20"/>
                <w:szCs w:val="20"/>
              </w:rPr>
              <w:t>identified for targeting, which is very relevant to this project along with some other interventions</w:t>
            </w:r>
            <w:r w:rsidR="009563B4" w:rsidRPr="00E44BFC">
              <w:rPr>
                <w:rFonts w:ascii="Calibri" w:hAnsi="Calibri" w:cs="Calibri"/>
                <w:sz w:val="20"/>
                <w:szCs w:val="20"/>
              </w:rPr>
              <w:t xml:space="preserve"> </w:t>
            </w:r>
            <w:r w:rsidR="005A3DB4">
              <w:rPr>
                <w:rFonts w:ascii="Calibri" w:hAnsi="Calibri" w:cs="Calibri"/>
                <w:sz w:val="20"/>
                <w:szCs w:val="20"/>
              </w:rPr>
              <w:t>mentioned in</w:t>
            </w:r>
            <w:r w:rsidR="009563B4" w:rsidRPr="00E44BFC">
              <w:rPr>
                <w:rFonts w:ascii="Calibri" w:hAnsi="Calibri" w:cs="Calibri"/>
                <w:sz w:val="20"/>
                <w:szCs w:val="20"/>
              </w:rPr>
              <w:t xml:space="preserve"> the INDC</w:t>
            </w:r>
            <w:r w:rsidR="005A3DB4">
              <w:rPr>
                <w:rFonts w:ascii="Calibri" w:hAnsi="Calibri" w:cs="Calibri"/>
                <w:sz w:val="20"/>
                <w:szCs w:val="20"/>
              </w:rPr>
              <w:t>:</w:t>
            </w:r>
          </w:p>
          <w:p w14:paraId="411CE8B1" w14:textId="6E32D864" w:rsidR="009563B4" w:rsidRPr="00116328" w:rsidRDefault="00116328" w:rsidP="00C53A49">
            <w:pPr>
              <w:pStyle w:val="ListParagraph"/>
              <w:widowControl w:val="0"/>
              <w:numPr>
                <w:ilvl w:val="0"/>
                <w:numId w:val="23"/>
              </w:numPr>
              <w:spacing w:before="40" w:after="0"/>
              <w:ind w:left="448" w:hanging="284"/>
              <w:contextualSpacing w:val="0"/>
              <w:jc w:val="left"/>
              <w:rPr>
                <w:rFonts w:cs="Calibri"/>
                <w:sz w:val="20"/>
                <w:szCs w:val="20"/>
              </w:rPr>
            </w:pPr>
            <w:r>
              <w:rPr>
                <w:rFonts w:cs="Calibri"/>
                <w:b/>
                <w:bCs/>
                <w:sz w:val="20"/>
                <w:szCs w:val="20"/>
              </w:rPr>
              <w:t>S</w:t>
            </w:r>
            <w:r w:rsidR="009563B4" w:rsidRPr="00E44BFC">
              <w:rPr>
                <w:rFonts w:cs="Calibri"/>
                <w:b/>
                <w:bCs/>
                <w:sz w:val="20"/>
                <w:szCs w:val="20"/>
              </w:rPr>
              <w:t>tabilization of GHG emissions from agricultural production sectors</w:t>
            </w:r>
            <w:r w:rsidR="009563B4" w:rsidRPr="00116328">
              <w:rPr>
                <w:rFonts w:cs="Calibri"/>
                <w:sz w:val="20"/>
                <w:szCs w:val="20"/>
              </w:rPr>
              <w:t xml:space="preserve">, in which GHC emission stem mostly from animal production and wildfires; and </w:t>
            </w:r>
          </w:p>
          <w:p w14:paraId="0D17A585" w14:textId="49C98418" w:rsidR="009563B4" w:rsidRPr="00116328" w:rsidRDefault="009563B4" w:rsidP="00C53A49">
            <w:pPr>
              <w:pStyle w:val="ListParagraph"/>
              <w:widowControl w:val="0"/>
              <w:numPr>
                <w:ilvl w:val="0"/>
                <w:numId w:val="23"/>
              </w:numPr>
              <w:spacing w:before="40" w:after="0"/>
              <w:ind w:left="448" w:hanging="284"/>
              <w:contextualSpacing w:val="0"/>
              <w:jc w:val="left"/>
              <w:rPr>
                <w:rFonts w:cs="Calibri"/>
                <w:sz w:val="20"/>
                <w:szCs w:val="20"/>
              </w:rPr>
            </w:pPr>
            <w:r w:rsidRPr="00E44BFC">
              <w:rPr>
                <w:rFonts w:cs="Calibri"/>
                <w:b/>
                <w:bCs/>
                <w:sz w:val="20"/>
                <w:szCs w:val="20"/>
              </w:rPr>
              <w:lastRenderedPageBreak/>
              <w:t xml:space="preserve">Positive change in the Land Use, </w:t>
            </w:r>
            <w:r w:rsidR="001B248C" w:rsidRPr="00E44BFC">
              <w:rPr>
                <w:rFonts w:cs="Calibri"/>
                <w:b/>
                <w:bCs/>
                <w:sz w:val="20"/>
                <w:szCs w:val="20"/>
              </w:rPr>
              <w:t>Land-use change</w:t>
            </w:r>
            <w:r w:rsidRPr="00E44BFC">
              <w:rPr>
                <w:rFonts w:cs="Calibri"/>
                <w:b/>
                <w:bCs/>
                <w:sz w:val="20"/>
                <w:szCs w:val="20"/>
              </w:rPr>
              <w:t xml:space="preserve"> and Forestry sectors (LULUCF)</w:t>
            </w:r>
            <w:r w:rsidRPr="00116328">
              <w:rPr>
                <w:rFonts w:cs="Calibri"/>
                <w:b/>
                <w:bCs/>
                <w:sz w:val="20"/>
                <w:szCs w:val="20"/>
              </w:rPr>
              <w:t xml:space="preserve">, </w:t>
            </w:r>
            <w:r w:rsidRPr="00116328">
              <w:rPr>
                <w:rFonts w:cs="Calibri"/>
                <w:sz w:val="20"/>
                <w:szCs w:val="20"/>
              </w:rPr>
              <w:t>where</w:t>
            </w:r>
            <w:r w:rsidR="006505FC">
              <w:rPr>
                <w:rFonts w:cs="Calibri"/>
                <w:sz w:val="20"/>
                <w:szCs w:val="20"/>
              </w:rPr>
              <w:t>by:</w:t>
            </w:r>
            <w:r w:rsidRPr="00116328">
              <w:rPr>
                <w:rFonts w:cs="Calibri"/>
                <w:sz w:val="20"/>
                <w:szCs w:val="20"/>
              </w:rPr>
              <w:t xml:space="preserve"> the role of technical assistance in the agricultural, livestock and forest sectors is stressed</w:t>
            </w:r>
            <w:r w:rsidR="006505FC">
              <w:rPr>
                <w:rFonts w:cs="Calibri"/>
                <w:sz w:val="20"/>
                <w:szCs w:val="20"/>
              </w:rPr>
              <w:t>,</w:t>
            </w:r>
            <w:r w:rsidRPr="00116328">
              <w:rPr>
                <w:rFonts w:cs="Calibri"/>
                <w:sz w:val="20"/>
                <w:szCs w:val="20"/>
              </w:rPr>
              <w:t xml:space="preserve"> </w:t>
            </w:r>
            <w:r w:rsidR="006505FC">
              <w:rPr>
                <w:rFonts w:cs="Calibri"/>
                <w:sz w:val="20"/>
                <w:szCs w:val="20"/>
              </w:rPr>
              <w:t xml:space="preserve">deforestation is </w:t>
            </w:r>
            <w:r w:rsidRPr="00116328">
              <w:rPr>
                <w:rFonts w:cs="Calibri"/>
                <w:sz w:val="20"/>
                <w:szCs w:val="20"/>
              </w:rPr>
              <w:t>recogni</w:t>
            </w:r>
            <w:r w:rsidR="00116328">
              <w:rPr>
                <w:rFonts w:cs="Calibri"/>
                <w:sz w:val="20"/>
                <w:szCs w:val="20"/>
              </w:rPr>
              <w:t>z</w:t>
            </w:r>
            <w:r w:rsidR="006505FC">
              <w:rPr>
                <w:rFonts w:cs="Calibri"/>
                <w:sz w:val="20"/>
                <w:szCs w:val="20"/>
              </w:rPr>
              <w:t>ed</w:t>
            </w:r>
            <w:r w:rsidRPr="00116328">
              <w:rPr>
                <w:rFonts w:cs="Calibri"/>
                <w:sz w:val="20"/>
                <w:szCs w:val="20"/>
              </w:rPr>
              <w:t xml:space="preserve"> as a matter of concern</w:t>
            </w:r>
            <w:r w:rsidR="006505FC">
              <w:rPr>
                <w:rFonts w:cs="Calibri"/>
                <w:sz w:val="20"/>
                <w:szCs w:val="20"/>
              </w:rPr>
              <w:t xml:space="preserve">, and </w:t>
            </w:r>
            <w:r w:rsidRPr="00116328">
              <w:rPr>
                <w:rFonts w:cs="Calibri"/>
                <w:sz w:val="20"/>
                <w:szCs w:val="20"/>
              </w:rPr>
              <w:t>access</w:t>
            </w:r>
            <w:r w:rsidR="006505FC">
              <w:rPr>
                <w:rFonts w:cs="Calibri"/>
                <w:sz w:val="20"/>
                <w:szCs w:val="20"/>
              </w:rPr>
              <w:t xml:space="preserve"> to</w:t>
            </w:r>
            <w:r w:rsidRPr="00116328">
              <w:rPr>
                <w:rFonts w:cs="Calibri"/>
                <w:sz w:val="20"/>
                <w:szCs w:val="20"/>
              </w:rPr>
              <w:t xml:space="preserve"> woody biomass and practicing “logging”</w:t>
            </w:r>
            <w:r w:rsidR="006505FC">
              <w:rPr>
                <w:rFonts w:cs="Calibri"/>
                <w:sz w:val="20"/>
                <w:szCs w:val="20"/>
              </w:rPr>
              <w:t xml:space="preserve"> are acknowledged as </w:t>
            </w:r>
            <w:r w:rsidRPr="00116328">
              <w:rPr>
                <w:rFonts w:cs="Calibri"/>
                <w:sz w:val="20"/>
                <w:szCs w:val="20"/>
              </w:rPr>
              <w:t>economically and socially</w:t>
            </w:r>
            <w:r w:rsidR="006505FC" w:rsidRPr="00116328">
              <w:rPr>
                <w:rFonts w:cs="Calibri"/>
                <w:sz w:val="20"/>
                <w:szCs w:val="20"/>
              </w:rPr>
              <w:t xml:space="preserve"> essentia</w:t>
            </w:r>
            <w:r w:rsidR="006505FC">
              <w:rPr>
                <w:rFonts w:cs="Calibri"/>
                <w:sz w:val="20"/>
                <w:szCs w:val="20"/>
              </w:rPr>
              <w:t>l.</w:t>
            </w:r>
          </w:p>
          <w:p w14:paraId="27C5AAF8" w14:textId="2F811C33" w:rsidR="009563B4" w:rsidRPr="00E44BFC" w:rsidRDefault="009563B4" w:rsidP="00E44BFC">
            <w:pPr>
              <w:widowControl w:val="0"/>
              <w:spacing w:before="80"/>
              <w:rPr>
                <w:rFonts w:ascii="Calibri" w:hAnsi="Calibri" w:cs="Calibri"/>
                <w:sz w:val="20"/>
                <w:szCs w:val="20"/>
              </w:rPr>
            </w:pPr>
            <w:r w:rsidRPr="00E44BFC">
              <w:rPr>
                <w:rFonts w:ascii="Calibri" w:hAnsi="Calibri" w:cs="Calibri"/>
                <w:b/>
                <w:bCs/>
                <w:sz w:val="20"/>
                <w:szCs w:val="20"/>
              </w:rPr>
              <w:t>Concerning the LULUCF sectors in the INDC</w:t>
            </w:r>
            <w:r w:rsidRPr="00E44BFC">
              <w:rPr>
                <w:rFonts w:ascii="Calibri" w:hAnsi="Calibri" w:cs="Calibri"/>
                <w:sz w:val="20"/>
                <w:szCs w:val="20"/>
              </w:rPr>
              <w:t>, the nationally adopted stratification</w:t>
            </w:r>
            <w:r w:rsidR="006505FC">
              <w:rPr>
                <w:rFonts w:ascii="Calibri" w:hAnsi="Calibri" w:cs="Calibri"/>
                <w:sz w:val="20"/>
                <w:szCs w:val="20"/>
              </w:rPr>
              <w:t xml:space="preserve"> of</w:t>
            </w:r>
            <w:r w:rsidRPr="00E44BFC">
              <w:rPr>
                <w:rFonts w:ascii="Calibri" w:hAnsi="Calibri" w:cs="Calibri"/>
                <w:sz w:val="20"/>
                <w:szCs w:val="20"/>
              </w:rPr>
              <w:t xml:space="preserve"> ‘forests’ assume</w:t>
            </w:r>
            <w:r w:rsidR="006505FC">
              <w:rPr>
                <w:rFonts w:ascii="Calibri" w:hAnsi="Calibri" w:cs="Calibri"/>
                <w:sz w:val="20"/>
                <w:szCs w:val="20"/>
              </w:rPr>
              <w:t>s</w:t>
            </w:r>
            <w:r w:rsidRPr="00E44BFC">
              <w:rPr>
                <w:rFonts w:ascii="Calibri" w:hAnsi="Calibri" w:cs="Calibri"/>
                <w:sz w:val="20"/>
                <w:szCs w:val="20"/>
              </w:rPr>
              <w:t xml:space="preserve"> that forests cover 89.8% of </w:t>
            </w:r>
            <w:r w:rsidR="006505FC">
              <w:rPr>
                <w:rFonts w:ascii="Calibri" w:hAnsi="Calibri" w:cs="Calibri"/>
                <w:sz w:val="20"/>
                <w:szCs w:val="20"/>
              </w:rPr>
              <w:t>Angola’s</w:t>
            </w:r>
            <w:r w:rsidR="006505FC" w:rsidRPr="00E44BFC">
              <w:rPr>
                <w:rFonts w:ascii="Calibri" w:hAnsi="Calibri" w:cs="Calibri"/>
                <w:sz w:val="20"/>
                <w:szCs w:val="20"/>
              </w:rPr>
              <w:t xml:space="preserve"> </w:t>
            </w:r>
            <w:r w:rsidRPr="00E44BFC">
              <w:rPr>
                <w:rFonts w:ascii="Calibri" w:hAnsi="Calibri" w:cs="Calibri"/>
                <w:sz w:val="20"/>
                <w:szCs w:val="20"/>
              </w:rPr>
              <w:t>59 million h</w:t>
            </w:r>
            <w:r w:rsidR="006505FC">
              <w:rPr>
                <w:rFonts w:ascii="Calibri" w:hAnsi="Calibri" w:cs="Calibri"/>
                <w:sz w:val="20"/>
                <w:szCs w:val="20"/>
              </w:rPr>
              <w:t>a</w:t>
            </w:r>
            <w:r w:rsidRPr="00E44BFC">
              <w:rPr>
                <w:rFonts w:ascii="Calibri" w:hAnsi="Calibri" w:cs="Calibri"/>
                <w:sz w:val="20"/>
                <w:szCs w:val="20"/>
              </w:rPr>
              <w:t xml:space="preserve"> land surface </w:t>
            </w:r>
            <w:r w:rsidR="005D13E0">
              <w:rPr>
                <w:rFonts w:ascii="Calibri" w:hAnsi="Calibri" w:cs="Calibri"/>
                <w:sz w:val="20"/>
                <w:szCs w:val="20"/>
              </w:rPr>
              <w:t>is classified</w:t>
            </w:r>
            <w:r w:rsidRPr="00E44BFC">
              <w:rPr>
                <w:rFonts w:ascii="Calibri" w:hAnsi="Calibri" w:cs="Calibri"/>
                <w:sz w:val="20"/>
                <w:szCs w:val="20"/>
              </w:rPr>
              <w:t xml:space="preserve"> as follows: </w:t>
            </w:r>
          </w:p>
          <w:p w14:paraId="653CAD34" w14:textId="07238E6C" w:rsidR="009563B4" w:rsidRPr="00E44BFC" w:rsidRDefault="009563B4" w:rsidP="00C53A49">
            <w:pPr>
              <w:pStyle w:val="Default"/>
              <w:numPr>
                <w:ilvl w:val="0"/>
                <w:numId w:val="24"/>
              </w:numPr>
              <w:ind w:left="786" w:hanging="284"/>
              <w:rPr>
                <w:rFonts w:ascii="Calibri" w:hAnsi="Calibri" w:cs="Calibri"/>
                <w:sz w:val="20"/>
                <w:szCs w:val="20"/>
              </w:rPr>
            </w:pPr>
            <w:r w:rsidRPr="00E44BFC">
              <w:rPr>
                <w:rFonts w:ascii="Calibri" w:hAnsi="Calibri" w:cs="Calibri"/>
                <w:sz w:val="20"/>
                <w:szCs w:val="20"/>
              </w:rPr>
              <w:t>2% comprises dense, humid, high productivity forests, that are very rich in biodiversity;</w:t>
            </w:r>
          </w:p>
          <w:p w14:paraId="63CD9E2C" w14:textId="7A1B7A0E" w:rsidR="009563B4" w:rsidRPr="00E44BFC" w:rsidRDefault="009563B4" w:rsidP="00C53A49">
            <w:pPr>
              <w:pStyle w:val="Default"/>
              <w:numPr>
                <w:ilvl w:val="0"/>
                <w:numId w:val="24"/>
              </w:numPr>
              <w:ind w:left="786" w:hanging="284"/>
              <w:rPr>
                <w:rFonts w:ascii="Calibri" w:hAnsi="Calibri" w:cs="Calibri"/>
                <w:sz w:val="20"/>
                <w:szCs w:val="20"/>
              </w:rPr>
            </w:pPr>
            <w:r w:rsidRPr="00E44BFC">
              <w:rPr>
                <w:rFonts w:ascii="Calibri" w:hAnsi="Calibri" w:cs="Calibri"/>
                <w:sz w:val="20"/>
                <w:szCs w:val="20"/>
              </w:rPr>
              <w:t>47.1% includes a mosaic of forest and savannah areas;</w:t>
            </w:r>
          </w:p>
          <w:p w14:paraId="6239E89B" w14:textId="0B266D77" w:rsidR="009563B4" w:rsidRPr="00E44BFC" w:rsidRDefault="009563B4" w:rsidP="00C53A49">
            <w:pPr>
              <w:pStyle w:val="Default"/>
              <w:numPr>
                <w:ilvl w:val="0"/>
                <w:numId w:val="24"/>
              </w:numPr>
              <w:ind w:left="786" w:hanging="284"/>
              <w:rPr>
                <w:rFonts w:ascii="Calibri" w:hAnsi="Calibri" w:cs="Calibri"/>
                <w:sz w:val="20"/>
                <w:szCs w:val="20"/>
              </w:rPr>
            </w:pPr>
            <w:r w:rsidRPr="00E44BFC">
              <w:rPr>
                <w:rFonts w:ascii="Calibri" w:hAnsi="Calibri" w:cs="Calibri"/>
                <w:sz w:val="20"/>
                <w:szCs w:val="20"/>
              </w:rPr>
              <w:t>45.4% comp</w:t>
            </w:r>
            <w:r w:rsidR="005D13E0">
              <w:rPr>
                <w:rFonts w:ascii="Calibri" w:hAnsi="Calibri" w:cs="Calibri"/>
                <w:sz w:val="20"/>
                <w:szCs w:val="20"/>
              </w:rPr>
              <w:t>rises</w:t>
            </w:r>
            <w:r w:rsidRPr="00E44BFC">
              <w:rPr>
                <w:rFonts w:ascii="Calibri" w:hAnsi="Calibri" w:cs="Calibri"/>
                <w:sz w:val="20"/>
                <w:szCs w:val="20"/>
              </w:rPr>
              <w:t xml:space="preserve"> woodland (miombo); and</w:t>
            </w:r>
          </w:p>
          <w:p w14:paraId="629D6E5A" w14:textId="576239ED" w:rsidR="009563B4" w:rsidRPr="00E44BFC" w:rsidRDefault="009563B4" w:rsidP="00C53A49">
            <w:pPr>
              <w:pStyle w:val="Default"/>
              <w:numPr>
                <w:ilvl w:val="0"/>
                <w:numId w:val="24"/>
              </w:numPr>
              <w:ind w:left="786" w:hanging="284"/>
              <w:rPr>
                <w:rFonts w:ascii="Calibri" w:hAnsi="Calibri" w:cs="Calibri"/>
                <w:sz w:val="20"/>
                <w:szCs w:val="20"/>
              </w:rPr>
            </w:pPr>
            <w:r w:rsidRPr="00E44BFC">
              <w:rPr>
                <w:rFonts w:ascii="Calibri" w:hAnsi="Calibri" w:cs="Calibri"/>
                <w:sz w:val="20"/>
                <w:szCs w:val="20"/>
              </w:rPr>
              <w:t>5.3%</w:t>
            </w:r>
            <w:r w:rsidR="005D13E0">
              <w:rPr>
                <w:rFonts w:ascii="Calibri" w:hAnsi="Calibri" w:cs="Calibri"/>
                <w:sz w:val="20"/>
                <w:szCs w:val="20"/>
              </w:rPr>
              <w:t xml:space="preserve"> is </w:t>
            </w:r>
            <w:r w:rsidRPr="00E44BFC">
              <w:rPr>
                <w:rFonts w:ascii="Calibri" w:hAnsi="Calibri" w:cs="Calibri"/>
                <w:sz w:val="20"/>
                <w:szCs w:val="20"/>
              </w:rPr>
              <w:t>occupied by steppe, mangrove and wetlands.</w:t>
            </w:r>
          </w:p>
          <w:p w14:paraId="1B9A7825" w14:textId="2245B773" w:rsidR="009563B4" w:rsidRPr="00E44BFC" w:rsidRDefault="009563B4" w:rsidP="00E44BFC">
            <w:pPr>
              <w:widowControl w:val="0"/>
              <w:spacing w:before="80"/>
              <w:rPr>
                <w:rFonts w:ascii="Calibri" w:hAnsi="Calibri" w:cs="Calibri"/>
                <w:sz w:val="20"/>
                <w:szCs w:val="20"/>
              </w:rPr>
            </w:pPr>
            <w:r w:rsidRPr="00E44BFC">
              <w:rPr>
                <w:rFonts w:ascii="Calibri" w:hAnsi="Calibri" w:cs="Calibri"/>
                <w:sz w:val="20"/>
                <w:szCs w:val="20"/>
              </w:rPr>
              <w:t xml:space="preserve">GoA had proposed </w:t>
            </w:r>
            <w:r w:rsidRPr="00E44BFC">
              <w:rPr>
                <w:rFonts w:ascii="Calibri" w:hAnsi="Calibri" w:cs="Calibri"/>
                <w:b/>
                <w:bCs/>
                <w:sz w:val="20"/>
                <w:szCs w:val="20"/>
              </w:rPr>
              <w:t>numerous LULUCF mitigation projects involving biomass</w:t>
            </w:r>
            <w:r w:rsidR="005D13E0">
              <w:rPr>
                <w:rFonts w:ascii="Calibri" w:hAnsi="Calibri" w:cs="Calibri"/>
                <w:b/>
                <w:bCs/>
                <w:sz w:val="20"/>
                <w:szCs w:val="20"/>
              </w:rPr>
              <w:t xml:space="preserve"> </w:t>
            </w:r>
            <w:r w:rsidR="005D13E0">
              <w:rPr>
                <w:rFonts w:ascii="Calibri" w:hAnsi="Calibri" w:cs="Calibri"/>
                <w:sz w:val="20"/>
                <w:szCs w:val="20"/>
              </w:rPr>
              <w:t>t</w:t>
            </w:r>
            <w:r w:rsidR="005D13E0" w:rsidRPr="00E44BFC">
              <w:rPr>
                <w:rFonts w:ascii="Calibri" w:hAnsi="Calibri" w:cs="Calibri"/>
                <w:sz w:val="20"/>
                <w:szCs w:val="20"/>
              </w:rPr>
              <w:t>hrough the INDC</w:t>
            </w:r>
            <w:r w:rsidRPr="00E44BFC">
              <w:rPr>
                <w:rFonts w:ascii="Calibri" w:hAnsi="Calibri" w:cs="Calibri"/>
                <w:sz w:val="20"/>
                <w:szCs w:val="20"/>
              </w:rPr>
              <w:t xml:space="preserve">, including a few </w:t>
            </w:r>
            <w:r w:rsidRPr="00E44BFC">
              <w:rPr>
                <w:rFonts w:ascii="Calibri" w:hAnsi="Calibri" w:cs="Calibri"/>
                <w:b/>
                <w:bCs/>
                <w:sz w:val="20"/>
                <w:szCs w:val="20"/>
              </w:rPr>
              <w:t>afforestation and reforestation projects</w:t>
            </w:r>
            <w:r w:rsidRPr="00E44BFC">
              <w:rPr>
                <w:rFonts w:ascii="Calibri" w:hAnsi="Calibri" w:cs="Calibri"/>
                <w:sz w:val="20"/>
                <w:szCs w:val="20"/>
              </w:rPr>
              <w:t xml:space="preserve">. One of them </w:t>
            </w:r>
            <w:r w:rsidR="005D13E0">
              <w:rPr>
                <w:rFonts w:ascii="Calibri" w:hAnsi="Calibri" w:cs="Calibri"/>
                <w:sz w:val="20"/>
                <w:szCs w:val="20"/>
              </w:rPr>
              <w:t>is</w:t>
            </w:r>
            <w:r w:rsidRPr="00E44BFC">
              <w:rPr>
                <w:rFonts w:ascii="Calibri" w:hAnsi="Calibri" w:cs="Calibri"/>
                <w:sz w:val="20"/>
                <w:szCs w:val="20"/>
              </w:rPr>
              <w:t xml:space="preserve"> in Cuando Cubango</w:t>
            </w:r>
            <w:r w:rsidR="005D13E0">
              <w:rPr>
                <w:rFonts w:ascii="Calibri" w:hAnsi="Calibri" w:cs="Calibri"/>
                <w:sz w:val="20"/>
                <w:szCs w:val="20"/>
              </w:rPr>
              <w:t>,</w:t>
            </w:r>
            <w:r w:rsidRPr="00E44BFC">
              <w:rPr>
                <w:rFonts w:ascii="Calibri" w:hAnsi="Calibri" w:cs="Calibri"/>
                <w:sz w:val="20"/>
                <w:szCs w:val="20"/>
              </w:rPr>
              <w:t xml:space="preserve"> covering 60,000 ha with Eucalyptus plantation but without additional details.</w:t>
            </w:r>
            <w:r w:rsidR="005D13E0">
              <w:rPr>
                <w:rFonts w:ascii="Calibri" w:hAnsi="Calibri" w:cs="Calibri"/>
                <w:sz w:val="20"/>
                <w:szCs w:val="20"/>
              </w:rPr>
              <w:t xml:space="preserve"> This is of potential interest to the project.</w:t>
            </w:r>
            <w:r w:rsidRPr="00E44BFC">
              <w:rPr>
                <w:rFonts w:ascii="Calibri" w:hAnsi="Calibri" w:cs="Calibri"/>
                <w:sz w:val="20"/>
                <w:szCs w:val="20"/>
              </w:rPr>
              <w:t xml:space="preserve"> </w:t>
            </w:r>
          </w:p>
          <w:p w14:paraId="556FFAC1" w14:textId="657E766B" w:rsidR="009563B4" w:rsidRPr="00E44BFC" w:rsidRDefault="4B332A74" w:rsidP="001667C6">
            <w:pPr>
              <w:pStyle w:val="ParagraphOED"/>
              <w:numPr>
                <w:ilvl w:val="0"/>
                <w:numId w:val="102"/>
              </w:numPr>
              <w:spacing w:before="80"/>
            </w:pPr>
            <w:r w:rsidRPr="1E65A5F7">
              <w:rPr>
                <w:sz w:val="20"/>
              </w:rPr>
              <w:t>D</w:t>
            </w:r>
            <w:r w:rsidR="009563B4" w:rsidRPr="1E65A5F7">
              <w:rPr>
                <w:rFonts w:eastAsia="SimSun"/>
                <w:b/>
                <w:bCs/>
                <w:sz w:val="20"/>
                <w:u w:val="single"/>
                <w:shd w:val="clear" w:color="auto" w:fill="auto"/>
              </w:rPr>
              <w:t>irect</w:t>
            </w:r>
            <w:r w:rsidRPr="1E65A5F7">
              <w:rPr>
                <w:rFonts w:eastAsia="SimSun"/>
                <w:b/>
                <w:bCs/>
                <w:sz w:val="20"/>
                <w:u w:val="single"/>
                <w:shd w:val="clear" w:color="auto" w:fill="auto"/>
              </w:rPr>
              <w:t>ly</w:t>
            </w:r>
            <w:r w:rsidR="009563B4" w:rsidRPr="1E65A5F7">
              <w:rPr>
                <w:rFonts w:eastAsia="SimSun"/>
                <w:b/>
                <w:bCs/>
                <w:sz w:val="20"/>
                <w:u w:val="single"/>
                <w:shd w:val="clear" w:color="auto" w:fill="auto"/>
              </w:rPr>
              <w:t xml:space="preserve"> relevan</w:t>
            </w:r>
            <w:r w:rsidRPr="1E65A5F7">
              <w:rPr>
                <w:rFonts w:eastAsia="SimSun"/>
                <w:b/>
                <w:bCs/>
                <w:sz w:val="20"/>
                <w:u w:val="single"/>
                <w:shd w:val="clear" w:color="auto" w:fill="auto"/>
              </w:rPr>
              <w:t>t</w:t>
            </w:r>
            <w:r w:rsidR="009563B4" w:rsidRPr="1E65A5F7">
              <w:rPr>
                <w:rFonts w:eastAsia="SimSun"/>
                <w:b/>
                <w:bCs/>
                <w:sz w:val="20"/>
                <w:u w:val="single"/>
                <w:shd w:val="clear" w:color="auto" w:fill="auto"/>
              </w:rPr>
              <w:t xml:space="preserve"> to the project</w:t>
            </w:r>
            <w:r w:rsidR="24CB8521" w:rsidRPr="1E65A5F7">
              <w:rPr>
                <w:rFonts w:eastAsia="SimSun"/>
                <w:sz w:val="20"/>
                <w:shd w:val="clear" w:color="auto" w:fill="auto"/>
              </w:rPr>
              <w:t xml:space="preserve"> is a</w:t>
            </w:r>
            <w:r w:rsidR="009563B4" w:rsidRPr="1E65A5F7">
              <w:rPr>
                <w:rFonts w:eastAsia="SimSun"/>
                <w:sz w:val="20"/>
                <w:shd w:val="clear" w:color="auto" w:fill="auto"/>
              </w:rPr>
              <w:t xml:space="preserve"> tailored assessment o</w:t>
            </w:r>
            <w:r w:rsidRPr="1E65A5F7">
              <w:rPr>
                <w:rFonts w:eastAsia="SimSun"/>
                <w:sz w:val="20"/>
                <w:shd w:val="clear" w:color="auto" w:fill="auto"/>
              </w:rPr>
              <w:t>f</w:t>
            </w:r>
            <w:r w:rsidR="009563B4" w:rsidRPr="1E65A5F7">
              <w:rPr>
                <w:rFonts w:eastAsia="SimSun"/>
                <w:sz w:val="20"/>
                <w:shd w:val="clear" w:color="auto" w:fill="auto"/>
              </w:rPr>
              <w:t xml:space="preserve"> ‘resilience’ carried out during the PPG </w:t>
            </w:r>
            <w:r w:rsidRPr="1E65A5F7">
              <w:rPr>
                <w:rFonts w:eastAsia="SimSun"/>
                <w:sz w:val="20"/>
                <w:shd w:val="clear" w:color="auto" w:fill="auto"/>
              </w:rPr>
              <w:t xml:space="preserve">phase using </w:t>
            </w:r>
            <w:r w:rsidR="009563B4" w:rsidRPr="1E65A5F7">
              <w:rPr>
                <w:rFonts w:eastAsia="SimSun"/>
                <w:sz w:val="20"/>
                <w:shd w:val="clear" w:color="auto" w:fill="auto"/>
              </w:rPr>
              <w:t>SHARP</w:t>
            </w:r>
            <w:r w:rsidRPr="1E65A5F7">
              <w:rPr>
                <w:rFonts w:eastAsia="SimSun"/>
                <w:sz w:val="20"/>
                <w:shd w:val="clear" w:color="auto" w:fill="auto"/>
              </w:rPr>
              <w:t xml:space="preserve">. It covers </w:t>
            </w:r>
            <w:r w:rsidR="009563B4" w:rsidRPr="1E65A5F7">
              <w:rPr>
                <w:rFonts w:eastAsia="SimSun"/>
                <w:sz w:val="20"/>
                <w:shd w:val="clear" w:color="auto" w:fill="auto"/>
              </w:rPr>
              <w:t xml:space="preserve">climatic resilience through household level assessments, which can be extrapolated to the level of landscapes. SHARP </w:t>
            </w:r>
            <w:r w:rsidRPr="1E65A5F7">
              <w:rPr>
                <w:rFonts w:eastAsia="SimSun"/>
                <w:sz w:val="20"/>
                <w:shd w:val="clear" w:color="auto" w:fill="auto"/>
              </w:rPr>
              <w:t xml:space="preserve">results </w:t>
            </w:r>
            <w:r w:rsidR="009563B4" w:rsidRPr="1E65A5F7">
              <w:rPr>
                <w:rFonts w:eastAsia="SimSun"/>
                <w:sz w:val="20"/>
                <w:shd w:val="clear" w:color="auto" w:fill="auto"/>
              </w:rPr>
              <w:t xml:space="preserve">are summarized in </w:t>
            </w:r>
            <w:r w:rsidR="009563B4" w:rsidRPr="1E65A5F7">
              <w:rPr>
                <w:rFonts w:eastAsia="SimSun"/>
                <w:sz w:val="20"/>
                <w:u w:val="single"/>
              </w:rPr>
              <w:fldChar w:fldCharType="begin"/>
            </w:r>
            <w:r w:rsidR="009563B4" w:rsidRPr="1E65A5F7">
              <w:rPr>
                <w:rFonts w:eastAsia="SimSun"/>
                <w:sz w:val="20"/>
                <w:u w:val="single"/>
                <w:shd w:val="clear" w:color="auto" w:fill="auto"/>
              </w:rPr>
              <w:instrText xml:space="preserve"> REF _Ref45742548 \h  \* MERGEFORMAT </w:instrText>
            </w:r>
            <w:r w:rsidR="009563B4" w:rsidRPr="1E65A5F7">
              <w:rPr>
                <w:rFonts w:eastAsia="SimSun"/>
                <w:sz w:val="20"/>
                <w:u w:val="single"/>
              </w:rPr>
            </w:r>
            <w:r w:rsidR="009563B4" w:rsidRPr="1E65A5F7">
              <w:rPr>
                <w:rFonts w:eastAsia="SimSun"/>
                <w:sz w:val="20"/>
                <w:u w:val="single"/>
              </w:rPr>
              <w:fldChar w:fldCharType="separate"/>
            </w:r>
            <w:r w:rsidR="00A64193" w:rsidRPr="1E65A5F7">
              <w:rPr>
                <w:sz w:val="20"/>
                <w:u w:val="single"/>
              </w:rPr>
              <w:br w:type="page"/>
            </w:r>
            <w:r w:rsidR="00A64193" w:rsidRPr="1E65A5F7">
              <w:rPr>
                <w:noProof/>
                <w:sz w:val="20"/>
                <w:u w:val="single"/>
              </w:rPr>
              <w:t>Box</w:t>
            </w:r>
            <w:r w:rsidR="00A64193" w:rsidRPr="00C533DE">
              <w:rPr>
                <w:sz w:val="22"/>
                <w:szCs w:val="22"/>
              </w:rPr>
              <w:t xml:space="preserve"> </w:t>
            </w:r>
            <w:r w:rsidR="00A64193">
              <w:rPr>
                <w:noProof/>
                <w:sz w:val="22"/>
                <w:szCs w:val="22"/>
              </w:rPr>
              <w:t>7</w:t>
            </w:r>
            <w:r w:rsidR="009563B4" w:rsidRPr="1E65A5F7">
              <w:rPr>
                <w:rFonts w:eastAsia="SimSun"/>
                <w:sz w:val="20"/>
                <w:u w:val="single"/>
              </w:rPr>
              <w:fldChar w:fldCharType="end"/>
            </w:r>
            <w:r w:rsidR="009563B4" w:rsidRPr="1E65A5F7">
              <w:rPr>
                <w:rFonts w:eastAsia="SimSun"/>
                <w:sz w:val="20"/>
                <w:shd w:val="clear" w:color="auto" w:fill="auto"/>
              </w:rPr>
              <w:t xml:space="preserve"> and the main report is appended to </w:t>
            </w:r>
            <w:hyperlink w:anchor="_Annex_X-2.4:_Results_1" w:history="1">
              <w:r w:rsidR="009563B4" w:rsidRPr="1E65A5F7">
                <w:rPr>
                  <w:rStyle w:val="Hyperlink"/>
                  <w:rFonts w:eastAsia="SimSun"/>
                  <w:sz w:val="20"/>
                  <w:shd w:val="clear" w:color="auto" w:fill="auto"/>
                </w:rPr>
                <w:t>Annex X-2.4</w:t>
              </w:r>
            </w:hyperlink>
            <w:r w:rsidR="009563B4" w:rsidRPr="1E65A5F7">
              <w:rPr>
                <w:rFonts w:eastAsia="SimSun"/>
                <w:sz w:val="20"/>
                <w:shd w:val="clear" w:color="auto" w:fill="auto"/>
              </w:rPr>
              <w:t>.</w:t>
            </w:r>
          </w:p>
        </w:tc>
      </w:tr>
      <w:tr w:rsidR="009563B4" w:rsidRPr="00E44BFC" w14:paraId="1E2DF86E" w14:textId="77777777" w:rsidTr="1E65A5F7">
        <w:trPr>
          <w:jc w:val="center"/>
        </w:trPr>
        <w:tc>
          <w:tcPr>
            <w:tcW w:w="9356" w:type="dxa"/>
            <w:tcBorders>
              <w:bottom w:val="single" w:sz="4" w:space="0" w:color="000000" w:themeColor="text1"/>
            </w:tcBorders>
            <w:shd w:val="clear" w:color="auto" w:fill="FFCCCC"/>
            <w:tcMar>
              <w:top w:w="28" w:type="dxa"/>
              <w:left w:w="57" w:type="dxa"/>
              <w:bottom w:w="28" w:type="dxa"/>
              <w:right w:w="28" w:type="dxa"/>
            </w:tcMar>
          </w:tcPr>
          <w:p w14:paraId="750D66CF" w14:textId="32F8BCED" w:rsidR="009563B4" w:rsidRPr="00E44BFC" w:rsidRDefault="009563B4" w:rsidP="00481CA4">
            <w:pPr>
              <w:rPr>
                <w:rFonts w:ascii="Calibri" w:hAnsi="Calibri" w:cs="Calibri"/>
                <w:sz w:val="20"/>
                <w:szCs w:val="20"/>
              </w:rPr>
            </w:pPr>
            <w:r w:rsidRPr="00E44BFC">
              <w:rPr>
                <w:rFonts w:ascii="Calibri" w:hAnsi="Calibri" w:cs="Calibri"/>
                <w:sz w:val="20"/>
                <w:szCs w:val="20"/>
                <w:u w:val="single"/>
              </w:rPr>
              <w:lastRenderedPageBreak/>
              <w:t>Source</w:t>
            </w:r>
            <w:r w:rsidR="009D4E3F">
              <w:rPr>
                <w:rFonts w:ascii="Calibri" w:hAnsi="Calibri" w:cs="Calibri"/>
                <w:sz w:val="20"/>
                <w:szCs w:val="20"/>
                <w:u w:val="single"/>
              </w:rPr>
              <w:t>s</w:t>
            </w:r>
            <w:r w:rsidRPr="00E44BFC">
              <w:rPr>
                <w:rFonts w:ascii="Calibri" w:hAnsi="Calibri" w:cs="Calibri"/>
                <w:sz w:val="20"/>
                <w:szCs w:val="20"/>
              </w:rPr>
              <w:t xml:space="preserve">: </w:t>
            </w:r>
            <w:hyperlink r:id="rId45" w:history="1">
              <w:r w:rsidRPr="00E44BFC">
                <w:rPr>
                  <w:rStyle w:val="Hyperlink"/>
                  <w:rFonts w:ascii="Calibri" w:hAnsi="Calibri" w:cs="Calibri"/>
                  <w:color w:val="3333FF"/>
                  <w:sz w:val="20"/>
                  <w:szCs w:val="20"/>
                </w:rPr>
                <w:t>unfccc.int</w:t>
              </w:r>
            </w:hyperlink>
            <w:r w:rsidRPr="00E44BFC">
              <w:rPr>
                <w:rFonts w:ascii="Calibri" w:hAnsi="Calibri" w:cs="Calibri"/>
                <w:sz w:val="20"/>
                <w:szCs w:val="20"/>
              </w:rPr>
              <w:t xml:space="preserve"> and ‘USAID’s 2018 Climate Profile’</w:t>
            </w:r>
            <w:r w:rsidRPr="00E44BFC">
              <w:rPr>
                <w:rStyle w:val="FootnoteReference"/>
                <w:rFonts w:ascii="Calibri" w:hAnsi="Calibri" w:cs="Calibri"/>
                <w:sz w:val="20"/>
                <w:szCs w:val="20"/>
              </w:rPr>
              <w:footnoteReference w:id="39"/>
            </w:r>
            <w:r w:rsidRPr="00E44BFC">
              <w:rPr>
                <w:rFonts w:ascii="Calibri" w:hAnsi="Calibri" w:cs="Calibri"/>
                <w:sz w:val="20"/>
                <w:szCs w:val="20"/>
              </w:rPr>
              <w:t xml:space="preserve">. For additional content, refer to: </w:t>
            </w:r>
            <w:hyperlink w:anchor="_Annex_X-3:_Additional" w:history="1">
              <w:r w:rsidRPr="00E44BFC">
                <w:rPr>
                  <w:rStyle w:val="Hyperlink"/>
                  <w:rFonts w:ascii="Calibri" w:hAnsi="Calibri" w:cs="Calibri"/>
                  <w:color w:val="3333FF"/>
                  <w:sz w:val="20"/>
                  <w:szCs w:val="20"/>
                </w:rPr>
                <w:t>Annex X-3</w:t>
              </w:r>
            </w:hyperlink>
            <w:r w:rsidRPr="00E44BFC">
              <w:rPr>
                <w:rFonts w:ascii="Calibri" w:hAnsi="Calibri" w:cs="Calibri"/>
                <w:color w:val="3333FF"/>
                <w:sz w:val="20"/>
                <w:szCs w:val="20"/>
                <w:u w:val="single"/>
              </w:rPr>
              <w:t xml:space="preserve">. </w:t>
            </w:r>
          </w:p>
        </w:tc>
      </w:tr>
    </w:tbl>
    <w:p w14:paraId="222EC821" w14:textId="477E6D58" w:rsidR="002E6405" w:rsidRPr="00FE2C49" w:rsidRDefault="002E6405" w:rsidP="001667C6">
      <w:pPr>
        <w:pStyle w:val="ParagraphOED"/>
        <w:numPr>
          <w:ilvl w:val="0"/>
          <w:numId w:val="102"/>
        </w:numPr>
        <w:spacing w:before="160" w:after="160"/>
      </w:pPr>
      <w:r w:rsidRPr="6451F561">
        <w:t xml:space="preserve">A number of recent studies are also relevant to this project: </w:t>
      </w:r>
      <w:r w:rsidRPr="1E65A5F7">
        <w:rPr>
          <w:rFonts w:asciiTheme="minorHAnsi" w:hAnsiTheme="minorHAnsi" w:cstheme="minorBidi"/>
        </w:rPr>
        <w:t xml:space="preserve">USAID’s 2018 Climate Profile for Angola; the on-going IFAD-funded Climate Risk Assessment of Angola’s Agricultural Sector (previously referred to in Paragraph </w:t>
      </w:r>
      <w:r w:rsidRPr="1E65A5F7">
        <w:rPr>
          <w:rFonts w:asciiTheme="minorHAnsi" w:hAnsiTheme="minorHAnsi" w:cstheme="minorBidi"/>
          <w:highlight w:val="lightGray"/>
        </w:rPr>
        <w:fldChar w:fldCharType="begin"/>
      </w:r>
      <w:r w:rsidRPr="1E65A5F7">
        <w:rPr>
          <w:rFonts w:asciiTheme="minorHAnsi" w:hAnsiTheme="minorHAnsi" w:cstheme="minorBidi"/>
          <w:highlight w:val="lightGray"/>
        </w:rPr>
        <w:instrText xml:space="preserve"> REF _Ref52200914 \r \h  \* MERGEFORMAT </w:instrText>
      </w:r>
      <w:r w:rsidRPr="1E65A5F7">
        <w:rPr>
          <w:rFonts w:asciiTheme="minorHAnsi" w:hAnsiTheme="minorHAnsi" w:cstheme="minorBidi"/>
          <w:highlight w:val="lightGray"/>
        </w:rPr>
      </w:r>
      <w:r w:rsidRPr="1E65A5F7">
        <w:rPr>
          <w:rFonts w:asciiTheme="minorHAnsi" w:hAnsiTheme="minorHAnsi" w:cstheme="minorBidi"/>
          <w:highlight w:val="lightGray"/>
        </w:rPr>
        <w:fldChar w:fldCharType="separate"/>
      </w:r>
      <w:r w:rsidR="00A64193" w:rsidRPr="1E65A5F7">
        <w:rPr>
          <w:rFonts w:asciiTheme="minorHAnsi" w:hAnsiTheme="minorHAnsi" w:cstheme="minorBidi"/>
          <w:highlight w:val="lightGray"/>
        </w:rPr>
        <w:t>22</w:t>
      </w:r>
      <w:r w:rsidRPr="1E65A5F7">
        <w:rPr>
          <w:rFonts w:asciiTheme="minorHAnsi" w:hAnsiTheme="minorHAnsi" w:cstheme="minorBidi"/>
          <w:highlight w:val="lightGray"/>
        </w:rPr>
        <w:fldChar w:fldCharType="end"/>
      </w:r>
      <w:r w:rsidRPr="1E65A5F7">
        <w:rPr>
          <w:rFonts w:asciiTheme="minorHAnsi" w:hAnsiTheme="minorHAnsi" w:cstheme="minorBidi"/>
        </w:rPr>
        <w:t xml:space="preserve">); </w:t>
      </w:r>
      <w:r w:rsidRPr="6451F561">
        <w:t xml:space="preserve">and SARUA’s </w:t>
      </w:r>
      <w:r>
        <w:rPr>
          <w:szCs w:val="21"/>
        </w:rPr>
        <w:t>‘</w:t>
      </w:r>
      <w:r w:rsidRPr="6451F561">
        <w:rPr>
          <w:color w:val="000000"/>
        </w:rPr>
        <w:t>Climate Change Counts’</w:t>
      </w:r>
      <w:r w:rsidRPr="00FE2C49">
        <w:rPr>
          <w:szCs w:val="21"/>
        </w:rPr>
        <w:t xml:space="preserve"> </w:t>
      </w:r>
      <w:r w:rsidRPr="6451F561">
        <w:t>mapping study of Angola.</w:t>
      </w:r>
      <w:r w:rsidRPr="00FE2C49">
        <w:rPr>
          <w:szCs w:val="21"/>
        </w:rPr>
        <w:t xml:space="preserve"> </w:t>
      </w:r>
      <w:r w:rsidRPr="6451F561">
        <w:t xml:space="preserve">Further details of these are provided in </w:t>
      </w:r>
      <w:hyperlink w:anchor="_Annex_X-3:_Additional_1" w:history="1">
        <w:r w:rsidRPr="6451F561">
          <w:rPr>
            <w:rStyle w:val="Hyperlink"/>
            <w:highlight w:val="lightGray"/>
          </w:rPr>
          <w:t>Annex X-3</w:t>
        </w:r>
      </w:hyperlink>
      <w:r>
        <w:rPr>
          <w:szCs w:val="21"/>
        </w:rPr>
        <w:t>.</w:t>
      </w:r>
    </w:p>
    <w:p w14:paraId="0916B583" w14:textId="68793DDB" w:rsidR="009563B4" w:rsidRPr="00ED3A42" w:rsidRDefault="009563B4" w:rsidP="00ED3A42">
      <w:pPr>
        <w:pStyle w:val="Heading4"/>
        <w:spacing w:before="160" w:after="160"/>
        <w:ind w:left="0"/>
        <w:jc w:val="both"/>
        <w:rPr>
          <w:rFonts w:ascii="Calibri" w:hAnsi="Calibri"/>
          <w:i w:val="0"/>
          <w:iCs/>
          <w:sz w:val="22"/>
          <w:szCs w:val="22"/>
          <w:u w:val="none"/>
          <w:shd w:val="clear" w:color="auto" w:fill="9CC2E5" w:themeFill="accent1" w:themeFillTint="99"/>
        </w:rPr>
      </w:pPr>
      <w:bookmarkStart w:id="64" w:name="_Toc45712162"/>
      <w:r w:rsidRPr="00ED3A42">
        <w:rPr>
          <w:rFonts w:ascii="Calibri" w:hAnsi="Calibri"/>
          <w:i w:val="0"/>
          <w:iCs/>
          <w:sz w:val="22"/>
          <w:szCs w:val="22"/>
          <w:u w:val="none"/>
          <w:shd w:val="clear" w:color="auto" w:fill="9CC2E5" w:themeFill="accent1" w:themeFillTint="99"/>
        </w:rPr>
        <w:t>C</w:t>
      </w:r>
      <w:r w:rsidR="00541126" w:rsidRPr="00ED3A42">
        <w:rPr>
          <w:rFonts w:ascii="Calibri" w:hAnsi="Calibri"/>
          <w:i w:val="0"/>
          <w:iCs/>
          <w:sz w:val="22"/>
          <w:szCs w:val="22"/>
          <w:u w:val="none"/>
          <w:shd w:val="clear" w:color="auto" w:fill="9CC2E5" w:themeFill="accent1" w:themeFillTint="99"/>
        </w:rPr>
        <w:t>.</w:t>
      </w:r>
      <w:r w:rsidRPr="00ED3A42">
        <w:rPr>
          <w:rFonts w:ascii="Calibri" w:hAnsi="Calibri"/>
          <w:i w:val="0"/>
          <w:iCs/>
          <w:sz w:val="22"/>
          <w:szCs w:val="22"/>
          <w:u w:val="none"/>
          <w:shd w:val="clear" w:color="auto" w:fill="9CC2E5" w:themeFill="accent1" w:themeFillTint="99"/>
        </w:rPr>
        <w:t xml:space="preserve"> Baseline Initiatives</w:t>
      </w:r>
      <w:bookmarkEnd w:id="64"/>
      <w:r w:rsidRPr="00ED3A42">
        <w:rPr>
          <w:rFonts w:ascii="Calibri" w:hAnsi="Calibri"/>
          <w:i w:val="0"/>
          <w:iCs/>
          <w:sz w:val="22"/>
          <w:szCs w:val="22"/>
          <w:u w:val="none"/>
          <w:shd w:val="clear" w:color="auto" w:fill="9CC2E5" w:themeFill="accent1" w:themeFillTint="99"/>
        </w:rPr>
        <w:t xml:space="preserve"> </w:t>
      </w:r>
    </w:p>
    <w:p w14:paraId="5D3E66EB" w14:textId="48A946B8" w:rsidR="002302BC" w:rsidRDefault="009563B4" w:rsidP="001667C6">
      <w:pPr>
        <w:pStyle w:val="ParagraphOED"/>
        <w:numPr>
          <w:ilvl w:val="0"/>
          <w:numId w:val="102"/>
        </w:numPr>
        <w:spacing w:after="160"/>
      </w:pPr>
      <w:r>
        <w:t xml:space="preserve">Various projects and programs compose the baseline for this project, to the extent that they are well aligned with the Project’s objective and can provide a platform for collaboration, technical integration and co-financing, in particular with respect to the LDN agenda at the national level and the pursuit of SLM and SFM </w:t>
      </w:r>
      <w:r w:rsidR="002302BC">
        <w:t xml:space="preserve">best practices as key delivery mechanisms in </w:t>
      </w:r>
      <w:r>
        <w:t xml:space="preserve"> the project</w:t>
      </w:r>
      <w:r w:rsidR="002302BC">
        <w:t xml:space="preserve"> landscapes</w:t>
      </w:r>
      <w:r>
        <w:t xml:space="preserve">. </w:t>
      </w:r>
    </w:p>
    <w:p w14:paraId="6CD37ADC" w14:textId="3AD202D4" w:rsidR="003B76FC" w:rsidRPr="003A522C" w:rsidRDefault="002302BC" w:rsidP="001667C6">
      <w:pPr>
        <w:pStyle w:val="ParagraphOED"/>
        <w:numPr>
          <w:ilvl w:val="0"/>
          <w:numId w:val="102"/>
        </w:numPr>
        <w:spacing w:after="160"/>
      </w:pPr>
      <w:r w:rsidRPr="002302BC">
        <w:rPr>
          <w:highlight w:val="lightGray"/>
        </w:rPr>
        <w:fldChar w:fldCharType="begin"/>
      </w:r>
      <w:r w:rsidRPr="002302BC">
        <w:rPr>
          <w:highlight w:val="lightGray"/>
        </w:rPr>
        <w:instrText xml:space="preserve"> REF _Ref49804967 \h </w:instrText>
      </w:r>
      <w:r>
        <w:rPr>
          <w:highlight w:val="lightGray"/>
        </w:rPr>
        <w:instrText xml:space="preserve"> \* MERGEFORMAT </w:instrText>
      </w:r>
      <w:r w:rsidRPr="002302BC">
        <w:rPr>
          <w:highlight w:val="lightGray"/>
        </w:rPr>
      </w:r>
      <w:r w:rsidRPr="002302BC">
        <w:rPr>
          <w:highlight w:val="lightGray"/>
        </w:rPr>
        <w:fldChar w:fldCharType="separate"/>
      </w:r>
      <w:r w:rsidR="00A64193" w:rsidRPr="00A64193">
        <w:rPr>
          <w:sz w:val="22"/>
          <w:szCs w:val="22"/>
          <w:highlight w:val="lightGray"/>
        </w:rPr>
        <w:t>Table 1</w:t>
      </w:r>
      <w:r w:rsidRPr="002302BC">
        <w:rPr>
          <w:highlight w:val="lightGray"/>
        </w:rPr>
        <w:fldChar w:fldCharType="end"/>
      </w:r>
      <w:r>
        <w:t xml:space="preserve"> provides </w:t>
      </w:r>
      <w:r w:rsidR="009563B4">
        <w:t xml:space="preserve"> a summary </w:t>
      </w:r>
      <w:r>
        <w:t>of co</w:t>
      </w:r>
      <w:r w:rsidR="00937CA1">
        <w:t xml:space="preserve">-financing interventions that are scheduled to be delivered during the life of this GEF-7 project by government programs and other projects. It is based on a </w:t>
      </w:r>
      <w:r w:rsidR="00FD1950">
        <w:t xml:space="preserve">much </w:t>
      </w:r>
      <w:r w:rsidR="00937CA1">
        <w:t>more detail</w:t>
      </w:r>
      <w:r w:rsidR="00FD1950">
        <w:t>ed</w:t>
      </w:r>
      <w:r w:rsidR="00937CA1">
        <w:t xml:space="preserve"> assessment of Angola’s </w:t>
      </w:r>
      <w:r w:rsidR="00FD1950">
        <w:t xml:space="preserve">National Development Program for 2018-2022, IFAD Smallholder </w:t>
      </w:r>
      <w:r w:rsidR="6FBB9026">
        <w:t>Resilience</w:t>
      </w:r>
      <w:r w:rsidR="00FD1950">
        <w:t xml:space="preserve"> Enhancement Project and </w:t>
      </w:r>
      <w:r w:rsidR="00526CE0">
        <w:t>FAO’s in country interventions</w:t>
      </w:r>
      <w:r w:rsidR="00FD1950">
        <w:t xml:space="preserve"> in </w:t>
      </w:r>
      <w:r w:rsidR="003A522C">
        <w:t>Annex A3</w:t>
      </w:r>
      <w:r w:rsidR="00FD1950">
        <w:t xml:space="preserve">. The latter includes </w:t>
      </w:r>
      <w:r w:rsidR="00E57896">
        <w:t xml:space="preserve">details on the activities and identifies their relevance to the GEF-7 project, potential synergies and </w:t>
      </w:r>
      <w:r w:rsidR="71FCF89A">
        <w:t>opportunities</w:t>
      </w:r>
      <w:r w:rsidR="00E57896">
        <w:t xml:space="preserve"> for collaboration, all of which provides a transparent justification for inclusion as co-financing.</w:t>
      </w:r>
      <w:r w:rsidR="009563B4">
        <w:t xml:space="preserve"> </w:t>
      </w:r>
      <w:r w:rsidR="00301981">
        <w:t xml:space="preserve">Note that in the case of PND programs the co-financing amounts in </w:t>
      </w:r>
      <w:r w:rsidR="003A522C">
        <w:t>Annex A3</w:t>
      </w:r>
      <w:r w:rsidR="00301981">
        <w:t xml:space="preserve"> are generated from </w:t>
      </w:r>
      <w:r w:rsidR="00AB3645">
        <w:t xml:space="preserve">table in Annex </w:t>
      </w:r>
      <w:r w:rsidR="003A522C">
        <w:t>A</w:t>
      </w:r>
      <w:r w:rsidR="00AB3645">
        <w:t>3</w:t>
      </w:r>
      <w:r w:rsidR="00301981">
        <w:t>, where the calculations are presented in the last column.</w:t>
      </w:r>
    </w:p>
    <w:p w14:paraId="5818127F" w14:textId="5259A0AF" w:rsidR="009563B4" w:rsidRPr="00CE1EA7" w:rsidRDefault="009563B4" w:rsidP="009563B4">
      <w:pPr>
        <w:pStyle w:val="Caption"/>
      </w:pPr>
      <w:bookmarkStart w:id="65" w:name="_Ref49804967"/>
      <w:bookmarkStart w:id="66" w:name="_Toc58398631"/>
      <w:r w:rsidRPr="00D412F5">
        <w:rPr>
          <w:rFonts w:ascii="Calibri" w:hAnsi="Calibri"/>
          <w:sz w:val="22"/>
          <w:szCs w:val="22"/>
          <w:highlight w:val="yellow"/>
        </w:rPr>
        <w:t xml:space="preserve">Table </w:t>
      </w:r>
      <w:r w:rsidRPr="00D412F5">
        <w:rPr>
          <w:rFonts w:ascii="Calibri" w:hAnsi="Calibri"/>
          <w:sz w:val="22"/>
          <w:szCs w:val="22"/>
          <w:highlight w:val="yellow"/>
        </w:rPr>
        <w:fldChar w:fldCharType="begin"/>
      </w:r>
      <w:r w:rsidRPr="00D412F5">
        <w:rPr>
          <w:rFonts w:ascii="Calibri" w:hAnsi="Calibri"/>
          <w:sz w:val="22"/>
          <w:szCs w:val="22"/>
          <w:highlight w:val="yellow"/>
        </w:rPr>
        <w:instrText>SEQ Table \* ARABIC</w:instrText>
      </w:r>
      <w:r w:rsidRPr="00D412F5">
        <w:rPr>
          <w:rFonts w:ascii="Calibri" w:hAnsi="Calibri"/>
          <w:sz w:val="22"/>
          <w:szCs w:val="22"/>
          <w:highlight w:val="yellow"/>
        </w:rPr>
        <w:fldChar w:fldCharType="separate"/>
      </w:r>
      <w:r w:rsidR="007D3608" w:rsidRPr="00D412F5">
        <w:rPr>
          <w:rFonts w:ascii="Calibri" w:hAnsi="Calibri"/>
          <w:noProof/>
          <w:sz w:val="22"/>
          <w:szCs w:val="22"/>
          <w:highlight w:val="yellow"/>
        </w:rPr>
        <w:t>1</w:t>
      </w:r>
      <w:r w:rsidRPr="00D412F5">
        <w:rPr>
          <w:rFonts w:ascii="Calibri" w:hAnsi="Calibri"/>
          <w:sz w:val="22"/>
          <w:szCs w:val="22"/>
          <w:highlight w:val="yellow"/>
        </w:rPr>
        <w:fldChar w:fldCharType="end"/>
      </w:r>
      <w:bookmarkEnd w:id="65"/>
      <w:r w:rsidRPr="00D412F5">
        <w:rPr>
          <w:rFonts w:ascii="Calibri" w:hAnsi="Calibri"/>
          <w:sz w:val="22"/>
          <w:szCs w:val="22"/>
          <w:highlight w:val="yellow"/>
        </w:rPr>
        <w:t xml:space="preserve">.  </w:t>
      </w:r>
      <w:r w:rsidR="00354636" w:rsidRPr="00D412F5">
        <w:rPr>
          <w:rFonts w:ascii="Calibri" w:hAnsi="Calibri"/>
          <w:sz w:val="22"/>
          <w:szCs w:val="22"/>
          <w:highlight w:val="yellow"/>
        </w:rPr>
        <w:t>Co-financing</w:t>
      </w:r>
      <w:r w:rsidR="00983DC2" w:rsidRPr="00D412F5">
        <w:rPr>
          <w:rFonts w:ascii="Calibri" w:hAnsi="Calibri"/>
          <w:sz w:val="22"/>
          <w:szCs w:val="22"/>
          <w:highlight w:val="yellow"/>
        </w:rPr>
        <w:t xml:space="preserve"> Summary </w:t>
      </w:r>
      <w:r w:rsidR="00354636" w:rsidRPr="00D412F5">
        <w:rPr>
          <w:rFonts w:ascii="Calibri" w:hAnsi="Calibri"/>
          <w:sz w:val="22"/>
          <w:szCs w:val="22"/>
          <w:highlight w:val="yellow"/>
        </w:rPr>
        <w:t xml:space="preserve"> – baselines and budgets (all initiatives)</w:t>
      </w:r>
      <w:bookmarkEnd w:id="66"/>
    </w:p>
    <w:p w14:paraId="08FE2BE4" w14:textId="77777777" w:rsidR="009563B4" w:rsidRDefault="009563B4" w:rsidP="009563B4">
      <w:pPr>
        <w:rPr>
          <w:rFonts w:ascii="Calibri" w:hAnsi="Calibri" w:cs="Calibri"/>
          <w:sz w:val="21"/>
          <w:szCs w:val="21"/>
        </w:rPr>
      </w:pPr>
    </w:p>
    <w:tbl>
      <w:tblPr>
        <w:tblW w:w="8966" w:type="dxa"/>
        <w:tblLayout w:type="fixed"/>
        <w:tblLook w:val="04A0" w:firstRow="1" w:lastRow="0" w:firstColumn="1" w:lastColumn="0" w:noHBand="0" w:noVBand="1"/>
      </w:tblPr>
      <w:tblGrid>
        <w:gridCol w:w="236"/>
        <w:gridCol w:w="1575"/>
        <w:gridCol w:w="765"/>
        <w:gridCol w:w="645"/>
        <w:gridCol w:w="705"/>
        <w:gridCol w:w="585"/>
        <w:gridCol w:w="540"/>
        <w:gridCol w:w="825"/>
        <w:gridCol w:w="735"/>
        <w:gridCol w:w="855"/>
        <w:gridCol w:w="735"/>
        <w:gridCol w:w="765"/>
      </w:tblGrid>
      <w:tr w:rsidR="002F6B7A" w14:paraId="2724576B" w14:textId="77777777" w:rsidTr="62747982">
        <w:trPr>
          <w:trHeight w:val="300"/>
        </w:trPr>
        <w:tc>
          <w:tcPr>
            <w:tcW w:w="236" w:type="dxa"/>
            <w:vMerge w:val="restart"/>
            <w:tcBorders>
              <w:top w:val="single" w:sz="8" w:space="0" w:color="auto"/>
              <w:left w:val="single" w:sz="8" w:space="0" w:color="auto"/>
              <w:bottom w:val="single" w:sz="8" w:space="0" w:color="auto"/>
              <w:right w:val="single" w:sz="8" w:space="0" w:color="auto"/>
            </w:tcBorders>
            <w:shd w:val="clear" w:color="auto" w:fill="000000" w:themeFill="text1"/>
          </w:tcPr>
          <w:p w14:paraId="26ABB11F" w14:textId="4833991B" w:rsidR="25447658" w:rsidRDefault="25447658" w:rsidP="003E0ECB">
            <w:pPr>
              <w:jc w:val="center"/>
              <w:rPr>
                <w:rFonts w:ascii="Calibri" w:eastAsia="Calibri" w:hAnsi="Calibri" w:cs="Calibri"/>
                <w:sz w:val="16"/>
                <w:szCs w:val="16"/>
              </w:rPr>
            </w:pPr>
            <w:r w:rsidRPr="25447658">
              <w:rPr>
                <w:rFonts w:ascii="Calibri" w:eastAsia="Calibri" w:hAnsi="Calibri" w:cs="Calibri"/>
                <w:b/>
                <w:bCs/>
                <w:sz w:val="16"/>
                <w:szCs w:val="16"/>
              </w:rPr>
              <w:t>#</w:t>
            </w:r>
            <w:r w:rsidRPr="25447658">
              <w:rPr>
                <w:rFonts w:ascii="Calibri" w:eastAsia="Calibri" w:hAnsi="Calibri" w:cs="Calibri"/>
                <w:sz w:val="16"/>
                <w:szCs w:val="16"/>
              </w:rPr>
              <w:t xml:space="preserve"> </w:t>
            </w:r>
          </w:p>
        </w:tc>
        <w:tc>
          <w:tcPr>
            <w:tcW w:w="1575" w:type="dxa"/>
            <w:vMerge w:val="restart"/>
            <w:tcBorders>
              <w:top w:val="single" w:sz="8" w:space="0" w:color="auto"/>
              <w:left w:val="single" w:sz="8" w:space="0" w:color="auto"/>
              <w:bottom w:val="single" w:sz="8" w:space="0" w:color="auto"/>
              <w:right w:val="single" w:sz="8" w:space="0" w:color="auto"/>
            </w:tcBorders>
            <w:shd w:val="clear" w:color="auto" w:fill="000000" w:themeFill="text1"/>
          </w:tcPr>
          <w:p w14:paraId="32AEF416" w14:textId="7646C7A5" w:rsidR="25447658" w:rsidRDefault="25447658">
            <w:r w:rsidRPr="25447658">
              <w:rPr>
                <w:rFonts w:ascii="Calibri" w:eastAsia="Calibri" w:hAnsi="Calibri" w:cs="Calibri"/>
                <w:b/>
                <w:bCs/>
                <w:sz w:val="16"/>
                <w:szCs w:val="16"/>
              </w:rPr>
              <w:t xml:space="preserve">Baseline Project / Program / Initiative </w:t>
            </w:r>
            <w:r w:rsidRPr="25447658">
              <w:rPr>
                <w:rFonts w:ascii="Calibri" w:eastAsia="Calibri" w:hAnsi="Calibri" w:cs="Calibri"/>
                <w:sz w:val="16"/>
                <w:szCs w:val="16"/>
              </w:rPr>
              <w:t xml:space="preserve"> </w:t>
            </w:r>
          </w:p>
        </w:tc>
        <w:tc>
          <w:tcPr>
            <w:tcW w:w="765" w:type="dxa"/>
            <w:vMerge w:val="restart"/>
            <w:tcBorders>
              <w:top w:val="single" w:sz="8" w:space="0" w:color="auto"/>
              <w:left w:val="single" w:sz="8" w:space="0" w:color="auto"/>
              <w:bottom w:val="single" w:sz="8" w:space="0" w:color="auto"/>
              <w:right w:val="single" w:sz="8" w:space="0" w:color="auto"/>
            </w:tcBorders>
            <w:shd w:val="clear" w:color="auto" w:fill="000000" w:themeFill="text1"/>
          </w:tcPr>
          <w:p w14:paraId="1FEF577A" w14:textId="416B60AF" w:rsidR="25447658" w:rsidRDefault="25447658" w:rsidP="003E0ECB">
            <w:pPr>
              <w:jc w:val="center"/>
              <w:rPr>
                <w:rFonts w:ascii="Calibri" w:eastAsia="Calibri" w:hAnsi="Calibri" w:cs="Calibri"/>
                <w:sz w:val="16"/>
                <w:szCs w:val="16"/>
              </w:rPr>
            </w:pPr>
            <w:r w:rsidRPr="25447658">
              <w:rPr>
                <w:rFonts w:ascii="Calibri" w:eastAsia="Calibri" w:hAnsi="Calibri" w:cs="Calibri"/>
                <w:b/>
                <w:bCs/>
                <w:sz w:val="16"/>
                <w:szCs w:val="16"/>
              </w:rPr>
              <w:t xml:space="preserve">Relevant </w:t>
            </w:r>
            <w:r w:rsidRPr="25447658">
              <w:rPr>
                <w:rFonts w:ascii="Calibri" w:eastAsia="Calibri" w:hAnsi="Calibri" w:cs="Calibri"/>
                <w:sz w:val="16"/>
                <w:szCs w:val="16"/>
              </w:rPr>
              <w:t xml:space="preserve"> </w:t>
            </w:r>
          </w:p>
          <w:p w14:paraId="75421CF9" w14:textId="4633C232" w:rsidR="25447658" w:rsidRDefault="25447658" w:rsidP="003E0ECB">
            <w:pPr>
              <w:jc w:val="center"/>
              <w:rPr>
                <w:rFonts w:ascii="Calibri" w:eastAsia="Calibri" w:hAnsi="Calibri" w:cs="Calibri"/>
                <w:sz w:val="16"/>
                <w:szCs w:val="16"/>
              </w:rPr>
            </w:pPr>
            <w:r w:rsidRPr="25447658">
              <w:rPr>
                <w:rFonts w:ascii="Calibri" w:eastAsia="Calibri" w:hAnsi="Calibri" w:cs="Calibri"/>
                <w:b/>
                <w:bCs/>
                <w:sz w:val="16"/>
                <w:szCs w:val="16"/>
              </w:rPr>
              <w:t xml:space="preserve">Project </w:t>
            </w:r>
            <w:r w:rsidR="467694C8" w:rsidRPr="7B352EE4">
              <w:rPr>
                <w:rFonts w:ascii="Calibri" w:eastAsia="Calibri" w:hAnsi="Calibri" w:cs="Calibri"/>
                <w:b/>
                <w:bCs/>
                <w:sz w:val="16"/>
                <w:szCs w:val="16"/>
              </w:rPr>
              <w:t>Comp</w:t>
            </w:r>
            <w:r w:rsidRPr="25447658">
              <w:rPr>
                <w:rFonts w:ascii="Calibri" w:eastAsia="Calibri" w:hAnsi="Calibri" w:cs="Calibri"/>
                <w:sz w:val="16"/>
                <w:szCs w:val="16"/>
              </w:rPr>
              <w:t xml:space="preserve"> </w:t>
            </w:r>
          </w:p>
        </w:tc>
        <w:tc>
          <w:tcPr>
            <w:tcW w:w="645" w:type="dxa"/>
            <w:vMerge w:val="restart"/>
            <w:tcBorders>
              <w:top w:val="single" w:sz="8" w:space="0" w:color="auto"/>
              <w:left w:val="single" w:sz="8" w:space="0" w:color="auto"/>
              <w:bottom w:val="single" w:sz="8" w:space="0" w:color="auto"/>
              <w:right w:val="single" w:sz="8" w:space="0" w:color="auto"/>
            </w:tcBorders>
            <w:shd w:val="clear" w:color="auto" w:fill="FBE4D5" w:themeFill="accent2" w:themeFillTint="33"/>
          </w:tcPr>
          <w:p w14:paraId="4994829A" w14:textId="53F008DF" w:rsidR="25447658" w:rsidRDefault="25447658" w:rsidP="003E0ECB">
            <w:pPr>
              <w:jc w:val="center"/>
              <w:rPr>
                <w:rFonts w:ascii="Calibri" w:eastAsia="Calibri" w:hAnsi="Calibri" w:cs="Calibri"/>
                <w:b/>
                <w:bCs/>
                <w:sz w:val="16"/>
                <w:szCs w:val="16"/>
              </w:rPr>
            </w:pPr>
            <w:r w:rsidRPr="25447658">
              <w:rPr>
                <w:rFonts w:ascii="Calibri" w:eastAsia="Calibri" w:hAnsi="Calibri" w:cs="Calibri"/>
                <w:b/>
                <w:bCs/>
                <w:sz w:val="16"/>
                <w:szCs w:val="16"/>
              </w:rPr>
              <w:t>Baseline</w:t>
            </w:r>
          </w:p>
          <w:p w14:paraId="5B877C3F" w14:textId="1F071AFA" w:rsidR="25447658" w:rsidRDefault="25447658" w:rsidP="003E0ECB">
            <w:pPr>
              <w:jc w:val="center"/>
              <w:rPr>
                <w:rFonts w:ascii="Calibri" w:eastAsia="Calibri" w:hAnsi="Calibri" w:cs="Calibri"/>
                <w:sz w:val="16"/>
                <w:szCs w:val="16"/>
              </w:rPr>
            </w:pPr>
            <w:r w:rsidRPr="25447658">
              <w:rPr>
                <w:rFonts w:ascii="Calibri" w:eastAsia="Calibri" w:hAnsi="Calibri" w:cs="Calibri"/>
                <w:b/>
                <w:bCs/>
                <w:sz w:val="16"/>
                <w:szCs w:val="16"/>
              </w:rPr>
              <w:t xml:space="preserve"> Calculus Total </w:t>
            </w:r>
            <w:r w:rsidR="4CCEC16C" w:rsidRPr="5F3EA9C0">
              <w:rPr>
                <w:rFonts w:ascii="Calibri" w:eastAsia="Calibri" w:hAnsi="Calibri" w:cs="Calibri"/>
                <w:b/>
                <w:bCs/>
                <w:sz w:val="16"/>
                <w:szCs w:val="16"/>
              </w:rPr>
              <w:t>(</w:t>
            </w:r>
            <w:r w:rsidR="7BC958E5" w:rsidRPr="5F3EA9C0">
              <w:rPr>
                <w:rFonts w:ascii="Calibri" w:eastAsia="Calibri" w:hAnsi="Calibri" w:cs="Calibri"/>
                <w:b/>
                <w:bCs/>
                <w:sz w:val="16"/>
                <w:szCs w:val="16"/>
              </w:rPr>
              <w:t>US</w:t>
            </w:r>
            <w:r w:rsidR="4CCEC16C" w:rsidRPr="5F3EA9C0">
              <w:rPr>
                <w:rFonts w:ascii="Calibri" w:eastAsia="Calibri" w:hAnsi="Calibri" w:cs="Calibri"/>
                <w:b/>
                <w:bCs/>
                <w:sz w:val="16"/>
                <w:szCs w:val="16"/>
              </w:rPr>
              <w:t>$</w:t>
            </w:r>
            <w:r w:rsidRPr="25447658">
              <w:rPr>
                <w:rFonts w:ascii="Calibri" w:eastAsia="Calibri" w:hAnsi="Calibri" w:cs="Calibri"/>
                <w:b/>
                <w:bCs/>
                <w:sz w:val="16"/>
                <w:szCs w:val="16"/>
              </w:rPr>
              <w:t xml:space="preserve"> M)</w:t>
            </w:r>
            <w:r w:rsidRPr="25447658">
              <w:rPr>
                <w:rFonts w:ascii="Calibri" w:eastAsia="Calibri" w:hAnsi="Calibri" w:cs="Calibri"/>
                <w:sz w:val="16"/>
                <w:szCs w:val="16"/>
              </w:rPr>
              <w:t xml:space="preserve"> </w:t>
            </w:r>
          </w:p>
        </w:tc>
        <w:tc>
          <w:tcPr>
            <w:tcW w:w="1830" w:type="dxa"/>
            <w:gridSpan w:val="3"/>
            <w:tcBorders>
              <w:top w:val="single" w:sz="8" w:space="0" w:color="auto"/>
              <w:left w:val="single" w:sz="8" w:space="0" w:color="auto"/>
              <w:bottom w:val="single" w:sz="8" w:space="0" w:color="auto"/>
              <w:right w:val="single" w:sz="8" w:space="0" w:color="auto"/>
            </w:tcBorders>
            <w:shd w:val="clear" w:color="auto" w:fill="FBE4D5" w:themeFill="accent2" w:themeFillTint="33"/>
          </w:tcPr>
          <w:p w14:paraId="510EA91F" w14:textId="197A9D56" w:rsidR="25447658" w:rsidRDefault="25447658" w:rsidP="003E0ECB">
            <w:pPr>
              <w:jc w:val="center"/>
              <w:rPr>
                <w:rFonts w:ascii="Calibri" w:eastAsia="Calibri" w:hAnsi="Calibri" w:cs="Calibri"/>
                <w:sz w:val="16"/>
                <w:szCs w:val="16"/>
              </w:rPr>
            </w:pPr>
            <w:r w:rsidRPr="25447658">
              <w:rPr>
                <w:rFonts w:ascii="Calibri" w:eastAsia="Calibri" w:hAnsi="Calibri" w:cs="Calibri"/>
                <w:b/>
                <w:bCs/>
                <w:sz w:val="16"/>
                <w:szCs w:val="16"/>
              </w:rPr>
              <w:t>BASELINE</w:t>
            </w:r>
            <w:r w:rsidRPr="25447658">
              <w:rPr>
                <w:rFonts w:ascii="Calibri" w:eastAsia="Calibri" w:hAnsi="Calibri" w:cs="Calibri"/>
                <w:sz w:val="16"/>
                <w:szCs w:val="16"/>
              </w:rPr>
              <w:t xml:space="preserve"> </w:t>
            </w:r>
          </w:p>
          <w:p w14:paraId="785C0E3D" w14:textId="32D4241B" w:rsidR="25447658" w:rsidRDefault="25447658" w:rsidP="003E0ECB">
            <w:pPr>
              <w:jc w:val="center"/>
              <w:rPr>
                <w:rFonts w:ascii="Calibri" w:eastAsia="Calibri" w:hAnsi="Calibri" w:cs="Calibri"/>
                <w:sz w:val="16"/>
                <w:szCs w:val="16"/>
              </w:rPr>
            </w:pPr>
            <w:r w:rsidRPr="25447658">
              <w:rPr>
                <w:rFonts w:ascii="Calibri" w:eastAsia="Calibri" w:hAnsi="Calibri" w:cs="Calibri"/>
                <w:sz w:val="16"/>
                <w:szCs w:val="16"/>
              </w:rPr>
              <w:t xml:space="preserve"> </w:t>
            </w:r>
          </w:p>
        </w:tc>
        <w:tc>
          <w:tcPr>
            <w:tcW w:w="825" w:type="dxa"/>
            <w:vMerge w:val="restart"/>
            <w:tcBorders>
              <w:top w:val="single" w:sz="8" w:space="0" w:color="auto"/>
              <w:left w:val="nil"/>
              <w:bottom w:val="single" w:sz="8" w:space="0" w:color="auto"/>
              <w:right w:val="single" w:sz="8" w:space="0" w:color="auto"/>
            </w:tcBorders>
            <w:shd w:val="clear" w:color="auto" w:fill="DEEAF6" w:themeFill="accent1" w:themeFillTint="33"/>
          </w:tcPr>
          <w:p w14:paraId="2E2BC08D" w14:textId="2094EFED" w:rsidR="25447658" w:rsidRDefault="25447658" w:rsidP="003E0ECB">
            <w:pPr>
              <w:jc w:val="center"/>
              <w:rPr>
                <w:rFonts w:ascii="Calibri" w:eastAsia="Calibri" w:hAnsi="Calibri" w:cs="Calibri"/>
                <w:sz w:val="16"/>
                <w:szCs w:val="16"/>
                <w:lang w:val="en-US"/>
              </w:rPr>
            </w:pPr>
            <w:r w:rsidRPr="25447658">
              <w:rPr>
                <w:rFonts w:ascii="Calibri" w:eastAsia="Calibri" w:hAnsi="Calibri" w:cs="Calibri"/>
                <w:b/>
                <w:bCs/>
                <w:sz w:val="16"/>
                <w:szCs w:val="16"/>
              </w:rPr>
              <w:t>Co-financing from Baseline Total (US $M)</w:t>
            </w:r>
            <w:r w:rsidRPr="25447658">
              <w:rPr>
                <w:rFonts w:ascii="Calibri" w:eastAsia="Calibri" w:hAnsi="Calibri" w:cs="Calibri"/>
                <w:sz w:val="16"/>
                <w:szCs w:val="16"/>
                <w:lang w:val="en-US"/>
              </w:rPr>
              <w:t xml:space="preserve"> </w:t>
            </w:r>
          </w:p>
        </w:tc>
        <w:tc>
          <w:tcPr>
            <w:tcW w:w="3090" w:type="dxa"/>
            <w:gridSpan w:val="4"/>
            <w:tcBorders>
              <w:top w:val="single" w:sz="8" w:space="0" w:color="auto"/>
              <w:left w:val="single" w:sz="8" w:space="0" w:color="auto"/>
              <w:bottom w:val="single" w:sz="8" w:space="0" w:color="auto"/>
              <w:right w:val="single" w:sz="8" w:space="0" w:color="auto"/>
            </w:tcBorders>
            <w:shd w:val="clear" w:color="auto" w:fill="DEEAF6" w:themeFill="accent1" w:themeFillTint="33"/>
          </w:tcPr>
          <w:p w14:paraId="1551A6D9" w14:textId="33032BE5" w:rsidR="25447658" w:rsidRDefault="25447658" w:rsidP="003E0ECB">
            <w:pPr>
              <w:jc w:val="center"/>
              <w:rPr>
                <w:rFonts w:ascii="Calibri" w:eastAsia="Calibri" w:hAnsi="Calibri" w:cs="Calibri"/>
                <w:sz w:val="16"/>
                <w:szCs w:val="16"/>
              </w:rPr>
            </w:pPr>
            <w:r w:rsidRPr="25447658">
              <w:rPr>
                <w:rFonts w:ascii="Calibri" w:eastAsia="Calibri" w:hAnsi="Calibri" w:cs="Calibri"/>
                <w:b/>
                <w:bCs/>
                <w:sz w:val="16"/>
                <w:szCs w:val="16"/>
              </w:rPr>
              <w:t>Co-financing from Baseline</w:t>
            </w:r>
            <w:r w:rsidRPr="25447658">
              <w:rPr>
                <w:rFonts w:ascii="Calibri" w:eastAsia="Calibri" w:hAnsi="Calibri" w:cs="Calibri"/>
                <w:sz w:val="16"/>
                <w:szCs w:val="16"/>
              </w:rPr>
              <w:t xml:space="preserve"> </w:t>
            </w:r>
          </w:p>
        </w:tc>
      </w:tr>
      <w:tr w:rsidR="007965E5" w14:paraId="2B331FA2" w14:textId="77777777" w:rsidTr="00D412F5">
        <w:trPr>
          <w:trHeight w:val="300"/>
        </w:trPr>
        <w:tc>
          <w:tcPr>
            <w:tcW w:w="236" w:type="dxa"/>
            <w:vMerge/>
            <w:vAlign w:val="center"/>
          </w:tcPr>
          <w:p w14:paraId="407269C0" w14:textId="77777777" w:rsidR="00CB7B17" w:rsidRDefault="00CB7B17"/>
        </w:tc>
        <w:tc>
          <w:tcPr>
            <w:tcW w:w="1575" w:type="dxa"/>
            <w:vMerge/>
            <w:vAlign w:val="center"/>
          </w:tcPr>
          <w:p w14:paraId="600C14D6" w14:textId="77777777" w:rsidR="00CB7B17" w:rsidRDefault="00CB7B17"/>
        </w:tc>
        <w:tc>
          <w:tcPr>
            <w:tcW w:w="765" w:type="dxa"/>
            <w:vMerge/>
            <w:vAlign w:val="center"/>
          </w:tcPr>
          <w:p w14:paraId="1088D5D0" w14:textId="77777777" w:rsidR="00CB7B17" w:rsidRDefault="00CB7B17"/>
        </w:tc>
        <w:tc>
          <w:tcPr>
            <w:tcW w:w="645" w:type="dxa"/>
            <w:vMerge/>
            <w:vAlign w:val="center"/>
          </w:tcPr>
          <w:p w14:paraId="633989A7" w14:textId="77777777" w:rsidR="00CB7B17" w:rsidRDefault="00CB7B17"/>
        </w:tc>
        <w:tc>
          <w:tcPr>
            <w:tcW w:w="705" w:type="dxa"/>
            <w:tcBorders>
              <w:top w:val="single" w:sz="8" w:space="0" w:color="auto"/>
              <w:left w:val="nil"/>
              <w:bottom w:val="single" w:sz="8" w:space="0" w:color="auto"/>
              <w:right w:val="single" w:sz="8" w:space="0" w:color="auto"/>
            </w:tcBorders>
            <w:shd w:val="clear" w:color="auto" w:fill="FBE4D5" w:themeFill="accent2" w:themeFillTint="33"/>
          </w:tcPr>
          <w:p w14:paraId="09205F3B" w14:textId="38B4CEDE" w:rsidR="25447658" w:rsidRDefault="25447658" w:rsidP="003E0ECB">
            <w:pPr>
              <w:jc w:val="center"/>
              <w:rPr>
                <w:rFonts w:ascii="Calibri" w:eastAsia="Calibri" w:hAnsi="Calibri" w:cs="Calibri"/>
                <w:sz w:val="16"/>
                <w:szCs w:val="16"/>
              </w:rPr>
            </w:pPr>
            <w:r w:rsidRPr="25447658">
              <w:rPr>
                <w:rFonts w:ascii="Calibri" w:eastAsia="Calibri" w:hAnsi="Calibri" w:cs="Calibri"/>
                <w:b/>
                <w:bCs/>
                <w:sz w:val="16"/>
                <w:szCs w:val="16"/>
              </w:rPr>
              <w:t>C1</w:t>
            </w:r>
            <w:r w:rsidRPr="25447658">
              <w:rPr>
                <w:rFonts w:ascii="Calibri" w:eastAsia="Calibri" w:hAnsi="Calibri" w:cs="Calibri"/>
                <w:sz w:val="16"/>
                <w:szCs w:val="16"/>
              </w:rPr>
              <w:t xml:space="preserve"> </w:t>
            </w:r>
          </w:p>
        </w:tc>
        <w:tc>
          <w:tcPr>
            <w:tcW w:w="585" w:type="dxa"/>
            <w:tcBorders>
              <w:top w:val="nil"/>
              <w:left w:val="single" w:sz="8" w:space="0" w:color="auto"/>
              <w:bottom w:val="single" w:sz="8" w:space="0" w:color="auto"/>
              <w:right w:val="single" w:sz="8" w:space="0" w:color="auto"/>
            </w:tcBorders>
            <w:shd w:val="clear" w:color="auto" w:fill="FBE4D5" w:themeFill="accent2" w:themeFillTint="33"/>
          </w:tcPr>
          <w:p w14:paraId="126327B3" w14:textId="7954EFC4" w:rsidR="25447658" w:rsidRDefault="25447658" w:rsidP="003E0ECB">
            <w:pPr>
              <w:jc w:val="center"/>
              <w:rPr>
                <w:rFonts w:ascii="Calibri" w:eastAsia="Calibri" w:hAnsi="Calibri" w:cs="Calibri"/>
                <w:sz w:val="16"/>
                <w:szCs w:val="16"/>
              </w:rPr>
            </w:pPr>
            <w:r w:rsidRPr="25447658">
              <w:rPr>
                <w:rFonts w:ascii="Calibri" w:eastAsia="Calibri" w:hAnsi="Calibri" w:cs="Calibri"/>
                <w:b/>
                <w:bCs/>
                <w:sz w:val="16"/>
                <w:szCs w:val="16"/>
              </w:rPr>
              <w:t>C2</w:t>
            </w:r>
            <w:r w:rsidRPr="25447658">
              <w:rPr>
                <w:rFonts w:ascii="Calibri" w:eastAsia="Calibri" w:hAnsi="Calibri" w:cs="Calibri"/>
                <w:sz w:val="16"/>
                <w:szCs w:val="16"/>
              </w:rPr>
              <w:t xml:space="preserve"> </w:t>
            </w:r>
          </w:p>
        </w:tc>
        <w:tc>
          <w:tcPr>
            <w:tcW w:w="540" w:type="dxa"/>
            <w:tcBorders>
              <w:top w:val="nil"/>
              <w:left w:val="single" w:sz="8" w:space="0" w:color="auto"/>
              <w:bottom w:val="single" w:sz="8" w:space="0" w:color="auto"/>
              <w:right w:val="single" w:sz="8" w:space="0" w:color="auto"/>
            </w:tcBorders>
            <w:shd w:val="clear" w:color="auto" w:fill="FBE4D5" w:themeFill="accent2" w:themeFillTint="33"/>
          </w:tcPr>
          <w:p w14:paraId="4F52E875" w14:textId="141D7755" w:rsidR="25447658" w:rsidRDefault="25447658" w:rsidP="003E0ECB">
            <w:pPr>
              <w:jc w:val="center"/>
              <w:rPr>
                <w:rFonts w:ascii="Calibri" w:eastAsia="Calibri" w:hAnsi="Calibri" w:cs="Calibri"/>
                <w:sz w:val="16"/>
                <w:szCs w:val="16"/>
              </w:rPr>
            </w:pPr>
            <w:r w:rsidRPr="25447658">
              <w:rPr>
                <w:rFonts w:ascii="Calibri" w:eastAsia="Calibri" w:hAnsi="Calibri" w:cs="Calibri"/>
                <w:b/>
                <w:bCs/>
                <w:sz w:val="16"/>
                <w:szCs w:val="16"/>
              </w:rPr>
              <w:t>C3</w:t>
            </w:r>
            <w:r w:rsidRPr="25447658">
              <w:rPr>
                <w:rFonts w:ascii="Calibri" w:eastAsia="Calibri" w:hAnsi="Calibri" w:cs="Calibri"/>
                <w:sz w:val="16"/>
                <w:szCs w:val="16"/>
              </w:rPr>
              <w:t xml:space="preserve"> </w:t>
            </w:r>
          </w:p>
        </w:tc>
        <w:tc>
          <w:tcPr>
            <w:tcW w:w="825" w:type="dxa"/>
            <w:vMerge/>
            <w:vAlign w:val="center"/>
          </w:tcPr>
          <w:p w14:paraId="33FC93A9" w14:textId="77777777" w:rsidR="00CB7B17" w:rsidRDefault="00CB7B17"/>
        </w:tc>
        <w:tc>
          <w:tcPr>
            <w:tcW w:w="735" w:type="dxa"/>
            <w:tcBorders>
              <w:top w:val="single" w:sz="8" w:space="0" w:color="auto"/>
              <w:left w:val="nil"/>
              <w:bottom w:val="single" w:sz="8" w:space="0" w:color="auto"/>
              <w:right w:val="single" w:sz="8" w:space="0" w:color="auto"/>
            </w:tcBorders>
            <w:shd w:val="clear" w:color="auto" w:fill="DEEAF6" w:themeFill="accent1" w:themeFillTint="33"/>
          </w:tcPr>
          <w:p w14:paraId="3730B206" w14:textId="794E35B1" w:rsidR="25447658" w:rsidRDefault="25447658" w:rsidP="003E0ECB">
            <w:pPr>
              <w:jc w:val="center"/>
              <w:rPr>
                <w:rFonts w:ascii="Calibri" w:eastAsia="Calibri" w:hAnsi="Calibri" w:cs="Calibri"/>
                <w:sz w:val="16"/>
                <w:szCs w:val="16"/>
              </w:rPr>
            </w:pPr>
            <w:r w:rsidRPr="25447658">
              <w:rPr>
                <w:rFonts w:ascii="Calibri" w:eastAsia="Calibri" w:hAnsi="Calibri" w:cs="Calibri"/>
                <w:b/>
                <w:bCs/>
                <w:sz w:val="16"/>
                <w:szCs w:val="16"/>
              </w:rPr>
              <w:t xml:space="preserve">C1 </w:t>
            </w:r>
            <w:r w:rsidRPr="25447658">
              <w:rPr>
                <w:rFonts w:ascii="Calibri" w:eastAsia="Calibri" w:hAnsi="Calibri" w:cs="Calibri"/>
                <w:sz w:val="16"/>
                <w:szCs w:val="16"/>
              </w:rPr>
              <w:t xml:space="preserve"> </w:t>
            </w:r>
          </w:p>
        </w:tc>
        <w:tc>
          <w:tcPr>
            <w:tcW w:w="855" w:type="dxa"/>
            <w:tcBorders>
              <w:top w:val="nil"/>
              <w:left w:val="single" w:sz="8" w:space="0" w:color="auto"/>
              <w:bottom w:val="single" w:sz="8" w:space="0" w:color="auto"/>
              <w:right w:val="single" w:sz="8" w:space="0" w:color="auto"/>
            </w:tcBorders>
            <w:shd w:val="clear" w:color="auto" w:fill="DEEAF6" w:themeFill="accent1" w:themeFillTint="33"/>
          </w:tcPr>
          <w:p w14:paraId="2C508ACB" w14:textId="18A2D0F0" w:rsidR="25447658" w:rsidRDefault="25447658" w:rsidP="003E0ECB">
            <w:pPr>
              <w:jc w:val="center"/>
              <w:rPr>
                <w:rFonts w:ascii="Calibri" w:eastAsia="Calibri" w:hAnsi="Calibri" w:cs="Calibri"/>
                <w:sz w:val="16"/>
                <w:szCs w:val="16"/>
              </w:rPr>
            </w:pPr>
            <w:r w:rsidRPr="25447658">
              <w:rPr>
                <w:rFonts w:ascii="Calibri" w:eastAsia="Calibri" w:hAnsi="Calibri" w:cs="Calibri"/>
                <w:b/>
                <w:bCs/>
                <w:sz w:val="16"/>
                <w:szCs w:val="16"/>
              </w:rPr>
              <w:t xml:space="preserve">C2 </w:t>
            </w:r>
            <w:r w:rsidRPr="25447658">
              <w:rPr>
                <w:rFonts w:ascii="Calibri" w:eastAsia="Calibri" w:hAnsi="Calibri" w:cs="Calibri"/>
                <w:sz w:val="16"/>
                <w:szCs w:val="16"/>
              </w:rPr>
              <w:t xml:space="preserve"> </w:t>
            </w:r>
          </w:p>
        </w:tc>
        <w:tc>
          <w:tcPr>
            <w:tcW w:w="735" w:type="dxa"/>
            <w:tcBorders>
              <w:top w:val="nil"/>
              <w:left w:val="single" w:sz="8" w:space="0" w:color="auto"/>
              <w:bottom w:val="single" w:sz="8" w:space="0" w:color="auto"/>
              <w:right w:val="single" w:sz="8" w:space="0" w:color="auto"/>
            </w:tcBorders>
            <w:shd w:val="clear" w:color="auto" w:fill="DEEAF6" w:themeFill="accent1" w:themeFillTint="33"/>
          </w:tcPr>
          <w:p w14:paraId="486DB818" w14:textId="27692AD3" w:rsidR="25447658" w:rsidRDefault="25447658" w:rsidP="003E0ECB">
            <w:pPr>
              <w:jc w:val="center"/>
              <w:rPr>
                <w:rFonts w:ascii="Calibri" w:eastAsia="Calibri" w:hAnsi="Calibri" w:cs="Calibri"/>
                <w:sz w:val="16"/>
                <w:szCs w:val="16"/>
              </w:rPr>
            </w:pPr>
            <w:r w:rsidRPr="25447658">
              <w:rPr>
                <w:rFonts w:ascii="Calibri" w:eastAsia="Calibri" w:hAnsi="Calibri" w:cs="Calibri"/>
                <w:b/>
                <w:bCs/>
                <w:sz w:val="16"/>
                <w:szCs w:val="16"/>
              </w:rPr>
              <w:t xml:space="preserve">C3 </w:t>
            </w:r>
            <w:r w:rsidRPr="25447658">
              <w:rPr>
                <w:rFonts w:ascii="Calibri" w:eastAsia="Calibri" w:hAnsi="Calibri" w:cs="Calibri"/>
                <w:sz w:val="16"/>
                <w:szCs w:val="16"/>
              </w:rPr>
              <w:t xml:space="preserve"> </w:t>
            </w:r>
          </w:p>
        </w:tc>
        <w:tc>
          <w:tcPr>
            <w:tcW w:w="765" w:type="dxa"/>
            <w:tcBorders>
              <w:top w:val="nil"/>
              <w:left w:val="single" w:sz="8" w:space="0" w:color="auto"/>
              <w:bottom w:val="single" w:sz="8" w:space="0" w:color="auto"/>
              <w:right w:val="single" w:sz="8" w:space="0" w:color="auto"/>
            </w:tcBorders>
            <w:shd w:val="clear" w:color="auto" w:fill="DEEAF6" w:themeFill="accent1" w:themeFillTint="33"/>
          </w:tcPr>
          <w:p w14:paraId="5192A686" w14:textId="6630CF76" w:rsidR="25447658" w:rsidRDefault="25447658" w:rsidP="003E0ECB">
            <w:pPr>
              <w:jc w:val="center"/>
              <w:rPr>
                <w:rFonts w:ascii="Calibri" w:eastAsia="Calibri" w:hAnsi="Calibri" w:cs="Calibri"/>
                <w:sz w:val="16"/>
                <w:szCs w:val="16"/>
              </w:rPr>
            </w:pPr>
            <w:r w:rsidRPr="25447658">
              <w:rPr>
                <w:rFonts w:ascii="Calibri" w:eastAsia="Calibri" w:hAnsi="Calibri" w:cs="Calibri"/>
                <w:b/>
                <w:bCs/>
                <w:sz w:val="16"/>
                <w:szCs w:val="16"/>
              </w:rPr>
              <w:t>PMC</w:t>
            </w:r>
            <w:r w:rsidRPr="25447658">
              <w:rPr>
                <w:rFonts w:ascii="Calibri" w:eastAsia="Calibri" w:hAnsi="Calibri" w:cs="Calibri"/>
                <w:sz w:val="16"/>
                <w:szCs w:val="16"/>
              </w:rPr>
              <w:t xml:space="preserve"> </w:t>
            </w:r>
          </w:p>
        </w:tc>
      </w:tr>
      <w:tr w:rsidR="007965E5" w14:paraId="711A2AFA" w14:textId="77777777" w:rsidTr="00D412F5">
        <w:trPr>
          <w:trHeight w:val="300"/>
        </w:trPr>
        <w:tc>
          <w:tcPr>
            <w:tcW w:w="236" w:type="dxa"/>
            <w:tcBorders>
              <w:top w:val="nil"/>
              <w:left w:val="single" w:sz="8" w:space="0" w:color="auto"/>
              <w:bottom w:val="single" w:sz="8" w:space="0" w:color="auto"/>
              <w:right w:val="single" w:sz="8" w:space="0" w:color="auto"/>
            </w:tcBorders>
            <w:shd w:val="clear" w:color="auto" w:fill="D9D9D9" w:themeFill="background1" w:themeFillShade="D9"/>
          </w:tcPr>
          <w:p w14:paraId="2F3AB6C0" w14:textId="5591EDB2" w:rsidR="25447658" w:rsidRDefault="25447658" w:rsidP="003E0ECB">
            <w:pPr>
              <w:jc w:val="center"/>
              <w:rPr>
                <w:rFonts w:ascii="Calibri" w:eastAsia="Calibri" w:hAnsi="Calibri" w:cs="Calibri"/>
                <w:sz w:val="16"/>
                <w:szCs w:val="16"/>
              </w:rPr>
            </w:pPr>
            <w:r w:rsidRPr="25447658">
              <w:rPr>
                <w:rFonts w:ascii="Calibri" w:eastAsia="Calibri" w:hAnsi="Calibri" w:cs="Calibri"/>
                <w:sz w:val="16"/>
                <w:szCs w:val="16"/>
              </w:rPr>
              <w:t xml:space="preserve">1 </w:t>
            </w:r>
          </w:p>
        </w:tc>
        <w:tc>
          <w:tcPr>
            <w:tcW w:w="1575" w:type="dxa"/>
            <w:tcBorders>
              <w:top w:val="nil"/>
              <w:left w:val="single" w:sz="8" w:space="0" w:color="auto"/>
              <w:bottom w:val="single" w:sz="8" w:space="0" w:color="auto"/>
              <w:right w:val="single" w:sz="8" w:space="0" w:color="auto"/>
            </w:tcBorders>
          </w:tcPr>
          <w:p w14:paraId="2D32C8A7" w14:textId="6BD1704D" w:rsidR="25447658" w:rsidRDefault="25447658">
            <w:r w:rsidRPr="25447658">
              <w:rPr>
                <w:rFonts w:ascii="Calibri" w:eastAsia="Calibri" w:hAnsi="Calibri" w:cs="Calibri"/>
                <w:sz w:val="16"/>
                <w:szCs w:val="16"/>
              </w:rPr>
              <w:t xml:space="preserve">MCTA (DNAAC) / PND Program # </w:t>
            </w:r>
            <w:r w:rsidRPr="25447658">
              <w:rPr>
                <w:rFonts w:ascii="Calibri" w:eastAsia="Calibri" w:hAnsi="Calibri" w:cs="Calibri"/>
                <w:sz w:val="16"/>
                <w:szCs w:val="16"/>
              </w:rPr>
              <w:lastRenderedPageBreak/>
              <w:t xml:space="preserve">2.4.1: Climate Change </w:t>
            </w:r>
          </w:p>
        </w:tc>
        <w:tc>
          <w:tcPr>
            <w:tcW w:w="765" w:type="dxa"/>
            <w:tcBorders>
              <w:top w:val="nil"/>
              <w:left w:val="single" w:sz="8" w:space="0" w:color="auto"/>
              <w:bottom w:val="single" w:sz="8" w:space="0" w:color="auto"/>
              <w:right w:val="single" w:sz="8" w:space="0" w:color="auto"/>
            </w:tcBorders>
          </w:tcPr>
          <w:p w14:paraId="103E921B" w14:textId="57CB2C97" w:rsidR="25447658" w:rsidRDefault="25447658" w:rsidP="003E0ECB">
            <w:pPr>
              <w:jc w:val="center"/>
              <w:rPr>
                <w:rFonts w:ascii="Calibri" w:eastAsia="Calibri" w:hAnsi="Calibri" w:cs="Calibri"/>
                <w:sz w:val="16"/>
                <w:szCs w:val="16"/>
              </w:rPr>
            </w:pPr>
            <w:r w:rsidRPr="25447658">
              <w:rPr>
                <w:rFonts w:ascii="Calibri" w:eastAsia="Calibri" w:hAnsi="Calibri" w:cs="Calibri"/>
                <w:sz w:val="16"/>
                <w:szCs w:val="16"/>
              </w:rPr>
              <w:lastRenderedPageBreak/>
              <w:t xml:space="preserve">1,2, 3 </w:t>
            </w:r>
          </w:p>
        </w:tc>
        <w:tc>
          <w:tcPr>
            <w:tcW w:w="645" w:type="dxa"/>
            <w:tcBorders>
              <w:top w:val="nil"/>
              <w:left w:val="single" w:sz="8" w:space="0" w:color="auto"/>
              <w:bottom w:val="single" w:sz="8" w:space="0" w:color="auto"/>
              <w:right w:val="single" w:sz="8" w:space="0" w:color="auto"/>
            </w:tcBorders>
            <w:shd w:val="clear" w:color="auto" w:fill="D9D9D9" w:themeFill="background1" w:themeFillShade="D9"/>
          </w:tcPr>
          <w:p w14:paraId="3C5F339B" w14:textId="05421861" w:rsidR="25447658" w:rsidRDefault="25447658" w:rsidP="003E0ECB">
            <w:pPr>
              <w:jc w:val="center"/>
              <w:rPr>
                <w:rFonts w:ascii="Calibri" w:eastAsia="Calibri" w:hAnsi="Calibri" w:cs="Calibri"/>
                <w:sz w:val="16"/>
                <w:szCs w:val="16"/>
              </w:rPr>
            </w:pPr>
            <w:r w:rsidRPr="25447658">
              <w:rPr>
                <w:rFonts w:ascii="Calibri" w:eastAsia="Calibri" w:hAnsi="Calibri" w:cs="Calibri"/>
                <w:sz w:val="16"/>
                <w:szCs w:val="16"/>
              </w:rPr>
              <w:t xml:space="preserve">36.6 </w:t>
            </w:r>
          </w:p>
        </w:tc>
        <w:tc>
          <w:tcPr>
            <w:tcW w:w="705" w:type="dxa"/>
            <w:tcBorders>
              <w:top w:val="single" w:sz="8" w:space="0" w:color="auto"/>
              <w:left w:val="single" w:sz="8" w:space="0" w:color="auto"/>
              <w:bottom w:val="single" w:sz="8" w:space="0" w:color="auto"/>
              <w:right w:val="single" w:sz="8" w:space="0" w:color="auto"/>
            </w:tcBorders>
          </w:tcPr>
          <w:p w14:paraId="16BE680B" w14:textId="59E8008D" w:rsidR="25447658" w:rsidRDefault="25447658" w:rsidP="003E0ECB">
            <w:pPr>
              <w:jc w:val="center"/>
              <w:rPr>
                <w:rFonts w:ascii="Calibri" w:eastAsia="Calibri" w:hAnsi="Calibri" w:cs="Calibri"/>
                <w:sz w:val="16"/>
                <w:szCs w:val="16"/>
              </w:rPr>
            </w:pPr>
            <w:r w:rsidRPr="25447658">
              <w:rPr>
                <w:rFonts w:ascii="Calibri" w:eastAsia="Calibri" w:hAnsi="Calibri" w:cs="Calibri"/>
                <w:sz w:val="16"/>
                <w:szCs w:val="16"/>
              </w:rPr>
              <w:t xml:space="preserve">12.2 </w:t>
            </w:r>
          </w:p>
        </w:tc>
        <w:tc>
          <w:tcPr>
            <w:tcW w:w="585" w:type="dxa"/>
            <w:tcBorders>
              <w:top w:val="single" w:sz="8" w:space="0" w:color="auto"/>
              <w:left w:val="single" w:sz="8" w:space="0" w:color="auto"/>
              <w:bottom w:val="single" w:sz="8" w:space="0" w:color="auto"/>
              <w:right w:val="single" w:sz="8" w:space="0" w:color="auto"/>
            </w:tcBorders>
          </w:tcPr>
          <w:p w14:paraId="48E33678" w14:textId="4C2248D3" w:rsidR="25447658" w:rsidRDefault="25447658" w:rsidP="003E0ECB">
            <w:pPr>
              <w:jc w:val="center"/>
              <w:rPr>
                <w:rFonts w:ascii="Calibri" w:eastAsia="Calibri" w:hAnsi="Calibri" w:cs="Calibri"/>
                <w:sz w:val="16"/>
                <w:szCs w:val="16"/>
              </w:rPr>
            </w:pPr>
            <w:r w:rsidRPr="25447658">
              <w:rPr>
                <w:rFonts w:ascii="Calibri" w:eastAsia="Calibri" w:hAnsi="Calibri" w:cs="Calibri"/>
                <w:sz w:val="16"/>
                <w:szCs w:val="16"/>
              </w:rPr>
              <w:t xml:space="preserve">12.2 </w:t>
            </w:r>
          </w:p>
        </w:tc>
        <w:tc>
          <w:tcPr>
            <w:tcW w:w="540" w:type="dxa"/>
            <w:tcBorders>
              <w:top w:val="single" w:sz="8" w:space="0" w:color="auto"/>
              <w:left w:val="single" w:sz="8" w:space="0" w:color="auto"/>
              <w:bottom w:val="single" w:sz="8" w:space="0" w:color="auto"/>
              <w:right w:val="single" w:sz="8" w:space="0" w:color="auto"/>
            </w:tcBorders>
          </w:tcPr>
          <w:p w14:paraId="36B0B93A" w14:textId="0BA7CDF4" w:rsidR="25447658" w:rsidRDefault="25447658" w:rsidP="003E0ECB">
            <w:pPr>
              <w:jc w:val="center"/>
              <w:rPr>
                <w:rFonts w:ascii="Calibri" w:eastAsia="Calibri" w:hAnsi="Calibri" w:cs="Calibri"/>
                <w:sz w:val="16"/>
                <w:szCs w:val="16"/>
              </w:rPr>
            </w:pPr>
            <w:r w:rsidRPr="25447658">
              <w:rPr>
                <w:rFonts w:ascii="Calibri" w:eastAsia="Calibri" w:hAnsi="Calibri" w:cs="Calibri"/>
                <w:sz w:val="16"/>
                <w:szCs w:val="16"/>
              </w:rPr>
              <w:t xml:space="preserve">12.2 </w:t>
            </w:r>
          </w:p>
        </w:tc>
        <w:tc>
          <w:tcPr>
            <w:tcW w:w="825" w:type="dxa"/>
            <w:tcBorders>
              <w:top w:val="nil"/>
              <w:left w:val="single" w:sz="8" w:space="0" w:color="auto"/>
              <w:bottom w:val="single" w:sz="8" w:space="0" w:color="auto"/>
              <w:right w:val="single" w:sz="8" w:space="0" w:color="auto"/>
            </w:tcBorders>
            <w:shd w:val="clear" w:color="auto" w:fill="D9D9D9" w:themeFill="background1" w:themeFillShade="D9"/>
          </w:tcPr>
          <w:p w14:paraId="048914B0" w14:textId="244127B3" w:rsidR="25447658" w:rsidRDefault="25447658" w:rsidP="003E0ECB">
            <w:pPr>
              <w:jc w:val="center"/>
              <w:rPr>
                <w:rFonts w:ascii="Calibri" w:eastAsia="Calibri" w:hAnsi="Calibri" w:cs="Calibri"/>
                <w:sz w:val="16"/>
                <w:szCs w:val="16"/>
              </w:rPr>
            </w:pPr>
            <w:r w:rsidRPr="25447658">
              <w:rPr>
                <w:rFonts w:ascii="Calibri" w:eastAsia="Calibri" w:hAnsi="Calibri" w:cs="Calibri"/>
                <w:sz w:val="16"/>
                <w:szCs w:val="16"/>
              </w:rPr>
              <w:t xml:space="preserve">21.5 </w:t>
            </w:r>
          </w:p>
        </w:tc>
        <w:tc>
          <w:tcPr>
            <w:tcW w:w="735" w:type="dxa"/>
            <w:tcBorders>
              <w:top w:val="single" w:sz="8" w:space="0" w:color="auto"/>
              <w:left w:val="single" w:sz="8" w:space="0" w:color="auto"/>
              <w:bottom w:val="single" w:sz="8" w:space="0" w:color="auto"/>
              <w:right w:val="single" w:sz="8" w:space="0" w:color="auto"/>
            </w:tcBorders>
            <w:shd w:val="clear" w:color="auto" w:fill="FFFFFF" w:themeFill="background1"/>
          </w:tcPr>
          <w:p w14:paraId="05930100" w14:textId="5B749FFF" w:rsidR="25447658" w:rsidRDefault="25447658" w:rsidP="003E0ECB">
            <w:pPr>
              <w:jc w:val="center"/>
              <w:rPr>
                <w:rFonts w:ascii="Calibri" w:eastAsia="Calibri" w:hAnsi="Calibri" w:cs="Calibri"/>
                <w:sz w:val="16"/>
                <w:szCs w:val="16"/>
              </w:rPr>
            </w:pPr>
            <w:r w:rsidRPr="25447658">
              <w:rPr>
                <w:rFonts w:ascii="Calibri" w:eastAsia="Calibri" w:hAnsi="Calibri" w:cs="Calibri"/>
                <w:sz w:val="16"/>
                <w:szCs w:val="16"/>
              </w:rPr>
              <w:t>7.</w:t>
            </w:r>
            <w:r w:rsidR="4CCEC16C" w:rsidRPr="5F3EA9C0">
              <w:rPr>
                <w:rFonts w:ascii="Calibri" w:eastAsia="Calibri" w:hAnsi="Calibri" w:cs="Calibri"/>
                <w:sz w:val="16"/>
                <w:szCs w:val="16"/>
              </w:rPr>
              <w:t>1</w:t>
            </w:r>
            <w:r w:rsidR="73C67303" w:rsidRPr="5F3EA9C0">
              <w:rPr>
                <w:rFonts w:ascii="Calibri" w:eastAsia="Calibri" w:hAnsi="Calibri" w:cs="Calibri"/>
                <w:sz w:val="16"/>
                <w:szCs w:val="16"/>
              </w:rPr>
              <w:t>236</w:t>
            </w:r>
          </w:p>
        </w:tc>
        <w:tc>
          <w:tcPr>
            <w:tcW w:w="855" w:type="dxa"/>
            <w:tcBorders>
              <w:top w:val="single" w:sz="8" w:space="0" w:color="auto"/>
              <w:left w:val="single" w:sz="8" w:space="0" w:color="auto"/>
              <w:bottom w:val="single" w:sz="8" w:space="0" w:color="auto"/>
              <w:right w:val="single" w:sz="8" w:space="0" w:color="auto"/>
            </w:tcBorders>
            <w:shd w:val="clear" w:color="auto" w:fill="FFFFFF" w:themeFill="background1"/>
          </w:tcPr>
          <w:p w14:paraId="48C671DB" w14:textId="5A9ADC9C" w:rsidR="25447658" w:rsidRDefault="25447658" w:rsidP="003E0ECB">
            <w:pPr>
              <w:jc w:val="center"/>
              <w:rPr>
                <w:rFonts w:ascii="Calibri" w:eastAsia="Calibri" w:hAnsi="Calibri" w:cs="Calibri"/>
                <w:sz w:val="16"/>
                <w:szCs w:val="16"/>
              </w:rPr>
            </w:pPr>
            <w:r w:rsidRPr="25447658">
              <w:rPr>
                <w:rFonts w:ascii="Calibri" w:eastAsia="Calibri" w:hAnsi="Calibri" w:cs="Calibri"/>
                <w:sz w:val="16"/>
                <w:szCs w:val="16"/>
              </w:rPr>
              <w:t>7</w:t>
            </w:r>
          </w:p>
        </w:tc>
        <w:tc>
          <w:tcPr>
            <w:tcW w:w="735" w:type="dxa"/>
            <w:tcBorders>
              <w:top w:val="single" w:sz="8" w:space="0" w:color="auto"/>
              <w:left w:val="single" w:sz="8" w:space="0" w:color="auto"/>
              <w:bottom w:val="single" w:sz="8" w:space="0" w:color="auto"/>
              <w:right w:val="single" w:sz="8" w:space="0" w:color="auto"/>
            </w:tcBorders>
            <w:shd w:val="clear" w:color="auto" w:fill="FFFFFF" w:themeFill="background1"/>
          </w:tcPr>
          <w:p w14:paraId="5C5FF702" w14:textId="1635B699" w:rsidR="25447658" w:rsidRDefault="25447658" w:rsidP="003E0ECB">
            <w:pPr>
              <w:jc w:val="center"/>
              <w:rPr>
                <w:rFonts w:ascii="Calibri" w:eastAsia="Calibri" w:hAnsi="Calibri" w:cs="Calibri"/>
                <w:sz w:val="16"/>
                <w:szCs w:val="16"/>
              </w:rPr>
            </w:pPr>
            <w:r w:rsidRPr="25447658">
              <w:rPr>
                <w:rFonts w:ascii="Calibri" w:eastAsia="Calibri" w:hAnsi="Calibri" w:cs="Calibri"/>
                <w:sz w:val="16"/>
                <w:szCs w:val="16"/>
              </w:rPr>
              <w:t>7.</w:t>
            </w:r>
            <w:r w:rsidR="4CCEC16C" w:rsidRPr="5F3EA9C0">
              <w:rPr>
                <w:rFonts w:ascii="Calibri" w:eastAsia="Calibri" w:hAnsi="Calibri" w:cs="Calibri"/>
                <w:sz w:val="16"/>
                <w:szCs w:val="16"/>
              </w:rPr>
              <w:t>1</w:t>
            </w:r>
            <w:r w:rsidR="101A4AF2" w:rsidRPr="5F3EA9C0">
              <w:rPr>
                <w:rFonts w:ascii="Calibri" w:eastAsia="Calibri" w:hAnsi="Calibri" w:cs="Calibri"/>
                <w:sz w:val="16"/>
                <w:szCs w:val="16"/>
              </w:rPr>
              <w:t>236</w:t>
            </w:r>
          </w:p>
        </w:tc>
        <w:tc>
          <w:tcPr>
            <w:tcW w:w="765" w:type="dxa"/>
            <w:tcBorders>
              <w:top w:val="single" w:sz="8" w:space="0" w:color="auto"/>
              <w:left w:val="single" w:sz="8" w:space="0" w:color="auto"/>
              <w:bottom w:val="single" w:sz="8" w:space="0" w:color="auto"/>
              <w:right w:val="single" w:sz="8" w:space="0" w:color="auto"/>
            </w:tcBorders>
            <w:shd w:val="clear" w:color="auto" w:fill="FFFFFF" w:themeFill="background1"/>
          </w:tcPr>
          <w:p w14:paraId="5A7B2B1E" w14:textId="34D4EACB" w:rsidR="25447658" w:rsidRDefault="25447658" w:rsidP="003E0ECB">
            <w:pPr>
              <w:jc w:val="center"/>
              <w:rPr>
                <w:rFonts w:ascii="Calibri" w:eastAsia="Calibri" w:hAnsi="Calibri" w:cs="Calibri"/>
                <w:sz w:val="16"/>
                <w:szCs w:val="16"/>
              </w:rPr>
            </w:pPr>
            <w:r w:rsidRPr="25447658">
              <w:rPr>
                <w:rFonts w:ascii="Calibri" w:eastAsia="Calibri" w:hAnsi="Calibri" w:cs="Calibri"/>
                <w:sz w:val="16"/>
                <w:szCs w:val="16"/>
              </w:rPr>
              <w:t>0.</w:t>
            </w:r>
            <w:r w:rsidR="4CCEC16C" w:rsidRPr="5F3EA9C0">
              <w:rPr>
                <w:rFonts w:ascii="Calibri" w:eastAsia="Calibri" w:hAnsi="Calibri" w:cs="Calibri"/>
                <w:sz w:val="16"/>
                <w:szCs w:val="16"/>
              </w:rPr>
              <w:t>2</w:t>
            </w:r>
            <w:r w:rsidR="140537C1" w:rsidRPr="5F3EA9C0">
              <w:rPr>
                <w:rFonts w:ascii="Calibri" w:eastAsia="Calibri" w:hAnsi="Calibri" w:cs="Calibri"/>
                <w:sz w:val="16"/>
                <w:szCs w:val="16"/>
              </w:rPr>
              <w:t>528</w:t>
            </w:r>
            <w:r w:rsidRPr="25447658">
              <w:rPr>
                <w:rFonts w:ascii="Calibri" w:eastAsia="Calibri" w:hAnsi="Calibri" w:cs="Calibri"/>
                <w:sz w:val="16"/>
                <w:szCs w:val="16"/>
              </w:rPr>
              <w:t xml:space="preserve"> </w:t>
            </w:r>
          </w:p>
          <w:p w14:paraId="422FD8E8" w14:textId="53A84340" w:rsidR="25447658" w:rsidRDefault="25447658" w:rsidP="003E0ECB">
            <w:pPr>
              <w:jc w:val="center"/>
              <w:rPr>
                <w:rFonts w:ascii="Calibri" w:eastAsia="Calibri" w:hAnsi="Calibri" w:cs="Calibri"/>
                <w:sz w:val="16"/>
                <w:szCs w:val="16"/>
              </w:rPr>
            </w:pPr>
            <w:r w:rsidRPr="25447658">
              <w:rPr>
                <w:rFonts w:ascii="Calibri" w:eastAsia="Calibri" w:hAnsi="Calibri" w:cs="Calibri"/>
                <w:sz w:val="16"/>
                <w:szCs w:val="16"/>
              </w:rPr>
              <w:t xml:space="preserve"> </w:t>
            </w:r>
          </w:p>
        </w:tc>
      </w:tr>
      <w:tr w:rsidR="002F6B7A" w14:paraId="5F72A70A" w14:textId="77777777" w:rsidTr="62747982">
        <w:trPr>
          <w:trHeight w:val="300"/>
        </w:trPr>
        <w:tc>
          <w:tcPr>
            <w:tcW w:w="236" w:type="dxa"/>
            <w:tcBorders>
              <w:top w:val="single" w:sz="8" w:space="0" w:color="auto"/>
              <w:left w:val="single" w:sz="8" w:space="0" w:color="auto"/>
              <w:bottom w:val="single" w:sz="8" w:space="0" w:color="auto"/>
              <w:right w:val="single" w:sz="8" w:space="0" w:color="auto"/>
            </w:tcBorders>
            <w:shd w:val="clear" w:color="auto" w:fill="D9D9D9" w:themeFill="background1" w:themeFillShade="D9"/>
          </w:tcPr>
          <w:p w14:paraId="78C18D9C" w14:textId="0DAD2836" w:rsidR="25447658" w:rsidRDefault="25447658" w:rsidP="007B39E9">
            <w:pPr>
              <w:jc w:val="center"/>
              <w:rPr>
                <w:rFonts w:ascii="Calibri" w:eastAsia="Calibri" w:hAnsi="Calibri" w:cs="Calibri"/>
                <w:sz w:val="16"/>
                <w:szCs w:val="16"/>
              </w:rPr>
            </w:pPr>
            <w:r w:rsidRPr="25447658">
              <w:rPr>
                <w:rFonts w:ascii="Calibri" w:eastAsia="Calibri" w:hAnsi="Calibri" w:cs="Calibri"/>
                <w:sz w:val="16"/>
                <w:szCs w:val="16"/>
              </w:rPr>
              <w:t xml:space="preserve">2 </w:t>
            </w:r>
          </w:p>
        </w:tc>
        <w:tc>
          <w:tcPr>
            <w:tcW w:w="1575" w:type="dxa"/>
            <w:tcBorders>
              <w:top w:val="single" w:sz="8" w:space="0" w:color="auto"/>
              <w:left w:val="single" w:sz="8" w:space="0" w:color="auto"/>
              <w:bottom w:val="single" w:sz="8" w:space="0" w:color="auto"/>
              <w:right w:val="single" w:sz="8" w:space="0" w:color="auto"/>
            </w:tcBorders>
            <w:shd w:val="clear" w:color="auto" w:fill="FFFFFF" w:themeFill="background1"/>
          </w:tcPr>
          <w:p w14:paraId="71BE09E8" w14:textId="29FB67DA" w:rsidR="25447658" w:rsidRDefault="25447658">
            <w:r w:rsidRPr="25447658">
              <w:rPr>
                <w:rFonts w:ascii="Calibri" w:eastAsia="Calibri" w:hAnsi="Calibri" w:cs="Calibri"/>
                <w:sz w:val="16"/>
                <w:szCs w:val="16"/>
              </w:rPr>
              <w:t>MINAGRIP / PND Program # 2.3.2: Promoting Agricultural Production</w:t>
            </w:r>
            <w:r w:rsidRPr="25447658">
              <w:rPr>
                <w:rFonts w:ascii="Calibri" w:eastAsia="Calibri" w:hAnsi="Calibri" w:cs="Calibri"/>
                <w:sz w:val="16"/>
                <w:szCs w:val="16"/>
                <w:lang w:val="en-US"/>
              </w:rPr>
              <w:t xml:space="preserve"> </w:t>
            </w:r>
          </w:p>
        </w:tc>
        <w:tc>
          <w:tcPr>
            <w:tcW w:w="765" w:type="dxa"/>
            <w:tcBorders>
              <w:top w:val="single" w:sz="8" w:space="0" w:color="auto"/>
              <w:left w:val="single" w:sz="8" w:space="0" w:color="auto"/>
              <w:bottom w:val="single" w:sz="8" w:space="0" w:color="auto"/>
              <w:right w:val="single" w:sz="8" w:space="0" w:color="auto"/>
            </w:tcBorders>
          </w:tcPr>
          <w:p w14:paraId="64378332" w14:textId="15115ECB" w:rsidR="25447658" w:rsidRDefault="25447658" w:rsidP="007B39E9">
            <w:pPr>
              <w:jc w:val="center"/>
              <w:rPr>
                <w:rFonts w:ascii="Calibri" w:eastAsia="Calibri" w:hAnsi="Calibri" w:cs="Calibri"/>
                <w:sz w:val="16"/>
                <w:szCs w:val="16"/>
              </w:rPr>
            </w:pPr>
            <w:r w:rsidRPr="25447658">
              <w:rPr>
                <w:rFonts w:ascii="Calibri" w:eastAsia="Calibri" w:hAnsi="Calibri" w:cs="Calibri"/>
                <w:sz w:val="16"/>
                <w:szCs w:val="16"/>
              </w:rPr>
              <w:t xml:space="preserve">2 </w:t>
            </w:r>
          </w:p>
        </w:tc>
        <w:tc>
          <w:tcPr>
            <w:tcW w:w="645" w:type="dxa"/>
            <w:tcBorders>
              <w:top w:val="single" w:sz="8" w:space="0" w:color="auto"/>
              <w:left w:val="single" w:sz="8" w:space="0" w:color="auto"/>
              <w:bottom w:val="single" w:sz="8" w:space="0" w:color="auto"/>
              <w:right w:val="single" w:sz="8" w:space="0" w:color="auto"/>
            </w:tcBorders>
            <w:shd w:val="clear" w:color="auto" w:fill="D9D9D9" w:themeFill="background1" w:themeFillShade="D9"/>
          </w:tcPr>
          <w:p w14:paraId="55CBDF0F" w14:textId="7357D7EA" w:rsidR="25447658" w:rsidRDefault="25447658" w:rsidP="007B39E9">
            <w:pPr>
              <w:jc w:val="center"/>
              <w:rPr>
                <w:rFonts w:ascii="Calibri" w:eastAsia="Calibri" w:hAnsi="Calibri" w:cs="Calibri"/>
                <w:sz w:val="16"/>
                <w:szCs w:val="16"/>
              </w:rPr>
            </w:pPr>
            <w:r w:rsidRPr="25447658">
              <w:rPr>
                <w:rFonts w:ascii="Calibri" w:eastAsia="Calibri" w:hAnsi="Calibri" w:cs="Calibri"/>
                <w:sz w:val="16"/>
                <w:szCs w:val="16"/>
              </w:rPr>
              <w:t xml:space="preserve">48.4 </w:t>
            </w:r>
          </w:p>
        </w:tc>
        <w:tc>
          <w:tcPr>
            <w:tcW w:w="705" w:type="dxa"/>
            <w:tcBorders>
              <w:top w:val="single" w:sz="8" w:space="0" w:color="auto"/>
              <w:left w:val="single" w:sz="8" w:space="0" w:color="auto"/>
              <w:bottom w:val="single" w:sz="8" w:space="0" w:color="auto"/>
              <w:right w:val="single" w:sz="8" w:space="0" w:color="auto"/>
            </w:tcBorders>
          </w:tcPr>
          <w:p w14:paraId="134A9489" w14:textId="0946F604" w:rsidR="25447658" w:rsidRDefault="25447658" w:rsidP="007B39E9">
            <w:pPr>
              <w:jc w:val="center"/>
              <w:rPr>
                <w:rFonts w:ascii="Calibri" w:eastAsia="Calibri" w:hAnsi="Calibri" w:cs="Calibri"/>
                <w:sz w:val="16"/>
                <w:szCs w:val="16"/>
              </w:rPr>
            </w:pPr>
            <w:r w:rsidRPr="25447658">
              <w:rPr>
                <w:rFonts w:ascii="Calibri" w:eastAsia="Calibri" w:hAnsi="Calibri" w:cs="Calibri"/>
                <w:sz w:val="16"/>
                <w:szCs w:val="16"/>
              </w:rPr>
              <w:t xml:space="preserve">0.0 </w:t>
            </w:r>
          </w:p>
        </w:tc>
        <w:tc>
          <w:tcPr>
            <w:tcW w:w="585" w:type="dxa"/>
            <w:tcBorders>
              <w:top w:val="single" w:sz="8" w:space="0" w:color="auto"/>
              <w:left w:val="single" w:sz="8" w:space="0" w:color="auto"/>
              <w:bottom w:val="single" w:sz="8" w:space="0" w:color="auto"/>
              <w:right w:val="single" w:sz="8" w:space="0" w:color="auto"/>
            </w:tcBorders>
          </w:tcPr>
          <w:p w14:paraId="56565235" w14:textId="081E0308" w:rsidR="25447658" w:rsidRDefault="25447658" w:rsidP="007B39E9">
            <w:pPr>
              <w:jc w:val="center"/>
              <w:rPr>
                <w:rFonts w:ascii="Calibri" w:eastAsia="Calibri" w:hAnsi="Calibri" w:cs="Calibri"/>
                <w:sz w:val="16"/>
                <w:szCs w:val="16"/>
              </w:rPr>
            </w:pPr>
            <w:r w:rsidRPr="25447658">
              <w:rPr>
                <w:rFonts w:ascii="Calibri" w:eastAsia="Calibri" w:hAnsi="Calibri" w:cs="Calibri"/>
                <w:sz w:val="16"/>
                <w:szCs w:val="16"/>
              </w:rPr>
              <w:t xml:space="preserve">48.4 </w:t>
            </w:r>
          </w:p>
        </w:tc>
        <w:tc>
          <w:tcPr>
            <w:tcW w:w="540" w:type="dxa"/>
            <w:tcBorders>
              <w:top w:val="single" w:sz="8" w:space="0" w:color="auto"/>
              <w:left w:val="single" w:sz="8" w:space="0" w:color="auto"/>
              <w:bottom w:val="single" w:sz="8" w:space="0" w:color="auto"/>
              <w:right w:val="single" w:sz="8" w:space="0" w:color="auto"/>
            </w:tcBorders>
          </w:tcPr>
          <w:p w14:paraId="3059BC5D" w14:textId="0648789E" w:rsidR="25447658" w:rsidRDefault="25447658" w:rsidP="007B39E9">
            <w:pPr>
              <w:jc w:val="center"/>
              <w:rPr>
                <w:rFonts w:ascii="Calibri" w:eastAsia="Calibri" w:hAnsi="Calibri" w:cs="Calibri"/>
                <w:sz w:val="16"/>
                <w:szCs w:val="16"/>
              </w:rPr>
            </w:pPr>
            <w:r w:rsidRPr="25447658">
              <w:rPr>
                <w:rFonts w:ascii="Calibri" w:eastAsia="Calibri" w:hAnsi="Calibri" w:cs="Calibri"/>
                <w:sz w:val="16"/>
                <w:szCs w:val="16"/>
              </w:rPr>
              <w:t xml:space="preserve">0.0 </w:t>
            </w:r>
          </w:p>
        </w:tc>
        <w:tc>
          <w:tcPr>
            <w:tcW w:w="825" w:type="dxa"/>
            <w:tcBorders>
              <w:top w:val="single" w:sz="8" w:space="0" w:color="auto"/>
              <w:left w:val="single" w:sz="8" w:space="0" w:color="auto"/>
              <w:bottom w:val="single" w:sz="8" w:space="0" w:color="auto"/>
              <w:right w:val="single" w:sz="8" w:space="0" w:color="auto"/>
            </w:tcBorders>
            <w:shd w:val="clear" w:color="auto" w:fill="D9D9D9" w:themeFill="background1" w:themeFillShade="D9"/>
          </w:tcPr>
          <w:p w14:paraId="4078A57A" w14:textId="3884736D" w:rsidR="25447658" w:rsidRDefault="25447658" w:rsidP="007B39E9">
            <w:pPr>
              <w:jc w:val="center"/>
              <w:rPr>
                <w:rFonts w:ascii="Calibri" w:eastAsia="Calibri" w:hAnsi="Calibri" w:cs="Calibri"/>
                <w:sz w:val="16"/>
                <w:szCs w:val="16"/>
              </w:rPr>
            </w:pPr>
            <w:r w:rsidRPr="25447658">
              <w:rPr>
                <w:rFonts w:ascii="Calibri" w:eastAsia="Calibri" w:hAnsi="Calibri" w:cs="Calibri"/>
                <w:sz w:val="16"/>
                <w:szCs w:val="16"/>
              </w:rPr>
              <w:t xml:space="preserve">10.0 </w:t>
            </w:r>
          </w:p>
        </w:tc>
        <w:tc>
          <w:tcPr>
            <w:tcW w:w="735" w:type="dxa"/>
            <w:tcBorders>
              <w:top w:val="single" w:sz="8" w:space="0" w:color="auto"/>
              <w:left w:val="single" w:sz="8" w:space="0" w:color="auto"/>
              <w:bottom w:val="single" w:sz="8" w:space="0" w:color="auto"/>
              <w:right w:val="single" w:sz="8" w:space="0" w:color="auto"/>
            </w:tcBorders>
            <w:shd w:val="clear" w:color="auto" w:fill="FFFFFF" w:themeFill="background1"/>
          </w:tcPr>
          <w:p w14:paraId="02F5C24A" w14:textId="4F9D1E78" w:rsidR="25447658" w:rsidRDefault="25447658" w:rsidP="007B39E9">
            <w:pPr>
              <w:jc w:val="center"/>
              <w:rPr>
                <w:rFonts w:ascii="Calibri" w:eastAsia="Calibri" w:hAnsi="Calibri" w:cs="Calibri"/>
                <w:sz w:val="16"/>
                <w:szCs w:val="16"/>
              </w:rPr>
            </w:pPr>
            <w:r w:rsidRPr="25447658">
              <w:rPr>
                <w:rFonts w:ascii="Calibri" w:eastAsia="Calibri" w:hAnsi="Calibri" w:cs="Calibri"/>
                <w:sz w:val="16"/>
                <w:szCs w:val="16"/>
              </w:rPr>
              <w:t xml:space="preserve">0.0 </w:t>
            </w:r>
          </w:p>
        </w:tc>
        <w:tc>
          <w:tcPr>
            <w:tcW w:w="855" w:type="dxa"/>
            <w:tcBorders>
              <w:top w:val="single" w:sz="8" w:space="0" w:color="auto"/>
              <w:left w:val="single" w:sz="8" w:space="0" w:color="auto"/>
              <w:bottom w:val="single" w:sz="8" w:space="0" w:color="auto"/>
              <w:right w:val="single" w:sz="8" w:space="0" w:color="auto"/>
            </w:tcBorders>
            <w:shd w:val="clear" w:color="auto" w:fill="FFFFFF" w:themeFill="background1"/>
          </w:tcPr>
          <w:p w14:paraId="6980F727" w14:textId="7E352421" w:rsidR="25447658" w:rsidRDefault="25447658" w:rsidP="007B39E9">
            <w:pPr>
              <w:jc w:val="center"/>
              <w:rPr>
                <w:rFonts w:ascii="Calibri" w:eastAsia="Calibri" w:hAnsi="Calibri" w:cs="Calibri"/>
                <w:sz w:val="16"/>
                <w:szCs w:val="16"/>
              </w:rPr>
            </w:pPr>
            <w:r w:rsidRPr="25447658">
              <w:rPr>
                <w:rFonts w:ascii="Calibri" w:eastAsia="Calibri" w:hAnsi="Calibri" w:cs="Calibri"/>
                <w:sz w:val="16"/>
                <w:szCs w:val="16"/>
              </w:rPr>
              <w:t xml:space="preserve">9.81 </w:t>
            </w:r>
          </w:p>
        </w:tc>
        <w:tc>
          <w:tcPr>
            <w:tcW w:w="735" w:type="dxa"/>
            <w:tcBorders>
              <w:top w:val="single" w:sz="8" w:space="0" w:color="auto"/>
              <w:left w:val="single" w:sz="8" w:space="0" w:color="auto"/>
              <w:bottom w:val="single" w:sz="8" w:space="0" w:color="auto"/>
              <w:right w:val="single" w:sz="8" w:space="0" w:color="auto"/>
            </w:tcBorders>
            <w:shd w:val="clear" w:color="auto" w:fill="FFFFFF" w:themeFill="background1"/>
          </w:tcPr>
          <w:p w14:paraId="04105A29" w14:textId="340EDA37" w:rsidR="25447658" w:rsidRDefault="25447658" w:rsidP="007B39E9">
            <w:pPr>
              <w:jc w:val="center"/>
              <w:rPr>
                <w:rFonts w:ascii="Calibri" w:eastAsia="Calibri" w:hAnsi="Calibri" w:cs="Calibri"/>
                <w:sz w:val="16"/>
                <w:szCs w:val="16"/>
              </w:rPr>
            </w:pPr>
            <w:r w:rsidRPr="25447658">
              <w:rPr>
                <w:rFonts w:ascii="Calibri" w:eastAsia="Calibri" w:hAnsi="Calibri" w:cs="Calibri"/>
                <w:sz w:val="16"/>
                <w:szCs w:val="16"/>
              </w:rPr>
              <w:t xml:space="preserve">0.0 </w:t>
            </w:r>
          </w:p>
        </w:tc>
        <w:tc>
          <w:tcPr>
            <w:tcW w:w="765" w:type="dxa"/>
            <w:tcBorders>
              <w:top w:val="single" w:sz="8" w:space="0" w:color="auto"/>
              <w:left w:val="single" w:sz="8" w:space="0" w:color="auto"/>
              <w:bottom w:val="single" w:sz="8" w:space="0" w:color="auto"/>
              <w:right w:val="single" w:sz="8" w:space="0" w:color="auto"/>
            </w:tcBorders>
            <w:shd w:val="clear" w:color="auto" w:fill="FFFFFF" w:themeFill="background1"/>
          </w:tcPr>
          <w:p w14:paraId="65FA8D56" w14:textId="00E5A4D1" w:rsidR="25447658" w:rsidRDefault="25447658" w:rsidP="007B39E9">
            <w:pPr>
              <w:jc w:val="center"/>
              <w:rPr>
                <w:rFonts w:ascii="Calibri" w:eastAsia="Calibri" w:hAnsi="Calibri" w:cs="Calibri"/>
                <w:sz w:val="16"/>
                <w:szCs w:val="16"/>
              </w:rPr>
            </w:pPr>
            <w:r w:rsidRPr="25447658">
              <w:rPr>
                <w:rFonts w:ascii="Calibri" w:eastAsia="Calibri" w:hAnsi="Calibri" w:cs="Calibri"/>
                <w:sz w:val="16"/>
                <w:szCs w:val="16"/>
              </w:rPr>
              <w:t xml:space="preserve">0.19 </w:t>
            </w:r>
          </w:p>
          <w:p w14:paraId="4F7B3135" w14:textId="35D8F711" w:rsidR="25447658" w:rsidRDefault="25447658" w:rsidP="007B39E9">
            <w:pPr>
              <w:jc w:val="center"/>
              <w:rPr>
                <w:rFonts w:ascii="Calibri" w:eastAsia="Calibri" w:hAnsi="Calibri" w:cs="Calibri"/>
                <w:sz w:val="16"/>
                <w:szCs w:val="16"/>
              </w:rPr>
            </w:pPr>
            <w:r w:rsidRPr="25447658">
              <w:rPr>
                <w:rFonts w:ascii="Calibri" w:eastAsia="Calibri" w:hAnsi="Calibri" w:cs="Calibri"/>
                <w:sz w:val="16"/>
                <w:szCs w:val="16"/>
              </w:rPr>
              <w:t xml:space="preserve"> </w:t>
            </w:r>
          </w:p>
        </w:tc>
      </w:tr>
      <w:tr w:rsidR="002F6B7A" w14:paraId="75AF1D68" w14:textId="77777777" w:rsidTr="62747982">
        <w:trPr>
          <w:trHeight w:val="300"/>
        </w:trPr>
        <w:tc>
          <w:tcPr>
            <w:tcW w:w="236" w:type="dxa"/>
            <w:tcBorders>
              <w:top w:val="single" w:sz="8" w:space="0" w:color="auto"/>
              <w:left w:val="single" w:sz="8" w:space="0" w:color="auto"/>
              <w:bottom w:val="single" w:sz="8" w:space="0" w:color="auto"/>
              <w:right w:val="single" w:sz="8" w:space="0" w:color="auto"/>
            </w:tcBorders>
            <w:shd w:val="clear" w:color="auto" w:fill="D9D9D9" w:themeFill="background1" w:themeFillShade="D9"/>
          </w:tcPr>
          <w:p w14:paraId="12D5F381" w14:textId="559C8310" w:rsidR="25447658" w:rsidRDefault="25447658" w:rsidP="007B39E9">
            <w:pPr>
              <w:jc w:val="center"/>
              <w:rPr>
                <w:rFonts w:ascii="Calibri" w:eastAsia="Calibri" w:hAnsi="Calibri" w:cs="Calibri"/>
                <w:sz w:val="16"/>
                <w:szCs w:val="16"/>
                <w:lang w:val="en-US"/>
              </w:rPr>
            </w:pPr>
            <w:r w:rsidRPr="25447658">
              <w:rPr>
                <w:rFonts w:ascii="Calibri" w:eastAsia="Calibri" w:hAnsi="Calibri" w:cs="Calibri"/>
                <w:sz w:val="16"/>
                <w:szCs w:val="16"/>
              </w:rPr>
              <w:t>3</w:t>
            </w:r>
            <w:r w:rsidRPr="25447658">
              <w:rPr>
                <w:rFonts w:ascii="Calibri" w:eastAsia="Calibri" w:hAnsi="Calibri" w:cs="Calibri"/>
                <w:sz w:val="16"/>
                <w:szCs w:val="16"/>
                <w:lang w:val="en-US"/>
              </w:rPr>
              <w:t xml:space="preserve"> </w:t>
            </w:r>
          </w:p>
        </w:tc>
        <w:tc>
          <w:tcPr>
            <w:tcW w:w="1575" w:type="dxa"/>
            <w:tcBorders>
              <w:top w:val="single" w:sz="8" w:space="0" w:color="auto"/>
              <w:left w:val="single" w:sz="8" w:space="0" w:color="auto"/>
              <w:bottom w:val="single" w:sz="8" w:space="0" w:color="auto"/>
              <w:right w:val="single" w:sz="8" w:space="0" w:color="auto"/>
            </w:tcBorders>
            <w:shd w:val="clear" w:color="auto" w:fill="FFFFFF" w:themeFill="background1"/>
          </w:tcPr>
          <w:p w14:paraId="75DFDF8B" w14:textId="00CFF7FB" w:rsidR="25447658" w:rsidRDefault="25447658">
            <w:r w:rsidRPr="25447658">
              <w:rPr>
                <w:rFonts w:ascii="Calibri" w:eastAsia="Calibri" w:hAnsi="Calibri" w:cs="Calibri"/>
                <w:sz w:val="16"/>
                <w:szCs w:val="16"/>
              </w:rPr>
              <w:t>MINAGRIP (DNF) / PND Program # 2.3.4: Promoting the Sustainable Use and Management of Forest Resources</w:t>
            </w:r>
            <w:r w:rsidRPr="25447658">
              <w:rPr>
                <w:rFonts w:ascii="Calibri" w:eastAsia="Calibri" w:hAnsi="Calibri" w:cs="Calibri"/>
                <w:sz w:val="16"/>
                <w:szCs w:val="16"/>
                <w:lang w:val="en-US"/>
              </w:rPr>
              <w:t xml:space="preserve"> </w:t>
            </w:r>
          </w:p>
        </w:tc>
        <w:tc>
          <w:tcPr>
            <w:tcW w:w="765" w:type="dxa"/>
            <w:tcBorders>
              <w:top w:val="single" w:sz="8" w:space="0" w:color="auto"/>
              <w:left w:val="single" w:sz="8" w:space="0" w:color="auto"/>
              <w:bottom w:val="single" w:sz="8" w:space="0" w:color="auto"/>
              <w:right w:val="single" w:sz="8" w:space="0" w:color="auto"/>
            </w:tcBorders>
          </w:tcPr>
          <w:p w14:paraId="16E340F1" w14:textId="42557284" w:rsidR="25447658" w:rsidRDefault="25447658" w:rsidP="007B39E9">
            <w:pPr>
              <w:jc w:val="center"/>
              <w:rPr>
                <w:rFonts w:ascii="Calibri" w:eastAsia="Calibri" w:hAnsi="Calibri" w:cs="Calibri"/>
                <w:sz w:val="16"/>
                <w:szCs w:val="16"/>
                <w:lang w:val="en-US"/>
              </w:rPr>
            </w:pPr>
            <w:r w:rsidRPr="25447658">
              <w:rPr>
                <w:rFonts w:ascii="Calibri" w:eastAsia="Calibri" w:hAnsi="Calibri" w:cs="Calibri"/>
                <w:sz w:val="16"/>
                <w:szCs w:val="16"/>
              </w:rPr>
              <w:t>1</w:t>
            </w:r>
            <w:r w:rsidRPr="25447658">
              <w:rPr>
                <w:rFonts w:ascii="Calibri" w:eastAsia="Calibri" w:hAnsi="Calibri" w:cs="Calibri"/>
                <w:sz w:val="16"/>
                <w:szCs w:val="16"/>
                <w:lang w:val="en-US"/>
              </w:rPr>
              <w:t xml:space="preserve"> </w:t>
            </w:r>
          </w:p>
        </w:tc>
        <w:tc>
          <w:tcPr>
            <w:tcW w:w="645" w:type="dxa"/>
            <w:tcBorders>
              <w:top w:val="single" w:sz="8" w:space="0" w:color="auto"/>
              <w:left w:val="single" w:sz="8" w:space="0" w:color="auto"/>
              <w:bottom w:val="single" w:sz="8" w:space="0" w:color="auto"/>
              <w:right w:val="single" w:sz="8" w:space="0" w:color="auto"/>
            </w:tcBorders>
            <w:shd w:val="clear" w:color="auto" w:fill="D9D9D9" w:themeFill="background1" w:themeFillShade="D9"/>
          </w:tcPr>
          <w:p w14:paraId="713AF5FD" w14:textId="22FEC4F0" w:rsidR="25447658" w:rsidRDefault="25447658" w:rsidP="007B39E9">
            <w:pPr>
              <w:jc w:val="center"/>
              <w:rPr>
                <w:rFonts w:ascii="Calibri" w:eastAsia="Calibri" w:hAnsi="Calibri" w:cs="Calibri"/>
                <w:sz w:val="16"/>
                <w:szCs w:val="16"/>
              </w:rPr>
            </w:pPr>
            <w:r w:rsidRPr="25447658">
              <w:rPr>
                <w:rFonts w:ascii="Calibri" w:eastAsia="Calibri" w:hAnsi="Calibri" w:cs="Calibri"/>
                <w:sz w:val="16"/>
                <w:szCs w:val="16"/>
              </w:rPr>
              <w:t xml:space="preserve">2.2 </w:t>
            </w:r>
          </w:p>
        </w:tc>
        <w:tc>
          <w:tcPr>
            <w:tcW w:w="705" w:type="dxa"/>
            <w:tcBorders>
              <w:top w:val="single" w:sz="8" w:space="0" w:color="auto"/>
              <w:left w:val="single" w:sz="8" w:space="0" w:color="auto"/>
              <w:bottom w:val="single" w:sz="8" w:space="0" w:color="auto"/>
              <w:right w:val="single" w:sz="8" w:space="0" w:color="auto"/>
            </w:tcBorders>
          </w:tcPr>
          <w:p w14:paraId="7AFFBD8B" w14:textId="396AFD86" w:rsidR="25447658" w:rsidRDefault="25447658" w:rsidP="007B39E9">
            <w:pPr>
              <w:jc w:val="center"/>
              <w:rPr>
                <w:rFonts w:ascii="Calibri" w:eastAsia="Calibri" w:hAnsi="Calibri" w:cs="Calibri"/>
                <w:sz w:val="16"/>
                <w:szCs w:val="16"/>
              </w:rPr>
            </w:pPr>
            <w:r w:rsidRPr="25447658">
              <w:rPr>
                <w:rFonts w:ascii="Calibri" w:eastAsia="Calibri" w:hAnsi="Calibri" w:cs="Calibri"/>
                <w:sz w:val="16"/>
                <w:szCs w:val="16"/>
              </w:rPr>
              <w:t xml:space="preserve">2.2 </w:t>
            </w:r>
          </w:p>
        </w:tc>
        <w:tc>
          <w:tcPr>
            <w:tcW w:w="585" w:type="dxa"/>
            <w:tcBorders>
              <w:top w:val="single" w:sz="8" w:space="0" w:color="auto"/>
              <w:left w:val="single" w:sz="8" w:space="0" w:color="auto"/>
              <w:bottom w:val="single" w:sz="8" w:space="0" w:color="auto"/>
              <w:right w:val="single" w:sz="8" w:space="0" w:color="auto"/>
            </w:tcBorders>
          </w:tcPr>
          <w:p w14:paraId="5C7A95D7" w14:textId="44984437" w:rsidR="25447658" w:rsidRDefault="25447658" w:rsidP="007B39E9">
            <w:pPr>
              <w:jc w:val="center"/>
              <w:rPr>
                <w:rFonts w:ascii="Calibri" w:eastAsia="Calibri" w:hAnsi="Calibri" w:cs="Calibri"/>
                <w:sz w:val="16"/>
                <w:szCs w:val="16"/>
              </w:rPr>
            </w:pPr>
            <w:r w:rsidRPr="25447658">
              <w:rPr>
                <w:rFonts w:ascii="Calibri" w:eastAsia="Calibri" w:hAnsi="Calibri" w:cs="Calibri"/>
                <w:sz w:val="16"/>
                <w:szCs w:val="16"/>
              </w:rPr>
              <w:t xml:space="preserve">0.0 </w:t>
            </w:r>
          </w:p>
        </w:tc>
        <w:tc>
          <w:tcPr>
            <w:tcW w:w="540" w:type="dxa"/>
            <w:tcBorders>
              <w:top w:val="single" w:sz="8" w:space="0" w:color="auto"/>
              <w:left w:val="single" w:sz="8" w:space="0" w:color="auto"/>
              <w:bottom w:val="single" w:sz="8" w:space="0" w:color="auto"/>
              <w:right w:val="single" w:sz="8" w:space="0" w:color="auto"/>
            </w:tcBorders>
          </w:tcPr>
          <w:p w14:paraId="3BC2F04A" w14:textId="431962C2" w:rsidR="25447658" w:rsidRDefault="25447658" w:rsidP="007B39E9">
            <w:pPr>
              <w:jc w:val="center"/>
              <w:rPr>
                <w:rFonts w:ascii="Calibri" w:eastAsia="Calibri" w:hAnsi="Calibri" w:cs="Calibri"/>
                <w:sz w:val="16"/>
                <w:szCs w:val="16"/>
              </w:rPr>
            </w:pPr>
            <w:r w:rsidRPr="25447658">
              <w:rPr>
                <w:rFonts w:ascii="Calibri" w:eastAsia="Calibri" w:hAnsi="Calibri" w:cs="Calibri"/>
                <w:sz w:val="16"/>
                <w:szCs w:val="16"/>
              </w:rPr>
              <w:t xml:space="preserve">0.0 </w:t>
            </w:r>
          </w:p>
        </w:tc>
        <w:tc>
          <w:tcPr>
            <w:tcW w:w="825" w:type="dxa"/>
            <w:tcBorders>
              <w:top w:val="single" w:sz="8" w:space="0" w:color="auto"/>
              <w:left w:val="single" w:sz="8" w:space="0" w:color="auto"/>
              <w:bottom w:val="single" w:sz="8" w:space="0" w:color="auto"/>
              <w:right w:val="single" w:sz="8" w:space="0" w:color="auto"/>
            </w:tcBorders>
            <w:shd w:val="clear" w:color="auto" w:fill="D9D9D9" w:themeFill="background1" w:themeFillShade="D9"/>
          </w:tcPr>
          <w:p w14:paraId="02BACC55" w14:textId="6A183131" w:rsidR="25447658" w:rsidRDefault="25447658" w:rsidP="007B39E9">
            <w:pPr>
              <w:jc w:val="center"/>
              <w:rPr>
                <w:rFonts w:ascii="Calibri" w:eastAsia="Calibri" w:hAnsi="Calibri" w:cs="Calibri"/>
                <w:sz w:val="16"/>
                <w:szCs w:val="16"/>
              </w:rPr>
            </w:pPr>
            <w:r w:rsidRPr="25447658">
              <w:rPr>
                <w:rFonts w:ascii="Calibri" w:eastAsia="Calibri" w:hAnsi="Calibri" w:cs="Calibri"/>
                <w:sz w:val="16"/>
                <w:szCs w:val="16"/>
              </w:rPr>
              <w:t xml:space="preserve">0.5 </w:t>
            </w:r>
          </w:p>
        </w:tc>
        <w:tc>
          <w:tcPr>
            <w:tcW w:w="735" w:type="dxa"/>
            <w:tcBorders>
              <w:top w:val="single" w:sz="8" w:space="0" w:color="auto"/>
              <w:left w:val="single" w:sz="8" w:space="0" w:color="auto"/>
              <w:bottom w:val="single" w:sz="8" w:space="0" w:color="auto"/>
              <w:right w:val="single" w:sz="8" w:space="0" w:color="auto"/>
            </w:tcBorders>
            <w:shd w:val="clear" w:color="auto" w:fill="FFFFFF" w:themeFill="background1"/>
          </w:tcPr>
          <w:p w14:paraId="050248DA" w14:textId="358494D7" w:rsidR="25447658" w:rsidRDefault="25447658" w:rsidP="007B39E9">
            <w:pPr>
              <w:jc w:val="center"/>
              <w:rPr>
                <w:rFonts w:ascii="Calibri" w:eastAsia="Calibri" w:hAnsi="Calibri" w:cs="Calibri"/>
                <w:sz w:val="16"/>
                <w:szCs w:val="16"/>
              </w:rPr>
            </w:pPr>
            <w:r w:rsidRPr="25447658">
              <w:rPr>
                <w:rFonts w:ascii="Calibri" w:eastAsia="Calibri" w:hAnsi="Calibri" w:cs="Calibri"/>
                <w:sz w:val="16"/>
                <w:szCs w:val="16"/>
              </w:rPr>
              <w:t xml:space="preserve">0.4 </w:t>
            </w:r>
          </w:p>
        </w:tc>
        <w:tc>
          <w:tcPr>
            <w:tcW w:w="855" w:type="dxa"/>
            <w:tcBorders>
              <w:top w:val="single" w:sz="8" w:space="0" w:color="auto"/>
              <w:left w:val="single" w:sz="8" w:space="0" w:color="auto"/>
              <w:bottom w:val="single" w:sz="8" w:space="0" w:color="auto"/>
              <w:right w:val="single" w:sz="8" w:space="0" w:color="auto"/>
            </w:tcBorders>
            <w:shd w:val="clear" w:color="auto" w:fill="FFFFFF" w:themeFill="background1"/>
          </w:tcPr>
          <w:p w14:paraId="2C978EFE" w14:textId="57920252" w:rsidR="25447658" w:rsidRDefault="25447658" w:rsidP="007B39E9">
            <w:pPr>
              <w:jc w:val="center"/>
              <w:rPr>
                <w:rFonts w:ascii="Calibri" w:eastAsia="Calibri" w:hAnsi="Calibri" w:cs="Calibri"/>
                <w:sz w:val="16"/>
                <w:szCs w:val="16"/>
              </w:rPr>
            </w:pPr>
            <w:r w:rsidRPr="25447658">
              <w:rPr>
                <w:rFonts w:ascii="Calibri" w:eastAsia="Calibri" w:hAnsi="Calibri" w:cs="Calibri"/>
                <w:sz w:val="16"/>
                <w:szCs w:val="16"/>
              </w:rPr>
              <w:t xml:space="preserve">0.0 </w:t>
            </w:r>
          </w:p>
        </w:tc>
        <w:tc>
          <w:tcPr>
            <w:tcW w:w="735" w:type="dxa"/>
            <w:tcBorders>
              <w:top w:val="single" w:sz="8" w:space="0" w:color="auto"/>
              <w:left w:val="single" w:sz="8" w:space="0" w:color="auto"/>
              <w:bottom w:val="single" w:sz="8" w:space="0" w:color="auto"/>
              <w:right w:val="single" w:sz="8" w:space="0" w:color="auto"/>
            </w:tcBorders>
            <w:shd w:val="clear" w:color="auto" w:fill="FFFFFF" w:themeFill="background1"/>
          </w:tcPr>
          <w:p w14:paraId="2C67FF57" w14:textId="25590A69" w:rsidR="25447658" w:rsidRDefault="25447658" w:rsidP="007B39E9">
            <w:pPr>
              <w:jc w:val="center"/>
              <w:rPr>
                <w:rFonts w:ascii="Calibri" w:eastAsia="Calibri" w:hAnsi="Calibri" w:cs="Calibri"/>
                <w:sz w:val="16"/>
                <w:szCs w:val="16"/>
              </w:rPr>
            </w:pPr>
            <w:r w:rsidRPr="25447658">
              <w:rPr>
                <w:rFonts w:ascii="Calibri" w:eastAsia="Calibri" w:hAnsi="Calibri" w:cs="Calibri"/>
                <w:sz w:val="16"/>
                <w:szCs w:val="16"/>
              </w:rPr>
              <w:t xml:space="preserve">0.0 </w:t>
            </w:r>
          </w:p>
        </w:tc>
        <w:tc>
          <w:tcPr>
            <w:tcW w:w="765" w:type="dxa"/>
            <w:tcBorders>
              <w:top w:val="single" w:sz="8" w:space="0" w:color="auto"/>
              <w:left w:val="single" w:sz="8" w:space="0" w:color="auto"/>
              <w:bottom w:val="single" w:sz="8" w:space="0" w:color="auto"/>
              <w:right w:val="single" w:sz="8" w:space="0" w:color="auto"/>
            </w:tcBorders>
            <w:shd w:val="clear" w:color="auto" w:fill="FFFFFF" w:themeFill="background1"/>
          </w:tcPr>
          <w:p w14:paraId="08ACD824" w14:textId="7CD1D887" w:rsidR="25447658" w:rsidRDefault="25447658" w:rsidP="007B39E9">
            <w:pPr>
              <w:jc w:val="center"/>
              <w:rPr>
                <w:rFonts w:ascii="Calibri" w:eastAsia="Calibri" w:hAnsi="Calibri" w:cs="Calibri"/>
                <w:sz w:val="16"/>
                <w:szCs w:val="16"/>
              </w:rPr>
            </w:pPr>
            <w:r w:rsidRPr="25447658">
              <w:rPr>
                <w:rFonts w:ascii="Calibri" w:eastAsia="Calibri" w:hAnsi="Calibri" w:cs="Calibri"/>
                <w:sz w:val="16"/>
                <w:szCs w:val="16"/>
              </w:rPr>
              <w:t xml:space="preserve">0.1 </w:t>
            </w:r>
          </w:p>
          <w:p w14:paraId="1B800479" w14:textId="489B1424" w:rsidR="25447658" w:rsidRDefault="25447658" w:rsidP="007B39E9">
            <w:pPr>
              <w:jc w:val="center"/>
              <w:rPr>
                <w:rFonts w:ascii="Calibri" w:eastAsia="Calibri" w:hAnsi="Calibri" w:cs="Calibri"/>
                <w:sz w:val="16"/>
                <w:szCs w:val="16"/>
              </w:rPr>
            </w:pPr>
            <w:r w:rsidRPr="25447658">
              <w:rPr>
                <w:rFonts w:ascii="Calibri" w:eastAsia="Calibri" w:hAnsi="Calibri" w:cs="Calibri"/>
                <w:sz w:val="16"/>
                <w:szCs w:val="16"/>
              </w:rPr>
              <w:t xml:space="preserve"> </w:t>
            </w:r>
          </w:p>
        </w:tc>
      </w:tr>
      <w:tr w:rsidR="002F6B7A" w14:paraId="72069936" w14:textId="77777777" w:rsidTr="62747982">
        <w:trPr>
          <w:trHeight w:val="300"/>
        </w:trPr>
        <w:tc>
          <w:tcPr>
            <w:tcW w:w="236" w:type="dxa"/>
            <w:tcBorders>
              <w:top w:val="single" w:sz="8" w:space="0" w:color="auto"/>
              <w:left w:val="single" w:sz="8" w:space="0" w:color="auto"/>
              <w:bottom w:val="single" w:sz="8" w:space="0" w:color="auto"/>
              <w:right w:val="single" w:sz="8" w:space="0" w:color="auto"/>
            </w:tcBorders>
            <w:shd w:val="clear" w:color="auto" w:fill="D9D9D9" w:themeFill="background1" w:themeFillShade="D9"/>
          </w:tcPr>
          <w:p w14:paraId="6099FBAE" w14:textId="5241CDBD" w:rsidR="25447658" w:rsidRDefault="25447658" w:rsidP="007B39E9">
            <w:pPr>
              <w:jc w:val="center"/>
              <w:rPr>
                <w:rFonts w:ascii="Calibri" w:eastAsia="Calibri" w:hAnsi="Calibri" w:cs="Calibri"/>
                <w:sz w:val="16"/>
                <w:szCs w:val="16"/>
              </w:rPr>
            </w:pPr>
            <w:r w:rsidRPr="7B352EE4">
              <w:rPr>
                <w:rFonts w:ascii="Calibri" w:eastAsia="Calibri" w:hAnsi="Calibri" w:cs="Calibri"/>
                <w:sz w:val="16"/>
                <w:szCs w:val="16"/>
              </w:rPr>
              <w:t>4</w:t>
            </w:r>
            <w:r w:rsidRPr="25447658">
              <w:rPr>
                <w:rFonts w:ascii="Calibri" w:eastAsia="Calibri" w:hAnsi="Calibri" w:cs="Calibri"/>
                <w:sz w:val="16"/>
                <w:szCs w:val="16"/>
              </w:rPr>
              <w:t xml:space="preserve"> </w:t>
            </w:r>
          </w:p>
        </w:tc>
        <w:tc>
          <w:tcPr>
            <w:tcW w:w="1575" w:type="dxa"/>
            <w:tcBorders>
              <w:top w:val="single" w:sz="8" w:space="0" w:color="auto"/>
              <w:left w:val="single" w:sz="8" w:space="0" w:color="auto"/>
              <w:bottom w:val="single" w:sz="8" w:space="0" w:color="auto"/>
              <w:right w:val="single" w:sz="8" w:space="0" w:color="auto"/>
            </w:tcBorders>
            <w:shd w:val="clear" w:color="auto" w:fill="FFFFFF" w:themeFill="background1"/>
          </w:tcPr>
          <w:p w14:paraId="603682D8" w14:textId="32F9200C" w:rsidR="25447658" w:rsidRDefault="25447658">
            <w:r w:rsidRPr="25447658">
              <w:rPr>
                <w:rFonts w:ascii="Calibri" w:eastAsia="Calibri" w:hAnsi="Calibri" w:cs="Calibri"/>
                <w:sz w:val="16"/>
                <w:szCs w:val="16"/>
              </w:rPr>
              <w:t xml:space="preserve">Municipalities, more specifically of Cuchi, Cahama and surroundings, PND Program # 4.3.2: Decentralization and implementation of local governments / PND </w:t>
            </w:r>
            <w:r w:rsidRPr="25447658">
              <w:rPr>
                <w:rFonts w:ascii="Calibri" w:eastAsia="Calibri" w:hAnsi="Calibri" w:cs="Calibri"/>
                <w:sz w:val="16"/>
                <w:szCs w:val="16"/>
                <w:lang w:val="en-US"/>
              </w:rPr>
              <w:t xml:space="preserve"> </w:t>
            </w:r>
          </w:p>
        </w:tc>
        <w:tc>
          <w:tcPr>
            <w:tcW w:w="765" w:type="dxa"/>
            <w:tcBorders>
              <w:top w:val="single" w:sz="8" w:space="0" w:color="auto"/>
              <w:left w:val="single" w:sz="8" w:space="0" w:color="auto"/>
              <w:bottom w:val="single" w:sz="8" w:space="0" w:color="auto"/>
              <w:right w:val="single" w:sz="8" w:space="0" w:color="auto"/>
            </w:tcBorders>
          </w:tcPr>
          <w:p w14:paraId="069997F9" w14:textId="4E10DB3F" w:rsidR="25447658" w:rsidRDefault="25447658" w:rsidP="007B39E9">
            <w:pPr>
              <w:jc w:val="center"/>
              <w:rPr>
                <w:rFonts w:ascii="Calibri" w:eastAsia="Calibri" w:hAnsi="Calibri" w:cs="Calibri"/>
                <w:sz w:val="16"/>
                <w:szCs w:val="16"/>
              </w:rPr>
            </w:pPr>
            <w:r w:rsidRPr="25447658">
              <w:rPr>
                <w:rFonts w:ascii="Calibri" w:eastAsia="Calibri" w:hAnsi="Calibri" w:cs="Calibri"/>
                <w:sz w:val="16"/>
                <w:szCs w:val="16"/>
              </w:rPr>
              <w:t xml:space="preserve">2 </w:t>
            </w:r>
          </w:p>
        </w:tc>
        <w:tc>
          <w:tcPr>
            <w:tcW w:w="645" w:type="dxa"/>
            <w:tcBorders>
              <w:top w:val="single" w:sz="8" w:space="0" w:color="auto"/>
              <w:left w:val="single" w:sz="8" w:space="0" w:color="auto"/>
              <w:bottom w:val="single" w:sz="8" w:space="0" w:color="auto"/>
              <w:right w:val="single" w:sz="8" w:space="0" w:color="auto"/>
            </w:tcBorders>
            <w:shd w:val="clear" w:color="auto" w:fill="D9D9D9" w:themeFill="background1" w:themeFillShade="D9"/>
          </w:tcPr>
          <w:p w14:paraId="785CC9C5" w14:textId="294FAFF1" w:rsidR="25447658" w:rsidRDefault="25447658" w:rsidP="007B39E9">
            <w:pPr>
              <w:jc w:val="center"/>
              <w:rPr>
                <w:rFonts w:ascii="Calibri" w:eastAsia="Calibri" w:hAnsi="Calibri" w:cs="Calibri"/>
                <w:sz w:val="16"/>
                <w:szCs w:val="16"/>
              </w:rPr>
            </w:pPr>
            <w:r w:rsidRPr="25447658">
              <w:rPr>
                <w:rFonts w:ascii="Calibri" w:eastAsia="Calibri" w:hAnsi="Calibri" w:cs="Calibri"/>
                <w:sz w:val="16"/>
                <w:szCs w:val="16"/>
              </w:rPr>
              <w:t xml:space="preserve">7.9 </w:t>
            </w:r>
          </w:p>
        </w:tc>
        <w:tc>
          <w:tcPr>
            <w:tcW w:w="705" w:type="dxa"/>
            <w:tcBorders>
              <w:top w:val="single" w:sz="8" w:space="0" w:color="auto"/>
              <w:left w:val="single" w:sz="8" w:space="0" w:color="auto"/>
              <w:bottom w:val="single" w:sz="8" w:space="0" w:color="auto"/>
              <w:right w:val="single" w:sz="8" w:space="0" w:color="auto"/>
            </w:tcBorders>
          </w:tcPr>
          <w:p w14:paraId="4E258D5D" w14:textId="7830E2D5" w:rsidR="25447658" w:rsidRDefault="25447658" w:rsidP="007B39E9">
            <w:pPr>
              <w:jc w:val="center"/>
              <w:rPr>
                <w:rFonts w:ascii="Calibri" w:eastAsia="Calibri" w:hAnsi="Calibri" w:cs="Calibri"/>
                <w:sz w:val="16"/>
                <w:szCs w:val="16"/>
              </w:rPr>
            </w:pPr>
            <w:r w:rsidRPr="25447658">
              <w:rPr>
                <w:rFonts w:ascii="Calibri" w:eastAsia="Calibri" w:hAnsi="Calibri" w:cs="Calibri"/>
                <w:sz w:val="16"/>
                <w:szCs w:val="16"/>
              </w:rPr>
              <w:t xml:space="preserve">0.0 </w:t>
            </w:r>
          </w:p>
        </w:tc>
        <w:tc>
          <w:tcPr>
            <w:tcW w:w="585" w:type="dxa"/>
            <w:tcBorders>
              <w:top w:val="single" w:sz="8" w:space="0" w:color="auto"/>
              <w:left w:val="single" w:sz="8" w:space="0" w:color="auto"/>
              <w:bottom w:val="single" w:sz="8" w:space="0" w:color="auto"/>
              <w:right w:val="single" w:sz="8" w:space="0" w:color="auto"/>
            </w:tcBorders>
          </w:tcPr>
          <w:p w14:paraId="4417A434" w14:textId="6671A116" w:rsidR="25447658" w:rsidRDefault="25447658" w:rsidP="007B39E9">
            <w:pPr>
              <w:jc w:val="center"/>
              <w:rPr>
                <w:rFonts w:ascii="Calibri" w:eastAsia="Calibri" w:hAnsi="Calibri" w:cs="Calibri"/>
                <w:sz w:val="16"/>
                <w:szCs w:val="16"/>
              </w:rPr>
            </w:pPr>
            <w:r w:rsidRPr="25447658">
              <w:rPr>
                <w:rFonts w:ascii="Calibri" w:eastAsia="Calibri" w:hAnsi="Calibri" w:cs="Calibri"/>
                <w:sz w:val="16"/>
                <w:szCs w:val="16"/>
              </w:rPr>
              <w:t xml:space="preserve">7.9 </w:t>
            </w:r>
          </w:p>
        </w:tc>
        <w:tc>
          <w:tcPr>
            <w:tcW w:w="540" w:type="dxa"/>
            <w:tcBorders>
              <w:top w:val="single" w:sz="8" w:space="0" w:color="auto"/>
              <w:left w:val="single" w:sz="8" w:space="0" w:color="auto"/>
              <w:bottom w:val="single" w:sz="8" w:space="0" w:color="auto"/>
              <w:right w:val="single" w:sz="8" w:space="0" w:color="auto"/>
            </w:tcBorders>
          </w:tcPr>
          <w:p w14:paraId="0527AEE7" w14:textId="05F3E0A0" w:rsidR="25447658" w:rsidRDefault="25447658" w:rsidP="007B39E9">
            <w:pPr>
              <w:jc w:val="center"/>
              <w:rPr>
                <w:rFonts w:ascii="Calibri" w:eastAsia="Calibri" w:hAnsi="Calibri" w:cs="Calibri"/>
                <w:sz w:val="16"/>
                <w:szCs w:val="16"/>
              </w:rPr>
            </w:pPr>
            <w:r w:rsidRPr="25447658">
              <w:rPr>
                <w:rFonts w:ascii="Calibri" w:eastAsia="Calibri" w:hAnsi="Calibri" w:cs="Calibri"/>
                <w:sz w:val="16"/>
                <w:szCs w:val="16"/>
              </w:rPr>
              <w:t xml:space="preserve">0.0 </w:t>
            </w:r>
          </w:p>
        </w:tc>
        <w:tc>
          <w:tcPr>
            <w:tcW w:w="825" w:type="dxa"/>
            <w:tcBorders>
              <w:top w:val="single" w:sz="8" w:space="0" w:color="auto"/>
              <w:left w:val="single" w:sz="8" w:space="0" w:color="auto"/>
              <w:bottom w:val="single" w:sz="8" w:space="0" w:color="auto"/>
              <w:right w:val="single" w:sz="8" w:space="0" w:color="auto"/>
            </w:tcBorders>
            <w:shd w:val="clear" w:color="auto" w:fill="D9D9D9" w:themeFill="background1" w:themeFillShade="D9"/>
          </w:tcPr>
          <w:p w14:paraId="0A0B5146" w14:textId="6E613933" w:rsidR="25447658" w:rsidRDefault="25447658" w:rsidP="007B39E9">
            <w:pPr>
              <w:jc w:val="center"/>
              <w:rPr>
                <w:rFonts w:ascii="Calibri" w:eastAsia="Calibri" w:hAnsi="Calibri" w:cs="Calibri"/>
                <w:sz w:val="16"/>
                <w:szCs w:val="16"/>
              </w:rPr>
            </w:pPr>
            <w:r w:rsidRPr="25447658">
              <w:rPr>
                <w:rFonts w:ascii="Calibri" w:eastAsia="Calibri" w:hAnsi="Calibri" w:cs="Calibri"/>
                <w:sz w:val="16"/>
                <w:szCs w:val="16"/>
              </w:rPr>
              <w:t xml:space="preserve">0.0 </w:t>
            </w:r>
          </w:p>
        </w:tc>
        <w:tc>
          <w:tcPr>
            <w:tcW w:w="735" w:type="dxa"/>
            <w:tcBorders>
              <w:top w:val="single" w:sz="8" w:space="0" w:color="auto"/>
              <w:left w:val="single" w:sz="8" w:space="0" w:color="auto"/>
              <w:bottom w:val="single" w:sz="8" w:space="0" w:color="auto"/>
              <w:right w:val="single" w:sz="8" w:space="0" w:color="auto"/>
            </w:tcBorders>
          </w:tcPr>
          <w:p w14:paraId="6FFD4E15" w14:textId="3AB280C5" w:rsidR="25447658" w:rsidRDefault="25447658" w:rsidP="007B39E9">
            <w:pPr>
              <w:jc w:val="center"/>
              <w:rPr>
                <w:rFonts w:ascii="Calibri" w:eastAsia="Calibri" w:hAnsi="Calibri" w:cs="Calibri"/>
                <w:sz w:val="16"/>
                <w:szCs w:val="16"/>
              </w:rPr>
            </w:pPr>
            <w:r w:rsidRPr="25447658">
              <w:rPr>
                <w:rFonts w:ascii="Calibri" w:eastAsia="Calibri" w:hAnsi="Calibri" w:cs="Calibri"/>
                <w:sz w:val="16"/>
                <w:szCs w:val="16"/>
              </w:rPr>
              <w:t xml:space="preserve">0.0 </w:t>
            </w:r>
          </w:p>
        </w:tc>
        <w:tc>
          <w:tcPr>
            <w:tcW w:w="855" w:type="dxa"/>
            <w:tcBorders>
              <w:top w:val="single" w:sz="8" w:space="0" w:color="auto"/>
              <w:left w:val="single" w:sz="8" w:space="0" w:color="auto"/>
              <w:bottom w:val="single" w:sz="8" w:space="0" w:color="auto"/>
              <w:right w:val="single" w:sz="8" w:space="0" w:color="auto"/>
            </w:tcBorders>
          </w:tcPr>
          <w:p w14:paraId="65F3831B" w14:textId="49338273" w:rsidR="25447658" w:rsidRDefault="25447658" w:rsidP="007B39E9">
            <w:pPr>
              <w:jc w:val="center"/>
              <w:rPr>
                <w:rFonts w:ascii="Calibri" w:eastAsia="Calibri" w:hAnsi="Calibri" w:cs="Calibri"/>
                <w:sz w:val="16"/>
                <w:szCs w:val="16"/>
              </w:rPr>
            </w:pPr>
            <w:r w:rsidRPr="25447658">
              <w:rPr>
                <w:rFonts w:ascii="Calibri" w:eastAsia="Calibri" w:hAnsi="Calibri" w:cs="Calibri"/>
                <w:sz w:val="16"/>
                <w:szCs w:val="16"/>
              </w:rPr>
              <w:t xml:space="preserve">0.0 </w:t>
            </w:r>
          </w:p>
        </w:tc>
        <w:tc>
          <w:tcPr>
            <w:tcW w:w="735" w:type="dxa"/>
            <w:tcBorders>
              <w:top w:val="single" w:sz="8" w:space="0" w:color="auto"/>
              <w:left w:val="single" w:sz="8" w:space="0" w:color="auto"/>
              <w:bottom w:val="single" w:sz="8" w:space="0" w:color="auto"/>
              <w:right w:val="single" w:sz="8" w:space="0" w:color="auto"/>
            </w:tcBorders>
          </w:tcPr>
          <w:p w14:paraId="590155C5" w14:textId="61D05F94" w:rsidR="25447658" w:rsidRDefault="25447658" w:rsidP="007B39E9">
            <w:pPr>
              <w:jc w:val="center"/>
              <w:rPr>
                <w:rFonts w:ascii="Calibri" w:eastAsia="Calibri" w:hAnsi="Calibri" w:cs="Calibri"/>
                <w:sz w:val="16"/>
                <w:szCs w:val="16"/>
              </w:rPr>
            </w:pPr>
            <w:r w:rsidRPr="25447658">
              <w:rPr>
                <w:rFonts w:ascii="Calibri" w:eastAsia="Calibri" w:hAnsi="Calibri" w:cs="Calibri"/>
                <w:sz w:val="16"/>
                <w:szCs w:val="16"/>
              </w:rPr>
              <w:t xml:space="preserve">0.0 </w:t>
            </w:r>
          </w:p>
        </w:tc>
        <w:tc>
          <w:tcPr>
            <w:tcW w:w="765" w:type="dxa"/>
            <w:tcBorders>
              <w:top w:val="single" w:sz="8" w:space="0" w:color="auto"/>
              <w:left w:val="single" w:sz="8" w:space="0" w:color="auto"/>
              <w:bottom w:val="single" w:sz="8" w:space="0" w:color="auto"/>
              <w:right w:val="single" w:sz="8" w:space="0" w:color="auto"/>
            </w:tcBorders>
          </w:tcPr>
          <w:p w14:paraId="32FCED58" w14:textId="44E861DB" w:rsidR="25447658" w:rsidRDefault="25447658" w:rsidP="007B39E9">
            <w:pPr>
              <w:jc w:val="center"/>
              <w:rPr>
                <w:rFonts w:ascii="Calibri" w:eastAsia="Calibri" w:hAnsi="Calibri" w:cs="Calibri"/>
                <w:sz w:val="16"/>
                <w:szCs w:val="16"/>
              </w:rPr>
            </w:pPr>
            <w:r w:rsidRPr="25447658">
              <w:rPr>
                <w:rFonts w:ascii="Calibri" w:eastAsia="Calibri" w:hAnsi="Calibri" w:cs="Calibri"/>
                <w:sz w:val="16"/>
                <w:szCs w:val="16"/>
              </w:rPr>
              <w:t xml:space="preserve">0.0 </w:t>
            </w:r>
          </w:p>
        </w:tc>
      </w:tr>
      <w:tr w:rsidR="002F6B7A" w14:paraId="4C5C5A98" w14:textId="77777777" w:rsidTr="62747982">
        <w:trPr>
          <w:trHeight w:val="300"/>
        </w:trPr>
        <w:tc>
          <w:tcPr>
            <w:tcW w:w="236" w:type="dxa"/>
            <w:tcBorders>
              <w:top w:val="single" w:sz="8" w:space="0" w:color="auto"/>
              <w:left w:val="single" w:sz="8" w:space="0" w:color="auto"/>
              <w:bottom w:val="single" w:sz="8" w:space="0" w:color="auto"/>
              <w:right w:val="single" w:sz="8" w:space="0" w:color="auto"/>
            </w:tcBorders>
            <w:shd w:val="clear" w:color="auto" w:fill="D9D9D9" w:themeFill="background1" w:themeFillShade="D9"/>
          </w:tcPr>
          <w:p w14:paraId="588D606A" w14:textId="62730855" w:rsidR="25447658" w:rsidRDefault="25447658" w:rsidP="007B39E9">
            <w:pPr>
              <w:jc w:val="center"/>
              <w:rPr>
                <w:rFonts w:ascii="Calibri" w:eastAsia="Calibri" w:hAnsi="Calibri" w:cs="Calibri"/>
                <w:sz w:val="16"/>
                <w:szCs w:val="16"/>
              </w:rPr>
            </w:pPr>
            <w:r w:rsidRPr="25447658">
              <w:rPr>
                <w:rFonts w:ascii="Calibri" w:eastAsia="Calibri" w:hAnsi="Calibri" w:cs="Calibri"/>
                <w:sz w:val="16"/>
                <w:szCs w:val="16"/>
              </w:rPr>
              <w:t xml:space="preserve">5 </w:t>
            </w:r>
          </w:p>
        </w:tc>
        <w:tc>
          <w:tcPr>
            <w:tcW w:w="1575" w:type="dxa"/>
            <w:tcBorders>
              <w:top w:val="single" w:sz="8" w:space="0" w:color="auto"/>
              <w:left w:val="single" w:sz="8" w:space="0" w:color="auto"/>
              <w:bottom w:val="single" w:sz="8" w:space="0" w:color="auto"/>
              <w:right w:val="single" w:sz="8" w:space="0" w:color="auto"/>
            </w:tcBorders>
          </w:tcPr>
          <w:p w14:paraId="6E96C694" w14:textId="0D657650" w:rsidR="25447658" w:rsidRDefault="25447658">
            <w:r w:rsidRPr="25447658">
              <w:rPr>
                <w:rFonts w:ascii="Calibri" w:eastAsia="Calibri" w:hAnsi="Calibri" w:cs="Calibri"/>
                <w:sz w:val="16"/>
                <w:szCs w:val="16"/>
              </w:rPr>
              <w:t>IFAD SREP - Smallholder Resilience Enhancement Project</w:t>
            </w:r>
            <w:r w:rsidRPr="25447658">
              <w:rPr>
                <w:rFonts w:ascii="Calibri" w:eastAsia="Calibri" w:hAnsi="Calibri" w:cs="Calibri"/>
                <w:sz w:val="16"/>
                <w:szCs w:val="16"/>
                <w:lang w:val="en-US"/>
              </w:rPr>
              <w:t xml:space="preserve"> </w:t>
            </w:r>
          </w:p>
        </w:tc>
        <w:tc>
          <w:tcPr>
            <w:tcW w:w="765" w:type="dxa"/>
            <w:tcBorders>
              <w:top w:val="single" w:sz="8" w:space="0" w:color="auto"/>
              <w:left w:val="single" w:sz="8" w:space="0" w:color="auto"/>
              <w:bottom w:val="single" w:sz="8" w:space="0" w:color="auto"/>
              <w:right w:val="single" w:sz="8" w:space="0" w:color="auto"/>
            </w:tcBorders>
          </w:tcPr>
          <w:p w14:paraId="165D75D6" w14:textId="66B1DFED" w:rsidR="25447658" w:rsidRDefault="25447658" w:rsidP="007B39E9">
            <w:pPr>
              <w:jc w:val="center"/>
              <w:rPr>
                <w:rFonts w:ascii="Calibri" w:eastAsia="Calibri" w:hAnsi="Calibri" w:cs="Calibri"/>
                <w:sz w:val="16"/>
                <w:szCs w:val="16"/>
              </w:rPr>
            </w:pPr>
            <w:r w:rsidRPr="25447658">
              <w:rPr>
                <w:rFonts w:ascii="Calibri" w:eastAsia="Calibri" w:hAnsi="Calibri" w:cs="Calibri"/>
                <w:sz w:val="16"/>
                <w:szCs w:val="16"/>
              </w:rPr>
              <w:t xml:space="preserve">1,2 </w:t>
            </w:r>
          </w:p>
        </w:tc>
        <w:tc>
          <w:tcPr>
            <w:tcW w:w="645" w:type="dxa"/>
            <w:tcBorders>
              <w:top w:val="single" w:sz="8" w:space="0" w:color="auto"/>
              <w:left w:val="single" w:sz="8" w:space="0" w:color="auto"/>
              <w:bottom w:val="single" w:sz="8" w:space="0" w:color="auto"/>
              <w:right w:val="single" w:sz="8" w:space="0" w:color="auto"/>
            </w:tcBorders>
            <w:shd w:val="clear" w:color="auto" w:fill="D9D9D9" w:themeFill="background1" w:themeFillShade="D9"/>
          </w:tcPr>
          <w:p w14:paraId="7A7C44F8" w14:textId="2D09507B" w:rsidR="25447658" w:rsidRDefault="25447658" w:rsidP="007B39E9">
            <w:pPr>
              <w:jc w:val="center"/>
              <w:rPr>
                <w:rFonts w:ascii="Calibri" w:eastAsia="Calibri" w:hAnsi="Calibri" w:cs="Calibri"/>
                <w:sz w:val="16"/>
                <w:szCs w:val="16"/>
              </w:rPr>
            </w:pPr>
            <w:r w:rsidRPr="25447658">
              <w:rPr>
                <w:rFonts w:ascii="Calibri" w:eastAsia="Calibri" w:hAnsi="Calibri" w:cs="Calibri"/>
                <w:sz w:val="16"/>
                <w:szCs w:val="16"/>
              </w:rPr>
              <w:t xml:space="preserve">12.0 </w:t>
            </w:r>
          </w:p>
        </w:tc>
        <w:tc>
          <w:tcPr>
            <w:tcW w:w="705" w:type="dxa"/>
            <w:tcBorders>
              <w:top w:val="single" w:sz="8" w:space="0" w:color="auto"/>
              <w:left w:val="single" w:sz="8" w:space="0" w:color="auto"/>
              <w:bottom w:val="single" w:sz="8" w:space="0" w:color="auto"/>
              <w:right w:val="single" w:sz="8" w:space="0" w:color="auto"/>
            </w:tcBorders>
          </w:tcPr>
          <w:p w14:paraId="0CE2F86B" w14:textId="75CA429A" w:rsidR="25447658" w:rsidRDefault="25447658" w:rsidP="007B39E9">
            <w:pPr>
              <w:jc w:val="center"/>
              <w:rPr>
                <w:rFonts w:ascii="Calibri" w:eastAsia="Calibri" w:hAnsi="Calibri" w:cs="Calibri"/>
                <w:sz w:val="16"/>
                <w:szCs w:val="16"/>
              </w:rPr>
            </w:pPr>
            <w:r w:rsidRPr="25447658">
              <w:rPr>
                <w:rFonts w:ascii="Calibri" w:eastAsia="Calibri" w:hAnsi="Calibri" w:cs="Calibri"/>
                <w:sz w:val="16"/>
                <w:szCs w:val="16"/>
              </w:rPr>
              <w:t xml:space="preserve">6.0 </w:t>
            </w:r>
          </w:p>
        </w:tc>
        <w:tc>
          <w:tcPr>
            <w:tcW w:w="585" w:type="dxa"/>
            <w:tcBorders>
              <w:top w:val="single" w:sz="8" w:space="0" w:color="auto"/>
              <w:left w:val="single" w:sz="8" w:space="0" w:color="auto"/>
              <w:bottom w:val="single" w:sz="8" w:space="0" w:color="auto"/>
              <w:right w:val="single" w:sz="8" w:space="0" w:color="auto"/>
            </w:tcBorders>
          </w:tcPr>
          <w:p w14:paraId="14338650" w14:textId="6CFDC771" w:rsidR="25447658" w:rsidRDefault="25447658" w:rsidP="007B39E9">
            <w:pPr>
              <w:jc w:val="center"/>
              <w:rPr>
                <w:rFonts w:ascii="Calibri" w:eastAsia="Calibri" w:hAnsi="Calibri" w:cs="Calibri"/>
                <w:sz w:val="16"/>
                <w:szCs w:val="16"/>
              </w:rPr>
            </w:pPr>
            <w:r w:rsidRPr="25447658">
              <w:rPr>
                <w:rFonts w:ascii="Calibri" w:eastAsia="Calibri" w:hAnsi="Calibri" w:cs="Calibri"/>
                <w:sz w:val="16"/>
                <w:szCs w:val="16"/>
              </w:rPr>
              <w:t xml:space="preserve">6.0 </w:t>
            </w:r>
          </w:p>
        </w:tc>
        <w:tc>
          <w:tcPr>
            <w:tcW w:w="540" w:type="dxa"/>
            <w:tcBorders>
              <w:top w:val="single" w:sz="8" w:space="0" w:color="auto"/>
              <w:left w:val="single" w:sz="8" w:space="0" w:color="auto"/>
              <w:bottom w:val="single" w:sz="8" w:space="0" w:color="auto"/>
              <w:right w:val="single" w:sz="8" w:space="0" w:color="auto"/>
            </w:tcBorders>
          </w:tcPr>
          <w:p w14:paraId="7D235C26" w14:textId="740534C0" w:rsidR="25447658" w:rsidRDefault="25447658" w:rsidP="007B39E9">
            <w:pPr>
              <w:jc w:val="center"/>
              <w:rPr>
                <w:rFonts w:ascii="Calibri" w:eastAsia="Calibri" w:hAnsi="Calibri" w:cs="Calibri"/>
                <w:sz w:val="16"/>
                <w:szCs w:val="16"/>
              </w:rPr>
            </w:pPr>
            <w:r w:rsidRPr="25447658">
              <w:rPr>
                <w:rFonts w:ascii="Calibri" w:eastAsia="Calibri" w:hAnsi="Calibri" w:cs="Calibri"/>
                <w:sz w:val="16"/>
                <w:szCs w:val="16"/>
              </w:rPr>
              <w:t xml:space="preserve">0.0 </w:t>
            </w:r>
          </w:p>
        </w:tc>
        <w:tc>
          <w:tcPr>
            <w:tcW w:w="825" w:type="dxa"/>
            <w:tcBorders>
              <w:top w:val="single" w:sz="8" w:space="0" w:color="auto"/>
              <w:left w:val="single" w:sz="8" w:space="0" w:color="auto"/>
              <w:bottom w:val="single" w:sz="8" w:space="0" w:color="auto"/>
              <w:right w:val="single" w:sz="8" w:space="0" w:color="auto"/>
            </w:tcBorders>
            <w:shd w:val="clear" w:color="auto" w:fill="D9D9D9" w:themeFill="background1" w:themeFillShade="D9"/>
          </w:tcPr>
          <w:p w14:paraId="5CF931B6" w14:textId="739279E8" w:rsidR="25447658" w:rsidRDefault="25447658" w:rsidP="007B39E9">
            <w:pPr>
              <w:jc w:val="center"/>
              <w:rPr>
                <w:rFonts w:ascii="Calibri" w:eastAsia="Calibri" w:hAnsi="Calibri" w:cs="Calibri"/>
                <w:sz w:val="16"/>
                <w:szCs w:val="16"/>
              </w:rPr>
            </w:pPr>
            <w:r w:rsidRPr="25447658">
              <w:rPr>
                <w:rFonts w:ascii="Calibri" w:eastAsia="Calibri" w:hAnsi="Calibri" w:cs="Calibri"/>
                <w:sz w:val="16"/>
                <w:szCs w:val="16"/>
              </w:rPr>
              <w:t xml:space="preserve">2.0 </w:t>
            </w:r>
          </w:p>
        </w:tc>
        <w:tc>
          <w:tcPr>
            <w:tcW w:w="735" w:type="dxa"/>
            <w:tcBorders>
              <w:top w:val="single" w:sz="8" w:space="0" w:color="auto"/>
              <w:left w:val="single" w:sz="8" w:space="0" w:color="auto"/>
              <w:bottom w:val="single" w:sz="8" w:space="0" w:color="auto"/>
              <w:right w:val="single" w:sz="8" w:space="0" w:color="auto"/>
            </w:tcBorders>
          </w:tcPr>
          <w:p w14:paraId="5E956D0F" w14:textId="7028D7C0" w:rsidR="25447658" w:rsidRDefault="6C8AB2B8" w:rsidP="5F3EA9C0">
            <w:pPr>
              <w:spacing w:line="259" w:lineRule="auto"/>
              <w:jc w:val="center"/>
              <w:rPr>
                <w:rFonts w:eastAsia="Calibri"/>
                <w:sz w:val="16"/>
                <w:szCs w:val="16"/>
              </w:rPr>
            </w:pPr>
            <w:r w:rsidRPr="5F3EA9C0">
              <w:rPr>
                <w:rFonts w:ascii="Calibri" w:eastAsia="Calibri" w:hAnsi="Calibri" w:cs="Calibri"/>
                <w:sz w:val="16"/>
                <w:szCs w:val="16"/>
              </w:rPr>
              <w:t>0.9</w:t>
            </w:r>
          </w:p>
        </w:tc>
        <w:tc>
          <w:tcPr>
            <w:tcW w:w="855" w:type="dxa"/>
            <w:tcBorders>
              <w:top w:val="single" w:sz="8" w:space="0" w:color="auto"/>
              <w:left w:val="single" w:sz="8" w:space="0" w:color="auto"/>
              <w:bottom w:val="single" w:sz="8" w:space="0" w:color="auto"/>
              <w:right w:val="single" w:sz="8" w:space="0" w:color="auto"/>
            </w:tcBorders>
          </w:tcPr>
          <w:p w14:paraId="72306DFF" w14:textId="743D4592" w:rsidR="25447658" w:rsidRDefault="6C8AB2B8" w:rsidP="007B39E9">
            <w:pPr>
              <w:jc w:val="center"/>
              <w:rPr>
                <w:rFonts w:ascii="Calibri" w:eastAsia="Calibri" w:hAnsi="Calibri" w:cs="Calibri"/>
                <w:sz w:val="16"/>
                <w:szCs w:val="16"/>
              </w:rPr>
            </w:pPr>
            <w:r w:rsidRPr="5F3EA9C0">
              <w:rPr>
                <w:rFonts w:ascii="Calibri" w:eastAsia="Calibri" w:hAnsi="Calibri" w:cs="Calibri"/>
                <w:sz w:val="16"/>
                <w:szCs w:val="16"/>
              </w:rPr>
              <w:t>0.9</w:t>
            </w:r>
          </w:p>
        </w:tc>
        <w:tc>
          <w:tcPr>
            <w:tcW w:w="735" w:type="dxa"/>
            <w:tcBorders>
              <w:top w:val="single" w:sz="8" w:space="0" w:color="auto"/>
              <w:left w:val="single" w:sz="8" w:space="0" w:color="auto"/>
              <w:bottom w:val="single" w:sz="8" w:space="0" w:color="auto"/>
              <w:right w:val="single" w:sz="8" w:space="0" w:color="auto"/>
            </w:tcBorders>
          </w:tcPr>
          <w:p w14:paraId="12CA719E" w14:textId="4CDED9E4" w:rsidR="25447658" w:rsidRDefault="25447658" w:rsidP="007B39E9">
            <w:pPr>
              <w:jc w:val="center"/>
              <w:rPr>
                <w:rFonts w:ascii="Calibri" w:eastAsia="Calibri" w:hAnsi="Calibri" w:cs="Calibri"/>
                <w:sz w:val="16"/>
                <w:szCs w:val="16"/>
              </w:rPr>
            </w:pPr>
            <w:r w:rsidRPr="25447658">
              <w:rPr>
                <w:rFonts w:ascii="Calibri" w:eastAsia="Calibri" w:hAnsi="Calibri" w:cs="Calibri"/>
                <w:sz w:val="16"/>
                <w:szCs w:val="16"/>
              </w:rPr>
              <w:t xml:space="preserve">0.0 </w:t>
            </w:r>
          </w:p>
        </w:tc>
        <w:tc>
          <w:tcPr>
            <w:tcW w:w="765" w:type="dxa"/>
            <w:tcBorders>
              <w:top w:val="single" w:sz="8" w:space="0" w:color="auto"/>
              <w:left w:val="single" w:sz="8" w:space="0" w:color="auto"/>
              <w:bottom w:val="single" w:sz="8" w:space="0" w:color="auto"/>
              <w:right w:val="single" w:sz="8" w:space="0" w:color="auto"/>
            </w:tcBorders>
          </w:tcPr>
          <w:p w14:paraId="185EA244" w14:textId="0A42A629" w:rsidR="25447658" w:rsidRDefault="25447658" w:rsidP="007B39E9">
            <w:pPr>
              <w:jc w:val="center"/>
              <w:rPr>
                <w:rFonts w:ascii="Calibri" w:eastAsia="Calibri" w:hAnsi="Calibri" w:cs="Calibri"/>
                <w:sz w:val="16"/>
                <w:szCs w:val="16"/>
              </w:rPr>
            </w:pPr>
            <w:r w:rsidRPr="25447658">
              <w:rPr>
                <w:rFonts w:ascii="Calibri" w:eastAsia="Calibri" w:hAnsi="Calibri" w:cs="Calibri"/>
                <w:sz w:val="16"/>
                <w:szCs w:val="16"/>
              </w:rPr>
              <w:t>0.</w:t>
            </w:r>
            <w:r w:rsidR="5866CCF0" w:rsidRPr="5F3EA9C0">
              <w:rPr>
                <w:rFonts w:ascii="Calibri" w:eastAsia="Calibri" w:hAnsi="Calibri" w:cs="Calibri"/>
                <w:sz w:val="16"/>
                <w:szCs w:val="16"/>
              </w:rPr>
              <w:t>2</w:t>
            </w:r>
            <w:r w:rsidRPr="25447658">
              <w:rPr>
                <w:rFonts w:ascii="Calibri" w:eastAsia="Calibri" w:hAnsi="Calibri" w:cs="Calibri"/>
                <w:sz w:val="16"/>
                <w:szCs w:val="16"/>
              </w:rPr>
              <w:t xml:space="preserve"> </w:t>
            </w:r>
          </w:p>
        </w:tc>
      </w:tr>
      <w:tr w:rsidR="002F6B7A" w14:paraId="44D081F5" w14:textId="77777777" w:rsidTr="62747982">
        <w:trPr>
          <w:trHeight w:val="300"/>
        </w:trPr>
        <w:tc>
          <w:tcPr>
            <w:tcW w:w="236" w:type="dxa"/>
            <w:tcBorders>
              <w:top w:val="single" w:sz="8" w:space="0" w:color="auto"/>
              <w:left w:val="single" w:sz="8" w:space="0" w:color="auto"/>
              <w:bottom w:val="single" w:sz="8" w:space="0" w:color="auto"/>
              <w:right w:val="single" w:sz="8" w:space="0" w:color="auto"/>
            </w:tcBorders>
            <w:shd w:val="clear" w:color="auto" w:fill="D9D9D9" w:themeFill="background1" w:themeFillShade="D9"/>
          </w:tcPr>
          <w:p w14:paraId="70C1F1E7" w14:textId="5235FD25" w:rsidR="25447658" w:rsidRDefault="25447658" w:rsidP="007B39E9">
            <w:pPr>
              <w:jc w:val="center"/>
              <w:rPr>
                <w:rFonts w:ascii="Calibri" w:eastAsia="Calibri" w:hAnsi="Calibri" w:cs="Calibri"/>
                <w:sz w:val="16"/>
                <w:szCs w:val="16"/>
              </w:rPr>
            </w:pPr>
            <w:r w:rsidRPr="25447658">
              <w:rPr>
                <w:rFonts w:ascii="Calibri" w:eastAsia="Calibri" w:hAnsi="Calibri" w:cs="Calibri"/>
                <w:sz w:val="16"/>
                <w:szCs w:val="16"/>
              </w:rPr>
              <w:t xml:space="preserve">6 </w:t>
            </w:r>
          </w:p>
        </w:tc>
        <w:tc>
          <w:tcPr>
            <w:tcW w:w="1575" w:type="dxa"/>
            <w:tcBorders>
              <w:top w:val="single" w:sz="8" w:space="0" w:color="auto"/>
              <w:left w:val="single" w:sz="8" w:space="0" w:color="auto"/>
              <w:bottom w:val="single" w:sz="8" w:space="0" w:color="auto"/>
              <w:right w:val="single" w:sz="8" w:space="0" w:color="auto"/>
            </w:tcBorders>
          </w:tcPr>
          <w:p w14:paraId="51852266" w14:textId="1FFE0285" w:rsidR="25447658" w:rsidRDefault="25447658">
            <w:r w:rsidRPr="25447658">
              <w:rPr>
                <w:rFonts w:ascii="Calibri" w:eastAsia="Calibri" w:hAnsi="Calibri" w:cs="Calibri"/>
                <w:sz w:val="16"/>
                <w:szCs w:val="16"/>
              </w:rPr>
              <w:t xml:space="preserve">AFDB Agricultural Value Chains – Support to Sustainable. Development. &amp; Growth </w:t>
            </w:r>
          </w:p>
        </w:tc>
        <w:tc>
          <w:tcPr>
            <w:tcW w:w="765" w:type="dxa"/>
            <w:tcBorders>
              <w:top w:val="single" w:sz="8" w:space="0" w:color="auto"/>
              <w:left w:val="single" w:sz="8" w:space="0" w:color="auto"/>
              <w:bottom w:val="single" w:sz="8" w:space="0" w:color="auto"/>
              <w:right w:val="single" w:sz="8" w:space="0" w:color="auto"/>
            </w:tcBorders>
          </w:tcPr>
          <w:p w14:paraId="7EDE3D67" w14:textId="74C6D9BF" w:rsidR="25447658" w:rsidRDefault="25447658" w:rsidP="007B39E9">
            <w:pPr>
              <w:jc w:val="center"/>
              <w:rPr>
                <w:rFonts w:ascii="Calibri" w:eastAsia="Calibri" w:hAnsi="Calibri" w:cs="Calibri"/>
                <w:sz w:val="16"/>
                <w:szCs w:val="16"/>
              </w:rPr>
            </w:pPr>
            <w:r w:rsidRPr="25447658">
              <w:rPr>
                <w:rFonts w:ascii="Calibri" w:eastAsia="Calibri" w:hAnsi="Calibri" w:cs="Calibri"/>
                <w:sz w:val="16"/>
                <w:szCs w:val="16"/>
              </w:rPr>
              <w:t xml:space="preserve">2 </w:t>
            </w:r>
          </w:p>
        </w:tc>
        <w:tc>
          <w:tcPr>
            <w:tcW w:w="645" w:type="dxa"/>
            <w:tcBorders>
              <w:top w:val="single" w:sz="8" w:space="0" w:color="auto"/>
              <w:left w:val="single" w:sz="8" w:space="0" w:color="auto"/>
              <w:bottom w:val="single" w:sz="8" w:space="0" w:color="auto"/>
              <w:right w:val="single" w:sz="8" w:space="0" w:color="auto"/>
            </w:tcBorders>
            <w:shd w:val="clear" w:color="auto" w:fill="D9D9D9" w:themeFill="background1" w:themeFillShade="D9"/>
          </w:tcPr>
          <w:p w14:paraId="1B06983F" w14:textId="6CD68BE3" w:rsidR="25447658" w:rsidRDefault="25447658" w:rsidP="007B39E9">
            <w:pPr>
              <w:jc w:val="center"/>
              <w:rPr>
                <w:rFonts w:ascii="Calibri" w:eastAsia="Calibri" w:hAnsi="Calibri" w:cs="Calibri"/>
                <w:sz w:val="16"/>
                <w:szCs w:val="16"/>
              </w:rPr>
            </w:pPr>
            <w:r w:rsidRPr="25447658">
              <w:rPr>
                <w:rFonts w:ascii="Calibri" w:eastAsia="Calibri" w:hAnsi="Calibri" w:cs="Calibri"/>
                <w:sz w:val="16"/>
                <w:szCs w:val="16"/>
              </w:rPr>
              <w:t xml:space="preserve">12.0 </w:t>
            </w:r>
          </w:p>
        </w:tc>
        <w:tc>
          <w:tcPr>
            <w:tcW w:w="705" w:type="dxa"/>
            <w:tcBorders>
              <w:top w:val="single" w:sz="8" w:space="0" w:color="auto"/>
              <w:left w:val="single" w:sz="8" w:space="0" w:color="auto"/>
              <w:bottom w:val="single" w:sz="8" w:space="0" w:color="auto"/>
              <w:right w:val="single" w:sz="8" w:space="0" w:color="auto"/>
            </w:tcBorders>
          </w:tcPr>
          <w:p w14:paraId="53BDE004" w14:textId="489FDDB9" w:rsidR="25447658" w:rsidRDefault="25447658" w:rsidP="007B39E9">
            <w:pPr>
              <w:jc w:val="center"/>
              <w:rPr>
                <w:rFonts w:ascii="Calibri" w:eastAsia="Calibri" w:hAnsi="Calibri" w:cs="Calibri"/>
                <w:sz w:val="16"/>
                <w:szCs w:val="16"/>
              </w:rPr>
            </w:pPr>
            <w:r w:rsidRPr="25447658">
              <w:rPr>
                <w:rFonts w:ascii="Calibri" w:eastAsia="Calibri" w:hAnsi="Calibri" w:cs="Calibri"/>
                <w:sz w:val="16"/>
                <w:szCs w:val="16"/>
              </w:rPr>
              <w:t xml:space="preserve">4.0 </w:t>
            </w:r>
          </w:p>
        </w:tc>
        <w:tc>
          <w:tcPr>
            <w:tcW w:w="585" w:type="dxa"/>
            <w:tcBorders>
              <w:top w:val="single" w:sz="8" w:space="0" w:color="auto"/>
              <w:left w:val="single" w:sz="8" w:space="0" w:color="auto"/>
              <w:bottom w:val="single" w:sz="8" w:space="0" w:color="auto"/>
              <w:right w:val="single" w:sz="8" w:space="0" w:color="auto"/>
            </w:tcBorders>
          </w:tcPr>
          <w:p w14:paraId="259A8701" w14:textId="7DBF4D17" w:rsidR="25447658" w:rsidRDefault="25447658" w:rsidP="007B39E9">
            <w:pPr>
              <w:jc w:val="center"/>
              <w:rPr>
                <w:rFonts w:ascii="Calibri" w:eastAsia="Calibri" w:hAnsi="Calibri" w:cs="Calibri"/>
                <w:sz w:val="16"/>
                <w:szCs w:val="16"/>
              </w:rPr>
            </w:pPr>
            <w:r w:rsidRPr="25447658">
              <w:rPr>
                <w:rFonts w:ascii="Calibri" w:eastAsia="Calibri" w:hAnsi="Calibri" w:cs="Calibri"/>
                <w:sz w:val="16"/>
                <w:szCs w:val="16"/>
              </w:rPr>
              <w:t xml:space="preserve">4.0 </w:t>
            </w:r>
          </w:p>
        </w:tc>
        <w:tc>
          <w:tcPr>
            <w:tcW w:w="540" w:type="dxa"/>
            <w:tcBorders>
              <w:top w:val="single" w:sz="8" w:space="0" w:color="auto"/>
              <w:left w:val="single" w:sz="8" w:space="0" w:color="auto"/>
              <w:bottom w:val="single" w:sz="8" w:space="0" w:color="auto"/>
              <w:right w:val="single" w:sz="8" w:space="0" w:color="auto"/>
            </w:tcBorders>
          </w:tcPr>
          <w:p w14:paraId="654A6F07" w14:textId="7AC836A3" w:rsidR="25447658" w:rsidRDefault="25447658" w:rsidP="007B39E9">
            <w:pPr>
              <w:jc w:val="center"/>
              <w:rPr>
                <w:rFonts w:ascii="Calibri" w:eastAsia="Calibri" w:hAnsi="Calibri" w:cs="Calibri"/>
                <w:sz w:val="16"/>
                <w:szCs w:val="16"/>
              </w:rPr>
            </w:pPr>
            <w:r w:rsidRPr="25447658">
              <w:rPr>
                <w:rFonts w:ascii="Calibri" w:eastAsia="Calibri" w:hAnsi="Calibri" w:cs="Calibri"/>
                <w:sz w:val="16"/>
                <w:szCs w:val="16"/>
              </w:rPr>
              <w:t xml:space="preserve">4.0 </w:t>
            </w:r>
          </w:p>
        </w:tc>
        <w:tc>
          <w:tcPr>
            <w:tcW w:w="825" w:type="dxa"/>
            <w:tcBorders>
              <w:top w:val="single" w:sz="8" w:space="0" w:color="auto"/>
              <w:left w:val="single" w:sz="8" w:space="0" w:color="auto"/>
              <w:bottom w:val="single" w:sz="8" w:space="0" w:color="auto"/>
              <w:right w:val="single" w:sz="8" w:space="0" w:color="auto"/>
            </w:tcBorders>
            <w:shd w:val="clear" w:color="auto" w:fill="D9D9D9" w:themeFill="background1" w:themeFillShade="D9"/>
          </w:tcPr>
          <w:p w14:paraId="0E318D9A" w14:textId="65DA8D2F" w:rsidR="25447658" w:rsidRDefault="25447658" w:rsidP="007B39E9">
            <w:pPr>
              <w:jc w:val="center"/>
              <w:rPr>
                <w:rFonts w:ascii="Calibri" w:eastAsia="Calibri" w:hAnsi="Calibri" w:cs="Calibri"/>
                <w:sz w:val="16"/>
                <w:szCs w:val="16"/>
              </w:rPr>
            </w:pPr>
            <w:r w:rsidRPr="25447658">
              <w:rPr>
                <w:rFonts w:ascii="Calibri" w:eastAsia="Calibri" w:hAnsi="Calibri" w:cs="Calibri"/>
                <w:sz w:val="16"/>
                <w:szCs w:val="16"/>
              </w:rPr>
              <w:t xml:space="preserve">0.0 </w:t>
            </w:r>
          </w:p>
        </w:tc>
        <w:tc>
          <w:tcPr>
            <w:tcW w:w="735" w:type="dxa"/>
            <w:tcBorders>
              <w:top w:val="single" w:sz="8" w:space="0" w:color="auto"/>
              <w:left w:val="single" w:sz="8" w:space="0" w:color="auto"/>
              <w:bottom w:val="single" w:sz="8" w:space="0" w:color="auto"/>
              <w:right w:val="single" w:sz="8" w:space="0" w:color="auto"/>
            </w:tcBorders>
          </w:tcPr>
          <w:p w14:paraId="169BEC43" w14:textId="17BA29B7" w:rsidR="25447658" w:rsidRDefault="25447658" w:rsidP="007B39E9">
            <w:pPr>
              <w:jc w:val="center"/>
              <w:rPr>
                <w:rFonts w:ascii="Calibri" w:eastAsia="Calibri" w:hAnsi="Calibri" w:cs="Calibri"/>
                <w:sz w:val="16"/>
                <w:szCs w:val="16"/>
              </w:rPr>
            </w:pPr>
            <w:r w:rsidRPr="25447658">
              <w:rPr>
                <w:rFonts w:ascii="Calibri" w:eastAsia="Calibri" w:hAnsi="Calibri" w:cs="Calibri"/>
                <w:sz w:val="16"/>
                <w:szCs w:val="16"/>
              </w:rPr>
              <w:t xml:space="preserve">0.0 </w:t>
            </w:r>
          </w:p>
        </w:tc>
        <w:tc>
          <w:tcPr>
            <w:tcW w:w="855" w:type="dxa"/>
            <w:tcBorders>
              <w:top w:val="single" w:sz="8" w:space="0" w:color="auto"/>
              <w:left w:val="single" w:sz="8" w:space="0" w:color="auto"/>
              <w:bottom w:val="single" w:sz="8" w:space="0" w:color="auto"/>
              <w:right w:val="single" w:sz="8" w:space="0" w:color="auto"/>
            </w:tcBorders>
          </w:tcPr>
          <w:p w14:paraId="1F2D5BC0" w14:textId="3EA57CC8" w:rsidR="25447658" w:rsidRDefault="25447658" w:rsidP="007B39E9">
            <w:pPr>
              <w:jc w:val="center"/>
              <w:rPr>
                <w:rFonts w:ascii="Calibri" w:eastAsia="Calibri" w:hAnsi="Calibri" w:cs="Calibri"/>
                <w:sz w:val="16"/>
                <w:szCs w:val="16"/>
              </w:rPr>
            </w:pPr>
            <w:r w:rsidRPr="25447658">
              <w:rPr>
                <w:rFonts w:ascii="Calibri" w:eastAsia="Calibri" w:hAnsi="Calibri" w:cs="Calibri"/>
                <w:sz w:val="16"/>
                <w:szCs w:val="16"/>
              </w:rPr>
              <w:t xml:space="preserve">0.0 </w:t>
            </w:r>
          </w:p>
        </w:tc>
        <w:tc>
          <w:tcPr>
            <w:tcW w:w="735" w:type="dxa"/>
            <w:tcBorders>
              <w:top w:val="single" w:sz="8" w:space="0" w:color="auto"/>
              <w:left w:val="single" w:sz="8" w:space="0" w:color="auto"/>
              <w:bottom w:val="single" w:sz="8" w:space="0" w:color="auto"/>
              <w:right w:val="single" w:sz="8" w:space="0" w:color="auto"/>
            </w:tcBorders>
          </w:tcPr>
          <w:p w14:paraId="609588FF" w14:textId="011D7286" w:rsidR="25447658" w:rsidRDefault="25447658" w:rsidP="007B39E9">
            <w:pPr>
              <w:jc w:val="center"/>
              <w:rPr>
                <w:rFonts w:ascii="Calibri" w:eastAsia="Calibri" w:hAnsi="Calibri" w:cs="Calibri"/>
                <w:sz w:val="16"/>
                <w:szCs w:val="16"/>
              </w:rPr>
            </w:pPr>
            <w:r w:rsidRPr="25447658">
              <w:rPr>
                <w:rFonts w:ascii="Calibri" w:eastAsia="Calibri" w:hAnsi="Calibri" w:cs="Calibri"/>
                <w:sz w:val="16"/>
                <w:szCs w:val="16"/>
              </w:rPr>
              <w:t xml:space="preserve">0.0 </w:t>
            </w:r>
          </w:p>
        </w:tc>
        <w:tc>
          <w:tcPr>
            <w:tcW w:w="765" w:type="dxa"/>
            <w:tcBorders>
              <w:top w:val="single" w:sz="8" w:space="0" w:color="auto"/>
              <w:left w:val="single" w:sz="8" w:space="0" w:color="auto"/>
              <w:bottom w:val="single" w:sz="8" w:space="0" w:color="auto"/>
              <w:right w:val="single" w:sz="8" w:space="0" w:color="auto"/>
            </w:tcBorders>
          </w:tcPr>
          <w:p w14:paraId="144332E7" w14:textId="79C06CAB" w:rsidR="25447658" w:rsidRDefault="25447658" w:rsidP="007B39E9">
            <w:pPr>
              <w:jc w:val="center"/>
              <w:rPr>
                <w:rFonts w:ascii="Calibri" w:eastAsia="Calibri" w:hAnsi="Calibri" w:cs="Calibri"/>
                <w:sz w:val="16"/>
                <w:szCs w:val="16"/>
              </w:rPr>
            </w:pPr>
            <w:r w:rsidRPr="25447658">
              <w:rPr>
                <w:rFonts w:ascii="Calibri" w:eastAsia="Calibri" w:hAnsi="Calibri" w:cs="Calibri"/>
                <w:sz w:val="16"/>
                <w:szCs w:val="16"/>
              </w:rPr>
              <w:t xml:space="preserve">0.0 </w:t>
            </w:r>
          </w:p>
        </w:tc>
      </w:tr>
      <w:tr w:rsidR="002F6B7A" w14:paraId="0C31020A" w14:textId="77777777" w:rsidTr="62747982">
        <w:trPr>
          <w:trHeight w:val="300"/>
        </w:trPr>
        <w:tc>
          <w:tcPr>
            <w:tcW w:w="236" w:type="dxa"/>
            <w:tcBorders>
              <w:top w:val="single" w:sz="8" w:space="0" w:color="auto"/>
              <w:left w:val="single" w:sz="8" w:space="0" w:color="auto"/>
              <w:bottom w:val="single" w:sz="8" w:space="0" w:color="auto"/>
              <w:right w:val="single" w:sz="8" w:space="0" w:color="auto"/>
            </w:tcBorders>
            <w:shd w:val="clear" w:color="auto" w:fill="D9D9D9" w:themeFill="background1" w:themeFillShade="D9"/>
          </w:tcPr>
          <w:p w14:paraId="03768E6A" w14:textId="16A1C67F" w:rsidR="25447658" w:rsidRDefault="25447658" w:rsidP="007B39E9">
            <w:pPr>
              <w:jc w:val="center"/>
              <w:rPr>
                <w:rFonts w:ascii="Calibri" w:eastAsia="Calibri" w:hAnsi="Calibri" w:cs="Calibri"/>
                <w:sz w:val="16"/>
                <w:szCs w:val="16"/>
              </w:rPr>
            </w:pPr>
            <w:r w:rsidRPr="25447658">
              <w:rPr>
                <w:rFonts w:ascii="Calibri" w:eastAsia="Calibri" w:hAnsi="Calibri" w:cs="Calibri"/>
                <w:sz w:val="16"/>
                <w:szCs w:val="16"/>
              </w:rPr>
              <w:t xml:space="preserve">7 </w:t>
            </w:r>
          </w:p>
        </w:tc>
        <w:tc>
          <w:tcPr>
            <w:tcW w:w="1575" w:type="dxa"/>
            <w:tcBorders>
              <w:top w:val="single" w:sz="8" w:space="0" w:color="auto"/>
              <w:left w:val="single" w:sz="8" w:space="0" w:color="auto"/>
              <w:bottom w:val="single" w:sz="8" w:space="0" w:color="auto"/>
              <w:right w:val="single" w:sz="8" w:space="0" w:color="auto"/>
            </w:tcBorders>
          </w:tcPr>
          <w:p w14:paraId="4D3E68E0" w14:textId="3B7FA15C" w:rsidR="25447658" w:rsidRDefault="25447658">
            <w:r w:rsidRPr="25447658">
              <w:rPr>
                <w:rFonts w:ascii="Calibri" w:eastAsia="Calibri" w:hAnsi="Calibri" w:cs="Calibri"/>
                <w:sz w:val="16"/>
                <w:szCs w:val="16"/>
              </w:rPr>
              <w:t xml:space="preserve">FAO </w:t>
            </w:r>
          </w:p>
        </w:tc>
        <w:tc>
          <w:tcPr>
            <w:tcW w:w="765" w:type="dxa"/>
            <w:tcBorders>
              <w:top w:val="single" w:sz="8" w:space="0" w:color="auto"/>
              <w:left w:val="single" w:sz="8" w:space="0" w:color="auto"/>
              <w:bottom w:val="single" w:sz="8" w:space="0" w:color="auto"/>
              <w:right w:val="single" w:sz="8" w:space="0" w:color="auto"/>
            </w:tcBorders>
          </w:tcPr>
          <w:p w14:paraId="348FD9D3" w14:textId="192FEFF2" w:rsidR="25447658" w:rsidRDefault="25447658" w:rsidP="007B39E9">
            <w:pPr>
              <w:jc w:val="center"/>
              <w:rPr>
                <w:rFonts w:ascii="Calibri" w:eastAsia="Calibri" w:hAnsi="Calibri" w:cs="Calibri"/>
                <w:sz w:val="16"/>
                <w:szCs w:val="16"/>
              </w:rPr>
            </w:pPr>
            <w:r w:rsidRPr="25447658">
              <w:rPr>
                <w:rFonts w:ascii="Calibri" w:eastAsia="Calibri" w:hAnsi="Calibri" w:cs="Calibri"/>
                <w:sz w:val="16"/>
                <w:szCs w:val="16"/>
              </w:rPr>
              <w:t xml:space="preserve">1,2,3 </w:t>
            </w:r>
          </w:p>
        </w:tc>
        <w:tc>
          <w:tcPr>
            <w:tcW w:w="645" w:type="dxa"/>
            <w:tcBorders>
              <w:top w:val="single" w:sz="8" w:space="0" w:color="auto"/>
              <w:left w:val="single" w:sz="8" w:space="0" w:color="auto"/>
              <w:bottom w:val="single" w:sz="8" w:space="0" w:color="auto"/>
              <w:right w:val="single" w:sz="8" w:space="0" w:color="auto"/>
            </w:tcBorders>
            <w:shd w:val="clear" w:color="auto" w:fill="D9D9D9" w:themeFill="background1" w:themeFillShade="D9"/>
          </w:tcPr>
          <w:p w14:paraId="3F90DCD1" w14:textId="71A3975A" w:rsidR="25447658" w:rsidRDefault="25447658" w:rsidP="007B39E9">
            <w:pPr>
              <w:jc w:val="center"/>
              <w:rPr>
                <w:rFonts w:ascii="Calibri" w:eastAsia="Calibri" w:hAnsi="Calibri" w:cs="Calibri"/>
                <w:sz w:val="16"/>
                <w:szCs w:val="16"/>
              </w:rPr>
            </w:pPr>
            <w:r w:rsidRPr="25447658">
              <w:rPr>
                <w:rFonts w:ascii="Calibri" w:eastAsia="Calibri" w:hAnsi="Calibri" w:cs="Calibri"/>
                <w:sz w:val="16"/>
                <w:szCs w:val="16"/>
              </w:rPr>
              <w:t xml:space="preserve">3,7 </w:t>
            </w:r>
          </w:p>
        </w:tc>
        <w:tc>
          <w:tcPr>
            <w:tcW w:w="705" w:type="dxa"/>
            <w:tcBorders>
              <w:top w:val="single" w:sz="8" w:space="0" w:color="auto"/>
              <w:left w:val="single" w:sz="8" w:space="0" w:color="auto"/>
              <w:bottom w:val="single" w:sz="8" w:space="0" w:color="auto"/>
              <w:right w:val="single" w:sz="8" w:space="0" w:color="auto"/>
            </w:tcBorders>
          </w:tcPr>
          <w:p w14:paraId="2BF37692" w14:textId="6B36637A" w:rsidR="25447658" w:rsidRDefault="25447658" w:rsidP="007B39E9">
            <w:pPr>
              <w:jc w:val="center"/>
              <w:rPr>
                <w:rFonts w:ascii="Calibri" w:eastAsia="Calibri" w:hAnsi="Calibri" w:cs="Calibri"/>
                <w:sz w:val="16"/>
                <w:szCs w:val="16"/>
              </w:rPr>
            </w:pPr>
            <w:r w:rsidRPr="25447658">
              <w:rPr>
                <w:rFonts w:ascii="Calibri" w:eastAsia="Calibri" w:hAnsi="Calibri" w:cs="Calibri"/>
                <w:sz w:val="16"/>
                <w:szCs w:val="16"/>
              </w:rPr>
              <w:t>0.</w:t>
            </w:r>
            <w:r w:rsidR="4CCEC16C" w:rsidRPr="5F3EA9C0">
              <w:rPr>
                <w:rFonts w:ascii="Calibri" w:eastAsia="Calibri" w:hAnsi="Calibri" w:cs="Calibri"/>
                <w:sz w:val="16"/>
                <w:szCs w:val="16"/>
              </w:rPr>
              <w:t>35</w:t>
            </w:r>
            <w:r w:rsidRPr="25447658">
              <w:rPr>
                <w:rFonts w:ascii="Calibri" w:eastAsia="Calibri" w:hAnsi="Calibri" w:cs="Calibri"/>
                <w:sz w:val="16"/>
                <w:szCs w:val="16"/>
              </w:rPr>
              <w:t xml:space="preserve"> </w:t>
            </w:r>
          </w:p>
        </w:tc>
        <w:tc>
          <w:tcPr>
            <w:tcW w:w="585" w:type="dxa"/>
            <w:tcBorders>
              <w:top w:val="single" w:sz="8" w:space="0" w:color="auto"/>
              <w:left w:val="single" w:sz="8" w:space="0" w:color="auto"/>
              <w:bottom w:val="single" w:sz="8" w:space="0" w:color="auto"/>
              <w:right w:val="single" w:sz="8" w:space="0" w:color="auto"/>
            </w:tcBorders>
          </w:tcPr>
          <w:p w14:paraId="0EC6CE0E" w14:textId="3A9EBAC7" w:rsidR="25447658" w:rsidRDefault="25447658" w:rsidP="007B39E9">
            <w:pPr>
              <w:jc w:val="center"/>
              <w:rPr>
                <w:rFonts w:ascii="Calibri" w:eastAsia="Calibri" w:hAnsi="Calibri" w:cs="Calibri"/>
                <w:sz w:val="16"/>
                <w:szCs w:val="16"/>
              </w:rPr>
            </w:pPr>
            <w:r w:rsidRPr="25447658">
              <w:rPr>
                <w:rFonts w:ascii="Calibri" w:eastAsia="Calibri" w:hAnsi="Calibri" w:cs="Calibri"/>
                <w:sz w:val="16"/>
                <w:szCs w:val="16"/>
              </w:rPr>
              <w:t>$3M</w:t>
            </w:r>
          </w:p>
        </w:tc>
        <w:tc>
          <w:tcPr>
            <w:tcW w:w="540" w:type="dxa"/>
            <w:tcBorders>
              <w:top w:val="single" w:sz="8" w:space="0" w:color="auto"/>
              <w:left w:val="single" w:sz="8" w:space="0" w:color="auto"/>
              <w:bottom w:val="single" w:sz="8" w:space="0" w:color="auto"/>
              <w:right w:val="single" w:sz="8" w:space="0" w:color="auto"/>
            </w:tcBorders>
          </w:tcPr>
          <w:p w14:paraId="7B2EB281" w14:textId="3AC89343" w:rsidR="25447658" w:rsidRDefault="25447658" w:rsidP="007B39E9">
            <w:pPr>
              <w:jc w:val="center"/>
              <w:rPr>
                <w:rFonts w:ascii="Calibri" w:eastAsia="Calibri" w:hAnsi="Calibri" w:cs="Calibri"/>
                <w:sz w:val="16"/>
                <w:szCs w:val="16"/>
              </w:rPr>
            </w:pPr>
            <w:r w:rsidRPr="25447658">
              <w:rPr>
                <w:rFonts w:ascii="Calibri" w:eastAsia="Calibri" w:hAnsi="Calibri" w:cs="Calibri"/>
                <w:sz w:val="16"/>
                <w:szCs w:val="16"/>
              </w:rPr>
              <w:t>0.</w:t>
            </w:r>
            <w:r w:rsidR="4CCEC16C" w:rsidRPr="5F3EA9C0">
              <w:rPr>
                <w:rFonts w:ascii="Calibri" w:eastAsia="Calibri" w:hAnsi="Calibri" w:cs="Calibri"/>
                <w:sz w:val="16"/>
                <w:szCs w:val="16"/>
              </w:rPr>
              <w:t>35</w:t>
            </w:r>
          </w:p>
        </w:tc>
        <w:tc>
          <w:tcPr>
            <w:tcW w:w="825" w:type="dxa"/>
            <w:tcBorders>
              <w:top w:val="single" w:sz="8" w:space="0" w:color="auto"/>
              <w:left w:val="single" w:sz="8" w:space="0" w:color="auto"/>
              <w:bottom w:val="single" w:sz="8" w:space="0" w:color="auto"/>
              <w:right w:val="single" w:sz="8" w:space="0" w:color="auto"/>
            </w:tcBorders>
            <w:shd w:val="clear" w:color="auto" w:fill="D9D9D9" w:themeFill="background1" w:themeFillShade="D9"/>
          </w:tcPr>
          <w:p w14:paraId="0D79B5F7" w14:textId="68883C99" w:rsidR="25447658" w:rsidRDefault="25447658" w:rsidP="007B39E9">
            <w:pPr>
              <w:jc w:val="center"/>
              <w:rPr>
                <w:rFonts w:ascii="Calibri" w:eastAsia="Calibri" w:hAnsi="Calibri" w:cs="Calibri"/>
                <w:sz w:val="16"/>
                <w:szCs w:val="16"/>
              </w:rPr>
            </w:pPr>
            <w:r w:rsidRPr="25447658">
              <w:rPr>
                <w:rFonts w:ascii="Calibri" w:eastAsia="Calibri" w:hAnsi="Calibri" w:cs="Calibri"/>
                <w:sz w:val="16"/>
                <w:szCs w:val="16"/>
              </w:rPr>
              <w:t xml:space="preserve">0.5 </w:t>
            </w:r>
          </w:p>
        </w:tc>
        <w:tc>
          <w:tcPr>
            <w:tcW w:w="735" w:type="dxa"/>
            <w:tcBorders>
              <w:top w:val="single" w:sz="8" w:space="0" w:color="auto"/>
              <w:left w:val="single" w:sz="8" w:space="0" w:color="auto"/>
              <w:bottom w:val="single" w:sz="8" w:space="0" w:color="auto"/>
              <w:right w:val="single" w:sz="8" w:space="0" w:color="auto"/>
            </w:tcBorders>
          </w:tcPr>
          <w:p w14:paraId="1AE202FC" w14:textId="57CE0CCF" w:rsidR="25447658" w:rsidRDefault="25447658" w:rsidP="007B39E9">
            <w:pPr>
              <w:jc w:val="center"/>
              <w:rPr>
                <w:rFonts w:ascii="Calibri" w:eastAsia="Calibri" w:hAnsi="Calibri" w:cs="Calibri"/>
                <w:sz w:val="16"/>
                <w:szCs w:val="16"/>
              </w:rPr>
            </w:pPr>
            <w:r w:rsidRPr="25447658">
              <w:rPr>
                <w:rFonts w:ascii="Calibri" w:eastAsia="Calibri" w:hAnsi="Calibri" w:cs="Calibri"/>
                <w:sz w:val="16"/>
                <w:szCs w:val="16"/>
              </w:rPr>
              <w:t>0.</w:t>
            </w:r>
            <w:r w:rsidR="4CCEC16C" w:rsidRPr="5F3EA9C0">
              <w:rPr>
                <w:rFonts w:ascii="Calibri" w:eastAsia="Calibri" w:hAnsi="Calibri" w:cs="Calibri"/>
                <w:sz w:val="16"/>
                <w:szCs w:val="16"/>
              </w:rPr>
              <w:t>0</w:t>
            </w:r>
            <w:r w:rsidR="6BA7568A" w:rsidRPr="5F3EA9C0">
              <w:rPr>
                <w:rFonts w:ascii="Calibri" w:eastAsia="Calibri" w:hAnsi="Calibri" w:cs="Calibri"/>
                <w:sz w:val="16"/>
                <w:szCs w:val="16"/>
              </w:rPr>
              <w:t>25</w:t>
            </w:r>
          </w:p>
        </w:tc>
        <w:tc>
          <w:tcPr>
            <w:tcW w:w="855" w:type="dxa"/>
            <w:tcBorders>
              <w:top w:val="single" w:sz="8" w:space="0" w:color="auto"/>
              <w:left w:val="single" w:sz="8" w:space="0" w:color="auto"/>
              <w:bottom w:val="single" w:sz="8" w:space="0" w:color="auto"/>
              <w:right w:val="single" w:sz="8" w:space="0" w:color="auto"/>
            </w:tcBorders>
          </w:tcPr>
          <w:p w14:paraId="37DCA149" w14:textId="08ED78DA" w:rsidR="25447658" w:rsidRDefault="25447658" w:rsidP="007B39E9">
            <w:pPr>
              <w:jc w:val="center"/>
              <w:rPr>
                <w:rFonts w:ascii="Calibri" w:eastAsia="Calibri" w:hAnsi="Calibri" w:cs="Calibri"/>
                <w:sz w:val="16"/>
                <w:szCs w:val="16"/>
              </w:rPr>
            </w:pPr>
            <w:r w:rsidRPr="25447658">
              <w:rPr>
                <w:rFonts w:ascii="Calibri" w:eastAsia="Calibri" w:hAnsi="Calibri" w:cs="Calibri"/>
                <w:sz w:val="16"/>
                <w:szCs w:val="16"/>
              </w:rPr>
              <w:t>0.</w:t>
            </w:r>
            <w:r w:rsidR="59BDB408" w:rsidRPr="5F3EA9C0">
              <w:rPr>
                <w:rFonts w:ascii="Calibri" w:eastAsia="Calibri" w:hAnsi="Calibri" w:cs="Calibri"/>
                <w:sz w:val="16"/>
                <w:szCs w:val="16"/>
              </w:rPr>
              <w:t>05</w:t>
            </w:r>
            <w:r w:rsidRPr="25447658">
              <w:rPr>
                <w:rFonts w:ascii="Calibri" w:eastAsia="Calibri" w:hAnsi="Calibri" w:cs="Calibri"/>
                <w:sz w:val="16"/>
                <w:szCs w:val="16"/>
              </w:rPr>
              <w:t xml:space="preserve"> </w:t>
            </w:r>
          </w:p>
        </w:tc>
        <w:tc>
          <w:tcPr>
            <w:tcW w:w="735" w:type="dxa"/>
            <w:tcBorders>
              <w:top w:val="single" w:sz="8" w:space="0" w:color="auto"/>
              <w:left w:val="single" w:sz="8" w:space="0" w:color="auto"/>
              <w:bottom w:val="single" w:sz="8" w:space="0" w:color="auto"/>
              <w:right w:val="single" w:sz="8" w:space="0" w:color="auto"/>
            </w:tcBorders>
          </w:tcPr>
          <w:p w14:paraId="6D35D160" w14:textId="5260B01C" w:rsidR="25447658" w:rsidRDefault="25447658" w:rsidP="007B39E9">
            <w:pPr>
              <w:jc w:val="center"/>
              <w:rPr>
                <w:rFonts w:ascii="Calibri" w:eastAsia="Calibri" w:hAnsi="Calibri" w:cs="Calibri"/>
                <w:sz w:val="16"/>
                <w:szCs w:val="16"/>
              </w:rPr>
            </w:pPr>
            <w:r w:rsidRPr="25447658">
              <w:rPr>
                <w:rFonts w:ascii="Calibri" w:eastAsia="Calibri" w:hAnsi="Calibri" w:cs="Calibri"/>
                <w:sz w:val="16"/>
                <w:szCs w:val="16"/>
              </w:rPr>
              <w:t>0.</w:t>
            </w:r>
            <w:r w:rsidR="4CCEC16C" w:rsidRPr="5F3EA9C0">
              <w:rPr>
                <w:rFonts w:ascii="Calibri" w:eastAsia="Calibri" w:hAnsi="Calibri" w:cs="Calibri"/>
                <w:sz w:val="16"/>
                <w:szCs w:val="16"/>
              </w:rPr>
              <w:t>0</w:t>
            </w:r>
            <w:r w:rsidR="0B380CA4" w:rsidRPr="5F3EA9C0">
              <w:rPr>
                <w:rFonts w:ascii="Calibri" w:eastAsia="Calibri" w:hAnsi="Calibri" w:cs="Calibri"/>
                <w:sz w:val="16"/>
                <w:szCs w:val="16"/>
              </w:rPr>
              <w:t>25</w:t>
            </w:r>
          </w:p>
        </w:tc>
        <w:tc>
          <w:tcPr>
            <w:tcW w:w="765" w:type="dxa"/>
            <w:tcBorders>
              <w:top w:val="single" w:sz="8" w:space="0" w:color="auto"/>
              <w:left w:val="single" w:sz="8" w:space="0" w:color="auto"/>
              <w:bottom w:val="single" w:sz="8" w:space="0" w:color="auto"/>
              <w:right w:val="single" w:sz="8" w:space="0" w:color="auto"/>
            </w:tcBorders>
          </w:tcPr>
          <w:p w14:paraId="74F37A91" w14:textId="01394726" w:rsidR="25447658" w:rsidRDefault="25447658" w:rsidP="007B39E9">
            <w:pPr>
              <w:jc w:val="center"/>
              <w:rPr>
                <w:rFonts w:ascii="Calibri" w:eastAsia="Calibri" w:hAnsi="Calibri" w:cs="Calibri"/>
                <w:sz w:val="16"/>
                <w:szCs w:val="16"/>
              </w:rPr>
            </w:pPr>
            <w:r w:rsidRPr="25447658">
              <w:rPr>
                <w:rFonts w:ascii="Calibri" w:eastAsia="Calibri" w:hAnsi="Calibri" w:cs="Calibri"/>
                <w:sz w:val="16"/>
                <w:szCs w:val="16"/>
              </w:rPr>
              <w:t>0.</w:t>
            </w:r>
            <w:r w:rsidR="5E2BC38C" w:rsidRPr="5F3EA9C0">
              <w:rPr>
                <w:rFonts w:ascii="Calibri" w:eastAsia="Calibri" w:hAnsi="Calibri" w:cs="Calibri"/>
                <w:sz w:val="16"/>
                <w:szCs w:val="16"/>
              </w:rPr>
              <w:t>4</w:t>
            </w:r>
            <w:r w:rsidRPr="25447658">
              <w:rPr>
                <w:rFonts w:ascii="Calibri" w:eastAsia="Calibri" w:hAnsi="Calibri" w:cs="Calibri"/>
                <w:sz w:val="16"/>
                <w:szCs w:val="16"/>
              </w:rPr>
              <w:t xml:space="preserve"> </w:t>
            </w:r>
          </w:p>
        </w:tc>
      </w:tr>
      <w:tr w:rsidR="007965E5" w14:paraId="73608477" w14:textId="77777777" w:rsidTr="00D412F5">
        <w:trPr>
          <w:trHeight w:val="300"/>
        </w:trPr>
        <w:tc>
          <w:tcPr>
            <w:tcW w:w="236" w:type="dxa"/>
            <w:tcBorders>
              <w:top w:val="single" w:sz="8" w:space="0" w:color="auto"/>
              <w:left w:val="single" w:sz="8" w:space="0" w:color="auto"/>
              <w:bottom w:val="single" w:sz="8" w:space="0" w:color="auto"/>
              <w:right w:val="single" w:sz="8" w:space="0" w:color="auto"/>
            </w:tcBorders>
            <w:shd w:val="clear" w:color="auto" w:fill="000000" w:themeFill="text1"/>
          </w:tcPr>
          <w:p w14:paraId="70805D05" w14:textId="75752EF3" w:rsidR="25447658" w:rsidRDefault="25447658" w:rsidP="007B39E9">
            <w:pPr>
              <w:jc w:val="center"/>
              <w:rPr>
                <w:rFonts w:ascii="Calibri" w:eastAsia="Calibri" w:hAnsi="Calibri" w:cs="Calibri"/>
                <w:sz w:val="16"/>
                <w:szCs w:val="16"/>
              </w:rPr>
            </w:pPr>
            <w:r w:rsidRPr="25447658">
              <w:rPr>
                <w:rFonts w:ascii="Calibri" w:eastAsia="Calibri" w:hAnsi="Calibri" w:cs="Calibri"/>
                <w:b/>
                <w:bCs/>
                <w:sz w:val="16"/>
                <w:szCs w:val="16"/>
              </w:rPr>
              <w:t> </w:t>
            </w:r>
            <w:r w:rsidRPr="25447658">
              <w:rPr>
                <w:rFonts w:ascii="Calibri" w:eastAsia="Calibri" w:hAnsi="Calibri" w:cs="Calibri"/>
                <w:sz w:val="16"/>
                <w:szCs w:val="16"/>
              </w:rPr>
              <w:t xml:space="preserve"> </w:t>
            </w:r>
          </w:p>
        </w:tc>
        <w:tc>
          <w:tcPr>
            <w:tcW w:w="1575" w:type="dxa"/>
            <w:tcBorders>
              <w:top w:val="single" w:sz="8" w:space="0" w:color="auto"/>
              <w:left w:val="single" w:sz="8" w:space="0" w:color="auto"/>
              <w:bottom w:val="single" w:sz="8" w:space="0" w:color="auto"/>
              <w:right w:val="single" w:sz="8" w:space="0" w:color="auto"/>
            </w:tcBorders>
            <w:shd w:val="clear" w:color="auto" w:fill="000000" w:themeFill="text1"/>
          </w:tcPr>
          <w:p w14:paraId="36C99A32" w14:textId="37BEE087" w:rsidR="25447658" w:rsidRDefault="25447658" w:rsidP="007B39E9">
            <w:pPr>
              <w:jc w:val="right"/>
              <w:rPr>
                <w:rFonts w:ascii="Calibri" w:eastAsia="Calibri" w:hAnsi="Calibri" w:cs="Calibri"/>
                <w:sz w:val="16"/>
                <w:szCs w:val="16"/>
              </w:rPr>
            </w:pPr>
            <w:r w:rsidRPr="25447658">
              <w:rPr>
                <w:rFonts w:ascii="Calibri" w:eastAsia="Calibri" w:hAnsi="Calibri" w:cs="Calibri"/>
                <w:b/>
                <w:bCs/>
                <w:sz w:val="16"/>
                <w:szCs w:val="16"/>
              </w:rPr>
              <w:t>Totals (US $M)</w:t>
            </w:r>
            <w:r w:rsidRPr="25447658">
              <w:rPr>
                <w:rFonts w:ascii="Calibri" w:eastAsia="Calibri" w:hAnsi="Calibri" w:cs="Calibri"/>
                <w:sz w:val="16"/>
                <w:szCs w:val="16"/>
              </w:rPr>
              <w:t xml:space="preserve"> </w:t>
            </w:r>
          </w:p>
        </w:tc>
        <w:tc>
          <w:tcPr>
            <w:tcW w:w="765" w:type="dxa"/>
            <w:tcBorders>
              <w:top w:val="single" w:sz="8" w:space="0" w:color="auto"/>
              <w:left w:val="single" w:sz="8" w:space="0" w:color="auto"/>
              <w:bottom w:val="single" w:sz="8" w:space="0" w:color="auto"/>
              <w:right w:val="single" w:sz="8" w:space="0" w:color="auto"/>
            </w:tcBorders>
            <w:shd w:val="clear" w:color="auto" w:fill="000000" w:themeFill="text1"/>
          </w:tcPr>
          <w:p w14:paraId="2B72A1A1" w14:textId="4BFAABB1" w:rsidR="25447658" w:rsidRDefault="25447658" w:rsidP="007B39E9">
            <w:pPr>
              <w:jc w:val="center"/>
              <w:rPr>
                <w:rFonts w:ascii="Calibri" w:eastAsia="Calibri" w:hAnsi="Calibri" w:cs="Calibri"/>
                <w:sz w:val="16"/>
                <w:szCs w:val="16"/>
              </w:rPr>
            </w:pPr>
            <w:r w:rsidRPr="25447658">
              <w:rPr>
                <w:rFonts w:ascii="Calibri" w:eastAsia="Calibri" w:hAnsi="Calibri" w:cs="Calibri"/>
                <w:b/>
                <w:bCs/>
                <w:sz w:val="16"/>
                <w:szCs w:val="16"/>
              </w:rPr>
              <w:t> </w:t>
            </w:r>
            <w:r w:rsidRPr="25447658">
              <w:rPr>
                <w:rFonts w:ascii="Calibri" w:eastAsia="Calibri" w:hAnsi="Calibri" w:cs="Calibri"/>
                <w:sz w:val="16"/>
                <w:szCs w:val="16"/>
              </w:rPr>
              <w:t xml:space="preserve"> </w:t>
            </w:r>
          </w:p>
        </w:tc>
        <w:tc>
          <w:tcPr>
            <w:tcW w:w="645" w:type="dxa"/>
            <w:tcBorders>
              <w:top w:val="single" w:sz="8" w:space="0" w:color="auto"/>
              <w:left w:val="single" w:sz="8" w:space="0" w:color="auto"/>
              <w:bottom w:val="single" w:sz="8" w:space="0" w:color="auto"/>
              <w:right w:val="single" w:sz="8" w:space="0" w:color="auto"/>
            </w:tcBorders>
            <w:shd w:val="clear" w:color="auto" w:fill="000000" w:themeFill="text1"/>
          </w:tcPr>
          <w:p w14:paraId="06EFA9A4" w14:textId="55B304B4" w:rsidR="25447658" w:rsidRDefault="25447658" w:rsidP="007B39E9">
            <w:pPr>
              <w:jc w:val="center"/>
              <w:rPr>
                <w:rFonts w:ascii="Calibri" w:eastAsia="Calibri" w:hAnsi="Calibri" w:cs="Calibri"/>
                <w:sz w:val="16"/>
                <w:szCs w:val="16"/>
              </w:rPr>
            </w:pPr>
            <w:r w:rsidRPr="25447658">
              <w:rPr>
                <w:rFonts w:ascii="Calibri" w:eastAsia="Calibri" w:hAnsi="Calibri" w:cs="Calibri"/>
                <w:b/>
                <w:bCs/>
                <w:sz w:val="16"/>
                <w:szCs w:val="16"/>
              </w:rPr>
              <w:t>122.</w:t>
            </w:r>
            <w:r w:rsidR="169E2797" w:rsidRPr="1F9B0A21">
              <w:rPr>
                <w:rFonts w:ascii="Calibri" w:eastAsia="Calibri" w:hAnsi="Calibri" w:cs="Calibri"/>
                <w:b/>
                <w:bCs/>
                <w:sz w:val="16"/>
                <w:szCs w:val="16"/>
              </w:rPr>
              <w:t>8</w:t>
            </w:r>
            <w:r w:rsidRPr="25447658">
              <w:rPr>
                <w:rFonts w:ascii="Calibri" w:eastAsia="Calibri" w:hAnsi="Calibri" w:cs="Calibri"/>
                <w:sz w:val="16"/>
                <w:szCs w:val="16"/>
              </w:rPr>
              <w:t xml:space="preserve"> </w:t>
            </w:r>
          </w:p>
        </w:tc>
        <w:tc>
          <w:tcPr>
            <w:tcW w:w="705" w:type="dxa"/>
            <w:tcBorders>
              <w:top w:val="single" w:sz="8" w:space="0" w:color="auto"/>
              <w:left w:val="single" w:sz="8" w:space="0" w:color="auto"/>
              <w:bottom w:val="single" w:sz="8" w:space="0" w:color="auto"/>
              <w:right w:val="single" w:sz="8" w:space="0" w:color="auto"/>
            </w:tcBorders>
            <w:shd w:val="clear" w:color="auto" w:fill="000000" w:themeFill="text1"/>
          </w:tcPr>
          <w:p w14:paraId="14E4DC29" w14:textId="624E7475" w:rsidR="25447658" w:rsidRDefault="25447658" w:rsidP="007B39E9">
            <w:pPr>
              <w:jc w:val="center"/>
              <w:rPr>
                <w:rFonts w:ascii="Calibri" w:eastAsia="Calibri" w:hAnsi="Calibri" w:cs="Calibri"/>
                <w:sz w:val="16"/>
                <w:szCs w:val="16"/>
              </w:rPr>
            </w:pPr>
            <w:r w:rsidRPr="25447658">
              <w:rPr>
                <w:rFonts w:ascii="Calibri" w:eastAsia="Calibri" w:hAnsi="Calibri" w:cs="Calibri"/>
                <w:b/>
                <w:bCs/>
                <w:sz w:val="16"/>
                <w:szCs w:val="16"/>
              </w:rPr>
              <w:t>24.</w:t>
            </w:r>
            <w:r w:rsidR="3DBE5A96" w:rsidRPr="53508D0E">
              <w:rPr>
                <w:rFonts w:ascii="Calibri" w:eastAsia="Calibri" w:hAnsi="Calibri" w:cs="Calibri"/>
                <w:b/>
                <w:bCs/>
                <w:sz w:val="16"/>
                <w:szCs w:val="16"/>
              </w:rPr>
              <w:t>8</w:t>
            </w:r>
            <w:r w:rsidRPr="53508D0E">
              <w:rPr>
                <w:rFonts w:ascii="Calibri" w:eastAsia="Calibri" w:hAnsi="Calibri" w:cs="Calibri"/>
                <w:b/>
                <w:bCs/>
                <w:sz w:val="16"/>
                <w:szCs w:val="16"/>
              </w:rPr>
              <w:t>7</w:t>
            </w:r>
            <w:r w:rsidRPr="25447658">
              <w:rPr>
                <w:rFonts w:ascii="Calibri" w:eastAsia="Calibri" w:hAnsi="Calibri" w:cs="Calibri"/>
                <w:sz w:val="16"/>
                <w:szCs w:val="16"/>
              </w:rPr>
              <w:t xml:space="preserve"> </w:t>
            </w:r>
          </w:p>
        </w:tc>
        <w:tc>
          <w:tcPr>
            <w:tcW w:w="585" w:type="dxa"/>
            <w:tcBorders>
              <w:top w:val="single" w:sz="8" w:space="0" w:color="auto"/>
              <w:left w:val="single" w:sz="8" w:space="0" w:color="auto"/>
              <w:bottom w:val="single" w:sz="8" w:space="0" w:color="auto"/>
              <w:right w:val="single" w:sz="8" w:space="0" w:color="auto"/>
            </w:tcBorders>
            <w:shd w:val="clear" w:color="auto" w:fill="000000" w:themeFill="text1"/>
          </w:tcPr>
          <w:p w14:paraId="572CF08E" w14:textId="1591FFEE" w:rsidR="25447658" w:rsidRDefault="25447658" w:rsidP="007B39E9">
            <w:pPr>
              <w:jc w:val="center"/>
              <w:rPr>
                <w:rFonts w:ascii="Calibri" w:eastAsia="Calibri" w:hAnsi="Calibri" w:cs="Calibri"/>
                <w:sz w:val="16"/>
                <w:szCs w:val="16"/>
              </w:rPr>
            </w:pPr>
            <w:r w:rsidRPr="25447658">
              <w:rPr>
                <w:rFonts w:ascii="Calibri" w:eastAsia="Calibri" w:hAnsi="Calibri" w:cs="Calibri"/>
                <w:b/>
                <w:bCs/>
                <w:sz w:val="16"/>
                <w:szCs w:val="16"/>
              </w:rPr>
              <w:t>81.5</w:t>
            </w:r>
            <w:r w:rsidRPr="25447658">
              <w:rPr>
                <w:rFonts w:ascii="Calibri" w:eastAsia="Calibri" w:hAnsi="Calibri" w:cs="Calibri"/>
                <w:sz w:val="16"/>
                <w:szCs w:val="16"/>
              </w:rPr>
              <w:t xml:space="preserve"> </w:t>
            </w:r>
          </w:p>
        </w:tc>
        <w:tc>
          <w:tcPr>
            <w:tcW w:w="540" w:type="dxa"/>
            <w:tcBorders>
              <w:top w:val="single" w:sz="8" w:space="0" w:color="auto"/>
              <w:left w:val="single" w:sz="8" w:space="0" w:color="auto"/>
              <w:bottom w:val="single" w:sz="8" w:space="0" w:color="auto"/>
              <w:right w:val="single" w:sz="8" w:space="0" w:color="auto"/>
            </w:tcBorders>
            <w:shd w:val="clear" w:color="auto" w:fill="000000" w:themeFill="text1"/>
          </w:tcPr>
          <w:p w14:paraId="6C53905D" w14:textId="3DEA6200" w:rsidR="25447658" w:rsidRDefault="25447658" w:rsidP="007B39E9">
            <w:pPr>
              <w:jc w:val="center"/>
              <w:rPr>
                <w:rFonts w:ascii="Calibri" w:eastAsia="Calibri" w:hAnsi="Calibri" w:cs="Calibri"/>
                <w:sz w:val="16"/>
                <w:szCs w:val="16"/>
              </w:rPr>
            </w:pPr>
            <w:r w:rsidRPr="25447658">
              <w:rPr>
                <w:rFonts w:ascii="Calibri" w:eastAsia="Calibri" w:hAnsi="Calibri" w:cs="Calibri"/>
                <w:b/>
                <w:bCs/>
                <w:sz w:val="16"/>
                <w:szCs w:val="16"/>
              </w:rPr>
              <w:t>16.5</w:t>
            </w:r>
            <w:r w:rsidRPr="25447658">
              <w:rPr>
                <w:rFonts w:ascii="Calibri" w:eastAsia="Calibri" w:hAnsi="Calibri" w:cs="Calibri"/>
                <w:sz w:val="16"/>
                <w:szCs w:val="16"/>
              </w:rPr>
              <w:t xml:space="preserve"> </w:t>
            </w:r>
          </w:p>
        </w:tc>
        <w:tc>
          <w:tcPr>
            <w:tcW w:w="825" w:type="dxa"/>
            <w:tcBorders>
              <w:top w:val="single" w:sz="8" w:space="0" w:color="auto"/>
              <w:left w:val="single" w:sz="8" w:space="0" w:color="auto"/>
              <w:bottom w:val="single" w:sz="8" w:space="0" w:color="auto"/>
              <w:right w:val="single" w:sz="8" w:space="0" w:color="auto"/>
            </w:tcBorders>
            <w:shd w:val="clear" w:color="auto" w:fill="000000" w:themeFill="text1"/>
          </w:tcPr>
          <w:p w14:paraId="2B0D9D8C" w14:textId="5C835C94" w:rsidR="25447658" w:rsidRDefault="25447658" w:rsidP="007B39E9">
            <w:pPr>
              <w:jc w:val="center"/>
              <w:rPr>
                <w:rFonts w:ascii="Calibri" w:eastAsia="Calibri" w:hAnsi="Calibri" w:cs="Calibri"/>
                <w:sz w:val="16"/>
                <w:szCs w:val="16"/>
              </w:rPr>
            </w:pPr>
            <w:r w:rsidRPr="25447658">
              <w:rPr>
                <w:rFonts w:ascii="Calibri" w:eastAsia="Calibri" w:hAnsi="Calibri" w:cs="Calibri"/>
                <w:b/>
                <w:bCs/>
                <w:sz w:val="16"/>
                <w:szCs w:val="16"/>
              </w:rPr>
              <w:t>34.5</w:t>
            </w:r>
            <w:r w:rsidRPr="25447658">
              <w:rPr>
                <w:rFonts w:ascii="Calibri" w:eastAsia="Calibri" w:hAnsi="Calibri" w:cs="Calibri"/>
                <w:sz w:val="16"/>
                <w:szCs w:val="16"/>
              </w:rPr>
              <w:t xml:space="preserve"> </w:t>
            </w:r>
          </w:p>
        </w:tc>
        <w:tc>
          <w:tcPr>
            <w:tcW w:w="735" w:type="dxa"/>
            <w:tcBorders>
              <w:top w:val="single" w:sz="8" w:space="0" w:color="auto"/>
              <w:left w:val="single" w:sz="8" w:space="0" w:color="auto"/>
              <w:bottom w:val="single" w:sz="8" w:space="0" w:color="auto"/>
              <w:right w:val="single" w:sz="8" w:space="0" w:color="auto"/>
            </w:tcBorders>
            <w:shd w:val="clear" w:color="auto" w:fill="000000" w:themeFill="text1"/>
          </w:tcPr>
          <w:p w14:paraId="6FAEF306" w14:textId="3BC149BE" w:rsidR="25447658" w:rsidRDefault="25447658" w:rsidP="007B39E9">
            <w:pPr>
              <w:jc w:val="center"/>
              <w:rPr>
                <w:rFonts w:ascii="Calibri" w:eastAsia="Calibri" w:hAnsi="Calibri" w:cs="Calibri"/>
                <w:b/>
                <w:bCs/>
                <w:sz w:val="16"/>
                <w:szCs w:val="16"/>
              </w:rPr>
            </w:pPr>
            <w:r w:rsidRPr="25447658">
              <w:rPr>
                <w:rFonts w:ascii="Calibri" w:eastAsia="Calibri" w:hAnsi="Calibri" w:cs="Calibri"/>
                <w:b/>
                <w:bCs/>
                <w:sz w:val="16"/>
                <w:szCs w:val="16"/>
              </w:rPr>
              <w:t>8.</w:t>
            </w:r>
            <w:r w:rsidR="2BDBC4CC" w:rsidRPr="5F3EA9C0">
              <w:rPr>
                <w:rFonts w:ascii="Calibri" w:eastAsia="Calibri" w:hAnsi="Calibri" w:cs="Calibri"/>
                <w:b/>
                <w:bCs/>
                <w:sz w:val="16"/>
                <w:szCs w:val="16"/>
              </w:rPr>
              <w:t>4</w:t>
            </w:r>
            <w:r w:rsidR="4F1B5535" w:rsidRPr="5F3EA9C0">
              <w:rPr>
                <w:rFonts w:ascii="Calibri" w:eastAsia="Calibri" w:hAnsi="Calibri" w:cs="Calibri"/>
                <w:b/>
                <w:bCs/>
                <w:sz w:val="16"/>
                <w:szCs w:val="16"/>
              </w:rPr>
              <w:t>486</w:t>
            </w:r>
          </w:p>
        </w:tc>
        <w:tc>
          <w:tcPr>
            <w:tcW w:w="855" w:type="dxa"/>
            <w:tcBorders>
              <w:top w:val="single" w:sz="8" w:space="0" w:color="auto"/>
              <w:left w:val="single" w:sz="8" w:space="0" w:color="auto"/>
              <w:bottom w:val="single" w:sz="8" w:space="0" w:color="auto"/>
              <w:right w:val="single" w:sz="8" w:space="0" w:color="auto"/>
            </w:tcBorders>
            <w:shd w:val="clear" w:color="auto" w:fill="000000" w:themeFill="text1"/>
          </w:tcPr>
          <w:p w14:paraId="5C239BAB" w14:textId="496E9638" w:rsidR="25447658" w:rsidRDefault="4CCEC16C" w:rsidP="007B39E9">
            <w:pPr>
              <w:jc w:val="center"/>
              <w:rPr>
                <w:rFonts w:ascii="Calibri" w:eastAsia="Calibri" w:hAnsi="Calibri" w:cs="Calibri"/>
                <w:b/>
                <w:bCs/>
                <w:sz w:val="16"/>
                <w:szCs w:val="16"/>
              </w:rPr>
            </w:pPr>
            <w:r w:rsidRPr="5F3EA9C0">
              <w:rPr>
                <w:rFonts w:ascii="Calibri" w:eastAsia="Calibri" w:hAnsi="Calibri" w:cs="Calibri"/>
                <w:b/>
                <w:bCs/>
                <w:sz w:val="16"/>
                <w:szCs w:val="16"/>
              </w:rPr>
              <w:t>1</w:t>
            </w:r>
            <w:r w:rsidR="532FADC5" w:rsidRPr="5F3EA9C0">
              <w:rPr>
                <w:rFonts w:ascii="Calibri" w:eastAsia="Calibri" w:hAnsi="Calibri" w:cs="Calibri"/>
                <w:b/>
                <w:bCs/>
                <w:sz w:val="16"/>
                <w:szCs w:val="16"/>
              </w:rPr>
              <w:t>7.76</w:t>
            </w:r>
            <w:r w:rsidRPr="5F3EA9C0">
              <w:rPr>
                <w:rFonts w:ascii="Calibri" w:eastAsia="Calibri" w:hAnsi="Calibri" w:cs="Calibri"/>
                <w:b/>
                <w:bCs/>
                <w:sz w:val="16"/>
                <w:szCs w:val="16"/>
              </w:rPr>
              <w:t xml:space="preserve"> </w:t>
            </w:r>
          </w:p>
        </w:tc>
        <w:tc>
          <w:tcPr>
            <w:tcW w:w="735" w:type="dxa"/>
            <w:tcBorders>
              <w:top w:val="single" w:sz="8" w:space="0" w:color="auto"/>
              <w:left w:val="single" w:sz="8" w:space="0" w:color="auto"/>
              <w:bottom w:val="single" w:sz="8" w:space="0" w:color="auto"/>
              <w:right w:val="single" w:sz="8" w:space="0" w:color="auto"/>
            </w:tcBorders>
            <w:shd w:val="clear" w:color="auto" w:fill="000000" w:themeFill="text1"/>
          </w:tcPr>
          <w:p w14:paraId="165E4319" w14:textId="2E2899E4" w:rsidR="25447658" w:rsidRDefault="25447658" w:rsidP="007B39E9">
            <w:pPr>
              <w:jc w:val="center"/>
              <w:rPr>
                <w:rFonts w:ascii="Calibri" w:eastAsia="Calibri" w:hAnsi="Calibri" w:cs="Calibri"/>
                <w:b/>
                <w:bCs/>
                <w:sz w:val="16"/>
                <w:szCs w:val="16"/>
              </w:rPr>
            </w:pPr>
            <w:r w:rsidRPr="25447658">
              <w:rPr>
                <w:rFonts w:ascii="Calibri" w:eastAsia="Calibri" w:hAnsi="Calibri" w:cs="Calibri"/>
                <w:b/>
                <w:bCs/>
                <w:sz w:val="16"/>
                <w:szCs w:val="16"/>
              </w:rPr>
              <w:t>7.</w:t>
            </w:r>
            <w:r w:rsidR="10561ADF" w:rsidRPr="5F3EA9C0">
              <w:rPr>
                <w:rFonts w:ascii="Calibri" w:eastAsia="Calibri" w:hAnsi="Calibri" w:cs="Calibri"/>
                <w:b/>
                <w:bCs/>
                <w:sz w:val="16"/>
                <w:szCs w:val="16"/>
              </w:rPr>
              <w:t>1486</w:t>
            </w:r>
          </w:p>
        </w:tc>
        <w:tc>
          <w:tcPr>
            <w:tcW w:w="765" w:type="dxa"/>
            <w:tcBorders>
              <w:top w:val="single" w:sz="8" w:space="0" w:color="auto"/>
              <w:left w:val="single" w:sz="8" w:space="0" w:color="auto"/>
              <w:bottom w:val="single" w:sz="8" w:space="0" w:color="auto"/>
              <w:right w:val="single" w:sz="8" w:space="0" w:color="auto"/>
            </w:tcBorders>
            <w:shd w:val="clear" w:color="auto" w:fill="000000" w:themeFill="text1"/>
          </w:tcPr>
          <w:p w14:paraId="65E2DA76" w14:textId="47D8BAA3" w:rsidR="25447658" w:rsidRDefault="73CF4F57" w:rsidP="007B39E9">
            <w:pPr>
              <w:jc w:val="center"/>
              <w:rPr>
                <w:rFonts w:ascii="Calibri" w:eastAsia="Calibri" w:hAnsi="Calibri" w:cs="Calibri"/>
                <w:b/>
                <w:bCs/>
                <w:sz w:val="16"/>
                <w:szCs w:val="16"/>
              </w:rPr>
            </w:pPr>
            <w:r w:rsidRPr="5F3EA9C0">
              <w:rPr>
                <w:rFonts w:ascii="Calibri" w:eastAsia="Calibri" w:hAnsi="Calibri" w:cs="Calibri"/>
                <w:b/>
                <w:bCs/>
                <w:sz w:val="16"/>
                <w:szCs w:val="16"/>
              </w:rPr>
              <w:t>1</w:t>
            </w:r>
            <w:r w:rsidR="4CCEC16C" w:rsidRPr="5F3EA9C0">
              <w:rPr>
                <w:rFonts w:ascii="Calibri" w:eastAsia="Calibri" w:hAnsi="Calibri" w:cs="Calibri"/>
                <w:b/>
                <w:bCs/>
                <w:sz w:val="16"/>
                <w:szCs w:val="16"/>
              </w:rPr>
              <w:t>.</w:t>
            </w:r>
            <w:r w:rsidR="52AF570B" w:rsidRPr="5F3EA9C0">
              <w:rPr>
                <w:rFonts w:ascii="Calibri" w:eastAsia="Calibri" w:hAnsi="Calibri" w:cs="Calibri"/>
                <w:b/>
                <w:bCs/>
                <w:sz w:val="16"/>
                <w:szCs w:val="16"/>
              </w:rPr>
              <w:t>1</w:t>
            </w:r>
            <w:r w:rsidR="4285A5A6" w:rsidRPr="5F3EA9C0">
              <w:rPr>
                <w:rFonts w:ascii="Calibri" w:eastAsia="Calibri" w:hAnsi="Calibri" w:cs="Calibri"/>
                <w:b/>
                <w:bCs/>
                <w:sz w:val="16"/>
                <w:szCs w:val="16"/>
              </w:rPr>
              <w:t>428</w:t>
            </w:r>
          </w:p>
        </w:tc>
      </w:tr>
    </w:tbl>
    <w:p w14:paraId="2C704E59" w14:textId="7EAED5B0" w:rsidR="25447658" w:rsidRDefault="25447658" w:rsidP="25447658">
      <w:pPr>
        <w:rPr>
          <w:rFonts w:ascii="Calibri" w:hAnsi="Calibri" w:cs="Calibri"/>
          <w:sz w:val="21"/>
          <w:szCs w:val="21"/>
        </w:rPr>
      </w:pPr>
    </w:p>
    <w:tbl>
      <w:tblPr>
        <w:tblStyle w:val="TableGrid"/>
        <w:tblW w:w="0" w:type="auto"/>
        <w:tblLook w:val="04A0" w:firstRow="1" w:lastRow="0" w:firstColumn="1" w:lastColumn="0" w:noHBand="0" w:noVBand="1"/>
      </w:tblPr>
      <w:tblGrid>
        <w:gridCol w:w="9016"/>
      </w:tblGrid>
      <w:tr w:rsidR="00070742" w14:paraId="01CEE16D" w14:textId="77777777" w:rsidTr="25447658">
        <w:tc>
          <w:tcPr>
            <w:tcW w:w="9016" w:type="dxa"/>
          </w:tcPr>
          <w:p w14:paraId="529E271F" w14:textId="77777777" w:rsidR="00070742" w:rsidRPr="00E2211F" w:rsidRDefault="00070742" w:rsidP="00070742">
            <w:pPr>
              <w:pStyle w:val="Heading7"/>
              <w:spacing w:before="160"/>
              <w:outlineLvl w:val="6"/>
              <w:rPr>
                <w:rFonts w:asciiTheme="minorHAnsi" w:hAnsiTheme="minorHAnsi" w:cstheme="minorHAnsi"/>
                <w:sz w:val="22"/>
                <w:szCs w:val="22"/>
              </w:rPr>
            </w:pPr>
            <w:r w:rsidRPr="00E2211F">
              <w:rPr>
                <w:rFonts w:asciiTheme="minorHAnsi" w:hAnsiTheme="minorHAnsi" w:cstheme="minorHAnsi"/>
                <w:sz w:val="22"/>
                <w:szCs w:val="22"/>
              </w:rPr>
              <w:lastRenderedPageBreak/>
              <w:t>Description on how any “Investment Mobilized” was identified:</w:t>
            </w:r>
          </w:p>
          <w:p w14:paraId="184FA861" w14:textId="1C7568EF" w:rsidR="00070742" w:rsidRPr="003A522C" w:rsidRDefault="0551B817" w:rsidP="00070742">
            <w:pPr>
              <w:jc w:val="both"/>
              <w:rPr>
                <w:rFonts w:ascii="Calibri" w:hAnsi="Calibri" w:cs="Calibri"/>
                <w:sz w:val="16"/>
                <w:szCs w:val="16"/>
              </w:rPr>
            </w:pPr>
            <w:r w:rsidRPr="25447658">
              <w:rPr>
                <w:rFonts w:asciiTheme="minorHAnsi" w:hAnsiTheme="minorHAnsi" w:cstheme="minorBidi"/>
                <w:sz w:val="16"/>
                <w:szCs w:val="16"/>
              </w:rPr>
              <w:t>Most of the programs, projects and initiatives that comprise the financial baseline and co-financing</w:t>
            </w:r>
            <w:r w:rsidRPr="25447658">
              <w:rPr>
                <w:rFonts w:ascii="Calibri" w:hAnsi="Calibri" w:cs="Calibri"/>
                <w:sz w:val="16"/>
                <w:szCs w:val="16"/>
              </w:rPr>
              <w:t xml:space="preserve"> for this project are from public investments programs </w:t>
            </w:r>
            <w:r w:rsidR="000B13FF">
              <w:rPr>
                <w:rFonts w:ascii="Calibri" w:hAnsi="Calibri" w:cs="Calibri"/>
                <w:sz w:val="16"/>
                <w:szCs w:val="16"/>
              </w:rPr>
              <w:t>(</w:t>
            </w:r>
            <w:r w:rsidR="000B13FF" w:rsidRPr="000B13FF">
              <w:rPr>
                <w:rFonts w:ascii="Calibri" w:hAnsi="Calibri" w:cs="Calibri"/>
                <w:sz w:val="16"/>
                <w:szCs w:val="16"/>
                <w:highlight w:val="yellow"/>
              </w:rPr>
              <w:t>with incorporated PMC contribution, see below</w:t>
            </w:r>
            <w:r w:rsidR="000B13FF">
              <w:rPr>
                <w:rFonts w:ascii="Calibri" w:hAnsi="Calibri" w:cs="Calibri"/>
                <w:sz w:val="16"/>
                <w:szCs w:val="16"/>
              </w:rPr>
              <w:t xml:space="preserve">) </w:t>
            </w:r>
            <w:r w:rsidRPr="25447658">
              <w:rPr>
                <w:rFonts w:ascii="Calibri" w:hAnsi="Calibri" w:cs="Calibri"/>
                <w:sz w:val="16"/>
                <w:szCs w:val="16"/>
              </w:rPr>
              <w:t>planned by the Government of Angola and expected to be realized during the project implementation period. They are investments allocated through the Central State Budget (OGE) that will be managed by the  Ministry of Culture, Tourism and Environment (MCTA)and Ministry of Agriculture and  Fishery (MINAGRIP). The official identification of the programs is cited in the 2018-2022 National Development Program (PND). The financial assessment includes a conservative extrapolation of the named allocations for the project duration ( 2025 at least). The following selected sectoral programs under the PND were considered relevant to the project:</w:t>
            </w:r>
          </w:p>
          <w:p w14:paraId="42FB5C17" w14:textId="77777777" w:rsidR="00070742" w:rsidRPr="003A522C" w:rsidRDefault="00070742" w:rsidP="00C53A49">
            <w:pPr>
              <w:pStyle w:val="ListParagraph"/>
              <w:numPr>
                <w:ilvl w:val="0"/>
                <w:numId w:val="18"/>
              </w:numPr>
              <w:ind w:left="426" w:hanging="284"/>
              <w:rPr>
                <w:rFonts w:eastAsia="Calibri" w:cs="Calibri"/>
                <w:color w:val="000000" w:themeColor="text1"/>
                <w:sz w:val="16"/>
                <w:szCs w:val="16"/>
              </w:rPr>
            </w:pPr>
            <w:r w:rsidRPr="003A522C">
              <w:rPr>
                <w:rFonts w:cs="Calibri"/>
                <w:sz w:val="16"/>
                <w:szCs w:val="16"/>
              </w:rPr>
              <w:t>Program # 2.4.1) Climate Change, 100% relevant, managed by MCTA through its  Directorate of Environment and Climate Action (DNAAC) and related entities;</w:t>
            </w:r>
          </w:p>
          <w:p w14:paraId="4008C9CE" w14:textId="77777777" w:rsidR="00070742" w:rsidRPr="003A522C" w:rsidRDefault="00070742" w:rsidP="00C53A49">
            <w:pPr>
              <w:pStyle w:val="ListParagraph"/>
              <w:numPr>
                <w:ilvl w:val="0"/>
                <w:numId w:val="18"/>
              </w:numPr>
              <w:ind w:left="426" w:hanging="284"/>
              <w:rPr>
                <w:rFonts w:eastAsia="Calibri" w:cs="Calibri"/>
                <w:color w:val="000000" w:themeColor="text1"/>
                <w:sz w:val="16"/>
                <w:szCs w:val="16"/>
              </w:rPr>
            </w:pPr>
            <w:r w:rsidRPr="003A522C">
              <w:rPr>
                <w:rFonts w:cs="Calibri"/>
                <w:sz w:val="16"/>
                <w:szCs w:val="16"/>
              </w:rPr>
              <w:t>Program # 2.3.2) Promoting Agricultural Production, 30% relevant, managed by MINAGRIP through its National Directorate for Agriculture and Livestock and related entities;</w:t>
            </w:r>
          </w:p>
          <w:p w14:paraId="2C32A972" w14:textId="77777777" w:rsidR="00070742" w:rsidRPr="003A522C" w:rsidRDefault="00070742" w:rsidP="00C53A49">
            <w:pPr>
              <w:pStyle w:val="ListParagraph"/>
              <w:numPr>
                <w:ilvl w:val="0"/>
                <w:numId w:val="18"/>
              </w:numPr>
              <w:ind w:left="426" w:hanging="284"/>
              <w:rPr>
                <w:rFonts w:cs="Calibri"/>
                <w:sz w:val="16"/>
                <w:szCs w:val="16"/>
              </w:rPr>
            </w:pPr>
            <w:r w:rsidRPr="003A522C">
              <w:rPr>
                <w:rFonts w:cs="Calibri"/>
                <w:sz w:val="16"/>
                <w:szCs w:val="16"/>
              </w:rPr>
              <w:t>Program # 2.3.4) Promoting the Sustainable Use and Management of Forest Resources, 30% relevant, managed by MINAGRIP through its National Directorate for Forests and related entities;</w:t>
            </w:r>
          </w:p>
          <w:p w14:paraId="2E9B4A70" w14:textId="77777777" w:rsidR="00070742" w:rsidRPr="003A522C" w:rsidRDefault="00070742" w:rsidP="00C53A49">
            <w:pPr>
              <w:pStyle w:val="ListParagraph"/>
              <w:numPr>
                <w:ilvl w:val="0"/>
                <w:numId w:val="18"/>
              </w:numPr>
              <w:spacing w:after="80"/>
              <w:ind w:left="426" w:hanging="284"/>
              <w:rPr>
                <w:rFonts w:cs="Calibri"/>
                <w:sz w:val="16"/>
                <w:szCs w:val="16"/>
              </w:rPr>
            </w:pPr>
            <w:r w:rsidRPr="003A522C">
              <w:rPr>
                <w:rFonts w:cs="Calibri"/>
                <w:sz w:val="16"/>
                <w:szCs w:val="16"/>
              </w:rPr>
              <w:t xml:space="preserve">Program # 4.3.2) Decentralization and implementation of local governments, 50% relevant, including projects under it that are either managed by the Municipalities Cuchi, Cahama and surroundings, or which benefit these (currently included only in baseline finance calculus, but was not as co-financing). </w:t>
            </w:r>
          </w:p>
          <w:p w14:paraId="1683843B" w14:textId="77777777" w:rsidR="00070742" w:rsidRPr="003A522C" w:rsidRDefault="00070742" w:rsidP="00070742">
            <w:pPr>
              <w:spacing w:after="80"/>
              <w:jc w:val="both"/>
              <w:rPr>
                <w:rFonts w:ascii="Calibri" w:hAnsi="Calibri" w:cs="Calibri"/>
                <w:sz w:val="16"/>
                <w:szCs w:val="16"/>
              </w:rPr>
            </w:pPr>
            <w:r w:rsidRPr="003A522C">
              <w:rPr>
                <w:rFonts w:ascii="Calibri" w:hAnsi="Calibri" w:cs="Calibri"/>
                <w:sz w:val="16"/>
                <w:szCs w:val="16"/>
              </w:rPr>
              <w:t xml:space="preserve">Funding from the above-mentioned governmental programs excludes by default recurrent expenditure – meaning that 100% of the baseline and co-financing amounts from Government correspond to public investments, as currently prioritized in the PND and included in the OGE, and which will be mobilized throughout project implementation. </w:t>
            </w:r>
          </w:p>
          <w:p w14:paraId="4E74813B" w14:textId="77777777" w:rsidR="00070742" w:rsidRPr="003A522C" w:rsidRDefault="00070742" w:rsidP="00070742">
            <w:pPr>
              <w:jc w:val="both"/>
              <w:rPr>
                <w:rFonts w:ascii="Calibri" w:hAnsi="Calibri" w:cs="Calibri"/>
                <w:sz w:val="16"/>
                <w:szCs w:val="16"/>
              </w:rPr>
            </w:pPr>
            <w:r w:rsidRPr="003A522C">
              <w:rPr>
                <w:rFonts w:ascii="Calibri" w:hAnsi="Calibri" w:cs="Calibri"/>
                <w:sz w:val="16"/>
                <w:szCs w:val="16"/>
              </w:rPr>
              <w:t>The following method was applied to calculate public investments from the PND, as shown in the above Table C:</w:t>
            </w:r>
          </w:p>
          <w:p w14:paraId="668E9E4E" w14:textId="77777777" w:rsidR="00070742" w:rsidRPr="003A522C" w:rsidRDefault="00070742" w:rsidP="00C53A49">
            <w:pPr>
              <w:pStyle w:val="ListParagraph"/>
              <w:numPr>
                <w:ilvl w:val="0"/>
                <w:numId w:val="17"/>
              </w:numPr>
              <w:ind w:left="426" w:hanging="284"/>
              <w:rPr>
                <w:rFonts w:cs="Calibri"/>
                <w:color w:val="auto"/>
                <w:sz w:val="16"/>
                <w:szCs w:val="16"/>
              </w:rPr>
            </w:pPr>
            <w:r w:rsidRPr="003A522C">
              <w:rPr>
                <w:rFonts w:cs="Calibri"/>
                <w:color w:val="auto"/>
                <w:sz w:val="16"/>
                <w:szCs w:val="16"/>
              </w:rPr>
              <w:t xml:space="preserve">Government programs were selected on the basis of their thematic and geographic relevance vis-à-vis the subject matter of the project. </w:t>
            </w:r>
          </w:p>
          <w:p w14:paraId="085C096E" w14:textId="77777777" w:rsidR="00070742" w:rsidRPr="003A522C" w:rsidRDefault="00070742" w:rsidP="00C53A49">
            <w:pPr>
              <w:pStyle w:val="ListParagraph"/>
              <w:numPr>
                <w:ilvl w:val="0"/>
                <w:numId w:val="17"/>
              </w:numPr>
              <w:ind w:left="426" w:hanging="284"/>
              <w:rPr>
                <w:rFonts w:cs="Calibri"/>
                <w:color w:val="auto"/>
                <w:sz w:val="16"/>
                <w:szCs w:val="16"/>
              </w:rPr>
            </w:pPr>
            <w:r w:rsidRPr="003A522C">
              <w:rPr>
                <w:rFonts w:cs="Calibri"/>
                <w:color w:val="auto"/>
                <w:sz w:val="16"/>
                <w:szCs w:val="16"/>
              </w:rPr>
              <w:t xml:space="preserve">The baseline calculus for each individual program was initially based on budgetary figures in the national currency (Angolan Kwanzas AOA) for the relevant programs, as published in the Central States Budget (OGE) for 2019. </w:t>
            </w:r>
          </w:p>
          <w:p w14:paraId="4DE27470" w14:textId="77777777" w:rsidR="00070742" w:rsidRPr="003A522C" w:rsidRDefault="00070742" w:rsidP="00C53A49">
            <w:pPr>
              <w:pStyle w:val="ListParagraph"/>
              <w:numPr>
                <w:ilvl w:val="0"/>
                <w:numId w:val="17"/>
              </w:numPr>
              <w:ind w:left="426" w:hanging="284"/>
              <w:rPr>
                <w:rFonts w:cs="Calibri"/>
                <w:color w:val="auto"/>
                <w:sz w:val="16"/>
                <w:szCs w:val="16"/>
              </w:rPr>
            </w:pPr>
            <w:r w:rsidRPr="003A522C">
              <w:rPr>
                <w:rFonts w:cs="Calibri"/>
                <w:color w:val="auto"/>
                <w:sz w:val="16"/>
                <w:szCs w:val="16"/>
              </w:rPr>
              <w:t xml:space="preserve">Amounts in AOA were converted into USD and extrapolated for the duration of the project, using conservative rates and coefficients, so as to discount future uncertainties. Such uncertainties include possible currency devaluations and the non-realization of investment. </w:t>
            </w:r>
          </w:p>
          <w:p w14:paraId="0399BE5D" w14:textId="77777777" w:rsidR="00070742" w:rsidRPr="003A522C" w:rsidRDefault="00070742" w:rsidP="00C53A49">
            <w:pPr>
              <w:pStyle w:val="ListParagraph"/>
              <w:numPr>
                <w:ilvl w:val="0"/>
                <w:numId w:val="17"/>
              </w:numPr>
              <w:spacing w:after="0"/>
              <w:ind w:left="426" w:hanging="284"/>
              <w:contextualSpacing w:val="0"/>
              <w:rPr>
                <w:rFonts w:cs="Calibri"/>
                <w:color w:val="auto"/>
                <w:sz w:val="16"/>
                <w:szCs w:val="16"/>
              </w:rPr>
            </w:pPr>
            <w:r w:rsidRPr="003A522C">
              <w:rPr>
                <w:rFonts w:cs="Calibri"/>
                <w:color w:val="auto"/>
                <w:sz w:val="16"/>
                <w:szCs w:val="16"/>
              </w:rPr>
              <w:t>By discounting the future in the baseline calculus in bulk and also, by extension, in the project’s co-financing, the possibility of mobilizing additional investments during implementation is enhanced.</w:t>
            </w:r>
          </w:p>
          <w:p w14:paraId="3C28A8D0" w14:textId="5688C1A5" w:rsidR="00070742" w:rsidRDefault="00070742" w:rsidP="00070742">
            <w:pPr>
              <w:spacing w:after="80"/>
              <w:jc w:val="both"/>
              <w:rPr>
                <w:rFonts w:ascii="Calibri" w:hAnsi="Calibri" w:cs="Calibri"/>
                <w:sz w:val="16"/>
                <w:szCs w:val="16"/>
              </w:rPr>
            </w:pPr>
            <w:r w:rsidRPr="003A522C">
              <w:rPr>
                <w:rFonts w:ascii="Calibri" w:hAnsi="Calibri" w:cs="Calibri"/>
                <w:sz w:val="16"/>
                <w:szCs w:val="16"/>
              </w:rPr>
              <w:t>While the above assumptions and calculus of both baseline and co-financing are generally defensible, they were based on official figures available in late-2019/early-2020. However, the calculus pre-dates the COVID-19 pandemic, meaning that the potential impact of the pandemic on public investments in Angola or on the global economy has yet</w:t>
            </w:r>
            <w:r w:rsidRPr="003A522C" w:rsidDel="009E1C2B">
              <w:rPr>
                <w:rFonts w:ascii="Calibri" w:hAnsi="Calibri" w:cs="Calibri"/>
                <w:sz w:val="16"/>
                <w:szCs w:val="16"/>
              </w:rPr>
              <w:t xml:space="preserve"> </w:t>
            </w:r>
            <w:r w:rsidRPr="003A522C">
              <w:rPr>
                <w:rFonts w:ascii="Calibri" w:hAnsi="Calibri" w:cs="Calibri"/>
                <w:sz w:val="16"/>
                <w:szCs w:val="16"/>
              </w:rPr>
              <w:t>been taken into account. The detailed application of this exercise is presented Annex A3.</w:t>
            </w:r>
            <w:r w:rsidR="0CE9E4EE" w:rsidRPr="7A39F85D">
              <w:rPr>
                <w:rFonts w:ascii="Calibri" w:hAnsi="Calibri" w:cs="Calibri"/>
                <w:sz w:val="16"/>
                <w:szCs w:val="16"/>
              </w:rPr>
              <w:t xml:space="preserve"> </w:t>
            </w:r>
          </w:p>
          <w:p w14:paraId="7EE101C9" w14:textId="61D3C329" w:rsidR="00070742" w:rsidRPr="003A522C" w:rsidRDefault="0551B817" w:rsidP="00070742">
            <w:pPr>
              <w:spacing w:after="80"/>
              <w:jc w:val="both"/>
              <w:rPr>
                <w:rFonts w:ascii="Calibri" w:hAnsi="Calibri" w:cs="Calibri"/>
                <w:sz w:val="16"/>
                <w:szCs w:val="16"/>
              </w:rPr>
            </w:pPr>
            <w:r w:rsidRPr="25447658">
              <w:rPr>
                <w:rFonts w:ascii="Calibri" w:hAnsi="Calibri" w:cs="Calibri"/>
                <w:sz w:val="16"/>
                <w:szCs w:val="16"/>
              </w:rPr>
              <w:t xml:space="preserve">IFAD SREP - Smallholder Resilience Enhancement Project will also cofinance the GEF intervention </w:t>
            </w:r>
            <w:r w:rsidR="708C705B" w:rsidRPr="5F3EA9C0">
              <w:rPr>
                <w:rFonts w:ascii="Calibri" w:hAnsi="Calibri" w:cs="Calibri"/>
                <w:sz w:val="16"/>
                <w:szCs w:val="16"/>
              </w:rPr>
              <w:t xml:space="preserve">by US$ 2M </w:t>
            </w:r>
            <w:r w:rsidRPr="25447658">
              <w:rPr>
                <w:rFonts w:ascii="Calibri" w:hAnsi="Calibri" w:cs="Calibri"/>
                <w:sz w:val="16"/>
                <w:szCs w:val="16"/>
              </w:rPr>
              <w:t xml:space="preserve">based in common synergies and AFDB Agricultural Value Chains – Support to Sustainable. Development &amp; </w:t>
            </w:r>
            <w:r w:rsidR="10CF06E3" w:rsidRPr="5F3EA9C0">
              <w:rPr>
                <w:rFonts w:ascii="Calibri" w:hAnsi="Calibri" w:cs="Calibri"/>
                <w:sz w:val="16"/>
                <w:szCs w:val="16"/>
              </w:rPr>
              <w:t>Growth</w:t>
            </w:r>
            <w:r w:rsidR="5C10DE51" w:rsidRPr="5F3EA9C0">
              <w:rPr>
                <w:rFonts w:ascii="Calibri" w:hAnsi="Calibri" w:cs="Calibri"/>
                <w:sz w:val="16"/>
                <w:szCs w:val="16"/>
              </w:rPr>
              <w:t xml:space="preserve"> </w:t>
            </w:r>
            <w:r w:rsidR="10CF06E3" w:rsidRPr="5F3EA9C0">
              <w:rPr>
                <w:rFonts w:ascii="Calibri" w:hAnsi="Calibri" w:cs="Calibri"/>
                <w:sz w:val="16"/>
                <w:szCs w:val="16"/>
              </w:rPr>
              <w:t>makes</w:t>
            </w:r>
            <w:r w:rsidRPr="25447658">
              <w:rPr>
                <w:rFonts w:ascii="Calibri" w:hAnsi="Calibri" w:cs="Calibri"/>
                <w:sz w:val="16"/>
                <w:szCs w:val="16"/>
              </w:rPr>
              <w:t xml:space="preserve"> part of the baseline of the project</w:t>
            </w:r>
            <w:r w:rsidR="0E81682D" w:rsidRPr="5F3EA9C0">
              <w:rPr>
                <w:rFonts w:ascii="Calibri" w:hAnsi="Calibri" w:cs="Calibri"/>
                <w:sz w:val="16"/>
                <w:szCs w:val="16"/>
              </w:rPr>
              <w:t>.</w:t>
            </w:r>
            <w:r w:rsidRPr="25447658">
              <w:rPr>
                <w:rFonts w:ascii="Calibri" w:hAnsi="Calibri" w:cs="Calibri"/>
                <w:sz w:val="16"/>
                <w:szCs w:val="16"/>
              </w:rPr>
              <w:t xml:space="preserve"> FAO will provide $500,000 </w:t>
            </w:r>
            <w:r w:rsidR="10D4D1BD" w:rsidRPr="302FFF1B">
              <w:rPr>
                <w:rFonts w:ascii="Calibri" w:hAnsi="Calibri" w:cs="Calibri"/>
                <w:sz w:val="16"/>
                <w:szCs w:val="16"/>
              </w:rPr>
              <w:t xml:space="preserve">($400.000 </w:t>
            </w:r>
            <w:r w:rsidR="10D4D1BD" w:rsidRPr="2BF58B9E">
              <w:rPr>
                <w:rFonts w:ascii="Calibri" w:hAnsi="Calibri" w:cs="Calibri"/>
                <w:sz w:val="16"/>
                <w:szCs w:val="16"/>
              </w:rPr>
              <w:t>of this being PMC)</w:t>
            </w:r>
            <w:r w:rsidR="098D2884" w:rsidRPr="302FFF1B">
              <w:rPr>
                <w:rFonts w:ascii="Calibri" w:hAnsi="Calibri" w:cs="Calibri"/>
                <w:sz w:val="16"/>
                <w:szCs w:val="16"/>
              </w:rPr>
              <w:t xml:space="preserve"> </w:t>
            </w:r>
            <w:r w:rsidRPr="25447658">
              <w:rPr>
                <w:rFonts w:ascii="Calibri" w:hAnsi="Calibri" w:cs="Calibri"/>
                <w:sz w:val="16"/>
                <w:szCs w:val="16"/>
              </w:rPr>
              <w:t xml:space="preserve">as co-financing, leveraged from its own sources in order strengthen project management activities by securing essential operational expenses. </w:t>
            </w:r>
          </w:p>
          <w:p w14:paraId="79702A88" w14:textId="5480CCE1" w:rsidR="25447658" w:rsidRDefault="1E06B76E" w:rsidP="25447658">
            <w:pPr>
              <w:spacing w:after="80"/>
              <w:jc w:val="both"/>
              <w:rPr>
                <w:rFonts w:ascii="Calibri" w:hAnsi="Calibri" w:cs="Calibri"/>
                <w:sz w:val="16"/>
                <w:szCs w:val="16"/>
              </w:rPr>
            </w:pPr>
            <w:r w:rsidRPr="006C6187">
              <w:rPr>
                <w:rFonts w:ascii="Calibri" w:hAnsi="Calibri" w:cs="Calibri"/>
                <w:sz w:val="16"/>
                <w:szCs w:val="16"/>
                <w:highlight w:val="yellow"/>
              </w:rPr>
              <w:t xml:space="preserve">As shown in Table 1, </w:t>
            </w:r>
            <w:r w:rsidR="006C6187">
              <w:rPr>
                <w:rFonts w:ascii="Calibri" w:hAnsi="Calibri" w:cs="Calibri"/>
                <w:sz w:val="16"/>
                <w:szCs w:val="16"/>
                <w:highlight w:val="yellow"/>
              </w:rPr>
              <w:t xml:space="preserve">USD </w:t>
            </w:r>
            <w:r w:rsidR="36EEEACC" w:rsidRPr="5F3EA9C0">
              <w:rPr>
                <w:rFonts w:ascii="Calibri" w:hAnsi="Calibri" w:cs="Calibri"/>
                <w:sz w:val="16"/>
                <w:szCs w:val="16"/>
                <w:highlight w:val="yellow"/>
              </w:rPr>
              <w:t>1.142.80</w:t>
            </w:r>
            <w:r w:rsidR="147654E4" w:rsidRPr="5F3EA9C0">
              <w:rPr>
                <w:rFonts w:ascii="Calibri" w:hAnsi="Calibri" w:cs="Calibri"/>
                <w:sz w:val="16"/>
                <w:szCs w:val="16"/>
                <w:highlight w:val="yellow"/>
              </w:rPr>
              <w:t>0</w:t>
            </w:r>
            <w:r w:rsidR="003B5C69" w:rsidRPr="006C6187">
              <w:rPr>
                <w:rFonts w:ascii="Calibri" w:hAnsi="Calibri" w:cs="Calibri"/>
                <w:sz w:val="16"/>
                <w:szCs w:val="16"/>
                <w:highlight w:val="yellow"/>
              </w:rPr>
              <w:t xml:space="preserve"> </w:t>
            </w:r>
            <w:r w:rsidR="000722C2" w:rsidRPr="006C6187">
              <w:rPr>
                <w:rFonts w:ascii="Calibri" w:hAnsi="Calibri" w:cs="Calibri"/>
                <w:sz w:val="16"/>
                <w:szCs w:val="16"/>
                <w:highlight w:val="yellow"/>
              </w:rPr>
              <w:t>will be an in</w:t>
            </w:r>
            <w:r w:rsidR="00E87021">
              <w:rPr>
                <w:rFonts w:ascii="Calibri" w:hAnsi="Calibri" w:cs="Calibri"/>
                <w:sz w:val="16"/>
                <w:szCs w:val="16"/>
                <w:highlight w:val="yellow"/>
              </w:rPr>
              <w:t>-</w:t>
            </w:r>
            <w:r w:rsidR="000722C2" w:rsidRPr="006C6187">
              <w:rPr>
                <w:rFonts w:ascii="Calibri" w:hAnsi="Calibri" w:cs="Calibri"/>
                <w:sz w:val="16"/>
                <w:szCs w:val="16"/>
                <w:highlight w:val="yellow"/>
              </w:rPr>
              <w:t xml:space="preserve">kind PMC contribution by </w:t>
            </w:r>
            <w:r w:rsidR="006C6187">
              <w:rPr>
                <w:rFonts w:ascii="Calibri" w:hAnsi="Calibri" w:cs="Calibri"/>
                <w:sz w:val="16"/>
                <w:szCs w:val="16"/>
                <w:highlight w:val="yellow"/>
              </w:rPr>
              <w:t xml:space="preserve">the </w:t>
            </w:r>
            <w:r w:rsidR="000722C2" w:rsidRPr="006C6187">
              <w:rPr>
                <w:rFonts w:ascii="Calibri" w:hAnsi="Calibri" w:cs="Calibri"/>
                <w:sz w:val="16"/>
                <w:szCs w:val="16"/>
                <w:highlight w:val="yellow"/>
              </w:rPr>
              <w:t>relevant co-financiers</w:t>
            </w:r>
            <w:r w:rsidR="3A9C4BC2" w:rsidRPr="006C6187">
              <w:rPr>
                <w:rFonts w:ascii="Calibri" w:hAnsi="Calibri" w:cs="Calibri"/>
                <w:sz w:val="16"/>
                <w:szCs w:val="16"/>
                <w:highlight w:val="yellow"/>
              </w:rPr>
              <w:t>. The management costs of the project that will be covered by co</w:t>
            </w:r>
            <w:r w:rsidR="24C7BC71" w:rsidRPr="006C6187">
              <w:rPr>
                <w:rFonts w:ascii="Calibri" w:hAnsi="Calibri" w:cs="Calibri"/>
                <w:sz w:val="16"/>
                <w:szCs w:val="16"/>
                <w:highlight w:val="yellow"/>
              </w:rPr>
              <w:t>-</w:t>
            </w:r>
            <w:r w:rsidR="686BA505" w:rsidRPr="006C6187">
              <w:rPr>
                <w:rFonts w:ascii="Calibri" w:hAnsi="Calibri" w:cs="Calibri"/>
                <w:sz w:val="16"/>
                <w:szCs w:val="16"/>
                <w:highlight w:val="yellow"/>
              </w:rPr>
              <w:t xml:space="preserve">financing </w:t>
            </w:r>
            <w:r w:rsidR="00E65DB0" w:rsidRPr="006C6187">
              <w:rPr>
                <w:rFonts w:ascii="Calibri" w:hAnsi="Calibri" w:cs="Calibri"/>
                <w:sz w:val="16"/>
                <w:szCs w:val="16"/>
                <w:highlight w:val="yellow"/>
              </w:rPr>
              <w:t>comprise</w:t>
            </w:r>
            <w:r w:rsidR="00760378">
              <w:rPr>
                <w:rFonts w:ascii="Calibri" w:hAnsi="Calibri" w:cs="Calibri"/>
                <w:sz w:val="16"/>
                <w:szCs w:val="16"/>
                <w:highlight w:val="yellow"/>
              </w:rPr>
              <w:t>s</w:t>
            </w:r>
            <w:r w:rsidR="00E65DB0" w:rsidRPr="006C6187">
              <w:rPr>
                <w:rFonts w:ascii="Calibri" w:hAnsi="Calibri" w:cs="Calibri"/>
                <w:sz w:val="16"/>
                <w:szCs w:val="16"/>
                <w:highlight w:val="yellow"/>
              </w:rPr>
              <w:t xml:space="preserve"> of</w:t>
            </w:r>
            <w:r w:rsidR="686BA505" w:rsidRPr="006C6187">
              <w:rPr>
                <w:rFonts w:ascii="Calibri" w:hAnsi="Calibri" w:cs="Calibri"/>
                <w:sz w:val="16"/>
                <w:szCs w:val="16"/>
                <w:highlight w:val="yellow"/>
              </w:rPr>
              <w:t xml:space="preserve">: </w:t>
            </w:r>
            <w:r w:rsidR="006C6187" w:rsidRPr="5F3EA9C0">
              <w:rPr>
                <w:rFonts w:ascii="Calibri" w:hAnsi="Calibri" w:cs="Calibri"/>
                <w:sz w:val="16"/>
                <w:szCs w:val="16"/>
                <w:highlight w:val="yellow"/>
              </w:rPr>
              <w:t xml:space="preserve">(i) the use of office facilities at Luanda as well as in the two provinces, municipalities and communes for project offices (PMU staff and regional facilitators), meetings and trainings during 5 years: USD </w:t>
            </w:r>
            <w:r w:rsidR="75E5884C" w:rsidRPr="4A291370">
              <w:rPr>
                <w:rFonts w:ascii="Calibri" w:hAnsi="Calibri" w:cs="Calibri"/>
                <w:sz w:val="16"/>
                <w:szCs w:val="16"/>
                <w:highlight w:val="yellow"/>
              </w:rPr>
              <w:t>3</w:t>
            </w:r>
            <w:r w:rsidR="21B197C8" w:rsidRPr="4A291370">
              <w:rPr>
                <w:rFonts w:ascii="Calibri" w:hAnsi="Calibri" w:cs="Calibri"/>
                <w:sz w:val="16"/>
                <w:szCs w:val="16"/>
                <w:highlight w:val="yellow"/>
              </w:rPr>
              <w:t>40</w:t>
            </w:r>
            <w:r w:rsidR="006C6187" w:rsidRPr="5F3EA9C0">
              <w:rPr>
                <w:rFonts w:ascii="Calibri" w:hAnsi="Calibri" w:cs="Calibri"/>
                <w:sz w:val="16"/>
                <w:szCs w:val="16"/>
                <w:highlight w:val="yellow"/>
              </w:rPr>
              <w:t xml:space="preserve">.000, (ii) contribution to expendables in project offices for 5 years: USD </w:t>
            </w:r>
            <w:r w:rsidR="5E2CCC26" w:rsidRPr="7F057CF5">
              <w:rPr>
                <w:rFonts w:ascii="Calibri" w:hAnsi="Calibri" w:cs="Calibri"/>
                <w:sz w:val="16"/>
                <w:szCs w:val="16"/>
                <w:highlight w:val="yellow"/>
              </w:rPr>
              <w:t>6</w:t>
            </w:r>
            <w:r w:rsidR="21B197C8" w:rsidRPr="7F057CF5">
              <w:rPr>
                <w:rFonts w:ascii="Calibri" w:hAnsi="Calibri" w:cs="Calibri"/>
                <w:sz w:val="16"/>
                <w:szCs w:val="16"/>
                <w:highlight w:val="yellow"/>
              </w:rPr>
              <w:t>0</w:t>
            </w:r>
            <w:r w:rsidR="006C6187" w:rsidRPr="5F3EA9C0">
              <w:rPr>
                <w:rFonts w:ascii="Calibri" w:hAnsi="Calibri" w:cs="Calibri"/>
                <w:sz w:val="16"/>
                <w:szCs w:val="16"/>
                <w:highlight w:val="yellow"/>
              </w:rPr>
              <w:t xml:space="preserve">.000, (iii) contribution to mobility at field level and the capital during 5 years: USD </w:t>
            </w:r>
            <w:r w:rsidR="6C92E133" w:rsidRPr="7F057CF5">
              <w:rPr>
                <w:rFonts w:ascii="Calibri" w:hAnsi="Calibri" w:cs="Calibri"/>
                <w:sz w:val="16"/>
                <w:szCs w:val="16"/>
                <w:highlight w:val="yellow"/>
              </w:rPr>
              <w:t>2</w:t>
            </w:r>
            <w:r w:rsidR="21B197C8" w:rsidRPr="7F057CF5">
              <w:rPr>
                <w:rFonts w:ascii="Calibri" w:hAnsi="Calibri" w:cs="Calibri"/>
                <w:sz w:val="16"/>
                <w:szCs w:val="16"/>
                <w:highlight w:val="yellow"/>
              </w:rPr>
              <w:t>70</w:t>
            </w:r>
            <w:r w:rsidR="006C6187" w:rsidRPr="5F3EA9C0">
              <w:rPr>
                <w:rFonts w:ascii="Calibri" w:hAnsi="Calibri" w:cs="Calibri"/>
                <w:sz w:val="16"/>
                <w:szCs w:val="16"/>
                <w:highlight w:val="yellow"/>
              </w:rPr>
              <w:t xml:space="preserve">.000, and (iv) staff time of public institutions: directors and authorities, technicians and support staff </w:t>
            </w:r>
            <w:r w:rsidR="41E41ACC" w:rsidRPr="7F057CF5">
              <w:rPr>
                <w:rFonts w:ascii="Calibri" w:hAnsi="Calibri" w:cs="Calibri"/>
                <w:sz w:val="16"/>
                <w:szCs w:val="16"/>
                <w:highlight w:val="yellow"/>
              </w:rPr>
              <w:t xml:space="preserve">including </w:t>
            </w:r>
            <w:r w:rsidR="006C6187" w:rsidRPr="5F3EA9C0">
              <w:rPr>
                <w:rFonts w:ascii="Calibri" w:hAnsi="Calibri" w:cs="Calibri"/>
                <w:sz w:val="16"/>
                <w:szCs w:val="16"/>
                <w:highlight w:val="yellow"/>
              </w:rPr>
              <w:t xml:space="preserve">drivers during 5 years: $ </w:t>
            </w:r>
            <w:r w:rsidR="2C148E26" w:rsidRPr="2B7CD992">
              <w:rPr>
                <w:rFonts w:ascii="Calibri" w:hAnsi="Calibri" w:cs="Calibri"/>
                <w:sz w:val="16"/>
                <w:szCs w:val="16"/>
                <w:highlight w:val="yellow"/>
              </w:rPr>
              <w:t>472.</w:t>
            </w:r>
            <w:r w:rsidR="2C148E26" w:rsidRPr="0B792ECA">
              <w:rPr>
                <w:rFonts w:ascii="Calibri" w:hAnsi="Calibri" w:cs="Calibri"/>
                <w:sz w:val="16"/>
                <w:szCs w:val="16"/>
                <w:highlight w:val="yellow"/>
              </w:rPr>
              <w:t>800</w:t>
            </w:r>
          </w:p>
          <w:p w14:paraId="190E6E23" w14:textId="77777777" w:rsidR="00070742" w:rsidRPr="003A522C" w:rsidRDefault="00070742" w:rsidP="00070742">
            <w:pPr>
              <w:spacing w:before="80"/>
              <w:jc w:val="both"/>
              <w:rPr>
                <w:rFonts w:ascii="Calibri" w:hAnsi="Calibri" w:cs="Calibri"/>
                <w:sz w:val="16"/>
                <w:szCs w:val="16"/>
              </w:rPr>
            </w:pPr>
            <w:r w:rsidRPr="003A522C">
              <w:rPr>
                <w:rFonts w:ascii="Calibri" w:hAnsi="Calibri" w:cs="Calibri"/>
                <w:sz w:val="16"/>
                <w:szCs w:val="16"/>
              </w:rPr>
              <w:t>It is expected that the COVID-19 pandemic will have serious impacts on the Angolan economy, especially since  it has indirectly impacted the global demand for oil. Royalties and taxation linked to the oil and gas sectors are the main source of revenue for the Angolan State. Macro-economic predictions for Angola will need to be revised and, along with it, government planning. This revised planning exercise by the Angolan State has not yet taken place.</w:t>
            </w:r>
          </w:p>
          <w:p w14:paraId="59A400C4" w14:textId="77777777" w:rsidR="00070742" w:rsidRPr="003A522C" w:rsidRDefault="00070742" w:rsidP="00070742">
            <w:pPr>
              <w:spacing w:before="80"/>
              <w:jc w:val="both"/>
              <w:rPr>
                <w:rFonts w:ascii="Calibri" w:hAnsi="Calibri" w:cs="Calibri"/>
                <w:sz w:val="16"/>
                <w:szCs w:val="16"/>
              </w:rPr>
            </w:pPr>
            <w:r w:rsidRPr="003A522C">
              <w:rPr>
                <w:rFonts w:ascii="Calibri" w:hAnsi="Calibri" w:cs="Calibri"/>
                <w:sz w:val="16"/>
                <w:szCs w:val="16"/>
              </w:rPr>
              <w:t xml:space="preserve">In spite of the likely negative impact of the pandemic on public investment in Angola, for the purposes of CEO Endorsement Request the figures herein presented remain sufficiently accurate for validating the solidity of project’s baseline and co-financing for two main reasons: </w:t>
            </w:r>
          </w:p>
          <w:p w14:paraId="03BE470F" w14:textId="77777777" w:rsidR="00070742" w:rsidRPr="003A522C" w:rsidRDefault="00070742" w:rsidP="00C53A49">
            <w:pPr>
              <w:pStyle w:val="ListParagraph"/>
              <w:numPr>
                <w:ilvl w:val="0"/>
                <w:numId w:val="21"/>
              </w:numPr>
              <w:spacing w:after="0"/>
              <w:ind w:left="426" w:hanging="284"/>
              <w:rPr>
                <w:rFonts w:cs="Calibri"/>
                <w:sz w:val="16"/>
                <w:szCs w:val="16"/>
              </w:rPr>
            </w:pPr>
            <w:r w:rsidRPr="003A522C">
              <w:rPr>
                <w:rFonts w:cs="Calibri"/>
                <w:sz w:val="16"/>
                <w:szCs w:val="16"/>
              </w:rPr>
              <w:t xml:space="preserve">Government projects, programs and initiatives that were selected as baseline and co-financing to the project were subject to robust, selective and conservative criteria in the assessment. </w:t>
            </w:r>
          </w:p>
          <w:p w14:paraId="35B8B47C" w14:textId="77777777" w:rsidR="00070742" w:rsidRPr="003A522C" w:rsidRDefault="00070742" w:rsidP="00C53A49">
            <w:pPr>
              <w:pStyle w:val="ListParagraph"/>
              <w:numPr>
                <w:ilvl w:val="0"/>
                <w:numId w:val="21"/>
              </w:numPr>
              <w:spacing w:before="160" w:after="0"/>
              <w:ind w:left="426" w:hanging="284"/>
              <w:rPr>
                <w:rFonts w:cs="Calibri"/>
                <w:sz w:val="16"/>
                <w:szCs w:val="16"/>
              </w:rPr>
            </w:pPr>
            <w:r w:rsidRPr="003A522C">
              <w:rPr>
                <w:rFonts w:cs="Calibri"/>
                <w:sz w:val="16"/>
                <w:szCs w:val="16"/>
              </w:rPr>
              <w:t xml:space="preserve">Although the COVID-19 pandemic and its impacts bring about uncertainty and price volatility, the currency conversion rate, the discount rate and the extrapolation methods have already taken a good degree of uncertainty into consideration. This was done in order to avoid the non-realization of the proposed co-financing and to facilitate the potential mobilization of additional co-financing during project implementation. </w:t>
            </w:r>
          </w:p>
          <w:p w14:paraId="3DF19FAE" w14:textId="77777777" w:rsidR="00070742" w:rsidRDefault="00070742" w:rsidP="00070742">
            <w:pPr>
              <w:rPr>
                <w:rFonts w:ascii="Calibri" w:hAnsi="Calibri" w:cs="Calibri"/>
                <w:sz w:val="16"/>
                <w:szCs w:val="16"/>
              </w:rPr>
            </w:pPr>
            <w:r w:rsidRPr="003A522C">
              <w:rPr>
                <w:rFonts w:ascii="Calibri" w:hAnsi="Calibri" w:cs="Calibri"/>
                <w:sz w:val="16"/>
                <w:szCs w:val="16"/>
              </w:rPr>
              <w:t>The mobilization of investments will be pursued through a closer alignment between government initiatives and the Child Project during implementation.</w:t>
            </w:r>
          </w:p>
          <w:p w14:paraId="4CAC1C84" w14:textId="764486BB" w:rsidR="00070742" w:rsidRDefault="00070742" w:rsidP="00070742">
            <w:pPr>
              <w:rPr>
                <w:rFonts w:ascii="Calibri" w:hAnsi="Calibri" w:cs="Calibri"/>
                <w:sz w:val="21"/>
                <w:szCs w:val="21"/>
              </w:rPr>
            </w:pPr>
          </w:p>
        </w:tc>
      </w:tr>
    </w:tbl>
    <w:p w14:paraId="673AE0E4" w14:textId="77777777" w:rsidR="00430C7E" w:rsidRPr="00301981" w:rsidRDefault="00430C7E" w:rsidP="009563B4">
      <w:pPr>
        <w:rPr>
          <w:rFonts w:ascii="Calibri" w:hAnsi="Calibri" w:cs="Calibri"/>
          <w:sz w:val="21"/>
          <w:szCs w:val="21"/>
        </w:rPr>
      </w:pPr>
    </w:p>
    <w:p w14:paraId="56AB27AD" w14:textId="45FCD19D" w:rsidR="009563B4" w:rsidRPr="00ED3A42" w:rsidRDefault="00742B83" w:rsidP="00425F14">
      <w:pPr>
        <w:spacing w:before="80"/>
        <w:jc w:val="both"/>
        <w:rPr>
          <w:rFonts w:ascii="Calibri" w:hAnsi="Calibri"/>
          <w:i/>
          <w:iCs/>
          <w:sz w:val="22"/>
          <w:szCs w:val="22"/>
          <w:shd w:val="clear" w:color="auto" w:fill="9CC2E5" w:themeFill="accent1" w:themeFillTint="99"/>
        </w:rPr>
      </w:pPr>
      <w:r w:rsidRPr="009170AD">
        <w:rPr>
          <w:rFonts w:ascii="Calibri" w:hAnsi="Calibri" w:cs="Calibri"/>
          <w:sz w:val="16"/>
          <w:szCs w:val="16"/>
        </w:rPr>
        <w:t xml:space="preserve"> </w:t>
      </w:r>
      <w:bookmarkStart w:id="67" w:name="_D)_Project_Intervention"/>
      <w:bookmarkStart w:id="68" w:name="_Toc45712163"/>
      <w:bookmarkEnd w:id="67"/>
      <w:r w:rsidR="009563B4" w:rsidRPr="00ED3A42">
        <w:rPr>
          <w:rFonts w:ascii="Calibri" w:hAnsi="Calibri"/>
          <w:iCs/>
          <w:sz w:val="22"/>
          <w:szCs w:val="22"/>
          <w:shd w:val="clear" w:color="auto" w:fill="9CC2E5" w:themeFill="accent1" w:themeFillTint="99"/>
        </w:rPr>
        <w:t>D</w:t>
      </w:r>
      <w:r w:rsidR="00541126" w:rsidRPr="00ED3A42">
        <w:rPr>
          <w:rFonts w:ascii="Calibri" w:hAnsi="Calibri"/>
          <w:iCs/>
          <w:sz w:val="22"/>
          <w:szCs w:val="22"/>
          <w:shd w:val="clear" w:color="auto" w:fill="9CC2E5" w:themeFill="accent1" w:themeFillTint="99"/>
        </w:rPr>
        <w:t>.</w:t>
      </w:r>
      <w:r w:rsidR="009563B4" w:rsidRPr="00ED3A42">
        <w:rPr>
          <w:rFonts w:ascii="Calibri" w:hAnsi="Calibri"/>
          <w:iCs/>
          <w:sz w:val="22"/>
          <w:szCs w:val="22"/>
          <w:shd w:val="clear" w:color="auto" w:fill="9CC2E5" w:themeFill="accent1" w:themeFillTint="99"/>
        </w:rPr>
        <w:t xml:space="preserve"> Project Intervention Areas</w:t>
      </w:r>
      <w:bookmarkEnd w:id="68"/>
      <w:r w:rsidR="009563B4" w:rsidRPr="00ED3A42">
        <w:rPr>
          <w:rFonts w:ascii="Calibri" w:hAnsi="Calibri"/>
          <w:iCs/>
          <w:sz w:val="22"/>
          <w:szCs w:val="22"/>
          <w:shd w:val="clear" w:color="auto" w:fill="9CC2E5" w:themeFill="accent1" w:themeFillTint="99"/>
        </w:rPr>
        <w:t xml:space="preserve"> </w:t>
      </w:r>
    </w:p>
    <w:p w14:paraId="7F1E08FC" w14:textId="7142D353" w:rsidR="009563B4" w:rsidRPr="00ED3A42" w:rsidRDefault="009563B4" w:rsidP="00ED3A42">
      <w:pPr>
        <w:spacing w:before="160" w:after="160"/>
        <w:rPr>
          <w:rFonts w:ascii="Calibri" w:hAnsi="Calibri"/>
          <w:i/>
          <w:iCs/>
          <w:sz w:val="21"/>
          <w:szCs w:val="21"/>
          <w:highlight w:val="lightGray"/>
        </w:rPr>
      </w:pPr>
      <w:bookmarkStart w:id="69" w:name="_Toc45712164"/>
      <w:r w:rsidRPr="00ED3A42">
        <w:rPr>
          <w:rFonts w:ascii="Calibri" w:hAnsi="Calibri"/>
          <w:i/>
          <w:iCs/>
          <w:sz w:val="21"/>
          <w:szCs w:val="21"/>
          <w:highlight w:val="lightGray"/>
        </w:rPr>
        <w:t xml:space="preserve">General </w:t>
      </w:r>
      <w:r w:rsidR="000A4E07" w:rsidRPr="00ED3A42">
        <w:rPr>
          <w:rFonts w:ascii="Calibri" w:hAnsi="Calibri"/>
          <w:i/>
          <w:iCs/>
          <w:sz w:val="21"/>
          <w:szCs w:val="21"/>
          <w:highlight w:val="lightGray"/>
        </w:rPr>
        <w:t xml:space="preserve">Overview </w:t>
      </w:r>
      <w:r w:rsidR="000A4E07">
        <w:rPr>
          <w:rFonts w:ascii="Calibri" w:hAnsi="Calibri"/>
          <w:i/>
          <w:iCs/>
          <w:sz w:val="21"/>
          <w:szCs w:val="21"/>
          <w:highlight w:val="lightGray"/>
        </w:rPr>
        <w:t>o</w:t>
      </w:r>
      <w:r w:rsidR="000A4E07" w:rsidRPr="00ED3A42">
        <w:rPr>
          <w:rFonts w:ascii="Calibri" w:hAnsi="Calibri"/>
          <w:i/>
          <w:iCs/>
          <w:sz w:val="21"/>
          <w:szCs w:val="21"/>
          <w:highlight w:val="lightGray"/>
        </w:rPr>
        <w:t>f Project Zone</w:t>
      </w:r>
      <w:bookmarkEnd w:id="69"/>
    </w:p>
    <w:p w14:paraId="3E4BB664" w14:textId="70972DC6" w:rsidR="009563B4" w:rsidRPr="00163820" w:rsidRDefault="009563B4" w:rsidP="001667C6">
      <w:pPr>
        <w:pStyle w:val="ParagraphOED"/>
        <w:numPr>
          <w:ilvl w:val="0"/>
          <w:numId w:val="102"/>
        </w:numPr>
        <w:spacing w:after="160"/>
      </w:pPr>
      <w:r w:rsidRPr="1E65A5F7">
        <w:rPr>
          <w:b/>
          <w:bCs/>
        </w:rPr>
        <w:lastRenderedPageBreak/>
        <w:t>The project zone</w:t>
      </w:r>
      <w:r>
        <w:t xml:space="preserve"> co</w:t>
      </w:r>
      <w:r w:rsidR="008E6322">
        <w:t>mprises</w:t>
      </w:r>
      <w:r>
        <w:t xml:space="preserve"> dryland landscapes in </w:t>
      </w:r>
      <w:r w:rsidR="006C4284">
        <w:t>southern Angola</w:t>
      </w:r>
      <w:r>
        <w:t xml:space="preserve"> harbo</w:t>
      </w:r>
      <w:r w:rsidR="008E6322">
        <w:t>u</w:t>
      </w:r>
      <w:r>
        <w:t xml:space="preserve">ring Miombo, Mopane and Baikiaea woodlands. Two landscapes, covering some 1.3 million hectares </w:t>
      </w:r>
      <w:r w:rsidR="00BB44B5" w:rsidRPr="1E65A5F7">
        <w:rPr>
          <w:highlight w:val="yellow"/>
        </w:rPr>
        <w:t>were selected</w:t>
      </w:r>
      <w:r w:rsidR="006B51EB" w:rsidRPr="1E65A5F7">
        <w:rPr>
          <w:highlight w:val="yellow"/>
        </w:rPr>
        <w:t xml:space="preserve">, of which </w:t>
      </w:r>
      <w:r w:rsidR="008375FA" w:rsidRPr="1E65A5F7">
        <w:rPr>
          <w:highlight w:val="yellow"/>
        </w:rPr>
        <w:t>at least 633,278 ha</w:t>
      </w:r>
      <w:r w:rsidR="008375FA">
        <w:t xml:space="preserve"> </w:t>
      </w:r>
      <w:r>
        <w:t xml:space="preserve">are targeted </w:t>
      </w:r>
      <w:r w:rsidR="00E07869" w:rsidRPr="1E65A5F7">
        <w:rPr>
          <w:highlight w:val="yellow"/>
        </w:rPr>
        <w:t>to be covered by ILUPs</w:t>
      </w:r>
      <w:r w:rsidR="0034460D" w:rsidRPr="1E65A5F7">
        <w:rPr>
          <w:highlight w:val="yellow"/>
        </w:rPr>
        <w:t xml:space="preserve">, </w:t>
      </w:r>
      <w:r w:rsidR="00FE1AEB" w:rsidRPr="1E65A5F7">
        <w:rPr>
          <w:highlight w:val="yellow"/>
        </w:rPr>
        <w:t xml:space="preserve">and </w:t>
      </w:r>
      <w:r w:rsidR="0034460D" w:rsidRPr="1E65A5F7">
        <w:rPr>
          <w:highlight w:val="yellow"/>
        </w:rPr>
        <w:t>where</w:t>
      </w:r>
      <w:r w:rsidR="00694F04" w:rsidRPr="1E65A5F7">
        <w:rPr>
          <w:highlight w:val="yellow"/>
        </w:rPr>
        <w:t xml:space="preserve"> 35,742 ha</w:t>
      </w:r>
      <w:r w:rsidR="0034460D" w:rsidRPr="1E65A5F7">
        <w:rPr>
          <w:highlight w:val="yellow"/>
        </w:rPr>
        <w:t xml:space="preserve"> </w:t>
      </w:r>
      <w:r w:rsidR="00FE1AEB" w:rsidRPr="1E65A5F7">
        <w:rPr>
          <w:highlight w:val="yellow"/>
        </w:rPr>
        <w:t>covering different land use systems were selected</w:t>
      </w:r>
      <w:r w:rsidR="00FE1AEB">
        <w:t xml:space="preserve"> </w:t>
      </w:r>
      <w:r>
        <w:t>for direct interventions</w:t>
      </w:r>
      <w:r w:rsidR="008E6322">
        <w:t xml:space="preserve"> within 18 pre-selected sites</w:t>
      </w:r>
      <w:r w:rsidR="00476EB3">
        <w:t>.</w:t>
      </w:r>
      <w:r w:rsidR="008E6322">
        <w:t xml:space="preserve"> </w:t>
      </w:r>
      <w:r>
        <w:t xml:space="preserve">Their boundaries correspond to those of two small watersheds (or sub-basins) of the greater Okavango (or Cubango) </w:t>
      </w:r>
      <w:r w:rsidR="00301981">
        <w:t>R</w:t>
      </w:r>
      <w:r>
        <w:t xml:space="preserve">iver </w:t>
      </w:r>
      <w:r w:rsidR="00301981">
        <w:t>B</w:t>
      </w:r>
      <w:r>
        <w:t xml:space="preserve">asin (Sub-basin #1) and Cunene </w:t>
      </w:r>
      <w:r w:rsidR="00301981">
        <w:t>R</w:t>
      </w:r>
      <w:r>
        <w:t xml:space="preserve">iver </w:t>
      </w:r>
      <w:r w:rsidR="00301981">
        <w:t>B</w:t>
      </w:r>
      <w:r>
        <w:t>asin (Sub-basin #1). The latter landscape is</w:t>
      </w:r>
      <w:r w:rsidR="00301981">
        <w:t xml:space="preserve"> in</w:t>
      </w:r>
      <w:r>
        <w:t xml:space="preserve"> close proximity to the north</w:t>
      </w:r>
      <w:r w:rsidR="00301981">
        <w:t>-</w:t>
      </w:r>
      <w:r>
        <w:t xml:space="preserve">western limits of the Cuvelai </w:t>
      </w:r>
      <w:r w:rsidR="00301981">
        <w:t>R</w:t>
      </w:r>
      <w:r>
        <w:t xml:space="preserve">iver </w:t>
      </w:r>
      <w:r w:rsidR="00301981">
        <w:t>B</w:t>
      </w:r>
      <w:r>
        <w:t xml:space="preserve">asin </w:t>
      </w:r>
      <w:r w:rsidR="00301981">
        <w:t xml:space="preserve">- </w:t>
      </w:r>
      <w:r>
        <w:t xml:space="preserve">in fact 17,600 ha of the landscape is technically within the Cuveli Basin. It is located only 40 km away from the knickpoint Calueque Dam, which diverts </w:t>
      </w:r>
      <w:r w:rsidR="00301981">
        <w:t>some</w:t>
      </w:r>
      <w:r>
        <w:t xml:space="preserve"> waters from the Cunene </w:t>
      </w:r>
      <w:r w:rsidR="008E6322">
        <w:t>R</w:t>
      </w:r>
      <w:r>
        <w:t xml:space="preserve">iver to the Cuvelai </w:t>
      </w:r>
      <w:r w:rsidR="008E6322">
        <w:t>B</w:t>
      </w:r>
      <w:r>
        <w:t>asin. The dam and other water infrastructures in Angola and Namibia have either a similar or a reverse function, in view of regulating the direction and flow of waters between the two basins. All three river basins that are relevant for the project’s landscapes—the Okavango,Cunene and Cuvelai—are internationally shared between Angola and its neighbo</w:t>
      </w:r>
      <w:r w:rsidR="008E6322">
        <w:t>u</w:t>
      </w:r>
      <w:r>
        <w:t xml:space="preserve">ring countries. </w:t>
      </w:r>
    </w:p>
    <w:p w14:paraId="79A0E421" w14:textId="763C68B2" w:rsidR="009563B4" w:rsidRPr="00ED3A42" w:rsidRDefault="009563B4" w:rsidP="00640E76">
      <w:pPr>
        <w:spacing w:before="160" w:after="160"/>
        <w:rPr>
          <w:rFonts w:ascii="Calibri" w:hAnsi="Calibri"/>
          <w:i/>
          <w:iCs/>
          <w:sz w:val="21"/>
          <w:szCs w:val="21"/>
          <w:highlight w:val="lightGray"/>
        </w:rPr>
      </w:pPr>
      <w:bookmarkStart w:id="70" w:name="_Toc45712165"/>
      <w:r w:rsidRPr="00ED3A42">
        <w:rPr>
          <w:rFonts w:ascii="Calibri" w:hAnsi="Calibri"/>
          <w:i/>
          <w:iCs/>
          <w:sz w:val="21"/>
          <w:szCs w:val="21"/>
          <w:highlight w:val="lightGray"/>
        </w:rPr>
        <w:t xml:space="preserve">Local </w:t>
      </w:r>
      <w:r w:rsidR="000A4E07">
        <w:rPr>
          <w:rFonts w:ascii="Calibri" w:hAnsi="Calibri"/>
          <w:i/>
          <w:iCs/>
          <w:sz w:val="21"/>
          <w:szCs w:val="21"/>
          <w:highlight w:val="lightGray"/>
        </w:rPr>
        <w:t>C</w:t>
      </w:r>
      <w:r w:rsidR="000A4E07" w:rsidRPr="00ED3A42">
        <w:rPr>
          <w:rFonts w:ascii="Calibri" w:hAnsi="Calibri"/>
          <w:i/>
          <w:iCs/>
          <w:sz w:val="21"/>
          <w:szCs w:val="21"/>
          <w:highlight w:val="lightGray"/>
        </w:rPr>
        <w:t>onditions</w:t>
      </w:r>
      <w:r w:rsidR="00AE62E8">
        <w:rPr>
          <w:rFonts w:ascii="Calibri" w:hAnsi="Calibri"/>
          <w:i/>
          <w:iCs/>
          <w:sz w:val="21"/>
          <w:szCs w:val="21"/>
          <w:highlight w:val="lightGray"/>
        </w:rPr>
        <w:t xml:space="preserve"> i</w:t>
      </w:r>
      <w:r w:rsidR="000A4E07" w:rsidRPr="00ED3A42">
        <w:rPr>
          <w:rFonts w:ascii="Calibri" w:hAnsi="Calibri"/>
          <w:i/>
          <w:iCs/>
          <w:sz w:val="21"/>
          <w:szCs w:val="21"/>
          <w:highlight w:val="lightGray"/>
        </w:rPr>
        <w:t xml:space="preserve">n Southern </w:t>
      </w:r>
      <w:r w:rsidR="006C4284" w:rsidRPr="00ED3A42">
        <w:rPr>
          <w:rFonts w:ascii="Calibri" w:hAnsi="Calibri"/>
          <w:i/>
          <w:iCs/>
          <w:sz w:val="21"/>
          <w:szCs w:val="21"/>
          <w:highlight w:val="lightGray"/>
        </w:rPr>
        <w:t>Angola</w:t>
      </w:r>
      <w:r w:rsidRPr="00ED3A42">
        <w:rPr>
          <w:rFonts w:ascii="Calibri" w:hAnsi="Calibri"/>
          <w:i/>
          <w:iCs/>
          <w:sz w:val="21"/>
          <w:szCs w:val="21"/>
          <w:highlight w:val="lightGray"/>
        </w:rPr>
        <w:t xml:space="preserve"> </w:t>
      </w:r>
      <w:r w:rsidR="00AE62E8">
        <w:rPr>
          <w:rFonts w:ascii="Calibri" w:hAnsi="Calibri"/>
          <w:i/>
          <w:iCs/>
          <w:sz w:val="21"/>
          <w:szCs w:val="21"/>
          <w:highlight w:val="lightGray"/>
        </w:rPr>
        <w:t>a</w:t>
      </w:r>
      <w:r w:rsidR="000A4E07" w:rsidRPr="00ED3A42">
        <w:rPr>
          <w:rFonts w:ascii="Calibri" w:hAnsi="Calibri"/>
          <w:i/>
          <w:iCs/>
          <w:sz w:val="21"/>
          <w:szCs w:val="21"/>
          <w:highlight w:val="lightGray"/>
        </w:rPr>
        <w:t>nd Targeted Landscapes</w:t>
      </w:r>
      <w:bookmarkEnd w:id="70"/>
    </w:p>
    <w:p w14:paraId="2C5CC2F8" w14:textId="5CFD0077" w:rsidR="009563B4" w:rsidRPr="00163820" w:rsidRDefault="00160030" w:rsidP="001667C6">
      <w:pPr>
        <w:pStyle w:val="ParagraphOED"/>
        <w:numPr>
          <w:ilvl w:val="0"/>
          <w:numId w:val="102"/>
        </w:numPr>
        <w:spacing w:after="160"/>
      </w:pPr>
      <w:r w:rsidRPr="00160030">
        <w:rPr>
          <w:b/>
          <w:bCs/>
        </w:rPr>
        <w:t>Climate:</w:t>
      </w:r>
      <w:r>
        <w:t xml:space="preserve"> is harsh </w:t>
      </w:r>
      <w:r w:rsidR="009563B4" w:rsidRPr="00163820">
        <w:t xml:space="preserve">In Cunene and Cuando Cubango provinces, is harsh and </w:t>
      </w:r>
      <w:r w:rsidR="008E6322">
        <w:t>much</w:t>
      </w:r>
      <w:r w:rsidR="009563B4" w:rsidRPr="00163820">
        <w:t xml:space="preserve"> of the soil in the vast alluvial plains of the Okavango, Cunene and Cuvelai river basins </w:t>
      </w:r>
      <w:r w:rsidR="008E6322">
        <w:t>is</w:t>
      </w:r>
      <w:r w:rsidR="008E6322" w:rsidRPr="00163820">
        <w:t xml:space="preserve"> </w:t>
      </w:r>
      <w:r w:rsidR="009563B4" w:rsidRPr="00163820">
        <w:t xml:space="preserve">susceptible to erosion. Within these river basins – and </w:t>
      </w:r>
      <w:r w:rsidR="008E6322">
        <w:t>in</w:t>
      </w:r>
      <w:r w:rsidR="008E6322" w:rsidRPr="00163820">
        <w:t xml:space="preserve"> </w:t>
      </w:r>
      <w:r w:rsidR="009563B4" w:rsidRPr="00163820">
        <w:t>areas where Miombo, Mopane and Baikiaea Woodland vegetation predominates (</w:t>
      </w:r>
      <w:r w:rsidR="009563B4" w:rsidRPr="008E6322">
        <w:rPr>
          <w:highlight w:val="lightGray"/>
        </w:rPr>
        <w:fldChar w:fldCharType="begin"/>
      </w:r>
      <w:r w:rsidR="009563B4" w:rsidRPr="008E6322">
        <w:rPr>
          <w:highlight w:val="lightGray"/>
        </w:rPr>
        <w:instrText xml:space="preserve"> REF _Ref40122788 \h  \* MERGEFORMAT </w:instrText>
      </w:r>
      <w:r w:rsidR="009563B4" w:rsidRPr="008E6322">
        <w:rPr>
          <w:highlight w:val="lightGray"/>
        </w:rPr>
      </w:r>
      <w:r w:rsidR="009563B4" w:rsidRPr="008E6322">
        <w:rPr>
          <w:highlight w:val="lightGray"/>
        </w:rPr>
        <w:fldChar w:fldCharType="separate"/>
      </w:r>
      <w:r w:rsidR="00A64193" w:rsidRPr="00A64193">
        <w:rPr>
          <w:highlight w:val="lightGray"/>
        </w:rPr>
        <w:t>Figure 1</w:t>
      </w:r>
      <w:r w:rsidR="009563B4" w:rsidRPr="008E6322">
        <w:rPr>
          <w:highlight w:val="lightGray"/>
        </w:rPr>
        <w:fldChar w:fldCharType="end"/>
      </w:r>
      <w:r w:rsidR="009563B4" w:rsidRPr="00163820">
        <w:t xml:space="preserve">) </w:t>
      </w:r>
      <w:r w:rsidR="008E6322" w:rsidRPr="00163820">
        <w:t xml:space="preserve">– </w:t>
      </w:r>
      <w:r w:rsidR="009563B4" w:rsidRPr="00163820">
        <w:t>the climate varies from 'hot semi-arid (Bsh)’ towards the southwest to 'sub-tropical highland (Cwb)’ in the south-central part</w:t>
      </w:r>
      <w:r w:rsidR="009563B4">
        <w:t xml:space="preserve">. </w:t>
      </w:r>
      <w:r w:rsidR="008E6322">
        <w:t>T</w:t>
      </w:r>
      <w:r w:rsidR="008E6322" w:rsidRPr="00163820">
        <w:t>owards the south</w:t>
      </w:r>
      <w:r w:rsidR="008E6322">
        <w:t>-</w:t>
      </w:r>
      <w:r w:rsidR="008E6322" w:rsidRPr="00163820">
        <w:t>east</w:t>
      </w:r>
      <w:r w:rsidR="008E6322">
        <w:t>, i</w:t>
      </w:r>
      <w:r w:rsidR="009563B4">
        <w:t>t</w:t>
      </w:r>
      <w:r w:rsidR="009563B4" w:rsidRPr="00163820">
        <w:t xml:space="preserve"> includes a swath of </w:t>
      </w:r>
      <w:r w:rsidR="009563B4">
        <w:t>sub-</w:t>
      </w:r>
      <w:r w:rsidR="009563B4" w:rsidRPr="00163820">
        <w:t xml:space="preserve">climates </w:t>
      </w:r>
      <w:r w:rsidR="009563B4">
        <w:t xml:space="preserve">classified as </w:t>
      </w:r>
      <w:r w:rsidR="009563B4" w:rsidRPr="00163820">
        <w:t>'monsoon-influenced humid subtropical (Cwa)'.</w:t>
      </w:r>
      <w:r w:rsidR="009563B4" w:rsidRPr="00163820">
        <w:rPr>
          <w:rStyle w:val="FootnoteReference"/>
        </w:rPr>
        <w:footnoteReference w:id="40"/>
      </w:r>
      <w:r w:rsidR="009563B4" w:rsidRPr="00163820">
        <w:t xml:space="preserve"> Average temperatures in the project zone range from 22°C to 25°C</w:t>
      </w:r>
      <w:r w:rsidR="00C73DD5">
        <w:t>; and mean</w:t>
      </w:r>
      <w:r w:rsidR="009563B4" w:rsidRPr="00163820">
        <w:t xml:space="preserve"> annual precipitation from 600mm to 800mm. Rainfall patterns in </w:t>
      </w:r>
      <w:r w:rsidR="00C73DD5">
        <w:t>s</w:t>
      </w:r>
      <w:r w:rsidR="009563B4" w:rsidRPr="00163820">
        <w:t xml:space="preserve">outhern Angola naturally display significant variability, including a relatively strong interannual variability. These patterns accord to the landscapes in question </w:t>
      </w:r>
      <w:r w:rsidR="006C4284">
        <w:t xml:space="preserve">being </w:t>
      </w:r>
      <w:r w:rsidR="009563B4" w:rsidRPr="00163820">
        <w:t>classifi</w:t>
      </w:r>
      <w:r w:rsidR="006C4284">
        <w:t>ed</w:t>
      </w:r>
      <w:r w:rsidR="009563B4" w:rsidRPr="00163820">
        <w:t xml:space="preserve"> as ‘drylands’ (or presumed drylands). </w:t>
      </w:r>
    </w:p>
    <w:p w14:paraId="7DB07D08" w14:textId="4B61B81F" w:rsidR="009563B4" w:rsidRPr="00AA42F5" w:rsidRDefault="009563B4" w:rsidP="001667C6">
      <w:pPr>
        <w:pStyle w:val="ParagraphOED"/>
        <w:numPr>
          <w:ilvl w:val="0"/>
          <w:numId w:val="102"/>
        </w:numPr>
        <w:spacing w:after="160"/>
        <w:rPr>
          <w:sz w:val="22"/>
          <w:szCs w:val="22"/>
        </w:rPr>
      </w:pPr>
      <w:r w:rsidRPr="00163820">
        <w:rPr>
          <w:b/>
          <w:bCs/>
        </w:rPr>
        <w:t>Water, food and nutrition</w:t>
      </w:r>
      <w:r w:rsidR="00ED3A42">
        <w:rPr>
          <w:b/>
          <w:bCs/>
        </w:rPr>
        <w:t>:</w:t>
      </w:r>
      <w:r w:rsidRPr="00163820">
        <w:t xml:space="preserve"> At least 1.7 million </w:t>
      </w:r>
      <w:r w:rsidR="00ED3A42">
        <w:t>of</w:t>
      </w:r>
      <w:r w:rsidRPr="00163820">
        <w:t xml:space="preserve"> Angola’s 30 million </w:t>
      </w:r>
      <w:r w:rsidR="00ED3A42">
        <w:t xml:space="preserve">people </w:t>
      </w:r>
      <w:r w:rsidRPr="00163820">
        <w:t>inhabit the provinces of Cunene, Cuando Cubango and Huíla in areas dominated by Miombo</w:t>
      </w:r>
      <w:r w:rsidR="00ED3A42">
        <w:t>-</w:t>
      </w:r>
      <w:r w:rsidRPr="00163820">
        <w:t xml:space="preserve">Mopane vegetation </w:t>
      </w:r>
      <w:r w:rsidR="00255200" w:rsidRPr="00163820">
        <w:t xml:space="preserve">and </w:t>
      </w:r>
      <w:r w:rsidRPr="00163820">
        <w:t>where the project landscapes are located. Of these, 1.5 million are rural dwellers, who rely heavily on the resilience of dryland landscapes for their livelihoods. High levels of food insecurity and dietary deprivation were reported by the households within the project zone</w:t>
      </w:r>
      <w:r w:rsidR="00255200">
        <w:t>,</w:t>
      </w:r>
      <w:r w:rsidRPr="00163820">
        <w:t>surveyed during the PPG</w:t>
      </w:r>
      <w:r w:rsidR="00255200">
        <w:t xml:space="preserve"> phase</w:t>
      </w:r>
      <w:r w:rsidRPr="00163820">
        <w:t xml:space="preserve">. As shown in </w:t>
      </w:r>
      <w:r w:rsidRPr="00AA42F5">
        <w:rPr>
          <w:highlight w:val="lightGray"/>
        </w:rPr>
        <w:fldChar w:fldCharType="begin"/>
      </w:r>
      <w:r w:rsidRPr="005522AE">
        <w:rPr>
          <w:highlight w:val="lightGray"/>
        </w:rPr>
        <w:instrText xml:space="preserve"> REF _Ref45742548 \h  \* MERGEFORMAT </w:instrText>
      </w:r>
      <w:r w:rsidRPr="00AA42F5">
        <w:rPr>
          <w:highlight w:val="lightGray"/>
        </w:rPr>
      </w:r>
      <w:r w:rsidRPr="00AA42F5">
        <w:rPr>
          <w:highlight w:val="lightGray"/>
        </w:rPr>
        <w:fldChar w:fldCharType="separate"/>
      </w:r>
      <w:r w:rsidR="00A64193" w:rsidRPr="00AA42F5">
        <w:rPr>
          <w:noProof/>
          <w:sz w:val="22"/>
          <w:szCs w:val="22"/>
        </w:rPr>
        <w:t>Box</w:t>
      </w:r>
      <w:r w:rsidR="00A64193" w:rsidRPr="00AA42F5">
        <w:rPr>
          <w:sz w:val="22"/>
          <w:szCs w:val="22"/>
        </w:rPr>
        <w:t xml:space="preserve"> </w:t>
      </w:r>
      <w:r w:rsidR="00A64193" w:rsidRPr="00AA42F5">
        <w:rPr>
          <w:noProof/>
          <w:sz w:val="22"/>
          <w:szCs w:val="22"/>
        </w:rPr>
        <w:t>7</w:t>
      </w:r>
      <w:r w:rsidRPr="00AA42F5">
        <w:rPr>
          <w:highlight w:val="lightGray"/>
        </w:rPr>
        <w:fldChar w:fldCharType="end"/>
      </w:r>
      <w:r w:rsidRPr="00163820">
        <w:t>, low household</w:t>
      </w:r>
      <w:r w:rsidRPr="00CE1EA7">
        <w:t xml:space="preserve"> </w:t>
      </w:r>
      <w:r w:rsidRPr="0072648B">
        <w:t xml:space="preserve">dietary diversity score (HDDS) is prevalent in 41% </w:t>
      </w:r>
      <w:r w:rsidR="00255200">
        <w:t xml:space="preserve">of </w:t>
      </w:r>
      <w:r w:rsidRPr="0072648B">
        <w:t>households surveyed.</w:t>
      </w:r>
      <w:r w:rsidRPr="0072648B">
        <w:rPr>
          <w:rStyle w:val="FootnoteReference"/>
        </w:rPr>
        <w:footnoteReference w:id="41"/>
      </w:r>
      <w:r w:rsidRPr="0072648B">
        <w:t xml:space="preserve"> Water is a highly valued commodity in </w:t>
      </w:r>
      <w:r w:rsidR="00E24249">
        <w:t xml:space="preserve">dryland </w:t>
      </w:r>
      <w:r w:rsidRPr="0072648B">
        <w:t xml:space="preserve">landscapes and its availability an essential ecosystem service. The woodlands and river basins </w:t>
      </w:r>
      <w:r w:rsidR="005522AE">
        <w:t>targeted by</w:t>
      </w:r>
      <w:r w:rsidRPr="0072648B">
        <w:t xml:space="preserve"> this project sustain food production, livelihoods and produce hydro-powered energy, playing an important role in Angola’s economy and ecology. The landscapes are also being impacted by shocks, including recurrent drought, land degradation, climate change and economic hardsh</w:t>
      </w:r>
      <w:r w:rsidRPr="00CE1EA7">
        <w:t xml:space="preserve">ip more generally. </w:t>
      </w:r>
    </w:p>
    <w:p w14:paraId="76B98D0C" w14:textId="137172AA" w:rsidR="009563B4" w:rsidRPr="00CE1EA7" w:rsidRDefault="009563B4" w:rsidP="001667C6">
      <w:pPr>
        <w:pStyle w:val="ParagraphOED"/>
        <w:numPr>
          <w:ilvl w:val="0"/>
          <w:numId w:val="102"/>
        </w:numPr>
        <w:spacing w:after="160"/>
      </w:pPr>
      <w:r w:rsidRPr="00CE1EA7">
        <w:rPr>
          <w:b/>
          <w:bCs/>
        </w:rPr>
        <w:t xml:space="preserve">Infrastructure and social utility services </w:t>
      </w:r>
      <w:r w:rsidRPr="00CE1EA7">
        <w:t>are to a large extent dilapidated (roads, clinics, schools) but many still function. Rural extension is a scarce and insufficient service.</w:t>
      </w:r>
      <w:r>
        <w:t xml:space="preserve"> </w:t>
      </w:r>
      <w:r w:rsidR="005522AE">
        <w:t>L</w:t>
      </w:r>
      <w:r>
        <w:t>evels of s</w:t>
      </w:r>
      <w:r w:rsidRPr="00CE1EA7">
        <w:t xml:space="preserve">ocial organization </w:t>
      </w:r>
      <w:r>
        <w:t>around</w:t>
      </w:r>
      <w:r w:rsidRPr="00CE1EA7">
        <w:t xml:space="preserve"> production and </w:t>
      </w:r>
      <w:r>
        <w:t xml:space="preserve">household </w:t>
      </w:r>
      <w:r w:rsidRPr="00CE1EA7">
        <w:t>access to improved means of production</w:t>
      </w:r>
      <w:r>
        <w:t xml:space="preserve"> and markets</w:t>
      </w:r>
      <w:r w:rsidRPr="00CE1EA7">
        <w:t xml:space="preserve"> are limited</w:t>
      </w:r>
      <w:r w:rsidR="00160030">
        <w:t xml:space="preserve"> with respect to</w:t>
      </w:r>
      <w:r w:rsidRPr="00CE1EA7">
        <w:t xml:space="preserve"> availability of agro-processing facilities, machinery, abattoirs, silos</w:t>
      </w:r>
      <w:r w:rsidR="008B4B07">
        <w:t xml:space="preserve"> and</w:t>
      </w:r>
      <w:r w:rsidRPr="00CE1EA7">
        <w:t xml:space="preserve"> warehouses</w:t>
      </w:r>
      <w:r w:rsidRPr="00B901E1">
        <w:t xml:space="preserve">. As </w:t>
      </w:r>
      <w:r>
        <w:t xml:space="preserve">a region, </w:t>
      </w:r>
      <w:r w:rsidRPr="00B901E1">
        <w:t>southern Angola accumulated under-investment in public infrastructure</w:t>
      </w:r>
      <w:r w:rsidR="00160030">
        <w:t xml:space="preserve"> and</w:t>
      </w:r>
      <w:r w:rsidRPr="00B901E1">
        <w:t xml:space="preserve"> social services</w:t>
      </w:r>
      <w:r w:rsidR="008B4B07">
        <w:t xml:space="preserve"> over</w:t>
      </w:r>
      <w:r w:rsidR="008B4B07" w:rsidRPr="00B901E1">
        <w:t xml:space="preserve"> many years</w:t>
      </w:r>
      <w:r w:rsidRPr="00B901E1">
        <w:t>.</w:t>
      </w:r>
      <w:r w:rsidRPr="00B901E1">
        <w:rPr>
          <w:rStyle w:val="FootnoteReference"/>
        </w:rPr>
        <w:footnoteReference w:id="42"/>
      </w:r>
      <w:r w:rsidRPr="00B901E1">
        <w:t xml:space="preserve"> Most of such investments in the post-conflict period were directed t</w:t>
      </w:r>
      <w:r w:rsidRPr="00CE1EA7">
        <w:t>o Luanda and surroundings</w:t>
      </w:r>
      <w:r>
        <w:t xml:space="preserve">, and to </w:t>
      </w:r>
      <w:r w:rsidRPr="00CE1EA7">
        <w:t xml:space="preserve">urban centers. Market forces and the private sector have yet </w:t>
      </w:r>
      <w:r w:rsidR="00160030">
        <w:t xml:space="preserve">to </w:t>
      </w:r>
      <w:r w:rsidRPr="00CE1EA7">
        <w:t>fill this gap within the project zone.</w:t>
      </w:r>
    </w:p>
    <w:p w14:paraId="4764E9FD" w14:textId="2CBAA51B" w:rsidR="009563B4" w:rsidRPr="00CE1EA7" w:rsidRDefault="00160030" w:rsidP="001667C6">
      <w:pPr>
        <w:pStyle w:val="ParagraphOED"/>
        <w:numPr>
          <w:ilvl w:val="0"/>
          <w:numId w:val="102"/>
        </w:numPr>
        <w:spacing w:after="160"/>
      </w:pPr>
      <w:r w:rsidRPr="1E65A5F7">
        <w:rPr>
          <w:b/>
          <w:bCs/>
        </w:rPr>
        <w:t>Significant c</w:t>
      </w:r>
      <w:r w:rsidR="009563B4" w:rsidRPr="1E65A5F7">
        <w:rPr>
          <w:b/>
          <w:bCs/>
        </w:rPr>
        <w:t>hallenges</w:t>
      </w:r>
      <w:r w:rsidR="009563B4">
        <w:t xml:space="preserve"> </w:t>
      </w:r>
      <w:r>
        <w:t>faced by r</w:t>
      </w:r>
      <w:r w:rsidR="009563B4">
        <w:t xml:space="preserve">esidents in rural southern Angola </w:t>
      </w:r>
      <w:r>
        <w:t>are</w:t>
      </w:r>
      <w:r w:rsidR="009563B4">
        <w:t xml:space="preserve"> linked to poverty, low levels of literacy, reliance on subsistence agriculture and limited access to social services</w:t>
      </w:r>
      <w:r>
        <w:t xml:space="preserve"> and </w:t>
      </w:r>
      <w:r w:rsidR="009563B4">
        <w:t xml:space="preserve">capacity </w:t>
      </w:r>
      <w:r w:rsidR="009563B4">
        <w:lastRenderedPageBreak/>
        <w:t>building opportunities. The poor state of the road network and limited investments in agricultural productivity are major constrain</w:t>
      </w:r>
      <w:r>
        <w:t>ts</w:t>
      </w:r>
      <w:r w:rsidR="009563B4">
        <w:t xml:space="preserve"> to the agrarian sector in </w:t>
      </w:r>
      <w:r>
        <w:t xml:space="preserve">particular </w:t>
      </w:r>
      <w:r w:rsidR="009563B4">
        <w:t xml:space="preserve">and to the development potential of the rural economy more </w:t>
      </w:r>
      <w:r w:rsidR="00144861">
        <w:t>widely,</w:t>
      </w:r>
      <w:r w:rsidR="009563B4">
        <w:t xml:space="preserve"> including compar</w:t>
      </w:r>
      <w:r w:rsidR="00144861">
        <w:t>ison</w:t>
      </w:r>
      <w:r w:rsidR="009563B4">
        <w:t xml:space="preserve"> </w:t>
      </w:r>
      <w:r w:rsidR="00144861">
        <w:t>with</w:t>
      </w:r>
      <w:r w:rsidR="009563B4">
        <w:t xml:space="preserve"> other provinces such as Huambo. At the same time, proximity to Namibia is an important economic driver </w:t>
      </w:r>
      <w:r w:rsidR="00144861">
        <w:t>for cross-border trade</w:t>
      </w:r>
      <w:r w:rsidR="009563B4">
        <w:t xml:space="preserve">. </w:t>
      </w:r>
    </w:p>
    <w:p w14:paraId="2C0A6C64" w14:textId="2375800B" w:rsidR="00F114D2" w:rsidRDefault="00F114D2" w:rsidP="00640E76">
      <w:pPr>
        <w:spacing w:before="160" w:after="160"/>
        <w:rPr>
          <w:rFonts w:ascii="Calibri" w:hAnsi="Calibri"/>
          <w:i/>
          <w:iCs/>
          <w:sz w:val="21"/>
          <w:szCs w:val="21"/>
          <w:highlight w:val="lightGray"/>
        </w:rPr>
      </w:pPr>
      <w:r w:rsidRPr="00640E76">
        <w:rPr>
          <w:rFonts w:ascii="Calibri" w:hAnsi="Calibri"/>
          <w:i/>
          <w:iCs/>
          <w:sz w:val="21"/>
          <w:szCs w:val="21"/>
          <w:highlight w:val="lightGray"/>
        </w:rPr>
        <w:t>Overview of Targeted Landscapes</w:t>
      </w:r>
    </w:p>
    <w:p w14:paraId="5447A687" w14:textId="56C3B30A" w:rsidR="00992C7C" w:rsidRPr="00613A2E" w:rsidRDefault="00992C7C" w:rsidP="00992C7C">
      <w:pPr>
        <w:pStyle w:val="Caption"/>
        <w:spacing w:before="80" w:after="80"/>
        <w:ind w:left="1701" w:hanging="992"/>
        <w:jc w:val="left"/>
        <w:rPr>
          <w:rFonts w:ascii="Calibri" w:hAnsi="Calibri" w:cs="Calibri"/>
          <w:sz w:val="22"/>
          <w:szCs w:val="22"/>
        </w:rPr>
      </w:pPr>
      <w:bookmarkStart w:id="71" w:name="_Ref41051141"/>
      <w:bookmarkStart w:id="72" w:name="_Toc58398632"/>
      <w:r w:rsidRPr="00613A2E">
        <w:rPr>
          <w:rFonts w:ascii="Calibri" w:hAnsi="Calibri" w:cs="Calibri"/>
          <w:sz w:val="22"/>
          <w:szCs w:val="22"/>
        </w:rPr>
        <w:t xml:space="preserve">Table </w:t>
      </w:r>
      <w:r w:rsidRPr="00613A2E">
        <w:rPr>
          <w:rFonts w:ascii="Calibri" w:hAnsi="Calibri" w:cs="Calibri"/>
          <w:sz w:val="22"/>
          <w:szCs w:val="22"/>
        </w:rPr>
        <w:fldChar w:fldCharType="begin"/>
      </w:r>
      <w:r w:rsidRPr="00613A2E">
        <w:rPr>
          <w:rFonts w:ascii="Calibri" w:hAnsi="Calibri" w:cs="Calibri"/>
          <w:sz w:val="22"/>
          <w:szCs w:val="22"/>
        </w:rPr>
        <w:instrText>SEQ Table \* ARABIC</w:instrText>
      </w:r>
      <w:r w:rsidRPr="00613A2E">
        <w:rPr>
          <w:rFonts w:ascii="Calibri" w:hAnsi="Calibri" w:cs="Calibri"/>
          <w:sz w:val="22"/>
          <w:szCs w:val="22"/>
        </w:rPr>
        <w:fldChar w:fldCharType="separate"/>
      </w:r>
      <w:r w:rsidR="007D3608">
        <w:rPr>
          <w:rFonts w:ascii="Calibri" w:hAnsi="Calibri" w:cs="Calibri"/>
          <w:noProof/>
          <w:sz w:val="22"/>
          <w:szCs w:val="22"/>
        </w:rPr>
        <w:t>2</w:t>
      </w:r>
      <w:r w:rsidRPr="00613A2E">
        <w:rPr>
          <w:rFonts w:ascii="Calibri" w:hAnsi="Calibri" w:cs="Calibri"/>
          <w:sz w:val="22"/>
          <w:szCs w:val="22"/>
        </w:rPr>
        <w:fldChar w:fldCharType="end"/>
      </w:r>
      <w:bookmarkEnd w:id="71"/>
      <w:r w:rsidRPr="00613A2E">
        <w:rPr>
          <w:rFonts w:ascii="Calibri" w:hAnsi="Calibri" w:cs="Calibri"/>
          <w:sz w:val="22"/>
          <w:szCs w:val="22"/>
        </w:rPr>
        <w:t>.</w:t>
      </w:r>
      <w:r w:rsidR="003C5569">
        <w:rPr>
          <w:rFonts w:ascii="Calibri" w:hAnsi="Calibri" w:cs="Calibri"/>
          <w:sz w:val="22"/>
          <w:szCs w:val="22"/>
        </w:rPr>
        <w:t xml:space="preserve"> </w:t>
      </w:r>
      <w:r w:rsidRPr="00613A2E">
        <w:rPr>
          <w:rFonts w:ascii="Calibri" w:hAnsi="Calibri" w:cs="Calibri"/>
          <w:sz w:val="22"/>
          <w:szCs w:val="22"/>
        </w:rPr>
        <w:t>Target landscapes, defined as sub-basins, and their stakeholders within the respective administrative divisions in the Project Zone</w:t>
      </w:r>
      <w:r w:rsidRPr="00613A2E">
        <w:rPr>
          <w:rStyle w:val="FootnoteReference"/>
          <w:rFonts w:ascii="Calibri" w:hAnsi="Calibri" w:cs="Calibri"/>
          <w:sz w:val="22"/>
          <w:szCs w:val="22"/>
        </w:rPr>
        <w:footnoteReference w:id="43"/>
      </w:r>
      <w:bookmarkEnd w:id="72"/>
    </w:p>
    <w:tbl>
      <w:tblPr>
        <w:tblStyle w:val="ListTable32"/>
        <w:tblW w:w="4954" w:type="pct"/>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70"/>
        <w:gridCol w:w="936"/>
        <w:gridCol w:w="1025"/>
        <w:gridCol w:w="965"/>
        <w:gridCol w:w="1400"/>
        <w:gridCol w:w="2937"/>
      </w:tblGrid>
      <w:tr w:rsidR="00DA42EB" w:rsidRPr="008176BC" w14:paraId="69579441" w14:textId="77777777" w:rsidTr="00B6736D">
        <w:trPr>
          <w:cnfStyle w:val="100000000000" w:firstRow="1" w:lastRow="0" w:firstColumn="0" w:lastColumn="0" w:oddVBand="0" w:evenVBand="0" w:oddHBand="0" w:evenHBand="0" w:firstRowFirstColumn="0" w:firstRowLastColumn="0" w:lastRowFirstColumn="0" w:lastRowLastColumn="0"/>
          <w:tblHeader/>
        </w:trPr>
        <w:tc>
          <w:tcPr>
            <w:cnfStyle w:val="001000000100" w:firstRow="0" w:lastRow="0" w:firstColumn="1" w:lastColumn="0" w:oddVBand="0" w:evenVBand="0" w:oddHBand="0" w:evenHBand="0" w:firstRowFirstColumn="1" w:firstRowLastColumn="0" w:lastRowFirstColumn="0" w:lastRowLastColumn="0"/>
            <w:tcW w:w="936" w:type="pct"/>
            <w:tcMar>
              <w:left w:w="57" w:type="dxa"/>
              <w:right w:w="28" w:type="dxa"/>
            </w:tcMar>
            <w:vAlign w:val="center"/>
          </w:tcPr>
          <w:p w14:paraId="5BCC6A60" w14:textId="77777777" w:rsidR="00992C7C" w:rsidRPr="008176BC" w:rsidRDefault="00992C7C" w:rsidP="009D6968">
            <w:pPr>
              <w:jc w:val="center"/>
              <w:rPr>
                <w:rFonts w:asciiTheme="minorHAnsi" w:hAnsiTheme="minorHAnsi" w:cstheme="minorHAnsi"/>
                <w:sz w:val="16"/>
                <w:szCs w:val="16"/>
              </w:rPr>
            </w:pPr>
            <w:r w:rsidRPr="008176BC">
              <w:rPr>
                <w:rFonts w:asciiTheme="minorHAnsi" w:hAnsiTheme="minorHAnsi" w:cstheme="minorHAnsi"/>
                <w:sz w:val="16"/>
                <w:szCs w:val="16"/>
              </w:rPr>
              <w:t>Landscape</w:t>
            </w:r>
            <w:r>
              <w:rPr>
                <w:rFonts w:asciiTheme="minorHAnsi" w:hAnsiTheme="minorHAnsi" w:cstheme="minorHAnsi"/>
                <w:sz w:val="16"/>
                <w:szCs w:val="16"/>
              </w:rPr>
              <w:t>s</w:t>
            </w:r>
          </w:p>
        </w:tc>
        <w:tc>
          <w:tcPr>
            <w:tcW w:w="525" w:type="pct"/>
            <w:tcMar>
              <w:left w:w="57" w:type="dxa"/>
              <w:right w:w="28" w:type="dxa"/>
            </w:tcMar>
            <w:vAlign w:val="center"/>
          </w:tcPr>
          <w:p w14:paraId="4C19BCD7" w14:textId="77777777" w:rsidR="00992C7C" w:rsidRPr="008176BC" w:rsidRDefault="00992C7C" w:rsidP="009D6968">
            <w:pPr>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sz w:val="16"/>
                <w:szCs w:val="16"/>
              </w:rPr>
            </w:pPr>
            <w:r w:rsidRPr="008176BC">
              <w:rPr>
                <w:rFonts w:asciiTheme="minorHAnsi" w:hAnsiTheme="minorHAnsi" w:cstheme="minorHAnsi"/>
                <w:sz w:val="16"/>
                <w:szCs w:val="16"/>
              </w:rPr>
              <w:t>Provinces</w:t>
            </w:r>
          </w:p>
        </w:tc>
        <w:tc>
          <w:tcPr>
            <w:tcW w:w="567" w:type="pct"/>
            <w:tcMar>
              <w:left w:w="57" w:type="dxa"/>
              <w:right w:w="28" w:type="dxa"/>
            </w:tcMar>
            <w:vAlign w:val="center"/>
          </w:tcPr>
          <w:p w14:paraId="126E6763" w14:textId="77777777" w:rsidR="00992C7C" w:rsidRPr="008176BC" w:rsidRDefault="00992C7C" w:rsidP="009D6968">
            <w:pPr>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sz w:val="16"/>
                <w:szCs w:val="16"/>
              </w:rPr>
            </w:pPr>
            <w:r w:rsidRPr="008176BC">
              <w:rPr>
                <w:rFonts w:asciiTheme="minorHAnsi" w:hAnsiTheme="minorHAnsi" w:cstheme="minorHAnsi"/>
                <w:sz w:val="16"/>
                <w:szCs w:val="16"/>
              </w:rPr>
              <w:t>Municipalities</w:t>
            </w:r>
          </w:p>
        </w:tc>
        <w:tc>
          <w:tcPr>
            <w:tcW w:w="541" w:type="pct"/>
            <w:tcMar>
              <w:left w:w="57" w:type="dxa"/>
              <w:right w:w="28" w:type="dxa"/>
            </w:tcMar>
            <w:vAlign w:val="center"/>
          </w:tcPr>
          <w:p w14:paraId="30810E4B" w14:textId="77777777" w:rsidR="00992C7C" w:rsidRPr="008176BC" w:rsidRDefault="00992C7C" w:rsidP="009D6968">
            <w:pPr>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sz w:val="16"/>
                <w:szCs w:val="16"/>
              </w:rPr>
            </w:pPr>
            <w:r w:rsidRPr="008176BC">
              <w:rPr>
                <w:rFonts w:asciiTheme="minorHAnsi" w:hAnsiTheme="minorHAnsi" w:cstheme="minorHAnsi"/>
                <w:sz w:val="16"/>
                <w:szCs w:val="16"/>
              </w:rPr>
              <w:t>Communes</w:t>
            </w:r>
          </w:p>
        </w:tc>
        <w:tc>
          <w:tcPr>
            <w:tcW w:w="785" w:type="pct"/>
            <w:tcMar>
              <w:left w:w="57" w:type="dxa"/>
              <w:right w:w="28" w:type="dxa"/>
            </w:tcMar>
            <w:vAlign w:val="center"/>
          </w:tcPr>
          <w:p w14:paraId="620E181A" w14:textId="77777777" w:rsidR="00992C7C" w:rsidRPr="008176BC" w:rsidRDefault="00992C7C" w:rsidP="009D6968">
            <w:pPr>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sz w:val="16"/>
                <w:szCs w:val="16"/>
              </w:rPr>
            </w:pPr>
            <w:r w:rsidRPr="60130418">
              <w:rPr>
                <w:rFonts w:asciiTheme="minorHAnsi" w:hAnsiTheme="minorHAnsi" w:cstheme="minorBidi"/>
                <w:sz w:val="16"/>
                <w:szCs w:val="16"/>
              </w:rPr>
              <w:t xml:space="preserve">Localities </w:t>
            </w:r>
            <w:r w:rsidRPr="60130418">
              <w:rPr>
                <w:rFonts w:asciiTheme="minorHAnsi" w:hAnsiTheme="minorHAnsi" w:cstheme="minorBidi"/>
                <w:i/>
                <w:sz w:val="16"/>
                <w:szCs w:val="16"/>
              </w:rPr>
              <w:t>(non-exhaustive list)</w:t>
            </w:r>
            <w:r w:rsidRPr="60130418">
              <w:rPr>
                <w:rStyle w:val="FootnoteReference"/>
                <w:rFonts w:cs="Calibri"/>
              </w:rPr>
              <w:t xml:space="preserve"> </w:t>
            </w:r>
            <w:r w:rsidRPr="60130418">
              <w:rPr>
                <w:rStyle w:val="FootnoteReference"/>
                <w:rFonts w:cs="Calibri"/>
              </w:rPr>
              <w:footnoteReference w:id="44"/>
            </w:r>
          </w:p>
        </w:tc>
        <w:tc>
          <w:tcPr>
            <w:tcW w:w="1644" w:type="pct"/>
            <w:tcMar>
              <w:left w:w="57" w:type="dxa"/>
              <w:right w:w="28" w:type="dxa"/>
            </w:tcMar>
            <w:vAlign w:val="center"/>
          </w:tcPr>
          <w:p w14:paraId="51BF9AE0" w14:textId="77777777" w:rsidR="00992C7C" w:rsidRDefault="00992C7C" w:rsidP="009D6968">
            <w:pPr>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bCs w:val="0"/>
                <w:sz w:val="16"/>
                <w:szCs w:val="16"/>
              </w:rPr>
            </w:pPr>
            <w:r w:rsidRPr="008176BC">
              <w:rPr>
                <w:rFonts w:asciiTheme="minorHAnsi" w:hAnsiTheme="minorHAnsi" w:cstheme="minorHAnsi"/>
                <w:sz w:val="16"/>
                <w:szCs w:val="16"/>
              </w:rPr>
              <w:t xml:space="preserve">Nearby places </w:t>
            </w:r>
            <w:r>
              <w:rPr>
                <w:rFonts w:asciiTheme="minorHAnsi" w:hAnsiTheme="minorHAnsi" w:cstheme="minorHAnsi"/>
                <w:sz w:val="16"/>
                <w:szCs w:val="16"/>
              </w:rPr>
              <w:t>and</w:t>
            </w:r>
          </w:p>
          <w:p w14:paraId="3EA55FC3" w14:textId="77777777" w:rsidR="00992C7C" w:rsidRPr="008176BC" w:rsidRDefault="00992C7C" w:rsidP="009D6968">
            <w:pPr>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sz w:val="16"/>
                <w:szCs w:val="16"/>
              </w:rPr>
            </w:pPr>
            <w:r w:rsidRPr="008176BC">
              <w:rPr>
                <w:rFonts w:asciiTheme="minorHAnsi" w:hAnsiTheme="minorHAnsi" w:cstheme="minorHAnsi"/>
                <w:sz w:val="16"/>
                <w:szCs w:val="16"/>
              </w:rPr>
              <w:t xml:space="preserve"> salient geographic features</w:t>
            </w:r>
          </w:p>
        </w:tc>
      </w:tr>
      <w:tr w:rsidR="004C4FD4" w:rsidRPr="008176BC" w14:paraId="407DC330" w14:textId="77777777" w:rsidTr="00B6736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36" w:type="pct"/>
            <w:shd w:val="clear" w:color="auto" w:fill="E2EFD9" w:themeFill="accent6" w:themeFillTint="33"/>
            <w:tcMar>
              <w:left w:w="57" w:type="dxa"/>
              <w:right w:w="28" w:type="dxa"/>
            </w:tcMar>
          </w:tcPr>
          <w:p w14:paraId="5FDF6857" w14:textId="77777777" w:rsidR="00992C7C" w:rsidRPr="008176BC" w:rsidRDefault="00992C7C" w:rsidP="009D6968">
            <w:pPr>
              <w:rPr>
                <w:rFonts w:asciiTheme="minorHAnsi" w:hAnsiTheme="minorHAnsi" w:cstheme="minorHAnsi"/>
                <w:sz w:val="18"/>
                <w:szCs w:val="18"/>
              </w:rPr>
            </w:pPr>
            <w:r w:rsidRPr="008176BC">
              <w:rPr>
                <w:rFonts w:asciiTheme="minorHAnsi" w:hAnsiTheme="minorHAnsi" w:cstheme="minorHAnsi"/>
                <w:sz w:val="18"/>
                <w:szCs w:val="18"/>
              </w:rPr>
              <w:t xml:space="preserve">Sub-basin 1 (Cuchi-Okavango) </w:t>
            </w:r>
          </w:p>
          <w:p w14:paraId="18B2AC92" w14:textId="77777777" w:rsidR="00992C7C" w:rsidRPr="008176BC" w:rsidRDefault="00992C7C" w:rsidP="009D6968">
            <w:pPr>
              <w:rPr>
                <w:rFonts w:asciiTheme="minorHAnsi" w:hAnsiTheme="minorHAnsi" w:cstheme="minorHAnsi"/>
                <w:sz w:val="18"/>
                <w:szCs w:val="18"/>
              </w:rPr>
            </w:pPr>
          </w:p>
        </w:tc>
        <w:tc>
          <w:tcPr>
            <w:tcW w:w="525" w:type="pct"/>
            <w:tcMar>
              <w:left w:w="57" w:type="dxa"/>
              <w:right w:w="28" w:type="dxa"/>
            </w:tcMar>
          </w:tcPr>
          <w:p w14:paraId="19932426" w14:textId="77777777" w:rsidR="00992C7C" w:rsidRPr="008176BC" w:rsidRDefault="00992C7C" w:rsidP="009D696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bCs/>
                <w:sz w:val="18"/>
                <w:szCs w:val="18"/>
              </w:rPr>
            </w:pPr>
            <w:r w:rsidRPr="008176BC">
              <w:rPr>
                <w:rFonts w:asciiTheme="minorHAnsi" w:hAnsiTheme="minorHAnsi" w:cstheme="minorHAnsi"/>
                <w:b/>
                <w:bCs/>
                <w:sz w:val="18"/>
                <w:szCs w:val="18"/>
              </w:rPr>
              <w:t>Cuando Cubango</w:t>
            </w:r>
          </w:p>
        </w:tc>
        <w:tc>
          <w:tcPr>
            <w:tcW w:w="567" w:type="pct"/>
            <w:tcMar>
              <w:left w:w="57" w:type="dxa"/>
              <w:right w:w="28" w:type="dxa"/>
            </w:tcMar>
          </w:tcPr>
          <w:p w14:paraId="3CDE87BE" w14:textId="77777777" w:rsidR="00992C7C" w:rsidRPr="008176BC" w:rsidRDefault="00992C7C" w:rsidP="009D696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r w:rsidRPr="008176BC">
              <w:rPr>
                <w:rFonts w:asciiTheme="minorHAnsi" w:hAnsiTheme="minorHAnsi" w:cstheme="minorHAnsi"/>
                <w:sz w:val="16"/>
                <w:szCs w:val="16"/>
              </w:rPr>
              <w:t>Cuchi</w:t>
            </w:r>
          </w:p>
        </w:tc>
        <w:tc>
          <w:tcPr>
            <w:tcW w:w="541" w:type="pct"/>
            <w:tcMar>
              <w:left w:w="57" w:type="dxa"/>
              <w:right w:w="28" w:type="dxa"/>
            </w:tcMar>
          </w:tcPr>
          <w:p w14:paraId="400A57DE" w14:textId="77777777" w:rsidR="00992C7C" w:rsidRPr="008176BC" w:rsidRDefault="00992C7C" w:rsidP="009D696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r w:rsidRPr="008176BC">
              <w:rPr>
                <w:rFonts w:asciiTheme="minorHAnsi" w:hAnsiTheme="minorHAnsi" w:cstheme="minorHAnsi"/>
                <w:sz w:val="16"/>
                <w:szCs w:val="16"/>
              </w:rPr>
              <w:t>Cuchi</w:t>
            </w:r>
          </w:p>
          <w:p w14:paraId="67D9C34D" w14:textId="77777777" w:rsidR="00992C7C" w:rsidRPr="008176BC" w:rsidRDefault="00992C7C" w:rsidP="009D696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r w:rsidRPr="008176BC">
              <w:rPr>
                <w:rFonts w:asciiTheme="minorHAnsi" w:hAnsiTheme="minorHAnsi" w:cstheme="minorHAnsi"/>
                <w:sz w:val="16"/>
                <w:szCs w:val="16"/>
              </w:rPr>
              <w:t>Chinguanja</w:t>
            </w:r>
          </w:p>
          <w:p w14:paraId="28265124" w14:textId="77777777" w:rsidR="00992C7C" w:rsidRPr="008176BC" w:rsidRDefault="00992C7C" w:rsidP="009D696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r w:rsidRPr="008176BC">
              <w:rPr>
                <w:rFonts w:asciiTheme="minorHAnsi" w:hAnsiTheme="minorHAnsi" w:cstheme="minorHAnsi"/>
                <w:sz w:val="16"/>
                <w:szCs w:val="16"/>
              </w:rPr>
              <w:t>Vissei</w:t>
            </w:r>
          </w:p>
        </w:tc>
        <w:tc>
          <w:tcPr>
            <w:tcW w:w="785" w:type="pct"/>
            <w:tcMar>
              <w:left w:w="57" w:type="dxa"/>
              <w:right w:w="28" w:type="dxa"/>
            </w:tcMar>
          </w:tcPr>
          <w:p w14:paraId="6103A8B2" w14:textId="77777777" w:rsidR="00992C7C" w:rsidRPr="009C71D3" w:rsidRDefault="00992C7C" w:rsidP="009D696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it-IT"/>
              </w:rPr>
            </w:pPr>
            <w:r w:rsidRPr="009C71D3">
              <w:rPr>
                <w:rFonts w:asciiTheme="minorHAnsi" w:hAnsiTheme="minorHAnsi" w:cstheme="minorHAnsi"/>
                <w:sz w:val="16"/>
                <w:szCs w:val="16"/>
                <w:lang w:val="it-IT"/>
              </w:rPr>
              <w:t>Cuchi Town</w:t>
            </w:r>
          </w:p>
          <w:p w14:paraId="646B8D9A" w14:textId="77777777" w:rsidR="00992C7C" w:rsidRPr="009C71D3" w:rsidRDefault="00992C7C" w:rsidP="009D696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it-IT"/>
              </w:rPr>
            </w:pPr>
            <w:r w:rsidRPr="009C71D3">
              <w:rPr>
                <w:rFonts w:asciiTheme="minorHAnsi" w:hAnsiTheme="minorHAnsi" w:cstheme="minorHAnsi"/>
                <w:sz w:val="16"/>
                <w:szCs w:val="16"/>
                <w:lang w:val="it-IT"/>
              </w:rPr>
              <w:t>Cangongo</w:t>
            </w:r>
          </w:p>
          <w:p w14:paraId="0D243E17" w14:textId="77777777" w:rsidR="00992C7C" w:rsidRPr="009C71D3" w:rsidRDefault="00992C7C" w:rsidP="009D696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it-IT"/>
              </w:rPr>
            </w:pPr>
            <w:r w:rsidRPr="009C71D3">
              <w:rPr>
                <w:rFonts w:asciiTheme="minorHAnsi" w:hAnsiTheme="minorHAnsi" w:cstheme="minorHAnsi"/>
                <w:sz w:val="16"/>
                <w:szCs w:val="16"/>
                <w:lang w:val="it-IT"/>
              </w:rPr>
              <w:t>Liunda</w:t>
            </w:r>
          </w:p>
          <w:p w14:paraId="426EB679" w14:textId="77777777" w:rsidR="00992C7C" w:rsidRPr="009C71D3" w:rsidRDefault="00992C7C" w:rsidP="009D696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it-IT"/>
              </w:rPr>
            </w:pPr>
            <w:r w:rsidRPr="009C71D3">
              <w:rPr>
                <w:rFonts w:asciiTheme="minorHAnsi" w:hAnsiTheme="minorHAnsi" w:cstheme="minorHAnsi"/>
                <w:sz w:val="16"/>
                <w:szCs w:val="16"/>
                <w:lang w:val="it-IT"/>
              </w:rPr>
              <w:t>Mocuva</w:t>
            </w:r>
          </w:p>
          <w:p w14:paraId="2C5B09B0" w14:textId="77777777" w:rsidR="00992C7C" w:rsidRPr="009C71D3" w:rsidRDefault="00992C7C" w:rsidP="009D696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it-IT"/>
              </w:rPr>
            </w:pPr>
            <w:r w:rsidRPr="009C71D3">
              <w:rPr>
                <w:rFonts w:asciiTheme="minorHAnsi" w:hAnsiTheme="minorHAnsi" w:cstheme="minorHAnsi"/>
                <w:sz w:val="16"/>
                <w:szCs w:val="16"/>
                <w:lang w:val="it-IT"/>
              </w:rPr>
              <w:t>Dejunga</w:t>
            </w:r>
          </w:p>
          <w:p w14:paraId="3B8F7496" w14:textId="77777777" w:rsidR="00992C7C" w:rsidRPr="008176BC" w:rsidRDefault="00992C7C" w:rsidP="009D696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r w:rsidRPr="008176BC">
              <w:rPr>
                <w:rFonts w:asciiTheme="minorHAnsi" w:hAnsiTheme="minorHAnsi" w:cstheme="minorHAnsi"/>
                <w:sz w:val="16"/>
                <w:szCs w:val="16"/>
              </w:rPr>
              <w:t>Mangumbo</w:t>
            </w:r>
          </w:p>
          <w:p w14:paraId="09787B8F" w14:textId="77777777" w:rsidR="00992C7C" w:rsidRPr="008176BC" w:rsidRDefault="00992C7C" w:rsidP="009D696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r w:rsidRPr="008176BC">
              <w:rPr>
                <w:rFonts w:asciiTheme="minorHAnsi" w:hAnsiTheme="minorHAnsi" w:cstheme="minorHAnsi"/>
                <w:sz w:val="16"/>
                <w:szCs w:val="16"/>
              </w:rPr>
              <w:t>Liabela</w:t>
            </w:r>
          </w:p>
        </w:tc>
        <w:tc>
          <w:tcPr>
            <w:tcW w:w="1644" w:type="pct"/>
            <w:tcMar>
              <w:left w:w="57" w:type="dxa"/>
              <w:right w:w="28" w:type="dxa"/>
            </w:tcMar>
          </w:tcPr>
          <w:p w14:paraId="6E28C0FD" w14:textId="77777777" w:rsidR="00992C7C" w:rsidRPr="006233F4" w:rsidRDefault="00992C7C" w:rsidP="009D696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bCs/>
                <w:sz w:val="16"/>
                <w:szCs w:val="16"/>
              </w:rPr>
            </w:pPr>
            <w:r w:rsidRPr="006233F4">
              <w:rPr>
                <w:rFonts w:asciiTheme="minorHAnsi" w:hAnsiTheme="minorHAnsi" w:cstheme="minorHAnsi"/>
                <w:b/>
                <w:bCs/>
                <w:sz w:val="16"/>
                <w:szCs w:val="16"/>
              </w:rPr>
              <w:t>Menongue (the provincial capital)</w:t>
            </w:r>
          </w:p>
          <w:p w14:paraId="2C8091EA" w14:textId="77777777" w:rsidR="00992C7C" w:rsidRPr="006233F4" w:rsidRDefault="00992C7C" w:rsidP="009D696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bCs/>
                <w:sz w:val="16"/>
                <w:szCs w:val="16"/>
              </w:rPr>
            </w:pPr>
            <w:r w:rsidRPr="006233F4">
              <w:rPr>
                <w:rFonts w:asciiTheme="minorHAnsi" w:hAnsiTheme="minorHAnsi" w:cstheme="minorHAnsi"/>
                <w:b/>
                <w:bCs/>
                <w:sz w:val="16"/>
                <w:szCs w:val="16"/>
              </w:rPr>
              <w:t>Capelongo:</w:t>
            </w:r>
          </w:p>
          <w:p w14:paraId="5B6A75FA" w14:textId="77777777" w:rsidR="00992C7C" w:rsidRPr="008176BC" w:rsidRDefault="00992C7C" w:rsidP="001667C6">
            <w:pPr>
              <w:pStyle w:val="ListParagraph"/>
              <w:numPr>
                <w:ilvl w:val="0"/>
                <w:numId w:val="28"/>
              </w:numPr>
              <w:spacing w:after="0"/>
              <w:ind w:left="229" w:hanging="229"/>
              <w:contextualSpacing w:val="0"/>
              <w:jc w:val="lef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auto"/>
                <w:sz w:val="16"/>
                <w:szCs w:val="16"/>
              </w:rPr>
            </w:pPr>
            <w:r w:rsidRPr="008176BC">
              <w:rPr>
                <w:rFonts w:asciiTheme="minorHAnsi" w:hAnsiTheme="minorHAnsi" w:cstheme="minorHAnsi"/>
                <w:color w:val="auto"/>
                <w:sz w:val="16"/>
                <w:szCs w:val="16"/>
              </w:rPr>
              <w:t>Upper Cubango River</w:t>
            </w:r>
          </w:p>
          <w:p w14:paraId="1E3CEBF6" w14:textId="77777777" w:rsidR="00992C7C" w:rsidRPr="008176BC" w:rsidRDefault="00992C7C" w:rsidP="001667C6">
            <w:pPr>
              <w:pStyle w:val="ListParagraph"/>
              <w:numPr>
                <w:ilvl w:val="0"/>
                <w:numId w:val="28"/>
              </w:numPr>
              <w:spacing w:after="0"/>
              <w:ind w:left="229" w:hanging="229"/>
              <w:contextualSpacing w:val="0"/>
              <w:jc w:val="lef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auto"/>
                <w:sz w:val="16"/>
                <w:szCs w:val="16"/>
              </w:rPr>
            </w:pPr>
            <w:r w:rsidRPr="008176BC">
              <w:rPr>
                <w:rFonts w:asciiTheme="minorHAnsi" w:hAnsiTheme="minorHAnsi" w:cstheme="minorHAnsi"/>
                <w:color w:val="auto"/>
                <w:sz w:val="16"/>
                <w:szCs w:val="16"/>
              </w:rPr>
              <w:t>Cuchi River</w:t>
            </w:r>
          </w:p>
          <w:p w14:paraId="223504AD" w14:textId="77777777" w:rsidR="00992C7C" w:rsidRPr="008176BC" w:rsidRDefault="00992C7C" w:rsidP="001667C6">
            <w:pPr>
              <w:pStyle w:val="ListParagraph"/>
              <w:numPr>
                <w:ilvl w:val="0"/>
                <w:numId w:val="28"/>
              </w:numPr>
              <w:spacing w:after="0"/>
              <w:ind w:left="229" w:hanging="229"/>
              <w:contextualSpacing w:val="0"/>
              <w:jc w:val="lef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auto"/>
                <w:sz w:val="16"/>
                <w:szCs w:val="16"/>
              </w:rPr>
            </w:pPr>
            <w:r w:rsidRPr="008176BC">
              <w:rPr>
                <w:rFonts w:asciiTheme="minorHAnsi" w:hAnsiTheme="minorHAnsi" w:cstheme="minorHAnsi"/>
                <w:color w:val="auto"/>
                <w:sz w:val="16"/>
                <w:szCs w:val="16"/>
              </w:rPr>
              <w:t>Cacuchi River</w:t>
            </w:r>
          </w:p>
          <w:p w14:paraId="67011F30" w14:textId="77777777" w:rsidR="00992C7C" w:rsidRPr="008176BC" w:rsidRDefault="00992C7C" w:rsidP="001667C6">
            <w:pPr>
              <w:pStyle w:val="ListParagraph"/>
              <w:numPr>
                <w:ilvl w:val="0"/>
                <w:numId w:val="28"/>
              </w:numPr>
              <w:spacing w:after="0"/>
              <w:ind w:left="229" w:hanging="229"/>
              <w:contextualSpacing w:val="0"/>
              <w:jc w:val="lef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auto"/>
                <w:sz w:val="16"/>
                <w:szCs w:val="16"/>
              </w:rPr>
            </w:pPr>
            <w:r w:rsidRPr="008176BC">
              <w:rPr>
                <w:rFonts w:asciiTheme="minorHAnsi" w:hAnsiTheme="minorHAnsi" w:cstheme="minorHAnsi"/>
                <w:color w:val="auto"/>
                <w:sz w:val="16"/>
                <w:szCs w:val="16"/>
              </w:rPr>
              <w:t>Plant for the pig iron factory owned by the Compania Siderúrgica do Cuchi</w:t>
            </w:r>
          </w:p>
          <w:p w14:paraId="31165313" w14:textId="77777777" w:rsidR="00992C7C" w:rsidRPr="008176BC" w:rsidRDefault="00992C7C" w:rsidP="001667C6">
            <w:pPr>
              <w:pStyle w:val="ListParagraph"/>
              <w:numPr>
                <w:ilvl w:val="0"/>
                <w:numId w:val="28"/>
              </w:numPr>
              <w:spacing w:after="0"/>
              <w:ind w:left="229" w:hanging="229"/>
              <w:contextualSpacing w:val="0"/>
              <w:jc w:val="lef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auto"/>
                <w:sz w:val="16"/>
                <w:szCs w:val="16"/>
              </w:rPr>
            </w:pPr>
            <w:r w:rsidRPr="008176BC">
              <w:rPr>
                <w:rFonts w:asciiTheme="minorHAnsi" w:hAnsiTheme="minorHAnsi" w:cstheme="minorHAnsi"/>
                <w:color w:val="auto"/>
                <w:sz w:val="16"/>
                <w:szCs w:val="16"/>
              </w:rPr>
              <w:t>Moçamedes Railway crossing Cuchi</w:t>
            </w:r>
          </w:p>
        </w:tc>
      </w:tr>
      <w:tr w:rsidR="003228B0" w:rsidRPr="008176BC" w14:paraId="2A35F9BC" w14:textId="77777777" w:rsidTr="00B6736D">
        <w:tc>
          <w:tcPr>
            <w:cnfStyle w:val="001000000000" w:firstRow="0" w:lastRow="0" w:firstColumn="1" w:lastColumn="0" w:oddVBand="0" w:evenVBand="0" w:oddHBand="0" w:evenHBand="0" w:firstRowFirstColumn="0" w:firstRowLastColumn="0" w:lastRowFirstColumn="0" w:lastRowLastColumn="0"/>
            <w:tcW w:w="936" w:type="pct"/>
            <w:vMerge w:val="restart"/>
            <w:shd w:val="clear" w:color="auto" w:fill="E2EFD9" w:themeFill="accent6" w:themeFillTint="33"/>
            <w:tcMar>
              <w:left w:w="57" w:type="dxa"/>
              <w:right w:w="28" w:type="dxa"/>
            </w:tcMar>
          </w:tcPr>
          <w:p w14:paraId="33B5E6A0" w14:textId="77777777" w:rsidR="00992C7C" w:rsidRPr="008176BC" w:rsidRDefault="00992C7C" w:rsidP="009D6968">
            <w:pPr>
              <w:rPr>
                <w:rFonts w:asciiTheme="minorHAnsi" w:hAnsiTheme="minorHAnsi" w:cstheme="minorHAnsi"/>
                <w:sz w:val="18"/>
                <w:szCs w:val="18"/>
              </w:rPr>
            </w:pPr>
            <w:r w:rsidRPr="008176BC">
              <w:rPr>
                <w:rFonts w:asciiTheme="minorHAnsi" w:hAnsiTheme="minorHAnsi" w:cstheme="minorHAnsi"/>
                <w:sz w:val="18"/>
                <w:szCs w:val="18"/>
              </w:rPr>
              <w:t>Sub-basin 2 (Cahama-Cunene)</w:t>
            </w:r>
          </w:p>
        </w:tc>
        <w:tc>
          <w:tcPr>
            <w:tcW w:w="525" w:type="pct"/>
            <w:tcMar>
              <w:left w:w="57" w:type="dxa"/>
              <w:right w:w="28" w:type="dxa"/>
            </w:tcMar>
          </w:tcPr>
          <w:p w14:paraId="645D47F6" w14:textId="77777777" w:rsidR="00992C7C" w:rsidRPr="008176BC" w:rsidRDefault="00992C7C" w:rsidP="009D696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bCs/>
                <w:sz w:val="18"/>
                <w:szCs w:val="18"/>
              </w:rPr>
            </w:pPr>
            <w:r w:rsidRPr="008176BC">
              <w:rPr>
                <w:rFonts w:asciiTheme="minorHAnsi" w:hAnsiTheme="minorHAnsi" w:cstheme="minorHAnsi"/>
                <w:b/>
                <w:bCs/>
                <w:sz w:val="18"/>
                <w:szCs w:val="18"/>
              </w:rPr>
              <w:t>Cunene</w:t>
            </w:r>
          </w:p>
        </w:tc>
        <w:tc>
          <w:tcPr>
            <w:tcW w:w="567" w:type="pct"/>
            <w:tcMar>
              <w:left w:w="57" w:type="dxa"/>
              <w:right w:w="28" w:type="dxa"/>
            </w:tcMar>
          </w:tcPr>
          <w:p w14:paraId="699E9F47" w14:textId="77777777" w:rsidR="00992C7C" w:rsidRPr="008176BC" w:rsidRDefault="00992C7C" w:rsidP="009D696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r w:rsidRPr="008176BC">
              <w:rPr>
                <w:rFonts w:asciiTheme="minorHAnsi" w:hAnsiTheme="minorHAnsi" w:cstheme="minorHAnsi"/>
                <w:sz w:val="16"/>
                <w:szCs w:val="16"/>
              </w:rPr>
              <w:t>Cahama</w:t>
            </w:r>
          </w:p>
          <w:p w14:paraId="05514AC0" w14:textId="77777777" w:rsidR="00992C7C" w:rsidRPr="008176BC" w:rsidRDefault="00992C7C" w:rsidP="009D696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r w:rsidRPr="008176BC">
              <w:rPr>
                <w:rFonts w:asciiTheme="minorHAnsi" w:hAnsiTheme="minorHAnsi" w:cstheme="minorHAnsi"/>
                <w:sz w:val="16"/>
                <w:szCs w:val="16"/>
              </w:rPr>
              <w:t>Ombadja</w:t>
            </w:r>
          </w:p>
        </w:tc>
        <w:tc>
          <w:tcPr>
            <w:tcW w:w="541" w:type="pct"/>
            <w:tcMar>
              <w:left w:w="57" w:type="dxa"/>
              <w:right w:w="28" w:type="dxa"/>
            </w:tcMar>
          </w:tcPr>
          <w:p w14:paraId="1AAD6711" w14:textId="77777777" w:rsidR="00992C7C" w:rsidRPr="008176BC" w:rsidRDefault="00992C7C" w:rsidP="009D696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r w:rsidRPr="008176BC">
              <w:rPr>
                <w:rFonts w:asciiTheme="minorHAnsi" w:hAnsiTheme="minorHAnsi" w:cstheme="minorHAnsi"/>
                <w:sz w:val="16"/>
                <w:szCs w:val="16"/>
              </w:rPr>
              <w:t xml:space="preserve">Cahama </w:t>
            </w:r>
          </w:p>
          <w:p w14:paraId="0957BD50" w14:textId="77777777" w:rsidR="00992C7C" w:rsidRPr="008176BC" w:rsidRDefault="00992C7C" w:rsidP="009D696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r w:rsidRPr="008176BC">
              <w:rPr>
                <w:rFonts w:asciiTheme="minorHAnsi" w:hAnsiTheme="minorHAnsi" w:cstheme="minorHAnsi"/>
                <w:sz w:val="16"/>
                <w:szCs w:val="16"/>
              </w:rPr>
              <w:t>Otchinjau</w:t>
            </w:r>
          </w:p>
          <w:p w14:paraId="06065A24" w14:textId="77777777" w:rsidR="00992C7C" w:rsidRPr="008176BC" w:rsidRDefault="00992C7C" w:rsidP="009D696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r w:rsidRPr="008176BC">
              <w:rPr>
                <w:rFonts w:asciiTheme="minorHAnsi" w:hAnsiTheme="minorHAnsi" w:cstheme="minorHAnsi"/>
                <w:sz w:val="16"/>
                <w:szCs w:val="16"/>
              </w:rPr>
              <w:t>Ombadja Humbe</w:t>
            </w:r>
          </w:p>
          <w:p w14:paraId="3CBCD3C5" w14:textId="77777777" w:rsidR="00992C7C" w:rsidRPr="008176BC" w:rsidRDefault="00992C7C" w:rsidP="009D696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r w:rsidRPr="008176BC">
              <w:rPr>
                <w:rFonts w:asciiTheme="minorHAnsi" w:hAnsiTheme="minorHAnsi" w:cstheme="minorHAnsi"/>
                <w:sz w:val="16"/>
                <w:szCs w:val="16"/>
              </w:rPr>
              <w:t>Otchinjau</w:t>
            </w:r>
          </w:p>
          <w:p w14:paraId="33150B5A" w14:textId="77777777" w:rsidR="00992C7C" w:rsidRPr="008176BC" w:rsidRDefault="00992C7C" w:rsidP="009D696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r w:rsidRPr="008176BC">
              <w:rPr>
                <w:rFonts w:asciiTheme="minorHAnsi" w:hAnsiTheme="minorHAnsi" w:cstheme="minorHAnsi"/>
                <w:sz w:val="16"/>
                <w:szCs w:val="16"/>
              </w:rPr>
              <w:t>Mukope</w:t>
            </w:r>
          </w:p>
        </w:tc>
        <w:tc>
          <w:tcPr>
            <w:tcW w:w="785" w:type="pct"/>
            <w:tcMar>
              <w:left w:w="57" w:type="dxa"/>
              <w:right w:w="28" w:type="dxa"/>
            </w:tcMar>
          </w:tcPr>
          <w:p w14:paraId="49614CEB" w14:textId="77777777" w:rsidR="00992C7C" w:rsidRPr="008176BC" w:rsidRDefault="00992C7C" w:rsidP="009D696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pt-BR"/>
              </w:rPr>
            </w:pPr>
            <w:r w:rsidRPr="008176BC">
              <w:rPr>
                <w:rFonts w:asciiTheme="minorHAnsi" w:hAnsiTheme="minorHAnsi" w:cstheme="minorHAnsi"/>
                <w:sz w:val="16"/>
                <w:szCs w:val="16"/>
                <w:lang w:val="pt-BR"/>
              </w:rPr>
              <w:t>Cahama</w:t>
            </w:r>
          </w:p>
          <w:p w14:paraId="34D0A951" w14:textId="77777777" w:rsidR="00992C7C" w:rsidRPr="008176BC" w:rsidRDefault="00992C7C" w:rsidP="009D696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pt-BR"/>
              </w:rPr>
            </w:pPr>
            <w:r w:rsidRPr="008176BC">
              <w:rPr>
                <w:rFonts w:asciiTheme="minorHAnsi" w:hAnsiTheme="minorHAnsi" w:cstheme="minorHAnsi"/>
                <w:sz w:val="16"/>
                <w:szCs w:val="16"/>
                <w:lang w:val="pt-BR"/>
              </w:rPr>
              <w:t>Tchipelongo</w:t>
            </w:r>
          </w:p>
          <w:p w14:paraId="43FC4904" w14:textId="77777777" w:rsidR="00992C7C" w:rsidRPr="008176BC" w:rsidRDefault="00992C7C" w:rsidP="009D696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pt-BR"/>
              </w:rPr>
            </w:pPr>
            <w:r w:rsidRPr="008176BC">
              <w:rPr>
                <w:rFonts w:asciiTheme="minorHAnsi" w:hAnsiTheme="minorHAnsi" w:cstheme="minorHAnsi"/>
                <w:sz w:val="16"/>
                <w:szCs w:val="16"/>
                <w:lang w:val="pt-BR"/>
              </w:rPr>
              <w:t>Chicusse</w:t>
            </w:r>
          </w:p>
          <w:p w14:paraId="4089E7F5" w14:textId="77777777" w:rsidR="00992C7C" w:rsidRPr="008176BC" w:rsidRDefault="00992C7C" w:rsidP="009D696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pt-BR"/>
              </w:rPr>
            </w:pPr>
            <w:r w:rsidRPr="008176BC">
              <w:rPr>
                <w:rFonts w:asciiTheme="minorHAnsi" w:hAnsiTheme="minorHAnsi" w:cstheme="minorHAnsi"/>
                <w:sz w:val="16"/>
                <w:szCs w:val="16"/>
                <w:lang w:val="pt-BR"/>
              </w:rPr>
              <w:t>Nhique-Nhique</w:t>
            </w:r>
          </w:p>
          <w:p w14:paraId="0594831D" w14:textId="77777777" w:rsidR="00992C7C" w:rsidRPr="008176BC" w:rsidRDefault="00992C7C" w:rsidP="009D696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pt-BR"/>
              </w:rPr>
            </w:pPr>
            <w:r w:rsidRPr="008176BC">
              <w:rPr>
                <w:rFonts w:asciiTheme="minorHAnsi" w:hAnsiTheme="minorHAnsi" w:cstheme="minorHAnsi"/>
                <w:sz w:val="16"/>
                <w:szCs w:val="16"/>
                <w:lang w:val="pt-BR"/>
              </w:rPr>
              <w:t>Edivia</w:t>
            </w:r>
          </w:p>
          <w:p w14:paraId="2D76B299" w14:textId="77777777" w:rsidR="00992C7C" w:rsidRPr="008176BC" w:rsidRDefault="00992C7C" w:rsidP="009D696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r w:rsidRPr="008176BC">
              <w:rPr>
                <w:rFonts w:asciiTheme="minorHAnsi" w:hAnsiTheme="minorHAnsi" w:cstheme="minorHAnsi"/>
                <w:sz w:val="16"/>
                <w:szCs w:val="16"/>
              </w:rPr>
              <w:t>Bela-Bela</w:t>
            </w:r>
          </w:p>
          <w:p w14:paraId="3DAE60DD" w14:textId="77777777" w:rsidR="00992C7C" w:rsidRPr="008176BC" w:rsidRDefault="00992C7C" w:rsidP="009D696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r w:rsidRPr="008176BC">
              <w:rPr>
                <w:rFonts w:asciiTheme="minorHAnsi" w:hAnsiTheme="minorHAnsi" w:cstheme="minorHAnsi"/>
                <w:sz w:val="16"/>
                <w:szCs w:val="16"/>
              </w:rPr>
              <w:t>Techango</w:t>
            </w:r>
          </w:p>
        </w:tc>
        <w:tc>
          <w:tcPr>
            <w:tcW w:w="1644" w:type="pct"/>
            <w:tcMar>
              <w:left w:w="57" w:type="dxa"/>
              <w:right w:w="28" w:type="dxa"/>
            </w:tcMar>
          </w:tcPr>
          <w:p w14:paraId="65C6CA7C" w14:textId="77777777" w:rsidR="00992C7C" w:rsidRPr="006233F4" w:rsidRDefault="00992C7C" w:rsidP="009D696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bCs/>
                <w:sz w:val="16"/>
                <w:szCs w:val="16"/>
              </w:rPr>
            </w:pPr>
            <w:r w:rsidRPr="006233F4">
              <w:rPr>
                <w:rFonts w:asciiTheme="minorHAnsi" w:hAnsiTheme="minorHAnsi" w:cstheme="minorHAnsi"/>
                <w:b/>
                <w:bCs/>
                <w:sz w:val="16"/>
                <w:szCs w:val="16"/>
              </w:rPr>
              <w:t>Xangoro:</w:t>
            </w:r>
          </w:p>
          <w:p w14:paraId="1652ECD6" w14:textId="77777777" w:rsidR="00992C7C" w:rsidRPr="008176BC" w:rsidRDefault="00992C7C" w:rsidP="001667C6">
            <w:pPr>
              <w:pStyle w:val="ListParagraph"/>
              <w:numPr>
                <w:ilvl w:val="0"/>
                <w:numId w:val="29"/>
              </w:numPr>
              <w:spacing w:after="0"/>
              <w:ind w:left="229" w:hanging="229"/>
              <w:contextualSpacing w:val="0"/>
              <w:jc w:val="lef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auto"/>
                <w:sz w:val="16"/>
                <w:szCs w:val="16"/>
              </w:rPr>
            </w:pPr>
            <w:r w:rsidRPr="008176BC">
              <w:rPr>
                <w:rFonts w:asciiTheme="minorHAnsi" w:hAnsiTheme="minorHAnsi" w:cstheme="minorHAnsi"/>
                <w:color w:val="auto"/>
                <w:sz w:val="16"/>
                <w:szCs w:val="16"/>
              </w:rPr>
              <w:t>Mupa National Part</w:t>
            </w:r>
          </w:p>
          <w:p w14:paraId="065495E7" w14:textId="77777777" w:rsidR="00992C7C" w:rsidRPr="008176BC" w:rsidRDefault="00992C7C" w:rsidP="001667C6">
            <w:pPr>
              <w:pStyle w:val="ListParagraph"/>
              <w:numPr>
                <w:ilvl w:val="0"/>
                <w:numId w:val="29"/>
              </w:numPr>
              <w:spacing w:after="0"/>
              <w:ind w:left="229" w:hanging="229"/>
              <w:contextualSpacing w:val="0"/>
              <w:jc w:val="lef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auto"/>
                <w:sz w:val="16"/>
                <w:szCs w:val="16"/>
              </w:rPr>
            </w:pPr>
            <w:r w:rsidRPr="008176BC">
              <w:rPr>
                <w:rFonts w:asciiTheme="minorHAnsi" w:hAnsiTheme="minorHAnsi" w:cstheme="minorHAnsi"/>
                <w:color w:val="auto"/>
                <w:sz w:val="16"/>
                <w:szCs w:val="16"/>
              </w:rPr>
              <w:t xml:space="preserve">Calueque Dam on the Cunene River </w:t>
            </w:r>
          </w:p>
          <w:p w14:paraId="76076F52" w14:textId="77777777" w:rsidR="00992C7C" w:rsidRPr="006233F4" w:rsidRDefault="00992C7C" w:rsidP="009D696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bCs/>
                <w:sz w:val="16"/>
                <w:szCs w:val="16"/>
              </w:rPr>
            </w:pPr>
            <w:r w:rsidRPr="006233F4">
              <w:rPr>
                <w:rFonts w:asciiTheme="minorHAnsi" w:hAnsiTheme="minorHAnsi" w:cstheme="minorHAnsi"/>
                <w:b/>
                <w:bCs/>
                <w:sz w:val="16"/>
                <w:szCs w:val="16"/>
              </w:rPr>
              <w:t>Across the border in Namibia:</w:t>
            </w:r>
          </w:p>
          <w:p w14:paraId="164683AB" w14:textId="77777777" w:rsidR="00992C7C" w:rsidRPr="008176BC" w:rsidRDefault="00992C7C" w:rsidP="009D696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r w:rsidRPr="008176BC">
              <w:rPr>
                <w:rFonts w:asciiTheme="minorHAnsi" w:hAnsiTheme="minorHAnsi" w:cstheme="minorHAnsi"/>
                <w:sz w:val="16"/>
                <w:szCs w:val="16"/>
              </w:rPr>
              <w:t>Ruacana, a medium sized rural town and a lively trading post across the Cunene river</w:t>
            </w:r>
          </w:p>
        </w:tc>
      </w:tr>
      <w:tr w:rsidR="00B4158D" w:rsidRPr="00F677F8" w14:paraId="027EA47A" w14:textId="77777777" w:rsidTr="6013041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36" w:type="pct"/>
            <w:vMerge/>
            <w:tcMar>
              <w:left w:w="57" w:type="dxa"/>
              <w:right w:w="28" w:type="dxa"/>
            </w:tcMar>
          </w:tcPr>
          <w:p w14:paraId="73BA6721" w14:textId="77777777" w:rsidR="00992C7C" w:rsidRPr="008176BC" w:rsidRDefault="00992C7C" w:rsidP="009D6968">
            <w:pPr>
              <w:rPr>
                <w:rFonts w:asciiTheme="minorHAnsi" w:hAnsiTheme="minorHAnsi" w:cstheme="minorHAnsi"/>
                <w:sz w:val="16"/>
                <w:szCs w:val="16"/>
              </w:rPr>
            </w:pPr>
          </w:p>
        </w:tc>
        <w:tc>
          <w:tcPr>
            <w:tcW w:w="525" w:type="pct"/>
            <w:tcMar>
              <w:left w:w="57" w:type="dxa"/>
              <w:right w:w="28" w:type="dxa"/>
            </w:tcMar>
          </w:tcPr>
          <w:p w14:paraId="511341EA" w14:textId="77777777" w:rsidR="00992C7C" w:rsidRPr="008176BC" w:rsidRDefault="00992C7C" w:rsidP="009D696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bCs/>
                <w:sz w:val="18"/>
                <w:szCs w:val="18"/>
              </w:rPr>
            </w:pPr>
            <w:r w:rsidRPr="008176BC">
              <w:rPr>
                <w:rFonts w:asciiTheme="minorHAnsi" w:hAnsiTheme="minorHAnsi" w:cstheme="minorHAnsi"/>
                <w:b/>
                <w:bCs/>
                <w:sz w:val="18"/>
                <w:szCs w:val="18"/>
              </w:rPr>
              <w:t>Huíla</w:t>
            </w:r>
          </w:p>
        </w:tc>
        <w:tc>
          <w:tcPr>
            <w:tcW w:w="567" w:type="pct"/>
            <w:tcMar>
              <w:left w:w="57" w:type="dxa"/>
              <w:right w:w="28" w:type="dxa"/>
            </w:tcMar>
          </w:tcPr>
          <w:p w14:paraId="6AD4A19F" w14:textId="77777777" w:rsidR="00992C7C" w:rsidRPr="008176BC" w:rsidRDefault="00992C7C" w:rsidP="009D696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r w:rsidRPr="008176BC">
              <w:rPr>
                <w:rFonts w:asciiTheme="minorHAnsi" w:hAnsiTheme="minorHAnsi" w:cstheme="minorHAnsi"/>
                <w:sz w:val="16"/>
                <w:szCs w:val="16"/>
              </w:rPr>
              <w:t>Gambos</w:t>
            </w:r>
          </w:p>
        </w:tc>
        <w:tc>
          <w:tcPr>
            <w:tcW w:w="541" w:type="pct"/>
            <w:tcMar>
              <w:left w:w="57" w:type="dxa"/>
              <w:right w:w="28" w:type="dxa"/>
            </w:tcMar>
          </w:tcPr>
          <w:p w14:paraId="7A493503" w14:textId="77777777" w:rsidR="00992C7C" w:rsidRPr="008176BC" w:rsidRDefault="00992C7C" w:rsidP="009D696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r w:rsidRPr="008176BC">
              <w:rPr>
                <w:rFonts w:asciiTheme="minorHAnsi" w:hAnsiTheme="minorHAnsi" w:cstheme="minorHAnsi"/>
                <w:sz w:val="16"/>
                <w:szCs w:val="16"/>
              </w:rPr>
              <w:t>Chiange</w:t>
            </w:r>
          </w:p>
          <w:p w14:paraId="6583B5CA" w14:textId="77777777" w:rsidR="00992C7C" w:rsidRPr="008176BC" w:rsidRDefault="00992C7C" w:rsidP="009D696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r w:rsidRPr="008176BC">
              <w:rPr>
                <w:rFonts w:asciiTheme="minorHAnsi" w:hAnsiTheme="minorHAnsi" w:cstheme="minorHAnsi"/>
                <w:sz w:val="16"/>
                <w:szCs w:val="16"/>
              </w:rPr>
              <w:t>Chimbemba</w:t>
            </w:r>
          </w:p>
        </w:tc>
        <w:tc>
          <w:tcPr>
            <w:tcW w:w="785" w:type="pct"/>
            <w:tcMar>
              <w:left w:w="57" w:type="dxa"/>
              <w:right w:w="28" w:type="dxa"/>
            </w:tcMar>
          </w:tcPr>
          <w:p w14:paraId="08E1F069" w14:textId="77777777" w:rsidR="00992C7C" w:rsidRPr="00EB2CCA" w:rsidRDefault="00992C7C" w:rsidP="009D696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pt-PT"/>
              </w:rPr>
            </w:pPr>
            <w:r w:rsidRPr="00EB2CCA">
              <w:rPr>
                <w:rFonts w:asciiTheme="minorHAnsi" w:hAnsiTheme="minorHAnsi" w:cstheme="minorHAnsi"/>
                <w:sz w:val="16"/>
                <w:szCs w:val="16"/>
                <w:lang w:val="pt-PT"/>
              </w:rPr>
              <w:t>Chimbemba</w:t>
            </w:r>
          </w:p>
          <w:p w14:paraId="5ED0A071" w14:textId="77777777" w:rsidR="00992C7C" w:rsidRPr="00EB2CCA" w:rsidRDefault="00992C7C" w:rsidP="009D696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pt-PT"/>
              </w:rPr>
            </w:pPr>
            <w:r w:rsidRPr="00EB2CCA">
              <w:rPr>
                <w:rFonts w:asciiTheme="minorHAnsi" w:hAnsiTheme="minorHAnsi" w:cstheme="minorHAnsi"/>
                <w:sz w:val="16"/>
                <w:szCs w:val="16"/>
                <w:lang w:val="pt-PT"/>
              </w:rPr>
              <w:t>Chicula</w:t>
            </w:r>
          </w:p>
          <w:p w14:paraId="04A80704" w14:textId="77777777" w:rsidR="00992C7C" w:rsidRPr="00EB2CCA" w:rsidRDefault="00992C7C" w:rsidP="009D696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pt-PT"/>
              </w:rPr>
            </w:pPr>
            <w:r w:rsidRPr="00EB2CCA">
              <w:rPr>
                <w:rFonts w:asciiTheme="minorHAnsi" w:hAnsiTheme="minorHAnsi" w:cstheme="minorHAnsi"/>
                <w:sz w:val="16"/>
                <w:szCs w:val="16"/>
                <w:lang w:val="pt-PT"/>
              </w:rPr>
              <w:t>Queulo</w:t>
            </w:r>
          </w:p>
          <w:p w14:paraId="3D21D083" w14:textId="77777777" w:rsidR="00992C7C" w:rsidRPr="00EB2CCA" w:rsidRDefault="00992C7C" w:rsidP="009D696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pt-PT"/>
              </w:rPr>
            </w:pPr>
            <w:r w:rsidRPr="00EB2CCA">
              <w:rPr>
                <w:rFonts w:asciiTheme="minorHAnsi" w:hAnsiTheme="minorHAnsi" w:cstheme="minorHAnsi"/>
                <w:sz w:val="16"/>
                <w:szCs w:val="16"/>
                <w:lang w:val="pt-PT"/>
              </w:rPr>
              <w:t>Capunda</w:t>
            </w:r>
          </w:p>
          <w:p w14:paraId="554903EF" w14:textId="77777777" w:rsidR="00992C7C" w:rsidRPr="00EB2CCA" w:rsidRDefault="00992C7C" w:rsidP="009D696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lang w:val="pt-PT"/>
              </w:rPr>
            </w:pPr>
            <w:r w:rsidRPr="00EB2CCA">
              <w:rPr>
                <w:rFonts w:asciiTheme="minorHAnsi" w:hAnsiTheme="minorHAnsi" w:cstheme="minorHAnsi"/>
                <w:sz w:val="16"/>
                <w:szCs w:val="16"/>
                <w:lang w:val="pt-PT"/>
              </w:rPr>
              <w:t>Onguarí</w:t>
            </w:r>
          </w:p>
        </w:tc>
        <w:tc>
          <w:tcPr>
            <w:tcW w:w="1644" w:type="pct"/>
            <w:tcMar>
              <w:left w:w="57" w:type="dxa"/>
              <w:right w:w="28" w:type="dxa"/>
            </w:tcMar>
          </w:tcPr>
          <w:p w14:paraId="6D28D990" w14:textId="77777777" w:rsidR="00992C7C" w:rsidRPr="008176BC" w:rsidRDefault="00992C7C" w:rsidP="001667C6">
            <w:pPr>
              <w:pStyle w:val="ListParagraph"/>
              <w:numPr>
                <w:ilvl w:val="0"/>
                <w:numId w:val="29"/>
              </w:numPr>
              <w:spacing w:after="0"/>
              <w:ind w:left="229" w:hanging="229"/>
              <w:contextualSpacing w:val="0"/>
              <w:jc w:val="lef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r w:rsidRPr="008176BC">
              <w:rPr>
                <w:rFonts w:asciiTheme="minorHAnsi" w:hAnsiTheme="minorHAnsi" w:cstheme="minorHAnsi"/>
                <w:sz w:val="16"/>
                <w:szCs w:val="16"/>
              </w:rPr>
              <w:t>Bicuar National Park</w:t>
            </w:r>
          </w:p>
          <w:p w14:paraId="532F5F2D" w14:textId="77777777" w:rsidR="00992C7C" w:rsidRPr="008176BC" w:rsidRDefault="00992C7C" w:rsidP="001667C6">
            <w:pPr>
              <w:pStyle w:val="ListParagraph"/>
              <w:numPr>
                <w:ilvl w:val="0"/>
                <w:numId w:val="29"/>
              </w:numPr>
              <w:spacing w:after="0"/>
              <w:ind w:left="229" w:hanging="229"/>
              <w:contextualSpacing w:val="0"/>
              <w:jc w:val="lef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r w:rsidRPr="008176BC">
              <w:rPr>
                <w:rFonts w:asciiTheme="minorHAnsi" w:hAnsiTheme="minorHAnsi" w:cstheme="minorHAnsi"/>
                <w:sz w:val="16"/>
                <w:szCs w:val="16"/>
              </w:rPr>
              <w:t>Large scale commercial agricultural projects in southern Huíla</w:t>
            </w:r>
          </w:p>
          <w:p w14:paraId="5B63108C" w14:textId="77777777" w:rsidR="00992C7C" w:rsidRPr="008176BC" w:rsidRDefault="00992C7C" w:rsidP="001667C6">
            <w:pPr>
              <w:pStyle w:val="ListParagraph"/>
              <w:numPr>
                <w:ilvl w:val="0"/>
                <w:numId w:val="29"/>
              </w:numPr>
              <w:spacing w:after="0"/>
              <w:ind w:left="229" w:hanging="229"/>
              <w:contextualSpacing w:val="0"/>
              <w:jc w:val="lef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r w:rsidRPr="008176BC">
              <w:rPr>
                <w:rFonts w:asciiTheme="minorHAnsi" w:hAnsiTheme="minorHAnsi" w:cstheme="minorHAnsi"/>
                <w:sz w:val="16"/>
                <w:szCs w:val="16"/>
              </w:rPr>
              <w:t>Pocuaque River</w:t>
            </w:r>
          </w:p>
        </w:tc>
      </w:tr>
    </w:tbl>
    <w:p w14:paraId="6D93A5AC" w14:textId="1E2CBD39" w:rsidR="00992C7C" w:rsidRPr="00992C7C" w:rsidRDefault="00992C7C" w:rsidP="00992C7C">
      <w:pPr>
        <w:pStyle w:val="ParagraphOED"/>
        <w:numPr>
          <w:ilvl w:val="0"/>
          <w:numId w:val="0"/>
        </w:numPr>
        <w:spacing w:after="0"/>
        <w:ind w:left="709"/>
        <w:rPr>
          <w:sz w:val="16"/>
          <w:szCs w:val="16"/>
        </w:rPr>
      </w:pPr>
      <w:r w:rsidRPr="000B3450">
        <w:rPr>
          <w:b/>
          <w:bCs/>
          <w:sz w:val="16"/>
          <w:szCs w:val="16"/>
        </w:rPr>
        <w:t>Note:</w:t>
      </w:r>
      <w:r>
        <w:rPr>
          <w:sz w:val="16"/>
          <w:szCs w:val="16"/>
        </w:rPr>
        <w:t xml:space="preserve"> Target </w:t>
      </w:r>
      <w:r w:rsidRPr="000B3450">
        <w:rPr>
          <w:sz w:val="16"/>
          <w:szCs w:val="16"/>
        </w:rPr>
        <w:t>landscapes are defined as sub-basins and they cut across provinces, municipalities and communes</w:t>
      </w:r>
      <w:r>
        <w:rPr>
          <w:sz w:val="16"/>
          <w:szCs w:val="16"/>
        </w:rPr>
        <w:t xml:space="preserve">, hence the importance </w:t>
      </w:r>
      <w:r w:rsidRPr="000B3450">
        <w:rPr>
          <w:sz w:val="16"/>
          <w:szCs w:val="16"/>
        </w:rPr>
        <w:t xml:space="preserve">of vertical </w:t>
      </w:r>
      <w:r>
        <w:rPr>
          <w:sz w:val="16"/>
          <w:szCs w:val="16"/>
        </w:rPr>
        <w:t xml:space="preserve">and horizontal </w:t>
      </w:r>
      <w:r w:rsidRPr="000B3450">
        <w:rPr>
          <w:sz w:val="16"/>
          <w:szCs w:val="16"/>
        </w:rPr>
        <w:t xml:space="preserve">integration </w:t>
      </w:r>
      <w:r>
        <w:rPr>
          <w:sz w:val="16"/>
          <w:szCs w:val="16"/>
        </w:rPr>
        <w:t xml:space="preserve">of </w:t>
      </w:r>
      <w:r w:rsidRPr="000B3450">
        <w:rPr>
          <w:sz w:val="16"/>
          <w:szCs w:val="16"/>
        </w:rPr>
        <w:t>stakeholder engagement structures at landscape level</w:t>
      </w:r>
      <w:r>
        <w:rPr>
          <w:sz w:val="16"/>
          <w:szCs w:val="16"/>
        </w:rPr>
        <w:t>s</w:t>
      </w:r>
      <w:r w:rsidRPr="000B3450">
        <w:rPr>
          <w:sz w:val="16"/>
          <w:szCs w:val="16"/>
        </w:rPr>
        <w:t>.)</w:t>
      </w:r>
    </w:p>
    <w:p w14:paraId="72DF9A06" w14:textId="0AD496CB" w:rsidR="00B27B02" w:rsidRPr="00992C7C" w:rsidRDefault="00B27B02" w:rsidP="001667C6">
      <w:pPr>
        <w:pStyle w:val="ParagraphOED"/>
        <w:numPr>
          <w:ilvl w:val="0"/>
          <w:numId w:val="102"/>
        </w:numPr>
        <w:spacing w:before="160" w:after="160"/>
        <w:rPr>
          <w:b/>
          <w:bCs/>
          <w:i/>
          <w:iCs/>
          <w:sz w:val="22"/>
          <w:szCs w:val="22"/>
        </w:rPr>
      </w:pPr>
      <w:r w:rsidRPr="005F3043">
        <w:t>The location of the target landscapes</w:t>
      </w:r>
      <w:r>
        <w:t>, key features</w:t>
      </w:r>
      <w:r w:rsidRPr="005F3043">
        <w:t xml:space="preserve"> </w:t>
      </w:r>
      <w:r>
        <w:t xml:space="preserve">and an analysis of land use/cover are highlighted in </w:t>
      </w:r>
      <w:r w:rsidRPr="00992C7C">
        <w:rPr>
          <w:highlight w:val="lightGray"/>
        </w:rPr>
        <w:t>Box 6</w:t>
      </w:r>
      <w:r>
        <w:t xml:space="preserve">. Note that complementary maps are provided in </w:t>
      </w:r>
      <w:r w:rsidRPr="00992C7C">
        <w:rPr>
          <w:highlight w:val="lightGray"/>
        </w:rPr>
        <w:t>Annex E</w:t>
      </w:r>
      <w:r w:rsidRPr="002622A5">
        <w:t>;</w:t>
      </w:r>
      <w:r>
        <w:t xml:space="preserve"> and more detailed maps with the intervention sites in </w:t>
      </w:r>
      <w:r w:rsidRPr="00992C7C">
        <w:rPr>
          <w:highlight w:val="lightGray"/>
        </w:rPr>
        <w:fldChar w:fldCharType="begin"/>
      </w:r>
      <w:r w:rsidRPr="00992C7C">
        <w:rPr>
          <w:highlight w:val="lightGray"/>
        </w:rPr>
        <w:instrText xml:space="preserve"> REF _Ref51506043 \h  \* MERGEFORMAT </w:instrText>
      </w:r>
      <w:r w:rsidRPr="00992C7C">
        <w:rPr>
          <w:highlight w:val="lightGray"/>
        </w:rPr>
      </w:r>
      <w:r w:rsidRPr="00992C7C">
        <w:rPr>
          <w:highlight w:val="lightGray"/>
        </w:rPr>
        <w:fldChar w:fldCharType="separate"/>
      </w:r>
      <w:r w:rsidR="00A64193" w:rsidRPr="00992C7C">
        <w:rPr>
          <w:highlight w:val="lightGray"/>
        </w:rPr>
        <w:t xml:space="preserve">Figure </w:t>
      </w:r>
      <w:r w:rsidR="00A64193" w:rsidRPr="00992C7C">
        <w:rPr>
          <w:noProof/>
          <w:highlight w:val="lightGray"/>
        </w:rPr>
        <w:t>7</w:t>
      </w:r>
      <w:r w:rsidRPr="00992C7C">
        <w:rPr>
          <w:highlight w:val="lightGray"/>
        </w:rPr>
        <w:fldChar w:fldCharType="end"/>
      </w:r>
      <w:r w:rsidRPr="00787F72">
        <w:t xml:space="preserve"> and </w:t>
      </w:r>
      <w:r w:rsidRPr="00992C7C">
        <w:rPr>
          <w:highlight w:val="lightGray"/>
        </w:rPr>
        <w:fldChar w:fldCharType="begin"/>
      </w:r>
      <w:r w:rsidRPr="00992C7C">
        <w:rPr>
          <w:highlight w:val="lightGray"/>
        </w:rPr>
        <w:instrText xml:space="preserve"> REF _Ref51506101 \h  \* MERGEFORMAT </w:instrText>
      </w:r>
      <w:r w:rsidRPr="00992C7C">
        <w:rPr>
          <w:highlight w:val="lightGray"/>
        </w:rPr>
      </w:r>
      <w:r w:rsidRPr="00992C7C">
        <w:rPr>
          <w:highlight w:val="lightGray"/>
        </w:rPr>
        <w:fldChar w:fldCharType="separate"/>
      </w:r>
      <w:r w:rsidR="00A64193" w:rsidRPr="00992C7C">
        <w:rPr>
          <w:highlight w:val="lightGray"/>
        </w:rPr>
        <w:t xml:space="preserve">Figure </w:t>
      </w:r>
      <w:r w:rsidR="00A64193" w:rsidRPr="00992C7C">
        <w:rPr>
          <w:noProof/>
          <w:highlight w:val="lightGray"/>
        </w:rPr>
        <w:t>8</w:t>
      </w:r>
      <w:r w:rsidRPr="00992C7C">
        <w:rPr>
          <w:highlight w:val="lightGray"/>
        </w:rPr>
        <w:fldChar w:fldCharType="end"/>
      </w:r>
      <w:r>
        <w:t>.</w:t>
      </w:r>
      <w:bookmarkStart w:id="73" w:name="_Ref45742270"/>
      <w:bookmarkStart w:id="74" w:name="_Toc45712122"/>
    </w:p>
    <w:p w14:paraId="6DC2659B" w14:textId="31A756B5" w:rsidR="00F114D2" w:rsidRPr="00130CBA" w:rsidRDefault="00F114D2" w:rsidP="00130CBA">
      <w:pPr>
        <w:pStyle w:val="Caption"/>
        <w:spacing w:before="160" w:after="80"/>
        <w:rPr>
          <w:rFonts w:ascii="Calibri" w:hAnsi="Calibri" w:cs="Calibri"/>
          <w:sz w:val="22"/>
          <w:szCs w:val="22"/>
        </w:rPr>
      </w:pPr>
      <w:bookmarkStart w:id="75" w:name="_Toc58398660"/>
      <w:r w:rsidRPr="00130CBA">
        <w:rPr>
          <w:rFonts w:ascii="Calibri" w:hAnsi="Calibri" w:cs="Calibri"/>
          <w:sz w:val="22"/>
          <w:szCs w:val="22"/>
        </w:rPr>
        <w:t xml:space="preserve">Box </w:t>
      </w:r>
      <w:r w:rsidRPr="00130CBA">
        <w:rPr>
          <w:rFonts w:ascii="Calibri" w:hAnsi="Calibri" w:cs="Calibri"/>
          <w:sz w:val="22"/>
          <w:szCs w:val="22"/>
        </w:rPr>
        <w:fldChar w:fldCharType="begin"/>
      </w:r>
      <w:r w:rsidRPr="00130CBA">
        <w:rPr>
          <w:rFonts w:ascii="Calibri" w:hAnsi="Calibri" w:cs="Calibri"/>
          <w:sz w:val="22"/>
          <w:szCs w:val="22"/>
        </w:rPr>
        <w:instrText>SEQ Box \* ARABIC</w:instrText>
      </w:r>
      <w:r w:rsidRPr="00130CBA">
        <w:rPr>
          <w:rFonts w:ascii="Calibri" w:hAnsi="Calibri" w:cs="Calibri"/>
          <w:sz w:val="22"/>
          <w:szCs w:val="22"/>
        </w:rPr>
        <w:fldChar w:fldCharType="separate"/>
      </w:r>
      <w:r w:rsidR="00A64193">
        <w:rPr>
          <w:rFonts w:ascii="Calibri" w:hAnsi="Calibri" w:cs="Calibri"/>
          <w:noProof/>
          <w:sz w:val="22"/>
          <w:szCs w:val="22"/>
        </w:rPr>
        <w:t>6</w:t>
      </w:r>
      <w:r w:rsidRPr="00130CBA">
        <w:rPr>
          <w:rFonts w:ascii="Calibri" w:hAnsi="Calibri" w:cs="Calibri"/>
          <w:sz w:val="22"/>
          <w:szCs w:val="22"/>
        </w:rPr>
        <w:fldChar w:fldCharType="end"/>
      </w:r>
      <w:bookmarkEnd w:id="73"/>
      <w:r w:rsidRPr="00130CBA">
        <w:rPr>
          <w:rFonts w:ascii="Calibri" w:hAnsi="Calibri" w:cs="Calibri"/>
          <w:sz w:val="22"/>
          <w:szCs w:val="22"/>
        </w:rPr>
        <w:t>. Target landscapes in the project zone: location and key features</w:t>
      </w:r>
      <w:bookmarkEnd w:id="74"/>
      <w:bookmarkEnd w:id="75"/>
    </w:p>
    <w:tbl>
      <w:tblPr>
        <w:tblW w:w="9918"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918"/>
      </w:tblGrid>
      <w:tr w:rsidR="003228B0" w:rsidRPr="00AE62E8" w14:paraId="60664865" w14:textId="77777777" w:rsidTr="78C544BE">
        <w:tc>
          <w:tcPr>
            <w:tcW w:w="9918" w:type="dxa"/>
            <w:shd w:val="clear" w:color="auto" w:fill="000000" w:themeFill="text1"/>
          </w:tcPr>
          <w:p w14:paraId="55C0CC31" w14:textId="77777777" w:rsidR="00F114D2" w:rsidRPr="00AE62E8" w:rsidRDefault="00F114D2" w:rsidP="00640E76">
            <w:pPr>
              <w:keepNext/>
              <w:jc w:val="center"/>
              <w:rPr>
                <w:rFonts w:asciiTheme="minorHAnsi" w:hAnsiTheme="minorHAnsi" w:cstheme="minorHAnsi"/>
                <w:b/>
                <w:szCs w:val="20"/>
              </w:rPr>
            </w:pPr>
            <w:r w:rsidRPr="00AE62E8">
              <w:rPr>
                <w:rFonts w:asciiTheme="minorHAnsi" w:hAnsiTheme="minorHAnsi" w:cstheme="minorHAnsi"/>
                <w:b/>
                <w:szCs w:val="20"/>
              </w:rPr>
              <w:t>General introduction</w:t>
            </w:r>
            <w:r w:rsidRPr="00AE62E8">
              <w:rPr>
                <w:rFonts w:asciiTheme="minorHAnsi" w:hAnsiTheme="minorHAnsi" w:cstheme="minorHAnsi"/>
                <w:b/>
                <w:szCs w:val="20"/>
              </w:rPr>
              <w:tab/>
            </w:r>
            <w:r w:rsidRPr="00AE62E8">
              <w:rPr>
                <w:rFonts w:asciiTheme="minorHAnsi" w:hAnsiTheme="minorHAnsi" w:cstheme="minorHAnsi"/>
                <w:b/>
                <w:szCs w:val="20"/>
              </w:rPr>
              <w:tab/>
              <w:t>[A]</w:t>
            </w:r>
          </w:p>
        </w:tc>
      </w:tr>
      <w:tr w:rsidR="00DA42EB" w:rsidRPr="00AE62E8" w14:paraId="2063A87E" w14:textId="77777777" w:rsidTr="78C544BE">
        <w:tc>
          <w:tcPr>
            <w:tcW w:w="9918" w:type="dxa"/>
            <w:shd w:val="clear" w:color="auto" w:fill="auto"/>
          </w:tcPr>
          <w:p w14:paraId="4EF4274D" w14:textId="5C85E42E" w:rsidR="00F114D2" w:rsidRPr="00F114D2" w:rsidRDefault="00F114D2" w:rsidP="00640E76">
            <w:pPr>
              <w:spacing w:before="40" w:after="40"/>
              <w:rPr>
                <w:rFonts w:ascii="Calibri" w:hAnsi="Calibri" w:cs="Calibri"/>
                <w:iCs/>
                <w:sz w:val="18"/>
                <w:szCs w:val="18"/>
              </w:rPr>
            </w:pPr>
            <w:r w:rsidRPr="00F114D2">
              <w:rPr>
                <w:rFonts w:ascii="Calibri" w:hAnsi="Calibri" w:cs="Calibri"/>
                <w:iCs/>
                <w:sz w:val="18"/>
                <w:szCs w:val="18"/>
              </w:rPr>
              <w:t xml:space="preserve">Smaller and larger rivers flow across the watersheds of the Wider Landscapes, eventually joining either the Cubango (Okavango) River (Landscape/Sub-basin 1) or the Cunene (Landscape/Sub-basin 2). </w:t>
            </w:r>
            <w:r w:rsidRPr="00F114D2">
              <w:rPr>
                <w:rFonts w:ascii="Calibri" w:hAnsi="Calibri" w:cs="Calibri"/>
                <w:b/>
                <w:bCs/>
                <w:iCs/>
                <w:sz w:val="18"/>
                <w:szCs w:val="18"/>
              </w:rPr>
              <w:t>Total area of both landscapes: = 1.3 million hectares</w:t>
            </w:r>
          </w:p>
          <w:tbl>
            <w:tblPr>
              <w:tblW w:w="9670" w:type="dxa"/>
              <w:tblLayout w:type="fixed"/>
              <w:tblLook w:val="04A0" w:firstRow="1" w:lastRow="0" w:firstColumn="1" w:lastColumn="0" w:noHBand="0" w:noVBand="1"/>
            </w:tblPr>
            <w:tblGrid>
              <w:gridCol w:w="6417"/>
              <w:gridCol w:w="3253"/>
            </w:tblGrid>
            <w:tr w:rsidR="00F114D2" w:rsidRPr="00AE62E8" w14:paraId="765E6402" w14:textId="77777777" w:rsidTr="78C544BE">
              <w:trPr>
                <w:trHeight w:val="5149"/>
              </w:trPr>
              <w:tc>
                <w:tcPr>
                  <w:tcW w:w="6417" w:type="dxa"/>
                  <w:shd w:val="clear" w:color="auto" w:fill="auto"/>
                </w:tcPr>
                <w:p w14:paraId="6C22F19B" w14:textId="77777777" w:rsidR="00F114D2" w:rsidRPr="00AE62E8" w:rsidRDefault="4362A8BD" w:rsidP="00640E76">
                  <w:pPr>
                    <w:spacing w:before="120" w:after="120"/>
                    <w:jc w:val="center"/>
                    <w:rPr>
                      <w:rFonts w:asciiTheme="minorHAnsi" w:hAnsiTheme="minorHAnsi" w:cstheme="minorHAnsi"/>
                      <w:iCs/>
                      <w:szCs w:val="20"/>
                    </w:rPr>
                  </w:pPr>
                  <w:r>
                    <w:rPr>
                      <w:noProof/>
                    </w:rPr>
                    <w:lastRenderedPageBreak/>
                    <w:drawing>
                      <wp:inline distT="0" distB="0" distL="0" distR="0" wp14:anchorId="540BF782" wp14:editId="2DEB7ED4">
                        <wp:extent cx="3981450" cy="3054124"/>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pic:nvPicPr>
                              <pic:blipFill>
                                <a:blip r:embed="rId46">
                                  <a:extLst>
                                    <a:ext uri="{28A0092B-C50C-407E-A947-70E740481C1C}">
                                      <a14:useLocalDpi xmlns:a14="http://schemas.microsoft.com/office/drawing/2010/main" val="0"/>
                                    </a:ext>
                                  </a:extLst>
                                </a:blip>
                                <a:stretch>
                                  <a:fillRect/>
                                </a:stretch>
                              </pic:blipFill>
                              <pic:spPr>
                                <a:xfrm>
                                  <a:off x="0" y="0"/>
                                  <a:ext cx="3981450" cy="3054124"/>
                                </a:xfrm>
                                <a:prstGeom prst="rect">
                                  <a:avLst/>
                                </a:prstGeom>
                              </pic:spPr>
                            </pic:pic>
                          </a:graphicData>
                        </a:graphic>
                      </wp:inline>
                    </w:drawing>
                  </w:r>
                </w:p>
              </w:tc>
              <w:tc>
                <w:tcPr>
                  <w:tcW w:w="3253" w:type="dxa"/>
                  <w:shd w:val="clear" w:color="auto" w:fill="auto"/>
                </w:tcPr>
                <w:p w14:paraId="139BC9C3" w14:textId="77777777" w:rsidR="00F114D2" w:rsidRPr="00AE62E8" w:rsidRDefault="00F114D2" w:rsidP="00640E76">
                  <w:pPr>
                    <w:spacing w:before="40"/>
                    <w:rPr>
                      <w:rFonts w:asciiTheme="minorHAnsi" w:hAnsiTheme="minorHAnsi" w:cstheme="minorHAnsi"/>
                      <w:b/>
                      <w:i/>
                      <w:sz w:val="18"/>
                      <w:szCs w:val="18"/>
                      <w:u w:val="single"/>
                    </w:rPr>
                  </w:pPr>
                  <w:r w:rsidRPr="00AE62E8">
                    <w:rPr>
                      <w:rFonts w:asciiTheme="minorHAnsi" w:hAnsiTheme="minorHAnsi" w:cstheme="minorHAnsi"/>
                      <w:b/>
                      <w:i/>
                      <w:sz w:val="18"/>
                      <w:szCs w:val="18"/>
                      <w:u w:val="single"/>
                    </w:rPr>
                    <w:t>Location of and features of targeted landscapes</w:t>
                  </w:r>
                </w:p>
                <w:p w14:paraId="5A97FA75" w14:textId="77777777" w:rsidR="00F114D2" w:rsidRPr="00AE62E8" w:rsidRDefault="00F114D2" w:rsidP="00640E76">
                  <w:pPr>
                    <w:spacing w:line="216" w:lineRule="auto"/>
                    <w:rPr>
                      <w:rFonts w:asciiTheme="minorHAnsi" w:hAnsiTheme="minorHAnsi" w:cstheme="minorHAnsi"/>
                      <w:b/>
                      <w:sz w:val="18"/>
                      <w:szCs w:val="18"/>
                    </w:rPr>
                  </w:pPr>
                </w:p>
                <w:p w14:paraId="13703253" w14:textId="77777777" w:rsidR="00F114D2" w:rsidRPr="00AE62E8" w:rsidRDefault="00F114D2" w:rsidP="00640E76">
                  <w:pPr>
                    <w:spacing w:line="216" w:lineRule="auto"/>
                    <w:rPr>
                      <w:rFonts w:asciiTheme="minorHAnsi" w:hAnsiTheme="minorHAnsi" w:cstheme="minorHAnsi"/>
                      <w:b/>
                      <w:sz w:val="18"/>
                      <w:szCs w:val="18"/>
                      <w:lang w:val="it-IT"/>
                    </w:rPr>
                  </w:pPr>
                  <w:r w:rsidRPr="00AE62E8">
                    <w:rPr>
                      <w:rFonts w:asciiTheme="minorHAnsi" w:hAnsiTheme="minorHAnsi" w:cstheme="minorHAnsi"/>
                      <w:b/>
                      <w:sz w:val="18"/>
                      <w:szCs w:val="18"/>
                      <w:lang w:val="it-IT"/>
                    </w:rPr>
                    <w:t xml:space="preserve">[Landscape 1] </w:t>
                  </w:r>
                </w:p>
                <w:p w14:paraId="52474922" w14:textId="77777777" w:rsidR="00F114D2" w:rsidRPr="00AE62E8" w:rsidRDefault="00F114D2" w:rsidP="00640E76">
                  <w:pPr>
                    <w:spacing w:line="216" w:lineRule="auto"/>
                    <w:rPr>
                      <w:rFonts w:asciiTheme="minorHAnsi" w:hAnsiTheme="minorHAnsi" w:cstheme="minorHAnsi"/>
                      <w:b/>
                      <w:i/>
                      <w:iCs/>
                      <w:sz w:val="18"/>
                      <w:szCs w:val="18"/>
                      <w:lang w:val="it-IT"/>
                    </w:rPr>
                  </w:pPr>
                  <w:r w:rsidRPr="00AE62E8">
                    <w:rPr>
                      <w:rFonts w:asciiTheme="minorHAnsi" w:hAnsiTheme="minorHAnsi" w:cstheme="minorHAnsi"/>
                      <w:b/>
                      <w:i/>
                      <w:iCs/>
                      <w:sz w:val="18"/>
                      <w:szCs w:val="18"/>
                      <w:lang w:val="it-IT"/>
                    </w:rPr>
                    <w:t>Sub-basin 1 (Cuchi-Okavango)</w:t>
                  </w:r>
                </w:p>
                <w:p w14:paraId="13CD72EC" w14:textId="77777777" w:rsidR="00F114D2" w:rsidRPr="00AE62E8" w:rsidRDefault="00F114D2" w:rsidP="00640E76">
                  <w:pPr>
                    <w:spacing w:line="216" w:lineRule="auto"/>
                    <w:rPr>
                      <w:rFonts w:asciiTheme="minorHAnsi" w:hAnsiTheme="minorHAnsi" w:cstheme="minorHAnsi"/>
                      <w:b/>
                      <w:i/>
                      <w:iCs/>
                      <w:sz w:val="18"/>
                      <w:szCs w:val="18"/>
                      <w:lang w:val="it-IT"/>
                    </w:rPr>
                  </w:pPr>
                  <w:r w:rsidRPr="00AE62E8">
                    <w:rPr>
                      <w:rFonts w:asciiTheme="minorHAnsi" w:hAnsiTheme="minorHAnsi" w:cstheme="minorHAnsi"/>
                      <w:b/>
                      <w:i/>
                      <w:iCs/>
                      <w:sz w:val="18"/>
                      <w:szCs w:val="18"/>
                      <w:lang w:val="it-IT"/>
                    </w:rPr>
                    <w:t xml:space="preserve"> </w:t>
                  </w:r>
                </w:p>
                <w:tbl>
                  <w:tblPr>
                    <w:tblW w:w="0" w:type="auto"/>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ayout w:type="fixed"/>
                    <w:tblLook w:val="04A0" w:firstRow="1" w:lastRow="0" w:firstColumn="1" w:lastColumn="0" w:noHBand="0" w:noVBand="1"/>
                  </w:tblPr>
                  <w:tblGrid>
                    <w:gridCol w:w="1158"/>
                    <w:gridCol w:w="1869"/>
                  </w:tblGrid>
                  <w:tr w:rsidR="00F114D2" w:rsidRPr="00AE62E8" w14:paraId="0BB3FC01" w14:textId="77777777" w:rsidTr="00640E76">
                    <w:tc>
                      <w:tcPr>
                        <w:tcW w:w="1158" w:type="dxa"/>
                        <w:shd w:val="clear" w:color="auto" w:fill="auto"/>
                      </w:tcPr>
                      <w:p w14:paraId="4BBE8BD8" w14:textId="77777777" w:rsidR="00F114D2" w:rsidRPr="00AE62E8" w:rsidRDefault="00F114D2" w:rsidP="00640E76">
                        <w:pPr>
                          <w:spacing w:line="216" w:lineRule="auto"/>
                          <w:rPr>
                            <w:rFonts w:asciiTheme="minorHAnsi" w:hAnsiTheme="minorHAnsi" w:cstheme="minorHAnsi"/>
                            <w:b/>
                            <w:bCs/>
                            <w:i/>
                            <w:iCs/>
                            <w:sz w:val="16"/>
                            <w:szCs w:val="16"/>
                          </w:rPr>
                        </w:pPr>
                        <w:r w:rsidRPr="00AE62E8">
                          <w:rPr>
                            <w:rFonts w:asciiTheme="minorHAnsi" w:hAnsiTheme="minorHAnsi" w:cstheme="minorHAnsi"/>
                            <w:b/>
                            <w:bCs/>
                            <w:i/>
                            <w:iCs/>
                            <w:sz w:val="16"/>
                            <w:szCs w:val="16"/>
                          </w:rPr>
                          <w:t>Area</w:t>
                        </w:r>
                      </w:p>
                    </w:tc>
                    <w:tc>
                      <w:tcPr>
                        <w:tcW w:w="1869" w:type="dxa"/>
                        <w:shd w:val="clear" w:color="auto" w:fill="auto"/>
                      </w:tcPr>
                      <w:p w14:paraId="6807BB94" w14:textId="77777777" w:rsidR="00F114D2" w:rsidRPr="00AE62E8" w:rsidRDefault="00F114D2" w:rsidP="00640E76">
                        <w:pPr>
                          <w:spacing w:line="216" w:lineRule="auto"/>
                          <w:rPr>
                            <w:rFonts w:asciiTheme="minorHAnsi" w:hAnsiTheme="minorHAnsi" w:cstheme="minorHAnsi"/>
                            <w:sz w:val="16"/>
                            <w:szCs w:val="16"/>
                          </w:rPr>
                        </w:pPr>
                        <w:r w:rsidRPr="00AE62E8">
                          <w:rPr>
                            <w:rFonts w:asciiTheme="minorHAnsi" w:hAnsiTheme="minorHAnsi" w:cstheme="minorHAnsi"/>
                            <w:sz w:val="16"/>
                            <w:szCs w:val="16"/>
                          </w:rPr>
                          <w:t>485,413 ha</w:t>
                        </w:r>
                      </w:p>
                    </w:tc>
                  </w:tr>
                  <w:tr w:rsidR="00F114D2" w:rsidRPr="00AE62E8" w14:paraId="1C9592D0" w14:textId="77777777" w:rsidTr="00640E76">
                    <w:tc>
                      <w:tcPr>
                        <w:tcW w:w="1158" w:type="dxa"/>
                        <w:shd w:val="clear" w:color="auto" w:fill="auto"/>
                      </w:tcPr>
                      <w:p w14:paraId="12D760AC" w14:textId="77777777" w:rsidR="00F114D2" w:rsidRPr="00AE62E8" w:rsidRDefault="00F114D2" w:rsidP="00640E76">
                        <w:pPr>
                          <w:spacing w:line="216" w:lineRule="auto"/>
                          <w:rPr>
                            <w:rFonts w:asciiTheme="minorHAnsi" w:hAnsiTheme="minorHAnsi" w:cstheme="minorHAnsi"/>
                            <w:b/>
                            <w:bCs/>
                            <w:i/>
                            <w:iCs/>
                            <w:sz w:val="16"/>
                            <w:szCs w:val="16"/>
                          </w:rPr>
                        </w:pPr>
                        <w:r w:rsidRPr="00AE62E8">
                          <w:rPr>
                            <w:rFonts w:asciiTheme="minorHAnsi" w:hAnsiTheme="minorHAnsi" w:cstheme="minorHAnsi"/>
                            <w:b/>
                            <w:bCs/>
                            <w:i/>
                            <w:iCs/>
                            <w:sz w:val="16"/>
                            <w:szCs w:val="16"/>
                          </w:rPr>
                          <w:t>Predominant LUS</w:t>
                        </w:r>
                      </w:p>
                    </w:tc>
                    <w:tc>
                      <w:tcPr>
                        <w:tcW w:w="1869" w:type="dxa"/>
                        <w:shd w:val="clear" w:color="auto" w:fill="auto"/>
                      </w:tcPr>
                      <w:p w14:paraId="6BA463B3" w14:textId="77777777" w:rsidR="00F114D2" w:rsidRPr="00AE62E8" w:rsidRDefault="00F114D2" w:rsidP="00640E76">
                        <w:pPr>
                          <w:spacing w:line="216" w:lineRule="auto"/>
                          <w:rPr>
                            <w:rFonts w:asciiTheme="minorHAnsi" w:hAnsiTheme="minorHAnsi" w:cstheme="minorHAnsi"/>
                            <w:sz w:val="16"/>
                            <w:szCs w:val="16"/>
                          </w:rPr>
                        </w:pPr>
                        <w:r w:rsidRPr="00AE62E8">
                          <w:rPr>
                            <w:rFonts w:asciiTheme="minorHAnsi" w:hAnsiTheme="minorHAnsi" w:cstheme="minorHAnsi"/>
                            <w:sz w:val="16"/>
                            <w:szCs w:val="16"/>
                          </w:rPr>
                          <w:t>Tree covered area</w:t>
                        </w:r>
                      </w:p>
                      <w:p w14:paraId="1C91B33B" w14:textId="77777777" w:rsidR="00F114D2" w:rsidRPr="00AE62E8" w:rsidRDefault="00F114D2" w:rsidP="00640E76">
                        <w:pPr>
                          <w:spacing w:line="216" w:lineRule="auto"/>
                          <w:rPr>
                            <w:rFonts w:asciiTheme="minorHAnsi" w:hAnsiTheme="minorHAnsi" w:cstheme="minorHAnsi"/>
                            <w:sz w:val="16"/>
                            <w:szCs w:val="16"/>
                          </w:rPr>
                        </w:pPr>
                      </w:p>
                    </w:tc>
                  </w:tr>
                  <w:tr w:rsidR="00F114D2" w:rsidRPr="00AE62E8" w14:paraId="15B5DF96" w14:textId="77777777" w:rsidTr="00640E76">
                    <w:tc>
                      <w:tcPr>
                        <w:tcW w:w="1158" w:type="dxa"/>
                        <w:shd w:val="clear" w:color="auto" w:fill="auto"/>
                      </w:tcPr>
                      <w:p w14:paraId="312DE7C4" w14:textId="77777777" w:rsidR="00F114D2" w:rsidRPr="00AE62E8" w:rsidRDefault="00F114D2" w:rsidP="00640E76">
                        <w:pPr>
                          <w:spacing w:line="216" w:lineRule="auto"/>
                          <w:rPr>
                            <w:rFonts w:asciiTheme="minorHAnsi" w:hAnsiTheme="minorHAnsi" w:cstheme="minorHAnsi"/>
                            <w:b/>
                            <w:bCs/>
                            <w:i/>
                            <w:iCs/>
                            <w:sz w:val="16"/>
                            <w:szCs w:val="16"/>
                          </w:rPr>
                        </w:pPr>
                        <w:r w:rsidRPr="00AE62E8">
                          <w:rPr>
                            <w:rFonts w:asciiTheme="minorHAnsi" w:hAnsiTheme="minorHAnsi" w:cstheme="minorHAnsi"/>
                            <w:b/>
                            <w:bCs/>
                            <w:i/>
                            <w:iCs/>
                            <w:sz w:val="16"/>
                            <w:szCs w:val="16"/>
                          </w:rPr>
                          <w:t>Main town</w:t>
                        </w:r>
                      </w:p>
                    </w:tc>
                    <w:tc>
                      <w:tcPr>
                        <w:tcW w:w="1869" w:type="dxa"/>
                        <w:shd w:val="clear" w:color="auto" w:fill="auto"/>
                      </w:tcPr>
                      <w:p w14:paraId="49211881" w14:textId="77777777" w:rsidR="00F114D2" w:rsidRPr="00AE62E8" w:rsidRDefault="00F114D2" w:rsidP="00640E76">
                        <w:pPr>
                          <w:spacing w:line="216" w:lineRule="auto"/>
                          <w:rPr>
                            <w:rFonts w:asciiTheme="minorHAnsi" w:hAnsiTheme="minorHAnsi" w:cstheme="minorHAnsi"/>
                            <w:sz w:val="16"/>
                            <w:szCs w:val="16"/>
                          </w:rPr>
                        </w:pPr>
                        <w:r w:rsidRPr="00AE62E8">
                          <w:rPr>
                            <w:rFonts w:asciiTheme="minorHAnsi" w:hAnsiTheme="minorHAnsi" w:cstheme="minorHAnsi"/>
                            <w:sz w:val="16"/>
                            <w:szCs w:val="16"/>
                          </w:rPr>
                          <w:t xml:space="preserve">Cuchi </w:t>
                        </w:r>
                      </w:p>
                    </w:tc>
                  </w:tr>
                  <w:tr w:rsidR="00F114D2" w:rsidRPr="00AE62E8" w14:paraId="3C019A01" w14:textId="77777777" w:rsidTr="00640E76">
                    <w:tc>
                      <w:tcPr>
                        <w:tcW w:w="1158" w:type="dxa"/>
                        <w:shd w:val="clear" w:color="auto" w:fill="auto"/>
                      </w:tcPr>
                      <w:p w14:paraId="7D4F4558" w14:textId="77777777" w:rsidR="00F114D2" w:rsidRPr="00AE62E8" w:rsidRDefault="00F114D2" w:rsidP="00640E76">
                        <w:pPr>
                          <w:spacing w:line="216" w:lineRule="auto"/>
                          <w:rPr>
                            <w:rFonts w:asciiTheme="minorHAnsi" w:hAnsiTheme="minorHAnsi" w:cstheme="minorHAnsi"/>
                            <w:b/>
                            <w:bCs/>
                            <w:i/>
                            <w:iCs/>
                            <w:sz w:val="16"/>
                            <w:szCs w:val="16"/>
                          </w:rPr>
                        </w:pPr>
                        <w:r w:rsidRPr="00AE62E8">
                          <w:rPr>
                            <w:rFonts w:asciiTheme="minorHAnsi" w:hAnsiTheme="minorHAnsi" w:cstheme="minorHAnsi"/>
                            <w:b/>
                            <w:bCs/>
                            <w:i/>
                            <w:iCs/>
                            <w:sz w:val="16"/>
                            <w:szCs w:val="16"/>
                          </w:rPr>
                          <w:t>Approx. beneficiary population</w:t>
                        </w:r>
                      </w:p>
                    </w:tc>
                    <w:tc>
                      <w:tcPr>
                        <w:tcW w:w="1869" w:type="dxa"/>
                        <w:shd w:val="clear" w:color="auto" w:fill="auto"/>
                      </w:tcPr>
                      <w:p w14:paraId="65244896" w14:textId="77777777" w:rsidR="00F114D2" w:rsidRPr="00AE62E8" w:rsidRDefault="00F114D2" w:rsidP="00640E76">
                        <w:pPr>
                          <w:spacing w:line="216" w:lineRule="auto"/>
                          <w:rPr>
                            <w:rFonts w:asciiTheme="minorHAnsi" w:hAnsiTheme="minorHAnsi" w:cstheme="minorHAnsi"/>
                            <w:sz w:val="16"/>
                            <w:szCs w:val="16"/>
                          </w:rPr>
                        </w:pPr>
                        <w:r w:rsidRPr="00AE62E8">
                          <w:rPr>
                            <w:rFonts w:asciiTheme="minorHAnsi" w:hAnsiTheme="minorHAnsi" w:cstheme="minorHAnsi"/>
                            <w:sz w:val="16"/>
                            <w:szCs w:val="16"/>
                          </w:rPr>
                          <w:t xml:space="preserve">Approx. 3,750 people (in ~ 820 households, or 8% of the total population in sites) </w:t>
                        </w:r>
                      </w:p>
                    </w:tc>
                  </w:tr>
                </w:tbl>
                <w:p w14:paraId="0D20B951" w14:textId="77777777" w:rsidR="00F114D2" w:rsidRPr="00AE62E8" w:rsidRDefault="00F114D2" w:rsidP="00640E76">
                  <w:pPr>
                    <w:spacing w:before="80" w:line="216" w:lineRule="auto"/>
                    <w:rPr>
                      <w:rFonts w:asciiTheme="minorHAnsi" w:hAnsiTheme="minorHAnsi" w:cstheme="minorHAnsi"/>
                      <w:b/>
                      <w:sz w:val="18"/>
                      <w:szCs w:val="18"/>
                    </w:rPr>
                  </w:pPr>
                </w:p>
                <w:p w14:paraId="3B72218E" w14:textId="77777777" w:rsidR="00F114D2" w:rsidRPr="00AE62E8" w:rsidRDefault="00F114D2" w:rsidP="00640E76">
                  <w:pPr>
                    <w:spacing w:line="216" w:lineRule="auto"/>
                    <w:rPr>
                      <w:rFonts w:asciiTheme="minorHAnsi" w:hAnsiTheme="minorHAnsi" w:cstheme="minorHAnsi"/>
                      <w:b/>
                      <w:sz w:val="18"/>
                      <w:szCs w:val="18"/>
                      <w:lang w:val="it-IT"/>
                    </w:rPr>
                  </w:pPr>
                  <w:r w:rsidRPr="00AE62E8">
                    <w:rPr>
                      <w:rFonts w:asciiTheme="minorHAnsi" w:hAnsiTheme="minorHAnsi" w:cstheme="minorHAnsi"/>
                      <w:b/>
                      <w:sz w:val="18"/>
                      <w:szCs w:val="18"/>
                      <w:lang w:val="it-IT"/>
                    </w:rPr>
                    <w:t xml:space="preserve">[Landscape 2] </w:t>
                  </w:r>
                </w:p>
                <w:p w14:paraId="247E2937" w14:textId="77777777" w:rsidR="00F114D2" w:rsidRPr="00AE62E8" w:rsidRDefault="00F114D2" w:rsidP="00640E76">
                  <w:pPr>
                    <w:spacing w:line="216" w:lineRule="auto"/>
                    <w:rPr>
                      <w:rFonts w:asciiTheme="minorHAnsi" w:hAnsiTheme="minorHAnsi" w:cstheme="minorHAnsi"/>
                      <w:b/>
                      <w:i/>
                      <w:iCs/>
                      <w:sz w:val="18"/>
                      <w:szCs w:val="18"/>
                      <w:lang w:val="it-IT"/>
                    </w:rPr>
                  </w:pPr>
                  <w:r w:rsidRPr="00AE62E8">
                    <w:rPr>
                      <w:rFonts w:asciiTheme="minorHAnsi" w:hAnsiTheme="minorHAnsi" w:cstheme="minorHAnsi"/>
                      <w:b/>
                      <w:i/>
                      <w:iCs/>
                      <w:sz w:val="18"/>
                      <w:szCs w:val="18"/>
                      <w:lang w:val="it-IT"/>
                    </w:rPr>
                    <w:t xml:space="preserve">Sub-basin 2 (Cahama-Cunene) </w:t>
                  </w:r>
                </w:p>
                <w:p w14:paraId="16FFFAA6" w14:textId="77777777" w:rsidR="00F114D2" w:rsidRPr="00AE62E8" w:rsidRDefault="00F114D2" w:rsidP="00640E76">
                  <w:pPr>
                    <w:spacing w:line="216" w:lineRule="auto"/>
                    <w:rPr>
                      <w:rFonts w:asciiTheme="minorHAnsi" w:hAnsiTheme="minorHAnsi" w:cstheme="minorHAnsi"/>
                      <w:b/>
                      <w:i/>
                      <w:iCs/>
                      <w:sz w:val="18"/>
                      <w:szCs w:val="18"/>
                      <w:lang w:val="it-IT"/>
                    </w:rPr>
                  </w:pPr>
                </w:p>
                <w:tbl>
                  <w:tblPr>
                    <w:tblW w:w="0" w:type="auto"/>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ayout w:type="fixed"/>
                    <w:tblLook w:val="04A0" w:firstRow="1" w:lastRow="0" w:firstColumn="1" w:lastColumn="0" w:noHBand="0" w:noVBand="1"/>
                  </w:tblPr>
                  <w:tblGrid>
                    <w:gridCol w:w="1158"/>
                    <w:gridCol w:w="1869"/>
                  </w:tblGrid>
                  <w:tr w:rsidR="00F114D2" w:rsidRPr="00AE62E8" w14:paraId="202225D3" w14:textId="77777777" w:rsidTr="00640E76">
                    <w:tc>
                      <w:tcPr>
                        <w:tcW w:w="1158" w:type="dxa"/>
                        <w:shd w:val="clear" w:color="auto" w:fill="auto"/>
                      </w:tcPr>
                      <w:p w14:paraId="753F79B5" w14:textId="77777777" w:rsidR="00F114D2" w:rsidRPr="00AE62E8" w:rsidRDefault="00F114D2" w:rsidP="00640E76">
                        <w:pPr>
                          <w:spacing w:line="216" w:lineRule="auto"/>
                          <w:rPr>
                            <w:rFonts w:asciiTheme="minorHAnsi" w:hAnsiTheme="minorHAnsi" w:cstheme="minorHAnsi"/>
                            <w:b/>
                            <w:bCs/>
                            <w:i/>
                            <w:iCs/>
                            <w:sz w:val="16"/>
                            <w:szCs w:val="16"/>
                          </w:rPr>
                        </w:pPr>
                        <w:r w:rsidRPr="00AE62E8">
                          <w:rPr>
                            <w:rFonts w:asciiTheme="minorHAnsi" w:hAnsiTheme="minorHAnsi" w:cstheme="minorHAnsi"/>
                            <w:b/>
                            <w:bCs/>
                            <w:i/>
                            <w:iCs/>
                            <w:sz w:val="16"/>
                            <w:szCs w:val="16"/>
                          </w:rPr>
                          <w:t>Area</w:t>
                        </w:r>
                      </w:p>
                    </w:tc>
                    <w:tc>
                      <w:tcPr>
                        <w:tcW w:w="1869" w:type="dxa"/>
                        <w:shd w:val="clear" w:color="auto" w:fill="auto"/>
                      </w:tcPr>
                      <w:p w14:paraId="1F2D18EE" w14:textId="77777777" w:rsidR="00F114D2" w:rsidRPr="00AE62E8" w:rsidRDefault="00F114D2" w:rsidP="00640E76">
                        <w:pPr>
                          <w:spacing w:line="216" w:lineRule="auto"/>
                          <w:rPr>
                            <w:rFonts w:asciiTheme="minorHAnsi" w:hAnsiTheme="minorHAnsi" w:cstheme="minorHAnsi"/>
                            <w:sz w:val="16"/>
                            <w:szCs w:val="16"/>
                          </w:rPr>
                        </w:pPr>
                        <w:r w:rsidRPr="00AE62E8">
                          <w:rPr>
                            <w:rFonts w:asciiTheme="minorHAnsi" w:hAnsiTheme="minorHAnsi" w:cstheme="minorHAnsi"/>
                            <w:sz w:val="16"/>
                            <w:szCs w:val="16"/>
                          </w:rPr>
                          <w:t>880,046 ha</w:t>
                        </w:r>
                      </w:p>
                    </w:tc>
                  </w:tr>
                  <w:tr w:rsidR="00F114D2" w:rsidRPr="00AE62E8" w14:paraId="462E21DD" w14:textId="77777777" w:rsidTr="00640E76">
                    <w:tc>
                      <w:tcPr>
                        <w:tcW w:w="1158" w:type="dxa"/>
                        <w:shd w:val="clear" w:color="auto" w:fill="auto"/>
                      </w:tcPr>
                      <w:p w14:paraId="5911CE71" w14:textId="77777777" w:rsidR="00F114D2" w:rsidRPr="00AE62E8" w:rsidRDefault="00F114D2" w:rsidP="00640E76">
                        <w:pPr>
                          <w:spacing w:line="216" w:lineRule="auto"/>
                          <w:rPr>
                            <w:rFonts w:asciiTheme="minorHAnsi" w:hAnsiTheme="minorHAnsi" w:cstheme="minorHAnsi"/>
                            <w:b/>
                            <w:bCs/>
                            <w:i/>
                            <w:iCs/>
                            <w:sz w:val="16"/>
                            <w:szCs w:val="16"/>
                          </w:rPr>
                        </w:pPr>
                        <w:r w:rsidRPr="00AE62E8">
                          <w:rPr>
                            <w:rFonts w:asciiTheme="minorHAnsi" w:hAnsiTheme="minorHAnsi" w:cstheme="minorHAnsi"/>
                            <w:b/>
                            <w:bCs/>
                            <w:i/>
                            <w:iCs/>
                            <w:sz w:val="16"/>
                            <w:szCs w:val="16"/>
                          </w:rPr>
                          <w:t>Predominant LUS</w:t>
                        </w:r>
                      </w:p>
                    </w:tc>
                    <w:tc>
                      <w:tcPr>
                        <w:tcW w:w="1869" w:type="dxa"/>
                        <w:shd w:val="clear" w:color="auto" w:fill="auto"/>
                      </w:tcPr>
                      <w:p w14:paraId="1B29A722" w14:textId="77777777" w:rsidR="00F114D2" w:rsidRPr="00AE62E8" w:rsidRDefault="00F114D2" w:rsidP="00640E76">
                        <w:pPr>
                          <w:spacing w:line="216" w:lineRule="auto"/>
                          <w:rPr>
                            <w:rFonts w:asciiTheme="minorHAnsi" w:hAnsiTheme="minorHAnsi" w:cstheme="minorHAnsi"/>
                            <w:sz w:val="16"/>
                            <w:szCs w:val="16"/>
                          </w:rPr>
                        </w:pPr>
                        <w:r w:rsidRPr="00AE62E8">
                          <w:rPr>
                            <w:rFonts w:asciiTheme="minorHAnsi" w:hAnsiTheme="minorHAnsi" w:cstheme="minorHAnsi"/>
                            <w:sz w:val="16"/>
                            <w:szCs w:val="16"/>
                          </w:rPr>
                          <w:t>Grassland</w:t>
                        </w:r>
                      </w:p>
                      <w:p w14:paraId="27FD9447" w14:textId="77777777" w:rsidR="00F114D2" w:rsidRPr="00AE62E8" w:rsidRDefault="00F114D2" w:rsidP="00640E76">
                        <w:pPr>
                          <w:spacing w:line="216" w:lineRule="auto"/>
                          <w:rPr>
                            <w:rFonts w:asciiTheme="minorHAnsi" w:hAnsiTheme="minorHAnsi" w:cstheme="minorHAnsi"/>
                            <w:sz w:val="16"/>
                            <w:szCs w:val="16"/>
                          </w:rPr>
                        </w:pPr>
                      </w:p>
                    </w:tc>
                  </w:tr>
                  <w:tr w:rsidR="00F114D2" w:rsidRPr="00AE62E8" w14:paraId="127C3DDF" w14:textId="77777777" w:rsidTr="00640E76">
                    <w:tc>
                      <w:tcPr>
                        <w:tcW w:w="1158" w:type="dxa"/>
                        <w:shd w:val="clear" w:color="auto" w:fill="auto"/>
                      </w:tcPr>
                      <w:p w14:paraId="72D5EC5B" w14:textId="77777777" w:rsidR="00F114D2" w:rsidRPr="00AE62E8" w:rsidRDefault="00F114D2" w:rsidP="00640E76">
                        <w:pPr>
                          <w:spacing w:line="216" w:lineRule="auto"/>
                          <w:rPr>
                            <w:rFonts w:asciiTheme="minorHAnsi" w:hAnsiTheme="minorHAnsi" w:cstheme="minorHAnsi"/>
                            <w:b/>
                            <w:bCs/>
                            <w:i/>
                            <w:iCs/>
                            <w:sz w:val="16"/>
                            <w:szCs w:val="16"/>
                          </w:rPr>
                        </w:pPr>
                        <w:r w:rsidRPr="00AE62E8">
                          <w:rPr>
                            <w:rFonts w:asciiTheme="minorHAnsi" w:hAnsiTheme="minorHAnsi" w:cstheme="minorHAnsi"/>
                            <w:b/>
                            <w:bCs/>
                            <w:i/>
                            <w:iCs/>
                            <w:sz w:val="16"/>
                            <w:szCs w:val="16"/>
                          </w:rPr>
                          <w:t>Main towns</w:t>
                        </w:r>
                      </w:p>
                    </w:tc>
                    <w:tc>
                      <w:tcPr>
                        <w:tcW w:w="1869" w:type="dxa"/>
                        <w:shd w:val="clear" w:color="auto" w:fill="auto"/>
                      </w:tcPr>
                      <w:p w14:paraId="13D94D6E" w14:textId="77777777" w:rsidR="00F114D2" w:rsidRPr="00AE62E8" w:rsidRDefault="00F114D2" w:rsidP="00640E76">
                        <w:pPr>
                          <w:spacing w:line="216" w:lineRule="auto"/>
                          <w:rPr>
                            <w:rFonts w:asciiTheme="minorHAnsi" w:hAnsiTheme="minorHAnsi" w:cstheme="minorHAnsi"/>
                            <w:sz w:val="16"/>
                            <w:szCs w:val="16"/>
                          </w:rPr>
                        </w:pPr>
                        <w:r w:rsidRPr="00AE62E8">
                          <w:rPr>
                            <w:rFonts w:asciiTheme="minorHAnsi" w:hAnsiTheme="minorHAnsi" w:cstheme="minorHAnsi"/>
                            <w:sz w:val="16"/>
                            <w:szCs w:val="16"/>
                          </w:rPr>
                          <w:t>Cahama, Tchipelongo</w:t>
                        </w:r>
                      </w:p>
                    </w:tc>
                  </w:tr>
                  <w:tr w:rsidR="00F114D2" w:rsidRPr="00AE62E8" w14:paraId="75C31FC7" w14:textId="77777777" w:rsidTr="00640E76">
                    <w:tc>
                      <w:tcPr>
                        <w:tcW w:w="1158" w:type="dxa"/>
                        <w:shd w:val="clear" w:color="auto" w:fill="auto"/>
                      </w:tcPr>
                      <w:p w14:paraId="435E3D5F" w14:textId="77777777" w:rsidR="00F114D2" w:rsidRPr="00AE62E8" w:rsidRDefault="00F114D2" w:rsidP="00640E76">
                        <w:pPr>
                          <w:spacing w:line="216" w:lineRule="auto"/>
                          <w:rPr>
                            <w:rFonts w:asciiTheme="minorHAnsi" w:hAnsiTheme="minorHAnsi" w:cstheme="minorHAnsi"/>
                            <w:b/>
                            <w:bCs/>
                            <w:i/>
                            <w:iCs/>
                            <w:sz w:val="16"/>
                            <w:szCs w:val="16"/>
                          </w:rPr>
                        </w:pPr>
                        <w:r w:rsidRPr="00AE62E8">
                          <w:rPr>
                            <w:rFonts w:asciiTheme="minorHAnsi" w:hAnsiTheme="minorHAnsi" w:cstheme="minorHAnsi"/>
                            <w:b/>
                            <w:bCs/>
                            <w:i/>
                            <w:iCs/>
                            <w:sz w:val="16"/>
                            <w:szCs w:val="16"/>
                          </w:rPr>
                          <w:t>Approx. beneficiary population</w:t>
                        </w:r>
                      </w:p>
                    </w:tc>
                    <w:tc>
                      <w:tcPr>
                        <w:tcW w:w="1869" w:type="dxa"/>
                        <w:shd w:val="clear" w:color="auto" w:fill="auto"/>
                      </w:tcPr>
                      <w:p w14:paraId="1165498B" w14:textId="77777777" w:rsidR="00F114D2" w:rsidRPr="00AE62E8" w:rsidRDefault="00F114D2" w:rsidP="00640E76">
                        <w:pPr>
                          <w:spacing w:line="216" w:lineRule="auto"/>
                          <w:rPr>
                            <w:rFonts w:asciiTheme="minorHAnsi" w:hAnsiTheme="minorHAnsi" w:cstheme="minorHAnsi"/>
                            <w:sz w:val="16"/>
                            <w:szCs w:val="16"/>
                          </w:rPr>
                        </w:pPr>
                        <w:r w:rsidRPr="00AE62E8">
                          <w:rPr>
                            <w:rFonts w:asciiTheme="minorHAnsi" w:hAnsiTheme="minorHAnsi" w:cstheme="minorHAnsi"/>
                            <w:sz w:val="16"/>
                            <w:szCs w:val="16"/>
                          </w:rPr>
                          <w:t xml:space="preserve">6,250 people (in ~ 1,180 households, or 8% of the total population in sites) </w:t>
                        </w:r>
                      </w:p>
                    </w:tc>
                  </w:tr>
                </w:tbl>
                <w:p w14:paraId="59A6FDAB" w14:textId="77777777" w:rsidR="00F114D2" w:rsidRPr="00AE62E8" w:rsidRDefault="00F114D2" w:rsidP="00640E76">
                  <w:pPr>
                    <w:spacing w:line="216" w:lineRule="auto"/>
                    <w:rPr>
                      <w:rFonts w:asciiTheme="minorHAnsi" w:hAnsiTheme="minorHAnsi" w:cstheme="minorHAnsi"/>
                      <w:iCs/>
                      <w:sz w:val="18"/>
                      <w:szCs w:val="18"/>
                    </w:rPr>
                  </w:pPr>
                </w:p>
              </w:tc>
            </w:tr>
          </w:tbl>
          <w:p w14:paraId="1E2F873B" w14:textId="77777777" w:rsidR="00F114D2" w:rsidRPr="00AE62E8" w:rsidRDefault="00F114D2" w:rsidP="00640E76">
            <w:pPr>
              <w:spacing w:after="120"/>
              <w:jc w:val="center"/>
              <w:rPr>
                <w:rFonts w:asciiTheme="minorHAnsi" w:hAnsiTheme="minorHAnsi" w:cstheme="minorHAnsi"/>
                <w:iCs/>
                <w:szCs w:val="20"/>
              </w:rPr>
            </w:pPr>
          </w:p>
        </w:tc>
      </w:tr>
      <w:tr w:rsidR="00DA42EB" w:rsidRPr="00AE62E8" w14:paraId="0984022E" w14:textId="77777777" w:rsidTr="78C544BE">
        <w:tc>
          <w:tcPr>
            <w:tcW w:w="9918" w:type="dxa"/>
            <w:shd w:val="clear" w:color="auto" w:fill="auto"/>
          </w:tcPr>
          <w:p w14:paraId="2A43BD3F" w14:textId="6F84C4BA" w:rsidR="00F114D2" w:rsidRPr="00F114D2" w:rsidRDefault="00F114D2" w:rsidP="00640E76">
            <w:pPr>
              <w:spacing w:after="120"/>
              <w:rPr>
                <w:rFonts w:asciiTheme="minorHAnsi" w:hAnsiTheme="minorHAnsi" w:cstheme="minorHAnsi"/>
                <w:iCs/>
                <w:sz w:val="16"/>
                <w:szCs w:val="16"/>
              </w:rPr>
            </w:pPr>
            <w:r w:rsidRPr="60130418">
              <w:rPr>
                <w:rFonts w:asciiTheme="minorHAnsi" w:hAnsiTheme="minorHAnsi" w:cstheme="minorBidi"/>
                <w:b/>
                <w:sz w:val="16"/>
                <w:szCs w:val="16"/>
              </w:rPr>
              <w:lastRenderedPageBreak/>
              <w:t>Remote Sensing (RS) analysis applied to the above landscapes</w:t>
            </w:r>
            <w:r w:rsidRPr="60130418">
              <w:rPr>
                <w:rFonts w:asciiTheme="minorHAnsi" w:hAnsiTheme="minorHAnsi" w:cstheme="minorBidi"/>
                <w:sz w:val="16"/>
                <w:szCs w:val="16"/>
              </w:rPr>
              <w:t xml:space="preserve"> combines global data embedded in the </w:t>
            </w:r>
            <w:r w:rsidRPr="60130418">
              <w:rPr>
                <w:rFonts w:asciiTheme="minorHAnsi" w:hAnsiTheme="minorHAnsi" w:cstheme="minorBidi"/>
                <w:b/>
                <w:sz w:val="16"/>
                <w:szCs w:val="16"/>
              </w:rPr>
              <w:t xml:space="preserve">Open Foris / Collect Earth </w:t>
            </w:r>
            <w:r w:rsidRPr="60130418">
              <w:rPr>
                <w:rFonts w:asciiTheme="minorHAnsi" w:hAnsiTheme="minorHAnsi" w:cstheme="minorBidi"/>
                <w:sz w:val="16"/>
                <w:szCs w:val="16"/>
              </w:rPr>
              <w:t>platform by Google</w:t>
            </w:r>
            <w:r w:rsidRPr="60130418">
              <w:rPr>
                <w:rStyle w:val="FootnoteReference"/>
                <w:rFonts w:asciiTheme="minorHAnsi" w:hAnsiTheme="minorHAnsi" w:cstheme="minorBidi"/>
                <w:sz w:val="16"/>
                <w:szCs w:val="16"/>
              </w:rPr>
              <w:footnoteReference w:id="45"/>
            </w:r>
            <w:r w:rsidRPr="60130418">
              <w:rPr>
                <w:rFonts w:asciiTheme="minorHAnsi" w:hAnsiTheme="minorHAnsi" w:cstheme="minorBidi"/>
                <w:sz w:val="16"/>
                <w:szCs w:val="16"/>
              </w:rPr>
              <w:t xml:space="preserve"> with other contextual data. Trends and indicators, such as land cover, tree cover loss, cropland extent and fire frequency, were analyzed in detail alongside land-use change and human settlement patterns. Below is a summary of the land-use and land-use change analysis for the two sites. </w:t>
            </w:r>
          </w:p>
          <w:p w14:paraId="03BFDAB4" w14:textId="7FB8B122" w:rsidR="00F114D2" w:rsidRPr="00AE62E8" w:rsidRDefault="61B10E0B" w:rsidP="16F97503">
            <w:pPr>
              <w:spacing w:after="120"/>
              <w:jc w:val="center"/>
              <w:rPr>
                <w:rFonts w:asciiTheme="minorHAnsi" w:hAnsiTheme="minorHAnsi" w:cstheme="minorBidi"/>
                <w:sz w:val="18"/>
                <w:szCs w:val="18"/>
              </w:rPr>
            </w:pPr>
            <w:r>
              <w:rPr>
                <w:noProof/>
              </w:rPr>
              <w:drawing>
                <wp:inline distT="0" distB="0" distL="0" distR="0" wp14:anchorId="61092CDE" wp14:editId="26B5A26E">
                  <wp:extent cx="2743200" cy="1514800"/>
                  <wp:effectExtent l="0" t="0" r="0" b="9525"/>
                  <wp:docPr id="11" name="Picture 11" descr="A picture containing devi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pic:nvPicPr>
                        <pic:blipFill>
                          <a:blip r:embed="rId47">
                            <a:extLst>
                              <a:ext uri="{28A0092B-C50C-407E-A947-70E740481C1C}">
                                <a14:useLocalDpi xmlns:a14="http://schemas.microsoft.com/office/drawing/2010/main"/>
                              </a:ext>
                            </a:extLst>
                          </a:blip>
                          <a:stretch>
                            <a:fillRect/>
                          </a:stretch>
                        </pic:blipFill>
                        <pic:spPr>
                          <a:xfrm>
                            <a:off x="0" y="0"/>
                            <a:ext cx="2743200" cy="1514800"/>
                          </a:xfrm>
                          <a:prstGeom prst="rect">
                            <a:avLst/>
                          </a:prstGeom>
                        </pic:spPr>
                      </pic:pic>
                    </a:graphicData>
                  </a:graphic>
                </wp:inline>
              </w:drawing>
            </w:r>
            <w:r>
              <w:rPr>
                <w:noProof/>
              </w:rPr>
              <w:drawing>
                <wp:inline distT="0" distB="0" distL="0" distR="0" wp14:anchorId="2070B7A4" wp14:editId="3E66670B">
                  <wp:extent cx="747236" cy="1188720"/>
                  <wp:effectExtent l="0" t="0" r="0" b="0"/>
                  <wp:docPr id="15" name="Picture 15" descr="A picture containing devi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pic:nvPicPr>
                        <pic:blipFill>
                          <a:blip r:embed="rId48">
                            <a:extLst>
                              <a:ext uri="{28A0092B-C50C-407E-A947-70E740481C1C}">
                                <a14:useLocalDpi xmlns:a14="http://schemas.microsoft.com/office/drawing/2010/main"/>
                              </a:ext>
                            </a:extLst>
                          </a:blip>
                          <a:srcRect t="-2" b="-4008"/>
                          <a:stretch>
                            <a:fillRect/>
                          </a:stretch>
                        </pic:blipFill>
                        <pic:spPr>
                          <a:xfrm>
                            <a:off x="0" y="0"/>
                            <a:ext cx="747236" cy="1188720"/>
                          </a:xfrm>
                          <a:prstGeom prst="rect">
                            <a:avLst/>
                          </a:prstGeom>
                        </pic:spPr>
                      </pic:pic>
                    </a:graphicData>
                  </a:graphic>
                </wp:inline>
              </w:drawing>
            </w:r>
          </w:p>
          <w:p w14:paraId="2C13AA96" w14:textId="78612F33" w:rsidR="00F114D2" w:rsidRPr="00AE62E8" w:rsidRDefault="00F114D2" w:rsidP="00640E76">
            <w:pPr>
              <w:keepNext/>
              <w:spacing w:before="80" w:after="40"/>
              <w:jc w:val="center"/>
              <w:rPr>
                <w:rFonts w:asciiTheme="minorHAnsi" w:hAnsiTheme="minorHAnsi" w:cstheme="minorHAnsi"/>
                <w:iCs/>
                <w:sz w:val="18"/>
                <w:szCs w:val="18"/>
              </w:rPr>
            </w:pPr>
            <w:r w:rsidRPr="00AE62E8">
              <w:rPr>
                <w:rFonts w:asciiTheme="minorHAnsi" w:hAnsiTheme="minorHAnsi" w:cstheme="minorHAnsi"/>
                <w:iCs/>
                <w:sz w:val="18"/>
                <w:szCs w:val="18"/>
              </w:rPr>
              <w:t xml:space="preserve">Refer to </w:t>
            </w:r>
            <w:hyperlink w:anchor="_Annex_E:_Project" w:history="1">
              <w:r w:rsidRPr="00AE62E8">
                <w:rPr>
                  <w:rStyle w:val="Hyperlink"/>
                  <w:rFonts w:asciiTheme="minorHAnsi" w:hAnsiTheme="minorHAnsi" w:cstheme="minorHAnsi"/>
                  <w:iCs/>
                  <w:sz w:val="18"/>
                  <w:szCs w:val="18"/>
                </w:rPr>
                <w:t>Annex E</w:t>
              </w:r>
            </w:hyperlink>
            <w:r w:rsidRPr="00AE62E8">
              <w:rPr>
                <w:rFonts w:asciiTheme="minorHAnsi" w:hAnsiTheme="minorHAnsi" w:cstheme="minorHAnsi"/>
                <w:iCs/>
                <w:sz w:val="18"/>
                <w:szCs w:val="18"/>
              </w:rPr>
              <w:t xml:space="preserve"> for the more detailed landscapes’ profiles and maps, including complements B and C to this Box. </w:t>
            </w:r>
          </w:p>
        </w:tc>
      </w:tr>
    </w:tbl>
    <w:p w14:paraId="36AAAFF0" w14:textId="71C12F3E" w:rsidR="009563B4" w:rsidRPr="00137CE8" w:rsidRDefault="00137CE8" w:rsidP="001667C6">
      <w:pPr>
        <w:pStyle w:val="ParagraphOED"/>
        <w:numPr>
          <w:ilvl w:val="0"/>
          <w:numId w:val="102"/>
        </w:numPr>
        <w:spacing w:before="160" w:after="160"/>
      </w:pPr>
      <w:r>
        <w:t xml:space="preserve">Summary SHARP (Self-evaluation and Holistic Assessment of climate Resilience of farmers and Pastoralists) results are provided in </w:t>
      </w:r>
      <w:r w:rsidRPr="1E65A5F7">
        <w:rPr>
          <w:highlight w:val="lightGray"/>
        </w:rPr>
        <w:t>Box 7</w:t>
      </w:r>
      <w:r>
        <w:t>, albeit they are limited to a single assessment due to the onset of COVID-19 restrictions that prohibited further field work</w:t>
      </w:r>
      <w:r w:rsidR="00C533DE">
        <w:t>.</w:t>
      </w:r>
    </w:p>
    <w:p w14:paraId="060783B9" w14:textId="10E46CB5" w:rsidR="00C533DE" w:rsidRPr="00C533DE" w:rsidRDefault="00C533DE" w:rsidP="00C533DE">
      <w:pPr>
        <w:pStyle w:val="Caption"/>
        <w:spacing w:before="160" w:after="80"/>
        <w:rPr>
          <w:rFonts w:ascii="Calibri" w:hAnsi="Calibri" w:cs="Calibri"/>
          <w:sz w:val="22"/>
          <w:szCs w:val="22"/>
        </w:rPr>
      </w:pPr>
      <w:bookmarkStart w:id="76" w:name="_Ref45742548"/>
      <w:bookmarkStart w:id="77" w:name="_Toc45712123"/>
      <w:bookmarkStart w:id="78" w:name="_Toc58398661"/>
      <w:r w:rsidRPr="00C533DE">
        <w:rPr>
          <w:rFonts w:ascii="Calibri" w:hAnsi="Calibri" w:cs="Calibri"/>
          <w:sz w:val="22"/>
          <w:szCs w:val="22"/>
        </w:rPr>
        <w:t xml:space="preserve">Box </w:t>
      </w:r>
      <w:r w:rsidRPr="00C533DE">
        <w:rPr>
          <w:rFonts w:ascii="Calibri" w:hAnsi="Calibri" w:cs="Calibri"/>
          <w:sz w:val="22"/>
          <w:szCs w:val="22"/>
        </w:rPr>
        <w:fldChar w:fldCharType="begin"/>
      </w:r>
      <w:r w:rsidRPr="00C533DE">
        <w:rPr>
          <w:rFonts w:ascii="Calibri" w:hAnsi="Calibri" w:cs="Calibri"/>
          <w:sz w:val="22"/>
          <w:szCs w:val="22"/>
        </w:rPr>
        <w:instrText>SEQ Box \* ARABIC</w:instrText>
      </w:r>
      <w:r w:rsidRPr="00C533DE">
        <w:rPr>
          <w:rFonts w:ascii="Calibri" w:hAnsi="Calibri" w:cs="Calibri"/>
          <w:sz w:val="22"/>
          <w:szCs w:val="22"/>
        </w:rPr>
        <w:fldChar w:fldCharType="separate"/>
      </w:r>
      <w:r w:rsidR="00064F36">
        <w:rPr>
          <w:rFonts w:ascii="Calibri" w:hAnsi="Calibri" w:cs="Calibri"/>
          <w:noProof/>
          <w:sz w:val="22"/>
          <w:szCs w:val="22"/>
        </w:rPr>
        <w:t>7</w:t>
      </w:r>
      <w:r w:rsidRPr="00C533DE">
        <w:rPr>
          <w:rFonts w:ascii="Calibri" w:hAnsi="Calibri" w:cs="Calibri"/>
          <w:sz w:val="22"/>
          <w:szCs w:val="22"/>
        </w:rPr>
        <w:fldChar w:fldCharType="end"/>
      </w:r>
      <w:bookmarkEnd w:id="76"/>
      <w:r w:rsidRPr="00C533DE">
        <w:rPr>
          <w:rFonts w:ascii="Calibri" w:hAnsi="Calibri" w:cs="Calibri"/>
          <w:sz w:val="22"/>
          <w:szCs w:val="22"/>
        </w:rPr>
        <w:t xml:space="preserve">. SHARP </w:t>
      </w:r>
      <w:r w:rsidR="001D1551">
        <w:rPr>
          <w:rFonts w:ascii="Calibri" w:hAnsi="Calibri" w:cs="Calibri"/>
          <w:sz w:val="22"/>
          <w:szCs w:val="22"/>
        </w:rPr>
        <w:t>r</w:t>
      </w:r>
      <w:r w:rsidRPr="00C533DE">
        <w:rPr>
          <w:rFonts w:ascii="Calibri" w:hAnsi="Calibri" w:cs="Calibri"/>
          <w:sz w:val="22"/>
          <w:szCs w:val="22"/>
        </w:rPr>
        <w:t>esults for Cuchi (C</w:t>
      </w:r>
      <w:r w:rsidR="00C67B43">
        <w:rPr>
          <w:rFonts w:ascii="Calibri" w:hAnsi="Calibri" w:cs="Calibri"/>
          <w:sz w:val="22"/>
          <w:szCs w:val="22"/>
        </w:rPr>
        <w:t>uando</w:t>
      </w:r>
      <w:r w:rsidRPr="00C533DE">
        <w:rPr>
          <w:rFonts w:ascii="Calibri" w:hAnsi="Calibri" w:cs="Calibri"/>
          <w:sz w:val="22"/>
          <w:szCs w:val="22"/>
        </w:rPr>
        <w:t xml:space="preserve"> Cubango Province) and Tchipelongo (Cunene Province)</w:t>
      </w:r>
      <w:bookmarkEnd w:id="77"/>
      <w:r w:rsidR="00FB7F95">
        <w:rPr>
          <w:rStyle w:val="FootnoteReference"/>
          <w:rFonts w:ascii="Calibri" w:hAnsi="Calibri" w:cs="Calibri"/>
          <w:sz w:val="22"/>
          <w:szCs w:val="22"/>
        </w:rPr>
        <w:footnoteReference w:id="46"/>
      </w:r>
      <w:bookmarkEnd w:id="78"/>
    </w:p>
    <w:tbl>
      <w:tblPr>
        <w:tblStyle w:val="TableGrid"/>
        <w:tblW w:w="4994" w:type="pct"/>
        <w:tblLook w:val="04A0" w:firstRow="1" w:lastRow="0" w:firstColumn="1" w:lastColumn="0" w:noHBand="0" w:noVBand="1"/>
      </w:tblPr>
      <w:tblGrid>
        <w:gridCol w:w="5396"/>
        <w:gridCol w:w="3609"/>
      </w:tblGrid>
      <w:tr w:rsidR="00C533DE" w:rsidRPr="001D1551" w14:paraId="043F45DF" w14:textId="77777777" w:rsidTr="78C544BE">
        <w:tc>
          <w:tcPr>
            <w:tcW w:w="5000" w:type="pct"/>
            <w:gridSpan w:val="2"/>
            <w:tcMar>
              <w:top w:w="28" w:type="dxa"/>
              <w:left w:w="28" w:type="dxa"/>
              <w:bottom w:w="28" w:type="dxa"/>
              <w:right w:w="28" w:type="dxa"/>
            </w:tcMar>
          </w:tcPr>
          <w:p w14:paraId="18A5E091" w14:textId="77777777" w:rsidR="00C533DE" w:rsidRPr="00C67B43" w:rsidRDefault="001D1551" w:rsidP="006D41D0">
            <w:pPr>
              <w:rPr>
                <w:rFonts w:ascii="Calibri" w:hAnsi="Calibri" w:cs="Calibri"/>
                <w:b/>
                <w:sz w:val="20"/>
                <w:szCs w:val="20"/>
              </w:rPr>
            </w:pPr>
            <w:r w:rsidRPr="00C67B43">
              <w:rPr>
                <w:rFonts w:ascii="Calibri" w:hAnsi="Calibri" w:cs="Calibri"/>
                <w:b/>
                <w:sz w:val="20"/>
                <w:szCs w:val="20"/>
              </w:rPr>
              <w:t>SHARP baseline assessment – Summary Results, 2019</w:t>
            </w:r>
          </w:p>
          <w:p w14:paraId="115BA7C1" w14:textId="052DE7F2" w:rsidR="001D1551" w:rsidRPr="001D1551" w:rsidRDefault="001D1551" w:rsidP="006D41D0">
            <w:pPr>
              <w:rPr>
                <w:rFonts w:ascii="Calibri" w:hAnsi="Calibri" w:cs="Calibri"/>
                <w:sz w:val="14"/>
                <w:szCs w:val="14"/>
                <w:lang w:val="en-US" w:eastAsia="en-US"/>
              </w:rPr>
            </w:pPr>
            <w:r w:rsidRPr="001D1551">
              <w:rPr>
                <w:rFonts w:ascii="Calibri" w:eastAsia="+mn-ea" w:hAnsi="Calibri" w:cs="Calibri"/>
                <w:b/>
                <w:bCs/>
                <w:sz w:val="14"/>
                <w:szCs w:val="14"/>
              </w:rPr>
              <w:t xml:space="preserve">Note: </w:t>
            </w:r>
            <w:r w:rsidRPr="001D1551">
              <w:rPr>
                <w:rFonts w:ascii="Calibri" w:eastAsia="+mn-ea" w:hAnsi="Calibri" w:cs="Calibri"/>
                <w:sz w:val="14"/>
                <w:szCs w:val="14"/>
              </w:rPr>
              <w:t xml:space="preserve">It would have been necessary to complement the SHARP Assessment in at least one of the sites, preferably in both, in </w:t>
            </w:r>
            <w:r w:rsidR="00C67B43">
              <w:rPr>
                <w:rFonts w:ascii="Calibri" w:eastAsia="+mn-ea" w:hAnsi="Calibri" w:cs="Calibri"/>
                <w:sz w:val="14"/>
                <w:szCs w:val="14"/>
              </w:rPr>
              <w:t>early</w:t>
            </w:r>
            <w:r w:rsidRPr="001D1551">
              <w:rPr>
                <w:rFonts w:ascii="Calibri" w:eastAsia="+mn-ea" w:hAnsi="Calibri" w:cs="Calibri"/>
                <w:sz w:val="14"/>
                <w:szCs w:val="14"/>
              </w:rPr>
              <w:t xml:space="preserve"> 2020 in order to reach a minimum level of survey representativeness. Due to COVID-19 risk</w:t>
            </w:r>
            <w:r w:rsidR="00C67B43">
              <w:rPr>
                <w:rFonts w:ascii="Calibri" w:eastAsia="+mn-ea" w:hAnsi="Calibri" w:cs="Calibri"/>
                <w:sz w:val="14"/>
                <w:szCs w:val="14"/>
              </w:rPr>
              <w:t>s</w:t>
            </w:r>
            <w:r w:rsidRPr="001D1551">
              <w:rPr>
                <w:rFonts w:ascii="Calibri" w:eastAsia="+mn-ea" w:hAnsi="Calibri" w:cs="Calibri"/>
                <w:sz w:val="14"/>
                <w:szCs w:val="14"/>
              </w:rPr>
              <w:t xml:space="preserve">, circumstance did not </w:t>
            </w:r>
            <w:r w:rsidR="00C67B43">
              <w:rPr>
                <w:rFonts w:ascii="Calibri" w:eastAsia="+mn-ea" w:hAnsi="Calibri" w:cs="Calibri"/>
                <w:sz w:val="14"/>
                <w:szCs w:val="14"/>
              </w:rPr>
              <w:t>allow</w:t>
            </w:r>
            <w:r w:rsidRPr="001D1551">
              <w:rPr>
                <w:rFonts w:ascii="Calibri" w:eastAsia="+mn-ea" w:hAnsi="Calibri" w:cs="Calibri"/>
                <w:sz w:val="14"/>
                <w:szCs w:val="14"/>
              </w:rPr>
              <w:t xml:space="preserve"> </w:t>
            </w:r>
            <w:r w:rsidR="00C67B43">
              <w:rPr>
                <w:rFonts w:ascii="Calibri" w:eastAsia="+mn-ea" w:hAnsi="Calibri" w:cs="Calibri"/>
                <w:sz w:val="14"/>
                <w:szCs w:val="14"/>
              </w:rPr>
              <w:t xml:space="preserve">further </w:t>
            </w:r>
            <w:r w:rsidRPr="001D1551">
              <w:rPr>
                <w:rFonts w:ascii="Calibri" w:eastAsia="+mn-ea" w:hAnsi="Calibri" w:cs="Calibri"/>
                <w:sz w:val="14"/>
                <w:szCs w:val="14"/>
              </w:rPr>
              <w:t>assessment in 2020. FAO is aware of th</w:t>
            </w:r>
            <w:r w:rsidR="00C67B43">
              <w:rPr>
                <w:rFonts w:ascii="Calibri" w:eastAsia="+mn-ea" w:hAnsi="Calibri" w:cs="Calibri"/>
                <w:sz w:val="14"/>
                <w:szCs w:val="14"/>
              </w:rPr>
              <w:t>is</w:t>
            </w:r>
            <w:r w:rsidRPr="001D1551">
              <w:rPr>
                <w:rFonts w:ascii="Calibri" w:eastAsia="+mn-ea" w:hAnsi="Calibri" w:cs="Calibri"/>
                <w:sz w:val="14"/>
                <w:szCs w:val="14"/>
              </w:rPr>
              <w:t xml:space="preserve"> </w:t>
            </w:r>
            <w:r w:rsidR="00C67B43">
              <w:rPr>
                <w:rFonts w:ascii="Calibri" w:eastAsia="+mn-ea" w:hAnsi="Calibri" w:cs="Calibri"/>
                <w:sz w:val="14"/>
                <w:szCs w:val="14"/>
              </w:rPr>
              <w:t xml:space="preserve">shortfall </w:t>
            </w:r>
            <w:r w:rsidRPr="001D1551">
              <w:rPr>
                <w:rFonts w:ascii="Calibri" w:eastAsia="+mn-ea" w:hAnsi="Calibri" w:cs="Calibri"/>
                <w:sz w:val="14"/>
                <w:szCs w:val="14"/>
              </w:rPr>
              <w:t xml:space="preserve">gap </w:t>
            </w:r>
            <w:r w:rsidR="00C67B43">
              <w:rPr>
                <w:rFonts w:ascii="Calibri" w:eastAsia="+mn-ea" w:hAnsi="Calibri" w:cs="Calibri"/>
                <w:sz w:val="14"/>
                <w:szCs w:val="14"/>
              </w:rPr>
              <w:t>and 2019</w:t>
            </w:r>
            <w:r w:rsidRPr="001D1551">
              <w:rPr>
                <w:rFonts w:ascii="Calibri" w:eastAsia="+mn-ea" w:hAnsi="Calibri" w:cs="Calibri"/>
                <w:sz w:val="14"/>
                <w:szCs w:val="14"/>
              </w:rPr>
              <w:t xml:space="preserve"> results are being </w:t>
            </w:r>
            <w:r w:rsidR="00C67B43">
              <w:rPr>
                <w:rFonts w:ascii="Calibri" w:eastAsia="+mn-ea" w:hAnsi="Calibri" w:cs="Calibri"/>
                <w:sz w:val="14"/>
                <w:szCs w:val="14"/>
              </w:rPr>
              <w:t xml:space="preserve">treated with caution. </w:t>
            </w:r>
            <w:r w:rsidRPr="001D1551">
              <w:rPr>
                <w:rFonts w:ascii="Calibri" w:eastAsia="+mn-ea" w:hAnsi="Calibri" w:cs="Calibri"/>
                <w:sz w:val="14"/>
                <w:szCs w:val="14"/>
              </w:rPr>
              <w:t>The data should be treated as preliminary</w:t>
            </w:r>
            <w:r w:rsidR="00C67B43">
              <w:rPr>
                <w:rFonts w:ascii="Calibri" w:eastAsia="+mn-ea" w:hAnsi="Calibri" w:cs="Calibri"/>
                <w:sz w:val="14"/>
                <w:szCs w:val="14"/>
              </w:rPr>
              <w:t xml:space="preserve"> and will need to be reinforced during project inception</w:t>
            </w:r>
            <w:r w:rsidRPr="001D1551">
              <w:rPr>
                <w:rFonts w:ascii="Calibri" w:eastAsia="+mn-ea" w:hAnsi="Calibri" w:cs="Calibri"/>
                <w:sz w:val="14"/>
                <w:szCs w:val="14"/>
              </w:rPr>
              <w:t>.</w:t>
            </w:r>
          </w:p>
        </w:tc>
      </w:tr>
      <w:tr w:rsidR="006D41D0" w14:paraId="4DDFC009" w14:textId="77777777" w:rsidTr="78C544BE">
        <w:tc>
          <w:tcPr>
            <w:tcW w:w="5000" w:type="pct"/>
            <w:gridSpan w:val="2"/>
            <w:tcMar>
              <w:top w:w="28" w:type="dxa"/>
              <w:left w:w="28" w:type="dxa"/>
              <w:bottom w:w="28" w:type="dxa"/>
              <w:right w:w="28" w:type="dxa"/>
            </w:tcMar>
          </w:tcPr>
          <w:p w14:paraId="4CF3B743" w14:textId="3898A040" w:rsidR="00C533DE" w:rsidRPr="00C533DE" w:rsidRDefault="00C533DE" w:rsidP="00C53A49">
            <w:pPr>
              <w:pStyle w:val="ListParagraph"/>
              <w:numPr>
                <w:ilvl w:val="0"/>
                <w:numId w:val="22"/>
              </w:numPr>
              <w:spacing w:after="0"/>
              <w:ind w:left="312" w:hanging="284"/>
              <w:contextualSpacing w:val="0"/>
              <w:rPr>
                <w:rFonts w:cs="Calibri"/>
                <w:sz w:val="16"/>
                <w:szCs w:val="16"/>
              </w:rPr>
            </w:pPr>
            <w:r w:rsidRPr="00C533DE">
              <w:rPr>
                <w:rFonts w:eastAsia="Calibri" w:cs="Calibri"/>
                <w:b/>
                <w:sz w:val="16"/>
                <w:szCs w:val="16"/>
              </w:rPr>
              <w:t>No. of HH interviewed:</w:t>
            </w:r>
            <w:r w:rsidRPr="00C533DE">
              <w:rPr>
                <w:rFonts w:eastAsia="Calibri" w:cs="Calibri"/>
                <w:sz w:val="16"/>
                <w:szCs w:val="16"/>
              </w:rPr>
              <w:t xml:space="preserve"> 61 (62% women and 38% men)</w:t>
            </w:r>
          </w:p>
          <w:p w14:paraId="3CCA56CA" w14:textId="77777777" w:rsidR="00C533DE" w:rsidRPr="00F75961" w:rsidRDefault="00C533DE" w:rsidP="00C53A49">
            <w:pPr>
              <w:pStyle w:val="ListParagraph"/>
              <w:numPr>
                <w:ilvl w:val="0"/>
                <w:numId w:val="22"/>
              </w:numPr>
              <w:spacing w:after="0"/>
              <w:ind w:left="312" w:hanging="284"/>
              <w:contextualSpacing w:val="0"/>
              <w:rPr>
                <w:rFonts w:cs="Calibri"/>
                <w:sz w:val="16"/>
                <w:szCs w:val="16"/>
              </w:rPr>
            </w:pPr>
            <w:r w:rsidRPr="00C533DE">
              <w:rPr>
                <w:rFonts w:eastAsia="Calibri" w:cs="Calibri"/>
                <w:b/>
                <w:sz w:val="16"/>
                <w:szCs w:val="16"/>
              </w:rPr>
              <w:t xml:space="preserve">Main </w:t>
            </w:r>
            <w:r w:rsidRPr="00F75961">
              <w:rPr>
                <w:rFonts w:eastAsia="Calibri" w:cs="Calibri"/>
                <w:b/>
                <w:sz w:val="16"/>
                <w:szCs w:val="16"/>
              </w:rPr>
              <w:t>income sources:</w:t>
            </w:r>
            <w:r w:rsidRPr="00F75961">
              <w:rPr>
                <w:rFonts w:eastAsia="Calibri" w:cs="Calibri"/>
                <w:sz w:val="16"/>
                <w:szCs w:val="16"/>
              </w:rPr>
              <w:t xml:space="preserve"> Crop production (Cuchi) and livestock production (Cunene). Reliance on local varieties and breeds.</w:t>
            </w:r>
          </w:p>
          <w:p w14:paraId="397047DE" w14:textId="2D0B9CAA" w:rsidR="00C533DE" w:rsidRPr="00CA218C" w:rsidRDefault="00C533DE" w:rsidP="00C53A49">
            <w:pPr>
              <w:pStyle w:val="ListParagraph"/>
              <w:numPr>
                <w:ilvl w:val="0"/>
                <w:numId w:val="22"/>
              </w:numPr>
              <w:spacing w:after="0"/>
              <w:ind w:left="312" w:hanging="284"/>
              <w:contextualSpacing w:val="0"/>
              <w:rPr>
                <w:rFonts w:cs="Calibri"/>
                <w:sz w:val="16"/>
                <w:szCs w:val="16"/>
              </w:rPr>
            </w:pPr>
            <w:r w:rsidRPr="00F75961">
              <w:rPr>
                <w:rFonts w:eastAsia="Calibri" w:cs="Calibri"/>
                <w:b/>
                <w:sz w:val="16"/>
                <w:szCs w:val="16"/>
              </w:rPr>
              <w:t>Ethnic groups:</w:t>
            </w:r>
            <w:r w:rsidRPr="00F75961">
              <w:rPr>
                <w:rFonts w:eastAsia="Calibri" w:cs="Calibri"/>
                <w:sz w:val="16"/>
                <w:szCs w:val="16"/>
              </w:rPr>
              <w:t> </w:t>
            </w:r>
            <w:r w:rsidRPr="00F75961">
              <w:rPr>
                <w:rFonts w:eastAsia="+mn-ea" w:cs="Calibri"/>
                <w:sz w:val="16"/>
                <w:szCs w:val="16"/>
              </w:rPr>
              <w:t>Luvotua, Mundimba, Ngangelas, Chokwe</w:t>
            </w:r>
            <w:r w:rsidR="00CA218C">
              <w:rPr>
                <w:rFonts w:eastAsia="+mn-ea" w:cs="Calibri"/>
                <w:sz w:val="16"/>
                <w:szCs w:val="16"/>
              </w:rPr>
              <w:t xml:space="preserve"> and</w:t>
            </w:r>
            <w:r w:rsidR="00CA218C" w:rsidRPr="00F75961">
              <w:rPr>
                <w:rFonts w:eastAsia="+mn-ea" w:cs="Calibri"/>
                <w:sz w:val="16"/>
                <w:szCs w:val="16"/>
              </w:rPr>
              <w:t> </w:t>
            </w:r>
            <w:r w:rsidRPr="00F75961">
              <w:rPr>
                <w:rFonts w:eastAsia="+mn-ea" w:cs="Calibri"/>
                <w:sz w:val="16"/>
                <w:szCs w:val="16"/>
              </w:rPr>
              <w:t>Kanhama</w:t>
            </w:r>
            <w:r w:rsidR="00CA218C">
              <w:rPr>
                <w:rFonts w:eastAsia="+mn-ea" w:cs="Calibri"/>
                <w:sz w:val="16"/>
                <w:szCs w:val="16"/>
              </w:rPr>
              <w:t>.</w:t>
            </w:r>
          </w:p>
          <w:p w14:paraId="2381EA3D" w14:textId="77777777" w:rsidR="00C533DE" w:rsidRPr="00C533DE" w:rsidRDefault="00C533DE" w:rsidP="00C53A49">
            <w:pPr>
              <w:pStyle w:val="ListParagraph"/>
              <w:numPr>
                <w:ilvl w:val="0"/>
                <w:numId w:val="22"/>
              </w:numPr>
              <w:spacing w:after="0"/>
              <w:ind w:left="315" w:hanging="284"/>
              <w:contextualSpacing w:val="0"/>
              <w:rPr>
                <w:rFonts w:cs="Calibri"/>
                <w:sz w:val="16"/>
                <w:szCs w:val="16"/>
              </w:rPr>
            </w:pPr>
            <w:r w:rsidRPr="00C533DE">
              <w:rPr>
                <w:rFonts w:eastAsia="Calibri" w:cs="Calibri"/>
                <w:b/>
                <w:sz w:val="16"/>
                <w:szCs w:val="16"/>
              </w:rPr>
              <w:t>Land tenure:</w:t>
            </w:r>
            <w:r w:rsidRPr="00C533DE">
              <w:rPr>
                <w:rFonts w:eastAsia="Calibri" w:cs="Calibri"/>
                <w:sz w:val="16"/>
                <w:szCs w:val="16"/>
              </w:rPr>
              <w:t xml:space="preserve"> 77% of producers with access to long-term leased land (I.e. with secure tenure); 51% own less than 3 ha.</w:t>
            </w:r>
          </w:p>
          <w:p w14:paraId="4A03F0CA" w14:textId="77777777" w:rsidR="00C533DE" w:rsidRPr="00C533DE" w:rsidRDefault="00C533DE" w:rsidP="00C53A49">
            <w:pPr>
              <w:pStyle w:val="ListParagraph"/>
              <w:numPr>
                <w:ilvl w:val="0"/>
                <w:numId w:val="22"/>
              </w:numPr>
              <w:spacing w:after="0"/>
              <w:ind w:left="315" w:hanging="284"/>
              <w:contextualSpacing w:val="0"/>
              <w:rPr>
                <w:rFonts w:eastAsia="Calibri" w:cs="Calibri"/>
                <w:sz w:val="16"/>
                <w:szCs w:val="16"/>
              </w:rPr>
            </w:pPr>
            <w:r w:rsidRPr="00C533DE">
              <w:rPr>
                <w:rFonts w:eastAsia="Calibri" w:cs="Calibri"/>
                <w:b/>
                <w:sz w:val="16"/>
                <w:szCs w:val="16"/>
              </w:rPr>
              <w:t>Land management practices:</w:t>
            </w:r>
            <w:r w:rsidRPr="00C533DE">
              <w:rPr>
                <w:rFonts w:eastAsia="Calibri" w:cs="Calibri"/>
                <w:sz w:val="16"/>
                <w:szCs w:val="16"/>
              </w:rPr>
              <w:t xml:space="preserve">  Some of the LMP used by 27% of HH (manuring and agroforestry) All farmers acknowledged the presence of degradation processes. </w:t>
            </w:r>
          </w:p>
          <w:p w14:paraId="14394BEE" w14:textId="77777777" w:rsidR="00C533DE" w:rsidRPr="00C533DE" w:rsidRDefault="00C533DE" w:rsidP="00C53A49">
            <w:pPr>
              <w:pStyle w:val="ListParagraph"/>
              <w:numPr>
                <w:ilvl w:val="0"/>
                <w:numId w:val="22"/>
              </w:numPr>
              <w:spacing w:after="0"/>
              <w:ind w:left="315" w:hanging="284"/>
              <w:contextualSpacing w:val="0"/>
              <w:rPr>
                <w:rFonts w:cs="Calibri"/>
                <w:sz w:val="16"/>
                <w:szCs w:val="16"/>
              </w:rPr>
            </w:pPr>
            <w:r w:rsidRPr="00C533DE">
              <w:rPr>
                <w:rFonts w:cs="Calibri"/>
                <w:b/>
                <w:bCs/>
                <w:sz w:val="16"/>
                <w:szCs w:val="16"/>
              </w:rPr>
              <w:lastRenderedPageBreak/>
              <w:t>Crop production system</w:t>
            </w:r>
            <w:r w:rsidRPr="00C533DE">
              <w:rPr>
                <w:rFonts w:cs="Calibri"/>
                <w:sz w:val="16"/>
                <w:szCs w:val="16"/>
              </w:rPr>
              <w:t xml:space="preserve">: Limited diversification of crop production, including presence of perennials (only 24% plant these).  </w:t>
            </w:r>
            <w:r w:rsidRPr="00C533DE">
              <w:rPr>
                <w:rFonts w:eastAsia="Calibri" w:cs="Calibri"/>
                <w:sz w:val="16"/>
                <w:szCs w:val="16"/>
              </w:rPr>
              <w:t>Post-harvest practices to increase the market value of the produce are uncommon. 80% of farmers produce their own seeds. 65% of farmers have been seriously affected by pests but only 45% took any measure to manage these.</w:t>
            </w:r>
          </w:p>
          <w:p w14:paraId="75229511" w14:textId="77777777" w:rsidR="00C533DE" w:rsidRPr="00C533DE" w:rsidRDefault="00C533DE" w:rsidP="00C53A49">
            <w:pPr>
              <w:pStyle w:val="ListParagraph"/>
              <w:numPr>
                <w:ilvl w:val="0"/>
                <w:numId w:val="22"/>
              </w:numPr>
              <w:spacing w:after="0"/>
              <w:ind w:left="315" w:hanging="284"/>
              <w:contextualSpacing w:val="0"/>
              <w:rPr>
                <w:rFonts w:cs="Calibri"/>
                <w:sz w:val="16"/>
                <w:szCs w:val="16"/>
              </w:rPr>
            </w:pPr>
            <w:r w:rsidRPr="00C533DE">
              <w:rPr>
                <w:rFonts w:eastAsia="Calibri" w:cs="Calibri"/>
                <w:b/>
                <w:sz w:val="16"/>
                <w:szCs w:val="16"/>
              </w:rPr>
              <w:t>Type of livestock system:</w:t>
            </w:r>
            <w:r w:rsidRPr="00C533DE">
              <w:rPr>
                <w:rFonts w:eastAsia="Calibri" w:cs="Calibri"/>
                <w:sz w:val="16"/>
                <w:szCs w:val="16"/>
              </w:rPr>
              <w:t xml:space="preserve"> 56% has nomadic systems; 28% smallholder animal farm; 14% seasonal/transhumant, only 3% market-oriented livestock systems.</w:t>
            </w:r>
          </w:p>
          <w:p w14:paraId="4ABDA270" w14:textId="77777777" w:rsidR="00C533DE" w:rsidRPr="00C533DE" w:rsidRDefault="00C533DE" w:rsidP="00C53A49">
            <w:pPr>
              <w:pStyle w:val="ListParagraph"/>
              <w:numPr>
                <w:ilvl w:val="0"/>
                <w:numId w:val="22"/>
              </w:numPr>
              <w:spacing w:after="0"/>
              <w:ind w:left="315" w:hanging="284"/>
              <w:contextualSpacing w:val="0"/>
              <w:rPr>
                <w:rFonts w:cs="Calibri"/>
                <w:sz w:val="16"/>
                <w:szCs w:val="16"/>
              </w:rPr>
            </w:pPr>
            <w:r w:rsidRPr="00C533DE">
              <w:rPr>
                <w:rFonts w:eastAsia="Calibri" w:cs="Calibri"/>
                <w:b/>
                <w:sz w:val="16"/>
                <w:szCs w:val="16"/>
              </w:rPr>
              <w:t>Access to markets:</w:t>
            </w:r>
            <w:r w:rsidRPr="00C533DE">
              <w:rPr>
                <w:rFonts w:eastAsia="Calibri" w:cs="Calibri"/>
                <w:sz w:val="16"/>
                <w:szCs w:val="16"/>
              </w:rPr>
              <w:t xml:space="preserve"> 38% of farmers did not manage to sell any agricultural produce in local markets, being the lack of surplus the main barrier.  Product certification does not exist in the area.</w:t>
            </w:r>
          </w:p>
          <w:p w14:paraId="680D86DD" w14:textId="77777777" w:rsidR="00C533DE" w:rsidRPr="00C533DE" w:rsidRDefault="00C533DE" w:rsidP="00C53A49">
            <w:pPr>
              <w:pStyle w:val="ListParagraph"/>
              <w:numPr>
                <w:ilvl w:val="0"/>
                <w:numId w:val="22"/>
              </w:numPr>
              <w:spacing w:after="0"/>
              <w:ind w:left="315" w:hanging="284"/>
              <w:contextualSpacing w:val="0"/>
              <w:rPr>
                <w:rFonts w:cs="Calibri"/>
                <w:sz w:val="16"/>
                <w:szCs w:val="16"/>
              </w:rPr>
            </w:pPr>
            <w:r w:rsidRPr="00C533DE">
              <w:rPr>
                <w:rFonts w:eastAsia="+mn-ea" w:cs="Calibri"/>
                <w:b/>
                <w:sz w:val="16"/>
                <w:szCs w:val="16"/>
              </w:rPr>
              <w:t>Trees:</w:t>
            </w:r>
            <w:r w:rsidRPr="00C533DE">
              <w:rPr>
                <w:rFonts w:eastAsia="+mn-ea" w:cs="Calibri"/>
                <w:sz w:val="16"/>
                <w:szCs w:val="16"/>
              </w:rPr>
              <w:t>  97% has natural or planted trees on farmland</w:t>
            </w:r>
            <w:r w:rsidRPr="00C533DE">
              <w:rPr>
                <w:rFonts w:eastAsia="Calibri" w:cs="Calibri"/>
                <w:sz w:val="16"/>
                <w:szCs w:val="16"/>
              </w:rPr>
              <w:t xml:space="preserve">  </w:t>
            </w:r>
            <w:r w:rsidRPr="00C533DE">
              <w:rPr>
                <w:rFonts w:eastAsia="+mn-ea" w:cs="Calibri"/>
                <w:sz w:val="16"/>
                <w:szCs w:val="16"/>
              </w:rPr>
              <w:t xml:space="preserve"> and 92% has access to forests. 87% mentioned forests are degraded. </w:t>
            </w:r>
            <w:r w:rsidRPr="00C533DE">
              <w:rPr>
                <w:rFonts w:eastAsia="+mn-ea" w:cs="Calibri"/>
                <w:b/>
                <w:sz w:val="16"/>
                <w:szCs w:val="16"/>
              </w:rPr>
              <w:t>Main use of forest trees:</w:t>
            </w:r>
            <w:r w:rsidRPr="00C533DE">
              <w:rPr>
                <w:rFonts w:eastAsia="+mn-ea" w:cs="Calibri"/>
                <w:sz w:val="16"/>
                <w:szCs w:val="16"/>
              </w:rPr>
              <w:t xml:space="preserve"> Charcoal extraction (80%), timber collection (45%), honey (40%).</w:t>
            </w:r>
          </w:p>
          <w:p w14:paraId="69FBC6DE" w14:textId="77777777" w:rsidR="00C533DE" w:rsidRPr="00C533DE" w:rsidRDefault="00C533DE" w:rsidP="00C53A49">
            <w:pPr>
              <w:pStyle w:val="ListParagraph"/>
              <w:numPr>
                <w:ilvl w:val="0"/>
                <w:numId w:val="22"/>
              </w:numPr>
              <w:spacing w:after="0"/>
              <w:ind w:left="315" w:hanging="284"/>
              <w:contextualSpacing w:val="0"/>
              <w:rPr>
                <w:rFonts w:cs="Calibri"/>
                <w:sz w:val="16"/>
                <w:szCs w:val="16"/>
              </w:rPr>
            </w:pPr>
            <w:r w:rsidRPr="00C533DE">
              <w:rPr>
                <w:rFonts w:eastAsia="Calibri" w:cs="Calibri"/>
                <w:b/>
                <w:sz w:val="16"/>
                <w:szCs w:val="16"/>
              </w:rPr>
              <w:t xml:space="preserve">Energy sources: </w:t>
            </w:r>
            <w:r w:rsidRPr="00C533DE">
              <w:rPr>
                <w:rFonts w:eastAsia="Calibri" w:cs="Calibri"/>
                <w:sz w:val="16"/>
                <w:szCs w:val="16"/>
              </w:rPr>
              <w:t>Fuelwood/charcoal (92% for HH and 39% for agriculture), manure (20% for HH and 33% for agriculture), diesel (21% for both HH and agriculture).</w:t>
            </w:r>
          </w:p>
          <w:p w14:paraId="7B0912C7" w14:textId="77777777" w:rsidR="00C533DE" w:rsidRPr="00C533DE" w:rsidRDefault="00C533DE" w:rsidP="00C53A49">
            <w:pPr>
              <w:pStyle w:val="ListParagraph"/>
              <w:numPr>
                <w:ilvl w:val="0"/>
                <w:numId w:val="22"/>
              </w:numPr>
              <w:spacing w:after="0"/>
              <w:ind w:left="312" w:hanging="284"/>
              <w:contextualSpacing w:val="0"/>
              <w:rPr>
                <w:rFonts w:eastAsia="+mn-ea" w:cs="Calibri"/>
                <w:b/>
                <w:sz w:val="16"/>
                <w:szCs w:val="16"/>
              </w:rPr>
            </w:pPr>
            <w:r w:rsidRPr="00C533DE">
              <w:rPr>
                <w:rFonts w:eastAsia="+mn-ea" w:cs="Calibri"/>
                <w:b/>
                <w:sz w:val="16"/>
                <w:szCs w:val="16"/>
              </w:rPr>
              <w:t>Shocks: Droughts (93%), animal diseases (91%). </w:t>
            </w:r>
          </w:p>
          <w:p w14:paraId="26225E38" w14:textId="77777777" w:rsidR="00C533DE" w:rsidRPr="00C533DE" w:rsidRDefault="00C533DE" w:rsidP="00C53A49">
            <w:pPr>
              <w:pStyle w:val="ListParagraph"/>
              <w:numPr>
                <w:ilvl w:val="1"/>
                <w:numId w:val="22"/>
              </w:numPr>
              <w:spacing w:after="0"/>
              <w:ind w:left="603" w:hanging="142"/>
              <w:contextualSpacing w:val="0"/>
              <w:rPr>
                <w:rFonts w:eastAsia="+mn-ea" w:cs="Calibri"/>
                <w:b/>
                <w:sz w:val="16"/>
                <w:szCs w:val="16"/>
              </w:rPr>
            </w:pPr>
            <w:r w:rsidRPr="00C533DE">
              <w:rPr>
                <w:rFonts w:eastAsia="+mn-ea" w:cs="Calibri"/>
                <w:b/>
                <w:sz w:val="16"/>
                <w:szCs w:val="16"/>
              </w:rPr>
              <w:t xml:space="preserve">Main impacts: </w:t>
            </w:r>
            <w:r w:rsidRPr="00C533DE">
              <w:rPr>
                <w:rFonts w:eastAsia="+mn-ea" w:cs="Calibri"/>
                <w:sz w:val="16"/>
                <w:szCs w:val="16"/>
              </w:rPr>
              <w:t>food shortage and declined water availability</w:t>
            </w:r>
          </w:p>
          <w:p w14:paraId="0F8562FD" w14:textId="77777777" w:rsidR="00C533DE" w:rsidRPr="00C533DE" w:rsidRDefault="00C533DE" w:rsidP="00C53A49">
            <w:pPr>
              <w:pStyle w:val="ListParagraph"/>
              <w:numPr>
                <w:ilvl w:val="1"/>
                <w:numId w:val="22"/>
              </w:numPr>
              <w:spacing w:after="0"/>
              <w:ind w:left="603" w:hanging="142"/>
              <w:contextualSpacing w:val="0"/>
              <w:rPr>
                <w:rFonts w:eastAsia="+mn-ea" w:cs="Calibri"/>
                <w:b/>
                <w:sz w:val="16"/>
                <w:szCs w:val="16"/>
              </w:rPr>
            </w:pPr>
            <w:r w:rsidRPr="00C533DE">
              <w:rPr>
                <w:rFonts w:eastAsia="+mn-ea" w:cs="Calibri"/>
                <w:b/>
                <w:sz w:val="16"/>
                <w:szCs w:val="16"/>
              </w:rPr>
              <w:t>Coping strategies:</w:t>
            </w:r>
            <w:r w:rsidRPr="00C533DE">
              <w:rPr>
                <w:rFonts w:eastAsia="+mn-ea" w:cs="Calibri"/>
                <w:sz w:val="16"/>
                <w:szCs w:val="16"/>
              </w:rPr>
              <w:t xml:space="preserve"> change in production practices (8%), no action taken by 89% of HH</w:t>
            </w:r>
          </w:p>
          <w:p w14:paraId="0B3332D2" w14:textId="77777777" w:rsidR="00C533DE" w:rsidRPr="00C533DE" w:rsidRDefault="00C533DE" w:rsidP="00C53A49">
            <w:pPr>
              <w:pStyle w:val="ListParagraph"/>
              <w:numPr>
                <w:ilvl w:val="0"/>
                <w:numId w:val="22"/>
              </w:numPr>
              <w:spacing w:after="0"/>
              <w:ind w:left="312" w:hanging="284"/>
              <w:contextualSpacing w:val="0"/>
              <w:rPr>
                <w:rFonts w:eastAsia="+mn-ea" w:cs="Calibri"/>
                <w:b/>
                <w:sz w:val="16"/>
                <w:szCs w:val="16"/>
              </w:rPr>
            </w:pPr>
            <w:r w:rsidRPr="00C533DE">
              <w:rPr>
                <w:rFonts w:eastAsia="+mn-ea" w:cs="Calibri"/>
                <w:b/>
                <w:sz w:val="16"/>
                <w:szCs w:val="16"/>
              </w:rPr>
              <w:t>Nutrition: low HDDS in 41% of HH (1 to 3 food items consumed in the last 24 hrs).</w:t>
            </w:r>
          </w:p>
          <w:p w14:paraId="46314A87" w14:textId="77777777" w:rsidR="00C533DE" w:rsidRPr="00C533DE" w:rsidRDefault="00C533DE" w:rsidP="00C53A49">
            <w:pPr>
              <w:pStyle w:val="ListParagraph"/>
              <w:numPr>
                <w:ilvl w:val="1"/>
                <w:numId w:val="22"/>
              </w:numPr>
              <w:spacing w:after="0"/>
              <w:ind w:left="603" w:hanging="142"/>
              <w:contextualSpacing w:val="0"/>
              <w:rPr>
                <w:rFonts w:eastAsia="+mn-ea" w:cs="Calibri"/>
                <w:b/>
                <w:sz w:val="16"/>
                <w:szCs w:val="16"/>
              </w:rPr>
            </w:pPr>
            <w:r w:rsidRPr="00C533DE">
              <w:rPr>
                <w:rFonts w:eastAsia="+mn-ea" w:cs="Calibri"/>
                <w:b/>
                <w:sz w:val="16"/>
                <w:szCs w:val="16"/>
              </w:rPr>
              <w:t xml:space="preserve">Cereal banks (community): </w:t>
            </w:r>
            <w:r w:rsidRPr="00C533DE">
              <w:rPr>
                <w:rFonts w:eastAsia="+mn-ea" w:cs="Calibri"/>
                <w:sz w:val="16"/>
                <w:szCs w:val="16"/>
              </w:rPr>
              <w:t>23% of HH with access </w:t>
            </w:r>
          </w:p>
          <w:p w14:paraId="6C04E545" w14:textId="77777777" w:rsidR="00C533DE" w:rsidRPr="00C533DE" w:rsidRDefault="00C533DE" w:rsidP="00C53A49">
            <w:pPr>
              <w:pStyle w:val="ListParagraph"/>
              <w:numPr>
                <w:ilvl w:val="1"/>
                <w:numId w:val="22"/>
              </w:numPr>
              <w:spacing w:after="0"/>
              <w:ind w:left="603" w:hanging="142"/>
              <w:contextualSpacing w:val="0"/>
              <w:rPr>
                <w:rFonts w:eastAsia="+mn-ea" w:cs="Calibri"/>
                <w:b/>
                <w:sz w:val="16"/>
                <w:szCs w:val="16"/>
              </w:rPr>
            </w:pPr>
            <w:r w:rsidRPr="00C533DE">
              <w:rPr>
                <w:rFonts w:eastAsia="+mn-ea" w:cs="Calibri"/>
                <w:b/>
                <w:sz w:val="16"/>
                <w:szCs w:val="16"/>
              </w:rPr>
              <w:t xml:space="preserve">Granaries (HH):  </w:t>
            </w:r>
            <w:r w:rsidRPr="00C533DE">
              <w:rPr>
                <w:rFonts w:eastAsia="+mn-ea" w:cs="Calibri"/>
                <w:sz w:val="16"/>
                <w:szCs w:val="16"/>
              </w:rPr>
              <w:t xml:space="preserve">48% of HH with granaries at home, only 33% of farmers managed to stock food, for at least a part of year (e.g. right after the harvesting season). </w:t>
            </w:r>
          </w:p>
          <w:p w14:paraId="13A57755" w14:textId="722CACF3" w:rsidR="006D41D0" w:rsidRPr="00C67B43" w:rsidRDefault="00C533DE" w:rsidP="00C53A49">
            <w:pPr>
              <w:pStyle w:val="ListParagraph"/>
              <w:numPr>
                <w:ilvl w:val="0"/>
                <w:numId w:val="22"/>
              </w:numPr>
              <w:spacing w:after="0"/>
              <w:ind w:left="315" w:hanging="284"/>
              <w:contextualSpacing w:val="0"/>
              <w:rPr>
                <w:rFonts w:eastAsia="+mn-ea" w:cs="Calibri"/>
                <w:sz w:val="16"/>
                <w:szCs w:val="16"/>
              </w:rPr>
            </w:pPr>
            <w:r w:rsidRPr="00C533DE">
              <w:rPr>
                <w:rFonts w:eastAsia="+mn-ea" w:cs="Calibri"/>
                <w:b/>
                <w:sz w:val="16"/>
                <w:szCs w:val="16"/>
              </w:rPr>
              <w:t xml:space="preserve">Education: </w:t>
            </w:r>
            <w:r w:rsidRPr="00C533DE">
              <w:rPr>
                <w:rFonts w:eastAsia="+mn-ea" w:cs="Calibri"/>
                <w:sz w:val="16"/>
                <w:szCs w:val="16"/>
              </w:rPr>
              <w:t>Almost three quarter of people reported that they cannot afford to pay or send kids to school regularly.</w:t>
            </w:r>
          </w:p>
        </w:tc>
      </w:tr>
      <w:tr w:rsidR="006D41D0" w:rsidRPr="00856849" w14:paraId="1FC37026" w14:textId="77777777" w:rsidTr="78C544BE">
        <w:tc>
          <w:tcPr>
            <w:tcW w:w="5000" w:type="pct"/>
            <w:gridSpan w:val="2"/>
            <w:tcMar>
              <w:top w:w="28" w:type="dxa"/>
              <w:left w:w="28" w:type="dxa"/>
              <w:bottom w:w="28" w:type="dxa"/>
              <w:right w:w="28" w:type="dxa"/>
            </w:tcMar>
          </w:tcPr>
          <w:p w14:paraId="5A527698" w14:textId="54CD6D0E" w:rsidR="00856849" w:rsidRDefault="00856849" w:rsidP="006D41D0">
            <w:pPr>
              <w:rPr>
                <w:rFonts w:ascii="Calibri" w:eastAsia="Calibri" w:hAnsi="Calibri" w:cs="Calibri"/>
                <w:b/>
                <w:i/>
                <w:sz w:val="18"/>
                <w:szCs w:val="18"/>
              </w:rPr>
            </w:pPr>
            <w:r w:rsidRPr="00856849">
              <w:rPr>
                <w:rFonts w:ascii="Calibri" w:eastAsia="Calibri" w:hAnsi="Calibri" w:cs="Calibri"/>
                <w:b/>
                <w:i/>
                <w:sz w:val="18"/>
                <w:szCs w:val="18"/>
              </w:rPr>
              <w:lastRenderedPageBreak/>
              <w:t xml:space="preserve">Spider </w:t>
            </w:r>
            <w:r>
              <w:rPr>
                <w:rFonts w:ascii="Calibri" w:eastAsia="Calibri" w:hAnsi="Calibri" w:cs="Calibri"/>
                <w:b/>
                <w:i/>
                <w:sz w:val="18"/>
                <w:szCs w:val="18"/>
              </w:rPr>
              <w:t>g</w:t>
            </w:r>
            <w:r w:rsidRPr="00856849">
              <w:rPr>
                <w:rFonts w:ascii="Calibri" w:eastAsia="Calibri" w:hAnsi="Calibri" w:cs="Calibri"/>
                <w:b/>
                <w:i/>
                <w:sz w:val="18"/>
                <w:szCs w:val="18"/>
              </w:rPr>
              <w:t xml:space="preserve">raph </w:t>
            </w:r>
            <w:r>
              <w:rPr>
                <w:rFonts w:ascii="Calibri" w:eastAsia="Calibri" w:hAnsi="Calibri" w:cs="Calibri"/>
                <w:b/>
                <w:i/>
                <w:sz w:val="18"/>
                <w:szCs w:val="18"/>
              </w:rPr>
              <w:t xml:space="preserve">of household resilience: </w:t>
            </w:r>
            <w:r w:rsidRPr="00856849">
              <w:rPr>
                <w:rFonts w:ascii="Calibri" w:eastAsia="Calibri" w:hAnsi="Calibri" w:cs="Calibri"/>
                <w:b/>
                <w:i/>
                <w:sz w:val="18"/>
                <w:szCs w:val="18"/>
              </w:rPr>
              <w:t xml:space="preserve">Aspects displaying LOW RESILIENCE </w:t>
            </w:r>
            <w:r>
              <w:rPr>
                <w:rFonts w:ascii="Calibri" w:eastAsia="Calibri" w:hAnsi="Calibri" w:cs="Calibri"/>
                <w:b/>
                <w:i/>
                <w:sz w:val="18"/>
                <w:szCs w:val="18"/>
              </w:rPr>
              <w:t xml:space="preserve">are </w:t>
            </w:r>
            <w:r w:rsidRPr="00856849">
              <w:rPr>
                <w:rFonts w:ascii="Calibri" w:eastAsia="Calibri" w:hAnsi="Calibri" w:cs="Calibri"/>
                <w:b/>
                <w:i/>
                <w:sz w:val="18"/>
                <w:szCs w:val="18"/>
              </w:rPr>
              <w:t xml:space="preserve">highlighted </w:t>
            </w:r>
          </w:p>
          <w:p w14:paraId="1BD6F00A" w14:textId="22BA260D" w:rsidR="006D41D0" w:rsidRPr="00856849" w:rsidRDefault="00856849" w:rsidP="006D41D0">
            <w:pPr>
              <w:rPr>
                <w:rFonts w:ascii="Calibri" w:hAnsi="Calibri" w:cs="Calibri"/>
                <w:sz w:val="18"/>
                <w:szCs w:val="18"/>
                <w:lang w:val="en-US" w:eastAsia="en-US"/>
              </w:rPr>
            </w:pPr>
            <w:r w:rsidRPr="00856849">
              <w:rPr>
                <w:rFonts w:ascii="Calibri" w:hAnsi="Calibri" w:cs="Calibri"/>
                <w:bCs/>
                <w:iCs/>
                <w:sz w:val="18"/>
                <w:szCs w:val="18"/>
              </w:rPr>
              <w:t>(</w:t>
            </w:r>
            <w:r w:rsidRPr="00856849">
              <w:rPr>
                <w:rFonts w:ascii="Calibri" w:hAnsi="Calibri" w:cs="Calibri"/>
                <w:bCs/>
                <w:sz w:val="18"/>
                <w:szCs w:val="18"/>
              </w:rPr>
              <w:t xml:space="preserve">Refer to </w:t>
            </w:r>
            <w:hyperlink w:anchor="_Annex_X-2.4:_Results_1" w:history="1">
              <w:r w:rsidRPr="00856849">
                <w:rPr>
                  <w:rStyle w:val="Hyperlink"/>
                  <w:rFonts w:ascii="Calibri" w:hAnsi="Calibri" w:cs="Calibri"/>
                  <w:bCs/>
                  <w:sz w:val="18"/>
                  <w:szCs w:val="18"/>
                </w:rPr>
                <w:t>Annex X-2.4</w:t>
              </w:r>
            </w:hyperlink>
            <w:r w:rsidRPr="00856849">
              <w:rPr>
                <w:rFonts w:ascii="Calibri" w:hAnsi="Calibri" w:cs="Calibri"/>
                <w:bCs/>
                <w:sz w:val="18"/>
                <w:szCs w:val="18"/>
              </w:rPr>
              <w:t xml:space="preserve"> for full report)</w:t>
            </w:r>
          </w:p>
        </w:tc>
      </w:tr>
      <w:tr w:rsidR="006D41D0" w14:paraId="782902D5" w14:textId="77777777" w:rsidTr="78C544BE">
        <w:tc>
          <w:tcPr>
            <w:tcW w:w="2996" w:type="pct"/>
            <w:tcMar>
              <w:top w:w="28" w:type="dxa"/>
              <w:left w:w="28" w:type="dxa"/>
              <w:bottom w:w="28" w:type="dxa"/>
              <w:right w:w="28" w:type="dxa"/>
            </w:tcMar>
          </w:tcPr>
          <w:p w14:paraId="2E66228F" w14:textId="50F34754" w:rsidR="006D41D0" w:rsidRDefault="74C4E3DB" w:rsidP="006D41D0">
            <w:pPr>
              <w:rPr>
                <w:lang w:val="en-US" w:eastAsia="en-US"/>
              </w:rPr>
            </w:pPr>
            <w:r>
              <w:rPr>
                <w:noProof/>
              </w:rPr>
              <w:drawing>
                <wp:inline distT="0" distB="0" distL="0" distR="0" wp14:anchorId="200450A3" wp14:editId="222C012C">
                  <wp:extent cx="3200400" cy="2258097"/>
                  <wp:effectExtent l="0" t="0" r="0" b="889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pic:nvPicPr>
                        <pic:blipFill>
                          <a:blip r:embed="rId49">
                            <a:extLst>
                              <a:ext uri="{28A0092B-C50C-407E-A947-70E740481C1C}">
                                <a14:useLocalDpi xmlns:a14="http://schemas.microsoft.com/office/drawing/2010/main"/>
                              </a:ext>
                            </a:extLst>
                          </a:blip>
                          <a:srcRect b="-1968"/>
                          <a:stretch>
                            <a:fillRect/>
                          </a:stretch>
                        </pic:blipFill>
                        <pic:spPr>
                          <a:xfrm>
                            <a:off x="0" y="0"/>
                            <a:ext cx="3200400" cy="2258097"/>
                          </a:xfrm>
                          <a:prstGeom prst="rect">
                            <a:avLst/>
                          </a:prstGeom>
                        </pic:spPr>
                      </pic:pic>
                    </a:graphicData>
                  </a:graphic>
                </wp:inline>
              </w:drawing>
            </w:r>
          </w:p>
        </w:tc>
        <w:tc>
          <w:tcPr>
            <w:tcW w:w="2004" w:type="pct"/>
            <w:tcMar>
              <w:top w:w="28" w:type="dxa"/>
              <w:left w:w="28" w:type="dxa"/>
              <w:bottom w:w="28" w:type="dxa"/>
              <w:right w:w="28" w:type="dxa"/>
            </w:tcMar>
          </w:tcPr>
          <w:p w14:paraId="390E7E61" w14:textId="5341CE25" w:rsidR="00856849" w:rsidRPr="00856849" w:rsidRDefault="00856849" w:rsidP="00856849">
            <w:pPr>
              <w:rPr>
                <w:rFonts w:ascii="Calibri" w:hAnsi="Calibri" w:cs="Calibri"/>
                <w:b/>
                <w:bCs/>
                <w:sz w:val="16"/>
                <w:szCs w:val="16"/>
              </w:rPr>
            </w:pPr>
            <w:r w:rsidRPr="00445322">
              <w:rPr>
                <w:rFonts w:ascii="Calibri" w:hAnsi="Calibri" w:cs="Calibri"/>
                <w:b/>
                <w:bCs/>
                <w:sz w:val="16"/>
                <w:szCs w:val="16"/>
              </w:rPr>
              <w:t>Resilience indicators:</w:t>
            </w:r>
          </w:p>
          <w:p w14:paraId="1232E666" w14:textId="15DC21EF" w:rsidR="006D41D0" w:rsidRPr="006D41D0" w:rsidRDefault="006D41D0" w:rsidP="001667C6">
            <w:pPr>
              <w:pStyle w:val="ListParagraph"/>
              <w:numPr>
                <w:ilvl w:val="0"/>
                <w:numId w:val="38"/>
              </w:numPr>
              <w:autoSpaceDE/>
              <w:autoSpaceDN/>
              <w:adjustRightInd/>
              <w:spacing w:after="0"/>
              <w:ind w:left="318" w:hanging="284"/>
              <w:contextualSpacing w:val="0"/>
              <w:jc w:val="left"/>
              <w:rPr>
                <w:rFonts w:cs="Calibri"/>
                <w:sz w:val="16"/>
                <w:szCs w:val="16"/>
              </w:rPr>
            </w:pPr>
            <w:r w:rsidRPr="006D41D0">
              <w:rPr>
                <w:rFonts w:asciiTheme="minorHAnsi" w:eastAsia="Calibri" w:hAnsiTheme="minorHAnsi" w:cstheme="minorHAnsi"/>
                <w:kern w:val="24"/>
                <w:sz w:val="16"/>
                <w:szCs w:val="16"/>
              </w:rPr>
              <w:t>Inad</w:t>
            </w:r>
            <w:r w:rsidRPr="006D41D0">
              <w:rPr>
                <w:rFonts w:eastAsia="Calibri" w:cs="Calibri"/>
                <w:kern w:val="24"/>
                <w:sz w:val="16"/>
                <w:szCs w:val="16"/>
              </w:rPr>
              <w:t>equate access to information on weather and adaptation practices </w:t>
            </w:r>
          </w:p>
          <w:p w14:paraId="45BD861C" w14:textId="77777777" w:rsidR="006D41D0" w:rsidRPr="006D41D0" w:rsidRDefault="006D41D0" w:rsidP="001667C6">
            <w:pPr>
              <w:pStyle w:val="ListParagraph"/>
              <w:numPr>
                <w:ilvl w:val="0"/>
                <w:numId w:val="38"/>
              </w:numPr>
              <w:autoSpaceDE/>
              <w:autoSpaceDN/>
              <w:adjustRightInd/>
              <w:spacing w:after="0"/>
              <w:ind w:left="318" w:hanging="284"/>
              <w:contextualSpacing w:val="0"/>
              <w:jc w:val="left"/>
              <w:rPr>
                <w:rFonts w:cs="Calibri"/>
                <w:sz w:val="16"/>
                <w:szCs w:val="16"/>
              </w:rPr>
            </w:pPr>
            <w:r w:rsidRPr="006D41D0">
              <w:rPr>
                <w:rFonts w:eastAsia="Calibri" w:cs="Calibri"/>
                <w:kern w:val="24"/>
                <w:sz w:val="16"/>
                <w:szCs w:val="16"/>
              </w:rPr>
              <w:t>Lack of awareness of government policies and programs on climate change and sustainable agriculture</w:t>
            </w:r>
          </w:p>
          <w:p w14:paraId="12CEBCB6" w14:textId="77777777" w:rsidR="006D41D0" w:rsidRPr="006D41D0" w:rsidRDefault="006D41D0" w:rsidP="001667C6">
            <w:pPr>
              <w:pStyle w:val="ListParagraph"/>
              <w:numPr>
                <w:ilvl w:val="0"/>
                <w:numId w:val="38"/>
              </w:numPr>
              <w:autoSpaceDE/>
              <w:autoSpaceDN/>
              <w:adjustRightInd/>
              <w:spacing w:after="0"/>
              <w:ind w:left="318" w:hanging="284"/>
              <w:contextualSpacing w:val="0"/>
              <w:jc w:val="left"/>
              <w:rPr>
                <w:rFonts w:cs="Calibri"/>
                <w:sz w:val="16"/>
                <w:szCs w:val="16"/>
              </w:rPr>
            </w:pPr>
            <w:r w:rsidRPr="006D41D0">
              <w:rPr>
                <w:rFonts w:eastAsia="Calibri" w:cs="Calibri"/>
                <w:kern w:val="24"/>
                <w:sz w:val="16"/>
                <w:szCs w:val="16"/>
              </w:rPr>
              <w:t xml:space="preserve">Limited participation in CBOs </w:t>
            </w:r>
          </w:p>
          <w:p w14:paraId="202A521C" w14:textId="77777777" w:rsidR="006D41D0" w:rsidRPr="006D41D0" w:rsidRDefault="006D41D0" w:rsidP="001667C6">
            <w:pPr>
              <w:pStyle w:val="ListParagraph"/>
              <w:numPr>
                <w:ilvl w:val="0"/>
                <w:numId w:val="38"/>
              </w:numPr>
              <w:autoSpaceDE/>
              <w:autoSpaceDN/>
              <w:adjustRightInd/>
              <w:spacing w:after="0"/>
              <w:ind w:left="318" w:hanging="284"/>
              <w:contextualSpacing w:val="0"/>
              <w:jc w:val="left"/>
              <w:rPr>
                <w:rFonts w:cs="Calibri"/>
                <w:sz w:val="16"/>
                <w:szCs w:val="16"/>
              </w:rPr>
            </w:pPr>
            <w:r w:rsidRPr="006D41D0">
              <w:rPr>
                <w:rFonts w:cs="Calibri"/>
                <w:sz w:val="16"/>
                <w:szCs w:val="16"/>
              </w:rPr>
              <w:t>Non-diversified diet</w:t>
            </w:r>
          </w:p>
          <w:p w14:paraId="129CB44C" w14:textId="77777777" w:rsidR="006D41D0" w:rsidRPr="006D41D0" w:rsidRDefault="006D41D0" w:rsidP="001667C6">
            <w:pPr>
              <w:pStyle w:val="ListParagraph"/>
              <w:numPr>
                <w:ilvl w:val="0"/>
                <w:numId w:val="38"/>
              </w:numPr>
              <w:autoSpaceDE/>
              <w:autoSpaceDN/>
              <w:adjustRightInd/>
              <w:spacing w:after="0"/>
              <w:ind w:left="318" w:hanging="284"/>
              <w:contextualSpacing w:val="0"/>
              <w:jc w:val="left"/>
              <w:rPr>
                <w:rFonts w:cs="Calibri"/>
                <w:sz w:val="16"/>
                <w:szCs w:val="16"/>
              </w:rPr>
            </w:pPr>
            <w:r w:rsidRPr="006D41D0">
              <w:rPr>
                <w:rFonts w:eastAsia="Calibri" w:cs="Calibri"/>
                <w:kern w:val="24"/>
                <w:sz w:val="16"/>
                <w:szCs w:val="16"/>
              </w:rPr>
              <w:t>High exposure to shocks and limited capacity to respond and adapt </w:t>
            </w:r>
          </w:p>
          <w:p w14:paraId="20BD7CF6" w14:textId="77777777" w:rsidR="006D41D0" w:rsidRPr="006D41D0" w:rsidRDefault="006D41D0" w:rsidP="001667C6">
            <w:pPr>
              <w:pStyle w:val="ListParagraph"/>
              <w:numPr>
                <w:ilvl w:val="0"/>
                <w:numId w:val="38"/>
              </w:numPr>
              <w:autoSpaceDE/>
              <w:autoSpaceDN/>
              <w:adjustRightInd/>
              <w:spacing w:after="0"/>
              <w:ind w:left="318" w:hanging="284"/>
              <w:contextualSpacing w:val="0"/>
              <w:jc w:val="left"/>
              <w:rPr>
                <w:rFonts w:eastAsia="Calibri" w:cs="Calibri"/>
                <w:kern w:val="24"/>
                <w:sz w:val="16"/>
                <w:szCs w:val="16"/>
              </w:rPr>
            </w:pPr>
            <w:r w:rsidRPr="006D41D0">
              <w:rPr>
                <w:rFonts w:eastAsia="Calibri" w:cs="Calibri"/>
                <w:kern w:val="24"/>
                <w:sz w:val="16"/>
                <w:szCs w:val="16"/>
              </w:rPr>
              <w:t>Limited implementation on water conservation practices</w:t>
            </w:r>
          </w:p>
          <w:p w14:paraId="206FA96F" w14:textId="77777777" w:rsidR="006D41D0" w:rsidRPr="006D41D0" w:rsidRDefault="006D41D0" w:rsidP="001667C6">
            <w:pPr>
              <w:pStyle w:val="ListParagraph"/>
              <w:numPr>
                <w:ilvl w:val="0"/>
                <w:numId w:val="38"/>
              </w:numPr>
              <w:autoSpaceDE/>
              <w:autoSpaceDN/>
              <w:adjustRightInd/>
              <w:spacing w:after="0"/>
              <w:ind w:left="318" w:hanging="284"/>
              <w:contextualSpacing w:val="0"/>
              <w:jc w:val="left"/>
              <w:rPr>
                <w:rFonts w:cs="Calibri"/>
                <w:sz w:val="16"/>
                <w:szCs w:val="16"/>
              </w:rPr>
            </w:pPr>
            <w:r w:rsidRPr="006D41D0">
              <w:rPr>
                <w:rFonts w:eastAsia="Calibri" w:cs="Calibri"/>
                <w:kern w:val="24"/>
                <w:sz w:val="16"/>
                <w:szCs w:val="16"/>
              </w:rPr>
              <w:t>Need for diversification of energy sources, high reliance on fuel wood</w:t>
            </w:r>
          </w:p>
          <w:p w14:paraId="76C3C669" w14:textId="77777777" w:rsidR="006D41D0" w:rsidRPr="006D41D0" w:rsidRDefault="006D41D0" w:rsidP="001667C6">
            <w:pPr>
              <w:pStyle w:val="ListParagraph"/>
              <w:numPr>
                <w:ilvl w:val="0"/>
                <w:numId w:val="38"/>
              </w:numPr>
              <w:autoSpaceDE/>
              <w:autoSpaceDN/>
              <w:adjustRightInd/>
              <w:spacing w:after="0"/>
              <w:ind w:left="318" w:hanging="284"/>
              <w:contextualSpacing w:val="0"/>
              <w:jc w:val="left"/>
              <w:rPr>
                <w:rFonts w:cs="Calibri"/>
                <w:sz w:val="16"/>
                <w:szCs w:val="16"/>
              </w:rPr>
            </w:pPr>
            <w:r w:rsidRPr="006D41D0">
              <w:rPr>
                <w:rFonts w:eastAsia="Calibri" w:cs="Calibri"/>
                <w:kern w:val="24"/>
                <w:sz w:val="16"/>
                <w:szCs w:val="16"/>
              </w:rPr>
              <w:t>Limited adoption of pest management practices </w:t>
            </w:r>
          </w:p>
          <w:p w14:paraId="4F9FA819" w14:textId="77777777" w:rsidR="006D41D0" w:rsidRPr="006D41D0" w:rsidRDefault="006D41D0" w:rsidP="001667C6">
            <w:pPr>
              <w:pStyle w:val="ListParagraph"/>
              <w:numPr>
                <w:ilvl w:val="0"/>
                <w:numId w:val="38"/>
              </w:numPr>
              <w:autoSpaceDE/>
              <w:autoSpaceDN/>
              <w:adjustRightInd/>
              <w:spacing w:after="0"/>
              <w:ind w:left="318" w:hanging="284"/>
              <w:contextualSpacing w:val="0"/>
              <w:jc w:val="left"/>
              <w:rPr>
                <w:rFonts w:cs="Calibri"/>
                <w:sz w:val="16"/>
                <w:szCs w:val="16"/>
              </w:rPr>
            </w:pPr>
            <w:r w:rsidRPr="006D41D0">
              <w:rPr>
                <w:rFonts w:eastAsia="Calibri" w:cs="Calibri"/>
                <w:kern w:val="24"/>
                <w:sz w:val="16"/>
                <w:szCs w:val="16"/>
              </w:rPr>
              <w:t xml:space="preserve">Income sources </w:t>
            </w:r>
          </w:p>
          <w:p w14:paraId="6A22DA00" w14:textId="77777777" w:rsidR="006D41D0" w:rsidRPr="006D41D0" w:rsidRDefault="006D41D0" w:rsidP="001667C6">
            <w:pPr>
              <w:pStyle w:val="ListParagraph"/>
              <w:numPr>
                <w:ilvl w:val="0"/>
                <w:numId w:val="38"/>
              </w:numPr>
              <w:autoSpaceDE/>
              <w:autoSpaceDN/>
              <w:adjustRightInd/>
              <w:spacing w:after="0"/>
              <w:ind w:left="318" w:hanging="284"/>
              <w:contextualSpacing w:val="0"/>
              <w:jc w:val="left"/>
              <w:rPr>
                <w:rFonts w:cs="Calibri"/>
                <w:sz w:val="16"/>
                <w:szCs w:val="16"/>
              </w:rPr>
            </w:pPr>
            <w:r w:rsidRPr="006D41D0">
              <w:rPr>
                <w:rFonts w:eastAsia="Calibri" w:cs="Calibri"/>
                <w:kern w:val="24"/>
                <w:sz w:val="16"/>
                <w:szCs w:val="16"/>
              </w:rPr>
              <w:t>Need for crop diversification </w:t>
            </w:r>
          </w:p>
          <w:p w14:paraId="27B22458" w14:textId="29B399DF" w:rsidR="006D41D0" w:rsidRPr="006D41D0" w:rsidRDefault="006D41D0" w:rsidP="001667C6">
            <w:pPr>
              <w:pStyle w:val="ListParagraph"/>
              <w:numPr>
                <w:ilvl w:val="0"/>
                <w:numId w:val="38"/>
              </w:numPr>
              <w:autoSpaceDE/>
              <w:autoSpaceDN/>
              <w:adjustRightInd/>
              <w:spacing w:after="0"/>
              <w:ind w:left="318" w:hanging="284"/>
              <w:contextualSpacing w:val="0"/>
              <w:jc w:val="left"/>
              <w:rPr>
                <w:rFonts w:cs="Calibri"/>
                <w:sz w:val="16"/>
                <w:szCs w:val="16"/>
              </w:rPr>
            </w:pPr>
            <w:r w:rsidRPr="006D41D0">
              <w:rPr>
                <w:rFonts w:eastAsia="Calibri" w:cs="Calibri"/>
                <w:kern w:val="24"/>
                <w:sz w:val="16"/>
                <w:szCs w:val="16"/>
              </w:rPr>
              <w:t>Household (low human capital levels)</w:t>
            </w:r>
          </w:p>
        </w:tc>
      </w:tr>
    </w:tbl>
    <w:p w14:paraId="70C47D90" w14:textId="77777777" w:rsidR="006D41D0" w:rsidRPr="006D41D0" w:rsidRDefault="006D41D0" w:rsidP="006D41D0">
      <w:pPr>
        <w:rPr>
          <w:lang w:val="en-US" w:eastAsia="en-US"/>
        </w:rPr>
      </w:pPr>
    </w:p>
    <w:p w14:paraId="3DC434CF" w14:textId="221B4259" w:rsidR="00137CE8" w:rsidRDefault="00137CE8" w:rsidP="001667C6">
      <w:pPr>
        <w:pStyle w:val="ParagraphOED"/>
        <w:numPr>
          <w:ilvl w:val="0"/>
          <w:numId w:val="102"/>
        </w:numPr>
        <w:spacing w:after="160"/>
      </w:pPr>
      <w:bookmarkStart w:id="79" w:name="_Toc45712166"/>
      <w:r w:rsidRPr="1E65A5F7">
        <w:rPr>
          <w:b/>
          <w:bCs/>
        </w:rPr>
        <w:t>Localized challenges</w:t>
      </w:r>
      <w:r w:rsidR="0069553A" w:rsidRPr="1E65A5F7">
        <w:rPr>
          <w:b/>
          <w:bCs/>
        </w:rPr>
        <w:t xml:space="preserve"> </w:t>
      </w:r>
      <w:r w:rsidR="0069553A">
        <w:t>emerged from analysis of field</w:t>
      </w:r>
      <w:r>
        <w:t xml:space="preserve"> data generated </w:t>
      </w:r>
      <w:r w:rsidR="0069553A">
        <w:t>from</w:t>
      </w:r>
      <w:r>
        <w:t xml:space="preserve"> the SHARP methodology to assess households within pre-selected intervention sites </w:t>
      </w:r>
      <w:r w:rsidR="0069553A">
        <w:t xml:space="preserve">with respect to their </w:t>
      </w:r>
      <w:r>
        <w:t xml:space="preserve"> resilience and livelihoods</w:t>
      </w:r>
      <w:r w:rsidR="0069553A">
        <w:t xml:space="preserve">, as </w:t>
      </w:r>
      <w:r w:rsidR="2A08F682">
        <w:t>m</w:t>
      </w:r>
      <w:r w:rsidR="0069553A">
        <w:t>easured by a range of indicators.</w:t>
      </w:r>
      <w:r>
        <w:t xml:space="preserve"> </w:t>
      </w:r>
      <w:r w:rsidR="0069553A">
        <w:t xml:space="preserve">Scores were </w:t>
      </w:r>
      <w:r>
        <w:t>zero with respect to 'access to information' and ‘group membership’; and low for ‘land management’, ‘agricultural practices’, ‘pest management’, ‘water conservation’, ‘energy sources’, ‘market access’, ‘income sources’, ‘climate change’ and ‘meals’. Focus Group consultations were also held and stakeholders identified land degradation as a major hindrance to local development</w:t>
      </w:r>
      <w:r w:rsidR="0069553A">
        <w:t xml:space="preserve">. These results are shown diagrammatically in </w:t>
      </w:r>
      <w:r w:rsidR="0069553A" w:rsidRPr="1E65A5F7">
        <w:rPr>
          <w:highlight w:val="lightGray"/>
        </w:rPr>
        <w:t>Box 7</w:t>
      </w:r>
      <w:r w:rsidR="0069553A">
        <w:t>.</w:t>
      </w:r>
    </w:p>
    <w:p w14:paraId="6154259D" w14:textId="78BC5DF2" w:rsidR="009563B4" w:rsidRPr="00130CBA" w:rsidRDefault="009563B4" w:rsidP="00130CBA">
      <w:pPr>
        <w:pStyle w:val="Heading3"/>
        <w:shd w:val="clear" w:color="auto" w:fill="auto"/>
        <w:spacing w:before="240" w:after="160"/>
        <w:jc w:val="left"/>
        <w:rPr>
          <w:rFonts w:ascii="Calibri" w:hAnsi="Calibri" w:cs="Calibri"/>
          <w:color w:val="000000" w:themeColor="text1"/>
          <w:shd w:val="clear" w:color="auto" w:fill="9CC2E5" w:themeFill="accent1" w:themeFillTint="99"/>
        </w:rPr>
      </w:pPr>
      <w:bookmarkStart w:id="80" w:name="_2.1)_Remaining_Barriers"/>
      <w:bookmarkStart w:id="81" w:name="_Toc45712167"/>
      <w:bookmarkEnd w:id="79"/>
      <w:bookmarkEnd w:id="80"/>
      <w:r w:rsidRPr="00130CBA">
        <w:rPr>
          <w:rFonts w:ascii="Calibri" w:hAnsi="Calibri" w:cs="Calibri"/>
          <w:color w:val="000000" w:themeColor="text1"/>
          <w:shd w:val="clear" w:color="auto" w:fill="9CC2E5" w:themeFill="accent1" w:themeFillTint="99"/>
        </w:rPr>
        <w:t xml:space="preserve">2.1 Remaining Barriers to </w:t>
      </w:r>
      <w:r w:rsidR="002130EC" w:rsidRPr="00130CBA">
        <w:rPr>
          <w:rFonts w:ascii="Calibri" w:hAnsi="Calibri" w:cs="Calibri"/>
          <w:color w:val="000000" w:themeColor="text1"/>
          <w:shd w:val="clear" w:color="auto" w:fill="9CC2E5" w:themeFill="accent1" w:themeFillTint="99"/>
        </w:rPr>
        <w:t>A</w:t>
      </w:r>
      <w:r w:rsidRPr="00130CBA">
        <w:rPr>
          <w:rFonts w:ascii="Calibri" w:hAnsi="Calibri" w:cs="Calibri"/>
          <w:color w:val="000000" w:themeColor="text1"/>
          <w:shd w:val="clear" w:color="auto" w:fill="9CC2E5" w:themeFill="accent1" w:themeFillTint="99"/>
        </w:rPr>
        <w:t>ddress</w:t>
      </w:r>
      <w:bookmarkEnd w:id="81"/>
    </w:p>
    <w:p w14:paraId="58252C69" w14:textId="0A3AC19A" w:rsidR="009563B4" w:rsidRDefault="009563B4" w:rsidP="001667C6">
      <w:pPr>
        <w:pStyle w:val="ParagraphOED"/>
        <w:numPr>
          <w:ilvl w:val="0"/>
          <w:numId w:val="102"/>
        </w:numPr>
        <w:spacing w:after="160"/>
      </w:pPr>
      <w:r w:rsidRPr="1E65A5F7">
        <w:rPr>
          <w:b/>
          <w:bCs/>
        </w:rPr>
        <w:t xml:space="preserve">The </w:t>
      </w:r>
      <w:r w:rsidR="00FB63DE" w:rsidRPr="1E65A5F7">
        <w:rPr>
          <w:b/>
          <w:bCs/>
        </w:rPr>
        <w:t>c</w:t>
      </w:r>
      <w:r w:rsidRPr="1E65A5F7">
        <w:rPr>
          <w:b/>
          <w:bCs/>
        </w:rPr>
        <w:t xml:space="preserve">urrent ‘Baseline Scenario’ </w:t>
      </w:r>
      <w:r>
        <w:t>points out to a strong commitment from the government and partners towards supporting SLM</w:t>
      </w:r>
      <w:r w:rsidR="00FB63DE">
        <w:t>/</w:t>
      </w:r>
      <w:r>
        <w:t xml:space="preserve">SFM actions in different ways, both directly and indirectly. However, there are visible gaps in the status quo. </w:t>
      </w:r>
      <w:r w:rsidRPr="1E65A5F7">
        <w:rPr>
          <w:b/>
          <w:bCs/>
        </w:rPr>
        <w:t>Eight barriers</w:t>
      </w:r>
      <w:r>
        <w:t xml:space="preserve"> </w:t>
      </w:r>
      <w:r w:rsidR="00FB63DE">
        <w:t xml:space="preserve">block the realization of </w:t>
      </w:r>
      <w:r>
        <w:t xml:space="preserve">long-term goals outlined in government policies that relate to SLM/SFM and which could potentially generate both national and global environmental benefits for land-based ecosystem services. The </w:t>
      </w:r>
      <w:r w:rsidR="00FB63DE">
        <w:t>‘b</w:t>
      </w:r>
      <w:r>
        <w:t xml:space="preserve">arrier </w:t>
      </w:r>
      <w:r w:rsidR="00FB63DE">
        <w:t>a</w:t>
      </w:r>
      <w:r>
        <w:t>nalysis</w:t>
      </w:r>
      <w:r w:rsidR="00FB63DE">
        <w:t>’</w:t>
      </w:r>
      <w:r>
        <w:t xml:space="preserve">, </w:t>
      </w:r>
      <w:r w:rsidR="00FB63DE">
        <w:t xml:space="preserve">upon which the </w:t>
      </w:r>
      <w:r>
        <w:t xml:space="preserve">project’s </w:t>
      </w:r>
      <w:r w:rsidRPr="1E65A5F7">
        <w:rPr>
          <w:rStyle w:val="Hyperlink"/>
        </w:rPr>
        <w:t>Theory of Change - ToC</w:t>
      </w:r>
      <w:r w:rsidR="00FB63DE" w:rsidRPr="1E65A5F7">
        <w:rPr>
          <w:rStyle w:val="Hyperlink"/>
        </w:rPr>
        <w:t>)</w:t>
      </w:r>
      <w:r w:rsidR="2B510FA3" w:rsidRPr="1E65A5F7">
        <w:rPr>
          <w:rStyle w:val="Hyperlink"/>
          <w:u w:val="none"/>
        </w:rPr>
        <w:t xml:space="preserve"> </w:t>
      </w:r>
      <w:r w:rsidR="2B510FA3" w:rsidRPr="1E65A5F7">
        <w:rPr>
          <w:rStyle w:val="Hyperlink"/>
          <w:color w:val="auto"/>
          <w:u w:val="none"/>
        </w:rPr>
        <w:t>is based</w:t>
      </w:r>
      <w:r>
        <w:t xml:space="preserve">, follows. </w:t>
      </w:r>
    </w:p>
    <w:p w14:paraId="50AC19F7" w14:textId="7D429809" w:rsidR="009563B4" w:rsidRPr="00AD57F5" w:rsidRDefault="009563B4" w:rsidP="00995B0A">
      <w:pPr>
        <w:spacing w:before="160" w:after="160"/>
        <w:rPr>
          <w:rFonts w:ascii="Calibri" w:hAnsi="Calibri"/>
          <w:b/>
          <w:bCs/>
          <w:i/>
          <w:iCs/>
          <w:sz w:val="21"/>
          <w:szCs w:val="21"/>
          <w:highlight w:val="lightGray"/>
        </w:rPr>
      </w:pPr>
      <w:bookmarkStart w:id="82" w:name="_Toc45712168"/>
      <w:r w:rsidRPr="00AD57F5">
        <w:rPr>
          <w:rFonts w:ascii="Calibri" w:hAnsi="Calibri"/>
          <w:b/>
          <w:bCs/>
          <w:i/>
          <w:iCs/>
          <w:sz w:val="21"/>
          <w:szCs w:val="21"/>
          <w:highlight w:val="lightGray"/>
        </w:rPr>
        <w:t xml:space="preserve">Barriers #1, #2 and #3) </w:t>
      </w:r>
      <w:bookmarkEnd w:id="82"/>
    </w:p>
    <w:p w14:paraId="756CED66" w14:textId="679ED77B" w:rsidR="009563B4" w:rsidRDefault="009563B4" w:rsidP="001667C6">
      <w:pPr>
        <w:pStyle w:val="ParagraphOED"/>
        <w:numPr>
          <w:ilvl w:val="0"/>
          <w:numId w:val="102"/>
        </w:numPr>
        <w:spacing w:after="80"/>
      </w:pPr>
      <w:r>
        <w:t>Five themes are particularly important in the first group of barriers for this project, which relate to the ‘</w:t>
      </w:r>
      <w:r w:rsidR="00640E76">
        <w:t>e</w:t>
      </w:r>
      <w:r>
        <w:t xml:space="preserve">nabling </w:t>
      </w:r>
      <w:r w:rsidR="00640E76">
        <w:t>e</w:t>
      </w:r>
      <w:r>
        <w:t>nvironment’ for LDN (Component 1):</w:t>
      </w:r>
    </w:p>
    <w:p w14:paraId="6EDC45A2" w14:textId="25BC450A" w:rsidR="009563B4" w:rsidRPr="00640E76" w:rsidRDefault="009563B4" w:rsidP="001667C6">
      <w:pPr>
        <w:pStyle w:val="ListParagraph"/>
        <w:numPr>
          <w:ilvl w:val="0"/>
          <w:numId w:val="40"/>
        </w:numPr>
        <w:ind w:left="709" w:hanging="425"/>
        <w:rPr>
          <w:rFonts w:asciiTheme="minorHAnsi" w:hAnsiTheme="minorHAnsi" w:cstheme="minorHAnsi"/>
          <w:sz w:val="21"/>
          <w:szCs w:val="21"/>
        </w:rPr>
      </w:pPr>
      <w:r w:rsidRPr="00640E76">
        <w:rPr>
          <w:rFonts w:asciiTheme="minorHAnsi" w:hAnsiTheme="minorHAnsi" w:cstheme="minorHAnsi"/>
          <w:sz w:val="21"/>
          <w:szCs w:val="21"/>
        </w:rPr>
        <w:lastRenderedPageBreak/>
        <w:t xml:space="preserve">Governance frameworks for LDN, including the governance of land tenure (which </w:t>
      </w:r>
      <w:r w:rsidR="00640E76" w:rsidRPr="00640E76">
        <w:rPr>
          <w:rFonts w:asciiTheme="minorHAnsi" w:hAnsiTheme="minorHAnsi" w:cstheme="minorHAnsi"/>
          <w:sz w:val="21"/>
          <w:szCs w:val="21"/>
        </w:rPr>
        <w:t>require</w:t>
      </w:r>
      <w:r w:rsidRPr="00640E76">
        <w:rPr>
          <w:rFonts w:asciiTheme="minorHAnsi" w:hAnsiTheme="minorHAnsi" w:cstheme="minorHAnsi"/>
          <w:sz w:val="21"/>
          <w:szCs w:val="21"/>
        </w:rPr>
        <w:t xml:space="preserve"> a specific approach and analysis);</w:t>
      </w:r>
    </w:p>
    <w:p w14:paraId="13684121" w14:textId="52DBA277" w:rsidR="009563B4" w:rsidRPr="00640E76" w:rsidRDefault="00640E76" w:rsidP="001667C6">
      <w:pPr>
        <w:pStyle w:val="ListParagraph"/>
        <w:numPr>
          <w:ilvl w:val="0"/>
          <w:numId w:val="40"/>
        </w:numPr>
        <w:ind w:left="709" w:hanging="425"/>
        <w:rPr>
          <w:rFonts w:asciiTheme="minorHAnsi" w:hAnsiTheme="minorHAnsi" w:cstheme="minorHAnsi"/>
          <w:sz w:val="21"/>
          <w:szCs w:val="21"/>
        </w:rPr>
      </w:pPr>
      <w:r>
        <w:rPr>
          <w:rFonts w:asciiTheme="minorHAnsi" w:hAnsiTheme="minorHAnsi" w:cstheme="minorHAnsi"/>
          <w:sz w:val="21"/>
          <w:szCs w:val="21"/>
        </w:rPr>
        <w:t>I</w:t>
      </w:r>
      <w:r w:rsidR="009563B4" w:rsidRPr="00640E76">
        <w:rPr>
          <w:rFonts w:asciiTheme="minorHAnsi" w:hAnsiTheme="minorHAnsi" w:cstheme="minorHAnsi"/>
          <w:sz w:val="21"/>
          <w:szCs w:val="21"/>
        </w:rPr>
        <w:t>nstitutional aspect</w:t>
      </w:r>
      <w:r>
        <w:rPr>
          <w:rFonts w:asciiTheme="minorHAnsi" w:hAnsiTheme="minorHAnsi" w:cstheme="minorHAnsi"/>
          <w:sz w:val="21"/>
          <w:szCs w:val="21"/>
        </w:rPr>
        <w:t>s</w:t>
      </w:r>
      <w:r w:rsidR="009563B4" w:rsidRPr="00640E76">
        <w:rPr>
          <w:rFonts w:asciiTheme="minorHAnsi" w:hAnsiTheme="minorHAnsi" w:cstheme="minorHAnsi"/>
          <w:sz w:val="21"/>
          <w:szCs w:val="21"/>
        </w:rPr>
        <w:t xml:space="preserve">, </w:t>
      </w:r>
      <w:r>
        <w:rPr>
          <w:rFonts w:asciiTheme="minorHAnsi" w:hAnsiTheme="minorHAnsi" w:cstheme="minorHAnsi"/>
          <w:sz w:val="21"/>
          <w:szCs w:val="21"/>
        </w:rPr>
        <w:t>including</w:t>
      </w:r>
      <w:r w:rsidR="009563B4" w:rsidRPr="00640E76">
        <w:rPr>
          <w:rFonts w:asciiTheme="minorHAnsi" w:hAnsiTheme="minorHAnsi" w:cstheme="minorHAnsi"/>
          <w:sz w:val="21"/>
          <w:szCs w:val="21"/>
        </w:rPr>
        <w:t xml:space="preserve"> the capacity of both institutions and stakeholders for contributing to LDN and applying the necessary frameworks;</w:t>
      </w:r>
    </w:p>
    <w:p w14:paraId="21974A69" w14:textId="1BEE2DB1" w:rsidR="009563B4" w:rsidRPr="00640E76" w:rsidRDefault="00640E76" w:rsidP="001667C6">
      <w:pPr>
        <w:pStyle w:val="ListParagraph"/>
        <w:numPr>
          <w:ilvl w:val="0"/>
          <w:numId w:val="40"/>
        </w:numPr>
        <w:ind w:left="709" w:hanging="425"/>
        <w:rPr>
          <w:rFonts w:asciiTheme="minorHAnsi" w:hAnsiTheme="minorHAnsi" w:cstheme="minorHAnsi"/>
          <w:sz w:val="21"/>
          <w:szCs w:val="21"/>
        </w:rPr>
      </w:pPr>
      <w:r>
        <w:rPr>
          <w:rFonts w:asciiTheme="minorHAnsi" w:hAnsiTheme="minorHAnsi" w:cstheme="minorHAnsi"/>
          <w:sz w:val="21"/>
          <w:szCs w:val="21"/>
        </w:rPr>
        <w:t>E</w:t>
      </w:r>
      <w:r w:rsidR="009563B4" w:rsidRPr="00640E76">
        <w:rPr>
          <w:rFonts w:asciiTheme="minorHAnsi" w:hAnsiTheme="minorHAnsi" w:cstheme="minorHAnsi"/>
          <w:sz w:val="21"/>
          <w:szCs w:val="21"/>
        </w:rPr>
        <w:t>ngagement and participation of stakeholders (inclusiveness) and collaboration among them, and well as across sectors and administrative scales, for achieving LDN;</w:t>
      </w:r>
    </w:p>
    <w:p w14:paraId="440E5332" w14:textId="11E56FCD" w:rsidR="009563B4" w:rsidRPr="00640E76" w:rsidRDefault="00640E76" w:rsidP="001667C6">
      <w:pPr>
        <w:pStyle w:val="ListParagraph"/>
        <w:numPr>
          <w:ilvl w:val="0"/>
          <w:numId w:val="40"/>
        </w:numPr>
        <w:ind w:left="709" w:hanging="425"/>
        <w:rPr>
          <w:rFonts w:asciiTheme="minorHAnsi" w:hAnsiTheme="minorHAnsi" w:cstheme="minorHAnsi"/>
          <w:sz w:val="21"/>
          <w:szCs w:val="21"/>
        </w:rPr>
      </w:pPr>
      <w:r>
        <w:rPr>
          <w:rFonts w:asciiTheme="minorHAnsi" w:hAnsiTheme="minorHAnsi" w:cstheme="minorHAnsi"/>
          <w:sz w:val="21"/>
          <w:szCs w:val="21"/>
        </w:rPr>
        <w:t>A</w:t>
      </w:r>
      <w:r w:rsidR="009563B4" w:rsidRPr="00640E76">
        <w:rPr>
          <w:rFonts w:asciiTheme="minorHAnsi" w:hAnsiTheme="minorHAnsi" w:cstheme="minorHAnsi"/>
          <w:sz w:val="21"/>
          <w:szCs w:val="21"/>
        </w:rPr>
        <w:t xml:space="preserve">dequate systems, tools and capacity for data handling to </w:t>
      </w:r>
      <w:r w:rsidR="00F73D64">
        <w:rPr>
          <w:rFonts w:asciiTheme="minorHAnsi" w:hAnsiTheme="minorHAnsi" w:cstheme="minorHAnsi"/>
          <w:sz w:val="21"/>
          <w:szCs w:val="21"/>
        </w:rPr>
        <w:t>help deliver</w:t>
      </w:r>
      <w:r w:rsidR="009563B4" w:rsidRPr="00640E76">
        <w:rPr>
          <w:rFonts w:asciiTheme="minorHAnsi" w:hAnsiTheme="minorHAnsi" w:cstheme="minorHAnsi"/>
          <w:sz w:val="21"/>
          <w:szCs w:val="21"/>
        </w:rPr>
        <w:t xml:space="preserve"> effective and efficient </w:t>
      </w:r>
      <w:r w:rsidR="001B248C" w:rsidRPr="00640E76">
        <w:rPr>
          <w:rFonts w:asciiTheme="minorHAnsi" w:hAnsiTheme="minorHAnsi" w:cstheme="minorHAnsi"/>
          <w:sz w:val="21"/>
          <w:szCs w:val="21"/>
        </w:rPr>
        <w:t>land-use plan</w:t>
      </w:r>
      <w:r w:rsidR="009563B4" w:rsidRPr="00640E76">
        <w:rPr>
          <w:rFonts w:asciiTheme="minorHAnsi" w:hAnsiTheme="minorHAnsi" w:cstheme="minorHAnsi"/>
          <w:sz w:val="21"/>
          <w:szCs w:val="21"/>
        </w:rPr>
        <w:t>ning</w:t>
      </w:r>
      <w:r w:rsidR="00F73D64">
        <w:rPr>
          <w:rFonts w:asciiTheme="minorHAnsi" w:hAnsiTheme="minorHAnsi" w:cstheme="minorHAnsi"/>
          <w:sz w:val="21"/>
          <w:szCs w:val="21"/>
        </w:rPr>
        <w:t>,</w:t>
      </w:r>
      <w:r w:rsidR="009563B4" w:rsidRPr="00640E76">
        <w:rPr>
          <w:rFonts w:asciiTheme="minorHAnsi" w:hAnsiTheme="minorHAnsi" w:cstheme="minorHAnsi"/>
          <w:sz w:val="21"/>
          <w:szCs w:val="21"/>
        </w:rPr>
        <w:t xml:space="preserve"> management and monitoring of indicators; and</w:t>
      </w:r>
    </w:p>
    <w:p w14:paraId="749A6FB7" w14:textId="0B16FA8E" w:rsidR="009563B4" w:rsidRPr="00640E76" w:rsidRDefault="00F73D64" w:rsidP="001667C6">
      <w:pPr>
        <w:pStyle w:val="ListParagraph"/>
        <w:numPr>
          <w:ilvl w:val="0"/>
          <w:numId w:val="40"/>
        </w:numPr>
        <w:ind w:left="709" w:hanging="425"/>
        <w:rPr>
          <w:rFonts w:asciiTheme="minorHAnsi" w:hAnsiTheme="minorHAnsi" w:cstheme="minorHAnsi"/>
          <w:sz w:val="21"/>
          <w:szCs w:val="21"/>
        </w:rPr>
      </w:pPr>
      <w:r>
        <w:rPr>
          <w:rFonts w:asciiTheme="minorHAnsi" w:hAnsiTheme="minorHAnsi" w:cstheme="minorHAnsi"/>
          <w:sz w:val="21"/>
          <w:szCs w:val="21"/>
        </w:rPr>
        <w:t>G</w:t>
      </w:r>
      <w:r w:rsidR="009563B4" w:rsidRPr="00640E76">
        <w:rPr>
          <w:rFonts w:asciiTheme="minorHAnsi" w:hAnsiTheme="minorHAnsi" w:cstheme="minorHAnsi"/>
          <w:sz w:val="21"/>
          <w:szCs w:val="21"/>
        </w:rPr>
        <w:t>ender equalit</w:t>
      </w:r>
      <w:r>
        <w:rPr>
          <w:rFonts w:asciiTheme="minorHAnsi" w:hAnsiTheme="minorHAnsi" w:cstheme="minorHAnsi"/>
          <w:sz w:val="21"/>
          <w:szCs w:val="21"/>
        </w:rPr>
        <w:t>y</w:t>
      </w:r>
      <w:r w:rsidR="009563B4" w:rsidRPr="00640E76">
        <w:rPr>
          <w:rFonts w:asciiTheme="minorHAnsi" w:hAnsiTheme="minorHAnsi" w:cstheme="minorHAnsi"/>
          <w:sz w:val="21"/>
          <w:szCs w:val="21"/>
        </w:rPr>
        <w:t xml:space="preserve"> </w:t>
      </w:r>
      <w:r>
        <w:rPr>
          <w:rFonts w:asciiTheme="minorHAnsi" w:hAnsiTheme="minorHAnsi" w:cstheme="minorHAnsi"/>
          <w:sz w:val="21"/>
          <w:szCs w:val="21"/>
        </w:rPr>
        <w:t>mainstreamed across</w:t>
      </w:r>
      <w:r w:rsidR="009563B4" w:rsidRPr="00640E76">
        <w:rPr>
          <w:rFonts w:asciiTheme="minorHAnsi" w:hAnsiTheme="minorHAnsi" w:cstheme="minorHAnsi"/>
          <w:sz w:val="21"/>
          <w:szCs w:val="21"/>
        </w:rPr>
        <w:t xml:space="preserve"> </w:t>
      </w:r>
      <w:r>
        <w:rPr>
          <w:rFonts w:asciiTheme="minorHAnsi" w:hAnsiTheme="minorHAnsi" w:cstheme="minorHAnsi"/>
          <w:sz w:val="21"/>
          <w:szCs w:val="21"/>
        </w:rPr>
        <w:t>LDN</w:t>
      </w:r>
      <w:r w:rsidRPr="00640E76">
        <w:rPr>
          <w:rFonts w:asciiTheme="minorHAnsi" w:hAnsiTheme="minorHAnsi" w:cstheme="minorHAnsi"/>
          <w:sz w:val="21"/>
          <w:szCs w:val="21"/>
        </w:rPr>
        <w:t xml:space="preserve"> </w:t>
      </w:r>
      <w:r w:rsidR="009563B4" w:rsidRPr="00640E76">
        <w:rPr>
          <w:rFonts w:asciiTheme="minorHAnsi" w:hAnsiTheme="minorHAnsi" w:cstheme="minorHAnsi"/>
          <w:sz w:val="21"/>
          <w:szCs w:val="21"/>
        </w:rPr>
        <w:t xml:space="preserve">frameworks </w:t>
      </w:r>
      <w:r>
        <w:rPr>
          <w:rFonts w:asciiTheme="minorHAnsi" w:hAnsiTheme="minorHAnsi" w:cstheme="minorHAnsi"/>
          <w:sz w:val="21"/>
          <w:szCs w:val="21"/>
        </w:rPr>
        <w:t xml:space="preserve">and </w:t>
      </w:r>
      <w:r w:rsidR="009563B4" w:rsidRPr="00640E76">
        <w:rPr>
          <w:rFonts w:asciiTheme="minorHAnsi" w:hAnsiTheme="minorHAnsi" w:cstheme="minorHAnsi"/>
          <w:sz w:val="21"/>
          <w:szCs w:val="21"/>
        </w:rPr>
        <w:t>process</w:t>
      </w:r>
      <w:r>
        <w:rPr>
          <w:rFonts w:asciiTheme="minorHAnsi" w:hAnsiTheme="minorHAnsi" w:cstheme="minorHAnsi"/>
          <w:sz w:val="21"/>
          <w:szCs w:val="21"/>
        </w:rPr>
        <w:t>es</w:t>
      </w:r>
      <w:r w:rsidR="009563B4" w:rsidRPr="00640E76">
        <w:rPr>
          <w:rFonts w:asciiTheme="minorHAnsi" w:hAnsiTheme="minorHAnsi" w:cstheme="minorHAnsi"/>
          <w:sz w:val="21"/>
          <w:szCs w:val="21"/>
        </w:rPr>
        <w:t xml:space="preserve">. </w:t>
      </w:r>
    </w:p>
    <w:p w14:paraId="067244D2" w14:textId="778AD7F1" w:rsidR="002355D4" w:rsidRDefault="008A0540" w:rsidP="001667C6">
      <w:pPr>
        <w:pStyle w:val="ParagraphOED"/>
        <w:numPr>
          <w:ilvl w:val="0"/>
          <w:numId w:val="102"/>
        </w:numPr>
        <w:spacing w:after="160"/>
      </w:pPr>
      <w:r w:rsidRPr="000A3388">
        <w:rPr>
          <w:rFonts w:asciiTheme="minorHAnsi" w:hAnsiTheme="minorHAnsi" w:cstheme="minorHAnsi"/>
          <w:b/>
          <w:bCs/>
          <w:noProof/>
          <w:szCs w:val="21"/>
        </w:rPr>
        <mc:AlternateContent>
          <mc:Choice Requires="wps">
            <w:drawing>
              <wp:anchor distT="45720" distB="45720" distL="114300" distR="114300" simplePos="0" relativeHeight="251658245" behindDoc="0" locked="0" layoutInCell="1" allowOverlap="1" wp14:anchorId="731D9F18" wp14:editId="248B28DF">
                <wp:simplePos x="0" y="0"/>
                <wp:positionH relativeFrom="margin">
                  <wp:align>left</wp:align>
                </wp:positionH>
                <wp:positionV relativeFrom="paragraph">
                  <wp:posOffset>507365</wp:posOffset>
                </wp:positionV>
                <wp:extent cx="5741035" cy="1404620"/>
                <wp:effectExtent l="0" t="0" r="12065" b="17780"/>
                <wp:wrapTopAndBottom/>
                <wp:docPr id="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41035" cy="1404620"/>
                        </a:xfrm>
                        <a:prstGeom prst="rect">
                          <a:avLst/>
                        </a:prstGeom>
                        <a:solidFill>
                          <a:srgbClr val="FFFFFF"/>
                        </a:solidFill>
                        <a:ln w="9525">
                          <a:solidFill>
                            <a:srgbClr val="000000"/>
                          </a:solidFill>
                          <a:miter lim="800000"/>
                          <a:headEnd/>
                          <a:tailEnd/>
                        </a:ln>
                      </wps:spPr>
                      <wps:txbx>
                        <w:txbxContent>
                          <w:p w14:paraId="1E819871" w14:textId="77777777" w:rsidR="004D2871" w:rsidRPr="002355D4" w:rsidRDefault="004D2871" w:rsidP="002355D4">
                            <w:pPr>
                              <w:jc w:val="both"/>
                              <w:rPr>
                                <w:rFonts w:asciiTheme="minorHAnsi" w:hAnsiTheme="minorHAnsi" w:cstheme="minorHAnsi"/>
                                <w:b/>
                                <w:bCs/>
                                <w:i/>
                                <w:iCs/>
                                <w:sz w:val="21"/>
                                <w:szCs w:val="21"/>
                              </w:rPr>
                            </w:pPr>
                            <w:r w:rsidRPr="002355D4">
                              <w:rPr>
                                <w:rFonts w:asciiTheme="minorHAnsi" w:hAnsiTheme="minorHAnsi" w:cstheme="minorHAnsi"/>
                                <w:b/>
                                <w:bCs/>
                                <w:i/>
                                <w:iCs/>
                                <w:sz w:val="21"/>
                                <w:szCs w:val="21"/>
                              </w:rPr>
                              <w:t xml:space="preserve">Barrier Statement #1) </w:t>
                            </w:r>
                            <w:r w:rsidRPr="002355D4">
                              <w:rPr>
                                <w:rFonts w:asciiTheme="minorHAnsi" w:hAnsiTheme="minorHAnsi" w:cstheme="minorHAnsi"/>
                                <w:i/>
                                <w:iCs/>
                                <w:sz w:val="21"/>
                                <w:szCs w:val="21"/>
                              </w:rPr>
                              <w:t>LDN governance frameworks (policy, regulatory, cross-sectoral coordination, decision-making tools and finance) are inadequate, ineffective and consultation processes not fully inclusive.</w:t>
                            </w:r>
                          </w:p>
                          <w:p w14:paraId="6CC1DD99" w14:textId="77777777" w:rsidR="004D2871" w:rsidRPr="002355D4" w:rsidRDefault="004D2871" w:rsidP="002355D4">
                            <w:pPr>
                              <w:jc w:val="both"/>
                              <w:rPr>
                                <w:rFonts w:asciiTheme="minorHAnsi" w:hAnsiTheme="minorHAnsi" w:cstheme="minorHAnsi"/>
                                <w:b/>
                                <w:bCs/>
                                <w:i/>
                                <w:iCs/>
                                <w:sz w:val="21"/>
                                <w:szCs w:val="21"/>
                              </w:rPr>
                            </w:pPr>
                            <w:r w:rsidRPr="002355D4">
                              <w:rPr>
                                <w:rFonts w:asciiTheme="minorHAnsi" w:hAnsiTheme="minorHAnsi" w:cstheme="minorHAnsi"/>
                                <w:b/>
                                <w:bCs/>
                                <w:i/>
                                <w:iCs/>
                                <w:sz w:val="21"/>
                                <w:szCs w:val="21"/>
                              </w:rPr>
                              <w:t xml:space="preserve">Barrier Statement #2) </w:t>
                            </w:r>
                            <w:r w:rsidRPr="002355D4">
                              <w:rPr>
                                <w:rFonts w:asciiTheme="minorHAnsi" w:hAnsiTheme="minorHAnsi" w:cstheme="minorHAnsi"/>
                                <w:i/>
                                <w:iCs/>
                                <w:sz w:val="21"/>
                                <w:szCs w:val="21"/>
                              </w:rPr>
                              <w:t>Institutional mandates for land-use decision-making,  capacity to engage stakeholders in collaborative and integrated management of landscapes are inadequate to deliver LDN.</w:t>
                            </w:r>
                          </w:p>
                          <w:p w14:paraId="3CDC50BF" w14:textId="645F1969" w:rsidR="004D2871" w:rsidRPr="002355D4" w:rsidRDefault="004D2871" w:rsidP="002355D4">
                            <w:pPr>
                              <w:jc w:val="both"/>
                              <w:rPr>
                                <w:rFonts w:asciiTheme="minorHAnsi" w:hAnsiTheme="minorHAnsi" w:cstheme="minorHAnsi"/>
                                <w:i/>
                                <w:iCs/>
                                <w:sz w:val="21"/>
                                <w:szCs w:val="21"/>
                              </w:rPr>
                            </w:pPr>
                            <w:r w:rsidRPr="002355D4">
                              <w:rPr>
                                <w:rFonts w:asciiTheme="minorHAnsi" w:hAnsiTheme="minorHAnsi" w:cstheme="minorHAnsi"/>
                                <w:b/>
                                <w:bCs/>
                                <w:i/>
                                <w:iCs/>
                                <w:sz w:val="21"/>
                                <w:szCs w:val="21"/>
                              </w:rPr>
                              <w:t xml:space="preserve">Barrier Statement #3) </w:t>
                            </w:r>
                            <w:r w:rsidRPr="002355D4">
                              <w:rPr>
                                <w:rFonts w:asciiTheme="minorHAnsi" w:hAnsiTheme="minorHAnsi" w:cstheme="minorHAnsi"/>
                                <w:i/>
                                <w:iCs/>
                                <w:sz w:val="21"/>
                                <w:szCs w:val="21"/>
                              </w:rPr>
                              <w:t>Ineffective land tenure governance creates disincentives for land improvement and reinforces social inequalities, including gender.</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731D9F18" id="_x0000_t202" coordsize="21600,21600" o:spt="202" path="m,l,21600r21600,l21600,xe">
                <v:stroke joinstyle="miter"/>
                <v:path gradientshapeok="t" o:connecttype="rect"/>
              </v:shapetype>
              <v:shape id="Text Box 2" o:spid="_x0000_s1026" type="#_x0000_t202" style="position:absolute;left:0;text-align:left;margin-left:0;margin-top:39.95pt;width:452.05pt;height:110.6pt;z-index:251658245;visibility:visible;mso-wrap-style:square;mso-width-percent:0;mso-height-percent:200;mso-wrap-distance-left:9pt;mso-wrap-distance-top:3.6pt;mso-wrap-distance-right:9pt;mso-wrap-distance-bottom:3.6pt;mso-position-horizontal:lef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">
                <v:textbox style="mso-fit-shape-to-text:t">
                  <w:txbxContent>
                    <w:p w14:paraId="1E819871" w14:textId="77777777" w:rsidR="004D2871" w:rsidRPr="002355D4" w:rsidRDefault="004D2871" w:rsidP="002355D4">
                      <w:pPr>
                        <w:jc w:val="both"/>
                        <w:rPr>
                          <w:rFonts w:asciiTheme="minorHAnsi" w:hAnsiTheme="minorHAnsi" w:cstheme="minorHAnsi"/>
                          <w:b/>
                          <w:bCs/>
                          <w:i/>
                          <w:iCs/>
                          <w:sz w:val="21"/>
                          <w:szCs w:val="21"/>
                        </w:rPr>
                      </w:pPr>
                      <w:r w:rsidRPr="002355D4">
                        <w:rPr>
                          <w:rFonts w:asciiTheme="minorHAnsi" w:hAnsiTheme="minorHAnsi" w:cstheme="minorHAnsi"/>
                          <w:b/>
                          <w:bCs/>
                          <w:i/>
                          <w:iCs/>
                          <w:sz w:val="21"/>
                          <w:szCs w:val="21"/>
                        </w:rPr>
                        <w:t xml:space="preserve">Barrier Statement #1) </w:t>
                      </w:r>
                      <w:r w:rsidRPr="002355D4">
                        <w:rPr>
                          <w:rFonts w:asciiTheme="minorHAnsi" w:hAnsiTheme="minorHAnsi" w:cstheme="minorHAnsi"/>
                          <w:i/>
                          <w:iCs/>
                          <w:sz w:val="21"/>
                          <w:szCs w:val="21"/>
                        </w:rPr>
                        <w:t>LDN governance frameworks (policy, regulatory, cross-sectoral coordination, decision-making tools and finance) are inadequate, ineffective and consultation processes not fully inclusive.</w:t>
                      </w:r>
                    </w:p>
                    <w:p w14:paraId="6CC1DD99" w14:textId="77777777" w:rsidR="004D2871" w:rsidRPr="002355D4" w:rsidRDefault="004D2871" w:rsidP="002355D4">
                      <w:pPr>
                        <w:jc w:val="both"/>
                        <w:rPr>
                          <w:rFonts w:asciiTheme="minorHAnsi" w:hAnsiTheme="minorHAnsi" w:cstheme="minorHAnsi"/>
                          <w:b/>
                          <w:bCs/>
                          <w:i/>
                          <w:iCs/>
                          <w:sz w:val="21"/>
                          <w:szCs w:val="21"/>
                        </w:rPr>
                      </w:pPr>
                      <w:r w:rsidRPr="002355D4">
                        <w:rPr>
                          <w:rFonts w:asciiTheme="minorHAnsi" w:hAnsiTheme="minorHAnsi" w:cstheme="minorHAnsi"/>
                          <w:b/>
                          <w:bCs/>
                          <w:i/>
                          <w:iCs/>
                          <w:sz w:val="21"/>
                          <w:szCs w:val="21"/>
                        </w:rPr>
                        <w:t xml:space="preserve">Barrier Statement #2) </w:t>
                      </w:r>
                      <w:r w:rsidRPr="002355D4">
                        <w:rPr>
                          <w:rFonts w:asciiTheme="minorHAnsi" w:hAnsiTheme="minorHAnsi" w:cstheme="minorHAnsi"/>
                          <w:i/>
                          <w:iCs/>
                          <w:sz w:val="21"/>
                          <w:szCs w:val="21"/>
                        </w:rPr>
                        <w:t>Institutional mandates for land-use decision-making,  capacity to engage stakeholders in collaborative and integrated management of landscapes are inadequate to deliver LDN.</w:t>
                      </w:r>
                    </w:p>
                    <w:p w14:paraId="3CDC50BF" w14:textId="645F1969" w:rsidR="004D2871" w:rsidRPr="002355D4" w:rsidRDefault="004D2871" w:rsidP="002355D4">
                      <w:pPr>
                        <w:jc w:val="both"/>
                        <w:rPr>
                          <w:rFonts w:asciiTheme="minorHAnsi" w:hAnsiTheme="minorHAnsi" w:cstheme="minorHAnsi"/>
                          <w:i/>
                          <w:iCs/>
                          <w:sz w:val="21"/>
                          <w:szCs w:val="21"/>
                        </w:rPr>
                      </w:pPr>
                      <w:r w:rsidRPr="002355D4">
                        <w:rPr>
                          <w:rFonts w:asciiTheme="minorHAnsi" w:hAnsiTheme="minorHAnsi" w:cstheme="minorHAnsi"/>
                          <w:b/>
                          <w:bCs/>
                          <w:i/>
                          <w:iCs/>
                          <w:sz w:val="21"/>
                          <w:szCs w:val="21"/>
                        </w:rPr>
                        <w:t xml:space="preserve">Barrier Statement #3) </w:t>
                      </w:r>
                      <w:r w:rsidRPr="002355D4">
                        <w:rPr>
                          <w:rFonts w:asciiTheme="minorHAnsi" w:hAnsiTheme="minorHAnsi" w:cstheme="minorHAnsi"/>
                          <w:i/>
                          <w:iCs/>
                          <w:sz w:val="21"/>
                          <w:szCs w:val="21"/>
                        </w:rPr>
                        <w:t>Ineffective land tenure governance creates disincentives for land improvement and reinforces social inequalities, including gender.</w:t>
                      </w:r>
                    </w:p>
                  </w:txbxContent>
                </v:textbox>
                <w10:wrap type="topAndBottom" anchorx="margin"/>
              </v:shape>
            </w:pict>
          </mc:Fallback>
        </mc:AlternateContent>
      </w:r>
      <w:r w:rsidR="009563B4">
        <w:t xml:space="preserve">The following barrier statements </w:t>
      </w:r>
      <w:r w:rsidR="00F73D64">
        <w:t xml:space="preserve">are designed </w:t>
      </w:r>
      <w:r w:rsidR="009563B4">
        <w:t>to capture the above themes and structure the project strategy:</w:t>
      </w:r>
    </w:p>
    <w:p w14:paraId="327D1D1D" w14:textId="77777777" w:rsidR="002355D4" w:rsidRDefault="002355D4" w:rsidP="00115D54">
      <w:pPr>
        <w:spacing w:before="160" w:after="160"/>
        <w:rPr>
          <w:rFonts w:ascii="Calibri" w:hAnsi="Calibri"/>
          <w:i/>
          <w:iCs/>
          <w:sz w:val="21"/>
          <w:szCs w:val="21"/>
          <w:highlight w:val="lightGray"/>
        </w:rPr>
      </w:pPr>
      <w:bookmarkStart w:id="83" w:name="_Toc45712169"/>
    </w:p>
    <w:p w14:paraId="2E71946C" w14:textId="67047E10" w:rsidR="009563B4" w:rsidRPr="00115D54" w:rsidRDefault="009563B4" w:rsidP="00115D54">
      <w:pPr>
        <w:spacing w:before="160" w:after="160"/>
        <w:rPr>
          <w:rFonts w:ascii="Calibri" w:hAnsi="Calibri"/>
          <w:i/>
          <w:iCs/>
          <w:sz w:val="21"/>
          <w:szCs w:val="21"/>
          <w:highlight w:val="lightGray"/>
        </w:rPr>
      </w:pPr>
      <w:r w:rsidRPr="00115D54">
        <w:rPr>
          <w:rFonts w:ascii="Calibri" w:hAnsi="Calibri"/>
          <w:i/>
          <w:iCs/>
          <w:sz w:val="21"/>
          <w:szCs w:val="21"/>
          <w:highlight w:val="lightGray"/>
        </w:rPr>
        <w:t>Governance</w:t>
      </w:r>
      <w:r w:rsidR="00180029">
        <w:rPr>
          <w:rFonts w:ascii="Calibri" w:hAnsi="Calibri"/>
          <w:i/>
          <w:iCs/>
          <w:sz w:val="21"/>
          <w:szCs w:val="21"/>
          <w:highlight w:val="lightGray"/>
        </w:rPr>
        <w:t xml:space="preserve"> F</w:t>
      </w:r>
      <w:r w:rsidRPr="00115D54">
        <w:rPr>
          <w:rFonts w:ascii="Calibri" w:hAnsi="Calibri"/>
          <w:i/>
          <w:iCs/>
          <w:sz w:val="21"/>
          <w:szCs w:val="21"/>
          <w:highlight w:val="lightGray"/>
        </w:rPr>
        <w:t>rameworks for LDN</w:t>
      </w:r>
      <w:bookmarkEnd w:id="83"/>
    </w:p>
    <w:p w14:paraId="5657CE92" w14:textId="04F1E029" w:rsidR="009563B4" w:rsidRDefault="460C6265" w:rsidP="001667C6">
      <w:pPr>
        <w:pStyle w:val="ParagraphOED"/>
        <w:numPr>
          <w:ilvl w:val="0"/>
          <w:numId w:val="102"/>
        </w:numPr>
        <w:spacing w:after="160"/>
      </w:pPr>
      <w:r>
        <w:t>In Angola, the</w:t>
      </w:r>
      <w:r w:rsidR="61A402E3">
        <w:t xml:space="preserve">re are significant gaps in the </w:t>
      </w:r>
      <w:r>
        <w:t xml:space="preserve">‘frameworks’ necessary for applying LDN principles </w:t>
      </w:r>
      <w:r w:rsidR="61A402E3">
        <w:t>to landscape</w:t>
      </w:r>
      <w:r>
        <w:t xml:space="preserve"> management. These </w:t>
      </w:r>
      <w:r w:rsidR="61A402E3">
        <w:t xml:space="preserve">relate </w:t>
      </w:r>
      <w:r>
        <w:t xml:space="preserve">to public policies, legislation and regulations in sectors </w:t>
      </w:r>
      <w:r w:rsidR="61A402E3">
        <w:t xml:space="preserve">concerned with </w:t>
      </w:r>
      <w:r>
        <w:t>land use</w:t>
      </w:r>
      <w:r w:rsidR="61A402E3">
        <w:t xml:space="preserve">; </w:t>
      </w:r>
      <w:r>
        <w:t xml:space="preserve">coordination </w:t>
      </w:r>
      <w:r w:rsidR="61A402E3">
        <w:t>across</w:t>
      </w:r>
      <w:r>
        <w:t xml:space="preserve"> sectors</w:t>
      </w:r>
      <w:r w:rsidR="61A402E3">
        <w:t xml:space="preserve"> and institutional </w:t>
      </w:r>
      <w:r>
        <w:t xml:space="preserve">decision-making processes at the level </w:t>
      </w:r>
      <w:r w:rsidR="4BA44B2C">
        <w:t xml:space="preserve">that can </w:t>
      </w:r>
      <w:r>
        <w:t xml:space="preserve">influence the outcome for land use. </w:t>
      </w:r>
      <w:r w:rsidR="4BA44B2C">
        <w:t>G</w:t>
      </w:r>
      <w:r>
        <w:t xml:space="preserve">overnance of land tenure is </w:t>
      </w:r>
      <w:r w:rsidR="4BA44B2C">
        <w:t xml:space="preserve">a key issue meriting </w:t>
      </w:r>
      <w:r>
        <w:t xml:space="preserve">special attention. </w:t>
      </w:r>
    </w:p>
    <w:p w14:paraId="019CA0FE" w14:textId="7225CEFC" w:rsidR="009563B4" w:rsidRDefault="006A70F7" w:rsidP="001667C6">
      <w:pPr>
        <w:pStyle w:val="ParagraphOED"/>
        <w:numPr>
          <w:ilvl w:val="0"/>
          <w:numId w:val="102"/>
        </w:numPr>
        <w:spacing w:after="160"/>
      </w:pPr>
      <w:r>
        <w:t>D</w:t>
      </w:r>
      <w:r w:rsidR="009563B4">
        <w:t>ecision-making tools concerning land use also have gaps</w:t>
      </w:r>
      <w:r>
        <w:t xml:space="preserve">, notably </w:t>
      </w:r>
      <w:r w:rsidR="009563B4">
        <w:t>access to accurate land information, without which the development of robust</w:t>
      </w:r>
      <w:r>
        <w:t>,</w:t>
      </w:r>
      <w:r w:rsidR="009563B4">
        <w:t xml:space="preserve"> coordinated systems to capture LDN relevant data is possible. </w:t>
      </w:r>
    </w:p>
    <w:p w14:paraId="70D8DD9A" w14:textId="357BE400" w:rsidR="009563B4" w:rsidRPr="00CA523B" w:rsidRDefault="009563B4" w:rsidP="001667C6">
      <w:pPr>
        <w:pStyle w:val="ParagraphOED"/>
        <w:numPr>
          <w:ilvl w:val="0"/>
          <w:numId w:val="102"/>
        </w:numPr>
        <w:spacing w:after="160"/>
      </w:pPr>
      <w:r>
        <w:t xml:space="preserve">Access to finance for realizing the LDN target may also </w:t>
      </w:r>
      <w:r w:rsidR="00A272C4">
        <w:t xml:space="preserve">be </w:t>
      </w:r>
      <w:r>
        <w:t xml:space="preserve">a gap (or barrier). While baseline finance </w:t>
      </w:r>
      <w:r w:rsidR="00A272C4">
        <w:t xml:space="preserve">levels were </w:t>
      </w:r>
      <w:r>
        <w:t>assessed in connection with the project</w:t>
      </w:r>
      <w:r w:rsidR="00A272C4">
        <w:t xml:space="preserve">, </w:t>
      </w:r>
      <w:r>
        <w:t xml:space="preserve">there are uncertainties and the financial needs for LDN have not yet been assessed. </w:t>
      </w:r>
    </w:p>
    <w:p w14:paraId="23B350D7" w14:textId="555E4AEF" w:rsidR="00EB7E69" w:rsidRPr="00CA523B" w:rsidRDefault="005D4A96" w:rsidP="001667C6">
      <w:pPr>
        <w:pStyle w:val="ParagraphOED"/>
        <w:numPr>
          <w:ilvl w:val="0"/>
          <w:numId w:val="102"/>
        </w:numPr>
        <w:spacing w:after="160"/>
      </w:pPr>
      <w:r>
        <w:t>GoA</w:t>
      </w:r>
      <w:r w:rsidR="00035B8D">
        <w:t>’s</w:t>
      </w:r>
      <w:r>
        <w:t xml:space="preserve"> concern</w:t>
      </w:r>
      <w:r w:rsidR="008D556C">
        <w:t>s</w:t>
      </w:r>
      <w:r>
        <w:t xml:space="preserve"> </w:t>
      </w:r>
      <w:r w:rsidR="00A272C4">
        <w:t xml:space="preserve">about </w:t>
      </w:r>
      <w:r>
        <w:t>the ‘enabling environment’ for LDN, and how its development can be articulated into actionable measures</w:t>
      </w:r>
      <w:r w:rsidR="00035B8D">
        <w:t xml:space="preserve"> is evident</w:t>
      </w:r>
      <w:r w:rsidR="00A272C4">
        <w:t xml:space="preserve"> </w:t>
      </w:r>
      <w:r>
        <w:t>in the PANCOD</w:t>
      </w:r>
      <w:r w:rsidR="00035B8D">
        <w:t>, which refers</w:t>
      </w:r>
      <w:r>
        <w:t xml:space="preserve"> to gaps and challenges linked to policies, regulations, capacities and finance. </w:t>
      </w:r>
      <w:r w:rsidR="00035B8D">
        <w:t>Thus,</w:t>
      </w:r>
      <w:r w:rsidR="00EB7E69">
        <w:t xml:space="preserve"> the frameworks for LDN, </w:t>
      </w:r>
      <w:r w:rsidR="00035B8D">
        <w:t>as stated</w:t>
      </w:r>
      <w:r w:rsidR="00EB7E69">
        <w:t xml:space="preserve"> for Barrier #1, focuses on the basic ‘building blocks’</w:t>
      </w:r>
      <w:r w:rsidR="00035B8D">
        <w:t xml:space="preserve"> that</w:t>
      </w:r>
      <w:r w:rsidR="00EB7E69">
        <w:t xml:space="preserve"> need to be in place for implementation. </w:t>
      </w:r>
    </w:p>
    <w:p w14:paraId="27C256AA" w14:textId="03E36C21" w:rsidR="00B34F4B" w:rsidRPr="00A958DF" w:rsidRDefault="009563B4" w:rsidP="001667C6">
      <w:pPr>
        <w:pStyle w:val="ParagraphOED"/>
        <w:numPr>
          <w:ilvl w:val="0"/>
          <w:numId w:val="102"/>
        </w:numPr>
        <w:spacing w:after="160"/>
      </w:pPr>
      <w:r w:rsidRPr="00CA523B">
        <w:t xml:space="preserve">In order to </w:t>
      </w:r>
      <w:r w:rsidR="003B2415">
        <w:t>address these barriers more pre</w:t>
      </w:r>
      <w:r w:rsidR="00F43CD5">
        <w:t xml:space="preserve">cisely </w:t>
      </w:r>
      <w:r w:rsidRPr="00CA523B">
        <w:t>reference is made to</w:t>
      </w:r>
      <w:r w:rsidR="00EB7E69" w:rsidRPr="6451F561">
        <w:t xml:space="preserve"> the </w:t>
      </w:r>
      <w:r w:rsidR="00EB7E69" w:rsidRPr="6451F561">
        <w:rPr>
          <w:b/>
          <w:bCs/>
        </w:rPr>
        <w:t>LND Checklist</w:t>
      </w:r>
      <w:r w:rsidR="00352D1F" w:rsidRPr="6451F561">
        <w:rPr>
          <w:b/>
          <w:bCs/>
        </w:rPr>
        <w:t xml:space="preserve"> </w:t>
      </w:r>
      <w:r w:rsidR="00352D1F" w:rsidRPr="00CA523B">
        <w:t xml:space="preserve">in </w:t>
      </w:r>
      <w:hyperlink w:anchor="_The_LDN_Checklist_1" w:history="1">
        <w:r w:rsidR="00352D1F" w:rsidRPr="00F43CD5">
          <w:rPr>
            <w:rStyle w:val="Hyperlink"/>
            <w:highlight w:val="lightGray"/>
            <w:u w:val="none"/>
          </w:rPr>
          <w:t>Annex W-1</w:t>
        </w:r>
      </w:hyperlink>
      <w:r w:rsidR="00EB7E69" w:rsidRPr="00CA523B">
        <w:t xml:space="preserve"> </w:t>
      </w:r>
      <w:r w:rsidR="00EB7E69" w:rsidRPr="6451F561">
        <w:t xml:space="preserve">and </w:t>
      </w:r>
      <w:r w:rsidR="00B34F4B" w:rsidRPr="6451F561">
        <w:t xml:space="preserve">the </w:t>
      </w:r>
      <w:r w:rsidR="00F43CD5" w:rsidRPr="6451F561">
        <w:rPr>
          <w:b/>
          <w:bCs/>
        </w:rPr>
        <w:t>pre-conditions for delivering LDN through land-use planning and management</w:t>
      </w:r>
      <w:r w:rsidR="00F43CD5" w:rsidRPr="6451F561">
        <w:t xml:space="preserve"> in </w:t>
      </w:r>
      <w:r w:rsidR="004C5C80" w:rsidRPr="6451F561">
        <w:rPr>
          <w:highlight w:val="lightGray"/>
        </w:rPr>
        <w:fldChar w:fldCharType="begin"/>
      </w:r>
      <w:r w:rsidR="004C5C80" w:rsidRPr="6451F561">
        <w:rPr>
          <w:highlight w:val="lightGray"/>
        </w:rPr>
        <w:instrText xml:space="preserve"> REF _Ref45969926 \h  \* MERGEFORMAT </w:instrText>
      </w:r>
      <w:r w:rsidR="004C5C80" w:rsidRPr="6451F561">
        <w:rPr>
          <w:highlight w:val="lightGray"/>
        </w:rPr>
      </w:r>
      <w:r w:rsidR="004C5C80" w:rsidRPr="6451F561">
        <w:rPr>
          <w:highlight w:val="lightGray"/>
        </w:rPr>
        <w:fldChar w:fldCharType="separate"/>
      </w:r>
      <w:r w:rsidR="00A64193" w:rsidRPr="00A64193">
        <w:rPr>
          <w:highlight w:val="lightGray"/>
        </w:rPr>
        <w:t xml:space="preserve">Figure </w:t>
      </w:r>
      <w:r w:rsidR="00A64193" w:rsidRPr="00A64193">
        <w:rPr>
          <w:noProof/>
          <w:highlight w:val="lightGray"/>
        </w:rPr>
        <w:t>4</w:t>
      </w:r>
      <w:r w:rsidR="004C5C80" w:rsidRPr="6451F561">
        <w:rPr>
          <w:highlight w:val="lightGray"/>
        </w:rPr>
        <w:fldChar w:fldCharType="end"/>
      </w:r>
      <w:r w:rsidR="00F43CD5">
        <w:rPr>
          <w:szCs w:val="21"/>
        </w:rPr>
        <w:t>.</w:t>
      </w:r>
      <w:r w:rsidRPr="00CA523B">
        <w:rPr>
          <w:szCs w:val="21"/>
        </w:rPr>
        <w:t xml:space="preserve"> </w:t>
      </w:r>
      <w:r w:rsidR="00B34F4B" w:rsidRPr="004758E3">
        <w:t xml:space="preserve">Both the LDN Checklist and the contents of </w:t>
      </w:r>
      <w:r w:rsidR="00B34F4B" w:rsidRPr="00B34F4B">
        <w:rPr>
          <w:highlight w:val="lightGray"/>
        </w:rPr>
        <w:fldChar w:fldCharType="begin"/>
      </w:r>
      <w:r w:rsidR="00B34F4B" w:rsidRPr="00B34F4B">
        <w:rPr>
          <w:highlight w:val="lightGray"/>
        </w:rPr>
        <w:instrText xml:space="preserve"> REF _Ref45969926 \h  \* MERGEFORMAT </w:instrText>
      </w:r>
      <w:r w:rsidR="00B34F4B" w:rsidRPr="00B34F4B">
        <w:rPr>
          <w:highlight w:val="lightGray"/>
        </w:rPr>
      </w:r>
      <w:r w:rsidR="00B34F4B" w:rsidRPr="00B34F4B">
        <w:rPr>
          <w:highlight w:val="lightGray"/>
        </w:rPr>
        <w:fldChar w:fldCharType="separate"/>
      </w:r>
      <w:r w:rsidR="00A64193" w:rsidRPr="00A64193">
        <w:rPr>
          <w:highlight w:val="lightGray"/>
        </w:rPr>
        <w:t xml:space="preserve">Figure </w:t>
      </w:r>
      <w:r w:rsidR="00A64193" w:rsidRPr="00A64193">
        <w:rPr>
          <w:noProof/>
          <w:highlight w:val="lightGray"/>
        </w:rPr>
        <w:t>4</w:t>
      </w:r>
      <w:r w:rsidR="00B34F4B" w:rsidRPr="00B34F4B">
        <w:rPr>
          <w:highlight w:val="lightGray"/>
        </w:rPr>
        <w:fldChar w:fldCharType="end"/>
      </w:r>
      <w:r w:rsidR="00B34F4B" w:rsidRPr="004758E3">
        <w:t xml:space="preserve"> reflect </w:t>
      </w:r>
      <w:r w:rsidR="00B34F4B" w:rsidRPr="00B34F4B">
        <w:t xml:space="preserve">the </w:t>
      </w:r>
      <w:r w:rsidR="00B34F4B" w:rsidRPr="00A75918">
        <w:rPr>
          <w:b/>
          <w:bCs/>
        </w:rPr>
        <w:t>golden stand</w:t>
      </w:r>
      <w:r w:rsidR="00B34F4B" w:rsidRPr="00F33EDB">
        <w:rPr>
          <w:b/>
          <w:bCs/>
        </w:rPr>
        <w:t xml:space="preserve">ard for LDN and its implementation frameworks, </w:t>
      </w:r>
      <w:r w:rsidR="00B34F4B" w:rsidRPr="00395226">
        <w:t xml:space="preserve">as </w:t>
      </w:r>
      <w:r w:rsidR="00B34F4B" w:rsidRPr="00F73023">
        <w:t>currently adopted by UNCCD. They refer more broadly to various ‘governance frameworks’ that are fundamental for implementation, in particular legal, policy, and institutional capacity frameworks for LDN</w:t>
      </w:r>
      <w:r w:rsidR="00B34F4B" w:rsidRPr="004758E3">
        <w:t xml:space="preserve">. The gaps in Angola refer to the need for mainstreaming SLM/SFM and LDN </w:t>
      </w:r>
      <w:r w:rsidR="00B34F4B">
        <w:t>across</w:t>
      </w:r>
      <w:r w:rsidR="00B34F4B" w:rsidRPr="004758E3">
        <w:t xml:space="preserve"> sector policies, legislati</w:t>
      </w:r>
      <w:r w:rsidR="00B34F4B" w:rsidRPr="00A958DF">
        <w:t xml:space="preserve">on and regulations, such as agriculture, forestry, water, NRM and, of couse, land management (among others). National institutional capacity has many limitations. </w:t>
      </w:r>
      <w:r w:rsidR="00771791">
        <w:t>Directorate of Environment and Climate Action (DNAAC)</w:t>
      </w:r>
      <w:r w:rsidR="00B34F4B" w:rsidRPr="00A958DF">
        <w:t xml:space="preserve"> is limited to a few technical staff</w:t>
      </w:r>
      <w:r w:rsidR="00B34F4B">
        <w:t>,</w:t>
      </w:r>
      <w:r w:rsidR="00B34F4B" w:rsidRPr="00A958DF">
        <w:t xml:space="preserve"> dedicated </w:t>
      </w:r>
      <w:r w:rsidR="00B34F4B">
        <w:t xml:space="preserve">to </w:t>
      </w:r>
      <w:r w:rsidR="00B34F4B" w:rsidRPr="00A958DF">
        <w:t>implementation in the provinces with respect</w:t>
      </w:r>
      <w:r w:rsidR="00B34F4B">
        <w:t xml:space="preserve"> to</w:t>
      </w:r>
      <w:r w:rsidR="00B34F4B" w:rsidRPr="00A958DF">
        <w:t xml:space="preserve"> climate change and land degradation matters. </w:t>
      </w:r>
    </w:p>
    <w:p w14:paraId="622F3664" w14:textId="6B623CEC" w:rsidR="00F73023" w:rsidRPr="0081715E" w:rsidRDefault="00F73023" w:rsidP="001667C6">
      <w:pPr>
        <w:pStyle w:val="ParagraphOED"/>
        <w:numPr>
          <w:ilvl w:val="0"/>
          <w:numId w:val="102"/>
        </w:numPr>
        <w:spacing w:after="160"/>
      </w:pPr>
      <w:r>
        <w:lastRenderedPageBreak/>
        <w:t>T</w:t>
      </w:r>
      <w:r w:rsidRPr="0081715E">
        <w:t>he</w:t>
      </w:r>
      <w:r w:rsidRPr="0081715E">
        <w:rPr>
          <w:b/>
          <w:bCs/>
        </w:rPr>
        <w:t xml:space="preserve"> LDN Checklist</w:t>
      </w:r>
      <w:r w:rsidRPr="0081715E">
        <w:t xml:space="preserve"> specifically refers to Transformative Projects and Programmes (LDN TPP). </w:t>
      </w:r>
      <w:r>
        <w:t>I</w:t>
      </w:r>
      <w:r w:rsidRPr="0081715E">
        <w:t xml:space="preserve">t was </w:t>
      </w:r>
      <w:r>
        <w:t>used</w:t>
      </w:r>
      <w:r w:rsidRPr="0081715E">
        <w:t xml:space="preserve"> </w:t>
      </w:r>
      <w:r>
        <w:t>to</w:t>
      </w:r>
      <w:r w:rsidRPr="0081715E">
        <w:t xml:space="preserve"> </w:t>
      </w:r>
      <w:r w:rsidR="00335129">
        <w:t xml:space="preserve">screen </w:t>
      </w:r>
      <w:r w:rsidRPr="0081715E">
        <w:t>the project strategy during the PPG</w:t>
      </w:r>
      <w:r>
        <w:t xml:space="preserve"> phase</w:t>
      </w:r>
      <w:r w:rsidRPr="0081715E">
        <w:t xml:space="preserve">. </w:t>
      </w:r>
      <w:r>
        <w:t>K</w:t>
      </w:r>
      <w:r w:rsidRPr="0081715E">
        <w:t xml:space="preserve">ey gaps </w:t>
      </w:r>
      <w:r w:rsidR="00335129">
        <w:t>to</w:t>
      </w:r>
      <w:r w:rsidRPr="0081715E">
        <w:t xml:space="preserve"> be addressed by the project</w:t>
      </w:r>
      <w:r w:rsidR="00335129">
        <w:t xml:space="preserve"> are</w:t>
      </w:r>
      <w:r w:rsidRPr="0081715E">
        <w:t xml:space="preserve"> the need</w:t>
      </w:r>
      <w:r w:rsidR="00335129">
        <w:t>s to</w:t>
      </w:r>
      <w:r w:rsidRPr="0081715E">
        <w:t xml:space="preserve"> strengthen the fundamentals to LND and </w:t>
      </w:r>
      <w:r w:rsidR="00335129">
        <w:t>to</w:t>
      </w:r>
      <w:r w:rsidRPr="0081715E">
        <w:t xml:space="preserve"> promot</w:t>
      </w:r>
      <w:r w:rsidR="00335129">
        <w:t>e</w:t>
      </w:r>
      <w:r w:rsidRPr="0081715E">
        <w:t xml:space="preserve"> responsible and inclusive governance, in addition to delivering multiple benefits. The results </w:t>
      </w:r>
      <w:r w:rsidR="00335129">
        <w:t xml:space="preserve">of the screening exercise </w:t>
      </w:r>
      <w:r w:rsidRPr="0081715E">
        <w:t>are summarized below:</w:t>
      </w:r>
      <w:r w:rsidRPr="0081715E">
        <w:rPr>
          <w:rStyle w:val="FootnoteReference"/>
        </w:rPr>
        <w:footnoteReference w:id="47"/>
      </w:r>
    </w:p>
    <w:p w14:paraId="48468CAB" w14:textId="77777777" w:rsidR="00F73023" w:rsidRPr="00335129" w:rsidRDefault="00F73023" w:rsidP="00F73023">
      <w:pPr>
        <w:jc w:val="center"/>
        <w:rPr>
          <w:rFonts w:ascii="Calibri" w:hAnsi="Calibri" w:cs="Calibri"/>
          <w:color w:val="FF0000"/>
          <w:sz w:val="21"/>
          <w:szCs w:val="21"/>
          <w:highlight w:val="yellow"/>
        </w:rPr>
      </w:pPr>
      <w:r w:rsidRPr="00335129">
        <w:rPr>
          <w:rFonts w:ascii="Calibri" w:hAnsi="Calibri" w:cs="Calibri"/>
          <w:noProof/>
          <w:color w:val="FF0000"/>
          <w:sz w:val="21"/>
          <w:szCs w:val="21"/>
          <w:highlight w:val="yellow"/>
          <w:lang w:val="en-US" w:eastAsia="en-US"/>
        </w:rPr>
        <w:drawing>
          <wp:inline distT="0" distB="0" distL="0" distR="0" wp14:anchorId="443A8ABF" wp14:editId="14E98C8B">
            <wp:extent cx="5778500" cy="1399540"/>
            <wp:effectExtent l="0" t="0" r="0" b="0"/>
            <wp:docPr id="51" name="Picture 51" descr="Graphical user interface, text,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Picture 51" descr="Graphical user interface, text, application&#10;&#10;Description automatically generated"/>
                    <pic:cNvPicPr/>
                  </pic:nvPicPr>
                  <pic:blipFill rotWithShape="1">
                    <a:blip r:embed="rId50" cstate="print">
                      <a:extLst>
                        <a:ext uri="{28A0092B-C50C-407E-A947-70E740481C1C}">
                          <a14:useLocalDpi xmlns:a14="http://schemas.microsoft.com/office/drawing/2010/main"/>
                        </a:ext>
                      </a:extLst>
                    </a:blip>
                    <a:srcRect r="-32"/>
                    <a:stretch/>
                  </pic:blipFill>
                  <pic:spPr bwMode="auto">
                    <a:xfrm>
                      <a:off x="0" y="0"/>
                      <a:ext cx="5778500" cy="1399540"/>
                    </a:xfrm>
                    <a:prstGeom prst="rect">
                      <a:avLst/>
                    </a:prstGeom>
                    <a:ln>
                      <a:noFill/>
                    </a:ln>
                    <a:extLst>
                      <a:ext uri="{53640926-AAD7-44d8-BBD7-CCE9431645EC}">
                        <a14:shadowObscured xmlns:asvg="http://schemas.microsoft.com/office/drawing/2016/SVG/main" xmlns:a16="http://schemas.microsoft.com/office/drawing/2014/main" xmlns:ask="http://schemas.microsoft.com/office/drawing/2018/sketchyshapes"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xmlns:arto="http://schemas.microsoft.com/office/word/2006/arto"/>
                      </a:ext>
                    </a:extLst>
                  </pic:spPr>
                </pic:pic>
              </a:graphicData>
            </a:graphic>
          </wp:inline>
        </w:drawing>
      </w:r>
    </w:p>
    <w:p w14:paraId="558F5D01" w14:textId="77777777" w:rsidR="00F73023" w:rsidRPr="006957A0" w:rsidRDefault="00F73023" w:rsidP="00F73023">
      <w:pPr>
        <w:jc w:val="center"/>
        <w:rPr>
          <w:color w:val="FF0000"/>
          <w:highlight w:val="yellow"/>
        </w:rPr>
      </w:pPr>
    </w:p>
    <w:p w14:paraId="1F1EE6D0" w14:textId="0A74E529" w:rsidR="00335129" w:rsidRDefault="00F73023" w:rsidP="001667C6">
      <w:pPr>
        <w:pStyle w:val="ParagraphOED"/>
        <w:numPr>
          <w:ilvl w:val="0"/>
          <w:numId w:val="102"/>
        </w:numPr>
        <w:spacing w:after="80"/>
      </w:pPr>
      <w:r w:rsidRPr="004758E3">
        <w:t>According to the current application of the LDN Checklist, features under Group A (fundamental to LDN)</w:t>
      </w:r>
      <w:r w:rsidR="00AD4188">
        <w:t>,</w:t>
      </w:r>
      <w:r w:rsidRPr="004758E3">
        <w:t xml:space="preserve"> </w:t>
      </w:r>
      <w:r w:rsidRPr="6451F561">
        <w:t xml:space="preserve">Group C (promote </w:t>
      </w:r>
      <w:r w:rsidRPr="004758E3">
        <w:t xml:space="preserve">responsible and inclusive governance) </w:t>
      </w:r>
      <w:r w:rsidR="00AD4188">
        <w:t>and Group F (</w:t>
      </w:r>
      <w:r w:rsidR="00F24FEB">
        <w:t xml:space="preserve">innovative finance) </w:t>
      </w:r>
      <w:r w:rsidRPr="004758E3">
        <w:t xml:space="preserve">had </w:t>
      </w:r>
      <w:r w:rsidRPr="0087210A">
        <w:rPr>
          <w:b/>
          <w:bCs/>
        </w:rPr>
        <w:t>important gaps for Angola</w:t>
      </w:r>
      <w:r w:rsidR="008D556C">
        <w:rPr>
          <w:b/>
          <w:bCs/>
        </w:rPr>
        <w:t>:</w:t>
      </w:r>
      <w:r w:rsidRPr="6451F561">
        <w:rPr>
          <w:rStyle w:val="FootnoteReference"/>
          <w:b/>
          <w:bCs/>
        </w:rPr>
        <w:footnoteReference w:id="48"/>
      </w:r>
      <w:r w:rsidRPr="6451F561">
        <w:rPr>
          <w:b/>
          <w:bCs/>
        </w:rPr>
        <w:t xml:space="preserve"> </w:t>
      </w:r>
    </w:p>
    <w:p w14:paraId="116CA55C" w14:textId="5CC42155" w:rsidR="00335129" w:rsidRPr="008D556C" w:rsidRDefault="00F73023" w:rsidP="001667C6">
      <w:pPr>
        <w:pStyle w:val="ParagraphOED"/>
        <w:numPr>
          <w:ilvl w:val="1"/>
          <w:numId w:val="79"/>
        </w:numPr>
        <w:spacing w:after="0"/>
        <w:ind w:left="714" w:hanging="357"/>
        <w:rPr>
          <w:color w:val="000000" w:themeColor="text1"/>
        </w:rPr>
      </w:pPr>
      <w:r w:rsidRPr="008D556C">
        <w:rPr>
          <w:i/>
          <w:iCs/>
          <w:color w:val="000000" w:themeColor="text1"/>
        </w:rPr>
        <w:t>(A.8)</w:t>
      </w:r>
      <w:r w:rsidR="008D556C" w:rsidRPr="008D556C">
        <w:rPr>
          <w:color w:val="000000" w:themeColor="text1"/>
        </w:rPr>
        <w:t xml:space="preserve"> </w:t>
      </w:r>
      <w:r w:rsidRPr="008D556C">
        <w:rPr>
          <w:color w:val="000000" w:themeColor="text1"/>
        </w:rPr>
        <w:t xml:space="preserve">monitoring system consistent with national LDN targets and Sustainable Development Goal (SDG) targets, particularly SDG 15.3 and its indicator 15.3.1 on LDN; </w:t>
      </w:r>
    </w:p>
    <w:p w14:paraId="1E229269" w14:textId="3F9519A9" w:rsidR="00335129" w:rsidRPr="008D556C" w:rsidRDefault="00F73023" w:rsidP="001667C6">
      <w:pPr>
        <w:pStyle w:val="ParagraphOED"/>
        <w:numPr>
          <w:ilvl w:val="1"/>
          <w:numId w:val="79"/>
        </w:numPr>
        <w:spacing w:after="0"/>
        <w:ind w:left="714" w:hanging="357"/>
        <w:rPr>
          <w:color w:val="000000" w:themeColor="text1"/>
        </w:rPr>
      </w:pPr>
      <w:r w:rsidRPr="008D556C">
        <w:rPr>
          <w:i/>
          <w:iCs/>
          <w:color w:val="000000" w:themeColor="text1"/>
        </w:rPr>
        <w:t>(A.13)</w:t>
      </w:r>
      <w:r w:rsidRPr="008D556C">
        <w:rPr>
          <w:color w:val="000000" w:themeColor="text1"/>
        </w:rPr>
        <w:t xml:space="preserve"> e</w:t>
      </w:r>
      <w:r w:rsidRPr="008D556C">
        <w:rPr>
          <w:color w:val="000000" w:themeColor="text1"/>
          <w:szCs w:val="21"/>
        </w:rPr>
        <w:t xml:space="preserve">stablishment of </w:t>
      </w:r>
      <w:r w:rsidR="008D556C" w:rsidRPr="008D556C">
        <w:rPr>
          <w:color w:val="000000" w:themeColor="text1"/>
          <w:szCs w:val="21"/>
        </w:rPr>
        <w:t xml:space="preserve">a </w:t>
      </w:r>
      <w:r w:rsidRPr="008D556C">
        <w:rPr>
          <w:color w:val="000000" w:themeColor="text1"/>
          <w:szCs w:val="21"/>
        </w:rPr>
        <w:t>mechanism that involves relevant stakeholders in regular monitoring and validation of LDN status</w:t>
      </w:r>
      <w:r w:rsidR="008D556C" w:rsidRPr="008D556C">
        <w:rPr>
          <w:color w:val="000000" w:themeColor="text1"/>
          <w:szCs w:val="21"/>
        </w:rPr>
        <w:t>,</w:t>
      </w:r>
      <w:r w:rsidRPr="008D556C">
        <w:rPr>
          <w:color w:val="000000" w:themeColor="text1"/>
          <w:szCs w:val="21"/>
        </w:rPr>
        <w:t xml:space="preserve"> reporting as well </w:t>
      </w:r>
      <w:r w:rsidR="008D556C" w:rsidRPr="008D556C">
        <w:rPr>
          <w:color w:val="000000" w:themeColor="text1"/>
          <w:szCs w:val="21"/>
        </w:rPr>
        <w:t>on</w:t>
      </w:r>
      <w:r w:rsidRPr="008D556C">
        <w:rPr>
          <w:color w:val="000000" w:themeColor="text1"/>
          <w:szCs w:val="21"/>
        </w:rPr>
        <w:t xml:space="preserve"> project implementation outcomes, with particular attention to gender; </w:t>
      </w:r>
    </w:p>
    <w:p w14:paraId="0E2B57D4" w14:textId="47F15770" w:rsidR="00335129" w:rsidRPr="008D556C" w:rsidRDefault="00F73023" w:rsidP="001667C6">
      <w:pPr>
        <w:pStyle w:val="ParagraphOED"/>
        <w:numPr>
          <w:ilvl w:val="1"/>
          <w:numId w:val="79"/>
        </w:numPr>
        <w:spacing w:after="0"/>
        <w:ind w:left="714" w:hanging="357"/>
        <w:rPr>
          <w:color w:val="000000" w:themeColor="text1"/>
        </w:rPr>
      </w:pPr>
      <w:r w:rsidRPr="008D556C">
        <w:rPr>
          <w:i/>
          <w:iCs/>
          <w:color w:val="000000" w:themeColor="text1"/>
          <w:szCs w:val="21"/>
        </w:rPr>
        <w:t>(C.28)</w:t>
      </w:r>
      <w:r w:rsidRPr="008D556C">
        <w:rPr>
          <w:color w:val="000000" w:themeColor="text1"/>
          <w:szCs w:val="21"/>
        </w:rPr>
        <w:t xml:space="preserve"> </w:t>
      </w:r>
      <w:r w:rsidRPr="008D556C">
        <w:rPr>
          <w:color w:val="000000" w:themeColor="text1"/>
        </w:rPr>
        <w:t xml:space="preserve">need for strengthening (or developing) institutional arrangements through collaboration with </w:t>
      </w:r>
      <w:r w:rsidR="008D556C">
        <w:rPr>
          <w:color w:val="000000" w:themeColor="text1"/>
        </w:rPr>
        <w:t>a</w:t>
      </w:r>
      <w:r w:rsidR="008D556C" w:rsidRPr="008D556C">
        <w:rPr>
          <w:color w:val="000000" w:themeColor="text1"/>
        </w:rPr>
        <w:t xml:space="preserve"> </w:t>
      </w:r>
      <w:r w:rsidRPr="008D556C">
        <w:rPr>
          <w:color w:val="000000" w:themeColor="text1"/>
        </w:rPr>
        <w:t xml:space="preserve">range of actors at multiple administrative levels; and </w:t>
      </w:r>
    </w:p>
    <w:p w14:paraId="77EFC3E1" w14:textId="3676FF42" w:rsidR="00F73023" w:rsidRPr="008D556C" w:rsidRDefault="00F73023" w:rsidP="001667C6">
      <w:pPr>
        <w:pStyle w:val="ParagraphOED"/>
        <w:numPr>
          <w:ilvl w:val="1"/>
          <w:numId w:val="79"/>
        </w:numPr>
        <w:spacing w:after="0"/>
        <w:ind w:left="714" w:hanging="357"/>
        <w:rPr>
          <w:color w:val="000000" w:themeColor="text1"/>
        </w:rPr>
      </w:pPr>
      <w:r w:rsidRPr="008D556C">
        <w:rPr>
          <w:i/>
          <w:iCs/>
          <w:color w:val="000000" w:themeColor="text1"/>
        </w:rPr>
        <w:t>(C.26)</w:t>
      </w:r>
      <w:r w:rsidRPr="008D556C">
        <w:rPr>
          <w:color w:val="000000" w:themeColor="text1"/>
        </w:rPr>
        <w:t xml:space="preserve"> ensure strong gender equality, inclusiveness, accountability and transparency in land-use decisions and planning.</w:t>
      </w:r>
    </w:p>
    <w:p w14:paraId="26921993" w14:textId="3910292E" w:rsidR="004C5C80" w:rsidRPr="00035B8D" w:rsidRDefault="004C5C80" w:rsidP="004C5C80">
      <w:pPr>
        <w:pStyle w:val="Caption"/>
        <w:rPr>
          <w:rFonts w:ascii="Calibri" w:hAnsi="Calibri" w:cs="Calibri"/>
          <w:color w:val="FF0000"/>
          <w:sz w:val="22"/>
          <w:szCs w:val="22"/>
        </w:rPr>
      </w:pPr>
      <w:bookmarkStart w:id="84" w:name="_Ref45969926"/>
      <w:bookmarkStart w:id="85" w:name="_Toc64037180"/>
      <w:r w:rsidRPr="00035B8D">
        <w:rPr>
          <w:rFonts w:ascii="Calibri" w:hAnsi="Calibri" w:cs="Calibri"/>
          <w:sz w:val="22"/>
          <w:szCs w:val="22"/>
        </w:rPr>
        <w:lastRenderedPageBreak/>
        <w:t xml:space="preserve">Figure </w:t>
      </w:r>
      <w:r w:rsidRPr="00035B8D">
        <w:rPr>
          <w:rFonts w:ascii="Calibri" w:hAnsi="Calibri" w:cs="Calibri"/>
          <w:sz w:val="22"/>
          <w:szCs w:val="22"/>
        </w:rPr>
        <w:fldChar w:fldCharType="begin"/>
      </w:r>
      <w:r w:rsidRPr="00035B8D">
        <w:rPr>
          <w:rFonts w:ascii="Calibri" w:hAnsi="Calibri" w:cs="Calibri"/>
          <w:sz w:val="22"/>
          <w:szCs w:val="22"/>
        </w:rPr>
        <w:instrText>SEQ Figure \* ARABIC</w:instrText>
      </w:r>
      <w:r w:rsidRPr="00035B8D">
        <w:rPr>
          <w:rFonts w:ascii="Calibri" w:hAnsi="Calibri" w:cs="Calibri"/>
          <w:sz w:val="22"/>
          <w:szCs w:val="22"/>
        </w:rPr>
        <w:fldChar w:fldCharType="separate"/>
      </w:r>
      <w:r w:rsidR="00A64193">
        <w:rPr>
          <w:rFonts w:ascii="Calibri" w:hAnsi="Calibri" w:cs="Calibri"/>
          <w:noProof/>
          <w:sz w:val="22"/>
          <w:szCs w:val="22"/>
        </w:rPr>
        <w:t>4</w:t>
      </w:r>
      <w:r w:rsidRPr="00035B8D">
        <w:rPr>
          <w:rFonts w:ascii="Calibri" w:hAnsi="Calibri" w:cs="Calibri"/>
          <w:sz w:val="22"/>
          <w:szCs w:val="22"/>
        </w:rPr>
        <w:fldChar w:fldCharType="end"/>
      </w:r>
      <w:bookmarkEnd w:id="84"/>
      <w:r w:rsidRPr="00035B8D">
        <w:rPr>
          <w:rFonts w:ascii="Calibri" w:hAnsi="Calibri" w:cs="Calibri"/>
          <w:sz w:val="22"/>
          <w:szCs w:val="22"/>
        </w:rPr>
        <w:t xml:space="preserve">. Pre-conditions for delivering LDN through </w:t>
      </w:r>
      <w:r w:rsidR="00035B8D">
        <w:rPr>
          <w:rFonts w:ascii="Calibri" w:hAnsi="Calibri" w:cs="Calibri"/>
          <w:sz w:val="22"/>
          <w:szCs w:val="22"/>
        </w:rPr>
        <w:t>l</w:t>
      </w:r>
      <w:r w:rsidR="001B248C" w:rsidRPr="00035B8D">
        <w:rPr>
          <w:rFonts w:ascii="Calibri" w:hAnsi="Calibri" w:cs="Calibri"/>
          <w:sz w:val="22"/>
          <w:szCs w:val="22"/>
        </w:rPr>
        <w:t>and-use plan</w:t>
      </w:r>
      <w:r w:rsidRPr="00035B8D">
        <w:rPr>
          <w:rFonts w:ascii="Calibri" w:hAnsi="Calibri" w:cs="Calibri"/>
          <w:sz w:val="22"/>
          <w:szCs w:val="22"/>
        </w:rPr>
        <w:t xml:space="preserve">ning </w:t>
      </w:r>
      <w:r w:rsidR="00035B8D">
        <w:rPr>
          <w:rFonts w:ascii="Calibri" w:hAnsi="Calibri" w:cs="Calibri"/>
          <w:sz w:val="22"/>
          <w:szCs w:val="22"/>
        </w:rPr>
        <w:t>and</w:t>
      </w:r>
      <w:r w:rsidRPr="00035B8D">
        <w:rPr>
          <w:rFonts w:ascii="Calibri" w:hAnsi="Calibri" w:cs="Calibri"/>
          <w:sz w:val="22"/>
          <w:szCs w:val="22"/>
        </w:rPr>
        <w:t xml:space="preserve"> </w:t>
      </w:r>
      <w:r w:rsidR="00035B8D">
        <w:rPr>
          <w:rFonts w:ascii="Calibri" w:hAnsi="Calibri" w:cs="Calibri"/>
          <w:sz w:val="22"/>
          <w:szCs w:val="22"/>
        </w:rPr>
        <w:t>m</w:t>
      </w:r>
      <w:r w:rsidRPr="00035B8D">
        <w:rPr>
          <w:rFonts w:ascii="Calibri" w:hAnsi="Calibri" w:cs="Calibri"/>
          <w:sz w:val="22"/>
          <w:szCs w:val="22"/>
        </w:rPr>
        <w:t>anagement</w:t>
      </w:r>
      <w:bookmarkEnd w:id="85"/>
    </w:p>
    <w:tbl>
      <w:tblPr>
        <w:tblStyle w:val="TableGrid"/>
        <w:tblW w:w="0" w:type="auto"/>
        <w:jc w:val="center"/>
        <w:tblLook w:val="04A0" w:firstRow="1" w:lastRow="0" w:firstColumn="1" w:lastColumn="0" w:noHBand="0" w:noVBand="1"/>
      </w:tblPr>
      <w:tblGrid>
        <w:gridCol w:w="9016"/>
      </w:tblGrid>
      <w:tr w:rsidR="004C5C80" w14:paraId="6B08971B" w14:textId="77777777" w:rsidTr="78C544BE">
        <w:trPr>
          <w:jc w:val="center"/>
        </w:trPr>
        <w:tc>
          <w:tcPr>
            <w:tcW w:w="9350" w:type="dxa"/>
          </w:tcPr>
          <w:p w14:paraId="4DEBD2F3" w14:textId="77777777" w:rsidR="004C5C80" w:rsidRPr="00435851" w:rsidRDefault="4A62D5CC" w:rsidP="007F275D">
            <w:pPr>
              <w:jc w:val="center"/>
              <w:rPr>
                <w:sz w:val="4"/>
                <w:szCs w:val="4"/>
              </w:rPr>
            </w:pPr>
            <w:r>
              <w:rPr>
                <w:noProof/>
              </w:rPr>
              <w:drawing>
                <wp:inline distT="0" distB="0" distL="0" distR="0" wp14:anchorId="0E302F67" wp14:editId="61E0A826">
                  <wp:extent cx="5497126" cy="3945270"/>
                  <wp:effectExtent l="0" t="0" r="889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pic:nvPicPr>
                        <pic:blipFill>
                          <a:blip r:embed="rId51">
                            <a:extLst>
                              <a:ext uri="{28A0092B-C50C-407E-A947-70E740481C1C}">
                                <a14:useLocalDpi xmlns:a14="http://schemas.microsoft.com/office/drawing/2010/main"/>
                              </a:ext>
                            </a:extLst>
                          </a:blip>
                          <a:stretch>
                            <a:fillRect/>
                          </a:stretch>
                        </pic:blipFill>
                        <pic:spPr>
                          <a:xfrm>
                            <a:off x="0" y="0"/>
                            <a:ext cx="5497126" cy="3945270"/>
                          </a:xfrm>
                          <a:prstGeom prst="rect">
                            <a:avLst/>
                          </a:prstGeom>
                        </pic:spPr>
                      </pic:pic>
                    </a:graphicData>
                  </a:graphic>
                </wp:inline>
              </w:drawing>
            </w:r>
          </w:p>
        </w:tc>
      </w:tr>
      <w:tr w:rsidR="004C5C80" w:rsidRPr="004C5C80" w14:paraId="7FDBEB74" w14:textId="77777777" w:rsidTr="78C544BE">
        <w:trPr>
          <w:jc w:val="center"/>
        </w:trPr>
        <w:tc>
          <w:tcPr>
            <w:tcW w:w="9350" w:type="dxa"/>
          </w:tcPr>
          <w:p w14:paraId="22E2F2D8" w14:textId="61E0328F" w:rsidR="004C5C80" w:rsidRPr="008A0540" w:rsidRDefault="004C5C80" w:rsidP="007F275D">
            <w:pPr>
              <w:rPr>
                <w:rFonts w:asciiTheme="minorHAnsi" w:hAnsiTheme="minorHAnsi" w:cstheme="minorHAnsi"/>
                <w:sz w:val="15"/>
                <w:szCs w:val="15"/>
                <w:u w:val="single"/>
              </w:rPr>
            </w:pPr>
            <w:r w:rsidRPr="008A0540">
              <w:rPr>
                <w:rFonts w:asciiTheme="minorHAnsi" w:hAnsiTheme="minorHAnsi" w:cstheme="minorHAnsi"/>
                <w:b/>
                <w:bCs/>
                <w:sz w:val="15"/>
                <w:szCs w:val="15"/>
              </w:rPr>
              <w:t>Source</w:t>
            </w:r>
            <w:r w:rsidRPr="008A0540">
              <w:rPr>
                <w:rFonts w:asciiTheme="minorHAnsi" w:hAnsiTheme="minorHAnsi" w:cstheme="minorHAnsi"/>
                <w:sz w:val="15"/>
                <w:szCs w:val="15"/>
              </w:rPr>
              <w:t xml:space="preserve">: Adapted from Enemakr et al. (2005). In Metternicht, G. (2018). Land Use and Spatial Planning: Enabling Sustainable Management of Land Resources. Land Use and Spatial Planning. The original figure is depicted in </w:t>
            </w:r>
            <w:r w:rsidRPr="008A0540">
              <w:rPr>
                <w:rFonts w:asciiTheme="minorHAnsi" w:hAnsiTheme="minorHAnsi" w:cstheme="minorHAnsi"/>
                <w:sz w:val="15"/>
                <w:szCs w:val="15"/>
                <w:u w:val="single"/>
              </w:rPr>
              <w:fldChar w:fldCharType="begin"/>
            </w:r>
            <w:r w:rsidRPr="008A0540">
              <w:rPr>
                <w:rFonts w:asciiTheme="minorHAnsi" w:hAnsiTheme="minorHAnsi" w:cstheme="minorHAnsi"/>
                <w:sz w:val="15"/>
                <w:szCs w:val="15"/>
                <w:u w:val="single"/>
              </w:rPr>
              <w:instrText xml:space="preserve"> REF _Ref40730098 \h  \* MERGEFORMAT </w:instrText>
            </w:r>
            <w:r w:rsidRPr="008A0540">
              <w:rPr>
                <w:rFonts w:asciiTheme="minorHAnsi" w:hAnsiTheme="minorHAnsi" w:cstheme="minorHAnsi"/>
                <w:sz w:val="15"/>
                <w:szCs w:val="15"/>
                <w:u w:val="single"/>
              </w:rPr>
            </w:r>
            <w:r w:rsidRPr="008A0540">
              <w:rPr>
                <w:rFonts w:asciiTheme="minorHAnsi" w:hAnsiTheme="minorHAnsi" w:cstheme="minorHAnsi"/>
                <w:sz w:val="15"/>
                <w:szCs w:val="15"/>
                <w:u w:val="single"/>
              </w:rPr>
              <w:fldChar w:fldCharType="separate"/>
            </w:r>
            <w:r w:rsidR="00A64193" w:rsidRPr="008A0540">
              <w:rPr>
                <w:rFonts w:asciiTheme="minorHAnsi" w:hAnsiTheme="minorHAnsi" w:cstheme="minorHAnsi"/>
                <w:sz w:val="15"/>
                <w:szCs w:val="15"/>
                <w:u w:val="single"/>
              </w:rPr>
              <w:t xml:space="preserve">Figure </w:t>
            </w:r>
            <w:r w:rsidR="00A64193" w:rsidRPr="008A0540">
              <w:rPr>
                <w:rFonts w:asciiTheme="minorHAnsi" w:hAnsiTheme="minorHAnsi" w:cstheme="minorHAnsi"/>
                <w:noProof/>
                <w:sz w:val="15"/>
                <w:szCs w:val="15"/>
                <w:u w:val="single"/>
              </w:rPr>
              <w:t>12</w:t>
            </w:r>
            <w:r w:rsidRPr="008A0540">
              <w:rPr>
                <w:rFonts w:asciiTheme="minorHAnsi" w:hAnsiTheme="minorHAnsi" w:cstheme="minorHAnsi"/>
                <w:sz w:val="15"/>
                <w:szCs w:val="15"/>
                <w:u w:val="single"/>
              </w:rPr>
              <w:fldChar w:fldCharType="end"/>
            </w:r>
            <w:r w:rsidRPr="008A0540">
              <w:rPr>
                <w:rFonts w:asciiTheme="minorHAnsi" w:hAnsiTheme="minorHAnsi" w:cstheme="minorHAnsi"/>
                <w:sz w:val="15"/>
                <w:szCs w:val="15"/>
              </w:rPr>
              <w:t xml:space="preserve">. </w:t>
            </w:r>
          </w:p>
          <w:p w14:paraId="4399D70D" w14:textId="5ADC0342" w:rsidR="004C5C80" w:rsidRPr="008A0540" w:rsidRDefault="004C5C80" w:rsidP="007F275D">
            <w:pPr>
              <w:rPr>
                <w:rFonts w:asciiTheme="minorHAnsi" w:hAnsiTheme="minorHAnsi" w:cstheme="minorHAnsi"/>
                <w:sz w:val="15"/>
                <w:szCs w:val="15"/>
              </w:rPr>
            </w:pPr>
            <w:r w:rsidRPr="008A0540">
              <w:rPr>
                <w:rFonts w:asciiTheme="minorHAnsi" w:hAnsiTheme="minorHAnsi" w:cstheme="minorHAnsi"/>
                <w:b/>
                <w:bCs/>
                <w:sz w:val="15"/>
                <w:szCs w:val="15"/>
              </w:rPr>
              <w:t>Note:</w:t>
            </w:r>
            <w:r w:rsidRPr="008A0540">
              <w:rPr>
                <w:rFonts w:asciiTheme="minorHAnsi" w:hAnsiTheme="minorHAnsi" w:cstheme="minorHAnsi"/>
                <w:sz w:val="15"/>
                <w:szCs w:val="15"/>
              </w:rPr>
              <w:t xml:space="preserve"> The project’s </w:t>
            </w:r>
            <w:hyperlink w:anchor="_Theory__of" w:history="1">
              <w:r w:rsidRPr="008A0540">
                <w:rPr>
                  <w:rStyle w:val="Hyperlink"/>
                  <w:rFonts w:asciiTheme="minorHAnsi" w:hAnsiTheme="minorHAnsi" w:cstheme="minorHAnsi"/>
                  <w:sz w:val="15"/>
                  <w:szCs w:val="15"/>
                </w:rPr>
                <w:t>Theory of Change (</w:t>
              </w:r>
              <w:r w:rsidR="00777621" w:rsidRPr="008A0540">
                <w:rPr>
                  <w:rStyle w:val="Hyperlink"/>
                  <w:rFonts w:asciiTheme="minorHAnsi" w:hAnsiTheme="minorHAnsi" w:cstheme="minorHAnsi"/>
                  <w:sz w:val="15"/>
                  <w:szCs w:val="15"/>
                </w:rPr>
                <w:t>ToC</w:t>
              </w:r>
              <w:r w:rsidRPr="008A0540">
                <w:rPr>
                  <w:rStyle w:val="Hyperlink"/>
                  <w:rFonts w:asciiTheme="minorHAnsi" w:hAnsiTheme="minorHAnsi" w:cstheme="minorHAnsi"/>
                  <w:sz w:val="15"/>
                  <w:szCs w:val="15"/>
                </w:rPr>
                <w:t>)</w:t>
              </w:r>
            </w:hyperlink>
            <w:r w:rsidRPr="008A0540">
              <w:rPr>
                <w:rFonts w:asciiTheme="minorHAnsi" w:hAnsiTheme="minorHAnsi" w:cstheme="minorHAnsi"/>
                <w:sz w:val="15"/>
                <w:szCs w:val="15"/>
              </w:rPr>
              <w:t xml:space="preserve"> discusses the context specific assumptions (needed conditions) and certain logical premises (given conditions) for the realization of a strategy centered around </w:t>
            </w:r>
            <w:r w:rsidR="001B248C" w:rsidRPr="008A0540">
              <w:rPr>
                <w:rFonts w:asciiTheme="minorHAnsi" w:hAnsiTheme="minorHAnsi" w:cstheme="minorHAnsi"/>
                <w:sz w:val="15"/>
                <w:szCs w:val="15"/>
              </w:rPr>
              <w:t>land-use plan</w:t>
            </w:r>
            <w:r w:rsidRPr="008A0540">
              <w:rPr>
                <w:rFonts w:asciiTheme="minorHAnsi" w:hAnsiTheme="minorHAnsi" w:cstheme="minorHAnsi"/>
                <w:sz w:val="15"/>
                <w:szCs w:val="15"/>
              </w:rPr>
              <w:t>ning and management.</w:t>
            </w:r>
          </w:p>
        </w:tc>
      </w:tr>
    </w:tbl>
    <w:p w14:paraId="6D63D053" w14:textId="7EEE09A0" w:rsidR="00637A49" w:rsidRPr="0081715E" w:rsidRDefault="0013477B" w:rsidP="001667C6">
      <w:pPr>
        <w:pStyle w:val="ParagraphOED"/>
        <w:numPr>
          <w:ilvl w:val="0"/>
          <w:numId w:val="102"/>
        </w:numPr>
        <w:spacing w:before="160" w:after="160"/>
      </w:pPr>
      <w:r w:rsidRPr="0081715E">
        <w:t xml:space="preserve">The application of </w:t>
      </w:r>
      <w:r w:rsidR="001B248C">
        <w:t>land-use plan</w:t>
      </w:r>
      <w:r w:rsidRPr="0081715E">
        <w:t>ning and management</w:t>
      </w:r>
      <w:r w:rsidR="00F33EDB">
        <w:t xml:space="preserve"> </w:t>
      </w:r>
      <w:r w:rsidRPr="0081715E">
        <w:t xml:space="preserve">shown in </w:t>
      </w:r>
      <w:r w:rsidRPr="00F33EDB">
        <w:rPr>
          <w:highlight w:val="lightGray"/>
        </w:rPr>
        <w:fldChar w:fldCharType="begin"/>
      </w:r>
      <w:r w:rsidRPr="00F33EDB">
        <w:rPr>
          <w:highlight w:val="lightGray"/>
        </w:rPr>
        <w:instrText xml:space="preserve"> REF _Ref45969926 \h  \* MERGEFORMAT </w:instrText>
      </w:r>
      <w:r w:rsidRPr="00F33EDB">
        <w:rPr>
          <w:highlight w:val="lightGray"/>
        </w:rPr>
      </w:r>
      <w:r w:rsidRPr="00F33EDB">
        <w:rPr>
          <w:highlight w:val="lightGray"/>
        </w:rPr>
        <w:fldChar w:fldCharType="separate"/>
      </w:r>
      <w:r w:rsidR="00A64193" w:rsidRPr="00A64193">
        <w:rPr>
          <w:highlight w:val="lightGray"/>
        </w:rPr>
        <w:t xml:space="preserve">Figure </w:t>
      </w:r>
      <w:r w:rsidR="00A64193" w:rsidRPr="00A64193">
        <w:rPr>
          <w:noProof/>
          <w:highlight w:val="lightGray"/>
        </w:rPr>
        <w:t>4</w:t>
      </w:r>
      <w:r w:rsidRPr="00F33EDB">
        <w:rPr>
          <w:highlight w:val="lightGray"/>
        </w:rPr>
        <w:fldChar w:fldCharType="end"/>
      </w:r>
      <w:r w:rsidRPr="0081715E">
        <w:t xml:space="preserve"> </w:t>
      </w:r>
      <w:r w:rsidR="00F33EDB">
        <w:t>i</w:t>
      </w:r>
      <w:r w:rsidRPr="0081715E">
        <w:t xml:space="preserve">s a </w:t>
      </w:r>
      <w:r w:rsidR="00F33EDB">
        <w:t xml:space="preserve">‘toolbox’ that addresses both </w:t>
      </w:r>
      <w:r w:rsidRPr="0081715E">
        <w:t>Sustainable Development and LDN</w:t>
      </w:r>
      <w:r w:rsidR="00F33EDB">
        <w:t xml:space="preserve"> through a variety of </w:t>
      </w:r>
      <w:r w:rsidRPr="0081715E">
        <w:t>tools, approaches and methodologies. More importantly,</w:t>
      </w:r>
      <w:r w:rsidRPr="0081715E">
        <w:rPr>
          <w:u w:val="single"/>
        </w:rPr>
        <w:t xml:space="preserve"> </w:t>
      </w:r>
      <w:r w:rsidR="00F33093" w:rsidRPr="0081715E">
        <w:rPr>
          <w:u w:val="single"/>
        </w:rPr>
        <w:fldChar w:fldCharType="begin"/>
      </w:r>
      <w:r w:rsidR="00F33093" w:rsidRPr="0081715E">
        <w:rPr>
          <w:u w:val="single"/>
        </w:rPr>
        <w:instrText xml:space="preserve"> REF _Ref45969926 \h  \* MERGEFORMAT </w:instrText>
      </w:r>
      <w:r w:rsidR="00F33093" w:rsidRPr="0081715E">
        <w:rPr>
          <w:u w:val="single"/>
        </w:rPr>
      </w:r>
      <w:r w:rsidR="00F33093" w:rsidRPr="0081715E">
        <w:rPr>
          <w:u w:val="single"/>
        </w:rPr>
        <w:fldChar w:fldCharType="separate"/>
      </w:r>
      <w:r w:rsidR="00A64193" w:rsidRPr="00A64193">
        <w:rPr>
          <w:u w:val="single"/>
        </w:rPr>
        <w:t xml:space="preserve">Figure </w:t>
      </w:r>
      <w:r w:rsidR="00A64193" w:rsidRPr="00A64193">
        <w:rPr>
          <w:noProof/>
          <w:u w:val="single"/>
        </w:rPr>
        <w:t>4</w:t>
      </w:r>
      <w:r w:rsidR="00F33093" w:rsidRPr="0081715E">
        <w:rPr>
          <w:u w:val="single"/>
        </w:rPr>
        <w:fldChar w:fldCharType="end"/>
      </w:r>
      <w:r w:rsidR="00F33093" w:rsidRPr="0081715E">
        <w:t xml:space="preserve"> summarizes in a few words </w:t>
      </w:r>
      <w:r w:rsidR="001745A9" w:rsidRPr="0081715E">
        <w:t xml:space="preserve">and boxes </w:t>
      </w:r>
      <w:r w:rsidR="00F33093" w:rsidRPr="0081715E">
        <w:t xml:space="preserve">several of the important LND principles, including the capital importance of land policies, </w:t>
      </w:r>
      <w:r w:rsidR="001B248C">
        <w:t>land-use plan</w:t>
      </w:r>
      <w:r w:rsidR="00F33093" w:rsidRPr="0081715E">
        <w:t xml:space="preserve">ning and management and of land information systems for LDN. </w:t>
      </w:r>
      <w:r w:rsidR="008C24F7">
        <w:t xml:space="preserve"> Importantly, at the bottom centre of the toolbox are featured </w:t>
      </w:r>
      <w:r w:rsidR="004E2FFA" w:rsidRPr="0081715E">
        <w:t>three elements</w:t>
      </w:r>
      <w:r w:rsidR="009563B4" w:rsidRPr="008C24F7">
        <w:t xml:space="preserve">: (i) application of the LDN response hierarchy; (ii) </w:t>
      </w:r>
      <w:r w:rsidR="0076520A" w:rsidRPr="008C24F7">
        <w:t>possibility of</w:t>
      </w:r>
      <w:r w:rsidR="008E50F7" w:rsidRPr="008C24F7">
        <w:t xml:space="preserve"> </w:t>
      </w:r>
      <w:r w:rsidR="009563B4" w:rsidRPr="008C24F7">
        <w:t>counterbalan</w:t>
      </w:r>
      <w:r w:rsidR="0076520A" w:rsidRPr="008C24F7">
        <w:t>cing</w:t>
      </w:r>
      <w:r w:rsidR="008E50F7" w:rsidRPr="008C24F7">
        <w:t xml:space="preserve"> </w:t>
      </w:r>
      <w:r w:rsidR="009563B4" w:rsidRPr="008C24F7">
        <w:t>‘losses’ and ‘gains’ elsewhere; and (iii)</w:t>
      </w:r>
      <w:r w:rsidR="009563B4" w:rsidRPr="0081715E">
        <w:rPr>
          <w:b/>
          <w:bCs/>
        </w:rPr>
        <w:t xml:space="preserve"> </w:t>
      </w:r>
      <w:r w:rsidR="009563B4" w:rsidRPr="0081715E">
        <w:t xml:space="preserve">the need for tracking </w:t>
      </w:r>
      <w:r w:rsidR="001B248C">
        <w:t>land-use dec</w:t>
      </w:r>
      <w:r w:rsidR="009563B4" w:rsidRPr="0081715E">
        <w:t xml:space="preserve">ision with respect to maintaining (or exceeding) LDN. Of all three elements mentioned, the first and third are conditions, the second is an option. </w:t>
      </w:r>
    </w:p>
    <w:p w14:paraId="01CC7A7F" w14:textId="0B6A0853" w:rsidR="009563B4" w:rsidRPr="00180029" w:rsidRDefault="001B248C" w:rsidP="00180029">
      <w:pPr>
        <w:spacing w:before="160" w:after="160"/>
        <w:rPr>
          <w:rFonts w:ascii="Calibri" w:hAnsi="Calibri"/>
          <w:i/>
          <w:iCs/>
          <w:sz w:val="21"/>
          <w:szCs w:val="21"/>
          <w:highlight w:val="lightGray"/>
        </w:rPr>
      </w:pPr>
      <w:bookmarkStart w:id="86" w:name="_Toc45712170"/>
      <w:r w:rsidRPr="00180029">
        <w:rPr>
          <w:rFonts w:ascii="Calibri" w:hAnsi="Calibri"/>
          <w:i/>
          <w:iCs/>
          <w:sz w:val="21"/>
          <w:szCs w:val="21"/>
          <w:highlight w:val="lightGray"/>
        </w:rPr>
        <w:t>Land-</w:t>
      </w:r>
      <w:r w:rsidR="00180029">
        <w:rPr>
          <w:rFonts w:ascii="Calibri" w:hAnsi="Calibri"/>
          <w:i/>
          <w:iCs/>
          <w:sz w:val="21"/>
          <w:szCs w:val="21"/>
          <w:highlight w:val="lightGray"/>
        </w:rPr>
        <w:t>U</w:t>
      </w:r>
      <w:r w:rsidRPr="00180029">
        <w:rPr>
          <w:rFonts w:ascii="Calibri" w:hAnsi="Calibri"/>
          <w:i/>
          <w:iCs/>
          <w:sz w:val="21"/>
          <w:szCs w:val="21"/>
          <w:highlight w:val="lightGray"/>
        </w:rPr>
        <w:t xml:space="preserve">se </w:t>
      </w:r>
      <w:r w:rsidR="00180029">
        <w:rPr>
          <w:rFonts w:ascii="Calibri" w:hAnsi="Calibri"/>
          <w:i/>
          <w:iCs/>
          <w:sz w:val="21"/>
          <w:szCs w:val="21"/>
          <w:highlight w:val="lightGray"/>
        </w:rPr>
        <w:t>D</w:t>
      </w:r>
      <w:r w:rsidRPr="00180029">
        <w:rPr>
          <w:rFonts w:ascii="Calibri" w:hAnsi="Calibri"/>
          <w:i/>
          <w:iCs/>
          <w:sz w:val="21"/>
          <w:szCs w:val="21"/>
          <w:highlight w:val="lightGray"/>
        </w:rPr>
        <w:t>ec</w:t>
      </w:r>
      <w:r w:rsidR="009563B4" w:rsidRPr="00180029">
        <w:rPr>
          <w:rFonts w:ascii="Calibri" w:hAnsi="Calibri"/>
          <w:i/>
          <w:iCs/>
          <w:sz w:val="21"/>
          <w:szCs w:val="21"/>
          <w:highlight w:val="lightGray"/>
        </w:rPr>
        <w:t>ision</w:t>
      </w:r>
      <w:r w:rsidR="00180029">
        <w:rPr>
          <w:rFonts w:ascii="Calibri" w:hAnsi="Calibri"/>
          <w:i/>
          <w:iCs/>
          <w:sz w:val="21"/>
          <w:szCs w:val="21"/>
          <w:highlight w:val="lightGray"/>
        </w:rPr>
        <w:t xml:space="preserve"> M</w:t>
      </w:r>
      <w:r w:rsidR="009563B4" w:rsidRPr="00180029">
        <w:rPr>
          <w:rFonts w:ascii="Calibri" w:hAnsi="Calibri"/>
          <w:i/>
          <w:iCs/>
          <w:sz w:val="21"/>
          <w:szCs w:val="21"/>
          <w:highlight w:val="lightGray"/>
        </w:rPr>
        <w:t>aking</w:t>
      </w:r>
      <w:bookmarkEnd w:id="86"/>
    </w:p>
    <w:p w14:paraId="0EE04AAC" w14:textId="5278B0EF" w:rsidR="009563B4" w:rsidRPr="0017400A" w:rsidRDefault="009563B4" w:rsidP="001667C6">
      <w:pPr>
        <w:pStyle w:val="ParagraphOED"/>
        <w:numPr>
          <w:ilvl w:val="0"/>
          <w:numId w:val="102"/>
        </w:numPr>
        <w:spacing w:after="160"/>
      </w:pPr>
      <w:r w:rsidRPr="1E65A5F7">
        <w:rPr>
          <w:b/>
          <w:bCs/>
        </w:rPr>
        <w:t>Decision-making on land-use in Angola is a complex and challeng</w:t>
      </w:r>
      <w:r w:rsidR="00180029" w:rsidRPr="1E65A5F7">
        <w:rPr>
          <w:b/>
          <w:bCs/>
        </w:rPr>
        <w:t>ing process</w:t>
      </w:r>
      <w:r w:rsidRPr="1E65A5F7">
        <w:rPr>
          <w:b/>
          <w:bCs/>
        </w:rPr>
        <w:t xml:space="preserve">. </w:t>
      </w:r>
      <w:r>
        <w:t xml:space="preserve">Several stakeholders </w:t>
      </w:r>
      <w:r w:rsidR="00180029">
        <w:t xml:space="preserve">from </w:t>
      </w:r>
      <w:r>
        <w:t>vari</w:t>
      </w:r>
      <w:r w:rsidR="00180029">
        <w:t>ous</w:t>
      </w:r>
      <w:r>
        <w:t xml:space="preserve"> spheres of influence, as well as government </w:t>
      </w:r>
      <w:r w:rsidR="00180029">
        <w:t xml:space="preserve">from </w:t>
      </w:r>
      <w:r>
        <w:t xml:space="preserve">different administrative levels, play a role in making decisions on land use within a given landscape. </w:t>
      </w:r>
      <w:r w:rsidR="00682DC5">
        <w:t>Hence,</w:t>
      </w:r>
      <w:r w:rsidR="00682DC5" w:rsidRPr="1E65A5F7">
        <w:rPr>
          <w:b/>
          <w:bCs/>
        </w:rPr>
        <w:t xml:space="preserve"> s</w:t>
      </w:r>
      <w:r w:rsidRPr="1E65A5F7">
        <w:rPr>
          <w:b/>
          <w:bCs/>
        </w:rPr>
        <w:t>patial planning</w:t>
      </w:r>
      <w:r>
        <w:t xml:space="preserve"> is both an essential framework and a tool for </w:t>
      </w:r>
      <w:r w:rsidR="00682DC5">
        <w:t xml:space="preserve">planning landscape </w:t>
      </w:r>
      <w:r>
        <w:t>manag</w:t>
      </w:r>
      <w:r w:rsidR="00682DC5">
        <w:t>ement</w:t>
      </w:r>
      <w:r>
        <w:t xml:space="preserve"> and coalescing support from stakeholders. However, it can be ineffective without strengthening institutions, policies and regulatory frameworks </w:t>
      </w:r>
      <w:r w:rsidR="00682DC5">
        <w:t xml:space="preserve">of </w:t>
      </w:r>
      <w:r>
        <w:t xml:space="preserve">the </w:t>
      </w:r>
      <w:r w:rsidR="00682DC5">
        <w:t>relevant</w:t>
      </w:r>
      <w:r>
        <w:t xml:space="preserve"> sectors. Angola </w:t>
      </w:r>
      <w:r w:rsidR="00212D0D">
        <w:t>needs</w:t>
      </w:r>
      <w:r>
        <w:t xml:space="preserve"> to institutionalize inclusive processes of decision-making on land use at different levels</w:t>
      </w:r>
      <w:r w:rsidR="00212D0D">
        <w:t>; and</w:t>
      </w:r>
      <w:r>
        <w:t xml:space="preserve"> to link decision-making to the spatial planning process</w:t>
      </w:r>
      <w:r w:rsidR="00212D0D">
        <w:t>, while</w:t>
      </w:r>
      <w:r>
        <w:t xml:space="preserve"> ensur</w:t>
      </w:r>
      <w:r w:rsidR="00212D0D">
        <w:t>ing</w:t>
      </w:r>
      <w:r>
        <w:t xml:space="preserve"> that the more difficult elements are enforceable. </w:t>
      </w:r>
    </w:p>
    <w:p w14:paraId="4D9D683F" w14:textId="3C5E1C9C" w:rsidR="009563B4" w:rsidRPr="00640671" w:rsidRDefault="009563B4" w:rsidP="001667C6">
      <w:pPr>
        <w:pStyle w:val="ParagraphOED"/>
        <w:numPr>
          <w:ilvl w:val="0"/>
          <w:numId w:val="102"/>
        </w:numPr>
        <w:spacing w:after="160"/>
        <w:rPr>
          <w:highlight w:val="yellow"/>
        </w:rPr>
      </w:pPr>
      <w:r>
        <w:t xml:space="preserve">A major </w:t>
      </w:r>
      <w:r w:rsidRPr="1E65A5F7">
        <w:rPr>
          <w:i/>
          <w:iCs/>
          <w:u w:val="single"/>
        </w:rPr>
        <w:t>barrier</w:t>
      </w:r>
      <w:r>
        <w:t xml:space="preserve"> for the advancement of spatial planning in Angola is the absence of suitable decision</w:t>
      </w:r>
      <w:r w:rsidR="00212D0D">
        <w:t>-</w:t>
      </w:r>
      <w:r>
        <w:t>support systems that can capture the complexity of land-use management processes. While the Spatial Planning Law (</w:t>
      </w:r>
      <w:r w:rsidRPr="1E65A5F7">
        <w:rPr>
          <w:i/>
          <w:iCs/>
        </w:rPr>
        <w:t>Lei do Ordenamento do Território e do Urbanismo</w:t>
      </w:r>
      <w:r>
        <w:t xml:space="preserve"> - LOTU Law, </w:t>
      </w:r>
      <w:r>
        <w:lastRenderedPageBreak/>
        <w:t xml:space="preserve">2014) foresees different types of </w:t>
      </w:r>
      <w:r w:rsidR="001B248C">
        <w:t>land-use plan</w:t>
      </w:r>
      <w:r>
        <w:t xml:space="preserve">ning </w:t>
      </w:r>
      <w:r w:rsidR="00212D0D">
        <w:t xml:space="preserve">being </w:t>
      </w:r>
      <w:r>
        <w:t>appl</w:t>
      </w:r>
      <w:r w:rsidR="00212D0D">
        <w:t>ied</w:t>
      </w:r>
      <w:r>
        <w:t xml:space="preserve"> </w:t>
      </w:r>
      <w:r w:rsidR="00212D0D">
        <w:t>at</w:t>
      </w:r>
      <w:r>
        <w:t xml:space="preserve"> </w:t>
      </w:r>
      <w:r w:rsidR="00212D0D">
        <w:t xml:space="preserve">various </w:t>
      </w:r>
      <w:r>
        <w:t>scales</w:t>
      </w:r>
      <w:r w:rsidR="00212D0D">
        <w:t xml:space="preserve"> for different</w:t>
      </w:r>
      <w:r>
        <w:t xml:space="preserve"> purposes and situations on the ground, the </w:t>
      </w:r>
      <w:r w:rsidR="00212D0D">
        <w:t xml:space="preserve">necessary </w:t>
      </w:r>
      <w:r>
        <w:t xml:space="preserve">technical inputs </w:t>
      </w:r>
      <w:r w:rsidR="00212D0D">
        <w:t>are</w:t>
      </w:r>
      <w:r>
        <w:t xml:space="preserve"> not spelled out. </w:t>
      </w:r>
      <w:r w:rsidR="001B248C">
        <w:t>Land-use plan</w:t>
      </w:r>
      <w:r>
        <w:t xml:space="preserve">ning is by default spatially based. However, the institutions that lead and advise </w:t>
      </w:r>
      <w:r w:rsidR="00212D0D">
        <w:t>on</w:t>
      </w:r>
      <w:r>
        <w:t xml:space="preserve"> </w:t>
      </w:r>
      <w:r w:rsidR="001B248C">
        <w:t>land-use plan</w:t>
      </w:r>
      <w:r>
        <w:t>ning and management lack the basic GIS tools and data for supporting the process. Furthermore, existing frameworks seems to concentrate mostly on planning and less on implementation</w:t>
      </w:r>
      <w:r w:rsidRPr="00640671">
        <w:rPr>
          <w:highlight w:val="yellow"/>
        </w:rPr>
        <w:t xml:space="preserve">. </w:t>
      </w:r>
      <w:r w:rsidR="00DF287E" w:rsidRPr="00640671">
        <w:rPr>
          <w:highlight w:val="yellow"/>
        </w:rPr>
        <w:t xml:space="preserve">According to </w:t>
      </w:r>
      <w:r w:rsidR="00AB1CB3" w:rsidRPr="00640671">
        <w:rPr>
          <w:highlight w:val="yellow"/>
        </w:rPr>
        <w:t>the Angolan Ministry of Urbanism and Housing</w:t>
      </w:r>
      <w:r w:rsidR="005D189A" w:rsidRPr="00640671">
        <w:rPr>
          <w:rStyle w:val="FootnoteReference"/>
          <w:highlight w:val="yellow"/>
        </w:rPr>
        <w:footnoteReference w:id="49"/>
      </w:r>
      <w:r w:rsidR="00C84532" w:rsidRPr="00640671">
        <w:rPr>
          <w:highlight w:val="yellow"/>
        </w:rPr>
        <w:t xml:space="preserve">, </w:t>
      </w:r>
      <w:r w:rsidR="00143F70" w:rsidRPr="00640671">
        <w:rPr>
          <w:highlight w:val="yellow"/>
        </w:rPr>
        <w:t>all</w:t>
      </w:r>
      <w:r w:rsidR="00514763" w:rsidRPr="00640671">
        <w:rPr>
          <w:highlight w:val="yellow"/>
        </w:rPr>
        <w:t xml:space="preserve"> </w:t>
      </w:r>
      <w:r w:rsidR="00143F70" w:rsidRPr="00640671">
        <w:rPr>
          <w:highlight w:val="yellow"/>
        </w:rPr>
        <w:t xml:space="preserve">166 territorial plans developed </w:t>
      </w:r>
      <w:r w:rsidR="00D85B20" w:rsidRPr="00640671">
        <w:rPr>
          <w:highlight w:val="yellow"/>
        </w:rPr>
        <w:t>at province level have been</w:t>
      </w:r>
      <w:r w:rsidR="00FA548F" w:rsidRPr="00640671">
        <w:rPr>
          <w:highlight w:val="yellow"/>
        </w:rPr>
        <w:t xml:space="preserve"> realized </w:t>
      </w:r>
      <w:r w:rsidR="00A8137D" w:rsidRPr="00640671">
        <w:rPr>
          <w:highlight w:val="yellow"/>
        </w:rPr>
        <w:t>by</w:t>
      </w:r>
      <w:r w:rsidR="00064504" w:rsidRPr="00640671">
        <w:rPr>
          <w:highlight w:val="yellow"/>
        </w:rPr>
        <w:t>, or with support from</w:t>
      </w:r>
      <w:r w:rsidR="00BA46A7" w:rsidRPr="00640671">
        <w:rPr>
          <w:highlight w:val="yellow"/>
        </w:rPr>
        <w:t>,</w:t>
      </w:r>
      <w:r w:rsidR="00A8137D" w:rsidRPr="00640671">
        <w:rPr>
          <w:highlight w:val="yellow"/>
        </w:rPr>
        <w:t xml:space="preserve"> external</w:t>
      </w:r>
      <w:r w:rsidR="004E1401" w:rsidRPr="00640671">
        <w:rPr>
          <w:highlight w:val="yellow"/>
        </w:rPr>
        <w:t xml:space="preserve"> </w:t>
      </w:r>
      <w:r w:rsidR="00475284" w:rsidRPr="00640671">
        <w:rPr>
          <w:highlight w:val="yellow"/>
        </w:rPr>
        <w:t>consultants.</w:t>
      </w:r>
      <w:r w:rsidR="00251CB2" w:rsidRPr="00640671">
        <w:rPr>
          <w:highlight w:val="yellow"/>
        </w:rPr>
        <w:t xml:space="preserve"> This further highlights the need for a strong capacity development component on the elaboration of ILUPs.</w:t>
      </w:r>
    </w:p>
    <w:p w14:paraId="2AB528D5" w14:textId="2ADC1732" w:rsidR="009563B4" w:rsidRDefault="009563B4" w:rsidP="001667C6">
      <w:pPr>
        <w:pStyle w:val="ParagraphOED"/>
        <w:numPr>
          <w:ilvl w:val="0"/>
          <w:numId w:val="102"/>
        </w:numPr>
        <w:spacing w:after="160"/>
      </w:pPr>
      <w:r>
        <w:t>Another constraint is linked to the</w:t>
      </w:r>
      <w:r w:rsidRPr="1E65A5F7">
        <w:rPr>
          <w:b/>
          <w:bCs/>
        </w:rPr>
        <w:t xml:space="preserve"> need to coordinate </w:t>
      </w:r>
      <w:r w:rsidR="001B248C" w:rsidRPr="1E65A5F7">
        <w:rPr>
          <w:b/>
          <w:bCs/>
        </w:rPr>
        <w:t>land-use dec</w:t>
      </w:r>
      <w:r w:rsidRPr="1E65A5F7">
        <w:rPr>
          <w:b/>
          <w:bCs/>
        </w:rPr>
        <w:t xml:space="preserve">ision-making across the </w:t>
      </w:r>
      <w:r w:rsidR="00212D0D" w:rsidRPr="1E65A5F7">
        <w:rPr>
          <w:b/>
          <w:bCs/>
        </w:rPr>
        <w:t xml:space="preserve">relevant </w:t>
      </w:r>
      <w:r w:rsidRPr="1E65A5F7">
        <w:rPr>
          <w:b/>
          <w:bCs/>
        </w:rPr>
        <w:t>sectors</w:t>
      </w:r>
      <w:r w:rsidR="00212D0D" w:rsidRPr="1E65A5F7">
        <w:rPr>
          <w:b/>
          <w:bCs/>
        </w:rPr>
        <w:t>,</w:t>
      </w:r>
      <w:r w:rsidRPr="1E65A5F7">
        <w:rPr>
          <w:b/>
          <w:bCs/>
        </w:rPr>
        <w:t xml:space="preserve"> </w:t>
      </w:r>
      <w:r w:rsidR="00212D0D">
        <w:t>notably</w:t>
      </w:r>
      <w:r w:rsidRPr="1E65A5F7">
        <w:rPr>
          <w:b/>
          <w:bCs/>
        </w:rPr>
        <w:t xml:space="preserve"> agricultur</w:t>
      </w:r>
      <w:r w:rsidR="00212D0D" w:rsidRPr="1E65A5F7">
        <w:rPr>
          <w:b/>
          <w:bCs/>
        </w:rPr>
        <w:t>e</w:t>
      </w:r>
      <w:r w:rsidRPr="1E65A5F7">
        <w:rPr>
          <w:b/>
          <w:bCs/>
        </w:rPr>
        <w:t>, forestry and water</w:t>
      </w:r>
      <w:r>
        <w:t xml:space="preserve">. However, decisions on investments regarding </w:t>
      </w:r>
      <w:r w:rsidRPr="1E65A5F7">
        <w:rPr>
          <w:b/>
          <w:bCs/>
        </w:rPr>
        <w:t>macro</w:t>
      </w:r>
      <w:r>
        <w:t xml:space="preserve"> </w:t>
      </w:r>
      <w:r w:rsidRPr="1E65A5F7">
        <w:rPr>
          <w:b/>
          <w:bCs/>
        </w:rPr>
        <w:t xml:space="preserve">infrastructures, roads and varied industries </w:t>
      </w:r>
      <w:r>
        <w:t>can also have a considerable impact on the landscape. The role of</w:t>
      </w:r>
      <w:r w:rsidRPr="1E65A5F7">
        <w:rPr>
          <w:b/>
          <w:bCs/>
        </w:rPr>
        <w:t xml:space="preserve"> market forces and of private sector </w:t>
      </w:r>
      <w:r>
        <w:t xml:space="preserve">players in </w:t>
      </w:r>
      <w:r w:rsidR="001B248C">
        <w:t>land-use dec</w:t>
      </w:r>
      <w:r>
        <w:t>isions-making processes is also relevant, particular</w:t>
      </w:r>
      <w:r w:rsidR="00212D0D">
        <w:t>ly</w:t>
      </w:r>
      <w:r>
        <w:t xml:space="preserve"> in </w:t>
      </w:r>
      <w:r w:rsidR="00212D0D">
        <w:t>relation to</w:t>
      </w:r>
      <w:r>
        <w:t xml:space="preserve"> the development of value chains and the negotiation of land-use trade-offs at the landscape level</w:t>
      </w:r>
      <w:r w:rsidR="00212D0D">
        <w:t>s</w:t>
      </w:r>
      <w:r>
        <w:t xml:space="preserve">. </w:t>
      </w:r>
    </w:p>
    <w:p w14:paraId="02EC3518" w14:textId="20CCF2D2" w:rsidR="009563B4" w:rsidRPr="0017400A" w:rsidRDefault="009563B4" w:rsidP="001667C6">
      <w:pPr>
        <w:pStyle w:val="ParagraphOED"/>
        <w:numPr>
          <w:ilvl w:val="0"/>
          <w:numId w:val="102"/>
        </w:numPr>
      </w:pPr>
      <w:r w:rsidRPr="1E65A5F7">
        <w:rPr>
          <w:b/>
          <w:bCs/>
        </w:rPr>
        <w:t>Angola’s LDN</w:t>
      </w:r>
      <w:r w:rsidR="00416BCE" w:rsidRPr="1E65A5F7">
        <w:rPr>
          <w:b/>
          <w:bCs/>
        </w:rPr>
        <w:t xml:space="preserve"> agenda</w:t>
      </w:r>
      <w:r w:rsidRPr="1E65A5F7">
        <w:rPr>
          <w:b/>
          <w:bCs/>
        </w:rPr>
        <w:t xml:space="preserve"> from 2018</w:t>
      </w:r>
      <w:r>
        <w:t xml:space="preserve"> foresees a multi-sectoral policy response </w:t>
      </w:r>
      <w:r w:rsidR="00416BCE">
        <w:t xml:space="preserve">to </w:t>
      </w:r>
      <w:r>
        <w:t>implement LDN frameworks</w:t>
      </w:r>
      <w:r w:rsidR="00416BCE">
        <w:t>,</w:t>
      </w:r>
      <w:r>
        <w:t xml:space="preserve"> aligning national efforts that can potentially provide a foundation for landscape-level interventions. The </w:t>
      </w:r>
      <w:r w:rsidR="38149BFA">
        <w:t xml:space="preserve"> Ministry of Culture, Tourism and Environment</w:t>
      </w:r>
      <w:r>
        <w:t xml:space="preserve"> (M</w:t>
      </w:r>
      <w:r w:rsidR="5E6B1013">
        <w:t>CTA</w:t>
      </w:r>
      <w:r>
        <w:t xml:space="preserve">) is </w:t>
      </w:r>
      <w:r w:rsidR="00416BCE">
        <w:t xml:space="preserve">at </w:t>
      </w:r>
      <w:r>
        <w:t xml:space="preserve">the forefront of LDN-driven initiatives and </w:t>
      </w:r>
      <w:r w:rsidR="00416BCE">
        <w:t>UNCCD</w:t>
      </w:r>
      <w:r>
        <w:t xml:space="preserve"> reporting, through its </w:t>
      </w:r>
      <w:r w:rsidR="38A164D4">
        <w:t xml:space="preserve"> Directorate of Environment and Climate Action</w:t>
      </w:r>
      <w:r>
        <w:t xml:space="preserve"> (</w:t>
      </w:r>
      <w:r w:rsidR="06F85F18">
        <w:t>DNAAC</w:t>
      </w:r>
      <w:r>
        <w:t xml:space="preserve">). In the next few years, </w:t>
      </w:r>
      <w:r w:rsidR="680D0BF7">
        <w:t>DNAAC</w:t>
      </w:r>
      <w:r>
        <w:t xml:space="preserve"> is expected to have the task of evaluating the effectiveness of </w:t>
      </w:r>
      <w:r w:rsidR="00416BCE">
        <w:t>LDN interventions</w:t>
      </w:r>
      <w:r>
        <w:t xml:space="preserve"> to</w:t>
      </w:r>
      <w:r w:rsidR="00416BCE">
        <w:t>wards</w:t>
      </w:r>
      <w:r>
        <w:t xml:space="preserve"> </w:t>
      </w:r>
      <w:r w:rsidR="00416BCE">
        <w:t xml:space="preserve">achieving </w:t>
      </w:r>
      <w:r>
        <w:t xml:space="preserve">the  target. </w:t>
      </w:r>
    </w:p>
    <w:p w14:paraId="3ABD98A9" w14:textId="2614D2E9" w:rsidR="009563B4" w:rsidRPr="00654E14" w:rsidRDefault="00443EEE" w:rsidP="001667C6">
      <w:pPr>
        <w:pStyle w:val="ParagraphOED"/>
        <w:numPr>
          <w:ilvl w:val="0"/>
          <w:numId w:val="102"/>
        </w:numPr>
      </w:pPr>
      <w:r>
        <w:t>More</w:t>
      </w:r>
      <w:r w:rsidR="009563B4">
        <w:t xml:space="preserve"> involvement of other institutions and sectoral players in </w:t>
      </w:r>
      <w:r>
        <w:t>delivering the</w:t>
      </w:r>
      <w:r w:rsidR="009563B4">
        <w:t xml:space="preserve"> LDN </w:t>
      </w:r>
      <w:r>
        <w:t>target</w:t>
      </w:r>
      <w:r w:rsidR="009563B4">
        <w:t xml:space="preserve"> </w:t>
      </w:r>
      <w:r>
        <w:t>is crucial</w:t>
      </w:r>
      <w:r w:rsidR="009563B4">
        <w:t xml:space="preserve"> desired, both at the national level and on the ground</w:t>
      </w:r>
      <w:r>
        <w:t>, and a</w:t>
      </w:r>
      <w:r w:rsidR="009563B4">
        <w:t xml:space="preserve"> much stronger </w:t>
      </w:r>
      <w:r>
        <w:t xml:space="preserve">formalized alliance between </w:t>
      </w:r>
      <w:r w:rsidR="009563B4">
        <w:t>between M</w:t>
      </w:r>
      <w:r w:rsidR="468D66AB">
        <w:t>CTA</w:t>
      </w:r>
      <w:r w:rsidR="009563B4">
        <w:t xml:space="preserve"> and MINAGRI</w:t>
      </w:r>
      <w:r w:rsidR="682F5D20">
        <w:t>P</w:t>
      </w:r>
      <w:r w:rsidR="009563B4">
        <w:t xml:space="preserve"> </w:t>
      </w:r>
      <w:r>
        <w:t xml:space="preserve">is essential, with </w:t>
      </w:r>
      <w:r w:rsidR="009563B4">
        <w:t xml:space="preserve">differences </w:t>
      </w:r>
      <w:r>
        <w:t xml:space="preserve">in land-use policies and approaches resolved/harmonized </w:t>
      </w:r>
      <w:r w:rsidR="009563B4">
        <w:t xml:space="preserve"> </w:t>
      </w:r>
    </w:p>
    <w:p w14:paraId="1696550E" w14:textId="257A8D07" w:rsidR="009563B4" w:rsidRPr="0017400A" w:rsidRDefault="009563B4" w:rsidP="001667C6">
      <w:pPr>
        <w:pStyle w:val="ParagraphOED"/>
        <w:numPr>
          <w:ilvl w:val="0"/>
          <w:numId w:val="102"/>
        </w:numPr>
        <w:spacing w:after="160"/>
      </w:pPr>
      <w:r>
        <w:t>With the plurality of stakeholders, decisions</w:t>
      </w:r>
      <w:r w:rsidRPr="1E65A5F7">
        <w:rPr>
          <w:b/>
          <w:bCs/>
        </w:rPr>
        <w:t xml:space="preserve"> </w:t>
      </w:r>
      <w:r>
        <w:t xml:space="preserve">may have conflicting objectives. Furthermore, </w:t>
      </w:r>
      <w:r w:rsidRPr="1E65A5F7">
        <w:rPr>
          <w:b/>
          <w:bCs/>
        </w:rPr>
        <w:t>decisions that influence the outcome for landscapes are also scale-dependent</w:t>
      </w:r>
      <w:r>
        <w:t xml:space="preserve"> – that is, decisions are made at the national, provincial, commune level or even at the local community and at the farm levels may also have conflicting objectives. Some decisions are made at the regional level (e.g. at SADAC level or within a transboundary basin committee) and yet others at the global level (e.g. the push from the UNCCD COP for Parties to establish of LDN national targets and pursue them). All of these decisions are influenced by the prevailing sectoral frameworks and market forces. Angola is yet to develop a comprehensive decision support framework for </w:t>
      </w:r>
      <w:r w:rsidR="001B248C">
        <w:t>land-use plan</w:t>
      </w:r>
      <w:r>
        <w:t xml:space="preserve">ning and management. The LDN agenda may be a positive driver in this respect. </w:t>
      </w:r>
    </w:p>
    <w:p w14:paraId="5C8D859B" w14:textId="65E4203F" w:rsidR="00A2349B" w:rsidRDefault="009563B4" w:rsidP="001667C6">
      <w:pPr>
        <w:pStyle w:val="ParagraphOED"/>
        <w:numPr>
          <w:ilvl w:val="0"/>
          <w:numId w:val="102"/>
        </w:numPr>
        <w:spacing w:after="160"/>
      </w:pPr>
      <w:r>
        <w:t xml:space="preserve">At the same time, there are </w:t>
      </w:r>
      <w:r w:rsidRPr="1E65A5F7">
        <w:rPr>
          <w:b/>
          <w:bCs/>
        </w:rPr>
        <w:t>nascent policy and regulatory frameworks for managing land-use and natural resources</w:t>
      </w:r>
      <w:r>
        <w:t xml:space="preserve"> in Angola. Some of these are spatially-based, while others are sectoral. The Land Law (09/04), Territorial Planning Law (03/04), Agrarian Development Law (15/05), Environmental Law (5/98) and </w:t>
      </w:r>
      <w:r w:rsidR="0031732C">
        <w:t xml:space="preserve">more </w:t>
      </w:r>
      <w:r>
        <w:t>recent Law on Forest (6/17) provide useful frameworks, but when it comes to integrat</w:t>
      </w:r>
      <w:r w:rsidR="0031732C">
        <w:t>ing</w:t>
      </w:r>
      <w:r>
        <w:t xml:space="preserve"> management of landscapes, there are many </w:t>
      </w:r>
      <w:r w:rsidR="00A2349B">
        <w:t>anomalies</w:t>
      </w:r>
      <w:r>
        <w:t xml:space="preserve">. </w:t>
      </w:r>
    </w:p>
    <w:p w14:paraId="39E57CE9" w14:textId="06BCDB9A" w:rsidR="00A2349B" w:rsidRDefault="00A2349B" w:rsidP="001667C6">
      <w:pPr>
        <w:pStyle w:val="ParagraphOED"/>
        <w:numPr>
          <w:ilvl w:val="0"/>
          <w:numId w:val="102"/>
        </w:numPr>
        <w:spacing w:after="160"/>
      </w:pPr>
      <w:r>
        <w:t xml:space="preserve">Clearly, current frameworks are not effective enough for regulating land-use across different scales, nor integrating the different regimes of access to land, resources and land use. Cross-sectoral integration is </w:t>
      </w:r>
      <w:r w:rsidRPr="1E65A5F7">
        <w:rPr>
          <w:i/>
          <w:iCs/>
        </w:rPr>
        <w:t xml:space="preserve">ad hoc </w:t>
      </w:r>
      <w:r>
        <w:t xml:space="preserve">and insufficient, therefore functions as a </w:t>
      </w:r>
      <w:r w:rsidRPr="1E65A5F7">
        <w:rPr>
          <w:i/>
          <w:iCs/>
        </w:rPr>
        <w:t>barrier</w:t>
      </w:r>
      <w:r>
        <w:t>.  The SHARP Assessment indicates that forests are accessed by 92% of producers on average, unabated, and that 80% of respondents use forest trees as source of charcoal. In Angola, there is no regulatory backing for the establishment of community-based forest management (CBFM) schemes, although such regimes and schemes are common in neighboring countries.</w:t>
      </w:r>
    </w:p>
    <w:p w14:paraId="7CB56668" w14:textId="6860A42C" w:rsidR="009563B4" w:rsidRPr="00A2349B" w:rsidRDefault="009563B4" w:rsidP="00A2349B">
      <w:pPr>
        <w:spacing w:before="160" w:after="160"/>
        <w:rPr>
          <w:rFonts w:ascii="Calibri" w:hAnsi="Calibri"/>
          <w:i/>
          <w:iCs/>
          <w:sz w:val="21"/>
          <w:szCs w:val="21"/>
          <w:highlight w:val="lightGray"/>
        </w:rPr>
      </w:pPr>
      <w:bookmarkStart w:id="87" w:name="_Toc45712171"/>
      <w:r w:rsidRPr="00A2349B">
        <w:rPr>
          <w:rFonts w:ascii="Calibri" w:hAnsi="Calibri"/>
          <w:i/>
          <w:iCs/>
          <w:sz w:val="21"/>
          <w:szCs w:val="21"/>
          <w:highlight w:val="lightGray"/>
        </w:rPr>
        <w:t>Land Tenure Governance</w:t>
      </w:r>
      <w:bookmarkEnd w:id="87"/>
    </w:p>
    <w:p w14:paraId="56268F3A" w14:textId="0EDD65A9" w:rsidR="009563B4" w:rsidRPr="0017400A" w:rsidRDefault="00A2349B" w:rsidP="001667C6">
      <w:pPr>
        <w:pStyle w:val="ParagraphOED"/>
        <w:numPr>
          <w:ilvl w:val="0"/>
          <w:numId w:val="102"/>
        </w:numPr>
        <w:spacing w:after="160"/>
      </w:pPr>
      <w:r w:rsidRPr="1E65A5F7">
        <w:rPr>
          <w:b/>
          <w:bCs/>
        </w:rPr>
        <w:lastRenderedPageBreak/>
        <w:t>A</w:t>
      </w:r>
      <w:r w:rsidR="009563B4" w:rsidRPr="1E65A5F7">
        <w:rPr>
          <w:b/>
          <w:bCs/>
        </w:rPr>
        <w:t>pplication of the land tenure regime in Angola</w:t>
      </w:r>
      <w:r w:rsidR="009563B4">
        <w:t xml:space="preserve"> poses </w:t>
      </w:r>
      <w:r>
        <w:t>additional</w:t>
      </w:r>
      <w:r w:rsidR="009563B4">
        <w:t xml:space="preserve"> challenges in relation to </w:t>
      </w:r>
      <w:r w:rsidR="001B248C">
        <w:t>land-use man</w:t>
      </w:r>
      <w:r w:rsidR="009563B4">
        <w:t>agement</w:t>
      </w:r>
      <w:r>
        <w:t>, while</w:t>
      </w:r>
      <w:r w:rsidR="009563B4">
        <w:t xml:space="preserve"> noting that </w:t>
      </w:r>
      <w:r w:rsidR="001B248C">
        <w:t>land-use man</w:t>
      </w:r>
      <w:r w:rsidR="009563B4">
        <w:t xml:space="preserve">agement is </w:t>
      </w:r>
      <w:r>
        <w:t>primarily</w:t>
      </w:r>
      <w:r w:rsidR="009563B4">
        <w:t xml:space="preserve"> concerned with the planning and enforcement of </w:t>
      </w:r>
      <w:r w:rsidR="00B33376">
        <w:t xml:space="preserve">land-use </w:t>
      </w:r>
      <w:r w:rsidR="009563B4">
        <w:t>practices</w:t>
      </w:r>
      <w:r>
        <w:t>.</w:t>
      </w:r>
      <w:r w:rsidR="009563B4">
        <w:t xml:space="preserve"> </w:t>
      </w:r>
      <w:r>
        <w:t>Indeed,</w:t>
      </w:r>
      <w:r w:rsidRPr="1E65A5F7">
        <w:rPr>
          <w:b/>
          <w:bCs/>
        </w:rPr>
        <w:t xml:space="preserve"> poorly regulated land use over the years has had a pernicious impact on land productivity,</w:t>
      </w:r>
      <w:r>
        <w:t xml:space="preserve">  often resulting in land degradation.</w:t>
      </w:r>
    </w:p>
    <w:p w14:paraId="20519032" w14:textId="7051082D" w:rsidR="009563B4" w:rsidRPr="0017400A" w:rsidRDefault="00A2349B" w:rsidP="001667C6">
      <w:pPr>
        <w:pStyle w:val="ParagraphOED"/>
        <w:numPr>
          <w:ilvl w:val="0"/>
          <w:numId w:val="102"/>
        </w:numPr>
        <w:spacing w:after="160"/>
      </w:pPr>
      <w:r w:rsidRPr="1E65A5F7">
        <w:rPr>
          <w:b/>
          <w:bCs/>
        </w:rPr>
        <w:t>L</w:t>
      </w:r>
      <w:r w:rsidR="009563B4">
        <w:t xml:space="preserve">and tenure governance is ensured at village level </w:t>
      </w:r>
      <w:r w:rsidR="006C5F69">
        <w:t xml:space="preserve">in accordance with </w:t>
      </w:r>
      <w:r w:rsidR="009563B4">
        <w:t>the directives and decisions of traditional authorities (</w:t>
      </w:r>
      <w:r w:rsidR="009563B4" w:rsidRPr="1E65A5F7">
        <w:rPr>
          <w:i/>
          <w:iCs/>
        </w:rPr>
        <w:t>Sobas</w:t>
      </w:r>
      <w:r w:rsidR="009563B4">
        <w:t xml:space="preserve">) – with or without the involvement of the State and the implication of processes foreseen in the Land Law and </w:t>
      </w:r>
      <w:r w:rsidR="006C5F69">
        <w:t>R</w:t>
      </w:r>
      <w:r w:rsidR="009563B4">
        <w:t xml:space="preserve">egulations. These practices vary significantly according to locality, kinship, ethnicity, gender and, quite importantly, level of access to knowledge and the ease of navigating the process of asserting rights – land rights in particular. </w:t>
      </w:r>
    </w:p>
    <w:p w14:paraId="78B95B22" w14:textId="0AB9E250" w:rsidR="009563B4" w:rsidRPr="0017400A" w:rsidRDefault="009563B4" w:rsidP="001667C6">
      <w:pPr>
        <w:pStyle w:val="ParagraphOED"/>
        <w:numPr>
          <w:ilvl w:val="0"/>
          <w:numId w:val="102"/>
        </w:numPr>
        <w:spacing w:after="160"/>
      </w:pPr>
      <w:r>
        <w:t xml:space="preserve">For the majority of local communities, the constitutional principle of ‘all land belonging to the State’ could be interpreted </w:t>
      </w:r>
      <w:r w:rsidR="006C5F69">
        <w:t>along</w:t>
      </w:r>
      <w:r>
        <w:t xml:space="preserve"> the lines of shared property, ‘good land stewardship’ or other tenure systems that are based on </w:t>
      </w:r>
      <w:r w:rsidRPr="1E65A5F7">
        <w:rPr>
          <w:b/>
          <w:bCs/>
        </w:rPr>
        <w:t>‘structured common property’</w:t>
      </w:r>
      <w:r>
        <w:t xml:space="preserve">. Currently, Angola have  models of structured common property </w:t>
      </w:r>
      <w:r w:rsidR="2B836CE5">
        <w:t xml:space="preserve">(customary common right, acording to Land Law </w:t>
      </w:r>
      <w:r w:rsidR="00E63095">
        <w:t>-</w:t>
      </w:r>
      <w:r w:rsidR="2B836CE5">
        <w:t>09/04), however its implemenmtation reamins</w:t>
      </w:r>
      <w:r w:rsidR="2B6F8709">
        <w:t xml:space="preserve"> weak due to low capaities of local institutions to implement it</w:t>
      </w:r>
      <w:r>
        <w:t xml:space="preserve">. Also, the prevailing land tenure models have failed to ensure equitable stakeholder participation in decision-making and in the sharing of benefits from land productivity. Women are particularly marginalized </w:t>
      </w:r>
      <w:r w:rsidR="006C5F69">
        <w:t>from</w:t>
      </w:r>
      <w:r>
        <w:t xml:space="preserve"> the process </w:t>
      </w:r>
      <w:r w:rsidR="006C5F69">
        <w:t xml:space="preserve">of </w:t>
      </w:r>
      <w:r w:rsidR="001B248C">
        <w:t>land-use dec</w:t>
      </w:r>
      <w:r>
        <w:t xml:space="preserve">ision making and – more relevant for tenure – from the process of land attribution at the local level. </w:t>
      </w:r>
    </w:p>
    <w:p w14:paraId="79EA2AB3" w14:textId="4EED58E0" w:rsidR="009563B4" w:rsidRPr="0066194B" w:rsidRDefault="009563B4" w:rsidP="001667C6">
      <w:pPr>
        <w:pStyle w:val="ParagraphOED"/>
        <w:numPr>
          <w:ilvl w:val="0"/>
          <w:numId w:val="102"/>
        </w:numPr>
      </w:pPr>
      <w:r w:rsidRPr="1E65A5F7">
        <w:rPr>
          <w:b/>
          <w:bCs/>
        </w:rPr>
        <w:t xml:space="preserve">Three major problems </w:t>
      </w:r>
      <w:r w:rsidR="002F5019" w:rsidRPr="1E65A5F7">
        <w:rPr>
          <w:b/>
          <w:bCs/>
        </w:rPr>
        <w:t>are</w:t>
      </w:r>
      <w:r w:rsidRPr="1E65A5F7">
        <w:rPr>
          <w:b/>
          <w:bCs/>
        </w:rPr>
        <w:t xml:space="preserve"> highlighted</w:t>
      </w:r>
      <w:r>
        <w:t xml:space="preserve"> with respect to asserting communities’ common tenure rights vis-à-vis the land that they traditionally use: (i) lack of institutional capacity </w:t>
      </w:r>
      <w:r w:rsidR="002F5019">
        <w:t xml:space="preserve">on </w:t>
      </w:r>
      <w:r>
        <w:t xml:space="preserve">the part of State agencies to manage the land titles registration process; (ii) </w:t>
      </w:r>
      <w:r w:rsidR="67DBE1B0">
        <w:t>need of legal regulatory framework improvemnts regarding community land delimitation procedures</w:t>
      </w:r>
      <w:r>
        <w:t>; and (iii) women’s limited participation in the process of asserting their rights, especially in rural settings. Th</w:t>
      </w:r>
      <w:r w:rsidR="002F5019">
        <w:t xml:space="preserve">us, </w:t>
      </w:r>
      <w:r>
        <w:t xml:space="preserve">women and other vulnerable groups </w:t>
      </w:r>
      <w:r w:rsidR="002F5019">
        <w:t xml:space="preserve">are </w:t>
      </w:r>
      <w:r>
        <w:t xml:space="preserve">marginalized </w:t>
      </w:r>
      <w:r w:rsidR="002F5019">
        <w:t>from</w:t>
      </w:r>
      <w:r>
        <w:t xml:space="preserve"> the process of making land-use decisions. </w:t>
      </w:r>
    </w:p>
    <w:p w14:paraId="2774FEE7" w14:textId="0F39AF0D" w:rsidR="009563B4" w:rsidRPr="00F75961" w:rsidRDefault="460C6265" w:rsidP="001667C6">
      <w:pPr>
        <w:pStyle w:val="ParagraphOED"/>
        <w:numPr>
          <w:ilvl w:val="0"/>
          <w:numId w:val="102"/>
        </w:numPr>
      </w:pPr>
      <w:r>
        <w:t xml:space="preserve">FAO reported in 2020 that </w:t>
      </w:r>
      <w:r w:rsidR="35972190">
        <w:t xml:space="preserve">aproximatelly </w:t>
      </w:r>
      <w:r>
        <w:t xml:space="preserve">300 local communities across the country </w:t>
      </w:r>
      <w:r w:rsidR="0105963A">
        <w:t xml:space="preserve">had </w:t>
      </w:r>
      <w:r>
        <w:t>regist</w:t>
      </w:r>
      <w:r w:rsidR="55055641">
        <w:t>ered</w:t>
      </w:r>
      <w:r>
        <w:t xml:space="preserve"> </w:t>
      </w:r>
      <w:r w:rsidR="55055641">
        <w:t xml:space="preserve">land </w:t>
      </w:r>
      <w:r>
        <w:t>through the formal process prescribed by the Land Law and</w:t>
      </w:r>
      <w:r w:rsidR="55055641">
        <w:t>,</w:t>
      </w:r>
      <w:r>
        <w:t xml:space="preserve"> in most cases</w:t>
      </w:r>
      <w:r w:rsidR="55055641">
        <w:t>,</w:t>
      </w:r>
      <w:r>
        <w:t xml:space="preserve"> with  technical assistance </w:t>
      </w:r>
      <w:r w:rsidR="1189F4E1">
        <w:t>of FAO and NGOs</w:t>
      </w:r>
      <w:r>
        <w:t xml:space="preserve"> throughout the local consultation </w:t>
      </w:r>
      <w:r w:rsidR="55055641">
        <w:t xml:space="preserve">process </w:t>
      </w:r>
      <w:r>
        <w:t xml:space="preserve">and formal bureaucratic registration. </w:t>
      </w:r>
      <w:r w:rsidR="2627D8DB">
        <w:t>The Minha Terra Program, launched by presidential decree in 2019 is a clear indicative of political will</w:t>
      </w:r>
      <w:r w:rsidR="115F528A">
        <w:t>ing</w:t>
      </w:r>
      <w:r w:rsidR="61EA3296">
        <w:t>ne</w:t>
      </w:r>
      <w:r w:rsidR="115F528A">
        <w:t>s</w:t>
      </w:r>
      <w:r w:rsidR="61EA3296">
        <w:t xml:space="preserve">s on inproving community land registration situation in the country. </w:t>
      </w:r>
      <w:r w:rsidR="71FF0AB5">
        <w:t xml:space="preserve">Community land registration might help land use planning process in specific cases, as community land delimitation process involves a prliminary </w:t>
      </w:r>
      <w:r w:rsidR="7BDB9064">
        <w:t>assesment of communities natural resources and management procedures.</w:t>
      </w:r>
    </w:p>
    <w:p w14:paraId="617F63A6" w14:textId="07FA33DC" w:rsidR="009563B4" w:rsidRPr="00477A4F" w:rsidRDefault="009563B4" w:rsidP="0056610A">
      <w:pPr>
        <w:spacing w:before="160" w:after="160"/>
        <w:rPr>
          <w:rFonts w:ascii="Calibri" w:hAnsi="Calibri"/>
          <w:i/>
          <w:iCs/>
          <w:sz w:val="21"/>
          <w:szCs w:val="21"/>
          <w:highlight w:val="lightGray"/>
        </w:rPr>
      </w:pPr>
      <w:bookmarkStart w:id="88" w:name="_Toc45712172"/>
      <w:r w:rsidRPr="00477A4F">
        <w:rPr>
          <w:rFonts w:ascii="Calibri" w:hAnsi="Calibri"/>
          <w:i/>
          <w:iCs/>
          <w:sz w:val="21"/>
          <w:szCs w:val="21"/>
          <w:highlight w:val="lightGray"/>
        </w:rPr>
        <w:t xml:space="preserve">Stakeholder </w:t>
      </w:r>
      <w:r w:rsidR="00477A4F">
        <w:rPr>
          <w:rFonts w:ascii="Calibri" w:hAnsi="Calibri"/>
          <w:i/>
          <w:iCs/>
          <w:sz w:val="21"/>
          <w:szCs w:val="21"/>
          <w:highlight w:val="lightGray"/>
        </w:rPr>
        <w:t>P</w:t>
      </w:r>
      <w:r w:rsidRPr="00477A4F">
        <w:rPr>
          <w:rFonts w:ascii="Calibri" w:hAnsi="Calibri"/>
          <w:i/>
          <w:iCs/>
          <w:sz w:val="21"/>
          <w:szCs w:val="21"/>
          <w:highlight w:val="lightGray"/>
        </w:rPr>
        <w:t xml:space="preserve">articipaiton and </w:t>
      </w:r>
      <w:r w:rsidR="00477A4F" w:rsidRPr="00477A4F">
        <w:rPr>
          <w:rFonts w:ascii="Calibri" w:hAnsi="Calibri"/>
          <w:i/>
          <w:iCs/>
          <w:sz w:val="21"/>
          <w:szCs w:val="21"/>
          <w:highlight w:val="lightGray"/>
        </w:rPr>
        <w:t xml:space="preserve">Capacity </w:t>
      </w:r>
      <w:r w:rsidR="00477A4F">
        <w:rPr>
          <w:rFonts w:ascii="Calibri" w:hAnsi="Calibri"/>
          <w:i/>
          <w:iCs/>
          <w:sz w:val="21"/>
          <w:szCs w:val="21"/>
          <w:highlight w:val="lightGray"/>
        </w:rPr>
        <w:t>f</w:t>
      </w:r>
      <w:r w:rsidR="00477A4F" w:rsidRPr="00477A4F">
        <w:rPr>
          <w:rFonts w:ascii="Calibri" w:hAnsi="Calibri"/>
          <w:i/>
          <w:iCs/>
          <w:sz w:val="21"/>
          <w:szCs w:val="21"/>
          <w:highlight w:val="lightGray"/>
        </w:rPr>
        <w:t>or Collaborative Land-Use Planning</w:t>
      </w:r>
      <w:bookmarkEnd w:id="88"/>
    </w:p>
    <w:p w14:paraId="6F1ECB37" w14:textId="2C4A4C0B" w:rsidR="009563B4" w:rsidRPr="00F33B4A" w:rsidRDefault="009563B4" w:rsidP="001667C6">
      <w:pPr>
        <w:pStyle w:val="ParagraphOED"/>
        <w:numPr>
          <w:ilvl w:val="0"/>
          <w:numId w:val="102"/>
        </w:numPr>
        <w:spacing w:after="160"/>
      </w:pPr>
      <w:r>
        <w:t xml:space="preserve"> The </w:t>
      </w:r>
      <w:r w:rsidR="00BE16AD">
        <w:t>p</w:t>
      </w:r>
      <w:r>
        <w:t xml:space="preserve">roject’s </w:t>
      </w:r>
      <w:r w:rsidR="00BE16AD">
        <w:t>mantra</w:t>
      </w:r>
      <w:r>
        <w:t xml:space="preserve"> on applying the </w:t>
      </w:r>
      <w:r w:rsidR="00BE16AD" w:rsidRPr="1E65A5F7">
        <w:rPr>
          <w:i/>
          <w:iCs/>
        </w:rPr>
        <w:t>integrated l</w:t>
      </w:r>
      <w:r w:rsidRPr="1E65A5F7">
        <w:rPr>
          <w:i/>
          <w:iCs/>
        </w:rPr>
        <w:t xml:space="preserve">andscape </w:t>
      </w:r>
      <w:r w:rsidR="00BE16AD" w:rsidRPr="1E65A5F7">
        <w:rPr>
          <w:i/>
          <w:iCs/>
        </w:rPr>
        <w:t>a</w:t>
      </w:r>
      <w:r w:rsidRPr="1E65A5F7">
        <w:rPr>
          <w:i/>
          <w:iCs/>
        </w:rPr>
        <w:t>pproach</w:t>
      </w:r>
      <w:r>
        <w:t xml:space="preserve"> requires effective inter-institutional collaboration </w:t>
      </w:r>
      <w:r w:rsidR="00BE16AD">
        <w:t xml:space="preserve">and intersectoral mainstreaming </w:t>
      </w:r>
      <w:r>
        <w:t xml:space="preserve">– the lack of which represents a barrier. </w:t>
      </w:r>
    </w:p>
    <w:p w14:paraId="0B66FD1D" w14:textId="34FAA715" w:rsidR="009563B4" w:rsidRPr="0017400A" w:rsidRDefault="009563B4" w:rsidP="001667C6">
      <w:pPr>
        <w:pStyle w:val="ParagraphOED"/>
        <w:numPr>
          <w:ilvl w:val="0"/>
          <w:numId w:val="102"/>
        </w:numPr>
        <w:spacing w:after="160"/>
      </w:pPr>
      <w:r>
        <w:t xml:space="preserve">A model of Integrated Water Resource Management (IWRM) embraced by GABHIC for the management of shared river basins could provide a functional example for integrated </w:t>
      </w:r>
      <w:r w:rsidR="001B248C">
        <w:t>land-use plan</w:t>
      </w:r>
      <w:r>
        <w:t xml:space="preserve">ning. GABHIC plays a protagonist role in the concerted planning with peer institutions in other basin countries. </w:t>
      </w:r>
      <w:r w:rsidR="00BE16AD">
        <w:t>S</w:t>
      </w:r>
      <w:r>
        <w:t xml:space="preserve">uch models would need to be ‘unpacked’ into measures and actions </w:t>
      </w:r>
      <w:r w:rsidR="00BE16AD">
        <w:t>that</w:t>
      </w:r>
      <w:r>
        <w:t xml:space="preserve"> would need to be implemented. </w:t>
      </w:r>
    </w:p>
    <w:p w14:paraId="0908E607" w14:textId="2D017F52" w:rsidR="009563B4" w:rsidRPr="0017400A" w:rsidRDefault="009563B4" w:rsidP="001667C6">
      <w:pPr>
        <w:pStyle w:val="ParagraphOED"/>
        <w:numPr>
          <w:ilvl w:val="0"/>
          <w:numId w:val="102"/>
        </w:numPr>
        <w:spacing w:after="160"/>
      </w:pPr>
      <w:r>
        <w:t>River basin master plans, NAPs and SAPs provide a general framework for management of vast</w:t>
      </w:r>
      <w:r w:rsidR="00291646">
        <w:t xml:space="preserve">, </w:t>
      </w:r>
      <w:r>
        <w:t>shared water bodies found in southern Angola. The approach adopted in these plans and programs is integrated, making them rather sophisticated frameworks for spatially based management. Yet, the issue of land degradation is not sufficiently addressed within basin-level strategic planning frameworks – not to mention the incipient implementation as a barrier</w:t>
      </w:r>
      <w:r w:rsidR="00291646">
        <w:t xml:space="preserve"> in</w:t>
      </w:r>
      <w:r>
        <w:t xml:space="preserve"> itself. Basin-level master plans, NAPs and SAPs as currently conceived do not </w:t>
      </w:r>
      <w:r w:rsidR="00291646">
        <w:t>anticipate</w:t>
      </w:r>
      <w:r>
        <w:t xml:space="preserve"> nested planning and management framework</w:t>
      </w:r>
      <w:r w:rsidR="00291646">
        <w:t>s</w:t>
      </w:r>
      <w:r>
        <w:t xml:space="preserve"> </w:t>
      </w:r>
      <w:r w:rsidR="00291646">
        <w:t xml:space="preserve">to accommodate a sub-basin or landscape focus within wider </w:t>
      </w:r>
      <w:r w:rsidR="00291646">
        <w:lastRenderedPageBreak/>
        <w:t xml:space="preserve">basin/watershed level frameworks. </w:t>
      </w:r>
      <w:r>
        <w:t xml:space="preserve">For GABHIC, this represents a barrier and lost opportunity </w:t>
      </w:r>
      <w:r w:rsidR="00291646">
        <w:t>to</w:t>
      </w:r>
      <w:r>
        <w:t xml:space="preserve"> engage</w:t>
      </w:r>
      <w:r w:rsidR="00291646">
        <w:t xml:space="preserve"> with</w:t>
      </w:r>
      <w:r>
        <w:t xml:space="preserve"> sectors such as agriculture, forestry and infrastructure.</w:t>
      </w:r>
    </w:p>
    <w:p w14:paraId="356D5FA1" w14:textId="5C2A45CD" w:rsidR="009563B4" w:rsidRDefault="009563B4" w:rsidP="001667C6">
      <w:pPr>
        <w:pStyle w:val="ParagraphOED"/>
        <w:numPr>
          <w:ilvl w:val="0"/>
          <w:numId w:val="102"/>
        </w:numPr>
        <w:spacing w:after="160"/>
      </w:pPr>
      <w:r>
        <w:t>As in</w:t>
      </w:r>
      <w:r w:rsidR="00F036DD">
        <w:t xml:space="preserve"> case of</w:t>
      </w:r>
      <w:r w:rsidR="00752F47">
        <w:t xml:space="preserve"> </w:t>
      </w:r>
      <w:r w:rsidR="00752F47" w:rsidRPr="1E65A5F7">
        <w:rPr>
          <w:rStyle w:val="Hyperlink"/>
        </w:rPr>
        <w:t xml:space="preserve"> international river basins</w:t>
      </w:r>
      <w:r>
        <w:t xml:space="preserve">, implementation </w:t>
      </w:r>
      <w:r w:rsidR="00F036DD">
        <w:t xml:space="preserve">has been </w:t>
      </w:r>
      <w:r>
        <w:t xml:space="preserve">slow, </w:t>
      </w:r>
      <w:r w:rsidR="00F036DD">
        <w:t>despite</w:t>
      </w:r>
      <w:r>
        <w:t xml:space="preserve"> the high quality of the planning frameworks for IWRM. The specific barrier identified in this context </w:t>
      </w:r>
      <w:r w:rsidR="00F036DD">
        <w:t>concerns</w:t>
      </w:r>
      <w:r>
        <w:t xml:space="preserve"> operational capacity on the ground and limited</w:t>
      </w:r>
      <w:r w:rsidR="00AE37C2">
        <w:t>/</w:t>
      </w:r>
      <w:r>
        <w:t xml:space="preserve">insufficient structural investments. More specifically, GABHIC’s primary in-house capacities are in planning and negotiation, and less in terms of a decentralized implementation of actions. GABHIC has been generally successful </w:t>
      </w:r>
      <w:r w:rsidR="00F036DD">
        <w:t>in</w:t>
      </w:r>
      <w:r>
        <w:t xml:space="preserve"> mobiliz</w:t>
      </w:r>
      <w:r w:rsidR="00F036DD">
        <w:t>ing</w:t>
      </w:r>
      <w:r>
        <w:t xml:space="preserve"> financial resources but </w:t>
      </w:r>
      <w:r w:rsidR="00F036DD">
        <w:t xml:space="preserve">a different institutional profile is required </w:t>
      </w:r>
      <w:r>
        <w:t xml:space="preserve">for planning, procuring and overseeing complex </w:t>
      </w:r>
      <w:r w:rsidR="00F036DD">
        <w:t xml:space="preserve">water-related </w:t>
      </w:r>
      <w:r>
        <w:t>engineering projects</w:t>
      </w:r>
      <w:r w:rsidR="00F036DD">
        <w:t xml:space="preserve">, all of </w:t>
      </w:r>
      <w:r>
        <w:t xml:space="preserve">which could </w:t>
      </w:r>
      <w:r w:rsidR="00F036DD">
        <w:t xml:space="preserve">potentially </w:t>
      </w:r>
      <w:r>
        <w:t xml:space="preserve">be consolidated through </w:t>
      </w:r>
      <w:r w:rsidR="00F036DD">
        <w:t xml:space="preserve">much closer </w:t>
      </w:r>
      <w:r>
        <w:t>collaboration with INRH</w:t>
      </w:r>
      <w:r w:rsidR="00F036DD">
        <w:t>.</w:t>
      </w:r>
    </w:p>
    <w:p w14:paraId="049EB41C" w14:textId="30C494D6" w:rsidR="009563B4" w:rsidRPr="00CE1EA7" w:rsidRDefault="460C6265" w:rsidP="001667C6">
      <w:pPr>
        <w:pStyle w:val="ParagraphOED"/>
        <w:numPr>
          <w:ilvl w:val="0"/>
          <w:numId w:val="102"/>
        </w:numPr>
        <w:spacing w:after="160"/>
      </w:pPr>
      <w:r>
        <w:t xml:space="preserve">The current barrier to </w:t>
      </w:r>
      <w:r w:rsidR="6D8AB4C6">
        <w:t>delivering</w:t>
      </w:r>
      <w:r>
        <w:t xml:space="preserve"> LDN is the need </w:t>
      </w:r>
      <w:r w:rsidR="6D8AB4C6">
        <w:t>to</w:t>
      </w:r>
      <w:r>
        <w:t xml:space="preserve"> leverag</w:t>
      </w:r>
      <w:r w:rsidR="6D8AB4C6">
        <w:t>e</w:t>
      </w:r>
      <w:r>
        <w:t xml:space="preserve"> investment</w:t>
      </w:r>
      <w:r w:rsidR="6D8AB4C6">
        <w:t>s</w:t>
      </w:r>
      <w:r>
        <w:t xml:space="preserve"> and promot</w:t>
      </w:r>
      <w:r w:rsidR="6D8AB4C6">
        <w:t>e</w:t>
      </w:r>
      <w:r>
        <w:t xml:space="preserve"> cross-sectoral integration both within the policy-institutional sphere and on the ground. It requires </w:t>
      </w:r>
      <w:r w:rsidR="35972190">
        <w:t>Directorate of Environment and Climate Action (DNAAC)</w:t>
      </w:r>
      <w:r>
        <w:t xml:space="preserve"> to coordinate with other sectors on their policies, plans and strategies. This form of organization around land degradation, SLM and SFM constitute</w:t>
      </w:r>
      <w:r w:rsidR="6D8AB4C6">
        <w:t>s</w:t>
      </w:r>
      <w:r>
        <w:t xml:space="preserve"> </w:t>
      </w:r>
      <w:r w:rsidR="6D8AB4C6">
        <w:t>a viable</w:t>
      </w:r>
      <w:r>
        <w:t xml:space="preserve"> framework for promoting LDN as a</w:t>
      </w:r>
      <w:r w:rsidR="6D8AB4C6">
        <w:t xml:space="preserve"> national</w:t>
      </w:r>
      <w:r>
        <w:t xml:space="preserve"> goal </w:t>
      </w:r>
      <w:r w:rsidR="04C5B34C">
        <w:t xml:space="preserve">for </w:t>
      </w:r>
      <w:r>
        <w:t>Angola</w:t>
      </w:r>
      <w:r w:rsidR="04C5B34C">
        <w:t xml:space="preserve"> to pursue</w:t>
      </w:r>
      <w:r>
        <w:t xml:space="preserve">. However, PND investments for </w:t>
      </w:r>
      <w:r w:rsidR="6D8AB4C6">
        <w:t xml:space="preserve">such </w:t>
      </w:r>
      <w:r>
        <w:t>purpose</w:t>
      </w:r>
      <w:r w:rsidR="6D8AB4C6">
        <w:t>s</w:t>
      </w:r>
      <w:r>
        <w:t xml:space="preserve"> remain small and policy reform would be needed to effectively </w:t>
      </w:r>
      <w:r w:rsidR="6D8AB4C6">
        <w:t xml:space="preserve">link </w:t>
      </w:r>
      <w:r>
        <w:t>LDN</w:t>
      </w:r>
      <w:r w:rsidR="6D8AB4C6">
        <w:t>-</w:t>
      </w:r>
      <w:r>
        <w:t>related actions, to the extent possible, with IWRM actions at river basin level</w:t>
      </w:r>
      <w:r w:rsidR="6D8AB4C6">
        <w:t>s</w:t>
      </w:r>
      <w:r>
        <w:t>.</w:t>
      </w:r>
    </w:p>
    <w:p w14:paraId="57704959" w14:textId="09D7849B" w:rsidR="009563B4" w:rsidRPr="00CE1EA7" w:rsidRDefault="009563B4" w:rsidP="001667C6">
      <w:pPr>
        <w:pStyle w:val="ParagraphOED"/>
        <w:numPr>
          <w:ilvl w:val="0"/>
          <w:numId w:val="102"/>
        </w:numPr>
        <w:spacing w:after="160"/>
      </w:pPr>
      <w:r>
        <w:t>Under the leadership of M</w:t>
      </w:r>
      <w:r w:rsidR="5A25D89E">
        <w:t>CTA</w:t>
      </w:r>
      <w:r>
        <w:t xml:space="preserve">’s </w:t>
      </w:r>
      <w:r w:rsidR="7BC982D5">
        <w:t>DNAAC</w:t>
      </w:r>
      <w:r>
        <w:t>, which serves as a cross-sectoral coordination mechanism, the LDN Committee managed to coalesce key institutional players</w:t>
      </w:r>
      <w:r w:rsidR="004C4C98">
        <w:t>,</w:t>
      </w:r>
      <w:r>
        <w:t xml:space="preserve"> including different sections and directorates </w:t>
      </w:r>
      <w:r w:rsidR="004C4C98">
        <w:t xml:space="preserve">of </w:t>
      </w:r>
      <w:r>
        <w:t>M</w:t>
      </w:r>
      <w:r w:rsidR="7825ABDA">
        <w:t>CTA</w:t>
      </w:r>
      <w:r>
        <w:t xml:space="preserve"> and MINAGRI</w:t>
      </w:r>
      <w:r w:rsidR="41F27B1E">
        <w:t>P</w:t>
      </w:r>
      <w:r>
        <w:t xml:space="preserve">, GABHIC among others. Key milestones include the consolidation of national LDN target and preparation of Angola’s latest National Report to the UNCCD. To continue to play this role, </w:t>
      </w:r>
      <w:r w:rsidR="12359473">
        <w:t>DNAAC</w:t>
      </w:r>
      <w:r>
        <w:t xml:space="preserve"> requires significant capacity strengthening </w:t>
      </w:r>
      <w:r w:rsidR="004C4C98">
        <w:t>to assume</w:t>
      </w:r>
      <w:r>
        <w:t xml:space="preserve"> a broader role in the engagement of stakeholder</w:t>
      </w:r>
      <w:r w:rsidR="004C4C98">
        <w:t>s</w:t>
      </w:r>
      <w:r>
        <w:t xml:space="preserve"> </w:t>
      </w:r>
      <w:r w:rsidR="004C4C98">
        <w:t xml:space="preserve">to </w:t>
      </w:r>
      <w:r>
        <w:t>operationaliz</w:t>
      </w:r>
      <w:r w:rsidR="004C4C98">
        <w:t>e</w:t>
      </w:r>
      <w:r>
        <w:t xml:space="preserve"> landscape level management at decentralized level – and this is a major </w:t>
      </w:r>
      <w:r w:rsidRPr="1E65A5F7">
        <w:rPr>
          <w:i/>
          <w:iCs/>
        </w:rPr>
        <w:t>barrier</w:t>
      </w:r>
      <w:r>
        <w:t xml:space="preserve">. </w:t>
      </w:r>
    </w:p>
    <w:p w14:paraId="320299C2" w14:textId="6F9C0678" w:rsidR="001840A5" w:rsidRPr="006734B0" w:rsidRDefault="009563B4" w:rsidP="00995B0A">
      <w:pPr>
        <w:spacing w:before="160" w:after="160"/>
        <w:rPr>
          <w:rFonts w:ascii="Calibri" w:hAnsi="Calibri"/>
          <w:b/>
          <w:bCs/>
          <w:i/>
          <w:iCs/>
          <w:sz w:val="21"/>
          <w:szCs w:val="21"/>
        </w:rPr>
      </w:pPr>
      <w:bookmarkStart w:id="89" w:name="_Toc45712173"/>
      <w:r w:rsidRPr="006734B0">
        <w:rPr>
          <w:rFonts w:ascii="Calibri" w:hAnsi="Calibri"/>
          <w:b/>
          <w:bCs/>
          <w:i/>
          <w:iCs/>
          <w:sz w:val="21"/>
          <w:szCs w:val="21"/>
        </w:rPr>
        <w:t>Barrier</w:t>
      </w:r>
      <w:r w:rsidR="00995B0A" w:rsidRPr="006734B0">
        <w:rPr>
          <w:rFonts w:ascii="Calibri" w:hAnsi="Calibri"/>
          <w:b/>
          <w:bCs/>
          <w:i/>
          <w:iCs/>
          <w:sz w:val="21"/>
          <w:szCs w:val="21"/>
        </w:rPr>
        <w:t>s</w:t>
      </w:r>
      <w:r w:rsidRPr="006734B0">
        <w:rPr>
          <w:rFonts w:ascii="Calibri" w:hAnsi="Calibri"/>
          <w:b/>
          <w:bCs/>
          <w:i/>
          <w:iCs/>
          <w:sz w:val="21"/>
          <w:szCs w:val="21"/>
        </w:rPr>
        <w:t xml:space="preserve"> #4 and #5)</w:t>
      </w:r>
      <w:bookmarkEnd w:id="89"/>
      <w:r w:rsidRPr="006734B0">
        <w:rPr>
          <w:rFonts w:ascii="Calibri" w:hAnsi="Calibri"/>
          <w:b/>
          <w:bCs/>
          <w:i/>
          <w:iCs/>
          <w:sz w:val="21"/>
          <w:szCs w:val="21"/>
        </w:rPr>
        <w:t xml:space="preserve"> </w:t>
      </w:r>
      <w:r w:rsidR="001840A5" w:rsidRPr="000A3388">
        <w:rPr>
          <w:rFonts w:asciiTheme="minorHAnsi" w:hAnsiTheme="minorHAnsi" w:cstheme="minorHAnsi"/>
          <w:b/>
          <w:bCs/>
          <w:noProof/>
          <w:sz w:val="21"/>
          <w:szCs w:val="21"/>
          <w:lang w:val="en-US" w:eastAsia="en-US"/>
        </w:rPr>
        <mc:AlternateContent>
          <mc:Choice Requires="wps">
            <w:drawing>
              <wp:anchor distT="45720" distB="45720" distL="114300" distR="114300" simplePos="0" relativeHeight="251658244" behindDoc="0" locked="0" layoutInCell="1" allowOverlap="1" wp14:anchorId="2E3E34D4" wp14:editId="237D84A8">
                <wp:simplePos x="0" y="0"/>
                <wp:positionH relativeFrom="margin">
                  <wp:posOffset>0</wp:posOffset>
                </wp:positionH>
                <wp:positionV relativeFrom="paragraph">
                  <wp:posOffset>300355</wp:posOffset>
                </wp:positionV>
                <wp:extent cx="5741035" cy="1404620"/>
                <wp:effectExtent l="0" t="0" r="12065" b="25400"/>
                <wp:wrapTopAndBottom/>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41035" cy="1404620"/>
                        </a:xfrm>
                        <a:prstGeom prst="rect">
                          <a:avLst/>
                        </a:prstGeom>
                        <a:solidFill>
                          <a:srgbClr val="FFFFFF"/>
                        </a:solidFill>
                        <a:ln w="9525">
                          <a:solidFill>
                            <a:srgbClr val="000000"/>
                          </a:solidFill>
                          <a:miter lim="800000"/>
                          <a:headEnd/>
                          <a:tailEnd/>
                        </a:ln>
                      </wps:spPr>
                      <wps:txbx>
                        <w:txbxContent>
                          <w:p w14:paraId="45F50727" w14:textId="475EFF30" w:rsidR="004D2871" w:rsidRPr="001840A5" w:rsidRDefault="004D2871" w:rsidP="001840A5">
                            <w:pPr>
                              <w:jc w:val="both"/>
                              <w:rPr>
                                <w:rFonts w:asciiTheme="minorHAnsi" w:hAnsiTheme="minorHAnsi" w:cstheme="minorHAnsi"/>
                                <w:b/>
                                <w:bCs/>
                                <w:i/>
                                <w:iCs/>
                                <w:sz w:val="21"/>
                                <w:szCs w:val="21"/>
                              </w:rPr>
                            </w:pPr>
                            <w:r w:rsidRPr="001840A5">
                              <w:rPr>
                                <w:rFonts w:asciiTheme="minorHAnsi" w:hAnsiTheme="minorHAnsi" w:cstheme="minorHAnsi"/>
                                <w:b/>
                                <w:bCs/>
                                <w:i/>
                                <w:iCs/>
                                <w:sz w:val="21"/>
                                <w:szCs w:val="21"/>
                              </w:rPr>
                              <w:t xml:space="preserve">Barrier Statement #4) </w:t>
                            </w:r>
                            <w:r w:rsidRPr="001840A5">
                              <w:rPr>
                                <w:rFonts w:asciiTheme="minorHAnsi" w:hAnsiTheme="minorHAnsi" w:cstheme="minorHAnsi"/>
                                <w:i/>
                                <w:iCs/>
                                <w:sz w:val="21"/>
                                <w:szCs w:val="21"/>
                              </w:rPr>
                              <w:t>Local land users (large and small) have poor mastery of SLM/SFM practices, limited access to productivity improvement inputs and insufficient incentives to adopt more sustainable land and resource use practices.</w:t>
                            </w:r>
                          </w:p>
                          <w:p w14:paraId="7178F529" w14:textId="64204D0A" w:rsidR="004D2871" w:rsidRPr="00A96699" w:rsidRDefault="004D2871" w:rsidP="001840A5">
                            <w:pPr>
                              <w:jc w:val="both"/>
                              <w:rPr>
                                <w:rFonts w:asciiTheme="minorHAnsi" w:hAnsiTheme="minorHAnsi" w:cstheme="minorHAnsi"/>
                                <w:i/>
                                <w:iCs/>
                                <w:sz w:val="21"/>
                                <w:szCs w:val="21"/>
                              </w:rPr>
                            </w:pPr>
                            <w:r w:rsidRPr="001840A5">
                              <w:rPr>
                                <w:rFonts w:asciiTheme="minorHAnsi" w:hAnsiTheme="minorHAnsi" w:cstheme="minorHAnsi"/>
                                <w:b/>
                                <w:bCs/>
                                <w:i/>
                                <w:iCs/>
                                <w:sz w:val="21"/>
                                <w:szCs w:val="21"/>
                              </w:rPr>
                              <w:t xml:space="preserve">Barrier Statement #5) </w:t>
                            </w:r>
                            <w:r w:rsidRPr="001840A5">
                              <w:rPr>
                                <w:rFonts w:asciiTheme="minorHAnsi" w:hAnsiTheme="minorHAnsi" w:cstheme="minorHAnsi"/>
                                <w:i/>
                                <w:iCs/>
                                <w:sz w:val="21"/>
                                <w:szCs w:val="21"/>
                              </w:rPr>
                              <w:t>Opportunities for strengthening local livelihoods (especially for women) hampered by limited access  to finance and markets for SLM/SFM products.</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2E3E34D4" id="_x0000_s1027" type="#_x0000_t202" style="position:absolute;margin-left:0;margin-top:23.65pt;width:452.05pt;height:110.6pt;z-index:251658244;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">
                <v:textbox style="mso-fit-shape-to-text:t">
                  <w:txbxContent>
                    <w:p w14:paraId="45F50727" w14:textId="475EFF30" w:rsidR="004D2871" w:rsidRPr="001840A5" w:rsidRDefault="004D2871" w:rsidP="001840A5">
                      <w:pPr>
                        <w:jc w:val="both"/>
                        <w:rPr>
                          <w:rFonts w:asciiTheme="minorHAnsi" w:hAnsiTheme="minorHAnsi" w:cstheme="minorHAnsi"/>
                          <w:b/>
                          <w:bCs/>
                          <w:i/>
                          <w:iCs/>
                          <w:sz w:val="21"/>
                          <w:szCs w:val="21"/>
                        </w:rPr>
                      </w:pPr>
                      <w:r w:rsidRPr="001840A5">
                        <w:rPr>
                          <w:rFonts w:asciiTheme="minorHAnsi" w:hAnsiTheme="minorHAnsi" w:cstheme="minorHAnsi"/>
                          <w:b/>
                          <w:bCs/>
                          <w:i/>
                          <w:iCs/>
                          <w:sz w:val="21"/>
                          <w:szCs w:val="21"/>
                        </w:rPr>
                        <w:t xml:space="preserve">Barrier Statement #4) </w:t>
                      </w:r>
                      <w:r w:rsidRPr="001840A5">
                        <w:rPr>
                          <w:rFonts w:asciiTheme="minorHAnsi" w:hAnsiTheme="minorHAnsi" w:cstheme="minorHAnsi"/>
                          <w:i/>
                          <w:iCs/>
                          <w:sz w:val="21"/>
                          <w:szCs w:val="21"/>
                        </w:rPr>
                        <w:t>Local land users (large and small) have poor mastery of SLM/SFM practices, limited access to productivity improvement inputs and insufficient incentives to adopt more sustainable land and resource use practices.</w:t>
                      </w:r>
                    </w:p>
                    <w:p w14:paraId="7178F529" w14:textId="64204D0A" w:rsidR="004D2871" w:rsidRPr="00A96699" w:rsidRDefault="004D2871" w:rsidP="001840A5">
                      <w:pPr>
                        <w:jc w:val="both"/>
                        <w:rPr>
                          <w:rFonts w:asciiTheme="minorHAnsi" w:hAnsiTheme="minorHAnsi" w:cstheme="minorHAnsi"/>
                          <w:i/>
                          <w:iCs/>
                          <w:sz w:val="21"/>
                          <w:szCs w:val="21"/>
                        </w:rPr>
                      </w:pPr>
                      <w:r w:rsidRPr="001840A5">
                        <w:rPr>
                          <w:rFonts w:asciiTheme="minorHAnsi" w:hAnsiTheme="minorHAnsi" w:cstheme="minorHAnsi"/>
                          <w:b/>
                          <w:bCs/>
                          <w:i/>
                          <w:iCs/>
                          <w:sz w:val="21"/>
                          <w:szCs w:val="21"/>
                        </w:rPr>
                        <w:t xml:space="preserve">Barrier Statement #5) </w:t>
                      </w:r>
                      <w:r w:rsidRPr="001840A5">
                        <w:rPr>
                          <w:rFonts w:asciiTheme="minorHAnsi" w:hAnsiTheme="minorHAnsi" w:cstheme="minorHAnsi"/>
                          <w:i/>
                          <w:iCs/>
                          <w:sz w:val="21"/>
                          <w:szCs w:val="21"/>
                        </w:rPr>
                        <w:t>Opportunities for strengthening local livelihoods (especially for women) hampered by limited access  to finance and markets for SLM/SFM products.</w:t>
                      </w:r>
                    </w:p>
                  </w:txbxContent>
                </v:textbox>
                <w10:wrap type="topAndBottom" anchorx="margin"/>
              </v:shape>
            </w:pict>
          </mc:Fallback>
        </mc:AlternateContent>
      </w:r>
    </w:p>
    <w:p w14:paraId="108C18D8" w14:textId="648B50F2" w:rsidR="009563B4" w:rsidRPr="0017400A" w:rsidRDefault="00995B0A" w:rsidP="001667C6">
      <w:pPr>
        <w:pStyle w:val="ParagraphOED"/>
        <w:numPr>
          <w:ilvl w:val="0"/>
          <w:numId w:val="102"/>
        </w:numPr>
        <w:spacing w:before="160" w:after="80"/>
      </w:pPr>
      <w:r>
        <w:t>Barriers #4 and #5 have been identified on the basis of the following findings, for which evidence is provided below</w:t>
      </w:r>
      <w:r w:rsidR="009563B4">
        <w:t>:</w:t>
      </w:r>
    </w:p>
    <w:p w14:paraId="69A1BE54" w14:textId="77777777" w:rsidR="009563B4" w:rsidRPr="00C15012" w:rsidRDefault="009563B4" w:rsidP="001667C6">
      <w:pPr>
        <w:pStyle w:val="ListParagraph"/>
        <w:numPr>
          <w:ilvl w:val="0"/>
          <w:numId w:val="80"/>
        </w:numPr>
        <w:spacing w:after="160"/>
        <w:rPr>
          <w:rFonts w:asciiTheme="minorHAnsi" w:hAnsiTheme="minorHAnsi" w:cstheme="minorHAnsi"/>
          <w:sz w:val="21"/>
          <w:szCs w:val="21"/>
        </w:rPr>
      </w:pPr>
      <w:r w:rsidRPr="00C15012">
        <w:rPr>
          <w:rFonts w:asciiTheme="minorHAnsi" w:hAnsiTheme="minorHAnsi" w:cstheme="minorHAnsi"/>
          <w:sz w:val="21"/>
          <w:szCs w:val="21"/>
        </w:rPr>
        <w:t>Production practices are maladaptive and unsustainable, and producers not well organized</w:t>
      </w:r>
    </w:p>
    <w:p w14:paraId="7D0F8EA1" w14:textId="77777777" w:rsidR="009563B4" w:rsidRPr="00C15012" w:rsidRDefault="009563B4" w:rsidP="001667C6">
      <w:pPr>
        <w:pStyle w:val="ListParagraph"/>
        <w:numPr>
          <w:ilvl w:val="0"/>
          <w:numId w:val="80"/>
        </w:numPr>
        <w:spacing w:after="160"/>
        <w:rPr>
          <w:rFonts w:asciiTheme="minorHAnsi" w:hAnsiTheme="minorHAnsi" w:cstheme="minorHAnsi"/>
          <w:sz w:val="21"/>
          <w:szCs w:val="21"/>
        </w:rPr>
      </w:pPr>
      <w:r w:rsidRPr="00C15012">
        <w:rPr>
          <w:rFonts w:asciiTheme="minorHAnsi" w:hAnsiTheme="minorHAnsi" w:cstheme="minorHAnsi"/>
          <w:sz w:val="21"/>
          <w:szCs w:val="21"/>
        </w:rPr>
        <w:t xml:space="preserve">Dryland products in Angola have limited market penetration, despite potential </w:t>
      </w:r>
    </w:p>
    <w:p w14:paraId="58DFA8D4" w14:textId="0BC4DC17" w:rsidR="009563B4" w:rsidRPr="00C15012" w:rsidRDefault="00031E0F" w:rsidP="001667C6">
      <w:pPr>
        <w:pStyle w:val="ListParagraph"/>
        <w:numPr>
          <w:ilvl w:val="0"/>
          <w:numId w:val="80"/>
        </w:numPr>
        <w:spacing w:after="160"/>
        <w:ind w:left="1077" w:hanging="357"/>
        <w:rPr>
          <w:rFonts w:asciiTheme="minorHAnsi" w:hAnsiTheme="minorHAnsi" w:cstheme="minorHAnsi"/>
          <w:sz w:val="21"/>
          <w:szCs w:val="21"/>
        </w:rPr>
      </w:pPr>
      <w:r>
        <w:rPr>
          <w:rFonts w:asciiTheme="minorHAnsi" w:hAnsiTheme="minorHAnsi" w:cstheme="minorHAnsi"/>
          <w:sz w:val="21"/>
          <w:szCs w:val="21"/>
        </w:rPr>
        <w:t>G</w:t>
      </w:r>
      <w:r w:rsidR="009563B4" w:rsidRPr="00C15012">
        <w:rPr>
          <w:rFonts w:asciiTheme="minorHAnsi" w:hAnsiTheme="minorHAnsi" w:cstheme="minorHAnsi"/>
          <w:sz w:val="21"/>
          <w:szCs w:val="21"/>
        </w:rPr>
        <w:t xml:space="preserve">ender </w:t>
      </w:r>
      <w:r w:rsidR="00FD0EF8">
        <w:rPr>
          <w:rFonts w:asciiTheme="minorHAnsi" w:hAnsiTheme="minorHAnsi" w:cstheme="minorHAnsi"/>
          <w:sz w:val="21"/>
          <w:szCs w:val="21"/>
        </w:rPr>
        <w:t xml:space="preserve">livelihood and </w:t>
      </w:r>
      <w:r w:rsidR="00FD0EF8" w:rsidRPr="00C15012">
        <w:rPr>
          <w:rFonts w:asciiTheme="minorHAnsi" w:hAnsiTheme="minorHAnsi" w:cstheme="minorHAnsi"/>
          <w:sz w:val="21"/>
          <w:szCs w:val="21"/>
        </w:rPr>
        <w:t>value</w:t>
      </w:r>
      <w:r w:rsidR="00FD0EF8">
        <w:rPr>
          <w:rFonts w:asciiTheme="minorHAnsi" w:hAnsiTheme="minorHAnsi" w:cstheme="minorHAnsi"/>
          <w:sz w:val="21"/>
          <w:szCs w:val="21"/>
        </w:rPr>
        <w:t>-</w:t>
      </w:r>
      <w:r w:rsidR="00FD0EF8" w:rsidRPr="00C15012">
        <w:rPr>
          <w:rFonts w:asciiTheme="minorHAnsi" w:hAnsiTheme="minorHAnsi" w:cstheme="minorHAnsi"/>
          <w:sz w:val="21"/>
          <w:szCs w:val="21"/>
        </w:rPr>
        <w:t xml:space="preserve">chain </w:t>
      </w:r>
      <w:r w:rsidR="00443475">
        <w:rPr>
          <w:rFonts w:asciiTheme="minorHAnsi" w:hAnsiTheme="minorHAnsi" w:cstheme="minorHAnsi"/>
          <w:sz w:val="21"/>
          <w:szCs w:val="21"/>
        </w:rPr>
        <w:t>in</w:t>
      </w:r>
      <w:r w:rsidR="009563B4" w:rsidRPr="00C15012">
        <w:rPr>
          <w:rFonts w:asciiTheme="minorHAnsi" w:hAnsiTheme="minorHAnsi" w:cstheme="minorHAnsi"/>
          <w:sz w:val="21"/>
          <w:szCs w:val="21"/>
        </w:rPr>
        <w:t>equalit</w:t>
      </w:r>
      <w:r w:rsidR="00443475">
        <w:rPr>
          <w:rFonts w:asciiTheme="minorHAnsi" w:hAnsiTheme="minorHAnsi" w:cstheme="minorHAnsi"/>
          <w:sz w:val="21"/>
          <w:szCs w:val="21"/>
        </w:rPr>
        <w:t>ies</w:t>
      </w:r>
      <w:r w:rsidR="009563B4" w:rsidRPr="00C15012">
        <w:rPr>
          <w:rFonts w:asciiTheme="minorHAnsi" w:hAnsiTheme="minorHAnsi" w:cstheme="minorHAnsi"/>
          <w:sz w:val="21"/>
          <w:szCs w:val="21"/>
        </w:rPr>
        <w:t xml:space="preserve"> curtail opportunities for women</w:t>
      </w:r>
    </w:p>
    <w:p w14:paraId="175CAE0D" w14:textId="41D96DA1" w:rsidR="009563B4" w:rsidRPr="006734B0" w:rsidRDefault="00C15012" w:rsidP="0056610A">
      <w:pPr>
        <w:spacing w:before="160" w:after="160"/>
        <w:rPr>
          <w:i/>
          <w:iCs/>
          <w:sz w:val="21"/>
          <w:szCs w:val="21"/>
        </w:rPr>
      </w:pPr>
      <w:bookmarkStart w:id="90" w:name="_Toc45712174"/>
      <w:r w:rsidRPr="006734B0">
        <w:rPr>
          <w:rFonts w:ascii="Calibri" w:hAnsi="Calibri"/>
          <w:b/>
          <w:bCs/>
          <w:i/>
          <w:iCs/>
          <w:sz w:val="21"/>
          <w:szCs w:val="21"/>
        </w:rPr>
        <w:t>a)</w:t>
      </w:r>
      <w:r w:rsidRPr="006734B0">
        <w:rPr>
          <w:i/>
          <w:iCs/>
          <w:sz w:val="21"/>
          <w:szCs w:val="21"/>
        </w:rPr>
        <w:t xml:space="preserve"> </w:t>
      </w:r>
      <w:r w:rsidR="009563B4" w:rsidRPr="006734B0">
        <w:rPr>
          <w:rFonts w:asciiTheme="minorHAnsi" w:hAnsiTheme="minorHAnsi" w:cstheme="minorHAnsi"/>
          <w:b/>
          <w:bCs/>
          <w:i/>
          <w:iCs/>
          <w:sz w:val="21"/>
          <w:szCs w:val="21"/>
        </w:rPr>
        <w:t>Production practices are maladaptive and unsustainable, and producers not well organized</w:t>
      </w:r>
      <w:bookmarkEnd w:id="90"/>
      <w:r w:rsidR="009563B4" w:rsidRPr="006734B0">
        <w:rPr>
          <w:i/>
          <w:iCs/>
          <w:sz w:val="21"/>
          <w:szCs w:val="21"/>
        </w:rPr>
        <w:t xml:space="preserve"> </w:t>
      </w:r>
    </w:p>
    <w:p w14:paraId="598DE4D0" w14:textId="1FD3DC3F" w:rsidR="009563B4" w:rsidRPr="00CE1EA7" w:rsidRDefault="009563B4" w:rsidP="001667C6">
      <w:pPr>
        <w:pStyle w:val="ParagraphOED"/>
        <w:numPr>
          <w:ilvl w:val="0"/>
          <w:numId w:val="102"/>
        </w:numPr>
        <w:spacing w:after="160"/>
      </w:pPr>
      <w:r>
        <w:t>Prevailing production practices and their specific dynamics predomina</w:t>
      </w:r>
      <w:r w:rsidR="008D5BD2">
        <w:t>nt</w:t>
      </w:r>
      <w:r>
        <w:t xml:space="preserve"> within the target</w:t>
      </w:r>
      <w:r w:rsidR="008D5BD2">
        <w:t xml:space="preserve"> </w:t>
      </w:r>
      <w:r>
        <w:t xml:space="preserve">landscapes have been </w:t>
      </w:r>
      <w:r w:rsidR="008D5BD2">
        <w:t xml:space="preserve">reviewed in Section 1.2 and are </w:t>
      </w:r>
      <w:r>
        <w:t>generally characterized as unsustainable, including the following: (i) slash-and-burn itinerant agriculture, practiced by the large majority of smallholders and result</w:t>
      </w:r>
      <w:r w:rsidR="00A51C71">
        <w:t>ing</w:t>
      </w:r>
      <w:r>
        <w:t xml:space="preserve"> in improper land clearings</w:t>
      </w:r>
      <w:r w:rsidR="008D5BD2">
        <w:t>;</w:t>
      </w:r>
      <w:r>
        <w:t xml:space="preserve"> (ii) transhumant pastoral practices, where large herds with limited mobility result in overgrazing; and (iii) the use of scarce forest resources beyond their regeneration rate. </w:t>
      </w:r>
    </w:p>
    <w:p w14:paraId="338FF354" w14:textId="4B556CE2" w:rsidR="009563B4" w:rsidRPr="00CE1EA7" w:rsidRDefault="009563B4" w:rsidP="001667C6">
      <w:pPr>
        <w:pStyle w:val="ParagraphOED"/>
        <w:numPr>
          <w:ilvl w:val="0"/>
          <w:numId w:val="102"/>
        </w:numPr>
        <w:spacing w:after="160"/>
      </w:pPr>
      <w:r>
        <w:lastRenderedPageBreak/>
        <w:t>As indicated earlier, f</w:t>
      </w:r>
      <w:r w:rsidRPr="00CE1EA7">
        <w:t xml:space="preserve">ood production systems in Angola face many challenges </w:t>
      </w:r>
      <w:r>
        <w:t>and i</w:t>
      </w:r>
      <w:r w:rsidRPr="00CE1EA7">
        <w:t xml:space="preserve">n the project zone, local land users face </w:t>
      </w:r>
      <w:r w:rsidRPr="00CE1EA7">
        <w:rPr>
          <w:b/>
          <w:bCs/>
        </w:rPr>
        <w:t>specific challenges</w:t>
      </w:r>
      <w:r>
        <w:rPr>
          <w:b/>
          <w:bCs/>
        </w:rPr>
        <w:t xml:space="preserve"> </w:t>
      </w:r>
      <w:r w:rsidRPr="00CE1EA7">
        <w:rPr>
          <w:b/>
          <w:bCs/>
        </w:rPr>
        <w:t>linked to land management know-how</w:t>
      </w:r>
      <w:r w:rsidRPr="00CE1EA7">
        <w:t>.</w:t>
      </w:r>
      <w:r w:rsidRPr="00CE1EA7">
        <w:rPr>
          <w:rStyle w:val="FootnoteReference"/>
        </w:rPr>
        <w:footnoteReference w:id="50"/>
      </w:r>
    </w:p>
    <w:p w14:paraId="474B67EA" w14:textId="489311A1" w:rsidR="009563B4" w:rsidRPr="00CE1EA7" w:rsidRDefault="009563B4" w:rsidP="001667C6">
      <w:pPr>
        <w:pStyle w:val="ParagraphOED"/>
        <w:numPr>
          <w:ilvl w:val="0"/>
          <w:numId w:val="102"/>
        </w:numPr>
        <w:spacing w:after="160"/>
      </w:pPr>
      <w:r>
        <w:t xml:space="preserve">In order for land users to be able to eventually </w:t>
      </w:r>
      <w:r w:rsidRPr="1E65A5F7">
        <w:rPr>
          <w:b/>
          <w:bCs/>
        </w:rPr>
        <w:t>invest in improved land care and avoid new land clearings</w:t>
      </w:r>
      <w:r>
        <w:t xml:space="preserve"> as a traditional method of improving land productivity, they would need to make a quantitative and qualitive leap towards production intensification, primed on SLM, SFM and Sustainable Range Management, and applying these techniques in a manner that is adapted to local agro-ecological conditions. </w:t>
      </w:r>
      <w:r w:rsidR="007C1CA1">
        <w:t>Such a</w:t>
      </w:r>
      <w:r>
        <w:t xml:space="preserve"> leap would allow land users to improve productivity, diversity production and increase yields, eventually generating monetary income through the sale of surplus</w:t>
      </w:r>
      <w:r w:rsidR="007C1CA1">
        <w:t xml:space="preserve"> production</w:t>
      </w:r>
      <w:r>
        <w:t xml:space="preserve">. It is assumed that, with a certain level of production surplus, land users would be able </w:t>
      </w:r>
      <w:r w:rsidR="007C1CA1">
        <w:t xml:space="preserve">to invest in </w:t>
      </w:r>
      <w:r>
        <w:t>improv</w:t>
      </w:r>
      <w:r w:rsidR="007C1CA1">
        <w:t>ing their plots</w:t>
      </w:r>
      <w:r>
        <w:t xml:space="preserve"> and maintain this investment </w:t>
      </w:r>
      <w:r w:rsidR="007C1CA1">
        <w:t>post</w:t>
      </w:r>
      <w:r>
        <w:t xml:space="preserve"> project. It is also assumed that, scale</w:t>
      </w:r>
      <w:r w:rsidR="009B692C">
        <w:t>d out</w:t>
      </w:r>
      <w:r>
        <w:t xml:space="preserve"> (i.e. when a sufficient number of land users have adhered to a </w:t>
      </w:r>
      <w:r w:rsidR="00B33376">
        <w:t xml:space="preserve">land-use </w:t>
      </w:r>
      <w:r>
        <w:t xml:space="preserve">intensification program), this investment would be sufficient to either avert or to reduce land degradation at the level of landscapes. </w:t>
      </w:r>
    </w:p>
    <w:p w14:paraId="32DE58C5" w14:textId="0F2B1D92" w:rsidR="009563B4" w:rsidRPr="00CE1EA7" w:rsidRDefault="009563B4" w:rsidP="001667C6">
      <w:pPr>
        <w:pStyle w:val="ParagraphOED"/>
        <w:numPr>
          <w:ilvl w:val="0"/>
          <w:numId w:val="102"/>
        </w:numPr>
        <w:spacing w:after="160"/>
      </w:pPr>
      <w:r>
        <w:t xml:space="preserve">A similar analogy may </w:t>
      </w:r>
      <w:r w:rsidR="009B692C">
        <w:t xml:space="preserve">not </w:t>
      </w:r>
      <w:r>
        <w:t xml:space="preserve">apply </w:t>
      </w:r>
      <w:r w:rsidR="009B692C">
        <w:t xml:space="preserve">so readily </w:t>
      </w:r>
      <w:r>
        <w:t xml:space="preserve">to forest management and range management </w:t>
      </w:r>
      <w:r w:rsidR="009B692C">
        <w:t xml:space="preserve">because the land tends to be </w:t>
      </w:r>
      <w:r>
        <w:t>open access, wh</w:t>
      </w:r>
      <w:r w:rsidR="009B692C">
        <w:t>ereas</w:t>
      </w:r>
      <w:r>
        <w:t xml:space="preserve"> in a settled farming community</w:t>
      </w:r>
      <w:r w:rsidR="009B692C">
        <w:t xml:space="preserve"> the</w:t>
      </w:r>
      <w:r>
        <w:t xml:space="preserve"> sense of tenure vis-à-vis 'the family plot’ is assumed to be sufficient for farmers </w:t>
      </w:r>
      <w:r w:rsidR="009B692C">
        <w:t xml:space="preserve">to </w:t>
      </w:r>
      <w:r>
        <w:t xml:space="preserve">invest in improved land care and productivity. </w:t>
      </w:r>
    </w:p>
    <w:p w14:paraId="17005277" w14:textId="7E1BDD09" w:rsidR="009563B4" w:rsidRDefault="000625FA" w:rsidP="001667C6">
      <w:pPr>
        <w:pStyle w:val="ParagraphOED"/>
        <w:numPr>
          <w:ilvl w:val="0"/>
          <w:numId w:val="102"/>
        </w:numPr>
        <w:spacing w:after="160"/>
      </w:pPr>
      <w:r>
        <w:t>Thus,</w:t>
      </w:r>
      <w:r w:rsidR="009563B4">
        <w:t xml:space="preserve"> the barrier described herein relates to SLM know-how (and by extension SFM and </w:t>
      </w:r>
      <w:r>
        <w:t>SRM</w:t>
      </w:r>
      <w:r w:rsidR="009563B4">
        <w:t>)</w:t>
      </w:r>
      <w:r>
        <w:t>, which</w:t>
      </w:r>
      <w:r w:rsidR="009563B4">
        <w:t xml:space="preserve">  may be overcome through the availability of adequate</w:t>
      </w:r>
      <w:r w:rsidR="00DF61F6">
        <w:t>,</w:t>
      </w:r>
      <w:r w:rsidR="009563B4">
        <w:t xml:space="preserve"> needs-oriented rural extension services (implying agronomic advice, forest management services and veterinary support). </w:t>
      </w:r>
      <w:r w:rsidR="00DF61F6">
        <w:t>In the absence of the project, s</w:t>
      </w:r>
      <w:r w:rsidR="009563B4">
        <w:t>uch services would not be affordable to the majority of land users within the project zone</w:t>
      </w:r>
      <w:r w:rsidR="00DF61F6">
        <w:t xml:space="preserve"> </w:t>
      </w:r>
      <w:r w:rsidR="009563B4">
        <w:t xml:space="preserve">or, </w:t>
      </w:r>
      <w:r w:rsidR="00DF61F6">
        <w:t xml:space="preserve">if </w:t>
      </w:r>
      <w:r w:rsidR="009563B4">
        <w:t>available, it would probably be insufficient or inadequate to</w:t>
      </w:r>
      <w:r w:rsidR="00DF61F6">
        <w:t xml:space="preserve"> meet</w:t>
      </w:r>
      <w:r w:rsidR="009563B4">
        <w:t xml:space="preserve"> their needs.</w:t>
      </w:r>
    </w:p>
    <w:p w14:paraId="0A8C0296" w14:textId="77777777" w:rsidR="00BD1D54" w:rsidRPr="0017400A" w:rsidRDefault="00BD1D54" w:rsidP="001667C6">
      <w:pPr>
        <w:pStyle w:val="ParagraphOED"/>
        <w:numPr>
          <w:ilvl w:val="0"/>
          <w:numId w:val="102"/>
        </w:numPr>
        <w:spacing w:after="160"/>
      </w:pPr>
      <w:r w:rsidRPr="1E65A5F7">
        <w:rPr>
          <w:b/>
          <w:bCs/>
        </w:rPr>
        <w:t>An important barrier that the project can address</w:t>
      </w:r>
      <w:r>
        <w:t xml:space="preserve"> is that very few farmers have access to rural extension services, improved cultivation know-how, adequate farm inputs and machinery. This applies to both smallholders and large-scale commercial farmers. Introducing changes to production methods (e.g. abandoning slash-and-burn practice) in rural Angola will need to be a step-wise approach to avoid being met with resistance. Use of ashes from burning biomass is a well-mastered and cheap way to increase soil fertility in the short-term, for example. Alternatives to shifting cultivation require gradual introduction of agronomical know-how of small agricultural machinery and a different way of organizing production.   </w:t>
      </w:r>
    </w:p>
    <w:p w14:paraId="02684AFE" w14:textId="48AB4E86" w:rsidR="009563B4" w:rsidRPr="00CE1EA7" w:rsidRDefault="009563B4" w:rsidP="001667C6">
      <w:pPr>
        <w:pStyle w:val="ParagraphOED"/>
        <w:numPr>
          <w:ilvl w:val="0"/>
          <w:numId w:val="102"/>
        </w:numPr>
        <w:spacing w:after="160"/>
      </w:pPr>
      <w:r>
        <w:t>Beyond the mere ‘transmission of know-how’, rural extension</w:t>
      </w:r>
      <w:r w:rsidR="00DF61F6">
        <w:t xml:space="preserve"> services to be conveyed by </w:t>
      </w:r>
      <w:r>
        <w:t xml:space="preserve">the project </w:t>
      </w:r>
      <w:r w:rsidR="00DF61F6">
        <w:t xml:space="preserve">will be </w:t>
      </w:r>
      <w:r>
        <w:t xml:space="preserve"> based on the FFS model, centered around </w:t>
      </w:r>
      <w:r w:rsidRPr="1E65A5F7">
        <w:rPr>
          <w:b/>
          <w:bCs/>
        </w:rPr>
        <w:t>co-creation of locally adapted knowledge</w:t>
      </w:r>
      <w:r>
        <w:t xml:space="preserve"> and it will additionally </w:t>
      </w:r>
      <w:r w:rsidRPr="1E65A5F7">
        <w:rPr>
          <w:b/>
          <w:bCs/>
        </w:rPr>
        <w:t>facilitate the social organization of production.</w:t>
      </w:r>
      <w:r>
        <w:t xml:space="preserve"> The latter implies the formation of local cooperatives, associations or working groups, involving farmers, forest dwellers, livestock herders</w:t>
      </w:r>
      <w:r w:rsidR="00DF61F6">
        <w:t xml:space="preserve"> and</w:t>
      </w:r>
      <w:r>
        <w:t xml:space="preserve"> sub-basin riparian communities. </w:t>
      </w:r>
      <w:r w:rsidR="00DF61F6">
        <w:t>Besides the access to adequate SLM/SFM/SRM know-how many land users also face challenges linked to accessing fertilizer, irrigation inputs, dryland adapted agro-machines and improved seeds, all of which can be addressed by the project through FFS and FFF initiatives.</w:t>
      </w:r>
    </w:p>
    <w:p w14:paraId="1E838341" w14:textId="18F72CF7" w:rsidR="009563B4" w:rsidRPr="006734B0" w:rsidRDefault="00BB1DC6" w:rsidP="0056610A">
      <w:pPr>
        <w:spacing w:before="160" w:after="160"/>
        <w:rPr>
          <w:rFonts w:ascii="Calibri" w:hAnsi="Calibri"/>
          <w:b/>
          <w:bCs/>
          <w:i/>
          <w:iCs/>
          <w:sz w:val="21"/>
          <w:szCs w:val="21"/>
        </w:rPr>
      </w:pPr>
      <w:r w:rsidRPr="006734B0">
        <w:rPr>
          <w:rFonts w:ascii="Calibri" w:hAnsi="Calibri"/>
          <w:b/>
          <w:bCs/>
          <w:i/>
          <w:iCs/>
          <w:sz w:val="21"/>
          <w:szCs w:val="21"/>
        </w:rPr>
        <w:t xml:space="preserve">b) </w:t>
      </w:r>
      <w:bookmarkStart w:id="91" w:name="_Toc45712175"/>
      <w:r w:rsidR="009563B4" w:rsidRPr="006734B0">
        <w:rPr>
          <w:rFonts w:ascii="Calibri" w:hAnsi="Calibri"/>
          <w:b/>
          <w:bCs/>
          <w:i/>
          <w:iCs/>
          <w:sz w:val="21"/>
          <w:szCs w:val="21"/>
        </w:rPr>
        <w:t>Dryland products in Angola have limited market penetration, despite potential</w:t>
      </w:r>
      <w:bookmarkEnd w:id="91"/>
      <w:r w:rsidR="009563B4" w:rsidRPr="006734B0">
        <w:rPr>
          <w:rFonts w:ascii="Calibri" w:hAnsi="Calibri"/>
          <w:b/>
          <w:bCs/>
          <w:i/>
          <w:iCs/>
          <w:sz w:val="21"/>
          <w:szCs w:val="21"/>
        </w:rPr>
        <w:t xml:space="preserve"> </w:t>
      </w:r>
    </w:p>
    <w:p w14:paraId="364F1354" w14:textId="4890B645" w:rsidR="009563B4" w:rsidRPr="00CE1EA7" w:rsidRDefault="009563B4" w:rsidP="001667C6">
      <w:pPr>
        <w:pStyle w:val="ParagraphOED"/>
        <w:numPr>
          <w:ilvl w:val="0"/>
          <w:numId w:val="102"/>
        </w:numPr>
        <w:spacing w:after="160"/>
      </w:pPr>
      <w:r>
        <w:t>For small farmers and traditional pastoralists, being able to sell their produce in nearby market</w:t>
      </w:r>
      <w:r w:rsidR="00BB1DC6">
        <w:t>s</w:t>
      </w:r>
      <w:r>
        <w:t xml:space="preserve"> would be a possible pathway towards breaking the cycle of maladaptive and degrading land uses. However, there are many systemic barriers, some of which are being actively addressed </w:t>
      </w:r>
      <w:r>
        <w:lastRenderedPageBreak/>
        <w:t xml:space="preserve">through baseline interventions (e.g. issues of rural finance, credit policies and vulnerability to climate change adaptation). </w:t>
      </w:r>
    </w:p>
    <w:p w14:paraId="12A558A2" w14:textId="0787366B" w:rsidR="009563B4" w:rsidRPr="00CE1EA7" w:rsidRDefault="00063AA5" w:rsidP="001667C6">
      <w:pPr>
        <w:pStyle w:val="ParagraphOED"/>
        <w:numPr>
          <w:ilvl w:val="0"/>
          <w:numId w:val="102"/>
        </w:numPr>
        <w:spacing w:after="160"/>
      </w:pPr>
      <w:r>
        <w:t>T</w:t>
      </w:r>
      <w:r w:rsidR="009563B4">
        <w:t>wo main systems co-exist in the agro-value chains in Angola: family farming (smallholders) and large agro-enterprises (large</w:t>
      </w:r>
      <w:r w:rsidR="00513CC0">
        <w:t>-</w:t>
      </w:r>
      <w:r w:rsidR="009563B4">
        <w:t>scale commercial farmers). The former, family farmers, are the majority (likely 80%)</w:t>
      </w:r>
      <w:r w:rsidR="00513CC0">
        <w:t>, m</w:t>
      </w:r>
      <w:r w:rsidR="009563B4">
        <w:t xml:space="preserve">ost of </w:t>
      </w:r>
      <w:r w:rsidR="00513CC0">
        <w:t>whom</w:t>
      </w:r>
      <w:r w:rsidR="009563B4">
        <w:t xml:space="preserve"> u</w:t>
      </w:r>
      <w:r w:rsidR="00513CC0">
        <w:t>se</w:t>
      </w:r>
      <w:r w:rsidR="009563B4">
        <w:t xml:space="preserve"> the slash-and-burn techniques and cultivate on average 1.4-1.7 hectares per family using two or more parcels of land. Several large agro-enterprise</w:t>
      </w:r>
      <w:r w:rsidR="00513CC0">
        <w:t>s</w:t>
      </w:r>
      <w:r w:rsidR="009563B4">
        <w:t xml:space="preserve">, which </w:t>
      </w:r>
      <w:r w:rsidR="00513CC0">
        <w:t xml:space="preserve">numbered </w:t>
      </w:r>
      <w:r w:rsidR="009563B4">
        <w:t xml:space="preserve">8,360 as of the previous PMPSA (2013-2017), face underinvestment and low productivity problems. </w:t>
      </w:r>
    </w:p>
    <w:p w14:paraId="6C45ED88" w14:textId="3F880DD9" w:rsidR="009563B4" w:rsidRPr="00CE1EA7" w:rsidRDefault="009563B4" w:rsidP="001667C6">
      <w:pPr>
        <w:pStyle w:val="ParagraphOED"/>
        <w:numPr>
          <w:ilvl w:val="0"/>
          <w:numId w:val="102"/>
        </w:numPr>
        <w:spacing w:after="160"/>
      </w:pPr>
      <w:r>
        <w:t>Part of the solutions envisaged by the project imply the intensification of certain production practices and the introduction of changes to others (e.g. new techniques or approaches), so that the overall management of landscapes can make positive and balanced contribution</w:t>
      </w:r>
      <w:r w:rsidR="00513CC0">
        <w:t>s</w:t>
      </w:r>
      <w:r>
        <w:t xml:space="preserve"> to LDN. In addition, by identifying areas at risks from land degradation within and near the landscapes, the project can </w:t>
      </w:r>
      <w:r w:rsidR="00513CC0">
        <w:t xml:space="preserve">support </w:t>
      </w:r>
      <w:r>
        <w:t>suitable</w:t>
      </w:r>
      <w:r w:rsidR="00513CC0">
        <w:t xml:space="preserve"> interventions</w:t>
      </w:r>
      <w:r>
        <w:t xml:space="preserve"> for averting further land degradation. </w:t>
      </w:r>
    </w:p>
    <w:p w14:paraId="51B65A77" w14:textId="12A2311E" w:rsidR="009563B4" w:rsidRPr="00CE1EA7" w:rsidRDefault="00513CC0" w:rsidP="001667C6">
      <w:pPr>
        <w:pStyle w:val="ParagraphOED"/>
        <w:numPr>
          <w:ilvl w:val="0"/>
          <w:numId w:val="102"/>
        </w:numPr>
        <w:spacing w:after="160"/>
      </w:pPr>
      <w:r>
        <w:t>I</w:t>
      </w:r>
      <w:r w:rsidR="009563B4">
        <w:t>ntensification and optimization of production practices presupposes that farmers (</w:t>
      </w:r>
      <w:r w:rsidR="00BB1DC6">
        <w:t>smallholder</w:t>
      </w:r>
      <w:r w:rsidR="009563B4">
        <w:t xml:space="preserve">s in particular) are not at subsistence level </w:t>
      </w:r>
      <w:r>
        <w:t>and</w:t>
      </w:r>
      <w:r w:rsidR="009563B4">
        <w:t xml:space="preserve"> are able to produce some surplus. Intensification often </w:t>
      </w:r>
      <w:r>
        <w:t>involves</w:t>
      </w:r>
      <w:r w:rsidR="009563B4">
        <w:t xml:space="preserve"> us</w:t>
      </w:r>
      <w:r>
        <w:t>e of</w:t>
      </w:r>
      <w:r w:rsidR="009563B4">
        <w:t xml:space="preserve"> manure, artificial irrigation and animal waste as fertilizer</w:t>
      </w:r>
      <w:r>
        <w:t>, while</w:t>
      </w:r>
      <w:r w:rsidR="009563B4">
        <w:t xml:space="preserve"> build</w:t>
      </w:r>
      <w:r>
        <w:t>ing</w:t>
      </w:r>
      <w:r w:rsidR="009563B4">
        <w:t xml:space="preserve"> on know-how, investments and solid information and data. At the same time, the agrarian sector in Angola faces many systemic challenges, including the collection and handling of data. </w:t>
      </w:r>
      <w:r>
        <w:t>For example, t</w:t>
      </w:r>
      <w:r w:rsidR="009563B4">
        <w:t>here are no comprehensive statistics on agricultural indicators or land tenure patterns</w:t>
      </w:r>
      <w:r>
        <w:t xml:space="preserve">. </w:t>
      </w:r>
      <w:r w:rsidR="009563B4">
        <w:t xml:space="preserve"> </w:t>
      </w:r>
      <w:r w:rsidR="00FE6CD4">
        <w:t xml:space="preserve">MINIGRIP </w:t>
      </w:r>
      <w:r w:rsidR="009563B4">
        <w:t xml:space="preserve">maintains statistics on production, which feeds </w:t>
      </w:r>
      <w:r>
        <w:t>into</w:t>
      </w:r>
      <w:r w:rsidR="009563B4">
        <w:t xml:space="preserve"> the FAOSTATS global database, but no data </w:t>
      </w:r>
      <w:r>
        <w:t xml:space="preserve">exist </w:t>
      </w:r>
      <w:r w:rsidR="009563B4">
        <w:t xml:space="preserve">on commercialization. </w:t>
      </w:r>
    </w:p>
    <w:p w14:paraId="5BB95BF9" w14:textId="54F24493" w:rsidR="009563B4" w:rsidRPr="00CE1EA7" w:rsidRDefault="009563B4" w:rsidP="001667C6">
      <w:pPr>
        <w:pStyle w:val="ParagraphOED"/>
        <w:numPr>
          <w:ilvl w:val="0"/>
          <w:numId w:val="102"/>
        </w:numPr>
        <w:spacing w:after="160"/>
      </w:pPr>
      <w:r>
        <w:t>There are also challenges along the entire agro-value chain: from the procurement of basic agricultural inputs (seeds, fertilizer, tools etc.), to the limited and costly availability of both storage and agro-</w:t>
      </w:r>
      <w:r w:rsidR="00CA7812">
        <w:t>/</w:t>
      </w:r>
      <w:r>
        <w:t xml:space="preserve">forestry processing facilities, to the deficient distribution network and high costs of transportation and marketing of agricultural and forest-based products. Similar conditions also apply to the forestry and livestock </w:t>
      </w:r>
      <w:r w:rsidR="00CA7812">
        <w:t>markets</w:t>
      </w:r>
      <w:r>
        <w:t>.</w:t>
      </w:r>
    </w:p>
    <w:p w14:paraId="710A4A01" w14:textId="4D9DC2B7" w:rsidR="009563B4" w:rsidRPr="00CE1EA7" w:rsidRDefault="009563B4" w:rsidP="001667C6">
      <w:pPr>
        <w:pStyle w:val="ParagraphOED"/>
        <w:numPr>
          <w:ilvl w:val="0"/>
          <w:numId w:val="102"/>
        </w:numPr>
        <w:spacing w:after="160"/>
      </w:pPr>
      <w:r w:rsidRPr="00CE1EA7">
        <w:rPr>
          <w:b/>
          <w:bCs/>
        </w:rPr>
        <w:t>A key bottleneck in value chains</w:t>
      </w:r>
      <w:r w:rsidRPr="00CE1EA7">
        <w:t xml:space="preserve">, according to the analysis in </w:t>
      </w:r>
      <w:hyperlink w:anchor="_Annex_W-3:_The" w:history="1">
        <w:r w:rsidRPr="00CE1EA7">
          <w:rPr>
            <w:rStyle w:val="Hyperlink"/>
          </w:rPr>
          <w:t>Annex W-3</w:t>
        </w:r>
      </w:hyperlink>
      <w:r w:rsidRPr="00CE1EA7">
        <w:t xml:space="preserve">, lies with the </w:t>
      </w:r>
      <w:r w:rsidRPr="00925FE8">
        <w:rPr>
          <w:b/>
          <w:bCs/>
        </w:rPr>
        <w:t>aggregators</w:t>
      </w:r>
      <w:r w:rsidRPr="00CE1EA7">
        <w:t xml:space="preserve"> and their difficulty in organizing producers in a more effective way. </w:t>
      </w:r>
      <w:r w:rsidRPr="00925FE8">
        <w:t>For large traders, food retail, food exporters and land users in general, the practices of local ‘middle-man’ hinder them from taking part in more dynamic agro-value chains and in accessing more advantageous markets. Lifting this barrier could make a</w:t>
      </w:r>
      <w:r w:rsidR="00CA7812">
        <w:t xml:space="preserve"> significant</w:t>
      </w:r>
      <w:r w:rsidRPr="00925FE8">
        <w:t xml:space="preserve"> difference at local level. Both in rural and urban areas, informal markets are operated by several wholesalers, who are specialized in specific provinces, districts and often a set of products. Their job is to aggregate production from the rural areas, often by visiting multiple rural markets where a few small farmers attempt to sell their surplus. Most of the operations are performed by business</w:t>
      </w:r>
      <w:r w:rsidR="00CA7812">
        <w:t xml:space="preserve"> </w:t>
      </w:r>
      <w:r w:rsidRPr="00925FE8">
        <w:t>women, while processing is owned by men. There are reports</w:t>
      </w:r>
      <w:r w:rsidRPr="00CE1EA7">
        <w:t xml:space="preserve"> of poor hygiene in product handling and bundling. This happens often in open markets located on the roadsides. Within the project zone, there has been no known record of Local Government providing support to value chain </w:t>
      </w:r>
      <w:r w:rsidR="00CA7812">
        <w:t>stakeholders</w:t>
      </w:r>
      <w:r w:rsidR="00CA7812" w:rsidRPr="00CE1EA7">
        <w:t xml:space="preserve"> </w:t>
      </w:r>
      <w:r w:rsidRPr="00CE1EA7">
        <w:t>with the aim of improving conditions in the local public markets.</w:t>
      </w:r>
      <w:r w:rsidRPr="00CE1EA7">
        <w:rPr>
          <w:rStyle w:val="FootnoteReference"/>
        </w:rPr>
        <w:footnoteReference w:id="51"/>
      </w:r>
      <w:r w:rsidRPr="00CE1EA7">
        <w:t xml:space="preserve"> </w:t>
      </w:r>
    </w:p>
    <w:p w14:paraId="32C5ED71" w14:textId="52497C82" w:rsidR="009563B4" w:rsidRPr="0017400A" w:rsidRDefault="009563B4" w:rsidP="001667C6">
      <w:pPr>
        <w:pStyle w:val="ParagraphOED"/>
        <w:numPr>
          <w:ilvl w:val="0"/>
          <w:numId w:val="102"/>
        </w:numPr>
        <w:spacing w:after="160"/>
      </w:pPr>
      <w:r>
        <w:t>Informal value chains, as described in the previous paragraph, are extremely inefficient</w:t>
      </w:r>
      <w:r w:rsidR="00CA7812">
        <w:t xml:space="preserve"> in terms of time and </w:t>
      </w:r>
      <w:r>
        <w:t>food loss</w:t>
      </w:r>
      <w:r w:rsidR="00CA7812">
        <w:t>;</w:t>
      </w:r>
      <w:r>
        <w:t xml:space="preserve"> and they </w:t>
      </w:r>
      <w:r w:rsidR="00CA7812">
        <w:t xml:space="preserve">are </w:t>
      </w:r>
      <w:r>
        <w:t xml:space="preserve">quite risky business for the entrepreneur. It can be inferred that both informal wholesalers and retailers </w:t>
      </w:r>
      <w:r w:rsidR="00CA7812">
        <w:t>receive</w:t>
      </w:r>
      <w:r>
        <w:t xml:space="preserve"> very low income, as the business scale and technology is limited. </w:t>
      </w:r>
    </w:p>
    <w:p w14:paraId="6E32E33C" w14:textId="69F3FFE2" w:rsidR="009563B4" w:rsidRPr="0017400A" w:rsidRDefault="00CA7812" w:rsidP="001667C6">
      <w:pPr>
        <w:pStyle w:val="ParagraphOED"/>
        <w:numPr>
          <w:ilvl w:val="0"/>
          <w:numId w:val="102"/>
        </w:numPr>
        <w:spacing w:after="160"/>
      </w:pPr>
      <w:r>
        <w:t xml:space="preserve">Underperformance </w:t>
      </w:r>
      <w:r w:rsidR="009563B4">
        <w:t>of these businesses is mainly due to</w:t>
      </w:r>
      <w:r>
        <w:t>:</w:t>
      </w:r>
      <w:r w:rsidR="009563B4">
        <w:t xml:space="preserve"> limited </w:t>
      </w:r>
      <w:r>
        <w:t>cash flow</w:t>
      </w:r>
      <w:r w:rsidR="00FE6CD4">
        <w:t xml:space="preserve">, </w:t>
      </w:r>
      <w:r w:rsidR="009563B4">
        <w:t>lack of investment capital, adequate infrastructure</w:t>
      </w:r>
      <w:r>
        <w:t xml:space="preserve"> and</w:t>
      </w:r>
      <w:r w:rsidR="009563B4">
        <w:t xml:space="preserve"> agro-processing technologies</w:t>
      </w:r>
      <w:r w:rsidR="00FE6CD4">
        <w:t xml:space="preserve">, </w:t>
      </w:r>
      <w:r w:rsidR="009563B4">
        <w:t xml:space="preserve">limited means of transportation and informality of their enterprises. Some wholesalers invest in their own transport </w:t>
      </w:r>
      <w:r w:rsidR="009563B4">
        <w:lastRenderedPageBreak/>
        <w:t>fleet and storage facilities</w:t>
      </w:r>
      <w:r w:rsidR="0056610A">
        <w:t xml:space="preserve">, </w:t>
      </w:r>
      <w:r w:rsidR="009563B4">
        <w:t>generat</w:t>
      </w:r>
      <w:r w:rsidR="0056610A">
        <w:t>ing</w:t>
      </w:r>
      <w:r w:rsidR="009563B4">
        <w:t xml:space="preserve"> much higher revenues</w:t>
      </w:r>
      <w:r w:rsidR="0056610A">
        <w:t xml:space="preserve"> and</w:t>
      </w:r>
      <w:r w:rsidR="009563B4">
        <w:t xml:space="preserve"> eventually business stability. Very few women operate these businesses and possibly in a cartel-like fashion.</w:t>
      </w:r>
    </w:p>
    <w:p w14:paraId="2A9CAEEC" w14:textId="78EF3F18" w:rsidR="009563B4" w:rsidRPr="0017400A" w:rsidRDefault="00031E0F" w:rsidP="001667C6">
      <w:pPr>
        <w:pStyle w:val="ParagraphOED"/>
        <w:numPr>
          <w:ilvl w:val="0"/>
          <w:numId w:val="102"/>
        </w:numPr>
        <w:spacing w:after="160"/>
      </w:pPr>
      <w:r>
        <w:t>D</w:t>
      </w:r>
      <w:r w:rsidR="009563B4">
        <w:t xml:space="preserve">ryland products in Angola have limited market penetration, despite </w:t>
      </w:r>
      <w:r w:rsidR="00C56C9B">
        <w:t xml:space="preserve">their </w:t>
      </w:r>
      <w:r w:rsidR="009563B4">
        <w:t xml:space="preserve">potential. However, an important exception is charcoal. Activities of both the charcoal and </w:t>
      </w:r>
      <w:r w:rsidR="00C56C9B">
        <w:t xml:space="preserve">timber </w:t>
      </w:r>
      <w:r w:rsidR="009563B4">
        <w:t xml:space="preserve">sectors are important drivers of deforestation and degradation in Miombo-Mopane woodland landscapes. Together, these two segments of the Forestry Sector are likely responsible for about half of the active deforestation and degradation in Angola, while the </w:t>
      </w:r>
      <w:r w:rsidR="00C56C9B">
        <w:t xml:space="preserve">other </w:t>
      </w:r>
      <w:r w:rsidR="009563B4">
        <w:t xml:space="preserve">half can be attributed to the widespread practice of slash-and-burn agriculture. While the activity is considered a driver of deforestation, the collection of woody biomass from landscapes to manufacture charcoal does not constitute </w:t>
      </w:r>
      <w:r w:rsidR="001B248C">
        <w:t>land-use change</w:t>
      </w:r>
      <w:r w:rsidR="009563B4">
        <w:t>, as land clearings would do but</w:t>
      </w:r>
      <w:r w:rsidR="00C56C9B">
        <w:t>,</w:t>
      </w:r>
      <w:r w:rsidR="009563B4">
        <w:t xml:space="preserve"> depending on local conditions, it may open up access to forest patches to either runaway fires or subsequent clearings. There have been several publications and projects recently that attempt to devise solutions to the problems caused by the charcoal industry in Africa, including CO2 emissions and the linkages to forest degradation and deforestation. The aspect of lost taxation revenue to the States is often neglected. A 2017 UNEP study </w:t>
      </w:r>
      <w:r w:rsidR="00AD57F5">
        <w:t>estimates</w:t>
      </w:r>
      <w:r w:rsidR="00C56C9B">
        <w:t xml:space="preserve"> </w:t>
      </w:r>
      <w:r w:rsidR="009563B4">
        <w:t>that</w:t>
      </w:r>
      <w:r w:rsidR="00AD57F5">
        <w:t xml:space="preserve"> </w:t>
      </w:r>
      <w:r w:rsidR="009563B4">
        <w:t>90% of wood consumed</w:t>
      </w:r>
      <w:r w:rsidR="00AD57F5">
        <w:t xml:space="preserve"> in Africa</w:t>
      </w:r>
      <w:r w:rsidR="009563B4">
        <w:t xml:space="preserve"> is used for woodfuel and charcoal. </w:t>
      </w:r>
    </w:p>
    <w:p w14:paraId="57EF68B4" w14:textId="28B7EA84" w:rsidR="009563B4" w:rsidRPr="0017400A" w:rsidRDefault="009563B4" w:rsidP="001667C6">
      <w:pPr>
        <w:pStyle w:val="ParagraphOED"/>
        <w:numPr>
          <w:ilvl w:val="0"/>
          <w:numId w:val="102"/>
        </w:numPr>
        <w:spacing w:after="160"/>
      </w:pPr>
      <w:r>
        <w:t xml:space="preserve">In Angola, charcoal manufacturing remains informal. For the business-person pursuing the activity, acquiring permits </w:t>
      </w:r>
      <w:r w:rsidR="00AD57F5">
        <w:t xml:space="preserve">to </w:t>
      </w:r>
      <w:r>
        <w:t>explor</w:t>
      </w:r>
      <w:r w:rsidR="00AD57F5">
        <w:t>e</w:t>
      </w:r>
      <w:r>
        <w:t xml:space="preserve"> forests for such purpose is considered expensive, cumbersome and unnecessary. The SHARP results indicate that</w:t>
      </w:r>
      <w:r w:rsidR="00AD57F5">
        <w:t>,</w:t>
      </w:r>
      <w:r>
        <w:t xml:space="preserve"> in the project area, access to forest resource is open, wide and unregulated, and that the large majority of households (80%) use trees for producing charcoal – yet very few admitted to selling it. </w:t>
      </w:r>
    </w:p>
    <w:p w14:paraId="16909A7C" w14:textId="63A377DB" w:rsidR="009563B4" w:rsidRDefault="009563B4" w:rsidP="001667C6">
      <w:pPr>
        <w:pStyle w:val="ParagraphOED"/>
        <w:numPr>
          <w:ilvl w:val="0"/>
          <w:numId w:val="102"/>
        </w:numPr>
        <w:spacing w:after="160"/>
      </w:pPr>
      <w:r>
        <w:t>The project will seek to address the barriers to a more rational use of biomass resources, by assessing the local demand for charcoal and possible alternatives (e.g. plantation with fast</w:t>
      </w:r>
      <w:r w:rsidR="00AD57F5">
        <w:t>-</w:t>
      </w:r>
      <w:r>
        <w:t xml:space="preserve">growing woody species, pelleting, improved kilns etc.). </w:t>
      </w:r>
      <w:r w:rsidR="03458DC0" w:rsidRPr="1E65A5F7">
        <w:rPr>
          <w:highlight w:val="yellow"/>
        </w:rPr>
        <w:t>The project will create s</w:t>
      </w:r>
      <w:r w:rsidR="00B77668">
        <w:rPr>
          <w:highlight w:val="yellow"/>
        </w:rPr>
        <w:t>y</w:t>
      </w:r>
      <w:r w:rsidR="03458DC0" w:rsidRPr="1E65A5F7">
        <w:rPr>
          <w:highlight w:val="yellow"/>
        </w:rPr>
        <w:t>nergies with the GEF Project Promotion of Sustainable Charcoal in Angola through a Value Chain Approach GEF I</w:t>
      </w:r>
      <w:r w:rsidR="164E7DFC" w:rsidRPr="1E65A5F7">
        <w:rPr>
          <w:highlight w:val="yellow"/>
        </w:rPr>
        <w:t>D#5719</w:t>
      </w:r>
      <w:r w:rsidR="26FE7F6A" w:rsidRPr="1E65A5F7">
        <w:rPr>
          <w:highlight w:val="yellow"/>
        </w:rPr>
        <w:t xml:space="preserve"> implemented by UNDP and MCTA</w:t>
      </w:r>
      <w:r w:rsidR="164E7DFC" w:rsidRPr="1E65A5F7">
        <w:rPr>
          <w:highlight w:val="yellow"/>
        </w:rPr>
        <w:t xml:space="preserve">, which is working on </w:t>
      </w:r>
      <w:r w:rsidR="7F746296" w:rsidRPr="1E65A5F7">
        <w:rPr>
          <w:highlight w:val="yellow"/>
        </w:rPr>
        <w:t>the policy framework to support a sustainable charcoal value chain and sustainable charcoal production technology, briquetting and energy-efficient charcoal stoves</w:t>
      </w:r>
      <w:r w:rsidR="7F746296">
        <w:t xml:space="preserve">. Besides this, </w:t>
      </w:r>
      <w:r w:rsidR="1875208D">
        <w:t>l</w:t>
      </w:r>
      <w:r>
        <w:t xml:space="preserve">ittle is </w:t>
      </w:r>
      <w:r w:rsidR="00D837A2">
        <w:t xml:space="preserve">known </w:t>
      </w:r>
      <w:r>
        <w:t xml:space="preserve">about the charcoal subsector in southern Angola, including the economic and NRM processes behind this largely informal value chain. A few studies have been carried out, but they show that the markets are very contextual and studies from one province may not apply to </w:t>
      </w:r>
      <w:r w:rsidR="00AD57F5">
        <w:t>another</w:t>
      </w:r>
      <w:r>
        <w:t>. Addressing issue of access</w:t>
      </w:r>
      <w:r w:rsidR="00AD57F5">
        <w:t xml:space="preserve"> to</w:t>
      </w:r>
      <w:r>
        <w:t xml:space="preserve"> forests, know-how and equipment can offer some pathways for </w:t>
      </w:r>
      <w:r w:rsidR="00AD57F5">
        <w:t>creating a ‘greener’ charcoal value chain</w:t>
      </w:r>
      <w:r>
        <w:t xml:space="preserve">. </w:t>
      </w:r>
    </w:p>
    <w:p w14:paraId="44833966" w14:textId="5ACE07BF" w:rsidR="009563B4" w:rsidRPr="00031E0F" w:rsidRDefault="00031E0F" w:rsidP="00031E0F">
      <w:pPr>
        <w:spacing w:before="160" w:after="160"/>
        <w:rPr>
          <w:b/>
          <w:bCs/>
          <w:i/>
          <w:iCs/>
          <w:sz w:val="21"/>
          <w:szCs w:val="21"/>
          <w:highlight w:val="lightGray"/>
        </w:rPr>
      </w:pPr>
      <w:bookmarkStart w:id="92" w:name="_Toc45712176"/>
      <w:r w:rsidRPr="00031E0F">
        <w:rPr>
          <w:rFonts w:ascii="Calibri" w:hAnsi="Calibri"/>
          <w:b/>
          <w:bCs/>
          <w:i/>
          <w:iCs/>
          <w:sz w:val="21"/>
          <w:szCs w:val="21"/>
          <w:highlight w:val="lightGray"/>
        </w:rPr>
        <w:t>c)</w:t>
      </w:r>
      <w:r>
        <w:rPr>
          <w:b/>
          <w:bCs/>
          <w:i/>
          <w:iCs/>
          <w:sz w:val="21"/>
          <w:szCs w:val="21"/>
          <w:highlight w:val="lightGray"/>
        </w:rPr>
        <w:t xml:space="preserve"> G</w:t>
      </w:r>
      <w:r w:rsidR="009563B4" w:rsidRPr="00031E0F">
        <w:rPr>
          <w:b/>
          <w:bCs/>
          <w:i/>
          <w:iCs/>
          <w:sz w:val="21"/>
          <w:szCs w:val="21"/>
          <w:highlight w:val="lightGray"/>
        </w:rPr>
        <w:t xml:space="preserve">ender </w:t>
      </w:r>
      <w:r w:rsidR="00FD0EF8" w:rsidRPr="00FD0EF8">
        <w:rPr>
          <w:b/>
          <w:bCs/>
          <w:i/>
          <w:iCs/>
          <w:sz w:val="21"/>
          <w:szCs w:val="21"/>
          <w:highlight w:val="lightGray"/>
        </w:rPr>
        <w:t xml:space="preserve">livelihood and value-chain inequalities </w:t>
      </w:r>
      <w:r w:rsidR="009563B4" w:rsidRPr="00031E0F">
        <w:rPr>
          <w:b/>
          <w:bCs/>
          <w:i/>
          <w:iCs/>
          <w:sz w:val="21"/>
          <w:szCs w:val="21"/>
          <w:highlight w:val="lightGray"/>
        </w:rPr>
        <w:t>curtail opportunities for women</w:t>
      </w:r>
      <w:bookmarkEnd w:id="92"/>
    </w:p>
    <w:p w14:paraId="793DDA4A" w14:textId="436A75CF" w:rsidR="009563B4" w:rsidRPr="0066194B" w:rsidRDefault="009563B4" w:rsidP="001667C6">
      <w:pPr>
        <w:pStyle w:val="ParagraphOED"/>
        <w:numPr>
          <w:ilvl w:val="0"/>
          <w:numId w:val="102"/>
        </w:numPr>
        <w:spacing w:after="160"/>
      </w:pPr>
      <w:r w:rsidRPr="0017400A">
        <w:t xml:space="preserve">Gender-based inequalities in rural settings in Angola are reflected in unequal opportunities for obtaining income, in particular in the rural areas. Also, The SHARP results have shown how this general assumption is also valid in project </w:t>
      </w:r>
      <w:r w:rsidR="00443475">
        <w:t xml:space="preserve">intervention </w:t>
      </w:r>
      <w:r w:rsidRPr="0017400A">
        <w:t>sites. Most male</w:t>
      </w:r>
      <w:r w:rsidR="00443475">
        <w:t>-</w:t>
      </w:r>
      <w:r w:rsidRPr="0017400A">
        <w:t>headed households (71%, 12 households) have two income sources, while this is true for 47% women-led families (7 households) and 41% of jointly led households (12 households). Th</w:t>
      </w:r>
      <w:r w:rsidR="00443475">
        <w:t>ese</w:t>
      </w:r>
      <w:r w:rsidRPr="0017400A">
        <w:t xml:space="preserve"> data </w:t>
      </w:r>
      <w:r w:rsidR="00443475">
        <w:t>are</w:t>
      </w:r>
      <w:r w:rsidRPr="0017400A">
        <w:t xml:space="preserve"> </w:t>
      </w:r>
      <w:r w:rsidRPr="0066194B">
        <w:t>corroborated with demographic data on gender disaggregated income for Angola, although scant.</w:t>
      </w:r>
      <w:r w:rsidRPr="0066194B">
        <w:rPr>
          <w:rStyle w:val="FootnoteReference"/>
        </w:rPr>
        <w:footnoteReference w:id="52"/>
      </w:r>
    </w:p>
    <w:p w14:paraId="54EC39B9" w14:textId="72D6B2F3" w:rsidR="009563B4" w:rsidRPr="0017400A" w:rsidRDefault="009563B4" w:rsidP="001667C6">
      <w:pPr>
        <w:pStyle w:val="ParagraphOED"/>
        <w:numPr>
          <w:ilvl w:val="0"/>
          <w:numId w:val="102"/>
        </w:numPr>
        <w:spacing w:after="160"/>
      </w:pPr>
      <w:r>
        <w:t xml:space="preserve">The main barriers faced by rural women in the project area are </w:t>
      </w:r>
      <w:r w:rsidRPr="1E65A5F7">
        <w:rPr>
          <w:b/>
          <w:bCs/>
        </w:rPr>
        <w:t>legal, social, customary, financial and linked to their lower education status</w:t>
      </w:r>
      <w:r w:rsidR="00443475">
        <w:t>, illustrated by d</w:t>
      </w:r>
      <w:r>
        <w:t>at</w:t>
      </w:r>
      <w:r w:rsidR="0055004E">
        <w:t>a</w:t>
      </w:r>
      <w:r>
        <w:t xml:space="preserve"> from SHARP and other sources. A strategy </w:t>
      </w:r>
      <w:r w:rsidR="00443475">
        <w:t>to</w:t>
      </w:r>
      <w:r>
        <w:t xml:space="preserve"> overcom</w:t>
      </w:r>
      <w:r w:rsidR="00443475">
        <w:t>e</w:t>
      </w:r>
      <w:r>
        <w:t xml:space="preserve"> more general gender-based barriers and negative bias</w:t>
      </w:r>
      <w:r w:rsidR="00FD0EF8">
        <w:t>es</w:t>
      </w:r>
      <w:r>
        <w:t xml:space="preserve"> that underpin</w:t>
      </w:r>
      <w:r w:rsidR="00FD0EF8">
        <w:t xml:space="preserve"> </w:t>
      </w:r>
      <w:r>
        <w:t xml:space="preserve">inequality is included in </w:t>
      </w:r>
      <w:r w:rsidR="00F024A7" w:rsidRPr="1E65A5F7">
        <w:rPr>
          <w:rStyle w:val="Hyperlink"/>
        </w:rPr>
        <w:t>Annex X-1</w:t>
      </w:r>
      <w:r>
        <w:t xml:space="preserve">. </w:t>
      </w:r>
    </w:p>
    <w:p w14:paraId="056F5D54" w14:textId="522A6151" w:rsidR="009563B4" w:rsidRPr="00CE1EA7" w:rsidRDefault="009563B4" w:rsidP="001667C6">
      <w:pPr>
        <w:pStyle w:val="ParagraphOED"/>
        <w:numPr>
          <w:ilvl w:val="0"/>
          <w:numId w:val="102"/>
        </w:numPr>
        <w:spacing w:after="160"/>
      </w:pPr>
      <w:r>
        <w:t xml:space="preserve">From the analysis, three </w:t>
      </w:r>
      <w:r w:rsidR="00FD0EF8">
        <w:t>priorities</w:t>
      </w:r>
      <w:r>
        <w:t xml:space="preserve"> stand out: (</w:t>
      </w:r>
      <w:r w:rsidR="00FD0EF8">
        <w:t>i</w:t>
      </w:r>
      <w:r>
        <w:t>) unequal income opportunities and unequal pay in rural jobs, especially in large and medium</w:t>
      </w:r>
      <w:r w:rsidR="00FD0EF8">
        <w:t>-</w:t>
      </w:r>
      <w:r>
        <w:t>size farms; (</w:t>
      </w:r>
      <w:r w:rsidR="00FD0EF8">
        <w:t>ii</w:t>
      </w:r>
      <w:r>
        <w:t>) very unequal land tenure conditions between m</w:t>
      </w:r>
      <w:r w:rsidR="00FD0EF8">
        <w:t>e</w:t>
      </w:r>
      <w:r>
        <w:t>n and women,  (including inheritance and ownership of built infrastructure within marriage bonds); and (</w:t>
      </w:r>
      <w:r w:rsidR="00FD0EF8">
        <w:t>iii</w:t>
      </w:r>
      <w:r>
        <w:t>) household leadership and decision</w:t>
      </w:r>
      <w:r w:rsidR="00FD0EF8">
        <w:t>-</w:t>
      </w:r>
      <w:r>
        <w:t xml:space="preserve">making within it. For the latter </w:t>
      </w:r>
      <w:r>
        <w:lastRenderedPageBreak/>
        <w:t xml:space="preserve">(#3), the general gender picture is one of less inequality and more ‘harmony’. Concerning (#2), land tenure, it is notable that tradition and culture play an important a role. </w:t>
      </w:r>
    </w:p>
    <w:p w14:paraId="381C1E47" w14:textId="15AF2D7F" w:rsidR="00190BCA" w:rsidRDefault="009563B4" w:rsidP="001667C6">
      <w:pPr>
        <w:pStyle w:val="ParagraphOED"/>
        <w:numPr>
          <w:ilvl w:val="0"/>
          <w:numId w:val="102"/>
        </w:numPr>
      </w:pPr>
      <w:r>
        <w:t>On a more positive note, rural women play a rather active role in the sale of agricultural produce. Several of the primary aggregators are women and they are possibly the majority in local markets, directly selling vegetables, grain, fruit and other products from the land. Their constraint for reaching a higher aggregation level appears to be access to own vehicle and perhaps the possession of a driver’s license. The project will take this into account in the strategy but will not directly address it. Refer t</w:t>
      </w:r>
      <w:r w:rsidR="00266D70">
        <w:t xml:space="preserve">o </w:t>
      </w:r>
      <w:r w:rsidR="00266D70" w:rsidRPr="1E65A5F7">
        <w:rPr>
          <w:rStyle w:val="Hyperlink"/>
        </w:rPr>
        <w:t>Annex X-1</w:t>
      </w:r>
      <w:r>
        <w:t xml:space="preserve"> for more details </w:t>
      </w:r>
      <w:r w:rsidR="00C56C9B">
        <w:t>in</w:t>
      </w:r>
      <w:r>
        <w:t xml:space="preserve"> the Gender Action Plan. the Gender Action Plan.</w:t>
      </w:r>
      <w:bookmarkStart w:id="93" w:name="_Toc45712179"/>
    </w:p>
    <w:p w14:paraId="064071F3" w14:textId="7F9AA37C" w:rsidR="005114EA" w:rsidRPr="000A3388" w:rsidRDefault="006C3FEB" w:rsidP="4235EC14">
      <w:pPr>
        <w:rPr>
          <w:rFonts w:asciiTheme="minorHAnsi" w:hAnsiTheme="minorHAnsi" w:cstheme="minorBidi"/>
          <w:b/>
          <w:bCs/>
          <w:sz w:val="21"/>
          <w:szCs w:val="21"/>
          <w:lang w:val="en-US" w:eastAsia="en-US"/>
        </w:rPr>
      </w:pPr>
      <w:r w:rsidRPr="000A3388">
        <w:rPr>
          <w:rFonts w:asciiTheme="minorHAnsi" w:hAnsiTheme="minorHAnsi" w:cstheme="minorHAnsi"/>
          <w:b/>
          <w:bCs/>
          <w:noProof/>
          <w:sz w:val="21"/>
          <w:szCs w:val="21"/>
          <w:lang w:val="en-US" w:eastAsia="en-US"/>
        </w:rPr>
        <mc:AlternateContent>
          <mc:Choice Requires="wps">
            <w:drawing>
              <wp:anchor distT="45720" distB="45720" distL="114300" distR="114300" simplePos="0" relativeHeight="251658243" behindDoc="0" locked="0" layoutInCell="1" allowOverlap="1" wp14:anchorId="52AB1BCF" wp14:editId="42FC78E5">
                <wp:simplePos x="0" y="0"/>
                <wp:positionH relativeFrom="margin">
                  <wp:align>left</wp:align>
                </wp:positionH>
                <wp:positionV relativeFrom="paragraph">
                  <wp:posOffset>358140</wp:posOffset>
                </wp:positionV>
                <wp:extent cx="5741035" cy="1404620"/>
                <wp:effectExtent l="0" t="0" r="12065" b="25400"/>
                <wp:wrapTopAndBottom/>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41035" cy="1404620"/>
                        </a:xfrm>
                        <a:prstGeom prst="rect">
                          <a:avLst/>
                        </a:prstGeom>
                        <a:solidFill>
                          <a:srgbClr val="FFFFFF"/>
                        </a:solidFill>
                        <a:ln w="9525">
                          <a:solidFill>
                            <a:srgbClr val="000000"/>
                          </a:solidFill>
                          <a:miter lim="800000"/>
                          <a:headEnd/>
                          <a:tailEnd/>
                        </a:ln>
                      </wps:spPr>
                      <wps:txbx>
                        <w:txbxContent>
                          <w:p w14:paraId="201E6E61" w14:textId="5C1EA141" w:rsidR="004D2871" w:rsidRPr="00A96699" w:rsidRDefault="004D2871" w:rsidP="001840A5">
                            <w:pPr>
                              <w:jc w:val="both"/>
                              <w:rPr>
                                <w:rFonts w:asciiTheme="minorHAnsi" w:hAnsiTheme="minorHAnsi" w:cstheme="minorHAnsi"/>
                                <w:i/>
                                <w:iCs/>
                                <w:sz w:val="21"/>
                                <w:szCs w:val="21"/>
                              </w:rPr>
                            </w:pPr>
                            <w:r w:rsidRPr="00A96699">
                              <w:rPr>
                                <w:rFonts w:asciiTheme="minorHAnsi" w:hAnsiTheme="minorHAnsi" w:cstheme="minorHAnsi"/>
                                <w:b/>
                                <w:bCs/>
                                <w:i/>
                                <w:iCs/>
                                <w:sz w:val="21"/>
                                <w:szCs w:val="21"/>
                              </w:rPr>
                              <w:t>Barrier Statement #6)</w:t>
                            </w:r>
                            <w:r w:rsidRPr="00A96699">
                              <w:rPr>
                                <w:rFonts w:asciiTheme="minorHAnsi" w:hAnsiTheme="minorHAnsi" w:cstheme="minorHAnsi"/>
                                <w:i/>
                                <w:iCs/>
                                <w:sz w:val="21"/>
                                <w:szCs w:val="21"/>
                              </w:rPr>
                              <w:t xml:space="preserve"> Weak national and landscape-level LDN assessment and monitoring frameworks. </w:t>
                            </w:r>
                          </w:p>
                          <w:p w14:paraId="4A7D4239" w14:textId="77777777" w:rsidR="004D2871" w:rsidRPr="00A96699" w:rsidRDefault="004D2871" w:rsidP="001840A5">
                            <w:pPr>
                              <w:jc w:val="both"/>
                              <w:rPr>
                                <w:rFonts w:asciiTheme="minorHAnsi" w:hAnsiTheme="minorHAnsi" w:cstheme="minorHAnsi"/>
                                <w:i/>
                                <w:iCs/>
                                <w:sz w:val="21"/>
                                <w:szCs w:val="21"/>
                              </w:rPr>
                            </w:pPr>
                            <w:r w:rsidRPr="00A96699">
                              <w:rPr>
                                <w:rFonts w:asciiTheme="minorHAnsi" w:hAnsiTheme="minorHAnsi" w:cstheme="minorHAnsi"/>
                                <w:b/>
                                <w:bCs/>
                                <w:i/>
                                <w:iCs/>
                                <w:sz w:val="21"/>
                                <w:szCs w:val="21"/>
                              </w:rPr>
                              <w:t>Barrier Statement #7)</w:t>
                            </w:r>
                            <w:r w:rsidRPr="00A96699">
                              <w:rPr>
                                <w:rFonts w:asciiTheme="minorHAnsi" w:hAnsiTheme="minorHAnsi" w:cstheme="minorHAnsi"/>
                                <w:i/>
                                <w:iCs/>
                                <w:sz w:val="21"/>
                                <w:szCs w:val="21"/>
                              </w:rPr>
                              <w:t xml:space="preserve"> Comprehensive, LDN-focused, knowledge management and learning initiative across Miombo-Mopane region is absent. </w:t>
                            </w:r>
                          </w:p>
                          <w:p w14:paraId="1B3AD1CF" w14:textId="615384E8" w:rsidR="004D2871" w:rsidRPr="00A96699" w:rsidRDefault="004D2871" w:rsidP="001840A5">
                            <w:pPr>
                              <w:jc w:val="both"/>
                              <w:rPr>
                                <w:rFonts w:asciiTheme="minorHAnsi" w:hAnsiTheme="minorHAnsi" w:cstheme="minorHAnsi"/>
                                <w:i/>
                                <w:iCs/>
                                <w:sz w:val="21"/>
                                <w:szCs w:val="21"/>
                              </w:rPr>
                            </w:pPr>
                            <w:r w:rsidRPr="00A96699">
                              <w:rPr>
                                <w:rFonts w:asciiTheme="minorHAnsi" w:hAnsiTheme="minorHAnsi" w:cstheme="minorHAnsi"/>
                                <w:b/>
                                <w:bCs/>
                                <w:i/>
                                <w:iCs/>
                                <w:sz w:val="21"/>
                                <w:szCs w:val="21"/>
                              </w:rPr>
                              <w:t>Barrier Statement #8)</w:t>
                            </w:r>
                            <w:r w:rsidRPr="00A96699">
                              <w:rPr>
                                <w:rFonts w:asciiTheme="minorHAnsi" w:hAnsiTheme="minorHAnsi" w:cstheme="minorHAnsi"/>
                                <w:i/>
                                <w:iCs/>
                                <w:sz w:val="21"/>
                                <w:szCs w:val="21"/>
                              </w:rPr>
                              <w:t xml:space="preserve"> Insufficient sub-regional/cross-border coordination of landscape management activities among Miombo-cluster countries.</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52AB1BCF" id="_x0000_s1028" type="#_x0000_t202" style="position:absolute;margin-left:0;margin-top:28.2pt;width:452.05pt;height:110.6pt;z-index:251658243;visibility:visible;mso-wrap-style:square;mso-width-percent:0;mso-height-percent:200;mso-wrap-distance-left:9pt;mso-wrap-distance-top:3.6pt;mso-wrap-distance-right:9pt;mso-wrap-distance-bottom:3.6pt;mso-position-horizontal:lef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">
                <v:textbox style="mso-fit-shape-to-text:t">
                  <w:txbxContent>
                    <w:p w14:paraId="201E6E61" w14:textId="5C1EA141" w:rsidR="004D2871" w:rsidRPr="00A96699" w:rsidRDefault="004D2871" w:rsidP="001840A5">
                      <w:pPr>
                        <w:jc w:val="both"/>
                        <w:rPr>
                          <w:rFonts w:asciiTheme="minorHAnsi" w:hAnsiTheme="minorHAnsi" w:cstheme="minorHAnsi"/>
                          <w:i/>
                          <w:iCs/>
                          <w:sz w:val="21"/>
                          <w:szCs w:val="21"/>
                        </w:rPr>
                      </w:pPr>
                      <w:r w:rsidRPr="00A96699">
                        <w:rPr>
                          <w:rFonts w:asciiTheme="minorHAnsi" w:hAnsiTheme="minorHAnsi" w:cstheme="minorHAnsi"/>
                          <w:b/>
                          <w:bCs/>
                          <w:i/>
                          <w:iCs/>
                          <w:sz w:val="21"/>
                          <w:szCs w:val="21"/>
                        </w:rPr>
                        <w:t>Barrier Statement #6)</w:t>
                      </w:r>
                      <w:r w:rsidRPr="00A96699">
                        <w:rPr>
                          <w:rFonts w:asciiTheme="minorHAnsi" w:hAnsiTheme="minorHAnsi" w:cstheme="minorHAnsi"/>
                          <w:i/>
                          <w:iCs/>
                          <w:sz w:val="21"/>
                          <w:szCs w:val="21"/>
                        </w:rPr>
                        <w:t xml:space="preserve"> Weak national and landscape-level LDN assessment and monitoring frameworks. </w:t>
                      </w:r>
                    </w:p>
                    <w:p w14:paraId="4A7D4239" w14:textId="77777777" w:rsidR="004D2871" w:rsidRPr="00A96699" w:rsidRDefault="004D2871" w:rsidP="001840A5">
                      <w:pPr>
                        <w:jc w:val="both"/>
                        <w:rPr>
                          <w:rFonts w:asciiTheme="minorHAnsi" w:hAnsiTheme="minorHAnsi" w:cstheme="minorHAnsi"/>
                          <w:i/>
                          <w:iCs/>
                          <w:sz w:val="21"/>
                          <w:szCs w:val="21"/>
                        </w:rPr>
                      </w:pPr>
                      <w:r w:rsidRPr="00A96699">
                        <w:rPr>
                          <w:rFonts w:asciiTheme="minorHAnsi" w:hAnsiTheme="minorHAnsi" w:cstheme="minorHAnsi"/>
                          <w:b/>
                          <w:bCs/>
                          <w:i/>
                          <w:iCs/>
                          <w:sz w:val="21"/>
                          <w:szCs w:val="21"/>
                        </w:rPr>
                        <w:t>Barrier Statement #7)</w:t>
                      </w:r>
                      <w:r w:rsidRPr="00A96699">
                        <w:rPr>
                          <w:rFonts w:asciiTheme="minorHAnsi" w:hAnsiTheme="minorHAnsi" w:cstheme="minorHAnsi"/>
                          <w:i/>
                          <w:iCs/>
                          <w:sz w:val="21"/>
                          <w:szCs w:val="21"/>
                        </w:rPr>
                        <w:t xml:space="preserve"> Comprehensive, LDN-focused, knowledge management and learning initiative across Miombo-Mopane region is absent. </w:t>
                      </w:r>
                    </w:p>
                    <w:p w14:paraId="1B3AD1CF" w14:textId="615384E8" w:rsidR="004D2871" w:rsidRPr="00A96699" w:rsidRDefault="004D2871" w:rsidP="001840A5">
                      <w:pPr>
                        <w:jc w:val="both"/>
                        <w:rPr>
                          <w:rFonts w:asciiTheme="minorHAnsi" w:hAnsiTheme="minorHAnsi" w:cstheme="minorHAnsi"/>
                          <w:i/>
                          <w:iCs/>
                          <w:sz w:val="21"/>
                          <w:szCs w:val="21"/>
                        </w:rPr>
                      </w:pPr>
                      <w:r w:rsidRPr="00A96699">
                        <w:rPr>
                          <w:rFonts w:asciiTheme="minorHAnsi" w:hAnsiTheme="minorHAnsi" w:cstheme="minorHAnsi"/>
                          <w:b/>
                          <w:bCs/>
                          <w:i/>
                          <w:iCs/>
                          <w:sz w:val="21"/>
                          <w:szCs w:val="21"/>
                        </w:rPr>
                        <w:t>Barrier Statement #8)</w:t>
                      </w:r>
                      <w:r w:rsidRPr="00A96699">
                        <w:rPr>
                          <w:rFonts w:asciiTheme="minorHAnsi" w:hAnsiTheme="minorHAnsi" w:cstheme="minorHAnsi"/>
                          <w:i/>
                          <w:iCs/>
                          <w:sz w:val="21"/>
                          <w:szCs w:val="21"/>
                        </w:rPr>
                        <w:t xml:space="preserve"> Insufficient sub-regional/cross-border coordination of landscape management activities among Miombo-cluster countries.</w:t>
                      </w:r>
                    </w:p>
                  </w:txbxContent>
                </v:textbox>
                <w10:wrap type="topAndBottom" anchorx="margin"/>
              </v:shape>
            </w:pict>
          </mc:Fallback>
        </mc:AlternateContent>
      </w:r>
      <w:r w:rsidR="005114EA" w:rsidRPr="4235EC14">
        <w:rPr>
          <w:rFonts w:asciiTheme="minorHAnsi" w:hAnsiTheme="minorHAnsi" w:cstheme="minorBidi"/>
          <w:b/>
          <w:bCs/>
          <w:sz w:val="21"/>
          <w:szCs w:val="21"/>
          <w:lang w:val="en-US" w:eastAsia="en-US"/>
        </w:rPr>
        <w:t xml:space="preserve">Barriers #6, #7 and #8  </w:t>
      </w:r>
    </w:p>
    <w:p w14:paraId="2950D515" w14:textId="1D5A4169" w:rsidR="00190BCA" w:rsidRPr="004B1496" w:rsidRDefault="3EB8AC77" w:rsidP="001667C6">
      <w:pPr>
        <w:pStyle w:val="ParagraphOED"/>
        <w:numPr>
          <w:ilvl w:val="0"/>
          <w:numId w:val="102"/>
        </w:numPr>
      </w:pPr>
      <w:r>
        <w:t xml:space="preserve">In 2018 </w:t>
      </w:r>
      <w:r w:rsidR="72C7FE8A">
        <w:t>t</w:t>
      </w:r>
      <w:r w:rsidR="00190BCA">
        <w:t xml:space="preserve">he government of Angola established  the technical committee on LDN to develop </w:t>
      </w:r>
      <w:r w:rsidR="29AA3230">
        <w:t xml:space="preserve">a </w:t>
      </w:r>
      <w:r w:rsidR="00190BCA">
        <w:t xml:space="preserve">proposal </w:t>
      </w:r>
      <w:r w:rsidR="1FFF0C34">
        <w:t>for</w:t>
      </w:r>
      <w:r w:rsidR="00190BCA">
        <w:t xml:space="preserve"> National LDN </w:t>
      </w:r>
      <w:r w:rsidR="5723B07D">
        <w:t>Target Setting Program</w:t>
      </w:r>
      <w:r w:rsidR="2281A063">
        <w:t xml:space="preserve"> (LDN-TSP)</w:t>
      </w:r>
      <w:r w:rsidR="00190BCA">
        <w:t xml:space="preserve">. The LDN-TSP is being implemented by the Angolan government but has been primarily reliant on data that </w:t>
      </w:r>
      <w:r w:rsidR="204A0131">
        <w:t xml:space="preserve">are </w:t>
      </w:r>
      <w:r w:rsidR="00190BCA">
        <w:t xml:space="preserve">still </w:t>
      </w:r>
      <w:r w:rsidR="0EDE53CE">
        <w:t xml:space="preserve">at </w:t>
      </w:r>
      <w:r w:rsidR="00190BCA">
        <w:t>too broad</w:t>
      </w:r>
      <w:r w:rsidR="49A0F413">
        <w:t xml:space="preserve"> a</w:t>
      </w:r>
      <w:r w:rsidR="00190BCA">
        <w:t xml:space="preserve"> scale for an accurate assessment of land degradation</w:t>
      </w:r>
      <w:r w:rsidR="00807445">
        <w:t xml:space="preserve"> </w:t>
      </w:r>
      <w:r w:rsidR="00190BCA">
        <w:t>and appropriate responses</w:t>
      </w:r>
      <w:r w:rsidR="00664BD0">
        <w:t xml:space="preserve"> (particularly at the local level)</w:t>
      </w:r>
      <w:r w:rsidR="00190BCA">
        <w:t xml:space="preserve">. In the context of the on-going LDN-TSP, </w:t>
      </w:r>
      <w:r w:rsidR="0D155F85">
        <w:t xml:space="preserve">specific </w:t>
      </w:r>
      <w:r w:rsidR="00190BCA">
        <w:t>voluntary LDN targets and strategies developed by the technical committee supported by FAO were presented by the GoA and validated by stakeholders in November 2018</w:t>
      </w:r>
      <w:r w:rsidR="56451360">
        <w:t>.</w:t>
      </w:r>
      <w:r w:rsidR="00190BCA">
        <w:t xml:space="preserve"> </w:t>
      </w:r>
      <w:r w:rsidR="3CE97833">
        <w:t xml:space="preserve">However, </w:t>
      </w:r>
      <w:r w:rsidR="00190BCA">
        <w:t>the GoA will still require</w:t>
      </w:r>
      <w:r w:rsidR="2B86D440">
        <w:t>s</w:t>
      </w:r>
      <w:r w:rsidR="00190BCA">
        <w:t xml:space="preserve"> support to effectively implement and monitor LDN technical measures and targets, </w:t>
      </w:r>
      <w:r w:rsidR="408EF37F">
        <w:t xml:space="preserve">and </w:t>
      </w:r>
      <w:r w:rsidR="00190BCA">
        <w:t>implementing the overall strategy adopted at national level for LDN.</w:t>
      </w:r>
    </w:p>
    <w:p w14:paraId="1D0B3D7B" w14:textId="182FF85A" w:rsidR="00190BCA" w:rsidRPr="002355D4" w:rsidRDefault="65C3BAB6" w:rsidP="001667C6">
      <w:pPr>
        <w:pStyle w:val="ParagraphOED"/>
        <w:numPr>
          <w:ilvl w:val="0"/>
          <w:numId w:val="102"/>
        </w:numPr>
      </w:pPr>
      <w:r>
        <w:t xml:space="preserve">Due to the lack of LD data and capacities </w:t>
      </w:r>
      <w:r w:rsidR="2BDD9A71">
        <w:t xml:space="preserve">to generate LD information </w:t>
      </w:r>
      <w:r>
        <w:t xml:space="preserve">in Angola, the GEF LD Project “Sustainable Land Management in target landscapes of Central Angola” is supporting the Agoecological Zoning Unit to generate LD information in a pilot area </w:t>
      </w:r>
      <w:r w:rsidR="3F530614">
        <w:t xml:space="preserve">in the central part </w:t>
      </w:r>
      <w:r>
        <w:t>of the country</w:t>
      </w:r>
      <w:r w:rsidR="5A3A1006">
        <w:t xml:space="preserve">. </w:t>
      </w:r>
      <w:r w:rsidR="61B450FF">
        <w:t>H</w:t>
      </w:r>
      <w:r>
        <w:t xml:space="preserve">owever this </w:t>
      </w:r>
      <w:r w:rsidR="3F474E8C">
        <w:t xml:space="preserve">needs to </w:t>
      </w:r>
      <w:r>
        <w:t xml:space="preserve">be deepened and scaled up </w:t>
      </w:r>
      <w:r w:rsidR="028D11D7">
        <w:t xml:space="preserve">to provide the </w:t>
      </w:r>
      <w:r>
        <w:t xml:space="preserve">information </w:t>
      </w:r>
      <w:r w:rsidR="332E76EE">
        <w:t xml:space="preserve">needed by </w:t>
      </w:r>
      <w:r>
        <w:t xml:space="preserve"> the technical LDN technical committee.</w:t>
      </w:r>
    </w:p>
    <w:p w14:paraId="534249A9" w14:textId="151A3C50" w:rsidR="00190BCA" w:rsidRPr="002355D4" w:rsidRDefault="00190BCA" w:rsidP="001667C6">
      <w:pPr>
        <w:pStyle w:val="ParagraphOED"/>
        <w:numPr>
          <w:ilvl w:val="0"/>
          <w:numId w:val="102"/>
        </w:numPr>
      </w:pPr>
      <w:r w:rsidRPr="002355D4">
        <w:t xml:space="preserve">Although the LDN technical committee hasn’t been active since the </w:t>
      </w:r>
      <w:r w:rsidR="4651695E" w:rsidRPr="002355D4">
        <w:t xml:space="preserve">LDN-TSP </w:t>
      </w:r>
      <w:r w:rsidRPr="002355D4">
        <w:t>was validated, during the PPG process</w:t>
      </w:r>
      <w:r w:rsidR="3CA69B0F" w:rsidRPr="002355D4">
        <w:t xml:space="preserve"> </w:t>
      </w:r>
      <w:r w:rsidR="645BF90E" w:rsidRPr="002355D4">
        <w:t>the</w:t>
      </w:r>
      <w:r w:rsidRPr="002355D4">
        <w:t xml:space="preserve"> government </w:t>
      </w:r>
      <w:r w:rsidR="7E6981AF" w:rsidRPr="002355D4">
        <w:t xml:space="preserve">identified </w:t>
      </w:r>
      <w:r w:rsidRPr="002355D4">
        <w:t xml:space="preserve">the need </w:t>
      </w:r>
      <w:r w:rsidR="6DA38336" w:rsidRPr="002355D4">
        <w:t xml:space="preserve">to </w:t>
      </w:r>
      <w:r w:rsidR="26724648" w:rsidRPr="002355D4">
        <w:t>re</w:t>
      </w:r>
      <w:r w:rsidRPr="002355D4">
        <w:t>activat</w:t>
      </w:r>
      <w:r w:rsidR="70E183A2" w:rsidRPr="002355D4">
        <w:t>e</w:t>
      </w:r>
      <w:r w:rsidRPr="002355D4">
        <w:t xml:space="preserve"> this </w:t>
      </w:r>
      <w:r w:rsidR="287A8E8F" w:rsidRPr="002355D4">
        <w:t xml:space="preserve">committee </w:t>
      </w:r>
      <w:r w:rsidR="00062136">
        <w:rPr>
          <w:rStyle w:val="FootnoteReference"/>
        </w:rPr>
        <w:footnoteReference w:id="53"/>
      </w:r>
      <w:r w:rsidRPr="002355D4">
        <w:t>￼</w:t>
      </w:r>
      <w:r>
        <w:t xml:space="preserve"> (Program 2.4.1)</w:t>
      </w:r>
      <w:r w:rsidR="00F34CB4">
        <w:t>.</w:t>
      </w:r>
    </w:p>
    <w:p w14:paraId="4309CC93" w14:textId="7D78A1C1" w:rsidR="00190BCA" w:rsidRPr="002355D4" w:rsidRDefault="00190BCA" w:rsidP="001667C6">
      <w:pPr>
        <w:pStyle w:val="ParagraphOED"/>
        <w:numPr>
          <w:ilvl w:val="0"/>
          <w:numId w:val="102"/>
        </w:numPr>
      </w:pPr>
      <w:r>
        <w:t>The lack of capacit</w:t>
      </w:r>
      <w:r w:rsidR="34C0C7A2">
        <w:t xml:space="preserve">y on SLM/SFM and LD and </w:t>
      </w:r>
      <w:r>
        <w:t>and  we</w:t>
      </w:r>
      <w:r w:rsidR="562F1510">
        <w:t>a</w:t>
      </w:r>
      <w:r>
        <w:t xml:space="preserve">k </w:t>
      </w:r>
      <w:r w:rsidR="0AA5410E">
        <w:t xml:space="preserve">technical knowledge and </w:t>
      </w:r>
      <w:r>
        <w:t xml:space="preserve">general awareness </w:t>
      </w:r>
      <w:r w:rsidR="12F5808E">
        <w:t>on</w:t>
      </w:r>
      <w:r>
        <w:t xml:space="preserve"> these </w:t>
      </w:r>
      <w:r w:rsidR="775EC859">
        <w:t>issues</w:t>
      </w:r>
      <w:r>
        <w:t xml:space="preserve"> </w:t>
      </w:r>
      <w:r w:rsidR="4CD917DA">
        <w:t>are</w:t>
      </w:r>
      <w:r>
        <w:t xml:space="preserve"> directly linked to reduced </w:t>
      </w:r>
      <w:r w:rsidR="0E40DB1D">
        <w:t xml:space="preserve">opportunities </w:t>
      </w:r>
      <w:r>
        <w:t>availab</w:t>
      </w:r>
      <w:r w:rsidR="3BD40F88">
        <w:t xml:space="preserve">le </w:t>
      </w:r>
      <w:r>
        <w:t xml:space="preserve"> within Angola for training/capacity building on SLM/SFM</w:t>
      </w:r>
      <w:r w:rsidR="109E0E7F">
        <w:t xml:space="preserve">. There are, for instance, </w:t>
      </w:r>
      <w:r w:rsidR="0493DB7D">
        <w:t xml:space="preserve">only a very </w:t>
      </w:r>
      <w:r>
        <w:t>small number of</w:t>
      </w:r>
      <w:r w:rsidR="7B6457CF">
        <w:t xml:space="preserve"> relevant</w:t>
      </w:r>
      <w:r>
        <w:t xml:space="preserve"> professional courses</w:t>
      </w:r>
      <w:r w:rsidR="2D11C31D">
        <w:t xml:space="preserve"> covering aspects</w:t>
      </w:r>
      <w:r w:rsidR="2889DBFC">
        <w:t xml:space="preserve">SLM or SFM </w:t>
      </w:r>
      <w:r w:rsidR="380DC790">
        <w:t xml:space="preserve">practices </w:t>
      </w:r>
      <w:r>
        <w:t>available through universities or technical bodies</w:t>
      </w:r>
      <w:r w:rsidR="143EE9EA">
        <w:t xml:space="preserve"> in Angola</w:t>
      </w:r>
      <w:r w:rsidR="4B90B59C">
        <w:t>. These include the University Agostinho Neto, Cuito Cuanavale, National School of Environment and Agrarian Institutes,</w:t>
      </w:r>
      <w:r w:rsidR="00BD1D54">
        <w:t xml:space="preserve"> which addresses environmental topics, </w:t>
      </w:r>
      <w:r w:rsidR="4B90B59C">
        <w:t xml:space="preserve">but not </w:t>
      </w:r>
      <w:r w:rsidR="00BD1D54">
        <w:t>directly related to SLM/SFM</w:t>
      </w:r>
      <w:r w:rsidR="4B90B59C">
        <w:t xml:space="preserve">, </w:t>
      </w:r>
      <w:r w:rsidR="36F986EB">
        <w:t xml:space="preserve">and </w:t>
      </w:r>
      <w:r w:rsidR="4B90B59C">
        <w:t>these institutions usually lack specialized professionals, materials and practical activities.</w:t>
      </w:r>
      <w:r w:rsidR="26D54815">
        <w:t xml:space="preserve"> </w:t>
      </w:r>
      <w:r w:rsidR="64112648">
        <w:t>As LD, and particularly LDN, are relatively new concepts in Angola LD they are barely covered within the country’s academic institutions.</w:t>
      </w:r>
    </w:p>
    <w:p w14:paraId="69758F40" w14:textId="1CBE04C3" w:rsidR="00190BCA" w:rsidRPr="002355D4" w:rsidRDefault="65EFFAF4" w:rsidP="001667C6">
      <w:pPr>
        <w:pStyle w:val="ParagraphOED"/>
        <w:numPr>
          <w:ilvl w:val="0"/>
          <w:numId w:val="102"/>
        </w:numPr>
      </w:pPr>
      <w:r>
        <w:t>In addition, there are</w:t>
      </w:r>
      <w:r w:rsidR="00190BCA">
        <w:t xml:space="preserve">imited opportunities available to technical staff for overseas training due to </w:t>
      </w:r>
      <w:r w:rsidR="2AA2DF78">
        <w:t xml:space="preserve">insufficient </w:t>
      </w:r>
      <w:r w:rsidR="00190BCA">
        <w:t xml:space="preserve">funds. Language is also and added challenge as there </w:t>
      </w:r>
      <w:r w:rsidR="0D4AB038">
        <w:t>are relatively few</w:t>
      </w:r>
      <w:r w:rsidR="00190BCA">
        <w:t xml:space="preserve"> materials and international training opportunities </w:t>
      </w:r>
      <w:r w:rsidR="34E8A589">
        <w:t xml:space="preserve">specifically </w:t>
      </w:r>
      <w:r w:rsidR="00190BCA">
        <w:t>in Portuguese.</w:t>
      </w:r>
    </w:p>
    <w:p w14:paraId="5E057758" w14:textId="0F337D2C" w:rsidR="00190BCA" w:rsidRPr="002355D4" w:rsidRDefault="00190BCA" w:rsidP="001667C6">
      <w:pPr>
        <w:pStyle w:val="ParagraphOED"/>
        <w:numPr>
          <w:ilvl w:val="0"/>
          <w:numId w:val="102"/>
        </w:numPr>
      </w:pPr>
      <w:r>
        <w:lastRenderedPageBreak/>
        <w:t xml:space="preserve"> Levels of knowledge about LD and LDN issues including SLM/SFM practices even among relevant institutions</w:t>
      </w:r>
      <w:r w:rsidR="44A448AB">
        <w:t xml:space="preserve"> are</w:t>
      </w:r>
      <w:r>
        <w:t xml:space="preserve"> extremely low. The recent</w:t>
      </w:r>
      <w:r w:rsidR="003C6554">
        <w:t>ly</w:t>
      </w:r>
      <w:r>
        <w:t xml:space="preserve"> creat</w:t>
      </w:r>
      <w:r w:rsidR="003C6554">
        <w:t>ed</w:t>
      </w:r>
      <w:r>
        <w:t xml:space="preserve"> LDN </w:t>
      </w:r>
      <w:r w:rsidR="003C6554">
        <w:t>Working Group in Angola, although it has a clear mandate, lacks guidance and and agenda.</w:t>
      </w:r>
      <w:r>
        <w:t xml:space="preserve"> </w:t>
      </w:r>
      <w:r w:rsidR="29FD5549">
        <w:t>The situation</w:t>
      </w:r>
      <w:r w:rsidR="72C07A7F">
        <w:t xml:space="preserve"> a</w:t>
      </w:r>
      <w:r>
        <w:t xml:space="preserve">mong local </w:t>
      </w:r>
      <w:r w:rsidR="1E853E86">
        <w:t xml:space="preserve">agriculture, forestry and environment </w:t>
      </w:r>
      <w:r>
        <w:t>extension services of   is even wors</w:t>
      </w:r>
      <w:r w:rsidR="64A78B64">
        <w:t>e</w:t>
      </w:r>
      <w:r>
        <w:t xml:space="preserve">, although some incipient awareness and basic capacity building activities have been developed in </w:t>
      </w:r>
      <w:r w:rsidDel="00190BCA">
        <w:t xml:space="preserve"> </w:t>
      </w:r>
      <w:r>
        <w:t xml:space="preserve">through </w:t>
      </w:r>
      <w:r w:rsidR="7689CCF0">
        <w:t xml:space="preserve">previous </w:t>
      </w:r>
      <w:r>
        <w:t>GEF founded projects</w:t>
      </w:r>
      <w:r w:rsidR="003C6554">
        <w:rPr>
          <w:rStyle w:val="FootnoteReference"/>
        </w:rPr>
        <w:footnoteReference w:id="54"/>
      </w:r>
      <w:r>
        <w:t xml:space="preserve">. Although extension services remain focused </w:t>
      </w:r>
      <w:r w:rsidR="19B1E90A">
        <w:t>o</w:t>
      </w:r>
      <w:r>
        <w:t xml:space="preserve">n strengthening productivity in rural areas, there is an opportunity </w:t>
      </w:r>
      <w:r w:rsidR="7DA6EC9E">
        <w:t xml:space="preserve">to </w:t>
      </w:r>
      <w:r>
        <w:t xml:space="preserve">introduce “sustainability” </w:t>
      </w:r>
      <w:r w:rsidR="20980546">
        <w:t>to</w:t>
      </w:r>
      <w:r>
        <w:t xml:space="preserve"> these service</w:t>
      </w:r>
      <w:r w:rsidR="133E435B">
        <w:t>s</w:t>
      </w:r>
      <w:r>
        <w:t xml:space="preserve"> and therefore </w:t>
      </w:r>
      <w:r w:rsidR="003C6554">
        <w:t xml:space="preserve">bring this concept </w:t>
      </w:r>
      <w:r>
        <w:t xml:space="preserve">to </w:t>
      </w:r>
      <w:r w:rsidR="003C6554">
        <w:t xml:space="preserve">the </w:t>
      </w:r>
      <w:r>
        <w:t>communities’ practices.</w:t>
      </w:r>
    </w:p>
    <w:p w14:paraId="12C056CB" w14:textId="7FBD5A99" w:rsidR="00190BCA" w:rsidRPr="002355D4" w:rsidRDefault="00190BCA" w:rsidP="001667C6">
      <w:pPr>
        <w:pStyle w:val="ParagraphOED"/>
        <w:numPr>
          <w:ilvl w:val="0"/>
          <w:numId w:val="102"/>
        </w:numPr>
      </w:pPr>
      <w:r>
        <w:t xml:space="preserve">In this context, the project aims to </w:t>
      </w:r>
      <w:r w:rsidR="28645127">
        <w:t xml:space="preserve">help </w:t>
      </w:r>
      <w:r w:rsidR="18E84148">
        <w:t xml:space="preserve">address </w:t>
      </w:r>
      <w:r>
        <w:t>th</w:t>
      </w:r>
      <w:r w:rsidR="46F69B44">
        <w:t>e</w:t>
      </w:r>
      <w:r>
        <w:t xml:space="preserve"> knowledge gap through increasing information available  through </w:t>
      </w:r>
      <w:r w:rsidR="0D632A8B">
        <w:t xml:space="preserve">specific </w:t>
      </w:r>
      <w:r w:rsidR="116B2E45">
        <w:t>knowledge management and communication activities set out in a</w:t>
      </w:r>
      <w:r>
        <w:t xml:space="preserve"> Knowledge Management and Communication Strategy and Plan, with production of guidelines, manuals, online courses and training materials (aligned with </w:t>
      </w:r>
      <w:r w:rsidR="489B2145">
        <w:t>O</w:t>
      </w:r>
      <w:r>
        <w:t>utput</w:t>
      </w:r>
      <w:r w:rsidR="58A2D7E8">
        <w:t>s</w:t>
      </w:r>
      <w:r>
        <w:t xml:space="preserve"> 2.1.4 and 3.2.1), as well as highlighting the issue of </w:t>
      </w:r>
      <w:r w:rsidR="2593B5E5">
        <w:t xml:space="preserve">LD and </w:t>
      </w:r>
      <w:r>
        <w:t xml:space="preserve">LDN at </w:t>
      </w:r>
      <w:r w:rsidR="06F04A25">
        <w:t xml:space="preserve">the institutional and </w:t>
      </w:r>
      <w:r>
        <w:t xml:space="preserve">political level </w:t>
      </w:r>
      <w:r w:rsidR="7418A983">
        <w:t>to encourage (</w:t>
      </w:r>
      <w:r>
        <w:t>leverage</w:t>
      </w:r>
      <w:r w:rsidR="61BBF4DB">
        <w:t>)</w:t>
      </w:r>
      <w:r>
        <w:t xml:space="preserve"> more</w:t>
      </w:r>
      <w:r w:rsidR="23B18DE7">
        <w:t xml:space="preserve"> investment for</w:t>
      </w:r>
      <w:r>
        <w:t xml:space="preserve"> resources to address LDN</w:t>
      </w:r>
      <w:r w:rsidR="0090241F">
        <w:t>.</w:t>
      </w:r>
    </w:p>
    <w:p w14:paraId="77CE6BD4" w14:textId="61FC8921" w:rsidR="00190BCA" w:rsidRPr="002355D4" w:rsidRDefault="4DE9DA9E" w:rsidP="001667C6">
      <w:pPr>
        <w:pStyle w:val="ParagraphOED"/>
        <w:numPr>
          <w:ilvl w:val="0"/>
          <w:numId w:val="102"/>
        </w:numPr>
      </w:pPr>
      <w:r>
        <w:t xml:space="preserve">Understanding of the </w:t>
      </w:r>
      <w:r w:rsidR="00190BCA">
        <w:t xml:space="preserve">importance </w:t>
      </w:r>
      <w:r w:rsidR="06674AF3">
        <w:t>of addressing LD and moving towards LDN</w:t>
      </w:r>
      <w:r w:rsidR="00190BCA">
        <w:t xml:space="preserve"> is also weak among </w:t>
      </w:r>
      <w:r w:rsidR="29C5505C">
        <w:t xml:space="preserve">the </w:t>
      </w:r>
      <w:r w:rsidR="00190BCA">
        <w:t>private sector and final consumers. A</w:t>
      </w:r>
      <w:r w:rsidR="35567EE3">
        <w:t>lthough A</w:t>
      </w:r>
      <w:r w:rsidR="00190BCA">
        <w:t xml:space="preserve">ngola has suffered </w:t>
      </w:r>
      <w:r w:rsidR="6EA460AC">
        <w:t>from the adverse impacts of LD in recent years and</w:t>
      </w:r>
      <w:r w:rsidR="00190BCA">
        <w:t xml:space="preserve"> unsuitable </w:t>
      </w:r>
      <w:r w:rsidR="752F1236">
        <w:t xml:space="preserve">land and natural resource </w:t>
      </w:r>
      <w:r w:rsidR="00190BCA">
        <w:t xml:space="preserve"> exploitation</w:t>
      </w:r>
      <w:r w:rsidR="20EF3100">
        <w:t xml:space="preserve"> is widespread</w:t>
      </w:r>
      <w:r w:rsidR="3A3C0764">
        <w:t xml:space="preserve">, </w:t>
      </w:r>
      <w:r w:rsidR="00190BCA">
        <w:t>awareness o</w:t>
      </w:r>
      <w:r w:rsidR="743E2371">
        <w:t>f the problem and the need for more</w:t>
      </w:r>
      <w:r w:rsidR="00190BCA">
        <w:t xml:space="preserve"> sustainable production </w:t>
      </w:r>
      <w:r w:rsidR="3BB8D547">
        <w:t xml:space="preserve">and land and natural resource use </w:t>
      </w:r>
      <w:r w:rsidR="00190BCA">
        <w:t xml:space="preserve">is still </w:t>
      </w:r>
      <w:r w:rsidR="045B7FF4">
        <w:t>low among the population</w:t>
      </w:r>
      <w:r w:rsidR="00190BCA">
        <w:t xml:space="preserve">.  </w:t>
      </w:r>
    </w:p>
    <w:p w14:paraId="450BAC29" w14:textId="22675C21" w:rsidR="00190BCA" w:rsidRPr="002355D4" w:rsidRDefault="61F0D2B2" w:rsidP="001667C6">
      <w:pPr>
        <w:pStyle w:val="ParagraphOED"/>
        <w:numPr>
          <w:ilvl w:val="0"/>
          <w:numId w:val="102"/>
        </w:numPr>
      </w:pPr>
      <w:r>
        <w:t>Due to many of the reasons outlined above</w:t>
      </w:r>
      <w:r w:rsidR="08A4E8D4">
        <w:t xml:space="preserve">, including </w:t>
      </w:r>
      <w:r>
        <w:t xml:space="preserve">limited numbers of technically trained staff, </w:t>
      </w:r>
      <w:r w:rsidR="0B048934">
        <w:t>i</w:t>
      </w:r>
      <w:r>
        <w:t>nsufficient financial resources</w:t>
      </w:r>
      <w:r w:rsidR="669DF30C">
        <w:t xml:space="preserve">, </w:t>
      </w:r>
      <w:r w:rsidR="366B65D7">
        <w:t>language barriers</w:t>
      </w:r>
      <w:r w:rsidR="713C393A">
        <w:t xml:space="preserve"> and a lack of strategic focus on sustainable dryland management</w:t>
      </w:r>
      <w:r w:rsidR="366B65D7">
        <w:t xml:space="preserve">, </w:t>
      </w:r>
      <w:r>
        <w:t xml:space="preserve"> </w:t>
      </w:r>
      <w:r w:rsidR="4E82E8C0">
        <w:t xml:space="preserve">Angola has </w:t>
      </w:r>
      <w:r w:rsidR="65FA4A4D">
        <w:t>limited</w:t>
      </w:r>
      <w:r w:rsidR="133AB8B2">
        <w:t xml:space="preserve"> </w:t>
      </w:r>
      <w:r w:rsidR="4E82E8C0">
        <w:t xml:space="preserve">opportunities </w:t>
      </w:r>
      <w:r w:rsidR="2D0EC6A4">
        <w:t xml:space="preserve">compared to </w:t>
      </w:r>
      <w:r w:rsidR="4E82E8C0">
        <w:t>many</w:t>
      </w:r>
      <w:r w:rsidR="3666E840">
        <w:t xml:space="preserve"> other</w:t>
      </w:r>
      <w:r w:rsidR="4E82E8C0">
        <w:t xml:space="preserve"> countries to </w:t>
      </w:r>
      <w:r w:rsidR="00190BCA">
        <w:t>participat</w:t>
      </w:r>
      <w:r w:rsidR="4C25D50F">
        <w:t>e</w:t>
      </w:r>
      <w:r w:rsidR="44162C63">
        <w:t xml:space="preserve"> effectively</w:t>
      </w:r>
      <w:r w:rsidR="00190BCA">
        <w:t xml:space="preserve"> </w:t>
      </w:r>
      <w:r w:rsidR="00ED6EDC">
        <w:t>in</w:t>
      </w:r>
      <w:r w:rsidR="00190BCA">
        <w:t xml:space="preserve"> </w:t>
      </w:r>
      <w:r w:rsidR="2583ECBA">
        <w:t xml:space="preserve">relevant </w:t>
      </w:r>
      <w:r w:rsidR="00190BCA">
        <w:t xml:space="preserve">regional and global </w:t>
      </w:r>
      <w:r w:rsidR="7B451480">
        <w:t>forums and initiatives fo</w:t>
      </w:r>
      <w:r w:rsidR="34211EBA">
        <w:t>cused on</w:t>
      </w:r>
      <w:r w:rsidR="7B451480">
        <w:t xml:space="preserve"> addressing LD and LDN, including </w:t>
      </w:r>
      <w:r w:rsidR="441074B7">
        <w:t xml:space="preserve">potential </w:t>
      </w:r>
      <w:r w:rsidR="3FD56795">
        <w:t xml:space="preserve">transboundary and </w:t>
      </w:r>
      <w:r w:rsidR="3CE7898A">
        <w:t>regional initiatives</w:t>
      </w:r>
      <w:r w:rsidR="7B451480">
        <w:t xml:space="preserve"> to address common challenges to </w:t>
      </w:r>
      <w:r w:rsidR="56107CAE">
        <w:t>s</w:t>
      </w:r>
      <w:r w:rsidR="7B451480">
        <w:t>ustainable drylands management</w:t>
      </w:r>
      <w:r w:rsidR="40164584">
        <w:t xml:space="preserve"> across the Miombo-Mopane ecoregion. </w:t>
      </w:r>
      <w:r w:rsidR="00190BCA">
        <w:t xml:space="preserve"> </w:t>
      </w:r>
      <w:r w:rsidR="2BD8C6E6">
        <w:t>Angola</w:t>
      </w:r>
      <w:r w:rsidR="6BD3FCCA">
        <w:t xml:space="preserve">n </w:t>
      </w:r>
      <w:r w:rsidR="076F2BC1">
        <w:t>institutions addressing LD and LDN</w:t>
      </w:r>
      <w:r w:rsidR="00190BCA">
        <w:t xml:space="preserve"> </w:t>
      </w:r>
      <w:r w:rsidR="2906D1E7">
        <w:t xml:space="preserve">also </w:t>
      </w:r>
      <w:r w:rsidR="1A52E78D">
        <w:t>ha</w:t>
      </w:r>
      <w:r w:rsidR="0BAFA28D">
        <w:t>ve</w:t>
      </w:r>
      <w:r w:rsidR="1A52E78D">
        <w:t xml:space="preserve"> less </w:t>
      </w:r>
      <w:r w:rsidR="41FBA398">
        <w:t>opportunities</w:t>
      </w:r>
      <w:r w:rsidR="1A52E78D">
        <w:t xml:space="preserve"> to </w:t>
      </w:r>
      <w:r w:rsidR="71CC2BEC">
        <w:t>gain</w:t>
      </w:r>
      <w:r w:rsidR="00190BCA">
        <w:t xml:space="preserve"> technical knowledge and </w:t>
      </w:r>
      <w:r w:rsidR="3D9226D0">
        <w:t xml:space="preserve">a more </w:t>
      </w:r>
      <w:r w:rsidR="00190BCA">
        <w:t xml:space="preserve">regional/global </w:t>
      </w:r>
      <w:r w:rsidR="2BE5B1AB">
        <w:t>perspective on the sustainable management of dry</w:t>
      </w:r>
      <w:r w:rsidR="04746110">
        <w:t>lan</w:t>
      </w:r>
      <w:r w:rsidR="2BE5B1AB">
        <w:t>ds</w:t>
      </w:r>
      <w:r w:rsidR="00190BCA">
        <w:t xml:space="preserve"> </w:t>
      </w:r>
      <w:r w:rsidR="31EA3EA0">
        <w:t xml:space="preserve">and particularly </w:t>
      </w:r>
      <w:r w:rsidR="3B0941D6">
        <w:t xml:space="preserve">to exchange experiences and learn from others </w:t>
      </w:r>
      <w:r w:rsidR="09C8552B">
        <w:t xml:space="preserve">also working to achieve LDN.  </w:t>
      </w:r>
      <w:r w:rsidR="00190BCA">
        <w:t xml:space="preserve"> </w:t>
      </w:r>
      <w:r w:rsidR="6F282A62">
        <w:t>This also represents l</w:t>
      </w:r>
      <w:r w:rsidR="31AB2681">
        <w:t xml:space="preserve">ost opportunities to </w:t>
      </w:r>
      <w:r w:rsidR="00190BCA">
        <w:t xml:space="preserve"> to sustain and scale up </w:t>
      </w:r>
      <w:r w:rsidR="5743EF1E">
        <w:t xml:space="preserve">project and </w:t>
      </w:r>
      <w:r w:rsidR="00190BCA">
        <w:t>program impacts regionally and globally.  The we</w:t>
      </w:r>
      <w:r w:rsidR="0A216C6C">
        <w:t>a</w:t>
      </w:r>
      <w:r w:rsidR="00190BCA">
        <w:t xml:space="preserve">k participation in key regional/global forums/agreements/initiatives dealing with </w:t>
      </w:r>
      <w:r w:rsidR="0C65DA0E">
        <w:t>sustainable management of land and natural resources, LD and LDN, such</w:t>
      </w:r>
      <w:r w:rsidR="00190BCA">
        <w:t xml:space="preserve"> as SADC, KAZA, </w:t>
      </w:r>
      <w:r w:rsidR="57AEA372">
        <w:t xml:space="preserve">and </w:t>
      </w:r>
      <w:r w:rsidR="00190BCA">
        <w:t xml:space="preserve">the Miombo Foru i will </w:t>
      </w:r>
      <w:r w:rsidR="6ED39026">
        <w:t xml:space="preserve">be </w:t>
      </w:r>
      <w:r w:rsidR="00190BCA">
        <w:t xml:space="preserve">address </w:t>
      </w:r>
      <w:r w:rsidR="68FA2A77">
        <w:t xml:space="preserve">by the project collaboration with Global coordination project and the </w:t>
      </w:r>
      <w:r w:rsidR="7FF90E44">
        <w:t>GCP/</w:t>
      </w:r>
      <w:r w:rsidR="68FA2A77">
        <w:t xml:space="preserve">REM </w:t>
      </w:r>
      <w:r w:rsidR="00190BCA">
        <w:t xml:space="preserve">to </w:t>
      </w:r>
      <w:r w:rsidR="56558FDB">
        <w:t xml:space="preserve">improve the </w:t>
      </w:r>
      <w:r w:rsidR="00190BCA">
        <w:t xml:space="preserve"> effectiveness of action</w:t>
      </w:r>
      <w:r w:rsidR="02784351">
        <w:t>s</w:t>
      </w:r>
      <w:r w:rsidR="00190BCA">
        <w:t xml:space="preserve"> both </w:t>
      </w:r>
      <w:r w:rsidR="667B0A90">
        <w:t xml:space="preserve">for Angola and </w:t>
      </w:r>
      <w:r w:rsidR="00190BCA">
        <w:t>at the regional</w:t>
      </w:r>
      <w:r w:rsidR="249B820B">
        <w:t xml:space="preserve"> and global</w:t>
      </w:r>
      <w:r w:rsidR="00190BCA">
        <w:t xml:space="preserve"> level</w:t>
      </w:r>
      <w:r w:rsidR="255A8C58">
        <w:t>s</w:t>
      </w:r>
      <w:r w:rsidR="00190BCA">
        <w:t xml:space="preserve">. </w:t>
      </w:r>
    </w:p>
    <w:p w14:paraId="6BD87C61" w14:textId="1AB1F4B2" w:rsidR="00190BCA" w:rsidRPr="002355D4" w:rsidRDefault="65C3BAB6" w:rsidP="001667C6">
      <w:pPr>
        <w:pStyle w:val="ParagraphOED"/>
        <w:numPr>
          <w:ilvl w:val="0"/>
          <w:numId w:val="102"/>
        </w:numPr>
      </w:pPr>
      <w:r>
        <w:t xml:space="preserve">By working </w:t>
      </w:r>
      <w:r w:rsidR="7817DEF8">
        <w:t>collaboratively</w:t>
      </w:r>
      <w:r w:rsidR="486F2B17">
        <w:t xml:space="preserve"> through the GCP/REM </w:t>
      </w:r>
      <w:r>
        <w:t xml:space="preserve">, </w:t>
      </w:r>
      <w:r w:rsidR="108B27FD">
        <w:t xml:space="preserve">the Angola project </w:t>
      </w:r>
      <w:r w:rsidR="5FD0567C">
        <w:t xml:space="preserve">can </w:t>
      </w:r>
      <w:r>
        <w:t xml:space="preserve">take advantage of the significant resources of dryland expertise available at global and regional levels (including in many cases in neighboring countries within the same region). </w:t>
      </w:r>
      <w:r w:rsidR="7C00E170">
        <w:t xml:space="preserve">Apart from helping to improve delivery of project aims in Angola </w:t>
      </w:r>
      <w:r w:rsidR="366FECFC">
        <w:t xml:space="preserve">share experiences, lessons learned and best practice with other child projects, adopting similar </w:t>
      </w:r>
      <w:r>
        <w:t xml:space="preserve">management approaches </w:t>
      </w:r>
      <w:r w:rsidR="46061D39">
        <w:t xml:space="preserve">to sustainable drylands management </w:t>
      </w:r>
      <w:r w:rsidR="6E85C4C7">
        <w:t xml:space="preserve">will help to </w:t>
      </w:r>
      <w:r w:rsidR="6192C068">
        <w:t>generate</w:t>
      </w:r>
      <w:r>
        <w:t xml:space="preserve"> </w:t>
      </w:r>
      <w:r w:rsidR="3402005E">
        <w:t xml:space="preserve">greater </w:t>
      </w:r>
      <w:r>
        <w:t>transformational change</w:t>
      </w:r>
      <w:r w:rsidR="5997F274">
        <w:t xml:space="preserve"> towards sustainability across the whole Miombo-Mopane ecoregion.</w:t>
      </w:r>
      <w:r>
        <w:t xml:space="preserve"> </w:t>
      </w:r>
    </w:p>
    <w:p w14:paraId="6B288D1F" w14:textId="348CE22E" w:rsidR="00190BCA" w:rsidRPr="002355D4" w:rsidRDefault="00190BCA" w:rsidP="001667C6">
      <w:pPr>
        <w:pStyle w:val="ParagraphOED"/>
        <w:numPr>
          <w:ilvl w:val="0"/>
          <w:numId w:val="102"/>
        </w:numPr>
      </w:pPr>
      <w:r>
        <w:t xml:space="preserve">In addition, </w:t>
      </w:r>
      <w:r w:rsidR="3CA6F523">
        <w:t>addressing knowledge and capacity on a regional basis will address some of the weaknesses at national level. Currently, c</w:t>
      </w:r>
      <w:r>
        <w:t xml:space="preserve">apacity development </w:t>
      </w:r>
      <w:r w:rsidR="0E91E287">
        <w:t>for</w:t>
      </w:r>
      <w:r>
        <w:t xml:space="preserve"> dryland management is typically carried </w:t>
      </w:r>
      <w:r w:rsidR="6F9DA864">
        <w:t xml:space="preserve">out </w:t>
      </w:r>
      <w:r>
        <w:t>on a piecemeal basis</w:t>
      </w:r>
      <w:r w:rsidR="7B3268F2">
        <w:t xml:space="preserve"> </w:t>
      </w:r>
      <w:r w:rsidR="3B706EDD">
        <w:t xml:space="preserve">usually </w:t>
      </w:r>
      <w:r w:rsidR="00BB0DDD">
        <w:t xml:space="preserve">resulting in strengthening the capacity of individuals, </w:t>
      </w:r>
      <w:r>
        <w:t xml:space="preserve">rather than </w:t>
      </w:r>
      <w:r w:rsidR="00BB0DDD">
        <w:t xml:space="preserve">strengthening </w:t>
      </w:r>
      <w:r>
        <w:t>organization</w:t>
      </w:r>
      <w:r w:rsidR="00BB0DDD">
        <w:t>s</w:t>
      </w:r>
      <w:r>
        <w:t xml:space="preserve"> and institution</w:t>
      </w:r>
      <w:r w:rsidR="00BB0DDD">
        <w:t>s</w:t>
      </w:r>
      <w:r>
        <w:t xml:space="preserve">. It typically lacks the systemic approach that is required to promote ownership at national and regional levels, to maximize scale </w:t>
      </w:r>
      <w:r>
        <w:lastRenderedPageBreak/>
        <w:t>and especially durability of impact (</w:t>
      </w:r>
      <w:r w:rsidR="37DC6E75">
        <w:t xml:space="preserve">e.g. </w:t>
      </w:r>
      <w:r>
        <w:t xml:space="preserve">through </w:t>
      </w:r>
      <w:r w:rsidR="1456CBF0">
        <w:t xml:space="preserve">establishment of </w:t>
      </w:r>
      <w:r>
        <w:t>“communities of practice”, knowledge exchange networks and long-term backstopping to ensure that learning is applied), and to take advantage of opportunities for coordination and economies of scale.</w:t>
      </w:r>
    </w:p>
    <w:p w14:paraId="0DBAD015" w14:textId="6C240AA6" w:rsidR="00190BCA" w:rsidRPr="002355D4" w:rsidRDefault="63386C35" w:rsidP="001667C6">
      <w:pPr>
        <w:pStyle w:val="ParagraphOED"/>
        <w:numPr>
          <w:ilvl w:val="0"/>
          <w:numId w:val="102"/>
        </w:numPr>
      </w:pPr>
      <w:r>
        <w:t>In addition to technical knowledge and capacity, r</w:t>
      </w:r>
      <w:r w:rsidR="00190BCA">
        <w:t xml:space="preserve">egional </w:t>
      </w:r>
      <w:r w:rsidR="00BB0DDD">
        <w:t>l</w:t>
      </w:r>
      <w:r w:rsidR="00190BCA">
        <w:t xml:space="preserve">inks and networks </w:t>
      </w:r>
      <w:r w:rsidR="205EB37B">
        <w:t>(even between neighboring countries)</w:t>
      </w:r>
      <w:r w:rsidR="00BB0DDD">
        <w:t>,</w:t>
      </w:r>
      <w:r w:rsidR="205EB37B">
        <w:t xml:space="preserve"> </w:t>
      </w:r>
      <w:r w:rsidR="5D61EC89">
        <w:t>between producers, distributors and sellers of</w:t>
      </w:r>
      <w:r w:rsidR="00190BCA">
        <w:t xml:space="preserve"> SLM/SFM products  </w:t>
      </w:r>
      <w:r w:rsidR="6C521F66">
        <w:t xml:space="preserve">are also weak </w:t>
      </w:r>
      <w:r w:rsidR="00190BCA">
        <w:t>as a result of unex</w:t>
      </w:r>
      <w:r w:rsidR="00BB0DDD">
        <w:t>is</w:t>
      </w:r>
      <w:r w:rsidR="00190BCA">
        <w:t xml:space="preserve">ting regulatory frameworks and </w:t>
      </w:r>
      <w:r w:rsidR="1989735D">
        <w:t xml:space="preserve">the lack of </w:t>
      </w:r>
      <w:r w:rsidR="00190BCA">
        <w:t xml:space="preserve">of a distinctive ‘brand’ that could give a competitive advantage to producers of SLM/SFM products </w:t>
      </w:r>
      <w:r w:rsidR="3A0629FC">
        <w:t xml:space="preserve">from </w:t>
      </w:r>
      <w:r w:rsidR="00190BCA">
        <w:t xml:space="preserve"> the target areas</w:t>
      </w:r>
      <w:r w:rsidR="399E6DBC">
        <w:t xml:space="preserve"> in national, regional and global markets</w:t>
      </w:r>
      <w:r w:rsidR="0090241F">
        <w:t>.</w:t>
      </w:r>
    </w:p>
    <w:p w14:paraId="78C94B91" w14:textId="7AEA958D" w:rsidR="009563B4" w:rsidRPr="00DF3A7A" w:rsidRDefault="009563B4" w:rsidP="00DF3A7A">
      <w:pPr>
        <w:spacing w:before="160" w:after="160"/>
        <w:rPr>
          <w:rFonts w:ascii="Calibri" w:hAnsi="Calibri"/>
          <w:i/>
          <w:iCs/>
          <w:sz w:val="21"/>
          <w:szCs w:val="21"/>
          <w:highlight w:val="lightGray"/>
        </w:rPr>
      </w:pPr>
      <w:r w:rsidRPr="00DF3A7A">
        <w:rPr>
          <w:rFonts w:ascii="Calibri" w:hAnsi="Calibri"/>
          <w:i/>
          <w:iCs/>
          <w:sz w:val="21"/>
          <w:szCs w:val="21"/>
          <w:highlight w:val="lightGray"/>
        </w:rPr>
        <w:t xml:space="preserve">Regional </w:t>
      </w:r>
      <w:r w:rsidR="00DF3A7A">
        <w:rPr>
          <w:rFonts w:ascii="Calibri" w:hAnsi="Calibri"/>
          <w:i/>
          <w:iCs/>
          <w:sz w:val="21"/>
          <w:szCs w:val="21"/>
          <w:highlight w:val="lightGray"/>
        </w:rPr>
        <w:t>and</w:t>
      </w:r>
      <w:r w:rsidRPr="00DF3A7A">
        <w:rPr>
          <w:rFonts w:ascii="Calibri" w:hAnsi="Calibri"/>
          <w:i/>
          <w:iCs/>
          <w:sz w:val="21"/>
          <w:szCs w:val="21"/>
          <w:highlight w:val="lightGray"/>
        </w:rPr>
        <w:t xml:space="preserve"> Global Perspectives</w:t>
      </w:r>
      <w:bookmarkEnd w:id="93"/>
      <w:r w:rsidRPr="00DF3A7A">
        <w:rPr>
          <w:rFonts w:ascii="Calibri" w:hAnsi="Calibri"/>
          <w:i/>
          <w:iCs/>
          <w:sz w:val="21"/>
          <w:szCs w:val="21"/>
          <w:highlight w:val="lightGray"/>
        </w:rPr>
        <w:t xml:space="preserve"> </w:t>
      </w:r>
    </w:p>
    <w:p w14:paraId="5D64E293" w14:textId="1D2BAD05" w:rsidR="009563B4" w:rsidRPr="0017400A" w:rsidRDefault="009563B4" w:rsidP="001667C6">
      <w:pPr>
        <w:pStyle w:val="ParagraphOED"/>
        <w:numPr>
          <w:ilvl w:val="0"/>
          <w:numId w:val="102"/>
        </w:numPr>
        <w:spacing w:after="160"/>
      </w:pPr>
      <w:r>
        <w:t>Through the effective implementation of Child Projects of the Miombo Cluster under the DSL IP, participating countries have an opportunity to seek strategic and conceptual cohesion, regional collaboration, and peer learning opportunities, in order to address common challenges. However</w:t>
      </w:r>
      <w:r w:rsidR="00D922FD">
        <w:t>,</w:t>
      </w:r>
      <w:r>
        <w:t xml:space="preserve"> implementation would not be complete if the management of target landscapes within countries </w:t>
      </w:r>
      <w:r w:rsidR="00D922FD">
        <w:t>overlooked</w:t>
      </w:r>
      <w:r>
        <w:t xml:space="preserve"> relevant cross-border aspects. Many </w:t>
      </w:r>
      <w:r w:rsidR="00D922FD">
        <w:t xml:space="preserve">of </w:t>
      </w:r>
      <w:r>
        <w:t xml:space="preserve">the landscapes targeted </w:t>
      </w:r>
      <w:r w:rsidR="00D922FD">
        <w:t>by</w:t>
      </w:r>
      <w:r>
        <w:t xml:space="preserve"> Child Projects </w:t>
      </w:r>
      <w:r w:rsidR="00D922FD">
        <w:t xml:space="preserve">abut </w:t>
      </w:r>
      <w:r>
        <w:t>border</w:t>
      </w:r>
      <w:r w:rsidR="00D922FD">
        <w:t>s.</w:t>
      </w:r>
    </w:p>
    <w:p w14:paraId="025506A2" w14:textId="3DB97DA4" w:rsidR="009563B4" w:rsidRPr="0017400A" w:rsidRDefault="009563B4" w:rsidP="001667C6">
      <w:pPr>
        <w:pStyle w:val="ParagraphOED"/>
        <w:numPr>
          <w:ilvl w:val="0"/>
          <w:numId w:val="102"/>
        </w:numPr>
        <w:spacing w:after="160"/>
      </w:pPr>
      <w:r>
        <w:t xml:space="preserve">In Angola, Sub-Basin #2 (Cahama-Cunene) includes several tributaries of the Cunene </w:t>
      </w:r>
      <w:r w:rsidR="00D922FD">
        <w:t>R</w:t>
      </w:r>
      <w:r>
        <w:t xml:space="preserve">iver </w:t>
      </w:r>
      <w:r w:rsidR="00D922FD">
        <w:t>B</w:t>
      </w:r>
      <w:r>
        <w:t>asin and</w:t>
      </w:r>
      <w:r w:rsidR="00D922FD">
        <w:t xml:space="preserve"> an</w:t>
      </w:r>
      <w:r>
        <w:t xml:space="preserve"> important section of the Cunene </w:t>
      </w:r>
      <w:r w:rsidR="00D922FD">
        <w:t>R</w:t>
      </w:r>
      <w:r>
        <w:t xml:space="preserve">iver itself. It also includes some 17,600 ha that is part of the Cuvelai </w:t>
      </w:r>
      <w:r w:rsidR="00D922FD">
        <w:t>B</w:t>
      </w:r>
      <w:r>
        <w:t xml:space="preserve">asin. Although Sub-Basin #2 (Cahama-Cunene) </w:t>
      </w:r>
      <w:r w:rsidR="00D922FD">
        <w:t>does not abut</w:t>
      </w:r>
      <w:r>
        <w:t xml:space="preserve"> the border with Namibia, the management of its watershed and </w:t>
      </w:r>
      <w:r w:rsidR="67C9C601">
        <w:t>adjacent</w:t>
      </w:r>
      <w:r>
        <w:t xml:space="preserve"> area is potentially of relevance to Namibia and the health of </w:t>
      </w:r>
      <w:r w:rsidR="000125F2">
        <w:t xml:space="preserve">grassland plains </w:t>
      </w:r>
      <w:r>
        <w:t xml:space="preserve">of the Cuvelai </w:t>
      </w:r>
      <w:r w:rsidR="000125F2">
        <w:t>B</w:t>
      </w:r>
      <w:r>
        <w:t xml:space="preserve">asin in both countries. The plains provide water to </w:t>
      </w:r>
      <w:r w:rsidR="000125F2">
        <w:t xml:space="preserve">hundreds </w:t>
      </w:r>
      <w:r>
        <w:t xml:space="preserve">of thousands of people in both countries, </w:t>
      </w:r>
      <w:r w:rsidR="000125F2">
        <w:t xml:space="preserve">as well as </w:t>
      </w:r>
      <w:r>
        <w:t xml:space="preserve">form and water the Etosha Pan of Namibia further south. </w:t>
      </w:r>
    </w:p>
    <w:p w14:paraId="12EC378A" w14:textId="3CB721D9" w:rsidR="009563B4" w:rsidRPr="0017400A" w:rsidRDefault="009563B4" w:rsidP="001667C6">
      <w:pPr>
        <w:pStyle w:val="ParagraphOED"/>
        <w:numPr>
          <w:ilvl w:val="0"/>
          <w:numId w:val="102"/>
        </w:numPr>
        <w:spacing w:after="160"/>
      </w:pPr>
      <w:r>
        <w:t xml:space="preserve">While the Governments of Angola, Namibia and Botswana are accustomed to discuss </w:t>
      </w:r>
      <w:r w:rsidR="000125F2">
        <w:t xml:space="preserve">matters of ‘shared water bodies’ and ‘integrated management of land and water’ </w:t>
      </w:r>
      <w:r>
        <w:t>within the relevant joint</w:t>
      </w:r>
      <w:r w:rsidR="000125F2">
        <w:t>-</w:t>
      </w:r>
      <w:r>
        <w:t xml:space="preserve">basin commissions for the Cunene, Cuvelai and Okavango rivers, the project brings in </w:t>
      </w:r>
      <w:r w:rsidR="000125F2">
        <w:t>a</w:t>
      </w:r>
      <w:r w:rsidR="4E43D570">
        <w:t>n additional</w:t>
      </w:r>
      <w:r w:rsidR="000125F2">
        <w:t xml:space="preserve"> potential</w:t>
      </w:r>
      <w:r w:rsidR="2E65C537">
        <w:t>ly</w:t>
      </w:r>
      <w:r w:rsidR="000125F2">
        <w:t xml:space="preserve"> unifying agenda item to the table -</w:t>
      </w:r>
      <w:r>
        <w:t xml:space="preserve"> the LND perspective. With it, there is an opportunity to ‘simplify’ the otherwise complex decision</w:t>
      </w:r>
      <w:r w:rsidR="4E1647D3">
        <w:t>-</w:t>
      </w:r>
      <w:r>
        <w:t>making process on the management of land areas by apply</w:t>
      </w:r>
      <w:r w:rsidR="343321E1">
        <w:t>ing</w:t>
      </w:r>
      <w:r>
        <w:t xml:space="preserve"> the LDN response hierarchy. More specifically, it would </w:t>
      </w:r>
      <w:r w:rsidR="000125F2">
        <w:t xml:space="preserve">inform and </w:t>
      </w:r>
      <w:r w:rsidR="60BBE710">
        <w:t xml:space="preserve">necessitate </w:t>
      </w:r>
      <w:r>
        <w:t>decision</w:t>
      </w:r>
      <w:r w:rsidR="000125F2">
        <w:t>s on LDN responses</w:t>
      </w:r>
      <w:r>
        <w:t xml:space="preserve"> </w:t>
      </w:r>
      <w:r w:rsidR="0C62AE00">
        <w:t>in</w:t>
      </w:r>
      <w:r>
        <w:t xml:space="preserve"> certain LMU</w:t>
      </w:r>
      <w:r w:rsidR="000125F2">
        <w:t>s</w:t>
      </w:r>
      <w:r>
        <w:t xml:space="preserve"> requir</w:t>
      </w:r>
      <w:r w:rsidR="00381311">
        <w:t>ing</w:t>
      </w:r>
      <w:r>
        <w:t xml:space="preserve"> an approach of ‘Avoiding’, ‘Reducing’ or ‘Reversing’ land degradation. For the participating countries, joint </w:t>
      </w:r>
      <w:r w:rsidR="00B33376">
        <w:t xml:space="preserve">land-use </w:t>
      </w:r>
      <w:r>
        <w:t xml:space="preserve">activities would have an immediate benefit of framing the processes within the UNDCCD reporting </w:t>
      </w:r>
      <w:r w:rsidR="00381311">
        <w:t>mechanism</w:t>
      </w:r>
      <w:r>
        <w:t xml:space="preserve">. It would also produce enhanced global environmental benefits for all </w:t>
      </w:r>
      <w:r w:rsidR="00381311">
        <w:t xml:space="preserve">concerned </w:t>
      </w:r>
      <w:r>
        <w:t xml:space="preserve">countries in terms of land areas under improved and ‘collaborative’ management. A similar parallel can be drawn with respect to Sub-basin #1 (Cuchi-Okavango) </w:t>
      </w:r>
      <w:r w:rsidR="00381311">
        <w:t>in relation</w:t>
      </w:r>
      <w:r>
        <w:t xml:space="preserve"> to the Okavango Basin. </w:t>
      </w:r>
    </w:p>
    <w:p w14:paraId="0B1B75F1" w14:textId="754D426B" w:rsidR="009563B4" w:rsidRPr="0017400A" w:rsidRDefault="009563B4" w:rsidP="001667C6">
      <w:pPr>
        <w:pStyle w:val="ParagraphOED"/>
        <w:numPr>
          <w:ilvl w:val="0"/>
          <w:numId w:val="102"/>
        </w:numPr>
        <w:spacing w:after="160"/>
      </w:pPr>
      <w:r>
        <w:t xml:space="preserve">The sub-regional dialogue that would be generated from the activities would create an investment friendly environment under the auspices of SADC’s GGWI-S, </w:t>
      </w:r>
      <w:r w:rsidR="00381311">
        <w:t xml:space="preserve">for example, </w:t>
      </w:r>
      <w:r>
        <w:t xml:space="preserve">including support from </w:t>
      </w:r>
      <w:r w:rsidR="00381311">
        <w:t xml:space="preserve">other </w:t>
      </w:r>
      <w:r>
        <w:t xml:space="preserve">regional bodies and partners. </w:t>
      </w:r>
      <w:r w:rsidR="00381311">
        <w:t xml:space="preserve">Such </w:t>
      </w:r>
      <w:r>
        <w:t xml:space="preserve">collaboration </w:t>
      </w:r>
      <w:r w:rsidR="00381311">
        <w:t>can</w:t>
      </w:r>
      <w:r>
        <w:t xml:space="preserve"> also happen at the global scale, within a higher-level exchange mechanism for dryland landscapes.</w:t>
      </w:r>
    </w:p>
    <w:p w14:paraId="6863317F" w14:textId="6C513676" w:rsidR="009563B4" w:rsidRDefault="009E70FA" w:rsidP="00700BDA">
      <w:pPr>
        <w:pStyle w:val="Heading3"/>
        <w:shd w:val="clear" w:color="auto" w:fill="9CC2E5" w:themeFill="accent1" w:themeFillTint="99"/>
        <w:rPr>
          <w:rFonts w:ascii="Calibri" w:hAnsi="Calibri" w:cs="Calibri"/>
        </w:rPr>
      </w:pPr>
      <w:r>
        <w:rPr>
          <w:noProof/>
          <w:lang w:val="en-US" w:eastAsia="en-US"/>
        </w:rPr>
        <w:lastRenderedPageBreak/>
        <mc:AlternateContent>
          <mc:Choice Requires="wps">
            <w:drawing>
              <wp:anchor distT="45720" distB="45720" distL="114300" distR="114300" simplePos="0" relativeHeight="251658246" behindDoc="0" locked="0" layoutInCell="1" allowOverlap="1" wp14:anchorId="7C4B5C00" wp14:editId="56CAD302">
                <wp:simplePos x="0" y="0"/>
                <wp:positionH relativeFrom="margin">
                  <wp:align>right</wp:align>
                </wp:positionH>
                <wp:positionV relativeFrom="paragraph">
                  <wp:posOffset>499110</wp:posOffset>
                </wp:positionV>
                <wp:extent cx="5709285" cy="1404620"/>
                <wp:effectExtent l="0" t="0" r="24765" b="25400"/>
                <wp:wrapTopAndBottom/>
                <wp:docPr id="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09684" cy="1404620"/>
                        </a:xfrm>
                        <a:prstGeom prst="rect">
                          <a:avLst/>
                        </a:prstGeom>
                        <a:solidFill>
                          <a:srgbClr val="FFFFFF"/>
                        </a:solidFill>
                        <a:ln w="9525">
                          <a:solidFill>
                            <a:srgbClr val="000000"/>
                          </a:solidFill>
                          <a:miter lim="800000"/>
                          <a:headEnd/>
                          <a:tailEnd/>
                        </a:ln>
                      </wps:spPr>
                      <wps:txbx>
                        <w:txbxContent>
                          <w:p w14:paraId="690FFC26" w14:textId="49969DE7" w:rsidR="004D2871" w:rsidRPr="009E70FA" w:rsidRDefault="004D2871" w:rsidP="009E70FA">
                            <w:pPr>
                              <w:jc w:val="both"/>
                              <w:rPr>
                                <w:rFonts w:asciiTheme="minorHAnsi" w:hAnsiTheme="minorHAnsi"/>
                                <w:sz w:val="21"/>
                                <w:szCs w:val="21"/>
                              </w:rPr>
                            </w:pPr>
                            <w:r w:rsidRPr="009E70FA">
                              <w:rPr>
                                <w:rFonts w:asciiTheme="minorHAnsi" w:hAnsiTheme="minorHAnsi"/>
                                <w:sz w:val="21"/>
                                <w:szCs w:val="21"/>
                              </w:rPr>
                              <w:t>The proposed GEF alternative scenario is based on a Theory of Change (ToC) that sets out the causal logic and relationships between the project’s Outputs (goods and services delivered by the project) and immediate project outcomes (changes resulting from the benefit of project outputs to key stakeholders), medium and longer-term changes and states, and the project’s ultimate desired impact (fundamental, durable changes in environmental and social benefits). This is narrated below and summarized in the accompanying diagram. Thereafter, the project strategy, comprising  the expected outcomes by end of project within three Component areas of action, is elaborated with details of indicative Activities under respective Outputs.</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7C4B5C00" id="_x0000_s1029" type="#_x0000_t202" style="position:absolute;left:0;text-align:left;margin-left:398.35pt;margin-top:39.3pt;width:449.55pt;height:110.6pt;z-index:251658246;visibility:visible;mso-wrap-style:square;mso-width-percent:0;mso-height-percent:200;mso-wrap-distance-left:9pt;mso-wrap-distance-top:3.6pt;mso-wrap-distance-right:9pt;mso-wrap-distance-bottom:3.6pt;mso-position-horizontal:righ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">
                <v:textbox style="mso-fit-shape-to-text:t">
                  <w:txbxContent>
                    <w:p w14:paraId="690FFC26" w14:textId="49969DE7" w:rsidR="004D2871" w:rsidRPr="009E70FA" w:rsidRDefault="004D2871" w:rsidP="009E70FA">
                      <w:pPr>
                        <w:jc w:val="both"/>
                        <w:rPr>
                          <w:rFonts w:asciiTheme="minorHAnsi" w:hAnsiTheme="minorHAnsi"/>
                          <w:sz w:val="21"/>
                          <w:szCs w:val="21"/>
                        </w:rPr>
                      </w:pPr>
                      <w:r w:rsidRPr="009E70FA">
                        <w:rPr>
                          <w:rFonts w:asciiTheme="minorHAnsi" w:hAnsiTheme="minorHAnsi"/>
                          <w:sz w:val="21"/>
                          <w:szCs w:val="21"/>
                        </w:rPr>
                        <w:t>The proposed GEF alternative scenario is based on a Theory of Change (ToC) that sets out the causal logic and relationships between the project’s Outputs (goods and services delivered by the project) and immediate project outcomes (changes resulting from the benefit of project outputs to key stakeholders), medium and longer-term changes and states, and the project’s ultimate desired impact (fundamental, durable changes in environmental and social benefits). This is narrated below and summarized in the accompanying diagram. Thereafter, the project strategy, comprising  the expected outcomes by end of project within three Component areas of action, is elaborated with details of indicative Activities under respective Outputs.</w:t>
                      </w:r>
                    </w:p>
                  </w:txbxContent>
                </v:textbox>
                <w10:wrap type="topAndBottom" anchorx="margin"/>
              </v:shape>
            </w:pict>
          </mc:Fallback>
        </mc:AlternateContent>
      </w:r>
      <w:r w:rsidR="009563B4" w:rsidRPr="008A7E2F">
        <w:rPr>
          <w:rFonts w:ascii="Calibri" w:hAnsi="Calibri" w:cs="Calibri"/>
        </w:rPr>
        <w:t>3</w:t>
      </w:r>
      <w:r w:rsidR="00416010" w:rsidRPr="008A7E2F">
        <w:rPr>
          <w:rFonts w:ascii="Calibri" w:hAnsi="Calibri" w:cs="Calibri"/>
        </w:rPr>
        <w:t>.</w:t>
      </w:r>
      <w:r w:rsidR="009563B4" w:rsidRPr="008A7E2F">
        <w:rPr>
          <w:rFonts w:ascii="Calibri" w:hAnsi="Calibri" w:cs="Calibri"/>
        </w:rPr>
        <w:t xml:space="preserve"> </w:t>
      </w:r>
      <w:bookmarkStart w:id="94" w:name="_Toc42027109"/>
      <w:bookmarkStart w:id="95" w:name="_Toc42262615"/>
      <w:r w:rsidR="00C31DB6" w:rsidRPr="008A7E2F">
        <w:rPr>
          <w:rFonts w:ascii="Calibri" w:hAnsi="Calibri" w:cs="Calibri"/>
        </w:rPr>
        <w:t>P</w:t>
      </w:r>
      <w:r w:rsidR="009563B4" w:rsidRPr="008A7E2F">
        <w:rPr>
          <w:rFonts w:ascii="Calibri" w:hAnsi="Calibri" w:cs="Calibri"/>
        </w:rPr>
        <w:t xml:space="preserve">roposed </w:t>
      </w:r>
      <w:r w:rsidR="008D372E" w:rsidRPr="008A7E2F">
        <w:rPr>
          <w:rFonts w:ascii="Calibri" w:hAnsi="Calibri" w:cs="Calibri"/>
        </w:rPr>
        <w:t xml:space="preserve">GEF </w:t>
      </w:r>
      <w:r w:rsidR="002130EC" w:rsidRPr="008A7E2F">
        <w:rPr>
          <w:rFonts w:ascii="Calibri" w:hAnsi="Calibri" w:cs="Calibri"/>
        </w:rPr>
        <w:t>A</w:t>
      </w:r>
      <w:r w:rsidR="009563B4" w:rsidRPr="008A7E2F">
        <w:rPr>
          <w:rFonts w:ascii="Calibri" w:hAnsi="Calibri" w:cs="Calibri"/>
        </w:rPr>
        <w:t xml:space="preserve">lternative </w:t>
      </w:r>
      <w:r w:rsidR="002130EC" w:rsidRPr="008A7E2F">
        <w:rPr>
          <w:rFonts w:ascii="Calibri" w:hAnsi="Calibri" w:cs="Calibri"/>
        </w:rPr>
        <w:t>s</w:t>
      </w:r>
      <w:r w:rsidR="009563B4" w:rsidRPr="008A7E2F">
        <w:rPr>
          <w:rFonts w:ascii="Calibri" w:hAnsi="Calibri" w:cs="Calibri"/>
        </w:rPr>
        <w:t>cenario</w:t>
      </w:r>
      <w:bookmarkEnd w:id="94"/>
      <w:bookmarkEnd w:id="95"/>
      <w:r w:rsidR="009563B4" w:rsidRPr="008A7E2F">
        <w:rPr>
          <w:rFonts w:ascii="Calibri" w:hAnsi="Calibri" w:cs="Calibri"/>
        </w:rPr>
        <w:t xml:space="preserve"> </w:t>
      </w:r>
    </w:p>
    <w:p w14:paraId="0802392E" w14:textId="05DA66A0" w:rsidR="0099663B" w:rsidRPr="00700BDA" w:rsidRDefault="0099663B" w:rsidP="008A7E2F">
      <w:pPr>
        <w:pStyle w:val="Heading3"/>
        <w:shd w:val="clear" w:color="auto" w:fill="auto"/>
        <w:jc w:val="left"/>
        <w:rPr>
          <w:rFonts w:ascii="Calibri" w:hAnsi="Calibri" w:cs="Calibri"/>
          <w:color w:val="FFFFFF" w:themeColor="background1"/>
          <w:shd w:val="clear" w:color="auto" w:fill="9CC2E5" w:themeFill="accent1" w:themeFillTint="99"/>
        </w:rPr>
      </w:pPr>
      <w:r w:rsidRPr="00700BDA">
        <w:rPr>
          <w:rFonts w:ascii="Calibri" w:hAnsi="Calibri" w:cs="Calibri"/>
          <w:color w:val="000000" w:themeColor="text1"/>
          <w:shd w:val="clear" w:color="auto" w:fill="9CC2E5" w:themeFill="accent1" w:themeFillTint="99"/>
        </w:rPr>
        <w:t>3.1 Theory of Change</w:t>
      </w:r>
    </w:p>
    <w:p w14:paraId="28DF3C07" w14:textId="445E0236" w:rsidR="00AA6FA6" w:rsidRPr="002A7A59" w:rsidRDefault="00670321" w:rsidP="001667C6">
      <w:pPr>
        <w:pStyle w:val="ParagraphOED"/>
        <w:numPr>
          <w:ilvl w:val="0"/>
          <w:numId w:val="102"/>
        </w:numPr>
        <w:spacing w:after="160"/>
      </w:pPr>
      <w:r>
        <w:t>As de</w:t>
      </w:r>
      <w:r w:rsidR="3306A6D4">
        <w:t>s</w:t>
      </w:r>
      <w:r>
        <w:t>cribed above, t</w:t>
      </w:r>
      <w:r w:rsidR="009563B4">
        <w:t>he</w:t>
      </w:r>
      <w:r>
        <w:t xml:space="preserve"> key problem to be </w:t>
      </w:r>
      <w:r w:rsidR="009563B4">
        <w:t>address</w:t>
      </w:r>
      <w:r>
        <w:t xml:space="preserve">ed by the project is the increasing loss of valuable ecosystem services from Angola’s Miombo-Mopane woodlands as a result of </w:t>
      </w:r>
      <w:r w:rsidR="76CAE7A8">
        <w:t xml:space="preserve">land and </w:t>
      </w:r>
      <w:r>
        <w:t xml:space="preserve">forest degradation. </w:t>
      </w:r>
      <w:r w:rsidR="00343517">
        <w:t xml:space="preserve">This </w:t>
      </w:r>
      <w:r>
        <w:t>is</w:t>
      </w:r>
      <w:r w:rsidR="00343517">
        <w:t xml:space="preserve"> undermining the fabric of local communities and their livelihoods, social equity, food security and sustainable economic development in a relatively hostile environment that is </w:t>
      </w:r>
      <w:r w:rsidR="00FA5CE1">
        <w:t>subject to climatic shocks of dry spells and low rainfall.</w:t>
      </w:r>
      <w:r w:rsidR="00343517">
        <w:t xml:space="preserve"> </w:t>
      </w:r>
      <w:r w:rsidR="00FA5CE1">
        <w:t>The main causes and drivers of this degradation are</w:t>
      </w:r>
      <w:r w:rsidR="0008201C">
        <w:t>:</w:t>
      </w:r>
      <w:r w:rsidR="00FA5CE1">
        <w:t xml:space="preserve"> </w:t>
      </w:r>
      <w:r w:rsidR="00E44A06">
        <w:t xml:space="preserve">land clearance, much of which can be attributed to </w:t>
      </w:r>
      <w:r w:rsidR="00A67EA9">
        <w:t>expansion of the agricultural frontier</w:t>
      </w:r>
      <w:r w:rsidR="00E44A06">
        <w:t xml:space="preserve">; and </w:t>
      </w:r>
      <w:r w:rsidR="003952E3">
        <w:t xml:space="preserve">maladaptive/unsustainable/illegal </w:t>
      </w:r>
      <w:r w:rsidR="00B33376">
        <w:t xml:space="preserve">land-use </w:t>
      </w:r>
      <w:r w:rsidR="00E44A06">
        <w:t>practices (e.g.</w:t>
      </w:r>
      <w:r w:rsidR="00A67EA9">
        <w:t xml:space="preserve"> charcoal production</w:t>
      </w:r>
      <w:r w:rsidR="00E44A06">
        <w:t>, felling and collection of forest products, overgrazing).</w:t>
      </w:r>
    </w:p>
    <w:p w14:paraId="37F0528F" w14:textId="66031CAC" w:rsidR="009364AC" w:rsidRPr="009364AC" w:rsidRDefault="0045683F" w:rsidP="001667C6">
      <w:pPr>
        <w:pStyle w:val="ParagraphOED"/>
        <w:numPr>
          <w:ilvl w:val="0"/>
          <w:numId w:val="102"/>
        </w:numPr>
        <w:spacing w:after="160"/>
      </w:pPr>
      <w:r>
        <w:t>The central problem is the widespread degradation of land in Angola</w:t>
      </w:r>
      <w:r w:rsidR="00D87F5F">
        <w:t>, which</w:t>
      </w:r>
      <w:r>
        <w:t xml:space="preserve"> is impacting the Miombo-Mopane Woodlands Ecoregion</w:t>
      </w:r>
      <w:r w:rsidR="00D87F5F">
        <w:t xml:space="preserve"> that</w:t>
      </w:r>
      <w:r>
        <w:t xml:space="preserve"> is distributed across much of the country (</w:t>
      </w:r>
      <w:r>
        <w:fldChar w:fldCharType="begin"/>
      </w:r>
      <w:r>
        <w:instrText xml:space="preserve"> REF _Ref40122788 \h </w:instrText>
      </w:r>
      <w:r>
        <w:fldChar w:fldCharType="separate"/>
      </w:r>
      <w:r w:rsidR="00A64193" w:rsidRPr="1E65A5F7">
        <w:rPr>
          <w:sz w:val="22"/>
          <w:szCs w:val="22"/>
        </w:rPr>
        <w:t xml:space="preserve">Figure </w:t>
      </w:r>
      <w:r w:rsidR="00A64193" w:rsidRPr="1E65A5F7">
        <w:rPr>
          <w:noProof/>
          <w:sz w:val="22"/>
          <w:szCs w:val="22"/>
        </w:rPr>
        <w:t>1</w:t>
      </w:r>
      <w:r>
        <w:fldChar w:fldCharType="end"/>
      </w:r>
      <w:r>
        <w:t>B). Thus, the</w:t>
      </w:r>
      <w:r w:rsidR="00931F7E">
        <w:t xml:space="preserve"> project seeks to transform the management of production systems within </w:t>
      </w:r>
      <w:r w:rsidR="0013084D">
        <w:t xml:space="preserve">the </w:t>
      </w:r>
      <w:r w:rsidR="00931F7E">
        <w:t>Miombo-Mopane woodlands of Angola’s Okavango</w:t>
      </w:r>
      <w:r w:rsidR="0013084D">
        <w:t xml:space="preserve"> and Cunene river basins (project objective)</w:t>
      </w:r>
      <w:r w:rsidR="00683003">
        <w:t>,</w:t>
      </w:r>
      <w:r w:rsidR="0013084D">
        <w:t xml:space="preserve"> using </w:t>
      </w:r>
      <w:r w:rsidR="009563B4">
        <w:t xml:space="preserve">an integrated landscape </w:t>
      </w:r>
      <w:r w:rsidR="0093307B">
        <w:t xml:space="preserve">management </w:t>
      </w:r>
      <w:r w:rsidR="0013084D">
        <w:t xml:space="preserve">approach </w:t>
      </w:r>
      <w:r w:rsidR="00683003">
        <w:t>that</w:t>
      </w:r>
      <w:r w:rsidR="0013084D">
        <w:t xml:space="preserve"> address</w:t>
      </w:r>
      <w:r w:rsidR="00683003">
        <w:t>es</w:t>
      </w:r>
      <w:r w:rsidR="0013084D">
        <w:t xml:space="preserve"> the eight barriers to </w:t>
      </w:r>
      <w:r w:rsidR="0093307B">
        <w:t>achieving LDN and</w:t>
      </w:r>
      <w:r w:rsidR="00683003">
        <w:t xml:space="preserve"> thereby </w:t>
      </w:r>
      <w:r w:rsidR="009364AC">
        <w:t>alleviate</w:t>
      </w:r>
      <w:r w:rsidR="0093307B">
        <w:t xml:space="preserve"> threats to these woodlands</w:t>
      </w:r>
      <w:r w:rsidR="008E012F">
        <w:t xml:space="preserve"> in the target landscapes</w:t>
      </w:r>
      <w:r w:rsidR="0093307B">
        <w:t>.</w:t>
      </w:r>
      <w:r w:rsidR="0013084D">
        <w:t xml:space="preserve"> </w:t>
      </w:r>
    </w:p>
    <w:p w14:paraId="032B4831" w14:textId="042E4F44" w:rsidR="009364AC" w:rsidRDefault="009364AC" w:rsidP="001667C6">
      <w:pPr>
        <w:pStyle w:val="ParagraphOED"/>
        <w:numPr>
          <w:ilvl w:val="0"/>
          <w:numId w:val="102"/>
        </w:numPr>
        <w:spacing w:after="160"/>
      </w:pPr>
      <w:r>
        <w:t xml:space="preserve">Threats to ecosystem services in targeted Land Management Units (LMUs) will be subject to </w:t>
      </w:r>
      <w:r w:rsidR="0003053D">
        <w:t xml:space="preserve">interventions that </w:t>
      </w:r>
      <w:r>
        <w:t>AVOID, REDUC</w:t>
      </w:r>
      <w:r w:rsidR="0003053D">
        <w:t>E</w:t>
      </w:r>
      <w:r>
        <w:t xml:space="preserve"> and</w:t>
      </w:r>
      <w:r w:rsidR="0003053D">
        <w:t>/or</w:t>
      </w:r>
      <w:r>
        <w:t xml:space="preserve"> REVERS</w:t>
      </w:r>
      <w:r w:rsidR="0003053D">
        <w:t xml:space="preserve">E land degradation </w:t>
      </w:r>
      <w:r>
        <w:t>trends</w:t>
      </w:r>
      <w:r w:rsidR="0003053D">
        <w:t>, while also</w:t>
      </w:r>
      <w:r>
        <w:t xml:space="preserve"> contributing to national LDN targets, </w:t>
      </w:r>
      <w:r w:rsidR="1970882D">
        <w:t xml:space="preserve">and </w:t>
      </w:r>
      <w:r>
        <w:t>improved and more resilient livelihood</w:t>
      </w:r>
      <w:r w:rsidR="0003053D">
        <w:t>s</w:t>
      </w:r>
      <w:r w:rsidR="3217ACFA">
        <w:t xml:space="preserve">, as well as </w:t>
      </w:r>
      <w:r>
        <w:t xml:space="preserve">to biodiversity conservation. </w:t>
      </w:r>
    </w:p>
    <w:p w14:paraId="7FA3845E" w14:textId="2F15EB7F" w:rsidR="0058360B" w:rsidRPr="0058360B" w:rsidRDefault="0058360B" w:rsidP="0058360B">
      <w:pPr>
        <w:rPr>
          <w:lang w:val="en-US" w:eastAsia="en-US"/>
        </w:rPr>
      </w:pPr>
    </w:p>
    <w:p w14:paraId="3C7E2B12" w14:textId="76F825B3" w:rsidR="009563B4" w:rsidRPr="007C615C" w:rsidDel="009364AC" w:rsidRDefault="008E012F" w:rsidP="001667C6">
      <w:pPr>
        <w:pStyle w:val="ParagraphOED"/>
        <w:numPr>
          <w:ilvl w:val="0"/>
          <w:numId w:val="102"/>
        </w:numPr>
        <w:spacing w:after="160"/>
      </w:pPr>
      <w:r w:rsidRPr="619CA689">
        <w:t>The I</w:t>
      </w:r>
      <w:r w:rsidR="18702B49" w:rsidRPr="619CA689">
        <w:t xml:space="preserve">ntegrated </w:t>
      </w:r>
      <w:r w:rsidRPr="619CA689">
        <w:t>L</w:t>
      </w:r>
      <w:r w:rsidR="6B413D50" w:rsidRPr="619CA689">
        <w:t xml:space="preserve">andscape </w:t>
      </w:r>
      <w:r w:rsidRPr="619CA689">
        <w:t>M</w:t>
      </w:r>
      <w:r w:rsidR="1F539AC9" w:rsidRPr="619CA689">
        <w:t>anagement</w:t>
      </w:r>
      <w:r w:rsidRPr="619CA689">
        <w:t xml:space="preserve"> approach will be realized </w:t>
      </w:r>
      <w:r w:rsidR="002A7A59" w:rsidRPr="619CA689">
        <w:t>th</w:t>
      </w:r>
      <w:r w:rsidRPr="619CA689">
        <w:t>r</w:t>
      </w:r>
      <w:r w:rsidR="002A7A59" w:rsidRPr="619CA689">
        <w:t>o</w:t>
      </w:r>
      <w:r w:rsidRPr="619CA689">
        <w:t>ugh three interlinked strategies, each reflected in its respective project component</w:t>
      </w:r>
      <w:r w:rsidR="0063536B" w:rsidRPr="619CA689">
        <w:t xml:space="preserve">, comprising </w:t>
      </w:r>
      <w:r w:rsidR="005232F4" w:rsidRPr="619CA689">
        <w:t>a set</w:t>
      </w:r>
      <w:r w:rsidR="002A7A59" w:rsidRPr="619CA689">
        <w:t xml:space="preserve"> of project </w:t>
      </w:r>
      <w:r w:rsidR="00FC2A16" w:rsidRPr="619CA689">
        <w:t>interventions (</w:t>
      </w:r>
      <w:r w:rsidR="002A7A59" w:rsidRPr="619CA689">
        <w:t>activit</w:t>
      </w:r>
      <w:r w:rsidR="004D2337" w:rsidRPr="619CA689">
        <w:t>ies</w:t>
      </w:r>
      <w:r w:rsidR="00FC2A16">
        <w:rPr>
          <w:szCs w:val="21"/>
        </w:rPr>
        <w:t>)</w:t>
      </w:r>
      <w:r w:rsidR="004D2337" w:rsidRPr="619CA689">
        <w:t xml:space="preserve"> and outputs that</w:t>
      </w:r>
      <w:r w:rsidR="002A7A59" w:rsidRPr="002A7A59">
        <w:rPr>
          <w:szCs w:val="21"/>
        </w:rPr>
        <w:t xml:space="preserve"> </w:t>
      </w:r>
      <w:r w:rsidR="004D2337" w:rsidRPr="619CA689">
        <w:t xml:space="preserve">will address the </w:t>
      </w:r>
      <w:r w:rsidR="005232F4" w:rsidRPr="619CA689">
        <w:t xml:space="preserve">respective </w:t>
      </w:r>
      <w:r w:rsidR="004D2337" w:rsidRPr="619CA689">
        <w:t xml:space="preserve">identified barriers </w:t>
      </w:r>
      <w:r w:rsidR="002D4676" w:rsidRPr="619CA689">
        <w:t>to</w:t>
      </w:r>
      <w:r w:rsidR="00FC2A16" w:rsidRPr="619CA689">
        <w:t xml:space="preserve"> </w:t>
      </w:r>
      <w:r w:rsidR="7D0C1FDF" w:rsidRPr="619CA689">
        <w:t xml:space="preserve">addressing </w:t>
      </w:r>
      <w:r w:rsidR="00FC2A16" w:rsidRPr="619CA689">
        <w:t xml:space="preserve">avoiding </w:t>
      </w:r>
      <w:r w:rsidR="004D2337" w:rsidRPr="619CA689">
        <w:t xml:space="preserve">land degradation </w:t>
      </w:r>
      <w:r w:rsidR="002D4676" w:rsidRPr="619CA689">
        <w:t xml:space="preserve">and </w:t>
      </w:r>
      <w:r w:rsidR="002A7A59" w:rsidRPr="619CA689">
        <w:t xml:space="preserve">deliver the following </w:t>
      </w:r>
      <w:r w:rsidR="005232F4">
        <w:rPr>
          <w:szCs w:val="21"/>
        </w:rPr>
        <w:t>‘</w:t>
      </w:r>
      <w:r w:rsidR="002A7A59" w:rsidRPr="619CA689">
        <w:t>immediate project outcomes</w:t>
      </w:r>
      <w:r w:rsidR="005232F4">
        <w:rPr>
          <w:szCs w:val="21"/>
        </w:rPr>
        <w:t>’</w:t>
      </w:r>
      <w:r w:rsidR="004D2337">
        <w:t xml:space="preserve"> i</w:t>
      </w:r>
      <w:r w:rsidR="0045683F">
        <w:t>n the</w:t>
      </w:r>
      <w:bookmarkStart w:id="96" w:name="_Theory__of"/>
      <w:bookmarkEnd w:id="96"/>
      <w:r w:rsidR="005412D3" w:rsidRPr="00806AE4">
        <w:t xml:space="preserve"> Project Zone</w:t>
      </w:r>
      <w:r w:rsidR="0045683F">
        <w:t>.</w:t>
      </w:r>
      <w:r w:rsidR="0045683F">
        <w:rPr>
          <w:rStyle w:val="FootnoteReference"/>
        </w:rPr>
        <w:footnoteReference w:id="55"/>
      </w:r>
      <w:r w:rsidR="0045683F">
        <w:t>.</w:t>
      </w:r>
    </w:p>
    <w:p w14:paraId="7885F7D6" w14:textId="2BF0FEC0" w:rsidR="009563B4" w:rsidRPr="00BF3749" w:rsidRDefault="009563B4" w:rsidP="001667C6">
      <w:pPr>
        <w:pStyle w:val="ParagraphOED"/>
        <w:numPr>
          <w:ilvl w:val="0"/>
          <w:numId w:val="102"/>
        </w:numPr>
        <w:spacing w:before="160" w:after="0"/>
        <w:rPr>
          <w:sz w:val="22"/>
          <w:szCs w:val="22"/>
        </w:rPr>
      </w:pPr>
      <w:r w:rsidRPr="1E65A5F7">
        <w:rPr>
          <w:b/>
          <w:bCs/>
        </w:rPr>
        <w:t xml:space="preserve">Component 1 </w:t>
      </w:r>
      <w:r w:rsidR="00676CA7" w:rsidRPr="1E65A5F7">
        <w:rPr>
          <w:b/>
          <w:bCs/>
        </w:rPr>
        <w:t xml:space="preserve">(Enabling frameworks for LDN at national and landscape levels) </w:t>
      </w:r>
      <w:r>
        <w:t xml:space="preserve">will address </w:t>
      </w:r>
      <w:r w:rsidRPr="1E65A5F7">
        <w:rPr>
          <w:b/>
          <w:bCs/>
        </w:rPr>
        <w:t>Barrier 1</w:t>
      </w:r>
      <w:r>
        <w:t>:</w:t>
      </w:r>
      <w:r w:rsidR="00FC2A16">
        <w:t xml:space="preserve"> </w:t>
      </w:r>
      <w:r w:rsidR="00202729">
        <w:t xml:space="preserve">weaknesses in the </w:t>
      </w:r>
      <w:r w:rsidR="00FC2A16">
        <w:t xml:space="preserve">enabling </w:t>
      </w:r>
      <w:r w:rsidR="00202729">
        <w:t xml:space="preserve">policy and regulatory </w:t>
      </w:r>
      <w:r w:rsidR="00FC2A16">
        <w:t>environment</w:t>
      </w:r>
      <w:r w:rsidR="00202729">
        <w:t xml:space="preserve">, and in multi-sector coordination and decision-making; </w:t>
      </w:r>
      <w:r>
        <w:t xml:space="preserve"> </w:t>
      </w:r>
      <w:r w:rsidRPr="1E65A5F7">
        <w:rPr>
          <w:b/>
          <w:bCs/>
        </w:rPr>
        <w:t>Barrier 2:</w:t>
      </w:r>
      <w:r>
        <w:t xml:space="preserve"> </w:t>
      </w:r>
      <w:r w:rsidR="00202729">
        <w:t xml:space="preserve">inadequate </w:t>
      </w:r>
      <w:r>
        <w:t xml:space="preserve">Institutional mandates </w:t>
      </w:r>
      <w:r w:rsidR="00202729">
        <w:t>and</w:t>
      </w:r>
      <w:r>
        <w:t xml:space="preserve"> capacit</w:t>
      </w:r>
      <w:r w:rsidR="00202729">
        <w:t>ies</w:t>
      </w:r>
      <w:r>
        <w:t xml:space="preserve"> to engage stakeholders </w:t>
      </w:r>
      <w:r w:rsidR="00202729">
        <w:t>in</w:t>
      </w:r>
      <w:r w:rsidR="00A6217E">
        <w:t xml:space="preserve"> delivering </w:t>
      </w:r>
      <w:r>
        <w:t xml:space="preserve"> </w:t>
      </w:r>
      <w:r w:rsidR="00A6217E">
        <w:t xml:space="preserve">LDN through </w:t>
      </w:r>
      <w:r>
        <w:t xml:space="preserve">integrated </w:t>
      </w:r>
      <w:r w:rsidR="00202729">
        <w:t>landscape</w:t>
      </w:r>
      <w:r w:rsidR="00A6217E">
        <w:t xml:space="preserve"> </w:t>
      </w:r>
      <w:r>
        <w:t>management</w:t>
      </w:r>
      <w:r w:rsidR="00A6217E">
        <w:t>;</w:t>
      </w:r>
      <w:r>
        <w:t xml:space="preserve"> and partially </w:t>
      </w:r>
      <w:r w:rsidRPr="1E65A5F7">
        <w:rPr>
          <w:b/>
          <w:bCs/>
        </w:rPr>
        <w:t>Barrier 3</w:t>
      </w:r>
      <w:r>
        <w:t>: land tenure governance</w:t>
      </w:r>
      <w:r w:rsidR="00A6217E">
        <w:t xml:space="preserve"> </w:t>
      </w:r>
      <w:r>
        <w:t>disincentives for land improvement</w:t>
      </w:r>
      <w:r w:rsidR="00A6217E">
        <w:t>, which</w:t>
      </w:r>
      <w:r>
        <w:t xml:space="preserve"> reinforce social inequalities, including gender</w:t>
      </w:r>
      <w:r w:rsidR="00A6217E">
        <w:t>.</w:t>
      </w:r>
      <w:r>
        <w:t xml:space="preserve"> More specifically, Component 1 will create an enabling environment for LDN by reinforcing </w:t>
      </w:r>
      <w:r w:rsidR="00167FF9">
        <w:t xml:space="preserve">the agenda of </w:t>
      </w:r>
      <w:r w:rsidR="00A6217E">
        <w:t>Angola</w:t>
      </w:r>
      <w:r w:rsidR="00167FF9">
        <w:t>’s</w:t>
      </w:r>
      <w:r>
        <w:t xml:space="preserve"> LDN Committee </w:t>
      </w:r>
      <w:r w:rsidR="00167FF9">
        <w:t>to</w:t>
      </w:r>
      <w:r>
        <w:t xml:space="preserve"> improve cross-sectoral coordination, policy and planning. Component 1 has one outcome:</w:t>
      </w:r>
      <w:r w:rsidRPr="1E65A5F7">
        <w:rPr>
          <w:sz w:val="22"/>
          <w:szCs w:val="22"/>
        </w:rPr>
        <w:t xml:space="preserve"> </w:t>
      </w:r>
    </w:p>
    <w:p w14:paraId="4681D749" w14:textId="046E09E4" w:rsidR="009563B4" w:rsidRPr="000114F9" w:rsidRDefault="00D86283" w:rsidP="002375C9">
      <w:pPr>
        <w:tabs>
          <w:tab w:val="left" w:pos="1985"/>
        </w:tabs>
        <w:spacing w:before="80" w:after="160"/>
        <w:ind w:left="1985" w:hanging="1276"/>
        <w:rPr>
          <w:rFonts w:asciiTheme="minorHAnsi" w:hAnsiTheme="minorHAnsi" w:cstheme="minorHAnsi"/>
          <w:b/>
          <w:bCs/>
          <w:sz w:val="21"/>
          <w:szCs w:val="21"/>
        </w:rPr>
      </w:pPr>
      <w:r w:rsidRPr="000114F9">
        <w:rPr>
          <w:rFonts w:asciiTheme="minorHAnsi" w:hAnsiTheme="minorHAnsi" w:cstheme="minorHAnsi"/>
          <w:b/>
          <w:bCs/>
          <w:sz w:val="21"/>
          <w:szCs w:val="21"/>
        </w:rPr>
        <w:lastRenderedPageBreak/>
        <w:t xml:space="preserve">Outcome </w:t>
      </w:r>
      <w:r w:rsidR="00E35BE4" w:rsidRPr="000114F9">
        <w:rPr>
          <w:rFonts w:asciiTheme="minorHAnsi" w:hAnsiTheme="minorHAnsi" w:cstheme="minorHAnsi"/>
          <w:b/>
          <w:bCs/>
          <w:sz w:val="21"/>
          <w:szCs w:val="21"/>
        </w:rPr>
        <w:t>1.1</w:t>
      </w:r>
      <w:r w:rsidR="00BF3749" w:rsidRPr="000114F9">
        <w:rPr>
          <w:rFonts w:asciiTheme="minorHAnsi" w:hAnsiTheme="minorHAnsi" w:cstheme="minorHAnsi"/>
          <w:b/>
          <w:bCs/>
          <w:sz w:val="21"/>
          <w:szCs w:val="21"/>
        </w:rPr>
        <w:tab/>
      </w:r>
      <w:r w:rsidR="00E07CFB" w:rsidRPr="00E07CFB">
        <w:rPr>
          <w:rFonts w:asciiTheme="minorHAnsi" w:hAnsiTheme="minorHAnsi" w:cstheme="minorHAnsi"/>
          <w:b/>
          <w:bCs/>
          <w:sz w:val="21"/>
          <w:szCs w:val="21"/>
        </w:rPr>
        <w:t>Strengthened policy-regulatory and decision-making frameworks for LDN at national and sub-national levels</w:t>
      </w:r>
    </w:p>
    <w:p w14:paraId="1A9315AB" w14:textId="0F8D1116" w:rsidR="009563B4" w:rsidRPr="00390C58" w:rsidRDefault="460C6265" w:rsidP="001667C6">
      <w:pPr>
        <w:pStyle w:val="ParagraphOED"/>
        <w:numPr>
          <w:ilvl w:val="0"/>
          <w:numId w:val="102"/>
        </w:numPr>
        <w:spacing w:before="160" w:after="0"/>
        <w:rPr>
          <w:sz w:val="22"/>
          <w:szCs w:val="22"/>
        </w:rPr>
      </w:pPr>
      <w:r w:rsidRPr="1E65A5F7">
        <w:rPr>
          <w:b/>
          <w:bCs/>
        </w:rPr>
        <w:t>Component 2</w:t>
      </w:r>
      <w:r w:rsidR="450E6E8F" w:rsidRPr="1E65A5F7">
        <w:rPr>
          <w:b/>
          <w:bCs/>
        </w:rPr>
        <w:t xml:space="preserve"> (Strengthening implementation and replicating SLM and SFM practices)</w:t>
      </w:r>
      <w:r w:rsidRPr="1E65A5F7">
        <w:rPr>
          <w:b/>
          <w:bCs/>
        </w:rPr>
        <w:t xml:space="preserve"> </w:t>
      </w:r>
      <w:r>
        <w:t xml:space="preserve">will </w:t>
      </w:r>
      <w:r w:rsidR="1D939973">
        <w:t xml:space="preserve">also partially </w:t>
      </w:r>
      <w:r>
        <w:t xml:space="preserve">focus on </w:t>
      </w:r>
      <w:r w:rsidRPr="1E65A5F7">
        <w:rPr>
          <w:b/>
          <w:bCs/>
        </w:rPr>
        <w:t>Barrier 3</w:t>
      </w:r>
      <w:r w:rsidR="16A7D6CF" w:rsidRPr="1E65A5F7">
        <w:rPr>
          <w:b/>
          <w:bCs/>
        </w:rPr>
        <w:t>:</w:t>
      </w:r>
      <w:r>
        <w:t xml:space="preserve"> </w:t>
      </w:r>
      <w:r w:rsidR="16A7D6CF">
        <w:t xml:space="preserve">disincentives for land improvement arising from ineffective </w:t>
      </w:r>
      <w:r w:rsidR="5F532EB3">
        <w:t>delivery of</w:t>
      </w:r>
      <w:r w:rsidR="16A7D6CF">
        <w:t xml:space="preserve"> </w:t>
      </w:r>
      <w:r>
        <w:t>land tenure</w:t>
      </w:r>
      <w:r w:rsidR="5F532EB3">
        <w:t xml:space="preserve"> policy and regulations;</w:t>
      </w:r>
      <w:r>
        <w:t xml:space="preserve"> </w:t>
      </w:r>
      <w:r w:rsidRPr="1E65A5F7">
        <w:rPr>
          <w:b/>
          <w:bCs/>
        </w:rPr>
        <w:t>Barrier 4</w:t>
      </w:r>
      <w:r w:rsidR="5F532EB3" w:rsidRPr="1E65A5F7">
        <w:rPr>
          <w:b/>
          <w:bCs/>
        </w:rPr>
        <w:t xml:space="preserve">: </w:t>
      </w:r>
      <w:r>
        <w:t>poor mastery of SLM/SFM practices and limited access</w:t>
      </w:r>
      <w:r w:rsidR="5F532EB3">
        <w:t xml:space="preserve"> to technical support, resources and incentives </w:t>
      </w:r>
      <w:r>
        <w:t xml:space="preserve">to </w:t>
      </w:r>
      <w:r w:rsidR="5F532EB3">
        <w:t xml:space="preserve">improve </w:t>
      </w:r>
      <w:r>
        <w:t>productivity</w:t>
      </w:r>
      <w:r w:rsidR="5F532EB3">
        <w:t>;</w:t>
      </w:r>
      <w:r>
        <w:t xml:space="preserve"> and </w:t>
      </w:r>
      <w:r w:rsidRPr="1E65A5F7">
        <w:rPr>
          <w:b/>
          <w:bCs/>
        </w:rPr>
        <w:t>Barrier 5</w:t>
      </w:r>
      <w:r w:rsidR="5F532EB3" w:rsidRPr="1E65A5F7">
        <w:rPr>
          <w:b/>
          <w:bCs/>
        </w:rPr>
        <w:t>:</w:t>
      </w:r>
      <w:r w:rsidRPr="1E65A5F7">
        <w:rPr>
          <w:b/>
          <w:bCs/>
        </w:rPr>
        <w:t xml:space="preserve"> </w:t>
      </w:r>
      <w:r>
        <w:t xml:space="preserve">local livelihoods (especially for women) hampered by limited access to finance and markets for SLM/SFM products. These barriers will be addressed primarily through development and adoption of ILUPs and implementation of sustainable and gender-sensitive land management practices on the ground, as well as through development and strengthening of dryland value chains in project </w:t>
      </w:r>
      <w:r w:rsidR="24E2C2AC">
        <w:t>landscapes</w:t>
      </w:r>
      <w:r>
        <w:t xml:space="preserve">. Capacity building </w:t>
      </w:r>
      <w:r w:rsidR="368D51D4">
        <w:t xml:space="preserve">will be supported by </w:t>
      </w:r>
      <w:r w:rsidR="67263F17">
        <w:t xml:space="preserve">strengthening </w:t>
      </w:r>
      <w:r w:rsidR="368D51D4">
        <w:t>the</w:t>
      </w:r>
      <w:r>
        <w:t xml:space="preserve"> existing network of </w:t>
      </w:r>
      <w:r w:rsidR="1947B42E">
        <w:t>Agro-Pastoral/</w:t>
      </w:r>
      <w:r w:rsidR="368D51D4">
        <w:t xml:space="preserve">Farmer Field Schools </w:t>
      </w:r>
      <w:r w:rsidR="1947B42E">
        <w:t>(</w:t>
      </w:r>
      <w:r>
        <w:t>APFS/FFS</w:t>
      </w:r>
      <w:r w:rsidR="1947B42E">
        <w:t>)</w:t>
      </w:r>
      <w:r>
        <w:t xml:space="preserve"> to ensure sustainability of the training. </w:t>
      </w:r>
      <w:r w:rsidR="1947B42E">
        <w:t>L</w:t>
      </w:r>
      <w:r>
        <w:t xml:space="preserve">and users </w:t>
      </w:r>
      <w:r w:rsidR="1947B42E">
        <w:t xml:space="preserve">will be incentivized </w:t>
      </w:r>
      <w:r>
        <w:t>to engage in SLM/SFM through sustainable value chains</w:t>
      </w:r>
      <w:r w:rsidR="0B966317">
        <w:t>.</w:t>
      </w:r>
      <w:r w:rsidR="1947B42E">
        <w:t xml:space="preserve"> </w:t>
      </w:r>
      <w:r>
        <w:t>Component 2 has three outcomes:</w:t>
      </w:r>
    </w:p>
    <w:p w14:paraId="17B2F234" w14:textId="0D26DE30" w:rsidR="009563B4" w:rsidRPr="000114F9" w:rsidRDefault="00390C58" w:rsidP="002375C9">
      <w:pPr>
        <w:tabs>
          <w:tab w:val="left" w:pos="1985"/>
        </w:tabs>
        <w:spacing w:before="80" w:after="80"/>
        <w:ind w:left="1985" w:hanging="1276"/>
        <w:rPr>
          <w:rFonts w:asciiTheme="minorHAnsi" w:hAnsiTheme="minorHAnsi" w:cstheme="minorHAnsi"/>
          <w:b/>
          <w:bCs/>
          <w:sz w:val="21"/>
          <w:szCs w:val="21"/>
        </w:rPr>
      </w:pPr>
      <w:r w:rsidRPr="000114F9">
        <w:rPr>
          <w:rFonts w:asciiTheme="minorHAnsi" w:hAnsiTheme="minorHAnsi" w:cstheme="minorHAnsi"/>
          <w:b/>
          <w:bCs/>
          <w:sz w:val="21"/>
          <w:szCs w:val="21"/>
        </w:rPr>
        <w:t xml:space="preserve">Outcome </w:t>
      </w:r>
      <w:r w:rsidR="009563B4" w:rsidRPr="000114F9">
        <w:rPr>
          <w:rFonts w:asciiTheme="minorHAnsi" w:hAnsiTheme="minorHAnsi" w:cstheme="minorHAnsi"/>
          <w:b/>
          <w:bCs/>
          <w:sz w:val="21"/>
          <w:szCs w:val="21"/>
        </w:rPr>
        <w:t>2.1</w:t>
      </w:r>
      <w:r w:rsidR="009563B4" w:rsidRPr="000114F9">
        <w:rPr>
          <w:rFonts w:asciiTheme="minorHAnsi" w:hAnsiTheme="minorHAnsi" w:cstheme="minorHAnsi"/>
          <w:b/>
          <w:bCs/>
          <w:sz w:val="21"/>
          <w:szCs w:val="21"/>
        </w:rPr>
        <w:tab/>
      </w:r>
      <w:r w:rsidR="00D324F5" w:rsidRPr="00D324F5">
        <w:rPr>
          <w:rFonts w:asciiTheme="minorHAnsi" w:hAnsiTheme="minorHAnsi" w:cstheme="minorHAnsi"/>
          <w:b/>
          <w:bCs/>
          <w:sz w:val="21"/>
          <w:szCs w:val="21"/>
        </w:rPr>
        <w:t>Landscapes in Southern Angola under Integrated Land-Use Planning (ILUP) for LDN</w:t>
      </w:r>
    </w:p>
    <w:p w14:paraId="47026764" w14:textId="3E95B439" w:rsidR="009563B4" w:rsidRPr="000114F9" w:rsidRDefault="00390C58" w:rsidP="3B8109EE">
      <w:pPr>
        <w:tabs>
          <w:tab w:val="left" w:pos="1985"/>
        </w:tabs>
        <w:spacing w:before="80" w:after="80"/>
        <w:ind w:left="1985" w:hanging="1276"/>
        <w:rPr>
          <w:rFonts w:asciiTheme="minorHAnsi" w:hAnsiTheme="minorHAnsi" w:cstheme="minorHAnsi"/>
          <w:b/>
          <w:bCs/>
          <w:sz w:val="21"/>
          <w:szCs w:val="21"/>
        </w:rPr>
      </w:pPr>
      <w:r w:rsidRPr="000114F9">
        <w:rPr>
          <w:rFonts w:asciiTheme="minorHAnsi" w:hAnsiTheme="minorHAnsi" w:cstheme="minorHAnsi"/>
          <w:b/>
          <w:bCs/>
          <w:sz w:val="21"/>
          <w:szCs w:val="21"/>
        </w:rPr>
        <w:t xml:space="preserve">Outcome </w:t>
      </w:r>
      <w:r w:rsidR="009563B4" w:rsidRPr="000114F9">
        <w:rPr>
          <w:rFonts w:asciiTheme="minorHAnsi" w:hAnsiTheme="minorHAnsi" w:cstheme="minorHAnsi"/>
          <w:b/>
          <w:bCs/>
          <w:sz w:val="21"/>
          <w:szCs w:val="21"/>
        </w:rPr>
        <w:t>2.2</w:t>
      </w:r>
      <w:r w:rsidR="009563B4" w:rsidRPr="000114F9">
        <w:rPr>
          <w:rFonts w:asciiTheme="minorHAnsi" w:hAnsiTheme="minorHAnsi" w:cstheme="minorHAnsi"/>
          <w:b/>
          <w:bCs/>
          <w:sz w:val="21"/>
          <w:szCs w:val="21"/>
        </w:rPr>
        <w:tab/>
      </w:r>
      <w:r w:rsidR="00B21286" w:rsidRPr="00B21286">
        <w:rPr>
          <w:rFonts w:asciiTheme="minorHAnsi" w:hAnsiTheme="minorHAnsi" w:cstheme="minorHAnsi"/>
          <w:b/>
          <w:bCs/>
          <w:sz w:val="21"/>
          <w:szCs w:val="21"/>
        </w:rPr>
        <w:t>Capacity and resilience of land users to apply SLM/SFM practices to production systems strengthened</w:t>
      </w:r>
    </w:p>
    <w:p w14:paraId="2879FA94" w14:textId="62BAF87F" w:rsidR="002375C9" w:rsidRPr="00896F2D" w:rsidRDefault="00390C58" w:rsidP="00790D41">
      <w:pPr>
        <w:tabs>
          <w:tab w:val="left" w:pos="1985"/>
        </w:tabs>
        <w:spacing w:before="80" w:after="80"/>
        <w:ind w:left="1985" w:hanging="1276"/>
        <w:rPr>
          <w:b/>
          <w:bCs/>
          <w:sz w:val="21"/>
          <w:szCs w:val="21"/>
        </w:rPr>
      </w:pPr>
      <w:r w:rsidRPr="000114F9">
        <w:rPr>
          <w:rFonts w:asciiTheme="minorHAnsi" w:hAnsiTheme="minorHAnsi" w:cstheme="minorHAnsi"/>
          <w:b/>
          <w:bCs/>
          <w:sz w:val="21"/>
          <w:szCs w:val="21"/>
        </w:rPr>
        <w:t xml:space="preserve">Outcome </w:t>
      </w:r>
      <w:r w:rsidR="009563B4" w:rsidRPr="000114F9">
        <w:rPr>
          <w:rFonts w:asciiTheme="minorHAnsi" w:hAnsiTheme="minorHAnsi" w:cstheme="minorHAnsi"/>
          <w:b/>
          <w:bCs/>
          <w:sz w:val="21"/>
          <w:szCs w:val="21"/>
        </w:rPr>
        <w:t>2.3</w:t>
      </w:r>
      <w:r w:rsidR="00790D41">
        <w:rPr>
          <w:rFonts w:asciiTheme="minorHAnsi" w:hAnsiTheme="minorHAnsi" w:cstheme="minorHAnsi"/>
          <w:b/>
          <w:bCs/>
          <w:sz w:val="21"/>
          <w:szCs w:val="21"/>
        </w:rPr>
        <w:tab/>
      </w:r>
      <w:r w:rsidR="00790D41" w:rsidRPr="00790D41">
        <w:rPr>
          <w:rFonts w:asciiTheme="minorHAnsi" w:hAnsiTheme="minorHAnsi" w:cstheme="minorHAnsi"/>
          <w:b/>
          <w:bCs/>
          <w:sz w:val="21"/>
          <w:szCs w:val="21"/>
        </w:rPr>
        <w:t>Green value chains to support sustainable drylands products developed or strengthened</w:t>
      </w:r>
      <w:r w:rsidR="009563B4" w:rsidRPr="000114F9">
        <w:rPr>
          <w:rFonts w:asciiTheme="minorHAnsi" w:hAnsiTheme="minorHAnsi" w:cstheme="minorHAnsi"/>
          <w:b/>
          <w:bCs/>
          <w:sz w:val="21"/>
          <w:szCs w:val="21"/>
        </w:rPr>
        <w:tab/>
      </w:r>
      <w:r w:rsidR="59580986" w:rsidRPr="3B8109EE">
        <w:rPr>
          <w:b/>
          <w:bCs/>
          <w:sz w:val="21"/>
          <w:szCs w:val="21"/>
        </w:rPr>
        <w:t xml:space="preserve"> </w:t>
      </w:r>
    </w:p>
    <w:p w14:paraId="45DE65B8" w14:textId="6A9DDE93" w:rsidR="009563B4" w:rsidRPr="004612B7" w:rsidRDefault="460C6265" w:rsidP="001667C6">
      <w:pPr>
        <w:pStyle w:val="ParagraphOED"/>
        <w:numPr>
          <w:ilvl w:val="0"/>
          <w:numId w:val="102"/>
        </w:numPr>
        <w:spacing w:before="160" w:after="80"/>
        <w:rPr>
          <w:rFonts w:asciiTheme="minorHAnsi" w:hAnsiTheme="minorHAnsi" w:cstheme="minorBidi"/>
        </w:rPr>
      </w:pPr>
      <w:r w:rsidRPr="1E65A5F7">
        <w:rPr>
          <w:b/>
          <w:bCs/>
        </w:rPr>
        <w:t>Component 3</w:t>
      </w:r>
      <w:r w:rsidR="315D5A46" w:rsidRPr="1E65A5F7">
        <w:rPr>
          <w:b/>
          <w:bCs/>
        </w:rPr>
        <w:t xml:space="preserve"> (Strengthening knowledge, learning and collaboration to support progress towards achieving national LDN targets)</w:t>
      </w:r>
      <w:r>
        <w:t xml:space="preserve"> will address </w:t>
      </w:r>
      <w:r w:rsidRPr="1E65A5F7">
        <w:rPr>
          <w:b/>
          <w:bCs/>
        </w:rPr>
        <w:t>Barrier 6</w:t>
      </w:r>
      <w:r>
        <w:t xml:space="preserve">: </w:t>
      </w:r>
      <w:r w:rsidR="281C4096">
        <w:t>w</w:t>
      </w:r>
      <w:r>
        <w:t xml:space="preserve">eak national and landscape-level LDN </w:t>
      </w:r>
      <w:r w:rsidR="589D2D67">
        <w:t xml:space="preserve">monitoring and </w:t>
      </w:r>
      <w:r>
        <w:t xml:space="preserve">assessment </w:t>
      </w:r>
      <w:r w:rsidR="2C00F8FE">
        <w:t xml:space="preserve">and information management </w:t>
      </w:r>
      <w:r>
        <w:t>frameworks</w:t>
      </w:r>
      <w:r w:rsidR="281C4096">
        <w:t>;</w:t>
      </w:r>
      <w:r>
        <w:t xml:space="preserve"> </w:t>
      </w:r>
      <w:r w:rsidR="145DDB0D" w:rsidRPr="1E65A5F7">
        <w:rPr>
          <w:b/>
          <w:bCs/>
        </w:rPr>
        <w:t xml:space="preserve">Barrier </w:t>
      </w:r>
      <w:r w:rsidRPr="1E65A5F7">
        <w:rPr>
          <w:b/>
          <w:bCs/>
        </w:rPr>
        <w:t>7</w:t>
      </w:r>
      <w:r>
        <w:t xml:space="preserve">: </w:t>
      </w:r>
      <w:r w:rsidR="281C4096">
        <w:t xml:space="preserve">absence of </w:t>
      </w:r>
      <w:r>
        <w:t xml:space="preserve">LDN-focused knowledge management </w:t>
      </w:r>
      <w:r w:rsidR="281C4096">
        <w:t>or</w:t>
      </w:r>
      <w:r>
        <w:t xml:space="preserve"> </w:t>
      </w:r>
      <w:r w:rsidR="2FDB9114">
        <w:t xml:space="preserve">reflective </w:t>
      </w:r>
      <w:r>
        <w:t xml:space="preserve">learning </w:t>
      </w:r>
      <w:r w:rsidR="3EFFB203">
        <w:t xml:space="preserve">and exchange </w:t>
      </w:r>
      <w:r>
        <w:t>across the Miombo-Mopane region</w:t>
      </w:r>
      <w:r w:rsidR="281C4096">
        <w:t xml:space="preserve">; </w:t>
      </w:r>
      <w:r>
        <w:t xml:space="preserve">and </w:t>
      </w:r>
      <w:r w:rsidR="145DDB0D" w:rsidRPr="1E65A5F7">
        <w:rPr>
          <w:b/>
          <w:bCs/>
        </w:rPr>
        <w:t xml:space="preserve">Barrier </w:t>
      </w:r>
      <w:r w:rsidRPr="1E65A5F7">
        <w:rPr>
          <w:b/>
          <w:bCs/>
        </w:rPr>
        <w:t>8</w:t>
      </w:r>
      <w:r>
        <w:t xml:space="preserve">: </w:t>
      </w:r>
      <w:r w:rsidR="16BFBFFF">
        <w:t>i</w:t>
      </w:r>
      <w:r>
        <w:t>nsufficient sub-regional</w:t>
      </w:r>
      <w:r w:rsidR="16BFBFFF">
        <w:t>/</w:t>
      </w:r>
      <w:r>
        <w:t xml:space="preserve">cross-border </w:t>
      </w:r>
      <w:r w:rsidR="5D760488">
        <w:t>collaboration</w:t>
      </w:r>
      <w:r w:rsidR="721C5D9C">
        <w:t xml:space="preserve">, </w:t>
      </w:r>
      <w:r w:rsidR="5D760488">
        <w:t xml:space="preserve">coordination </w:t>
      </w:r>
      <w:r w:rsidR="557E1A0F">
        <w:t xml:space="preserve">and exchange </w:t>
      </w:r>
      <w:r w:rsidR="5D760488">
        <w:t xml:space="preserve">on key </w:t>
      </w:r>
      <w:r w:rsidR="5D760488" w:rsidRPr="1E65A5F7">
        <w:rPr>
          <w:rFonts w:asciiTheme="minorHAnsi" w:hAnsiTheme="minorHAnsi" w:cstheme="minorBidi"/>
        </w:rPr>
        <w:t xml:space="preserve">challenges </w:t>
      </w:r>
      <w:r w:rsidR="6F3C04AD" w:rsidRPr="1E65A5F7">
        <w:rPr>
          <w:rFonts w:asciiTheme="minorHAnsi" w:hAnsiTheme="minorHAnsi" w:cstheme="minorBidi"/>
        </w:rPr>
        <w:t xml:space="preserve">among </w:t>
      </w:r>
      <w:r w:rsidR="5D760488" w:rsidRPr="1E65A5F7">
        <w:rPr>
          <w:rFonts w:asciiTheme="minorHAnsi" w:hAnsiTheme="minorHAnsi" w:cstheme="minorBidi"/>
        </w:rPr>
        <w:t xml:space="preserve">the </w:t>
      </w:r>
      <w:r w:rsidR="41FC9C98" w:rsidRPr="1E65A5F7">
        <w:rPr>
          <w:rFonts w:asciiTheme="minorHAnsi" w:hAnsiTheme="minorHAnsi" w:cstheme="minorBidi"/>
        </w:rPr>
        <w:t xml:space="preserve">Miombo-Mopane cluster countries </w:t>
      </w:r>
      <w:r w:rsidR="33F048B5" w:rsidRPr="1E65A5F7">
        <w:rPr>
          <w:rFonts w:asciiTheme="minorHAnsi" w:hAnsiTheme="minorHAnsi" w:cstheme="minorBidi"/>
        </w:rPr>
        <w:t>on</w:t>
      </w:r>
      <w:r w:rsidR="0E122117" w:rsidRPr="1E65A5F7">
        <w:rPr>
          <w:rFonts w:asciiTheme="minorHAnsi" w:hAnsiTheme="minorHAnsi" w:cstheme="minorBidi"/>
        </w:rPr>
        <w:t xml:space="preserve"> </w:t>
      </w:r>
      <w:r w:rsidR="219CA560" w:rsidRPr="1E65A5F7">
        <w:rPr>
          <w:rFonts w:asciiTheme="minorHAnsi" w:hAnsiTheme="minorHAnsi" w:cstheme="minorBidi"/>
        </w:rPr>
        <w:t xml:space="preserve">sustainable </w:t>
      </w:r>
      <w:r w:rsidRPr="1E65A5F7">
        <w:rPr>
          <w:rFonts w:asciiTheme="minorHAnsi" w:hAnsiTheme="minorHAnsi" w:cstheme="minorBidi"/>
        </w:rPr>
        <w:t>landscape management. Component 3 focuse</w:t>
      </w:r>
      <w:r w:rsidR="0E122117" w:rsidRPr="1E65A5F7">
        <w:rPr>
          <w:rFonts w:asciiTheme="minorHAnsi" w:hAnsiTheme="minorHAnsi" w:cstheme="minorBidi"/>
        </w:rPr>
        <w:t>s</w:t>
      </w:r>
      <w:r w:rsidRPr="1E65A5F7">
        <w:rPr>
          <w:rFonts w:asciiTheme="minorHAnsi" w:hAnsiTheme="minorHAnsi" w:cstheme="minorBidi"/>
        </w:rPr>
        <w:t xml:space="preserve"> on </w:t>
      </w:r>
      <w:r w:rsidR="7D5617C9" w:rsidRPr="1E65A5F7">
        <w:rPr>
          <w:rFonts w:asciiTheme="minorHAnsi" w:hAnsiTheme="minorHAnsi" w:cstheme="minorBidi"/>
        </w:rPr>
        <w:t>strengthening</w:t>
      </w:r>
      <w:r w:rsidRPr="1E65A5F7">
        <w:rPr>
          <w:rFonts w:asciiTheme="minorHAnsi" w:hAnsiTheme="minorHAnsi" w:cstheme="minorBidi"/>
        </w:rPr>
        <w:t xml:space="preserve"> </w:t>
      </w:r>
      <w:r w:rsidR="0C5F77E4" w:rsidRPr="1E65A5F7">
        <w:rPr>
          <w:rFonts w:asciiTheme="minorHAnsi" w:hAnsiTheme="minorHAnsi" w:cstheme="minorBidi"/>
        </w:rPr>
        <w:t xml:space="preserve">LDN </w:t>
      </w:r>
      <w:r w:rsidRPr="1E65A5F7">
        <w:rPr>
          <w:rFonts w:asciiTheme="minorHAnsi" w:hAnsiTheme="minorHAnsi" w:cstheme="minorBidi"/>
        </w:rPr>
        <w:t>knowledge</w:t>
      </w:r>
      <w:r w:rsidR="52C986DD" w:rsidRPr="1E65A5F7">
        <w:rPr>
          <w:rFonts w:asciiTheme="minorHAnsi" w:hAnsiTheme="minorHAnsi" w:cstheme="minorBidi"/>
        </w:rPr>
        <w:t xml:space="preserve"> management information dissemination</w:t>
      </w:r>
      <w:r w:rsidR="20E326ED" w:rsidRPr="1E65A5F7">
        <w:rPr>
          <w:rFonts w:asciiTheme="minorHAnsi" w:hAnsiTheme="minorHAnsi" w:cstheme="minorBidi"/>
        </w:rPr>
        <w:t>,</w:t>
      </w:r>
      <w:r w:rsidR="52C986DD" w:rsidRPr="1E65A5F7">
        <w:rPr>
          <w:rFonts w:asciiTheme="minorHAnsi" w:hAnsiTheme="minorHAnsi" w:cstheme="minorBidi"/>
        </w:rPr>
        <w:t xml:space="preserve"> and generating awareness</w:t>
      </w:r>
      <w:r w:rsidR="7D5617C9" w:rsidRPr="1E65A5F7">
        <w:rPr>
          <w:rFonts w:asciiTheme="minorHAnsi" w:hAnsiTheme="minorHAnsi" w:cstheme="minorBidi"/>
        </w:rPr>
        <w:t xml:space="preserve"> </w:t>
      </w:r>
      <w:r w:rsidR="28245BAF" w:rsidRPr="1E65A5F7">
        <w:rPr>
          <w:rFonts w:asciiTheme="minorHAnsi" w:hAnsiTheme="minorHAnsi" w:cstheme="minorBidi"/>
        </w:rPr>
        <w:t xml:space="preserve">reflective </w:t>
      </w:r>
      <w:r w:rsidR="7D5617C9" w:rsidRPr="1E65A5F7">
        <w:rPr>
          <w:rFonts w:asciiTheme="minorHAnsi" w:hAnsiTheme="minorHAnsi" w:cstheme="minorBidi"/>
        </w:rPr>
        <w:t>learning and collaboration</w:t>
      </w:r>
      <w:r w:rsidRPr="1E65A5F7">
        <w:rPr>
          <w:rFonts w:asciiTheme="minorHAnsi" w:hAnsiTheme="minorHAnsi" w:cstheme="minorBidi"/>
        </w:rPr>
        <w:t xml:space="preserve"> between cluster countries</w:t>
      </w:r>
      <w:r w:rsidR="3A76E9FE" w:rsidRPr="1E65A5F7">
        <w:rPr>
          <w:rFonts w:asciiTheme="minorHAnsi" w:hAnsiTheme="minorHAnsi" w:cstheme="minorBidi"/>
        </w:rPr>
        <w:t>.</w:t>
      </w:r>
      <w:r w:rsidR="3A408A7E" w:rsidRPr="1E65A5F7">
        <w:rPr>
          <w:rFonts w:asciiTheme="minorHAnsi" w:hAnsiTheme="minorHAnsi" w:cstheme="minorBidi"/>
        </w:rPr>
        <w:t xml:space="preserve"> </w:t>
      </w:r>
      <w:r w:rsidRPr="1E65A5F7">
        <w:rPr>
          <w:rFonts w:asciiTheme="minorHAnsi" w:hAnsiTheme="minorHAnsi" w:cstheme="minorBidi"/>
        </w:rPr>
        <w:t xml:space="preserve">Component 3 has </w:t>
      </w:r>
      <w:r w:rsidR="7BE19C0C" w:rsidRPr="1E65A5F7">
        <w:rPr>
          <w:rFonts w:asciiTheme="minorHAnsi" w:hAnsiTheme="minorHAnsi" w:cstheme="minorBidi"/>
        </w:rPr>
        <w:t>t</w:t>
      </w:r>
      <w:r w:rsidR="6FB9C519" w:rsidRPr="1E65A5F7">
        <w:rPr>
          <w:rFonts w:asciiTheme="minorHAnsi" w:hAnsiTheme="minorHAnsi" w:cstheme="minorBidi"/>
        </w:rPr>
        <w:t>hree</w:t>
      </w:r>
      <w:r w:rsidRPr="1E65A5F7">
        <w:rPr>
          <w:rFonts w:asciiTheme="minorHAnsi" w:hAnsiTheme="minorHAnsi" w:cstheme="minorBidi"/>
        </w:rPr>
        <w:t xml:space="preserve"> outcomes:</w:t>
      </w:r>
    </w:p>
    <w:p w14:paraId="7FF1161D" w14:textId="757B1DF5" w:rsidR="009563B4" w:rsidRPr="004612B7" w:rsidRDefault="00025C85" w:rsidP="3B8109EE">
      <w:pPr>
        <w:tabs>
          <w:tab w:val="left" w:pos="1985"/>
        </w:tabs>
        <w:spacing w:before="80" w:after="80"/>
        <w:ind w:left="1985" w:hanging="1276"/>
        <w:rPr>
          <w:rFonts w:asciiTheme="minorHAnsi" w:hAnsiTheme="minorHAnsi" w:cstheme="minorHAnsi"/>
          <w:b/>
          <w:bCs/>
          <w:sz w:val="21"/>
          <w:szCs w:val="21"/>
        </w:rPr>
      </w:pPr>
      <w:r w:rsidRPr="004612B7">
        <w:rPr>
          <w:rFonts w:asciiTheme="minorHAnsi" w:hAnsiTheme="minorHAnsi" w:cstheme="minorHAnsi"/>
          <w:b/>
          <w:bCs/>
          <w:sz w:val="21"/>
          <w:szCs w:val="21"/>
        </w:rPr>
        <w:t xml:space="preserve">Outcome </w:t>
      </w:r>
      <w:r w:rsidR="009563B4" w:rsidRPr="004612B7">
        <w:rPr>
          <w:rFonts w:asciiTheme="minorHAnsi" w:hAnsiTheme="minorHAnsi" w:cstheme="minorHAnsi"/>
          <w:b/>
          <w:bCs/>
          <w:sz w:val="21"/>
          <w:szCs w:val="21"/>
        </w:rPr>
        <w:t>3.1</w:t>
      </w:r>
      <w:r w:rsidR="0026635A">
        <w:rPr>
          <w:rFonts w:asciiTheme="minorHAnsi" w:hAnsiTheme="minorHAnsi" w:cstheme="minorHAnsi"/>
          <w:b/>
          <w:bCs/>
          <w:sz w:val="21"/>
          <w:szCs w:val="21"/>
        </w:rPr>
        <w:tab/>
      </w:r>
      <w:r w:rsidR="0026635A" w:rsidRPr="0026635A">
        <w:rPr>
          <w:rFonts w:asciiTheme="minorHAnsi" w:hAnsiTheme="minorHAnsi" w:cstheme="minorHAnsi"/>
          <w:b/>
          <w:bCs/>
          <w:sz w:val="21"/>
          <w:szCs w:val="21"/>
        </w:rPr>
        <w:t>National land information framework strengthened to inform LDN-related policy, planning, and management at landscape, national and global levels</w:t>
      </w:r>
      <w:r w:rsidR="03938368" w:rsidRPr="004612B7">
        <w:rPr>
          <w:rFonts w:asciiTheme="minorHAnsi" w:hAnsiTheme="minorHAnsi" w:cstheme="minorHAnsi"/>
          <w:b/>
          <w:bCs/>
          <w:color w:val="444444"/>
          <w:sz w:val="21"/>
          <w:szCs w:val="21"/>
        </w:rPr>
        <w:t xml:space="preserve"> </w:t>
      </w:r>
    </w:p>
    <w:p w14:paraId="4479820E" w14:textId="594255EB" w:rsidR="00CA02E6" w:rsidRPr="004612B7" w:rsidRDefault="00025C85" w:rsidP="00CA02E6">
      <w:pPr>
        <w:tabs>
          <w:tab w:val="left" w:pos="1985"/>
        </w:tabs>
        <w:spacing w:before="80" w:after="80"/>
        <w:ind w:left="1985" w:hanging="1276"/>
        <w:rPr>
          <w:rFonts w:asciiTheme="minorHAnsi" w:hAnsiTheme="minorHAnsi" w:cstheme="minorHAnsi"/>
          <w:sz w:val="21"/>
          <w:szCs w:val="21"/>
        </w:rPr>
      </w:pPr>
      <w:r w:rsidRPr="004612B7">
        <w:rPr>
          <w:rFonts w:asciiTheme="minorHAnsi" w:hAnsiTheme="minorHAnsi" w:cstheme="minorHAnsi"/>
          <w:b/>
          <w:bCs/>
          <w:sz w:val="21"/>
          <w:szCs w:val="21"/>
        </w:rPr>
        <w:t xml:space="preserve">Outcome </w:t>
      </w:r>
      <w:r w:rsidR="009563B4" w:rsidRPr="004612B7">
        <w:rPr>
          <w:rFonts w:asciiTheme="minorHAnsi" w:hAnsiTheme="minorHAnsi" w:cstheme="minorHAnsi"/>
          <w:b/>
          <w:bCs/>
          <w:sz w:val="21"/>
          <w:szCs w:val="21"/>
        </w:rPr>
        <w:t>3.2</w:t>
      </w:r>
      <w:r w:rsidR="009563B4" w:rsidRPr="004612B7">
        <w:rPr>
          <w:rFonts w:asciiTheme="minorHAnsi" w:hAnsiTheme="minorHAnsi" w:cstheme="minorHAnsi"/>
          <w:b/>
          <w:bCs/>
          <w:sz w:val="21"/>
          <w:szCs w:val="21"/>
        </w:rPr>
        <w:tab/>
      </w:r>
      <w:r w:rsidR="009D775B" w:rsidRPr="009D775B">
        <w:rPr>
          <w:rFonts w:asciiTheme="minorHAnsi" w:hAnsiTheme="minorHAnsi" w:cstheme="minorHAnsi"/>
          <w:b/>
          <w:bCs/>
          <w:sz w:val="21"/>
          <w:szCs w:val="21"/>
        </w:rPr>
        <w:t xml:space="preserve">Knowledge and awareness enhanced to support progress towards achievement of national LDN targets </w:t>
      </w:r>
    </w:p>
    <w:p w14:paraId="379EA30B" w14:textId="78C09C32" w:rsidR="76DE1EA5" w:rsidRDefault="76DE1EA5" w:rsidP="3B8109EE">
      <w:pPr>
        <w:spacing w:before="80" w:after="80"/>
        <w:ind w:left="1985" w:hanging="1276"/>
        <w:rPr>
          <w:rFonts w:asciiTheme="minorHAnsi" w:hAnsiTheme="minorHAnsi" w:cstheme="minorHAnsi"/>
          <w:b/>
          <w:bCs/>
          <w:sz w:val="21"/>
          <w:szCs w:val="21"/>
        </w:rPr>
      </w:pPr>
      <w:r w:rsidRPr="004612B7">
        <w:rPr>
          <w:rFonts w:asciiTheme="minorHAnsi" w:hAnsiTheme="minorHAnsi" w:cstheme="minorHAnsi"/>
          <w:b/>
          <w:bCs/>
          <w:sz w:val="21"/>
          <w:szCs w:val="21"/>
        </w:rPr>
        <w:t xml:space="preserve">Outcome 3.3 </w:t>
      </w:r>
      <w:r w:rsidR="00A76EF6">
        <w:rPr>
          <w:rFonts w:asciiTheme="minorHAnsi" w:hAnsiTheme="minorHAnsi" w:cstheme="minorHAnsi"/>
          <w:b/>
          <w:bCs/>
          <w:sz w:val="21"/>
          <w:szCs w:val="21"/>
        </w:rPr>
        <w:tab/>
      </w:r>
      <w:r w:rsidR="00A76EF6" w:rsidRPr="00A76EF6">
        <w:rPr>
          <w:rFonts w:asciiTheme="minorHAnsi" w:hAnsiTheme="minorHAnsi" w:cstheme="minorHAnsi"/>
          <w:b/>
          <w:bCs/>
          <w:sz w:val="21"/>
          <w:szCs w:val="21"/>
        </w:rPr>
        <w:t>Collaboration and exchange at regional and global levels enhanced to support national/sub-national efforts to deliver LDN</w:t>
      </w:r>
    </w:p>
    <w:p w14:paraId="585A5728" w14:textId="7AEC9FA8" w:rsidR="00C5253E" w:rsidRPr="00E5692A" w:rsidRDefault="00E5692A" w:rsidP="00E5692A">
      <w:pPr>
        <w:pStyle w:val="ParagraphOED"/>
        <w:numPr>
          <w:ilvl w:val="0"/>
          <w:numId w:val="0"/>
        </w:numPr>
        <w:spacing w:after="160"/>
        <w:rPr>
          <w:b/>
          <w:bCs/>
        </w:rPr>
      </w:pPr>
      <w:r w:rsidRPr="00E5692A">
        <w:rPr>
          <w:b/>
          <w:bCs/>
        </w:rPr>
        <w:t>Interlinkages:</w:t>
      </w:r>
    </w:p>
    <w:p w14:paraId="55B27530" w14:textId="202B744A" w:rsidR="00B130AE" w:rsidRPr="004612B7" w:rsidRDefault="00B130AE" w:rsidP="001667C6">
      <w:pPr>
        <w:pStyle w:val="ParagraphOED"/>
        <w:numPr>
          <w:ilvl w:val="0"/>
          <w:numId w:val="102"/>
        </w:numPr>
        <w:spacing w:after="160"/>
        <w:rPr>
          <w:rFonts w:asciiTheme="minorHAnsi" w:hAnsiTheme="minorHAnsi" w:cstheme="minorBidi"/>
        </w:rPr>
      </w:pPr>
      <w:r w:rsidRPr="1E65A5F7">
        <w:rPr>
          <w:rFonts w:asciiTheme="minorHAnsi" w:hAnsiTheme="minorHAnsi" w:cstheme="minorBidi"/>
          <w:b/>
          <w:bCs/>
        </w:rPr>
        <w:t>Some Outcomes are interlinked</w:t>
      </w:r>
      <w:r w:rsidRPr="1E65A5F7">
        <w:rPr>
          <w:rFonts w:asciiTheme="minorHAnsi" w:hAnsiTheme="minorHAnsi" w:cstheme="minorBidi"/>
        </w:rPr>
        <w:t xml:space="preserve"> and work together or depend on the delivery of others, as shown in the T</w:t>
      </w:r>
      <w:r w:rsidR="6014F44C" w:rsidRPr="1E65A5F7">
        <w:rPr>
          <w:rFonts w:asciiTheme="minorHAnsi" w:hAnsiTheme="minorHAnsi" w:cstheme="minorBidi"/>
        </w:rPr>
        <w:t xml:space="preserve">heory of Change (ToC) </w:t>
      </w:r>
      <w:r w:rsidRPr="1E65A5F7">
        <w:rPr>
          <w:rFonts w:asciiTheme="minorHAnsi" w:hAnsiTheme="minorHAnsi" w:cstheme="minorBidi"/>
        </w:rPr>
        <w:t xml:space="preserve">diagram where key relationships between the main elements of the ToC are indicated by arrows. Specifically, Component 1 (strengthening of the enabling environment for LDN) is a prerequisite for all Outcomes under Component 2; and Outcomes 2.2 and 2.3 are interdependent as sustainably farmed products are required for GVCs and, conversely, the promotion of GVCs will support the uptake of SLM/SFM practices and, indeed, is a driver for scaling out such practices in the target areas. </w:t>
      </w:r>
    </w:p>
    <w:p w14:paraId="0EF2D62B" w14:textId="56AF9D02" w:rsidR="00821642" w:rsidRPr="00813A3C" w:rsidRDefault="009C137A" w:rsidP="001667C6">
      <w:pPr>
        <w:pStyle w:val="ParagraphOED"/>
        <w:numPr>
          <w:ilvl w:val="0"/>
          <w:numId w:val="102"/>
        </w:numPr>
        <w:spacing w:after="160"/>
      </w:pPr>
      <w:r w:rsidRPr="1E65A5F7">
        <w:rPr>
          <w:rFonts w:asciiTheme="minorHAnsi" w:hAnsiTheme="minorHAnsi" w:cstheme="minorBidi"/>
        </w:rPr>
        <w:t>There is also a strong interconnection</w:t>
      </w:r>
      <w:r w:rsidRPr="619CA689">
        <w:t xml:space="preserve"> between Components 1 and 2 and the regional perspective of Component 3</w:t>
      </w:r>
      <w:r w:rsidRPr="3B8109EE">
        <w:rPr>
          <w:rStyle w:val="FootnoteReference"/>
        </w:rPr>
        <w:footnoteReference w:id="56"/>
      </w:r>
      <w:r w:rsidRPr="619CA689">
        <w:t xml:space="preserve">, whereby results and experiences from Components 1 and 2 contribute to building a national knowledge base on LDN under Component 3, while guidance on improved practices and lessons learned </w:t>
      </w:r>
      <w:r w:rsidR="00813A3C" w:rsidRPr="619CA689">
        <w:t>from</w:t>
      </w:r>
      <w:r w:rsidRPr="619CA689">
        <w:t xml:space="preserve"> the project </w:t>
      </w:r>
      <w:r w:rsidR="005D0D5A" w:rsidRPr="619CA689">
        <w:t>are</w:t>
      </w:r>
      <w:r w:rsidRPr="619CA689">
        <w:t xml:space="preserve"> shared regionally and globally with </w:t>
      </w:r>
      <w:r w:rsidRPr="619CA689">
        <w:lastRenderedPageBreak/>
        <w:t xml:space="preserve">the wider </w:t>
      </w:r>
      <w:r w:rsidR="005D0D5A" w:rsidRPr="619CA689">
        <w:t>d</w:t>
      </w:r>
      <w:r w:rsidRPr="619CA689">
        <w:t>rylands community under global and regional exchange mechanisms (G</w:t>
      </w:r>
      <w:r w:rsidR="00835C06">
        <w:t>CP</w:t>
      </w:r>
      <w:r w:rsidRPr="619CA689">
        <w:t xml:space="preserve">/REMs), represented by a separate pathway in the ToC diagram. </w:t>
      </w:r>
      <w:r w:rsidR="22A87EE8" w:rsidRPr="619CA689">
        <w:t>At the same time,</w:t>
      </w:r>
      <w:r w:rsidRPr="619CA689">
        <w:t xml:space="preserve"> knowledge gained and lessons learned by this </w:t>
      </w:r>
      <w:r w:rsidR="005D0D5A" w:rsidRPr="619CA689">
        <w:t>project</w:t>
      </w:r>
      <w:r w:rsidR="3DBFF665" w:rsidRPr="619CA689">
        <w:t xml:space="preserve">, </w:t>
      </w:r>
      <w:r w:rsidRPr="619CA689">
        <w:t xml:space="preserve">other </w:t>
      </w:r>
      <w:r w:rsidR="5E609E51" w:rsidRPr="619CA689">
        <w:t xml:space="preserve">child projects and through the regional and global communities will be </w:t>
      </w:r>
      <w:r w:rsidRPr="619CA689">
        <w:t xml:space="preserve"> collated and fed back into improving </w:t>
      </w:r>
      <w:r w:rsidR="005D0D5A" w:rsidRPr="619CA689">
        <w:t xml:space="preserve">Angola’s </w:t>
      </w:r>
      <w:r w:rsidRPr="619CA689">
        <w:t>SLM/SFM and LDN policies, regulations, financing</w:t>
      </w:r>
      <w:r w:rsidR="00385B17" w:rsidRPr="619CA689">
        <w:t xml:space="preserve"> strategies</w:t>
      </w:r>
      <w:r w:rsidRPr="619CA689">
        <w:t xml:space="preserve"> and </w:t>
      </w:r>
      <w:r w:rsidR="00385B17" w:rsidRPr="619CA689">
        <w:t xml:space="preserve">land management </w:t>
      </w:r>
      <w:r w:rsidRPr="619CA689">
        <w:t>practices under Components 1 and 2</w:t>
      </w:r>
      <w:r w:rsidR="00821642" w:rsidRPr="00813A3C">
        <w:rPr>
          <w:bCs/>
          <w:szCs w:val="21"/>
        </w:rPr>
        <w:t>.</w:t>
      </w:r>
    </w:p>
    <w:p w14:paraId="0A7911E5" w14:textId="251681C7" w:rsidR="009C137A" w:rsidRPr="00813A3C" w:rsidRDefault="00821642" w:rsidP="001667C6">
      <w:pPr>
        <w:pStyle w:val="ParagraphOED"/>
        <w:numPr>
          <w:ilvl w:val="0"/>
          <w:numId w:val="102"/>
        </w:numPr>
        <w:spacing w:after="160"/>
      </w:pPr>
      <w:r w:rsidRPr="619CA689">
        <w:t>Combined, the three components will demonstrate how a paradigm shift towards LDN in the Target Zone can be achieved by integrating the management of production systems at landscape scales, while prioritizing the conservation of Miombo-Mopane woodlands alongside the sustainable improvement of local livelihoods. Delivery of project outcomes will also improve regional decision-making, collaboration and partnerships across the Miombo-Mopane cluster of countries.</w:t>
      </w:r>
      <w:r w:rsidRPr="619CA689">
        <w:rPr>
          <w:rStyle w:val="FootnoteReference"/>
        </w:rPr>
        <w:footnoteReference w:id="57"/>
      </w:r>
      <w:r w:rsidRPr="619CA689">
        <w:t xml:space="preserve"> However, the project’s design and implementation rely on a number of underlying premises (i.e. prior ‘givens’ or proven conditions) and assumptions (i.e. unproven suppositions)</w:t>
      </w:r>
      <w:r w:rsidR="005D0D5A" w:rsidRPr="619CA689">
        <w:t>, as</w:t>
      </w:r>
      <w:r w:rsidRPr="619CA689">
        <w:t xml:space="preserve"> elaborated below</w:t>
      </w:r>
      <w:r w:rsidRPr="00813A3C">
        <w:rPr>
          <w:bCs/>
          <w:szCs w:val="21"/>
        </w:rPr>
        <w:t>.</w:t>
      </w:r>
    </w:p>
    <w:p w14:paraId="1CA91D98" w14:textId="6FB139D7" w:rsidR="009C137A" w:rsidRPr="009C137A" w:rsidRDefault="009C137A" w:rsidP="00813A3C">
      <w:pPr>
        <w:pStyle w:val="ParagraphOED"/>
        <w:numPr>
          <w:ilvl w:val="0"/>
          <w:numId w:val="0"/>
        </w:numPr>
        <w:spacing w:after="160"/>
        <w:rPr>
          <w:bCs/>
          <w:sz w:val="22"/>
        </w:rPr>
      </w:pPr>
      <w:r>
        <w:rPr>
          <w:b/>
          <w:bCs/>
        </w:rPr>
        <w:t xml:space="preserve">Key </w:t>
      </w:r>
      <w:r w:rsidR="00913D7C" w:rsidRPr="009C137A">
        <w:rPr>
          <w:b/>
          <w:bCs/>
        </w:rPr>
        <w:t>Premises</w:t>
      </w:r>
      <w:r w:rsidR="00DB3F33" w:rsidRPr="009C137A">
        <w:rPr>
          <w:b/>
          <w:bCs/>
        </w:rPr>
        <w:t>:</w:t>
      </w:r>
      <w:r w:rsidR="00787DCB" w:rsidRPr="00DB3F33">
        <w:t xml:space="preserve"> </w:t>
      </w:r>
    </w:p>
    <w:p w14:paraId="4A97A782" w14:textId="0DAE078E" w:rsidR="009563B4" w:rsidRPr="00813A3C" w:rsidRDefault="00D21F5D" w:rsidP="001667C6">
      <w:pPr>
        <w:pStyle w:val="ParagraphOED"/>
        <w:numPr>
          <w:ilvl w:val="0"/>
          <w:numId w:val="102"/>
        </w:numPr>
        <w:spacing w:after="80"/>
      </w:pPr>
      <w:bookmarkStart w:id="97" w:name="_Ref47606471"/>
      <w:r w:rsidRPr="619CA689">
        <w:t>T</w:t>
      </w:r>
      <w:r w:rsidR="009563B4" w:rsidRPr="619CA689">
        <w:t>he S</w:t>
      </w:r>
      <w:r w:rsidRPr="619CA689">
        <w:t>LM</w:t>
      </w:r>
      <w:r w:rsidR="2B0F2844" w:rsidRPr="619CA689">
        <w:t>/SFM and LDN</w:t>
      </w:r>
      <w:r w:rsidR="005360E4">
        <w:t xml:space="preserve"> </w:t>
      </w:r>
      <w:r w:rsidR="009563B4" w:rsidRPr="619CA689">
        <w:t>concept</w:t>
      </w:r>
      <w:r w:rsidR="7305E898" w:rsidRPr="619CA689">
        <w:t>s</w:t>
      </w:r>
      <w:r w:rsidR="009563B4" w:rsidRPr="619CA689">
        <w:t xml:space="preserve"> </w:t>
      </w:r>
      <w:r w:rsidR="337C906C" w:rsidRPr="619CA689">
        <w:t>are</w:t>
      </w:r>
      <w:r w:rsidR="009563B4" w:rsidRPr="619CA689">
        <w:t xml:space="preserve"> </w:t>
      </w:r>
      <w:r w:rsidRPr="619CA689">
        <w:t>well documented</w:t>
      </w:r>
      <w:r w:rsidR="009563B4" w:rsidRPr="619CA689">
        <w:t xml:space="preserve"> and </w:t>
      </w:r>
      <w:r w:rsidR="005D0D5A" w:rsidRPr="619CA689">
        <w:t>ha</w:t>
      </w:r>
      <w:r w:rsidR="2E52DA92" w:rsidRPr="619CA689">
        <w:t>ve</w:t>
      </w:r>
      <w:r w:rsidR="005D0D5A" w:rsidRPr="619CA689">
        <w:t xml:space="preserve"> been </w:t>
      </w:r>
      <w:r w:rsidRPr="619CA689">
        <w:t xml:space="preserve">piloted in </w:t>
      </w:r>
      <w:r w:rsidR="009563B4" w:rsidRPr="619CA689">
        <w:t>various projects</w:t>
      </w:r>
      <w:r w:rsidR="009563B4" w:rsidRPr="619CA689">
        <w:rPr>
          <w:rStyle w:val="FootnoteReference"/>
        </w:rPr>
        <w:footnoteReference w:id="58"/>
      </w:r>
      <w:r w:rsidR="005D0D5A" w:rsidRPr="619CA689">
        <w:t>. Nevertheless,</w:t>
      </w:r>
      <w:r w:rsidR="00760C20" w:rsidRPr="619CA689">
        <w:t xml:space="preserve"> the </w:t>
      </w:r>
      <w:r w:rsidR="00414E43" w:rsidRPr="619CA689">
        <w:t xml:space="preserve">projected extent of its applicability and </w:t>
      </w:r>
      <w:r w:rsidR="00760C20" w:rsidRPr="619CA689">
        <w:t>magnitude of i</w:t>
      </w:r>
      <w:r w:rsidR="009563B4" w:rsidRPr="619CA689">
        <w:t xml:space="preserve">ts </w:t>
      </w:r>
      <w:r w:rsidR="00414E43" w:rsidRPr="619CA689">
        <w:t xml:space="preserve">replicability </w:t>
      </w:r>
      <w:r w:rsidR="0001646B" w:rsidRPr="619CA689">
        <w:t xml:space="preserve">in Angola </w:t>
      </w:r>
      <w:r w:rsidR="005D0D5A" w:rsidRPr="619CA689">
        <w:t xml:space="preserve">remain </w:t>
      </w:r>
      <w:r w:rsidR="0003021C" w:rsidRPr="619CA689">
        <w:t xml:space="preserve">a fundamental </w:t>
      </w:r>
      <w:r w:rsidR="009563B4" w:rsidRPr="619CA689">
        <w:t xml:space="preserve">premise </w:t>
      </w:r>
      <w:r w:rsidR="005D0D5A" w:rsidRPr="619CA689">
        <w:t>underlying</w:t>
      </w:r>
      <w:r w:rsidR="009563B4" w:rsidRPr="619CA689">
        <w:t xml:space="preserve"> this project. </w:t>
      </w:r>
      <w:r w:rsidR="009F7CA0" w:rsidRPr="619CA689">
        <w:t xml:space="preserve">Other </w:t>
      </w:r>
      <w:r w:rsidR="005D0D5A" w:rsidRPr="619CA689">
        <w:t>key</w:t>
      </w:r>
      <w:r w:rsidR="009F7CA0" w:rsidRPr="619CA689">
        <w:t xml:space="preserve"> premises </w:t>
      </w:r>
      <w:r w:rsidR="63799411" w:rsidRPr="619CA689">
        <w:t xml:space="preserve">(P) </w:t>
      </w:r>
      <w:r w:rsidR="009F7CA0" w:rsidRPr="619CA689">
        <w:t>are:</w:t>
      </w:r>
      <w:bookmarkEnd w:id="97"/>
    </w:p>
    <w:p w14:paraId="4196099D" w14:textId="171BC9BD" w:rsidR="0003021C" w:rsidRPr="00813A3C" w:rsidRDefault="00D73B01" w:rsidP="001667C6">
      <w:pPr>
        <w:pStyle w:val="ParagraphOED"/>
        <w:numPr>
          <w:ilvl w:val="1"/>
          <w:numId w:val="44"/>
        </w:numPr>
        <w:spacing w:after="80"/>
        <w:ind w:left="709" w:hanging="425"/>
        <w:rPr>
          <w:szCs w:val="21"/>
        </w:rPr>
      </w:pPr>
      <w:r w:rsidRPr="00813A3C">
        <w:rPr>
          <w:szCs w:val="21"/>
        </w:rPr>
        <w:t>D</w:t>
      </w:r>
      <w:r w:rsidR="0003021C" w:rsidRPr="00813A3C">
        <w:rPr>
          <w:szCs w:val="21"/>
        </w:rPr>
        <w:t>egradation of water, soil and vegetation functions, as well as GHG emissions contributing to climate change</w:t>
      </w:r>
      <w:r w:rsidRPr="00813A3C">
        <w:rPr>
          <w:szCs w:val="21"/>
        </w:rPr>
        <w:t>,</w:t>
      </w:r>
      <w:r w:rsidR="0003021C" w:rsidRPr="00813A3C">
        <w:rPr>
          <w:szCs w:val="21"/>
        </w:rPr>
        <w:t xml:space="preserve"> can be limited through SLM/SFM/IWRM practices that simultaneously conserve natural resources, increase </w:t>
      </w:r>
      <w:r w:rsidRPr="00813A3C">
        <w:rPr>
          <w:szCs w:val="21"/>
        </w:rPr>
        <w:t xml:space="preserve">production </w:t>
      </w:r>
      <w:r w:rsidR="0003021C" w:rsidRPr="00813A3C">
        <w:rPr>
          <w:szCs w:val="21"/>
        </w:rPr>
        <w:t>yields and enhance land users</w:t>
      </w:r>
      <w:r w:rsidRPr="00813A3C">
        <w:rPr>
          <w:szCs w:val="21"/>
        </w:rPr>
        <w:t>’</w:t>
      </w:r>
      <w:r w:rsidR="0003021C" w:rsidRPr="00813A3C">
        <w:rPr>
          <w:szCs w:val="21"/>
        </w:rPr>
        <w:t xml:space="preserve"> resilience.</w:t>
      </w:r>
    </w:p>
    <w:p w14:paraId="5A9CD332" w14:textId="0A24EEEC" w:rsidR="0003021C" w:rsidRDefault="0003021C" w:rsidP="001667C6">
      <w:pPr>
        <w:pStyle w:val="ParagraphOED"/>
        <w:numPr>
          <w:ilvl w:val="1"/>
          <w:numId w:val="44"/>
        </w:numPr>
        <w:spacing w:after="80"/>
        <w:ind w:left="709" w:hanging="425"/>
        <w:rPr>
          <w:lang w:val="en-GB"/>
        </w:rPr>
      </w:pPr>
      <w:r>
        <w:t xml:space="preserve">Cultural </w:t>
      </w:r>
      <w:r w:rsidR="00D861C8">
        <w:t>barriers can be effectively addressed through the project’s gender strategy and safeguards, enabling</w:t>
      </w:r>
      <w:r>
        <w:t xml:space="preserve"> women</w:t>
      </w:r>
      <w:r w:rsidR="00D861C8">
        <w:t xml:space="preserve"> to</w:t>
      </w:r>
      <w:r>
        <w:t xml:space="preserve"> </w:t>
      </w:r>
      <w:r w:rsidR="45F8AFE6">
        <w:t xml:space="preserve">actively </w:t>
      </w:r>
      <w:r>
        <w:t>participa</w:t>
      </w:r>
      <w:r w:rsidR="1A656FE0">
        <w:t>t</w:t>
      </w:r>
      <w:r w:rsidR="00D861C8">
        <w:t>e</w:t>
      </w:r>
      <w:r>
        <w:t xml:space="preserve"> in </w:t>
      </w:r>
      <w:r w:rsidR="00D73B01">
        <w:t>project interventions (e.g.</w:t>
      </w:r>
      <w:r>
        <w:t xml:space="preserve"> sustainable governance of natural resources, SLM, SFM and green value chains</w:t>
      </w:r>
      <w:r w:rsidR="00D73B01">
        <w:t>)</w:t>
      </w:r>
      <w:r w:rsidR="00D861C8">
        <w:t>.</w:t>
      </w:r>
      <w:r>
        <w:t xml:space="preserve"> </w:t>
      </w:r>
      <w:r w:rsidR="10830AD2" w:rsidRPr="3B8109EE">
        <w:rPr>
          <w:szCs w:val="21"/>
        </w:rPr>
        <w:t>It is crucial that women are involved in the project not only for the sake of gender equity but also for ensuring project overall feasibility and future sustainability.</w:t>
      </w:r>
    </w:p>
    <w:p w14:paraId="5A283C40" w14:textId="0EE04126" w:rsidR="0003021C" w:rsidRPr="00813A3C" w:rsidRDefault="00D861C8" w:rsidP="001667C6">
      <w:pPr>
        <w:pStyle w:val="ParagraphOED"/>
        <w:numPr>
          <w:ilvl w:val="1"/>
          <w:numId w:val="44"/>
        </w:numPr>
        <w:spacing w:after="80"/>
        <w:ind w:left="709" w:hanging="425"/>
      </w:pPr>
      <w:r>
        <w:t xml:space="preserve">Land users </w:t>
      </w:r>
      <w:r w:rsidR="0003021C">
        <w:t xml:space="preserve">in rural </w:t>
      </w:r>
      <w:r>
        <w:t>parts of</w:t>
      </w:r>
      <w:r w:rsidR="0003021C">
        <w:t xml:space="preserve"> Angola</w:t>
      </w:r>
      <w:r>
        <w:t xml:space="preserve"> </w:t>
      </w:r>
      <w:r w:rsidR="006E3B58">
        <w:t xml:space="preserve">able to strengthen their land tenure rights have more incentive to </w:t>
      </w:r>
      <w:r>
        <w:t>improv</w:t>
      </w:r>
      <w:r w:rsidR="001E6A77">
        <w:t>e</w:t>
      </w:r>
      <w:r>
        <w:t xml:space="preserve"> </w:t>
      </w:r>
      <w:r w:rsidR="001E6A77">
        <w:t xml:space="preserve">their </w:t>
      </w:r>
      <w:r>
        <w:t>land productivity</w:t>
      </w:r>
      <w:r w:rsidR="001E6A77">
        <w:t>.</w:t>
      </w:r>
      <w:r w:rsidR="0003021C">
        <w:t xml:space="preserve"> </w:t>
      </w:r>
    </w:p>
    <w:p w14:paraId="549C45A1" w14:textId="76E94232" w:rsidR="0003021C" w:rsidRPr="00813A3C" w:rsidRDefault="0003021C" w:rsidP="001667C6">
      <w:pPr>
        <w:pStyle w:val="ParagraphOED"/>
        <w:numPr>
          <w:ilvl w:val="1"/>
          <w:numId w:val="44"/>
        </w:numPr>
        <w:spacing w:after="80"/>
        <w:ind w:left="709" w:hanging="425"/>
      </w:pPr>
      <w:r>
        <w:t xml:space="preserve">Future Covid-19 impacts </w:t>
      </w:r>
      <w:r w:rsidR="002305DA">
        <w:t>will</w:t>
      </w:r>
      <w:r>
        <w:t xml:space="preserve"> not irreversibly affect the project’s institutional</w:t>
      </w:r>
      <w:r w:rsidR="002305DA">
        <w:t xml:space="preserve"> and</w:t>
      </w:r>
      <w:r>
        <w:t xml:space="preserve"> financial support, </w:t>
      </w:r>
      <w:r w:rsidR="006E3B58">
        <w:t xml:space="preserve">as well as projected </w:t>
      </w:r>
      <w:r>
        <w:t>partnerships and interactions</w:t>
      </w:r>
      <w:r w:rsidR="002305DA">
        <w:t xml:space="preserve"> with other stakeholders.</w:t>
      </w:r>
    </w:p>
    <w:p w14:paraId="5D825632" w14:textId="12599165" w:rsidR="00F15E9B" w:rsidRPr="00813A3C" w:rsidRDefault="00F15E9B" w:rsidP="00194716">
      <w:pPr>
        <w:pStyle w:val="ParagraphOED"/>
        <w:numPr>
          <w:ilvl w:val="0"/>
          <w:numId w:val="0"/>
        </w:numPr>
        <w:spacing w:before="160" w:after="160"/>
        <w:rPr>
          <w:b/>
          <w:bCs/>
          <w:szCs w:val="21"/>
        </w:rPr>
      </w:pPr>
      <w:r w:rsidRPr="00813A3C">
        <w:rPr>
          <w:b/>
          <w:bCs/>
          <w:szCs w:val="21"/>
        </w:rPr>
        <w:t>Key Assumptions:</w:t>
      </w:r>
    </w:p>
    <w:p w14:paraId="356D7972" w14:textId="60E55728" w:rsidR="009563B4" w:rsidRPr="00813A3C" w:rsidRDefault="4E96020E" w:rsidP="001667C6">
      <w:pPr>
        <w:pStyle w:val="ParagraphOED"/>
        <w:numPr>
          <w:ilvl w:val="0"/>
          <w:numId w:val="102"/>
        </w:numPr>
        <w:spacing w:after="80"/>
        <w:rPr>
          <w:color w:val="FF0000"/>
        </w:rPr>
      </w:pPr>
      <w:r>
        <w:t>Several a</w:t>
      </w:r>
      <w:r w:rsidR="00914C43">
        <w:t xml:space="preserve">ssumptions </w:t>
      </w:r>
      <w:r w:rsidR="5A5B8C86">
        <w:t xml:space="preserve">that apply over </w:t>
      </w:r>
      <w:r w:rsidR="00914C43">
        <w:t xml:space="preserve">to the project’s timeframe need to be met for the project to operate and deliver at the activity level. </w:t>
      </w:r>
      <w:r w:rsidR="0F30D6FD">
        <w:t xml:space="preserve">The most </w:t>
      </w:r>
      <w:r w:rsidR="00914C43">
        <w:t xml:space="preserve">important is </w:t>
      </w:r>
      <w:r w:rsidR="741EC99D">
        <w:t xml:space="preserve">the continuing </w:t>
      </w:r>
      <w:r w:rsidR="00914C43">
        <w:t xml:space="preserve">commitment of key partners and other stakeholders </w:t>
      </w:r>
      <w:r w:rsidR="00BD28C6">
        <w:t>to deliver</w:t>
      </w:r>
      <w:r w:rsidR="00914C43">
        <w:t xml:space="preserve"> the project’s objective of reducing land degradation and shifting towards LDN. This is especially important </w:t>
      </w:r>
      <w:r w:rsidR="00BB1521">
        <w:t>for</w:t>
      </w:r>
      <w:r w:rsidR="00914C43">
        <w:t xml:space="preserve"> interventions </w:t>
      </w:r>
      <w:r w:rsidR="00BD28C6">
        <w:t>requiring</w:t>
      </w:r>
      <w:r w:rsidR="00914C43">
        <w:t xml:space="preserve"> changes to policy and regulatory frameworks, and </w:t>
      </w:r>
      <w:r w:rsidR="00BB1521">
        <w:t xml:space="preserve">for </w:t>
      </w:r>
      <w:r w:rsidR="00914C43">
        <w:t xml:space="preserve">securing investments from co-financiers. Key assumptions are listed below and </w:t>
      </w:r>
      <w:r w:rsidR="00CF42A3">
        <w:t>depicted by ‘A’</w:t>
      </w:r>
      <w:r w:rsidR="00BE2575">
        <w:t xml:space="preserve"> in the ToC diagram.</w:t>
      </w:r>
      <w:r w:rsidR="00BB1521">
        <w:t xml:space="preserve"> Note that A.1-A.7 apply during the project’s life and A.8 post-project.</w:t>
      </w:r>
    </w:p>
    <w:p w14:paraId="6212A1B5" w14:textId="105CB218" w:rsidR="009563B4" w:rsidRPr="00813A3C" w:rsidRDefault="009563B4" w:rsidP="001667C6">
      <w:pPr>
        <w:pStyle w:val="ListParagraph"/>
        <w:numPr>
          <w:ilvl w:val="0"/>
          <w:numId w:val="45"/>
        </w:numPr>
        <w:tabs>
          <w:tab w:val="left" w:pos="708"/>
        </w:tabs>
        <w:spacing w:after="80"/>
        <w:ind w:left="709" w:hanging="425"/>
        <w:contextualSpacing w:val="0"/>
        <w:rPr>
          <w:rFonts w:asciiTheme="minorHAnsi" w:hAnsiTheme="minorHAnsi" w:cstheme="minorHAnsi"/>
          <w:color w:val="auto"/>
          <w:sz w:val="21"/>
          <w:szCs w:val="21"/>
        </w:rPr>
      </w:pPr>
      <w:r w:rsidRPr="00813A3C">
        <w:rPr>
          <w:rFonts w:asciiTheme="minorHAnsi" w:hAnsiTheme="minorHAnsi" w:cstheme="minorHAnsi"/>
          <w:color w:val="auto"/>
          <w:sz w:val="21"/>
          <w:szCs w:val="21"/>
        </w:rPr>
        <w:t xml:space="preserve">National and sub-national government agencies, community groups, civil society and </w:t>
      </w:r>
      <w:r w:rsidR="00BE2575" w:rsidRPr="00813A3C">
        <w:rPr>
          <w:rFonts w:asciiTheme="minorHAnsi" w:hAnsiTheme="minorHAnsi" w:cstheme="minorHAnsi"/>
          <w:color w:val="auto"/>
          <w:sz w:val="21"/>
          <w:szCs w:val="21"/>
        </w:rPr>
        <w:t xml:space="preserve">the </w:t>
      </w:r>
      <w:r w:rsidRPr="00813A3C">
        <w:rPr>
          <w:rFonts w:asciiTheme="minorHAnsi" w:hAnsiTheme="minorHAnsi" w:cstheme="minorHAnsi"/>
          <w:color w:val="auto"/>
          <w:sz w:val="21"/>
          <w:szCs w:val="21"/>
        </w:rPr>
        <w:t>private sector are willing to participat</w:t>
      </w:r>
      <w:r w:rsidR="00BE2575" w:rsidRPr="00813A3C">
        <w:rPr>
          <w:rFonts w:asciiTheme="minorHAnsi" w:hAnsiTheme="minorHAnsi" w:cstheme="minorHAnsi"/>
          <w:color w:val="auto"/>
          <w:sz w:val="21"/>
          <w:szCs w:val="21"/>
        </w:rPr>
        <w:t>e in</w:t>
      </w:r>
      <w:r w:rsidRPr="00813A3C">
        <w:rPr>
          <w:rFonts w:asciiTheme="minorHAnsi" w:hAnsiTheme="minorHAnsi" w:cstheme="minorHAnsi"/>
          <w:color w:val="auto"/>
          <w:sz w:val="21"/>
          <w:szCs w:val="21"/>
        </w:rPr>
        <w:t xml:space="preserve"> cross-sectoral governance for LDN</w:t>
      </w:r>
      <w:r w:rsidR="00BE2575" w:rsidRPr="00813A3C">
        <w:rPr>
          <w:rFonts w:asciiTheme="minorHAnsi" w:hAnsiTheme="minorHAnsi" w:cstheme="minorHAnsi"/>
          <w:color w:val="auto"/>
          <w:sz w:val="21"/>
          <w:szCs w:val="21"/>
        </w:rPr>
        <w:t>.</w:t>
      </w:r>
      <w:r w:rsidRPr="00813A3C">
        <w:rPr>
          <w:rFonts w:asciiTheme="minorHAnsi" w:hAnsiTheme="minorHAnsi" w:cstheme="minorHAnsi"/>
          <w:color w:val="auto"/>
          <w:sz w:val="21"/>
          <w:szCs w:val="21"/>
        </w:rPr>
        <w:t xml:space="preserve"> </w:t>
      </w:r>
    </w:p>
    <w:p w14:paraId="7FD2965C" w14:textId="7EC513CE" w:rsidR="009563B4" w:rsidRPr="00813A3C" w:rsidRDefault="009563B4" w:rsidP="001667C6">
      <w:pPr>
        <w:pStyle w:val="ListParagraph"/>
        <w:numPr>
          <w:ilvl w:val="0"/>
          <w:numId w:val="45"/>
        </w:numPr>
        <w:tabs>
          <w:tab w:val="left" w:pos="708"/>
        </w:tabs>
        <w:spacing w:after="80"/>
        <w:ind w:left="709" w:hanging="425"/>
        <w:contextualSpacing w:val="0"/>
        <w:rPr>
          <w:rFonts w:asciiTheme="minorHAnsi" w:hAnsiTheme="minorHAnsi" w:cstheme="minorHAnsi"/>
          <w:color w:val="auto"/>
          <w:sz w:val="21"/>
          <w:szCs w:val="21"/>
        </w:rPr>
      </w:pPr>
      <w:r w:rsidRPr="00813A3C">
        <w:rPr>
          <w:rFonts w:asciiTheme="minorHAnsi" w:hAnsiTheme="minorHAnsi" w:cstheme="minorHAnsi"/>
          <w:color w:val="auto"/>
          <w:sz w:val="21"/>
          <w:szCs w:val="21"/>
        </w:rPr>
        <w:t>There is political will</w:t>
      </w:r>
      <w:r w:rsidR="00054D9B" w:rsidRPr="00813A3C">
        <w:rPr>
          <w:rFonts w:asciiTheme="minorHAnsi" w:hAnsiTheme="minorHAnsi" w:cstheme="minorHAnsi"/>
          <w:color w:val="auto"/>
          <w:sz w:val="21"/>
          <w:szCs w:val="21"/>
        </w:rPr>
        <w:t xml:space="preserve"> across government</w:t>
      </w:r>
      <w:r w:rsidRPr="00813A3C">
        <w:rPr>
          <w:rFonts w:asciiTheme="minorHAnsi" w:hAnsiTheme="minorHAnsi" w:cstheme="minorHAnsi"/>
          <w:color w:val="auto"/>
          <w:sz w:val="21"/>
          <w:szCs w:val="21"/>
        </w:rPr>
        <w:t xml:space="preserve"> to address </w:t>
      </w:r>
      <w:r w:rsidR="00054D9B" w:rsidRPr="00813A3C">
        <w:rPr>
          <w:rFonts w:asciiTheme="minorHAnsi" w:hAnsiTheme="minorHAnsi" w:cstheme="minorHAnsi"/>
          <w:color w:val="auto"/>
          <w:sz w:val="21"/>
          <w:szCs w:val="21"/>
        </w:rPr>
        <w:t xml:space="preserve">Angola’s </w:t>
      </w:r>
      <w:r w:rsidRPr="00813A3C">
        <w:rPr>
          <w:rFonts w:asciiTheme="minorHAnsi" w:hAnsiTheme="minorHAnsi" w:cstheme="minorHAnsi"/>
          <w:color w:val="auto"/>
          <w:sz w:val="21"/>
          <w:szCs w:val="21"/>
        </w:rPr>
        <w:t>land tenure issues</w:t>
      </w:r>
      <w:r w:rsidR="00054D9B" w:rsidRPr="00813A3C">
        <w:rPr>
          <w:rFonts w:asciiTheme="minorHAnsi" w:hAnsiTheme="minorHAnsi" w:cstheme="minorHAnsi"/>
          <w:color w:val="auto"/>
          <w:sz w:val="21"/>
          <w:szCs w:val="21"/>
        </w:rPr>
        <w:t>,</w:t>
      </w:r>
      <w:r w:rsidRPr="00813A3C">
        <w:rPr>
          <w:rFonts w:asciiTheme="minorHAnsi" w:hAnsiTheme="minorHAnsi" w:cstheme="minorHAnsi"/>
          <w:color w:val="auto"/>
          <w:sz w:val="21"/>
          <w:szCs w:val="21"/>
        </w:rPr>
        <w:t xml:space="preserve"> </w:t>
      </w:r>
      <w:r w:rsidR="00054D9B" w:rsidRPr="00813A3C">
        <w:rPr>
          <w:rFonts w:asciiTheme="minorHAnsi" w:hAnsiTheme="minorHAnsi" w:cstheme="minorHAnsi"/>
          <w:color w:val="auto"/>
          <w:sz w:val="21"/>
          <w:szCs w:val="21"/>
        </w:rPr>
        <w:t>in line with its</w:t>
      </w:r>
      <w:r w:rsidRPr="00813A3C">
        <w:rPr>
          <w:rFonts w:asciiTheme="minorHAnsi" w:hAnsiTheme="minorHAnsi" w:cstheme="minorHAnsi"/>
          <w:color w:val="auto"/>
          <w:sz w:val="21"/>
          <w:szCs w:val="21"/>
        </w:rPr>
        <w:t xml:space="preserve"> policy to promote more responsible land care across landscapes, by focusing on user </w:t>
      </w:r>
      <w:r w:rsidR="00054D9B" w:rsidRPr="00813A3C">
        <w:rPr>
          <w:rFonts w:asciiTheme="minorHAnsi" w:hAnsiTheme="minorHAnsi" w:cstheme="minorHAnsi"/>
          <w:color w:val="auto"/>
          <w:sz w:val="21"/>
          <w:szCs w:val="21"/>
        </w:rPr>
        <w:t xml:space="preserve">and access </w:t>
      </w:r>
      <w:r w:rsidRPr="00813A3C">
        <w:rPr>
          <w:rFonts w:asciiTheme="minorHAnsi" w:hAnsiTheme="minorHAnsi" w:cstheme="minorHAnsi"/>
          <w:color w:val="auto"/>
          <w:sz w:val="21"/>
          <w:szCs w:val="21"/>
        </w:rPr>
        <w:t xml:space="preserve">rights, security </w:t>
      </w:r>
      <w:r w:rsidR="00054D9B" w:rsidRPr="00813A3C">
        <w:rPr>
          <w:rFonts w:asciiTheme="minorHAnsi" w:hAnsiTheme="minorHAnsi" w:cstheme="minorHAnsi"/>
          <w:color w:val="auto"/>
          <w:sz w:val="21"/>
          <w:szCs w:val="21"/>
        </w:rPr>
        <w:t xml:space="preserve">of tenure </w:t>
      </w:r>
      <w:r w:rsidRPr="00813A3C">
        <w:rPr>
          <w:rFonts w:asciiTheme="minorHAnsi" w:hAnsiTheme="minorHAnsi" w:cstheme="minorHAnsi"/>
          <w:color w:val="auto"/>
          <w:sz w:val="21"/>
          <w:szCs w:val="21"/>
        </w:rPr>
        <w:t>and gender safeguards</w:t>
      </w:r>
      <w:r w:rsidR="00054D9B" w:rsidRPr="00813A3C">
        <w:rPr>
          <w:rFonts w:asciiTheme="minorHAnsi" w:hAnsiTheme="minorHAnsi" w:cstheme="minorHAnsi"/>
          <w:color w:val="auto"/>
          <w:sz w:val="21"/>
          <w:szCs w:val="21"/>
        </w:rPr>
        <w:t>.</w:t>
      </w:r>
    </w:p>
    <w:p w14:paraId="4CDF400E" w14:textId="0249E179" w:rsidR="009563B4" w:rsidRPr="00813A3C" w:rsidRDefault="009563B4" w:rsidP="001667C6">
      <w:pPr>
        <w:pStyle w:val="ListParagraph"/>
        <w:numPr>
          <w:ilvl w:val="0"/>
          <w:numId w:val="45"/>
        </w:numPr>
        <w:tabs>
          <w:tab w:val="left" w:pos="708"/>
        </w:tabs>
        <w:spacing w:after="80"/>
        <w:ind w:left="709" w:hanging="425"/>
        <w:contextualSpacing w:val="0"/>
        <w:rPr>
          <w:rFonts w:asciiTheme="minorHAnsi" w:hAnsiTheme="minorHAnsi" w:cstheme="minorBidi"/>
          <w:sz w:val="21"/>
          <w:szCs w:val="21"/>
        </w:rPr>
      </w:pPr>
      <w:r w:rsidRPr="3B8109EE">
        <w:rPr>
          <w:rFonts w:asciiTheme="minorHAnsi" w:hAnsiTheme="minorHAnsi" w:cstheme="minorBidi"/>
          <w:sz w:val="21"/>
          <w:szCs w:val="21"/>
        </w:rPr>
        <w:t xml:space="preserve">Smallholder farmers, individually and collectively, can be motivated to </w:t>
      </w:r>
      <w:r w:rsidR="005154CF" w:rsidRPr="3B8109EE">
        <w:rPr>
          <w:rFonts w:asciiTheme="minorHAnsi" w:hAnsiTheme="minorHAnsi" w:cstheme="minorBidi"/>
          <w:sz w:val="21"/>
          <w:szCs w:val="21"/>
        </w:rPr>
        <w:t xml:space="preserve">develop their skills and </w:t>
      </w:r>
      <w:r w:rsidRPr="3B8109EE">
        <w:rPr>
          <w:rFonts w:asciiTheme="minorHAnsi" w:hAnsiTheme="minorHAnsi" w:cstheme="minorBidi"/>
          <w:sz w:val="21"/>
          <w:szCs w:val="21"/>
        </w:rPr>
        <w:t xml:space="preserve">adopt SLM/SFM practices </w:t>
      </w:r>
      <w:r w:rsidR="005154CF" w:rsidRPr="3B8109EE">
        <w:rPr>
          <w:rFonts w:asciiTheme="minorHAnsi" w:hAnsiTheme="minorHAnsi" w:cstheme="minorBidi"/>
          <w:sz w:val="21"/>
          <w:szCs w:val="21"/>
        </w:rPr>
        <w:t>that generate</w:t>
      </w:r>
      <w:r w:rsidRPr="3B8109EE">
        <w:rPr>
          <w:rFonts w:asciiTheme="minorHAnsi" w:hAnsiTheme="minorHAnsi" w:cstheme="minorBidi"/>
          <w:sz w:val="21"/>
          <w:szCs w:val="21"/>
        </w:rPr>
        <w:t xml:space="preserve"> tangible benefits</w:t>
      </w:r>
      <w:r w:rsidR="005154CF" w:rsidRPr="3B8109EE">
        <w:rPr>
          <w:rFonts w:asciiTheme="minorHAnsi" w:hAnsiTheme="minorHAnsi" w:cstheme="minorBidi"/>
          <w:sz w:val="21"/>
          <w:szCs w:val="21"/>
        </w:rPr>
        <w:t xml:space="preserve">, while accepting potential </w:t>
      </w:r>
      <w:r w:rsidRPr="3B8109EE">
        <w:rPr>
          <w:rFonts w:asciiTheme="minorHAnsi" w:hAnsiTheme="minorHAnsi" w:cstheme="minorBidi"/>
          <w:sz w:val="21"/>
          <w:szCs w:val="21"/>
        </w:rPr>
        <w:t>risk</w:t>
      </w:r>
      <w:r w:rsidR="005154CF" w:rsidRPr="3B8109EE">
        <w:rPr>
          <w:rFonts w:asciiTheme="minorHAnsi" w:hAnsiTheme="minorHAnsi" w:cstheme="minorBidi"/>
          <w:sz w:val="21"/>
          <w:szCs w:val="21"/>
        </w:rPr>
        <w:t>s</w:t>
      </w:r>
      <w:r w:rsidRPr="3B8109EE">
        <w:rPr>
          <w:rFonts w:asciiTheme="minorHAnsi" w:hAnsiTheme="minorHAnsi" w:cstheme="minorBidi"/>
          <w:sz w:val="21"/>
          <w:szCs w:val="21"/>
        </w:rPr>
        <w:t xml:space="preserve"> </w:t>
      </w:r>
      <w:r w:rsidR="005154CF" w:rsidRPr="3B8109EE">
        <w:rPr>
          <w:rFonts w:asciiTheme="minorHAnsi" w:hAnsiTheme="minorHAnsi" w:cstheme="minorBidi"/>
          <w:sz w:val="21"/>
          <w:szCs w:val="21"/>
        </w:rPr>
        <w:t>from</w:t>
      </w:r>
      <w:r w:rsidRPr="3B8109EE">
        <w:rPr>
          <w:rFonts w:asciiTheme="minorHAnsi" w:hAnsiTheme="minorHAnsi" w:cstheme="minorBidi"/>
          <w:sz w:val="21"/>
          <w:szCs w:val="21"/>
        </w:rPr>
        <w:t xml:space="preserve"> adopting </w:t>
      </w:r>
      <w:r w:rsidR="005154CF" w:rsidRPr="3B8109EE">
        <w:rPr>
          <w:rFonts w:asciiTheme="minorHAnsi" w:hAnsiTheme="minorHAnsi" w:cstheme="minorBidi"/>
          <w:sz w:val="21"/>
          <w:szCs w:val="21"/>
        </w:rPr>
        <w:t>new</w:t>
      </w:r>
      <w:r w:rsidRPr="3B8109EE">
        <w:rPr>
          <w:rFonts w:asciiTheme="minorHAnsi" w:hAnsiTheme="minorHAnsi" w:cstheme="minorBidi"/>
          <w:sz w:val="21"/>
          <w:szCs w:val="21"/>
        </w:rPr>
        <w:t xml:space="preserve"> practices</w:t>
      </w:r>
      <w:r w:rsidR="005154CF" w:rsidRPr="3B8109EE">
        <w:rPr>
          <w:rFonts w:asciiTheme="minorHAnsi" w:hAnsiTheme="minorHAnsi" w:cstheme="minorBidi"/>
          <w:sz w:val="21"/>
          <w:szCs w:val="21"/>
        </w:rPr>
        <w:t xml:space="preserve"> and products (e.g.</w:t>
      </w:r>
      <w:r w:rsidRPr="3B8109EE">
        <w:rPr>
          <w:rFonts w:asciiTheme="minorHAnsi" w:hAnsiTheme="minorHAnsi" w:cstheme="minorBidi"/>
          <w:sz w:val="21"/>
          <w:szCs w:val="21"/>
        </w:rPr>
        <w:t xml:space="preserve"> seeds/cultivars</w:t>
      </w:r>
      <w:r w:rsidR="005154CF" w:rsidRPr="3B8109EE">
        <w:rPr>
          <w:rFonts w:asciiTheme="minorHAnsi" w:hAnsiTheme="minorHAnsi" w:cstheme="minorBidi"/>
          <w:sz w:val="21"/>
          <w:szCs w:val="21"/>
        </w:rPr>
        <w:t>)</w:t>
      </w:r>
      <w:r w:rsidRPr="3B8109EE">
        <w:rPr>
          <w:rFonts w:asciiTheme="minorHAnsi" w:hAnsiTheme="minorHAnsi" w:cstheme="minorBidi"/>
          <w:sz w:val="21"/>
          <w:szCs w:val="21"/>
        </w:rPr>
        <w:t>.</w:t>
      </w:r>
    </w:p>
    <w:p w14:paraId="2BA94403" w14:textId="40AE1CD4" w:rsidR="009563B4" w:rsidRPr="00813A3C" w:rsidRDefault="009563B4" w:rsidP="001667C6">
      <w:pPr>
        <w:pStyle w:val="ListParagraph"/>
        <w:numPr>
          <w:ilvl w:val="0"/>
          <w:numId w:val="45"/>
        </w:numPr>
        <w:tabs>
          <w:tab w:val="left" w:pos="708"/>
        </w:tabs>
        <w:spacing w:after="80"/>
        <w:ind w:left="709" w:hanging="425"/>
        <w:contextualSpacing w:val="0"/>
        <w:rPr>
          <w:rFonts w:asciiTheme="minorHAnsi" w:hAnsiTheme="minorHAnsi" w:cstheme="minorBidi"/>
          <w:sz w:val="21"/>
          <w:szCs w:val="21"/>
        </w:rPr>
      </w:pPr>
      <w:r w:rsidRPr="3B8109EE">
        <w:rPr>
          <w:rFonts w:asciiTheme="minorHAnsi" w:hAnsiTheme="minorHAnsi" w:cstheme="minorBidi"/>
          <w:sz w:val="21"/>
          <w:szCs w:val="21"/>
        </w:rPr>
        <w:lastRenderedPageBreak/>
        <w:t>Market demand for dryland products from southern Angola, coupled with viable ways for local producers to commercialize their surplus production, provide the basis for develop</w:t>
      </w:r>
      <w:r w:rsidR="00597120" w:rsidRPr="3B8109EE">
        <w:rPr>
          <w:rFonts w:asciiTheme="minorHAnsi" w:hAnsiTheme="minorHAnsi" w:cstheme="minorBidi"/>
          <w:sz w:val="21"/>
          <w:szCs w:val="21"/>
        </w:rPr>
        <w:t>ing</w:t>
      </w:r>
      <w:r w:rsidRPr="3B8109EE">
        <w:rPr>
          <w:rFonts w:asciiTheme="minorHAnsi" w:hAnsiTheme="minorHAnsi" w:cstheme="minorBidi"/>
          <w:sz w:val="21"/>
          <w:szCs w:val="21"/>
        </w:rPr>
        <w:t xml:space="preserve"> green value chains</w:t>
      </w:r>
      <w:r w:rsidR="00597120" w:rsidRPr="3B8109EE">
        <w:rPr>
          <w:rFonts w:asciiTheme="minorHAnsi" w:hAnsiTheme="minorHAnsi" w:cstheme="minorBidi"/>
          <w:sz w:val="21"/>
          <w:szCs w:val="21"/>
        </w:rPr>
        <w:t xml:space="preserve"> (GVCs)</w:t>
      </w:r>
      <w:r w:rsidRPr="3B8109EE">
        <w:rPr>
          <w:rFonts w:asciiTheme="minorHAnsi" w:hAnsiTheme="minorHAnsi" w:cstheme="minorBidi"/>
          <w:sz w:val="21"/>
          <w:szCs w:val="21"/>
        </w:rPr>
        <w:t xml:space="preserve">, </w:t>
      </w:r>
      <w:r w:rsidR="0055786E" w:rsidRPr="3B8109EE">
        <w:rPr>
          <w:rFonts w:asciiTheme="minorHAnsi" w:hAnsiTheme="minorHAnsi" w:cstheme="minorBidi"/>
          <w:sz w:val="21"/>
          <w:szCs w:val="21"/>
        </w:rPr>
        <w:t xml:space="preserve">subject to </w:t>
      </w:r>
      <w:r w:rsidRPr="3B8109EE">
        <w:rPr>
          <w:rFonts w:asciiTheme="minorHAnsi" w:hAnsiTheme="minorHAnsi" w:cstheme="minorBidi"/>
          <w:sz w:val="21"/>
          <w:szCs w:val="21"/>
        </w:rPr>
        <w:t>appropriate inputs and improved organization</w:t>
      </w:r>
      <w:r w:rsidR="0055786E" w:rsidRPr="3B8109EE">
        <w:rPr>
          <w:rFonts w:asciiTheme="minorHAnsi" w:hAnsiTheme="minorHAnsi" w:cstheme="minorBidi"/>
          <w:sz w:val="21"/>
          <w:szCs w:val="21"/>
        </w:rPr>
        <w:t>al</w:t>
      </w:r>
      <w:r w:rsidRPr="3B8109EE">
        <w:rPr>
          <w:rFonts w:asciiTheme="minorHAnsi" w:hAnsiTheme="minorHAnsi" w:cstheme="minorBidi"/>
          <w:sz w:val="21"/>
          <w:szCs w:val="21"/>
        </w:rPr>
        <w:t xml:space="preserve"> </w:t>
      </w:r>
      <w:r w:rsidR="0055786E" w:rsidRPr="3B8109EE">
        <w:rPr>
          <w:rFonts w:asciiTheme="minorHAnsi" w:hAnsiTheme="minorHAnsi" w:cstheme="minorBidi"/>
          <w:sz w:val="21"/>
          <w:szCs w:val="21"/>
        </w:rPr>
        <w:t>support</w:t>
      </w:r>
      <w:r w:rsidRPr="3B8109EE">
        <w:rPr>
          <w:rFonts w:asciiTheme="minorHAnsi" w:hAnsiTheme="minorHAnsi" w:cstheme="minorBidi"/>
          <w:sz w:val="21"/>
          <w:szCs w:val="21"/>
        </w:rPr>
        <w:t xml:space="preserve">. </w:t>
      </w:r>
    </w:p>
    <w:p w14:paraId="17A2E249" w14:textId="7294BA4B" w:rsidR="009563B4" w:rsidRPr="00813A3C" w:rsidRDefault="2B9E1B50" w:rsidP="001667C6">
      <w:pPr>
        <w:pStyle w:val="ListParagraph"/>
        <w:numPr>
          <w:ilvl w:val="0"/>
          <w:numId w:val="45"/>
        </w:numPr>
        <w:tabs>
          <w:tab w:val="left" w:pos="708"/>
        </w:tabs>
        <w:spacing w:after="80"/>
        <w:ind w:left="709" w:hanging="425"/>
        <w:contextualSpacing w:val="0"/>
        <w:rPr>
          <w:rFonts w:asciiTheme="minorHAnsi" w:hAnsiTheme="minorHAnsi" w:cstheme="minorBidi"/>
          <w:sz w:val="21"/>
          <w:szCs w:val="21"/>
        </w:rPr>
      </w:pPr>
      <w:r w:rsidRPr="3B8109EE">
        <w:rPr>
          <w:rFonts w:asciiTheme="minorHAnsi" w:hAnsiTheme="minorHAnsi" w:cstheme="minorBidi"/>
          <w:sz w:val="21"/>
          <w:szCs w:val="21"/>
        </w:rPr>
        <w:t>The p</w:t>
      </w:r>
      <w:r w:rsidR="009563B4" w:rsidRPr="3B8109EE">
        <w:rPr>
          <w:rFonts w:asciiTheme="minorHAnsi" w:hAnsiTheme="minorHAnsi" w:cstheme="minorBidi"/>
          <w:sz w:val="21"/>
          <w:szCs w:val="21"/>
        </w:rPr>
        <w:t xml:space="preserve">rivate sector is willing to invest in SLM/SFM/LDN </w:t>
      </w:r>
      <w:r w:rsidR="0055786E" w:rsidRPr="3B8109EE">
        <w:rPr>
          <w:rFonts w:asciiTheme="minorHAnsi" w:hAnsiTheme="minorHAnsi" w:cstheme="minorBidi"/>
          <w:sz w:val="21"/>
          <w:szCs w:val="21"/>
        </w:rPr>
        <w:t xml:space="preserve">activities, encouraged by a </w:t>
      </w:r>
      <w:r w:rsidR="009563B4" w:rsidRPr="3B8109EE">
        <w:rPr>
          <w:rFonts w:asciiTheme="minorHAnsi" w:hAnsiTheme="minorHAnsi" w:cstheme="minorBidi"/>
          <w:sz w:val="21"/>
          <w:szCs w:val="21"/>
        </w:rPr>
        <w:t>support</w:t>
      </w:r>
      <w:r w:rsidR="0055786E" w:rsidRPr="3B8109EE">
        <w:rPr>
          <w:rFonts w:asciiTheme="minorHAnsi" w:hAnsiTheme="minorHAnsi" w:cstheme="minorBidi"/>
          <w:sz w:val="21"/>
          <w:szCs w:val="21"/>
        </w:rPr>
        <w:t>ive</w:t>
      </w:r>
      <w:r w:rsidR="009563B4" w:rsidRPr="3B8109EE">
        <w:rPr>
          <w:rFonts w:asciiTheme="minorHAnsi" w:hAnsiTheme="minorHAnsi" w:cstheme="minorBidi"/>
          <w:sz w:val="21"/>
          <w:szCs w:val="21"/>
        </w:rPr>
        <w:t xml:space="preserve"> regulatory and financial environment</w:t>
      </w:r>
      <w:r w:rsidR="0055786E" w:rsidRPr="3B8109EE">
        <w:rPr>
          <w:rFonts w:asciiTheme="minorHAnsi" w:hAnsiTheme="minorHAnsi" w:cstheme="minorBidi"/>
          <w:sz w:val="21"/>
          <w:szCs w:val="21"/>
        </w:rPr>
        <w:t>.</w:t>
      </w:r>
    </w:p>
    <w:p w14:paraId="5ECFD107" w14:textId="24C7DEA6" w:rsidR="009563B4" w:rsidRPr="00813A3C" w:rsidRDefault="009563B4" w:rsidP="001667C6">
      <w:pPr>
        <w:pStyle w:val="ListParagraph"/>
        <w:numPr>
          <w:ilvl w:val="0"/>
          <w:numId w:val="45"/>
        </w:numPr>
        <w:tabs>
          <w:tab w:val="left" w:pos="708"/>
        </w:tabs>
        <w:spacing w:after="80"/>
        <w:ind w:left="709" w:hanging="425"/>
        <w:contextualSpacing w:val="0"/>
        <w:rPr>
          <w:rFonts w:asciiTheme="minorHAnsi" w:hAnsiTheme="minorHAnsi" w:cstheme="minorHAnsi"/>
          <w:sz w:val="21"/>
          <w:szCs w:val="21"/>
        </w:rPr>
      </w:pPr>
      <w:r w:rsidRPr="00813A3C">
        <w:rPr>
          <w:rFonts w:asciiTheme="minorHAnsi" w:hAnsiTheme="minorHAnsi" w:cstheme="minorHAnsi"/>
          <w:sz w:val="21"/>
          <w:szCs w:val="21"/>
        </w:rPr>
        <w:t>There is sufficient</w:t>
      </w:r>
      <w:r w:rsidR="00451567" w:rsidRPr="00813A3C">
        <w:rPr>
          <w:rFonts w:asciiTheme="minorHAnsi" w:hAnsiTheme="minorHAnsi" w:cstheme="minorHAnsi"/>
          <w:sz w:val="21"/>
          <w:szCs w:val="21"/>
        </w:rPr>
        <w:t>,</w:t>
      </w:r>
      <w:r w:rsidRPr="00813A3C">
        <w:rPr>
          <w:rFonts w:asciiTheme="minorHAnsi" w:hAnsiTheme="minorHAnsi" w:cstheme="minorHAnsi"/>
          <w:sz w:val="21"/>
          <w:szCs w:val="21"/>
        </w:rPr>
        <w:t xml:space="preserve"> continu</w:t>
      </w:r>
      <w:r w:rsidR="00451567" w:rsidRPr="00813A3C">
        <w:rPr>
          <w:rFonts w:asciiTheme="minorHAnsi" w:hAnsiTheme="minorHAnsi" w:cstheme="minorHAnsi"/>
          <w:sz w:val="21"/>
          <w:szCs w:val="21"/>
        </w:rPr>
        <w:t>ing</w:t>
      </w:r>
      <w:r w:rsidRPr="00813A3C">
        <w:rPr>
          <w:rFonts w:asciiTheme="minorHAnsi" w:hAnsiTheme="minorHAnsi" w:cstheme="minorHAnsi"/>
          <w:sz w:val="21"/>
          <w:szCs w:val="21"/>
        </w:rPr>
        <w:t xml:space="preserve"> </w:t>
      </w:r>
      <w:r w:rsidR="00451567" w:rsidRPr="00813A3C">
        <w:rPr>
          <w:rFonts w:asciiTheme="minorHAnsi" w:hAnsiTheme="minorHAnsi" w:cstheme="minorHAnsi"/>
          <w:sz w:val="21"/>
          <w:szCs w:val="21"/>
        </w:rPr>
        <w:t>political support</w:t>
      </w:r>
      <w:r w:rsidRPr="00813A3C">
        <w:rPr>
          <w:rFonts w:asciiTheme="minorHAnsi" w:hAnsiTheme="minorHAnsi" w:cstheme="minorHAnsi"/>
          <w:sz w:val="21"/>
          <w:szCs w:val="21"/>
        </w:rPr>
        <w:t xml:space="preserve"> </w:t>
      </w:r>
      <w:r w:rsidR="00451567" w:rsidRPr="00813A3C">
        <w:rPr>
          <w:rFonts w:asciiTheme="minorHAnsi" w:hAnsiTheme="minorHAnsi" w:cstheme="minorHAnsi"/>
          <w:sz w:val="21"/>
          <w:szCs w:val="21"/>
        </w:rPr>
        <w:t xml:space="preserve">and resources </w:t>
      </w:r>
      <w:r w:rsidR="0055786E" w:rsidRPr="00813A3C">
        <w:rPr>
          <w:rFonts w:asciiTheme="minorHAnsi" w:hAnsiTheme="minorHAnsi" w:cstheme="minorHAnsi"/>
          <w:sz w:val="21"/>
          <w:szCs w:val="21"/>
        </w:rPr>
        <w:t>from</w:t>
      </w:r>
      <w:r w:rsidRPr="00813A3C">
        <w:rPr>
          <w:rFonts w:asciiTheme="minorHAnsi" w:hAnsiTheme="minorHAnsi" w:cstheme="minorHAnsi"/>
          <w:sz w:val="21"/>
          <w:szCs w:val="21"/>
        </w:rPr>
        <w:t xml:space="preserve"> national and local government to address gaps in capacity for integrated </w:t>
      </w:r>
      <w:r w:rsidR="001B248C">
        <w:rPr>
          <w:rFonts w:asciiTheme="minorHAnsi" w:hAnsiTheme="minorHAnsi" w:cstheme="minorHAnsi"/>
          <w:sz w:val="21"/>
          <w:szCs w:val="21"/>
        </w:rPr>
        <w:t>land-use plan</w:t>
      </w:r>
      <w:r w:rsidRPr="00813A3C">
        <w:rPr>
          <w:rFonts w:asciiTheme="minorHAnsi" w:hAnsiTheme="minorHAnsi" w:cstheme="minorHAnsi"/>
          <w:sz w:val="21"/>
          <w:szCs w:val="21"/>
        </w:rPr>
        <w:t xml:space="preserve">ning and </w:t>
      </w:r>
      <w:r w:rsidR="00451567" w:rsidRPr="00813A3C">
        <w:rPr>
          <w:rFonts w:asciiTheme="minorHAnsi" w:hAnsiTheme="minorHAnsi" w:cstheme="minorHAnsi"/>
          <w:sz w:val="21"/>
          <w:szCs w:val="21"/>
        </w:rPr>
        <w:t xml:space="preserve">management. </w:t>
      </w:r>
    </w:p>
    <w:p w14:paraId="62D55FEB" w14:textId="61B76F8D" w:rsidR="00374AF3" w:rsidRPr="00813A3C" w:rsidRDefault="00374AF3" w:rsidP="001667C6">
      <w:pPr>
        <w:pStyle w:val="ListParagraph"/>
        <w:numPr>
          <w:ilvl w:val="0"/>
          <w:numId w:val="45"/>
        </w:numPr>
        <w:tabs>
          <w:tab w:val="left" w:pos="708"/>
        </w:tabs>
        <w:spacing w:after="80"/>
        <w:ind w:left="709" w:hanging="425"/>
        <w:contextualSpacing w:val="0"/>
        <w:rPr>
          <w:sz w:val="21"/>
          <w:szCs w:val="21"/>
        </w:rPr>
      </w:pPr>
      <w:r w:rsidRPr="00813A3C">
        <w:rPr>
          <w:rFonts w:asciiTheme="minorHAnsi" w:hAnsiTheme="minorHAnsi" w:cstheme="minorHAnsi"/>
          <w:sz w:val="21"/>
          <w:szCs w:val="21"/>
        </w:rPr>
        <w:t>Countries continue to commit to regional collaboration, benefitting from both the enhanced LDN agenda across the Miombo-Mopane ecoregion and strengthened national capacity.</w:t>
      </w:r>
    </w:p>
    <w:p w14:paraId="39F9D190" w14:textId="35C84BE6" w:rsidR="00355CB6" w:rsidRPr="00813A3C" w:rsidRDefault="007E704B" w:rsidP="001667C6">
      <w:pPr>
        <w:pStyle w:val="ListParagraph"/>
        <w:numPr>
          <w:ilvl w:val="0"/>
          <w:numId w:val="45"/>
        </w:numPr>
        <w:tabs>
          <w:tab w:val="left" w:pos="708"/>
        </w:tabs>
        <w:spacing w:after="0"/>
        <w:ind w:left="709" w:hanging="425"/>
        <w:contextualSpacing w:val="0"/>
        <w:rPr>
          <w:sz w:val="21"/>
          <w:szCs w:val="21"/>
          <w:u w:val="single"/>
        </w:rPr>
      </w:pPr>
      <w:r w:rsidRPr="00813A3C">
        <w:rPr>
          <w:sz w:val="21"/>
          <w:szCs w:val="21"/>
        </w:rPr>
        <w:t>Future climate change impacts do not irreversibly affect the structure and function of ecosystem services in producti</w:t>
      </w:r>
      <w:r w:rsidR="00CA024F" w:rsidRPr="00813A3C">
        <w:rPr>
          <w:sz w:val="21"/>
          <w:szCs w:val="21"/>
        </w:rPr>
        <w:t>on</w:t>
      </w:r>
      <w:r w:rsidRPr="00813A3C">
        <w:rPr>
          <w:sz w:val="21"/>
          <w:szCs w:val="21"/>
        </w:rPr>
        <w:t xml:space="preserve"> landscapes.</w:t>
      </w:r>
    </w:p>
    <w:p w14:paraId="4C540D51" w14:textId="21E42D9E" w:rsidR="009563B4" w:rsidRPr="00194716" w:rsidRDefault="009563B4" w:rsidP="00194716">
      <w:pPr>
        <w:spacing w:before="160" w:after="160"/>
        <w:rPr>
          <w:rFonts w:ascii="Calibri" w:hAnsi="Calibri" w:cs="Calibri"/>
          <w:b/>
          <w:bCs/>
          <w:sz w:val="21"/>
          <w:szCs w:val="21"/>
        </w:rPr>
      </w:pPr>
      <w:r w:rsidRPr="00194716">
        <w:rPr>
          <w:rFonts w:ascii="Calibri" w:hAnsi="Calibri" w:cs="Calibri"/>
          <w:b/>
          <w:bCs/>
          <w:sz w:val="21"/>
          <w:szCs w:val="21"/>
        </w:rPr>
        <w:t>Impact drivers:</w:t>
      </w:r>
    </w:p>
    <w:p w14:paraId="480399CC" w14:textId="73A1C772" w:rsidR="00355CB6" w:rsidRPr="00813A3C" w:rsidRDefault="00355CB6" w:rsidP="001667C6">
      <w:pPr>
        <w:pStyle w:val="ParagraphOED"/>
        <w:numPr>
          <w:ilvl w:val="0"/>
          <w:numId w:val="102"/>
        </w:numPr>
        <w:spacing w:after="80"/>
      </w:pPr>
      <w:r w:rsidRPr="619CA689">
        <w:t>There are also a number of impact drivers</w:t>
      </w:r>
      <w:r w:rsidRPr="619CA689">
        <w:rPr>
          <w:rStyle w:val="FootnoteReference"/>
        </w:rPr>
        <w:footnoteReference w:id="59"/>
      </w:r>
      <w:r w:rsidRPr="619CA689">
        <w:t xml:space="preserve"> that may </w:t>
      </w:r>
      <w:r w:rsidR="00821642" w:rsidRPr="619CA689">
        <w:t xml:space="preserve">increase the likelihood of </w:t>
      </w:r>
      <w:r w:rsidRPr="619CA689">
        <w:t xml:space="preserve">progress along the causal chain, </w:t>
      </w:r>
      <w:r w:rsidR="00821642" w:rsidRPr="619CA689">
        <w:t xml:space="preserve">subject to the </w:t>
      </w:r>
      <w:r w:rsidRPr="619CA689">
        <w:t xml:space="preserve">project </w:t>
      </w:r>
      <w:r w:rsidR="00821642" w:rsidRPr="619CA689">
        <w:t>and/</w:t>
      </w:r>
      <w:r w:rsidRPr="619CA689">
        <w:t>or its partners exert</w:t>
      </w:r>
      <w:r w:rsidR="006669BC" w:rsidRPr="619CA689">
        <w:t>ing</w:t>
      </w:r>
      <w:r w:rsidRPr="619CA689">
        <w:t xml:space="preserve"> some influence</w:t>
      </w:r>
      <w:r w:rsidR="006669BC" w:rsidRPr="619CA689">
        <w:t xml:space="preserve">. These are listed below and </w:t>
      </w:r>
      <w:r w:rsidR="00821642" w:rsidRPr="619CA689">
        <w:t>depicted by a ‘D’ in the ToC diagram</w:t>
      </w:r>
      <w:r w:rsidR="006669BC" w:rsidRPr="00813A3C">
        <w:rPr>
          <w:szCs w:val="21"/>
        </w:rPr>
        <w:t>.</w:t>
      </w:r>
      <w:r w:rsidR="00B40946" w:rsidRPr="619CA689">
        <w:t xml:space="preserve"> </w:t>
      </w:r>
    </w:p>
    <w:p w14:paraId="4F8FBD15" w14:textId="5DF31D7E" w:rsidR="009563B4" w:rsidRPr="00813A3C" w:rsidRDefault="009563B4" w:rsidP="001667C6">
      <w:pPr>
        <w:pStyle w:val="ListParagraph"/>
        <w:numPr>
          <w:ilvl w:val="0"/>
          <w:numId w:val="27"/>
        </w:numPr>
        <w:tabs>
          <w:tab w:val="left" w:pos="708"/>
        </w:tabs>
        <w:spacing w:after="80"/>
        <w:ind w:left="709" w:hanging="425"/>
        <w:contextualSpacing w:val="0"/>
        <w:rPr>
          <w:rFonts w:asciiTheme="minorHAnsi" w:hAnsiTheme="minorHAnsi" w:cstheme="minorHAnsi"/>
          <w:sz w:val="21"/>
          <w:szCs w:val="21"/>
        </w:rPr>
      </w:pPr>
      <w:r w:rsidRPr="00813A3C">
        <w:rPr>
          <w:rFonts w:asciiTheme="minorHAnsi" w:hAnsiTheme="minorHAnsi" w:cstheme="minorHAnsi"/>
          <w:sz w:val="21"/>
          <w:szCs w:val="21"/>
        </w:rPr>
        <w:t xml:space="preserve">Increased awareness among policy-makers, land users, civil society and </w:t>
      </w:r>
      <w:r w:rsidR="006669BC" w:rsidRPr="00813A3C">
        <w:rPr>
          <w:rFonts w:asciiTheme="minorHAnsi" w:hAnsiTheme="minorHAnsi" w:cstheme="minorHAnsi"/>
          <w:sz w:val="21"/>
          <w:szCs w:val="21"/>
        </w:rPr>
        <w:t xml:space="preserve">the </w:t>
      </w:r>
      <w:r w:rsidRPr="00813A3C">
        <w:rPr>
          <w:rFonts w:asciiTheme="minorHAnsi" w:hAnsiTheme="minorHAnsi" w:cstheme="minorHAnsi"/>
          <w:sz w:val="21"/>
          <w:szCs w:val="21"/>
        </w:rPr>
        <w:t xml:space="preserve">private sector </w:t>
      </w:r>
      <w:r w:rsidR="006669BC" w:rsidRPr="00813A3C">
        <w:rPr>
          <w:rFonts w:asciiTheme="minorHAnsi" w:hAnsiTheme="minorHAnsi" w:cstheme="minorHAnsi"/>
          <w:sz w:val="21"/>
          <w:szCs w:val="21"/>
        </w:rPr>
        <w:t xml:space="preserve">of the need to adopt resilient, adaptive or mitigation measures to counter </w:t>
      </w:r>
      <w:r w:rsidRPr="00813A3C">
        <w:rPr>
          <w:rFonts w:asciiTheme="minorHAnsi" w:hAnsiTheme="minorHAnsi" w:cstheme="minorHAnsi"/>
          <w:sz w:val="21"/>
          <w:szCs w:val="21"/>
        </w:rPr>
        <w:t xml:space="preserve">climate change </w:t>
      </w:r>
      <w:r w:rsidR="006669BC" w:rsidRPr="00813A3C">
        <w:rPr>
          <w:rFonts w:asciiTheme="minorHAnsi" w:hAnsiTheme="minorHAnsi" w:cstheme="minorHAnsi"/>
          <w:sz w:val="21"/>
          <w:szCs w:val="21"/>
        </w:rPr>
        <w:t>impacts.</w:t>
      </w:r>
    </w:p>
    <w:p w14:paraId="5855B49B" w14:textId="52BF631C" w:rsidR="009563B4" w:rsidRPr="00813A3C" w:rsidRDefault="009563B4" w:rsidP="001667C6">
      <w:pPr>
        <w:pStyle w:val="ListParagraph"/>
        <w:numPr>
          <w:ilvl w:val="0"/>
          <w:numId w:val="27"/>
        </w:numPr>
        <w:tabs>
          <w:tab w:val="left" w:pos="708"/>
        </w:tabs>
        <w:spacing w:after="80"/>
        <w:ind w:left="709" w:hanging="425"/>
        <w:contextualSpacing w:val="0"/>
        <w:rPr>
          <w:rFonts w:asciiTheme="minorHAnsi" w:hAnsiTheme="minorHAnsi" w:cstheme="minorHAnsi"/>
          <w:sz w:val="21"/>
          <w:szCs w:val="21"/>
        </w:rPr>
      </w:pPr>
      <w:r w:rsidRPr="00813A3C">
        <w:rPr>
          <w:rFonts w:asciiTheme="minorHAnsi" w:hAnsiTheme="minorHAnsi" w:cstheme="minorHAnsi"/>
          <w:sz w:val="21"/>
          <w:szCs w:val="21"/>
        </w:rPr>
        <w:t>Increasing global demand and diversified markets for SLM/SFM products</w:t>
      </w:r>
      <w:r w:rsidR="006669BC" w:rsidRPr="00813A3C">
        <w:rPr>
          <w:rFonts w:asciiTheme="minorHAnsi" w:hAnsiTheme="minorHAnsi" w:cstheme="minorHAnsi"/>
          <w:sz w:val="21"/>
          <w:szCs w:val="21"/>
        </w:rPr>
        <w:t>.</w:t>
      </w:r>
    </w:p>
    <w:p w14:paraId="6AFE8050" w14:textId="1349F813" w:rsidR="009563B4" w:rsidRPr="00813A3C" w:rsidRDefault="009563B4" w:rsidP="001667C6">
      <w:pPr>
        <w:pStyle w:val="ListParagraph"/>
        <w:numPr>
          <w:ilvl w:val="0"/>
          <w:numId w:val="27"/>
        </w:numPr>
        <w:tabs>
          <w:tab w:val="left" w:pos="708"/>
        </w:tabs>
        <w:spacing w:after="80"/>
        <w:ind w:left="709" w:hanging="425"/>
        <w:contextualSpacing w:val="0"/>
        <w:rPr>
          <w:rFonts w:asciiTheme="minorHAnsi" w:hAnsiTheme="minorHAnsi" w:cstheme="minorHAnsi"/>
          <w:sz w:val="21"/>
          <w:szCs w:val="21"/>
        </w:rPr>
      </w:pPr>
      <w:r w:rsidRPr="00813A3C">
        <w:rPr>
          <w:rFonts w:asciiTheme="minorHAnsi" w:hAnsiTheme="minorHAnsi" w:cstheme="minorHAnsi"/>
          <w:sz w:val="21"/>
          <w:szCs w:val="21"/>
        </w:rPr>
        <w:t>Regional initiatives and forums, such as the Great Green Wall and SADC, promoting regional visions for sustainable land and natural resource use, facilitating increased inward investment, and building capacity for sustainable management of land and natural resources</w:t>
      </w:r>
      <w:r w:rsidR="006669BC" w:rsidRPr="00813A3C">
        <w:rPr>
          <w:rFonts w:asciiTheme="minorHAnsi" w:hAnsiTheme="minorHAnsi" w:cstheme="minorHAnsi"/>
          <w:sz w:val="21"/>
          <w:szCs w:val="21"/>
        </w:rPr>
        <w:t>.</w:t>
      </w:r>
    </w:p>
    <w:p w14:paraId="3AA1E0E6" w14:textId="46ECE50E" w:rsidR="00355CB6" w:rsidRPr="00813A3C" w:rsidRDefault="009563B4" w:rsidP="001667C6">
      <w:pPr>
        <w:pStyle w:val="ListParagraph"/>
        <w:numPr>
          <w:ilvl w:val="0"/>
          <w:numId w:val="27"/>
        </w:numPr>
        <w:spacing w:after="160"/>
        <w:ind w:left="709" w:hanging="425"/>
        <w:contextualSpacing w:val="0"/>
        <w:rPr>
          <w:sz w:val="21"/>
          <w:szCs w:val="21"/>
        </w:rPr>
      </w:pPr>
      <w:r w:rsidRPr="3B8109EE">
        <w:rPr>
          <w:rFonts w:asciiTheme="minorHAnsi" w:hAnsiTheme="minorHAnsi" w:cstheme="minorBidi"/>
          <w:sz w:val="21"/>
          <w:szCs w:val="21"/>
        </w:rPr>
        <w:t>International legal obligations, such as national commitment to the SDGs, UNCCD, UNFCCC and CBD, sustain</w:t>
      </w:r>
      <w:r w:rsidR="006669BC" w:rsidRPr="3B8109EE">
        <w:rPr>
          <w:rFonts w:asciiTheme="minorHAnsi" w:hAnsiTheme="minorHAnsi" w:cstheme="minorBidi"/>
          <w:sz w:val="21"/>
          <w:szCs w:val="21"/>
        </w:rPr>
        <w:t>ing</w:t>
      </w:r>
      <w:r w:rsidRPr="3B8109EE">
        <w:rPr>
          <w:rFonts w:asciiTheme="minorHAnsi" w:hAnsiTheme="minorHAnsi" w:cstheme="minorBidi"/>
          <w:sz w:val="21"/>
          <w:szCs w:val="21"/>
        </w:rPr>
        <w:t xml:space="preserve"> the prioritization of the LDN agenda during project implementation and beyond</w:t>
      </w:r>
      <w:r w:rsidR="006669BC" w:rsidRPr="3B8109EE">
        <w:rPr>
          <w:rFonts w:asciiTheme="minorHAnsi" w:hAnsiTheme="minorHAnsi" w:cstheme="minorBidi"/>
          <w:sz w:val="21"/>
          <w:szCs w:val="21"/>
        </w:rPr>
        <w:t>.</w:t>
      </w:r>
    </w:p>
    <w:p w14:paraId="3EA69D9A" w14:textId="0CD12B28" w:rsidR="4667BCCA" w:rsidRPr="00102E4A" w:rsidRDefault="4667BCCA" w:rsidP="001667C6">
      <w:pPr>
        <w:pStyle w:val="ParagraphOED"/>
        <w:numPr>
          <w:ilvl w:val="0"/>
          <w:numId w:val="102"/>
        </w:numPr>
        <w:spacing w:after="160"/>
      </w:pPr>
      <w:r>
        <w:t>If the outcome-related assumptions and impact drivers hold true, then the interaction between the three project Components will result in delivery of the project’s objective to ‘initiate a transformational shift towards sustainable, integrated management of multi-use dryland landscapes in the Miombo-Mopane ecoregions of Angola (Okavango and Cunene river basins) following Land Degradation Neutrality principles’, with further gains, represented as four Medium term Outcomes (MTO), of:</w:t>
      </w:r>
    </w:p>
    <w:p w14:paraId="40159A82" w14:textId="246AEB1F" w:rsidR="4667BCCA" w:rsidRPr="00102E4A" w:rsidRDefault="4667BCCA" w:rsidP="00C53A49">
      <w:pPr>
        <w:pStyle w:val="ListParagraph"/>
        <w:numPr>
          <w:ilvl w:val="0"/>
          <w:numId w:val="3"/>
        </w:numPr>
        <w:rPr>
          <w:rFonts w:eastAsia="Calibri" w:cs="Calibri"/>
          <w:sz w:val="21"/>
          <w:szCs w:val="21"/>
        </w:rPr>
      </w:pPr>
      <w:r w:rsidRPr="00102E4A">
        <w:rPr>
          <w:rFonts w:eastAsia="Calibri" w:cs="Calibri"/>
          <w:sz w:val="21"/>
          <w:szCs w:val="21"/>
        </w:rPr>
        <w:t>Strengthened enabling environment supporting out-scaling of SLM/SFM and the application of the LDN principles across Angola (MTO1):</w:t>
      </w:r>
    </w:p>
    <w:p w14:paraId="7CFFA7D8" w14:textId="29F382F5" w:rsidR="4667BCCA" w:rsidRPr="00102E4A" w:rsidRDefault="4667BCCA" w:rsidP="00C53A49">
      <w:pPr>
        <w:pStyle w:val="ListParagraph"/>
        <w:numPr>
          <w:ilvl w:val="0"/>
          <w:numId w:val="3"/>
        </w:numPr>
        <w:rPr>
          <w:rFonts w:eastAsia="Calibri" w:cs="Calibri"/>
          <w:sz w:val="21"/>
          <w:szCs w:val="21"/>
        </w:rPr>
      </w:pPr>
      <w:r w:rsidRPr="00102E4A">
        <w:rPr>
          <w:rFonts w:eastAsia="Calibri" w:cs="Calibri"/>
          <w:sz w:val="21"/>
          <w:szCs w:val="21"/>
        </w:rPr>
        <w:t>Increased application of integrated land use planning for LDN and SLM/SFM/sustainable rangeland management practices across landscapes in Angola (MTO2);</w:t>
      </w:r>
    </w:p>
    <w:p w14:paraId="3649F323" w14:textId="520139F9" w:rsidR="4667BCCA" w:rsidRPr="00102E4A" w:rsidRDefault="4667BCCA" w:rsidP="00C53A49">
      <w:pPr>
        <w:pStyle w:val="ListParagraph"/>
        <w:numPr>
          <w:ilvl w:val="0"/>
          <w:numId w:val="3"/>
        </w:numPr>
        <w:rPr>
          <w:rFonts w:eastAsia="Calibri" w:cs="Calibri"/>
          <w:sz w:val="21"/>
          <w:szCs w:val="21"/>
        </w:rPr>
      </w:pPr>
      <w:r w:rsidRPr="00102E4A">
        <w:rPr>
          <w:rFonts w:eastAsia="Calibri" w:cs="Calibri"/>
          <w:sz w:val="21"/>
          <w:szCs w:val="21"/>
        </w:rPr>
        <w:t xml:space="preserve">Increased long-term investment (market and financing mechanisms) in land use models and innovation to support sustainable dryland management and restoration of degraded ecosystems (MTO3); and </w:t>
      </w:r>
    </w:p>
    <w:p w14:paraId="0E1867DF" w14:textId="14D3BDD6" w:rsidR="4667BCCA" w:rsidRPr="00102E4A" w:rsidRDefault="4667BCCA" w:rsidP="00C53A49">
      <w:pPr>
        <w:pStyle w:val="ListParagraph"/>
        <w:numPr>
          <w:ilvl w:val="0"/>
          <w:numId w:val="3"/>
        </w:numPr>
        <w:rPr>
          <w:rFonts w:eastAsia="Calibri" w:cs="Calibri"/>
          <w:sz w:val="21"/>
          <w:szCs w:val="21"/>
        </w:rPr>
      </w:pPr>
      <w:r w:rsidRPr="00102E4A">
        <w:rPr>
          <w:rFonts w:eastAsia="Calibri" w:cs="Calibri"/>
          <w:sz w:val="21"/>
          <w:szCs w:val="21"/>
        </w:rPr>
        <w:t>Apart from national gains, delivery of project outcomes would also improve decision-making, partnerships and collaboration for addressing LDN across Miombo-Mopane region and globally (captured as MTO4, and represented by a separate causal pathway in the ToC graphic).</w:t>
      </w:r>
    </w:p>
    <w:p w14:paraId="58495FD3" w14:textId="24F45237" w:rsidR="48DDB43F" w:rsidRPr="00102E4A" w:rsidRDefault="48DDB43F" w:rsidP="001667C6">
      <w:pPr>
        <w:pStyle w:val="ParagraphOED"/>
        <w:numPr>
          <w:ilvl w:val="0"/>
          <w:numId w:val="102"/>
        </w:numPr>
      </w:pPr>
      <w:r>
        <w:t>Together these, with additional external inputs, will lead to longer term outcomes and changes in state, including: ‘</w:t>
      </w:r>
      <w:r w:rsidRPr="1E65A5F7">
        <w:rPr>
          <w:i/>
          <w:iCs/>
        </w:rPr>
        <w:t>threats to the Miombo-Mopane drylands ecoregion of Southern Angola are removed, ecosystem conditions and services on which sustainable agriculture and forestry production depends restored and maintained, and livelihood sustainability and climate change resilience improved’</w:t>
      </w:r>
      <w:r>
        <w:t xml:space="preserve"> and delivery of the Angolan contribution to a ‘region-wide transformation to sustainable management of Miombo-Mopane Woodlands’ and the goal of the SFM Drylands Sustainable Landscapes Impact Program, which is ‘</w:t>
      </w:r>
      <w:r w:rsidRPr="1E65A5F7">
        <w:rPr>
          <w:i/>
          <w:iCs/>
        </w:rPr>
        <w:t xml:space="preserve">to avoid, reduce, and reverse </w:t>
      </w:r>
      <w:r w:rsidRPr="1E65A5F7">
        <w:rPr>
          <w:i/>
          <w:iCs/>
        </w:rPr>
        <w:lastRenderedPageBreak/>
        <w:t>further degradation, desertification, and deforestation of land and ecosystems in drylands through the sustainable management of production landscapes</w:t>
      </w:r>
      <w:r>
        <w:t>’. Together these should also help Angola achieves its national 2030 LDN target</w:t>
      </w:r>
      <w:r w:rsidR="322C3635">
        <w:t>, and contribute to achieving Global Environmental benefits and a number of socio-economic co-benefits.</w:t>
      </w:r>
      <w:r>
        <w:t xml:space="preserve">  </w:t>
      </w:r>
    </w:p>
    <w:p w14:paraId="31C4ACB7" w14:textId="1EE0B177" w:rsidR="00660DE8" w:rsidRPr="00102E4A" w:rsidRDefault="00660DE8" w:rsidP="001667C6">
      <w:pPr>
        <w:pStyle w:val="ParagraphOED"/>
        <w:numPr>
          <w:ilvl w:val="0"/>
          <w:numId w:val="102"/>
        </w:numPr>
        <w:spacing w:after="160"/>
      </w:pPr>
      <w:r>
        <w:t xml:space="preserve">The causal logic of Angola’s child project, summarized in the ToC diagram, is well-aligned with the over-arching ToC for the </w:t>
      </w:r>
      <w:r w:rsidRPr="1E65A5F7">
        <w:rPr>
          <w:rFonts w:eastAsia="Times New Roman"/>
          <w:color w:val="000000" w:themeColor="text1"/>
        </w:rPr>
        <w:t>Dryland Sustainable Landscapes Impact Program (</w:t>
      </w:r>
      <w:r>
        <w:t>DSL IP) and Land Degradation Objective. This program approach applied  by Miombo-Mopane countries will sustain integrated management in the target landscapes, thereby maintaining or improving  the flow of both ecosystem services (LD 2.2) for biodiversity conservation and agro-ecosystem services (LD 1.1) for food production and the livelihoods of forest-dependent people.</w:t>
      </w:r>
    </w:p>
    <w:p w14:paraId="1F874C4E" w14:textId="77777777" w:rsidR="00785590" w:rsidRPr="00660DE8" w:rsidRDefault="00785590" w:rsidP="001667C6">
      <w:pPr>
        <w:pStyle w:val="ParagraphOED"/>
        <w:numPr>
          <w:ilvl w:val="0"/>
          <w:numId w:val="102"/>
        </w:numPr>
        <w:spacing w:after="80"/>
      </w:pPr>
      <w:r>
        <w:t xml:space="preserve">The Project Strategy is further elaborated in the next Section, providing details about the project components, outcomes, outputs and proposed activities. </w:t>
      </w:r>
    </w:p>
    <w:p w14:paraId="2F09A18C" w14:textId="77777777" w:rsidR="00785590" w:rsidRPr="00785590" w:rsidRDefault="00785590" w:rsidP="00785590">
      <w:pPr>
        <w:rPr>
          <w:lang w:val="en-US" w:eastAsia="en-US"/>
        </w:rPr>
      </w:pPr>
    </w:p>
    <w:p w14:paraId="02832C09" w14:textId="77777777" w:rsidR="009563B4" w:rsidRDefault="009563B4" w:rsidP="009563B4">
      <w:pPr>
        <w:sectPr w:rsidR="009563B4" w:rsidSect="00903274">
          <w:headerReference w:type="even" r:id="rId52"/>
          <w:headerReference w:type="default" r:id="rId53"/>
          <w:headerReference w:type="first" r:id="rId54"/>
          <w:pgSz w:w="11906" w:h="16838" w:code="9"/>
          <w:pgMar w:top="1440" w:right="1440" w:bottom="1440" w:left="1440" w:header="720" w:footer="720" w:gutter="0"/>
          <w:cols w:space="720"/>
          <w:docGrid w:linePitch="360"/>
        </w:sectPr>
      </w:pPr>
      <w:bookmarkStart w:id="98" w:name="_TOC_Figure"/>
      <w:bookmarkEnd w:id="98"/>
    </w:p>
    <w:p w14:paraId="7D3D0FEF" w14:textId="2059B95E" w:rsidR="009563B4" w:rsidRDefault="1846CAB0" w:rsidP="009563B4">
      <w:pPr>
        <w:jc w:val="center"/>
        <w:sectPr w:rsidR="009563B4" w:rsidSect="00903274">
          <w:headerReference w:type="even" r:id="rId55"/>
          <w:headerReference w:type="default" r:id="rId56"/>
          <w:headerReference w:type="first" r:id="rId57"/>
          <w:pgSz w:w="23811" w:h="16838" w:orient="landscape" w:code="8"/>
          <w:pgMar w:top="720" w:right="720" w:bottom="720" w:left="720" w:header="720" w:footer="720" w:gutter="0"/>
          <w:cols w:space="720"/>
          <w:docGrid w:linePitch="360"/>
        </w:sectPr>
      </w:pPr>
      <w:r>
        <w:rPr>
          <w:noProof/>
        </w:rPr>
        <w:lastRenderedPageBreak/>
        <w:drawing>
          <wp:inline distT="0" distB="0" distL="0" distR="0" wp14:anchorId="2D2908F7" wp14:editId="4698C1DA">
            <wp:extent cx="12622387" cy="9288169"/>
            <wp:effectExtent l="0" t="0" r="8255" b="8255"/>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pic:nvPicPr>
                  <pic:blipFill>
                    <a:blip r:embed="rId58">
                      <a:extLst>
                        <a:ext uri="{28A0092B-C50C-407E-A947-70E740481C1C}">
                          <a14:useLocalDpi xmlns:a14="http://schemas.microsoft.com/office/drawing/2010/main" val="0"/>
                        </a:ext>
                      </a:extLst>
                    </a:blip>
                    <a:stretch>
                      <a:fillRect/>
                    </a:stretch>
                  </pic:blipFill>
                  <pic:spPr>
                    <a:xfrm>
                      <a:off x="0" y="0"/>
                      <a:ext cx="12622387" cy="9288169"/>
                    </a:xfrm>
                    <a:prstGeom prst="rect">
                      <a:avLst/>
                    </a:prstGeom>
                  </pic:spPr>
                </pic:pic>
              </a:graphicData>
            </a:graphic>
          </wp:inline>
        </w:drawing>
      </w:r>
    </w:p>
    <w:p w14:paraId="561E3A6B" w14:textId="2955C369" w:rsidR="009563B4" w:rsidRPr="00700BDA" w:rsidRDefault="009563B4" w:rsidP="00700BDA">
      <w:pPr>
        <w:pStyle w:val="Heading3"/>
        <w:shd w:val="clear" w:color="auto" w:fill="auto"/>
        <w:jc w:val="left"/>
        <w:rPr>
          <w:rFonts w:ascii="Calibri" w:hAnsi="Calibri" w:cs="Calibri"/>
          <w:color w:val="000000" w:themeColor="text1"/>
          <w:shd w:val="clear" w:color="auto" w:fill="9CC2E5" w:themeFill="accent1" w:themeFillTint="99"/>
        </w:rPr>
      </w:pPr>
      <w:bookmarkStart w:id="99" w:name="_Toc42027111"/>
      <w:bookmarkStart w:id="100" w:name="_Toc42262619"/>
      <w:r w:rsidRPr="00700BDA">
        <w:rPr>
          <w:rFonts w:ascii="Calibri" w:hAnsi="Calibri" w:cs="Calibri"/>
          <w:color w:val="FFFFFF" w:themeColor="background1"/>
        </w:rPr>
        <w:lastRenderedPageBreak/>
        <w:t>3.</w:t>
      </w:r>
      <w:r w:rsidR="00700BDA" w:rsidRPr="00700BDA">
        <w:rPr>
          <w:rFonts w:ascii="Calibri" w:hAnsi="Calibri" w:cs="Calibri"/>
          <w:color w:val="000000" w:themeColor="text1"/>
          <w:shd w:val="clear" w:color="auto" w:fill="9CC2E5" w:themeFill="accent1" w:themeFillTint="99"/>
        </w:rPr>
        <w:t>3.</w:t>
      </w:r>
      <w:r w:rsidRPr="00700BDA">
        <w:rPr>
          <w:rFonts w:ascii="Calibri" w:hAnsi="Calibri" w:cs="Calibri"/>
          <w:color w:val="000000" w:themeColor="text1"/>
          <w:shd w:val="clear" w:color="auto" w:fill="9CC2E5" w:themeFill="accent1" w:themeFillTint="99"/>
        </w:rPr>
        <w:t>2</w:t>
      </w:r>
      <w:r w:rsidR="00C3774F" w:rsidRPr="00700BDA">
        <w:rPr>
          <w:rFonts w:ascii="Calibri" w:hAnsi="Calibri" w:cs="Calibri"/>
          <w:color w:val="000000" w:themeColor="text1"/>
          <w:shd w:val="clear" w:color="auto" w:fill="9CC2E5" w:themeFill="accent1" w:themeFillTint="99"/>
        </w:rPr>
        <w:t xml:space="preserve"> </w:t>
      </w:r>
      <w:r w:rsidRPr="00700BDA">
        <w:rPr>
          <w:rFonts w:ascii="Calibri" w:hAnsi="Calibri" w:cs="Calibri"/>
          <w:color w:val="000000" w:themeColor="text1"/>
          <w:shd w:val="clear" w:color="auto" w:fill="9CC2E5" w:themeFill="accent1" w:themeFillTint="99"/>
        </w:rPr>
        <w:t>Project Strategy</w:t>
      </w:r>
      <w:bookmarkEnd w:id="99"/>
      <w:bookmarkEnd w:id="100"/>
    </w:p>
    <w:p w14:paraId="60B40AF6" w14:textId="77777777" w:rsidR="009563B4" w:rsidRPr="00194716" w:rsidRDefault="009563B4" w:rsidP="004010FE">
      <w:pPr>
        <w:pStyle w:val="Heading4"/>
        <w:spacing w:before="240" w:after="160"/>
        <w:rPr>
          <w:rFonts w:ascii="Calibri" w:hAnsi="Calibri" w:cs="Calibri"/>
          <w:sz w:val="21"/>
          <w:szCs w:val="21"/>
        </w:rPr>
      </w:pPr>
      <w:bookmarkStart w:id="101" w:name="_Toc42027112"/>
      <w:bookmarkStart w:id="102" w:name="_Toc42262620"/>
      <w:r w:rsidRPr="00194716">
        <w:rPr>
          <w:rFonts w:ascii="Calibri" w:hAnsi="Calibri" w:cs="Calibri"/>
          <w:sz w:val="21"/>
          <w:szCs w:val="21"/>
        </w:rPr>
        <w:t>Project Objective</w:t>
      </w:r>
      <w:bookmarkEnd w:id="101"/>
      <w:bookmarkEnd w:id="102"/>
    </w:p>
    <w:p w14:paraId="3044E74D" w14:textId="4B92B6CF" w:rsidR="009563B4" w:rsidRPr="0017400A" w:rsidRDefault="009563B4" w:rsidP="001667C6">
      <w:pPr>
        <w:pStyle w:val="ParagraphOED"/>
        <w:numPr>
          <w:ilvl w:val="0"/>
          <w:numId w:val="102"/>
        </w:numPr>
        <w:spacing w:after="160"/>
      </w:pPr>
      <w:r>
        <w:t xml:space="preserve">The Angola Child Project is part of the GEF-7 Sustainable Forest Management </w:t>
      </w:r>
      <w:r w:rsidR="007445E6">
        <w:t xml:space="preserve">Impact Program on </w:t>
      </w:r>
      <w:r>
        <w:t xml:space="preserve">Dryland Sustainable Landscapes (DSL IP), whose global objective is to </w:t>
      </w:r>
      <w:r w:rsidRPr="1E65A5F7">
        <w:rPr>
          <w:i/>
          <w:iCs/>
        </w:rPr>
        <w:t>avoid, reduce, and reverse further degradation, desertification, and deforestation of land and ecosystems in drylands through the sustainable management of production landscapes</w:t>
      </w:r>
      <w:r>
        <w:t xml:space="preserve">. The Angola Child Project will </w:t>
      </w:r>
      <w:r w:rsidRPr="1E65A5F7">
        <w:rPr>
          <w:i/>
          <w:iCs/>
          <w:u w:val="single"/>
        </w:rPr>
        <w:t>contribute to the above goal</w:t>
      </w:r>
      <w:r w:rsidR="007445E6">
        <w:t xml:space="preserve"> </w:t>
      </w:r>
      <w:r>
        <w:t>through the following project</w:t>
      </w:r>
      <w:r w:rsidR="007445E6">
        <w:t>-</w:t>
      </w:r>
      <w:r>
        <w:t>specific objective:</w:t>
      </w:r>
    </w:p>
    <w:tbl>
      <w:tblPr>
        <w:tblStyle w:val="TableGrid"/>
        <w:tblW w:w="10377" w:type="dxa"/>
        <w:tblInd w:w="108" w:type="dxa"/>
        <w:tblLook w:val="04A0" w:firstRow="1" w:lastRow="0" w:firstColumn="1" w:lastColumn="0" w:noHBand="0" w:noVBand="1"/>
      </w:tblPr>
      <w:tblGrid>
        <w:gridCol w:w="10377"/>
      </w:tblGrid>
      <w:tr w:rsidR="009563B4" w:rsidRPr="00AE37C2" w14:paraId="50735C4C" w14:textId="77777777" w:rsidTr="009E70FA">
        <w:trPr>
          <w:trHeight w:val="1117"/>
        </w:trPr>
        <w:tc>
          <w:tcPr>
            <w:tcW w:w="10377" w:type="dxa"/>
            <w:tcBorders>
              <w:top w:val="single" w:sz="4" w:space="0" w:color="auto"/>
              <w:left w:val="single" w:sz="4" w:space="0" w:color="auto"/>
              <w:bottom w:val="single" w:sz="4" w:space="0" w:color="auto"/>
              <w:right w:val="single" w:sz="4" w:space="0" w:color="auto"/>
            </w:tcBorders>
          </w:tcPr>
          <w:p w14:paraId="2D13ED9E" w14:textId="77777777" w:rsidR="009563B4" w:rsidRPr="00AE37C2" w:rsidRDefault="009563B4" w:rsidP="00AE37C2">
            <w:pPr>
              <w:rPr>
                <w:rFonts w:asciiTheme="minorHAnsi" w:hAnsiTheme="minorHAnsi" w:cstheme="minorHAnsi"/>
                <w:b/>
                <w:bCs/>
                <w:sz w:val="22"/>
              </w:rPr>
            </w:pPr>
            <w:r w:rsidRPr="00AE37C2">
              <w:rPr>
                <w:rFonts w:asciiTheme="minorHAnsi" w:hAnsiTheme="minorHAnsi" w:cstheme="minorHAnsi"/>
                <w:b/>
                <w:bCs/>
                <w:sz w:val="22"/>
              </w:rPr>
              <w:t xml:space="preserve">Angola Child Project Objective: </w:t>
            </w:r>
          </w:p>
          <w:p w14:paraId="708F9C7D" w14:textId="72C5B0E0" w:rsidR="009563B4" w:rsidRPr="00AE37C2" w:rsidRDefault="009563B4" w:rsidP="00AE37C2">
            <w:pPr>
              <w:rPr>
                <w:rFonts w:asciiTheme="minorHAnsi" w:hAnsiTheme="minorHAnsi" w:cstheme="minorHAnsi"/>
                <w:i/>
                <w:sz w:val="22"/>
              </w:rPr>
            </w:pPr>
            <w:r w:rsidRPr="00AE37C2">
              <w:rPr>
                <w:rFonts w:asciiTheme="minorHAnsi" w:hAnsiTheme="minorHAnsi" w:cstheme="minorHAnsi"/>
                <w:i/>
                <w:sz w:val="22"/>
              </w:rPr>
              <w:t xml:space="preserve">To </w:t>
            </w:r>
            <w:r w:rsidR="00092877">
              <w:rPr>
                <w:rFonts w:asciiTheme="minorHAnsi" w:hAnsiTheme="minorHAnsi" w:cstheme="minorHAnsi"/>
                <w:i/>
                <w:sz w:val="22"/>
              </w:rPr>
              <w:t>initiate</w:t>
            </w:r>
            <w:r w:rsidR="00092877" w:rsidRPr="00AE37C2">
              <w:rPr>
                <w:rFonts w:asciiTheme="minorHAnsi" w:hAnsiTheme="minorHAnsi" w:cstheme="minorHAnsi"/>
                <w:i/>
                <w:sz w:val="22"/>
              </w:rPr>
              <w:t xml:space="preserve"> </w:t>
            </w:r>
            <w:r w:rsidRPr="00AE37C2">
              <w:rPr>
                <w:rFonts w:asciiTheme="minorHAnsi" w:hAnsiTheme="minorHAnsi" w:cstheme="minorHAnsi"/>
                <w:i/>
                <w:sz w:val="22"/>
              </w:rPr>
              <w:t>a transformational shift towards</w:t>
            </w:r>
            <w:r w:rsidR="00092877">
              <w:rPr>
                <w:rFonts w:asciiTheme="minorHAnsi" w:hAnsiTheme="minorHAnsi" w:cstheme="minorHAnsi"/>
                <w:i/>
                <w:sz w:val="22"/>
              </w:rPr>
              <w:t xml:space="preserve"> </w:t>
            </w:r>
            <w:r w:rsidRPr="00AE37C2">
              <w:rPr>
                <w:rFonts w:asciiTheme="minorHAnsi" w:hAnsiTheme="minorHAnsi" w:cstheme="minorHAnsi"/>
                <w:i/>
                <w:sz w:val="22"/>
              </w:rPr>
              <w:t>sustainable</w:t>
            </w:r>
            <w:r w:rsidR="00092877">
              <w:rPr>
                <w:rFonts w:asciiTheme="minorHAnsi" w:hAnsiTheme="minorHAnsi" w:cstheme="minorHAnsi"/>
                <w:i/>
                <w:sz w:val="22"/>
              </w:rPr>
              <w:t>,</w:t>
            </w:r>
            <w:r w:rsidRPr="00AE37C2">
              <w:rPr>
                <w:rFonts w:asciiTheme="minorHAnsi" w:hAnsiTheme="minorHAnsi" w:cstheme="minorHAnsi"/>
                <w:i/>
                <w:sz w:val="22"/>
              </w:rPr>
              <w:t xml:space="preserve"> integrated management of multi-use dryland landscapes of the Miombo</w:t>
            </w:r>
            <w:r w:rsidR="00092877">
              <w:rPr>
                <w:rFonts w:asciiTheme="minorHAnsi" w:hAnsiTheme="minorHAnsi" w:cstheme="minorHAnsi"/>
                <w:i/>
                <w:sz w:val="22"/>
              </w:rPr>
              <w:t>-</w:t>
            </w:r>
            <w:r w:rsidRPr="00AE37C2">
              <w:rPr>
                <w:rFonts w:asciiTheme="minorHAnsi" w:hAnsiTheme="minorHAnsi" w:cstheme="minorHAnsi"/>
                <w:i/>
                <w:sz w:val="22"/>
              </w:rPr>
              <w:t xml:space="preserve">Mopane ecoregions of Angola (Okavango and Cunene river basins) </w:t>
            </w:r>
            <w:r w:rsidR="00092877">
              <w:rPr>
                <w:rFonts w:asciiTheme="minorHAnsi" w:hAnsiTheme="minorHAnsi" w:cstheme="minorHAnsi"/>
                <w:i/>
                <w:sz w:val="22"/>
              </w:rPr>
              <w:t>based on</w:t>
            </w:r>
            <w:r w:rsidRPr="00AE37C2">
              <w:rPr>
                <w:rFonts w:asciiTheme="minorHAnsi" w:hAnsiTheme="minorHAnsi" w:cstheme="minorHAnsi"/>
                <w:i/>
                <w:sz w:val="22"/>
              </w:rPr>
              <w:t xml:space="preserve"> Land Degradation Neutrality principles.</w:t>
            </w:r>
          </w:p>
        </w:tc>
      </w:tr>
    </w:tbl>
    <w:p w14:paraId="6B702C1A" w14:textId="48DD407E" w:rsidR="00275B29" w:rsidRDefault="00275B29" w:rsidP="001667C6">
      <w:pPr>
        <w:pStyle w:val="ParagraphOED"/>
        <w:numPr>
          <w:ilvl w:val="0"/>
          <w:numId w:val="102"/>
        </w:numPr>
        <w:shd w:val="clear" w:color="auto" w:fill="FFFFFF"/>
        <w:spacing w:before="160" w:after="160"/>
        <w:rPr>
          <w:szCs w:val="21"/>
          <w:highlight w:val="yellow"/>
        </w:rPr>
      </w:pPr>
      <w:r>
        <w:rPr>
          <w:color w:val="000000"/>
          <w:highlight w:val="yellow"/>
        </w:rPr>
        <w:t>The project has been designed to generate catalytic effects (i.e. the ‘transformational shift’) within targeted landscapes that harbour Miombo-Mopane Woodlands, including the Baikiaea Woodlands). This implies that the degradation of water, soil and vegetation functions (as well as GHG emissions contributing to climate change) can be limited through the demonstration of integrated (catchment level) land use planning and a more informed and targeted application of (evidence based good) SLM/SFM practices that simultaneously conserve natural resources, increase yields and enhance land users’ resilience.</w:t>
      </w:r>
      <w:r>
        <w:rPr>
          <w:color w:val="000000"/>
        </w:rPr>
        <w:t xml:space="preserve"> </w:t>
      </w:r>
      <w:r>
        <w:rPr>
          <w:color w:val="000000"/>
          <w:highlight w:val="yellow"/>
        </w:rPr>
        <w:t xml:space="preserve">The project will also provide major opportunities to demonstrate how pressure and threats on neighbouring refuges of biodiversity can be contained and reduced. The future integrity of the PA’s system in Angola, comprising of 14 sites (87,507 km2) and covering just 7% of the country (terrestrial), see Figure 3, will depend increasingly on sustainable landscape management approaches, even with a modest expansion of the PA’s system. Developing land-use plans, that are </w:t>
      </w:r>
      <w:r w:rsidR="00AF2B84">
        <w:rPr>
          <w:color w:val="000000"/>
          <w:highlight w:val="yellow"/>
        </w:rPr>
        <w:t>restricted</w:t>
      </w:r>
      <w:r>
        <w:rPr>
          <w:color w:val="000000"/>
          <w:highlight w:val="yellow"/>
        </w:rPr>
        <w:t xml:space="preserve"> to sectoral and administrative boundaries as is currently the case, will not achieve the same transformational shift. Hence, the vital importance of demonstrating how this can be achieved in these target landscapes, where replication post-project will be equally important.</w:t>
      </w:r>
    </w:p>
    <w:p w14:paraId="61C49B32" w14:textId="54142025" w:rsidR="009563B4" w:rsidRPr="0017400A" w:rsidRDefault="009563B4" w:rsidP="001667C6">
      <w:pPr>
        <w:pStyle w:val="ParagraphOED"/>
        <w:numPr>
          <w:ilvl w:val="0"/>
          <w:numId w:val="102"/>
        </w:numPr>
        <w:spacing w:before="160" w:after="160"/>
      </w:pPr>
      <w:r>
        <w:t xml:space="preserve">The adoption of SLM/SFM practices </w:t>
      </w:r>
      <w:r w:rsidR="00092877">
        <w:t>for</w:t>
      </w:r>
      <w:r>
        <w:t xml:space="preserve"> integrated landscape</w:t>
      </w:r>
      <w:r w:rsidR="00092877">
        <w:t>-scale</w:t>
      </w:r>
      <w:r>
        <w:t xml:space="preserve"> planning and management </w:t>
      </w:r>
      <w:r w:rsidR="00E30119">
        <w:t xml:space="preserve">have </w:t>
      </w:r>
      <w:r>
        <w:t>many similarities with IWRM approaches</w:t>
      </w:r>
      <w:r w:rsidR="00DA1FFF">
        <w:t xml:space="preserve">. Hence, </w:t>
      </w:r>
      <w:r>
        <w:t>the comprehensive</w:t>
      </w:r>
      <w:r w:rsidR="00CF485F">
        <w:t xml:space="preserve"> </w:t>
      </w:r>
      <w:r>
        <w:t xml:space="preserve">transboundary </w:t>
      </w:r>
      <w:r w:rsidR="00376C9A">
        <w:t>river basin</w:t>
      </w:r>
      <w:r>
        <w:t xml:space="preserve"> planning</w:t>
      </w:r>
      <w:r w:rsidR="00DA1FFF">
        <w:t xml:space="preserve"> undertaken </w:t>
      </w:r>
      <w:r w:rsidR="00376C9A">
        <w:t>for</w:t>
      </w:r>
      <w:r>
        <w:t xml:space="preserve"> OKACOM and </w:t>
      </w:r>
      <w:r w:rsidR="00376C9A">
        <w:t>C</w:t>
      </w:r>
      <w:r>
        <w:t>UVECOM</w:t>
      </w:r>
      <w:r w:rsidR="00B13D0F">
        <w:t xml:space="preserve"> will be incorporated during project implementation</w:t>
      </w:r>
      <w:r>
        <w:t xml:space="preserve">. The project will also contribute to strengthening the livelihoods of local communities by supporting sustainable dryland value chains. This is </w:t>
      </w:r>
      <w:r w:rsidR="00B13D0F">
        <w:t xml:space="preserve">essential in order to help alleviate </w:t>
      </w:r>
      <w:r w:rsidR="00EF3B47">
        <w:t xml:space="preserve">the economic hardship and vulnerability faced by local communities and thereby enable them to shift to more </w:t>
      </w:r>
      <w:r>
        <w:t xml:space="preserve">sustainable landscape management </w:t>
      </w:r>
      <w:r w:rsidR="00EF3B47">
        <w:t xml:space="preserve">practices that, in turn, will </w:t>
      </w:r>
      <w:r>
        <w:t>global environmental benefits and contribut</w:t>
      </w:r>
      <w:r w:rsidR="00EF3B47">
        <w:t>e</w:t>
      </w:r>
      <w:r>
        <w:t xml:space="preserve"> to LDN. The project will additionally address challenges that are specific to the Miombo</w:t>
      </w:r>
      <w:r w:rsidR="00EF3B47">
        <w:t>-</w:t>
      </w:r>
      <w:r>
        <w:t xml:space="preserve">Mopane Woodlands Ecoregion through a concerted participatory approach </w:t>
      </w:r>
      <w:r w:rsidR="00EF3B47">
        <w:t xml:space="preserve">nationally </w:t>
      </w:r>
      <w:r>
        <w:t xml:space="preserve">and through Angola’s participation in the </w:t>
      </w:r>
      <w:r w:rsidR="00BB20A5">
        <w:t>Regional Exchange Mechanism</w:t>
      </w:r>
      <w:r w:rsidR="00EF3B47">
        <w:t>.</w:t>
      </w:r>
      <w:r w:rsidR="00BB20A5">
        <w:t xml:space="preserve"> REM</w:t>
      </w:r>
      <w:r w:rsidR="00EF3B47">
        <w:t xml:space="preserve"> is </w:t>
      </w:r>
      <w:r>
        <w:t xml:space="preserve">a demand-driven partnership for connecting, learning, managing and collaborating </w:t>
      </w:r>
      <w:r w:rsidR="00EF3B47">
        <w:t>on</w:t>
      </w:r>
      <w:r>
        <w:t xml:space="preserve"> </w:t>
      </w:r>
      <w:r w:rsidR="00EF3B47">
        <w:t>‘common management challenges’ of</w:t>
      </w:r>
      <w:r>
        <w:t xml:space="preserve"> </w:t>
      </w:r>
      <w:r w:rsidR="00EF3B47">
        <w:t>relevance to</w:t>
      </w:r>
      <w:r>
        <w:t xml:space="preserve"> Miombo-cluster countries. Seven of </w:t>
      </w:r>
      <w:r w:rsidR="00EF3B47">
        <w:t>11</w:t>
      </w:r>
      <w:r>
        <w:t xml:space="preserve"> countries in total are participating in the DSL IP in the Southern African region.</w:t>
      </w:r>
    </w:p>
    <w:p w14:paraId="4E82C7E5" w14:textId="4859A5B4" w:rsidR="009563B4" w:rsidRPr="00194716" w:rsidRDefault="009563B4" w:rsidP="004010FE">
      <w:pPr>
        <w:pStyle w:val="Heading4"/>
        <w:spacing w:before="240" w:after="160"/>
        <w:rPr>
          <w:rFonts w:ascii="Calibri" w:hAnsi="Calibri" w:cs="Calibri"/>
          <w:sz w:val="21"/>
          <w:szCs w:val="21"/>
        </w:rPr>
      </w:pPr>
      <w:bookmarkStart w:id="103" w:name="_Toc39141473"/>
      <w:bookmarkStart w:id="104" w:name="_Toc39584852"/>
      <w:bookmarkStart w:id="105" w:name="_Toc42027113"/>
      <w:bookmarkStart w:id="106" w:name="_Toc42262621"/>
      <w:r w:rsidRPr="00194716">
        <w:rPr>
          <w:rFonts w:ascii="Calibri" w:hAnsi="Calibri" w:cs="Calibri"/>
          <w:sz w:val="21"/>
          <w:szCs w:val="21"/>
        </w:rPr>
        <w:t>Miombo-Mopane cluster – a harmonized approach</w:t>
      </w:r>
      <w:bookmarkEnd w:id="103"/>
      <w:bookmarkEnd w:id="104"/>
      <w:bookmarkEnd w:id="105"/>
      <w:bookmarkEnd w:id="106"/>
      <w:r w:rsidRPr="00194716">
        <w:rPr>
          <w:rFonts w:ascii="Calibri" w:hAnsi="Calibri" w:cs="Calibri"/>
          <w:sz w:val="21"/>
          <w:szCs w:val="21"/>
        </w:rPr>
        <w:t xml:space="preserve">  </w:t>
      </w:r>
    </w:p>
    <w:p w14:paraId="0A3B8A44" w14:textId="71A14B16" w:rsidR="009563B4" w:rsidRPr="0017400A" w:rsidRDefault="009563B4" w:rsidP="001667C6">
      <w:pPr>
        <w:pStyle w:val="ParagraphOED"/>
        <w:numPr>
          <w:ilvl w:val="0"/>
          <w:numId w:val="102"/>
        </w:numPr>
        <w:spacing w:after="160"/>
      </w:pPr>
      <w:r w:rsidRPr="0017400A">
        <w:t xml:space="preserve">Angola’s child project’s </w:t>
      </w:r>
      <w:hyperlink w:anchor="_Theory__of" w:history="1">
        <w:r w:rsidRPr="0017400A">
          <w:rPr>
            <w:rStyle w:val="Hyperlink"/>
            <w:color w:val="auto"/>
          </w:rPr>
          <w:t>Theory of Change (</w:t>
        </w:r>
        <w:r w:rsidR="00777621">
          <w:rPr>
            <w:rStyle w:val="Hyperlink"/>
            <w:color w:val="auto"/>
          </w:rPr>
          <w:t>ToC</w:t>
        </w:r>
        <w:r w:rsidRPr="0017400A">
          <w:rPr>
            <w:rStyle w:val="Hyperlink"/>
            <w:color w:val="auto"/>
          </w:rPr>
          <w:t>)</w:t>
        </w:r>
      </w:hyperlink>
      <w:r w:rsidRPr="0017400A">
        <w:t xml:space="preserve"> is well aligned with the DSL IP’s </w:t>
      </w:r>
      <w:r w:rsidR="00777621">
        <w:t>ToC</w:t>
      </w:r>
      <w:r w:rsidRPr="0017400A">
        <w:t xml:space="preserve">, </w:t>
      </w:r>
      <w:r w:rsidR="001C1958">
        <w:t xml:space="preserve">which </w:t>
      </w:r>
      <w:r w:rsidR="006066DF">
        <w:t>adheres to</w:t>
      </w:r>
      <w:r w:rsidRPr="0017400A">
        <w:t xml:space="preserve"> the principles of the GEF’s programmatic approach outlined in the </w:t>
      </w:r>
      <w:r w:rsidR="00F61EDE">
        <w:t>GEF-7</w:t>
      </w:r>
      <w:r w:rsidRPr="0017400A">
        <w:t xml:space="preserve"> Strategy.</w:t>
      </w:r>
      <w:r w:rsidRPr="0017400A">
        <w:rPr>
          <w:rStyle w:val="FootnoteReference"/>
        </w:rPr>
        <w:footnoteReference w:id="60"/>
      </w:r>
      <w:r w:rsidRPr="0017400A">
        <w:t xml:space="preserve"> </w:t>
      </w:r>
      <w:r w:rsidR="000428B7">
        <w:t>In ad</w:t>
      </w:r>
      <w:r w:rsidR="00960D41">
        <w:t>dition</w:t>
      </w:r>
      <w:r w:rsidR="001377D8">
        <w:t xml:space="preserve"> to</w:t>
      </w:r>
      <w:r w:rsidR="00C0191D">
        <w:t xml:space="preserve"> </w:t>
      </w:r>
      <w:r w:rsidR="00BD157F">
        <w:t xml:space="preserve">enabling </w:t>
      </w:r>
      <w:r w:rsidRPr="0017400A">
        <w:t>countries to address complex</w:t>
      </w:r>
      <w:r w:rsidR="00BD157F">
        <w:t>,</w:t>
      </w:r>
      <w:r w:rsidRPr="0017400A">
        <w:t xml:space="preserve"> commonly encountered drivers of land degradation in the targeted landscapes in a systematic </w:t>
      </w:r>
      <w:r w:rsidR="004A4BDC">
        <w:t xml:space="preserve">and harmonious </w:t>
      </w:r>
      <w:r w:rsidR="00C5775B">
        <w:t xml:space="preserve">manner, </w:t>
      </w:r>
      <w:r w:rsidR="003E5CB7">
        <w:t xml:space="preserve">this IP </w:t>
      </w:r>
      <w:r w:rsidR="00BC0029">
        <w:t xml:space="preserve">grasps the opportunity to </w:t>
      </w:r>
      <w:r w:rsidR="00F96067">
        <w:t>tackle</w:t>
      </w:r>
      <w:r w:rsidRPr="0017400A">
        <w:t xml:space="preserve"> transboundary issues in an integrated way, s</w:t>
      </w:r>
      <w:r w:rsidR="007E6902">
        <w:t>pecifically</w:t>
      </w:r>
      <w:r w:rsidR="009B2243">
        <w:t xml:space="preserve"> those</w:t>
      </w:r>
      <w:r w:rsidRPr="0017400A">
        <w:t xml:space="preserve"> related to water </w:t>
      </w:r>
      <w:r w:rsidR="00627F0B">
        <w:t xml:space="preserve">using </w:t>
      </w:r>
      <w:r w:rsidRPr="0017400A">
        <w:t>IWRM</w:t>
      </w:r>
      <w:r w:rsidR="005D2E86">
        <w:t xml:space="preserve"> </w:t>
      </w:r>
      <w:r w:rsidR="00627F0B">
        <w:t>experience</w:t>
      </w:r>
      <w:r w:rsidR="000A7139">
        <w:t xml:space="preserve"> </w:t>
      </w:r>
      <w:r w:rsidRPr="0017400A">
        <w:t xml:space="preserve">to crossborder trade </w:t>
      </w:r>
      <w:r w:rsidR="00C53C3B">
        <w:t xml:space="preserve">based on </w:t>
      </w:r>
      <w:r w:rsidRPr="0017400A">
        <w:t xml:space="preserve">sustainable/green value chains. </w:t>
      </w:r>
    </w:p>
    <w:p w14:paraId="2933FFA9" w14:textId="7D62CDC9" w:rsidR="009563B4" w:rsidRPr="0017400A" w:rsidRDefault="009563B4" w:rsidP="001667C6">
      <w:pPr>
        <w:pStyle w:val="ParagraphOED"/>
        <w:numPr>
          <w:ilvl w:val="0"/>
          <w:numId w:val="102"/>
        </w:numPr>
        <w:spacing w:after="160"/>
      </w:pPr>
      <w:r w:rsidRPr="0017400A">
        <w:t xml:space="preserve">The overall </w:t>
      </w:r>
      <w:r w:rsidR="008659CC">
        <w:t xml:space="preserve">DSL IP </w:t>
      </w:r>
      <w:r w:rsidRPr="0017400A">
        <w:t xml:space="preserve">approach embedded in </w:t>
      </w:r>
      <w:r w:rsidR="002D2FC9">
        <w:t>each</w:t>
      </w:r>
      <w:r w:rsidRPr="0017400A">
        <w:t xml:space="preserve"> child project</w:t>
      </w:r>
      <w:r w:rsidR="001D58C7">
        <w:t xml:space="preserve"> </w:t>
      </w:r>
      <w:r w:rsidRPr="0017400A">
        <w:t>ToC presu</w:t>
      </w:r>
      <w:r w:rsidR="00914865">
        <w:t>mes</w:t>
      </w:r>
      <w:r w:rsidR="00000D8F" w:rsidRPr="00F73B71">
        <w:rPr>
          <w:vertAlign w:val="superscript"/>
        </w:rPr>
        <w:fldChar w:fldCharType="begin"/>
      </w:r>
      <w:r w:rsidR="00000D8F" w:rsidRPr="00F73B71">
        <w:rPr>
          <w:vertAlign w:val="superscript"/>
        </w:rPr>
        <w:instrText xml:space="preserve"> REF _Ref47606471 \r \h </w:instrText>
      </w:r>
      <w:r w:rsidR="00AA74E9" w:rsidRPr="00F73B71">
        <w:rPr>
          <w:vertAlign w:val="superscript"/>
        </w:rPr>
        <w:instrText xml:space="preserve"> \* MERGEFORMAT </w:instrText>
      </w:r>
      <w:r w:rsidR="00000D8F" w:rsidRPr="00F73B71">
        <w:rPr>
          <w:vertAlign w:val="superscript"/>
        </w:rPr>
      </w:r>
      <w:r w:rsidR="00000D8F" w:rsidRPr="00F73B71">
        <w:rPr>
          <w:vertAlign w:val="superscript"/>
        </w:rPr>
        <w:fldChar w:fldCharType="separate"/>
      </w:r>
      <w:r w:rsidR="00A64193">
        <w:rPr>
          <w:vertAlign w:val="superscript"/>
        </w:rPr>
        <w:t>147</w:t>
      </w:r>
      <w:r w:rsidR="00000D8F" w:rsidRPr="00F73B71">
        <w:rPr>
          <w:vertAlign w:val="superscript"/>
        </w:rPr>
        <w:fldChar w:fldCharType="end"/>
      </w:r>
      <w:r w:rsidRPr="0017400A">
        <w:t xml:space="preserve"> that it is possible “to effectively address threats to Miombo</w:t>
      </w:r>
      <w:r w:rsidR="0097480D">
        <w:t>-</w:t>
      </w:r>
      <w:r w:rsidRPr="0017400A">
        <w:t>Mopane woodlands and their globally important environmental values and ecosystem services, while contributing to land degradation neutrality (LDN), sustain</w:t>
      </w:r>
      <w:r w:rsidR="006D1346">
        <w:t>ing</w:t>
      </w:r>
      <w:r w:rsidRPr="0017400A">
        <w:t xml:space="preserve"> local livelihood</w:t>
      </w:r>
      <w:r w:rsidR="006D1346">
        <w:t>s</w:t>
      </w:r>
      <w:r w:rsidRPr="0017400A">
        <w:t xml:space="preserve"> and </w:t>
      </w:r>
      <w:r w:rsidR="002F495E">
        <w:t xml:space="preserve">enhancing </w:t>
      </w:r>
      <w:r w:rsidRPr="0017400A">
        <w:t xml:space="preserve">climate change resilience across landscapes”, </w:t>
      </w:r>
      <w:r w:rsidR="001E2AC3">
        <w:t>subject to</w:t>
      </w:r>
      <w:r w:rsidRPr="0017400A">
        <w:t xml:space="preserve"> </w:t>
      </w:r>
      <w:r w:rsidR="001E2AC3">
        <w:t>GCPs</w:t>
      </w:r>
      <w:r w:rsidRPr="0017400A">
        <w:t xml:space="preserve"> pursu</w:t>
      </w:r>
      <w:r w:rsidR="00117AF2">
        <w:t>ing</w:t>
      </w:r>
      <w:r w:rsidRPr="0017400A">
        <w:t xml:space="preserve"> the following strategies:</w:t>
      </w:r>
    </w:p>
    <w:p w14:paraId="4AE3CFA2" w14:textId="1857DF88" w:rsidR="009563B4" w:rsidRPr="004B0FFB" w:rsidRDefault="009563B4" w:rsidP="001667C6">
      <w:pPr>
        <w:pStyle w:val="ListParagraph"/>
        <w:numPr>
          <w:ilvl w:val="3"/>
          <w:numId w:val="47"/>
        </w:numPr>
        <w:autoSpaceDE/>
        <w:autoSpaceDN/>
        <w:adjustRightInd/>
        <w:spacing w:before="80" w:after="0"/>
        <w:ind w:left="709" w:hanging="142"/>
        <w:contextualSpacing w:val="0"/>
        <w:rPr>
          <w:rFonts w:asciiTheme="minorHAnsi" w:hAnsiTheme="minorHAnsi" w:cstheme="minorHAnsi"/>
          <w:color w:val="auto"/>
          <w:sz w:val="21"/>
          <w:szCs w:val="21"/>
        </w:rPr>
      </w:pPr>
      <w:r w:rsidRPr="004B0FFB">
        <w:rPr>
          <w:rFonts w:asciiTheme="minorHAnsi" w:hAnsiTheme="minorHAnsi" w:cstheme="minorHAnsi"/>
          <w:color w:val="auto"/>
          <w:sz w:val="21"/>
          <w:szCs w:val="21"/>
        </w:rPr>
        <w:lastRenderedPageBreak/>
        <w:t xml:space="preserve">developing the capacities of stakeholders </w:t>
      </w:r>
      <w:r w:rsidR="00C72F2A">
        <w:rPr>
          <w:rFonts w:asciiTheme="minorHAnsi" w:hAnsiTheme="minorHAnsi" w:cstheme="minorHAnsi"/>
          <w:color w:val="auto"/>
          <w:sz w:val="21"/>
          <w:szCs w:val="21"/>
        </w:rPr>
        <w:t>to</w:t>
      </w:r>
      <w:r w:rsidRPr="004B0FFB">
        <w:rPr>
          <w:rFonts w:asciiTheme="minorHAnsi" w:hAnsiTheme="minorHAnsi" w:cstheme="minorHAnsi"/>
          <w:color w:val="auto"/>
          <w:sz w:val="21"/>
          <w:szCs w:val="21"/>
        </w:rPr>
        <w:t xml:space="preserve"> identify and assess the drivers of land degradation in a participatory manner for more informed decision</w:t>
      </w:r>
      <w:r w:rsidR="00C72F2A">
        <w:rPr>
          <w:rFonts w:asciiTheme="minorHAnsi" w:hAnsiTheme="minorHAnsi" w:cstheme="minorHAnsi"/>
          <w:color w:val="auto"/>
          <w:sz w:val="21"/>
          <w:szCs w:val="21"/>
        </w:rPr>
        <w:t>-</w:t>
      </w:r>
      <w:r w:rsidRPr="004B0FFB">
        <w:rPr>
          <w:rFonts w:asciiTheme="minorHAnsi" w:hAnsiTheme="minorHAnsi" w:cstheme="minorHAnsi"/>
          <w:color w:val="auto"/>
          <w:sz w:val="21"/>
          <w:szCs w:val="21"/>
        </w:rPr>
        <w:t>making on SLM/SFM</w:t>
      </w:r>
      <w:r w:rsidR="00A07EE4">
        <w:rPr>
          <w:rFonts w:asciiTheme="minorHAnsi" w:hAnsiTheme="minorHAnsi" w:cstheme="minorHAnsi"/>
          <w:color w:val="auto"/>
          <w:sz w:val="21"/>
          <w:szCs w:val="21"/>
        </w:rPr>
        <w:t>;</w:t>
      </w:r>
      <w:r w:rsidRPr="004B0FFB">
        <w:rPr>
          <w:rFonts w:asciiTheme="minorHAnsi" w:hAnsiTheme="minorHAnsi" w:cstheme="minorHAnsi"/>
          <w:color w:val="auto"/>
          <w:sz w:val="21"/>
          <w:szCs w:val="21"/>
        </w:rPr>
        <w:t xml:space="preserve"> </w:t>
      </w:r>
    </w:p>
    <w:p w14:paraId="20A16081" w14:textId="3ED7333D" w:rsidR="009563B4" w:rsidRPr="004B0FFB" w:rsidRDefault="009563B4" w:rsidP="001667C6">
      <w:pPr>
        <w:pStyle w:val="ListParagraph"/>
        <w:numPr>
          <w:ilvl w:val="3"/>
          <w:numId w:val="47"/>
        </w:numPr>
        <w:autoSpaceDE/>
        <w:autoSpaceDN/>
        <w:adjustRightInd/>
        <w:spacing w:before="80" w:after="0"/>
        <w:ind w:left="709" w:hanging="142"/>
        <w:contextualSpacing w:val="0"/>
        <w:rPr>
          <w:rFonts w:asciiTheme="minorHAnsi" w:hAnsiTheme="minorHAnsi" w:cstheme="minorHAnsi"/>
          <w:color w:val="auto"/>
          <w:sz w:val="21"/>
          <w:szCs w:val="21"/>
        </w:rPr>
      </w:pPr>
      <w:r w:rsidRPr="004B0FFB">
        <w:rPr>
          <w:rFonts w:asciiTheme="minorHAnsi" w:hAnsiTheme="minorHAnsi" w:cstheme="minorHAnsi"/>
          <w:color w:val="auto"/>
          <w:sz w:val="21"/>
          <w:szCs w:val="21"/>
        </w:rPr>
        <w:t xml:space="preserve">strengthening multi-sectoral and multi-stakeholder coordination and collaboration at all levels </w:t>
      </w:r>
      <w:r w:rsidR="00E001F4">
        <w:rPr>
          <w:rFonts w:asciiTheme="minorHAnsi" w:hAnsiTheme="minorHAnsi" w:cstheme="minorHAnsi"/>
          <w:color w:val="auto"/>
          <w:sz w:val="21"/>
          <w:szCs w:val="21"/>
        </w:rPr>
        <w:t>(</w:t>
      </w:r>
      <w:r w:rsidRPr="004B0FFB">
        <w:rPr>
          <w:rFonts w:asciiTheme="minorHAnsi" w:hAnsiTheme="minorHAnsi" w:cstheme="minorHAnsi"/>
          <w:color w:val="auto"/>
          <w:sz w:val="21"/>
          <w:szCs w:val="21"/>
        </w:rPr>
        <w:t>e.g. LDN platforms at national and landscape levels</w:t>
      </w:r>
      <w:r w:rsidR="00E001F4">
        <w:rPr>
          <w:rFonts w:asciiTheme="minorHAnsi" w:hAnsiTheme="minorHAnsi" w:cstheme="minorHAnsi"/>
          <w:color w:val="auto"/>
          <w:sz w:val="21"/>
          <w:szCs w:val="21"/>
        </w:rPr>
        <w:t>);</w:t>
      </w:r>
    </w:p>
    <w:p w14:paraId="6A0008DB" w14:textId="772047EA" w:rsidR="009563B4" w:rsidRPr="004B0FFB" w:rsidRDefault="009563B4" w:rsidP="001667C6">
      <w:pPr>
        <w:pStyle w:val="ListParagraph"/>
        <w:numPr>
          <w:ilvl w:val="3"/>
          <w:numId w:val="47"/>
        </w:numPr>
        <w:autoSpaceDE/>
        <w:autoSpaceDN/>
        <w:adjustRightInd/>
        <w:spacing w:before="80" w:after="0"/>
        <w:ind w:left="709" w:hanging="142"/>
        <w:contextualSpacing w:val="0"/>
        <w:rPr>
          <w:rFonts w:asciiTheme="minorHAnsi" w:hAnsiTheme="minorHAnsi" w:cstheme="minorHAnsi"/>
          <w:color w:val="auto"/>
          <w:sz w:val="21"/>
          <w:szCs w:val="21"/>
        </w:rPr>
      </w:pPr>
      <w:r w:rsidRPr="004B0FFB">
        <w:rPr>
          <w:rFonts w:asciiTheme="minorHAnsi" w:hAnsiTheme="minorHAnsi" w:cstheme="minorHAnsi"/>
          <w:color w:val="auto"/>
          <w:sz w:val="21"/>
          <w:szCs w:val="21"/>
        </w:rPr>
        <w:t>improving regulatory framework</w:t>
      </w:r>
      <w:r w:rsidR="004512B6">
        <w:rPr>
          <w:rFonts w:asciiTheme="minorHAnsi" w:hAnsiTheme="minorHAnsi" w:cstheme="minorHAnsi"/>
          <w:color w:val="auto"/>
          <w:sz w:val="21"/>
          <w:szCs w:val="21"/>
        </w:rPr>
        <w:t>s</w:t>
      </w:r>
      <w:r w:rsidRPr="004B0FFB">
        <w:rPr>
          <w:rFonts w:asciiTheme="minorHAnsi" w:hAnsiTheme="minorHAnsi" w:cstheme="minorHAnsi"/>
          <w:color w:val="auto"/>
          <w:sz w:val="21"/>
          <w:szCs w:val="21"/>
        </w:rPr>
        <w:t xml:space="preserve"> for sustainable landscape management</w:t>
      </w:r>
      <w:r w:rsidR="004512B6">
        <w:rPr>
          <w:rFonts w:asciiTheme="minorHAnsi" w:hAnsiTheme="minorHAnsi" w:cstheme="minorHAnsi"/>
          <w:color w:val="auto"/>
          <w:sz w:val="21"/>
          <w:szCs w:val="21"/>
        </w:rPr>
        <w:t>;</w:t>
      </w:r>
      <w:r w:rsidRPr="004B0FFB">
        <w:rPr>
          <w:rFonts w:asciiTheme="minorHAnsi" w:hAnsiTheme="minorHAnsi" w:cstheme="minorHAnsi"/>
          <w:color w:val="auto"/>
          <w:sz w:val="21"/>
          <w:szCs w:val="21"/>
        </w:rPr>
        <w:t xml:space="preserve"> </w:t>
      </w:r>
    </w:p>
    <w:p w14:paraId="1E60AB27" w14:textId="4239794C" w:rsidR="009563B4" w:rsidRPr="004B0FFB" w:rsidRDefault="009563B4" w:rsidP="001667C6">
      <w:pPr>
        <w:pStyle w:val="ListParagraph"/>
        <w:numPr>
          <w:ilvl w:val="3"/>
          <w:numId w:val="47"/>
        </w:numPr>
        <w:autoSpaceDE/>
        <w:autoSpaceDN/>
        <w:adjustRightInd/>
        <w:spacing w:before="80" w:after="0"/>
        <w:ind w:left="709" w:hanging="142"/>
        <w:contextualSpacing w:val="0"/>
        <w:rPr>
          <w:rFonts w:asciiTheme="minorHAnsi" w:hAnsiTheme="minorHAnsi" w:cstheme="minorHAnsi"/>
          <w:color w:val="auto"/>
          <w:sz w:val="21"/>
          <w:szCs w:val="21"/>
        </w:rPr>
      </w:pPr>
      <w:r w:rsidRPr="004B0FFB">
        <w:rPr>
          <w:rFonts w:asciiTheme="minorHAnsi" w:hAnsiTheme="minorHAnsi" w:cstheme="minorHAnsi"/>
          <w:color w:val="auto"/>
          <w:sz w:val="21"/>
          <w:szCs w:val="21"/>
        </w:rPr>
        <w:t xml:space="preserve">strengthening cross-sectoral rural advisory services to </w:t>
      </w:r>
      <w:r w:rsidR="004A189F">
        <w:rPr>
          <w:rFonts w:asciiTheme="minorHAnsi" w:hAnsiTheme="minorHAnsi" w:cstheme="minorHAnsi"/>
          <w:color w:val="auto"/>
          <w:sz w:val="21"/>
          <w:szCs w:val="21"/>
        </w:rPr>
        <w:t>educate</w:t>
      </w:r>
      <w:r w:rsidRPr="004B0FFB">
        <w:rPr>
          <w:rFonts w:asciiTheme="minorHAnsi" w:hAnsiTheme="minorHAnsi" w:cstheme="minorHAnsi"/>
          <w:color w:val="auto"/>
          <w:sz w:val="21"/>
          <w:szCs w:val="21"/>
        </w:rPr>
        <w:t xml:space="preserve"> land users </w:t>
      </w:r>
      <w:r w:rsidR="00BD2F0D">
        <w:rPr>
          <w:rFonts w:asciiTheme="minorHAnsi" w:hAnsiTheme="minorHAnsi" w:cstheme="minorHAnsi"/>
          <w:color w:val="auto"/>
          <w:sz w:val="21"/>
          <w:szCs w:val="21"/>
        </w:rPr>
        <w:t>about</w:t>
      </w:r>
      <w:r w:rsidRPr="004B0FFB">
        <w:rPr>
          <w:rFonts w:asciiTheme="minorHAnsi" w:hAnsiTheme="minorHAnsi" w:cstheme="minorHAnsi"/>
          <w:color w:val="auto"/>
          <w:sz w:val="21"/>
          <w:szCs w:val="21"/>
        </w:rPr>
        <w:t xml:space="preserve"> integrated SLM/SFM</w:t>
      </w:r>
      <w:r w:rsidR="00CB1C29">
        <w:rPr>
          <w:rFonts w:asciiTheme="minorHAnsi" w:hAnsiTheme="minorHAnsi" w:cstheme="minorHAnsi"/>
          <w:color w:val="auto"/>
          <w:sz w:val="21"/>
          <w:szCs w:val="21"/>
        </w:rPr>
        <w:t>;</w:t>
      </w:r>
    </w:p>
    <w:p w14:paraId="7D92B8BA" w14:textId="41B128F7" w:rsidR="009563B4" w:rsidRPr="004B0FFB" w:rsidRDefault="009563B4" w:rsidP="001667C6">
      <w:pPr>
        <w:pStyle w:val="ListParagraph"/>
        <w:numPr>
          <w:ilvl w:val="3"/>
          <w:numId w:val="47"/>
        </w:numPr>
        <w:autoSpaceDE/>
        <w:autoSpaceDN/>
        <w:adjustRightInd/>
        <w:spacing w:before="80" w:after="0"/>
        <w:ind w:left="709" w:hanging="142"/>
        <w:contextualSpacing w:val="0"/>
        <w:rPr>
          <w:rFonts w:asciiTheme="minorHAnsi" w:hAnsiTheme="minorHAnsi" w:cstheme="minorHAnsi"/>
          <w:color w:val="auto"/>
          <w:sz w:val="21"/>
          <w:szCs w:val="21"/>
        </w:rPr>
      </w:pPr>
      <w:r w:rsidRPr="004B0FFB">
        <w:rPr>
          <w:rFonts w:asciiTheme="minorHAnsi" w:hAnsiTheme="minorHAnsi" w:cstheme="minorHAnsi"/>
          <w:color w:val="auto"/>
          <w:sz w:val="21"/>
          <w:szCs w:val="21"/>
        </w:rPr>
        <w:t>providing incentives for land users to engage in SLM/SFM</w:t>
      </w:r>
      <w:r w:rsidR="00BA72F5">
        <w:rPr>
          <w:rFonts w:asciiTheme="minorHAnsi" w:hAnsiTheme="minorHAnsi" w:cstheme="minorHAnsi"/>
          <w:color w:val="auto"/>
          <w:sz w:val="21"/>
          <w:szCs w:val="21"/>
        </w:rPr>
        <w:t xml:space="preserve"> (</w:t>
      </w:r>
      <w:r w:rsidRPr="004B0FFB">
        <w:rPr>
          <w:rFonts w:asciiTheme="minorHAnsi" w:hAnsiTheme="minorHAnsi" w:cstheme="minorHAnsi"/>
          <w:color w:val="auto"/>
          <w:sz w:val="21"/>
          <w:szCs w:val="21"/>
        </w:rPr>
        <w:t>e.g. through sustainable value chains and securing their rights</w:t>
      </w:r>
      <w:r w:rsidR="00BA72F5">
        <w:rPr>
          <w:rFonts w:asciiTheme="minorHAnsi" w:hAnsiTheme="minorHAnsi" w:cstheme="minorHAnsi"/>
          <w:color w:val="auto"/>
          <w:sz w:val="21"/>
          <w:szCs w:val="21"/>
        </w:rPr>
        <w:t>); and</w:t>
      </w:r>
    </w:p>
    <w:p w14:paraId="00C5B54E" w14:textId="6B948DCC" w:rsidR="009563B4" w:rsidRPr="004B0FFB" w:rsidRDefault="009563B4" w:rsidP="001667C6">
      <w:pPr>
        <w:pStyle w:val="ListParagraph"/>
        <w:numPr>
          <w:ilvl w:val="3"/>
          <w:numId w:val="47"/>
        </w:numPr>
        <w:autoSpaceDE/>
        <w:autoSpaceDN/>
        <w:adjustRightInd/>
        <w:spacing w:before="80" w:after="0"/>
        <w:ind w:left="709" w:hanging="142"/>
        <w:contextualSpacing w:val="0"/>
        <w:rPr>
          <w:rFonts w:asciiTheme="minorHAnsi" w:hAnsiTheme="minorHAnsi" w:cstheme="minorHAnsi"/>
          <w:color w:val="auto"/>
          <w:sz w:val="21"/>
          <w:szCs w:val="21"/>
        </w:rPr>
      </w:pPr>
      <w:r w:rsidRPr="004B0FFB">
        <w:rPr>
          <w:rFonts w:asciiTheme="minorHAnsi" w:hAnsiTheme="minorHAnsi" w:cstheme="minorHAnsi"/>
          <w:color w:val="auto"/>
          <w:sz w:val="21"/>
          <w:szCs w:val="21"/>
        </w:rPr>
        <w:t>sharing knowledge between Miombo</w:t>
      </w:r>
      <w:r w:rsidR="00F5119C">
        <w:rPr>
          <w:rFonts w:asciiTheme="minorHAnsi" w:hAnsiTheme="minorHAnsi" w:cstheme="minorHAnsi"/>
          <w:color w:val="auto"/>
          <w:sz w:val="21"/>
          <w:szCs w:val="21"/>
        </w:rPr>
        <w:t>-</w:t>
      </w:r>
      <w:r w:rsidRPr="004B0FFB">
        <w:rPr>
          <w:rFonts w:asciiTheme="minorHAnsi" w:hAnsiTheme="minorHAnsi" w:cstheme="minorHAnsi"/>
          <w:color w:val="auto"/>
          <w:sz w:val="21"/>
          <w:szCs w:val="21"/>
        </w:rPr>
        <w:t xml:space="preserve">Mopane </w:t>
      </w:r>
      <w:r w:rsidR="00F5119C" w:rsidRPr="004B0FFB">
        <w:rPr>
          <w:rFonts w:asciiTheme="minorHAnsi" w:hAnsiTheme="minorHAnsi" w:cstheme="minorHAnsi"/>
          <w:color w:val="auto"/>
          <w:sz w:val="21"/>
          <w:szCs w:val="21"/>
        </w:rPr>
        <w:t xml:space="preserve">cluster </w:t>
      </w:r>
      <w:r w:rsidRPr="004B0FFB">
        <w:rPr>
          <w:rFonts w:asciiTheme="minorHAnsi" w:hAnsiTheme="minorHAnsi" w:cstheme="minorHAnsi"/>
          <w:color w:val="auto"/>
          <w:sz w:val="21"/>
          <w:szCs w:val="21"/>
        </w:rPr>
        <w:t>countries</w:t>
      </w:r>
      <w:r w:rsidR="00F7773C">
        <w:rPr>
          <w:rFonts w:asciiTheme="minorHAnsi" w:hAnsiTheme="minorHAnsi" w:cstheme="minorHAnsi"/>
          <w:color w:val="auto"/>
          <w:sz w:val="21"/>
          <w:szCs w:val="21"/>
        </w:rPr>
        <w:t>.</w:t>
      </w:r>
      <w:r w:rsidRPr="004B0FFB">
        <w:rPr>
          <w:rFonts w:asciiTheme="minorHAnsi" w:hAnsiTheme="minorHAnsi" w:cstheme="minorHAnsi"/>
          <w:color w:val="auto"/>
          <w:sz w:val="21"/>
          <w:szCs w:val="21"/>
        </w:rPr>
        <w:t xml:space="preserve"> </w:t>
      </w:r>
    </w:p>
    <w:p w14:paraId="3BC91D05" w14:textId="61F51010" w:rsidR="009563B4" w:rsidRDefault="009563B4" w:rsidP="001667C6">
      <w:pPr>
        <w:pStyle w:val="ParagraphOED"/>
        <w:numPr>
          <w:ilvl w:val="0"/>
          <w:numId w:val="102"/>
        </w:numPr>
        <w:spacing w:before="160" w:after="160"/>
      </w:pPr>
      <w:r>
        <w:t xml:space="preserve">The </w:t>
      </w:r>
      <w:r w:rsidRPr="4235EC14">
        <w:rPr>
          <w:b/>
          <w:bCs/>
        </w:rPr>
        <w:t xml:space="preserve">harmonized approach </w:t>
      </w:r>
      <w:r w:rsidR="003140BB">
        <w:t>towards achieving LDN</w:t>
      </w:r>
      <w:r w:rsidR="00903F24">
        <w:t>,</w:t>
      </w:r>
      <w:r w:rsidR="003140BB">
        <w:t xml:space="preserve"> </w:t>
      </w:r>
      <w:r w:rsidR="0018126F">
        <w:t xml:space="preserve">livelihood sustainability and climate change resilience </w:t>
      </w:r>
      <w:r w:rsidR="0088067E">
        <w:t xml:space="preserve">and </w:t>
      </w:r>
      <w:r w:rsidR="00D77240">
        <w:t>adopted</w:t>
      </w:r>
      <w:r w:rsidR="009F2351">
        <w:t xml:space="preserve"> </w:t>
      </w:r>
      <w:r w:rsidR="009D34AC">
        <w:t>by GCPs</w:t>
      </w:r>
      <w:r>
        <w:t xml:space="preserve"> </w:t>
      </w:r>
      <w:r w:rsidR="000A601A">
        <w:t>in</w:t>
      </w:r>
      <w:r>
        <w:t xml:space="preserve"> the Miombo</w:t>
      </w:r>
      <w:r w:rsidR="002144EF">
        <w:t>-</w:t>
      </w:r>
      <w:r>
        <w:t xml:space="preserve">Mopane cluster is reflected in the </w:t>
      </w:r>
      <w:r w:rsidR="009B0A47" w:rsidRPr="4235EC14">
        <w:rPr>
          <w:b/>
          <w:bCs/>
        </w:rPr>
        <w:t>three Components</w:t>
      </w:r>
      <w:r w:rsidR="009B0A47">
        <w:t xml:space="preserve"> </w:t>
      </w:r>
      <w:r w:rsidR="000B2D5E">
        <w:t xml:space="preserve">of the </w:t>
      </w:r>
      <w:r>
        <w:t>Angola Child Project</w:t>
      </w:r>
      <w:r w:rsidR="0021497E">
        <w:t xml:space="preserve"> and their respective outcomes and outputs</w:t>
      </w:r>
      <w:r w:rsidR="00EF1755">
        <w:t>, all of which are decribed below</w:t>
      </w:r>
      <w:r w:rsidR="000B2D5E">
        <w:t>.</w:t>
      </w:r>
    </w:p>
    <w:p w14:paraId="11762888" w14:textId="7CFDA066" w:rsidR="008F0964" w:rsidRDefault="008F0964" w:rsidP="008F0964">
      <w:pPr>
        <w:rPr>
          <w:lang w:val="en-US" w:eastAsia="en-US"/>
        </w:rPr>
      </w:pPr>
    </w:p>
    <w:p w14:paraId="28FF75B2" w14:textId="640D01F9" w:rsidR="008F0964" w:rsidRPr="00CB3D0E" w:rsidRDefault="00234DF8" w:rsidP="008F0964">
      <w:pPr>
        <w:rPr>
          <w:rFonts w:asciiTheme="majorHAnsi" w:eastAsiaTheme="majorEastAsia" w:hAnsiTheme="majorHAnsi" w:cstheme="majorBidi"/>
          <w:b/>
          <w:highlight w:val="yellow"/>
          <w:u w:val="single"/>
          <w:lang w:val="en-US" w:eastAsia="en-US"/>
        </w:rPr>
      </w:pPr>
      <w:r w:rsidRPr="00CB3D0E">
        <w:rPr>
          <w:rFonts w:asciiTheme="majorHAnsi" w:eastAsiaTheme="majorEastAsia" w:hAnsiTheme="majorHAnsi" w:cstheme="majorBidi"/>
          <w:b/>
          <w:highlight w:val="yellow"/>
          <w:u w:val="single"/>
          <w:lang w:val="en-US" w:eastAsia="en-US"/>
        </w:rPr>
        <w:t>Impacts of COVID</w:t>
      </w:r>
      <w:r w:rsidR="007A4E9E" w:rsidRPr="00CB3D0E">
        <w:rPr>
          <w:rFonts w:asciiTheme="majorHAnsi" w:eastAsiaTheme="majorEastAsia" w:hAnsiTheme="majorHAnsi" w:cstheme="majorBidi"/>
          <w:b/>
          <w:highlight w:val="yellow"/>
          <w:u w:val="single"/>
          <w:lang w:val="en-US" w:eastAsia="en-US"/>
        </w:rPr>
        <w:t>-</w:t>
      </w:r>
      <w:r w:rsidRPr="00CB3D0E">
        <w:rPr>
          <w:rFonts w:asciiTheme="majorHAnsi" w:eastAsiaTheme="majorEastAsia" w:hAnsiTheme="majorHAnsi" w:cstheme="majorBidi"/>
          <w:b/>
          <w:highlight w:val="yellow"/>
          <w:u w:val="single"/>
          <w:lang w:val="en-US" w:eastAsia="en-US"/>
        </w:rPr>
        <w:t>19</w:t>
      </w:r>
      <w:r w:rsidR="007A4E9E" w:rsidRPr="00CB3D0E">
        <w:rPr>
          <w:rFonts w:asciiTheme="majorHAnsi" w:eastAsiaTheme="majorEastAsia" w:hAnsiTheme="majorHAnsi" w:cstheme="majorBidi"/>
          <w:b/>
          <w:highlight w:val="yellow"/>
          <w:u w:val="single"/>
          <w:lang w:val="en-US" w:eastAsia="en-US"/>
        </w:rPr>
        <w:t xml:space="preserve"> </w:t>
      </w:r>
    </w:p>
    <w:p w14:paraId="5CFB54FE" w14:textId="30F874DB" w:rsidR="008B0E18" w:rsidRPr="00E2105D" w:rsidRDefault="008B0E18" w:rsidP="008F0964">
      <w:pPr>
        <w:rPr>
          <w:highlight w:val="yellow"/>
          <w:lang w:val="en-US" w:eastAsia="en-US"/>
        </w:rPr>
      </w:pPr>
    </w:p>
    <w:p w14:paraId="27C93C6B" w14:textId="77777777" w:rsidR="008B0E18" w:rsidRPr="00E2105D" w:rsidRDefault="008B0E18" w:rsidP="008A23B0">
      <w:pPr>
        <w:pStyle w:val="ParagraphOED"/>
        <w:numPr>
          <w:ilvl w:val="0"/>
          <w:numId w:val="0"/>
        </w:numPr>
        <w:spacing w:after="0" w:line="259" w:lineRule="auto"/>
        <w:rPr>
          <w:szCs w:val="21"/>
          <w:highlight w:val="yellow"/>
        </w:rPr>
      </w:pPr>
    </w:p>
    <w:p w14:paraId="45113517" w14:textId="77777777" w:rsidR="001B4A63" w:rsidRDefault="001B4A63" w:rsidP="001667C6">
      <w:pPr>
        <w:pStyle w:val="ParagraphOED"/>
        <w:numPr>
          <w:ilvl w:val="0"/>
          <w:numId w:val="102"/>
        </w:numPr>
        <w:rPr>
          <w:color w:val="201F1E"/>
        </w:rPr>
      </w:pPr>
      <w:r>
        <w:rPr>
          <w:shd w:val="clear" w:color="auto" w:fill="FFFF00"/>
        </w:rPr>
        <w:t>The baseline scenario of the project might be affected by the COVID-19 pandemic. According to preliminary assessments done by the FAO Angola Office, agriculture production is being negatively affected in terms of labor shortages. Several production units have begun working below capacity. Mobility restrictions and consequent logistic bottlenecks are leading to negative impacts on food supply and demand, trade, etc. As a result, national food and nutrition security, and rural communities’ livelihoods are seriously affected.</w:t>
      </w:r>
    </w:p>
    <w:p w14:paraId="402E8A46" w14:textId="41C038CF" w:rsidR="001B4A63" w:rsidRDefault="001B4A63" w:rsidP="001667C6">
      <w:pPr>
        <w:pStyle w:val="ParagraphOED"/>
        <w:numPr>
          <w:ilvl w:val="0"/>
          <w:numId w:val="102"/>
        </w:numPr>
        <w:rPr>
          <w:color w:val="201F1E"/>
        </w:rPr>
      </w:pPr>
      <w:r>
        <w:rPr>
          <w:shd w:val="clear" w:color="auto" w:fill="FFFF00"/>
        </w:rPr>
        <w:t>In order to alleviate this situation and build back better, the Government of Angola launched a Presidential Decree (98/20) in April 2020 to support families, enterprises and the informal economy sector affected by COVID-19. The Decree is focused on TAX reduction and access to financial mechanisms. Additionally, the “Family farming and fisheries Acceleration Integrated Program (PIAAPF)”</w:t>
      </w:r>
      <w:hyperlink r:id="rId59" w:anchor="x__ftn1" w:history="1">
        <w:r>
          <w:rPr>
            <w:rStyle w:val="Hyperlink"/>
            <w:szCs w:val="21"/>
            <w:shd w:val="clear" w:color="auto" w:fill="FFFF00"/>
            <w:vertAlign w:val="superscript"/>
          </w:rPr>
          <w:t>[1]</w:t>
        </w:r>
      </w:hyperlink>
      <w:r>
        <w:rPr>
          <w:shd w:val="clear" w:color="auto" w:fill="FFFF00"/>
        </w:rPr>
        <w:t> launched by Ministry of Agriculture and Fisheries in June 2020, aims to support family farming in 3 areas: Support Value chains to increase production, strengthen human resources and support the agriculture input sectors. This program has a budget of 450 Million USD to be implemented over two years. DSL IP will directly liaise with PIAAPF in order to share methodologies (as for value chain support), introducing sustainability and the environment dimension in the various areas of PIAAPF.</w:t>
      </w:r>
    </w:p>
    <w:p w14:paraId="62D214E8" w14:textId="2D25B6CF" w:rsidR="00582EA7" w:rsidRPr="00E2105D" w:rsidRDefault="00CD534B" w:rsidP="001667C6">
      <w:pPr>
        <w:pStyle w:val="ParagraphOED"/>
        <w:numPr>
          <w:ilvl w:val="0"/>
          <w:numId w:val="102"/>
        </w:numPr>
        <w:spacing w:after="0" w:line="259" w:lineRule="auto"/>
        <w:rPr>
          <w:highlight w:val="yellow"/>
        </w:rPr>
      </w:pPr>
      <w:r w:rsidRPr="008A23B0">
        <w:rPr>
          <w:highlight w:val="yellow"/>
        </w:rPr>
        <w:t xml:space="preserve">In addition, </w:t>
      </w:r>
      <w:r w:rsidR="00905B1A" w:rsidRPr="008A23B0">
        <w:rPr>
          <w:highlight w:val="yellow"/>
        </w:rPr>
        <w:t xml:space="preserve">there are </w:t>
      </w:r>
      <w:r w:rsidR="00234DF8" w:rsidRPr="008A23B0">
        <w:rPr>
          <w:highlight w:val="yellow"/>
        </w:rPr>
        <w:t xml:space="preserve"> several digital technologies and innovative approaches that the project will introduce to support sharing of knowledge virtually in support of social distancing. For example; tablets that were introduced for the SHARP household surveys will be used to take footages on different SLM/SFM approaches that will be disseminated to wider groups of stakeholders as well as for monitoring and evaluation purposes. This approach will be complemented by the "Making every voice count for adaptive management" initiative facilitated by the Global Coordination project. This initiative promotes a variety of communication tools, focusing on a participatory video approach as an interactive platform that supports networking and knowledge generation, and in later stages documenting and disseminating knowledge assets and lessons learned – especially those identified by the local communities and stakeholders at landscape level. The goal is to create a bridge between other teams and initiatives and work beyond the 11 countries involved in this program. The activities will be complemented by specific activities and tools to ensure access to agriculture and forestry advisory services during COVID-19 pandemic, such as the use of radio, print media, videos, mobile vans, and social media (e.g. WhatsApp) to overcome barriers related to social distance, travel limitations and possible lockdown periods</w:t>
      </w:r>
      <w:r w:rsidR="00905B1A" w:rsidRPr="008A23B0">
        <w:rPr>
          <w:highlight w:val="yellow"/>
        </w:rPr>
        <w:t>.</w:t>
      </w:r>
    </w:p>
    <w:p w14:paraId="2EBC8EE2" w14:textId="77777777" w:rsidR="0015169C" w:rsidRPr="0015169C" w:rsidRDefault="0015169C" w:rsidP="0015169C">
      <w:pPr>
        <w:rPr>
          <w:highlight w:val="yellow"/>
          <w:lang w:val="en-US" w:eastAsia="en-US"/>
        </w:rPr>
      </w:pPr>
    </w:p>
    <w:p w14:paraId="1BC3DDA2" w14:textId="5A0C4AE1" w:rsidR="03CF4F95" w:rsidRDefault="009F397F" w:rsidP="7E3AE94A">
      <w:pPr>
        <w:pStyle w:val="ParagraphOED"/>
        <w:numPr>
          <w:ilvl w:val="0"/>
          <w:numId w:val="1"/>
        </w:numPr>
        <w:spacing w:after="0" w:line="259" w:lineRule="auto"/>
        <w:rPr>
          <w:rFonts w:ascii="Times New Roman" w:eastAsia="Times New Roman" w:hAnsi="Times New Roman" w:cs="Times New Roman"/>
          <w:sz w:val="24"/>
          <w:szCs w:val="24"/>
          <w:highlight w:val="yellow"/>
        </w:rPr>
      </w:pPr>
      <w:r w:rsidRPr="008A23B0">
        <w:rPr>
          <w:highlight w:val="yellow"/>
        </w:rPr>
        <w:t>T</w:t>
      </w:r>
      <w:r w:rsidR="00234DF8" w:rsidRPr="008A23B0">
        <w:rPr>
          <w:highlight w:val="yellow"/>
        </w:rPr>
        <w:t>he project’s overall strategy is geared towards increasing the ecological, social and economic resilience in the target landscapes. The project’s corresponding broader interventions are therefore well adapted to mitigate the negative impact of COVID-19 by: </w:t>
      </w:r>
      <w:r w:rsidR="03CF4F95" w:rsidRPr="7E3AE94A">
        <w:rPr>
          <w:highlight w:val="yellow"/>
        </w:rPr>
        <w:t xml:space="preserve">Supporting local supply chains, hence increasing the resilience of local food systems, food security and nutrition (through the establishment of community seed banks and diversification of on-farm production using drought tolerant and nutritious legumes) while simultaneously addressing land degradation and increasing agricultural productivity.   </w:t>
      </w:r>
    </w:p>
    <w:p w14:paraId="79E235F5" w14:textId="3AE8F33F" w:rsidR="00234DF8" w:rsidRPr="00E2105D" w:rsidRDefault="00C667AE" w:rsidP="008A23B0">
      <w:pPr>
        <w:pStyle w:val="ParagraphOED"/>
        <w:numPr>
          <w:ilvl w:val="0"/>
          <w:numId w:val="1"/>
        </w:numPr>
        <w:spacing w:after="0" w:line="259" w:lineRule="auto"/>
        <w:rPr>
          <w:szCs w:val="21"/>
          <w:highlight w:val="yellow"/>
        </w:rPr>
      </w:pPr>
      <w:r w:rsidRPr="7E3AE94A">
        <w:rPr>
          <w:highlight w:val="yellow"/>
        </w:rPr>
        <w:lastRenderedPageBreak/>
        <w:t>In direct alignment with PIAAPF, c</w:t>
      </w:r>
      <w:r w:rsidR="00234DF8" w:rsidRPr="00E2105D">
        <w:rPr>
          <w:highlight w:val="yellow"/>
        </w:rPr>
        <w:t xml:space="preserve">reating green jobs through the selected value chains which in turn will improve the overall management and resilience of the landscape (e.g. apiculture which promotes pollination, reduction of forest fires through introduction of modern bee hives while increasing local livelihoods). </w:t>
      </w:r>
    </w:p>
    <w:p w14:paraId="763CF581" w14:textId="15C88A17" w:rsidR="00234DF8" w:rsidRPr="00E2105D" w:rsidRDefault="00234DF8" w:rsidP="008A23B0">
      <w:pPr>
        <w:pStyle w:val="ParagraphOED"/>
        <w:numPr>
          <w:ilvl w:val="0"/>
          <w:numId w:val="1"/>
        </w:numPr>
        <w:spacing w:after="0" w:line="259" w:lineRule="auto"/>
        <w:rPr>
          <w:szCs w:val="21"/>
          <w:highlight w:val="yellow"/>
        </w:rPr>
      </w:pPr>
      <w:r w:rsidRPr="7E3AE94A">
        <w:rPr>
          <w:highlight w:val="yellow"/>
        </w:rPr>
        <w:t xml:space="preserve">Promote the sustainable management of the forest resources which make a significant </w:t>
      </w:r>
      <w:r w:rsidRPr="00E2105D">
        <w:rPr>
          <w:highlight w:val="yellow"/>
        </w:rPr>
        <w:t xml:space="preserve">contribution to food and nutrition security, helping ward off debilitating micronutrient deficiencies while diversifying diets and livelihood. </w:t>
      </w:r>
    </w:p>
    <w:p w14:paraId="1BA35FA9" w14:textId="49664270" w:rsidR="00234DF8" w:rsidRPr="00E2105D" w:rsidRDefault="00234DF8" w:rsidP="008A23B0">
      <w:pPr>
        <w:pStyle w:val="ParagraphOED"/>
        <w:numPr>
          <w:ilvl w:val="0"/>
          <w:numId w:val="1"/>
        </w:numPr>
        <w:spacing w:after="0" w:line="259" w:lineRule="auto"/>
        <w:rPr>
          <w:szCs w:val="21"/>
          <w:highlight w:val="yellow"/>
        </w:rPr>
      </w:pPr>
      <w:r w:rsidRPr="005B4C17">
        <w:rPr>
          <w:highlight w:val="yellow"/>
        </w:rPr>
        <w:t xml:space="preserve">Supporting </w:t>
      </w:r>
      <w:r w:rsidRPr="00E2105D">
        <w:rPr>
          <w:highlight w:val="yellow"/>
        </w:rPr>
        <w:t xml:space="preserve">the sustainable use of woodfuel (which remains the main source of energy for cooking) and therefore energy and food security. </w:t>
      </w:r>
    </w:p>
    <w:p w14:paraId="65998B5E" w14:textId="77777777" w:rsidR="00234DF8" w:rsidRPr="00E2105D" w:rsidRDefault="00234DF8" w:rsidP="008A23B0">
      <w:pPr>
        <w:pStyle w:val="ParagraphOED"/>
        <w:numPr>
          <w:ilvl w:val="0"/>
          <w:numId w:val="0"/>
        </w:numPr>
        <w:spacing w:after="0" w:line="259" w:lineRule="auto"/>
        <w:rPr>
          <w:szCs w:val="21"/>
          <w:highlight w:val="yellow"/>
        </w:rPr>
      </w:pPr>
    </w:p>
    <w:p w14:paraId="4E847F19" w14:textId="77777777" w:rsidR="00234DF8" w:rsidRPr="00E2105D" w:rsidRDefault="00234DF8" w:rsidP="001667C6">
      <w:pPr>
        <w:pStyle w:val="ParagraphOED"/>
        <w:numPr>
          <w:ilvl w:val="0"/>
          <w:numId w:val="102"/>
        </w:numPr>
        <w:spacing w:after="0" w:line="259" w:lineRule="auto"/>
        <w:rPr>
          <w:highlight w:val="yellow"/>
        </w:rPr>
      </w:pPr>
      <w:r w:rsidRPr="7E3AE94A">
        <w:rPr>
          <w:highlight w:val="yellow"/>
        </w:rPr>
        <w:t>The project interventions in the field will be accompanied by applying FAO resource handbook for running farmer field schools (FFS) during the COVID-19 pandemic:  </w:t>
      </w:r>
      <w:hyperlink r:id="rId60">
        <w:r w:rsidRPr="008A23B0">
          <w:rPr>
            <w:highlight w:val="yellow"/>
          </w:rPr>
          <w:t>http://www.fao.org/3/ca9064en/ca9064en.pdf</w:t>
        </w:r>
      </w:hyperlink>
      <w:r w:rsidRPr="00102231">
        <w:rPr>
          <w:highlight w:val="yellow"/>
        </w:rPr>
        <w:t xml:space="preserve"> </w:t>
      </w:r>
    </w:p>
    <w:p w14:paraId="1EA66903" w14:textId="2D13C911" w:rsidR="00234DF8" w:rsidRPr="00102231" w:rsidRDefault="00234DF8" w:rsidP="00102231">
      <w:pPr>
        <w:pStyle w:val="ParagraphOED"/>
        <w:numPr>
          <w:ilvl w:val="0"/>
          <w:numId w:val="0"/>
        </w:numPr>
        <w:spacing w:after="0" w:line="259" w:lineRule="auto"/>
        <w:ind w:left="720"/>
        <w:rPr>
          <w:highlight w:val="yellow"/>
        </w:rPr>
      </w:pPr>
      <w:r w:rsidRPr="7E3AE94A">
        <w:rPr>
          <w:highlight w:val="yellow"/>
        </w:rPr>
        <w:t xml:space="preserve">The handbook has two main purposes. First, it contains guidelines that focus on reducing risks of COVID-19 </w:t>
      </w:r>
      <w:r w:rsidRPr="00E2105D">
        <w:rPr>
          <w:highlight w:val="yellow"/>
        </w:rPr>
        <w:t>community transmission when running FFS and other agricultural training activities, based on WHO recommendations adapted to the context of FFS. Second, it aims to guide practitioners in using FFS positively to disseminate basic protective measures and build effective responses to the COVID-19 pandemic. To this end, a set of 21 learning activities to integrate COVID-19-related topics in FFS and help communities respond to the challenges they face.</w:t>
      </w:r>
    </w:p>
    <w:p w14:paraId="00A6FE79" w14:textId="7DC08AE9" w:rsidR="007D76FA" w:rsidRPr="00E2105D" w:rsidRDefault="007D76FA" w:rsidP="001667C6">
      <w:pPr>
        <w:pStyle w:val="ParagraphOED"/>
        <w:numPr>
          <w:ilvl w:val="0"/>
          <w:numId w:val="102"/>
        </w:numPr>
        <w:spacing w:after="0" w:line="259" w:lineRule="auto"/>
        <w:rPr>
          <w:highlight w:val="yellow"/>
          <w:lang w:val="en-GB"/>
        </w:rPr>
      </w:pPr>
      <w:r w:rsidRPr="7E3AE94A">
        <w:rPr>
          <w:highlight w:val="yellow"/>
          <w:lang w:val="en-GB"/>
        </w:rPr>
        <w:t xml:space="preserve">The </w:t>
      </w:r>
      <w:r w:rsidR="00AB6E2C">
        <w:rPr>
          <w:highlight w:val="yellow"/>
          <w:lang w:val="en-GB"/>
        </w:rPr>
        <w:t>project’s</w:t>
      </w:r>
      <w:r w:rsidRPr="7E3AE94A">
        <w:rPr>
          <w:highlight w:val="yellow"/>
          <w:lang w:val="en-GB"/>
        </w:rPr>
        <w:t xml:space="preserve"> meetings and workshops will be carried out electronically through Zoom or similar system, ensuring a minimum representation of all interested stakeholder groups. To the extent possible, and depending on changes in the Malawian government regulations on limitations on the number of people who can meet and on the movement of people within / outside the country and within / outside the target districts, the project will try to group the maximum number of people legally possible in a common space, to minimize the problems derived from Zoom meetings with multiple people. The project team will request the respect of all legal measures established by the government when people gather, such as a mask, hand washing, safety distance, ventilation of the meeting space, maximum meeting time, etc</w:t>
      </w:r>
    </w:p>
    <w:p w14:paraId="581C3CCA" w14:textId="77777777" w:rsidR="007D76FA" w:rsidRPr="00E2105D" w:rsidRDefault="007D76FA" w:rsidP="008A23B0">
      <w:pPr>
        <w:pStyle w:val="ParagraphOED"/>
        <w:numPr>
          <w:ilvl w:val="0"/>
          <w:numId w:val="0"/>
        </w:numPr>
        <w:spacing w:after="0" w:line="259" w:lineRule="auto"/>
        <w:rPr>
          <w:szCs w:val="21"/>
          <w:highlight w:val="yellow"/>
          <w:lang w:val="en-GB"/>
        </w:rPr>
      </w:pPr>
    </w:p>
    <w:p w14:paraId="71176A22" w14:textId="096CCA62" w:rsidR="00234DF8" w:rsidRDefault="00234DF8" w:rsidP="001667C6">
      <w:pPr>
        <w:pStyle w:val="ParagraphOED"/>
        <w:numPr>
          <w:ilvl w:val="0"/>
          <w:numId w:val="102"/>
        </w:numPr>
        <w:spacing w:after="0" w:line="259" w:lineRule="auto"/>
      </w:pPr>
      <w:r w:rsidRPr="7E3AE94A">
        <w:rPr>
          <w:highlight w:val="yellow"/>
        </w:rPr>
        <w:t xml:space="preserve">All participatory events (e.g. for the elaboration of </w:t>
      </w:r>
      <w:r w:rsidRPr="2E320090">
        <w:rPr>
          <w:highlight w:val="yellow"/>
        </w:rPr>
        <w:t>Integrated Land-Use Plans (ILUPs) will be used</w:t>
      </w:r>
      <w:r w:rsidRPr="7E3AE94A">
        <w:rPr>
          <w:highlight w:val="yellow"/>
        </w:rPr>
        <w:t xml:space="preserve"> to: (i) counter spread of fake news on COVID-19, (ii) equip and train front-line project facilitators and field workers, and community leaders, about COVID-19 related knowledge; (iii) raise awareness and disseminate information about COVID-19 impacts and response measures in agriculture, forestry, food security and nutrition; and (iv) inform about and encourage the observation of the official rules to be followed to avoid contagion and transmission.</w:t>
      </w:r>
      <w:r>
        <w:t xml:space="preserve"> </w:t>
      </w:r>
    </w:p>
    <w:p w14:paraId="2A4F9696" w14:textId="77777777" w:rsidR="00234DF8" w:rsidRDefault="00234DF8" w:rsidP="00AB6E2C">
      <w:pPr>
        <w:pStyle w:val="ParagraphOED"/>
        <w:numPr>
          <w:ilvl w:val="0"/>
          <w:numId w:val="0"/>
        </w:numPr>
        <w:spacing w:after="0" w:line="259" w:lineRule="auto"/>
        <w:rPr>
          <w:szCs w:val="21"/>
        </w:rPr>
      </w:pPr>
    </w:p>
    <w:p w14:paraId="2A7E38A7" w14:textId="77777777" w:rsidR="00234DF8" w:rsidRPr="00234DF8" w:rsidRDefault="00234DF8" w:rsidP="008F0964">
      <w:pPr>
        <w:rPr>
          <w:lang w:eastAsia="en-US"/>
        </w:rPr>
      </w:pPr>
    </w:p>
    <w:p w14:paraId="718A9059" w14:textId="362BC104" w:rsidR="009563B4" w:rsidRPr="002E657D" w:rsidRDefault="0001041C" w:rsidP="002E657D">
      <w:pPr>
        <w:pStyle w:val="Heading4"/>
        <w:widowControl w:val="0"/>
        <w:shd w:val="clear" w:color="auto" w:fill="F7CAAC" w:themeFill="accent2" w:themeFillTint="66"/>
        <w:spacing w:before="240" w:after="160"/>
        <w:rPr>
          <w:rFonts w:ascii="Calibri" w:hAnsi="Calibri" w:cs="Calibri"/>
          <w:u w:val="none"/>
        </w:rPr>
      </w:pPr>
      <w:bookmarkStart w:id="107" w:name="_Ref41349858"/>
      <w:bookmarkStart w:id="108" w:name="_Toc42027115"/>
      <w:bookmarkStart w:id="109" w:name="_Toc42262623"/>
      <w:r w:rsidRPr="002E657D">
        <w:rPr>
          <w:rFonts w:ascii="Calibri" w:hAnsi="Calibri" w:cs="Calibri"/>
          <w:u w:val="none"/>
        </w:rPr>
        <w:t>Component 1. Enabling frameworks for LDN at national and landscape levels</w:t>
      </w:r>
      <w:bookmarkEnd w:id="107"/>
      <w:bookmarkEnd w:id="108"/>
      <w:bookmarkEnd w:id="109"/>
    </w:p>
    <w:p w14:paraId="3A503C30" w14:textId="05E22CF3" w:rsidR="009563B4" w:rsidRPr="002E657D" w:rsidRDefault="009563B4" w:rsidP="001667C6">
      <w:pPr>
        <w:pStyle w:val="ParagraphOED"/>
        <w:numPr>
          <w:ilvl w:val="0"/>
          <w:numId w:val="102"/>
        </w:numPr>
        <w:spacing w:after="160"/>
      </w:pPr>
      <w:r>
        <w:t xml:space="preserve">In the DLS IP harmonized approach, Component 1 is </w:t>
      </w:r>
      <w:r w:rsidR="00527B8E">
        <w:t>focused</w:t>
      </w:r>
      <w:r w:rsidR="007D0F7B">
        <w:t xml:space="preserve"> on</w:t>
      </w:r>
      <w:r>
        <w:t xml:space="preserve"> the enabling environment for LDN</w:t>
      </w:r>
      <w:r w:rsidR="00C27253">
        <w:t xml:space="preserve">, such as </w:t>
      </w:r>
      <w:r w:rsidR="001B248C">
        <w:t>land-use plan</w:t>
      </w:r>
      <w:r w:rsidR="00C27253">
        <w:t>ning</w:t>
      </w:r>
      <w:r w:rsidR="0013386A">
        <w:t xml:space="preserve"> policy</w:t>
      </w:r>
      <w:r>
        <w:t xml:space="preserve">. </w:t>
      </w:r>
      <w:r w:rsidR="00607041">
        <w:t>This applies similarly to</w:t>
      </w:r>
      <w:r w:rsidR="00A67A60">
        <w:t xml:space="preserve"> Component 1 of </w:t>
      </w:r>
      <w:r>
        <w:t>the Angola Child Project,</w:t>
      </w:r>
      <w:r w:rsidR="00C27253">
        <w:t xml:space="preserve"> </w:t>
      </w:r>
      <w:r w:rsidR="008276EA">
        <w:t xml:space="preserve">while Component 2 </w:t>
      </w:r>
      <w:r w:rsidR="00812203">
        <w:t>is concerned with</w:t>
      </w:r>
      <w:r>
        <w:t xml:space="preserve"> the </w:t>
      </w:r>
      <w:r w:rsidR="00A3427B">
        <w:t xml:space="preserve">operationalization </w:t>
      </w:r>
      <w:r w:rsidR="00412FD9">
        <w:t xml:space="preserve">of </w:t>
      </w:r>
      <w:r w:rsidR="001B248C">
        <w:t>land-use plan</w:t>
      </w:r>
      <w:r>
        <w:t>ning</w:t>
      </w:r>
      <w:r w:rsidR="0000380C">
        <w:t xml:space="preserve"> and land management</w:t>
      </w:r>
      <w:r w:rsidR="002A38D5">
        <w:t>.</w:t>
      </w:r>
      <w:r>
        <w:t xml:space="preserve"> </w:t>
      </w:r>
    </w:p>
    <w:p w14:paraId="4806E6FC" w14:textId="621B5954" w:rsidR="00153D6D" w:rsidRDefault="009563B4" w:rsidP="001667C6">
      <w:pPr>
        <w:pStyle w:val="ParagraphOED"/>
        <w:numPr>
          <w:ilvl w:val="0"/>
          <w:numId w:val="102"/>
        </w:numPr>
        <w:spacing w:after="160"/>
      </w:pPr>
      <w:r w:rsidRPr="00CE1EA7">
        <w:t xml:space="preserve">Component 1 draws </w:t>
      </w:r>
      <w:r w:rsidR="007E127D" w:rsidRPr="00CE1EA7">
        <w:t xml:space="preserve">directly </w:t>
      </w:r>
      <w:r w:rsidRPr="00CE1EA7">
        <w:t xml:space="preserve">from </w:t>
      </w:r>
      <w:r w:rsidR="00840753">
        <w:t>recent</w:t>
      </w:r>
      <w:r w:rsidRPr="00CE1EA7">
        <w:t xml:space="preserve"> UNCCD </w:t>
      </w:r>
      <w:r w:rsidRPr="002E1E5A">
        <w:t>guid</w:t>
      </w:r>
      <w:r w:rsidR="00840753" w:rsidRPr="002E1E5A">
        <w:t xml:space="preserve">ance </w:t>
      </w:r>
      <w:r w:rsidR="002E1E5A" w:rsidRPr="002E1E5A">
        <w:t>on the</w:t>
      </w:r>
      <w:r w:rsidRPr="002E1E5A">
        <w:t xml:space="preserve"> </w:t>
      </w:r>
      <w:r w:rsidR="002E1E5A" w:rsidRPr="002E1E5A">
        <w:t>e</w:t>
      </w:r>
      <w:r w:rsidRPr="002E1E5A">
        <w:t xml:space="preserve">nabling </w:t>
      </w:r>
      <w:r w:rsidR="002E1E5A" w:rsidRPr="002E1E5A">
        <w:t>e</w:t>
      </w:r>
      <w:r w:rsidRPr="002E1E5A">
        <w:t>nvironment for L</w:t>
      </w:r>
      <w:r w:rsidR="002E1E5A" w:rsidRPr="002E1E5A">
        <w:t>DN</w:t>
      </w:r>
      <w:bookmarkStart w:id="110" w:name="_Ref48029850"/>
      <w:r w:rsidRPr="00CE1EA7">
        <w:rPr>
          <w:rStyle w:val="FootnoteReference"/>
        </w:rPr>
        <w:footnoteReference w:id="61"/>
      </w:r>
      <w:bookmarkEnd w:id="110"/>
      <w:r w:rsidRPr="00CE1EA7">
        <w:t xml:space="preserve">. It </w:t>
      </w:r>
      <w:r w:rsidR="000063FE">
        <w:t>identifies</w:t>
      </w:r>
      <w:r w:rsidR="000063FE" w:rsidRPr="00CE1EA7">
        <w:t xml:space="preserve"> </w:t>
      </w:r>
      <w:r w:rsidRPr="00CE1EA7">
        <w:t xml:space="preserve">the conditions necessary for a country to successfully pursue an LDN-oriented land degradation </w:t>
      </w:r>
      <w:r w:rsidR="00CD4A6C" w:rsidRPr="00CE1EA7">
        <w:t xml:space="preserve">strategy </w:t>
      </w:r>
      <w:r w:rsidRPr="00CE1EA7">
        <w:t>and the multiple ben</w:t>
      </w:r>
      <w:r w:rsidRPr="0017400A">
        <w:t xml:space="preserve">efits </w:t>
      </w:r>
      <w:r w:rsidR="00153D6D">
        <w:t>generated from implementing s</w:t>
      </w:r>
      <w:r w:rsidR="00BE05AC">
        <w:t>u</w:t>
      </w:r>
      <w:r w:rsidR="00153D6D">
        <w:t>ch a</w:t>
      </w:r>
      <w:r w:rsidR="00BE05AC">
        <w:t xml:space="preserve"> </w:t>
      </w:r>
      <w:r w:rsidR="00153D6D">
        <w:t>strategy</w:t>
      </w:r>
      <w:r w:rsidR="003D6B10">
        <w:t xml:space="preserve"> at national</w:t>
      </w:r>
      <w:r w:rsidR="00F54CFD">
        <w:t>, regional or local levels</w:t>
      </w:r>
      <w:r w:rsidR="00153D6D">
        <w:t>.</w:t>
      </w:r>
    </w:p>
    <w:p w14:paraId="3363BAF1" w14:textId="244717DD" w:rsidR="009563B4" w:rsidRPr="0017400A" w:rsidRDefault="000603FE" w:rsidP="001667C6">
      <w:pPr>
        <w:pStyle w:val="ParagraphOED"/>
        <w:numPr>
          <w:ilvl w:val="0"/>
          <w:numId w:val="102"/>
        </w:numPr>
        <w:spacing w:after="160"/>
      </w:pPr>
      <w:r>
        <w:t>Conditions</w:t>
      </w:r>
      <w:r w:rsidR="009563B4">
        <w:t xml:space="preserve"> pertaining to the enabling environment</w:t>
      </w:r>
      <w:r w:rsidR="00787CFA">
        <w:t xml:space="preserve"> necessary</w:t>
      </w:r>
      <w:r w:rsidR="009563B4">
        <w:t xml:space="preserve"> for</w:t>
      </w:r>
      <w:r w:rsidR="00787CFA">
        <w:t xml:space="preserve"> achieving</w:t>
      </w:r>
      <w:r w:rsidR="009563B4">
        <w:t xml:space="preserve"> LDN </w:t>
      </w:r>
      <w:r w:rsidR="00787CFA">
        <w:t xml:space="preserve">align well </w:t>
      </w:r>
      <w:r w:rsidR="003C36EE">
        <w:t>with PPG findings</w:t>
      </w:r>
      <w:r w:rsidR="002955DF">
        <w:t>, such as those</w:t>
      </w:r>
      <w:r w:rsidR="003C36EE">
        <w:t xml:space="preserve"> </w:t>
      </w:r>
      <w:r w:rsidR="00BF6EF9">
        <w:t xml:space="preserve">based on </w:t>
      </w:r>
      <w:r w:rsidR="009563B4">
        <w:t>RS assessment</w:t>
      </w:r>
      <w:r w:rsidR="00BC7A06">
        <w:t xml:space="preserve"> </w:t>
      </w:r>
      <w:r w:rsidR="00EA36ED">
        <w:t xml:space="preserve">and </w:t>
      </w:r>
      <w:r w:rsidR="009563B4">
        <w:t>stakeholders</w:t>
      </w:r>
      <w:r w:rsidR="00B12C12">
        <w:t xml:space="preserve">’ </w:t>
      </w:r>
      <w:r w:rsidR="009563B4">
        <w:t>perceptions of land degradation</w:t>
      </w:r>
      <w:r w:rsidR="00A3020A">
        <w:t>, combining scien</w:t>
      </w:r>
      <w:r w:rsidR="00BC17AD">
        <w:t>tific evidence</w:t>
      </w:r>
      <w:r w:rsidR="00EE6947">
        <w:t xml:space="preserve"> with experiential</w:t>
      </w:r>
      <w:r w:rsidR="0056124E">
        <w:t xml:space="preserve"> </w:t>
      </w:r>
      <w:r w:rsidR="007C0A48">
        <w:t>observations</w:t>
      </w:r>
      <w:r w:rsidR="00EE6947">
        <w:t>.</w:t>
      </w:r>
      <w:r w:rsidR="009563B4">
        <w:t xml:space="preserve"> Additionally, the importance of contextual analysis is highlighted</w:t>
      </w:r>
      <w:r w:rsidR="00EA30D9">
        <w:t>: for example</w:t>
      </w:r>
      <w:r w:rsidR="00817B10">
        <w:t xml:space="preserve">, </w:t>
      </w:r>
      <w:r w:rsidR="009563B4">
        <w:t xml:space="preserve">the socio-economic background analysis that underpinned the Barrier Analysis, Baseline SHARP survey </w:t>
      </w:r>
      <w:r w:rsidR="009563B4">
        <w:lastRenderedPageBreak/>
        <w:t xml:space="preserve">and Capacity Needs Assessment. All </w:t>
      </w:r>
      <w:r w:rsidR="00D83A43">
        <w:t xml:space="preserve">of </w:t>
      </w:r>
      <w:r w:rsidR="009563B4">
        <w:t>the</w:t>
      </w:r>
      <w:r w:rsidR="00D83A43">
        <w:t>se</w:t>
      </w:r>
      <w:r w:rsidR="009563B4">
        <w:t xml:space="preserve"> assessments</w:t>
      </w:r>
      <w:r w:rsidR="00925F3C">
        <w:t xml:space="preserve">, surveys and analyses </w:t>
      </w:r>
      <w:r w:rsidR="009563B4">
        <w:t xml:space="preserve">carried out during the PPG </w:t>
      </w:r>
      <w:r w:rsidR="008C7CEC">
        <w:t>have informed</w:t>
      </w:r>
      <w:r w:rsidR="009563B4">
        <w:t xml:space="preserve"> the design of interventions. </w:t>
      </w:r>
    </w:p>
    <w:p w14:paraId="14077D7B" w14:textId="43AF4C39" w:rsidR="009563B4" w:rsidRPr="00CE1EA7" w:rsidRDefault="003F6406" w:rsidP="001667C6">
      <w:pPr>
        <w:pStyle w:val="ParagraphOED"/>
        <w:numPr>
          <w:ilvl w:val="0"/>
          <w:numId w:val="102"/>
        </w:numPr>
        <w:spacing w:after="160"/>
      </w:pPr>
      <w:r>
        <w:t xml:space="preserve">It is helpful </w:t>
      </w:r>
      <w:r w:rsidR="00F447B7">
        <w:t xml:space="preserve">to </w:t>
      </w:r>
      <w:r w:rsidR="007D6576">
        <w:t>follow</w:t>
      </w:r>
      <w:r w:rsidR="00F447B7">
        <w:t xml:space="preserve"> </w:t>
      </w:r>
      <w:r w:rsidR="002C638C">
        <w:t xml:space="preserve">the </w:t>
      </w:r>
      <w:r w:rsidR="00B379C6">
        <w:t xml:space="preserve">aforementioned </w:t>
      </w:r>
      <w:r w:rsidR="00F447B7">
        <w:t xml:space="preserve">UNCCD guidance </w:t>
      </w:r>
      <w:r w:rsidR="00B379C6">
        <w:t xml:space="preserve">and </w:t>
      </w:r>
      <w:r w:rsidR="009563B4" w:rsidRPr="1E65A5F7">
        <w:rPr>
          <w:b/>
          <w:bCs/>
        </w:rPr>
        <w:t>structure</w:t>
      </w:r>
      <w:r w:rsidR="00941E60" w:rsidRPr="1E65A5F7">
        <w:rPr>
          <w:b/>
          <w:bCs/>
        </w:rPr>
        <w:t xml:space="preserve"> the enabling environment</w:t>
      </w:r>
      <w:r w:rsidR="003B3FF7" w:rsidRPr="1E65A5F7">
        <w:rPr>
          <w:b/>
          <w:bCs/>
        </w:rPr>
        <w:t xml:space="preserve"> </w:t>
      </w:r>
      <w:r w:rsidR="009563B4" w:rsidRPr="1E65A5F7">
        <w:rPr>
          <w:b/>
          <w:bCs/>
        </w:rPr>
        <w:t>around</w:t>
      </w:r>
      <w:r w:rsidR="009563B4">
        <w:t xml:space="preserve"> </w:t>
      </w:r>
      <w:r w:rsidR="009563B4" w:rsidRPr="1E65A5F7">
        <w:rPr>
          <w:b/>
          <w:bCs/>
        </w:rPr>
        <w:t>four dimensions</w:t>
      </w:r>
      <w:r w:rsidR="00CD454A" w:rsidRPr="1E65A5F7">
        <w:rPr>
          <w:b/>
          <w:bCs/>
        </w:rPr>
        <w:t xml:space="preserve">, which in turn </w:t>
      </w:r>
      <w:r w:rsidR="00585DAC" w:rsidRPr="1E65A5F7">
        <w:rPr>
          <w:b/>
          <w:bCs/>
        </w:rPr>
        <w:t>are</w:t>
      </w:r>
      <w:r w:rsidR="00CD454A" w:rsidRPr="1E65A5F7">
        <w:rPr>
          <w:b/>
          <w:bCs/>
        </w:rPr>
        <w:t xml:space="preserve"> di</w:t>
      </w:r>
      <w:r w:rsidR="009543FB" w:rsidRPr="1E65A5F7">
        <w:rPr>
          <w:b/>
          <w:bCs/>
        </w:rPr>
        <w:t>ffer</w:t>
      </w:r>
      <w:r w:rsidR="00CD454A" w:rsidRPr="1E65A5F7">
        <w:rPr>
          <w:b/>
          <w:bCs/>
        </w:rPr>
        <w:t xml:space="preserve">entiated into </w:t>
      </w:r>
      <w:r w:rsidR="009563B4" w:rsidRPr="1E65A5F7">
        <w:rPr>
          <w:b/>
          <w:bCs/>
        </w:rPr>
        <w:t>15 elements</w:t>
      </w:r>
      <w:r w:rsidR="00A13C68" w:rsidRPr="1E65A5F7">
        <w:rPr>
          <w:b/>
          <w:bCs/>
        </w:rPr>
        <w:t xml:space="preserve"> </w:t>
      </w:r>
      <w:r w:rsidR="00A13C68">
        <w:t>that are</w:t>
      </w:r>
      <w:r w:rsidR="00A13C68" w:rsidRPr="1E65A5F7">
        <w:rPr>
          <w:b/>
          <w:bCs/>
        </w:rPr>
        <w:t xml:space="preserve"> </w:t>
      </w:r>
      <w:r w:rsidR="009563B4">
        <w:t xml:space="preserve">considered </w:t>
      </w:r>
      <w:r w:rsidR="00A13C68">
        <w:t xml:space="preserve">to be </w:t>
      </w:r>
      <w:r w:rsidR="009563B4">
        <w:t xml:space="preserve">most relevant </w:t>
      </w:r>
      <w:r w:rsidR="0051121A">
        <w:t xml:space="preserve">to </w:t>
      </w:r>
      <w:r w:rsidR="00A36FE2">
        <w:t>de</w:t>
      </w:r>
      <w:r w:rsidR="00BC1285">
        <w:t xml:space="preserve">liver </w:t>
      </w:r>
      <w:r w:rsidR="009563B4">
        <w:t>LDN</w:t>
      </w:r>
      <w:r w:rsidR="00BC1285">
        <w:t xml:space="preserve">. </w:t>
      </w:r>
      <w:r w:rsidR="009563B4">
        <w:t xml:space="preserve">These are listed in </w:t>
      </w:r>
      <w:r>
        <w:fldChar w:fldCharType="begin"/>
      </w:r>
      <w:r>
        <w:instrText xml:space="preserve"> REF _Ref41252555 \h  \* MERGEFORMAT </w:instrText>
      </w:r>
      <w:r>
        <w:fldChar w:fldCharType="separate"/>
      </w:r>
      <w:r w:rsidR="00A64193">
        <w:t>Table 2</w:t>
      </w:r>
      <w:r>
        <w:fldChar w:fldCharType="end"/>
      </w:r>
      <w:r w:rsidR="00F03F11">
        <w:t xml:space="preserve"> </w:t>
      </w:r>
      <w:r w:rsidR="00457282">
        <w:t xml:space="preserve">as a </w:t>
      </w:r>
      <w:r w:rsidR="006D36AF">
        <w:t xml:space="preserve">check against </w:t>
      </w:r>
      <w:r w:rsidR="00444AE2">
        <w:t>project</w:t>
      </w:r>
      <w:r w:rsidR="001345AD">
        <w:t xml:space="preserve"> </w:t>
      </w:r>
      <w:r w:rsidR="009563B4">
        <w:t xml:space="preserve">Outputs </w:t>
      </w:r>
      <w:r w:rsidR="001345AD">
        <w:t>(mostly</w:t>
      </w:r>
      <w:r w:rsidR="009563B4">
        <w:t xml:space="preserve"> </w:t>
      </w:r>
      <w:r w:rsidR="000F4363">
        <w:t xml:space="preserve">from </w:t>
      </w:r>
      <w:r w:rsidR="009563B4">
        <w:t>Component</w:t>
      </w:r>
      <w:r w:rsidR="00F636F9">
        <w:t>s</w:t>
      </w:r>
      <w:r w:rsidR="009563B4">
        <w:t xml:space="preserve"> 1</w:t>
      </w:r>
      <w:r w:rsidR="00F636F9">
        <w:t>-</w:t>
      </w:r>
      <w:r w:rsidR="009563B4">
        <w:t>2</w:t>
      </w:r>
      <w:r w:rsidR="00F636F9">
        <w:t>)</w:t>
      </w:r>
      <w:r w:rsidR="000C0D91">
        <w:t xml:space="preserve"> </w:t>
      </w:r>
      <w:r w:rsidR="00FC0303">
        <w:t>to</w:t>
      </w:r>
      <w:r w:rsidR="001C38F0">
        <w:t xml:space="preserve"> ensure that relevant enabling elements (criteria) have been included </w:t>
      </w:r>
      <w:r w:rsidR="00825849">
        <w:t xml:space="preserve">in </w:t>
      </w:r>
      <w:r w:rsidR="00887554">
        <w:t>the P</w:t>
      </w:r>
      <w:r w:rsidR="00D06136">
        <w:t xml:space="preserve">roject </w:t>
      </w:r>
      <w:r w:rsidR="00CE1755">
        <w:t>S</w:t>
      </w:r>
      <w:r w:rsidR="00D06136">
        <w:t xml:space="preserve">trategy. </w:t>
      </w:r>
      <w:r w:rsidR="009563B4">
        <w:t>Most element</w:t>
      </w:r>
      <w:r w:rsidR="00CE1755">
        <w:t>s</w:t>
      </w:r>
      <w:r w:rsidR="008B5676">
        <w:t xml:space="preserve"> are</w:t>
      </w:r>
      <w:r w:rsidR="009563B4">
        <w:t xml:space="preserve"> </w:t>
      </w:r>
      <w:r w:rsidR="00E62570">
        <w:t>shown</w:t>
      </w:r>
      <w:r w:rsidR="009563B4">
        <w:t xml:space="preserve"> </w:t>
      </w:r>
      <w:r w:rsidR="008B5676">
        <w:t xml:space="preserve">to be </w:t>
      </w:r>
      <w:r w:rsidR="009563B4">
        <w:t>directly relevant to the project.</w:t>
      </w:r>
    </w:p>
    <w:p w14:paraId="53066A5B" w14:textId="1A028155" w:rsidR="009563B4" w:rsidRPr="00114C63" w:rsidRDefault="009563B4" w:rsidP="00A42364">
      <w:pPr>
        <w:pStyle w:val="Caption"/>
        <w:ind w:left="993" w:hanging="993"/>
        <w:jc w:val="left"/>
      </w:pPr>
      <w:bookmarkStart w:id="111" w:name="_Ref41252555"/>
      <w:bookmarkStart w:id="112" w:name="_Toc42027215"/>
      <w:bookmarkStart w:id="113" w:name="_Toc42089589"/>
      <w:bookmarkStart w:id="114" w:name="_Toc58398633"/>
      <w:r w:rsidRPr="00777CB1">
        <w:t xml:space="preserve">Table </w:t>
      </w:r>
      <w:r w:rsidRPr="00777CB1">
        <w:fldChar w:fldCharType="begin"/>
      </w:r>
      <w:r w:rsidRPr="00777CB1">
        <w:instrText>SEQ Table \* ARABIC</w:instrText>
      </w:r>
      <w:r w:rsidRPr="00777CB1">
        <w:fldChar w:fldCharType="separate"/>
      </w:r>
      <w:r w:rsidR="007D3608">
        <w:rPr>
          <w:noProof/>
        </w:rPr>
        <w:t>3</w:t>
      </w:r>
      <w:r w:rsidRPr="00777CB1">
        <w:fldChar w:fldCharType="end"/>
      </w:r>
      <w:bookmarkEnd w:id="111"/>
      <w:r w:rsidRPr="00777CB1">
        <w:t>.</w:t>
      </w:r>
      <w:r w:rsidR="00DF649D">
        <w:t xml:space="preserve"> </w:t>
      </w:r>
      <w:r w:rsidR="000B4A60" w:rsidRPr="00777CB1">
        <w:t xml:space="preserve">Alignment </w:t>
      </w:r>
      <w:r w:rsidR="00EC5096">
        <w:t>of</w:t>
      </w:r>
      <w:r w:rsidR="000B4A60" w:rsidRPr="00777CB1">
        <w:t xml:space="preserve"> Project Strategy</w:t>
      </w:r>
      <w:r w:rsidR="004C51F9">
        <w:t xml:space="preserve"> </w:t>
      </w:r>
      <w:r w:rsidR="00EC5096">
        <w:t>with</w:t>
      </w:r>
      <w:r w:rsidR="00AC5BDB">
        <w:t xml:space="preserve"> </w:t>
      </w:r>
      <w:r w:rsidR="004C51F9">
        <w:t xml:space="preserve">elements of a </w:t>
      </w:r>
      <w:r w:rsidR="00AC5BDB">
        <w:t>f</w:t>
      </w:r>
      <w:r w:rsidR="00856474">
        <w:t xml:space="preserve">our dimensional </w:t>
      </w:r>
      <w:r w:rsidR="002D5B24">
        <w:t xml:space="preserve">LDN </w:t>
      </w:r>
      <w:r w:rsidRPr="00777CB1">
        <w:t>enabling environment</w:t>
      </w:r>
      <w:bookmarkEnd w:id="112"/>
      <w:bookmarkEnd w:id="113"/>
      <w:bookmarkEnd w:id="114"/>
    </w:p>
    <w:tbl>
      <w:tblPr>
        <w:tblW w:w="10485" w:type="dxa"/>
        <w:tblLook w:val="04A0" w:firstRow="1" w:lastRow="0" w:firstColumn="1" w:lastColumn="0" w:noHBand="0" w:noVBand="1"/>
      </w:tblPr>
      <w:tblGrid>
        <w:gridCol w:w="1617"/>
        <w:gridCol w:w="6600"/>
        <w:gridCol w:w="2268"/>
      </w:tblGrid>
      <w:tr w:rsidR="009563B4" w:rsidRPr="00CE1EA7" w14:paraId="53FBE543" w14:textId="77777777" w:rsidTr="00656BC1">
        <w:trPr>
          <w:cantSplit/>
          <w:trHeight w:val="556"/>
          <w:tblHeader/>
        </w:trPr>
        <w:tc>
          <w:tcPr>
            <w:tcW w:w="1617" w:type="dxa"/>
            <w:tcBorders>
              <w:top w:val="single" w:sz="4" w:space="0" w:color="auto"/>
              <w:left w:val="single" w:sz="4" w:space="0" w:color="auto"/>
              <w:bottom w:val="single" w:sz="4" w:space="0" w:color="auto"/>
              <w:right w:val="single" w:sz="4" w:space="0" w:color="auto"/>
            </w:tcBorders>
            <w:shd w:val="clear" w:color="000000" w:fill="E7E6E6"/>
            <w:noWrap/>
            <w:tcMar>
              <w:left w:w="57" w:type="dxa"/>
              <w:right w:w="28" w:type="dxa"/>
            </w:tcMar>
            <w:vAlign w:val="center"/>
          </w:tcPr>
          <w:p w14:paraId="382AF8AE" w14:textId="60F75BC7" w:rsidR="009563B4" w:rsidRPr="00CE1EA7" w:rsidRDefault="00E575DA" w:rsidP="00E575DA">
            <w:pPr>
              <w:jc w:val="center"/>
              <w:rPr>
                <w:rFonts w:cs="Calibri"/>
                <w:b/>
                <w:bCs/>
                <w:sz w:val="16"/>
                <w:szCs w:val="16"/>
              </w:rPr>
            </w:pPr>
            <w:r>
              <w:rPr>
                <w:rFonts w:cs="Calibri"/>
                <w:b/>
                <w:bCs/>
                <w:sz w:val="16"/>
                <w:szCs w:val="16"/>
              </w:rPr>
              <w:t>E</w:t>
            </w:r>
            <w:r w:rsidR="009563B4" w:rsidRPr="00CE1EA7">
              <w:rPr>
                <w:rFonts w:cs="Calibri"/>
                <w:b/>
                <w:bCs/>
                <w:sz w:val="16"/>
                <w:szCs w:val="16"/>
              </w:rPr>
              <w:t xml:space="preserve">nabling </w:t>
            </w:r>
            <w:r>
              <w:rPr>
                <w:rFonts w:cs="Calibri"/>
                <w:b/>
                <w:bCs/>
                <w:sz w:val="16"/>
                <w:szCs w:val="16"/>
              </w:rPr>
              <w:t>E</w:t>
            </w:r>
            <w:r w:rsidR="009563B4" w:rsidRPr="00CE1EA7">
              <w:rPr>
                <w:rFonts w:cs="Calibri"/>
                <w:b/>
                <w:bCs/>
                <w:sz w:val="16"/>
                <w:szCs w:val="16"/>
              </w:rPr>
              <w:t>nvironment</w:t>
            </w:r>
            <w:r>
              <w:rPr>
                <w:rFonts w:cs="Calibri"/>
                <w:b/>
                <w:bCs/>
                <w:sz w:val="16"/>
                <w:szCs w:val="16"/>
              </w:rPr>
              <w:t xml:space="preserve"> Dimension</w:t>
            </w:r>
          </w:p>
        </w:tc>
        <w:tc>
          <w:tcPr>
            <w:tcW w:w="6600" w:type="dxa"/>
            <w:tcBorders>
              <w:top w:val="single" w:sz="4" w:space="0" w:color="auto"/>
              <w:left w:val="single" w:sz="4" w:space="0" w:color="auto"/>
              <w:bottom w:val="single" w:sz="4" w:space="0" w:color="auto"/>
              <w:right w:val="nil"/>
            </w:tcBorders>
            <w:shd w:val="clear" w:color="000000" w:fill="E7E6E6"/>
            <w:noWrap/>
            <w:tcMar>
              <w:left w:w="57" w:type="dxa"/>
              <w:right w:w="28" w:type="dxa"/>
            </w:tcMar>
            <w:vAlign w:val="center"/>
          </w:tcPr>
          <w:p w14:paraId="6392F9F5" w14:textId="77777777" w:rsidR="009563B4" w:rsidRPr="00CE1EA7" w:rsidRDefault="009563B4" w:rsidP="00481CA4">
            <w:pPr>
              <w:jc w:val="center"/>
              <w:rPr>
                <w:rFonts w:cs="Calibri"/>
                <w:b/>
                <w:bCs/>
                <w:sz w:val="16"/>
                <w:szCs w:val="16"/>
              </w:rPr>
            </w:pPr>
            <w:r w:rsidRPr="00CE1EA7">
              <w:rPr>
                <w:rFonts w:cs="Calibri"/>
                <w:b/>
                <w:bCs/>
                <w:sz w:val="16"/>
                <w:szCs w:val="16"/>
              </w:rPr>
              <w:t>Element or Criteria</w:t>
            </w:r>
          </w:p>
        </w:tc>
        <w:tc>
          <w:tcPr>
            <w:tcW w:w="2268" w:type="dxa"/>
            <w:tcBorders>
              <w:top w:val="single" w:sz="4" w:space="0" w:color="auto"/>
              <w:left w:val="single" w:sz="4" w:space="0" w:color="auto"/>
              <w:bottom w:val="single" w:sz="4" w:space="0" w:color="auto"/>
              <w:right w:val="single" w:sz="4" w:space="0" w:color="auto"/>
            </w:tcBorders>
            <w:shd w:val="clear" w:color="000000" w:fill="E7E6E6"/>
            <w:tcMar>
              <w:left w:w="57" w:type="dxa"/>
              <w:right w:w="28" w:type="dxa"/>
            </w:tcMar>
            <w:vAlign w:val="center"/>
          </w:tcPr>
          <w:p w14:paraId="188C288A" w14:textId="124F2AC9" w:rsidR="009563B4" w:rsidRPr="00777CB1" w:rsidRDefault="009563B4" w:rsidP="00481CA4">
            <w:pPr>
              <w:jc w:val="center"/>
              <w:rPr>
                <w:rFonts w:cs="Calibri"/>
                <w:b/>
                <w:bCs/>
                <w:sz w:val="16"/>
                <w:szCs w:val="16"/>
              </w:rPr>
            </w:pPr>
            <w:r w:rsidRPr="00777CB1">
              <w:rPr>
                <w:rFonts w:cs="Calibri"/>
                <w:b/>
                <w:bCs/>
                <w:sz w:val="16"/>
                <w:szCs w:val="16"/>
              </w:rPr>
              <w:t>Relevant Project Out</w:t>
            </w:r>
            <w:r w:rsidR="002D151F">
              <w:rPr>
                <w:rFonts w:cs="Calibri"/>
                <w:b/>
                <w:bCs/>
                <w:sz w:val="16"/>
                <w:szCs w:val="16"/>
              </w:rPr>
              <w:t>comes</w:t>
            </w:r>
          </w:p>
        </w:tc>
      </w:tr>
      <w:tr w:rsidR="009563B4" w:rsidRPr="00126FA5" w14:paraId="2D0B0B29" w14:textId="77777777" w:rsidTr="00E046B7">
        <w:trPr>
          <w:cantSplit/>
          <w:trHeight w:val="148"/>
        </w:trPr>
        <w:tc>
          <w:tcPr>
            <w:tcW w:w="1617" w:type="dxa"/>
            <w:vMerge w:val="restart"/>
            <w:tcBorders>
              <w:top w:val="nil"/>
              <w:left w:val="single" w:sz="4" w:space="0" w:color="auto"/>
              <w:right w:val="single" w:sz="4" w:space="0" w:color="auto"/>
            </w:tcBorders>
            <w:shd w:val="clear" w:color="000000" w:fill="70AD47"/>
            <w:noWrap/>
            <w:tcMar>
              <w:left w:w="57" w:type="dxa"/>
              <w:right w:w="28" w:type="dxa"/>
            </w:tcMar>
            <w:vAlign w:val="center"/>
          </w:tcPr>
          <w:p w14:paraId="01971ED9" w14:textId="77777777" w:rsidR="009563B4" w:rsidRPr="00126FA5" w:rsidRDefault="009563B4" w:rsidP="00E046B7">
            <w:pPr>
              <w:jc w:val="center"/>
              <w:rPr>
                <w:b/>
                <w14:shadow w14:blurRad="50800" w14:dist="38100" w14:dir="2700000" w14:sx="100000" w14:sy="100000" w14:kx="0" w14:ky="0" w14:algn="tl">
                  <w14:srgbClr w14:val="000000">
                    <w14:alpha w14:val="60000"/>
                  </w14:srgbClr>
                </w14:shadow>
                <w14:textFill>
                  <w14:solidFill>
                    <w14:srgbClr w14:val="FFFFFF"/>
                  </w14:solidFill>
                </w14:textFill>
              </w:rPr>
            </w:pPr>
            <w:r w:rsidRPr="00126FA5">
              <w:rPr>
                <w:b/>
                <w14:shadow w14:blurRad="50800" w14:dist="38100" w14:dir="2700000" w14:sx="100000" w14:sy="100000" w14:kx="0" w14:ky="0" w14:algn="tl">
                  <w14:srgbClr w14:val="000000">
                    <w14:alpha w14:val="60000"/>
                  </w14:srgbClr>
                </w14:shadow>
                <w14:textFill>
                  <w14:solidFill>
                    <w14:srgbClr w14:val="FFFFFF"/>
                  </w14:solidFill>
                </w14:textFill>
              </w:rPr>
              <w:t>1. Institutional</w:t>
            </w:r>
          </w:p>
        </w:tc>
        <w:tc>
          <w:tcPr>
            <w:tcW w:w="6600" w:type="dxa"/>
            <w:tcBorders>
              <w:top w:val="nil"/>
              <w:left w:val="single" w:sz="4" w:space="0" w:color="auto"/>
              <w:bottom w:val="single" w:sz="4" w:space="0" w:color="auto"/>
              <w:right w:val="nil"/>
            </w:tcBorders>
            <w:shd w:val="clear" w:color="000000" w:fill="FFFFFF"/>
            <w:noWrap/>
            <w:tcMar>
              <w:left w:w="57" w:type="dxa"/>
              <w:right w:w="28" w:type="dxa"/>
            </w:tcMar>
          </w:tcPr>
          <w:p w14:paraId="1D8726B4" w14:textId="77777777" w:rsidR="009563B4" w:rsidRPr="00E046B7" w:rsidRDefault="009563B4" w:rsidP="00481CA4">
            <w:pPr>
              <w:rPr>
                <w:rFonts w:asciiTheme="minorHAnsi" w:hAnsiTheme="minorHAnsi" w:cstheme="minorHAnsi"/>
                <w:color w:val="000000"/>
                <w:sz w:val="17"/>
                <w:szCs w:val="17"/>
              </w:rPr>
            </w:pPr>
            <w:r w:rsidRPr="00E046B7">
              <w:rPr>
                <w:rFonts w:asciiTheme="minorHAnsi" w:hAnsiTheme="minorHAnsi" w:cstheme="minorHAnsi"/>
                <w:color w:val="000000"/>
                <w:sz w:val="17"/>
                <w:szCs w:val="17"/>
              </w:rPr>
              <w:t>1.1 National political commitment and agenda: high-level commitment; clear priorities and targets set; targets mainstreamed into NAP and National Development Plan</w:t>
            </w:r>
          </w:p>
        </w:tc>
        <w:tc>
          <w:tcPr>
            <w:tcW w:w="2268" w:type="dxa"/>
            <w:tcBorders>
              <w:top w:val="single" w:sz="4" w:space="0" w:color="auto"/>
              <w:left w:val="single" w:sz="4" w:space="0" w:color="auto"/>
              <w:bottom w:val="single" w:sz="4" w:space="0" w:color="auto"/>
              <w:right w:val="single" w:sz="4" w:space="0" w:color="auto"/>
            </w:tcBorders>
            <w:shd w:val="clear" w:color="000000" w:fill="FFFFFF"/>
            <w:tcMar>
              <w:left w:w="57" w:type="dxa"/>
              <w:right w:w="28" w:type="dxa"/>
            </w:tcMar>
          </w:tcPr>
          <w:p w14:paraId="64E47FE3" w14:textId="456F9D47" w:rsidR="009563B4" w:rsidRPr="00E046B7" w:rsidRDefault="009E3933" w:rsidP="00ED56EC">
            <w:pPr>
              <w:tabs>
                <w:tab w:val="left" w:pos="2311"/>
              </w:tabs>
              <w:spacing w:before="20" w:after="20"/>
              <w:rPr>
                <w:rFonts w:asciiTheme="minorHAnsi" w:hAnsiTheme="minorHAnsi" w:cstheme="minorHAnsi"/>
                <w:sz w:val="17"/>
                <w:szCs w:val="17"/>
              </w:rPr>
            </w:pPr>
            <w:r w:rsidRPr="00E046B7">
              <w:rPr>
                <w:rFonts w:asciiTheme="minorHAnsi" w:hAnsiTheme="minorHAnsi" w:cstheme="minorHAnsi"/>
                <w:sz w:val="17"/>
                <w:szCs w:val="17"/>
              </w:rPr>
              <w:t>Outcome 1.1</w:t>
            </w:r>
          </w:p>
        </w:tc>
      </w:tr>
      <w:tr w:rsidR="009563B4" w:rsidRPr="00126FA5" w14:paraId="0A62FBD8" w14:textId="77777777" w:rsidTr="00656BC1">
        <w:trPr>
          <w:cantSplit/>
          <w:trHeight w:val="148"/>
        </w:trPr>
        <w:tc>
          <w:tcPr>
            <w:tcW w:w="1617" w:type="dxa"/>
            <w:vMerge/>
            <w:tcBorders>
              <w:left w:val="single" w:sz="4" w:space="0" w:color="auto"/>
              <w:right w:val="single" w:sz="4" w:space="0" w:color="auto"/>
            </w:tcBorders>
            <w:shd w:val="clear" w:color="000000" w:fill="70AD47"/>
            <w:noWrap/>
            <w:tcMar>
              <w:left w:w="57" w:type="dxa"/>
              <w:right w:w="28" w:type="dxa"/>
            </w:tcMar>
          </w:tcPr>
          <w:p w14:paraId="1BB7DE0B" w14:textId="77777777" w:rsidR="009563B4" w:rsidRPr="00126FA5" w:rsidRDefault="009563B4" w:rsidP="00481CA4">
            <w:pPr>
              <w:jc w:val="center"/>
              <w:rPr>
                <w:b/>
                <w14:shadow w14:blurRad="50800" w14:dist="38100" w14:dir="2700000" w14:sx="100000" w14:sy="100000" w14:kx="0" w14:ky="0" w14:algn="tl">
                  <w14:srgbClr w14:val="000000">
                    <w14:alpha w14:val="60000"/>
                  </w14:srgbClr>
                </w14:shadow>
                <w14:textFill>
                  <w14:solidFill>
                    <w14:srgbClr w14:val="FFFFFF"/>
                  </w14:solidFill>
                </w14:textFill>
              </w:rPr>
            </w:pPr>
          </w:p>
        </w:tc>
        <w:tc>
          <w:tcPr>
            <w:tcW w:w="6600" w:type="dxa"/>
            <w:tcBorders>
              <w:top w:val="nil"/>
              <w:left w:val="single" w:sz="4" w:space="0" w:color="auto"/>
              <w:bottom w:val="single" w:sz="4" w:space="0" w:color="auto"/>
              <w:right w:val="nil"/>
            </w:tcBorders>
            <w:shd w:val="clear" w:color="000000" w:fill="FFFFFF"/>
            <w:noWrap/>
            <w:tcMar>
              <w:left w:w="57" w:type="dxa"/>
              <w:right w:w="28" w:type="dxa"/>
            </w:tcMar>
          </w:tcPr>
          <w:p w14:paraId="77CDFDAC" w14:textId="77777777" w:rsidR="009563B4" w:rsidRPr="00E046B7" w:rsidRDefault="009563B4" w:rsidP="00481CA4">
            <w:pPr>
              <w:rPr>
                <w:rFonts w:asciiTheme="minorHAnsi" w:hAnsiTheme="minorHAnsi" w:cstheme="minorHAnsi"/>
                <w:color w:val="000000"/>
                <w:sz w:val="17"/>
                <w:szCs w:val="17"/>
              </w:rPr>
            </w:pPr>
            <w:r w:rsidRPr="00E046B7">
              <w:rPr>
                <w:rFonts w:asciiTheme="minorHAnsi" w:hAnsiTheme="minorHAnsi" w:cstheme="minorHAnsi"/>
                <w:color w:val="000000"/>
                <w:sz w:val="17"/>
                <w:szCs w:val="17"/>
              </w:rPr>
              <w:t>1.2 Coordination: lead national agency responsible for LDN and integrated land-use planning; mechanisms in place for horizontal and vertical coordination</w:t>
            </w:r>
          </w:p>
        </w:tc>
        <w:tc>
          <w:tcPr>
            <w:tcW w:w="2268" w:type="dxa"/>
            <w:tcBorders>
              <w:top w:val="single" w:sz="4" w:space="0" w:color="auto"/>
              <w:left w:val="single" w:sz="4" w:space="0" w:color="auto"/>
              <w:bottom w:val="single" w:sz="4" w:space="0" w:color="auto"/>
              <w:right w:val="single" w:sz="4" w:space="0" w:color="auto"/>
            </w:tcBorders>
            <w:shd w:val="clear" w:color="000000" w:fill="FFFFFF"/>
            <w:tcMar>
              <w:left w:w="57" w:type="dxa"/>
              <w:right w:w="28" w:type="dxa"/>
            </w:tcMar>
          </w:tcPr>
          <w:p w14:paraId="348999BC" w14:textId="6AA7713A" w:rsidR="009563B4" w:rsidRPr="00E046B7" w:rsidRDefault="009E3933" w:rsidP="008D476E">
            <w:pPr>
              <w:spacing w:before="20" w:after="20"/>
              <w:rPr>
                <w:rFonts w:asciiTheme="minorHAnsi" w:hAnsiTheme="minorHAnsi" w:cstheme="minorHAnsi"/>
                <w:sz w:val="17"/>
                <w:szCs w:val="17"/>
              </w:rPr>
            </w:pPr>
            <w:r w:rsidRPr="00E046B7">
              <w:rPr>
                <w:rFonts w:asciiTheme="minorHAnsi" w:hAnsiTheme="minorHAnsi" w:cstheme="minorHAnsi"/>
                <w:sz w:val="17"/>
                <w:szCs w:val="17"/>
              </w:rPr>
              <w:t>Outcome 1.1, Outcome 2.1</w:t>
            </w:r>
          </w:p>
          <w:p w14:paraId="1DDB8AA7" w14:textId="650EF195" w:rsidR="009563B4" w:rsidRPr="00E046B7" w:rsidRDefault="009E3933" w:rsidP="008D476E">
            <w:pPr>
              <w:spacing w:before="20" w:after="20"/>
              <w:rPr>
                <w:rFonts w:asciiTheme="minorHAnsi" w:hAnsiTheme="minorHAnsi" w:cstheme="minorHAnsi"/>
                <w:sz w:val="17"/>
                <w:szCs w:val="17"/>
              </w:rPr>
            </w:pPr>
            <w:r w:rsidRPr="00E046B7">
              <w:rPr>
                <w:rFonts w:asciiTheme="minorHAnsi" w:hAnsiTheme="minorHAnsi" w:cstheme="minorHAnsi"/>
                <w:sz w:val="17"/>
                <w:szCs w:val="17"/>
              </w:rPr>
              <w:t>Outcome 3.1 and Outcome 3.3</w:t>
            </w:r>
          </w:p>
        </w:tc>
      </w:tr>
      <w:tr w:rsidR="009563B4" w:rsidRPr="00126FA5" w14:paraId="6480C8FD" w14:textId="77777777" w:rsidTr="00656BC1">
        <w:trPr>
          <w:cantSplit/>
          <w:trHeight w:val="148"/>
        </w:trPr>
        <w:tc>
          <w:tcPr>
            <w:tcW w:w="1617" w:type="dxa"/>
            <w:vMerge/>
            <w:tcBorders>
              <w:left w:val="single" w:sz="4" w:space="0" w:color="auto"/>
              <w:right w:val="single" w:sz="4" w:space="0" w:color="auto"/>
            </w:tcBorders>
            <w:shd w:val="clear" w:color="000000" w:fill="70AD47"/>
            <w:noWrap/>
            <w:tcMar>
              <w:left w:w="57" w:type="dxa"/>
              <w:right w:w="28" w:type="dxa"/>
            </w:tcMar>
          </w:tcPr>
          <w:p w14:paraId="12643269" w14:textId="77777777" w:rsidR="009563B4" w:rsidRPr="00126FA5" w:rsidRDefault="009563B4" w:rsidP="00481CA4">
            <w:pPr>
              <w:jc w:val="center"/>
              <w:rPr>
                <w:b/>
                <w14:shadow w14:blurRad="50800" w14:dist="38100" w14:dir="2700000" w14:sx="100000" w14:sy="100000" w14:kx="0" w14:ky="0" w14:algn="tl">
                  <w14:srgbClr w14:val="000000">
                    <w14:alpha w14:val="60000"/>
                  </w14:srgbClr>
                </w14:shadow>
                <w14:textFill>
                  <w14:solidFill>
                    <w14:srgbClr w14:val="FFFFFF"/>
                  </w14:solidFill>
                </w14:textFill>
              </w:rPr>
            </w:pPr>
          </w:p>
        </w:tc>
        <w:tc>
          <w:tcPr>
            <w:tcW w:w="6600" w:type="dxa"/>
            <w:tcBorders>
              <w:top w:val="nil"/>
              <w:left w:val="single" w:sz="4" w:space="0" w:color="auto"/>
              <w:bottom w:val="single" w:sz="4" w:space="0" w:color="auto"/>
              <w:right w:val="nil"/>
            </w:tcBorders>
            <w:shd w:val="clear" w:color="000000" w:fill="FFFFFF"/>
            <w:noWrap/>
            <w:tcMar>
              <w:left w:w="57" w:type="dxa"/>
              <w:right w:w="28" w:type="dxa"/>
            </w:tcMar>
          </w:tcPr>
          <w:p w14:paraId="28EEAEAD" w14:textId="77777777" w:rsidR="009563B4" w:rsidRPr="00E046B7" w:rsidRDefault="009563B4" w:rsidP="00481CA4">
            <w:pPr>
              <w:rPr>
                <w:rFonts w:asciiTheme="minorHAnsi" w:hAnsiTheme="minorHAnsi" w:cstheme="minorHAnsi"/>
                <w:color w:val="000000"/>
                <w:sz w:val="17"/>
                <w:szCs w:val="17"/>
              </w:rPr>
            </w:pPr>
            <w:r w:rsidRPr="00E046B7">
              <w:rPr>
                <w:rFonts w:asciiTheme="minorHAnsi" w:hAnsiTheme="minorHAnsi" w:cstheme="minorHAnsi"/>
                <w:color w:val="000000"/>
                <w:sz w:val="17"/>
                <w:szCs w:val="17"/>
              </w:rPr>
              <w:t>1.3 Multi-stakeholder consultation: inclusion of civil society and other stakeholders; participatory process</w:t>
            </w:r>
          </w:p>
        </w:tc>
        <w:tc>
          <w:tcPr>
            <w:tcW w:w="2268" w:type="dxa"/>
            <w:tcBorders>
              <w:top w:val="single" w:sz="4" w:space="0" w:color="auto"/>
              <w:left w:val="single" w:sz="4" w:space="0" w:color="auto"/>
              <w:bottom w:val="single" w:sz="4" w:space="0" w:color="auto"/>
              <w:right w:val="single" w:sz="4" w:space="0" w:color="auto"/>
            </w:tcBorders>
            <w:shd w:val="clear" w:color="000000" w:fill="FFFFFF"/>
            <w:tcMar>
              <w:left w:w="57" w:type="dxa"/>
              <w:right w:w="28" w:type="dxa"/>
            </w:tcMar>
          </w:tcPr>
          <w:p w14:paraId="67AFF617" w14:textId="3A2F9BDE" w:rsidR="009563B4" w:rsidRPr="00E046B7" w:rsidRDefault="007B1689" w:rsidP="008D476E">
            <w:pPr>
              <w:spacing w:before="20" w:after="20"/>
              <w:rPr>
                <w:rFonts w:asciiTheme="minorHAnsi" w:hAnsiTheme="minorHAnsi" w:cstheme="minorHAnsi"/>
                <w:sz w:val="17"/>
                <w:szCs w:val="17"/>
              </w:rPr>
            </w:pPr>
            <w:r w:rsidRPr="00E046B7">
              <w:rPr>
                <w:rFonts w:asciiTheme="minorHAnsi" w:hAnsiTheme="minorHAnsi" w:cstheme="minorHAnsi"/>
                <w:sz w:val="17"/>
                <w:szCs w:val="17"/>
              </w:rPr>
              <w:t xml:space="preserve">Outcome 1.1, </w:t>
            </w:r>
            <w:r w:rsidR="00D76E7B" w:rsidRPr="00E046B7">
              <w:rPr>
                <w:rFonts w:asciiTheme="minorHAnsi" w:hAnsiTheme="minorHAnsi" w:cstheme="minorHAnsi"/>
                <w:sz w:val="17"/>
                <w:szCs w:val="17"/>
              </w:rPr>
              <w:t>Outcome 2.</w:t>
            </w:r>
            <w:r w:rsidR="000D5D9B" w:rsidRPr="00E046B7">
              <w:rPr>
                <w:rFonts w:asciiTheme="minorHAnsi" w:hAnsiTheme="minorHAnsi" w:cstheme="minorHAnsi"/>
                <w:sz w:val="17"/>
                <w:szCs w:val="17"/>
              </w:rPr>
              <w:t>1</w:t>
            </w:r>
          </w:p>
        </w:tc>
      </w:tr>
      <w:tr w:rsidR="009563B4" w:rsidRPr="00126FA5" w14:paraId="2553242D" w14:textId="77777777" w:rsidTr="00656BC1">
        <w:trPr>
          <w:cantSplit/>
          <w:trHeight w:val="148"/>
        </w:trPr>
        <w:tc>
          <w:tcPr>
            <w:tcW w:w="1617" w:type="dxa"/>
            <w:vMerge/>
            <w:tcBorders>
              <w:left w:val="single" w:sz="4" w:space="0" w:color="auto"/>
              <w:bottom w:val="single" w:sz="4" w:space="0" w:color="auto"/>
              <w:right w:val="single" w:sz="4" w:space="0" w:color="auto"/>
            </w:tcBorders>
            <w:shd w:val="clear" w:color="000000" w:fill="70AD47"/>
            <w:noWrap/>
            <w:tcMar>
              <w:left w:w="57" w:type="dxa"/>
              <w:right w:w="28" w:type="dxa"/>
            </w:tcMar>
          </w:tcPr>
          <w:p w14:paraId="3BAB7CAF" w14:textId="77777777" w:rsidR="009563B4" w:rsidRPr="00126FA5" w:rsidRDefault="009563B4" w:rsidP="00481CA4">
            <w:pPr>
              <w:jc w:val="center"/>
              <w:rPr>
                <w:b/>
                <w14:shadow w14:blurRad="50800" w14:dist="38100" w14:dir="2700000" w14:sx="100000" w14:sy="100000" w14:kx="0" w14:ky="0" w14:algn="tl">
                  <w14:srgbClr w14:val="000000">
                    <w14:alpha w14:val="60000"/>
                  </w14:srgbClr>
                </w14:shadow>
                <w14:textFill>
                  <w14:solidFill>
                    <w14:srgbClr w14:val="FFFFFF"/>
                  </w14:solidFill>
                </w14:textFill>
              </w:rPr>
            </w:pPr>
          </w:p>
        </w:tc>
        <w:tc>
          <w:tcPr>
            <w:tcW w:w="6600" w:type="dxa"/>
            <w:tcBorders>
              <w:top w:val="nil"/>
              <w:left w:val="single" w:sz="4" w:space="0" w:color="auto"/>
              <w:bottom w:val="single" w:sz="4" w:space="0" w:color="auto"/>
              <w:right w:val="nil"/>
            </w:tcBorders>
            <w:shd w:val="clear" w:color="000000" w:fill="FFFFFF"/>
            <w:noWrap/>
            <w:tcMar>
              <w:left w:w="57" w:type="dxa"/>
              <w:right w:w="28" w:type="dxa"/>
            </w:tcMar>
          </w:tcPr>
          <w:p w14:paraId="3CDB1932" w14:textId="77777777" w:rsidR="009563B4" w:rsidRPr="00E046B7" w:rsidRDefault="009563B4" w:rsidP="00481CA4">
            <w:pPr>
              <w:rPr>
                <w:rFonts w:asciiTheme="minorHAnsi" w:hAnsiTheme="minorHAnsi" w:cstheme="minorHAnsi"/>
                <w:color w:val="000000"/>
                <w:sz w:val="17"/>
                <w:szCs w:val="17"/>
              </w:rPr>
            </w:pPr>
            <w:r w:rsidRPr="00E046B7">
              <w:rPr>
                <w:rFonts w:asciiTheme="minorHAnsi" w:hAnsiTheme="minorHAnsi" w:cstheme="minorHAnsi"/>
                <w:color w:val="000000"/>
                <w:sz w:val="17"/>
                <w:szCs w:val="17"/>
              </w:rPr>
              <w:t>1.4 Institutional capacities: in planning, policy development, monitoring, enforcement</w:t>
            </w:r>
          </w:p>
        </w:tc>
        <w:tc>
          <w:tcPr>
            <w:tcW w:w="2268" w:type="dxa"/>
            <w:tcBorders>
              <w:top w:val="single" w:sz="4" w:space="0" w:color="auto"/>
              <w:left w:val="single" w:sz="4" w:space="0" w:color="auto"/>
              <w:bottom w:val="single" w:sz="4" w:space="0" w:color="auto"/>
              <w:right w:val="single" w:sz="4" w:space="0" w:color="auto"/>
            </w:tcBorders>
            <w:shd w:val="clear" w:color="000000" w:fill="FFFFFF"/>
            <w:tcMar>
              <w:left w:w="57" w:type="dxa"/>
              <w:right w:w="28" w:type="dxa"/>
            </w:tcMar>
          </w:tcPr>
          <w:p w14:paraId="3C6261EA" w14:textId="2E39D893" w:rsidR="009563B4" w:rsidRPr="00E046B7" w:rsidRDefault="005B4DCD" w:rsidP="008D476E">
            <w:pPr>
              <w:spacing w:before="20" w:after="20"/>
              <w:rPr>
                <w:rFonts w:asciiTheme="minorHAnsi" w:hAnsiTheme="minorHAnsi" w:cstheme="minorHAnsi"/>
                <w:sz w:val="17"/>
                <w:szCs w:val="17"/>
              </w:rPr>
            </w:pPr>
            <w:r w:rsidRPr="00E046B7">
              <w:rPr>
                <w:rFonts w:asciiTheme="minorHAnsi" w:hAnsiTheme="minorHAnsi" w:cstheme="minorHAnsi"/>
                <w:sz w:val="17"/>
                <w:szCs w:val="17"/>
              </w:rPr>
              <w:t>Outcome 1.1, Outcome 2.1</w:t>
            </w:r>
          </w:p>
        </w:tc>
      </w:tr>
      <w:tr w:rsidR="009563B4" w:rsidRPr="00126FA5" w14:paraId="513E32B2" w14:textId="77777777" w:rsidTr="00E046B7">
        <w:trPr>
          <w:cantSplit/>
          <w:trHeight w:val="148"/>
        </w:trPr>
        <w:tc>
          <w:tcPr>
            <w:tcW w:w="1617" w:type="dxa"/>
            <w:vMerge w:val="restart"/>
            <w:tcBorders>
              <w:top w:val="nil"/>
              <w:left w:val="single" w:sz="4" w:space="0" w:color="auto"/>
              <w:right w:val="single" w:sz="4" w:space="0" w:color="auto"/>
            </w:tcBorders>
            <w:shd w:val="clear" w:color="000000" w:fill="000000"/>
            <w:noWrap/>
            <w:tcMar>
              <w:left w:w="57" w:type="dxa"/>
              <w:right w:w="28" w:type="dxa"/>
            </w:tcMar>
            <w:vAlign w:val="center"/>
          </w:tcPr>
          <w:p w14:paraId="019FA7D8" w14:textId="77777777" w:rsidR="009563B4" w:rsidRPr="00126FA5" w:rsidRDefault="009563B4" w:rsidP="00E046B7">
            <w:pPr>
              <w:jc w:val="center"/>
              <w:rPr>
                <w:b/>
                <w14:shadow w14:blurRad="50800" w14:dist="38100" w14:dir="2700000" w14:sx="100000" w14:sy="100000" w14:kx="0" w14:ky="0" w14:algn="tl">
                  <w14:srgbClr w14:val="000000">
                    <w14:alpha w14:val="60000"/>
                  </w14:srgbClr>
                </w14:shadow>
                <w14:textFill>
                  <w14:solidFill>
                    <w14:srgbClr w14:val="FFFFFF"/>
                  </w14:solidFill>
                </w14:textFill>
              </w:rPr>
            </w:pPr>
            <w:r w:rsidRPr="00126FA5">
              <w:rPr>
                <w:b/>
                <w14:shadow w14:blurRad="50800" w14:dist="38100" w14:dir="2700000" w14:sx="100000" w14:sy="100000" w14:kx="0" w14:ky="0" w14:algn="tl">
                  <w14:srgbClr w14:val="000000">
                    <w14:alpha w14:val="60000"/>
                  </w14:srgbClr>
                </w14:shadow>
                <w14:textFill>
                  <w14:solidFill>
                    <w14:srgbClr w14:val="FFFFFF"/>
                  </w14:solidFill>
                </w14:textFill>
              </w:rPr>
              <w:t>2. Financial</w:t>
            </w:r>
          </w:p>
        </w:tc>
        <w:tc>
          <w:tcPr>
            <w:tcW w:w="6600" w:type="dxa"/>
            <w:tcBorders>
              <w:top w:val="nil"/>
              <w:left w:val="single" w:sz="4" w:space="0" w:color="auto"/>
              <w:bottom w:val="single" w:sz="4" w:space="0" w:color="auto"/>
              <w:right w:val="nil"/>
            </w:tcBorders>
            <w:shd w:val="clear" w:color="000000" w:fill="FFFFFF"/>
            <w:noWrap/>
            <w:tcMar>
              <w:left w:w="57" w:type="dxa"/>
              <w:right w:w="28" w:type="dxa"/>
            </w:tcMar>
          </w:tcPr>
          <w:p w14:paraId="64F6C69C" w14:textId="77777777" w:rsidR="009563B4" w:rsidRPr="00E046B7" w:rsidRDefault="009563B4" w:rsidP="00481CA4">
            <w:pPr>
              <w:rPr>
                <w:rFonts w:asciiTheme="minorHAnsi" w:hAnsiTheme="minorHAnsi" w:cstheme="minorHAnsi"/>
                <w:color w:val="000000"/>
                <w:sz w:val="17"/>
                <w:szCs w:val="17"/>
              </w:rPr>
            </w:pPr>
            <w:r w:rsidRPr="00E046B7">
              <w:rPr>
                <w:rFonts w:asciiTheme="minorHAnsi" w:hAnsiTheme="minorHAnsi" w:cstheme="minorHAnsi"/>
                <w:color w:val="000000"/>
                <w:sz w:val="17"/>
                <w:szCs w:val="17"/>
              </w:rPr>
              <w:t>2.1 Finance needs assessment or costings identified for LDN implementation (e.g. operational, monitoring, evaluation etc.)</w:t>
            </w:r>
          </w:p>
        </w:tc>
        <w:tc>
          <w:tcPr>
            <w:tcW w:w="2268" w:type="dxa"/>
            <w:tcBorders>
              <w:top w:val="single" w:sz="4" w:space="0" w:color="auto"/>
              <w:left w:val="single" w:sz="4" w:space="0" w:color="auto"/>
              <w:bottom w:val="single" w:sz="4" w:space="0" w:color="auto"/>
              <w:right w:val="single" w:sz="4" w:space="0" w:color="auto"/>
            </w:tcBorders>
            <w:shd w:val="clear" w:color="000000" w:fill="FFFFFF"/>
            <w:tcMar>
              <w:left w:w="57" w:type="dxa"/>
              <w:right w:w="28" w:type="dxa"/>
            </w:tcMar>
          </w:tcPr>
          <w:p w14:paraId="0916F83F" w14:textId="7D86CFD2" w:rsidR="009563B4" w:rsidRPr="00E046B7" w:rsidRDefault="00312EAE" w:rsidP="008D476E">
            <w:pPr>
              <w:spacing w:before="20" w:after="20"/>
              <w:rPr>
                <w:rFonts w:asciiTheme="minorHAnsi" w:hAnsiTheme="minorHAnsi" w:cstheme="minorHAnsi"/>
                <w:sz w:val="17"/>
                <w:szCs w:val="17"/>
              </w:rPr>
            </w:pPr>
            <w:r w:rsidRPr="00E046B7">
              <w:rPr>
                <w:rFonts w:asciiTheme="minorHAnsi" w:hAnsiTheme="minorHAnsi" w:cstheme="minorHAnsi"/>
                <w:sz w:val="17"/>
                <w:szCs w:val="17"/>
              </w:rPr>
              <w:t>Outcome 2.3</w:t>
            </w:r>
          </w:p>
        </w:tc>
      </w:tr>
      <w:tr w:rsidR="003053A1" w:rsidRPr="00126FA5" w14:paraId="19807B07" w14:textId="77777777" w:rsidTr="00656BC1">
        <w:trPr>
          <w:cantSplit/>
          <w:trHeight w:val="148"/>
        </w:trPr>
        <w:tc>
          <w:tcPr>
            <w:tcW w:w="1617" w:type="dxa"/>
            <w:vMerge/>
            <w:tcBorders>
              <w:left w:val="single" w:sz="4" w:space="0" w:color="auto"/>
              <w:bottom w:val="single" w:sz="4" w:space="0" w:color="auto"/>
              <w:right w:val="single" w:sz="4" w:space="0" w:color="auto"/>
            </w:tcBorders>
            <w:shd w:val="clear" w:color="000000" w:fill="000000"/>
            <w:noWrap/>
            <w:tcMar>
              <w:left w:w="57" w:type="dxa"/>
              <w:right w:w="28" w:type="dxa"/>
            </w:tcMar>
          </w:tcPr>
          <w:p w14:paraId="5A2BBE24" w14:textId="77777777" w:rsidR="003053A1" w:rsidRPr="00126FA5" w:rsidRDefault="003053A1" w:rsidP="003053A1">
            <w:pPr>
              <w:jc w:val="center"/>
              <w:rPr>
                <w:b/>
                <w14:shadow w14:blurRad="50800" w14:dist="38100" w14:dir="2700000" w14:sx="100000" w14:sy="100000" w14:kx="0" w14:ky="0" w14:algn="tl">
                  <w14:srgbClr w14:val="000000">
                    <w14:alpha w14:val="60000"/>
                  </w14:srgbClr>
                </w14:shadow>
                <w14:textFill>
                  <w14:solidFill>
                    <w14:srgbClr w14:val="FFFFFF"/>
                  </w14:solidFill>
                </w14:textFill>
              </w:rPr>
            </w:pPr>
          </w:p>
        </w:tc>
        <w:tc>
          <w:tcPr>
            <w:tcW w:w="6600" w:type="dxa"/>
            <w:tcBorders>
              <w:top w:val="nil"/>
              <w:left w:val="single" w:sz="4" w:space="0" w:color="auto"/>
              <w:bottom w:val="single" w:sz="4" w:space="0" w:color="auto"/>
              <w:right w:val="nil"/>
            </w:tcBorders>
            <w:shd w:val="clear" w:color="000000" w:fill="FFFFFF"/>
            <w:noWrap/>
            <w:tcMar>
              <w:left w:w="57" w:type="dxa"/>
              <w:right w:w="28" w:type="dxa"/>
            </w:tcMar>
          </w:tcPr>
          <w:p w14:paraId="5B2A3EFF" w14:textId="77777777" w:rsidR="003053A1" w:rsidRPr="00E046B7" w:rsidRDefault="003053A1" w:rsidP="003053A1">
            <w:pPr>
              <w:rPr>
                <w:rFonts w:asciiTheme="minorHAnsi" w:hAnsiTheme="minorHAnsi" w:cstheme="minorHAnsi"/>
                <w:color w:val="000000"/>
                <w:sz w:val="17"/>
                <w:szCs w:val="17"/>
              </w:rPr>
            </w:pPr>
            <w:r w:rsidRPr="00E046B7">
              <w:rPr>
                <w:rFonts w:asciiTheme="minorHAnsi" w:hAnsiTheme="minorHAnsi" w:cstheme="minorHAnsi"/>
                <w:color w:val="000000"/>
                <w:sz w:val="17"/>
                <w:szCs w:val="17"/>
              </w:rPr>
              <w:t>2.2 Identified sources of finance: instruments, mechanisms described or identified; earmarked funds in budget; additional sources of finance</w:t>
            </w:r>
          </w:p>
        </w:tc>
        <w:tc>
          <w:tcPr>
            <w:tcW w:w="2268" w:type="dxa"/>
            <w:tcBorders>
              <w:top w:val="single" w:sz="4" w:space="0" w:color="auto"/>
              <w:left w:val="single" w:sz="4" w:space="0" w:color="auto"/>
              <w:bottom w:val="single" w:sz="4" w:space="0" w:color="auto"/>
              <w:right w:val="single" w:sz="4" w:space="0" w:color="auto"/>
            </w:tcBorders>
            <w:shd w:val="clear" w:color="000000" w:fill="FFFFFF"/>
            <w:tcMar>
              <w:left w:w="57" w:type="dxa"/>
              <w:right w:w="28" w:type="dxa"/>
            </w:tcMar>
          </w:tcPr>
          <w:p w14:paraId="7EBFA742" w14:textId="66F065DC" w:rsidR="003053A1" w:rsidRPr="00E046B7" w:rsidRDefault="000D5D9B" w:rsidP="008D476E">
            <w:pPr>
              <w:spacing w:before="20" w:after="20"/>
              <w:rPr>
                <w:rFonts w:asciiTheme="minorHAnsi" w:hAnsiTheme="minorHAnsi" w:cstheme="minorHAnsi"/>
                <w:sz w:val="17"/>
                <w:szCs w:val="17"/>
              </w:rPr>
            </w:pPr>
            <w:r w:rsidRPr="00E046B7">
              <w:rPr>
                <w:rFonts w:asciiTheme="minorHAnsi" w:hAnsiTheme="minorHAnsi" w:cstheme="minorHAnsi"/>
                <w:sz w:val="17"/>
                <w:szCs w:val="17"/>
              </w:rPr>
              <w:t>Outcome 2.3</w:t>
            </w:r>
          </w:p>
        </w:tc>
      </w:tr>
      <w:tr w:rsidR="009563B4" w:rsidRPr="00126FA5" w14:paraId="0840C725" w14:textId="77777777" w:rsidTr="00E046B7">
        <w:trPr>
          <w:cantSplit/>
          <w:trHeight w:val="148"/>
        </w:trPr>
        <w:tc>
          <w:tcPr>
            <w:tcW w:w="1617" w:type="dxa"/>
            <w:vMerge w:val="restart"/>
            <w:tcBorders>
              <w:top w:val="nil"/>
              <w:left w:val="single" w:sz="4" w:space="0" w:color="auto"/>
              <w:right w:val="single" w:sz="4" w:space="0" w:color="auto"/>
            </w:tcBorders>
            <w:shd w:val="clear" w:color="auto" w:fill="4472C4" w:themeFill="accent5"/>
            <w:noWrap/>
            <w:tcMar>
              <w:left w:w="57" w:type="dxa"/>
              <w:right w:w="28" w:type="dxa"/>
            </w:tcMar>
            <w:vAlign w:val="center"/>
          </w:tcPr>
          <w:p w14:paraId="70FC6C52" w14:textId="77777777" w:rsidR="009563B4" w:rsidRPr="00126FA5" w:rsidRDefault="009563B4" w:rsidP="00E046B7">
            <w:pPr>
              <w:jc w:val="center"/>
              <w:rPr>
                <w:b/>
                <w14:shadow w14:blurRad="50800" w14:dist="38100" w14:dir="2700000" w14:sx="100000" w14:sy="100000" w14:kx="0" w14:ky="0" w14:algn="tl">
                  <w14:srgbClr w14:val="000000">
                    <w14:alpha w14:val="60000"/>
                  </w14:srgbClr>
                </w14:shadow>
                <w14:textFill>
                  <w14:solidFill>
                    <w14:srgbClr w14:val="FFFFFF"/>
                  </w14:solidFill>
                </w14:textFill>
              </w:rPr>
            </w:pPr>
            <w:r w:rsidRPr="00126FA5">
              <w:rPr>
                <w:b/>
                <w14:shadow w14:blurRad="50800" w14:dist="38100" w14:dir="2700000" w14:sx="100000" w14:sy="100000" w14:kx="0" w14:ky="0" w14:algn="tl">
                  <w14:srgbClr w14:val="000000">
                    <w14:alpha w14:val="60000"/>
                  </w14:srgbClr>
                </w14:shadow>
                <w14:textFill>
                  <w14:solidFill>
                    <w14:srgbClr w14:val="FFFFFF"/>
                  </w14:solidFill>
                </w14:textFill>
              </w:rPr>
              <w:t>3. Policy / regulatory</w:t>
            </w:r>
          </w:p>
        </w:tc>
        <w:tc>
          <w:tcPr>
            <w:tcW w:w="6600" w:type="dxa"/>
            <w:tcBorders>
              <w:top w:val="nil"/>
              <w:left w:val="single" w:sz="4" w:space="0" w:color="auto"/>
              <w:bottom w:val="single" w:sz="4" w:space="0" w:color="auto"/>
              <w:right w:val="nil"/>
            </w:tcBorders>
            <w:shd w:val="clear" w:color="000000" w:fill="FFFFFF"/>
            <w:noWrap/>
            <w:tcMar>
              <w:left w:w="57" w:type="dxa"/>
              <w:right w:w="28" w:type="dxa"/>
            </w:tcMar>
          </w:tcPr>
          <w:p w14:paraId="1ED46925" w14:textId="77777777" w:rsidR="009563B4" w:rsidRPr="00E046B7" w:rsidRDefault="009563B4" w:rsidP="00481CA4">
            <w:pPr>
              <w:rPr>
                <w:rFonts w:asciiTheme="minorHAnsi" w:hAnsiTheme="minorHAnsi" w:cstheme="minorHAnsi"/>
                <w:color w:val="000000"/>
                <w:sz w:val="17"/>
                <w:szCs w:val="17"/>
              </w:rPr>
            </w:pPr>
            <w:r w:rsidRPr="00E046B7">
              <w:rPr>
                <w:rFonts w:asciiTheme="minorHAnsi" w:hAnsiTheme="minorHAnsi" w:cstheme="minorHAnsi"/>
                <w:color w:val="000000"/>
                <w:sz w:val="17"/>
                <w:szCs w:val="17"/>
              </w:rPr>
              <w:t>3.1 Land tenure considered: user rights; access rights; control rights; transfer rights and tenure security</w:t>
            </w:r>
          </w:p>
        </w:tc>
        <w:tc>
          <w:tcPr>
            <w:tcW w:w="2268" w:type="dxa"/>
            <w:tcBorders>
              <w:top w:val="single" w:sz="4" w:space="0" w:color="auto"/>
              <w:left w:val="single" w:sz="4" w:space="0" w:color="auto"/>
              <w:bottom w:val="single" w:sz="4" w:space="0" w:color="auto"/>
              <w:right w:val="single" w:sz="4" w:space="0" w:color="auto"/>
            </w:tcBorders>
            <w:shd w:val="clear" w:color="000000" w:fill="FFFFFF"/>
            <w:tcMar>
              <w:left w:w="57" w:type="dxa"/>
              <w:right w:w="28" w:type="dxa"/>
            </w:tcMar>
          </w:tcPr>
          <w:p w14:paraId="55D284E2" w14:textId="7D3BCA37" w:rsidR="009563B4" w:rsidRPr="00E046B7" w:rsidRDefault="00F45AA8" w:rsidP="008D476E">
            <w:pPr>
              <w:spacing w:before="20" w:after="20"/>
              <w:rPr>
                <w:rFonts w:asciiTheme="minorHAnsi" w:hAnsiTheme="minorHAnsi" w:cstheme="minorHAnsi"/>
                <w:sz w:val="17"/>
                <w:szCs w:val="17"/>
              </w:rPr>
            </w:pPr>
            <w:r w:rsidRPr="00E046B7">
              <w:rPr>
                <w:rFonts w:asciiTheme="minorHAnsi" w:hAnsiTheme="minorHAnsi" w:cstheme="minorHAnsi"/>
                <w:sz w:val="17"/>
                <w:szCs w:val="17"/>
              </w:rPr>
              <w:t>Outcome 1.1 and Outcome 2.1</w:t>
            </w:r>
          </w:p>
        </w:tc>
      </w:tr>
      <w:tr w:rsidR="009563B4" w:rsidRPr="00126FA5" w14:paraId="57000879" w14:textId="77777777" w:rsidTr="00656BC1">
        <w:trPr>
          <w:cantSplit/>
          <w:trHeight w:val="148"/>
        </w:trPr>
        <w:tc>
          <w:tcPr>
            <w:tcW w:w="1617" w:type="dxa"/>
            <w:vMerge/>
            <w:tcBorders>
              <w:left w:val="single" w:sz="4" w:space="0" w:color="auto"/>
              <w:right w:val="single" w:sz="4" w:space="0" w:color="auto"/>
            </w:tcBorders>
            <w:shd w:val="clear" w:color="auto" w:fill="4472C4" w:themeFill="accent5"/>
            <w:noWrap/>
            <w:tcMar>
              <w:left w:w="57" w:type="dxa"/>
              <w:right w:w="28" w:type="dxa"/>
            </w:tcMar>
          </w:tcPr>
          <w:p w14:paraId="38247F47" w14:textId="77777777" w:rsidR="009563B4" w:rsidRPr="00126FA5" w:rsidRDefault="009563B4" w:rsidP="00481CA4">
            <w:pPr>
              <w:rPr>
                <w:color w:val="000000"/>
                <w14:shadow w14:blurRad="50800" w14:dist="38100" w14:dir="2700000" w14:sx="100000" w14:sy="100000" w14:kx="0" w14:ky="0" w14:algn="tl">
                  <w14:srgbClr w14:val="000000">
                    <w14:alpha w14:val="60000"/>
                  </w14:srgbClr>
                </w14:shadow>
              </w:rPr>
            </w:pPr>
          </w:p>
        </w:tc>
        <w:tc>
          <w:tcPr>
            <w:tcW w:w="6600" w:type="dxa"/>
            <w:tcBorders>
              <w:top w:val="nil"/>
              <w:left w:val="single" w:sz="4" w:space="0" w:color="auto"/>
              <w:bottom w:val="single" w:sz="4" w:space="0" w:color="auto"/>
              <w:right w:val="nil"/>
            </w:tcBorders>
            <w:shd w:val="clear" w:color="000000" w:fill="FFFFFF"/>
            <w:noWrap/>
            <w:tcMar>
              <w:left w:w="57" w:type="dxa"/>
              <w:right w:w="28" w:type="dxa"/>
            </w:tcMar>
          </w:tcPr>
          <w:p w14:paraId="6B33A068" w14:textId="77777777" w:rsidR="009563B4" w:rsidRPr="00E046B7" w:rsidRDefault="009563B4" w:rsidP="00481CA4">
            <w:pPr>
              <w:rPr>
                <w:rFonts w:asciiTheme="minorHAnsi" w:hAnsiTheme="minorHAnsi" w:cstheme="minorHAnsi"/>
                <w:color w:val="000000"/>
                <w:sz w:val="17"/>
                <w:szCs w:val="17"/>
              </w:rPr>
            </w:pPr>
            <w:r w:rsidRPr="00E046B7">
              <w:rPr>
                <w:rFonts w:asciiTheme="minorHAnsi" w:hAnsiTheme="minorHAnsi" w:cstheme="minorHAnsi"/>
                <w:color w:val="000000"/>
                <w:sz w:val="17"/>
                <w:szCs w:val="17"/>
              </w:rPr>
              <w:t>3.2 Integrated land-use planning system considered/mentioned</w:t>
            </w:r>
          </w:p>
        </w:tc>
        <w:tc>
          <w:tcPr>
            <w:tcW w:w="2268" w:type="dxa"/>
            <w:tcBorders>
              <w:top w:val="single" w:sz="4" w:space="0" w:color="auto"/>
              <w:left w:val="single" w:sz="4" w:space="0" w:color="auto"/>
              <w:bottom w:val="single" w:sz="4" w:space="0" w:color="auto"/>
              <w:right w:val="single" w:sz="4" w:space="0" w:color="auto"/>
            </w:tcBorders>
            <w:shd w:val="clear" w:color="000000" w:fill="FFFFFF"/>
            <w:tcMar>
              <w:left w:w="57" w:type="dxa"/>
              <w:right w:w="28" w:type="dxa"/>
            </w:tcMar>
          </w:tcPr>
          <w:p w14:paraId="369D98EA" w14:textId="1437491F" w:rsidR="009563B4" w:rsidRPr="00E046B7" w:rsidRDefault="004039F5" w:rsidP="008D476E">
            <w:pPr>
              <w:spacing w:before="20" w:after="20"/>
              <w:rPr>
                <w:rFonts w:asciiTheme="minorHAnsi" w:hAnsiTheme="minorHAnsi" w:cstheme="minorHAnsi"/>
                <w:sz w:val="17"/>
                <w:szCs w:val="17"/>
              </w:rPr>
            </w:pPr>
            <w:r w:rsidRPr="00E046B7">
              <w:rPr>
                <w:rFonts w:asciiTheme="minorHAnsi" w:hAnsiTheme="minorHAnsi" w:cstheme="minorHAnsi"/>
                <w:sz w:val="17"/>
                <w:szCs w:val="17"/>
              </w:rPr>
              <w:t xml:space="preserve">Outcome 1.1 and </w:t>
            </w:r>
            <w:r w:rsidR="00F45AA8" w:rsidRPr="00E046B7">
              <w:rPr>
                <w:rFonts w:asciiTheme="minorHAnsi" w:hAnsiTheme="minorHAnsi" w:cstheme="minorHAnsi"/>
                <w:sz w:val="17"/>
                <w:szCs w:val="17"/>
              </w:rPr>
              <w:t>Outcome 2.1</w:t>
            </w:r>
          </w:p>
        </w:tc>
      </w:tr>
      <w:tr w:rsidR="009563B4" w:rsidRPr="00126FA5" w14:paraId="37EDEEF9" w14:textId="77777777" w:rsidTr="00656BC1">
        <w:trPr>
          <w:cantSplit/>
          <w:trHeight w:val="148"/>
        </w:trPr>
        <w:tc>
          <w:tcPr>
            <w:tcW w:w="1617" w:type="dxa"/>
            <w:vMerge/>
            <w:tcBorders>
              <w:left w:val="single" w:sz="4" w:space="0" w:color="auto"/>
              <w:right w:val="single" w:sz="4" w:space="0" w:color="auto"/>
            </w:tcBorders>
            <w:shd w:val="clear" w:color="auto" w:fill="4472C4" w:themeFill="accent5"/>
            <w:noWrap/>
            <w:tcMar>
              <w:left w:w="57" w:type="dxa"/>
              <w:right w:w="28" w:type="dxa"/>
            </w:tcMar>
          </w:tcPr>
          <w:p w14:paraId="3751DE07" w14:textId="77777777" w:rsidR="009563B4" w:rsidRPr="00126FA5" w:rsidRDefault="009563B4" w:rsidP="00481CA4">
            <w:pPr>
              <w:rPr>
                <w:color w:val="000000"/>
                <w14:shadow w14:blurRad="50800" w14:dist="38100" w14:dir="2700000" w14:sx="100000" w14:sy="100000" w14:kx="0" w14:ky="0" w14:algn="tl">
                  <w14:srgbClr w14:val="000000">
                    <w14:alpha w14:val="60000"/>
                  </w14:srgbClr>
                </w14:shadow>
              </w:rPr>
            </w:pPr>
          </w:p>
        </w:tc>
        <w:tc>
          <w:tcPr>
            <w:tcW w:w="6600" w:type="dxa"/>
            <w:tcBorders>
              <w:top w:val="nil"/>
              <w:left w:val="single" w:sz="4" w:space="0" w:color="auto"/>
              <w:bottom w:val="single" w:sz="4" w:space="0" w:color="auto"/>
              <w:right w:val="nil"/>
            </w:tcBorders>
            <w:shd w:val="clear" w:color="000000" w:fill="FFFFFF"/>
            <w:noWrap/>
            <w:tcMar>
              <w:left w:w="57" w:type="dxa"/>
              <w:right w:w="28" w:type="dxa"/>
            </w:tcMar>
          </w:tcPr>
          <w:p w14:paraId="5ABF84BD" w14:textId="77777777" w:rsidR="009563B4" w:rsidRPr="00E046B7" w:rsidRDefault="009563B4" w:rsidP="00481CA4">
            <w:pPr>
              <w:rPr>
                <w:rFonts w:asciiTheme="minorHAnsi" w:hAnsiTheme="minorHAnsi" w:cstheme="minorHAnsi"/>
                <w:color w:val="000000"/>
                <w:sz w:val="17"/>
                <w:szCs w:val="17"/>
              </w:rPr>
            </w:pPr>
            <w:r w:rsidRPr="00E046B7">
              <w:rPr>
                <w:rFonts w:asciiTheme="minorHAnsi" w:hAnsiTheme="minorHAnsi" w:cstheme="minorHAnsi"/>
                <w:color w:val="000000"/>
                <w:sz w:val="17"/>
                <w:szCs w:val="17"/>
              </w:rPr>
              <w:t>3.3 Neutrality mechanism to counterbalance losses and gains discussed or proposed; consideration of avoid, reduce, reverse hierarchy</w:t>
            </w:r>
          </w:p>
        </w:tc>
        <w:tc>
          <w:tcPr>
            <w:tcW w:w="2268" w:type="dxa"/>
            <w:tcBorders>
              <w:top w:val="single" w:sz="4" w:space="0" w:color="auto"/>
              <w:left w:val="single" w:sz="4" w:space="0" w:color="auto"/>
              <w:bottom w:val="single" w:sz="4" w:space="0" w:color="auto"/>
              <w:right w:val="single" w:sz="4" w:space="0" w:color="auto"/>
            </w:tcBorders>
            <w:shd w:val="clear" w:color="000000" w:fill="FFFFFF"/>
            <w:tcMar>
              <w:left w:w="57" w:type="dxa"/>
              <w:right w:w="28" w:type="dxa"/>
            </w:tcMar>
          </w:tcPr>
          <w:p w14:paraId="00542A78" w14:textId="70D81818" w:rsidR="009563B4" w:rsidRPr="00E046B7" w:rsidRDefault="004039F5" w:rsidP="008D476E">
            <w:pPr>
              <w:spacing w:before="20" w:after="20"/>
              <w:rPr>
                <w:rFonts w:asciiTheme="minorHAnsi" w:hAnsiTheme="minorHAnsi" w:cstheme="minorHAnsi"/>
                <w:sz w:val="17"/>
                <w:szCs w:val="17"/>
              </w:rPr>
            </w:pPr>
            <w:r w:rsidRPr="00E046B7">
              <w:rPr>
                <w:rFonts w:asciiTheme="minorHAnsi" w:hAnsiTheme="minorHAnsi" w:cstheme="minorHAnsi"/>
                <w:sz w:val="17"/>
                <w:szCs w:val="17"/>
              </w:rPr>
              <w:t>Outcome 1.1, Outcome 2.1</w:t>
            </w:r>
          </w:p>
        </w:tc>
      </w:tr>
      <w:tr w:rsidR="009563B4" w:rsidRPr="00126FA5" w14:paraId="5C0C3911" w14:textId="77777777" w:rsidTr="00656BC1">
        <w:trPr>
          <w:cantSplit/>
          <w:trHeight w:val="148"/>
        </w:trPr>
        <w:tc>
          <w:tcPr>
            <w:tcW w:w="1617" w:type="dxa"/>
            <w:vMerge/>
            <w:tcBorders>
              <w:left w:val="single" w:sz="4" w:space="0" w:color="auto"/>
              <w:right w:val="single" w:sz="4" w:space="0" w:color="auto"/>
            </w:tcBorders>
            <w:shd w:val="clear" w:color="auto" w:fill="4472C4" w:themeFill="accent5"/>
            <w:noWrap/>
            <w:tcMar>
              <w:left w:w="57" w:type="dxa"/>
              <w:right w:w="28" w:type="dxa"/>
            </w:tcMar>
          </w:tcPr>
          <w:p w14:paraId="3DF594D5" w14:textId="77777777" w:rsidR="009563B4" w:rsidRPr="00126FA5" w:rsidRDefault="009563B4" w:rsidP="00481CA4">
            <w:pPr>
              <w:rPr>
                <w:color w:val="000000"/>
                <w14:shadow w14:blurRad="50800" w14:dist="38100" w14:dir="2700000" w14:sx="100000" w14:sy="100000" w14:kx="0" w14:ky="0" w14:algn="tl">
                  <w14:srgbClr w14:val="000000">
                    <w14:alpha w14:val="60000"/>
                  </w14:srgbClr>
                </w14:shadow>
              </w:rPr>
            </w:pPr>
          </w:p>
        </w:tc>
        <w:tc>
          <w:tcPr>
            <w:tcW w:w="6600" w:type="dxa"/>
            <w:tcBorders>
              <w:top w:val="nil"/>
              <w:left w:val="single" w:sz="4" w:space="0" w:color="auto"/>
              <w:bottom w:val="single" w:sz="4" w:space="0" w:color="auto"/>
              <w:right w:val="nil"/>
            </w:tcBorders>
            <w:shd w:val="clear" w:color="000000" w:fill="FFFFFF"/>
            <w:noWrap/>
            <w:tcMar>
              <w:left w:w="57" w:type="dxa"/>
              <w:right w:w="28" w:type="dxa"/>
            </w:tcMar>
          </w:tcPr>
          <w:p w14:paraId="115B9775" w14:textId="77777777" w:rsidR="009563B4" w:rsidRPr="00E046B7" w:rsidRDefault="009563B4" w:rsidP="00481CA4">
            <w:pPr>
              <w:rPr>
                <w:rFonts w:asciiTheme="minorHAnsi" w:hAnsiTheme="minorHAnsi" w:cstheme="minorHAnsi"/>
                <w:color w:val="000000"/>
                <w:sz w:val="17"/>
                <w:szCs w:val="17"/>
              </w:rPr>
            </w:pPr>
            <w:r w:rsidRPr="00E046B7">
              <w:rPr>
                <w:rFonts w:asciiTheme="minorHAnsi" w:hAnsiTheme="minorHAnsi" w:cstheme="minorHAnsi"/>
                <w:color w:val="000000"/>
                <w:sz w:val="17"/>
                <w:szCs w:val="17"/>
              </w:rPr>
              <w:t>3.4 Regulations and rules around LDN considered: policies, procedures, incentives</w:t>
            </w:r>
          </w:p>
        </w:tc>
        <w:tc>
          <w:tcPr>
            <w:tcW w:w="2268" w:type="dxa"/>
            <w:tcBorders>
              <w:top w:val="single" w:sz="4" w:space="0" w:color="auto"/>
              <w:left w:val="single" w:sz="4" w:space="0" w:color="auto"/>
              <w:bottom w:val="single" w:sz="4" w:space="0" w:color="auto"/>
              <w:right w:val="single" w:sz="4" w:space="0" w:color="auto"/>
            </w:tcBorders>
            <w:shd w:val="clear" w:color="000000" w:fill="FFFFFF"/>
            <w:tcMar>
              <w:left w:w="57" w:type="dxa"/>
              <w:right w:w="28" w:type="dxa"/>
            </w:tcMar>
          </w:tcPr>
          <w:p w14:paraId="01CE2273" w14:textId="3229863C" w:rsidR="009563B4" w:rsidRPr="00E046B7" w:rsidRDefault="003F62DA" w:rsidP="008D476E">
            <w:pPr>
              <w:spacing w:before="20" w:after="20"/>
              <w:rPr>
                <w:rFonts w:asciiTheme="minorHAnsi" w:hAnsiTheme="minorHAnsi" w:cstheme="minorHAnsi"/>
                <w:sz w:val="17"/>
                <w:szCs w:val="17"/>
              </w:rPr>
            </w:pPr>
            <w:r w:rsidRPr="00E046B7">
              <w:rPr>
                <w:rFonts w:asciiTheme="minorHAnsi" w:hAnsiTheme="minorHAnsi" w:cstheme="minorHAnsi"/>
                <w:sz w:val="17"/>
                <w:szCs w:val="17"/>
              </w:rPr>
              <w:t>Outcome 1.1</w:t>
            </w:r>
            <w:r w:rsidR="0097008E" w:rsidRPr="00E046B7">
              <w:rPr>
                <w:rFonts w:asciiTheme="minorHAnsi" w:hAnsiTheme="minorHAnsi" w:cstheme="minorHAnsi"/>
                <w:sz w:val="17"/>
                <w:szCs w:val="17"/>
              </w:rPr>
              <w:t xml:space="preserve"> </w:t>
            </w:r>
          </w:p>
        </w:tc>
      </w:tr>
      <w:tr w:rsidR="009563B4" w:rsidRPr="00126FA5" w14:paraId="3F30887F" w14:textId="77777777" w:rsidTr="00656BC1">
        <w:trPr>
          <w:cantSplit/>
          <w:trHeight w:val="148"/>
        </w:trPr>
        <w:tc>
          <w:tcPr>
            <w:tcW w:w="1617" w:type="dxa"/>
            <w:vMerge/>
            <w:tcBorders>
              <w:left w:val="single" w:sz="4" w:space="0" w:color="auto"/>
              <w:bottom w:val="single" w:sz="4" w:space="0" w:color="auto"/>
              <w:right w:val="single" w:sz="4" w:space="0" w:color="auto"/>
            </w:tcBorders>
            <w:shd w:val="clear" w:color="auto" w:fill="4472C4" w:themeFill="accent5"/>
            <w:noWrap/>
            <w:tcMar>
              <w:left w:w="57" w:type="dxa"/>
              <w:right w:w="28" w:type="dxa"/>
            </w:tcMar>
          </w:tcPr>
          <w:p w14:paraId="5BF63038" w14:textId="77777777" w:rsidR="009563B4" w:rsidRPr="00126FA5" w:rsidRDefault="009563B4" w:rsidP="00481CA4">
            <w:pPr>
              <w:rPr>
                <w:color w:val="000000"/>
                <w14:shadow w14:blurRad="50800" w14:dist="38100" w14:dir="2700000" w14:sx="100000" w14:sy="100000" w14:kx="0" w14:ky="0" w14:algn="tl">
                  <w14:srgbClr w14:val="000000">
                    <w14:alpha w14:val="60000"/>
                  </w14:srgbClr>
                </w14:shadow>
              </w:rPr>
            </w:pPr>
          </w:p>
        </w:tc>
        <w:tc>
          <w:tcPr>
            <w:tcW w:w="6600" w:type="dxa"/>
            <w:tcBorders>
              <w:top w:val="nil"/>
              <w:left w:val="single" w:sz="4" w:space="0" w:color="auto"/>
              <w:bottom w:val="single" w:sz="4" w:space="0" w:color="auto"/>
              <w:right w:val="nil"/>
            </w:tcBorders>
            <w:shd w:val="clear" w:color="000000" w:fill="FFFFFF"/>
            <w:noWrap/>
            <w:tcMar>
              <w:left w:w="57" w:type="dxa"/>
              <w:right w:w="28" w:type="dxa"/>
            </w:tcMar>
          </w:tcPr>
          <w:p w14:paraId="0EA4CC88" w14:textId="77777777" w:rsidR="009563B4" w:rsidRPr="00E046B7" w:rsidRDefault="009563B4" w:rsidP="00481CA4">
            <w:pPr>
              <w:rPr>
                <w:rFonts w:asciiTheme="minorHAnsi" w:hAnsiTheme="minorHAnsi" w:cstheme="minorHAnsi"/>
                <w:color w:val="000000"/>
                <w:sz w:val="17"/>
                <w:szCs w:val="17"/>
              </w:rPr>
            </w:pPr>
            <w:r w:rsidRPr="00E046B7">
              <w:rPr>
                <w:rFonts w:asciiTheme="minorHAnsi" w:hAnsiTheme="minorHAnsi" w:cstheme="minorHAnsi"/>
                <w:color w:val="000000"/>
                <w:sz w:val="17"/>
                <w:szCs w:val="17"/>
              </w:rPr>
              <w:t>3.5 Policy coherence: policy alignment; consideration of synergies/ trade-offs (e.g. synergistic policies operationalized at the same time by different ministries)</w:t>
            </w:r>
          </w:p>
        </w:tc>
        <w:tc>
          <w:tcPr>
            <w:tcW w:w="2268" w:type="dxa"/>
            <w:tcBorders>
              <w:top w:val="single" w:sz="4" w:space="0" w:color="auto"/>
              <w:left w:val="single" w:sz="4" w:space="0" w:color="auto"/>
              <w:bottom w:val="single" w:sz="4" w:space="0" w:color="auto"/>
              <w:right w:val="single" w:sz="4" w:space="0" w:color="auto"/>
            </w:tcBorders>
            <w:shd w:val="clear" w:color="000000" w:fill="FFFFFF"/>
            <w:tcMar>
              <w:left w:w="57" w:type="dxa"/>
              <w:right w:w="28" w:type="dxa"/>
            </w:tcMar>
          </w:tcPr>
          <w:p w14:paraId="63473E5E" w14:textId="6FF301DA" w:rsidR="009563B4" w:rsidRPr="00E046B7" w:rsidRDefault="00806476" w:rsidP="008D476E">
            <w:pPr>
              <w:spacing w:before="20" w:after="20"/>
              <w:rPr>
                <w:rFonts w:asciiTheme="minorHAnsi" w:hAnsiTheme="minorHAnsi" w:cstheme="minorHAnsi"/>
                <w:sz w:val="17"/>
                <w:szCs w:val="17"/>
              </w:rPr>
            </w:pPr>
            <w:r w:rsidRPr="00E046B7">
              <w:rPr>
                <w:rFonts w:asciiTheme="minorHAnsi" w:hAnsiTheme="minorHAnsi" w:cstheme="minorHAnsi"/>
                <w:sz w:val="17"/>
                <w:szCs w:val="17"/>
              </w:rPr>
              <w:t xml:space="preserve">Outcome 1.1 </w:t>
            </w:r>
          </w:p>
        </w:tc>
      </w:tr>
      <w:tr w:rsidR="009563B4" w:rsidRPr="00126FA5" w14:paraId="11AD3965" w14:textId="77777777" w:rsidTr="00E046B7">
        <w:trPr>
          <w:cantSplit/>
          <w:trHeight w:val="148"/>
        </w:trPr>
        <w:tc>
          <w:tcPr>
            <w:tcW w:w="1617" w:type="dxa"/>
            <w:vMerge w:val="restart"/>
            <w:tcBorders>
              <w:top w:val="nil"/>
              <w:left w:val="single" w:sz="4" w:space="0" w:color="auto"/>
              <w:right w:val="single" w:sz="4" w:space="0" w:color="auto"/>
            </w:tcBorders>
            <w:shd w:val="clear" w:color="auto" w:fill="ED7D31" w:themeFill="accent2"/>
            <w:noWrap/>
            <w:tcMar>
              <w:left w:w="57" w:type="dxa"/>
              <w:right w:w="28" w:type="dxa"/>
            </w:tcMar>
            <w:vAlign w:val="center"/>
          </w:tcPr>
          <w:p w14:paraId="43F13CA3" w14:textId="77777777" w:rsidR="009563B4" w:rsidRPr="00126FA5" w:rsidRDefault="009563B4" w:rsidP="00E046B7">
            <w:pPr>
              <w:jc w:val="center"/>
              <w:rPr>
                <w:b/>
                <w14:shadow w14:blurRad="50800" w14:dist="38100" w14:dir="2700000" w14:sx="100000" w14:sy="100000" w14:kx="0" w14:ky="0" w14:algn="tl">
                  <w14:srgbClr w14:val="000000">
                    <w14:alpha w14:val="60000"/>
                  </w14:srgbClr>
                </w14:shadow>
                <w14:textFill>
                  <w14:solidFill>
                    <w14:srgbClr w14:val="FFFFFF"/>
                  </w14:solidFill>
                </w14:textFill>
              </w:rPr>
            </w:pPr>
            <w:r w:rsidRPr="00126FA5">
              <w:rPr>
                <w:b/>
                <w14:shadow w14:blurRad="50800" w14:dist="38100" w14:dir="2700000" w14:sx="100000" w14:sy="100000" w14:kx="0" w14:ky="0" w14:algn="tl">
                  <w14:srgbClr w14:val="000000">
                    <w14:alpha w14:val="60000"/>
                  </w14:srgbClr>
                </w14:shadow>
                <w14:textFill>
                  <w14:solidFill>
                    <w14:srgbClr w14:val="FFFFFF"/>
                  </w14:solidFill>
                </w14:textFill>
              </w:rPr>
              <w:t>4. Science-policy interface</w:t>
            </w:r>
          </w:p>
        </w:tc>
        <w:tc>
          <w:tcPr>
            <w:tcW w:w="6600" w:type="dxa"/>
            <w:tcBorders>
              <w:top w:val="nil"/>
              <w:left w:val="single" w:sz="4" w:space="0" w:color="auto"/>
              <w:bottom w:val="single" w:sz="4" w:space="0" w:color="auto"/>
              <w:right w:val="nil"/>
            </w:tcBorders>
            <w:shd w:val="clear" w:color="000000" w:fill="FFFFFF"/>
            <w:noWrap/>
            <w:tcMar>
              <w:left w:w="57" w:type="dxa"/>
              <w:right w:w="28" w:type="dxa"/>
            </w:tcMar>
          </w:tcPr>
          <w:p w14:paraId="18B02484" w14:textId="77777777" w:rsidR="009563B4" w:rsidRPr="00E046B7" w:rsidRDefault="009563B4" w:rsidP="00481CA4">
            <w:pPr>
              <w:rPr>
                <w:rFonts w:asciiTheme="minorHAnsi" w:hAnsiTheme="minorHAnsi" w:cstheme="minorHAnsi"/>
                <w:color w:val="000000"/>
                <w:sz w:val="17"/>
                <w:szCs w:val="17"/>
              </w:rPr>
            </w:pPr>
            <w:r w:rsidRPr="00E046B7">
              <w:rPr>
                <w:rFonts w:asciiTheme="minorHAnsi" w:hAnsiTheme="minorHAnsi" w:cstheme="minorHAnsi"/>
                <w:color w:val="000000"/>
                <w:sz w:val="17"/>
                <w:szCs w:val="17"/>
              </w:rPr>
              <w:t>4.1 Effectiveness of data and monitoring systems considered; consideration of 3 global indicators</w:t>
            </w:r>
          </w:p>
        </w:tc>
        <w:tc>
          <w:tcPr>
            <w:tcW w:w="2268" w:type="dxa"/>
            <w:tcBorders>
              <w:top w:val="single" w:sz="4" w:space="0" w:color="auto"/>
              <w:left w:val="single" w:sz="4" w:space="0" w:color="auto"/>
              <w:bottom w:val="single" w:sz="4" w:space="0" w:color="auto"/>
              <w:right w:val="single" w:sz="4" w:space="0" w:color="auto"/>
            </w:tcBorders>
            <w:shd w:val="clear" w:color="000000" w:fill="FFFFFF"/>
            <w:tcMar>
              <w:left w:w="57" w:type="dxa"/>
              <w:right w:w="28" w:type="dxa"/>
            </w:tcMar>
          </w:tcPr>
          <w:p w14:paraId="387593A0" w14:textId="7489C3AE" w:rsidR="009563B4" w:rsidRPr="00E046B7" w:rsidRDefault="00FC2730" w:rsidP="008D476E">
            <w:pPr>
              <w:spacing w:before="20" w:after="20"/>
              <w:rPr>
                <w:rFonts w:asciiTheme="minorHAnsi" w:hAnsiTheme="minorHAnsi" w:cstheme="minorHAnsi"/>
                <w:sz w:val="17"/>
                <w:szCs w:val="17"/>
              </w:rPr>
            </w:pPr>
            <w:r w:rsidRPr="00E046B7">
              <w:rPr>
                <w:rFonts w:asciiTheme="minorHAnsi" w:hAnsiTheme="minorHAnsi" w:cstheme="minorHAnsi"/>
                <w:sz w:val="17"/>
                <w:szCs w:val="17"/>
              </w:rPr>
              <w:t>Outcome 3.1</w:t>
            </w:r>
          </w:p>
        </w:tc>
      </w:tr>
      <w:tr w:rsidR="009563B4" w:rsidRPr="00126FA5" w14:paraId="38A9289A" w14:textId="77777777" w:rsidTr="00656BC1">
        <w:trPr>
          <w:cantSplit/>
          <w:trHeight w:val="148"/>
        </w:trPr>
        <w:tc>
          <w:tcPr>
            <w:tcW w:w="1617" w:type="dxa"/>
            <w:vMerge/>
            <w:tcBorders>
              <w:left w:val="single" w:sz="4" w:space="0" w:color="auto"/>
              <w:right w:val="single" w:sz="4" w:space="0" w:color="auto"/>
            </w:tcBorders>
            <w:shd w:val="clear" w:color="auto" w:fill="ED7D31" w:themeFill="accent2"/>
            <w:noWrap/>
            <w:tcMar>
              <w:left w:w="57" w:type="dxa"/>
              <w:right w:w="28" w:type="dxa"/>
            </w:tcMar>
          </w:tcPr>
          <w:p w14:paraId="3D7F8A1E" w14:textId="77777777" w:rsidR="009563B4" w:rsidRPr="00126FA5" w:rsidRDefault="009563B4" w:rsidP="00481CA4">
            <w:pPr>
              <w:jc w:val="center"/>
              <w:rPr>
                <w:rFonts w:cs="Calibri"/>
                <w:b/>
                <w:bCs/>
                <w:color w:val="FFFFFF"/>
                <w:sz w:val="16"/>
                <w:szCs w:val="16"/>
              </w:rPr>
            </w:pPr>
          </w:p>
        </w:tc>
        <w:tc>
          <w:tcPr>
            <w:tcW w:w="6600" w:type="dxa"/>
            <w:tcBorders>
              <w:top w:val="nil"/>
              <w:left w:val="single" w:sz="4" w:space="0" w:color="auto"/>
              <w:bottom w:val="single" w:sz="4" w:space="0" w:color="auto"/>
              <w:right w:val="nil"/>
            </w:tcBorders>
            <w:shd w:val="clear" w:color="000000" w:fill="FFFFFF"/>
            <w:noWrap/>
            <w:tcMar>
              <w:left w:w="57" w:type="dxa"/>
              <w:right w:w="28" w:type="dxa"/>
            </w:tcMar>
          </w:tcPr>
          <w:p w14:paraId="60E2841A" w14:textId="77777777" w:rsidR="009563B4" w:rsidRPr="00E046B7" w:rsidRDefault="009563B4" w:rsidP="00481CA4">
            <w:pPr>
              <w:rPr>
                <w:rFonts w:asciiTheme="minorHAnsi" w:hAnsiTheme="minorHAnsi" w:cstheme="minorHAnsi"/>
                <w:color w:val="000000"/>
                <w:sz w:val="17"/>
                <w:szCs w:val="17"/>
              </w:rPr>
            </w:pPr>
            <w:r w:rsidRPr="00E046B7">
              <w:rPr>
                <w:rFonts w:asciiTheme="minorHAnsi" w:hAnsiTheme="minorHAnsi" w:cstheme="minorHAnsi"/>
                <w:color w:val="000000"/>
                <w:sz w:val="17"/>
                <w:szCs w:val="17"/>
              </w:rPr>
              <w:t>4.2 Consideration of technical capacities in the country for LDN target setting and implementation</w:t>
            </w:r>
          </w:p>
        </w:tc>
        <w:tc>
          <w:tcPr>
            <w:tcW w:w="2268" w:type="dxa"/>
            <w:tcBorders>
              <w:top w:val="single" w:sz="4" w:space="0" w:color="auto"/>
              <w:left w:val="single" w:sz="4" w:space="0" w:color="auto"/>
              <w:bottom w:val="single" w:sz="4" w:space="0" w:color="auto"/>
              <w:right w:val="single" w:sz="4" w:space="0" w:color="auto"/>
            </w:tcBorders>
            <w:shd w:val="clear" w:color="000000" w:fill="FFFFFF"/>
            <w:tcMar>
              <w:left w:w="57" w:type="dxa"/>
              <w:right w:w="28" w:type="dxa"/>
            </w:tcMar>
          </w:tcPr>
          <w:p w14:paraId="6CF2C62A" w14:textId="2FCEB251" w:rsidR="009563B4" w:rsidRPr="00E046B7" w:rsidRDefault="0040257A" w:rsidP="008D476E">
            <w:pPr>
              <w:spacing w:before="20" w:after="20"/>
              <w:rPr>
                <w:rFonts w:asciiTheme="minorHAnsi" w:hAnsiTheme="minorHAnsi" w:cstheme="minorHAnsi"/>
                <w:sz w:val="17"/>
                <w:szCs w:val="17"/>
              </w:rPr>
            </w:pPr>
            <w:r w:rsidRPr="00E046B7">
              <w:rPr>
                <w:rFonts w:asciiTheme="minorHAnsi" w:hAnsiTheme="minorHAnsi" w:cstheme="minorHAnsi"/>
                <w:sz w:val="17"/>
                <w:szCs w:val="17"/>
              </w:rPr>
              <w:t>Outcome 1.1 and Outcome 2.2</w:t>
            </w:r>
          </w:p>
        </w:tc>
      </w:tr>
      <w:tr w:rsidR="009563B4" w:rsidRPr="00126FA5" w14:paraId="07CDC709" w14:textId="77777777" w:rsidTr="00656BC1">
        <w:trPr>
          <w:cantSplit/>
          <w:trHeight w:val="148"/>
        </w:trPr>
        <w:tc>
          <w:tcPr>
            <w:tcW w:w="1617" w:type="dxa"/>
            <w:vMerge/>
            <w:tcBorders>
              <w:left w:val="single" w:sz="4" w:space="0" w:color="auto"/>
              <w:right w:val="single" w:sz="4" w:space="0" w:color="auto"/>
            </w:tcBorders>
            <w:shd w:val="clear" w:color="auto" w:fill="ED7D31" w:themeFill="accent2"/>
            <w:noWrap/>
            <w:tcMar>
              <w:left w:w="57" w:type="dxa"/>
              <w:right w:w="28" w:type="dxa"/>
            </w:tcMar>
          </w:tcPr>
          <w:p w14:paraId="4C8772C9" w14:textId="77777777" w:rsidR="009563B4" w:rsidRPr="00126FA5" w:rsidRDefault="009563B4" w:rsidP="00481CA4">
            <w:pPr>
              <w:jc w:val="center"/>
              <w:rPr>
                <w:rFonts w:cs="Calibri"/>
                <w:b/>
                <w:bCs/>
                <w:color w:val="FFFFFF"/>
                <w:sz w:val="16"/>
                <w:szCs w:val="16"/>
              </w:rPr>
            </w:pPr>
          </w:p>
        </w:tc>
        <w:tc>
          <w:tcPr>
            <w:tcW w:w="6600" w:type="dxa"/>
            <w:tcBorders>
              <w:top w:val="nil"/>
              <w:left w:val="single" w:sz="4" w:space="0" w:color="auto"/>
              <w:bottom w:val="single" w:sz="4" w:space="0" w:color="auto"/>
              <w:right w:val="nil"/>
            </w:tcBorders>
            <w:shd w:val="clear" w:color="000000" w:fill="FFFFFF"/>
            <w:noWrap/>
            <w:tcMar>
              <w:left w:w="57" w:type="dxa"/>
              <w:right w:w="28" w:type="dxa"/>
            </w:tcMar>
          </w:tcPr>
          <w:p w14:paraId="034B76DE" w14:textId="77777777" w:rsidR="009563B4" w:rsidRPr="00E046B7" w:rsidRDefault="009563B4" w:rsidP="00481CA4">
            <w:pPr>
              <w:rPr>
                <w:rFonts w:asciiTheme="minorHAnsi" w:hAnsiTheme="minorHAnsi" w:cstheme="minorHAnsi"/>
                <w:color w:val="000000"/>
                <w:sz w:val="17"/>
                <w:szCs w:val="17"/>
              </w:rPr>
            </w:pPr>
            <w:r w:rsidRPr="00E046B7">
              <w:rPr>
                <w:rFonts w:asciiTheme="minorHAnsi" w:hAnsiTheme="minorHAnsi" w:cstheme="minorHAnsi"/>
                <w:color w:val="000000"/>
                <w:sz w:val="17"/>
                <w:szCs w:val="17"/>
              </w:rPr>
              <w:t>4.3 Consideration of information on causes/effects of land degradation and LDN - ecological, social, economic (or information to conduct preparatory assessments)</w:t>
            </w:r>
          </w:p>
        </w:tc>
        <w:tc>
          <w:tcPr>
            <w:tcW w:w="2268" w:type="dxa"/>
            <w:tcBorders>
              <w:top w:val="single" w:sz="4" w:space="0" w:color="auto"/>
              <w:left w:val="single" w:sz="4" w:space="0" w:color="auto"/>
              <w:bottom w:val="single" w:sz="4" w:space="0" w:color="auto"/>
              <w:right w:val="single" w:sz="4" w:space="0" w:color="auto"/>
            </w:tcBorders>
            <w:shd w:val="clear" w:color="000000" w:fill="FFFFFF"/>
            <w:tcMar>
              <w:left w:w="57" w:type="dxa"/>
              <w:right w:w="28" w:type="dxa"/>
            </w:tcMar>
          </w:tcPr>
          <w:p w14:paraId="2596086B" w14:textId="2CE47A31" w:rsidR="009563B4" w:rsidRPr="00E046B7" w:rsidRDefault="005B43DA" w:rsidP="008D476E">
            <w:pPr>
              <w:spacing w:before="20" w:after="20"/>
              <w:rPr>
                <w:rFonts w:asciiTheme="minorHAnsi" w:hAnsiTheme="minorHAnsi" w:cstheme="minorHAnsi"/>
                <w:sz w:val="17"/>
                <w:szCs w:val="17"/>
              </w:rPr>
            </w:pPr>
            <w:r w:rsidRPr="00E046B7">
              <w:rPr>
                <w:rFonts w:asciiTheme="minorHAnsi" w:hAnsiTheme="minorHAnsi" w:cstheme="minorHAnsi"/>
                <w:sz w:val="17"/>
                <w:szCs w:val="17"/>
              </w:rPr>
              <w:t xml:space="preserve">Outcome 1.1, Outcome 2.1 and </w:t>
            </w:r>
            <w:r w:rsidR="001E27AB" w:rsidRPr="00E046B7">
              <w:rPr>
                <w:rFonts w:asciiTheme="minorHAnsi" w:hAnsiTheme="minorHAnsi" w:cstheme="minorHAnsi"/>
                <w:sz w:val="17"/>
                <w:szCs w:val="17"/>
              </w:rPr>
              <w:t>Outcome 3.1</w:t>
            </w:r>
          </w:p>
        </w:tc>
      </w:tr>
      <w:tr w:rsidR="009563B4" w:rsidRPr="00CE1EA7" w14:paraId="20136837" w14:textId="77777777" w:rsidTr="00656BC1">
        <w:trPr>
          <w:cantSplit/>
          <w:trHeight w:val="148"/>
        </w:trPr>
        <w:tc>
          <w:tcPr>
            <w:tcW w:w="1617" w:type="dxa"/>
            <w:vMerge/>
            <w:tcBorders>
              <w:left w:val="single" w:sz="4" w:space="0" w:color="auto"/>
              <w:bottom w:val="single" w:sz="4" w:space="0" w:color="auto"/>
              <w:right w:val="single" w:sz="4" w:space="0" w:color="auto"/>
            </w:tcBorders>
            <w:shd w:val="clear" w:color="auto" w:fill="ED7D31" w:themeFill="accent2"/>
            <w:noWrap/>
            <w:tcMar>
              <w:left w:w="57" w:type="dxa"/>
              <w:right w:w="28" w:type="dxa"/>
            </w:tcMar>
          </w:tcPr>
          <w:p w14:paraId="7C59669D" w14:textId="77777777" w:rsidR="009563B4" w:rsidRPr="00126FA5" w:rsidRDefault="009563B4" w:rsidP="00481CA4">
            <w:pPr>
              <w:jc w:val="center"/>
              <w:rPr>
                <w:rFonts w:cs="Calibri"/>
                <w:b/>
                <w:bCs/>
                <w:color w:val="FFFFFF"/>
                <w:sz w:val="16"/>
                <w:szCs w:val="16"/>
              </w:rPr>
            </w:pPr>
          </w:p>
        </w:tc>
        <w:tc>
          <w:tcPr>
            <w:tcW w:w="6600" w:type="dxa"/>
            <w:tcBorders>
              <w:top w:val="nil"/>
              <w:left w:val="single" w:sz="4" w:space="0" w:color="auto"/>
              <w:bottom w:val="single" w:sz="4" w:space="0" w:color="auto"/>
              <w:right w:val="nil"/>
            </w:tcBorders>
            <w:shd w:val="clear" w:color="000000" w:fill="FFFFFF"/>
            <w:noWrap/>
            <w:tcMar>
              <w:left w:w="57" w:type="dxa"/>
              <w:right w:w="28" w:type="dxa"/>
            </w:tcMar>
          </w:tcPr>
          <w:p w14:paraId="0CC2A264" w14:textId="77777777" w:rsidR="009563B4" w:rsidRPr="00E046B7" w:rsidRDefault="009563B4" w:rsidP="00481CA4">
            <w:pPr>
              <w:rPr>
                <w:rFonts w:asciiTheme="minorHAnsi" w:hAnsiTheme="minorHAnsi" w:cstheme="minorHAnsi"/>
                <w:color w:val="000000"/>
                <w:sz w:val="17"/>
                <w:szCs w:val="17"/>
              </w:rPr>
            </w:pPr>
            <w:r w:rsidRPr="00E046B7">
              <w:rPr>
                <w:rFonts w:asciiTheme="minorHAnsi" w:hAnsiTheme="minorHAnsi" w:cstheme="minorHAnsi"/>
                <w:color w:val="000000"/>
                <w:sz w:val="17"/>
                <w:szCs w:val="17"/>
              </w:rPr>
              <w:t>4.4 Information on multiple benefits of SLM and LDN considered (e.g. biodiversity, climate, livelihoods etc.)</w:t>
            </w:r>
          </w:p>
        </w:tc>
        <w:tc>
          <w:tcPr>
            <w:tcW w:w="2268" w:type="dxa"/>
            <w:tcBorders>
              <w:top w:val="single" w:sz="4" w:space="0" w:color="auto"/>
              <w:left w:val="single" w:sz="4" w:space="0" w:color="auto"/>
              <w:bottom w:val="single" w:sz="4" w:space="0" w:color="auto"/>
              <w:right w:val="single" w:sz="4" w:space="0" w:color="auto"/>
            </w:tcBorders>
            <w:shd w:val="clear" w:color="000000" w:fill="FFFFFF"/>
            <w:tcMar>
              <w:left w:w="57" w:type="dxa"/>
              <w:right w:w="28" w:type="dxa"/>
            </w:tcMar>
          </w:tcPr>
          <w:p w14:paraId="2596AA63" w14:textId="37B11BE8" w:rsidR="009563B4" w:rsidRPr="00E046B7" w:rsidRDefault="00737AA2" w:rsidP="008D476E">
            <w:pPr>
              <w:spacing w:before="20" w:after="20"/>
              <w:rPr>
                <w:rFonts w:asciiTheme="minorHAnsi" w:hAnsiTheme="minorHAnsi" w:cstheme="minorHAnsi"/>
                <w:sz w:val="17"/>
                <w:szCs w:val="17"/>
              </w:rPr>
            </w:pPr>
            <w:r w:rsidRPr="00E046B7">
              <w:rPr>
                <w:rFonts w:asciiTheme="minorHAnsi" w:hAnsiTheme="minorHAnsi" w:cstheme="minorHAnsi"/>
                <w:sz w:val="17"/>
                <w:szCs w:val="17"/>
              </w:rPr>
              <w:t xml:space="preserve">Outcome 1.1, </w:t>
            </w:r>
            <w:r w:rsidR="00320957" w:rsidRPr="00E046B7">
              <w:rPr>
                <w:rFonts w:asciiTheme="minorHAnsi" w:hAnsiTheme="minorHAnsi" w:cstheme="minorHAnsi"/>
                <w:sz w:val="17"/>
                <w:szCs w:val="17"/>
              </w:rPr>
              <w:t>Outcome 2.</w:t>
            </w:r>
            <w:r w:rsidR="00E046B7" w:rsidRPr="00E046B7">
              <w:rPr>
                <w:rFonts w:asciiTheme="minorHAnsi" w:hAnsiTheme="minorHAnsi" w:cstheme="minorHAnsi"/>
                <w:sz w:val="17"/>
                <w:szCs w:val="17"/>
              </w:rPr>
              <w:t>1 and Outcome 2.2</w:t>
            </w:r>
          </w:p>
        </w:tc>
      </w:tr>
    </w:tbl>
    <w:p w14:paraId="2391CE10" w14:textId="77777777" w:rsidR="009563B4" w:rsidRPr="00CE1EA7" w:rsidRDefault="009563B4" w:rsidP="009563B4"/>
    <w:p w14:paraId="1E3FEF3F" w14:textId="79C46570" w:rsidR="000477B7" w:rsidRDefault="009563B4" w:rsidP="001667C6">
      <w:pPr>
        <w:pStyle w:val="ParagraphOED"/>
        <w:numPr>
          <w:ilvl w:val="0"/>
          <w:numId w:val="102"/>
        </w:numPr>
        <w:spacing w:after="160"/>
      </w:pPr>
      <w:r>
        <w:t xml:space="preserve">Component 1 </w:t>
      </w:r>
      <w:r w:rsidR="00A90672">
        <w:t xml:space="preserve">is designed to address </w:t>
      </w:r>
      <w:r w:rsidR="00821719">
        <w:t>Barriers 1 (governance)</w:t>
      </w:r>
      <w:r w:rsidR="00304F91">
        <w:t>, 2 (institutional) and 3 (land tenure</w:t>
      </w:r>
      <w:r w:rsidR="000223F3">
        <w:t>)</w:t>
      </w:r>
      <w:r w:rsidR="00880CFF">
        <w:t xml:space="preserve">, </w:t>
      </w:r>
      <w:r w:rsidR="0027662E">
        <w:t>elaborated in Section 2.1</w:t>
      </w:r>
      <w:r w:rsidR="00D42C99">
        <w:t xml:space="preserve">. </w:t>
      </w:r>
      <w:r w:rsidR="0027662E">
        <w:t xml:space="preserve">The </w:t>
      </w:r>
      <w:r w:rsidR="0016697D">
        <w:t xml:space="preserve">underlying </w:t>
      </w:r>
      <w:r w:rsidR="0027662E">
        <w:t xml:space="preserve">assumptions </w:t>
      </w:r>
      <w:r w:rsidR="0016697D">
        <w:t>concern: a willingness among all stakeholders to engage across sectors in the governance of LDN (A.1); political will to address land tenure issues</w:t>
      </w:r>
      <w:r w:rsidR="000477B7">
        <w:t xml:space="preserve"> (A.2)</w:t>
      </w:r>
      <w:r w:rsidR="0016697D">
        <w:t xml:space="preserve">; and </w:t>
      </w:r>
      <w:r w:rsidR="0010746D">
        <w:t xml:space="preserve">and a private sector willing to invest in SLM/SFM, encouraged by supportive regulatory and financial environments (A5). </w:t>
      </w:r>
      <w:r w:rsidR="000477B7">
        <w:t>These scenarios are depicted  in the ToC diagram.</w:t>
      </w:r>
      <w:r w:rsidR="00CD731F">
        <w:t xml:space="preserve"> </w:t>
      </w:r>
    </w:p>
    <w:p w14:paraId="4C7C4365" w14:textId="641AEF43" w:rsidR="008F0670" w:rsidRDefault="18CDB690" w:rsidP="001667C6">
      <w:pPr>
        <w:pStyle w:val="ParagraphOED"/>
        <w:numPr>
          <w:ilvl w:val="0"/>
          <w:numId w:val="102"/>
        </w:numPr>
        <w:spacing w:after="160"/>
      </w:pPr>
      <w:r>
        <w:t xml:space="preserve">The </w:t>
      </w:r>
      <w:r w:rsidR="39A9D71B">
        <w:t>Ministry of Culture, Tourism and Environment</w:t>
      </w:r>
      <w:r>
        <w:t xml:space="preserve"> (</w:t>
      </w:r>
      <w:r w:rsidR="460C6265">
        <w:t>M</w:t>
      </w:r>
      <w:r w:rsidR="587126A7">
        <w:t>CTA</w:t>
      </w:r>
      <w:r>
        <w:t>)</w:t>
      </w:r>
      <w:r w:rsidR="460C6265">
        <w:t xml:space="preserve"> will lead the </w:t>
      </w:r>
      <w:r w:rsidR="056DB436">
        <w:t>execution</w:t>
      </w:r>
      <w:r w:rsidR="460C6265">
        <w:t xml:space="preserve"> of Component 1</w:t>
      </w:r>
      <w:r w:rsidR="6D1FA9B0">
        <w:t xml:space="preserve">, </w:t>
      </w:r>
      <w:r w:rsidR="62DABB32">
        <w:t xml:space="preserve">collaborating closely with </w:t>
      </w:r>
      <w:r w:rsidR="460C6265">
        <w:t xml:space="preserve"> </w:t>
      </w:r>
      <w:r w:rsidR="5889C277">
        <w:t xml:space="preserve">other </w:t>
      </w:r>
      <w:r w:rsidR="460C6265">
        <w:t>key stakeholders</w:t>
      </w:r>
      <w:r w:rsidR="5F1DD910">
        <w:t>,</w:t>
      </w:r>
      <w:r w:rsidR="62DABB32">
        <w:t xml:space="preserve"> </w:t>
      </w:r>
      <w:r w:rsidR="5F1DD910">
        <w:t>notably</w:t>
      </w:r>
      <w:r w:rsidR="62DABB32">
        <w:t xml:space="preserve"> </w:t>
      </w:r>
      <w:r w:rsidR="460C6265">
        <w:t>GABHIC with the</w:t>
      </w:r>
      <w:r w:rsidR="62DABB32">
        <w:t>ir experience</w:t>
      </w:r>
      <w:r w:rsidR="460C6265">
        <w:t xml:space="preserve"> </w:t>
      </w:r>
      <w:r w:rsidR="5889C277">
        <w:t xml:space="preserve">of </w:t>
      </w:r>
      <w:r w:rsidR="460C6265">
        <w:t>manag</w:t>
      </w:r>
      <w:r w:rsidR="5889C277">
        <w:t>ing</w:t>
      </w:r>
      <w:r w:rsidR="460C6265">
        <w:t xml:space="preserve"> </w:t>
      </w:r>
      <w:r w:rsidR="5889C277">
        <w:t>internationally</w:t>
      </w:r>
      <w:r w:rsidR="5F1DD910">
        <w:t>-</w:t>
      </w:r>
      <w:r w:rsidR="460C6265">
        <w:t>shared rived basins</w:t>
      </w:r>
      <w:r w:rsidR="534161A8">
        <w:t xml:space="preserve"> reating</w:t>
      </w:r>
      <w:r w:rsidR="4103AC10">
        <w:t xml:space="preserve"> </w:t>
      </w:r>
      <w:r w:rsidR="460C6265">
        <w:t xml:space="preserve">the ‘enabling environment’ for </w:t>
      </w:r>
      <w:r w:rsidR="4103AC10">
        <w:t xml:space="preserve">the governance and financing of </w:t>
      </w:r>
      <w:r w:rsidR="460C6265">
        <w:t xml:space="preserve">LDN at </w:t>
      </w:r>
      <w:r w:rsidR="4103AC10">
        <w:t xml:space="preserve">both </w:t>
      </w:r>
      <w:r w:rsidR="460C6265">
        <w:t xml:space="preserve">national and landscape levels </w:t>
      </w:r>
      <w:r w:rsidR="4103AC10">
        <w:t xml:space="preserve">requires </w:t>
      </w:r>
      <w:r w:rsidR="460C6265">
        <w:t xml:space="preserve">the strengthening </w:t>
      </w:r>
      <w:r w:rsidR="4103AC10">
        <w:t xml:space="preserve">or development </w:t>
      </w:r>
      <w:r w:rsidR="460C6265">
        <w:t xml:space="preserve">of tools, systems, processes and, most importantly, </w:t>
      </w:r>
      <w:r w:rsidR="4103AC10">
        <w:t xml:space="preserve">human </w:t>
      </w:r>
      <w:r w:rsidR="460C6265">
        <w:t xml:space="preserve">capacity </w:t>
      </w:r>
      <w:r w:rsidR="4103AC10">
        <w:t xml:space="preserve">with the relevant </w:t>
      </w:r>
      <w:r w:rsidR="460C6265">
        <w:t>skills</w:t>
      </w:r>
      <w:r w:rsidR="34B8395C">
        <w:t xml:space="preserve"> and ability/readyness to work in an integrated, cross-sectoral manner demanded by the landscape approach. </w:t>
      </w:r>
      <w:r w:rsidR="6F409FA6">
        <w:t xml:space="preserve">FAO will provide </w:t>
      </w:r>
      <w:r w:rsidR="06712C6B">
        <w:t>Technical</w:t>
      </w:r>
      <w:r w:rsidR="6F409FA6">
        <w:t xml:space="preserve"> assistance.</w:t>
      </w:r>
    </w:p>
    <w:p w14:paraId="57D95176" w14:textId="7454C580" w:rsidR="009563B4" w:rsidRPr="00CE1EA7" w:rsidRDefault="009563B4" w:rsidP="001667C6">
      <w:pPr>
        <w:pStyle w:val="ParagraphOED"/>
        <w:numPr>
          <w:ilvl w:val="0"/>
          <w:numId w:val="102"/>
        </w:numPr>
        <w:spacing w:after="160"/>
      </w:pPr>
      <w:r>
        <w:t>GABHIC already possesses a decision</w:t>
      </w:r>
      <w:r w:rsidR="008F0670">
        <w:t xml:space="preserve"> support system for</w:t>
      </w:r>
      <w:r w:rsidR="005D2E86">
        <w:t xml:space="preserve"> </w:t>
      </w:r>
      <w:r>
        <w:t>watersheds</w:t>
      </w:r>
      <w:r w:rsidR="005D2E86">
        <w:t xml:space="preserve">, </w:t>
      </w:r>
      <w:r>
        <w:t xml:space="preserve">developed </w:t>
      </w:r>
      <w:r w:rsidR="005D2E86">
        <w:t>under</w:t>
      </w:r>
      <w:r>
        <w:t xml:space="preserve"> a GEF I</w:t>
      </w:r>
      <w:r w:rsidR="005D2E86">
        <w:t xml:space="preserve">nternational </w:t>
      </w:r>
      <w:r>
        <w:t>W</w:t>
      </w:r>
      <w:r w:rsidR="005D2E86">
        <w:t>aters</w:t>
      </w:r>
      <w:r>
        <w:t xml:space="preserve"> </w:t>
      </w:r>
      <w:r w:rsidR="00F166CA">
        <w:t xml:space="preserve">(IW) </w:t>
      </w:r>
      <w:r>
        <w:t>project</w:t>
      </w:r>
      <w:r w:rsidR="006E50ED">
        <w:t>. If practicable</w:t>
      </w:r>
      <w:r w:rsidR="005D2E86">
        <w:t xml:space="preserve">, </w:t>
      </w:r>
      <w:r w:rsidR="006E50ED">
        <w:t>this system</w:t>
      </w:r>
      <w:r>
        <w:t xml:space="preserve"> can be </w:t>
      </w:r>
      <w:r w:rsidR="005D2E86">
        <w:t>modified</w:t>
      </w:r>
      <w:r>
        <w:t xml:space="preserve"> </w:t>
      </w:r>
      <w:r w:rsidR="006E50ED">
        <w:t>to accommodate</w:t>
      </w:r>
      <w:r>
        <w:t xml:space="preserve"> the project’s </w:t>
      </w:r>
      <w:r w:rsidR="00E24249">
        <w:t xml:space="preserve">dryland </w:t>
      </w:r>
      <w:r>
        <w:t xml:space="preserve">landscapes </w:t>
      </w:r>
      <w:r w:rsidR="006E50ED">
        <w:t xml:space="preserve">and thereby integrate the planning and management of </w:t>
      </w:r>
      <w:r>
        <w:t>land and water</w:t>
      </w:r>
      <w:r w:rsidR="006E50ED">
        <w:t xml:space="preserve"> use at landscape scales.</w:t>
      </w:r>
      <w:r>
        <w:t xml:space="preserve"> </w:t>
      </w:r>
      <w:r w:rsidR="006E50ED">
        <w:t>At the very least</w:t>
      </w:r>
      <w:r>
        <w:t xml:space="preserve">, the project </w:t>
      </w:r>
      <w:r w:rsidR="006E50ED">
        <w:t xml:space="preserve">should be able to access </w:t>
      </w:r>
      <w:r>
        <w:t xml:space="preserve">the wealth of information </w:t>
      </w:r>
      <w:r w:rsidR="006E50ED">
        <w:t>held</w:t>
      </w:r>
      <w:r>
        <w:t xml:space="preserve"> in </w:t>
      </w:r>
      <w:r w:rsidR="00D5639E">
        <w:t xml:space="preserve">the </w:t>
      </w:r>
      <w:r>
        <w:t xml:space="preserve">systems maintained by GABHIC. </w:t>
      </w:r>
    </w:p>
    <w:p w14:paraId="4717090A" w14:textId="51F3596F" w:rsidR="009563B4" w:rsidRPr="00CE1EA7" w:rsidRDefault="00E4048E" w:rsidP="001667C6">
      <w:pPr>
        <w:pStyle w:val="ParagraphOED"/>
        <w:numPr>
          <w:ilvl w:val="0"/>
          <w:numId w:val="102"/>
        </w:numPr>
        <w:spacing w:before="160" w:after="80"/>
      </w:pPr>
      <w:r w:rsidRPr="1E65A5F7">
        <w:rPr>
          <w:b/>
          <w:bCs/>
        </w:rPr>
        <w:t>Two</w:t>
      </w:r>
      <w:r w:rsidR="00401850" w:rsidRPr="1E65A5F7">
        <w:rPr>
          <w:b/>
          <w:bCs/>
        </w:rPr>
        <w:t xml:space="preserve"> ministries</w:t>
      </w:r>
      <w:r w:rsidR="00130D4C">
        <w:t>, M</w:t>
      </w:r>
      <w:r w:rsidR="5094154A">
        <w:t>CTA</w:t>
      </w:r>
      <w:r>
        <w:t xml:space="preserve"> and </w:t>
      </w:r>
      <w:r w:rsidR="00130D4C">
        <w:t>MINAGRI</w:t>
      </w:r>
      <w:r w:rsidR="39A195F7">
        <w:t>P</w:t>
      </w:r>
      <w:r w:rsidR="00130D4C">
        <w:t xml:space="preserve"> </w:t>
      </w:r>
      <w:r w:rsidR="00401850" w:rsidRPr="1E65A5F7">
        <w:rPr>
          <w:b/>
          <w:bCs/>
        </w:rPr>
        <w:t>will co-finance Component 1 from the National Development Program (PND)</w:t>
      </w:r>
      <w:r w:rsidR="009563B4">
        <w:t xml:space="preserve"> as </w:t>
      </w:r>
      <w:r w:rsidR="00130D4C">
        <w:t>detailed</w:t>
      </w:r>
      <w:r w:rsidR="009563B4">
        <w:t xml:space="preserve"> </w:t>
      </w:r>
      <w:r w:rsidR="00537E1E">
        <w:t xml:space="preserve">in the table </w:t>
      </w:r>
      <w:r w:rsidR="009563B4">
        <w:t>below</w:t>
      </w:r>
      <w:r w:rsidR="00130D4C">
        <w:t>.</w:t>
      </w:r>
      <w:r w:rsidR="00F166CA">
        <w:t xml:space="preserve"> The project will collaborate closely with these ministries through </w:t>
      </w:r>
      <w:r w:rsidR="00F166CA">
        <w:lastRenderedPageBreak/>
        <w:t>partnerships or other applicable implementation arrangements to maximum effect. Collaboration with GEF IW projects is also foreseen</w:t>
      </w:r>
      <w:r w:rsidR="00ED6683">
        <w:t>;</w:t>
      </w:r>
      <w:r w:rsidR="00F166CA">
        <w:t xml:space="preserve"> details are </w:t>
      </w:r>
      <w:r w:rsidR="00ED6683">
        <w:t>given</w:t>
      </w:r>
      <w:r w:rsidR="00F166CA">
        <w:t xml:space="preserve"> in </w:t>
      </w:r>
      <w:r w:rsidR="00F166CA" w:rsidRPr="1E65A5F7">
        <w:rPr>
          <w:rStyle w:val="Hyperlink"/>
        </w:rPr>
        <w:t>Section 6b</w:t>
      </w:r>
      <w:r w:rsidR="00F166CA">
        <w:t>.</w:t>
      </w:r>
    </w:p>
    <w:tbl>
      <w:tblPr>
        <w:tblW w:w="9781" w:type="dxa"/>
        <w:tblInd w:w="704" w:type="dxa"/>
        <w:tblLayout w:type="fixed"/>
        <w:tblLook w:val="04A0" w:firstRow="1" w:lastRow="0" w:firstColumn="1" w:lastColumn="0" w:noHBand="0" w:noVBand="1"/>
      </w:tblPr>
      <w:tblGrid>
        <w:gridCol w:w="7513"/>
        <w:gridCol w:w="992"/>
        <w:gridCol w:w="1276"/>
      </w:tblGrid>
      <w:tr w:rsidR="004D03A8" w:rsidRPr="00CE1EA7" w14:paraId="7723C781" w14:textId="77777777" w:rsidTr="25447658">
        <w:trPr>
          <w:trHeight w:val="136"/>
          <w:tblHeader/>
        </w:trPr>
        <w:tc>
          <w:tcPr>
            <w:tcW w:w="7513" w:type="dxa"/>
            <w:vMerge w:val="restart"/>
            <w:tcBorders>
              <w:top w:val="single" w:sz="4" w:space="0" w:color="auto"/>
              <w:left w:val="single" w:sz="4" w:space="0" w:color="auto"/>
              <w:right w:val="single" w:sz="4" w:space="0" w:color="auto"/>
            </w:tcBorders>
            <w:shd w:val="clear" w:color="auto" w:fill="000000" w:themeFill="text1"/>
            <w:noWrap/>
            <w:tcMar>
              <w:left w:w="57" w:type="dxa"/>
              <w:right w:w="28" w:type="dxa"/>
            </w:tcMar>
            <w:vAlign w:val="center"/>
          </w:tcPr>
          <w:p w14:paraId="1843D0C8" w14:textId="25120FBB" w:rsidR="004D03A8" w:rsidRPr="00942CD0" w:rsidRDefault="004D03A8" w:rsidP="00130D4C">
            <w:pPr>
              <w:jc w:val="center"/>
              <w:rPr>
                <w:rFonts w:asciiTheme="minorHAnsi" w:hAnsiTheme="minorHAnsi" w:cstheme="minorHAnsi"/>
                <w:b/>
                <w:bCs/>
                <w:color w:val="FFFFFF"/>
                <w:sz w:val="18"/>
                <w:szCs w:val="18"/>
              </w:rPr>
            </w:pPr>
            <w:r w:rsidRPr="00942CD0">
              <w:rPr>
                <w:rFonts w:asciiTheme="minorHAnsi" w:hAnsiTheme="minorHAnsi" w:cstheme="minorHAnsi"/>
                <w:b/>
                <w:bCs/>
                <w:color w:val="FFFFFF"/>
                <w:sz w:val="18"/>
                <w:szCs w:val="18"/>
              </w:rPr>
              <w:t>Baseline Project / Program / Initiative</w:t>
            </w:r>
          </w:p>
        </w:tc>
        <w:tc>
          <w:tcPr>
            <w:tcW w:w="2268"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Mar>
              <w:left w:w="57" w:type="dxa"/>
              <w:right w:w="28" w:type="dxa"/>
            </w:tcMar>
            <w:vAlign w:val="center"/>
          </w:tcPr>
          <w:p w14:paraId="1E27C7AC" w14:textId="543D4097" w:rsidR="004D03A8" w:rsidRPr="00942CD0" w:rsidRDefault="004D03A8" w:rsidP="00130D4C">
            <w:pPr>
              <w:jc w:val="center"/>
              <w:rPr>
                <w:rFonts w:asciiTheme="minorHAnsi" w:hAnsiTheme="minorHAnsi" w:cstheme="minorHAnsi"/>
                <w:color w:val="000000"/>
                <w:sz w:val="18"/>
                <w:szCs w:val="18"/>
              </w:rPr>
            </w:pPr>
            <w:r w:rsidRPr="00942CD0">
              <w:rPr>
                <w:rFonts w:asciiTheme="minorHAnsi" w:hAnsiTheme="minorHAnsi" w:cstheme="minorHAnsi"/>
                <w:color w:val="000000"/>
                <w:sz w:val="18"/>
                <w:szCs w:val="18"/>
              </w:rPr>
              <w:t>Component 1</w:t>
            </w:r>
          </w:p>
        </w:tc>
      </w:tr>
      <w:tr w:rsidR="004D03A8" w:rsidRPr="00CE1EA7" w14:paraId="56281605" w14:textId="77777777" w:rsidTr="25447658">
        <w:trPr>
          <w:trHeight w:val="136"/>
          <w:tblHeader/>
        </w:trPr>
        <w:tc>
          <w:tcPr>
            <w:tcW w:w="7513" w:type="dxa"/>
            <w:vMerge/>
            <w:noWrap/>
            <w:tcMar>
              <w:left w:w="57" w:type="dxa"/>
              <w:right w:w="28" w:type="dxa"/>
            </w:tcMar>
          </w:tcPr>
          <w:p w14:paraId="403300A0" w14:textId="77777777" w:rsidR="004D03A8" w:rsidRPr="00942CD0" w:rsidRDefault="004D03A8" w:rsidP="00481CA4">
            <w:pPr>
              <w:rPr>
                <w:rFonts w:asciiTheme="minorHAnsi" w:hAnsiTheme="minorHAnsi" w:cstheme="minorHAnsi"/>
                <w:b/>
                <w:bCs/>
                <w:color w:val="FFFFFF"/>
                <w:sz w:val="18"/>
                <w:szCs w:val="18"/>
              </w:rPr>
            </w:pPr>
          </w:p>
        </w:tc>
        <w:tc>
          <w:tcPr>
            <w:tcW w:w="992" w:type="dxa"/>
            <w:tcBorders>
              <w:top w:val="single" w:sz="4" w:space="0" w:color="auto"/>
              <w:left w:val="single" w:sz="4" w:space="0" w:color="auto"/>
              <w:bottom w:val="single" w:sz="4" w:space="0" w:color="auto"/>
              <w:right w:val="single" w:sz="4" w:space="0" w:color="auto"/>
            </w:tcBorders>
            <w:shd w:val="clear" w:color="auto" w:fill="D9D9D9" w:themeFill="background1" w:themeFillShade="D9"/>
            <w:tcMar>
              <w:left w:w="28" w:type="dxa"/>
              <w:right w:w="28" w:type="dxa"/>
            </w:tcMar>
          </w:tcPr>
          <w:p w14:paraId="7FABC56D" w14:textId="1C438835" w:rsidR="004D03A8" w:rsidRPr="00942CD0" w:rsidRDefault="004D03A8" w:rsidP="00481CA4">
            <w:pPr>
              <w:jc w:val="center"/>
              <w:rPr>
                <w:rFonts w:asciiTheme="minorHAnsi" w:hAnsiTheme="minorHAnsi" w:cstheme="minorHAnsi"/>
                <w:sz w:val="18"/>
                <w:szCs w:val="18"/>
              </w:rPr>
            </w:pPr>
            <w:r w:rsidRPr="00942CD0">
              <w:rPr>
                <w:rFonts w:asciiTheme="minorHAnsi" w:hAnsiTheme="minorHAnsi" w:cstheme="minorHAnsi"/>
                <w:sz w:val="18"/>
                <w:szCs w:val="18"/>
              </w:rPr>
              <w:t>Baseline</w:t>
            </w:r>
          </w:p>
        </w:tc>
        <w:tc>
          <w:tcPr>
            <w:tcW w:w="1276" w:type="dxa"/>
            <w:tcBorders>
              <w:top w:val="single" w:sz="4" w:space="0" w:color="auto"/>
              <w:left w:val="nil"/>
              <w:bottom w:val="single" w:sz="4" w:space="0" w:color="auto"/>
              <w:right w:val="single" w:sz="4" w:space="0" w:color="auto"/>
            </w:tcBorders>
            <w:shd w:val="clear" w:color="auto" w:fill="D9E2F3" w:themeFill="accent5" w:themeFillTint="33"/>
            <w:tcMar>
              <w:left w:w="28" w:type="dxa"/>
              <w:right w:w="28" w:type="dxa"/>
            </w:tcMar>
          </w:tcPr>
          <w:p w14:paraId="7BC1D57D" w14:textId="3F4C8FD5" w:rsidR="004D03A8" w:rsidRPr="00942CD0" w:rsidRDefault="004D03A8" w:rsidP="00481CA4">
            <w:pPr>
              <w:jc w:val="center"/>
              <w:rPr>
                <w:rFonts w:asciiTheme="minorHAnsi" w:hAnsiTheme="minorHAnsi" w:cstheme="minorBidi"/>
                <w:color w:val="000000"/>
                <w:sz w:val="18"/>
                <w:szCs w:val="18"/>
              </w:rPr>
            </w:pPr>
            <w:r w:rsidRPr="646C328D">
              <w:rPr>
                <w:rFonts w:asciiTheme="minorHAnsi" w:hAnsiTheme="minorHAnsi" w:cstheme="minorBidi"/>
                <w:color w:val="000000" w:themeColor="text1"/>
                <w:sz w:val="18"/>
                <w:szCs w:val="18"/>
              </w:rPr>
              <w:t>Co-financing</w:t>
            </w:r>
          </w:p>
        </w:tc>
      </w:tr>
      <w:tr w:rsidR="009563B4" w:rsidRPr="00CE1EA7" w14:paraId="53E3B014" w14:textId="77777777" w:rsidTr="25447658">
        <w:trPr>
          <w:trHeight w:val="233"/>
        </w:trPr>
        <w:tc>
          <w:tcPr>
            <w:tcW w:w="7513" w:type="dxa"/>
            <w:tcBorders>
              <w:top w:val="nil"/>
              <w:left w:val="single" w:sz="4" w:space="0" w:color="auto"/>
              <w:bottom w:val="single" w:sz="4" w:space="0" w:color="auto"/>
              <w:right w:val="single" w:sz="4" w:space="0" w:color="auto"/>
            </w:tcBorders>
            <w:shd w:val="clear" w:color="auto" w:fill="FFFFFF" w:themeFill="background1"/>
            <w:noWrap/>
            <w:tcMar>
              <w:left w:w="57" w:type="dxa"/>
              <w:right w:w="28" w:type="dxa"/>
            </w:tcMar>
          </w:tcPr>
          <w:p w14:paraId="32A99EA5" w14:textId="2282873F" w:rsidR="009563B4" w:rsidRPr="00942CD0" w:rsidRDefault="009563B4" w:rsidP="00481CA4">
            <w:pPr>
              <w:rPr>
                <w:rFonts w:asciiTheme="minorHAnsi" w:hAnsiTheme="minorHAnsi" w:cstheme="minorHAnsi"/>
                <w:color w:val="000000"/>
                <w:sz w:val="18"/>
                <w:szCs w:val="18"/>
              </w:rPr>
            </w:pPr>
            <w:r w:rsidRPr="00942CD0">
              <w:rPr>
                <w:rFonts w:asciiTheme="minorHAnsi" w:hAnsiTheme="minorHAnsi" w:cstheme="minorHAnsi"/>
                <w:color w:val="000000" w:themeColor="text1"/>
                <w:sz w:val="18"/>
                <w:szCs w:val="18"/>
              </w:rPr>
              <w:t>M</w:t>
            </w:r>
            <w:r w:rsidR="1DC13576" w:rsidRPr="00942CD0">
              <w:rPr>
                <w:rFonts w:asciiTheme="minorHAnsi" w:hAnsiTheme="minorHAnsi" w:cstheme="minorHAnsi"/>
                <w:color w:val="000000" w:themeColor="text1"/>
                <w:sz w:val="18"/>
                <w:szCs w:val="18"/>
              </w:rPr>
              <w:t>CTA</w:t>
            </w:r>
            <w:r w:rsidRPr="00942CD0">
              <w:rPr>
                <w:rFonts w:asciiTheme="minorHAnsi" w:hAnsiTheme="minorHAnsi" w:cstheme="minorHAnsi"/>
                <w:color w:val="000000" w:themeColor="text1"/>
                <w:sz w:val="18"/>
                <w:szCs w:val="18"/>
              </w:rPr>
              <w:t xml:space="preserve"> (</w:t>
            </w:r>
            <w:r w:rsidR="15DF0AEF" w:rsidRPr="00942CD0">
              <w:rPr>
                <w:rFonts w:asciiTheme="minorHAnsi" w:hAnsiTheme="minorHAnsi" w:cstheme="minorHAnsi"/>
                <w:color w:val="000000" w:themeColor="text1"/>
                <w:sz w:val="18"/>
                <w:szCs w:val="18"/>
              </w:rPr>
              <w:t>DNAAC</w:t>
            </w:r>
            <w:r w:rsidRPr="00942CD0">
              <w:rPr>
                <w:rFonts w:asciiTheme="minorHAnsi" w:hAnsiTheme="minorHAnsi" w:cstheme="minorHAnsi"/>
                <w:color w:val="000000" w:themeColor="text1"/>
                <w:sz w:val="18"/>
                <w:szCs w:val="18"/>
              </w:rPr>
              <w:t>) PND # 2.4.1: Climate Change</w:t>
            </w:r>
          </w:p>
        </w:tc>
        <w:tc>
          <w:tcPr>
            <w:tcW w:w="992" w:type="dxa"/>
            <w:tcBorders>
              <w:top w:val="nil"/>
              <w:left w:val="nil"/>
              <w:bottom w:val="single" w:sz="4" w:space="0" w:color="auto"/>
              <w:right w:val="single" w:sz="4" w:space="0" w:color="auto"/>
            </w:tcBorders>
            <w:shd w:val="clear" w:color="auto" w:fill="FFFFFF" w:themeFill="background1"/>
            <w:noWrap/>
            <w:tcMar>
              <w:left w:w="57" w:type="dxa"/>
              <w:right w:w="28" w:type="dxa"/>
            </w:tcMar>
          </w:tcPr>
          <w:p w14:paraId="3037E04E" w14:textId="2F064771" w:rsidR="009563B4" w:rsidRPr="00942CD0" w:rsidRDefault="009563B4" w:rsidP="00481CA4">
            <w:pPr>
              <w:jc w:val="center"/>
              <w:rPr>
                <w:rFonts w:asciiTheme="minorHAnsi" w:hAnsiTheme="minorHAnsi" w:cstheme="minorHAnsi"/>
                <w:sz w:val="18"/>
                <w:szCs w:val="18"/>
              </w:rPr>
            </w:pPr>
            <w:r w:rsidRPr="00942CD0">
              <w:rPr>
                <w:rFonts w:asciiTheme="minorHAnsi" w:hAnsiTheme="minorHAnsi" w:cstheme="minorHAnsi"/>
                <w:sz w:val="18"/>
                <w:szCs w:val="18"/>
              </w:rPr>
              <w:t>$</w:t>
            </w:r>
            <w:r w:rsidR="00132CEF" w:rsidRPr="00942CD0">
              <w:rPr>
                <w:rFonts w:asciiTheme="minorHAnsi" w:hAnsiTheme="minorHAnsi" w:cstheme="minorHAnsi"/>
                <w:sz w:val="18"/>
                <w:szCs w:val="18"/>
              </w:rPr>
              <w:t>12.2</w:t>
            </w:r>
          </w:p>
        </w:tc>
        <w:tc>
          <w:tcPr>
            <w:tcW w:w="1276" w:type="dxa"/>
            <w:tcBorders>
              <w:top w:val="nil"/>
              <w:left w:val="nil"/>
              <w:bottom w:val="single" w:sz="4" w:space="0" w:color="auto"/>
              <w:right w:val="single" w:sz="4" w:space="0" w:color="auto"/>
            </w:tcBorders>
            <w:shd w:val="clear" w:color="auto" w:fill="FFFFFF" w:themeFill="background1"/>
            <w:noWrap/>
            <w:tcMar>
              <w:left w:w="57" w:type="dxa"/>
              <w:right w:w="28" w:type="dxa"/>
            </w:tcMar>
          </w:tcPr>
          <w:p w14:paraId="6AA4EB4C" w14:textId="348C47AA" w:rsidR="009563B4" w:rsidRPr="00942CD0" w:rsidRDefault="009563B4" w:rsidP="00481CA4">
            <w:pPr>
              <w:jc w:val="center"/>
              <w:rPr>
                <w:rFonts w:asciiTheme="minorHAnsi" w:hAnsiTheme="minorHAnsi" w:cstheme="minorBidi"/>
                <w:color w:val="000000"/>
                <w:sz w:val="18"/>
                <w:szCs w:val="18"/>
              </w:rPr>
            </w:pPr>
            <w:r w:rsidRPr="56DFADCA">
              <w:rPr>
                <w:rFonts w:asciiTheme="minorHAnsi" w:hAnsiTheme="minorHAnsi" w:cstheme="minorBidi"/>
                <w:color w:val="000000" w:themeColor="text1"/>
                <w:sz w:val="18"/>
                <w:szCs w:val="18"/>
              </w:rPr>
              <w:t>$7.</w:t>
            </w:r>
            <w:r w:rsidR="0C38B318" w:rsidRPr="56DFADCA">
              <w:rPr>
                <w:rFonts w:asciiTheme="minorHAnsi" w:hAnsiTheme="minorHAnsi" w:cstheme="minorBidi"/>
                <w:color w:val="000000" w:themeColor="text1"/>
                <w:sz w:val="18"/>
                <w:szCs w:val="18"/>
              </w:rPr>
              <w:t>1236</w:t>
            </w:r>
          </w:p>
        </w:tc>
      </w:tr>
      <w:tr w:rsidR="009563B4" w:rsidRPr="00CE1EA7" w14:paraId="2CE67B07" w14:textId="77777777" w:rsidTr="25447658">
        <w:trPr>
          <w:trHeight w:val="233"/>
        </w:trPr>
        <w:tc>
          <w:tcPr>
            <w:tcW w:w="7513" w:type="dxa"/>
            <w:tcBorders>
              <w:top w:val="nil"/>
              <w:left w:val="single" w:sz="4" w:space="0" w:color="auto"/>
              <w:bottom w:val="single" w:sz="4" w:space="0" w:color="auto"/>
              <w:right w:val="single" w:sz="4" w:space="0" w:color="auto"/>
            </w:tcBorders>
            <w:shd w:val="clear" w:color="auto" w:fill="FFFFFF" w:themeFill="background1"/>
            <w:noWrap/>
            <w:tcMar>
              <w:left w:w="57" w:type="dxa"/>
              <w:right w:w="28" w:type="dxa"/>
            </w:tcMar>
          </w:tcPr>
          <w:p w14:paraId="4FCAB8F5" w14:textId="048B4911" w:rsidR="009563B4" w:rsidRPr="00942CD0" w:rsidRDefault="009563B4" w:rsidP="00481CA4">
            <w:pPr>
              <w:rPr>
                <w:rFonts w:asciiTheme="minorHAnsi" w:hAnsiTheme="minorHAnsi" w:cstheme="minorHAnsi"/>
                <w:color w:val="000000"/>
                <w:sz w:val="18"/>
                <w:szCs w:val="18"/>
              </w:rPr>
            </w:pPr>
            <w:r w:rsidRPr="00942CD0">
              <w:rPr>
                <w:rFonts w:asciiTheme="minorHAnsi" w:hAnsiTheme="minorHAnsi" w:cstheme="minorHAnsi"/>
                <w:color w:val="000000" w:themeColor="text1"/>
                <w:sz w:val="18"/>
                <w:szCs w:val="18"/>
              </w:rPr>
              <w:t>MINAGRI</w:t>
            </w:r>
            <w:r w:rsidR="5400E9FD" w:rsidRPr="00942CD0">
              <w:rPr>
                <w:rFonts w:asciiTheme="minorHAnsi" w:hAnsiTheme="minorHAnsi" w:cstheme="minorHAnsi"/>
                <w:color w:val="000000" w:themeColor="text1"/>
                <w:sz w:val="18"/>
                <w:szCs w:val="18"/>
              </w:rPr>
              <w:t>P</w:t>
            </w:r>
            <w:r w:rsidRPr="00942CD0">
              <w:rPr>
                <w:rFonts w:asciiTheme="minorHAnsi" w:hAnsiTheme="minorHAnsi" w:cstheme="minorHAnsi"/>
                <w:color w:val="000000" w:themeColor="text1"/>
                <w:sz w:val="18"/>
                <w:szCs w:val="18"/>
              </w:rPr>
              <w:t xml:space="preserve"> (DNF) PND # 2.3.4: Promoting Sustainable Use and Management of Forest Resources</w:t>
            </w:r>
          </w:p>
        </w:tc>
        <w:tc>
          <w:tcPr>
            <w:tcW w:w="992" w:type="dxa"/>
            <w:tcBorders>
              <w:top w:val="nil"/>
              <w:left w:val="nil"/>
              <w:bottom w:val="single" w:sz="4" w:space="0" w:color="auto"/>
              <w:right w:val="single" w:sz="4" w:space="0" w:color="auto"/>
            </w:tcBorders>
            <w:shd w:val="clear" w:color="auto" w:fill="FFFFFF" w:themeFill="background1"/>
            <w:noWrap/>
            <w:tcMar>
              <w:left w:w="57" w:type="dxa"/>
              <w:right w:w="28" w:type="dxa"/>
            </w:tcMar>
          </w:tcPr>
          <w:p w14:paraId="2F267EF0" w14:textId="33323538" w:rsidR="009563B4" w:rsidRPr="00942CD0" w:rsidRDefault="009563B4" w:rsidP="00481CA4">
            <w:pPr>
              <w:jc w:val="center"/>
              <w:rPr>
                <w:rFonts w:asciiTheme="minorHAnsi" w:hAnsiTheme="minorHAnsi" w:cstheme="minorHAnsi"/>
                <w:sz w:val="18"/>
                <w:szCs w:val="18"/>
              </w:rPr>
            </w:pPr>
            <w:r w:rsidRPr="00942CD0">
              <w:rPr>
                <w:rFonts w:asciiTheme="minorHAnsi" w:hAnsiTheme="minorHAnsi" w:cstheme="minorHAnsi"/>
                <w:sz w:val="18"/>
                <w:szCs w:val="18"/>
              </w:rPr>
              <w:t>$</w:t>
            </w:r>
            <w:r w:rsidR="00132CEF" w:rsidRPr="00942CD0">
              <w:rPr>
                <w:rFonts w:asciiTheme="minorHAnsi" w:hAnsiTheme="minorHAnsi" w:cstheme="minorHAnsi"/>
                <w:sz w:val="18"/>
                <w:szCs w:val="18"/>
              </w:rPr>
              <w:t>2.2</w:t>
            </w:r>
          </w:p>
        </w:tc>
        <w:tc>
          <w:tcPr>
            <w:tcW w:w="1276" w:type="dxa"/>
            <w:tcBorders>
              <w:top w:val="nil"/>
              <w:left w:val="nil"/>
              <w:bottom w:val="single" w:sz="4" w:space="0" w:color="auto"/>
              <w:right w:val="single" w:sz="4" w:space="0" w:color="auto"/>
            </w:tcBorders>
            <w:shd w:val="clear" w:color="auto" w:fill="FFFFFF" w:themeFill="background1"/>
            <w:noWrap/>
            <w:tcMar>
              <w:left w:w="57" w:type="dxa"/>
              <w:right w:w="28" w:type="dxa"/>
            </w:tcMar>
          </w:tcPr>
          <w:p w14:paraId="72E095FA" w14:textId="6B15659E" w:rsidR="009563B4" w:rsidRPr="00942CD0" w:rsidRDefault="003E6823" w:rsidP="25447658">
            <w:pPr>
              <w:jc w:val="center"/>
              <w:rPr>
                <w:rFonts w:asciiTheme="minorHAnsi" w:hAnsiTheme="minorHAnsi" w:cstheme="minorBidi"/>
                <w:color w:val="000000"/>
                <w:sz w:val="18"/>
                <w:szCs w:val="18"/>
              </w:rPr>
            </w:pPr>
            <w:r w:rsidRPr="25447658">
              <w:rPr>
                <w:rFonts w:asciiTheme="minorHAnsi" w:hAnsiTheme="minorHAnsi" w:cstheme="minorBidi"/>
                <w:color w:val="000000" w:themeColor="text1"/>
                <w:sz w:val="18"/>
                <w:szCs w:val="18"/>
              </w:rPr>
              <w:t>$</w:t>
            </w:r>
            <w:r w:rsidR="49CA156F" w:rsidRPr="25447658">
              <w:rPr>
                <w:rFonts w:asciiTheme="minorHAnsi" w:hAnsiTheme="minorHAnsi" w:cstheme="minorBidi"/>
                <w:color w:val="000000" w:themeColor="text1"/>
                <w:sz w:val="18"/>
                <w:szCs w:val="18"/>
              </w:rPr>
              <w:t>0</w:t>
            </w:r>
            <w:r w:rsidRPr="25447658">
              <w:rPr>
                <w:rFonts w:asciiTheme="minorHAnsi" w:hAnsiTheme="minorHAnsi" w:cstheme="minorBidi"/>
                <w:color w:val="000000" w:themeColor="text1"/>
                <w:sz w:val="18"/>
                <w:szCs w:val="18"/>
              </w:rPr>
              <w:t>.</w:t>
            </w:r>
            <w:r w:rsidR="39DD9EE6" w:rsidRPr="25447658">
              <w:rPr>
                <w:rFonts w:asciiTheme="minorHAnsi" w:hAnsiTheme="minorHAnsi" w:cstheme="minorBidi"/>
                <w:color w:val="000000" w:themeColor="text1"/>
                <w:sz w:val="18"/>
                <w:szCs w:val="18"/>
              </w:rPr>
              <w:t>4</w:t>
            </w:r>
          </w:p>
        </w:tc>
      </w:tr>
      <w:tr w:rsidR="009563B4" w:rsidRPr="00CE1EA7" w14:paraId="1E5B41CC" w14:textId="77777777" w:rsidTr="25447658">
        <w:trPr>
          <w:trHeight w:val="233"/>
        </w:trPr>
        <w:tc>
          <w:tcPr>
            <w:tcW w:w="7513" w:type="dxa"/>
            <w:tcBorders>
              <w:top w:val="nil"/>
              <w:left w:val="single" w:sz="4" w:space="0" w:color="auto"/>
              <w:bottom w:val="single" w:sz="4" w:space="0" w:color="auto"/>
              <w:right w:val="single" w:sz="4" w:space="0" w:color="auto"/>
            </w:tcBorders>
            <w:shd w:val="clear" w:color="auto" w:fill="FFFFFF" w:themeFill="background1"/>
            <w:noWrap/>
            <w:tcMar>
              <w:left w:w="57" w:type="dxa"/>
              <w:right w:w="28" w:type="dxa"/>
            </w:tcMar>
          </w:tcPr>
          <w:p w14:paraId="210A81E7" w14:textId="60EE62DA" w:rsidR="009563B4" w:rsidRPr="00942CD0" w:rsidRDefault="00132CEF" w:rsidP="00481CA4">
            <w:pPr>
              <w:rPr>
                <w:rFonts w:asciiTheme="minorHAnsi" w:hAnsiTheme="minorHAnsi" w:cstheme="minorHAnsi"/>
                <w:color w:val="000000"/>
                <w:sz w:val="18"/>
                <w:szCs w:val="18"/>
              </w:rPr>
            </w:pPr>
            <w:r w:rsidRPr="00942CD0">
              <w:rPr>
                <w:rFonts w:asciiTheme="minorHAnsi" w:hAnsiTheme="minorHAnsi" w:cstheme="minorHAnsi"/>
                <w:color w:val="000000"/>
                <w:sz w:val="18"/>
                <w:szCs w:val="18"/>
              </w:rPr>
              <w:t>IFAD SREP - Smallholder Resilience Enhancement Project</w:t>
            </w:r>
          </w:p>
        </w:tc>
        <w:tc>
          <w:tcPr>
            <w:tcW w:w="992" w:type="dxa"/>
            <w:tcBorders>
              <w:top w:val="nil"/>
              <w:left w:val="nil"/>
              <w:bottom w:val="single" w:sz="4" w:space="0" w:color="auto"/>
              <w:right w:val="single" w:sz="4" w:space="0" w:color="auto"/>
            </w:tcBorders>
            <w:shd w:val="clear" w:color="auto" w:fill="auto"/>
            <w:noWrap/>
            <w:tcMar>
              <w:left w:w="57" w:type="dxa"/>
              <w:right w:w="28" w:type="dxa"/>
            </w:tcMar>
          </w:tcPr>
          <w:p w14:paraId="2B2643E6" w14:textId="436EFB82" w:rsidR="009563B4" w:rsidRPr="00942CD0" w:rsidRDefault="00132CEF" w:rsidP="00481CA4">
            <w:pPr>
              <w:jc w:val="center"/>
              <w:rPr>
                <w:rFonts w:asciiTheme="minorHAnsi" w:hAnsiTheme="minorHAnsi" w:cstheme="minorHAnsi"/>
                <w:sz w:val="18"/>
                <w:szCs w:val="18"/>
              </w:rPr>
            </w:pPr>
            <w:r w:rsidRPr="00942CD0">
              <w:rPr>
                <w:rFonts w:asciiTheme="minorHAnsi" w:hAnsiTheme="minorHAnsi" w:cstheme="minorHAnsi"/>
                <w:sz w:val="18"/>
                <w:szCs w:val="18"/>
              </w:rPr>
              <w:t>$6.0</w:t>
            </w:r>
          </w:p>
        </w:tc>
        <w:tc>
          <w:tcPr>
            <w:tcW w:w="1276" w:type="dxa"/>
            <w:tcBorders>
              <w:top w:val="nil"/>
              <w:left w:val="nil"/>
              <w:bottom w:val="single" w:sz="4" w:space="0" w:color="auto"/>
              <w:right w:val="single" w:sz="4" w:space="0" w:color="auto"/>
            </w:tcBorders>
            <w:shd w:val="clear" w:color="auto" w:fill="auto"/>
            <w:noWrap/>
            <w:tcMar>
              <w:left w:w="57" w:type="dxa"/>
              <w:right w:w="28" w:type="dxa"/>
            </w:tcMar>
          </w:tcPr>
          <w:p w14:paraId="7607A53E" w14:textId="45B475BB" w:rsidR="009563B4" w:rsidRPr="00942CD0" w:rsidRDefault="00132CEF" w:rsidP="00481CA4">
            <w:pPr>
              <w:jc w:val="center"/>
              <w:rPr>
                <w:rFonts w:asciiTheme="minorHAnsi" w:hAnsiTheme="minorHAnsi" w:cstheme="minorBidi"/>
                <w:sz w:val="18"/>
                <w:szCs w:val="18"/>
              </w:rPr>
            </w:pPr>
            <w:r w:rsidRPr="56DFADCA">
              <w:rPr>
                <w:rFonts w:asciiTheme="minorHAnsi" w:hAnsiTheme="minorHAnsi" w:cstheme="minorBidi"/>
                <w:sz w:val="18"/>
                <w:szCs w:val="18"/>
              </w:rPr>
              <w:t>$0</w:t>
            </w:r>
            <w:r w:rsidR="00B67324" w:rsidRPr="56DFADCA">
              <w:rPr>
                <w:rFonts w:asciiTheme="minorHAnsi" w:hAnsiTheme="minorHAnsi" w:cstheme="minorBidi"/>
                <w:sz w:val="18"/>
                <w:szCs w:val="18"/>
              </w:rPr>
              <w:t>.9</w:t>
            </w:r>
          </w:p>
        </w:tc>
      </w:tr>
      <w:tr w:rsidR="00132CEF" w:rsidRPr="00CE1EA7" w14:paraId="25CAA985" w14:textId="77777777" w:rsidTr="25447658">
        <w:trPr>
          <w:trHeight w:val="233"/>
        </w:trPr>
        <w:tc>
          <w:tcPr>
            <w:tcW w:w="7513" w:type="dxa"/>
            <w:tcBorders>
              <w:top w:val="nil"/>
              <w:left w:val="single" w:sz="4" w:space="0" w:color="auto"/>
              <w:bottom w:val="single" w:sz="4" w:space="0" w:color="auto"/>
              <w:right w:val="single" w:sz="4" w:space="0" w:color="auto"/>
            </w:tcBorders>
            <w:shd w:val="clear" w:color="auto" w:fill="FFFFFF" w:themeFill="background1"/>
            <w:noWrap/>
            <w:tcMar>
              <w:left w:w="57" w:type="dxa"/>
              <w:right w:w="28" w:type="dxa"/>
            </w:tcMar>
          </w:tcPr>
          <w:p w14:paraId="6A85BD2A" w14:textId="5BBA629D" w:rsidR="00132CEF" w:rsidRPr="00942CD0" w:rsidRDefault="00132CEF" w:rsidP="00481CA4">
            <w:pPr>
              <w:rPr>
                <w:rFonts w:asciiTheme="minorHAnsi" w:hAnsiTheme="minorHAnsi" w:cstheme="minorHAnsi"/>
                <w:color w:val="000000"/>
                <w:sz w:val="18"/>
                <w:szCs w:val="18"/>
              </w:rPr>
            </w:pPr>
            <w:r w:rsidRPr="00942CD0">
              <w:rPr>
                <w:rFonts w:asciiTheme="minorHAnsi" w:hAnsiTheme="minorHAnsi" w:cstheme="minorHAnsi"/>
                <w:color w:val="000000"/>
                <w:sz w:val="18"/>
                <w:szCs w:val="18"/>
              </w:rPr>
              <w:t>AFDB Agricultural Value Chains – Support to Sustainable Development. &amp; Growth</w:t>
            </w:r>
          </w:p>
        </w:tc>
        <w:tc>
          <w:tcPr>
            <w:tcW w:w="992" w:type="dxa"/>
            <w:tcBorders>
              <w:top w:val="nil"/>
              <w:left w:val="nil"/>
              <w:bottom w:val="single" w:sz="4" w:space="0" w:color="auto"/>
              <w:right w:val="single" w:sz="4" w:space="0" w:color="auto"/>
            </w:tcBorders>
            <w:shd w:val="clear" w:color="auto" w:fill="auto"/>
            <w:noWrap/>
            <w:tcMar>
              <w:left w:w="57" w:type="dxa"/>
              <w:right w:w="28" w:type="dxa"/>
            </w:tcMar>
          </w:tcPr>
          <w:p w14:paraId="27B6EADF" w14:textId="61257354" w:rsidR="00132CEF" w:rsidRPr="00942CD0" w:rsidRDefault="00132CEF" w:rsidP="00481CA4">
            <w:pPr>
              <w:jc w:val="center"/>
              <w:rPr>
                <w:rFonts w:asciiTheme="minorHAnsi" w:hAnsiTheme="minorHAnsi" w:cstheme="minorHAnsi"/>
                <w:sz w:val="18"/>
                <w:szCs w:val="18"/>
              </w:rPr>
            </w:pPr>
            <w:r w:rsidRPr="00942CD0">
              <w:rPr>
                <w:rFonts w:asciiTheme="minorHAnsi" w:hAnsiTheme="minorHAnsi" w:cstheme="minorHAnsi"/>
                <w:sz w:val="18"/>
                <w:szCs w:val="18"/>
              </w:rPr>
              <w:t>$4.0</w:t>
            </w:r>
          </w:p>
        </w:tc>
        <w:tc>
          <w:tcPr>
            <w:tcW w:w="1276" w:type="dxa"/>
            <w:tcBorders>
              <w:top w:val="nil"/>
              <w:left w:val="nil"/>
              <w:bottom w:val="single" w:sz="4" w:space="0" w:color="auto"/>
              <w:right w:val="single" w:sz="4" w:space="0" w:color="auto"/>
            </w:tcBorders>
            <w:shd w:val="clear" w:color="auto" w:fill="auto"/>
            <w:noWrap/>
            <w:tcMar>
              <w:left w:w="57" w:type="dxa"/>
              <w:right w:w="28" w:type="dxa"/>
            </w:tcMar>
          </w:tcPr>
          <w:p w14:paraId="2F5D3518" w14:textId="26257D2A" w:rsidR="00132CEF" w:rsidRPr="00942CD0" w:rsidRDefault="00132CEF" w:rsidP="00481CA4">
            <w:pPr>
              <w:jc w:val="center"/>
              <w:rPr>
                <w:rFonts w:asciiTheme="minorHAnsi" w:hAnsiTheme="minorHAnsi" w:cstheme="minorHAnsi"/>
                <w:sz w:val="18"/>
                <w:szCs w:val="18"/>
              </w:rPr>
            </w:pPr>
            <w:r w:rsidRPr="00942CD0">
              <w:rPr>
                <w:rFonts w:asciiTheme="minorHAnsi" w:hAnsiTheme="minorHAnsi" w:cstheme="minorHAnsi"/>
                <w:sz w:val="18"/>
                <w:szCs w:val="18"/>
              </w:rPr>
              <w:t>$0</w:t>
            </w:r>
          </w:p>
        </w:tc>
      </w:tr>
      <w:tr w:rsidR="00132CEF" w:rsidRPr="00CE1EA7" w14:paraId="0CB3B453" w14:textId="77777777" w:rsidTr="25447658">
        <w:trPr>
          <w:trHeight w:val="233"/>
        </w:trPr>
        <w:tc>
          <w:tcPr>
            <w:tcW w:w="7513" w:type="dxa"/>
            <w:tcBorders>
              <w:top w:val="nil"/>
              <w:left w:val="single" w:sz="4" w:space="0" w:color="auto"/>
              <w:bottom w:val="single" w:sz="4" w:space="0" w:color="auto"/>
              <w:right w:val="single" w:sz="4" w:space="0" w:color="auto"/>
            </w:tcBorders>
            <w:shd w:val="clear" w:color="auto" w:fill="FFFFFF" w:themeFill="background1"/>
            <w:noWrap/>
            <w:tcMar>
              <w:left w:w="57" w:type="dxa"/>
              <w:right w:w="28" w:type="dxa"/>
            </w:tcMar>
          </w:tcPr>
          <w:p w14:paraId="6C927D9A" w14:textId="1BCF6736" w:rsidR="00132CEF" w:rsidRPr="00942CD0" w:rsidRDefault="00132CEF" w:rsidP="00481CA4">
            <w:pPr>
              <w:rPr>
                <w:rFonts w:asciiTheme="minorHAnsi" w:hAnsiTheme="minorHAnsi" w:cstheme="minorHAnsi"/>
                <w:color w:val="000000"/>
                <w:sz w:val="18"/>
                <w:szCs w:val="18"/>
              </w:rPr>
            </w:pPr>
            <w:r w:rsidRPr="00942CD0">
              <w:rPr>
                <w:rFonts w:asciiTheme="minorHAnsi" w:hAnsiTheme="minorHAnsi" w:cstheme="minorHAnsi"/>
                <w:color w:val="000000"/>
                <w:sz w:val="18"/>
                <w:szCs w:val="18"/>
              </w:rPr>
              <w:t>FAO</w:t>
            </w:r>
          </w:p>
        </w:tc>
        <w:tc>
          <w:tcPr>
            <w:tcW w:w="992" w:type="dxa"/>
            <w:tcBorders>
              <w:top w:val="nil"/>
              <w:left w:val="nil"/>
              <w:bottom w:val="single" w:sz="4" w:space="0" w:color="auto"/>
              <w:right w:val="single" w:sz="4" w:space="0" w:color="auto"/>
            </w:tcBorders>
            <w:shd w:val="clear" w:color="auto" w:fill="auto"/>
            <w:noWrap/>
            <w:tcMar>
              <w:left w:w="57" w:type="dxa"/>
              <w:right w:w="28" w:type="dxa"/>
            </w:tcMar>
          </w:tcPr>
          <w:p w14:paraId="4AE96D90" w14:textId="434D8A6A" w:rsidR="00132CEF" w:rsidRPr="00942CD0" w:rsidRDefault="00132CEF" w:rsidP="00481CA4">
            <w:pPr>
              <w:jc w:val="center"/>
              <w:rPr>
                <w:rFonts w:asciiTheme="minorHAnsi" w:hAnsiTheme="minorHAnsi" w:cstheme="minorHAnsi"/>
                <w:sz w:val="18"/>
                <w:szCs w:val="18"/>
              </w:rPr>
            </w:pPr>
            <w:r w:rsidRPr="00942CD0">
              <w:rPr>
                <w:rFonts w:asciiTheme="minorHAnsi" w:hAnsiTheme="minorHAnsi" w:cstheme="minorHAnsi"/>
                <w:sz w:val="18"/>
                <w:szCs w:val="18"/>
              </w:rPr>
              <w:t>$0.35</w:t>
            </w:r>
          </w:p>
        </w:tc>
        <w:tc>
          <w:tcPr>
            <w:tcW w:w="1276" w:type="dxa"/>
            <w:tcBorders>
              <w:top w:val="nil"/>
              <w:left w:val="nil"/>
              <w:bottom w:val="single" w:sz="4" w:space="0" w:color="auto"/>
              <w:right w:val="single" w:sz="4" w:space="0" w:color="auto"/>
            </w:tcBorders>
            <w:shd w:val="clear" w:color="auto" w:fill="auto"/>
            <w:noWrap/>
            <w:tcMar>
              <w:left w:w="57" w:type="dxa"/>
              <w:right w:w="28" w:type="dxa"/>
            </w:tcMar>
          </w:tcPr>
          <w:p w14:paraId="781D0773" w14:textId="291AA1B0" w:rsidR="00132CEF" w:rsidRPr="00942CD0" w:rsidRDefault="00132CEF" w:rsidP="00481CA4">
            <w:pPr>
              <w:jc w:val="center"/>
              <w:rPr>
                <w:rFonts w:asciiTheme="minorHAnsi" w:hAnsiTheme="minorHAnsi" w:cstheme="minorBidi"/>
                <w:sz w:val="18"/>
                <w:szCs w:val="18"/>
              </w:rPr>
            </w:pPr>
            <w:r w:rsidRPr="56DFADCA">
              <w:rPr>
                <w:rFonts w:asciiTheme="minorHAnsi" w:hAnsiTheme="minorHAnsi" w:cstheme="minorBidi"/>
                <w:sz w:val="18"/>
                <w:szCs w:val="18"/>
              </w:rPr>
              <w:t>$0.0</w:t>
            </w:r>
            <w:r w:rsidR="57473C48" w:rsidRPr="56DFADCA">
              <w:rPr>
                <w:rFonts w:asciiTheme="minorHAnsi" w:hAnsiTheme="minorHAnsi" w:cstheme="minorBidi"/>
                <w:sz w:val="18"/>
                <w:szCs w:val="18"/>
              </w:rPr>
              <w:t>2</w:t>
            </w:r>
            <w:r w:rsidRPr="56DFADCA">
              <w:rPr>
                <w:rFonts w:asciiTheme="minorHAnsi" w:hAnsiTheme="minorHAnsi" w:cstheme="minorBidi"/>
                <w:sz w:val="18"/>
                <w:szCs w:val="18"/>
              </w:rPr>
              <w:t>5</w:t>
            </w:r>
          </w:p>
        </w:tc>
      </w:tr>
      <w:tr w:rsidR="009563B4" w:rsidRPr="00CE1EA7" w14:paraId="7AFC0C6F" w14:textId="77777777" w:rsidTr="25447658">
        <w:trPr>
          <w:trHeight w:val="233"/>
        </w:trPr>
        <w:tc>
          <w:tcPr>
            <w:tcW w:w="7513" w:type="dxa"/>
            <w:tcBorders>
              <w:top w:val="nil"/>
              <w:left w:val="single" w:sz="4" w:space="0" w:color="auto"/>
              <w:bottom w:val="single" w:sz="4" w:space="0" w:color="auto"/>
              <w:right w:val="single" w:sz="4" w:space="0" w:color="auto"/>
            </w:tcBorders>
            <w:shd w:val="clear" w:color="auto" w:fill="000000" w:themeFill="text1"/>
            <w:noWrap/>
            <w:tcMar>
              <w:left w:w="57" w:type="dxa"/>
              <w:right w:w="28" w:type="dxa"/>
            </w:tcMar>
          </w:tcPr>
          <w:p w14:paraId="2DF7F5C5" w14:textId="74B194F2" w:rsidR="009563B4" w:rsidRPr="00942CD0" w:rsidRDefault="009563B4" w:rsidP="00130D4C">
            <w:pPr>
              <w:jc w:val="right"/>
              <w:rPr>
                <w:rFonts w:asciiTheme="minorHAnsi" w:hAnsiTheme="minorHAnsi" w:cstheme="minorHAnsi"/>
                <w:b/>
                <w:bCs/>
                <w:color w:val="FFFFFF"/>
                <w:sz w:val="18"/>
                <w:szCs w:val="18"/>
              </w:rPr>
            </w:pPr>
            <w:r w:rsidRPr="00942CD0">
              <w:rPr>
                <w:rFonts w:asciiTheme="minorHAnsi" w:hAnsiTheme="minorHAnsi" w:cstheme="minorHAnsi"/>
                <w:b/>
                <w:bCs/>
                <w:color w:val="FFFFFF"/>
                <w:sz w:val="18"/>
                <w:szCs w:val="18"/>
              </w:rPr>
              <w:t>Totals</w:t>
            </w:r>
            <w:r w:rsidR="00130D4C" w:rsidRPr="00942CD0">
              <w:rPr>
                <w:rFonts w:asciiTheme="minorHAnsi" w:hAnsiTheme="minorHAnsi" w:cstheme="minorHAnsi"/>
                <w:b/>
                <w:bCs/>
                <w:color w:val="FFFFFF"/>
                <w:sz w:val="18"/>
                <w:szCs w:val="18"/>
              </w:rPr>
              <w:t xml:space="preserve"> (US$ million)</w:t>
            </w:r>
          </w:p>
        </w:tc>
        <w:tc>
          <w:tcPr>
            <w:tcW w:w="992" w:type="dxa"/>
            <w:tcBorders>
              <w:top w:val="nil"/>
              <w:left w:val="nil"/>
              <w:bottom w:val="single" w:sz="4" w:space="0" w:color="auto"/>
              <w:right w:val="single" w:sz="4" w:space="0" w:color="auto"/>
            </w:tcBorders>
            <w:shd w:val="clear" w:color="auto" w:fill="FFFFFF" w:themeFill="background1"/>
            <w:noWrap/>
            <w:tcMar>
              <w:left w:w="57" w:type="dxa"/>
              <w:right w:w="28" w:type="dxa"/>
            </w:tcMar>
          </w:tcPr>
          <w:p w14:paraId="1C9C450F" w14:textId="3C98B503" w:rsidR="009563B4" w:rsidRPr="00942CD0" w:rsidRDefault="009563B4" w:rsidP="00481CA4">
            <w:pPr>
              <w:jc w:val="center"/>
              <w:rPr>
                <w:rFonts w:asciiTheme="minorHAnsi" w:hAnsiTheme="minorHAnsi" w:cstheme="minorHAnsi"/>
                <w:b/>
                <w:bCs/>
                <w:color w:val="000000"/>
                <w:sz w:val="18"/>
                <w:szCs w:val="18"/>
              </w:rPr>
            </w:pPr>
            <w:r w:rsidRPr="00942CD0">
              <w:rPr>
                <w:rFonts w:asciiTheme="minorHAnsi" w:hAnsiTheme="minorHAnsi" w:cstheme="minorHAnsi"/>
                <w:b/>
                <w:bCs/>
                <w:color w:val="000000"/>
                <w:sz w:val="18"/>
                <w:szCs w:val="18"/>
              </w:rPr>
              <w:t>$</w:t>
            </w:r>
            <w:r w:rsidR="00132CEF" w:rsidRPr="00942CD0">
              <w:rPr>
                <w:rFonts w:asciiTheme="minorHAnsi" w:hAnsiTheme="minorHAnsi" w:cstheme="minorHAnsi"/>
                <w:b/>
                <w:bCs/>
                <w:color w:val="000000"/>
                <w:sz w:val="18"/>
                <w:szCs w:val="18"/>
              </w:rPr>
              <w:t>24.7</w:t>
            </w:r>
          </w:p>
        </w:tc>
        <w:tc>
          <w:tcPr>
            <w:tcW w:w="1276" w:type="dxa"/>
            <w:tcBorders>
              <w:top w:val="nil"/>
              <w:left w:val="nil"/>
              <w:bottom w:val="single" w:sz="4" w:space="0" w:color="auto"/>
              <w:right w:val="single" w:sz="4" w:space="0" w:color="auto"/>
            </w:tcBorders>
            <w:shd w:val="clear" w:color="auto" w:fill="FFFFFF" w:themeFill="background1"/>
            <w:noWrap/>
            <w:tcMar>
              <w:left w:w="57" w:type="dxa"/>
              <w:right w:w="28" w:type="dxa"/>
            </w:tcMar>
          </w:tcPr>
          <w:p w14:paraId="321216A9" w14:textId="17BB36F6" w:rsidR="009563B4" w:rsidRPr="00942CD0" w:rsidRDefault="003E6823" w:rsidP="25447658">
            <w:pPr>
              <w:jc w:val="center"/>
              <w:rPr>
                <w:rFonts w:asciiTheme="minorHAnsi" w:hAnsiTheme="minorHAnsi" w:cstheme="minorBidi"/>
                <w:b/>
                <w:bCs/>
                <w:color w:val="000000"/>
                <w:sz w:val="18"/>
                <w:szCs w:val="18"/>
              </w:rPr>
            </w:pPr>
            <w:r w:rsidRPr="25447658">
              <w:rPr>
                <w:rFonts w:asciiTheme="minorHAnsi" w:hAnsiTheme="minorHAnsi" w:cstheme="minorBidi"/>
                <w:b/>
                <w:bCs/>
                <w:color w:val="000000" w:themeColor="text1"/>
                <w:sz w:val="18"/>
                <w:szCs w:val="18"/>
              </w:rPr>
              <w:t>$</w:t>
            </w:r>
            <w:r w:rsidR="49CA156F" w:rsidRPr="25447658">
              <w:rPr>
                <w:rFonts w:asciiTheme="minorHAnsi" w:hAnsiTheme="minorHAnsi" w:cstheme="minorBidi"/>
                <w:b/>
                <w:bCs/>
                <w:color w:val="000000" w:themeColor="text1"/>
                <w:sz w:val="18"/>
                <w:szCs w:val="18"/>
              </w:rPr>
              <w:t>8.</w:t>
            </w:r>
            <w:r w:rsidR="3FE5FD0D" w:rsidRPr="56DFADCA">
              <w:rPr>
                <w:rFonts w:asciiTheme="minorHAnsi" w:hAnsiTheme="minorHAnsi" w:cstheme="minorBidi"/>
                <w:b/>
                <w:bCs/>
                <w:color w:val="000000" w:themeColor="text1"/>
                <w:sz w:val="18"/>
                <w:szCs w:val="18"/>
              </w:rPr>
              <w:t>448</w:t>
            </w:r>
            <w:r w:rsidR="708A8135" w:rsidRPr="56DFADCA">
              <w:rPr>
                <w:rFonts w:asciiTheme="minorHAnsi" w:hAnsiTheme="minorHAnsi" w:cstheme="minorBidi"/>
                <w:b/>
                <w:bCs/>
                <w:color w:val="000000" w:themeColor="text1"/>
                <w:sz w:val="18"/>
                <w:szCs w:val="18"/>
              </w:rPr>
              <w:t>6</w:t>
            </w:r>
          </w:p>
        </w:tc>
      </w:tr>
    </w:tbl>
    <w:p w14:paraId="383A7D94" w14:textId="77777777" w:rsidR="00E4048E" w:rsidRDefault="00E4048E" w:rsidP="00EE1655">
      <w:pPr>
        <w:rPr>
          <w:strike/>
          <w:szCs w:val="21"/>
        </w:rPr>
      </w:pPr>
    </w:p>
    <w:tbl>
      <w:tblPr>
        <w:tblStyle w:val="TableGrid"/>
        <w:tblpPr w:leftFromText="180" w:rightFromText="180" w:vertAnchor="text" w:horzAnchor="margin" w:tblpXSpec="right" w:tblpY="70"/>
        <w:tblW w:w="0" w:type="auto"/>
        <w:tblLook w:val="04A0" w:firstRow="1" w:lastRow="0" w:firstColumn="1" w:lastColumn="0" w:noHBand="0" w:noVBand="1"/>
      </w:tblPr>
      <w:tblGrid>
        <w:gridCol w:w="1418"/>
        <w:gridCol w:w="8421"/>
      </w:tblGrid>
      <w:tr w:rsidR="00223D1B" w:rsidRPr="0071113D" w14:paraId="3F9447B2" w14:textId="77777777" w:rsidTr="00E66D33">
        <w:tc>
          <w:tcPr>
            <w:tcW w:w="1418" w:type="dxa"/>
            <w:tcBorders>
              <w:top w:val="nil"/>
              <w:left w:val="nil"/>
              <w:bottom w:val="nil"/>
            </w:tcBorders>
            <w:tcMar>
              <w:top w:w="57" w:type="dxa"/>
              <w:left w:w="57" w:type="dxa"/>
              <w:bottom w:w="57" w:type="dxa"/>
              <w:right w:w="57" w:type="dxa"/>
            </w:tcMar>
          </w:tcPr>
          <w:p w14:paraId="78661C73" w14:textId="540C5EFC" w:rsidR="00223D1B" w:rsidRPr="00C87774" w:rsidRDefault="00223D1B" w:rsidP="00EE1655">
            <w:pPr>
              <w:pStyle w:val="Heading5"/>
              <w:spacing w:before="0" w:after="0"/>
              <w:ind w:left="0"/>
              <w:outlineLvl w:val="4"/>
              <w:rPr>
                <w:rFonts w:cs="Calibri"/>
                <w:sz w:val="22"/>
                <w:szCs w:val="22"/>
                <w:lang w:val="en-GB"/>
              </w:rPr>
            </w:pPr>
            <w:r w:rsidRPr="00C87774">
              <w:rPr>
                <w:rFonts w:ascii="Calibri" w:hAnsi="Calibri" w:cs="Calibri"/>
                <w:sz w:val="22"/>
                <w:szCs w:val="22"/>
              </w:rPr>
              <w:t xml:space="preserve">Outcome </w:t>
            </w:r>
            <w:r>
              <w:rPr>
                <w:rFonts w:ascii="Calibri" w:hAnsi="Calibri" w:cs="Calibri"/>
                <w:sz w:val="22"/>
                <w:szCs w:val="22"/>
              </w:rPr>
              <w:t>1</w:t>
            </w:r>
            <w:r w:rsidRPr="00C87774">
              <w:rPr>
                <w:rFonts w:ascii="Calibri" w:hAnsi="Calibri" w:cs="Calibri"/>
                <w:sz w:val="22"/>
                <w:szCs w:val="22"/>
              </w:rPr>
              <w:t>.</w:t>
            </w:r>
            <w:r>
              <w:rPr>
                <w:rFonts w:ascii="Calibri" w:hAnsi="Calibri" w:cs="Calibri"/>
                <w:sz w:val="22"/>
                <w:szCs w:val="22"/>
                <w:lang w:val="en-GB"/>
              </w:rPr>
              <w:t>1</w:t>
            </w:r>
          </w:p>
        </w:tc>
        <w:tc>
          <w:tcPr>
            <w:tcW w:w="8421" w:type="dxa"/>
            <w:tcMar>
              <w:top w:w="57" w:type="dxa"/>
              <w:left w:w="57" w:type="dxa"/>
              <w:bottom w:w="57" w:type="dxa"/>
              <w:right w:w="57" w:type="dxa"/>
            </w:tcMar>
          </w:tcPr>
          <w:p w14:paraId="005E5FF7" w14:textId="37430235" w:rsidR="00223D1B" w:rsidRPr="00C87774" w:rsidRDefault="0041626F" w:rsidP="00EE1655">
            <w:pPr>
              <w:pStyle w:val="Heading5"/>
              <w:spacing w:before="0" w:after="0"/>
              <w:ind w:left="0"/>
              <w:outlineLvl w:val="4"/>
              <w:rPr>
                <w:rFonts w:ascii="Calibri" w:hAnsi="Calibri" w:cs="Calibri"/>
                <w:sz w:val="22"/>
                <w:szCs w:val="22"/>
                <w:lang w:val="en-GB"/>
              </w:rPr>
            </w:pPr>
            <w:r w:rsidRPr="0041626F">
              <w:rPr>
                <w:rFonts w:ascii="Calibri" w:hAnsi="Calibri" w:cs="Calibri"/>
                <w:sz w:val="22"/>
                <w:szCs w:val="22"/>
              </w:rPr>
              <w:t>Strengthened policy-regulatory and decision-making frameworks for LDN at national and sub-national levels</w:t>
            </w:r>
          </w:p>
        </w:tc>
      </w:tr>
    </w:tbl>
    <w:p w14:paraId="368F3DA6" w14:textId="77777777" w:rsidR="00223D1B" w:rsidRPr="008176BC" w:rsidRDefault="00223D1B" w:rsidP="00EE1655">
      <w:pPr>
        <w:pStyle w:val="Heading5"/>
        <w:ind w:left="0"/>
      </w:pPr>
    </w:p>
    <w:p w14:paraId="303CE432" w14:textId="77777777" w:rsidR="00223D1B" w:rsidRPr="00EE1655" w:rsidRDefault="00223D1B" w:rsidP="00EE1655">
      <w:pPr>
        <w:rPr>
          <w:sz w:val="22"/>
          <w:szCs w:val="22"/>
        </w:rPr>
      </w:pPr>
    </w:p>
    <w:p w14:paraId="6946474D" w14:textId="0D9C9819" w:rsidR="009563B4" w:rsidRPr="00F87DBC" w:rsidRDefault="002C5E4C" w:rsidP="001667C6">
      <w:pPr>
        <w:pStyle w:val="ParagraphOED"/>
        <w:numPr>
          <w:ilvl w:val="0"/>
          <w:numId w:val="102"/>
        </w:numPr>
        <w:spacing w:before="160" w:after="80"/>
      </w:pPr>
      <w:r>
        <w:t>T</w:t>
      </w:r>
      <w:r w:rsidR="009563B4">
        <w:t xml:space="preserve">hree main aspects </w:t>
      </w:r>
      <w:r>
        <w:t xml:space="preserve">are </w:t>
      </w:r>
      <w:r w:rsidR="009563B4">
        <w:t>covered under Outcome 1.1</w:t>
      </w:r>
      <w:r w:rsidR="00B76B8A">
        <w:t xml:space="preserve"> relate to</w:t>
      </w:r>
      <w:r w:rsidR="009563B4">
        <w:t xml:space="preserve"> the enabling environment for LDN and </w:t>
      </w:r>
      <w:r w:rsidR="00B76B8A">
        <w:t>associate</w:t>
      </w:r>
      <w:r w:rsidR="00F711FB">
        <w:t>d</w:t>
      </w:r>
      <w:r w:rsidR="009563B4">
        <w:t xml:space="preserve"> frameworks for </w:t>
      </w:r>
      <w:r w:rsidR="001B248C">
        <w:t>land-use plan</w:t>
      </w:r>
      <w:r w:rsidR="009563B4">
        <w:t>ning and sustainable management</w:t>
      </w:r>
      <w:r w:rsidR="00EC422C">
        <w:t>, as described below</w:t>
      </w:r>
      <w:r w:rsidR="009563B4">
        <w:t>:</w:t>
      </w:r>
      <w:r w:rsidR="007A4833">
        <w:t xml:space="preserve"> </w:t>
      </w:r>
    </w:p>
    <w:p w14:paraId="482A5087" w14:textId="5562B8A9" w:rsidR="009563B4" w:rsidRPr="00650B58" w:rsidRDefault="00167A34" w:rsidP="001667C6">
      <w:pPr>
        <w:pStyle w:val="ListParagraph"/>
        <w:numPr>
          <w:ilvl w:val="3"/>
          <w:numId w:val="48"/>
        </w:numPr>
        <w:autoSpaceDE/>
        <w:autoSpaceDN/>
        <w:adjustRightInd/>
        <w:spacing w:before="80" w:after="80"/>
        <w:ind w:left="709" w:hanging="142"/>
        <w:contextualSpacing w:val="0"/>
        <w:rPr>
          <w:rFonts w:asciiTheme="minorHAnsi" w:hAnsiTheme="minorHAnsi" w:cstheme="minorHAnsi"/>
          <w:color w:val="auto"/>
          <w:sz w:val="19"/>
          <w:szCs w:val="19"/>
        </w:rPr>
      </w:pPr>
      <w:r w:rsidRPr="00650B58">
        <w:rPr>
          <w:rFonts w:asciiTheme="minorHAnsi" w:hAnsiTheme="minorHAnsi" w:cstheme="minorHAnsi"/>
          <w:color w:val="auto"/>
          <w:sz w:val="19"/>
          <w:szCs w:val="19"/>
        </w:rPr>
        <w:t>S</w:t>
      </w:r>
      <w:r w:rsidR="009563B4" w:rsidRPr="00650B58">
        <w:rPr>
          <w:rFonts w:asciiTheme="minorHAnsi" w:hAnsiTheme="minorHAnsi" w:cstheme="minorHAnsi"/>
          <w:color w:val="auto"/>
          <w:sz w:val="19"/>
          <w:szCs w:val="19"/>
        </w:rPr>
        <w:t xml:space="preserve">trengthening cross-sectoral institutional </w:t>
      </w:r>
      <w:r w:rsidRPr="00650B58">
        <w:rPr>
          <w:rFonts w:asciiTheme="minorHAnsi" w:hAnsiTheme="minorHAnsi" w:cstheme="minorHAnsi"/>
          <w:color w:val="auto"/>
          <w:sz w:val="19"/>
          <w:szCs w:val="19"/>
        </w:rPr>
        <w:t xml:space="preserve">policy-regulatory </w:t>
      </w:r>
      <w:r w:rsidR="009563B4" w:rsidRPr="00650B58">
        <w:rPr>
          <w:rFonts w:asciiTheme="minorHAnsi" w:hAnsiTheme="minorHAnsi" w:cstheme="minorHAnsi"/>
          <w:color w:val="auto"/>
          <w:sz w:val="19"/>
          <w:szCs w:val="19"/>
        </w:rPr>
        <w:t>framework</w:t>
      </w:r>
      <w:r w:rsidR="00F711FB" w:rsidRPr="00650B58">
        <w:rPr>
          <w:rFonts w:asciiTheme="minorHAnsi" w:hAnsiTheme="minorHAnsi" w:cstheme="minorHAnsi"/>
          <w:color w:val="auto"/>
          <w:sz w:val="19"/>
          <w:szCs w:val="19"/>
        </w:rPr>
        <w:t>s</w:t>
      </w:r>
      <w:r w:rsidRPr="00650B58">
        <w:rPr>
          <w:rFonts w:asciiTheme="minorHAnsi" w:hAnsiTheme="minorHAnsi" w:cstheme="minorHAnsi"/>
          <w:color w:val="auto"/>
          <w:sz w:val="19"/>
          <w:szCs w:val="19"/>
        </w:rPr>
        <w:t xml:space="preserve"> for LDN</w:t>
      </w:r>
      <w:r w:rsidR="009563B4" w:rsidRPr="00650B58">
        <w:rPr>
          <w:rFonts w:asciiTheme="minorHAnsi" w:hAnsiTheme="minorHAnsi" w:cstheme="minorHAnsi"/>
          <w:color w:val="auto"/>
          <w:sz w:val="19"/>
          <w:szCs w:val="19"/>
        </w:rPr>
        <w:t xml:space="preserve"> in </w:t>
      </w:r>
      <w:r w:rsidR="00F711FB" w:rsidRPr="00650B58">
        <w:rPr>
          <w:rFonts w:asciiTheme="minorHAnsi" w:hAnsiTheme="minorHAnsi" w:cstheme="minorHAnsi"/>
          <w:color w:val="auto"/>
          <w:sz w:val="19"/>
          <w:szCs w:val="19"/>
        </w:rPr>
        <w:t xml:space="preserve">order to deliver </w:t>
      </w:r>
      <w:r w:rsidR="009563B4" w:rsidRPr="00650B58">
        <w:rPr>
          <w:rFonts w:asciiTheme="minorHAnsi" w:hAnsiTheme="minorHAnsi" w:cstheme="minorHAnsi"/>
          <w:color w:val="auto"/>
          <w:sz w:val="19"/>
          <w:szCs w:val="19"/>
        </w:rPr>
        <w:t>integrated, evidence-based and rational decision</w:t>
      </w:r>
      <w:r w:rsidR="00F711FB" w:rsidRPr="00650B58">
        <w:rPr>
          <w:rFonts w:asciiTheme="minorHAnsi" w:hAnsiTheme="minorHAnsi" w:cstheme="minorHAnsi"/>
          <w:color w:val="auto"/>
          <w:sz w:val="19"/>
          <w:szCs w:val="19"/>
        </w:rPr>
        <w:t>s</w:t>
      </w:r>
      <w:r w:rsidR="009563B4" w:rsidRPr="00650B58">
        <w:rPr>
          <w:rFonts w:asciiTheme="minorHAnsi" w:hAnsiTheme="minorHAnsi" w:cstheme="minorHAnsi"/>
          <w:color w:val="auto"/>
          <w:sz w:val="19"/>
          <w:szCs w:val="19"/>
        </w:rPr>
        <w:t xml:space="preserve"> on land us</w:t>
      </w:r>
      <w:r w:rsidR="00EC422C" w:rsidRPr="00650B58">
        <w:rPr>
          <w:rFonts w:asciiTheme="minorHAnsi" w:hAnsiTheme="minorHAnsi" w:cstheme="minorHAnsi"/>
          <w:color w:val="auto"/>
          <w:sz w:val="19"/>
          <w:szCs w:val="19"/>
        </w:rPr>
        <w:t>e</w:t>
      </w:r>
      <w:r w:rsidR="009563B4" w:rsidRPr="00650B58">
        <w:rPr>
          <w:rFonts w:asciiTheme="minorHAnsi" w:hAnsiTheme="minorHAnsi" w:cstheme="minorHAnsi"/>
          <w:color w:val="auto"/>
          <w:sz w:val="19"/>
          <w:szCs w:val="19"/>
        </w:rPr>
        <w:t xml:space="preserve"> within landscapes</w:t>
      </w:r>
      <w:r w:rsidRPr="00650B58">
        <w:rPr>
          <w:rFonts w:asciiTheme="minorHAnsi" w:hAnsiTheme="minorHAnsi" w:cstheme="minorHAnsi"/>
          <w:color w:val="auto"/>
          <w:sz w:val="19"/>
          <w:szCs w:val="19"/>
        </w:rPr>
        <w:t>;</w:t>
      </w:r>
    </w:p>
    <w:p w14:paraId="1A60390A" w14:textId="58279305" w:rsidR="009563B4" w:rsidRPr="00650B58" w:rsidRDefault="00167A34" w:rsidP="001667C6">
      <w:pPr>
        <w:pStyle w:val="ListParagraph"/>
        <w:numPr>
          <w:ilvl w:val="3"/>
          <w:numId w:val="48"/>
        </w:numPr>
        <w:autoSpaceDE/>
        <w:autoSpaceDN/>
        <w:adjustRightInd/>
        <w:spacing w:before="80" w:after="80"/>
        <w:ind w:left="709" w:hanging="142"/>
        <w:contextualSpacing w:val="0"/>
        <w:rPr>
          <w:rFonts w:asciiTheme="minorHAnsi" w:hAnsiTheme="minorHAnsi" w:cstheme="minorHAnsi"/>
          <w:color w:val="auto"/>
          <w:sz w:val="19"/>
          <w:szCs w:val="19"/>
        </w:rPr>
      </w:pPr>
      <w:r w:rsidRPr="00650B58">
        <w:rPr>
          <w:rFonts w:asciiTheme="minorHAnsi" w:hAnsiTheme="minorHAnsi" w:cstheme="minorHAnsi"/>
          <w:color w:val="auto"/>
          <w:sz w:val="19"/>
          <w:szCs w:val="19"/>
        </w:rPr>
        <w:t>D</w:t>
      </w:r>
      <w:r w:rsidR="00EC422C" w:rsidRPr="00650B58">
        <w:rPr>
          <w:rFonts w:asciiTheme="minorHAnsi" w:hAnsiTheme="minorHAnsi" w:cstheme="minorHAnsi"/>
          <w:color w:val="auto"/>
          <w:sz w:val="19"/>
          <w:szCs w:val="19"/>
        </w:rPr>
        <w:t>evelopment of effective planning framework</w:t>
      </w:r>
      <w:r w:rsidR="005D77F3" w:rsidRPr="00650B58">
        <w:rPr>
          <w:rFonts w:asciiTheme="minorHAnsi" w:hAnsiTheme="minorHAnsi" w:cstheme="minorHAnsi"/>
          <w:color w:val="auto"/>
          <w:sz w:val="19"/>
          <w:szCs w:val="19"/>
        </w:rPr>
        <w:t xml:space="preserve">s and participatory stakeholder engagement </w:t>
      </w:r>
      <w:r w:rsidR="00BD4A45" w:rsidRPr="00650B58">
        <w:rPr>
          <w:rFonts w:asciiTheme="minorHAnsi" w:hAnsiTheme="minorHAnsi" w:cstheme="minorHAnsi"/>
          <w:color w:val="auto"/>
          <w:sz w:val="19"/>
          <w:szCs w:val="19"/>
        </w:rPr>
        <w:t xml:space="preserve">structures and </w:t>
      </w:r>
      <w:r w:rsidR="005D77F3" w:rsidRPr="00650B58">
        <w:rPr>
          <w:rFonts w:asciiTheme="minorHAnsi" w:hAnsiTheme="minorHAnsi" w:cstheme="minorHAnsi"/>
          <w:color w:val="auto"/>
          <w:sz w:val="19"/>
          <w:szCs w:val="19"/>
        </w:rPr>
        <w:t>processes at</w:t>
      </w:r>
      <w:r w:rsidR="00EC422C" w:rsidRPr="00650B58">
        <w:rPr>
          <w:rFonts w:asciiTheme="minorHAnsi" w:hAnsiTheme="minorHAnsi" w:cstheme="minorHAnsi"/>
          <w:color w:val="auto"/>
          <w:sz w:val="19"/>
          <w:szCs w:val="19"/>
        </w:rPr>
        <w:t xml:space="preserve"> systems</w:t>
      </w:r>
      <w:r w:rsidR="005D77F3" w:rsidRPr="00650B58">
        <w:rPr>
          <w:rFonts w:asciiTheme="minorHAnsi" w:hAnsiTheme="minorHAnsi" w:cstheme="minorHAnsi"/>
          <w:color w:val="auto"/>
          <w:sz w:val="19"/>
          <w:szCs w:val="19"/>
        </w:rPr>
        <w:t xml:space="preserve"> and</w:t>
      </w:r>
      <w:r w:rsidR="00EC422C" w:rsidRPr="00650B58">
        <w:rPr>
          <w:rFonts w:asciiTheme="minorHAnsi" w:hAnsiTheme="minorHAnsi" w:cstheme="minorHAnsi"/>
          <w:color w:val="auto"/>
          <w:sz w:val="19"/>
          <w:szCs w:val="19"/>
        </w:rPr>
        <w:t xml:space="preserve"> institution</w:t>
      </w:r>
      <w:r w:rsidR="005D77F3" w:rsidRPr="00650B58">
        <w:rPr>
          <w:rFonts w:asciiTheme="minorHAnsi" w:hAnsiTheme="minorHAnsi" w:cstheme="minorHAnsi"/>
          <w:color w:val="auto"/>
          <w:sz w:val="19"/>
          <w:szCs w:val="19"/>
        </w:rPr>
        <w:t>al levels, while</w:t>
      </w:r>
      <w:r w:rsidR="00F52173" w:rsidRPr="00650B58">
        <w:rPr>
          <w:rFonts w:asciiTheme="minorHAnsi" w:hAnsiTheme="minorHAnsi" w:cstheme="minorHAnsi"/>
          <w:color w:val="auto"/>
          <w:sz w:val="19"/>
          <w:szCs w:val="19"/>
        </w:rPr>
        <w:t xml:space="preserve"> noting that </w:t>
      </w:r>
      <w:r w:rsidR="009563B4" w:rsidRPr="00650B58">
        <w:rPr>
          <w:rFonts w:asciiTheme="minorHAnsi" w:hAnsiTheme="minorHAnsi" w:cstheme="minorHAnsi"/>
          <w:color w:val="auto"/>
          <w:sz w:val="19"/>
          <w:szCs w:val="19"/>
        </w:rPr>
        <w:t xml:space="preserve">integrated spatial planning of landscapes will be operationalized </w:t>
      </w:r>
      <w:r w:rsidR="00F52173" w:rsidRPr="00650B58">
        <w:rPr>
          <w:rFonts w:asciiTheme="minorHAnsi" w:hAnsiTheme="minorHAnsi" w:cstheme="minorHAnsi"/>
          <w:color w:val="auto"/>
          <w:sz w:val="19"/>
          <w:szCs w:val="19"/>
        </w:rPr>
        <w:t xml:space="preserve">congruently </w:t>
      </w:r>
      <w:r w:rsidR="009563B4" w:rsidRPr="00650B58">
        <w:rPr>
          <w:rFonts w:asciiTheme="minorHAnsi" w:hAnsiTheme="minorHAnsi" w:cstheme="minorHAnsi"/>
          <w:color w:val="auto"/>
          <w:sz w:val="19"/>
          <w:szCs w:val="19"/>
        </w:rPr>
        <w:t>under Component 2</w:t>
      </w:r>
      <w:r w:rsidR="00F52173" w:rsidRPr="00650B58">
        <w:rPr>
          <w:rFonts w:asciiTheme="minorHAnsi" w:hAnsiTheme="minorHAnsi" w:cstheme="minorHAnsi"/>
          <w:color w:val="auto"/>
          <w:sz w:val="19"/>
          <w:szCs w:val="19"/>
        </w:rPr>
        <w:t>; and</w:t>
      </w:r>
    </w:p>
    <w:p w14:paraId="787900FB" w14:textId="0E57CADD" w:rsidR="009563B4" w:rsidRPr="00650B58" w:rsidRDefault="00167A34" w:rsidP="001667C6">
      <w:pPr>
        <w:pStyle w:val="ListParagraph"/>
        <w:numPr>
          <w:ilvl w:val="3"/>
          <w:numId w:val="48"/>
        </w:numPr>
        <w:autoSpaceDE/>
        <w:autoSpaceDN/>
        <w:adjustRightInd/>
        <w:spacing w:before="80" w:after="80"/>
        <w:ind w:left="709" w:hanging="142"/>
        <w:contextualSpacing w:val="0"/>
        <w:rPr>
          <w:rFonts w:asciiTheme="minorHAnsi" w:hAnsiTheme="minorHAnsi" w:cstheme="minorHAnsi"/>
          <w:color w:val="auto"/>
          <w:sz w:val="19"/>
          <w:szCs w:val="19"/>
        </w:rPr>
      </w:pPr>
      <w:r w:rsidRPr="00650B58">
        <w:rPr>
          <w:rFonts w:asciiTheme="minorHAnsi" w:hAnsiTheme="minorHAnsi" w:cstheme="minorHAnsi"/>
          <w:color w:val="auto"/>
          <w:sz w:val="19"/>
          <w:szCs w:val="19"/>
        </w:rPr>
        <w:t>R</w:t>
      </w:r>
      <w:r w:rsidR="009563B4" w:rsidRPr="00650B58">
        <w:rPr>
          <w:rFonts w:asciiTheme="minorHAnsi" w:hAnsiTheme="minorHAnsi" w:cstheme="minorHAnsi"/>
          <w:color w:val="auto"/>
          <w:sz w:val="19"/>
          <w:szCs w:val="19"/>
        </w:rPr>
        <w:t>eviewing and revising certain policies, related legislation/regulations and</w:t>
      </w:r>
      <w:r w:rsidR="00F52173" w:rsidRPr="00650B58">
        <w:rPr>
          <w:rFonts w:asciiTheme="minorHAnsi" w:hAnsiTheme="minorHAnsi" w:cstheme="minorHAnsi"/>
          <w:color w:val="auto"/>
          <w:sz w:val="19"/>
          <w:szCs w:val="19"/>
        </w:rPr>
        <w:t>,</w:t>
      </w:r>
      <w:r w:rsidR="009563B4" w:rsidRPr="00650B58">
        <w:rPr>
          <w:rFonts w:asciiTheme="minorHAnsi" w:hAnsiTheme="minorHAnsi" w:cstheme="minorHAnsi"/>
          <w:color w:val="auto"/>
          <w:sz w:val="19"/>
          <w:szCs w:val="19"/>
        </w:rPr>
        <w:t xml:space="preserve"> importantly, the way that they are being applied. The latter includes the development of local bylaws </w:t>
      </w:r>
      <w:r w:rsidR="009B4352" w:rsidRPr="00650B58">
        <w:rPr>
          <w:rFonts w:asciiTheme="minorHAnsi" w:hAnsiTheme="minorHAnsi" w:cstheme="minorHAnsi"/>
          <w:color w:val="auto"/>
          <w:sz w:val="19"/>
          <w:szCs w:val="19"/>
        </w:rPr>
        <w:t xml:space="preserve">to </w:t>
      </w:r>
      <w:r w:rsidR="009563B4" w:rsidRPr="00650B58">
        <w:rPr>
          <w:rFonts w:asciiTheme="minorHAnsi" w:hAnsiTheme="minorHAnsi" w:cstheme="minorHAnsi"/>
          <w:color w:val="auto"/>
          <w:sz w:val="19"/>
          <w:szCs w:val="19"/>
        </w:rPr>
        <w:t xml:space="preserve">support the management of landscapes, </w:t>
      </w:r>
      <w:r w:rsidR="009B4352" w:rsidRPr="00650B58">
        <w:rPr>
          <w:rFonts w:asciiTheme="minorHAnsi" w:hAnsiTheme="minorHAnsi" w:cstheme="minorHAnsi"/>
          <w:color w:val="auto"/>
          <w:sz w:val="19"/>
          <w:szCs w:val="19"/>
        </w:rPr>
        <w:t xml:space="preserve">particularly </w:t>
      </w:r>
      <w:r w:rsidR="009563B4" w:rsidRPr="00650B58">
        <w:rPr>
          <w:rFonts w:asciiTheme="minorHAnsi" w:hAnsiTheme="minorHAnsi" w:cstheme="minorHAnsi"/>
          <w:color w:val="auto"/>
          <w:sz w:val="19"/>
          <w:szCs w:val="19"/>
        </w:rPr>
        <w:t xml:space="preserve">given that the passing of national legislation can be a lengthy and unpredictable process. </w:t>
      </w:r>
    </w:p>
    <w:p w14:paraId="5527A0E8" w14:textId="1EE1D656" w:rsidR="009563B4" w:rsidRPr="00194716" w:rsidRDefault="009563B4" w:rsidP="001667C6">
      <w:pPr>
        <w:pStyle w:val="ParagraphOED"/>
        <w:numPr>
          <w:ilvl w:val="0"/>
          <w:numId w:val="102"/>
        </w:numPr>
        <w:spacing w:before="160" w:after="160"/>
      </w:pPr>
      <w:r>
        <w:t xml:space="preserve">Outputs and Activities under </w:t>
      </w:r>
      <w:r w:rsidRPr="1E65A5F7">
        <w:rPr>
          <w:b/>
          <w:bCs/>
        </w:rPr>
        <w:t>Outcome 1.1</w:t>
      </w:r>
      <w:r>
        <w:t xml:space="preserve"> </w:t>
      </w:r>
      <w:r w:rsidR="009B4352">
        <w:t>are designed</w:t>
      </w:r>
      <w:r>
        <w:t xml:space="preserve"> to improve the effectiveness and success of both planning and manag</w:t>
      </w:r>
      <w:r w:rsidR="009B4352">
        <w:t>ing</w:t>
      </w:r>
      <w:r>
        <w:t xml:space="preserve"> landscape</w:t>
      </w:r>
      <w:r w:rsidR="009B4352">
        <w:t>s</w:t>
      </w:r>
      <w:r>
        <w:t xml:space="preserve"> by </w:t>
      </w:r>
      <w:r w:rsidR="009B4352">
        <w:t>developing the necessary</w:t>
      </w:r>
      <w:r w:rsidRPr="1E65A5F7">
        <w:rPr>
          <w:b/>
          <w:bCs/>
        </w:rPr>
        <w:t xml:space="preserve"> governance, systems, institution</w:t>
      </w:r>
      <w:r w:rsidR="006A5A49" w:rsidRPr="1E65A5F7">
        <w:rPr>
          <w:b/>
          <w:bCs/>
        </w:rPr>
        <w:t>al capacitie</w:t>
      </w:r>
      <w:r w:rsidRPr="1E65A5F7">
        <w:rPr>
          <w:b/>
          <w:bCs/>
        </w:rPr>
        <w:t xml:space="preserve">s and stakeholder </w:t>
      </w:r>
      <w:r w:rsidR="00BD4A45" w:rsidRPr="1E65A5F7">
        <w:rPr>
          <w:b/>
          <w:bCs/>
        </w:rPr>
        <w:t>structures and</w:t>
      </w:r>
      <w:r w:rsidR="00A33427" w:rsidRPr="1E65A5F7">
        <w:rPr>
          <w:b/>
          <w:bCs/>
        </w:rPr>
        <w:t xml:space="preserve"> </w:t>
      </w:r>
      <w:r w:rsidR="006A5A49" w:rsidRPr="1E65A5F7">
        <w:rPr>
          <w:b/>
          <w:bCs/>
        </w:rPr>
        <w:t xml:space="preserve">processes necessary </w:t>
      </w:r>
      <w:r w:rsidR="002D48EC" w:rsidRPr="1E65A5F7">
        <w:rPr>
          <w:b/>
          <w:bCs/>
        </w:rPr>
        <w:t xml:space="preserve">to </w:t>
      </w:r>
      <w:r w:rsidR="00C92A5A" w:rsidRPr="1E65A5F7">
        <w:rPr>
          <w:b/>
          <w:bCs/>
        </w:rPr>
        <w:t xml:space="preserve">mainstream LDN principles and </w:t>
      </w:r>
      <w:r w:rsidR="006A5A49" w:rsidRPr="1E65A5F7">
        <w:rPr>
          <w:b/>
          <w:bCs/>
        </w:rPr>
        <w:t>to apply the ‘landscape approach’</w:t>
      </w:r>
      <w:r>
        <w:t xml:space="preserve">. </w:t>
      </w:r>
      <w:r w:rsidR="00A33427">
        <w:t>Financial needs</w:t>
      </w:r>
      <w:r w:rsidR="00520D5C">
        <w:t xml:space="preserve"> assessment</w:t>
      </w:r>
      <w:r w:rsidR="00A33427">
        <w:t>, existing and potential resources and financing mechansims are also part of the enabling enviro</w:t>
      </w:r>
      <w:r w:rsidR="00D36D01">
        <w:t>nment to be strengthened under Outcome 1.1</w:t>
      </w:r>
      <w:r w:rsidR="00520D5C">
        <w:t xml:space="preserve">, as well as the development of </w:t>
      </w:r>
      <w:r w:rsidR="00C2233B">
        <w:t>strong</w:t>
      </w:r>
      <w:r w:rsidR="00520D5C">
        <w:t xml:space="preserve"> </w:t>
      </w:r>
      <w:r w:rsidR="00C2233B">
        <w:t>colalboration</w:t>
      </w:r>
      <w:r w:rsidR="00D36D01">
        <w:t>.</w:t>
      </w:r>
      <w:r w:rsidR="00520D5C">
        <w:t xml:space="preserve"> Each Output and its respective activities are considered below.</w:t>
      </w:r>
    </w:p>
    <w:p w14:paraId="70D1106C" w14:textId="41001E90" w:rsidR="009563B4" w:rsidRPr="00194716" w:rsidRDefault="009563B4" w:rsidP="00F142F2">
      <w:pPr>
        <w:pStyle w:val="Heading6"/>
        <w:spacing w:before="160" w:after="160"/>
        <w:ind w:left="709" w:firstLine="0"/>
        <w:rPr>
          <w:rFonts w:ascii="Calibri" w:hAnsi="Calibri" w:cs="Calibri"/>
          <w:b/>
          <w:bCs/>
          <w:sz w:val="21"/>
          <w:szCs w:val="21"/>
        </w:rPr>
      </w:pPr>
      <w:bookmarkStart w:id="115" w:name="_Ref41350494"/>
      <w:r w:rsidRPr="00D21E2D">
        <w:rPr>
          <w:rFonts w:ascii="Calibri" w:hAnsi="Calibri" w:cs="Calibri"/>
          <w:b/>
          <w:bCs/>
          <w:sz w:val="21"/>
          <w:szCs w:val="21"/>
        </w:rPr>
        <w:t>Output 1.1.1</w:t>
      </w:r>
      <w:r w:rsidR="00E66D33" w:rsidRPr="00D21E2D">
        <w:rPr>
          <w:rFonts w:ascii="Calibri" w:hAnsi="Calibri" w:cs="Calibri"/>
          <w:b/>
          <w:bCs/>
          <w:sz w:val="21"/>
          <w:szCs w:val="21"/>
        </w:rPr>
        <w:tab/>
      </w:r>
      <w:bookmarkEnd w:id="115"/>
      <w:r w:rsidR="002A1EB1" w:rsidRPr="00D21E2D">
        <w:rPr>
          <w:rFonts w:ascii="Calibri" w:hAnsi="Calibri" w:cs="Calibri"/>
          <w:sz w:val="21"/>
          <w:szCs w:val="21"/>
        </w:rPr>
        <w:t>LDN</w:t>
      </w:r>
      <w:r w:rsidR="002A1EB1" w:rsidRPr="002A1EB1">
        <w:rPr>
          <w:rFonts w:ascii="Calibri" w:hAnsi="Calibri" w:cs="Calibri"/>
          <w:sz w:val="21"/>
          <w:szCs w:val="21"/>
        </w:rPr>
        <w:t xml:space="preserve"> stakeholder participatory and decision-making structures at national level</w:t>
      </w:r>
      <w:r w:rsidR="00650B58">
        <w:rPr>
          <w:rFonts w:ascii="Calibri" w:hAnsi="Calibri" w:cs="Calibri"/>
          <w:sz w:val="21"/>
          <w:szCs w:val="21"/>
        </w:rPr>
        <w:t xml:space="preserve"> </w:t>
      </w:r>
      <w:r w:rsidR="002A1EB1" w:rsidRPr="002A1EB1">
        <w:rPr>
          <w:rFonts w:ascii="Calibri" w:hAnsi="Calibri" w:cs="Calibri"/>
          <w:sz w:val="21"/>
          <w:szCs w:val="21"/>
        </w:rPr>
        <w:t>strengthened/established, with vertical integration to landscape level multi-sectoral working groups</w:t>
      </w:r>
    </w:p>
    <w:p w14:paraId="1F6FF446" w14:textId="6446D7F7" w:rsidR="009563B4" w:rsidRDefault="009563B4" w:rsidP="001667C6">
      <w:pPr>
        <w:pStyle w:val="ParagraphOED"/>
        <w:numPr>
          <w:ilvl w:val="0"/>
          <w:numId w:val="102"/>
        </w:numPr>
        <w:spacing w:after="80"/>
      </w:pPr>
      <w:r w:rsidRPr="0017400A">
        <w:t xml:space="preserve">Output 1.1.1 </w:t>
      </w:r>
      <w:r w:rsidR="00F142F2">
        <w:t>is</w:t>
      </w:r>
      <w:r>
        <w:t xml:space="preserve"> focus</w:t>
      </w:r>
      <w:r w:rsidR="00F142F2">
        <w:t>ed</w:t>
      </w:r>
      <w:r>
        <w:t xml:space="preserve"> on putting in place the ‘building blocks’ for the implementation of LDN related measures</w:t>
      </w:r>
      <w:r w:rsidR="006B404A">
        <w:t>, specifically in relation to setting up or strengthening the structures</w:t>
      </w:r>
      <w:r w:rsidR="00DD3AD9">
        <w:t xml:space="preserve">, mechanisms and processes </w:t>
      </w:r>
      <w:r w:rsidR="001278FB">
        <w:t>that enable</w:t>
      </w:r>
      <w:r w:rsidR="00DD3AD9">
        <w:t xml:space="preserve"> horizontal/vertical coordination between sectors and </w:t>
      </w:r>
      <w:r w:rsidR="001278FB">
        <w:t xml:space="preserve">ensure </w:t>
      </w:r>
      <w:r w:rsidR="00DD3AD9">
        <w:t xml:space="preserve">stakeholders are directly involved in decision-making from the outset. It addresses </w:t>
      </w:r>
      <w:r w:rsidR="005865A7">
        <w:t>C</w:t>
      </w:r>
      <w:r w:rsidR="00DD3AD9">
        <w:t xml:space="preserve">riteria 1.2 </w:t>
      </w:r>
      <w:r w:rsidR="00DA6414">
        <w:t xml:space="preserve">(coordination) </w:t>
      </w:r>
      <w:r w:rsidR="00DD3AD9">
        <w:t xml:space="preserve">and 1.3 </w:t>
      </w:r>
      <w:r w:rsidR="00DA6414">
        <w:t>(stakeholder</w:t>
      </w:r>
      <w:r w:rsidR="00D05458">
        <w:t>s</w:t>
      </w:r>
      <w:r w:rsidR="00DA6414">
        <w:t xml:space="preserve">) </w:t>
      </w:r>
      <w:r w:rsidR="00DD3AD9">
        <w:t>of the institu</w:t>
      </w:r>
      <w:r w:rsidR="005865A7">
        <w:t>t</w:t>
      </w:r>
      <w:r w:rsidR="00DD3AD9">
        <w:t xml:space="preserve">ional dimension of </w:t>
      </w:r>
      <w:r w:rsidR="00DD3AD9" w:rsidRPr="005865A7">
        <w:rPr>
          <w:b/>
          <w:bCs/>
        </w:rPr>
        <w:t>Table 3</w:t>
      </w:r>
      <w:r w:rsidR="00D05458">
        <w:t>,</w:t>
      </w:r>
      <w:r w:rsidR="005865A7">
        <w:t xml:space="preserve"> align</w:t>
      </w:r>
      <w:r w:rsidR="00D05458">
        <w:t>ing</w:t>
      </w:r>
      <w:r w:rsidR="005865A7">
        <w:t xml:space="preserve"> well with the UNCCD </w:t>
      </w:r>
      <w:r w:rsidR="005865A7" w:rsidRPr="00D21E2D">
        <w:t>guidance</w:t>
      </w:r>
      <w:r w:rsidR="005865A7" w:rsidRPr="00D21E2D">
        <w:rPr>
          <w:vertAlign w:val="superscript"/>
        </w:rPr>
        <w:fldChar w:fldCharType="begin"/>
      </w:r>
      <w:r w:rsidR="005865A7" w:rsidRPr="00D21E2D">
        <w:rPr>
          <w:vertAlign w:val="superscript"/>
        </w:rPr>
        <w:instrText xml:space="preserve"> NOTEREF _Ref48029850 \h </w:instrText>
      </w:r>
      <w:r w:rsidR="001278FB" w:rsidRPr="00D21E2D">
        <w:rPr>
          <w:vertAlign w:val="superscript"/>
        </w:rPr>
        <w:instrText xml:space="preserve"> \* MERGEFORMAT </w:instrText>
      </w:r>
      <w:r w:rsidR="005865A7" w:rsidRPr="00D21E2D">
        <w:rPr>
          <w:vertAlign w:val="superscript"/>
        </w:rPr>
      </w:r>
      <w:r w:rsidR="005865A7" w:rsidRPr="00D21E2D">
        <w:rPr>
          <w:vertAlign w:val="superscript"/>
        </w:rPr>
        <w:fldChar w:fldCharType="separate"/>
      </w:r>
      <w:r w:rsidR="00A64193" w:rsidRPr="00D21E2D">
        <w:rPr>
          <w:vertAlign w:val="superscript"/>
        </w:rPr>
        <w:t>58</w:t>
      </w:r>
      <w:r w:rsidR="005865A7" w:rsidRPr="00D21E2D">
        <w:rPr>
          <w:vertAlign w:val="superscript"/>
        </w:rPr>
        <w:fldChar w:fldCharType="end"/>
      </w:r>
      <w:r w:rsidR="00D05458" w:rsidRPr="00D21E2D">
        <w:t>:</w:t>
      </w:r>
      <w:r w:rsidR="005865A7">
        <w:t xml:space="preserve"> </w:t>
      </w:r>
    </w:p>
    <w:p w14:paraId="24FAF0C8" w14:textId="71141166" w:rsidR="009563B4" w:rsidRPr="005865A7" w:rsidRDefault="009563B4" w:rsidP="005865A7">
      <w:pPr>
        <w:pStyle w:val="ParagraphOED"/>
        <w:numPr>
          <w:ilvl w:val="0"/>
          <w:numId w:val="0"/>
        </w:numPr>
        <w:spacing w:after="160"/>
        <w:ind w:left="720"/>
        <w:rPr>
          <w:sz w:val="19"/>
          <w:szCs w:val="19"/>
        </w:rPr>
      </w:pPr>
      <w:r w:rsidRPr="005865A7">
        <w:rPr>
          <w:i/>
          <w:iCs/>
          <w:sz w:val="19"/>
          <w:szCs w:val="19"/>
        </w:rPr>
        <w:t>“Planning and implementation of LDN involves well-designed participatory processes that include stakeholders, especially land users, in designing, implementing and monitoring interventions to achieve LDN. Processes should consider local, traditional and scientific knowledge, applying a mechanism such as multi-stakeholder platforms to ensure these inputs are included in the decision-making process. The process should be sensitive to gender, and imbalances in power and information access.”</w:t>
      </w:r>
    </w:p>
    <w:p w14:paraId="7DE68DFC" w14:textId="08823CE3" w:rsidR="009E4F82" w:rsidRPr="009E4F82" w:rsidRDefault="009563B4" w:rsidP="001667C6">
      <w:pPr>
        <w:pStyle w:val="ParagraphOED"/>
        <w:numPr>
          <w:ilvl w:val="0"/>
          <w:numId w:val="102"/>
        </w:numPr>
        <w:spacing w:after="160"/>
      </w:pPr>
      <w:r>
        <w:t xml:space="preserve">The key </w:t>
      </w:r>
      <w:r w:rsidR="008B4269">
        <w:t xml:space="preserve">national </w:t>
      </w:r>
      <w:r>
        <w:t>institutional stakeholders concerned with the management of landscapes are</w:t>
      </w:r>
      <w:r w:rsidR="008B4269">
        <w:t>:</w:t>
      </w:r>
      <w:r>
        <w:t xml:space="preserve"> </w:t>
      </w:r>
      <w:r w:rsidR="008B4269">
        <w:t xml:space="preserve">the </w:t>
      </w:r>
      <w:r w:rsidR="03E469B4">
        <w:t xml:space="preserve"> Directorate of Environment and Climate Action</w:t>
      </w:r>
      <w:r w:rsidR="008B4269">
        <w:t xml:space="preserve"> (</w:t>
      </w:r>
      <w:r w:rsidR="7E77A217">
        <w:t>DNAAC</w:t>
      </w:r>
      <w:r w:rsidR="008B4269">
        <w:t>,</w:t>
      </w:r>
      <w:r>
        <w:t xml:space="preserve"> under M</w:t>
      </w:r>
      <w:r w:rsidR="04F092E2">
        <w:t>CTA</w:t>
      </w:r>
      <w:r w:rsidR="008B4269">
        <w:t>)</w:t>
      </w:r>
      <w:r>
        <w:t xml:space="preserve">, </w:t>
      </w:r>
      <w:r w:rsidR="008B4269">
        <w:t>which is</w:t>
      </w:r>
      <w:r>
        <w:t xml:space="preserve"> the focal point for UNCCD and UNFCCC</w:t>
      </w:r>
      <w:r w:rsidR="008B4269">
        <w:t>;</w:t>
      </w:r>
      <w:r>
        <w:t xml:space="preserve"> specific directorates and institutes of MINAGRI</w:t>
      </w:r>
      <w:r w:rsidR="7D05BE30">
        <w:t>P</w:t>
      </w:r>
      <w:r>
        <w:t xml:space="preserve"> concerned with rural extension, agriculture, forestry and livestock</w:t>
      </w:r>
      <w:r w:rsidR="008B4269">
        <w:t>;</w:t>
      </w:r>
      <w:r>
        <w:t xml:space="preserve"> and </w:t>
      </w:r>
      <w:r w:rsidR="007126B4">
        <w:t xml:space="preserve">the </w:t>
      </w:r>
      <w:r w:rsidR="007126B4" w:rsidRPr="1E65A5F7">
        <w:rPr>
          <w:rFonts w:eastAsia="Times New Roman"/>
          <w:color w:val="000000" w:themeColor="text1"/>
        </w:rPr>
        <w:t>Office for the Management of the Cunene, Okavango and Cuvelai Hydrographical Basins</w:t>
      </w:r>
      <w:r w:rsidR="007126B4">
        <w:t xml:space="preserve"> (</w:t>
      </w:r>
      <w:r>
        <w:t>GABHIC</w:t>
      </w:r>
      <w:r w:rsidR="007126B4">
        <w:t>,</w:t>
      </w:r>
      <w:r>
        <w:t xml:space="preserve"> under MINEA)</w:t>
      </w:r>
      <w:r w:rsidR="007126B4">
        <w:t>, where the project’s target landscapes are located and</w:t>
      </w:r>
      <w:r>
        <w:t xml:space="preserve"> defined as sub-basins within the Cunene and Okavango river basins. </w:t>
      </w:r>
    </w:p>
    <w:p w14:paraId="47546281" w14:textId="77777777" w:rsidR="00992869" w:rsidRPr="00992869" w:rsidRDefault="00992869" w:rsidP="001667C6">
      <w:pPr>
        <w:pStyle w:val="ParagraphOED"/>
        <w:numPr>
          <w:ilvl w:val="0"/>
          <w:numId w:val="102"/>
        </w:numPr>
        <w:spacing w:after="80"/>
        <w:rPr>
          <w:b/>
          <w:bCs/>
        </w:rPr>
      </w:pPr>
      <w:r w:rsidRPr="1E65A5F7">
        <w:rPr>
          <w:b/>
          <w:bCs/>
        </w:rPr>
        <w:t xml:space="preserve">Indicative Activities under Output 1.1.1 </w:t>
      </w:r>
    </w:p>
    <w:p w14:paraId="40C7C36D" w14:textId="37827EA6" w:rsidR="00A41424" w:rsidRDefault="00C03B71" w:rsidP="001667C6">
      <w:pPr>
        <w:pStyle w:val="AAActivities"/>
        <w:numPr>
          <w:ilvl w:val="0"/>
          <w:numId w:val="49"/>
        </w:numPr>
        <w:spacing w:after="80"/>
        <w:ind w:left="709" w:hanging="284"/>
        <w:contextualSpacing w:val="0"/>
        <w:rPr>
          <w:rStyle w:val="normaltextrun"/>
          <w:rFonts w:cs="Calibri"/>
          <w:sz w:val="21"/>
          <w:szCs w:val="21"/>
        </w:rPr>
      </w:pPr>
      <w:r w:rsidRPr="0005207F">
        <w:rPr>
          <w:rFonts w:cs="Calibri"/>
          <w:b/>
          <w:bCs/>
          <w:sz w:val="21"/>
          <w:szCs w:val="21"/>
        </w:rPr>
        <w:t>Undertake</w:t>
      </w:r>
      <w:r w:rsidR="001B09F9">
        <w:rPr>
          <w:rFonts w:cs="Calibri"/>
          <w:b/>
          <w:bCs/>
          <w:sz w:val="21"/>
          <w:szCs w:val="21"/>
        </w:rPr>
        <w:t xml:space="preserve"> </w:t>
      </w:r>
      <w:r w:rsidRPr="0005207F">
        <w:rPr>
          <w:rStyle w:val="normaltextrun"/>
          <w:rFonts w:cs="Calibri"/>
          <w:b/>
          <w:bCs/>
          <w:sz w:val="21"/>
          <w:szCs w:val="21"/>
        </w:rPr>
        <w:t>Capacity Needs</w:t>
      </w:r>
      <w:r w:rsidR="00617387">
        <w:rPr>
          <w:rStyle w:val="normaltextrun"/>
          <w:rFonts w:cs="Calibri"/>
          <w:b/>
          <w:bCs/>
          <w:sz w:val="21"/>
          <w:szCs w:val="21"/>
        </w:rPr>
        <w:t xml:space="preserve"> </w:t>
      </w:r>
      <w:r w:rsidRPr="0005207F">
        <w:rPr>
          <w:rStyle w:val="normaltextrun"/>
          <w:rFonts w:cs="Calibri"/>
          <w:b/>
          <w:bCs/>
          <w:sz w:val="21"/>
          <w:szCs w:val="21"/>
        </w:rPr>
        <w:t>Assessment Survey</w:t>
      </w:r>
      <w:r w:rsidRPr="0005207F">
        <w:rPr>
          <w:rStyle w:val="apple-converted-space"/>
          <w:rFonts w:cs="Calibri"/>
          <w:b/>
          <w:bCs/>
          <w:sz w:val="21"/>
          <w:szCs w:val="21"/>
        </w:rPr>
        <w:t xml:space="preserve"> </w:t>
      </w:r>
      <w:r w:rsidR="001B09F9" w:rsidRPr="0005207F">
        <w:rPr>
          <w:rStyle w:val="normaltextrun"/>
          <w:rFonts w:cs="Calibri"/>
          <w:sz w:val="21"/>
          <w:szCs w:val="21"/>
        </w:rPr>
        <w:t xml:space="preserve">among relevant government agencies </w:t>
      </w:r>
      <w:r w:rsidR="001B09F9">
        <w:rPr>
          <w:rStyle w:val="normaltextrun"/>
          <w:rFonts w:cs="Calibri"/>
          <w:sz w:val="21"/>
          <w:szCs w:val="21"/>
        </w:rPr>
        <w:t xml:space="preserve">and other key stakeholders </w:t>
      </w:r>
      <w:r w:rsidR="001B09F9" w:rsidRPr="0005207F">
        <w:rPr>
          <w:rStyle w:val="normaltextrun"/>
          <w:rFonts w:cs="Calibri"/>
          <w:sz w:val="21"/>
          <w:szCs w:val="21"/>
        </w:rPr>
        <w:t xml:space="preserve">at national, provincial and district levels </w:t>
      </w:r>
      <w:r w:rsidRPr="0005207F">
        <w:rPr>
          <w:rStyle w:val="normaltextrun"/>
          <w:rFonts w:cs="Calibri"/>
          <w:sz w:val="21"/>
          <w:szCs w:val="21"/>
        </w:rPr>
        <w:t>to identify</w:t>
      </w:r>
      <w:r w:rsidR="001B09F9">
        <w:rPr>
          <w:rStyle w:val="normaltextrun"/>
          <w:rFonts w:cs="Calibri"/>
          <w:sz w:val="21"/>
          <w:szCs w:val="21"/>
        </w:rPr>
        <w:t>:</w:t>
      </w:r>
      <w:r w:rsidRPr="0005207F">
        <w:rPr>
          <w:rStyle w:val="apple-converted-space"/>
          <w:rFonts w:cs="Calibri"/>
          <w:sz w:val="21"/>
          <w:szCs w:val="21"/>
        </w:rPr>
        <w:t xml:space="preserve"> </w:t>
      </w:r>
      <w:r w:rsidR="001B09F9">
        <w:rPr>
          <w:rStyle w:val="apple-converted-space"/>
          <w:rFonts w:cs="Calibri"/>
          <w:sz w:val="21"/>
          <w:szCs w:val="21"/>
        </w:rPr>
        <w:t xml:space="preserve">(i) levels of </w:t>
      </w:r>
      <w:r w:rsidR="00534AB6">
        <w:rPr>
          <w:rStyle w:val="apple-converted-space"/>
          <w:rFonts w:cs="Calibri"/>
          <w:sz w:val="21"/>
          <w:szCs w:val="21"/>
        </w:rPr>
        <w:t>awareness</w:t>
      </w:r>
      <w:r w:rsidR="001B09F9">
        <w:rPr>
          <w:rStyle w:val="apple-converted-space"/>
          <w:rFonts w:cs="Calibri"/>
          <w:sz w:val="21"/>
          <w:szCs w:val="21"/>
        </w:rPr>
        <w:t xml:space="preserve"> and</w:t>
      </w:r>
      <w:r w:rsidR="00534AB6">
        <w:rPr>
          <w:rStyle w:val="apple-converted-space"/>
          <w:rFonts w:cs="Calibri"/>
          <w:sz w:val="21"/>
          <w:szCs w:val="21"/>
        </w:rPr>
        <w:t xml:space="preserve"> </w:t>
      </w:r>
      <w:r w:rsidR="0005207F" w:rsidRPr="0005207F">
        <w:rPr>
          <w:rStyle w:val="apple-converted-space"/>
          <w:rFonts w:cs="Calibri"/>
          <w:sz w:val="21"/>
          <w:szCs w:val="21"/>
        </w:rPr>
        <w:t xml:space="preserve">knowledge </w:t>
      </w:r>
      <w:r w:rsidR="001B09F9">
        <w:rPr>
          <w:rStyle w:val="apple-converted-space"/>
          <w:rFonts w:cs="Calibri"/>
          <w:sz w:val="21"/>
          <w:szCs w:val="21"/>
        </w:rPr>
        <w:t xml:space="preserve">about LDN; </w:t>
      </w:r>
      <w:r w:rsidR="0005207F" w:rsidRPr="0005207F">
        <w:rPr>
          <w:rStyle w:val="apple-converted-space"/>
          <w:rFonts w:cs="Calibri"/>
          <w:sz w:val="21"/>
          <w:szCs w:val="21"/>
        </w:rPr>
        <w:t xml:space="preserve">and </w:t>
      </w:r>
      <w:r w:rsidR="001B09F9">
        <w:rPr>
          <w:rStyle w:val="apple-converted-space"/>
          <w:rFonts w:cs="Calibri"/>
          <w:sz w:val="21"/>
          <w:szCs w:val="21"/>
        </w:rPr>
        <w:t xml:space="preserve">(ii) gaps in policy and regulations regarding </w:t>
      </w:r>
      <w:r w:rsidR="0005207F" w:rsidRPr="0005207F">
        <w:rPr>
          <w:rStyle w:val="apple-converted-space"/>
          <w:rFonts w:cs="Calibri"/>
          <w:sz w:val="21"/>
          <w:szCs w:val="21"/>
        </w:rPr>
        <w:t xml:space="preserve">landscape </w:t>
      </w:r>
      <w:r w:rsidR="001B09F9">
        <w:rPr>
          <w:rStyle w:val="apple-converted-space"/>
          <w:rFonts w:cs="Calibri"/>
          <w:sz w:val="21"/>
          <w:szCs w:val="21"/>
        </w:rPr>
        <w:t>planning and management</w:t>
      </w:r>
      <w:r w:rsidR="00A41424">
        <w:rPr>
          <w:rStyle w:val="normaltextrun"/>
          <w:rFonts w:cs="Calibri"/>
          <w:sz w:val="21"/>
          <w:szCs w:val="21"/>
        </w:rPr>
        <w:t>.</w:t>
      </w:r>
      <w:r w:rsidR="006B2301">
        <w:rPr>
          <w:rStyle w:val="normaltextrun"/>
          <w:rFonts w:cs="Calibri"/>
          <w:sz w:val="21"/>
          <w:szCs w:val="21"/>
        </w:rPr>
        <w:t xml:space="preserve"> This will inform the </w:t>
      </w:r>
      <w:r w:rsidR="001B09F9">
        <w:rPr>
          <w:rStyle w:val="normaltextrun"/>
          <w:rFonts w:cs="Calibri"/>
          <w:sz w:val="21"/>
          <w:szCs w:val="21"/>
        </w:rPr>
        <w:t xml:space="preserve">review of policy and </w:t>
      </w:r>
      <w:r w:rsidR="001B09F9">
        <w:rPr>
          <w:rStyle w:val="normaltextrun"/>
          <w:rFonts w:cs="Calibri"/>
          <w:sz w:val="21"/>
          <w:szCs w:val="21"/>
        </w:rPr>
        <w:lastRenderedPageBreak/>
        <w:t>regulatory frameworks (</w:t>
      </w:r>
      <w:r w:rsidR="001B09F9" w:rsidRPr="00024F92">
        <w:rPr>
          <w:rStyle w:val="normaltextrun"/>
          <w:rFonts w:cs="Calibri"/>
          <w:b/>
          <w:bCs/>
          <w:sz w:val="21"/>
          <w:szCs w:val="21"/>
        </w:rPr>
        <w:t>Output 1.1.2</w:t>
      </w:r>
      <w:r w:rsidR="001B09F9">
        <w:rPr>
          <w:rStyle w:val="normaltextrun"/>
          <w:rFonts w:cs="Calibri"/>
          <w:sz w:val="21"/>
          <w:szCs w:val="21"/>
        </w:rPr>
        <w:t xml:space="preserve">) and the </w:t>
      </w:r>
      <w:r w:rsidR="006B2301">
        <w:rPr>
          <w:rStyle w:val="normaltextrun"/>
          <w:rFonts w:cs="Calibri"/>
          <w:sz w:val="21"/>
          <w:szCs w:val="21"/>
        </w:rPr>
        <w:t xml:space="preserve">Capacity Development Program on Integrated </w:t>
      </w:r>
      <w:r w:rsidR="001B248C">
        <w:rPr>
          <w:rStyle w:val="normaltextrun"/>
          <w:rFonts w:cs="Calibri"/>
          <w:sz w:val="21"/>
          <w:szCs w:val="21"/>
        </w:rPr>
        <w:t>Land-use plan</w:t>
      </w:r>
      <w:r w:rsidR="006B2301">
        <w:rPr>
          <w:rStyle w:val="normaltextrun"/>
          <w:rFonts w:cs="Calibri"/>
          <w:sz w:val="21"/>
          <w:szCs w:val="21"/>
        </w:rPr>
        <w:t>ning (</w:t>
      </w:r>
      <w:r w:rsidR="006B2301" w:rsidRPr="00024F92">
        <w:rPr>
          <w:rStyle w:val="normaltextrun"/>
          <w:rFonts w:cs="Calibri"/>
          <w:b/>
          <w:bCs/>
          <w:sz w:val="21"/>
          <w:szCs w:val="21"/>
        </w:rPr>
        <w:t>Output 2.1.</w:t>
      </w:r>
      <w:r w:rsidR="00CA19C4">
        <w:rPr>
          <w:rStyle w:val="normaltextrun"/>
          <w:rFonts w:cs="Calibri"/>
          <w:b/>
          <w:bCs/>
          <w:sz w:val="21"/>
          <w:szCs w:val="21"/>
        </w:rPr>
        <w:t>4</w:t>
      </w:r>
      <w:r w:rsidR="006B2301">
        <w:rPr>
          <w:rStyle w:val="normaltextrun"/>
          <w:rFonts w:cs="Calibri"/>
          <w:sz w:val="21"/>
          <w:szCs w:val="21"/>
        </w:rPr>
        <w:t>).</w:t>
      </w:r>
    </w:p>
    <w:p w14:paraId="5C43C9A9" w14:textId="0F5D4B87" w:rsidR="00441CE9" w:rsidRPr="00441CE9" w:rsidRDefault="009563B4" w:rsidP="001667C6">
      <w:pPr>
        <w:pStyle w:val="AAActivities"/>
        <w:numPr>
          <w:ilvl w:val="0"/>
          <w:numId w:val="49"/>
        </w:numPr>
        <w:spacing w:after="80"/>
        <w:ind w:left="709" w:hanging="284"/>
        <w:contextualSpacing w:val="0"/>
        <w:rPr>
          <w:rFonts w:cs="Calibri"/>
          <w:sz w:val="21"/>
          <w:szCs w:val="21"/>
        </w:rPr>
      </w:pPr>
      <w:r w:rsidRPr="00421075">
        <w:rPr>
          <w:b/>
          <w:bCs/>
          <w:sz w:val="21"/>
          <w:szCs w:val="21"/>
        </w:rPr>
        <w:t xml:space="preserve">Strengthen the </w:t>
      </w:r>
      <w:r w:rsidR="0042298D" w:rsidRPr="00421075">
        <w:rPr>
          <w:b/>
          <w:bCs/>
          <w:sz w:val="21"/>
          <w:szCs w:val="21"/>
        </w:rPr>
        <w:t xml:space="preserve">national </w:t>
      </w:r>
      <w:r w:rsidRPr="00421075">
        <w:rPr>
          <w:b/>
          <w:bCs/>
          <w:sz w:val="21"/>
          <w:szCs w:val="21"/>
        </w:rPr>
        <w:t xml:space="preserve">LDN </w:t>
      </w:r>
      <w:r w:rsidR="0042298D" w:rsidRPr="00421075">
        <w:rPr>
          <w:b/>
          <w:bCs/>
          <w:sz w:val="21"/>
          <w:szCs w:val="21"/>
        </w:rPr>
        <w:t>Working Group</w:t>
      </w:r>
      <w:r w:rsidR="0042298D" w:rsidRPr="00421075">
        <w:rPr>
          <w:sz w:val="21"/>
          <w:szCs w:val="21"/>
        </w:rPr>
        <w:t>, originally established in 2018</w:t>
      </w:r>
      <w:r w:rsidR="00255AE9" w:rsidRPr="00421075">
        <w:rPr>
          <w:sz w:val="21"/>
          <w:szCs w:val="21"/>
        </w:rPr>
        <w:t>. This should include reviewing its structure (membership, reporting and supporting arrangements), terms of reference (tasks) and training needs.</w:t>
      </w:r>
      <w:bookmarkStart w:id="116" w:name="_Ref39063694"/>
      <w:r w:rsidR="00617387" w:rsidRPr="00421075">
        <w:rPr>
          <w:sz w:val="21"/>
          <w:szCs w:val="21"/>
        </w:rPr>
        <w:t xml:space="preserve"> </w:t>
      </w:r>
      <w:r w:rsidR="00441CE9">
        <w:rPr>
          <w:sz w:val="21"/>
          <w:szCs w:val="21"/>
        </w:rPr>
        <w:t>Over-riding task</w:t>
      </w:r>
      <w:r w:rsidR="00B377F4">
        <w:rPr>
          <w:sz w:val="21"/>
          <w:szCs w:val="21"/>
        </w:rPr>
        <w:t>s</w:t>
      </w:r>
      <w:r w:rsidR="00441CE9">
        <w:rPr>
          <w:sz w:val="21"/>
          <w:szCs w:val="21"/>
        </w:rPr>
        <w:t xml:space="preserve"> of this Working Group include:</w:t>
      </w:r>
      <w:r w:rsidR="00B377F4">
        <w:rPr>
          <w:sz w:val="21"/>
          <w:szCs w:val="21"/>
        </w:rPr>
        <w:t xml:space="preserve"> providing technical oversight on the application of the landscape approach to the PSC</w:t>
      </w:r>
      <w:r w:rsidR="00C7519E">
        <w:rPr>
          <w:sz w:val="21"/>
          <w:szCs w:val="21"/>
        </w:rPr>
        <w:t>;</w:t>
      </w:r>
      <w:r w:rsidR="00B377F4">
        <w:rPr>
          <w:sz w:val="21"/>
          <w:szCs w:val="21"/>
        </w:rPr>
        <w:t xml:space="preserve"> supporting government with its reporting to </w:t>
      </w:r>
      <w:r w:rsidR="00C7519E">
        <w:rPr>
          <w:sz w:val="21"/>
          <w:szCs w:val="21"/>
        </w:rPr>
        <w:t>UNCCD, UNFCC and CBD; and promoting awareness about LDN and ensuring it is mainstreamed across the respective sectors.</w:t>
      </w:r>
      <w:r w:rsidR="00BE795B">
        <w:rPr>
          <w:sz w:val="21"/>
          <w:szCs w:val="21"/>
        </w:rPr>
        <w:t xml:space="preserve"> In order to achieve it, under this output the LDN Working Group will receive tailored trainings.</w:t>
      </w:r>
    </w:p>
    <w:p w14:paraId="609B6F50" w14:textId="034A9A7D" w:rsidR="00421075" w:rsidRDefault="00421075" w:rsidP="00441CE9">
      <w:pPr>
        <w:pStyle w:val="AAActivities"/>
        <w:numPr>
          <w:ilvl w:val="0"/>
          <w:numId w:val="0"/>
        </w:numPr>
        <w:spacing w:after="80"/>
        <w:ind w:left="709"/>
        <w:contextualSpacing w:val="0"/>
        <w:rPr>
          <w:sz w:val="21"/>
          <w:szCs w:val="21"/>
        </w:rPr>
      </w:pPr>
      <w:r w:rsidRPr="00421075">
        <w:rPr>
          <w:sz w:val="21"/>
          <w:szCs w:val="21"/>
        </w:rPr>
        <w:t xml:space="preserve">Should it be considered </w:t>
      </w:r>
      <w:r w:rsidR="00534AB6" w:rsidRPr="00421075">
        <w:rPr>
          <w:sz w:val="21"/>
          <w:szCs w:val="21"/>
        </w:rPr>
        <w:t xml:space="preserve">necessary </w:t>
      </w:r>
      <w:r w:rsidRPr="00421075">
        <w:rPr>
          <w:sz w:val="21"/>
          <w:szCs w:val="21"/>
        </w:rPr>
        <w:t xml:space="preserve">to change the mandate of the Working Group from one of undertaking specific tasks </w:t>
      </w:r>
      <w:r w:rsidR="00534AB6" w:rsidRPr="00421075">
        <w:rPr>
          <w:sz w:val="21"/>
          <w:szCs w:val="21"/>
        </w:rPr>
        <w:t xml:space="preserve">to </w:t>
      </w:r>
      <w:r w:rsidR="00024F92" w:rsidRPr="00421075">
        <w:rPr>
          <w:sz w:val="21"/>
          <w:szCs w:val="21"/>
        </w:rPr>
        <w:t xml:space="preserve">making </w:t>
      </w:r>
      <w:r w:rsidRPr="00421075">
        <w:rPr>
          <w:sz w:val="21"/>
          <w:szCs w:val="21"/>
        </w:rPr>
        <w:t>high-level decision</w:t>
      </w:r>
      <w:r w:rsidR="00024F92">
        <w:rPr>
          <w:sz w:val="21"/>
          <w:szCs w:val="21"/>
        </w:rPr>
        <w:t>s</w:t>
      </w:r>
      <w:r w:rsidRPr="00421075">
        <w:rPr>
          <w:sz w:val="21"/>
          <w:szCs w:val="21"/>
        </w:rPr>
        <w:t xml:space="preserve">, then it may be </w:t>
      </w:r>
      <w:r w:rsidR="00534AB6" w:rsidRPr="00421075">
        <w:rPr>
          <w:sz w:val="21"/>
          <w:szCs w:val="21"/>
        </w:rPr>
        <w:t xml:space="preserve">appropriate to </w:t>
      </w:r>
      <w:r w:rsidR="00024F92">
        <w:rPr>
          <w:sz w:val="21"/>
          <w:szCs w:val="21"/>
        </w:rPr>
        <w:t xml:space="preserve">transform the Working Group into a Committee, supported by </w:t>
      </w:r>
      <w:r w:rsidR="00024F92" w:rsidRPr="00421075">
        <w:rPr>
          <w:sz w:val="21"/>
          <w:szCs w:val="21"/>
        </w:rPr>
        <w:t>a</w:t>
      </w:r>
      <w:r w:rsidR="00024F92">
        <w:rPr>
          <w:sz w:val="21"/>
          <w:szCs w:val="21"/>
        </w:rPr>
        <w:t xml:space="preserve"> newly created </w:t>
      </w:r>
      <w:r w:rsidRPr="00421075">
        <w:rPr>
          <w:sz w:val="21"/>
          <w:szCs w:val="21"/>
        </w:rPr>
        <w:t xml:space="preserve">LDN </w:t>
      </w:r>
      <w:r w:rsidR="00617387" w:rsidRPr="00421075">
        <w:rPr>
          <w:sz w:val="21"/>
          <w:szCs w:val="21"/>
        </w:rPr>
        <w:t>Task Force</w:t>
      </w:r>
      <w:r w:rsidR="00024F92">
        <w:rPr>
          <w:sz w:val="21"/>
          <w:szCs w:val="21"/>
        </w:rPr>
        <w:t>.</w:t>
      </w:r>
    </w:p>
    <w:p w14:paraId="60156A8D" w14:textId="25845021" w:rsidR="00611762" w:rsidRPr="00421075" w:rsidRDefault="4DB6C37C" w:rsidP="00441CE9">
      <w:pPr>
        <w:pStyle w:val="AAActivities"/>
        <w:numPr>
          <w:ilvl w:val="0"/>
          <w:numId w:val="0"/>
        </w:numPr>
        <w:spacing w:after="80"/>
        <w:ind w:left="709"/>
        <w:contextualSpacing w:val="0"/>
        <w:rPr>
          <w:rFonts w:cs="Calibri"/>
          <w:sz w:val="21"/>
          <w:szCs w:val="21"/>
        </w:rPr>
      </w:pPr>
      <w:r w:rsidRPr="3764D022">
        <w:rPr>
          <w:sz w:val="21"/>
          <w:szCs w:val="21"/>
        </w:rPr>
        <w:t xml:space="preserve">A specific task for this </w:t>
      </w:r>
      <w:r w:rsidR="4C5D1109" w:rsidRPr="3764D022">
        <w:rPr>
          <w:sz w:val="21"/>
          <w:szCs w:val="21"/>
        </w:rPr>
        <w:t>existing</w:t>
      </w:r>
      <w:r w:rsidRPr="3764D022">
        <w:rPr>
          <w:sz w:val="21"/>
          <w:szCs w:val="21"/>
        </w:rPr>
        <w:t xml:space="preserve"> Working Group will be to oversee the development of an LDN monitoring system, referred to under Output 3.1.1.</w:t>
      </w:r>
    </w:p>
    <w:p w14:paraId="772D60DC" w14:textId="244171FC" w:rsidR="004858C5" w:rsidRPr="00383353" w:rsidRDefault="00023D43" w:rsidP="001667C6">
      <w:pPr>
        <w:pStyle w:val="AAActivities"/>
        <w:numPr>
          <w:ilvl w:val="0"/>
          <w:numId w:val="49"/>
        </w:numPr>
        <w:spacing w:after="80"/>
        <w:ind w:left="709" w:hanging="284"/>
        <w:contextualSpacing w:val="0"/>
        <w:rPr>
          <w:rFonts w:cs="Calibri"/>
          <w:b/>
          <w:bCs/>
          <w:sz w:val="21"/>
          <w:szCs w:val="21"/>
        </w:rPr>
      </w:pPr>
      <w:r w:rsidRPr="00383353">
        <w:rPr>
          <w:rFonts w:cs="Calibri"/>
          <w:b/>
          <w:bCs/>
          <w:sz w:val="21"/>
          <w:szCs w:val="21"/>
        </w:rPr>
        <w:t xml:space="preserve">Design a </w:t>
      </w:r>
      <w:r w:rsidR="008F1F1B" w:rsidRPr="00383353">
        <w:rPr>
          <w:rFonts w:cs="Calibri"/>
          <w:b/>
          <w:bCs/>
          <w:sz w:val="21"/>
          <w:szCs w:val="21"/>
        </w:rPr>
        <w:t xml:space="preserve">generic </w:t>
      </w:r>
      <w:r w:rsidRPr="00383353">
        <w:rPr>
          <w:rFonts w:cs="Calibri"/>
          <w:b/>
          <w:bCs/>
          <w:sz w:val="21"/>
          <w:szCs w:val="21"/>
        </w:rPr>
        <w:t xml:space="preserve">framework, comprising platforms and processes, that will enable </w:t>
      </w:r>
      <w:r w:rsidR="009563B4" w:rsidRPr="00383353">
        <w:rPr>
          <w:rFonts w:cs="Calibri"/>
          <w:b/>
          <w:bCs/>
          <w:sz w:val="21"/>
          <w:szCs w:val="21"/>
        </w:rPr>
        <w:t>stakeholder</w:t>
      </w:r>
      <w:r w:rsidRPr="00383353">
        <w:rPr>
          <w:rFonts w:cs="Calibri"/>
          <w:b/>
          <w:bCs/>
          <w:sz w:val="21"/>
          <w:szCs w:val="21"/>
        </w:rPr>
        <w:t>s</w:t>
      </w:r>
      <w:r w:rsidR="009563B4" w:rsidRPr="00383353">
        <w:rPr>
          <w:rFonts w:cs="Calibri"/>
          <w:b/>
          <w:bCs/>
          <w:sz w:val="21"/>
          <w:szCs w:val="21"/>
        </w:rPr>
        <w:t xml:space="preserve"> </w:t>
      </w:r>
      <w:r w:rsidR="00645222" w:rsidRPr="00383353">
        <w:rPr>
          <w:rFonts w:cs="Calibri"/>
          <w:b/>
          <w:bCs/>
          <w:sz w:val="21"/>
          <w:szCs w:val="21"/>
        </w:rPr>
        <w:t xml:space="preserve">to </w:t>
      </w:r>
      <w:r w:rsidR="009563B4" w:rsidRPr="00383353">
        <w:rPr>
          <w:rFonts w:cs="Calibri"/>
          <w:b/>
          <w:bCs/>
          <w:sz w:val="21"/>
          <w:szCs w:val="21"/>
        </w:rPr>
        <w:t>participat</w:t>
      </w:r>
      <w:r w:rsidR="00645222" w:rsidRPr="00383353">
        <w:rPr>
          <w:rFonts w:cs="Calibri"/>
          <w:b/>
          <w:bCs/>
          <w:sz w:val="21"/>
          <w:szCs w:val="21"/>
        </w:rPr>
        <w:t>e in applying the landscape approach to the target</w:t>
      </w:r>
      <w:r w:rsidR="009563B4" w:rsidRPr="00383353">
        <w:rPr>
          <w:rFonts w:cs="Calibri"/>
          <w:b/>
          <w:bCs/>
          <w:sz w:val="21"/>
          <w:szCs w:val="21"/>
        </w:rPr>
        <w:t xml:space="preserve"> sub-basins</w:t>
      </w:r>
      <w:bookmarkStart w:id="117" w:name="_Ref38891135"/>
      <w:r w:rsidR="00645222" w:rsidRPr="00383353">
        <w:rPr>
          <w:rFonts w:cs="Calibri"/>
          <w:b/>
          <w:bCs/>
          <w:sz w:val="21"/>
          <w:szCs w:val="21"/>
        </w:rPr>
        <w:t xml:space="preserve"> to achieve LDN</w:t>
      </w:r>
      <w:r w:rsidR="009563B4" w:rsidRPr="00383353">
        <w:rPr>
          <w:rFonts w:cs="Calibri"/>
          <w:b/>
          <w:bCs/>
          <w:sz w:val="21"/>
          <w:szCs w:val="21"/>
        </w:rPr>
        <w:t>.</w:t>
      </w:r>
      <w:bookmarkEnd w:id="116"/>
      <w:bookmarkEnd w:id="117"/>
      <w:r w:rsidR="00645222" w:rsidRPr="00383353">
        <w:rPr>
          <w:rFonts w:cs="Calibri"/>
          <w:sz w:val="21"/>
          <w:szCs w:val="21"/>
        </w:rPr>
        <w:t xml:space="preserve"> The framework should be fully integrated, both vertically (national – provincial – district – </w:t>
      </w:r>
      <w:r w:rsidR="00B60F00" w:rsidRPr="00383353">
        <w:rPr>
          <w:rFonts w:cs="Calibri"/>
          <w:sz w:val="21"/>
          <w:szCs w:val="21"/>
        </w:rPr>
        <w:t xml:space="preserve">municipality - </w:t>
      </w:r>
      <w:r w:rsidR="00645222" w:rsidRPr="00383353">
        <w:rPr>
          <w:rFonts w:cs="Calibri"/>
          <w:sz w:val="21"/>
          <w:szCs w:val="21"/>
        </w:rPr>
        <w:t>community) and horizontally (multi-sector</w:t>
      </w:r>
      <w:r w:rsidR="004D37AC" w:rsidRPr="00383353">
        <w:rPr>
          <w:rFonts w:cs="Calibri"/>
          <w:sz w:val="21"/>
          <w:szCs w:val="21"/>
        </w:rPr>
        <w:t>)</w:t>
      </w:r>
      <w:r w:rsidR="00645222" w:rsidRPr="00383353">
        <w:rPr>
          <w:rFonts w:cs="Calibri"/>
          <w:sz w:val="21"/>
          <w:szCs w:val="21"/>
        </w:rPr>
        <w:t xml:space="preserve">, </w:t>
      </w:r>
      <w:r w:rsidR="004D37AC" w:rsidRPr="00383353">
        <w:rPr>
          <w:rFonts w:cs="Calibri"/>
          <w:sz w:val="21"/>
          <w:szCs w:val="21"/>
        </w:rPr>
        <w:t xml:space="preserve">and applicable to individual landscapes or landscapes nested within basins. It will reflect </w:t>
      </w:r>
      <w:r w:rsidR="00223BF3" w:rsidRPr="00383353">
        <w:rPr>
          <w:rFonts w:cs="Calibri"/>
          <w:sz w:val="21"/>
          <w:szCs w:val="21"/>
        </w:rPr>
        <w:t xml:space="preserve">the governance structures and consultation processes to be put in place to ensure that all stakeholders are able to participate in </w:t>
      </w:r>
      <w:r w:rsidR="001B248C">
        <w:rPr>
          <w:rFonts w:cs="Calibri"/>
          <w:sz w:val="21"/>
          <w:szCs w:val="21"/>
        </w:rPr>
        <w:t>land-use plan</w:t>
      </w:r>
      <w:r w:rsidR="00223BF3" w:rsidRPr="00383353">
        <w:rPr>
          <w:rFonts w:cs="Calibri"/>
          <w:sz w:val="21"/>
          <w:szCs w:val="21"/>
        </w:rPr>
        <w:t xml:space="preserve">ning and management. </w:t>
      </w:r>
      <w:r w:rsidR="004858C5" w:rsidRPr="00383353">
        <w:rPr>
          <w:rFonts w:cs="Calibri"/>
          <w:sz w:val="21"/>
          <w:szCs w:val="21"/>
        </w:rPr>
        <w:t>It is particularly important for the private sector, civil society, minority groups and the interests of women and youth to be represented throughout the different elements of this governance framework.</w:t>
      </w:r>
      <w:r w:rsidR="002B04CE" w:rsidRPr="00383353">
        <w:rPr>
          <w:rFonts w:cs="Calibri"/>
          <w:sz w:val="21"/>
          <w:szCs w:val="21"/>
        </w:rPr>
        <w:t xml:space="preserve"> Any </w:t>
      </w:r>
      <w:r w:rsidR="002B04CE" w:rsidRPr="00383353">
        <w:rPr>
          <w:sz w:val="21"/>
          <w:szCs w:val="21"/>
        </w:rPr>
        <w:t>engagement with indigenous peoples</w:t>
      </w:r>
      <w:r w:rsidR="002B04CE" w:rsidRPr="00383353">
        <w:rPr>
          <w:rFonts w:cs="Calibri"/>
          <w:sz w:val="21"/>
          <w:szCs w:val="21"/>
        </w:rPr>
        <w:t xml:space="preserve"> </w:t>
      </w:r>
      <w:r w:rsidR="001208A1" w:rsidRPr="00383353">
        <w:rPr>
          <w:sz w:val="21"/>
          <w:szCs w:val="21"/>
        </w:rPr>
        <w:t>will be compliant with FAO procedures.</w:t>
      </w:r>
    </w:p>
    <w:p w14:paraId="44794152" w14:textId="56E0CB2C" w:rsidR="0099074E" w:rsidRPr="00383353" w:rsidRDefault="00223BF3" w:rsidP="004858C5">
      <w:pPr>
        <w:pStyle w:val="AAActivities"/>
        <w:numPr>
          <w:ilvl w:val="0"/>
          <w:numId w:val="0"/>
        </w:numPr>
        <w:spacing w:after="80"/>
        <w:ind w:left="709"/>
        <w:contextualSpacing w:val="0"/>
        <w:rPr>
          <w:rFonts w:cs="Calibri"/>
          <w:b/>
          <w:bCs/>
          <w:sz w:val="21"/>
          <w:szCs w:val="21"/>
        </w:rPr>
      </w:pPr>
      <w:r w:rsidRPr="00383353">
        <w:rPr>
          <w:rFonts w:cs="Calibri"/>
          <w:sz w:val="21"/>
          <w:szCs w:val="21"/>
        </w:rPr>
        <w:t>The LDN Working Group is a key platf</w:t>
      </w:r>
      <w:r w:rsidR="000D3509" w:rsidRPr="00383353">
        <w:rPr>
          <w:rFonts w:cs="Calibri"/>
          <w:sz w:val="21"/>
          <w:szCs w:val="21"/>
        </w:rPr>
        <w:t>or</w:t>
      </w:r>
      <w:r w:rsidRPr="00383353">
        <w:rPr>
          <w:rFonts w:cs="Calibri"/>
          <w:sz w:val="21"/>
          <w:szCs w:val="21"/>
        </w:rPr>
        <w:t xml:space="preserve">m at national level and </w:t>
      </w:r>
      <w:r w:rsidR="000D3509" w:rsidRPr="00383353">
        <w:rPr>
          <w:rFonts w:cs="Calibri"/>
          <w:sz w:val="21"/>
          <w:szCs w:val="21"/>
        </w:rPr>
        <w:t xml:space="preserve">other multi-sector </w:t>
      </w:r>
      <w:r w:rsidR="00D312EE" w:rsidRPr="00383353">
        <w:rPr>
          <w:rFonts w:cs="Calibri"/>
          <w:sz w:val="21"/>
          <w:szCs w:val="21"/>
        </w:rPr>
        <w:t>Working Groups will be established for individual landscapes</w:t>
      </w:r>
      <w:r w:rsidR="004858C5" w:rsidRPr="00383353">
        <w:rPr>
          <w:rFonts w:cs="Calibri"/>
          <w:sz w:val="21"/>
          <w:szCs w:val="21"/>
        </w:rPr>
        <w:t>, with vertical coordinating mechanisms to the national Working Group</w:t>
      </w:r>
      <w:r w:rsidR="00D312EE" w:rsidRPr="00383353">
        <w:rPr>
          <w:rFonts w:cs="Calibri"/>
          <w:sz w:val="21"/>
          <w:szCs w:val="21"/>
        </w:rPr>
        <w:t xml:space="preserve">. </w:t>
      </w:r>
      <w:r w:rsidR="005F7479" w:rsidRPr="00383353">
        <w:rPr>
          <w:rFonts w:cs="Calibri"/>
          <w:sz w:val="21"/>
          <w:szCs w:val="21"/>
        </w:rPr>
        <w:t>As appropriate</w:t>
      </w:r>
      <w:r w:rsidR="00D312EE" w:rsidRPr="00383353">
        <w:rPr>
          <w:rFonts w:cs="Calibri"/>
          <w:sz w:val="21"/>
          <w:szCs w:val="21"/>
        </w:rPr>
        <w:t xml:space="preserve">, Landscape Forums </w:t>
      </w:r>
      <w:r w:rsidR="005F7479" w:rsidRPr="00383353">
        <w:rPr>
          <w:rFonts w:cs="Calibri"/>
          <w:sz w:val="21"/>
          <w:szCs w:val="21"/>
        </w:rPr>
        <w:t>will</w:t>
      </w:r>
      <w:r w:rsidR="00D312EE" w:rsidRPr="00383353">
        <w:rPr>
          <w:rFonts w:cs="Calibri"/>
          <w:sz w:val="21"/>
          <w:szCs w:val="21"/>
        </w:rPr>
        <w:t xml:space="preserve"> be created </w:t>
      </w:r>
      <w:r w:rsidR="004858C5" w:rsidRPr="00383353">
        <w:rPr>
          <w:rFonts w:cs="Calibri"/>
          <w:sz w:val="21"/>
          <w:szCs w:val="21"/>
        </w:rPr>
        <w:t>at communal</w:t>
      </w:r>
      <w:r w:rsidR="00C94FF2" w:rsidRPr="00383353">
        <w:rPr>
          <w:rFonts w:cs="Calibri"/>
          <w:sz w:val="21"/>
          <w:szCs w:val="21"/>
        </w:rPr>
        <w:t>,</w:t>
      </w:r>
      <w:r w:rsidR="004858C5" w:rsidRPr="00383353">
        <w:rPr>
          <w:rFonts w:cs="Calibri"/>
          <w:sz w:val="21"/>
          <w:szCs w:val="21"/>
        </w:rPr>
        <w:t xml:space="preserve"> municipality</w:t>
      </w:r>
      <w:r w:rsidR="00C94FF2" w:rsidRPr="00383353">
        <w:rPr>
          <w:rFonts w:cs="Calibri"/>
          <w:sz w:val="21"/>
          <w:szCs w:val="21"/>
        </w:rPr>
        <w:t xml:space="preserve"> or provincial</w:t>
      </w:r>
      <w:r w:rsidR="004858C5" w:rsidRPr="00383353">
        <w:rPr>
          <w:rFonts w:cs="Calibri"/>
          <w:sz w:val="21"/>
          <w:szCs w:val="21"/>
        </w:rPr>
        <w:t xml:space="preserve"> levels </w:t>
      </w:r>
      <w:r w:rsidR="00D312EE" w:rsidRPr="00383353">
        <w:rPr>
          <w:rFonts w:cs="Calibri"/>
          <w:sz w:val="21"/>
          <w:szCs w:val="21"/>
        </w:rPr>
        <w:t xml:space="preserve">to raise awareness about LDN and capture consensus views </w:t>
      </w:r>
      <w:r w:rsidR="004858C5" w:rsidRPr="00383353">
        <w:rPr>
          <w:rFonts w:cs="Calibri"/>
          <w:sz w:val="21"/>
          <w:szCs w:val="21"/>
        </w:rPr>
        <w:t xml:space="preserve">on land-use planning and management </w:t>
      </w:r>
      <w:r w:rsidR="008F1F1B" w:rsidRPr="00383353">
        <w:rPr>
          <w:rFonts w:cs="Calibri"/>
          <w:sz w:val="21"/>
          <w:szCs w:val="21"/>
        </w:rPr>
        <w:t>to feed</w:t>
      </w:r>
      <w:r w:rsidR="00D312EE" w:rsidRPr="00383353">
        <w:rPr>
          <w:rFonts w:cs="Calibri"/>
          <w:sz w:val="21"/>
          <w:szCs w:val="21"/>
        </w:rPr>
        <w:t xml:space="preserve"> into the </w:t>
      </w:r>
      <w:r w:rsidR="008F1F1B" w:rsidRPr="00383353">
        <w:rPr>
          <w:rFonts w:cs="Calibri"/>
          <w:sz w:val="21"/>
          <w:szCs w:val="21"/>
        </w:rPr>
        <w:t xml:space="preserve">respective </w:t>
      </w:r>
      <w:r w:rsidR="00D312EE" w:rsidRPr="00383353">
        <w:rPr>
          <w:rFonts w:cs="Calibri"/>
          <w:sz w:val="21"/>
          <w:szCs w:val="21"/>
        </w:rPr>
        <w:t>Working Groups.</w:t>
      </w:r>
      <w:r w:rsidR="00A30A21" w:rsidRPr="00383353">
        <w:rPr>
          <w:rFonts w:cs="Calibri"/>
          <w:sz w:val="21"/>
          <w:szCs w:val="21"/>
        </w:rPr>
        <w:t xml:space="preserve"> </w:t>
      </w:r>
    </w:p>
    <w:p w14:paraId="7FBF571C" w14:textId="7DBE958D" w:rsidR="0042298D" w:rsidRPr="00B81D0B" w:rsidRDefault="00704C5E" w:rsidP="0099074E">
      <w:pPr>
        <w:pStyle w:val="AAActivities"/>
        <w:numPr>
          <w:ilvl w:val="0"/>
          <w:numId w:val="0"/>
        </w:numPr>
        <w:spacing w:after="80"/>
        <w:ind w:left="709"/>
        <w:contextualSpacing w:val="0"/>
        <w:rPr>
          <w:rFonts w:cs="Calibri"/>
          <w:b/>
          <w:bCs/>
          <w:sz w:val="21"/>
          <w:szCs w:val="21"/>
        </w:rPr>
      </w:pPr>
      <w:r w:rsidRPr="00B81D0B">
        <w:rPr>
          <w:rFonts w:cs="Calibri"/>
          <w:sz w:val="21"/>
          <w:szCs w:val="21"/>
        </w:rPr>
        <w:t>Scoping of the framework will</w:t>
      </w:r>
      <w:r w:rsidR="000D3509" w:rsidRPr="00B81D0B">
        <w:rPr>
          <w:rFonts w:cs="Calibri"/>
          <w:sz w:val="21"/>
          <w:szCs w:val="21"/>
        </w:rPr>
        <w:t xml:space="preserve"> </w:t>
      </w:r>
      <w:r w:rsidRPr="00B81D0B">
        <w:rPr>
          <w:rFonts w:cs="Calibri"/>
          <w:sz w:val="21"/>
          <w:szCs w:val="21"/>
        </w:rPr>
        <w:t>be completed</w:t>
      </w:r>
      <w:r w:rsidR="000D3509" w:rsidRPr="00B81D0B">
        <w:rPr>
          <w:rFonts w:cs="Calibri"/>
          <w:sz w:val="21"/>
          <w:szCs w:val="21"/>
        </w:rPr>
        <w:t xml:space="preserve"> during </w:t>
      </w:r>
      <w:r w:rsidR="00C94FF2" w:rsidRPr="00B81D0B">
        <w:rPr>
          <w:rFonts w:cs="Calibri"/>
          <w:sz w:val="21"/>
          <w:szCs w:val="21"/>
        </w:rPr>
        <w:t>the p</w:t>
      </w:r>
      <w:r w:rsidR="000D3509" w:rsidRPr="00B81D0B">
        <w:rPr>
          <w:rFonts w:cs="Calibri"/>
          <w:sz w:val="21"/>
          <w:szCs w:val="21"/>
        </w:rPr>
        <w:t>roject</w:t>
      </w:r>
      <w:r w:rsidR="00C94FF2" w:rsidRPr="00B81D0B">
        <w:rPr>
          <w:rFonts w:cs="Calibri"/>
          <w:sz w:val="21"/>
          <w:szCs w:val="21"/>
        </w:rPr>
        <w:t>’s</w:t>
      </w:r>
      <w:r w:rsidR="000D3509" w:rsidRPr="00B81D0B">
        <w:rPr>
          <w:rFonts w:cs="Calibri"/>
          <w:sz w:val="21"/>
          <w:szCs w:val="21"/>
        </w:rPr>
        <w:t xml:space="preserve"> inception</w:t>
      </w:r>
      <w:r w:rsidR="00C94FF2" w:rsidRPr="00B81D0B">
        <w:rPr>
          <w:rFonts w:cs="Calibri"/>
          <w:sz w:val="21"/>
          <w:szCs w:val="21"/>
        </w:rPr>
        <w:t xml:space="preserve"> phase</w:t>
      </w:r>
      <w:r w:rsidR="00A30A21" w:rsidRPr="00B81D0B">
        <w:rPr>
          <w:rFonts w:cs="Calibri"/>
          <w:sz w:val="21"/>
          <w:szCs w:val="21"/>
        </w:rPr>
        <w:t xml:space="preserve"> and its stakeholder groups targeted for relevant training modules under Output 2.1.</w:t>
      </w:r>
      <w:r w:rsidR="00B12512" w:rsidRPr="00B81D0B">
        <w:rPr>
          <w:rFonts w:cs="Calibri"/>
          <w:sz w:val="21"/>
          <w:szCs w:val="21"/>
        </w:rPr>
        <w:t>4</w:t>
      </w:r>
      <w:r w:rsidR="000D3509" w:rsidRPr="00B81D0B">
        <w:rPr>
          <w:rFonts w:cs="Calibri"/>
          <w:sz w:val="21"/>
          <w:szCs w:val="21"/>
        </w:rPr>
        <w:t xml:space="preserve">. </w:t>
      </w:r>
    </w:p>
    <w:p w14:paraId="67676E8C" w14:textId="1CA1E880" w:rsidR="00B60F00" w:rsidRDefault="00BA3D9C" w:rsidP="001667C6">
      <w:pPr>
        <w:pStyle w:val="AAActivities"/>
        <w:numPr>
          <w:ilvl w:val="0"/>
          <w:numId w:val="49"/>
        </w:numPr>
        <w:spacing w:after="80"/>
        <w:ind w:left="709" w:hanging="283"/>
        <w:contextualSpacing w:val="0"/>
        <w:rPr>
          <w:sz w:val="21"/>
          <w:szCs w:val="21"/>
        </w:rPr>
      </w:pPr>
      <w:bookmarkStart w:id="118" w:name="_Ref49509909"/>
      <w:bookmarkStart w:id="119" w:name="_Ref49586430"/>
      <w:r w:rsidRPr="00B81D0B">
        <w:rPr>
          <w:b/>
          <w:bCs/>
          <w:sz w:val="21"/>
          <w:szCs w:val="21"/>
        </w:rPr>
        <w:t>Develop Stakeholder Engagement Plans for each target landscape</w:t>
      </w:r>
      <w:r w:rsidRPr="00B81D0B">
        <w:rPr>
          <w:sz w:val="21"/>
          <w:szCs w:val="21"/>
        </w:rPr>
        <w:t>, based on the generic governance framework (Activity 1.1.1c).</w:t>
      </w:r>
      <w:r w:rsidRPr="00B81D0B">
        <w:rPr>
          <w:rFonts w:cs="Calibri"/>
          <w:sz w:val="21"/>
          <w:szCs w:val="21"/>
        </w:rPr>
        <w:t xml:space="preserve"> Administrative stakeholders at provincial and more localized levels of government </w:t>
      </w:r>
      <w:r w:rsidR="007459E2" w:rsidRPr="00B81D0B">
        <w:rPr>
          <w:rFonts w:cs="Calibri"/>
          <w:sz w:val="21"/>
          <w:szCs w:val="21"/>
        </w:rPr>
        <w:t xml:space="preserve">in the two target landscapes </w:t>
      </w:r>
      <w:r w:rsidRPr="00B81D0B">
        <w:rPr>
          <w:rFonts w:cs="Calibri"/>
          <w:sz w:val="21"/>
          <w:szCs w:val="21"/>
        </w:rPr>
        <w:t xml:space="preserve">are listed in </w:t>
      </w:r>
      <w:r w:rsidRPr="00B81D0B">
        <w:rPr>
          <w:rFonts w:cs="Calibri"/>
          <w:b/>
          <w:bCs/>
          <w:sz w:val="21"/>
          <w:szCs w:val="21"/>
        </w:rPr>
        <w:t>Table 4</w:t>
      </w:r>
      <w:r w:rsidRPr="00B81D0B">
        <w:rPr>
          <w:rFonts w:cs="Calibri"/>
          <w:sz w:val="21"/>
          <w:szCs w:val="21"/>
        </w:rPr>
        <w:t xml:space="preserve"> to inform the structure of these plans, depending on the levels at which it is decided to establish Working Groups </w:t>
      </w:r>
      <w:r w:rsidR="00C94FF2" w:rsidRPr="00B81D0B">
        <w:rPr>
          <w:rFonts w:cs="Calibri"/>
          <w:sz w:val="21"/>
          <w:szCs w:val="21"/>
        </w:rPr>
        <w:t>(landscape level) and Forums (provincial, municipal and/or communal). These plans will be prepared during project inception, alongside the LDN framework</w:t>
      </w:r>
      <w:r w:rsidR="001208A1" w:rsidRPr="00B81D0B">
        <w:rPr>
          <w:rFonts w:cs="Calibri"/>
          <w:sz w:val="21"/>
          <w:szCs w:val="21"/>
        </w:rPr>
        <w:t>, and should build on previous engagement with stakeholders during the PPG (</w:t>
      </w:r>
      <w:r w:rsidR="001208A1" w:rsidRPr="00B81D0B">
        <w:rPr>
          <w:rFonts w:cs="Calibri"/>
          <w:b/>
          <w:bCs/>
          <w:sz w:val="21"/>
          <w:szCs w:val="21"/>
        </w:rPr>
        <w:t>Annex 12</w:t>
      </w:r>
      <w:r w:rsidR="005F7479" w:rsidRPr="00B81D0B">
        <w:rPr>
          <w:rFonts w:cs="Calibri"/>
          <w:b/>
          <w:bCs/>
          <w:sz w:val="21"/>
          <w:szCs w:val="21"/>
        </w:rPr>
        <w:t xml:space="preserve"> </w:t>
      </w:r>
      <w:r w:rsidR="005F7479" w:rsidRPr="00B81D0B">
        <w:rPr>
          <w:rFonts w:cs="Calibri"/>
          <w:sz w:val="21"/>
          <w:szCs w:val="21"/>
        </w:rPr>
        <w:t>and,</w:t>
      </w:r>
      <w:r w:rsidR="005F7479" w:rsidRPr="00B81D0B">
        <w:rPr>
          <w:sz w:val="21"/>
          <w:szCs w:val="21"/>
        </w:rPr>
        <w:t xml:space="preserve"> in case of agro</w:t>
      </w:r>
      <w:r w:rsidR="00383353" w:rsidRPr="00B81D0B">
        <w:rPr>
          <w:sz w:val="21"/>
          <w:szCs w:val="21"/>
        </w:rPr>
        <w:t>-</w:t>
      </w:r>
      <w:r w:rsidR="005F7479" w:rsidRPr="00B81D0B">
        <w:rPr>
          <w:sz w:val="21"/>
          <w:szCs w:val="21"/>
        </w:rPr>
        <w:t>value</w:t>
      </w:r>
      <w:r w:rsidR="00383353" w:rsidRPr="00B81D0B">
        <w:rPr>
          <w:sz w:val="21"/>
          <w:szCs w:val="21"/>
        </w:rPr>
        <w:t>-</w:t>
      </w:r>
      <w:r w:rsidR="005F7479" w:rsidRPr="00B81D0B">
        <w:rPr>
          <w:sz w:val="21"/>
          <w:szCs w:val="21"/>
        </w:rPr>
        <w:t xml:space="preserve">chain stakeholders, </w:t>
      </w:r>
      <w:hyperlink w:anchor="_Annex_X-2.2:_Value_1" w:history="1">
        <w:r w:rsidR="005F7479" w:rsidRPr="00B81D0B">
          <w:rPr>
            <w:rStyle w:val="Hyperlink"/>
            <w:b/>
            <w:bCs/>
            <w:sz w:val="21"/>
            <w:szCs w:val="21"/>
          </w:rPr>
          <w:t>Annex X-2.2</w:t>
        </w:r>
      </w:hyperlink>
      <w:r w:rsidR="005F7479" w:rsidRPr="00B81D0B">
        <w:rPr>
          <w:rStyle w:val="Hyperlink"/>
          <w:sz w:val="21"/>
          <w:szCs w:val="21"/>
        </w:rPr>
        <w:t>)</w:t>
      </w:r>
      <w:r w:rsidR="005F7479" w:rsidRPr="00B81D0B">
        <w:rPr>
          <w:sz w:val="21"/>
          <w:szCs w:val="21"/>
        </w:rPr>
        <w:t>.</w:t>
      </w:r>
      <w:bookmarkEnd w:id="118"/>
      <w:r w:rsidR="00B12512" w:rsidRPr="00B81D0B">
        <w:rPr>
          <w:sz w:val="21"/>
          <w:szCs w:val="21"/>
        </w:rPr>
        <w:t xml:space="preserve"> The scope of a Stakeholder Engagement Plan</w:t>
      </w:r>
      <w:r w:rsidR="00EB5232" w:rsidRPr="00B81D0B">
        <w:rPr>
          <w:sz w:val="21"/>
          <w:szCs w:val="21"/>
        </w:rPr>
        <w:t xml:space="preserve"> should consider/determine</w:t>
      </w:r>
      <w:r w:rsidR="00E83A60" w:rsidRPr="00B81D0B">
        <w:rPr>
          <w:sz w:val="21"/>
          <w:szCs w:val="21"/>
        </w:rPr>
        <w:t>/include</w:t>
      </w:r>
      <w:r w:rsidR="00EB5232">
        <w:rPr>
          <w:sz w:val="21"/>
          <w:szCs w:val="21"/>
        </w:rPr>
        <w:t xml:space="preserve"> the following</w:t>
      </w:r>
      <w:r w:rsidR="00B12512">
        <w:rPr>
          <w:sz w:val="21"/>
          <w:szCs w:val="21"/>
        </w:rPr>
        <w:t>:</w:t>
      </w:r>
      <w:bookmarkEnd w:id="119"/>
    </w:p>
    <w:p w14:paraId="34F5ED21" w14:textId="693720CA" w:rsidR="009C39D0" w:rsidRDefault="009C39D0" w:rsidP="001667C6">
      <w:pPr>
        <w:pStyle w:val="AAActivities"/>
        <w:numPr>
          <w:ilvl w:val="1"/>
          <w:numId w:val="49"/>
        </w:numPr>
        <w:spacing w:after="80"/>
        <w:ind w:left="993" w:hanging="284"/>
        <w:contextualSpacing w:val="0"/>
        <w:rPr>
          <w:sz w:val="21"/>
          <w:szCs w:val="21"/>
        </w:rPr>
      </w:pPr>
      <w:r>
        <w:t>G</w:t>
      </w:r>
      <w:r w:rsidRPr="00F252FB">
        <w:t>ender-sensitive</w:t>
      </w:r>
      <w:r>
        <w:t>,</w:t>
      </w:r>
      <w:r w:rsidRPr="00F252FB">
        <w:t xml:space="preserve"> FPIC compliant stakeholder engagement process</w:t>
      </w:r>
      <w:r>
        <w:rPr>
          <w:sz w:val="21"/>
          <w:szCs w:val="21"/>
        </w:rPr>
        <w:t xml:space="preserve"> that also takes into account ethnic and other minority or marginalized groups, youth and the elderly into account in its design and in the composition of consultative mechanisms to ensure their adequate representation.</w:t>
      </w:r>
      <w:r>
        <w:rPr>
          <w:rStyle w:val="FootnoteReference"/>
          <w:sz w:val="21"/>
          <w:szCs w:val="21"/>
        </w:rPr>
        <w:footnoteReference w:id="62"/>
      </w:r>
    </w:p>
    <w:p w14:paraId="6B29FFCB" w14:textId="3A2462CF" w:rsidR="00B12512" w:rsidRDefault="00EB5232" w:rsidP="001667C6">
      <w:pPr>
        <w:pStyle w:val="AAActivities"/>
        <w:numPr>
          <w:ilvl w:val="1"/>
          <w:numId w:val="49"/>
        </w:numPr>
        <w:spacing w:after="80"/>
        <w:ind w:left="993" w:hanging="284"/>
        <w:contextualSpacing w:val="0"/>
        <w:rPr>
          <w:sz w:val="21"/>
          <w:szCs w:val="21"/>
        </w:rPr>
      </w:pPr>
      <w:r>
        <w:rPr>
          <w:sz w:val="21"/>
          <w:szCs w:val="21"/>
        </w:rPr>
        <w:t>Key stakeholders listed, profiled and their interest/relevance to the project identified, particularly with respect to enhancing the enabling environment (Component 1), integrated landscape planning and/or management (Component 2), knowledge management and M&amp;E</w:t>
      </w:r>
      <w:r w:rsidR="00D71CEA">
        <w:rPr>
          <w:sz w:val="21"/>
          <w:szCs w:val="21"/>
        </w:rPr>
        <w:t xml:space="preserve"> (Component 3), and capacity building (cross-cutting).</w:t>
      </w:r>
    </w:p>
    <w:p w14:paraId="54ACB56C" w14:textId="4908EE4B" w:rsidR="00EB5232" w:rsidRDefault="00D71CEA" w:rsidP="001667C6">
      <w:pPr>
        <w:pStyle w:val="AAActivities"/>
        <w:numPr>
          <w:ilvl w:val="1"/>
          <w:numId w:val="49"/>
        </w:numPr>
        <w:spacing w:after="80"/>
        <w:ind w:left="993" w:hanging="284"/>
        <w:contextualSpacing w:val="0"/>
        <w:rPr>
          <w:sz w:val="21"/>
          <w:szCs w:val="21"/>
        </w:rPr>
      </w:pPr>
      <w:r>
        <w:rPr>
          <w:sz w:val="21"/>
          <w:szCs w:val="21"/>
        </w:rPr>
        <w:t>Overview of the governance framework at national, provincial</w:t>
      </w:r>
      <w:r w:rsidR="00E83A60">
        <w:rPr>
          <w:sz w:val="21"/>
          <w:szCs w:val="21"/>
        </w:rPr>
        <w:t>, district</w:t>
      </w:r>
      <w:r w:rsidR="00AF70AA">
        <w:rPr>
          <w:sz w:val="21"/>
          <w:szCs w:val="21"/>
        </w:rPr>
        <w:t>, municipality, commun</w:t>
      </w:r>
      <w:r w:rsidR="0044288D">
        <w:rPr>
          <w:sz w:val="21"/>
          <w:szCs w:val="21"/>
        </w:rPr>
        <w:t>e</w:t>
      </w:r>
      <w:r w:rsidR="00AF70AA">
        <w:rPr>
          <w:sz w:val="21"/>
          <w:szCs w:val="21"/>
        </w:rPr>
        <w:t xml:space="preserve"> and land-owner/user levels with which integrated landscape management will need to engage. Key stakeholders identified at each level</w:t>
      </w:r>
      <w:r w:rsidR="0044288D">
        <w:rPr>
          <w:sz w:val="21"/>
          <w:szCs w:val="21"/>
        </w:rPr>
        <w:t>, along with existing mechanisms/platforms for consultation. Where no mechanism exist</w:t>
      </w:r>
      <w:r w:rsidR="00056F14">
        <w:rPr>
          <w:sz w:val="21"/>
          <w:szCs w:val="21"/>
        </w:rPr>
        <w:t>s</w:t>
      </w:r>
      <w:r w:rsidR="0044288D">
        <w:rPr>
          <w:sz w:val="21"/>
          <w:szCs w:val="21"/>
        </w:rPr>
        <w:t>, then new mechanism (e.g. forum</w:t>
      </w:r>
      <w:r w:rsidR="00056F14">
        <w:rPr>
          <w:sz w:val="21"/>
          <w:szCs w:val="21"/>
        </w:rPr>
        <w:t>, consultative group</w:t>
      </w:r>
      <w:r w:rsidR="0044288D">
        <w:rPr>
          <w:sz w:val="21"/>
          <w:szCs w:val="21"/>
        </w:rPr>
        <w:t>) identified and confirmed by government.</w:t>
      </w:r>
    </w:p>
    <w:p w14:paraId="018FCD4C" w14:textId="24C5A0ED" w:rsidR="0044288D" w:rsidRDefault="00056F14" w:rsidP="001667C6">
      <w:pPr>
        <w:pStyle w:val="AAActivities"/>
        <w:numPr>
          <w:ilvl w:val="1"/>
          <w:numId w:val="49"/>
        </w:numPr>
        <w:spacing w:after="80"/>
        <w:ind w:left="993" w:hanging="284"/>
        <w:contextualSpacing w:val="0"/>
        <w:rPr>
          <w:sz w:val="21"/>
          <w:szCs w:val="21"/>
        </w:rPr>
      </w:pPr>
      <w:r>
        <w:rPr>
          <w:sz w:val="21"/>
          <w:szCs w:val="21"/>
        </w:rPr>
        <w:t xml:space="preserve">ILUP process </w:t>
      </w:r>
      <w:r w:rsidR="00FC0B8B">
        <w:rPr>
          <w:sz w:val="21"/>
          <w:szCs w:val="21"/>
        </w:rPr>
        <w:t xml:space="preserve">designed </w:t>
      </w:r>
      <w:r>
        <w:rPr>
          <w:sz w:val="21"/>
          <w:szCs w:val="21"/>
        </w:rPr>
        <w:t>for LMUs</w:t>
      </w:r>
      <w:r w:rsidR="00FC0B8B">
        <w:rPr>
          <w:sz w:val="21"/>
          <w:szCs w:val="21"/>
        </w:rPr>
        <w:t>,</w:t>
      </w:r>
      <w:r>
        <w:rPr>
          <w:sz w:val="21"/>
          <w:szCs w:val="21"/>
        </w:rPr>
        <w:t xml:space="preserve"> </w:t>
      </w:r>
      <w:r w:rsidR="00FC0B8B">
        <w:rPr>
          <w:sz w:val="21"/>
          <w:szCs w:val="21"/>
        </w:rPr>
        <w:t xml:space="preserve">relevant levels of governance identified for engaging with respective stakeholder groups and consuktative mechanisms elaborated. Approximate timeframes should be specified and overall deadline agreed among key stakeholders. It is anticipated that drafting the Integrated Land Use Plan </w:t>
      </w:r>
      <w:r w:rsidR="00A24742">
        <w:rPr>
          <w:sz w:val="21"/>
          <w:szCs w:val="21"/>
        </w:rPr>
        <w:t xml:space="preserve">will </w:t>
      </w:r>
      <w:r w:rsidR="00A24742">
        <w:rPr>
          <w:sz w:val="21"/>
          <w:szCs w:val="21"/>
        </w:rPr>
        <w:lastRenderedPageBreak/>
        <w:t>take six months, including interative workshops involving planners and key stakeholders, followed by a three-month consultation period that culminates in a final draft, which is agreed by month 12 at the latest.</w:t>
      </w:r>
    </w:p>
    <w:p w14:paraId="4CBB6609" w14:textId="405350FD" w:rsidR="00F915A2" w:rsidRPr="00A24742" w:rsidRDefault="00B64E6E" w:rsidP="001667C6">
      <w:pPr>
        <w:pStyle w:val="AAActivities"/>
        <w:numPr>
          <w:ilvl w:val="1"/>
          <w:numId w:val="49"/>
        </w:numPr>
        <w:spacing w:after="80"/>
        <w:ind w:left="993" w:hanging="284"/>
        <w:contextualSpacing w:val="0"/>
        <w:rPr>
          <w:sz w:val="21"/>
          <w:szCs w:val="21"/>
        </w:rPr>
      </w:pPr>
      <w:r>
        <w:rPr>
          <w:sz w:val="21"/>
          <w:szCs w:val="21"/>
        </w:rPr>
        <w:t>The Plans should include a monitoring framework to track stakeholder engagement during their preparation, timeliness of deliverables and feedback on the process from stakeholders in order to feedback lessons learned.</w:t>
      </w:r>
    </w:p>
    <w:p w14:paraId="61783E3E" w14:textId="7C56CE37" w:rsidR="0092738F" w:rsidRPr="00282FF9" w:rsidRDefault="0057674E" w:rsidP="001667C6">
      <w:pPr>
        <w:pStyle w:val="AAActivities"/>
        <w:numPr>
          <w:ilvl w:val="0"/>
          <w:numId w:val="49"/>
        </w:numPr>
        <w:spacing w:before="80" w:after="160"/>
        <w:ind w:left="709" w:hanging="284"/>
        <w:contextualSpacing w:val="0"/>
        <w:rPr>
          <w:rFonts w:cs="Calibri"/>
          <w:b/>
          <w:bCs/>
          <w:sz w:val="21"/>
          <w:szCs w:val="21"/>
        </w:rPr>
      </w:pPr>
      <w:r w:rsidRPr="003309E5">
        <w:rPr>
          <w:rFonts w:cs="Calibri"/>
          <w:b/>
          <w:bCs/>
          <w:sz w:val="21"/>
          <w:szCs w:val="21"/>
        </w:rPr>
        <w:t>Develop a</w:t>
      </w:r>
      <w:r w:rsidR="00835863">
        <w:rPr>
          <w:rFonts w:cs="Calibri"/>
          <w:b/>
          <w:bCs/>
          <w:sz w:val="21"/>
          <w:szCs w:val="21"/>
        </w:rPr>
        <w:t>nd implement a</w:t>
      </w:r>
      <w:r w:rsidRPr="003309E5">
        <w:rPr>
          <w:rFonts w:cs="Calibri"/>
          <w:b/>
          <w:bCs/>
          <w:sz w:val="21"/>
          <w:szCs w:val="21"/>
        </w:rPr>
        <w:t xml:space="preserve"> LDN Communications Strategy and Action Plan</w:t>
      </w:r>
      <w:r w:rsidRPr="003309E5">
        <w:rPr>
          <w:rFonts w:cs="Calibri"/>
          <w:sz w:val="21"/>
          <w:szCs w:val="21"/>
        </w:rPr>
        <w:t xml:space="preserve"> to target LDN awareness </w:t>
      </w:r>
      <w:r w:rsidRPr="00B81D0B">
        <w:rPr>
          <w:rFonts w:cs="Calibri"/>
          <w:sz w:val="21"/>
          <w:szCs w:val="21"/>
        </w:rPr>
        <w:t>raising and capacity development among the different government sectors, private sector, civil society and land user groups. The Strategy will be drafted during project inception, taking into account gender equity and other social inclusion</w:t>
      </w:r>
      <w:r w:rsidRPr="003309E5">
        <w:rPr>
          <w:rFonts w:cs="Calibri"/>
          <w:sz w:val="21"/>
          <w:szCs w:val="21"/>
        </w:rPr>
        <w:t xml:space="preserve"> issues identified in the Gender Analysis (</w:t>
      </w:r>
      <w:r w:rsidRPr="003309E5">
        <w:rPr>
          <w:rFonts w:cs="Calibri"/>
          <w:b/>
          <w:bCs/>
          <w:sz w:val="21"/>
          <w:szCs w:val="21"/>
        </w:rPr>
        <w:t>Section 3b</w:t>
      </w:r>
      <w:r w:rsidRPr="003309E5">
        <w:rPr>
          <w:rFonts w:cs="Calibri"/>
          <w:sz w:val="21"/>
          <w:szCs w:val="21"/>
        </w:rPr>
        <w:t>); and subsequently updated in the light of findings from the Capacity Needs Assessment Survey (</w:t>
      </w:r>
      <w:r w:rsidRPr="003309E5">
        <w:rPr>
          <w:rFonts w:cs="Calibri"/>
          <w:b/>
          <w:bCs/>
          <w:sz w:val="21"/>
          <w:szCs w:val="21"/>
        </w:rPr>
        <w:t>Activity 1.1.1a</w:t>
      </w:r>
      <w:r w:rsidRPr="003309E5">
        <w:rPr>
          <w:rFonts w:cs="Calibri"/>
          <w:sz w:val="21"/>
          <w:szCs w:val="21"/>
        </w:rPr>
        <w:t xml:space="preserve">). The Strategy will identifiy what needs to be communicated (key messages, best practices, skills development, access to resources etc.), to whom (target groups), by what means (newsletter, outreach materials, knowledge products, training modules, events etc.) and implementation timeframes, all of which will be updated annually in the Action Plan. </w:t>
      </w:r>
    </w:p>
    <w:p w14:paraId="7A919E3A" w14:textId="744E894A" w:rsidR="00F822DC" w:rsidRPr="00194716" w:rsidRDefault="00F822DC" w:rsidP="00C1151C">
      <w:pPr>
        <w:pStyle w:val="Heading6"/>
        <w:spacing w:before="160" w:after="160"/>
        <w:ind w:left="709" w:firstLine="0"/>
        <w:rPr>
          <w:rFonts w:ascii="Calibri" w:hAnsi="Calibri" w:cs="Calibri"/>
          <w:b/>
          <w:bCs/>
          <w:sz w:val="21"/>
          <w:szCs w:val="21"/>
        </w:rPr>
      </w:pPr>
      <w:r w:rsidRPr="009F48ED">
        <w:rPr>
          <w:rFonts w:ascii="Calibri" w:hAnsi="Calibri" w:cs="Calibri"/>
          <w:b/>
          <w:bCs/>
          <w:sz w:val="21"/>
          <w:szCs w:val="21"/>
        </w:rPr>
        <w:t>Output 1.1.2</w:t>
      </w:r>
      <w:r w:rsidR="00370D73" w:rsidRPr="009F48ED">
        <w:rPr>
          <w:rFonts w:ascii="Calibri" w:hAnsi="Calibri" w:cs="Calibri"/>
          <w:b/>
          <w:bCs/>
          <w:sz w:val="21"/>
          <w:szCs w:val="21"/>
        </w:rPr>
        <w:tab/>
      </w:r>
      <w:r w:rsidR="00A061D4" w:rsidRPr="009F48ED">
        <w:rPr>
          <w:rFonts w:ascii="Calibri" w:hAnsi="Calibri" w:cs="Calibri"/>
          <w:sz w:val="21"/>
          <w:szCs w:val="21"/>
        </w:rPr>
        <w:t>Policy and regulatory frameworks relevant for land-use planning and management reviewed and revised to incorporate</w:t>
      </w:r>
      <w:r w:rsidR="00A061D4" w:rsidRPr="00A061D4">
        <w:rPr>
          <w:rFonts w:ascii="Calibri" w:hAnsi="Calibri" w:cs="Calibri"/>
          <w:sz w:val="21"/>
          <w:szCs w:val="21"/>
        </w:rPr>
        <w:t xml:space="preserve"> and promote LDN principles and SLM/SFM interventions</w:t>
      </w:r>
    </w:p>
    <w:p w14:paraId="0ADCFA41" w14:textId="37940FF0" w:rsidR="009563B4" w:rsidRPr="008176BC" w:rsidRDefault="00D74A1E" w:rsidP="001667C6">
      <w:pPr>
        <w:pStyle w:val="ParagraphOED"/>
        <w:numPr>
          <w:ilvl w:val="0"/>
          <w:numId w:val="102"/>
        </w:numPr>
        <w:spacing w:after="160"/>
      </w:pPr>
      <w:r>
        <w:t>Output 1.1.2 is focused on identifying and filling the policy and legislative gaps in enabling Angola to pursue an LDN approach to planning and management at a landscape scale, taking into particular account Criteria 3.1 (land tenure), 3.4 (regulations and rules) and 3.5 (policy coherence) of the policy/regulatory dimension of the UNCCD guidance on establishing an enabling environment</w:t>
      </w:r>
      <w:r w:rsidR="00382FE8">
        <w:t xml:space="preserve"> for LDN</w:t>
      </w:r>
      <w:r>
        <w:t xml:space="preserve"> (</w:t>
      </w:r>
      <w:r w:rsidRPr="008176BC">
        <w:rPr>
          <w:u w:val="single"/>
        </w:rPr>
        <w:fldChar w:fldCharType="begin"/>
      </w:r>
      <w:r w:rsidRPr="008176BC">
        <w:rPr>
          <w:u w:val="single"/>
        </w:rPr>
        <w:instrText xml:space="preserve"> REF _Ref41252555 \h  \* MERGEFORMAT </w:instrText>
      </w:r>
      <w:r w:rsidRPr="008176BC">
        <w:rPr>
          <w:u w:val="single"/>
        </w:rPr>
      </w:r>
      <w:r w:rsidRPr="008176BC">
        <w:rPr>
          <w:u w:val="single"/>
        </w:rPr>
        <w:fldChar w:fldCharType="separate"/>
      </w:r>
      <w:r w:rsidR="00A64193" w:rsidRPr="00A64193">
        <w:rPr>
          <w:u w:val="single"/>
        </w:rPr>
        <w:t xml:space="preserve">Table </w:t>
      </w:r>
      <w:r w:rsidR="00A64193" w:rsidRPr="00A64193">
        <w:rPr>
          <w:noProof/>
          <w:u w:val="single"/>
        </w:rPr>
        <w:t>2</w:t>
      </w:r>
      <w:r w:rsidRPr="008176BC">
        <w:rPr>
          <w:u w:val="single"/>
        </w:rPr>
        <w:fldChar w:fldCharType="end"/>
      </w:r>
      <w:r>
        <w:rPr>
          <w:u w:val="single"/>
        </w:rPr>
        <w:t>).</w:t>
      </w:r>
    </w:p>
    <w:p w14:paraId="65D22348" w14:textId="3022F73A" w:rsidR="48580380" w:rsidRDefault="48580380" w:rsidP="48580380"/>
    <w:p w14:paraId="1ADF77D8" w14:textId="4413A720" w:rsidR="00D74A1E" w:rsidRPr="003309E5" w:rsidRDefault="00D74A1E" w:rsidP="001667C6">
      <w:pPr>
        <w:pStyle w:val="ParagraphOED"/>
        <w:numPr>
          <w:ilvl w:val="0"/>
          <w:numId w:val="102"/>
        </w:numPr>
        <w:spacing w:after="80"/>
        <w:rPr>
          <w:b/>
          <w:bCs/>
        </w:rPr>
      </w:pPr>
      <w:bookmarkStart w:id="120" w:name="_Ref40999564"/>
      <w:r w:rsidRPr="1E65A5F7">
        <w:rPr>
          <w:b/>
          <w:bCs/>
        </w:rPr>
        <w:t xml:space="preserve">Indicative Activities under Output 1.1.2 </w:t>
      </w:r>
    </w:p>
    <w:p w14:paraId="018F4268" w14:textId="1DB2DD93" w:rsidR="00D61E25" w:rsidRPr="003309E5" w:rsidRDefault="006078A1" w:rsidP="001667C6">
      <w:pPr>
        <w:pStyle w:val="AAActivities"/>
        <w:numPr>
          <w:ilvl w:val="0"/>
          <w:numId w:val="99"/>
        </w:numPr>
        <w:tabs>
          <w:tab w:val="left" w:pos="709"/>
        </w:tabs>
        <w:spacing w:before="80" w:after="80"/>
        <w:ind w:left="709" w:hanging="284"/>
        <w:contextualSpacing w:val="0"/>
        <w:jc w:val="left"/>
        <w:textAlignment w:val="center"/>
        <w:rPr>
          <w:b/>
          <w:bCs/>
          <w:sz w:val="21"/>
          <w:szCs w:val="21"/>
        </w:rPr>
      </w:pPr>
      <w:r w:rsidRPr="619CA689">
        <w:rPr>
          <w:b/>
          <w:bCs/>
          <w:sz w:val="21"/>
          <w:szCs w:val="21"/>
        </w:rPr>
        <w:t>Establish a</w:t>
      </w:r>
      <w:r w:rsidR="005502C6" w:rsidRPr="619CA689">
        <w:rPr>
          <w:b/>
          <w:bCs/>
          <w:sz w:val="21"/>
          <w:szCs w:val="21"/>
        </w:rPr>
        <w:t xml:space="preserve">n </w:t>
      </w:r>
      <w:r w:rsidR="005502C6" w:rsidRPr="619CA689">
        <w:rPr>
          <w:b/>
          <w:bCs/>
          <w:i/>
          <w:iCs/>
          <w:sz w:val="21"/>
          <w:szCs w:val="21"/>
        </w:rPr>
        <w:t>ad hoc</w:t>
      </w:r>
      <w:r w:rsidRPr="619CA689">
        <w:rPr>
          <w:b/>
          <w:bCs/>
          <w:sz w:val="21"/>
          <w:szCs w:val="21"/>
        </w:rPr>
        <w:t xml:space="preserve"> </w:t>
      </w:r>
      <w:r w:rsidR="008B1991" w:rsidRPr="619CA689">
        <w:rPr>
          <w:b/>
          <w:bCs/>
          <w:sz w:val="21"/>
          <w:szCs w:val="21"/>
        </w:rPr>
        <w:t>l</w:t>
      </w:r>
      <w:r w:rsidRPr="619CA689">
        <w:rPr>
          <w:b/>
          <w:bCs/>
          <w:sz w:val="21"/>
          <w:szCs w:val="21"/>
        </w:rPr>
        <w:t xml:space="preserve">egal Task Force to oversee delivery of policy and regulatory changes in </w:t>
      </w:r>
      <w:r w:rsidR="001B248C" w:rsidRPr="619CA689">
        <w:rPr>
          <w:b/>
          <w:bCs/>
          <w:sz w:val="21"/>
          <w:szCs w:val="21"/>
        </w:rPr>
        <w:t>land-use plan</w:t>
      </w:r>
      <w:r w:rsidRPr="619CA689">
        <w:rPr>
          <w:b/>
          <w:bCs/>
          <w:sz w:val="21"/>
          <w:szCs w:val="21"/>
        </w:rPr>
        <w:t>ning and management</w:t>
      </w:r>
      <w:r w:rsidR="005502C6" w:rsidRPr="619CA689">
        <w:rPr>
          <w:b/>
          <w:bCs/>
          <w:sz w:val="21"/>
          <w:szCs w:val="21"/>
        </w:rPr>
        <w:t>,</w:t>
      </w:r>
      <w:r w:rsidRPr="619CA689">
        <w:rPr>
          <w:b/>
          <w:bCs/>
          <w:sz w:val="21"/>
          <w:szCs w:val="21"/>
        </w:rPr>
        <w:t xml:space="preserve"> </w:t>
      </w:r>
      <w:r w:rsidRPr="619CA689">
        <w:rPr>
          <w:sz w:val="21"/>
          <w:szCs w:val="21"/>
        </w:rPr>
        <w:t>based on LDN principles and mainstreaming SLM/SFM</w:t>
      </w:r>
      <w:r w:rsidR="005502C6" w:rsidRPr="619CA689">
        <w:rPr>
          <w:sz w:val="21"/>
          <w:szCs w:val="21"/>
        </w:rPr>
        <w:t xml:space="preserve"> a</w:t>
      </w:r>
      <w:r w:rsidR="003063D0" w:rsidRPr="619CA689">
        <w:rPr>
          <w:sz w:val="21"/>
          <w:szCs w:val="21"/>
        </w:rPr>
        <w:t>cross</w:t>
      </w:r>
      <w:r w:rsidR="005502C6" w:rsidRPr="619CA689">
        <w:rPr>
          <w:sz w:val="21"/>
          <w:szCs w:val="21"/>
        </w:rPr>
        <w:t xml:space="preserve"> landscape</w:t>
      </w:r>
      <w:r w:rsidR="003063D0" w:rsidRPr="619CA689">
        <w:rPr>
          <w:sz w:val="21"/>
          <w:szCs w:val="21"/>
        </w:rPr>
        <w:t>s</w:t>
      </w:r>
      <w:r w:rsidR="005502C6" w:rsidRPr="619CA689">
        <w:rPr>
          <w:sz w:val="21"/>
          <w:szCs w:val="21"/>
        </w:rPr>
        <w:t xml:space="preserve"> </w:t>
      </w:r>
      <w:r w:rsidR="003063D0" w:rsidRPr="619CA689">
        <w:rPr>
          <w:sz w:val="21"/>
          <w:szCs w:val="21"/>
        </w:rPr>
        <w:t xml:space="preserve">at </w:t>
      </w:r>
      <w:r w:rsidR="005502C6" w:rsidRPr="619CA689">
        <w:rPr>
          <w:sz w:val="21"/>
          <w:szCs w:val="21"/>
        </w:rPr>
        <w:t>sub-basin scales.</w:t>
      </w:r>
      <w:r w:rsidRPr="619CA689">
        <w:rPr>
          <w:sz w:val="21"/>
          <w:szCs w:val="21"/>
        </w:rPr>
        <w:t xml:space="preserve"> </w:t>
      </w:r>
      <w:r w:rsidR="008839E7" w:rsidRPr="619CA689">
        <w:rPr>
          <w:sz w:val="21"/>
          <w:szCs w:val="21"/>
        </w:rPr>
        <w:t>Th</w:t>
      </w:r>
      <w:r w:rsidR="008B7EAF" w:rsidRPr="619CA689">
        <w:rPr>
          <w:sz w:val="21"/>
          <w:szCs w:val="21"/>
        </w:rPr>
        <w:t>is LDN</w:t>
      </w:r>
      <w:r w:rsidR="008839E7" w:rsidRPr="619CA689">
        <w:rPr>
          <w:sz w:val="21"/>
          <w:szCs w:val="21"/>
        </w:rPr>
        <w:t xml:space="preserve"> </w:t>
      </w:r>
      <w:r w:rsidR="00D61E25" w:rsidRPr="619CA689">
        <w:rPr>
          <w:sz w:val="21"/>
          <w:szCs w:val="21"/>
        </w:rPr>
        <w:t xml:space="preserve">Task </w:t>
      </w:r>
      <w:r w:rsidR="00D61E25" w:rsidRPr="619CA689">
        <w:rPr>
          <w:rFonts w:cs="Calibri"/>
          <w:color w:val="000000" w:themeColor="text1"/>
          <w:sz w:val="21"/>
          <w:szCs w:val="21"/>
        </w:rPr>
        <w:t>Force</w:t>
      </w:r>
      <w:r w:rsidR="00F03F39" w:rsidRPr="619CA689">
        <w:rPr>
          <w:rFonts w:cs="Calibri"/>
          <w:color w:val="000000" w:themeColor="text1"/>
          <w:sz w:val="21"/>
          <w:szCs w:val="21"/>
        </w:rPr>
        <w:t xml:space="preserve"> </w:t>
      </w:r>
      <w:r w:rsidR="00B037BD" w:rsidRPr="619CA689">
        <w:rPr>
          <w:rFonts w:cs="Calibri"/>
          <w:color w:val="000000" w:themeColor="text1"/>
          <w:sz w:val="21"/>
          <w:szCs w:val="21"/>
        </w:rPr>
        <w:t xml:space="preserve">will be constituted </w:t>
      </w:r>
      <w:r w:rsidR="00397F6A" w:rsidRPr="619CA689">
        <w:rPr>
          <w:rFonts w:cs="Calibri"/>
          <w:color w:val="000000" w:themeColor="text1"/>
          <w:sz w:val="21"/>
          <w:szCs w:val="21"/>
        </w:rPr>
        <w:t>by in-house legal services of M</w:t>
      </w:r>
      <w:r w:rsidR="73F8FAE7" w:rsidRPr="619CA689">
        <w:rPr>
          <w:rFonts w:cs="Calibri"/>
          <w:color w:val="000000" w:themeColor="text1"/>
          <w:sz w:val="21"/>
          <w:szCs w:val="21"/>
        </w:rPr>
        <w:t>CTA</w:t>
      </w:r>
      <w:r w:rsidR="00397F6A" w:rsidRPr="619CA689">
        <w:rPr>
          <w:rFonts w:cs="Calibri"/>
          <w:color w:val="000000" w:themeColor="text1"/>
          <w:sz w:val="21"/>
          <w:szCs w:val="21"/>
        </w:rPr>
        <w:t xml:space="preserve"> , </w:t>
      </w:r>
      <w:r w:rsidR="00397F6A" w:rsidRPr="6093EE92">
        <w:rPr>
          <w:rFonts w:cs="Calibri"/>
          <w:color w:val="000000" w:themeColor="text1"/>
          <w:sz w:val="21"/>
          <w:szCs w:val="21"/>
        </w:rPr>
        <w:t>MINAGRI</w:t>
      </w:r>
      <w:r w:rsidR="4655607C" w:rsidRPr="6093EE92">
        <w:rPr>
          <w:rFonts w:cs="Calibri"/>
          <w:color w:val="000000" w:themeColor="text1"/>
          <w:sz w:val="21"/>
          <w:szCs w:val="21"/>
        </w:rPr>
        <w:t>P</w:t>
      </w:r>
      <w:r w:rsidR="00397F6A" w:rsidRPr="619CA689">
        <w:rPr>
          <w:rFonts w:cs="Calibri"/>
          <w:color w:val="000000" w:themeColor="text1"/>
          <w:sz w:val="21"/>
          <w:szCs w:val="21"/>
        </w:rPr>
        <w:t xml:space="preserve"> and MINEA</w:t>
      </w:r>
      <w:r w:rsidR="003309E5" w:rsidRPr="619CA689">
        <w:rPr>
          <w:rFonts w:cs="Calibri"/>
          <w:color w:val="000000" w:themeColor="text1"/>
          <w:sz w:val="21"/>
          <w:szCs w:val="21"/>
        </w:rPr>
        <w:t xml:space="preserve">; and </w:t>
      </w:r>
      <w:r w:rsidR="008839E7" w:rsidRPr="619CA689">
        <w:rPr>
          <w:rFonts w:cs="Calibri"/>
          <w:color w:val="000000" w:themeColor="text1"/>
          <w:sz w:val="21"/>
          <w:szCs w:val="21"/>
        </w:rPr>
        <w:t xml:space="preserve">members will </w:t>
      </w:r>
      <w:r w:rsidR="003309E5" w:rsidRPr="619CA689">
        <w:rPr>
          <w:rFonts w:cs="Calibri"/>
          <w:color w:val="000000" w:themeColor="text1"/>
          <w:sz w:val="21"/>
          <w:szCs w:val="21"/>
        </w:rPr>
        <w:t>receive training in LDN</w:t>
      </w:r>
      <w:r w:rsidR="008839E7" w:rsidRPr="619CA689">
        <w:rPr>
          <w:rFonts w:cs="Calibri"/>
          <w:color w:val="000000" w:themeColor="text1"/>
          <w:sz w:val="21"/>
          <w:szCs w:val="21"/>
        </w:rPr>
        <w:t xml:space="preserve"> and the integrated landscape management approach</w:t>
      </w:r>
      <w:r w:rsidR="002A214E" w:rsidRPr="619CA689">
        <w:rPr>
          <w:rFonts w:cs="Calibri"/>
          <w:color w:val="000000" w:themeColor="text1"/>
          <w:sz w:val="21"/>
          <w:szCs w:val="21"/>
        </w:rPr>
        <w:t xml:space="preserve"> (</w:t>
      </w:r>
      <w:r w:rsidR="002A214E" w:rsidRPr="619CA689">
        <w:rPr>
          <w:rFonts w:cs="Calibri"/>
          <w:b/>
          <w:bCs/>
          <w:color w:val="000000" w:themeColor="text1"/>
          <w:sz w:val="21"/>
          <w:szCs w:val="21"/>
        </w:rPr>
        <w:t>Activity 2.1.3</w:t>
      </w:r>
      <w:r w:rsidR="002A214E" w:rsidRPr="619CA689">
        <w:rPr>
          <w:rFonts w:cs="Calibri"/>
          <w:color w:val="000000" w:themeColor="text1"/>
          <w:sz w:val="21"/>
          <w:szCs w:val="21"/>
        </w:rPr>
        <w:t>).</w:t>
      </w:r>
      <w:r w:rsidR="00B037BD" w:rsidRPr="619CA689">
        <w:rPr>
          <w:rFonts w:cs="Calibri"/>
          <w:color w:val="000000" w:themeColor="text1"/>
          <w:sz w:val="21"/>
          <w:szCs w:val="21"/>
        </w:rPr>
        <w:t xml:space="preserve"> </w:t>
      </w:r>
      <w:r w:rsidR="008839E7" w:rsidRPr="619CA689">
        <w:rPr>
          <w:rFonts w:cs="Calibri"/>
          <w:color w:val="000000" w:themeColor="text1"/>
          <w:sz w:val="21"/>
          <w:szCs w:val="21"/>
        </w:rPr>
        <w:t xml:space="preserve">It will </w:t>
      </w:r>
      <w:r w:rsidR="00B037BD" w:rsidRPr="619CA689">
        <w:rPr>
          <w:rFonts w:cs="Calibri"/>
          <w:color w:val="000000" w:themeColor="text1"/>
          <w:sz w:val="21"/>
          <w:szCs w:val="21"/>
        </w:rPr>
        <w:t>advise the PSC</w:t>
      </w:r>
      <w:r w:rsidR="00397F6A" w:rsidRPr="619CA689">
        <w:rPr>
          <w:rFonts w:cs="Calibri"/>
          <w:color w:val="000000" w:themeColor="text1"/>
          <w:sz w:val="21"/>
          <w:szCs w:val="21"/>
        </w:rPr>
        <w:t xml:space="preserve"> and </w:t>
      </w:r>
      <w:r w:rsidR="00B037BD" w:rsidRPr="619CA689">
        <w:rPr>
          <w:rFonts w:cs="Calibri"/>
          <w:color w:val="000000" w:themeColor="text1"/>
          <w:sz w:val="21"/>
          <w:szCs w:val="21"/>
        </w:rPr>
        <w:t xml:space="preserve">be </w:t>
      </w:r>
      <w:r w:rsidR="00652117" w:rsidRPr="619CA689">
        <w:rPr>
          <w:rFonts w:cs="Calibri"/>
          <w:color w:val="000000" w:themeColor="text1"/>
          <w:sz w:val="21"/>
          <w:szCs w:val="21"/>
        </w:rPr>
        <w:t>serviced</w:t>
      </w:r>
      <w:r w:rsidR="00B037BD" w:rsidRPr="619CA689">
        <w:rPr>
          <w:rFonts w:cs="Calibri"/>
          <w:color w:val="000000" w:themeColor="text1"/>
          <w:sz w:val="21"/>
          <w:szCs w:val="21"/>
        </w:rPr>
        <w:t xml:space="preserve"> by one or more consultants</w:t>
      </w:r>
      <w:r w:rsidR="008839E7" w:rsidRPr="619CA689">
        <w:rPr>
          <w:rFonts w:cs="Calibri"/>
          <w:color w:val="000000" w:themeColor="text1"/>
          <w:sz w:val="21"/>
          <w:szCs w:val="21"/>
        </w:rPr>
        <w:t>,</w:t>
      </w:r>
      <w:r w:rsidR="00B037BD" w:rsidRPr="619CA689">
        <w:rPr>
          <w:rFonts w:cs="Calibri"/>
          <w:color w:val="000000" w:themeColor="text1"/>
          <w:sz w:val="21"/>
          <w:szCs w:val="21"/>
        </w:rPr>
        <w:t xml:space="preserve"> whose </w:t>
      </w:r>
      <w:r w:rsidR="008839E7" w:rsidRPr="619CA689">
        <w:rPr>
          <w:rFonts w:cs="Calibri"/>
          <w:color w:val="000000" w:themeColor="text1"/>
          <w:sz w:val="21"/>
          <w:szCs w:val="21"/>
        </w:rPr>
        <w:t>will report to the members</w:t>
      </w:r>
      <w:r w:rsidR="00652117" w:rsidRPr="619CA689">
        <w:rPr>
          <w:rFonts w:cs="Calibri"/>
          <w:color w:val="000000" w:themeColor="text1"/>
          <w:sz w:val="21"/>
          <w:szCs w:val="21"/>
        </w:rPr>
        <w:t>.</w:t>
      </w:r>
    </w:p>
    <w:p w14:paraId="0A054DFF" w14:textId="59E80D04" w:rsidR="00D74A1E" w:rsidRPr="008839E7" w:rsidRDefault="00AF45D2" w:rsidP="001667C6">
      <w:pPr>
        <w:pStyle w:val="AAActivities"/>
        <w:numPr>
          <w:ilvl w:val="0"/>
          <w:numId w:val="99"/>
        </w:numPr>
        <w:tabs>
          <w:tab w:val="left" w:pos="709"/>
        </w:tabs>
        <w:spacing w:after="80"/>
        <w:ind w:left="709" w:hanging="284"/>
        <w:rPr>
          <w:rFonts w:cs="Calibri"/>
          <w:sz w:val="21"/>
          <w:szCs w:val="21"/>
        </w:rPr>
      </w:pPr>
      <w:r w:rsidRPr="003309E5">
        <w:rPr>
          <w:b/>
          <w:bCs/>
          <w:sz w:val="21"/>
          <w:szCs w:val="21"/>
        </w:rPr>
        <w:t xml:space="preserve">Scope the </w:t>
      </w:r>
      <w:r w:rsidR="000034F7">
        <w:rPr>
          <w:b/>
          <w:bCs/>
          <w:sz w:val="21"/>
          <w:szCs w:val="21"/>
        </w:rPr>
        <w:t>P</w:t>
      </w:r>
      <w:r w:rsidRPr="003309E5">
        <w:rPr>
          <w:b/>
          <w:bCs/>
          <w:sz w:val="21"/>
          <w:szCs w:val="21"/>
        </w:rPr>
        <w:t>olicy-</w:t>
      </w:r>
      <w:r w:rsidR="000034F7">
        <w:rPr>
          <w:b/>
          <w:bCs/>
          <w:sz w:val="21"/>
          <w:szCs w:val="21"/>
        </w:rPr>
        <w:t>R</w:t>
      </w:r>
      <w:r w:rsidRPr="003309E5">
        <w:rPr>
          <w:b/>
          <w:bCs/>
          <w:sz w:val="21"/>
          <w:szCs w:val="21"/>
        </w:rPr>
        <w:t xml:space="preserve">egulatory </w:t>
      </w:r>
      <w:r w:rsidR="000034F7">
        <w:rPr>
          <w:b/>
          <w:bCs/>
          <w:sz w:val="21"/>
          <w:szCs w:val="21"/>
        </w:rPr>
        <w:t>R</w:t>
      </w:r>
      <w:r w:rsidRPr="003309E5">
        <w:rPr>
          <w:b/>
          <w:bCs/>
          <w:sz w:val="21"/>
          <w:szCs w:val="21"/>
        </w:rPr>
        <w:t xml:space="preserve">eview </w:t>
      </w:r>
      <w:r w:rsidR="006B45B7" w:rsidRPr="003309E5">
        <w:rPr>
          <w:b/>
          <w:bCs/>
          <w:sz w:val="21"/>
          <w:szCs w:val="21"/>
        </w:rPr>
        <w:t xml:space="preserve">and develop a ToR </w:t>
      </w:r>
      <w:r w:rsidR="006B45B7" w:rsidRPr="003309E5">
        <w:rPr>
          <w:sz w:val="21"/>
          <w:szCs w:val="21"/>
        </w:rPr>
        <w:t>during project onset</w:t>
      </w:r>
      <w:r w:rsidR="00244D72">
        <w:rPr>
          <w:sz w:val="21"/>
          <w:szCs w:val="21"/>
        </w:rPr>
        <w:t>, all of which</w:t>
      </w:r>
      <w:r w:rsidR="006B45B7" w:rsidRPr="003309E5">
        <w:rPr>
          <w:sz w:val="21"/>
          <w:szCs w:val="21"/>
        </w:rPr>
        <w:t xml:space="preserve"> can be reviewed by key stakeholders participating in the project’s Inception Workshop. While the geographic scope is national, provisions for transboundary river basins will need to be taken in account and this is where the</w:t>
      </w:r>
      <w:r w:rsidR="00D562A5">
        <w:rPr>
          <w:sz w:val="21"/>
          <w:szCs w:val="21"/>
        </w:rPr>
        <w:t xml:space="preserve"> Regional Exchange</w:t>
      </w:r>
      <w:r w:rsidR="006B45B7" w:rsidRPr="003309E5">
        <w:rPr>
          <w:sz w:val="21"/>
          <w:szCs w:val="21"/>
        </w:rPr>
        <w:t xml:space="preserve"> </w:t>
      </w:r>
      <w:r w:rsidR="00D562A5">
        <w:rPr>
          <w:sz w:val="21"/>
          <w:szCs w:val="21"/>
        </w:rPr>
        <w:t>M</w:t>
      </w:r>
      <w:r w:rsidR="006B45B7" w:rsidRPr="003309E5">
        <w:rPr>
          <w:sz w:val="21"/>
          <w:szCs w:val="21"/>
        </w:rPr>
        <w:t>echanism</w:t>
      </w:r>
      <w:r w:rsidR="00D562A5">
        <w:rPr>
          <w:sz w:val="21"/>
          <w:szCs w:val="21"/>
        </w:rPr>
        <w:t xml:space="preserve"> (REM)</w:t>
      </w:r>
      <w:r w:rsidR="006B45B7" w:rsidRPr="003309E5">
        <w:rPr>
          <w:sz w:val="21"/>
          <w:szCs w:val="21"/>
        </w:rPr>
        <w:t xml:space="preserve"> of the DSL IP </w:t>
      </w:r>
      <w:r w:rsidR="00D562A5">
        <w:rPr>
          <w:sz w:val="21"/>
          <w:szCs w:val="21"/>
        </w:rPr>
        <w:t>might have a role</w:t>
      </w:r>
      <w:r w:rsidR="006B45B7" w:rsidRPr="003309E5">
        <w:rPr>
          <w:sz w:val="21"/>
          <w:szCs w:val="21"/>
        </w:rPr>
        <w:t xml:space="preserve">. The review should be drafted within 12 months, subjected to a three month consultation period with key national stakeholders as well those engaged in planning SLM/SFM in the target landscapes using the participatory structures and processes established under </w:t>
      </w:r>
      <w:r w:rsidR="006B45B7" w:rsidRPr="003309E5">
        <w:rPr>
          <w:b/>
          <w:bCs/>
          <w:sz w:val="21"/>
          <w:szCs w:val="21"/>
        </w:rPr>
        <w:t>Output 1.1.1</w:t>
      </w:r>
      <w:r w:rsidR="006B45B7" w:rsidRPr="003309E5">
        <w:rPr>
          <w:sz w:val="21"/>
          <w:szCs w:val="21"/>
        </w:rPr>
        <w:t>, and then completed within a further three months. The following topics are proposed for inclusion in the review:</w:t>
      </w:r>
    </w:p>
    <w:p w14:paraId="411E3A4D" w14:textId="2A57C305" w:rsidR="00382064" w:rsidRDefault="00DD73F1" w:rsidP="001667C6">
      <w:pPr>
        <w:pStyle w:val="ParagraphOED"/>
        <w:numPr>
          <w:ilvl w:val="0"/>
          <w:numId w:val="54"/>
        </w:numPr>
        <w:tabs>
          <w:tab w:val="left" w:pos="993"/>
        </w:tabs>
        <w:spacing w:after="80"/>
        <w:ind w:left="993" w:hanging="284"/>
      </w:pPr>
      <w:r w:rsidRPr="003309E5">
        <w:rPr>
          <w:b/>
          <w:bCs/>
          <w:szCs w:val="21"/>
        </w:rPr>
        <w:t>Land tenure</w:t>
      </w:r>
      <w:r w:rsidR="001B4A89" w:rsidRPr="003309E5">
        <w:rPr>
          <w:b/>
          <w:bCs/>
          <w:szCs w:val="21"/>
        </w:rPr>
        <w:t>:</w:t>
      </w:r>
      <w:r w:rsidRPr="003309E5">
        <w:rPr>
          <w:szCs w:val="21"/>
        </w:rPr>
        <w:t xml:space="preserve"> </w:t>
      </w:r>
      <w:r w:rsidR="006B45B7" w:rsidRPr="003309E5">
        <w:rPr>
          <w:szCs w:val="21"/>
        </w:rPr>
        <w:t>policy and practice are</w:t>
      </w:r>
      <w:r w:rsidRPr="003309E5">
        <w:rPr>
          <w:szCs w:val="21"/>
        </w:rPr>
        <w:t xml:space="preserve"> identified as </w:t>
      </w:r>
      <w:r w:rsidR="006B45B7" w:rsidRPr="003309E5">
        <w:rPr>
          <w:szCs w:val="21"/>
        </w:rPr>
        <w:t>a major</w:t>
      </w:r>
      <w:r w:rsidRPr="003309E5">
        <w:rPr>
          <w:szCs w:val="21"/>
        </w:rPr>
        <w:t xml:space="preserve"> barrier </w:t>
      </w:r>
      <w:r w:rsidR="006B45B7" w:rsidRPr="003309E5">
        <w:rPr>
          <w:szCs w:val="21"/>
        </w:rPr>
        <w:t>to achieving</w:t>
      </w:r>
      <w:r w:rsidRPr="003309E5">
        <w:rPr>
          <w:szCs w:val="21"/>
        </w:rPr>
        <w:t xml:space="preserve"> LDN</w:t>
      </w:r>
      <w:r w:rsidR="00F5095C" w:rsidRPr="003309E5">
        <w:rPr>
          <w:szCs w:val="21"/>
        </w:rPr>
        <w:t>, which requires</w:t>
      </w:r>
      <w:r w:rsidRPr="003309E5">
        <w:rPr>
          <w:szCs w:val="21"/>
        </w:rPr>
        <w:t xml:space="preserve"> a more rational approach to </w:t>
      </w:r>
      <w:r w:rsidR="001B248C">
        <w:rPr>
          <w:szCs w:val="21"/>
        </w:rPr>
        <w:t>land-use man</w:t>
      </w:r>
      <w:r w:rsidRPr="003309E5">
        <w:rPr>
          <w:szCs w:val="21"/>
        </w:rPr>
        <w:t>agement</w:t>
      </w:r>
      <w:r w:rsidR="00382064">
        <w:rPr>
          <w:szCs w:val="21"/>
        </w:rPr>
        <w:t>.</w:t>
      </w:r>
      <w:r w:rsidR="0035315A">
        <w:rPr>
          <w:szCs w:val="21"/>
        </w:rPr>
        <w:t xml:space="preserve"> </w:t>
      </w:r>
      <w:r w:rsidR="00382064">
        <w:t>T</w:t>
      </w:r>
      <w:r w:rsidR="00382064" w:rsidRPr="00CE1EA7">
        <w:t xml:space="preserve">hree major problems </w:t>
      </w:r>
      <w:r w:rsidR="00382064">
        <w:t>faced by</w:t>
      </w:r>
      <w:r w:rsidR="00382064" w:rsidRPr="00CE1EA7">
        <w:t xml:space="preserve"> communities asserting </w:t>
      </w:r>
      <w:r w:rsidR="00382064">
        <w:t xml:space="preserve">their </w:t>
      </w:r>
      <w:r w:rsidR="00382064" w:rsidRPr="00CE1EA7">
        <w:t xml:space="preserve">common tenure rights </w:t>
      </w:r>
      <w:r w:rsidR="00F5165C">
        <w:t>to</w:t>
      </w:r>
      <w:r w:rsidR="00382064" w:rsidRPr="00CE1EA7">
        <w:t xml:space="preserve"> land that they traditionally use</w:t>
      </w:r>
      <w:r w:rsidR="00382064">
        <w:t xml:space="preserve"> are</w:t>
      </w:r>
      <w:r w:rsidR="00382064" w:rsidRPr="00CE1EA7">
        <w:t>:</w:t>
      </w:r>
    </w:p>
    <w:p w14:paraId="3FAF6747" w14:textId="32EE4AFC" w:rsidR="00382064" w:rsidRPr="00F879C2" w:rsidRDefault="00F879C2" w:rsidP="001667C6">
      <w:pPr>
        <w:pStyle w:val="ParagraphOED"/>
        <w:numPr>
          <w:ilvl w:val="0"/>
          <w:numId w:val="53"/>
        </w:numPr>
        <w:spacing w:after="80"/>
        <w:ind w:left="1560" w:hanging="142"/>
        <w:rPr>
          <w:rFonts w:asciiTheme="minorHAnsi" w:eastAsia="Times New Roman" w:hAnsiTheme="minorHAnsi" w:cstheme="minorHAnsi"/>
          <w:sz w:val="19"/>
          <w:szCs w:val="19"/>
          <w:shd w:val="clear" w:color="auto" w:fill="auto"/>
        </w:rPr>
      </w:pPr>
      <w:r w:rsidRPr="00F879C2">
        <w:rPr>
          <w:rFonts w:asciiTheme="minorHAnsi" w:eastAsia="Times New Roman" w:hAnsiTheme="minorHAnsi" w:cstheme="minorHAnsi"/>
          <w:sz w:val="19"/>
          <w:szCs w:val="19"/>
          <w:shd w:val="clear" w:color="auto" w:fill="auto"/>
        </w:rPr>
        <w:t>L</w:t>
      </w:r>
      <w:r w:rsidR="00382064" w:rsidRPr="00F879C2">
        <w:rPr>
          <w:rFonts w:asciiTheme="minorHAnsi" w:eastAsia="Times New Roman" w:hAnsiTheme="minorHAnsi" w:cstheme="minorHAnsi"/>
          <w:sz w:val="19"/>
          <w:szCs w:val="19"/>
          <w:shd w:val="clear" w:color="auto" w:fill="auto"/>
        </w:rPr>
        <w:t>ack of institutional capacity on the part of State agencies to manage the land titles registration process;</w:t>
      </w:r>
    </w:p>
    <w:p w14:paraId="47ED4F66" w14:textId="1F085054" w:rsidR="00382064" w:rsidRPr="00F879C2" w:rsidRDefault="00F879C2" w:rsidP="001667C6">
      <w:pPr>
        <w:pStyle w:val="ParagraphOED"/>
        <w:numPr>
          <w:ilvl w:val="0"/>
          <w:numId w:val="53"/>
        </w:numPr>
        <w:spacing w:after="80"/>
        <w:ind w:left="1560" w:hanging="142"/>
        <w:rPr>
          <w:rFonts w:asciiTheme="minorHAnsi" w:eastAsiaTheme="minorEastAsia" w:hAnsiTheme="minorHAnsi" w:cstheme="minorHAnsi"/>
          <w:sz w:val="19"/>
          <w:szCs w:val="19"/>
          <w:shd w:val="clear" w:color="auto" w:fill="auto"/>
        </w:rPr>
      </w:pPr>
      <w:r w:rsidRPr="00F879C2">
        <w:rPr>
          <w:rFonts w:asciiTheme="minorHAnsi" w:hAnsiTheme="minorHAnsi" w:cstheme="minorHAnsi"/>
          <w:sz w:val="19"/>
          <w:szCs w:val="19"/>
        </w:rPr>
        <w:t>N</w:t>
      </w:r>
      <w:r w:rsidR="2FFFBA2F" w:rsidRPr="00F879C2">
        <w:rPr>
          <w:rFonts w:asciiTheme="minorHAnsi" w:hAnsiTheme="minorHAnsi" w:cstheme="minorHAnsi"/>
          <w:sz w:val="19"/>
          <w:szCs w:val="19"/>
        </w:rPr>
        <w:t>eed of legal regulatory framework improvem</w:t>
      </w:r>
      <w:r w:rsidR="00521F9E" w:rsidRPr="00F879C2">
        <w:rPr>
          <w:rFonts w:asciiTheme="minorHAnsi" w:hAnsiTheme="minorHAnsi" w:cstheme="minorHAnsi"/>
          <w:sz w:val="19"/>
          <w:szCs w:val="19"/>
        </w:rPr>
        <w:t>e</w:t>
      </w:r>
      <w:r w:rsidR="2FFFBA2F" w:rsidRPr="00F879C2">
        <w:rPr>
          <w:rFonts w:asciiTheme="minorHAnsi" w:hAnsiTheme="minorHAnsi" w:cstheme="minorHAnsi"/>
          <w:sz w:val="19"/>
          <w:szCs w:val="19"/>
        </w:rPr>
        <w:t>nts regarding community land delimitation procedures</w:t>
      </w:r>
      <w:r w:rsidR="00382064" w:rsidRPr="00F879C2">
        <w:rPr>
          <w:rFonts w:asciiTheme="minorHAnsi" w:eastAsia="Times New Roman" w:hAnsiTheme="minorHAnsi" w:cstheme="minorHAnsi"/>
          <w:sz w:val="19"/>
          <w:szCs w:val="19"/>
          <w:shd w:val="clear" w:color="auto" w:fill="auto"/>
        </w:rPr>
        <w:t xml:space="preserve">; and </w:t>
      </w:r>
    </w:p>
    <w:p w14:paraId="55A94DE8" w14:textId="68F1075A" w:rsidR="00DD73F1" w:rsidRPr="00F879C2" w:rsidRDefault="00F879C2" w:rsidP="001667C6">
      <w:pPr>
        <w:pStyle w:val="ParagraphOED"/>
        <w:numPr>
          <w:ilvl w:val="0"/>
          <w:numId w:val="53"/>
        </w:numPr>
        <w:spacing w:after="80"/>
        <w:ind w:left="1560" w:hanging="142"/>
        <w:rPr>
          <w:rFonts w:asciiTheme="minorHAnsi" w:eastAsia="Times New Roman" w:hAnsiTheme="minorHAnsi" w:cstheme="minorHAnsi"/>
          <w:sz w:val="19"/>
          <w:szCs w:val="19"/>
          <w:shd w:val="clear" w:color="auto" w:fill="auto"/>
        </w:rPr>
      </w:pPr>
      <w:r w:rsidRPr="00F879C2">
        <w:rPr>
          <w:rFonts w:asciiTheme="minorHAnsi" w:hAnsiTheme="minorHAnsi" w:cstheme="minorHAnsi"/>
          <w:sz w:val="19"/>
          <w:szCs w:val="19"/>
          <w:shd w:val="clear" w:color="auto" w:fill="auto"/>
        </w:rPr>
        <w:t>T</w:t>
      </w:r>
      <w:r w:rsidR="00382064" w:rsidRPr="00F879C2">
        <w:rPr>
          <w:rFonts w:asciiTheme="minorHAnsi" w:hAnsiTheme="minorHAnsi" w:cstheme="minorHAnsi"/>
          <w:sz w:val="19"/>
          <w:szCs w:val="19"/>
          <w:shd w:val="clear" w:color="auto" w:fill="auto"/>
        </w:rPr>
        <w:t>raditional land tenure systems prevalent in Angola are inadequate with respect to gender equity and continue to create uncertainty among community members regarding equitable acces</w:t>
      </w:r>
      <w:r w:rsidR="00935906" w:rsidRPr="00F879C2">
        <w:rPr>
          <w:rFonts w:asciiTheme="minorHAnsi" w:hAnsiTheme="minorHAnsi" w:cstheme="minorHAnsi"/>
          <w:sz w:val="19"/>
          <w:szCs w:val="19"/>
          <w:shd w:val="clear" w:color="auto" w:fill="auto"/>
        </w:rPr>
        <w:t>s.</w:t>
      </w:r>
    </w:p>
    <w:p w14:paraId="7534752F" w14:textId="0F59781A" w:rsidR="28D02D51" w:rsidRDefault="28D02D51" w:rsidP="5DDE12F0">
      <w:pPr>
        <w:pStyle w:val="ListParagraph"/>
        <w:numPr>
          <w:ilvl w:val="0"/>
          <w:numId w:val="0"/>
        </w:numPr>
        <w:spacing w:before="80" w:after="80"/>
        <w:ind w:left="993"/>
        <w:rPr>
          <w:rFonts w:cs="Calibri"/>
          <w:sz w:val="21"/>
          <w:szCs w:val="21"/>
        </w:rPr>
      </w:pPr>
      <w:r w:rsidRPr="5DDE12F0">
        <w:rPr>
          <w:rFonts w:cs="Calibri"/>
          <w:sz w:val="21"/>
          <w:szCs w:val="21"/>
        </w:rPr>
        <w:t>Currently the Land Law 09/04 has its regulation fro land concessions, but regulation</w:t>
      </w:r>
      <w:r w:rsidR="271F6E8D" w:rsidRPr="5DDE12F0">
        <w:rPr>
          <w:rFonts w:cs="Calibri"/>
          <w:sz w:val="21"/>
          <w:szCs w:val="21"/>
        </w:rPr>
        <w:t xml:space="preserve"> for community land registrations remais vague and needs a review that can be basse</w:t>
      </w:r>
      <w:r w:rsidR="3D365681" w:rsidRPr="5DDE12F0">
        <w:rPr>
          <w:rFonts w:cs="Calibri"/>
          <w:sz w:val="21"/>
          <w:szCs w:val="21"/>
        </w:rPr>
        <w:t xml:space="preserve">d in the long experience of community land registrations carried out in the country and also in collaboration with the Govermental Programa Minha </w:t>
      </w:r>
      <w:r w:rsidR="0613B384" w:rsidRPr="5DDE12F0">
        <w:rPr>
          <w:rFonts w:cs="Calibri"/>
          <w:sz w:val="21"/>
          <w:szCs w:val="21"/>
        </w:rPr>
        <w:t>Terra</w:t>
      </w:r>
    </w:p>
    <w:p w14:paraId="45722543" w14:textId="11F29BA4" w:rsidR="00A94129" w:rsidRPr="00A94129" w:rsidRDefault="00A94129" w:rsidP="00A94129">
      <w:pPr>
        <w:pStyle w:val="ListParagraph"/>
        <w:numPr>
          <w:ilvl w:val="0"/>
          <w:numId w:val="0"/>
        </w:numPr>
        <w:spacing w:before="80" w:after="80"/>
        <w:ind w:left="993"/>
        <w:contextualSpacing w:val="0"/>
        <w:rPr>
          <w:rFonts w:cs="Calibri"/>
          <w:sz w:val="21"/>
          <w:szCs w:val="21"/>
        </w:rPr>
      </w:pPr>
      <w:r>
        <w:rPr>
          <w:rFonts w:cs="Calibri"/>
          <w:sz w:val="21"/>
          <w:szCs w:val="21"/>
        </w:rPr>
        <w:t>These and other issues</w:t>
      </w:r>
      <w:r w:rsidRPr="003309E5">
        <w:rPr>
          <w:rStyle w:val="FootnoteReference"/>
          <w:rFonts w:cs="Calibri"/>
          <w:sz w:val="21"/>
          <w:szCs w:val="21"/>
        </w:rPr>
        <w:footnoteReference w:id="63"/>
      </w:r>
      <w:r>
        <w:rPr>
          <w:rFonts w:cs="Calibri"/>
          <w:sz w:val="21"/>
          <w:szCs w:val="21"/>
        </w:rPr>
        <w:t xml:space="preserve"> will</w:t>
      </w:r>
      <w:r w:rsidR="00DC5E24">
        <w:rPr>
          <w:rFonts w:cs="Calibri"/>
          <w:sz w:val="21"/>
          <w:szCs w:val="21"/>
        </w:rPr>
        <w:t xml:space="preserve"> need to be addressed and, given the </w:t>
      </w:r>
      <w:r w:rsidR="00DC5E24" w:rsidRPr="000034F7">
        <w:rPr>
          <w:sz w:val="21"/>
          <w:szCs w:val="21"/>
        </w:rPr>
        <w:t xml:space="preserve">detailed and complex </w:t>
      </w:r>
      <w:r w:rsidR="00DC5E24">
        <w:rPr>
          <w:sz w:val="21"/>
          <w:szCs w:val="21"/>
        </w:rPr>
        <w:t xml:space="preserve">nature of </w:t>
      </w:r>
      <w:r w:rsidR="00DC5E24" w:rsidRPr="000034F7">
        <w:rPr>
          <w:sz w:val="21"/>
          <w:szCs w:val="21"/>
        </w:rPr>
        <w:t>land tenure policy and leg</w:t>
      </w:r>
      <w:r w:rsidR="00DC5E24">
        <w:rPr>
          <w:sz w:val="21"/>
          <w:szCs w:val="21"/>
        </w:rPr>
        <w:t>islation</w:t>
      </w:r>
      <w:r w:rsidR="00DC5E24" w:rsidRPr="000034F7">
        <w:rPr>
          <w:sz w:val="21"/>
          <w:szCs w:val="21"/>
        </w:rPr>
        <w:t xml:space="preserve">, may require additional </w:t>
      </w:r>
      <w:r w:rsidR="00DC5E24">
        <w:rPr>
          <w:sz w:val="21"/>
          <w:szCs w:val="21"/>
        </w:rPr>
        <w:t xml:space="preserve">support, such as from FAO’s readily accessible </w:t>
      </w:r>
      <w:r w:rsidR="00DC5E24" w:rsidRPr="48580380">
        <w:t xml:space="preserve">Land Tenure </w:t>
      </w:r>
      <w:r w:rsidR="00DC5E24" w:rsidRPr="004136FD">
        <w:rPr>
          <w:sz w:val="21"/>
          <w:szCs w:val="21"/>
        </w:rPr>
        <w:t xml:space="preserve">Unit </w:t>
      </w:r>
      <w:r w:rsidR="00DC5E24">
        <w:rPr>
          <w:szCs w:val="21"/>
        </w:rPr>
        <w:t>(</w:t>
      </w:r>
      <w:r w:rsidR="00DC5E24" w:rsidRPr="004136FD">
        <w:rPr>
          <w:sz w:val="21"/>
          <w:szCs w:val="21"/>
        </w:rPr>
        <w:t>PSPL</w:t>
      </w:r>
      <w:r w:rsidR="00DC5E24">
        <w:rPr>
          <w:szCs w:val="21"/>
        </w:rPr>
        <w:t>)</w:t>
      </w:r>
      <w:r w:rsidR="00DC5E24" w:rsidRPr="000034F7">
        <w:rPr>
          <w:sz w:val="21"/>
          <w:szCs w:val="21"/>
        </w:rPr>
        <w:t>.</w:t>
      </w:r>
    </w:p>
    <w:p w14:paraId="5F94EE18" w14:textId="389FAD01" w:rsidR="00DD73F1" w:rsidRDefault="00DD73F1" w:rsidP="001667C6">
      <w:pPr>
        <w:pStyle w:val="ListParagraph"/>
        <w:numPr>
          <w:ilvl w:val="1"/>
          <w:numId w:val="51"/>
        </w:numPr>
        <w:spacing w:before="80" w:after="80"/>
        <w:ind w:left="993" w:hanging="284"/>
        <w:rPr>
          <w:rFonts w:eastAsia="Calibri" w:cs="Calibri"/>
          <w:b/>
          <w:color w:val="000000" w:themeColor="text1"/>
          <w:sz w:val="21"/>
          <w:szCs w:val="21"/>
        </w:rPr>
      </w:pPr>
      <w:r w:rsidRPr="003309E5">
        <w:rPr>
          <w:rFonts w:cs="Calibri"/>
          <w:b/>
          <w:bCs/>
          <w:sz w:val="21"/>
          <w:szCs w:val="21"/>
        </w:rPr>
        <w:t>Forestry concessions</w:t>
      </w:r>
      <w:r w:rsidR="001B4A89" w:rsidRPr="003309E5">
        <w:rPr>
          <w:rFonts w:cs="Calibri"/>
          <w:b/>
          <w:bCs/>
          <w:sz w:val="21"/>
          <w:szCs w:val="21"/>
        </w:rPr>
        <w:t>:</w:t>
      </w:r>
      <w:r w:rsidR="001B4A89" w:rsidRPr="003309E5">
        <w:rPr>
          <w:rFonts w:cs="Calibri"/>
          <w:sz w:val="21"/>
          <w:szCs w:val="21"/>
        </w:rPr>
        <w:t xml:space="preserve"> legislation exists but enforcement, especially in drylands, requires a more robust approach; and other</w:t>
      </w:r>
      <w:r w:rsidRPr="003309E5">
        <w:rPr>
          <w:rFonts w:cs="Calibri"/>
          <w:sz w:val="21"/>
          <w:szCs w:val="21"/>
        </w:rPr>
        <w:t xml:space="preserve"> options </w:t>
      </w:r>
      <w:r w:rsidR="001B4A89" w:rsidRPr="003309E5">
        <w:rPr>
          <w:rFonts w:cs="Calibri"/>
          <w:sz w:val="21"/>
          <w:szCs w:val="21"/>
        </w:rPr>
        <w:t>merit expoloration</w:t>
      </w:r>
      <w:r w:rsidRPr="48580380">
        <w:rPr>
          <w:rFonts w:cs="Calibri"/>
          <w:sz w:val="21"/>
          <w:szCs w:val="21"/>
        </w:rPr>
        <w:t xml:space="preserve"> of the charcoal market</w:t>
      </w:r>
      <w:r w:rsidR="001B4A89" w:rsidRPr="48580380">
        <w:rPr>
          <w:rFonts w:cs="Calibri"/>
          <w:sz w:val="21"/>
          <w:szCs w:val="21"/>
        </w:rPr>
        <w:t>:</w:t>
      </w:r>
      <w:r w:rsidRPr="003309E5">
        <w:rPr>
          <w:rFonts w:cs="Calibri"/>
          <w:sz w:val="21"/>
          <w:szCs w:val="21"/>
        </w:rPr>
        <w:t xml:space="preserve"> </w:t>
      </w:r>
      <w:r w:rsidR="001B4A89" w:rsidRPr="003309E5">
        <w:rPr>
          <w:rFonts w:cs="Calibri"/>
          <w:sz w:val="21"/>
          <w:szCs w:val="21"/>
        </w:rPr>
        <w:t xml:space="preserve">may require a specific approach </w:t>
      </w:r>
      <w:r w:rsidRPr="003309E5">
        <w:rPr>
          <w:rFonts w:cs="Calibri"/>
          <w:sz w:val="21"/>
          <w:szCs w:val="21"/>
        </w:rPr>
        <w:t xml:space="preserve">in drylands </w:t>
      </w:r>
      <w:r w:rsidR="001B4A89" w:rsidRPr="003309E5">
        <w:rPr>
          <w:rFonts w:cs="Calibri"/>
          <w:sz w:val="21"/>
          <w:szCs w:val="21"/>
        </w:rPr>
        <w:t>to</w:t>
      </w:r>
      <w:r w:rsidRPr="003309E5">
        <w:rPr>
          <w:rFonts w:cs="Calibri"/>
          <w:sz w:val="21"/>
          <w:szCs w:val="21"/>
        </w:rPr>
        <w:t xml:space="preserve"> avoid the usual </w:t>
      </w:r>
      <w:r w:rsidR="00524321" w:rsidRPr="003309E5">
        <w:rPr>
          <w:rFonts w:cs="Calibri"/>
          <w:sz w:val="21"/>
          <w:szCs w:val="21"/>
        </w:rPr>
        <w:t xml:space="preserve">forest </w:t>
      </w:r>
      <w:r w:rsidRPr="003309E5">
        <w:rPr>
          <w:rFonts w:cs="Calibri"/>
          <w:sz w:val="21"/>
          <w:szCs w:val="21"/>
        </w:rPr>
        <w:t xml:space="preserve">degradation </w:t>
      </w:r>
      <w:r w:rsidR="001B4A89" w:rsidRPr="003309E5">
        <w:rPr>
          <w:rFonts w:cs="Calibri"/>
          <w:sz w:val="21"/>
          <w:szCs w:val="21"/>
        </w:rPr>
        <w:t xml:space="preserve">caused by </w:t>
      </w:r>
      <w:r w:rsidRPr="003309E5">
        <w:rPr>
          <w:rFonts w:cs="Calibri"/>
          <w:sz w:val="21"/>
          <w:szCs w:val="21"/>
        </w:rPr>
        <w:t xml:space="preserve">charcoal </w:t>
      </w:r>
      <w:r w:rsidR="001B4A89" w:rsidRPr="003309E5">
        <w:rPr>
          <w:rFonts w:cs="Calibri"/>
          <w:sz w:val="21"/>
          <w:szCs w:val="21"/>
        </w:rPr>
        <w:t xml:space="preserve">production </w:t>
      </w:r>
      <w:r w:rsidRPr="003309E5">
        <w:rPr>
          <w:rFonts w:cs="Calibri"/>
          <w:sz w:val="21"/>
          <w:szCs w:val="21"/>
        </w:rPr>
        <w:t xml:space="preserve">and excessive firewood </w:t>
      </w:r>
      <w:r w:rsidR="001B4A89" w:rsidRPr="003309E5">
        <w:rPr>
          <w:rFonts w:cs="Calibri"/>
          <w:sz w:val="21"/>
          <w:szCs w:val="21"/>
        </w:rPr>
        <w:t>collection</w:t>
      </w:r>
      <w:r w:rsidR="00524321" w:rsidRPr="003309E5">
        <w:rPr>
          <w:rFonts w:cs="Calibri"/>
          <w:sz w:val="21"/>
          <w:szCs w:val="21"/>
        </w:rPr>
        <w:t>.</w:t>
      </w:r>
    </w:p>
    <w:p w14:paraId="3CD267D6" w14:textId="794FE108" w:rsidR="7E94E891" w:rsidRDefault="7E94E891" w:rsidP="001667C6">
      <w:pPr>
        <w:pStyle w:val="ListParagraph"/>
        <w:numPr>
          <w:ilvl w:val="1"/>
          <w:numId w:val="51"/>
        </w:numPr>
        <w:spacing w:before="80" w:after="80"/>
        <w:ind w:left="993" w:hanging="284"/>
        <w:rPr>
          <w:rFonts w:eastAsia="Calibri" w:cs="Calibri"/>
          <w:b/>
          <w:bCs/>
          <w:color w:val="000000" w:themeColor="text1"/>
          <w:sz w:val="21"/>
          <w:szCs w:val="21"/>
        </w:rPr>
      </w:pPr>
      <w:r w:rsidRPr="48580380">
        <w:rPr>
          <w:rFonts w:cs="Calibri"/>
          <w:color w:val="000000" w:themeColor="text1"/>
          <w:sz w:val="21"/>
          <w:szCs w:val="21"/>
        </w:rPr>
        <w:lastRenderedPageBreak/>
        <w:t xml:space="preserve">The  </w:t>
      </w:r>
      <w:hyperlink r:id="rId61">
        <w:r w:rsidRPr="48580380">
          <w:rPr>
            <w:rFonts w:cs="Calibri"/>
            <w:b/>
            <w:bCs/>
            <w:color w:val="000000" w:themeColor="text1"/>
            <w:sz w:val="21"/>
            <w:szCs w:val="21"/>
          </w:rPr>
          <w:t>National Strategy for Climate Change (ENAC)</w:t>
        </w:r>
      </w:hyperlink>
      <w:r w:rsidRPr="48580380">
        <w:rPr>
          <w:rFonts w:cs="Calibri"/>
          <w:color w:val="000000" w:themeColor="text1"/>
          <w:sz w:val="21"/>
          <w:szCs w:val="21"/>
        </w:rPr>
        <w:t xml:space="preserve"> establishes the vision for 2030 of the Angolan national policy. The strategy takes into account the need to connect Angolan policy in terms of mitigation and adaptation to the impacts of climate change while taking into account the challenges posed by the new Paris Agreement. ENAC presents the position of Angola on the challenges of climate change, as well as the development of two documents: the National Emissions Plan and the National Plan for Adaptation to Climate Change. ENAC also establishes a national monitoring, reporting and verification system (MRV), which consists of a set of procedures. These procedures consist of the legal, institutional and technical aspects in order to collect and report information in a precise, reliable and transparent way for the implementation of the strategy.</w:t>
      </w:r>
      <w:r w:rsidR="189A480F" w:rsidRPr="48580380">
        <w:rPr>
          <w:rFonts w:cs="Calibri"/>
          <w:color w:val="000000" w:themeColor="text1"/>
          <w:sz w:val="21"/>
          <w:szCs w:val="21"/>
        </w:rPr>
        <w:t xml:space="preserve"> The project will provide legal support for the </w:t>
      </w:r>
      <w:r w:rsidR="4E9B16C0" w:rsidRPr="48580380">
        <w:rPr>
          <w:rFonts w:cs="Calibri"/>
          <w:color w:val="000000" w:themeColor="text1"/>
          <w:sz w:val="21"/>
          <w:szCs w:val="21"/>
        </w:rPr>
        <w:t>revision</w:t>
      </w:r>
      <w:r w:rsidR="189A480F" w:rsidRPr="48580380">
        <w:rPr>
          <w:rFonts w:cs="Calibri"/>
          <w:color w:val="000000" w:themeColor="text1"/>
          <w:sz w:val="21"/>
          <w:szCs w:val="21"/>
        </w:rPr>
        <w:t xml:space="preserve"> of it and the integration of the LDN </w:t>
      </w:r>
      <w:r w:rsidR="4C2DAB62" w:rsidRPr="48580380">
        <w:rPr>
          <w:rFonts w:cs="Calibri"/>
          <w:color w:val="000000" w:themeColor="text1"/>
          <w:sz w:val="21"/>
          <w:szCs w:val="21"/>
        </w:rPr>
        <w:t>approach</w:t>
      </w:r>
      <w:r w:rsidR="189A480F" w:rsidRPr="48580380">
        <w:rPr>
          <w:rFonts w:cs="Calibri"/>
          <w:color w:val="000000" w:themeColor="text1"/>
          <w:sz w:val="21"/>
          <w:szCs w:val="21"/>
        </w:rPr>
        <w:t xml:space="preserve"> in the action Plan. The ENAC also includes </w:t>
      </w:r>
      <w:r w:rsidR="62C56A67" w:rsidRPr="48580380">
        <w:rPr>
          <w:rFonts w:cs="Calibri"/>
          <w:color w:val="000000" w:themeColor="text1"/>
          <w:sz w:val="21"/>
          <w:szCs w:val="21"/>
        </w:rPr>
        <w:t xml:space="preserve">legal and regulatory frameworks revision that the project will contribute </w:t>
      </w:r>
      <w:r w:rsidR="73EAF04D" w:rsidRPr="48580380">
        <w:rPr>
          <w:rFonts w:cs="Calibri"/>
          <w:color w:val="000000" w:themeColor="text1"/>
          <w:sz w:val="21"/>
          <w:szCs w:val="21"/>
        </w:rPr>
        <w:t xml:space="preserve">to. With these </w:t>
      </w:r>
      <w:r w:rsidR="552F0656" w:rsidRPr="48580380">
        <w:rPr>
          <w:rFonts w:cs="Calibri"/>
          <w:color w:val="000000" w:themeColor="text1"/>
          <w:sz w:val="21"/>
          <w:szCs w:val="21"/>
        </w:rPr>
        <w:t>support to the ENAC it is expected to be ready to be endorsed by the parliament in 2021.</w:t>
      </w:r>
    </w:p>
    <w:p w14:paraId="738355A6" w14:textId="03E159CE" w:rsidR="00524321" w:rsidRDefault="00DD73F1" w:rsidP="001667C6">
      <w:pPr>
        <w:pStyle w:val="ListParagraph"/>
        <w:numPr>
          <w:ilvl w:val="1"/>
          <w:numId w:val="51"/>
        </w:numPr>
        <w:spacing w:before="80" w:after="80"/>
        <w:ind w:left="993" w:hanging="284"/>
        <w:contextualSpacing w:val="0"/>
        <w:rPr>
          <w:rFonts w:cs="Calibri"/>
          <w:sz w:val="21"/>
          <w:szCs w:val="21"/>
        </w:rPr>
      </w:pPr>
      <w:r w:rsidRPr="003309E5">
        <w:rPr>
          <w:rFonts w:cs="Calibri"/>
          <w:b/>
          <w:bCs/>
          <w:sz w:val="21"/>
          <w:szCs w:val="21"/>
        </w:rPr>
        <w:t>Community</w:t>
      </w:r>
      <w:r w:rsidR="00524321" w:rsidRPr="003309E5">
        <w:rPr>
          <w:rFonts w:cs="Calibri"/>
          <w:b/>
          <w:bCs/>
          <w:sz w:val="21"/>
          <w:szCs w:val="21"/>
        </w:rPr>
        <w:t>-</w:t>
      </w:r>
      <w:r w:rsidRPr="003309E5">
        <w:rPr>
          <w:rFonts w:cs="Calibri"/>
          <w:b/>
          <w:bCs/>
          <w:sz w:val="21"/>
          <w:szCs w:val="21"/>
        </w:rPr>
        <w:t>based forest management</w:t>
      </w:r>
      <w:r w:rsidR="00524321" w:rsidRPr="003309E5">
        <w:rPr>
          <w:rFonts w:cs="Calibri"/>
          <w:b/>
          <w:bCs/>
          <w:sz w:val="21"/>
          <w:szCs w:val="21"/>
        </w:rPr>
        <w:t xml:space="preserve"> </w:t>
      </w:r>
      <w:r w:rsidR="00524321" w:rsidRPr="003309E5">
        <w:rPr>
          <w:rFonts w:cs="Calibri"/>
          <w:sz w:val="21"/>
          <w:szCs w:val="21"/>
        </w:rPr>
        <w:t>has rarely been trialed in Angola</w:t>
      </w:r>
      <w:r w:rsidRPr="003309E5">
        <w:rPr>
          <w:rFonts w:cs="Calibri"/>
          <w:sz w:val="21"/>
          <w:szCs w:val="21"/>
        </w:rPr>
        <w:t xml:space="preserve">, </w:t>
      </w:r>
      <w:r w:rsidR="00524321" w:rsidRPr="003309E5">
        <w:rPr>
          <w:rFonts w:cs="Calibri"/>
          <w:sz w:val="21"/>
          <w:szCs w:val="21"/>
        </w:rPr>
        <w:t>reflecting the</w:t>
      </w:r>
      <w:r w:rsidRPr="003309E5">
        <w:rPr>
          <w:rFonts w:cs="Calibri"/>
          <w:sz w:val="21"/>
          <w:szCs w:val="21"/>
        </w:rPr>
        <w:t xml:space="preserve"> regulatory gap </w:t>
      </w:r>
      <w:r w:rsidR="00524321" w:rsidRPr="003309E5">
        <w:rPr>
          <w:rFonts w:cs="Calibri"/>
          <w:sz w:val="21"/>
          <w:szCs w:val="21"/>
        </w:rPr>
        <w:t>in</w:t>
      </w:r>
      <w:r w:rsidRPr="003309E5">
        <w:rPr>
          <w:rFonts w:cs="Calibri"/>
          <w:sz w:val="21"/>
          <w:szCs w:val="21"/>
        </w:rPr>
        <w:t xml:space="preserve"> devolved management of common resources such as forests</w:t>
      </w:r>
      <w:r w:rsidR="00524321" w:rsidRPr="003309E5">
        <w:rPr>
          <w:rFonts w:cs="Calibri"/>
          <w:sz w:val="21"/>
          <w:szCs w:val="21"/>
        </w:rPr>
        <w:t>/</w:t>
      </w:r>
      <w:r w:rsidRPr="003309E5">
        <w:rPr>
          <w:rFonts w:cs="Calibri"/>
          <w:sz w:val="21"/>
          <w:szCs w:val="21"/>
        </w:rPr>
        <w:t>woodlands</w:t>
      </w:r>
      <w:r w:rsidR="00C87847" w:rsidRPr="003309E5">
        <w:rPr>
          <w:rFonts w:cs="Calibri"/>
          <w:sz w:val="21"/>
          <w:szCs w:val="21"/>
        </w:rPr>
        <w:t>.</w:t>
      </w:r>
      <w:r w:rsidRPr="003309E5">
        <w:rPr>
          <w:rFonts w:cs="Calibri"/>
          <w:sz w:val="21"/>
          <w:szCs w:val="21"/>
        </w:rPr>
        <w:t xml:space="preserve"> </w:t>
      </w:r>
      <w:r w:rsidR="00C87847" w:rsidRPr="003309E5">
        <w:rPr>
          <w:rFonts w:cs="Calibri"/>
          <w:sz w:val="21"/>
          <w:szCs w:val="21"/>
        </w:rPr>
        <w:t>F</w:t>
      </w:r>
      <w:r w:rsidR="00524321" w:rsidRPr="003309E5">
        <w:rPr>
          <w:rFonts w:cs="Calibri"/>
          <w:sz w:val="21"/>
          <w:szCs w:val="21"/>
        </w:rPr>
        <w:t xml:space="preserve">ormalizing CBFM, so that rules of access to forest </w:t>
      </w:r>
      <w:r w:rsidR="00C87847" w:rsidRPr="003309E5">
        <w:rPr>
          <w:rFonts w:cs="Calibri"/>
          <w:sz w:val="21"/>
          <w:szCs w:val="21"/>
        </w:rPr>
        <w:t>land</w:t>
      </w:r>
      <w:r w:rsidR="00524321" w:rsidRPr="003309E5">
        <w:rPr>
          <w:rFonts w:cs="Calibri"/>
          <w:sz w:val="21"/>
          <w:szCs w:val="21"/>
        </w:rPr>
        <w:t xml:space="preserve"> and forest protection can be enforced, </w:t>
      </w:r>
      <w:r w:rsidR="00C87847" w:rsidRPr="003309E5">
        <w:rPr>
          <w:rFonts w:cs="Calibri"/>
          <w:sz w:val="21"/>
          <w:szCs w:val="21"/>
        </w:rPr>
        <w:t xml:space="preserve">requires </w:t>
      </w:r>
      <w:r w:rsidR="00B33376">
        <w:rPr>
          <w:rFonts w:cs="Calibri"/>
          <w:sz w:val="21"/>
          <w:szCs w:val="21"/>
        </w:rPr>
        <w:t xml:space="preserve">land-use </w:t>
      </w:r>
      <w:r w:rsidR="00C87847" w:rsidRPr="003309E5">
        <w:rPr>
          <w:rFonts w:cs="Calibri"/>
          <w:sz w:val="21"/>
          <w:szCs w:val="21"/>
        </w:rPr>
        <w:t>regulations</w:t>
      </w:r>
      <w:r w:rsidR="00524321" w:rsidRPr="003309E5">
        <w:rPr>
          <w:rFonts w:cs="Calibri"/>
          <w:sz w:val="21"/>
          <w:szCs w:val="21"/>
        </w:rPr>
        <w:t xml:space="preserve">. </w:t>
      </w:r>
      <w:r w:rsidR="00C87847" w:rsidRPr="003309E5">
        <w:rPr>
          <w:rFonts w:cs="Calibri"/>
          <w:sz w:val="21"/>
          <w:szCs w:val="21"/>
        </w:rPr>
        <w:t>Such an</w:t>
      </w:r>
      <w:r w:rsidR="00524321" w:rsidRPr="003309E5">
        <w:rPr>
          <w:rFonts w:cs="Calibri"/>
          <w:sz w:val="21"/>
          <w:szCs w:val="21"/>
        </w:rPr>
        <w:t xml:space="preserve"> initiative is proposed </w:t>
      </w:r>
      <w:r w:rsidR="00C87847" w:rsidRPr="003309E5">
        <w:rPr>
          <w:rFonts w:cs="Calibri"/>
          <w:sz w:val="21"/>
          <w:szCs w:val="21"/>
        </w:rPr>
        <w:t>using the ILUP stakeholder engagement mechanism piloted under</w:t>
      </w:r>
      <w:r w:rsidR="00524321" w:rsidRPr="003309E5">
        <w:rPr>
          <w:rFonts w:cs="Calibri"/>
          <w:sz w:val="21"/>
          <w:szCs w:val="21"/>
        </w:rPr>
        <w:t xml:space="preserve"> Output 2.1.2 and </w:t>
      </w:r>
      <w:r w:rsidR="00C87847" w:rsidRPr="003309E5">
        <w:rPr>
          <w:rFonts w:cs="Calibri"/>
          <w:sz w:val="21"/>
          <w:szCs w:val="21"/>
        </w:rPr>
        <w:t xml:space="preserve">delivered in the target landscapes under </w:t>
      </w:r>
      <w:r w:rsidR="00524321" w:rsidRPr="003309E5">
        <w:rPr>
          <w:rFonts w:cs="Calibri"/>
          <w:sz w:val="21"/>
          <w:szCs w:val="21"/>
        </w:rPr>
        <w:t>Output 2.1.4</w:t>
      </w:r>
      <w:r w:rsidR="00C87847" w:rsidRPr="003309E5">
        <w:rPr>
          <w:rFonts w:cs="Calibri"/>
          <w:sz w:val="21"/>
          <w:szCs w:val="21"/>
        </w:rPr>
        <w:t>.</w:t>
      </w:r>
    </w:p>
    <w:p w14:paraId="4111E30D" w14:textId="451B547E" w:rsidR="00A94129" w:rsidRDefault="00A94129" w:rsidP="00A94129">
      <w:pPr>
        <w:pStyle w:val="ParagraphOED"/>
        <w:numPr>
          <w:ilvl w:val="0"/>
          <w:numId w:val="0"/>
        </w:numPr>
        <w:tabs>
          <w:tab w:val="left" w:pos="993"/>
        </w:tabs>
        <w:spacing w:after="160"/>
        <w:ind w:left="993"/>
      </w:pPr>
      <w:r>
        <w:t>O</w:t>
      </w:r>
      <w:r w:rsidRPr="00CE1EA7">
        <w:t xml:space="preserve">ther </w:t>
      </w:r>
      <w:r>
        <w:t>legal options for</w:t>
      </w:r>
      <w:r w:rsidRPr="00CE1EA7">
        <w:t xml:space="preserve"> socially inclusive devolved land management</w:t>
      </w:r>
      <w:r w:rsidRPr="00CE1EA7">
        <w:rPr>
          <w:szCs w:val="21"/>
        </w:rPr>
        <w:t xml:space="preserve"> </w:t>
      </w:r>
      <w:r w:rsidRPr="00CE1EA7">
        <w:t>includ</w:t>
      </w:r>
      <w:r>
        <w:t>e</w:t>
      </w:r>
      <w:r w:rsidRPr="00CE1EA7">
        <w:t xml:space="preserve"> community management authority, conservation management, stewardship, co-management, </w:t>
      </w:r>
      <w:r>
        <w:t xml:space="preserve">and </w:t>
      </w:r>
      <w:r w:rsidRPr="00CE1EA7">
        <w:t>proclamation and demarcation of community managed areas.</w:t>
      </w:r>
    </w:p>
    <w:p w14:paraId="24B270F1" w14:textId="74A00B3C" w:rsidR="00DD73F1" w:rsidRPr="001B645C" w:rsidRDefault="00DD73F1" w:rsidP="001667C6">
      <w:pPr>
        <w:pStyle w:val="ListParagraph"/>
        <w:numPr>
          <w:ilvl w:val="1"/>
          <w:numId w:val="51"/>
        </w:numPr>
        <w:spacing w:before="80" w:after="80"/>
        <w:ind w:left="993" w:hanging="284"/>
        <w:contextualSpacing w:val="0"/>
        <w:rPr>
          <w:rFonts w:cs="Calibri"/>
          <w:sz w:val="21"/>
          <w:szCs w:val="21"/>
        </w:rPr>
      </w:pPr>
      <w:r w:rsidRPr="003309E5">
        <w:rPr>
          <w:rFonts w:cs="Calibri"/>
          <w:b/>
          <w:bCs/>
          <w:sz w:val="21"/>
          <w:szCs w:val="21"/>
        </w:rPr>
        <w:t>Improvement and professionalization of rural extension services and forest monitoring services and systems</w:t>
      </w:r>
      <w:r w:rsidR="00182DDB" w:rsidRPr="003309E5">
        <w:rPr>
          <w:rFonts w:cs="Calibri"/>
          <w:b/>
          <w:bCs/>
          <w:sz w:val="21"/>
          <w:szCs w:val="21"/>
        </w:rPr>
        <w:t>:</w:t>
      </w:r>
      <w:r w:rsidRPr="003309E5">
        <w:rPr>
          <w:rFonts w:cs="Calibri"/>
          <w:sz w:val="21"/>
          <w:szCs w:val="21"/>
        </w:rPr>
        <w:t xml:space="preserve"> noting that </w:t>
      </w:r>
      <w:r w:rsidR="00182DDB" w:rsidRPr="003309E5">
        <w:rPr>
          <w:rFonts w:cs="Calibri"/>
          <w:sz w:val="21"/>
          <w:szCs w:val="21"/>
        </w:rPr>
        <w:t>proposed</w:t>
      </w:r>
      <w:r w:rsidRPr="003309E5">
        <w:rPr>
          <w:rFonts w:cs="Calibri"/>
          <w:sz w:val="21"/>
          <w:szCs w:val="21"/>
        </w:rPr>
        <w:t xml:space="preserve"> activities </w:t>
      </w:r>
      <w:r w:rsidR="00182DDB" w:rsidRPr="003309E5">
        <w:rPr>
          <w:rFonts w:cs="Calibri"/>
          <w:sz w:val="21"/>
          <w:szCs w:val="21"/>
        </w:rPr>
        <w:t>are</w:t>
      </w:r>
      <w:r w:rsidRPr="003309E5">
        <w:rPr>
          <w:rFonts w:cs="Calibri"/>
          <w:sz w:val="21"/>
          <w:szCs w:val="21"/>
        </w:rPr>
        <w:t xml:space="preserve"> primarily </w:t>
      </w:r>
      <w:r w:rsidR="00182DDB" w:rsidRPr="003309E5">
        <w:rPr>
          <w:rFonts w:cs="Calibri"/>
          <w:sz w:val="21"/>
          <w:szCs w:val="21"/>
        </w:rPr>
        <w:t>limited to</w:t>
      </w:r>
      <w:r w:rsidRPr="003309E5">
        <w:rPr>
          <w:rFonts w:cs="Calibri"/>
          <w:sz w:val="21"/>
          <w:szCs w:val="21"/>
        </w:rPr>
        <w:t xml:space="preserve"> scoping and </w:t>
      </w:r>
      <w:r w:rsidR="00182DDB" w:rsidRPr="003309E5">
        <w:rPr>
          <w:rFonts w:cs="Calibri"/>
          <w:sz w:val="21"/>
          <w:szCs w:val="21"/>
        </w:rPr>
        <w:t xml:space="preserve">addressing </w:t>
      </w:r>
      <w:r w:rsidRPr="003309E5">
        <w:rPr>
          <w:rFonts w:cs="Calibri"/>
          <w:sz w:val="21"/>
          <w:szCs w:val="21"/>
        </w:rPr>
        <w:t>capacity development needs</w:t>
      </w:r>
      <w:r w:rsidR="00182DDB" w:rsidRPr="003309E5">
        <w:rPr>
          <w:rFonts w:cs="Calibri"/>
          <w:sz w:val="21"/>
          <w:szCs w:val="21"/>
        </w:rPr>
        <w:t xml:space="preserve">, alongside </w:t>
      </w:r>
      <w:r w:rsidRPr="003309E5">
        <w:rPr>
          <w:rFonts w:cs="Calibri"/>
          <w:sz w:val="21"/>
          <w:szCs w:val="21"/>
        </w:rPr>
        <w:t xml:space="preserve">mainstreaming gender </w:t>
      </w:r>
      <w:r w:rsidR="00182DDB" w:rsidRPr="003309E5">
        <w:rPr>
          <w:rFonts w:cs="Calibri"/>
          <w:sz w:val="21"/>
          <w:szCs w:val="21"/>
        </w:rPr>
        <w:t xml:space="preserve">equity </w:t>
      </w:r>
      <w:r w:rsidRPr="003309E5">
        <w:rPr>
          <w:rFonts w:cs="Calibri"/>
          <w:sz w:val="21"/>
          <w:szCs w:val="21"/>
        </w:rPr>
        <w:t>aspects</w:t>
      </w:r>
      <w:r w:rsidR="00182DDB" w:rsidRPr="003309E5">
        <w:rPr>
          <w:rFonts w:cs="Calibri"/>
          <w:sz w:val="21"/>
          <w:szCs w:val="21"/>
        </w:rPr>
        <w:t>.</w:t>
      </w:r>
      <w:r w:rsidR="001B645C">
        <w:rPr>
          <w:rFonts w:cs="Calibri"/>
          <w:sz w:val="21"/>
          <w:szCs w:val="21"/>
        </w:rPr>
        <w:t xml:space="preserve"> </w:t>
      </w:r>
      <w:r w:rsidR="0068589E">
        <w:rPr>
          <w:rFonts w:cs="Calibri"/>
          <w:sz w:val="21"/>
          <w:szCs w:val="21"/>
        </w:rPr>
        <w:t>It</w:t>
      </w:r>
      <w:r w:rsidR="001B645C">
        <w:rPr>
          <w:rFonts w:cs="Calibri"/>
          <w:sz w:val="21"/>
          <w:szCs w:val="21"/>
        </w:rPr>
        <w:t xml:space="preserve"> </w:t>
      </w:r>
      <w:r w:rsidR="0068589E">
        <w:rPr>
          <w:rFonts w:cs="Calibri"/>
          <w:sz w:val="21"/>
          <w:szCs w:val="21"/>
        </w:rPr>
        <w:t>will</w:t>
      </w:r>
      <w:r w:rsidR="001B645C">
        <w:rPr>
          <w:rFonts w:cs="Calibri"/>
          <w:sz w:val="21"/>
          <w:szCs w:val="21"/>
        </w:rPr>
        <w:t xml:space="preserve"> include provisions to </w:t>
      </w:r>
      <w:r w:rsidR="001B645C" w:rsidRPr="001B645C">
        <w:rPr>
          <w:rFonts w:asciiTheme="minorHAnsi" w:hAnsiTheme="minorHAnsi" w:cstheme="minorHAnsi"/>
          <w:sz w:val="21"/>
          <w:szCs w:val="21"/>
        </w:rPr>
        <w:t>integrat</w:t>
      </w:r>
      <w:r w:rsidR="001B645C">
        <w:rPr>
          <w:rFonts w:asciiTheme="minorHAnsi" w:hAnsiTheme="minorHAnsi" w:cstheme="minorHAnsi"/>
          <w:sz w:val="21"/>
          <w:szCs w:val="21"/>
        </w:rPr>
        <w:t>e</w:t>
      </w:r>
      <w:r w:rsidR="001B645C" w:rsidRPr="001B645C">
        <w:rPr>
          <w:rFonts w:asciiTheme="minorHAnsi" w:hAnsiTheme="minorHAnsi" w:cstheme="minorHAnsi"/>
          <w:sz w:val="21"/>
          <w:szCs w:val="21"/>
        </w:rPr>
        <w:t xml:space="preserve"> F</w:t>
      </w:r>
      <w:r w:rsidR="001B645C">
        <w:rPr>
          <w:rFonts w:asciiTheme="minorHAnsi" w:hAnsiTheme="minorHAnsi" w:cstheme="minorHAnsi"/>
          <w:sz w:val="21"/>
          <w:szCs w:val="21"/>
        </w:rPr>
        <w:t>armer F</w:t>
      </w:r>
      <w:r w:rsidR="0068589E">
        <w:rPr>
          <w:rFonts w:asciiTheme="minorHAnsi" w:hAnsiTheme="minorHAnsi" w:cstheme="minorHAnsi"/>
          <w:sz w:val="21"/>
          <w:szCs w:val="21"/>
        </w:rPr>
        <w:t>ield</w:t>
      </w:r>
      <w:r w:rsidR="001B645C">
        <w:rPr>
          <w:rFonts w:asciiTheme="minorHAnsi" w:hAnsiTheme="minorHAnsi" w:cstheme="minorHAnsi"/>
          <w:sz w:val="21"/>
          <w:szCs w:val="21"/>
        </w:rPr>
        <w:t xml:space="preserve"> School (F</w:t>
      </w:r>
      <w:r w:rsidR="001B645C" w:rsidRPr="001B645C">
        <w:rPr>
          <w:rFonts w:asciiTheme="minorHAnsi" w:hAnsiTheme="minorHAnsi" w:cstheme="minorHAnsi"/>
          <w:sz w:val="21"/>
          <w:szCs w:val="21"/>
        </w:rPr>
        <w:t>FS</w:t>
      </w:r>
      <w:r w:rsidR="001B645C">
        <w:rPr>
          <w:rFonts w:asciiTheme="minorHAnsi" w:hAnsiTheme="minorHAnsi" w:cstheme="minorHAnsi"/>
          <w:sz w:val="21"/>
          <w:szCs w:val="21"/>
        </w:rPr>
        <w:t>)</w:t>
      </w:r>
      <w:r w:rsidR="001B645C" w:rsidRPr="001B645C">
        <w:rPr>
          <w:rFonts w:asciiTheme="minorHAnsi" w:hAnsiTheme="minorHAnsi" w:cstheme="minorHAnsi"/>
          <w:sz w:val="21"/>
          <w:szCs w:val="21"/>
        </w:rPr>
        <w:t xml:space="preserve"> </w:t>
      </w:r>
      <w:r w:rsidR="001B645C" w:rsidRPr="001B645C">
        <w:rPr>
          <w:rFonts w:cs="Calibri"/>
          <w:sz w:val="21"/>
          <w:szCs w:val="21"/>
        </w:rPr>
        <w:t>and F</w:t>
      </w:r>
      <w:r w:rsidR="001B645C">
        <w:rPr>
          <w:rFonts w:cs="Calibri"/>
          <w:sz w:val="21"/>
          <w:szCs w:val="21"/>
        </w:rPr>
        <w:t>orest-Farm Facility (F</w:t>
      </w:r>
      <w:r w:rsidR="001B645C" w:rsidRPr="001B645C">
        <w:rPr>
          <w:rFonts w:cs="Calibri"/>
          <w:sz w:val="21"/>
          <w:szCs w:val="21"/>
        </w:rPr>
        <w:t>F</w:t>
      </w:r>
      <w:r w:rsidR="001B645C">
        <w:rPr>
          <w:rFonts w:cs="Calibri"/>
          <w:sz w:val="21"/>
          <w:szCs w:val="21"/>
        </w:rPr>
        <w:t xml:space="preserve">F) initiatives into </w:t>
      </w:r>
      <w:r w:rsidR="001B645C" w:rsidRPr="001B645C">
        <w:rPr>
          <w:rFonts w:asciiTheme="minorHAnsi" w:hAnsiTheme="minorHAnsi" w:cstheme="minorHAnsi"/>
          <w:sz w:val="21"/>
          <w:szCs w:val="21"/>
        </w:rPr>
        <w:t>national policies</w:t>
      </w:r>
      <w:r w:rsidR="0068589E">
        <w:rPr>
          <w:rFonts w:asciiTheme="minorHAnsi" w:hAnsiTheme="minorHAnsi" w:cstheme="minorHAnsi"/>
          <w:sz w:val="21"/>
          <w:szCs w:val="21"/>
        </w:rPr>
        <w:t xml:space="preserve"> and programs</w:t>
      </w:r>
      <w:r w:rsidR="001B645C">
        <w:rPr>
          <w:rFonts w:asciiTheme="minorHAnsi" w:hAnsiTheme="minorHAnsi" w:cstheme="minorHAnsi"/>
          <w:sz w:val="21"/>
          <w:szCs w:val="21"/>
        </w:rPr>
        <w:t>, delivered by</w:t>
      </w:r>
      <w:r w:rsidR="001B645C" w:rsidRPr="001B645C">
        <w:rPr>
          <w:rFonts w:asciiTheme="minorHAnsi" w:hAnsiTheme="minorHAnsi" w:cstheme="minorHAnsi"/>
          <w:sz w:val="21"/>
          <w:szCs w:val="21"/>
        </w:rPr>
        <w:t xml:space="preserve"> Rural Advisory Services</w:t>
      </w:r>
      <w:r w:rsidR="001B645C" w:rsidRPr="001B645C">
        <w:rPr>
          <w:rFonts w:cs="Calibri"/>
          <w:sz w:val="21"/>
          <w:szCs w:val="21"/>
        </w:rPr>
        <w:t xml:space="preserve">. </w:t>
      </w:r>
    </w:p>
    <w:p w14:paraId="6CA389B7" w14:textId="1D82AC30" w:rsidR="00DD73F1" w:rsidRPr="003309E5" w:rsidRDefault="00DD73F1" w:rsidP="001667C6">
      <w:pPr>
        <w:pStyle w:val="ListParagraph"/>
        <w:numPr>
          <w:ilvl w:val="1"/>
          <w:numId w:val="51"/>
        </w:numPr>
        <w:spacing w:before="80" w:after="80"/>
        <w:ind w:left="993" w:hanging="284"/>
        <w:contextualSpacing w:val="0"/>
        <w:rPr>
          <w:rFonts w:cs="Calibri"/>
          <w:sz w:val="21"/>
          <w:szCs w:val="21"/>
        </w:rPr>
      </w:pPr>
      <w:r w:rsidRPr="003309E5">
        <w:rPr>
          <w:rFonts w:cs="Calibri"/>
          <w:b/>
          <w:bCs/>
          <w:sz w:val="21"/>
          <w:szCs w:val="21"/>
        </w:rPr>
        <w:t>Management of sub-basins</w:t>
      </w:r>
      <w:r w:rsidR="00182DDB" w:rsidRPr="003309E5">
        <w:rPr>
          <w:rFonts w:cs="Calibri"/>
          <w:b/>
          <w:bCs/>
          <w:sz w:val="21"/>
          <w:szCs w:val="21"/>
        </w:rPr>
        <w:t xml:space="preserve"> (landscapes):</w:t>
      </w:r>
      <w:r w:rsidRPr="003309E5">
        <w:rPr>
          <w:rFonts w:cs="Calibri"/>
          <w:sz w:val="21"/>
          <w:szCs w:val="21"/>
        </w:rPr>
        <w:t xml:space="preserve"> </w:t>
      </w:r>
      <w:r w:rsidR="00182DDB" w:rsidRPr="003309E5">
        <w:rPr>
          <w:rFonts w:cs="Calibri"/>
          <w:sz w:val="21"/>
          <w:szCs w:val="21"/>
        </w:rPr>
        <w:t xml:space="preserve">given </w:t>
      </w:r>
      <w:r w:rsidR="00005C9B" w:rsidRPr="003309E5">
        <w:rPr>
          <w:rFonts w:cs="Calibri"/>
          <w:sz w:val="21"/>
          <w:szCs w:val="21"/>
        </w:rPr>
        <w:t>that finance is</w:t>
      </w:r>
      <w:r w:rsidRPr="003309E5">
        <w:rPr>
          <w:rFonts w:cs="Calibri"/>
          <w:sz w:val="21"/>
          <w:szCs w:val="21"/>
        </w:rPr>
        <w:t xml:space="preserve"> </w:t>
      </w:r>
      <w:r w:rsidR="00005C9B" w:rsidRPr="003309E5">
        <w:rPr>
          <w:rFonts w:cs="Calibri"/>
          <w:sz w:val="21"/>
          <w:szCs w:val="21"/>
        </w:rPr>
        <w:t>often the main</w:t>
      </w:r>
      <w:r w:rsidRPr="003309E5">
        <w:rPr>
          <w:rFonts w:cs="Calibri"/>
          <w:sz w:val="21"/>
          <w:szCs w:val="21"/>
        </w:rPr>
        <w:t xml:space="preserve"> barrier </w:t>
      </w:r>
      <w:r w:rsidR="00005C9B" w:rsidRPr="003309E5">
        <w:rPr>
          <w:rFonts w:cs="Calibri"/>
          <w:sz w:val="21"/>
          <w:szCs w:val="21"/>
        </w:rPr>
        <w:t>to</w:t>
      </w:r>
      <w:r w:rsidRPr="003309E5">
        <w:rPr>
          <w:rFonts w:cs="Calibri"/>
          <w:sz w:val="21"/>
          <w:szCs w:val="21"/>
        </w:rPr>
        <w:t xml:space="preserve"> implement</w:t>
      </w:r>
      <w:r w:rsidR="00005C9B" w:rsidRPr="003309E5">
        <w:rPr>
          <w:rFonts w:cs="Calibri"/>
          <w:sz w:val="21"/>
          <w:szCs w:val="21"/>
        </w:rPr>
        <w:t>ing</w:t>
      </w:r>
      <w:r w:rsidRPr="003309E5">
        <w:rPr>
          <w:rFonts w:cs="Calibri"/>
          <w:sz w:val="21"/>
          <w:szCs w:val="21"/>
        </w:rPr>
        <w:t xml:space="preserve"> </w:t>
      </w:r>
      <w:r w:rsidR="00005C9B" w:rsidRPr="003309E5">
        <w:rPr>
          <w:rFonts w:cs="Calibri"/>
          <w:sz w:val="21"/>
          <w:szCs w:val="21"/>
        </w:rPr>
        <w:t xml:space="preserve">technically sound international river </w:t>
      </w:r>
      <w:r w:rsidRPr="003309E5">
        <w:rPr>
          <w:rFonts w:cs="Calibri"/>
          <w:sz w:val="21"/>
          <w:szCs w:val="21"/>
        </w:rPr>
        <w:t xml:space="preserve">basin </w:t>
      </w:r>
      <w:r w:rsidR="00005C9B" w:rsidRPr="003309E5">
        <w:rPr>
          <w:rFonts w:cs="Calibri"/>
          <w:sz w:val="21"/>
          <w:szCs w:val="21"/>
        </w:rPr>
        <w:t xml:space="preserve">management plans, </w:t>
      </w:r>
      <w:r w:rsidR="0082208F" w:rsidRPr="003309E5">
        <w:rPr>
          <w:rFonts w:cs="Calibri"/>
          <w:sz w:val="21"/>
          <w:szCs w:val="21"/>
        </w:rPr>
        <w:t>agreed</w:t>
      </w:r>
      <w:r w:rsidR="00005C9B" w:rsidRPr="003309E5">
        <w:rPr>
          <w:rFonts w:cs="Calibri"/>
          <w:sz w:val="21"/>
          <w:szCs w:val="21"/>
        </w:rPr>
        <w:t xml:space="preserve"> by the respective riparian countries, </w:t>
      </w:r>
      <w:r w:rsidR="0082208F" w:rsidRPr="003309E5">
        <w:rPr>
          <w:rFonts w:cs="Calibri"/>
          <w:sz w:val="21"/>
          <w:szCs w:val="21"/>
        </w:rPr>
        <w:t>this project will resolve the stalemate by e</w:t>
      </w:r>
      <w:r w:rsidR="00BB75CA" w:rsidRPr="003309E5">
        <w:rPr>
          <w:rFonts w:cs="Calibri"/>
          <w:sz w:val="21"/>
          <w:szCs w:val="21"/>
        </w:rPr>
        <w:t>nhancing</w:t>
      </w:r>
      <w:r w:rsidR="0082208F" w:rsidRPr="003309E5">
        <w:rPr>
          <w:rFonts w:cs="Calibri"/>
          <w:sz w:val="21"/>
          <w:szCs w:val="21"/>
        </w:rPr>
        <w:t xml:space="preserve"> </w:t>
      </w:r>
      <w:r w:rsidRPr="003309E5">
        <w:rPr>
          <w:rFonts w:cs="Calibri"/>
          <w:sz w:val="21"/>
          <w:szCs w:val="21"/>
        </w:rPr>
        <w:t xml:space="preserve">statutory planning and management </w:t>
      </w:r>
      <w:r w:rsidR="0082208F" w:rsidRPr="003309E5">
        <w:rPr>
          <w:rFonts w:cs="Calibri"/>
          <w:sz w:val="21"/>
          <w:szCs w:val="21"/>
        </w:rPr>
        <w:t xml:space="preserve">policies and regulations to address </w:t>
      </w:r>
      <w:r w:rsidRPr="003309E5">
        <w:rPr>
          <w:rFonts w:cs="Calibri"/>
          <w:sz w:val="21"/>
          <w:szCs w:val="21"/>
        </w:rPr>
        <w:t xml:space="preserve">LDN </w:t>
      </w:r>
      <w:r w:rsidR="0082208F" w:rsidRPr="003309E5">
        <w:rPr>
          <w:rFonts w:cs="Calibri"/>
          <w:sz w:val="21"/>
          <w:szCs w:val="21"/>
        </w:rPr>
        <w:t>at sub-basin</w:t>
      </w:r>
      <w:r w:rsidR="00BB75CA" w:rsidRPr="003309E5">
        <w:rPr>
          <w:rFonts w:cs="Calibri"/>
          <w:sz w:val="21"/>
          <w:szCs w:val="21"/>
        </w:rPr>
        <w:t xml:space="preserve"> levels.</w:t>
      </w:r>
    </w:p>
    <w:p w14:paraId="2D335275" w14:textId="309C1882" w:rsidR="00D54CC9" w:rsidRPr="00D54CC9" w:rsidRDefault="00D54CC9" w:rsidP="001667C6">
      <w:pPr>
        <w:pStyle w:val="ListParagraph"/>
        <w:numPr>
          <w:ilvl w:val="1"/>
          <w:numId w:val="51"/>
        </w:numPr>
        <w:spacing w:before="80" w:after="80"/>
        <w:ind w:left="993" w:hanging="284"/>
        <w:contextualSpacing w:val="0"/>
        <w:rPr>
          <w:rFonts w:cs="Calibri"/>
          <w:sz w:val="21"/>
          <w:szCs w:val="21"/>
        </w:rPr>
      </w:pPr>
      <w:r w:rsidRPr="00D54CC9">
        <w:rPr>
          <w:rFonts w:cs="Calibri"/>
          <w:b/>
          <w:bCs/>
          <w:sz w:val="21"/>
          <w:szCs w:val="21"/>
        </w:rPr>
        <w:t xml:space="preserve">Existing </w:t>
      </w:r>
      <w:r>
        <w:rPr>
          <w:rFonts w:cs="Calibri"/>
          <w:b/>
          <w:bCs/>
          <w:sz w:val="21"/>
          <w:szCs w:val="21"/>
        </w:rPr>
        <w:t xml:space="preserve">policy/regulatory </w:t>
      </w:r>
      <w:r w:rsidRPr="00D54CC9">
        <w:rPr>
          <w:rFonts w:cs="Calibri"/>
          <w:b/>
          <w:bCs/>
          <w:sz w:val="21"/>
          <w:szCs w:val="21"/>
        </w:rPr>
        <w:t>provisions for the establishment of seed banks</w:t>
      </w:r>
      <w:r>
        <w:rPr>
          <w:rFonts w:cs="Calibri"/>
          <w:sz w:val="21"/>
          <w:szCs w:val="21"/>
        </w:rPr>
        <w:t xml:space="preserve"> – refer to Activity 2.2.2a for details.</w:t>
      </w:r>
    </w:p>
    <w:p w14:paraId="58E72C36" w14:textId="51CFD536" w:rsidR="00DD73F1" w:rsidRDefault="00DD73F1" w:rsidP="001667C6">
      <w:pPr>
        <w:pStyle w:val="ListParagraph"/>
        <w:numPr>
          <w:ilvl w:val="1"/>
          <w:numId w:val="51"/>
        </w:numPr>
        <w:spacing w:before="80" w:after="80"/>
        <w:ind w:left="993" w:hanging="284"/>
        <w:contextualSpacing w:val="0"/>
        <w:rPr>
          <w:rFonts w:cs="Calibri"/>
          <w:sz w:val="21"/>
          <w:szCs w:val="21"/>
        </w:rPr>
      </w:pPr>
      <w:r w:rsidRPr="003309E5">
        <w:rPr>
          <w:rFonts w:cs="Calibri"/>
          <w:b/>
          <w:bCs/>
          <w:sz w:val="21"/>
          <w:szCs w:val="21"/>
        </w:rPr>
        <w:t>Regulation and certification of harvesting and marketing NTFP</w:t>
      </w:r>
      <w:r w:rsidR="00BB75CA" w:rsidRPr="003309E5">
        <w:rPr>
          <w:rFonts w:cs="Calibri"/>
          <w:b/>
          <w:bCs/>
          <w:sz w:val="21"/>
          <w:szCs w:val="21"/>
        </w:rPr>
        <w:t xml:space="preserve">s </w:t>
      </w:r>
      <w:r w:rsidR="00BB75CA" w:rsidRPr="003309E5">
        <w:rPr>
          <w:rFonts w:cs="Calibri"/>
          <w:sz w:val="21"/>
          <w:szCs w:val="21"/>
        </w:rPr>
        <w:t xml:space="preserve">offers a huge opportunity to capitalize on </w:t>
      </w:r>
      <w:r w:rsidR="00950936" w:rsidRPr="003309E5">
        <w:rPr>
          <w:rFonts w:cs="Calibri"/>
          <w:sz w:val="21"/>
          <w:szCs w:val="21"/>
        </w:rPr>
        <w:t>demands</w:t>
      </w:r>
      <w:r w:rsidR="00BB75CA" w:rsidRPr="003309E5">
        <w:rPr>
          <w:rFonts w:cs="Calibri"/>
          <w:sz w:val="21"/>
          <w:szCs w:val="21"/>
        </w:rPr>
        <w:t xml:space="preserve"> for NTFPs, given</w:t>
      </w:r>
      <w:r w:rsidRPr="003309E5">
        <w:rPr>
          <w:rFonts w:cs="Calibri"/>
          <w:sz w:val="21"/>
          <w:szCs w:val="21"/>
        </w:rPr>
        <w:t xml:space="preserve"> </w:t>
      </w:r>
      <w:r w:rsidR="00BB75CA" w:rsidRPr="003309E5">
        <w:rPr>
          <w:rFonts w:cs="Calibri"/>
          <w:sz w:val="21"/>
          <w:szCs w:val="21"/>
        </w:rPr>
        <w:t xml:space="preserve">the long list of NTFPs from drylands </w:t>
      </w:r>
      <w:r w:rsidR="00950936" w:rsidRPr="003309E5">
        <w:rPr>
          <w:rFonts w:cs="Calibri"/>
          <w:sz w:val="21"/>
          <w:szCs w:val="21"/>
        </w:rPr>
        <w:t xml:space="preserve">in Angola </w:t>
      </w:r>
      <w:r w:rsidR="00BB75CA" w:rsidRPr="003309E5">
        <w:rPr>
          <w:rFonts w:cs="Calibri"/>
          <w:sz w:val="21"/>
          <w:szCs w:val="21"/>
        </w:rPr>
        <w:t xml:space="preserve">currently marketed, </w:t>
      </w:r>
      <w:r w:rsidR="00950936" w:rsidRPr="003309E5">
        <w:rPr>
          <w:rFonts w:cs="Calibri"/>
          <w:sz w:val="21"/>
          <w:szCs w:val="21"/>
        </w:rPr>
        <w:t>of</w:t>
      </w:r>
      <w:r w:rsidR="00BB75CA" w:rsidRPr="003309E5">
        <w:rPr>
          <w:rFonts w:cs="Calibri"/>
          <w:sz w:val="21"/>
          <w:szCs w:val="21"/>
        </w:rPr>
        <w:t xml:space="preserve"> which only</w:t>
      </w:r>
      <w:r w:rsidRPr="003309E5">
        <w:rPr>
          <w:rFonts w:cs="Calibri"/>
          <w:sz w:val="21"/>
          <w:szCs w:val="21"/>
        </w:rPr>
        <w:t xml:space="preserve"> honey is currently m</w:t>
      </w:r>
      <w:r w:rsidR="00BB75CA" w:rsidRPr="003309E5">
        <w:rPr>
          <w:rFonts w:cs="Calibri"/>
          <w:sz w:val="21"/>
          <w:szCs w:val="21"/>
        </w:rPr>
        <w:t>arginally</w:t>
      </w:r>
      <w:r w:rsidRPr="003309E5">
        <w:rPr>
          <w:rFonts w:cs="Calibri"/>
          <w:sz w:val="21"/>
          <w:szCs w:val="21"/>
        </w:rPr>
        <w:t xml:space="preserve"> controlled and regulated.</w:t>
      </w:r>
    </w:p>
    <w:p w14:paraId="67613DAA" w14:textId="2DBEC79B" w:rsidR="002A214E" w:rsidRPr="002A214E" w:rsidRDefault="00A71D81" w:rsidP="001667C6">
      <w:pPr>
        <w:pStyle w:val="Default"/>
        <w:numPr>
          <w:ilvl w:val="1"/>
          <w:numId w:val="51"/>
        </w:numPr>
        <w:spacing w:before="80" w:after="80"/>
        <w:ind w:left="993" w:hanging="284"/>
        <w:rPr>
          <w:rFonts w:ascii="Calibri" w:hAnsi="Calibri" w:cs="Calibri"/>
          <w:sz w:val="21"/>
          <w:szCs w:val="21"/>
        </w:rPr>
      </w:pPr>
      <w:r>
        <w:rPr>
          <w:rFonts w:ascii="Calibri" w:hAnsi="Calibri" w:cs="Calibri"/>
          <w:b/>
          <w:bCs/>
          <w:sz w:val="21"/>
          <w:szCs w:val="21"/>
        </w:rPr>
        <w:t>Extent of a</w:t>
      </w:r>
      <w:r w:rsidR="002A214E" w:rsidRPr="00C47465">
        <w:rPr>
          <w:rFonts w:ascii="Calibri" w:hAnsi="Calibri" w:cs="Calibri"/>
          <w:b/>
          <w:bCs/>
          <w:sz w:val="21"/>
          <w:szCs w:val="21"/>
        </w:rPr>
        <w:t>lignment of national policies and strategies</w:t>
      </w:r>
      <w:r w:rsidR="00B176ED" w:rsidRPr="00C47465">
        <w:rPr>
          <w:rFonts w:ascii="Calibri" w:hAnsi="Calibri" w:cs="Calibri"/>
          <w:b/>
          <w:bCs/>
          <w:sz w:val="21"/>
          <w:szCs w:val="21"/>
        </w:rPr>
        <w:t xml:space="preserve"> with </w:t>
      </w:r>
      <w:r w:rsidRPr="00C47465">
        <w:rPr>
          <w:rFonts w:ascii="Calibri" w:hAnsi="Calibri" w:cs="Calibri"/>
          <w:b/>
          <w:bCs/>
          <w:sz w:val="21"/>
          <w:szCs w:val="21"/>
        </w:rPr>
        <w:t xml:space="preserve">regional </w:t>
      </w:r>
      <w:r w:rsidR="00C47465" w:rsidRPr="00C47465">
        <w:rPr>
          <w:rFonts w:ascii="Calibri" w:hAnsi="Calibri" w:cs="Calibri"/>
          <w:b/>
          <w:bCs/>
          <w:sz w:val="21"/>
          <w:szCs w:val="21"/>
        </w:rPr>
        <w:t xml:space="preserve">land and water policies and </w:t>
      </w:r>
      <w:r w:rsidR="00B176ED" w:rsidRPr="00A71D81">
        <w:rPr>
          <w:rFonts w:ascii="Calibri" w:hAnsi="Calibri" w:cs="Calibri"/>
          <w:b/>
          <w:bCs/>
          <w:sz w:val="21"/>
          <w:szCs w:val="21"/>
        </w:rPr>
        <w:t>initiatives</w:t>
      </w:r>
      <w:r w:rsidR="00C47465" w:rsidRPr="00A71D81">
        <w:rPr>
          <w:rFonts w:ascii="Calibri" w:hAnsi="Calibri" w:cs="Calibri"/>
          <w:b/>
          <w:bCs/>
          <w:sz w:val="21"/>
          <w:szCs w:val="21"/>
        </w:rPr>
        <w:t xml:space="preserve"> </w:t>
      </w:r>
      <w:r w:rsidR="00B176ED" w:rsidRPr="00A71D81">
        <w:rPr>
          <w:rFonts w:ascii="Calibri" w:hAnsi="Calibri" w:cs="Calibri"/>
          <w:b/>
          <w:bCs/>
          <w:sz w:val="21"/>
          <w:szCs w:val="21"/>
        </w:rPr>
        <w:t>that promote LDN</w:t>
      </w:r>
      <w:r w:rsidR="00B176ED">
        <w:rPr>
          <w:rFonts w:ascii="Calibri" w:hAnsi="Calibri" w:cs="Calibri"/>
          <w:sz w:val="21"/>
          <w:szCs w:val="21"/>
        </w:rPr>
        <w:t xml:space="preserve"> to ensure consistency and generate synergy where appropriate.</w:t>
      </w:r>
      <w:r>
        <w:rPr>
          <w:rFonts w:ascii="Calibri" w:hAnsi="Calibri" w:cs="Calibri"/>
          <w:sz w:val="21"/>
          <w:szCs w:val="21"/>
        </w:rPr>
        <w:t xml:space="preserve"> </w:t>
      </w:r>
      <w:r w:rsidR="00DD301D" w:rsidRPr="00DD301D">
        <w:rPr>
          <w:rFonts w:ascii="Calibri" w:hAnsi="Calibri" w:cs="Calibri"/>
          <w:sz w:val="21"/>
          <w:szCs w:val="21"/>
        </w:rPr>
        <w:t>Examples include</w:t>
      </w:r>
      <w:r w:rsidR="00DD301D">
        <w:rPr>
          <w:rFonts w:ascii="Calibri" w:hAnsi="Calibri" w:cs="Calibri"/>
          <w:sz w:val="21"/>
          <w:szCs w:val="21"/>
        </w:rPr>
        <w:t>:</w:t>
      </w:r>
      <w:r w:rsidR="00DD301D" w:rsidRPr="00DD301D">
        <w:rPr>
          <w:rFonts w:ascii="Calibri" w:hAnsi="Calibri" w:cs="Calibri"/>
          <w:sz w:val="21"/>
          <w:szCs w:val="21"/>
        </w:rPr>
        <w:t xml:space="preserve"> SADC’s related policies and initiatives</w:t>
      </w:r>
      <w:r w:rsidR="00DD301D">
        <w:rPr>
          <w:rFonts w:ascii="Calibri" w:hAnsi="Calibri" w:cs="Calibri"/>
          <w:sz w:val="21"/>
          <w:szCs w:val="21"/>
        </w:rPr>
        <w:t>,</w:t>
      </w:r>
      <w:r w:rsidR="00DD301D" w:rsidRPr="00DD301D">
        <w:rPr>
          <w:rFonts w:ascii="Calibri" w:hAnsi="Calibri" w:cs="Calibri"/>
          <w:sz w:val="21"/>
          <w:szCs w:val="21"/>
        </w:rPr>
        <w:t xml:space="preserve"> such as the Environment and Sustainable Development Program under the Food, Agriculture and Natural </w:t>
      </w:r>
      <w:r w:rsidR="00DD301D" w:rsidRPr="00B81D0B">
        <w:rPr>
          <w:rFonts w:ascii="Calibri" w:hAnsi="Calibri" w:cs="Calibri"/>
          <w:sz w:val="21"/>
          <w:szCs w:val="21"/>
        </w:rPr>
        <w:t>Resources Directorate (FANR) and the Regional Indicative Strategic Development; OKACOM’s experience with international river basins; and the Great Green Wall Initiative for Southern Africa (GGWI-S)</w:t>
      </w:r>
      <w:r w:rsidR="00F32786" w:rsidRPr="00B81D0B">
        <w:rPr>
          <w:rStyle w:val="FootnoteReference"/>
          <w:rFonts w:ascii="Calibri" w:hAnsi="Calibri" w:cs="Calibri"/>
          <w:sz w:val="21"/>
          <w:szCs w:val="21"/>
        </w:rPr>
        <w:footnoteReference w:id="64"/>
      </w:r>
      <w:r w:rsidR="00DD301D" w:rsidRPr="00B81D0B">
        <w:rPr>
          <w:rFonts w:ascii="Calibri" w:hAnsi="Calibri" w:cs="Calibri"/>
          <w:sz w:val="21"/>
          <w:szCs w:val="21"/>
        </w:rPr>
        <w:t>.</w:t>
      </w:r>
      <w:r w:rsidRPr="00B81D0B">
        <w:rPr>
          <w:rFonts w:ascii="Calibri" w:hAnsi="Calibri" w:cs="Calibri"/>
          <w:sz w:val="21"/>
          <w:szCs w:val="21"/>
        </w:rPr>
        <w:t>,</w:t>
      </w:r>
      <w:r w:rsidR="002A214E" w:rsidRPr="00B81D0B">
        <w:rPr>
          <w:rFonts w:ascii="Calibri" w:hAnsi="Calibri" w:cs="Calibri"/>
          <w:sz w:val="21"/>
          <w:szCs w:val="21"/>
        </w:rPr>
        <w:t xml:space="preserve">This </w:t>
      </w:r>
      <w:r w:rsidR="00DD301D" w:rsidRPr="00B81D0B">
        <w:rPr>
          <w:rFonts w:ascii="Calibri" w:hAnsi="Calibri" w:cs="Calibri"/>
          <w:sz w:val="21"/>
          <w:szCs w:val="21"/>
        </w:rPr>
        <w:t xml:space="preserve">task </w:t>
      </w:r>
      <w:r w:rsidR="002A214E" w:rsidRPr="00B81D0B">
        <w:rPr>
          <w:rFonts w:ascii="Calibri" w:hAnsi="Calibri" w:cs="Calibri"/>
          <w:sz w:val="21"/>
          <w:szCs w:val="21"/>
        </w:rPr>
        <w:t xml:space="preserve">will be facilitated by the GCP and Regional Support Facility (RSF) </w:t>
      </w:r>
      <w:r w:rsidR="00C47465" w:rsidRPr="00B81D0B">
        <w:rPr>
          <w:rFonts w:ascii="Calibri" w:hAnsi="Calibri" w:cs="Calibri"/>
          <w:sz w:val="21"/>
          <w:szCs w:val="21"/>
        </w:rPr>
        <w:t>under the DSL IP.</w:t>
      </w:r>
    </w:p>
    <w:p w14:paraId="13A103D3" w14:textId="77777777" w:rsidR="000034F7" w:rsidRDefault="008839E7" w:rsidP="001667C6">
      <w:pPr>
        <w:pStyle w:val="AAActivities"/>
        <w:numPr>
          <w:ilvl w:val="0"/>
          <w:numId w:val="99"/>
        </w:numPr>
        <w:tabs>
          <w:tab w:val="left" w:pos="709"/>
        </w:tabs>
        <w:spacing w:before="80" w:after="80"/>
        <w:ind w:left="709" w:hanging="284"/>
        <w:contextualSpacing w:val="0"/>
        <w:rPr>
          <w:sz w:val="21"/>
          <w:szCs w:val="21"/>
        </w:rPr>
      </w:pPr>
      <w:r w:rsidRPr="000034F7">
        <w:rPr>
          <w:b/>
          <w:bCs/>
          <w:sz w:val="21"/>
          <w:szCs w:val="21"/>
        </w:rPr>
        <w:t xml:space="preserve">Undertake the </w:t>
      </w:r>
      <w:r w:rsidR="000034F7">
        <w:rPr>
          <w:b/>
          <w:bCs/>
          <w:sz w:val="21"/>
          <w:szCs w:val="21"/>
        </w:rPr>
        <w:t>P</w:t>
      </w:r>
      <w:r w:rsidRPr="000034F7">
        <w:rPr>
          <w:b/>
          <w:bCs/>
          <w:sz w:val="21"/>
          <w:szCs w:val="21"/>
        </w:rPr>
        <w:t>olicy-</w:t>
      </w:r>
      <w:r w:rsidR="000034F7">
        <w:rPr>
          <w:b/>
          <w:bCs/>
          <w:sz w:val="21"/>
          <w:szCs w:val="21"/>
        </w:rPr>
        <w:t>R</w:t>
      </w:r>
      <w:r w:rsidRPr="000034F7">
        <w:rPr>
          <w:b/>
          <w:bCs/>
          <w:sz w:val="21"/>
          <w:szCs w:val="21"/>
        </w:rPr>
        <w:t xml:space="preserve">egulatory </w:t>
      </w:r>
      <w:r w:rsidR="000034F7">
        <w:rPr>
          <w:b/>
          <w:bCs/>
          <w:sz w:val="21"/>
          <w:szCs w:val="21"/>
        </w:rPr>
        <w:t>R</w:t>
      </w:r>
      <w:r w:rsidRPr="000034F7">
        <w:rPr>
          <w:b/>
          <w:bCs/>
          <w:sz w:val="21"/>
          <w:szCs w:val="21"/>
        </w:rPr>
        <w:t>eview</w:t>
      </w:r>
      <w:r w:rsidR="00DB61A2" w:rsidRPr="000034F7">
        <w:rPr>
          <w:sz w:val="21"/>
          <w:szCs w:val="21"/>
        </w:rPr>
        <w:t xml:space="preserve">, based on the </w:t>
      </w:r>
      <w:r w:rsidR="00244D72" w:rsidRPr="000034F7">
        <w:rPr>
          <w:sz w:val="21"/>
          <w:szCs w:val="21"/>
        </w:rPr>
        <w:t xml:space="preserve">ToR generated from the </w:t>
      </w:r>
      <w:r w:rsidR="00DB61A2" w:rsidRPr="000034F7">
        <w:rPr>
          <w:sz w:val="21"/>
          <w:szCs w:val="21"/>
        </w:rPr>
        <w:t>above scoping exercise</w:t>
      </w:r>
      <w:r w:rsidR="002B265E" w:rsidRPr="000034F7">
        <w:rPr>
          <w:sz w:val="21"/>
          <w:szCs w:val="21"/>
        </w:rPr>
        <w:t xml:space="preserve">. It is anticipated that consultant(s) will be </w:t>
      </w:r>
      <w:r w:rsidR="00244D72" w:rsidRPr="000034F7">
        <w:rPr>
          <w:sz w:val="21"/>
          <w:szCs w:val="21"/>
        </w:rPr>
        <w:t xml:space="preserve">recruited </w:t>
      </w:r>
      <w:r w:rsidR="002B265E" w:rsidRPr="000034F7">
        <w:rPr>
          <w:sz w:val="21"/>
          <w:szCs w:val="21"/>
        </w:rPr>
        <w:t>for this purpose</w:t>
      </w:r>
      <w:r w:rsidR="00244D72" w:rsidRPr="000034F7">
        <w:rPr>
          <w:sz w:val="21"/>
          <w:szCs w:val="21"/>
        </w:rPr>
        <w:t xml:space="preserve"> and work under the guidance of the Legal Task Force</w:t>
      </w:r>
      <w:r w:rsidR="002B265E" w:rsidRPr="000034F7">
        <w:rPr>
          <w:sz w:val="21"/>
          <w:szCs w:val="21"/>
        </w:rPr>
        <w:t>.</w:t>
      </w:r>
      <w:r w:rsidR="00244D72" w:rsidRPr="000034F7">
        <w:rPr>
          <w:sz w:val="21"/>
          <w:szCs w:val="21"/>
        </w:rPr>
        <w:t xml:space="preserve"> The consultancy</w:t>
      </w:r>
      <w:r w:rsidR="003452F0" w:rsidRPr="000034F7">
        <w:rPr>
          <w:sz w:val="21"/>
          <w:szCs w:val="21"/>
        </w:rPr>
        <w:t>,</w:t>
      </w:r>
      <w:r w:rsidR="00244D72" w:rsidRPr="000034F7">
        <w:rPr>
          <w:sz w:val="21"/>
          <w:szCs w:val="21"/>
        </w:rPr>
        <w:t xml:space="preserve"> </w:t>
      </w:r>
      <w:r w:rsidR="003452F0" w:rsidRPr="000034F7">
        <w:rPr>
          <w:sz w:val="21"/>
          <w:szCs w:val="21"/>
        </w:rPr>
        <w:t xml:space="preserve">supported by the Task Force, </w:t>
      </w:r>
      <w:r w:rsidR="00244D72" w:rsidRPr="000034F7">
        <w:rPr>
          <w:sz w:val="21"/>
          <w:szCs w:val="21"/>
        </w:rPr>
        <w:t xml:space="preserve">will include </w:t>
      </w:r>
      <w:r w:rsidR="003452F0" w:rsidRPr="000034F7">
        <w:rPr>
          <w:sz w:val="21"/>
          <w:szCs w:val="21"/>
        </w:rPr>
        <w:t>consulting with</w:t>
      </w:r>
      <w:r w:rsidR="000D5F90" w:rsidRPr="000034F7">
        <w:rPr>
          <w:sz w:val="21"/>
          <w:szCs w:val="21"/>
        </w:rPr>
        <w:t xml:space="preserve"> </w:t>
      </w:r>
      <w:r w:rsidR="003452F0" w:rsidRPr="000034F7">
        <w:rPr>
          <w:sz w:val="21"/>
          <w:szCs w:val="21"/>
        </w:rPr>
        <w:t xml:space="preserve">relevant </w:t>
      </w:r>
      <w:r w:rsidR="000D5F90" w:rsidRPr="000034F7">
        <w:rPr>
          <w:sz w:val="21"/>
          <w:szCs w:val="21"/>
        </w:rPr>
        <w:t>stakeholder</w:t>
      </w:r>
      <w:r w:rsidR="003452F0" w:rsidRPr="000034F7">
        <w:rPr>
          <w:sz w:val="21"/>
          <w:szCs w:val="21"/>
        </w:rPr>
        <w:t xml:space="preserve"> groups</w:t>
      </w:r>
      <w:r w:rsidR="000D5F90" w:rsidRPr="000034F7">
        <w:rPr>
          <w:sz w:val="21"/>
          <w:szCs w:val="21"/>
        </w:rPr>
        <w:t xml:space="preserve"> </w:t>
      </w:r>
      <w:r w:rsidR="003452F0" w:rsidRPr="000034F7">
        <w:rPr>
          <w:sz w:val="21"/>
          <w:szCs w:val="21"/>
        </w:rPr>
        <w:t>on</w:t>
      </w:r>
      <w:r w:rsidR="000D5F90" w:rsidRPr="000034F7">
        <w:rPr>
          <w:sz w:val="21"/>
          <w:szCs w:val="21"/>
        </w:rPr>
        <w:t xml:space="preserve"> </w:t>
      </w:r>
      <w:r w:rsidR="00244D72" w:rsidRPr="000034F7">
        <w:rPr>
          <w:sz w:val="21"/>
          <w:szCs w:val="21"/>
        </w:rPr>
        <w:t xml:space="preserve">the draft </w:t>
      </w:r>
      <w:r w:rsidR="000D5F90" w:rsidRPr="000034F7">
        <w:rPr>
          <w:sz w:val="21"/>
          <w:szCs w:val="21"/>
        </w:rPr>
        <w:t xml:space="preserve">policy-regulatory </w:t>
      </w:r>
      <w:r w:rsidR="00244D72" w:rsidRPr="000034F7">
        <w:rPr>
          <w:sz w:val="21"/>
          <w:szCs w:val="21"/>
        </w:rPr>
        <w:t>review</w:t>
      </w:r>
      <w:r w:rsidR="000D5F90" w:rsidRPr="000034F7">
        <w:rPr>
          <w:sz w:val="21"/>
          <w:szCs w:val="21"/>
        </w:rPr>
        <w:t xml:space="preserve">, </w:t>
      </w:r>
      <w:r w:rsidR="003452F0" w:rsidRPr="000034F7">
        <w:rPr>
          <w:sz w:val="21"/>
          <w:szCs w:val="21"/>
        </w:rPr>
        <w:t>using</w:t>
      </w:r>
      <w:r w:rsidR="000D5F90" w:rsidRPr="000034F7">
        <w:rPr>
          <w:sz w:val="21"/>
          <w:szCs w:val="21"/>
        </w:rPr>
        <w:t xml:space="preserve"> the</w:t>
      </w:r>
      <w:r w:rsidR="003452F0" w:rsidRPr="000034F7">
        <w:rPr>
          <w:sz w:val="21"/>
          <w:szCs w:val="21"/>
        </w:rPr>
        <w:t xml:space="preserve"> structures and processes</w:t>
      </w:r>
      <w:r w:rsidR="000D5F90" w:rsidRPr="000034F7">
        <w:rPr>
          <w:sz w:val="21"/>
          <w:szCs w:val="21"/>
        </w:rPr>
        <w:t xml:space="preserve"> </w:t>
      </w:r>
      <w:r w:rsidR="003452F0" w:rsidRPr="000034F7">
        <w:rPr>
          <w:sz w:val="21"/>
          <w:szCs w:val="21"/>
        </w:rPr>
        <w:t xml:space="preserve">specified in the </w:t>
      </w:r>
      <w:r w:rsidR="000D5F90" w:rsidRPr="000034F7">
        <w:rPr>
          <w:sz w:val="21"/>
          <w:szCs w:val="21"/>
        </w:rPr>
        <w:t xml:space="preserve">Stakeholder Engagement Plans (Activity 1.1.1.d) </w:t>
      </w:r>
      <w:r w:rsidR="003452F0" w:rsidRPr="000034F7">
        <w:rPr>
          <w:sz w:val="21"/>
          <w:szCs w:val="21"/>
        </w:rPr>
        <w:t>for</w:t>
      </w:r>
      <w:r w:rsidR="000D5F90" w:rsidRPr="000034F7">
        <w:rPr>
          <w:sz w:val="21"/>
          <w:szCs w:val="21"/>
        </w:rPr>
        <w:t xml:space="preserve"> the respective landscapes</w:t>
      </w:r>
      <w:r w:rsidR="003452F0" w:rsidRPr="000034F7">
        <w:rPr>
          <w:sz w:val="21"/>
          <w:szCs w:val="21"/>
        </w:rPr>
        <w:t>, prior to its</w:t>
      </w:r>
      <w:r w:rsidR="00244D72" w:rsidRPr="000034F7">
        <w:rPr>
          <w:sz w:val="21"/>
          <w:szCs w:val="21"/>
        </w:rPr>
        <w:t xml:space="preserve"> finalization.</w:t>
      </w:r>
    </w:p>
    <w:p w14:paraId="5B225EEF" w14:textId="33A8AE69" w:rsidR="008839E7" w:rsidRDefault="000034F7" w:rsidP="001667C6">
      <w:pPr>
        <w:pStyle w:val="AAActivities"/>
        <w:numPr>
          <w:ilvl w:val="0"/>
          <w:numId w:val="99"/>
        </w:numPr>
        <w:tabs>
          <w:tab w:val="left" w:pos="709"/>
        </w:tabs>
        <w:spacing w:before="80" w:after="80"/>
        <w:ind w:left="709" w:hanging="284"/>
        <w:contextualSpacing w:val="0"/>
        <w:rPr>
          <w:sz w:val="21"/>
          <w:szCs w:val="21"/>
        </w:rPr>
      </w:pPr>
      <w:bookmarkStart w:id="121" w:name="_Ref49584224"/>
      <w:r w:rsidRPr="000034F7">
        <w:rPr>
          <w:b/>
          <w:bCs/>
          <w:sz w:val="21"/>
          <w:szCs w:val="21"/>
        </w:rPr>
        <w:t>Embed LDN principles within land use/management policy and</w:t>
      </w:r>
      <w:r w:rsidRPr="000034F7">
        <w:rPr>
          <w:sz w:val="21"/>
          <w:szCs w:val="21"/>
        </w:rPr>
        <w:t xml:space="preserve">, based on the policy-regulatory review findings, </w:t>
      </w:r>
      <w:r w:rsidRPr="000034F7">
        <w:rPr>
          <w:b/>
          <w:bCs/>
          <w:sz w:val="21"/>
          <w:szCs w:val="21"/>
        </w:rPr>
        <w:t>draft amendments to regulations, agreements, accords and, where needed, more formalized by-laws</w:t>
      </w:r>
      <w:r w:rsidRPr="000034F7">
        <w:rPr>
          <w:sz w:val="21"/>
          <w:szCs w:val="21"/>
        </w:rPr>
        <w:t xml:space="preserve">. In-house legal services will address this task, supported by professional legal services if deemed necessary. Draft materials (or easy-to-understand summaries) will also be shared with stakeholders in the same way as for </w:t>
      </w:r>
      <w:r w:rsidRPr="005F7375">
        <w:rPr>
          <w:b/>
          <w:bCs/>
          <w:sz w:val="21"/>
          <w:szCs w:val="21"/>
        </w:rPr>
        <w:t>Activitiy 1.1.2c</w:t>
      </w:r>
      <w:r w:rsidRPr="000034F7">
        <w:rPr>
          <w:sz w:val="21"/>
          <w:szCs w:val="21"/>
        </w:rPr>
        <w:t xml:space="preserve"> both for information and consultation purposes.</w:t>
      </w:r>
      <w:bookmarkEnd w:id="121"/>
    </w:p>
    <w:p w14:paraId="4F5005DD" w14:textId="773EF625" w:rsidR="005F7375" w:rsidRPr="000034F7" w:rsidRDefault="005F7375" w:rsidP="001667C6">
      <w:pPr>
        <w:pStyle w:val="AAActivities"/>
        <w:numPr>
          <w:ilvl w:val="0"/>
          <w:numId w:val="99"/>
        </w:numPr>
        <w:tabs>
          <w:tab w:val="left" w:pos="709"/>
        </w:tabs>
        <w:spacing w:before="80" w:after="0"/>
        <w:ind w:left="709" w:hanging="284"/>
        <w:contextualSpacing w:val="0"/>
        <w:rPr>
          <w:sz w:val="21"/>
          <w:szCs w:val="21"/>
        </w:rPr>
      </w:pPr>
      <w:r>
        <w:rPr>
          <w:b/>
          <w:bCs/>
          <w:sz w:val="21"/>
          <w:szCs w:val="21"/>
        </w:rPr>
        <w:lastRenderedPageBreak/>
        <w:t>Ensure that the Communication Strategy</w:t>
      </w:r>
      <w:r w:rsidR="003816C1">
        <w:rPr>
          <w:b/>
          <w:bCs/>
          <w:sz w:val="21"/>
          <w:szCs w:val="21"/>
        </w:rPr>
        <w:t xml:space="preserve"> (Activity 1.1.1e)</w:t>
      </w:r>
      <w:r>
        <w:rPr>
          <w:b/>
          <w:bCs/>
          <w:sz w:val="21"/>
          <w:szCs w:val="21"/>
        </w:rPr>
        <w:t xml:space="preserve"> is fully aligned with this </w:t>
      </w:r>
      <w:r w:rsidRPr="005F7375">
        <w:rPr>
          <w:b/>
          <w:bCs/>
          <w:sz w:val="21"/>
          <w:szCs w:val="21"/>
        </w:rPr>
        <w:t xml:space="preserve">Output so that stakeholders can be </w:t>
      </w:r>
      <w:r>
        <w:rPr>
          <w:b/>
          <w:bCs/>
          <w:sz w:val="21"/>
          <w:szCs w:val="21"/>
        </w:rPr>
        <w:t xml:space="preserve">appropriatedly </w:t>
      </w:r>
      <w:r w:rsidRPr="005F7375">
        <w:rPr>
          <w:b/>
          <w:bCs/>
          <w:sz w:val="21"/>
          <w:szCs w:val="21"/>
        </w:rPr>
        <w:t>targeted</w:t>
      </w:r>
      <w:r>
        <w:rPr>
          <w:sz w:val="21"/>
          <w:szCs w:val="21"/>
        </w:rPr>
        <w:t xml:space="preserve"> and kept </w:t>
      </w:r>
      <w:r w:rsidRPr="005F7375">
        <w:rPr>
          <w:sz w:val="21"/>
          <w:szCs w:val="21"/>
        </w:rPr>
        <w:t>well-informed about its progress, opportunities to engage in consultation processes</w:t>
      </w:r>
      <w:r>
        <w:rPr>
          <w:sz w:val="21"/>
          <w:szCs w:val="21"/>
        </w:rPr>
        <w:t xml:space="preserve"> and </w:t>
      </w:r>
      <w:r w:rsidR="00255294">
        <w:rPr>
          <w:sz w:val="21"/>
          <w:szCs w:val="21"/>
        </w:rPr>
        <w:t xml:space="preserve">capacity building events, and prepare for up-coming changes in </w:t>
      </w:r>
      <w:r w:rsidR="00B33376">
        <w:rPr>
          <w:sz w:val="21"/>
          <w:szCs w:val="21"/>
        </w:rPr>
        <w:t xml:space="preserve">land-use </w:t>
      </w:r>
      <w:r w:rsidR="00255294">
        <w:rPr>
          <w:sz w:val="21"/>
          <w:szCs w:val="21"/>
        </w:rPr>
        <w:t>policy and practices.</w:t>
      </w:r>
    </w:p>
    <w:bookmarkEnd w:id="120"/>
    <w:p w14:paraId="507BE251" w14:textId="1AE1EC18" w:rsidR="00186D6D" w:rsidRPr="00186D6D" w:rsidRDefault="00B41D6B" w:rsidP="001667C6">
      <w:pPr>
        <w:pStyle w:val="ParagraphOED"/>
        <w:numPr>
          <w:ilvl w:val="0"/>
          <w:numId w:val="102"/>
        </w:numPr>
        <w:spacing w:before="160" w:after="160"/>
      </w:pPr>
      <w:r>
        <w:t xml:space="preserve">During the PPG, </w:t>
      </w:r>
      <w:r w:rsidR="009563B4">
        <w:t xml:space="preserve">GoA </w:t>
      </w:r>
      <w:r w:rsidR="003816C1">
        <w:t xml:space="preserve">emphasized </w:t>
      </w:r>
      <w:r>
        <w:t xml:space="preserve">that ‘ensuring land tenure security’ is a national priority under its </w:t>
      </w:r>
      <w:r w:rsidRPr="1E65A5F7">
        <w:rPr>
          <w:rFonts w:eastAsia="Times New Roman"/>
          <w:color w:val="000000" w:themeColor="text1"/>
        </w:rPr>
        <w:t>Agricultural Sector Mid-Term Plan (</w:t>
      </w:r>
      <w:r>
        <w:t>PMPSA 2018-2022)</w:t>
      </w:r>
      <w:r w:rsidR="003119A4">
        <w:t>,</w:t>
      </w:r>
      <w:r>
        <w:t xml:space="preserve"> which is focused </w:t>
      </w:r>
      <w:r w:rsidR="003119A4">
        <w:t>on improving productive capacity and infrastructure in the Agrarian Sector. Hence, government’s strong support towards this project, which will be addressing this issue through a drylands lens.</w:t>
      </w:r>
      <w:r w:rsidR="00186D6D">
        <w:t xml:space="preserve"> </w:t>
      </w:r>
    </w:p>
    <w:p w14:paraId="18D9C80E" w14:textId="5EA058C6" w:rsidR="009E4F82" w:rsidRDefault="009B7D1D" w:rsidP="001667C6">
      <w:pPr>
        <w:pStyle w:val="ParagraphOED"/>
        <w:numPr>
          <w:ilvl w:val="0"/>
          <w:numId w:val="102"/>
        </w:numPr>
        <w:spacing w:after="160"/>
      </w:pPr>
      <w:r>
        <w:t>R</w:t>
      </w:r>
      <w:r w:rsidR="009E4F82" w:rsidRPr="619CA689">
        <w:t xml:space="preserve">evision of land tenure policy and regulations is </w:t>
      </w:r>
      <w:r w:rsidR="0DEF1169" w:rsidRPr="619CA689">
        <w:t>important</w:t>
      </w:r>
      <w:r>
        <w:t xml:space="preserve"> </w:t>
      </w:r>
      <w:r w:rsidR="009E4F82" w:rsidRPr="619CA689">
        <w:t xml:space="preserve">to underpinning the SLM/SFM </w:t>
      </w:r>
      <w:r w:rsidR="008408AD">
        <w:t>in the landscapes. I</w:t>
      </w:r>
      <w:r w:rsidR="009E4F82" w:rsidRPr="619CA689">
        <w:t xml:space="preserve">n order to achieve LDN, </w:t>
      </w:r>
      <w:r w:rsidR="009E4F82">
        <w:t xml:space="preserve">many of the issues are likely to </w:t>
      </w:r>
      <w:r w:rsidR="009E4F82" w:rsidRPr="00165301">
        <w:t>be more easily resolved</w:t>
      </w:r>
      <w:r w:rsidR="009E4F82">
        <w:t xml:space="preserve"> through the</w:t>
      </w:r>
      <w:r w:rsidR="009E4F82" w:rsidRPr="00165301">
        <w:t xml:space="preserve"> integrated landscape approach</w:t>
      </w:r>
      <w:r w:rsidR="009E4F82">
        <w:t xml:space="preserve"> piloted under Component 2</w:t>
      </w:r>
      <w:r w:rsidR="009E4F82" w:rsidRPr="00FD7D7A">
        <w:t xml:space="preserve"> </w:t>
      </w:r>
      <w:r w:rsidR="009E4F82">
        <w:t>by applying c</w:t>
      </w:r>
      <w:r w:rsidR="009E4F82" w:rsidRPr="00165301">
        <w:t xml:space="preserve">onflict resolution measures to address land </w:t>
      </w:r>
      <w:r w:rsidR="009E4F82">
        <w:t xml:space="preserve">tenure, land use </w:t>
      </w:r>
      <w:r w:rsidR="009E4F82" w:rsidRPr="00165301">
        <w:t xml:space="preserve">and boundary disputes as part of an inclusive </w:t>
      </w:r>
      <w:r w:rsidR="009E4F82">
        <w:t xml:space="preserve">process of </w:t>
      </w:r>
      <w:r w:rsidR="009E4F82" w:rsidRPr="00165301">
        <w:t xml:space="preserve">engagement </w:t>
      </w:r>
      <w:r w:rsidR="009E4F82">
        <w:t>with</w:t>
      </w:r>
      <w:r w:rsidR="009E4F82" w:rsidRPr="00165301">
        <w:t xml:space="preserve"> all relevant stakeholders.</w:t>
      </w:r>
      <w:r w:rsidR="009E4F82" w:rsidRPr="00165301">
        <w:rPr>
          <w:rStyle w:val="FootnoteReference"/>
        </w:rPr>
        <w:footnoteReference w:id="65"/>
      </w:r>
      <w:r w:rsidR="009E4F82">
        <w:t xml:space="preserve"> This is elaborated in the next section.</w:t>
      </w:r>
    </w:p>
    <w:p w14:paraId="064337BA" w14:textId="31EB12DD" w:rsidR="009E4F82" w:rsidRDefault="009E4F82" w:rsidP="001667C6">
      <w:pPr>
        <w:pStyle w:val="ParagraphOED"/>
        <w:numPr>
          <w:ilvl w:val="0"/>
          <w:numId w:val="102"/>
        </w:numPr>
      </w:pPr>
      <w:r>
        <w:t xml:space="preserve">Technical support  are readily available from FAO’s Land Tenure Unit (PSPL), including expertise, training manuals (e.g. </w:t>
      </w:r>
      <w:r w:rsidRPr="1E65A5F7">
        <w:rPr>
          <w:i/>
          <w:iCs/>
        </w:rPr>
        <w:t>Voluntary Guidelines on the Responsible Governance of Tenure</w:t>
      </w:r>
      <w:r>
        <w:t xml:space="preserve">) ful lessons can also be learned from FAO’s </w:t>
      </w:r>
      <w:r w:rsidRPr="1E65A5F7">
        <w:rPr>
          <w:i/>
          <w:iCs/>
        </w:rPr>
        <w:t>)</w:t>
      </w:r>
      <w:r>
        <w:t xml:space="preserve"> and its mapping </w:t>
      </w:r>
      <w:r w:rsidRPr="1E65A5F7">
        <w:rPr>
          <w:rFonts w:asciiTheme="minorHAnsi" w:hAnsiTheme="minorHAnsi" w:cstheme="minorBidi"/>
        </w:rPr>
        <w:t>application (SOLA Open Tenure)</w:t>
      </w:r>
      <w:r>
        <w:t xml:space="preserve">, any or all of which can be accessed to help address </w:t>
      </w:r>
      <w:r w:rsidR="00B33376">
        <w:t xml:space="preserve">land-use </w:t>
      </w:r>
      <w:r>
        <w:t>conflicts and boundaries disputes as implementation progresses.</w:t>
      </w:r>
    </w:p>
    <w:p w14:paraId="259C2C02" w14:textId="2BB3BE17" w:rsidR="009563B4" w:rsidRPr="008A7E2F" w:rsidRDefault="0031573C" w:rsidP="009B6DAA">
      <w:pPr>
        <w:pStyle w:val="Heading4"/>
        <w:shd w:val="clear" w:color="auto" w:fill="F7CAAC" w:themeFill="accent2" w:themeFillTint="66"/>
        <w:spacing w:before="240" w:after="160"/>
        <w:rPr>
          <w:rFonts w:ascii="Calibri" w:hAnsi="Calibri" w:cs="Calibri"/>
          <w:u w:val="none"/>
        </w:rPr>
      </w:pPr>
      <w:r w:rsidRPr="008A7E2F">
        <w:rPr>
          <w:rFonts w:ascii="Calibri" w:hAnsi="Calibri" w:cs="Calibri"/>
          <w:u w:val="none"/>
        </w:rPr>
        <w:t>C</w:t>
      </w:r>
      <w:r w:rsidR="009C45E2" w:rsidRPr="008A7E2F">
        <w:rPr>
          <w:rFonts w:ascii="Calibri" w:hAnsi="Calibri" w:cs="Calibri"/>
          <w:u w:val="none"/>
        </w:rPr>
        <w:t xml:space="preserve">omponent </w:t>
      </w:r>
      <w:r w:rsidRPr="008A7E2F">
        <w:rPr>
          <w:rFonts w:ascii="Calibri" w:hAnsi="Calibri" w:cs="Calibri"/>
          <w:u w:val="none"/>
        </w:rPr>
        <w:t xml:space="preserve">2. </w:t>
      </w:r>
      <w:r w:rsidR="009563B4" w:rsidRPr="008A7E2F">
        <w:rPr>
          <w:rFonts w:ascii="Calibri" w:hAnsi="Calibri" w:cs="Calibri"/>
          <w:u w:val="none"/>
        </w:rPr>
        <w:t xml:space="preserve">Strengthening implementation and </w:t>
      </w:r>
      <w:r w:rsidR="009C45E2" w:rsidRPr="008A7E2F">
        <w:rPr>
          <w:rFonts w:ascii="Calibri" w:hAnsi="Calibri" w:cs="Calibri"/>
          <w:u w:val="none"/>
        </w:rPr>
        <w:t>replicating</w:t>
      </w:r>
      <w:r w:rsidR="009563B4" w:rsidRPr="008A7E2F">
        <w:rPr>
          <w:rFonts w:ascii="Calibri" w:hAnsi="Calibri" w:cs="Calibri"/>
          <w:u w:val="none"/>
        </w:rPr>
        <w:t xml:space="preserve"> SLM and SFM practices  </w:t>
      </w:r>
    </w:p>
    <w:p w14:paraId="04F0C82E" w14:textId="0C155470" w:rsidR="009563B4" w:rsidRPr="00CE1EA7" w:rsidRDefault="009563B4" w:rsidP="001667C6">
      <w:pPr>
        <w:pStyle w:val="ParagraphOED"/>
        <w:numPr>
          <w:ilvl w:val="0"/>
          <w:numId w:val="102"/>
        </w:numPr>
        <w:spacing w:after="160"/>
      </w:pPr>
      <w:r>
        <w:t>Component 2</w:t>
      </w:r>
      <w:r w:rsidR="00C1151C">
        <w:t xml:space="preserve"> is focused on the practical application of</w:t>
      </w:r>
      <w:r>
        <w:t xml:space="preserve"> the landscape approach</w:t>
      </w:r>
      <w:r w:rsidR="003560A0">
        <w:t>:</w:t>
      </w:r>
      <w:r>
        <w:t xml:space="preserve"> </w:t>
      </w:r>
      <w:r w:rsidRPr="1E65A5F7">
        <w:rPr>
          <w:u w:val="single"/>
        </w:rPr>
        <w:t>first and foremost</w:t>
      </w:r>
      <w:r>
        <w:t xml:space="preserve"> through </w:t>
      </w:r>
      <w:r w:rsidR="003560A0">
        <w:t>the</w:t>
      </w:r>
      <w:r>
        <w:t xml:space="preserve"> use </w:t>
      </w:r>
      <w:r w:rsidR="003560A0">
        <w:t>of</w:t>
      </w:r>
      <w:r>
        <w:t xml:space="preserve"> spatial planning </w:t>
      </w:r>
      <w:r w:rsidR="003560A0">
        <w:t>to</w:t>
      </w:r>
      <w:r>
        <w:t xml:space="preserve"> </w:t>
      </w:r>
      <w:r w:rsidR="003560A0">
        <w:t xml:space="preserve">identify and </w:t>
      </w:r>
      <w:r>
        <w:t>prioritiz</w:t>
      </w:r>
      <w:r w:rsidR="003560A0">
        <w:t>e</w:t>
      </w:r>
      <w:r>
        <w:t xml:space="preserve"> SLM</w:t>
      </w:r>
      <w:r w:rsidR="003560A0">
        <w:t>/</w:t>
      </w:r>
      <w:r>
        <w:t xml:space="preserve">SFM measures according to the local and </w:t>
      </w:r>
      <w:r w:rsidR="00C80214">
        <w:t>landscape (</w:t>
      </w:r>
      <w:r w:rsidR="003560A0">
        <w:t>sub-basin</w:t>
      </w:r>
      <w:r w:rsidR="00C80214">
        <w:t>)</w:t>
      </w:r>
      <w:r w:rsidR="003560A0">
        <w:t xml:space="preserve"> </w:t>
      </w:r>
      <w:r>
        <w:t>context</w:t>
      </w:r>
      <w:r w:rsidR="003560A0">
        <w:t>;</w:t>
      </w:r>
      <w:r>
        <w:t xml:space="preserve"> </w:t>
      </w:r>
      <w:r w:rsidRPr="1E65A5F7">
        <w:rPr>
          <w:u w:val="single"/>
        </w:rPr>
        <w:t>secondly,</w:t>
      </w:r>
      <w:r>
        <w:t xml:space="preserve"> through select</w:t>
      </w:r>
      <w:r w:rsidR="003560A0">
        <w:t>ing and imlementing</w:t>
      </w:r>
      <w:r>
        <w:t xml:space="preserve"> SLM/SFM practices within the target landscapes</w:t>
      </w:r>
      <w:r w:rsidR="00A32A2A">
        <w:t>; and thirdly, through one or more investment mechanisms established under the Capacity Development Program</w:t>
      </w:r>
      <w:r w:rsidR="00225939">
        <w:t xml:space="preserve"> (Ouput 2.1.4)</w:t>
      </w:r>
      <w:r w:rsidR="00A32A2A">
        <w:t xml:space="preserve"> to enable individual land users and communities secure the </w:t>
      </w:r>
      <w:r w:rsidR="00225939">
        <w:t xml:space="preserve">financial </w:t>
      </w:r>
      <w:r w:rsidR="00A32A2A">
        <w:t xml:space="preserve">resources necessary to </w:t>
      </w:r>
      <w:r w:rsidR="00225939">
        <w:t>make a paradigm shift in their land use activities towards LDN and realize their aspirations</w:t>
      </w:r>
      <w:r>
        <w:t xml:space="preserve">. The dissemination and upscaling of the SLM/SFM practices will </w:t>
      </w:r>
      <w:r w:rsidR="000C60FC">
        <w:t>depend</w:t>
      </w:r>
      <w:r>
        <w:t xml:space="preserve"> on two main multiplier mechanisms: (i) rollout of agrarian support services through Farmer Field Schools (FFS</w:t>
      </w:r>
      <w:r w:rsidR="000C60FC">
        <w:t>s</w:t>
      </w:r>
      <w:r>
        <w:t>) and Forest-Farm Facilit</w:t>
      </w:r>
      <w:r w:rsidR="000C60FC">
        <w:t>ies</w:t>
      </w:r>
      <w:r>
        <w:t xml:space="preserve"> (FFF</w:t>
      </w:r>
      <w:r w:rsidR="000C60FC">
        <w:t>s</w:t>
      </w:r>
      <w:r>
        <w:t xml:space="preserve">), </w:t>
      </w:r>
      <w:r w:rsidR="00A32A2A">
        <w:t xml:space="preserve">such as </w:t>
      </w:r>
      <w:r>
        <w:t>community seed banks (CSB</w:t>
      </w:r>
      <w:r w:rsidR="000C60FC">
        <w:t>s</w:t>
      </w:r>
      <w:r>
        <w:t>)</w:t>
      </w:r>
      <w:r w:rsidR="00A32A2A">
        <w:t>,</w:t>
      </w:r>
      <w:r w:rsidR="00C80214">
        <w:t xml:space="preserve"> under Outcome 2.2</w:t>
      </w:r>
      <w:r>
        <w:t>; and (ii) strategic investments in the development of drylands’ value chain</w:t>
      </w:r>
      <w:r w:rsidR="000C60FC">
        <w:t>s</w:t>
      </w:r>
      <w:r w:rsidR="00C80214">
        <w:t xml:space="preserve"> (Outcome 2.3)</w:t>
      </w:r>
      <w:r>
        <w:t xml:space="preserve">. </w:t>
      </w:r>
    </w:p>
    <w:p w14:paraId="78D3C850" w14:textId="4FE2939A" w:rsidR="00047A1C" w:rsidRDefault="00047A1C" w:rsidP="001667C6">
      <w:pPr>
        <w:pStyle w:val="ParagraphOED"/>
        <w:numPr>
          <w:ilvl w:val="0"/>
          <w:numId w:val="102"/>
        </w:numPr>
        <w:spacing w:after="160"/>
      </w:pPr>
      <w:r w:rsidRPr="00CE1EA7">
        <w:t xml:space="preserve">Component </w:t>
      </w:r>
      <w:r>
        <w:t>2</w:t>
      </w:r>
      <w:r w:rsidRPr="00CE1EA7">
        <w:t xml:space="preserve"> draws </w:t>
      </w:r>
      <w:r w:rsidR="00B33376">
        <w:t>on</w:t>
      </w:r>
      <w:r w:rsidRPr="00CE1EA7">
        <w:t xml:space="preserve"> </w:t>
      </w:r>
      <w:r>
        <w:t>the</w:t>
      </w:r>
      <w:r w:rsidRPr="00CE1EA7">
        <w:t xml:space="preserve"> UNCCD </w:t>
      </w:r>
      <w:r w:rsidRPr="002E1E5A">
        <w:t>enabling</w:t>
      </w:r>
      <w:r w:rsidR="00C80214">
        <w:t>-</w:t>
      </w:r>
      <w:r w:rsidRPr="002E1E5A">
        <w:t>environment guidance for LDN</w:t>
      </w:r>
      <w:r w:rsidR="00BF77A4">
        <w:t>, particularly with respect to the financial and science-policy interface dimensions (</w:t>
      </w:r>
      <w:r w:rsidR="00BF77A4" w:rsidRPr="00C80214">
        <w:rPr>
          <w:highlight w:val="lightGray"/>
        </w:rPr>
        <w:fldChar w:fldCharType="begin"/>
      </w:r>
      <w:r w:rsidR="00BF77A4" w:rsidRPr="00C80214">
        <w:rPr>
          <w:highlight w:val="lightGray"/>
        </w:rPr>
        <w:instrText xml:space="preserve"> REF _Ref41252555 \h </w:instrText>
      </w:r>
      <w:r w:rsidR="00C80214">
        <w:rPr>
          <w:highlight w:val="lightGray"/>
        </w:rPr>
        <w:instrText xml:space="preserve"> \* MERGEFORMAT </w:instrText>
      </w:r>
      <w:r w:rsidR="00BF77A4" w:rsidRPr="00C80214">
        <w:rPr>
          <w:highlight w:val="lightGray"/>
        </w:rPr>
      </w:r>
      <w:r w:rsidR="00BF77A4" w:rsidRPr="00C80214">
        <w:rPr>
          <w:highlight w:val="lightGray"/>
        </w:rPr>
        <w:fldChar w:fldCharType="separate"/>
      </w:r>
      <w:r w:rsidR="00A64193" w:rsidRPr="00A64193">
        <w:rPr>
          <w:highlight w:val="lightGray"/>
        </w:rPr>
        <w:t xml:space="preserve">Table </w:t>
      </w:r>
      <w:r w:rsidR="00A64193" w:rsidRPr="00A64193">
        <w:rPr>
          <w:noProof/>
          <w:highlight w:val="lightGray"/>
        </w:rPr>
        <w:t>2</w:t>
      </w:r>
      <w:r w:rsidR="00BF77A4" w:rsidRPr="00C80214">
        <w:rPr>
          <w:highlight w:val="lightGray"/>
        </w:rPr>
        <w:fldChar w:fldCharType="end"/>
      </w:r>
      <w:r w:rsidR="00BF77A4">
        <w:t>)</w:t>
      </w:r>
      <w:r w:rsidRPr="00CE1EA7">
        <w:t>.</w:t>
      </w:r>
      <w:r w:rsidR="00DB0FC9">
        <w:t xml:space="preserve"> It</w:t>
      </w:r>
      <w:r w:rsidR="00DB0FC9" w:rsidRPr="00F252FB">
        <w:t xml:space="preserve"> </w:t>
      </w:r>
      <w:r w:rsidR="00DB0FC9">
        <w:t xml:space="preserve">is designed to address Barriers 3 (land tenure), 4 (unsustainable land management) and 5 (access to finance and markets), </w:t>
      </w:r>
      <w:r w:rsidR="005E0A85">
        <w:t xml:space="preserve">as </w:t>
      </w:r>
      <w:r w:rsidR="00DB0FC9">
        <w:t>elaborated in Section 2.1. The underlying assumptions concern: a willingness among all stakeholders to engage across sectors in the governance of LDN (A.1); political will to address land tenure issues (A.2); market demands for dryland products from</w:t>
      </w:r>
      <w:r w:rsidR="00493F8B">
        <w:t>southern Angola</w:t>
      </w:r>
      <w:r w:rsidR="00DB0FC9">
        <w:t xml:space="preserve"> that will fuel green commodities and value chains (A.3)</w:t>
      </w:r>
      <w:r w:rsidR="005E0A85">
        <w:t>; and a private sector willing to invest in SLM/SFM, encouraged by supportive regulatory and</w:t>
      </w:r>
      <w:r w:rsidR="0010746D">
        <w:t xml:space="preserve"> financial environments (A5)</w:t>
      </w:r>
      <w:r w:rsidR="00DB0FC9">
        <w:t>. These scenarios are depicted  in the ToC diagram.</w:t>
      </w:r>
    </w:p>
    <w:p w14:paraId="243C3373" w14:textId="39680DE4" w:rsidR="009563B4" w:rsidRPr="00CE1EA7" w:rsidRDefault="0007462E" w:rsidP="001667C6">
      <w:pPr>
        <w:pStyle w:val="ParagraphOED"/>
        <w:numPr>
          <w:ilvl w:val="0"/>
          <w:numId w:val="102"/>
        </w:numPr>
        <w:spacing w:after="160"/>
      </w:pPr>
      <w:r>
        <w:t>S</w:t>
      </w:r>
      <w:r w:rsidR="00A42C90">
        <w:t xml:space="preserve">patial planning </w:t>
      </w:r>
      <w:r>
        <w:t xml:space="preserve">of </w:t>
      </w:r>
      <w:r w:rsidR="00A42C90">
        <w:t xml:space="preserve">land use </w:t>
      </w:r>
      <w:r w:rsidR="009563B4">
        <w:t xml:space="preserve">will </w:t>
      </w:r>
      <w:r w:rsidR="00A42C90">
        <w:t>be based on</w:t>
      </w:r>
      <w:r w:rsidR="009563B4">
        <w:t xml:space="preserve"> systematic assessment of land and water potential in </w:t>
      </w:r>
      <w:r w:rsidR="00A42C90">
        <w:t>target</w:t>
      </w:r>
      <w:r w:rsidR="009563B4">
        <w:t xml:space="preserve"> landscapes. It will be comprehensive but pragmatic, drawing in stakeholders</w:t>
      </w:r>
      <w:r w:rsidR="00CA4449">
        <w:t xml:space="preserve"> from relevant sectors in order to </w:t>
      </w:r>
      <w:r w:rsidR="00237F15">
        <w:t>express</w:t>
      </w:r>
      <w:r w:rsidR="00CA4449">
        <w:t xml:space="preserve"> their specific interests in an integrated</w:t>
      </w:r>
      <w:r w:rsidR="004B468D">
        <w:t>, partic</w:t>
      </w:r>
      <w:r w:rsidR="00237F15">
        <w:t>i</w:t>
      </w:r>
      <w:r w:rsidR="004B468D">
        <w:t>patory</w:t>
      </w:r>
      <w:r w:rsidR="009563B4">
        <w:t xml:space="preserve"> </w:t>
      </w:r>
      <w:r w:rsidR="00CA4449">
        <w:t xml:space="preserve">manner within a holistic </w:t>
      </w:r>
      <w:r w:rsidR="00237F15">
        <w:t>context (</w:t>
      </w:r>
      <w:r w:rsidR="009563B4">
        <w:t>landscape</w:t>
      </w:r>
      <w:r w:rsidR="00237F15">
        <w:t>/</w:t>
      </w:r>
      <w:r w:rsidR="00CA4449">
        <w:t xml:space="preserve">sub-basin) </w:t>
      </w:r>
      <w:r w:rsidR="00C3369B">
        <w:t>that is</w:t>
      </w:r>
      <w:r w:rsidR="009563B4">
        <w:t xml:space="preserve"> LDN </w:t>
      </w:r>
      <w:r w:rsidR="00C3369B">
        <w:t>focused</w:t>
      </w:r>
      <w:r w:rsidR="009563B4">
        <w:t xml:space="preserve">. </w:t>
      </w:r>
      <w:r w:rsidR="004B468D">
        <w:t>Partic</w:t>
      </w:r>
      <w:r w:rsidR="00C3369B">
        <w:t>i</w:t>
      </w:r>
      <w:r w:rsidR="004B468D">
        <w:t xml:space="preserve">patory </w:t>
      </w:r>
      <w:r w:rsidR="009563B4">
        <w:t>planning, including agricultur</w:t>
      </w:r>
      <w:r w:rsidR="004B468D">
        <w:t>e (</w:t>
      </w:r>
      <w:r w:rsidR="009563B4">
        <w:t>past</w:t>
      </w:r>
      <w:r w:rsidR="00237F15">
        <w:t>ure</w:t>
      </w:r>
      <w:r w:rsidR="009563B4">
        <w:t>, crop</w:t>
      </w:r>
      <w:r w:rsidR="004B468D">
        <w:t>s</w:t>
      </w:r>
      <w:r w:rsidR="00237F15">
        <w:t>,</w:t>
      </w:r>
      <w:r w:rsidR="009563B4">
        <w:t xml:space="preserve"> forests</w:t>
      </w:r>
      <w:r w:rsidR="004B468D">
        <w:t xml:space="preserve">), </w:t>
      </w:r>
      <w:r w:rsidR="00532752">
        <w:t xml:space="preserve">environment (nature, water, air), </w:t>
      </w:r>
      <w:r w:rsidR="009563B4">
        <w:t xml:space="preserve">industry </w:t>
      </w:r>
      <w:r w:rsidR="004B468D">
        <w:t>(food, timber, water</w:t>
      </w:r>
      <w:r w:rsidR="00532752">
        <w:t>, waste management</w:t>
      </w:r>
      <w:r w:rsidR="004B468D">
        <w:t xml:space="preserve">), </w:t>
      </w:r>
      <w:r w:rsidR="00532752">
        <w:t>local government,</w:t>
      </w:r>
      <w:r w:rsidR="009563B4">
        <w:t xml:space="preserve"> </w:t>
      </w:r>
      <w:r w:rsidR="00532752">
        <w:t xml:space="preserve">communities, NGOs, CSOs and any other </w:t>
      </w:r>
      <w:r w:rsidR="009563B4">
        <w:t>interested parties</w:t>
      </w:r>
      <w:r w:rsidR="00532752">
        <w:t xml:space="preserve">, </w:t>
      </w:r>
      <w:r w:rsidR="009563B4">
        <w:t xml:space="preserve">is </w:t>
      </w:r>
      <w:r w:rsidR="00237F15">
        <w:t xml:space="preserve">most </w:t>
      </w:r>
      <w:r w:rsidR="009563B4">
        <w:t xml:space="preserve">important when dealing with common property and land that can be potentially claimed by communities on the basis of their customary rights, </w:t>
      </w:r>
      <w:r w:rsidR="00C3369B">
        <w:t xml:space="preserve">especially </w:t>
      </w:r>
      <w:r w:rsidR="00E66D33">
        <w:t xml:space="preserve">as </w:t>
      </w:r>
      <w:r w:rsidR="009563B4">
        <w:t>many communit</w:t>
      </w:r>
      <w:r w:rsidR="00C3369B">
        <w:t>y lands</w:t>
      </w:r>
      <w:r w:rsidR="009563B4">
        <w:t xml:space="preserve"> are degraded and conflicts over </w:t>
      </w:r>
      <w:r w:rsidR="00B33376">
        <w:t xml:space="preserve">land-use </w:t>
      </w:r>
      <w:r w:rsidR="009563B4">
        <w:t xml:space="preserve">rights may exist. </w:t>
      </w:r>
      <w:r w:rsidR="3C8C6444">
        <w:t>W</w:t>
      </w:r>
      <w:r w:rsidR="75DA4BEA">
        <w:t xml:space="preserve">hen relevant for the integrated plans </w:t>
      </w:r>
      <w:r w:rsidR="50B4717A">
        <w:t>, land tenure will be adressed through the project intervention by supporting communities in offcicially recogn</w:t>
      </w:r>
      <w:r w:rsidR="1246D612">
        <w:t xml:space="preserve">izing their lands or strengethening capacitie in local institutions to carry out land delimitations. </w:t>
      </w:r>
    </w:p>
    <w:p w14:paraId="348E9919" w14:textId="359F4555" w:rsidR="009563B4" w:rsidRPr="00A66182" w:rsidRDefault="009563B4" w:rsidP="001667C6">
      <w:pPr>
        <w:pStyle w:val="ParagraphOED"/>
        <w:numPr>
          <w:ilvl w:val="0"/>
          <w:numId w:val="102"/>
        </w:numPr>
        <w:spacing w:after="160"/>
      </w:pPr>
      <w:r>
        <w:t>Alternative</w:t>
      </w:r>
      <w:r w:rsidR="00300E6E">
        <w:t>s</w:t>
      </w:r>
      <w:r>
        <w:t xml:space="preserve"> for land under specific use</w:t>
      </w:r>
      <w:r w:rsidR="00300E6E">
        <w:t>s</w:t>
      </w:r>
      <w:r>
        <w:t xml:space="preserve"> </w:t>
      </w:r>
      <w:r w:rsidR="0007462E">
        <w:t>take into account</w:t>
      </w:r>
      <w:r>
        <w:t xml:space="preserve"> economic conditions and potential LDN benefits. Some land may be proposed </w:t>
      </w:r>
      <w:r w:rsidR="00300E6E">
        <w:t>for restoration,</w:t>
      </w:r>
      <w:r>
        <w:t xml:space="preserve"> especially forest. In order to assess potential </w:t>
      </w:r>
      <w:r w:rsidR="00300E6E">
        <w:t xml:space="preserve">land uses </w:t>
      </w:r>
      <w:r>
        <w:t xml:space="preserve">and </w:t>
      </w:r>
      <w:r w:rsidR="00300E6E">
        <w:t>identify</w:t>
      </w:r>
      <w:r>
        <w:t xml:space="preserve"> </w:t>
      </w:r>
      <w:r>
        <w:lastRenderedPageBreak/>
        <w:t>the best option</w:t>
      </w:r>
      <w:r w:rsidR="00300E6E">
        <w:t>s</w:t>
      </w:r>
      <w:r>
        <w:t xml:space="preserve">, local assessments and consultations </w:t>
      </w:r>
      <w:r w:rsidR="0061620C">
        <w:t xml:space="preserve">are </w:t>
      </w:r>
      <w:r w:rsidR="0007462E">
        <w:t>antic</w:t>
      </w:r>
      <w:r w:rsidR="0061620C">
        <w:t>i</w:t>
      </w:r>
      <w:r w:rsidR="0007462E">
        <w:t xml:space="preserve">pated </w:t>
      </w:r>
      <w:r>
        <w:t xml:space="preserve">under </w:t>
      </w:r>
      <w:r w:rsidR="007F67AC" w:rsidRPr="1E65A5F7">
        <w:rPr>
          <w:u w:val="single"/>
        </w:rPr>
        <w:t>Output 1.1.1</w:t>
      </w:r>
      <w:r w:rsidRPr="1E65A5F7">
        <w:rPr>
          <w:u w:val="single"/>
        </w:rPr>
        <w:t>.</w:t>
      </w:r>
      <w:r>
        <w:t xml:space="preserve"> </w:t>
      </w:r>
      <w:r w:rsidR="0061620C">
        <w:t>and these will need to align with national and cross-boundary interests as part of t</w:t>
      </w:r>
      <w:r>
        <w:t>he landscape-level</w:t>
      </w:r>
      <w:r w:rsidR="0061620C">
        <w:t xml:space="preserve"> ILUP process</w:t>
      </w:r>
      <w:r>
        <w:t>.</w:t>
      </w:r>
    </w:p>
    <w:p w14:paraId="56183B21" w14:textId="24B0AC91" w:rsidR="009563B4" w:rsidRPr="00B81D0B" w:rsidRDefault="00BD00EE" w:rsidP="001667C6">
      <w:pPr>
        <w:pStyle w:val="ParagraphOED"/>
        <w:numPr>
          <w:ilvl w:val="0"/>
          <w:numId w:val="102"/>
        </w:numPr>
      </w:pPr>
      <w:r w:rsidRPr="00A66182">
        <w:t>I</w:t>
      </w:r>
      <w:r w:rsidR="009563B4" w:rsidRPr="00A66182">
        <w:t xml:space="preserve">mplementation of the </w:t>
      </w:r>
      <w:r w:rsidRPr="00A66182">
        <w:t>Integrated Land-Use Plan</w:t>
      </w:r>
      <w:r w:rsidR="009563B4" w:rsidRPr="00A66182">
        <w:t xml:space="preserve"> </w:t>
      </w:r>
      <w:r w:rsidRPr="00A66182">
        <w:t xml:space="preserve">will </w:t>
      </w:r>
      <w:r w:rsidR="009563B4" w:rsidRPr="00A66182">
        <w:t xml:space="preserve">be operationalized </w:t>
      </w:r>
      <w:r w:rsidRPr="00A66182">
        <w:t>initially through</w:t>
      </w:r>
      <w:r w:rsidR="009563B4" w:rsidRPr="00A66182">
        <w:t xml:space="preserve"> a set of project </w:t>
      </w:r>
      <w:r w:rsidRPr="00A66182">
        <w:t xml:space="preserve">intervention </w:t>
      </w:r>
      <w:r w:rsidR="009563B4" w:rsidRPr="00A66182">
        <w:t>sites, defined as Land Management Units (LMUs)</w:t>
      </w:r>
      <w:r w:rsidRPr="00A66182">
        <w:t>,</w:t>
      </w:r>
      <w:r w:rsidR="009563B4" w:rsidRPr="00A66182">
        <w:t xml:space="preserve"> located within the target</w:t>
      </w:r>
      <w:r w:rsidRPr="00A66182">
        <w:t xml:space="preserve"> landscapes (</w:t>
      </w:r>
      <w:r w:rsidR="009563B4" w:rsidRPr="00A66182">
        <w:t>sub-basins</w:t>
      </w:r>
      <w:r w:rsidRPr="00A66182">
        <w:t>)</w:t>
      </w:r>
      <w:r w:rsidR="009563B4" w:rsidRPr="00A66182">
        <w:t xml:space="preserve">. </w:t>
      </w:r>
      <w:r w:rsidRPr="00A66182">
        <w:t xml:space="preserve">Ultimately and certainly by the end of the project as part of an Exit Strategy, plans will be developed </w:t>
      </w:r>
      <w:r w:rsidR="00E73B5A" w:rsidRPr="00A66182">
        <w:t>for</w:t>
      </w:r>
      <w:r w:rsidR="009563B4" w:rsidRPr="00A66182">
        <w:t xml:space="preserve"> scal</w:t>
      </w:r>
      <w:r w:rsidR="00E73B5A" w:rsidRPr="00A66182">
        <w:t>ing</w:t>
      </w:r>
      <w:r w:rsidR="009563B4" w:rsidRPr="00A66182">
        <w:t xml:space="preserve"> </w:t>
      </w:r>
      <w:r w:rsidR="00E73B5A" w:rsidRPr="00A66182">
        <w:t>‘</w:t>
      </w:r>
      <w:r w:rsidR="009563B4" w:rsidRPr="00A66182">
        <w:t>out</w:t>
      </w:r>
      <w:r w:rsidR="00E73B5A" w:rsidRPr="00A66182">
        <w:t>’</w:t>
      </w:r>
      <w:r w:rsidR="009563B4" w:rsidRPr="00A66182">
        <w:t xml:space="preserve"> and </w:t>
      </w:r>
      <w:r w:rsidR="00E73B5A" w:rsidRPr="00A66182">
        <w:t>‘</w:t>
      </w:r>
      <w:r w:rsidR="009563B4" w:rsidRPr="00A66182">
        <w:t>deep</w:t>
      </w:r>
      <w:r w:rsidR="00E73B5A" w:rsidRPr="00A66182">
        <w:t>ing’</w:t>
      </w:r>
      <w:r w:rsidR="009563B4" w:rsidRPr="00A66182">
        <w:t xml:space="preserve"> the </w:t>
      </w:r>
      <w:r w:rsidR="009563B4" w:rsidRPr="00B81D0B">
        <w:t>relevant SLM and SFM practices</w:t>
      </w:r>
      <w:r w:rsidR="00E73B5A" w:rsidRPr="00B81D0B">
        <w:t xml:space="preserve"> across </w:t>
      </w:r>
      <w:r w:rsidR="00A66182" w:rsidRPr="00B81D0B">
        <w:t xml:space="preserve">the </w:t>
      </w:r>
      <w:r w:rsidR="00E73B5A" w:rsidRPr="00B81D0B">
        <w:t>target landscapes</w:t>
      </w:r>
      <w:r w:rsidR="009563B4" w:rsidRPr="00B81D0B">
        <w:t xml:space="preserve"> through replication </w:t>
      </w:r>
      <w:r w:rsidR="00E73B5A" w:rsidRPr="00B81D0B">
        <w:t>and adaptive</w:t>
      </w:r>
      <w:r w:rsidR="00E73B5A" w:rsidRPr="00B81D0B">
        <w:rPr>
          <w:rStyle w:val="FootnoteReference"/>
        </w:rPr>
        <w:footnoteReference w:id="66"/>
      </w:r>
      <w:r w:rsidR="00E73B5A" w:rsidRPr="00B81D0B">
        <w:t xml:space="preserve"> </w:t>
      </w:r>
      <w:r w:rsidR="009563B4" w:rsidRPr="00B81D0B">
        <w:t xml:space="preserve">measures. If </w:t>
      </w:r>
      <w:r w:rsidR="00A66182" w:rsidRPr="00B81D0B">
        <w:t>time and resources permit</w:t>
      </w:r>
      <w:r w:rsidR="009563B4" w:rsidRPr="00B81D0B">
        <w:t xml:space="preserve">, the project </w:t>
      </w:r>
      <w:r w:rsidR="00A66182" w:rsidRPr="00B81D0B">
        <w:t>will be able to reach out</w:t>
      </w:r>
      <w:r w:rsidR="009563B4" w:rsidRPr="00B81D0B">
        <w:t xml:space="preserve"> beyond the targeted landscapes</w:t>
      </w:r>
      <w:r w:rsidR="00E66D33" w:rsidRPr="00B81D0B">
        <w:t xml:space="preserve"> to other landscapes next in priority</w:t>
      </w:r>
      <w:r w:rsidR="009563B4" w:rsidRPr="00B81D0B">
        <w:t>.</w:t>
      </w:r>
    </w:p>
    <w:p w14:paraId="5D941126" w14:textId="7D15C242" w:rsidR="009563B4" w:rsidRDefault="1563CC0D" w:rsidP="001667C6">
      <w:pPr>
        <w:pStyle w:val="ParagraphOED"/>
        <w:numPr>
          <w:ilvl w:val="0"/>
          <w:numId w:val="102"/>
        </w:numPr>
        <w:spacing w:after="0" w:line="259" w:lineRule="auto"/>
        <w:rPr>
          <w:highlight w:val="yellow"/>
        </w:rPr>
      </w:pPr>
      <w:r w:rsidRPr="7F4D7136">
        <w:rPr>
          <w:highlight w:val="yellow"/>
        </w:rPr>
        <w:t xml:space="preserve">As explained before, the </w:t>
      </w:r>
      <w:r w:rsidR="76980430" w:rsidRPr="7F4D7136">
        <w:rPr>
          <w:highlight w:val="yellow"/>
        </w:rPr>
        <w:t xml:space="preserve">COVID-19 has negatively </w:t>
      </w:r>
      <w:r w:rsidR="3EC10B37" w:rsidRPr="7F4D7136">
        <w:rPr>
          <w:highlight w:val="yellow"/>
        </w:rPr>
        <w:t>impacted</w:t>
      </w:r>
      <w:r w:rsidR="76980430" w:rsidRPr="7F4D7136">
        <w:rPr>
          <w:highlight w:val="yellow"/>
        </w:rPr>
        <w:t xml:space="preserve"> in the agriculture sector</w:t>
      </w:r>
      <w:r w:rsidR="09F97BD7" w:rsidRPr="7F4D7136">
        <w:rPr>
          <w:highlight w:val="yellow"/>
        </w:rPr>
        <w:t>. The</w:t>
      </w:r>
      <w:r w:rsidRPr="7F4D7136">
        <w:rPr>
          <w:highlight w:val="yellow"/>
        </w:rPr>
        <w:t xml:space="preserve"> project will align and generate </w:t>
      </w:r>
      <w:r w:rsidR="6675ADC2" w:rsidRPr="7F4D7136">
        <w:rPr>
          <w:highlight w:val="yellow"/>
        </w:rPr>
        <w:t>synergies</w:t>
      </w:r>
      <w:r w:rsidR="4D91CE45" w:rsidRPr="7F4D7136">
        <w:rPr>
          <w:highlight w:val="yellow"/>
        </w:rPr>
        <w:t xml:space="preserve"> with government </w:t>
      </w:r>
      <w:r w:rsidR="0F41694B" w:rsidRPr="7F4D7136">
        <w:rPr>
          <w:highlight w:val="yellow"/>
        </w:rPr>
        <w:t>response</w:t>
      </w:r>
      <w:r w:rsidR="4D91CE45" w:rsidRPr="7F4D7136">
        <w:rPr>
          <w:highlight w:val="yellow"/>
        </w:rPr>
        <w:t xml:space="preserve"> programs to </w:t>
      </w:r>
      <w:r w:rsidR="0F41694B" w:rsidRPr="7F4D7136">
        <w:rPr>
          <w:highlight w:val="yellow"/>
        </w:rPr>
        <w:t>mitigate</w:t>
      </w:r>
      <w:r w:rsidR="4D91CE45" w:rsidRPr="7F4D7136">
        <w:rPr>
          <w:highlight w:val="yellow"/>
        </w:rPr>
        <w:t xml:space="preserve"> the negative </w:t>
      </w:r>
      <w:r w:rsidR="38625995" w:rsidRPr="7F4D7136">
        <w:rPr>
          <w:highlight w:val="yellow"/>
        </w:rPr>
        <w:t>impacts</w:t>
      </w:r>
      <w:r w:rsidR="4D91CE45" w:rsidRPr="7F4D7136">
        <w:rPr>
          <w:highlight w:val="yellow"/>
        </w:rPr>
        <w:t xml:space="preserve"> of COVID-19</w:t>
      </w:r>
      <w:r w:rsidR="47725025" w:rsidRPr="7F4D7136">
        <w:rPr>
          <w:highlight w:val="yellow"/>
        </w:rPr>
        <w:t xml:space="preserve">. In this sense, efforts will be made to find </w:t>
      </w:r>
      <w:r w:rsidR="02D64693" w:rsidRPr="7F4D7136">
        <w:rPr>
          <w:highlight w:val="yellow"/>
        </w:rPr>
        <w:t>synergies</w:t>
      </w:r>
      <w:r w:rsidR="47725025" w:rsidRPr="7F4D7136">
        <w:rPr>
          <w:highlight w:val="yellow"/>
        </w:rPr>
        <w:t xml:space="preserve"> </w:t>
      </w:r>
      <w:r w:rsidR="49036D67" w:rsidRPr="7F4D7136">
        <w:rPr>
          <w:highlight w:val="yellow"/>
        </w:rPr>
        <w:t xml:space="preserve">with </w:t>
      </w:r>
      <w:r w:rsidR="73DFD85B" w:rsidRPr="7F4D7136">
        <w:rPr>
          <w:highlight w:val="yellow"/>
        </w:rPr>
        <w:t>PIAAPF launched by</w:t>
      </w:r>
      <w:r w:rsidR="49036D67" w:rsidRPr="7F4D7136">
        <w:rPr>
          <w:highlight w:val="yellow"/>
        </w:rPr>
        <w:t xml:space="preserve"> MINAGRIP</w:t>
      </w:r>
      <w:r w:rsidR="73DFD85B" w:rsidRPr="7F4D7136">
        <w:rPr>
          <w:highlight w:val="yellow"/>
        </w:rPr>
        <w:t>.</w:t>
      </w:r>
      <w:r w:rsidR="49036D67" w:rsidRPr="7F4D7136">
        <w:rPr>
          <w:highlight w:val="yellow"/>
        </w:rPr>
        <w:t xml:space="preserve"> Specific co</w:t>
      </w:r>
      <w:r w:rsidR="797559A6" w:rsidRPr="7F4D7136">
        <w:rPr>
          <w:highlight w:val="yellow"/>
        </w:rPr>
        <w:t>o</w:t>
      </w:r>
      <w:r w:rsidR="49036D67" w:rsidRPr="7F4D7136">
        <w:rPr>
          <w:highlight w:val="yellow"/>
        </w:rPr>
        <w:t xml:space="preserve">rdination will be </w:t>
      </w:r>
      <w:r w:rsidR="42F8943F" w:rsidRPr="7F4D7136">
        <w:rPr>
          <w:highlight w:val="yellow"/>
        </w:rPr>
        <w:t>carried out specifically for outcome 2.2 and outcome 2.3.</w:t>
      </w:r>
    </w:p>
    <w:p w14:paraId="7552F126" w14:textId="77777777" w:rsidR="00360325" w:rsidRPr="00360325" w:rsidRDefault="00360325" w:rsidP="00360325">
      <w:pPr>
        <w:rPr>
          <w:highlight w:val="yellow"/>
          <w:lang w:val="en-US" w:eastAsia="en-US"/>
        </w:rPr>
      </w:pPr>
    </w:p>
    <w:p w14:paraId="1462BA12" w14:textId="27377FF7" w:rsidR="009563B4" w:rsidRDefault="292B534A" w:rsidP="001667C6">
      <w:pPr>
        <w:pStyle w:val="ParagraphOED"/>
        <w:numPr>
          <w:ilvl w:val="0"/>
          <w:numId w:val="102"/>
        </w:numPr>
        <w:spacing w:after="160"/>
      </w:pPr>
      <w:r>
        <w:t xml:space="preserve">The </w:t>
      </w:r>
      <w:r w:rsidR="00F57B83">
        <w:t>implementation of Component 2</w:t>
      </w:r>
      <w:r w:rsidR="23F61DFE">
        <w:t xml:space="preserve"> will be leaded by MCTA and the execution will be carried out by </w:t>
      </w:r>
      <w:r w:rsidR="001A0D32">
        <w:t>Local NGOs</w:t>
      </w:r>
      <w:r w:rsidR="00F57B83">
        <w:t xml:space="preserve">, collaborating closely with </w:t>
      </w:r>
      <w:r w:rsidR="009B43C9">
        <w:t>M</w:t>
      </w:r>
      <w:r w:rsidR="17DF52FE">
        <w:t>CTA</w:t>
      </w:r>
      <w:r w:rsidR="006B2054">
        <w:t xml:space="preserve"> </w:t>
      </w:r>
      <w:r w:rsidR="00F57B83">
        <w:t>and other key stakeholders</w:t>
      </w:r>
      <w:r w:rsidR="00A66182">
        <w:t>.</w:t>
      </w:r>
      <w:r w:rsidR="00EF0A1C">
        <w:t xml:space="preserve"> </w:t>
      </w:r>
      <w:r w:rsidR="69F3ACC5">
        <w:t>FAO will provide techncial assistance.</w:t>
      </w:r>
      <w:r w:rsidR="00EF0A1C" w:rsidRPr="1E65A5F7">
        <w:rPr>
          <w:b/>
          <w:bCs/>
        </w:rPr>
        <w:t xml:space="preserve"> </w:t>
      </w:r>
      <w:r w:rsidR="009563B4" w:rsidRPr="1E65A5F7">
        <w:rPr>
          <w:b/>
          <w:bCs/>
        </w:rPr>
        <w:t xml:space="preserve">Six programs </w:t>
      </w:r>
      <w:r w:rsidR="008602DB" w:rsidRPr="1E65A5F7">
        <w:rPr>
          <w:b/>
          <w:bCs/>
        </w:rPr>
        <w:t xml:space="preserve">contribute to </w:t>
      </w:r>
      <w:r w:rsidR="009563B4" w:rsidRPr="1E65A5F7">
        <w:rPr>
          <w:b/>
          <w:bCs/>
        </w:rPr>
        <w:t xml:space="preserve">the </w:t>
      </w:r>
      <w:r w:rsidR="008602DB" w:rsidRPr="1E65A5F7">
        <w:rPr>
          <w:b/>
          <w:bCs/>
        </w:rPr>
        <w:t xml:space="preserve">project’s </w:t>
      </w:r>
      <w:r w:rsidR="009563B4" w:rsidRPr="1E65A5F7">
        <w:rPr>
          <w:b/>
          <w:bCs/>
        </w:rPr>
        <w:t xml:space="preserve">baseline , three </w:t>
      </w:r>
      <w:r w:rsidR="008602DB" w:rsidRPr="1E65A5F7">
        <w:rPr>
          <w:b/>
          <w:bCs/>
        </w:rPr>
        <w:t>of which</w:t>
      </w:r>
      <w:r w:rsidR="009563B4" w:rsidRPr="1E65A5F7">
        <w:rPr>
          <w:b/>
          <w:bCs/>
        </w:rPr>
        <w:t xml:space="preserve"> </w:t>
      </w:r>
      <w:r w:rsidR="008602DB" w:rsidRPr="1E65A5F7">
        <w:rPr>
          <w:b/>
          <w:bCs/>
        </w:rPr>
        <w:t>will</w:t>
      </w:r>
      <w:r w:rsidR="009563B4" w:rsidRPr="1E65A5F7">
        <w:rPr>
          <w:b/>
          <w:bCs/>
        </w:rPr>
        <w:t xml:space="preserve"> co-financ</w:t>
      </w:r>
      <w:r w:rsidR="008602DB" w:rsidRPr="1E65A5F7">
        <w:rPr>
          <w:b/>
          <w:bCs/>
        </w:rPr>
        <w:t>e</w:t>
      </w:r>
      <w:r w:rsidR="009563B4" w:rsidRPr="1E65A5F7">
        <w:rPr>
          <w:b/>
          <w:bCs/>
        </w:rPr>
        <w:t xml:space="preserve"> Component 2</w:t>
      </w:r>
      <w:r w:rsidR="008602DB" w:rsidRPr="1E65A5F7">
        <w:rPr>
          <w:b/>
          <w:bCs/>
        </w:rPr>
        <w:t xml:space="preserve"> from the PND,</w:t>
      </w:r>
      <w:r w:rsidR="008602DB">
        <w:t xml:space="preserve"> as shown in the table below</w:t>
      </w:r>
      <w:r w:rsidR="009563B4">
        <w:t xml:space="preserve">. </w:t>
      </w:r>
      <w:r w:rsidR="008602DB">
        <w:t xml:space="preserve">As in </w:t>
      </w:r>
      <w:r w:rsidR="00EF0A1C">
        <w:t xml:space="preserve">the </w:t>
      </w:r>
      <w:r w:rsidR="008602DB">
        <w:t xml:space="preserve">case of Component 1, the project will collaborate closely with these ministries through partnerships or other applicable implementation arrangements. </w:t>
      </w:r>
    </w:p>
    <w:tbl>
      <w:tblPr>
        <w:tblW w:w="8993" w:type="dxa"/>
        <w:tblInd w:w="704" w:type="dxa"/>
        <w:tblLayout w:type="fixed"/>
        <w:tblLook w:val="04A0" w:firstRow="1" w:lastRow="0" w:firstColumn="1" w:lastColumn="0" w:noHBand="0" w:noVBand="1"/>
      </w:tblPr>
      <w:tblGrid>
        <w:gridCol w:w="7292"/>
        <w:gridCol w:w="708"/>
        <w:gridCol w:w="993"/>
      </w:tblGrid>
      <w:tr w:rsidR="00FC1060" w:rsidRPr="00CE1EA7" w14:paraId="5C78941F" w14:textId="77777777" w:rsidTr="25447658">
        <w:trPr>
          <w:trHeight w:val="136"/>
          <w:tblHeader/>
        </w:trPr>
        <w:tc>
          <w:tcPr>
            <w:tcW w:w="7292" w:type="dxa"/>
            <w:vMerge w:val="restart"/>
            <w:tcBorders>
              <w:top w:val="single" w:sz="4" w:space="0" w:color="auto"/>
              <w:left w:val="single" w:sz="4" w:space="0" w:color="auto"/>
              <w:right w:val="single" w:sz="4" w:space="0" w:color="auto"/>
            </w:tcBorders>
            <w:shd w:val="clear" w:color="auto" w:fill="000000" w:themeFill="text1"/>
            <w:noWrap/>
            <w:tcMar>
              <w:left w:w="57" w:type="dxa"/>
              <w:right w:w="28" w:type="dxa"/>
            </w:tcMar>
            <w:vAlign w:val="center"/>
          </w:tcPr>
          <w:p w14:paraId="2EE2506D" w14:textId="77777777" w:rsidR="00FC1060" w:rsidRPr="0056006C" w:rsidRDefault="00FC1060" w:rsidP="001B248C">
            <w:pPr>
              <w:jc w:val="center"/>
              <w:rPr>
                <w:rFonts w:asciiTheme="minorHAnsi" w:hAnsiTheme="minorHAnsi" w:cstheme="minorHAnsi"/>
                <w:b/>
                <w:bCs/>
                <w:color w:val="FFFFFF"/>
                <w:sz w:val="18"/>
                <w:szCs w:val="18"/>
              </w:rPr>
            </w:pPr>
            <w:r w:rsidRPr="0056006C">
              <w:rPr>
                <w:rFonts w:asciiTheme="minorHAnsi" w:hAnsiTheme="minorHAnsi" w:cstheme="minorHAnsi"/>
                <w:b/>
                <w:bCs/>
                <w:color w:val="FFFFFF"/>
                <w:sz w:val="18"/>
                <w:szCs w:val="18"/>
              </w:rPr>
              <w:t>Baseline Project / Program / Initiative</w:t>
            </w:r>
          </w:p>
        </w:tc>
        <w:tc>
          <w:tcPr>
            <w:tcW w:w="1701"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Mar>
              <w:left w:w="57" w:type="dxa"/>
              <w:right w:w="28" w:type="dxa"/>
            </w:tcMar>
            <w:vAlign w:val="center"/>
          </w:tcPr>
          <w:p w14:paraId="3B343240" w14:textId="4822B1E2" w:rsidR="00FC1060" w:rsidRPr="0056006C" w:rsidRDefault="00FC1060" w:rsidP="001B248C">
            <w:pPr>
              <w:jc w:val="center"/>
              <w:rPr>
                <w:rFonts w:asciiTheme="minorHAnsi" w:hAnsiTheme="minorHAnsi" w:cstheme="minorHAnsi"/>
                <w:color w:val="000000"/>
                <w:sz w:val="18"/>
                <w:szCs w:val="18"/>
              </w:rPr>
            </w:pPr>
            <w:r w:rsidRPr="0056006C">
              <w:rPr>
                <w:rFonts w:asciiTheme="minorHAnsi" w:hAnsiTheme="minorHAnsi" w:cstheme="minorHAnsi"/>
                <w:color w:val="000000"/>
                <w:sz w:val="18"/>
                <w:szCs w:val="18"/>
              </w:rPr>
              <w:t>Component 2</w:t>
            </w:r>
          </w:p>
        </w:tc>
      </w:tr>
      <w:tr w:rsidR="00FC1060" w:rsidRPr="00CE1EA7" w14:paraId="5322F028" w14:textId="77777777" w:rsidTr="25447658">
        <w:trPr>
          <w:trHeight w:val="136"/>
          <w:tblHeader/>
        </w:trPr>
        <w:tc>
          <w:tcPr>
            <w:tcW w:w="7292" w:type="dxa"/>
            <w:vMerge/>
            <w:noWrap/>
            <w:tcMar>
              <w:left w:w="57" w:type="dxa"/>
              <w:right w:w="28" w:type="dxa"/>
            </w:tcMar>
          </w:tcPr>
          <w:p w14:paraId="18D73F0F" w14:textId="77777777" w:rsidR="00FC1060" w:rsidRPr="0056006C" w:rsidRDefault="00FC1060" w:rsidP="001B248C">
            <w:pPr>
              <w:rPr>
                <w:rFonts w:asciiTheme="minorHAnsi" w:hAnsiTheme="minorHAnsi" w:cstheme="minorHAnsi"/>
                <w:b/>
                <w:bCs/>
                <w:color w:val="FFFFFF"/>
                <w:sz w:val="18"/>
                <w:szCs w:val="18"/>
              </w:rPr>
            </w:pPr>
          </w:p>
        </w:tc>
        <w:tc>
          <w:tcPr>
            <w:tcW w:w="708" w:type="dxa"/>
            <w:tcBorders>
              <w:top w:val="single" w:sz="4" w:space="0" w:color="auto"/>
              <w:left w:val="single" w:sz="4" w:space="0" w:color="auto"/>
              <w:bottom w:val="single" w:sz="4" w:space="0" w:color="auto"/>
              <w:right w:val="single" w:sz="4" w:space="0" w:color="auto"/>
            </w:tcBorders>
            <w:shd w:val="clear" w:color="auto" w:fill="D9D9D9" w:themeFill="background1" w:themeFillShade="D9"/>
            <w:tcMar>
              <w:left w:w="28" w:type="dxa"/>
              <w:right w:w="28" w:type="dxa"/>
            </w:tcMar>
          </w:tcPr>
          <w:p w14:paraId="149AD51B" w14:textId="77777777" w:rsidR="00FC1060" w:rsidRPr="0056006C" w:rsidRDefault="00FC1060" w:rsidP="001B248C">
            <w:pPr>
              <w:jc w:val="center"/>
              <w:rPr>
                <w:rFonts w:asciiTheme="minorHAnsi" w:hAnsiTheme="minorHAnsi" w:cstheme="minorHAnsi"/>
                <w:sz w:val="18"/>
                <w:szCs w:val="18"/>
              </w:rPr>
            </w:pPr>
            <w:r w:rsidRPr="0056006C">
              <w:rPr>
                <w:rFonts w:asciiTheme="minorHAnsi" w:hAnsiTheme="minorHAnsi" w:cstheme="minorHAnsi"/>
                <w:sz w:val="18"/>
                <w:szCs w:val="18"/>
              </w:rPr>
              <w:t>Baseline</w:t>
            </w:r>
          </w:p>
        </w:tc>
        <w:tc>
          <w:tcPr>
            <w:tcW w:w="993" w:type="dxa"/>
            <w:tcBorders>
              <w:top w:val="single" w:sz="4" w:space="0" w:color="auto"/>
              <w:left w:val="nil"/>
              <w:bottom w:val="single" w:sz="4" w:space="0" w:color="auto"/>
              <w:right w:val="single" w:sz="4" w:space="0" w:color="auto"/>
            </w:tcBorders>
            <w:shd w:val="clear" w:color="auto" w:fill="D9E2F3" w:themeFill="accent5" w:themeFillTint="33"/>
            <w:tcMar>
              <w:left w:w="28" w:type="dxa"/>
              <w:right w:w="28" w:type="dxa"/>
            </w:tcMar>
          </w:tcPr>
          <w:p w14:paraId="12EE1832" w14:textId="77777777" w:rsidR="00FC1060" w:rsidRPr="0056006C" w:rsidRDefault="00FC1060" w:rsidP="001B248C">
            <w:pPr>
              <w:jc w:val="center"/>
              <w:rPr>
                <w:rFonts w:asciiTheme="minorHAnsi" w:hAnsiTheme="minorHAnsi" w:cstheme="minorBidi"/>
                <w:color w:val="000000"/>
                <w:sz w:val="18"/>
                <w:szCs w:val="18"/>
              </w:rPr>
            </w:pPr>
            <w:r w:rsidRPr="72739566">
              <w:rPr>
                <w:rFonts w:asciiTheme="minorHAnsi" w:hAnsiTheme="minorHAnsi" w:cstheme="minorBidi"/>
                <w:color w:val="000000" w:themeColor="text1"/>
                <w:sz w:val="18"/>
                <w:szCs w:val="18"/>
              </w:rPr>
              <w:t>Co-financing</w:t>
            </w:r>
          </w:p>
        </w:tc>
      </w:tr>
      <w:tr w:rsidR="00FC1060" w:rsidRPr="00CE1EA7" w14:paraId="32FF3AB1" w14:textId="77777777" w:rsidTr="25447658">
        <w:trPr>
          <w:trHeight w:val="119"/>
        </w:trPr>
        <w:tc>
          <w:tcPr>
            <w:tcW w:w="7292" w:type="dxa"/>
            <w:tcBorders>
              <w:top w:val="nil"/>
              <w:left w:val="single" w:sz="4" w:space="0" w:color="auto"/>
              <w:bottom w:val="single" w:sz="4" w:space="0" w:color="auto"/>
              <w:right w:val="single" w:sz="4" w:space="0" w:color="auto"/>
            </w:tcBorders>
            <w:shd w:val="clear" w:color="auto" w:fill="auto"/>
            <w:noWrap/>
            <w:tcMar>
              <w:left w:w="57" w:type="dxa"/>
              <w:right w:w="28" w:type="dxa"/>
            </w:tcMar>
          </w:tcPr>
          <w:p w14:paraId="7E641EFF" w14:textId="125E14FC" w:rsidR="00FC1060" w:rsidRPr="0056006C" w:rsidRDefault="513831C8" w:rsidP="00FC1060">
            <w:pPr>
              <w:rPr>
                <w:rFonts w:asciiTheme="minorHAnsi" w:hAnsiTheme="minorHAnsi" w:cstheme="minorHAnsi"/>
                <w:color w:val="000000"/>
                <w:sz w:val="18"/>
                <w:szCs w:val="18"/>
              </w:rPr>
            </w:pPr>
            <w:r w:rsidRPr="0056006C">
              <w:rPr>
                <w:rFonts w:asciiTheme="minorHAnsi" w:hAnsiTheme="minorHAnsi" w:cstheme="minorHAnsi"/>
                <w:sz w:val="18"/>
                <w:szCs w:val="18"/>
              </w:rPr>
              <w:t>M</w:t>
            </w:r>
            <w:r w:rsidR="36FDA8E6" w:rsidRPr="0056006C">
              <w:rPr>
                <w:rFonts w:asciiTheme="minorHAnsi" w:hAnsiTheme="minorHAnsi" w:cstheme="minorHAnsi"/>
                <w:sz w:val="18"/>
                <w:szCs w:val="18"/>
              </w:rPr>
              <w:t>CTA</w:t>
            </w:r>
            <w:r w:rsidRPr="0056006C">
              <w:rPr>
                <w:rFonts w:asciiTheme="minorHAnsi" w:hAnsiTheme="minorHAnsi" w:cstheme="minorHAnsi"/>
                <w:sz w:val="18"/>
                <w:szCs w:val="18"/>
              </w:rPr>
              <w:t xml:space="preserve"> (</w:t>
            </w:r>
            <w:r w:rsidR="48384A70" w:rsidRPr="0056006C">
              <w:rPr>
                <w:rFonts w:asciiTheme="minorHAnsi" w:hAnsiTheme="minorHAnsi" w:cstheme="minorHAnsi"/>
                <w:sz w:val="18"/>
                <w:szCs w:val="18"/>
              </w:rPr>
              <w:t>DNAAC</w:t>
            </w:r>
            <w:r w:rsidRPr="0056006C">
              <w:rPr>
                <w:rFonts w:asciiTheme="minorHAnsi" w:hAnsiTheme="minorHAnsi" w:cstheme="minorHAnsi"/>
                <w:sz w:val="18"/>
                <w:szCs w:val="18"/>
              </w:rPr>
              <w:t>) PND #2.4.1: Climate Change</w:t>
            </w:r>
          </w:p>
        </w:tc>
        <w:tc>
          <w:tcPr>
            <w:tcW w:w="708" w:type="dxa"/>
            <w:tcBorders>
              <w:top w:val="nil"/>
              <w:left w:val="nil"/>
              <w:bottom w:val="single" w:sz="4" w:space="0" w:color="auto"/>
              <w:right w:val="single" w:sz="4" w:space="0" w:color="auto"/>
            </w:tcBorders>
            <w:shd w:val="clear" w:color="auto" w:fill="auto"/>
            <w:noWrap/>
            <w:tcMar>
              <w:left w:w="57" w:type="dxa"/>
              <w:right w:w="28" w:type="dxa"/>
            </w:tcMar>
          </w:tcPr>
          <w:p w14:paraId="62060F20" w14:textId="394E5DFB" w:rsidR="00FC1060" w:rsidRPr="0056006C" w:rsidRDefault="00FC1060" w:rsidP="00FC1060">
            <w:pPr>
              <w:jc w:val="center"/>
              <w:rPr>
                <w:rFonts w:asciiTheme="minorHAnsi" w:hAnsiTheme="minorHAnsi" w:cstheme="minorHAnsi"/>
                <w:sz w:val="18"/>
                <w:szCs w:val="18"/>
              </w:rPr>
            </w:pPr>
            <w:r w:rsidRPr="0056006C">
              <w:rPr>
                <w:rFonts w:asciiTheme="minorHAnsi" w:hAnsiTheme="minorHAnsi" w:cstheme="minorHAnsi"/>
                <w:sz w:val="18"/>
                <w:szCs w:val="18"/>
              </w:rPr>
              <w:t>$</w:t>
            </w:r>
            <w:r w:rsidR="00A24514" w:rsidRPr="0056006C">
              <w:rPr>
                <w:rFonts w:asciiTheme="minorHAnsi" w:hAnsiTheme="minorHAnsi" w:cstheme="minorHAnsi"/>
                <w:sz w:val="18"/>
                <w:szCs w:val="18"/>
              </w:rPr>
              <w:t>12.2</w:t>
            </w:r>
          </w:p>
        </w:tc>
        <w:tc>
          <w:tcPr>
            <w:tcW w:w="993" w:type="dxa"/>
            <w:tcBorders>
              <w:top w:val="nil"/>
              <w:left w:val="nil"/>
              <w:bottom w:val="single" w:sz="4" w:space="0" w:color="auto"/>
              <w:right w:val="single" w:sz="4" w:space="0" w:color="auto"/>
            </w:tcBorders>
            <w:shd w:val="clear" w:color="auto" w:fill="FFFFFF" w:themeFill="background1"/>
            <w:noWrap/>
            <w:tcMar>
              <w:left w:w="57" w:type="dxa"/>
              <w:right w:w="28" w:type="dxa"/>
            </w:tcMar>
          </w:tcPr>
          <w:p w14:paraId="1D7F2D72" w14:textId="723FB171" w:rsidR="00FC1060" w:rsidRPr="0056006C" w:rsidRDefault="33E89C0D" w:rsidP="25447658">
            <w:pPr>
              <w:jc w:val="center"/>
              <w:rPr>
                <w:rFonts w:asciiTheme="minorHAnsi" w:hAnsiTheme="minorHAnsi" w:cstheme="minorBidi"/>
                <w:color w:val="000000"/>
                <w:sz w:val="18"/>
                <w:szCs w:val="18"/>
              </w:rPr>
            </w:pPr>
            <w:r w:rsidRPr="25447658">
              <w:rPr>
                <w:rFonts w:asciiTheme="minorHAnsi" w:hAnsiTheme="minorHAnsi" w:cstheme="minorBidi"/>
                <w:sz w:val="18"/>
                <w:szCs w:val="18"/>
              </w:rPr>
              <w:t>$7.</w:t>
            </w:r>
            <w:r w:rsidR="4B5B4036" w:rsidRPr="25447658">
              <w:rPr>
                <w:rFonts w:asciiTheme="minorHAnsi" w:hAnsiTheme="minorHAnsi" w:cstheme="minorBidi"/>
                <w:sz w:val="18"/>
                <w:szCs w:val="18"/>
              </w:rPr>
              <w:t>0</w:t>
            </w:r>
          </w:p>
        </w:tc>
      </w:tr>
      <w:tr w:rsidR="00FC1060" w:rsidRPr="00CE1EA7" w14:paraId="0D976FE3" w14:textId="77777777" w:rsidTr="25447658">
        <w:trPr>
          <w:trHeight w:val="233"/>
        </w:trPr>
        <w:tc>
          <w:tcPr>
            <w:tcW w:w="7292" w:type="dxa"/>
            <w:tcBorders>
              <w:top w:val="nil"/>
              <w:left w:val="single" w:sz="4" w:space="0" w:color="auto"/>
              <w:bottom w:val="single" w:sz="4" w:space="0" w:color="auto"/>
              <w:right w:val="single" w:sz="4" w:space="0" w:color="auto"/>
            </w:tcBorders>
            <w:shd w:val="clear" w:color="auto" w:fill="FFFFFF" w:themeFill="background1"/>
            <w:noWrap/>
            <w:tcMar>
              <w:left w:w="57" w:type="dxa"/>
              <w:right w:w="28" w:type="dxa"/>
            </w:tcMar>
          </w:tcPr>
          <w:p w14:paraId="127AEC1E" w14:textId="3E57B4F4" w:rsidR="00FC1060" w:rsidRPr="0056006C" w:rsidRDefault="2C9FABBD" w:rsidP="00FC1060">
            <w:pPr>
              <w:rPr>
                <w:rFonts w:asciiTheme="minorHAnsi" w:hAnsiTheme="minorHAnsi" w:cstheme="minorHAnsi"/>
                <w:color w:val="000000"/>
                <w:sz w:val="18"/>
                <w:szCs w:val="18"/>
              </w:rPr>
            </w:pPr>
            <w:r w:rsidRPr="0056006C">
              <w:rPr>
                <w:rFonts w:asciiTheme="minorHAnsi" w:hAnsiTheme="minorHAnsi" w:cstheme="minorHAnsi"/>
                <w:sz w:val="18"/>
                <w:szCs w:val="18"/>
              </w:rPr>
              <w:t>MINAGRI</w:t>
            </w:r>
            <w:r w:rsidR="2F3C2B9C" w:rsidRPr="0056006C">
              <w:rPr>
                <w:rFonts w:asciiTheme="minorHAnsi" w:hAnsiTheme="minorHAnsi" w:cstheme="minorHAnsi"/>
                <w:sz w:val="18"/>
                <w:szCs w:val="18"/>
              </w:rPr>
              <w:t>P</w:t>
            </w:r>
            <w:r w:rsidR="00FC1060" w:rsidRPr="0056006C">
              <w:rPr>
                <w:rFonts w:asciiTheme="minorHAnsi" w:hAnsiTheme="minorHAnsi" w:cstheme="minorHAnsi"/>
                <w:sz w:val="18"/>
                <w:szCs w:val="18"/>
              </w:rPr>
              <w:t xml:space="preserve"> Program #2.3.2: Promoting Agricultural Production</w:t>
            </w:r>
          </w:p>
        </w:tc>
        <w:tc>
          <w:tcPr>
            <w:tcW w:w="708" w:type="dxa"/>
            <w:tcBorders>
              <w:top w:val="nil"/>
              <w:left w:val="nil"/>
              <w:bottom w:val="single" w:sz="4" w:space="0" w:color="auto"/>
              <w:right w:val="single" w:sz="4" w:space="0" w:color="auto"/>
            </w:tcBorders>
            <w:shd w:val="clear" w:color="auto" w:fill="auto"/>
            <w:noWrap/>
            <w:tcMar>
              <w:left w:w="57" w:type="dxa"/>
              <w:right w:w="28" w:type="dxa"/>
            </w:tcMar>
          </w:tcPr>
          <w:p w14:paraId="10C0E3AA" w14:textId="576EECA7" w:rsidR="00FC1060" w:rsidRPr="0056006C" w:rsidRDefault="00FC1060" w:rsidP="00FC1060">
            <w:pPr>
              <w:jc w:val="center"/>
              <w:rPr>
                <w:rFonts w:asciiTheme="minorHAnsi" w:hAnsiTheme="minorHAnsi" w:cstheme="minorHAnsi"/>
                <w:sz w:val="18"/>
                <w:szCs w:val="18"/>
              </w:rPr>
            </w:pPr>
            <w:r w:rsidRPr="0056006C">
              <w:rPr>
                <w:rFonts w:asciiTheme="minorHAnsi" w:hAnsiTheme="minorHAnsi" w:cstheme="minorHAnsi"/>
                <w:sz w:val="18"/>
                <w:szCs w:val="18"/>
              </w:rPr>
              <w:t>$</w:t>
            </w:r>
            <w:r w:rsidR="00A24514" w:rsidRPr="0056006C">
              <w:rPr>
                <w:rFonts w:asciiTheme="minorHAnsi" w:hAnsiTheme="minorHAnsi" w:cstheme="minorHAnsi"/>
                <w:sz w:val="18"/>
                <w:szCs w:val="18"/>
              </w:rPr>
              <w:t>48.4</w:t>
            </w:r>
          </w:p>
        </w:tc>
        <w:tc>
          <w:tcPr>
            <w:tcW w:w="993" w:type="dxa"/>
            <w:tcBorders>
              <w:top w:val="nil"/>
              <w:left w:val="nil"/>
              <w:bottom w:val="single" w:sz="4" w:space="0" w:color="auto"/>
              <w:right w:val="single" w:sz="4" w:space="0" w:color="auto"/>
            </w:tcBorders>
            <w:shd w:val="clear" w:color="auto" w:fill="FFFFFF" w:themeFill="background1"/>
            <w:noWrap/>
            <w:tcMar>
              <w:left w:w="57" w:type="dxa"/>
              <w:right w:w="28" w:type="dxa"/>
            </w:tcMar>
          </w:tcPr>
          <w:p w14:paraId="52EA9D0A" w14:textId="615B303A" w:rsidR="00FC1060" w:rsidRPr="0056006C" w:rsidRDefault="33E89C0D" w:rsidP="25447658">
            <w:pPr>
              <w:jc w:val="center"/>
              <w:rPr>
                <w:rFonts w:asciiTheme="minorHAnsi" w:hAnsiTheme="minorHAnsi" w:cstheme="minorBidi"/>
                <w:color w:val="000000"/>
                <w:sz w:val="18"/>
                <w:szCs w:val="18"/>
              </w:rPr>
            </w:pPr>
            <w:r w:rsidRPr="25447658">
              <w:rPr>
                <w:rFonts w:asciiTheme="minorHAnsi" w:hAnsiTheme="minorHAnsi" w:cstheme="minorBidi"/>
                <w:sz w:val="18"/>
                <w:szCs w:val="18"/>
              </w:rPr>
              <w:t>$</w:t>
            </w:r>
            <w:r w:rsidR="7EF6B093" w:rsidRPr="25447658">
              <w:rPr>
                <w:rFonts w:asciiTheme="minorHAnsi" w:hAnsiTheme="minorHAnsi" w:cstheme="minorBidi"/>
                <w:sz w:val="18"/>
                <w:szCs w:val="18"/>
              </w:rPr>
              <w:t>9.81</w:t>
            </w:r>
          </w:p>
        </w:tc>
      </w:tr>
      <w:tr w:rsidR="00FC1060" w:rsidRPr="00CE1EA7" w14:paraId="27A0F989" w14:textId="77777777" w:rsidTr="25447658">
        <w:trPr>
          <w:trHeight w:val="233"/>
        </w:trPr>
        <w:tc>
          <w:tcPr>
            <w:tcW w:w="7292" w:type="dxa"/>
            <w:tcBorders>
              <w:top w:val="nil"/>
              <w:left w:val="single" w:sz="4" w:space="0" w:color="auto"/>
              <w:bottom w:val="single" w:sz="4" w:space="0" w:color="auto"/>
              <w:right w:val="single" w:sz="4" w:space="0" w:color="auto"/>
            </w:tcBorders>
            <w:shd w:val="clear" w:color="auto" w:fill="FFFFFF" w:themeFill="background1"/>
            <w:noWrap/>
            <w:tcMar>
              <w:left w:w="57" w:type="dxa"/>
              <w:right w:w="28" w:type="dxa"/>
            </w:tcMar>
          </w:tcPr>
          <w:p w14:paraId="05AC167C" w14:textId="299FEB89" w:rsidR="00FC1060" w:rsidRPr="0056006C" w:rsidRDefault="00FC1060" w:rsidP="00FC1060">
            <w:pPr>
              <w:rPr>
                <w:rFonts w:asciiTheme="minorHAnsi" w:hAnsiTheme="minorHAnsi" w:cstheme="minorHAnsi"/>
                <w:color w:val="000000"/>
                <w:sz w:val="18"/>
                <w:szCs w:val="18"/>
              </w:rPr>
            </w:pPr>
            <w:r w:rsidRPr="0056006C">
              <w:rPr>
                <w:rFonts w:asciiTheme="minorHAnsi" w:hAnsiTheme="minorHAnsi" w:cstheme="minorHAnsi"/>
                <w:sz w:val="18"/>
                <w:szCs w:val="18"/>
              </w:rPr>
              <w:t>Municipalities,</w:t>
            </w:r>
            <w:r w:rsidR="00F5361E" w:rsidRPr="0056006C">
              <w:rPr>
                <w:rFonts w:asciiTheme="minorHAnsi" w:hAnsiTheme="minorHAnsi" w:cstheme="minorHAnsi"/>
                <w:sz w:val="18"/>
                <w:szCs w:val="18"/>
              </w:rPr>
              <w:t xml:space="preserve"> (notably</w:t>
            </w:r>
            <w:r w:rsidRPr="0056006C">
              <w:rPr>
                <w:rFonts w:asciiTheme="minorHAnsi" w:hAnsiTheme="minorHAnsi" w:cstheme="minorHAnsi"/>
                <w:sz w:val="18"/>
                <w:szCs w:val="18"/>
              </w:rPr>
              <w:t xml:space="preserve"> Cuchi, Cahama and surroundings</w:t>
            </w:r>
            <w:r w:rsidR="00F5361E" w:rsidRPr="0056006C">
              <w:rPr>
                <w:rFonts w:asciiTheme="minorHAnsi" w:hAnsiTheme="minorHAnsi" w:cstheme="minorHAnsi"/>
                <w:sz w:val="18"/>
                <w:szCs w:val="18"/>
              </w:rPr>
              <w:t>)</w:t>
            </w:r>
            <w:r w:rsidRPr="0056006C">
              <w:rPr>
                <w:rFonts w:asciiTheme="minorHAnsi" w:hAnsiTheme="minorHAnsi" w:cstheme="minorHAnsi"/>
                <w:sz w:val="18"/>
                <w:szCs w:val="18"/>
              </w:rPr>
              <w:t xml:space="preserve"> PND #4.3.2: Decentralization and implementation of local governments </w:t>
            </w:r>
          </w:p>
        </w:tc>
        <w:tc>
          <w:tcPr>
            <w:tcW w:w="708" w:type="dxa"/>
            <w:tcBorders>
              <w:top w:val="nil"/>
              <w:left w:val="nil"/>
              <w:bottom w:val="single" w:sz="4" w:space="0" w:color="auto"/>
              <w:right w:val="single" w:sz="4" w:space="0" w:color="auto"/>
            </w:tcBorders>
            <w:shd w:val="clear" w:color="auto" w:fill="auto"/>
            <w:noWrap/>
            <w:tcMar>
              <w:left w:w="57" w:type="dxa"/>
              <w:right w:w="28" w:type="dxa"/>
            </w:tcMar>
          </w:tcPr>
          <w:p w14:paraId="35E73D4F" w14:textId="69939D5A" w:rsidR="00FC1060" w:rsidRPr="0056006C" w:rsidRDefault="00FC1060" w:rsidP="00FC1060">
            <w:pPr>
              <w:jc w:val="center"/>
              <w:rPr>
                <w:rFonts w:asciiTheme="minorHAnsi" w:hAnsiTheme="minorHAnsi" w:cstheme="minorHAnsi"/>
                <w:sz w:val="18"/>
                <w:szCs w:val="18"/>
              </w:rPr>
            </w:pPr>
            <w:r w:rsidRPr="0056006C">
              <w:rPr>
                <w:rFonts w:asciiTheme="minorHAnsi" w:hAnsiTheme="minorHAnsi" w:cstheme="minorHAnsi"/>
                <w:sz w:val="18"/>
                <w:szCs w:val="18"/>
              </w:rPr>
              <w:t>$7.9</w:t>
            </w:r>
          </w:p>
        </w:tc>
        <w:tc>
          <w:tcPr>
            <w:tcW w:w="993" w:type="dxa"/>
            <w:tcBorders>
              <w:top w:val="nil"/>
              <w:left w:val="nil"/>
              <w:bottom w:val="single" w:sz="4" w:space="0" w:color="auto"/>
              <w:right w:val="single" w:sz="4" w:space="0" w:color="auto"/>
            </w:tcBorders>
            <w:shd w:val="clear" w:color="auto" w:fill="FFFFFF" w:themeFill="background1"/>
            <w:noWrap/>
            <w:tcMar>
              <w:left w:w="57" w:type="dxa"/>
              <w:right w:w="28" w:type="dxa"/>
            </w:tcMar>
          </w:tcPr>
          <w:p w14:paraId="0327C443" w14:textId="5F0875F0" w:rsidR="00FC1060" w:rsidRPr="0056006C" w:rsidRDefault="00FC1060" w:rsidP="00FC1060">
            <w:pPr>
              <w:jc w:val="center"/>
              <w:rPr>
                <w:rFonts w:asciiTheme="minorHAnsi" w:hAnsiTheme="minorHAnsi" w:cstheme="minorHAnsi"/>
                <w:color w:val="000000"/>
                <w:sz w:val="18"/>
                <w:szCs w:val="18"/>
              </w:rPr>
            </w:pPr>
            <w:r w:rsidRPr="0056006C">
              <w:rPr>
                <w:rFonts w:asciiTheme="minorHAnsi" w:hAnsiTheme="minorHAnsi" w:cstheme="minorHAnsi"/>
                <w:sz w:val="18"/>
                <w:szCs w:val="18"/>
              </w:rPr>
              <w:t>$0.0</w:t>
            </w:r>
          </w:p>
        </w:tc>
      </w:tr>
      <w:tr w:rsidR="00FC1060" w:rsidRPr="00CE1EA7" w14:paraId="09B82CFB" w14:textId="77777777" w:rsidTr="25447658">
        <w:trPr>
          <w:trHeight w:val="233"/>
        </w:trPr>
        <w:tc>
          <w:tcPr>
            <w:tcW w:w="7292" w:type="dxa"/>
            <w:tcBorders>
              <w:top w:val="nil"/>
              <w:left w:val="single" w:sz="4" w:space="0" w:color="auto"/>
              <w:bottom w:val="single" w:sz="4" w:space="0" w:color="auto"/>
              <w:right w:val="single" w:sz="4" w:space="0" w:color="auto"/>
            </w:tcBorders>
            <w:shd w:val="clear" w:color="auto" w:fill="FFFFFF" w:themeFill="background1"/>
            <w:noWrap/>
            <w:tcMar>
              <w:left w:w="57" w:type="dxa"/>
              <w:right w:w="28" w:type="dxa"/>
            </w:tcMar>
            <w:vAlign w:val="center"/>
          </w:tcPr>
          <w:p w14:paraId="047B6EB2" w14:textId="626461BF" w:rsidR="00FC1060" w:rsidRPr="0056006C" w:rsidRDefault="00FC1060" w:rsidP="00FC1060">
            <w:pPr>
              <w:rPr>
                <w:rFonts w:asciiTheme="minorHAnsi" w:hAnsiTheme="minorHAnsi" w:cstheme="minorHAnsi"/>
                <w:color w:val="000000"/>
                <w:sz w:val="18"/>
                <w:szCs w:val="18"/>
              </w:rPr>
            </w:pPr>
            <w:r w:rsidRPr="0056006C">
              <w:rPr>
                <w:rFonts w:asciiTheme="minorHAnsi" w:hAnsiTheme="minorHAnsi" w:cstheme="minorHAnsi"/>
                <w:sz w:val="18"/>
                <w:szCs w:val="18"/>
              </w:rPr>
              <w:t>IFAD SREP - Smallholder Resilience Enhancement Project</w:t>
            </w:r>
          </w:p>
        </w:tc>
        <w:tc>
          <w:tcPr>
            <w:tcW w:w="708" w:type="dxa"/>
            <w:tcBorders>
              <w:top w:val="nil"/>
              <w:left w:val="nil"/>
              <w:bottom w:val="single" w:sz="4" w:space="0" w:color="auto"/>
              <w:right w:val="single" w:sz="4" w:space="0" w:color="auto"/>
            </w:tcBorders>
            <w:shd w:val="clear" w:color="auto" w:fill="auto"/>
            <w:noWrap/>
            <w:tcMar>
              <w:left w:w="57" w:type="dxa"/>
              <w:right w:w="28" w:type="dxa"/>
            </w:tcMar>
          </w:tcPr>
          <w:p w14:paraId="0E5266B4" w14:textId="3FC7A5D6" w:rsidR="00FC1060" w:rsidRPr="0056006C" w:rsidRDefault="00FC1060" w:rsidP="00FC1060">
            <w:pPr>
              <w:jc w:val="center"/>
              <w:rPr>
                <w:rFonts w:asciiTheme="minorHAnsi" w:hAnsiTheme="minorHAnsi" w:cstheme="minorHAnsi"/>
                <w:sz w:val="18"/>
                <w:szCs w:val="18"/>
              </w:rPr>
            </w:pPr>
            <w:r w:rsidRPr="0056006C">
              <w:rPr>
                <w:rFonts w:asciiTheme="minorHAnsi" w:hAnsiTheme="minorHAnsi" w:cstheme="minorHAnsi"/>
                <w:sz w:val="18"/>
                <w:szCs w:val="18"/>
              </w:rPr>
              <w:t>$</w:t>
            </w:r>
            <w:r w:rsidR="00A24514" w:rsidRPr="0056006C">
              <w:rPr>
                <w:rFonts w:asciiTheme="minorHAnsi" w:hAnsiTheme="minorHAnsi" w:cstheme="minorHAnsi"/>
                <w:sz w:val="18"/>
                <w:szCs w:val="18"/>
              </w:rPr>
              <w:t>6</w:t>
            </w:r>
            <w:r w:rsidRPr="0056006C">
              <w:rPr>
                <w:rFonts w:asciiTheme="minorHAnsi" w:hAnsiTheme="minorHAnsi" w:cstheme="minorHAnsi"/>
                <w:sz w:val="18"/>
                <w:szCs w:val="18"/>
              </w:rPr>
              <w:t>.0</w:t>
            </w:r>
          </w:p>
        </w:tc>
        <w:tc>
          <w:tcPr>
            <w:tcW w:w="993" w:type="dxa"/>
            <w:tcBorders>
              <w:top w:val="nil"/>
              <w:left w:val="nil"/>
              <w:bottom w:val="single" w:sz="4" w:space="0" w:color="auto"/>
              <w:right w:val="single" w:sz="4" w:space="0" w:color="auto"/>
            </w:tcBorders>
            <w:shd w:val="clear" w:color="auto" w:fill="FFFFFF" w:themeFill="background1"/>
            <w:noWrap/>
            <w:tcMar>
              <w:left w:w="57" w:type="dxa"/>
              <w:right w:w="28" w:type="dxa"/>
            </w:tcMar>
          </w:tcPr>
          <w:p w14:paraId="0A3AB82C" w14:textId="750C901C" w:rsidR="00FC1060" w:rsidRPr="0056006C" w:rsidRDefault="00FC1060" w:rsidP="00FC1060">
            <w:pPr>
              <w:jc w:val="center"/>
              <w:rPr>
                <w:rFonts w:asciiTheme="minorHAnsi" w:hAnsiTheme="minorHAnsi" w:cstheme="minorBidi"/>
                <w:sz w:val="18"/>
                <w:szCs w:val="18"/>
              </w:rPr>
            </w:pPr>
            <w:r w:rsidRPr="6FA467F8">
              <w:rPr>
                <w:rFonts w:asciiTheme="minorHAnsi" w:hAnsiTheme="minorHAnsi" w:cstheme="minorBidi"/>
                <w:sz w:val="18"/>
                <w:szCs w:val="18"/>
              </w:rPr>
              <w:t>$0</w:t>
            </w:r>
            <w:r w:rsidR="192017CB" w:rsidRPr="6FA467F8">
              <w:rPr>
                <w:rFonts w:asciiTheme="minorHAnsi" w:hAnsiTheme="minorHAnsi" w:cstheme="minorBidi"/>
                <w:sz w:val="18"/>
                <w:szCs w:val="18"/>
              </w:rPr>
              <w:t>.9</w:t>
            </w:r>
          </w:p>
        </w:tc>
      </w:tr>
      <w:tr w:rsidR="00FC1060" w:rsidRPr="00CE1EA7" w14:paraId="297893E6" w14:textId="77777777" w:rsidTr="25447658">
        <w:trPr>
          <w:trHeight w:val="233"/>
        </w:trPr>
        <w:tc>
          <w:tcPr>
            <w:tcW w:w="7292" w:type="dxa"/>
            <w:tcBorders>
              <w:top w:val="nil"/>
              <w:left w:val="single" w:sz="4" w:space="0" w:color="auto"/>
              <w:bottom w:val="single" w:sz="4" w:space="0" w:color="auto"/>
              <w:right w:val="single" w:sz="4" w:space="0" w:color="auto"/>
            </w:tcBorders>
            <w:shd w:val="clear" w:color="auto" w:fill="FFFFFF" w:themeFill="background1"/>
            <w:noWrap/>
            <w:tcMar>
              <w:left w:w="57" w:type="dxa"/>
              <w:right w:w="28" w:type="dxa"/>
            </w:tcMar>
            <w:vAlign w:val="center"/>
          </w:tcPr>
          <w:p w14:paraId="79A2471D" w14:textId="45868F4E" w:rsidR="00FC1060" w:rsidRPr="0056006C" w:rsidRDefault="00FC1060" w:rsidP="00FC1060">
            <w:pPr>
              <w:rPr>
                <w:rFonts w:asciiTheme="minorHAnsi" w:hAnsiTheme="minorHAnsi" w:cstheme="minorHAnsi"/>
                <w:color w:val="000000"/>
                <w:sz w:val="18"/>
                <w:szCs w:val="18"/>
              </w:rPr>
            </w:pPr>
            <w:r w:rsidRPr="0056006C">
              <w:rPr>
                <w:rFonts w:asciiTheme="minorHAnsi" w:hAnsiTheme="minorHAnsi" w:cstheme="minorHAnsi"/>
                <w:sz w:val="18"/>
                <w:szCs w:val="18"/>
              </w:rPr>
              <w:t>AFDB Agric</w:t>
            </w:r>
            <w:r w:rsidR="00FD1950" w:rsidRPr="0056006C">
              <w:rPr>
                <w:rFonts w:asciiTheme="minorHAnsi" w:hAnsiTheme="minorHAnsi" w:cstheme="minorHAnsi"/>
                <w:sz w:val="18"/>
                <w:szCs w:val="18"/>
              </w:rPr>
              <w:t>ul</w:t>
            </w:r>
            <w:r w:rsidR="00C81175" w:rsidRPr="0056006C">
              <w:rPr>
                <w:rFonts w:asciiTheme="minorHAnsi" w:hAnsiTheme="minorHAnsi" w:cstheme="minorHAnsi"/>
                <w:sz w:val="18"/>
                <w:szCs w:val="18"/>
              </w:rPr>
              <w:t>tural</w:t>
            </w:r>
            <w:r w:rsidRPr="0056006C">
              <w:rPr>
                <w:rFonts w:asciiTheme="minorHAnsi" w:hAnsiTheme="minorHAnsi" w:cstheme="minorHAnsi"/>
                <w:sz w:val="18"/>
                <w:szCs w:val="18"/>
              </w:rPr>
              <w:t xml:space="preserve"> Value Chains – Support to Sust</w:t>
            </w:r>
            <w:r w:rsidR="00C81175" w:rsidRPr="0056006C">
              <w:rPr>
                <w:rFonts w:asciiTheme="minorHAnsi" w:hAnsiTheme="minorHAnsi" w:cstheme="minorHAnsi"/>
                <w:sz w:val="18"/>
                <w:szCs w:val="18"/>
              </w:rPr>
              <w:t xml:space="preserve">ainable </w:t>
            </w:r>
            <w:r w:rsidRPr="0056006C">
              <w:rPr>
                <w:rFonts w:asciiTheme="minorHAnsi" w:hAnsiTheme="minorHAnsi" w:cstheme="minorHAnsi"/>
                <w:sz w:val="18"/>
                <w:szCs w:val="18"/>
              </w:rPr>
              <w:t>Dev</w:t>
            </w:r>
            <w:r w:rsidR="00C81175" w:rsidRPr="0056006C">
              <w:rPr>
                <w:rFonts w:asciiTheme="minorHAnsi" w:hAnsiTheme="minorHAnsi" w:cstheme="minorHAnsi"/>
                <w:sz w:val="18"/>
                <w:szCs w:val="18"/>
              </w:rPr>
              <w:t>elopment and</w:t>
            </w:r>
            <w:r w:rsidRPr="0056006C">
              <w:rPr>
                <w:rFonts w:asciiTheme="minorHAnsi" w:hAnsiTheme="minorHAnsi" w:cstheme="minorHAnsi"/>
                <w:sz w:val="18"/>
                <w:szCs w:val="18"/>
              </w:rPr>
              <w:t xml:space="preserve"> Growth</w:t>
            </w:r>
          </w:p>
        </w:tc>
        <w:tc>
          <w:tcPr>
            <w:tcW w:w="708" w:type="dxa"/>
            <w:tcBorders>
              <w:top w:val="nil"/>
              <w:left w:val="nil"/>
              <w:bottom w:val="single" w:sz="4" w:space="0" w:color="auto"/>
              <w:right w:val="single" w:sz="4" w:space="0" w:color="auto"/>
            </w:tcBorders>
            <w:shd w:val="clear" w:color="auto" w:fill="auto"/>
            <w:noWrap/>
            <w:tcMar>
              <w:left w:w="57" w:type="dxa"/>
              <w:right w:w="28" w:type="dxa"/>
            </w:tcMar>
          </w:tcPr>
          <w:p w14:paraId="618F0AA2" w14:textId="51212E86" w:rsidR="00FC1060" w:rsidRPr="0056006C" w:rsidRDefault="00FC1060" w:rsidP="00FC1060">
            <w:pPr>
              <w:jc w:val="center"/>
              <w:rPr>
                <w:rFonts w:asciiTheme="minorHAnsi" w:hAnsiTheme="minorHAnsi" w:cstheme="minorHAnsi"/>
                <w:sz w:val="18"/>
                <w:szCs w:val="18"/>
              </w:rPr>
            </w:pPr>
            <w:r w:rsidRPr="0056006C">
              <w:rPr>
                <w:rFonts w:asciiTheme="minorHAnsi" w:hAnsiTheme="minorHAnsi" w:cstheme="minorHAnsi"/>
                <w:sz w:val="18"/>
                <w:szCs w:val="18"/>
              </w:rPr>
              <w:t>$</w:t>
            </w:r>
            <w:r w:rsidR="00A24514" w:rsidRPr="0056006C">
              <w:rPr>
                <w:rFonts w:asciiTheme="minorHAnsi" w:hAnsiTheme="minorHAnsi" w:cstheme="minorHAnsi"/>
                <w:sz w:val="18"/>
                <w:szCs w:val="18"/>
              </w:rPr>
              <w:t>4</w:t>
            </w:r>
            <w:r w:rsidRPr="0056006C">
              <w:rPr>
                <w:rFonts w:asciiTheme="minorHAnsi" w:hAnsiTheme="minorHAnsi" w:cstheme="minorHAnsi"/>
                <w:sz w:val="18"/>
                <w:szCs w:val="18"/>
              </w:rPr>
              <w:t>.0</w:t>
            </w:r>
          </w:p>
        </w:tc>
        <w:tc>
          <w:tcPr>
            <w:tcW w:w="993" w:type="dxa"/>
            <w:tcBorders>
              <w:top w:val="nil"/>
              <w:left w:val="nil"/>
              <w:bottom w:val="single" w:sz="4" w:space="0" w:color="auto"/>
              <w:right w:val="single" w:sz="4" w:space="0" w:color="auto"/>
            </w:tcBorders>
            <w:shd w:val="clear" w:color="auto" w:fill="auto"/>
            <w:noWrap/>
            <w:tcMar>
              <w:left w:w="57" w:type="dxa"/>
              <w:right w:w="28" w:type="dxa"/>
            </w:tcMar>
          </w:tcPr>
          <w:p w14:paraId="4797E6A8" w14:textId="1AE6253A" w:rsidR="00FC1060" w:rsidRPr="0056006C" w:rsidRDefault="00FC1060" w:rsidP="00FC1060">
            <w:pPr>
              <w:jc w:val="center"/>
              <w:rPr>
                <w:rFonts w:asciiTheme="minorHAnsi" w:hAnsiTheme="minorHAnsi" w:cstheme="minorHAnsi"/>
                <w:sz w:val="18"/>
                <w:szCs w:val="18"/>
              </w:rPr>
            </w:pPr>
            <w:r w:rsidRPr="0056006C">
              <w:rPr>
                <w:rFonts w:asciiTheme="minorHAnsi" w:hAnsiTheme="minorHAnsi" w:cstheme="minorHAnsi"/>
                <w:sz w:val="18"/>
                <w:szCs w:val="18"/>
              </w:rPr>
              <w:t>$0.0</w:t>
            </w:r>
          </w:p>
        </w:tc>
      </w:tr>
      <w:tr w:rsidR="00A24514" w:rsidRPr="00CE1EA7" w14:paraId="6737D7CB" w14:textId="77777777" w:rsidTr="25447658">
        <w:trPr>
          <w:trHeight w:val="233"/>
        </w:trPr>
        <w:tc>
          <w:tcPr>
            <w:tcW w:w="7292" w:type="dxa"/>
            <w:tcBorders>
              <w:top w:val="nil"/>
              <w:left w:val="single" w:sz="4" w:space="0" w:color="auto"/>
              <w:bottom w:val="single" w:sz="4" w:space="0" w:color="auto"/>
              <w:right w:val="single" w:sz="4" w:space="0" w:color="auto"/>
            </w:tcBorders>
            <w:shd w:val="clear" w:color="auto" w:fill="FFFFFF" w:themeFill="background1"/>
            <w:noWrap/>
            <w:tcMar>
              <w:left w:w="57" w:type="dxa"/>
              <w:right w:w="28" w:type="dxa"/>
            </w:tcMar>
            <w:vAlign w:val="center"/>
          </w:tcPr>
          <w:p w14:paraId="377C750E" w14:textId="746213D2" w:rsidR="00A24514" w:rsidRPr="0056006C" w:rsidRDefault="00A24514" w:rsidP="00A24514">
            <w:pPr>
              <w:rPr>
                <w:rFonts w:asciiTheme="minorHAnsi" w:hAnsiTheme="minorHAnsi" w:cstheme="minorHAnsi"/>
                <w:sz w:val="18"/>
                <w:szCs w:val="18"/>
              </w:rPr>
            </w:pPr>
            <w:r w:rsidRPr="0056006C">
              <w:rPr>
                <w:rFonts w:asciiTheme="minorHAnsi" w:hAnsiTheme="minorHAnsi" w:cstheme="minorHAnsi"/>
                <w:sz w:val="18"/>
                <w:szCs w:val="18"/>
              </w:rPr>
              <w:t>FAO</w:t>
            </w:r>
          </w:p>
        </w:tc>
        <w:tc>
          <w:tcPr>
            <w:tcW w:w="708" w:type="dxa"/>
            <w:tcBorders>
              <w:top w:val="nil"/>
              <w:left w:val="nil"/>
              <w:bottom w:val="single" w:sz="4" w:space="0" w:color="auto"/>
              <w:right w:val="single" w:sz="4" w:space="0" w:color="auto"/>
            </w:tcBorders>
            <w:shd w:val="clear" w:color="auto" w:fill="auto"/>
            <w:noWrap/>
            <w:tcMar>
              <w:left w:w="57" w:type="dxa"/>
              <w:right w:w="28" w:type="dxa"/>
            </w:tcMar>
          </w:tcPr>
          <w:p w14:paraId="3CA36863" w14:textId="22A9989B" w:rsidR="00A24514" w:rsidRPr="0056006C" w:rsidRDefault="00A24514" w:rsidP="00A24514">
            <w:pPr>
              <w:jc w:val="center"/>
              <w:rPr>
                <w:rFonts w:asciiTheme="minorHAnsi" w:hAnsiTheme="minorHAnsi" w:cstheme="minorHAnsi"/>
                <w:sz w:val="18"/>
                <w:szCs w:val="18"/>
              </w:rPr>
            </w:pPr>
            <w:r w:rsidRPr="0056006C">
              <w:rPr>
                <w:rFonts w:asciiTheme="minorHAnsi" w:hAnsiTheme="minorHAnsi" w:cstheme="minorHAnsi"/>
                <w:sz w:val="18"/>
                <w:szCs w:val="18"/>
              </w:rPr>
              <w:t>$3.0</w:t>
            </w:r>
          </w:p>
        </w:tc>
        <w:tc>
          <w:tcPr>
            <w:tcW w:w="993" w:type="dxa"/>
            <w:tcBorders>
              <w:top w:val="nil"/>
              <w:left w:val="nil"/>
              <w:bottom w:val="single" w:sz="4" w:space="0" w:color="auto"/>
              <w:right w:val="single" w:sz="4" w:space="0" w:color="auto"/>
            </w:tcBorders>
            <w:shd w:val="clear" w:color="auto" w:fill="auto"/>
            <w:noWrap/>
            <w:tcMar>
              <w:left w:w="57" w:type="dxa"/>
              <w:right w:w="28" w:type="dxa"/>
            </w:tcMar>
          </w:tcPr>
          <w:p w14:paraId="63E870AF" w14:textId="3FE33B86" w:rsidR="00A24514" w:rsidRPr="0056006C" w:rsidRDefault="55074A59" w:rsidP="25447658">
            <w:pPr>
              <w:jc w:val="center"/>
              <w:rPr>
                <w:rFonts w:asciiTheme="minorHAnsi" w:hAnsiTheme="minorHAnsi" w:cstheme="minorBidi"/>
                <w:sz w:val="18"/>
                <w:szCs w:val="18"/>
              </w:rPr>
            </w:pPr>
            <w:r w:rsidRPr="25447658">
              <w:rPr>
                <w:rFonts w:asciiTheme="minorHAnsi" w:hAnsiTheme="minorHAnsi" w:cstheme="minorBidi"/>
                <w:sz w:val="18"/>
                <w:szCs w:val="18"/>
              </w:rPr>
              <w:t>$0.</w:t>
            </w:r>
            <w:r w:rsidR="2795615F" w:rsidRPr="22A98B4B">
              <w:rPr>
                <w:rFonts w:asciiTheme="minorHAnsi" w:hAnsiTheme="minorHAnsi" w:cstheme="minorBidi"/>
                <w:sz w:val="18"/>
                <w:szCs w:val="18"/>
              </w:rPr>
              <w:t>5</w:t>
            </w:r>
          </w:p>
        </w:tc>
      </w:tr>
      <w:tr w:rsidR="00FC1060" w:rsidRPr="00CE1EA7" w14:paraId="1CE0A1F6" w14:textId="77777777" w:rsidTr="25447658">
        <w:trPr>
          <w:trHeight w:val="233"/>
        </w:trPr>
        <w:tc>
          <w:tcPr>
            <w:tcW w:w="7292" w:type="dxa"/>
            <w:tcBorders>
              <w:top w:val="nil"/>
              <w:left w:val="single" w:sz="4" w:space="0" w:color="auto"/>
              <w:bottom w:val="single" w:sz="4" w:space="0" w:color="auto"/>
              <w:right w:val="single" w:sz="4" w:space="0" w:color="auto"/>
            </w:tcBorders>
            <w:shd w:val="clear" w:color="auto" w:fill="000000" w:themeFill="text1"/>
            <w:noWrap/>
            <w:tcMar>
              <w:left w:w="57" w:type="dxa"/>
              <w:right w:w="28" w:type="dxa"/>
            </w:tcMar>
          </w:tcPr>
          <w:p w14:paraId="11CEA25E" w14:textId="77777777" w:rsidR="00FC1060" w:rsidRPr="0056006C" w:rsidRDefault="00FC1060" w:rsidP="00FC1060">
            <w:pPr>
              <w:jc w:val="right"/>
              <w:rPr>
                <w:rFonts w:asciiTheme="minorHAnsi" w:hAnsiTheme="minorHAnsi" w:cstheme="minorHAnsi"/>
                <w:b/>
                <w:bCs/>
                <w:color w:val="FFFFFF"/>
                <w:sz w:val="18"/>
                <w:szCs w:val="18"/>
              </w:rPr>
            </w:pPr>
            <w:r w:rsidRPr="0056006C">
              <w:rPr>
                <w:rFonts w:asciiTheme="minorHAnsi" w:hAnsiTheme="minorHAnsi" w:cstheme="minorHAnsi"/>
                <w:b/>
                <w:bCs/>
                <w:color w:val="FFFFFF"/>
                <w:sz w:val="18"/>
                <w:szCs w:val="18"/>
              </w:rPr>
              <w:t>Totals (US$ million)</w:t>
            </w:r>
          </w:p>
        </w:tc>
        <w:tc>
          <w:tcPr>
            <w:tcW w:w="708" w:type="dxa"/>
            <w:tcBorders>
              <w:top w:val="nil"/>
              <w:left w:val="nil"/>
              <w:bottom w:val="single" w:sz="4" w:space="0" w:color="auto"/>
              <w:right w:val="single" w:sz="4" w:space="0" w:color="auto"/>
            </w:tcBorders>
            <w:shd w:val="clear" w:color="auto" w:fill="FFFFFF" w:themeFill="background1"/>
            <w:noWrap/>
            <w:tcMar>
              <w:left w:w="57" w:type="dxa"/>
              <w:right w:w="28" w:type="dxa"/>
            </w:tcMar>
          </w:tcPr>
          <w:p w14:paraId="3F37B263" w14:textId="7BFA4AA2" w:rsidR="00FC1060" w:rsidRPr="0056006C" w:rsidRDefault="00FC1060" w:rsidP="00FC1060">
            <w:pPr>
              <w:jc w:val="center"/>
              <w:rPr>
                <w:rFonts w:asciiTheme="minorHAnsi" w:hAnsiTheme="minorHAnsi" w:cstheme="minorHAnsi"/>
                <w:b/>
                <w:bCs/>
                <w:color w:val="000000"/>
                <w:sz w:val="18"/>
                <w:szCs w:val="18"/>
              </w:rPr>
            </w:pPr>
            <w:r w:rsidRPr="0056006C">
              <w:rPr>
                <w:rFonts w:asciiTheme="minorHAnsi" w:hAnsiTheme="minorHAnsi" w:cstheme="minorHAnsi"/>
                <w:b/>
                <w:bCs/>
                <w:sz w:val="18"/>
                <w:szCs w:val="18"/>
              </w:rPr>
              <w:t>$</w:t>
            </w:r>
            <w:r w:rsidR="00A24514" w:rsidRPr="0056006C">
              <w:rPr>
                <w:rFonts w:asciiTheme="minorHAnsi" w:hAnsiTheme="minorHAnsi" w:cstheme="minorHAnsi"/>
                <w:b/>
                <w:bCs/>
                <w:sz w:val="18"/>
                <w:szCs w:val="18"/>
              </w:rPr>
              <w:t>81.5</w:t>
            </w:r>
          </w:p>
        </w:tc>
        <w:tc>
          <w:tcPr>
            <w:tcW w:w="993" w:type="dxa"/>
            <w:tcBorders>
              <w:top w:val="nil"/>
              <w:left w:val="nil"/>
              <w:bottom w:val="single" w:sz="4" w:space="0" w:color="auto"/>
              <w:right w:val="single" w:sz="4" w:space="0" w:color="auto"/>
            </w:tcBorders>
            <w:shd w:val="clear" w:color="auto" w:fill="FFFFFF" w:themeFill="background1"/>
            <w:noWrap/>
            <w:tcMar>
              <w:left w:w="57" w:type="dxa"/>
              <w:right w:w="28" w:type="dxa"/>
            </w:tcMar>
          </w:tcPr>
          <w:p w14:paraId="56C34952" w14:textId="0A0073BE" w:rsidR="00FC1060" w:rsidRPr="0056006C" w:rsidRDefault="1DE9E172" w:rsidP="25447658">
            <w:pPr>
              <w:jc w:val="center"/>
              <w:rPr>
                <w:rFonts w:asciiTheme="minorHAnsi" w:hAnsiTheme="minorHAnsi" w:cstheme="minorBidi"/>
                <w:b/>
                <w:sz w:val="18"/>
                <w:szCs w:val="18"/>
              </w:rPr>
            </w:pPr>
            <w:r w:rsidRPr="22A98B4B">
              <w:rPr>
                <w:rFonts w:asciiTheme="minorHAnsi" w:hAnsiTheme="minorHAnsi" w:cstheme="minorBidi"/>
                <w:b/>
                <w:bCs/>
                <w:sz w:val="18"/>
                <w:szCs w:val="18"/>
              </w:rPr>
              <w:t>$</w:t>
            </w:r>
            <w:r w:rsidR="794670CE" w:rsidRPr="22A98B4B">
              <w:rPr>
                <w:rFonts w:asciiTheme="minorHAnsi" w:hAnsiTheme="minorHAnsi" w:cstheme="minorBidi"/>
                <w:b/>
                <w:bCs/>
                <w:sz w:val="18"/>
                <w:szCs w:val="18"/>
              </w:rPr>
              <w:t>1</w:t>
            </w:r>
            <w:r w:rsidR="01B4AB65" w:rsidRPr="22A98B4B">
              <w:rPr>
                <w:rFonts w:asciiTheme="minorHAnsi" w:hAnsiTheme="minorHAnsi" w:cstheme="minorBidi"/>
                <w:b/>
                <w:bCs/>
                <w:sz w:val="18"/>
                <w:szCs w:val="18"/>
              </w:rPr>
              <w:t>7.76</w:t>
            </w:r>
          </w:p>
        </w:tc>
      </w:tr>
    </w:tbl>
    <w:p w14:paraId="5C9DCF8A" w14:textId="77777777" w:rsidR="00281AF6" w:rsidRPr="00281AF6" w:rsidRDefault="00281AF6" w:rsidP="00281AF6">
      <w:pPr>
        <w:rPr>
          <w:lang w:val="en-US" w:eastAsia="en-US"/>
        </w:rPr>
      </w:pPr>
    </w:p>
    <w:p w14:paraId="7694CCB7" w14:textId="0BB6203C" w:rsidR="00BB03A4" w:rsidRDefault="007B28CB" w:rsidP="001667C6">
      <w:pPr>
        <w:pStyle w:val="ParagraphOED"/>
        <w:numPr>
          <w:ilvl w:val="0"/>
          <w:numId w:val="102"/>
        </w:numPr>
        <w:spacing w:before="160" w:after="80"/>
      </w:pPr>
      <w:r>
        <w:t xml:space="preserve">Progressing </w:t>
      </w:r>
      <w:r w:rsidR="009563B4">
        <w:t xml:space="preserve">from the current baseline, the scaling out of SML/SFM within the </w:t>
      </w:r>
      <w:r>
        <w:t xml:space="preserve">target </w:t>
      </w:r>
      <w:r w:rsidR="009563B4">
        <w:t>landscape</w:t>
      </w:r>
      <w:r>
        <w:t>s</w:t>
      </w:r>
      <w:r w:rsidR="009563B4">
        <w:t xml:space="preserve"> will be achieved through four main steps: </w:t>
      </w:r>
    </w:p>
    <w:p w14:paraId="132AE2CD" w14:textId="0060B6C2" w:rsidR="00873743" w:rsidRDefault="009563B4" w:rsidP="001667C6">
      <w:pPr>
        <w:pStyle w:val="ListParagraph"/>
        <w:numPr>
          <w:ilvl w:val="3"/>
          <w:numId w:val="55"/>
        </w:numPr>
        <w:autoSpaceDE/>
        <w:autoSpaceDN/>
        <w:adjustRightInd/>
        <w:spacing w:before="80" w:after="0"/>
        <w:ind w:left="709" w:hanging="142"/>
        <w:contextualSpacing w:val="0"/>
        <w:rPr>
          <w:rFonts w:asciiTheme="minorHAnsi" w:hAnsiTheme="minorHAnsi" w:cstheme="minorHAnsi"/>
          <w:color w:val="auto"/>
          <w:sz w:val="21"/>
          <w:szCs w:val="21"/>
        </w:rPr>
      </w:pPr>
      <w:r w:rsidRPr="00BB03A4">
        <w:rPr>
          <w:rFonts w:asciiTheme="minorHAnsi" w:hAnsiTheme="minorHAnsi" w:cstheme="minorHAnsi"/>
          <w:color w:val="auto"/>
          <w:sz w:val="21"/>
          <w:szCs w:val="21"/>
        </w:rPr>
        <w:t>developing integrated land</w:t>
      </w:r>
      <w:r w:rsidR="00B52FCB">
        <w:rPr>
          <w:rFonts w:asciiTheme="minorHAnsi" w:hAnsiTheme="minorHAnsi" w:cstheme="minorHAnsi"/>
          <w:color w:val="auto"/>
          <w:sz w:val="21"/>
          <w:szCs w:val="21"/>
        </w:rPr>
        <w:t>-</w:t>
      </w:r>
      <w:r w:rsidRPr="00BB03A4">
        <w:rPr>
          <w:rFonts w:asciiTheme="minorHAnsi" w:hAnsiTheme="minorHAnsi" w:cstheme="minorHAnsi"/>
          <w:color w:val="auto"/>
          <w:sz w:val="21"/>
          <w:szCs w:val="21"/>
        </w:rPr>
        <w:t xml:space="preserve">use plans for </w:t>
      </w:r>
      <w:r w:rsidR="00873743">
        <w:rPr>
          <w:rFonts w:asciiTheme="minorHAnsi" w:hAnsiTheme="minorHAnsi" w:cstheme="minorHAnsi"/>
          <w:color w:val="auto"/>
          <w:sz w:val="21"/>
          <w:szCs w:val="21"/>
        </w:rPr>
        <w:t>target</w:t>
      </w:r>
      <w:r w:rsidRPr="00BB03A4">
        <w:rPr>
          <w:rFonts w:asciiTheme="minorHAnsi" w:hAnsiTheme="minorHAnsi" w:cstheme="minorHAnsi"/>
          <w:color w:val="auto"/>
          <w:sz w:val="21"/>
          <w:szCs w:val="21"/>
        </w:rPr>
        <w:t xml:space="preserve"> landscapes and </w:t>
      </w:r>
      <w:r w:rsidR="00B52FCB">
        <w:rPr>
          <w:rFonts w:asciiTheme="minorHAnsi" w:hAnsiTheme="minorHAnsi" w:cstheme="minorHAnsi"/>
          <w:color w:val="auto"/>
          <w:sz w:val="21"/>
          <w:szCs w:val="21"/>
        </w:rPr>
        <w:t xml:space="preserve">prioritizing implementation of </w:t>
      </w:r>
      <w:r w:rsidRPr="00BB03A4">
        <w:rPr>
          <w:rFonts w:asciiTheme="minorHAnsi" w:hAnsiTheme="minorHAnsi" w:cstheme="minorHAnsi"/>
          <w:color w:val="auto"/>
          <w:sz w:val="21"/>
          <w:szCs w:val="21"/>
        </w:rPr>
        <w:t>sustainability actions</w:t>
      </w:r>
      <w:r w:rsidR="00873743">
        <w:rPr>
          <w:rFonts w:asciiTheme="minorHAnsi" w:hAnsiTheme="minorHAnsi" w:cstheme="minorHAnsi"/>
          <w:color w:val="auto"/>
          <w:sz w:val="21"/>
          <w:szCs w:val="21"/>
        </w:rPr>
        <w:t>;</w:t>
      </w:r>
      <w:r w:rsidRPr="00BB03A4">
        <w:rPr>
          <w:rFonts w:asciiTheme="minorHAnsi" w:hAnsiTheme="minorHAnsi" w:cstheme="minorHAnsi"/>
          <w:color w:val="auto"/>
          <w:sz w:val="21"/>
          <w:szCs w:val="21"/>
        </w:rPr>
        <w:t xml:space="preserve"> </w:t>
      </w:r>
    </w:p>
    <w:p w14:paraId="5A3ED86B" w14:textId="4C05AA71" w:rsidR="002E5B1C" w:rsidRDefault="009563B4" w:rsidP="001667C6">
      <w:pPr>
        <w:pStyle w:val="ListParagraph"/>
        <w:numPr>
          <w:ilvl w:val="3"/>
          <w:numId w:val="55"/>
        </w:numPr>
        <w:autoSpaceDE/>
        <w:autoSpaceDN/>
        <w:adjustRightInd/>
        <w:spacing w:before="80" w:after="0"/>
        <w:ind w:left="709" w:hanging="142"/>
        <w:contextualSpacing w:val="0"/>
        <w:rPr>
          <w:rFonts w:asciiTheme="minorHAnsi" w:hAnsiTheme="minorHAnsi" w:cstheme="minorHAnsi"/>
          <w:color w:val="auto"/>
          <w:sz w:val="21"/>
          <w:szCs w:val="21"/>
        </w:rPr>
      </w:pPr>
      <w:r w:rsidRPr="00BB03A4">
        <w:rPr>
          <w:rFonts w:asciiTheme="minorHAnsi" w:hAnsiTheme="minorHAnsi" w:cstheme="minorHAnsi"/>
          <w:color w:val="auto"/>
          <w:sz w:val="21"/>
          <w:szCs w:val="21"/>
        </w:rPr>
        <w:t xml:space="preserve">enhancing the </w:t>
      </w:r>
      <w:r w:rsidR="00C14004">
        <w:rPr>
          <w:rFonts w:asciiTheme="minorHAnsi" w:hAnsiTheme="minorHAnsi" w:cstheme="minorHAnsi"/>
          <w:color w:val="auto"/>
          <w:sz w:val="21"/>
          <w:szCs w:val="21"/>
        </w:rPr>
        <w:t>ability</w:t>
      </w:r>
      <w:r w:rsidR="00C14004" w:rsidRPr="00BB03A4">
        <w:rPr>
          <w:rFonts w:asciiTheme="minorHAnsi" w:hAnsiTheme="minorHAnsi" w:cstheme="minorHAnsi"/>
          <w:color w:val="auto"/>
          <w:sz w:val="21"/>
          <w:szCs w:val="21"/>
        </w:rPr>
        <w:t xml:space="preserve"> </w:t>
      </w:r>
      <w:r w:rsidRPr="00BB03A4">
        <w:rPr>
          <w:rFonts w:asciiTheme="minorHAnsi" w:hAnsiTheme="minorHAnsi" w:cstheme="minorHAnsi"/>
          <w:color w:val="auto"/>
          <w:sz w:val="21"/>
          <w:szCs w:val="21"/>
        </w:rPr>
        <w:t xml:space="preserve">of land-users to </w:t>
      </w:r>
      <w:r w:rsidR="00CD162D">
        <w:rPr>
          <w:rFonts w:asciiTheme="minorHAnsi" w:hAnsiTheme="minorHAnsi" w:cstheme="minorHAnsi"/>
          <w:color w:val="auto"/>
          <w:sz w:val="21"/>
          <w:szCs w:val="21"/>
        </w:rPr>
        <w:t xml:space="preserve">counter </w:t>
      </w:r>
      <w:r w:rsidR="00CD162D" w:rsidRPr="00BB03A4">
        <w:rPr>
          <w:rFonts w:asciiTheme="minorHAnsi" w:hAnsiTheme="minorHAnsi" w:cstheme="minorHAnsi"/>
          <w:color w:val="auto"/>
          <w:sz w:val="21"/>
          <w:szCs w:val="21"/>
        </w:rPr>
        <w:t xml:space="preserve">the drivers of land degradation </w:t>
      </w:r>
      <w:r w:rsidR="00F720DB">
        <w:rPr>
          <w:rFonts w:asciiTheme="minorHAnsi" w:hAnsiTheme="minorHAnsi" w:cstheme="minorHAnsi"/>
          <w:color w:val="auto"/>
          <w:sz w:val="21"/>
          <w:szCs w:val="21"/>
        </w:rPr>
        <w:t>by</w:t>
      </w:r>
      <w:r w:rsidRPr="00BB03A4">
        <w:rPr>
          <w:rFonts w:asciiTheme="minorHAnsi" w:hAnsiTheme="minorHAnsi" w:cstheme="minorHAnsi"/>
          <w:color w:val="auto"/>
          <w:sz w:val="21"/>
          <w:szCs w:val="21"/>
        </w:rPr>
        <w:t xml:space="preserve"> improv</w:t>
      </w:r>
      <w:r w:rsidR="00F720DB">
        <w:rPr>
          <w:rFonts w:asciiTheme="minorHAnsi" w:hAnsiTheme="minorHAnsi" w:cstheme="minorHAnsi"/>
          <w:color w:val="auto"/>
          <w:sz w:val="21"/>
          <w:szCs w:val="21"/>
        </w:rPr>
        <w:t>ing their</w:t>
      </w:r>
      <w:r w:rsidRPr="00BB03A4">
        <w:rPr>
          <w:rFonts w:asciiTheme="minorHAnsi" w:hAnsiTheme="minorHAnsi" w:cstheme="minorHAnsi"/>
          <w:color w:val="auto"/>
          <w:sz w:val="21"/>
          <w:szCs w:val="21"/>
        </w:rPr>
        <w:t xml:space="preserve"> land</w:t>
      </w:r>
      <w:r w:rsidR="00B52FCB">
        <w:rPr>
          <w:rFonts w:asciiTheme="minorHAnsi" w:hAnsiTheme="minorHAnsi" w:cstheme="minorHAnsi"/>
          <w:color w:val="auto"/>
          <w:sz w:val="21"/>
          <w:szCs w:val="21"/>
        </w:rPr>
        <w:t>-</w:t>
      </w:r>
      <w:r w:rsidRPr="00BB03A4">
        <w:rPr>
          <w:rFonts w:asciiTheme="minorHAnsi" w:hAnsiTheme="minorHAnsi" w:cstheme="minorHAnsi"/>
          <w:color w:val="auto"/>
          <w:sz w:val="21"/>
          <w:szCs w:val="21"/>
        </w:rPr>
        <w:t xml:space="preserve">use management </w:t>
      </w:r>
      <w:r w:rsidR="00873743">
        <w:rPr>
          <w:rFonts w:asciiTheme="minorHAnsi" w:hAnsiTheme="minorHAnsi" w:cstheme="minorHAnsi"/>
          <w:color w:val="auto"/>
          <w:sz w:val="21"/>
          <w:szCs w:val="21"/>
        </w:rPr>
        <w:t>practices</w:t>
      </w:r>
      <w:r w:rsidR="00F720DB">
        <w:rPr>
          <w:rFonts w:asciiTheme="minorHAnsi" w:hAnsiTheme="minorHAnsi" w:cstheme="minorHAnsi"/>
          <w:color w:val="auto"/>
          <w:sz w:val="21"/>
          <w:szCs w:val="21"/>
        </w:rPr>
        <w:t xml:space="preserve"> within an integrated landscape context</w:t>
      </w:r>
      <w:r w:rsidR="00CD162D">
        <w:rPr>
          <w:rFonts w:asciiTheme="minorHAnsi" w:hAnsiTheme="minorHAnsi" w:cstheme="minorHAnsi"/>
          <w:color w:val="auto"/>
          <w:sz w:val="21"/>
          <w:szCs w:val="21"/>
        </w:rPr>
        <w:t>,</w:t>
      </w:r>
      <w:r w:rsidR="00873743">
        <w:rPr>
          <w:rFonts w:asciiTheme="minorHAnsi" w:hAnsiTheme="minorHAnsi" w:cstheme="minorHAnsi"/>
          <w:color w:val="auto"/>
          <w:sz w:val="21"/>
          <w:szCs w:val="21"/>
        </w:rPr>
        <w:t xml:space="preserve"> </w:t>
      </w:r>
      <w:r w:rsidRPr="00BB03A4">
        <w:rPr>
          <w:rFonts w:asciiTheme="minorHAnsi" w:hAnsiTheme="minorHAnsi" w:cstheme="minorHAnsi"/>
          <w:color w:val="auto"/>
          <w:sz w:val="21"/>
          <w:szCs w:val="21"/>
        </w:rPr>
        <w:t xml:space="preserve">with </w:t>
      </w:r>
      <w:r w:rsidR="00F720DB">
        <w:rPr>
          <w:rFonts w:asciiTheme="minorHAnsi" w:hAnsiTheme="minorHAnsi" w:cstheme="minorHAnsi"/>
          <w:color w:val="auto"/>
          <w:sz w:val="21"/>
          <w:szCs w:val="21"/>
        </w:rPr>
        <w:t>support from</w:t>
      </w:r>
      <w:r w:rsidRPr="00BB03A4">
        <w:rPr>
          <w:rFonts w:asciiTheme="minorHAnsi" w:hAnsiTheme="minorHAnsi" w:cstheme="minorHAnsi"/>
          <w:color w:val="auto"/>
          <w:sz w:val="21"/>
          <w:szCs w:val="21"/>
        </w:rPr>
        <w:t xml:space="preserve"> participatory</w:t>
      </w:r>
      <w:r w:rsidR="00C14004">
        <w:rPr>
          <w:rFonts w:asciiTheme="minorHAnsi" w:hAnsiTheme="minorHAnsi" w:cstheme="minorHAnsi"/>
          <w:color w:val="auto"/>
          <w:sz w:val="21"/>
          <w:szCs w:val="21"/>
        </w:rPr>
        <w:t>,</w:t>
      </w:r>
      <w:r w:rsidRPr="00BB03A4">
        <w:rPr>
          <w:rFonts w:asciiTheme="minorHAnsi" w:hAnsiTheme="minorHAnsi" w:cstheme="minorHAnsi"/>
          <w:color w:val="auto"/>
          <w:sz w:val="21"/>
          <w:szCs w:val="21"/>
        </w:rPr>
        <w:t xml:space="preserve"> cross-sectoral rural advisory services that are designed to both </w:t>
      </w:r>
      <w:r w:rsidR="00C14004">
        <w:rPr>
          <w:rFonts w:asciiTheme="minorHAnsi" w:hAnsiTheme="minorHAnsi" w:cstheme="minorHAnsi"/>
          <w:color w:val="auto"/>
          <w:sz w:val="21"/>
          <w:szCs w:val="21"/>
        </w:rPr>
        <w:t>build capacity</w:t>
      </w:r>
      <w:r w:rsidRPr="00BB03A4">
        <w:rPr>
          <w:rFonts w:asciiTheme="minorHAnsi" w:hAnsiTheme="minorHAnsi" w:cstheme="minorHAnsi"/>
          <w:color w:val="auto"/>
          <w:sz w:val="21"/>
          <w:szCs w:val="21"/>
        </w:rPr>
        <w:t xml:space="preserve"> and empower community groups, forest </w:t>
      </w:r>
      <w:r w:rsidR="00F720DB">
        <w:rPr>
          <w:rFonts w:asciiTheme="minorHAnsi" w:hAnsiTheme="minorHAnsi" w:cstheme="minorHAnsi"/>
          <w:color w:val="auto"/>
          <w:sz w:val="21"/>
          <w:szCs w:val="21"/>
        </w:rPr>
        <w:t xml:space="preserve">and </w:t>
      </w:r>
      <w:r w:rsidRPr="00BB03A4">
        <w:rPr>
          <w:rFonts w:asciiTheme="minorHAnsi" w:hAnsiTheme="minorHAnsi" w:cstheme="minorHAnsi"/>
          <w:color w:val="auto"/>
          <w:sz w:val="21"/>
          <w:szCs w:val="21"/>
        </w:rPr>
        <w:t>farm producers</w:t>
      </w:r>
      <w:r w:rsidR="00F720DB">
        <w:rPr>
          <w:rFonts w:asciiTheme="minorHAnsi" w:hAnsiTheme="minorHAnsi" w:cstheme="minorHAnsi"/>
          <w:color w:val="auto"/>
          <w:sz w:val="21"/>
          <w:szCs w:val="21"/>
        </w:rPr>
        <w:t>,</w:t>
      </w:r>
      <w:r w:rsidRPr="00BB03A4">
        <w:rPr>
          <w:rFonts w:asciiTheme="minorHAnsi" w:hAnsiTheme="minorHAnsi" w:cstheme="minorHAnsi"/>
          <w:color w:val="auto"/>
          <w:sz w:val="21"/>
          <w:szCs w:val="21"/>
        </w:rPr>
        <w:t xml:space="preserve"> and extension workers; </w:t>
      </w:r>
    </w:p>
    <w:p w14:paraId="3E8C7904" w14:textId="3E6217E0" w:rsidR="00C14004" w:rsidRPr="002E5B1C" w:rsidRDefault="00F720DB" w:rsidP="001667C6">
      <w:pPr>
        <w:pStyle w:val="ListParagraph"/>
        <w:numPr>
          <w:ilvl w:val="3"/>
          <w:numId w:val="55"/>
        </w:numPr>
        <w:autoSpaceDE/>
        <w:autoSpaceDN/>
        <w:adjustRightInd/>
        <w:spacing w:before="80" w:after="0"/>
        <w:ind w:left="709" w:hanging="142"/>
        <w:contextualSpacing w:val="0"/>
        <w:rPr>
          <w:rFonts w:asciiTheme="minorHAnsi" w:hAnsiTheme="minorHAnsi" w:cstheme="minorHAnsi"/>
          <w:color w:val="auto"/>
          <w:sz w:val="21"/>
          <w:szCs w:val="21"/>
        </w:rPr>
      </w:pPr>
      <w:r w:rsidRPr="002E5B1C">
        <w:rPr>
          <w:rFonts w:asciiTheme="minorHAnsi" w:hAnsiTheme="minorHAnsi" w:cstheme="minorHAnsi"/>
          <w:szCs w:val="21"/>
        </w:rPr>
        <w:t>enabling</w:t>
      </w:r>
      <w:r w:rsidR="009563B4" w:rsidRPr="002E5B1C">
        <w:rPr>
          <w:rFonts w:asciiTheme="minorHAnsi" w:hAnsiTheme="minorHAnsi" w:cstheme="minorHAnsi"/>
          <w:szCs w:val="21"/>
        </w:rPr>
        <w:t xml:space="preserve"> forest and farm producers to diversify their production</w:t>
      </w:r>
      <w:r w:rsidRPr="002E5B1C">
        <w:rPr>
          <w:rFonts w:asciiTheme="minorHAnsi" w:hAnsiTheme="minorHAnsi" w:cstheme="minorHAnsi"/>
          <w:szCs w:val="21"/>
        </w:rPr>
        <w:t>, thereby</w:t>
      </w:r>
      <w:r w:rsidR="009563B4" w:rsidRPr="002E5B1C">
        <w:rPr>
          <w:rFonts w:asciiTheme="minorHAnsi" w:hAnsiTheme="minorHAnsi" w:cstheme="minorHAnsi"/>
          <w:szCs w:val="21"/>
        </w:rPr>
        <w:t xml:space="preserve"> promot</w:t>
      </w:r>
      <w:r w:rsidRPr="002E5B1C">
        <w:rPr>
          <w:rFonts w:asciiTheme="minorHAnsi" w:hAnsiTheme="minorHAnsi" w:cstheme="minorHAnsi"/>
          <w:szCs w:val="21"/>
        </w:rPr>
        <w:t>ing</w:t>
      </w:r>
      <w:r w:rsidR="009563B4" w:rsidRPr="002E5B1C">
        <w:rPr>
          <w:rFonts w:asciiTheme="minorHAnsi" w:hAnsiTheme="minorHAnsi" w:cstheme="minorHAnsi"/>
          <w:szCs w:val="21"/>
        </w:rPr>
        <w:t xml:space="preserve"> resilience and </w:t>
      </w:r>
      <w:r w:rsidRPr="002E5B1C">
        <w:rPr>
          <w:rFonts w:asciiTheme="minorHAnsi" w:hAnsiTheme="minorHAnsi" w:cstheme="minorHAnsi"/>
          <w:szCs w:val="21"/>
        </w:rPr>
        <w:t>improving</w:t>
      </w:r>
      <w:r w:rsidR="009563B4" w:rsidRPr="002E5B1C">
        <w:rPr>
          <w:rFonts w:asciiTheme="minorHAnsi" w:hAnsiTheme="minorHAnsi" w:cstheme="minorHAnsi"/>
          <w:szCs w:val="21"/>
        </w:rPr>
        <w:t xml:space="preserve"> livelihoods in the targeted landscapes</w:t>
      </w:r>
      <w:r w:rsidRPr="002E5B1C">
        <w:rPr>
          <w:rFonts w:asciiTheme="minorHAnsi" w:hAnsiTheme="minorHAnsi" w:cstheme="minorHAnsi"/>
          <w:szCs w:val="21"/>
        </w:rPr>
        <w:t>;</w:t>
      </w:r>
      <w:r w:rsidR="009563B4" w:rsidRPr="002E5B1C">
        <w:rPr>
          <w:rFonts w:asciiTheme="minorHAnsi" w:hAnsiTheme="minorHAnsi" w:cstheme="minorHAnsi"/>
          <w:szCs w:val="21"/>
        </w:rPr>
        <w:t xml:space="preserve"> </w:t>
      </w:r>
      <w:r w:rsidR="00C14004" w:rsidRPr="002E5B1C">
        <w:rPr>
          <w:rFonts w:asciiTheme="minorHAnsi" w:hAnsiTheme="minorHAnsi" w:cstheme="minorHAnsi"/>
          <w:szCs w:val="21"/>
        </w:rPr>
        <w:t>and</w:t>
      </w:r>
    </w:p>
    <w:p w14:paraId="516873BC" w14:textId="64D47E2C" w:rsidR="00223D1B" w:rsidRPr="00B958C5" w:rsidRDefault="009563B4" w:rsidP="001667C6">
      <w:pPr>
        <w:pStyle w:val="ListParagraph"/>
        <w:numPr>
          <w:ilvl w:val="3"/>
          <w:numId w:val="55"/>
        </w:numPr>
        <w:autoSpaceDE/>
        <w:autoSpaceDN/>
        <w:adjustRightInd/>
        <w:spacing w:before="80"/>
        <w:ind w:left="709" w:hanging="142"/>
        <w:contextualSpacing w:val="0"/>
        <w:rPr>
          <w:sz w:val="21"/>
          <w:szCs w:val="21"/>
        </w:rPr>
      </w:pPr>
      <w:r w:rsidRPr="00BB03A4">
        <w:rPr>
          <w:rFonts w:asciiTheme="minorHAnsi" w:hAnsiTheme="minorHAnsi" w:cstheme="minorHAnsi"/>
          <w:color w:val="auto"/>
          <w:sz w:val="21"/>
          <w:szCs w:val="21"/>
        </w:rPr>
        <w:t>provid</w:t>
      </w:r>
      <w:r w:rsidR="00F720DB">
        <w:rPr>
          <w:rFonts w:asciiTheme="minorHAnsi" w:hAnsiTheme="minorHAnsi" w:cstheme="minorHAnsi"/>
          <w:color w:val="auto"/>
          <w:sz w:val="21"/>
          <w:szCs w:val="21"/>
        </w:rPr>
        <w:t>ing</w:t>
      </w:r>
      <w:r w:rsidRPr="00BB03A4">
        <w:rPr>
          <w:rFonts w:asciiTheme="minorHAnsi" w:hAnsiTheme="minorHAnsi" w:cstheme="minorHAnsi"/>
          <w:color w:val="auto"/>
          <w:sz w:val="21"/>
          <w:szCs w:val="21"/>
        </w:rPr>
        <w:t xml:space="preserve"> incentives to land </w:t>
      </w:r>
      <w:r w:rsidR="00184908">
        <w:rPr>
          <w:rFonts w:asciiTheme="minorHAnsi" w:hAnsiTheme="minorHAnsi" w:cstheme="minorHAnsi"/>
          <w:color w:val="auto"/>
          <w:sz w:val="21"/>
          <w:szCs w:val="21"/>
        </w:rPr>
        <w:t xml:space="preserve">users to manage landscapes </w:t>
      </w:r>
      <w:r w:rsidRPr="00BB03A4">
        <w:rPr>
          <w:rFonts w:asciiTheme="minorHAnsi" w:hAnsiTheme="minorHAnsi" w:cstheme="minorHAnsi"/>
          <w:color w:val="auto"/>
          <w:sz w:val="21"/>
          <w:szCs w:val="21"/>
        </w:rPr>
        <w:t>sustainabl</w:t>
      </w:r>
      <w:r w:rsidR="00184908">
        <w:rPr>
          <w:rFonts w:asciiTheme="minorHAnsi" w:hAnsiTheme="minorHAnsi" w:cstheme="minorHAnsi"/>
          <w:color w:val="auto"/>
          <w:sz w:val="21"/>
          <w:szCs w:val="21"/>
        </w:rPr>
        <w:t>y</w:t>
      </w:r>
      <w:r w:rsidRPr="00BB03A4">
        <w:rPr>
          <w:rFonts w:asciiTheme="minorHAnsi" w:hAnsiTheme="minorHAnsi" w:cstheme="minorHAnsi"/>
          <w:color w:val="auto"/>
          <w:sz w:val="21"/>
          <w:szCs w:val="21"/>
        </w:rPr>
        <w:t xml:space="preserve"> through green value chains.</w:t>
      </w:r>
    </w:p>
    <w:tbl>
      <w:tblPr>
        <w:tblStyle w:val="TableGrid"/>
        <w:tblpPr w:leftFromText="180" w:rightFromText="180" w:vertAnchor="text" w:horzAnchor="margin" w:tblpXSpec="right" w:tblpY="70"/>
        <w:tblW w:w="0" w:type="auto"/>
        <w:tblLook w:val="04A0" w:firstRow="1" w:lastRow="0" w:firstColumn="1" w:lastColumn="0" w:noHBand="0" w:noVBand="1"/>
      </w:tblPr>
      <w:tblGrid>
        <w:gridCol w:w="1418"/>
        <w:gridCol w:w="8421"/>
      </w:tblGrid>
      <w:tr w:rsidR="001742D0" w:rsidRPr="001742D0" w14:paraId="59546108" w14:textId="77777777" w:rsidTr="00370D73">
        <w:tc>
          <w:tcPr>
            <w:tcW w:w="1418" w:type="dxa"/>
            <w:tcBorders>
              <w:top w:val="nil"/>
              <w:left w:val="nil"/>
              <w:bottom w:val="nil"/>
            </w:tcBorders>
            <w:tcMar>
              <w:top w:w="57" w:type="dxa"/>
              <w:left w:w="57" w:type="dxa"/>
              <w:bottom w:w="57" w:type="dxa"/>
              <w:right w:w="57" w:type="dxa"/>
            </w:tcMar>
          </w:tcPr>
          <w:p w14:paraId="0BC349B1" w14:textId="3A3577C4" w:rsidR="00303CDF" w:rsidRPr="001742D0" w:rsidRDefault="00303CDF" w:rsidP="003C588D">
            <w:pPr>
              <w:pStyle w:val="Heading5"/>
              <w:spacing w:before="0" w:after="0"/>
              <w:ind w:left="0"/>
              <w:outlineLvl w:val="4"/>
              <w:rPr>
                <w:rFonts w:ascii="Calibri" w:hAnsi="Calibri" w:cs="Calibri"/>
                <w:sz w:val="22"/>
                <w:szCs w:val="22"/>
                <w:lang w:val="en-GB"/>
              </w:rPr>
            </w:pPr>
            <w:r w:rsidRPr="001742D0">
              <w:rPr>
                <w:rFonts w:ascii="Calibri" w:hAnsi="Calibri" w:cs="Calibri"/>
                <w:sz w:val="22"/>
                <w:szCs w:val="22"/>
              </w:rPr>
              <w:t xml:space="preserve">Outcome </w:t>
            </w:r>
            <w:r w:rsidRPr="001742D0">
              <w:rPr>
                <w:rFonts w:ascii="Calibri" w:hAnsi="Calibri" w:cs="Calibri"/>
                <w:sz w:val="22"/>
                <w:szCs w:val="22"/>
                <w:lang w:val="en-GB"/>
              </w:rPr>
              <w:t>2</w:t>
            </w:r>
            <w:r w:rsidRPr="001742D0">
              <w:rPr>
                <w:rFonts w:ascii="Calibri" w:hAnsi="Calibri" w:cs="Calibri"/>
                <w:sz w:val="22"/>
                <w:szCs w:val="22"/>
              </w:rPr>
              <w:t>.</w:t>
            </w:r>
            <w:r w:rsidRPr="001742D0">
              <w:rPr>
                <w:rFonts w:ascii="Calibri" w:hAnsi="Calibri" w:cs="Calibri"/>
                <w:sz w:val="22"/>
                <w:szCs w:val="22"/>
                <w:lang w:val="en-GB"/>
              </w:rPr>
              <w:t>1</w:t>
            </w:r>
          </w:p>
        </w:tc>
        <w:tc>
          <w:tcPr>
            <w:tcW w:w="8421" w:type="dxa"/>
            <w:tcMar>
              <w:top w:w="57" w:type="dxa"/>
              <w:left w:w="57" w:type="dxa"/>
              <w:bottom w:w="57" w:type="dxa"/>
              <w:right w:w="57" w:type="dxa"/>
            </w:tcMar>
          </w:tcPr>
          <w:p w14:paraId="5DEEBA6E" w14:textId="0F337052" w:rsidR="00303CDF" w:rsidRPr="008E10C5" w:rsidRDefault="00614A64" w:rsidP="003C588D">
            <w:pPr>
              <w:pStyle w:val="Heading5"/>
              <w:spacing w:before="0" w:after="0"/>
              <w:ind w:left="0"/>
              <w:outlineLvl w:val="4"/>
              <w:rPr>
                <w:rFonts w:ascii="Calibri" w:hAnsi="Calibri" w:cs="Calibri"/>
                <w:sz w:val="22"/>
                <w:szCs w:val="22"/>
                <w:lang w:val="en-GB"/>
              </w:rPr>
            </w:pPr>
            <w:r w:rsidRPr="00614A64">
              <w:rPr>
                <w:rFonts w:ascii="Calibri" w:hAnsi="Calibri"/>
                <w:sz w:val="22"/>
                <w:szCs w:val="22"/>
                <w:lang w:val="en-GB"/>
              </w:rPr>
              <w:t>Landscapes in Southern Angola under Integrated Land-Use Planning (ILUP) for LDN</w:t>
            </w:r>
          </w:p>
        </w:tc>
      </w:tr>
    </w:tbl>
    <w:p w14:paraId="4F67D6FF" w14:textId="4CE63A5D" w:rsidR="00303CDF" w:rsidRDefault="00303CDF" w:rsidP="009B6DAA"/>
    <w:p w14:paraId="5E8694E8" w14:textId="4E21EE26" w:rsidR="003D4F4C" w:rsidRDefault="003D4F4C" w:rsidP="001667C6">
      <w:pPr>
        <w:pStyle w:val="ParagraphOED"/>
        <w:numPr>
          <w:ilvl w:val="0"/>
          <w:numId w:val="102"/>
        </w:numPr>
        <w:spacing w:before="240" w:after="160"/>
      </w:pPr>
      <w:r>
        <w:t>Currently there is no pre-existing land-use planning or management framework that specifically addresses sustainability within landscapes that, by default, are the target of different and often competing sectoral interest</w:t>
      </w:r>
      <w:r w:rsidR="00A32BF3">
        <w:t>s</w:t>
      </w:r>
      <w:r>
        <w:t xml:space="preserve"> (e.g. biodiversity conservation, forestry, agriculture, water catchment, mining), while also covering a range of administrative jurisdictions (i.e. provinces, municipalities, or communes). The existing planning framework is concerned with physical and infrastructural planning and, to a less extent, with investment at the provincial level that in most instances is focused on urban municipalities. </w:t>
      </w:r>
    </w:p>
    <w:p w14:paraId="4A5F94FA" w14:textId="7C2F31BF" w:rsidR="00B958C5" w:rsidRPr="008176BC" w:rsidRDefault="001A1AF4" w:rsidP="001667C6">
      <w:pPr>
        <w:pStyle w:val="ParagraphOED"/>
        <w:numPr>
          <w:ilvl w:val="0"/>
          <w:numId w:val="102"/>
        </w:numPr>
        <w:spacing w:before="160" w:after="160"/>
      </w:pPr>
      <w:r>
        <w:lastRenderedPageBreak/>
        <w:t>However, t</w:t>
      </w:r>
      <w:r w:rsidR="00B958C5">
        <w:t xml:space="preserve">here are integrated water resource management frameworks for the Cunene and Okavango river basins that seek sustainability: respectively, these are the Kunene River Master Plan from the early 2000s and the 2011 Strategic Action Program (SAP) for the Sustainable Development and Management of the Cubango-Okavango Basin. Implementation of these planning and management frameworks has remained incipient, however, as described under Barrier #1. Furthermore, there are no planning frameworks nested within the basin-level plans for these two rivers that focus on specific watersheds or address integrated water and land-use management. Likewise, specific operational plans or mechanisms to address the LDN target and related framework are lacking. These gaps will be accommodated under Outcome 2.1 through the ILUP proposed for each sub-basin, providing a novel and and important opportunity for progressing what has been envisioned since the beginning of this millenium. </w:t>
      </w:r>
    </w:p>
    <w:p w14:paraId="49FB9D3A" w14:textId="4CF832FA" w:rsidR="001C2BFB" w:rsidRPr="00CE1EA7" w:rsidRDefault="001C2BFB" w:rsidP="001667C6">
      <w:pPr>
        <w:pStyle w:val="ParagraphOED"/>
        <w:numPr>
          <w:ilvl w:val="0"/>
          <w:numId w:val="102"/>
        </w:numPr>
        <w:spacing w:after="160"/>
      </w:pPr>
      <w:r>
        <w:t xml:space="preserve">The project will both strengthen integrated land-use planning at landscape level while also materially supporting implementation of the resultant Land-Use Plan, which will include a framework of indicators to monitor implementation. Integrated planning will prime the sustainability aspects embedded in the LDN target, while also ensuring that the process is cross-sectoral and fosters multi-stakeholder collaboration. Existing multi-sectoral stakeholder platforms and processes at national and local levels will be strengthened and enhanced to facilitate participatory, adaptive landscape planning and management; and the resultant Stakeholder Engagement Plans for the target landscapes designed under </w:t>
      </w:r>
      <w:r w:rsidRPr="1E65A5F7">
        <w:rPr>
          <w:b/>
          <w:bCs/>
        </w:rPr>
        <w:t>Output 1.1.1</w:t>
      </w:r>
      <w:r>
        <w:t xml:space="preserve"> will underpin the Integrated Land-Use Plans prepared under </w:t>
      </w:r>
      <w:r w:rsidRPr="1E65A5F7">
        <w:rPr>
          <w:b/>
          <w:bCs/>
        </w:rPr>
        <w:t>Output 2.1.2</w:t>
      </w:r>
      <w:r>
        <w:t xml:space="preserve"> and implemented under </w:t>
      </w:r>
      <w:r w:rsidRPr="1E65A5F7">
        <w:rPr>
          <w:b/>
          <w:bCs/>
        </w:rPr>
        <w:t xml:space="preserve">Output </w:t>
      </w:r>
      <w:r w:rsidR="005D2F2C" w:rsidRPr="1E65A5F7">
        <w:rPr>
          <w:b/>
          <w:bCs/>
        </w:rPr>
        <w:t>2</w:t>
      </w:r>
      <w:r w:rsidRPr="1E65A5F7">
        <w:rPr>
          <w:b/>
          <w:bCs/>
        </w:rPr>
        <w:t>.</w:t>
      </w:r>
      <w:r w:rsidR="005D2F2C" w:rsidRPr="1E65A5F7">
        <w:rPr>
          <w:b/>
          <w:bCs/>
        </w:rPr>
        <w:t>1</w:t>
      </w:r>
      <w:r w:rsidRPr="1E65A5F7">
        <w:rPr>
          <w:b/>
          <w:bCs/>
        </w:rPr>
        <w:t>.3</w:t>
      </w:r>
      <w:r>
        <w:t xml:space="preserve">. </w:t>
      </w:r>
    </w:p>
    <w:p w14:paraId="22070E8E" w14:textId="554936DD" w:rsidR="000074BD" w:rsidRPr="00A45B4B" w:rsidRDefault="000074BD" w:rsidP="00A42364">
      <w:pPr>
        <w:pStyle w:val="Caption"/>
        <w:spacing w:before="160" w:after="80"/>
        <w:ind w:left="993" w:hanging="993"/>
        <w:jc w:val="left"/>
        <w:rPr>
          <w:rFonts w:ascii="Calibri" w:hAnsi="Calibri" w:cs="Calibri"/>
          <w:sz w:val="22"/>
          <w:szCs w:val="22"/>
        </w:rPr>
      </w:pPr>
      <w:bookmarkStart w:id="122" w:name="_Ref41300847"/>
      <w:bookmarkStart w:id="123" w:name="_Toc42262740"/>
      <w:bookmarkStart w:id="124" w:name="_Toc64037181"/>
      <w:r w:rsidRPr="00A45B4B">
        <w:rPr>
          <w:rFonts w:ascii="Calibri" w:hAnsi="Calibri" w:cs="Calibri"/>
          <w:sz w:val="22"/>
          <w:szCs w:val="22"/>
        </w:rPr>
        <w:t xml:space="preserve">Figure </w:t>
      </w:r>
      <w:r w:rsidRPr="00A45B4B">
        <w:rPr>
          <w:rFonts w:ascii="Calibri" w:hAnsi="Calibri" w:cs="Calibri"/>
          <w:sz w:val="22"/>
          <w:szCs w:val="22"/>
        </w:rPr>
        <w:fldChar w:fldCharType="begin"/>
      </w:r>
      <w:r w:rsidRPr="00A45B4B">
        <w:rPr>
          <w:rFonts w:ascii="Calibri" w:hAnsi="Calibri" w:cs="Calibri"/>
          <w:sz w:val="22"/>
          <w:szCs w:val="22"/>
        </w:rPr>
        <w:instrText>SEQ Figure \* ARABIC</w:instrText>
      </w:r>
      <w:r w:rsidRPr="00A45B4B">
        <w:rPr>
          <w:rFonts w:ascii="Calibri" w:hAnsi="Calibri" w:cs="Calibri"/>
          <w:sz w:val="22"/>
          <w:szCs w:val="22"/>
        </w:rPr>
        <w:fldChar w:fldCharType="separate"/>
      </w:r>
      <w:r w:rsidR="00A64193">
        <w:rPr>
          <w:rFonts w:ascii="Calibri" w:hAnsi="Calibri" w:cs="Calibri"/>
          <w:noProof/>
          <w:sz w:val="22"/>
          <w:szCs w:val="22"/>
        </w:rPr>
        <w:t>5</w:t>
      </w:r>
      <w:r w:rsidRPr="00A45B4B">
        <w:rPr>
          <w:rFonts w:ascii="Calibri" w:hAnsi="Calibri" w:cs="Calibri"/>
          <w:sz w:val="22"/>
          <w:szCs w:val="22"/>
        </w:rPr>
        <w:fldChar w:fldCharType="end"/>
      </w:r>
      <w:bookmarkEnd w:id="122"/>
      <w:r w:rsidRPr="00A45B4B">
        <w:rPr>
          <w:rFonts w:ascii="Calibri" w:hAnsi="Calibri" w:cs="Calibri"/>
          <w:sz w:val="22"/>
          <w:szCs w:val="22"/>
        </w:rPr>
        <w:t>.</w:t>
      </w:r>
      <w:r w:rsidR="00DF649D">
        <w:rPr>
          <w:rFonts w:ascii="Calibri" w:hAnsi="Calibri" w:cs="Calibri"/>
          <w:sz w:val="22"/>
          <w:szCs w:val="22"/>
        </w:rPr>
        <w:t xml:space="preserve"> </w:t>
      </w:r>
      <w:r w:rsidR="00F86B28" w:rsidRPr="00A45B4B">
        <w:rPr>
          <w:rFonts w:ascii="Calibri" w:hAnsi="Calibri" w:cs="Calibri"/>
          <w:sz w:val="22"/>
          <w:szCs w:val="22"/>
        </w:rPr>
        <w:t>Integrated Landscape Assessment Methodology applied to FAO GEF DSL IP Child Projects of the Miombo Cluster</w:t>
      </w:r>
      <w:r w:rsidR="00691A97" w:rsidRPr="00A45B4B">
        <w:rPr>
          <w:rFonts w:ascii="Calibri" w:hAnsi="Calibri" w:cs="Calibri"/>
          <w:sz w:val="22"/>
          <w:szCs w:val="22"/>
        </w:rPr>
        <w:t xml:space="preserve">, based on a framework developed </w:t>
      </w:r>
      <w:r w:rsidR="00E445E1" w:rsidRPr="00A45B4B">
        <w:rPr>
          <w:rFonts w:ascii="Calibri" w:hAnsi="Calibri" w:cs="Calibri"/>
          <w:sz w:val="22"/>
          <w:szCs w:val="22"/>
        </w:rPr>
        <w:t xml:space="preserve">in 2017 </w:t>
      </w:r>
      <w:r w:rsidR="00691A97" w:rsidRPr="00A45B4B">
        <w:rPr>
          <w:rFonts w:ascii="Calibri" w:hAnsi="Calibri" w:cs="Calibri"/>
          <w:sz w:val="22"/>
          <w:szCs w:val="22"/>
        </w:rPr>
        <w:t>by UNCCD’s Science Policy Interface</w:t>
      </w:r>
      <w:r w:rsidR="00691A97" w:rsidRPr="00A45B4B">
        <w:rPr>
          <w:rStyle w:val="FootnoteReference"/>
          <w:rFonts w:ascii="Calibri" w:eastAsia="Calibri" w:hAnsi="Calibri" w:cs="Calibri"/>
          <w:sz w:val="22"/>
          <w:szCs w:val="22"/>
        </w:rPr>
        <w:footnoteReference w:id="67"/>
      </w:r>
      <w:bookmarkEnd w:id="123"/>
      <w:bookmarkEnd w:id="124"/>
    </w:p>
    <w:tbl>
      <w:tblPr>
        <w:tblStyle w:val="TableGrid"/>
        <w:tblW w:w="9776" w:type="dxa"/>
        <w:tblLook w:val="04A0" w:firstRow="1" w:lastRow="0" w:firstColumn="1" w:lastColumn="0" w:noHBand="0" w:noVBand="1"/>
      </w:tblPr>
      <w:tblGrid>
        <w:gridCol w:w="9960"/>
      </w:tblGrid>
      <w:tr w:rsidR="000074BD" w:rsidRPr="00E05B94" w14:paraId="7B818683" w14:textId="77777777" w:rsidTr="78C544BE">
        <w:trPr>
          <w:trHeight w:val="4748"/>
        </w:trPr>
        <w:tc>
          <w:tcPr>
            <w:tcW w:w="9776" w:type="dxa"/>
          </w:tcPr>
          <w:p w14:paraId="0E467A3E" w14:textId="2739073D" w:rsidR="000074BD" w:rsidRPr="00E05B94" w:rsidRDefault="00B85608" w:rsidP="003D2288">
            <w:pPr>
              <w:keepNext/>
              <w:shd w:val="clear" w:color="auto" w:fill="D9D9D9" w:themeFill="background1" w:themeFillShade="D9"/>
              <w:rPr>
                <w:rFonts w:asciiTheme="minorHAnsi" w:hAnsiTheme="minorHAnsi" w:cstheme="minorHAnsi"/>
                <w:sz w:val="18"/>
              </w:rPr>
            </w:pPr>
            <w:r>
              <w:rPr>
                <w:rFonts w:asciiTheme="minorHAnsi" w:hAnsiTheme="minorHAnsi" w:cstheme="minorHAnsi"/>
                <w:sz w:val="18"/>
              </w:rPr>
              <w:t>K</w:t>
            </w:r>
            <w:r w:rsidRPr="00E05B94">
              <w:rPr>
                <w:rFonts w:asciiTheme="minorHAnsi" w:hAnsiTheme="minorHAnsi" w:cstheme="minorHAnsi"/>
                <w:sz w:val="18"/>
              </w:rPr>
              <w:t xml:space="preserve">ey elements of the </w:t>
            </w:r>
            <w:r w:rsidRPr="009866E1">
              <w:rPr>
                <w:rFonts w:asciiTheme="minorHAnsi" w:hAnsiTheme="minorHAnsi" w:cstheme="minorHAnsi"/>
                <w:b/>
                <w:bCs/>
                <w:sz w:val="18"/>
              </w:rPr>
              <w:t>I</w:t>
            </w:r>
            <w:r w:rsidRPr="009866E1">
              <w:rPr>
                <w:rFonts w:asciiTheme="minorHAnsi" w:hAnsiTheme="minorHAnsi" w:cstheme="minorHAnsi"/>
                <w:sz w:val="18"/>
              </w:rPr>
              <w:t>ntegrated</w:t>
            </w:r>
            <w:r>
              <w:rPr>
                <w:rFonts w:asciiTheme="minorHAnsi" w:hAnsiTheme="minorHAnsi" w:cstheme="minorHAnsi"/>
                <w:b/>
                <w:bCs/>
                <w:sz w:val="18"/>
              </w:rPr>
              <w:t xml:space="preserve"> L</w:t>
            </w:r>
            <w:r w:rsidRPr="009866E1">
              <w:rPr>
                <w:rFonts w:asciiTheme="minorHAnsi" w:hAnsiTheme="minorHAnsi" w:cstheme="minorHAnsi"/>
                <w:sz w:val="18"/>
              </w:rPr>
              <w:t>andscape</w:t>
            </w:r>
            <w:r>
              <w:rPr>
                <w:rFonts w:asciiTheme="minorHAnsi" w:hAnsiTheme="minorHAnsi" w:cstheme="minorHAnsi"/>
                <w:b/>
                <w:bCs/>
                <w:sz w:val="18"/>
              </w:rPr>
              <w:t xml:space="preserve"> </w:t>
            </w:r>
            <w:r w:rsidRPr="009866E1">
              <w:rPr>
                <w:rFonts w:asciiTheme="minorHAnsi" w:hAnsiTheme="minorHAnsi" w:cstheme="minorHAnsi"/>
                <w:b/>
                <w:bCs/>
                <w:sz w:val="18"/>
              </w:rPr>
              <w:t>A</w:t>
            </w:r>
            <w:r>
              <w:rPr>
                <w:rFonts w:asciiTheme="minorHAnsi" w:hAnsiTheme="minorHAnsi" w:cstheme="minorHAnsi"/>
                <w:sz w:val="18"/>
              </w:rPr>
              <w:t xml:space="preserve">ssessment </w:t>
            </w:r>
            <w:r w:rsidRPr="009866E1">
              <w:rPr>
                <w:rFonts w:asciiTheme="minorHAnsi" w:hAnsiTheme="minorHAnsi" w:cstheme="minorHAnsi"/>
                <w:b/>
                <w:bCs/>
                <w:sz w:val="18"/>
              </w:rPr>
              <w:t>M</w:t>
            </w:r>
            <w:r>
              <w:rPr>
                <w:rFonts w:asciiTheme="minorHAnsi" w:hAnsiTheme="minorHAnsi" w:cstheme="minorHAnsi"/>
                <w:sz w:val="18"/>
              </w:rPr>
              <w:t>ethodology</w:t>
            </w:r>
            <w:r w:rsidRPr="00E05B94">
              <w:rPr>
                <w:rFonts w:asciiTheme="minorHAnsi" w:hAnsiTheme="minorHAnsi" w:cstheme="minorHAnsi"/>
                <w:sz w:val="18"/>
              </w:rPr>
              <w:t xml:space="preserve"> and other </w:t>
            </w:r>
            <w:r>
              <w:rPr>
                <w:rFonts w:asciiTheme="minorHAnsi" w:hAnsiTheme="minorHAnsi" w:cstheme="minorHAnsi"/>
                <w:sz w:val="18"/>
              </w:rPr>
              <w:t>studies that will</w:t>
            </w:r>
            <w:r w:rsidR="000074BD" w:rsidRPr="00E05B94">
              <w:rPr>
                <w:rFonts w:asciiTheme="minorHAnsi" w:hAnsiTheme="minorHAnsi" w:cstheme="minorHAnsi"/>
                <w:sz w:val="18"/>
              </w:rPr>
              <w:t xml:space="preserve"> feed into the </w:t>
            </w:r>
            <w:r w:rsidR="000074BD" w:rsidRPr="00B85608">
              <w:rPr>
                <w:rFonts w:asciiTheme="minorHAnsi" w:hAnsiTheme="minorHAnsi" w:cstheme="minorHAnsi"/>
                <w:b/>
                <w:bCs/>
                <w:sz w:val="18"/>
              </w:rPr>
              <w:t>I</w:t>
            </w:r>
            <w:r>
              <w:rPr>
                <w:rFonts w:asciiTheme="minorHAnsi" w:hAnsiTheme="minorHAnsi" w:cstheme="minorHAnsi"/>
                <w:sz w:val="18"/>
              </w:rPr>
              <w:t>ntegrated</w:t>
            </w:r>
            <w:r w:rsidRPr="00B85608">
              <w:rPr>
                <w:rFonts w:asciiTheme="minorHAnsi" w:hAnsiTheme="minorHAnsi" w:cstheme="minorHAnsi"/>
                <w:sz w:val="18"/>
              </w:rPr>
              <w:t xml:space="preserve"> </w:t>
            </w:r>
            <w:r w:rsidR="000074BD" w:rsidRPr="00691A97">
              <w:rPr>
                <w:rFonts w:asciiTheme="minorHAnsi" w:hAnsiTheme="minorHAnsi" w:cstheme="minorHAnsi"/>
                <w:b/>
                <w:bCs/>
                <w:sz w:val="18"/>
              </w:rPr>
              <w:t>L</w:t>
            </w:r>
            <w:r w:rsidRPr="00B85608">
              <w:rPr>
                <w:rFonts w:asciiTheme="minorHAnsi" w:hAnsiTheme="minorHAnsi" w:cstheme="minorHAnsi"/>
                <w:sz w:val="18"/>
              </w:rPr>
              <w:t>a</w:t>
            </w:r>
            <w:r>
              <w:rPr>
                <w:rFonts w:asciiTheme="minorHAnsi" w:hAnsiTheme="minorHAnsi" w:cstheme="minorHAnsi"/>
                <w:sz w:val="18"/>
              </w:rPr>
              <w:t>nd-</w:t>
            </w:r>
            <w:r w:rsidR="000074BD" w:rsidRPr="00B85608">
              <w:rPr>
                <w:rFonts w:asciiTheme="minorHAnsi" w:hAnsiTheme="minorHAnsi" w:cstheme="minorHAnsi"/>
                <w:b/>
                <w:bCs/>
                <w:sz w:val="18"/>
              </w:rPr>
              <w:t>U</w:t>
            </w:r>
            <w:r>
              <w:rPr>
                <w:rFonts w:asciiTheme="minorHAnsi" w:hAnsiTheme="minorHAnsi" w:cstheme="minorHAnsi"/>
                <w:sz w:val="18"/>
              </w:rPr>
              <w:t xml:space="preserve">se </w:t>
            </w:r>
            <w:r w:rsidR="000074BD" w:rsidRPr="00B85608">
              <w:rPr>
                <w:rFonts w:asciiTheme="minorHAnsi" w:hAnsiTheme="minorHAnsi" w:cstheme="minorHAnsi"/>
                <w:b/>
                <w:bCs/>
                <w:sz w:val="18"/>
              </w:rPr>
              <w:t>P</w:t>
            </w:r>
            <w:r w:rsidRPr="00F86B28">
              <w:rPr>
                <w:rFonts w:asciiTheme="minorHAnsi" w:hAnsiTheme="minorHAnsi" w:cstheme="minorHAnsi"/>
                <w:sz w:val="18"/>
              </w:rPr>
              <w:t>lanning</w:t>
            </w:r>
            <w:r w:rsidR="00691A97">
              <w:rPr>
                <w:rFonts w:asciiTheme="minorHAnsi" w:hAnsiTheme="minorHAnsi" w:cstheme="minorHAnsi"/>
                <w:sz w:val="18"/>
              </w:rPr>
              <w:t xml:space="preserve"> and,</w:t>
            </w:r>
            <w:r w:rsidR="000074BD" w:rsidRPr="00E05B94">
              <w:rPr>
                <w:rFonts w:asciiTheme="minorHAnsi" w:hAnsiTheme="minorHAnsi" w:cstheme="minorHAnsi"/>
                <w:sz w:val="18"/>
              </w:rPr>
              <w:t xml:space="preserve"> in the case of the </w:t>
            </w:r>
            <w:r w:rsidR="000074BD" w:rsidRPr="00F86B28">
              <w:rPr>
                <w:rFonts w:asciiTheme="minorHAnsi" w:hAnsiTheme="minorHAnsi" w:cstheme="minorHAnsi"/>
                <w:b/>
                <w:bCs/>
                <w:i/>
                <w:sz w:val="18"/>
              </w:rPr>
              <w:t>Angola Child Project</w:t>
            </w:r>
            <w:r w:rsidR="00691A97">
              <w:rPr>
                <w:rFonts w:asciiTheme="minorHAnsi" w:hAnsiTheme="minorHAnsi" w:cstheme="minorHAnsi"/>
                <w:sz w:val="18"/>
              </w:rPr>
              <w:t>, be</w:t>
            </w:r>
            <w:r w:rsidR="000074BD" w:rsidRPr="00E05B94">
              <w:rPr>
                <w:rFonts w:asciiTheme="minorHAnsi" w:hAnsiTheme="minorHAnsi" w:cstheme="minorHAnsi"/>
                <w:sz w:val="18"/>
              </w:rPr>
              <w:t xml:space="preserve"> operationalized </w:t>
            </w:r>
            <w:r>
              <w:rPr>
                <w:rFonts w:asciiTheme="minorHAnsi" w:hAnsiTheme="minorHAnsi" w:cstheme="minorHAnsi"/>
                <w:sz w:val="18"/>
              </w:rPr>
              <w:t>under</w:t>
            </w:r>
            <w:r w:rsidR="000074BD" w:rsidRPr="00E05B94">
              <w:rPr>
                <w:rFonts w:asciiTheme="minorHAnsi" w:hAnsiTheme="minorHAnsi" w:cstheme="minorHAnsi"/>
                <w:sz w:val="18"/>
              </w:rPr>
              <w:t xml:space="preserve"> </w:t>
            </w:r>
            <w:r w:rsidR="000074BD" w:rsidRPr="00F86B28">
              <w:rPr>
                <w:rFonts w:asciiTheme="minorHAnsi" w:hAnsiTheme="minorHAnsi" w:cstheme="minorHAnsi"/>
                <w:b/>
                <w:bCs/>
                <w:sz w:val="18"/>
              </w:rPr>
              <w:t>Component 2</w:t>
            </w:r>
            <w:r w:rsidR="000074BD" w:rsidRPr="00E05B94">
              <w:rPr>
                <w:rFonts w:asciiTheme="minorHAnsi" w:hAnsiTheme="minorHAnsi" w:cstheme="minorHAnsi"/>
                <w:sz w:val="18"/>
              </w:rPr>
              <w:t>:</w:t>
            </w:r>
          </w:p>
          <w:p w14:paraId="40CC5FBC" w14:textId="77777777" w:rsidR="000074BD" w:rsidRPr="00E05B94" w:rsidRDefault="00E5BD3A" w:rsidP="003D2288">
            <w:pPr>
              <w:jc w:val="center"/>
              <w:rPr>
                <w:rFonts w:asciiTheme="minorHAnsi" w:hAnsiTheme="minorHAnsi" w:cstheme="minorHAnsi"/>
              </w:rPr>
            </w:pPr>
            <w:r>
              <w:rPr>
                <w:noProof/>
              </w:rPr>
              <w:drawing>
                <wp:inline distT="0" distB="0" distL="0" distR="0" wp14:anchorId="5D449641" wp14:editId="6B308246">
                  <wp:extent cx="6187644" cy="2703786"/>
                  <wp:effectExtent l="0" t="0" r="0" b="1905"/>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pic:nvPicPr>
                        <pic:blipFill>
                          <a:blip r:embed="rId62">
                            <a:extLst>
                              <a:ext uri="{28A0092B-C50C-407E-A947-70E740481C1C}">
                                <a14:useLocalDpi xmlns:a14="http://schemas.microsoft.com/office/drawing/2010/main"/>
                              </a:ext>
                            </a:extLst>
                          </a:blip>
                          <a:stretch>
                            <a:fillRect/>
                          </a:stretch>
                        </pic:blipFill>
                        <pic:spPr>
                          <a:xfrm>
                            <a:off x="0" y="0"/>
                            <a:ext cx="6187644" cy="2703786"/>
                          </a:xfrm>
                          <a:prstGeom prst="rect">
                            <a:avLst/>
                          </a:prstGeom>
                        </pic:spPr>
                      </pic:pic>
                    </a:graphicData>
                  </a:graphic>
                </wp:inline>
              </w:drawing>
            </w:r>
          </w:p>
        </w:tc>
      </w:tr>
    </w:tbl>
    <w:p w14:paraId="7B2BB971" w14:textId="444C6B99" w:rsidR="004F0DF8" w:rsidRDefault="004F0DF8">
      <w:pPr>
        <w:rPr>
          <w:rFonts w:eastAsia="Calibri" w:cs="Calibri"/>
          <w:b/>
          <w:bCs/>
          <w:szCs w:val="20"/>
          <w:shd w:val="clear" w:color="auto" w:fill="FFFFFF"/>
        </w:rPr>
      </w:pPr>
    </w:p>
    <w:p w14:paraId="17A28505" w14:textId="7C625E40" w:rsidR="000D6D6E" w:rsidRDefault="000D6D6E" w:rsidP="001667C6">
      <w:pPr>
        <w:pStyle w:val="ParagraphOED"/>
        <w:numPr>
          <w:ilvl w:val="0"/>
          <w:numId w:val="102"/>
        </w:numPr>
        <w:spacing w:before="160" w:after="160"/>
      </w:pPr>
      <w:r w:rsidRPr="008176BC">
        <w:rPr>
          <w:b/>
          <w:bCs/>
        </w:rPr>
        <w:t>Outcome 2.1</w:t>
      </w:r>
      <w:r w:rsidRPr="008176BC">
        <w:t xml:space="preserve"> builds on </w:t>
      </w:r>
      <w:r>
        <w:t>preliminary findings from applying the</w:t>
      </w:r>
      <w:r w:rsidRPr="008176BC">
        <w:t xml:space="preserve"> </w:t>
      </w:r>
      <w:r>
        <w:t xml:space="preserve">Integrated Landscape Assessment Methodology (ILAM) undertaken during the </w:t>
      </w:r>
      <w:r w:rsidRPr="008176BC">
        <w:t xml:space="preserve">PPG phase, </w:t>
      </w:r>
      <w:r>
        <w:t xml:space="preserve">which will be further elaborated and consolidated to inform the Integrated Land-Use Planning (ILUP), </w:t>
      </w:r>
      <w:r w:rsidRPr="008176BC">
        <w:t xml:space="preserve">as </w:t>
      </w:r>
      <w:r>
        <w:t>modelled</w:t>
      </w:r>
      <w:r w:rsidRPr="008176BC">
        <w:t xml:space="preserve"> in </w:t>
      </w:r>
      <w:r w:rsidRPr="00387117">
        <w:rPr>
          <w:highlight w:val="lightGray"/>
          <w:u w:val="single"/>
        </w:rPr>
        <w:fldChar w:fldCharType="begin"/>
      </w:r>
      <w:r w:rsidRPr="00387117">
        <w:rPr>
          <w:highlight w:val="lightGray"/>
          <w:u w:val="single"/>
        </w:rPr>
        <w:instrText xml:space="preserve"> REF _Ref41300847 \h  \* MERGEFORMAT </w:instrText>
      </w:r>
      <w:r w:rsidRPr="00387117">
        <w:rPr>
          <w:highlight w:val="lightGray"/>
          <w:u w:val="single"/>
        </w:rPr>
      </w:r>
      <w:r w:rsidRPr="00387117">
        <w:rPr>
          <w:highlight w:val="lightGray"/>
          <w:u w:val="single"/>
        </w:rPr>
        <w:fldChar w:fldCharType="separate"/>
      </w:r>
      <w:r w:rsidR="00A64193" w:rsidRPr="00A64193">
        <w:rPr>
          <w:highlight w:val="lightGray"/>
        </w:rPr>
        <w:t>Figure 5</w:t>
      </w:r>
      <w:r w:rsidRPr="00387117">
        <w:rPr>
          <w:highlight w:val="lightGray"/>
          <w:u w:val="single"/>
        </w:rPr>
        <w:fldChar w:fldCharType="end"/>
      </w:r>
      <w:r w:rsidRPr="008176BC">
        <w:t xml:space="preserve">. </w:t>
      </w:r>
      <w:r w:rsidRPr="008C2BCF">
        <w:t>ILUP</w:t>
      </w:r>
      <w:r w:rsidRPr="008176BC">
        <w:t xml:space="preserve"> is considered by UNCCD </w:t>
      </w:r>
      <w:r>
        <w:t>to be</w:t>
      </w:r>
      <w:r w:rsidRPr="008176BC">
        <w:t xml:space="preserve"> a highly effective </w:t>
      </w:r>
      <w:r w:rsidR="005D2F2C">
        <w:t>instrument</w:t>
      </w:r>
      <w:r w:rsidRPr="008176BC">
        <w:t xml:space="preserve"> for delivering LND within landscapes</w:t>
      </w:r>
      <w:r>
        <w:t>: hence,</w:t>
      </w:r>
      <w:r w:rsidRPr="008176BC">
        <w:t xml:space="preserve"> it is prioritized within the DSL </w:t>
      </w:r>
      <w:r w:rsidRPr="00CE1EA7">
        <w:t>IP</w:t>
      </w:r>
      <w:r>
        <w:t xml:space="preserve"> for piloting </w:t>
      </w:r>
      <w:r w:rsidRPr="00C92525">
        <w:t>the landscape approach</w:t>
      </w:r>
      <w:r w:rsidRPr="00CE1EA7">
        <w:t xml:space="preserve"> in conjunction with other mechanisms</w:t>
      </w:r>
      <w:r>
        <w:t>. T</w:t>
      </w:r>
      <w:r w:rsidRPr="008176BC">
        <w:t xml:space="preserve">he scoping, planning and costing of SLM/SFM practices in pursuit of LND </w:t>
      </w:r>
      <w:r>
        <w:t>will</w:t>
      </w:r>
      <w:r w:rsidRPr="008176BC">
        <w:t xml:space="preserve"> go hand-in-hand with sectoral planning for producti</w:t>
      </w:r>
      <w:r>
        <w:t>on</w:t>
      </w:r>
      <w:r w:rsidRPr="008176BC">
        <w:t xml:space="preserve"> activities (agrarian and non-agrarian)</w:t>
      </w:r>
      <w:r>
        <w:t>,</w:t>
      </w:r>
      <w:r w:rsidRPr="008176BC">
        <w:t xml:space="preserve"> tak</w:t>
      </w:r>
      <w:r>
        <w:t>ing</w:t>
      </w:r>
      <w:r w:rsidRPr="008176BC">
        <w:t xml:space="preserve"> into account socio-cultural, economic and environmental targets and considerations that </w:t>
      </w:r>
      <w:r>
        <w:t>affect</w:t>
      </w:r>
      <w:r w:rsidRPr="008176BC">
        <w:t xml:space="preserve"> land use</w:t>
      </w:r>
      <w:r>
        <w:t>.</w:t>
      </w:r>
      <w:r w:rsidRPr="00CE1EA7">
        <w:t xml:space="preserve"> </w:t>
      </w:r>
    </w:p>
    <w:p w14:paraId="2221D71D" w14:textId="6F2FC818" w:rsidR="00970969" w:rsidRPr="00970969" w:rsidRDefault="00970969" w:rsidP="00970969">
      <w:pPr>
        <w:rPr>
          <w:b/>
          <w:bCs/>
          <w:i/>
          <w:iCs/>
          <w:lang w:val="en-US" w:eastAsia="en-US"/>
        </w:rPr>
      </w:pPr>
    </w:p>
    <w:tbl>
      <w:tblPr>
        <w:tblpPr w:leftFromText="180" w:rightFromText="180" w:vertAnchor="text" w:horzAnchor="margin" w:tblpXSpec="center" w:tblpY="-329"/>
        <w:tblW w:w="9340" w:type="dxa"/>
        <w:tblCellMar>
          <w:left w:w="0" w:type="dxa"/>
          <w:right w:w="0" w:type="dxa"/>
        </w:tblCellMar>
        <w:tblLook w:val="04A0" w:firstRow="1" w:lastRow="0" w:firstColumn="1" w:lastColumn="0" w:noHBand="0" w:noVBand="1"/>
      </w:tblPr>
      <w:tblGrid>
        <w:gridCol w:w="9340"/>
      </w:tblGrid>
      <w:tr w:rsidR="00064F36" w:rsidRPr="00195C76" w14:paraId="1DEBFD95" w14:textId="77777777" w:rsidTr="00064F36">
        <w:tc>
          <w:tcPr>
            <w:tcW w:w="934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14:paraId="2C744FF3" w14:textId="77777777" w:rsidR="00970969" w:rsidRPr="00195C76" w:rsidRDefault="00970969" w:rsidP="00970969">
            <w:pPr>
              <w:jc w:val="center"/>
              <w:rPr>
                <w:rFonts w:asciiTheme="minorHAnsi" w:hAnsiTheme="minorHAnsi" w:cstheme="minorHAnsi"/>
                <w:sz w:val="21"/>
                <w:szCs w:val="21"/>
              </w:rPr>
            </w:pPr>
            <w:bookmarkStart w:id="125" w:name="_Toc58398662"/>
            <w:r w:rsidRPr="00195C76">
              <w:rPr>
                <w:rFonts w:asciiTheme="minorHAnsi" w:hAnsiTheme="minorHAnsi" w:cstheme="minorHAnsi"/>
                <w:sz w:val="21"/>
                <w:szCs w:val="21"/>
              </w:rPr>
              <w:lastRenderedPageBreak/>
              <w:t xml:space="preserve">Box </w:t>
            </w:r>
            <w:r w:rsidRPr="00195C76">
              <w:rPr>
                <w:rFonts w:asciiTheme="minorHAnsi" w:hAnsiTheme="minorHAnsi" w:cstheme="minorHAnsi"/>
                <w:sz w:val="21"/>
                <w:szCs w:val="21"/>
              </w:rPr>
              <w:fldChar w:fldCharType="begin"/>
            </w:r>
            <w:r w:rsidRPr="00195C76">
              <w:rPr>
                <w:rFonts w:asciiTheme="minorHAnsi" w:hAnsiTheme="minorHAnsi" w:cstheme="minorHAnsi"/>
                <w:sz w:val="21"/>
                <w:szCs w:val="21"/>
              </w:rPr>
              <w:instrText>SEQ Box \* ARABIC</w:instrText>
            </w:r>
            <w:r w:rsidRPr="00195C76">
              <w:rPr>
                <w:rFonts w:asciiTheme="minorHAnsi" w:hAnsiTheme="minorHAnsi" w:cstheme="minorHAnsi"/>
                <w:sz w:val="21"/>
                <w:szCs w:val="21"/>
              </w:rPr>
              <w:fldChar w:fldCharType="separate"/>
            </w:r>
            <w:r w:rsidRPr="00195C76">
              <w:rPr>
                <w:rFonts w:asciiTheme="minorHAnsi" w:hAnsiTheme="minorHAnsi" w:cstheme="minorHAnsi"/>
                <w:noProof/>
                <w:sz w:val="21"/>
                <w:szCs w:val="21"/>
              </w:rPr>
              <w:t>8</w:t>
            </w:r>
            <w:r w:rsidRPr="00195C76">
              <w:rPr>
                <w:rFonts w:asciiTheme="minorHAnsi" w:hAnsiTheme="minorHAnsi" w:cstheme="minorHAnsi"/>
                <w:sz w:val="21"/>
                <w:szCs w:val="21"/>
              </w:rPr>
              <w:fldChar w:fldCharType="end"/>
            </w:r>
            <w:r w:rsidRPr="00195C76">
              <w:rPr>
                <w:rFonts w:asciiTheme="minorHAnsi" w:hAnsiTheme="minorHAnsi" w:cstheme="minorHAnsi"/>
                <w:sz w:val="21"/>
                <w:szCs w:val="21"/>
              </w:rPr>
              <w:t>. Integrated Landscape Assessment Methodology (ILAM) toolbox</w:t>
            </w:r>
            <w:bookmarkEnd w:id="125"/>
          </w:p>
          <w:p w14:paraId="10B27CD2" w14:textId="1F8944BE" w:rsidR="00195C76" w:rsidRPr="00195C76" w:rsidRDefault="00064F36" w:rsidP="00195C76">
            <w:pPr>
              <w:rPr>
                <w:rFonts w:asciiTheme="minorHAnsi" w:hAnsiTheme="minorHAnsi" w:cstheme="minorHAnsi"/>
                <w:sz w:val="21"/>
                <w:szCs w:val="21"/>
              </w:rPr>
            </w:pPr>
            <w:r w:rsidRPr="00195C76">
              <w:rPr>
                <w:rFonts w:asciiTheme="minorHAnsi" w:hAnsiTheme="minorHAnsi" w:cstheme="minorHAnsi"/>
                <w:b/>
                <w:bCs/>
                <w:sz w:val="21"/>
                <w:szCs w:val="21"/>
              </w:rPr>
              <w:br/>
            </w:r>
            <w:r w:rsidR="00195C76" w:rsidRPr="00195C76">
              <w:rPr>
                <w:rFonts w:asciiTheme="minorHAnsi" w:hAnsiTheme="minorHAnsi" w:cstheme="minorHAnsi"/>
                <w:sz w:val="21"/>
                <w:szCs w:val="21"/>
              </w:rPr>
              <w:t xml:space="preserve"> An Integrated Landscape Assessment Methodology (ILAM) toolbox was developed to ensure that the six Southern African countries follow a harmonized, systematic approach to baseline assessments and subsequent project development which is linked to the </w:t>
            </w:r>
            <w:hyperlink r:id="rId63" w:history="1">
              <w:r w:rsidR="00195C76" w:rsidRPr="00195C76">
                <w:rPr>
                  <w:rStyle w:val="Hyperlink"/>
                  <w:rFonts w:asciiTheme="minorHAnsi" w:hAnsiTheme="minorHAnsi" w:cstheme="minorHAnsi"/>
                  <w:sz w:val="21"/>
                  <w:szCs w:val="21"/>
                </w:rPr>
                <w:t>LDN Conceptual Framework</w:t>
              </w:r>
            </w:hyperlink>
            <w:r w:rsidR="00195C76" w:rsidRPr="00195C76">
              <w:rPr>
                <w:rFonts w:asciiTheme="minorHAnsi" w:hAnsiTheme="minorHAnsi" w:cstheme="minorHAnsi"/>
                <w:sz w:val="21"/>
                <w:szCs w:val="21"/>
              </w:rPr>
              <w:t xml:space="preserve"> (LDN CF) and associated </w:t>
            </w:r>
            <w:hyperlink r:id="rId64" w:history="1">
              <w:r w:rsidR="00195C76" w:rsidRPr="00195C76">
                <w:rPr>
                  <w:rStyle w:val="Hyperlink"/>
                  <w:rFonts w:asciiTheme="minorHAnsi" w:hAnsiTheme="minorHAnsi" w:cstheme="minorHAnsi"/>
                  <w:sz w:val="21"/>
                  <w:szCs w:val="21"/>
                </w:rPr>
                <w:t>guidelines</w:t>
              </w:r>
            </w:hyperlink>
            <w:r w:rsidR="00195C76" w:rsidRPr="00195C76">
              <w:rPr>
                <w:rFonts w:asciiTheme="minorHAnsi" w:hAnsiTheme="minorHAnsi" w:cstheme="minorHAnsi"/>
                <w:sz w:val="21"/>
                <w:szCs w:val="21"/>
              </w:rPr>
              <w:t xml:space="preserve"> for application. The aims of the ILAM toolbox were twofold: i) to enable the systematic assessment of essential baseline information from national to regional/district level, initial site level and household level using an integrated strategic approach; and ii) to provide countries with a toolbox that is replicable</w:t>
            </w:r>
            <w:r w:rsidR="00195C76" w:rsidRPr="00195C76">
              <w:rPr>
                <w:rFonts w:asciiTheme="minorHAnsi" w:hAnsiTheme="minorHAnsi" w:cstheme="minorHAnsi"/>
                <w:color w:val="00B050"/>
                <w:sz w:val="21"/>
                <w:szCs w:val="21"/>
              </w:rPr>
              <w:t xml:space="preserve"> </w:t>
            </w:r>
            <w:r w:rsidR="00195C76" w:rsidRPr="00195C76">
              <w:rPr>
                <w:rFonts w:asciiTheme="minorHAnsi" w:hAnsiTheme="minorHAnsi" w:cstheme="minorHAnsi"/>
                <w:sz w:val="21"/>
                <w:szCs w:val="21"/>
              </w:rPr>
              <w:t xml:space="preserve">to support the future baseline assessment and integrated land use planning, SLM/SFM decision making and monitoring at sub-national level in contribution to national priorities, processes and targets, including LDN. </w:t>
            </w:r>
          </w:p>
          <w:p w14:paraId="2A6B2C27" w14:textId="77777777" w:rsidR="00195C76" w:rsidRPr="00195C76" w:rsidRDefault="00195C76" w:rsidP="00195C76">
            <w:pPr>
              <w:spacing w:line="276" w:lineRule="auto"/>
              <w:rPr>
                <w:rFonts w:asciiTheme="minorHAnsi" w:hAnsiTheme="minorHAnsi" w:cstheme="minorHAnsi"/>
                <w:sz w:val="21"/>
                <w:szCs w:val="21"/>
              </w:rPr>
            </w:pPr>
          </w:p>
          <w:p w14:paraId="6C899FEB" w14:textId="77777777" w:rsidR="00195C76" w:rsidRPr="00195C76" w:rsidRDefault="00195C76" w:rsidP="00195C76">
            <w:pPr>
              <w:spacing w:line="276" w:lineRule="auto"/>
              <w:rPr>
                <w:rFonts w:asciiTheme="minorHAnsi" w:hAnsiTheme="minorHAnsi" w:cstheme="minorHAnsi"/>
                <w:sz w:val="21"/>
                <w:szCs w:val="21"/>
              </w:rPr>
            </w:pPr>
            <w:r w:rsidRPr="00195C76">
              <w:rPr>
                <w:rFonts w:asciiTheme="minorHAnsi" w:hAnsiTheme="minorHAnsi" w:cstheme="minorHAnsi"/>
                <w:sz w:val="21"/>
                <w:szCs w:val="21"/>
              </w:rPr>
              <w:t>The essential components of the toolbox consisted of a combination of bottom-up and top-down approaches that support various Modules in the LDN CF as follows:</w:t>
            </w:r>
          </w:p>
          <w:p w14:paraId="76C8ECB5" w14:textId="77777777" w:rsidR="00195C76" w:rsidRPr="00195C76" w:rsidRDefault="00195C76" w:rsidP="00195C76">
            <w:pPr>
              <w:rPr>
                <w:rFonts w:asciiTheme="minorHAnsi" w:hAnsiTheme="minorHAnsi" w:cstheme="minorHAnsi"/>
                <w:sz w:val="21"/>
                <w:szCs w:val="21"/>
              </w:rPr>
            </w:pPr>
          </w:p>
          <w:tbl>
            <w:tblPr>
              <w:tblStyle w:val="TableGrid"/>
              <w:tblW w:w="0" w:type="auto"/>
              <w:tblInd w:w="260" w:type="dxa"/>
              <w:tblLook w:val="04A0" w:firstRow="1" w:lastRow="0" w:firstColumn="1" w:lastColumn="0" w:noHBand="0" w:noVBand="1"/>
            </w:tblPr>
            <w:tblGrid>
              <w:gridCol w:w="4191"/>
              <w:gridCol w:w="4191"/>
            </w:tblGrid>
            <w:tr w:rsidR="00195C76" w:rsidRPr="00195C76" w14:paraId="116FB69D" w14:textId="77777777" w:rsidTr="009B2843">
              <w:trPr>
                <w:trHeight w:val="334"/>
              </w:trPr>
              <w:tc>
                <w:tcPr>
                  <w:tcW w:w="4191" w:type="dxa"/>
                </w:tcPr>
                <w:p w14:paraId="152DE327" w14:textId="77777777" w:rsidR="00195C76" w:rsidRPr="00195C76" w:rsidRDefault="00195C76" w:rsidP="005F2FA4">
                  <w:pPr>
                    <w:framePr w:hSpace="180" w:wrap="around" w:vAnchor="text" w:hAnchor="margin" w:xAlign="center" w:y="-329"/>
                    <w:rPr>
                      <w:rFonts w:asciiTheme="minorHAnsi" w:hAnsiTheme="minorHAnsi" w:cstheme="minorHAnsi"/>
                      <w:b/>
                      <w:bCs/>
                      <w:sz w:val="21"/>
                      <w:szCs w:val="21"/>
                    </w:rPr>
                  </w:pPr>
                  <w:r w:rsidRPr="00195C76">
                    <w:rPr>
                      <w:rFonts w:asciiTheme="minorHAnsi" w:hAnsiTheme="minorHAnsi" w:cstheme="minorHAnsi"/>
                      <w:b/>
                      <w:bCs/>
                      <w:sz w:val="21"/>
                      <w:szCs w:val="21"/>
                    </w:rPr>
                    <w:t>LDN CF Module</w:t>
                  </w:r>
                </w:p>
              </w:tc>
              <w:tc>
                <w:tcPr>
                  <w:tcW w:w="4191" w:type="dxa"/>
                </w:tcPr>
                <w:p w14:paraId="1C700B56" w14:textId="77777777" w:rsidR="00195C76" w:rsidRPr="00195C76" w:rsidRDefault="00195C76" w:rsidP="005F2FA4">
                  <w:pPr>
                    <w:framePr w:hSpace="180" w:wrap="around" w:vAnchor="text" w:hAnchor="margin" w:xAlign="center" w:y="-329"/>
                    <w:rPr>
                      <w:rFonts w:asciiTheme="minorHAnsi" w:hAnsiTheme="minorHAnsi" w:cstheme="minorHAnsi"/>
                      <w:b/>
                      <w:bCs/>
                      <w:sz w:val="21"/>
                      <w:szCs w:val="21"/>
                    </w:rPr>
                  </w:pPr>
                  <w:r w:rsidRPr="00195C76">
                    <w:rPr>
                      <w:rFonts w:asciiTheme="minorHAnsi" w:hAnsiTheme="minorHAnsi" w:cstheme="minorHAnsi"/>
                      <w:b/>
                      <w:bCs/>
                      <w:sz w:val="21"/>
                      <w:szCs w:val="21"/>
                    </w:rPr>
                    <w:t>Toolbox components</w:t>
                  </w:r>
                </w:p>
              </w:tc>
            </w:tr>
            <w:tr w:rsidR="00195C76" w:rsidRPr="00195C76" w14:paraId="1EE64CAB" w14:textId="77777777" w:rsidTr="009B2843">
              <w:trPr>
                <w:trHeight w:val="334"/>
              </w:trPr>
              <w:tc>
                <w:tcPr>
                  <w:tcW w:w="4191" w:type="dxa"/>
                </w:tcPr>
                <w:p w14:paraId="05BD6CBF" w14:textId="77777777" w:rsidR="00195C76" w:rsidRPr="00195C76" w:rsidRDefault="00195C76" w:rsidP="005F2FA4">
                  <w:pPr>
                    <w:framePr w:hSpace="180" w:wrap="around" w:vAnchor="text" w:hAnchor="margin" w:xAlign="center" w:y="-329"/>
                    <w:rPr>
                      <w:rFonts w:asciiTheme="minorHAnsi" w:hAnsiTheme="minorHAnsi" w:cstheme="minorHAnsi"/>
                      <w:sz w:val="21"/>
                      <w:szCs w:val="21"/>
                    </w:rPr>
                  </w:pPr>
                  <w:r w:rsidRPr="00195C76">
                    <w:rPr>
                      <w:rFonts w:asciiTheme="minorHAnsi" w:hAnsiTheme="minorHAnsi" w:cstheme="minorHAnsi"/>
                      <w:sz w:val="21"/>
                      <w:szCs w:val="21"/>
                    </w:rPr>
                    <w:t xml:space="preserve">Module A: To enable integrated landscape-level system description (e.g., biophysical, socio-economic, land degradation processes and drivers, existing SLM/SFM, value chains, resilience, etc.). </w:t>
                  </w:r>
                </w:p>
                <w:p w14:paraId="4F018858" w14:textId="77777777" w:rsidR="00195C76" w:rsidRPr="00195C76" w:rsidRDefault="00195C76" w:rsidP="005F2FA4">
                  <w:pPr>
                    <w:framePr w:hSpace="180" w:wrap="around" w:vAnchor="text" w:hAnchor="margin" w:xAlign="center" w:y="-329"/>
                    <w:rPr>
                      <w:rFonts w:asciiTheme="minorHAnsi" w:hAnsiTheme="minorHAnsi" w:cstheme="minorHAnsi"/>
                      <w:b/>
                      <w:bCs/>
                      <w:sz w:val="21"/>
                      <w:szCs w:val="21"/>
                    </w:rPr>
                  </w:pPr>
                </w:p>
              </w:tc>
              <w:tc>
                <w:tcPr>
                  <w:tcW w:w="4191" w:type="dxa"/>
                </w:tcPr>
                <w:p w14:paraId="08D87136" w14:textId="77777777" w:rsidR="00195C76" w:rsidRPr="00195C76" w:rsidRDefault="00195C76" w:rsidP="005F2FA4">
                  <w:pPr>
                    <w:pStyle w:val="ListParagraph"/>
                    <w:framePr w:hSpace="180" w:wrap="around" w:vAnchor="text" w:hAnchor="margin" w:xAlign="center" w:y="-329"/>
                    <w:numPr>
                      <w:ilvl w:val="0"/>
                      <w:numId w:val="32"/>
                    </w:numPr>
                    <w:autoSpaceDE/>
                    <w:autoSpaceDN/>
                    <w:adjustRightInd/>
                    <w:spacing w:after="0"/>
                    <w:ind w:left="280" w:hanging="190"/>
                    <w:jc w:val="left"/>
                    <w:rPr>
                      <w:rFonts w:asciiTheme="minorHAnsi" w:hAnsiTheme="minorHAnsi" w:cstheme="minorHAnsi"/>
                      <w:b/>
                      <w:bCs/>
                      <w:sz w:val="21"/>
                      <w:szCs w:val="21"/>
                      <w:lang w:eastAsia="en-GB"/>
                    </w:rPr>
                  </w:pPr>
                  <w:r w:rsidRPr="00195C76">
                    <w:rPr>
                      <w:rFonts w:asciiTheme="minorHAnsi" w:hAnsiTheme="minorHAnsi" w:cstheme="minorHAnsi"/>
                      <w:sz w:val="21"/>
                      <w:szCs w:val="21"/>
                      <w:lang w:val="en-GB"/>
                    </w:rPr>
                    <w:t>Rapid participatory land degradation assessment per land type</w:t>
                  </w:r>
                </w:p>
                <w:p w14:paraId="727BE4E7" w14:textId="77777777" w:rsidR="00195C76" w:rsidRPr="00195C76" w:rsidRDefault="00195C76" w:rsidP="005F2FA4">
                  <w:pPr>
                    <w:pStyle w:val="ListParagraph"/>
                    <w:framePr w:hSpace="180" w:wrap="around" w:vAnchor="text" w:hAnchor="margin" w:xAlign="center" w:y="-329"/>
                    <w:numPr>
                      <w:ilvl w:val="0"/>
                      <w:numId w:val="32"/>
                    </w:numPr>
                    <w:autoSpaceDE/>
                    <w:autoSpaceDN/>
                    <w:adjustRightInd/>
                    <w:spacing w:after="0"/>
                    <w:ind w:left="280" w:hanging="190"/>
                    <w:jc w:val="left"/>
                    <w:rPr>
                      <w:rFonts w:asciiTheme="minorHAnsi" w:hAnsiTheme="minorHAnsi" w:cstheme="minorHAnsi"/>
                      <w:b/>
                      <w:bCs/>
                      <w:sz w:val="21"/>
                      <w:szCs w:val="21"/>
                      <w:lang w:eastAsia="en-GB"/>
                    </w:rPr>
                  </w:pPr>
                  <w:r w:rsidRPr="00195C76">
                    <w:rPr>
                      <w:rFonts w:asciiTheme="minorHAnsi" w:hAnsiTheme="minorHAnsi" w:cstheme="minorHAnsi"/>
                      <w:sz w:val="21"/>
                      <w:szCs w:val="21"/>
                      <w:lang w:val="en-GB"/>
                    </w:rPr>
                    <w:t xml:space="preserve">Participatory stakeholder analysis </w:t>
                  </w:r>
                </w:p>
                <w:p w14:paraId="16096C47" w14:textId="77777777" w:rsidR="00195C76" w:rsidRPr="00195C76" w:rsidRDefault="00195C76" w:rsidP="005F2FA4">
                  <w:pPr>
                    <w:pStyle w:val="ListParagraph"/>
                    <w:framePr w:hSpace="180" w:wrap="around" w:vAnchor="text" w:hAnchor="margin" w:xAlign="center" w:y="-329"/>
                    <w:numPr>
                      <w:ilvl w:val="0"/>
                      <w:numId w:val="32"/>
                    </w:numPr>
                    <w:autoSpaceDE/>
                    <w:autoSpaceDN/>
                    <w:adjustRightInd/>
                    <w:spacing w:after="0"/>
                    <w:ind w:left="280" w:hanging="190"/>
                    <w:jc w:val="left"/>
                    <w:rPr>
                      <w:rFonts w:asciiTheme="minorHAnsi" w:hAnsiTheme="minorHAnsi" w:cstheme="minorHAnsi"/>
                      <w:b/>
                      <w:bCs/>
                      <w:sz w:val="21"/>
                      <w:szCs w:val="21"/>
                      <w:lang w:eastAsia="en-GB"/>
                    </w:rPr>
                  </w:pPr>
                  <w:r w:rsidRPr="00195C76">
                    <w:rPr>
                      <w:rFonts w:asciiTheme="minorHAnsi" w:hAnsiTheme="minorHAnsi" w:cstheme="minorHAnsi"/>
                      <w:sz w:val="21"/>
                      <w:szCs w:val="21"/>
                      <w:lang w:val="en-GB"/>
                    </w:rPr>
                    <w:t xml:space="preserve">Climate-risk assessment </w:t>
                  </w:r>
                </w:p>
                <w:p w14:paraId="028BAB1A" w14:textId="77777777" w:rsidR="00195C76" w:rsidRPr="00195C76" w:rsidRDefault="00195C76" w:rsidP="005F2FA4">
                  <w:pPr>
                    <w:pStyle w:val="ListParagraph"/>
                    <w:framePr w:hSpace="180" w:wrap="around" w:vAnchor="text" w:hAnchor="margin" w:xAlign="center" w:y="-329"/>
                    <w:numPr>
                      <w:ilvl w:val="0"/>
                      <w:numId w:val="32"/>
                    </w:numPr>
                    <w:autoSpaceDE/>
                    <w:autoSpaceDN/>
                    <w:adjustRightInd/>
                    <w:spacing w:after="0"/>
                    <w:ind w:left="280" w:hanging="190"/>
                    <w:jc w:val="left"/>
                    <w:rPr>
                      <w:rFonts w:asciiTheme="minorHAnsi" w:hAnsiTheme="minorHAnsi" w:cstheme="minorHAnsi"/>
                      <w:b/>
                      <w:bCs/>
                      <w:sz w:val="21"/>
                      <w:szCs w:val="21"/>
                      <w:lang w:eastAsia="en-GB"/>
                    </w:rPr>
                  </w:pPr>
                  <w:r w:rsidRPr="00195C76">
                    <w:rPr>
                      <w:rFonts w:asciiTheme="minorHAnsi" w:hAnsiTheme="minorHAnsi" w:cstheme="minorHAnsi"/>
                      <w:sz w:val="21"/>
                      <w:szCs w:val="21"/>
                      <w:lang w:val="en-GB"/>
                    </w:rPr>
                    <w:t>Policy, institutional and capacity needs analysis</w:t>
                  </w:r>
                </w:p>
                <w:p w14:paraId="432FA69D" w14:textId="77777777" w:rsidR="00195C76" w:rsidRPr="00195C76" w:rsidRDefault="00195C76" w:rsidP="005F2FA4">
                  <w:pPr>
                    <w:pStyle w:val="ListParagraph"/>
                    <w:framePr w:hSpace="180" w:wrap="around" w:vAnchor="text" w:hAnchor="margin" w:xAlign="center" w:y="-329"/>
                    <w:numPr>
                      <w:ilvl w:val="0"/>
                      <w:numId w:val="32"/>
                    </w:numPr>
                    <w:autoSpaceDE/>
                    <w:autoSpaceDN/>
                    <w:adjustRightInd/>
                    <w:spacing w:after="0"/>
                    <w:ind w:left="280" w:hanging="190"/>
                    <w:jc w:val="left"/>
                    <w:rPr>
                      <w:rFonts w:asciiTheme="minorHAnsi" w:hAnsiTheme="minorHAnsi" w:cstheme="minorHAnsi"/>
                      <w:b/>
                      <w:bCs/>
                      <w:sz w:val="21"/>
                      <w:szCs w:val="21"/>
                      <w:lang w:eastAsia="en-GB"/>
                    </w:rPr>
                  </w:pPr>
                  <w:r w:rsidRPr="00195C76">
                    <w:rPr>
                      <w:rFonts w:asciiTheme="minorHAnsi" w:hAnsiTheme="minorHAnsi" w:cstheme="minorHAnsi"/>
                      <w:sz w:val="21"/>
                      <w:szCs w:val="21"/>
                      <w:lang w:val="en-GB"/>
                    </w:rPr>
                    <w:t>Indigenous Peoples and the Free, Prior and Informed Consent assessment (FPIC) assessments</w:t>
                  </w:r>
                </w:p>
                <w:p w14:paraId="1617A849" w14:textId="77777777" w:rsidR="00195C76" w:rsidRPr="00195C76" w:rsidRDefault="00195C76" w:rsidP="005F2FA4">
                  <w:pPr>
                    <w:pStyle w:val="ListParagraph"/>
                    <w:framePr w:hSpace="180" w:wrap="around" w:vAnchor="text" w:hAnchor="margin" w:xAlign="center" w:y="-329"/>
                    <w:numPr>
                      <w:ilvl w:val="0"/>
                      <w:numId w:val="32"/>
                    </w:numPr>
                    <w:autoSpaceDE/>
                    <w:autoSpaceDN/>
                    <w:adjustRightInd/>
                    <w:spacing w:after="0"/>
                    <w:ind w:left="280" w:hanging="190"/>
                    <w:jc w:val="left"/>
                    <w:rPr>
                      <w:rFonts w:asciiTheme="minorHAnsi" w:hAnsiTheme="minorHAnsi" w:cstheme="minorHAnsi"/>
                      <w:b/>
                      <w:bCs/>
                      <w:sz w:val="21"/>
                      <w:szCs w:val="21"/>
                      <w:lang w:eastAsia="en-GB"/>
                    </w:rPr>
                  </w:pPr>
                  <w:r w:rsidRPr="00195C76">
                    <w:rPr>
                      <w:rFonts w:asciiTheme="minorHAnsi" w:hAnsiTheme="minorHAnsi" w:cstheme="minorHAnsi"/>
                      <w:sz w:val="21"/>
                      <w:szCs w:val="21"/>
                      <w:lang w:val="en-GB"/>
                    </w:rPr>
                    <w:t>Household surveys using the Self-evaluation and Holistic Assessment of climate Resilience for farmers and Pastoralists (SHARP)</w:t>
                  </w:r>
                </w:p>
                <w:p w14:paraId="249FBB6F" w14:textId="77777777" w:rsidR="00195C76" w:rsidRPr="00195C76" w:rsidRDefault="00195C76" w:rsidP="005F2FA4">
                  <w:pPr>
                    <w:pStyle w:val="ListParagraph"/>
                    <w:framePr w:hSpace="180" w:wrap="around" w:vAnchor="text" w:hAnchor="margin" w:xAlign="center" w:y="-329"/>
                    <w:numPr>
                      <w:ilvl w:val="0"/>
                      <w:numId w:val="32"/>
                    </w:numPr>
                    <w:autoSpaceDE/>
                    <w:autoSpaceDN/>
                    <w:adjustRightInd/>
                    <w:spacing w:after="0"/>
                    <w:ind w:left="280" w:hanging="190"/>
                    <w:jc w:val="left"/>
                    <w:rPr>
                      <w:rFonts w:asciiTheme="minorHAnsi" w:hAnsiTheme="minorHAnsi" w:cstheme="minorHAnsi"/>
                      <w:b/>
                      <w:bCs/>
                      <w:sz w:val="21"/>
                      <w:szCs w:val="21"/>
                      <w:lang w:eastAsia="en-GB"/>
                    </w:rPr>
                  </w:pPr>
                  <w:r w:rsidRPr="00195C76">
                    <w:rPr>
                      <w:rFonts w:asciiTheme="minorHAnsi" w:hAnsiTheme="minorHAnsi" w:cstheme="minorHAnsi"/>
                      <w:sz w:val="21"/>
                      <w:szCs w:val="21"/>
                      <w:lang w:val="en-GB"/>
                    </w:rPr>
                    <w:t>Value chain analysis and selection</w:t>
                  </w:r>
                </w:p>
              </w:tc>
            </w:tr>
            <w:tr w:rsidR="00195C76" w:rsidRPr="00195C76" w14:paraId="01B0A0E6" w14:textId="77777777" w:rsidTr="009B2843">
              <w:tc>
                <w:tcPr>
                  <w:tcW w:w="4191" w:type="dxa"/>
                </w:tcPr>
                <w:p w14:paraId="04181092" w14:textId="77777777" w:rsidR="00195C76" w:rsidRPr="00195C76" w:rsidRDefault="00195C76" w:rsidP="005F2FA4">
                  <w:pPr>
                    <w:framePr w:hSpace="180" w:wrap="around" w:vAnchor="text" w:hAnchor="margin" w:xAlign="center" w:y="-329"/>
                    <w:rPr>
                      <w:rFonts w:asciiTheme="minorHAnsi" w:hAnsiTheme="minorHAnsi" w:cstheme="minorHAnsi"/>
                      <w:sz w:val="21"/>
                      <w:szCs w:val="21"/>
                    </w:rPr>
                  </w:pPr>
                  <w:r w:rsidRPr="00195C76">
                    <w:rPr>
                      <w:rFonts w:asciiTheme="minorHAnsi" w:hAnsiTheme="minorHAnsi" w:cstheme="minorHAnsi"/>
                      <w:sz w:val="21"/>
                      <w:szCs w:val="21"/>
                    </w:rPr>
                    <w:t>Module B: To determine the frame of reference or baseline values for the three indicators of land cover, land productivity and soil organic carbon</w:t>
                  </w:r>
                  <w:r w:rsidRPr="00195C76">
                    <w:rPr>
                      <w:rStyle w:val="normaltextrun"/>
                      <w:rFonts w:asciiTheme="minorHAnsi" w:hAnsiTheme="minorHAnsi" w:cstheme="minorHAnsi"/>
                      <w:sz w:val="21"/>
                      <w:szCs w:val="21"/>
                      <w:shd w:val="clear" w:color="auto" w:fill="FFFFFF"/>
                    </w:rPr>
                    <w:t>*</w:t>
                  </w:r>
                </w:p>
              </w:tc>
              <w:tc>
                <w:tcPr>
                  <w:tcW w:w="4191" w:type="dxa"/>
                </w:tcPr>
                <w:p w14:paraId="2A40595A" w14:textId="77777777" w:rsidR="00195C76" w:rsidRPr="00195C76" w:rsidRDefault="00195C76" w:rsidP="005F2FA4">
                  <w:pPr>
                    <w:pStyle w:val="ListParagraph"/>
                    <w:framePr w:hSpace="180" w:wrap="around" w:vAnchor="text" w:hAnchor="margin" w:xAlign="center" w:y="-329"/>
                    <w:numPr>
                      <w:ilvl w:val="0"/>
                      <w:numId w:val="32"/>
                    </w:numPr>
                    <w:autoSpaceDE/>
                    <w:autoSpaceDN/>
                    <w:adjustRightInd/>
                    <w:spacing w:after="0"/>
                    <w:ind w:left="280" w:hanging="190"/>
                    <w:jc w:val="left"/>
                    <w:rPr>
                      <w:rFonts w:asciiTheme="minorHAnsi" w:hAnsiTheme="minorHAnsi" w:cstheme="minorHAnsi"/>
                      <w:sz w:val="21"/>
                      <w:szCs w:val="21"/>
                      <w:lang w:eastAsia="en-GB"/>
                    </w:rPr>
                  </w:pPr>
                  <w:r w:rsidRPr="00195C76">
                    <w:rPr>
                      <w:rFonts w:asciiTheme="minorHAnsi" w:hAnsiTheme="minorHAnsi" w:cstheme="minorHAnsi"/>
                      <w:sz w:val="21"/>
                      <w:szCs w:val="21"/>
                      <w:lang w:val="en-GB"/>
                    </w:rPr>
                    <w:t>Remote sensing (Collect Earth, Trends Earth)</w:t>
                  </w:r>
                </w:p>
              </w:tc>
            </w:tr>
            <w:tr w:rsidR="00195C76" w:rsidRPr="00195C76" w14:paraId="0810C1B8" w14:textId="77777777" w:rsidTr="009B2843">
              <w:tc>
                <w:tcPr>
                  <w:tcW w:w="4191" w:type="dxa"/>
                </w:tcPr>
                <w:p w14:paraId="70194ACE" w14:textId="77777777" w:rsidR="00195C76" w:rsidRPr="00195C76" w:rsidRDefault="00195C76" w:rsidP="005F2FA4">
                  <w:pPr>
                    <w:framePr w:hSpace="180" w:wrap="around" w:vAnchor="text" w:hAnchor="margin" w:xAlign="center" w:y="-329"/>
                    <w:rPr>
                      <w:rFonts w:asciiTheme="minorHAnsi" w:hAnsiTheme="minorHAnsi" w:cstheme="minorHAnsi"/>
                      <w:sz w:val="21"/>
                      <w:szCs w:val="21"/>
                    </w:rPr>
                  </w:pPr>
                  <w:r w:rsidRPr="00195C76">
                    <w:rPr>
                      <w:rFonts w:asciiTheme="minorHAnsi" w:hAnsiTheme="minorHAnsi" w:cstheme="minorHAnsi"/>
                      <w:sz w:val="21"/>
                      <w:szCs w:val="21"/>
                    </w:rPr>
                    <w:t xml:space="preserve">Module D: </w:t>
                  </w:r>
                </w:p>
                <w:p w14:paraId="1557A3F9" w14:textId="77777777" w:rsidR="00195C76" w:rsidRPr="00195C76" w:rsidRDefault="00195C76" w:rsidP="005F2FA4">
                  <w:pPr>
                    <w:pStyle w:val="ListParagraph"/>
                    <w:framePr w:hSpace="180" w:wrap="around" w:vAnchor="text" w:hAnchor="margin" w:xAlign="center" w:y="-329"/>
                    <w:numPr>
                      <w:ilvl w:val="0"/>
                      <w:numId w:val="95"/>
                    </w:numPr>
                    <w:autoSpaceDE/>
                    <w:autoSpaceDN/>
                    <w:adjustRightInd/>
                    <w:spacing w:after="0"/>
                    <w:ind w:left="345" w:hanging="165"/>
                    <w:jc w:val="left"/>
                    <w:rPr>
                      <w:rFonts w:asciiTheme="minorHAnsi" w:hAnsiTheme="minorHAnsi" w:cstheme="minorHAnsi"/>
                      <w:sz w:val="21"/>
                      <w:szCs w:val="21"/>
                      <w:lang w:eastAsia="en-GB"/>
                    </w:rPr>
                  </w:pPr>
                  <w:r w:rsidRPr="00195C76">
                    <w:rPr>
                      <w:rFonts w:asciiTheme="minorHAnsi" w:hAnsiTheme="minorHAnsi" w:cstheme="minorHAnsi"/>
                      <w:sz w:val="21"/>
                      <w:szCs w:val="21"/>
                      <w:lang w:eastAsia="en-GB"/>
                    </w:rPr>
                    <w:t>Determine existing policies for land governance, land use planning and natural resource conservation and management.</w:t>
                  </w:r>
                </w:p>
                <w:p w14:paraId="5E3A377C" w14:textId="77777777" w:rsidR="00195C76" w:rsidRPr="00195C76" w:rsidRDefault="00195C76" w:rsidP="005F2FA4">
                  <w:pPr>
                    <w:pStyle w:val="ListParagraph"/>
                    <w:framePr w:hSpace="180" w:wrap="around" w:vAnchor="text" w:hAnchor="margin" w:xAlign="center" w:y="-329"/>
                    <w:numPr>
                      <w:ilvl w:val="0"/>
                      <w:numId w:val="95"/>
                    </w:numPr>
                    <w:autoSpaceDE/>
                    <w:autoSpaceDN/>
                    <w:adjustRightInd/>
                    <w:spacing w:after="0"/>
                    <w:ind w:left="345" w:hanging="165"/>
                    <w:jc w:val="left"/>
                    <w:rPr>
                      <w:rFonts w:asciiTheme="minorHAnsi" w:hAnsiTheme="minorHAnsi" w:cstheme="minorHAnsi"/>
                      <w:sz w:val="21"/>
                      <w:szCs w:val="21"/>
                      <w:lang w:eastAsia="en-GB"/>
                    </w:rPr>
                  </w:pPr>
                  <w:r w:rsidRPr="00195C76">
                    <w:rPr>
                      <w:rFonts w:asciiTheme="minorHAnsi" w:hAnsiTheme="minorHAnsi" w:cstheme="minorHAnsi"/>
                      <w:sz w:val="21"/>
                      <w:szCs w:val="21"/>
                      <w:lang w:eastAsia="en-GB"/>
                    </w:rPr>
                    <w:t>Preparatory assessments of land degradation status, resilience of current land uses, socio-economic context (including gender equality)</w:t>
                  </w:r>
                </w:p>
              </w:tc>
              <w:tc>
                <w:tcPr>
                  <w:tcW w:w="4191" w:type="dxa"/>
                </w:tcPr>
                <w:p w14:paraId="7A6F7A71" w14:textId="77777777" w:rsidR="00195C76" w:rsidRPr="00195C76" w:rsidRDefault="00195C76" w:rsidP="005F2FA4">
                  <w:pPr>
                    <w:pStyle w:val="ListParagraph"/>
                    <w:framePr w:hSpace="180" w:wrap="around" w:vAnchor="text" w:hAnchor="margin" w:xAlign="center" w:y="-329"/>
                    <w:numPr>
                      <w:ilvl w:val="0"/>
                      <w:numId w:val="32"/>
                    </w:numPr>
                    <w:autoSpaceDE/>
                    <w:autoSpaceDN/>
                    <w:adjustRightInd/>
                    <w:spacing w:after="0"/>
                    <w:ind w:left="280" w:hanging="190"/>
                    <w:jc w:val="left"/>
                    <w:rPr>
                      <w:rFonts w:asciiTheme="minorHAnsi" w:hAnsiTheme="minorHAnsi" w:cstheme="minorHAnsi"/>
                      <w:b/>
                      <w:bCs/>
                      <w:sz w:val="21"/>
                      <w:szCs w:val="21"/>
                      <w:lang w:eastAsia="en-GB"/>
                    </w:rPr>
                  </w:pPr>
                  <w:r w:rsidRPr="00195C76">
                    <w:rPr>
                      <w:rFonts w:asciiTheme="minorHAnsi" w:hAnsiTheme="minorHAnsi" w:cstheme="minorHAnsi"/>
                      <w:sz w:val="21"/>
                      <w:szCs w:val="21"/>
                      <w:lang w:val="en-GB"/>
                    </w:rPr>
                    <w:t>Policy, institutional and capacity needs analysis</w:t>
                  </w:r>
                </w:p>
                <w:p w14:paraId="21B93E8F" w14:textId="77777777" w:rsidR="00195C76" w:rsidRPr="00195C76" w:rsidRDefault="00195C76" w:rsidP="005F2FA4">
                  <w:pPr>
                    <w:pStyle w:val="ListParagraph"/>
                    <w:framePr w:hSpace="180" w:wrap="around" w:vAnchor="text" w:hAnchor="margin" w:xAlign="center" w:y="-329"/>
                    <w:numPr>
                      <w:ilvl w:val="0"/>
                      <w:numId w:val="32"/>
                    </w:numPr>
                    <w:autoSpaceDE/>
                    <w:autoSpaceDN/>
                    <w:adjustRightInd/>
                    <w:spacing w:after="0"/>
                    <w:ind w:left="280" w:hanging="190"/>
                    <w:jc w:val="left"/>
                    <w:rPr>
                      <w:rFonts w:asciiTheme="minorHAnsi" w:hAnsiTheme="minorHAnsi" w:cstheme="minorHAnsi"/>
                      <w:b/>
                      <w:bCs/>
                      <w:sz w:val="21"/>
                      <w:szCs w:val="21"/>
                      <w:lang w:eastAsia="en-GB"/>
                    </w:rPr>
                  </w:pPr>
                  <w:r w:rsidRPr="00195C76">
                    <w:rPr>
                      <w:rFonts w:asciiTheme="minorHAnsi" w:hAnsiTheme="minorHAnsi" w:cstheme="minorHAnsi"/>
                      <w:sz w:val="21"/>
                      <w:szCs w:val="21"/>
                      <w:lang w:val="en-GB"/>
                    </w:rPr>
                    <w:t>Rapid participatory land degradation assessment per land type</w:t>
                  </w:r>
                </w:p>
                <w:p w14:paraId="5AA1B104" w14:textId="77777777" w:rsidR="00195C76" w:rsidRPr="00195C76" w:rsidRDefault="00195C76" w:rsidP="005F2FA4">
                  <w:pPr>
                    <w:pStyle w:val="ListParagraph"/>
                    <w:framePr w:hSpace="180" w:wrap="around" w:vAnchor="text" w:hAnchor="margin" w:xAlign="center" w:y="-329"/>
                    <w:numPr>
                      <w:ilvl w:val="0"/>
                      <w:numId w:val="32"/>
                    </w:numPr>
                    <w:autoSpaceDE/>
                    <w:autoSpaceDN/>
                    <w:adjustRightInd/>
                    <w:spacing w:after="0"/>
                    <w:ind w:left="280" w:hanging="190"/>
                    <w:jc w:val="left"/>
                    <w:rPr>
                      <w:rFonts w:asciiTheme="minorHAnsi" w:hAnsiTheme="minorHAnsi" w:cstheme="minorHAnsi"/>
                      <w:b/>
                      <w:bCs/>
                      <w:sz w:val="21"/>
                      <w:szCs w:val="21"/>
                      <w:lang w:eastAsia="en-GB"/>
                    </w:rPr>
                  </w:pPr>
                  <w:r w:rsidRPr="00195C76">
                    <w:rPr>
                      <w:rFonts w:asciiTheme="minorHAnsi" w:hAnsiTheme="minorHAnsi" w:cstheme="minorHAnsi"/>
                      <w:sz w:val="21"/>
                      <w:szCs w:val="21"/>
                      <w:lang w:val="en-GB"/>
                    </w:rPr>
                    <w:t>Household surveys using the Self-evaluation and Holistic Assessment of climate Resilience for farmers and Pastoralists (SHARP)</w:t>
                  </w:r>
                </w:p>
              </w:tc>
            </w:tr>
            <w:tr w:rsidR="00195C76" w:rsidRPr="00195C76" w14:paraId="553688EB" w14:textId="77777777" w:rsidTr="009B2843">
              <w:tc>
                <w:tcPr>
                  <w:tcW w:w="4191" w:type="dxa"/>
                </w:tcPr>
                <w:p w14:paraId="05E46C77" w14:textId="77777777" w:rsidR="00195C76" w:rsidRPr="00195C76" w:rsidRDefault="00195C76" w:rsidP="005F2FA4">
                  <w:pPr>
                    <w:framePr w:hSpace="180" w:wrap="around" w:vAnchor="text" w:hAnchor="margin" w:xAlign="center" w:y="-329"/>
                    <w:rPr>
                      <w:rFonts w:asciiTheme="minorHAnsi" w:hAnsiTheme="minorHAnsi" w:cstheme="minorHAnsi"/>
                      <w:sz w:val="21"/>
                      <w:szCs w:val="21"/>
                    </w:rPr>
                  </w:pPr>
                  <w:r w:rsidRPr="00195C76">
                    <w:rPr>
                      <w:rFonts w:asciiTheme="minorHAnsi" w:hAnsiTheme="minorHAnsi" w:cstheme="minorHAnsi"/>
                      <w:sz w:val="21"/>
                      <w:szCs w:val="21"/>
                    </w:rPr>
                    <w:t>Module E: Determine baseline values for LDN metrics</w:t>
                  </w:r>
                </w:p>
              </w:tc>
              <w:tc>
                <w:tcPr>
                  <w:tcW w:w="4191" w:type="dxa"/>
                </w:tcPr>
                <w:p w14:paraId="2721C2AF" w14:textId="77777777" w:rsidR="00195C76" w:rsidRPr="00195C76" w:rsidRDefault="00195C76" w:rsidP="005F2FA4">
                  <w:pPr>
                    <w:pStyle w:val="ListParagraph"/>
                    <w:framePr w:hSpace="180" w:wrap="around" w:vAnchor="text" w:hAnchor="margin" w:xAlign="center" w:y="-329"/>
                    <w:numPr>
                      <w:ilvl w:val="0"/>
                      <w:numId w:val="32"/>
                    </w:numPr>
                    <w:autoSpaceDE/>
                    <w:autoSpaceDN/>
                    <w:adjustRightInd/>
                    <w:spacing w:after="0"/>
                    <w:ind w:left="280" w:hanging="190"/>
                    <w:jc w:val="left"/>
                    <w:rPr>
                      <w:rFonts w:asciiTheme="minorHAnsi" w:hAnsiTheme="minorHAnsi" w:cstheme="minorHAnsi"/>
                      <w:sz w:val="21"/>
                      <w:szCs w:val="21"/>
                      <w:lang w:eastAsia="en-GB"/>
                    </w:rPr>
                  </w:pPr>
                  <w:r w:rsidRPr="00195C76">
                    <w:rPr>
                      <w:rFonts w:asciiTheme="minorHAnsi" w:hAnsiTheme="minorHAnsi" w:cstheme="minorHAnsi"/>
                      <w:sz w:val="21"/>
                      <w:szCs w:val="21"/>
                      <w:lang w:val="en-GB"/>
                    </w:rPr>
                    <w:t>Remote sensing (Collect Earth, Trends Earth)</w:t>
                  </w:r>
                </w:p>
              </w:tc>
            </w:tr>
          </w:tbl>
          <w:p w14:paraId="282F74F1" w14:textId="77777777" w:rsidR="00195C76" w:rsidRPr="00195C76" w:rsidRDefault="00195C76" w:rsidP="00195C76">
            <w:pPr>
              <w:ind w:left="360"/>
              <w:rPr>
                <w:rFonts w:asciiTheme="minorHAnsi" w:hAnsiTheme="minorHAnsi" w:cstheme="minorHAnsi"/>
                <w:sz w:val="21"/>
                <w:szCs w:val="21"/>
              </w:rPr>
            </w:pPr>
            <w:r w:rsidRPr="00195C76">
              <w:rPr>
                <w:rFonts w:asciiTheme="minorHAnsi" w:hAnsiTheme="minorHAnsi" w:cstheme="minorHAnsi"/>
                <w:b/>
                <w:sz w:val="21"/>
                <w:szCs w:val="21"/>
              </w:rPr>
              <w:t>*</w:t>
            </w:r>
            <w:r w:rsidRPr="00195C76">
              <w:rPr>
                <w:rFonts w:asciiTheme="minorHAnsi" w:hAnsiTheme="minorHAnsi" w:cstheme="minorHAnsi"/>
                <w:sz w:val="21"/>
                <w:szCs w:val="21"/>
              </w:rPr>
              <w:t xml:space="preserve"> The soil organic carbon indicator, due to its complexity, is derived from the land cover change (traditional approach applied by basically everyone, including the IPCC </w:t>
            </w:r>
            <w:hyperlink r:id="rId65" w:history="1">
              <w:r w:rsidRPr="00195C76">
                <w:rPr>
                  <w:rStyle w:val="Hyperlink"/>
                  <w:rFonts w:asciiTheme="minorHAnsi" w:hAnsiTheme="minorHAnsi" w:cstheme="minorHAnsi"/>
                  <w:sz w:val="21"/>
                  <w:szCs w:val="21"/>
                </w:rPr>
                <w:t>https://archive.ipcc.ch/ipccreports/sres/land_use/index.php?idp=98</w:t>
              </w:r>
            </w:hyperlink>
            <w:r w:rsidRPr="00195C76">
              <w:rPr>
                <w:rFonts w:asciiTheme="minorHAnsi" w:hAnsiTheme="minorHAnsi" w:cstheme="minorHAnsi"/>
                <w:sz w:val="21"/>
                <w:szCs w:val="21"/>
              </w:rPr>
              <w:t xml:space="preserve"> and </w:t>
            </w:r>
            <w:hyperlink r:id="rId66" w:history="1">
              <w:r w:rsidRPr="00195C76">
                <w:rPr>
                  <w:rStyle w:val="Hyperlink"/>
                  <w:rFonts w:asciiTheme="minorHAnsi" w:hAnsiTheme="minorHAnsi" w:cstheme="minorHAnsi"/>
                  <w:sz w:val="21"/>
                  <w:szCs w:val="21"/>
                </w:rPr>
                <w:t>https://archive.ipcc.ch/ipccreports/sres/land_use/index.php?idp=163</w:t>
              </w:r>
            </w:hyperlink>
            <w:r w:rsidRPr="00195C76">
              <w:rPr>
                <w:rFonts w:asciiTheme="minorHAnsi" w:hAnsiTheme="minorHAnsi" w:cstheme="minorHAnsi"/>
                <w:sz w:val="21"/>
                <w:szCs w:val="21"/>
              </w:rPr>
              <w:t>, trends.earth and the EX-ACT team). During programme/project implementation, the REM/global project will provide further guidance on how to comprehensively estimate and monitor the SOC indicator</w:t>
            </w:r>
          </w:p>
          <w:p w14:paraId="3FA605A9" w14:textId="77777777" w:rsidR="00195C76" w:rsidRPr="00195C76" w:rsidRDefault="00195C76" w:rsidP="00195C76">
            <w:pPr>
              <w:ind w:left="360"/>
              <w:rPr>
                <w:rFonts w:asciiTheme="minorHAnsi" w:hAnsiTheme="minorHAnsi" w:cstheme="minorHAnsi"/>
                <w:sz w:val="21"/>
                <w:szCs w:val="21"/>
              </w:rPr>
            </w:pPr>
          </w:p>
          <w:p w14:paraId="5F340281" w14:textId="77777777" w:rsidR="00195C76" w:rsidRPr="00195C76" w:rsidRDefault="00195C76" w:rsidP="00195C76">
            <w:pPr>
              <w:pStyle w:val="Bullet10"/>
              <w:numPr>
                <w:ilvl w:val="0"/>
                <w:numId w:val="0"/>
              </w:numPr>
              <w:ind w:left="360" w:hanging="360"/>
              <w:rPr>
                <w:rFonts w:asciiTheme="minorHAnsi" w:hAnsiTheme="minorHAnsi" w:cstheme="minorHAnsi"/>
                <w:sz w:val="21"/>
                <w:szCs w:val="21"/>
                <w:lang w:val="en-GB"/>
              </w:rPr>
            </w:pPr>
            <w:r w:rsidRPr="00195C76">
              <w:rPr>
                <w:rFonts w:asciiTheme="minorHAnsi" w:hAnsiTheme="minorHAnsi" w:cstheme="minorHAnsi"/>
                <w:sz w:val="21"/>
                <w:szCs w:val="21"/>
              </w:rPr>
              <w:t>In line with RAPTA,</w:t>
            </w:r>
            <w:r w:rsidRPr="00195C76">
              <w:rPr>
                <w:rFonts w:asciiTheme="minorHAnsi" w:hAnsiTheme="minorHAnsi" w:cstheme="minorHAnsi"/>
                <w:sz w:val="21"/>
                <w:szCs w:val="21"/>
                <w:lang w:val="en-GB"/>
              </w:rPr>
              <w:t xml:space="preserve"> the ILAM methodology enabled a better understanding of direct and indirect drivers of land degradation and resilience, including anthropogenic causes, by:</w:t>
            </w:r>
          </w:p>
          <w:p w14:paraId="6950EE18" w14:textId="77777777" w:rsidR="00195C76" w:rsidRPr="00195C76" w:rsidRDefault="00195C76" w:rsidP="00195C76">
            <w:pPr>
              <w:pStyle w:val="Bullet10"/>
              <w:ind w:firstLine="0"/>
              <w:rPr>
                <w:rFonts w:asciiTheme="minorHAnsi" w:hAnsiTheme="minorHAnsi" w:cstheme="minorHAnsi"/>
                <w:sz w:val="21"/>
                <w:szCs w:val="21"/>
                <w:lang w:val="en-GB"/>
              </w:rPr>
            </w:pPr>
            <w:r w:rsidRPr="00195C76">
              <w:rPr>
                <w:rFonts w:asciiTheme="minorHAnsi" w:hAnsiTheme="minorHAnsi" w:cstheme="minorHAnsi"/>
                <w:sz w:val="21"/>
                <w:szCs w:val="21"/>
                <w:lang w:val="en-GB"/>
              </w:rPr>
              <w:t>Identifying and analysing the level of exposure of production systems, livelihoods and landscapes to climate and non-climate hazards</w:t>
            </w:r>
          </w:p>
          <w:p w14:paraId="60CB09C0" w14:textId="77777777" w:rsidR="00195C76" w:rsidRPr="00195C76" w:rsidRDefault="00195C76" w:rsidP="00195C76">
            <w:pPr>
              <w:pStyle w:val="Bullet10"/>
              <w:ind w:firstLine="0"/>
              <w:rPr>
                <w:rFonts w:asciiTheme="minorHAnsi" w:hAnsiTheme="minorHAnsi" w:cstheme="minorHAnsi"/>
                <w:sz w:val="21"/>
                <w:szCs w:val="21"/>
                <w:lang w:val="en-GB"/>
              </w:rPr>
            </w:pPr>
            <w:r w:rsidRPr="00195C76">
              <w:rPr>
                <w:rFonts w:asciiTheme="minorHAnsi" w:hAnsiTheme="minorHAnsi" w:cstheme="minorHAnsi"/>
                <w:sz w:val="21"/>
                <w:szCs w:val="21"/>
                <w:lang w:val="en-GB"/>
              </w:rPr>
              <w:lastRenderedPageBreak/>
              <w:t xml:space="preserve">Understanding of the nature of vulnerabilities (sensitivity) of communities and landscapes to such threats. </w:t>
            </w:r>
          </w:p>
          <w:p w14:paraId="6841EE54" w14:textId="77777777" w:rsidR="00195C76" w:rsidRPr="00195C76" w:rsidRDefault="00195C76" w:rsidP="00195C76">
            <w:pPr>
              <w:pStyle w:val="Bullet10"/>
              <w:ind w:firstLine="0"/>
              <w:rPr>
                <w:rFonts w:asciiTheme="minorHAnsi" w:hAnsiTheme="minorHAnsi" w:cstheme="minorHAnsi"/>
                <w:sz w:val="21"/>
                <w:szCs w:val="21"/>
              </w:rPr>
            </w:pPr>
            <w:r w:rsidRPr="00195C76">
              <w:rPr>
                <w:rFonts w:asciiTheme="minorHAnsi" w:hAnsiTheme="minorHAnsi" w:cstheme="minorHAnsi"/>
                <w:sz w:val="21"/>
                <w:szCs w:val="21"/>
                <w:lang w:val="en-GB"/>
              </w:rPr>
              <w:t xml:space="preserve">Assessing the capacity of households and ecosystems to respond to the identified risks as well as to changes in future trends and shocks </w:t>
            </w:r>
            <w:r w:rsidRPr="00195C76">
              <w:rPr>
                <w:rFonts w:asciiTheme="minorHAnsi" w:hAnsiTheme="minorHAnsi" w:cstheme="minorHAnsi"/>
                <w:sz w:val="21"/>
                <w:szCs w:val="21"/>
              </w:rPr>
              <w:t>(</w:t>
            </w:r>
            <w:r w:rsidRPr="00195C76">
              <w:rPr>
                <w:rFonts w:asciiTheme="minorHAnsi" w:hAnsiTheme="minorHAnsi" w:cstheme="minorHAnsi"/>
                <w:sz w:val="21"/>
                <w:szCs w:val="21"/>
                <w:lang w:val="en-GB"/>
              </w:rPr>
              <w:t>adaptive capacity).</w:t>
            </w:r>
          </w:p>
          <w:p w14:paraId="4460F5B7" w14:textId="77777777" w:rsidR="00195C76" w:rsidRPr="00195C76" w:rsidRDefault="00195C76" w:rsidP="00195C76">
            <w:pPr>
              <w:pStyle w:val="Bullet10"/>
              <w:numPr>
                <w:ilvl w:val="0"/>
                <w:numId w:val="0"/>
              </w:numPr>
              <w:ind w:left="360"/>
              <w:rPr>
                <w:rFonts w:asciiTheme="minorHAnsi" w:hAnsiTheme="minorHAnsi" w:cstheme="minorHAnsi"/>
                <w:sz w:val="21"/>
                <w:szCs w:val="21"/>
              </w:rPr>
            </w:pPr>
          </w:p>
          <w:p w14:paraId="56BF4838" w14:textId="77777777" w:rsidR="00195C76" w:rsidRPr="00195C76" w:rsidRDefault="00195C76" w:rsidP="00195C76">
            <w:pPr>
              <w:spacing w:after="120" w:line="276" w:lineRule="auto"/>
              <w:ind w:left="43"/>
              <w:rPr>
                <w:rFonts w:asciiTheme="minorHAnsi" w:hAnsiTheme="minorHAnsi" w:cstheme="minorHAnsi"/>
                <w:sz w:val="21"/>
                <w:szCs w:val="21"/>
              </w:rPr>
            </w:pPr>
            <w:r w:rsidRPr="00195C76">
              <w:rPr>
                <w:rFonts w:asciiTheme="minorHAnsi" w:hAnsiTheme="minorHAnsi" w:cstheme="minorHAnsi"/>
                <w:sz w:val="21"/>
                <w:szCs w:val="21"/>
              </w:rPr>
              <w:t xml:space="preserve">The combination of different tools and analyses allowed the application of resilience thinking at different scales, comprising the transformational change and adaptation components. </w:t>
            </w:r>
            <w:r w:rsidRPr="00195C76">
              <w:rPr>
                <w:rStyle w:val="normaltextrun"/>
                <w:rFonts w:asciiTheme="minorHAnsi" w:hAnsiTheme="minorHAnsi" w:cstheme="minorHAnsi"/>
                <w:sz w:val="21"/>
                <w:szCs w:val="21"/>
                <w:shd w:val="clear" w:color="auto" w:fill="FFFFFF"/>
              </w:rPr>
              <w:t>The combined analyses further applied a land-based approach based on land types, in line with the LDN approach. This integrated and participatory strategy supported the design of custom-designed strategies that foster the transformation of socio-ecological systems to desirable states, i.e. resilience, food security and LDN.</w:t>
            </w:r>
          </w:p>
          <w:p w14:paraId="034264EA" w14:textId="77777777" w:rsidR="00195C76" w:rsidRPr="00195C76" w:rsidRDefault="00195C76" w:rsidP="00195C76">
            <w:pPr>
              <w:spacing w:after="120" w:line="276" w:lineRule="auto"/>
              <w:ind w:left="43"/>
              <w:rPr>
                <w:rFonts w:asciiTheme="minorHAnsi" w:hAnsiTheme="minorHAnsi" w:cstheme="minorHAnsi"/>
                <w:sz w:val="21"/>
                <w:szCs w:val="21"/>
              </w:rPr>
            </w:pPr>
            <w:r w:rsidRPr="00195C76">
              <w:rPr>
                <w:rFonts w:asciiTheme="minorHAnsi" w:hAnsiTheme="minorHAnsi" w:cstheme="minorHAnsi"/>
                <w:sz w:val="21"/>
                <w:szCs w:val="21"/>
              </w:rPr>
              <w:t>Following the testing of the ILAM toolbox during the PPG phase, the following main gaps were identified which will be addressed during project implementation in close collaboration with the Regional Exchange Mechanism (REM) (See Outcome 1.1):</w:t>
            </w:r>
          </w:p>
          <w:p w14:paraId="25260CF2" w14:textId="77777777" w:rsidR="00195C76" w:rsidRPr="00195C76" w:rsidRDefault="00195C76" w:rsidP="00195C76">
            <w:pPr>
              <w:pStyle w:val="Bullet10"/>
              <w:rPr>
                <w:rFonts w:asciiTheme="minorHAnsi" w:hAnsiTheme="minorHAnsi" w:cstheme="minorHAnsi"/>
                <w:sz w:val="21"/>
                <w:szCs w:val="21"/>
              </w:rPr>
            </w:pPr>
            <w:r w:rsidRPr="00195C76">
              <w:rPr>
                <w:rFonts w:asciiTheme="minorHAnsi" w:hAnsiTheme="minorHAnsi" w:cstheme="minorHAnsi"/>
                <w:sz w:val="21"/>
                <w:szCs w:val="21"/>
                <w:lang w:val="en-GB"/>
              </w:rPr>
              <w:t>Improved, more detailed LD assessment methodology to enable mapping of LD and SLM/SFM assessment results at sub-basin level;</w:t>
            </w:r>
          </w:p>
          <w:p w14:paraId="3FCB72A3" w14:textId="77777777" w:rsidR="00195C76" w:rsidRPr="00195C76" w:rsidRDefault="00195C76" w:rsidP="00195C76">
            <w:pPr>
              <w:pStyle w:val="Bullet10"/>
              <w:rPr>
                <w:rFonts w:asciiTheme="minorHAnsi" w:hAnsiTheme="minorHAnsi" w:cstheme="minorHAnsi"/>
                <w:sz w:val="21"/>
                <w:szCs w:val="21"/>
              </w:rPr>
            </w:pPr>
            <w:r w:rsidRPr="00195C76">
              <w:rPr>
                <w:rFonts w:asciiTheme="minorHAnsi" w:hAnsiTheme="minorHAnsi" w:cstheme="minorHAnsi"/>
                <w:sz w:val="21"/>
                <w:szCs w:val="21"/>
                <w:lang w:val="en-GB"/>
              </w:rPr>
              <w:t>Identification of complementay indicators to assess LD and SLM/SFM to enable LDN monitoring;</w:t>
            </w:r>
          </w:p>
          <w:p w14:paraId="7AF9B612" w14:textId="77777777" w:rsidR="00195C76" w:rsidRPr="00195C76" w:rsidRDefault="00195C76" w:rsidP="00195C76">
            <w:pPr>
              <w:pStyle w:val="Bullet10"/>
              <w:rPr>
                <w:rFonts w:asciiTheme="minorHAnsi" w:hAnsiTheme="minorHAnsi" w:cstheme="minorHAnsi"/>
                <w:sz w:val="21"/>
                <w:szCs w:val="21"/>
              </w:rPr>
            </w:pPr>
            <w:r w:rsidRPr="00195C76">
              <w:rPr>
                <w:rFonts w:asciiTheme="minorHAnsi" w:hAnsiTheme="minorHAnsi" w:cstheme="minorHAnsi"/>
                <w:sz w:val="21"/>
                <w:szCs w:val="21"/>
                <w:lang w:val="en-GB"/>
              </w:rPr>
              <w:t>Validation of assessment results with major stakeholders, including land user representatives;</w:t>
            </w:r>
          </w:p>
          <w:p w14:paraId="58CACF17" w14:textId="77777777" w:rsidR="00195C76" w:rsidRPr="00195C76" w:rsidRDefault="00195C76" w:rsidP="00195C76">
            <w:pPr>
              <w:pStyle w:val="Bullet10"/>
              <w:rPr>
                <w:rFonts w:asciiTheme="minorHAnsi" w:hAnsiTheme="minorHAnsi" w:cstheme="minorHAnsi"/>
                <w:sz w:val="21"/>
                <w:szCs w:val="21"/>
              </w:rPr>
            </w:pPr>
            <w:r w:rsidRPr="00195C76">
              <w:rPr>
                <w:rFonts w:asciiTheme="minorHAnsi" w:hAnsiTheme="minorHAnsi" w:cstheme="minorHAnsi"/>
                <w:sz w:val="21"/>
                <w:szCs w:val="21"/>
                <w:lang w:val="en-GB"/>
              </w:rPr>
              <w:t>Enabling identification of existing good SLM/SFM practices and reasons for their effectiveness; and</w:t>
            </w:r>
          </w:p>
          <w:p w14:paraId="77779D9D" w14:textId="77777777" w:rsidR="00195C76" w:rsidRPr="00195C76" w:rsidRDefault="00195C76" w:rsidP="00195C76">
            <w:pPr>
              <w:pStyle w:val="Bullet10"/>
              <w:rPr>
                <w:rFonts w:asciiTheme="minorHAnsi" w:hAnsiTheme="minorHAnsi" w:cstheme="minorHAnsi"/>
                <w:sz w:val="21"/>
                <w:szCs w:val="21"/>
              </w:rPr>
            </w:pPr>
            <w:r w:rsidRPr="00195C76">
              <w:rPr>
                <w:rFonts w:asciiTheme="minorHAnsi" w:hAnsiTheme="minorHAnsi" w:cstheme="minorHAnsi"/>
                <w:sz w:val="21"/>
                <w:szCs w:val="21"/>
                <w:lang w:val="en-GB"/>
              </w:rPr>
              <w:t>Categorizing and accounting for land use decisions and the impacts of land use, land use change, climate variability, and management with respect to land degradation, resilience and livelihoods.</w:t>
            </w:r>
          </w:p>
          <w:p w14:paraId="57100BD4" w14:textId="77777777" w:rsidR="00064F36" w:rsidRDefault="00064F36" w:rsidP="005E03E4">
            <w:pPr>
              <w:pStyle w:val="Bullet10"/>
              <w:numPr>
                <w:ilvl w:val="0"/>
                <w:numId w:val="0"/>
              </w:numPr>
              <w:ind w:left="360"/>
              <w:rPr>
                <w:rFonts w:asciiTheme="minorHAnsi" w:hAnsiTheme="minorHAnsi" w:cstheme="minorHAnsi"/>
                <w:sz w:val="21"/>
                <w:szCs w:val="21"/>
              </w:rPr>
            </w:pPr>
          </w:p>
          <w:p w14:paraId="0E9FA790" w14:textId="2F427002" w:rsidR="00684B43" w:rsidRPr="00195C76" w:rsidRDefault="00684B43" w:rsidP="005E03E4">
            <w:pPr>
              <w:pStyle w:val="Bullet10"/>
              <w:numPr>
                <w:ilvl w:val="0"/>
                <w:numId w:val="0"/>
              </w:numPr>
              <w:ind w:left="360"/>
              <w:rPr>
                <w:rFonts w:asciiTheme="minorHAnsi" w:hAnsiTheme="minorHAnsi" w:cstheme="minorHAnsi"/>
                <w:sz w:val="21"/>
                <w:szCs w:val="21"/>
              </w:rPr>
            </w:pPr>
            <w:r>
              <w:rPr>
                <w:rFonts w:asciiTheme="minorHAnsi" w:hAnsiTheme="minorHAnsi" w:cstheme="minorHAnsi"/>
                <w:sz w:val="21"/>
                <w:szCs w:val="21"/>
              </w:rPr>
              <w:t>Detailed description of the</w:t>
            </w:r>
            <w:r w:rsidR="0013029A">
              <w:t xml:space="preserve"> </w:t>
            </w:r>
            <w:r w:rsidR="0013029A" w:rsidRPr="0013029A">
              <w:rPr>
                <w:rFonts w:asciiTheme="minorHAnsi" w:hAnsiTheme="minorHAnsi" w:cstheme="minorHAnsi"/>
                <w:sz w:val="21"/>
                <w:szCs w:val="21"/>
              </w:rPr>
              <w:t>Integrated Landscape Assessment Methodology (ILAM)</w:t>
            </w:r>
            <w:r w:rsidR="0013029A">
              <w:rPr>
                <w:rFonts w:asciiTheme="minorHAnsi" w:hAnsiTheme="minorHAnsi" w:cstheme="minorHAnsi"/>
                <w:sz w:val="21"/>
                <w:szCs w:val="21"/>
              </w:rPr>
              <w:t xml:space="preserve"> can be found in </w:t>
            </w:r>
            <w:hyperlink r:id="rId67" w:history="1">
              <w:r w:rsidR="0013029A" w:rsidRPr="0013029A">
                <w:rPr>
                  <w:rStyle w:val="Hyperlink"/>
                  <w:rFonts w:asciiTheme="minorHAnsi" w:hAnsiTheme="minorHAnsi" w:cstheme="minorHAnsi"/>
                  <w:sz w:val="21"/>
                  <w:szCs w:val="21"/>
                </w:rPr>
                <w:t>Annex N</w:t>
              </w:r>
            </w:hyperlink>
            <w:r w:rsidR="0013029A">
              <w:rPr>
                <w:rFonts w:asciiTheme="minorHAnsi" w:hAnsiTheme="minorHAnsi" w:cstheme="minorHAnsi"/>
                <w:sz w:val="21"/>
                <w:szCs w:val="21"/>
              </w:rPr>
              <w:t>.</w:t>
            </w:r>
          </w:p>
        </w:tc>
      </w:tr>
    </w:tbl>
    <w:p w14:paraId="62EE4CE9" w14:textId="6B0973F6" w:rsidR="00B55F1C" w:rsidRPr="00064F36" w:rsidRDefault="00B55F1C" w:rsidP="00B55F1C">
      <w:pPr>
        <w:rPr>
          <w:lang w:eastAsia="en-US"/>
        </w:rPr>
      </w:pPr>
    </w:p>
    <w:p w14:paraId="64B2A518" w14:textId="77777777" w:rsidR="00B55F1C" w:rsidRPr="00B55F1C" w:rsidRDefault="00B55F1C" w:rsidP="00B55F1C">
      <w:pPr>
        <w:rPr>
          <w:lang w:val="en-US" w:eastAsia="en-US"/>
        </w:rPr>
      </w:pPr>
    </w:p>
    <w:p w14:paraId="6B2AE5B5" w14:textId="07FDB40F" w:rsidR="00B958C5" w:rsidRPr="00CE1EA7" w:rsidRDefault="00B958C5" w:rsidP="001667C6">
      <w:pPr>
        <w:pStyle w:val="ParagraphOED"/>
        <w:numPr>
          <w:ilvl w:val="0"/>
          <w:numId w:val="102"/>
        </w:numPr>
        <w:spacing w:before="160" w:after="160"/>
      </w:pPr>
      <w:r>
        <w:t xml:space="preserve">Underpinning Outcome 2.1 </w:t>
      </w:r>
      <w:r w:rsidR="009005B3">
        <w:t>is</w:t>
      </w:r>
      <w:r>
        <w:t xml:space="preserve"> the development and implementation of an integrated, science-based and gender-sensitive landscape-level assessment, planning and monitoring process for the </w:t>
      </w:r>
      <w:r w:rsidRPr="1E65A5F7">
        <w:rPr>
          <w:b/>
          <w:bCs/>
        </w:rPr>
        <w:t>two target landscapes: Cuchi-Okavango (Sub-basin 1)</w:t>
      </w:r>
      <w:r>
        <w:t xml:space="preserve"> in Cuando Cubango province; and </w:t>
      </w:r>
      <w:r w:rsidRPr="1E65A5F7">
        <w:rPr>
          <w:b/>
          <w:bCs/>
        </w:rPr>
        <w:t>Cahama-Cunene (Sub-basin 2)</w:t>
      </w:r>
      <w:r>
        <w:t xml:space="preserve"> that straddles Cunene and Huíla provinces.</w:t>
      </w:r>
    </w:p>
    <w:p w14:paraId="720186F1" w14:textId="1A8895EC" w:rsidR="0032781A" w:rsidRDefault="009563B4" w:rsidP="001667C6">
      <w:pPr>
        <w:pStyle w:val="ParagraphOED"/>
        <w:numPr>
          <w:ilvl w:val="0"/>
          <w:numId w:val="102"/>
        </w:numPr>
        <w:spacing w:before="160" w:after="160"/>
      </w:pPr>
      <w:r>
        <w:t>Th</w:t>
      </w:r>
      <w:r w:rsidR="00776C3D">
        <w:t>us, th</w:t>
      </w:r>
      <w:r w:rsidR="003C588D">
        <w:t xml:space="preserve">e </w:t>
      </w:r>
      <w:r w:rsidR="008C76EC">
        <w:t>four</w:t>
      </w:r>
      <w:r w:rsidR="003C588D">
        <w:t xml:space="preserve"> </w:t>
      </w:r>
      <w:r>
        <w:t>Outputs under Outcome 2.1</w:t>
      </w:r>
      <w:r w:rsidR="003C588D">
        <w:t xml:space="preserve"> </w:t>
      </w:r>
      <w:r w:rsidR="00052DC7">
        <w:t xml:space="preserve">will </w:t>
      </w:r>
      <w:r w:rsidR="003C588D">
        <w:t>respectively address: expansion, elaboration and consolidation of the ILAM</w:t>
      </w:r>
      <w:r w:rsidR="00AC338F">
        <w:t>,</w:t>
      </w:r>
      <w:r w:rsidR="002F0C56">
        <w:t xml:space="preserve"> from which </w:t>
      </w:r>
      <w:r w:rsidR="0096034C">
        <w:t>the pre-selected</w:t>
      </w:r>
      <w:r w:rsidR="005E5478">
        <w:t xml:space="preserve"> </w:t>
      </w:r>
      <w:r w:rsidR="002F0C56">
        <w:t xml:space="preserve">Land Management Units </w:t>
      </w:r>
      <w:r w:rsidR="00AC338F">
        <w:t xml:space="preserve">and </w:t>
      </w:r>
      <w:r w:rsidR="005E5478">
        <w:t xml:space="preserve">intervention </w:t>
      </w:r>
      <w:r w:rsidR="00AC338F">
        <w:t xml:space="preserve">activities </w:t>
      </w:r>
      <w:r w:rsidR="005E5478">
        <w:t>will be confirmed</w:t>
      </w:r>
      <w:r w:rsidR="003C588D">
        <w:t xml:space="preserve">; </w:t>
      </w:r>
      <w:r w:rsidR="0032781A">
        <w:t>preparation of the Integrated Land-</w:t>
      </w:r>
      <w:r w:rsidR="001A1AF4">
        <w:t>U</w:t>
      </w:r>
      <w:r w:rsidR="0032781A">
        <w:t xml:space="preserve">se Plans </w:t>
      </w:r>
      <w:r w:rsidR="0038121E">
        <w:t>for each target landscape</w:t>
      </w:r>
      <w:r w:rsidR="0096034C">
        <w:t xml:space="preserve"> based on the selected LMUs</w:t>
      </w:r>
      <w:r w:rsidR="0038121E">
        <w:t xml:space="preserve">, </w:t>
      </w:r>
      <w:r w:rsidR="0032781A">
        <w:t xml:space="preserve">in </w:t>
      </w:r>
      <w:r w:rsidR="00776C3D">
        <w:t>line</w:t>
      </w:r>
      <w:r w:rsidR="0032781A">
        <w:t xml:space="preserve"> with the consultation processes and structures</w:t>
      </w:r>
      <w:r w:rsidR="005E5478">
        <w:t xml:space="preserve"> </w:t>
      </w:r>
      <w:r w:rsidR="0032781A">
        <w:t>determined in</w:t>
      </w:r>
      <w:r w:rsidR="005E5478">
        <w:t xml:space="preserve"> </w:t>
      </w:r>
      <w:r w:rsidR="003C588D">
        <w:t xml:space="preserve">the </w:t>
      </w:r>
      <w:r w:rsidR="005E5478">
        <w:t>S</w:t>
      </w:r>
      <w:r w:rsidR="003C588D">
        <w:t xml:space="preserve">takeholder </w:t>
      </w:r>
      <w:r w:rsidR="005E5478">
        <w:t>E</w:t>
      </w:r>
      <w:r w:rsidR="003C588D">
        <w:t xml:space="preserve">ngagement </w:t>
      </w:r>
      <w:r w:rsidR="005E5478">
        <w:t>P</w:t>
      </w:r>
      <w:r w:rsidR="003C588D">
        <w:t>lans under Activity 1.1.1</w:t>
      </w:r>
      <w:r w:rsidR="0032781A">
        <w:t>d</w:t>
      </w:r>
      <w:r w:rsidR="003C588D">
        <w:t xml:space="preserve">; </w:t>
      </w:r>
      <w:r w:rsidR="0032781A">
        <w:t>implementation of the</w:t>
      </w:r>
      <w:r w:rsidR="00594D8B">
        <w:t xml:space="preserve"> re</w:t>
      </w:r>
      <w:r w:rsidR="001A1AF4">
        <w:t>spe</w:t>
      </w:r>
      <w:r w:rsidR="00594D8B">
        <w:t>ctive Plans once developed and agreed by the key stakeholders</w:t>
      </w:r>
      <w:r w:rsidR="008C76EC">
        <w:t>; and building capacity in integrated land management</w:t>
      </w:r>
      <w:r w:rsidR="004F0DF8">
        <w:t>, largely through training, outreach and financing mechanisms</w:t>
      </w:r>
      <w:r w:rsidR="00594D8B">
        <w:t>.</w:t>
      </w:r>
      <w:r w:rsidR="008C76EC">
        <w:t xml:space="preserve"> </w:t>
      </w:r>
    </w:p>
    <w:p w14:paraId="094AEF93" w14:textId="61168335" w:rsidR="003C588D" w:rsidRPr="00546E05" w:rsidRDefault="008C76EC" w:rsidP="001667C6">
      <w:pPr>
        <w:pStyle w:val="ParagraphOED"/>
        <w:numPr>
          <w:ilvl w:val="0"/>
          <w:numId w:val="102"/>
        </w:numPr>
        <w:spacing w:after="160"/>
      </w:pPr>
      <w:r>
        <w:t>Given that c</w:t>
      </w:r>
      <w:r w:rsidR="00A929FF">
        <w:t>apacity development and associated training</w:t>
      </w:r>
      <w:r>
        <w:t xml:space="preserve"> </w:t>
      </w:r>
      <w:r w:rsidR="00A929FF">
        <w:t>in integrated landscape management</w:t>
      </w:r>
      <w:r w:rsidR="005E6230">
        <w:t xml:space="preserve"> </w:t>
      </w:r>
      <w:r w:rsidR="00776C3D">
        <w:t xml:space="preserve">to achieve </w:t>
      </w:r>
      <w:r w:rsidR="005E6230">
        <w:t>LDN</w:t>
      </w:r>
      <w:r w:rsidR="00A929FF">
        <w:t xml:space="preserve"> </w:t>
      </w:r>
      <w:r w:rsidR="00AB20D4">
        <w:t xml:space="preserve">is also needed in Component 1, Output 2.1.4 will address the overall design of the </w:t>
      </w:r>
      <w:r w:rsidR="00546E05">
        <w:t>P</w:t>
      </w:r>
      <w:r w:rsidR="00AB20D4">
        <w:t xml:space="preserve">rogramme across all </w:t>
      </w:r>
      <w:r>
        <w:t>Components</w:t>
      </w:r>
      <w:r w:rsidR="00AB20D4">
        <w:t>.</w:t>
      </w:r>
      <w:r>
        <w:t xml:space="preserve"> </w:t>
      </w:r>
      <w:r w:rsidR="00AB20D4">
        <w:t>R</w:t>
      </w:r>
      <w:r w:rsidR="005E6230">
        <w:t>aising awareness among stakeholders about the importance of ILM and LDN will be supported from Component 3 under the Communications Strategy.</w:t>
      </w:r>
    </w:p>
    <w:p w14:paraId="1B0FB98B" w14:textId="48CA4E5F" w:rsidR="000D6D6E" w:rsidRPr="000D6D6E" w:rsidRDefault="000D6D6E" w:rsidP="001F793C">
      <w:pPr>
        <w:pStyle w:val="ParagraphOED"/>
        <w:numPr>
          <w:ilvl w:val="0"/>
          <w:numId w:val="0"/>
        </w:numPr>
        <w:spacing w:before="160" w:after="160"/>
        <w:rPr>
          <w:b/>
          <w:bCs/>
          <w:szCs w:val="21"/>
        </w:rPr>
      </w:pPr>
      <w:r w:rsidRPr="000D6D6E">
        <w:rPr>
          <w:b/>
          <w:bCs/>
          <w:szCs w:val="21"/>
        </w:rPr>
        <w:t xml:space="preserve">Preparatory work </w:t>
      </w:r>
      <w:r w:rsidR="001F793C">
        <w:rPr>
          <w:b/>
          <w:bCs/>
          <w:szCs w:val="21"/>
        </w:rPr>
        <w:t xml:space="preserve">on ILAM and ILUP </w:t>
      </w:r>
      <w:r w:rsidRPr="000D6D6E">
        <w:rPr>
          <w:b/>
          <w:bCs/>
          <w:szCs w:val="21"/>
        </w:rPr>
        <w:t>undertaken during PPG stage</w:t>
      </w:r>
    </w:p>
    <w:p w14:paraId="320B336E" w14:textId="77777777" w:rsidR="00AE3C87" w:rsidRPr="00A068B2" w:rsidRDefault="00AE3C87" w:rsidP="001667C6">
      <w:pPr>
        <w:pStyle w:val="ParagraphOED"/>
        <w:numPr>
          <w:ilvl w:val="0"/>
          <w:numId w:val="102"/>
        </w:numPr>
        <w:spacing w:after="80"/>
      </w:pPr>
      <w:r>
        <w:t>The ILAM toolbox includes both low-tech approaches, such as focus groups to summarize stakeholder priorities and land potential, and high-tech, data-driven approaches, such as the Remote Sensing Assessment (RSA) that can be easily replicated in country because of the use of open platforms. Application of the ILAM toolbox during the PPG stage generated some useful products for project design, as well as providing background and contextual information for the ILUP process during implementation. The toolbox includes:</w:t>
      </w:r>
    </w:p>
    <w:p w14:paraId="72C0D142" w14:textId="77777777" w:rsidR="00AE3C87" w:rsidRPr="00A068B2" w:rsidRDefault="00AE3C87" w:rsidP="001667C6">
      <w:pPr>
        <w:pStyle w:val="ListParagraph"/>
        <w:numPr>
          <w:ilvl w:val="0"/>
          <w:numId w:val="31"/>
        </w:numPr>
        <w:spacing w:after="160"/>
        <w:ind w:hanging="295"/>
        <w:rPr>
          <w:rFonts w:asciiTheme="minorHAnsi" w:hAnsiTheme="minorHAnsi" w:cstheme="minorHAnsi"/>
          <w:sz w:val="21"/>
          <w:szCs w:val="21"/>
        </w:rPr>
      </w:pPr>
      <w:r w:rsidRPr="00A068B2">
        <w:rPr>
          <w:rFonts w:asciiTheme="minorHAnsi" w:hAnsiTheme="minorHAnsi" w:cstheme="minorHAnsi"/>
          <w:sz w:val="21"/>
          <w:szCs w:val="21"/>
        </w:rPr>
        <w:t>Land Use &amp; Land Stratification Assessment (remotely sensed);</w:t>
      </w:r>
    </w:p>
    <w:p w14:paraId="6A28CA0F" w14:textId="3EDB452D" w:rsidR="00AE3C87" w:rsidRPr="00A068B2" w:rsidRDefault="00AE3C87" w:rsidP="001667C6">
      <w:pPr>
        <w:pStyle w:val="ListParagraph"/>
        <w:numPr>
          <w:ilvl w:val="0"/>
          <w:numId w:val="31"/>
        </w:numPr>
        <w:spacing w:after="160"/>
        <w:ind w:hanging="295"/>
        <w:rPr>
          <w:rFonts w:asciiTheme="minorHAnsi" w:hAnsiTheme="minorHAnsi" w:cstheme="minorHAnsi"/>
          <w:sz w:val="21"/>
          <w:szCs w:val="21"/>
        </w:rPr>
      </w:pPr>
      <w:r w:rsidRPr="00A068B2">
        <w:rPr>
          <w:rFonts w:asciiTheme="minorHAnsi" w:hAnsiTheme="minorHAnsi" w:cstheme="minorHAnsi"/>
          <w:sz w:val="21"/>
          <w:szCs w:val="21"/>
        </w:rPr>
        <w:t xml:space="preserve">Land </w:t>
      </w:r>
      <w:r w:rsidR="0096034C">
        <w:rPr>
          <w:rFonts w:asciiTheme="minorHAnsi" w:hAnsiTheme="minorHAnsi" w:cstheme="minorHAnsi"/>
          <w:sz w:val="21"/>
          <w:szCs w:val="21"/>
        </w:rPr>
        <w:t>D</w:t>
      </w:r>
      <w:r w:rsidRPr="00A068B2">
        <w:rPr>
          <w:rFonts w:asciiTheme="minorHAnsi" w:hAnsiTheme="minorHAnsi" w:cstheme="minorHAnsi"/>
          <w:sz w:val="21"/>
          <w:szCs w:val="21"/>
        </w:rPr>
        <w:t xml:space="preserve">egradation </w:t>
      </w:r>
      <w:r w:rsidR="0096034C">
        <w:rPr>
          <w:rFonts w:asciiTheme="minorHAnsi" w:hAnsiTheme="minorHAnsi" w:cstheme="minorHAnsi"/>
          <w:sz w:val="21"/>
          <w:szCs w:val="21"/>
        </w:rPr>
        <w:t>A</w:t>
      </w:r>
      <w:r w:rsidRPr="00A068B2">
        <w:rPr>
          <w:rFonts w:asciiTheme="minorHAnsi" w:hAnsiTheme="minorHAnsi" w:cstheme="minorHAnsi"/>
          <w:sz w:val="21"/>
          <w:szCs w:val="21"/>
        </w:rPr>
        <w:t>ssessment (science-based, structured, participatory, awareness-raising);</w:t>
      </w:r>
    </w:p>
    <w:p w14:paraId="39DC8FAB" w14:textId="7C2ACF69" w:rsidR="00AE3C87" w:rsidRPr="00A068B2" w:rsidRDefault="00AE3C87" w:rsidP="001667C6">
      <w:pPr>
        <w:pStyle w:val="ListParagraph"/>
        <w:numPr>
          <w:ilvl w:val="0"/>
          <w:numId w:val="31"/>
        </w:numPr>
        <w:spacing w:after="160"/>
        <w:ind w:hanging="295"/>
        <w:rPr>
          <w:rFonts w:asciiTheme="minorHAnsi" w:hAnsiTheme="minorHAnsi" w:cstheme="minorHAnsi"/>
          <w:sz w:val="21"/>
          <w:szCs w:val="21"/>
        </w:rPr>
      </w:pPr>
      <w:r w:rsidRPr="00A068B2">
        <w:rPr>
          <w:rFonts w:asciiTheme="minorHAnsi" w:hAnsiTheme="minorHAnsi" w:cstheme="minorHAnsi"/>
          <w:sz w:val="21"/>
          <w:szCs w:val="21"/>
        </w:rPr>
        <w:t>Climate</w:t>
      </w:r>
      <w:r w:rsidR="0096034C">
        <w:rPr>
          <w:rFonts w:asciiTheme="minorHAnsi" w:hAnsiTheme="minorHAnsi" w:cstheme="minorHAnsi"/>
          <w:sz w:val="21"/>
          <w:szCs w:val="21"/>
        </w:rPr>
        <w:t xml:space="preserve"> </w:t>
      </w:r>
      <w:r w:rsidRPr="00A068B2">
        <w:rPr>
          <w:rFonts w:asciiTheme="minorHAnsi" w:hAnsiTheme="minorHAnsi" w:cstheme="minorHAnsi"/>
          <w:sz w:val="21"/>
          <w:szCs w:val="21"/>
        </w:rPr>
        <w:t>Resilience Assessment (SHARP);</w:t>
      </w:r>
    </w:p>
    <w:p w14:paraId="5D807460" w14:textId="43423866" w:rsidR="00AE3C87" w:rsidRPr="00A068B2" w:rsidRDefault="00AE3C87" w:rsidP="001667C6">
      <w:pPr>
        <w:pStyle w:val="ListParagraph"/>
        <w:numPr>
          <w:ilvl w:val="0"/>
          <w:numId w:val="31"/>
        </w:numPr>
        <w:spacing w:after="160"/>
        <w:ind w:hanging="295"/>
        <w:rPr>
          <w:rFonts w:asciiTheme="minorHAnsi" w:hAnsiTheme="minorHAnsi" w:cstheme="minorHAnsi"/>
          <w:sz w:val="21"/>
          <w:szCs w:val="21"/>
        </w:rPr>
      </w:pPr>
      <w:r w:rsidRPr="00A068B2">
        <w:rPr>
          <w:rFonts w:asciiTheme="minorHAnsi" w:hAnsiTheme="minorHAnsi" w:cstheme="minorHAnsi"/>
          <w:sz w:val="21"/>
          <w:szCs w:val="21"/>
        </w:rPr>
        <w:t xml:space="preserve">Contextual Assessments (policies, regulations, local needs, socio-economic context); </w:t>
      </w:r>
      <w:r w:rsidR="00451792" w:rsidRPr="00A068B2">
        <w:rPr>
          <w:rFonts w:asciiTheme="minorHAnsi" w:hAnsiTheme="minorHAnsi" w:cstheme="minorHAnsi"/>
          <w:sz w:val="21"/>
          <w:szCs w:val="21"/>
        </w:rPr>
        <w:t>and</w:t>
      </w:r>
    </w:p>
    <w:p w14:paraId="23FD7E3D" w14:textId="1A1A4844" w:rsidR="00AE3C87" w:rsidRPr="00A068B2" w:rsidRDefault="00AE3C87" w:rsidP="001667C6">
      <w:pPr>
        <w:pStyle w:val="ListParagraph"/>
        <w:numPr>
          <w:ilvl w:val="0"/>
          <w:numId w:val="31"/>
        </w:numPr>
        <w:spacing w:after="80"/>
        <w:ind w:hanging="295"/>
        <w:rPr>
          <w:rFonts w:asciiTheme="minorHAnsi" w:hAnsiTheme="minorHAnsi" w:cstheme="minorHAnsi"/>
          <w:sz w:val="21"/>
          <w:szCs w:val="21"/>
        </w:rPr>
      </w:pPr>
      <w:r w:rsidRPr="00A068B2">
        <w:rPr>
          <w:rFonts w:asciiTheme="minorHAnsi" w:hAnsiTheme="minorHAnsi" w:cstheme="minorHAnsi"/>
          <w:sz w:val="21"/>
          <w:szCs w:val="21"/>
        </w:rPr>
        <w:t>Value Chain Study (viability, incentives, private sector engagement)</w:t>
      </w:r>
      <w:r w:rsidR="00451792" w:rsidRPr="00A068B2">
        <w:rPr>
          <w:rFonts w:asciiTheme="minorHAnsi" w:hAnsiTheme="minorHAnsi" w:cstheme="minorHAnsi"/>
          <w:sz w:val="21"/>
          <w:szCs w:val="21"/>
        </w:rPr>
        <w:t>.</w:t>
      </w:r>
      <w:r w:rsidRPr="00A068B2">
        <w:rPr>
          <w:rFonts w:asciiTheme="minorHAnsi" w:hAnsiTheme="minorHAnsi" w:cstheme="minorHAnsi"/>
          <w:sz w:val="21"/>
          <w:szCs w:val="21"/>
        </w:rPr>
        <w:t xml:space="preserve"> </w:t>
      </w:r>
    </w:p>
    <w:p w14:paraId="4EE0AB33" w14:textId="4D8F1755" w:rsidR="00AE3C87" w:rsidRPr="00FF5C2A" w:rsidRDefault="00AE3C87" w:rsidP="00B346EB">
      <w:pPr>
        <w:spacing w:after="160"/>
        <w:jc w:val="both"/>
        <w:rPr>
          <w:rFonts w:ascii="Calibri" w:hAnsi="Calibri" w:cs="Calibri"/>
          <w:sz w:val="21"/>
          <w:szCs w:val="21"/>
        </w:rPr>
      </w:pPr>
      <w:r w:rsidRPr="00FF5C2A">
        <w:rPr>
          <w:rFonts w:ascii="Calibri" w:hAnsi="Calibri" w:cs="Calibri"/>
          <w:sz w:val="21"/>
          <w:szCs w:val="21"/>
        </w:rPr>
        <w:lastRenderedPageBreak/>
        <w:t>The above products were corroborated by other baseline assessments (e.g. finance) and a stakeholder engagement process that resulted in a comprehensive Stakeholder Map, Capacity Needs Assessment and a Gender Mainstreaming Analysis and Gender Action Plan (GAP).</w:t>
      </w:r>
    </w:p>
    <w:p w14:paraId="57100735" w14:textId="2D9485FA" w:rsidR="006D4E36" w:rsidRDefault="006D4E36" w:rsidP="001667C6">
      <w:pPr>
        <w:pStyle w:val="ParagraphOED"/>
        <w:numPr>
          <w:ilvl w:val="0"/>
          <w:numId w:val="102"/>
        </w:numPr>
        <w:spacing w:after="160"/>
        <w:rPr>
          <w:lang w:val="en-GB" w:eastAsia="en-GB"/>
        </w:rPr>
      </w:pPr>
      <w:r w:rsidRPr="00A068B2">
        <w:t>ILUP is described in the UNCCD guidance</w:t>
      </w:r>
      <w:r w:rsidRPr="00A068B2">
        <w:rPr>
          <w:highlight w:val="lightGray"/>
          <w:vertAlign w:val="superscript"/>
        </w:rPr>
        <w:fldChar w:fldCharType="begin"/>
      </w:r>
      <w:r w:rsidRPr="00A068B2">
        <w:rPr>
          <w:highlight w:val="lightGray"/>
          <w:vertAlign w:val="superscript"/>
        </w:rPr>
        <w:instrText xml:space="preserve"> NOTEREF _Ref48029850 \h  \* MERGEFORMAT </w:instrText>
      </w:r>
      <w:r w:rsidRPr="00A068B2">
        <w:rPr>
          <w:highlight w:val="lightGray"/>
          <w:vertAlign w:val="superscript"/>
        </w:rPr>
      </w:r>
      <w:r w:rsidRPr="00A068B2">
        <w:rPr>
          <w:highlight w:val="lightGray"/>
          <w:vertAlign w:val="superscript"/>
        </w:rPr>
        <w:fldChar w:fldCharType="separate"/>
      </w:r>
      <w:r w:rsidR="00A64193">
        <w:rPr>
          <w:highlight w:val="lightGray"/>
          <w:vertAlign w:val="superscript"/>
        </w:rPr>
        <w:t>58</w:t>
      </w:r>
      <w:r w:rsidRPr="00A068B2">
        <w:rPr>
          <w:highlight w:val="lightGray"/>
          <w:vertAlign w:val="superscript"/>
        </w:rPr>
        <w:fldChar w:fldCharType="end"/>
      </w:r>
      <w:r w:rsidRPr="00A068B2">
        <w:t xml:space="preserve"> as a balancing exercise between three broad priorities </w:t>
      </w:r>
      <w:r w:rsidRPr="00A068B2">
        <w:rPr>
          <w:lang w:val="en-GB" w:eastAsia="en-GB"/>
        </w:rPr>
        <w:t>(environmental, socio-cultural and economic), whereby targets such as LDN are reconciled through a political process that decides upon a desirable future land-use</w:t>
      </w:r>
      <w:r w:rsidRPr="006D4E36">
        <w:t xml:space="preserve">. </w:t>
      </w:r>
      <w:r w:rsidRPr="00A068B2">
        <w:rPr>
          <w:lang w:val="en-GB" w:eastAsia="en-GB"/>
        </w:rPr>
        <w:t xml:space="preserve">Various ILUP instruments can be applied to attain this desirable future land use, such as zoning (e.g. grazing exclusion), agricultural advisory services (e.g. best practices in SLM), financial incentives (e.g. payment for ecosystem services) and regulation (e.g. protected areas). </w:t>
      </w:r>
    </w:p>
    <w:p w14:paraId="0B928370" w14:textId="25CE0429" w:rsidR="006D4E36" w:rsidRDefault="006D4E36" w:rsidP="001667C6">
      <w:pPr>
        <w:pStyle w:val="ParagraphOED"/>
        <w:numPr>
          <w:ilvl w:val="0"/>
          <w:numId w:val="102"/>
        </w:numPr>
        <w:spacing w:after="160"/>
      </w:pPr>
      <w:r w:rsidRPr="00A068B2">
        <w:t xml:space="preserve">Preparatory ILUP undertaken during the PPG included mapping predominant land-use systems (LUS) based on the  RSA, overlaying their level of degradation, and then visually predicting the extent to which degradation is likely </w:t>
      </w:r>
      <w:r>
        <w:t xml:space="preserve">to </w:t>
      </w:r>
      <w:r w:rsidRPr="00A068B2">
        <w:t>evolve in the near future using land-use dynamics to assess their threatened status. This enabled LMUs to be defined and prioritized based on assessments of declining land productivity and LDN status as described in Sections 1.2 (</w:t>
      </w:r>
      <w:r w:rsidRPr="00A068B2">
        <w:rPr>
          <w:highlight w:val="lightGray"/>
        </w:rPr>
        <w:fldChar w:fldCharType="begin"/>
      </w:r>
      <w:r w:rsidRPr="00A068B2">
        <w:rPr>
          <w:highlight w:val="lightGray"/>
        </w:rPr>
        <w:instrText xml:space="preserve"> REF _Ref45742759 \h  \* MERGEFORMAT </w:instrText>
      </w:r>
      <w:r w:rsidRPr="00A068B2">
        <w:rPr>
          <w:highlight w:val="lightGray"/>
        </w:rPr>
      </w:r>
      <w:r w:rsidRPr="00A068B2">
        <w:rPr>
          <w:highlight w:val="lightGray"/>
        </w:rPr>
        <w:fldChar w:fldCharType="separate"/>
      </w:r>
      <w:r w:rsidR="00A64193" w:rsidRPr="00A64193">
        <w:rPr>
          <w:highlight w:val="lightGray"/>
        </w:rPr>
        <w:t>Figure 4</w:t>
      </w:r>
      <w:r w:rsidRPr="00A068B2">
        <w:rPr>
          <w:highlight w:val="lightGray"/>
        </w:rPr>
        <w:fldChar w:fldCharType="end"/>
      </w:r>
      <w:r w:rsidRPr="00A068B2">
        <w:t>) and Section 2, respectively.</w:t>
      </w:r>
    </w:p>
    <w:p w14:paraId="50104A61" w14:textId="1C024F6C" w:rsidR="00315825" w:rsidRPr="00315825" w:rsidRDefault="00315825" w:rsidP="001667C6">
      <w:pPr>
        <w:pStyle w:val="ParagraphOED"/>
        <w:numPr>
          <w:ilvl w:val="0"/>
          <w:numId w:val="102"/>
        </w:numPr>
        <w:spacing w:after="160"/>
      </w:pPr>
      <w:r>
        <w:t>To date analyses have been carried out only visually but other methods, including the use of data handling routines to accelerate assessments, may be developed during implementation: taking into account, for example, the presence of major roads and human settlements, accessibility to forest (e.g. presence of feeder roads, trails, rivers etc.) and protection status. Theoretically, protected areas can reduce or halt the advancement of land degradation, depending on whether or not boundaries are respected. In Sub-basin 2 (Cahama-Cunene), the presence of protected areas has only been partially effective. In Sub-basin 1 (Cuchi-Okavango), access to forests drives land degradation but, conversely, agricultural land in the surroundings of Cuchi town has shown improvement, due to ready availability of fertilizer and/or access to water for irrigation. More detailed analysis and ground-truthing of such factors may be needed during the planning phase.</w:t>
      </w:r>
    </w:p>
    <w:p w14:paraId="6E65C82D" w14:textId="58A1C880" w:rsidR="001C2723" w:rsidRPr="001C2723" w:rsidRDefault="001C2723" w:rsidP="007C2CFB">
      <w:pPr>
        <w:pStyle w:val="Caption"/>
        <w:rPr>
          <w:b w:val="0"/>
          <w:i w:val="0"/>
          <w:sz w:val="22"/>
          <w:szCs w:val="22"/>
        </w:rPr>
      </w:pPr>
      <w:bookmarkStart w:id="126" w:name="_Toc64037182"/>
      <w:r w:rsidRPr="00DF649D">
        <w:rPr>
          <w:rFonts w:asciiTheme="minorHAnsi" w:hAnsiTheme="minorHAnsi" w:cstheme="minorHAnsi"/>
          <w:sz w:val="22"/>
          <w:szCs w:val="22"/>
        </w:rPr>
        <w:t xml:space="preserve">Figure </w:t>
      </w:r>
      <w:r w:rsidRPr="00DF649D">
        <w:rPr>
          <w:rFonts w:asciiTheme="minorHAnsi" w:hAnsiTheme="minorHAnsi" w:cstheme="minorHAnsi"/>
          <w:i w:val="0"/>
          <w:sz w:val="22"/>
          <w:szCs w:val="22"/>
        </w:rPr>
        <w:fldChar w:fldCharType="begin"/>
      </w:r>
      <w:r w:rsidRPr="00DF649D">
        <w:rPr>
          <w:rFonts w:asciiTheme="minorHAnsi" w:hAnsiTheme="minorHAnsi" w:cstheme="minorHAnsi"/>
          <w:i w:val="0"/>
          <w:sz w:val="22"/>
          <w:szCs w:val="22"/>
        </w:rPr>
        <w:instrText>SEQ Figure \* ARABIC</w:instrText>
      </w:r>
      <w:r w:rsidRPr="00DF649D">
        <w:rPr>
          <w:rFonts w:asciiTheme="minorHAnsi" w:hAnsiTheme="minorHAnsi" w:cstheme="minorHAnsi"/>
          <w:i w:val="0"/>
          <w:sz w:val="22"/>
          <w:szCs w:val="22"/>
        </w:rPr>
        <w:fldChar w:fldCharType="separate"/>
      </w:r>
      <w:r w:rsidRPr="00DF649D">
        <w:rPr>
          <w:rFonts w:asciiTheme="minorHAnsi" w:hAnsiTheme="minorHAnsi" w:cstheme="minorHAnsi"/>
          <w:i w:val="0"/>
          <w:sz w:val="22"/>
          <w:szCs w:val="22"/>
        </w:rPr>
        <w:t>6</w:t>
      </w:r>
      <w:r w:rsidRPr="00DF649D">
        <w:rPr>
          <w:rFonts w:asciiTheme="minorHAnsi" w:hAnsiTheme="minorHAnsi" w:cstheme="minorHAnsi"/>
          <w:i w:val="0"/>
          <w:sz w:val="22"/>
          <w:szCs w:val="22"/>
        </w:rPr>
        <w:fldChar w:fldCharType="end"/>
      </w:r>
      <w:r w:rsidRPr="001C2723">
        <w:rPr>
          <w:b w:val="0"/>
          <w:i w:val="0"/>
          <w:sz w:val="22"/>
          <w:szCs w:val="22"/>
        </w:rPr>
        <w:t>.</w:t>
      </w:r>
      <w:r w:rsidR="00DF649D">
        <w:rPr>
          <w:b w:val="0"/>
          <w:i w:val="0"/>
          <w:sz w:val="22"/>
          <w:szCs w:val="22"/>
        </w:rPr>
        <w:t xml:space="preserve"> </w:t>
      </w:r>
      <w:r w:rsidRPr="001C2723">
        <w:rPr>
          <w:b w:val="0"/>
          <w:i w:val="0"/>
          <w:sz w:val="22"/>
          <w:szCs w:val="22"/>
        </w:rPr>
        <w:t>ILUP is a participatory planning process by which future desirable land status is identified, such as LDN, and becomes attainable through zoning land usage according to land suitability and other agreed criteria.</w:t>
      </w:r>
      <w:r w:rsidRPr="001C2723">
        <w:rPr>
          <w:b w:val="0"/>
          <w:i w:val="0"/>
          <w:sz w:val="22"/>
          <w:szCs w:val="22"/>
          <w:vertAlign w:val="superscript"/>
        </w:rPr>
        <w:fldChar w:fldCharType="begin"/>
      </w:r>
      <w:r w:rsidRPr="001C2723">
        <w:rPr>
          <w:b w:val="0"/>
          <w:i w:val="0"/>
          <w:sz w:val="22"/>
          <w:szCs w:val="22"/>
          <w:vertAlign w:val="superscript"/>
        </w:rPr>
        <w:instrText xml:space="preserve"> NOTEREF _Ref48029850 \h  \* MERGEFORMAT </w:instrText>
      </w:r>
      <w:r w:rsidRPr="001C2723">
        <w:rPr>
          <w:b w:val="0"/>
          <w:i w:val="0"/>
          <w:sz w:val="22"/>
          <w:szCs w:val="22"/>
          <w:vertAlign w:val="superscript"/>
        </w:rPr>
      </w:r>
      <w:r w:rsidRPr="001C2723">
        <w:rPr>
          <w:b w:val="0"/>
          <w:i w:val="0"/>
          <w:sz w:val="22"/>
          <w:szCs w:val="22"/>
          <w:vertAlign w:val="superscript"/>
        </w:rPr>
        <w:fldChar w:fldCharType="separate"/>
      </w:r>
      <w:r w:rsidRPr="001C2723">
        <w:rPr>
          <w:b w:val="0"/>
          <w:i w:val="0"/>
          <w:sz w:val="22"/>
          <w:szCs w:val="22"/>
          <w:vertAlign w:val="superscript"/>
        </w:rPr>
        <w:t>58</w:t>
      </w:r>
      <w:bookmarkEnd w:id="126"/>
      <w:r w:rsidRPr="001C2723">
        <w:rPr>
          <w:b w:val="0"/>
          <w:i w:val="0"/>
          <w:sz w:val="22"/>
          <w:szCs w:val="22"/>
          <w:vertAlign w:val="superscript"/>
        </w:rPr>
        <w:fldChar w:fldCharType="end"/>
      </w:r>
    </w:p>
    <w:p w14:paraId="19C4D5EE" w14:textId="77777777" w:rsidR="001C2723" w:rsidRDefault="4A758B50" w:rsidP="001C2723">
      <w:pPr>
        <w:jc w:val="center"/>
        <w:rPr>
          <w:rFonts w:ascii="Calibri" w:hAnsi="Calibri"/>
          <w:sz w:val="21"/>
          <w:szCs w:val="21"/>
        </w:rPr>
      </w:pPr>
      <w:r>
        <w:rPr>
          <w:noProof/>
        </w:rPr>
        <w:drawing>
          <wp:inline distT="0" distB="0" distL="0" distR="0" wp14:anchorId="6BC8CB83" wp14:editId="4FBAC0DB">
            <wp:extent cx="3508744" cy="2675290"/>
            <wp:effectExtent l="0" t="0" r="0" b="0"/>
            <wp:docPr id="65" name="Picture 65"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pic:cNvPicPr/>
                  </pic:nvPicPr>
                  <pic:blipFill>
                    <a:blip r:embed="rId68">
                      <a:extLst>
                        <a:ext uri="{28A0092B-C50C-407E-A947-70E740481C1C}">
                          <a14:useLocalDpi xmlns:a14="http://schemas.microsoft.com/office/drawing/2010/main" val="0"/>
                        </a:ext>
                      </a:extLst>
                    </a:blip>
                    <a:stretch>
                      <a:fillRect/>
                    </a:stretch>
                  </pic:blipFill>
                  <pic:spPr>
                    <a:xfrm>
                      <a:off x="0" y="0"/>
                      <a:ext cx="3508744" cy="2675290"/>
                    </a:xfrm>
                    <a:prstGeom prst="rect">
                      <a:avLst/>
                    </a:prstGeom>
                  </pic:spPr>
                </pic:pic>
              </a:graphicData>
            </a:graphic>
          </wp:inline>
        </w:drawing>
      </w:r>
    </w:p>
    <w:p w14:paraId="3BC14C85" w14:textId="50DB76AC" w:rsidR="00FF5C2A" w:rsidRPr="00FF5C2A" w:rsidRDefault="00FF5C2A" w:rsidP="001667C6">
      <w:pPr>
        <w:pStyle w:val="ParagraphOED"/>
        <w:numPr>
          <w:ilvl w:val="0"/>
          <w:numId w:val="102"/>
        </w:numPr>
        <w:spacing w:before="160" w:after="160"/>
      </w:pPr>
      <w:bookmarkStart w:id="127" w:name="_Ref46014246"/>
      <w:bookmarkStart w:id="128" w:name="_Ref38891125"/>
      <w:bookmarkStart w:id="129" w:name="_Toc39141477"/>
      <w:bookmarkStart w:id="130" w:name="_Toc39584856"/>
      <w:bookmarkStart w:id="131" w:name="_Ref41318935"/>
      <w:r w:rsidRPr="001131A0">
        <w:t xml:space="preserve">The next step in the planning process involved selecting LMUs, based on the predominant </w:t>
      </w:r>
      <w:r>
        <w:t xml:space="preserve">land use system </w:t>
      </w:r>
      <w:r w:rsidRPr="001131A0">
        <w:t>determined from a</w:t>
      </w:r>
      <w:r w:rsidRPr="00A068B2">
        <w:t xml:space="preserve"> cursory analysis of land cover </w:t>
      </w:r>
      <w:r>
        <w:t xml:space="preserve">imagery (remotely sensed) </w:t>
      </w:r>
      <w:r w:rsidRPr="00A068B2">
        <w:t>and a suite of other parameters using the Collect Earth Open Foris platform. LMUs were then prioritized</w:t>
      </w:r>
      <w:r>
        <w:t xml:space="preserve"> by government at a global workshop in January 2020</w:t>
      </w:r>
      <w:r w:rsidRPr="00A068B2">
        <w:t xml:space="preserve"> </w:t>
      </w:r>
      <w:r>
        <w:t>in accordance with a selection of criteria</w:t>
      </w:r>
      <w:r>
        <w:rPr>
          <w:rStyle w:val="FootnoteReference"/>
        </w:rPr>
        <w:footnoteReference w:id="68"/>
      </w:r>
      <w:r>
        <w:t xml:space="preserve"> </w:t>
      </w:r>
      <w:r w:rsidRPr="00A068B2">
        <w:t xml:space="preserve">and the </w:t>
      </w:r>
      <w:r>
        <w:t>respective</w:t>
      </w:r>
      <w:r w:rsidRPr="00A068B2">
        <w:t xml:space="preserve"> polygons </w:t>
      </w:r>
      <w:r>
        <w:t>digitised</w:t>
      </w:r>
      <w:r w:rsidRPr="00A068B2">
        <w:t xml:space="preserve">. </w:t>
      </w:r>
      <w:r>
        <w:t xml:space="preserve">Potential interventions for the respective LMUs are summarized in </w:t>
      </w:r>
      <w:r w:rsidRPr="00CC185F">
        <w:rPr>
          <w:b/>
          <w:bCs/>
          <w:highlight w:val="lightGray"/>
        </w:rPr>
        <w:fldChar w:fldCharType="begin"/>
      </w:r>
      <w:r w:rsidRPr="00CC185F">
        <w:rPr>
          <w:b/>
          <w:bCs/>
          <w:highlight w:val="lightGray"/>
        </w:rPr>
        <w:instrText xml:space="preserve"> REF _Ref41318206 \h  \* MERGEFORMAT </w:instrText>
      </w:r>
      <w:r w:rsidRPr="00CC185F">
        <w:rPr>
          <w:b/>
          <w:bCs/>
          <w:highlight w:val="lightGray"/>
        </w:rPr>
      </w:r>
      <w:r w:rsidRPr="00CC185F">
        <w:rPr>
          <w:b/>
          <w:bCs/>
          <w:highlight w:val="lightGray"/>
        </w:rPr>
        <w:fldChar w:fldCharType="separate"/>
      </w:r>
      <w:r w:rsidR="00A64193" w:rsidRPr="00A64193">
        <w:rPr>
          <w:b/>
          <w:bCs/>
          <w:highlight w:val="lightGray"/>
        </w:rPr>
        <w:t>Table 4</w:t>
      </w:r>
      <w:r w:rsidRPr="00CC185F">
        <w:rPr>
          <w:b/>
          <w:bCs/>
          <w:highlight w:val="lightGray"/>
        </w:rPr>
        <w:fldChar w:fldCharType="end"/>
      </w:r>
      <w:r w:rsidRPr="00CC185F">
        <w:t xml:space="preserve"> </w:t>
      </w:r>
      <w:r>
        <w:t xml:space="preserve">using </w:t>
      </w:r>
      <w:r w:rsidRPr="619CA689">
        <w:t>a simple framework that aligns with the</w:t>
      </w:r>
      <w:r w:rsidRPr="619CA689">
        <w:rPr>
          <w:color w:val="000000"/>
        </w:rPr>
        <w:t xml:space="preserve"> World Overview of </w:t>
      </w:r>
      <w:r w:rsidRPr="619CA689">
        <w:rPr>
          <w:color w:val="000000"/>
        </w:rPr>
        <w:lastRenderedPageBreak/>
        <w:t>Conservation Approaches and Technologies (WOCAT)</w:t>
      </w:r>
      <w:r w:rsidRPr="00A068B2">
        <w:rPr>
          <w:rStyle w:val="FootnoteReference"/>
        </w:rPr>
        <w:footnoteReference w:id="69"/>
      </w:r>
      <w:r w:rsidRPr="001B4884">
        <w:rPr>
          <w:szCs w:val="21"/>
        </w:rPr>
        <w:t xml:space="preserve"> </w:t>
      </w:r>
      <w:r>
        <w:t xml:space="preserve">and focuses on the LDN mechanism of </w:t>
      </w:r>
      <w:r w:rsidRPr="1E65A5F7">
        <w:rPr>
          <w:i/>
          <w:iCs/>
        </w:rPr>
        <w:t>avoid, reduce and reverse</w:t>
      </w:r>
      <w:r>
        <w:t xml:space="preserve"> to counterbalance losses and gains.</w:t>
      </w:r>
    </w:p>
    <w:p w14:paraId="2A86DCAD" w14:textId="6474B2A7" w:rsidR="00895197" w:rsidRDefault="004775BA" w:rsidP="001667C6">
      <w:pPr>
        <w:pStyle w:val="ParagraphOED"/>
        <w:numPr>
          <w:ilvl w:val="0"/>
          <w:numId w:val="102"/>
        </w:numPr>
        <w:spacing w:after="160"/>
      </w:pPr>
      <w:r w:rsidRPr="002F776C">
        <w:rPr>
          <w:b/>
          <w:bCs/>
        </w:rPr>
        <w:t>A total of 18 LMUs</w:t>
      </w:r>
      <w:r w:rsidR="00CC185F" w:rsidRPr="002F776C">
        <w:rPr>
          <w:b/>
          <w:bCs/>
        </w:rPr>
        <w:t xml:space="preserve"> (i.e.</w:t>
      </w:r>
      <w:r w:rsidRPr="002F776C">
        <w:rPr>
          <w:b/>
          <w:bCs/>
        </w:rPr>
        <w:t xml:space="preserve"> project intervention sites</w:t>
      </w:r>
      <w:r w:rsidR="00CC185F" w:rsidRPr="002F776C">
        <w:rPr>
          <w:b/>
          <w:bCs/>
        </w:rPr>
        <w:t>)</w:t>
      </w:r>
      <w:r w:rsidRPr="002F776C">
        <w:rPr>
          <w:b/>
          <w:bCs/>
        </w:rPr>
        <w:t xml:space="preserve"> were tentatively identified during the PPG</w:t>
      </w:r>
      <w:r w:rsidR="006C6161" w:rsidRPr="002F776C">
        <w:rPr>
          <w:b/>
          <w:bCs/>
        </w:rPr>
        <w:t xml:space="preserve"> stage</w:t>
      </w:r>
      <w:r w:rsidRPr="00011BAD">
        <w:t xml:space="preserve">: 9 in </w:t>
      </w:r>
      <w:r w:rsidR="00CC185F">
        <w:t xml:space="preserve">the 485,412.83 ha </w:t>
      </w:r>
      <w:r>
        <w:t xml:space="preserve">Cuchi-Okavango Sub-Basin 1 and 9 in </w:t>
      </w:r>
      <w:r w:rsidR="00CC185F">
        <w:t xml:space="preserve">the 880,046.04 ha </w:t>
      </w:r>
      <w:r>
        <w:t>Cahama-Cunene Sub-Basin 2. LMUs cover a combined non-overlapping area of 633,278 ha</w:t>
      </w:r>
      <w:r>
        <w:rPr>
          <w:rStyle w:val="FootnoteReference"/>
        </w:rPr>
        <w:footnoteReference w:id="70"/>
      </w:r>
      <w:r w:rsidRPr="619CA689">
        <w:rPr>
          <w:b/>
          <w:bCs/>
          <w:highlight w:val="lightGray"/>
        </w:rPr>
        <w:t>Figures 1</w:t>
      </w:r>
      <w:r w:rsidR="00475570" w:rsidRPr="002F776C">
        <w:rPr>
          <w:b/>
          <w:bCs/>
          <w:highlight w:val="lightGray"/>
        </w:rPr>
        <w:t>0</w:t>
      </w:r>
      <w:r>
        <w:rPr>
          <w:b/>
          <w:bCs/>
          <w:highlight w:val="lightGray"/>
        </w:rPr>
        <w:t xml:space="preserve"> and 1</w:t>
      </w:r>
      <w:r w:rsidR="00475570" w:rsidRPr="002F776C">
        <w:rPr>
          <w:b/>
          <w:bCs/>
          <w:highlight w:val="lightGray"/>
        </w:rPr>
        <w:t>1</w:t>
      </w:r>
      <w:r w:rsidRPr="619CA689">
        <w:t xml:space="preserve">, respectively, together with the indicative management interventions that are colour-coded on the maps and </w:t>
      </w:r>
      <w:r w:rsidR="002F776C">
        <w:t>listed</w:t>
      </w:r>
      <w:r>
        <w:t xml:space="preserve"> in the legends. in the legends.</w:t>
      </w:r>
      <w:bookmarkEnd w:id="127"/>
    </w:p>
    <w:p w14:paraId="0EC366CA" w14:textId="08D069E5" w:rsidR="000B4FC9" w:rsidRPr="00B81D0B" w:rsidRDefault="000B4FC9" w:rsidP="000B4FC9">
      <w:pPr>
        <w:pStyle w:val="Heading6"/>
        <w:spacing w:before="0" w:after="160"/>
        <w:ind w:firstLine="0"/>
        <w:rPr>
          <w:rFonts w:ascii="Calibri" w:hAnsi="Calibri" w:cs="Calibri"/>
          <w:sz w:val="21"/>
          <w:szCs w:val="21"/>
        </w:rPr>
      </w:pPr>
      <w:r w:rsidRPr="0909300E">
        <w:rPr>
          <w:rFonts w:ascii="Calibri" w:hAnsi="Calibri" w:cs="Calibri"/>
          <w:b/>
          <w:bCs/>
          <w:sz w:val="21"/>
          <w:szCs w:val="21"/>
          <w:highlight w:val="lightGray"/>
        </w:rPr>
        <w:t>Output 2.1.1</w:t>
      </w:r>
      <w:r>
        <w:tab/>
      </w:r>
      <w:r w:rsidRPr="0909300E">
        <w:rPr>
          <w:rFonts w:ascii="Calibri" w:hAnsi="Calibri" w:cs="Calibri"/>
          <w:sz w:val="21"/>
          <w:szCs w:val="21"/>
          <w:highlight w:val="lightGray"/>
        </w:rPr>
        <w:t xml:space="preserve"> </w:t>
      </w:r>
      <w:r w:rsidR="0063574E" w:rsidRPr="0909300E">
        <w:rPr>
          <w:rFonts w:ascii="Calibri" w:hAnsi="Calibri" w:cs="Calibri"/>
          <w:sz w:val="21"/>
          <w:szCs w:val="21"/>
        </w:rPr>
        <w:t>Land Management Units and respective interventions selected, landscape level assessments expanded and deepened</w:t>
      </w:r>
    </w:p>
    <w:p w14:paraId="794B1205" w14:textId="0E008989" w:rsidR="000B4FC9" w:rsidRPr="00B81D0B" w:rsidRDefault="000B4FC9" w:rsidP="001667C6">
      <w:pPr>
        <w:pStyle w:val="ParagraphOED"/>
        <w:numPr>
          <w:ilvl w:val="0"/>
          <w:numId w:val="102"/>
        </w:numPr>
        <w:spacing w:after="160"/>
      </w:pPr>
      <w:r>
        <w:t>Output 2.1.1 focuses on confirming and updating preliminary findings of the landscape assessments undertaken during the PPG using ILAM, while also expanding and, in regard to cultural values, ‘deepening’ them to provide a better insight to each target landscape. This will enable the Land Management Units pre-selected during the PPG phase to be confirmed and a baseline LDN balance sheet, as at the start of implementation, to be prepared during project inception. Building on the work undertaken during the PPG as summarised above, the further Indicative Activities are guided by Criterion 3.1 of the policy/regulatory dimension and Criterion 4.3 of the science-policy interface dimension (</w:t>
      </w:r>
      <w:r>
        <w:fldChar w:fldCharType="begin"/>
      </w:r>
      <w:r>
        <w:instrText xml:space="preserve"> REF _Ref41252555 \h  \* MERGEFORMAT </w:instrText>
      </w:r>
      <w:r>
        <w:fldChar w:fldCharType="separate"/>
      </w:r>
      <w:r w:rsidR="00A64193">
        <w:t xml:space="preserve">Table </w:t>
      </w:r>
      <w:r w:rsidR="00A64193" w:rsidRPr="1E65A5F7">
        <w:rPr>
          <w:noProof/>
        </w:rPr>
        <w:t>2</w:t>
      </w:r>
      <w:r>
        <w:fldChar w:fldCharType="end"/>
      </w:r>
      <w:r>
        <w:t>) and elaborated below.</w:t>
      </w:r>
    </w:p>
    <w:p w14:paraId="50A9C788" w14:textId="0A3C45EA" w:rsidR="000B4FC9" w:rsidRPr="00171961" w:rsidRDefault="000B4FC9" w:rsidP="00171961">
      <w:pPr>
        <w:rPr>
          <w:b/>
          <w:bCs/>
          <w:sz w:val="21"/>
          <w:szCs w:val="21"/>
          <w:highlight w:val="darkYellow"/>
        </w:rPr>
      </w:pPr>
    </w:p>
    <w:bookmarkEnd w:id="128"/>
    <w:bookmarkEnd w:id="129"/>
    <w:bookmarkEnd w:id="130"/>
    <w:bookmarkEnd w:id="131"/>
    <w:p w14:paraId="732DE289" w14:textId="77777777" w:rsidR="009563B4" w:rsidRPr="00171961" w:rsidRDefault="009563B4" w:rsidP="00171961">
      <w:pPr>
        <w:rPr>
          <w:b/>
          <w:bCs/>
          <w:sz w:val="21"/>
          <w:szCs w:val="21"/>
        </w:rPr>
        <w:sectPr w:rsidR="009563B4" w:rsidRPr="00171961" w:rsidSect="004F12AD">
          <w:headerReference w:type="even" r:id="rId69"/>
          <w:headerReference w:type="default" r:id="rId70"/>
          <w:headerReference w:type="first" r:id="rId71"/>
          <w:pgSz w:w="11900" w:h="16820" w:code="9"/>
          <w:pgMar w:top="720" w:right="720" w:bottom="720" w:left="720" w:header="720" w:footer="720" w:gutter="0"/>
          <w:cols w:space="720"/>
          <w:docGrid w:linePitch="360"/>
        </w:sectPr>
      </w:pPr>
    </w:p>
    <w:p w14:paraId="69BED312" w14:textId="1077F0AB" w:rsidR="009563B4" w:rsidRPr="00C124A1" w:rsidRDefault="009563B4" w:rsidP="00B34050">
      <w:pPr>
        <w:pStyle w:val="Caption"/>
        <w:ind w:left="993" w:hanging="993"/>
        <w:jc w:val="left"/>
        <w:rPr>
          <w:rFonts w:ascii="Calibri" w:hAnsi="Calibri" w:cs="Calibri"/>
          <w:sz w:val="22"/>
          <w:szCs w:val="22"/>
        </w:rPr>
      </w:pPr>
      <w:bookmarkStart w:id="132" w:name="_Ref41432273"/>
      <w:bookmarkStart w:id="133" w:name="_Toc42027218"/>
      <w:bookmarkStart w:id="134" w:name="_Toc42089592"/>
      <w:bookmarkStart w:id="135" w:name="_Toc58398634"/>
      <w:r w:rsidRPr="00C124A1">
        <w:rPr>
          <w:rFonts w:ascii="Calibri" w:hAnsi="Calibri" w:cs="Calibri"/>
          <w:sz w:val="22"/>
          <w:szCs w:val="22"/>
        </w:rPr>
        <w:lastRenderedPageBreak/>
        <w:t xml:space="preserve">Table </w:t>
      </w:r>
      <w:r w:rsidRPr="00C124A1">
        <w:rPr>
          <w:rFonts w:ascii="Calibri" w:hAnsi="Calibri" w:cs="Calibri"/>
          <w:sz w:val="22"/>
          <w:szCs w:val="22"/>
        </w:rPr>
        <w:fldChar w:fldCharType="begin"/>
      </w:r>
      <w:r w:rsidRPr="00C124A1">
        <w:rPr>
          <w:rFonts w:ascii="Calibri" w:hAnsi="Calibri" w:cs="Calibri"/>
          <w:sz w:val="22"/>
          <w:szCs w:val="22"/>
        </w:rPr>
        <w:instrText>SEQ Table \* ARABIC</w:instrText>
      </w:r>
      <w:r w:rsidRPr="00C124A1">
        <w:rPr>
          <w:rFonts w:ascii="Calibri" w:hAnsi="Calibri" w:cs="Calibri"/>
          <w:sz w:val="22"/>
          <w:szCs w:val="22"/>
        </w:rPr>
        <w:fldChar w:fldCharType="separate"/>
      </w:r>
      <w:r w:rsidR="007D3608">
        <w:rPr>
          <w:rFonts w:ascii="Calibri" w:hAnsi="Calibri" w:cs="Calibri"/>
          <w:noProof/>
          <w:sz w:val="22"/>
          <w:szCs w:val="22"/>
        </w:rPr>
        <w:t>4</w:t>
      </w:r>
      <w:r w:rsidRPr="00C124A1">
        <w:rPr>
          <w:rFonts w:ascii="Calibri" w:hAnsi="Calibri" w:cs="Calibri"/>
          <w:sz w:val="22"/>
          <w:szCs w:val="22"/>
        </w:rPr>
        <w:fldChar w:fldCharType="end"/>
      </w:r>
      <w:r w:rsidRPr="00C124A1">
        <w:rPr>
          <w:rFonts w:ascii="Calibri" w:hAnsi="Calibri" w:cs="Calibri"/>
          <w:sz w:val="22"/>
          <w:szCs w:val="22"/>
        </w:rPr>
        <w:t>.</w:t>
      </w:r>
      <w:r w:rsidR="00DF649D">
        <w:rPr>
          <w:rFonts w:ascii="Calibri" w:hAnsi="Calibri" w:cs="Calibri"/>
          <w:sz w:val="22"/>
          <w:szCs w:val="22"/>
        </w:rPr>
        <w:t xml:space="preserve"> </w:t>
      </w:r>
      <w:r w:rsidR="00BF2A05" w:rsidRPr="00C124A1">
        <w:rPr>
          <w:rFonts w:ascii="Calibri" w:hAnsi="Calibri" w:cs="Calibri"/>
          <w:sz w:val="22"/>
          <w:szCs w:val="22"/>
        </w:rPr>
        <w:t>Management</w:t>
      </w:r>
      <w:r w:rsidRPr="00C124A1">
        <w:rPr>
          <w:rFonts w:ascii="Calibri" w:hAnsi="Calibri" w:cs="Calibri"/>
          <w:sz w:val="22"/>
          <w:szCs w:val="22"/>
        </w:rPr>
        <w:t xml:space="preserve"> </w:t>
      </w:r>
      <w:r w:rsidR="00BF2A05" w:rsidRPr="00C124A1">
        <w:rPr>
          <w:rFonts w:ascii="Calibri" w:hAnsi="Calibri" w:cs="Calibri"/>
          <w:sz w:val="22"/>
          <w:szCs w:val="22"/>
        </w:rPr>
        <w:t xml:space="preserve">interventions </w:t>
      </w:r>
      <w:r w:rsidRPr="00C124A1">
        <w:rPr>
          <w:rFonts w:ascii="Calibri" w:hAnsi="Calibri" w:cs="Calibri"/>
          <w:sz w:val="22"/>
          <w:szCs w:val="22"/>
        </w:rPr>
        <w:t xml:space="preserve">for prioritized LMUs, </w:t>
      </w:r>
      <w:r w:rsidR="00780499" w:rsidRPr="00C124A1">
        <w:rPr>
          <w:rFonts w:ascii="Calibri" w:hAnsi="Calibri" w:cs="Calibri"/>
          <w:sz w:val="22"/>
          <w:szCs w:val="22"/>
        </w:rPr>
        <w:t>using</w:t>
      </w:r>
      <w:r w:rsidRPr="00C124A1">
        <w:rPr>
          <w:rFonts w:ascii="Calibri" w:hAnsi="Calibri" w:cs="Calibri"/>
          <w:sz w:val="22"/>
          <w:szCs w:val="22"/>
        </w:rPr>
        <w:t xml:space="preserve"> a modified</w:t>
      </w:r>
      <w:r w:rsidR="001B4884" w:rsidRPr="243D3ABE">
        <w:rPr>
          <w:rFonts w:ascii="Calibri" w:hAnsi="Calibri" w:cs="Calibri"/>
          <w:color w:val="000000" w:themeColor="text1"/>
          <w:sz w:val="22"/>
          <w:szCs w:val="22"/>
        </w:rPr>
        <w:t xml:space="preserve"> World Overview of Conservation Approaches and Technologies</w:t>
      </w:r>
      <w:r w:rsidR="001B4884" w:rsidRPr="00C124A1">
        <w:rPr>
          <w:rFonts w:ascii="Calibri" w:hAnsi="Calibri" w:cs="Calibri"/>
          <w:sz w:val="22"/>
          <w:szCs w:val="22"/>
        </w:rPr>
        <w:t xml:space="preserve"> </w:t>
      </w:r>
      <w:r w:rsidR="00780499" w:rsidRPr="00C124A1">
        <w:rPr>
          <w:rFonts w:ascii="Calibri" w:hAnsi="Calibri" w:cs="Calibri"/>
          <w:sz w:val="22"/>
          <w:szCs w:val="22"/>
        </w:rPr>
        <w:t>template</w:t>
      </w:r>
      <w:bookmarkEnd w:id="132"/>
      <w:bookmarkEnd w:id="133"/>
      <w:bookmarkEnd w:id="134"/>
      <w:bookmarkEnd w:id="135"/>
    </w:p>
    <w:tbl>
      <w:tblPr>
        <w:tblStyle w:val="TableGrid"/>
        <w:tblpPr w:leftFromText="181" w:rightFromText="284" w:vertAnchor="text" w:tblpY="1"/>
        <w:tblOverlap w:val="never"/>
        <w:tblW w:w="15588"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4A0" w:firstRow="1" w:lastRow="0" w:firstColumn="1" w:lastColumn="0" w:noHBand="0" w:noVBand="1"/>
      </w:tblPr>
      <w:tblGrid>
        <w:gridCol w:w="704"/>
        <w:gridCol w:w="1418"/>
        <w:gridCol w:w="850"/>
        <w:gridCol w:w="1134"/>
        <w:gridCol w:w="709"/>
        <w:gridCol w:w="4536"/>
        <w:gridCol w:w="1701"/>
        <w:gridCol w:w="1701"/>
        <w:gridCol w:w="1984"/>
        <w:gridCol w:w="851"/>
      </w:tblGrid>
      <w:tr w:rsidR="008900EE" w:rsidRPr="00A7717E" w14:paraId="2F6A51DB" w14:textId="77777777" w:rsidTr="00FC130A">
        <w:trPr>
          <w:tblHeader/>
        </w:trPr>
        <w:tc>
          <w:tcPr>
            <w:tcW w:w="704" w:type="dxa"/>
            <w:shd w:val="clear" w:color="auto" w:fill="C00000"/>
            <w:tcMar>
              <w:left w:w="28" w:type="dxa"/>
              <w:right w:w="28" w:type="dxa"/>
            </w:tcMar>
          </w:tcPr>
          <w:p w14:paraId="58B45ACA" w14:textId="77777777" w:rsidR="009563B4" w:rsidRPr="00A7717E" w:rsidRDefault="009563B4" w:rsidP="00FC130A">
            <w:pPr>
              <w:jc w:val="center"/>
              <w:rPr>
                <w:rFonts w:asciiTheme="minorHAnsi" w:hAnsiTheme="minorHAnsi" w:cstheme="minorHAnsi"/>
                <w:b/>
                <w:bCs/>
                <w:color w:val="FFFFFF" w:themeColor="background1"/>
                <w:sz w:val="16"/>
                <w:szCs w:val="16"/>
              </w:rPr>
            </w:pPr>
            <w:r w:rsidRPr="00A7717E">
              <w:rPr>
                <w:rFonts w:asciiTheme="minorHAnsi" w:hAnsiTheme="minorHAnsi" w:cstheme="minorHAnsi"/>
                <w:b/>
                <w:bCs/>
                <w:color w:val="FFFFFF" w:themeColor="background1"/>
                <w:sz w:val="16"/>
                <w:szCs w:val="16"/>
              </w:rPr>
              <w:t>NOTES =&gt;</w:t>
            </w:r>
          </w:p>
        </w:tc>
        <w:tc>
          <w:tcPr>
            <w:tcW w:w="1418" w:type="dxa"/>
            <w:shd w:val="clear" w:color="auto" w:fill="C00000"/>
            <w:tcMar>
              <w:left w:w="28" w:type="dxa"/>
              <w:right w:w="28" w:type="dxa"/>
            </w:tcMar>
          </w:tcPr>
          <w:p w14:paraId="1A0BDDE3" w14:textId="77777777" w:rsidR="009563B4" w:rsidRPr="00A7717E" w:rsidRDefault="009563B4" w:rsidP="00FC130A">
            <w:pPr>
              <w:jc w:val="center"/>
              <w:rPr>
                <w:rFonts w:asciiTheme="minorHAnsi" w:hAnsiTheme="minorHAnsi" w:cstheme="minorHAnsi"/>
                <w:b/>
                <w:bCs/>
                <w:color w:val="FFFFFF" w:themeColor="background1"/>
                <w:sz w:val="16"/>
                <w:szCs w:val="16"/>
              </w:rPr>
            </w:pPr>
            <w:r w:rsidRPr="00A7717E">
              <w:rPr>
                <w:rFonts w:asciiTheme="minorHAnsi" w:hAnsiTheme="minorHAnsi" w:cstheme="minorHAnsi"/>
                <w:b/>
                <w:bCs/>
                <w:i/>
                <w:iCs/>
                <w:color w:val="FFFFFF" w:themeColor="background1"/>
                <w:sz w:val="16"/>
                <w:szCs w:val="16"/>
              </w:rPr>
              <w:t>[a]</w:t>
            </w:r>
          </w:p>
        </w:tc>
        <w:tc>
          <w:tcPr>
            <w:tcW w:w="850" w:type="dxa"/>
            <w:shd w:val="clear" w:color="auto" w:fill="C00000"/>
            <w:tcMar>
              <w:left w:w="28" w:type="dxa"/>
              <w:right w:w="28" w:type="dxa"/>
            </w:tcMar>
          </w:tcPr>
          <w:p w14:paraId="544C1386" w14:textId="77777777" w:rsidR="009563B4" w:rsidRPr="00A7717E" w:rsidRDefault="009563B4" w:rsidP="00FC130A">
            <w:pPr>
              <w:jc w:val="center"/>
              <w:rPr>
                <w:rFonts w:asciiTheme="minorHAnsi" w:hAnsiTheme="minorHAnsi" w:cstheme="minorHAnsi"/>
                <w:b/>
                <w:bCs/>
                <w:color w:val="FFFFFF" w:themeColor="background1"/>
                <w:sz w:val="16"/>
                <w:szCs w:val="16"/>
              </w:rPr>
            </w:pPr>
            <w:r w:rsidRPr="00A7717E">
              <w:rPr>
                <w:rFonts w:asciiTheme="minorHAnsi" w:hAnsiTheme="minorHAnsi" w:cstheme="minorHAnsi"/>
                <w:b/>
                <w:bCs/>
                <w:i/>
                <w:iCs/>
                <w:color w:val="FFFFFF" w:themeColor="background1"/>
                <w:sz w:val="16"/>
                <w:szCs w:val="16"/>
              </w:rPr>
              <w:t>[b]</w:t>
            </w:r>
          </w:p>
        </w:tc>
        <w:tc>
          <w:tcPr>
            <w:tcW w:w="1134" w:type="dxa"/>
            <w:shd w:val="clear" w:color="auto" w:fill="C00000"/>
            <w:tcMar>
              <w:left w:w="28" w:type="dxa"/>
              <w:right w:w="28" w:type="dxa"/>
            </w:tcMar>
          </w:tcPr>
          <w:p w14:paraId="0595CF27" w14:textId="77777777" w:rsidR="009563B4" w:rsidRPr="00A7717E" w:rsidRDefault="009563B4" w:rsidP="00FC130A">
            <w:pPr>
              <w:jc w:val="center"/>
              <w:rPr>
                <w:rFonts w:asciiTheme="minorHAnsi" w:hAnsiTheme="minorHAnsi" w:cstheme="minorHAnsi"/>
                <w:b/>
                <w:bCs/>
                <w:i/>
                <w:iCs/>
                <w:color w:val="FFFFFF" w:themeColor="background1"/>
                <w:sz w:val="16"/>
                <w:szCs w:val="16"/>
              </w:rPr>
            </w:pPr>
            <w:r w:rsidRPr="00A7717E">
              <w:rPr>
                <w:rFonts w:asciiTheme="minorHAnsi" w:hAnsiTheme="minorHAnsi" w:cstheme="minorHAnsi"/>
                <w:b/>
                <w:bCs/>
                <w:i/>
                <w:iCs/>
                <w:color w:val="FFFFFF" w:themeColor="background1"/>
                <w:sz w:val="16"/>
                <w:szCs w:val="16"/>
              </w:rPr>
              <w:t>[c], [f]</w:t>
            </w:r>
          </w:p>
        </w:tc>
        <w:tc>
          <w:tcPr>
            <w:tcW w:w="709" w:type="dxa"/>
            <w:shd w:val="clear" w:color="auto" w:fill="C00000"/>
            <w:tcMar>
              <w:left w:w="28" w:type="dxa"/>
              <w:right w:w="113" w:type="dxa"/>
            </w:tcMar>
          </w:tcPr>
          <w:p w14:paraId="5F38CBFB" w14:textId="77777777" w:rsidR="009563B4" w:rsidRPr="00A7717E" w:rsidRDefault="009563B4" w:rsidP="00FC130A">
            <w:pPr>
              <w:jc w:val="right"/>
              <w:rPr>
                <w:rFonts w:asciiTheme="minorHAnsi" w:hAnsiTheme="minorHAnsi" w:cstheme="minorHAnsi"/>
                <w:b/>
                <w:bCs/>
                <w:color w:val="FFFFFF" w:themeColor="background1"/>
                <w:sz w:val="16"/>
                <w:szCs w:val="16"/>
              </w:rPr>
            </w:pPr>
            <w:r w:rsidRPr="00A7717E">
              <w:rPr>
                <w:rFonts w:asciiTheme="minorHAnsi" w:hAnsiTheme="minorHAnsi" w:cstheme="minorHAnsi"/>
                <w:b/>
                <w:bCs/>
                <w:i/>
                <w:iCs/>
                <w:color w:val="FFFFFF" w:themeColor="background1"/>
                <w:sz w:val="16"/>
                <w:szCs w:val="16"/>
              </w:rPr>
              <w:t>[d]</w:t>
            </w:r>
          </w:p>
        </w:tc>
        <w:tc>
          <w:tcPr>
            <w:tcW w:w="4536" w:type="dxa"/>
            <w:shd w:val="clear" w:color="auto" w:fill="C00000"/>
            <w:tcMar>
              <w:left w:w="28" w:type="dxa"/>
              <w:right w:w="28" w:type="dxa"/>
            </w:tcMar>
          </w:tcPr>
          <w:p w14:paraId="20F63A98" w14:textId="77777777" w:rsidR="009563B4" w:rsidRPr="00A7717E" w:rsidRDefault="009563B4" w:rsidP="00FC130A">
            <w:pPr>
              <w:jc w:val="center"/>
              <w:rPr>
                <w:rFonts w:asciiTheme="minorHAnsi" w:hAnsiTheme="minorHAnsi" w:cstheme="minorHAnsi"/>
                <w:b/>
                <w:bCs/>
                <w:color w:val="FFFFFF" w:themeColor="background1"/>
                <w:sz w:val="16"/>
                <w:szCs w:val="16"/>
              </w:rPr>
            </w:pPr>
            <w:r w:rsidRPr="00A7717E">
              <w:rPr>
                <w:rFonts w:asciiTheme="minorHAnsi" w:hAnsiTheme="minorHAnsi" w:cstheme="minorHAnsi"/>
                <w:b/>
                <w:bCs/>
                <w:i/>
                <w:iCs/>
                <w:color w:val="FFFFFF" w:themeColor="background1"/>
                <w:sz w:val="16"/>
                <w:szCs w:val="16"/>
              </w:rPr>
              <w:t>[b], [f]</w:t>
            </w:r>
          </w:p>
        </w:tc>
        <w:tc>
          <w:tcPr>
            <w:tcW w:w="1701" w:type="dxa"/>
            <w:shd w:val="clear" w:color="auto" w:fill="C00000"/>
            <w:tcMar>
              <w:left w:w="28" w:type="dxa"/>
              <w:right w:w="28" w:type="dxa"/>
            </w:tcMar>
          </w:tcPr>
          <w:p w14:paraId="2132ADF7" w14:textId="77777777" w:rsidR="009563B4" w:rsidRPr="00A7717E" w:rsidRDefault="009563B4" w:rsidP="00FC130A">
            <w:pPr>
              <w:jc w:val="center"/>
              <w:rPr>
                <w:rFonts w:asciiTheme="minorHAnsi" w:hAnsiTheme="minorHAnsi" w:cstheme="minorHAnsi"/>
                <w:b/>
                <w:bCs/>
                <w:color w:val="FFFFFF" w:themeColor="background1"/>
                <w:sz w:val="16"/>
                <w:szCs w:val="16"/>
              </w:rPr>
            </w:pPr>
            <w:r w:rsidRPr="00A7717E">
              <w:rPr>
                <w:rFonts w:asciiTheme="minorHAnsi" w:hAnsiTheme="minorHAnsi" w:cstheme="minorHAnsi"/>
                <w:b/>
                <w:bCs/>
                <w:i/>
                <w:iCs/>
                <w:color w:val="FFFFFF" w:themeColor="background1"/>
                <w:sz w:val="16"/>
                <w:szCs w:val="16"/>
              </w:rPr>
              <w:t>[b], [f]</w:t>
            </w:r>
          </w:p>
        </w:tc>
        <w:tc>
          <w:tcPr>
            <w:tcW w:w="1701" w:type="dxa"/>
            <w:shd w:val="clear" w:color="auto" w:fill="C00000"/>
            <w:tcMar>
              <w:left w:w="28" w:type="dxa"/>
              <w:right w:w="28" w:type="dxa"/>
            </w:tcMar>
          </w:tcPr>
          <w:p w14:paraId="3048A0EB" w14:textId="77777777" w:rsidR="009563B4" w:rsidRPr="00A7717E" w:rsidRDefault="009563B4" w:rsidP="00FC130A">
            <w:pPr>
              <w:jc w:val="center"/>
              <w:rPr>
                <w:rFonts w:asciiTheme="minorHAnsi" w:hAnsiTheme="minorHAnsi" w:cstheme="minorHAnsi"/>
                <w:b/>
                <w:bCs/>
                <w:color w:val="FFFFFF" w:themeColor="background1"/>
                <w:sz w:val="16"/>
                <w:szCs w:val="16"/>
              </w:rPr>
            </w:pPr>
          </w:p>
        </w:tc>
        <w:tc>
          <w:tcPr>
            <w:tcW w:w="1984" w:type="dxa"/>
            <w:shd w:val="clear" w:color="auto" w:fill="C00000"/>
            <w:tcMar>
              <w:left w:w="28" w:type="dxa"/>
              <w:right w:w="28" w:type="dxa"/>
            </w:tcMar>
          </w:tcPr>
          <w:p w14:paraId="6D521615" w14:textId="77777777" w:rsidR="009563B4" w:rsidRPr="00A7717E" w:rsidRDefault="009563B4" w:rsidP="00FC130A">
            <w:pPr>
              <w:jc w:val="center"/>
              <w:rPr>
                <w:rFonts w:asciiTheme="minorHAnsi" w:hAnsiTheme="minorHAnsi" w:cstheme="minorHAnsi"/>
                <w:b/>
                <w:bCs/>
                <w:color w:val="FFFFFF" w:themeColor="background1"/>
                <w:sz w:val="16"/>
                <w:szCs w:val="16"/>
              </w:rPr>
            </w:pPr>
            <w:r w:rsidRPr="00A7717E">
              <w:rPr>
                <w:rFonts w:asciiTheme="minorHAnsi" w:hAnsiTheme="minorHAnsi" w:cstheme="minorHAnsi"/>
                <w:b/>
                <w:bCs/>
                <w:color w:val="FFFFFF" w:themeColor="background1"/>
                <w:sz w:val="16"/>
                <w:szCs w:val="16"/>
              </w:rPr>
              <w:t>[e]</w:t>
            </w:r>
          </w:p>
        </w:tc>
        <w:tc>
          <w:tcPr>
            <w:tcW w:w="851" w:type="dxa"/>
            <w:shd w:val="clear" w:color="auto" w:fill="C00000"/>
            <w:tcMar>
              <w:left w:w="28" w:type="dxa"/>
              <w:right w:w="28" w:type="dxa"/>
            </w:tcMar>
          </w:tcPr>
          <w:p w14:paraId="0126251C" w14:textId="77777777" w:rsidR="009563B4" w:rsidRPr="00A7717E" w:rsidRDefault="009563B4" w:rsidP="00FC130A">
            <w:pPr>
              <w:jc w:val="center"/>
              <w:rPr>
                <w:rFonts w:asciiTheme="minorHAnsi" w:hAnsiTheme="minorHAnsi" w:cstheme="minorHAnsi"/>
                <w:b/>
                <w:bCs/>
                <w:color w:val="FFFFFF" w:themeColor="background1"/>
                <w:sz w:val="16"/>
                <w:szCs w:val="16"/>
              </w:rPr>
            </w:pPr>
            <w:r w:rsidRPr="00A7717E">
              <w:rPr>
                <w:rFonts w:asciiTheme="minorHAnsi" w:hAnsiTheme="minorHAnsi" w:cstheme="minorHAnsi"/>
                <w:b/>
                <w:bCs/>
                <w:color w:val="FFFFFF" w:themeColor="background1"/>
                <w:sz w:val="16"/>
                <w:szCs w:val="16"/>
              </w:rPr>
              <w:t>[f]</w:t>
            </w:r>
          </w:p>
        </w:tc>
      </w:tr>
      <w:tr w:rsidR="008900EE" w:rsidRPr="00A7717E" w14:paraId="22F48BC2" w14:textId="77777777" w:rsidTr="00FC130A">
        <w:trPr>
          <w:trHeight w:val="450"/>
        </w:trPr>
        <w:tc>
          <w:tcPr>
            <w:tcW w:w="704" w:type="dxa"/>
            <w:tcBorders>
              <w:bottom w:val="single" w:sz="12" w:space="0" w:color="auto"/>
            </w:tcBorders>
            <w:shd w:val="clear" w:color="auto" w:fill="000000" w:themeFill="text1"/>
            <w:tcMar>
              <w:left w:w="28" w:type="dxa"/>
              <w:right w:w="28" w:type="dxa"/>
            </w:tcMar>
          </w:tcPr>
          <w:p w14:paraId="1CD2F842" w14:textId="4F84C0A5" w:rsidR="009563B4" w:rsidRPr="00A7717E" w:rsidRDefault="00BF2A05" w:rsidP="00FC130A">
            <w:pPr>
              <w:jc w:val="center"/>
              <w:rPr>
                <w:rFonts w:asciiTheme="minorHAnsi" w:hAnsiTheme="minorHAnsi" w:cstheme="minorHAnsi"/>
                <w:sz w:val="16"/>
                <w:szCs w:val="16"/>
              </w:rPr>
            </w:pPr>
            <w:r>
              <w:rPr>
                <w:rFonts w:asciiTheme="minorHAnsi" w:hAnsiTheme="minorHAnsi" w:cstheme="minorHAnsi"/>
                <w:sz w:val="16"/>
                <w:szCs w:val="16"/>
              </w:rPr>
              <w:t xml:space="preserve">LMU </w:t>
            </w:r>
            <w:r w:rsidR="009563B4" w:rsidRPr="00A7717E">
              <w:rPr>
                <w:rFonts w:asciiTheme="minorHAnsi" w:hAnsiTheme="minorHAnsi" w:cstheme="minorHAnsi"/>
                <w:sz w:val="16"/>
                <w:szCs w:val="16"/>
              </w:rPr>
              <w:t>#</w:t>
            </w:r>
          </w:p>
        </w:tc>
        <w:tc>
          <w:tcPr>
            <w:tcW w:w="1418" w:type="dxa"/>
            <w:tcBorders>
              <w:bottom w:val="single" w:sz="12" w:space="0" w:color="auto"/>
            </w:tcBorders>
            <w:shd w:val="clear" w:color="auto" w:fill="000000" w:themeFill="text1"/>
            <w:tcMar>
              <w:left w:w="28" w:type="dxa"/>
              <w:right w:w="28" w:type="dxa"/>
            </w:tcMar>
          </w:tcPr>
          <w:p w14:paraId="648AB5B5" w14:textId="77777777" w:rsidR="009563B4" w:rsidRPr="00A7717E" w:rsidRDefault="009563B4" w:rsidP="00FC130A">
            <w:pPr>
              <w:rPr>
                <w:rFonts w:asciiTheme="minorHAnsi" w:hAnsiTheme="minorHAnsi" w:cstheme="minorHAnsi"/>
                <w:sz w:val="16"/>
                <w:szCs w:val="16"/>
              </w:rPr>
            </w:pPr>
            <w:r w:rsidRPr="00A7717E">
              <w:rPr>
                <w:rFonts w:asciiTheme="minorHAnsi" w:hAnsiTheme="minorHAnsi" w:cstheme="minorHAnsi"/>
                <w:b/>
                <w:bCs/>
                <w:color w:val="FFFFFF"/>
                <w:sz w:val="16"/>
                <w:szCs w:val="16"/>
              </w:rPr>
              <w:t>Name of Approach</w:t>
            </w:r>
          </w:p>
        </w:tc>
        <w:tc>
          <w:tcPr>
            <w:tcW w:w="850" w:type="dxa"/>
            <w:tcBorders>
              <w:bottom w:val="single" w:sz="12" w:space="0" w:color="auto"/>
            </w:tcBorders>
            <w:shd w:val="clear" w:color="auto" w:fill="000000" w:themeFill="text1"/>
            <w:tcMar>
              <w:left w:w="28" w:type="dxa"/>
              <w:right w:w="28" w:type="dxa"/>
            </w:tcMar>
          </w:tcPr>
          <w:p w14:paraId="3869CC04" w14:textId="082B27CB" w:rsidR="009563B4" w:rsidRPr="00A7717E" w:rsidRDefault="009563B4" w:rsidP="00FC130A">
            <w:pPr>
              <w:rPr>
                <w:rFonts w:asciiTheme="minorHAnsi" w:hAnsiTheme="minorHAnsi" w:cstheme="minorHAnsi"/>
                <w:sz w:val="16"/>
                <w:szCs w:val="16"/>
              </w:rPr>
            </w:pPr>
            <w:r w:rsidRPr="00A7717E">
              <w:rPr>
                <w:rFonts w:asciiTheme="minorHAnsi" w:hAnsiTheme="minorHAnsi" w:cstheme="minorHAnsi"/>
                <w:b/>
                <w:bCs/>
                <w:color w:val="FFFFFF"/>
                <w:sz w:val="16"/>
                <w:szCs w:val="16"/>
              </w:rPr>
              <w:t xml:space="preserve">For which </w:t>
            </w:r>
            <w:r w:rsidR="00B33376">
              <w:rPr>
                <w:rFonts w:asciiTheme="minorHAnsi" w:hAnsiTheme="minorHAnsi" w:cstheme="minorHAnsi"/>
                <w:b/>
                <w:bCs/>
                <w:color w:val="FFFFFF"/>
                <w:sz w:val="16"/>
                <w:szCs w:val="16"/>
              </w:rPr>
              <w:t xml:space="preserve">land-use </w:t>
            </w:r>
            <w:r w:rsidRPr="00A7717E">
              <w:rPr>
                <w:rFonts w:asciiTheme="minorHAnsi" w:hAnsiTheme="minorHAnsi" w:cstheme="minorHAnsi"/>
                <w:b/>
                <w:bCs/>
                <w:color w:val="FFFFFF"/>
                <w:sz w:val="16"/>
                <w:szCs w:val="16"/>
              </w:rPr>
              <w:t xml:space="preserve">type </w:t>
            </w:r>
          </w:p>
        </w:tc>
        <w:tc>
          <w:tcPr>
            <w:tcW w:w="1134" w:type="dxa"/>
            <w:tcBorders>
              <w:bottom w:val="single" w:sz="12" w:space="0" w:color="auto"/>
            </w:tcBorders>
            <w:shd w:val="clear" w:color="auto" w:fill="000000" w:themeFill="text1"/>
            <w:tcMar>
              <w:left w:w="28" w:type="dxa"/>
              <w:right w:w="28" w:type="dxa"/>
            </w:tcMar>
          </w:tcPr>
          <w:p w14:paraId="4DC47CC9" w14:textId="77777777" w:rsidR="009563B4" w:rsidRPr="00A7717E" w:rsidRDefault="009563B4" w:rsidP="00FC130A">
            <w:pPr>
              <w:rPr>
                <w:rFonts w:asciiTheme="minorHAnsi" w:hAnsiTheme="minorHAnsi" w:cstheme="minorHAnsi"/>
                <w:b/>
                <w:bCs/>
                <w:color w:val="FFFFFF"/>
                <w:sz w:val="16"/>
                <w:szCs w:val="16"/>
              </w:rPr>
            </w:pPr>
            <w:r w:rsidRPr="00A7717E">
              <w:rPr>
                <w:rFonts w:asciiTheme="minorHAnsi" w:hAnsiTheme="minorHAnsi" w:cstheme="minorHAnsi"/>
                <w:b/>
                <w:bCs/>
                <w:color w:val="FFFFFF"/>
                <w:sz w:val="16"/>
                <w:szCs w:val="16"/>
              </w:rPr>
              <w:t xml:space="preserve">Location / </w:t>
            </w:r>
            <w:r w:rsidRPr="00A7717E">
              <w:rPr>
                <w:rFonts w:asciiTheme="minorHAnsi" w:hAnsiTheme="minorHAnsi" w:cstheme="minorHAnsi"/>
                <w:b/>
                <w:bCs/>
                <w:color w:val="FFFFFF"/>
                <w:sz w:val="16"/>
                <w:szCs w:val="16"/>
                <w:shd w:val="clear" w:color="auto" w:fill="C00000"/>
              </w:rPr>
              <w:t xml:space="preserve">Project Code </w:t>
            </w:r>
          </w:p>
        </w:tc>
        <w:tc>
          <w:tcPr>
            <w:tcW w:w="709" w:type="dxa"/>
            <w:tcBorders>
              <w:bottom w:val="single" w:sz="12" w:space="0" w:color="auto"/>
            </w:tcBorders>
            <w:shd w:val="clear" w:color="auto" w:fill="000000" w:themeFill="text1"/>
            <w:tcMar>
              <w:left w:w="28" w:type="dxa"/>
              <w:right w:w="28" w:type="dxa"/>
            </w:tcMar>
          </w:tcPr>
          <w:p w14:paraId="05F401DE" w14:textId="1623AB4A" w:rsidR="009563B4" w:rsidRPr="00A7717E" w:rsidRDefault="009563B4" w:rsidP="00FC130A">
            <w:pPr>
              <w:rPr>
                <w:rFonts w:asciiTheme="minorHAnsi" w:hAnsiTheme="minorHAnsi" w:cstheme="minorHAnsi"/>
                <w:sz w:val="16"/>
                <w:szCs w:val="16"/>
              </w:rPr>
            </w:pPr>
            <w:r w:rsidRPr="00A7717E">
              <w:rPr>
                <w:rFonts w:asciiTheme="minorHAnsi" w:hAnsiTheme="minorHAnsi" w:cstheme="minorHAnsi"/>
                <w:b/>
                <w:bCs/>
                <w:color w:val="FFFFFF"/>
                <w:sz w:val="16"/>
                <w:szCs w:val="16"/>
              </w:rPr>
              <w:t>Area (ha)</w:t>
            </w:r>
            <w:r w:rsidR="00905231">
              <w:rPr>
                <w:rFonts w:asciiTheme="minorHAnsi" w:hAnsiTheme="minorHAnsi" w:cstheme="minorHAnsi"/>
                <w:b/>
                <w:bCs/>
                <w:color w:val="FFFFFF"/>
                <w:sz w:val="16"/>
                <w:szCs w:val="16"/>
              </w:rPr>
              <w:t xml:space="preserve"> </w:t>
            </w:r>
            <w:r w:rsidR="002E681A">
              <w:rPr>
                <w:rFonts w:asciiTheme="minorHAnsi" w:hAnsiTheme="minorHAnsi" w:cstheme="minorHAnsi"/>
                <w:b/>
                <w:bCs/>
                <w:color w:val="FFFFFF"/>
                <w:sz w:val="16"/>
                <w:szCs w:val="16"/>
                <w:shd w:val="clear" w:color="auto" w:fill="C00000"/>
              </w:rPr>
              <w:t xml:space="preserve"> covered by ILUPs (at least)</w:t>
            </w:r>
          </w:p>
        </w:tc>
        <w:tc>
          <w:tcPr>
            <w:tcW w:w="4536" w:type="dxa"/>
            <w:tcBorders>
              <w:bottom w:val="single" w:sz="12" w:space="0" w:color="auto"/>
            </w:tcBorders>
            <w:shd w:val="clear" w:color="auto" w:fill="000000" w:themeFill="text1"/>
            <w:tcMar>
              <w:left w:w="28" w:type="dxa"/>
              <w:right w:w="28" w:type="dxa"/>
            </w:tcMar>
          </w:tcPr>
          <w:p w14:paraId="7CF842C3" w14:textId="77777777" w:rsidR="009563B4" w:rsidRPr="00A7717E" w:rsidRDefault="009563B4" w:rsidP="00FC130A">
            <w:pPr>
              <w:rPr>
                <w:rFonts w:asciiTheme="minorHAnsi" w:hAnsiTheme="minorHAnsi" w:cstheme="minorHAnsi"/>
                <w:sz w:val="16"/>
                <w:szCs w:val="16"/>
              </w:rPr>
            </w:pPr>
            <w:r w:rsidRPr="00A7717E">
              <w:rPr>
                <w:rFonts w:asciiTheme="minorHAnsi" w:hAnsiTheme="minorHAnsi" w:cstheme="minorHAnsi"/>
                <w:b/>
                <w:bCs/>
                <w:color w:val="FFFFFF"/>
                <w:sz w:val="16"/>
                <w:szCs w:val="16"/>
              </w:rPr>
              <w:t>Type of Approach</w:t>
            </w:r>
          </w:p>
        </w:tc>
        <w:tc>
          <w:tcPr>
            <w:tcW w:w="1701" w:type="dxa"/>
            <w:tcBorders>
              <w:bottom w:val="single" w:sz="12" w:space="0" w:color="auto"/>
            </w:tcBorders>
            <w:shd w:val="clear" w:color="auto" w:fill="000000" w:themeFill="text1"/>
            <w:tcMar>
              <w:left w:w="28" w:type="dxa"/>
              <w:right w:w="28" w:type="dxa"/>
            </w:tcMar>
          </w:tcPr>
          <w:p w14:paraId="5B263DFB" w14:textId="77777777" w:rsidR="009563B4" w:rsidRPr="00A7717E" w:rsidRDefault="009563B4" w:rsidP="00FC130A">
            <w:pPr>
              <w:rPr>
                <w:rFonts w:asciiTheme="minorHAnsi" w:hAnsiTheme="minorHAnsi" w:cstheme="minorHAnsi"/>
                <w:sz w:val="16"/>
                <w:szCs w:val="16"/>
              </w:rPr>
            </w:pPr>
            <w:r w:rsidRPr="00A7717E">
              <w:rPr>
                <w:rFonts w:asciiTheme="minorHAnsi" w:hAnsiTheme="minorHAnsi" w:cstheme="minorHAnsi"/>
                <w:b/>
                <w:bCs/>
                <w:color w:val="FFFFFF"/>
                <w:sz w:val="16"/>
                <w:szCs w:val="16"/>
              </w:rPr>
              <w:t>Stakeholders involved</w:t>
            </w:r>
          </w:p>
        </w:tc>
        <w:tc>
          <w:tcPr>
            <w:tcW w:w="1701" w:type="dxa"/>
            <w:tcBorders>
              <w:bottom w:val="single" w:sz="12" w:space="0" w:color="auto"/>
            </w:tcBorders>
            <w:shd w:val="clear" w:color="auto" w:fill="000000" w:themeFill="text1"/>
            <w:tcMar>
              <w:left w:w="28" w:type="dxa"/>
              <w:right w:w="28" w:type="dxa"/>
            </w:tcMar>
          </w:tcPr>
          <w:p w14:paraId="6524ABDC" w14:textId="77777777" w:rsidR="009563B4" w:rsidRPr="00A7717E" w:rsidRDefault="009563B4" w:rsidP="00FC130A">
            <w:pPr>
              <w:rPr>
                <w:rFonts w:asciiTheme="minorHAnsi" w:hAnsiTheme="minorHAnsi" w:cstheme="minorHAnsi"/>
                <w:sz w:val="16"/>
                <w:szCs w:val="16"/>
              </w:rPr>
            </w:pPr>
            <w:r w:rsidRPr="00A7717E">
              <w:rPr>
                <w:rFonts w:asciiTheme="minorHAnsi" w:hAnsiTheme="minorHAnsi" w:cstheme="minorHAnsi"/>
                <w:b/>
                <w:bCs/>
                <w:color w:val="FFFFFF"/>
                <w:sz w:val="16"/>
                <w:szCs w:val="16"/>
              </w:rPr>
              <w:t>Objectives</w:t>
            </w:r>
          </w:p>
        </w:tc>
        <w:tc>
          <w:tcPr>
            <w:tcW w:w="1984" w:type="dxa"/>
            <w:tcBorders>
              <w:bottom w:val="single" w:sz="12" w:space="0" w:color="auto"/>
            </w:tcBorders>
            <w:shd w:val="clear" w:color="auto" w:fill="000000" w:themeFill="text1"/>
            <w:tcMar>
              <w:left w:w="28" w:type="dxa"/>
              <w:right w:w="28" w:type="dxa"/>
            </w:tcMar>
          </w:tcPr>
          <w:p w14:paraId="4AE2036B" w14:textId="77777777" w:rsidR="009563B4" w:rsidRPr="00A7717E" w:rsidRDefault="009563B4" w:rsidP="00FC130A">
            <w:pPr>
              <w:rPr>
                <w:rFonts w:asciiTheme="minorHAnsi" w:hAnsiTheme="minorHAnsi" w:cstheme="minorHAnsi"/>
                <w:sz w:val="16"/>
                <w:szCs w:val="16"/>
              </w:rPr>
            </w:pPr>
            <w:r w:rsidRPr="00A7717E">
              <w:rPr>
                <w:rFonts w:asciiTheme="minorHAnsi" w:hAnsiTheme="minorHAnsi" w:cstheme="minorHAnsi"/>
                <w:b/>
                <w:bCs/>
                <w:color w:val="FFFFFF"/>
                <w:sz w:val="16"/>
                <w:szCs w:val="16"/>
              </w:rPr>
              <w:t>Local Land user/local communities’ involvement</w:t>
            </w:r>
          </w:p>
        </w:tc>
        <w:tc>
          <w:tcPr>
            <w:tcW w:w="851" w:type="dxa"/>
            <w:tcBorders>
              <w:bottom w:val="single" w:sz="12" w:space="0" w:color="auto"/>
            </w:tcBorders>
            <w:shd w:val="clear" w:color="auto" w:fill="F2F2F2" w:themeFill="background1" w:themeFillShade="F2"/>
            <w:tcMar>
              <w:left w:w="28" w:type="dxa"/>
              <w:right w:w="28" w:type="dxa"/>
            </w:tcMar>
          </w:tcPr>
          <w:p w14:paraId="5BA9FA4F" w14:textId="3EFABEE6" w:rsidR="009563B4" w:rsidRPr="00BF2A05" w:rsidRDefault="003F3A06" w:rsidP="00FC130A">
            <w:pPr>
              <w:jc w:val="center"/>
              <w:rPr>
                <w:rFonts w:asciiTheme="minorHAnsi" w:hAnsiTheme="minorHAnsi" w:cstheme="minorHAnsi"/>
                <w:b/>
                <w:bCs/>
                <w:sz w:val="16"/>
                <w:szCs w:val="16"/>
              </w:rPr>
            </w:pPr>
            <w:r w:rsidRPr="00BF2A05">
              <w:rPr>
                <w:rFonts w:asciiTheme="minorHAnsi" w:hAnsiTheme="minorHAnsi" w:cstheme="minorHAnsi"/>
                <w:b/>
                <w:bCs/>
                <w:color w:val="000000"/>
                <w:sz w:val="16"/>
                <w:szCs w:val="16"/>
              </w:rPr>
              <w:t xml:space="preserve">LDN </w:t>
            </w:r>
            <w:r w:rsidR="001B4884" w:rsidRPr="00BF2A05">
              <w:rPr>
                <w:rFonts w:asciiTheme="minorHAnsi" w:hAnsiTheme="minorHAnsi" w:cstheme="minorHAnsi"/>
                <w:b/>
                <w:bCs/>
                <w:color w:val="000000"/>
                <w:sz w:val="16"/>
                <w:szCs w:val="16"/>
              </w:rPr>
              <w:t>r</w:t>
            </w:r>
            <w:r w:rsidRPr="00BF2A05">
              <w:rPr>
                <w:rFonts w:asciiTheme="minorHAnsi" w:hAnsiTheme="minorHAnsi" w:cstheme="minorHAnsi"/>
                <w:b/>
                <w:bCs/>
                <w:color w:val="000000"/>
                <w:sz w:val="16"/>
                <w:szCs w:val="16"/>
              </w:rPr>
              <w:t xml:space="preserve">esponse hierarchy </w:t>
            </w:r>
          </w:p>
        </w:tc>
      </w:tr>
      <w:tr w:rsidR="000977AF" w:rsidRPr="00A7717E" w14:paraId="7307BE3B" w14:textId="77777777" w:rsidTr="00FC130A">
        <w:tc>
          <w:tcPr>
            <w:tcW w:w="2972" w:type="dxa"/>
            <w:gridSpan w:val="3"/>
            <w:tcBorders>
              <w:right w:val="nil"/>
            </w:tcBorders>
            <w:shd w:val="clear" w:color="auto" w:fill="BFBFBF" w:themeFill="background1" w:themeFillShade="BF"/>
            <w:noWrap/>
            <w:tcMar>
              <w:left w:w="28" w:type="dxa"/>
              <w:right w:w="28" w:type="dxa"/>
            </w:tcMar>
          </w:tcPr>
          <w:p w14:paraId="44EEABC8" w14:textId="38F0BA4B" w:rsidR="000977AF" w:rsidRPr="000977AF" w:rsidRDefault="000977AF" w:rsidP="00FC130A">
            <w:pPr>
              <w:rPr>
                <w:rFonts w:asciiTheme="minorHAnsi" w:hAnsiTheme="minorHAnsi" w:cstheme="minorHAnsi"/>
                <w:b/>
                <w:bCs/>
                <w:sz w:val="16"/>
                <w:szCs w:val="16"/>
              </w:rPr>
            </w:pPr>
            <w:r w:rsidRPr="000977AF">
              <w:rPr>
                <w:rFonts w:asciiTheme="minorHAnsi" w:hAnsiTheme="minorHAnsi" w:cstheme="minorHAnsi"/>
                <w:b/>
                <w:bCs/>
                <w:sz w:val="16"/>
                <w:szCs w:val="16"/>
              </w:rPr>
              <w:t>Cuchi-Okavang</w:t>
            </w:r>
            <w:r>
              <w:rPr>
                <w:rFonts w:asciiTheme="minorHAnsi" w:hAnsiTheme="minorHAnsi" w:cstheme="minorHAnsi"/>
                <w:b/>
                <w:bCs/>
                <w:sz w:val="16"/>
                <w:szCs w:val="16"/>
              </w:rPr>
              <w:t>o</w:t>
            </w:r>
            <w:r w:rsidRPr="000977AF">
              <w:rPr>
                <w:rFonts w:asciiTheme="minorHAnsi" w:hAnsiTheme="minorHAnsi" w:cstheme="minorHAnsi"/>
                <w:b/>
                <w:bCs/>
                <w:sz w:val="16"/>
                <w:szCs w:val="16"/>
              </w:rPr>
              <w:t xml:space="preserve"> (Sub-Basin 1)</w:t>
            </w:r>
          </w:p>
        </w:tc>
        <w:tc>
          <w:tcPr>
            <w:tcW w:w="1134" w:type="dxa"/>
            <w:tcBorders>
              <w:left w:val="nil"/>
              <w:right w:val="nil"/>
            </w:tcBorders>
            <w:shd w:val="clear" w:color="auto" w:fill="BFBFBF" w:themeFill="background1" w:themeFillShade="BF"/>
            <w:noWrap/>
            <w:tcMar>
              <w:left w:w="28" w:type="dxa"/>
              <w:right w:w="28" w:type="dxa"/>
            </w:tcMar>
          </w:tcPr>
          <w:p w14:paraId="1340FF23" w14:textId="77777777" w:rsidR="000977AF" w:rsidRPr="008176BC" w:rsidRDefault="000977AF" w:rsidP="00FC130A">
            <w:pPr>
              <w:rPr>
                <w:rFonts w:asciiTheme="minorHAnsi" w:hAnsiTheme="minorHAnsi" w:cstheme="minorHAnsi"/>
                <w:sz w:val="16"/>
                <w:szCs w:val="16"/>
              </w:rPr>
            </w:pPr>
          </w:p>
        </w:tc>
        <w:tc>
          <w:tcPr>
            <w:tcW w:w="709" w:type="dxa"/>
            <w:tcBorders>
              <w:left w:val="nil"/>
              <w:right w:val="nil"/>
            </w:tcBorders>
            <w:shd w:val="clear" w:color="auto" w:fill="BFBFBF" w:themeFill="background1" w:themeFillShade="BF"/>
            <w:noWrap/>
            <w:tcMar>
              <w:left w:w="28" w:type="dxa"/>
              <w:right w:w="113" w:type="dxa"/>
            </w:tcMar>
          </w:tcPr>
          <w:p w14:paraId="3F888F46" w14:textId="77777777" w:rsidR="000977AF" w:rsidRPr="008176BC" w:rsidRDefault="000977AF" w:rsidP="00FC130A">
            <w:pPr>
              <w:jc w:val="right"/>
              <w:rPr>
                <w:rFonts w:asciiTheme="minorHAnsi" w:hAnsiTheme="minorHAnsi" w:cstheme="minorHAnsi"/>
                <w:sz w:val="16"/>
                <w:szCs w:val="16"/>
              </w:rPr>
            </w:pPr>
          </w:p>
        </w:tc>
        <w:tc>
          <w:tcPr>
            <w:tcW w:w="4536" w:type="dxa"/>
            <w:tcBorders>
              <w:left w:val="nil"/>
              <w:right w:val="nil"/>
            </w:tcBorders>
            <w:shd w:val="clear" w:color="auto" w:fill="BFBFBF" w:themeFill="background1" w:themeFillShade="BF"/>
            <w:noWrap/>
            <w:tcMar>
              <w:left w:w="28" w:type="dxa"/>
              <w:right w:w="28" w:type="dxa"/>
            </w:tcMar>
          </w:tcPr>
          <w:p w14:paraId="74ED34B0" w14:textId="77777777" w:rsidR="000977AF" w:rsidRPr="008176BC" w:rsidRDefault="000977AF" w:rsidP="00FC130A">
            <w:pPr>
              <w:rPr>
                <w:rFonts w:asciiTheme="minorHAnsi" w:hAnsiTheme="minorHAnsi" w:cstheme="minorHAnsi"/>
                <w:sz w:val="16"/>
                <w:szCs w:val="16"/>
              </w:rPr>
            </w:pPr>
          </w:p>
        </w:tc>
        <w:tc>
          <w:tcPr>
            <w:tcW w:w="1701" w:type="dxa"/>
            <w:tcBorders>
              <w:left w:val="nil"/>
              <w:right w:val="nil"/>
            </w:tcBorders>
            <w:shd w:val="clear" w:color="auto" w:fill="BFBFBF" w:themeFill="background1" w:themeFillShade="BF"/>
            <w:tcMar>
              <w:left w:w="28" w:type="dxa"/>
              <w:right w:w="28" w:type="dxa"/>
            </w:tcMar>
          </w:tcPr>
          <w:p w14:paraId="4B0B2FFC" w14:textId="77777777" w:rsidR="000977AF" w:rsidRPr="008176BC" w:rsidRDefault="000977AF" w:rsidP="00FC130A">
            <w:pPr>
              <w:rPr>
                <w:rFonts w:asciiTheme="minorHAnsi" w:hAnsiTheme="minorHAnsi" w:cstheme="minorHAnsi"/>
                <w:sz w:val="16"/>
                <w:szCs w:val="16"/>
              </w:rPr>
            </w:pPr>
          </w:p>
        </w:tc>
        <w:tc>
          <w:tcPr>
            <w:tcW w:w="1701" w:type="dxa"/>
            <w:tcBorders>
              <w:left w:val="nil"/>
              <w:right w:val="nil"/>
            </w:tcBorders>
            <w:shd w:val="clear" w:color="auto" w:fill="BFBFBF" w:themeFill="background1" w:themeFillShade="BF"/>
            <w:tcMar>
              <w:left w:w="28" w:type="dxa"/>
              <w:right w:w="28" w:type="dxa"/>
            </w:tcMar>
          </w:tcPr>
          <w:p w14:paraId="073CADB1" w14:textId="77777777" w:rsidR="000977AF" w:rsidRPr="008176BC" w:rsidRDefault="000977AF" w:rsidP="00FC130A">
            <w:pPr>
              <w:rPr>
                <w:rFonts w:asciiTheme="minorHAnsi" w:hAnsiTheme="minorHAnsi" w:cstheme="minorHAnsi"/>
                <w:sz w:val="16"/>
                <w:szCs w:val="16"/>
              </w:rPr>
            </w:pPr>
          </w:p>
        </w:tc>
        <w:tc>
          <w:tcPr>
            <w:tcW w:w="1984" w:type="dxa"/>
            <w:tcBorders>
              <w:left w:val="nil"/>
              <w:right w:val="nil"/>
            </w:tcBorders>
            <w:shd w:val="clear" w:color="auto" w:fill="BFBFBF" w:themeFill="background1" w:themeFillShade="BF"/>
            <w:tcMar>
              <w:left w:w="28" w:type="dxa"/>
              <w:right w:w="28" w:type="dxa"/>
            </w:tcMar>
          </w:tcPr>
          <w:p w14:paraId="3DE01C4B" w14:textId="77777777" w:rsidR="000977AF" w:rsidRPr="008176BC" w:rsidRDefault="000977AF" w:rsidP="00FC130A">
            <w:pPr>
              <w:rPr>
                <w:rFonts w:asciiTheme="minorHAnsi" w:hAnsiTheme="minorHAnsi" w:cstheme="minorHAnsi"/>
                <w:sz w:val="16"/>
                <w:szCs w:val="16"/>
              </w:rPr>
            </w:pPr>
          </w:p>
        </w:tc>
        <w:tc>
          <w:tcPr>
            <w:tcW w:w="851" w:type="dxa"/>
            <w:tcBorders>
              <w:left w:val="nil"/>
            </w:tcBorders>
            <w:shd w:val="clear" w:color="auto" w:fill="BFBFBF" w:themeFill="background1" w:themeFillShade="BF"/>
            <w:tcMar>
              <w:left w:w="28" w:type="dxa"/>
              <w:right w:w="28" w:type="dxa"/>
            </w:tcMar>
          </w:tcPr>
          <w:p w14:paraId="59AA3D8A" w14:textId="77777777" w:rsidR="000977AF" w:rsidRPr="008176BC" w:rsidRDefault="000977AF" w:rsidP="00FC130A">
            <w:pPr>
              <w:rPr>
                <w:rFonts w:asciiTheme="minorHAnsi" w:hAnsiTheme="minorHAnsi" w:cstheme="minorHAnsi"/>
                <w:sz w:val="16"/>
                <w:szCs w:val="16"/>
              </w:rPr>
            </w:pPr>
          </w:p>
        </w:tc>
      </w:tr>
      <w:tr w:rsidR="008900EE" w:rsidRPr="00A7717E" w14:paraId="48C22152" w14:textId="77777777" w:rsidTr="00FC130A">
        <w:tc>
          <w:tcPr>
            <w:tcW w:w="704" w:type="dxa"/>
            <w:tcMar>
              <w:left w:w="28" w:type="dxa"/>
              <w:right w:w="28" w:type="dxa"/>
            </w:tcMar>
          </w:tcPr>
          <w:p w14:paraId="1AA249E6" w14:textId="77777777" w:rsidR="009563B4" w:rsidRPr="00A7717E" w:rsidRDefault="009563B4" w:rsidP="00FC130A">
            <w:pPr>
              <w:jc w:val="center"/>
              <w:rPr>
                <w:rFonts w:asciiTheme="minorHAnsi" w:hAnsiTheme="minorHAnsi" w:cstheme="minorHAnsi"/>
                <w:sz w:val="16"/>
                <w:szCs w:val="16"/>
              </w:rPr>
            </w:pPr>
            <w:r w:rsidRPr="00A7717E">
              <w:rPr>
                <w:rFonts w:asciiTheme="minorHAnsi" w:hAnsiTheme="minorHAnsi" w:cstheme="minorHAnsi"/>
                <w:sz w:val="16"/>
                <w:szCs w:val="16"/>
              </w:rPr>
              <w:t>1</w:t>
            </w:r>
          </w:p>
        </w:tc>
        <w:tc>
          <w:tcPr>
            <w:tcW w:w="1418" w:type="dxa"/>
            <w:tcMar>
              <w:left w:w="28" w:type="dxa"/>
              <w:right w:w="28" w:type="dxa"/>
            </w:tcMar>
          </w:tcPr>
          <w:p w14:paraId="5EF9CDC7" w14:textId="77777777" w:rsidR="009563B4" w:rsidRPr="008176BC" w:rsidRDefault="009563B4" w:rsidP="00FC130A">
            <w:pPr>
              <w:rPr>
                <w:rFonts w:asciiTheme="minorHAnsi" w:hAnsiTheme="minorHAnsi" w:cstheme="minorHAnsi"/>
                <w:sz w:val="16"/>
                <w:szCs w:val="16"/>
              </w:rPr>
            </w:pPr>
            <w:r w:rsidRPr="008176BC">
              <w:rPr>
                <w:rFonts w:asciiTheme="minorHAnsi" w:hAnsiTheme="minorHAnsi" w:cstheme="minorHAnsi"/>
                <w:sz w:val="16"/>
                <w:szCs w:val="16"/>
              </w:rPr>
              <w:t>A1 Cuchi-Liunda Community Forest Reserve Conservation Sustainable use 31,100 ha</w:t>
            </w:r>
          </w:p>
        </w:tc>
        <w:tc>
          <w:tcPr>
            <w:tcW w:w="850" w:type="dxa"/>
            <w:tcMar>
              <w:left w:w="28" w:type="dxa"/>
              <w:right w:w="28" w:type="dxa"/>
            </w:tcMar>
          </w:tcPr>
          <w:p w14:paraId="3058213D" w14:textId="77777777" w:rsidR="009563B4" w:rsidRPr="008176BC" w:rsidRDefault="009563B4" w:rsidP="00FC130A">
            <w:pPr>
              <w:rPr>
                <w:rFonts w:asciiTheme="minorHAnsi" w:hAnsiTheme="minorHAnsi" w:cstheme="minorHAnsi"/>
                <w:sz w:val="16"/>
                <w:szCs w:val="16"/>
              </w:rPr>
            </w:pPr>
            <w:r w:rsidRPr="008176BC">
              <w:rPr>
                <w:rFonts w:asciiTheme="minorHAnsi" w:hAnsiTheme="minorHAnsi" w:cstheme="minorHAnsi"/>
                <w:sz w:val="16"/>
                <w:szCs w:val="16"/>
              </w:rPr>
              <w:t>F forest/ woodlands</w:t>
            </w:r>
          </w:p>
        </w:tc>
        <w:tc>
          <w:tcPr>
            <w:tcW w:w="1134" w:type="dxa"/>
            <w:tcMar>
              <w:left w:w="28" w:type="dxa"/>
              <w:right w:w="28" w:type="dxa"/>
            </w:tcMar>
          </w:tcPr>
          <w:p w14:paraId="3FFFE1C0" w14:textId="76D50EB5" w:rsidR="009563B4" w:rsidRPr="008176BC" w:rsidRDefault="009563B4" w:rsidP="00FC130A">
            <w:pPr>
              <w:rPr>
                <w:rFonts w:asciiTheme="minorHAnsi" w:hAnsiTheme="minorHAnsi" w:cstheme="minorHAnsi"/>
                <w:sz w:val="16"/>
                <w:szCs w:val="16"/>
              </w:rPr>
            </w:pPr>
            <w:r w:rsidRPr="008176BC">
              <w:rPr>
                <w:rFonts w:asciiTheme="minorHAnsi" w:hAnsiTheme="minorHAnsi" w:cstheme="minorHAnsi"/>
                <w:sz w:val="16"/>
                <w:szCs w:val="16"/>
              </w:rPr>
              <w:t>LMU-AO-1 | Sub-Basin 1, LUS = Forest A1</w:t>
            </w:r>
          </w:p>
        </w:tc>
        <w:tc>
          <w:tcPr>
            <w:tcW w:w="709" w:type="dxa"/>
            <w:tcMar>
              <w:left w:w="28" w:type="dxa"/>
              <w:right w:w="113" w:type="dxa"/>
            </w:tcMar>
          </w:tcPr>
          <w:p w14:paraId="56844C41" w14:textId="77777777" w:rsidR="009563B4" w:rsidRPr="008176BC" w:rsidRDefault="009563B4" w:rsidP="00FC130A">
            <w:pPr>
              <w:jc w:val="right"/>
              <w:rPr>
                <w:rFonts w:asciiTheme="minorHAnsi" w:hAnsiTheme="minorHAnsi" w:cstheme="minorHAnsi"/>
                <w:sz w:val="16"/>
                <w:szCs w:val="16"/>
              </w:rPr>
            </w:pPr>
            <w:r w:rsidRPr="008176BC">
              <w:rPr>
                <w:rFonts w:asciiTheme="minorHAnsi" w:hAnsiTheme="minorHAnsi" w:cstheme="minorHAnsi"/>
                <w:sz w:val="16"/>
                <w:szCs w:val="16"/>
              </w:rPr>
              <w:t>31,000</w:t>
            </w:r>
          </w:p>
        </w:tc>
        <w:tc>
          <w:tcPr>
            <w:tcW w:w="4536" w:type="dxa"/>
            <w:tcMar>
              <w:left w:w="28" w:type="dxa"/>
              <w:right w:w="28" w:type="dxa"/>
            </w:tcMar>
          </w:tcPr>
          <w:p w14:paraId="2C6E3AB9" w14:textId="7C284C37" w:rsidR="009563B4" w:rsidRPr="008176BC" w:rsidRDefault="009563B4" w:rsidP="00FC130A">
            <w:pPr>
              <w:rPr>
                <w:rFonts w:asciiTheme="minorHAnsi" w:hAnsiTheme="minorHAnsi" w:cstheme="minorHAnsi"/>
                <w:sz w:val="16"/>
                <w:szCs w:val="16"/>
              </w:rPr>
            </w:pPr>
            <w:r w:rsidRPr="008176BC">
              <w:rPr>
                <w:rFonts w:asciiTheme="minorHAnsi" w:hAnsiTheme="minorHAnsi" w:cstheme="minorHAnsi"/>
                <w:sz w:val="16"/>
                <w:szCs w:val="16"/>
              </w:rPr>
              <w:t xml:space="preserve">Community Forest managed by nearby localities (Cuchi and Liunda), area to be </w:t>
            </w:r>
            <w:r w:rsidR="000B322E" w:rsidRPr="00766273">
              <w:rPr>
                <w:rFonts w:asciiTheme="minorHAnsi" w:hAnsiTheme="minorHAnsi" w:cstheme="minorHAnsi"/>
                <w:sz w:val="16"/>
                <w:szCs w:val="16"/>
                <w:highlight w:val="yellow"/>
              </w:rPr>
              <w:t xml:space="preserve">sustainably </w:t>
            </w:r>
            <w:r w:rsidR="005A7A08" w:rsidRPr="00766273">
              <w:rPr>
                <w:rFonts w:asciiTheme="minorHAnsi" w:hAnsiTheme="minorHAnsi" w:cstheme="minorHAnsi"/>
                <w:sz w:val="16"/>
                <w:szCs w:val="16"/>
                <w:highlight w:val="yellow"/>
              </w:rPr>
              <w:t xml:space="preserve">managed by </w:t>
            </w:r>
            <w:r w:rsidR="002602C7" w:rsidRPr="00766273">
              <w:rPr>
                <w:rFonts w:asciiTheme="minorHAnsi" w:hAnsiTheme="minorHAnsi" w:cstheme="minorHAnsi"/>
                <w:sz w:val="16"/>
                <w:szCs w:val="16"/>
                <w:highlight w:val="yellow"/>
              </w:rPr>
              <w:t>nearby communities of Liunda and Cuchi</w:t>
            </w:r>
            <w:r w:rsidR="00E72C67" w:rsidRPr="00766273">
              <w:rPr>
                <w:rFonts w:asciiTheme="minorHAnsi" w:hAnsiTheme="minorHAnsi" w:cstheme="minorHAnsi"/>
                <w:sz w:val="16"/>
                <w:szCs w:val="16"/>
                <w:highlight w:val="yellow"/>
              </w:rPr>
              <w:t xml:space="preserve"> for</w:t>
            </w:r>
            <w:r w:rsidRPr="008176BC">
              <w:rPr>
                <w:rFonts w:asciiTheme="minorHAnsi" w:hAnsiTheme="minorHAnsi" w:cstheme="minorHAnsi"/>
                <w:sz w:val="16"/>
                <w:szCs w:val="16"/>
              </w:rPr>
              <w:t xml:space="preserve"> forest seed supply and</w:t>
            </w:r>
            <w:r w:rsidR="00A56D20">
              <w:rPr>
                <w:rFonts w:asciiTheme="minorHAnsi" w:hAnsiTheme="minorHAnsi" w:cstheme="minorHAnsi"/>
                <w:sz w:val="16"/>
                <w:szCs w:val="16"/>
              </w:rPr>
              <w:t xml:space="preserve"> </w:t>
            </w:r>
            <w:r w:rsidR="00A56D20" w:rsidRPr="00766273">
              <w:rPr>
                <w:rFonts w:asciiTheme="minorHAnsi" w:hAnsiTheme="minorHAnsi" w:cstheme="minorHAnsi"/>
                <w:sz w:val="16"/>
                <w:szCs w:val="16"/>
                <w:highlight w:val="yellow"/>
              </w:rPr>
              <w:t>other NTFPs</w:t>
            </w:r>
            <w:r w:rsidRPr="008176BC">
              <w:rPr>
                <w:rFonts w:asciiTheme="minorHAnsi" w:hAnsiTheme="minorHAnsi" w:cstheme="minorHAnsi"/>
                <w:sz w:val="16"/>
                <w:szCs w:val="16"/>
              </w:rPr>
              <w:t xml:space="preserve"> in view of avoiding deforestation and degradation and promoting SFM</w:t>
            </w:r>
            <w:r w:rsidR="00A56D20">
              <w:rPr>
                <w:rFonts w:asciiTheme="minorHAnsi" w:hAnsiTheme="minorHAnsi" w:cstheme="minorHAnsi"/>
                <w:sz w:val="16"/>
                <w:szCs w:val="16"/>
              </w:rPr>
              <w:t>.</w:t>
            </w:r>
          </w:p>
        </w:tc>
        <w:tc>
          <w:tcPr>
            <w:tcW w:w="1701" w:type="dxa"/>
            <w:tcMar>
              <w:left w:w="28" w:type="dxa"/>
              <w:right w:w="28" w:type="dxa"/>
            </w:tcMar>
          </w:tcPr>
          <w:p w14:paraId="1BCF8E45" w14:textId="75984D04" w:rsidR="009563B4" w:rsidRPr="008176BC" w:rsidRDefault="009563B4" w:rsidP="00FC130A">
            <w:pPr>
              <w:rPr>
                <w:rFonts w:asciiTheme="minorHAnsi" w:hAnsiTheme="minorHAnsi" w:cstheme="minorBidi"/>
                <w:sz w:val="16"/>
                <w:szCs w:val="16"/>
              </w:rPr>
            </w:pPr>
            <w:r w:rsidRPr="619CA689">
              <w:rPr>
                <w:rFonts w:asciiTheme="minorHAnsi" w:hAnsiTheme="minorHAnsi" w:cstheme="minorBidi"/>
                <w:sz w:val="16"/>
                <w:szCs w:val="16"/>
              </w:rPr>
              <w:t>Communities in Cuchi and Liunda, M</w:t>
            </w:r>
            <w:r w:rsidR="7A26B75D" w:rsidRPr="619CA689">
              <w:rPr>
                <w:rFonts w:asciiTheme="minorHAnsi" w:hAnsiTheme="minorHAnsi" w:cstheme="minorBidi"/>
                <w:sz w:val="16"/>
                <w:szCs w:val="16"/>
              </w:rPr>
              <w:t>CTA</w:t>
            </w:r>
            <w:r w:rsidRPr="619CA689">
              <w:rPr>
                <w:rFonts w:asciiTheme="minorHAnsi" w:hAnsiTheme="minorHAnsi" w:cstheme="minorBidi"/>
                <w:sz w:val="16"/>
                <w:szCs w:val="16"/>
              </w:rPr>
              <w:t xml:space="preserve"> / INBAC concerning the consideration of the site as a potential protected area</w:t>
            </w:r>
          </w:p>
        </w:tc>
        <w:tc>
          <w:tcPr>
            <w:tcW w:w="1701" w:type="dxa"/>
            <w:tcMar>
              <w:left w:w="28" w:type="dxa"/>
              <w:right w:w="28" w:type="dxa"/>
            </w:tcMar>
          </w:tcPr>
          <w:p w14:paraId="0491B65A" w14:textId="5F81D883" w:rsidR="009563B4" w:rsidRPr="008176BC" w:rsidRDefault="00905231" w:rsidP="00FC130A">
            <w:pPr>
              <w:rPr>
                <w:rFonts w:asciiTheme="minorHAnsi" w:hAnsiTheme="minorHAnsi" w:cstheme="minorHAnsi"/>
                <w:sz w:val="16"/>
                <w:szCs w:val="16"/>
              </w:rPr>
            </w:pPr>
            <w:r w:rsidRPr="008176BC">
              <w:rPr>
                <w:rFonts w:asciiTheme="minorHAnsi" w:hAnsiTheme="minorHAnsi" w:cstheme="minorHAnsi"/>
                <w:sz w:val="16"/>
                <w:szCs w:val="16"/>
              </w:rPr>
              <w:t>Forest strict conservation in core, less disturbed areas (exact zone tbd) and sustainable offtake in other areas (90%), plus forest tree seed supply and seedling production</w:t>
            </w:r>
          </w:p>
        </w:tc>
        <w:tc>
          <w:tcPr>
            <w:tcW w:w="1984" w:type="dxa"/>
            <w:tcMar>
              <w:left w:w="28" w:type="dxa"/>
              <w:right w:w="28" w:type="dxa"/>
            </w:tcMar>
          </w:tcPr>
          <w:p w14:paraId="650D4088" w14:textId="77777777" w:rsidR="009563B4" w:rsidRPr="008176BC" w:rsidRDefault="009563B4" w:rsidP="00FC130A">
            <w:pPr>
              <w:rPr>
                <w:rFonts w:asciiTheme="minorHAnsi" w:hAnsiTheme="minorHAnsi" w:cstheme="minorHAnsi"/>
                <w:sz w:val="16"/>
                <w:szCs w:val="16"/>
              </w:rPr>
            </w:pPr>
            <w:r w:rsidRPr="008176BC">
              <w:rPr>
                <w:rFonts w:asciiTheme="minorHAnsi" w:hAnsiTheme="minorHAnsi" w:cstheme="minorHAnsi"/>
                <w:sz w:val="16"/>
                <w:szCs w:val="16"/>
              </w:rPr>
              <w:t>Generally informed about the project, but not yet directly engaged for this activity</w:t>
            </w:r>
          </w:p>
        </w:tc>
        <w:tc>
          <w:tcPr>
            <w:tcW w:w="851" w:type="dxa"/>
            <w:tcMar>
              <w:left w:w="28" w:type="dxa"/>
              <w:right w:w="28" w:type="dxa"/>
            </w:tcMar>
          </w:tcPr>
          <w:p w14:paraId="48719731" w14:textId="3100CF8B" w:rsidR="009563B4" w:rsidRPr="008176BC" w:rsidRDefault="00CD3EF6" w:rsidP="00FC130A">
            <w:pPr>
              <w:rPr>
                <w:rFonts w:asciiTheme="minorHAnsi" w:hAnsiTheme="minorHAnsi" w:cstheme="minorHAnsi"/>
                <w:sz w:val="16"/>
                <w:szCs w:val="16"/>
              </w:rPr>
            </w:pPr>
            <w:r w:rsidRPr="00766273">
              <w:rPr>
                <w:rFonts w:asciiTheme="minorHAnsi" w:hAnsiTheme="minorHAnsi" w:cstheme="minorHAnsi"/>
                <w:sz w:val="16"/>
                <w:szCs w:val="16"/>
                <w:highlight w:val="yellow"/>
              </w:rPr>
              <w:t>REDUCE</w:t>
            </w:r>
          </w:p>
        </w:tc>
      </w:tr>
      <w:tr w:rsidR="008900EE" w:rsidRPr="00A7717E" w14:paraId="0A9AFE5D" w14:textId="77777777" w:rsidTr="00FC130A">
        <w:tc>
          <w:tcPr>
            <w:tcW w:w="704" w:type="dxa"/>
            <w:tcMar>
              <w:left w:w="28" w:type="dxa"/>
              <w:right w:w="28" w:type="dxa"/>
            </w:tcMar>
          </w:tcPr>
          <w:p w14:paraId="5A851D8E" w14:textId="77777777" w:rsidR="009563B4" w:rsidRPr="00A7717E" w:rsidRDefault="009563B4" w:rsidP="00FC130A">
            <w:pPr>
              <w:jc w:val="center"/>
              <w:rPr>
                <w:rFonts w:asciiTheme="minorHAnsi" w:hAnsiTheme="minorHAnsi" w:cstheme="minorHAnsi"/>
                <w:sz w:val="16"/>
                <w:szCs w:val="16"/>
              </w:rPr>
            </w:pPr>
            <w:r w:rsidRPr="00A7717E">
              <w:rPr>
                <w:rFonts w:asciiTheme="minorHAnsi" w:hAnsiTheme="minorHAnsi" w:cstheme="minorHAnsi"/>
                <w:sz w:val="16"/>
                <w:szCs w:val="16"/>
              </w:rPr>
              <w:t>2</w:t>
            </w:r>
          </w:p>
        </w:tc>
        <w:tc>
          <w:tcPr>
            <w:tcW w:w="1418" w:type="dxa"/>
            <w:tcMar>
              <w:left w:w="28" w:type="dxa"/>
              <w:right w:w="28" w:type="dxa"/>
            </w:tcMar>
          </w:tcPr>
          <w:p w14:paraId="3FCBB776" w14:textId="77777777" w:rsidR="009563B4" w:rsidRPr="008176BC" w:rsidRDefault="009563B4" w:rsidP="00FC130A">
            <w:pPr>
              <w:rPr>
                <w:rFonts w:asciiTheme="minorHAnsi" w:hAnsiTheme="minorHAnsi" w:cstheme="minorHAnsi"/>
                <w:sz w:val="16"/>
                <w:szCs w:val="16"/>
              </w:rPr>
            </w:pPr>
            <w:r w:rsidRPr="008176BC">
              <w:rPr>
                <w:rFonts w:asciiTheme="minorHAnsi" w:hAnsiTheme="minorHAnsi" w:cstheme="minorHAnsi"/>
                <w:sz w:val="16"/>
                <w:szCs w:val="16"/>
              </w:rPr>
              <w:t>A2 Cuchi Municipal Forest and Seed Bank 1,388 ha</w:t>
            </w:r>
          </w:p>
        </w:tc>
        <w:tc>
          <w:tcPr>
            <w:tcW w:w="850" w:type="dxa"/>
            <w:tcMar>
              <w:left w:w="28" w:type="dxa"/>
              <w:right w:w="28" w:type="dxa"/>
            </w:tcMar>
          </w:tcPr>
          <w:p w14:paraId="054A12C5" w14:textId="77777777" w:rsidR="009563B4" w:rsidRPr="008176BC" w:rsidRDefault="009563B4" w:rsidP="00FC130A">
            <w:pPr>
              <w:rPr>
                <w:rFonts w:asciiTheme="minorHAnsi" w:hAnsiTheme="minorHAnsi" w:cstheme="minorHAnsi"/>
                <w:sz w:val="16"/>
                <w:szCs w:val="16"/>
              </w:rPr>
            </w:pPr>
            <w:r w:rsidRPr="008176BC">
              <w:rPr>
                <w:rFonts w:asciiTheme="minorHAnsi" w:hAnsiTheme="minorHAnsi" w:cstheme="minorHAnsi"/>
                <w:sz w:val="16"/>
                <w:szCs w:val="16"/>
              </w:rPr>
              <w:t>F forest/ woodlands</w:t>
            </w:r>
          </w:p>
        </w:tc>
        <w:tc>
          <w:tcPr>
            <w:tcW w:w="1134" w:type="dxa"/>
            <w:tcMar>
              <w:left w:w="28" w:type="dxa"/>
              <w:right w:w="28" w:type="dxa"/>
            </w:tcMar>
          </w:tcPr>
          <w:p w14:paraId="05BECE6F" w14:textId="77777777" w:rsidR="009563B4" w:rsidRPr="008176BC" w:rsidRDefault="009563B4" w:rsidP="00FC130A">
            <w:pPr>
              <w:rPr>
                <w:rFonts w:asciiTheme="minorHAnsi" w:hAnsiTheme="minorHAnsi" w:cstheme="minorHAnsi"/>
                <w:sz w:val="16"/>
                <w:szCs w:val="16"/>
              </w:rPr>
            </w:pPr>
            <w:r w:rsidRPr="008176BC">
              <w:rPr>
                <w:rFonts w:asciiTheme="minorHAnsi" w:hAnsiTheme="minorHAnsi" w:cstheme="minorHAnsi"/>
                <w:sz w:val="16"/>
                <w:szCs w:val="16"/>
              </w:rPr>
              <w:t>LMU-AO-2 | Sub-Basin 1, LUS = Forest A2</w:t>
            </w:r>
          </w:p>
        </w:tc>
        <w:tc>
          <w:tcPr>
            <w:tcW w:w="709" w:type="dxa"/>
            <w:tcMar>
              <w:left w:w="28" w:type="dxa"/>
              <w:right w:w="113" w:type="dxa"/>
            </w:tcMar>
          </w:tcPr>
          <w:p w14:paraId="04023B04" w14:textId="77777777" w:rsidR="009563B4" w:rsidRPr="008176BC" w:rsidRDefault="009563B4" w:rsidP="00FC130A">
            <w:pPr>
              <w:jc w:val="right"/>
              <w:rPr>
                <w:rFonts w:asciiTheme="minorHAnsi" w:hAnsiTheme="minorHAnsi" w:cstheme="minorHAnsi"/>
                <w:sz w:val="16"/>
                <w:szCs w:val="16"/>
              </w:rPr>
            </w:pPr>
            <w:r w:rsidRPr="008176BC">
              <w:rPr>
                <w:rFonts w:asciiTheme="minorHAnsi" w:hAnsiTheme="minorHAnsi" w:cstheme="minorHAnsi"/>
                <w:sz w:val="16"/>
                <w:szCs w:val="16"/>
              </w:rPr>
              <w:t>1,388</w:t>
            </w:r>
          </w:p>
        </w:tc>
        <w:tc>
          <w:tcPr>
            <w:tcW w:w="4536" w:type="dxa"/>
            <w:tcMar>
              <w:left w:w="28" w:type="dxa"/>
              <w:right w:w="28" w:type="dxa"/>
            </w:tcMar>
          </w:tcPr>
          <w:p w14:paraId="649EAEE4" w14:textId="7204CB61" w:rsidR="009563B4" w:rsidRPr="008176BC" w:rsidRDefault="009563B4" w:rsidP="00FC130A">
            <w:pPr>
              <w:rPr>
                <w:rFonts w:asciiTheme="minorHAnsi" w:hAnsiTheme="minorHAnsi" w:cstheme="minorHAnsi"/>
                <w:sz w:val="16"/>
                <w:szCs w:val="16"/>
              </w:rPr>
            </w:pPr>
            <w:r w:rsidRPr="008176BC">
              <w:rPr>
                <w:rFonts w:asciiTheme="minorHAnsi" w:hAnsiTheme="minorHAnsi" w:cstheme="minorHAnsi"/>
                <w:sz w:val="16"/>
                <w:szCs w:val="16"/>
              </w:rPr>
              <w:t>Small forest patch in a peri-urban area, proposed managed locally by the Municipal Council of Cuchi. The project would build a small nursery infrastructure in the forest (near the road) and develop relevant community seed banks activities in it.</w:t>
            </w:r>
            <w:r w:rsidR="00271806">
              <w:rPr>
                <w:rFonts w:asciiTheme="minorHAnsi" w:hAnsiTheme="minorHAnsi" w:cstheme="minorHAnsi"/>
                <w:sz w:val="16"/>
                <w:szCs w:val="16"/>
              </w:rPr>
              <w:t xml:space="preserve"> </w:t>
            </w:r>
            <w:r w:rsidR="00271806" w:rsidRPr="00766273">
              <w:rPr>
                <w:rFonts w:asciiTheme="minorHAnsi" w:hAnsiTheme="minorHAnsi" w:cstheme="minorHAnsi"/>
                <w:sz w:val="16"/>
                <w:szCs w:val="16"/>
                <w:highlight w:val="yellow"/>
              </w:rPr>
              <w:t>The area will be</w:t>
            </w:r>
            <w:r w:rsidR="00491E68" w:rsidRPr="00766273">
              <w:rPr>
                <w:rFonts w:asciiTheme="minorHAnsi" w:hAnsiTheme="minorHAnsi" w:cstheme="minorHAnsi"/>
                <w:sz w:val="16"/>
                <w:szCs w:val="16"/>
                <w:highlight w:val="yellow"/>
              </w:rPr>
              <w:t xml:space="preserve"> under</w:t>
            </w:r>
            <w:r w:rsidR="009148E1" w:rsidRPr="00766273">
              <w:rPr>
                <w:rFonts w:asciiTheme="minorHAnsi" w:hAnsiTheme="minorHAnsi" w:cstheme="minorHAnsi"/>
                <w:sz w:val="16"/>
                <w:szCs w:val="16"/>
                <w:highlight w:val="yellow"/>
              </w:rPr>
              <w:t xml:space="preserve"> SFM practices aiming to</w:t>
            </w:r>
            <w:r w:rsidR="00081C3F" w:rsidRPr="00766273">
              <w:rPr>
                <w:rFonts w:asciiTheme="minorHAnsi" w:hAnsiTheme="minorHAnsi" w:cstheme="minorHAnsi"/>
                <w:sz w:val="16"/>
                <w:szCs w:val="16"/>
                <w:highlight w:val="yellow"/>
              </w:rPr>
              <w:t xml:space="preserve"> increase seed production and to reduce pressure from</w:t>
            </w:r>
            <w:r w:rsidR="00A9034A" w:rsidRPr="00766273">
              <w:rPr>
                <w:rFonts w:asciiTheme="minorHAnsi" w:hAnsiTheme="minorHAnsi" w:cstheme="minorHAnsi"/>
                <w:sz w:val="16"/>
                <w:szCs w:val="16"/>
                <w:highlight w:val="yellow"/>
              </w:rPr>
              <w:t xml:space="preserve"> overexploitation of wood resources</w:t>
            </w:r>
            <w:r w:rsidR="00F74310" w:rsidRPr="00766273">
              <w:rPr>
                <w:rFonts w:asciiTheme="minorHAnsi" w:hAnsiTheme="minorHAnsi" w:cstheme="minorHAnsi"/>
                <w:sz w:val="16"/>
                <w:szCs w:val="16"/>
                <w:highlight w:val="yellow"/>
              </w:rPr>
              <w:t xml:space="preserve">, </w:t>
            </w:r>
            <w:r w:rsidR="00CC55ED" w:rsidRPr="00766273">
              <w:rPr>
                <w:rFonts w:asciiTheme="minorHAnsi" w:hAnsiTheme="minorHAnsi" w:cstheme="minorHAnsi"/>
                <w:sz w:val="16"/>
                <w:szCs w:val="16"/>
                <w:highlight w:val="yellow"/>
              </w:rPr>
              <w:t>g</w:t>
            </w:r>
            <w:r w:rsidR="00F74310" w:rsidRPr="00766273">
              <w:rPr>
                <w:rFonts w:asciiTheme="minorHAnsi" w:hAnsiTheme="minorHAnsi" w:cstheme="minorHAnsi"/>
                <w:sz w:val="16"/>
                <w:szCs w:val="16"/>
                <w:highlight w:val="yellow"/>
              </w:rPr>
              <w:t>razing and</w:t>
            </w:r>
            <w:r w:rsidR="00CC55ED" w:rsidRPr="00766273">
              <w:rPr>
                <w:rFonts w:asciiTheme="minorHAnsi" w:hAnsiTheme="minorHAnsi" w:cstheme="minorHAnsi"/>
                <w:sz w:val="16"/>
                <w:szCs w:val="16"/>
                <w:highlight w:val="yellow"/>
              </w:rPr>
              <w:t xml:space="preserve"> agricultural expansion.</w:t>
            </w:r>
            <w:r w:rsidR="00987B2F" w:rsidRPr="00766273">
              <w:rPr>
                <w:rFonts w:asciiTheme="minorHAnsi" w:hAnsiTheme="minorHAnsi" w:cstheme="minorHAnsi"/>
                <w:sz w:val="16"/>
                <w:szCs w:val="16"/>
                <w:highlight w:val="yellow"/>
              </w:rPr>
              <w:t xml:space="preserve"> </w:t>
            </w:r>
            <w:r w:rsidR="008C653C" w:rsidRPr="00766273">
              <w:rPr>
                <w:rFonts w:asciiTheme="minorHAnsi" w:hAnsiTheme="minorHAnsi" w:cstheme="minorHAnsi"/>
                <w:sz w:val="16"/>
                <w:szCs w:val="16"/>
                <w:highlight w:val="yellow"/>
              </w:rPr>
              <w:t xml:space="preserve">Aspects of </w:t>
            </w:r>
            <w:r w:rsidR="00987B2F" w:rsidRPr="00766273">
              <w:rPr>
                <w:rFonts w:asciiTheme="minorHAnsi" w:hAnsiTheme="minorHAnsi" w:cstheme="minorHAnsi"/>
                <w:sz w:val="16"/>
                <w:szCs w:val="16"/>
                <w:highlight w:val="yellow"/>
              </w:rPr>
              <w:t>fire management will also be</w:t>
            </w:r>
            <w:r w:rsidR="00E17901" w:rsidRPr="00766273">
              <w:rPr>
                <w:rFonts w:asciiTheme="minorHAnsi" w:hAnsiTheme="minorHAnsi" w:cstheme="minorHAnsi"/>
                <w:sz w:val="16"/>
                <w:szCs w:val="16"/>
                <w:highlight w:val="yellow"/>
              </w:rPr>
              <w:t xml:space="preserve"> covered in community discussions and at farm level (FFS and FFF)</w:t>
            </w:r>
            <w:r w:rsidR="00862CE8" w:rsidRPr="00766273">
              <w:rPr>
                <w:rFonts w:asciiTheme="minorHAnsi" w:hAnsiTheme="minorHAnsi" w:cstheme="minorHAnsi"/>
                <w:sz w:val="16"/>
                <w:szCs w:val="16"/>
                <w:highlight w:val="yellow"/>
              </w:rPr>
              <w:t>.</w:t>
            </w:r>
          </w:p>
        </w:tc>
        <w:tc>
          <w:tcPr>
            <w:tcW w:w="1701" w:type="dxa"/>
            <w:tcMar>
              <w:left w:w="28" w:type="dxa"/>
              <w:right w:w="28" w:type="dxa"/>
            </w:tcMar>
          </w:tcPr>
          <w:p w14:paraId="36A841A3" w14:textId="77777777" w:rsidR="009563B4" w:rsidRPr="008176BC" w:rsidRDefault="009563B4" w:rsidP="00FC130A">
            <w:pPr>
              <w:rPr>
                <w:rFonts w:asciiTheme="minorHAnsi" w:hAnsiTheme="minorHAnsi" w:cstheme="minorHAnsi"/>
                <w:sz w:val="16"/>
                <w:szCs w:val="16"/>
              </w:rPr>
            </w:pPr>
            <w:r w:rsidRPr="008176BC">
              <w:rPr>
                <w:rFonts w:asciiTheme="minorHAnsi" w:hAnsiTheme="minorHAnsi" w:cstheme="minorHAnsi"/>
                <w:sz w:val="16"/>
                <w:szCs w:val="16"/>
              </w:rPr>
              <w:t>Forest users and forest keepers in Cuchi, Municipal and communal government, Seed Bank designated manager, IDF (if interested)</w:t>
            </w:r>
          </w:p>
        </w:tc>
        <w:tc>
          <w:tcPr>
            <w:tcW w:w="1701" w:type="dxa"/>
            <w:tcMar>
              <w:left w:w="28" w:type="dxa"/>
              <w:right w:w="28" w:type="dxa"/>
            </w:tcMar>
          </w:tcPr>
          <w:p w14:paraId="6FEAD7C3" w14:textId="77777777" w:rsidR="009563B4" w:rsidRPr="008176BC" w:rsidRDefault="009563B4" w:rsidP="00FC130A">
            <w:pPr>
              <w:rPr>
                <w:rFonts w:asciiTheme="minorHAnsi" w:hAnsiTheme="minorHAnsi" w:cstheme="minorHAnsi"/>
                <w:sz w:val="16"/>
                <w:szCs w:val="16"/>
              </w:rPr>
            </w:pPr>
            <w:r w:rsidRPr="008176BC">
              <w:rPr>
                <w:rFonts w:asciiTheme="minorHAnsi" w:hAnsiTheme="minorHAnsi" w:cstheme="minorHAnsi"/>
                <w:sz w:val="16"/>
                <w:szCs w:val="16"/>
              </w:rPr>
              <w:t>Forest tree seed supply and seedling production, forest reproduction through nursery and small experimental field (arboretum)</w:t>
            </w:r>
          </w:p>
        </w:tc>
        <w:tc>
          <w:tcPr>
            <w:tcW w:w="1984" w:type="dxa"/>
            <w:tcMar>
              <w:left w:w="28" w:type="dxa"/>
              <w:right w:w="28" w:type="dxa"/>
            </w:tcMar>
          </w:tcPr>
          <w:p w14:paraId="1F6453F8" w14:textId="77777777" w:rsidR="009563B4" w:rsidRPr="008176BC" w:rsidRDefault="009563B4" w:rsidP="00FC130A">
            <w:pPr>
              <w:rPr>
                <w:rFonts w:asciiTheme="minorHAnsi" w:hAnsiTheme="minorHAnsi" w:cstheme="minorHAnsi"/>
                <w:sz w:val="16"/>
                <w:szCs w:val="16"/>
              </w:rPr>
            </w:pPr>
            <w:r w:rsidRPr="008176BC">
              <w:rPr>
                <w:rFonts w:asciiTheme="minorHAnsi" w:hAnsiTheme="minorHAnsi" w:cstheme="minorHAnsi"/>
                <w:sz w:val="16"/>
                <w:szCs w:val="16"/>
              </w:rPr>
              <w:t>Generally informed about the project, but not yet directly engaged for this activity</w:t>
            </w:r>
          </w:p>
        </w:tc>
        <w:tc>
          <w:tcPr>
            <w:tcW w:w="851" w:type="dxa"/>
            <w:tcMar>
              <w:left w:w="28" w:type="dxa"/>
              <w:right w:w="28" w:type="dxa"/>
            </w:tcMar>
          </w:tcPr>
          <w:p w14:paraId="66F61BF2" w14:textId="15A09596" w:rsidR="009563B4" w:rsidRPr="008176BC" w:rsidRDefault="00CD3EF6" w:rsidP="00FC130A">
            <w:pPr>
              <w:rPr>
                <w:rFonts w:asciiTheme="minorHAnsi" w:hAnsiTheme="minorHAnsi" w:cstheme="minorHAnsi"/>
                <w:sz w:val="16"/>
                <w:szCs w:val="16"/>
              </w:rPr>
            </w:pPr>
            <w:r w:rsidRPr="00766273">
              <w:rPr>
                <w:rFonts w:asciiTheme="minorHAnsi" w:hAnsiTheme="minorHAnsi" w:cstheme="minorHAnsi"/>
                <w:sz w:val="16"/>
                <w:szCs w:val="16"/>
                <w:highlight w:val="yellow"/>
              </w:rPr>
              <w:t>REDUCE</w:t>
            </w:r>
          </w:p>
        </w:tc>
      </w:tr>
      <w:tr w:rsidR="008900EE" w:rsidRPr="00A7717E" w14:paraId="1C3BB3CE" w14:textId="77777777" w:rsidTr="00FC130A">
        <w:tc>
          <w:tcPr>
            <w:tcW w:w="704" w:type="dxa"/>
            <w:tcMar>
              <w:left w:w="28" w:type="dxa"/>
              <w:right w:w="28" w:type="dxa"/>
            </w:tcMar>
          </w:tcPr>
          <w:p w14:paraId="771CFB64" w14:textId="77777777" w:rsidR="009563B4" w:rsidRPr="00A7717E" w:rsidRDefault="009563B4" w:rsidP="00FC130A">
            <w:pPr>
              <w:jc w:val="center"/>
              <w:rPr>
                <w:rFonts w:asciiTheme="minorHAnsi" w:hAnsiTheme="minorHAnsi" w:cstheme="minorHAnsi"/>
                <w:sz w:val="16"/>
                <w:szCs w:val="16"/>
              </w:rPr>
            </w:pPr>
            <w:r w:rsidRPr="00A7717E">
              <w:rPr>
                <w:rFonts w:asciiTheme="minorHAnsi" w:hAnsiTheme="minorHAnsi" w:cstheme="minorHAnsi"/>
                <w:sz w:val="16"/>
                <w:szCs w:val="16"/>
              </w:rPr>
              <w:t>3</w:t>
            </w:r>
          </w:p>
        </w:tc>
        <w:tc>
          <w:tcPr>
            <w:tcW w:w="1418" w:type="dxa"/>
            <w:tcMar>
              <w:left w:w="28" w:type="dxa"/>
              <w:right w:w="28" w:type="dxa"/>
            </w:tcMar>
          </w:tcPr>
          <w:p w14:paraId="2DE521B7" w14:textId="5D40E10D" w:rsidR="009563B4" w:rsidRPr="008176BC" w:rsidRDefault="009563B4" w:rsidP="00FC130A">
            <w:pPr>
              <w:rPr>
                <w:rFonts w:asciiTheme="minorHAnsi" w:hAnsiTheme="minorHAnsi" w:cstheme="minorHAnsi"/>
                <w:sz w:val="16"/>
                <w:szCs w:val="16"/>
              </w:rPr>
            </w:pPr>
            <w:r w:rsidRPr="008176BC">
              <w:rPr>
                <w:rFonts w:asciiTheme="minorHAnsi" w:hAnsiTheme="minorHAnsi" w:cstheme="minorHAnsi"/>
                <w:sz w:val="16"/>
                <w:szCs w:val="16"/>
              </w:rPr>
              <w:t>A3 Cuchi 1000</w:t>
            </w:r>
            <w:r w:rsidR="00007ACC" w:rsidRPr="008176BC">
              <w:rPr>
                <w:rFonts w:asciiTheme="minorHAnsi" w:hAnsiTheme="minorHAnsi" w:cstheme="minorHAnsi"/>
                <w:sz w:val="16"/>
                <w:szCs w:val="16"/>
              </w:rPr>
              <w:t>-hectare</w:t>
            </w:r>
            <w:r w:rsidRPr="008176BC">
              <w:rPr>
                <w:rFonts w:asciiTheme="minorHAnsi" w:hAnsiTheme="minorHAnsi" w:cstheme="minorHAnsi"/>
                <w:sz w:val="16"/>
                <w:szCs w:val="16"/>
              </w:rPr>
              <w:t xml:space="preserve"> Forest Restoration Pilot No.1</w:t>
            </w:r>
          </w:p>
        </w:tc>
        <w:tc>
          <w:tcPr>
            <w:tcW w:w="850" w:type="dxa"/>
            <w:tcMar>
              <w:left w:w="28" w:type="dxa"/>
              <w:right w:w="28" w:type="dxa"/>
            </w:tcMar>
          </w:tcPr>
          <w:p w14:paraId="4A4B4305" w14:textId="77777777" w:rsidR="009563B4" w:rsidRPr="008176BC" w:rsidRDefault="009563B4" w:rsidP="00FC130A">
            <w:pPr>
              <w:rPr>
                <w:rFonts w:asciiTheme="minorHAnsi" w:hAnsiTheme="minorHAnsi" w:cstheme="minorHAnsi"/>
                <w:sz w:val="16"/>
                <w:szCs w:val="16"/>
              </w:rPr>
            </w:pPr>
            <w:r w:rsidRPr="008176BC">
              <w:rPr>
                <w:rFonts w:asciiTheme="minorHAnsi" w:hAnsiTheme="minorHAnsi" w:cstheme="minorHAnsi"/>
                <w:sz w:val="16"/>
                <w:szCs w:val="16"/>
              </w:rPr>
              <w:t>F forest/ woodlands</w:t>
            </w:r>
          </w:p>
        </w:tc>
        <w:tc>
          <w:tcPr>
            <w:tcW w:w="1134" w:type="dxa"/>
            <w:tcMar>
              <w:left w:w="28" w:type="dxa"/>
              <w:right w:w="28" w:type="dxa"/>
            </w:tcMar>
          </w:tcPr>
          <w:p w14:paraId="4456F2FA" w14:textId="77777777" w:rsidR="009563B4" w:rsidRPr="008176BC" w:rsidRDefault="009563B4" w:rsidP="00FC130A">
            <w:pPr>
              <w:rPr>
                <w:rFonts w:asciiTheme="minorHAnsi" w:hAnsiTheme="minorHAnsi" w:cstheme="minorHAnsi"/>
                <w:sz w:val="16"/>
                <w:szCs w:val="16"/>
              </w:rPr>
            </w:pPr>
            <w:r w:rsidRPr="008176BC">
              <w:rPr>
                <w:rFonts w:asciiTheme="minorHAnsi" w:hAnsiTheme="minorHAnsi" w:cstheme="minorHAnsi"/>
                <w:sz w:val="16"/>
                <w:szCs w:val="16"/>
              </w:rPr>
              <w:t>LMU-AO-3 | Sub-Basin 1, LUS = Forest A3</w:t>
            </w:r>
          </w:p>
        </w:tc>
        <w:tc>
          <w:tcPr>
            <w:tcW w:w="709" w:type="dxa"/>
            <w:tcMar>
              <w:left w:w="28" w:type="dxa"/>
              <w:right w:w="113" w:type="dxa"/>
            </w:tcMar>
          </w:tcPr>
          <w:p w14:paraId="56B44AB1" w14:textId="77777777" w:rsidR="009563B4" w:rsidRPr="008176BC" w:rsidRDefault="009563B4" w:rsidP="00FC130A">
            <w:pPr>
              <w:jc w:val="right"/>
              <w:rPr>
                <w:rFonts w:asciiTheme="minorHAnsi" w:hAnsiTheme="minorHAnsi" w:cstheme="minorHAnsi"/>
                <w:sz w:val="16"/>
                <w:szCs w:val="16"/>
              </w:rPr>
            </w:pPr>
            <w:r w:rsidRPr="008176BC">
              <w:rPr>
                <w:rFonts w:asciiTheme="minorHAnsi" w:hAnsiTheme="minorHAnsi" w:cstheme="minorHAnsi"/>
                <w:sz w:val="16"/>
                <w:szCs w:val="16"/>
              </w:rPr>
              <w:t>1,000</w:t>
            </w:r>
          </w:p>
        </w:tc>
        <w:tc>
          <w:tcPr>
            <w:tcW w:w="4536" w:type="dxa"/>
            <w:tcMar>
              <w:left w:w="28" w:type="dxa"/>
              <w:right w:w="28" w:type="dxa"/>
            </w:tcMar>
          </w:tcPr>
          <w:p w14:paraId="5DA25B64" w14:textId="5B4BDCBB" w:rsidR="009563B4" w:rsidRPr="008176BC" w:rsidRDefault="009563B4" w:rsidP="00FC130A">
            <w:pPr>
              <w:rPr>
                <w:rFonts w:asciiTheme="minorHAnsi" w:hAnsiTheme="minorHAnsi" w:cstheme="minorHAnsi"/>
                <w:sz w:val="16"/>
                <w:szCs w:val="16"/>
              </w:rPr>
            </w:pPr>
            <w:r w:rsidRPr="008176BC">
              <w:rPr>
                <w:rFonts w:asciiTheme="minorHAnsi" w:hAnsiTheme="minorHAnsi" w:cstheme="minorHAnsi"/>
                <w:sz w:val="16"/>
                <w:szCs w:val="16"/>
              </w:rPr>
              <w:t>Community Forest where natural assisted regeneration will yield ecosystem recovery</w:t>
            </w:r>
            <w:r w:rsidR="00D4335D">
              <w:rPr>
                <w:rFonts w:asciiTheme="minorHAnsi" w:hAnsiTheme="minorHAnsi" w:cstheme="minorHAnsi"/>
                <w:sz w:val="16"/>
                <w:szCs w:val="16"/>
              </w:rPr>
              <w:t>. 1000 ha under SFM and restoration of 114 ha.</w:t>
            </w:r>
          </w:p>
        </w:tc>
        <w:tc>
          <w:tcPr>
            <w:tcW w:w="1701" w:type="dxa"/>
            <w:tcMar>
              <w:left w:w="28" w:type="dxa"/>
              <w:right w:w="28" w:type="dxa"/>
            </w:tcMar>
          </w:tcPr>
          <w:p w14:paraId="3898E52B" w14:textId="77777777" w:rsidR="009563B4" w:rsidRPr="008176BC" w:rsidRDefault="009563B4" w:rsidP="00FC130A">
            <w:pPr>
              <w:rPr>
                <w:rFonts w:asciiTheme="minorHAnsi" w:hAnsiTheme="minorHAnsi" w:cstheme="minorHAnsi"/>
                <w:sz w:val="16"/>
                <w:szCs w:val="16"/>
              </w:rPr>
            </w:pPr>
            <w:r w:rsidRPr="008176BC">
              <w:rPr>
                <w:rFonts w:asciiTheme="minorHAnsi" w:hAnsiTheme="minorHAnsi" w:cstheme="minorHAnsi"/>
                <w:sz w:val="16"/>
                <w:szCs w:val="16"/>
              </w:rPr>
              <w:t>Forest restoration local working group, once established, riparian communities</w:t>
            </w:r>
          </w:p>
        </w:tc>
        <w:tc>
          <w:tcPr>
            <w:tcW w:w="1701" w:type="dxa"/>
            <w:tcMar>
              <w:left w:w="28" w:type="dxa"/>
              <w:right w:w="28" w:type="dxa"/>
            </w:tcMar>
          </w:tcPr>
          <w:p w14:paraId="5C9C744B" w14:textId="77777777" w:rsidR="009563B4" w:rsidRPr="008176BC" w:rsidRDefault="009563B4" w:rsidP="00FC130A">
            <w:pPr>
              <w:rPr>
                <w:rFonts w:asciiTheme="minorHAnsi" w:hAnsiTheme="minorHAnsi" w:cstheme="minorHAnsi"/>
                <w:sz w:val="16"/>
                <w:szCs w:val="16"/>
              </w:rPr>
            </w:pPr>
            <w:r w:rsidRPr="008176BC">
              <w:rPr>
                <w:rFonts w:asciiTheme="minorHAnsi" w:hAnsiTheme="minorHAnsi" w:cstheme="minorHAnsi"/>
                <w:sz w:val="16"/>
                <w:szCs w:val="16"/>
              </w:rPr>
              <w:t xml:space="preserve">Forest ecosystem rehabilitation through assisted natural regeneration and habitat management </w:t>
            </w:r>
          </w:p>
        </w:tc>
        <w:tc>
          <w:tcPr>
            <w:tcW w:w="1984" w:type="dxa"/>
            <w:tcMar>
              <w:left w:w="28" w:type="dxa"/>
              <w:right w:w="28" w:type="dxa"/>
            </w:tcMar>
          </w:tcPr>
          <w:p w14:paraId="79263AA2" w14:textId="77777777" w:rsidR="009563B4" w:rsidRPr="008176BC" w:rsidRDefault="009563B4" w:rsidP="00FC130A">
            <w:pPr>
              <w:rPr>
                <w:rFonts w:asciiTheme="minorHAnsi" w:hAnsiTheme="minorHAnsi" w:cstheme="minorHAnsi"/>
                <w:sz w:val="16"/>
                <w:szCs w:val="16"/>
              </w:rPr>
            </w:pPr>
            <w:r w:rsidRPr="008176BC">
              <w:rPr>
                <w:rFonts w:asciiTheme="minorHAnsi" w:hAnsiTheme="minorHAnsi" w:cstheme="minorHAnsi"/>
                <w:sz w:val="16"/>
                <w:szCs w:val="16"/>
              </w:rPr>
              <w:t>Generally informed about the project, but not yet directly engaged for this activity</w:t>
            </w:r>
          </w:p>
        </w:tc>
        <w:tc>
          <w:tcPr>
            <w:tcW w:w="851" w:type="dxa"/>
            <w:tcMar>
              <w:left w:w="28" w:type="dxa"/>
              <w:right w:w="28" w:type="dxa"/>
            </w:tcMar>
          </w:tcPr>
          <w:p w14:paraId="4AA44D71" w14:textId="3ED3857B" w:rsidR="009563B4" w:rsidRPr="008176BC" w:rsidRDefault="009359FD" w:rsidP="00FC130A">
            <w:pPr>
              <w:rPr>
                <w:rFonts w:asciiTheme="minorHAnsi" w:hAnsiTheme="minorHAnsi" w:cstheme="minorHAnsi"/>
                <w:sz w:val="16"/>
                <w:szCs w:val="16"/>
              </w:rPr>
            </w:pPr>
            <w:r>
              <w:rPr>
                <w:rFonts w:asciiTheme="minorHAnsi" w:hAnsiTheme="minorHAnsi" w:cstheme="minorHAnsi"/>
                <w:sz w:val="16"/>
                <w:szCs w:val="16"/>
              </w:rPr>
              <w:t>REDUCE/</w:t>
            </w:r>
            <w:r w:rsidR="005552EF" w:rsidRPr="008176BC">
              <w:rPr>
                <w:rFonts w:asciiTheme="minorHAnsi" w:hAnsiTheme="minorHAnsi" w:cstheme="minorHAnsi"/>
                <w:sz w:val="16"/>
                <w:szCs w:val="16"/>
              </w:rPr>
              <w:t>REVERSE</w:t>
            </w:r>
          </w:p>
        </w:tc>
      </w:tr>
      <w:tr w:rsidR="008900EE" w:rsidRPr="00A7717E" w14:paraId="2B7B378D" w14:textId="77777777" w:rsidTr="00FC130A">
        <w:tc>
          <w:tcPr>
            <w:tcW w:w="704" w:type="dxa"/>
            <w:tcMar>
              <w:left w:w="28" w:type="dxa"/>
              <w:right w:w="28" w:type="dxa"/>
            </w:tcMar>
          </w:tcPr>
          <w:p w14:paraId="396DB1D0" w14:textId="77777777" w:rsidR="009563B4" w:rsidRPr="00A7717E" w:rsidRDefault="009563B4" w:rsidP="00FC130A">
            <w:pPr>
              <w:jc w:val="center"/>
              <w:rPr>
                <w:rFonts w:asciiTheme="minorHAnsi" w:hAnsiTheme="minorHAnsi" w:cstheme="minorHAnsi"/>
                <w:sz w:val="16"/>
                <w:szCs w:val="16"/>
              </w:rPr>
            </w:pPr>
            <w:r w:rsidRPr="00A7717E">
              <w:rPr>
                <w:rFonts w:asciiTheme="minorHAnsi" w:hAnsiTheme="minorHAnsi" w:cstheme="minorHAnsi"/>
                <w:sz w:val="16"/>
                <w:szCs w:val="16"/>
              </w:rPr>
              <w:t>4</w:t>
            </w:r>
          </w:p>
        </w:tc>
        <w:tc>
          <w:tcPr>
            <w:tcW w:w="1418" w:type="dxa"/>
            <w:tcMar>
              <w:left w:w="28" w:type="dxa"/>
              <w:right w:w="28" w:type="dxa"/>
            </w:tcMar>
          </w:tcPr>
          <w:p w14:paraId="404B5972" w14:textId="66AE5997" w:rsidR="009563B4" w:rsidRPr="008176BC" w:rsidRDefault="009563B4" w:rsidP="00FC130A">
            <w:pPr>
              <w:rPr>
                <w:rFonts w:asciiTheme="minorHAnsi" w:hAnsiTheme="minorHAnsi" w:cstheme="minorHAnsi"/>
                <w:sz w:val="16"/>
                <w:szCs w:val="16"/>
              </w:rPr>
            </w:pPr>
            <w:r w:rsidRPr="008176BC">
              <w:rPr>
                <w:rFonts w:asciiTheme="minorHAnsi" w:hAnsiTheme="minorHAnsi" w:cstheme="minorHAnsi"/>
                <w:sz w:val="16"/>
                <w:szCs w:val="16"/>
              </w:rPr>
              <w:t xml:space="preserve">B1 Cuchi Baseline 1 Agricultural Improvement Polygon South </w:t>
            </w:r>
            <w:r w:rsidRPr="00CA44A1">
              <w:rPr>
                <w:rFonts w:asciiTheme="minorHAnsi" w:hAnsiTheme="minorHAnsi" w:cstheme="minorHAnsi"/>
                <w:sz w:val="16"/>
                <w:szCs w:val="16"/>
                <w:highlight w:val="yellow"/>
              </w:rPr>
              <w:t>21,50</w:t>
            </w:r>
            <w:r w:rsidR="17AC8A05" w:rsidRPr="00CA44A1">
              <w:rPr>
                <w:rFonts w:asciiTheme="minorHAnsi" w:hAnsiTheme="minorHAnsi" w:cstheme="minorBidi"/>
                <w:sz w:val="16"/>
                <w:szCs w:val="16"/>
                <w:highlight w:val="yellow"/>
              </w:rPr>
              <w:t>8</w:t>
            </w:r>
            <w:r w:rsidRPr="00CA44A1">
              <w:rPr>
                <w:rFonts w:asciiTheme="minorHAnsi" w:hAnsiTheme="minorHAnsi" w:cstheme="minorHAnsi"/>
                <w:sz w:val="16"/>
                <w:szCs w:val="16"/>
                <w:highlight w:val="yellow"/>
              </w:rPr>
              <w:t xml:space="preserve"> ha</w:t>
            </w:r>
          </w:p>
        </w:tc>
        <w:tc>
          <w:tcPr>
            <w:tcW w:w="850" w:type="dxa"/>
            <w:tcMar>
              <w:left w:w="28" w:type="dxa"/>
              <w:right w:w="28" w:type="dxa"/>
            </w:tcMar>
          </w:tcPr>
          <w:p w14:paraId="25B33EEF" w14:textId="77777777" w:rsidR="009563B4" w:rsidRPr="008176BC" w:rsidRDefault="009563B4" w:rsidP="00FC130A">
            <w:pPr>
              <w:rPr>
                <w:rFonts w:asciiTheme="minorHAnsi" w:hAnsiTheme="minorHAnsi" w:cstheme="minorHAnsi"/>
                <w:sz w:val="16"/>
                <w:szCs w:val="16"/>
              </w:rPr>
            </w:pPr>
            <w:r w:rsidRPr="008176BC">
              <w:rPr>
                <w:rFonts w:asciiTheme="minorHAnsi" w:hAnsiTheme="minorHAnsi" w:cstheme="minorHAnsi"/>
                <w:sz w:val="16"/>
                <w:szCs w:val="16"/>
              </w:rPr>
              <w:t>C cropland</w:t>
            </w:r>
          </w:p>
        </w:tc>
        <w:tc>
          <w:tcPr>
            <w:tcW w:w="1134" w:type="dxa"/>
            <w:tcMar>
              <w:left w:w="28" w:type="dxa"/>
              <w:right w:w="28" w:type="dxa"/>
            </w:tcMar>
          </w:tcPr>
          <w:p w14:paraId="68822C77" w14:textId="16A7C760" w:rsidR="009563B4" w:rsidRPr="008176BC" w:rsidRDefault="009563B4" w:rsidP="00FC130A">
            <w:pPr>
              <w:rPr>
                <w:rFonts w:asciiTheme="minorHAnsi" w:hAnsiTheme="minorHAnsi" w:cstheme="minorHAnsi"/>
                <w:sz w:val="16"/>
                <w:szCs w:val="16"/>
              </w:rPr>
            </w:pPr>
            <w:r w:rsidRPr="008176BC">
              <w:rPr>
                <w:rFonts w:asciiTheme="minorHAnsi" w:hAnsiTheme="minorHAnsi" w:cstheme="minorHAnsi"/>
                <w:sz w:val="16"/>
                <w:szCs w:val="16"/>
              </w:rPr>
              <w:t>LMU-AO-4 | Sub-Basin 1, LUS = Cropland B1</w:t>
            </w:r>
          </w:p>
        </w:tc>
        <w:tc>
          <w:tcPr>
            <w:tcW w:w="709" w:type="dxa"/>
            <w:tcMar>
              <w:left w:w="28" w:type="dxa"/>
              <w:right w:w="113" w:type="dxa"/>
            </w:tcMar>
          </w:tcPr>
          <w:p w14:paraId="64F0C2AC" w14:textId="347A4137" w:rsidR="009563B4" w:rsidRPr="008176BC" w:rsidRDefault="009563B4" w:rsidP="00FC130A">
            <w:pPr>
              <w:jc w:val="right"/>
              <w:rPr>
                <w:rFonts w:asciiTheme="minorHAnsi" w:hAnsiTheme="minorHAnsi" w:cstheme="minorHAnsi"/>
                <w:sz w:val="16"/>
                <w:szCs w:val="16"/>
              </w:rPr>
            </w:pPr>
            <w:r w:rsidRPr="008176BC">
              <w:rPr>
                <w:rFonts w:asciiTheme="minorHAnsi" w:hAnsiTheme="minorHAnsi" w:cstheme="minorHAnsi"/>
                <w:sz w:val="16"/>
                <w:szCs w:val="16"/>
              </w:rPr>
              <w:t>21,50</w:t>
            </w:r>
            <w:r w:rsidR="00C23ADC">
              <w:rPr>
                <w:rFonts w:asciiTheme="minorHAnsi" w:hAnsiTheme="minorHAnsi" w:cstheme="minorHAnsi"/>
                <w:sz w:val="16"/>
                <w:szCs w:val="16"/>
              </w:rPr>
              <w:t>8</w:t>
            </w:r>
          </w:p>
        </w:tc>
        <w:tc>
          <w:tcPr>
            <w:tcW w:w="4536" w:type="dxa"/>
            <w:tcMar>
              <w:left w:w="28" w:type="dxa"/>
              <w:right w:w="28" w:type="dxa"/>
            </w:tcMar>
          </w:tcPr>
          <w:p w14:paraId="03691A7A" w14:textId="0F9C7612" w:rsidR="009563B4" w:rsidRPr="008176BC" w:rsidRDefault="009563B4" w:rsidP="00FC130A">
            <w:pPr>
              <w:rPr>
                <w:rFonts w:asciiTheme="minorHAnsi" w:hAnsiTheme="minorHAnsi" w:cstheme="minorHAnsi"/>
                <w:sz w:val="16"/>
                <w:szCs w:val="16"/>
              </w:rPr>
            </w:pPr>
            <w:r w:rsidRPr="008176BC">
              <w:rPr>
                <w:rFonts w:asciiTheme="minorHAnsi" w:hAnsiTheme="minorHAnsi" w:cstheme="minorHAnsi"/>
                <w:sz w:val="16"/>
                <w:szCs w:val="16"/>
              </w:rPr>
              <w:t xml:space="preserve">Cropland areas, degraded, where FFS will be rolled out </w:t>
            </w:r>
            <w:r w:rsidR="00884EC0" w:rsidRPr="00CA44A1">
              <w:rPr>
                <w:rFonts w:asciiTheme="minorHAnsi" w:hAnsiTheme="minorHAnsi" w:cstheme="minorHAnsi"/>
                <w:sz w:val="16"/>
                <w:szCs w:val="16"/>
                <w:highlight w:val="yellow"/>
              </w:rPr>
              <w:t>on 1,250 ha</w:t>
            </w:r>
            <w:r w:rsidR="00AA11A5">
              <w:rPr>
                <w:rFonts w:asciiTheme="minorHAnsi" w:hAnsiTheme="minorHAnsi" w:cstheme="minorHAnsi"/>
                <w:sz w:val="16"/>
                <w:szCs w:val="16"/>
              </w:rPr>
              <w:t xml:space="preserve"> </w:t>
            </w:r>
            <w:r w:rsidR="00AA11A5" w:rsidRPr="00CA44A1">
              <w:rPr>
                <w:rFonts w:asciiTheme="minorHAnsi" w:hAnsiTheme="minorHAnsi" w:cstheme="minorHAnsi"/>
                <w:sz w:val="16"/>
                <w:szCs w:val="16"/>
                <w:highlight w:val="yellow"/>
              </w:rPr>
              <w:t>of farmlands</w:t>
            </w:r>
            <w:r w:rsidR="00AA11A5">
              <w:rPr>
                <w:rFonts w:asciiTheme="minorHAnsi" w:hAnsiTheme="minorHAnsi" w:cstheme="minorHAnsi"/>
                <w:sz w:val="16"/>
                <w:szCs w:val="16"/>
              </w:rPr>
              <w:t xml:space="preserve"> </w:t>
            </w:r>
            <w:r w:rsidRPr="008176BC">
              <w:rPr>
                <w:rFonts w:asciiTheme="minorHAnsi" w:hAnsiTheme="minorHAnsi" w:cstheme="minorHAnsi"/>
                <w:sz w:val="16"/>
                <w:szCs w:val="16"/>
              </w:rPr>
              <w:t>with the aim of improving techniques and helping farmers adopt SLM</w:t>
            </w:r>
            <w:r w:rsidR="006E1992" w:rsidRPr="00CA44A1">
              <w:rPr>
                <w:rFonts w:asciiTheme="minorHAnsi" w:hAnsiTheme="minorHAnsi" w:cstheme="minorHAnsi"/>
                <w:sz w:val="16"/>
                <w:szCs w:val="16"/>
                <w:highlight w:val="yellow"/>
              </w:rPr>
              <w:t xml:space="preserve">. </w:t>
            </w:r>
            <w:r w:rsidR="00A30C98" w:rsidRPr="00CA44A1">
              <w:rPr>
                <w:rFonts w:asciiTheme="minorHAnsi" w:hAnsiTheme="minorHAnsi" w:cstheme="minorHAnsi"/>
                <w:sz w:val="16"/>
                <w:szCs w:val="16"/>
                <w:highlight w:val="yellow"/>
              </w:rPr>
              <w:t xml:space="preserve">Intervention will </w:t>
            </w:r>
            <w:r w:rsidR="00BE13F1" w:rsidRPr="00CA44A1">
              <w:rPr>
                <w:rFonts w:asciiTheme="minorHAnsi" w:hAnsiTheme="minorHAnsi" w:cstheme="minorHAnsi"/>
                <w:sz w:val="16"/>
                <w:szCs w:val="16"/>
                <w:highlight w:val="yellow"/>
              </w:rPr>
              <w:t xml:space="preserve">also </w:t>
            </w:r>
            <w:r w:rsidR="00A30C98" w:rsidRPr="00CA44A1">
              <w:rPr>
                <w:rFonts w:asciiTheme="minorHAnsi" w:hAnsiTheme="minorHAnsi" w:cstheme="minorHAnsi"/>
                <w:sz w:val="16"/>
                <w:szCs w:val="16"/>
                <w:highlight w:val="yellow"/>
              </w:rPr>
              <w:t>focus at increasing trees on farms</w:t>
            </w:r>
            <w:r w:rsidR="003F5381" w:rsidRPr="00CA44A1">
              <w:rPr>
                <w:rFonts w:asciiTheme="minorHAnsi" w:hAnsiTheme="minorHAnsi" w:cstheme="minorHAnsi"/>
                <w:sz w:val="16"/>
                <w:szCs w:val="16"/>
                <w:highlight w:val="yellow"/>
              </w:rPr>
              <w:t xml:space="preserve">, taking advantage of the established </w:t>
            </w:r>
            <w:r w:rsidR="00D20D4D" w:rsidRPr="00CA44A1">
              <w:rPr>
                <w:rFonts w:asciiTheme="minorHAnsi" w:hAnsiTheme="minorHAnsi" w:cstheme="minorHAnsi"/>
                <w:sz w:val="16"/>
                <w:szCs w:val="16"/>
                <w:highlight w:val="yellow"/>
              </w:rPr>
              <w:t>nurser</w:t>
            </w:r>
            <w:r w:rsidR="00696D11" w:rsidRPr="00CA44A1">
              <w:rPr>
                <w:rFonts w:asciiTheme="minorHAnsi" w:hAnsiTheme="minorHAnsi" w:cstheme="minorHAnsi"/>
                <w:sz w:val="16"/>
                <w:szCs w:val="16"/>
                <w:highlight w:val="yellow"/>
              </w:rPr>
              <w:t>y</w:t>
            </w:r>
            <w:r w:rsidR="00E4190E" w:rsidRPr="00CA44A1">
              <w:rPr>
                <w:rFonts w:asciiTheme="minorHAnsi" w:hAnsiTheme="minorHAnsi" w:cstheme="minorHAnsi"/>
                <w:sz w:val="16"/>
                <w:szCs w:val="16"/>
                <w:highlight w:val="yellow"/>
              </w:rPr>
              <w:t>.</w:t>
            </w:r>
          </w:p>
        </w:tc>
        <w:tc>
          <w:tcPr>
            <w:tcW w:w="1701" w:type="dxa"/>
            <w:tcMar>
              <w:left w:w="28" w:type="dxa"/>
              <w:right w:w="28" w:type="dxa"/>
            </w:tcMar>
          </w:tcPr>
          <w:p w14:paraId="72297390" w14:textId="77777777" w:rsidR="009563B4" w:rsidRPr="008176BC" w:rsidRDefault="009563B4" w:rsidP="00FC130A">
            <w:pPr>
              <w:rPr>
                <w:rFonts w:asciiTheme="minorHAnsi" w:hAnsiTheme="minorHAnsi" w:cstheme="minorHAnsi"/>
                <w:sz w:val="16"/>
                <w:szCs w:val="16"/>
              </w:rPr>
            </w:pPr>
            <w:r w:rsidRPr="008176BC">
              <w:rPr>
                <w:rFonts w:asciiTheme="minorHAnsi" w:hAnsiTheme="minorHAnsi" w:cstheme="minorHAnsi"/>
                <w:sz w:val="16"/>
                <w:szCs w:val="16"/>
              </w:rPr>
              <w:t>Local farmers in the area engaged through FFSs</w:t>
            </w:r>
          </w:p>
        </w:tc>
        <w:tc>
          <w:tcPr>
            <w:tcW w:w="1701" w:type="dxa"/>
            <w:tcMar>
              <w:left w:w="28" w:type="dxa"/>
              <w:right w:w="28" w:type="dxa"/>
            </w:tcMar>
          </w:tcPr>
          <w:p w14:paraId="3B4352D3" w14:textId="77777777" w:rsidR="009563B4" w:rsidRPr="008176BC" w:rsidRDefault="009563B4" w:rsidP="00FC130A">
            <w:pPr>
              <w:rPr>
                <w:rFonts w:asciiTheme="minorHAnsi" w:hAnsiTheme="minorHAnsi" w:cstheme="minorHAnsi"/>
                <w:sz w:val="16"/>
                <w:szCs w:val="16"/>
              </w:rPr>
            </w:pPr>
            <w:r w:rsidRPr="008176BC">
              <w:rPr>
                <w:rFonts w:asciiTheme="minorHAnsi" w:hAnsiTheme="minorHAnsi" w:cstheme="minorHAnsi"/>
                <w:sz w:val="16"/>
                <w:szCs w:val="16"/>
              </w:rPr>
              <w:t>Gradual agricultural intensification at scale, improved cropland management, sustainable food production</w:t>
            </w:r>
          </w:p>
        </w:tc>
        <w:tc>
          <w:tcPr>
            <w:tcW w:w="1984" w:type="dxa"/>
            <w:tcMar>
              <w:left w:w="28" w:type="dxa"/>
              <w:right w:w="28" w:type="dxa"/>
            </w:tcMar>
          </w:tcPr>
          <w:p w14:paraId="20CD37B4" w14:textId="77777777" w:rsidR="009563B4" w:rsidRPr="008176BC" w:rsidRDefault="009563B4" w:rsidP="00FC130A">
            <w:pPr>
              <w:rPr>
                <w:rFonts w:asciiTheme="minorHAnsi" w:hAnsiTheme="minorHAnsi" w:cstheme="minorHAnsi"/>
                <w:sz w:val="16"/>
                <w:szCs w:val="16"/>
              </w:rPr>
            </w:pPr>
            <w:r w:rsidRPr="008176BC">
              <w:rPr>
                <w:rFonts w:asciiTheme="minorHAnsi" w:hAnsiTheme="minorHAnsi" w:cstheme="minorHAnsi"/>
                <w:sz w:val="16"/>
                <w:szCs w:val="16"/>
              </w:rPr>
              <w:t>Initially engaged</w:t>
            </w:r>
          </w:p>
        </w:tc>
        <w:tc>
          <w:tcPr>
            <w:tcW w:w="851" w:type="dxa"/>
            <w:tcMar>
              <w:left w:w="28" w:type="dxa"/>
              <w:right w:w="28" w:type="dxa"/>
            </w:tcMar>
          </w:tcPr>
          <w:p w14:paraId="7BDEC011" w14:textId="399515F5" w:rsidR="009563B4" w:rsidRPr="008176BC" w:rsidRDefault="009563B4" w:rsidP="00FC130A">
            <w:pPr>
              <w:rPr>
                <w:rFonts w:asciiTheme="minorHAnsi" w:hAnsiTheme="minorHAnsi" w:cstheme="minorHAnsi"/>
                <w:sz w:val="16"/>
                <w:szCs w:val="16"/>
              </w:rPr>
            </w:pPr>
            <w:r w:rsidRPr="008176BC">
              <w:rPr>
                <w:rFonts w:asciiTheme="minorHAnsi" w:hAnsiTheme="minorHAnsi" w:cstheme="minorHAnsi"/>
                <w:sz w:val="16"/>
                <w:szCs w:val="16"/>
              </w:rPr>
              <w:t>REDUCE</w:t>
            </w:r>
          </w:p>
        </w:tc>
      </w:tr>
      <w:tr w:rsidR="008900EE" w:rsidRPr="00A7717E" w14:paraId="4A3E6B1F" w14:textId="77777777" w:rsidTr="00FC130A">
        <w:tc>
          <w:tcPr>
            <w:tcW w:w="704" w:type="dxa"/>
            <w:tcMar>
              <w:left w:w="28" w:type="dxa"/>
              <w:right w:w="28" w:type="dxa"/>
            </w:tcMar>
          </w:tcPr>
          <w:p w14:paraId="310EDAF0" w14:textId="77777777" w:rsidR="009563B4" w:rsidRPr="008176BC" w:rsidRDefault="009563B4" w:rsidP="00FC130A">
            <w:pPr>
              <w:jc w:val="center"/>
              <w:rPr>
                <w:rFonts w:asciiTheme="minorHAnsi" w:hAnsiTheme="minorHAnsi" w:cstheme="minorHAnsi"/>
                <w:sz w:val="16"/>
                <w:szCs w:val="16"/>
              </w:rPr>
            </w:pPr>
            <w:r w:rsidRPr="008176BC">
              <w:rPr>
                <w:rFonts w:asciiTheme="minorHAnsi" w:hAnsiTheme="minorHAnsi" w:cstheme="minorHAnsi"/>
                <w:sz w:val="16"/>
                <w:szCs w:val="16"/>
              </w:rPr>
              <w:t>5</w:t>
            </w:r>
          </w:p>
        </w:tc>
        <w:tc>
          <w:tcPr>
            <w:tcW w:w="1418" w:type="dxa"/>
            <w:tcMar>
              <w:left w:w="28" w:type="dxa"/>
              <w:right w:w="28" w:type="dxa"/>
            </w:tcMar>
          </w:tcPr>
          <w:p w14:paraId="21F2044D" w14:textId="77777777" w:rsidR="009563B4" w:rsidRPr="008176BC" w:rsidRDefault="009563B4" w:rsidP="00FC130A">
            <w:pPr>
              <w:rPr>
                <w:rFonts w:asciiTheme="minorHAnsi" w:hAnsiTheme="minorHAnsi" w:cstheme="minorHAnsi"/>
                <w:sz w:val="16"/>
                <w:szCs w:val="16"/>
              </w:rPr>
            </w:pPr>
            <w:r w:rsidRPr="008176BC">
              <w:rPr>
                <w:rFonts w:asciiTheme="minorHAnsi" w:hAnsiTheme="minorHAnsi" w:cstheme="minorHAnsi"/>
                <w:sz w:val="16"/>
                <w:szCs w:val="16"/>
              </w:rPr>
              <w:t>B2 Cuchi Baseline 1 PLUS Agricultural Improvement Polygon North 10,000 ha</w:t>
            </w:r>
          </w:p>
        </w:tc>
        <w:tc>
          <w:tcPr>
            <w:tcW w:w="850" w:type="dxa"/>
            <w:tcMar>
              <w:left w:w="28" w:type="dxa"/>
              <w:right w:w="28" w:type="dxa"/>
            </w:tcMar>
          </w:tcPr>
          <w:p w14:paraId="5C9BD304" w14:textId="77777777" w:rsidR="009563B4" w:rsidRPr="008176BC" w:rsidRDefault="009563B4" w:rsidP="00FC130A">
            <w:pPr>
              <w:rPr>
                <w:rFonts w:asciiTheme="minorHAnsi" w:hAnsiTheme="minorHAnsi" w:cstheme="minorHAnsi"/>
                <w:sz w:val="16"/>
                <w:szCs w:val="16"/>
              </w:rPr>
            </w:pPr>
            <w:r w:rsidRPr="008176BC">
              <w:rPr>
                <w:rFonts w:asciiTheme="minorHAnsi" w:hAnsiTheme="minorHAnsi" w:cstheme="minorHAnsi"/>
                <w:sz w:val="16"/>
                <w:szCs w:val="16"/>
              </w:rPr>
              <w:t>C cropland</w:t>
            </w:r>
          </w:p>
        </w:tc>
        <w:tc>
          <w:tcPr>
            <w:tcW w:w="1134" w:type="dxa"/>
            <w:tcMar>
              <w:left w:w="28" w:type="dxa"/>
              <w:right w:w="28" w:type="dxa"/>
            </w:tcMar>
          </w:tcPr>
          <w:p w14:paraId="60FB2082" w14:textId="27781FB6" w:rsidR="009563B4" w:rsidRPr="008176BC" w:rsidRDefault="009563B4" w:rsidP="00FC130A">
            <w:pPr>
              <w:rPr>
                <w:rFonts w:asciiTheme="minorHAnsi" w:hAnsiTheme="minorHAnsi" w:cstheme="minorHAnsi"/>
                <w:sz w:val="16"/>
                <w:szCs w:val="16"/>
              </w:rPr>
            </w:pPr>
            <w:r w:rsidRPr="008176BC">
              <w:rPr>
                <w:rFonts w:asciiTheme="minorHAnsi" w:hAnsiTheme="minorHAnsi" w:cstheme="minorHAnsi"/>
                <w:sz w:val="16"/>
                <w:szCs w:val="16"/>
              </w:rPr>
              <w:t>LMU-AO-5 | Sub-Basin 1, LUS = Cropland B2</w:t>
            </w:r>
          </w:p>
        </w:tc>
        <w:tc>
          <w:tcPr>
            <w:tcW w:w="709" w:type="dxa"/>
            <w:tcMar>
              <w:left w:w="28" w:type="dxa"/>
              <w:right w:w="113" w:type="dxa"/>
            </w:tcMar>
          </w:tcPr>
          <w:p w14:paraId="1D1B1630" w14:textId="77777777" w:rsidR="009563B4" w:rsidRPr="008176BC" w:rsidRDefault="009563B4" w:rsidP="00FC130A">
            <w:pPr>
              <w:jc w:val="right"/>
              <w:rPr>
                <w:rFonts w:asciiTheme="minorHAnsi" w:hAnsiTheme="minorHAnsi" w:cstheme="minorHAnsi"/>
                <w:sz w:val="16"/>
                <w:szCs w:val="16"/>
              </w:rPr>
            </w:pPr>
            <w:r w:rsidRPr="008176BC">
              <w:rPr>
                <w:rFonts w:asciiTheme="minorHAnsi" w:hAnsiTheme="minorHAnsi" w:cstheme="minorHAnsi"/>
                <w:sz w:val="16"/>
                <w:szCs w:val="16"/>
              </w:rPr>
              <w:t>10,000</w:t>
            </w:r>
          </w:p>
        </w:tc>
        <w:tc>
          <w:tcPr>
            <w:tcW w:w="4536" w:type="dxa"/>
            <w:tcMar>
              <w:left w:w="28" w:type="dxa"/>
              <w:right w:w="28" w:type="dxa"/>
            </w:tcMar>
          </w:tcPr>
          <w:p w14:paraId="332EE5B0" w14:textId="799747A2" w:rsidR="009563B4" w:rsidRPr="008176BC" w:rsidRDefault="00AC1352" w:rsidP="00FC130A">
            <w:pPr>
              <w:rPr>
                <w:rFonts w:asciiTheme="minorHAnsi" w:hAnsiTheme="minorHAnsi" w:cstheme="minorHAnsi"/>
                <w:sz w:val="16"/>
                <w:szCs w:val="16"/>
              </w:rPr>
            </w:pPr>
            <w:r w:rsidRPr="00CA44A1">
              <w:rPr>
                <w:rFonts w:asciiTheme="minorHAnsi" w:hAnsiTheme="minorHAnsi" w:cstheme="minorHAnsi"/>
                <w:sz w:val="16"/>
                <w:szCs w:val="16"/>
                <w:highlight w:val="yellow"/>
              </w:rPr>
              <w:t>Similar interventions as the site above (B1)</w:t>
            </w:r>
            <w:r w:rsidR="008075EA" w:rsidRPr="00CA44A1">
              <w:rPr>
                <w:rFonts w:asciiTheme="minorHAnsi" w:hAnsiTheme="minorHAnsi" w:cstheme="minorHAnsi"/>
                <w:sz w:val="16"/>
                <w:szCs w:val="16"/>
                <w:highlight w:val="yellow"/>
              </w:rPr>
              <w:t>, covering and area of 950 ha</w:t>
            </w:r>
            <w:r w:rsidR="00181AD1" w:rsidRPr="00CA44A1">
              <w:rPr>
                <w:rFonts w:asciiTheme="minorHAnsi" w:hAnsiTheme="minorHAnsi" w:cstheme="minorHAnsi"/>
                <w:sz w:val="16"/>
                <w:szCs w:val="16"/>
                <w:highlight w:val="yellow"/>
              </w:rPr>
              <w:t>.</w:t>
            </w:r>
            <w:r w:rsidR="00C14697">
              <w:rPr>
                <w:rFonts w:asciiTheme="minorHAnsi" w:hAnsiTheme="minorHAnsi" w:cstheme="minorHAnsi"/>
                <w:sz w:val="16"/>
                <w:szCs w:val="16"/>
              </w:rPr>
              <w:t xml:space="preserve"> </w:t>
            </w:r>
          </w:p>
        </w:tc>
        <w:tc>
          <w:tcPr>
            <w:tcW w:w="1701" w:type="dxa"/>
            <w:tcMar>
              <w:left w:w="28" w:type="dxa"/>
              <w:right w:w="28" w:type="dxa"/>
            </w:tcMar>
          </w:tcPr>
          <w:p w14:paraId="292E57E5" w14:textId="77777777" w:rsidR="009563B4" w:rsidRPr="008176BC" w:rsidRDefault="009563B4" w:rsidP="00FC130A">
            <w:pPr>
              <w:rPr>
                <w:rFonts w:asciiTheme="minorHAnsi" w:hAnsiTheme="minorHAnsi" w:cstheme="minorHAnsi"/>
                <w:sz w:val="16"/>
                <w:szCs w:val="16"/>
              </w:rPr>
            </w:pPr>
            <w:r w:rsidRPr="008176BC">
              <w:rPr>
                <w:rFonts w:asciiTheme="minorHAnsi" w:hAnsiTheme="minorHAnsi" w:cstheme="minorHAnsi"/>
                <w:sz w:val="16"/>
                <w:szCs w:val="16"/>
              </w:rPr>
              <w:t>Local farmers in the area engaged through FFSs</w:t>
            </w:r>
          </w:p>
        </w:tc>
        <w:tc>
          <w:tcPr>
            <w:tcW w:w="1701" w:type="dxa"/>
            <w:tcMar>
              <w:left w:w="28" w:type="dxa"/>
              <w:right w:w="28" w:type="dxa"/>
            </w:tcMar>
          </w:tcPr>
          <w:p w14:paraId="71EEC68D" w14:textId="77777777" w:rsidR="009563B4" w:rsidRPr="008176BC" w:rsidRDefault="009563B4" w:rsidP="00FC130A">
            <w:pPr>
              <w:rPr>
                <w:rFonts w:asciiTheme="minorHAnsi" w:hAnsiTheme="minorHAnsi" w:cstheme="minorHAnsi"/>
                <w:sz w:val="16"/>
                <w:szCs w:val="16"/>
              </w:rPr>
            </w:pPr>
            <w:r w:rsidRPr="008176BC">
              <w:rPr>
                <w:rFonts w:asciiTheme="minorHAnsi" w:hAnsiTheme="minorHAnsi" w:cstheme="minorHAnsi"/>
                <w:sz w:val="16"/>
                <w:szCs w:val="16"/>
              </w:rPr>
              <w:t>Gradual avicultural intensification at scale, improved cropland management, sustainable food production</w:t>
            </w:r>
          </w:p>
        </w:tc>
        <w:tc>
          <w:tcPr>
            <w:tcW w:w="1984" w:type="dxa"/>
            <w:tcMar>
              <w:left w:w="28" w:type="dxa"/>
              <w:right w:w="28" w:type="dxa"/>
            </w:tcMar>
          </w:tcPr>
          <w:p w14:paraId="704411AC" w14:textId="77777777" w:rsidR="009563B4" w:rsidRPr="008176BC" w:rsidRDefault="009563B4" w:rsidP="00FC130A">
            <w:pPr>
              <w:rPr>
                <w:rFonts w:asciiTheme="minorHAnsi" w:hAnsiTheme="minorHAnsi" w:cstheme="minorHAnsi"/>
                <w:sz w:val="16"/>
                <w:szCs w:val="16"/>
              </w:rPr>
            </w:pPr>
            <w:r w:rsidRPr="008176BC">
              <w:rPr>
                <w:rFonts w:asciiTheme="minorHAnsi" w:hAnsiTheme="minorHAnsi" w:cstheme="minorHAnsi"/>
                <w:sz w:val="16"/>
                <w:szCs w:val="16"/>
              </w:rPr>
              <w:t>Not yet engaged</w:t>
            </w:r>
          </w:p>
        </w:tc>
        <w:tc>
          <w:tcPr>
            <w:tcW w:w="851" w:type="dxa"/>
            <w:tcMar>
              <w:left w:w="28" w:type="dxa"/>
              <w:right w:w="28" w:type="dxa"/>
            </w:tcMar>
          </w:tcPr>
          <w:p w14:paraId="7E66D676" w14:textId="46655C70" w:rsidR="009563B4" w:rsidRPr="008176BC" w:rsidRDefault="009563B4" w:rsidP="00FC130A">
            <w:pPr>
              <w:rPr>
                <w:rFonts w:asciiTheme="minorHAnsi" w:hAnsiTheme="minorHAnsi" w:cstheme="minorHAnsi"/>
                <w:sz w:val="16"/>
                <w:szCs w:val="16"/>
              </w:rPr>
            </w:pPr>
            <w:r w:rsidRPr="008176BC">
              <w:rPr>
                <w:rFonts w:asciiTheme="minorHAnsi" w:hAnsiTheme="minorHAnsi" w:cstheme="minorHAnsi"/>
                <w:sz w:val="16"/>
                <w:szCs w:val="16"/>
              </w:rPr>
              <w:t>REDUCE</w:t>
            </w:r>
          </w:p>
        </w:tc>
      </w:tr>
      <w:tr w:rsidR="008900EE" w:rsidRPr="00A7717E" w14:paraId="22911DF4" w14:textId="77777777" w:rsidTr="00FC130A">
        <w:tc>
          <w:tcPr>
            <w:tcW w:w="704" w:type="dxa"/>
            <w:tcMar>
              <w:left w:w="28" w:type="dxa"/>
              <w:right w:w="28" w:type="dxa"/>
            </w:tcMar>
          </w:tcPr>
          <w:p w14:paraId="57A060A6" w14:textId="77777777" w:rsidR="009563B4" w:rsidRPr="008176BC" w:rsidRDefault="009563B4" w:rsidP="00FC130A">
            <w:pPr>
              <w:jc w:val="center"/>
              <w:rPr>
                <w:rFonts w:asciiTheme="minorHAnsi" w:hAnsiTheme="minorHAnsi" w:cstheme="minorHAnsi"/>
                <w:sz w:val="16"/>
                <w:szCs w:val="16"/>
              </w:rPr>
            </w:pPr>
            <w:r w:rsidRPr="008176BC">
              <w:rPr>
                <w:rFonts w:asciiTheme="minorHAnsi" w:hAnsiTheme="minorHAnsi" w:cstheme="minorHAnsi"/>
                <w:sz w:val="16"/>
                <w:szCs w:val="16"/>
              </w:rPr>
              <w:t>6</w:t>
            </w:r>
          </w:p>
        </w:tc>
        <w:tc>
          <w:tcPr>
            <w:tcW w:w="1418" w:type="dxa"/>
            <w:tcMar>
              <w:left w:w="28" w:type="dxa"/>
              <w:right w:w="28" w:type="dxa"/>
            </w:tcMar>
          </w:tcPr>
          <w:p w14:paraId="3EA898B8" w14:textId="77777777" w:rsidR="009563B4" w:rsidRPr="008176BC" w:rsidRDefault="009563B4" w:rsidP="00FC130A">
            <w:pPr>
              <w:rPr>
                <w:rFonts w:asciiTheme="minorHAnsi" w:hAnsiTheme="minorHAnsi" w:cstheme="minorHAnsi"/>
                <w:sz w:val="16"/>
                <w:szCs w:val="16"/>
              </w:rPr>
            </w:pPr>
            <w:r w:rsidRPr="008176BC">
              <w:rPr>
                <w:rFonts w:asciiTheme="minorHAnsi" w:hAnsiTheme="minorHAnsi" w:cstheme="minorHAnsi"/>
                <w:sz w:val="16"/>
                <w:szCs w:val="16"/>
              </w:rPr>
              <w:t xml:space="preserve">B3 Cuchi (nested in D1) Phase2 Mucova-Liacongo-Dejunga </w:t>
            </w:r>
            <w:r w:rsidRPr="008176BC">
              <w:rPr>
                <w:rFonts w:asciiTheme="minorHAnsi" w:hAnsiTheme="minorHAnsi" w:cstheme="minorHAnsi"/>
                <w:sz w:val="16"/>
                <w:szCs w:val="16"/>
              </w:rPr>
              <w:lastRenderedPageBreak/>
              <w:t>Agricultural Polygon East 5,700 ha</w:t>
            </w:r>
          </w:p>
        </w:tc>
        <w:tc>
          <w:tcPr>
            <w:tcW w:w="850" w:type="dxa"/>
            <w:tcMar>
              <w:left w:w="28" w:type="dxa"/>
              <w:right w:w="28" w:type="dxa"/>
            </w:tcMar>
          </w:tcPr>
          <w:p w14:paraId="64F7B192" w14:textId="77777777" w:rsidR="009563B4" w:rsidRPr="008176BC" w:rsidRDefault="009563B4" w:rsidP="00FC130A">
            <w:pPr>
              <w:rPr>
                <w:rFonts w:asciiTheme="minorHAnsi" w:hAnsiTheme="minorHAnsi" w:cstheme="minorHAnsi"/>
                <w:sz w:val="16"/>
                <w:szCs w:val="16"/>
              </w:rPr>
            </w:pPr>
            <w:r w:rsidRPr="008176BC">
              <w:rPr>
                <w:rFonts w:asciiTheme="minorHAnsi" w:hAnsiTheme="minorHAnsi" w:cstheme="minorHAnsi"/>
                <w:sz w:val="16"/>
                <w:szCs w:val="16"/>
              </w:rPr>
              <w:lastRenderedPageBreak/>
              <w:t>C cropland</w:t>
            </w:r>
          </w:p>
        </w:tc>
        <w:tc>
          <w:tcPr>
            <w:tcW w:w="1134" w:type="dxa"/>
            <w:tcMar>
              <w:left w:w="28" w:type="dxa"/>
              <w:right w:w="28" w:type="dxa"/>
            </w:tcMar>
          </w:tcPr>
          <w:p w14:paraId="0D640901" w14:textId="39980DEE" w:rsidR="009563B4" w:rsidRPr="008176BC" w:rsidRDefault="009563B4" w:rsidP="00FC130A">
            <w:pPr>
              <w:rPr>
                <w:rFonts w:asciiTheme="minorHAnsi" w:hAnsiTheme="minorHAnsi" w:cstheme="minorHAnsi"/>
                <w:sz w:val="16"/>
                <w:szCs w:val="16"/>
              </w:rPr>
            </w:pPr>
            <w:r w:rsidRPr="008176BC">
              <w:rPr>
                <w:rFonts w:asciiTheme="minorHAnsi" w:hAnsiTheme="minorHAnsi" w:cstheme="minorHAnsi"/>
                <w:color w:val="000000"/>
                <w:sz w:val="16"/>
                <w:szCs w:val="16"/>
              </w:rPr>
              <w:t>LMU-AO-6 | Sub-Basin 1, LUS = Cropland B3</w:t>
            </w:r>
          </w:p>
        </w:tc>
        <w:tc>
          <w:tcPr>
            <w:tcW w:w="709" w:type="dxa"/>
            <w:tcMar>
              <w:left w:w="28" w:type="dxa"/>
              <w:right w:w="113" w:type="dxa"/>
            </w:tcMar>
          </w:tcPr>
          <w:p w14:paraId="51BA3278" w14:textId="77777777" w:rsidR="009563B4" w:rsidRPr="008176BC" w:rsidRDefault="009563B4" w:rsidP="00FC130A">
            <w:pPr>
              <w:jc w:val="right"/>
              <w:rPr>
                <w:rFonts w:asciiTheme="minorHAnsi" w:hAnsiTheme="minorHAnsi" w:cstheme="minorHAnsi"/>
                <w:sz w:val="16"/>
                <w:szCs w:val="16"/>
              </w:rPr>
            </w:pPr>
            <w:r w:rsidRPr="008176BC">
              <w:rPr>
                <w:rFonts w:asciiTheme="minorHAnsi" w:hAnsiTheme="minorHAnsi" w:cstheme="minorHAnsi"/>
                <w:sz w:val="16"/>
                <w:szCs w:val="16"/>
              </w:rPr>
              <w:t>5,700</w:t>
            </w:r>
          </w:p>
        </w:tc>
        <w:tc>
          <w:tcPr>
            <w:tcW w:w="4536" w:type="dxa"/>
            <w:tcMar>
              <w:left w:w="28" w:type="dxa"/>
              <w:right w:w="28" w:type="dxa"/>
            </w:tcMar>
          </w:tcPr>
          <w:p w14:paraId="6F2F0DE4" w14:textId="1CFD6B53" w:rsidR="009563B4" w:rsidRPr="008176BC" w:rsidRDefault="009563B4" w:rsidP="00FC130A">
            <w:pPr>
              <w:rPr>
                <w:rFonts w:asciiTheme="minorHAnsi" w:hAnsiTheme="minorHAnsi" w:cstheme="minorHAnsi"/>
                <w:sz w:val="16"/>
                <w:szCs w:val="16"/>
              </w:rPr>
            </w:pPr>
            <w:r w:rsidRPr="008176BC">
              <w:rPr>
                <w:rFonts w:asciiTheme="minorHAnsi" w:hAnsiTheme="minorHAnsi" w:cstheme="minorHAnsi"/>
                <w:sz w:val="16"/>
                <w:szCs w:val="16"/>
              </w:rPr>
              <w:t>Cropland areas, degraded, where FFS will be rolled out with the aim of improving techniques and helping farmers adopt SLM</w:t>
            </w:r>
            <w:r w:rsidR="008A25E4">
              <w:rPr>
                <w:rFonts w:asciiTheme="minorHAnsi" w:hAnsiTheme="minorHAnsi" w:cstheme="minorHAnsi"/>
                <w:sz w:val="16"/>
                <w:szCs w:val="16"/>
              </w:rPr>
              <w:t>.</w:t>
            </w:r>
            <w:r w:rsidR="00D77C77">
              <w:rPr>
                <w:rFonts w:asciiTheme="minorHAnsi" w:hAnsiTheme="minorHAnsi" w:cstheme="minorHAnsi"/>
                <w:sz w:val="16"/>
                <w:szCs w:val="16"/>
              </w:rPr>
              <w:t xml:space="preserve"> </w:t>
            </w:r>
            <w:r w:rsidR="00D77C77" w:rsidRPr="00CA44A1">
              <w:rPr>
                <w:rFonts w:asciiTheme="minorHAnsi" w:hAnsiTheme="minorHAnsi" w:cstheme="minorHAnsi"/>
                <w:sz w:val="16"/>
                <w:szCs w:val="16"/>
                <w:highlight w:val="yellow"/>
              </w:rPr>
              <w:t xml:space="preserve">At least </w:t>
            </w:r>
            <w:r w:rsidR="008A25E4" w:rsidRPr="00CA44A1">
              <w:rPr>
                <w:rFonts w:asciiTheme="minorHAnsi" w:hAnsiTheme="minorHAnsi" w:cstheme="minorHAnsi"/>
                <w:sz w:val="16"/>
                <w:szCs w:val="16"/>
                <w:highlight w:val="yellow"/>
              </w:rPr>
              <w:t>500 ha</w:t>
            </w:r>
            <w:r w:rsidR="009232BE" w:rsidRPr="00CA44A1">
              <w:rPr>
                <w:rFonts w:asciiTheme="minorHAnsi" w:hAnsiTheme="minorHAnsi" w:cstheme="minorHAnsi"/>
                <w:sz w:val="16"/>
                <w:szCs w:val="16"/>
                <w:highlight w:val="yellow"/>
              </w:rPr>
              <w:t xml:space="preserve"> of farms</w:t>
            </w:r>
            <w:r w:rsidR="000F3CDC" w:rsidRPr="00CA44A1">
              <w:rPr>
                <w:rFonts w:asciiTheme="minorHAnsi" w:hAnsiTheme="minorHAnsi" w:cstheme="minorHAnsi"/>
                <w:sz w:val="16"/>
                <w:szCs w:val="16"/>
                <w:highlight w:val="yellow"/>
              </w:rPr>
              <w:t xml:space="preserve"> reached</w:t>
            </w:r>
            <w:r w:rsidR="0063676C" w:rsidRPr="00CA44A1">
              <w:rPr>
                <w:rFonts w:asciiTheme="minorHAnsi" w:hAnsiTheme="minorHAnsi" w:cstheme="minorHAnsi"/>
                <w:sz w:val="16"/>
                <w:szCs w:val="16"/>
                <w:highlight w:val="yellow"/>
              </w:rPr>
              <w:t xml:space="preserve"> through FFS.</w:t>
            </w:r>
          </w:p>
        </w:tc>
        <w:tc>
          <w:tcPr>
            <w:tcW w:w="1701" w:type="dxa"/>
            <w:tcMar>
              <w:left w:w="28" w:type="dxa"/>
              <w:right w:w="28" w:type="dxa"/>
            </w:tcMar>
          </w:tcPr>
          <w:p w14:paraId="7B34DE08" w14:textId="77777777" w:rsidR="009563B4" w:rsidRPr="008176BC" w:rsidRDefault="009563B4" w:rsidP="00FC130A">
            <w:pPr>
              <w:rPr>
                <w:rFonts w:asciiTheme="minorHAnsi" w:hAnsiTheme="minorHAnsi" w:cstheme="minorHAnsi"/>
                <w:sz w:val="16"/>
                <w:szCs w:val="16"/>
              </w:rPr>
            </w:pPr>
            <w:r w:rsidRPr="008176BC">
              <w:rPr>
                <w:rFonts w:asciiTheme="minorHAnsi" w:hAnsiTheme="minorHAnsi" w:cstheme="minorHAnsi"/>
                <w:sz w:val="16"/>
                <w:szCs w:val="16"/>
              </w:rPr>
              <w:t>Local farmers in the area engaged through FFSs</w:t>
            </w:r>
          </w:p>
        </w:tc>
        <w:tc>
          <w:tcPr>
            <w:tcW w:w="1701" w:type="dxa"/>
            <w:tcMar>
              <w:left w:w="28" w:type="dxa"/>
              <w:right w:w="28" w:type="dxa"/>
            </w:tcMar>
          </w:tcPr>
          <w:p w14:paraId="3636E300" w14:textId="77777777" w:rsidR="009563B4" w:rsidRPr="008176BC" w:rsidRDefault="009563B4" w:rsidP="00FC130A">
            <w:pPr>
              <w:rPr>
                <w:rFonts w:asciiTheme="minorHAnsi" w:hAnsiTheme="minorHAnsi" w:cstheme="minorHAnsi"/>
                <w:sz w:val="16"/>
                <w:szCs w:val="16"/>
              </w:rPr>
            </w:pPr>
            <w:r w:rsidRPr="008176BC">
              <w:rPr>
                <w:rFonts w:asciiTheme="minorHAnsi" w:hAnsiTheme="minorHAnsi" w:cstheme="minorHAnsi"/>
                <w:sz w:val="16"/>
                <w:szCs w:val="16"/>
              </w:rPr>
              <w:t xml:space="preserve">Gradual agricultural intensification at scale, improved cropland management, </w:t>
            </w:r>
            <w:r w:rsidRPr="008176BC">
              <w:rPr>
                <w:rFonts w:asciiTheme="minorHAnsi" w:hAnsiTheme="minorHAnsi" w:cstheme="minorHAnsi"/>
                <w:sz w:val="16"/>
                <w:szCs w:val="16"/>
              </w:rPr>
              <w:lastRenderedPageBreak/>
              <w:t>sustainable food production</w:t>
            </w:r>
          </w:p>
        </w:tc>
        <w:tc>
          <w:tcPr>
            <w:tcW w:w="1984" w:type="dxa"/>
            <w:tcMar>
              <w:left w:w="28" w:type="dxa"/>
              <w:right w:w="28" w:type="dxa"/>
            </w:tcMar>
          </w:tcPr>
          <w:p w14:paraId="72AF47D8" w14:textId="77777777" w:rsidR="009563B4" w:rsidRPr="008176BC" w:rsidRDefault="009563B4" w:rsidP="00FC130A">
            <w:pPr>
              <w:rPr>
                <w:rFonts w:asciiTheme="minorHAnsi" w:hAnsiTheme="minorHAnsi" w:cstheme="minorHAnsi"/>
                <w:sz w:val="16"/>
                <w:szCs w:val="16"/>
              </w:rPr>
            </w:pPr>
            <w:r w:rsidRPr="008176BC">
              <w:rPr>
                <w:rFonts w:asciiTheme="minorHAnsi" w:hAnsiTheme="minorHAnsi" w:cstheme="minorHAnsi"/>
                <w:sz w:val="16"/>
                <w:szCs w:val="16"/>
              </w:rPr>
              <w:lastRenderedPageBreak/>
              <w:t>Not yet engaged</w:t>
            </w:r>
          </w:p>
        </w:tc>
        <w:tc>
          <w:tcPr>
            <w:tcW w:w="851" w:type="dxa"/>
            <w:tcMar>
              <w:left w:w="28" w:type="dxa"/>
              <w:right w:w="28" w:type="dxa"/>
            </w:tcMar>
          </w:tcPr>
          <w:p w14:paraId="4964294C" w14:textId="587750BE" w:rsidR="009563B4" w:rsidRPr="008176BC" w:rsidRDefault="009563B4" w:rsidP="00FC130A">
            <w:pPr>
              <w:rPr>
                <w:rFonts w:asciiTheme="minorHAnsi" w:hAnsiTheme="minorHAnsi" w:cstheme="minorHAnsi"/>
                <w:sz w:val="16"/>
                <w:szCs w:val="16"/>
              </w:rPr>
            </w:pPr>
            <w:r w:rsidRPr="008176BC">
              <w:rPr>
                <w:rFonts w:asciiTheme="minorHAnsi" w:hAnsiTheme="minorHAnsi" w:cstheme="minorHAnsi"/>
                <w:sz w:val="16"/>
                <w:szCs w:val="16"/>
              </w:rPr>
              <w:t>REDUCE</w:t>
            </w:r>
          </w:p>
        </w:tc>
      </w:tr>
      <w:tr w:rsidR="008900EE" w:rsidRPr="00A7717E" w14:paraId="44B09DC0" w14:textId="77777777" w:rsidTr="00FC130A">
        <w:tc>
          <w:tcPr>
            <w:tcW w:w="704" w:type="dxa"/>
            <w:tcMar>
              <w:left w:w="28" w:type="dxa"/>
              <w:right w:w="28" w:type="dxa"/>
            </w:tcMar>
          </w:tcPr>
          <w:p w14:paraId="3436EF36" w14:textId="77777777" w:rsidR="009563B4" w:rsidRPr="008176BC" w:rsidRDefault="009563B4" w:rsidP="00FC130A">
            <w:pPr>
              <w:jc w:val="center"/>
              <w:rPr>
                <w:rFonts w:asciiTheme="minorHAnsi" w:hAnsiTheme="minorHAnsi" w:cstheme="minorHAnsi"/>
                <w:sz w:val="16"/>
                <w:szCs w:val="16"/>
              </w:rPr>
            </w:pPr>
            <w:r w:rsidRPr="008176BC">
              <w:rPr>
                <w:rFonts w:asciiTheme="minorHAnsi" w:hAnsiTheme="minorHAnsi" w:cstheme="minorHAnsi"/>
                <w:sz w:val="16"/>
                <w:szCs w:val="16"/>
              </w:rPr>
              <w:t>7</w:t>
            </w:r>
          </w:p>
        </w:tc>
        <w:tc>
          <w:tcPr>
            <w:tcW w:w="1418" w:type="dxa"/>
            <w:tcMar>
              <w:left w:w="28" w:type="dxa"/>
              <w:right w:w="28" w:type="dxa"/>
            </w:tcMar>
          </w:tcPr>
          <w:p w14:paraId="3A83AEBA" w14:textId="77777777" w:rsidR="009563B4" w:rsidRPr="009C71D3" w:rsidRDefault="009563B4" w:rsidP="00FC130A">
            <w:pPr>
              <w:rPr>
                <w:rFonts w:asciiTheme="minorHAnsi" w:hAnsiTheme="minorHAnsi" w:cstheme="minorHAnsi"/>
                <w:sz w:val="16"/>
                <w:szCs w:val="16"/>
                <w:lang w:val="it-IT"/>
              </w:rPr>
            </w:pPr>
            <w:r w:rsidRPr="009C71D3">
              <w:rPr>
                <w:rFonts w:asciiTheme="minorHAnsi" w:hAnsiTheme="minorHAnsi" w:cstheme="minorHAnsi"/>
                <w:sz w:val="16"/>
                <w:szCs w:val="16"/>
                <w:lang w:val="it-IT"/>
              </w:rPr>
              <w:t>B4 Cuchi Meanders Horticulture Polygon Peri-Urban 4,900 ha</w:t>
            </w:r>
          </w:p>
        </w:tc>
        <w:tc>
          <w:tcPr>
            <w:tcW w:w="850" w:type="dxa"/>
            <w:tcMar>
              <w:left w:w="28" w:type="dxa"/>
              <w:right w:w="28" w:type="dxa"/>
            </w:tcMar>
          </w:tcPr>
          <w:p w14:paraId="68D2F3AE" w14:textId="77777777" w:rsidR="009563B4" w:rsidRPr="008176BC" w:rsidRDefault="009563B4" w:rsidP="00FC130A">
            <w:pPr>
              <w:rPr>
                <w:rFonts w:asciiTheme="minorHAnsi" w:hAnsiTheme="minorHAnsi" w:cstheme="minorHAnsi"/>
                <w:sz w:val="16"/>
                <w:szCs w:val="16"/>
              </w:rPr>
            </w:pPr>
            <w:r w:rsidRPr="008176BC">
              <w:rPr>
                <w:rFonts w:asciiTheme="minorHAnsi" w:hAnsiTheme="minorHAnsi" w:cstheme="minorHAnsi"/>
                <w:sz w:val="16"/>
                <w:szCs w:val="16"/>
              </w:rPr>
              <w:t>C cropland</w:t>
            </w:r>
          </w:p>
        </w:tc>
        <w:tc>
          <w:tcPr>
            <w:tcW w:w="1134" w:type="dxa"/>
            <w:tcMar>
              <w:left w:w="28" w:type="dxa"/>
              <w:right w:w="28" w:type="dxa"/>
            </w:tcMar>
          </w:tcPr>
          <w:p w14:paraId="7FDB3971" w14:textId="74617A9D" w:rsidR="009563B4" w:rsidRPr="008176BC" w:rsidRDefault="009563B4" w:rsidP="00FC130A">
            <w:pPr>
              <w:rPr>
                <w:rFonts w:asciiTheme="minorHAnsi" w:hAnsiTheme="minorHAnsi" w:cstheme="minorHAnsi"/>
                <w:sz w:val="16"/>
                <w:szCs w:val="16"/>
              </w:rPr>
            </w:pPr>
            <w:r w:rsidRPr="008176BC">
              <w:rPr>
                <w:rFonts w:asciiTheme="minorHAnsi" w:hAnsiTheme="minorHAnsi" w:cstheme="minorHAnsi"/>
                <w:color w:val="000000"/>
                <w:sz w:val="16"/>
                <w:szCs w:val="16"/>
              </w:rPr>
              <w:t>LMU-AO-7 | Sub-Basin 1, LUS = Cropland B4</w:t>
            </w:r>
          </w:p>
        </w:tc>
        <w:tc>
          <w:tcPr>
            <w:tcW w:w="709" w:type="dxa"/>
            <w:tcMar>
              <w:left w:w="28" w:type="dxa"/>
              <w:right w:w="113" w:type="dxa"/>
            </w:tcMar>
          </w:tcPr>
          <w:p w14:paraId="18379F16" w14:textId="77777777" w:rsidR="009563B4" w:rsidRPr="008176BC" w:rsidRDefault="009563B4" w:rsidP="00FC130A">
            <w:pPr>
              <w:jc w:val="right"/>
              <w:rPr>
                <w:rFonts w:asciiTheme="minorHAnsi" w:hAnsiTheme="minorHAnsi" w:cstheme="minorHAnsi"/>
                <w:sz w:val="16"/>
                <w:szCs w:val="16"/>
              </w:rPr>
            </w:pPr>
            <w:r w:rsidRPr="008176BC">
              <w:rPr>
                <w:rFonts w:asciiTheme="minorHAnsi" w:hAnsiTheme="minorHAnsi" w:cstheme="minorHAnsi"/>
                <w:sz w:val="16"/>
                <w:szCs w:val="16"/>
              </w:rPr>
              <w:t>4,900</w:t>
            </w:r>
          </w:p>
        </w:tc>
        <w:tc>
          <w:tcPr>
            <w:tcW w:w="4536" w:type="dxa"/>
            <w:tcMar>
              <w:left w:w="28" w:type="dxa"/>
              <w:right w:w="28" w:type="dxa"/>
            </w:tcMar>
          </w:tcPr>
          <w:p w14:paraId="28DECC5C" w14:textId="4156BC36" w:rsidR="009563B4" w:rsidRPr="008176BC" w:rsidRDefault="009563B4" w:rsidP="00FC130A">
            <w:pPr>
              <w:rPr>
                <w:rFonts w:asciiTheme="minorHAnsi" w:hAnsiTheme="minorHAnsi" w:cstheme="minorHAnsi"/>
                <w:sz w:val="16"/>
                <w:szCs w:val="16"/>
              </w:rPr>
            </w:pPr>
            <w:r w:rsidRPr="008176BC">
              <w:rPr>
                <w:rFonts w:asciiTheme="minorHAnsi" w:hAnsiTheme="minorHAnsi" w:cstheme="minorHAnsi"/>
                <w:sz w:val="16"/>
                <w:szCs w:val="16"/>
              </w:rPr>
              <w:t>Cropland areas, degraded, where FFS will be rolled out with the aim of improving techniques and helping farmers adopt SLM</w:t>
            </w:r>
            <w:r w:rsidR="008A25E4">
              <w:rPr>
                <w:rFonts w:asciiTheme="minorHAnsi" w:hAnsiTheme="minorHAnsi" w:cstheme="minorHAnsi"/>
                <w:sz w:val="16"/>
                <w:szCs w:val="16"/>
              </w:rPr>
              <w:t xml:space="preserve">. </w:t>
            </w:r>
            <w:r w:rsidR="0063676C">
              <w:rPr>
                <w:rFonts w:asciiTheme="minorHAnsi" w:hAnsiTheme="minorHAnsi" w:cstheme="minorHAnsi"/>
                <w:sz w:val="16"/>
                <w:szCs w:val="16"/>
              </w:rPr>
              <w:t xml:space="preserve"> </w:t>
            </w:r>
            <w:r w:rsidR="0063676C" w:rsidRPr="00CA44A1">
              <w:rPr>
                <w:rFonts w:asciiTheme="minorHAnsi" w:hAnsiTheme="minorHAnsi" w:cstheme="minorHAnsi"/>
                <w:sz w:val="16"/>
                <w:szCs w:val="16"/>
                <w:highlight w:val="yellow"/>
              </w:rPr>
              <w:t xml:space="preserve">At least </w:t>
            </w:r>
            <w:r w:rsidR="00B26E5F" w:rsidRPr="00CA44A1">
              <w:rPr>
                <w:rFonts w:asciiTheme="minorHAnsi" w:hAnsiTheme="minorHAnsi" w:cstheme="minorHAnsi"/>
                <w:sz w:val="16"/>
                <w:szCs w:val="16"/>
                <w:highlight w:val="yellow"/>
              </w:rPr>
              <w:t>1,6</w:t>
            </w:r>
            <w:r w:rsidR="0063676C" w:rsidRPr="00CA44A1">
              <w:rPr>
                <w:rFonts w:asciiTheme="minorHAnsi" w:hAnsiTheme="minorHAnsi" w:cstheme="minorHAnsi"/>
                <w:sz w:val="16"/>
                <w:szCs w:val="16"/>
                <w:highlight w:val="yellow"/>
              </w:rPr>
              <w:t>50 ha of farms reached through FFS.</w:t>
            </w:r>
          </w:p>
        </w:tc>
        <w:tc>
          <w:tcPr>
            <w:tcW w:w="1701" w:type="dxa"/>
            <w:tcMar>
              <w:left w:w="28" w:type="dxa"/>
              <w:right w:w="28" w:type="dxa"/>
            </w:tcMar>
          </w:tcPr>
          <w:p w14:paraId="0652B633" w14:textId="77777777" w:rsidR="009563B4" w:rsidRPr="008176BC" w:rsidRDefault="009563B4" w:rsidP="00FC130A">
            <w:pPr>
              <w:rPr>
                <w:rFonts w:asciiTheme="minorHAnsi" w:hAnsiTheme="minorHAnsi" w:cstheme="minorHAnsi"/>
                <w:sz w:val="16"/>
                <w:szCs w:val="16"/>
              </w:rPr>
            </w:pPr>
            <w:r w:rsidRPr="008176BC">
              <w:rPr>
                <w:rFonts w:asciiTheme="minorHAnsi" w:hAnsiTheme="minorHAnsi" w:cstheme="minorHAnsi"/>
                <w:sz w:val="16"/>
                <w:szCs w:val="16"/>
              </w:rPr>
              <w:t>Local farmers in the area engaged through FFSs</w:t>
            </w:r>
          </w:p>
        </w:tc>
        <w:tc>
          <w:tcPr>
            <w:tcW w:w="1701" w:type="dxa"/>
            <w:tcMar>
              <w:left w:w="28" w:type="dxa"/>
              <w:right w:w="28" w:type="dxa"/>
            </w:tcMar>
          </w:tcPr>
          <w:p w14:paraId="2E246EA9" w14:textId="77777777" w:rsidR="009563B4" w:rsidRPr="008176BC" w:rsidRDefault="009563B4" w:rsidP="00FC130A">
            <w:pPr>
              <w:rPr>
                <w:rFonts w:asciiTheme="minorHAnsi" w:hAnsiTheme="minorHAnsi" w:cstheme="minorHAnsi"/>
                <w:sz w:val="16"/>
                <w:szCs w:val="16"/>
              </w:rPr>
            </w:pPr>
            <w:r w:rsidRPr="008176BC">
              <w:rPr>
                <w:rFonts w:asciiTheme="minorHAnsi" w:hAnsiTheme="minorHAnsi" w:cstheme="minorHAnsi"/>
                <w:sz w:val="16"/>
                <w:szCs w:val="16"/>
              </w:rPr>
              <w:t>Rapid agricultural intensification, improved cropland management, sustainable food production</w:t>
            </w:r>
          </w:p>
        </w:tc>
        <w:tc>
          <w:tcPr>
            <w:tcW w:w="1984" w:type="dxa"/>
            <w:tcMar>
              <w:left w:w="28" w:type="dxa"/>
              <w:right w:w="28" w:type="dxa"/>
            </w:tcMar>
          </w:tcPr>
          <w:p w14:paraId="46B622B5" w14:textId="77777777" w:rsidR="009563B4" w:rsidRPr="008176BC" w:rsidRDefault="009563B4" w:rsidP="00FC130A">
            <w:pPr>
              <w:rPr>
                <w:rFonts w:asciiTheme="minorHAnsi" w:hAnsiTheme="minorHAnsi" w:cstheme="minorHAnsi"/>
                <w:sz w:val="16"/>
                <w:szCs w:val="16"/>
              </w:rPr>
            </w:pPr>
            <w:r w:rsidRPr="008176BC">
              <w:rPr>
                <w:rFonts w:asciiTheme="minorHAnsi" w:hAnsiTheme="minorHAnsi" w:cstheme="minorHAnsi"/>
                <w:sz w:val="16"/>
                <w:szCs w:val="16"/>
              </w:rPr>
              <w:t>Generally informed about the project, but not yet directly engaged for this activity</w:t>
            </w:r>
          </w:p>
        </w:tc>
        <w:tc>
          <w:tcPr>
            <w:tcW w:w="851" w:type="dxa"/>
            <w:tcMar>
              <w:left w:w="28" w:type="dxa"/>
              <w:right w:w="28" w:type="dxa"/>
            </w:tcMar>
          </w:tcPr>
          <w:p w14:paraId="545E6760" w14:textId="3BA40F6F" w:rsidR="009563B4" w:rsidRPr="008176BC" w:rsidRDefault="00EB24CA" w:rsidP="00FC130A">
            <w:pPr>
              <w:rPr>
                <w:rFonts w:asciiTheme="minorHAnsi" w:hAnsiTheme="minorHAnsi" w:cstheme="minorHAnsi"/>
                <w:sz w:val="16"/>
                <w:szCs w:val="16"/>
              </w:rPr>
            </w:pPr>
            <w:r w:rsidRPr="00CA44A1">
              <w:rPr>
                <w:rFonts w:asciiTheme="minorHAnsi" w:hAnsiTheme="minorHAnsi" w:cstheme="minorHAnsi"/>
                <w:sz w:val="16"/>
                <w:szCs w:val="16"/>
                <w:highlight w:val="yellow"/>
              </w:rPr>
              <w:t>REDUCE</w:t>
            </w:r>
          </w:p>
        </w:tc>
      </w:tr>
      <w:tr w:rsidR="008900EE" w:rsidRPr="00A7717E" w14:paraId="4A6DC68C" w14:textId="77777777" w:rsidTr="00FC130A">
        <w:tc>
          <w:tcPr>
            <w:tcW w:w="704" w:type="dxa"/>
            <w:tcMar>
              <w:left w:w="28" w:type="dxa"/>
              <w:right w:w="28" w:type="dxa"/>
            </w:tcMar>
          </w:tcPr>
          <w:p w14:paraId="46A09A5A" w14:textId="77777777" w:rsidR="009563B4" w:rsidRPr="008176BC" w:rsidRDefault="009563B4" w:rsidP="00FC130A">
            <w:pPr>
              <w:jc w:val="center"/>
              <w:rPr>
                <w:rFonts w:asciiTheme="minorHAnsi" w:hAnsiTheme="minorHAnsi" w:cstheme="minorHAnsi"/>
                <w:sz w:val="16"/>
                <w:szCs w:val="16"/>
              </w:rPr>
            </w:pPr>
            <w:r w:rsidRPr="008176BC">
              <w:rPr>
                <w:rFonts w:asciiTheme="minorHAnsi" w:hAnsiTheme="minorHAnsi" w:cstheme="minorHAnsi"/>
                <w:sz w:val="16"/>
                <w:szCs w:val="16"/>
              </w:rPr>
              <w:t>8</w:t>
            </w:r>
          </w:p>
        </w:tc>
        <w:tc>
          <w:tcPr>
            <w:tcW w:w="1418" w:type="dxa"/>
            <w:tcMar>
              <w:left w:w="28" w:type="dxa"/>
              <w:right w:w="28" w:type="dxa"/>
            </w:tcMar>
          </w:tcPr>
          <w:p w14:paraId="1A4E531A" w14:textId="1A6C3ECA" w:rsidR="009563B4" w:rsidRPr="00EF11EE" w:rsidRDefault="009563B4" w:rsidP="00FC130A">
            <w:pPr>
              <w:rPr>
                <w:rFonts w:asciiTheme="minorHAnsi" w:hAnsiTheme="minorHAnsi" w:cstheme="minorHAnsi"/>
                <w:i/>
                <w:iCs/>
                <w:sz w:val="16"/>
                <w:szCs w:val="16"/>
                <w:u w:val="single"/>
              </w:rPr>
            </w:pPr>
            <w:r w:rsidRPr="003B4367">
              <w:rPr>
                <w:rFonts w:asciiTheme="minorHAnsi" w:hAnsiTheme="minorHAnsi" w:cstheme="minorHAnsi"/>
                <w:sz w:val="16"/>
                <w:szCs w:val="16"/>
              </w:rPr>
              <w:t xml:space="preserve">D1 Cuchi River Municipal Watershed Macro Management Plan (Cuchi Commune Chapter) </w:t>
            </w:r>
            <w:r w:rsidR="00366C72" w:rsidRPr="003B4367">
              <w:rPr>
                <w:rFonts w:asciiTheme="minorHAnsi" w:hAnsiTheme="minorHAnsi" w:cstheme="minorHAnsi"/>
                <w:i/>
                <w:iCs/>
                <w:sz w:val="16"/>
                <w:szCs w:val="16"/>
                <w:u w:val="single"/>
              </w:rPr>
              <w:t xml:space="preserve">total area </w:t>
            </w:r>
            <w:r w:rsidR="00EF11EE">
              <w:rPr>
                <w:rFonts w:asciiTheme="minorHAnsi" w:hAnsiTheme="minorHAnsi" w:cstheme="minorHAnsi"/>
                <w:i/>
                <w:iCs/>
                <w:sz w:val="16"/>
                <w:szCs w:val="16"/>
                <w:u w:val="single"/>
              </w:rPr>
              <w:t>in</w:t>
            </w:r>
            <w:r w:rsidR="00E945C5">
              <w:rPr>
                <w:rFonts w:asciiTheme="minorHAnsi" w:hAnsiTheme="minorHAnsi" w:cstheme="minorHAnsi"/>
                <w:i/>
                <w:iCs/>
                <w:sz w:val="16"/>
                <w:szCs w:val="16"/>
                <w:u w:val="single"/>
              </w:rPr>
              <w:t>cluding nested</w:t>
            </w:r>
            <w:r w:rsidR="00366C72" w:rsidRPr="003B4367">
              <w:rPr>
                <w:rFonts w:asciiTheme="minorHAnsi" w:hAnsiTheme="minorHAnsi" w:cstheme="minorHAnsi"/>
                <w:i/>
                <w:iCs/>
                <w:sz w:val="16"/>
                <w:szCs w:val="16"/>
                <w:u w:val="single"/>
              </w:rPr>
              <w:t xml:space="preserve"> </w:t>
            </w:r>
            <w:r w:rsidR="00E945C5">
              <w:rPr>
                <w:rFonts w:asciiTheme="minorHAnsi" w:hAnsiTheme="minorHAnsi" w:cstheme="minorHAnsi"/>
                <w:i/>
                <w:iCs/>
                <w:sz w:val="16"/>
                <w:szCs w:val="16"/>
                <w:u w:val="single"/>
              </w:rPr>
              <w:t>B3</w:t>
            </w:r>
            <w:r w:rsidR="00366C72" w:rsidRPr="003B4367">
              <w:rPr>
                <w:rFonts w:asciiTheme="minorHAnsi" w:hAnsiTheme="minorHAnsi" w:cstheme="minorHAnsi"/>
                <w:i/>
                <w:iCs/>
                <w:sz w:val="16"/>
                <w:szCs w:val="16"/>
                <w:u w:val="single"/>
              </w:rPr>
              <w:t xml:space="preserve">: </w:t>
            </w:r>
            <w:r w:rsidRPr="003B4367">
              <w:rPr>
                <w:rFonts w:asciiTheme="minorHAnsi" w:hAnsiTheme="minorHAnsi" w:cstheme="minorHAnsi"/>
                <w:sz w:val="16"/>
                <w:szCs w:val="16"/>
              </w:rPr>
              <w:t>11</w:t>
            </w:r>
            <w:r w:rsidR="00B764B4">
              <w:rPr>
                <w:rFonts w:asciiTheme="minorHAnsi" w:hAnsiTheme="minorHAnsi" w:cstheme="minorHAnsi"/>
                <w:sz w:val="16"/>
                <w:szCs w:val="16"/>
              </w:rPr>
              <w:t>7</w:t>
            </w:r>
            <w:r w:rsidR="00E945C5">
              <w:rPr>
                <w:rFonts w:asciiTheme="minorHAnsi" w:hAnsiTheme="minorHAnsi" w:cstheme="minorHAnsi"/>
                <w:sz w:val="16"/>
                <w:szCs w:val="16"/>
              </w:rPr>
              <w:t>,</w:t>
            </w:r>
            <w:r w:rsidR="00B764B4">
              <w:rPr>
                <w:rFonts w:asciiTheme="minorHAnsi" w:hAnsiTheme="minorHAnsi" w:cstheme="minorHAnsi"/>
                <w:sz w:val="16"/>
                <w:szCs w:val="16"/>
              </w:rPr>
              <w:t>0</w:t>
            </w:r>
            <w:r w:rsidRPr="003B4367">
              <w:rPr>
                <w:rFonts w:asciiTheme="minorHAnsi" w:hAnsiTheme="minorHAnsi" w:cstheme="minorHAnsi"/>
                <w:sz w:val="16"/>
                <w:szCs w:val="16"/>
              </w:rPr>
              <w:t>00 ha</w:t>
            </w:r>
            <w:r w:rsidR="00366C72" w:rsidRPr="003B4367">
              <w:rPr>
                <w:rFonts w:asciiTheme="minorHAnsi" w:hAnsiTheme="minorHAnsi" w:cstheme="minorHAnsi"/>
                <w:sz w:val="16"/>
                <w:szCs w:val="16"/>
              </w:rPr>
              <w:t xml:space="preserve"> </w:t>
            </w:r>
          </w:p>
        </w:tc>
        <w:tc>
          <w:tcPr>
            <w:tcW w:w="850" w:type="dxa"/>
            <w:tcMar>
              <w:left w:w="28" w:type="dxa"/>
              <w:right w:w="28" w:type="dxa"/>
            </w:tcMar>
          </w:tcPr>
          <w:p w14:paraId="49D6CF35" w14:textId="45B18C58" w:rsidR="009563B4" w:rsidRPr="00FD09EF" w:rsidRDefault="009563B4" w:rsidP="00FC130A">
            <w:pPr>
              <w:rPr>
                <w:rFonts w:asciiTheme="minorHAnsi" w:hAnsiTheme="minorHAnsi" w:cstheme="minorHAnsi"/>
                <w:sz w:val="16"/>
                <w:szCs w:val="16"/>
              </w:rPr>
            </w:pPr>
            <w:r w:rsidRPr="00FD09EF">
              <w:rPr>
                <w:rFonts w:asciiTheme="minorHAnsi" w:hAnsiTheme="minorHAnsi" w:cstheme="minorHAnsi"/>
                <w:sz w:val="16"/>
                <w:szCs w:val="16"/>
              </w:rPr>
              <w:t xml:space="preserve">M mixed (mixture of </w:t>
            </w:r>
            <w:r w:rsidR="00B33376" w:rsidRPr="00FD09EF">
              <w:rPr>
                <w:rFonts w:asciiTheme="minorHAnsi" w:hAnsiTheme="minorHAnsi" w:cstheme="minorHAnsi"/>
                <w:sz w:val="16"/>
                <w:szCs w:val="16"/>
              </w:rPr>
              <w:t xml:space="preserve">land-use </w:t>
            </w:r>
            <w:r w:rsidRPr="00FD09EF">
              <w:rPr>
                <w:rFonts w:asciiTheme="minorHAnsi" w:hAnsiTheme="minorHAnsi" w:cstheme="minorHAnsi"/>
                <w:sz w:val="16"/>
                <w:szCs w:val="16"/>
              </w:rPr>
              <w:t>types within same land unit)</w:t>
            </w:r>
          </w:p>
        </w:tc>
        <w:tc>
          <w:tcPr>
            <w:tcW w:w="1134" w:type="dxa"/>
            <w:tcMar>
              <w:left w:w="28" w:type="dxa"/>
              <w:right w:w="28" w:type="dxa"/>
            </w:tcMar>
          </w:tcPr>
          <w:p w14:paraId="50D7F806" w14:textId="77777777" w:rsidR="009563B4" w:rsidRPr="00FD09EF" w:rsidRDefault="009563B4" w:rsidP="00FC130A">
            <w:pPr>
              <w:rPr>
                <w:rFonts w:asciiTheme="minorHAnsi" w:hAnsiTheme="minorHAnsi" w:cstheme="minorHAnsi"/>
                <w:sz w:val="16"/>
                <w:szCs w:val="16"/>
              </w:rPr>
            </w:pPr>
            <w:r w:rsidRPr="00FD09EF">
              <w:rPr>
                <w:rFonts w:asciiTheme="minorHAnsi" w:hAnsiTheme="minorHAnsi" w:cstheme="minorHAnsi"/>
                <w:sz w:val="16"/>
                <w:szCs w:val="16"/>
              </w:rPr>
              <w:t>LMU-AO-8 | Sub-Basin 1, LUS = Watershed-Forest-Cropland D1</w:t>
            </w:r>
          </w:p>
        </w:tc>
        <w:tc>
          <w:tcPr>
            <w:tcW w:w="709" w:type="dxa"/>
            <w:tcMar>
              <w:left w:w="28" w:type="dxa"/>
              <w:right w:w="113" w:type="dxa"/>
            </w:tcMar>
          </w:tcPr>
          <w:p w14:paraId="0852DADF" w14:textId="02DED2BB" w:rsidR="009563B4" w:rsidRPr="00FD09EF" w:rsidRDefault="0070305B" w:rsidP="00FC130A">
            <w:pPr>
              <w:jc w:val="right"/>
              <w:rPr>
                <w:rFonts w:asciiTheme="minorHAnsi" w:hAnsiTheme="minorHAnsi" w:cstheme="minorHAnsi"/>
                <w:sz w:val="16"/>
                <w:szCs w:val="16"/>
              </w:rPr>
            </w:pPr>
            <w:r w:rsidRPr="00FD09EF">
              <w:rPr>
                <w:rFonts w:asciiTheme="minorHAnsi" w:hAnsiTheme="minorHAnsi" w:cstheme="minorHAnsi"/>
                <w:sz w:val="16"/>
                <w:szCs w:val="16"/>
              </w:rPr>
              <w:t>1</w:t>
            </w:r>
            <w:r w:rsidR="00B764B4" w:rsidRPr="00FD09EF">
              <w:rPr>
                <w:rFonts w:asciiTheme="minorHAnsi" w:hAnsiTheme="minorHAnsi" w:cstheme="minorHAnsi"/>
                <w:sz w:val="16"/>
                <w:szCs w:val="16"/>
              </w:rPr>
              <w:t>1</w:t>
            </w:r>
            <w:r w:rsidR="00CB7C04" w:rsidRPr="00FD09EF">
              <w:rPr>
                <w:rFonts w:asciiTheme="minorHAnsi" w:hAnsiTheme="minorHAnsi" w:cstheme="minorHAnsi"/>
                <w:sz w:val="16"/>
                <w:szCs w:val="16"/>
              </w:rPr>
              <w:t>1</w:t>
            </w:r>
            <w:r w:rsidR="00B764B4" w:rsidRPr="00FD09EF">
              <w:rPr>
                <w:rFonts w:asciiTheme="minorHAnsi" w:hAnsiTheme="minorHAnsi" w:cstheme="minorHAnsi"/>
                <w:sz w:val="16"/>
                <w:szCs w:val="16"/>
              </w:rPr>
              <w:t>,3</w:t>
            </w:r>
            <w:r w:rsidR="009563B4" w:rsidRPr="00FD09EF">
              <w:rPr>
                <w:rFonts w:asciiTheme="minorHAnsi" w:hAnsiTheme="minorHAnsi" w:cstheme="minorHAnsi"/>
                <w:sz w:val="16"/>
                <w:szCs w:val="16"/>
              </w:rPr>
              <w:t>00</w:t>
            </w:r>
          </w:p>
        </w:tc>
        <w:tc>
          <w:tcPr>
            <w:tcW w:w="4536" w:type="dxa"/>
            <w:tcMar>
              <w:left w:w="28" w:type="dxa"/>
              <w:right w:w="28" w:type="dxa"/>
            </w:tcMar>
          </w:tcPr>
          <w:p w14:paraId="6DA34492" w14:textId="1FF0D949" w:rsidR="009563B4" w:rsidRPr="003B4367" w:rsidRDefault="009563B4" w:rsidP="00FC130A">
            <w:pPr>
              <w:rPr>
                <w:rFonts w:asciiTheme="minorHAnsi" w:hAnsiTheme="minorHAnsi" w:cstheme="minorHAnsi"/>
                <w:sz w:val="16"/>
                <w:szCs w:val="16"/>
              </w:rPr>
            </w:pPr>
            <w:r w:rsidRPr="003B4367">
              <w:rPr>
                <w:rFonts w:asciiTheme="minorHAnsi" w:hAnsiTheme="minorHAnsi" w:cstheme="minorHAnsi"/>
                <w:sz w:val="16"/>
                <w:szCs w:val="16"/>
              </w:rPr>
              <w:t xml:space="preserve">Watershed management, integrated (land &amp; water) in view of creating improved conditions along the Cuchi river watershed, the northern part will be under the responsibility of the Cuchi Commune, with due technical assistance for improved management and assistance from GABHIC. </w:t>
            </w:r>
          </w:p>
        </w:tc>
        <w:tc>
          <w:tcPr>
            <w:tcW w:w="1701" w:type="dxa"/>
            <w:tcMar>
              <w:left w:w="28" w:type="dxa"/>
              <w:right w:w="28" w:type="dxa"/>
            </w:tcMar>
          </w:tcPr>
          <w:p w14:paraId="2B8A91A5" w14:textId="77777777" w:rsidR="009563B4" w:rsidRPr="003B4367" w:rsidRDefault="009563B4" w:rsidP="00FC130A">
            <w:pPr>
              <w:rPr>
                <w:rFonts w:asciiTheme="minorHAnsi" w:hAnsiTheme="minorHAnsi" w:cstheme="minorHAnsi"/>
                <w:sz w:val="16"/>
                <w:szCs w:val="16"/>
              </w:rPr>
            </w:pPr>
            <w:r w:rsidRPr="003B4367">
              <w:rPr>
                <w:rFonts w:asciiTheme="minorHAnsi" w:hAnsiTheme="minorHAnsi" w:cstheme="minorHAnsi"/>
                <w:sz w:val="16"/>
                <w:szCs w:val="16"/>
              </w:rPr>
              <w:t>GABHIC, Cuchi Municipality and Cuchi Commune, riparian residents</w:t>
            </w:r>
          </w:p>
        </w:tc>
        <w:tc>
          <w:tcPr>
            <w:tcW w:w="1701" w:type="dxa"/>
            <w:tcMar>
              <w:left w:w="28" w:type="dxa"/>
              <w:right w:w="28" w:type="dxa"/>
            </w:tcMar>
          </w:tcPr>
          <w:p w14:paraId="7E024379" w14:textId="77777777" w:rsidR="009563B4" w:rsidRPr="008176BC" w:rsidRDefault="009563B4" w:rsidP="00FC130A">
            <w:pPr>
              <w:rPr>
                <w:rFonts w:asciiTheme="minorHAnsi" w:hAnsiTheme="minorHAnsi" w:cstheme="minorHAnsi"/>
                <w:sz w:val="16"/>
                <w:szCs w:val="16"/>
              </w:rPr>
            </w:pPr>
            <w:r w:rsidRPr="008176BC">
              <w:rPr>
                <w:rFonts w:asciiTheme="minorHAnsi" w:hAnsiTheme="minorHAnsi" w:cstheme="minorHAnsi"/>
                <w:sz w:val="16"/>
                <w:szCs w:val="16"/>
              </w:rPr>
              <w:t>Integrated watershed management</w:t>
            </w:r>
          </w:p>
        </w:tc>
        <w:tc>
          <w:tcPr>
            <w:tcW w:w="1984" w:type="dxa"/>
            <w:tcMar>
              <w:left w:w="28" w:type="dxa"/>
              <w:right w:w="28" w:type="dxa"/>
            </w:tcMar>
          </w:tcPr>
          <w:p w14:paraId="37E385AC" w14:textId="77777777" w:rsidR="009563B4" w:rsidRPr="008176BC" w:rsidRDefault="009563B4" w:rsidP="00FC130A">
            <w:pPr>
              <w:rPr>
                <w:rFonts w:asciiTheme="minorHAnsi" w:hAnsiTheme="minorHAnsi" w:cstheme="minorHAnsi"/>
                <w:sz w:val="16"/>
                <w:szCs w:val="16"/>
              </w:rPr>
            </w:pPr>
            <w:r w:rsidRPr="008176BC">
              <w:rPr>
                <w:rFonts w:asciiTheme="minorHAnsi" w:hAnsiTheme="minorHAnsi" w:cstheme="minorHAnsi"/>
                <w:sz w:val="16"/>
                <w:szCs w:val="16"/>
              </w:rPr>
              <w:t>Generally informed about the project, but not yet directly engaged for this activity</w:t>
            </w:r>
          </w:p>
        </w:tc>
        <w:tc>
          <w:tcPr>
            <w:tcW w:w="851" w:type="dxa"/>
            <w:tcMar>
              <w:left w:w="28" w:type="dxa"/>
              <w:right w:w="28" w:type="dxa"/>
            </w:tcMar>
          </w:tcPr>
          <w:p w14:paraId="2E8BF61F" w14:textId="75CC95B1" w:rsidR="009563B4" w:rsidRPr="008176BC" w:rsidRDefault="00A47551" w:rsidP="00FC130A">
            <w:pPr>
              <w:rPr>
                <w:rFonts w:asciiTheme="minorHAnsi" w:hAnsiTheme="minorHAnsi" w:cstheme="minorHAnsi"/>
                <w:sz w:val="16"/>
                <w:szCs w:val="16"/>
              </w:rPr>
            </w:pPr>
            <w:r w:rsidRPr="00CA44A1">
              <w:rPr>
                <w:rFonts w:asciiTheme="minorHAnsi" w:hAnsiTheme="minorHAnsi" w:cstheme="minorHAnsi"/>
                <w:sz w:val="16"/>
                <w:szCs w:val="16"/>
                <w:highlight w:val="yellow"/>
              </w:rPr>
              <w:t>AVOID</w:t>
            </w:r>
          </w:p>
        </w:tc>
      </w:tr>
      <w:tr w:rsidR="008900EE" w:rsidRPr="00A7717E" w14:paraId="3AE97C85" w14:textId="77777777" w:rsidTr="00FC130A">
        <w:tc>
          <w:tcPr>
            <w:tcW w:w="704" w:type="dxa"/>
            <w:tcBorders>
              <w:bottom w:val="single" w:sz="12" w:space="0" w:color="auto"/>
            </w:tcBorders>
            <w:tcMar>
              <w:left w:w="28" w:type="dxa"/>
              <w:right w:w="28" w:type="dxa"/>
            </w:tcMar>
          </w:tcPr>
          <w:p w14:paraId="7066C70B" w14:textId="77777777" w:rsidR="009563B4" w:rsidRPr="008176BC" w:rsidRDefault="009563B4" w:rsidP="00FC130A">
            <w:pPr>
              <w:jc w:val="center"/>
              <w:rPr>
                <w:rFonts w:asciiTheme="minorHAnsi" w:hAnsiTheme="minorHAnsi" w:cstheme="minorHAnsi"/>
                <w:sz w:val="16"/>
                <w:szCs w:val="16"/>
              </w:rPr>
            </w:pPr>
            <w:r w:rsidRPr="008176BC">
              <w:rPr>
                <w:rFonts w:asciiTheme="minorHAnsi" w:hAnsiTheme="minorHAnsi" w:cstheme="minorHAnsi"/>
                <w:sz w:val="16"/>
                <w:szCs w:val="16"/>
              </w:rPr>
              <w:t>9</w:t>
            </w:r>
          </w:p>
        </w:tc>
        <w:tc>
          <w:tcPr>
            <w:tcW w:w="1418" w:type="dxa"/>
            <w:tcBorders>
              <w:bottom w:val="single" w:sz="12" w:space="0" w:color="auto"/>
            </w:tcBorders>
            <w:tcMar>
              <w:left w:w="28" w:type="dxa"/>
              <w:right w:w="28" w:type="dxa"/>
            </w:tcMar>
          </w:tcPr>
          <w:p w14:paraId="31EED733" w14:textId="77777777" w:rsidR="009563B4" w:rsidRPr="003B4367" w:rsidRDefault="009563B4" w:rsidP="00FC130A">
            <w:pPr>
              <w:rPr>
                <w:rFonts w:asciiTheme="minorHAnsi" w:hAnsiTheme="minorHAnsi" w:cstheme="minorHAnsi"/>
                <w:sz w:val="16"/>
                <w:szCs w:val="16"/>
              </w:rPr>
            </w:pPr>
            <w:r w:rsidRPr="003B4367">
              <w:rPr>
                <w:rFonts w:asciiTheme="minorHAnsi" w:hAnsiTheme="minorHAnsi" w:cstheme="minorHAnsi"/>
                <w:sz w:val="16"/>
                <w:szCs w:val="16"/>
              </w:rPr>
              <w:t>D2 Cuchi River Municipal Watershed Macro Management Plan (Chinguanja Chapter) 56,000 ha</w:t>
            </w:r>
          </w:p>
        </w:tc>
        <w:tc>
          <w:tcPr>
            <w:tcW w:w="850" w:type="dxa"/>
            <w:tcBorders>
              <w:bottom w:val="single" w:sz="12" w:space="0" w:color="auto"/>
            </w:tcBorders>
            <w:tcMar>
              <w:left w:w="28" w:type="dxa"/>
              <w:right w:w="28" w:type="dxa"/>
            </w:tcMar>
          </w:tcPr>
          <w:p w14:paraId="32C29014" w14:textId="394701D6" w:rsidR="009563B4" w:rsidRPr="00FD09EF" w:rsidRDefault="009563B4" w:rsidP="00FC130A">
            <w:pPr>
              <w:rPr>
                <w:rFonts w:asciiTheme="minorHAnsi" w:hAnsiTheme="minorHAnsi" w:cstheme="minorHAnsi"/>
                <w:sz w:val="16"/>
                <w:szCs w:val="16"/>
              </w:rPr>
            </w:pPr>
            <w:r w:rsidRPr="00FD09EF">
              <w:rPr>
                <w:rFonts w:asciiTheme="minorHAnsi" w:hAnsiTheme="minorHAnsi" w:cstheme="minorHAnsi"/>
                <w:sz w:val="16"/>
                <w:szCs w:val="16"/>
              </w:rPr>
              <w:t xml:space="preserve">M mixed (mixture of </w:t>
            </w:r>
            <w:r w:rsidR="00B33376" w:rsidRPr="00FD09EF">
              <w:rPr>
                <w:rFonts w:asciiTheme="minorHAnsi" w:hAnsiTheme="minorHAnsi" w:cstheme="minorHAnsi"/>
                <w:sz w:val="16"/>
                <w:szCs w:val="16"/>
              </w:rPr>
              <w:t xml:space="preserve">land-use </w:t>
            </w:r>
            <w:r w:rsidRPr="00FD09EF">
              <w:rPr>
                <w:rFonts w:asciiTheme="minorHAnsi" w:hAnsiTheme="minorHAnsi" w:cstheme="minorHAnsi"/>
                <w:sz w:val="16"/>
                <w:szCs w:val="16"/>
              </w:rPr>
              <w:t>types within same land unit)</w:t>
            </w:r>
          </w:p>
        </w:tc>
        <w:tc>
          <w:tcPr>
            <w:tcW w:w="1134" w:type="dxa"/>
            <w:tcBorders>
              <w:bottom w:val="single" w:sz="12" w:space="0" w:color="auto"/>
            </w:tcBorders>
            <w:tcMar>
              <w:left w:w="28" w:type="dxa"/>
              <w:right w:w="28" w:type="dxa"/>
            </w:tcMar>
          </w:tcPr>
          <w:p w14:paraId="6D1E0CDB" w14:textId="77777777" w:rsidR="009563B4" w:rsidRPr="00FD09EF" w:rsidRDefault="009563B4" w:rsidP="00FC130A">
            <w:pPr>
              <w:rPr>
                <w:rFonts w:asciiTheme="minorHAnsi" w:hAnsiTheme="minorHAnsi" w:cstheme="minorHAnsi"/>
                <w:sz w:val="16"/>
                <w:szCs w:val="16"/>
              </w:rPr>
            </w:pPr>
            <w:r w:rsidRPr="00FD09EF">
              <w:rPr>
                <w:rFonts w:asciiTheme="minorHAnsi" w:hAnsiTheme="minorHAnsi" w:cstheme="minorHAnsi"/>
                <w:sz w:val="16"/>
                <w:szCs w:val="16"/>
              </w:rPr>
              <w:t>LMU-AO-9 | Sub-Basin 1, LUS = Watershed-Forest-Cropland D2</w:t>
            </w:r>
          </w:p>
        </w:tc>
        <w:tc>
          <w:tcPr>
            <w:tcW w:w="709" w:type="dxa"/>
            <w:tcBorders>
              <w:bottom w:val="single" w:sz="12" w:space="0" w:color="auto"/>
            </w:tcBorders>
            <w:tcMar>
              <w:left w:w="28" w:type="dxa"/>
              <w:right w:w="113" w:type="dxa"/>
            </w:tcMar>
          </w:tcPr>
          <w:p w14:paraId="34E0133D" w14:textId="77777777" w:rsidR="009563B4" w:rsidRPr="00FD09EF" w:rsidRDefault="009563B4" w:rsidP="00FC130A">
            <w:pPr>
              <w:jc w:val="right"/>
              <w:rPr>
                <w:rFonts w:asciiTheme="minorHAnsi" w:hAnsiTheme="minorHAnsi" w:cstheme="minorHAnsi"/>
                <w:sz w:val="16"/>
                <w:szCs w:val="16"/>
              </w:rPr>
            </w:pPr>
            <w:r w:rsidRPr="00FD09EF">
              <w:rPr>
                <w:rFonts w:asciiTheme="minorHAnsi" w:hAnsiTheme="minorHAnsi" w:cstheme="minorHAnsi"/>
                <w:sz w:val="16"/>
                <w:szCs w:val="16"/>
              </w:rPr>
              <w:t>56,000</w:t>
            </w:r>
          </w:p>
        </w:tc>
        <w:tc>
          <w:tcPr>
            <w:tcW w:w="4536" w:type="dxa"/>
            <w:tcBorders>
              <w:bottom w:val="single" w:sz="12" w:space="0" w:color="auto"/>
            </w:tcBorders>
            <w:tcMar>
              <w:left w:w="28" w:type="dxa"/>
              <w:right w:w="28" w:type="dxa"/>
            </w:tcMar>
          </w:tcPr>
          <w:p w14:paraId="134ED15F" w14:textId="44978EC7" w:rsidR="009563B4" w:rsidRPr="003B4367" w:rsidRDefault="009563B4" w:rsidP="00FC130A">
            <w:pPr>
              <w:rPr>
                <w:rFonts w:asciiTheme="minorHAnsi" w:hAnsiTheme="minorHAnsi" w:cstheme="minorHAnsi"/>
                <w:sz w:val="16"/>
                <w:szCs w:val="16"/>
              </w:rPr>
            </w:pPr>
            <w:r w:rsidRPr="003B4367">
              <w:rPr>
                <w:rFonts w:asciiTheme="minorHAnsi" w:hAnsiTheme="minorHAnsi" w:cstheme="minorHAnsi"/>
                <w:sz w:val="16"/>
                <w:szCs w:val="16"/>
              </w:rPr>
              <w:t xml:space="preserve">Watershed management, integrated (land &amp; water) in view of creating improved conditions along the Cuchi river watershed, the southern part will be under the responsibility of the Chinguanja Commune, with due technical assistance for improved management and assistance from GABHIC. </w:t>
            </w:r>
          </w:p>
        </w:tc>
        <w:tc>
          <w:tcPr>
            <w:tcW w:w="1701" w:type="dxa"/>
            <w:tcBorders>
              <w:bottom w:val="single" w:sz="12" w:space="0" w:color="auto"/>
            </w:tcBorders>
            <w:tcMar>
              <w:left w:w="28" w:type="dxa"/>
              <w:right w:w="28" w:type="dxa"/>
            </w:tcMar>
          </w:tcPr>
          <w:p w14:paraId="51C2E48E" w14:textId="77777777" w:rsidR="009563B4" w:rsidRPr="003B4367" w:rsidRDefault="009563B4" w:rsidP="00FC130A">
            <w:pPr>
              <w:rPr>
                <w:rFonts w:asciiTheme="minorHAnsi" w:hAnsiTheme="minorHAnsi" w:cstheme="minorHAnsi"/>
                <w:sz w:val="16"/>
                <w:szCs w:val="16"/>
              </w:rPr>
            </w:pPr>
            <w:r w:rsidRPr="003B4367">
              <w:rPr>
                <w:rFonts w:asciiTheme="minorHAnsi" w:hAnsiTheme="minorHAnsi" w:cstheme="minorHAnsi"/>
                <w:sz w:val="16"/>
                <w:szCs w:val="16"/>
              </w:rPr>
              <w:t>GABHIC, Cuchi Municipality and Chinguanja Commune, riparian residents</w:t>
            </w:r>
          </w:p>
        </w:tc>
        <w:tc>
          <w:tcPr>
            <w:tcW w:w="1701" w:type="dxa"/>
            <w:tcBorders>
              <w:bottom w:val="single" w:sz="12" w:space="0" w:color="auto"/>
            </w:tcBorders>
            <w:tcMar>
              <w:left w:w="28" w:type="dxa"/>
              <w:right w:w="28" w:type="dxa"/>
            </w:tcMar>
          </w:tcPr>
          <w:p w14:paraId="3CC6FA85" w14:textId="77777777" w:rsidR="009563B4" w:rsidRPr="008176BC" w:rsidRDefault="009563B4" w:rsidP="00FC130A">
            <w:pPr>
              <w:rPr>
                <w:rFonts w:asciiTheme="minorHAnsi" w:hAnsiTheme="minorHAnsi" w:cstheme="minorHAnsi"/>
                <w:sz w:val="16"/>
                <w:szCs w:val="16"/>
              </w:rPr>
            </w:pPr>
            <w:r w:rsidRPr="008176BC">
              <w:rPr>
                <w:rFonts w:asciiTheme="minorHAnsi" w:hAnsiTheme="minorHAnsi" w:cstheme="minorHAnsi"/>
                <w:sz w:val="16"/>
                <w:szCs w:val="16"/>
              </w:rPr>
              <w:t>Integrated watershed management</w:t>
            </w:r>
          </w:p>
        </w:tc>
        <w:tc>
          <w:tcPr>
            <w:tcW w:w="1984" w:type="dxa"/>
            <w:tcBorders>
              <w:bottom w:val="single" w:sz="12" w:space="0" w:color="auto"/>
            </w:tcBorders>
            <w:tcMar>
              <w:left w:w="28" w:type="dxa"/>
              <w:right w:w="28" w:type="dxa"/>
            </w:tcMar>
          </w:tcPr>
          <w:p w14:paraId="38859F7A" w14:textId="77777777" w:rsidR="009563B4" w:rsidRPr="003B4367" w:rsidRDefault="009563B4" w:rsidP="00FC130A">
            <w:pPr>
              <w:rPr>
                <w:rFonts w:asciiTheme="minorHAnsi" w:hAnsiTheme="minorHAnsi" w:cstheme="minorHAnsi"/>
                <w:sz w:val="16"/>
                <w:szCs w:val="16"/>
              </w:rPr>
            </w:pPr>
            <w:r w:rsidRPr="003B4367">
              <w:rPr>
                <w:rFonts w:asciiTheme="minorHAnsi" w:hAnsiTheme="minorHAnsi" w:cstheme="minorHAnsi"/>
                <w:sz w:val="16"/>
                <w:szCs w:val="16"/>
              </w:rPr>
              <w:t>Generally informed about the project, but not yet directly engaged for this activity</w:t>
            </w:r>
          </w:p>
        </w:tc>
        <w:tc>
          <w:tcPr>
            <w:tcW w:w="851" w:type="dxa"/>
            <w:tcBorders>
              <w:bottom w:val="single" w:sz="12" w:space="0" w:color="auto"/>
            </w:tcBorders>
            <w:tcMar>
              <w:left w:w="28" w:type="dxa"/>
              <w:right w:w="28" w:type="dxa"/>
            </w:tcMar>
          </w:tcPr>
          <w:p w14:paraId="7943D905" w14:textId="054D3C4B" w:rsidR="009563B4" w:rsidRPr="003B4367" w:rsidRDefault="00A47551" w:rsidP="00FC130A">
            <w:pPr>
              <w:rPr>
                <w:rFonts w:asciiTheme="minorHAnsi" w:hAnsiTheme="minorHAnsi" w:cstheme="minorHAnsi"/>
                <w:sz w:val="16"/>
                <w:szCs w:val="16"/>
              </w:rPr>
            </w:pPr>
            <w:r w:rsidRPr="00CA44A1">
              <w:rPr>
                <w:rFonts w:asciiTheme="minorHAnsi" w:hAnsiTheme="minorHAnsi" w:cstheme="minorHAnsi"/>
                <w:sz w:val="16"/>
                <w:szCs w:val="16"/>
                <w:highlight w:val="yellow"/>
              </w:rPr>
              <w:t>AVOID</w:t>
            </w:r>
          </w:p>
        </w:tc>
      </w:tr>
      <w:tr w:rsidR="000977AF" w:rsidRPr="00A7717E" w14:paraId="74FCD6CB" w14:textId="77777777" w:rsidTr="00FC130A">
        <w:tc>
          <w:tcPr>
            <w:tcW w:w="2972" w:type="dxa"/>
            <w:gridSpan w:val="3"/>
            <w:tcBorders>
              <w:right w:val="nil"/>
            </w:tcBorders>
            <w:shd w:val="clear" w:color="auto" w:fill="BFBFBF" w:themeFill="background1" w:themeFillShade="BF"/>
            <w:noWrap/>
            <w:tcMar>
              <w:left w:w="28" w:type="dxa"/>
              <w:right w:w="28" w:type="dxa"/>
            </w:tcMar>
          </w:tcPr>
          <w:p w14:paraId="0417B4F4" w14:textId="04E9D4EE" w:rsidR="000977AF" w:rsidRPr="000977AF" w:rsidRDefault="000977AF" w:rsidP="00FC130A">
            <w:pPr>
              <w:rPr>
                <w:rFonts w:asciiTheme="minorHAnsi" w:hAnsiTheme="minorHAnsi" w:cstheme="minorHAnsi"/>
                <w:b/>
                <w:bCs/>
                <w:sz w:val="16"/>
                <w:szCs w:val="16"/>
              </w:rPr>
            </w:pPr>
            <w:r>
              <w:rPr>
                <w:rFonts w:asciiTheme="minorHAnsi" w:hAnsiTheme="minorHAnsi" w:cstheme="minorHAnsi"/>
                <w:b/>
                <w:bCs/>
                <w:sz w:val="16"/>
                <w:szCs w:val="16"/>
              </w:rPr>
              <w:t>Cahama-Cunene (Sub-Basin 2)</w:t>
            </w:r>
          </w:p>
        </w:tc>
        <w:tc>
          <w:tcPr>
            <w:tcW w:w="1134" w:type="dxa"/>
            <w:tcBorders>
              <w:left w:val="nil"/>
              <w:right w:val="nil"/>
            </w:tcBorders>
            <w:shd w:val="clear" w:color="auto" w:fill="BFBFBF" w:themeFill="background1" w:themeFillShade="BF"/>
            <w:noWrap/>
            <w:tcMar>
              <w:left w:w="28" w:type="dxa"/>
              <w:right w:w="28" w:type="dxa"/>
            </w:tcMar>
          </w:tcPr>
          <w:p w14:paraId="1C85B5D5" w14:textId="77777777" w:rsidR="000977AF" w:rsidRPr="000977AF" w:rsidRDefault="000977AF" w:rsidP="00FC130A">
            <w:pPr>
              <w:rPr>
                <w:rFonts w:asciiTheme="minorHAnsi" w:hAnsiTheme="minorHAnsi" w:cstheme="minorHAnsi"/>
                <w:b/>
                <w:bCs/>
                <w:sz w:val="16"/>
                <w:szCs w:val="16"/>
              </w:rPr>
            </w:pPr>
          </w:p>
        </w:tc>
        <w:tc>
          <w:tcPr>
            <w:tcW w:w="709" w:type="dxa"/>
            <w:tcBorders>
              <w:left w:val="nil"/>
              <w:right w:val="nil"/>
            </w:tcBorders>
            <w:shd w:val="clear" w:color="auto" w:fill="BFBFBF" w:themeFill="background1" w:themeFillShade="BF"/>
            <w:noWrap/>
            <w:tcMar>
              <w:left w:w="28" w:type="dxa"/>
              <w:right w:w="113" w:type="dxa"/>
            </w:tcMar>
          </w:tcPr>
          <w:p w14:paraId="509D60E7" w14:textId="77777777" w:rsidR="000977AF" w:rsidRPr="000977AF" w:rsidRDefault="000977AF" w:rsidP="00FC130A">
            <w:pPr>
              <w:rPr>
                <w:rFonts w:asciiTheme="minorHAnsi" w:hAnsiTheme="minorHAnsi" w:cstheme="minorHAnsi"/>
                <w:b/>
                <w:bCs/>
                <w:sz w:val="16"/>
                <w:szCs w:val="16"/>
              </w:rPr>
            </w:pPr>
          </w:p>
        </w:tc>
        <w:tc>
          <w:tcPr>
            <w:tcW w:w="4536" w:type="dxa"/>
            <w:tcBorders>
              <w:left w:val="nil"/>
              <w:right w:val="nil"/>
            </w:tcBorders>
            <w:shd w:val="clear" w:color="auto" w:fill="BFBFBF" w:themeFill="background1" w:themeFillShade="BF"/>
            <w:noWrap/>
            <w:tcMar>
              <w:left w:w="28" w:type="dxa"/>
              <w:right w:w="28" w:type="dxa"/>
            </w:tcMar>
          </w:tcPr>
          <w:p w14:paraId="409B646C" w14:textId="77777777" w:rsidR="000977AF" w:rsidRPr="000977AF" w:rsidRDefault="000977AF" w:rsidP="00FC130A">
            <w:pPr>
              <w:rPr>
                <w:rFonts w:asciiTheme="minorHAnsi" w:hAnsiTheme="minorHAnsi" w:cstheme="minorHAnsi"/>
                <w:b/>
                <w:bCs/>
                <w:sz w:val="16"/>
                <w:szCs w:val="16"/>
              </w:rPr>
            </w:pPr>
          </w:p>
        </w:tc>
        <w:tc>
          <w:tcPr>
            <w:tcW w:w="1701" w:type="dxa"/>
            <w:tcBorders>
              <w:left w:val="nil"/>
              <w:right w:val="nil"/>
            </w:tcBorders>
            <w:shd w:val="clear" w:color="auto" w:fill="BFBFBF" w:themeFill="background1" w:themeFillShade="BF"/>
            <w:noWrap/>
            <w:tcMar>
              <w:left w:w="28" w:type="dxa"/>
              <w:right w:w="28" w:type="dxa"/>
            </w:tcMar>
          </w:tcPr>
          <w:p w14:paraId="2468494B" w14:textId="77777777" w:rsidR="000977AF" w:rsidRPr="000977AF" w:rsidRDefault="000977AF" w:rsidP="00FC130A">
            <w:pPr>
              <w:rPr>
                <w:rFonts w:asciiTheme="minorHAnsi" w:hAnsiTheme="minorHAnsi" w:cstheme="minorHAnsi"/>
                <w:b/>
                <w:bCs/>
                <w:sz w:val="16"/>
                <w:szCs w:val="16"/>
              </w:rPr>
            </w:pPr>
          </w:p>
        </w:tc>
        <w:tc>
          <w:tcPr>
            <w:tcW w:w="1701" w:type="dxa"/>
            <w:tcBorders>
              <w:left w:val="nil"/>
              <w:right w:val="nil"/>
            </w:tcBorders>
            <w:shd w:val="clear" w:color="auto" w:fill="BFBFBF" w:themeFill="background1" w:themeFillShade="BF"/>
            <w:noWrap/>
            <w:tcMar>
              <w:left w:w="28" w:type="dxa"/>
              <w:right w:w="28" w:type="dxa"/>
            </w:tcMar>
          </w:tcPr>
          <w:p w14:paraId="4FD095B7" w14:textId="77777777" w:rsidR="000977AF" w:rsidRPr="000977AF" w:rsidRDefault="000977AF" w:rsidP="00FC130A">
            <w:pPr>
              <w:rPr>
                <w:rFonts w:asciiTheme="minorHAnsi" w:hAnsiTheme="minorHAnsi" w:cstheme="minorHAnsi"/>
                <w:b/>
                <w:bCs/>
                <w:sz w:val="16"/>
                <w:szCs w:val="16"/>
              </w:rPr>
            </w:pPr>
          </w:p>
        </w:tc>
        <w:tc>
          <w:tcPr>
            <w:tcW w:w="1984" w:type="dxa"/>
            <w:tcBorders>
              <w:left w:val="nil"/>
              <w:right w:val="nil"/>
            </w:tcBorders>
            <w:shd w:val="clear" w:color="auto" w:fill="BFBFBF" w:themeFill="background1" w:themeFillShade="BF"/>
            <w:noWrap/>
            <w:tcMar>
              <w:left w:w="28" w:type="dxa"/>
              <w:right w:w="28" w:type="dxa"/>
            </w:tcMar>
          </w:tcPr>
          <w:p w14:paraId="100C74A9" w14:textId="77777777" w:rsidR="000977AF" w:rsidRPr="000977AF" w:rsidRDefault="000977AF" w:rsidP="00FC130A">
            <w:pPr>
              <w:rPr>
                <w:rFonts w:asciiTheme="minorHAnsi" w:hAnsiTheme="minorHAnsi" w:cstheme="minorHAnsi"/>
                <w:b/>
                <w:bCs/>
                <w:sz w:val="16"/>
                <w:szCs w:val="16"/>
              </w:rPr>
            </w:pPr>
          </w:p>
        </w:tc>
        <w:tc>
          <w:tcPr>
            <w:tcW w:w="851" w:type="dxa"/>
            <w:tcBorders>
              <w:left w:val="nil"/>
            </w:tcBorders>
            <w:tcMar>
              <w:left w:w="28" w:type="dxa"/>
              <w:right w:w="28" w:type="dxa"/>
            </w:tcMar>
          </w:tcPr>
          <w:p w14:paraId="48E42F71" w14:textId="77777777" w:rsidR="000977AF" w:rsidRPr="000977AF" w:rsidRDefault="000977AF" w:rsidP="00FC130A">
            <w:pPr>
              <w:rPr>
                <w:rFonts w:asciiTheme="minorHAnsi" w:hAnsiTheme="minorHAnsi" w:cstheme="minorHAnsi"/>
                <w:b/>
                <w:bCs/>
                <w:sz w:val="16"/>
                <w:szCs w:val="16"/>
              </w:rPr>
            </w:pPr>
          </w:p>
        </w:tc>
      </w:tr>
      <w:tr w:rsidR="008900EE" w:rsidRPr="00A7717E" w14:paraId="07817A41" w14:textId="77777777" w:rsidTr="00FC130A">
        <w:tc>
          <w:tcPr>
            <w:tcW w:w="704" w:type="dxa"/>
            <w:tcMar>
              <w:left w:w="28" w:type="dxa"/>
              <w:right w:w="28" w:type="dxa"/>
            </w:tcMar>
          </w:tcPr>
          <w:p w14:paraId="2A5ABCC8" w14:textId="77777777" w:rsidR="009563B4" w:rsidRPr="008176BC" w:rsidRDefault="009563B4" w:rsidP="00FC130A">
            <w:pPr>
              <w:jc w:val="center"/>
              <w:rPr>
                <w:rFonts w:asciiTheme="minorHAnsi" w:hAnsiTheme="minorHAnsi" w:cstheme="minorHAnsi"/>
                <w:sz w:val="16"/>
                <w:szCs w:val="16"/>
              </w:rPr>
            </w:pPr>
            <w:r w:rsidRPr="008176BC">
              <w:rPr>
                <w:rFonts w:asciiTheme="minorHAnsi" w:hAnsiTheme="minorHAnsi" w:cstheme="minorHAnsi"/>
                <w:sz w:val="16"/>
                <w:szCs w:val="16"/>
              </w:rPr>
              <w:t>10</w:t>
            </w:r>
          </w:p>
        </w:tc>
        <w:tc>
          <w:tcPr>
            <w:tcW w:w="1418" w:type="dxa"/>
            <w:tcMar>
              <w:left w:w="28" w:type="dxa"/>
              <w:right w:w="28" w:type="dxa"/>
            </w:tcMar>
          </w:tcPr>
          <w:p w14:paraId="7608FC8D" w14:textId="49154FA8" w:rsidR="009563B4" w:rsidRPr="003B4367" w:rsidRDefault="009563B4" w:rsidP="00FC130A">
            <w:pPr>
              <w:rPr>
                <w:rFonts w:asciiTheme="minorHAnsi" w:hAnsiTheme="minorHAnsi" w:cstheme="minorHAnsi"/>
                <w:sz w:val="16"/>
                <w:szCs w:val="16"/>
              </w:rPr>
            </w:pPr>
            <w:r w:rsidRPr="003B4367">
              <w:rPr>
                <w:rFonts w:asciiTheme="minorHAnsi" w:hAnsiTheme="minorHAnsi" w:cstheme="minorHAnsi"/>
                <w:sz w:val="16"/>
                <w:szCs w:val="16"/>
              </w:rPr>
              <w:t xml:space="preserve">A4 Tchipelongo Forest Patch of Zambezian Baikiaea woodlands </w:t>
            </w:r>
            <w:r w:rsidR="0070305B" w:rsidRPr="003B4367">
              <w:rPr>
                <w:rFonts w:asciiTheme="minorHAnsi" w:hAnsiTheme="minorHAnsi" w:cstheme="minorHAnsi"/>
                <w:i/>
                <w:iCs/>
                <w:sz w:val="16"/>
                <w:szCs w:val="16"/>
                <w:u w:val="single"/>
              </w:rPr>
              <w:t>t</w:t>
            </w:r>
          </w:p>
        </w:tc>
        <w:tc>
          <w:tcPr>
            <w:tcW w:w="850" w:type="dxa"/>
            <w:tcMar>
              <w:left w:w="28" w:type="dxa"/>
              <w:right w:w="28" w:type="dxa"/>
            </w:tcMar>
          </w:tcPr>
          <w:p w14:paraId="51CD9A64" w14:textId="08DB17A4" w:rsidR="009563B4" w:rsidRPr="003B4367" w:rsidRDefault="009563B4" w:rsidP="00FC130A">
            <w:pPr>
              <w:rPr>
                <w:rFonts w:asciiTheme="minorHAnsi" w:hAnsiTheme="minorHAnsi" w:cstheme="minorHAnsi"/>
                <w:sz w:val="16"/>
                <w:szCs w:val="16"/>
              </w:rPr>
            </w:pPr>
            <w:r w:rsidRPr="003B4367">
              <w:rPr>
                <w:rFonts w:asciiTheme="minorHAnsi" w:hAnsiTheme="minorHAnsi" w:cstheme="minorHAnsi"/>
                <w:sz w:val="16"/>
                <w:szCs w:val="16"/>
              </w:rPr>
              <w:t>F forest/ woodlands</w:t>
            </w:r>
            <w:r w:rsidR="000036EC">
              <w:rPr>
                <w:rFonts w:asciiTheme="minorHAnsi" w:hAnsiTheme="minorHAnsi" w:cstheme="minorHAnsi"/>
                <w:sz w:val="16"/>
                <w:szCs w:val="16"/>
              </w:rPr>
              <w:t xml:space="preserve"> </w:t>
            </w:r>
            <w:r w:rsidR="000036EC" w:rsidRPr="00CA44A1">
              <w:rPr>
                <w:rFonts w:asciiTheme="minorHAnsi" w:hAnsiTheme="minorHAnsi" w:cstheme="minorHAnsi"/>
                <w:sz w:val="16"/>
                <w:szCs w:val="16"/>
                <w:highlight w:val="yellow"/>
              </w:rPr>
              <w:t>with</w:t>
            </w:r>
            <w:r w:rsidR="00E17696" w:rsidRPr="00CA44A1">
              <w:rPr>
                <w:rFonts w:asciiTheme="minorHAnsi" w:hAnsiTheme="minorHAnsi" w:cstheme="minorHAnsi"/>
                <w:sz w:val="16"/>
                <w:szCs w:val="16"/>
                <w:highlight w:val="yellow"/>
              </w:rPr>
              <w:t xml:space="preserve"> presence of small farms and grazing sites</w:t>
            </w:r>
            <w:r w:rsidR="00E17696">
              <w:rPr>
                <w:rFonts w:asciiTheme="minorHAnsi" w:hAnsiTheme="minorHAnsi" w:cstheme="minorHAnsi"/>
                <w:sz w:val="16"/>
                <w:szCs w:val="16"/>
              </w:rPr>
              <w:t>.</w:t>
            </w:r>
          </w:p>
        </w:tc>
        <w:tc>
          <w:tcPr>
            <w:tcW w:w="1134" w:type="dxa"/>
            <w:tcMar>
              <w:left w:w="28" w:type="dxa"/>
              <w:right w:w="28" w:type="dxa"/>
            </w:tcMar>
          </w:tcPr>
          <w:p w14:paraId="57A8E131" w14:textId="77777777" w:rsidR="009563B4" w:rsidRPr="003B4367" w:rsidRDefault="009563B4" w:rsidP="00FC130A">
            <w:pPr>
              <w:rPr>
                <w:rFonts w:asciiTheme="minorHAnsi" w:hAnsiTheme="minorHAnsi" w:cstheme="minorHAnsi"/>
                <w:sz w:val="16"/>
                <w:szCs w:val="16"/>
              </w:rPr>
            </w:pPr>
            <w:r w:rsidRPr="003B4367">
              <w:rPr>
                <w:rFonts w:asciiTheme="minorHAnsi" w:hAnsiTheme="minorHAnsi" w:cstheme="minorHAnsi"/>
                <w:sz w:val="16"/>
                <w:szCs w:val="16"/>
              </w:rPr>
              <w:t>LMU-AO-10 | Sub-Basin 2, LUS = Forest A4</w:t>
            </w:r>
          </w:p>
        </w:tc>
        <w:tc>
          <w:tcPr>
            <w:tcW w:w="709" w:type="dxa"/>
            <w:tcMar>
              <w:left w:w="28" w:type="dxa"/>
              <w:right w:w="113" w:type="dxa"/>
            </w:tcMar>
          </w:tcPr>
          <w:p w14:paraId="04D4001A" w14:textId="5719A14F" w:rsidR="009563B4" w:rsidRPr="003B4367" w:rsidRDefault="00593115" w:rsidP="00FC130A">
            <w:pPr>
              <w:jc w:val="right"/>
              <w:rPr>
                <w:rFonts w:asciiTheme="minorHAnsi" w:hAnsiTheme="minorHAnsi" w:cstheme="minorHAnsi"/>
                <w:sz w:val="16"/>
                <w:szCs w:val="16"/>
              </w:rPr>
            </w:pPr>
            <w:r w:rsidRPr="003B4367">
              <w:rPr>
                <w:rFonts w:asciiTheme="minorHAnsi" w:hAnsiTheme="minorHAnsi" w:cstheme="minorHAnsi"/>
                <w:sz w:val="16"/>
                <w:szCs w:val="16"/>
              </w:rPr>
              <w:t>18,334</w:t>
            </w:r>
          </w:p>
        </w:tc>
        <w:tc>
          <w:tcPr>
            <w:tcW w:w="4536" w:type="dxa"/>
            <w:tcMar>
              <w:left w:w="28" w:type="dxa"/>
              <w:right w:w="28" w:type="dxa"/>
            </w:tcMar>
          </w:tcPr>
          <w:p w14:paraId="54149D1E" w14:textId="073B837B" w:rsidR="009563B4" w:rsidRPr="003B4367" w:rsidRDefault="00A25F5D" w:rsidP="00FC130A">
            <w:pPr>
              <w:rPr>
                <w:rFonts w:asciiTheme="minorHAnsi" w:hAnsiTheme="minorHAnsi" w:cstheme="minorHAnsi"/>
                <w:sz w:val="16"/>
                <w:szCs w:val="16"/>
              </w:rPr>
            </w:pPr>
            <w:r w:rsidRPr="00CA44A1">
              <w:rPr>
                <w:rFonts w:asciiTheme="minorHAnsi" w:hAnsiTheme="minorHAnsi" w:cstheme="minorHAnsi"/>
                <w:sz w:val="16"/>
                <w:szCs w:val="16"/>
                <w:highlight w:val="yellow"/>
              </w:rPr>
              <w:t>Fragmented forest area with considerable interaction agriculture-livestock-forests</w:t>
            </w:r>
            <w:r w:rsidR="003E3283" w:rsidRPr="00CA44A1">
              <w:rPr>
                <w:rFonts w:asciiTheme="minorHAnsi" w:hAnsiTheme="minorHAnsi" w:cstheme="minorHAnsi"/>
                <w:sz w:val="16"/>
                <w:szCs w:val="16"/>
                <w:highlight w:val="yellow"/>
              </w:rPr>
              <w:t xml:space="preserve">, where the project aims to </w:t>
            </w:r>
            <w:r w:rsidR="0048623E" w:rsidRPr="00CA44A1">
              <w:rPr>
                <w:rFonts w:asciiTheme="minorHAnsi" w:hAnsiTheme="minorHAnsi" w:cstheme="minorHAnsi"/>
                <w:sz w:val="16"/>
                <w:szCs w:val="16"/>
                <w:highlight w:val="yellow"/>
              </w:rPr>
              <w:t xml:space="preserve">achieve similar results as for polygon A7 (see below) but also </w:t>
            </w:r>
            <w:r w:rsidR="00E64D8C" w:rsidRPr="00CA44A1">
              <w:rPr>
                <w:rFonts w:asciiTheme="minorHAnsi" w:hAnsiTheme="minorHAnsi" w:cstheme="minorHAnsi"/>
                <w:sz w:val="16"/>
                <w:szCs w:val="16"/>
                <w:highlight w:val="yellow"/>
              </w:rPr>
              <w:t>intr</w:t>
            </w:r>
            <w:r w:rsidR="00D349B6" w:rsidRPr="00CA44A1">
              <w:rPr>
                <w:rFonts w:asciiTheme="minorHAnsi" w:hAnsiTheme="minorHAnsi" w:cstheme="minorHAnsi"/>
                <w:sz w:val="16"/>
                <w:szCs w:val="16"/>
                <w:highlight w:val="yellow"/>
              </w:rPr>
              <w:t>o</w:t>
            </w:r>
            <w:r w:rsidR="00E64D8C" w:rsidRPr="00CA44A1">
              <w:rPr>
                <w:rFonts w:asciiTheme="minorHAnsi" w:hAnsiTheme="minorHAnsi" w:cstheme="minorHAnsi"/>
                <w:sz w:val="16"/>
                <w:szCs w:val="16"/>
                <w:highlight w:val="yellow"/>
              </w:rPr>
              <w:t>duce additional elements of SLM and rangeland management to preserve existing forest fragments.</w:t>
            </w:r>
          </w:p>
        </w:tc>
        <w:tc>
          <w:tcPr>
            <w:tcW w:w="1701" w:type="dxa"/>
            <w:tcMar>
              <w:left w:w="28" w:type="dxa"/>
              <w:right w:w="28" w:type="dxa"/>
            </w:tcMar>
          </w:tcPr>
          <w:p w14:paraId="302BEBB8" w14:textId="77777777" w:rsidR="00030FD0" w:rsidRPr="00CA44A1" w:rsidRDefault="00030FD0" w:rsidP="00FC130A">
            <w:pPr>
              <w:rPr>
                <w:rFonts w:asciiTheme="minorHAnsi" w:hAnsiTheme="minorHAnsi" w:cstheme="minorHAnsi"/>
                <w:sz w:val="16"/>
                <w:szCs w:val="16"/>
                <w:highlight w:val="yellow"/>
              </w:rPr>
            </w:pPr>
            <w:r w:rsidRPr="00CA44A1">
              <w:rPr>
                <w:rFonts w:asciiTheme="minorHAnsi" w:hAnsiTheme="minorHAnsi" w:cstheme="minorHAnsi"/>
                <w:sz w:val="16"/>
                <w:szCs w:val="16"/>
                <w:highlight w:val="yellow"/>
              </w:rPr>
              <w:t>Local agro-pastoralists</w:t>
            </w:r>
            <w:r w:rsidRPr="00CA44A1">
              <w:rPr>
                <w:highlight w:val="yellow"/>
              </w:rPr>
              <w:t xml:space="preserve"> </w:t>
            </w:r>
            <w:r w:rsidRPr="00CA44A1">
              <w:rPr>
                <w:rFonts w:asciiTheme="minorHAnsi" w:hAnsiTheme="minorHAnsi" w:cstheme="minorHAnsi"/>
                <w:sz w:val="16"/>
                <w:szCs w:val="16"/>
                <w:highlight w:val="yellow"/>
              </w:rPr>
              <w:t>in Tchipelongo, Muculo and Bela-Bela villages.</w:t>
            </w:r>
          </w:p>
          <w:p w14:paraId="1FFEB8CE" w14:textId="77777777" w:rsidR="00030FD0" w:rsidRPr="00CA44A1" w:rsidRDefault="00030FD0" w:rsidP="00FC130A">
            <w:pPr>
              <w:rPr>
                <w:rFonts w:asciiTheme="minorHAnsi" w:hAnsiTheme="minorHAnsi" w:cstheme="minorHAnsi"/>
                <w:sz w:val="16"/>
                <w:szCs w:val="16"/>
                <w:highlight w:val="yellow"/>
              </w:rPr>
            </w:pPr>
          </w:p>
          <w:p w14:paraId="0A046AD7" w14:textId="77777777" w:rsidR="00030FD0" w:rsidRPr="00CA44A1" w:rsidRDefault="00030FD0" w:rsidP="00FC130A">
            <w:pPr>
              <w:rPr>
                <w:rFonts w:asciiTheme="minorHAnsi" w:hAnsiTheme="minorHAnsi" w:cstheme="minorHAnsi"/>
                <w:sz w:val="16"/>
                <w:szCs w:val="16"/>
                <w:highlight w:val="yellow"/>
              </w:rPr>
            </w:pPr>
            <w:r w:rsidRPr="00CA44A1">
              <w:rPr>
                <w:rFonts w:asciiTheme="minorHAnsi" w:hAnsiTheme="minorHAnsi" w:cstheme="minorHAnsi"/>
                <w:sz w:val="16"/>
                <w:szCs w:val="16"/>
                <w:highlight w:val="yellow"/>
              </w:rPr>
              <w:t>Local Government in the municipality and province, responsible for the ILUP development and consultations in partnership with the operations partners.</w:t>
            </w:r>
          </w:p>
          <w:p w14:paraId="66836FD4" w14:textId="77777777" w:rsidR="00030FD0" w:rsidRPr="00CA44A1" w:rsidRDefault="00030FD0" w:rsidP="00FC130A">
            <w:pPr>
              <w:rPr>
                <w:rFonts w:asciiTheme="minorHAnsi" w:hAnsiTheme="minorHAnsi" w:cstheme="minorBidi"/>
                <w:sz w:val="16"/>
                <w:szCs w:val="16"/>
                <w:highlight w:val="yellow"/>
              </w:rPr>
            </w:pPr>
          </w:p>
          <w:p w14:paraId="35DC602A" w14:textId="4B7DC978" w:rsidR="009563B4" w:rsidRPr="003B4367" w:rsidRDefault="00030FD0" w:rsidP="00FC130A">
            <w:pPr>
              <w:rPr>
                <w:rFonts w:asciiTheme="minorHAnsi" w:hAnsiTheme="minorHAnsi" w:cstheme="minorHAnsi"/>
                <w:sz w:val="16"/>
                <w:szCs w:val="16"/>
              </w:rPr>
            </w:pPr>
            <w:r w:rsidRPr="00CA44A1">
              <w:rPr>
                <w:rFonts w:asciiTheme="minorHAnsi" w:hAnsiTheme="minorHAnsi" w:cstheme="minorBidi"/>
                <w:sz w:val="16"/>
                <w:szCs w:val="16"/>
                <w:highlight w:val="yellow"/>
              </w:rPr>
              <w:t>MICTA, DNAAC, INBAC and IDF</w:t>
            </w:r>
          </w:p>
        </w:tc>
        <w:tc>
          <w:tcPr>
            <w:tcW w:w="1701" w:type="dxa"/>
            <w:tcMar>
              <w:left w:w="28" w:type="dxa"/>
              <w:right w:w="28" w:type="dxa"/>
            </w:tcMar>
          </w:tcPr>
          <w:p w14:paraId="6262040C" w14:textId="112FA7A1" w:rsidR="009563B4" w:rsidRPr="008176BC" w:rsidRDefault="009946D9" w:rsidP="00FC130A">
            <w:pPr>
              <w:rPr>
                <w:rFonts w:asciiTheme="minorHAnsi" w:hAnsiTheme="minorHAnsi" w:cstheme="minorHAnsi"/>
                <w:sz w:val="16"/>
                <w:szCs w:val="16"/>
              </w:rPr>
            </w:pPr>
            <w:r w:rsidRPr="00CA44A1">
              <w:rPr>
                <w:rFonts w:asciiTheme="minorHAnsi" w:hAnsiTheme="minorHAnsi" w:cstheme="minorHAnsi"/>
                <w:sz w:val="16"/>
                <w:szCs w:val="16"/>
                <w:highlight w:val="yellow"/>
              </w:rPr>
              <w:t xml:space="preserve">SLM, SFM, rangeland </w:t>
            </w:r>
            <w:r w:rsidR="000036EC" w:rsidRPr="00CA44A1">
              <w:rPr>
                <w:rFonts w:asciiTheme="minorHAnsi" w:hAnsiTheme="minorHAnsi" w:cstheme="minorHAnsi"/>
                <w:sz w:val="16"/>
                <w:szCs w:val="16"/>
                <w:highlight w:val="yellow"/>
              </w:rPr>
              <w:t>management</w:t>
            </w:r>
          </w:p>
        </w:tc>
        <w:tc>
          <w:tcPr>
            <w:tcW w:w="1984" w:type="dxa"/>
            <w:tcMar>
              <w:left w:w="28" w:type="dxa"/>
              <w:right w:w="28" w:type="dxa"/>
            </w:tcMar>
          </w:tcPr>
          <w:p w14:paraId="65422390" w14:textId="77777777" w:rsidR="009563B4" w:rsidRPr="003B4367" w:rsidRDefault="009563B4" w:rsidP="00FC130A">
            <w:pPr>
              <w:rPr>
                <w:rFonts w:asciiTheme="minorHAnsi" w:hAnsiTheme="minorHAnsi" w:cstheme="minorHAnsi"/>
                <w:sz w:val="16"/>
                <w:szCs w:val="16"/>
              </w:rPr>
            </w:pPr>
            <w:r w:rsidRPr="003B4367">
              <w:rPr>
                <w:rFonts w:asciiTheme="minorHAnsi" w:hAnsiTheme="minorHAnsi" w:cstheme="minorHAnsi"/>
                <w:sz w:val="16"/>
                <w:szCs w:val="16"/>
              </w:rPr>
              <w:t>Generally informed about the project, but not yet directly engaged for this activity</w:t>
            </w:r>
          </w:p>
        </w:tc>
        <w:tc>
          <w:tcPr>
            <w:tcW w:w="851" w:type="dxa"/>
            <w:tcMar>
              <w:left w:w="28" w:type="dxa"/>
              <w:right w:w="28" w:type="dxa"/>
            </w:tcMar>
          </w:tcPr>
          <w:p w14:paraId="355B3809" w14:textId="6C3E89D4" w:rsidR="009563B4" w:rsidRPr="003B4367" w:rsidRDefault="005F6984" w:rsidP="00FC130A">
            <w:pPr>
              <w:rPr>
                <w:rFonts w:asciiTheme="minorHAnsi" w:hAnsiTheme="minorHAnsi" w:cstheme="minorHAnsi"/>
                <w:sz w:val="16"/>
                <w:szCs w:val="16"/>
              </w:rPr>
            </w:pPr>
            <w:r w:rsidRPr="00CA44A1">
              <w:rPr>
                <w:rFonts w:asciiTheme="minorHAnsi" w:hAnsiTheme="minorHAnsi" w:cstheme="minorHAnsi"/>
                <w:sz w:val="16"/>
                <w:szCs w:val="16"/>
                <w:highlight w:val="yellow"/>
              </w:rPr>
              <w:t>REDUCE</w:t>
            </w:r>
          </w:p>
        </w:tc>
      </w:tr>
      <w:tr w:rsidR="008900EE" w:rsidRPr="00A7717E" w14:paraId="6003024F" w14:textId="77777777" w:rsidTr="00FC130A">
        <w:tc>
          <w:tcPr>
            <w:tcW w:w="704" w:type="dxa"/>
            <w:tcMar>
              <w:left w:w="28" w:type="dxa"/>
              <w:right w:w="28" w:type="dxa"/>
            </w:tcMar>
          </w:tcPr>
          <w:p w14:paraId="0D3BBFF2" w14:textId="77777777" w:rsidR="009563B4" w:rsidRPr="008176BC" w:rsidRDefault="009563B4" w:rsidP="00FC130A">
            <w:pPr>
              <w:jc w:val="center"/>
              <w:rPr>
                <w:rFonts w:asciiTheme="minorHAnsi" w:hAnsiTheme="minorHAnsi" w:cstheme="minorHAnsi"/>
                <w:sz w:val="16"/>
                <w:szCs w:val="16"/>
              </w:rPr>
            </w:pPr>
            <w:r w:rsidRPr="008176BC">
              <w:rPr>
                <w:rFonts w:asciiTheme="minorHAnsi" w:hAnsiTheme="minorHAnsi" w:cstheme="minorHAnsi"/>
                <w:sz w:val="16"/>
                <w:szCs w:val="16"/>
              </w:rPr>
              <w:t>11</w:t>
            </w:r>
          </w:p>
        </w:tc>
        <w:tc>
          <w:tcPr>
            <w:tcW w:w="1418" w:type="dxa"/>
            <w:tcMar>
              <w:left w:w="28" w:type="dxa"/>
              <w:right w:w="28" w:type="dxa"/>
            </w:tcMar>
          </w:tcPr>
          <w:p w14:paraId="483F6075" w14:textId="6610AC98" w:rsidR="009563B4" w:rsidRPr="003B4367" w:rsidRDefault="009563B4" w:rsidP="00FC130A">
            <w:pPr>
              <w:rPr>
                <w:rFonts w:asciiTheme="minorHAnsi" w:hAnsiTheme="minorHAnsi" w:cstheme="minorHAnsi"/>
                <w:sz w:val="16"/>
                <w:szCs w:val="16"/>
              </w:rPr>
            </w:pPr>
            <w:r w:rsidRPr="003B4367">
              <w:rPr>
                <w:rFonts w:asciiTheme="minorHAnsi" w:hAnsiTheme="minorHAnsi" w:cstheme="minorHAnsi"/>
                <w:sz w:val="16"/>
                <w:szCs w:val="16"/>
              </w:rPr>
              <w:t>A5 Tchipelongo Forest Restoration Pilot No.2 Arboretum and Seed Bank 1000 ha</w:t>
            </w:r>
          </w:p>
        </w:tc>
        <w:tc>
          <w:tcPr>
            <w:tcW w:w="850" w:type="dxa"/>
            <w:tcMar>
              <w:left w:w="28" w:type="dxa"/>
              <w:right w:w="28" w:type="dxa"/>
            </w:tcMar>
          </w:tcPr>
          <w:p w14:paraId="42645586" w14:textId="77777777" w:rsidR="009563B4" w:rsidRPr="003B4367" w:rsidRDefault="009563B4" w:rsidP="00FC130A">
            <w:pPr>
              <w:rPr>
                <w:rFonts w:asciiTheme="minorHAnsi" w:hAnsiTheme="minorHAnsi" w:cstheme="minorHAnsi"/>
                <w:sz w:val="16"/>
                <w:szCs w:val="16"/>
              </w:rPr>
            </w:pPr>
            <w:r w:rsidRPr="003B4367">
              <w:rPr>
                <w:rFonts w:asciiTheme="minorHAnsi" w:hAnsiTheme="minorHAnsi" w:cstheme="minorHAnsi"/>
                <w:sz w:val="16"/>
                <w:szCs w:val="16"/>
              </w:rPr>
              <w:t>F forest/ woodlands</w:t>
            </w:r>
          </w:p>
        </w:tc>
        <w:tc>
          <w:tcPr>
            <w:tcW w:w="1134" w:type="dxa"/>
            <w:tcMar>
              <w:left w:w="28" w:type="dxa"/>
              <w:right w:w="28" w:type="dxa"/>
            </w:tcMar>
          </w:tcPr>
          <w:p w14:paraId="1E31DA89" w14:textId="77777777" w:rsidR="009563B4" w:rsidRPr="003B4367" w:rsidRDefault="009563B4" w:rsidP="00FC130A">
            <w:pPr>
              <w:rPr>
                <w:rFonts w:asciiTheme="minorHAnsi" w:hAnsiTheme="minorHAnsi" w:cstheme="minorHAnsi"/>
                <w:sz w:val="16"/>
                <w:szCs w:val="16"/>
              </w:rPr>
            </w:pPr>
            <w:r w:rsidRPr="003B4367">
              <w:rPr>
                <w:rFonts w:asciiTheme="minorHAnsi" w:hAnsiTheme="minorHAnsi" w:cstheme="minorHAnsi"/>
                <w:sz w:val="16"/>
                <w:szCs w:val="16"/>
              </w:rPr>
              <w:t>LMU-AO-11 | Sub-Basin 2, LUS = Forest A5</w:t>
            </w:r>
          </w:p>
        </w:tc>
        <w:tc>
          <w:tcPr>
            <w:tcW w:w="709" w:type="dxa"/>
            <w:tcMar>
              <w:left w:w="28" w:type="dxa"/>
              <w:right w:w="113" w:type="dxa"/>
            </w:tcMar>
          </w:tcPr>
          <w:p w14:paraId="79997FF9" w14:textId="77777777" w:rsidR="009563B4" w:rsidRPr="003B4367" w:rsidRDefault="009563B4" w:rsidP="00FC130A">
            <w:pPr>
              <w:jc w:val="right"/>
              <w:rPr>
                <w:rFonts w:asciiTheme="minorHAnsi" w:hAnsiTheme="minorHAnsi" w:cstheme="minorHAnsi"/>
                <w:sz w:val="16"/>
                <w:szCs w:val="16"/>
              </w:rPr>
            </w:pPr>
            <w:r w:rsidRPr="003B4367">
              <w:rPr>
                <w:rFonts w:asciiTheme="minorHAnsi" w:hAnsiTheme="minorHAnsi" w:cstheme="minorHAnsi"/>
                <w:sz w:val="16"/>
                <w:szCs w:val="16"/>
              </w:rPr>
              <w:t>1,000</w:t>
            </w:r>
          </w:p>
        </w:tc>
        <w:tc>
          <w:tcPr>
            <w:tcW w:w="4536" w:type="dxa"/>
            <w:tcMar>
              <w:left w:w="28" w:type="dxa"/>
              <w:right w:w="28" w:type="dxa"/>
            </w:tcMar>
          </w:tcPr>
          <w:p w14:paraId="10CF7B3B" w14:textId="77777777" w:rsidR="009563B4" w:rsidRPr="003B4367" w:rsidRDefault="009563B4" w:rsidP="00FC130A">
            <w:pPr>
              <w:rPr>
                <w:rFonts w:asciiTheme="minorHAnsi" w:hAnsiTheme="minorHAnsi" w:cstheme="minorHAnsi"/>
                <w:sz w:val="16"/>
                <w:szCs w:val="16"/>
              </w:rPr>
            </w:pPr>
            <w:r w:rsidRPr="003B4367">
              <w:rPr>
                <w:rFonts w:asciiTheme="minorHAnsi" w:hAnsiTheme="minorHAnsi" w:cstheme="minorHAnsi"/>
                <w:sz w:val="16"/>
                <w:szCs w:val="16"/>
              </w:rPr>
              <w:t>Small forest patch in a peri-urban area, proposed managed locally by the Municipal Council / Commune of Tchipelongo. The project would build a small nursery infrastructure in the forest (near the road) and develop relevant community seed banks activities in it.</w:t>
            </w:r>
          </w:p>
        </w:tc>
        <w:tc>
          <w:tcPr>
            <w:tcW w:w="1701" w:type="dxa"/>
            <w:tcMar>
              <w:left w:w="28" w:type="dxa"/>
              <w:right w:w="28" w:type="dxa"/>
            </w:tcMar>
          </w:tcPr>
          <w:p w14:paraId="02B73F02" w14:textId="77777777" w:rsidR="009563B4" w:rsidRPr="003B4367" w:rsidRDefault="009563B4" w:rsidP="00FC130A">
            <w:pPr>
              <w:rPr>
                <w:rFonts w:asciiTheme="minorHAnsi" w:hAnsiTheme="minorHAnsi" w:cstheme="minorHAnsi"/>
                <w:sz w:val="16"/>
                <w:szCs w:val="16"/>
              </w:rPr>
            </w:pPr>
            <w:r w:rsidRPr="003B4367">
              <w:rPr>
                <w:rFonts w:asciiTheme="minorHAnsi" w:hAnsiTheme="minorHAnsi" w:cstheme="minorHAnsi"/>
                <w:sz w:val="16"/>
                <w:szCs w:val="16"/>
              </w:rPr>
              <w:t>Forest restoration local working group, once established, riparian communities</w:t>
            </w:r>
          </w:p>
        </w:tc>
        <w:tc>
          <w:tcPr>
            <w:tcW w:w="1701" w:type="dxa"/>
            <w:tcMar>
              <w:left w:w="28" w:type="dxa"/>
              <w:right w:w="28" w:type="dxa"/>
            </w:tcMar>
          </w:tcPr>
          <w:p w14:paraId="4AF8E886" w14:textId="77777777" w:rsidR="009563B4" w:rsidRPr="008176BC" w:rsidRDefault="009563B4" w:rsidP="00FC130A">
            <w:pPr>
              <w:rPr>
                <w:rFonts w:asciiTheme="minorHAnsi" w:hAnsiTheme="minorHAnsi" w:cstheme="minorHAnsi"/>
                <w:sz w:val="16"/>
                <w:szCs w:val="16"/>
              </w:rPr>
            </w:pPr>
            <w:r w:rsidRPr="008176BC">
              <w:rPr>
                <w:rFonts w:asciiTheme="minorHAnsi" w:hAnsiTheme="minorHAnsi" w:cstheme="minorHAnsi"/>
                <w:sz w:val="16"/>
                <w:szCs w:val="16"/>
              </w:rPr>
              <w:t>Forest rehabilitation and reproduction through nursery and small experimental field (arboretum)</w:t>
            </w:r>
          </w:p>
        </w:tc>
        <w:tc>
          <w:tcPr>
            <w:tcW w:w="1984" w:type="dxa"/>
            <w:tcMar>
              <w:left w:w="28" w:type="dxa"/>
              <w:right w:w="28" w:type="dxa"/>
            </w:tcMar>
          </w:tcPr>
          <w:p w14:paraId="49FD2A62" w14:textId="77777777" w:rsidR="009563B4" w:rsidRPr="003B4367" w:rsidRDefault="009563B4" w:rsidP="00FC130A">
            <w:pPr>
              <w:rPr>
                <w:rFonts w:asciiTheme="minorHAnsi" w:hAnsiTheme="minorHAnsi" w:cstheme="minorHAnsi"/>
                <w:sz w:val="16"/>
                <w:szCs w:val="16"/>
              </w:rPr>
            </w:pPr>
            <w:r w:rsidRPr="003B4367">
              <w:rPr>
                <w:rFonts w:asciiTheme="minorHAnsi" w:hAnsiTheme="minorHAnsi" w:cstheme="minorHAnsi"/>
                <w:sz w:val="16"/>
                <w:szCs w:val="16"/>
              </w:rPr>
              <w:t>Generally informed about the project, but not yet directly engaged for this activity</w:t>
            </w:r>
          </w:p>
        </w:tc>
        <w:tc>
          <w:tcPr>
            <w:tcW w:w="851" w:type="dxa"/>
            <w:tcMar>
              <w:left w:w="28" w:type="dxa"/>
              <w:right w:w="28" w:type="dxa"/>
            </w:tcMar>
          </w:tcPr>
          <w:p w14:paraId="104FC9F2" w14:textId="363A68A7" w:rsidR="009563B4" w:rsidRPr="003B4367" w:rsidRDefault="00610578" w:rsidP="00FC130A">
            <w:pPr>
              <w:rPr>
                <w:rFonts w:asciiTheme="minorHAnsi" w:hAnsiTheme="minorHAnsi" w:cstheme="minorHAnsi"/>
                <w:sz w:val="16"/>
                <w:szCs w:val="16"/>
              </w:rPr>
            </w:pPr>
            <w:r w:rsidRPr="00CA44A1">
              <w:rPr>
                <w:rFonts w:asciiTheme="minorHAnsi" w:hAnsiTheme="minorHAnsi" w:cstheme="minorHAnsi"/>
                <w:sz w:val="16"/>
                <w:szCs w:val="16"/>
                <w:highlight w:val="yellow"/>
              </w:rPr>
              <w:t>AVOID</w:t>
            </w:r>
          </w:p>
        </w:tc>
      </w:tr>
      <w:tr w:rsidR="008900EE" w:rsidRPr="00A7717E" w14:paraId="66C651DE" w14:textId="77777777" w:rsidTr="00FC130A">
        <w:tc>
          <w:tcPr>
            <w:tcW w:w="704" w:type="dxa"/>
            <w:tcMar>
              <w:left w:w="28" w:type="dxa"/>
              <w:right w:w="28" w:type="dxa"/>
            </w:tcMar>
          </w:tcPr>
          <w:p w14:paraId="6E7C6FC8" w14:textId="77777777" w:rsidR="009563B4" w:rsidRPr="008176BC" w:rsidRDefault="009563B4" w:rsidP="00FC130A">
            <w:pPr>
              <w:jc w:val="center"/>
              <w:rPr>
                <w:rFonts w:asciiTheme="minorHAnsi" w:hAnsiTheme="minorHAnsi" w:cstheme="minorHAnsi"/>
                <w:sz w:val="16"/>
                <w:szCs w:val="16"/>
              </w:rPr>
            </w:pPr>
            <w:r w:rsidRPr="008176BC">
              <w:rPr>
                <w:rFonts w:asciiTheme="minorHAnsi" w:hAnsiTheme="minorHAnsi" w:cstheme="minorHAnsi"/>
                <w:sz w:val="16"/>
                <w:szCs w:val="16"/>
              </w:rPr>
              <w:t>12</w:t>
            </w:r>
          </w:p>
        </w:tc>
        <w:tc>
          <w:tcPr>
            <w:tcW w:w="1418" w:type="dxa"/>
            <w:tcMar>
              <w:left w:w="28" w:type="dxa"/>
              <w:right w:w="28" w:type="dxa"/>
            </w:tcMar>
          </w:tcPr>
          <w:p w14:paraId="36D938C1" w14:textId="77777777" w:rsidR="009563B4" w:rsidRPr="008176BC" w:rsidRDefault="009563B4" w:rsidP="00FC130A">
            <w:pPr>
              <w:rPr>
                <w:rFonts w:asciiTheme="minorHAnsi" w:hAnsiTheme="minorHAnsi" w:cstheme="minorHAnsi"/>
                <w:sz w:val="16"/>
                <w:szCs w:val="16"/>
              </w:rPr>
            </w:pPr>
            <w:r w:rsidRPr="008176BC">
              <w:rPr>
                <w:rFonts w:asciiTheme="minorHAnsi" w:hAnsiTheme="minorHAnsi" w:cstheme="minorHAnsi"/>
                <w:sz w:val="16"/>
                <w:szCs w:val="16"/>
              </w:rPr>
              <w:t>A6 Cahama Forest Restoration Pilot No.3 Arboretum and Seed Bank 1000 ha</w:t>
            </w:r>
          </w:p>
        </w:tc>
        <w:tc>
          <w:tcPr>
            <w:tcW w:w="850" w:type="dxa"/>
            <w:tcMar>
              <w:left w:w="28" w:type="dxa"/>
              <w:right w:w="28" w:type="dxa"/>
            </w:tcMar>
          </w:tcPr>
          <w:p w14:paraId="46630992" w14:textId="77777777" w:rsidR="009563B4" w:rsidRPr="008176BC" w:rsidRDefault="009563B4" w:rsidP="00FC130A">
            <w:pPr>
              <w:rPr>
                <w:rFonts w:asciiTheme="minorHAnsi" w:hAnsiTheme="minorHAnsi" w:cstheme="minorHAnsi"/>
                <w:sz w:val="16"/>
                <w:szCs w:val="16"/>
              </w:rPr>
            </w:pPr>
            <w:r w:rsidRPr="008176BC">
              <w:rPr>
                <w:rFonts w:asciiTheme="minorHAnsi" w:hAnsiTheme="minorHAnsi" w:cstheme="minorHAnsi"/>
                <w:sz w:val="16"/>
                <w:szCs w:val="16"/>
              </w:rPr>
              <w:t>F forest/ woodlands</w:t>
            </w:r>
          </w:p>
        </w:tc>
        <w:tc>
          <w:tcPr>
            <w:tcW w:w="1134" w:type="dxa"/>
            <w:tcMar>
              <w:left w:w="28" w:type="dxa"/>
              <w:right w:w="28" w:type="dxa"/>
            </w:tcMar>
          </w:tcPr>
          <w:p w14:paraId="60730E7D" w14:textId="77777777" w:rsidR="009563B4" w:rsidRPr="008176BC" w:rsidRDefault="009563B4" w:rsidP="00FC130A">
            <w:pPr>
              <w:rPr>
                <w:rFonts w:asciiTheme="minorHAnsi" w:hAnsiTheme="minorHAnsi" w:cstheme="minorHAnsi"/>
                <w:sz w:val="16"/>
                <w:szCs w:val="16"/>
              </w:rPr>
            </w:pPr>
            <w:r w:rsidRPr="008176BC">
              <w:rPr>
                <w:rFonts w:asciiTheme="minorHAnsi" w:hAnsiTheme="minorHAnsi" w:cstheme="minorHAnsi"/>
                <w:color w:val="000000"/>
                <w:sz w:val="16"/>
                <w:szCs w:val="16"/>
              </w:rPr>
              <w:t>LMU-AO-12 | Sub-Basin 2, LUS = Forest A6</w:t>
            </w:r>
          </w:p>
        </w:tc>
        <w:tc>
          <w:tcPr>
            <w:tcW w:w="709" w:type="dxa"/>
            <w:tcMar>
              <w:left w:w="28" w:type="dxa"/>
              <w:right w:w="113" w:type="dxa"/>
            </w:tcMar>
          </w:tcPr>
          <w:p w14:paraId="38FFB331" w14:textId="77777777" w:rsidR="009563B4" w:rsidRPr="008176BC" w:rsidRDefault="009563B4" w:rsidP="00FC130A">
            <w:pPr>
              <w:jc w:val="right"/>
              <w:rPr>
                <w:rFonts w:asciiTheme="minorHAnsi" w:hAnsiTheme="minorHAnsi" w:cstheme="minorHAnsi"/>
                <w:sz w:val="16"/>
                <w:szCs w:val="16"/>
              </w:rPr>
            </w:pPr>
            <w:r w:rsidRPr="008176BC">
              <w:rPr>
                <w:rFonts w:asciiTheme="minorHAnsi" w:hAnsiTheme="minorHAnsi" w:cstheme="minorHAnsi"/>
                <w:sz w:val="16"/>
                <w:szCs w:val="16"/>
              </w:rPr>
              <w:t>1,000</w:t>
            </w:r>
          </w:p>
        </w:tc>
        <w:tc>
          <w:tcPr>
            <w:tcW w:w="4536" w:type="dxa"/>
            <w:tcMar>
              <w:left w:w="28" w:type="dxa"/>
              <w:right w:w="28" w:type="dxa"/>
            </w:tcMar>
          </w:tcPr>
          <w:p w14:paraId="448A3A37" w14:textId="77777777" w:rsidR="009563B4" w:rsidRPr="008176BC" w:rsidRDefault="009563B4" w:rsidP="00FC130A">
            <w:pPr>
              <w:rPr>
                <w:rFonts w:asciiTheme="minorHAnsi" w:hAnsiTheme="minorHAnsi" w:cstheme="minorHAnsi"/>
                <w:sz w:val="16"/>
                <w:szCs w:val="16"/>
              </w:rPr>
            </w:pPr>
            <w:r w:rsidRPr="008176BC">
              <w:rPr>
                <w:rFonts w:asciiTheme="minorHAnsi" w:hAnsiTheme="minorHAnsi" w:cstheme="minorHAnsi"/>
                <w:sz w:val="16"/>
                <w:szCs w:val="16"/>
              </w:rPr>
              <w:t>Small forest patch in a peri-urban area, proposed managed locally by the Municipal Council / Commune of Cahama. The project would build a small nursery infrastructure in the forest (near the road) and develop relevant community seed banks activities in it.</w:t>
            </w:r>
          </w:p>
        </w:tc>
        <w:tc>
          <w:tcPr>
            <w:tcW w:w="1701" w:type="dxa"/>
            <w:tcMar>
              <w:left w:w="28" w:type="dxa"/>
              <w:right w:w="28" w:type="dxa"/>
            </w:tcMar>
          </w:tcPr>
          <w:p w14:paraId="05E81A8A" w14:textId="77777777" w:rsidR="009563B4" w:rsidRPr="008176BC" w:rsidRDefault="009563B4" w:rsidP="00FC130A">
            <w:pPr>
              <w:rPr>
                <w:rFonts w:asciiTheme="minorHAnsi" w:hAnsiTheme="minorHAnsi" w:cstheme="minorHAnsi"/>
                <w:sz w:val="16"/>
                <w:szCs w:val="16"/>
              </w:rPr>
            </w:pPr>
            <w:r w:rsidRPr="008176BC">
              <w:rPr>
                <w:rFonts w:asciiTheme="minorHAnsi" w:hAnsiTheme="minorHAnsi" w:cstheme="minorHAnsi"/>
                <w:sz w:val="16"/>
                <w:szCs w:val="16"/>
              </w:rPr>
              <w:t>Forest restoration local working group, once established, riparian communities</w:t>
            </w:r>
          </w:p>
        </w:tc>
        <w:tc>
          <w:tcPr>
            <w:tcW w:w="1701" w:type="dxa"/>
            <w:tcMar>
              <w:left w:w="28" w:type="dxa"/>
              <w:right w:w="28" w:type="dxa"/>
            </w:tcMar>
          </w:tcPr>
          <w:p w14:paraId="344EC958" w14:textId="77777777" w:rsidR="009563B4" w:rsidRPr="008176BC" w:rsidRDefault="009563B4" w:rsidP="00FC130A">
            <w:pPr>
              <w:rPr>
                <w:rFonts w:asciiTheme="minorHAnsi" w:hAnsiTheme="minorHAnsi" w:cstheme="minorHAnsi"/>
                <w:sz w:val="16"/>
                <w:szCs w:val="16"/>
              </w:rPr>
            </w:pPr>
            <w:r w:rsidRPr="008176BC">
              <w:rPr>
                <w:rFonts w:asciiTheme="minorHAnsi" w:hAnsiTheme="minorHAnsi" w:cstheme="minorHAnsi"/>
                <w:sz w:val="16"/>
                <w:szCs w:val="16"/>
              </w:rPr>
              <w:t>Forest reproduction through nursery and small experimental field (arboretum)</w:t>
            </w:r>
          </w:p>
        </w:tc>
        <w:tc>
          <w:tcPr>
            <w:tcW w:w="1984" w:type="dxa"/>
            <w:tcMar>
              <w:left w:w="28" w:type="dxa"/>
              <w:right w:w="28" w:type="dxa"/>
            </w:tcMar>
          </w:tcPr>
          <w:p w14:paraId="4D8F0B10" w14:textId="77777777" w:rsidR="009563B4" w:rsidRPr="003B4367" w:rsidRDefault="009563B4" w:rsidP="00FC130A">
            <w:pPr>
              <w:rPr>
                <w:rFonts w:asciiTheme="minorHAnsi" w:hAnsiTheme="minorHAnsi" w:cstheme="minorHAnsi"/>
                <w:sz w:val="16"/>
                <w:szCs w:val="16"/>
              </w:rPr>
            </w:pPr>
            <w:r w:rsidRPr="003B4367">
              <w:rPr>
                <w:rFonts w:asciiTheme="minorHAnsi" w:hAnsiTheme="minorHAnsi" w:cstheme="minorHAnsi"/>
                <w:sz w:val="16"/>
                <w:szCs w:val="16"/>
              </w:rPr>
              <w:t>Generally informed about the project, but not yet directly engaged for this activity</w:t>
            </w:r>
          </w:p>
        </w:tc>
        <w:tc>
          <w:tcPr>
            <w:tcW w:w="851" w:type="dxa"/>
            <w:tcMar>
              <w:left w:w="28" w:type="dxa"/>
              <w:right w:w="28" w:type="dxa"/>
            </w:tcMar>
          </w:tcPr>
          <w:p w14:paraId="03A83357" w14:textId="79CD9206" w:rsidR="009563B4" w:rsidRPr="003B4367" w:rsidRDefault="00610578" w:rsidP="00FC130A">
            <w:pPr>
              <w:rPr>
                <w:rFonts w:asciiTheme="minorHAnsi" w:hAnsiTheme="minorHAnsi" w:cstheme="minorHAnsi"/>
                <w:sz w:val="16"/>
                <w:szCs w:val="16"/>
              </w:rPr>
            </w:pPr>
            <w:r w:rsidRPr="00CA44A1">
              <w:rPr>
                <w:rFonts w:asciiTheme="minorHAnsi" w:hAnsiTheme="minorHAnsi" w:cstheme="minorHAnsi"/>
                <w:sz w:val="16"/>
                <w:szCs w:val="16"/>
                <w:highlight w:val="yellow"/>
              </w:rPr>
              <w:t>AVOID</w:t>
            </w:r>
          </w:p>
        </w:tc>
      </w:tr>
      <w:tr w:rsidR="008900EE" w:rsidRPr="00A7717E" w14:paraId="20C95BC4" w14:textId="77777777" w:rsidTr="00FC130A">
        <w:tc>
          <w:tcPr>
            <w:tcW w:w="704" w:type="dxa"/>
            <w:tcMar>
              <w:left w:w="28" w:type="dxa"/>
              <w:right w:w="28" w:type="dxa"/>
            </w:tcMar>
          </w:tcPr>
          <w:p w14:paraId="613F9381" w14:textId="77777777" w:rsidR="009563B4" w:rsidRPr="008176BC" w:rsidRDefault="009563B4" w:rsidP="00FC130A">
            <w:pPr>
              <w:jc w:val="center"/>
              <w:rPr>
                <w:rFonts w:asciiTheme="minorHAnsi" w:hAnsiTheme="minorHAnsi" w:cstheme="minorHAnsi"/>
                <w:sz w:val="16"/>
                <w:szCs w:val="16"/>
              </w:rPr>
            </w:pPr>
            <w:r w:rsidRPr="008176BC">
              <w:rPr>
                <w:rFonts w:asciiTheme="minorHAnsi" w:hAnsiTheme="minorHAnsi" w:cstheme="minorHAnsi"/>
                <w:sz w:val="16"/>
                <w:szCs w:val="16"/>
              </w:rPr>
              <w:lastRenderedPageBreak/>
              <w:t>13</w:t>
            </w:r>
          </w:p>
        </w:tc>
        <w:tc>
          <w:tcPr>
            <w:tcW w:w="1418" w:type="dxa"/>
            <w:tcMar>
              <w:left w:w="28" w:type="dxa"/>
              <w:right w:w="28" w:type="dxa"/>
            </w:tcMar>
          </w:tcPr>
          <w:p w14:paraId="5F0A9E3E" w14:textId="77777777" w:rsidR="009563B4" w:rsidRPr="008176BC" w:rsidRDefault="009563B4" w:rsidP="00FC130A">
            <w:pPr>
              <w:rPr>
                <w:rFonts w:asciiTheme="minorHAnsi" w:hAnsiTheme="minorHAnsi" w:cstheme="minorHAnsi"/>
                <w:sz w:val="16"/>
                <w:szCs w:val="16"/>
              </w:rPr>
            </w:pPr>
            <w:r w:rsidRPr="008176BC">
              <w:rPr>
                <w:rFonts w:asciiTheme="minorHAnsi" w:hAnsiTheme="minorHAnsi" w:cstheme="minorHAnsi"/>
                <w:sz w:val="16"/>
                <w:szCs w:val="16"/>
              </w:rPr>
              <w:t>B5 Cahama-Tchipelongo Baseline 2 Agricultural Improvement Polygon Riverine 7,388 ha</w:t>
            </w:r>
          </w:p>
        </w:tc>
        <w:tc>
          <w:tcPr>
            <w:tcW w:w="850" w:type="dxa"/>
            <w:tcMar>
              <w:left w:w="28" w:type="dxa"/>
              <w:right w:w="28" w:type="dxa"/>
            </w:tcMar>
          </w:tcPr>
          <w:p w14:paraId="35659D52" w14:textId="77777777" w:rsidR="009563B4" w:rsidRPr="008176BC" w:rsidRDefault="009563B4" w:rsidP="00FC130A">
            <w:pPr>
              <w:rPr>
                <w:rFonts w:asciiTheme="minorHAnsi" w:hAnsiTheme="minorHAnsi" w:cstheme="minorHAnsi"/>
                <w:sz w:val="16"/>
                <w:szCs w:val="16"/>
              </w:rPr>
            </w:pPr>
            <w:r w:rsidRPr="008176BC">
              <w:rPr>
                <w:rFonts w:asciiTheme="minorHAnsi" w:hAnsiTheme="minorHAnsi" w:cstheme="minorHAnsi"/>
                <w:sz w:val="16"/>
                <w:szCs w:val="16"/>
              </w:rPr>
              <w:t>C cropland</w:t>
            </w:r>
          </w:p>
        </w:tc>
        <w:tc>
          <w:tcPr>
            <w:tcW w:w="1134" w:type="dxa"/>
            <w:tcMar>
              <w:left w:w="28" w:type="dxa"/>
              <w:right w:w="28" w:type="dxa"/>
            </w:tcMar>
          </w:tcPr>
          <w:p w14:paraId="165122BE" w14:textId="77777777" w:rsidR="009563B4" w:rsidRPr="008176BC" w:rsidRDefault="009563B4" w:rsidP="00FC130A">
            <w:pPr>
              <w:rPr>
                <w:rFonts w:asciiTheme="minorHAnsi" w:hAnsiTheme="minorHAnsi" w:cstheme="minorHAnsi"/>
                <w:sz w:val="16"/>
                <w:szCs w:val="16"/>
              </w:rPr>
            </w:pPr>
            <w:r w:rsidRPr="008176BC">
              <w:rPr>
                <w:rFonts w:asciiTheme="minorHAnsi" w:hAnsiTheme="minorHAnsi" w:cstheme="minorHAnsi"/>
                <w:color w:val="000000"/>
                <w:sz w:val="16"/>
                <w:szCs w:val="16"/>
              </w:rPr>
              <w:t>LMU-AO-13 | Sub-Basin 2, LUS = Cropland B 5</w:t>
            </w:r>
          </w:p>
        </w:tc>
        <w:tc>
          <w:tcPr>
            <w:tcW w:w="709" w:type="dxa"/>
            <w:tcMar>
              <w:left w:w="28" w:type="dxa"/>
              <w:right w:w="113" w:type="dxa"/>
            </w:tcMar>
          </w:tcPr>
          <w:p w14:paraId="41AE7F3B" w14:textId="77777777" w:rsidR="009563B4" w:rsidRPr="008176BC" w:rsidRDefault="009563B4" w:rsidP="00FC130A">
            <w:pPr>
              <w:jc w:val="right"/>
              <w:rPr>
                <w:rFonts w:asciiTheme="minorHAnsi" w:hAnsiTheme="minorHAnsi" w:cstheme="minorHAnsi"/>
                <w:sz w:val="16"/>
                <w:szCs w:val="16"/>
              </w:rPr>
            </w:pPr>
            <w:r w:rsidRPr="008176BC">
              <w:rPr>
                <w:rFonts w:asciiTheme="minorHAnsi" w:hAnsiTheme="minorHAnsi" w:cstheme="minorHAnsi"/>
                <w:sz w:val="16"/>
                <w:szCs w:val="16"/>
              </w:rPr>
              <w:t>7,388</w:t>
            </w:r>
          </w:p>
        </w:tc>
        <w:tc>
          <w:tcPr>
            <w:tcW w:w="4536" w:type="dxa"/>
            <w:tcMar>
              <w:left w:w="28" w:type="dxa"/>
              <w:right w:w="28" w:type="dxa"/>
            </w:tcMar>
          </w:tcPr>
          <w:p w14:paraId="5E53DAB7" w14:textId="77777777" w:rsidR="009563B4" w:rsidRPr="008176BC" w:rsidRDefault="009563B4" w:rsidP="00FC130A">
            <w:pPr>
              <w:rPr>
                <w:rFonts w:asciiTheme="minorHAnsi" w:hAnsiTheme="minorHAnsi" w:cstheme="minorHAnsi"/>
                <w:sz w:val="16"/>
                <w:szCs w:val="16"/>
              </w:rPr>
            </w:pPr>
            <w:r w:rsidRPr="008176BC">
              <w:rPr>
                <w:rFonts w:asciiTheme="minorHAnsi" w:hAnsiTheme="minorHAnsi" w:cstheme="minorHAnsi"/>
                <w:sz w:val="16"/>
                <w:szCs w:val="16"/>
              </w:rPr>
              <w:t>Cropland areas, degraded, where FFS will be rolled out with the aim of improving techniques and helping farmers adopt SLM</w:t>
            </w:r>
          </w:p>
        </w:tc>
        <w:tc>
          <w:tcPr>
            <w:tcW w:w="1701" w:type="dxa"/>
            <w:tcMar>
              <w:left w:w="28" w:type="dxa"/>
              <w:right w:w="28" w:type="dxa"/>
            </w:tcMar>
          </w:tcPr>
          <w:p w14:paraId="51FA87FB" w14:textId="77777777" w:rsidR="009563B4" w:rsidRPr="008176BC" w:rsidRDefault="009563B4" w:rsidP="00FC130A">
            <w:pPr>
              <w:rPr>
                <w:rFonts w:asciiTheme="minorHAnsi" w:hAnsiTheme="minorHAnsi" w:cstheme="minorHAnsi"/>
                <w:sz w:val="16"/>
                <w:szCs w:val="16"/>
              </w:rPr>
            </w:pPr>
            <w:r w:rsidRPr="008176BC">
              <w:rPr>
                <w:rFonts w:asciiTheme="minorHAnsi" w:hAnsiTheme="minorHAnsi" w:cstheme="minorHAnsi"/>
                <w:sz w:val="16"/>
                <w:szCs w:val="16"/>
              </w:rPr>
              <w:t>Local farmers in the area engaged through FFSs</w:t>
            </w:r>
          </w:p>
        </w:tc>
        <w:tc>
          <w:tcPr>
            <w:tcW w:w="1701" w:type="dxa"/>
            <w:tcMar>
              <w:left w:w="28" w:type="dxa"/>
              <w:right w:w="28" w:type="dxa"/>
            </w:tcMar>
          </w:tcPr>
          <w:p w14:paraId="133F786F" w14:textId="77777777" w:rsidR="009563B4" w:rsidRPr="008176BC" w:rsidRDefault="009563B4" w:rsidP="00FC130A">
            <w:pPr>
              <w:rPr>
                <w:rFonts w:asciiTheme="minorHAnsi" w:hAnsiTheme="minorHAnsi" w:cstheme="minorHAnsi"/>
                <w:sz w:val="16"/>
                <w:szCs w:val="16"/>
              </w:rPr>
            </w:pPr>
            <w:r w:rsidRPr="008176BC">
              <w:rPr>
                <w:rFonts w:asciiTheme="minorHAnsi" w:hAnsiTheme="minorHAnsi" w:cstheme="minorHAnsi"/>
                <w:sz w:val="16"/>
                <w:szCs w:val="16"/>
              </w:rPr>
              <w:t>Gradual agricultural intensification at scale, improved cropland management, sustainable food production</w:t>
            </w:r>
          </w:p>
        </w:tc>
        <w:tc>
          <w:tcPr>
            <w:tcW w:w="1984" w:type="dxa"/>
            <w:tcMar>
              <w:left w:w="28" w:type="dxa"/>
              <w:right w:w="28" w:type="dxa"/>
            </w:tcMar>
          </w:tcPr>
          <w:p w14:paraId="04FC0269" w14:textId="77777777" w:rsidR="009563B4" w:rsidRPr="003B4367" w:rsidRDefault="009563B4" w:rsidP="00FC130A">
            <w:pPr>
              <w:rPr>
                <w:rFonts w:asciiTheme="minorHAnsi" w:hAnsiTheme="minorHAnsi" w:cstheme="minorHAnsi"/>
                <w:sz w:val="16"/>
                <w:szCs w:val="16"/>
              </w:rPr>
            </w:pPr>
            <w:r w:rsidRPr="003B4367">
              <w:rPr>
                <w:rFonts w:asciiTheme="minorHAnsi" w:hAnsiTheme="minorHAnsi" w:cstheme="minorHAnsi"/>
                <w:sz w:val="16"/>
                <w:szCs w:val="16"/>
              </w:rPr>
              <w:t>Generally informed about the project, but not yet directly engaged for this activity</w:t>
            </w:r>
          </w:p>
        </w:tc>
        <w:tc>
          <w:tcPr>
            <w:tcW w:w="851" w:type="dxa"/>
            <w:tcMar>
              <w:left w:w="28" w:type="dxa"/>
              <w:right w:w="28" w:type="dxa"/>
            </w:tcMar>
          </w:tcPr>
          <w:p w14:paraId="52F51F94" w14:textId="77777777" w:rsidR="009563B4" w:rsidRPr="003B4367" w:rsidRDefault="009563B4" w:rsidP="00FC130A">
            <w:pPr>
              <w:rPr>
                <w:rFonts w:asciiTheme="minorHAnsi" w:hAnsiTheme="minorHAnsi" w:cstheme="minorHAnsi"/>
                <w:sz w:val="16"/>
                <w:szCs w:val="16"/>
              </w:rPr>
            </w:pPr>
            <w:r w:rsidRPr="003B4367">
              <w:rPr>
                <w:rFonts w:asciiTheme="minorHAnsi" w:hAnsiTheme="minorHAnsi" w:cstheme="minorHAnsi"/>
                <w:sz w:val="16"/>
                <w:szCs w:val="16"/>
              </w:rPr>
              <w:t>REDUCE</w:t>
            </w:r>
          </w:p>
        </w:tc>
      </w:tr>
      <w:tr w:rsidR="008900EE" w:rsidRPr="00A7717E" w14:paraId="03181735" w14:textId="77777777" w:rsidTr="00FC130A">
        <w:tc>
          <w:tcPr>
            <w:tcW w:w="704" w:type="dxa"/>
            <w:tcMar>
              <w:left w:w="28" w:type="dxa"/>
              <w:right w:w="28" w:type="dxa"/>
            </w:tcMar>
          </w:tcPr>
          <w:p w14:paraId="67D2305D" w14:textId="77777777" w:rsidR="009563B4" w:rsidRPr="008176BC" w:rsidRDefault="009563B4" w:rsidP="00FC130A">
            <w:pPr>
              <w:jc w:val="center"/>
              <w:rPr>
                <w:rFonts w:asciiTheme="minorHAnsi" w:hAnsiTheme="minorHAnsi" w:cstheme="minorHAnsi"/>
                <w:sz w:val="16"/>
                <w:szCs w:val="16"/>
              </w:rPr>
            </w:pPr>
            <w:r w:rsidRPr="008176BC">
              <w:rPr>
                <w:rFonts w:asciiTheme="minorHAnsi" w:hAnsiTheme="minorHAnsi" w:cstheme="minorHAnsi"/>
                <w:sz w:val="16"/>
                <w:szCs w:val="16"/>
              </w:rPr>
              <w:t>14</w:t>
            </w:r>
          </w:p>
        </w:tc>
        <w:tc>
          <w:tcPr>
            <w:tcW w:w="1418" w:type="dxa"/>
            <w:tcMar>
              <w:left w:w="28" w:type="dxa"/>
              <w:right w:w="28" w:type="dxa"/>
            </w:tcMar>
          </w:tcPr>
          <w:p w14:paraId="0596488A" w14:textId="77777777" w:rsidR="009563B4" w:rsidRPr="008176BC" w:rsidRDefault="009563B4" w:rsidP="00FC130A">
            <w:pPr>
              <w:rPr>
                <w:rFonts w:asciiTheme="minorHAnsi" w:hAnsiTheme="minorHAnsi" w:cstheme="minorHAnsi"/>
                <w:sz w:val="16"/>
                <w:szCs w:val="16"/>
              </w:rPr>
            </w:pPr>
            <w:r w:rsidRPr="008176BC">
              <w:rPr>
                <w:rFonts w:asciiTheme="minorHAnsi" w:hAnsiTheme="minorHAnsi" w:cstheme="minorHAnsi"/>
                <w:sz w:val="16"/>
                <w:szCs w:val="16"/>
              </w:rPr>
              <w:t>B6 Cahama-Tchipelongo Baseline 2 PLUS Agricultural Improvement Polygon Rural Multi-System 3,160 ha</w:t>
            </w:r>
          </w:p>
        </w:tc>
        <w:tc>
          <w:tcPr>
            <w:tcW w:w="850" w:type="dxa"/>
            <w:tcMar>
              <w:left w:w="28" w:type="dxa"/>
              <w:right w:w="28" w:type="dxa"/>
            </w:tcMar>
          </w:tcPr>
          <w:p w14:paraId="7169870F" w14:textId="77777777" w:rsidR="009563B4" w:rsidRPr="008176BC" w:rsidRDefault="009563B4" w:rsidP="00FC130A">
            <w:pPr>
              <w:rPr>
                <w:rFonts w:asciiTheme="minorHAnsi" w:hAnsiTheme="minorHAnsi" w:cstheme="minorHAnsi"/>
                <w:sz w:val="16"/>
                <w:szCs w:val="16"/>
              </w:rPr>
            </w:pPr>
            <w:r w:rsidRPr="008176BC">
              <w:rPr>
                <w:rFonts w:asciiTheme="minorHAnsi" w:hAnsiTheme="minorHAnsi" w:cstheme="minorHAnsi"/>
                <w:sz w:val="16"/>
                <w:szCs w:val="16"/>
              </w:rPr>
              <w:t>C cropland</w:t>
            </w:r>
          </w:p>
        </w:tc>
        <w:tc>
          <w:tcPr>
            <w:tcW w:w="1134" w:type="dxa"/>
            <w:tcMar>
              <w:left w:w="28" w:type="dxa"/>
              <w:right w:w="28" w:type="dxa"/>
            </w:tcMar>
          </w:tcPr>
          <w:p w14:paraId="786F3BBD" w14:textId="77777777" w:rsidR="009563B4" w:rsidRPr="008176BC" w:rsidRDefault="009563B4" w:rsidP="00FC130A">
            <w:pPr>
              <w:rPr>
                <w:rFonts w:asciiTheme="minorHAnsi" w:hAnsiTheme="minorHAnsi" w:cstheme="minorHAnsi"/>
                <w:sz w:val="16"/>
                <w:szCs w:val="16"/>
              </w:rPr>
            </w:pPr>
            <w:r w:rsidRPr="008176BC">
              <w:rPr>
                <w:rFonts w:asciiTheme="minorHAnsi" w:hAnsiTheme="minorHAnsi" w:cstheme="minorHAnsi"/>
                <w:color w:val="000000"/>
                <w:sz w:val="16"/>
                <w:szCs w:val="16"/>
              </w:rPr>
              <w:t>LMU-AO-14 | Sub-Basin 2, LUS = Cropland B 6</w:t>
            </w:r>
          </w:p>
        </w:tc>
        <w:tc>
          <w:tcPr>
            <w:tcW w:w="709" w:type="dxa"/>
            <w:tcMar>
              <w:left w:w="28" w:type="dxa"/>
              <w:right w:w="113" w:type="dxa"/>
            </w:tcMar>
          </w:tcPr>
          <w:p w14:paraId="5E53B413" w14:textId="77777777" w:rsidR="009563B4" w:rsidRPr="008176BC" w:rsidRDefault="009563B4" w:rsidP="00FC130A">
            <w:pPr>
              <w:jc w:val="right"/>
              <w:rPr>
                <w:rFonts w:asciiTheme="minorHAnsi" w:hAnsiTheme="minorHAnsi" w:cstheme="minorHAnsi"/>
                <w:sz w:val="16"/>
                <w:szCs w:val="16"/>
              </w:rPr>
            </w:pPr>
            <w:r w:rsidRPr="008176BC">
              <w:rPr>
                <w:rFonts w:asciiTheme="minorHAnsi" w:hAnsiTheme="minorHAnsi" w:cstheme="minorHAnsi"/>
                <w:sz w:val="16"/>
                <w:szCs w:val="16"/>
              </w:rPr>
              <w:t>3,160</w:t>
            </w:r>
          </w:p>
        </w:tc>
        <w:tc>
          <w:tcPr>
            <w:tcW w:w="4536" w:type="dxa"/>
            <w:tcMar>
              <w:left w:w="28" w:type="dxa"/>
              <w:right w:w="28" w:type="dxa"/>
            </w:tcMar>
          </w:tcPr>
          <w:p w14:paraId="4C3024D4" w14:textId="77777777" w:rsidR="009563B4" w:rsidRPr="008176BC" w:rsidRDefault="009563B4" w:rsidP="00FC130A">
            <w:pPr>
              <w:rPr>
                <w:rFonts w:asciiTheme="minorHAnsi" w:hAnsiTheme="minorHAnsi" w:cstheme="minorHAnsi"/>
                <w:sz w:val="16"/>
                <w:szCs w:val="16"/>
              </w:rPr>
            </w:pPr>
            <w:r w:rsidRPr="008176BC">
              <w:rPr>
                <w:rFonts w:asciiTheme="minorHAnsi" w:hAnsiTheme="minorHAnsi" w:cstheme="minorHAnsi"/>
                <w:sz w:val="16"/>
                <w:szCs w:val="16"/>
              </w:rPr>
              <w:t>Cropland areas, degraded, where FFS will be rolled out with the aim of improving techniques and helping farmers adopt SLM</w:t>
            </w:r>
          </w:p>
        </w:tc>
        <w:tc>
          <w:tcPr>
            <w:tcW w:w="1701" w:type="dxa"/>
            <w:tcMar>
              <w:left w:w="28" w:type="dxa"/>
              <w:right w:w="28" w:type="dxa"/>
            </w:tcMar>
          </w:tcPr>
          <w:p w14:paraId="6E01B061" w14:textId="77777777" w:rsidR="009563B4" w:rsidRPr="008176BC" w:rsidRDefault="009563B4" w:rsidP="00FC130A">
            <w:pPr>
              <w:rPr>
                <w:rFonts w:asciiTheme="minorHAnsi" w:hAnsiTheme="minorHAnsi" w:cstheme="minorHAnsi"/>
                <w:sz w:val="16"/>
                <w:szCs w:val="16"/>
              </w:rPr>
            </w:pPr>
            <w:r w:rsidRPr="008176BC">
              <w:rPr>
                <w:rFonts w:asciiTheme="minorHAnsi" w:hAnsiTheme="minorHAnsi" w:cstheme="minorHAnsi"/>
                <w:sz w:val="16"/>
                <w:szCs w:val="16"/>
              </w:rPr>
              <w:t>Local farmers in the area engaged through FFSs</w:t>
            </w:r>
          </w:p>
        </w:tc>
        <w:tc>
          <w:tcPr>
            <w:tcW w:w="1701" w:type="dxa"/>
            <w:tcMar>
              <w:left w:w="28" w:type="dxa"/>
              <w:right w:w="28" w:type="dxa"/>
            </w:tcMar>
          </w:tcPr>
          <w:p w14:paraId="51D8717F" w14:textId="77777777" w:rsidR="009563B4" w:rsidRPr="008176BC" w:rsidRDefault="009563B4" w:rsidP="00FC130A">
            <w:pPr>
              <w:rPr>
                <w:rFonts w:asciiTheme="minorHAnsi" w:hAnsiTheme="minorHAnsi" w:cstheme="minorHAnsi"/>
                <w:sz w:val="16"/>
                <w:szCs w:val="16"/>
              </w:rPr>
            </w:pPr>
            <w:r w:rsidRPr="008176BC">
              <w:rPr>
                <w:rFonts w:asciiTheme="minorHAnsi" w:hAnsiTheme="minorHAnsi" w:cstheme="minorHAnsi"/>
                <w:sz w:val="16"/>
                <w:szCs w:val="16"/>
              </w:rPr>
              <w:t>Gradual agricultural intensification at scale, improved cropland management, sustainable food production</w:t>
            </w:r>
          </w:p>
        </w:tc>
        <w:tc>
          <w:tcPr>
            <w:tcW w:w="1984" w:type="dxa"/>
            <w:tcMar>
              <w:left w:w="28" w:type="dxa"/>
              <w:right w:w="28" w:type="dxa"/>
            </w:tcMar>
          </w:tcPr>
          <w:p w14:paraId="77870381" w14:textId="77777777" w:rsidR="009563B4" w:rsidRPr="003B4367" w:rsidRDefault="009563B4" w:rsidP="00FC130A">
            <w:pPr>
              <w:rPr>
                <w:rFonts w:asciiTheme="minorHAnsi" w:hAnsiTheme="minorHAnsi" w:cstheme="minorHAnsi"/>
                <w:sz w:val="16"/>
                <w:szCs w:val="16"/>
              </w:rPr>
            </w:pPr>
            <w:r w:rsidRPr="003B4367">
              <w:rPr>
                <w:rFonts w:asciiTheme="minorHAnsi" w:hAnsiTheme="minorHAnsi" w:cstheme="minorHAnsi"/>
                <w:sz w:val="16"/>
                <w:szCs w:val="16"/>
              </w:rPr>
              <w:t>Generally informed about the project, but not yet directly engaged for this activity</w:t>
            </w:r>
          </w:p>
        </w:tc>
        <w:tc>
          <w:tcPr>
            <w:tcW w:w="851" w:type="dxa"/>
            <w:tcMar>
              <w:left w:w="28" w:type="dxa"/>
              <w:right w:w="28" w:type="dxa"/>
            </w:tcMar>
          </w:tcPr>
          <w:p w14:paraId="119E5B0F" w14:textId="77777777" w:rsidR="009563B4" w:rsidRPr="003B4367" w:rsidRDefault="009563B4" w:rsidP="00FC130A">
            <w:pPr>
              <w:rPr>
                <w:rFonts w:asciiTheme="minorHAnsi" w:hAnsiTheme="minorHAnsi" w:cstheme="minorHAnsi"/>
                <w:sz w:val="16"/>
                <w:szCs w:val="16"/>
              </w:rPr>
            </w:pPr>
            <w:r w:rsidRPr="003B4367">
              <w:rPr>
                <w:rFonts w:asciiTheme="minorHAnsi" w:hAnsiTheme="minorHAnsi" w:cstheme="minorHAnsi"/>
                <w:sz w:val="16"/>
                <w:szCs w:val="16"/>
              </w:rPr>
              <w:t>REDUCE</w:t>
            </w:r>
          </w:p>
        </w:tc>
      </w:tr>
      <w:tr w:rsidR="008900EE" w:rsidRPr="00A7717E" w14:paraId="0E99E7EC" w14:textId="77777777" w:rsidTr="00FC130A">
        <w:tc>
          <w:tcPr>
            <w:tcW w:w="704" w:type="dxa"/>
            <w:tcMar>
              <w:left w:w="28" w:type="dxa"/>
              <w:right w:w="28" w:type="dxa"/>
            </w:tcMar>
          </w:tcPr>
          <w:p w14:paraId="4E3F0E0A" w14:textId="77777777" w:rsidR="009563B4" w:rsidRPr="008176BC" w:rsidRDefault="009563B4" w:rsidP="00FC130A">
            <w:pPr>
              <w:jc w:val="center"/>
              <w:rPr>
                <w:rFonts w:asciiTheme="minorHAnsi" w:hAnsiTheme="minorHAnsi" w:cstheme="minorHAnsi"/>
                <w:sz w:val="16"/>
                <w:szCs w:val="16"/>
              </w:rPr>
            </w:pPr>
            <w:r w:rsidRPr="008176BC">
              <w:rPr>
                <w:rFonts w:asciiTheme="minorHAnsi" w:hAnsiTheme="minorHAnsi" w:cstheme="minorHAnsi"/>
                <w:sz w:val="16"/>
                <w:szCs w:val="16"/>
              </w:rPr>
              <w:t>15</w:t>
            </w:r>
          </w:p>
        </w:tc>
        <w:tc>
          <w:tcPr>
            <w:tcW w:w="1418" w:type="dxa"/>
            <w:tcMar>
              <w:left w:w="28" w:type="dxa"/>
              <w:right w:w="28" w:type="dxa"/>
            </w:tcMar>
          </w:tcPr>
          <w:p w14:paraId="640A81E8" w14:textId="77777777" w:rsidR="009563B4" w:rsidRPr="008176BC" w:rsidRDefault="009563B4" w:rsidP="00FC130A">
            <w:pPr>
              <w:rPr>
                <w:rFonts w:asciiTheme="minorHAnsi" w:hAnsiTheme="minorHAnsi" w:cstheme="minorHAnsi"/>
                <w:sz w:val="16"/>
                <w:szCs w:val="16"/>
              </w:rPr>
            </w:pPr>
            <w:r w:rsidRPr="008176BC">
              <w:rPr>
                <w:rFonts w:asciiTheme="minorHAnsi" w:hAnsiTheme="minorHAnsi" w:cstheme="minorHAnsi"/>
                <w:sz w:val="16"/>
                <w:szCs w:val="16"/>
              </w:rPr>
              <w:t>B7 Cahama-Gambos Commercial Farming Sustainability Scheme 164,400 ha</w:t>
            </w:r>
          </w:p>
        </w:tc>
        <w:tc>
          <w:tcPr>
            <w:tcW w:w="850" w:type="dxa"/>
            <w:tcMar>
              <w:left w:w="28" w:type="dxa"/>
              <w:right w:w="28" w:type="dxa"/>
            </w:tcMar>
          </w:tcPr>
          <w:p w14:paraId="02267DD2" w14:textId="77777777" w:rsidR="009563B4" w:rsidRPr="008176BC" w:rsidRDefault="009563B4" w:rsidP="00FC130A">
            <w:pPr>
              <w:rPr>
                <w:rFonts w:asciiTheme="minorHAnsi" w:hAnsiTheme="minorHAnsi" w:cstheme="minorHAnsi"/>
                <w:sz w:val="16"/>
                <w:szCs w:val="16"/>
              </w:rPr>
            </w:pPr>
            <w:r w:rsidRPr="008176BC">
              <w:rPr>
                <w:rFonts w:asciiTheme="minorHAnsi" w:hAnsiTheme="minorHAnsi" w:cstheme="minorHAnsi"/>
                <w:sz w:val="16"/>
                <w:szCs w:val="16"/>
              </w:rPr>
              <w:t>C cropland</w:t>
            </w:r>
          </w:p>
        </w:tc>
        <w:tc>
          <w:tcPr>
            <w:tcW w:w="1134" w:type="dxa"/>
            <w:tcMar>
              <w:left w:w="28" w:type="dxa"/>
              <w:right w:w="28" w:type="dxa"/>
            </w:tcMar>
          </w:tcPr>
          <w:p w14:paraId="19B5A148" w14:textId="77777777" w:rsidR="009563B4" w:rsidRPr="008176BC" w:rsidRDefault="009563B4" w:rsidP="00FC130A">
            <w:pPr>
              <w:rPr>
                <w:rFonts w:asciiTheme="minorHAnsi" w:hAnsiTheme="minorHAnsi" w:cstheme="minorHAnsi"/>
                <w:sz w:val="16"/>
                <w:szCs w:val="16"/>
              </w:rPr>
            </w:pPr>
            <w:r w:rsidRPr="008176BC">
              <w:rPr>
                <w:rFonts w:asciiTheme="minorHAnsi" w:hAnsiTheme="minorHAnsi" w:cstheme="minorHAnsi"/>
                <w:color w:val="000000"/>
                <w:sz w:val="16"/>
                <w:szCs w:val="16"/>
              </w:rPr>
              <w:t>LMU-AO-15 | Sub-Basin 2, LUS = Cropland B 7</w:t>
            </w:r>
          </w:p>
        </w:tc>
        <w:tc>
          <w:tcPr>
            <w:tcW w:w="709" w:type="dxa"/>
            <w:tcMar>
              <w:left w:w="28" w:type="dxa"/>
              <w:right w:w="113" w:type="dxa"/>
            </w:tcMar>
          </w:tcPr>
          <w:p w14:paraId="67F8FF47" w14:textId="77777777" w:rsidR="009563B4" w:rsidRPr="008176BC" w:rsidRDefault="009563B4" w:rsidP="00FC130A">
            <w:pPr>
              <w:jc w:val="right"/>
              <w:rPr>
                <w:rFonts w:asciiTheme="minorHAnsi" w:hAnsiTheme="minorHAnsi" w:cstheme="minorHAnsi"/>
                <w:sz w:val="16"/>
                <w:szCs w:val="16"/>
              </w:rPr>
            </w:pPr>
            <w:r w:rsidRPr="008176BC">
              <w:rPr>
                <w:rFonts w:asciiTheme="minorHAnsi" w:hAnsiTheme="minorHAnsi" w:cstheme="minorHAnsi"/>
                <w:sz w:val="16"/>
                <w:szCs w:val="16"/>
              </w:rPr>
              <w:t>164,400</w:t>
            </w:r>
          </w:p>
        </w:tc>
        <w:tc>
          <w:tcPr>
            <w:tcW w:w="4536" w:type="dxa"/>
            <w:tcMar>
              <w:left w:w="28" w:type="dxa"/>
              <w:right w:w="28" w:type="dxa"/>
            </w:tcMar>
          </w:tcPr>
          <w:p w14:paraId="56663982" w14:textId="77777777" w:rsidR="009563B4" w:rsidRPr="008176BC" w:rsidRDefault="009563B4" w:rsidP="00FC130A">
            <w:pPr>
              <w:rPr>
                <w:rFonts w:asciiTheme="minorHAnsi" w:hAnsiTheme="minorHAnsi" w:cstheme="minorHAnsi"/>
                <w:sz w:val="16"/>
                <w:szCs w:val="16"/>
              </w:rPr>
            </w:pPr>
            <w:r w:rsidRPr="008176BC">
              <w:rPr>
                <w:rFonts w:asciiTheme="minorHAnsi" w:hAnsiTheme="minorHAnsi" w:cstheme="minorHAnsi"/>
                <w:sz w:val="16"/>
                <w:szCs w:val="16"/>
              </w:rPr>
              <w:t>Commercial cropland areas, degraded and a history of land conflict, where the project proposes to study land use in detail and optimize land use and benefit sharing.</w:t>
            </w:r>
          </w:p>
        </w:tc>
        <w:tc>
          <w:tcPr>
            <w:tcW w:w="1701" w:type="dxa"/>
            <w:tcMar>
              <w:left w:w="28" w:type="dxa"/>
              <w:right w:w="28" w:type="dxa"/>
            </w:tcMar>
          </w:tcPr>
          <w:p w14:paraId="2AB90D97" w14:textId="01B97E2D" w:rsidR="009563B4" w:rsidRPr="008176BC" w:rsidRDefault="009563B4" w:rsidP="00FC130A">
            <w:pPr>
              <w:rPr>
                <w:rFonts w:asciiTheme="minorHAnsi" w:hAnsiTheme="minorHAnsi" w:cstheme="minorBidi"/>
                <w:sz w:val="16"/>
                <w:szCs w:val="16"/>
                <w:lang w:val="pt-BR"/>
              </w:rPr>
            </w:pPr>
            <w:r w:rsidRPr="619CA689">
              <w:rPr>
                <w:rFonts w:asciiTheme="minorHAnsi" w:hAnsiTheme="minorHAnsi" w:cstheme="minorBidi"/>
                <w:sz w:val="16"/>
                <w:szCs w:val="16"/>
                <w:lang w:val="pt-BR"/>
              </w:rPr>
              <w:t xml:space="preserve">Commercial farmers, </w:t>
            </w:r>
            <w:r w:rsidRPr="6093EE92">
              <w:rPr>
                <w:rFonts w:asciiTheme="minorHAnsi" w:hAnsiTheme="minorHAnsi" w:cstheme="minorBidi"/>
                <w:sz w:val="16"/>
                <w:szCs w:val="16"/>
                <w:lang w:val="pt-BR"/>
              </w:rPr>
              <w:t>MINAGRI</w:t>
            </w:r>
            <w:r w:rsidR="5DF0DA4C" w:rsidRPr="6093EE92">
              <w:rPr>
                <w:rFonts w:asciiTheme="minorHAnsi" w:hAnsiTheme="minorHAnsi" w:cstheme="minorBidi"/>
                <w:sz w:val="16"/>
                <w:szCs w:val="16"/>
                <w:lang w:val="pt-BR"/>
              </w:rPr>
              <w:t>P</w:t>
            </w:r>
            <w:r w:rsidRPr="619CA689">
              <w:rPr>
                <w:rFonts w:asciiTheme="minorHAnsi" w:hAnsiTheme="minorHAnsi" w:cstheme="minorBidi"/>
                <w:sz w:val="16"/>
                <w:szCs w:val="16"/>
                <w:lang w:val="pt-BR"/>
              </w:rPr>
              <w:t>, IDA, M</w:t>
            </w:r>
            <w:r w:rsidR="43341587" w:rsidRPr="619CA689">
              <w:rPr>
                <w:rFonts w:asciiTheme="minorHAnsi" w:hAnsiTheme="minorHAnsi" w:cstheme="minorBidi"/>
                <w:sz w:val="16"/>
                <w:szCs w:val="16"/>
                <w:lang w:val="pt-BR"/>
              </w:rPr>
              <w:t>CTA</w:t>
            </w:r>
            <w:r w:rsidRPr="619CA689">
              <w:rPr>
                <w:rFonts w:asciiTheme="minorHAnsi" w:hAnsiTheme="minorHAnsi" w:cstheme="minorBidi"/>
                <w:sz w:val="16"/>
                <w:szCs w:val="16"/>
                <w:lang w:val="pt-BR"/>
              </w:rPr>
              <w:t>, Terras</w:t>
            </w:r>
          </w:p>
        </w:tc>
        <w:tc>
          <w:tcPr>
            <w:tcW w:w="1701" w:type="dxa"/>
            <w:tcMar>
              <w:left w:w="28" w:type="dxa"/>
              <w:right w:w="28" w:type="dxa"/>
            </w:tcMar>
          </w:tcPr>
          <w:p w14:paraId="184B19C6" w14:textId="77777777" w:rsidR="009563B4" w:rsidRPr="008176BC" w:rsidRDefault="009563B4" w:rsidP="00FC130A">
            <w:pPr>
              <w:rPr>
                <w:rFonts w:asciiTheme="minorHAnsi" w:hAnsiTheme="minorHAnsi" w:cstheme="minorHAnsi"/>
                <w:sz w:val="16"/>
                <w:szCs w:val="16"/>
              </w:rPr>
            </w:pPr>
            <w:r w:rsidRPr="008176BC">
              <w:rPr>
                <w:rFonts w:asciiTheme="minorHAnsi" w:hAnsiTheme="minorHAnsi" w:cstheme="minorHAnsi"/>
                <w:sz w:val="16"/>
                <w:szCs w:val="16"/>
              </w:rPr>
              <w:t>Consult for improving the management of land and assisting with land conflict resolution, if desirable.</w:t>
            </w:r>
          </w:p>
        </w:tc>
        <w:tc>
          <w:tcPr>
            <w:tcW w:w="1984" w:type="dxa"/>
            <w:tcMar>
              <w:left w:w="28" w:type="dxa"/>
              <w:right w:w="28" w:type="dxa"/>
            </w:tcMar>
          </w:tcPr>
          <w:p w14:paraId="14287216" w14:textId="77777777" w:rsidR="009563B4" w:rsidRPr="003B4367" w:rsidRDefault="009563B4" w:rsidP="00FC130A">
            <w:pPr>
              <w:rPr>
                <w:rFonts w:asciiTheme="minorHAnsi" w:hAnsiTheme="minorHAnsi" w:cstheme="minorHAnsi"/>
                <w:sz w:val="16"/>
                <w:szCs w:val="16"/>
              </w:rPr>
            </w:pPr>
            <w:r w:rsidRPr="003B4367">
              <w:rPr>
                <w:rFonts w:asciiTheme="minorHAnsi" w:hAnsiTheme="minorHAnsi" w:cstheme="minorHAnsi"/>
                <w:sz w:val="16"/>
                <w:szCs w:val="16"/>
              </w:rPr>
              <w:t>Cahama residents: Generally informed about the project, but not yet directly engaged for this activity. Gambos residents and large-scale farmers: Not yet engaged</w:t>
            </w:r>
          </w:p>
        </w:tc>
        <w:tc>
          <w:tcPr>
            <w:tcW w:w="851" w:type="dxa"/>
            <w:tcMar>
              <w:left w:w="28" w:type="dxa"/>
              <w:right w:w="28" w:type="dxa"/>
            </w:tcMar>
          </w:tcPr>
          <w:p w14:paraId="6EAD6F76" w14:textId="5E67FBB2" w:rsidR="009563B4" w:rsidRPr="003B4367" w:rsidRDefault="0034241B" w:rsidP="00FC130A">
            <w:pPr>
              <w:rPr>
                <w:rFonts w:asciiTheme="minorHAnsi" w:hAnsiTheme="minorHAnsi" w:cstheme="minorHAnsi"/>
                <w:sz w:val="16"/>
                <w:szCs w:val="16"/>
              </w:rPr>
            </w:pPr>
            <w:r w:rsidRPr="00CA44A1">
              <w:rPr>
                <w:rFonts w:asciiTheme="minorHAnsi" w:hAnsiTheme="minorHAnsi" w:cstheme="minorHAnsi"/>
                <w:sz w:val="16"/>
                <w:szCs w:val="16"/>
                <w:highlight w:val="yellow"/>
              </w:rPr>
              <w:t>AVOID</w:t>
            </w:r>
          </w:p>
        </w:tc>
      </w:tr>
      <w:tr w:rsidR="008900EE" w:rsidRPr="00A7717E" w14:paraId="099DCF8E" w14:textId="77777777" w:rsidTr="00FC130A">
        <w:tc>
          <w:tcPr>
            <w:tcW w:w="704" w:type="dxa"/>
            <w:tcMar>
              <w:left w:w="28" w:type="dxa"/>
              <w:right w:w="28" w:type="dxa"/>
            </w:tcMar>
          </w:tcPr>
          <w:p w14:paraId="41630B7F" w14:textId="77777777" w:rsidR="009563B4" w:rsidRPr="008176BC" w:rsidRDefault="009563B4" w:rsidP="00FC130A">
            <w:pPr>
              <w:jc w:val="center"/>
              <w:rPr>
                <w:rFonts w:asciiTheme="minorHAnsi" w:hAnsiTheme="minorHAnsi" w:cstheme="minorHAnsi"/>
                <w:sz w:val="16"/>
                <w:szCs w:val="16"/>
              </w:rPr>
            </w:pPr>
            <w:r w:rsidRPr="008176BC">
              <w:rPr>
                <w:rFonts w:asciiTheme="minorHAnsi" w:hAnsiTheme="minorHAnsi" w:cstheme="minorHAnsi"/>
                <w:sz w:val="16"/>
                <w:szCs w:val="16"/>
              </w:rPr>
              <w:t>16</w:t>
            </w:r>
          </w:p>
        </w:tc>
        <w:tc>
          <w:tcPr>
            <w:tcW w:w="1418" w:type="dxa"/>
            <w:tcMar>
              <w:left w:w="28" w:type="dxa"/>
              <w:right w:w="28" w:type="dxa"/>
            </w:tcMar>
          </w:tcPr>
          <w:p w14:paraId="0FBCDAE9" w14:textId="77777777" w:rsidR="009563B4" w:rsidRPr="009C71D3" w:rsidRDefault="009563B4" w:rsidP="00FC130A">
            <w:pPr>
              <w:rPr>
                <w:rFonts w:asciiTheme="minorHAnsi" w:hAnsiTheme="minorHAnsi" w:cstheme="minorHAnsi"/>
                <w:sz w:val="16"/>
                <w:szCs w:val="16"/>
                <w:lang w:val="it-IT"/>
              </w:rPr>
            </w:pPr>
            <w:r w:rsidRPr="009C71D3">
              <w:rPr>
                <w:rFonts w:asciiTheme="minorHAnsi" w:hAnsiTheme="minorHAnsi" w:cstheme="minorHAnsi"/>
                <w:sz w:val="16"/>
                <w:szCs w:val="16"/>
                <w:lang w:val="it-IT"/>
              </w:rPr>
              <w:t>C1 Cavale-Colavango Riparian Rangelands 54,200 ha</w:t>
            </w:r>
          </w:p>
        </w:tc>
        <w:tc>
          <w:tcPr>
            <w:tcW w:w="850" w:type="dxa"/>
            <w:tcMar>
              <w:left w:w="28" w:type="dxa"/>
              <w:right w:w="28" w:type="dxa"/>
            </w:tcMar>
          </w:tcPr>
          <w:p w14:paraId="5B26D2F7" w14:textId="77777777" w:rsidR="009563B4" w:rsidRPr="008176BC" w:rsidRDefault="009563B4" w:rsidP="00FC130A">
            <w:pPr>
              <w:rPr>
                <w:rFonts w:asciiTheme="minorHAnsi" w:hAnsiTheme="minorHAnsi" w:cstheme="minorHAnsi"/>
                <w:sz w:val="16"/>
                <w:szCs w:val="16"/>
              </w:rPr>
            </w:pPr>
            <w:r w:rsidRPr="008176BC">
              <w:rPr>
                <w:rFonts w:asciiTheme="minorHAnsi" w:hAnsiTheme="minorHAnsi" w:cstheme="minorHAnsi"/>
                <w:sz w:val="16"/>
                <w:szCs w:val="16"/>
              </w:rPr>
              <w:t>G grazing land</w:t>
            </w:r>
          </w:p>
        </w:tc>
        <w:tc>
          <w:tcPr>
            <w:tcW w:w="1134" w:type="dxa"/>
            <w:tcMar>
              <w:left w:w="28" w:type="dxa"/>
              <w:right w:w="28" w:type="dxa"/>
            </w:tcMar>
          </w:tcPr>
          <w:p w14:paraId="7B784204" w14:textId="77777777" w:rsidR="009563B4" w:rsidRPr="008176BC" w:rsidRDefault="009563B4" w:rsidP="00FC130A">
            <w:pPr>
              <w:rPr>
                <w:rFonts w:asciiTheme="minorHAnsi" w:hAnsiTheme="minorHAnsi" w:cstheme="minorHAnsi"/>
                <w:sz w:val="16"/>
                <w:szCs w:val="16"/>
              </w:rPr>
            </w:pPr>
            <w:r w:rsidRPr="008176BC">
              <w:rPr>
                <w:rFonts w:asciiTheme="minorHAnsi" w:hAnsiTheme="minorHAnsi" w:cstheme="minorHAnsi"/>
                <w:color w:val="000000"/>
                <w:sz w:val="16"/>
                <w:szCs w:val="16"/>
              </w:rPr>
              <w:t>LMU-AO-16 | Sub-Basin 2, LUS = Grassland C1</w:t>
            </w:r>
          </w:p>
        </w:tc>
        <w:tc>
          <w:tcPr>
            <w:tcW w:w="709" w:type="dxa"/>
            <w:tcMar>
              <w:left w:w="28" w:type="dxa"/>
              <w:right w:w="113" w:type="dxa"/>
            </w:tcMar>
          </w:tcPr>
          <w:p w14:paraId="4F89900F" w14:textId="77605450" w:rsidR="009563B4" w:rsidRPr="008176BC" w:rsidRDefault="009563B4" w:rsidP="00FC130A">
            <w:pPr>
              <w:jc w:val="right"/>
              <w:rPr>
                <w:rFonts w:asciiTheme="minorHAnsi" w:hAnsiTheme="minorHAnsi" w:cstheme="minorHAnsi"/>
                <w:sz w:val="16"/>
                <w:szCs w:val="16"/>
              </w:rPr>
            </w:pPr>
            <w:r w:rsidRPr="008176BC">
              <w:rPr>
                <w:rFonts w:asciiTheme="minorHAnsi" w:hAnsiTheme="minorHAnsi" w:cstheme="minorHAnsi"/>
                <w:sz w:val="16"/>
                <w:szCs w:val="16"/>
              </w:rPr>
              <w:t>54,</w:t>
            </w:r>
            <w:r w:rsidR="00EF11EE">
              <w:rPr>
                <w:rFonts w:asciiTheme="minorHAnsi" w:hAnsiTheme="minorHAnsi" w:cstheme="minorHAnsi"/>
                <w:sz w:val="16"/>
                <w:szCs w:val="16"/>
              </w:rPr>
              <w:t>2</w:t>
            </w:r>
            <w:r w:rsidRPr="008176BC">
              <w:rPr>
                <w:rFonts w:asciiTheme="minorHAnsi" w:hAnsiTheme="minorHAnsi" w:cstheme="minorHAnsi"/>
                <w:sz w:val="16"/>
                <w:szCs w:val="16"/>
              </w:rPr>
              <w:t>00</w:t>
            </w:r>
          </w:p>
        </w:tc>
        <w:tc>
          <w:tcPr>
            <w:tcW w:w="4536" w:type="dxa"/>
            <w:tcMar>
              <w:left w:w="28" w:type="dxa"/>
              <w:right w:w="28" w:type="dxa"/>
            </w:tcMar>
          </w:tcPr>
          <w:p w14:paraId="6B686BFC" w14:textId="77777777" w:rsidR="009563B4" w:rsidRPr="008176BC" w:rsidRDefault="009563B4" w:rsidP="00FC130A">
            <w:pPr>
              <w:rPr>
                <w:rFonts w:asciiTheme="minorHAnsi" w:hAnsiTheme="minorHAnsi" w:cstheme="minorHAnsi"/>
                <w:sz w:val="16"/>
                <w:szCs w:val="16"/>
              </w:rPr>
            </w:pPr>
            <w:r w:rsidRPr="008176BC">
              <w:rPr>
                <w:rFonts w:asciiTheme="minorHAnsi" w:hAnsiTheme="minorHAnsi" w:cstheme="minorHAnsi"/>
                <w:sz w:val="16"/>
                <w:szCs w:val="16"/>
              </w:rPr>
              <w:t>Rangeland, sustainable management of livestock routes, pasture and improved access to agro-veterinarian services</w:t>
            </w:r>
          </w:p>
        </w:tc>
        <w:tc>
          <w:tcPr>
            <w:tcW w:w="1701" w:type="dxa"/>
            <w:tcMar>
              <w:left w:w="28" w:type="dxa"/>
              <w:right w:w="28" w:type="dxa"/>
            </w:tcMar>
          </w:tcPr>
          <w:p w14:paraId="200388E7" w14:textId="77777777" w:rsidR="009563B4" w:rsidRPr="008176BC" w:rsidRDefault="009563B4" w:rsidP="00FC130A">
            <w:pPr>
              <w:rPr>
                <w:rFonts w:asciiTheme="minorHAnsi" w:hAnsiTheme="minorHAnsi" w:cstheme="minorHAnsi"/>
                <w:sz w:val="16"/>
                <w:szCs w:val="16"/>
              </w:rPr>
            </w:pPr>
            <w:r w:rsidRPr="008176BC">
              <w:rPr>
                <w:rFonts w:asciiTheme="minorHAnsi" w:hAnsiTheme="minorHAnsi" w:cstheme="minorHAnsi"/>
                <w:sz w:val="16"/>
                <w:szCs w:val="16"/>
              </w:rPr>
              <w:t>Local agro-pastoralists</w:t>
            </w:r>
          </w:p>
        </w:tc>
        <w:tc>
          <w:tcPr>
            <w:tcW w:w="1701" w:type="dxa"/>
            <w:tcMar>
              <w:left w:w="28" w:type="dxa"/>
              <w:right w:w="28" w:type="dxa"/>
            </w:tcMar>
          </w:tcPr>
          <w:p w14:paraId="42A7BE30" w14:textId="77777777" w:rsidR="009563B4" w:rsidRPr="008176BC" w:rsidRDefault="009563B4" w:rsidP="00FC130A">
            <w:pPr>
              <w:rPr>
                <w:rFonts w:asciiTheme="minorHAnsi" w:hAnsiTheme="minorHAnsi" w:cstheme="minorHAnsi"/>
                <w:sz w:val="16"/>
                <w:szCs w:val="16"/>
              </w:rPr>
            </w:pPr>
            <w:r w:rsidRPr="008176BC">
              <w:rPr>
                <w:rFonts w:asciiTheme="minorHAnsi" w:hAnsiTheme="minorHAnsi" w:cstheme="minorHAnsi"/>
                <w:sz w:val="16"/>
                <w:szCs w:val="16"/>
              </w:rPr>
              <w:t>Sustainable rangeland management</w:t>
            </w:r>
          </w:p>
        </w:tc>
        <w:tc>
          <w:tcPr>
            <w:tcW w:w="1984" w:type="dxa"/>
            <w:tcMar>
              <w:left w:w="28" w:type="dxa"/>
              <w:right w:w="28" w:type="dxa"/>
            </w:tcMar>
          </w:tcPr>
          <w:p w14:paraId="38382116" w14:textId="77777777" w:rsidR="009563B4" w:rsidRPr="003B4367" w:rsidRDefault="009563B4" w:rsidP="00FC130A">
            <w:pPr>
              <w:rPr>
                <w:rFonts w:asciiTheme="minorHAnsi" w:hAnsiTheme="minorHAnsi" w:cstheme="minorHAnsi"/>
                <w:sz w:val="16"/>
                <w:szCs w:val="16"/>
              </w:rPr>
            </w:pPr>
            <w:r w:rsidRPr="003B4367">
              <w:rPr>
                <w:rFonts w:asciiTheme="minorHAnsi" w:hAnsiTheme="minorHAnsi" w:cstheme="minorHAnsi"/>
                <w:sz w:val="16"/>
                <w:szCs w:val="16"/>
              </w:rPr>
              <w:t>Not yet engaged</w:t>
            </w:r>
          </w:p>
        </w:tc>
        <w:tc>
          <w:tcPr>
            <w:tcW w:w="851" w:type="dxa"/>
            <w:tcMar>
              <w:left w:w="28" w:type="dxa"/>
              <w:right w:w="28" w:type="dxa"/>
            </w:tcMar>
          </w:tcPr>
          <w:p w14:paraId="5C5A272D" w14:textId="77777777" w:rsidR="009563B4" w:rsidRPr="003B4367" w:rsidRDefault="009563B4" w:rsidP="00FC130A">
            <w:pPr>
              <w:rPr>
                <w:rFonts w:asciiTheme="minorHAnsi" w:hAnsiTheme="minorHAnsi" w:cstheme="minorHAnsi"/>
                <w:sz w:val="16"/>
                <w:szCs w:val="16"/>
              </w:rPr>
            </w:pPr>
            <w:r w:rsidRPr="003B4367">
              <w:rPr>
                <w:rFonts w:asciiTheme="minorHAnsi" w:hAnsiTheme="minorHAnsi" w:cstheme="minorHAnsi"/>
                <w:sz w:val="16"/>
                <w:szCs w:val="16"/>
              </w:rPr>
              <w:t>REDUCE</w:t>
            </w:r>
          </w:p>
        </w:tc>
      </w:tr>
      <w:tr w:rsidR="008900EE" w:rsidRPr="00A7717E" w14:paraId="28193953" w14:textId="77777777" w:rsidTr="00FC130A">
        <w:tc>
          <w:tcPr>
            <w:tcW w:w="704" w:type="dxa"/>
            <w:tcMar>
              <w:left w:w="28" w:type="dxa"/>
              <w:right w:w="28" w:type="dxa"/>
            </w:tcMar>
          </w:tcPr>
          <w:p w14:paraId="063024C6" w14:textId="77777777" w:rsidR="009563B4" w:rsidRPr="008176BC" w:rsidRDefault="009563B4" w:rsidP="00FC130A">
            <w:pPr>
              <w:jc w:val="center"/>
              <w:rPr>
                <w:rFonts w:asciiTheme="minorHAnsi" w:hAnsiTheme="minorHAnsi" w:cstheme="minorHAnsi"/>
                <w:sz w:val="16"/>
                <w:szCs w:val="16"/>
              </w:rPr>
            </w:pPr>
            <w:r w:rsidRPr="008176BC">
              <w:rPr>
                <w:rFonts w:asciiTheme="minorHAnsi" w:hAnsiTheme="minorHAnsi" w:cstheme="minorHAnsi"/>
                <w:sz w:val="16"/>
                <w:szCs w:val="16"/>
              </w:rPr>
              <w:t>17</w:t>
            </w:r>
          </w:p>
        </w:tc>
        <w:tc>
          <w:tcPr>
            <w:tcW w:w="1418" w:type="dxa"/>
            <w:tcMar>
              <w:left w:w="28" w:type="dxa"/>
              <w:right w:w="28" w:type="dxa"/>
            </w:tcMar>
          </w:tcPr>
          <w:p w14:paraId="7FFF7D84" w14:textId="77777777" w:rsidR="009563B4" w:rsidRPr="008176BC" w:rsidRDefault="009563B4" w:rsidP="00FC130A">
            <w:pPr>
              <w:rPr>
                <w:rFonts w:asciiTheme="minorHAnsi" w:hAnsiTheme="minorHAnsi" w:cstheme="minorHAnsi"/>
                <w:sz w:val="16"/>
                <w:szCs w:val="16"/>
              </w:rPr>
            </w:pPr>
            <w:r w:rsidRPr="008176BC">
              <w:rPr>
                <w:rFonts w:asciiTheme="minorHAnsi" w:hAnsiTheme="minorHAnsi" w:cstheme="minorHAnsi"/>
                <w:sz w:val="16"/>
                <w:szCs w:val="16"/>
              </w:rPr>
              <w:t>C2 Cahama Productive Rangeland Collaborative Management 87,000 ha</w:t>
            </w:r>
          </w:p>
        </w:tc>
        <w:tc>
          <w:tcPr>
            <w:tcW w:w="850" w:type="dxa"/>
            <w:tcMar>
              <w:left w:w="28" w:type="dxa"/>
              <w:right w:w="28" w:type="dxa"/>
            </w:tcMar>
          </w:tcPr>
          <w:p w14:paraId="077F3CFF" w14:textId="77777777" w:rsidR="009563B4" w:rsidRPr="008176BC" w:rsidRDefault="009563B4" w:rsidP="00FC130A">
            <w:pPr>
              <w:rPr>
                <w:rFonts w:asciiTheme="minorHAnsi" w:hAnsiTheme="minorHAnsi" w:cstheme="minorHAnsi"/>
                <w:sz w:val="16"/>
                <w:szCs w:val="16"/>
              </w:rPr>
            </w:pPr>
            <w:r w:rsidRPr="008176BC">
              <w:rPr>
                <w:rFonts w:asciiTheme="minorHAnsi" w:hAnsiTheme="minorHAnsi" w:cstheme="minorHAnsi"/>
                <w:sz w:val="16"/>
                <w:szCs w:val="16"/>
              </w:rPr>
              <w:t>G grazing land</w:t>
            </w:r>
          </w:p>
        </w:tc>
        <w:tc>
          <w:tcPr>
            <w:tcW w:w="1134" w:type="dxa"/>
            <w:tcMar>
              <w:left w:w="28" w:type="dxa"/>
              <w:right w:w="28" w:type="dxa"/>
            </w:tcMar>
          </w:tcPr>
          <w:p w14:paraId="3753C8D8" w14:textId="77777777" w:rsidR="009563B4" w:rsidRPr="008176BC" w:rsidRDefault="009563B4" w:rsidP="00FC130A">
            <w:pPr>
              <w:rPr>
                <w:rFonts w:asciiTheme="minorHAnsi" w:hAnsiTheme="minorHAnsi" w:cstheme="minorHAnsi"/>
                <w:sz w:val="16"/>
                <w:szCs w:val="16"/>
              </w:rPr>
            </w:pPr>
            <w:r w:rsidRPr="008176BC">
              <w:rPr>
                <w:rFonts w:asciiTheme="minorHAnsi" w:hAnsiTheme="minorHAnsi" w:cstheme="minorHAnsi"/>
                <w:color w:val="000000"/>
                <w:sz w:val="16"/>
                <w:szCs w:val="16"/>
              </w:rPr>
              <w:t>LMU-AO-17 | Sub-Basin 2, LUS = Grassland C2</w:t>
            </w:r>
          </w:p>
        </w:tc>
        <w:tc>
          <w:tcPr>
            <w:tcW w:w="709" w:type="dxa"/>
            <w:tcMar>
              <w:left w:w="28" w:type="dxa"/>
              <w:right w:w="113" w:type="dxa"/>
            </w:tcMar>
          </w:tcPr>
          <w:p w14:paraId="244CE7E1" w14:textId="77777777" w:rsidR="009563B4" w:rsidRPr="008176BC" w:rsidRDefault="009563B4" w:rsidP="00FC130A">
            <w:pPr>
              <w:jc w:val="right"/>
              <w:rPr>
                <w:rFonts w:asciiTheme="minorHAnsi" w:hAnsiTheme="minorHAnsi" w:cstheme="minorHAnsi"/>
                <w:sz w:val="16"/>
                <w:szCs w:val="16"/>
              </w:rPr>
            </w:pPr>
            <w:r w:rsidRPr="008176BC">
              <w:rPr>
                <w:rFonts w:asciiTheme="minorHAnsi" w:hAnsiTheme="minorHAnsi" w:cstheme="minorHAnsi"/>
                <w:sz w:val="16"/>
                <w:szCs w:val="16"/>
              </w:rPr>
              <w:t>87,000</w:t>
            </w:r>
          </w:p>
        </w:tc>
        <w:tc>
          <w:tcPr>
            <w:tcW w:w="4536" w:type="dxa"/>
            <w:tcMar>
              <w:left w:w="28" w:type="dxa"/>
              <w:right w:w="28" w:type="dxa"/>
            </w:tcMar>
          </w:tcPr>
          <w:p w14:paraId="35685B4F" w14:textId="77777777" w:rsidR="009563B4" w:rsidRPr="008176BC" w:rsidRDefault="009563B4" w:rsidP="00FC130A">
            <w:pPr>
              <w:rPr>
                <w:rFonts w:asciiTheme="minorHAnsi" w:hAnsiTheme="minorHAnsi" w:cstheme="minorHAnsi"/>
                <w:sz w:val="16"/>
                <w:szCs w:val="16"/>
              </w:rPr>
            </w:pPr>
            <w:r w:rsidRPr="008176BC">
              <w:rPr>
                <w:rFonts w:asciiTheme="minorHAnsi" w:hAnsiTheme="minorHAnsi" w:cstheme="minorHAnsi"/>
                <w:sz w:val="16"/>
                <w:szCs w:val="16"/>
              </w:rPr>
              <w:t>Rangeland, sustainable management of livestock routes, pasture and improved access to agro-veterinarian services, but considering that some areas may be claimed, so a plan and scheme for seasonal access to land coupled with and productivity enhancement measures will be implemented and may include (planting palatable grasses, use of controlled early burning in certain areas, production and spreading of biochar / terra preta on site, etc.)</w:t>
            </w:r>
          </w:p>
        </w:tc>
        <w:tc>
          <w:tcPr>
            <w:tcW w:w="1701" w:type="dxa"/>
            <w:tcMar>
              <w:left w:w="28" w:type="dxa"/>
              <w:right w:w="28" w:type="dxa"/>
            </w:tcMar>
          </w:tcPr>
          <w:p w14:paraId="7F83C4DB" w14:textId="77777777" w:rsidR="009563B4" w:rsidRPr="008176BC" w:rsidRDefault="009563B4" w:rsidP="00FC130A">
            <w:pPr>
              <w:rPr>
                <w:rFonts w:asciiTheme="minorHAnsi" w:hAnsiTheme="minorHAnsi" w:cstheme="minorHAnsi"/>
                <w:sz w:val="16"/>
                <w:szCs w:val="16"/>
              </w:rPr>
            </w:pPr>
            <w:r w:rsidRPr="008176BC">
              <w:rPr>
                <w:rFonts w:asciiTheme="minorHAnsi" w:hAnsiTheme="minorHAnsi" w:cstheme="minorHAnsi"/>
                <w:sz w:val="16"/>
                <w:szCs w:val="16"/>
              </w:rPr>
              <w:t>Local agro-pastoralists</w:t>
            </w:r>
          </w:p>
        </w:tc>
        <w:tc>
          <w:tcPr>
            <w:tcW w:w="1701" w:type="dxa"/>
            <w:tcMar>
              <w:left w:w="28" w:type="dxa"/>
              <w:right w:w="28" w:type="dxa"/>
            </w:tcMar>
          </w:tcPr>
          <w:p w14:paraId="7D23F99E" w14:textId="77777777" w:rsidR="009563B4" w:rsidRPr="008176BC" w:rsidRDefault="009563B4" w:rsidP="00FC130A">
            <w:pPr>
              <w:rPr>
                <w:rFonts w:asciiTheme="minorHAnsi" w:hAnsiTheme="minorHAnsi" w:cstheme="minorHAnsi"/>
                <w:sz w:val="16"/>
                <w:szCs w:val="16"/>
              </w:rPr>
            </w:pPr>
            <w:r w:rsidRPr="008176BC">
              <w:rPr>
                <w:rFonts w:asciiTheme="minorHAnsi" w:hAnsiTheme="minorHAnsi" w:cstheme="minorHAnsi"/>
                <w:sz w:val="16"/>
                <w:szCs w:val="16"/>
              </w:rPr>
              <w:t>Sustainable rangeland management</w:t>
            </w:r>
          </w:p>
        </w:tc>
        <w:tc>
          <w:tcPr>
            <w:tcW w:w="1984" w:type="dxa"/>
            <w:tcMar>
              <w:left w:w="28" w:type="dxa"/>
              <w:right w:w="28" w:type="dxa"/>
            </w:tcMar>
          </w:tcPr>
          <w:p w14:paraId="682C3089" w14:textId="77777777" w:rsidR="009563B4" w:rsidRPr="003B4367" w:rsidRDefault="009563B4" w:rsidP="00FC130A">
            <w:pPr>
              <w:rPr>
                <w:rFonts w:asciiTheme="minorHAnsi" w:hAnsiTheme="minorHAnsi" w:cstheme="minorHAnsi"/>
                <w:sz w:val="16"/>
                <w:szCs w:val="16"/>
              </w:rPr>
            </w:pPr>
            <w:r w:rsidRPr="003B4367">
              <w:rPr>
                <w:rFonts w:asciiTheme="minorHAnsi" w:hAnsiTheme="minorHAnsi" w:cstheme="minorHAnsi"/>
                <w:sz w:val="16"/>
                <w:szCs w:val="16"/>
              </w:rPr>
              <w:t>Not yet engaged</w:t>
            </w:r>
          </w:p>
        </w:tc>
        <w:tc>
          <w:tcPr>
            <w:tcW w:w="851" w:type="dxa"/>
            <w:tcMar>
              <w:left w:w="28" w:type="dxa"/>
              <w:right w:w="28" w:type="dxa"/>
            </w:tcMar>
          </w:tcPr>
          <w:p w14:paraId="024EE7A4" w14:textId="77777777" w:rsidR="009563B4" w:rsidRPr="003B4367" w:rsidRDefault="009563B4" w:rsidP="00FC130A">
            <w:pPr>
              <w:rPr>
                <w:rFonts w:asciiTheme="minorHAnsi" w:hAnsiTheme="minorHAnsi" w:cstheme="minorHAnsi"/>
                <w:sz w:val="16"/>
                <w:szCs w:val="16"/>
              </w:rPr>
            </w:pPr>
            <w:r w:rsidRPr="003B4367">
              <w:rPr>
                <w:rFonts w:asciiTheme="minorHAnsi" w:hAnsiTheme="minorHAnsi" w:cstheme="minorHAnsi"/>
                <w:sz w:val="16"/>
                <w:szCs w:val="16"/>
              </w:rPr>
              <w:t>REDUCE</w:t>
            </w:r>
          </w:p>
        </w:tc>
      </w:tr>
      <w:tr w:rsidR="008900EE" w:rsidRPr="00A7717E" w14:paraId="3151EDFE" w14:textId="77777777" w:rsidTr="00FC130A">
        <w:tc>
          <w:tcPr>
            <w:tcW w:w="704" w:type="dxa"/>
            <w:tcMar>
              <w:left w:w="28" w:type="dxa"/>
              <w:right w:w="28" w:type="dxa"/>
            </w:tcMar>
          </w:tcPr>
          <w:p w14:paraId="6AB8E837" w14:textId="77777777" w:rsidR="009563B4" w:rsidRPr="00165301" w:rsidRDefault="009563B4" w:rsidP="00FC130A">
            <w:pPr>
              <w:jc w:val="center"/>
              <w:rPr>
                <w:rFonts w:asciiTheme="minorHAnsi" w:hAnsiTheme="minorHAnsi" w:cstheme="minorHAnsi"/>
                <w:sz w:val="16"/>
                <w:szCs w:val="16"/>
              </w:rPr>
            </w:pPr>
            <w:r w:rsidRPr="00165301">
              <w:rPr>
                <w:rFonts w:asciiTheme="minorHAnsi" w:hAnsiTheme="minorHAnsi" w:cstheme="minorHAnsi"/>
                <w:sz w:val="16"/>
                <w:szCs w:val="16"/>
              </w:rPr>
              <w:t>18</w:t>
            </w:r>
          </w:p>
        </w:tc>
        <w:tc>
          <w:tcPr>
            <w:tcW w:w="1418" w:type="dxa"/>
            <w:tcMar>
              <w:left w:w="28" w:type="dxa"/>
              <w:right w:w="28" w:type="dxa"/>
            </w:tcMar>
          </w:tcPr>
          <w:p w14:paraId="52B16643" w14:textId="0AEA8CBB" w:rsidR="009563B4" w:rsidRPr="00165301" w:rsidRDefault="009563B4" w:rsidP="00FC130A">
            <w:pPr>
              <w:rPr>
                <w:rFonts w:asciiTheme="minorHAnsi" w:hAnsiTheme="minorHAnsi" w:cstheme="minorHAnsi"/>
                <w:sz w:val="16"/>
                <w:szCs w:val="16"/>
              </w:rPr>
            </w:pPr>
            <w:r w:rsidRPr="00165301">
              <w:rPr>
                <w:rFonts w:asciiTheme="minorHAnsi" w:hAnsiTheme="minorHAnsi" w:cstheme="minorHAnsi"/>
                <w:sz w:val="16"/>
                <w:szCs w:val="16"/>
              </w:rPr>
              <w:t>A7 Tchipelongo Forest 54,000 ha</w:t>
            </w:r>
          </w:p>
        </w:tc>
        <w:tc>
          <w:tcPr>
            <w:tcW w:w="850" w:type="dxa"/>
            <w:tcMar>
              <w:left w:w="28" w:type="dxa"/>
              <w:right w:w="28" w:type="dxa"/>
            </w:tcMar>
          </w:tcPr>
          <w:p w14:paraId="7AAD01D6" w14:textId="77777777" w:rsidR="009563B4" w:rsidRPr="00165301" w:rsidRDefault="009563B4" w:rsidP="00FC130A">
            <w:pPr>
              <w:rPr>
                <w:rFonts w:asciiTheme="minorHAnsi" w:hAnsiTheme="minorHAnsi" w:cstheme="minorHAnsi"/>
                <w:sz w:val="16"/>
                <w:szCs w:val="16"/>
              </w:rPr>
            </w:pPr>
            <w:r w:rsidRPr="00165301">
              <w:rPr>
                <w:rFonts w:asciiTheme="minorHAnsi" w:hAnsiTheme="minorHAnsi" w:cstheme="minorHAnsi"/>
                <w:sz w:val="16"/>
                <w:szCs w:val="16"/>
              </w:rPr>
              <w:t>F forest/ woodlands</w:t>
            </w:r>
          </w:p>
        </w:tc>
        <w:tc>
          <w:tcPr>
            <w:tcW w:w="1134" w:type="dxa"/>
            <w:tcMar>
              <w:left w:w="28" w:type="dxa"/>
              <w:right w:w="28" w:type="dxa"/>
            </w:tcMar>
          </w:tcPr>
          <w:p w14:paraId="5A2C655A" w14:textId="77777777" w:rsidR="009563B4" w:rsidRPr="00C4476F" w:rsidRDefault="009563B4" w:rsidP="00FC130A">
            <w:pPr>
              <w:rPr>
                <w:rFonts w:asciiTheme="minorHAnsi" w:hAnsiTheme="minorHAnsi" w:cstheme="minorHAnsi"/>
                <w:color w:val="000000"/>
                <w:sz w:val="16"/>
                <w:szCs w:val="16"/>
                <w:lang w:val="es-ES"/>
              </w:rPr>
            </w:pPr>
            <w:r w:rsidRPr="00C4476F">
              <w:rPr>
                <w:rFonts w:asciiTheme="minorHAnsi" w:hAnsiTheme="minorHAnsi" w:cstheme="minorHAnsi"/>
                <w:color w:val="000000"/>
                <w:sz w:val="16"/>
                <w:szCs w:val="16"/>
                <w:lang w:val="es-ES"/>
              </w:rPr>
              <w:t>LMUs_Sub-basin 2 (Cahama-Cunene)</w:t>
            </w:r>
          </w:p>
        </w:tc>
        <w:tc>
          <w:tcPr>
            <w:tcW w:w="709" w:type="dxa"/>
            <w:tcMar>
              <w:left w:w="28" w:type="dxa"/>
              <w:right w:w="113" w:type="dxa"/>
            </w:tcMar>
          </w:tcPr>
          <w:p w14:paraId="74391C36" w14:textId="77777777" w:rsidR="009563B4" w:rsidRPr="00165301" w:rsidRDefault="009563B4" w:rsidP="00FC130A">
            <w:pPr>
              <w:jc w:val="right"/>
              <w:rPr>
                <w:rFonts w:asciiTheme="minorHAnsi" w:hAnsiTheme="minorHAnsi" w:cstheme="minorHAnsi"/>
                <w:sz w:val="16"/>
                <w:szCs w:val="16"/>
              </w:rPr>
            </w:pPr>
            <w:r w:rsidRPr="00165301">
              <w:rPr>
                <w:rFonts w:asciiTheme="minorHAnsi" w:hAnsiTheme="minorHAnsi" w:cstheme="minorHAnsi"/>
                <w:sz w:val="16"/>
                <w:szCs w:val="16"/>
              </w:rPr>
              <w:t>54,000</w:t>
            </w:r>
          </w:p>
        </w:tc>
        <w:tc>
          <w:tcPr>
            <w:tcW w:w="4536" w:type="dxa"/>
            <w:tcMar>
              <w:left w:w="28" w:type="dxa"/>
              <w:right w:w="28" w:type="dxa"/>
            </w:tcMar>
          </w:tcPr>
          <w:p w14:paraId="4DFC40BF" w14:textId="562FBDE5" w:rsidR="009563B4" w:rsidRPr="00165301" w:rsidRDefault="00803E5E" w:rsidP="00FC130A">
            <w:pPr>
              <w:jc w:val="both"/>
              <w:rPr>
                <w:rFonts w:asciiTheme="minorHAnsi" w:hAnsiTheme="minorHAnsi" w:cstheme="minorHAnsi"/>
                <w:sz w:val="16"/>
                <w:szCs w:val="16"/>
              </w:rPr>
            </w:pPr>
            <w:r w:rsidRPr="60130418">
              <w:rPr>
                <w:rFonts w:asciiTheme="minorHAnsi" w:hAnsiTheme="minorHAnsi" w:cstheme="minorBidi"/>
                <w:sz w:val="16"/>
                <w:szCs w:val="16"/>
              </w:rPr>
              <w:t>Foreste</w:t>
            </w:r>
            <w:r w:rsidR="002417E0">
              <w:rPr>
                <w:rFonts w:asciiTheme="minorHAnsi" w:hAnsiTheme="minorHAnsi" w:cstheme="minorBidi"/>
                <w:sz w:val="16"/>
                <w:szCs w:val="16"/>
              </w:rPr>
              <w:t>d</w:t>
            </w:r>
            <w:r w:rsidRPr="60130418">
              <w:rPr>
                <w:rFonts w:asciiTheme="minorHAnsi" w:hAnsiTheme="minorHAnsi" w:cstheme="minorBidi"/>
                <w:sz w:val="16"/>
                <w:szCs w:val="16"/>
              </w:rPr>
              <w:t xml:space="preserve"> area</w:t>
            </w:r>
            <w:r w:rsidR="00F275C1" w:rsidRPr="60130418">
              <w:rPr>
                <w:rFonts w:asciiTheme="minorHAnsi" w:hAnsiTheme="minorHAnsi" w:cstheme="minorBidi"/>
                <w:sz w:val="16"/>
                <w:szCs w:val="16"/>
              </w:rPr>
              <w:t xml:space="preserve"> where c</w:t>
            </w:r>
            <w:r w:rsidR="009563B4" w:rsidRPr="60130418">
              <w:rPr>
                <w:rFonts w:asciiTheme="minorHAnsi" w:hAnsiTheme="minorHAnsi" w:cstheme="minorBidi"/>
                <w:sz w:val="16"/>
                <w:szCs w:val="16"/>
              </w:rPr>
              <w:t>urrently, habitat disturbance seems light,</w:t>
            </w:r>
            <w:r w:rsidR="00BB058B" w:rsidRPr="60130418">
              <w:rPr>
                <w:rFonts w:asciiTheme="minorHAnsi" w:hAnsiTheme="minorHAnsi" w:cstheme="minorBidi"/>
                <w:sz w:val="16"/>
                <w:szCs w:val="16"/>
              </w:rPr>
              <w:t xml:space="preserve"> with small</w:t>
            </w:r>
            <w:r w:rsidR="00021B1A" w:rsidRPr="60130418">
              <w:rPr>
                <w:rFonts w:asciiTheme="minorHAnsi" w:hAnsiTheme="minorHAnsi" w:cstheme="minorBidi"/>
                <w:sz w:val="16"/>
                <w:szCs w:val="16"/>
              </w:rPr>
              <w:t xml:space="preserve"> households and in its</w:t>
            </w:r>
            <w:r w:rsidR="003926C0" w:rsidRPr="60130418">
              <w:rPr>
                <w:rFonts w:asciiTheme="minorHAnsi" w:hAnsiTheme="minorHAnsi" w:cstheme="minorBidi"/>
                <w:sz w:val="16"/>
                <w:szCs w:val="16"/>
              </w:rPr>
              <w:t xml:space="preserve"> interior,</w:t>
            </w:r>
            <w:r w:rsidR="009563B4" w:rsidRPr="60130418">
              <w:rPr>
                <w:rFonts w:asciiTheme="minorHAnsi" w:hAnsiTheme="minorHAnsi" w:cstheme="minorBidi"/>
                <w:sz w:val="16"/>
                <w:szCs w:val="16"/>
              </w:rPr>
              <w:t xml:space="preserve"> so the forest is relatively well preserved. </w:t>
            </w:r>
            <w:r w:rsidR="003926C0" w:rsidRPr="60130418">
              <w:rPr>
                <w:rFonts w:asciiTheme="minorHAnsi" w:hAnsiTheme="minorHAnsi" w:cstheme="minorBidi"/>
                <w:sz w:val="16"/>
                <w:szCs w:val="16"/>
              </w:rPr>
              <w:t xml:space="preserve">According to the </w:t>
            </w:r>
            <w:r w:rsidR="0048024D" w:rsidRPr="60130418">
              <w:rPr>
                <w:rFonts w:asciiTheme="minorHAnsi" w:hAnsiTheme="minorHAnsi" w:cstheme="minorBidi"/>
                <w:sz w:val="16"/>
                <w:szCs w:val="16"/>
              </w:rPr>
              <w:t xml:space="preserve">FSC </w:t>
            </w:r>
            <w:r w:rsidR="0000747F" w:rsidRPr="60130418">
              <w:rPr>
                <w:rFonts w:asciiTheme="minorHAnsi" w:hAnsiTheme="minorHAnsi" w:cstheme="minorBidi"/>
                <w:sz w:val="16"/>
                <w:szCs w:val="16"/>
              </w:rPr>
              <w:t>criteria</w:t>
            </w:r>
            <w:r w:rsidR="00902A50" w:rsidRPr="60130418">
              <w:rPr>
                <w:rStyle w:val="FootnoteReference"/>
                <w:rFonts w:asciiTheme="minorHAnsi" w:hAnsiTheme="minorHAnsi" w:cstheme="minorBidi"/>
                <w:sz w:val="16"/>
                <w:szCs w:val="16"/>
              </w:rPr>
              <w:footnoteReference w:id="71"/>
            </w:r>
            <w:r w:rsidR="00CB60C1" w:rsidRPr="60130418">
              <w:rPr>
                <w:rFonts w:asciiTheme="minorHAnsi" w:hAnsiTheme="minorHAnsi" w:cstheme="minorBidi"/>
                <w:sz w:val="16"/>
                <w:szCs w:val="16"/>
              </w:rPr>
              <w:t>, this area is</w:t>
            </w:r>
            <w:r w:rsidR="00A105E5" w:rsidRPr="60130418">
              <w:rPr>
                <w:rFonts w:asciiTheme="minorHAnsi" w:hAnsiTheme="minorHAnsi" w:cstheme="minorBidi"/>
                <w:sz w:val="16"/>
                <w:szCs w:val="16"/>
              </w:rPr>
              <w:t xml:space="preserve"> categorized as HCVF at least under</w:t>
            </w:r>
            <w:r w:rsidR="00CA7F25" w:rsidRPr="60130418">
              <w:rPr>
                <w:rFonts w:asciiTheme="minorHAnsi" w:hAnsiTheme="minorHAnsi" w:cstheme="minorBidi"/>
                <w:sz w:val="16"/>
                <w:szCs w:val="16"/>
              </w:rPr>
              <w:t xml:space="preserve"> categories HCF 4 and 5</w:t>
            </w:r>
            <w:r w:rsidR="00352819" w:rsidRPr="60130418">
              <w:rPr>
                <w:rFonts w:asciiTheme="minorHAnsi" w:hAnsiTheme="minorHAnsi" w:cstheme="minorBidi"/>
                <w:sz w:val="16"/>
                <w:szCs w:val="16"/>
              </w:rPr>
              <w:t xml:space="preserve"> (other categories might also apply upon further studies)</w:t>
            </w:r>
            <w:r w:rsidR="009563B4" w:rsidRPr="60130418">
              <w:rPr>
                <w:rFonts w:asciiTheme="minorHAnsi" w:hAnsiTheme="minorHAnsi" w:cstheme="minorBidi"/>
                <w:sz w:val="16"/>
                <w:szCs w:val="16"/>
              </w:rPr>
              <w:t xml:space="preserve"> It </w:t>
            </w:r>
            <w:r w:rsidR="00DB6AD0" w:rsidRPr="60130418">
              <w:rPr>
                <w:rFonts w:asciiTheme="minorHAnsi" w:hAnsiTheme="minorHAnsi" w:cstheme="minorBidi"/>
                <w:sz w:val="16"/>
                <w:szCs w:val="16"/>
              </w:rPr>
              <w:t>i</w:t>
            </w:r>
            <w:r w:rsidR="009563B4" w:rsidRPr="60130418">
              <w:rPr>
                <w:rFonts w:asciiTheme="minorHAnsi" w:hAnsiTheme="minorHAnsi" w:cstheme="minorBidi"/>
                <w:sz w:val="16"/>
                <w:szCs w:val="16"/>
              </w:rPr>
              <w:t>s realatively rare a representative of Zambezian Baikiaea woodland in Cunene province</w:t>
            </w:r>
            <w:r w:rsidR="00E6031B" w:rsidRPr="60130418">
              <w:rPr>
                <w:rFonts w:asciiTheme="minorHAnsi" w:hAnsiTheme="minorHAnsi" w:cstheme="minorBidi"/>
                <w:sz w:val="16"/>
                <w:szCs w:val="16"/>
              </w:rPr>
              <w:t xml:space="preserve"> and</w:t>
            </w:r>
            <w:r w:rsidR="00B83645" w:rsidRPr="60130418">
              <w:rPr>
                <w:rFonts w:asciiTheme="minorHAnsi" w:hAnsiTheme="minorHAnsi" w:cstheme="minorBidi"/>
                <w:sz w:val="16"/>
                <w:szCs w:val="16"/>
              </w:rPr>
              <w:t xml:space="preserve"> represents a key landscape for the maintenance of the integrity of the Miombo-Mopane ecosystem</w:t>
            </w:r>
            <w:r w:rsidR="009563B4" w:rsidRPr="60130418" w:rsidDel="00603E9C">
              <w:rPr>
                <w:rFonts w:asciiTheme="minorHAnsi" w:hAnsiTheme="minorHAnsi" w:cstheme="minorBidi"/>
                <w:sz w:val="16"/>
                <w:szCs w:val="16"/>
              </w:rPr>
              <w:t>.</w:t>
            </w:r>
            <w:r w:rsidR="009563B4" w:rsidRPr="60130418">
              <w:rPr>
                <w:rFonts w:asciiTheme="minorHAnsi" w:hAnsiTheme="minorHAnsi" w:cstheme="minorBidi"/>
                <w:sz w:val="16"/>
                <w:szCs w:val="16"/>
              </w:rPr>
              <w:t xml:space="preserve"> Conservation actions will include </w:t>
            </w:r>
            <w:r w:rsidR="002053EB" w:rsidRPr="60130418">
              <w:rPr>
                <w:rFonts w:asciiTheme="minorHAnsi" w:hAnsiTheme="minorHAnsi" w:cstheme="minorBidi"/>
                <w:sz w:val="16"/>
                <w:szCs w:val="16"/>
              </w:rPr>
              <w:t>consultations with local communities and</w:t>
            </w:r>
            <w:r w:rsidR="002D01F6" w:rsidRPr="60130418">
              <w:rPr>
                <w:rFonts w:asciiTheme="minorHAnsi" w:hAnsiTheme="minorHAnsi" w:cstheme="minorBidi"/>
                <w:sz w:val="16"/>
                <w:szCs w:val="16"/>
              </w:rPr>
              <w:t xml:space="preserve"> Government </w:t>
            </w:r>
            <w:r w:rsidR="009C0571" w:rsidRPr="60130418">
              <w:rPr>
                <w:rFonts w:asciiTheme="minorHAnsi" w:hAnsiTheme="minorHAnsi" w:cstheme="minorBidi"/>
                <w:sz w:val="16"/>
                <w:szCs w:val="16"/>
              </w:rPr>
              <w:t>will take place in the context of the</w:t>
            </w:r>
            <w:r w:rsidR="0071031C" w:rsidRPr="60130418">
              <w:rPr>
                <w:rFonts w:asciiTheme="minorHAnsi" w:hAnsiTheme="minorHAnsi" w:cstheme="minorBidi"/>
                <w:sz w:val="16"/>
                <w:szCs w:val="16"/>
              </w:rPr>
              <w:t xml:space="preserve"> integrated land use plans for the landscapes. In this context, adequate</w:t>
            </w:r>
            <w:r w:rsidR="002D01F6" w:rsidRPr="60130418">
              <w:rPr>
                <w:rFonts w:asciiTheme="minorHAnsi" w:hAnsiTheme="minorHAnsi" w:cstheme="minorBidi"/>
                <w:sz w:val="16"/>
                <w:szCs w:val="16"/>
              </w:rPr>
              <w:t xml:space="preserve"> SFM practices aiming to reduce pressure from</w:t>
            </w:r>
            <w:r w:rsidR="003275C7" w:rsidRPr="60130418">
              <w:rPr>
                <w:rFonts w:asciiTheme="minorHAnsi" w:hAnsiTheme="minorHAnsi" w:cstheme="minorBidi"/>
                <w:sz w:val="16"/>
                <w:szCs w:val="16"/>
              </w:rPr>
              <w:t xml:space="preserve"> other land uses (cropland </w:t>
            </w:r>
            <w:r w:rsidR="009C0571" w:rsidRPr="60130418">
              <w:rPr>
                <w:rFonts w:asciiTheme="minorHAnsi" w:hAnsiTheme="minorHAnsi" w:cstheme="minorBidi"/>
                <w:sz w:val="16"/>
                <w:szCs w:val="16"/>
              </w:rPr>
              <w:t>and settlement expansion)</w:t>
            </w:r>
            <w:r w:rsidR="0071031C" w:rsidRPr="60130418">
              <w:rPr>
                <w:rFonts w:asciiTheme="minorHAnsi" w:hAnsiTheme="minorHAnsi" w:cstheme="minorBidi"/>
                <w:sz w:val="16"/>
                <w:szCs w:val="16"/>
              </w:rPr>
              <w:t xml:space="preserve"> and at the same time, enhance the livelihoods from the communities in the area will be discussed and agreed upon. </w:t>
            </w:r>
          </w:p>
        </w:tc>
        <w:tc>
          <w:tcPr>
            <w:tcW w:w="1701" w:type="dxa"/>
            <w:tcMar>
              <w:left w:w="28" w:type="dxa"/>
              <w:right w:w="28" w:type="dxa"/>
            </w:tcMar>
          </w:tcPr>
          <w:p w14:paraId="37E53D06" w14:textId="5A076FC2" w:rsidR="00347144" w:rsidRPr="00CA44A1" w:rsidRDefault="00347144" w:rsidP="00FC130A">
            <w:pPr>
              <w:rPr>
                <w:rFonts w:asciiTheme="minorHAnsi" w:hAnsiTheme="minorHAnsi" w:cstheme="minorHAnsi"/>
                <w:sz w:val="16"/>
                <w:szCs w:val="16"/>
                <w:highlight w:val="yellow"/>
              </w:rPr>
            </w:pPr>
            <w:r w:rsidRPr="00CA44A1">
              <w:rPr>
                <w:rFonts w:asciiTheme="minorHAnsi" w:hAnsiTheme="minorHAnsi" w:cstheme="minorHAnsi"/>
                <w:sz w:val="16"/>
                <w:szCs w:val="16"/>
                <w:highlight w:val="yellow"/>
              </w:rPr>
              <w:t>Local agro-pastoralists</w:t>
            </w:r>
            <w:r w:rsidRPr="00CA44A1">
              <w:rPr>
                <w:highlight w:val="yellow"/>
              </w:rPr>
              <w:t xml:space="preserve"> </w:t>
            </w:r>
            <w:r w:rsidRPr="00CA44A1">
              <w:rPr>
                <w:rFonts w:asciiTheme="minorHAnsi" w:hAnsiTheme="minorHAnsi" w:cstheme="minorHAnsi"/>
                <w:sz w:val="16"/>
                <w:szCs w:val="16"/>
                <w:highlight w:val="yellow"/>
              </w:rPr>
              <w:t>in Tchipelongo, Muculo and Bela-Bela villages</w:t>
            </w:r>
            <w:r w:rsidR="00277DDD" w:rsidRPr="00CA44A1">
              <w:rPr>
                <w:rFonts w:asciiTheme="minorHAnsi" w:hAnsiTheme="minorHAnsi" w:cstheme="minorHAnsi"/>
                <w:sz w:val="16"/>
                <w:szCs w:val="16"/>
                <w:highlight w:val="yellow"/>
              </w:rPr>
              <w:t>.</w:t>
            </w:r>
          </w:p>
          <w:p w14:paraId="31F8AA2E" w14:textId="77777777" w:rsidR="00267EDD" w:rsidRPr="00CA44A1" w:rsidRDefault="00267EDD" w:rsidP="00FC130A">
            <w:pPr>
              <w:rPr>
                <w:rFonts w:asciiTheme="minorHAnsi" w:hAnsiTheme="minorHAnsi" w:cstheme="minorHAnsi"/>
                <w:sz w:val="16"/>
                <w:szCs w:val="16"/>
                <w:highlight w:val="yellow"/>
              </w:rPr>
            </w:pPr>
          </w:p>
          <w:p w14:paraId="33DF2D2A" w14:textId="6143A592" w:rsidR="00277DDD" w:rsidRDefault="00277DDD" w:rsidP="00FC130A">
            <w:pPr>
              <w:rPr>
                <w:rFonts w:asciiTheme="minorHAnsi" w:hAnsiTheme="minorHAnsi" w:cstheme="minorHAnsi"/>
                <w:sz w:val="16"/>
                <w:szCs w:val="16"/>
              </w:rPr>
            </w:pPr>
            <w:r w:rsidRPr="00CA44A1">
              <w:rPr>
                <w:rFonts w:asciiTheme="minorHAnsi" w:hAnsiTheme="minorHAnsi" w:cstheme="minorHAnsi"/>
                <w:sz w:val="16"/>
                <w:szCs w:val="16"/>
                <w:highlight w:val="yellow"/>
              </w:rPr>
              <w:t xml:space="preserve">Local Government </w:t>
            </w:r>
            <w:r w:rsidR="0039626D" w:rsidRPr="00CA44A1">
              <w:rPr>
                <w:rFonts w:asciiTheme="minorHAnsi" w:hAnsiTheme="minorHAnsi" w:cstheme="minorHAnsi"/>
                <w:sz w:val="16"/>
                <w:szCs w:val="16"/>
                <w:highlight w:val="yellow"/>
              </w:rPr>
              <w:t>in the municipality and province</w:t>
            </w:r>
            <w:r w:rsidR="00B001DF" w:rsidRPr="00CA44A1">
              <w:rPr>
                <w:rFonts w:asciiTheme="minorHAnsi" w:hAnsiTheme="minorHAnsi" w:cstheme="minorHAnsi"/>
                <w:sz w:val="16"/>
                <w:szCs w:val="16"/>
                <w:highlight w:val="yellow"/>
              </w:rPr>
              <w:t>,</w:t>
            </w:r>
            <w:r w:rsidR="00844D7E" w:rsidRPr="00CA44A1">
              <w:rPr>
                <w:rFonts w:asciiTheme="minorHAnsi" w:hAnsiTheme="minorHAnsi" w:cstheme="minorHAnsi"/>
                <w:sz w:val="16"/>
                <w:szCs w:val="16"/>
                <w:highlight w:val="yellow"/>
              </w:rPr>
              <w:t xml:space="preserve"> responsible for the ILUP development and consultation</w:t>
            </w:r>
            <w:r w:rsidR="00B001DF" w:rsidRPr="00CA44A1">
              <w:rPr>
                <w:rFonts w:asciiTheme="minorHAnsi" w:hAnsiTheme="minorHAnsi" w:cstheme="minorHAnsi"/>
                <w:sz w:val="16"/>
                <w:szCs w:val="16"/>
                <w:highlight w:val="yellow"/>
              </w:rPr>
              <w:t>s</w:t>
            </w:r>
            <w:r w:rsidR="00554854" w:rsidRPr="00CA44A1">
              <w:rPr>
                <w:rFonts w:asciiTheme="minorHAnsi" w:hAnsiTheme="minorHAnsi" w:cstheme="minorHAnsi"/>
                <w:sz w:val="16"/>
                <w:szCs w:val="16"/>
                <w:highlight w:val="yellow"/>
              </w:rPr>
              <w:t xml:space="preserve"> in partnership with the operations partners.</w:t>
            </w:r>
          </w:p>
          <w:p w14:paraId="68255CE1" w14:textId="77777777" w:rsidR="00347144" w:rsidRDefault="00347144" w:rsidP="00FC130A">
            <w:pPr>
              <w:rPr>
                <w:rFonts w:asciiTheme="minorHAnsi" w:hAnsiTheme="minorHAnsi" w:cstheme="minorBidi"/>
                <w:sz w:val="16"/>
                <w:szCs w:val="16"/>
              </w:rPr>
            </w:pPr>
          </w:p>
          <w:p w14:paraId="614CC669" w14:textId="19453134" w:rsidR="009563B4" w:rsidRPr="00165301" w:rsidRDefault="009563B4" w:rsidP="00FC130A">
            <w:pPr>
              <w:rPr>
                <w:rFonts w:asciiTheme="minorHAnsi" w:hAnsiTheme="minorHAnsi" w:cstheme="minorBidi"/>
                <w:sz w:val="16"/>
                <w:szCs w:val="16"/>
              </w:rPr>
            </w:pPr>
            <w:r w:rsidRPr="47789046">
              <w:rPr>
                <w:rFonts w:asciiTheme="minorHAnsi" w:hAnsiTheme="minorHAnsi" w:cstheme="minorBidi"/>
                <w:sz w:val="16"/>
                <w:szCs w:val="16"/>
              </w:rPr>
              <w:t>MI</w:t>
            </w:r>
            <w:r w:rsidR="3BB6CD1E" w:rsidRPr="47789046">
              <w:rPr>
                <w:rFonts w:asciiTheme="minorHAnsi" w:hAnsiTheme="minorHAnsi" w:cstheme="minorBidi"/>
                <w:sz w:val="16"/>
                <w:szCs w:val="16"/>
              </w:rPr>
              <w:t>CTA</w:t>
            </w:r>
            <w:r w:rsidRPr="47789046">
              <w:rPr>
                <w:rFonts w:asciiTheme="minorHAnsi" w:hAnsiTheme="minorHAnsi" w:cstheme="minorBidi"/>
                <w:sz w:val="16"/>
                <w:szCs w:val="16"/>
              </w:rPr>
              <w:t>, D</w:t>
            </w:r>
            <w:r w:rsidR="139C32C7" w:rsidRPr="47789046">
              <w:rPr>
                <w:rFonts w:asciiTheme="minorHAnsi" w:hAnsiTheme="minorHAnsi" w:cstheme="minorBidi"/>
                <w:sz w:val="16"/>
                <w:szCs w:val="16"/>
              </w:rPr>
              <w:t>NAAC</w:t>
            </w:r>
            <w:r w:rsidRPr="47789046">
              <w:rPr>
                <w:rFonts w:asciiTheme="minorHAnsi" w:hAnsiTheme="minorHAnsi" w:cstheme="minorBidi"/>
                <w:sz w:val="16"/>
                <w:szCs w:val="16"/>
              </w:rPr>
              <w:t xml:space="preserve">, INBAC and IDF </w:t>
            </w:r>
          </w:p>
        </w:tc>
        <w:tc>
          <w:tcPr>
            <w:tcW w:w="1701" w:type="dxa"/>
            <w:tcMar>
              <w:left w:w="28" w:type="dxa"/>
              <w:right w:w="28" w:type="dxa"/>
            </w:tcMar>
          </w:tcPr>
          <w:p w14:paraId="5964A0FB" w14:textId="619EA5D4" w:rsidR="009563B4" w:rsidRPr="00165301" w:rsidRDefault="00FB29F7" w:rsidP="00FC130A">
            <w:pPr>
              <w:rPr>
                <w:rFonts w:asciiTheme="minorHAnsi" w:hAnsiTheme="minorHAnsi" w:cstheme="minorHAnsi"/>
                <w:sz w:val="16"/>
                <w:szCs w:val="16"/>
              </w:rPr>
            </w:pPr>
            <w:r w:rsidRPr="00CA44A1">
              <w:rPr>
                <w:rFonts w:asciiTheme="minorHAnsi" w:hAnsiTheme="minorHAnsi" w:cstheme="minorHAnsi"/>
                <w:sz w:val="16"/>
                <w:szCs w:val="16"/>
                <w:highlight w:val="yellow"/>
              </w:rPr>
              <w:t>Sustainable forest management</w:t>
            </w:r>
            <w:r w:rsidR="00EC22D0" w:rsidRPr="00CA44A1">
              <w:rPr>
                <w:rFonts w:asciiTheme="minorHAnsi" w:hAnsiTheme="minorHAnsi" w:cstheme="minorHAnsi"/>
                <w:sz w:val="16"/>
                <w:szCs w:val="16"/>
                <w:highlight w:val="yellow"/>
              </w:rPr>
              <w:t xml:space="preserve"> (NTFP</w:t>
            </w:r>
            <w:r w:rsidR="00C529A5" w:rsidRPr="00CA44A1">
              <w:rPr>
                <w:rFonts w:asciiTheme="minorHAnsi" w:hAnsiTheme="minorHAnsi" w:cstheme="minorHAnsi"/>
                <w:sz w:val="16"/>
                <w:szCs w:val="16"/>
                <w:highlight w:val="yellow"/>
              </w:rPr>
              <w:t>s</w:t>
            </w:r>
            <w:r w:rsidR="00185FDA" w:rsidRPr="00CA44A1">
              <w:rPr>
                <w:rFonts w:asciiTheme="minorHAnsi" w:hAnsiTheme="minorHAnsi" w:cstheme="minorHAnsi"/>
                <w:sz w:val="16"/>
                <w:szCs w:val="16"/>
                <w:highlight w:val="yellow"/>
              </w:rPr>
              <w:t xml:space="preserve"> collection</w:t>
            </w:r>
            <w:r w:rsidR="00C529A5" w:rsidRPr="00CA44A1">
              <w:rPr>
                <w:rFonts w:asciiTheme="minorHAnsi" w:hAnsiTheme="minorHAnsi" w:cstheme="minorHAnsi"/>
                <w:sz w:val="16"/>
                <w:szCs w:val="16"/>
                <w:highlight w:val="yellow"/>
              </w:rPr>
              <w:t xml:space="preserve">, </w:t>
            </w:r>
            <w:r w:rsidR="00CE4C29" w:rsidRPr="00CA44A1">
              <w:rPr>
                <w:rFonts w:asciiTheme="minorHAnsi" w:hAnsiTheme="minorHAnsi" w:cstheme="minorHAnsi"/>
                <w:sz w:val="16"/>
                <w:szCs w:val="16"/>
                <w:highlight w:val="yellow"/>
              </w:rPr>
              <w:t>sustainable use</w:t>
            </w:r>
            <w:r w:rsidR="00C529A5" w:rsidRPr="00CA44A1">
              <w:rPr>
                <w:rFonts w:asciiTheme="minorHAnsi" w:hAnsiTheme="minorHAnsi" w:cstheme="minorHAnsi"/>
                <w:sz w:val="16"/>
                <w:szCs w:val="16"/>
                <w:highlight w:val="yellow"/>
              </w:rPr>
              <w:t xml:space="preserve">, </w:t>
            </w:r>
            <w:r w:rsidR="006806E6" w:rsidRPr="00CA44A1">
              <w:rPr>
                <w:rFonts w:asciiTheme="minorHAnsi" w:hAnsiTheme="minorHAnsi" w:cstheme="minorHAnsi"/>
                <w:sz w:val="16"/>
                <w:szCs w:val="16"/>
                <w:highlight w:val="yellow"/>
              </w:rPr>
              <w:t>assisted natural regeneration</w:t>
            </w:r>
            <w:r w:rsidR="00185FDA" w:rsidRPr="00CA44A1">
              <w:rPr>
                <w:rFonts w:asciiTheme="minorHAnsi" w:hAnsiTheme="minorHAnsi" w:cstheme="minorHAnsi"/>
                <w:sz w:val="16"/>
                <w:szCs w:val="16"/>
                <w:highlight w:val="yellow"/>
              </w:rPr>
              <w:t>)</w:t>
            </w:r>
          </w:p>
        </w:tc>
        <w:tc>
          <w:tcPr>
            <w:tcW w:w="1984" w:type="dxa"/>
            <w:tcMar>
              <w:left w:w="28" w:type="dxa"/>
              <w:right w:w="28" w:type="dxa"/>
            </w:tcMar>
          </w:tcPr>
          <w:p w14:paraId="04809A2C" w14:textId="77777777" w:rsidR="009563B4" w:rsidRPr="00165301" w:rsidRDefault="009563B4" w:rsidP="00FC130A">
            <w:pPr>
              <w:rPr>
                <w:rFonts w:asciiTheme="minorHAnsi" w:hAnsiTheme="minorHAnsi" w:cstheme="minorHAnsi"/>
                <w:sz w:val="16"/>
                <w:szCs w:val="16"/>
              </w:rPr>
            </w:pPr>
            <w:r w:rsidRPr="00165301">
              <w:rPr>
                <w:rFonts w:asciiTheme="minorHAnsi" w:hAnsiTheme="minorHAnsi" w:cstheme="minorHAnsi"/>
                <w:sz w:val="16"/>
                <w:szCs w:val="16"/>
              </w:rPr>
              <w:t>Generally informed about the project, but not yet directly engaged for this activity</w:t>
            </w:r>
          </w:p>
        </w:tc>
        <w:tc>
          <w:tcPr>
            <w:tcW w:w="851" w:type="dxa"/>
            <w:tcMar>
              <w:left w:w="28" w:type="dxa"/>
              <w:right w:w="28" w:type="dxa"/>
            </w:tcMar>
          </w:tcPr>
          <w:p w14:paraId="54A74D6B" w14:textId="1E4CA8CF" w:rsidR="009563B4" w:rsidRPr="00165301" w:rsidRDefault="00B917E1" w:rsidP="00FC130A">
            <w:pPr>
              <w:rPr>
                <w:rFonts w:asciiTheme="minorHAnsi" w:hAnsiTheme="minorHAnsi" w:cstheme="minorHAnsi"/>
                <w:sz w:val="16"/>
                <w:szCs w:val="16"/>
              </w:rPr>
            </w:pPr>
            <w:r w:rsidRPr="00CA44A1">
              <w:rPr>
                <w:rFonts w:asciiTheme="minorHAnsi" w:hAnsiTheme="minorHAnsi" w:cstheme="minorHAnsi"/>
                <w:sz w:val="16"/>
                <w:szCs w:val="16"/>
                <w:highlight w:val="yellow"/>
              </w:rPr>
              <w:t>REDUCE</w:t>
            </w:r>
          </w:p>
        </w:tc>
      </w:tr>
    </w:tbl>
    <w:p w14:paraId="684B6E35" w14:textId="77777777" w:rsidR="009208F2" w:rsidRDefault="009208F2" w:rsidP="009563B4">
      <w:pPr>
        <w:sectPr w:rsidR="009208F2" w:rsidSect="00903274">
          <w:headerReference w:type="even" r:id="rId72"/>
          <w:headerReference w:type="default" r:id="rId73"/>
          <w:headerReference w:type="first" r:id="rId74"/>
          <w:pgSz w:w="16838" w:h="11906" w:orient="landscape" w:code="9"/>
          <w:pgMar w:top="720" w:right="720" w:bottom="720" w:left="720" w:header="720" w:footer="720" w:gutter="0"/>
          <w:cols w:space="720"/>
          <w:docGrid w:linePitch="360"/>
        </w:sectPr>
      </w:pPr>
    </w:p>
    <w:p w14:paraId="333EE5A6" w14:textId="1C20BF29" w:rsidR="00895197" w:rsidRPr="00194716" w:rsidRDefault="00895197" w:rsidP="00B34050">
      <w:pPr>
        <w:pStyle w:val="Caption"/>
        <w:tabs>
          <w:tab w:val="left" w:pos="1134"/>
        </w:tabs>
        <w:spacing w:before="160" w:after="80"/>
        <w:ind w:left="993" w:right="-1322" w:hanging="993"/>
        <w:jc w:val="left"/>
        <w:rPr>
          <w:rFonts w:ascii="Calibri" w:hAnsi="Calibri" w:cs="Calibri"/>
          <w:sz w:val="22"/>
          <w:szCs w:val="22"/>
        </w:rPr>
      </w:pPr>
      <w:bookmarkStart w:id="136" w:name="_Ref51506043"/>
      <w:bookmarkStart w:id="137" w:name="_Toc64037183"/>
      <w:r w:rsidRPr="00194716">
        <w:rPr>
          <w:rFonts w:ascii="Calibri" w:hAnsi="Calibri" w:cs="Calibri"/>
          <w:sz w:val="22"/>
          <w:szCs w:val="22"/>
        </w:rPr>
        <w:lastRenderedPageBreak/>
        <w:t xml:space="preserve">Figure </w:t>
      </w:r>
      <w:r w:rsidRPr="00194716">
        <w:rPr>
          <w:rFonts w:ascii="Calibri" w:hAnsi="Calibri" w:cs="Calibri"/>
          <w:sz w:val="22"/>
          <w:szCs w:val="22"/>
        </w:rPr>
        <w:fldChar w:fldCharType="begin"/>
      </w:r>
      <w:r w:rsidRPr="00194716">
        <w:rPr>
          <w:rFonts w:ascii="Calibri" w:hAnsi="Calibri" w:cs="Calibri"/>
          <w:sz w:val="22"/>
          <w:szCs w:val="22"/>
        </w:rPr>
        <w:instrText>SEQ Figure \* ARABIC</w:instrText>
      </w:r>
      <w:r w:rsidRPr="00194716">
        <w:rPr>
          <w:rFonts w:ascii="Calibri" w:hAnsi="Calibri" w:cs="Calibri"/>
          <w:sz w:val="22"/>
          <w:szCs w:val="22"/>
        </w:rPr>
        <w:fldChar w:fldCharType="separate"/>
      </w:r>
      <w:r w:rsidR="00A64193">
        <w:rPr>
          <w:rFonts w:ascii="Calibri" w:hAnsi="Calibri" w:cs="Calibri"/>
          <w:noProof/>
          <w:sz w:val="22"/>
          <w:szCs w:val="22"/>
        </w:rPr>
        <w:t>7</w:t>
      </w:r>
      <w:r w:rsidRPr="00194716">
        <w:rPr>
          <w:rFonts w:ascii="Calibri" w:hAnsi="Calibri" w:cs="Calibri"/>
          <w:sz w:val="22"/>
          <w:szCs w:val="22"/>
        </w:rPr>
        <w:fldChar w:fldCharType="end"/>
      </w:r>
      <w:bookmarkEnd w:id="136"/>
      <w:r w:rsidR="003E3EF9" w:rsidRPr="00194716">
        <w:rPr>
          <w:rFonts w:ascii="Calibri" w:hAnsi="Calibri" w:cs="Calibri"/>
          <w:sz w:val="22"/>
          <w:szCs w:val="22"/>
        </w:rPr>
        <w:t>.</w:t>
      </w:r>
      <w:r w:rsidR="00DF649D">
        <w:rPr>
          <w:rFonts w:ascii="Calibri" w:hAnsi="Calibri" w:cs="Calibri"/>
          <w:sz w:val="22"/>
          <w:szCs w:val="22"/>
        </w:rPr>
        <w:t xml:space="preserve"> </w:t>
      </w:r>
      <w:r w:rsidR="00B34050" w:rsidRPr="00194716">
        <w:rPr>
          <w:rFonts w:ascii="Calibri" w:hAnsi="Calibri" w:cs="Calibri"/>
          <w:sz w:val="22"/>
          <w:szCs w:val="22"/>
        </w:rPr>
        <w:t xml:space="preserve">Indicative </w:t>
      </w:r>
      <w:r w:rsidRPr="00194716">
        <w:rPr>
          <w:rFonts w:ascii="Calibri" w:hAnsi="Calibri" w:cs="Calibri"/>
          <w:sz w:val="22"/>
          <w:szCs w:val="22"/>
        </w:rPr>
        <w:t xml:space="preserve">LMUs for Sub-Basin 1 (Cuchi-Okavango), </w:t>
      </w:r>
      <w:r w:rsidRPr="00194716">
        <w:rPr>
          <w:rFonts w:ascii="Calibri" w:hAnsi="Calibri" w:cs="Calibri"/>
          <w:b w:val="0"/>
          <w:bCs w:val="0"/>
          <w:sz w:val="22"/>
          <w:szCs w:val="22"/>
        </w:rPr>
        <w:t>covering a total area of 242,796 ha (corrected for nested intervention site B3) within their 485,412.83 ha target landscape (i.e. 50% coverage).*</w:t>
      </w:r>
      <w:bookmarkEnd w:id="137"/>
      <w:r w:rsidRPr="00194716">
        <w:rPr>
          <w:rFonts w:ascii="Calibri" w:hAnsi="Calibri" w:cs="Calibri"/>
          <w:sz w:val="22"/>
          <w:szCs w:val="22"/>
        </w:rPr>
        <w:t xml:space="preserve"> </w:t>
      </w:r>
    </w:p>
    <w:tbl>
      <w:tblPr>
        <w:tblStyle w:val="TableGrid"/>
        <w:tblW w:w="5815" w:type="pct"/>
        <w:tblLayout w:type="fixed"/>
        <w:tblLook w:val="04A0" w:firstRow="1" w:lastRow="0" w:firstColumn="1" w:lastColumn="0" w:noHBand="0" w:noVBand="1"/>
      </w:tblPr>
      <w:tblGrid>
        <w:gridCol w:w="2098"/>
        <w:gridCol w:w="2097"/>
        <w:gridCol w:w="2097"/>
        <w:gridCol w:w="1359"/>
        <w:gridCol w:w="738"/>
        <w:gridCol w:w="2097"/>
      </w:tblGrid>
      <w:tr w:rsidR="00895197" w:rsidRPr="00847D39" w14:paraId="17AD7DED" w14:textId="77777777" w:rsidTr="78C544BE">
        <w:tc>
          <w:tcPr>
            <w:tcW w:w="5000" w:type="pct"/>
            <w:gridSpan w:val="6"/>
            <w:shd w:val="clear" w:color="auto" w:fill="E7E6E6" w:themeFill="background2"/>
          </w:tcPr>
          <w:p w14:paraId="0EFCEA19" w14:textId="583E52F5" w:rsidR="00895197" w:rsidRPr="00343CCF" w:rsidRDefault="00B37AE2" w:rsidP="00B37AE2">
            <w:pPr>
              <w:spacing w:before="40" w:after="40"/>
              <w:jc w:val="both"/>
              <w:rPr>
                <w:rFonts w:asciiTheme="majorHAnsi" w:hAnsiTheme="majorHAnsi" w:cstheme="majorHAnsi"/>
                <w:sz w:val="21"/>
                <w:szCs w:val="21"/>
              </w:rPr>
            </w:pPr>
            <w:r>
              <w:rPr>
                <w:rFonts w:ascii="Calibri" w:hAnsi="Calibri"/>
                <w:b/>
                <w:bCs/>
                <w:sz w:val="21"/>
                <w:szCs w:val="21"/>
              </w:rPr>
              <w:t xml:space="preserve">Figure 10A </w:t>
            </w:r>
            <w:r w:rsidR="00895197" w:rsidRPr="00B37AE2">
              <w:rPr>
                <w:rFonts w:ascii="Calibri" w:hAnsi="Calibri"/>
                <w:b/>
                <w:bCs/>
                <w:sz w:val="21"/>
                <w:szCs w:val="21"/>
              </w:rPr>
              <w:t>Overview of Sub-Basin 1 showing indicative land management interventions</w:t>
            </w:r>
          </w:p>
        </w:tc>
      </w:tr>
      <w:tr w:rsidR="00895197" w:rsidRPr="00625A28" w14:paraId="5591ED51" w14:textId="77777777" w:rsidTr="78C544BE">
        <w:tc>
          <w:tcPr>
            <w:tcW w:w="3648" w:type="pct"/>
            <w:gridSpan w:val="4"/>
            <w:tcMar>
              <w:left w:w="0" w:type="dxa"/>
              <w:right w:w="0" w:type="dxa"/>
            </w:tcMar>
          </w:tcPr>
          <w:p w14:paraId="75C4B374" w14:textId="77777777" w:rsidR="00895197" w:rsidRPr="00625A28" w:rsidRDefault="4C5C0F46" w:rsidP="0096034C">
            <w:pPr>
              <w:rPr>
                <w:rFonts w:asciiTheme="majorHAnsi" w:hAnsiTheme="majorHAnsi" w:cstheme="majorHAnsi"/>
              </w:rPr>
            </w:pPr>
            <w:r>
              <w:rPr>
                <w:noProof/>
              </w:rPr>
              <w:drawing>
                <wp:inline distT="0" distB="0" distL="0" distR="0" wp14:anchorId="1BC26D35" wp14:editId="5BCCCB9A">
                  <wp:extent cx="4826002" cy="3080212"/>
                  <wp:effectExtent l="0" t="0" r="0" b="6350"/>
                  <wp:docPr id="6" name="Picture 6" descr="A close up of a 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pic:nvPicPr>
                        <pic:blipFill>
                          <a:blip r:embed="rId75">
                            <a:extLst>
                              <a:ext uri="{28A0092B-C50C-407E-A947-70E740481C1C}">
                                <a14:useLocalDpi xmlns:a14="http://schemas.microsoft.com/office/drawing/2010/main"/>
                              </a:ext>
                            </a:extLst>
                          </a:blip>
                          <a:stretch>
                            <a:fillRect/>
                          </a:stretch>
                        </pic:blipFill>
                        <pic:spPr>
                          <a:xfrm>
                            <a:off x="0" y="0"/>
                            <a:ext cx="4826002" cy="3080212"/>
                          </a:xfrm>
                          <a:prstGeom prst="rect">
                            <a:avLst/>
                          </a:prstGeom>
                        </pic:spPr>
                      </pic:pic>
                    </a:graphicData>
                  </a:graphic>
                </wp:inline>
              </w:drawing>
            </w:r>
          </w:p>
        </w:tc>
        <w:tc>
          <w:tcPr>
            <w:tcW w:w="1352" w:type="pct"/>
            <w:gridSpan w:val="2"/>
            <w:tcMar>
              <w:left w:w="57" w:type="dxa"/>
              <w:right w:w="57" w:type="dxa"/>
            </w:tcMar>
          </w:tcPr>
          <w:p w14:paraId="1625587D" w14:textId="77777777" w:rsidR="00895197" w:rsidRDefault="00895197" w:rsidP="0096034C">
            <w:pPr>
              <w:jc w:val="center"/>
              <w:rPr>
                <w:rFonts w:asciiTheme="majorHAnsi" w:hAnsiTheme="majorHAnsi" w:cstheme="majorHAnsi"/>
                <w:b/>
                <w:bCs/>
                <w:sz w:val="20"/>
                <w:szCs w:val="20"/>
                <w:u w:val="single"/>
              </w:rPr>
            </w:pPr>
            <w:r w:rsidRPr="00262410">
              <w:rPr>
                <w:rFonts w:asciiTheme="majorHAnsi" w:hAnsiTheme="majorHAnsi" w:cstheme="majorHAnsi"/>
                <w:b/>
                <w:bCs/>
                <w:sz w:val="20"/>
                <w:szCs w:val="20"/>
                <w:u w:val="single"/>
              </w:rPr>
              <w:t>Legend</w:t>
            </w:r>
          </w:p>
          <w:p w14:paraId="31C063E4" w14:textId="77777777" w:rsidR="00895197" w:rsidRDefault="00895197" w:rsidP="0096034C">
            <w:pPr>
              <w:spacing w:before="60" w:after="60"/>
              <w:jc w:val="center"/>
              <w:rPr>
                <w:rFonts w:asciiTheme="majorHAnsi" w:hAnsiTheme="majorHAnsi" w:cstheme="majorHAnsi"/>
                <w:b/>
                <w:bCs/>
                <w:sz w:val="20"/>
                <w:szCs w:val="20"/>
                <w:u w:val="single"/>
              </w:rPr>
            </w:pPr>
            <w:r>
              <w:rPr>
                <w:noProof/>
                <w:lang w:val="en-US" w:eastAsia="en-US"/>
              </w:rPr>
              <w:drawing>
                <wp:inline distT="0" distB="0" distL="0" distR="0" wp14:anchorId="2B12A141" wp14:editId="04C10240">
                  <wp:extent cx="1128045" cy="238867"/>
                  <wp:effectExtent l="0" t="0" r="2540" b="254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6" cstate="email">
                            <a:extLst>
                              <a:ext uri="{28A0092B-C50C-407E-A947-70E740481C1C}">
                                <a14:useLocalDpi xmlns:a14="http://schemas.microsoft.com/office/drawing/2010/main"/>
                              </a:ext>
                            </a:extLst>
                          </a:blip>
                          <a:srcRect/>
                          <a:stretch/>
                        </pic:blipFill>
                        <pic:spPr bwMode="auto">
                          <a:xfrm>
                            <a:off x="0" y="0"/>
                            <a:ext cx="1227332" cy="259891"/>
                          </a:xfrm>
                          <a:prstGeom prst="rect">
                            <a:avLst/>
                          </a:prstGeom>
                          <a:ln>
                            <a:noFill/>
                          </a:ln>
                          <a:extLst>
                            <a:ext uri="{53640926-AAD7-44d8-BBD7-CCE9431645EC}">
                              <a14:shadowObscured xmlns:asvg="http://schemas.microsoft.com/office/drawing/2016/SVG/main" xmlns:a16="http://schemas.microsoft.com/office/drawing/2014/main" xmlns:ask="http://schemas.microsoft.com/office/drawing/2018/sketchyshapes" xmlns:arto="http://schemas.microsoft.com/office/word/2006/arto"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ext>
                          </a:extLst>
                        </pic:spPr>
                      </pic:pic>
                    </a:graphicData>
                  </a:graphic>
                </wp:inline>
              </w:drawing>
            </w:r>
          </w:p>
          <w:tbl>
            <w:tblPr>
              <w:tblStyle w:val="TableGrid"/>
              <w:tblW w:w="2559" w:type="dxa"/>
              <w:jc w:val="center"/>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4" w:space="0" w:color="A6A6A6" w:themeColor="background1" w:themeShade="A6"/>
                <w:insideV w:val="single" w:sz="4" w:space="0" w:color="A6A6A6" w:themeColor="background1" w:themeShade="A6"/>
              </w:tblBorders>
              <w:tblLayout w:type="fixed"/>
              <w:tblLook w:val="04A0" w:firstRow="1" w:lastRow="0" w:firstColumn="1" w:lastColumn="0" w:noHBand="0" w:noVBand="1"/>
            </w:tblPr>
            <w:tblGrid>
              <w:gridCol w:w="2559"/>
            </w:tblGrid>
            <w:tr w:rsidR="00895197" w:rsidRPr="00625A28" w14:paraId="6937607A" w14:textId="77777777" w:rsidTr="00DE71D2">
              <w:trPr>
                <w:trHeight w:val="127"/>
                <w:jc w:val="center"/>
              </w:trPr>
              <w:tc>
                <w:tcPr>
                  <w:tcW w:w="2559" w:type="dxa"/>
                  <w:shd w:val="clear" w:color="auto" w:fill="F2F2F2" w:themeFill="background1" w:themeFillShade="F2"/>
                  <w:tcMar>
                    <w:left w:w="28" w:type="dxa"/>
                    <w:right w:w="85" w:type="dxa"/>
                  </w:tcMar>
                </w:tcPr>
                <w:p w14:paraId="3CC4E94F" w14:textId="12A60C59" w:rsidR="00895197" w:rsidRPr="00535647" w:rsidRDefault="00895197" w:rsidP="0096034C">
                  <w:pPr>
                    <w:rPr>
                      <w:rFonts w:ascii="Calibri" w:hAnsi="Calibri" w:cstheme="majorHAnsi"/>
                      <w:b/>
                      <w:bCs/>
                      <w:i/>
                      <w:iCs/>
                      <w:sz w:val="14"/>
                      <w:szCs w:val="14"/>
                    </w:rPr>
                  </w:pPr>
                  <w:r w:rsidRPr="00535647">
                    <w:rPr>
                      <w:rFonts w:ascii="Calibri" w:hAnsi="Calibri" w:cstheme="majorHAnsi"/>
                      <w:b/>
                      <w:bCs/>
                      <w:i/>
                      <w:iCs/>
                      <w:sz w:val="14"/>
                      <w:szCs w:val="14"/>
                    </w:rPr>
                    <w:t>Land Management Units</w:t>
                  </w:r>
                  <w:r w:rsidR="009D7A5F">
                    <w:rPr>
                      <w:rFonts w:ascii="Calibri" w:hAnsi="Calibri" w:cstheme="majorHAnsi"/>
                      <w:b/>
                      <w:bCs/>
                      <w:i/>
                      <w:iCs/>
                      <w:sz w:val="14"/>
                      <w:szCs w:val="14"/>
                    </w:rPr>
                    <w:t xml:space="preserve"> (ILUPs)</w:t>
                  </w:r>
                  <w:r w:rsidRPr="00535647">
                    <w:rPr>
                      <w:rFonts w:ascii="Calibri" w:hAnsi="Calibri" w:cstheme="majorHAnsi"/>
                      <w:b/>
                      <w:bCs/>
                      <w:i/>
                      <w:iCs/>
                      <w:sz w:val="14"/>
                      <w:szCs w:val="14"/>
                    </w:rPr>
                    <w:t xml:space="preserve">: </w:t>
                  </w:r>
                </w:p>
              </w:tc>
            </w:tr>
            <w:tr w:rsidR="00895197" w:rsidRPr="00625A28" w14:paraId="348BFC43" w14:textId="77777777" w:rsidTr="00DE71D2">
              <w:trPr>
                <w:trHeight w:val="429"/>
                <w:jc w:val="center"/>
              </w:trPr>
              <w:tc>
                <w:tcPr>
                  <w:tcW w:w="2559" w:type="dxa"/>
                  <w:tcMar>
                    <w:left w:w="28" w:type="dxa"/>
                    <w:right w:w="85" w:type="dxa"/>
                  </w:tcMar>
                </w:tcPr>
                <w:p w14:paraId="0C7D0DED" w14:textId="77777777" w:rsidR="00895197" w:rsidRPr="00535647" w:rsidRDefault="00895197" w:rsidP="0096034C">
                  <w:pPr>
                    <w:rPr>
                      <w:rFonts w:ascii="Calibri" w:hAnsi="Calibri" w:cstheme="majorHAnsi"/>
                      <w:sz w:val="14"/>
                      <w:szCs w:val="14"/>
                    </w:rPr>
                  </w:pPr>
                  <w:r w:rsidRPr="00535647">
                    <w:rPr>
                      <w:rFonts w:ascii="Calibri" w:hAnsi="Calibri" w:cstheme="majorHAnsi"/>
                      <w:sz w:val="14"/>
                      <w:szCs w:val="14"/>
                    </w:rPr>
                    <w:t>A1 Cuchi-Liunda Community Forest Reserve Conservation Sustainable use 31,</w:t>
                  </w:r>
                  <w:r>
                    <w:rPr>
                      <w:rFonts w:ascii="Calibri" w:hAnsi="Calibri" w:cstheme="majorHAnsi"/>
                      <w:sz w:val="14"/>
                      <w:szCs w:val="14"/>
                    </w:rPr>
                    <w:t>0</w:t>
                  </w:r>
                  <w:r w:rsidRPr="00535647">
                    <w:rPr>
                      <w:rFonts w:ascii="Calibri" w:hAnsi="Calibri" w:cstheme="majorHAnsi"/>
                      <w:sz w:val="14"/>
                      <w:szCs w:val="14"/>
                    </w:rPr>
                    <w:t>00 ha</w:t>
                  </w:r>
                </w:p>
              </w:tc>
            </w:tr>
            <w:tr w:rsidR="00895197" w:rsidRPr="00625A28" w14:paraId="77E67E3B" w14:textId="77777777" w:rsidTr="00DE71D2">
              <w:trPr>
                <w:trHeight w:val="188"/>
                <w:jc w:val="center"/>
              </w:trPr>
              <w:tc>
                <w:tcPr>
                  <w:tcW w:w="2559" w:type="dxa"/>
                  <w:tcMar>
                    <w:left w:w="28" w:type="dxa"/>
                    <w:right w:w="85" w:type="dxa"/>
                  </w:tcMar>
                </w:tcPr>
                <w:p w14:paraId="795974E5" w14:textId="77777777" w:rsidR="00895197" w:rsidRPr="00535647" w:rsidRDefault="00895197" w:rsidP="0096034C">
                  <w:pPr>
                    <w:rPr>
                      <w:rFonts w:ascii="Calibri" w:hAnsi="Calibri" w:cstheme="majorHAnsi"/>
                      <w:sz w:val="14"/>
                      <w:szCs w:val="14"/>
                    </w:rPr>
                  </w:pPr>
                  <w:r w:rsidRPr="00535647">
                    <w:rPr>
                      <w:rFonts w:ascii="Calibri" w:hAnsi="Calibri" w:cstheme="majorHAnsi"/>
                      <w:sz w:val="14"/>
                      <w:szCs w:val="14"/>
                    </w:rPr>
                    <w:t>A2 Cuchi Municipal Forest and Seed Bank 1,388 ha</w:t>
                  </w:r>
                </w:p>
              </w:tc>
            </w:tr>
            <w:tr w:rsidR="00895197" w:rsidRPr="00625A28" w14:paraId="0244F939" w14:textId="77777777" w:rsidTr="00DE71D2">
              <w:trPr>
                <w:trHeight w:val="263"/>
                <w:jc w:val="center"/>
              </w:trPr>
              <w:tc>
                <w:tcPr>
                  <w:tcW w:w="2559" w:type="dxa"/>
                  <w:tcMar>
                    <w:left w:w="28" w:type="dxa"/>
                    <w:right w:w="85" w:type="dxa"/>
                  </w:tcMar>
                </w:tcPr>
                <w:p w14:paraId="6085A62D" w14:textId="77777777" w:rsidR="00895197" w:rsidRPr="00535647" w:rsidRDefault="00895197" w:rsidP="0096034C">
                  <w:pPr>
                    <w:rPr>
                      <w:rFonts w:ascii="Calibri" w:hAnsi="Calibri" w:cstheme="majorHAnsi"/>
                      <w:sz w:val="14"/>
                      <w:szCs w:val="14"/>
                      <w:lang w:val="es-US"/>
                    </w:rPr>
                  </w:pPr>
                  <w:r w:rsidRPr="00535647">
                    <w:rPr>
                      <w:rFonts w:ascii="Calibri" w:hAnsi="Calibri" w:cstheme="majorHAnsi"/>
                      <w:sz w:val="14"/>
                      <w:szCs w:val="14"/>
                      <w:lang w:val="es-US"/>
                    </w:rPr>
                    <w:t>A3 Cuchi 1000-hectare Forest Restoration Pilot No.1 1,000 ha</w:t>
                  </w:r>
                </w:p>
              </w:tc>
            </w:tr>
            <w:tr w:rsidR="00895197" w:rsidRPr="00625A28" w14:paraId="138BC8CC" w14:textId="77777777" w:rsidTr="00DE71D2">
              <w:trPr>
                <w:trHeight w:val="350"/>
                <w:jc w:val="center"/>
              </w:trPr>
              <w:tc>
                <w:tcPr>
                  <w:tcW w:w="2559" w:type="dxa"/>
                  <w:tcMar>
                    <w:left w:w="28" w:type="dxa"/>
                    <w:right w:w="85" w:type="dxa"/>
                  </w:tcMar>
                </w:tcPr>
                <w:p w14:paraId="2B19B043" w14:textId="77777777" w:rsidR="00895197" w:rsidRPr="00535647" w:rsidRDefault="00895197" w:rsidP="0096034C">
                  <w:pPr>
                    <w:rPr>
                      <w:rFonts w:ascii="Calibri" w:hAnsi="Calibri" w:cstheme="majorHAnsi"/>
                      <w:sz w:val="14"/>
                      <w:szCs w:val="14"/>
                    </w:rPr>
                  </w:pPr>
                  <w:r w:rsidRPr="00535647">
                    <w:rPr>
                      <w:rFonts w:ascii="Calibri" w:hAnsi="Calibri" w:cstheme="majorHAnsi"/>
                      <w:sz w:val="14"/>
                      <w:szCs w:val="14"/>
                    </w:rPr>
                    <w:t>B1 Cuchi Baseline 1 Agricultural Improvement Polygon South 21,50</w:t>
                  </w:r>
                  <w:r>
                    <w:rPr>
                      <w:rFonts w:ascii="Calibri" w:hAnsi="Calibri" w:cstheme="majorHAnsi"/>
                      <w:sz w:val="14"/>
                      <w:szCs w:val="14"/>
                    </w:rPr>
                    <w:t>8</w:t>
                  </w:r>
                  <w:r w:rsidRPr="00535647">
                    <w:rPr>
                      <w:rFonts w:ascii="Calibri" w:hAnsi="Calibri" w:cstheme="majorHAnsi"/>
                      <w:sz w:val="14"/>
                      <w:szCs w:val="14"/>
                    </w:rPr>
                    <w:t xml:space="preserve"> ha</w:t>
                  </w:r>
                </w:p>
              </w:tc>
            </w:tr>
            <w:tr w:rsidR="00895197" w:rsidRPr="00625A28" w14:paraId="2839B3E9" w14:textId="77777777" w:rsidTr="00DE71D2">
              <w:trPr>
                <w:trHeight w:val="147"/>
                <w:jc w:val="center"/>
              </w:trPr>
              <w:tc>
                <w:tcPr>
                  <w:tcW w:w="2559" w:type="dxa"/>
                  <w:tcMar>
                    <w:left w:w="28" w:type="dxa"/>
                    <w:right w:w="85" w:type="dxa"/>
                  </w:tcMar>
                </w:tcPr>
                <w:p w14:paraId="74A2E50A" w14:textId="77777777" w:rsidR="00895197" w:rsidRPr="00535647" w:rsidRDefault="00895197" w:rsidP="0096034C">
                  <w:pPr>
                    <w:rPr>
                      <w:rFonts w:ascii="Calibri" w:hAnsi="Calibri" w:cstheme="majorHAnsi"/>
                      <w:sz w:val="14"/>
                      <w:szCs w:val="14"/>
                    </w:rPr>
                  </w:pPr>
                  <w:r w:rsidRPr="00535647">
                    <w:rPr>
                      <w:rFonts w:ascii="Calibri" w:hAnsi="Calibri" w:cstheme="majorHAnsi"/>
                      <w:sz w:val="14"/>
                      <w:szCs w:val="14"/>
                    </w:rPr>
                    <w:t>B2 Cuchi Baseline 1 PLUS Agricultural Improvement Polygon North 10,000 ha</w:t>
                  </w:r>
                </w:p>
              </w:tc>
            </w:tr>
            <w:tr w:rsidR="00895197" w:rsidRPr="00625A28" w14:paraId="499F586A" w14:textId="77777777" w:rsidTr="00DE71D2">
              <w:trPr>
                <w:trHeight w:val="400"/>
                <w:jc w:val="center"/>
              </w:trPr>
              <w:tc>
                <w:tcPr>
                  <w:tcW w:w="2559" w:type="dxa"/>
                  <w:tcMar>
                    <w:left w:w="28" w:type="dxa"/>
                    <w:right w:w="85" w:type="dxa"/>
                  </w:tcMar>
                </w:tcPr>
                <w:p w14:paraId="48B7AE1D" w14:textId="77777777" w:rsidR="00895197" w:rsidRPr="00535647" w:rsidRDefault="00895197" w:rsidP="0096034C">
                  <w:pPr>
                    <w:rPr>
                      <w:rFonts w:ascii="Calibri" w:hAnsi="Calibri" w:cstheme="majorHAnsi"/>
                      <w:sz w:val="14"/>
                      <w:szCs w:val="14"/>
                    </w:rPr>
                  </w:pPr>
                  <w:r w:rsidRPr="00535647">
                    <w:rPr>
                      <w:rFonts w:ascii="Calibri" w:hAnsi="Calibri" w:cstheme="majorHAnsi"/>
                      <w:sz w:val="14"/>
                      <w:szCs w:val="14"/>
                    </w:rPr>
                    <w:t xml:space="preserve">B3 Cuchi </w:t>
                  </w:r>
                  <w:r w:rsidRPr="00370A54">
                    <w:rPr>
                      <w:rFonts w:ascii="Calibri" w:hAnsi="Calibri" w:cstheme="majorHAnsi"/>
                      <w:b/>
                      <w:bCs/>
                      <w:i/>
                      <w:iCs/>
                      <w:sz w:val="14"/>
                      <w:szCs w:val="14"/>
                    </w:rPr>
                    <w:t>(nested</w:t>
                  </w:r>
                  <w:r>
                    <w:rPr>
                      <w:rFonts w:ascii="Calibri" w:hAnsi="Calibri" w:cstheme="majorHAnsi"/>
                      <w:b/>
                      <w:bCs/>
                      <w:i/>
                      <w:iCs/>
                      <w:sz w:val="14"/>
                      <w:szCs w:val="14"/>
                    </w:rPr>
                    <w:t xml:space="preserve"> in D1</w:t>
                  </w:r>
                  <w:r w:rsidRPr="00535647">
                    <w:rPr>
                      <w:rFonts w:ascii="Calibri" w:hAnsi="Calibri" w:cstheme="majorHAnsi"/>
                      <w:sz w:val="14"/>
                      <w:szCs w:val="14"/>
                    </w:rPr>
                    <w:t>) Phase2 Mucova-Liacongo-Dejunga Agricultural Polygon East 5,700 ha</w:t>
                  </w:r>
                </w:p>
              </w:tc>
            </w:tr>
            <w:tr w:rsidR="00895197" w:rsidRPr="0030463F" w14:paraId="53164589" w14:textId="77777777" w:rsidTr="00DE71D2">
              <w:trPr>
                <w:trHeight w:val="219"/>
                <w:jc w:val="center"/>
              </w:trPr>
              <w:tc>
                <w:tcPr>
                  <w:tcW w:w="2559" w:type="dxa"/>
                  <w:tcMar>
                    <w:left w:w="28" w:type="dxa"/>
                    <w:right w:w="85" w:type="dxa"/>
                  </w:tcMar>
                </w:tcPr>
                <w:p w14:paraId="010FB819" w14:textId="77777777" w:rsidR="00895197" w:rsidRPr="009C71D3" w:rsidRDefault="00895197" w:rsidP="0096034C">
                  <w:pPr>
                    <w:rPr>
                      <w:rFonts w:ascii="Calibri" w:hAnsi="Calibri" w:cstheme="majorHAnsi"/>
                      <w:sz w:val="14"/>
                      <w:szCs w:val="14"/>
                      <w:lang w:val="it-IT"/>
                    </w:rPr>
                  </w:pPr>
                  <w:r w:rsidRPr="009C71D3">
                    <w:rPr>
                      <w:rFonts w:ascii="Calibri" w:hAnsi="Calibri" w:cstheme="majorHAnsi"/>
                      <w:sz w:val="14"/>
                      <w:szCs w:val="14"/>
                      <w:lang w:val="it-IT"/>
                    </w:rPr>
                    <w:t>B4 Cuchi Meanders Horticulture Polygon Peri-Urban 4,900 ha</w:t>
                  </w:r>
                </w:p>
              </w:tc>
            </w:tr>
            <w:tr w:rsidR="00895197" w:rsidRPr="00625A28" w14:paraId="16A3FEF2" w14:textId="77777777" w:rsidTr="00DE71D2">
              <w:trPr>
                <w:trHeight w:val="287"/>
                <w:jc w:val="center"/>
              </w:trPr>
              <w:tc>
                <w:tcPr>
                  <w:tcW w:w="2559" w:type="dxa"/>
                  <w:tcMar>
                    <w:left w:w="28" w:type="dxa"/>
                    <w:right w:w="85" w:type="dxa"/>
                  </w:tcMar>
                </w:tcPr>
                <w:p w14:paraId="18768A4A" w14:textId="04297B8F" w:rsidR="00895197" w:rsidRPr="00535647" w:rsidRDefault="00895197" w:rsidP="0096034C">
                  <w:pPr>
                    <w:rPr>
                      <w:rFonts w:ascii="Calibri" w:hAnsi="Calibri" w:cstheme="majorHAnsi"/>
                      <w:sz w:val="14"/>
                      <w:szCs w:val="14"/>
                    </w:rPr>
                  </w:pPr>
                  <w:r w:rsidRPr="00535647">
                    <w:rPr>
                      <w:rFonts w:ascii="Calibri" w:hAnsi="Calibri" w:cstheme="majorHAnsi"/>
                      <w:sz w:val="14"/>
                      <w:szCs w:val="14"/>
                    </w:rPr>
                    <w:t xml:space="preserve">D1 </w:t>
                  </w:r>
                  <w:r w:rsidR="00F52739">
                    <w:rPr>
                      <w:rFonts w:ascii="Calibri" w:hAnsi="Calibri" w:cstheme="majorHAnsi"/>
                      <w:sz w:val="14"/>
                      <w:szCs w:val="14"/>
                    </w:rPr>
                    <w:t xml:space="preserve"> (shown as D5) </w:t>
                  </w:r>
                  <w:r w:rsidRPr="00535647">
                    <w:rPr>
                      <w:rFonts w:ascii="Calibri" w:hAnsi="Calibri" w:cstheme="majorHAnsi"/>
                      <w:sz w:val="14"/>
                      <w:szCs w:val="14"/>
                    </w:rPr>
                    <w:t>Cuchi River Municipal Watershed Macro Management Plan (Cuchi Commune Chapter) 117,000 ha</w:t>
                  </w:r>
                </w:p>
              </w:tc>
            </w:tr>
            <w:tr w:rsidR="00895197" w:rsidRPr="00625A28" w14:paraId="1AE3A1FF" w14:textId="77777777" w:rsidTr="00DE71D2">
              <w:trPr>
                <w:trHeight w:val="82"/>
                <w:jc w:val="center"/>
              </w:trPr>
              <w:tc>
                <w:tcPr>
                  <w:tcW w:w="2559" w:type="dxa"/>
                  <w:tcMar>
                    <w:left w:w="28" w:type="dxa"/>
                    <w:right w:w="85" w:type="dxa"/>
                  </w:tcMar>
                </w:tcPr>
                <w:p w14:paraId="2C783706" w14:textId="77777777" w:rsidR="00895197" w:rsidRPr="00535647" w:rsidRDefault="00895197" w:rsidP="0096034C">
                  <w:pPr>
                    <w:rPr>
                      <w:rFonts w:ascii="Calibri" w:hAnsi="Calibri" w:cstheme="majorHAnsi"/>
                      <w:sz w:val="14"/>
                      <w:szCs w:val="14"/>
                    </w:rPr>
                  </w:pPr>
                  <w:r w:rsidRPr="00535647">
                    <w:rPr>
                      <w:rFonts w:ascii="Calibri" w:hAnsi="Calibri" w:cstheme="majorHAnsi"/>
                      <w:sz w:val="14"/>
                      <w:szCs w:val="14"/>
                    </w:rPr>
                    <w:t>D2 Cuchi River Municipal Watershed Macro Management Plan (Chinguanja Chapter) 56,000 ha</w:t>
                  </w:r>
                </w:p>
              </w:tc>
            </w:tr>
          </w:tbl>
          <w:p w14:paraId="29CA6BAF" w14:textId="77777777" w:rsidR="00895197" w:rsidRPr="00625A28" w:rsidRDefault="00895197" w:rsidP="0096034C">
            <w:pPr>
              <w:rPr>
                <w:rFonts w:asciiTheme="majorHAnsi" w:hAnsiTheme="majorHAnsi" w:cstheme="majorHAnsi"/>
              </w:rPr>
            </w:pPr>
          </w:p>
        </w:tc>
      </w:tr>
      <w:tr w:rsidR="00895197" w:rsidRPr="00847D39" w14:paraId="69C60388" w14:textId="77777777" w:rsidTr="78C544BE">
        <w:tc>
          <w:tcPr>
            <w:tcW w:w="5000" w:type="pct"/>
            <w:gridSpan w:val="6"/>
            <w:tcBorders>
              <w:top w:val="single" w:sz="4" w:space="0" w:color="auto"/>
            </w:tcBorders>
            <w:shd w:val="clear" w:color="auto" w:fill="E7E6E6" w:themeFill="background2"/>
          </w:tcPr>
          <w:p w14:paraId="5A4A26F9" w14:textId="6898A24D" w:rsidR="00895197" w:rsidRPr="00475570" w:rsidRDefault="00B37AE2" w:rsidP="00B37AE2">
            <w:pPr>
              <w:spacing w:before="40" w:after="40"/>
              <w:jc w:val="both"/>
              <w:rPr>
                <w:rFonts w:asciiTheme="majorHAnsi" w:hAnsiTheme="majorHAnsi" w:cstheme="majorHAnsi"/>
                <w:sz w:val="21"/>
                <w:szCs w:val="21"/>
                <w:highlight w:val="magenta"/>
              </w:rPr>
            </w:pPr>
            <w:r>
              <w:rPr>
                <w:rFonts w:ascii="Calibri" w:hAnsi="Calibri"/>
                <w:b/>
                <w:bCs/>
                <w:sz w:val="21"/>
                <w:szCs w:val="21"/>
              </w:rPr>
              <w:t xml:space="preserve">Figure </w:t>
            </w:r>
            <w:r w:rsidR="00176FC2" w:rsidRPr="00B37AE2">
              <w:rPr>
                <w:rFonts w:ascii="Calibri" w:hAnsi="Calibri"/>
                <w:b/>
                <w:bCs/>
                <w:sz w:val="21"/>
                <w:szCs w:val="21"/>
              </w:rPr>
              <w:t>10</w:t>
            </w:r>
            <w:r w:rsidR="00895197" w:rsidRPr="00B37AE2">
              <w:rPr>
                <w:rFonts w:ascii="Calibri" w:hAnsi="Calibri"/>
                <w:b/>
                <w:bCs/>
                <w:sz w:val="21"/>
                <w:szCs w:val="21"/>
              </w:rPr>
              <w:t>B Northern part of the landscape around Cuchi town, featuring Cuchi River watershed in greater detail</w:t>
            </w:r>
          </w:p>
        </w:tc>
      </w:tr>
      <w:tr w:rsidR="00895197" w:rsidRPr="00625A28" w14:paraId="648AA825" w14:textId="77777777" w:rsidTr="78C544BE">
        <w:tc>
          <w:tcPr>
            <w:tcW w:w="5000" w:type="pct"/>
            <w:gridSpan w:val="6"/>
            <w:tcMar>
              <w:left w:w="0" w:type="dxa"/>
              <w:right w:w="0" w:type="dxa"/>
            </w:tcMar>
          </w:tcPr>
          <w:p w14:paraId="6C8279E1" w14:textId="77777777" w:rsidR="00895197" w:rsidRPr="00625A28" w:rsidRDefault="4C5C0F46" w:rsidP="0096034C">
            <w:pPr>
              <w:jc w:val="center"/>
              <w:rPr>
                <w:rFonts w:asciiTheme="majorHAnsi" w:hAnsiTheme="majorHAnsi" w:cstheme="majorHAnsi"/>
                <w:highlight w:val="magenta"/>
              </w:rPr>
            </w:pPr>
            <w:r>
              <w:rPr>
                <w:noProof/>
              </w:rPr>
              <w:drawing>
                <wp:inline distT="0" distB="0" distL="0" distR="0" wp14:anchorId="7B7FF73C" wp14:editId="203E05DF">
                  <wp:extent cx="6630818" cy="4201706"/>
                  <wp:effectExtent l="0" t="0" r="0" b="2540"/>
                  <wp:docPr id="58" name="Picture 58" descr="A close up of a 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pic:nvPicPr>
                        <pic:blipFill>
                          <a:blip r:embed="rId77">
                            <a:extLst>
                              <a:ext uri="{28A0092B-C50C-407E-A947-70E740481C1C}">
                                <a14:useLocalDpi xmlns:a14="http://schemas.microsoft.com/office/drawing/2010/main"/>
                              </a:ext>
                            </a:extLst>
                          </a:blip>
                          <a:stretch>
                            <a:fillRect/>
                          </a:stretch>
                        </pic:blipFill>
                        <pic:spPr>
                          <a:xfrm>
                            <a:off x="0" y="0"/>
                            <a:ext cx="6630818" cy="4201706"/>
                          </a:xfrm>
                          <a:prstGeom prst="rect">
                            <a:avLst/>
                          </a:prstGeom>
                        </pic:spPr>
                      </pic:pic>
                    </a:graphicData>
                  </a:graphic>
                </wp:inline>
              </w:drawing>
            </w:r>
          </w:p>
        </w:tc>
      </w:tr>
      <w:tr w:rsidR="001655BF" w:rsidRPr="00625A28" w14:paraId="69597E06" w14:textId="77777777" w:rsidTr="78C544BE">
        <w:tc>
          <w:tcPr>
            <w:tcW w:w="1000" w:type="pct"/>
            <w:shd w:val="clear" w:color="auto" w:fill="000000" w:themeFill="text1"/>
          </w:tcPr>
          <w:p w14:paraId="06EA3D23" w14:textId="77777777" w:rsidR="001655BF" w:rsidRPr="003E7245" w:rsidRDefault="001655BF" w:rsidP="0021253B">
            <w:pPr>
              <w:jc w:val="right"/>
              <w:rPr>
                <w:rFonts w:ascii="Calibri" w:hAnsi="Calibri" w:cs="Calibri"/>
                <w:b/>
                <w:bCs/>
                <w:noProof/>
                <w:sz w:val="16"/>
                <w:szCs w:val="16"/>
              </w:rPr>
            </w:pPr>
            <w:r w:rsidRPr="003E7245">
              <w:rPr>
                <w:rFonts w:ascii="Calibri" w:hAnsi="Calibri" w:cs="Calibri"/>
                <w:b/>
                <w:bCs/>
                <w:noProof/>
                <w:color w:val="FFFFFF" w:themeColor="background1"/>
                <w:sz w:val="16"/>
                <w:szCs w:val="16"/>
                <w:highlight w:val="black"/>
              </w:rPr>
              <w:t>Interventions related to</w:t>
            </w:r>
            <w:r w:rsidRPr="003E7245">
              <w:rPr>
                <w:rFonts w:ascii="Calibri" w:hAnsi="Calibri" w:cs="Calibri"/>
                <w:b/>
                <w:bCs/>
                <w:noProof/>
                <w:color w:val="FFFFFF" w:themeColor="background1"/>
                <w:sz w:val="16"/>
                <w:szCs w:val="16"/>
              </w:rPr>
              <w:t>:</w:t>
            </w:r>
          </w:p>
        </w:tc>
        <w:tc>
          <w:tcPr>
            <w:tcW w:w="1000" w:type="pct"/>
            <w:shd w:val="clear" w:color="auto" w:fill="00B050"/>
          </w:tcPr>
          <w:p w14:paraId="633818A4" w14:textId="25DACAD1" w:rsidR="001655BF" w:rsidRPr="003E7245" w:rsidRDefault="000977AF" w:rsidP="0021253B">
            <w:pPr>
              <w:jc w:val="center"/>
              <w:rPr>
                <w:rFonts w:ascii="Calibri" w:hAnsi="Calibri" w:cs="Calibri"/>
                <w:b/>
                <w:bCs/>
                <w:noProof/>
                <w:sz w:val="16"/>
                <w:szCs w:val="16"/>
              </w:rPr>
            </w:pPr>
            <w:r>
              <w:rPr>
                <w:rFonts w:ascii="Calibri" w:hAnsi="Calibri" w:cs="Calibri"/>
                <w:b/>
                <w:bCs/>
                <w:noProof/>
                <w:sz w:val="16"/>
                <w:szCs w:val="16"/>
              </w:rPr>
              <w:t xml:space="preserve"> </w:t>
            </w:r>
            <w:r w:rsidR="001655BF" w:rsidRPr="003E7245">
              <w:rPr>
                <w:rFonts w:ascii="Calibri" w:hAnsi="Calibri" w:cs="Calibri"/>
                <w:b/>
                <w:bCs/>
                <w:noProof/>
                <w:sz w:val="16"/>
                <w:szCs w:val="16"/>
              </w:rPr>
              <w:t>Forest</w:t>
            </w:r>
            <w:r>
              <w:rPr>
                <w:rFonts w:ascii="Calibri" w:hAnsi="Calibri" w:cs="Calibri"/>
                <w:b/>
                <w:bCs/>
                <w:noProof/>
                <w:sz w:val="16"/>
                <w:szCs w:val="16"/>
              </w:rPr>
              <w:t xml:space="preserve"> </w:t>
            </w:r>
            <w:r w:rsidRPr="000977AF">
              <w:rPr>
                <w:rFonts w:ascii="Calibri" w:hAnsi="Calibri" w:cs="Calibri"/>
                <w:noProof/>
                <w:sz w:val="15"/>
                <w:szCs w:val="15"/>
              </w:rPr>
              <w:t>(mainly)</w:t>
            </w:r>
            <w:r>
              <w:rPr>
                <w:rFonts w:ascii="Calibri" w:hAnsi="Calibri" w:cs="Calibri"/>
                <w:noProof/>
                <w:sz w:val="15"/>
                <w:szCs w:val="15"/>
              </w:rPr>
              <w:t xml:space="preserve"> 33,388 ha</w:t>
            </w:r>
          </w:p>
        </w:tc>
        <w:tc>
          <w:tcPr>
            <w:tcW w:w="1000" w:type="pct"/>
            <w:shd w:val="clear" w:color="auto" w:fill="FFE599" w:themeFill="accent4" w:themeFillTint="66"/>
          </w:tcPr>
          <w:p w14:paraId="7A163CDE" w14:textId="387DD00C" w:rsidR="001655BF" w:rsidRPr="000977AF" w:rsidRDefault="001655BF" w:rsidP="0021253B">
            <w:pPr>
              <w:jc w:val="center"/>
              <w:rPr>
                <w:rFonts w:ascii="Calibri" w:hAnsi="Calibri" w:cs="Calibri"/>
                <w:noProof/>
                <w:sz w:val="16"/>
                <w:szCs w:val="16"/>
              </w:rPr>
            </w:pPr>
            <w:r w:rsidRPr="000977AF">
              <w:rPr>
                <w:rFonts w:ascii="Calibri" w:hAnsi="Calibri" w:cs="Calibri"/>
                <w:b/>
                <w:bCs/>
                <w:noProof/>
                <w:sz w:val="16"/>
                <w:szCs w:val="16"/>
              </w:rPr>
              <w:t>Cropland</w:t>
            </w:r>
            <w:r w:rsidR="000977AF" w:rsidRPr="000977AF">
              <w:rPr>
                <w:rFonts w:ascii="Calibri" w:hAnsi="Calibri" w:cs="Calibri"/>
                <w:noProof/>
                <w:sz w:val="16"/>
                <w:szCs w:val="16"/>
              </w:rPr>
              <w:t xml:space="preserve"> </w:t>
            </w:r>
            <w:r w:rsidR="000977AF" w:rsidRPr="000977AF">
              <w:rPr>
                <w:rFonts w:ascii="Calibri" w:hAnsi="Calibri" w:cs="Calibri"/>
                <w:noProof/>
                <w:sz w:val="15"/>
                <w:szCs w:val="15"/>
              </w:rPr>
              <w:t>(mainly) 42,108 ha</w:t>
            </w:r>
          </w:p>
        </w:tc>
        <w:tc>
          <w:tcPr>
            <w:tcW w:w="1000" w:type="pct"/>
            <w:gridSpan w:val="2"/>
            <w:shd w:val="clear" w:color="auto" w:fill="C1D000"/>
          </w:tcPr>
          <w:p w14:paraId="422A0310" w14:textId="3B969FF5" w:rsidR="001655BF" w:rsidRPr="000977AF" w:rsidRDefault="000977AF" w:rsidP="0021253B">
            <w:pPr>
              <w:jc w:val="center"/>
              <w:rPr>
                <w:rFonts w:ascii="Calibri" w:hAnsi="Calibri" w:cs="Calibri"/>
                <w:noProof/>
                <w:sz w:val="16"/>
                <w:szCs w:val="16"/>
              </w:rPr>
            </w:pPr>
            <w:r>
              <w:rPr>
                <w:rFonts w:ascii="Calibri" w:hAnsi="Calibri" w:cs="Calibri"/>
                <w:b/>
                <w:bCs/>
                <w:noProof/>
                <w:sz w:val="16"/>
                <w:szCs w:val="16"/>
              </w:rPr>
              <w:t>Grass</w:t>
            </w:r>
            <w:r w:rsidR="001655BF" w:rsidRPr="000977AF">
              <w:rPr>
                <w:rFonts w:ascii="Calibri" w:hAnsi="Calibri" w:cs="Calibri"/>
                <w:b/>
                <w:bCs/>
                <w:noProof/>
                <w:sz w:val="16"/>
                <w:szCs w:val="16"/>
              </w:rPr>
              <w:t>land</w:t>
            </w:r>
            <w:r>
              <w:rPr>
                <w:rFonts w:ascii="Calibri" w:hAnsi="Calibri" w:cs="Calibri"/>
                <w:b/>
                <w:bCs/>
                <w:noProof/>
                <w:sz w:val="18"/>
                <w:szCs w:val="18"/>
              </w:rPr>
              <w:t xml:space="preserve"> </w:t>
            </w:r>
            <w:r w:rsidRPr="000977AF">
              <w:rPr>
                <w:rFonts w:ascii="Calibri" w:hAnsi="Calibri" w:cs="Calibri"/>
                <w:noProof/>
                <w:sz w:val="15"/>
                <w:szCs w:val="15"/>
              </w:rPr>
              <w:t>0 ha</w:t>
            </w:r>
          </w:p>
        </w:tc>
        <w:tc>
          <w:tcPr>
            <w:tcW w:w="1000" w:type="pct"/>
            <w:shd w:val="clear" w:color="auto" w:fill="3CE5C5"/>
            <w:tcMar>
              <w:left w:w="57" w:type="dxa"/>
              <w:right w:w="57" w:type="dxa"/>
            </w:tcMar>
          </w:tcPr>
          <w:p w14:paraId="60C464BD" w14:textId="741D66D3" w:rsidR="001655BF" w:rsidRPr="003E7245" w:rsidRDefault="001655BF" w:rsidP="0021253B">
            <w:pPr>
              <w:jc w:val="center"/>
              <w:rPr>
                <w:rFonts w:ascii="Calibri" w:hAnsi="Calibri" w:cs="Calibri"/>
                <w:b/>
                <w:bCs/>
                <w:noProof/>
                <w:sz w:val="18"/>
                <w:szCs w:val="18"/>
              </w:rPr>
            </w:pPr>
            <w:r w:rsidRPr="000977AF">
              <w:rPr>
                <w:rFonts w:ascii="Calibri" w:hAnsi="Calibri" w:cs="Calibri"/>
                <w:b/>
                <w:bCs/>
                <w:noProof/>
                <w:sz w:val="16"/>
                <w:szCs w:val="16"/>
              </w:rPr>
              <w:t>Watershed</w:t>
            </w:r>
            <w:r w:rsidR="000977AF">
              <w:rPr>
                <w:rFonts w:ascii="Calibri" w:hAnsi="Calibri" w:cs="Calibri"/>
                <w:noProof/>
                <w:sz w:val="15"/>
                <w:szCs w:val="15"/>
              </w:rPr>
              <w:t xml:space="preserve"> (mainly)</w:t>
            </w:r>
            <w:r w:rsidR="000977AF" w:rsidRPr="000977AF">
              <w:rPr>
                <w:rFonts w:ascii="Calibri" w:hAnsi="Calibri" w:cs="Calibri"/>
                <w:b/>
                <w:bCs/>
                <w:noProof/>
                <w:sz w:val="16"/>
                <w:szCs w:val="16"/>
              </w:rPr>
              <w:t xml:space="preserve"> </w:t>
            </w:r>
            <w:r w:rsidR="000977AF" w:rsidRPr="000977AF">
              <w:rPr>
                <w:rFonts w:ascii="Calibri" w:hAnsi="Calibri" w:cs="Calibri"/>
                <w:noProof/>
                <w:sz w:val="15"/>
                <w:szCs w:val="15"/>
              </w:rPr>
              <w:t>167,300 ha</w:t>
            </w:r>
          </w:p>
        </w:tc>
      </w:tr>
    </w:tbl>
    <w:p w14:paraId="539BA9F7" w14:textId="5899FC27" w:rsidR="00895197" w:rsidRDefault="00895197" w:rsidP="001C5B9B">
      <w:pPr>
        <w:pStyle w:val="ParagraphOED"/>
        <w:numPr>
          <w:ilvl w:val="0"/>
          <w:numId w:val="0"/>
        </w:numPr>
      </w:pPr>
      <w:r w:rsidRPr="00832E32">
        <w:t>*</w:t>
      </w:r>
      <w:r w:rsidRPr="004A284E">
        <w:rPr>
          <w:sz w:val="16"/>
          <w:szCs w:val="16"/>
        </w:rPr>
        <w:t>Areas are based on GIS shape files. More detailed larger scale maps of this landscape are provided in Annex E.</w:t>
      </w:r>
      <w:r w:rsidRPr="00832E32">
        <w:t xml:space="preserve"> </w:t>
      </w:r>
      <w:r>
        <w:br w:type="page"/>
      </w:r>
    </w:p>
    <w:p w14:paraId="15D44139" w14:textId="02EF0320" w:rsidR="00895197" w:rsidRPr="00194716" w:rsidRDefault="00895197" w:rsidP="00B34050">
      <w:pPr>
        <w:pStyle w:val="Caption"/>
        <w:tabs>
          <w:tab w:val="left" w:pos="1276"/>
        </w:tabs>
        <w:spacing w:before="160" w:after="80"/>
        <w:ind w:left="993" w:right="-1180" w:hanging="993"/>
        <w:jc w:val="left"/>
        <w:rPr>
          <w:rFonts w:ascii="Calibri" w:hAnsi="Calibri" w:cs="Calibri"/>
          <w:sz w:val="22"/>
          <w:szCs w:val="22"/>
        </w:rPr>
      </w:pPr>
      <w:bookmarkStart w:id="138" w:name="_Ref51506101"/>
      <w:bookmarkStart w:id="139" w:name="_Toc64037184"/>
      <w:r w:rsidRPr="00194716">
        <w:rPr>
          <w:rFonts w:ascii="Calibri" w:hAnsi="Calibri" w:cs="Calibri"/>
          <w:sz w:val="22"/>
          <w:szCs w:val="22"/>
        </w:rPr>
        <w:lastRenderedPageBreak/>
        <w:t xml:space="preserve">Figure </w:t>
      </w:r>
      <w:r w:rsidRPr="00194716">
        <w:rPr>
          <w:rFonts w:ascii="Calibri" w:hAnsi="Calibri" w:cs="Calibri"/>
          <w:sz w:val="22"/>
          <w:szCs w:val="22"/>
        </w:rPr>
        <w:fldChar w:fldCharType="begin"/>
      </w:r>
      <w:r w:rsidRPr="00194716">
        <w:rPr>
          <w:rFonts w:ascii="Calibri" w:hAnsi="Calibri" w:cs="Calibri"/>
          <w:sz w:val="22"/>
          <w:szCs w:val="22"/>
        </w:rPr>
        <w:instrText>SEQ Figure \* ARABIC</w:instrText>
      </w:r>
      <w:r w:rsidRPr="00194716">
        <w:rPr>
          <w:rFonts w:ascii="Calibri" w:hAnsi="Calibri" w:cs="Calibri"/>
          <w:sz w:val="22"/>
          <w:szCs w:val="22"/>
        </w:rPr>
        <w:fldChar w:fldCharType="separate"/>
      </w:r>
      <w:r w:rsidR="00A64193">
        <w:rPr>
          <w:rFonts w:ascii="Calibri" w:hAnsi="Calibri" w:cs="Calibri"/>
          <w:noProof/>
          <w:sz w:val="22"/>
          <w:szCs w:val="22"/>
        </w:rPr>
        <w:t>8</w:t>
      </w:r>
      <w:r w:rsidRPr="00194716">
        <w:rPr>
          <w:rFonts w:ascii="Calibri" w:hAnsi="Calibri" w:cs="Calibri"/>
          <w:sz w:val="22"/>
          <w:szCs w:val="22"/>
        </w:rPr>
        <w:fldChar w:fldCharType="end"/>
      </w:r>
      <w:bookmarkEnd w:id="138"/>
      <w:r w:rsidR="0014311B">
        <w:rPr>
          <w:rFonts w:ascii="Calibri" w:hAnsi="Calibri" w:cs="Calibri"/>
          <w:sz w:val="22"/>
          <w:szCs w:val="22"/>
        </w:rPr>
        <w:t xml:space="preserve">. </w:t>
      </w:r>
      <w:r w:rsidRPr="00194716">
        <w:rPr>
          <w:rFonts w:ascii="Calibri" w:hAnsi="Calibri" w:cs="Calibri"/>
          <w:sz w:val="22"/>
          <w:szCs w:val="22"/>
        </w:rPr>
        <w:t>Indicative LMUs for Sub-Basin 2 (Cahama-Cunene</w:t>
      </w:r>
      <w:r w:rsidRPr="00194716">
        <w:rPr>
          <w:rFonts w:ascii="Calibri" w:hAnsi="Calibri" w:cs="Calibri"/>
          <w:b w:val="0"/>
          <w:bCs w:val="0"/>
          <w:sz w:val="22"/>
          <w:szCs w:val="22"/>
        </w:rPr>
        <w:t>), covering a total area of 390,482 within their 880,046.04 ha target landscape (i.e. 44% coverage).*</w:t>
      </w:r>
      <w:bookmarkEnd w:id="139"/>
    </w:p>
    <w:tbl>
      <w:tblPr>
        <w:tblStyle w:val="TableGrid"/>
        <w:tblW w:w="5787" w:type="pct"/>
        <w:tblLayout w:type="fixed"/>
        <w:tblLook w:val="04A0" w:firstRow="1" w:lastRow="0" w:firstColumn="1" w:lastColumn="0" w:noHBand="0" w:noVBand="1"/>
      </w:tblPr>
      <w:tblGrid>
        <w:gridCol w:w="2098"/>
        <w:gridCol w:w="2097"/>
        <w:gridCol w:w="2097"/>
        <w:gridCol w:w="1073"/>
        <w:gridCol w:w="1025"/>
        <w:gridCol w:w="2045"/>
      </w:tblGrid>
      <w:tr w:rsidR="00895197" w:rsidRPr="00847D39" w14:paraId="729D2979" w14:textId="77777777" w:rsidTr="78C544BE">
        <w:tc>
          <w:tcPr>
            <w:tcW w:w="5000" w:type="pct"/>
            <w:gridSpan w:val="6"/>
            <w:shd w:val="clear" w:color="auto" w:fill="E7E6E6" w:themeFill="background2"/>
          </w:tcPr>
          <w:p w14:paraId="0AD6EF0B" w14:textId="62ED8DBE" w:rsidR="00895197" w:rsidRPr="00475570" w:rsidRDefault="00443454" w:rsidP="00B37AE2">
            <w:pPr>
              <w:spacing w:before="40" w:after="40"/>
              <w:jc w:val="both"/>
              <w:rPr>
                <w:rFonts w:ascii="Calibri" w:hAnsi="Calibri" w:cstheme="majorHAnsi"/>
                <w:sz w:val="21"/>
                <w:szCs w:val="21"/>
              </w:rPr>
            </w:pPr>
            <w:r w:rsidRPr="00B37AE2">
              <w:rPr>
                <w:rFonts w:ascii="Calibri" w:hAnsi="Calibri"/>
                <w:b/>
                <w:bCs/>
                <w:sz w:val="21"/>
                <w:szCs w:val="21"/>
              </w:rPr>
              <w:t>Figure 11</w:t>
            </w:r>
            <w:r w:rsidR="00895197" w:rsidRPr="00B37AE2">
              <w:rPr>
                <w:rFonts w:ascii="Calibri" w:hAnsi="Calibri"/>
                <w:b/>
                <w:bCs/>
                <w:sz w:val="21"/>
                <w:szCs w:val="21"/>
              </w:rPr>
              <w:t xml:space="preserve">A Overview </w:t>
            </w:r>
            <w:r w:rsidR="00176FC2" w:rsidRPr="00B37AE2">
              <w:rPr>
                <w:rFonts w:ascii="Calibri" w:hAnsi="Calibri"/>
                <w:b/>
                <w:bCs/>
                <w:sz w:val="21"/>
                <w:szCs w:val="21"/>
              </w:rPr>
              <w:t>o</w:t>
            </w:r>
            <w:r w:rsidR="00895197" w:rsidRPr="00B37AE2">
              <w:rPr>
                <w:rFonts w:ascii="Calibri" w:hAnsi="Calibri"/>
                <w:b/>
                <w:bCs/>
                <w:sz w:val="21"/>
                <w:szCs w:val="21"/>
              </w:rPr>
              <w:t>f Sub-Basin 2 showing indicative land management interventions</w:t>
            </w:r>
            <w:r w:rsidR="00895197" w:rsidRPr="00475570">
              <w:rPr>
                <w:rFonts w:ascii="Calibri" w:hAnsi="Calibri" w:cstheme="majorHAnsi"/>
                <w:b/>
                <w:bCs/>
                <w:sz w:val="21"/>
                <w:szCs w:val="21"/>
              </w:rPr>
              <w:t xml:space="preserve"> </w:t>
            </w:r>
          </w:p>
        </w:tc>
      </w:tr>
      <w:tr w:rsidR="00895197" w:rsidRPr="00625A28" w14:paraId="21F8C84E" w14:textId="77777777" w:rsidTr="78C544BE">
        <w:tc>
          <w:tcPr>
            <w:tcW w:w="3529" w:type="pct"/>
            <w:gridSpan w:val="4"/>
            <w:tcMar>
              <w:left w:w="0" w:type="dxa"/>
              <w:right w:w="0" w:type="dxa"/>
            </w:tcMar>
          </w:tcPr>
          <w:p w14:paraId="124CF4CE" w14:textId="3AA257AC" w:rsidR="00895197" w:rsidRPr="00625A28" w:rsidRDefault="52FB03C7" w:rsidP="0096034C">
            <w:pPr>
              <w:ind w:left="-119" w:firstLine="119"/>
              <w:rPr>
                <w:rFonts w:asciiTheme="majorHAnsi" w:hAnsiTheme="majorHAnsi" w:cstheme="majorHAnsi"/>
              </w:rPr>
            </w:pPr>
            <w:r>
              <w:rPr>
                <w:noProof/>
              </w:rPr>
              <w:drawing>
                <wp:inline distT="0" distB="0" distL="0" distR="0" wp14:anchorId="010A363C" wp14:editId="5575BC48">
                  <wp:extent cx="4670426" cy="5188584"/>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pic:nvPicPr>
                        <pic:blipFill>
                          <a:blip r:embed="rId78">
                            <a:extLst>
                              <a:ext uri="{28A0092B-C50C-407E-A947-70E740481C1C}">
                                <a14:useLocalDpi xmlns:a14="http://schemas.microsoft.com/office/drawing/2010/main" val="0"/>
                              </a:ext>
                            </a:extLst>
                          </a:blip>
                          <a:stretch>
                            <a:fillRect/>
                          </a:stretch>
                        </pic:blipFill>
                        <pic:spPr>
                          <a:xfrm>
                            <a:off x="0" y="0"/>
                            <a:ext cx="4670426" cy="5188584"/>
                          </a:xfrm>
                          <a:prstGeom prst="rect">
                            <a:avLst/>
                          </a:prstGeom>
                        </pic:spPr>
                      </pic:pic>
                    </a:graphicData>
                  </a:graphic>
                </wp:inline>
              </w:drawing>
            </w:r>
          </w:p>
        </w:tc>
        <w:tc>
          <w:tcPr>
            <w:tcW w:w="1471" w:type="pct"/>
            <w:gridSpan w:val="2"/>
            <w:tcMar>
              <w:left w:w="57" w:type="dxa"/>
              <w:right w:w="57" w:type="dxa"/>
            </w:tcMar>
          </w:tcPr>
          <w:p w14:paraId="2D584167" w14:textId="77777777" w:rsidR="00895197" w:rsidRPr="00381CDD" w:rsidRDefault="00895197" w:rsidP="0096034C">
            <w:pPr>
              <w:jc w:val="center"/>
              <w:rPr>
                <w:rFonts w:asciiTheme="majorHAnsi" w:hAnsiTheme="majorHAnsi" w:cstheme="majorHAnsi"/>
                <w:b/>
                <w:bCs/>
                <w:color w:val="000000" w:themeColor="text1"/>
                <w:sz w:val="20"/>
                <w:szCs w:val="20"/>
                <w:u w:val="single"/>
              </w:rPr>
            </w:pPr>
            <w:r w:rsidRPr="00381CDD">
              <w:rPr>
                <w:rFonts w:asciiTheme="majorHAnsi" w:hAnsiTheme="majorHAnsi" w:cstheme="majorHAnsi"/>
                <w:b/>
                <w:bCs/>
                <w:color w:val="000000" w:themeColor="text1"/>
                <w:sz w:val="20"/>
                <w:szCs w:val="20"/>
                <w:u w:val="single"/>
              </w:rPr>
              <w:t>Legend</w:t>
            </w:r>
          </w:p>
          <w:p w14:paraId="2DD1D998" w14:textId="77777777" w:rsidR="00895197" w:rsidRPr="00381CDD" w:rsidRDefault="00895197" w:rsidP="0096034C">
            <w:pPr>
              <w:spacing w:before="40" w:after="40"/>
              <w:jc w:val="center"/>
              <w:rPr>
                <w:rFonts w:asciiTheme="majorHAnsi" w:hAnsiTheme="majorHAnsi" w:cstheme="majorHAnsi"/>
                <w:b/>
                <w:bCs/>
                <w:color w:val="000000" w:themeColor="text1"/>
                <w:sz w:val="20"/>
                <w:szCs w:val="20"/>
                <w:u w:val="single"/>
              </w:rPr>
            </w:pPr>
            <w:r w:rsidRPr="00381CDD">
              <w:rPr>
                <w:noProof/>
                <w:color w:val="000000" w:themeColor="text1"/>
                <w:lang w:val="en-US" w:eastAsia="en-US"/>
              </w:rPr>
              <w:drawing>
                <wp:inline distT="0" distB="0" distL="0" distR="0" wp14:anchorId="0D7745DC" wp14:editId="33BFCC35">
                  <wp:extent cx="1458071" cy="227567"/>
                  <wp:effectExtent l="0" t="0" r="2540" b="127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9" cstate="email">
                            <a:extLst>
                              <a:ext uri="{28A0092B-C50C-407E-A947-70E740481C1C}">
                                <a14:useLocalDpi xmlns:a14="http://schemas.microsoft.com/office/drawing/2010/main"/>
                              </a:ext>
                            </a:extLst>
                          </a:blip>
                          <a:srcRect t="18642" b="-1"/>
                          <a:stretch/>
                        </pic:blipFill>
                        <pic:spPr bwMode="auto">
                          <a:xfrm>
                            <a:off x="0" y="0"/>
                            <a:ext cx="1549572" cy="241848"/>
                          </a:xfrm>
                          <a:prstGeom prst="rect">
                            <a:avLst/>
                          </a:prstGeom>
                          <a:ln>
                            <a:noFill/>
                          </a:ln>
                          <a:extLst>
                            <a:ext uri="{53640926-AAD7-44d8-BBD7-CCE9431645EC}">
                              <a14:shadowObscured xmlns:asvg="http://schemas.microsoft.com/office/drawing/2016/SVG/main" xmlns:a16="http://schemas.microsoft.com/office/drawing/2014/main" xmlns:ask="http://schemas.microsoft.com/office/drawing/2018/sketchyshapes"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xmlns:arto="http://schemas.microsoft.com/office/word/2006/arto"/>
                            </a:ext>
                          </a:extLst>
                        </pic:spPr>
                      </pic:pic>
                    </a:graphicData>
                  </a:graphic>
                </wp:inline>
              </w:drawing>
            </w:r>
          </w:p>
          <w:tbl>
            <w:tblPr>
              <w:tblStyle w:val="TableGrid"/>
              <w:tblW w:w="2914" w:type="dxa"/>
              <w:jc w:val="center"/>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4" w:space="0" w:color="A6A6A6" w:themeColor="background1" w:themeShade="A6"/>
                <w:insideV w:val="single" w:sz="4" w:space="0" w:color="A6A6A6" w:themeColor="background1" w:themeShade="A6"/>
              </w:tblBorders>
              <w:tblLayout w:type="fixed"/>
              <w:tblLook w:val="04A0" w:firstRow="1" w:lastRow="0" w:firstColumn="1" w:lastColumn="0" w:noHBand="0" w:noVBand="1"/>
            </w:tblPr>
            <w:tblGrid>
              <w:gridCol w:w="2914"/>
            </w:tblGrid>
            <w:tr w:rsidR="00895197" w:rsidRPr="00381CDD" w14:paraId="0F63292D" w14:textId="77777777" w:rsidTr="00DE71D2">
              <w:trPr>
                <w:trHeight w:val="26"/>
                <w:jc w:val="center"/>
              </w:trPr>
              <w:tc>
                <w:tcPr>
                  <w:tcW w:w="2914" w:type="dxa"/>
                  <w:shd w:val="clear" w:color="auto" w:fill="F2F2F2" w:themeFill="background1" w:themeFillShade="F2"/>
                  <w:tcMar>
                    <w:left w:w="57" w:type="dxa"/>
                    <w:right w:w="57" w:type="dxa"/>
                  </w:tcMar>
                </w:tcPr>
                <w:p w14:paraId="66957981" w14:textId="1A3E4993" w:rsidR="00895197" w:rsidRPr="00381CDD" w:rsidRDefault="00895197" w:rsidP="0096034C">
                  <w:pPr>
                    <w:ind w:left="-57" w:right="-57"/>
                    <w:jc w:val="center"/>
                    <w:rPr>
                      <w:rFonts w:ascii="Calibri" w:hAnsi="Calibri" w:cstheme="majorHAnsi"/>
                      <w:color w:val="000000" w:themeColor="text1"/>
                      <w:sz w:val="14"/>
                      <w:szCs w:val="14"/>
                    </w:rPr>
                  </w:pPr>
                  <w:r w:rsidRPr="00381CDD">
                    <w:rPr>
                      <w:rFonts w:ascii="Calibri" w:hAnsi="Calibri" w:cstheme="majorHAnsi"/>
                      <w:b/>
                      <w:bCs/>
                      <w:i/>
                      <w:iCs/>
                      <w:color w:val="000000" w:themeColor="text1"/>
                      <w:sz w:val="14"/>
                      <w:szCs w:val="14"/>
                    </w:rPr>
                    <w:t>Land Management Units</w:t>
                  </w:r>
                  <w:r w:rsidR="001353CC">
                    <w:rPr>
                      <w:rFonts w:ascii="Calibri" w:hAnsi="Calibri" w:cstheme="majorHAnsi"/>
                      <w:b/>
                      <w:bCs/>
                      <w:i/>
                      <w:iCs/>
                      <w:color w:val="000000" w:themeColor="text1"/>
                      <w:sz w:val="14"/>
                      <w:szCs w:val="14"/>
                    </w:rPr>
                    <w:t xml:space="preserve"> (ILUPs)</w:t>
                  </w:r>
                  <w:r w:rsidRPr="00381CDD">
                    <w:rPr>
                      <w:rFonts w:ascii="Calibri" w:hAnsi="Calibri" w:cstheme="majorHAnsi"/>
                      <w:b/>
                      <w:bCs/>
                      <w:i/>
                      <w:iCs/>
                      <w:color w:val="000000" w:themeColor="text1"/>
                      <w:sz w:val="14"/>
                      <w:szCs w:val="14"/>
                    </w:rPr>
                    <w:t>:</w:t>
                  </w:r>
                </w:p>
              </w:tc>
            </w:tr>
            <w:tr w:rsidR="00895197" w:rsidRPr="00381CDD" w14:paraId="3567AB39" w14:textId="77777777" w:rsidTr="00DE71D2">
              <w:trPr>
                <w:trHeight w:val="251"/>
                <w:jc w:val="center"/>
              </w:trPr>
              <w:tc>
                <w:tcPr>
                  <w:tcW w:w="2914" w:type="dxa"/>
                  <w:tcMar>
                    <w:left w:w="57" w:type="dxa"/>
                    <w:right w:w="57" w:type="dxa"/>
                  </w:tcMar>
                </w:tcPr>
                <w:p w14:paraId="6A2F589F" w14:textId="733FBCE2" w:rsidR="00895197" w:rsidRPr="00381CDD" w:rsidRDefault="00895197" w:rsidP="0096034C">
                  <w:pPr>
                    <w:ind w:left="-57" w:right="-57"/>
                    <w:rPr>
                      <w:rFonts w:ascii="Calibri" w:hAnsi="Calibri" w:cstheme="majorHAnsi"/>
                      <w:color w:val="000000" w:themeColor="text1"/>
                      <w:sz w:val="14"/>
                      <w:szCs w:val="14"/>
                    </w:rPr>
                  </w:pPr>
                  <w:r w:rsidRPr="00381CDD">
                    <w:rPr>
                      <w:rFonts w:ascii="Calibri" w:hAnsi="Calibri" w:cstheme="majorHAnsi"/>
                      <w:color w:val="000000" w:themeColor="text1"/>
                      <w:sz w:val="14"/>
                      <w:szCs w:val="14"/>
                    </w:rPr>
                    <w:t xml:space="preserve">A4 Tchipelongo Forest Patch of Zambezian Baikiaea woodlands </w:t>
                  </w:r>
                  <w:r w:rsidR="001B0FF0" w:rsidRPr="001B0FF0">
                    <w:rPr>
                      <w:rFonts w:ascii="Calibri" w:hAnsi="Calibri" w:cstheme="majorHAnsi"/>
                      <w:color w:val="000000" w:themeColor="text1"/>
                      <w:sz w:val="14"/>
                      <w:szCs w:val="14"/>
                    </w:rPr>
                    <w:t>18,334</w:t>
                  </w:r>
                  <w:r w:rsidR="001B0FF0">
                    <w:rPr>
                      <w:rFonts w:ascii="Calibri" w:hAnsi="Calibri" w:cstheme="majorHAnsi"/>
                      <w:color w:val="000000" w:themeColor="text1"/>
                      <w:sz w:val="14"/>
                      <w:szCs w:val="14"/>
                    </w:rPr>
                    <w:t xml:space="preserve"> </w:t>
                  </w:r>
                  <w:r w:rsidRPr="00381CDD">
                    <w:rPr>
                      <w:rFonts w:ascii="Calibri" w:hAnsi="Calibri" w:cstheme="majorHAnsi"/>
                      <w:color w:val="000000" w:themeColor="text1"/>
                      <w:sz w:val="14"/>
                      <w:szCs w:val="14"/>
                    </w:rPr>
                    <w:t>ha</w:t>
                  </w:r>
                </w:p>
              </w:tc>
            </w:tr>
            <w:tr w:rsidR="00895197" w:rsidRPr="00381CDD" w14:paraId="27FF4A97" w14:textId="77777777" w:rsidTr="00DE71D2">
              <w:trPr>
                <w:trHeight w:val="373"/>
                <w:jc w:val="center"/>
              </w:trPr>
              <w:tc>
                <w:tcPr>
                  <w:tcW w:w="2914" w:type="dxa"/>
                  <w:tcMar>
                    <w:left w:w="57" w:type="dxa"/>
                    <w:right w:w="57" w:type="dxa"/>
                  </w:tcMar>
                </w:tcPr>
                <w:p w14:paraId="65206CEA" w14:textId="5818F779" w:rsidR="00895197" w:rsidRPr="00381CDD" w:rsidRDefault="00895197" w:rsidP="0096034C">
                  <w:pPr>
                    <w:ind w:left="-57" w:right="-57"/>
                    <w:rPr>
                      <w:rFonts w:ascii="Calibri" w:hAnsi="Calibri" w:cstheme="majorHAnsi"/>
                      <w:color w:val="000000" w:themeColor="text1"/>
                      <w:sz w:val="14"/>
                      <w:szCs w:val="14"/>
                    </w:rPr>
                  </w:pPr>
                  <w:r w:rsidRPr="00381CDD">
                    <w:rPr>
                      <w:rFonts w:ascii="Calibri" w:hAnsi="Calibri" w:cstheme="majorHAnsi"/>
                      <w:color w:val="000000" w:themeColor="text1"/>
                      <w:sz w:val="14"/>
                      <w:szCs w:val="14"/>
                    </w:rPr>
                    <w:t>A5 Tchipelongo Forest Restoration Pilot No.2 Arboretum and Seed Bank 1000 ha</w:t>
                  </w:r>
                </w:p>
              </w:tc>
            </w:tr>
            <w:tr w:rsidR="00895197" w:rsidRPr="00381CDD" w14:paraId="4EF29019" w14:textId="77777777" w:rsidTr="00DE71D2">
              <w:trPr>
                <w:trHeight w:val="239"/>
                <w:jc w:val="center"/>
              </w:trPr>
              <w:tc>
                <w:tcPr>
                  <w:tcW w:w="2914" w:type="dxa"/>
                  <w:tcMar>
                    <w:left w:w="57" w:type="dxa"/>
                    <w:right w:w="57" w:type="dxa"/>
                  </w:tcMar>
                </w:tcPr>
                <w:p w14:paraId="07DD46D2" w14:textId="77777777" w:rsidR="00895197" w:rsidRPr="00381CDD" w:rsidRDefault="00895197" w:rsidP="0096034C">
                  <w:pPr>
                    <w:ind w:left="-57" w:right="-57"/>
                    <w:rPr>
                      <w:rFonts w:ascii="Calibri" w:hAnsi="Calibri" w:cstheme="majorHAnsi"/>
                      <w:color w:val="000000" w:themeColor="text1"/>
                      <w:sz w:val="14"/>
                      <w:szCs w:val="14"/>
                    </w:rPr>
                  </w:pPr>
                  <w:r w:rsidRPr="00381CDD">
                    <w:rPr>
                      <w:rFonts w:ascii="Calibri" w:hAnsi="Calibri" w:cstheme="majorHAnsi"/>
                      <w:color w:val="000000" w:themeColor="text1"/>
                      <w:sz w:val="14"/>
                      <w:szCs w:val="14"/>
                    </w:rPr>
                    <w:t>A6 Cahama Forest Restoration Pilot No.3 Arborettum and Seed Bank 1000 ha</w:t>
                  </w:r>
                </w:p>
              </w:tc>
            </w:tr>
            <w:tr w:rsidR="00895197" w:rsidRPr="00381CDD" w14:paraId="69959FDE" w14:textId="77777777" w:rsidTr="00DE71D2">
              <w:trPr>
                <w:trHeight w:val="264"/>
                <w:jc w:val="center"/>
              </w:trPr>
              <w:tc>
                <w:tcPr>
                  <w:tcW w:w="2914" w:type="dxa"/>
                  <w:tcMar>
                    <w:left w:w="57" w:type="dxa"/>
                    <w:right w:w="57" w:type="dxa"/>
                  </w:tcMar>
                </w:tcPr>
                <w:p w14:paraId="4A8EF68F" w14:textId="6D9C3A2B" w:rsidR="00895197" w:rsidRPr="00381CDD" w:rsidRDefault="00895197" w:rsidP="0096034C">
                  <w:pPr>
                    <w:ind w:left="-57" w:right="-57"/>
                    <w:rPr>
                      <w:rFonts w:ascii="Calibri" w:hAnsi="Calibri" w:cstheme="majorHAnsi"/>
                      <w:color w:val="000000" w:themeColor="text1"/>
                      <w:sz w:val="14"/>
                      <w:szCs w:val="14"/>
                    </w:rPr>
                  </w:pPr>
                  <w:r w:rsidRPr="00381CDD">
                    <w:rPr>
                      <w:rFonts w:ascii="Calibri" w:hAnsi="Calibri" w:cstheme="majorHAnsi"/>
                      <w:color w:val="000000" w:themeColor="text1"/>
                      <w:sz w:val="14"/>
                      <w:szCs w:val="14"/>
                    </w:rPr>
                    <w:t>A7 Tchipelongo Forest ( 54,000 ha</w:t>
                  </w:r>
                  <w:r w:rsidR="00CD788C">
                    <w:rPr>
                      <w:rFonts w:ascii="Calibri" w:hAnsi="Calibri" w:cstheme="majorHAnsi"/>
                      <w:color w:val="000000" w:themeColor="text1"/>
                      <w:sz w:val="14"/>
                      <w:szCs w:val="14"/>
                    </w:rPr>
                    <w:t>)</w:t>
                  </w:r>
                </w:p>
              </w:tc>
            </w:tr>
            <w:tr w:rsidR="00895197" w:rsidRPr="00381CDD" w14:paraId="53B52D1D" w14:textId="77777777" w:rsidTr="00DE71D2">
              <w:trPr>
                <w:trHeight w:val="281"/>
                <w:jc w:val="center"/>
              </w:trPr>
              <w:tc>
                <w:tcPr>
                  <w:tcW w:w="2914" w:type="dxa"/>
                  <w:tcMar>
                    <w:left w:w="57" w:type="dxa"/>
                    <w:right w:w="57" w:type="dxa"/>
                  </w:tcMar>
                </w:tcPr>
                <w:p w14:paraId="2C22F246" w14:textId="77777777" w:rsidR="00895197" w:rsidRPr="00381CDD" w:rsidRDefault="00895197" w:rsidP="0096034C">
                  <w:pPr>
                    <w:ind w:left="-57" w:right="-57"/>
                    <w:rPr>
                      <w:rFonts w:ascii="Calibri" w:hAnsi="Calibri" w:cstheme="majorHAnsi"/>
                      <w:color w:val="000000" w:themeColor="text1"/>
                      <w:sz w:val="14"/>
                      <w:szCs w:val="14"/>
                    </w:rPr>
                  </w:pPr>
                  <w:r w:rsidRPr="00381CDD">
                    <w:rPr>
                      <w:rFonts w:ascii="Calibri" w:hAnsi="Calibri" w:cstheme="majorHAnsi"/>
                      <w:color w:val="000000" w:themeColor="text1"/>
                      <w:sz w:val="14"/>
                      <w:szCs w:val="14"/>
                    </w:rPr>
                    <w:t>B5 Cahama-Tchipelongo Baseline 2 Agricultural Improvement Polygon Riverine 7,388 ha</w:t>
                  </w:r>
                </w:p>
              </w:tc>
            </w:tr>
            <w:tr w:rsidR="00895197" w:rsidRPr="00381CDD" w14:paraId="0BD27877" w14:textId="77777777" w:rsidTr="00DE71D2">
              <w:trPr>
                <w:trHeight w:val="363"/>
                <w:jc w:val="center"/>
              </w:trPr>
              <w:tc>
                <w:tcPr>
                  <w:tcW w:w="2914" w:type="dxa"/>
                  <w:tcMar>
                    <w:left w:w="57" w:type="dxa"/>
                    <w:right w:w="57" w:type="dxa"/>
                  </w:tcMar>
                </w:tcPr>
                <w:p w14:paraId="68908886" w14:textId="77777777" w:rsidR="00895197" w:rsidRPr="00381CDD" w:rsidRDefault="00895197" w:rsidP="0096034C">
                  <w:pPr>
                    <w:ind w:left="-57" w:right="-57"/>
                    <w:rPr>
                      <w:rFonts w:ascii="Calibri" w:hAnsi="Calibri" w:cstheme="majorHAnsi"/>
                      <w:color w:val="000000" w:themeColor="text1"/>
                      <w:sz w:val="14"/>
                      <w:szCs w:val="14"/>
                    </w:rPr>
                  </w:pPr>
                  <w:r w:rsidRPr="00381CDD">
                    <w:rPr>
                      <w:rFonts w:ascii="Calibri" w:hAnsi="Calibri" w:cstheme="majorHAnsi"/>
                      <w:color w:val="000000" w:themeColor="text1"/>
                      <w:sz w:val="14"/>
                      <w:szCs w:val="14"/>
                    </w:rPr>
                    <w:t>B6 Cahama-Tchipelongo Baseline 2 PLUS Agricultural Improvement Polygon Rural Multi-System 3,160 ha</w:t>
                  </w:r>
                </w:p>
              </w:tc>
            </w:tr>
            <w:tr w:rsidR="00895197" w:rsidRPr="00381CDD" w14:paraId="30AF0CC5" w14:textId="77777777" w:rsidTr="00DE71D2">
              <w:trPr>
                <w:trHeight w:val="347"/>
                <w:jc w:val="center"/>
              </w:trPr>
              <w:tc>
                <w:tcPr>
                  <w:tcW w:w="2914" w:type="dxa"/>
                  <w:tcMar>
                    <w:left w:w="57" w:type="dxa"/>
                    <w:right w:w="57" w:type="dxa"/>
                  </w:tcMar>
                </w:tcPr>
                <w:p w14:paraId="24642368" w14:textId="77777777" w:rsidR="00895197" w:rsidRPr="00381CDD" w:rsidRDefault="00895197" w:rsidP="0096034C">
                  <w:pPr>
                    <w:ind w:left="-57" w:right="-57"/>
                    <w:rPr>
                      <w:rFonts w:ascii="Calibri" w:hAnsi="Calibri" w:cstheme="majorHAnsi"/>
                      <w:color w:val="000000" w:themeColor="text1"/>
                      <w:sz w:val="14"/>
                      <w:szCs w:val="14"/>
                    </w:rPr>
                  </w:pPr>
                  <w:r w:rsidRPr="00381CDD">
                    <w:rPr>
                      <w:rFonts w:ascii="Calibri" w:hAnsi="Calibri" w:cstheme="majorHAnsi"/>
                      <w:color w:val="000000" w:themeColor="text1"/>
                      <w:sz w:val="14"/>
                      <w:szCs w:val="14"/>
                    </w:rPr>
                    <w:t>B7 Cahama-Gambos Commercial Farming Sustainability Scheme 164,400 ha</w:t>
                  </w:r>
                </w:p>
              </w:tc>
            </w:tr>
            <w:tr w:rsidR="00895197" w:rsidRPr="00632BE6" w14:paraId="2D998E70" w14:textId="77777777" w:rsidTr="00DE71D2">
              <w:trPr>
                <w:trHeight w:val="289"/>
                <w:jc w:val="center"/>
              </w:trPr>
              <w:tc>
                <w:tcPr>
                  <w:tcW w:w="2914" w:type="dxa"/>
                  <w:tcMar>
                    <w:left w:w="57" w:type="dxa"/>
                    <w:right w:w="57" w:type="dxa"/>
                  </w:tcMar>
                </w:tcPr>
                <w:p w14:paraId="4689C00D" w14:textId="77777777" w:rsidR="00895197" w:rsidRPr="009C71D3" w:rsidRDefault="00895197" w:rsidP="0096034C">
                  <w:pPr>
                    <w:ind w:left="-57" w:right="-57"/>
                    <w:rPr>
                      <w:rFonts w:ascii="Calibri" w:hAnsi="Calibri" w:cstheme="majorHAnsi"/>
                      <w:color w:val="000000" w:themeColor="text1"/>
                      <w:sz w:val="14"/>
                      <w:szCs w:val="14"/>
                      <w:lang w:val="it-IT"/>
                    </w:rPr>
                  </w:pPr>
                  <w:r w:rsidRPr="009C71D3">
                    <w:rPr>
                      <w:rFonts w:ascii="Calibri" w:hAnsi="Calibri" w:cstheme="majorHAnsi"/>
                      <w:color w:val="000000" w:themeColor="text1"/>
                      <w:sz w:val="14"/>
                      <w:szCs w:val="14"/>
                      <w:lang w:val="it-IT"/>
                    </w:rPr>
                    <w:t>C1 Cavale-Colavango Riparian Rangelands 54,200 ha</w:t>
                  </w:r>
                </w:p>
              </w:tc>
            </w:tr>
            <w:tr w:rsidR="00895197" w:rsidRPr="00381CDD" w14:paraId="747A9133" w14:textId="77777777" w:rsidTr="00DE71D2">
              <w:trPr>
                <w:trHeight w:val="69"/>
                <w:jc w:val="center"/>
              </w:trPr>
              <w:tc>
                <w:tcPr>
                  <w:tcW w:w="2914" w:type="dxa"/>
                  <w:tcMar>
                    <w:left w:w="57" w:type="dxa"/>
                    <w:right w:w="57" w:type="dxa"/>
                  </w:tcMar>
                </w:tcPr>
                <w:p w14:paraId="76FA1EC0" w14:textId="77777777" w:rsidR="00895197" w:rsidRPr="00381CDD" w:rsidRDefault="00895197" w:rsidP="0096034C">
                  <w:pPr>
                    <w:ind w:left="-57" w:right="-57"/>
                    <w:rPr>
                      <w:rFonts w:ascii="Calibri" w:hAnsi="Calibri" w:cstheme="majorHAnsi"/>
                      <w:color w:val="000000" w:themeColor="text1"/>
                      <w:sz w:val="14"/>
                      <w:szCs w:val="14"/>
                    </w:rPr>
                  </w:pPr>
                  <w:r w:rsidRPr="00381CDD">
                    <w:rPr>
                      <w:rFonts w:ascii="Calibri" w:hAnsi="Calibri" w:cstheme="majorHAnsi"/>
                      <w:color w:val="000000" w:themeColor="text1"/>
                      <w:sz w:val="14"/>
                      <w:szCs w:val="14"/>
                    </w:rPr>
                    <w:t>C2 Cahama Productive Rangeland Collaborative Management 87,000 ha</w:t>
                  </w:r>
                </w:p>
              </w:tc>
            </w:tr>
          </w:tbl>
          <w:p w14:paraId="1D214FA2" w14:textId="77777777" w:rsidR="00895197" w:rsidRPr="00625A28" w:rsidRDefault="00895197" w:rsidP="0096034C">
            <w:pPr>
              <w:rPr>
                <w:rFonts w:asciiTheme="majorHAnsi" w:hAnsiTheme="majorHAnsi" w:cstheme="majorHAnsi"/>
              </w:rPr>
            </w:pPr>
          </w:p>
        </w:tc>
      </w:tr>
      <w:tr w:rsidR="003E7245" w:rsidRPr="00625A28" w14:paraId="5323310B" w14:textId="77777777" w:rsidTr="78C544BE">
        <w:tc>
          <w:tcPr>
            <w:tcW w:w="1005" w:type="pct"/>
            <w:shd w:val="clear" w:color="auto" w:fill="000000" w:themeFill="text1"/>
            <w:tcMar>
              <w:left w:w="28" w:type="dxa"/>
              <w:right w:w="28" w:type="dxa"/>
            </w:tcMar>
          </w:tcPr>
          <w:p w14:paraId="04A536EA" w14:textId="77777777" w:rsidR="003E7245" w:rsidRPr="003E7245" w:rsidRDefault="003E7245" w:rsidP="0021253B">
            <w:pPr>
              <w:jc w:val="right"/>
              <w:rPr>
                <w:rFonts w:ascii="Calibri" w:hAnsi="Calibri" w:cs="Calibri"/>
                <w:b/>
                <w:bCs/>
                <w:noProof/>
                <w:sz w:val="16"/>
                <w:szCs w:val="16"/>
              </w:rPr>
            </w:pPr>
            <w:r w:rsidRPr="003E7245">
              <w:rPr>
                <w:rFonts w:ascii="Calibri" w:hAnsi="Calibri" w:cs="Calibri"/>
                <w:b/>
                <w:bCs/>
                <w:noProof/>
                <w:color w:val="FFFFFF" w:themeColor="background1"/>
                <w:sz w:val="16"/>
                <w:szCs w:val="16"/>
                <w:highlight w:val="black"/>
              </w:rPr>
              <w:t>Interventions related to</w:t>
            </w:r>
            <w:r w:rsidRPr="003E7245">
              <w:rPr>
                <w:rFonts w:ascii="Calibri" w:hAnsi="Calibri" w:cs="Calibri"/>
                <w:b/>
                <w:bCs/>
                <w:noProof/>
                <w:color w:val="FFFFFF" w:themeColor="background1"/>
                <w:sz w:val="16"/>
                <w:szCs w:val="16"/>
              </w:rPr>
              <w:t>:</w:t>
            </w:r>
          </w:p>
        </w:tc>
        <w:tc>
          <w:tcPr>
            <w:tcW w:w="1005" w:type="pct"/>
            <w:shd w:val="clear" w:color="auto" w:fill="00B050"/>
            <w:tcMar>
              <w:left w:w="28" w:type="dxa"/>
              <w:right w:w="28" w:type="dxa"/>
            </w:tcMar>
          </w:tcPr>
          <w:p w14:paraId="5138628F" w14:textId="0C0107BB" w:rsidR="003E7245" w:rsidRPr="000977AF" w:rsidRDefault="003E7245" w:rsidP="0021253B">
            <w:pPr>
              <w:jc w:val="center"/>
              <w:rPr>
                <w:rFonts w:ascii="Calibri" w:hAnsi="Calibri" w:cs="Calibri"/>
                <w:noProof/>
                <w:sz w:val="15"/>
                <w:szCs w:val="15"/>
              </w:rPr>
            </w:pPr>
            <w:r w:rsidRPr="003E7245">
              <w:rPr>
                <w:rFonts w:ascii="Calibri" w:hAnsi="Calibri" w:cs="Calibri"/>
                <w:b/>
                <w:bCs/>
                <w:noProof/>
                <w:sz w:val="16"/>
                <w:szCs w:val="16"/>
              </w:rPr>
              <w:t>Forest</w:t>
            </w:r>
            <w:r w:rsidR="000977AF">
              <w:rPr>
                <w:rFonts w:ascii="Calibri" w:hAnsi="Calibri" w:cs="Calibri"/>
                <w:noProof/>
                <w:sz w:val="15"/>
                <w:szCs w:val="15"/>
              </w:rPr>
              <w:t xml:space="preserve"> (mainly) 74,334 ha</w:t>
            </w:r>
          </w:p>
        </w:tc>
        <w:tc>
          <w:tcPr>
            <w:tcW w:w="1005" w:type="pct"/>
            <w:shd w:val="clear" w:color="auto" w:fill="FFE599" w:themeFill="accent4" w:themeFillTint="66"/>
            <w:tcMar>
              <w:left w:w="28" w:type="dxa"/>
              <w:right w:w="28" w:type="dxa"/>
            </w:tcMar>
          </w:tcPr>
          <w:p w14:paraId="7B29E096" w14:textId="65309D00" w:rsidR="003E7245" w:rsidRPr="000977AF" w:rsidRDefault="003E7245" w:rsidP="0021253B">
            <w:pPr>
              <w:jc w:val="center"/>
              <w:rPr>
                <w:rFonts w:ascii="Calibri" w:hAnsi="Calibri" w:cs="Calibri"/>
                <w:noProof/>
                <w:sz w:val="15"/>
                <w:szCs w:val="15"/>
              </w:rPr>
            </w:pPr>
            <w:r w:rsidRPr="000977AF">
              <w:rPr>
                <w:rFonts w:ascii="Calibri" w:hAnsi="Calibri" w:cs="Calibri"/>
                <w:b/>
                <w:bCs/>
                <w:noProof/>
                <w:sz w:val="16"/>
                <w:szCs w:val="16"/>
              </w:rPr>
              <w:t>Cropland</w:t>
            </w:r>
            <w:r w:rsidR="000977AF">
              <w:rPr>
                <w:rFonts w:ascii="Calibri" w:hAnsi="Calibri" w:cs="Calibri"/>
                <w:noProof/>
                <w:sz w:val="15"/>
                <w:szCs w:val="15"/>
              </w:rPr>
              <w:t xml:space="preserve"> (mainly) 174,948 ha</w:t>
            </w:r>
          </w:p>
        </w:tc>
        <w:tc>
          <w:tcPr>
            <w:tcW w:w="1005" w:type="pct"/>
            <w:gridSpan w:val="2"/>
            <w:shd w:val="clear" w:color="auto" w:fill="C1D000"/>
            <w:tcMar>
              <w:left w:w="28" w:type="dxa"/>
              <w:right w:w="28" w:type="dxa"/>
            </w:tcMar>
          </w:tcPr>
          <w:p w14:paraId="1099D621" w14:textId="4F2A6BEE" w:rsidR="003E7245" w:rsidRPr="000977AF" w:rsidRDefault="000977AF" w:rsidP="0021253B">
            <w:pPr>
              <w:jc w:val="center"/>
              <w:rPr>
                <w:rFonts w:ascii="Calibri" w:hAnsi="Calibri" w:cs="Calibri"/>
                <w:noProof/>
                <w:sz w:val="15"/>
                <w:szCs w:val="15"/>
              </w:rPr>
            </w:pPr>
            <w:r>
              <w:rPr>
                <w:rFonts w:ascii="Calibri" w:hAnsi="Calibri" w:cs="Calibri"/>
                <w:b/>
                <w:bCs/>
                <w:noProof/>
                <w:sz w:val="16"/>
                <w:szCs w:val="16"/>
              </w:rPr>
              <w:t>Grass</w:t>
            </w:r>
            <w:r w:rsidR="003E7245" w:rsidRPr="000977AF">
              <w:rPr>
                <w:rFonts w:ascii="Calibri" w:hAnsi="Calibri" w:cs="Calibri"/>
                <w:b/>
                <w:bCs/>
                <w:noProof/>
                <w:sz w:val="16"/>
                <w:szCs w:val="16"/>
              </w:rPr>
              <w:t>land</w:t>
            </w:r>
            <w:r>
              <w:rPr>
                <w:rFonts w:ascii="Calibri" w:hAnsi="Calibri" w:cs="Calibri"/>
                <w:noProof/>
                <w:sz w:val="15"/>
                <w:szCs w:val="15"/>
              </w:rPr>
              <w:t xml:space="preserve"> (mainly) 141,200 ha</w:t>
            </w:r>
          </w:p>
        </w:tc>
        <w:tc>
          <w:tcPr>
            <w:tcW w:w="980" w:type="pct"/>
            <w:shd w:val="clear" w:color="auto" w:fill="3CE5C5"/>
            <w:tcMar>
              <w:left w:w="28" w:type="dxa"/>
              <w:right w:w="28" w:type="dxa"/>
            </w:tcMar>
          </w:tcPr>
          <w:p w14:paraId="78B8585F" w14:textId="3EE59FF0" w:rsidR="003E7245" w:rsidRPr="000977AF" w:rsidRDefault="003E7245" w:rsidP="0021253B">
            <w:pPr>
              <w:jc w:val="center"/>
              <w:rPr>
                <w:rFonts w:ascii="Calibri" w:hAnsi="Calibri" w:cs="Calibri"/>
                <w:noProof/>
                <w:sz w:val="15"/>
                <w:szCs w:val="15"/>
              </w:rPr>
            </w:pPr>
            <w:r w:rsidRPr="000977AF">
              <w:rPr>
                <w:rFonts w:ascii="Calibri" w:hAnsi="Calibri" w:cs="Calibri"/>
                <w:b/>
                <w:bCs/>
                <w:noProof/>
                <w:sz w:val="16"/>
                <w:szCs w:val="16"/>
              </w:rPr>
              <w:t>Watershed</w:t>
            </w:r>
            <w:r w:rsidR="000977AF">
              <w:rPr>
                <w:rFonts w:ascii="Calibri" w:hAnsi="Calibri" w:cs="Calibri"/>
                <w:b/>
                <w:bCs/>
                <w:noProof/>
                <w:sz w:val="18"/>
                <w:szCs w:val="18"/>
              </w:rPr>
              <w:t xml:space="preserve"> </w:t>
            </w:r>
            <w:r w:rsidR="000977AF">
              <w:rPr>
                <w:rFonts w:ascii="Calibri" w:hAnsi="Calibri" w:cs="Calibri"/>
                <w:noProof/>
                <w:sz w:val="15"/>
                <w:szCs w:val="15"/>
              </w:rPr>
              <w:t>0 ha</w:t>
            </w:r>
          </w:p>
        </w:tc>
      </w:tr>
    </w:tbl>
    <w:p w14:paraId="17432216" w14:textId="77777777" w:rsidR="00F52739" w:rsidRDefault="00895197" w:rsidP="00443454">
      <w:pPr>
        <w:pStyle w:val="ParagraphOED"/>
        <w:numPr>
          <w:ilvl w:val="0"/>
          <w:numId w:val="0"/>
        </w:numPr>
      </w:pPr>
      <w:r w:rsidRPr="00832E32">
        <w:t>*</w:t>
      </w:r>
      <w:r w:rsidRPr="004A284E">
        <w:rPr>
          <w:sz w:val="16"/>
          <w:szCs w:val="16"/>
        </w:rPr>
        <w:t>Areas are based on GIS shape files. More detailed larger scale maps of this landscape are provided in Annex E.</w:t>
      </w:r>
      <w:r w:rsidRPr="00832E32">
        <w:t xml:space="preserve"> </w:t>
      </w:r>
    </w:p>
    <w:p w14:paraId="607A9F61" w14:textId="5CBF2D58" w:rsidR="00AE3C87" w:rsidRPr="00992869" w:rsidRDefault="00AE3C87" w:rsidP="001667C6">
      <w:pPr>
        <w:pStyle w:val="ParagraphOED"/>
        <w:numPr>
          <w:ilvl w:val="0"/>
          <w:numId w:val="102"/>
        </w:numPr>
        <w:spacing w:after="80"/>
        <w:rPr>
          <w:b/>
          <w:bCs/>
        </w:rPr>
      </w:pPr>
      <w:bookmarkStart w:id="140" w:name="_Output_2.1.1)_Expanded"/>
      <w:bookmarkEnd w:id="140"/>
      <w:r w:rsidRPr="1E65A5F7">
        <w:rPr>
          <w:b/>
          <w:bCs/>
        </w:rPr>
        <w:t xml:space="preserve">Indicative Activities under Output 2.1.1 </w:t>
      </w:r>
    </w:p>
    <w:p w14:paraId="5B4128D9" w14:textId="4244DF37" w:rsidR="00AE3C87" w:rsidRPr="000B4FC9" w:rsidRDefault="00AE3C87" w:rsidP="001667C6">
      <w:pPr>
        <w:pStyle w:val="AAActivities"/>
        <w:numPr>
          <w:ilvl w:val="0"/>
          <w:numId w:val="56"/>
        </w:numPr>
        <w:spacing w:after="80"/>
        <w:ind w:left="709" w:hanging="283"/>
        <w:contextualSpacing w:val="0"/>
        <w:rPr>
          <w:rStyle w:val="normaltextrun"/>
          <w:rFonts w:cs="Calibri"/>
          <w:sz w:val="21"/>
          <w:szCs w:val="21"/>
        </w:rPr>
      </w:pPr>
      <w:r w:rsidRPr="000B4FC9">
        <w:rPr>
          <w:b/>
          <w:bCs/>
          <w:sz w:val="21"/>
          <w:szCs w:val="21"/>
        </w:rPr>
        <w:t>Collect additional baseline information from the target landscapes and confirm project interventions and their respective LMUs</w:t>
      </w:r>
      <w:r w:rsidRPr="000B4FC9">
        <w:rPr>
          <w:rStyle w:val="normaltextrun"/>
          <w:rFonts w:cs="Calibri"/>
          <w:sz w:val="21"/>
          <w:szCs w:val="21"/>
        </w:rPr>
        <w:t xml:space="preserve">, nine of which have been tentatively selected from each landscape based on preliminary PPG findings. </w:t>
      </w:r>
    </w:p>
    <w:p w14:paraId="6DC8FA26" w14:textId="4B0CABC3" w:rsidR="00AE3C87" w:rsidRPr="000B4FC9" w:rsidRDefault="00AE3C87" w:rsidP="001667C6">
      <w:pPr>
        <w:pStyle w:val="AAActivities"/>
        <w:numPr>
          <w:ilvl w:val="1"/>
          <w:numId w:val="56"/>
        </w:numPr>
        <w:spacing w:after="80"/>
        <w:ind w:left="993" w:hanging="284"/>
        <w:contextualSpacing w:val="0"/>
        <w:rPr>
          <w:rFonts w:cs="Calibri"/>
          <w:sz w:val="21"/>
          <w:szCs w:val="21"/>
        </w:rPr>
      </w:pPr>
      <w:r w:rsidRPr="000B4FC9">
        <w:rPr>
          <w:sz w:val="21"/>
          <w:szCs w:val="21"/>
        </w:rPr>
        <w:t>Re</w:t>
      </w:r>
      <w:r w:rsidR="006C752D" w:rsidRPr="000B4FC9">
        <w:rPr>
          <w:sz w:val="21"/>
          <w:szCs w:val="21"/>
        </w:rPr>
        <w:t>view</w:t>
      </w:r>
      <w:r w:rsidRPr="000B4FC9">
        <w:rPr>
          <w:sz w:val="21"/>
          <w:szCs w:val="21"/>
        </w:rPr>
        <w:t xml:space="preserve"> ILAM to verify intervention sites and SLM/SFM interventions pre-selected at PPG stage.</w:t>
      </w:r>
    </w:p>
    <w:p w14:paraId="52318488" w14:textId="4A87176C" w:rsidR="00AE3C87" w:rsidRPr="000B4FC9" w:rsidRDefault="00AE3C87" w:rsidP="001667C6">
      <w:pPr>
        <w:pStyle w:val="AAActivities"/>
        <w:numPr>
          <w:ilvl w:val="1"/>
          <w:numId w:val="56"/>
        </w:numPr>
        <w:spacing w:after="80"/>
        <w:ind w:left="993" w:hanging="284"/>
        <w:contextualSpacing w:val="0"/>
        <w:rPr>
          <w:rFonts w:cs="Calibri"/>
          <w:sz w:val="21"/>
          <w:szCs w:val="21"/>
        </w:rPr>
      </w:pPr>
      <w:r w:rsidRPr="000B4FC9">
        <w:rPr>
          <w:rStyle w:val="normaltextrun"/>
          <w:rFonts w:cs="Calibri"/>
          <w:sz w:val="21"/>
          <w:szCs w:val="21"/>
        </w:rPr>
        <w:t xml:space="preserve">Also, cross-check pre-selected interventions against </w:t>
      </w:r>
      <w:r w:rsidRPr="000B4FC9">
        <w:rPr>
          <w:sz w:val="21"/>
          <w:szCs w:val="21"/>
        </w:rPr>
        <w:t>SLM/SFM databases and other nationally</w:t>
      </w:r>
      <w:r w:rsidRPr="000B4FC9" w:rsidDel="001538D7">
        <w:rPr>
          <w:sz w:val="21"/>
          <w:szCs w:val="21"/>
        </w:rPr>
        <w:t xml:space="preserve"> </w:t>
      </w:r>
      <w:r w:rsidRPr="000B4FC9">
        <w:rPr>
          <w:sz w:val="21"/>
          <w:szCs w:val="21"/>
        </w:rPr>
        <w:t>or internationally</w:t>
      </w:r>
      <w:r w:rsidRPr="000B4FC9">
        <w:rPr>
          <w:rStyle w:val="FootnoteReference"/>
          <w:sz w:val="21"/>
          <w:szCs w:val="21"/>
        </w:rPr>
        <w:footnoteReference w:id="72"/>
      </w:r>
      <w:r w:rsidRPr="000B4FC9">
        <w:rPr>
          <w:sz w:val="21"/>
          <w:szCs w:val="21"/>
        </w:rPr>
        <w:t xml:space="preserve">available information to assess their suitability for specific LMUs and identify any needs for context-specific </w:t>
      </w:r>
      <w:r w:rsidR="000B4FC9" w:rsidRPr="000B4FC9">
        <w:rPr>
          <w:sz w:val="21"/>
          <w:szCs w:val="21"/>
        </w:rPr>
        <w:t>refinements</w:t>
      </w:r>
      <w:r w:rsidRPr="000B4FC9">
        <w:rPr>
          <w:sz w:val="21"/>
          <w:szCs w:val="21"/>
        </w:rPr>
        <w:t>.</w:t>
      </w:r>
    </w:p>
    <w:p w14:paraId="50B631A4" w14:textId="30B3C8CB" w:rsidR="00AE3C87" w:rsidRPr="000B4FC9" w:rsidRDefault="00AE3C87" w:rsidP="001667C6">
      <w:pPr>
        <w:pStyle w:val="AAActivities"/>
        <w:numPr>
          <w:ilvl w:val="1"/>
          <w:numId w:val="56"/>
        </w:numPr>
        <w:spacing w:after="80"/>
        <w:ind w:left="993" w:hanging="284"/>
        <w:contextualSpacing w:val="0"/>
        <w:rPr>
          <w:rFonts w:cs="Calibri"/>
          <w:sz w:val="21"/>
          <w:szCs w:val="21"/>
        </w:rPr>
      </w:pPr>
      <w:r w:rsidRPr="000B4FC9">
        <w:rPr>
          <w:sz w:val="21"/>
          <w:szCs w:val="21"/>
        </w:rPr>
        <w:t xml:space="preserve">Revisit pre-selected LMUs and update pre-selected interventions in alignment with project targets, following the same selection criteria as </w:t>
      </w:r>
      <w:r w:rsidR="006C752D" w:rsidRPr="000B4FC9">
        <w:rPr>
          <w:sz w:val="21"/>
          <w:szCs w:val="21"/>
        </w:rPr>
        <w:t xml:space="preserve">were </w:t>
      </w:r>
      <w:r w:rsidRPr="000B4FC9">
        <w:rPr>
          <w:sz w:val="21"/>
          <w:szCs w:val="21"/>
        </w:rPr>
        <w:t xml:space="preserve">applied at PPG stage (e.g. status of </w:t>
      </w:r>
      <w:r w:rsidRPr="000B4FC9">
        <w:rPr>
          <w:sz w:val="21"/>
          <w:szCs w:val="21"/>
        </w:rPr>
        <w:lastRenderedPageBreak/>
        <w:t xml:space="preserve">productivity - decline/stable - or land tenure status) in order to confirm the suitability of the respective intervention sites. Update management interventions for LMUs in </w:t>
      </w:r>
      <w:r w:rsidRPr="000B4FC9">
        <w:rPr>
          <w:sz w:val="21"/>
          <w:szCs w:val="21"/>
          <w:highlight w:val="lightGray"/>
        </w:rPr>
        <w:fldChar w:fldCharType="begin"/>
      </w:r>
      <w:r w:rsidRPr="000B4FC9">
        <w:rPr>
          <w:sz w:val="21"/>
          <w:szCs w:val="21"/>
          <w:highlight w:val="lightGray"/>
        </w:rPr>
        <w:instrText xml:space="preserve"> REF _Ref41318206 \h  \* MERGEFORMAT </w:instrText>
      </w:r>
      <w:r w:rsidRPr="000B4FC9">
        <w:rPr>
          <w:sz w:val="21"/>
          <w:szCs w:val="21"/>
          <w:highlight w:val="lightGray"/>
        </w:rPr>
      </w:r>
      <w:r w:rsidRPr="000B4FC9">
        <w:rPr>
          <w:sz w:val="21"/>
          <w:szCs w:val="21"/>
          <w:highlight w:val="lightGray"/>
        </w:rPr>
        <w:fldChar w:fldCharType="separate"/>
      </w:r>
      <w:r w:rsidR="00A64193" w:rsidRPr="00A64193">
        <w:rPr>
          <w:sz w:val="21"/>
          <w:szCs w:val="21"/>
          <w:highlight w:val="lightGray"/>
        </w:rPr>
        <w:t xml:space="preserve">Table </w:t>
      </w:r>
      <w:r w:rsidR="00A64193" w:rsidRPr="00A64193">
        <w:rPr>
          <w:noProof/>
          <w:sz w:val="21"/>
          <w:szCs w:val="21"/>
          <w:highlight w:val="lightGray"/>
        </w:rPr>
        <w:t>4</w:t>
      </w:r>
      <w:r w:rsidRPr="000B4FC9">
        <w:rPr>
          <w:sz w:val="21"/>
          <w:szCs w:val="21"/>
          <w:highlight w:val="lightGray"/>
        </w:rPr>
        <w:fldChar w:fldCharType="end"/>
      </w:r>
      <w:r w:rsidRPr="000B4FC9">
        <w:rPr>
          <w:sz w:val="21"/>
          <w:szCs w:val="21"/>
        </w:rPr>
        <w:t>.</w:t>
      </w:r>
    </w:p>
    <w:p w14:paraId="789B516B" w14:textId="7C58C551" w:rsidR="00AE3C87" w:rsidRPr="000B4FC9" w:rsidRDefault="00AE3C87" w:rsidP="001667C6">
      <w:pPr>
        <w:pStyle w:val="AAActivities"/>
        <w:numPr>
          <w:ilvl w:val="1"/>
          <w:numId w:val="56"/>
        </w:numPr>
        <w:spacing w:after="80"/>
        <w:ind w:left="993" w:hanging="284"/>
        <w:contextualSpacing w:val="0"/>
        <w:rPr>
          <w:rFonts w:cs="Calibri"/>
          <w:sz w:val="21"/>
          <w:szCs w:val="21"/>
        </w:rPr>
      </w:pPr>
      <w:r w:rsidRPr="000B4FC9">
        <w:rPr>
          <w:sz w:val="21"/>
          <w:szCs w:val="21"/>
        </w:rPr>
        <w:t xml:space="preserve">Ensure that the updated set of interventions and related SLM/SFM practices to be applied </w:t>
      </w:r>
      <w:r w:rsidR="006C752D" w:rsidRPr="000B4FC9">
        <w:rPr>
          <w:sz w:val="21"/>
          <w:szCs w:val="21"/>
        </w:rPr>
        <w:t>to</w:t>
      </w:r>
      <w:r w:rsidRPr="000B4FC9">
        <w:rPr>
          <w:sz w:val="21"/>
          <w:szCs w:val="21"/>
        </w:rPr>
        <w:t xml:space="preserve"> the LMUs are fully gender-sensitive with respect to both planning and implementation.</w:t>
      </w:r>
    </w:p>
    <w:p w14:paraId="798F64D6" w14:textId="77777777" w:rsidR="00AE3C87" w:rsidRPr="000B4FC9" w:rsidRDefault="00AE3C87" w:rsidP="001667C6">
      <w:pPr>
        <w:pStyle w:val="AAActivities"/>
        <w:numPr>
          <w:ilvl w:val="0"/>
          <w:numId w:val="56"/>
        </w:numPr>
        <w:spacing w:after="80"/>
        <w:ind w:left="709" w:hanging="283"/>
        <w:contextualSpacing w:val="0"/>
        <w:rPr>
          <w:b/>
          <w:bCs/>
          <w:sz w:val="21"/>
          <w:szCs w:val="21"/>
        </w:rPr>
      </w:pPr>
      <w:r w:rsidRPr="000B4FC9">
        <w:rPr>
          <w:b/>
          <w:bCs/>
          <w:sz w:val="21"/>
          <w:szCs w:val="21"/>
        </w:rPr>
        <w:t>Scope the dissemination of these SLM/SFM practices among land users</w:t>
      </w:r>
      <w:r w:rsidRPr="000B4FC9">
        <w:rPr>
          <w:sz w:val="21"/>
          <w:szCs w:val="21"/>
        </w:rPr>
        <w:t>, including their spatial application and how they can be rolled out through an inclusive, integrated and multi-tiered planning process that applies the Landscape Approach.</w:t>
      </w:r>
    </w:p>
    <w:p w14:paraId="159105E3" w14:textId="54F386B8" w:rsidR="00AE3C87" w:rsidRPr="000B4FC9" w:rsidRDefault="00AE3C87" w:rsidP="001667C6">
      <w:pPr>
        <w:pStyle w:val="AAActivities"/>
        <w:numPr>
          <w:ilvl w:val="0"/>
          <w:numId w:val="56"/>
        </w:numPr>
        <w:spacing w:after="80"/>
        <w:ind w:left="709" w:hanging="283"/>
        <w:contextualSpacing w:val="0"/>
        <w:rPr>
          <w:rStyle w:val="normaltextrun"/>
          <w:rFonts w:cs="Calibri"/>
          <w:sz w:val="21"/>
          <w:szCs w:val="21"/>
        </w:rPr>
      </w:pPr>
      <w:r w:rsidRPr="000B4FC9">
        <w:rPr>
          <w:b/>
          <w:bCs/>
          <w:sz w:val="21"/>
          <w:szCs w:val="21"/>
        </w:rPr>
        <w:t>Prepare LDN balance sheets for each target landscape</w:t>
      </w:r>
      <w:r w:rsidRPr="000B4FC9">
        <w:rPr>
          <w:sz w:val="21"/>
          <w:szCs w:val="21"/>
        </w:rPr>
        <w:t xml:space="preserve">, showing </w:t>
      </w:r>
      <w:r w:rsidR="006C752D" w:rsidRPr="000B4FC9">
        <w:rPr>
          <w:sz w:val="21"/>
          <w:szCs w:val="21"/>
        </w:rPr>
        <w:t>baseline</w:t>
      </w:r>
      <w:r w:rsidRPr="000B4FC9">
        <w:rPr>
          <w:sz w:val="21"/>
          <w:szCs w:val="21"/>
        </w:rPr>
        <w:t xml:space="preserve"> status (without project interventions) and expected status by end of project (with GEF and co-fnancing interventions). This information should also be presented spatially for use as a monitoring tool and for awareness-raising purposes among stakeholders. </w:t>
      </w:r>
      <w:r w:rsidR="006C752D" w:rsidRPr="000B4FC9">
        <w:rPr>
          <w:sz w:val="21"/>
          <w:szCs w:val="21"/>
        </w:rPr>
        <w:t>M</w:t>
      </w:r>
      <w:r w:rsidRPr="000B4FC9">
        <w:rPr>
          <w:sz w:val="21"/>
          <w:szCs w:val="21"/>
        </w:rPr>
        <w:t xml:space="preserve">apping LDN </w:t>
      </w:r>
      <w:r w:rsidR="00A55AC0" w:rsidRPr="000B4FC9">
        <w:rPr>
          <w:sz w:val="21"/>
          <w:szCs w:val="21"/>
        </w:rPr>
        <w:t xml:space="preserve">at start-up and end of project </w:t>
      </w:r>
      <w:r w:rsidRPr="000B4FC9">
        <w:rPr>
          <w:sz w:val="21"/>
          <w:szCs w:val="21"/>
        </w:rPr>
        <w:t>for the target landscapes will provide a holistic vision for promoting among the relevant stakeholder groups.</w:t>
      </w:r>
    </w:p>
    <w:p w14:paraId="64F01586" w14:textId="10434D72" w:rsidR="00AD2946" w:rsidRPr="00194716" w:rsidRDefault="00AD2946" w:rsidP="0032548E">
      <w:pPr>
        <w:pStyle w:val="Heading6"/>
        <w:spacing w:before="160" w:after="160"/>
        <w:ind w:hanging="11"/>
        <w:rPr>
          <w:rFonts w:ascii="Calibri" w:hAnsi="Calibri" w:cs="Calibri"/>
          <w:sz w:val="21"/>
          <w:szCs w:val="21"/>
        </w:rPr>
      </w:pPr>
      <w:bookmarkStart w:id="141" w:name="_Ref42103111"/>
      <w:bookmarkStart w:id="142" w:name="_Ref41350595"/>
      <w:r w:rsidRPr="00194716">
        <w:rPr>
          <w:rFonts w:ascii="Calibri" w:hAnsi="Calibri" w:cs="Calibri"/>
          <w:b/>
          <w:bCs/>
          <w:sz w:val="21"/>
          <w:szCs w:val="21"/>
          <w:highlight w:val="lightGray"/>
        </w:rPr>
        <w:t>Output 2.1.2</w:t>
      </w:r>
      <w:r w:rsidR="00370D73" w:rsidRPr="00194716">
        <w:rPr>
          <w:rFonts w:ascii="Calibri" w:hAnsi="Calibri" w:cs="Calibri"/>
          <w:b/>
          <w:bCs/>
          <w:sz w:val="21"/>
          <w:szCs w:val="21"/>
          <w:highlight w:val="lightGray"/>
        </w:rPr>
        <w:tab/>
      </w:r>
      <w:r w:rsidR="00E5644B" w:rsidRPr="00194716">
        <w:rPr>
          <w:rFonts w:ascii="Calibri" w:hAnsi="Calibri" w:cs="Calibri"/>
          <w:sz w:val="21"/>
          <w:szCs w:val="21"/>
          <w:highlight w:val="lightGray"/>
        </w:rPr>
        <w:t xml:space="preserve">Integrated </w:t>
      </w:r>
      <w:r w:rsidR="00765D8A" w:rsidRPr="00194716">
        <w:rPr>
          <w:rFonts w:ascii="Calibri" w:hAnsi="Calibri" w:cs="Calibri"/>
          <w:sz w:val="21"/>
          <w:szCs w:val="21"/>
          <w:highlight w:val="lightGray"/>
        </w:rPr>
        <w:t>Land</w:t>
      </w:r>
      <w:r w:rsidR="004218F2" w:rsidRPr="00194716">
        <w:rPr>
          <w:rFonts w:ascii="Calibri" w:hAnsi="Calibri" w:cs="Calibri"/>
          <w:sz w:val="21"/>
          <w:szCs w:val="21"/>
          <w:highlight w:val="lightGray"/>
        </w:rPr>
        <w:t>-</w:t>
      </w:r>
      <w:r w:rsidR="00765D8A" w:rsidRPr="00194716">
        <w:rPr>
          <w:rFonts w:ascii="Calibri" w:hAnsi="Calibri" w:cs="Calibri"/>
          <w:sz w:val="21"/>
          <w:szCs w:val="21"/>
          <w:highlight w:val="lightGray"/>
        </w:rPr>
        <w:t>Use</w:t>
      </w:r>
      <w:r w:rsidR="004218F2" w:rsidRPr="00194716">
        <w:rPr>
          <w:rFonts w:ascii="Calibri" w:hAnsi="Calibri" w:cs="Calibri"/>
          <w:sz w:val="21"/>
          <w:szCs w:val="21"/>
          <w:highlight w:val="lightGray"/>
        </w:rPr>
        <w:t xml:space="preserve"> </w:t>
      </w:r>
      <w:r w:rsidR="00765D8A" w:rsidRPr="00194716">
        <w:rPr>
          <w:rFonts w:ascii="Calibri" w:hAnsi="Calibri" w:cs="Calibri"/>
          <w:sz w:val="21"/>
          <w:szCs w:val="21"/>
          <w:highlight w:val="lightGray"/>
        </w:rPr>
        <w:t xml:space="preserve">Plans developed for LMUs </w:t>
      </w:r>
      <w:r w:rsidR="00BF1B50" w:rsidRPr="00194716">
        <w:rPr>
          <w:rFonts w:ascii="Calibri" w:hAnsi="Calibri" w:cs="Calibri"/>
          <w:sz w:val="21"/>
          <w:szCs w:val="21"/>
          <w:highlight w:val="lightGray"/>
        </w:rPr>
        <w:t>in</w:t>
      </w:r>
      <w:r w:rsidR="004218F2" w:rsidRPr="00194716">
        <w:rPr>
          <w:rFonts w:ascii="Calibri" w:hAnsi="Calibri" w:cs="Calibri"/>
          <w:sz w:val="21"/>
          <w:szCs w:val="21"/>
          <w:highlight w:val="lightGray"/>
        </w:rPr>
        <w:t xml:space="preserve"> </w:t>
      </w:r>
      <w:r w:rsidR="00BF1B50" w:rsidRPr="00194716">
        <w:rPr>
          <w:rFonts w:ascii="Calibri" w:hAnsi="Calibri" w:cs="Calibri"/>
          <w:sz w:val="21"/>
          <w:szCs w:val="21"/>
          <w:highlight w:val="lightGray"/>
        </w:rPr>
        <w:t>target landscape</w:t>
      </w:r>
      <w:r w:rsidR="004218F2" w:rsidRPr="00194716">
        <w:rPr>
          <w:rFonts w:ascii="Calibri" w:hAnsi="Calibri" w:cs="Calibri"/>
          <w:sz w:val="21"/>
          <w:szCs w:val="21"/>
          <w:highlight w:val="lightGray"/>
        </w:rPr>
        <w:t>s</w:t>
      </w:r>
      <w:bookmarkEnd w:id="141"/>
      <w:bookmarkEnd w:id="142"/>
      <w:r w:rsidRPr="00194716">
        <w:rPr>
          <w:rFonts w:ascii="Calibri" w:hAnsi="Calibri" w:cs="Calibri"/>
          <w:bCs/>
          <w:sz w:val="21"/>
          <w:szCs w:val="21"/>
        </w:rPr>
        <w:t xml:space="preserve"> </w:t>
      </w:r>
    </w:p>
    <w:p w14:paraId="465A6FAF" w14:textId="12D2E8BB" w:rsidR="00F4759C" w:rsidRPr="00A64193" w:rsidRDefault="00134204" w:rsidP="001667C6">
      <w:pPr>
        <w:pStyle w:val="ParagraphOED"/>
        <w:numPr>
          <w:ilvl w:val="0"/>
          <w:numId w:val="102"/>
        </w:numPr>
        <w:spacing w:after="80"/>
      </w:pPr>
      <w:r w:rsidRPr="619CA689">
        <w:t>Output 2.1.2 is focused on ILUP: l</w:t>
      </w:r>
      <w:r w:rsidR="007459E2" w:rsidRPr="619CA689">
        <w:t>and-use planning</w:t>
      </w:r>
      <w:r w:rsidRPr="619CA689">
        <w:t xml:space="preserve"> at LMU-level that is</w:t>
      </w:r>
      <w:r w:rsidR="007459E2" w:rsidRPr="619CA689">
        <w:t xml:space="preserve"> integrated across sectors, disciplines, communities</w:t>
      </w:r>
      <w:r w:rsidRPr="619CA689">
        <w:t xml:space="preserve"> and</w:t>
      </w:r>
      <w:r w:rsidR="007459E2" w:rsidRPr="619CA689">
        <w:t xml:space="preserve"> land-user and other interest groups </w:t>
      </w:r>
      <w:r w:rsidRPr="619CA689">
        <w:t xml:space="preserve">in order to deliver LDN at a </w:t>
      </w:r>
      <w:r w:rsidR="00A55AC0" w:rsidRPr="619CA689">
        <w:t>integrated</w:t>
      </w:r>
      <w:r w:rsidRPr="619CA689">
        <w:t xml:space="preserve"> landscape scale.</w:t>
      </w:r>
      <w:r w:rsidR="002A3673" w:rsidRPr="00B86B84">
        <w:rPr>
          <w:szCs w:val="21"/>
        </w:rPr>
        <w:t xml:space="preserve"> </w:t>
      </w:r>
      <w:r w:rsidRPr="619CA689">
        <w:t xml:space="preserve">The planning process will follow </w:t>
      </w:r>
      <w:r w:rsidR="00654BAB" w:rsidRPr="619CA689">
        <w:t>the guidance in the Stakeholder Engagement Plans</w:t>
      </w:r>
      <w:r w:rsidR="00FA203E" w:rsidRPr="00B86B84">
        <w:rPr>
          <w:szCs w:val="21"/>
        </w:rPr>
        <w:t xml:space="preserve"> </w:t>
      </w:r>
      <w:r w:rsidR="00E5644B" w:rsidRPr="619CA689">
        <w:t>for</w:t>
      </w:r>
      <w:r w:rsidR="00FA203E" w:rsidRPr="619CA689">
        <w:t xml:space="preserve"> the respective target landscapes</w:t>
      </w:r>
      <w:r w:rsidR="00654BAB" w:rsidRPr="00B86B84">
        <w:rPr>
          <w:szCs w:val="21"/>
        </w:rPr>
        <w:t xml:space="preserve"> </w:t>
      </w:r>
      <w:r w:rsidR="00654BAB" w:rsidRPr="619CA689">
        <w:rPr>
          <w:highlight w:val="lightGray"/>
        </w:rPr>
        <w:t>(</w:t>
      </w:r>
      <w:r w:rsidR="004443F9" w:rsidRPr="619CA689">
        <w:rPr>
          <w:highlight w:val="lightGray"/>
        </w:rPr>
        <w:t>Activity</w:t>
      </w:r>
      <w:r w:rsidR="00FA203E" w:rsidRPr="619CA689">
        <w:rPr>
          <w:highlight w:val="lightGray"/>
        </w:rPr>
        <w:t xml:space="preserve"> 1.1.1</w:t>
      </w:r>
      <w:r w:rsidR="00DC07E4" w:rsidRPr="619CA689">
        <w:rPr>
          <w:highlight w:val="lightGray"/>
        </w:rPr>
        <w:fldChar w:fldCharType="begin"/>
      </w:r>
      <w:r w:rsidR="00DC07E4" w:rsidRPr="619CA689">
        <w:rPr>
          <w:highlight w:val="lightGray"/>
        </w:rPr>
        <w:instrText xml:space="preserve"> REF _Ref49586430 \r \h </w:instrText>
      </w:r>
      <w:r w:rsidR="00B86B84" w:rsidRPr="619CA689">
        <w:rPr>
          <w:highlight w:val="lightGray"/>
        </w:rPr>
        <w:instrText xml:space="preserve"> \* MERGEFORMAT </w:instrText>
      </w:r>
      <w:r w:rsidR="00DC07E4" w:rsidRPr="619CA689">
        <w:rPr>
          <w:highlight w:val="lightGray"/>
        </w:rPr>
      </w:r>
      <w:r w:rsidR="00DC07E4" w:rsidRPr="619CA689">
        <w:rPr>
          <w:highlight w:val="lightGray"/>
        </w:rPr>
        <w:fldChar w:fldCharType="separate"/>
      </w:r>
      <w:r w:rsidR="00A64193">
        <w:rPr>
          <w:highlight w:val="lightGray"/>
        </w:rPr>
        <w:t>d)</w:t>
      </w:r>
      <w:r w:rsidR="00DC07E4" w:rsidRPr="619CA689">
        <w:rPr>
          <w:highlight w:val="lightGray"/>
        </w:rPr>
        <w:fldChar w:fldCharType="end"/>
      </w:r>
      <w:r w:rsidR="00A55AC0" w:rsidRPr="00B86B84">
        <w:rPr>
          <w:szCs w:val="21"/>
        </w:rPr>
        <w:t>)</w:t>
      </w:r>
      <w:r w:rsidR="00FA203E" w:rsidRPr="619CA689">
        <w:t xml:space="preserve">, which will be shared with stakeholders so that they understand the processes and mechanisms by which they will be </w:t>
      </w:r>
      <w:r w:rsidR="00704C44" w:rsidRPr="619CA689">
        <w:t>informed on a wide range of matters (e.g. SLM, SFM and LDN principles, best practices, capacity building opportunities</w:t>
      </w:r>
      <w:r w:rsidR="00F03D1A" w:rsidRPr="00B86B84">
        <w:rPr>
          <w:szCs w:val="21"/>
        </w:rPr>
        <w:t xml:space="preserve">) </w:t>
      </w:r>
      <w:r w:rsidR="00704C44" w:rsidRPr="619CA689">
        <w:t xml:space="preserve">and </w:t>
      </w:r>
      <w:r w:rsidR="00FA203E" w:rsidRPr="619CA689">
        <w:t xml:space="preserve">consulted for </w:t>
      </w:r>
      <w:r w:rsidR="00E5644B" w:rsidRPr="619CA689">
        <w:t xml:space="preserve">contextual </w:t>
      </w:r>
      <w:r w:rsidR="00FA203E" w:rsidRPr="619CA689">
        <w:t xml:space="preserve">information </w:t>
      </w:r>
      <w:r w:rsidR="00E5644B" w:rsidRPr="619CA689">
        <w:t xml:space="preserve">(including traditional knowledge) </w:t>
      </w:r>
      <w:r w:rsidR="00FA203E" w:rsidRPr="619CA689">
        <w:t>and their views (concerns, expectations, preferences).</w:t>
      </w:r>
      <w:r w:rsidR="00F03D1A" w:rsidRPr="00B86B84">
        <w:rPr>
          <w:szCs w:val="21"/>
        </w:rPr>
        <w:t xml:space="preserve"> </w:t>
      </w:r>
      <w:r w:rsidR="00F03D1A" w:rsidRPr="00A46C44">
        <w:t>The ILUP process is likely to require up to one year of iterative planning and consultation, building con</w:t>
      </w:r>
      <w:r w:rsidR="00F4759C" w:rsidRPr="00A46C44">
        <w:t>s</w:t>
      </w:r>
      <w:r w:rsidR="00F03D1A" w:rsidRPr="00A46C44">
        <w:t>ensus as it progresses. It will be essential to keep to the overall timeframe</w:t>
      </w:r>
      <w:r w:rsidR="00F03D1A" w:rsidRPr="619CA689">
        <w:t xml:space="preserve">, which will have been agreed among </w:t>
      </w:r>
      <w:r w:rsidR="00F4759C" w:rsidRPr="619CA689">
        <w:t xml:space="preserve">those </w:t>
      </w:r>
      <w:r w:rsidR="00F03D1A" w:rsidRPr="619CA689">
        <w:t xml:space="preserve">stakeholders </w:t>
      </w:r>
      <w:r w:rsidR="00F03D1A" w:rsidRPr="00A64193">
        <w:t xml:space="preserve">involved </w:t>
      </w:r>
      <w:r w:rsidR="00F4759C" w:rsidRPr="00A64193">
        <w:t>in designing the Stakeholder Engagement Plans</w:t>
      </w:r>
      <w:r w:rsidR="004443F9" w:rsidRPr="00A64193">
        <w:t>, in order to be implementing these plans by mid-term of the project</w:t>
      </w:r>
      <w:r w:rsidR="00F4759C" w:rsidRPr="00A64193">
        <w:t xml:space="preserve">. </w:t>
      </w:r>
    </w:p>
    <w:p w14:paraId="016F4415" w14:textId="3CB3566A" w:rsidR="00081A2A" w:rsidRPr="007F73CC" w:rsidRDefault="004443F9" w:rsidP="001667C6">
      <w:pPr>
        <w:pStyle w:val="ParagraphOED"/>
        <w:numPr>
          <w:ilvl w:val="0"/>
          <w:numId w:val="102"/>
        </w:numPr>
      </w:pPr>
      <w:r>
        <w:t xml:space="preserve">ILUP within the prioritized </w:t>
      </w:r>
      <w:r w:rsidR="00F4759C">
        <w:t xml:space="preserve">LMUs will be lead by the respective </w:t>
      </w:r>
      <w:r>
        <w:t>districts and</w:t>
      </w:r>
      <w:r w:rsidR="0032548E">
        <w:t>/or</w:t>
      </w:r>
      <w:r>
        <w:t xml:space="preserve"> </w:t>
      </w:r>
      <w:r w:rsidR="00F4759C">
        <w:t>municipalities</w:t>
      </w:r>
      <w:r w:rsidR="001B11BE">
        <w:t xml:space="preserve"> under a</w:t>
      </w:r>
      <w:r w:rsidR="00D16C18">
        <w:t>n</w:t>
      </w:r>
      <w:r w:rsidR="001B11BE">
        <w:t xml:space="preserve"> officer designated as the LMU Focal Point</w:t>
      </w:r>
      <w:r>
        <w:t>, as appropriate,</w:t>
      </w:r>
      <w:r w:rsidR="00F4759C">
        <w:t xml:space="preserve"> and </w:t>
      </w:r>
      <w:r>
        <w:t>supported by the project, particularly with respect to the facilitation of the stakeholder engagement process as planned under Activity 1.1.1</w:t>
      </w:r>
      <w:r>
        <w:fldChar w:fldCharType="begin"/>
      </w:r>
      <w:r>
        <w:instrText xml:space="preserve"> REF _Ref49586430 \r \h  \* MERGEFORMAT </w:instrText>
      </w:r>
      <w:r>
        <w:fldChar w:fldCharType="separate"/>
      </w:r>
      <w:r w:rsidR="00A64193">
        <w:t>d)</w:t>
      </w:r>
      <w:r>
        <w:fldChar w:fldCharType="end"/>
      </w:r>
      <w:r>
        <w:t xml:space="preserve">. </w:t>
      </w:r>
      <w:r w:rsidR="001B11BE">
        <w:t xml:space="preserve">Planning </w:t>
      </w:r>
      <w:r w:rsidR="00A55AC0">
        <w:t xml:space="preserve">and integration of the </w:t>
      </w:r>
      <w:r w:rsidR="00D16C18">
        <w:t xml:space="preserve">9 </w:t>
      </w:r>
      <w:r w:rsidR="00A55AC0">
        <w:t xml:space="preserve">LMU interventions </w:t>
      </w:r>
      <w:r w:rsidR="006B023D">
        <w:t>in each target</w:t>
      </w:r>
      <w:r w:rsidR="00A55AC0">
        <w:t xml:space="preserve"> landscape</w:t>
      </w:r>
      <w:r w:rsidR="00D16C18">
        <w:t xml:space="preserve"> (Table 6)</w:t>
      </w:r>
      <w:r w:rsidR="00A55AC0">
        <w:t xml:space="preserve"> </w:t>
      </w:r>
      <w:r w:rsidR="001B11BE">
        <w:t>will need be driven by a small</w:t>
      </w:r>
      <w:r w:rsidR="009E0745">
        <w:t xml:space="preserve"> </w:t>
      </w:r>
      <w:r w:rsidR="006B023D">
        <w:t>ILUP Task Force</w:t>
      </w:r>
      <w:r w:rsidR="001B11BE">
        <w:t xml:space="preserve"> (up to 10 persons maximimum</w:t>
      </w:r>
      <w:r w:rsidR="009E0745">
        <w:t xml:space="preserve"> and </w:t>
      </w:r>
      <w:r w:rsidR="006B023D">
        <w:t>coordinated</w:t>
      </w:r>
      <w:r w:rsidR="009E0745">
        <w:t xml:space="preserve"> by</w:t>
      </w:r>
      <w:r w:rsidR="00A55AC0">
        <w:t xml:space="preserve"> a</w:t>
      </w:r>
      <w:r w:rsidR="009E0745">
        <w:t xml:space="preserve"> senior </w:t>
      </w:r>
      <w:r w:rsidR="006B023D">
        <w:t xml:space="preserve">government </w:t>
      </w:r>
      <w:r w:rsidR="00A55AC0">
        <w:t>appointe</w:t>
      </w:r>
      <w:r w:rsidR="006B023D">
        <w:t>e</w:t>
      </w:r>
      <w:r w:rsidR="001B11BE">
        <w:t>)</w:t>
      </w:r>
      <w:r w:rsidR="00D16C18">
        <w:t>,</w:t>
      </w:r>
      <w:r w:rsidR="001B11BE">
        <w:t xml:space="preserve"> comprising government planners and including land tenure expertise, sector specialists (agriculture, forestry, nature conservation/environment etc), and land user representatives (e.g. farmers)</w:t>
      </w:r>
      <w:r w:rsidR="002E0D05">
        <w:t xml:space="preserve">. </w:t>
      </w:r>
      <w:r w:rsidR="009E0745">
        <w:t xml:space="preserve">The </w:t>
      </w:r>
      <w:r w:rsidR="006B023D">
        <w:t>Task Force</w:t>
      </w:r>
      <w:r w:rsidR="009E0745">
        <w:t xml:space="preserve"> will be supported by </w:t>
      </w:r>
      <w:r w:rsidR="006B023D">
        <w:t xml:space="preserve">the LMU Focal Points and their </w:t>
      </w:r>
      <w:r w:rsidR="009E0745">
        <w:t xml:space="preserve">field officers, who will regularly consult with the land users for relevant information, and a GIS specialist for producing land use and related maps. The project will provide a </w:t>
      </w:r>
      <w:r w:rsidR="00031F0B">
        <w:t>Landscape</w:t>
      </w:r>
      <w:r w:rsidR="006B023D">
        <w:t xml:space="preserve"> </w:t>
      </w:r>
      <w:r w:rsidR="00081A2A">
        <w:t>Coordinator</w:t>
      </w:r>
      <w:r w:rsidR="00031F0B">
        <w:t xml:space="preserve"> for each Sub-basin</w:t>
      </w:r>
      <w:r w:rsidR="00081A2A">
        <w:t xml:space="preserve">, technically experienced in SLM and having an land management background (agriculture, forest, natural environment), who will </w:t>
      </w:r>
      <w:r w:rsidR="006B023D">
        <w:t xml:space="preserve">support the ILUP </w:t>
      </w:r>
      <w:r w:rsidR="006C1A8D">
        <w:t>Task Force</w:t>
      </w:r>
      <w:r w:rsidR="006B023D">
        <w:t xml:space="preserve"> and </w:t>
      </w:r>
      <w:r w:rsidR="00081A2A">
        <w:t>oversee</w:t>
      </w:r>
      <w:r w:rsidR="006B023D">
        <w:t xml:space="preserve"> </w:t>
      </w:r>
      <w:r w:rsidR="00081A2A">
        <w:t>preparation and implementation of the</w:t>
      </w:r>
      <w:r w:rsidR="006B023D">
        <w:t>ir respective</w:t>
      </w:r>
      <w:r w:rsidR="00081A2A">
        <w:t xml:space="preserve"> </w:t>
      </w:r>
      <w:r w:rsidR="006B023D">
        <w:t xml:space="preserve">Integrated Land Use Plan </w:t>
      </w:r>
      <w:r w:rsidR="00DC07E4">
        <w:t>and facilitate the</w:t>
      </w:r>
      <w:r w:rsidR="00031F0B">
        <w:t>ir respective</w:t>
      </w:r>
      <w:r w:rsidR="00DC07E4">
        <w:t xml:space="preserve"> stakeholder engagement process</w:t>
      </w:r>
      <w:r w:rsidR="00081A2A">
        <w:t>.</w:t>
      </w:r>
      <w:r w:rsidR="009B51B9">
        <w:t xml:space="preserve"> The two Landscape Coordinators will report to the National Project Coordinator.</w:t>
      </w:r>
      <w:r w:rsidR="00081A2A">
        <w:t xml:space="preserve"> </w:t>
      </w:r>
    </w:p>
    <w:p w14:paraId="1F30CD98" w14:textId="118018C2" w:rsidR="004911E9" w:rsidRPr="00B81D0B" w:rsidRDefault="004911E9" w:rsidP="001667C6">
      <w:pPr>
        <w:pStyle w:val="ParagraphOED"/>
        <w:numPr>
          <w:ilvl w:val="0"/>
          <w:numId w:val="102"/>
        </w:numPr>
        <w:spacing w:after="160"/>
      </w:pPr>
      <w:r>
        <w:t xml:space="preserve">Due to challenging logistical field conditions, the </w:t>
      </w:r>
      <w:r w:rsidRPr="1E65A5F7">
        <w:rPr>
          <w:i/>
          <w:iCs/>
        </w:rPr>
        <w:t>Self-Evaluation and Holistic Assessment of Climate Resilience of Farmers and Pastoralists</w:t>
      </w:r>
      <w:r>
        <w:t xml:space="preserve"> (SHARP) for Sub-Basin 1 (Cuchi-Okavango) </w:t>
      </w:r>
      <w:r w:rsidR="00801BE2">
        <w:t>was</w:t>
      </w:r>
      <w:r>
        <w:t xml:space="preserve"> insufficent due to the small number of households surveyed. This will also need to be addressed during project inception, subject to risks associated with Covid-19. The need for additional SHARP surveys in sites other than Cuchi should also be reviewed at the onset of implementation.</w:t>
      </w:r>
    </w:p>
    <w:p w14:paraId="4CB4B326" w14:textId="66ADE943" w:rsidR="00801BE2" w:rsidRPr="00B81D0B" w:rsidRDefault="00801BE2" w:rsidP="001667C6">
      <w:pPr>
        <w:pStyle w:val="ParagraphOED"/>
        <w:numPr>
          <w:ilvl w:val="0"/>
          <w:numId w:val="102"/>
        </w:numPr>
        <w:spacing w:after="80"/>
        <w:rPr>
          <w:b/>
          <w:bCs/>
        </w:rPr>
      </w:pPr>
      <w:r w:rsidRPr="1E65A5F7">
        <w:rPr>
          <w:b/>
          <w:bCs/>
        </w:rPr>
        <w:t xml:space="preserve">Indicative Activities under Output 2.1.2 </w:t>
      </w:r>
    </w:p>
    <w:p w14:paraId="33491632" w14:textId="45AE3471" w:rsidR="0029239F" w:rsidRPr="00B81D0B" w:rsidRDefault="0029239F" w:rsidP="001667C6">
      <w:pPr>
        <w:pStyle w:val="AAActivities"/>
        <w:numPr>
          <w:ilvl w:val="0"/>
          <w:numId w:val="57"/>
        </w:numPr>
        <w:spacing w:after="80"/>
        <w:ind w:left="709" w:hanging="283"/>
        <w:contextualSpacing w:val="0"/>
        <w:rPr>
          <w:b/>
          <w:bCs/>
        </w:rPr>
      </w:pPr>
      <w:r w:rsidRPr="00B81D0B">
        <w:rPr>
          <w:b/>
          <w:bCs/>
        </w:rPr>
        <w:t xml:space="preserve">Confirm the LMUs </w:t>
      </w:r>
      <w:r w:rsidR="001C2C16" w:rsidRPr="00B81D0B">
        <w:rPr>
          <w:b/>
          <w:bCs/>
        </w:rPr>
        <w:t xml:space="preserve">and respective interventions </w:t>
      </w:r>
      <w:r w:rsidRPr="00B81D0B">
        <w:rPr>
          <w:b/>
          <w:bCs/>
        </w:rPr>
        <w:t>pre-selected during the PPG phase</w:t>
      </w:r>
      <w:r w:rsidR="00AA2E0B" w:rsidRPr="00B81D0B">
        <w:rPr>
          <w:b/>
          <w:bCs/>
        </w:rPr>
        <w:t>.</w:t>
      </w:r>
      <w:r w:rsidRPr="00B81D0B">
        <w:rPr>
          <w:b/>
          <w:bCs/>
        </w:rPr>
        <w:t xml:space="preserve"> </w:t>
      </w:r>
      <w:r w:rsidR="00AA2E0B" w:rsidRPr="00B81D0B">
        <w:t>This</w:t>
      </w:r>
      <w:r w:rsidRPr="00B81D0B">
        <w:t xml:space="preserve"> will require completion of the following tasks:</w:t>
      </w:r>
    </w:p>
    <w:p w14:paraId="31B09848" w14:textId="2B919184" w:rsidR="004254AB" w:rsidRPr="00B81D0B" w:rsidRDefault="004254AB" w:rsidP="001667C6">
      <w:pPr>
        <w:pStyle w:val="AAActivities"/>
        <w:numPr>
          <w:ilvl w:val="1"/>
          <w:numId w:val="56"/>
        </w:numPr>
        <w:spacing w:after="80"/>
        <w:ind w:left="993" w:hanging="284"/>
        <w:contextualSpacing w:val="0"/>
        <w:rPr>
          <w:sz w:val="21"/>
          <w:szCs w:val="21"/>
        </w:rPr>
      </w:pPr>
      <w:r w:rsidRPr="00B81D0B">
        <w:rPr>
          <w:sz w:val="21"/>
          <w:szCs w:val="21"/>
        </w:rPr>
        <w:lastRenderedPageBreak/>
        <w:t>r</w:t>
      </w:r>
      <w:r w:rsidR="0029239F" w:rsidRPr="00B81D0B">
        <w:rPr>
          <w:sz w:val="21"/>
          <w:szCs w:val="21"/>
        </w:rPr>
        <w:t>eview</w:t>
      </w:r>
      <w:r w:rsidRPr="00B81D0B">
        <w:rPr>
          <w:sz w:val="21"/>
          <w:szCs w:val="21"/>
        </w:rPr>
        <w:t>ing</w:t>
      </w:r>
      <w:r w:rsidR="0029239F" w:rsidRPr="00B81D0B">
        <w:rPr>
          <w:sz w:val="21"/>
          <w:szCs w:val="21"/>
        </w:rPr>
        <w:t xml:space="preserve"> the updated information generated from ILAM under Outut 2.1.1 relating to LMUs and </w:t>
      </w:r>
      <w:r w:rsidR="009F04E8" w:rsidRPr="00B81D0B">
        <w:rPr>
          <w:sz w:val="21"/>
          <w:szCs w:val="21"/>
        </w:rPr>
        <w:t>the</w:t>
      </w:r>
      <w:r w:rsidR="00227A2A" w:rsidRPr="00B81D0B">
        <w:rPr>
          <w:sz w:val="21"/>
          <w:szCs w:val="21"/>
        </w:rPr>
        <w:t>ir</w:t>
      </w:r>
      <w:r w:rsidR="009F04E8" w:rsidRPr="00B81D0B">
        <w:rPr>
          <w:sz w:val="21"/>
          <w:szCs w:val="21"/>
        </w:rPr>
        <w:t xml:space="preserve"> respective interventions;</w:t>
      </w:r>
    </w:p>
    <w:p w14:paraId="7AEA299D" w14:textId="076D3E1A" w:rsidR="004254AB" w:rsidRPr="00B81D0B" w:rsidRDefault="009F04E8" w:rsidP="001667C6">
      <w:pPr>
        <w:pStyle w:val="AAActivities"/>
        <w:numPr>
          <w:ilvl w:val="1"/>
          <w:numId w:val="56"/>
        </w:numPr>
        <w:spacing w:after="80"/>
        <w:ind w:left="993" w:hanging="284"/>
        <w:contextualSpacing w:val="0"/>
        <w:rPr>
          <w:sz w:val="21"/>
          <w:szCs w:val="21"/>
        </w:rPr>
      </w:pPr>
      <w:r w:rsidRPr="00B81D0B">
        <w:rPr>
          <w:sz w:val="21"/>
          <w:szCs w:val="21"/>
        </w:rPr>
        <w:t>identify</w:t>
      </w:r>
      <w:r w:rsidR="004254AB" w:rsidRPr="00B81D0B">
        <w:rPr>
          <w:sz w:val="21"/>
          <w:szCs w:val="21"/>
        </w:rPr>
        <w:t>ing</w:t>
      </w:r>
      <w:r w:rsidRPr="00B81D0B">
        <w:rPr>
          <w:sz w:val="21"/>
          <w:szCs w:val="21"/>
        </w:rPr>
        <w:t xml:space="preserve"> and address</w:t>
      </w:r>
      <w:r w:rsidR="004254AB" w:rsidRPr="00B81D0B">
        <w:rPr>
          <w:sz w:val="21"/>
          <w:szCs w:val="21"/>
        </w:rPr>
        <w:t>ing</w:t>
      </w:r>
      <w:r w:rsidRPr="00B81D0B">
        <w:rPr>
          <w:sz w:val="21"/>
          <w:szCs w:val="21"/>
        </w:rPr>
        <w:t xml:space="preserve"> any shortcomings, such as the need for additional SHARP surveys in sites other tha</w:t>
      </w:r>
      <w:r w:rsidR="004254AB" w:rsidRPr="00B81D0B">
        <w:rPr>
          <w:sz w:val="21"/>
          <w:szCs w:val="21"/>
        </w:rPr>
        <w:t>n</w:t>
      </w:r>
      <w:r w:rsidRPr="00B81D0B">
        <w:rPr>
          <w:sz w:val="21"/>
          <w:szCs w:val="21"/>
        </w:rPr>
        <w:t xml:space="preserve"> Cuchi; </w:t>
      </w:r>
      <w:r w:rsidR="004254AB" w:rsidRPr="00B81D0B">
        <w:rPr>
          <w:sz w:val="21"/>
          <w:szCs w:val="21"/>
        </w:rPr>
        <w:t>and</w:t>
      </w:r>
    </w:p>
    <w:p w14:paraId="16C3292C" w14:textId="5E102CD8" w:rsidR="00025476" w:rsidRPr="00B81D0B" w:rsidRDefault="009F04E8" w:rsidP="001667C6">
      <w:pPr>
        <w:pStyle w:val="AAActivities"/>
        <w:numPr>
          <w:ilvl w:val="1"/>
          <w:numId w:val="56"/>
        </w:numPr>
        <w:spacing w:after="80"/>
        <w:ind w:left="993" w:hanging="284"/>
        <w:contextualSpacing w:val="0"/>
        <w:rPr>
          <w:sz w:val="21"/>
          <w:szCs w:val="21"/>
        </w:rPr>
      </w:pPr>
      <w:r w:rsidRPr="00B81D0B">
        <w:rPr>
          <w:sz w:val="21"/>
          <w:szCs w:val="21"/>
        </w:rPr>
        <w:t>visit</w:t>
      </w:r>
      <w:r w:rsidR="004254AB" w:rsidRPr="00B81D0B">
        <w:rPr>
          <w:sz w:val="21"/>
          <w:szCs w:val="21"/>
        </w:rPr>
        <w:t>ing</w:t>
      </w:r>
      <w:r w:rsidRPr="00B81D0B">
        <w:rPr>
          <w:sz w:val="21"/>
          <w:szCs w:val="21"/>
        </w:rPr>
        <w:t xml:space="preserve"> the priority LMUs </w:t>
      </w:r>
      <w:r w:rsidR="004254AB" w:rsidRPr="00B81D0B">
        <w:rPr>
          <w:sz w:val="21"/>
          <w:szCs w:val="21"/>
        </w:rPr>
        <w:t>to</w:t>
      </w:r>
      <w:r w:rsidRPr="00B81D0B">
        <w:rPr>
          <w:sz w:val="21"/>
          <w:szCs w:val="21"/>
        </w:rPr>
        <w:t xml:space="preserve"> confirm that the lead authority and other key stakesholders are willing and ready to engage with the project </w:t>
      </w:r>
      <w:r w:rsidR="004254AB" w:rsidRPr="00B81D0B">
        <w:rPr>
          <w:sz w:val="21"/>
          <w:szCs w:val="21"/>
        </w:rPr>
        <w:t>and to confirm</w:t>
      </w:r>
      <w:r w:rsidR="00025476" w:rsidRPr="00B81D0B">
        <w:rPr>
          <w:sz w:val="21"/>
          <w:szCs w:val="21"/>
        </w:rPr>
        <w:t xml:space="preserve"> </w:t>
      </w:r>
      <w:r w:rsidR="004254AB" w:rsidRPr="00B81D0B">
        <w:rPr>
          <w:sz w:val="21"/>
          <w:szCs w:val="21"/>
        </w:rPr>
        <w:t xml:space="preserve">any updated </w:t>
      </w:r>
      <w:r w:rsidR="00025476" w:rsidRPr="00B81D0B">
        <w:rPr>
          <w:sz w:val="21"/>
          <w:szCs w:val="21"/>
        </w:rPr>
        <w:t>interventions</w:t>
      </w:r>
      <w:r w:rsidR="00C90B5D" w:rsidRPr="00B81D0B">
        <w:rPr>
          <w:sz w:val="21"/>
          <w:szCs w:val="21"/>
        </w:rPr>
        <w:t xml:space="preserve">, revising </w:t>
      </w:r>
      <w:r w:rsidR="001C2C16" w:rsidRPr="00B81D0B">
        <w:rPr>
          <w:sz w:val="21"/>
          <w:szCs w:val="21"/>
        </w:rPr>
        <w:fldChar w:fldCharType="begin"/>
      </w:r>
      <w:r w:rsidR="001C2C16" w:rsidRPr="00B81D0B">
        <w:rPr>
          <w:sz w:val="21"/>
          <w:szCs w:val="21"/>
        </w:rPr>
        <w:instrText xml:space="preserve"> REF _Ref41318206 \h  \* MERGEFORMAT </w:instrText>
      </w:r>
      <w:r w:rsidR="001C2C16" w:rsidRPr="00B81D0B">
        <w:rPr>
          <w:sz w:val="21"/>
          <w:szCs w:val="21"/>
        </w:rPr>
      </w:r>
      <w:r w:rsidR="001C2C16" w:rsidRPr="00B81D0B">
        <w:rPr>
          <w:sz w:val="21"/>
          <w:szCs w:val="21"/>
        </w:rPr>
        <w:fldChar w:fldCharType="separate"/>
      </w:r>
      <w:r w:rsidR="00A64193" w:rsidRPr="00A64193">
        <w:t xml:space="preserve">Table </w:t>
      </w:r>
      <w:r w:rsidR="00A64193" w:rsidRPr="00A64193">
        <w:rPr>
          <w:noProof/>
        </w:rPr>
        <w:t>4</w:t>
      </w:r>
      <w:r w:rsidR="001C2C16" w:rsidRPr="00B81D0B">
        <w:rPr>
          <w:sz w:val="21"/>
          <w:szCs w:val="21"/>
        </w:rPr>
        <w:fldChar w:fldCharType="end"/>
      </w:r>
      <w:r w:rsidR="00025476" w:rsidRPr="00B81D0B">
        <w:rPr>
          <w:sz w:val="21"/>
          <w:szCs w:val="21"/>
        </w:rPr>
        <w:t xml:space="preserve"> as </w:t>
      </w:r>
      <w:r w:rsidR="00C90B5D" w:rsidRPr="00B81D0B">
        <w:rPr>
          <w:sz w:val="21"/>
          <w:szCs w:val="21"/>
        </w:rPr>
        <w:t>necessary</w:t>
      </w:r>
      <w:r w:rsidR="00025476" w:rsidRPr="00B81D0B">
        <w:rPr>
          <w:sz w:val="21"/>
          <w:szCs w:val="21"/>
        </w:rPr>
        <w:t>.</w:t>
      </w:r>
    </w:p>
    <w:p w14:paraId="5BB38A62" w14:textId="5A8A5183" w:rsidR="00C90B5D" w:rsidRPr="00B81D0B" w:rsidRDefault="00E6722B" w:rsidP="00E6722B">
      <w:pPr>
        <w:pStyle w:val="AAActivities"/>
        <w:numPr>
          <w:ilvl w:val="0"/>
          <w:numId w:val="0"/>
        </w:numPr>
        <w:spacing w:after="80"/>
        <w:ind w:left="709"/>
        <w:contextualSpacing w:val="0"/>
        <w:rPr>
          <w:sz w:val="21"/>
          <w:szCs w:val="21"/>
        </w:rPr>
      </w:pPr>
      <w:r w:rsidRPr="00B81D0B">
        <w:rPr>
          <w:sz w:val="21"/>
          <w:szCs w:val="21"/>
        </w:rPr>
        <w:t>This</w:t>
      </w:r>
      <w:r w:rsidR="00C90B5D" w:rsidRPr="00B81D0B">
        <w:rPr>
          <w:sz w:val="21"/>
          <w:szCs w:val="21"/>
        </w:rPr>
        <w:t xml:space="preserve"> Activity </w:t>
      </w:r>
      <w:r w:rsidRPr="00B81D0B">
        <w:rPr>
          <w:sz w:val="21"/>
          <w:szCs w:val="21"/>
        </w:rPr>
        <w:t xml:space="preserve">should be completed </w:t>
      </w:r>
      <w:r w:rsidR="00C90B5D" w:rsidRPr="00B81D0B">
        <w:rPr>
          <w:sz w:val="21"/>
          <w:szCs w:val="21"/>
        </w:rPr>
        <w:t>within 3-6 months of project onset</w:t>
      </w:r>
      <w:r w:rsidRPr="00B81D0B">
        <w:rPr>
          <w:sz w:val="21"/>
          <w:szCs w:val="21"/>
        </w:rPr>
        <w:t>;</w:t>
      </w:r>
      <w:r w:rsidR="00C90B5D" w:rsidRPr="00B81D0B">
        <w:rPr>
          <w:sz w:val="21"/>
          <w:szCs w:val="21"/>
        </w:rPr>
        <w:t xml:space="preserve"> and the Project Inception Workshop </w:t>
      </w:r>
      <w:r w:rsidRPr="00B81D0B">
        <w:rPr>
          <w:sz w:val="21"/>
          <w:szCs w:val="21"/>
        </w:rPr>
        <w:t xml:space="preserve">used </w:t>
      </w:r>
      <w:r w:rsidR="00C90B5D" w:rsidRPr="00B81D0B">
        <w:rPr>
          <w:sz w:val="21"/>
          <w:szCs w:val="21"/>
        </w:rPr>
        <w:t xml:space="preserve">as an opportunity </w:t>
      </w:r>
      <w:r w:rsidR="001C2C16" w:rsidRPr="00B81D0B">
        <w:rPr>
          <w:sz w:val="21"/>
          <w:szCs w:val="21"/>
        </w:rPr>
        <w:t xml:space="preserve">to raise the profile of </w:t>
      </w:r>
      <w:r w:rsidR="00C90B5D" w:rsidRPr="00B81D0B">
        <w:rPr>
          <w:sz w:val="21"/>
          <w:szCs w:val="21"/>
        </w:rPr>
        <w:t>the LMUs selected and interventions prioritised</w:t>
      </w:r>
      <w:r w:rsidR="001C2C16" w:rsidRPr="00B81D0B">
        <w:rPr>
          <w:sz w:val="21"/>
          <w:szCs w:val="21"/>
        </w:rPr>
        <w:t xml:space="preserve"> among stakeholders</w:t>
      </w:r>
      <w:r w:rsidR="00C90B5D" w:rsidRPr="00B81D0B">
        <w:rPr>
          <w:sz w:val="21"/>
          <w:szCs w:val="21"/>
        </w:rPr>
        <w:t>.</w:t>
      </w:r>
      <w:r w:rsidR="001B74DC" w:rsidRPr="00B81D0B">
        <w:rPr>
          <w:sz w:val="21"/>
          <w:szCs w:val="21"/>
        </w:rPr>
        <w:t xml:space="preserve"> At least one of the 9 pre-selected LMUs per landscape should be confirmed by the Inception Workshop, so pilot work can begin in each landscape.</w:t>
      </w:r>
    </w:p>
    <w:p w14:paraId="27DF6BC1" w14:textId="63CD3CD2" w:rsidR="00E629F2" w:rsidRPr="00AA2E0B" w:rsidRDefault="004254AB" w:rsidP="001667C6">
      <w:pPr>
        <w:pStyle w:val="AAActivities"/>
        <w:numPr>
          <w:ilvl w:val="0"/>
          <w:numId w:val="57"/>
        </w:numPr>
        <w:spacing w:after="80"/>
        <w:ind w:left="709" w:hanging="283"/>
        <w:contextualSpacing w:val="0"/>
        <w:rPr>
          <w:b/>
          <w:bCs/>
        </w:rPr>
      </w:pPr>
      <w:r w:rsidRPr="00B81D0B">
        <w:rPr>
          <w:b/>
          <w:bCs/>
          <w:sz w:val="21"/>
          <w:szCs w:val="21"/>
        </w:rPr>
        <w:t xml:space="preserve">Initiate </w:t>
      </w:r>
      <w:r w:rsidR="00E6722B" w:rsidRPr="00B81D0B">
        <w:rPr>
          <w:b/>
          <w:bCs/>
          <w:sz w:val="21"/>
          <w:szCs w:val="21"/>
        </w:rPr>
        <w:t xml:space="preserve">and deliver </w:t>
      </w:r>
      <w:r w:rsidRPr="00B81D0B">
        <w:rPr>
          <w:b/>
          <w:bCs/>
          <w:sz w:val="21"/>
          <w:szCs w:val="21"/>
        </w:rPr>
        <w:t xml:space="preserve">the Stakeholder Engagement Plan </w:t>
      </w:r>
      <w:r w:rsidR="001C2C16" w:rsidRPr="00B81D0B">
        <w:rPr>
          <w:b/>
          <w:bCs/>
          <w:sz w:val="21"/>
          <w:szCs w:val="21"/>
        </w:rPr>
        <w:t>for</w:t>
      </w:r>
      <w:r w:rsidRPr="00B81D0B">
        <w:rPr>
          <w:b/>
          <w:bCs/>
          <w:sz w:val="21"/>
          <w:szCs w:val="21"/>
        </w:rPr>
        <w:t xml:space="preserve"> each target landscape (sub-basin)</w:t>
      </w:r>
      <w:r w:rsidRPr="00B81D0B">
        <w:rPr>
          <w:sz w:val="21"/>
          <w:szCs w:val="21"/>
        </w:rPr>
        <w:t xml:space="preserve"> in parallel, </w:t>
      </w:r>
      <w:r w:rsidR="001B74DC" w:rsidRPr="00B81D0B">
        <w:rPr>
          <w:sz w:val="21"/>
          <w:szCs w:val="21"/>
        </w:rPr>
        <w:t>with coordinators collaborating closely so that each process benefits</w:t>
      </w:r>
      <w:r w:rsidR="001B74DC">
        <w:rPr>
          <w:sz w:val="21"/>
          <w:szCs w:val="21"/>
        </w:rPr>
        <w:t xml:space="preserve"> from lessons learnt by the other. </w:t>
      </w:r>
      <w:r w:rsidR="00AA2E0B">
        <w:rPr>
          <w:sz w:val="21"/>
          <w:szCs w:val="21"/>
        </w:rPr>
        <w:t xml:space="preserve">The following </w:t>
      </w:r>
      <w:r w:rsidR="00E6722B">
        <w:rPr>
          <w:sz w:val="21"/>
          <w:szCs w:val="21"/>
        </w:rPr>
        <w:t>are</w:t>
      </w:r>
      <w:r w:rsidR="00AA2E0B">
        <w:rPr>
          <w:sz w:val="21"/>
          <w:szCs w:val="21"/>
        </w:rPr>
        <w:t xml:space="preserve"> envisaged</w:t>
      </w:r>
      <w:r w:rsidR="001B74DC">
        <w:rPr>
          <w:sz w:val="21"/>
          <w:szCs w:val="21"/>
        </w:rPr>
        <w:t xml:space="preserve"> with respect to each target landscape</w:t>
      </w:r>
      <w:r w:rsidR="00AA2E0B">
        <w:rPr>
          <w:sz w:val="21"/>
          <w:szCs w:val="21"/>
        </w:rPr>
        <w:t>:</w:t>
      </w:r>
    </w:p>
    <w:p w14:paraId="6961859F" w14:textId="376DDFA1" w:rsidR="002C24FC" w:rsidRDefault="00937C86" w:rsidP="001667C6">
      <w:pPr>
        <w:pStyle w:val="AAActivities"/>
        <w:numPr>
          <w:ilvl w:val="1"/>
          <w:numId w:val="56"/>
        </w:numPr>
        <w:spacing w:after="80"/>
        <w:ind w:left="993" w:hanging="284"/>
        <w:contextualSpacing w:val="0"/>
        <w:rPr>
          <w:sz w:val="21"/>
          <w:szCs w:val="21"/>
        </w:rPr>
      </w:pPr>
      <w:r>
        <w:rPr>
          <w:sz w:val="21"/>
          <w:szCs w:val="21"/>
        </w:rPr>
        <w:t>Establish the ILUP Task Force and i</w:t>
      </w:r>
      <w:r w:rsidR="00DF230A">
        <w:rPr>
          <w:sz w:val="21"/>
          <w:szCs w:val="21"/>
        </w:rPr>
        <w:t>nitiate the ILUP process</w:t>
      </w:r>
      <w:r w:rsidR="00AA2E0B">
        <w:rPr>
          <w:sz w:val="21"/>
          <w:szCs w:val="21"/>
        </w:rPr>
        <w:t xml:space="preserve">, </w:t>
      </w:r>
      <w:r w:rsidR="007D58E6">
        <w:rPr>
          <w:sz w:val="21"/>
          <w:szCs w:val="21"/>
        </w:rPr>
        <w:t xml:space="preserve">focusing initially on establishing the consultation structures and mechanisms </w:t>
      </w:r>
      <w:r w:rsidR="00DF230A">
        <w:rPr>
          <w:sz w:val="21"/>
          <w:szCs w:val="21"/>
        </w:rPr>
        <w:t>elaborated</w:t>
      </w:r>
      <w:r w:rsidR="007D58E6">
        <w:rPr>
          <w:sz w:val="21"/>
          <w:szCs w:val="21"/>
        </w:rPr>
        <w:t xml:space="preserve"> in the </w:t>
      </w:r>
      <w:r w:rsidR="00DF230A">
        <w:rPr>
          <w:sz w:val="21"/>
          <w:szCs w:val="21"/>
        </w:rPr>
        <w:t xml:space="preserve">respective </w:t>
      </w:r>
      <w:r w:rsidR="007D58E6">
        <w:rPr>
          <w:sz w:val="21"/>
          <w:szCs w:val="21"/>
        </w:rPr>
        <w:t xml:space="preserve">Stakeholder Engagement Plan </w:t>
      </w:r>
      <w:r w:rsidR="00DF230A">
        <w:rPr>
          <w:sz w:val="21"/>
          <w:szCs w:val="21"/>
        </w:rPr>
        <w:t>for</w:t>
      </w:r>
      <w:r w:rsidR="007D58E6">
        <w:rPr>
          <w:sz w:val="21"/>
          <w:szCs w:val="21"/>
        </w:rPr>
        <w:t xml:space="preserve"> the relevant levels of governance</w:t>
      </w:r>
      <w:r w:rsidR="00B8554C">
        <w:rPr>
          <w:sz w:val="21"/>
          <w:szCs w:val="21"/>
        </w:rPr>
        <w:t xml:space="preserve"> necessarily involved in land tenure and land-use planning</w:t>
      </w:r>
      <w:r w:rsidR="007D58E6">
        <w:rPr>
          <w:sz w:val="21"/>
          <w:szCs w:val="21"/>
        </w:rPr>
        <w:t>, from national to local</w:t>
      </w:r>
      <w:r w:rsidR="00B8554C">
        <w:rPr>
          <w:sz w:val="21"/>
          <w:szCs w:val="21"/>
        </w:rPr>
        <w:t xml:space="preserve"> authorities</w:t>
      </w:r>
      <w:r w:rsidR="002C24FC">
        <w:rPr>
          <w:sz w:val="21"/>
          <w:szCs w:val="21"/>
        </w:rPr>
        <w:t>.</w:t>
      </w:r>
    </w:p>
    <w:p w14:paraId="47793A0B" w14:textId="38908314" w:rsidR="002C24FC" w:rsidRDefault="002C24FC" w:rsidP="001667C6">
      <w:pPr>
        <w:pStyle w:val="AAActivities"/>
        <w:numPr>
          <w:ilvl w:val="1"/>
          <w:numId w:val="56"/>
        </w:numPr>
        <w:spacing w:after="80"/>
        <w:ind w:left="993" w:hanging="284"/>
        <w:contextualSpacing w:val="0"/>
        <w:rPr>
          <w:sz w:val="21"/>
          <w:szCs w:val="21"/>
        </w:rPr>
      </w:pPr>
      <w:r>
        <w:rPr>
          <w:sz w:val="21"/>
          <w:szCs w:val="21"/>
        </w:rPr>
        <w:t xml:space="preserve">Inclusion of ILUP and the Stakeholder Engagement Plan in the Communicationss Strategy </w:t>
      </w:r>
      <w:r w:rsidR="001B74DC">
        <w:rPr>
          <w:sz w:val="21"/>
          <w:szCs w:val="21"/>
        </w:rPr>
        <w:t xml:space="preserve">(Component 3) </w:t>
      </w:r>
      <w:r>
        <w:rPr>
          <w:sz w:val="21"/>
          <w:szCs w:val="21"/>
        </w:rPr>
        <w:t>for awareness raising and dissemination, respectively.</w:t>
      </w:r>
    </w:p>
    <w:p w14:paraId="30C6377F" w14:textId="3C94F144" w:rsidR="0096606B" w:rsidRPr="008943E1" w:rsidRDefault="0097654F" w:rsidP="001667C6">
      <w:pPr>
        <w:pStyle w:val="AAActivities"/>
        <w:numPr>
          <w:ilvl w:val="1"/>
          <w:numId w:val="56"/>
        </w:numPr>
        <w:spacing w:after="80"/>
        <w:ind w:left="993" w:hanging="284"/>
        <w:contextualSpacing w:val="0"/>
        <w:rPr>
          <w:b/>
          <w:bCs/>
          <w:sz w:val="21"/>
          <w:szCs w:val="21"/>
        </w:rPr>
      </w:pPr>
      <w:r>
        <w:rPr>
          <w:sz w:val="21"/>
          <w:szCs w:val="21"/>
        </w:rPr>
        <w:t xml:space="preserve">Pilot ILUP in a single LMU </w:t>
      </w:r>
      <w:r w:rsidR="001B74DC">
        <w:rPr>
          <w:sz w:val="21"/>
          <w:szCs w:val="21"/>
        </w:rPr>
        <w:t>in</w:t>
      </w:r>
      <w:r>
        <w:rPr>
          <w:sz w:val="21"/>
          <w:szCs w:val="21"/>
        </w:rPr>
        <w:t xml:space="preserve"> each target landscape</w:t>
      </w:r>
      <w:r w:rsidR="005453A9">
        <w:rPr>
          <w:sz w:val="21"/>
          <w:szCs w:val="21"/>
        </w:rPr>
        <w:t>: scoping the intervention(s) with the land owner(s)/manager(s), identifying the resources needed to achieve LDN, reviewing the costs and benefits, identifying indicators and agreeing monitoring protocols</w:t>
      </w:r>
      <w:r w:rsidR="0096606B">
        <w:rPr>
          <w:sz w:val="21"/>
          <w:szCs w:val="21"/>
        </w:rPr>
        <w:t>. Lessons learned can be incorporated in subsequent ILUP processes.</w:t>
      </w:r>
    </w:p>
    <w:p w14:paraId="118BFC88" w14:textId="4C7D127C" w:rsidR="00B45F28" w:rsidRPr="00053DCB" w:rsidRDefault="008F0C59" w:rsidP="001667C6">
      <w:pPr>
        <w:pStyle w:val="AAActivities"/>
        <w:numPr>
          <w:ilvl w:val="0"/>
          <w:numId w:val="57"/>
        </w:numPr>
        <w:spacing w:after="80"/>
        <w:contextualSpacing w:val="0"/>
        <w:rPr>
          <w:b/>
          <w:bCs/>
          <w:sz w:val="21"/>
          <w:szCs w:val="21"/>
        </w:rPr>
      </w:pPr>
      <w:r w:rsidRPr="008943E1">
        <w:rPr>
          <w:b/>
          <w:bCs/>
          <w:sz w:val="21"/>
          <w:szCs w:val="21"/>
        </w:rPr>
        <w:t>Draft</w:t>
      </w:r>
      <w:r w:rsidR="0096606B" w:rsidRPr="008943E1">
        <w:rPr>
          <w:b/>
          <w:bCs/>
          <w:sz w:val="21"/>
          <w:szCs w:val="21"/>
        </w:rPr>
        <w:t xml:space="preserve"> </w:t>
      </w:r>
      <w:r w:rsidR="008943E1" w:rsidRPr="008943E1">
        <w:rPr>
          <w:b/>
          <w:bCs/>
          <w:sz w:val="21"/>
          <w:szCs w:val="21"/>
        </w:rPr>
        <w:t xml:space="preserve">and finalize </w:t>
      </w:r>
      <w:r w:rsidR="0096606B" w:rsidRPr="008943E1">
        <w:rPr>
          <w:b/>
          <w:bCs/>
          <w:sz w:val="21"/>
          <w:szCs w:val="21"/>
        </w:rPr>
        <w:t>the Integrated Land</w:t>
      </w:r>
      <w:r w:rsidR="00D91974">
        <w:rPr>
          <w:b/>
          <w:bCs/>
          <w:sz w:val="21"/>
          <w:szCs w:val="21"/>
        </w:rPr>
        <w:t>-</w:t>
      </w:r>
      <w:r w:rsidR="0096606B" w:rsidRPr="008943E1">
        <w:rPr>
          <w:b/>
          <w:bCs/>
          <w:sz w:val="21"/>
          <w:szCs w:val="21"/>
        </w:rPr>
        <w:t>Use Plan for each target landscape</w:t>
      </w:r>
      <w:r w:rsidRPr="008943E1">
        <w:rPr>
          <w:b/>
          <w:bCs/>
          <w:sz w:val="21"/>
          <w:szCs w:val="21"/>
        </w:rPr>
        <w:t xml:space="preserve"> within a </w:t>
      </w:r>
      <w:r w:rsidR="008943E1" w:rsidRPr="008943E1">
        <w:rPr>
          <w:b/>
          <w:bCs/>
          <w:sz w:val="21"/>
          <w:szCs w:val="21"/>
        </w:rPr>
        <w:t>12</w:t>
      </w:r>
      <w:r w:rsidRPr="008943E1">
        <w:rPr>
          <w:b/>
          <w:bCs/>
          <w:sz w:val="21"/>
          <w:szCs w:val="21"/>
        </w:rPr>
        <w:t>-month period</w:t>
      </w:r>
      <w:r w:rsidR="0096606B" w:rsidRPr="008943E1">
        <w:rPr>
          <w:sz w:val="21"/>
          <w:szCs w:val="21"/>
        </w:rPr>
        <w:t>, including monitoring protocols and GIS maps of baseline and end of project targets for LDN</w:t>
      </w:r>
      <w:r w:rsidR="008943E1" w:rsidRPr="008943E1">
        <w:rPr>
          <w:sz w:val="21"/>
          <w:szCs w:val="21"/>
        </w:rPr>
        <w:t xml:space="preserve">, </w:t>
      </w:r>
      <w:r w:rsidRPr="008943E1">
        <w:rPr>
          <w:sz w:val="21"/>
          <w:szCs w:val="21"/>
        </w:rPr>
        <w:t>and ensure it is subjected to the consultation protocols specified in the Stakeholder Engagement Plan</w:t>
      </w:r>
      <w:r w:rsidR="0096606B" w:rsidRPr="008943E1">
        <w:rPr>
          <w:sz w:val="21"/>
          <w:szCs w:val="21"/>
        </w:rPr>
        <w:t xml:space="preserve">. </w:t>
      </w:r>
      <w:r w:rsidR="008943E1" w:rsidRPr="008943E1">
        <w:rPr>
          <w:sz w:val="21"/>
          <w:szCs w:val="21"/>
        </w:rPr>
        <w:t>The final version should be signed off/endorsed by the key stakeholders, as appropriate</w:t>
      </w:r>
      <w:r w:rsidR="00B45185">
        <w:rPr>
          <w:sz w:val="21"/>
          <w:szCs w:val="21"/>
        </w:rPr>
        <w:t xml:space="preserve"> and in accordance with municipality protocols</w:t>
      </w:r>
      <w:r w:rsidR="008943E1" w:rsidRPr="008943E1">
        <w:rPr>
          <w:sz w:val="21"/>
          <w:szCs w:val="21"/>
        </w:rPr>
        <w:t>.</w:t>
      </w:r>
      <w:r w:rsidR="173CAFB5" w:rsidRPr="5DDE12F0">
        <w:rPr>
          <w:sz w:val="21"/>
          <w:szCs w:val="21"/>
        </w:rPr>
        <w:t xml:space="preserve"> </w:t>
      </w:r>
      <w:r w:rsidR="0B434224" w:rsidRPr="5DDE12F0">
        <w:rPr>
          <w:sz w:val="21"/>
          <w:szCs w:val="21"/>
        </w:rPr>
        <w:t>L</w:t>
      </w:r>
      <w:r w:rsidR="173CAFB5" w:rsidRPr="5DDE12F0">
        <w:rPr>
          <w:sz w:val="21"/>
          <w:szCs w:val="21"/>
        </w:rPr>
        <w:t>and tenure issues will be adressed in the LMU</w:t>
      </w:r>
      <w:r w:rsidR="7ECEE64D" w:rsidRPr="5DDE12F0">
        <w:rPr>
          <w:sz w:val="21"/>
          <w:szCs w:val="21"/>
        </w:rPr>
        <w:t>s</w:t>
      </w:r>
      <w:r w:rsidR="173CAFB5" w:rsidRPr="5DDE12F0">
        <w:rPr>
          <w:sz w:val="21"/>
          <w:szCs w:val="21"/>
        </w:rPr>
        <w:t xml:space="preserve"> and/or ILUMPs when</w:t>
      </w:r>
      <w:r w:rsidR="1D2EC86F" w:rsidRPr="5DDE12F0">
        <w:rPr>
          <w:sz w:val="21"/>
          <w:szCs w:val="21"/>
        </w:rPr>
        <w:t xml:space="preserve"> relevant for stackholders</w:t>
      </w:r>
      <w:r w:rsidR="00ED623F">
        <w:rPr>
          <w:sz w:val="21"/>
          <w:szCs w:val="21"/>
        </w:rPr>
        <w:t>,</w:t>
      </w:r>
      <w:r w:rsidR="7B7D66F0" w:rsidRPr="5DDE12F0">
        <w:rPr>
          <w:sz w:val="21"/>
          <w:szCs w:val="21"/>
        </w:rPr>
        <w:t xml:space="preserve"> as decided in the participatory processes</w:t>
      </w:r>
      <w:r w:rsidR="00ED623F">
        <w:rPr>
          <w:sz w:val="21"/>
          <w:szCs w:val="21"/>
        </w:rPr>
        <w:t>.</w:t>
      </w:r>
    </w:p>
    <w:p w14:paraId="0533DD3D" w14:textId="6F1D6376" w:rsidR="004E2FF4" w:rsidRPr="00194716" w:rsidRDefault="004E2FF4" w:rsidP="004E2FF4">
      <w:pPr>
        <w:pStyle w:val="Heading6"/>
        <w:spacing w:before="160" w:after="160"/>
        <w:ind w:hanging="11"/>
        <w:rPr>
          <w:rFonts w:ascii="Calibri" w:hAnsi="Calibri" w:cs="Calibri"/>
          <w:sz w:val="21"/>
          <w:szCs w:val="21"/>
        </w:rPr>
      </w:pPr>
      <w:r w:rsidRPr="00A04822">
        <w:rPr>
          <w:rFonts w:ascii="Calibri" w:hAnsi="Calibri" w:cs="Calibri"/>
          <w:b/>
          <w:sz w:val="21"/>
          <w:szCs w:val="21"/>
        </w:rPr>
        <w:t>Output 2.1.3</w:t>
      </w:r>
      <w:r w:rsidRPr="00A04822">
        <w:rPr>
          <w:rFonts w:ascii="Calibri" w:hAnsi="Calibri" w:cs="Calibri"/>
          <w:b/>
          <w:sz w:val="21"/>
          <w:szCs w:val="21"/>
        </w:rPr>
        <w:tab/>
      </w:r>
      <w:r w:rsidRPr="00A04822">
        <w:rPr>
          <w:rFonts w:ascii="Calibri" w:hAnsi="Calibri" w:cs="Calibri"/>
          <w:sz w:val="21"/>
          <w:szCs w:val="21"/>
        </w:rPr>
        <w:t>Integrated Land-Use Plans under implementation in target landscapes</w:t>
      </w:r>
    </w:p>
    <w:p w14:paraId="7298021E" w14:textId="1E827314" w:rsidR="004E2FF4" w:rsidRPr="008E1510" w:rsidRDefault="004E2FF4" w:rsidP="001667C6">
      <w:pPr>
        <w:pStyle w:val="ParagraphOED"/>
        <w:numPr>
          <w:ilvl w:val="0"/>
          <w:numId w:val="102"/>
        </w:numPr>
        <w:spacing w:after="160"/>
      </w:pPr>
      <w:r>
        <w:t xml:space="preserve">SLM and SFM interventions are </w:t>
      </w:r>
      <w:r w:rsidR="00E7260F">
        <w:t>designed</w:t>
      </w:r>
      <w:r>
        <w:t xml:space="preserve"> towards reducing pressure</w:t>
      </w:r>
      <w:r w:rsidR="00D806C8">
        <w:t>s</w:t>
      </w:r>
      <w:r>
        <w:t xml:space="preserve"> on existing Miombo-Mopane woodlands</w:t>
      </w:r>
      <w:r w:rsidR="00D806C8">
        <w:t xml:space="preserve"> </w:t>
      </w:r>
      <w:r w:rsidR="0028778E">
        <w:t xml:space="preserve">covering </w:t>
      </w:r>
      <w:r w:rsidR="002623D5">
        <w:t xml:space="preserve">two landscapes of </w:t>
      </w:r>
      <w:r w:rsidR="0028778E">
        <w:t xml:space="preserve">1.3 million hectares in southern Angola </w:t>
      </w:r>
      <w:r w:rsidR="00D806C8">
        <w:t>by the following means</w:t>
      </w:r>
      <w:r>
        <w:t>:</w:t>
      </w:r>
    </w:p>
    <w:p w14:paraId="4C962C96" w14:textId="77777777" w:rsidR="004E2FF4" w:rsidRPr="004B0FFB" w:rsidRDefault="004E2FF4" w:rsidP="001667C6">
      <w:pPr>
        <w:pStyle w:val="ListParagraph"/>
        <w:numPr>
          <w:ilvl w:val="0"/>
          <w:numId w:val="30"/>
        </w:numPr>
        <w:rPr>
          <w:rFonts w:asciiTheme="minorHAnsi" w:hAnsiTheme="minorHAnsi" w:cstheme="minorHAnsi"/>
          <w:color w:val="auto"/>
          <w:sz w:val="21"/>
          <w:szCs w:val="21"/>
        </w:rPr>
      </w:pPr>
      <w:r w:rsidRPr="004B0FFB">
        <w:rPr>
          <w:rFonts w:asciiTheme="minorHAnsi" w:hAnsiTheme="minorHAnsi" w:cstheme="minorHAnsi"/>
          <w:b/>
          <w:bCs/>
          <w:color w:val="auto"/>
          <w:sz w:val="21"/>
          <w:szCs w:val="21"/>
        </w:rPr>
        <w:t>avoiding the conversion of standing forests through protective measures</w:t>
      </w:r>
      <w:r w:rsidRPr="004B0FFB">
        <w:rPr>
          <w:rFonts w:asciiTheme="minorHAnsi" w:hAnsiTheme="minorHAnsi" w:cstheme="minorHAnsi"/>
          <w:color w:val="auto"/>
          <w:sz w:val="21"/>
          <w:szCs w:val="21"/>
        </w:rPr>
        <w:t>, in particular where forests are at risk of being cleared, burned or used unsustainably to exhaustion;</w:t>
      </w:r>
    </w:p>
    <w:p w14:paraId="383961B7" w14:textId="57E56EDA" w:rsidR="004E2FF4" w:rsidRPr="00B81D0B" w:rsidRDefault="004E2FF4" w:rsidP="001667C6">
      <w:pPr>
        <w:pStyle w:val="ListParagraph"/>
        <w:numPr>
          <w:ilvl w:val="0"/>
          <w:numId w:val="30"/>
        </w:numPr>
        <w:rPr>
          <w:rFonts w:asciiTheme="minorHAnsi" w:hAnsiTheme="minorHAnsi" w:cstheme="minorHAnsi"/>
          <w:color w:val="auto"/>
          <w:sz w:val="21"/>
          <w:szCs w:val="21"/>
        </w:rPr>
      </w:pPr>
      <w:r w:rsidRPr="004B0FFB">
        <w:rPr>
          <w:rFonts w:asciiTheme="minorHAnsi" w:hAnsiTheme="minorHAnsi" w:cstheme="minorHAnsi"/>
          <w:b/>
          <w:bCs/>
          <w:color w:val="auto"/>
          <w:sz w:val="21"/>
          <w:szCs w:val="21"/>
        </w:rPr>
        <w:t xml:space="preserve">strengthening and adding value to the yields of </w:t>
      </w:r>
      <w:r w:rsidRPr="00B81D0B">
        <w:rPr>
          <w:rFonts w:asciiTheme="minorHAnsi" w:hAnsiTheme="minorHAnsi" w:cstheme="minorHAnsi"/>
          <w:b/>
          <w:bCs/>
          <w:color w:val="auto"/>
          <w:sz w:val="21"/>
          <w:szCs w:val="21"/>
        </w:rPr>
        <w:t>production forests</w:t>
      </w:r>
      <w:r w:rsidRPr="00B81D0B">
        <w:rPr>
          <w:rFonts w:asciiTheme="minorHAnsi" w:hAnsiTheme="minorHAnsi" w:cstheme="minorHAnsi"/>
          <w:color w:val="auto"/>
          <w:sz w:val="21"/>
          <w:szCs w:val="21"/>
        </w:rPr>
        <w:t xml:space="preserve">, mostly through planned and monitored forest management </w:t>
      </w:r>
      <w:r w:rsidR="00D806C8" w:rsidRPr="00B81D0B">
        <w:rPr>
          <w:rFonts w:asciiTheme="minorHAnsi" w:hAnsiTheme="minorHAnsi" w:cstheme="minorHAnsi"/>
          <w:color w:val="auto"/>
          <w:sz w:val="21"/>
          <w:szCs w:val="21"/>
        </w:rPr>
        <w:t>with</w:t>
      </w:r>
      <w:r w:rsidRPr="00B81D0B">
        <w:rPr>
          <w:rFonts w:asciiTheme="minorHAnsi" w:hAnsiTheme="minorHAnsi" w:cstheme="minorHAnsi"/>
          <w:color w:val="auto"/>
          <w:sz w:val="21"/>
          <w:szCs w:val="21"/>
        </w:rPr>
        <w:t xml:space="preserve"> sustainable offtake</w:t>
      </w:r>
      <w:r w:rsidR="00D806C8" w:rsidRPr="00B81D0B">
        <w:rPr>
          <w:rFonts w:asciiTheme="minorHAnsi" w:hAnsiTheme="minorHAnsi" w:cstheme="minorHAnsi"/>
          <w:color w:val="auto"/>
          <w:sz w:val="21"/>
          <w:szCs w:val="21"/>
        </w:rPr>
        <w:t>s;</w:t>
      </w:r>
      <w:r w:rsidRPr="00B81D0B">
        <w:rPr>
          <w:rFonts w:asciiTheme="minorHAnsi" w:hAnsiTheme="minorHAnsi" w:cstheme="minorHAnsi"/>
          <w:color w:val="auto"/>
          <w:sz w:val="21"/>
          <w:szCs w:val="21"/>
        </w:rPr>
        <w:t xml:space="preserve"> </w:t>
      </w:r>
    </w:p>
    <w:p w14:paraId="0C66808D" w14:textId="17DA8B85" w:rsidR="004E2FF4" w:rsidRPr="00B81D0B" w:rsidRDefault="004E2FF4" w:rsidP="001667C6">
      <w:pPr>
        <w:pStyle w:val="ListParagraph"/>
        <w:numPr>
          <w:ilvl w:val="0"/>
          <w:numId w:val="30"/>
        </w:numPr>
        <w:rPr>
          <w:rFonts w:asciiTheme="minorHAnsi" w:hAnsiTheme="minorHAnsi" w:cstheme="minorHAnsi"/>
          <w:color w:val="auto"/>
          <w:sz w:val="21"/>
          <w:szCs w:val="21"/>
        </w:rPr>
      </w:pPr>
      <w:r w:rsidRPr="00B81D0B">
        <w:rPr>
          <w:rFonts w:asciiTheme="minorHAnsi" w:hAnsiTheme="minorHAnsi" w:cstheme="minorHAnsi"/>
          <w:b/>
          <w:bCs/>
          <w:color w:val="auto"/>
          <w:sz w:val="21"/>
          <w:szCs w:val="21"/>
        </w:rPr>
        <w:t>restoring forests/woodlands</w:t>
      </w:r>
      <w:r w:rsidRPr="00B81D0B">
        <w:rPr>
          <w:rFonts w:asciiTheme="minorHAnsi" w:hAnsiTheme="minorHAnsi" w:cstheme="minorHAnsi"/>
          <w:color w:val="auto"/>
          <w:sz w:val="21"/>
          <w:szCs w:val="21"/>
        </w:rPr>
        <w:t xml:space="preserve"> through a ‘low-hanging-fruit approach’</w:t>
      </w:r>
      <w:r w:rsidR="00A65C2B" w:rsidRPr="00B81D0B">
        <w:rPr>
          <w:rFonts w:asciiTheme="minorHAnsi" w:hAnsiTheme="minorHAnsi" w:cstheme="minorHAnsi"/>
          <w:color w:val="auto"/>
          <w:sz w:val="21"/>
          <w:szCs w:val="21"/>
        </w:rPr>
        <w:t>, as in the case of abandoned or degraded lands of little direct value to the land owners/tenants; and</w:t>
      </w:r>
    </w:p>
    <w:p w14:paraId="535E573F" w14:textId="5D53BA62" w:rsidR="004E2FF4" w:rsidRPr="00B81D0B" w:rsidRDefault="00A65C2B" w:rsidP="001667C6">
      <w:pPr>
        <w:pStyle w:val="ListParagraph"/>
        <w:numPr>
          <w:ilvl w:val="0"/>
          <w:numId w:val="30"/>
        </w:numPr>
        <w:spacing w:after="80"/>
        <w:ind w:left="714" w:hanging="357"/>
        <w:contextualSpacing w:val="0"/>
        <w:rPr>
          <w:rFonts w:asciiTheme="minorHAnsi" w:hAnsiTheme="minorHAnsi" w:cstheme="minorHAnsi"/>
          <w:color w:val="auto"/>
          <w:sz w:val="21"/>
          <w:szCs w:val="21"/>
        </w:rPr>
      </w:pPr>
      <w:r w:rsidRPr="00B81D0B">
        <w:rPr>
          <w:rFonts w:asciiTheme="minorHAnsi" w:hAnsiTheme="minorHAnsi" w:cstheme="minorHAnsi"/>
          <w:b/>
          <w:bCs/>
          <w:color w:val="auto"/>
          <w:sz w:val="21"/>
          <w:szCs w:val="21"/>
        </w:rPr>
        <w:t>complement</w:t>
      </w:r>
      <w:r w:rsidR="00B45185" w:rsidRPr="00B81D0B">
        <w:rPr>
          <w:rFonts w:asciiTheme="minorHAnsi" w:hAnsiTheme="minorHAnsi" w:cstheme="minorHAnsi"/>
          <w:b/>
          <w:bCs/>
          <w:color w:val="auto"/>
          <w:sz w:val="21"/>
          <w:szCs w:val="21"/>
        </w:rPr>
        <w:t>ary</w:t>
      </w:r>
      <w:r w:rsidRPr="00B81D0B">
        <w:rPr>
          <w:rFonts w:asciiTheme="minorHAnsi" w:hAnsiTheme="minorHAnsi" w:cstheme="minorHAnsi"/>
          <w:b/>
          <w:bCs/>
          <w:color w:val="auto"/>
          <w:sz w:val="21"/>
          <w:szCs w:val="21"/>
        </w:rPr>
        <w:t xml:space="preserve"> measures to </w:t>
      </w:r>
      <w:r w:rsidR="004E2FF4" w:rsidRPr="00B81D0B">
        <w:rPr>
          <w:rFonts w:asciiTheme="minorHAnsi" w:hAnsiTheme="minorHAnsi" w:cstheme="minorHAnsi"/>
          <w:b/>
          <w:bCs/>
          <w:color w:val="auto"/>
          <w:sz w:val="21"/>
          <w:szCs w:val="21"/>
        </w:rPr>
        <w:t>increas</w:t>
      </w:r>
      <w:r w:rsidRPr="00B81D0B">
        <w:rPr>
          <w:rFonts w:asciiTheme="minorHAnsi" w:hAnsiTheme="minorHAnsi" w:cstheme="minorHAnsi"/>
          <w:b/>
          <w:bCs/>
          <w:color w:val="auto"/>
          <w:sz w:val="21"/>
          <w:szCs w:val="21"/>
        </w:rPr>
        <w:t>e</w:t>
      </w:r>
      <w:r w:rsidR="004E2FF4" w:rsidRPr="00B81D0B">
        <w:rPr>
          <w:rFonts w:asciiTheme="minorHAnsi" w:hAnsiTheme="minorHAnsi" w:cstheme="minorHAnsi"/>
          <w:b/>
          <w:bCs/>
          <w:color w:val="auto"/>
          <w:sz w:val="21"/>
          <w:szCs w:val="21"/>
        </w:rPr>
        <w:t xml:space="preserve"> the productivity, resilience and sustainability</w:t>
      </w:r>
      <w:r w:rsidR="004E2FF4" w:rsidRPr="00B81D0B">
        <w:rPr>
          <w:rFonts w:asciiTheme="minorHAnsi" w:hAnsiTheme="minorHAnsi" w:cstheme="minorHAnsi"/>
          <w:color w:val="auto"/>
          <w:sz w:val="21"/>
          <w:szCs w:val="21"/>
        </w:rPr>
        <w:t xml:space="preserve"> of cropland</w:t>
      </w:r>
      <w:r w:rsidR="00E917DB" w:rsidRPr="00B81D0B">
        <w:rPr>
          <w:rFonts w:asciiTheme="minorHAnsi" w:hAnsiTheme="minorHAnsi" w:cstheme="minorHAnsi"/>
          <w:color w:val="auto"/>
          <w:sz w:val="21"/>
          <w:szCs w:val="21"/>
        </w:rPr>
        <w:t>s</w:t>
      </w:r>
      <w:r w:rsidR="004E2FF4" w:rsidRPr="00B81D0B">
        <w:rPr>
          <w:rFonts w:asciiTheme="minorHAnsi" w:hAnsiTheme="minorHAnsi" w:cstheme="minorHAnsi"/>
          <w:color w:val="auto"/>
          <w:sz w:val="21"/>
          <w:szCs w:val="21"/>
        </w:rPr>
        <w:t xml:space="preserve"> and rangelands</w:t>
      </w:r>
      <w:r w:rsidR="00E917DB" w:rsidRPr="00B81D0B">
        <w:rPr>
          <w:rFonts w:asciiTheme="minorHAnsi" w:hAnsiTheme="minorHAnsi" w:cstheme="minorHAnsi"/>
          <w:color w:val="auto"/>
          <w:sz w:val="21"/>
          <w:szCs w:val="21"/>
        </w:rPr>
        <w:t xml:space="preserve"> with</w:t>
      </w:r>
      <w:r w:rsidR="004E2FF4" w:rsidRPr="00B81D0B">
        <w:rPr>
          <w:rFonts w:asciiTheme="minorHAnsi" w:hAnsiTheme="minorHAnsi" w:cstheme="minorHAnsi"/>
          <w:color w:val="auto"/>
          <w:sz w:val="21"/>
          <w:szCs w:val="21"/>
        </w:rPr>
        <w:t xml:space="preserve"> targeted sustainable forest management interventions </w:t>
      </w:r>
      <w:r w:rsidR="00E917DB" w:rsidRPr="00B81D0B">
        <w:rPr>
          <w:rFonts w:asciiTheme="minorHAnsi" w:hAnsiTheme="minorHAnsi" w:cstheme="minorHAnsi"/>
          <w:color w:val="auto"/>
          <w:sz w:val="21"/>
          <w:szCs w:val="21"/>
        </w:rPr>
        <w:t xml:space="preserve">to buffer and </w:t>
      </w:r>
      <w:r w:rsidR="004E2FF4" w:rsidRPr="00B81D0B">
        <w:rPr>
          <w:rFonts w:asciiTheme="minorHAnsi" w:hAnsiTheme="minorHAnsi" w:cstheme="minorHAnsi"/>
          <w:color w:val="auto"/>
          <w:sz w:val="21"/>
          <w:szCs w:val="21"/>
        </w:rPr>
        <w:t>reduc</w:t>
      </w:r>
      <w:r w:rsidR="00E917DB" w:rsidRPr="00B81D0B">
        <w:rPr>
          <w:rFonts w:asciiTheme="minorHAnsi" w:hAnsiTheme="minorHAnsi" w:cstheme="minorHAnsi"/>
          <w:color w:val="auto"/>
          <w:sz w:val="21"/>
          <w:szCs w:val="21"/>
        </w:rPr>
        <w:t>e</w:t>
      </w:r>
      <w:r w:rsidR="004E2FF4" w:rsidRPr="00B81D0B">
        <w:rPr>
          <w:rFonts w:asciiTheme="minorHAnsi" w:hAnsiTheme="minorHAnsi" w:cstheme="minorHAnsi"/>
          <w:color w:val="auto"/>
          <w:sz w:val="21"/>
          <w:szCs w:val="21"/>
        </w:rPr>
        <w:t xml:space="preserve"> the negative impact of producti</w:t>
      </w:r>
      <w:r w:rsidR="00E917DB" w:rsidRPr="00B81D0B">
        <w:rPr>
          <w:rFonts w:asciiTheme="minorHAnsi" w:hAnsiTheme="minorHAnsi" w:cstheme="minorHAnsi"/>
          <w:color w:val="auto"/>
          <w:sz w:val="21"/>
          <w:szCs w:val="21"/>
        </w:rPr>
        <w:t>on</w:t>
      </w:r>
      <w:r w:rsidR="004E2FF4" w:rsidRPr="00B81D0B">
        <w:rPr>
          <w:rFonts w:asciiTheme="minorHAnsi" w:hAnsiTheme="minorHAnsi" w:cstheme="minorHAnsi"/>
          <w:color w:val="auto"/>
          <w:sz w:val="21"/>
          <w:szCs w:val="21"/>
        </w:rPr>
        <w:t xml:space="preserve"> activities</w:t>
      </w:r>
      <w:r w:rsidR="00E917DB" w:rsidRPr="00B81D0B">
        <w:rPr>
          <w:rFonts w:asciiTheme="minorHAnsi" w:hAnsiTheme="minorHAnsi" w:cstheme="minorHAnsi"/>
          <w:color w:val="auto"/>
          <w:sz w:val="21"/>
          <w:szCs w:val="21"/>
        </w:rPr>
        <w:t xml:space="preserve">. Examples </w:t>
      </w:r>
      <w:r w:rsidR="00E939A7" w:rsidRPr="00B81D0B">
        <w:rPr>
          <w:rFonts w:asciiTheme="minorHAnsi" w:hAnsiTheme="minorHAnsi" w:cstheme="minorHAnsi"/>
          <w:color w:val="auto"/>
          <w:sz w:val="21"/>
          <w:szCs w:val="21"/>
        </w:rPr>
        <w:t>i</w:t>
      </w:r>
      <w:r w:rsidR="00E917DB" w:rsidRPr="00B81D0B">
        <w:rPr>
          <w:rFonts w:asciiTheme="minorHAnsi" w:hAnsiTheme="minorHAnsi" w:cstheme="minorHAnsi"/>
          <w:color w:val="auto"/>
          <w:sz w:val="21"/>
          <w:szCs w:val="21"/>
        </w:rPr>
        <w:t>nclude the use of trees and woodlands as wind breaks from soil erosion and dessication, shade  from the sun, sources of pollinators for crops and stabilization of water courses and irrigation channels.</w:t>
      </w:r>
    </w:p>
    <w:p w14:paraId="369CBC7B" w14:textId="1D5FC840" w:rsidR="002623D5" w:rsidRPr="00B81D0B" w:rsidRDefault="002623D5" w:rsidP="00EC3770">
      <w:pPr>
        <w:pStyle w:val="ParagraphOED"/>
        <w:numPr>
          <w:ilvl w:val="0"/>
          <w:numId w:val="0"/>
        </w:numPr>
        <w:spacing w:after="160"/>
      </w:pPr>
      <w:r w:rsidRPr="00BC076D">
        <w:rPr>
          <w:highlight w:val="yellow"/>
        </w:rPr>
        <w:t>These interventions (Table 6)</w:t>
      </w:r>
      <w:r w:rsidR="00EC3770" w:rsidRPr="00BC076D">
        <w:rPr>
          <w:highlight w:val="yellow"/>
        </w:rPr>
        <w:t xml:space="preserve">, </w:t>
      </w:r>
      <w:r w:rsidRPr="00BC076D">
        <w:rPr>
          <w:highlight w:val="yellow"/>
        </w:rPr>
        <w:t>will be</w:t>
      </w:r>
      <w:r w:rsidR="006306BA" w:rsidRPr="00BC076D" w:rsidDel="00525ED4">
        <w:rPr>
          <w:highlight w:val="yellow"/>
        </w:rPr>
        <w:t xml:space="preserve"> </w:t>
      </w:r>
      <w:r w:rsidR="00556D88" w:rsidRPr="00BC076D">
        <w:rPr>
          <w:highlight w:val="yellow"/>
        </w:rPr>
        <w:t xml:space="preserve">mainly </w:t>
      </w:r>
      <w:r w:rsidR="00525ED4" w:rsidRPr="00BC076D">
        <w:rPr>
          <w:highlight w:val="yellow"/>
        </w:rPr>
        <w:t xml:space="preserve">carried out </w:t>
      </w:r>
      <w:r w:rsidR="00063C71" w:rsidRPr="00BC076D">
        <w:rPr>
          <w:highlight w:val="yellow"/>
        </w:rPr>
        <w:t xml:space="preserve">through government funding in particular </w:t>
      </w:r>
      <w:r w:rsidR="00613498" w:rsidRPr="00BC076D">
        <w:rPr>
          <w:highlight w:val="yellow"/>
        </w:rPr>
        <w:t xml:space="preserve">via </w:t>
      </w:r>
      <w:r w:rsidR="00063C71" w:rsidRPr="00BC076D">
        <w:rPr>
          <w:highlight w:val="yellow"/>
        </w:rPr>
        <w:t xml:space="preserve">the investments under </w:t>
      </w:r>
      <w:r w:rsidR="3B21FD2A" w:rsidRPr="00BC076D">
        <w:rPr>
          <w:highlight w:val="yellow"/>
        </w:rPr>
        <w:t>PND Program #2.4.1: Climate Change (leaded by MCTA) and PND Program #2.3.2</w:t>
      </w:r>
      <w:r w:rsidR="69A73923" w:rsidRPr="00BC076D">
        <w:rPr>
          <w:highlight w:val="yellow"/>
        </w:rPr>
        <w:t>: Promoting Agricultural Production (leaded by MINAGRIP)</w:t>
      </w:r>
      <w:r w:rsidR="3D28D190" w:rsidRPr="00BC076D">
        <w:rPr>
          <w:highlight w:val="yellow"/>
        </w:rPr>
        <w:t xml:space="preserve"> </w:t>
      </w:r>
      <w:r w:rsidR="00063C71" w:rsidRPr="00BC076D">
        <w:rPr>
          <w:highlight w:val="yellow"/>
        </w:rPr>
        <w:t xml:space="preserve">which will be </w:t>
      </w:r>
      <w:r w:rsidR="0023182B" w:rsidRPr="00BC076D">
        <w:rPr>
          <w:highlight w:val="yellow"/>
        </w:rPr>
        <w:t xml:space="preserve">geared towards </w:t>
      </w:r>
      <w:r w:rsidR="000106E2" w:rsidRPr="00BC076D">
        <w:rPr>
          <w:highlight w:val="yellow"/>
        </w:rPr>
        <w:t xml:space="preserve">the </w:t>
      </w:r>
      <w:r w:rsidR="000106E2" w:rsidRPr="00BC076D">
        <w:rPr>
          <w:highlight w:val="yellow"/>
        </w:rPr>
        <w:lastRenderedPageBreak/>
        <w:t>implementation of the ILUP</w:t>
      </w:r>
      <w:r w:rsidR="00582E0E" w:rsidRPr="00BC076D">
        <w:rPr>
          <w:highlight w:val="yellow"/>
        </w:rPr>
        <w:t>s’ action plan</w:t>
      </w:r>
      <w:r w:rsidR="00D34413" w:rsidRPr="00BC076D">
        <w:rPr>
          <w:highlight w:val="yellow"/>
        </w:rPr>
        <w:t xml:space="preserve"> </w:t>
      </w:r>
      <w:r w:rsidR="0080764C" w:rsidRPr="00BC076D">
        <w:rPr>
          <w:highlight w:val="yellow"/>
        </w:rPr>
        <w:t>)</w:t>
      </w:r>
      <w:r w:rsidR="00063C71" w:rsidRPr="00BC076D">
        <w:rPr>
          <w:highlight w:val="yellow"/>
        </w:rPr>
        <w:t>.</w:t>
      </w:r>
      <w:r w:rsidR="003E7314" w:rsidRPr="00BC076D">
        <w:rPr>
          <w:highlight w:val="yellow"/>
        </w:rPr>
        <w:t xml:space="preserve"> </w:t>
      </w:r>
      <w:r w:rsidR="00891640" w:rsidRPr="00BC076D">
        <w:rPr>
          <w:highlight w:val="yellow"/>
        </w:rPr>
        <w:t>The capacity development programme (Output 2.4.1) will support government actors</w:t>
      </w:r>
      <w:r w:rsidR="008D14F9" w:rsidRPr="00BC076D">
        <w:rPr>
          <w:highlight w:val="yellow"/>
        </w:rPr>
        <w:t xml:space="preserve"> in decision making </w:t>
      </w:r>
      <w:r w:rsidR="004B1B13" w:rsidRPr="00BC076D">
        <w:rPr>
          <w:highlight w:val="yellow"/>
        </w:rPr>
        <w:t>while t</w:t>
      </w:r>
      <w:r w:rsidR="00596938" w:rsidRPr="00BC076D">
        <w:rPr>
          <w:highlight w:val="yellow"/>
        </w:rPr>
        <w:t xml:space="preserve">he SLM and SFM </w:t>
      </w:r>
      <w:r w:rsidR="00B3657E" w:rsidRPr="00BC076D">
        <w:rPr>
          <w:highlight w:val="yellow"/>
        </w:rPr>
        <w:t xml:space="preserve">demonstrations under Outcome 2.2 </w:t>
      </w:r>
      <w:r w:rsidR="004B1374" w:rsidRPr="00BC076D">
        <w:rPr>
          <w:highlight w:val="yellow"/>
        </w:rPr>
        <w:t xml:space="preserve">and Outcome </w:t>
      </w:r>
      <w:r w:rsidR="00FB0226" w:rsidRPr="00BC076D">
        <w:rPr>
          <w:highlight w:val="yellow"/>
        </w:rPr>
        <w:t xml:space="preserve">2.3 </w:t>
      </w:r>
      <w:r w:rsidR="00AF1D3E" w:rsidRPr="00BC076D">
        <w:rPr>
          <w:highlight w:val="yellow"/>
        </w:rPr>
        <w:t xml:space="preserve">will </w:t>
      </w:r>
      <w:r w:rsidR="007A3569" w:rsidRPr="00BC076D">
        <w:rPr>
          <w:highlight w:val="yellow"/>
        </w:rPr>
        <w:t>provide</w:t>
      </w:r>
      <w:r w:rsidR="00F40840" w:rsidRPr="00BC076D">
        <w:rPr>
          <w:highlight w:val="yellow"/>
        </w:rPr>
        <w:t xml:space="preserve"> concrete</w:t>
      </w:r>
      <w:r w:rsidR="007A3569" w:rsidRPr="00BC076D">
        <w:rPr>
          <w:highlight w:val="yellow"/>
        </w:rPr>
        <w:t xml:space="preserve"> </w:t>
      </w:r>
      <w:r w:rsidR="00845C27" w:rsidRPr="00BC076D">
        <w:rPr>
          <w:highlight w:val="yellow"/>
        </w:rPr>
        <w:t xml:space="preserve">examples </w:t>
      </w:r>
      <w:r w:rsidR="00BF2950" w:rsidRPr="00BC076D">
        <w:rPr>
          <w:highlight w:val="yellow"/>
        </w:rPr>
        <w:t>on suitable SLM/SFM interventions</w:t>
      </w:r>
      <w:r w:rsidR="00443177" w:rsidRPr="00BC076D">
        <w:rPr>
          <w:highlight w:val="yellow"/>
        </w:rPr>
        <w:t xml:space="preserve"> and </w:t>
      </w:r>
      <w:r w:rsidR="00472AA6" w:rsidRPr="00BC076D">
        <w:rPr>
          <w:highlight w:val="yellow"/>
        </w:rPr>
        <w:t>implementation structures (e.g. FFS and FFF)</w:t>
      </w:r>
      <w:r w:rsidR="00BF2950" w:rsidRPr="00BC076D">
        <w:rPr>
          <w:highlight w:val="yellow"/>
        </w:rPr>
        <w:t xml:space="preserve"> </w:t>
      </w:r>
      <w:r w:rsidR="00040F12" w:rsidRPr="00BC076D">
        <w:rPr>
          <w:highlight w:val="yellow"/>
        </w:rPr>
        <w:t xml:space="preserve">within </w:t>
      </w:r>
      <w:r w:rsidR="00472AA6" w:rsidRPr="00BC076D">
        <w:rPr>
          <w:highlight w:val="yellow"/>
        </w:rPr>
        <w:t xml:space="preserve">each </w:t>
      </w:r>
      <w:r w:rsidR="00040F12" w:rsidRPr="00BC076D">
        <w:rPr>
          <w:highlight w:val="yellow"/>
        </w:rPr>
        <w:t xml:space="preserve"> </w:t>
      </w:r>
      <w:r w:rsidR="000833B4" w:rsidRPr="00BC076D">
        <w:rPr>
          <w:highlight w:val="yellow"/>
        </w:rPr>
        <w:t>targeted LUS</w:t>
      </w:r>
      <w:r w:rsidR="00FB0226" w:rsidRPr="00BC076D">
        <w:rPr>
          <w:highlight w:val="yellow"/>
        </w:rPr>
        <w:t xml:space="preserve"> </w:t>
      </w:r>
      <w:r w:rsidR="00166CC0" w:rsidRPr="00BC076D">
        <w:rPr>
          <w:highlight w:val="yellow"/>
        </w:rPr>
        <w:t>that can be</w:t>
      </w:r>
      <w:r w:rsidR="00282F05" w:rsidRPr="00BC076D">
        <w:rPr>
          <w:highlight w:val="yellow"/>
        </w:rPr>
        <w:t xml:space="preserve"> outscaled as part of the wider ILUP implementation.</w:t>
      </w:r>
      <w:r w:rsidR="00282F05">
        <w:t xml:space="preserve"> </w:t>
      </w:r>
    </w:p>
    <w:p w14:paraId="6545E44D" w14:textId="24C4F776" w:rsidR="004E2FF4" w:rsidRPr="003B4367" w:rsidRDefault="00E7260F" w:rsidP="001667C6">
      <w:pPr>
        <w:pStyle w:val="ParagraphOED"/>
        <w:numPr>
          <w:ilvl w:val="0"/>
          <w:numId w:val="102"/>
        </w:numPr>
        <w:spacing w:after="160"/>
      </w:pPr>
      <w:bookmarkStart w:id="143" w:name="_Ref50439023"/>
      <w:r w:rsidRPr="00B81D0B">
        <w:t>As previously mentioned</w:t>
      </w:r>
      <w:r w:rsidRPr="00B81D0B">
        <w:rPr>
          <w:vertAlign w:val="superscript"/>
        </w:rPr>
        <w:fldChar w:fldCharType="begin"/>
      </w:r>
      <w:r w:rsidRPr="00B81D0B">
        <w:rPr>
          <w:vertAlign w:val="superscript"/>
        </w:rPr>
        <w:instrText xml:space="preserve"> REF _Ref46014246 \r \h  \* MERGEFORMAT </w:instrText>
      </w:r>
      <w:r w:rsidRPr="00B81D0B">
        <w:rPr>
          <w:vertAlign w:val="superscript"/>
        </w:rPr>
      </w:r>
      <w:r w:rsidRPr="00B81D0B">
        <w:rPr>
          <w:vertAlign w:val="superscript"/>
        </w:rPr>
        <w:fldChar w:fldCharType="separate"/>
      </w:r>
      <w:r w:rsidR="00A64193">
        <w:rPr>
          <w:vertAlign w:val="superscript"/>
        </w:rPr>
        <w:t>199</w:t>
      </w:r>
      <w:r w:rsidRPr="00B81D0B">
        <w:rPr>
          <w:vertAlign w:val="superscript"/>
        </w:rPr>
        <w:fldChar w:fldCharType="end"/>
      </w:r>
      <w:r w:rsidRPr="00B81D0B">
        <w:t xml:space="preserve">, </w:t>
      </w:r>
      <w:r w:rsidR="006E6483" w:rsidRPr="00BC076D">
        <w:rPr>
          <w:highlight w:val="yellow"/>
          <w:lang w:val="en-GB"/>
        </w:rPr>
        <w:t>633,278 ha</w:t>
      </w:r>
      <w:r w:rsidR="006E6483" w:rsidRPr="1E65A5F7">
        <w:rPr>
          <w:lang w:val="en-GB"/>
        </w:rPr>
        <w:t xml:space="preserve"> </w:t>
      </w:r>
      <w:r w:rsidR="00ED2E72" w:rsidRPr="00BC076D">
        <w:rPr>
          <w:highlight w:val="yellow"/>
        </w:rPr>
        <w:t>distributed in</w:t>
      </w:r>
      <w:r w:rsidR="00794808" w:rsidRPr="00B81D0B">
        <w:t xml:space="preserve"> the two target landscapes (1,365,458.</w:t>
      </w:r>
      <w:r w:rsidR="00794808">
        <w:t>87 ha)</w:t>
      </w:r>
      <w:r w:rsidR="00B81425">
        <w:t>,</w:t>
      </w:r>
      <w:r w:rsidR="00794808">
        <w:t xml:space="preserve">will be subject to </w:t>
      </w:r>
      <w:r w:rsidR="004E3735" w:rsidRPr="00BC076D">
        <w:rPr>
          <w:highlight w:val="yellow"/>
        </w:rPr>
        <w:t xml:space="preserve">ILUP development and </w:t>
      </w:r>
      <w:r w:rsidR="003056BC" w:rsidRPr="00BC076D">
        <w:rPr>
          <w:highlight w:val="yellow"/>
        </w:rPr>
        <w:t>corresponding</w:t>
      </w:r>
      <w:r w:rsidR="003056BC">
        <w:t xml:space="preserve"> </w:t>
      </w:r>
      <w:r w:rsidR="00794808">
        <w:t>SLM/SFM interventions</w:t>
      </w:r>
      <w:r w:rsidR="00DA4A60">
        <w:t xml:space="preserve"> that </w:t>
      </w:r>
      <w:r w:rsidR="00DA4A60" w:rsidRPr="00DA4A60">
        <w:t xml:space="preserve">reflect </w:t>
      </w:r>
      <w:r w:rsidR="004E2FF4" w:rsidRPr="00DA4A60">
        <w:t xml:space="preserve">the LDN </w:t>
      </w:r>
      <w:r w:rsidR="00DA4A60" w:rsidRPr="00DA4A60">
        <w:t xml:space="preserve">response </w:t>
      </w:r>
      <w:r w:rsidR="004E2FF4" w:rsidRPr="00DA4A60">
        <w:t xml:space="preserve">hierarchy of </w:t>
      </w:r>
      <w:r w:rsidR="00DA4A60" w:rsidRPr="00DA4A60">
        <w:t>‘</w:t>
      </w:r>
      <w:r w:rsidR="004E2FF4" w:rsidRPr="1E65A5F7">
        <w:rPr>
          <w:i/>
          <w:iCs/>
        </w:rPr>
        <w:t>avoid, reduc</w:t>
      </w:r>
      <w:r w:rsidR="00DA4A60" w:rsidRPr="1E65A5F7">
        <w:rPr>
          <w:i/>
          <w:iCs/>
        </w:rPr>
        <w:t>e</w:t>
      </w:r>
      <w:r w:rsidR="004E2FF4" w:rsidRPr="1E65A5F7">
        <w:rPr>
          <w:i/>
          <w:iCs/>
        </w:rPr>
        <w:t xml:space="preserve"> and revers</w:t>
      </w:r>
      <w:r w:rsidR="00DA4A60" w:rsidRPr="1E65A5F7">
        <w:rPr>
          <w:i/>
          <w:iCs/>
        </w:rPr>
        <w:t>e</w:t>
      </w:r>
      <w:r w:rsidR="00DA4A60" w:rsidRPr="00DA4A60">
        <w:t xml:space="preserve">’ </w:t>
      </w:r>
      <w:r w:rsidR="004E2FF4" w:rsidRPr="00DA4A60">
        <w:t xml:space="preserve">land degradation. </w:t>
      </w:r>
      <w:r w:rsidR="004E2FF4" w:rsidRPr="00165301">
        <w:t>Project targets are summarized in</w:t>
      </w:r>
      <w:r w:rsidR="00155DD5">
        <w:t xml:space="preserve"> </w:t>
      </w:r>
      <w:r w:rsidR="00155DD5" w:rsidRPr="00155DD5">
        <w:rPr>
          <w:highlight w:val="lightGray"/>
        </w:rPr>
        <w:fldChar w:fldCharType="begin"/>
      </w:r>
      <w:r w:rsidR="00155DD5" w:rsidRPr="00155DD5">
        <w:rPr>
          <w:highlight w:val="lightGray"/>
        </w:rPr>
        <w:instrText xml:space="preserve"> REF _Ref51310081 \h </w:instrText>
      </w:r>
      <w:r w:rsidR="00155DD5">
        <w:rPr>
          <w:highlight w:val="lightGray"/>
        </w:rPr>
        <w:instrText xml:space="preserve"> \* MERGEFORMAT </w:instrText>
      </w:r>
      <w:r w:rsidR="00155DD5" w:rsidRPr="00155DD5">
        <w:rPr>
          <w:highlight w:val="lightGray"/>
        </w:rPr>
      </w:r>
      <w:r w:rsidR="00155DD5" w:rsidRPr="00155DD5">
        <w:rPr>
          <w:highlight w:val="lightGray"/>
        </w:rPr>
        <w:fldChar w:fldCharType="separate"/>
      </w:r>
      <w:r w:rsidR="00A04822" w:rsidRPr="00A04822">
        <w:rPr>
          <w:highlight w:val="lightGray"/>
        </w:rPr>
        <w:t xml:space="preserve">Table </w:t>
      </w:r>
      <w:r w:rsidR="00A04822" w:rsidRPr="00A04822">
        <w:rPr>
          <w:noProof/>
          <w:highlight w:val="lightGray"/>
        </w:rPr>
        <w:t>5</w:t>
      </w:r>
      <w:r w:rsidR="00155DD5" w:rsidRPr="00155DD5">
        <w:rPr>
          <w:highlight w:val="lightGray"/>
        </w:rPr>
        <w:fldChar w:fldCharType="end"/>
      </w:r>
      <w:r w:rsidR="00976B56">
        <w:t>, based on individual LMU intervention targets in Table 6</w:t>
      </w:r>
      <w:r w:rsidR="004E2FF4" w:rsidRPr="00165301">
        <w:t xml:space="preserve"> </w:t>
      </w:r>
      <w:r w:rsidR="0096577C">
        <w:t xml:space="preserve">and, together with tracking the number of </w:t>
      </w:r>
      <w:r w:rsidR="0096577C" w:rsidRPr="00CE1EA7">
        <w:t>beneficiaries</w:t>
      </w:r>
      <w:r w:rsidR="0096577C">
        <w:t xml:space="preserve">, will contribute to </w:t>
      </w:r>
      <w:r w:rsidR="004E2FF4" w:rsidRPr="00165301">
        <w:t xml:space="preserve">the project’s core indicators, which </w:t>
      </w:r>
      <w:r w:rsidR="0096577C">
        <w:t xml:space="preserve">feed into </w:t>
      </w:r>
      <w:r w:rsidR="004E2FF4" w:rsidRPr="00165301">
        <w:t>the DSL IP program level indicators</w:t>
      </w:r>
      <w:r w:rsidR="0096577C">
        <w:t xml:space="preserve"> and targets.</w:t>
      </w:r>
      <w:r w:rsidR="006B055E">
        <w:t xml:space="preserve"> In terms of the 633,278 ha selected </w:t>
      </w:r>
      <w:r w:rsidR="006B055E" w:rsidRPr="00BC076D">
        <w:rPr>
          <w:highlight w:val="yellow"/>
        </w:rPr>
        <w:t xml:space="preserve">for </w:t>
      </w:r>
      <w:r w:rsidR="005B4929" w:rsidRPr="00BC076D">
        <w:rPr>
          <w:highlight w:val="yellow"/>
        </w:rPr>
        <w:t>integrated land sue planning and</w:t>
      </w:r>
      <w:r w:rsidR="005B4929">
        <w:t xml:space="preserve"> </w:t>
      </w:r>
      <w:r w:rsidR="006B055E">
        <w:t>specific intervention</w:t>
      </w:r>
      <w:r w:rsidR="002B3825">
        <w:t>s in the LMUs</w:t>
      </w:r>
      <w:r w:rsidR="006B055E">
        <w:t>, 82.2% will be targeted for land degradation</w:t>
      </w:r>
      <w:r w:rsidR="006B055E" w:rsidRPr="006B055E">
        <w:t xml:space="preserve"> </w:t>
      </w:r>
      <w:r w:rsidR="006B055E">
        <w:t>reduction, 16.3% for avoidance and 1.5% for reversal.</w:t>
      </w:r>
      <w:bookmarkEnd w:id="143"/>
    </w:p>
    <w:p w14:paraId="455444B3" w14:textId="2229E895" w:rsidR="004E2FF4" w:rsidRPr="00194716" w:rsidRDefault="004E2FF4" w:rsidP="004E2FF4">
      <w:pPr>
        <w:pStyle w:val="Caption"/>
        <w:rPr>
          <w:rFonts w:ascii="Calibri" w:hAnsi="Calibri" w:cs="Calibri"/>
          <w:sz w:val="22"/>
          <w:szCs w:val="22"/>
        </w:rPr>
      </w:pPr>
      <w:bookmarkStart w:id="144" w:name="_Ref51310081"/>
      <w:bookmarkStart w:id="145" w:name="_Toc58398635"/>
      <w:r w:rsidRPr="00194716">
        <w:rPr>
          <w:rFonts w:ascii="Calibri" w:hAnsi="Calibri" w:cs="Calibri"/>
          <w:sz w:val="22"/>
          <w:szCs w:val="22"/>
        </w:rPr>
        <w:t xml:space="preserve">Table </w:t>
      </w:r>
      <w:r w:rsidRPr="00194716">
        <w:rPr>
          <w:rFonts w:ascii="Calibri" w:hAnsi="Calibri" w:cs="Calibri"/>
          <w:sz w:val="22"/>
          <w:szCs w:val="22"/>
        </w:rPr>
        <w:fldChar w:fldCharType="begin"/>
      </w:r>
      <w:r w:rsidRPr="00194716">
        <w:rPr>
          <w:rFonts w:ascii="Calibri" w:hAnsi="Calibri" w:cs="Calibri"/>
          <w:sz w:val="22"/>
          <w:szCs w:val="22"/>
        </w:rPr>
        <w:instrText>SEQ Table \* ARABIC</w:instrText>
      </w:r>
      <w:r w:rsidRPr="00194716">
        <w:rPr>
          <w:rFonts w:ascii="Calibri" w:hAnsi="Calibri" w:cs="Calibri"/>
          <w:sz w:val="22"/>
          <w:szCs w:val="22"/>
        </w:rPr>
        <w:fldChar w:fldCharType="separate"/>
      </w:r>
      <w:r w:rsidR="007D3608">
        <w:rPr>
          <w:rFonts w:ascii="Calibri" w:hAnsi="Calibri" w:cs="Calibri"/>
          <w:noProof/>
          <w:sz w:val="22"/>
          <w:szCs w:val="22"/>
        </w:rPr>
        <w:t>5</w:t>
      </w:r>
      <w:r w:rsidRPr="00194716">
        <w:rPr>
          <w:rFonts w:ascii="Calibri" w:hAnsi="Calibri" w:cs="Calibri"/>
          <w:sz w:val="22"/>
          <w:szCs w:val="22"/>
        </w:rPr>
        <w:fldChar w:fldCharType="end"/>
      </w:r>
      <w:bookmarkEnd w:id="144"/>
      <w:r w:rsidRPr="00194716">
        <w:rPr>
          <w:rFonts w:ascii="Calibri" w:hAnsi="Calibri" w:cs="Calibri"/>
          <w:sz w:val="22"/>
          <w:szCs w:val="22"/>
        </w:rPr>
        <w:t xml:space="preserve">. Summary </w:t>
      </w:r>
      <w:r w:rsidR="00AE3410" w:rsidRPr="00194716">
        <w:rPr>
          <w:rFonts w:ascii="Calibri" w:hAnsi="Calibri" w:cs="Calibri"/>
          <w:sz w:val="22"/>
          <w:szCs w:val="22"/>
        </w:rPr>
        <w:t xml:space="preserve">of </w:t>
      </w:r>
      <w:r w:rsidRPr="00194716">
        <w:rPr>
          <w:rFonts w:ascii="Calibri" w:hAnsi="Calibri" w:cs="Calibri"/>
          <w:sz w:val="22"/>
          <w:szCs w:val="22"/>
        </w:rPr>
        <w:t>LMU</w:t>
      </w:r>
      <w:r w:rsidR="00AE3410" w:rsidRPr="00194716">
        <w:rPr>
          <w:rFonts w:ascii="Calibri" w:hAnsi="Calibri" w:cs="Calibri"/>
          <w:sz w:val="22"/>
          <w:szCs w:val="22"/>
        </w:rPr>
        <w:t xml:space="preserve"> interventions </w:t>
      </w:r>
      <w:r w:rsidRPr="00194716">
        <w:rPr>
          <w:rFonts w:ascii="Calibri" w:hAnsi="Calibri" w:cs="Calibri"/>
          <w:sz w:val="22"/>
          <w:szCs w:val="22"/>
        </w:rPr>
        <w:t>in the targe</w:t>
      </w:r>
      <w:r w:rsidR="00AE3410" w:rsidRPr="00194716">
        <w:rPr>
          <w:rFonts w:ascii="Calibri" w:hAnsi="Calibri" w:cs="Calibri"/>
          <w:sz w:val="22"/>
          <w:szCs w:val="22"/>
        </w:rPr>
        <w:t>t</w:t>
      </w:r>
      <w:r w:rsidRPr="00194716">
        <w:rPr>
          <w:rFonts w:ascii="Calibri" w:hAnsi="Calibri" w:cs="Calibri"/>
          <w:sz w:val="22"/>
          <w:szCs w:val="22"/>
        </w:rPr>
        <w:t xml:space="preserve"> landscapes </w:t>
      </w:r>
      <w:r w:rsidR="00AE3410" w:rsidRPr="00194716">
        <w:rPr>
          <w:rFonts w:ascii="Calibri" w:hAnsi="Calibri" w:cs="Calibri"/>
          <w:sz w:val="22"/>
          <w:szCs w:val="22"/>
        </w:rPr>
        <w:t xml:space="preserve">based on </w:t>
      </w:r>
      <w:r w:rsidRPr="00194716">
        <w:rPr>
          <w:rFonts w:ascii="Calibri" w:hAnsi="Calibri" w:cs="Calibri"/>
          <w:sz w:val="22"/>
          <w:szCs w:val="22"/>
        </w:rPr>
        <w:t xml:space="preserve">LDN </w:t>
      </w:r>
      <w:r w:rsidR="00AE3410" w:rsidRPr="00194716">
        <w:rPr>
          <w:rFonts w:ascii="Calibri" w:hAnsi="Calibri" w:cs="Calibri"/>
          <w:sz w:val="22"/>
          <w:szCs w:val="22"/>
        </w:rPr>
        <w:t xml:space="preserve">response </w:t>
      </w:r>
      <w:r w:rsidRPr="00194716">
        <w:rPr>
          <w:rFonts w:ascii="Calibri" w:hAnsi="Calibri" w:cs="Calibri"/>
          <w:sz w:val="22"/>
          <w:szCs w:val="22"/>
        </w:rPr>
        <w:t>strategy</w:t>
      </w:r>
      <w:bookmarkStart w:id="146" w:name="_Ref41318587"/>
      <w:bookmarkEnd w:id="145"/>
    </w:p>
    <w:tbl>
      <w:tblPr>
        <w:tblW w:w="89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2262"/>
        <w:gridCol w:w="1106"/>
        <w:gridCol w:w="1108"/>
        <w:gridCol w:w="1108"/>
        <w:gridCol w:w="1108"/>
        <w:gridCol w:w="1108"/>
        <w:gridCol w:w="1104"/>
      </w:tblGrid>
      <w:tr w:rsidR="00923CAE" w:rsidRPr="00923CAE" w14:paraId="5DD9F337" w14:textId="77777777" w:rsidTr="00D21A7A">
        <w:trPr>
          <w:trHeight w:val="282"/>
          <w:tblHeader/>
        </w:trPr>
        <w:tc>
          <w:tcPr>
            <w:tcW w:w="2262" w:type="dxa"/>
            <w:vMerge w:val="restart"/>
            <w:shd w:val="clear" w:color="000000" w:fill="000000"/>
            <w:tcMar>
              <w:left w:w="57" w:type="dxa"/>
              <w:right w:w="28" w:type="dxa"/>
            </w:tcMar>
            <w:vAlign w:val="center"/>
          </w:tcPr>
          <w:p w14:paraId="1ACE8F23" w14:textId="77777777" w:rsidR="00923CAE" w:rsidRPr="00923CAE" w:rsidRDefault="00923CAE" w:rsidP="00923CAE">
            <w:pPr>
              <w:jc w:val="center"/>
              <w:rPr>
                <w:rFonts w:ascii="Calibri" w:eastAsia="SimSun" w:hAnsi="Calibri" w:cs="Calibri"/>
                <w:b/>
                <w:bCs/>
                <w:color w:val="FFFFFF"/>
                <w:sz w:val="18"/>
                <w:szCs w:val="18"/>
                <w:lang w:val="en-US" w:eastAsia="pt-BR"/>
              </w:rPr>
            </w:pPr>
            <w:r w:rsidRPr="00923CAE">
              <w:rPr>
                <w:rFonts w:ascii="Calibri" w:eastAsia="SimSun" w:hAnsi="Calibri" w:cs="Calibri"/>
                <w:b/>
                <w:bCs/>
                <w:color w:val="FFFFFF"/>
                <w:sz w:val="18"/>
                <w:szCs w:val="18"/>
                <w:lang w:val="en-US" w:eastAsia="pt-BR"/>
              </w:rPr>
              <w:t xml:space="preserve">Intervention Landscape </w:t>
            </w:r>
          </w:p>
          <w:p w14:paraId="0155FAB3" w14:textId="77777777" w:rsidR="00923CAE" w:rsidRPr="00923CAE" w:rsidRDefault="00923CAE" w:rsidP="00923CAE">
            <w:pPr>
              <w:jc w:val="center"/>
              <w:rPr>
                <w:rFonts w:ascii="Calibri" w:eastAsia="SimSun" w:hAnsi="Calibri" w:cs="Calibri"/>
                <w:b/>
                <w:bCs/>
                <w:color w:val="FFFFFF"/>
                <w:sz w:val="18"/>
                <w:szCs w:val="18"/>
                <w:lang w:val="en-US" w:eastAsia="pt-BR"/>
              </w:rPr>
            </w:pPr>
            <w:r w:rsidRPr="00923CAE">
              <w:rPr>
                <w:rFonts w:ascii="Calibri" w:eastAsia="SimSun" w:hAnsi="Calibri" w:cs="Calibri"/>
                <w:b/>
                <w:bCs/>
                <w:color w:val="FFFFFF"/>
                <w:sz w:val="18"/>
                <w:szCs w:val="18"/>
                <w:lang w:val="en-US" w:eastAsia="pt-BR"/>
              </w:rPr>
              <w:t>Land Use System</w:t>
            </w:r>
          </w:p>
        </w:tc>
        <w:tc>
          <w:tcPr>
            <w:tcW w:w="3322" w:type="dxa"/>
            <w:gridSpan w:val="3"/>
            <w:shd w:val="clear" w:color="auto" w:fill="F4B083" w:themeFill="accent2" w:themeFillTint="99"/>
            <w:tcMar>
              <w:left w:w="57" w:type="dxa"/>
              <w:right w:w="28" w:type="dxa"/>
            </w:tcMar>
          </w:tcPr>
          <w:p w14:paraId="5A7F555B" w14:textId="300CB699" w:rsidR="00923CAE" w:rsidRPr="00923CAE" w:rsidRDefault="00923CAE" w:rsidP="00923CAE">
            <w:pPr>
              <w:jc w:val="center"/>
              <w:rPr>
                <w:rFonts w:ascii="Calibri" w:eastAsia="SimSun" w:hAnsi="Calibri" w:cs="Calibri"/>
                <w:b/>
                <w:bCs/>
                <w:sz w:val="18"/>
                <w:szCs w:val="18"/>
                <w:lang w:val="en-US" w:eastAsia="pt-BR"/>
              </w:rPr>
            </w:pPr>
            <w:r w:rsidRPr="00923CAE">
              <w:rPr>
                <w:rFonts w:ascii="Calibri" w:eastAsia="SimSun" w:hAnsi="Calibri" w:cs="Calibri"/>
                <w:b/>
                <w:bCs/>
                <w:sz w:val="18"/>
                <w:szCs w:val="18"/>
                <w:lang w:val="en-US" w:eastAsia="pt-BR"/>
              </w:rPr>
              <w:t>Area covered by ILUPs (ha)</w:t>
            </w:r>
            <w:r w:rsidR="00F12642">
              <w:rPr>
                <w:rFonts w:ascii="Calibri" w:eastAsia="SimSun" w:hAnsi="Calibri" w:cs="Calibri"/>
                <w:b/>
                <w:bCs/>
                <w:sz w:val="18"/>
                <w:szCs w:val="18"/>
                <w:lang w:val="en-US" w:eastAsia="pt-BR"/>
              </w:rPr>
              <w:t xml:space="preserve"> </w:t>
            </w:r>
          </w:p>
        </w:tc>
        <w:tc>
          <w:tcPr>
            <w:tcW w:w="3320" w:type="dxa"/>
            <w:gridSpan w:val="3"/>
            <w:shd w:val="clear" w:color="auto" w:fill="FFD966" w:themeFill="accent4" w:themeFillTint="99"/>
            <w:tcMar>
              <w:left w:w="57" w:type="dxa"/>
              <w:right w:w="28" w:type="dxa"/>
            </w:tcMar>
          </w:tcPr>
          <w:p w14:paraId="61FA63F7" w14:textId="77777777" w:rsidR="00923CAE" w:rsidRPr="00923CAE" w:rsidRDefault="00923CAE" w:rsidP="00923CAE">
            <w:pPr>
              <w:jc w:val="center"/>
              <w:rPr>
                <w:rFonts w:ascii="Calibri" w:eastAsia="SimSun" w:hAnsi="Calibri" w:cs="Calibri"/>
                <w:b/>
                <w:bCs/>
                <w:sz w:val="18"/>
                <w:szCs w:val="18"/>
                <w:lang w:val="en-US" w:eastAsia="pt-BR"/>
              </w:rPr>
            </w:pPr>
            <w:r w:rsidRPr="00923CAE">
              <w:rPr>
                <w:rFonts w:ascii="Calibri" w:eastAsia="SimSun" w:hAnsi="Calibri" w:cs="Calibri"/>
                <w:b/>
                <w:bCs/>
                <w:sz w:val="18"/>
                <w:szCs w:val="18"/>
                <w:lang w:val="en-US" w:eastAsia="pt-BR"/>
              </w:rPr>
              <w:t>Area under direct interventions (ha)</w:t>
            </w:r>
          </w:p>
        </w:tc>
      </w:tr>
      <w:tr w:rsidR="00923CAE" w:rsidRPr="00923CAE" w14:paraId="47357ECC" w14:textId="77777777" w:rsidTr="00D21A7A">
        <w:trPr>
          <w:trHeight w:val="473"/>
          <w:tblHeader/>
        </w:trPr>
        <w:tc>
          <w:tcPr>
            <w:tcW w:w="2262" w:type="dxa"/>
            <w:vMerge/>
            <w:shd w:val="clear" w:color="000000" w:fill="000000"/>
            <w:tcMar>
              <w:left w:w="57" w:type="dxa"/>
              <w:right w:w="28" w:type="dxa"/>
            </w:tcMar>
            <w:hideMark/>
          </w:tcPr>
          <w:p w14:paraId="0D5461D2" w14:textId="77777777" w:rsidR="00923CAE" w:rsidRPr="00923CAE" w:rsidRDefault="00923CAE" w:rsidP="00923CAE">
            <w:pPr>
              <w:jc w:val="center"/>
              <w:rPr>
                <w:rFonts w:ascii="Calibri" w:eastAsia="SimSun" w:hAnsi="Calibri" w:cs="Calibri"/>
                <w:b/>
                <w:bCs/>
                <w:color w:val="FFFFFF"/>
                <w:sz w:val="18"/>
                <w:szCs w:val="18"/>
                <w:lang w:val="en-US" w:eastAsia="pt-BR"/>
              </w:rPr>
            </w:pPr>
          </w:p>
        </w:tc>
        <w:tc>
          <w:tcPr>
            <w:tcW w:w="1106" w:type="dxa"/>
            <w:shd w:val="clear" w:color="auto" w:fill="00B050"/>
            <w:tcMar>
              <w:left w:w="57" w:type="dxa"/>
              <w:right w:w="28" w:type="dxa"/>
            </w:tcMar>
            <w:vAlign w:val="center"/>
          </w:tcPr>
          <w:p w14:paraId="79396AC9" w14:textId="77777777" w:rsidR="00923CAE" w:rsidRPr="00923CAE" w:rsidRDefault="00923CAE" w:rsidP="00923CAE">
            <w:pPr>
              <w:jc w:val="center"/>
              <w:rPr>
                <w:rFonts w:ascii="Calibri" w:eastAsia="SimSun" w:hAnsi="Calibri" w:cs="Calibri"/>
                <w:b/>
                <w:bCs/>
                <w:color w:val="000000"/>
                <w:sz w:val="18"/>
                <w:szCs w:val="18"/>
                <w:lang w:val="en-US" w:eastAsia="pt-BR"/>
              </w:rPr>
            </w:pPr>
            <w:r w:rsidRPr="00923CAE">
              <w:rPr>
                <w:rFonts w:ascii="Calibri" w:eastAsia="SimSun" w:hAnsi="Calibri" w:cs="Calibri"/>
                <w:b/>
                <w:bCs/>
                <w:color w:val="000000"/>
                <w:sz w:val="18"/>
                <w:szCs w:val="18"/>
                <w:lang w:val="en-US" w:eastAsia="pt-BR"/>
              </w:rPr>
              <w:t>AVOID</w:t>
            </w:r>
          </w:p>
        </w:tc>
        <w:tc>
          <w:tcPr>
            <w:tcW w:w="1108" w:type="dxa"/>
            <w:shd w:val="clear" w:color="auto" w:fill="A8D08D" w:themeFill="accent6" w:themeFillTint="99"/>
            <w:tcMar>
              <w:left w:w="57" w:type="dxa"/>
              <w:right w:w="28" w:type="dxa"/>
            </w:tcMar>
            <w:vAlign w:val="center"/>
          </w:tcPr>
          <w:p w14:paraId="2AC29563" w14:textId="77777777" w:rsidR="00923CAE" w:rsidRPr="00923CAE" w:rsidRDefault="00923CAE" w:rsidP="00923CAE">
            <w:pPr>
              <w:jc w:val="center"/>
              <w:rPr>
                <w:rFonts w:ascii="Calibri" w:eastAsia="SimSun" w:hAnsi="Calibri" w:cs="Calibri"/>
                <w:b/>
                <w:bCs/>
                <w:color w:val="000000"/>
                <w:sz w:val="18"/>
                <w:szCs w:val="18"/>
                <w:lang w:val="en-US" w:eastAsia="pt-BR"/>
              </w:rPr>
            </w:pPr>
            <w:r w:rsidRPr="00923CAE">
              <w:rPr>
                <w:rFonts w:ascii="Calibri" w:eastAsia="SimSun" w:hAnsi="Calibri" w:cs="Calibri"/>
                <w:b/>
                <w:bCs/>
                <w:color w:val="000000"/>
                <w:sz w:val="18"/>
                <w:szCs w:val="18"/>
                <w:lang w:val="en-US" w:eastAsia="pt-BR"/>
              </w:rPr>
              <w:t>REDUCE</w:t>
            </w:r>
          </w:p>
        </w:tc>
        <w:tc>
          <w:tcPr>
            <w:tcW w:w="1108" w:type="dxa"/>
            <w:shd w:val="clear" w:color="auto" w:fill="E2EFD9" w:themeFill="accent6" w:themeFillTint="33"/>
            <w:tcMar>
              <w:left w:w="57" w:type="dxa"/>
              <w:right w:w="28" w:type="dxa"/>
            </w:tcMar>
            <w:vAlign w:val="center"/>
          </w:tcPr>
          <w:p w14:paraId="05E9ADE4" w14:textId="77777777" w:rsidR="00923CAE" w:rsidRPr="00923CAE" w:rsidRDefault="00923CAE" w:rsidP="00923CAE">
            <w:pPr>
              <w:jc w:val="center"/>
              <w:rPr>
                <w:rFonts w:ascii="Calibri" w:eastAsia="SimSun" w:hAnsi="Calibri" w:cs="Calibri"/>
                <w:b/>
                <w:sz w:val="18"/>
                <w:szCs w:val="18"/>
                <w:lang w:val="en-US" w:eastAsia="pt-BR"/>
              </w:rPr>
            </w:pPr>
            <w:r w:rsidRPr="00923CAE">
              <w:rPr>
                <w:rFonts w:ascii="Calibri" w:eastAsia="SimSun" w:hAnsi="Calibri" w:cs="Calibri"/>
                <w:b/>
                <w:bCs/>
                <w:sz w:val="18"/>
                <w:szCs w:val="18"/>
                <w:lang w:val="en-US" w:eastAsia="pt-BR"/>
              </w:rPr>
              <w:t>REVERSE</w:t>
            </w:r>
          </w:p>
        </w:tc>
        <w:tc>
          <w:tcPr>
            <w:tcW w:w="1108" w:type="dxa"/>
            <w:shd w:val="clear" w:color="auto" w:fill="00B050"/>
            <w:tcMar>
              <w:left w:w="57" w:type="dxa"/>
              <w:right w:w="28" w:type="dxa"/>
            </w:tcMar>
            <w:vAlign w:val="center"/>
            <w:hideMark/>
          </w:tcPr>
          <w:p w14:paraId="70C0BCC5" w14:textId="77777777" w:rsidR="00923CAE" w:rsidRPr="00923CAE" w:rsidRDefault="00923CAE" w:rsidP="00923CAE">
            <w:pPr>
              <w:jc w:val="center"/>
              <w:rPr>
                <w:rFonts w:ascii="Calibri" w:eastAsia="SimSun" w:hAnsi="Calibri" w:cs="Calibri"/>
                <w:b/>
                <w:bCs/>
                <w:color w:val="000000"/>
                <w:sz w:val="18"/>
                <w:szCs w:val="18"/>
                <w:lang w:val="en-US" w:eastAsia="pt-BR"/>
              </w:rPr>
            </w:pPr>
            <w:r w:rsidRPr="00923CAE">
              <w:rPr>
                <w:rFonts w:ascii="Calibri" w:eastAsia="SimSun" w:hAnsi="Calibri" w:cs="Calibri"/>
                <w:b/>
                <w:bCs/>
                <w:color w:val="000000"/>
                <w:sz w:val="18"/>
                <w:szCs w:val="18"/>
                <w:lang w:val="en-US" w:eastAsia="pt-BR"/>
              </w:rPr>
              <w:t>AVOID</w:t>
            </w:r>
          </w:p>
        </w:tc>
        <w:tc>
          <w:tcPr>
            <w:tcW w:w="1108" w:type="dxa"/>
            <w:shd w:val="clear" w:color="auto" w:fill="A8D08D" w:themeFill="accent6" w:themeFillTint="99"/>
            <w:tcMar>
              <w:left w:w="57" w:type="dxa"/>
              <w:right w:w="28" w:type="dxa"/>
            </w:tcMar>
            <w:vAlign w:val="center"/>
            <w:hideMark/>
          </w:tcPr>
          <w:p w14:paraId="2D16D392" w14:textId="77777777" w:rsidR="00923CAE" w:rsidRPr="00923CAE" w:rsidRDefault="00923CAE" w:rsidP="00923CAE">
            <w:pPr>
              <w:jc w:val="center"/>
              <w:rPr>
                <w:rFonts w:ascii="Calibri" w:eastAsia="SimSun" w:hAnsi="Calibri" w:cs="Calibri"/>
                <w:b/>
                <w:bCs/>
                <w:color w:val="000000"/>
                <w:sz w:val="18"/>
                <w:szCs w:val="18"/>
                <w:lang w:val="en-US" w:eastAsia="pt-BR"/>
              </w:rPr>
            </w:pPr>
            <w:r w:rsidRPr="00923CAE">
              <w:rPr>
                <w:rFonts w:ascii="Calibri" w:eastAsia="SimSun" w:hAnsi="Calibri" w:cs="Calibri"/>
                <w:b/>
                <w:bCs/>
                <w:color w:val="000000"/>
                <w:sz w:val="18"/>
                <w:szCs w:val="18"/>
                <w:lang w:val="en-US" w:eastAsia="pt-BR"/>
              </w:rPr>
              <w:t>REDUCE</w:t>
            </w:r>
          </w:p>
        </w:tc>
        <w:tc>
          <w:tcPr>
            <w:tcW w:w="1104" w:type="dxa"/>
            <w:shd w:val="clear" w:color="auto" w:fill="E2EFD9" w:themeFill="accent6" w:themeFillTint="33"/>
            <w:tcMar>
              <w:left w:w="57" w:type="dxa"/>
              <w:right w:w="28" w:type="dxa"/>
            </w:tcMar>
            <w:vAlign w:val="center"/>
            <w:hideMark/>
          </w:tcPr>
          <w:p w14:paraId="5FBF4135" w14:textId="77777777" w:rsidR="00923CAE" w:rsidRPr="00923CAE" w:rsidRDefault="00923CAE" w:rsidP="00923CAE">
            <w:pPr>
              <w:jc w:val="center"/>
              <w:rPr>
                <w:rFonts w:ascii="Calibri" w:eastAsia="SimSun" w:hAnsi="Calibri" w:cs="Calibri"/>
                <w:b/>
                <w:bCs/>
                <w:color w:val="FFFFFF"/>
                <w:sz w:val="18"/>
                <w:szCs w:val="18"/>
                <w:lang w:val="en-US" w:eastAsia="pt-BR"/>
              </w:rPr>
            </w:pPr>
            <w:r w:rsidRPr="00923CAE">
              <w:rPr>
                <w:rFonts w:ascii="Calibri" w:eastAsia="SimSun" w:hAnsi="Calibri" w:cs="Calibri"/>
                <w:b/>
                <w:bCs/>
                <w:sz w:val="18"/>
                <w:szCs w:val="18"/>
                <w:lang w:val="en-US" w:eastAsia="pt-BR"/>
              </w:rPr>
              <w:t>REVERSE</w:t>
            </w:r>
          </w:p>
        </w:tc>
      </w:tr>
      <w:tr w:rsidR="00923CAE" w:rsidRPr="00923CAE" w14:paraId="34C17843" w14:textId="77777777" w:rsidTr="00D21A7A">
        <w:trPr>
          <w:trHeight w:val="282"/>
        </w:trPr>
        <w:tc>
          <w:tcPr>
            <w:tcW w:w="2262" w:type="dxa"/>
            <w:shd w:val="clear" w:color="000000" w:fill="D6DCE4"/>
            <w:tcMar>
              <w:left w:w="57" w:type="dxa"/>
              <w:right w:w="28" w:type="dxa"/>
            </w:tcMar>
            <w:hideMark/>
          </w:tcPr>
          <w:p w14:paraId="6A4E2B34" w14:textId="1253CCC5" w:rsidR="00923CAE" w:rsidRPr="00923CAE" w:rsidRDefault="00411254" w:rsidP="00923CAE">
            <w:pPr>
              <w:jc w:val="both"/>
              <w:rPr>
                <w:rFonts w:asciiTheme="minorHAnsi" w:eastAsia="SimSun" w:hAnsiTheme="minorHAnsi" w:cstheme="minorHAnsi"/>
                <w:b/>
                <w:bCs/>
                <w:color w:val="000000"/>
                <w:sz w:val="18"/>
                <w:szCs w:val="18"/>
                <w:lang w:val="en-US" w:eastAsia="pt-BR"/>
              </w:rPr>
            </w:pPr>
            <w:r w:rsidRPr="00BA2133">
              <w:rPr>
                <w:rFonts w:asciiTheme="minorHAnsi" w:hAnsiTheme="minorHAnsi" w:cstheme="minorHAnsi"/>
                <w:b/>
                <w:bCs/>
                <w:color w:val="000000"/>
                <w:sz w:val="18"/>
                <w:szCs w:val="18"/>
                <w:lang w:val="it-IT"/>
              </w:rPr>
              <w:t>Cuchi-Okavango</w:t>
            </w:r>
            <w:r>
              <w:rPr>
                <w:rFonts w:asciiTheme="minorHAnsi" w:hAnsiTheme="minorHAnsi" w:cstheme="minorHAnsi"/>
                <w:b/>
                <w:bCs/>
                <w:color w:val="000000"/>
                <w:sz w:val="18"/>
                <w:szCs w:val="18"/>
                <w:lang w:val="it-IT"/>
              </w:rPr>
              <w:t xml:space="preserve"> </w:t>
            </w:r>
            <w:r w:rsidR="00E749A2">
              <w:rPr>
                <w:rFonts w:asciiTheme="minorHAnsi" w:hAnsiTheme="minorHAnsi" w:cstheme="minorHAnsi"/>
                <w:b/>
                <w:bCs/>
                <w:color w:val="000000"/>
                <w:sz w:val="18"/>
                <w:szCs w:val="18"/>
                <w:lang w:val="it-IT"/>
              </w:rPr>
              <w:t>(sub-basin 1)</w:t>
            </w:r>
          </w:p>
        </w:tc>
        <w:tc>
          <w:tcPr>
            <w:tcW w:w="1106" w:type="dxa"/>
            <w:shd w:val="clear" w:color="000000" w:fill="D6DCE4"/>
            <w:tcMar>
              <w:left w:w="57" w:type="dxa"/>
              <w:right w:w="28" w:type="dxa"/>
            </w:tcMar>
          </w:tcPr>
          <w:p w14:paraId="53DC5496" w14:textId="77777777" w:rsidR="00923CAE" w:rsidRPr="00923CAE" w:rsidRDefault="00923CAE" w:rsidP="00923CAE">
            <w:pPr>
              <w:jc w:val="right"/>
              <w:rPr>
                <w:rFonts w:asciiTheme="minorHAnsi" w:eastAsia="SimSun" w:hAnsiTheme="minorHAnsi" w:cstheme="minorHAnsi"/>
                <w:b/>
                <w:bCs/>
                <w:color w:val="000000"/>
                <w:sz w:val="18"/>
                <w:szCs w:val="18"/>
                <w:lang w:val="en-US" w:eastAsia="pt-BR"/>
              </w:rPr>
            </w:pPr>
          </w:p>
        </w:tc>
        <w:tc>
          <w:tcPr>
            <w:tcW w:w="1108" w:type="dxa"/>
            <w:shd w:val="clear" w:color="000000" w:fill="D6DCE4"/>
            <w:tcMar>
              <w:left w:w="57" w:type="dxa"/>
              <w:right w:w="28" w:type="dxa"/>
            </w:tcMar>
          </w:tcPr>
          <w:p w14:paraId="46A5F182" w14:textId="77777777" w:rsidR="00923CAE" w:rsidRPr="00923CAE" w:rsidRDefault="00923CAE" w:rsidP="00923CAE">
            <w:pPr>
              <w:jc w:val="right"/>
              <w:rPr>
                <w:rFonts w:asciiTheme="minorHAnsi" w:eastAsia="SimSun" w:hAnsiTheme="minorHAnsi" w:cstheme="minorHAnsi"/>
                <w:b/>
                <w:bCs/>
                <w:color w:val="000000"/>
                <w:sz w:val="18"/>
                <w:szCs w:val="18"/>
                <w:lang w:val="en-US" w:eastAsia="pt-BR"/>
              </w:rPr>
            </w:pPr>
          </w:p>
        </w:tc>
        <w:tc>
          <w:tcPr>
            <w:tcW w:w="1108" w:type="dxa"/>
            <w:shd w:val="clear" w:color="000000" w:fill="D6DCE4"/>
            <w:tcMar>
              <w:left w:w="57" w:type="dxa"/>
              <w:right w:w="28" w:type="dxa"/>
            </w:tcMar>
          </w:tcPr>
          <w:p w14:paraId="672EDB18" w14:textId="77777777" w:rsidR="00923CAE" w:rsidRPr="00923CAE" w:rsidRDefault="00923CAE" w:rsidP="00923CAE">
            <w:pPr>
              <w:jc w:val="center"/>
              <w:rPr>
                <w:rFonts w:asciiTheme="minorHAnsi" w:eastAsia="SimSun" w:hAnsiTheme="minorHAnsi" w:cstheme="minorHAnsi"/>
                <w:b/>
                <w:bCs/>
                <w:color w:val="000000"/>
                <w:sz w:val="18"/>
                <w:szCs w:val="18"/>
                <w:lang w:val="en-US" w:eastAsia="pt-BR"/>
              </w:rPr>
            </w:pPr>
          </w:p>
        </w:tc>
        <w:tc>
          <w:tcPr>
            <w:tcW w:w="1108" w:type="dxa"/>
            <w:shd w:val="clear" w:color="000000" w:fill="D6DCE4"/>
            <w:tcMar>
              <w:left w:w="57" w:type="dxa"/>
              <w:right w:w="28" w:type="dxa"/>
            </w:tcMar>
          </w:tcPr>
          <w:p w14:paraId="0B9823E1" w14:textId="77777777" w:rsidR="00923CAE" w:rsidRPr="00923CAE" w:rsidRDefault="00923CAE" w:rsidP="00923CAE">
            <w:pPr>
              <w:jc w:val="center"/>
              <w:rPr>
                <w:rFonts w:asciiTheme="minorHAnsi" w:eastAsia="SimSun" w:hAnsiTheme="minorHAnsi" w:cstheme="minorHAnsi"/>
                <w:b/>
                <w:bCs/>
                <w:color w:val="000000"/>
                <w:sz w:val="18"/>
                <w:szCs w:val="18"/>
                <w:lang w:val="en-US" w:eastAsia="pt-BR"/>
              </w:rPr>
            </w:pPr>
          </w:p>
        </w:tc>
        <w:tc>
          <w:tcPr>
            <w:tcW w:w="1108" w:type="dxa"/>
            <w:shd w:val="clear" w:color="000000" w:fill="D6DCE4"/>
            <w:tcMar>
              <w:left w:w="57" w:type="dxa"/>
              <w:right w:w="28" w:type="dxa"/>
            </w:tcMar>
          </w:tcPr>
          <w:p w14:paraId="66A52163" w14:textId="77777777" w:rsidR="00923CAE" w:rsidRPr="00923CAE" w:rsidRDefault="00923CAE" w:rsidP="00923CAE">
            <w:pPr>
              <w:jc w:val="center"/>
              <w:rPr>
                <w:rFonts w:asciiTheme="minorHAnsi" w:eastAsia="SimSun" w:hAnsiTheme="minorHAnsi" w:cstheme="minorHAnsi"/>
                <w:b/>
                <w:bCs/>
                <w:color w:val="000000"/>
                <w:sz w:val="18"/>
                <w:szCs w:val="18"/>
                <w:lang w:val="en-US" w:eastAsia="pt-BR"/>
              </w:rPr>
            </w:pPr>
          </w:p>
        </w:tc>
        <w:tc>
          <w:tcPr>
            <w:tcW w:w="1104" w:type="dxa"/>
            <w:shd w:val="clear" w:color="000000" w:fill="D6DCE4"/>
            <w:tcMar>
              <w:left w:w="57" w:type="dxa"/>
              <w:right w:w="28" w:type="dxa"/>
            </w:tcMar>
          </w:tcPr>
          <w:p w14:paraId="67FECB13" w14:textId="77777777" w:rsidR="00923CAE" w:rsidRPr="00923CAE" w:rsidRDefault="00923CAE" w:rsidP="00923CAE">
            <w:pPr>
              <w:jc w:val="center"/>
              <w:rPr>
                <w:rFonts w:asciiTheme="minorHAnsi" w:eastAsia="SimSun" w:hAnsiTheme="minorHAnsi" w:cstheme="minorHAnsi"/>
                <w:b/>
                <w:bCs/>
                <w:color w:val="000000"/>
                <w:sz w:val="18"/>
                <w:szCs w:val="18"/>
                <w:lang w:val="en-US" w:eastAsia="pt-BR"/>
              </w:rPr>
            </w:pPr>
          </w:p>
        </w:tc>
      </w:tr>
      <w:tr w:rsidR="00923CAE" w:rsidRPr="00923CAE" w14:paraId="284BB554" w14:textId="77777777" w:rsidTr="002E194C">
        <w:trPr>
          <w:trHeight w:val="282"/>
        </w:trPr>
        <w:tc>
          <w:tcPr>
            <w:tcW w:w="2262" w:type="dxa"/>
            <w:shd w:val="clear" w:color="auto" w:fill="auto"/>
            <w:tcMar>
              <w:left w:w="57" w:type="dxa"/>
              <w:right w:w="28" w:type="dxa"/>
            </w:tcMar>
            <w:vAlign w:val="bottom"/>
            <w:hideMark/>
          </w:tcPr>
          <w:p w14:paraId="7D2F6C71" w14:textId="559726ED" w:rsidR="00923CAE" w:rsidRPr="00923CAE" w:rsidRDefault="00411254" w:rsidP="00923CAE">
            <w:pPr>
              <w:ind w:left="213"/>
              <w:jc w:val="both"/>
              <w:rPr>
                <w:rFonts w:asciiTheme="minorHAnsi" w:eastAsia="SimSun" w:hAnsiTheme="minorHAnsi" w:cstheme="minorHAnsi"/>
                <w:color w:val="000000"/>
                <w:sz w:val="18"/>
                <w:szCs w:val="18"/>
                <w:lang w:val="en-US" w:eastAsia="pt-BR"/>
              </w:rPr>
            </w:pPr>
            <w:r w:rsidRPr="003B4367">
              <w:rPr>
                <w:rFonts w:asciiTheme="minorHAnsi" w:hAnsiTheme="minorHAnsi" w:cstheme="minorHAnsi"/>
                <w:color w:val="000000"/>
                <w:sz w:val="18"/>
                <w:szCs w:val="18"/>
              </w:rPr>
              <w:t>Cropland</w:t>
            </w:r>
          </w:p>
        </w:tc>
        <w:tc>
          <w:tcPr>
            <w:tcW w:w="1106" w:type="dxa"/>
            <w:tcMar>
              <w:left w:w="57" w:type="dxa"/>
              <w:right w:w="28" w:type="dxa"/>
            </w:tcMar>
            <w:vAlign w:val="center"/>
          </w:tcPr>
          <w:p w14:paraId="1F601D8B" w14:textId="36342E9C" w:rsidR="00923CAE" w:rsidRPr="00923CAE" w:rsidRDefault="00923CAE" w:rsidP="002E194C">
            <w:pPr>
              <w:ind w:left="213"/>
              <w:jc w:val="center"/>
              <w:rPr>
                <w:rFonts w:asciiTheme="minorHAnsi" w:eastAsia="SimSun" w:hAnsiTheme="minorHAnsi" w:cstheme="minorHAnsi"/>
                <w:color w:val="000000"/>
                <w:sz w:val="18"/>
                <w:szCs w:val="18"/>
              </w:rPr>
            </w:pPr>
          </w:p>
        </w:tc>
        <w:tc>
          <w:tcPr>
            <w:tcW w:w="1108" w:type="dxa"/>
            <w:tcMar>
              <w:left w:w="57" w:type="dxa"/>
              <w:right w:w="28" w:type="dxa"/>
            </w:tcMar>
            <w:vAlign w:val="center"/>
          </w:tcPr>
          <w:p w14:paraId="455A25F4" w14:textId="47C6D0F2" w:rsidR="00923CAE" w:rsidRPr="00923CAE" w:rsidRDefault="007016BC" w:rsidP="002E194C">
            <w:pPr>
              <w:ind w:left="213"/>
              <w:jc w:val="center"/>
              <w:rPr>
                <w:rFonts w:asciiTheme="minorHAnsi" w:eastAsia="SimSun" w:hAnsiTheme="minorHAnsi" w:cstheme="minorHAnsi"/>
                <w:color w:val="000000"/>
                <w:sz w:val="18"/>
                <w:szCs w:val="18"/>
              </w:rPr>
            </w:pPr>
            <w:r w:rsidRPr="002E194C">
              <w:rPr>
                <w:rFonts w:asciiTheme="minorHAnsi" w:hAnsiTheme="minorHAnsi" w:cstheme="minorHAnsi"/>
                <w:color w:val="000000"/>
                <w:sz w:val="18"/>
                <w:szCs w:val="18"/>
              </w:rPr>
              <w:t>42,108</w:t>
            </w:r>
          </w:p>
        </w:tc>
        <w:tc>
          <w:tcPr>
            <w:tcW w:w="1108" w:type="dxa"/>
            <w:tcMar>
              <w:left w:w="57" w:type="dxa"/>
              <w:right w:w="28" w:type="dxa"/>
            </w:tcMar>
            <w:vAlign w:val="center"/>
          </w:tcPr>
          <w:p w14:paraId="2E6ECDEB" w14:textId="19D6467B" w:rsidR="00923CAE" w:rsidRPr="00923CAE" w:rsidRDefault="00923CAE" w:rsidP="002E194C">
            <w:pPr>
              <w:ind w:left="213"/>
              <w:jc w:val="center"/>
              <w:rPr>
                <w:rFonts w:asciiTheme="minorHAnsi" w:eastAsia="SimSun" w:hAnsiTheme="minorHAnsi" w:cstheme="minorHAnsi"/>
                <w:color w:val="000000"/>
                <w:sz w:val="18"/>
                <w:szCs w:val="18"/>
              </w:rPr>
            </w:pPr>
          </w:p>
        </w:tc>
        <w:tc>
          <w:tcPr>
            <w:tcW w:w="1108" w:type="dxa"/>
            <w:shd w:val="clear" w:color="auto" w:fill="auto"/>
            <w:tcMar>
              <w:left w:w="57" w:type="dxa"/>
              <w:right w:w="28" w:type="dxa"/>
            </w:tcMar>
            <w:vAlign w:val="center"/>
          </w:tcPr>
          <w:p w14:paraId="6BDE86C3" w14:textId="748B59BD" w:rsidR="00923CAE" w:rsidRPr="00923CAE" w:rsidRDefault="007016BC" w:rsidP="002E194C">
            <w:pPr>
              <w:ind w:left="213"/>
              <w:jc w:val="center"/>
              <w:rPr>
                <w:rFonts w:asciiTheme="minorHAnsi" w:eastAsia="SimSun" w:hAnsiTheme="minorHAnsi" w:cstheme="minorHAnsi"/>
                <w:color w:val="000000"/>
                <w:sz w:val="18"/>
                <w:szCs w:val="18"/>
              </w:rPr>
            </w:pPr>
            <w:r w:rsidRPr="002E194C">
              <w:rPr>
                <w:rFonts w:asciiTheme="minorHAnsi" w:hAnsiTheme="minorHAnsi" w:cstheme="minorHAnsi"/>
                <w:color w:val="000000"/>
                <w:sz w:val="18"/>
                <w:szCs w:val="18"/>
              </w:rPr>
              <w:t>0</w:t>
            </w:r>
          </w:p>
        </w:tc>
        <w:tc>
          <w:tcPr>
            <w:tcW w:w="1108" w:type="dxa"/>
            <w:shd w:val="clear" w:color="auto" w:fill="auto"/>
            <w:tcMar>
              <w:left w:w="57" w:type="dxa"/>
              <w:right w:w="28" w:type="dxa"/>
            </w:tcMar>
            <w:vAlign w:val="center"/>
          </w:tcPr>
          <w:p w14:paraId="52E4D13D" w14:textId="1DCC9261" w:rsidR="00923CAE" w:rsidRPr="00923CAE" w:rsidRDefault="00923CAE" w:rsidP="002E194C">
            <w:pPr>
              <w:ind w:left="213"/>
              <w:jc w:val="center"/>
              <w:rPr>
                <w:rFonts w:asciiTheme="minorHAnsi" w:eastAsia="SimSun" w:hAnsiTheme="minorHAnsi" w:cstheme="minorHAnsi"/>
                <w:color w:val="000000"/>
                <w:sz w:val="18"/>
                <w:szCs w:val="18"/>
              </w:rPr>
            </w:pPr>
            <w:r w:rsidRPr="002E194C">
              <w:rPr>
                <w:rFonts w:asciiTheme="minorHAnsi" w:eastAsia="SimSun" w:hAnsiTheme="minorHAnsi" w:cstheme="minorHAnsi"/>
                <w:color w:val="000000"/>
                <w:sz w:val="18"/>
                <w:szCs w:val="18"/>
              </w:rPr>
              <w:t>4</w:t>
            </w:r>
            <w:r>
              <w:rPr>
                <w:rFonts w:asciiTheme="minorHAnsi" w:eastAsia="SimSun" w:hAnsiTheme="minorHAnsi" w:cstheme="minorHAnsi"/>
                <w:color w:val="000000"/>
                <w:sz w:val="18"/>
                <w:szCs w:val="18"/>
              </w:rPr>
              <w:t>,</w:t>
            </w:r>
            <w:r w:rsidR="007016BC" w:rsidRPr="002E194C">
              <w:rPr>
                <w:rFonts w:asciiTheme="minorHAnsi" w:hAnsiTheme="minorHAnsi" w:cstheme="minorHAnsi"/>
                <w:color w:val="000000"/>
                <w:sz w:val="18"/>
                <w:szCs w:val="18"/>
              </w:rPr>
              <w:t>350</w:t>
            </w:r>
          </w:p>
        </w:tc>
        <w:tc>
          <w:tcPr>
            <w:tcW w:w="1104" w:type="dxa"/>
            <w:shd w:val="clear" w:color="auto" w:fill="auto"/>
            <w:tcMar>
              <w:left w:w="57" w:type="dxa"/>
              <w:right w:w="28" w:type="dxa"/>
            </w:tcMar>
            <w:vAlign w:val="center"/>
          </w:tcPr>
          <w:p w14:paraId="2F3BE84E" w14:textId="60198D78" w:rsidR="00923CAE" w:rsidRPr="00923CAE" w:rsidRDefault="007016BC" w:rsidP="002E194C">
            <w:pPr>
              <w:ind w:left="213"/>
              <w:jc w:val="center"/>
              <w:rPr>
                <w:rFonts w:asciiTheme="minorHAnsi" w:eastAsia="SimSun" w:hAnsiTheme="minorHAnsi" w:cstheme="minorHAnsi"/>
                <w:color w:val="000000"/>
                <w:sz w:val="18"/>
                <w:szCs w:val="18"/>
              </w:rPr>
            </w:pPr>
            <w:r w:rsidRPr="002E194C">
              <w:rPr>
                <w:rFonts w:asciiTheme="minorHAnsi" w:hAnsiTheme="minorHAnsi" w:cstheme="minorHAnsi"/>
                <w:color w:val="000000"/>
                <w:sz w:val="18"/>
                <w:szCs w:val="18"/>
              </w:rPr>
              <w:t>0</w:t>
            </w:r>
          </w:p>
        </w:tc>
      </w:tr>
      <w:tr w:rsidR="00923CAE" w:rsidRPr="00923CAE" w14:paraId="1FFF5290" w14:textId="77777777" w:rsidTr="002E194C">
        <w:trPr>
          <w:trHeight w:val="282"/>
        </w:trPr>
        <w:tc>
          <w:tcPr>
            <w:tcW w:w="2262" w:type="dxa"/>
            <w:shd w:val="clear" w:color="auto" w:fill="auto"/>
            <w:tcMar>
              <w:left w:w="57" w:type="dxa"/>
              <w:right w:w="28" w:type="dxa"/>
            </w:tcMar>
            <w:vAlign w:val="bottom"/>
            <w:hideMark/>
          </w:tcPr>
          <w:p w14:paraId="7B782BCF" w14:textId="4D76B16E" w:rsidR="00923CAE" w:rsidRPr="00923CAE" w:rsidRDefault="00411254" w:rsidP="00923CAE">
            <w:pPr>
              <w:ind w:left="213"/>
              <w:jc w:val="both"/>
              <w:rPr>
                <w:rFonts w:asciiTheme="minorHAnsi" w:eastAsia="SimSun" w:hAnsiTheme="minorHAnsi" w:cstheme="minorHAnsi"/>
                <w:color w:val="000000"/>
                <w:sz w:val="18"/>
                <w:szCs w:val="18"/>
                <w:lang w:val="en-US" w:eastAsia="pt-BR"/>
              </w:rPr>
            </w:pPr>
            <w:r w:rsidRPr="003B4367">
              <w:rPr>
                <w:rFonts w:asciiTheme="minorHAnsi" w:hAnsiTheme="minorHAnsi" w:cstheme="minorHAnsi"/>
                <w:color w:val="000000"/>
                <w:sz w:val="18"/>
                <w:szCs w:val="18"/>
              </w:rPr>
              <w:t>Forest</w:t>
            </w:r>
          </w:p>
        </w:tc>
        <w:tc>
          <w:tcPr>
            <w:tcW w:w="1106" w:type="dxa"/>
            <w:tcMar>
              <w:left w:w="57" w:type="dxa"/>
              <w:right w:w="28" w:type="dxa"/>
            </w:tcMar>
            <w:vAlign w:val="center"/>
          </w:tcPr>
          <w:p w14:paraId="4C358B4D" w14:textId="4C22267E" w:rsidR="00923CAE" w:rsidRPr="00923CAE" w:rsidRDefault="00923CAE" w:rsidP="002E194C">
            <w:pPr>
              <w:ind w:left="213"/>
              <w:jc w:val="center"/>
              <w:rPr>
                <w:rFonts w:asciiTheme="minorHAnsi" w:eastAsia="SimSun" w:hAnsiTheme="minorHAnsi" w:cstheme="minorHAnsi"/>
                <w:color w:val="000000"/>
                <w:sz w:val="18"/>
                <w:szCs w:val="18"/>
              </w:rPr>
            </w:pPr>
          </w:p>
        </w:tc>
        <w:tc>
          <w:tcPr>
            <w:tcW w:w="1108" w:type="dxa"/>
            <w:tcMar>
              <w:left w:w="57" w:type="dxa"/>
              <w:right w:w="28" w:type="dxa"/>
            </w:tcMar>
            <w:vAlign w:val="center"/>
          </w:tcPr>
          <w:p w14:paraId="3D2DE06A" w14:textId="286AC71E" w:rsidR="00923CAE" w:rsidRPr="00923CAE" w:rsidRDefault="007016BC" w:rsidP="002E194C">
            <w:pPr>
              <w:ind w:left="213"/>
              <w:jc w:val="center"/>
              <w:rPr>
                <w:rFonts w:asciiTheme="minorHAnsi" w:eastAsia="SimSun" w:hAnsiTheme="minorHAnsi" w:cstheme="minorHAnsi"/>
                <w:color w:val="000000"/>
                <w:sz w:val="18"/>
                <w:szCs w:val="18"/>
              </w:rPr>
            </w:pPr>
            <w:r w:rsidRPr="002E194C">
              <w:rPr>
                <w:rFonts w:asciiTheme="minorHAnsi" w:hAnsiTheme="minorHAnsi" w:cstheme="minorHAnsi"/>
                <w:color w:val="000000"/>
                <w:sz w:val="18"/>
                <w:szCs w:val="18"/>
              </w:rPr>
              <w:t>33,274</w:t>
            </w:r>
          </w:p>
        </w:tc>
        <w:tc>
          <w:tcPr>
            <w:tcW w:w="1108" w:type="dxa"/>
            <w:tcMar>
              <w:left w:w="57" w:type="dxa"/>
              <w:right w:w="28" w:type="dxa"/>
            </w:tcMar>
            <w:vAlign w:val="center"/>
          </w:tcPr>
          <w:p w14:paraId="24071B60" w14:textId="0CBD618B" w:rsidR="00923CAE" w:rsidRPr="00923CAE" w:rsidRDefault="007016BC" w:rsidP="002E194C">
            <w:pPr>
              <w:ind w:left="213"/>
              <w:jc w:val="center"/>
              <w:rPr>
                <w:rFonts w:asciiTheme="minorHAnsi" w:eastAsia="SimSun" w:hAnsiTheme="minorHAnsi" w:cstheme="minorHAnsi"/>
                <w:color w:val="000000"/>
                <w:sz w:val="18"/>
                <w:szCs w:val="18"/>
              </w:rPr>
            </w:pPr>
            <w:r w:rsidRPr="002E194C">
              <w:rPr>
                <w:rFonts w:asciiTheme="minorHAnsi" w:hAnsiTheme="minorHAnsi" w:cstheme="minorHAnsi"/>
                <w:color w:val="000000"/>
                <w:sz w:val="18"/>
                <w:szCs w:val="18"/>
              </w:rPr>
              <w:t>114</w:t>
            </w:r>
          </w:p>
        </w:tc>
        <w:tc>
          <w:tcPr>
            <w:tcW w:w="1108" w:type="dxa"/>
            <w:shd w:val="clear" w:color="auto" w:fill="auto"/>
            <w:tcMar>
              <w:left w:w="57" w:type="dxa"/>
              <w:right w:w="28" w:type="dxa"/>
            </w:tcMar>
            <w:vAlign w:val="center"/>
          </w:tcPr>
          <w:p w14:paraId="3FB1F5AF" w14:textId="4F5510E8" w:rsidR="00923CAE" w:rsidRPr="00923CAE" w:rsidRDefault="007016BC" w:rsidP="002E194C">
            <w:pPr>
              <w:ind w:left="213"/>
              <w:jc w:val="center"/>
              <w:rPr>
                <w:rFonts w:asciiTheme="minorHAnsi" w:eastAsia="SimSun" w:hAnsiTheme="minorHAnsi" w:cstheme="minorHAnsi"/>
                <w:color w:val="000000"/>
                <w:sz w:val="18"/>
                <w:szCs w:val="18"/>
              </w:rPr>
            </w:pPr>
            <w:r w:rsidRPr="002E194C">
              <w:rPr>
                <w:rFonts w:asciiTheme="minorHAnsi" w:hAnsiTheme="minorHAnsi" w:cstheme="minorHAnsi"/>
                <w:color w:val="000000"/>
                <w:sz w:val="18"/>
                <w:szCs w:val="18"/>
              </w:rPr>
              <w:t>0</w:t>
            </w:r>
          </w:p>
        </w:tc>
        <w:tc>
          <w:tcPr>
            <w:tcW w:w="1108" w:type="dxa"/>
            <w:shd w:val="clear" w:color="auto" w:fill="auto"/>
            <w:tcMar>
              <w:left w:w="57" w:type="dxa"/>
              <w:right w:w="28" w:type="dxa"/>
            </w:tcMar>
            <w:vAlign w:val="center"/>
          </w:tcPr>
          <w:p w14:paraId="292B232D" w14:textId="5239172A" w:rsidR="00923CAE" w:rsidRPr="00923CAE" w:rsidRDefault="00143703" w:rsidP="002E194C">
            <w:pPr>
              <w:ind w:left="213"/>
              <w:jc w:val="center"/>
              <w:rPr>
                <w:rFonts w:asciiTheme="minorHAnsi" w:eastAsia="SimSun" w:hAnsiTheme="minorHAnsi" w:cstheme="minorHAnsi"/>
                <w:color w:val="000000"/>
                <w:sz w:val="18"/>
                <w:szCs w:val="18"/>
              </w:rPr>
            </w:pPr>
            <w:r w:rsidRPr="00143703">
              <w:rPr>
                <w:rFonts w:asciiTheme="minorHAnsi" w:hAnsiTheme="minorHAnsi" w:cstheme="minorHAnsi"/>
                <w:color w:val="000000"/>
                <w:sz w:val="18"/>
                <w:szCs w:val="18"/>
              </w:rPr>
              <w:t>5</w:t>
            </w:r>
            <w:r>
              <w:rPr>
                <w:rFonts w:asciiTheme="minorHAnsi" w:hAnsiTheme="minorHAnsi" w:cstheme="minorHAnsi"/>
                <w:color w:val="000000"/>
                <w:sz w:val="18"/>
                <w:szCs w:val="18"/>
              </w:rPr>
              <w:t>,</w:t>
            </w:r>
            <w:r w:rsidRPr="00143703">
              <w:rPr>
                <w:rFonts w:asciiTheme="minorHAnsi" w:hAnsiTheme="minorHAnsi" w:cstheme="minorHAnsi"/>
                <w:color w:val="000000"/>
                <w:sz w:val="18"/>
                <w:szCs w:val="18"/>
              </w:rPr>
              <w:t>374</w:t>
            </w:r>
          </w:p>
        </w:tc>
        <w:tc>
          <w:tcPr>
            <w:tcW w:w="1104" w:type="dxa"/>
            <w:shd w:val="clear" w:color="auto" w:fill="auto"/>
            <w:tcMar>
              <w:left w:w="57" w:type="dxa"/>
              <w:right w:w="28" w:type="dxa"/>
            </w:tcMar>
            <w:vAlign w:val="center"/>
          </w:tcPr>
          <w:p w14:paraId="76F13EB3" w14:textId="28AF1357" w:rsidR="00923CAE" w:rsidRPr="00923CAE" w:rsidRDefault="00143703" w:rsidP="002E194C">
            <w:pPr>
              <w:ind w:left="213"/>
              <w:jc w:val="center"/>
              <w:rPr>
                <w:rFonts w:asciiTheme="minorHAnsi" w:eastAsia="SimSun" w:hAnsiTheme="minorHAnsi" w:cstheme="minorHAnsi"/>
                <w:color w:val="000000"/>
                <w:sz w:val="18"/>
                <w:szCs w:val="18"/>
              </w:rPr>
            </w:pPr>
            <w:r w:rsidRPr="002E194C">
              <w:rPr>
                <w:rFonts w:asciiTheme="minorHAnsi" w:hAnsiTheme="minorHAnsi" w:cstheme="minorHAnsi"/>
                <w:color w:val="000000"/>
                <w:sz w:val="18"/>
                <w:szCs w:val="18"/>
              </w:rPr>
              <w:t>114</w:t>
            </w:r>
          </w:p>
        </w:tc>
      </w:tr>
      <w:tr w:rsidR="00923CAE" w:rsidRPr="00923CAE" w14:paraId="4CB43CA7" w14:textId="77777777" w:rsidTr="002E194C">
        <w:trPr>
          <w:trHeight w:val="282"/>
        </w:trPr>
        <w:tc>
          <w:tcPr>
            <w:tcW w:w="2262" w:type="dxa"/>
            <w:shd w:val="clear" w:color="auto" w:fill="auto"/>
            <w:tcMar>
              <w:left w:w="57" w:type="dxa"/>
              <w:right w:w="28" w:type="dxa"/>
            </w:tcMar>
            <w:vAlign w:val="bottom"/>
            <w:hideMark/>
          </w:tcPr>
          <w:p w14:paraId="210F29C4" w14:textId="4C137A06" w:rsidR="00923CAE" w:rsidRPr="00923CAE" w:rsidRDefault="008138EB" w:rsidP="00923CAE">
            <w:pPr>
              <w:ind w:left="213"/>
              <w:jc w:val="both"/>
              <w:rPr>
                <w:rFonts w:asciiTheme="minorHAnsi" w:eastAsia="SimSun" w:hAnsiTheme="minorHAnsi" w:cstheme="minorHAnsi"/>
                <w:color w:val="000000"/>
                <w:sz w:val="18"/>
                <w:szCs w:val="18"/>
                <w:lang w:val="en-US" w:eastAsia="pt-BR"/>
              </w:rPr>
            </w:pPr>
            <w:r>
              <w:rPr>
                <w:rFonts w:asciiTheme="minorHAnsi" w:hAnsiTheme="minorHAnsi" w:cstheme="minorHAnsi"/>
                <w:color w:val="000000"/>
                <w:sz w:val="18"/>
                <w:szCs w:val="18"/>
              </w:rPr>
              <w:t>Multi LU</w:t>
            </w:r>
          </w:p>
        </w:tc>
        <w:tc>
          <w:tcPr>
            <w:tcW w:w="1106" w:type="dxa"/>
            <w:tcMar>
              <w:left w:w="57" w:type="dxa"/>
              <w:right w:w="28" w:type="dxa"/>
            </w:tcMar>
            <w:vAlign w:val="center"/>
          </w:tcPr>
          <w:p w14:paraId="5DC21AAB" w14:textId="2D324DF2" w:rsidR="00923CAE" w:rsidRPr="00923CAE" w:rsidRDefault="007016BC" w:rsidP="002E194C">
            <w:pPr>
              <w:ind w:left="213"/>
              <w:jc w:val="center"/>
              <w:rPr>
                <w:rFonts w:asciiTheme="minorHAnsi" w:eastAsia="SimSun" w:hAnsiTheme="minorHAnsi" w:cstheme="minorHAnsi"/>
                <w:color w:val="000000"/>
                <w:sz w:val="18"/>
                <w:szCs w:val="18"/>
              </w:rPr>
            </w:pPr>
            <w:r w:rsidRPr="002E194C">
              <w:rPr>
                <w:rFonts w:asciiTheme="minorHAnsi" w:hAnsiTheme="minorHAnsi" w:cstheme="minorHAnsi"/>
                <w:color w:val="000000"/>
                <w:sz w:val="18"/>
                <w:szCs w:val="18"/>
              </w:rPr>
              <w:t>167,300</w:t>
            </w:r>
          </w:p>
        </w:tc>
        <w:tc>
          <w:tcPr>
            <w:tcW w:w="1108" w:type="dxa"/>
            <w:tcMar>
              <w:left w:w="57" w:type="dxa"/>
              <w:right w:w="28" w:type="dxa"/>
            </w:tcMar>
            <w:vAlign w:val="center"/>
          </w:tcPr>
          <w:p w14:paraId="7A86037C" w14:textId="552B96F3" w:rsidR="00923CAE" w:rsidRPr="00923CAE" w:rsidRDefault="00923CAE" w:rsidP="002E194C">
            <w:pPr>
              <w:ind w:left="213"/>
              <w:jc w:val="center"/>
              <w:rPr>
                <w:rFonts w:asciiTheme="minorHAnsi" w:eastAsia="SimSun" w:hAnsiTheme="minorHAnsi" w:cstheme="minorHAnsi"/>
                <w:color w:val="000000"/>
                <w:sz w:val="18"/>
                <w:szCs w:val="18"/>
              </w:rPr>
            </w:pPr>
          </w:p>
        </w:tc>
        <w:tc>
          <w:tcPr>
            <w:tcW w:w="1108" w:type="dxa"/>
            <w:tcMar>
              <w:left w:w="57" w:type="dxa"/>
              <w:right w:w="28" w:type="dxa"/>
            </w:tcMar>
            <w:vAlign w:val="center"/>
          </w:tcPr>
          <w:p w14:paraId="0240A56F" w14:textId="77777777" w:rsidR="00923CAE" w:rsidRPr="00923CAE" w:rsidRDefault="00923CAE" w:rsidP="002E194C">
            <w:pPr>
              <w:ind w:left="213"/>
              <w:jc w:val="center"/>
              <w:rPr>
                <w:rFonts w:asciiTheme="minorHAnsi" w:eastAsia="SimSun" w:hAnsiTheme="minorHAnsi" w:cstheme="minorHAnsi"/>
                <w:color w:val="000000"/>
                <w:sz w:val="18"/>
                <w:szCs w:val="18"/>
              </w:rPr>
            </w:pPr>
          </w:p>
        </w:tc>
        <w:tc>
          <w:tcPr>
            <w:tcW w:w="1108" w:type="dxa"/>
            <w:shd w:val="clear" w:color="auto" w:fill="auto"/>
            <w:tcMar>
              <w:left w:w="57" w:type="dxa"/>
              <w:right w:w="28" w:type="dxa"/>
            </w:tcMar>
            <w:vAlign w:val="center"/>
          </w:tcPr>
          <w:p w14:paraId="051750B2" w14:textId="5C709275" w:rsidR="00923CAE" w:rsidRPr="00923CAE" w:rsidRDefault="007016BC" w:rsidP="002E194C">
            <w:pPr>
              <w:ind w:left="213"/>
              <w:jc w:val="center"/>
              <w:rPr>
                <w:rFonts w:asciiTheme="minorHAnsi" w:eastAsia="SimSun" w:hAnsiTheme="minorHAnsi" w:cstheme="minorHAnsi"/>
                <w:color w:val="000000"/>
                <w:sz w:val="18"/>
                <w:szCs w:val="18"/>
              </w:rPr>
            </w:pPr>
            <w:r w:rsidRPr="002E194C">
              <w:rPr>
                <w:rFonts w:asciiTheme="minorHAnsi" w:hAnsiTheme="minorHAnsi" w:cstheme="minorHAnsi"/>
                <w:color w:val="000000"/>
                <w:sz w:val="18"/>
                <w:szCs w:val="18"/>
              </w:rPr>
              <w:t>0</w:t>
            </w:r>
          </w:p>
        </w:tc>
        <w:tc>
          <w:tcPr>
            <w:tcW w:w="1108" w:type="dxa"/>
            <w:shd w:val="clear" w:color="auto" w:fill="auto"/>
            <w:tcMar>
              <w:left w:w="57" w:type="dxa"/>
              <w:right w:w="28" w:type="dxa"/>
            </w:tcMar>
            <w:vAlign w:val="center"/>
          </w:tcPr>
          <w:p w14:paraId="6A7F6713" w14:textId="65AF837E" w:rsidR="00923CAE" w:rsidRPr="00923CAE" w:rsidRDefault="007016BC" w:rsidP="002E194C">
            <w:pPr>
              <w:ind w:left="213"/>
              <w:jc w:val="center"/>
              <w:rPr>
                <w:rFonts w:asciiTheme="minorHAnsi" w:eastAsia="SimSun" w:hAnsiTheme="minorHAnsi" w:cstheme="minorHAnsi"/>
                <w:color w:val="000000"/>
                <w:sz w:val="18"/>
                <w:szCs w:val="18"/>
              </w:rPr>
            </w:pPr>
            <w:r w:rsidRPr="002E194C">
              <w:rPr>
                <w:rFonts w:asciiTheme="minorHAnsi" w:hAnsiTheme="minorHAnsi" w:cstheme="minorHAnsi"/>
                <w:color w:val="000000"/>
                <w:sz w:val="18"/>
                <w:szCs w:val="18"/>
              </w:rPr>
              <w:t>0</w:t>
            </w:r>
          </w:p>
        </w:tc>
        <w:tc>
          <w:tcPr>
            <w:tcW w:w="1104" w:type="dxa"/>
            <w:shd w:val="clear" w:color="auto" w:fill="auto"/>
            <w:tcMar>
              <w:left w:w="57" w:type="dxa"/>
              <w:right w:w="28" w:type="dxa"/>
            </w:tcMar>
            <w:vAlign w:val="center"/>
          </w:tcPr>
          <w:p w14:paraId="34A22D65" w14:textId="195475AE" w:rsidR="00923CAE" w:rsidRPr="00923CAE" w:rsidRDefault="007016BC" w:rsidP="002E194C">
            <w:pPr>
              <w:ind w:left="213"/>
              <w:jc w:val="center"/>
              <w:rPr>
                <w:rFonts w:asciiTheme="minorHAnsi" w:eastAsia="SimSun" w:hAnsiTheme="minorHAnsi" w:cstheme="minorHAnsi"/>
                <w:color w:val="000000"/>
                <w:sz w:val="18"/>
                <w:szCs w:val="18"/>
              </w:rPr>
            </w:pPr>
            <w:r w:rsidRPr="002E194C">
              <w:rPr>
                <w:rFonts w:asciiTheme="minorHAnsi" w:hAnsiTheme="minorHAnsi" w:cstheme="minorHAnsi"/>
                <w:color w:val="000000"/>
                <w:sz w:val="18"/>
                <w:szCs w:val="18"/>
              </w:rPr>
              <w:t>0</w:t>
            </w:r>
          </w:p>
        </w:tc>
      </w:tr>
      <w:tr w:rsidR="00923CAE" w:rsidRPr="00923CAE" w14:paraId="6F6D4A13" w14:textId="77777777" w:rsidTr="002E194C">
        <w:trPr>
          <w:trHeight w:val="282"/>
        </w:trPr>
        <w:tc>
          <w:tcPr>
            <w:tcW w:w="2262" w:type="dxa"/>
            <w:shd w:val="clear" w:color="000000" w:fill="D6DCE4"/>
            <w:tcMar>
              <w:left w:w="57" w:type="dxa"/>
              <w:right w:w="28" w:type="dxa"/>
            </w:tcMar>
            <w:hideMark/>
          </w:tcPr>
          <w:p w14:paraId="3987BF04" w14:textId="20D129B3" w:rsidR="00923CAE" w:rsidRPr="00923CAE" w:rsidRDefault="00E749A2" w:rsidP="00923CAE">
            <w:pPr>
              <w:jc w:val="both"/>
              <w:rPr>
                <w:rFonts w:asciiTheme="minorHAnsi" w:eastAsia="SimSun" w:hAnsiTheme="minorHAnsi" w:cstheme="minorHAnsi"/>
                <w:b/>
                <w:bCs/>
                <w:color w:val="000000"/>
                <w:sz w:val="18"/>
                <w:szCs w:val="18"/>
                <w:lang w:val="en-US" w:eastAsia="pt-BR"/>
              </w:rPr>
            </w:pPr>
            <w:r>
              <w:rPr>
                <w:rFonts w:asciiTheme="minorHAnsi" w:hAnsiTheme="minorHAnsi" w:cstheme="minorHAnsi"/>
                <w:b/>
                <w:bCs/>
                <w:color w:val="000000"/>
                <w:sz w:val="18"/>
                <w:szCs w:val="18"/>
                <w:lang w:val="es-ES"/>
              </w:rPr>
              <w:t>Cahama-Cunene</w:t>
            </w:r>
            <w:r w:rsidR="00AE4695">
              <w:rPr>
                <w:rFonts w:asciiTheme="minorHAnsi" w:hAnsiTheme="minorHAnsi" w:cstheme="minorHAnsi"/>
                <w:b/>
                <w:bCs/>
                <w:color w:val="000000"/>
                <w:sz w:val="18"/>
                <w:szCs w:val="18"/>
                <w:lang w:val="es-ES"/>
              </w:rPr>
              <w:t xml:space="preserve"> (sub-basin 2)</w:t>
            </w:r>
          </w:p>
        </w:tc>
        <w:tc>
          <w:tcPr>
            <w:tcW w:w="1106" w:type="dxa"/>
            <w:shd w:val="clear" w:color="000000" w:fill="D6DCE4"/>
            <w:tcMar>
              <w:left w:w="57" w:type="dxa"/>
              <w:right w:w="28" w:type="dxa"/>
            </w:tcMar>
            <w:vAlign w:val="center"/>
          </w:tcPr>
          <w:p w14:paraId="27B7C8F5" w14:textId="77777777" w:rsidR="00923CAE" w:rsidRPr="00923CAE" w:rsidRDefault="00923CAE" w:rsidP="00923CAE">
            <w:pPr>
              <w:jc w:val="center"/>
              <w:rPr>
                <w:rFonts w:asciiTheme="minorHAnsi" w:eastAsia="SimSun" w:hAnsiTheme="minorHAnsi" w:cstheme="minorHAnsi"/>
                <w:color w:val="000000"/>
                <w:sz w:val="18"/>
                <w:szCs w:val="18"/>
                <w:lang w:val="en-US" w:eastAsia="pt-BR"/>
              </w:rPr>
            </w:pPr>
          </w:p>
        </w:tc>
        <w:tc>
          <w:tcPr>
            <w:tcW w:w="1108" w:type="dxa"/>
            <w:shd w:val="clear" w:color="000000" w:fill="D6DCE4"/>
            <w:tcMar>
              <w:left w:w="57" w:type="dxa"/>
              <w:right w:w="28" w:type="dxa"/>
            </w:tcMar>
            <w:vAlign w:val="center"/>
          </w:tcPr>
          <w:p w14:paraId="50A523F0" w14:textId="77777777" w:rsidR="00923CAE" w:rsidRPr="00923CAE" w:rsidRDefault="00923CAE" w:rsidP="00923CAE">
            <w:pPr>
              <w:jc w:val="center"/>
              <w:rPr>
                <w:rFonts w:asciiTheme="minorHAnsi" w:eastAsia="SimSun" w:hAnsiTheme="minorHAnsi" w:cstheme="minorHAnsi"/>
                <w:color w:val="000000"/>
                <w:sz w:val="18"/>
                <w:szCs w:val="18"/>
                <w:lang w:val="en-US" w:eastAsia="pt-BR"/>
              </w:rPr>
            </w:pPr>
          </w:p>
        </w:tc>
        <w:tc>
          <w:tcPr>
            <w:tcW w:w="1108" w:type="dxa"/>
            <w:shd w:val="clear" w:color="000000" w:fill="D6DCE4"/>
            <w:tcMar>
              <w:left w:w="57" w:type="dxa"/>
              <w:right w:w="28" w:type="dxa"/>
            </w:tcMar>
            <w:vAlign w:val="center"/>
          </w:tcPr>
          <w:p w14:paraId="6A608C38" w14:textId="77777777" w:rsidR="00923CAE" w:rsidRPr="00923CAE" w:rsidRDefault="00923CAE" w:rsidP="00923CAE">
            <w:pPr>
              <w:jc w:val="center"/>
              <w:rPr>
                <w:rFonts w:asciiTheme="minorHAnsi" w:eastAsia="SimSun" w:hAnsiTheme="minorHAnsi" w:cstheme="minorHAnsi"/>
                <w:color w:val="000000"/>
                <w:sz w:val="18"/>
                <w:szCs w:val="18"/>
                <w:lang w:val="en-US" w:eastAsia="pt-BR"/>
              </w:rPr>
            </w:pPr>
          </w:p>
        </w:tc>
        <w:tc>
          <w:tcPr>
            <w:tcW w:w="1108" w:type="dxa"/>
            <w:shd w:val="clear" w:color="000000" w:fill="D6DCE4"/>
            <w:tcMar>
              <w:left w:w="57" w:type="dxa"/>
              <w:right w:w="28" w:type="dxa"/>
            </w:tcMar>
            <w:vAlign w:val="center"/>
          </w:tcPr>
          <w:p w14:paraId="14F03EFA" w14:textId="77777777" w:rsidR="00923CAE" w:rsidRPr="00923CAE" w:rsidRDefault="00923CAE" w:rsidP="00923CAE">
            <w:pPr>
              <w:jc w:val="center"/>
              <w:rPr>
                <w:rFonts w:asciiTheme="minorHAnsi" w:eastAsia="SimSun" w:hAnsiTheme="minorHAnsi" w:cstheme="minorHAnsi"/>
                <w:color w:val="000000"/>
                <w:sz w:val="18"/>
                <w:szCs w:val="18"/>
                <w:lang w:val="en-US" w:eastAsia="pt-BR"/>
              </w:rPr>
            </w:pPr>
          </w:p>
        </w:tc>
        <w:tc>
          <w:tcPr>
            <w:tcW w:w="1108" w:type="dxa"/>
            <w:shd w:val="clear" w:color="000000" w:fill="D6DCE4"/>
            <w:tcMar>
              <w:left w:w="57" w:type="dxa"/>
              <w:right w:w="28" w:type="dxa"/>
            </w:tcMar>
            <w:vAlign w:val="center"/>
          </w:tcPr>
          <w:p w14:paraId="5FACAF3F" w14:textId="77777777" w:rsidR="00923CAE" w:rsidRPr="00923CAE" w:rsidRDefault="00923CAE" w:rsidP="00923CAE">
            <w:pPr>
              <w:jc w:val="center"/>
              <w:rPr>
                <w:rFonts w:asciiTheme="minorHAnsi" w:eastAsia="SimSun" w:hAnsiTheme="minorHAnsi" w:cstheme="minorHAnsi"/>
                <w:color w:val="000000"/>
                <w:sz w:val="18"/>
                <w:szCs w:val="18"/>
                <w:lang w:val="en-US" w:eastAsia="pt-BR"/>
              </w:rPr>
            </w:pPr>
          </w:p>
        </w:tc>
        <w:tc>
          <w:tcPr>
            <w:tcW w:w="1104" w:type="dxa"/>
            <w:shd w:val="clear" w:color="000000" w:fill="D6DCE4"/>
            <w:tcMar>
              <w:left w:w="57" w:type="dxa"/>
              <w:right w:w="28" w:type="dxa"/>
            </w:tcMar>
            <w:vAlign w:val="center"/>
          </w:tcPr>
          <w:p w14:paraId="7ECBE717" w14:textId="77777777" w:rsidR="00923CAE" w:rsidRPr="00923CAE" w:rsidRDefault="00923CAE" w:rsidP="00923CAE">
            <w:pPr>
              <w:jc w:val="center"/>
              <w:rPr>
                <w:rFonts w:asciiTheme="minorHAnsi" w:eastAsia="SimSun" w:hAnsiTheme="minorHAnsi" w:cstheme="minorHAnsi"/>
                <w:color w:val="000000"/>
                <w:sz w:val="18"/>
                <w:szCs w:val="18"/>
                <w:lang w:val="en-US" w:eastAsia="pt-BR"/>
              </w:rPr>
            </w:pPr>
          </w:p>
        </w:tc>
      </w:tr>
      <w:tr w:rsidR="00923CAE" w:rsidRPr="00923CAE" w14:paraId="28454D00" w14:textId="77777777" w:rsidTr="002E194C">
        <w:trPr>
          <w:trHeight w:val="282"/>
        </w:trPr>
        <w:tc>
          <w:tcPr>
            <w:tcW w:w="2262" w:type="dxa"/>
            <w:shd w:val="clear" w:color="auto" w:fill="auto"/>
            <w:tcMar>
              <w:left w:w="57" w:type="dxa"/>
              <w:right w:w="28" w:type="dxa"/>
            </w:tcMar>
            <w:vAlign w:val="bottom"/>
            <w:hideMark/>
          </w:tcPr>
          <w:p w14:paraId="4EBFAA52" w14:textId="734EBAE9" w:rsidR="00923CAE" w:rsidRPr="00923CAE" w:rsidRDefault="00923CAE" w:rsidP="00923CAE">
            <w:pPr>
              <w:ind w:left="213"/>
              <w:jc w:val="both"/>
              <w:rPr>
                <w:rFonts w:asciiTheme="minorHAnsi" w:eastAsia="SimSun" w:hAnsiTheme="minorHAnsi" w:cstheme="minorHAnsi"/>
                <w:color w:val="000000"/>
                <w:sz w:val="18"/>
                <w:szCs w:val="18"/>
                <w:lang w:val="en-US" w:eastAsia="pt-BR"/>
              </w:rPr>
            </w:pPr>
            <w:r w:rsidRPr="00165301">
              <w:rPr>
                <w:rFonts w:asciiTheme="minorHAnsi" w:eastAsia="SimSun" w:hAnsiTheme="minorHAnsi" w:cstheme="minorHAnsi"/>
                <w:color w:val="000000"/>
                <w:sz w:val="18"/>
                <w:szCs w:val="18"/>
              </w:rPr>
              <w:t>Cropland</w:t>
            </w:r>
          </w:p>
        </w:tc>
        <w:tc>
          <w:tcPr>
            <w:tcW w:w="1106" w:type="dxa"/>
            <w:tcMar>
              <w:left w:w="57" w:type="dxa"/>
              <w:right w:w="28" w:type="dxa"/>
            </w:tcMar>
            <w:vAlign w:val="center"/>
          </w:tcPr>
          <w:p w14:paraId="29F5E987" w14:textId="27EE9981" w:rsidR="00923CAE" w:rsidRPr="00923CAE" w:rsidRDefault="00974A99" w:rsidP="002E194C">
            <w:pPr>
              <w:ind w:left="213"/>
              <w:jc w:val="center"/>
              <w:rPr>
                <w:rFonts w:asciiTheme="minorHAnsi" w:eastAsia="SimSun" w:hAnsiTheme="minorHAnsi" w:cstheme="minorHAnsi"/>
                <w:color w:val="000000"/>
                <w:sz w:val="18"/>
                <w:szCs w:val="18"/>
              </w:rPr>
            </w:pPr>
            <w:r w:rsidRPr="002E194C">
              <w:rPr>
                <w:rFonts w:asciiTheme="minorHAnsi" w:hAnsiTheme="minorHAnsi" w:cstheme="minorHAnsi"/>
                <w:color w:val="000000"/>
                <w:sz w:val="18"/>
                <w:szCs w:val="18"/>
              </w:rPr>
              <w:t>164</w:t>
            </w:r>
            <w:r w:rsidR="002E194C">
              <w:rPr>
                <w:rFonts w:asciiTheme="minorHAnsi" w:hAnsiTheme="minorHAnsi" w:cstheme="minorHAnsi"/>
                <w:color w:val="000000"/>
                <w:sz w:val="18"/>
                <w:szCs w:val="18"/>
              </w:rPr>
              <w:t>,</w:t>
            </w:r>
            <w:r w:rsidRPr="002E194C">
              <w:rPr>
                <w:rFonts w:asciiTheme="minorHAnsi" w:hAnsiTheme="minorHAnsi" w:cstheme="minorHAnsi"/>
                <w:color w:val="000000"/>
                <w:sz w:val="18"/>
                <w:szCs w:val="18"/>
              </w:rPr>
              <w:t>400</w:t>
            </w:r>
          </w:p>
        </w:tc>
        <w:tc>
          <w:tcPr>
            <w:tcW w:w="1108" w:type="dxa"/>
            <w:tcMar>
              <w:left w:w="57" w:type="dxa"/>
              <w:right w:w="28" w:type="dxa"/>
            </w:tcMar>
            <w:vAlign w:val="center"/>
          </w:tcPr>
          <w:p w14:paraId="5A0C9C6F" w14:textId="27634F86" w:rsidR="00923CAE" w:rsidRPr="00923CAE" w:rsidRDefault="00974A99" w:rsidP="002E194C">
            <w:pPr>
              <w:ind w:left="213"/>
              <w:jc w:val="center"/>
              <w:rPr>
                <w:rFonts w:asciiTheme="minorHAnsi" w:eastAsia="SimSun" w:hAnsiTheme="minorHAnsi" w:cstheme="minorHAnsi"/>
                <w:color w:val="000000"/>
                <w:sz w:val="18"/>
                <w:szCs w:val="18"/>
              </w:rPr>
            </w:pPr>
            <w:r w:rsidRPr="002E194C">
              <w:rPr>
                <w:rFonts w:asciiTheme="minorHAnsi" w:hAnsiTheme="minorHAnsi" w:cstheme="minorHAnsi"/>
                <w:color w:val="000000"/>
                <w:sz w:val="18"/>
                <w:szCs w:val="18"/>
              </w:rPr>
              <w:t>10</w:t>
            </w:r>
            <w:r w:rsidR="002E194C">
              <w:rPr>
                <w:rFonts w:asciiTheme="minorHAnsi" w:hAnsiTheme="minorHAnsi" w:cstheme="minorHAnsi"/>
                <w:color w:val="000000"/>
                <w:sz w:val="18"/>
                <w:szCs w:val="18"/>
              </w:rPr>
              <w:t>,</w:t>
            </w:r>
            <w:r w:rsidRPr="002E194C">
              <w:rPr>
                <w:rFonts w:asciiTheme="minorHAnsi" w:hAnsiTheme="minorHAnsi" w:cstheme="minorHAnsi"/>
                <w:color w:val="000000"/>
                <w:sz w:val="18"/>
                <w:szCs w:val="18"/>
              </w:rPr>
              <w:t>548</w:t>
            </w:r>
          </w:p>
        </w:tc>
        <w:tc>
          <w:tcPr>
            <w:tcW w:w="1108" w:type="dxa"/>
            <w:tcMar>
              <w:left w:w="57" w:type="dxa"/>
              <w:right w:w="28" w:type="dxa"/>
            </w:tcMar>
            <w:vAlign w:val="center"/>
          </w:tcPr>
          <w:p w14:paraId="30DA379A" w14:textId="5853CA84" w:rsidR="00923CAE" w:rsidRPr="00923CAE" w:rsidRDefault="00923CAE" w:rsidP="002E194C">
            <w:pPr>
              <w:ind w:left="213"/>
              <w:jc w:val="center"/>
              <w:rPr>
                <w:rFonts w:asciiTheme="minorHAnsi" w:eastAsia="SimSun" w:hAnsiTheme="minorHAnsi" w:cstheme="minorHAnsi"/>
                <w:color w:val="000000"/>
                <w:sz w:val="18"/>
                <w:szCs w:val="18"/>
              </w:rPr>
            </w:pPr>
          </w:p>
        </w:tc>
        <w:tc>
          <w:tcPr>
            <w:tcW w:w="1108" w:type="dxa"/>
            <w:shd w:val="clear" w:color="auto" w:fill="auto"/>
            <w:tcMar>
              <w:left w:w="57" w:type="dxa"/>
              <w:right w:w="28" w:type="dxa"/>
            </w:tcMar>
            <w:vAlign w:val="center"/>
          </w:tcPr>
          <w:p w14:paraId="3E93CA4A" w14:textId="25D61DB3" w:rsidR="00923CAE" w:rsidRPr="00923CAE" w:rsidRDefault="00974A99" w:rsidP="002E194C">
            <w:pPr>
              <w:ind w:left="213"/>
              <w:jc w:val="center"/>
              <w:rPr>
                <w:rFonts w:asciiTheme="minorHAnsi" w:eastAsia="SimSun" w:hAnsiTheme="minorHAnsi" w:cstheme="minorHAnsi"/>
                <w:color w:val="000000"/>
                <w:sz w:val="18"/>
                <w:szCs w:val="18"/>
              </w:rPr>
            </w:pPr>
            <w:r w:rsidRPr="002E194C">
              <w:rPr>
                <w:rFonts w:asciiTheme="minorHAnsi" w:hAnsiTheme="minorHAnsi" w:cstheme="minorHAnsi"/>
                <w:color w:val="000000"/>
                <w:sz w:val="18"/>
                <w:szCs w:val="18"/>
              </w:rPr>
              <w:t>0</w:t>
            </w:r>
          </w:p>
        </w:tc>
        <w:tc>
          <w:tcPr>
            <w:tcW w:w="1108" w:type="dxa"/>
            <w:shd w:val="clear" w:color="auto" w:fill="auto"/>
            <w:tcMar>
              <w:left w:w="57" w:type="dxa"/>
              <w:right w:w="28" w:type="dxa"/>
            </w:tcMar>
            <w:vAlign w:val="center"/>
          </w:tcPr>
          <w:p w14:paraId="46C44D54" w14:textId="0F3F60B2" w:rsidR="00923CAE" w:rsidRPr="00923CAE" w:rsidRDefault="00974A99" w:rsidP="002E194C">
            <w:pPr>
              <w:ind w:left="213"/>
              <w:jc w:val="center"/>
              <w:rPr>
                <w:rFonts w:asciiTheme="minorHAnsi" w:eastAsia="SimSun" w:hAnsiTheme="minorHAnsi" w:cstheme="minorHAnsi"/>
                <w:color w:val="000000"/>
                <w:sz w:val="18"/>
                <w:szCs w:val="18"/>
              </w:rPr>
            </w:pPr>
            <w:r w:rsidRPr="002E194C">
              <w:rPr>
                <w:rFonts w:asciiTheme="minorHAnsi" w:hAnsiTheme="minorHAnsi" w:cstheme="minorHAnsi"/>
                <w:color w:val="000000"/>
                <w:sz w:val="18"/>
                <w:szCs w:val="18"/>
              </w:rPr>
              <w:t>1</w:t>
            </w:r>
            <w:r w:rsidR="002E194C">
              <w:rPr>
                <w:rFonts w:asciiTheme="minorHAnsi" w:hAnsiTheme="minorHAnsi" w:cstheme="minorHAnsi"/>
                <w:color w:val="000000"/>
                <w:sz w:val="18"/>
                <w:szCs w:val="18"/>
              </w:rPr>
              <w:t>,</w:t>
            </w:r>
            <w:r w:rsidRPr="002E194C">
              <w:rPr>
                <w:rFonts w:asciiTheme="minorHAnsi" w:hAnsiTheme="minorHAnsi" w:cstheme="minorHAnsi"/>
                <w:color w:val="000000"/>
                <w:sz w:val="18"/>
                <w:szCs w:val="18"/>
              </w:rPr>
              <w:t>972.25</w:t>
            </w:r>
          </w:p>
        </w:tc>
        <w:tc>
          <w:tcPr>
            <w:tcW w:w="1104" w:type="dxa"/>
            <w:shd w:val="clear" w:color="auto" w:fill="auto"/>
            <w:tcMar>
              <w:left w:w="57" w:type="dxa"/>
              <w:right w:w="28" w:type="dxa"/>
            </w:tcMar>
            <w:vAlign w:val="center"/>
          </w:tcPr>
          <w:p w14:paraId="73D75E30" w14:textId="44B15955" w:rsidR="00923CAE" w:rsidRPr="00923CAE" w:rsidRDefault="00974A99" w:rsidP="002E194C">
            <w:pPr>
              <w:ind w:left="213"/>
              <w:jc w:val="center"/>
              <w:rPr>
                <w:rFonts w:asciiTheme="minorHAnsi" w:eastAsia="SimSun" w:hAnsiTheme="minorHAnsi" w:cstheme="minorHAnsi"/>
                <w:color w:val="000000"/>
                <w:sz w:val="18"/>
                <w:szCs w:val="18"/>
              </w:rPr>
            </w:pPr>
            <w:r w:rsidRPr="002E194C">
              <w:rPr>
                <w:rFonts w:asciiTheme="minorHAnsi" w:hAnsiTheme="minorHAnsi" w:cstheme="minorHAnsi"/>
                <w:color w:val="000000"/>
                <w:sz w:val="18"/>
                <w:szCs w:val="18"/>
              </w:rPr>
              <w:t>0</w:t>
            </w:r>
          </w:p>
        </w:tc>
      </w:tr>
      <w:tr w:rsidR="00923CAE" w:rsidRPr="00923CAE" w14:paraId="5F257832" w14:textId="77777777" w:rsidTr="002E194C">
        <w:trPr>
          <w:trHeight w:val="282"/>
        </w:trPr>
        <w:tc>
          <w:tcPr>
            <w:tcW w:w="2262" w:type="dxa"/>
            <w:shd w:val="clear" w:color="auto" w:fill="auto"/>
            <w:tcMar>
              <w:left w:w="57" w:type="dxa"/>
              <w:right w:w="28" w:type="dxa"/>
            </w:tcMar>
            <w:vAlign w:val="bottom"/>
            <w:hideMark/>
          </w:tcPr>
          <w:p w14:paraId="05A7D2B1" w14:textId="07A9D49E" w:rsidR="00923CAE" w:rsidRPr="00923CAE" w:rsidRDefault="00974A99" w:rsidP="00923CAE">
            <w:pPr>
              <w:ind w:left="213"/>
              <w:jc w:val="both"/>
              <w:rPr>
                <w:rFonts w:asciiTheme="minorHAnsi" w:eastAsia="SimSun" w:hAnsiTheme="minorHAnsi" w:cstheme="minorHAnsi"/>
                <w:color w:val="000000"/>
                <w:sz w:val="18"/>
                <w:szCs w:val="18"/>
                <w:lang w:val="en-US" w:eastAsia="pt-BR"/>
              </w:rPr>
            </w:pPr>
            <w:r w:rsidRPr="000A296A">
              <w:rPr>
                <w:rFonts w:asciiTheme="minorHAnsi" w:hAnsiTheme="minorHAnsi" w:cstheme="minorHAnsi"/>
                <w:color w:val="000000"/>
                <w:sz w:val="18"/>
                <w:szCs w:val="18"/>
              </w:rPr>
              <w:t>Forest</w:t>
            </w:r>
          </w:p>
        </w:tc>
        <w:tc>
          <w:tcPr>
            <w:tcW w:w="1106" w:type="dxa"/>
            <w:tcMar>
              <w:left w:w="57" w:type="dxa"/>
              <w:right w:w="28" w:type="dxa"/>
            </w:tcMar>
            <w:vAlign w:val="center"/>
          </w:tcPr>
          <w:p w14:paraId="124A940A" w14:textId="0783AAD4" w:rsidR="00923CAE" w:rsidRPr="00923CAE" w:rsidRDefault="00974A99" w:rsidP="002E194C">
            <w:pPr>
              <w:ind w:left="213"/>
              <w:jc w:val="center"/>
              <w:rPr>
                <w:rFonts w:asciiTheme="minorHAnsi" w:eastAsia="SimSun" w:hAnsiTheme="minorHAnsi" w:cstheme="minorHAnsi"/>
                <w:color w:val="000000"/>
                <w:sz w:val="18"/>
                <w:szCs w:val="18"/>
              </w:rPr>
            </w:pPr>
            <w:r w:rsidRPr="002E194C">
              <w:rPr>
                <w:rFonts w:asciiTheme="minorHAnsi" w:hAnsiTheme="minorHAnsi" w:cstheme="minorHAnsi"/>
                <w:color w:val="000000"/>
                <w:sz w:val="18"/>
                <w:szCs w:val="18"/>
              </w:rPr>
              <w:t>2</w:t>
            </w:r>
            <w:r w:rsidR="002E194C">
              <w:rPr>
                <w:rFonts w:asciiTheme="minorHAnsi" w:hAnsiTheme="minorHAnsi" w:cstheme="minorHAnsi"/>
                <w:color w:val="000000"/>
                <w:sz w:val="18"/>
                <w:szCs w:val="18"/>
              </w:rPr>
              <w:t>,</w:t>
            </w:r>
            <w:r w:rsidRPr="002E194C">
              <w:rPr>
                <w:rFonts w:asciiTheme="minorHAnsi" w:hAnsiTheme="minorHAnsi" w:cstheme="minorHAnsi"/>
                <w:color w:val="000000"/>
                <w:sz w:val="18"/>
                <w:szCs w:val="18"/>
              </w:rPr>
              <w:t>000</w:t>
            </w:r>
          </w:p>
        </w:tc>
        <w:tc>
          <w:tcPr>
            <w:tcW w:w="1108" w:type="dxa"/>
            <w:tcMar>
              <w:left w:w="57" w:type="dxa"/>
              <w:right w:w="28" w:type="dxa"/>
            </w:tcMar>
            <w:vAlign w:val="center"/>
          </w:tcPr>
          <w:p w14:paraId="521DFEE6" w14:textId="64799558" w:rsidR="00923CAE" w:rsidRPr="00923CAE" w:rsidRDefault="00974A99" w:rsidP="002E194C">
            <w:pPr>
              <w:ind w:left="213"/>
              <w:jc w:val="center"/>
              <w:rPr>
                <w:rFonts w:asciiTheme="minorHAnsi" w:eastAsia="SimSun" w:hAnsiTheme="minorHAnsi" w:cstheme="minorHAnsi"/>
                <w:color w:val="000000"/>
                <w:sz w:val="18"/>
                <w:szCs w:val="18"/>
              </w:rPr>
            </w:pPr>
            <w:r w:rsidRPr="002E194C">
              <w:rPr>
                <w:rFonts w:asciiTheme="minorHAnsi" w:hAnsiTheme="minorHAnsi" w:cstheme="minorHAnsi"/>
                <w:color w:val="000000"/>
                <w:sz w:val="18"/>
                <w:szCs w:val="18"/>
              </w:rPr>
              <w:t>72</w:t>
            </w:r>
            <w:r w:rsidR="002E194C">
              <w:rPr>
                <w:rFonts w:asciiTheme="minorHAnsi" w:hAnsiTheme="minorHAnsi" w:cstheme="minorHAnsi"/>
                <w:color w:val="000000"/>
                <w:sz w:val="18"/>
                <w:szCs w:val="18"/>
              </w:rPr>
              <w:t>,</w:t>
            </w:r>
            <w:r w:rsidRPr="002E194C">
              <w:rPr>
                <w:rFonts w:asciiTheme="minorHAnsi" w:hAnsiTheme="minorHAnsi" w:cstheme="minorHAnsi"/>
                <w:color w:val="000000"/>
                <w:sz w:val="18"/>
                <w:szCs w:val="18"/>
              </w:rPr>
              <w:t>334</w:t>
            </w:r>
          </w:p>
        </w:tc>
        <w:tc>
          <w:tcPr>
            <w:tcW w:w="1108" w:type="dxa"/>
            <w:tcMar>
              <w:left w:w="57" w:type="dxa"/>
              <w:right w:w="28" w:type="dxa"/>
            </w:tcMar>
            <w:vAlign w:val="center"/>
          </w:tcPr>
          <w:p w14:paraId="63C8B164" w14:textId="218D0C90" w:rsidR="00923CAE" w:rsidRPr="00923CAE" w:rsidRDefault="00923CAE" w:rsidP="002E194C">
            <w:pPr>
              <w:ind w:left="213"/>
              <w:jc w:val="center"/>
              <w:rPr>
                <w:rFonts w:asciiTheme="minorHAnsi" w:eastAsia="SimSun" w:hAnsiTheme="minorHAnsi" w:cstheme="minorHAnsi"/>
                <w:color w:val="000000"/>
                <w:sz w:val="18"/>
                <w:szCs w:val="18"/>
              </w:rPr>
            </w:pPr>
          </w:p>
        </w:tc>
        <w:tc>
          <w:tcPr>
            <w:tcW w:w="1108" w:type="dxa"/>
            <w:shd w:val="clear" w:color="auto" w:fill="auto"/>
            <w:tcMar>
              <w:left w:w="57" w:type="dxa"/>
              <w:right w:w="28" w:type="dxa"/>
            </w:tcMar>
            <w:vAlign w:val="center"/>
          </w:tcPr>
          <w:p w14:paraId="254A427D" w14:textId="549ACFB9" w:rsidR="00923CAE" w:rsidRPr="00923CAE" w:rsidRDefault="00974A99" w:rsidP="002E194C">
            <w:pPr>
              <w:ind w:left="213"/>
              <w:jc w:val="center"/>
              <w:rPr>
                <w:rFonts w:asciiTheme="minorHAnsi" w:eastAsia="SimSun" w:hAnsiTheme="minorHAnsi" w:cstheme="minorHAnsi"/>
                <w:color w:val="000000"/>
                <w:sz w:val="18"/>
                <w:szCs w:val="18"/>
              </w:rPr>
            </w:pPr>
            <w:r w:rsidRPr="002E194C">
              <w:rPr>
                <w:rFonts w:asciiTheme="minorHAnsi" w:hAnsiTheme="minorHAnsi" w:cstheme="minorHAnsi"/>
                <w:color w:val="000000"/>
                <w:sz w:val="18"/>
                <w:szCs w:val="18"/>
              </w:rPr>
              <w:t>2</w:t>
            </w:r>
            <w:r w:rsidR="002E194C">
              <w:rPr>
                <w:rFonts w:asciiTheme="minorHAnsi" w:hAnsiTheme="minorHAnsi" w:cstheme="minorHAnsi"/>
                <w:color w:val="000000"/>
                <w:sz w:val="18"/>
                <w:szCs w:val="18"/>
              </w:rPr>
              <w:t>,</w:t>
            </w:r>
            <w:r w:rsidRPr="002E194C">
              <w:rPr>
                <w:rFonts w:asciiTheme="minorHAnsi" w:hAnsiTheme="minorHAnsi" w:cstheme="minorHAnsi"/>
                <w:color w:val="000000"/>
                <w:sz w:val="18"/>
                <w:szCs w:val="18"/>
              </w:rPr>
              <w:t>000</w:t>
            </w:r>
          </w:p>
        </w:tc>
        <w:tc>
          <w:tcPr>
            <w:tcW w:w="1108" w:type="dxa"/>
            <w:shd w:val="clear" w:color="auto" w:fill="auto"/>
            <w:tcMar>
              <w:left w:w="57" w:type="dxa"/>
              <w:right w:w="28" w:type="dxa"/>
            </w:tcMar>
            <w:vAlign w:val="center"/>
          </w:tcPr>
          <w:p w14:paraId="2CE5843C" w14:textId="0D6D4AB5" w:rsidR="00923CAE" w:rsidRPr="00923CAE" w:rsidRDefault="00974A99" w:rsidP="002E194C">
            <w:pPr>
              <w:ind w:left="213"/>
              <w:jc w:val="center"/>
              <w:rPr>
                <w:rFonts w:asciiTheme="minorHAnsi" w:eastAsia="SimSun" w:hAnsiTheme="minorHAnsi" w:cstheme="minorHAnsi"/>
                <w:color w:val="000000"/>
                <w:sz w:val="18"/>
                <w:szCs w:val="18"/>
              </w:rPr>
            </w:pPr>
            <w:r w:rsidRPr="002E194C">
              <w:rPr>
                <w:rFonts w:asciiTheme="minorHAnsi" w:hAnsiTheme="minorHAnsi" w:cstheme="minorHAnsi"/>
                <w:color w:val="000000"/>
                <w:sz w:val="18"/>
                <w:szCs w:val="18"/>
              </w:rPr>
              <w:t>9</w:t>
            </w:r>
            <w:r w:rsidR="002E194C">
              <w:rPr>
                <w:rFonts w:asciiTheme="minorHAnsi" w:hAnsiTheme="minorHAnsi" w:cstheme="minorHAnsi"/>
                <w:color w:val="000000"/>
                <w:sz w:val="18"/>
                <w:szCs w:val="18"/>
              </w:rPr>
              <w:t>,</w:t>
            </w:r>
            <w:r w:rsidRPr="002E194C">
              <w:rPr>
                <w:rFonts w:asciiTheme="minorHAnsi" w:hAnsiTheme="minorHAnsi" w:cstheme="minorHAnsi"/>
                <w:color w:val="000000"/>
                <w:sz w:val="18"/>
                <w:szCs w:val="18"/>
              </w:rPr>
              <w:t>336.8</w:t>
            </w:r>
          </w:p>
        </w:tc>
        <w:tc>
          <w:tcPr>
            <w:tcW w:w="1104" w:type="dxa"/>
            <w:shd w:val="clear" w:color="auto" w:fill="auto"/>
            <w:tcMar>
              <w:left w:w="57" w:type="dxa"/>
              <w:right w:w="28" w:type="dxa"/>
            </w:tcMar>
            <w:vAlign w:val="center"/>
          </w:tcPr>
          <w:p w14:paraId="7C0ECEEE" w14:textId="484D58E5" w:rsidR="00923CAE" w:rsidRPr="00923CAE" w:rsidRDefault="00974A99" w:rsidP="002E194C">
            <w:pPr>
              <w:ind w:left="213"/>
              <w:jc w:val="center"/>
              <w:rPr>
                <w:rFonts w:asciiTheme="minorHAnsi" w:eastAsia="SimSun" w:hAnsiTheme="minorHAnsi" w:cstheme="minorHAnsi"/>
                <w:color w:val="000000"/>
                <w:sz w:val="18"/>
                <w:szCs w:val="18"/>
              </w:rPr>
            </w:pPr>
            <w:r w:rsidRPr="002E194C">
              <w:rPr>
                <w:rFonts w:asciiTheme="minorHAnsi" w:hAnsiTheme="minorHAnsi" w:cstheme="minorHAnsi"/>
                <w:color w:val="000000"/>
                <w:sz w:val="18"/>
                <w:szCs w:val="18"/>
              </w:rPr>
              <w:t>0</w:t>
            </w:r>
          </w:p>
        </w:tc>
      </w:tr>
      <w:tr w:rsidR="00974A99" w:rsidRPr="00923CAE" w14:paraId="7154CA3C" w14:textId="77777777" w:rsidTr="002E194C">
        <w:trPr>
          <w:trHeight w:val="282"/>
        </w:trPr>
        <w:tc>
          <w:tcPr>
            <w:tcW w:w="2262" w:type="dxa"/>
            <w:shd w:val="clear" w:color="auto" w:fill="auto"/>
            <w:tcMar>
              <w:left w:w="57" w:type="dxa"/>
              <w:right w:w="28" w:type="dxa"/>
            </w:tcMar>
            <w:vAlign w:val="bottom"/>
          </w:tcPr>
          <w:p w14:paraId="7B5E1389" w14:textId="194E5451" w:rsidR="00974A99" w:rsidRPr="00923CAE" w:rsidRDefault="00974A99" w:rsidP="00974A99">
            <w:pPr>
              <w:ind w:left="213"/>
              <w:jc w:val="both"/>
              <w:rPr>
                <w:rFonts w:asciiTheme="minorHAnsi" w:eastAsia="SimSun" w:hAnsiTheme="minorHAnsi" w:cstheme="minorHAnsi"/>
                <w:color w:val="000000"/>
                <w:sz w:val="18"/>
                <w:szCs w:val="18"/>
                <w:lang w:val="en-US" w:eastAsia="pt-BR"/>
              </w:rPr>
            </w:pPr>
            <w:r w:rsidRPr="000A296A">
              <w:rPr>
                <w:rFonts w:asciiTheme="minorHAnsi" w:hAnsiTheme="minorHAnsi" w:cstheme="minorHAnsi"/>
                <w:color w:val="000000"/>
                <w:sz w:val="18"/>
                <w:szCs w:val="18"/>
              </w:rPr>
              <w:t>Grassland</w:t>
            </w:r>
          </w:p>
        </w:tc>
        <w:tc>
          <w:tcPr>
            <w:tcW w:w="1106" w:type="dxa"/>
            <w:tcMar>
              <w:left w:w="57" w:type="dxa"/>
              <w:right w:w="28" w:type="dxa"/>
            </w:tcMar>
            <w:vAlign w:val="center"/>
          </w:tcPr>
          <w:p w14:paraId="63205BF0" w14:textId="3B27A54A" w:rsidR="00974A99" w:rsidRPr="002E194C" w:rsidRDefault="00974A99" w:rsidP="002E194C">
            <w:pPr>
              <w:ind w:left="213"/>
              <w:jc w:val="center"/>
              <w:rPr>
                <w:rFonts w:asciiTheme="minorHAnsi" w:hAnsiTheme="minorHAnsi" w:cstheme="minorHAnsi"/>
                <w:color w:val="000000"/>
                <w:sz w:val="18"/>
                <w:szCs w:val="18"/>
              </w:rPr>
            </w:pPr>
          </w:p>
        </w:tc>
        <w:tc>
          <w:tcPr>
            <w:tcW w:w="1108" w:type="dxa"/>
            <w:tcMar>
              <w:left w:w="57" w:type="dxa"/>
              <w:right w:w="28" w:type="dxa"/>
            </w:tcMar>
            <w:vAlign w:val="center"/>
          </w:tcPr>
          <w:p w14:paraId="6B73F90D" w14:textId="09718EA2" w:rsidR="00974A99" w:rsidRPr="002E194C" w:rsidRDefault="00974A99" w:rsidP="002E194C">
            <w:pPr>
              <w:ind w:left="213"/>
              <w:jc w:val="center"/>
              <w:rPr>
                <w:rFonts w:asciiTheme="minorHAnsi" w:hAnsiTheme="minorHAnsi" w:cstheme="minorHAnsi"/>
                <w:color w:val="000000"/>
                <w:sz w:val="18"/>
                <w:szCs w:val="18"/>
              </w:rPr>
            </w:pPr>
            <w:r w:rsidRPr="002E194C">
              <w:rPr>
                <w:rFonts w:asciiTheme="minorHAnsi" w:hAnsiTheme="minorHAnsi" w:cstheme="minorHAnsi"/>
                <w:color w:val="000000"/>
                <w:sz w:val="18"/>
                <w:szCs w:val="18"/>
              </w:rPr>
              <w:t>141</w:t>
            </w:r>
            <w:r w:rsidR="002E194C">
              <w:rPr>
                <w:rFonts w:asciiTheme="minorHAnsi" w:hAnsiTheme="minorHAnsi" w:cstheme="minorHAnsi"/>
                <w:color w:val="000000"/>
                <w:sz w:val="18"/>
                <w:szCs w:val="18"/>
              </w:rPr>
              <w:t>,</w:t>
            </w:r>
            <w:r w:rsidRPr="002E194C">
              <w:rPr>
                <w:rFonts w:asciiTheme="minorHAnsi" w:hAnsiTheme="minorHAnsi" w:cstheme="minorHAnsi"/>
                <w:color w:val="000000"/>
                <w:sz w:val="18"/>
                <w:szCs w:val="18"/>
              </w:rPr>
              <w:t>200</w:t>
            </w:r>
          </w:p>
        </w:tc>
        <w:tc>
          <w:tcPr>
            <w:tcW w:w="1108" w:type="dxa"/>
            <w:tcMar>
              <w:left w:w="57" w:type="dxa"/>
              <w:right w:w="28" w:type="dxa"/>
            </w:tcMar>
            <w:vAlign w:val="center"/>
          </w:tcPr>
          <w:p w14:paraId="5B265305" w14:textId="7AFCCB77" w:rsidR="00974A99" w:rsidRPr="002E194C" w:rsidRDefault="00974A99" w:rsidP="002E194C">
            <w:pPr>
              <w:ind w:left="213"/>
              <w:jc w:val="center"/>
              <w:rPr>
                <w:rFonts w:asciiTheme="minorHAnsi" w:hAnsiTheme="minorHAnsi" w:cstheme="minorHAnsi"/>
                <w:color w:val="000000"/>
                <w:sz w:val="18"/>
                <w:szCs w:val="18"/>
              </w:rPr>
            </w:pPr>
          </w:p>
        </w:tc>
        <w:tc>
          <w:tcPr>
            <w:tcW w:w="1108" w:type="dxa"/>
            <w:shd w:val="clear" w:color="auto" w:fill="auto"/>
            <w:tcMar>
              <w:left w:w="57" w:type="dxa"/>
              <w:right w:w="28" w:type="dxa"/>
            </w:tcMar>
            <w:vAlign w:val="center"/>
          </w:tcPr>
          <w:p w14:paraId="684BC4D9" w14:textId="5A581F22" w:rsidR="00974A99" w:rsidRPr="002E194C" w:rsidRDefault="00974A99" w:rsidP="002E194C">
            <w:pPr>
              <w:ind w:left="213"/>
              <w:jc w:val="center"/>
              <w:rPr>
                <w:rFonts w:asciiTheme="minorHAnsi" w:hAnsiTheme="minorHAnsi" w:cstheme="minorHAnsi"/>
                <w:color w:val="000000"/>
                <w:sz w:val="18"/>
                <w:szCs w:val="18"/>
              </w:rPr>
            </w:pPr>
            <w:r w:rsidRPr="002E194C">
              <w:rPr>
                <w:rFonts w:asciiTheme="minorHAnsi" w:hAnsiTheme="minorHAnsi" w:cstheme="minorHAnsi"/>
                <w:color w:val="000000"/>
                <w:sz w:val="18"/>
                <w:szCs w:val="18"/>
              </w:rPr>
              <w:t>0</w:t>
            </w:r>
          </w:p>
        </w:tc>
        <w:tc>
          <w:tcPr>
            <w:tcW w:w="1108" w:type="dxa"/>
            <w:shd w:val="clear" w:color="auto" w:fill="auto"/>
            <w:tcMar>
              <w:left w:w="57" w:type="dxa"/>
              <w:right w:w="28" w:type="dxa"/>
            </w:tcMar>
            <w:vAlign w:val="center"/>
          </w:tcPr>
          <w:p w14:paraId="3DCBB776" w14:textId="34D7C484" w:rsidR="00974A99" w:rsidRPr="002E194C" w:rsidRDefault="00974A99" w:rsidP="002E194C">
            <w:pPr>
              <w:ind w:left="213"/>
              <w:jc w:val="center"/>
              <w:rPr>
                <w:rFonts w:asciiTheme="minorHAnsi" w:hAnsiTheme="minorHAnsi" w:cstheme="minorHAnsi"/>
                <w:color w:val="000000"/>
                <w:sz w:val="18"/>
                <w:szCs w:val="18"/>
              </w:rPr>
            </w:pPr>
            <w:r w:rsidRPr="002E194C">
              <w:rPr>
                <w:rFonts w:asciiTheme="minorHAnsi" w:hAnsiTheme="minorHAnsi" w:cstheme="minorHAnsi"/>
                <w:color w:val="000000"/>
                <w:sz w:val="18"/>
                <w:szCs w:val="18"/>
              </w:rPr>
              <w:t>12</w:t>
            </w:r>
            <w:r w:rsidR="002E194C">
              <w:rPr>
                <w:rFonts w:asciiTheme="minorHAnsi" w:hAnsiTheme="minorHAnsi" w:cstheme="minorHAnsi"/>
                <w:color w:val="000000"/>
                <w:sz w:val="18"/>
                <w:szCs w:val="18"/>
              </w:rPr>
              <w:t>,</w:t>
            </w:r>
            <w:r w:rsidRPr="002E194C">
              <w:rPr>
                <w:rFonts w:asciiTheme="minorHAnsi" w:hAnsiTheme="minorHAnsi" w:cstheme="minorHAnsi"/>
                <w:color w:val="000000"/>
                <w:sz w:val="18"/>
                <w:szCs w:val="18"/>
              </w:rPr>
              <w:t>594.75</w:t>
            </w:r>
          </w:p>
        </w:tc>
        <w:tc>
          <w:tcPr>
            <w:tcW w:w="1104" w:type="dxa"/>
            <w:shd w:val="clear" w:color="auto" w:fill="auto"/>
            <w:tcMar>
              <w:left w:w="57" w:type="dxa"/>
              <w:right w:w="28" w:type="dxa"/>
            </w:tcMar>
            <w:vAlign w:val="center"/>
          </w:tcPr>
          <w:p w14:paraId="4B4A02A8" w14:textId="3B8F73D7" w:rsidR="00974A99" w:rsidRPr="002E194C" w:rsidRDefault="00974A99" w:rsidP="002E194C">
            <w:pPr>
              <w:ind w:left="213"/>
              <w:jc w:val="center"/>
              <w:rPr>
                <w:rFonts w:asciiTheme="minorHAnsi" w:hAnsiTheme="minorHAnsi" w:cstheme="minorHAnsi"/>
                <w:color w:val="000000"/>
                <w:sz w:val="18"/>
                <w:szCs w:val="18"/>
              </w:rPr>
            </w:pPr>
            <w:r w:rsidRPr="002E194C">
              <w:rPr>
                <w:rFonts w:asciiTheme="minorHAnsi" w:hAnsiTheme="minorHAnsi" w:cstheme="minorHAnsi"/>
                <w:color w:val="000000"/>
                <w:sz w:val="18"/>
                <w:szCs w:val="18"/>
              </w:rPr>
              <w:t>0</w:t>
            </w:r>
          </w:p>
        </w:tc>
      </w:tr>
      <w:tr w:rsidR="00923CAE" w:rsidRPr="00923CAE" w14:paraId="4372C327" w14:textId="77777777" w:rsidTr="002E194C">
        <w:trPr>
          <w:trHeight w:val="282"/>
        </w:trPr>
        <w:tc>
          <w:tcPr>
            <w:tcW w:w="2262" w:type="dxa"/>
            <w:shd w:val="clear" w:color="auto" w:fill="A6A6A6" w:themeFill="background1" w:themeFillShade="A6"/>
            <w:tcMar>
              <w:left w:w="57" w:type="dxa"/>
              <w:right w:w="28" w:type="dxa"/>
            </w:tcMar>
            <w:vAlign w:val="center"/>
          </w:tcPr>
          <w:p w14:paraId="680A0C7E" w14:textId="77777777" w:rsidR="00923CAE" w:rsidRPr="00923CAE" w:rsidRDefault="00923CAE" w:rsidP="00923CAE">
            <w:pPr>
              <w:ind w:left="213"/>
              <w:jc w:val="center"/>
              <w:rPr>
                <w:rFonts w:asciiTheme="minorHAnsi" w:eastAsia="SimSun" w:hAnsiTheme="minorHAnsi" w:cstheme="minorHAnsi"/>
                <w:b/>
                <w:bCs/>
                <w:color w:val="000000"/>
                <w:sz w:val="18"/>
                <w:szCs w:val="18"/>
                <w:lang w:val="en-US" w:eastAsia="pt-BR"/>
              </w:rPr>
            </w:pPr>
            <w:r w:rsidRPr="00923CAE">
              <w:rPr>
                <w:rFonts w:asciiTheme="minorHAnsi" w:eastAsia="SimSun" w:hAnsiTheme="minorHAnsi" w:cstheme="minorHAnsi"/>
                <w:b/>
                <w:bCs/>
                <w:color w:val="000000"/>
                <w:sz w:val="18"/>
                <w:szCs w:val="18"/>
                <w:lang w:val="en-US" w:eastAsia="pt-BR"/>
              </w:rPr>
              <w:t>Total</w:t>
            </w:r>
          </w:p>
        </w:tc>
        <w:tc>
          <w:tcPr>
            <w:tcW w:w="1106" w:type="dxa"/>
            <w:shd w:val="clear" w:color="auto" w:fill="A6A6A6" w:themeFill="background1" w:themeFillShade="A6"/>
            <w:tcMar>
              <w:left w:w="57" w:type="dxa"/>
              <w:right w:w="28" w:type="dxa"/>
            </w:tcMar>
            <w:vAlign w:val="center"/>
          </w:tcPr>
          <w:p w14:paraId="648E2579" w14:textId="7DC26CC0" w:rsidR="00923CAE" w:rsidRPr="00923CAE" w:rsidRDefault="000E2AC9" w:rsidP="002E194C">
            <w:pPr>
              <w:ind w:left="213"/>
              <w:jc w:val="center"/>
              <w:rPr>
                <w:rFonts w:asciiTheme="minorHAnsi" w:eastAsia="SimSun" w:hAnsiTheme="minorHAnsi" w:cstheme="minorHAnsi"/>
                <w:b/>
                <w:color w:val="000000"/>
                <w:sz w:val="18"/>
                <w:szCs w:val="18"/>
              </w:rPr>
            </w:pPr>
            <w:r w:rsidRPr="00450EF4">
              <w:rPr>
                <w:rFonts w:asciiTheme="minorHAnsi" w:hAnsiTheme="minorHAnsi" w:cstheme="minorHAnsi"/>
                <w:b/>
                <w:bCs/>
                <w:color w:val="000000"/>
                <w:sz w:val="18"/>
                <w:szCs w:val="18"/>
              </w:rPr>
              <w:t>333</w:t>
            </w:r>
            <w:r w:rsidR="002E194C" w:rsidRPr="00450EF4">
              <w:rPr>
                <w:rFonts w:asciiTheme="minorHAnsi" w:hAnsiTheme="minorHAnsi" w:cstheme="minorHAnsi"/>
                <w:b/>
                <w:bCs/>
                <w:color w:val="000000"/>
                <w:sz w:val="18"/>
                <w:szCs w:val="18"/>
              </w:rPr>
              <w:t>,</w:t>
            </w:r>
            <w:r w:rsidRPr="00450EF4">
              <w:rPr>
                <w:rFonts w:asciiTheme="minorHAnsi" w:hAnsiTheme="minorHAnsi" w:cstheme="minorHAnsi"/>
                <w:b/>
                <w:bCs/>
                <w:color w:val="000000"/>
                <w:sz w:val="18"/>
                <w:szCs w:val="18"/>
              </w:rPr>
              <w:t>700</w:t>
            </w:r>
          </w:p>
        </w:tc>
        <w:tc>
          <w:tcPr>
            <w:tcW w:w="1108" w:type="dxa"/>
            <w:shd w:val="clear" w:color="auto" w:fill="A6A6A6" w:themeFill="background1" w:themeFillShade="A6"/>
            <w:tcMar>
              <w:left w:w="57" w:type="dxa"/>
              <w:right w:w="28" w:type="dxa"/>
            </w:tcMar>
            <w:vAlign w:val="center"/>
          </w:tcPr>
          <w:p w14:paraId="3C407BC8" w14:textId="26D30B9F" w:rsidR="00923CAE" w:rsidRPr="00923CAE" w:rsidRDefault="000E2AC9" w:rsidP="002E194C">
            <w:pPr>
              <w:ind w:left="213"/>
              <w:jc w:val="center"/>
              <w:rPr>
                <w:rFonts w:asciiTheme="minorHAnsi" w:eastAsia="SimSun" w:hAnsiTheme="minorHAnsi" w:cstheme="minorHAnsi"/>
                <w:b/>
                <w:color w:val="000000"/>
                <w:sz w:val="18"/>
                <w:szCs w:val="18"/>
              </w:rPr>
            </w:pPr>
            <w:r w:rsidRPr="00450EF4">
              <w:rPr>
                <w:rFonts w:asciiTheme="minorHAnsi" w:hAnsiTheme="minorHAnsi" w:cstheme="minorHAnsi"/>
                <w:b/>
                <w:bCs/>
                <w:color w:val="000000"/>
                <w:sz w:val="18"/>
                <w:szCs w:val="18"/>
              </w:rPr>
              <w:t>299</w:t>
            </w:r>
            <w:r w:rsidR="002E194C" w:rsidRPr="00450EF4">
              <w:rPr>
                <w:rFonts w:asciiTheme="minorHAnsi" w:hAnsiTheme="minorHAnsi" w:cstheme="minorHAnsi"/>
                <w:b/>
                <w:bCs/>
                <w:color w:val="000000"/>
                <w:sz w:val="18"/>
                <w:szCs w:val="18"/>
              </w:rPr>
              <w:t>,</w:t>
            </w:r>
            <w:r w:rsidRPr="00450EF4">
              <w:rPr>
                <w:rFonts w:asciiTheme="minorHAnsi" w:hAnsiTheme="minorHAnsi" w:cstheme="minorHAnsi"/>
                <w:b/>
                <w:bCs/>
                <w:color w:val="000000"/>
                <w:sz w:val="18"/>
                <w:szCs w:val="18"/>
              </w:rPr>
              <w:t>464</w:t>
            </w:r>
          </w:p>
        </w:tc>
        <w:tc>
          <w:tcPr>
            <w:tcW w:w="1108" w:type="dxa"/>
            <w:shd w:val="clear" w:color="auto" w:fill="A6A6A6" w:themeFill="background1" w:themeFillShade="A6"/>
            <w:tcMar>
              <w:left w:w="57" w:type="dxa"/>
              <w:right w:w="28" w:type="dxa"/>
            </w:tcMar>
            <w:vAlign w:val="center"/>
          </w:tcPr>
          <w:p w14:paraId="10D985EB" w14:textId="371AE83E" w:rsidR="00923CAE" w:rsidRPr="00923CAE" w:rsidRDefault="000E2AC9" w:rsidP="002E194C">
            <w:pPr>
              <w:ind w:left="213"/>
              <w:jc w:val="center"/>
              <w:rPr>
                <w:rFonts w:asciiTheme="minorHAnsi" w:eastAsia="SimSun" w:hAnsiTheme="minorHAnsi" w:cstheme="minorHAnsi"/>
                <w:b/>
                <w:color w:val="000000"/>
                <w:sz w:val="18"/>
                <w:szCs w:val="18"/>
              </w:rPr>
            </w:pPr>
            <w:r w:rsidRPr="00450EF4">
              <w:rPr>
                <w:rFonts w:asciiTheme="minorHAnsi" w:hAnsiTheme="minorHAnsi" w:cstheme="minorHAnsi"/>
                <w:b/>
                <w:bCs/>
                <w:color w:val="000000"/>
                <w:sz w:val="18"/>
                <w:szCs w:val="18"/>
              </w:rPr>
              <w:t>114</w:t>
            </w:r>
          </w:p>
        </w:tc>
        <w:tc>
          <w:tcPr>
            <w:tcW w:w="1108" w:type="dxa"/>
            <w:shd w:val="clear" w:color="auto" w:fill="A6A6A6" w:themeFill="background1" w:themeFillShade="A6"/>
            <w:tcMar>
              <w:left w:w="57" w:type="dxa"/>
              <w:right w:w="28" w:type="dxa"/>
            </w:tcMar>
            <w:vAlign w:val="center"/>
          </w:tcPr>
          <w:p w14:paraId="03F34F2F" w14:textId="2F5D82AD" w:rsidR="00923CAE" w:rsidRPr="00923CAE" w:rsidRDefault="000E2AC9" w:rsidP="002E194C">
            <w:pPr>
              <w:ind w:left="213"/>
              <w:jc w:val="center"/>
              <w:rPr>
                <w:rFonts w:asciiTheme="minorHAnsi" w:eastAsia="SimSun" w:hAnsiTheme="minorHAnsi" w:cstheme="minorHAnsi"/>
                <w:b/>
                <w:color w:val="000000"/>
                <w:sz w:val="18"/>
                <w:szCs w:val="18"/>
              </w:rPr>
            </w:pPr>
            <w:r w:rsidRPr="00450EF4">
              <w:rPr>
                <w:rFonts w:asciiTheme="minorHAnsi" w:hAnsiTheme="minorHAnsi" w:cstheme="minorHAnsi"/>
                <w:b/>
                <w:bCs/>
                <w:color w:val="000000"/>
                <w:sz w:val="18"/>
                <w:szCs w:val="18"/>
              </w:rPr>
              <w:t>2,000.00</w:t>
            </w:r>
          </w:p>
        </w:tc>
        <w:tc>
          <w:tcPr>
            <w:tcW w:w="1108" w:type="dxa"/>
            <w:shd w:val="clear" w:color="auto" w:fill="A6A6A6" w:themeFill="background1" w:themeFillShade="A6"/>
            <w:tcMar>
              <w:left w:w="57" w:type="dxa"/>
              <w:right w:w="28" w:type="dxa"/>
            </w:tcMar>
            <w:vAlign w:val="center"/>
          </w:tcPr>
          <w:p w14:paraId="28316424" w14:textId="35B1FBDF" w:rsidR="00923CAE" w:rsidRPr="00923CAE" w:rsidRDefault="00A25D61" w:rsidP="002E194C">
            <w:pPr>
              <w:ind w:left="213"/>
              <w:jc w:val="center"/>
              <w:rPr>
                <w:rFonts w:asciiTheme="minorHAnsi" w:eastAsia="SimSun" w:hAnsiTheme="minorHAnsi" w:cstheme="minorHAnsi"/>
                <w:b/>
                <w:color w:val="000000"/>
                <w:sz w:val="18"/>
                <w:szCs w:val="18"/>
              </w:rPr>
            </w:pPr>
            <w:r w:rsidRPr="00A25D61">
              <w:rPr>
                <w:rFonts w:asciiTheme="minorHAnsi" w:hAnsiTheme="minorHAnsi" w:cstheme="minorHAnsi"/>
                <w:b/>
                <w:bCs/>
                <w:color w:val="000000"/>
                <w:sz w:val="18"/>
                <w:szCs w:val="18"/>
              </w:rPr>
              <w:t>33,62</w:t>
            </w:r>
            <w:r>
              <w:rPr>
                <w:rFonts w:asciiTheme="minorHAnsi" w:hAnsiTheme="minorHAnsi" w:cstheme="minorHAnsi"/>
                <w:b/>
                <w:bCs/>
                <w:color w:val="000000"/>
                <w:sz w:val="18"/>
                <w:szCs w:val="18"/>
              </w:rPr>
              <w:t>8</w:t>
            </w:r>
            <w:r w:rsidRPr="00A25D61">
              <w:rPr>
                <w:rFonts w:asciiTheme="minorHAnsi" w:hAnsiTheme="minorHAnsi" w:cstheme="minorHAnsi"/>
                <w:b/>
                <w:bCs/>
                <w:color w:val="000000"/>
                <w:sz w:val="18"/>
                <w:szCs w:val="18"/>
              </w:rPr>
              <w:t xml:space="preserve">   </w:t>
            </w:r>
          </w:p>
        </w:tc>
        <w:tc>
          <w:tcPr>
            <w:tcW w:w="1104" w:type="dxa"/>
            <w:shd w:val="clear" w:color="auto" w:fill="A6A6A6" w:themeFill="background1" w:themeFillShade="A6"/>
            <w:tcMar>
              <w:left w:w="57" w:type="dxa"/>
              <w:right w:w="28" w:type="dxa"/>
            </w:tcMar>
            <w:vAlign w:val="center"/>
          </w:tcPr>
          <w:p w14:paraId="09DB770C" w14:textId="1067C3EF" w:rsidR="00923CAE" w:rsidRPr="00923CAE" w:rsidRDefault="00615723" w:rsidP="002E194C">
            <w:pPr>
              <w:ind w:left="213"/>
              <w:jc w:val="center"/>
              <w:rPr>
                <w:rFonts w:asciiTheme="minorHAnsi" w:eastAsia="SimSun" w:hAnsiTheme="minorHAnsi" w:cstheme="minorHAnsi"/>
                <w:b/>
                <w:color w:val="000000"/>
                <w:sz w:val="18"/>
                <w:szCs w:val="18"/>
              </w:rPr>
            </w:pPr>
            <w:r w:rsidRPr="00A25D61">
              <w:rPr>
                <w:rFonts w:asciiTheme="minorHAnsi" w:hAnsiTheme="minorHAnsi" w:cstheme="minorHAnsi"/>
                <w:b/>
                <w:bCs/>
                <w:color w:val="000000"/>
                <w:sz w:val="18"/>
                <w:szCs w:val="18"/>
              </w:rPr>
              <w:t>114</w:t>
            </w:r>
          </w:p>
        </w:tc>
      </w:tr>
      <w:tr w:rsidR="00923CAE" w:rsidRPr="00923CAE" w14:paraId="0FA8535F" w14:textId="77777777" w:rsidTr="002E194C">
        <w:trPr>
          <w:trHeight w:val="282"/>
        </w:trPr>
        <w:tc>
          <w:tcPr>
            <w:tcW w:w="2262" w:type="dxa"/>
            <w:shd w:val="clear" w:color="auto" w:fill="auto"/>
            <w:tcMar>
              <w:left w:w="57" w:type="dxa"/>
              <w:right w:w="28" w:type="dxa"/>
            </w:tcMar>
            <w:vAlign w:val="center"/>
          </w:tcPr>
          <w:p w14:paraId="24B58710" w14:textId="77777777" w:rsidR="00923CAE" w:rsidRPr="00923CAE" w:rsidRDefault="00923CAE" w:rsidP="00923CAE">
            <w:pPr>
              <w:ind w:left="213"/>
              <w:jc w:val="center"/>
              <w:rPr>
                <w:rFonts w:asciiTheme="minorHAnsi" w:eastAsia="SimSun" w:hAnsiTheme="minorHAnsi" w:cstheme="minorHAnsi"/>
                <w:b/>
                <w:bCs/>
                <w:color w:val="000000"/>
                <w:sz w:val="18"/>
                <w:szCs w:val="18"/>
                <w:lang w:val="en-US" w:eastAsia="pt-BR"/>
              </w:rPr>
            </w:pPr>
            <w:r w:rsidRPr="00923CAE">
              <w:rPr>
                <w:rFonts w:asciiTheme="minorHAnsi" w:eastAsia="SimSun" w:hAnsiTheme="minorHAnsi" w:cstheme="minorHAnsi"/>
                <w:b/>
                <w:bCs/>
                <w:color w:val="000000"/>
                <w:sz w:val="18"/>
                <w:szCs w:val="18"/>
                <w:lang w:val="en-US" w:eastAsia="pt-BR"/>
              </w:rPr>
              <w:t>Grand total</w:t>
            </w:r>
          </w:p>
        </w:tc>
        <w:tc>
          <w:tcPr>
            <w:tcW w:w="3322" w:type="dxa"/>
            <w:gridSpan w:val="3"/>
            <w:shd w:val="clear" w:color="auto" w:fill="F4B083" w:themeFill="accent2" w:themeFillTint="99"/>
            <w:tcMar>
              <w:left w:w="57" w:type="dxa"/>
              <w:right w:w="28" w:type="dxa"/>
            </w:tcMar>
            <w:vAlign w:val="center"/>
          </w:tcPr>
          <w:p w14:paraId="630B26C2" w14:textId="122FABA4" w:rsidR="00923CAE" w:rsidRPr="00923CAE" w:rsidRDefault="000E2AC9" w:rsidP="00450EF4">
            <w:pPr>
              <w:ind w:left="213"/>
              <w:jc w:val="center"/>
              <w:rPr>
                <w:rFonts w:asciiTheme="minorHAnsi" w:eastAsia="SimSun" w:hAnsiTheme="minorHAnsi" w:cstheme="minorHAnsi"/>
                <w:b/>
                <w:color w:val="000000"/>
                <w:sz w:val="18"/>
                <w:szCs w:val="18"/>
              </w:rPr>
            </w:pPr>
            <w:r w:rsidRPr="00450EF4">
              <w:rPr>
                <w:rFonts w:asciiTheme="minorHAnsi" w:hAnsiTheme="minorHAnsi" w:cstheme="minorHAnsi"/>
                <w:b/>
                <w:bCs/>
                <w:color w:val="000000"/>
                <w:sz w:val="18"/>
                <w:szCs w:val="18"/>
              </w:rPr>
              <w:t>633</w:t>
            </w:r>
            <w:r w:rsidR="002E194C" w:rsidRPr="00450EF4">
              <w:rPr>
                <w:rFonts w:asciiTheme="minorHAnsi" w:hAnsiTheme="minorHAnsi" w:cstheme="minorHAnsi"/>
                <w:b/>
                <w:bCs/>
                <w:color w:val="000000"/>
                <w:sz w:val="18"/>
                <w:szCs w:val="18"/>
              </w:rPr>
              <w:t>,</w:t>
            </w:r>
            <w:r w:rsidRPr="00450EF4">
              <w:rPr>
                <w:rFonts w:asciiTheme="minorHAnsi" w:hAnsiTheme="minorHAnsi" w:cstheme="minorHAnsi"/>
                <w:b/>
                <w:bCs/>
                <w:color w:val="000000"/>
                <w:sz w:val="18"/>
                <w:szCs w:val="18"/>
              </w:rPr>
              <w:t>278</w:t>
            </w:r>
            <w:r w:rsidR="0057604A">
              <w:rPr>
                <w:rFonts w:asciiTheme="minorHAnsi" w:hAnsiTheme="minorHAnsi" w:cstheme="minorHAnsi"/>
                <w:b/>
                <w:bCs/>
                <w:color w:val="000000"/>
                <w:sz w:val="18"/>
                <w:szCs w:val="18"/>
              </w:rPr>
              <w:t xml:space="preserve"> ha</w:t>
            </w:r>
          </w:p>
        </w:tc>
        <w:tc>
          <w:tcPr>
            <w:tcW w:w="3320" w:type="dxa"/>
            <w:gridSpan w:val="3"/>
            <w:shd w:val="clear" w:color="auto" w:fill="FFD966" w:themeFill="accent4" w:themeFillTint="99"/>
            <w:tcMar>
              <w:left w:w="57" w:type="dxa"/>
              <w:right w:w="28" w:type="dxa"/>
            </w:tcMar>
            <w:vAlign w:val="center"/>
          </w:tcPr>
          <w:p w14:paraId="3DDAD84A" w14:textId="41BEB148" w:rsidR="00923CAE" w:rsidRPr="00923CAE" w:rsidRDefault="000E2AC9" w:rsidP="00450EF4">
            <w:pPr>
              <w:ind w:left="213"/>
              <w:jc w:val="center"/>
              <w:rPr>
                <w:rFonts w:asciiTheme="minorHAnsi" w:eastAsia="SimSun" w:hAnsiTheme="minorHAnsi" w:cstheme="minorHAnsi"/>
                <w:b/>
                <w:color w:val="000000"/>
                <w:sz w:val="18"/>
                <w:szCs w:val="18"/>
              </w:rPr>
            </w:pPr>
            <w:r w:rsidRPr="00450EF4">
              <w:rPr>
                <w:rFonts w:asciiTheme="minorHAnsi" w:hAnsiTheme="minorHAnsi" w:cstheme="minorHAnsi"/>
                <w:b/>
                <w:bCs/>
                <w:color w:val="000000"/>
                <w:sz w:val="18"/>
                <w:szCs w:val="18"/>
              </w:rPr>
              <w:t>35,74</w:t>
            </w:r>
            <w:r w:rsidR="002E194C" w:rsidRPr="00450EF4">
              <w:rPr>
                <w:rFonts w:asciiTheme="minorHAnsi" w:hAnsiTheme="minorHAnsi" w:cstheme="minorHAnsi"/>
                <w:b/>
                <w:bCs/>
                <w:color w:val="000000"/>
                <w:sz w:val="18"/>
                <w:szCs w:val="18"/>
              </w:rPr>
              <w:t>2</w:t>
            </w:r>
            <w:r w:rsidR="00923CAE">
              <w:rPr>
                <w:rFonts w:asciiTheme="minorHAnsi" w:eastAsia="SimSun" w:hAnsiTheme="minorHAnsi" w:cstheme="minorHAnsi"/>
                <w:b/>
                <w:color w:val="000000"/>
                <w:sz w:val="18"/>
                <w:szCs w:val="18"/>
              </w:rPr>
              <w:t xml:space="preserve"> ha</w:t>
            </w:r>
          </w:p>
        </w:tc>
      </w:tr>
    </w:tbl>
    <w:p w14:paraId="12CDC664" w14:textId="4921629B" w:rsidR="004E2FF4" w:rsidRDefault="00B8554C" w:rsidP="001667C6">
      <w:pPr>
        <w:pStyle w:val="ParagraphOED"/>
        <w:numPr>
          <w:ilvl w:val="0"/>
          <w:numId w:val="102"/>
        </w:numPr>
        <w:spacing w:before="160" w:after="160"/>
      </w:pPr>
      <w:r>
        <w:t xml:space="preserve">Implementation of the </w:t>
      </w:r>
      <w:r w:rsidR="009B51B9">
        <w:t xml:space="preserve">two </w:t>
      </w:r>
      <w:r>
        <w:t xml:space="preserve">Integrated Land-Use Plans, </w:t>
      </w:r>
      <w:r w:rsidRPr="1E65A5F7">
        <w:rPr>
          <w:u w:val="single"/>
        </w:rPr>
        <w:t xml:space="preserve">which are essentially equivalent to Landscape Management Plans comprising a </w:t>
      </w:r>
      <w:r w:rsidR="009B51B9" w:rsidRPr="1E65A5F7">
        <w:rPr>
          <w:u w:val="single"/>
        </w:rPr>
        <w:t>set of interventions within selected LMUs</w:t>
      </w:r>
      <w:r w:rsidR="009B51B9">
        <w:t>, will be overseen by the Landscape Coordinators based at the respective field offices. Working closely with the National Project Coordinator (NPC), they will</w:t>
      </w:r>
      <w:r w:rsidR="00D91974">
        <w:t xml:space="preserve"> ensure that the two Integrated Land-Use Plans are implemented in a timely and effective manner, focusing particularly on supporting the </w:t>
      </w:r>
      <w:r w:rsidR="00E94020">
        <w:t xml:space="preserve">delivery of the </w:t>
      </w:r>
      <w:r w:rsidR="00D91974">
        <w:t>capacity building program</w:t>
      </w:r>
      <w:r w:rsidR="00E94020">
        <w:t xml:space="preserve"> (Output 2.1.4)</w:t>
      </w:r>
      <w:r w:rsidR="00D91974">
        <w:t xml:space="preserve">, </w:t>
      </w:r>
      <w:r w:rsidR="00E94020">
        <w:t>application of SLM/SFM production best practices</w:t>
      </w:r>
      <w:r w:rsidR="002B3825">
        <w:t>, FFSs and FFFs</w:t>
      </w:r>
      <w:r w:rsidR="00E94020">
        <w:t xml:space="preserve"> (Outcome 2.2) and development of viable dryland </w:t>
      </w:r>
      <w:r w:rsidR="002B3825">
        <w:t xml:space="preserve">green </w:t>
      </w:r>
      <w:r w:rsidR="00E94020">
        <w:t>value chains (Outcome 2.3).</w:t>
      </w:r>
      <w:r w:rsidR="004E2FF4">
        <w:t xml:space="preserve"> Teams from M</w:t>
      </w:r>
      <w:r w:rsidR="39493333">
        <w:t>CTA</w:t>
      </w:r>
      <w:r w:rsidR="004E2FF4">
        <w:t>, MINAGRI</w:t>
      </w:r>
      <w:r w:rsidR="5068318A">
        <w:t>P</w:t>
      </w:r>
      <w:r w:rsidR="004E2FF4">
        <w:t xml:space="preserve"> and MINEA (min</w:t>
      </w:r>
      <w:r w:rsidR="00DC06BD">
        <w:t>imum of</w:t>
      </w:r>
      <w:r w:rsidR="004E2FF4">
        <w:t xml:space="preserve"> 3 </w:t>
      </w:r>
      <w:r w:rsidR="00DC06BD">
        <w:t xml:space="preserve">to a maximum of 6 </w:t>
      </w:r>
      <w:r w:rsidR="004E2FF4">
        <w:t>staff) will be seconded to these locations</w:t>
      </w:r>
      <w:r w:rsidR="00DC06BD">
        <w:t>, where they will be</w:t>
      </w:r>
      <w:r w:rsidR="004E2FF4">
        <w:t xml:space="preserve"> expected to stay up to two years and then rotate to the other field office</w:t>
      </w:r>
      <w:r w:rsidR="00DC06BD">
        <w:t xml:space="preserve"> for two years</w:t>
      </w:r>
      <w:r w:rsidR="004E2FF4">
        <w:t>, to allow for exchanges among teams.</w:t>
      </w:r>
    </w:p>
    <w:p w14:paraId="00FB8467" w14:textId="1B7EFFFA" w:rsidR="00A81E4A" w:rsidRPr="00992869" w:rsidRDefault="00A81E4A" w:rsidP="001667C6">
      <w:pPr>
        <w:pStyle w:val="ParagraphOED"/>
        <w:numPr>
          <w:ilvl w:val="0"/>
          <w:numId w:val="102"/>
        </w:numPr>
        <w:spacing w:after="80"/>
        <w:rPr>
          <w:b/>
          <w:bCs/>
        </w:rPr>
      </w:pPr>
      <w:r w:rsidRPr="1E65A5F7">
        <w:rPr>
          <w:b/>
          <w:bCs/>
        </w:rPr>
        <w:t xml:space="preserve">Indicative Activities under Output 2.1.3 </w:t>
      </w:r>
    </w:p>
    <w:p w14:paraId="7697058F" w14:textId="3943D408" w:rsidR="00D91974" w:rsidRPr="00C32D10" w:rsidRDefault="002D1C38" w:rsidP="001667C6">
      <w:pPr>
        <w:pStyle w:val="AAActivities"/>
        <w:numPr>
          <w:ilvl w:val="0"/>
          <w:numId w:val="98"/>
        </w:numPr>
        <w:spacing w:after="80"/>
        <w:contextualSpacing w:val="0"/>
        <w:rPr>
          <w:b/>
          <w:bCs/>
          <w:sz w:val="21"/>
          <w:szCs w:val="21"/>
        </w:rPr>
      </w:pPr>
      <w:r w:rsidRPr="00C32D10">
        <w:rPr>
          <w:b/>
          <w:bCs/>
          <w:sz w:val="21"/>
          <w:szCs w:val="21"/>
        </w:rPr>
        <w:t>Prepare an Action Plan for delivering each of the nine interventions within the</w:t>
      </w:r>
      <w:r w:rsidR="001B645C" w:rsidRPr="00C32D10">
        <w:rPr>
          <w:b/>
          <w:bCs/>
          <w:sz w:val="21"/>
          <w:szCs w:val="21"/>
        </w:rPr>
        <w:t>ir</w:t>
      </w:r>
      <w:r w:rsidRPr="00C32D10">
        <w:rPr>
          <w:b/>
          <w:bCs/>
          <w:sz w:val="21"/>
          <w:szCs w:val="21"/>
        </w:rPr>
        <w:t xml:space="preserve"> respective </w:t>
      </w:r>
      <w:r w:rsidR="001B645C" w:rsidRPr="00C32D10">
        <w:rPr>
          <w:b/>
          <w:bCs/>
          <w:sz w:val="21"/>
          <w:szCs w:val="21"/>
        </w:rPr>
        <w:t>LMUs</w:t>
      </w:r>
      <w:r w:rsidRPr="00C32D10">
        <w:rPr>
          <w:b/>
          <w:bCs/>
          <w:sz w:val="21"/>
          <w:szCs w:val="21"/>
        </w:rPr>
        <w:t xml:space="preserve"> in the following manner</w:t>
      </w:r>
      <w:r w:rsidR="001C66A1" w:rsidRPr="00C32D10">
        <w:rPr>
          <w:sz w:val="21"/>
          <w:szCs w:val="21"/>
        </w:rPr>
        <w:t>, having first grouped interventions according to their LDN response strategy (i.e. avoidance, reduction or reverse land degradation)</w:t>
      </w:r>
      <w:r w:rsidRPr="00C32D10">
        <w:rPr>
          <w:b/>
          <w:bCs/>
          <w:sz w:val="21"/>
          <w:szCs w:val="21"/>
        </w:rPr>
        <w:t>:</w:t>
      </w:r>
    </w:p>
    <w:p w14:paraId="72391793" w14:textId="42AE4D02" w:rsidR="001C66A1" w:rsidRDefault="001C66A1" w:rsidP="001667C6">
      <w:pPr>
        <w:pStyle w:val="AAActivities"/>
        <w:numPr>
          <w:ilvl w:val="1"/>
          <w:numId w:val="56"/>
        </w:numPr>
        <w:spacing w:after="80"/>
        <w:ind w:left="993" w:hanging="284"/>
        <w:contextualSpacing w:val="0"/>
        <w:rPr>
          <w:sz w:val="21"/>
          <w:szCs w:val="21"/>
        </w:rPr>
      </w:pPr>
      <w:r>
        <w:rPr>
          <w:sz w:val="21"/>
          <w:szCs w:val="21"/>
        </w:rPr>
        <w:t>Identify, itemize, cost and schedule material</w:t>
      </w:r>
      <w:r w:rsidR="002B3825">
        <w:rPr>
          <w:sz w:val="21"/>
          <w:szCs w:val="21"/>
        </w:rPr>
        <w:t>,</w:t>
      </w:r>
      <w:r>
        <w:rPr>
          <w:sz w:val="21"/>
          <w:szCs w:val="21"/>
        </w:rPr>
        <w:t xml:space="preserve"> technical resources</w:t>
      </w:r>
      <w:r w:rsidR="002B3825">
        <w:rPr>
          <w:sz w:val="21"/>
          <w:szCs w:val="21"/>
        </w:rPr>
        <w:t xml:space="preserve"> and financial investments</w:t>
      </w:r>
      <w:r>
        <w:rPr>
          <w:sz w:val="21"/>
          <w:szCs w:val="21"/>
        </w:rPr>
        <w:t xml:space="preserve"> required for each intervention, and summarise the requirements by group</w:t>
      </w:r>
      <w:r w:rsidR="002B3825">
        <w:rPr>
          <w:sz w:val="21"/>
          <w:szCs w:val="21"/>
        </w:rPr>
        <w:t xml:space="preserve"> (avoidance, reduction and reversal)</w:t>
      </w:r>
      <w:r>
        <w:rPr>
          <w:sz w:val="21"/>
          <w:szCs w:val="21"/>
        </w:rPr>
        <w:t xml:space="preserve">. Compare resource needs between the two landscapes </w:t>
      </w:r>
      <w:r w:rsidR="00ED3C34">
        <w:rPr>
          <w:sz w:val="21"/>
          <w:szCs w:val="21"/>
        </w:rPr>
        <w:t>and</w:t>
      </w:r>
      <w:r>
        <w:rPr>
          <w:sz w:val="21"/>
          <w:szCs w:val="21"/>
        </w:rPr>
        <w:t xml:space="preserve"> identify </w:t>
      </w:r>
      <w:r w:rsidR="00ED3C34">
        <w:rPr>
          <w:sz w:val="21"/>
          <w:szCs w:val="21"/>
        </w:rPr>
        <w:t xml:space="preserve">opportunities for </w:t>
      </w:r>
      <w:r>
        <w:rPr>
          <w:sz w:val="21"/>
          <w:szCs w:val="21"/>
        </w:rPr>
        <w:t xml:space="preserve">potential synergies. </w:t>
      </w:r>
    </w:p>
    <w:p w14:paraId="74D46F3B" w14:textId="42006DE9" w:rsidR="001C66A1" w:rsidRDefault="001C66A1" w:rsidP="001667C6">
      <w:pPr>
        <w:pStyle w:val="AAActivities"/>
        <w:numPr>
          <w:ilvl w:val="1"/>
          <w:numId w:val="56"/>
        </w:numPr>
        <w:spacing w:after="80"/>
        <w:ind w:left="993" w:hanging="284"/>
        <w:contextualSpacing w:val="0"/>
        <w:rPr>
          <w:sz w:val="21"/>
          <w:szCs w:val="21"/>
        </w:rPr>
      </w:pPr>
      <w:r>
        <w:rPr>
          <w:sz w:val="21"/>
          <w:szCs w:val="21"/>
        </w:rPr>
        <w:t>Identify training and other capacity development needs</w:t>
      </w:r>
      <w:r w:rsidR="002B3825">
        <w:rPr>
          <w:sz w:val="21"/>
          <w:szCs w:val="21"/>
        </w:rPr>
        <w:t xml:space="preserve"> (e</w:t>
      </w:r>
      <w:r w:rsidR="00154240">
        <w:rPr>
          <w:sz w:val="21"/>
          <w:szCs w:val="21"/>
        </w:rPr>
        <w:t>.g. equipment, finance</w:t>
      </w:r>
      <w:r w:rsidR="355A6EC5" w:rsidRPr="5DDE12F0">
        <w:rPr>
          <w:sz w:val="21"/>
          <w:szCs w:val="21"/>
        </w:rPr>
        <w:t>, land tenure</w:t>
      </w:r>
      <w:r w:rsidR="00154240">
        <w:rPr>
          <w:sz w:val="21"/>
          <w:szCs w:val="21"/>
        </w:rPr>
        <w:t>)</w:t>
      </w:r>
      <w:r>
        <w:rPr>
          <w:sz w:val="21"/>
          <w:szCs w:val="21"/>
        </w:rPr>
        <w:t xml:space="preserve"> required for delivering each intervention (or group of interventions)</w:t>
      </w:r>
      <w:r w:rsidR="000A0B13">
        <w:rPr>
          <w:sz w:val="21"/>
          <w:szCs w:val="21"/>
        </w:rPr>
        <w:t xml:space="preserve">, focusing particularly on </w:t>
      </w:r>
      <w:r w:rsidR="000A0B13">
        <w:rPr>
          <w:sz w:val="21"/>
          <w:szCs w:val="21"/>
        </w:rPr>
        <w:lastRenderedPageBreak/>
        <w:t>land owner</w:t>
      </w:r>
      <w:r w:rsidR="00154240">
        <w:rPr>
          <w:sz w:val="21"/>
          <w:szCs w:val="21"/>
        </w:rPr>
        <w:t>s</w:t>
      </w:r>
      <w:r w:rsidR="000A0B13">
        <w:rPr>
          <w:sz w:val="21"/>
          <w:szCs w:val="21"/>
        </w:rPr>
        <w:t>, managers and other users and ensuring that information gathering is socially inclusive of gender, age, abilities</w:t>
      </w:r>
      <w:r w:rsidR="00A61D69" w:rsidRPr="00A61D69">
        <w:rPr>
          <w:sz w:val="21"/>
          <w:szCs w:val="21"/>
        </w:rPr>
        <w:t xml:space="preserve"> </w:t>
      </w:r>
      <w:r w:rsidR="00A61D69">
        <w:rPr>
          <w:sz w:val="21"/>
          <w:szCs w:val="21"/>
        </w:rPr>
        <w:t>and minority groups</w:t>
      </w:r>
      <w:r w:rsidR="000A0B13">
        <w:rPr>
          <w:sz w:val="21"/>
          <w:szCs w:val="21"/>
        </w:rPr>
        <w:t>.</w:t>
      </w:r>
      <w:r w:rsidR="004313EB">
        <w:rPr>
          <w:sz w:val="21"/>
          <w:szCs w:val="21"/>
        </w:rPr>
        <w:t xml:space="preserve"> Feed this information into the Capacity Development Program (Output 2.1.4</w:t>
      </w:r>
      <w:r w:rsidR="00154240">
        <w:rPr>
          <w:sz w:val="21"/>
          <w:szCs w:val="21"/>
        </w:rPr>
        <w:t>)</w:t>
      </w:r>
      <w:r w:rsidR="004313EB">
        <w:rPr>
          <w:sz w:val="21"/>
          <w:szCs w:val="21"/>
        </w:rPr>
        <w:t>.</w:t>
      </w:r>
      <w:r w:rsidR="00ED3C34" w:rsidRPr="00ED3C34">
        <w:rPr>
          <w:sz w:val="21"/>
          <w:szCs w:val="21"/>
        </w:rPr>
        <w:t xml:space="preserve"> </w:t>
      </w:r>
      <w:r w:rsidR="00ED3C34">
        <w:rPr>
          <w:sz w:val="21"/>
          <w:szCs w:val="21"/>
        </w:rPr>
        <w:t xml:space="preserve">Compare </w:t>
      </w:r>
      <w:r w:rsidR="00154240">
        <w:rPr>
          <w:sz w:val="21"/>
          <w:szCs w:val="21"/>
        </w:rPr>
        <w:t>capacity development</w:t>
      </w:r>
      <w:r w:rsidR="00ED3C34">
        <w:rPr>
          <w:sz w:val="21"/>
          <w:szCs w:val="21"/>
        </w:rPr>
        <w:t xml:space="preserve"> needs between the two landscapes and identify opportunities for potential synergies.</w:t>
      </w:r>
    </w:p>
    <w:p w14:paraId="3E76FDD8" w14:textId="38CB230A" w:rsidR="002D1C38" w:rsidRDefault="00A61D69" w:rsidP="001667C6">
      <w:pPr>
        <w:pStyle w:val="AAActivities"/>
        <w:numPr>
          <w:ilvl w:val="1"/>
          <w:numId w:val="56"/>
        </w:numPr>
        <w:spacing w:after="80"/>
        <w:ind w:left="993" w:hanging="284"/>
        <w:contextualSpacing w:val="0"/>
        <w:rPr>
          <w:sz w:val="21"/>
          <w:szCs w:val="21"/>
        </w:rPr>
      </w:pPr>
      <w:r>
        <w:rPr>
          <w:sz w:val="21"/>
          <w:szCs w:val="21"/>
        </w:rPr>
        <w:t>Identify opportunities for training of trainers approach among outreach workers, especially at district, municipality, commune and farmer levels</w:t>
      </w:r>
      <w:r w:rsidR="00FB3E27">
        <w:rPr>
          <w:sz w:val="21"/>
          <w:szCs w:val="21"/>
        </w:rPr>
        <w:t xml:space="preserve">. Note that </w:t>
      </w:r>
      <w:r w:rsidR="00154240">
        <w:rPr>
          <w:sz w:val="21"/>
          <w:szCs w:val="21"/>
        </w:rPr>
        <w:t xml:space="preserve">Farmer Forest Schools (FFSs) and </w:t>
      </w:r>
      <w:r w:rsidR="00785E67">
        <w:rPr>
          <w:sz w:val="21"/>
          <w:szCs w:val="21"/>
        </w:rPr>
        <w:t xml:space="preserve">Forest Farm Facilities (FFFs) are likely to </w:t>
      </w:r>
      <w:r w:rsidR="002F0C0C">
        <w:rPr>
          <w:sz w:val="21"/>
          <w:szCs w:val="21"/>
        </w:rPr>
        <w:t>fill</w:t>
      </w:r>
      <w:r w:rsidR="00785E67">
        <w:rPr>
          <w:sz w:val="21"/>
          <w:szCs w:val="21"/>
        </w:rPr>
        <w:t xml:space="preserve"> important role</w:t>
      </w:r>
      <w:r w:rsidR="00154240">
        <w:rPr>
          <w:sz w:val="21"/>
          <w:szCs w:val="21"/>
        </w:rPr>
        <w:t>s</w:t>
      </w:r>
      <w:r w:rsidR="002F0C0C">
        <w:rPr>
          <w:sz w:val="21"/>
          <w:szCs w:val="21"/>
        </w:rPr>
        <w:t xml:space="preserve"> under Output</w:t>
      </w:r>
      <w:r w:rsidR="00154240">
        <w:rPr>
          <w:sz w:val="21"/>
          <w:szCs w:val="21"/>
        </w:rPr>
        <w:t>s</w:t>
      </w:r>
      <w:r w:rsidR="002F0C0C">
        <w:rPr>
          <w:sz w:val="21"/>
          <w:szCs w:val="21"/>
        </w:rPr>
        <w:t xml:space="preserve"> 2.2.</w:t>
      </w:r>
      <w:r w:rsidR="00154240">
        <w:rPr>
          <w:sz w:val="21"/>
          <w:szCs w:val="21"/>
        </w:rPr>
        <w:t>1 and 2.2.</w:t>
      </w:r>
      <w:r w:rsidR="002F0C0C">
        <w:rPr>
          <w:sz w:val="21"/>
          <w:szCs w:val="21"/>
        </w:rPr>
        <w:t>2</w:t>
      </w:r>
      <w:r w:rsidR="00154240">
        <w:rPr>
          <w:sz w:val="21"/>
          <w:szCs w:val="21"/>
        </w:rPr>
        <w:t xml:space="preserve"> respectively</w:t>
      </w:r>
      <w:r w:rsidR="00785E67">
        <w:rPr>
          <w:sz w:val="21"/>
          <w:szCs w:val="21"/>
        </w:rPr>
        <w:t>.</w:t>
      </w:r>
      <w:r w:rsidR="001C66A1">
        <w:rPr>
          <w:sz w:val="21"/>
          <w:szCs w:val="21"/>
        </w:rPr>
        <w:t xml:space="preserve"> </w:t>
      </w:r>
    </w:p>
    <w:p w14:paraId="3BCAB309" w14:textId="2828CD6C" w:rsidR="00D91974" w:rsidRDefault="004313EB" w:rsidP="001667C6">
      <w:pPr>
        <w:pStyle w:val="AAActivities"/>
        <w:numPr>
          <w:ilvl w:val="1"/>
          <w:numId w:val="56"/>
        </w:numPr>
        <w:spacing w:after="80"/>
        <w:ind w:left="993" w:hanging="284"/>
        <w:contextualSpacing w:val="0"/>
        <w:rPr>
          <w:sz w:val="21"/>
          <w:szCs w:val="21"/>
        </w:rPr>
      </w:pPr>
      <w:r>
        <w:rPr>
          <w:sz w:val="21"/>
          <w:szCs w:val="21"/>
        </w:rPr>
        <w:t>Prepare a timetable for the respective Action Plans; monitor and review progress quarterly and revise/roll-forward the Action Plans annually</w:t>
      </w:r>
      <w:r w:rsidR="00D91974">
        <w:rPr>
          <w:sz w:val="21"/>
          <w:szCs w:val="21"/>
        </w:rPr>
        <w:t>.</w:t>
      </w:r>
    </w:p>
    <w:p w14:paraId="6A434259" w14:textId="665E078F" w:rsidR="00D91974" w:rsidRDefault="00306D9D" w:rsidP="00D91974">
      <w:pPr>
        <w:pStyle w:val="AAActivities"/>
        <w:numPr>
          <w:ilvl w:val="0"/>
          <w:numId w:val="0"/>
        </w:numPr>
        <w:spacing w:after="80"/>
        <w:ind w:left="709"/>
        <w:contextualSpacing w:val="0"/>
        <w:rPr>
          <w:sz w:val="21"/>
          <w:szCs w:val="21"/>
        </w:rPr>
      </w:pPr>
      <w:r>
        <w:rPr>
          <w:sz w:val="21"/>
          <w:szCs w:val="21"/>
        </w:rPr>
        <w:t>Action Plans</w:t>
      </w:r>
      <w:r w:rsidR="00D91974">
        <w:rPr>
          <w:sz w:val="21"/>
          <w:szCs w:val="21"/>
        </w:rPr>
        <w:t xml:space="preserve"> should be completed within 3 months of </w:t>
      </w:r>
      <w:r>
        <w:rPr>
          <w:sz w:val="21"/>
          <w:szCs w:val="21"/>
        </w:rPr>
        <w:t>finalizing</w:t>
      </w:r>
      <w:r w:rsidR="004313EB">
        <w:rPr>
          <w:sz w:val="21"/>
          <w:szCs w:val="21"/>
        </w:rPr>
        <w:t xml:space="preserve"> the Integrated Land-Use Plans. </w:t>
      </w:r>
    </w:p>
    <w:p w14:paraId="32D8BEAF" w14:textId="0C1E7DD4" w:rsidR="00E401DF" w:rsidRPr="00E401DF" w:rsidRDefault="00306D9D" w:rsidP="00C30F09">
      <w:pPr>
        <w:pStyle w:val="Heading6"/>
        <w:spacing w:before="160" w:after="160"/>
        <w:ind w:hanging="11"/>
        <w:rPr>
          <w:b/>
          <w:bCs/>
        </w:rPr>
      </w:pPr>
      <w:r>
        <w:rPr>
          <w:b/>
          <w:bCs/>
          <w:sz w:val="21"/>
          <w:szCs w:val="21"/>
        </w:rPr>
        <w:t xml:space="preserve">Implement the Integrated Land-Use Plans in accordance with the </w:t>
      </w:r>
      <w:r w:rsidR="00154240">
        <w:rPr>
          <w:b/>
          <w:bCs/>
          <w:sz w:val="21"/>
          <w:szCs w:val="21"/>
        </w:rPr>
        <w:t xml:space="preserve">respective </w:t>
      </w:r>
      <w:r>
        <w:rPr>
          <w:b/>
          <w:bCs/>
          <w:sz w:val="21"/>
          <w:szCs w:val="21"/>
        </w:rPr>
        <w:t xml:space="preserve">Action </w:t>
      </w:r>
      <w:r w:rsidRPr="00306D9D">
        <w:rPr>
          <w:b/>
          <w:bCs/>
          <w:sz w:val="21"/>
          <w:szCs w:val="21"/>
        </w:rPr>
        <w:t>Plans</w:t>
      </w:r>
      <w:r>
        <w:rPr>
          <w:sz w:val="21"/>
          <w:szCs w:val="21"/>
        </w:rPr>
        <w:t>, starting no later that the beginning of Year 3 to allow adequate time to have started delivery of all 18 interventions and completed the majority</w:t>
      </w:r>
      <w:r w:rsidR="002F0C0C">
        <w:rPr>
          <w:sz w:val="21"/>
          <w:szCs w:val="21"/>
        </w:rPr>
        <w:t xml:space="preserve"> by project closure</w:t>
      </w:r>
      <w:r>
        <w:rPr>
          <w:sz w:val="21"/>
          <w:szCs w:val="21"/>
        </w:rPr>
        <w:t xml:space="preserve">. </w:t>
      </w:r>
    </w:p>
    <w:p w14:paraId="66E603E6" w14:textId="4896B5DE" w:rsidR="00ED3C34" w:rsidRPr="00ED3C34" w:rsidRDefault="00E401DF" w:rsidP="0003659C">
      <w:pPr>
        <w:pStyle w:val="AAActivities"/>
        <w:numPr>
          <w:ilvl w:val="0"/>
          <w:numId w:val="11"/>
        </w:numPr>
        <w:spacing w:after="80"/>
        <w:contextualSpacing w:val="0"/>
        <w:rPr>
          <w:b/>
          <w:bCs/>
        </w:rPr>
      </w:pPr>
      <w:r w:rsidRPr="00ED3C34">
        <w:rPr>
          <w:b/>
          <w:bCs/>
          <w:sz w:val="21"/>
          <w:szCs w:val="21"/>
        </w:rPr>
        <w:t xml:space="preserve">Prepare a post-Project </w:t>
      </w:r>
      <w:r w:rsidR="00D907C9" w:rsidRPr="00ED3C34">
        <w:rPr>
          <w:b/>
          <w:bCs/>
          <w:sz w:val="21"/>
          <w:szCs w:val="21"/>
        </w:rPr>
        <w:t>Landscape Strategy</w:t>
      </w:r>
      <w:r>
        <w:rPr>
          <w:sz w:val="21"/>
          <w:szCs w:val="21"/>
        </w:rPr>
        <w:t xml:space="preserve"> prior to the final 6 months of implementation</w:t>
      </w:r>
      <w:r w:rsidR="002F0C0C">
        <w:rPr>
          <w:sz w:val="21"/>
          <w:szCs w:val="21"/>
        </w:rPr>
        <w:t xml:space="preserve"> that</w:t>
      </w:r>
      <w:r>
        <w:rPr>
          <w:sz w:val="21"/>
          <w:szCs w:val="21"/>
        </w:rPr>
        <w:t xml:space="preserve"> identifies </w:t>
      </w:r>
      <w:r w:rsidR="00D907C9">
        <w:rPr>
          <w:sz w:val="21"/>
          <w:szCs w:val="21"/>
        </w:rPr>
        <w:t xml:space="preserve">any outstanding intervention tasks and how these will be resourced and completed post-project. The Strategy should </w:t>
      </w:r>
      <w:r w:rsidR="00937C86">
        <w:rPr>
          <w:sz w:val="21"/>
          <w:szCs w:val="21"/>
        </w:rPr>
        <w:t>identify lessons learned and, importantly,</w:t>
      </w:r>
      <w:r w:rsidR="00D907C9">
        <w:rPr>
          <w:sz w:val="21"/>
          <w:szCs w:val="21"/>
        </w:rPr>
        <w:t xml:space="preserve"> identify post-project priorities for scaling out (replicating) ILUP across the remaining LMUs within the </w:t>
      </w:r>
      <w:r w:rsidR="00154240">
        <w:rPr>
          <w:sz w:val="21"/>
          <w:szCs w:val="21"/>
        </w:rPr>
        <w:t xml:space="preserve">target </w:t>
      </w:r>
      <w:r w:rsidR="002F0C0C">
        <w:rPr>
          <w:sz w:val="21"/>
          <w:szCs w:val="21"/>
        </w:rPr>
        <w:t>Sub-Basin</w:t>
      </w:r>
      <w:r w:rsidR="00154240">
        <w:rPr>
          <w:sz w:val="21"/>
          <w:szCs w:val="21"/>
        </w:rPr>
        <w:t>s</w:t>
      </w:r>
      <w:r w:rsidR="00D907C9">
        <w:rPr>
          <w:sz w:val="21"/>
          <w:szCs w:val="21"/>
        </w:rPr>
        <w:t xml:space="preserve"> and how this might be </w:t>
      </w:r>
      <w:r w:rsidR="00ED3C34">
        <w:rPr>
          <w:sz w:val="21"/>
          <w:szCs w:val="21"/>
        </w:rPr>
        <w:t>resourced. This Strategy will constitute part of the project’s Exit Strategy.</w:t>
      </w:r>
    </w:p>
    <w:p w14:paraId="07282C35" w14:textId="53CFFDDA" w:rsidR="00A32BF3" w:rsidRPr="00194716" w:rsidRDefault="00A32BF3" w:rsidP="00ED3C34">
      <w:pPr>
        <w:pStyle w:val="Heading6"/>
        <w:spacing w:before="160" w:after="160"/>
        <w:ind w:hanging="11"/>
        <w:rPr>
          <w:rFonts w:ascii="Calibri" w:hAnsi="Calibri" w:cs="Calibri"/>
          <w:sz w:val="21"/>
          <w:szCs w:val="21"/>
        </w:rPr>
      </w:pPr>
      <w:r w:rsidRPr="00194716">
        <w:rPr>
          <w:rFonts w:ascii="Calibri" w:hAnsi="Calibri" w:cs="Calibri"/>
          <w:b/>
          <w:bCs/>
          <w:sz w:val="21"/>
          <w:szCs w:val="21"/>
          <w:highlight w:val="lightGray"/>
        </w:rPr>
        <w:t>Output 2.1.</w:t>
      </w:r>
      <w:r w:rsidR="004E2FF4" w:rsidRPr="00194716">
        <w:rPr>
          <w:rFonts w:ascii="Calibri" w:hAnsi="Calibri" w:cs="Calibri"/>
          <w:b/>
          <w:bCs/>
          <w:sz w:val="21"/>
          <w:szCs w:val="21"/>
          <w:highlight w:val="lightGray"/>
        </w:rPr>
        <w:t>4</w:t>
      </w:r>
      <w:r w:rsidRPr="00194716">
        <w:rPr>
          <w:rFonts w:ascii="Calibri" w:hAnsi="Calibri" w:cs="Calibri"/>
          <w:b/>
          <w:bCs/>
          <w:sz w:val="21"/>
          <w:szCs w:val="21"/>
          <w:highlight w:val="lightGray"/>
        </w:rPr>
        <w:tab/>
      </w:r>
      <w:r w:rsidRPr="00194716">
        <w:rPr>
          <w:rFonts w:ascii="Calibri" w:hAnsi="Calibri" w:cs="Calibri"/>
          <w:bCs/>
          <w:sz w:val="21"/>
          <w:szCs w:val="21"/>
          <w:highlight w:val="lightGray"/>
        </w:rPr>
        <w:t>Capacity development program on integrated land-use planning</w:t>
      </w:r>
      <w:r w:rsidR="009D0E36" w:rsidRPr="00194716">
        <w:rPr>
          <w:rFonts w:ascii="Calibri" w:hAnsi="Calibri" w:cs="Calibri"/>
          <w:bCs/>
          <w:sz w:val="21"/>
          <w:szCs w:val="21"/>
          <w:highlight w:val="lightGray"/>
        </w:rPr>
        <w:t>,</w:t>
      </w:r>
      <w:r w:rsidR="0041738E" w:rsidRPr="00194716">
        <w:rPr>
          <w:rFonts w:ascii="Calibri" w:hAnsi="Calibri" w:cs="Calibri"/>
          <w:bCs/>
          <w:sz w:val="21"/>
          <w:szCs w:val="21"/>
          <w:highlight w:val="lightGray"/>
        </w:rPr>
        <w:t xml:space="preserve"> management</w:t>
      </w:r>
      <w:r w:rsidR="00CA388A" w:rsidRPr="00194716">
        <w:rPr>
          <w:rFonts w:ascii="Calibri" w:hAnsi="Calibri" w:cs="Calibri"/>
          <w:bCs/>
          <w:sz w:val="21"/>
          <w:szCs w:val="21"/>
          <w:highlight w:val="lightGray"/>
        </w:rPr>
        <w:t xml:space="preserve"> </w:t>
      </w:r>
      <w:r w:rsidR="009D0E36" w:rsidRPr="00194716">
        <w:rPr>
          <w:rFonts w:ascii="Calibri" w:hAnsi="Calibri" w:cs="Calibri"/>
          <w:bCs/>
          <w:sz w:val="21"/>
          <w:szCs w:val="21"/>
          <w:highlight w:val="lightGray"/>
        </w:rPr>
        <w:t xml:space="preserve">and investment </w:t>
      </w:r>
      <w:r w:rsidR="00CA388A" w:rsidRPr="00194716">
        <w:rPr>
          <w:rFonts w:ascii="Calibri" w:hAnsi="Calibri" w:cs="Calibri"/>
          <w:bCs/>
          <w:sz w:val="21"/>
          <w:szCs w:val="21"/>
          <w:highlight w:val="lightGray"/>
        </w:rPr>
        <w:t>designed and delivered</w:t>
      </w:r>
    </w:p>
    <w:p w14:paraId="4357C41E" w14:textId="0E47BD64" w:rsidR="009563B4" w:rsidRPr="00165301" w:rsidRDefault="009563B4" w:rsidP="001667C6">
      <w:pPr>
        <w:pStyle w:val="ParagraphOED"/>
        <w:numPr>
          <w:ilvl w:val="0"/>
          <w:numId w:val="102"/>
        </w:numPr>
        <w:spacing w:after="160"/>
      </w:pPr>
      <w:r>
        <w:t xml:space="preserve">During the PPG, one of the barriers identified vis-à-vis the application of the </w:t>
      </w:r>
      <w:r w:rsidR="005732F5" w:rsidRPr="1E65A5F7">
        <w:rPr>
          <w:i/>
          <w:iCs/>
        </w:rPr>
        <w:t>landscape approach</w:t>
      </w:r>
      <w:r>
        <w:t>, is capacity and skills constraints. While there will be extensive training of local users through F</w:t>
      </w:r>
      <w:r w:rsidR="005732F5">
        <w:t xml:space="preserve">armer </w:t>
      </w:r>
      <w:r>
        <w:t>F</w:t>
      </w:r>
      <w:r w:rsidR="005732F5">
        <w:t xml:space="preserve">ield </w:t>
      </w:r>
      <w:r>
        <w:t>S</w:t>
      </w:r>
      <w:r w:rsidR="005732F5">
        <w:t>chools</w:t>
      </w:r>
      <w:r>
        <w:t>/A</w:t>
      </w:r>
      <w:r w:rsidR="005732F5">
        <w:t>gro-Pastoral Field Schools (FFSs/A</w:t>
      </w:r>
      <w:r>
        <w:t>PFS</w:t>
      </w:r>
      <w:r w:rsidR="005732F5">
        <w:t>s under Component 2)</w:t>
      </w:r>
      <w:r>
        <w:t xml:space="preserve">, </w:t>
      </w:r>
      <w:r w:rsidR="005732F5">
        <w:t xml:space="preserve">in </w:t>
      </w:r>
      <w:r>
        <w:t xml:space="preserve">Component 1 the focus will be on </w:t>
      </w:r>
      <w:r w:rsidR="00C34FC5">
        <w:t>policy and decision makers involved in land tenure and land use</w:t>
      </w:r>
      <w:r>
        <w:t xml:space="preserve"> and the fact that </w:t>
      </w:r>
      <w:r w:rsidR="001B248C">
        <w:t>land-use plan</w:t>
      </w:r>
      <w:r>
        <w:t xml:space="preserve">ning can yield much better results when supported by spatial data, adequate training and capacity development. </w:t>
      </w:r>
    </w:p>
    <w:p w14:paraId="190B7EA7" w14:textId="00702A12" w:rsidR="009563B4" w:rsidRPr="008176BC" w:rsidRDefault="009563B4" w:rsidP="001667C6">
      <w:pPr>
        <w:pStyle w:val="ParagraphOED"/>
        <w:numPr>
          <w:ilvl w:val="0"/>
          <w:numId w:val="102"/>
        </w:numPr>
        <w:spacing w:after="160"/>
      </w:pPr>
      <w:r>
        <w:t>The project require</w:t>
      </w:r>
      <w:r w:rsidR="00714F83">
        <w:t>s</w:t>
      </w:r>
      <w:r>
        <w:t xml:space="preserve"> the specific input </w:t>
      </w:r>
      <w:r w:rsidR="00C34FC5">
        <w:t xml:space="preserve">of </w:t>
      </w:r>
      <w:r>
        <w:t xml:space="preserve">strategically positioned stakeholders in government, academia, civil society and the private sector </w:t>
      </w:r>
      <w:r w:rsidR="00C34FC5">
        <w:t>to</w:t>
      </w:r>
      <w:r>
        <w:t xml:space="preserve"> champion the LDN concept and facilitate the adoption of SLM/SFM practices on the ground. Champions in this context </w:t>
      </w:r>
      <w:r w:rsidR="00C34FC5">
        <w:t>refer to</w:t>
      </w:r>
      <w:r>
        <w:t xml:space="preserve"> those who </w:t>
      </w:r>
      <w:r w:rsidR="00714F83">
        <w:t>can</w:t>
      </w:r>
      <w:r>
        <w:t xml:space="preserve"> lead, innovate and bring about transformational change </w:t>
      </w:r>
      <w:r w:rsidR="00C34FC5">
        <w:t>in</w:t>
      </w:r>
      <w:r>
        <w:t xml:space="preserve"> mainstreaming LDN, SLM and SFM a</w:t>
      </w:r>
      <w:r w:rsidR="00C34FC5">
        <w:t>cross landscapes at river basin scale</w:t>
      </w:r>
      <w:r>
        <w:t xml:space="preserve">. They </w:t>
      </w:r>
      <w:r w:rsidR="00714F83">
        <w:t>are</w:t>
      </w:r>
      <w:r>
        <w:t xml:space="preserve"> </w:t>
      </w:r>
      <w:r w:rsidR="000A1AE6">
        <w:t>also best</w:t>
      </w:r>
      <w:r w:rsidR="00714F83">
        <w:t xml:space="preserve"> </w:t>
      </w:r>
      <w:r w:rsidR="000A1AE6">
        <w:t>placed</w:t>
      </w:r>
      <w:r>
        <w:t xml:space="preserve"> </w:t>
      </w:r>
      <w:r w:rsidR="00714F83">
        <w:t xml:space="preserve">to </w:t>
      </w:r>
      <w:r>
        <w:t>en</w:t>
      </w:r>
      <w:r w:rsidR="000A1AE6">
        <w:t>courage their peers within</w:t>
      </w:r>
      <w:r>
        <w:t xml:space="preserve"> a wider group of land users and managers </w:t>
      </w:r>
      <w:r w:rsidR="000A1AE6">
        <w:t xml:space="preserve">to </w:t>
      </w:r>
      <w:r>
        <w:t xml:space="preserve">adhere to </w:t>
      </w:r>
      <w:r w:rsidR="00714F83">
        <w:t>such</w:t>
      </w:r>
      <w:r>
        <w:t xml:space="preserve"> principles. </w:t>
      </w:r>
    </w:p>
    <w:p w14:paraId="4916BD2C" w14:textId="15DA2721" w:rsidR="009563B4" w:rsidRPr="008176BC" w:rsidRDefault="2EF173FD" w:rsidP="7F4D7136">
      <w:pPr>
        <w:pStyle w:val="ParagraphOED"/>
        <w:numPr>
          <w:ilvl w:val="0"/>
          <w:numId w:val="102"/>
        </w:numPr>
        <w:spacing w:after="80"/>
        <w:rPr>
          <w:rFonts w:asciiTheme="minorHAnsi" w:hAnsiTheme="minorHAnsi" w:cstheme="minorBidi"/>
        </w:rPr>
      </w:pPr>
      <w:r w:rsidRPr="7F4D7136">
        <w:rPr>
          <w:szCs w:val="21"/>
        </w:rPr>
        <w:t>To</w:t>
      </w:r>
      <w:r>
        <w:t xml:space="preserve"> realise</w:t>
      </w:r>
      <w:r w:rsidR="27F79E38">
        <w:t xml:space="preserve"> the above, </w:t>
      </w:r>
      <w:r w:rsidR="4AE4104A">
        <w:t xml:space="preserve">the capacity of </w:t>
      </w:r>
      <w:r>
        <w:t>these</w:t>
      </w:r>
      <w:r w:rsidR="27F79E38" w:rsidRPr="7F4D7136">
        <w:rPr>
          <w:rFonts w:asciiTheme="minorHAnsi" w:hAnsiTheme="minorHAnsi" w:cstheme="minorBidi"/>
        </w:rPr>
        <w:t xml:space="preserve"> stakeholders </w:t>
      </w:r>
      <w:r w:rsidR="4AE4104A" w:rsidRPr="7F4D7136">
        <w:rPr>
          <w:rFonts w:asciiTheme="minorHAnsi" w:hAnsiTheme="minorHAnsi" w:cstheme="minorBidi"/>
        </w:rPr>
        <w:t xml:space="preserve">needs to be enhanced with respect to: </w:t>
      </w:r>
      <w:r w:rsidR="27F79E38" w:rsidRPr="7F4D7136">
        <w:rPr>
          <w:rFonts w:asciiTheme="minorHAnsi" w:hAnsiTheme="minorHAnsi" w:cstheme="minorBidi"/>
        </w:rPr>
        <w:t xml:space="preserve">acquiring, </w:t>
      </w:r>
      <w:r w:rsidR="4AE4104A" w:rsidRPr="7F4D7136">
        <w:rPr>
          <w:rFonts w:asciiTheme="minorHAnsi" w:hAnsiTheme="minorHAnsi" w:cstheme="minorBidi"/>
        </w:rPr>
        <w:t>managing</w:t>
      </w:r>
      <w:r w:rsidR="27F79E38" w:rsidRPr="7F4D7136">
        <w:rPr>
          <w:rFonts w:asciiTheme="minorHAnsi" w:hAnsiTheme="minorHAnsi" w:cstheme="minorBidi"/>
        </w:rPr>
        <w:t>, interpreting and analys</w:t>
      </w:r>
      <w:r w:rsidR="4AE4104A" w:rsidRPr="7F4D7136">
        <w:rPr>
          <w:rFonts w:asciiTheme="minorHAnsi" w:hAnsiTheme="minorHAnsi" w:cstheme="minorBidi"/>
        </w:rPr>
        <w:t>ing</w:t>
      </w:r>
      <w:r w:rsidR="27F79E38" w:rsidRPr="7F4D7136">
        <w:rPr>
          <w:rFonts w:asciiTheme="minorHAnsi" w:hAnsiTheme="minorHAnsi" w:cstheme="minorBidi"/>
        </w:rPr>
        <w:t xml:space="preserve"> </w:t>
      </w:r>
      <w:r w:rsidR="4AE4104A" w:rsidRPr="7F4D7136">
        <w:rPr>
          <w:rFonts w:asciiTheme="minorHAnsi" w:hAnsiTheme="minorHAnsi" w:cstheme="minorBidi"/>
        </w:rPr>
        <w:t>spatial data related to land use and</w:t>
      </w:r>
      <w:r w:rsidR="11048F3B" w:rsidRPr="7F4D7136">
        <w:rPr>
          <w:rFonts w:asciiTheme="minorHAnsi" w:hAnsiTheme="minorHAnsi" w:cstheme="minorBidi"/>
        </w:rPr>
        <w:t xml:space="preserve"> </w:t>
      </w:r>
      <w:r w:rsidR="27F79E38" w:rsidRPr="7F4D7136">
        <w:rPr>
          <w:rFonts w:asciiTheme="minorHAnsi" w:hAnsiTheme="minorHAnsi" w:cstheme="minorBidi"/>
        </w:rPr>
        <w:t xml:space="preserve">LDN; </w:t>
      </w:r>
      <w:r w:rsidRPr="7F4D7136">
        <w:rPr>
          <w:rFonts w:asciiTheme="minorHAnsi" w:hAnsiTheme="minorHAnsi" w:cstheme="minorBidi"/>
        </w:rPr>
        <w:t xml:space="preserve">and </w:t>
      </w:r>
      <w:r w:rsidR="27F79E38" w:rsidRPr="7F4D7136">
        <w:rPr>
          <w:rFonts w:asciiTheme="minorHAnsi" w:hAnsiTheme="minorHAnsi" w:cstheme="minorBidi"/>
        </w:rPr>
        <w:t>develop</w:t>
      </w:r>
      <w:r w:rsidR="4AE4104A" w:rsidRPr="7F4D7136">
        <w:rPr>
          <w:rFonts w:asciiTheme="minorHAnsi" w:hAnsiTheme="minorHAnsi" w:cstheme="minorBidi"/>
        </w:rPr>
        <w:t>ing</w:t>
      </w:r>
      <w:r w:rsidR="27F79E38" w:rsidRPr="7F4D7136">
        <w:rPr>
          <w:rFonts w:asciiTheme="minorHAnsi" w:hAnsiTheme="minorHAnsi" w:cstheme="minorBidi"/>
        </w:rPr>
        <w:t xml:space="preserve"> strategic partnerships, conceiv</w:t>
      </w:r>
      <w:r w:rsidR="4AE4104A" w:rsidRPr="7F4D7136">
        <w:rPr>
          <w:rFonts w:asciiTheme="minorHAnsi" w:hAnsiTheme="minorHAnsi" w:cstheme="minorBidi"/>
        </w:rPr>
        <w:t>ing</w:t>
      </w:r>
      <w:r w:rsidR="27F79E38" w:rsidRPr="7F4D7136">
        <w:rPr>
          <w:rFonts w:asciiTheme="minorHAnsi" w:hAnsiTheme="minorHAnsi" w:cstheme="minorBidi"/>
        </w:rPr>
        <w:t xml:space="preserve"> projects, </w:t>
      </w:r>
      <w:r w:rsidR="4AE4104A" w:rsidRPr="7F4D7136">
        <w:rPr>
          <w:rFonts w:asciiTheme="minorHAnsi" w:hAnsiTheme="minorHAnsi" w:cstheme="minorBidi"/>
        </w:rPr>
        <w:t xml:space="preserve">and </w:t>
      </w:r>
      <w:r w:rsidR="27F79E38" w:rsidRPr="7F4D7136">
        <w:rPr>
          <w:rFonts w:asciiTheme="minorHAnsi" w:hAnsiTheme="minorHAnsi" w:cstheme="minorBidi"/>
        </w:rPr>
        <w:t>mobiliz</w:t>
      </w:r>
      <w:r w:rsidR="4AE4104A" w:rsidRPr="7F4D7136">
        <w:rPr>
          <w:rFonts w:asciiTheme="minorHAnsi" w:hAnsiTheme="minorHAnsi" w:cstheme="minorBidi"/>
        </w:rPr>
        <w:t>ing</w:t>
      </w:r>
      <w:r w:rsidR="27F79E38" w:rsidRPr="7F4D7136">
        <w:rPr>
          <w:rFonts w:asciiTheme="minorHAnsi" w:hAnsiTheme="minorHAnsi" w:cstheme="minorBidi"/>
        </w:rPr>
        <w:t xml:space="preserve"> financial and human resources </w:t>
      </w:r>
      <w:r w:rsidR="39657B2E" w:rsidRPr="7F4D7136">
        <w:rPr>
          <w:rFonts w:asciiTheme="minorHAnsi" w:hAnsiTheme="minorHAnsi" w:cstheme="minorBidi"/>
        </w:rPr>
        <w:t>for</w:t>
      </w:r>
      <w:r w:rsidR="4AE4104A" w:rsidRPr="7F4D7136">
        <w:rPr>
          <w:rFonts w:asciiTheme="minorHAnsi" w:hAnsiTheme="minorHAnsi" w:cstheme="minorBidi"/>
        </w:rPr>
        <w:t xml:space="preserve"> </w:t>
      </w:r>
      <w:r w:rsidR="39657B2E" w:rsidRPr="7F4D7136">
        <w:rPr>
          <w:rFonts w:asciiTheme="minorHAnsi" w:hAnsiTheme="minorHAnsi" w:cstheme="minorBidi"/>
        </w:rPr>
        <w:t xml:space="preserve">the integrated, </w:t>
      </w:r>
      <w:r w:rsidR="27F79E38" w:rsidRPr="7F4D7136">
        <w:rPr>
          <w:rFonts w:asciiTheme="minorHAnsi" w:hAnsiTheme="minorHAnsi" w:cstheme="minorBidi"/>
        </w:rPr>
        <w:t>sustainable management of land</w:t>
      </w:r>
      <w:r w:rsidR="39657B2E" w:rsidRPr="7F4D7136">
        <w:rPr>
          <w:rFonts w:asciiTheme="minorHAnsi" w:hAnsiTheme="minorHAnsi" w:cstheme="minorBidi"/>
        </w:rPr>
        <w:t>.</w:t>
      </w:r>
    </w:p>
    <w:p w14:paraId="02C4E992" w14:textId="047AE232" w:rsidR="009563B4" w:rsidRDefault="009563B4" w:rsidP="001667C6">
      <w:pPr>
        <w:pStyle w:val="ParagraphOED"/>
        <w:numPr>
          <w:ilvl w:val="0"/>
          <w:numId w:val="102"/>
        </w:numPr>
      </w:pPr>
      <w:r>
        <w:t>More specifically, with reference to the criteria in</w:t>
      </w:r>
      <w:r w:rsidR="00C65370">
        <w:t xml:space="preserve"> </w:t>
      </w:r>
      <w:r>
        <w:fldChar w:fldCharType="begin"/>
      </w:r>
      <w:r>
        <w:instrText xml:space="preserve"> REF _Ref41252555 \h  \* MERGEFORMAT </w:instrText>
      </w:r>
      <w:r>
        <w:fldChar w:fldCharType="separate"/>
      </w:r>
      <w:r w:rsidR="00811F67">
        <w:t xml:space="preserve">Table </w:t>
      </w:r>
      <w:r w:rsidR="00811F67" w:rsidRPr="1E65A5F7">
        <w:rPr>
          <w:noProof/>
        </w:rPr>
        <w:t>2</w:t>
      </w:r>
      <w:r>
        <w:fldChar w:fldCharType="end"/>
      </w:r>
      <w:r w:rsidR="00F66588">
        <w:t xml:space="preserve"> </w:t>
      </w:r>
      <w:r w:rsidR="00C65370">
        <w:t xml:space="preserve">on </w:t>
      </w:r>
      <w:r w:rsidR="00F66588">
        <w:t>creating an</w:t>
      </w:r>
      <w:r w:rsidR="00C12FA6">
        <w:t xml:space="preserve"> </w:t>
      </w:r>
      <w:r w:rsidR="00F66588">
        <w:t>‘</w:t>
      </w:r>
      <w:r w:rsidR="00F66588" w:rsidRPr="1E65A5F7">
        <w:rPr>
          <w:i/>
          <w:iCs/>
        </w:rPr>
        <w:t>e</w:t>
      </w:r>
      <w:r w:rsidR="00C65370" w:rsidRPr="1E65A5F7">
        <w:rPr>
          <w:i/>
          <w:iCs/>
        </w:rPr>
        <w:t xml:space="preserve">nabling </w:t>
      </w:r>
      <w:r w:rsidR="00F66588" w:rsidRPr="1E65A5F7">
        <w:rPr>
          <w:i/>
          <w:iCs/>
        </w:rPr>
        <w:t>e</w:t>
      </w:r>
      <w:r w:rsidR="00C65370" w:rsidRPr="1E65A5F7">
        <w:rPr>
          <w:i/>
          <w:iCs/>
        </w:rPr>
        <w:t>nvironment for LDN</w:t>
      </w:r>
      <w:r w:rsidR="00C12FA6" w:rsidRPr="1E65A5F7">
        <w:rPr>
          <w:i/>
          <w:iCs/>
        </w:rPr>
        <w:t>’</w:t>
      </w:r>
      <w:r w:rsidR="00C65370">
        <w:t>,</w:t>
      </w:r>
      <w:r>
        <w:t xml:space="preserve"> </w:t>
      </w:r>
      <w:r w:rsidRPr="1E65A5F7">
        <w:rPr>
          <w:b/>
          <w:bCs/>
        </w:rPr>
        <w:t xml:space="preserve">Output </w:t>
      </w:r>
      <w:r w:rsidR="00CA7EB7" w:rsidRPr="1E65A5F7">
        <w:rPr>
          <w:b/>
          <w:bCs/>
        </w:rPr>
        <w:t>2.1.</w:t>
      </w:r>
      <w:r w:rsidR="008447E8" w:rsidRPr="1E65A5F7">
        <w:rPr>
          <w:b/>
          <w:bCs/>
        </w:rPr>
        <w:t>4</w:t>
      </w:r>
      <w:r w:rsidR="00CA7EB7" w:rsidRPr="1E65A5F7">
        <w:rPr>
          <w:b/>
          <w:bCs/>
        </w:rPr>
        <w:t xml:space="preserve"> </w:t>
      </w:r>
      <w:r>
        <w:t xml:space="preserve">is concerned with </w:t>
      </w:r>
      <w:r w:rsidR="00F66588">
        <w:t xml:space="preserve">all four </w:t>
      </w:r>
      <w:r>
        <w:t xml:space="preserve">elements </w:t>
      </w:r>
      <w:r w:rsidR="005D5E73">
        <w:t xml:space="preserve">of </w:t>
      </w:r>
      <w:r w:rsidR="00F66588">
        <w:t>the s</w:t>
      </w:r>
      <w:r>
        <w:t>cienc</w:t>
      </w:r>
      <w:r w:rsidR="000A1AE6">
        <w:t>e</w:t>
      </w:r>
      <w:r w:rsidR="00F66588">
        <w:t>-</w:t>
      </w:r>
      <w:r>
        <w:t xml:space="preserve"> </w:t>
      </w:r>
      <w:r w:rsidR="00F66588">
        <w:t>p</w:t>
      </w:r>
      <w:r>
        <w:t>olicy Interface</w:t>
      </w:r>
      <w:r w:rsidR="00F66588">
        <w:t xml:space="preserve"> (effectiveness of data and monitoring systems, in-country technical capacities</w:t>
      </w:r>
      <w:r w:rsidR="005D5E73">
        <w:t xml:space="preserve">, information on causes/effects of land degradation and the multiple benefits of SLM and </w:t>
      </w:r>
      <w:r>
        <w:t xml:space="preserve">LND) and </w:t>
      </w:r>
      <w:r w:rsidR="005D5E73">
        <w:t>the f</w:t>
      </w:r>
      <w:r>
        <w:t>inanc</w:t>
      </w:r>
      <w:r w:rsidR="005D5E73">
        <w:t>ial dimension (financial needs assessment</w:t>
      </w:r>
      <w:r w:rsidR="007D7877">
        <w:t>, financing mechanisms</w:t>
      </w:r>
      <w:r w:rsidR="005D5E73">
        <w:t xml:space="preserve"> and identified sources of finance).</w:t>
      </w:r>
    </w:p>
    <w:p w14:paraId="20118CC4" w14:textId="410D8DAD" w:rsidR="0044101D" w:rsidRPr="0044101D" w:rsidRDefault="0043408B" w:rsidP="001667C6">
      <w:pPr>
        <w:pStyle w:val="ParagraphOED"/>
        <w:numPr>
          <w:ilvl w:val="0"/>
          <w:numId w:val="102"/>
        </w:numPr>
        <w:spacing w:after="160"/>
      </w:pPr>
      <w:r>
        <w:t xml:space="preserve">It is proposed that the training element of the Capacity Development Program on Integrated Land-Use Planning and Management is modular, </w:t>
      </w:r>
      <w:r w:rsidR="0044101D">
        <w:t xml:space="preserve">with </w:t>
      </w:r>
      <w:r>
        <w:t>‘stand-alone’ module</w:t>
      </w:r>
      <w:r w:rsidR="00CA388A">
        <w:t>s</w:t>
      </w:r>
      <w:r>
        <w:t xml:space="preserve"> or series of modules </w:t>
      </w:r>
      <w:r w:rsidR="00CA388A">
        <w:t xml:space="preserve">to </w:t>
      </w:r>
      <w:r>
        <w:t xml:space="preserve">address a specific topic. Modules will be designed and delivered by one or more specialists in the subject matter, ideally from within the country or region to minimize costs and build regional self-sufficiency. </w:t>
      </w:r>
    </w:p>
    <w:p w14:paraId="73DE50CE" w14:textId="36178A1C" w:rsidR="0044101D" w:rsidRPr="0044101D" w:rsidRDefault="0043408B" w:rsidP="001667C6">
      <w:pPr>
        <w:pStyle w:val="ParagraphOED"/>
        <w:numPr>
          <w:ilvl w:val="0"/>
          <w:numId w:val="102"/>
        </w:numPr>
        <w:spacing w:after="160"/>
      </w:pPr>
      <w:r>
        <w:lastRenderedPageBreak/>
        <w:t xml:space="preserve">The Regional Exchange Mechanism (REM) </w:t>
      </w:r>
      <w:r w:rsidR="007D7877">
        <w:t>in Componet 3</w:t>
      </w:r>
      <w:r w:rsidR="00B81D0B">
        <w:t xml:space="preserve"> </w:t>
      </w:r>
      <w:r>
        <w:t>should be able to sourc</w:t>
      </w:r>
      <w:r w:rsidR="0044101D">
        <w:t>e</w:t>
      </w:r>
      <w:r>
        <w:t xml:space="preserve"> relevant expertise from within Miombo-Mopane countries. Indeed, one model under consideration is a training-of-trainers approach, whereby leading experts in specialist areas from different countries in the region are pooled </w:t>
      </w:r>
      <w:r w:rsidR="0044101D">
        <w:t xml:space="preserve">by REM </w:t>
      </w:r>
      <w:r>
        <w:t xml:space="preserve">and deployed to deliver modules that they have designed to trainers from the child projects and </w:t>
      </w:r>
      <w:r w:rsidR="0044101D">
        <w:t>remain</w:t>
      </w:r>
      <w:r>
        <w:t xml:space="preserve"> available as a mentor over the life of the DSL IP. </w:t>
      </w:r>
    </w:p>
    <w:p w14:paraId="49274149" w14:textId="4DE6C3DD" w:rsidR="0044101D" w:rsidRPr="00B81D0B" w:rsidRDefault="0044101D" w:rsidP="001667C6">
      <w:pPr>
        <w:pStyle w:val="ParagraphOED"/>
        <w:numPr>
          <w:ilvl w:val="0"/>
          <w:numId w:val="102"/>
        </w:numPr>
        <w:spacing w:after="160"/>
      </w:pPr>
      <w:r>
        <w:t xml:space="preserve">Ideally, the design and delivery of the </w:t>
      </w:r>
      <w:r w:rsidR="008447E8">
        <w:t xml:space="preserve">training element of the </w:t>
      </w:r>
      <w:r>
        <w:t xml:space="preserve">Program should be lead by an institution (research institute, academic/technical college or outreach/training unit within a ministry), supported by the project, for future sustainability of training elements of the Program to underpin the scaling out (replication) of ILUP across other LMUs and entire landscapes. </w:t>
      </w:r>
    </w:p>
    <w:p w14:paraId="47FFE104" w14:textId="517679B0" w:rsidR="0044101D" w:rsidRPr="0044101D" w:rsidRDefault="0044101D" w:rsidP="001667C6">
      <w:pPr>
        <w:pStyle w:val="ParagraphOED"/>
        <w:numPr>
          <w:ilvl w:val="0"/>
          <w:numId w:val="102"/>
        </w:numPr>
        <w:spacing w:after="160"/>
      </w:pPr>
      <w:r>
        <w:t xml:space="preserve">It may also be appropriate to introduce certification  for certain combinations of training modules, especially if the lead agency for this Programme is an educational institution. Examples of certified training schemes might include: land-use planning and management methods and acquisition of GIS mapping and analysis skills; design and facilitation of participatory processes; and LDN monitoring and evaluation. </w:t>
      </w:r>
    </w:p>
    <w:p w14:paraId="5ED843F9" w14:textId="28F4D27F" w:rsidR="008009A6" w:rsidRDefault="0043408B" w:rsidP="001667C6">
      <w:pPr>
        <w:pStyle w:val="ParagraphOED"/>
        <w:numPr>
          <w:ilvl w:val="0"/>
          <w:numId w:val="102"/>
        </w:numPr>
        <w:spacing w:after="160"/>
      </w:pPr>
      <w:r>
        <w:t>Some prelim</w:t>
      </w:r>
      <w:r w:rsidR="008447E8">
        <w:t>i</w:t>
      </w:r>
      <w:r>
        <w:t>nary capacity needs assessment was undertaken during the PPG stage but it was limited by time and other constraints</w:t>
      </w:r>
      <w:bookmarkStart w:id="147" w:name="_Ref50047926"/>
      <w:r>
        <w:rPr>
          <w:rStyle w:val="FootnoteReference"/>
        </w:rPr>
        <w:footnoteReference w:id="73"/>
      </w:r>
      <w:bookmarkEnd w:id="147"/>
      <w:r>
        <w:t>, hence this is built into the program below.</w:t>
      </w:r>
      <w:r w:rsidRPr="0043408B">
        <w:rPr>
          <w:szCs w:val="21"/>
        </w:rPr>
        <w:t xml:space="preserve"> </w:t>
      </w:r>
    </w:p>
    <w:p w14:paraId="50816DA9" w14:textId="38D95C0C" w:rsidR="00D638E2" w:rsidRPr="00D712C0" w:rsidRDefault="00D638E2" w:rsidP="001667C6">
      <w:pPr>
        <w:pStyle w:val="ParagraphOED"/>
        <w:numPr>
          <w:ilvl w:val="0"/>
          <w:numId w:val="102"/>
        </w:numPr>
        <w:spacing w:after="80"/>
        <w:rPr>
          <w:b/>
          <w:bCs/>
        </w:rPr>
      </w:pPr>
      <w:r w:rsidRPr="1E65A5F7">
        <w:rPr>
          <w:b/>
          <w:bCs/>
        </w:rPr>
        <w:t xml:space="preserve">Indicative Activities under Output 2.1.4 </w:t>
      </w:r>
    </w:p>
    <w:p w14:paraId="762FA5B3" w14:textId="3B08EB96" w:rsidR="00D638E2" w:rsidRPr="00D712C0" w:rsidRDefault="00D638E2" w:rsidP="001667C6">
      <w:pPr>
        <w:pStyle w:val="ListParagraph"/>
        <w:numPr>
          <w:ilvl w:val="0"/>
          <w:numId w:val="58"/>
        </w:numPr>
        <w:spacing w:after="80"/>
        <w:ind w:hanging="295"/>
        <w:contextualSpacing w:val="0"/>
        <w:rPr>
          <w:sz w:val="21"/>
          <w:szCs w:val="21"/>
        </w:rPr>
      </w:pPr>
      <w:r w:rsidRPr="00D712C0">
        <w:rPr>
          <w:b/>
          <w:bCs/>
          <w:sz w:val="21"/>
          <w:szCs w:val="21"/>
        </w:rPr>
        <w:t>Undertake and complete a Capacity Needs Assessment within six months of project onset</w:t>
      </w:r>
      <w:r w:rsidRPr="00D712C0">
        <w:rPr>
          <w:sz w:val="21"/>
          <w:szCs w:val="21"/>
        </w:rPr>
        <w:t>, based on the following scope:</w:t>
      </w:r>
    </w:p>
    <w:p w14:paraId="3B14C813" w14:textId="77777777" w:rsidR="00D638E2" w:rsidRPr="00D712C0" w:rsidRDefault="00D638E2" w:rsidP="001667C6">
      <w:pPr>
        <w:pStyle w:val="ListParagraph"/>
        <w:numPr>
          <w:ilvl w:val="1"/>
          <w:numId w:val="58"/>
        </w:numPr>
        <w:spacing w:after="80"/>
        <w:ind w:left="993" w:hanging="284"/>
        <w:contextualSpacing w:val="0"/>
        <w:rPr>
          <w:sz w:val="21"/>
          <w:szCs w:val="21"/>
        </w:rPr>
      </w:pPr>
      <w:r w:rsidRPr="00D712C0">
        <w:rPr>
          <w:sz w:val="21"/>
          <w:szCs w:val="21"/>
        </w:rPr>
        <w:t>Capacity needs to relate to integrated land-use planning and management in pursuit of LDN, through avoidance, restoration and/or reversal of land degradation.</w:t>
      </w:r>
    </w:p>
    <w:p w14:paraId="0184F28F" w14:textId="4F283DD6" w:rsidR="00D638E2" w:rsidRPr="00D712C0" w:rsidRDefault="00D638E2" w:rsidP="001667C6">
      <w:pPr>
        <w:pStyle w:val="ListParagraph"/>
        <w:numPr>
          <w:ilvl w:val="1"/>
          <w:numId w:val="58"/>
        </w:numPr>
        <w:spacing w:after="80"/>
        <w:ind w:left="993" w:hanging="284"/>
        <w:contextualSpacing w:val="0"/>
        <w:rPr>
          <w:sz w:val="21"/>
          <w:szCs w:val="21"/>
        </w:rPr>
      </w:pPr>
      <w:r w:rsidRPr="00D712C0">
        <w:rPr>
          <w:sz w:val="21"/>
          <w:szCs w:val="21"/>
        </w:rPr>
        <w:t xml:space="preserve">Capacity needs to focus on the enabling environment (Component 1); institutional and individual capacities across the different sectors having vested interests in land tenure and land use, with respect to their planning and management (Component 2). </w:t>
      </w:r>
    </w:p>
    <w:p w14:paraId="3B138B84" w14:textId="0D48377D" w:rsidR="00D638E2" w:rsidRPr="0044101D" w:rsidRDefault="00D638E2" w:rsidP="001667C6">
      <w:pPr>
        <w:pStyle w:val="ListParagraph"/>
        <w:numPr>
          <w:ilvl w:val="1"/>
          <w:numId w:val="58"/>
        </w:numPr>
        <w:spacing w:after="80"/>
        <w:ind w:left="993" w:hanging="284"/>
        <w:contextualSpacing w:val="0"/>
        <w:rPr>
          <w:sz w:val="21"/>
          <w:szCs w:val="21"/>
        </w:rPr>
      </w:pPr>
      <w:r w:rsidRPr="00D712C0">
        <w:rPr>
          <w:sz w:val="21"/>
          <w:szCs w:val="21"/>
        </w:rPr>
        <w:t>Capacity needs to address awareness raising, training, facilities, equipment and other materials</w:t>
      </w:r>
      <w:r w:rsidR="007D7877">
        <w:rPr>
          <w:sz w:val="21"/>
          <w:szCs w:val="21"/>
        </w:rPr>
        <w:t>; and financing mechanisms</w:t>
      </w:r>
      <w:r w:rsidR="00BD6F9D">
        <w:rPr>
          <w:sz w:val="21"/>
          <w:szCs w:val="21"/>
        </w:rPr>
        <w:t xml:space="preserve"> with some funds as a ca</w:t>
      </w:r>
      <w:r w:rsidR="00156791">
        <w:rPr>
          <w:sz w:val="21"/>
          <w:szCs w:val="21"/>
        </w:rPr>
        <w:t>t</w:t>
      </w:r>
      <w:r w:rsidR="00BD6F9D">
        <w:rPr>
          <w:sz w:val="21"/>
          <w:szCs w:val="21"/>
        </w:rPr>
        <w:t xml:space="preserve">alyst </w:t>
      </w:r>
      <w:r w:rsidR="00156791">
        <w:rPr>
          <w:sz w:val="21"/>
          <w:szCs w:val="21"/>
        </w:rPr>
        <w:t xml:space="preserve">to </w:t>
      </w:r>
      <w:r w:rsidR="00BD6F9D">
        <w:rPr>
          <w:sz w:val="21"/>
          <w:szCs w:val="21"/>
        </w:rPr>
        <w:t>enable in</w:t>
      </w:r>
      <w:r w:rsidR="00156791">
        <w:rPr>
          <w:sz w:val="21"/>
          <w:szCs w:val="21"/>
        </w:rPr>
        <w:t>dividual</w:t>
      </w:r>
      <w:r w:rsidR="00BD6F9D">
        <w:rPr>
          <w:sz w:val="21"/>
          <w:szCs w:val="21"/>
        </w:rPr>
        <w:t xml:space="preserve"> land users (farmers) </w:t>
      </w:r>
      <w:r w:rsidR="00156791">
        <w:rPr>
          <w:sz w:val="21"/>
          <w:szCs w:val="21"/>
        </w:rPr>
        <w:t>and communities to invest in</w:t>
      </w:r>
      <w:r w:rsidR="00D66C2A">
        <w:rPr>
          <w:sz w:val="21"/>
          <w:szCs w:val="21"/>
        </w:rPr>
        <w:t xml:space="preserve"> managing their land, </w:t>
      </w:r>
      <w:r w:rsidR="008430D0">
        <w:rPr>
          <w:sz w:val="21"/>
          <w:szCs w:val="21"/>
        </w:rPr>
        <w:t xml:space="preserve">and </w:t>
      </w:r>
      <w:r w:rsidR="00D66C2A">
        <w:rPr>
          <w:sz w:val="21"/>
          <w:szCs w:val="21"/>
        </w:rPr>
        <w:t>harvesting</w:t>
      </w:r>
      <w:r w:rsidR="008430D0">
        <w:rPr>
          <w:sz w:val="21"/>
          <w:szCs w:val="21"/>
        </w:rPr>
        <w:t>,</w:t>
      </w:r>
      <w:r w:rsidR="00D66C2A">
        <w:rPr>
          <w:sz w:val="21"/>
          <w:szCs w:val="21"/>
        </w:rPr>
        <w:t xml:space="preserve"> processing and marketing</w:t>
      </w:r>
      <w:r w:rsidR="008430D0" w:rsidRPr="008430D0">
        <w:rPr>
          <w:sz w:val="21"/>
          <w:szCs w:val="21"/>
        </w:rPr>
        <w:t xml:space="preserve"> </w:t>
      </w:r>
      <w:r w:rsidR="008430D0">
        <w:rPr>
          <w:sz w:val="21"/>
          <w:szCs w:val="21"/>
        </w:rPr>
        <w:t>their produce</w:t>
      </w:r>
      <w:r w:rsidR="00D66C2A">
        <w:rPr>
          <w:sz w:val="21"/>
          <w:szCs w:val="21"/>
        </w:rPr>
        <w:t>.</w:t>
      </w:r>
    </w:p>
    <w:p w14:paraId="3512A09B" w14:textId="6CAB32B8" w:rsidR="008B1991" w:rsidRPr="008B1991" w:rsidRDefault="008B1991" w:rsidP="001667C6">
      <w:pPr>
        <w:pStyle w:val="ListParagraph"/>
        <w:numPr>
          <w:ilvl w:val="1"/>
          <w:numId w:val="58"/>
        </w:numPr>
        <w:spacing w:after="80"/>
        <w:ind w:left="993" w:hanging="284"/>
        <w:contextualSpacing w:val="0"/>
        <w:rPr>
          <w:sz w:val="21"/>
          <w:szCs w:val="21"/>
        </w:rPr>
      </w:pPr>
      <w:r w:rsidRPr="0044101D">
        <w:rPr>
          <w:sz w:val="21"/>
          <w:szCs w:val="21"/>
        </w:rPr>
        <w:t>Review and build on recent assessments of capacity needs, including</w:t>
      </w:r>
      <w:r w:rsidR="0044101D" w:rsidRPr="0044101D">
        <w:rPr>
          <w:sz w:val="21"/>
          <w:szCs w:val="21"/>
        </w:rPr>
        <w:t xml:space="preserve"> FAO’s 2017 </w:t>
      </w:r>
      <w:r w:rsidR="0044101D" w:rsidRPr="0044101D">
        <w:rPr>
          <w:i/>
          <w:iCs/>
          <w:sz w:val="21"/>
          <w:szCs w:val="21"/>
        </w:rPr>
        <w:t>iPartnership Level Capacity Needs Assessment - Angola</w:t>
      </w:r>
      <w:r w:rsidR="0044101D" w:rsidRPr="0044101D">
        <w:rPr>
          <w:sz w:val="21"/>
          <w:szCs w:val="21"/>
        </w:rPr>
        <w:t xml:space="preserve"> </w:t>
      </w:r>
      <w:r w:rsidR="0044101D">
        <w:rPr>
          <w:sz w:val="21"/>
          <w:szCs w:val="21"/>
        </w:rPr>
        <w:t xml:space="preserve">and </w:t>
      </w:r>
      <w:r w:rsidRPr="0044101D">
        <w:rPr>
          <w:sz w:val="21"/>
          <w:szCs w:val="21"/>
        </w:rPr>
        <w:t>preliminary</w:t>
      </w:r>
      <w:r>
        <w:rPr>
          <w:sz w:val="21"/>
          <w:szCs w:val="21"/>
        </w:rPr>
        <w:t xml:space="preserve"> findings from the </w:t>
      </w:r>
      <w:r w:rsidRPr="00811F67">
        <w:rPr>
          <w:sz w:val="21"/>
          <w:szCs w:val="21"/>
        </w:rPr>
        <w:t>PPG</w:t>
      </w:r>
      <w:r w:rsidRPr="00811F67">
        <w:rPr>
          <w:sz w:val="21"/>
          <w:szCs w:val="21"/>
          <w:vertAlign w:val="superscript"/>
        </w:rPr>
        <w:fldChar w:fldCharType="begin"/>
      </w:r>
      <w:r w:rsidRPr="00811F67">
        <w:rPr>
          <w:sz w:val="21"/>
          <w:szCs w:val="21"/>
          <w:vertAlign w:val="superscript"/>
        </w:rPr>
        <w:instrText xml:space="preserve"> NOTEREF _Ref50047926 \h  \* MERGEFORMAT </w:instrText>
      </w:r>
      <w:r w:rsidRPr="00811F67">
        <w:rPr>
          <w:sz w:val="21"/>
          <w:szCs w:val="21"/>
          <w:vertAlign w:val="superscript"/>
        </w:rPr>
      </w:r>
      <w:r w:rsidRPr="00811F67">
        <w:rPr>
          <w:sz w:val="21"/>
          <w:szCs w:val="21"/>
          <w:vertAlign w:val="superscript"/>
        </w:rPr>
        <w:fldChar w:fldCharType="separate"/>
      </w:r>
      <w:r w:rsidR="00A64193" w:rsidRPr="00811F67">
        <w:rPr>
          <w:sz w:val="21"/>
          <w:szCs w:val="21"/>
          <w:vertAlign w:val="superscript"/>
        </w:rPr>
        <w:t>72</w:t>
      </w:r>
      <w:r w:rsidRPr="00811F67">
        <w:rPr>
          <w:sz w:val="21"/>
          <w:szCs w:val="21"/>
          <w:vertAlign w:val="superscript"/>
        </w:rPr>
        <w:fldChar w:fldCharType="end"/>
      </w:r>
      <w:r w:rsidR="0044101D" w:rsidRPr="00811F67">
        <w:rPr>
          <w:szCs w:val="21"/>
        </w:rPr>
        <w:t>.</w:t>
      </w:r>
    </w:p>
    <w:p w14:paraId="376F68E9" w14:textId="2524AB86" w:rsidR="00D712C0" w:rsidRPr="00C32D10" w:rsidRDefault="008B1991" w:rsidP="001667C6">
      <w:pPr>
        <w:pStyle w:val="ListParagraph"/>
        <w:numPr>
          <w:ilvl w:val="1"/>
          <w:numId w:val="58"/>
        </w:numPr>
        <w:spacing w:after="80"/>
        <w:ind w:left="993" w:hanging="284"/>
        <w:contextualSpacing w:val="0"/>
        <w:rPr>
          <w:sz w:val="21"/>
          <w:szCs w:val="21"/>
        </w:rPr>
      </w:pPr>
      <w:r w:rsidRPr="00C32D10">
        <w:rPr>
          <w:sz w:val="21"/>
          <w:szCs w:val="21"/>
        </w:rPr>
        <w:t>Consult k</w:t>
      </w:r>
      <w:r w:rsidR="00D712C0" w:rsidRPr="00C32D10">
        <w:rPr>
          <w:sz w:val="21"/>
          <w:szCs w:val="21"/>
        </w:rPr>
        <w:t xml:space="preserve">ey stakeholders, targeted directly and </w:t>
      </w:r>
      <w:r w:rsidR="008430D0" w:rsidRPr="00C32D10">
        <w:rPr>
          <w:sz w:val="21"/>
          <w:szCs w:val="21"/>
        </w:rPr>
        <w:t>via</w:t>
      </w:r>
      <w:r w:rsidR="00D712C0" w:rsidRPr="00C32D10">
        <w:rPr>
          <w:sz w:val="21"/>
          <w:szCs w:val="21"/>
        </w:rPr>
        <w:t xml:space="preserve"> the Communications Strategy (Component 3),  includ</w:t>
      </w:r>
      <w:r w:rsidRPr="00C32D10">
        <w:rPr>
          <w:sz w:val="21"/>
          <w:szCs w:val="21"/>
        </w:rPr>
        <w:t>ing</w:t>
      </w:r>
      <w:r w:rsidR="00D712C0" w:rsidRPr="00C32D10">
        <w:rPr>
          <w:sz w:val="21"/>
          <w:szCs w:val="21"/>
        </w:rPr>
        <w:t>: policy and decision makers at national, provincial and municipal levels; outreach workers within government, NGOs and the private sector; land owners and their tenants (farmers, pastoralists, foresters) and other users of the land. Targeting of stakeholders should be aligned with the Stakeholder Engagement Plan of the respective target landscapes. Targeting should be inclusive of all social and adult-age groups.</w:t>
      </w:r>
    </w:p>
    <w:p w14:paraId="7925FA97" w14:textId="6E7759B3" w:rsidR="00D712C0" w:rsidRDefault="00D712C0" w:rsidP="001667C6">
      <w:pPr>
        <w:pStyle w:val="ListParagraph"/>
        <w:numPr>
          <w:ilvl w:val="1"/>
          <w:numId w:val="58"/>
        </w:numPr>
        <w:spacing w:after="80"/>
        <w:ind w:left="993" w:hanging="284"/>
        <w:contextualSpacing w:val="0"/>
        <w:rPr>
          <w:sz w:val="21"/>
          <w:szCs w:val="21"/>
        </w:rPr>
      </w:pPr>
      <w:r w:rsidRPr="00D712C0">
        <w:rPr>
          <w:sz w:val="21"/>
          <w:szCs w:val="21"/>
        </w:rPr>
        <w:t>Training needs should be clearly articulated, prioritized and checked against the prelimina</w:t>
      </w:r>
      <w:r>
        <w:rPr>
          <w:sz w:val="21"/>
          <w:szCs w:val="21"/>
        </w:rPr>
        <w:t>r</w:t>
      </w:r>
      <w:r w:rsidRPr="00D712C0">
        <w:rPr>
          <w:sz w:val="21"/>
          <w:szCs w:val="21"/>
        </w:rPr>
        <w:t>y list of module topics below</w:t>
      </w:r>
      <w:r>
        <w:rPr>
          <w:sz w:val="21"/>
          <w:szCs w:val="21"/>
        </w:rPr>
        <w:t xml:space="preserve"> (Activity 2.1.4b)</w:t>
      </w:r>
      <w:r w:rsidRPr="00D712C0">
        <w:rPr>
          <w:sz w:val="21"/>
          <w:szCs w:val="21"/>
        </w:rPr>
        <w:t>.</w:t>
      </w:r>
    </w:p>
    <w:p w14:paraId="59186F4A" w14:textId="7C68174D" w:rsidR="00D638E2" w:rsidRDefault="0044101D" w:rsidP="001667C6">
      <w:pPr>
        <w:pStyle w:val="ListParagraph"/>
        <w:numPr>
          <w:ilvl w:val="1"/>
          <w:numId w:val="58"/>
        </w:numPr>
        <w:spacing w:after="80"/>
        <w:ind w:left="993" w:hanging="284"/>
        <w:contextualSpacing w:val="0"/>
        <w:rPr>
          <w:sz w:val="21"/>
          <w:szCs w:val="21"/>
        </w:rPr>
      </w:pPr>
      <w:r>
        <w:rPr>
          <w:sz w:val="21"/>
          <w:szCs w:val="21"/>
        </w:rPr>
        <w:t xml:space="preserve">Assess the needs and opportunities for </w:t>
      </w:r>
      <w:r w:rsidR="00D712C0">
        <w:rPr>
          <w:sz w:val="21"/>
          <w:szCs w:val="21"/>
        </w:rPr>
        <w:t>sustaina</w:t>
      </w:r>
      <w:r>
        <w:rPr>
          <w:sz w:val="21"/>
          <w:szCs w:val="21"/>
        </w:rPr>
        <w:t>ining</w:t>
      </w:r>
      <w:r w:rsidR="00D712C0">
        <w:rPr>
          <w:sz w:val="21"/>
          <w:szCs w:val="21"/>
        </w:rPr>
        <w:t xml:space="preserve"> capacity development</w:t>
      </w:r>
      <w:r w:rsidRPr="0044101D">
        <w:rPr>
          <w:sz w:val="21"/>
          <w:szCs w:val="21"/>
        </w:rPr>
        <w:t xml:space="preserve"> </w:t>
      </w:r>
      <w:r>
        <w:rPr>
          <w:sz w:val="21"/>
          <w:szCs w:val="21"/>
        </w:rPr>
        <w:t>post-project</w:t>
      </w:r>
      <w:r w:rsidR="00D712C0">
        <w:rPr>
          <w:sz w:val="21"/>
          <w:szCs w:val="21"/>
        </w:rPr>
        <w:t>, notably</w:t>
      </w:r>
      <w:r>
        <w:rPr>
          <w:sz w:val="21"/>
          <w:szCs w:val="21"/>
        </w:rPr>
        <w:t xml:space="preserve"> the</w:t>
      </w:r>
      <w:r w:rsidR="00D712C0">
        <w:rPr>
          <w:sz w:val="21"/>
          <w:szCs w:val="21"/>
        </w:rPr>
        <w:t xml:space="preserve"> training modules</w:t>
      </w:r>
      <w:r w:rsidR="008430D0">
        <w:rPr>
          <w:sz w:val="21"/>
          <w:szCs w:val="21"/>
        </w:rPr>
        <w:t xml:space="preserve"> and financing mechanisms</w:t>
      </w:r>
      <w:r w:rsidR="00D712C0">
        <w:rPr>
          <w:sz w:val="21"/>
          <w:szCs w:val="21"/>
        </w:rPr>
        <w:t>.</w:t>
      </w:r>
    </w:p>
    <w:p w14:paraId="08441295" w14:textId="4812BEEE" w:rsidR="0043408B" w:rsidRDefault="00D638E2" w:rsidP="001667C6">
      <w:pPr>
        <w:pStyle w:val="ListParagraph"/>
        <w:numPr>
          <w:ilvl w:val="0"/>
          <w:numId w:val="58"/>
        </w:numPr>
        <w:spacing w:before="80" w:after="80"/>
        <w:ind w:hanging="295"/>
        <w:contextualSpacing w:val="0"/>
        <w:rPr>
          <w:rFonts w:cs="Calibri"/>
          <w:sz w:val="21"/>
          <w:szCs w:val="21"/>
          <w:lang w:val="en-GB"/>
        </w:rPr>
      </w:pPr>
      <w:r w:rsidRPr="004218F2">
        <w:rPr>
          <w:b/>
          <w:bCs/>
          <w:sz w:val="21"/>
          <w:szCs w:val="21"/>
        </w:rPr>
        <w:t>Design a</w:t>
      </w:r>
      <w:r w:rsidR="0044101D">
        <w:rPr>
          <w:b/>
          <w:bCs/>
          <w:sz w:val="21"/>
          <w:szCs w:val="21"/>
        </w:rPr>
        <w:t>n</w:t>
      </w:r>
      <w:r w:rsidRPr="004218F2">
        <w:rPr>
          <w:b/>
          <w:bCs/>
          <w:sz w:val="21"/>
          <w:szCs w:val="21"/>
        </w:rPr>
        <w:t xml:space="preserve"> </w:t>
      </w:r>
      <w:r w:rsidR="0044101D" w:rsidRPr="004218F2">
        <w:rPr>
          <w:b/>
          <w:bCs/>
          <w:sz w:val="21"/>
          <w:szCs w:val="21"/>
        </w:rPr>
        <w:t xml:space="preserve">Integrated Land-Use Planning </w:t>
      </w:r>
      <w:r w:rsidR="0044101D">
        <w:rPr>
          <w:b/>
          <w:bCs/>
          <w:sz w:val="21"/>
          <w:szCs w:val="21"/>
        </w:rPr>
        <w:t>a</w:t>
      </w:r>
      <w:r w:rsidR="0044101D" w:rsidRPr="004218F2">
        <w:rPr>
          <w:b/>
          <w:bCs/>
          <w:sz w:val="21"/>
          <w:szCs w:val="21"/>
        </w:rPr>
        <w:t>nd Management</w:t>
      </w:r>
      <w:r w:rsidR="0044101D" w:rsidRPr="0044101D">
        <w:rPr>
          <w:b/>
          <w:bCs/>
          <w:sz w:val="21"/>
          <w:szCs w:val="21"/>
        </w:rPr>
        <w:t xml:space="preserve"> </w:t>
      </w:r>
      <w:r w:rsidR="0044101D">
        <w:rPr>
          <w:b/>
          <w:bCs/>
          <w:sz w:val="21"/>
          <w:szCs w:val="21"/>
        </w:rPr>
        <w:t>Capacity Development</w:t>
      </w:r>
      <w:r w:rsidR="0044101D" w:rsidRPr="004218F2">
        <w:rPr>
          <w:b/>
          <w:bCs/>
          <w:sz w:val="21"/>
          <w:szCs w:val="21"/>
        </w:rPr>
        <w:t xml:space="preserve"> </w:t>
      </w:r>
      <w:r w:rsidR="0044101D">
        <w:rPr>
          <w:b/>
          <w:bCs/>
          <w:sz w:val="21"/>
          <w:szCs w:val="21"/>
        </w:rPr>
        <w:t>P</w:t>
      </w:r>
      <w:r w:rsidR="0044101D" w:rsidRPr="004218F2">
        <w:rPr>
          <w:b/>
          <w:bCs/>
          <w:sz w:val="21"/>
          <w:szCs w:val="21"/>
        </w:rPr>
        <w:t>rogram</w:t>
      </w:r>
      <w:r w:rsidRPr="004218F2">
        <w:rPr>
          <w:sz w:val="21"/>
          <w:szCs w:val="21"/>
        </w:rPr>
        <w:t xml:space="preserve">, </w:t>
      </w:r>
      <w:r w:rsidR="0044101D">
        <w:rPr>
          <w:sz w:val="21"/>
          <w:szCs w:val="21"/>
        </w:rPr>
        <w:t xml:space="preserve">much of which will comprise training </w:t>
      </w:r>
      <w:r w:rsidRPr="004218F2">
        <w:rPr>
          <w:sz w:val="21"/>
          <w:szCs w:val="21"/>
        </w:rPr>
        <w:t>based on a modular structure</w:t>
      </w:r>
      <w:r w:rsidR="0043408B" w:rsidRPr="0043408B">
        <w:rPr>
          <w:rFonts w:ascii="Times New Roman" w:hAnsi="Times New Roman"/>
          <w:sz w:val="21"/>
          <w:szCs w:val="21"/>
        </w:rPr>
        <w:t xml:space="preserve"> </w:t>
      </w:r>
      <w:r w:rsidR="0043408B" w:rsidRPr="007C03A4">
        <w:rPr>
          <w:rFonts w:ascii="Times New Roman" w:hAnsi="Times New Roman"/>
          <w:sz w:val="21"/>
          <w:szCs w:val="21"/>
        </w:rPr>
        <w:t xml:space="preserve">to </w:t>
      </w:r>
      <w:r w:rsidR="0044101D">
        <w:rPr>
          <w:rFonts w:ascii="Times New Roman" w:hAnsi="Times New Roman"/>
          <w:sz w:val="21"/>
          <w:szCs w:val="21"/>
        </w:rPr>
        <w:t>maximise</w:t>
      </w:r>
      <w:r w:rsidR="0043408B" w:rsidRPr="007C03A4">
        <w:rPr>
          <w:rFonts w:ascii="Times New Roman" w:hAnsi="Times New Roman"/>
          <w:sz w:val="21"/>
          <w:szCs w:val="21"/>
        </w:rPr>
        <w:t xml:space="preserve"> flexibility for </w:t>
      </w:r>
      <w:r w:rsidR="0043408B" w:rsidRPr="007C03A4">
        <w:rPr>
          <w:rFonts w:ascii="Times New Roman" w:hAnsi="Times New Roman"/>
          <w:sz w:val="21"/>
          <w:szCs w:val="21"/>
        </w:rPr>
        <w:lastRenderedPageBreak/>
        <w:t>delivery and further development as needs arise</w:t>
      </w:r>
      <w:r w:rsidRPr="004218F2">
        <w:rPr>
          <w:sz w:val="21"/>
          <w:szCs w:val="21"/>
        </w:rPr>
        <w:t xml:space="preserve">. </w:t>
      </w:r>
      <w:r w:rsidR="0043408B" w:rsidRPr="0043408B">
        <w:rPr>
          <w:rFonts w:cs="Calibri"/>
          <w:sz w:val="21"/>
          <w:szCs w:val="21"/>
          <w:lang w:val="en-GB"/>
        </w:rPr>
        <w:t xml:space="preserve">Each module </w:t>
      </w:r>
      <w:r w:rsidR="0044101D">
        <w:rPr>
          <w:rFonts w:cs="Calibri"/>
          <w:sz w:val="21"/>
          <w:szCs w:val="21"/>
          <w:lang w:val="en-GB"/>
        </w:rPr>
        <w:t>will</w:t>
      </w:r>
      <w:r w:rsidR="0043408B" w:rsidRPr="0043408B">
        <w:rPr>
          <w:rFonts w:cs="Calibri"/>
          <w:sz w:val="21"/>
          <w:szCs w:val="21"/>
          <w:lang w:val="en-GB"/>
        </w:rPr>
        <w:t xml:space="preserve"> be accompanied by guidelines/resource manual for subsequent incorporation into a handbook.</w:t>
      </w:r>
      <w:r w:rsidR="0043408B">
        <w:rPr>
          <w:rFonts w:cs="Calibri"/>
          <w:sz w:val="21"/>
          <w:szCs w:val="21"/>
          <w:lang w:val="en-GB"/>
        </w:rPr>
        <w:t xml:space="preserve"> Such resources should also be available on-line. Tentative </w:t>
      </w:r>
      <w:r w:rsidR="008B1991">
        <w:rPr>
          <w:rFonts w:cs="Calibri"/>
          <w:sz w:val="21"/>
          <w:szCs w:val="21"/>
          <w:lang w:val="en-GB"/>
        </w:rPr>
        <w:t xml:space="preserve">training </w:t>
      </w:r>
      <w:r w:rsidR="0043408B">
        <w:rPr>
          <w:rFonts w:cs="Calibri"/>
          <w:sz w:val="21"/>
          <w:szCs w:val="21"/>
          <w:lang w:val="en-GB"/>
        </w:rPr>
        <w:t>modules</w:t>
      </w:r>
      <w:r w:rsidR="008B1991">
        <w:rPr>
          <w:rFonts w:cs="Calibri"/>
          <w:sz w:val="21"/>
          <w:szCs w:val="21"/>
          <w:lang w:val="en-GB"/>
        </w:rPr>
        <w:t xml:space="preserve"> include</w:t>
      </w:r>
      <w:r w:rsidR="0043408B">
        <w:rPr>
          <w:rFonts w:cs="Calibri"/>
          <w:sz w:val="21"/>
          <w:szCs w:val="21"/>
          <w:lang w:val="en-GB"/>
        </w:rPr>
        <w:t>:</w:t>
      </w:r>
    </w:p>
    <w:p w14:paraId="275B62B2" w14:textId="26164FFB" w:rsidR="0043408B" w:rsidRDefault="002543A2" w:rsidP="001667C6">
      <w:pPr>
        <w:pStyle w:val="ListParagraph"/>
        <w:numPr>
          <w:ilvl w:val="1"/>
          <w:numId w:val="58"/>
        </w:numPr>
        <w:spacing w:after="80"/>
        <w:ind w:left="993" w:hanging="284"/>
        <w:contextualSpacing w:val="0"/>
        <w:rPr>
          <w:sz w:val="21"/>
          <w:szCs w:val="21"/>
        </w:rPr>
      </w:pPr>
      <w:r w:rsidRPr="002543A2">
        <w:rPr>
          <w:b/>
          <w:bCs/>
          <w:sz w:val="21"/>
          <w:szCs w:val="21"/>
        </w:rPr>
        <w:t>Raising</w:t>
      </w:r>
      <w:r w:rsidR="009E4B35" w:rsidRPr="002543A2">
        <w:rPr>
          <w:b/>
          <w:bCs/>
          <w:sz w:val="21"/>
          <w:szCs w:val="21"/>
        </w:rPr>
        <w:t xml:space="preserve"> awareness about land degradation</w:t>
      </w:r>
      <w:r w:rsidR="009E4B35">
        <w:rPr>
          <w:sz w:val="21"/>
          <w:szCs w:val="21"/>
        </w:rPr>
        <w:t>, its causes, impacts</w:t>
      </w:r>
      <w:r>
        <w:rPr>
          <w:sz w:val="21"/>
          <w:szCs w:val="21"/>
        </w:rPr>
        <w:t xml:space="preserve"> (ecological, social, economic) and </w:t>
      </w:r>
      <w:r w:rsidR="009E4B35">
        <w:rPr>
          <w:sz w:val="21"/>
          <w:szCs w:val="21"/>
        </w:rPr>
        <w:t>and how it can be avoided, reduced and reversed. Introduction to UNCCD</w:t>
      </w:r>
      <w:r>
        <w:rPr>
          <w:sz w:val="21"/>
          <w:szCs w:val="21"/>
        </w:rPr>
        <w:t xml:space="preserve"> and</w:t>
      </w:r>
      <w:r w:rsidR="009E4B35">
        <w:rPr>
          <w:sz w:val="21"/>
          <w:szCs w:val="21"/>
        </w:rPr>
        <w:t xml:space="preserve"> its LDN concept and</w:t>
      </w:r>
      <w:r>
        <w:rPr>
          <w:sz w:val="21"/>
          <w:szCs w:val="21"/>
        </w:rPr>
        <w:t xml:space="preserve"> </w:t>
      </w:r>
      <w:r w:rsidRPr="008176BC">
        <w:rPr>
          <w:rFonts w:asciiTheme="minorHAnsi" w:hAnsiTheme="minorHAnsi" w:cstheme="minorHAnsi"/>
          <w:color w:val="auto"/>
          <w:sz w:val="21"/>
          <w:szCs w:val="21"/>
        </w:rPr>
        <w:t xml:space="preserve">the multiple benefits of </w:t>
      </w:r>
      <w:r>
        <w:rPr>
          <w:rFonts w:asciiTheme="minorHAnsi" w:hAnsiTheme="minorHAnsi" w:cstheme="minorHAnsi"/>
          <w:color w:val="auto"/>
          <w:sz w:val="21"/>
          <w:szCs w:val="21"/>
        </w:rPr>
        <w:t>the project’s interventions that</w:t>
      </w:r>
      <w:r w:rsidRPr="008176BC">
        <w:rPr>
          <w:rFonts w:asciiTheme="minorHAnsi" w:hAnsiTheme="minorHAnsi" w:cstheme="minorHAnsi"/>
          <w:color w:val="auto"/>
          <w:sz w:val="21"/>
          <w:szCs w:val="21"/>
        </w:rPr>
        <w:t xml:space="preserve"> seek to achieve LDN (and related SDGs</w:t>
      </w:r>
      <w:r>
        <w:rPr>
          <w:rFonts w:asciiTheme="minorHAnsi" w:hAnsiTheme="minorHAnsi" w:cstheme="minorHAnsi"/>
          <w:color w:val="auto"/>
          <w:sz w:val="21"/>
          <w:szCs w:val="21"/>
        </w:rPr>
        <w:t>)</w:t>
      </w:r>
      <w:r w:rsidRPr="002543A2">
        <w:rPr>
          <w:rFonts w:asciiTheme="minorHAnsi" w:hAnsiTheme="minorHAnsi" w:cstheme="minorHAnsi"/>
          <w:color w:val="auto"/>
          <w:sz w:val="21"/>
          <w:szCs w:val="21"/>
        </w:rPr>
        <w:t xml:space="preserve"> </w:t>
      </w:r>
      <w:r w:rsidRPr="008176BC">
        <w:rPr>
          <w:rFonts w:asciiTheme="minorHAnsi" w:hAnsiTheme="minorHAnsi" w:cstheme="minorHAnsi"/>
          <w:color w:val="auto"/>
          <w:sz w:val="21"/>
          <w:szCs w:val="21"/>
        </w:rPr>
        <w:t>targets, including benefits for biodiversity, climate</w:t>
      </w:r>
      <w:r>
        <w:rPr>
          <w:rFonts w:asciiTheme="minorHAnsi" w:hAnsiTheme="minorHAnsi" w:cstheme="minorHAnsi"/>
          <w:color w:val="auto"/>
          <w:sz w:val="21"/>
          <w:szCs w:val="21"/>
        </w:rPr>
        <w:t xml:space="preserve"> and</w:t>
      </w:r>
      <w:r w:rsidRPr="008176BC">
        <w:rPr>
          <w:rFonts w:asciiTheme="minorHAnsi" w:hAnsiTheme="minorHAnsi" w:cstheme="minorHAnsi"/>
          <w:color w:val="auto"/>
          <w:sz w:val="21"/>
          <w:szCs w:val="21"/>
        </w:rPr>
        <w:t xml:space="preserve"> livelihoods</w:t>
      </w:r>
      <w:r>
        <w:rPr>
          <w:rFonts w:asciiTheme="minorHAnsi" w:hAnsiTheme="minorHAnsi" w:cstheme="minorHAnsi"/>
          <w:color w:val="auto"/>
          <w:sz w:val="21"/>
          <w:szCs w:val="21"/>
        </w:rPr>
        <w:t>.</w:t>
      </w:r>
      <w:r w:rsidRPr="008176BC">
        <w:rPr>
          <w:rFonts w:asciiTheme="minorHAnsi" w:hAnsiTheme="minorHAnsi" w:cstheme="minorHAnsi"/>
          <w:color w:val="auto"/>
          <w:sz w:val="21"/>
          <w:szCs w:val="21"/>
        </w:rPr>
        <w:t xml:space="preserve"> </w:t>
      </w:r>
      <w:r w:rsidR="009E4B35">
        <w:rPr>
          <w:sz w:val="21"/>
          <w:szCs w:val="21"/>
        </w:rPr>
        <w:t>Individual, community and corporate responsibilities.</w:t>
      </w:r>
    </w:p>
    <w:p w14:paraId="0AB7A56D" w14:textId="7BB5EBC0" w:rsidR="0044101D" w:rsidRPr="0044101D" w:rsidRDefault="0044101D" w:rsidP="001667C6">
      <w:pPr>
        <w:pStyle w:val="ListParagraph"/>
        <w:numPr>
          <w:ilvl w:val="1"/>
          <w:numId w:val="58"/>
        </w:numPr>
        <w:spacing w:after="80"/>
        <w:ind w:left="993" w:hanging="284"/>
        <w:contextualSpacing w:val="0"/>
        <w:rPr>
          <w:b/>
          <w:bCs/>
          <w:sz w:val="21"/>
          <w:szCs w:val="21"/>
        </w:rPr>
      </w:pPr>
      <w:r w:rsidRPr="0044101D">
        <w:rPr>
          <w:b/>
          <w:bCs/>
          <w:sz w:val="21"/>
          <w:szCs w:val="21"/>
        </w:rPr>
        <w:t>Integrated Landscape Assessment Methodology (ILAM)</w:t>
      </w:r>
      <w:r w:rsidRPr="0044101D">
        <w:rPr>
          <w:sz w:val="21"/>
          <w:szCs w:val="21"/>
        </w:rPr>
        <w:t>, including Land Use &amp; Land Stratifi</w:t>
      </w:r>
      <w:r>
        <w:rPr>
          <w:sz w:val="21"/>
          <w:szCs w:val="21"/>
        </w:rPr>
        <w:t>c</w:t>
      </w:r>
      <w:r w:rsidRPr="0044101D">
        <w:rPr>
          <w:sz w:val="21"/>
          <w:szCs w:val="21"/>
        </w:rPr>
        <w:t xml:space="preserve">ation Assessment, Land Degradation Assessment, </w:t>
      </w:r>
      <w:r>
        <w:rPr>
          <w:sz w:val="21"/>
          <w:szCs w:val="21"/>
        </w:rPr>
        <w:t>Resilience Assessment (using SHARP), Contextual Asssessments.</w:t>
      </w:r>
      <w:r w:rsidR="00C443B1">
        <w:rPr>
          <w:sz w:val="21"/>
          <w:szCs w:val="21"/>
        </w:rPr>
        <w:t xml:space="preserve"> This will include specialist training in GIS tools for those familiar with GIS software.</w:t>
      </w:r>
    </w:p>
    <w:p w14:paraId="44725134" w14:textId="2506A368" w:rsidR="002543A2" w:rsidRPr="002543A2" w:rsidRDefault="002543A2" w:rsidP="001667C6">
      <w:pPr>
        <w:pStyle w:val="ListParagraph"/>
        <w:numPr>
          <w:ilvl w:val="1"/>
          <w:numId w:val="58"/>
        </w:numPr>
        <w:spacing w:after="80"/>
        <w:ind w:left="993" w:hanging="284"/>
        <w:contextualSpacing w:val="0"/>
        <w:rPr>
          <w:sz w:val="21"/>
          <w:szCs w:val="21"/>
        </w:rPr>
      </w:pPr>
      <w:r w:rsidRPr="002543A2">
        <w:rPr>
          <w:b/>
          <w:bCs/>
          <w:sz w:val="21"/>
          <w:szCs w:val="21"/>
        </w:rPr>
        <w:t>Land-use planning and management at LMU and landscape scales</w:t>
      </w:r>
      <w:r>
        <w:rPr>
          <w:sz w:val="21"/>
          <w:szCs w:val="21"/>
        </w:rPr>
        <w:t>: achieving LDN in theory and in practice using SLM/SFM, other sustainable best practices and learning lessons. Monitoring progress towards LDN. This module should be designed to meet the needs of stakeholders involved in planning and delivering interventions at LMU level, as well as those with interests and responsibilities at landscape level (e.g. ILUP Task Force</w:t>
      </w:r>
      <w:r w:rsidR="008B1991">
        <w:rPr>
          <w:sz w:val="21"/>
          <w:szCs w:val="21"/>
        </w:rPr>
        <w:t>, LDN Task Force</w:t>
      </w:r>
      <w:r>
        <w:rPr>
          <w:sz w:val="21"/>
          <w:szCs w:val="21"/>
        </w:rPr>
        <w:t>).</w:t>
      </w:r>
    </w:p>
    <w:p w14:paraId="1BE0ED76" w14:textId="6D1B2879" w:rsidR="008B1991" w:rsidRPr="008B1991" w:rsidRDefault="008B1991" w:rsidP="001667C6">
      <w:pPr>
        <w:pStyle w:val="ListParagraph"/>
        <w:numPr>
          <w:ilvl w:val="1"/>
          <w:numId w:val="58"/>
        </w:numPr>
        <w:spacing w:after="80"/>
        <w:ind w:left="993" w:hanging="284"/>
        <w:contextualSpacing w:val="0"/>
        <w:rPr>
          <w:sz w:val="21"/>
          <w:szCs w:val="21"/>
        </w:rPr>
      </w:pPr>
      <w:r w:rsidRPr="008B1991">
        <w:rPr>
          <w:b/>
          <w:bCs/>
          <w:sz w:val="21"/>
          <w:szCs w:val="21"/>
        </w:rPr>
        <w:t>Land tenure and land use</w:t>
      </w:r>
      <w:r>
        <w:rPr>
          <w:sz w:val="21"/>
          <w:szCs w:val="21"/>
        </w:rPr>
        <w:t>: current policies and legislation, best practices and necessary changes in support of achieving LDN and its associated benefits.</w:t>
      </w:r>
    </w:p>
    <w:p w14:paraId="6C99DA9D" w14:textId="7E7A50E8" w:rsidR="008B1991" w:rsidRDefault="002543A2" w:rsidP="001667C6">
      <w:pPr>
        <w:pStyle w:val="ListParagraph"/>
        <w:numPr>
          <w:ilvl w:val="1"/>
          <w:numId w:val="58"/>
        </w:numPr>
        <w:spacing w:after="80"/>
        <w:ind w:left="993" w:hanging="284"/>
        <w:contextualSpacing w:val="0"/>
        <w:rPr>
          <w:sz w:val="21"/>
          <w:szCs w:val="21"/>
        </w:rPr>
      </w:pPr>
      <w:r w:rsidRPr="008B1991">
        <w:rPr>
          <w:b/>
          <w:bCs/>
          <w:sz w:val="21"/>
          <w:szCs w:val="21"/>
        </w:rPr>
        <w:t>Monitoring</w:t>
      </w:r>
      <w:r w:rsidR="008B1991" w:rsidRPr="008B1991">
        <w:rPr>
          <w:b/>
          <w:bCs/>
          <w:sz w:val="21"/>
          <w:szCs w:val="21"/>
        </w:rPr>
        <w:t>,</w:t>
      </w:r>
      <w:r w:rsidRPr="008B1991">
        <w:rPr>
          <w:b/>
          <w:bCs/>
          <w:sz w:val="21"/>
          <w:szCs w:val="21"/>
        </w:rPr>
        <w:t xml:space="preserve"> evaluating</w:t>
      </w:r>
      <w:r w:rsidR="008B1991" w:rsidRPr="008B1991">
        <w:rPr>
          <w:b/>
          <w:bCs/>
          <w:sz w:val="21"/>
          <w:szCs w:val="21"/>
        </w:rPr>
        <w:t xml:space="preserve"> and reporting on</w:t>
      </w:r>
      <w:r w:rsidRPr="008B1991">
        <w:rPr>
          <w:b/>
          <w:bCs/>
          <w:sz w:val="21"/>
          <w:szCs w:val="21"/>
        </w:rPr>
        <w:t xml:space="preserve"> LDN</w:t>
      </w:r>
      <w:r>
        <w:rPr>
          <w:sz w:val="21"/>
          <w:szCs w:val="21"/>
        </w:rPr>
        <w:t>: applying international best practice based on the UNCCD methodology</w:t>
      </w:r>
      <w:r w:rsidR="008B1991">
        <w:rPr>
          <w:sz w:val="21"/>
          <w:szCs w:val="21"/>
        </w:rPr>
        <w:t xml:space="preserve"> to track progress towards LDN at municipality, landscape and national levels. This module will be particularly relevant for members of the LDN</w:t>
      </w:r>
      <w:r w:rsidR="00C443B1">
        <w:rPr>
          <w:rStyle w:val="FootnoteReference"/>
          <w:sz w:val="21"/>
          <w:szCs w:val="21"/>
        </w:rPr>
        <w:footnoteReference w:id="74"/>
      </w:r>
      <w:r w:rsidR="008B1991">
        <w:rPr>
          <w:sz w:val="21"/>
          <w:szCs w:val="21"/>
        </w:rPr>
        <w:t xml:space="preserve"> and ILUP task forces.</w:t>
      </w:r>
    </w:p>
    <w:p w14:paraId="2411C123" w14:textId="2E0BBC39" w:rsidR="008B1991" w:rsidRDefault="008B1991" w:rsidP="001667C6">
      <w:pPr>
        <w:pStyle w:val="ListParagraph"/>
        <w:numPr>
          <w:ilvl w:val="1"/>
          <w:numId w:val="58"/>
        </w:numPr>
        <w:spacing w:after="80"/>
        <w:ind w:left="993" w:hanging="284"/>
        <w:contextualSpacing w:val="0"/>
        <w:rPr>
          <w:sz w:val="21"/>
          <w:szCs w:val="21"/>
        </w:rPr>
      </w:pPr>
      <w:r w:rsidRPr="008B1991">
        <w:rPr>
          <w:b/>
          <w:bCs/>
          <w:sz w:val="21"/>
          <w:szCs w:val="21"/>
        </w:rPr>
        <w:t>Design and facilitation of stakeholder engagement plans</w:t>
      </w:r>
      <w:r>
        <w:rPr>
          <w:sz w:val="21"/>
          <w:szCs w:val="21"/>
        </w:rPr>
        <w:t xml:space="preserve"> with respect to integrated land-use planning at landscape/Sub-Basin scales. This module should highlight the importance of engaging with all social, adult age and minority groups in consultation processes and promote best practices that can enable such inclusion to be realized.</w:t>
      </w:r>
    </w:p>
    <w:p w14:paraId="7C26FB51" w14:textId="76C06CD1" w:rsidR="008B1991" w:rsidRPr="008B1991" w:rsidRDefault="008B1991" w:rsidP="001667C6">
      <w:pPr>
        <w:pStyle w:val="ListParagraph"/>
        <w:numPr>
          <w:ilvl w:val="1"/>
          <w:numId w:val="58"/>
        </w:numPr>
        <w:spacing w:after="80"/>
        <w:ind w:left="993" w:hanging="284"/>
        <w:contextualSpacing w:val="0"/>
        <w:rPr>
          <w:sz w:val="21"/>
          <w:szCs w:val="21"/>
        </w:rPr>
      </w:pPr>
      <w:r w:rsidRPr="008B1991">
        <w:rPr>
          <w:b/>
          <w:bCs/>
          <w:sz w:val="21"/>
          <w:szCs w:val="21"/>
        </w:rPr>
        <w:t xml:space="preserve">Conserving and enhancing </w:t>
      </w:r>
      <w:r>
        <w:rPr>
          <w:b/>
          <w:bCs/>
          <w:sz w:val="21"/>
          <w:szCs w:val="21"/>
        </w:rPr>
        <w:t>biodiversity and ecosystem functioning/services within and around agricultural production systems</w:t>
      </w:r>
      <w:r>
        <w:rPr>
          <w:sz w:val="21"/>
          <w:szCs w:val="21"/>
        </w:rPr>
        <w:t>, including best practices with regard to maintaining soil structure, minimizing water run-off, organic waste composting, use and application of chemical insecticides and fertilizers.</w:t>
      </w:r>
    </w:p>
    <w:p w14:paraId="6A7D0570" w14:textId="77777777" w:rsidR="008B1991" w:rsidRDefault="008B1991" w:rsidP="001667C6">
      <w:pPr>
        <w:pStyle w:val="ListParagraph"/>
        <w:numPr>
          <w:ilvl w:val="1"/>
          <w:numId w:val="58"/>
        </w:numPr>
        <w:spacing w:after="80"/>
        <w:ind w:left="993" w:hanging="284"/>
        <w:contextualSpacing w:val="0"/>
        <w:rPr>
          <w:sz w:val="21"/>
          <w:szCs w:val="21"/>
        </w:rPr>
      </w:pPr>
      <w:r w:rsidRPr="008B1991">
        <w:rPr>
          <w:b/>
          <w:bCs/>
          <w:sz w:val="21"/>
          <w:szCs w:val="21"/>
        </w:rPr>
        <w:t>A series of modules tailored for specific farming and NTFP enterprises</w:t>
      </w:r>
      <w:r>
        <w:rPr>
          <w:sz w:val="21"/>
          <w:szCs w:val="21"/>
        </w:rPr>
        <w:t xml:space="preserve"> such as: cereals, fruit, vegetables, mushrooms, honey and medicinal plants, depending on local conditions and markets.</w:t>
      </w:r>
    </w:p>
    <w:p w14:paraId="067E4C24" w14:textId="3E45DA85" w:rsidR="008B1991" w:rsidRPr="0044101D" w:rsidRDefault="008B1991" w:rsidP="001667C6">
      <w:pPr>
        <w:pStyle w:val="ListParagraph"/>
        <w:numPr>
          <w:ilvl w:val="1"/>
          <w:numId w:val="58"/>
        </w:numPr>
        <w:spacing w:after="80"/>
        <w:ind w:left="993" w:hanging="284"/>
        <w:contextualSpacing w:val="0"/>
        <w:rPr>
          <w:sz w:val="21"/>
          <w:szCs w:val="21"/>
        </w:rPr>
      </w:pPr>
      <w:r w:rsidRPr="008B1991">
        <w:rPr>
          <w:b/>
          <w:bCs/>
          <w:sz w:val="21"/>
          <w:szCs w:val="21"/>
        </w:rPr>
        <w:t>A series of modules focusing on enhancing the resilience and productive capacities of local communities</w:t>
      </w:r>
      <w:r>
        <w:rPr>
          <w:sz w:val="21"/>
          <w:szCs w:val="21"/>
        </w:rPr>
        <w:t xml:space="preserve"> through initiatives </w:t>
      </w:r>
      <w:r w:rsidRPr="48580380">
        <w:rPr>
          <w:sz w:val="21"/>
          <w:szCs w:val="21"/>
        </w:rPr>
        <w:t>th</w:t>
      </w:r>
      <w:r w:rsidR="2714C5F6" w:rsidRPr="48580380">
        <w:rPr>
          <w:sz w:val="21"/>
          <w:szCs w:val="21"/>
        </w:rPr>
        <w:t>a</w:t>
      </w:r>
      <w:r w:rsidRPr="48580380">
        <w:rPr>
          <w:sz w:val="21"/>
          <w:szCs w:val="21"/>
        </w:rPr>
        <w:t>t</w:t>
      </w:r>
      <w:r>
        <w:rPr>
          <w:sz w:val="21"/>
          <w:szCs w:val="21"/>
        </w:rPr>
        <w:t xml:space="preserve"> support SLM/SFM, such as: community wood lots and seed banks; access to and use of dryland-appropriate, small-size agro-machinery; and water harvesting equipment. This element of capacity building relates to capacity needs to be </w:t>
      </w:r>
      <w:r w:rsidRPr="0044101D">
        <w:rPr>
          <w:sz w:val="21"/>
          <w:szCs w:val="21"/>
        </w:rPr>
        <w:t>identified under Output 2.2.</w:t>
      </w:r>
      <w:r w:rsidR="001D5902">
        <w:rPr>
          <w:sz w:val="21"/>
          <w:szCs w:val="21"/>
        </w:rPr>
        <w:t>2</w:t>
      </w:r>
      <w:r w:rsidRPr="0044101D">
        <w:rPr>
          <w:sz w:val="21"/>
          <w:szCs w:val="21"/>
        </w:rPr>
        <w:t>.</w:t>
      </w:r>
    </w:p>
    <w:p w14:paraId="1CDA3CDF" w14:textId="2781953B" w:rsidR="0044101D" w:rsidRPr="0044101D" w:rsidRDefault="0044101D" w:rsidP="001667C6">
      <w:pPr>
        <w:pStyle w:val="ListParagraph"/>
        <w:numPr>
          <w:ilvl w:val="1"/>
          <w:numId w:val="58"/>
        </w:numPr>
        <w:spacing w:after="80"/>
        <w:ind w:left="993" w:hanging="284"/>
        <w:contextualSpacing w:val="0"/>
        <w:rPr>
          <w:sz w:val="21"/>
          <w:szCs w:val="21"/>
        </w:rPr>
      </w:pPr>
      <w:r w:rsidRPr="0044101D">
        <w:rPr>
          <w:b/>
          <w:bCs/>
          <w:sz w:val="21"/>
          <w:szCs w:val="21"/>
        </w:rPr>
        <w:t>Identify and scope other capacity development initiatives</w:t>
      </w:r>
      <w:r w:rsidRPr="0044101D">
        <w:rPr>
          <w:sz w:val="21"/>
          <w:szCs w:val="21"/>
        </w:rPr>
        <w:t>, such as study tours, workshops to explore different options or scenarios (e.g. models of working: multi-sector coordination and cooperation, partnerships, joint management, community-based resource management) and collaboration with the PAEG Project on land-use decision making and other relevant capacity development activities.</w:t>
      </w:r>
    </w:p>
    <w:p w14:paraId="22ADCD25" w14:textId="13BCF888" w:rsidR="0044101D" w:rsidRPr="0044101D" w:rsidRDefault="0044101D" w:rsidP="001667C6">
      <w:pPr>
        <w:pStyle w:val="ListParagraph"/>
        <w:numPr>
          <w:ilvl w:val="1"/>
          <w:numId w:val="58"/>
        </w:numPr>
        <w:spacing w:after="80"/>
        <w:ind w:left="993" w:hanging="284"/>
        <w:contextualSpacing w:val="0"/>
        <w:rPr>
          <w:sz w:val="21"/>
          <w:szCs w:val="21"/>
        </w:rPr>
      </w:pPr>
      <w:r w:rsidRPr="0044101D">
        <w:rPr>
          <w:b/>
          <w:bCs/>
          <w:sz w:val="21"/>
          <w:szCs w:val="21"/>
        </w:rPr>
        <w:t>Value chains and markets</w:t>
      </w:r>
      <w:r w:rsidRPr="0044101D">
        <w:rPr>
          <w:sz w:val="21"/>
          <w:szCs w:val="21"/>
        </w:rPr>
        <w:t>: design one or more modules that focus on value chain principles, branding, marketing and local experience and opportunities. The scope and content of these modules should be identified in the Drylands Value Chain Strategy (Output 2.3.1).</w:t>
      </w:r>
    </w:p>
    <w:p w14:paraId="149EBBE3" w14:textId="0CCE84B8" w:rsidR="0044101D" w:rsidRDefault="008B1991" w:rsidP="001667C6">
      <w:pPr>
        <w:pStyle w:val="ListParagraph"/>
        <w:numPr>
          <w:ilvl w:val="0"/>
          <w:numId w:val="58"/>
        </w:numPr>
        <w:spacing w:before="80" w:after="0"/>
        <w:ind w:hanging="295"/>
        <w:contextualSpacing w:val="0"/>
        <w:rPr>
          <w:sz w:val="21"/>
          <w:szCs w:val="21"/>
        </w:rPr>
      </w:pPr>
      <w:r w:rsidRPr="0044101D">
        <w:rPr>
          <w:b/>
          <w:bCs/>
          <w:sz w:val="21"/>
          <w:szCs w:val="21"/>
        </w:rPr>
        <w:lastRenderedPageBreak/>
        <w:t>De</w:t>
      </w:r>
      <w:r w:rsidR="0044101D" w:rsidRPr="0044101D">
        <w:rPr>
          <w:b/>
          <w:bCs/>
          <w:sz w:val="21"/>
          <w:szCs w:val="21"/>
        </w:rPr>
        <w:t>velop an overarching strategy for coordinating the de</w:t>
      </w:r>
      <w:r w:rsidRPr="0044101D">
        <w:rPr>
          <w:b/>
          <w:bCs/>
          <w:sz w:val="21"/>
          <w:szCs w:val="21"/>
        </w:rPr>
        <w:t>liver</w:t>
      </w:r>
      <w:r w:rsidR="0044101D" w:rsidRPr="0044101D">
        <w:rPr>
          <w:b/>
          <w:bCs/>
          <w:sz w:val="21"/>
          <w:szCs w:val="21"/>
        </w:rPr>
        <w:t xml:space="preserve">y of </w:t>
      </w:r>
      <w:r w:rsidRPr="0044101D">
        <w:rPr>
          <w:b/>
          <w:bCs/>
          <w:sz w:val="21"/>
          <w:szCs w:val="21"/>
        </w:rPr>
        <w:t xml:space="preserve">the </w:t>
      </w:r>
      <w:r w:rsidR="00166A94" w:rsidRPr="0044101D">
        <w:rPr>
          <w:b/>
          <w:bCs/>
          <w:sz w:val="21"/>
          <w:szCs w:val="21"/>
        </w:rPr>
        <w:t>Training Program</w:t>
      </w:r>
      <w:r w:rsidR="0044101D" w:rsidRPr="0044101D">
        <w:rPr>
          <w:sz w:val="21"/>
          <w:szCs w:val="21"/>
        </w:rPr>
        <w:t xml:space="preserve"> across  the project’s three components</w:t>
      </w:r>
      <w:r w:rsidR="00166A94" w:rsidRPr="0044101D">
        <w:rPr>
          <w:sz w:val="21"/>
          <w:szCs w:val="21"/>
        </w:rPr>
        <w:t xml:space="preserve"> </w:t>
      </w:r>
      <w:r w:rsidR="0044101D" w:rsidRPr="0044101D">
        <w:rPr>
          <w:sz w:val="21"/>
          <w:szCs w:val="21"/>
        </w:rPr>
        <w:t xml:space="preserve">in a timely manner that is synchronized with the scheduling of relevant Outcomes and Outputs requiring capacity development. </w:t>
      </w:r>
    </w:p>
    <w:p w14:paraId="0C506B1F" w14:textId="613EA9FF" w:rsidR="008B1991" w:rsidRPr="003B02F4" w:rsidRDefault="0044101D" w:rsidP="001667C6">
      <w:pPr>
        <w:pStyle w:val="ListParagraph"/>
        <w:numPr>
          <w:ilvl w:val="1"/>
          <w:numId w:val="58"/>
        </w:numPr>
        <w:spacing w:after="80"/>
        <w:ind w:left="993" w:hanging="284"/>
        <w:contextualSpacing w:val="0"/>
        <w:rPr>
          <w:sz w:val="21"/>
          <w:szCs w:val="21"/>
        </w:rPr>
      </w:pPr>
      <w:r w:rsidRPr="003B02F4">
        <w:rPr>
          <w:sz w:val="21"/>
          <w:szCs w:val="21"/>
        </w:rPr>
        <w:t xml:space="preserve">The strategy should include a matrix showing the different stakeholder groups and their training needs aligned against the training modules and other capacity development </w:t>
      </w:r>
      <w:r w:rsidR="001D5902">
        <w:rPr>
          <w:sz w:val="21"/>
          <w:szCs w:val="21"/>
        </w:rPr>
        <w:t>initiatives</w:t>
      </w:r>
      <w:r w:rsidRPr="003B02F4">
        <w:rPr>
          <w:sz w:val="21"/>
          <w:szCs w:val="21"/>
        </w:rPr>
        <w:t xml:space="preserve">, thereby enabling a calendar of training events to be scheduled on an annual basis. For example, under Ouput 2.1.3, training should </w:t>
      </w:r>
      <w:r w:rsidR="00166A94" w:rsidRPr="003B02F4">
        <w:rPr>
          <w:sz w:val="21"/>
          <w:szCs w:val="21"/>
        </w:rPr>
        <w:t xml:space="preserve">initially focus on stakeholders involved in priority interventions in the selected LMUs of the two target landscapes and then </w:t>
      </w:r>
      <w:r w:rsidRPr="003B02F4">
        <w:rPr>
          <w:sz w:val="21"/>
          <w:szCs w:val="21"/>
        </w:rPr>
        <w:t>be scheduled for</w:t>
      </w:r>
      <w:r w:rsidR="00166A94" w:rsidRPr="003B02F4">
        <w:rPr>
          <w:sz w:val="21"/>
          <w:szCs w:val="21"/>
        </w:rPr>
        <w:t xml:space="preserve"> stakeholders </w:t>
      </w:r>
      <w:r w:rsidRPr="003B02F4">
        <w:rPr>
          <w:sz w:val="21"/>
          <w:szCs w:val="21"/>
        </w:rPr>
        <w:t>from</w:t>
      </w:r>
      <w:r w:rsidR="00166A94" w:rsidRPr="003B02F4">
        <w:rPr>
          <w:sz w:val="21"/>
          <w:szCs w:val="21"/>
        </w:rPr>
        <w:t xml:space="preserve"> other LMUs within these </w:t>
      </w:r>
      <w:r w:rsidRPr="003B02F4">
        <w:rPr>
          <w:sz w:val="21"/>
          <w:szCs w:val="21"/>
        </w:rPr>
        <w:t xml:space="preserve">target </w:t>
      </w:r>
      <w:r w:rsidR="00166A94" w:rsidRPr="003B02F4">
        <w:rPr>
          <w:sz w:val="21"/>
          <w:szCs w:val="21"/>
        </w:rPr>
        <w:t>landscapes.</w:t>
      </w:r>
    </w:p>
    <w:p w14:paraId="56AA1C21" w14:textId="3C0C9818" w:rsidR="003B02F4" w:rsidRPr="003B02F4" w:rsidRDefault="003B02F4" w:rsidP="001667C6">
      <w:pPr>
        <w:pStyle w:val="ListParagraph"/>
        <w:numPr>
          <w:ilvl w:val="1"/>
          <w:numId w:val="58"/>
        </w:numPr>
        <w:spacing w:after="80"/>
        <w:ind w:left="993" w:hanging="284"/>
        <w:contextualSpacing w:val="0"/>
        <w:rPr>
          <w:sz w:val="21"/>
          <w:szCs w:val="21"/>
        </w:rPr>
      </w:pPr>
      <w:r w:rsidRPr="003B02F4">
        <w:rPr>
          <w:sz w:val="21"/>
          <w:szCs w:val="21"/>
        </w:rPr>
        <w:t>It should also embrace</w:t>
      </w:r>
      <w:r>
        <w:rPr>
          <w:sz w:val="21"/>
          <w:szCs w:val="21"/>
        </w:rPr>
        <w:t xml:space="preserve"> training needs identified across other Outcomes identified in Components 1 and 2</w:t>
      </w:r>
      <w:r w:rsidR="001D5902">
        <w:rPr>
          <w:sz w:val="21"/>
          <w:szCs w:val="21"/>
        </w:rPr>
        <w:t>,</w:t>
      </w:r>
      <w:r>
        <w:rPr>
          <w:sz w:val="21"/>
          <w:szCs w:val="21"/>
        </w:rPr>
        <w:t xml:space="preserve"> in order to provide a comprehensive overview for coordination purposes and to maximise synergies in meeting common needs across this Child Project. </w:t>
      </w:r>
    </w:p>
    <w:p w14:paraId="2932CC6A" w14:textId="01B6E412" w:rsidR="002543A2" w:rsidRPr="003B02F4" w:rsidRDefault="003052AA" w:rsidP="001667C6">
      <w:pPr>
        <w:pStyle w:val="ListParagraph"/>
        <w:numPr>
          <w:ilvl w:val="1"/>
          <w:numId w:val="58"/>
        </w:numPr>
        <w:spacing w:after="80"/>
        <w:ind w:left="993" w:hanging="284"/>
        <w:contextualSpacing w:val="0"/>
        <w:rPr>
          <w:sz w:val="21"/>
          <w:szCs w:val="21"/>
        </w:rPr>
      </w:pPr>
      <w:r>
        <w:rPr>
          <w:sz w:val="21"/>
          <w:szCs w:val="21"/>
        </w:rPr>
        <w:t>Procure</w:t>
      </w:r>
      <w:r w:rsidR="00166A94" w:rsidRPr="003B02F4">
        <w:rPr>
          <w:sz w:val="21"/>
          <w:szCs w:val="21"/>
        </w:rPr>
        <w:t xml:space="preserve"> a </w:t>
      </w:r>
      <w:r w:rsidR="001D5902">
        <w:rPr>
          <w:sz w:val="21"/>
          <w:szCs w:val="21"/>
        </w:rPr>
        <w:t xml:space="preserve">Capacity Development </w:t>
      </w:r>
      <w:r w:rsidR="00166A94" w:rsidRPr="003B02F4">
        <w:rPr>
          <w:sz w:val="21"/>
          <w:szCs w:val="21"/>
        </w:rPr>
        <w:t>Coordinator, who will support the lead institution responsible for the Capacity Development Program and work closely with the two Landscape Coordinators based in the</w:t>
      </w:r>
      <w:r w:rsidR="001D5902">
        <w:rPr>
          <w:sz w:val="21"/>
          <w:szCs w:val="21"/>
        </w:rPr>
        <w:t>ir</w:t>
      </w:r>
      <w:r w:rsidR="00166A94" w:rsidRPr="003B02F4">
        <w:rPr>
          <w:sz w:val="21"/>
          <w:szCs w:val="21"/>
        </w:rPr>
        <w:t xml:space="preserve"> respective Field Offices, government outreach officers and others involved in capacity development.</w:t>
      </w:r>
    </w:p>
    <w:p w14:paraId="4F731F48" w14:textId="339D8897" w:rsidR="0041738E" w:rsidRPr="0044101D" w:rsidRDefault="00166A94" w:rsidP="001667C6">
      <w:pPr>
        <w:pStyle w:val="ListParagraph"/>
        <w:numPr>
          <w:ilvl w:val="0"/>
          <w:numId w:val="58"/>
        </w:numPr>
        <w:spacing w:before="80" w:after="0"/>
        <w:ind w:hanging="295"/>
        <w:contextualSpacing w:val="0"/>
        <w:rPr>
          <w:sz w:val="21"/>
          <w:szCs w:val="21"/>
        </w:rPr>
      </w:pPr>
      <w:r w:rsidRPr="0044101D">
        <w:rPr>
          <w:b/>
          <w:bCs/>
          <w:sz w:val="21"/>
          <w:szCs w:val="21"/>
        </w:rPr>
        <w:t>Develop and implement a strategy for institutionalizing the Training Programme</w:t>
      </w:r>
      <w:r w:rsidRPr="0044101D">
        <w:rPr>
          <w:sz w:val="21"/>
          <w:szCs w:val="21"/>
        </w:rPr>
        <w:t xml:space="preserve"> post mid-term. This should be tailored to support municipalities replicate ILUP across LMUs in other landscapes/</w:t>
      </w:r>
      <w:r w:rsidR="0044101D">
        <w:rPr>
          <w:sz w:val="21"/>
          <w:szCs w:val="21"/>
        </w:rPr>
        <w:t>s</w:t>
      </w:r>
      <w:r w:rsidRPr="0044101D">
        <w:rPr>
          <w:sz w:val="21"/>
          <w:szCs w:val="21"/>
        </w:rPr>
        <w:t>ub-</w:t>
      </w:r>
      <w:r w:rsidR="0044101D">
        <w:rPr>
          <w:sz w:val="21"/>
          <w:szCs w:val="21"/>
        </w:rPr>
        <w:t>b</w:t>
      </w:r>
      <w:r w:rsidRPr="0044101D">
        <w:rPr>
          <w:sz w:val="21"/>
          <w:szCs w:val="21"/>
        </w:rPr>
        <w:t>asins over the longer term.</w:t>
      </w:r>
    </w:p>
    <w:bookmarkEnd w:id="146"/>
    <w:p w14:paraId="41B3DDEB" w14:textId="7CF18EF4" w:rsidR="004E2FF4" w:rsidRPr="004E2FF4" w:rsidRDefault="004E2FF4" w:rsidP="004E2FF4"/>
    <w:tbl>
      <w:tblPr>
        <w:tblStyle w:val="TableGrid"/>
        <w:tblpPr w:leftFromText="180" w:rightFromText="180" w:vertAnchor="text" w:horzAnchor="margin" w:tblpXSpec="right" w:tblpY="70"/>
        <w:tblW w:w="0" w:type="auto"/>
        <w:tblLook w:val="04A0" w:firstRow="1" w:lastRow="0" w:firstColumn="1" w:lastColumn="0" w:noHBand="0" w:noVBand="1"/>
      </w:tblPr>
      <w:tblGrid>
        <w:gridCol w:w="1418"/>
        <w:gridCol w:w="7003"/>
      </w:tblGrid>
      <w:tr w:rsidR="00F67204" w:rsidRPr="00D9662C" w14:paraId="5FE20A63" w14:textId="77777777" w:rsidTr="00F67204">
        <w:tc>
          <w:tcPr>
            <w:tcW w:w="1418" w:type="dxa"/>
            <w:tcBorders>
              <w:top w:val="nil"/>
              <w:left w:val="nil"/>
              <w:bottom w:val="nil"/>
            </w:tcBorders>
            <w:tcMar>
              <w:top w:w="57" w:type="dxa"/>
              <w:left w:w="57" w:type="dxa"/>
              <w:bottom w:w="57" w:type="dxa"/>
              <w:right w:w="57" w:type="dxa"/>
            </w:tcMar>
          </w:tcPr>
          <w:p w14:paraId="171AACAD" w14:textId="77777777" w:rsidR="00F67204" w:rsidRPr="00D9662C" w:rsidRDefault="00F67204" w:rsidP="00F67204">
            <w:pPr>
              <w:pStyle w:val="Heading5"/>
              <w:spacing w:before="0" w:after="0"/>
              <w:ind w:left="0"/>
              <w:outlineLvl w:val="4"/>
              <w:rPr>
                <w:rFonts w:cs="Calibri"/>
                <w:sz w:val="22"/>
                <w:szCs w:val="22"/>
                <w:lang w:val="en-GB"/>
              </w:rPr>
            </w:pPr>
            <w:r w:rsidRPr="00D9662C">
              <w:rPr>
                <w:rFonts w:ascii="Calibri" w:hAnsi="Calibri" w:cs="Calibri"/>
                <w:sz w:val="22"/>
                <w:szCs w:val="22"/>
              </w:rPr>
              <w:t xml:space="preserve">Outcome </w:t>
            </w:r>
            <w:r w:rsidRPr="00D9662C">
              <w:rPr>
                <w:rFonts w:ascii="Calibri" w:hAnsi="Calibri" w:cs="Calibri"/>
                <w:sz w:val="22"/>
                <w:szCs w:val="22"/>
                <w:lang w:val="en-GB"/>
              </w:rPr>
              <w:t>2</w:t>
            </w:r>
            <w:r w:rsidRPr="00D9662C">
              <w:rPr>
                <w:rFonts w:ascii="Calibri" w:hAnsi="Calibri" w:cs="Calibri"/>
                <w:sz w:val="22"/>
                <w:szCs w:val="22"/>
              </w:rPr>
              <w:t>.</w:t>
            </w:r>
            <w:r w:rsidRPr="00D9662C">
              <w:rPr>
                <w:rFonts w:ascii="Calibri" w:hAnsi="Calibri" w:cs="Calibri"/>
                <w:sz w:val="22"/>
                <w:szCs w:val="22"/>
                <w:lang w:val="en-GB"/>
              </w:rPr>
              <w:t>2</w:t>
            </w:r>
          </w:p>
        </w:tc>
        <w:tc>
          <w:tcPr>
            <w:tcW w:w="7003" w:type="dxa"/>
            <w:tcMar>
              <w:top w:w="57" w:type="dxa"/>
              <w:left w:w="57" w:type="dxa"/>
              <w:bottom w:w="57" w:type="dxa"/>
              <w:right w:w="57" w:type="dxa"/>
            </w:tcMar>
          </w:tcPr>
          <w:p w14:paraId="755F30DA" w14:textId="406CF587" w:rsidR="00F67204" w:rsidRPr="00940F40" w:rsidRDefault="00BA30F7" w:rsidP="00F67204">
            <w:pPr>
              <w:pStyle w:val="Heading5"/>
              <w:spacing w:before="0" w:after="0"/>
              <w:ind w:left="0"/>
              <w:outlineLvl w:val="4"/>
              <w:rPr>
                <w:rFonts w:ascii="Calibri" w:hAnsi="Calibri" w:cs="Calibri"/>
                <w:sz w:val="22"/>
                <w:szCs w:val="22"/>
                <w:lang w:val="en-GB"/>
              </w:rPr>
            </w:pPr>
            <w:r w:rsidRPr="00BA30F7">
              <w:rPr>
                <w:rFonts w:asciiTheme="minorHAnsi" w:hAnsiTheme="minorHAnsi" w:cstheme="minorHAnsi"/>
                <w:sz w:val="22"/>
                <w:szCs w:val="22"/>
              </w:rPr>
              <w:t>Capacity and resilience of land users to apply SLM/SFM practices to production systems strengthened</w:t>
            </w:r>
          </w:p>
        </w:tc>
      </w:tr>
    </w:tbl>
    <w:p w14:paraId="35AE029D" w14:textId="004BE5A2" w:rsidR="009563B4" w:rsidRDefault="009563B4" w:rsidP="48580380">
      <w:pPr>
        <w:pStyle w:val="Heading5"/>
        <w:spacing w:after="160"/>
        <w:rPr>
          <w:rFonts w:ascii="Calibri" w:eastAsia="Calibri" w:hAnsi="Calibri" w:cs="Calibri"/>
          <w:b w:val="0"/>
          <w:sz w:val="21"/>
          <w:szCs w:val="21"/>
        </w:rPr>
      </w:pPr>
      <w:r w:rsidRPr="48580380">
        <w:rPr>
          <w:rFonts w:ascii="Calibri" w:eastAsia="Calibri" w:hAnsi="Calibri" w:cs="Calibri"/>
          <w:b w:val="0"/>
          <w:sz w:val="21"/>
          <w:szCs w:val="21"/>
        </w:rPr>
        <w:t xml:space="preserve">Outcome 2.2 </w:t>
      </w:r>
      <w:r w:rsidR="003B02F4" w:rsidRPr="48580380">
        <w:rPr>
          <w:rFonts w:ascii="Calibri" w:eastAsia="Calibri" w:hAnsi="Calibri" w:cs="Calibri"/>
          <w:b w:val="0"/>
          <w:sz w:val="21"/>
          <w:szCs w:val="21"/>
        </w:rPr>
        <w:t xml:space="preserve">is focused on </w:t>
      </w:r>
      <w:r w:rsidR="006470EB" w:rsidRPr="48580380">
        <w:rPr>
          <w:rFonts w:ascii="Calibri" w:eastAsia="Calibri" w:hAnsi="Calibri" w:cs="Calibri"/>
          <w:b w:val="0"/>
          <w:sz w:val="21"/>
          <w:szCs w:val="21"/>
        </w:rPr>
        <w:t xml:space="preserve">building capacity among stakeholders, in terms of technical knowledge, skills and tools, to apply SLM/SFM practices </w:t>
      </w:r>
      <w:r w:rsidR="00005359" w:rsidRPr="48580380">
        <w:rPr>
          <w:rFonts w:ascii="Calibri" w:eastAsia="Calibri" w:hAnsi="Calibri" w:cs="Calibri"/>
          <w:b w:val="0"/>
          <w:sz w:val="21"/>
          <w:szCs w:val="21"/>
        </w:rPr>
        <w:t>across</w:t>
      </w:r>
      <w:r w:rsidR="006470EB" w:rsidRPr="48580380">
        <w:rPr>
          <w:rFonts w:ascii="Calibri" w:eastAsia="Calibri" w:hAnsi="Calibri" w:cs="Calibri"/>
          <w:b w:val="0"/>
          <w:sz w:val="21"/>
          <w:szCs w:val="21"/>
        </w:rPr>
        <w:t xml:space="preserve"> target LMUs and thereby demonstrate how </w:t>
      </w:r>
      <w:r w:rsidR="003B02F4" w:rsidRPr="48580380">
        <w:rPr>
          <w:rFonts w:ascii="Calibri" w:eastAsia="Calibri" w:hAnsi="Calibri" w:cs="Calibri"/>
          <w:b w:val="0"/>
          <w:sz w:val="21"/>
          <w:szCs w:val="21"/>
        </w:rPr>
        <w:t xml:space="preserve">LDN </w:t>
      </w:r>
      <w:r w:rsidR="006470EB" w:rsidRPr="48580380">
        <w:rPr>
          <w:rFonts w:ascii="Calibri" w:eastAsia="Calibri" w:hAnsi="Calibri" w:cs="Calibri"/>
          <w:b w:val="0"/>
          <w:sz w:val="21"/>
          <w:szCs w:val="21"/>
        </w:rPr>
        <w:t xml:space="preserve">can be delivered </w:t>
      </w:r>
      <w:r w:rsidR="003B02F4" w:rsidRPr="48580380">
        <w:rPr>
          <w:rFonts w:ascii="Calibri" w:eastAsia="Calibri" w:hAnsi="Calibri" w:cs="Calibri"/>
          <w:b w:val="0"/>
          <w:sz w:val="21"/>
          <w:szCs w:val="21"/>
        </w:rPr>
        <w:t>at landscape scales</w:t>
      </w:r>
      <w:r w:rsidR="006470EB" w:rsidRPr="48580380">
        <w:rPr>
          <w:rFonts w:ascii="Calibri" w:eastAsia="Calibri" w:hAnsi="Calibri" w:cs="Calibri"/>
          <w:b w:val="0"/>
          <w:sz w:val="21"/>
          <w:szCs w:val="21"/>
        </w:rPr>
        <w:t>. It builds</w:t>
      </w:r>
      <w:r w:rsidR="003B02F4" w:rsidRPr="48580380">
        <w:rPr>
          <w:rFonts w:ascii="Calibri" w:eastAsia="Calibri" w:hAnsi="Calibri" w:cs="Calibri"/>
          <w:b w:val="0"/>
          <w:sz w:val="21"/>
          <w:szCs w:val="21"/>
        </w:rPr>
        <w:t xml:space="preserve"> o</w:t>
      </w:r>
      <w:r w:rsidRPr="48580380">
        <w:rPr>
          <w:rFonts w:ascii="Calibri" w:eastAsia="Calibri" w:hAnsi="Calibri" w:cs="Calibri"/>
          <w:b w:val="0"/>
          <w:sz w:val="21"/>
          <w:szCs w:val="21"/>
        </w:rPr>
        <w:t xml:space="preserve">n key results of the PPG phase, </w:t>
      </w:r>
      <w:r w:rsidR="006470EB" w:rsidRPr="48580380">
        <w:rPr>
          <w:rFonts w:ascii="Calibri" w:eastAsia="Calibri" w:hAnsi="Calibri" w:cs="Calibri"/>
          <w:b w:val="0"/>
          <w:sz w:val="21"/>
          <w:szCs w:val="21"/>
        </w:rPr>
        <w:t>specifically</w:t>
      </w:r>
      <w:r w:rsidRPr="48580380">
        <w:rPr>
          <w:rFonts w:ascii="Calibri" w:eastAsia="Calibri" w:hAnsi="Calibri" w:cs="Calibri"/>
          <w:b w:val="0"/>
          <w:sz w:val="21"/>
          <w:szCs w:val="21"/>
        </w:rPr>
        <w:t xml:space="preserve"> the </w:t>
      </w:r>
      <w:r w:rsidR="003B02F4" w:rsidRPr="48580380">
        <w:rPr>
          <w:rFonts w:ascii="Calibri" w:eastAsia="Calibri" w:hAnsi="Calibri" w:cs="Calibri"/>
          <w:b w:val="0"/>
          <w:sz w:val="21"/>
          <w:szCs w:val="21"/>
        </w:rPr>
        <w:t>prelim</w:t>
      </w:r>
      <w:r w:rsidR="006470EB" w:rsidRPr="48580380">
        <w:rPr>
          <w:rFonts w:ascii="Calibri" w:eastAsia="Calibri" w:hAnsi="Calibri" w:cs="Calibri"/>
          <w:b w:val="0"/>
          <w:sz w:val="21"/>
          <w:szCs w:val="21"/>
        </w:rPr>
        <w:t>i</w:t>
      </w:r>
      <w:r w:rsidR="003B02F4" w:rsidRPr="48580380">
        <w:rPr>
          <w:rFonts w:ascii="Calibri" w:eastAsia="Calibri" w:hAnsi="Calibri" w:cs="Calibri"/>
          <w:b w:val="0"/>
          <w:sz w:val="21"/>
          <w:szCs w:val="21"/>
        </w:rPr>
        <w:t>nary findings of the Capacity Needs Assessment</w:t>
      </w:r>
      <w:r w:rsidR="003B02F4" w:rsidRPr="003B02F4">
        <w:rPr>
          <w:highlight w:val="lightGray"/>
          <w:vertAlign w:val="superscript"/>
        </w:rPr>
        <w:fldChar w:fldCharType="begin"/>
      </w:r>
      <w:r w:rsidR="003B02F4" w:rsidRPr="003B02F4">
        <w:rPr>
          <w:highlight w:val="lightGray"/>
          <w:vertAlign w:val="superscript"/>
        </w:rPr>
        <w:instrText xml:space="preserve"> NOTEREF _Ref50047926 \h  \* MERGEFORMAT </w:instrText>
      </w:r>
      <w:r w:rsidR="003B02F4" w:rsidRPr="003B02F4">
        <w:rPr>
          <w:highlight w:val="lightGray"/>
          <w:vertAlign w:val="superscript"/>
        </w:rPr>
      </w:r>
      <w:r w:rsidR="003B02F4" w:rsidRPr="003B02F4">
        <w:rPr>
          <w:highlight w:val="lightGray"/>
          <w:vertAlign w:val="superscript"/>
        </w:rPr>
        <w:fldChar w:fldCharType="separate"/>
      </w:r>
      <w:r w:rsidR="00A64193">
        <w:rPr>
          <w:highlight w:val="lightGray"/>
          <w:vertAlign w:val="superscript"/>
        </w:rPr>
        <w:t>72</w:t>
      </w:r>
      <w:r w:rsidR="003B02F4" w:rsidRPr="003B02F4">
        <w:rPr>
          <w:highlight w:val="lightGray"/>
          <w:vertAlign w:val="superscript"/>
        </w:rPr>
        <w:fldChar w:fldCharType="end"/>
      </w:r>
      <w:r w:rsidR="003B02F4" w:rsidRPr="48580380">
        <w:rPr>
          <w:rFonts w:ascii="Calibri" w:eastAsia="Calibri" w:hAnsi="Calibri" w:cs="Calibri"/>
          <w:b w:val="0"/>
          <w:sz w:val="21"/>
          <w:szCs w:val="21"/>
        </w:rPr>
        <w:t xml:space="preserve"> and the </w:t>
      </w:r>
      <w:r w:rsidRPr="48580380">
        <w:rPr>
          <w:rFonts w:ascii="Calibri" w:eastAsia="Calibri" w:hAnsi="Calibri" w:cs="Calibri"/>
          <w:b w:val="0"/>
          <w:sz w:val="21"/>
          <w:szCs w:val="21"/>
        </w:rPr>
        <w:t>Barrier Analysis, which highlight the many systemic, institutional and individual needs for capacity development. Managing croplands, pasture</w:t>
      </w:r>
      <w:r w:rsidR="003B02F4" w:rsidRPr="48580380">
        <w:rPr>
          <w:rFonts w:ascii="Calibri" w:eastAsia="Calibri" w:hAnsi="Calibri" w:cs="Calibri"/>
          <w:b w:val="0"/>
          <w:sz w:val="21"/>
          <w:szCs w:val="21"/>
        </w:rPr>
        <w:t xml:space="preserve"> and forests </w:t>
      </w:r>
      <w:r w:rsidRPr="48580380">
        <w:rPr>
          <w:rFonts w:ascii="Calibri" w:eastAsia="Calibri" w:hAnsi="Calibri" w:cs="Calibri"/>
          <w:b w:val="0"/>
          <w:sz w:val="21"/>
          <w:szCs w:val="21"/>
        </w:rPr>
        <w:t xml:space="preserve">sustainably are </w:t>
      </w:r>
      <w:r w:rsidR="003B02F4" w:rsidRPr="48580380">
        <w:rPr>
          <w:rFonts w:ascii="Calibri" w:eastAsia="Calibri" w:hAnsi="Calibri" w:cs="Calibri"/>
          <w:b w:val="0"/>
          <w:sz w:val="21"/>
          <w:szCs w:val="21"/>
        </w:rPr>
        <w:t xml:space="preserve">fundamentally </w:t>
      </w:r>
      <w:r w:rsidRPr="48580380">
        <w:rPr>
          <w:rFonts w:ascii="Calibri" w:eastAsia="Calibri" w:hAnsi="Calibri" w:cs="Calibri"/>
          <w:b w:val="0"/>
          <w:sz w:val="21"/>
          <w:szCs w:val="21"/>
        </w:rPr>
        <w:t>part and parcel of an integrated approach to managing landscapes, particular</w:t>
      </w:r>
      <w:r w:rsidR="003B02F4" w:rsidRPr="48580380">
        <w:rPr>
          <w:rFonts w:ascii="Calibri" w:eastAsia="Calibri" w:hAnsi="Calibri" w:cs="Calibri"/>
          <w:b w:val="0"/>
          <w:sz w:val="21"/>
          <w:szCs w:val="21"/>
        </w:rPr>
        <w:t>ly</w:t>
      </w:r>
      <w:r w:rsidRPr="48580380">
        <w:rPr>
          <w:rFonts w:ascii="Calibri" w:eastAsia="Calibri" w:hAnsi="Calibri" w:cs="Calibri"/>
          <w:b w:val="0"/>
          <w:sz w:val="21"/>
          <w:szCs w:val="21"/>
        </w:rPr>
        <w:t xml:space="preserve"> </w:t>
      </w:r>
      <w:r w:rsidR="003B02F4" w:rsidRPr="48580380">
        <w:rPr>
          <w:rFonts w:ascii="Calibri" w:eastAsia="Calibri" w:hAnsi="Calibri" w:cs="Calibri"/>
          <w:b w:val="0"/>
          <w:sz w:val="21"/>
          <w:szCs w:val="21"/>
        </w:rPr>
        <w:t>i</w:t>
      </w:r>
      <w:r w:rsidRPr="48580380">
        <w:rPr>
          <w:rFonts w:ascii="Calibri" w:eastAsia="Calibri" w:hAnsi="Calibri" w:cs="Calibri"/>
          <w:b w:val="0"/>
          <w:sz w:val="21"/>
          <w:szCs w:val="21"/>
        </w:rPr>
        <w:t>n Angola</w:t>
      </w:r>
      <w:r w:rsidR="003B02F4" w:rsidRPr="48580380">
        <w:rPr>
          <w:rFonts w:ascii="Calibri" w:eastAsia="Calibri" w:hAnsi="Calibri" w:cs="Calibri"/>
          <w:b w:val="0"/>
          <w:sz w:val="21"/>
          <w:szCs w:val="21"/>
        </w:rPr>
        <w:t xml:space="preserve"> where land</w:t>
      </w:r>
      <w:r w:rsidRPr="48580380">
        <w:rPr>
          <w:rFonts w:ascii="Calibri" w:eastAsia="Calibri" w:hAnsi="Calibri" w:cs="Calibri"/>
          <w:b w:val="0"/>
          <w:sz w:val="21"/>
          <w:szCs w:val="21"/>
        </w:rPr>
        <w:t xml:space="preserve"> productivity is low. </w:t>
      </w:r>
      <w:r w:rsidR="003B02F4" w:rsidRPr="48580380">
        <w:rPr>
          <w:rFonts w:ascii="Calibri" w:eastAsia="Calibri" w:hAnsi="Calibri" w:cs="Calibri"/>
          <w:b w:val="0"/>
          <w:sz w:val="21"/>
          <w:szCs w:val="21"/>
        </w:rPr>
        <w:t>A</w:t>
      </w:r>
      <w:r w:rsidRPr="48580380">
        <w:rPr>
          <w:rFonts w:ascii="Calibri" w:eastAsia="Calibri" w:hAnsi="Calibri" w:cs="Calibri"/>
          <w:b w:val="0"/>
          <w:sz w:val="21"/>
          <w:szCs w:val="21"/>
        </w:rPr>
        <w:t xml:space="preserve">gricultural </w:t>
      </w:r>
      <w:r w:rsidR="003B02F4" w:rsidRPr="48580380">
        <w:rPr>
          <w:rFonts w:ascii="Calibri" w:eastAsia="Calibri" w:hAnsi="Calibri" w:cs="Calibri"/>
          <w:b w:val="0"/>
          <w:sz w:val="21"/>
          <w:szCs w:val="21"/>
        </w:rPr>
        <w:t>land-use practices</w:t>
      </w:r>
      <w:r w:rsidRPr="48580380">
        <w:rPr>
          <w:rFonts w:ascii="Calibri" w:eastAsia="Calibri" w:hAnsi="Calibri" w:cs="Calibri"/>
          <w:b w:val="0"/>
          <w:sz w:val="21"/>
          <w:szCs w:val="21"/>
        </w:rPr>
        <w:t xml:space="preserve">, livestock management, choice of crops, seeds and cultivars can </w:t>
      </w:r>
      <w:r w:rsidR="003B02F4" w:rsidRPr="48580380">
        <w:rPr>
          <w:rFonts w:ascii="Calibri" w:eastAsia="Calibri" w:hAnsi="Calibri" w:cs="Calibri"/>
          <w:b w:val="0"/>
          <w:sz w:val="21"/>
          <w:szCs w:val="21"/>
        </w:rPr>
        <w:t xml:space="preserve">all </w:t>
      </w:r>
      <w:r w:rsidRPr="48580380">
        <w:rPr>
          <w:rFonts w:ascii="Calibri" w:eastAsia="Calibri" w:hAnsi="Calibri" w:cs="Calibri"/>
          <w:b w:val="0"/>
          <w:sz w:val="21"/>
          <w:szCs w:val="21"/>
        </w:rPr>
        <w:t>be significantly improved with cost-effective methods</w:t>
      </w:r>
      <w:r w:rsidR="003B02F4" w:rsidRPr="48580380">
        <w:rPr>
          <w:rFonts w:ascii="Calibri" w:eastAsia="Calibri" w:hAnsi="Calibri" w:cs="Calibri"/>
          <w:b w:val="0"/>
          <w:sz w:val="21"/>
          <w:szCs w:val="21"/>
        </w:rPr>
        <w:t>; and</w:t>
      </w:r>
      <w:r w:rsidRPr="48580380">
        <w:rPr>
          <w:rFonts w:ascii="Calibri" w:eastAsia="Calibri" w:hAnsi="Calibri" w:cs="Calibri"/>
          <w:b w:val="0"/>
          <w:sz w:val="21"/>
          <w:szCs w:val="21"/>
        </w:rPr>
        <w:t xml:space="preserve"> soil and water can be </w:t>
      </w:r>
      <w:r w:rsidR="003B02F4" w:rsidRPr="48580380">
        <w:rPr>
          <w:rFonts w:ascii="Calibri" w:eastAsia="Calibri" w:hAnsi="Calibri" w:cs="Calibri"/>
          <w:b w:val="0"/>
          <w:sz w:val="21"/>
          <w:szCs w:val="21"/>
        </w:rPr>
        <w:t xml:space="preserve">managed in ways that </w:t>
      </w:r>
      <w:r w:rsidRPr="48580380">
        <w:rPr>
          <w:rFonts w:ascii="Calibri" w:eastAsia="Calibri" w:hAnsi="Calibri" w:cs="Calibri"/>
          <w:b w:val="0"/>
          <w:sz w:val="21"/>
          <w:szCs w:val="21"/>
        </w:rPr>
        <w:t>reduc</w:t>
      </w:r>
      <w:r w:rsidR="003B02F4" w:rsidRPr="48580380">
        <w:rPr>
          <w:rFonts w:ascii="Calibri" w:eastAsia="Calibri" w:hAnsi="Calibri" w:cs="Calibri"/>
          <w:b w:val="0"/>
          <w:sz w:val="21"/>
          <w:szCs w:val="21"/>
        </w:rPr>
        <w:t>e</w:t>
      </w:r>
      <w:r w:rsidRPr="48580380">
        <w:rPr>
          <w:rFonts w:ascii="Calibri" w:eastAsia="Calibri" w:hAnsi="Calibri" w:cs="Calibri"/>
          <w:b w:val="0"/>
          <w:sz w:val="21"/>
          <w:szCs w:val="21"/>
        </w:rPr>
        <w:t xml:space="preserve"> land degradation and </w:t>
      </w:r>
      <w:r w:rsidR="003B02F4" w:rsidRPr="48580380">
        <w:rPr>
          <w:rFonts w:ascii="Calibri" w:eastAsia="Calibri" w:hAnsi="Calibri" w:cs="Calibri"/>
          <w:b w:val="0"/>
          <w:sz w:val="21"/>
          <w:szCs w:val="21"/>
        </w:rPr>
        <w:t>enable</w:t>
      </w:r>
      <w:r w:rsidRPr="48580380">
        <w:rPr>
          <w:rFonts w:ascii="Calibri" w:eastAsia="Calibri" w:hAnsi="Calibri" w:cs="Calibri"/>
          <w:b w:val="0"/>
          <w:sz w:val="21"/>
          <w:szCs w:val="21"/>
        </w:rPr>
        <w:t xml:space="preserve"> </w:t>
      </w:r>
      <w:r w:rsidR="003B02F4" w:rsidRPr="48580380">
        <w:rPr>
          <w:rFonts w:ascii="Calibri" w:eastAsia="Calibri" w:hAnsi="Calibri" w:cs="Calibri"/>
          <w:b w:val="0"/>
          <w:sz w:val="21"/>
          <w:szCs w:val="21"/>
        </w:rPr>
        <w:t>land-use systems (</w:t>
      </w:r>
      <w:r w:rsidRPr="48580380">
        <w:rPr>
          <w:rFonts w:ascii="Calibri" w:eastAsia="Calibri" w:hAnsi="Calibri" w:cs="Calibri"/>
          <w:b w:val="0"/>
          <w:sz w:val="21"/>
          <w:szCs w:val="21"/>
        </w:rPr>
        <w:t>LUS</w:t>
      </w:r>
      <w:r w:rsidR="003B02F4" w:rsidRPr="48580380">
        <w:rPr>
          <w:rFonts w:ascii="Calibri" w:eastAsia="Calibri" w:hAnsi="Calibri" w:cs="Calibri"/>
          <w:b w:val="0"/>
          <w:sz w:val="21"/>
          <w:szCs w:val="21"/>
        </w:rPr>
        <w:t>s) to</w:t>
      </w:r>
      <w:r w:rsidRPr="48580380">
        <w:rPr>
          <w:rFonts w:ascii="Calibri" w:eastAsia="Calibri" w:hAnsi="Calibri" w:cs="Calibri"/>
          <w:b w:val="0"/>
          <w:sz w:val="21"/>
          <w:szCs w:val="21"/>
        </w:rPr>
        <w:t xml:space="preserve"> adapt to climate change and other </w:t>
      </w:r>
      <w:r w:rsidR="00D9662C" w:rsidRPr="48580380">
        <w:rPr>
          <w:rFonts w:ascii="Calibri" w:eastAsia="Calibri" w:hAnsi="Calibri" w:cs="Calibri"/>
          <w:b w:val="0"/>
          <w:sz w:val="21"/>
          <w:szCs w:val="21"/>
        </w:rPr>
        <w:t xml:space="preserve">environmental </w:t>
      </w:r>
      <w:r w:rsidRPr="48580380">
        <w:rPr>
          <w:rFonts w:ascii="Calibri" w:eastAsia="Calibri" w:hAnsi="Calibri" w:cs="Calibri"/>
          <w:b w:val="0"/>
          <w:sz w:val="21"/>
          <w:szCs w:val="21"/>
        </w:rPr>
        <w:t>shocks.</w:t>
      </w:r>
    </w:p>
    <w:p w14:paraId="376F6A05" w14:textId="0EFC70C2" w:rsidR="007061BD" w:rsidRPr="008E1510" w:rsidRDefault="007061BD" w:rsidP="001667C6">
      <w:pPr>
        <w:pStyle w:val="ParagraphOED"/>
        <w:numPr>
          <w:ilvl w:val="0"/>
          <w:numId w:val="102"/>
        </w:numPr>
        <w:spacing w:after="160"/>
      </w:pPr>
      <w:r>
        <w:rPr>
          <w:lang w:eastAsia="x-none"/>
        </w:rPr>
        <w:t>Given findings from SHARP</w:t>
      </w:r>
      <w:r w:rsidRPr="008E1510">
        <w:rPr>
          <w:rStyle w:val="FootnoteReference"/>
        </w:rPr>
        <w:footnoteReference w:id="75"/>
      </w:r>
      <w:r>
        <w:rPr>
          <w:lang w:eastAsia="x-none"/>
        </w:rPr>
        <w:t xml:space="preserve"> that</w:t>
      </w:r>
      <w:r w:rsidRPr="008E1510">
        <w:t xml:space="preserve"> the level</w:t>
      </w:r>
      <w:r>
        <w:t>s</w:t>
      </w:r>
      <w:r w:rsidRPr="008E1510">
        <w:t xml:space="preserve"> of social organization </w:t>
      </w:r>
      <w:r>
        <w:t>are</w:t>
      </w:r>
      <w:r w:rsidRPr="008E1510">
        <w:t xml:space="preserve"> very low</w:t>
      </w:r>
      <w:r>
        <w:t xml:space="preserve"> at the intervention sites,</w:t>
      </w:r>
      <w:r w:rsidRPr="008E1510">
        <w:t xml:space="preserve"> the project </w:t>
      </w:r>
      <w:r>
        <w:t>will adopt</w:t>
      </w:r>
      <w:r w:rsidRPr="008E1510">
        <w:t xml:space="preserve"> a step-wise approach and </w:t>
      </w:r>
      <w:r>
        <w:t>reinforce</w:t>
      </w:r>
      <w:r w:rsidRPr="008E1510">
        <w:t xml:space="preserve"> capacity building activities</w:t>
      </w:r>
      <w:r>
        <w:t xml:space="preserve"> with additional measures as appropriate</w:t>
      </w:r>
      <w:r w:rsidRPr="008E1510">
        <w:t xml:space="preserve">. </w:t>
      </w:r>
      <w:r>
        <w:t>T</w:t>
      </w:r>
      <w:r w:rsidRPr="008E1510">
        <w:t>his Out</w:t>
      </w:r>
      <w:r>
        <w:t xml:space="preserve">come deploys </w:t>
      </w:r>
      <w:r w:rsidRPr="008E1510">
        <w:t>tailored package</w:t>
      </w:r>
      <w:r>
        <w:t>s</w:t>
      </w:r>
      <w:r w:rsidRPr="008E1510">
        <w:t xml:space="preserve"> of rural advisory services </w:t>
      </w:r>
      <w:r>
        <w:t>to be</w:t>
      </w:r>
      <w:r w:rsidRPr="008E1510">
        <w:t xml:space="preserve"> rolled out in </w:t>
      </w:r>
      <w:r>
        <w:t xml:space="preserve">the </w:t>
      </w:r>
      <w:r w:rsidRPr="008E1510">
        <w:t xml:space="preserve">selected project intervention sites, replicating the models </w:t>
      </w:r>
      <w:r>
        <w:t xml:space="preserve">generated </w:t>
      </w:r>
      <w:r w:rsidRPr="008E1510">
        <w:t xml:space="preserve">by the following initiatives: </w:t>
      </w:r>
    </w:p>
    <w:p w14:paraId="4EC5AD84" w14:textId="7DF4F9C1" w:rsidR="007061BD" w:rsidRPr="004B0FFB" w:rsidRDefault="007061BD" w:rsidP="00496A95">
      <w:pPr>
        <w:spacing w:before="80"/>
        <w:ind w:left="65"/>
        <w:rPr>
          <w:rFonts w:asciiTheme="minorHAnsi" w:hAnsiTheme="minorHAnsi" w:cstheme="minorBidi"/>
          <w:sz w:val="21"/>
          <w:szCs w:val="21"/>
        </w:rPr>
      </w:pPr>
      <w:r w:rsidRPr="60130418">
        <w:rPr>
          <w:rFonts w:asciiTheme="minorHAnsi" w:hAnsiTheme="minorHAnsi" w:cstheme="minorBidi"/>
          <w:b/>
          <w:sz w:val="21"/>
          <w:szCs w:val="21"/>
        </w:rPr>
        <w:t>Farmer Field Schools / Agro-Pastoral Field Schools (FFSs/APFSs)</w:t>
      </w:r>
      <w:r w:rsidRPr="60130418">
        <w:rPr>
          <w:rFonts w:asciiTheme="minorHAnsi" w:hAnsiTheme="minorHAnsi" w:cstheme="minorBidi"/>
          <w:sz w:val="21"/>
          <w:szCs w:val="21"/>
        </w:rPr>
        <w:t>, which ha</w:t>
      </w:r>
      <w:r w:rsidR="00005359" w:rsidRPr="60130418">
        <w:rPr>
          <w:rFonts w:asciiTheme="minorHAnsi" w:hAnsiTheme="minorHAnsi" w:cstheme="minorBidi"/>
          <w:sz w:val="21"/>
          <w:szCs w:val="21"/>
        </w:rPr>
        <w:t>ve</w:t>
      </w:r>
      <w:r w:rsidRPr="60130418">
        <w:rPr>
          <w:rFonts w:asciiTheme="minorHAnsi" w:hAnsiTheme="minorHAnsi" w:cstheme="minorBidi"/>
          <w:sz w:val="21"/>
          <w:szCs w:val="21"/>
        </w:rPr>
        <w:t xml:space="preserve"> been successfully implemented in Angola for over 10 years. The model brings together a group of farmers or livestock herders (in the latter case, it is often called an APFS) to learn on how to shift towards more sustainable production practices by better understanding complex agro-ecosystems and by enhancing ecosystem services on-farm. In practice, a FFS/APFS group meets regularly during a production cycle, setting up experiments and engaging in hands-on learning to improve skills and knowledge that will help members adapt their methods to their specific context, with technical inputs from advisory services. The model empowers individuals and groups to move towards more sustainable practices and improve livelihoods.</w:t>
      </w:r>
      <w:r w:rsidRPr="60130418">
        <w:rPr>
          <w:rStyle w:val="FootnoteReference"/>
          <w:rFonts w:asciiTheme="minorHAnsi" w:hAnsiTheme="minorHAnsi" w:cstheme="minorBidi"/>
          <w:sz w:val="21"/>
          <w:szCs w:val="21"/>
        </w:rPr>
        <w:footnoteReference w:id="76"/>
      </w:r>
      <w:r w:rsidRPr="3260A9D8">
        <w:rPr>
          <w:rFonts w:asciiTheme="minorHAnsi" w:hAnsiTheme="minorHAnsi" w:cstheme="minorBidi"/>
          <w:sz w:val="21"/>
          <w:szCs w:val="21"/>
        </w:rPr>
        <w:t xml:space="preserve"> </w:t>
      </w:r>
      <w:r w:rsidR="6D2CDFC2" w:rsidRPr="00496A95">
        <w:rPr>
          <w:rFonts w:asciiTheme="minorHAnsi" w:hAnsiTheme="minorHAnsi" w:cstheme="minorBidi"/>
          <w:color w:val="000000" w:themeColor="text1"/>
          <w:sz w:val="21"/>
          <w:szCs w:val="21"/>
          <w:highlight w:val="yellow"/>
        </w:rPr>
        <w:t>Considering the COVID-19 pandemic situation, the project will</w:t>
      </w:r>
      <w:r w:rsidR="4032D357" w:rsidRPr="3260A9D8">
        <w:rPr>
          <w:rFonts w:asciiTheme="minorHAnsi" w:hAnsiTheme="minorHAnsi" w:cstheme="minorBidi"/>
          <w:color w:val="000000" w:themeColor="text1"/>
          <w:sz w:val="21"/>
          <w:szCs w:val="21"/>
        </w:rPr>
        <w:t xml:space="preserve"> implement</w:t>
      </w:r>
      <w:r w:rsidR="6D2CDFC2" w:rsidRPr="00496A95">
        <w:rPr>
          <w:rFonts w:asciiTheme="minorHAnsi" w:hAnsiTheme="minorHAnsi" w:cstheme="minorBidi"/>
          <w:color w:val="000000" w:themeColor="text1"/>
          <w:sz w:val="21"/>
          <w:szCs w:val="21"/>
        </w:rPr>
        <w:t xml:space="preserve"> </w:t>
      </w:r>
      <w:r w:rsidR="7236C434" w:rsidRPr="00496A95">
        <w:rPr>
          <w:rFonts w:asciiTheme="minorHAnsi" w:hAnsiTheme="minorHAnsi" w:cstheme="minorBidi"/>
          <w:color w:val="000000" w:themeColor="text1"/>
          <w:sz w:val="21"/>
          <w:szCs w:val="21"/>
        </w:rPr>
        <w:t xml:space="preserve">FAO’s guidelines </w:t>
      </w:r>
      <w:r w:rsidR="7236C434" w:rsidRPr="00496A95">
        <w:rPr>
          <w:rFonts w:asciiTheme="minorHAnsi" w:hAnsiTheme="minorHAnsi" w:cstheme="minorBidi"/>
          <w:color w:val="000000" w:themeColor="text1"/>
          <w:sz w:val="21"/>
          <w:szCs w:val="21"/>
        </w:rPr>
        <w:lastRenderedPageBreak/>
        <w:t xml:space="preserve">on how to implement FFS in times of COVID-19: </w:t>
      </w:r>
      <w:hyperlink r:id="rId80" w:history="1">
        <w:r w:rsidR="7236C434" w:rsidRPr="3260A9D8">
          <w:rPr>
            <w:rStyle w:val="Hyperlink"/>
            <w:rFonts w:eastAsia="Calibri" w:cs="Calibri"/>
            <w:sz w:val="20"/>
            <w:szCs w:val="20"/>
            <w:highlight w:val="yellow"/>
          </w:rPr>
          <w:t>http://www.fao.org/3/ca9064en/ca9064en.pdf</w:t>
        </w:r>
      </w:hyperlink>
      <w:r w:rsidR="7236C434" w:rsidRPr="00496A95">
        <w:rPr>
          <w:rFonts w:asciiTheme="minorHAnsi" w:hAnsiTheme="minorHAnsi" w:cstheme="minorBidi"/>
          <w:color w:val="000000" w:themeColor="text1"/>
          <w:sz w:val="21"/>
          <w:szCs w:val="21"/>
        </w:rPr>
        <w:t>,</w:t>
      </w:r>
      <w:r w:rsidRPr="60130418">
        <w:rPr>
          <w:rFonts w:asciiTheme="minorHAnsi" w:hAnsiTheme="minorHAnsi" w:cstheme="minorBidi"/>
          <w:b/>
          <w:sz w:val="21"/>
          <w:szCs w:val="21"/>
        </w:rPr>
        <w:t>Forest-Farm Facility (FFF)</w:t>
      </w:r>
      <w:r w:rsidRPr="60130418">
        <w:rPr>
          <w:rFonts w:asciiTheme="minorHAnsi" w:hAnsiTheme="minorHAnsi" w:cstheme="minorBidi"/>
          <w:sz w:val="21"/>
          <w:szCs w:val="21"/>
        </w:rPr>
        <w:t>, which provides direct financial support and technical assistance to strengthen forest and farm producer organizations, representing smallholders, rural women’s groups, local communities and indigenous peoples’ institutions. Collectively, forest and farm producers have the potential to achieve the Sustainable Development Goals and to respond to climate change at landscape scales.</w:t>
      </w:r>
      <w:r w:rsidRPr="60130418">
        <w:rPr>
          <w:rStyle w:val="FootnoteReference"/>
          <w:rFonts w:asciiTheme="minorHAnsi" w:hAnsiTheme="minorHAnsi" w:cstheme="minorBidi"/>
          <w:sz w:val="21"/>
          <w:szCs w:val="21"/>
        </w:rPr>
        <w:footnoteReference w:id="77"/>
      </w:r>
      <w:r w:rsidRPr="60130418">
        <w:rPr>
          <w:rFonts w:asciiTheme="minorHAnsi" w:hAnsiTheme="minorHAnsi" w:cstheme="minorBidi"/>
          <w:sz w:val="21"/>
          <w:szCs w:val="21"/>
        </w:rPr>
        <w:t xml:space="preserve"> The model has not yet been implemented in Angola, but it can potentially raise the potential of FFS and APFS models by introducing </w:t>
      </w:r>
      <w:r w:rsidR="00737657" w:rsidRPr="60130418">
        <w:rPr>
          <w:rFonts w:asciiTheme="minorHAnsi" w:hAnsiTheme="minorHAnsi" w:cstheme="minorBidi"/>
          <w:sz w:val="21"/>
          <w:szCs w:val="21"/>
        </w:rPr>
        <w:t xml:space="preserve">them to the benefits of </w:t>
      </w:r>
      <w:r w:rsidRPr="60130418">
        <w:rPr>
          <w:rFonts w:asciiTheme="minorHAnsi" w:hAnsiTheme="minorHAnsi" w:cstheme="minorBidi"/>
          <w:sz w:val="21"/>
          <w:szCs w:val="21"/>
        </w:rPr>
        <w:t xml:space="preserve"> social organization of production (cooperation) and generat</w:t>
      </w:r>
      <w:r w:rsidR="00737657" w:rsidRPr="60130418">
        <w:rPr>
          <w:rFonts w:asciiTheme="minorHAnsi" w:hAnsiTheme="minorHAnsi" w:cstheme="minorBidi"/>
          <w:sz w:val="21"/>
          <w:szCs w:val="21"/>
        </w:rPr>
        <w:t>ion of</w:t>
      </w:r>
      <w:r w:rsidRPr="60130418">
        <w:rPr>
          <w:rFonts w:asciiTheme="minorHAnsi" w:hAnsiTheme="minorHAnsi" w:cstheme="minorBidi"/>
          <w:sz w:val="21"/>
          <w:szCs w:val="21"/>
        </w:rPr>
        <w:t xml:space="preserve"> locally financed solutions.</w:t>
      </w:r>
    </w:p>
    <w:p w14:paraId="109E8AAE" w14:textId="58E09B3F" w:rsidR="007061BD" w:rsidRPr="004B0FFB" w:rsidRDefault="007061BD" w:rsidP="001667C6">
      <w:pPr>
        <w:pStyle w:val="ListParagraph"/>
        <w:numPr>
          <w:ilvl w:val="0"/>
          <w:numId w:val="101"/>
        </w:numPr>
        <w:spacing w:before="80" w:after="0"/>
        <w:ind w:hanging="295"/>
        <w:contextualSpacing w:val="0"/>
        <w:rPr>
          <w:rFonts w:asciiTheme="minorHAnsi" w:hAnsiTheme="minorHAnsi" w:cstheme="minorBidi"/>
          <w:sz w:val="21"/>
          <w:szCs w:val="21"/>
        </w:rPr>
      </w:pPr>
      <w:r w:rsidRPr="60130418">
        <w:rPr>
          <w:rFonts w:asciiTheme="minorHAnsi" w:hAnsiTheme="minorHAnsi" w:cstheme="minorBidi"/>
          <w:b/>
          <w:sz w:val="21"/>
          <w:szCs w:val="21"/>
        </w:rPr>
        <w:t>Community Seed Banks (CSBs)</w:t>
      </w:r>
      <w:r w:rsidRPr="60130418">
        <w:rPr>
          <w:rFonts w:asciiTheme="minorHAnsi" w:hAnsiTheme="minorHAnsi" w:cstheme="minorBidi"/>
          <w:sz w:val="21"/>
          <w:szCs w:val="21"/>
        </w:rPr>
        <w:t xml:space="preserve">, which will be </w:t>
      </w:r>
      <w:r w:rsidR="00737657" w:rsidRPr="60130418">
        <w:rPr>
          <w:rFonts w:asciiTheme="minorHAnsi" w:hAnsiTheme="minorHAnsi" w:cstheme="minorBidi"/>
          <w:sz w:val="21"/>
          <w:szCs w:val="21"/>
        </w:rPr>
        <w:t xml:space="preserve">implemented in conjunction with both initiatives above and </w:t>
      </w:r>
      <w:r w:rsidRPr="60130418">
        <w:rPr>
          <w:rFonts w:asciiTheme="minorHAnsi" w:hAnsiTheme="minorHAnsi" w:cstheme="minorBidi"/>
          <w:sz w:val="21"/>
          <w:szCs w:val="21"/>
        </w:rPr>
        <w:t>operationalized under Output 2.2.2. CSBs, as promoted by FAO and supported by world-wide experience</w:t>
      </w:r>
      <w:r w:rsidRPr="60130418">
        <w:rPr>
          <w:rStyle w:val="FootnoteReference"/>
          <w:rFonts w:asciiTheme="minorHAnsi" w:hAnsiTheme="minorHAnsi" w:cstheme="minorBidi"/>
          <w:sz w:val="21"/>
          <w:szCs w:val="21"/>
        </w:rPr>
        <w:footnoteReference w:id="78"/>
      </w:r>
      <w:r w:rsidRPr="60130418">
        <w:rPr>
          <w:rFonts w:asciiTheme="minorHAnsi" w:hAnsiTheme="minorHAnsi" w:cstheme="minorBidi"/>
          <w:sz w:val="21"/>
          <w:szCs w:val="21"/>
        </w:rPr>
        <w:t>, are an important means of sustaining agricultural and forestry production, ensuring that seeds from for improved yields and resilient to local conditions are banked for subsequent planting in the following season. This also generates self-sufficiency and reduces costs.</w:t>
      </w:r>
    </w:p>
    <w:p w14:paraId="029ECAF4" w14:textId="00FF89F4" w:rsidR="006470EB" w:rsidRPr="00194716" w:rsidRDefault="006470EB" w:rsidP="00194716">
      <w:pPr>
        <w:pStyle w:val="Heading6"/>
        <w:tabs>
          <w:tab w:val="left" w:pos="1985"/>
        </w:tabs>
        <w:spacing w:before="160" w:after="160"/>
        <w:ind w:hanging="11"/>
        <w:rPr>
          <w:rFonts w:ascii="Calibri" w:hAnsi="Calibri" w:cs="Calibri"/>
          <w:bCs/>
          <w:sz w:val="21"/>
          <w:szCs w:val="21"/>
        </w:rPr>
      </w:pPr>
      <w:r w:rsidRPr="00194716">
        <w:rPr>
          <w:rFonts w:ascii="Calibri" w:hAnsi="Calibri" w:cs="Calibri"/>
          <w:b/>
          <w:bCs/>
          <w:sz w:val="21"/>
          <w:szCs w:val="21"/>
          <w:highlight w:val="lightGray"/>
        </w:rPr>
        <w:t>Output 2.2.1</w:t>
      </w:r>
      <w:r w:rsidRPr="00194716">
        <w:rPr>
          <w:rFonts w:ascii="Calibri" w:hAnsi="Calibri" w:cs="Calibri"/>
          <w:b/>
          <w:bCs/>
          <w:sz w:val="21"/>
          <w:szCs w:val="21"/>
          <w:highlight w:val="lightGray"/>
        </w:rPr>
        <w:tab/>
      </w:r>
      <w:r w:rsidR="004B4100" w:rsidRPr="00194716">
        <w:rPr>
          <w:rFonts w:ascii="Calibri" w:hAnsi="Calibri" w:cs="Calibri"/>
          <w:sz w:val="21"/>
          <w:szCs w:val="21"/>
          <w:highlight w:val="lightGray"/>
        </w:rPr>
        <w:t>G</w:t>
      </w:r>
      <w:r w:rsidR="00D9662C" w:rsidRPr="00194716">
        <w:rPr>
          <w:rFonts w:ascii="Calibri" w:hAnsi="Calibri" w:cs="Calibri"/>
          <w:sz w:val="21"/>
          <w:szCs w:val="21"/>
          <w:highlight w:val="lightGray"/>
        </w:rPr>
        <w:t>ender-sensitive SLM/SFM practices identified/developed and promoted in target landscape</w:t>
      </w:r>
      <w:r w:rsidR="003B2E1A" w:rsidRPr="00194716">
        <w:rPr>
          <w:rFonts w:ascii="Calibri" w:hAnsi="Calibri" w:cs="Calibri"/>
          <w:sz w:val="21"/>
          <w:szCs w:val="21"/>
          <w:highlight w:val="lightGray"/>
        </w:rPr>
        <w:t>s</w:t>
      </w:r>
      <w:r w:rsidR="00940F40" w:rsidRPr="00194716">
        <w:rPr>
          <w:rFonts w:ascii="Calibri" w:hAnsi="Calibri" w:cs="Calibri"/>
          <w:sz w:val="21"/>
          <w:szCs w:val="21"/>
          <w:highlight w:val="lightGray"/>
        </w:rPr>
        <w:t>,</w:t>
      </w:r>
      <w:r w:rsidR="00FA1288" w:rsidRPr="00194716">
        <w:rPr>
          <w:rFonts w:ascii="Calibri" w:hAnsi="Calibri" w:cs="Calibri"/>
          <w:sz w:val="21"/>
          <w:szCs w:val="21"/>
          <w:highlight w:val="lightGray"/>
        </w:rPr>
        <w:t xml:space="preserve"> and</w:t>
      </w:r>
      <w:r w:rsidR="004B4100" w:rsidRPr="00194716">
        <w:rPr>
          <w:rFonts w:ascii="Calibri" w:hAnsi="Calibri" w:cs="Calibri"/>
          <w:sz w:val="21"/>
          <w:szCs w:val="21"/>
          <w:highlight w:val="lightGray"/>
        </w:rPr>
        <w:t xml:space="preserve"> further enhanced </w:t>
      </w:r>
      <w:r w:rsidR="00FA1288" w:rsidRPr="00194716">
        <w:rPr>
          <w:rFonts w:ascii="Calibri" w:hAnsi="Calibri" w:cs="Calibri"/>
          <w:sz w:val="21"/>
          <w:szCs w:val="21"/>
          <w:highlight w:val="lightGray"/>
        </w:rPr>
        <w:t>by strengthen</w:t>
      </w:r>
      <w:r w:rsidR="003B2E1A" w:rsidRPr="00194716">
        <w:rPr>
          <w:rFonts w:ascii="Calibri" w:hAnsi="Calibri" w:cs="Calibri"/>
          <w:sz w:val="21"/>
          <w:szCs w:val="21"/>
          <w:highlight w:val="lightGray"/>
        </w:rPr>
        <w:t>ing</w:t>
      </w:r>
      <w:r w:rsidR="00FA1288" w:rsidRPr="00194716">
        <w:rPr>
          <w:rFonts w:ascii="Calibri" w:hAnsi="Calibri" w:cs="Calibri"/>
          <w:sz w:val="21"/>
          <w:szCs w:val="21"/>
          <w:highlight w:val="lightGray"/>
        </w:rPr>
        <w:t xml:space="preserve"> Farmer</w:t>
      </w:r>
      <w:r w:rsidR="00F673D8" w:rsidRPr="00194716">
        <w:rPr>
          <w:rFonts w:ascii="Calibri" w:hAnsi="Calibri" w:cs="Calibri"/>
          <w:sz w:val="21"/>
          <w:szCs w:val="21"/>
          <w:highlight w:val="lightGray"/>
        </w:rPr>
        <w:t>/Agro-Pastoral</w:t>
      </w:r>
      <w:r w:rsidR="00FA1288" w:rsidRPr="00194716">
        <w:rPr>
          <w:rFonts w:ascii="Calibri" w:hAnsi="Calibri" w:cs="Calibri"/>
          <w:sz w:val="21"/>
          <w:szCs w:val="21"/>
          <w:highlight w:val="lightGray"/>
        </w:rPr>
        <w:t xml:space="preserve"> Field Schools</w:t>
      </w:r>
      <w:r w:rsidR="003B2E1A" w:rsidRPr="00194716">
        <w:rPr>
          <w:rFonts w:ascii="Calibri" w:hAnsi="Calibri" w:cs="Calibri"/>
          <w:sz w:val="21"/>
          <w:szCs w:val="21"/>
          <w:highlight w:val="lightGray"/>
        </w:rPr>
        <w:t xml:space="preserve"> network</w:t>
      </w:r>
    </w:p>
    <w:p w14:paraId="0AA474B7" w14:textId="6082ED6D" w:rsidR="001B645C" w:rsidRPr="00CE1EA7" w:rsidRDefault="001B645C" w:rsidP="001667C6">
      <w:pPr>
        <w:pStyle w:val="ParagraphOED"/>
        <w:numPr>
          <w:ilvl w:val="0"/>
          <w:numId w:val="102"/>
        </w:numPr>
        <w:spacing w:after="160"/>
      </w:pPr>
      <w:r>
        <w:t>Output 2.2.1 will focus on establishing a network of FFSs/</w:t>
      </w:r>
      <w:r w:rsidR="00FA1288">
        <w:t>APFSs</w:t>
      </w:r>
      <w:r>
        <w:t xml:space="preserve"> within the pre-selected LMUs of the target landscapes to support delivery of the interventions within the respective LMUs</w:t>
      </w:r>
      <w:r w:rsidR="00E27561">
        <w:t>,</w:t>
      </w:r>
      <w:r w:rsidR="00BA670A">
        <w:t xml:space="preserve"> through best SLM/SFM practices promoted and fostered </w:t>
      </w:r>
      <w:r w:rsidR="00E27561">
        <w:t>by</w:t>
      </w:r>
      <w:r w:rsidR="00BA670A">
        <w:t xml:space="preserve"> the farm and agro-pastoral field schools</w:t>
      </w:r>
      <w:r>
        <w:t xml:space="preserve">. This will </w:t>
      </w:r>
      <w:r w:rsidR="00BA670A">
        <w:t xml:space="preserve">be </w:t>
      </w:r>
      <w:r>
        <w:t>underpinned by training</w:t>
      </w:r>
      <w:r w:rsidR="00BA670A">
        <w:t>, establish</w:t>
      </w:r>
      <w:r w:rsidR="00620C5E">
        <w:t>ing</w:t>
      </w:r>
      <w:r w:rsidR="00BA670A">
        <w:t xml:space="preserve"> financing mechanisms</w:t>
      </w:r>
      <w:r>
        <w:t xml:space="preserve"> and other forms of capacity </w:t>
      </w:r>
      <w:r w:rsidR="00BA670A">
        <w:t>development identified under Output 2.1.4</w:t>
      </w:r>
      <w:r w:rsidR="00620C5E">
        <w:t>;</w:t>
      </w:r>
      <w:r>
        <w:t xml:space="preserve"> </w:t>
      </w:r>
      <w:r w:rsidR="00620C5E">
        <w:t xml:space="preserve">and </w:t>
      </w:r>
      <w:r>
        <w:t xml:space="preserve">monitoring and evaluating the effectiveness of this network. </w:t>
      </w:r>
    </w:p>
    <w:p w14:paraId="6E86D8D3" w14:textId="3BBE4759" w:rsidR="00B92CD6" w:rsidRPr="00D712C0" w:rsidRDefault="00B92CD6" w:rsidP="4289405B">
      <w:pPr>
        <w:pStyle w:val="ParagraphOED"/>
        <w:numPr>
          <w:ilvl w:val="0"/>
          <w:numId w:val="0"/>
        </w:numPr>
        <w:spacing w:before="160" w:after="80"/>
        <w:rPr>
          <w:b/>
          <w:bCs/>
        </w:rPr>
      </w:pPr>
      <w:r w:rsidRPr="1E65A5F7">
        <w:rPr>
          <w:b/>
          <w:bCs/>
        </w:rPr>
        <w:t>Indicative Activities under Output 2.2.1</w:t>
      </w:r>
    </w:p>
    <w:p w14:paraId="4639126F" w14:textId="6251DB45" w:rsidR="00B92CD6" w:rsidRPr="00C9574E" w:rsidRDefault="00A121CA" w:rsidP="48580380">
      <w:pPr>
        <w:spacing w:before="80"/>
        <w:jc w:val="both"/>
      </w:pPr>
      <w:r w:rsidRPr="48580380">
        <w:rPr>
          <w:rFonts w:ascii="Calibri" w:eastAsia="Calibri" w:hAnsi="Calibri" w:cs="Calibri"/>
          <w:b/>
          <w:sz w:val="21"/>
          <w:szCs w:val="21"/>
        </w:rPr>
        <w:t>U</w:t>
      </w:r>
      <w:r w:rsidR="001B645C" w:rsidRPr="48580380">
        <w:rPr>
          <w:rFonts w:ascii="Calibri" w:eastAsia="Calibri" w:hAnsi="Calibri" w:cs="Calibri"/>
          <w:b/>
          <w:sz w:val="21"/>
          <w:szCs w:val="21"/>
        </w:rPr>
        <w:t xml:space="preserve">p to </w:t>
      </w:r>
      <w:r w:rsidR="00D8218F" w:rsidRPr="48580380">
        <w:rPr>
          <w:rFonts w:ascii="Calibri" w:eastAsia="Calibri" w:hAnsi="Calibri" w:cs="Calibri"/>
          <w:b/>
          <w:sz w:val="21"/>
          <w:szCs w:val="21"/>
        </w:rPr>
        <w:t>1</w:t>
      </w:r>
      <w:r w:rsidR="001B645C" w:rsidRPr="48580380">
        <w:rPr>
          <w:rFonts w:ascii="Calibri" w:eastAsia="Calibri" w:hAnsi="Calibri" w:cs="Calibri"/>
          <w:b/>
          <w:sz w:val="21"/>
          <w:szCs w:val="21"/>
        </w:rPr>
        <w:t>00</w:t>
      </w:r>
      <w:r w:rsidR="00D8218F" w:rsidRPr="48580380">
        <w:rPr>
          <w:rFonts w:ascii="Calibri" w:eastAsia="Calibri" w:hAnsi="Calibri" w:cs="Calibri"/>
          <w:b/>
          <w:sz w:val="21"/>
          <w:szCs w:val="21"/>
        </w:rPr>
        <w:t xml:space="preserve"> (of which around 50 new)</w:t>
      </w:r>
      <w:r w:rsidR="001B645C" w:rsidRPr="48580380">
        <w:rPr>
          <w:rFonts w:ascii="Calibri" w:eastAsia="Calibri" w:hAnsi="Calibri" w:cs="Calibri"/>
          <w:b/>
          <w:sz w:val="21"/>
          <w:szCs w:val="21"/>
        </w:rPr>
        <w:t xml:space="preserve"> FFS</w:t>
      </w:r>
      <w:r w:rsidR="00F673D8" w:rsidRPr="48580380">
        <w:rPr>
          <w:rFonts w:ascii="Calibri" w:eastAsia="Calibri" w:hAnsi="Calibri" w:cs="Calibri"/>
          <w:b/>
          <w:sz w:val="21"/>
          <w:szCs w:val="21"/>
        </w:rPr>
        <w:t>/APFSs</w:t>
      </w:r>
      <w:r w:rsidR="001B645C" w:rsidRPr="48580380">
        <w:rPr>
          <w:rFonts w:ascii="Calibri" w:eastAsia="Calibri" w:hAnsi="Calibri" w:cs="Calibri"/>
          <w:b/>
          <w:sz w:val="21"/>
          <w:szCs w:val="21"/>
        </w:rPr>
        <w:t xml:space="preserve"> </w:t>
      </w:r>
      <w:r w:rsidRPr="48580380">
        <w:rPr>
          <w:rFonts w:ascii="Calibri" w:eastAsia="Calibri" w:hAnsi="Calibri" w:cs="Calibri"/>
          <w:b/>
          <w:sz w:val="21"/>
          <w:szCs w:val="21"/>
        </w:rPr>
        <w:t xml:space="preserve">will be established </w:t>
      </w:r>
      <w:r w:rsidR="001B645C" w:rsidRPr="48580380">
        <w:rPr>
          <w:rFonts w:ascii="Calibri" w:eastAsia="Calibri" w:hAnsi="Calibri" w:cs="Calibri"/>
          <w:b/>
          <w:sz w:val="21"/>
          <w:szCs w:val="21"/>
        </w:rPr>
        <w:t>in the two target landscapes</w:t>
      </w:r>
      <w:r w:rsidR="001B645C" w:rsidRPr="48580380">
        <w:rPr>
          <w:rFonts w:ascii="Calibri" w:eastAsia="Calibri" w:hAnsi="Calibri" w:cs="Calibri"/>
          <w:sz w:val="21"/>
          <w:szCs w:val="21"/>
        </w:rPr>
        <w:t>, taking into account locations planned under Output 2.2.2 to establish CSBs</w:t>
      </w:r>
      <w:r w:rsidR="00620C5E" w:rsidRPr="48580380">
        <w:rPr>
          <w:rFonts w:ascii="Calibri" w:eastAsia="Calibri" w:hAnsi="Calibri" w:cs="Calibri"/>
          <w:sz w:val="21"/>
          <w:szCs w:val="21"/>
        </w:rPr>
        <w:t xml:space="preserve"> and other Forest-Farm Facilities</w:t>
      </w:r>
      <w:r w:rsidR="001B645C" w:rsidRPr="48580380">
        <w:rPr>
          <w:rFonts w:ascii="Calibri" w:eastAsia="Calibri" w:hAnsi="Calibri" w:cs="Calibri"/>
          <w:sz w:val="21"/>
          <w:szCs w:val="21"/>
        </w:rPr>
        <w:t>. Precise combinations of FFSs and FFFs will be decided during project inception</w:t>
      </w:r>
      <w:r w:rsidR="00620C5E" w:rsidRPr="48580380">
        <w:rPr>
          <w:rFonts w:ascii="Calibri" w:eastAsia="Calibri" w:hAnsi="Calibri" w:cs="Calibri"/>
          <w:sz w:val="21"/>
          <w:szCs w:val="21"/>
        </w:rPr>
        <w:t xml:space="preserve"> and thereafter as implementation progresses</w:t>
      </w:r>
      <w:r w:rsidR="001B645C" w:rsidRPr="48580380">
        <w:rPr>
          <w:rFonts w:ascii="Calibri" w:eastAsia="Calibri" w:hAnsi="Calibri" w:cs="Calibri"/>
          <w:sz w:val="21"/>
          <w:szCs w:val="21"/>
        </w:rPr>
        <w:t xml:space="preserve">. </w:t>
      </w:r>
      <w:r w:rsidR="001B645C" w:rsidRPr="4E0EBEE2">
        <w:rPr>
          <w:rFonts w:ascii="Calibri" w:eastAsia="Calibri" w:hAnsi="Calibri" w:cs="Calibri"/>
          <w:sz w:val="21"/>
          <w:szCs w:val="21"/>
        </w:rPr>
        <w:t xml:space="preserve">FFS </w:t>
      </w:r>
      <w:r w:rsidR="24AC0147" w:rsidRPr="4289405B">
        <w:rPr>
          <w:rFonts w:ascii="Calibri" w:eastAsia="Calibri" w:hAnsi="Calibri" w:cs="Calibri"/>
          <w:sz w:val="21"/>
          <w:szCs w:val="21"/>
        </w:rPr>
        <w:t xml:space="preserve">Master Trainers </w:t>
      </w:r>
      <w:r w:rsidR="001B645C" w:rsidRPr="48580380">
        <w:rPr>
          <w:rFonts w:ascii="Calibri" w:eastAsia="Calibri" w:hAnsi="Calibri" w:cs="Calibri"/>
          <w:sz w:val="21"/>
          <w:szCs w:val="21"/>
        </w:rPr>
        <w:t xml:space="preserve"> will be selected </w:t>
      </w:r>
      <w:r w:rsidR="6280E39E" w:rsidRPr="4289405B">
        <w:rPr>
          <w:rFonts w:ascii="Calibri" w:eastAsia="Calibri" w:hAnsi="Calibri" w:cs="Calibri"/>
          <w:sz w:val="21"/>
          <w:szCs w:val="21"/>
        </w:rPr>
        <w:t xml:space="preserve">from </w:t>
      </w:r>
      <w:r w:rsidR="001B645C" w:rsidRPr="48580380">
        <w:rPr>
          <w:rFonts w:ascii="Calibri" w:eastAsia="Calibri" w:hAnsi="Calibri" w:cs="Calibri"/>
          <w:sz w:val="21"/>
          <w:szCs w:val="21"/>
        </w:rPr>
        <w:t xml:space="preserve">extension agents </w:t>
      </w:r>
      <w:r w:rsidR="5A0AF9DF" w:rsidRPr="4289405B">
        <w:rPr>
          <w:rFonts w:ascii="Calibri" w:eastAsia="Calibri" w:hAnsi="Calibri" w:cs="Calibri"/>
          <w:sz w:val="21"/>
          <w:szCs w:val="21"/>
        </w:rPr>
        <w:t>being part of</w:t>
      </w:r>
      <w:r w:rsidR="001B645C" w:rsidRPr="48580380">
        <w:rPr>
          <w:rFonts w:ascii="Calibri" w:eastAsia="Calibri" w:hAnsi="Calibri" w:cs="Calibri"/>
          <w:sz w:val="21"/>
          <w:szCs w:val="21"/>
        </w:rPr>
        <w:t xml:space="preserve"> the Institute of Agrarian Development (IDA) - agriculture, livestock or environment/forest services</w:t>
      </w:r>
      <w:r w:rsidR="339CF870" w:rsidRPr="4289405B">
        <w:rPr>
          <w:rFonts w:ascii="Calibri" w:eastAsia="Calibri" w:hAnsi="Calibri" w:cs="Calibri"/>
          <w:sz w:val="21"/>
          <w:szCs w:val="21"/>
        </w:rPr>
        <w:t>. Additionally, FFS facilitators will be selected</w:t>
      </w:r>
      <w:r w:rsidR="001B645C" w:rsidRPr="48580380">
        <w:rPr>
          <w:rFonts w:ascii="Calibri" w:eastAsia="Calibri" w:hAnsi="Calibri" w:cs="Calibri"/>
          <w:sz w:val="21"/>
          <w:szCs w:val="21"/>
        </w:rPr>
        <w:t xml:space="preserve"> farmers with some facilitation experience, such as lead farmers or farmers from an agricultural organization. The latter can be trained, backstopped and coached by Master </w:t>
      </w:r>
      <w:r w:rsidR="00620C5E" w:rsidRPr="48580380">
        <w:rPr>
          <w:rFonts w:ascii="Calibri" w:eastAsia="Calibri" w:hAnsi="Calibri" w:cs="Calibri"/>
          <w:sz w:val="21"/>
          <w:szCs w:val="21"/>
        </w:rPr>
        <w:t>T</w:t>
      </w:r>
      <w:r w:rsidR="001B645C" w:rsidRPr="48580380">
        <w:rPr>
          <w:rFonts w:ascii="Calibri" w:eastAsia="Calibri" w:hAnsi="Calibri" w:cs="Calibri"/>
          <w:sz w:val="21"/>
          <w:szCs w:val="21"/>
        </w:rPr>
        <w:t xml:space="preserve">rainers throughout FFS implementation. </w:t>
      </w:r>
      <w:r w:rsidR="00065C78" w:rsidRPr="00C82361">
        <w:rPr>
          <w:rFonts w:ascii="Calibri" w:eastAsia="Calibri" w:hAnsi="Calibri" w:cs="Calibri"/>
          <w:sz w:val="21"/>
          <w:szCs w:val="21"/>
          <w:highlight w:val="yellow"/>
        </w:rPr>
        <w:t xml:space="preserve">The project </w:t>
      </w:r>
      <w:r w:rsidR="00DA056E" w:rsidRPr="00C82361">
        <w:rPr>
          <w:rFonts w:ascii="Calibri" w:eastAsia="Calibri" w:hAnsi="Calibri" w:cs="Calibri"/>
          <w:sz w:val="21"/>
          <w:szCs w:val="21"/>
          <w:highlight w:val="yellow"/>
        </w:rPr>
        <w:t xml:space="preserve">will leverage on existing </w:t>
      </w:r>
      <w:r w:rsidR="004E1F00" w:rsidRPr="00C82361">
        <w:rPr>
          <w:rFonts w:ascii="Calibri" w:eastAsia="Calibri" w:hAnsi="Calibri" w:cs="Calibri"/>
          <w:sz w:val="21"/>
          <w:szCs w:val="21"/>
          <w:highlight w:val="yellow"/>
        </w:rPr>
        <w:t xml:space="preserve">FFS structures </w:t>
      </w:r>
      <w:r w:rsidR="00480ACB" w:rsidRPr="00C82361">
        <w:rPr>
          <w:rFonts w:ascii="Calibri" w:eastAsia="Calibri" w:hAnsi="Calibri" w:cs="Calibri"/>
          <w:sz w:val="21"/>
          <w:szCs w:val="21"/>
          <w:highlight w:val="yellow"/>
        </w:rPr>
        <w:t xml:space="preserve">in Cunene Province where only re-fresher </w:t>
      </w:r>
      <w:r w:rsidR="002E6514" w:rsidRPr="00C82361">
        <w:rPr>
          <w:rFonts w:ascii="Calibri" w:eastAsia="Calibri" w:hAnsi="Calibri" w:cs="Calibri"/>
          <w:sz w:val="21"/>
          <w:szCs w:val="21"/>
          <w:highlight w:val="yellow"/>
        </w:rPr>
        <w:t xml:space="preserve">trainings on project related SLM/SFM </w:t>
      </w:r>
      <w:r w:rsidR="00C82361">
        <w:rPr>
          <w:rFonts w:ascii="Calibri" w:eastAsia="Calibri" w:hAnsi="Calibri" w:cs="Calibri"/>
          <w:sz w:val="21"/>
          <w:szCs w:val="21"/>
          <w:highlight w:val="yellow"/>
        </w:rPr>
        <w:t>practices</w:t>
      </w:r>
      <w:r w:rsidR="002E6514" w:rsidRPr="00C82361">
        <w:rPr>
          <w:rFonts w:ascii="Calibri" w:eastAsia="Calibri" w:hAnsi="Calibri" w:cs="Calibri"/>
          <w:sz w:val="21"/>
          <w:szCs w:val="21"/>
          <w:highlight w:val="yellow"/>
        </w:rPr>
        <w:t xml:space="preserve"> are required. </w:t>
      </w:r>
      <w:r w:rsidR="00E157B8" w:rsidRPr="00C82361">
        <w:rPr>
          <w:rFonts w:ascii="Calibri" w:eastAsia="Calibri" w:hAnsi="Calibri" w:cs="Calibri"/>
          <w:sz w:val="21"/>
          <w:szCs w:val="21"/>
          <w:highlight w:val="yellow"/>
        </w:rPr>
        <w:t xml:space="preserve">In contrary, </w:t>
      </w:r>
      <w:r w:rsidR="00845CE7" w:rsidRPr="00C82361">
        <w:rPr>
          <w:rFonts w:ascii="Calibri" w:eastAsia="Calibri" w:hAnsi="Calibri" w:cs="Calibri"/>
          <w:sz w:val="21"/>
          <w:szCs w:val="21"/>
          <w:highlight w:val="yellow"/>
        </w:rPr>
        <w:t xml:space="preserve">the project will establish a full </w:t>
      </w:r>
      <w:r w:rsidR="00E83E3C" w:rsidRPr="00C82361">
        <w:rPr>
          <w:rFonts w:ascii="Calibri" w:eastAsia="Calibri" w:hAnsi="Calibri" w:cs="Calibri"/>
          <w:sz w:val="21"/>
          <w:szCs w:val="21"/>
          <w:highlight w:val="yellow"/>
        </w:rPr>
        <w:t xml:space="preserve">Master </w:t>
      </w:r>
      <w:r w:rsidR="39FC7EC7" w:rsidRPr="00C82361">
        <w:rPr>
          <w:rFonts w:ascii="Calibri" w:eastAsia="Calibri" w:hAnsi="Calibri" w:cs="Calibri"/>
          <w:sz w:val="21"/>
          <w:szCs w:val="21"/>
          <w:highlight w:val="yellow"/>
        </w:rPr>
        <w:t xml:space="preserve">and </w:t>
      </w:r>
      <w:r w:rsidR="00E83E3C" w:rsidRPr="00C82361">
        <w:rPr>
          <w:rFonts w:ascii="Calibri" w:eastAsia="Calibri" w:hAnsi="Calibri" w:cs="Calibri"/>
          <w:sz w:val="21"/>
          <w:szCs w:val="21"/>
          <w:highlight w:val="yellow"/>
        </w:rPr>
        <w:t>Facilitator</w:t>
      </w:r>
      <w:r w:rsidR="39FC7EC7" w:rsidRPr="00C82361">
        <w:rPr>
          <w:rFonts w:ascii="Calibri" w:eastAsia="Calibri" w:hAnsi="Calibri" w:cs="Calibri"/>
          <w:sz w:val="21"/>
          <w:szCs w:val="21"/>
          <w:highlight w:val="yellow"/>
        </w:rPr>
        <w:t xml:space="preserve"> capacity </w:t>
      </w:r>
      <w:r w:rsidR="00A25F07" w:rsidRPr="00C82361">
        <w:rPr>
          <w:rFonts w:ascii="Calibri" w:eastAsia="Calibri" w:hAnsi="Calibri" w:cs="Calibri"/>
          <w:sz w:val="21"/>
          <w:szCs w:val="21"/>
          <w:highlight w:val="yellow"/>
        </w:rPr>
        <w:t>training</w:t>
      </w:r>
      <w:r w:rsidR="39FC7EC7" w:rsidRPr="00C82361">
        <w:rPr>
          <w:rFonts w:ascii="Calibri" w:eastAsia="Calibri" w:hAnsi="Calibri" w:cs="Calibri"/>
          <w:sz w:val="21"/>
          <w:szCs w:val="21"/>
          <w:highlight w:val="yellow"/>
        </w:rPr>
        <w:t xml:space="preserve"> program</w:t>
      </w:r>
      <w:r w:rsidR="00A25F07" w:rsidRPr="00C82361">
        <w:rPr>
          <w:rFonts w:ascii="Calibri" w:eastAsia="Calibri" w:hAnsi="Calibri" w:cs="Calibri"/>
          <w:sz w:val="21"/>
          <w:szCs w:val="21"/>
          <w:highlight w:val="yellow"/>
        </w:rPr>
        <w:t xml:space="preserve"> </w:t>
      </w:r>
      <w:r w:rsidR="00AF754F" w:rsidRPr="00C82361">
        <w:rPr>
          <w:rFonts w:ascii="Calibri" w:eastAsia="Calibri" w:hAnsi="Calibri" w:cs="Calibri"/>
          <w:sz w:val="21"/>
          <w:szCs w:val="21"/>
          <w:highlight w:val="yellow"/>
        </w:rPr>
        <w:t xml:space="preserve">jointly with IDA </w:t>
      </w:r>
      <w:r w:rsidR="00A25F07" w:rsidRPr="00C82361">
        <w:rPr>
          <w:rFonts w:ascii="Calibri" w:eastAsia="Calibri" w:hAnsi="Calibri" w:cs="Calibri"/>
          <w:sz w:val="21"/>
          <w:szCs w:val="21"/>
          <w:highlight w:val="yellow"/>
        </w:rPr>
        <w:t>in</w:t>
      </w:r>
      <w:r w:rsidR="39FC7EC7" w:rsidRPr="00C82361">
        <w:rPr>
          <w:rFonts w:ascii="Calibri" w:eastAsia="Calibri" w:hAnsi="Calibri" w:cs="Calibri"/>
          <w:sz w:val="21"/>
          <w:szCs w:val="21"/>
          <w:highlight w:val="yellow"/>
        </w:rPr>
        <w:t xml:space="preserve"> Cuando Cuvango, </w:t>
      </w:r>
      <w:r w:rsidR="006D7E11" w:rsidRPr="00C82361">
        <w:rPr>
          <w:rFonts w:ascii="Calibri" w:eastAsia="Calibri" w:hAnsi="Calibri" w:cs="Calibri"/>
          <w:sz w:val="21"/>
          <w:szCs w:val="21"/>
          <w:highlight w:val="yellow"/>
        </w:rPr>
        <w:t>where no</w:t>
      </w:r>
      <w:r w:rsidR="2CD97D75" w:rsidRPr="00C82361">
        <w:rPr>
          <w:rFonts w:ascii="Calibri" w:eastAsia="Calibri" w:hAnsi="Calibri" w:cs="Calibri"/>
          <w:sz w:val="21"/>
          <w:szCs w:val="21"/>
          <w:highlight w:val="yellow"/>
        </w:rPr>
        <w:t xml:space="preserve"> </w:t>
      </w:r>
      <w:r w:rsidR="3C4E843D" w:rsidRPr="00C82361">
        <w:rPr>
          <w:rFonts w:ascii="Calibri" w:eastAsia="Calibri" w:hAnsi="Calibri" w:cs="Calibri"/>
          <w:sz w:val="21"/>
          <w:szCs w:val="21"/>
          <w:highlight w:val="yellow"/>
        </w:rPr>
        <w:t xml:space="preserve">FFS </w:t>
      </w:r>
      <w:r w:rsidR="006D7E11" w:rsidRPr="00C82361">
        <w:rPr>
          <w:rFonts w:ascii="Calibri" w:eastAsia="Calibri" w:hAnsi="Calibri" w:cs="Calibri"/>
          <w:sz w:val="21"/>
          <w:szCs w:val="21"/>
          <w:highlight w:val="yellow"/>
        </w:rPr>
        <w:t>are active</w:t>
      </w:r>
      <w:r w:rsidR="006D7E11">
        <w:rPr>
          <w:rFonts w:ascii="Calibri" w:eastAsia="Calibri" w:hAnsi="Calibri" w:cs="Calibri"/>
          <w:sz w:val="21"/>
          <w:szCs w:val="21"/>
        </w:rPr>
        <w:t>.</w:t>
      </w:r>
      <w:r w:rsidR="001B645C" w:rsidRPr="4E0EBEE2">
        <w:rPr>
          <w:rFonts w:ascii="Calibri" w:eastAsia="Calibri" w:hAnsi="Calibri" w:cs="Calibri"/>
          <w:sz w:val="21"/>
          <w:szCs w:val="21"/>
        </w:rPr>
        <w:t xml:space="preserve"> </w:t>
      </w:r>
      <w:r w:rsidRPr="48580380">
        <w:rPr>
          <w:rFonts w:ascii="Calibri" w:eastAsia="Calibri" w:hAnsi="Calibri" w:cs="Calibri"/>
          <w:sz w:val="21"/>
          <w:szCs w:val="21"/>
        </w:rPr>
        <w:t>Activities</w:t>
      </w:r>
      <w:r w:rsidR="001B645C" w:rsidRPr="48580380">
        <w:rPr>
          <w:rFonts w:ascii="Calibri" w:eastAsia="Calibri" w:hAnsi="Calibri" w:cs="Calibri"/>
          <w:sz w:val="21"/>
          <w:szCs w:val="21"/>
        </w:rPr>
        <w:t xml:space="preserve"> involved in establishing </w:t>
      </w:r>
      <w:r w:rsidR="00965C8C" w:rsidRPr="48580380">
        <w:rPr>
          <w:rFonts w:ascii="Calibri" w:eastAsia="Calibri" w:hAnsi="Calibri" w:cs="Calibri"/>
          <w:sz w:val="21"/>
          <w:szCs w:val="21"/>
        </w:rPr>
        <w:t xml:space="preserve">and institutionalizing </w:t>
      </w:r>
      <w:r w:rsidR="001B645C" w:rsidRPr="48580380">
        <w:rPr>
          <w:rFonts w:ascii="Calibri" w:eastAsia="Calibri" w:hAnsi="Calibri" w:cs="Calibri"/>
          <w:sz w:val="21"/>
          <w:szCs w:val="21"/>
        </w:rPr>
        <w:t>FFSs/FFFs include:</w:t>
      </w:r>
    </w:p>
    <w:p w14:paraId="61FBE40B" w14:textId="686B2ECD" w:rsidR="00965C8C" w:rsidRPr="00D61605" w:rsidRDefault="00965C8C" w:rsidP="001667C6">
      <w:pPr>
        <w:pStyle w:val="ListParagraph"/>
        <w:numPr>
          <w:ilvl w:val="0"/>
          <w:numId w:val="60"/>
        </w:numPr>
        <w:spacing w:before="80" w:after="0"/>
        <w:contextualSpacing w:val="0"/>
        <w:rPr>
          <w:sz w:val="21"/>
          <w:szCs w:val="21"/>
        </w:rPr>
      </w:pPr>
      <w:r w:rsidRPr="0031326D">
        <w:rPr>
          <w:b/>
          <w:bCs/>
          <w:sz w:val="21"/>
          <w:szCs w:val="21"/>
        </w:rPr>
        <w:t>Determin</w:t>
      </w:r>
      <w:r w:rsidR="00A121CA">
        <w:rPr>
          <w:b/>
          <w:bCs/>
          <w:sz w:val="21"/>
          <w:szCs w:val="21"/>
        </w:rPr>
        <w:t>e</w:t>
      </w:r>
      <w:r w:rsidRPr="0031326D">
        <w:rPr>
          <w:b/>
          <w:bCs/>
          <w:sz w:val="21"/>
          <w:szCs w:val="21"/>
        </w:rPr>
        <w:t xml:space="preserve"> FFS/APFS locations in the project intervention sites (LMUs), </w:t>
      </w:r>
      <w:r w:rsidRPr="00D61605">
        <w:rPr>
          <w:sz w:val="21"/>
          <w:szCs w:val="21"/>
        </w:rPr>
        <w:t xml:space="preserve">which can be </w:t>
      </w:r>
      <w:r w:rsidR="00A121CA">
        <w:rPr>
          <w:sz w:val="21"/>
          <w:szCs w:val="21"/>
        </w:rPr>
        <w:t xml:space="preserve">classified </w:t>
      </w:r>
      <w:r w:rsidRPr="00D61605">
        <w:rPr>
          <w:sz w:val="21"/>
          <w:szCs w:val="21"/>
        </w:rPr>
        <w:t>according to land-use system (refer to Table 6). Determination should take into account the ILUP underway (or about to start) under Output 2.1.1 and location of FFFs and CSBs under Output 2.2.2.</w:t>
      </w:r>
      <w:r w:rsidR="2C459CDF" w:rsidRPr="48580380">
        <w:rPr>
          <w:sz w:val="21"/>
          <w:szCs w:val="21"/>
        </w:rPr>
        <w:t xml:space="preserve"> In Sub-</w:t>
      </w:r>
      <w:r w:rsidR="61F49DBF" w:rsidRPr="48580380">
        <w:rPr>
          <w:sz w:val="21"/>
          <w:szCs w:val="21"/>
        </w:rPr>
        <w:t>basin</w:t>
      </w:r>
      <w:r w:rsidR="2C459CDF" w:rsidRPr="48580380">
        <w:rPr>
          <w:sz w:val="21"/>
          <w:szCs w:val="21"/>
        </w:rPr>
        <w:t xml:space="preserve"> 1, FFS will be newly created as there is not ongoing FFS programs in </w:t>
      </w:r>
      <w:r w:rsidR="4CA7B310" w:rsidRPr="48580380">
        <w:rPr>
          <w:sz w:val="21"/>
          <w:szCs w:val="21"/>
        </w:rPr>
        <w:t xml:space="preserve">that area. </w:t>
      </w:r>
      <w:r w:rsidR="0DEB0154" w:rsidRPr="48580380">
        <w:rPr>
          <w:sz w:val="21"/>
          <w:szCs w:val="21"/>
        </w:rPr>
        <w:t>However,</w:t>
      </w:r>
      <w:r w:rsidR="4CA7B310" w:rsidRPr="48580380">
        <w:rPr>
          <w:sz w:val="21"/>
          <w:szCs w:val="21"/>
        </w:rPr>
        <w:t xml:space="preserve"> in Sub-</w:t>
      </w:r>
      <w:r w:rsidR="189C8230" w:rsidRPr="48580380">
        <w:rPr>
          <w:sz w:val="21"/>
          <w:szCs w:val="21"/>
        </w:rPr>
        <w:t>basin</w:t>
      </w:r>
      <w:r w:rsidR="4CA7B310" w:rsidRPr="48580380">
        <w:rPr>
          <w:sz w:val="21"/>
          <w:szCs w:val="21"/>
        </w:rPr>
        <w:t xml:space="preserve"> 2, the project will benefit existing </w:t>
      </w:r>
      <w:r w:rsidR="5D1E5C6A" w:rsidRPr="48580380">
        <w:rPr>
          <w:sz w:val="21"/>
          <w:szCs w:val="21"/>
        </w:rPr>
        <w:t xml:space="preserve">FFSs to reinforce SLM/SFM </w:t>
      </w:r>
      <w:r w:rsidR="44611F35" w:rsidRPr="48580380">
        <w:rPr>
          <w:sz w:val="21"/>
          <w:szCs w:val="21"/>
        </w:rPr>
        <w:t>approach</w:t>
      </w:r>
      <w:r w:rsidR="5D1E5C6A" w:rsidRPr="48580380">
        <w:rPr>
          <w:sz w:val="21"/>
          <w:szCs w:val="21"/>
        </w:rPr>
        <w:t xml:space="preserve"> </w:t>
      </w:r>
      <w:r w:rsidR="42E20B3D" w:rsidRPr="48580380">
        <w:rPr>
          <w:sz w:val="21"/>
          <w:szCs w:val="21"/>
        </w:rPr>
        <w:t>throughout</w:t>
      </w:r>
      <w:r w:rsidR="5D1E5C6A" w:rsidRPr="48580380">
        <w:rPr>
          <w:sz w:val="21"/>
          <w:szCs w:val="21"/>
        </w:rPr>
        <w:t xml:space="preserve"> their curricula.</w:t>
      </w:r>
    </w:p>
    <w:p w14:paraId="7C2219AC" w14:textId="53BEDAB4" w:rsidR="009563B4" w:rsidRPr="00D61605" w:rsidRDefault="009563B4" w:rsidP="001667C6">
      <w:pPr>
        <w:pStyle w:val="ListParagraph"/>
        <w:numPr>
          <w:ilvl w:val="0"/>
          <w:numId w:val="60"/>
        </w:numPr>
        <w:spacing w:before="80" w:after="0"/>
        <w:rPr>
          <w:sz w:val="21"/>
          <w:szCs w:val="21"/>
        </w:rPr>
      </w:pPr>
      <w:r w:rsidRPr="00965C8C">
        <w:rPr>
          <w:b/>
          <w:bCs/>
          <w:sz w:val="21"/>
          <w:szCs w:val="21"/>
        </w:rPr>
        <w:t>Prepar</w:t>
      </w:r>
      <w:r w:rsidR="00A121CA">
        <w:rPr>
          <w:b/>
          <w:bCs/>
          <w:sz w:val="21"/>
          <w:szCs w:val="21"/>
        </w:rPr>
        <w:t>e</w:t>
      </w:r>
      <w:r w:rsidRPr="00965C8C">
        <w:rPr>
          <w:b/>
          <w:bCs/>
          <w:sz w:val="21"/>
          <w:szCs w:val="21"/>
        </w:rPr>
        <w:t xml:space="preserve"> </w:t>
      </w:r>
      <w:r w:rsidR="001B645C" w:rsidRPr="00965C8C">
        <w:rPr>
          <w:b/>
          <w:bCs/>
          <w:sz w:val="21"/>
          <w:szCs w:val="21"/>
        </w:rPr>
        <w:t xml:space="preserve">a </w:t>
      </w:r>
      <w:r w:rsidR="00965C8C">
        <w:rPr>
          <w:b/>
          <w:bCs/>
          <w:sz w:val="21"/>
          <w:szCs w:val="21"/>
        </w:rPr>
        <w:t xml:space="preserve">FFS/APFS </w:t>
      </w:r>
      <w:r w:rsidR="001B645C" w:rsidRPr="00965C8C">
        <w:rPr>
          <w:b/>
          <w:bCs/>
          <w:sz w:val="21"/>
          <w:szCs w:val="21"/>
        </w:rPr>
        <w:t>Strategy and A</w:t>
      </w:r>
      <w:r w:rsidRPr="00965C8C">
        <w:rPr>
          <w:b/>
          <w:bCs/>
          <w:sz w:val="21"/>
          <w:szCs w:val="21"/>
        </w:rPr>
        <w:t xml:space="preserve">ction </w:t>
      </w:r>
      <w:r w:rsidR="001B645C" w:rsidRPr="00965C8C">
        <w:rPr>
          <w:b/>
          <w:bCs/>
          <w:sz w:val="21"/>
          <w:szCs w:val="21"/>
        </w:rPr>
        <w:t>P</w:t>
      </w:r>
      <w:r w:rsidRPr="00965C8C">
        <w:rPr>
          <w:b/>
          <w:bCs/>
          <w:sz w:val="21"/>
          <w:szCs w:val="21"/>
        </w:rPr>
        <w:t>lan</w:t>
      </w:r>
      <w:r w:rsidR="001B645C" w:rsidRPr="00965C8C">
        <w:rPr>
          <w:b/>
          <w:bCs/>
          <w:sz w:val="21"/>
          <w:szCs w:val="21"/>
        </w:rPr>
        <w:t xml:space="preserve"> for each target landscape</w:t>
      </w:r>
      <w:r w:rsidR="001B645C" w:rsidRPr="0031326D">
        <w:rPr>
          <w:b/>
          <w:bCs/>
          <w:sz w:val="21"/>
          <w:szCs w:val="21"/>
        </w:rPr>
        <w:t xml:space="preserve">, </w:t>
      </w:r>
      <w:r w:rsidR="001B645C" w:rsidRPr="00D61605">
        <w:rPr>
          <w:sz w:val="21"/>
          <w:szCs w:val="21"/>
        </w:rPr>
        <w:t>the latter revised annually, for the creation of this network of farmer</w:t>
      </w:r>
      <w:r w:rsidR="00522A36" w:rsidRPr="00D61605">
        <w:rPr>
          <w:sz w:val="21"/>
          <w:szCs w:val="21"/>
        </w:rPr>
        <w:t>/agro-pastoral</w:t>
      </w:r>
      <w:r w:rsidR="001B645C" w:rsidRPr="00D61605">
        <w:rPr>
          <w:sz w:val="21"/>
          <w:szCs w:val="21"/>
        </w:rPr>
        <w:t xml:space="preserve"> </w:t>
      </w:r>
      <w:r w:rsidR="00522A36" w:rsidRPr="00D61605">
        <w:rPr>
          <w:sz w:val="21"/>
          <w:szCs w:val="21"/>
        </w:rPr>
        <w:t xml:space="preserve">field </w:t>
      </w:r>
      <w:r w:rsidR="001B645C" w:rsidRPr="00D61605">
        <w:rPr>
          <w:sz w:val="21"/>
          <w:szCs w:val="21"/>
        </w:rPr>
        <w:t>schools, with details of their respective work plans in relation to LMU interventions</w:t>
      </w:r>
      <w:r w:rsidR="004713D3" w:rsidRPr="00D61605">
        <w:rPr>
          <w:sz w:val="21"/>
          <w:szCs w:val="21"/>
        </w:rPr>
        <w:t xml:space="preserve"> and</w:t>
      </w:r>
      <w:r w:rsidR="001B645C" w:rsidRPr="00D61605">
        <w:rPr>
          <w:sz w:val="21"/>
          <w:szCs w:val="21"/>
        </w:rPr>
        <w:t xml:space="preserve"> requirements for </w:t>
      </w:r>
      <w:r w:rsidR="004713D3" w:rsidRPr="00D61605">
        <w:rPr>
          <w:sz w:val="21"/>
          <w:szCs w:val="21"/>
        </w:rPr>
        <w:t xml:space="preserve">capacity development, including </w:t>
      </w:r>
      <w:r w:rsidR="001B645C" w:rsidRPr="00D61605">
        <w:rPr>
          <w:sz w:val="21"/>
          <w:szCs w:val="21"/>
        </w:rPr>
        <w:t>technical assistance</w:t>
      </w:r>
      <w:r w:rsidR="004713D3" w:rsidRPr="00D61605">
        <w:rPr>
          <w:sz w:val="21"/>
          <w:szCs w:val="21"/>
        </w:rPr>
        <w:t>, training, financial investments</w:t>
      </w:r>
      <w:r w:rsidR="001B645C" w:rsidRPr="00D61605">
        <w:rPr>
          <w:sz w:val="21"/>
          <w:szCs w:val="21"/>
        </w:rPr>
        <w:t xml:space="preserve"> and other resources. </w:t>
      </w:r>
      <w:r w:rsidR="00480C12" w:rsidRPr="00D61605">
        <w:rPr>
          <w:sz w:val="21"/>
          <w:szCs w:val="21"/>
        </w:rPr>
        <w:t xml:space="preserve">This Strategy </w:t>
      </w:r>
      <w:r w:rsidR="00C27022" w:rsidRPr="00D61605">
        <w:rPr>
          <w:sz w:val="21"/>
          <w:szCs w:val="21"/>
        </w:rPr>
        <w:t xml:space="preserve">and Action Plan </w:t>
      </w:r>
      <w:r w:rsidR="00480C12" w:rsidRPr="00D61605">
        <w:rPr>
          <w:sz w:val="21"/>
          <w:szCs w:val="21"/>
        </w:rPr>
        <w:t>should be jointly developed with those implementing Output 2.2.2</w:t>
      </w:r>
      <w:r w:rsidR="00C27022" w:rsidRPr="00D61605">
        <w:rPr>
          <w:sz w:val="21"/>
          <w:szCs w:val="21"/>
        </w:rPr>
        <w:t xml:space="preserve"> in order to incoprate </w:t>
      </w:r>
      <w:r w:rsidR="00480C12" w:rsidRPr="00D61605">
        <w:rPr>
          <w:sz w:val="21"/>
          <w:szCs w:val="21"/>
        </w:rPr>
        <w:t>FFFs</w:t>
      </w:r>
      <w:r w:rsidR="00C27022" w:rsidRPr="00D61605">
        <w:rPr>
          <w:sz w:val="21"/>
          <w:szCs w:val="21"/>
        </w:rPr>
        <w:t xml:space="preserve">, </w:t>
      </w:r>
      <w:r w:rsidR="00480C12" w:rsidRPr="00D61605">
        <w:rPr>
          <w:sz w:val="21"/>
          <w:szCs w:val="21"/>
        </w:rPr>
        <w:t>such as CSBs</w:t>
      </w:r>
      <w:r w:rsidR="00C27022" w:rsidRPr="00D61605">
        <w:rPr>
          <w:sz w:val="21"/>
          <w:szCs w:val="21"/>
        </w:rPr>
        <w:t>; and it should feed into the Integrated Land Use Plans of the respective target landscapes.</w:t>
      </w:r>
      <w:r w:rsidR="00480C12" w:rsidRPr="00D61605">
        <w:rPr>
          <w:sz w:val="21"/>
          <w:szCs w:val="21"/>
        </w:rPr>
        <w:t xml:space="preserve"> </w:t>
      </w:r>
    </w:p>
    <w:p w14:paraId="3287728A" w14:textId="78BB6730" w:rsidR="00C2102D" w:rsidRPr="00D61605" w:rsidRDefault="062701C5" w:rsidP="001667C6">
      <w:pPr>
        <w:pStyle w:val="ListParagraph"/>
        <w:numPr>
          <w:ilvl w:val="0"/>
          <w:numId w:val="60"/>
        </w:numPr>
        <w:spacing w:before="80" w:after="0"/>
        <w:contextualSpacing w:val="0"/>
        <w:rPr>
          <w:sz w:val="21"/>
          <w:szCs w:val="21"/>
        </w:rPr>
      </w:pPr>
      <w:r w:rsidRPr="48580380">
        <w:rPr>
          <w:b/>
          <w:bCs/>
          <w:sz w:val="21"/>
          <w:szCs w:val="21"/>
        </w:rPr>
        <w:lastRenderedPageBreak/>
        <w:t xml:space="preserve">Master </w:t>
      </w:r>
      <w:r w:rsidR="49260C85" w:rsidRPr="48580380">
        <w:rPr>
          <w:b/>
          <w:bCs/>
          <w:sz w:val="21"/>
          <w:szCs w:val="21"/>
        </w:rPr>
        <w:t>T</w:t>
      </w:r>
      <w:r w:rsidRPr="48580380">
        <w:rPr>
          <w:b/>
          <w:bCs/>
          <w:sz w:val="21"/>
          <w:szCs w:val="21"/>
        </w:rPr>
        <w:t>raining and facilitator training program</w:t>
      </w:r>
      <w:r w:rsidR="3056101E" w:rsidRPr="48580380">
        <w:rPr>
          <w:b/>
          <w:bCs/>
          <w:sz w:val="21"/>
          <w:szCs w:val="21"/>
        </w:rPr>
        <w:t xml:space="preserve">. </w:t>
      </w:r>
      <w:r w:rsidR="3056101E" w:rsidRPr="48580380">
        <w:rPr>
          <w:sz w:val="21"/>
          <w:szCs w:val="21"/>
        </w:rPr>
        <w:t xml:space="preserve">A group of Master Trainings and facilitators will be </w:t>
      </w:r>
      <w:r w:rsidR="1C238FFA" w:rsidRPr="48580380">
        <w:rPr>
          <w:sz w:val="21"/>
          <w:szCs w:val="21"/>
        </w:rPr>
        <w:t>fully trained</w:t>
      </w:r>
      <w:r w:rsidR="0EB80FBD" w:rsidRPr="48580380">
        <w:rPr>
          <w:sz w:val="21"/>
          <w:szCs w:val="21"/>
        </w:rPr>
        <w:t xml:space="preserve"> on the job</w:t>
      </w:r>
      <w:r w:rsidR="3056101E" w:rsidRPr="48580380">
        <w:rPr>
          <w:sz w:val="21"/>
          <w:szCs w:val="21"/>
        </w:rPr>
        <w:t xml:space="preserve"> in Sub-basin 1</w:t>
      </w:r>
      <w:r w:rsidR="6367EBD4" w:rsidRPr="48580380">
        <w:rPr>
          <w:sz w:val="21"/>
          <w:szCs w:val="21"/>
        </w:rPr>
        <w:t xml:space="preserve"> to </w:t>
      </w:r>
      <w:r w:rsidR="12038D45" w:rsidRPr="48580380">
        <w:rPr>
          <w:sz w:val="21"/>
          <w:szCs w:val="21"/>
        </w:rPr>
        <w:t>developed the new FFS and for Sub-basin 2 existing Master Trainers and existing and new facilitators will benefit from shorter trainers adapted to Project’s</w:t>
      </w:r>
      <w:r w:rsidR="1B8F047A" w:rsidRPr="48580380">
        <w:rPr>
          <w:sz w:val="21"/>
          <w:szCs w:val="21"/>
        </w:rPr>
        <w:t xml:space="preserve"> topics.</w:t>
      </w:r>
    </w:p>
    <w:p w14:paraId="165C2989" w14:textId="0330952E" w:rsidR="00C2102D" w:rsidRPr="00D61605" w:rsidRDefault="0090342A" w:rsidP="001667C6">
      <w:pPr>
        <w:pStyle w:val="ListParagraph"/>
        <w:numPr>
          <w:ilvl w:val="0"/>
          <w:numId w:val="60"/>
        </w:numPr>
        <w:spacing w:before="80" w:after="0"/>
        <w:contextualSpacing w:val="0"/>
        <w:rPr>
          <w:sz w:val="21"/>
          <w:szCs w:val="21"/>
        </w:rPr>
      </w:pPr>
      <w:r w:rsidRPr="00D61605">
        <w:rPr>
          <w:b/>
          <w:bCs/>
          <w:sz w:val="21"/>
          <w:szCs w:val="21"/>
        </w:rPr>
        <w:t>Pilot the creation of one or more farmer-field/agro-pastoral schools in each target landscape</w:t>
      </w:r>
      <w:r w:rsidR="00D565C9" w:rsidRPr="00D61605">
        <w:rPr>
          <w:b/>
          <w:bCs/>
          <w:sz w:val="21"/>
          <w:szCs w:val="21"/>
        </w:rPr>
        <w:t>,</w:t>
      </w:r>
      <w:r w:rsidR="00075507" w:rsidRPr="00D61605">
        <w:rPr>
          <w:b/>
          <w:bCs/>
          <w:sz w:val="21"/>
          <w:szCs w:val="21"/>
        </w:rPr>
        <w:t xml:space="preserve"> </w:t>
      </w:r>
      <w:r w:rsidR="00D565C9" w:rsidRPr="00D61605">
        <w:rPr>
          <w:sz w:val="21"/>
          <w:szCs w:val="21"/>
        </w:rPr>
        <w:t xml:space="preserve">focused on </w:t>
      </w:r>
      <w:r w:rsidR="00075507" w:rsidRPr="00D61605">
        <w:rPr>
          <w:sz w:val="21"/>
          <w:szCs w:val="21"/>
        </w:rPr>
        <w:t xml:space="preserve">a specific LMU and its respective </w:t>
      </w:r>
      <w:r w:rsidR="00831B28" w:rsidRPr="00D61605">
        <w:rPr>
          <w:sz w:val="21"/>
          <w:szCs w:val="21"/>
        </w:rPr>
        <w:t xml:space="preserve">confirmed </w:t>
      </w:r>
      <w:r w:rsidR="00075507" w:rsidRPr="00D61605">
        <w:rPr>
          <w:sz w:val="21"/>
          <w:szCs w:val="21"/>
        </w:rPr>
        <w:t>intervention (Table 6</w:t>
      </w:r>
      <w:r w:rsidR="00D565C9" w:rsidRPr="00D61605">
        <w:rPr>
          <w:sz w:val="21"/>
          <w:szCs w:val="21"/>
        </w:rPr>
        <w:t xml:space="preserve"> lists pre-selected interventions</w:t>
      </w:r>
      <w:r w:rsidR="00075507" w:rsidRPr="00D61605">
        <w:rPr>
          <w:sz w:val="21"/>
          <w:szCs w:val="21"/>
        </w:rPr>
        <w:t>).</w:t>
      </w:r>
      <w:r w:rsidRPr="00D61605">
        <w:rPr>
          <w:sz w:val="21"/>
          <w:szCs w:val="21"/>
        </w:rPr>
        <w:t xml:space="preserve"> This should be undertaken </w:t>
      </w:r>
      <w:r w:rsidR="00054AD6" w:rsidRPr="00D61605">
        <w:rPr>
          <w:sz w:val="21"/>
          <w:szCs w:val="21"/>
        </w:rPr>
        <w:t xml:space="preserve">by IDA </w:t>
      </w:r>
      <w:r w:rsidR="00075507" w:rsidRPr="00D61605">
        <w:rPr>
          <w:sz w:val="21"/>
          <w:szCs w:val="21"/>
        </w:rPr>
        <w:t xml:space="preserve">in cooperation with the respective municipality responsible for the LMU and </w:t>
      </w:r>
      <w:r w:rsidRPr="00D61605">
        <w:rPr>
          <w:sz w:val="21"/>
          <w:szCs w:val="21"/>
        </w:rPr>
        <w:t xml:space="preserve">during the preparation of the </w:t>
      </w:r>
      <w:r w:rsidR="00831B28" w:rsidRPr="00D61605">
        <w:rPr>
          <w:sz w:val="21"/>
          <w:szCs w:val="21"/>
        </w:rPr>
        <w:t xml:space="preserve">above </w:t>
      </w:r>
      <w:r w:rsidRPr="00D61605">
        <w:rPr>
          <w:sz w:val="21"/>
          <w:szCs w:val="21"/>
        </w:rPr>
        <w:t>FFS/APFS Strategy</w:t>
      </w:r>
      <w:r w:rsidR="00D565C9" w:rsidRPr="00D61605">
        <w:rPr>
          <w:sz w:val="21"/>
          <w:szCs w:val="21"/>
        </w:rPr>
        <w:t>,</w:t>
      </w:r>
      <w:r w:rsidRPr="00D61605">
        <w:rPr>
          <w:sz w:val="21"/>
          <w:szCs w:val="21"/>
        </w:rPr>
        <w:t xml:space="preserve"> in order to inform and groundtruth its development</w:t>
      </w:r>
      <w:r w:rsidR="00075507" w:rsidRPr="00D61605">
        <w:rPr>
          <w:sz w:val="21"/>
          <w:szCs w:val="21"/>
        </w:rPr>
        <w:t>.</w:t>
      </w:r>
      <w:r w:rsidR="00C2102D" w:rsidRPr="00D61605">
        <w:rPr>
          <w:sz w:val="21"/>
          <w:szCs w:val="21"/>
        </w:rPr>
        <w:t xml:space="preserve"> In close collaboration with those responsible for developing the LMU Action Plan:</w:t>
      </w:r>
    </w:p>
    <w:p w14:paraId="0381B861" w14:textId="1E55307D" w:rsidR="00054AD6" w:rsidRPr="00D61605" w:rsidRDefault="00054AD6" w:rsidP="001667C6">
      <w:pPr>
        <w:pStyle w:val="ListParagraph"/>
        <w:numPr>
          <w:ilvl w:val="0"/>
          <w:numId w:val="35"/>
        </w:numPr>
        <w:spacing w:before="80" w:after="0"/>
        <w:ind w:left="993" w:hanging="284"/>
        <w:contextualSpacing w:val="0"/>
        <w:rPr>
          <w:rFonts w:asciiTheme="minorHAnsi" w:hAnsiTheme="minorHAnsi" w:cstheme="minorHAnsi"/>
          <w:sz w:val="21"/>
          <w:szCs w:val="21"/>
        </w:rPr>
      </w:pPr>
      <w:r w:rsidRPr="00D61605">
        <w:rPr>
          <w:rFonts w:asciiTheme="minorHAnsi" w:hAnsiTheme="minorHAnsi" w:cstheme="minorHAnsi"/>
          <w:sz w:val="21"/>
          <w:szCs w:val="21"/>
        </w:rPr>
        <w:t>learn lessons from existing farm schools previously established in Angola;</w:t>
      </w:r>
    </w:p>
    <w:p w14:paraId="146AB103" w14:textId="59019A1F" w:rsidR="00054AD6" w:rsidRPr="00D61605" w:rsidRDefault="00054AD6" w:rsidP="001667C6">
      <w:pPr>
        <w:pStyle w:val="ListParagraph"/>
        <w:numPr>
          <w:ilvl w:val="0"/>
          <w:numId w:val="35"/>
        </w:numPr>
        <w:spacing w:before="80" w:after="0"/>
        <w:ind w:left="993" w:hanging="284"/>
        <w:contextualSpacing w:val="0"/>
        <w:rPr>
          <w:rFonts w:asciiTheme="minorHAnsi" w:hAnsiTheme="minorHAnsi" w:cstheme="minorHAnsi"/>
          <w:sz w:val="21"/>
          <w:szCs w:val="21"/>
        </w:rPr>
      </w:pPr>
      <w:r w:rsidRPr="00D61605">
        <w:rPr>
          <w:rFonts w:asciiTheme="minorHAnsi" w:hAnsiTheme="minorHAnsi" w:cstheme="minorHAnsi"/>
          <w:sz w:val="21"/>
          <w:szCs w:val="21"/>
        </w:rPr>
        <w:t xml:space="preserve">second </w:t>
      </w:r>
      <w:r w:rsidR="002A01B2" w:rsidRPr="00D61605">
        <w:rPr>
          <w:rFonts w:asciiTheme="minorHAnsi" w:hAnsiTheme="minorHAnsi" w:cstheme="minorHAnsi"/>
          <w:sz w:val="21"/>
          <w:szCs w:val="21"/>
        </w:rPr>
        <w:t xml:space="preserve">a </w:t>
      </w:r>
      <w:r w:rsidRPr="00D61605">
        <w:rPr>
          <w:rFonts w:asciiTheme="minorHAnsi" w:hAnsiTheme="minorHAnsi" w:cstheme="minorHAnsi"/>
          <w:sz w:val="21"/>
          <w:szCs w:val="21"/>
        </w:rPr>
        <w:t xml:space="preserve">multi-disciplinary outreach team of </w:t>
      </w:r>
      <w:r w:rsidR="002A01B2" w:rsidRPr="00D61605">
        <w:rPr>
          <w:rFonts w:asciiTheme="minorHAnsi" w:hAnsiTheme="minorHAnsi" w:cstheme="minorHAnsi"/>
          <w:sz w:val="21"/>
          <w:szCs w:val="21"/>
        </w:rPr>
        <w:t xml:space="preserve">extension agents </w:t>
      </w:r>
      <w:r w:rsidRPr="00D61605">
        <w:rPr>
          <w:rFonts w:asciiTheme="minorHAnsi" w:hAnsiTheme="minorHAnsi" w:cstheme="minorHAnsi"/>
          <w:sz w:val="21"/>
          <w:szCs w:val="21"/>
        </w:rPr>
        <w:t xml:space="preserve">officers </w:t>
      </w:r>
      <w:r w:rsidR="002A01B2" w:rsidRPr="00D61605">
        <w:rPr>
          <w:rFonts w:asciiTheme="minorHAnsi" w:hAnsiTheme="minorHAnsi" w:cstheme="minorHAnsi"/>
          <w:sz w:val="21"/>
          <w:szCs w:val="21"/>
        </w:rPr>
        <w:t>to</w:t>
      </w:r>
      <w:r w:rsidRPr="00D61605">
        <w:rPr>
          <w:rFonts w:asciiTheme="minorHAnsi" w:hAnsiTheme="minorHAnsi" w:cstheme="minorHAnsi"/>
          <w:sz w:val="21"/>
          <w:szCs w:val="21"/>
        </w:rPr>
        <w:t xml:space="preserve"> facilitat</w:t>
      </w:r>
      <w:r w:rsidR="002A01B2" w:rsidRPr="00D61605">
        <w:rPr>
          <w:rFonts w:asciiTheme="minorHAnsi" w:hAnsiTheme="minorHAnsi" w:cstheme="minorHAnsi"/>
          <w:sz w:val="21"/>
          <w:szCs w:val="21"/>
        </w:rPr>
        <w:t xml:space="preserve">e and </w:t>
      </w:r>
      <w:r w:rsidRPr="00D61605">
        <w:rPr>
          <w:rFonts w:asciiTheme="minorHAnsi" w:hAnsiTheme="minorHAnsi" w:cstheme="minorHAnsi"/>
          <w:sz w:val="21"/>
          <w:szCs w:val="21"/>
        </w:rPr>
        <w:t>supervis</w:t>
      </w:r>
      <w:r w:rsidR="002A01B2" w:rsidRPr="00D61605">
        <w:rPr>
          <w:rFonts w:asciiTheme="minorHAnsi" w:hAnsiTheme="minorHAnsi" w:cstheme="minorHAnsi"/>
          <w:sz w:val="21"/>
          <w:szCs w:val="21"/>
        </w:rPr>
        <w:t>e</w:t>
      </w:r>
      <w:r w:rsidRPr="00D61605">
        <w:rPr>
          <w:rFonts w:asciiTheme="minorHAnsi" w:hAnsiTheme="minorHAnsi" w:cstheme="minorHAnsi"/>
          <w:sz w:val="21"/>
          <w:szCs w:val="21"/>
        </w:rPr>
        <w:t xml:space="preserve"> f</w:t>
      </w:r>
      <w:r w:rsidR="002A01B2" w:rsidRPr="00D61605">
        <w:rPr>
          <w:rFonts w:asciiTheme="minorHAnsi" w:hAnsiTheme="minorHAnsi" w:cstheme="minorHAnsi"/>
          <w:sz w:val="21"/>
          <w:szCs w:val="21"/>
        </w:rPr>
        <w:t>ield</w:t>
      </w:r>
      <w:r w:rsidRPr="00D61605">
        <w:rPr>
          <w:rFonts w:asciiTheme="minorHAnsi" w:hAnsiTheme="minorHAnsi" w:cstheme="minorHAnsi"/>
          <w:sz w:val="21"/>
          <w:szCs w:val="21"/>
        </w:rPr>
        <w:t xml:space="preserve"> schools</w:t>
      </w:r>
      <w:r w:rsidR="002A01B2" w:rsidRPr="00D61605">
        <w:rPr>
          <w:rFonts w:asciiTheme="minorHAnsi" w:hAnsiTheme="minorHAnsi" w:cstheme="minorHAnsi"/>
          <w:sz w:val="21"/>
          <w:szCs w:val="21"/>
        </w:rPr>
        <w:t>’</w:t>
      </w:r>
      <w:r w:rsidRPr="00D61605">
        <w:rPr>
          <w:rFonts w:asciiTheme="minorHAnsi" w:hAnsiTheme="minorHAnsi" w:cstheme="minorHAnsi"/>
          <w:sz w:val="21"/>
          <w:szCs w:val="21"/>
        </w:rPr>
        <w:t xml:space="preserve"> development</w:t>
      </w:r>
      <w:r w:rsidR="002A01B2" w:rsidRPr="00D61605">
        <w:rPr>
          <w:rFonts w:asciiTheme="minorHAnsi" w:hAnsiTheme="minorHAnsi" w:cstheme="minorHAnsi"/>
          <w:sz w:val="21"/>
          <w:szCs w:val="21"/>
        </w:rPr>
        <w:t>, training</w:t>
      </w:r>
      <w:r w:rsidRPr="00D61605">
        <w:rPr>
          <w:rFonts w:asciiTheme="minorHAnsi" w:hAnsiTheme="minorHAnsi" w:cstheme="minorHAnsi"/>
          <w:sz w:val="21"/>
          <w:szCs w:val="21"/>
        </w:rPr>
        <w:t xml:space="preserve"> </w:t>
      </w:r>
      <w:r w:rsidR="002A01B2" w:rsidRPr="00D61605">
        <w:rPr>
          <w:rFonts w:asciiTheme="minorHAnsi" w:hAnsiTheme="minorHAnsi" w:cstheme="minorHAnsi"/>
          <w:sz w:val="21"/>
          <w:szCs w:val="21"/>
        </w:rPr>
        <w:t xml:space="preserve">(by Master Trainers) </w:t>
      </w:r>
      <w:r w:rsidRPr="00D61605">
        <w:rPr>
          <w:rFonts w:asciiTheme="minorHAnsi" w:hAnsiTheme="minorHAnsi" w:cstheme="minorHAnsi"/>
          <w:sz w:val="21"/>
          <w:szCs w:val="21"/>
        </w:rPr>
        <w:t xml:space="preserve">and </w:t>
      </w:r>
      <w:r w:rsidR="002A01B2" w:rsidRPr="00D61605">
        <w:rPr>
          <w:rFonts w:asciiTheme="minorHAnsi" w:hAnsiTheme="minorHAnsi" w:cstheme="minorHAnsi"/>
          <w:sz w:val="21"/>
          <w:szCs w:val="21"/>
        </w:rPr>
        <w:t xml:space="preserve">other </w:t>
      </w:r>
      <w:r w:rsidRPr="00D61605">
        <w:rPr>
          <w:rFonts w:asciiTheme="minorHAnsi" w:hAnsiTheme="minorHAnsi" w:cstheme="minorHAnsi"/>
          <w:sz w:val="21"/>
          <w:szCs w:val="21"/>
        </w:rPr>
        <w:t>activities</w:t>
      </w:r>
      <w:r w:rsidR="002A01B2" w:rsidRPr="00D61605">
        <w:rPr>
          <w:rFonts w:asciiTheme="minorHAnsi" w:hAnsiTheme="minorHAnsi" w:cstheme="minorHAnsi"/>
          <w:sz w:val="21"/>
          <w:szCs w:val="21"/>
        </w:rPr>
        <w:t>;</w:t>
      </w:r>
    </w:p>
    <w:p w14:paraId="0D1AF074" w14:textId="1F7C6508" w:rsidR="00C2102D" w:rsidRPr="00D61605" w:rsidRDefault="00831B28" w:rsidP="001667C6">
      <w:pPr>
        <w:pStyle w:val="ListParagraph"/>
        <w:numPr>
          <w:ilvl w:val="0"/>
          <w:numId w:val="35"/>
        </w:numPr>
        <w:spacing w:before="80" w:after="0"/>
        <w:ind w:left="993" w:hanging="284"/>
        <w:contextualSpacing w:val="0"/>
        <w:rPr>
          <w:rFonts w:asciiTheme="minorHAnsi" w:hAnsiTheme="minorHAnsi" w:cstheme="minorHAnsi"/>
          <w:sz w:val="21"/>
          <w:szCs w:val="21"/>
        </w:rPr>
      </w:pPr>
      <w:r w:rsidRPr="00D61605">
        <w:rPr>
          <w:rFonts w:asciiTheme="minorHAnsi" w:hAnsiTheme="minorHAnsi" w:cstheme="minorHAnsi"/>
          <w:sz w:val="21"/>
          <w:szCs w:val="21"/>
        </w:rPr>
        <w:t xml:space="preserve">identify </w:t>
      </w:r>
      <w:r w:rsidR="00C2102D" w:rsidRPr="00D61605">
        <w:rPr>
          <w:rFonts w:asciiTheme="minorHAnsi" w:hAnsiTheme="minorHAnsi" w:cstheme="minorHAnsi"/>
          <w:sz w:val="21"/>
          <w:szCs w:val="21"/>
        </w:rPr>
        <w:t xml:space="preserve">and deliver </w:t>
      </w:r>
      <w:r w:rsidR="00BE4569" w:rsidRPr="00D61605">
        <w:rPr>
          <w:rFonts w:asciiTheme="minorHAnsi" w:hAnsiTheme="minorHAnsi" w:cstheme="minorHAnsi"/>
          <w:sz w:val="21"/>
          <w:szCs w:val="21"/>
        </w:rPr>
        <w:t>the training and other capacity development needs to be promoted and provided by the schools in terms of SLM/SFM</w:t>
      </w:r>
      <w:r w:rsidR="004713D3" w:rsidRPr="00D61605">
        <w:rPr>
          <w:rFonts w:asciiTheme="minorHAnsi" w:hAnsiTheme="minorHAnsi" w:cstheme="minorHAnsi"/>
          <w:sz w:val="21"/>
          <w:szCs w:val="21"/>
        </w:rPr>
        <w:t xml:space="preserve"> for the specific pilot LMU(s)</w:t>
      </w:r>
      <w:r w:rsidR="00C2102D" w:rsidRPr="00D61605">
        <w:rPr>
          <w:rFonts w:asciiTheme="minorHAnsi" w:hAnsiTheme="minorHAnsi" w:cstheme="minorHAnsi"/>
          <w:sz w:val="21"/>
          <w:szCs w:val="21"/>
        </w:rPr>
        <w:t>;</w:t>
      </w:r>
    </w:p>
    <w:p w14:paraId="063B08B1" w14:textId="593821E8" w:rsidR="00C2102D" w:rsidRPr="00D61605" w:rsidRDefault="00BE4569" w:rsidP="001667C6">
      <w:pPr>
        <w:pStyle w:val="ListParagraph"/>
        <w:numPr>
          <w:ilvl w:val="0"/>
          <w:numId w:val="35"/>
        </w:numPr>
        <w:spacing w:before="80" w:after="0"/>
        <w:ind w:left="993" w:hanging="284"/>
        <w:contextualSpacing w:val="0"/>
        <w:rPr>
          <w:rFonts w:asciiTheme="minorHAnsi" w:hAnsiTheme="minorHAnsi" w:cstheme="minorHAnsi"/>
          <w:sz w:val="21"/>
          <w:szCs w:val="21"/>
        </w:rPr>
      </w:pPr>
      <w:r w:rsidRPr="00D61605">
        <w:rPr>
          <w:rFonts w:asciiTheme="minorHAnsi" w:hAnsiTheme="minorHAnsi" w:cstheme="minorHAnsi"/>
          <w:sz w:val="21"/>
          <w:szCs w:val="21"/>
        </w:rPr>
        <w:t>set up and monitor experimental trials with the land users (farmers/pastoralists)</w:t>
      </w:r>
      <w:r w:rsidR="00C2102D" w:rsidRPr="00D61605">
        <w:rPr>
          <w:rFonts w:asciiTheme="minorHAnsi" w:hAnsiTheme="minorHAnsi" w:cstheme="minorHAnsi"/>
          <w:sz w:val="21"/>
          <w:szCs w:val="21"/>
        </w:rPr>
        <w:t>;</w:t>
      </w:r>
    </w:p>
    <w:p w14:paraId="0490F247" w14:textId="232DBD25" w:rsidR="004713D3" w:rsidRPr="00D61605" w:rsidRDefault="3A309C70" w:rsidP="001667C6">
      <w:pPr>
        <w:pStyle w:val="ListParagraph"/>
        <w:numPr>
          <w:ilvl w:val="0"/>
          <w:numId w:val="35"/>
        </w:numPr>
        <w:spacing w:before="80" w:after="0"/>
        <w:ind w:left="993" w:hanging="284"/>
        <w:contextualSpacing w:val="0"/>
        <w:rPr>
          <w:rFonts w:asciiTheme="minorHAnsi" w:hAnsiTheme="minorHAnsi" w:cstheme="minorBidi"/>
          <w:sz w:val="21"/>
          <w:szCs w:val="21"/>
        </w:rPr>
      </w:pPr>
      <w:r w:rsidRPr="3764D022">
        <w:rPr>
          <w:rFonts w:asciiTheme="minorHAnsi" w:hAnsiTheme="minorHAnsi" w:cstheme="minorBidi"/>
          <w:sz w:val="21"/>
          <w:szCs w:val="21"/>
        </w:rPr>
        <w:t>design and pilot an M&amp;E system, including LDN, gender and sustainability performance indicators, for tracking FFS across the target landscapes - building on FAO’s Monitoring Evaluation and Learning (MEL) tool, potentially for upscaling nationally;</w:t>
      </w:r>
    </w:p>
    <w:p w14:paraId="5BF3EA24" w14:textId="26757EDF" w:rsidR="0030481E" w:rsidRPr="00D61605" w:rsidRDefault="004713D3" w:rsidP="001667C6">
      <w:pPr>
        <w:pStyle w:val="ListParagraph"/>
        <w:numPr>
          <w:ilvl w:val="0"/>
          <w:numId w:val="35"/>
        </w:numPr>
        <w:spacing w:before="80" w:after="0"/>
        <w:ind w:left="993" w:hanging="284"/>
        <w:contextualSpacing w:val="0"/>
        <w:rPr>
          <w:rFonts w:asciiTheme="minorHAnsi" w:hAnsiTheme="minorHAnsi" w:cstheme="minorHAnsi"/>
          <w:sz w:val="21"/>
          <w:szCs w:val="21"/>
        </w:rPr>
      </w:pPr>
      <w:r w:rsidRPr="00D61605">
        <w:rPr>
          <w:rFonts w:asciiTheme="minorHAnsi" w:hAnsiTheme="minorHAnsi" w:cstheme="minorHAnsi"/>
          <w:sz w:val="21"/>
          <w:szCs w:val="21"/>
        </w:rPr>
        <w:t xml:space="preserve">undertake other tasks as appropriate; </w:t>
      </w:r>
      <w:r w:rsidR="0030481E" w:rsidRPr="00D61605">
        <w:rPr>
          <w:rFonts w:asciiTheme="minorHAnsi" w:hAnsiTheme="minorHAnsi" w:cstheme="minorHAnsi"/>
          <w:sz w:val="21"/>
          <w:szCs w:val="21"/>
        </w:rPr>
        <w:t>and</w:t>
      </w:r>
    </w:p>
    <w:p w14:paraId="3EAF1D20" w14:textId="17AC1786" w:rsidR="0030481E" w:rsidRPr="00D61605" w:rsidRDefault="00D565C9" w:rsidP="001667C6">
      <w:pPr>
        <w:pStyle w:val="ListParagraph"/>
        <w:numPr>
          <w:ilvl w:val="0"/>
          <w:numId w:val="35"/>
        </w:numPr>
        <w:spacing w:before="80" w:after="0"/>
        <w:ind w:left="993" w:hanging="284"/>
        <w:contextualSpacing w:val="0"/>
        <w:rPr>
          <w:rFonts w:asciiTheme="minorHAnsi" w:hAnsiTheme="minorHAnsi" w:cstheme="minorHAnsi"/>
          <w:sz w:val="21"/>
          <w:szCs w:val="21"/>
        </w:rPr>
      </w:pPr>
      <w:r w:rsidRPr="00D61605">
        <w:rPr>
          <w:rFonts w:asciiTheme="minorHAnsi" w:hAnsiTheme="minorHAnsi" w:cstheme="minorHAnsi"/>
          <w:sz w:val="21"/>
          <w:szCs w:val="21"/>
        </w:rPr>
        <w:t>identify and share lessons learned</w:t>
      </w:r>
      <w:r w:rsidR="00054AD6" w:rsidRPr="00D61605">
        <w:rPr>
          <w:rFonts w:asciiTheme="minorHAnsi" w:hAnsiTheme="minorHAnsi" w:cstheme="minorHAnsi"/>
          <w:sz w:val="21"/>
          <w:szCs w:val="21"/>
        </w:rPr>
        <w:t>.</w:t>
      </w:r>
      <w:r w:rsidRPr="00D61605">
        <w:rPr>
          <w:rFonts w:asciiTheme="minorHAnsi" w:hAnsiTheme="minorHAnsi" w:cstheme="minorHAnsi"/>
          <w:sz w:val="21"/>
          <w:szCs w:val="21"/>
        </w:rPr>
        <w:t xml:space="preserve"> </w:t>
      </w:r>
    </w:p>
    <w:p w14:paraId="11B0E95D" w14:textId="1B8BB9EC" w:rsidR="004713D3" w:rsidRPr="0031326D" w:rsidRDefault="00CE03E8" w:rsidP="001667C6">
      <w:pPr>
        <w:pStyle w:val="ListParagraph"/>
        <w:numPr>
          <w:ilvl w:val="0"/>
          <w:numId w:val="60"/>
        </w:numPr>
        <w:spacing w:before="80" w:after="0"/>
        <w:contextualSpacing w:val="0"/>
        <w:rPr>
          <w:sz w:val="21"/>
          <w:szCs w:val="21"/>
        </w:rPr>
      </w:pPr>
      <w:r w:rsidRPr="3B8585B8">
        <w:rPr>
          <w:b/>
          <w:bCs/>
          <w:sz w:val="21"/>
          <w:szCs w:val="21"/>
        </w:rPr>
        <w:t>Deliver the FFS/APFS Strategy by s</w:t>
      </w:r>
      <w:r w:rsidR="00CA2905" w:rsidRPr="3B8585B8">
        <w:rPr>
          <w:b/>
          <w:bCs/>
          <w:sz w:val="21"/>
          <w:szCs w:val="21"/>
        </w:rPr>
        <w:t>cal</w:t>
      </w:r>
      <w:r w:rsidRPr="3B8585B8">
        <w:rPr>
          <w:b/>
          <w:bCs/>
          <w:sz w:val="21"/>
          <w:szCs w:val="21"/>
        </w:rPr>
        <w:t>ing</w:t>
      </w:r>
      <w:r w:rsidR="00CA2905" w:rsidRPr="3B8585B8">
        <w:rPr>
          <w:b/>
          <w:bCs/>
          <w:sz w:val="21"/>
          <w:szCs w:val="21"/>
        </w:rPr>
        <w:t xml:space="preserve"> out the expansion and strengthening of the FFS/APFS network across the 9 target LMUs in each landscape </w:t>
      </w:r>
      <w:r w:rsidR="00CA2905" w:rsidRPr="3B8585B8">
        <w:rPr>
          <w:sz w:val="21"/>
          <w:szCs w:val="21"/>
        </w:rPr>
        <w:t>to support delivery of the respective interventions pre-selected during the PPG stage and confirmed during or subsequent to project inception, h</w:t>
      </w:r>
      <w:r w:rsidR="004713D3" w:rsidRPr="3B8585B8">
        <w:rPr>
          <w:sz w:val="21"/>
          <w:szCs w:val="21"/>
        </w:rPr>
        <w:t>aving incorporated lessons learnt from the above pilots into delivering this Output</w:t>
      </w:r>
    </w:p>
    <w:p w14:paraId="48CA5F23" w14:textId="33918E6F" w:rsidR="3B8585B8" w:rsidRDefault="18AB7617" w:rsidP="001667C6">
      <w:pPr>
        <w:pStyle w:val="ListParagraph"/>
        <w:numPr>
          <w:ilvl w:val="0"/>
          <w:numId w:val="60"/>
        </w:numPr>
        <w:spacing w:before="80" w:after="0"/>
        <w:rPr>
          <w:b/>
          <w:bCs/>
          <w:sz w:val="21"/>
          <w:szCs w:val="21"/>
        </w:rPr>
      </w:pPr>
      <w:r w:rsidRPr="000F2058">
        <w:rPr>
          <w:b/>
          <w:bCs/>
          <w:sz w:val="21"/>
          <w:szCs w:val="21"/>
        </w:rPr>
        <w:t xml:space="preserve">Introduce Farmer Busines School </w:t>
      </w:r>
      <w:r w:rsidR="4C7535C1" w:rsidRPr="000F2058">
        <w:rPr>
          <w:b/>
          <w:bCs/>
          <w:sz w:val="21"/>
          <w:szCs w:val="21"/>
        </w:rPr>
        <w:t>(FBS)</w:t>
      </w:r>
      <w:r w:rsidR="3B8585B8" w:rsidRPr="36822015">
        <w:rPr>
          <w:sz w:val="21"/>
          <w:szCs w:val="21"/>
          <w:vertAlign w:val="superscript"/>
        </w:rPr>
        <w:footnoteReference w:id="79"/>
      </w:r>
      <w:r w:rsidRPr="36822015">
        <w:rPr>
          <w:sz w:val="21"/>
          <w:szCs w:val="21"/>
          <w:vertAlign w:val="superscript"/>
        </w:rPr>
        <w:t xml:space="preserve"> </w:t>
      </w:r>
      <w:r w:rsidRPr="36822015">
        <w:rPr>
          <w:sz w:val="21"/>
          <w:szCs w:val="21"/>
        </w:rPr>
        <w:t xml:space="preserve">aproach as part of the FFS in coordination </w:t>
      </w:r>
    </w:p>
    <w:p w14:paraId="7EAC7001" w14:textId="4312AAD2" w:rsidR="00054AD6" w:rsidRPr="0031326D" w:rsidRDefault="224D2A70" w:rsidP="001667C6">
      <w:pPr>
        <w:pStyle w:val="ListParagraph"/>
        <w:numPr>
          <w:ilvl w:val="0"/>
          <w:numId w:val="60"/>
        </w:numPr>
        <w:spacing w:before="80"/>
        <w:rPr>
          <w:sz w:val="21"/>
          <w:szCs w:val="21"/>
        </w:rPr>
      </w:pPr>
      <w:r w:rsidRPr="002D5763">
        <w:rPr>
          <w:rFonts w:eastAsia="Calibri"/>
          <w:b/>
          <w:sz w:val="21"/>
          <w:szCs w:val="21"/>
        </w:rPr>
        <w:t>SLM and SFM Practices in place through FFS learning curricula implementation</w:t>
      </w:r>
      <w:r w:rsidRPr="7997F3EB">
        <w:t xml:space="preserve">. </w:t>
      </w:r>
      <w:r w:rsidRPr="002D5763">
        <w:rPr>
          <w:highlight w:val="yellow"/>
        </w:rPr>
        <w:t>The project team, will support extension services in the techncial advice and  m</w:t>
      </w:r>
      <w:r w:rsidR="0A87E803" w:rsidRPr="002D5763">
        <w:rPr>
          <w:highlight w:val="yellow"/>
        </w:rPr>
        <w:t>onitoring of the implementation of the FFS, including diferents steps and milestones of FFS methodology</w:t>
      </w:r>
      <w:r w:rsidR="0A87E803" w:rsidRPr="42C98744">
        <w:t>. Thise might include</w:t>
      </w:r>
      <w:r w:rsidR="0C648A57" w:rsidRPr="3EA5DE44">
        <w:t xml:space="preserve"> o</w:t>
      </w:r>
      <w:r w:rsidR="00054AD6" w:rsidRPr="002D5763">
        <w:rPr>
          <w:b/>
          <w:bCs/>
          <w:sz w:val="21"/>
          <w:szCs w:val="21"/>
        </w:rPr>
        <w:t>rganiz</w:t>
      </w:r>
      <w:r w:rsidR="6A30AA32" w:rsidRPr="002D5763">
        <w:rPr>
          <w:b/>
          <w:bCs/>
          <w:sz w:val="21"/>
          <w:szCs w:val="21"/>
        </w:rPr>
        <w:t>ation</w:t>
      </w:r>
      <w:r w:rsidR="6A30AA32" w:rsidRPr="3EA5DE44">
        <w:rPr>
          <w:b/>
          <w:bCs/>
          <w:sz w:val="21"/>
          <w:szCs w:val="21"/>
        </w:rPr>
        <w:t xml:space="preserve"> of</w:t>
      </w:r>
      <w:r w:rsidR="00054AD6" w:rsidRPr="3B8585B8">
        <w:rPr>
          <w:b/>
          <w:bCs/>
          <w:sz w:val="21"/>
          <w:szCs w:val="21"/>
        </w:rPr>
        <w:t xml:space="preserve"> peer-to-peer exchanges and visits among FFS groups </w:t>
      </w:r>
      <w:r w:rsidR="00EA4048" w:rsidRPr="3B8585B8">
        <w:rPr>
          <w:sz w:val="21"/>
          <w:szCs w:val="21"/>
        </w:rPr>
        <w:t xml:space="preserve">(50) </w:t>
      </w:r>
      <w:r w:rsidR="00054AD6" w:rsidRPr="3B8585B8">
        <w:rPr>
          <w:sz w:val="21"/>
          <w:szCs w:val="21"/>
        </w:rPr>
        <w:t>to share best practices and experiences among farmers who participate</w:t>
      </w:r>
      <w:r w:rsidR="00EA4048" w:rsidRPr="3B8585B8">
        <w:rPr>
          <w:sz w:val="21"/>
          <w:szCs w:val="21"/>
        </w:rPr>
        <w:t xml:space="preserve"> in</w:t>
      </w:r>
      <w:r w:rsidR="00054AD6" w:rsidRPr="3B8585B8">
        <w:rPr>
          <w:sz w:val="21"/>
          <w:szCs w:val="21"/>
        </w:rPr>
        <w:t xml:space="preserve"> the FFS training</w:t>
      </w:r>
      <w:r w:rsidR="00EA4048" w:rsidRPr="3B8585B8">
        <w:rPr>
          <w:sz w:val="21"/>
          <w:szCs w:val="21"/>
        </w:rPr>
        <w:t xml:space="preserve">, subject to </w:t>
      </w:r>
      <w:r w:rsidR="00054AD6" w:rsidRPr="3B8585B8">
        <w:rPr>
          <w:sz w:val="21"/>
          <w:szCs w:val="21"/>
        </w:rPr>
        <w:t xml:space="preserve">COVID-19 </w:t>
      </w:r>
      <w:r w:rsidR="00EA4048" w:rsidRPr="3B8585B8">
        <w:rPr>
          <w:sz w:val="21"/>
          <w:szCs w:val="21"/>
        </w:rPr>
        <w:t xml:space="preserve">restrictions. </w:t>
      </w:r>
      <w:r w:rsidR="00054AD6" w:rsidRPr="3B8585B8">
        <w:rPr>
          <w:sz w:val="21"/>
          <w:szCs w:val="21"/>
        </w:rPr>
        <w:t xml:space="preserve">This activity </w:t>
      </w:r>
      <w:r w:rsidR="00EA4048" w:rsidRPr="3B8585B8">
        <w:rPr>
          <w:sz w:val="21"/>
          <w:szCs w:val="21"/>
        </w:rPr>
        <w:t>may</w:t>
      </w:r>
      <w:r w:rsidR="00054AD6" w:rsidRPr="3B8585B8">
        <w:rPr>
          <w:sz w:val="21"/>
          <w:szCs w:val="21"/>
        </w:rPr>
        <w:t xml:space="preserve"> include strengthening the network</w:t>
      </w:r>
      <w:r w:rsidR="00EA4048" w:rsidRPr="3B8585B8">
        <w:rPr>
          <w:sz w:val="21"/>
          <w:szCs w:val="21"/>
        </w:rPr>
        <w:t xml:space="preserve"> of</w:t>
      </w:r>
      <w:r w:rsidR="00054AD6" w:rsidRPr="3B8585B8">
        <w:rPr>
          <w:sz w:val="21"/>
          <w:szCs w:val="21"/>
        </w:rPr>
        <w:t xml:space="preserve"> Master Trainers, Facilitators and partners </w:t>
      </w:r>
      <w:r w:rsidR="00EA4048" w:rsidRPr="3B8585B8">
        <w:rPr>
          <w:sz w:val="21"/>
          <w:szCs w:val="21"/>
        </w:rPr>
        <w:t>delivering</w:t>
      </w:r>
      <w:r w:rsidR="00054AD6" w:rsidRPr="3B8585B8">
        <w:rPr>
          <w:sz w:val="21"/>
          <w:szCs w:val="21"/>
        </w:rPr>
        <w:t xml:space="preserve"> FFS activities, by promoting exchanges, meetings</w:t>
      </w:r>
      <w:r w:rsidR="00EA4048" w:rsidRPr="3B8585B8">
        <w:rPr>
          <w:sz w:val="21"/>
          <w:szCs w:val="21"/>
        </w:rPr>
        <w:t xml:space="preserve"> and</w:t>
      </w:r>
      <w:r w:rsidR="00054AD6" w:rsidRPr="3B8585B8">
        <w:rPr>
          <w:sz w:val="21"/>
          <w:szCs w:val="21"/>
        </w:rPr>
        <w:t xml:space="preserve"> </w:t>
      </w:r>
      <w:r w:rsidR="00054AD6" w:rsidRPr="002D5763">
        <w:rPr>
          <w:sz w:val="21"/>
          <w:szCs w:val="21"/>
          <w:highlight w:val="yellow"/>
        </w:rPr>
        <w:t>workshops</w:t>
      </w:r>
      <w:r w:rsidR="68E31D12" w:rsidRPr="002D5763">
        <w:rPr>
          <w:sz w:val="21"/>
          <w:szCs w:val="21"/>
          <w:highlight w:val="yellow"/>
        </w:rPr>
        <w:t xml:space="preserve"> a</w:t>
      </w:r>
      <w:r w:rsidR="43D28AFA" w:rsidRPr="002D5763">
        <w:rPr>
          <w:sz w:val="21"/>
          <w:szCs w:val="21"/>
          <w:highlight w:val="yellow"/>
        </w:rPr>
        <w:t xml:space="preserve">nd hosting of </w:t>
      </w:r>
      <w:r w:rsidR="7816E00E" w:rsidRPr="002D5763">
        <w:rPr>
          <w:sz w:val="21"/>
          <w:szCs w:val="21"/>
          <w:highlight w:val="yellow"/>
        </w:rPr>
        <w:t xml:space="preserve"> FFS community open days (2 visits for each FFS per season) to sensitize other land users (farmers) to FFS experiences, results, agricultural practices and technologies adapted to the local context and adopted by FFS farmers</w:t>
      </w:r>
    </w:p>
    <w:p w14:paraId="758FC1C3" w14:textId="2634224B" w:rsidR="0090342A" w:rsidRPr="0031326D" w:rsidRDefault="0090342A" w:rsidP="001667C6">
      <w:pPr>
        <w:pStyle w:val="ListParagraph"/>
        <w:numPr>
          <w:ilvl w:val="0"/>
          <w:numId w:val="60"/>
        </w:numPr>
        <w:spacing w:before="80" w:after="0"/>
        <w:contextualSpacing w:val="0"/>
        <w:rPr>
          <w:sz w:val="21"/>
          <w:szCs w:val="21"/>
        </w:rPr>
      </w:pPr>
      <w:r w:rsidRPr="3B8585B8">
        <w:rPr>
          <w:b/>
          <w:bCs/>
          <w:sz w:val="21"/>
          <w:szCs w:val="21"/>
        </w:rPr>
        <w:t>Prepar</w:t>
      </w:r>
      <w:r w:rsidR="00110911" w:rsidRPr="3B8585B8">
        <w:rPr>
          <w:b/>
          <w:bCs/>
          <w:sz w:val="21"/>
          <w:szCs w:val="21"/>
        </w:rPr>
        <w:t>e</w:t>
      </w:r>
      <w:r w:rsidRPr="3B8585B8">
        <w:rPr>
          <w:b/>
          <w:bCs/>
          <w:sz w:val="21"/>
          <w:szCs w:val="21"/>
        </w:rPr>
        <w:t xml:space="preserve"> a strategy to harmonize and integrate the FFS approach into national policies and programmes </w:t>
      </w:r>
      <w:r w:rsidRPr="3B8585B8">
        <w:rPr>
          <w:sz w:val="21"/>
          <w:szCs w:val="21"/>
        </w:rPr>
        <w:t>delivered by Rural Advisory Services (RAS). Coordinate this action with those under Activity 1.1.2b, Output 2.2.2 and other projects applying FFS and related models of RAS.</w:t>
      </w:r>
    </w:p>
    <w:p w14:paraId="12F6579C" w14:textId="305F9500" w:rsidR="009563B4" w:rsidRPr="0031326D" w:rsidRDefault="009563B4" w:rsidP="001667C6">
      <w:pPr>
        <w:pStyle w:val="ListParagraph"/>
        <w:numPr>
          <w:ilvl w:val="0"/>
          <w:numId w:val="60"/>
        </w:numPr>
        <w:spacing w:before="80" w:after="160"/>
        <w:ind w:left="714" w:hanging="357"/>
        <w:contextualSpacing w:val="0"/>
        <w:rPr>
          <w:sz w:val="21"/>
          <w:szCs w:val="21"/>
        </w:rPr>
      </w:pPr>
      <w:r w:rsidRPr="3B8585B8">
        <w:rPr>
          <w:b/>
          <w:bCs/>
          <w:sz w:val="21"/>
          <w:szCs w:val="21"/>
        </w:rPr>
        <w:t>Prepar</w:t>
      </w:r>
      <w:r w:rsidR="00110911" w:rsidRPr="3B8585B8">
        <w:rPr>
          <w:b/>
          <w:bCs/>
          <w:sz w:val="21"/>
          <w:szCs w:val="21"/>
        </w:rPr>
        <w:t xml:space="preserve">e </w:t>
      </w:r>
      <w:r w:rsidRPr="3B8585B8">
        <w:rPr>
          <w:b/>
          <w:bCs/>
          <w:sz w:val="21"/>
          <w:szCs w:val="21"/>
        </w:rPr>
        <w:t xml:space="preserve">communication </w:t>
      </w:r>
      <w:r w:rsidR="001B645C" w:rsidRPr="3B8585B8">
        <w:rPr>
          <w:b/>
          <w:bCs/>
          <w:sz w:val="21"/>
          <w:szCs w:val="21"/>
        </w:rPr>
        <w:t xml:space="preserve">materials for inclusion in the project’s Communications Strategy </w:t>
      </w:r>
      <w:r w:rsidR="001B645C" w:rsidRPr="3B8585B8">
        <w:rPr>
          <w:sz w:val="21"/>
          <w:szCs w:val="21"/>
        </w:rPr>
        <w:t xml:space="preserve">(Component 3) to raise </w:t>
      </w:r>
      <w:r w:rsidR="00CA2905" w:rsidRPr="3B8585B8">
        <w:rPr>
          <w:sz w:val="21"/>
          <w:szCs w:val="21"/>
        </w:rPr>
        <w:t xml:space="preserve">the </w:t>
      </w:r>
      <w:r w:rsidR="001B645C" w:rsidRPr="3B8585B8">
        <w:rPr>
          <w:sz w:val="21"/>
          <w:szCs w:val="21"/>
        </w:rPr>
        <w:t xml:space="preserve">profile of this initiative and secure </w:t>
      </w:r>
      <w:r w:rsidR="00CE03E8" w:rsidRPr="3B8585B8">
        <w:rPr>
          <w:sz w:val="21"/>
          <w:szCs w:val="21"/>
        </w:rPr>
        <w:t xml:space="preserve">regular technical inputs </w:t>
      </w:r>
      <w:r w:rsidR="001B645C" w:rsidRPr="3B8585B8">
        <w:rPr>
          <w:sz w:val="21"/>
          <w:szCs w:val="21"/>
        </w:rPr>
        <w:t>from the project’s Communications Specialis</w:t>
      </w:r>
      <w:r w:rsidR="00CE03E8" w:rsidRPr="3B8585B8">
        <w:rPr>
          <w:sz w:val="21"/>
          <w:szCs w:val="21"/>
        </w:rPr>
        <w:t>t</w:t>
      </w:r>
      <w:r w:rsidR="00CA2905" w:rsidRPr="3B8585B8">
        <w:rPr>
          <w:sz w:val="21"/>
          <w:szCs w:val="21"/>
        </w:rPr>
        <w:t xml:space="preserve"> </w:t>
      </w:r>
      <w:r w:rsidR="00CE03E8" w:rsidRPr="3B8585B8">
        <w:rPr>
          <w:sz w:val="21"/>
          <w:szCs w:val="21"/>
        </w:rPr>
        <w:t>with respect to targeting FFS/APFS stakeholders</w:t>
      </w:r>
      <w:r w:rsidRPr="3B8585B8">
        <w:rPr>
          <w:sz w:val="21"/>
          <w:szCs w:val="21"/>
        </w:rPr>
        <w:t xml:space="preserve">. </w:t>
      </w:r>
    </w:p>
    <w:p w14:paraId="26533A4B" w14:textId="4A1485B8" w:rsidR="004B4100" w:rsidRPr="00194716" w:rsidRDefault="004B4100" w:rsidP="004B4100">
      <w:pPr>
        <w:pStyle w:val="Heading6"/>
        <w:spacing w:before="160" w:after="160"/>
        <w:ind w:hanging="11"/>
        <w:rPr>
          <w:rFonts w:ascii="Calibri" w:hAnsi="Calibri" w:cs="Calibri"/>
          <w:sz w:val="21"/>
          <w:szCs w:val="21"/>
          <w:highlight w:val="lightGray"/>
        </w:rPr>
      </w:pPr>
      <w:r w:rsidRPr="00194716">
        <w:rPr>
          <w:rFonts w:ascii="Calibri" w:hAnsi="Calibri" w:cs="Calibri"/>
          <w:b/>
          <w:bCs/>
          <w:sz w:val="21"/>
          <w:szCs w:val="21"/>
          <w:highlight w:val="lightGray"/>
        </w:rPr>
        <w:t>Output 2.2.2</w:t>
      </w:r>
      <w:r w:rsidRPr="00194716">
        <w:rPr>
          <w:rFonts w:ascii="Calibri" w:hAnsi="Calibri" w:cs="Calibri"/>
          <w:b/>
          <w:bCs/>
          <w:sz w:val="21"/>
          <w:szCs w:val="21"/>
          <w:highlight w:val="lightGray"/>
        </w:rPr>
        <w:tab/>
      </w:r>
      <w:r w:rsidRPr="00194716">
        <w:rPr>
          <w:rFonts w:ascii="Calibri" w:hAnsi="Calibri" w:cs="Calibri"/>
          <w:sz w:val="21"/>
          <w:szCs w:val="21"/>
          <w:highlight w:val="lightGray"/>
        </w:rPr>
        <w:t>Land users’ resilience and producti</w:t>
      </w:r>
      <w:r w:rsidR="00940F40" w:rsidRPr="00194716">
        <w:rPr>
          <w:rFonts w:ascii="Calibri" w:hAnsi="Calibri" w:cs="Calibri"/>
          <w:sz w:val="21"/>
          <w:szCs w:val="21"/>
          <w:highlight w:val="lightGray"/>
        </w:rPr>
        <w:t>on</w:t>
      </w:r>
      <w:r w:rsidRPr="00194716">
        <w:rPr>
          <w:rFonts w:ascii="Calibri" w:hAnsi="Calibri" w:cs="Calibri"/>
          <w:sz w:val="21"/>
          <w:szCs w:val="21"/>
          <w:highlight w:val="lightGray"/>
        </w:rPr>
        <w:t xml:space="preserve"> capacity </w:t>
      </w:r>
      <w:r w:rsidR="00940F40" w:rsidRPr="00194716">
        <w:rPr>
          <w:rFonts w:ascii="Calibri" w:hAnsi="Calibri" w:cs="Calibri"/>
          <w:sz w:val="21"/>
          <w:szCs w:val="21"/>
          <w:highlight w:val="lightGray"/>
        </w:rPr>
        <w:t>enhanced</w:t>
      </w:r>
      <w:r w:rsidR="00FA1288" w:rsidRPr="00194716">
        <w:rPr>
          <w:rFonts w:ascii="Calibri" w:hAnsi="Calibri" w:cs="Calibri"/>
          <w:sz w:val="21"/>
          <w:szCs w:val="21"/>
          <w:highlight w:val="lightGray"/>
        </w:rPr>
        <w:t xml:space="preserve"> by Forest-Farm Facility </w:t>
      </w:r>
      <w:r w:rsidRPr="00194716">
        <w:rPr>
          <w:rFonts w:ascii="Calibri" w:hAnsi="Calibri" w:cs="Calibri"/>
          <w:sz w:val="21"/>
          <w:szCs w:val="21"/>
          <w:highlight w:val="lightGray"/>
        </w:rPr>
        <w:t>invest</w:t>
      </w:r>
      <w:r w:rsidR="00940F40" w:rsidRPr="00194716">
        <w:rPr>
          <w:rFonts w:ascii="Calibri" w:hAnsi="Calibri" w:cs="Calibri"/>
          <w:sz w:val="21"/>
          <w:szCs w:val="21"/>
          <w:highlight w:val="lightGray"/>
        </w:rPr>
        <w:t>ments</w:t>
      </w:r>
      <w:r w:rsidRPr="00194716">
        <w:rPr>
          <w:rFonts w:ascii="Calibri" w:hAnsi="Calibri" w:cs="Calibri"/>
          <w:sz w:val="21"/>
          <w:szCs w:val="21"/>
          <w:highlight w:val="lightGray"/>
        </w:rPr>
        <w:t xml:space="preserve"> in commun</w:t>
      </w:r>
      <w:r w:rsidR="00940F40" w:rsidRPr="00194716">
        <w:rPr>
          <w:rFonts w:ascii="Calibri" w:hAnsi="Calibri" w:cs="Calibri"/>
          <w:sz w:val="21"/>
          <w:szCs w:val="21"/>
          <w:highlight w:val="lightGray"/>
        </w:rPr>
        <w:t>al</w:t>
      </w:r>
      <w:r w:rsidRPr="00194716">
        <w:rPr>
          <w:rFonts w:ascii="Calibri" w:hAnsi="Calibri" w:cs="Calibri"/>
          <w:sz w:val="21"/>
          <w:szCs w:val="21"/>
          <w:highlight w:val="lightGray"/>
        </w:rPr>
        <w:t xml:space="preserve"> assets</w:t>
      </w:r>
    </w:p>
    <w:p w14:paraId="0F4BB493" w14:textId="635FDF74" w:rsidR="00456C44" w:rsidRPr="00456C44" w:rsidRDefault="00D51BAD" w:rsidP="001667C6">
      <w:pPr>
        <w:pStyle w:val="ParagraphOED"/>
        <w:numPr>
          <w:ilvl w:val="0"/>
          <w:numId w:val="102"/>
        </w:numPr>
        <w:spacing w:after="160"/>
      </w:pPr>
      <w:r w:rsidRPr="1E65A5F7">
        <w:rPr>
          <w:rFonts w:asciiTheme="minorHAnsi" w:hAnsiTheme="minorHAnsi" w:cstheme="minorBidi"/>
        </w:rPr>
        <w:t xml:space="preserve">The FFF model, yet to be piloted in Angola, can potentially raise the potential of FFS and APFS initiatives in Output 2.2.1 by introducing social organization to agricultural production that in turn can both generate revolving funds from within the land-user community and attract </w:t>
      </w:r>
      <w:r w:rsidRPr="1E65A5F7">
        <w:rPr>
          <w:rFonts w:asciiTheme="minorHAnsi" w:hAnsiTheme="minorHAnsi" w:cstheme="minorBidi"/>
        </w:rPr>
        <w:lastRenderedPageBreak/>
        <w:t xml:space="preserve">investments from local enterprises for essential tools, facilities and other resources for SLM/SFM, especially if kicked started by </w:t>
      </w:r>
      <w:r w:rsidR="00C91D38" w:rsidRPr="1E65A5F7">
        <w:rPr>
          <w:rFonts w:asciiTheme="minorHAnsi" w:hAnsiTheme="minorHAnsi" w:cstheme="minorBidi"/>
        </w:rPr>
        <w:t xml:space="preserve">this GEF-7 grant and </w:t>
      </w:r>
      <w:r w:rsidRPr="1E65A5F7">
        <w:rPr>
          <w:rFonts w:asciiTheme="minorHAnsi" w:hAnsiTheme="minorHAnsi" w:cstheme="minorBidi"/>
        </w:rPr>
        <w:t xml:space="preserve">government </w:t>
      </w:r>
      <w:r w:rsidR="00C91D38" w:rsidRPr="1E65A5F7">
        <w:rPr>
          <w:rFonts w:asciiTheme="minorHAnsi" w:hAnsiTheme="minorHAnsi" w:cstheme="minorBidi"/>
        </w:rPr>
        <w:t>co-financing</w:t>
      </w:r>
      <w:r w:rsidRPr="1E65A5F7">
        <w:rPr>
          <w:rFonts w:asciiTheme="minorHAnsi" w:hAnsiTheme="minorHAnsi" w:cstheme="minorBidi"/>
        </w:rPr>
        <w:t>. This in turn generates cooperation among land-users, investing in and sharing commonly needed goods to safeguard/improve/increase production, and enterprising partnerships within the wider community, thereby nurturing resilience and greater self-</w:t>
      </w:r>
      <w:r w:rsidR="00C91D38" w:rsidRPr="1E65A5F7">
        <w:rPr>
          <w:rFonts w:asciiTheme="minorHAnsi" w:hAnsiTheme="minorHAnsi" w:cstheme="minorBidi"/>
        </w:rPr>
        <w:t>sufficiency.</w:t>
      </w:r>
    </w:p>
    <w:p w14:paraId="3D54E098" w14:textId="526CD340" w:rsidR="001158C1" w:rsidRPr="001158C1" w:rsidRDefault="001158C1" w:rsidP="001667C6">
      <w:pPr>
        <w:pStyle w:val="ParagraphOED"/>
        <w:numPr>
          <w:ilvl w:val="0"/>
          <w:numId w:val="102"/>
        </w:numPr>
        <w:spacing w:after="160"/>
      </w:pPr>
      <w:r>
        <w:t>The two Outputs under Outcome 2.2 are mutually reinforcing and have much in common with each other, including training and investment needs that are earmarked under the capacity development  program (Output 2.1.4), awareness raising and targeting of stakeholders under the communications strategy in Component 3 and upscaling (mainstreaming)</w:t>
      </w:r>
      <w:r w:rsidR="0068589E">
        <w:t xml:space="preserve"> into national policy and programs under </w:t>
      </w:r>
      <w:r w:rsidR="0061498D">
        <w:t xml:space="preserve">Activity </w:t>
      </w:r>
      <w:r w:rsidR="0068589E">
        <w:t>1.1.</w:t>
      </w:r>
      <w:r w:rsidR="0061498D">
        <w:t>2b.</w:t>
      </w:r>
      <w:r w:rsidR="657AD384">
        <w:t xml:space="preserve"> Aditionally, output 2.3.2 (FBS) will also directly linck with both outputs of outcome 2.2</w:t>
      </w:r>
    </w:p>
    <w:p w14:paraId="07AE4383" w14:textId="3D39C899" w:rsidR="00F03AFE" w:rsidRPr="00F03AFE" w:rsidRDefault="009E38B0" w:rsidP="001667C6">
      <w:pPr>
        <w:pStyle w:val="ParagraphOED"/>
        <w:numPr>
          <w:ilvl w:val="0"/>
          <w:numId w:val="102"/>
        </w:numPr>
        <w:spacing w:after="160"/>
      </w:pPr>
      <w:r w:rsidRPr="1E65A5F7">
        <w:rPr>
          <w:rFonts w:asciiTheme="minorHAnsi" w:hAnsiTheme="minorHAnsi" w:cstheme="minorBidi"/>
        </w:rPr>
        <w:t>A</w:t>
      </w:r>
      <w:r w:rsidR="00D51BAD" w:rsidRPr="1E65A5F7">
        <w:rPr>
          <w:rFonts w:asciiTheme="minorHAnsi" w:hAnsiTheme="minorHAnsi" w:cstheme="minorBidi"/>
        </w:rPr>
        <w:t xml:space="preserve"> key investment </w:t>
      </w:r>
      <w:r w:rsidRPr="1E65A5F7">
        <w:rPr>
          <w:rFonts w:asciiTheme="minorHAnsi" w:hAnsiTheme="minorHAnsi" w:cstheme="minorBidi"/>
        </w:rPr>
        <w:t xml:space="preserve">for this project </w:t>
      </w:r>
      <w:r w:rsidR="00D51BAD" w:rsidRPr="1E65A5F7">
        <w:rPr>
          <w:rFonts w:asciiTheme="minorHAnsi" w:hAnsiTheme="minorHAnsi" w:cstheme="minorBidi"/>
        </w:rPr>
        <w:t xml:space="preserve">is considered to be </w:t>
      </w:r>
      <w:r w:rsidRPr="1E65A5F7">
        <w:rPr>
          <w:rFonts w:asciiTheme="minorHAnsi" w:hAnsiTheme="minorHAnsi" w:cstheme="minorBidi"/>
        </w:rPr>
        <w:t xml:space="preserve">the creation of </w:t>
      </w:r>
      <w:r w:rsidR="00D51BAD" w:rsidRPr="1E65A5F7">
        <w:rPr>
          <w:rFonts w:asciiTheme="minorHAnsi" w:hAnsiTheme="minorHAnsi" w:cstheme="minorBidi"/>
        </w:rPr>
        <w:t>Community Seed Banks (CSBs)</w:t>
      </w:r>
      <w:r w:rsidRPr="1E65A5F7">
        <w:rPr>
          <w:rFonts w:asciiTheme="minorHAnsi" w:hAnsiTheme="minorHAnsi" w:cstheme="minorBidi"/>
        </w:rPr>
        <w:t>;</w:t>
      </w:r>
      <w:r w:rsidR="00D51BAD" w:rsidRPr="1E65A5F7">
        <w:rPr>
          <w:rFonts w:asciiTheme="minorHAnsi" w:hAnsiTheme="minorHAnsi" w:cstheme="minorBidi"/>
        </w:rPr>
        <w:t xml:space="preserve"> and others might include </w:t>
      </w:r>
      <w:r w:rsidR="00D51BAD" w:rsidRPr="1E65A5F7">
        <w:rPr>
          <w:rFonts w:asciiTheme="minorHAnsi" w:hAnsiTheme="minorHAnsi" w:cstheme="minorBidi"/>
          <w:sz w:val="22"/>
          <w:szCs w:val="22"/>
        </w:rPr>
        <w:t xml:space="preserve">community </w:t>
      </w:r>
      <w:r w:rsidR="00456C44" w:rsidRPr="1E65A5F7">
        <w:rPr>
          <w:rFonts w:asciiTheme="minorHAnsi" w:hAnsiTheme="minorHAnsi" w:cstheme="minorBidi"/>
          <w:sz w:val="22"/>
          <w:szCs w:val="22"/>
        </w:rPr>
        <w:t>tree nurseries</w:t>
      </w:r>
      <w:r w:rsidR="00007171" w:rsidRPr="1E65A5F7">
        <w:rPr>
          <w:rFonts w:asciiTheme="minorHAnsi" w:hAnsiTheme="minorHAnsi" w:cstheme="minorBidi"/>
          <w:sz w:val="22"/>
          <w:szCs w:val="22"/>
        </w:rPr>
        <w:t>,</w:t>
      </w:r>
      <w:r w:rsidR="00456C44" w:rsidRPr="1E65A5F7">
        <w:rPr>
          <w:rFonts w:asciiTheme="minorHAnsi" w:hAnsiTheme="minorHAnsi" w:cstheme="minorBidi"/>
          <w:sz w:val="22"/>
          <w:szCs w:val="22"/>
        </w:rPr>
        <w:t xml:space="preserve"> </w:t>
      </w:r>
      <w:r w:rsidR="00D51BAD" w:rsidRPr="1E65A5F7">
        <w:rPr>
          <w:rFonts w:asciiTheme="minorHAnsi" w:hAnsiTheme="minorHAnsi" w:cstheme="minorBidi"/>
          <w:sz w:val="22"/>
          <w:szCs w:val="22"/>
        </w:rPr>
        <w:t>woodlots</w:t>
      </w:r>
      <w:r w:rsidR="00007171" w:rsidRPr="1E65A5F7">
        <w:rPr>
          <w:rFonts w:asciiTheme="minorHAnsi" w:hAnsiTheme="minorHAnsi" w:cstheme="minorBidi"/>
          <w:sz w:val="22"/>
          <w:szCs w:val="22"/>
        </w:rPr>
        <w:t xml:space="preserve"> and fuel efficient cooking stoves</w:t>
      </w:r>
      <w:r w:rsidR="00456C44" w:rsidRPr="1E65A5F7">
        <w:rPr>
          <w:rFonts w:asciiTheme="minorHAnsi" w:hAnsiTheme="minorHAnsi" w:cstheme="minorBidi"/>
          <w:sz w:val="22"/>
          <w:szCs w:val="22"/>
        </w:rPr>
        <w:t xml:space="preserve"> (</w:t>
      </w:r>
      <w:r w:rsidR="00007171" w:rsidRPr="1E65A5F7">
        <w:rPr>
          <w:rFonts w:asciiTheme="minorHAnsi" w:hAnsiTheme="minorHAnsi" w:cstheme="minorBidi"/>
          <w:sz w:val="22"/>
          <w:szCs w:val="22"/>
        </w:rPr>
        <w:t xml:space="preserve">all of which </w:t>
      </w:r>
      <w:r w:rsidR="00456C44" w:rsidRPr="1E65A5F7">
        <w:rPr>
          <w:rFonts w:asciiTheme="minorHAnsi" w:hAnsiTheme="minorHAnsi" w:cstheme="minorBidi"/>
          <w:sz w:val="22"/>
          <w:szCs w:val="22"/>
        </w:rPr>
        <w:t xml:space="preserve">link to charcoal/firewood VCs in Outcome </w:t>
      </w:r>
      <w:r w:rsidR="00446947" w:rsidRPr="1E65A5F7">
        <w:rPr>
          <w:rFonts w:asciiTheme="minorHAnsi" w:hAnsiTheme="minorHAnsi" w:cstheme="minorBidi"/>
          <w:sz w:val="22"/>
          <w:szCs w:val="22"/>
        </w:rPr>
        <w:t>2.</w:t>
      </w:r>
      <w:r w:rsidR="00456C44" w:rsidRPr="1E65A5F7">
        <w:rPr>
          <w:rFonts w:asciiTheme="minorHAnsi" w:hAnsiTheme="minorHAnsi" w:cstheme="minorBidi"/>
          <w:sz w:val="22"/>
          <w:szCs w:val="22"/>
        </w:rPr>
        <w:t xml:space="preserve">3), </w:t>
      </w:r>
      <w:r w:rsidR="004D1F90" w:rsidRPr="1E65A5F7">
        <w:rPr>
          <w:rFonts w:asciiTheme="minorHAnsi" w:hAnsiTheme="minorHAnsi" w:cstheme="minorBidi"/>
        </w:rPr>
        <w:t>small agricultural machinery for harvesting and processing post-harvest waste</w:t>
      </w:r>
      <w:r w:rsidR="00D51BAD" w:rsidRPr="1E65A5F7">
        <w:rPr>
          <w:rFonts w:asciiTheme="minorHAnsi" w:hAnsiTheme="minorHAnsi" w:cstheme="minorBidi"/>
          <w:sz w:val="22"/>
          <w:szCs w:val="22"/>
        </w:rPr>
        <w:t xml:space="preserve">, </w:t>
      </w:r>
      <w:r w:rsidR="00566B0D" w:rsidRPr="1E65A5F7">
        <w:rPr>
          <w:rFonts w:asciiTheme="minorHAnsi" w:hAnsiTheme="minorHAnsi" w:cstheme="minorBidi"/>
          <w:sz w:val="22"/>
          <w:szCs w:val="22"/>
        </w:rPr>
        <w:t xml:space="preserve">micro-irrigation and </w:t>
      </w:r>
      <w:r w:rsidR="00D51BAD" w:rsidRPr="1E65A5F7">
        <w:rPr>
          <w:rFonts w:asciiTheme="minorHAnsi" w:hAnsiTheme="minorHAnsi" w:cstheme="minorBidi"/>
          <w:sz w:val="22"/>
          <w:szCs w:val="22"/>
        </w:rPr>
        <w:t>water harvesting equipment</w:t>
      </w:r>
      <w:r w:rsidR="004D1F90" w:rsidRPr="1E65A5F7">
        <w:rPr>
          <w:rFonts w:asciiTheme="minorHAnsi" w:hAnsiTheme="minorHAnsi" w:cstheme="minorBidi"/>
          <w:sz w:val="22"/>
          <w:szCs w:val="22"/>
        </w:rPr>
        <w:t>,</w:t>
      </w:r>
      <w:r w:rsidR="00D51BAD" w:rsidRPr="1E65A5F7">
        <w:rPr>
          <w:rFonts w:asciiTheme="minorHAnsi" w:hAnsiTheme="minorHAnsi" w:cstheme="minorBidi"/>
          <w:sz w:val="22"/>
          <w:szCs w:val="22"/>
        </w:rPr>
        <w:t xml:space="preserve"> silos</w:t>
      </w:r>
      <w:r w:rsidR="004D1F90" w:rsidRPr="1E65A5F7">
        <w:rPr>
          <w:rFonts w:asciiTheme="minorHAnsi" w:hAnsiTheme="minorHAnsi" w:cstheme="minorBidi"/>
          <w:sz w:val="22"/>
          <w:szCs w:val="22"/>
        </w:rPr>
        <w:t xml:space="preserve"> (artisanal)</w:t>
      </w:r>
      <w:r w:rsidR="00D51BAD" w:rsidRPr="1E65A5F7">
        <w:rPr>
          <w:rFonts w:asciiTheme="minorHAnsi" w:hAnsiTheme="minorHAnsi" w:cstheme="minorBidi"/>
          <w:sz w:val="22"/>
          <w:szCs w:val="22"/>
        </w:rPr>
        <w:t xml:space="preserve"> for storing grain or silage</w:t>
      </w:r>
      <w:r w:rsidR="004D1F90" w:rsidRPr="1E65A5F7">
        <w:rPr>
          <w:rFonts w:asciiTheme="minorHAnsi" w:hAnsiTheme="minorHAnsi" w:cstheme="minorBidi"/>
          <w:sz w:val="22"/>
          <w:szCs w:val="22"/>
        </w:rPr>
        <w:t>,</w:t>
      </w:r>
      <w:r w:rsidR="004D1F90" w:rsidRPr="1E65A5F7">
        <w:rPr>
          <w:rFonts w:asciiTheme="minorHAnsi" w:hAnsiTheme="minorHAnsi" w:cstheme="minorBidi"/>
        </w:rPr>
        <w:t xml:space="preserve"> and refrigeration for storing harvested products</w:t>
      </w:r>
      <w:r w:rsidR="00446947" w:rsidRPr="1E65A5F7">
        <w:rPr>
          <w:rFonts w:asciiTheme="minorHAnsi" w:hAnsiTheme="minorHAnsi" w:cstheme="minorBidi"/>
          <w:sz w:val="22"/>
          <w:szCs w:val="22"/>
        </w:rPr>
        <w:t>.</w:t>
      </w:r>
      <w:r w:rsidR="00566B0D" w:rsidRPr="1E65A5F7">
        <w:rPr>
          <w:rFonts w:asciiTheme="minorHAnsi" w:hAnsiTheme="minorHAnsi" w:cstheme="minorBidi"/>
          <w:sz w:val="22"/>
          <w:szCs w:val="22"/>
        </w:rPr>
        <w:t xml:space="preserve"> Many of </w:t>
      </w:r>
      <w:r w:rsidR="00A41FDC" w:rsidRPr="1E65A5F7">
        <w:rPr>
          <w:rFonts w:asciiTheme="minorHAnsi" w:hAnsiTheme="minorHAnsi" w:cstheme="minorBidi"/>
          <w:sz w:val="22"/>
          <w:szCs w:val="22"/>
        </w:rPr>
        <w:t>these</w:t>
      </w:r>
      <w:r w:rsidR="00566B0D" w:rsidRPr="1E65A5F7">
        <w:rPr>
          <w:rFonts w:asciiTheme="minorHAnsi" w:hAnsiTheme="minorHAnsi" w:cstheme="minorBidi"/>
          <w:sz w:val="22"/>
          <w:szCs w:val="22"/>
        </w:rPr>
        <w:t xml:space="preserve"> investments link directly to agri-environment best practices</w:t>
      </w:r>
      <w:r w:rsidR="00153DB6" w:rsidRPr="1E65A5F7">
        <w:rPr>
          <w:rFonts w:asciiTheme="minorHAnsi" w:hAnsiTheme="minorHAnsi" w:cstheme="minorBidi"/>
          <w:sz w:val="22"/>
          <w:szCs w:val="22"/>
        </w:rPr>
        <w:t>,</w:t>
      </w:r>
      <w:r w:rsidR="004D1F90" w:rsidRPr="1E65A5F7">
        <w:rPr>
          <w:rFonts w:asciiTheme="minorHAnsi" w:hAnsiTheme="minorHAnsi" w:cstheme="minorBidi"/>
          <w:sz w:val="22"/>
          <w:szCs w:val="22"/>
        </w:rPr>
        <w:t xml:space="preserve"> and</w:t>
      </w:r>
      <w:r w:rsidR="00566B0D" w:rsidRPr="1E65A5F7">
        <w:rPr>
          <w:rFonts w:asciiTheme="minorHAnsi" w:hAnsiTheme="minorHAnsi" w:cstheme="minorBidi"/>
          <w:sz w:val="22"/>
          <w:szCs w:val="22"/>
        </w:rPr>
        <w:t xml:space="preserve"> climate-smart agriculture</w:t>
      </w:r>
      <w:r w:rsidR="00153DB6" w:rsidRPr="1E65A5F7">
        <w:rPr>
          <w:rFonts w:asciiTheme="minorHAnsi" w:hAnsiTheme="minorHAnsi" w:cstheme="minorBidi"/>
          <w:sz w:val="22"/>
          <w:szCs w:val="22"/>
        </w:rPr>
        <w:t xml:space="preserve"> (CSA)</w:t>
      </w:r>
      <w:r w:rsidR="00566B0D" w:rsidRPr="1E65A5F7">
        <w:rPr>
          <w:rFonts w:asciiTheme="minorHAnsi" w:hAnsiTheme="minorHAnsi" w:cstheme="minorBidi"/>
          <w:sz w:val="22"/>
          <w:szCs w:val="22"/>
        </w:rPr>
        <w:t xml:space="preserve"> and irrigation</w:t>
      </w:r>
      <w:r w:rsidR="004D1F90" w:rsidRPr="1E65A5F7">
        <w:rPr>
          <w:rFonts w:asciiTheme="minorHAnsi" w:hAnsiTheme="minorHAnsi" w:cstheme="minorBidi"/>
          <w:sz w:val="22"/>
          <w:szCs w:val="22"/>
        </w:rPr>
        <w:t xml:space="preserve"> that</w:t>
      </w:r>
      <w:r w:rsidR="00A41FDC" w:rsidRPr="1E65A5F7">
        <w:rPr>
          <w:rFonts w:asciiTheme="minorHAnsi" w:hAnsiTheme="minorHAnsi" w:cstheme="minorBidi"/>
          <w:sz w:val="22"/>
          <w:szCs w:val="22"/>
        </w:rPr>
        <w:t xml:space="preserve"> cut across Component 2 </w:t>
      </w:r>
      <w:r w:rsidR="00153DB6" w:rsidRPr="1E65A5F7">
        <w:rPr>
          <w:rFonts w:asciiTheme="minorHAnsi" w:hAnsiTheme="minorHAnsi" w:cstheme="minorBidi"/>
          <w:sz w:val="22"/>
          <w:szCs w:val="22"/>
        </w:rPr>
        <w:t>o</w:t>
      </w:r>
      <w:r w:rsidR="00A41FDC" w:rsidRPr="1E65A5F7">
        <w:rPr>
          <w:rFonts w:asciiTheme="minorHAnsi" w:hAnsiTheme="minorHAnsi" w:cstheme="minorBidi"/>
          <w:sz w:val="22"/>
          <w:szCs w:val="22"/>
        </w:rPr>
        <w:t>utcomes and can be delivered and enhanced via the FFF model</w:t>
      </w:r>
      <w:r w:rsidR="00446947" w:rsidRPr="1E65A5F7">
        <w:rPr>
          <w:rFonts w:asciiTheme="minorHAnsi" w:hAnsiTheme="minorHAnsi" w:cstheme="minorBidi"/>
          <w:sz w:val="22"/>
          <w:szCs w:val="22"/>
        </w:rPr>
        <w:t xml:space="preserve"> under Output 2.2.1</w:t>
      </w:r>
      <w:r w:rsidR="00A41FDC" w:rsidRPr="1E65A5F7">
        <w:rPr>
          <w:rFonts w:asciiTheme="minorHAnsi" w:hAnsiTheme="minorHAnsi" w:cstheme="minorBidi"/>
          <w:sz w:val="22"/>
          <w:szCs w:val="22"/>
        </w:rPr>
        <w:t>.</w:t>
      </w:r>
      <w:r w:rsidR="00007171" w:rsidRPr="1E65A5F7">
        <w:rPr>
          <w:rFonts w:asciiTheme="minorHAnsi" w:hAnsiTheme="minorHAnsi" w:cstheme="minorBidi"/>
        </w:rPr>
        <w:t xml:space="preserve"> </w:t>
      </w:r>
    </w:p>
    <w:p w14:paraId="54D54EA3" w14:textId="2F36E924" w:rsidR="009563B4" w:rsidRPr="00CE1EA7" w:rsidRDefault="009563B4" w:rsidP="001667C6">
      <w:pPr>
        <w:pStyle w:val="ParagraphOED"/>
        <w:numPr>
          <w:ilvl w:val="0"/>
          <w:numId w:val="102"/>
        </w:numPr>
        <w:spacing w:after="160"/>
      </w:pPr>
      <w:r>
        <w:t xml:space="preserve"> CSBs often serve as an emergency seed supply</w:t>
      </w:r>
      <w:r w:rsidR="00D51BAD">
        <w:t>,</w:t>
      </w:r>
      <w:r>
        <w:t xml:space="preserve"> when farmers experience a shortage of seeds due to failure or destruction of crops as a result of floods, droughts, pests and diseases. However, CSB</w:t>
      </w:r>
      <w:r w:rsidR="00D51BAD">
        <w:t>s</w:t>
      </w:r>
      <w:r>
        <w:t xml:space="preserve"> also have a more practical and dynamic use</w:t>
      </w:r>
      <w:r w:rsidRPr="1E65A5F7">
        <w:rPr>
          <w:u w:val="double"/>
        </w:rPr>
        <w:t xml:space="preserve"> </w:t>
      </w:r>
      <w:r>
        <w:t>for communities in the</w:t>
      </w:r>
      <w:r w:rsidR="00446947">
        <w:t>ir</w:t>
      </w:r>
      <w:r>
        <w:t xml:space="preserve"> management of surrounding landscapes</w:t>
      </w:r>
      <w:r w:rsidR="00D51BAD">
        <w:t>,</w:t>
      </w:r>
      <w:r>
        <w:t xml:space="preserve"> </w:t>
      </w:r>
      <w:r w:rsidR="00D51BAD">
        <w:t>they</w:t>
      </w:r>
      <w:r>
        <w:t xml:space="preserve"> help </w:t>
      </w:r>
      <w:r w:rsidR="00D51BAD">
        <w:t xml:space="preserve">to </w:t>
      </w:r>
      <w:r>
        <w:t xml:space="preserve">maintain a constant supply of selected quality seeds </w:t>
      </w:r>
      <w:r w:rsidR="00D51BAD">
        <w:t>for</w:t>
      </w:r>
      <w:r>
        <w:t xml:space="preserve"> farmers and forest</w:t>
      </w:r>
      <w:r w:rsidR="00D51BAD">
        <w:t>ers</w:t>
      </w:r>
      <w:r>
        <w:t>. Seeds are obtained from the farmers in the community</w:t>
      </w:r>
      <w:r w:rsidR="00D51BAD">
        <w:t xml:space="preserve">, </w:t>
      </w:r>
      <w:r>
        <w:t>selected and stored</w:t>
      </w:r>
      <w:r w:rsidR="00D51BAD">
        <w:t xml:space="preserve"> according to an</w:t>
      </w:r>
      <w:r>
        <w:t xml:space="preserve"> agreed storage </w:t>
      </w:r>
      <w:r w:rsidR="00C90510">
        <w:t>protocl</w:t>
      </w:r>
      <w:r>
        <w:t xml:space="preserve">. </w:t>
      </w:r>
    </w:p>
    <w:p w14:paraId="1636A00E" w14:textId="28F20372" w:rsidR="009563B4" w:rsidRPr="00CE1EA7" w:rsidRDefault="00C90510" w:rsidP="001667C6">
      <w:pPr>
        <w:pStyle w:val="ParagraphOED"/>
        <w:numPr>
          <w:ilvl w:val="0"/>
          <w:numId w:val="102"/>
        </w:numPr>
        <w:spacing w:after="160"/>
      </w:pPr>
      <w:r>
        <w:t>A</w:t>
      </w:r>
      <w:r w:rsidR="009563B4">
        <w:t xml:space="preserve">dequately implemented, CSBs </w:t>
      </w:r>
      <w:r w:rsidR="00D54CC9">
        <w:t xml:space="preserve">will </w:t>
      </w:r>
      <w:r w:rsidR="009563B4">
        <w:t xml:space="preserve">help safeguard the diversity and resilience of locally adapted cultivars of food crops as well as useful trees, </w:t>
      </w:r>
      <w:r w:rsidR="00D51BAD">
        <w:t xml:space="preserve">enabling </w:t>
      </w:r>
      <w:r w:rsidR="009563B4">
        <w:t xml:space="preserve">communities </w:t>
      </w:r>
      <w:r w:rsidR="00D51BAD">
        <w:t>to</w:t>
      </w:r>
      <w:r w:rsidR="009563B4">
        <w:t xml:space="preserve"> successfully establish and maintain tree nurseries, arboreta and carry out ecosystem restoration initiatives. Establishing and maintaining a CSB program in country is also</w:t>
      </w:r>
      <w:r w:rsidR="00D51BAD">
        <w:t xml:space="preserve"> an</w:t>
      </w:r>
      <w:r w:rsidR="009563B4">
        <w:t xml:space="preserve"> important strategy </w:t>
      </w:r>
      <w:r w:rsidR="00D51BAD">
        <w:t>that aligns with</w:t>
      </w:r>
      <w:r w:rsidR="009563B4">
        <w:t xml:space="preserve"> the International Treaty on Plant Genetic Resources for Food and Agriculture</w:t>
      </w:r>
      <w:r w:rsidR="00D51BAD">
        <w:t xml:space="preserve">, </w:t>
      </w:r>
      <w:r w:rsidR="00446947">
        <w:t>providing</w:t>
      </w:r>
      <w:r w:rsidR="00D51BAD">
        <w:t xml:space="preserve"> further justification for using this project to pilot such a</w:t>
      </w:r>
      <w:r>
        <w:t>n initiative</w:t>
      </w:r>
      <w:r w:rsidR="00D51BAD">
        <w:t xml:space="preserve"> in Angola’s Miombo-Mopane drylands</w:t>
      </w:r>
      <w:r w:rsidR="009563B4">
        <w:t>.</w:t>
      </w:r>
    </w:p>
    <w:p w14:paraId="5C178925" w14:textId="3B078A43" w:rsidR="00A41FDC" w:rsidRPr="00A41FDC" w:rsidRDefault="00D54CC9" w:rsidP="001667C6">
      <w:pPr>
        <w:pStyle w:val="ParagraphOED"/>
        <w:numPr>
          <w:ilvl w:val="0"/>
          <w:numId w:val="102"/>
        </w:numPr>
        <w:spacing w:after="160"/>
      </w:pPr>
      <w:r>
        <w:t>I</w:t>
      </w:r>
      <w:r w:rsidRPr="619CA689">
        <w:t>mplementation of a CSB initiative in Angola, coupled with an adequate package of rural advisory services, is expected to contribute significantly to the agricultural intensification and the development of sustainable food systems locally within the targeted landscapes. The proposed activities for operationalizing the initiative in the targeted landscapes are identified below</w:t>
      </w:r>
      <w:r w:rsidR="004D419B">
        <w:rPr>
          <w:szCs w:val="21"/>
        </w:rPr>
        <w:t>,</w:t>
      </w:r>
      <w:r w:rsidRPr="619CA689">
        <w:rPr>
          <w:rStyle w:val="FootnoteReference"/>
        </w:rPr>
        <w:footnoteReference w:id="80"/>
      </w:r>
      <w:r w:rsidR="00A41FDC">
        <w:rPr>
          <w:szCs w:val="21"/>
        </w:rPr>
        <w:t xml:space="preserve"> </w:t>
      </w:r>
      <w:r w:rsidR="004D419B" w:rsidRPr="619CA689">
        <w:t xml:space="preserve">together with a number of small-scale individual seed enterprises that reinforce the </w:t>
      </w:r>
      <w:r w:rsidR="00650CAA" w:rsidRPr="619CA689">
        <w:t>CSB</w:t>
      </w:r>
      <w:r w:rsidR="004D419B" w:rsidRPr="619CA689">
        <w:t xml:space="preserve"> facility.</w:t>
      </w:r>
    </w:p>
    <w:p w14:paraId="48A6EE96" w14:textId="583EC48D" w:rsidR="009563B4" w:rsidRPr="00CE1EA7" w:rsidRDefault="00A41FDC" w:rsidP="001667C6">
      <w:pPr>
        <w:pStyle w:val="ParagraphOED"/>
        <w:numPr>
          <w:ilvl w:val="0"/>
          <w:numId w:val="102"/>
        </w:numPr>
        <w:spacing w:after="160"/>
      </w:pPr>
      <w:r>
        <w:t>Other FFF initiatives</w:t>
      </w:r>
      <w:r w:rsidR="000D3391">
        <w:t>, including those</w:t>
      </w:r>
      <w:r>
        <w:t xml:space="preserve"> mentioned above</w:t>
      </w:r>
      <w:r w:rsidR="000D3391">
        <w:t>,</w:t>
      </w:r>
      <w:r>
        <w:t xml:space="preserve"> will </w:t>
      </w:r>
      <w:r w:rsidR="000D3391">
        <w:t>be reviewed further and prioritized for scoping during</w:t>
      </w:r>
      <w:r w:rsidR="00C90510">
        <w:t xml:space="preserve"> </w:t>
      </w:r>
      <w:r>
        <w:t>project inception</w:t>
      </w:r>
      <w:r w:rsidR="000D3391">
        <w:t xml:space="preserve"> as described below under Activity 2.2.2a</w:t>
      </w:r>
      <w:r>
        <w:t>. Cr</w:t>
      </w:r>
      <w:r w:rsidR="0025224C">
        <w:t>ucially important will be the establishment of one or more funding mechanisms</w:t>
      </w:r>
      <w:r w:rsidR="00C90510">
        <w:t xml:space="preserve"> </w:t>
      </w:r>
      <w:r w:rsidR="005A0CEC">
        <w:t xml:space="preserve">under Output 2.1.4 </w:t>
      </w:r>
      <w:r w:rsidR="00C90510">
        <w:t xml:space="preserve">to </w:t>
      </w:r>
      <w:r w:rsidR="00153DB6">
        <w:t>operationali</w:t>
      </w:r>
      <w:r w:rsidR="00133084">
        <w:t>z</w:t>
      </w:r>
      <w:r w:rsidR="00153DB6">
        <w:t xml:space="preserve">e </w:t>
      </w:r>
      <w:r w:rsidR="00C90510">
        <w:t>FFF</w:t>
      </w:r>
      <w:r w:rsidR="00153DB6">
        <w:t>s</w:t>
      </w:r>
      <w:r w:rsidR="00C90510">
        <w:t>.</w:t>
      </w:r>
    </w:p>
    <w:p w14:paraId="1D7DFF10" w14:textId="561D1AF1" w:rsidR="00F673D8" w:rsidRPr="00D712C0" w:rsidRDefault="00F673D8" w:rsidP="001667C6">
      <w:pPr>
        <w:pStyle w:val="ParagraphOED"/>
        <w:numPr>
          <w:ilvl w:val="0"/>
          <w:numId w:val="102"/>
        </w:numPr>
        <w:spacing w:before="160" w:after="80"/>
        <w:rPr>
          <w:b/>
          <w:bCs/>
        </w:rPr>
      </w:pPr>
      <w:r w:rsidRPr="1E65A5F7">
        <w:rPr>
          <w:b/>
          <w:bCs/>
        </w:rPr>
        <w:t>Indicative Activities under Output 2.2.2</w:t>
      </w:r>
    </w:p>
    <w:p w14:paraId="6F4D86B7" w14:textId="13A80E86" w:rsidR="00BF6DD9" w:rsidRDefault="00BF6DD9" w:rsidP="001667C6">
      <w:pPr>
        <w:pStyle w:val="ListParagraph"/>
        <w:numPr>
          <w:ilvl w:val="0"/>
          <w:numId w:val="81"/>
        </w:numPr>
        <w:spacing w:before="80" w:after="0"/>
        <w:ind w:hanging="294"/>
        <w:contextualSpacing w:val="0"/>
        <w:rPr>
          <w:sz w:val="21"/>
          <w:szCs w:val="21"/>
        </w:rPr>
      </w:pPr>
      <w:r>
        <w:rPr>
          <w:b/>
          <w:bCs/>
          <w:sz w:val="21"/>
          <w:szCs w:val="21"/>
        </w:rPr>
        <w:t xml:space="preserve">Identify </w:t>
      </w:r>
      <w:r w:rsidR="00E77B5A">
        <w:rPr>
          <w:b/>
          <w:bCs/>
          <w:sz w:val="21"/>
          <w:szCs w:val="21"/>
        </w:rPr>
        <w:t xml:space="preserve">a </w:t>
      </w:r>
      <w:r>
        <w:rPr>
          <w:b/>
          <w:bCs/>
          <w:sz w:val="21"/>
          <w:szCs w:val="21"/>
        </w:rPr>
        <w:t xml:space="preserve">small number (less than 10) of priority FFFs for potential implementation in the target landscapes, </w:t>
      </w:r>
      <w:r w:rsidR="00031700" w:rsidRPr="00031700">
        <w:rPr>
          <w:sz w:val="21"/>
          <w:szCs w:val="21"/>
        </w:rPr>
        <w:t xml:space="preserve">based on </w:t>
      </w:r>
      <w:r w:rsidR="00031700">
        <w:rPr>
          <w:sz w:val="21"/>
          <w:szCs w:val="21"/>
        </w:rPr>
        <w:t>the following:</w:t>
      </w:r>
    </w:p>
    <w:p w14:paraId="7FCD33C9" w14:textId="77777777" w:rsidR="00E77B5A" w:rsidRDefault="00BF6DD9" w:rsidP="001667C6">
      <w:pPr>
        <w:pStyle w:val="ListParagraph"/>
        <w:numPr>
          <w:ilvl w:val="1"/>
          <w:numId w:val="81"/>
        </w:numPr>
        <w:spacing w:before="80" w:after="0"/>
        <w:ind w:left="993" w:hanging="294"/>
        <w:contextualSpacing w:val="0"/>
        <w:rPr>
          <w:sz w:val="21"/>
          <w:szCs w:val="21"/>
        </w:rPr>
      </w:pPr>
      <w:r>
        <w:rPr>
          <w:sz w:val="21"/>
          <w:szCs w:val="21"/>
        </w:rPr>
        <w:t xml:space="preserve">A </w:t>
      </w:r>
      <w:r w:rsidR="00031700" w:rsidRPr="00031700">
        <w:rPr>
          <w:sz w:val="21"/>
          <w:szCs w:val="21"/>
        </w:rPr>
        <w:t xml:space="preserve">review of the 18 interventions pre-selected for the </w:t>
      </w:r>
      <w:r w:rsidR="00B56F2E" w:rsidRPr="00031700">
        <w:rPr>
          <w:sz w:val="21"/>
          <w:szCs w:val="21"/>
        </w:rPr>
        <w:t>target landscape</w:t>
      </w:r>
      <w:r w:rsidR="00031700" w:rsidRPr="00031700">
        <w:rPr>
          <w:sz w:val="21"/>
          <w:szCs w:val="21"/>
        </w:rPr>
        <w:t xml:space="preserve"> and the</w:t>
      </w:r>
      <w:r>
        <w:rPr>
          <w:sz w:val="21"/>
          <w:szCs w:val="21"/>
        </w:rPr>
        <w:t xml:space="preserve"> draft</w:t>
      </w:r>
      <w:r w:rsidR="00031700" w:rsidRPr="00031700">
        <w:rPr>
          <w:sz w:val="21"/>
          <w:szCs w:val="21"/>
        </w:rPr>
        <w:t xml:space="preserve"> FFS/APFS Strategy prepared under Activity 2</w:t>
      </w:r>
      <w:r w:rsidR="00031700">
        <w:rPr>
          <w:sz w:val="21"/>
          <w:szCs w:val="21"/>
        </w:rPr>
        <w:t>.2.1b</w:t>
      </w:r>
      <w:r w:rsidR="00E77B5A">
        <w:rPr>
          <w:sz w:val="21"/>
          <w:szCs w:val="21"/>
        </w:rPr>
        <w:t>.</w:t>
      </w:r>
    </w:p>
    <w:p w14:paraId="6393DB14" w14:textId="77777777" w:rsidR="001722B4" w:rsidRDefault="00E77B5A" w:rsidP="001667C6">
      <w:pPr>
        <w:pStyle w:val="ListParagraph"/>
        <w:numPr>
          <w:ilvl w:val="1"/>
          <w:numId w:val="81"/>
        </w:numPr>
        <w:spacing w:before="80" w:after="0"/>
        <w:ind w:left="993" w:hanging="294"/>
        <w:contextualSpacing w:val="0"/>
        <w:rPr>
          <w:sz w:val="21"/>
          <w:szCs w:val="21"/>
        </w:rPr>
      </w:pPr>
      <w:r>
        <w:rPr>
          <w:sz w:val="21"/>
          <w:szCs w:val="21"/>
        </w:rPr>
        <w:lastRenderedPageBreak/>
        <w:t>Consultations with key partners and stakeholders representing: agricultural, forestry and water resource and waste management sectors at national and local levels; municipality and provincial authorities; land owners and users, farmers, foresters, livestock owners and their respective associations; and communities</w:t>
      </w:r>
      <w:r w:rsidR="001722B4">
        <w:rPr>
          <w:sz w:val="21"/>
          <w:szCs w:val="21"/>
        </w:rPr>
        <w:t xml:space="preserve"> and local NGOs within the target LMUs.</w:t>
      </w:r>
    </w:p>
    <w:p w14:paraId="417074EA" w14:textId="278712A7" w:rsidR="001722B4" w:rsidRPr="00140C1B" w:rsidRDefault="00856017" w:rsidP="001667C6">
      <w:pPr>
        <w:pStyle w:val="ListParagraph"/>
        <w:numPr>
          <w:ilvl w:val="1"/>
          <w:numId w:val="81"/>
        </w:numPr>
        <w:spacing w:before="80" w:after="0"/>
        <w:ind w:left="993" w:hanging="294"/>
        <w:contextualSpacing w:val="0"/>
        <w:rPr>
          <w:sz w:val="21"/>
          <w:szCs w:val="21"/>
        </w:rPr>
      </w:pPr>
      <w:r w:rsidRPr="00140C1B">
        <w:rPr>
          <w:sz w:val="21"/>
          <w:szCs w:val="21"/>
        </w:rPr>
        <w:t>A</w:t>
      </w:r>
      <w:r w:rsidR="001722B4" w:rsidRPr="00140C1B">
        <w:rPr>
          <w:sz w:val="21"/>
          <w:szCs w:val="21"/>
        </w:rPr>
        <w:t xml:space="preserve"> tentative list of specific FFFs </w:t>
      </w:r>
      <w:r w:rsidRPr="00140C1B">
        <w:rPr>
          <w:sz w:val="21"/>
          <w:szCs w:val="21"/>
        </w:rPr>
        <w:t xml:space="preserve">drafted on the </w:t>
      </w:r>
      <w:r w:rsidR="001722B4" w:rsidRPr="00140C1B">
        <w:rPr>
          <w:sz w:val="21"/>
          <w:szCs w:val="21"/>
        </w:rPr>
        <w:t>bas</w:t>
      </w:r>
      <w:r w:rsidRPr="00140C1B">
        <w:rPr>
          <w:sz w:val="21"/>
          <w:szCs w:val="21"/>
        </w:rPr>
        <w:t>is of</w:t>
      </w:r>
      <w:r w:rsidR="001722B4" w:rsidRPr="00140C1B">
        <w:rPr>
          <w:sz w:val="21"/>
          <w:szCs w:val="21"/>
        </w:rPr>
        <w:t xml:space="preserve"> some basic criteria.</w:t>
      </w:r>
    </w:p>
    <w:p w14:paraId="59550318" w14:textId="77777777" w:rsidR="00080F0D" w:rsidRPr="00140C1B" w:rsidRDefault="00080F0D" w:rsidP="001667C6">
      <w:pPr>
        <w:pStyle w:val="ListParagraph"/>
        <w:numPr>
          <w:ilvl w:val="1"/>
          <w:numId w:val="81"/>
        </w:numPr>
        <w:spacing w:before="80" w:after="0"/>
        <w:ind w:left="993" w:hanging="294"/>
        <w:contextualSpacing w:val="0"/>
        <w:rPr>
          <w:sz w:val="21"/>
          <w:szCs w:val="21"/>
        </w:rPr>
      </w:pPr>
      <w:r w:rsidRPr="00140C1B">
        <w:rPr>
          <w:sz w:val="21"/>
          <w:szCs w:val="21"/>
        </w:rPr>
        <w:t>A workshop with the same key stakeholder groups represented at which the criteria are expanded, strengthened and agreed; and a priority list of FFFs generated by consensus. The Project Inception Workshop could be one opportunity to undertake this prioritizing.</w:t>
      </w:r>
    </w:p>
    <w:p w14:paraId="4D481A7F" w14:textId="77777777" w:rsidR="000D3391" w:rsidRPr="00CC5F4C" w:rsidRDefault="000D3391" w:rsidP="001667C6">
      <w:pPr>
        <w:pStyle w:val="ListParagraph"/>
        <w:numPr>
          <w:ilvl w:val="0"/>
          <w:numId w:val="81"/>
        </w:numPr>
        <w:tabs>
          <w:tab w:val="left" w:pos="426"/>
        </w:tabs>
        <w:spacing w:before="80" w:after="80"/>
        <w:ind w:hanging="295"/>
        <w:contextualSpacing w:val="0"/>
        <w:rPr>
          <w:color w:val="auto"/>
          <w:sz w:val="21"/>
          <w:szCs w:val="21"/>
        </w:rPr>
      </w:pPr>
      <w:r w:rsidRPr="00CC5F4C">
        <w:rPr>
          <w:b/>
          <w:bCs/>
          <w:color w:val="auto"/>
          <w:sz w:val="21"/>
          <w:szCs w:val="21"/>
        </w:rPr>
        <w:t>Determine FFF locations within the project intervention sites (LMUs)</w:t>
      </w:r>
      <w:r w:rsidRPr="00CC5F4C">
        <w:rPr>
          <w:color w:val="auto"/>
          <w:sz w:val="21"/>
          <w:szCs w:val="21"/>
        </w:rPr>
        <w:t>, which can be classified by land-use system (refer to Table 6). Determination should take into account the ILUP underway (or about to start) under Output 2.1.1 and location of FFSs under Output 2.2.1.</w:t>
      </w:r>
    </w:p>
    <w:p w14:paraId="079E40BE" w14:textId="70925322" w:rsidR="00AE765E" w:rsidRPr="00CC5F4C" w:rsidRDefault="00080F0D" w:rsidP="001667C6">
      <w:pPr>
        <w:pStyle w:val="ListParagraph"/>
        <w:numPr>
          <w:ilvl w:val="0"/>
          <w:numId w:val="81"/>
        </w:numPr>
        <w:tabs>
          <w:tab w:val="left" w:pos="426"/>
        </w:tabs>
        <w:spacing w:before="80" w:after="80"/>
        <w:ind w:left="714" w:hanging="294"/>
        <w:contextualSpacing w:val="0"/>
        <w:rPr>
          <w:color w:val="auto"/>
          <w:sz w:val="21"/>
          <w:szCs w:val="21"/>
        </w:rPr>
      </w:pPr>
      <w:r w:rsidRPr="36822015">
        <w:rPr>
          <w:b/>
          <w:bCs/>
          <w:color w:val="auto"/>
          <w:sz w:val="21"/>
          <w:szCs w:val="21"/>
        </w:rPr>
        <w:t xml:space="preserve">Scope the priority FFFs </w:t>
      </w:r>
      <w:r w:rsidRPr="36822015">
        <w:rPr>
          <w:color w:val="auto"/>
          <w:sz w:val="21"/>
          <w:szCs w:val="21"/>
        </w:rPr>
        <w:t>in a similar generic manner to that specified for the CBS described below</w:t>
      </w:r>
      <w:r w:rsidR="000D3391" w:rsidRPr="36822015">
        <w:rPr>
          <w:color w:val="auto"/>
          <w:sz w:val="21"/>
          <w:szCs w:val="21"/>
        </w:rPr>
        <w:t xml:space="preserve"> and, following approval by the Project Steeruing Committee, proceed with investing in the Facility</w:t>
      </w:r>
      <w:r w:rsidR="00787D32" w:rsidRPr="36822015">
        <w:rPr>
          <w:color w:val="auto"/>
          <w:sz w:val="21"/>
          <w:szCs w:val="21"/>
        </w:rPr>
        <w:t xml:space="preserve"> using funds earmarked under Output 2.1.4</w:t>
      </w:r>
      <w:r w:rsidR="6F09CEC6" w:rsidRPr="36822015">
        <w:rPr>
          <w:color w:val="auto"/>
          <w:sz w:val="21"/>
          <w:szCs w:val="21"/>
        </w:rPr>
        <w:t xml:space="preserve"> and linked to output 2.3.3 (Farmer Busines Schools)</w:t>
      </w:r>
      <w:r w:rsidRPr="36822015">
        <w:rPr>
          <w:b/>
          <w:bCs/>
          <w:color w:val="auto"/>
          <w:sz w:val="21"/>
          <w:szCs w:val="21"/>
        </w:rPr>
        <w:t xml:space="preserve"> </w:t>
      </w:r>
    </w:p>
    <w:p w14:paraId="59C767AF" w14:textId="77777777" w:rsidR="00787D32" w:rsidRPr="00CC5F4C" w:rsidRDefault="00787D32" w:rsidP="001667C6">
      <w:pPr>
        <w:pStyle w:val="ListParagraph"/>
        <w:numPr>
          <w:ilvl w:val="0"/>
          <w:numId w:val="81"/>
        </w:numPr>
        <w:spacing w:before="80" w:after="80"/>
        <w:ind w:left="714" w:hanging="357"/>
        <w:contextualSpacing w:val="0"/>
        <w:rPr>
          <w:color w:val="auto"/>
          <w:szCs w:val="21"/>
        </w:rPr>
      </w:pPr>
      <w:r w:rsidRPr="00CC5F4C">
        <w:rPr>
          <w:b/>
          <w:bCs/>
          <w:color w:val="auto"/>
          <w:szCs w:val="21"/>
        </w:rPr>
        <w:t>Host FFF open days</w:t>
      </w:r>
      <w:r w:rsidRPr="00CC5F4C">
        <w:rPr>
          <w:color w:val="auto"/>
          <w:szCs w:val="21"/>
        </w:rPr>
        <w:t xml:space="preserve"> at least annually and more frequently as opportunities and demands arise to sensitize other land users (farmers) to FFF experiences and results.</w:t>
      </w:r>
    </w:p>
    <w:p w14:paraId="17BCEEF1" w14:textId="77777777" w:rsidR="00730A36" w:rsidRPr="00CC5F4C" w:rsidRDefault="00730A36" w:rsidP="001667C6">
      <w:pPr>
        <w:pStyle w:val="ParagraphOED"/>
        <w:numPr>
          <w:ilvl w:val="0"/>
          <w:numId w:val="81"/>
        </w:numPr>
        <w:tabs>
          <w:tab w:val="left" w:pos="426"/>
        </w:tabs>
        <w:spacing w:before="80" w:after="0"/>
        <w:ind w:hanging="295"/>
      </w:pPr>
      <w:r w:rsidRPr="00CC5F4C">
        <w:rPr>
          <w:b/>
          <w:bCs/>
        </w:rPr>
        <w:t>Prepare a strategy to harmonize and integrate the FFF approach into national policies and programmes</w:t>
      </w:r>
      <w:r w:rsidRPr="00CC5F4C">
        <w:t xml:space="preserve"> delivered by Rural Advisory Services (RAS). Coordinate this action with that for FFSs/APFSs and incorporate the combined strategies into </w:t>
      </w:r>
      <w:r w:rsidRPr="00CC5F4C">
        <w:rPr>
          <w:u w:val="single"/>
        </w:rPr>
        <w:t>Output 1.1.2b</w:t>
      </w:r>
      <w:r w:rsidRPr="00CC5F4C">
        <w:t>.</w:t>
      </w:r>
    </w:p>
    <w:p w14:paraId="1435CFA9" w14:textId="7B174EDA" w:rsidR="00480C12" w:rsidRPr="00CC5F4C" w:rsidRDefault="00480C12" w:rsidP="001667C6">
      <w:pPr>
        <w:pStyle w:val="ListParagraph"/>
        <w:numPr>
          <w:ilvl w:val="0"/>
          <w:numId w:val="81"/>
        </w:numPr>
        <w:tabs>
          <w:tab w:val="left" w:pos="426"/>
        </w:tabs>
        <w:spacing w:before="80" w:after="0"/>
        <w:ind w:hanging="295"/>
        <w:contextualSpacing w:val="0"/>
        <w:rPr>
          <w:rFonts w:asciiTheme="minorHAnsi" w:hAnsiTheme="minorHAnsi" w:cstheme="minorHAnsi"/>
          <w:color w:val="auto"/>
          <w:sz w:val="21"/>
          <w:szCs w:val="21"/>
        </w:rPr>
      </w:pPr>
      <w:r w:rsidRPr="00CC5F4C">
        <w:rPr>
          <w:rFonts w:asciiTheme="minorHAnsi" w:hAnsiTheme="minorHAnsi" w:cstheme="minorHAnsi"/>
          <w:b/>
          <w:bCs/>
          <w:color w:val="auto"/>
          <w:sz w:val="21"/>
          <w:szCs w:val="21"/>
        </w:rPr>
        <w:t>Prepar</w:t>
      </w:r>
      <w:r w:rsidR="00F518B9" w:rsidRPr="00CC5F4C">
        <w:rPr>
          <w:rFonts w:asciiTheme="minorHAnsi" w:hAnsiTheme="minorHAnsi" w:cstheme="minorHAnsi"/>
          <w:b/>
          <w:bCs/>
          <w:color w:val="auto"/>
          <w:sz w:val="21"/>
          <w:szCs w:val="21"/>
        </w:rPr>
        <w:t>e</w:t>
      </w:r>
      <w:r w:rsidRPr="00CC5F4C">
        <w:rPr>
          <w:rFonts w:asciiTheme="minorHAnsi" w:hAnsiTheme="minorHAnsi" w:cstheme="minorHAnsi"/>
          <w:b/>
          <w:bCs/>
          <w:color w:val="auto"/>
          <w:sz w:val="21"/>
          <w:szCs w:val="21"/>
        </w:rPr>
        <w:t xml:space="preserve"> communication materials </w:t>
      </w:r>
      <w:r w:rsidRPr="00CC5F4C">
        <w:rPr>
          <w:rFonts w:asciiTheme="minorHAnsi" w:hAnsiTheme="minorHAnsi" w:cstheme="minorHAnsi"/>
          <w:color w:val="auto"/>
          <w:sz w:val="21"/>
          <w:szCs w:val="21"/>
        </w:rPr>
        <w:t xml:space="preserve">for inclusion in the project’s Communications Strategy (Component 3) to raise </w:t>
      </w:r>
      <w:r w:rsidR="00F518B9" w:rsidRPr="00CC5F4C">
        <w:rPr>
          <w:rFonts w:asciiTheme="minorHAnsi" w:hAnsiTheme="minorHAnsi" w:cstheme="minorHAnsi"/>
          <w:color w:val="auto"/>
          <w:sz w:val="21"/>
          <w:szCs w:val="21"/>
        </w:rPr>
        <w:t xml:space="preserve">the </w:t>
      </w:r>
      <w:r w:rsidRPr="00CC5F4C">
        <w:rPr>
          <w:rFonts w:asciiTheme="minorHAnsi" w:hAnsiTheme="minorHAnsi" w:cstheme="minorHAnsi"/>
          <w:color w:val="auto"/>
          <w:sz w:val="21"/>
          <w:szCs w:val="21"/>
        </w:rPr>
        <w:t xml:space="preserve">profile of this initiative and secure </w:t>
      </w:r>
      <w:r w:rsidR="00F518B9" w:rsidRPr="00CC5F4C">
        <w:rPr>
          <w:color w:val="auto"/>
          <w:sz w:val="21"/>
          <w:szCs w:val="21"/>
        </w:rPr>
        <w:t>regular technical inputs from the project’s Communications Specialist with respect to targeting FFF stakeholders.</w:t>
      </w:r>
    </w:p>
    <w:p w14:paraId="68F24B6A" w14:textId="4DD299BB" w:rsidR="00480C12" w:rsidRPr="008640B7" w:rsidRDefault="008640B7" w:rsidP="00030C20">
      <w:pPr>
        <w:pStyle w:val="Default"/>
        <w:spacing w:before="80" w:after="80"/>
        <w:ind w:left="426" w:firstLine="272"/>
        <w:rPr>
          <w:rFonts w:ascii="Calibri" w:hAnsi="Calibri" w:cs="Calibri"/>
          <w:b/>
          <w:bCs/>
          <w:sz w:val="21"/>
          <w:szCs w:val="21"/>
        </w:rPr>
      </w:pPr>
      <w:r w:rsidRPr="00787D32">
        <w:rPr>
          <w:rFonts w:ascii="Calibri" w:hAnsi="Calibri" w:cs="Calibri"/>
          <w:b/>
          <w:bCs/>
          <w:sz w:val="21"/>
          <w:szCs w:val="21"/>
          <w:highlight w:val="lightGray"/>
        </w:rPr>
        <w:t>Forest Farm Facil</w:t>
      </w:r>
      <w:r w:rsidR="00030C20" w:rsidRPr="00787D32">
        <w:rPr>
          <w:rFonts w:ascii="Calibri" w:hAnsi="Calibri" w:cs="Calibri"/>
          <w:b/>
          <w:bCs/>
          <w:sz w:val="21"/>
          <w:szCs w:val="21"/>
          <w:highlight w:val="lightGray"/>
        </w:rPr>
        <w:t>i</w:t>
      </w:r>
      <w:r w:rsidRPr="00787D32">
        <w:rPr>
          <w:rFonts w:ascii="Calibri" w:hAnsi="Calibri" w:cs="Calibri"/>
          <w:b/>
          <w:bCs/>
          <w:sz w:val="21"/>
          <w:szCs w:val="21"/>
          <w:highlight w:val="lightGray"/>
        </w:rPr>
        <w:t>ty: Community Seed Banks</w:t>
      </w:r>
    </w:p>
    <w:p w14:paraId="05AEBA32" w14:textId="458EA167" w:rsidR="00F673D8" w:rsidRPr="00007171" w:rsidRDefault="00F673D8" w:rsidP="001667C6">
      <w:pPr>
        <w:pStyle w:val="ListParagraph"/>
        <w:numPr>
          <w:ilvl w:val="0"/>
          <w:numId w:val="81"/>
        </w:numPr>
        <w:spacing w:after="80"/>
        <w:ind w:hanging="294"/>
        <w:contextualSpacing w:val="0"/>
        <w:rPr>
          <w:sz w:val="21"/>
          <w:szCs w:val="21"/>
        </w:rPr>
      </w:pPr>
      <w:r w:rsidRPr="00007171">
        <w:rPr>
          <w:b/>
          <w:bCs/>
          <w:sz w:val="21"/>
          <w:szCs w:val="21"/>
        </w:rPr>
        <w:t xml:space="preserve">Scope the establishment of Community Seed Banks in the target landscapes, </w:t>
      </w:r>
      <w:r w:rsidR="00007171" w:rsidRPr="00007171">
        <w:rPr>
          <w:sz w:val="21"/>
          <w:szCs w:val="21"/>
        </w:rPr>
        <w:t>in the following manner</w:t>
      </w:r>
      <w:r w:rsidRPr="00007171">
        <w:rPr>
          <w:sz w:val="21"/>
          <w:szCs w:val="21"/>
        </w:rPr>
        <w:t>:</w:t>
      </w:r>
    </w:p>
    <w:p w14:paraId="00ACE87D" w14:textId="141CA9EC" w:rsidR="00D54CC9" w:rsidRPr="004B0FFB" w:rsidRDefault="00D54CC9" w:rsidP="001667C6">
      <w:pPr>
        <w:pStyle w:val="ListParagraph"/>
        <w:numPr>
          <w:ilvl w:val="0"/>
          <w:numId w:val="35"/>
        </w:numPr>
        <w:spacing w:before="80" w:after="0"/>
        <w:ind w:left="993" w:hanging="284"/>
        <w:contextualSpacing w:val="0"/>
        <w:rPr>
          <w:rFonts w:asciiTheme="minorHAnsi" w:hAnsiTheme="minorHAnsi" w:cstheme="minorHAnsi"/>
          <w:sz w:val="21"/>
          <w:szCs w:val="21"/>
        </w:rPr>
      </w:pPr>
      <w:r w:rsidRPr="00D54CC9">
        <w:rPr>
          <w:rFonts w:asciiTheme="minorHAnsi" w:hAnsiTheme="minorHAnsi" w:cstheme="minorHAnsi"/>
          <w:b/>
          <w:bCs/>
          <w:sz w:val="21"/>
          <w:szCs w:val="21"/>
        </w:rPr>
        <w:t xml:space="preserve">Consult with relevant stakeholders </w:t>
      </w:r>
      <w:r w:rsidRPr="00D54CC9">
        <w:rPr>
          <w:rFonts w:asciiTheme="minorHAnsi" w:hAnsiTheme="minorHAnsi" w:cstheme="minorHAnsi"/>
          <w:b/>
          <w:bCs/>
          <w:sz w:val="23"/>
          <w:szCs w:val="23"/>
        </w:rPr>
        <w:t>about</w:t>
      </w:r>
      <w:r w:rsidRPr="00D54CC9">
        <w:rPr>
          <w:rFonts w:asciiTheme="minorHAnsi" w:hAnsiTheme="minorHAnsi" w:cstheme="minorHAnsi"/>
          <w:b/>
          <w:bCs/>
          <w:sz w:val="21"/>
          <w:szCs w:val="21"/>
        </w:rPr>
        <w:t xml:space="preserve"> </w:t>
      </w:r>
      <w:r>
        <w:rPr>
          <w:rFonts w:asciiTheme="minorHAnsi" w:hAnsiTheme="minorHAnsi" w:cstheme="minorHAnsi"/>
          <w:b/>
          <w:bCs/>
          <w:sz w:val="21"/>
          <w:szCs w:val="21"/>
        </w:rPr>
        <w:t>piloting</w:t>
      </w:r>
      <w:r w:rsidRPr="00D54CC9">
        <w:rPr>
          <w:rFonts w:asciiTheme="minorHAnsi" w:hAnsiTheme="minorHAnsi" w:cstheme="minorHAnsi"/>
          <w:b/>
          <w:bCs/>
          <w:sz w:val="21"/>
          <w:szCs w:val="21"/>
        </w:rPr>
        <w:t xml:space="preserve"> a CSB program</w:t>
      </w:r>
      <w:r w:rsidRPr="004B0FFB">
        <w:rPr>
          <w:rFonts w:asciiTheme="minorHAnsi" w:hAnsiTheme="minorHAnsi" w:cstheme="minorHAnsi"/>
          <w:sz w:val="21"/>
          <w:szCs w:val="21"/>
        </w:rPr>
        <w:t xml:space="preserve"> </w:t>
      </w:r>
      <w:r>
        <w:rPr>
          <w:rFonts w:asciiTheme="minorHAnsi" w:hAnsiTheme="minorHAnsi" w:cstheme="minorHAnsi"/>
          <w:sz w:val="21"/>
          <w:szCs w:val="21"/>
        </w:rPr>
        <w:t>in</w:t>
      </w:r>
      <w:r w:rsidRPr="004B0FFB">
        <w:rPr>
          <w:rFonts w:asciiTheme="minorHAnsi" w:hAnsiTheme="minorHAnsi" w:cstheme="minorHAnsi"/>
          <w:sz w:val="21"/>
          <w:szCs w:val="21"/>
        </w:rPr>
        <w:t xml:space="preserve"> the </w:t>
      </w:r>
      <w:r>
        <w:rPr>
          <w:rFonts w:asciiTheme="minorHAnsi" w:hAnsiTheme="minorHAnsi" w:cstheme="minorHAnsi"/>
          <w:sz w:val="21"/>
          <w:szCs w:val="21"/>
        </w:rPr>
        <w:t xml:space="preserve">target </w:t>
      </w:r>
      <w:r w:rsidRPr="004B0FFB">
        <w:rPr>
          <w:rFonts w:asciiTheme="minorHAnsi" w:hAnsiTheme="minorHAnsi" w:cstheme="minorHAnsi"/>
          <w:sz w:val="21"/>
          <w:szCs w:val="21"/>
        </w:rPr>
        <w:t>landscapes</w:t>
      </w:r>
      <w:r>
        <w:rPr>
          <w:rFonts w:asciiTheme="minorHAnsi" w:hAnsiTheme="minorHAnsi" w:cstheme="minorHAnsi"/>
          <w:sz w:val="21"/>
          <w:szCs w:val="21"/>
        </w:rPr>
        <w:t>;</w:t>
      </w:r>
      <w:r w:rsidRPr="004B0FFB">
        <w:rPr>
          <w:rFonts w:asciiTheme="minorHAnsi" w:hAnsiTheme="minorHAnsi" w:cstheme="minorHAnsi"/>
          <w:sz w:val="21"/>
          <w:szCs w:val="21"/>
        </w:rPr>
        <w:t xml:space="preserve"> query the current status of existing seed banks at national, </w:t>
      </w:r>
      <w:r>
        <w:rPr>
          <w:rFonts w:asciiTheme="minorHAnsi" w:hAnsiTheme="minorHAnsi" w:cstheme="minorHAnsi"/>
          <w:sz w:val="21"/>
          <w:szCs w:val="21"/>
        </w:rPr>
        <w:t>provincial</w:t>
      </w:r>
      <w:r w:rsidRPr="004B0FFB">
        <w:rPr>
          <w:rFonts w:asciiTheme="minorHAnsi" w:hAnsiTheme="minorHAnsi" w:cstheme="minorHAnsi"/>
          <w:sz w:val="21"/>
          <w:szCs w:val="21"/>
        </w:rPr>
        <w:t xml:space="preserve"> and local levels.</w:t>
      </w:r>
    </w:p>
    <w:p w14:paraId="26C0173A" w14:textId="2C8C39D8" w:rsidR="009563B4" w:rsidRPr="004B0FFB" w:rsidRDefault="04D0FBB9" w:rsidP="001667C6">
      <w:pPr>
        <w:pStyle w:val="ListParagraph"/>
        <w:numPr>
          <w:ilvl w:val="0"/>
          <w:numId w:val="50"/>
        </w:numPr>
        <w:spacing w:before="80" w:after="0"/>
        <w:ind w:left="993" w:hanging="284"/>
        <w:contextualSpacing w:val="0"/>
        <w:rPr>
          <w:rFonts w:asciiTheme="minorHAnsi" w:hAnsiTheme="minorHAnsi" w:cstheme="minorBidi"/>
          <w:sz w:val="21"/>
          <w:szCs w:val="21"/>
        </w:rPr>
      </w:pPr>
      <w:r w:rsidRPr="005A0CEC">
        <w:rPr>
          <w:b/>
          <w:bCs/>
        </w:rPr>
        <w:t>R</w:t>
      </w:r>
      <w:r w:rsidR="460C6265" w:rsidRPr="3764D022">
        <w:rPr>
          <w:rFonts w:asciiTheme="minorHAnsi" w:hAnsiTheme="minorHAnsi" w:cstheme="minorBidi"/>
          <w:b/>
          <w:bCs/>
          <w:sz w:val="21"/>
          <w:szCs w:val="21"/>
        </w:rPr>
        <w:t xml:space="preserve">eview </w:t>
      </w:r>
      <w:r w:rsidRPr="3764D022">
        <w:rPr>
          <w:rFonts w:asciiTheme="minorHAnsi" w:hAnsiTheme="minorHAnsi" w:cstheme="minorBidi"/>
          <w:b/>
          <w:bCs/>
          <w:sz w:val="21"/>
          <w:szCs w:val="21"/>
        </w:rPr>
        <w:t xml:space="preserve">current </w:t>
      </w:r>
      <w:r w:rsidR="460C6265" w:rsidRPr="3764D022">
        <w:rPr>
          <w:rFonts w:asciiTheme="minorHAnsi" w:hAnsiTheme="minorHAnsi" w:cstheme="minorBidi"/>
          <w:b/>
          <w:bCs/>
          <w:sz w:val="21"/>
          <w:szCs w:val="21"/>
        </w:rPr>
        <w:t>policy and legal regulations related to the establishment and/or management of seed banks in the country</w:t>
      </w:r>
      <w:r w:rsidR="460C6265" w:rsidRPr="3764D022">
        <w:rPr>
          <w:rFonts w:asciiTheme="minorHAnsi" w:hAnsiTheme="minorHAnsi" w:cstheme="minorBidi"/>
          <w:sz w:val="21"/>
          <w:szCs w:val="21"/>
        </w:rPr>
        <w:t>, including existing support mechanisms and requirements for strengthening or establishment of seed banks</w:t>
      </w:r>
      <w:r w:rsidRPr="3764D022">
        <w:rPr>
          <w:rFonts w:asciiTheme="minorHAnsi" w:hAnsiTheme="minorHAnsi" w:cstheme="minorBidi"/>
          <w:sz w:val="21"/>
          <w:szCs w:val="21"/>
        </w:rPr>
        <w:t>. Note the provision for this task under Activity 1.1.2b</w:t>
      </w:r>
      <w:r w:rsidR="51CFDC91" w:rsidRPr="3764D022">
        <w:rPr>
          <w:rFonts w:asciiTheme="minorHAnsi" w:hAnsiTheme="minorHAnsi" w:cstheme="minorBidi"/>
          <w:sz w:val="21"/>
          <w:szCs w:val="21"/>
        </w:rPr>
        <w:t>; and</w:t>
      </w:r>
      <w:r w:rsidRPr="3764D022">
        <w:rPr>
          <w:rFonts w:asciiTheme="minorHAnsi" w:hAnsiTheme="minorHAnsi" w:cstheme="minorBidi"/>
          <w:sz w:val="21"/>
          <w:szCs w:val="21"/>
        </w:rPr>
        <w:t xml:space="preserve"> establish contact with </w:t>
      </w:r>
      <w:r w:rsidR="460C6265" w:rsidRPr="3764D022">
        <w:rPr>
          <w:rFonts w:asciiTheme="minorHAnsi" w:hAnsiTheme="minorHAnsi" w:cstheme="minorBidi"/>
          <w:sz w:val="21"/>
          <w:szCs w:val="21"/>
        </w:rPr>
        <w:t>FAO’s Community Seed Bank (CSB) initiative</w:t>
      </w:r>
      <w:r w:rsidRPr="3764D022">
        <w:rPr>
          <w:rFonts w:asciiTheme="minorHAnsi" w:hAnsiTheme="minorHAnsi" w:cstheme="minorBidi"/>
          <w:sz w:val="21"/>
          <w:szCs w:val="21"/>
        </w:rPr>
        <w:t>.</w:t>
      </w:r>
      <w:r w:rsidR="009563B4" w:rsidRPr="3764D022">
        <w:rPr>
          <w:rStyle w:val="FootnoteReference"/>
          <w:rFonts w:asciiTheme="minorHAnsi" w:hAnsiTheme="minorHAnsi" w:cstheme="minorBidi"/>
          <w:sz w:val="21"/>
          <w:szCs w:val="21"/>
        </w:rPr>
        <w:footnoteReference w:id="81"/>
      </w:r>
    </w:p>
    <w:p w14:paraId="3247C4CB" w14:textId="7CCFFCA9" w:rsidR="009563B4" w:rsidRPr="004B0FFB" w:rsidRDefault="00D54CC9" w:rsidP="001667C6">
      <w:pPr>
        <w:pStyle w:val="ListParagraph"/>
        <w:numPr>
          <w:ilvl w:val="0"/>
          <w:numId w:val="50"/>
        </w:numPr>
        <w:spacing w:before="80" w:after="0"/>
        <w:ind w:left="993" w:hanging="284"/>
        <w:contextualSpacing w:val="0"/>
        <w:rPr>
          <w:rFonts w:asciiTheme="minorHAnsi" w:hAnsiTheme="minorHAnsi" w:cstheme="minorHAnsi"/>
          <w:sz w:val="21"/>
          <w:szCs w:val="21"/>
        </w:rPr>
      </w:pPr>
      <w:r w:rsidRPr="00D54CC9">
        <w:rPr>
          <w:rFonts w:asciiTheme="minorHAnsi" w:hAnsiTheme="minorHAnsi" w:cstheme="minorHAnsi"/>
          <w:b/>
          <w:bCs/>
          <w:sz w:val="21"/>
          <w:szCs w:val="21"/>
        </w:rPr>
        <w:t xml:space="preserve">Organize a </w:t>
      </w:r>
      <w:r w:rsidR="009563B4" w:rsidRPr="00D54CC9">
        <w:rPr>
          <w:rFonts w:asciiTheme="minorHAnsi" w:hAnsiTheme="minorHAnsi" w:cstheme="minorHAnsi"/>
          <w:b/>
          <w:bCs/>
          <w:sz w:val="21"/>
          <w:szCs w:val="21"/>
        </w:rPr>
        <w:t>National Seed Bank Workshop,</w:t>
      </w:r>
      <w:r w:rsidR="009563B4" w:rsidRPr="004B0FFB">
        <w:rPr>
          <w:rFonts w:asciiTheme="minorHAnsi" w:hAnsiTheme="minorHAnsi" w:cstheme="minorHAnsi"/>
          <w:sz w:val="21"/>
          <w:szCs w:val="21"/>
        </w:rPr>
        <w:t xml:space="preserve"> together with FAO’s CSB initiative</w:t>
      </w:r>
      <w:r>
        <w:rPr>
          <w:rFonts w:asciiTheme="minorHAnsi" w:hAnsiTheme="minorHAnsi" w:cstheme="minorHAnsi"/>
          <w:sz w:val="21"/>
          <w:szCs w:val="21"/>
        </w:rPr>
        <w:t>,</w:t>
      </w:r>
      <w:r w:rsidR="009563B4" w:rsidRPr="004B0FFB">
        <w:rPr>
          <w:rFonts w:asciiTheme="minorHAnsi" w:hAnsiTheme="minorHAnsi" w:cstheme="minorHAnsi"/>
          <w:sz w:val="21"/>
          <w:szCs w:val="21"/>
        </w:rPr>
        <w:t xml:space="preserve"> to:</w:t>
      </w:r>
    </w:p>
    <w:p w14:paraId="4CFB67DF" w14:textId="3D507123" w:rsidR="00D54CC9" w:rsidRDefault="00D54CC9" w:rsidP="001667C6">
      <w:pPr>
        <w:pStyle w:val="ListParagraph"/>
        <w:numPr>
          <w:ilvl w:val="1"/>
          <w:numId w:val="61"/>
        </w:numPr>
        <w:ind w:left="1276" w:hanging="283"/>
        <w:rPr>
          <w:rFonts w:asciiTheme="minorHAnsi" w:hAnsiTheme="minorHAnsi" w:cstheme="minorHAnsi"/>
          <w:sz w:val="21"/>
          <w:szCs w:val="21"/>
        </w:rPr>
      </w:pPr>
      <w:r>
        <w:rPr>
          <w:rFonts w:asciiTheme="minorHAnsi" w:hAnsiTheme="minorHAnsi" w:cstheme="minorHAnsi"/>
          <w:sz w:val="21"/>
          <w:szCs w:val="21"/>
        </w:rPr>
        <w:t xml:space="preserve">review a status report </w:t>
      </w:r>
      <w:r w:rsidR="005A0CEC">
        <w:rPr>
          <w:rFonts w:asciiTheme="minorHAnsi" w:hAnsiTheme="minorHAnsi" w:cstheme="minorHAnsi"/>
          <w:sz w:val="21"/>
          <w:szCs w:val="21"/>
        </w:rPr>
        <w:t xml:space="preserve">prepared by a consultant </w:t>
      </w:r>
      <w:r>
        <w:rPr>
          <w:rFonts w:asciiTheme="minorHAnsi" w:hAnsiTheme="minorHAnsi" w:cstheme="minorHAnsi"/>
          <w:sz w:val="21"/>
          <w:szCs w:val="21"/>
        </w:rPr>
        <w:t>on current status of seed banks in Angola, government’s aspirations and the views of the agricultural sector incuding local farmers;</w:t>
      </w:r>
    </w:p>
    <w:p w14:paraId="15494225" w14:textId="40C50365" w:rsidR="009563B4" w:rsidRPr="00D54CC9" w:rsidRDefault="00D54CC9" w:rsidP="001667C6">
      <w:pPr>
        <w:pStyle w:val="ListParagraph"/>
        <w:numPr>
          <w:ilvl w:val="1"/>
          <w:numId w:val="61"/>
        </w:numPr>
        <w:ind w:left="1276" w:hanging="283"/>
        <w:rPr>
          <w:rFonts w:asciiTheme="minorHAnsi" w:hAnsiTheme="minorHAnsi" w:cstheme="minorHAnsi"/>
          <w:szCs w:val="21"/>
        </w:rPr>
      </w:pPr>
      <w:r>
        <w:rPr>
          <w:rFonts w:asciiTheme="minorHAnsi" w:hAnsiTheme="minorHAnsi" w:cstheme="minorHAnsi"/>
          <w:sz w:val="21"/>
          <w:szCs w:val="21"/>
        </w:rPr>
        <w:t xml:space="preserve">identify </w:t>
      </w:r>
      <w:r w:rsidR="009563B4" w:rsidRPr="004B0FFB">
        <w:rPr>
          <w:rFonts w:asciiTheme="minorHAnsi" w:hAnsiTheme="minorHAnsi" w:cstheme="minorHAnsi"/>
          <w:sz w:val="21"/>
          <w:szCs w:val="21"/>
        </w:rPr>
        <w:t xml:space="preserve">how </w:t>
      </w:r>
      <w:r>
        <w:rPr>
          <w:rFonts w:asciiTheme="minorHAnsi" w:hAnsiTheme="minorHAnsi" w:cstheme="minorHAnsi"/>
          <w:sz w:val="21"/>
          <w:szCs w:val="21"/>
        </w:rPr>
        <w:t>a</w:t>
      </w:r>
      <w:r w:rsidRPr="004B0FFB">
        <w:rPr>
          <w:rFonts w:asciiTheme="minorHAnsi" w:hAnsiTheme="minorHAnsi" w:cstheme="minorHAnsi"/>
          <w:sz w:val="21"/>
          <w:szCs w:val="21"/>
        </w:rPr>
        <w:t xml:space="preserve"> </w:t>
      </w:r>
      <w:r w:rsidR="009563B4" w:rsidRPr="004B0FFB">
        <w:rPr>
          <w:rFonts w:asciiTheme="minorHAnsi" w:hAnsiTheme="minorHAnsi" w:cstheme="minorHAnsi"/>
          <w:sz w:val="21"/>
          <w:szCs w:val="21"/>
        </w:rPr>
        <w:t xml:space="preserve">CSB initiative </w:t>
      </w:r>
      <w:r>
        <w:rPr>
          <w:rFonts w:asciiTheme="minorHAnsi" w:hAnsiTheme="minorHAnsi" w:cstheme="minorHAnsi"/>
          <w:sz w:val="21"/>
          <w:szCs w:val="21"/>
        </w:rPr>
        <w:t>might</w:t>
      </w:r>
      <w:r w:rsidR="009563B4" w:rsidRPr="004B0FFB">
        <w:rPr>
          <w:rFonts w:asciiTheme="minorHAnsi" w:hAnsiTheme="minorHAnsi" w:cstheme="minorHAnsi"/>
          <w:sz w:val="21"/>
          <w:szCs w:val="21"/>
        </w:rPr>
        <w:t xml:space="preserve"> strengthen agricultural </w:t>
      </w:r>
      <w:r>
        <w:rPr>
          <w:rFonts w:asciiTheme="minorHAnsi" w:hAnsiTheme="minorHAnsi" w:cstheme="minorHAnsi"/>
          <w:sz w:val="21"/>
          <w:szCs w:val="21"/>
        </w:rPr>
        <w:t>production</w:t>
      </w:r>
      <w:r w:rsidR="009563B4" w:rsidRPr="004B0FFB">
        <w:rPr>
          <w:rFonts w:asciiTheme="minorHAnsi" w:hAnsiTheme="minorHAnsi" w:cstheme="minorHAnsi"/>
          <w:sz w:val="21"/>
          <w:szCs w:val="21"/>
        </w:rPr>
        <w:t xml:space="preserve"> and sustainable local food systems in Angola;</w:t>
      </w:r>
      <w:r>
        <w:rPr>
          <w:rFonts w:asciiTheme="minorHAnsi" w:hAnsiTheme="minorHAnsi" w:cstheme="minorHAnsi"/>
          <w:sz w:val="21"/>
          <w:szCs w:val="21"/>
        </w:rPr>
        <w:t xml:space="preserve"> </w:t>
      </w:r>
    </w:p>
    <w:p w14:paraId="26CCD08C" w14:textId="77777777" w:rsidR="00D54CC9" w:rsidRDefault="00D54CC9" w:rsidP="001667C6">
      <w:pPr>
        <w:pStyle w:val="ListParagraph"/>
        <w:numPr>
          <w:ilvl w:val="1"/>
          <w:numId w:val="61"/>
        </w:numPr>
        <w:ind w:left="1276" w:hanging="283"/>
        <w:rPr>
          <w:rFonts w:asciiTheme="minorHAnsi" w:hAnsiTheme="minorHAnsi" w:cstheme="minorHAnsi"/>
          <w:sz w:val="21"/>
          <w:szCs w:val="21"/>
        </w:rPr>
      </w:pPr>
      <w:r>
        <w:rPr>
          <w:rFonts w:asciiTheme="minorHAnsi" w:hAnsiTheme="minorHAnsi" w:cstheme="minorHAnsi"/>
          <w:sz w:val="21"/>
          <w:szCs w:val="21"/>
        </w:rPr>
        <w:t xml:space="preserve">deliberate the FFF initiative in the context of CSB regarding synergies, challenges and lessons to be learned from experience elsewhere with FFFs and CSBs; </w:t>
      </w:r>
    </w:p>
    <w:p w14:paraId="3B61CD76" w14:textId="2F17702E" w:rsidR="00D54CC9" w:rsidRDefault="04D0FBB9" w:rsidP="001667C6">
      <w:pPr>
        <w:pStyle w:val="ListParagraph"/>
        <w:numPr>
          <w:ilvl w:val="1"/>
          <w:numId w:val="61"/>
        </w:numPr>
        <w:ind w:left="1276" w:hanging="283"/>
        <w:rPr>
          <w:rFonts w:asciiTheme="minorHAnsi" w:hAnsiTheme="minorHAnsi" w:cstheme="minorBidi"/>
          <w:sz w:val="21"/>
          <w:szCs w:val="21"/>
        </w:rPr>
      </w:pPr>
      <w:r w:rsidRPr="3764D022">
        <w:rPr>
          <w:rFonts w:asciiTheme="minorHAnsi" w:hAnsiTheme="minorHAnsi" w:cstheme="minorBidi"/>
          <w:sz w:val="21"/>
          <w:szCs w:val="21"/>
        </w:rPr>
        <w:t xml:space="preserve">consider the extent to which this CBS model is aligned with the </w:t>
      </w:r>
      <w:r>
        <w:t>International Treaty on Plant Genetic Resources for Food and Agriculture provisions and identify further refinements;</w:t>
      </w:r>
      <w:r w:rsidRPr="3764D022">
        <w:rPr>
          <w:rFonts w:asciiTheme="minorHAnsi" w:hAnsiTheme="minorHAnsi" w:cstheme="minorBidi"/>
          <w:sz w:val="21"/>
          <w:szCs w:val="21"/>
        </w:rPr>
        <w:t xml:space="preserve"> and</w:t>
      </w:r>
    </w:p>
    <w:p w14:paraId="367B4787" w14:textId="606286E3" w:rsidR="009563B4" w:rsidRDefault="00D54CC9" w:rsidP="001667C6">
      <w:pPr>
        <w:pStyle w:val="ListParagraph"/>
        <w:numPr>
          <w:ilvl w:val="1"/>
          <w:numId w:val="61"/>
        </w:numPr>
        <w:spacing w:after="80"/>
        <w:ind w:left="1276" w:hanging="284"/>
        <w:contextualSpacing w:val="0"/>
        <w:rPr>
          <w:rFonts w:asciiTheme="minorHAnsi" w:hAnsiTheme="minorHAnsi" w:cstheme="minorHAnsi"/>
          <w:sz w:val="21"/>
          <w:szCs w:val="21"/>
        </w:rPr>
      </w:pPr>
      <w:r>
        <w:rPr>
          <w:rFonts w:asciiTheme="minorHAnsi" w:hAnsiTheme="minorHAnsi" w:cstheme="minorHAnsi"/>
          <w:sz w:val="21"/>
          <w:szCs w:val="21"/>
        </w:rPr>
        <w:t xml:space="preserve">review and strengthen this </w:t>
      </w:r>
      <w:r w:rsidR="009563B4" w:rsidRPr="004B0FFB">
        <w:rPr>
          <w:rFonts w:asciiTheme="minorHAnsi" w:hAnsiTheme="minorHAnsi" w:cstheme="minorHAnsi"/>
          <w:sz w:val="21"/>
          <w:szCs w:val="21"/>
        </w:rPr>
        <w:t xml:space="preserve">planned </w:t>
      </w:r>
      <w:r>
        <w:rPr>
          <w:rFonts w:asciiTheme="minorHAnsi" w:hAnsiTheme="minorHAnsi" w:cstheme="minorHAnsi"/>
          <w:sz w:val="21"/>
          <w:szCs w:val="21"/>
        </w:rPr>
        <w:t>Output based on the workshop’s deliberations, within the context of Project’s integrated land management approach that will be rolled out across Angola’s Miombo-Mopane landscapes in order to achieve LDN.</w:t>
      </w:r>
    </w:p>
    <w:p w14:paraId="74E40EAF" w14:textId="4673D50F" w:rsidR="00D54CC9" w:rsidRPr="00D54CC9" w:rsidRDefault="00D54CC9" w:rsidP="001667C6">
      <w:pPr>
        <w:pStyle w:val="ListParagraph"/>
        <w:numPr>
          <w:ilvl w:val="0"/>
          <w:numId w:val="81"/>
        </w:numPr>
        <w:spacing w:before="80" w:after="80"/>
        <w:ind w:hanging="295"/>
        <w:contextualSpacing w:val="0"/>
        <w:rPr>
          <w:b/>
          <w:bCs/>
          <w:sz w:val="21"/>
          <w:szCs w:val="21"/>
        </w:rPr>
      </w:pPr>
      <w:r w:rsidRPr="00D54CC9">
        <w:rPr>
          <w:b/>
          <w:bCs/>
          <w:sz w:val="21"/>
          <w:szCs w:val="21"/>
        </w:rPr>
        <w:t xml:space="preserve">Pilot a Community Seed Bank Program in the target landscapes </w:t>
      </w:r>
      <w:r w:rsidRPr="00D54CC9">
        <w:rPr>
          <w:sz w:val="21"/>
          <w:szCs w:val="21"/>
        </w:rPr>
        <w:t>in the following manner</w:t>
      </w:r>
      <w:r w:rsidRPr="00D54CC9">
        <w:rPr>
          <w:b/>
          <w:bCs/>
          <w:sz w:val="21"/>
          <w:szCs w:val="21"/>
        </w:rPr>
        <w:t>:</w:t>
      </w:r>
    </w:p>
    <w:p w14:paraId="0EDF0A80" w14:textId="730D990F" w:rsidR="00D54CC9" w:rsidRDefault="005A0CEC" w:rsidP="001667C6">
      <w:pPr>
        <w:pStyle w:val="ListParagraph"/>
        <w:numPr>
          <w:ilvl w:val="0"/>
          <w:numId w:val="33"/>
        </w:numPr>
        <w:spacing w:before="80" w:after="0"/>
        <w:ind w:left="993" w:hanging="284"/>
        <w:rPr>
          <w:rFonts w:asciiTheme="minorHAnsi" w:hAnsiTheme="minorHAnsi" w:cstheme="minorHAnsi"/>
          <w:b/>
          <w:bCs/>
          <w:sz w:val="21"/>
          <w:szCs w:val="21"/>
        </w:rPr>
      </w:pPr>
      <w:r>
        <w:rPr>
          <w:rFonts w:cs="Calibri"/>
          <w:b/>
          <w:bCs/>
          <w:sz w:val="21"/>
          <w:szCs w:val="21"/>
        </w:rPr>
        <w:lastRenderedPageBreak/>
        <w:t>Develop a framework to s</w:t>
      </w:r>
      <w:r w:rsidR="009563B4" w:rsidRPr="00D54CC9">
        <w:rPr>
          <w:rFonts w:asciiTheme="minorHAnsi" w:hAnsiTheme="minorHAnsi" w:cstheme="minorHAnsi"/>
          <w:b/>
          <w:bCs/>
          <w:sz w:val="21"/>
          <w:szCs w:val="21"/>
        </w:rPr>
        <w:t>upport germplasm access, collection and documentation</w:t>
      </w:r>
      <w:r>
        <w:rPr>
          <w:rFonts w:asciiTheme="minorHAnsi" w:hAnsiTheme="minorHAnsi" w:cstheme="minorHAnsi"/>
          <w:b/>
          <w:bCs/>
          <w:sz w:val="21"/>
          <w:szCs w:val="21"/>
        </w:rPr>
        <w:t>,</w:t>
      </w:r>
      <w:r w:rsidR="00D54CC9" w:rsidRPr="00D54CC9">
        <w:rPr>
          <w:rFonts w:asciiTheme="minorHAnsi" w:hAnsiTheme="minorHAnsi" w:cstheme="minorHAnsi"/>
          <w:sz w:val="21"/>
          <w:szCs w:val="21"/>
        </w:rPr>
        <w:t xml:space="preserve"> using pre-established protocols in consultation with national genebank scientists, as well as accessing germplasm from national and international genebanks and breeding programmes.</w:t>
      </w:r>
      <w:r w:rsidR="009563B4" w:rsidRPr="00D54CC9">
        <w:rPr>
          <w:rFonts w:asciiTheme="minorHAnsi" w:hAnsiTheme="minorHAnsi" w:cstheme="minorHAnsi"/>
          <w:b/>
          <w:bCs/>
          <w:sz w:val="21"/>
          <w:szCs w:val="21"/>
        </w:rPr>
        <w:t xml:space="preserve"> </w:t>
      </w:r>
    </w:p>
    <w:p w14:paraId="32FFE551" w14:textId="31F4C0F0" w:rsidR="009563B4" w:rsidRPr="00D54CC9" w:rsidRDefault="009563B4" w:rsidP="001667C6">
      <w:pPr>
        <w:pStyle w:val="ListParagraph"/>
        <w:numPr>
          <w:ilvl w:val="0"/>
          <w:numId w:val="33"/>
        </w:numPr>
        <w:spacing w:before="80" w:after="0"/>
        <w:ind w:left="993" w:hanging="284"/>
        <w:rPr>
          <w:rFonts w:asciiTheme="minorHAnsi" w:hAnsiTheme="minorHAnsi" w:cstheme="minorHAnsi"/>
          <w:b/>
          <w:bCs/>
          <w:sz w:val="21"/>
          <w:szCs w:val="21"/>
        </w:rPr>
      </w:pPr>
      <w:r w:rsidRPr="00D54CC9">
        <w:rPr>
          <w:rFonts w:asciiTheme="minorHAnsi" w:hAnsiTheme="minorHAnsi" w:cstheme="minorHAnsi"/>
          <w:b/>
          <w:bCs/>
          <w:szCs w:val="21"/>
        </w:rPr>
        <w:t>Support conservation and use of farmers’ varieties and landraces</w:t>
      </w:r>
      <w:r w:rsidRPr="00D54CC9">
        <w:rPr>
          <w:rFonts w:asciiTheme="minorHAnsi" w:hAnsiTheme="minorHAnsi" w:cstheme="minorHAnsi"/>
          <w:szCs w:val="21"/>
        </w:rPr>
        <w:t>.</w:t>
      </w:r>
      <w:r w:rsidR="00D54CC9" w:rsidRPr="00D54CC9">
        <w:rPr>
          <w:rFonts w:asciiTheme="minorHAnsi" w:hAnsiTheme="minorHAnsi" w:cstheme="minorHAnsi"/>
          <w:szCs w:val="21"/>
        </w:rPr>
        <w:t xml:space="preserve"> Based on </w:t>
      </w:r>
      <w:r w:rsidR="00C432CB">
        <w:rPr>
          <w:rFonts w:asciiTheme="minorHAnsi" w:hAnsiTheme="minorHAnsi" w:cstheme="minorHAnsi"/>
          <w:szCs w:val="21"/>
        </w:rPr>
        <w:t xml:space="preserve">a </w:t>
      </w:r>
      <w:r w:rsidR="00D54CC9" w:rsidRPr="00D54CC9">
        <w:rPr>
          <w:rFonts w:asciiTheme="minorHAnsi" w:hAnsiTheme="minorHAnsi" w:cstheme="minorHAnsi"/>
          <w:szCs w:val="21"/>
        </w:rPr>
        <w:t>developed</w:t>
      </w:r>
      <w:r w:rsidR="00C432CB" w:rsidRPr="00C432CB">
        <w:rPr>
          <w:rFonts w:asciiTheme="minorHAnsi" w:hAnsiTheme="minorHAnsi" w:cstheme="minorHAnsi"/>
          <w:szCs w:val="21"/>
        </w:rPr>
        <w:t xml:space="preserve"> </w:t>
      </w:r>
      <w:r w:rsidR="00C432CB" w:rsidRPr="00D54CC9">
        <w:rPr>
          <w:rFonts w:asciiTheme="minorHAnsi" w:hAnsiTheme="minorHAnsi" w:cstheme="minorHAnsi"/>
          <w:szCs w:val="21"/>
        </w:rPr>
        <w:t>framework</w:t>
      </w:r>
      <w:r w:rsidR="00D54CC9" w:rsidRPr="00D54CC9">
        <w:rPr>
          <w:rFonts w:asciiTheme="minorHAnsi" w:hAnsiTheme="minorHAnsi" w:cstheme="minorHAnsi"/>
          <w:szCs w:val="21"/>
        </w:rPr>
        <w:t>, support conservation of farmers’ varieties and landraces, including those of neglected and underutilized species, in CSBs and on-farm</w:t>
      </w:r>
      <w:r w:rsidR="00C432CB">
        <w:rPr>
          <w:rFonts w:asciiTheme="minorHAnsi" w:hAnsiTheme="minorHAnsi" w:cstheme="minorHAnsi"/>
          <w:szCs w:val="21"/>
        </w:rPr>
        <w:t>. Collaborate with</w:t>
      </w:r>
      <w:r w:rsidR="00D54CC9" w:rsidRPr="00D54CC9">
        <w:rPr>
          <w:rFonts w:asciiTheme="minorHAnsi" w:hAnsiTheme="minorHAnsi" w:cstheme="minorHAnsi"/>
          <w:szCs w:val="21"/>
        </w:rPr>
        <w:t xml:space="preserve"> </w:t>
      </w:r>
      <w:r w:rsidR="00C432CB" w:rsidRPr="00D54CC9">
        <w:rPr>
          <w:rFonts w:asciiTheme="minorHAnsi" w:hAnsiTheme="minorHAnsi" w:cstheme="minorHAnsi"/>
          <w:szCs w:val="21"/>
        </w:rPr>
        <w:t xml:space="preserve">with research institutions </w:t>
      </w:r>
      <w:r w:rsidR="00C432CB">
        <w:rPr>
          <w:rFonts w:asciiTheme="minorHAnsi" w:hAnsiTheme="minorHAnsi" w:cstheme="minorHAnsi"/>
          <w:szCs w:val="21"/>
        </w:rPr>
        <w:t xml:space="preserve">on </w:t>
      </w:r>
      <w:r w:rsidR="00D54CC9" w:rsidRPr="00D54CC9">
        <w:rPr>
          <w:rFonts w:asciiTheme="minorHAnsi" w:hAnsiTheme="minorHAnsi" w:cstheme="minorHAnsi"/>
          <w:szCs w:val="21"/>
        </w:rPr>
        <w:t>the development of new varieties through participatory plant breeding, variety evaluation and enhancement and through FFS</w:t>
      </w:r>
      <w:r w:rsidR="00C432CB">
        <w:rPr>
          <w:rFonts w:asciiTheme="minorHAnsi" w:hAnsiTheme="minorHAnsi" w:cstheme="minorHAnsi"/>
          <w:szCs w:val="21"/>
        </w:rPr>
        <w:t>s</w:t>
      </w:r>
      <w:r w:rsidR="00D54CC9" w:rsidRPr="00D54CC9">
        <w:rPr>
          <w:rFonts w:asciiTheme="minorHAnsi" w:hAnsiTheme="minorHAnsi" w:cstheme="minorHAnsi"/>
          <w:szCs w:val="21"/>
        </w:rPr>
        <w:t>.</w:t>
      </w:r>
    </w:p>
    <w:p w14:paraId="37DA6821" w14:textId="63228916" w:rsidR="009563B4" w:rsidRPr="00D54CC9" w:rsidRDefault="009563B4" w:rsidP="001667C6">
      <w:pPr>
        <w:pStyle w:val="ListParagraph"/>
        <w:numPr>
          <w:ilvl w:val="0"/>
          <w:numId w:val="33"/>
        </w:numPr>
        <w:spacing w:before="80" w:after="0"/>
        <w:ind w:left="993" w:hanging="284"/>
        <w:rPr>
          <w:rFonts w:asciiTheme="minorHAnsi" w:hAnsiTheme="minorHAnsi" w:cstheme="minorHAnsi"/>
          <w:b/>
          <w:bCs/>
          <w:szCs w:val="21"/>
        </w:rPr>
      </w:pPr>
      <w:r w:rsidRPr="00D54CC9">
        <w:rPr>
          <w:rFonts w:asciiTheme="minorHAnsi" w:hAnsiTheme="minorHAnsi" w:cstheme="minorHAnsi"/>
          <w:b/>
          <w:bCs/>
          <w:szCs w:val="21"/>
        </w:rPr>
        <w:t xml:space="preserve">Support exchange of seed and planting material. </w:t>
      </w:r>
      <w:r w:rsidR="00D54CC9" w:rsidRPr="00C432CB">
        <w:rPr>
          <w:rFonts w:asciiTheme="minorHAnsi" w:hAnsiTheme="minorHAnsi" w:cstheme="minorHAnsi"/>
          <w:szCs w:val="21"/>
        </w:rPr>
        <w:t xml:space="preserve">Based on </w:t>
      </w:r>
      <w:r w:rsidR="00C432CB">
        <w:rPr>
          <w:rFonts w:asciiTheme="minorHAnsi" w:hAnsiTheme="minorHAnsi" w:cstheme="minorHAnsi"/>
          <w:szCs w:val="21"/>
        </w:rPr>
        <w:t xml:space="preserve">a </w:t>
      </w:r>
      <w:r w:rsidR="00D54CC9" w:rsidRPr="00C432CB">
        <w:rPr>
          <w:rFonts w:asciiTheme="minorHAnsi" w:hAnsiTheme="minorHAnsi" w:cstheme="minorHAnsi"/>
          <w:szCs w:val="21"/>
        </w:rPr>
        <w:t>developed</w:t>
      </w:r>
      <w:r w:rsidR="00C432CB" w:rsidRPr="00C432CB">
        <w:rPr>
          <w:rFonts w:asciiTheme="minorHAnsi" w:hAnsiTheme="minorHAnsi" w:cstheme="minorHAnsi"/>
          <w:szCs w:val="21"/>
        </w:rPr>
        <w:t xml:space="preserve"> framework</w:t>
      </w:r>
      <w:r w:rsidR="00D54CC9" w:rsidRPr="00C432CB">
        <w:rPr>
          <w:rFonts w:asciiTheme="minorHAnsi" w:hAnsiTheme="minorHAnsi" w:cstheme="minorHAnsi"/>
          <w:szCs w:val="21"/>
        </w:rPr>
        <w:t xml:space="preserve">, facilitate seed multiplication and farmer exchange of seed and planting materials </w:t>
      </w:r>
      <w:r w:rsidR="00C432CB">
        <w:rPr>
          <w:rFonts w:asciiTheme="minorHAnsi" w:hAnsiTheme="minorHAnsi" w:cstheme="minorHAnsi"/>
          <w:szCs w:val="21"/>
        </w:rPr>
        <w:t>with</w:t>
      </w:r>
      <w:r w:rsidR="00D54CC9" w:rsidRPr="00C432CB">
        <w:rPr>
          <w:rFonts w:asciiTheme="minorHAnsi" w:hAnsiTheme="minorHAnsi" w:cstheme="minorHAnsi"/>
          <w:szCs w:val="21"/>
        </w:rPr>
        <w:t xml:space="preserve"> those in need and integrat</w:t>
      </w:r>
      <w:r w:rsidR="00C432CB">
        <w:rPr>
          <w:rFonts w:asciiTheme="minorHAnsi" w:hAnsiTheme="minorHAnsi" w:cstheme="minorHAnsi"/>
          <w:szCs w:val="21"/>
        </w:rPr>
        <w:t>e</w:t>
      </w:r>
      <w:r w:rsidR="00D54CC9" w:rsidRPr="00C432CB">
        <w:rPr>
          <w:rFonts w:asciiTheme="minorHAnsi" w:hAnsiTheme="minorHAnsi" w:cstheme="minorHAnsi"/>
          <w:szCs w:val="21"/>
        </w:rPr>
        <w:t xml:space="preserve"> formal and informal (farmer) seed systems</w:t>
      </w:r>
      <w:r w:rsidR="00C432CB">
        <w:rPr>
          <w:rFonts w:asciiTheme="minorHAnsi" w:hAnsiTheme="minorHAnsi" w:cstheme="minorHAnsi"/>
          <w:szCs w:val="21"/>
        </w:rPr>
        <w:t>.</w:t>
      </w:r>
    </w:p>
    <w:p w14:paraId="3F026A89" w14:textId="39BA32BE" w:rsidR="009563B4" w:rsidRPr="00C432CB" w:rsidRDefault="00C432CB" w:rsidP="001667C6">
      <w:pPr>
        <w:pStyle w:val="ListParagraph"/>
        <w:numPr>
          <w:ilvl w:val="0"/>
          <w:numId w:val="33"/>
        </w:numPr>
        <w:spacing w:before="80" w:after="0"/>
        <w:ind w:left="993" w:hanging="284"/>
        <w:rPr>
          <w:rFonts w:asciiTheme="minorHAnsi" w:hAnsiTheme="minorHAnsi" w:cstheme="minorHAnsi"/>
          <w:b/>
          <w:bCs/>
          <w:szCs w:val="21"/>
        </w:rPr>
      </w:pPr>
      <w:r>
        <w:rPr>
          <w:rFonts w:asciiTheme="minorHAnsi" w:hAnsiTheme="minorHAnsi" w:cstheme="minorHAnsi"/>
          <w:b/>
          <w:bCs/>
          <w:szCs w:val="21"/>
        </w:rPr>
        <w:t>Scope, design and i</w:t>
      </w:r>
      <w:r w:rsidR="009563B4" w:rsidRPr="00C432CB">
        <w:rPr>
          <w:rFonts w:asciiTheme="minorHAnsi" w:hAnsiTheme="minorHAnsi" w:cstheme="minorHAnsi"/>
          <w:b/>
          <w:bCs/>
          <w:szCs w:val="21"/>
        </w:rPr>
        <w:t xml:space="preserve">mplement CSB training </w:t>
      </w:r>
      <w:r>
        <w:rPr>
          <w:rFonts w:asciiTheme="minorHAnsi" w:hAnsiTheme="minorHAnsi" w:cstheme="minorHAnsi"/>
          <w:b/>
          <w:bCs/>
          <w:szCs w:val="21"/>
        </w:rPr>
        <w:t>modules</w:t>
      </w:r>
      <w:r w:rsidR="009563B4" w:rsidRPr="00C432CB">
        <w:rPr>
          <w:rFonts w:asciiTheme="minorHAnsi" w:hAnsiTheme="minorHAnsi" w:cstheme="minorHAnsi"/>
          <w:b/>
          <w:bCs/>
          <w:szCs w:val="21"/>
        </w:rPr>
        <w:t xml:space="preserve">. </w:t>
      </w:r>
      <w:r w:rsidR="00D54CC9" w:rsidRPr="00C432CB">
        <w:rPr>
          <w:rFonts w:asciiTheme="minorHAnsi" w:hAnsiTheme="minorHAnsi" w:cstheme="minorHAnsi"/>
          <w:szCs w:val="21"/>
        </w:rPr>
        <w:t>Capacity development and awareness building will be enhanced through training activities, including extension staff</w:t>
      </w:r>
      <w:r>
        <w:rPr>
          <w:rFonts w:asciiTheme="minorHAnsi" w:hAnsiTheme="minorHAnsi" w:cstheme="minorHAnsi"/>
          <w:szCs w:val="21"/>
        </w:rPr>
        <w:t xml:space="preserve"> and</w:t>
      </w:r>
      <w:r w:rsidR="00D54CC9" w:rsidRPr="00C432CB">
        <w:rPr>
          <w:rFonts w:asciiTheme="minorHAnsi" w:hAnsiTheme="minorHAnsi" w:cstheme="minorHAnsi"/>
          <w:szCs w:val="21"/>
        </w:rPr>
        <w:t xml:space="preserve"> FFS</w:t>
      </w:r>
      <w:r>
        <w:rPr>
          <w:rFonts w:asciiTheme="minorHAnsi" w:hAnsiTheme="minorHAnsi" w:cstheme="minorHAnsi"/>
          <w:szCs w:val="21"/>
        </w:rPr>
        <w:t>s. This should be coordinated with and incorporated in the project’s Capacity Building Program (</w:t>
      </w:r>
      <w:r w:rsidRPr="00C432CB">
        <w:rPr>
          <w:rFonts w:asciiTheme="minorHAnsi" w:hAnsiTheme="minorHAnsi" w:cstheme="minorHAnsi"/>
          <w:szCs w:val="21"/>
          <w:highlight w:val="lightGray"/>
        </w:rPr>
        <w:t>Output 2.1.4</w:t>
      </w:r>
      <w:r>
        <w:rPr>
          <w:rFonts w:asciiTheme="minorHAnsi" w:hAnsiTheme="minorHAnsi" w:cstheme="minorHAnsi"/>
          <w:szCs w:val="21"/>
        </w:rPr>
        <w:t>).</w:t>
      </w:r>
    </w:p>
    <w:p w14:paraId="55C91B88" w14:textId="369D3729" w:rsidR="00646E0A" w:rsidRPr="002E119A" w:rsidRDefault="004D419B" w:rsidP="001667C6">
      <w:pPr>
        <w:pStyle w:val="ListParagraph"/>
        <w:numPr>
          <w:ilvl w:val="0"/>
          <w:numId w:val="81"/>
        </w:numPr>
        <w:spacing w:before="80" w:after="0"/>
        <w:ind w:hanging="295"/>
        <w:contextualSpacing w:val="0"/>
        <w:rPr>
          <w:b/>
          <w:bCs/>
          <w:sz w:val="21"/>
          <w:szCs w:val="21"/>
        </w:rPr>
      </w:pPr>
      <w:r w:rsidRPr="002E119A">
        <w:rPr>
          <w:b/>
          <w:bCs/>
          <w:sz w:val="21"/>
          <w:szCs w:val="21"/>
        </w:rPr>
        <w:t>Pilot small</w:t>
      </w:r>
      <w:r w:rsidR="00646E0A" w:rsidRPr="002E119A">
        <w:rPr>
          <w:b/>
          <w:bCs/>
          <w:sz w:val="21"/>
          <w:szCs w:val="21"/>
        </w:rPr>
        <w:t xml:space="preserve"> </w:t>
      </w:r>
      <w:r w:rsidRPr="002E119A">
        <w:rPr>
          <w:b/>
          <w:bCs/>
          <w:sz w:val="21"/>
          <w:szCs w:val="21"/>
        </w:rPr>
        <w:t xml:space="preserve">individual </w:t>
      </w:r>
      <w:r w:rsidR="00646E0A" w:rsidRPr="002E119A">
        <w:rPr>
          <w:b/>
          <w:bCs/>
          <w:sz w:val="21"/>
          <w:szCs w:val="21"/>
        </w:rPr>
        <w:t>seed enterprises within target communities</w:t>
      </w:r>
      <w:r w:rsidRPr="002E119A">
        <w:rPr>
          <w:b/>
          <w:bCs/>
          <w:sz w:val="21"/>
          <w:szCs w:val="21"/>
        </w:rPr>
        <w:t xml:space="preserve"> that reinforce CSB facility:</w:t>
      </w:r>
    </w:p>
    <w:p w14:paraId="362AFC8B" w14:textId="31160304" w:rsidR="00646E0A" w:rsidRPr="002E119A" w:rsidRDefault="00646E0A" w:rsidP="001667C6">
      <w:pPr>
        <w:pStyle w:val="ListParagraph"/>
        <w:numPr>
          <w:ilvl w:val="0"/>
          <w:numId w:val="33"/>
        </w:numPr>
        <w:spacing w:before="80" w:after="0"/>
        <w:ind w:left="993" w:hanging="284"/>
        <w:contextualSpacing w:val="0"/>
        <w:rPr>
          <w:rFonts w:asciiTheme="minorHAnsi" w:hAnsiTheme="minorHAnsi" w:cstheme="minorHAnsi"/>
          <w:sz w:val="21"/>
          <w:szCs w:val="21"/>
        </w:rPr>
      </w:pPr>
      <w:r w:rsidRPr="002E119A">
        <w:rPr>
          <w:rFonts w:asciiTheme="minorHAnsi" w:hAnsiTheme="minorHAnsi" w:cstheme="minorHAnsi"/>
          <w:b/>
          <w:bCs/>
          <w:sz w:val="21"/>
          <w:szCs w:val="21"/>
        </w:rPr>
        <w:t xml:space="preserve">Support establishment of legally recognized farmer seed production and commercialization enterprises </w:t>
      </w:r>
      <w:r w:rsidRPr="002E119A">
        <w:rPr>
          <w:rFonts w:asciiTheme="minorHAnsi" w:hAnsiTheme="minorHAnsi" w:cstheme="minorHAnsi"/>
          <w:sz w:val="21"/>
          <w:szCs w:val="21"/>
        </w:rPr>
        <w:t xml:space="preserve">(including tree nurseries) that offer effective and affordable information about climate conditions and crop diversity to smallholder farmers, with special attention given to women </w:t>
      </w:r>
      <w:r w:rsidR="00331A05" w:rsidRPr="002E119A">
        <w:rPr>
          <w:rFonts w:asciiTheme="minorHAnsi" w:hAnsiTheme="minorHAnsi" w:cstheme="minorHAnsi"/>
          <w:sz w:val="21"/>
          <w:szCs w:val="21"/>
        </w:rPr>
        <w:t xml:space="preserve">and youth </w:t>
      </w:r>
      <w:r w:rsidRPr="002E119A">
        <w:rPr>
          <w:rFonts w:asciiTheme="minorHAnsi" w:hAnsiTheme="minorHAnsi" w:cstheme="minorHAnsi"/>
          <w:sz w:val="21"/>
          <w:szCs w:val="21"/>
        </w:rPr>
        <w:t xml:space="preserve">entrepreneurs. </w:t>
      </w:r>
      <w:r w:rsidR="00331A05" w:rsidRPr="002E119A">
        <w:rPr>
          <w:rFonts w:asciiTheme="minorHAnsi" w:hAnsiTheme="minorHAnsi" w:cstheme="minorHAnsi"/>
          <w:sz w:val="21"/>
          <w:szCs w:val="21"/>
        </w:rPr>
        <w:t>C</w:t>
      </w:r>
      <w:r w:rsidRPr="002E119A">
        <w:rPr>
          <w:rFonts w:asciiTheme="minorHAnsi" w:hAnsiTheme="minorHAnsi" w:cstheme="minorHAnsi"/>
          <w:sz w:val="21"/>
          <w:szCs w:val="21"/>
        </w:rPr>
        <w:t xml:space="preserve">apacity development </w:t>
      </w:r>
      <w:r w:rsidR="00331A05" w:rsidRPr="002E119A">
        <w:rPr>
          <w:rFonts w:asciiTheme="minorHAnsi" w:hAnsiTheme="minorHAnsi" w:cstheme="minorHAnsi"/>
          <w:sz w:val="21"/>
          <w:szCs w:val="21"/>
        </w:rPr>
        <w:t>can</w:t>
      </w:r>
      <w:r w:rsidRPr="002E119A">
        <w:rPr>
          <w:rFonts w:asciiTheme="minorHAnsi" w:hAnsiTheme="minorHAnsi" w:cstheme="minorHAnsi"/>
          <w:sz w:val="21"/>
          <w:szCs w:val="21"/>
        </w:rPr>
        <w:t xml:space="preserve"> be </w:t>
      </w:r>
      <w:r w:rsidR="00331A05" w:rsidRPr="002E119A">
        <w:rPr>
          <w:rFonts w:asciiTheme="minorHAnsi" w:hAnsiTheme="minorHAnsi" w:cstheme="minorHAnsi"/>
          <w:sz w:val="21"/>
          <w:szCs w:val="21"/>
        </w:rPr>
        <w:t xml:space="preserve">provided by </w:t>
      </w:r>
      <w:r w:rsidRPr="002E119A">
        <w:rPr>
          <w:rFonts w:asciiTheme="minorHAnsi" w:hAnsiTheme="minorHAnsi" w:cstheme="minorHAnsi"/>
          <w:sz w:val="21"/>
          <w:szCs w:val="21"/>
        </w:rPr>
        <w:t>FFS</w:t>
      </w:r>
      <w:r w:rsidR="00331A05" w:rsidRPr="002E119A">
        <w:rPr>
          <w:rFonts w:asciiTheme="minorHAnsi" w:hAnsiTheme="minorHAnsi" w:cstheme="minorHAnsi"/>
          <w:sz w:val="21"/>
          <w:szCs w:val="21"/>
        </w:rPr>
        <w:t>s.</w:t>
      </w:r>
    </w:p>
    <w:p w14:paraId="48F7C680" w14:textId="49210EE2" w:rsidR="00331A05" w:rsidRPr="002E119A" w:rsidRDefault="00935938" w:rsidP="001667C6">
      <w:pPr>
        <w:pStyle w:val="ListParagraph"/>
        <w:numPr>
          <w:ilvl w:val="0"/>
          <w:numId w:val="33"/>
        </w:numPr>
        <w:spacing w:before="80" w:after="0"/>
        <w:ind w:left="993" w:hanging="284"/>
        <w:contextualSpacing w:val="0"/>
        <w:rPr>
          <w:rFonts w:asciiTheme="minorHAnsi" w:hAnsiTheme="minorHAnsi" w:cstheme="minorHAnsi"/>
          <w:sz w:val="21"/>
          <w:szCs w:val="21"/>
        </w:rPr>
      </w:pPr>
      <w:r w:rsidRPr="002E119A">
        <w:rPr>
          <w:b/>
          <w:bCs/>
          <w:sz w:val="21"/>
          <w:szCs w:val="21"/>
        </w:rPr>
        <w:t xml:space="preserve">Support the design and testing of innovative procedures for quality seed and </w:t>
      </w:r>
      <w:r w:rsidRPr="002E119A">
        <w:rPr>
          <w:b/>
          <w:sz w:val="21"/>
          <w:szCs w:val="21"/>
        </w:rPr>
        <w:t>tree nurseries</w:t>
      </w:r>
      <w:r w:rsidRPr="002E119A">
        <w:rPr>
          <w:sz w:val="21"/>
          <w:szCs w:val="21"/>
        </w:rPr>
        <w:t xml:space="preserve"> </w:t>
      </w:r>
      <w:r w:rsidRPr="002E119A">
        <w:rPr>
          <w:b/>
          <w:bCs/>
          <w:sz w:val="21"/>
          <w:szCs w:val="21"/>
        </w:rPr>
        <w:t>control,</w:t>
      </w:r>
      <w:r w:rsidR="00352DDA" w:rsidRPr="002E119A">
        <w:rPr>
          <w:b/>
          <w:sz w:val="21"/>
          <w:szCs w:val="21"/>
        </w:rPr>
        <w:t xml:space="preserve"> </w:t>
      </w:r>
      <w:r w:rsidRPr="002E119A">
        <w:rPr>
          <w:sz w:val="21"/>
          <w:szCs w:val="21"/>
        </w:rPr>
        <w:t>f</w:t>
      </w:r>
      <w:r w:rsidR="00352DDA" w:rsidRPr="002E119A">
        <w:rPr>
          <w:sz w:val="21"/>
          <w:szCs w:val="21"/>
        </w:rPr>
        <w:t>ollowing the general guidance of the Quality Declared System (QDS) promoted by FAO</w:t>
      </w:r>
      <w:r w:rsidRPr="002E119A">
        <w:rPr>
          <w:sz w:val="21"/>
          <w:szCs w:val="21"/>
        </w:rPr>
        <w:t>.</w:t>
      </w:r>
      <w:r w:rsidR="00352DDA" w:rsidRPr="002E119A">
        <w:rPr>
          <w:sz w:val="21"/>
          <w:szCs w:val="21"/>
        </w:rPr>
        <w:t xml:space="preserve"> </w:t>
      </w:r>
    </w:p>
    <w:p w14:paraId="0B69101A" w14:textId="31D60770" w:rsidR="009563B4" w:rsidRPr="002E119A" w:rsidRDefault="00935938" w:rsidP="001667C6">
      <w:pPr>
        <w:pStyle w:val="ListParagraph"/>
        <w:numPr>
          <w:ilvl w:val="0"/>
          <w:numId w:val="33"/>
        </w:numPr>
        <w:spacing w:before="80" w:after="0"/>
        <w:ind w:left="993" w:hanging="284"/>
        <w:contextualSpacing w:val="0"/>
        <w:rPr>
          <w:sz w:val="21"/>
          <w:szCs w:val="21"/>
        </w:rPr>
      </w:pPr>
      <w:r w:rsidRPr="002E119A">
        <w:rPr>
          <w:b/>
          <w:bCs/>
          <w:sz w:val="21"/>
          <w:szCs w:val="21"/>
        </w:rPr>
        <w:t>Promote adoption of and access to quality declared seed</w:t>
      </w:r>
      <w:r w:rsidRPr="002E119A" w:rsidDel="004764ED">
        <w:rPr>
          <w:b/>
          <w:bCs/>
          <w:sz w:val="21"/>
          <w:szCs w:val="21"/>
        </w:rPr>
        <w:t xml:space="preserve"> </w:t>
      </w:r>
      <w:r w:rsidRPr="002E119A">
        <w:rPr>
          <w:sz w:val="21"/>
          <w:szCs w:val="21"/>
        </w:rPr>
        <w:t>by raising awareness for the possible acceptance of QDS and trees seedlings to be sold at the community level. Create demand through different activities including processing and access to markets.</w:t>
      </w:r>
    </w:p>
    <w:p w14:paraId="44D69BAD" w14:textId="1E17D2CC" w:rsidR="00935938" w:rsidRPr="002E119A" w:rsidRDefault="00935938" w:rsidP="001667C6">
      <w:pPr>
        <w:pStyle w:val="ListParagraph"/>
        <w:numPr>
          <w:ilvl w:val="0"/>
          <w:numId w:val="33"/>
        </w:numPr>
        <w:spacing w:before="80" w:after="0"/>
        <w:ind w:left="993" w:hanging="284"/>
        <w:contextualSpacing w:val="0"/>
        <w:rPr>
          <w:b/>
          <w:bCs/>
          <w:sz w:val="21"/>
          <w:szCs w:val="21"/>
        </w:rPr>
      </w:pPr>
      <w:r w:rsidRPr="002E119A">
        <w:rPr>
          <w:b/>
          <w:bCs/>
          <w:sz w:val="21"/>
          <w:szCs w:val="21"/>
        </w:rPr>
        <w:t>Build community level capacity in quality seed production</w:t>
      </w:r>
      <w:r w:rsidRPr="002E119A">
        <w:rPr>
          <w:sz w:val="21"/>
          <w:szCs w:val="21"/>
        </w:rPr>
        <w:t xml:space="preserve"> </w:t>
      </w:r>
      <w:r w:rsidR="002B3CB5" w:rsidRPr="002E119A">
        <w:rPr>
          <w:sz w:val="21"/>
          <w:szCs w:val="21"/>
        </w:rPr>
        <w:t>by i</w:t>
      </w:r>
      <w:r w:rsidRPr="002E119A">
        <w:rPr>
          <w:sz w:val="21"/>
          <w:szCs w:val="21"/>
        </w:rPr>
        <w:t>ncreas</w:t>
      </w:r>
      <w:r w:rsidR="002B3CB5" w:rsidRPr="002E119A">
        <w:rPr>
          <w:sz w:val="21"/>
          <w:szCs w:val="21"/>
        </w:rPr>
        <w:t>ing</w:t>
      </w:r>
      <w:r w:rsidRPr="002E119A">
        <w:rPr>
          <w:sz w:val="21"/>
          <w:szCs w:val="21"/>
        </w:rPr>
        <w:t xml:space="preserve"> capacity through </w:t>
      </w:r>
      <w:r w:rsidR="002B3CB5" w:rsidRPr="002E119A">
        <w:rPr>
          <w:sz w:val="21"/>
          <w:szCs w:val="21"/>
        </w:rPr>
        <w:t xml:space="preserve">FFS </w:t>
      </w:r>
      <w:r w:rsidRPr="002E119A">
        <w:rPr>
          <w:sz w:val="21"/>
          <w:szCs w:val="21"/>
        </w:rPr>
        <w:t xml:space="preserve">training that combines traditional knowledge of women and men </w:t>
      </w:r>
      <w:r w:rsidR="002B3CB5" w:rsidRPr="002E119A">
        <w:rPr>
          <w:sz w:val="21"/>
          <w:szCs w:val="21"/>
        </w:rPr>
        <w:t>with</w:t>
      </w:r>
      <w:r w:rsidRPr="002E119A">
        <w:rPr>
          <w:sz w:val="21"/>
          <w:szCs w:val="21"/>
        </w:rPr>
        <w:t xml:space="preserve"> modern technology for improving quality seed production at household and community levels</w:t>
      </w:r>
      <w:r w:rsidR="002B3CB5" w:rsidRPr="002E119A">
        <w:rPr>
          <w:sz w:val="21"/>
          <w:szCs w:val="21"/>
        </w:rPr>
        <w:t>.</w:t>
      </w:r>
    </w:p>
    <w:p w14:paraId="0591D969" w14:textId="77777777" w:rsidR="00935938" w:rsidRPr="002B3CB5" w:rsidRDefault="00935938" w:rsidP="00935938">
      <w:pPr>
        <w:pStyle w:val="Default"/>
        <w:rPr>
          <w:rFonts w:ascii="Calibri" w:hAnsi="Calibri" w:cs="Calibri"/>
          <w:sz w:val="21"/>
          <w:szCs w:val="21"/>
        </w:rPr>
      </w:pPr>
    </w:p>
    <w:tbl>
      <w:tblPr>
        <w:tblStyle w:val="TableGrid"/>
        <w:tblpPr w:leftFromText="180" w:rightFromText="180" w:vertAnchor="text" w:horzAnchor="margin" w:tblpXSpec="right" w:tblpY="70"/>
        <w:tblW w:w="0" w:type="auto"/>
        <w:tblLook w:val="04A0" w:firstRow="1" w:lastRow="0" w:firstColumn="1" w:lastColumn="0" w:noHBand="0" w:noVBand="1"/>
      </w:tblPr>
      <w:tblGrid>
        <w:gridCol w:w="1418"/>
        <w:gridCol w:w="7003"/>
      </w:tblGrid>
      <w:tr w:rsidR="004728F4" w:rsidRPr="0071113D" w14:paraId="053B47EE" w14:textId="77777777" w:rsidTr="003C588D">
        <w:tc>
          <w:tcPr>
            <w:tcW w:w="1418" w:type="dxa"/>
            <w:tcBorders>
              <w:top w:val="nil"/>
              <w:left w:val="nil"/>
              <w:bottom w:val="nil"/>
            </w:tcBorders>
            <w:tcMar>
              <w:top w:w="57" w:type="dxa"/>
              <w:left w:w="57" w:type="dxa"/>
              <w:bottom w:w="57" w:type="dxa"/>
              <w:right w:w="57" w:type="dxa"/>
            </w:tcMar>
          </w:tcPr>
          <w:p w14:paraId="2D0831A6" w14:textId="4F669473" w:rsidR="004728F4" w:rsidRPr="00C87774" w:rsidRDefault="004728F4" w:rsidP="003C588D">
            <w:pPr>
              <w:pStyle w:val="Heading5"/>
              <w:spacing w:before="0" w:after="0"/>
              <w:ind w:left="0"/>
              <w:outlineLvl w:val="4"/>
              <w:rPr>
                <w:rFonts w:cs="Calibri"/>
                <w:sz w:val="22"/>
                <w:szCs w:val="22"/>
                <w:lang w:val="en-GB"/>
              </w:rPr>
            </w:pPr>
            <w:r w:rsidRPr="00C87774">
              <w:rPr>
                <w:rFonts w:ascii="Calibri" w:hAnsi="Calibri" w:cs="Calibri"/>
                <w:sz w:val="22"/>
                <w:szCs w:val="22"/>
              </w:rPr>
              <w:t xml:space="preserve">Outcome </w:t>
            </w:r>
            <w:r w:rsidRPr="00C87774">
              <w:rPr>
                <w:rFonts w:ascii="Calibri" w:hAnsi="Calibri" w:cs="Calibri"/>
                <w:sz w:val="22"/>
                <w:szCs w:val="22"/>
                <w:lang w:val="en-GB"/>
              </w:rPr>
              <w:t>2</w:t>
            </w:r>
            <w:r w:rsidRPr="00C87774">
              <w:rPr>
                <w:rFonts w:ascii="Calibri" w:hAnsi="Calibri" w:cs="Calibri"/>
                <w:sz w:val="22"/>
                <w:szCs w:val="22"/>
              </w:rPr>
              <w:t>.</w:t>
            </w:r>
            <w:r>
              <w:rPr>
                <w:rFonts w:ascii="Calibri" w:hAnsi="Calibri" w:cs="Calibri"/>
                <w:sz w:val="22"/>
                <w:szCs w:val="22"/>
                <w:lang w:val="en-GB"/>
              </w:rPr>
              <w:t>3</w:t>
            </w:r>
          </w:p>
        </w:tc>
        <w:tc>
          <w:tcPr>
            <w:tcW w:w="7003" w:type="dxa"/>
            <w:tcMar>
              <w:top w:w="57" w:type="dxa"/>
              <w:left w:w="57" w:type="dxa"/>
              <w:bottom w:w="57" w:type="dxa"/>
              <w:right w:w="57" w:type="dxa"/>
            </w:tcMar>
          </w:tcPr>
          <w:p w14:paraId="2E6574B6" w14:textId="2A0D2B21" w:rsidR="004728F4" w:rsidRPr="00B96A5D" w:rsidRDefault="00B96A5D" w:rsidP="009B6DAA">
            <w:pPr>
              <w:pStyle w:val="Heading5"/>
              <w:spacing w:before="0" w:after="0"/>
              <w:ind w:left="0"/>
              <w:outlineLvl w:val="4"/>
              <w:rPr>
                <w:rFonts w:ascii="Calibri" w:hAnsi="Calibri" w:cs="Calibri"/>
                <w:sz w:val="22"/>
                <w:szCs w:val="22"/>
                <w:lang w:val="en-GB"/>
              </w:rPr>
            </w:pPr>
            <w:r w:rsidRPr="00B96A5D">
              <w:rPr>
                <w:rFonts w:ascii="Calibri" w:hAnsi="Calibri" w:cs="Calibri"/>
                <w:sz w:val="22"/>
                <w:szCs w:val="22"/>
              </w:rPr>
              <w:t>Sustainable harvesting of dryland products from target landscapes enhanced by green value chains</w:t>
            </w:r>
          </w:p>
        </w:tc>
      </w:tr>
    </w:tbl>
    <w:p w14:paraId="03E7B572" w14:textId="1E76EDE3" w:rsidR="004728F4" w:rsidRPr="00593046" w:rsidRDefault="004728F4" w:rsidP="00E31B86">
      <w:pPr>
        <w:spacing w:after="160"/>
      </w:pPr>
    </w:p>
    <w:p w14:paraId="6FD0A65B" w14:textId="77777777" w:rsidR="00611E2C" w:rsidRPr="00611E2C" w:rsidRDefault="00611E2C" w:rsidP="001667C6">
      <w:pPr>
        <w:pStyle w:val="ParagraphOED"/>
        <w:numPr>
          <w:ilvl w:val="0"/>
          <w:numId w:val="102"/>
        </w:numPr>
        <w:rPr>
          <w:b/>
          <w:bCs/>
        </w:rPr>
      </w:pPr>
      <w:r w:rsidRPr="1E65A5F7">
        <w:rPr>
          <w:b/>
          <w:bCs/>
        </w:rPr>
        <w:t xml:space="preserve">Outcome 2.3 </w:t>
      </w:r>
      <w:r>
        <w:t>builds on a study targeting dryland green value-chains (GVCs) undertaken during the PPG in 2019 and early 2020 (parts of which are included in Annex X-2.2). This study mapped the project site relevant value chains locally and nationally, assessing their potential to create jobs and income at local level, and their economic sustainability and current environmental tradeoffs. The study found potential in off taker model, where rural farmers and informal entrepreneurs will deliver to existing and new market demand. It also mapped value chains that are relevant for women and youth and that could provide important income generation through development of rural micro enterprises and cottage industries. The PPG study will be updated during the project inception considering also the effects of the COVID19 pandemics through FAO value chain assessment tool.</w:t>
      </w:r>
    </w:p>
    <w:p w14:paraId="22963074" w14:textId="77777777" w:rsidR="000E650A" w:rsidRPr="000E650A" w:rsidRDefault="000E650A" w:rsidP="001667C6">
      <w:pPr>
        <w:pStyle w:val="ParagraphOED"/>
        <w:numPr>
          <w:ilvl w:val="0"/>
          <w:numId w:val="102"/>
        </w:numPr>
      </w:pPr>
      <w:r>
        <w:t xml:space="preserve">This value chain outcome work will be closely linked to Outcomes 2.2, providing advisory for medium and long term strategy of commercialization of selected FFS, FFF and the CSB. It will be also align with Integrated Land-use Plans developed under Outcome 2.1 to increase sustainability of the investment. </w:t>
      </w:r>
    </w:p>
    <w:p w14:paraId="684A55E0" w14:textId="77777777" w:rsidR="00982553" w:rsidRPr="0062620B" w:rsidRDefault="00982553" w:rsidP="001667C6">
      <w:pPr>
        <w:pStyle w:val="ParagraphOED"/>
        <w:numPr>
          <w:ilvl w:val="0"/>
          <w:numId w:val="102"/>
        </w:numPr>
        <w:spacing w:after="0"/>
      </w:pPr>
      <w:r>
        <w:t xml:space="preserve">While several value chains were pre-selected during the PPG stage. Final selection for GEF-7 investments will be based on the following criteria: </w:t>
      </w:r>
    </w:p>
    <w:p w14:paraId="06CD5E0D" w14:textId="77777777" w:rsidR="00982553" w:rsidRPr="00F10BF8" w:rsidRDefault="00982553" w:rsidP="001667C6">
      <w:pPr>
        <w:pStyle w:val="ListParagraph"/>
        <w:numPr>
          <w:ilvl w:val="0"/>
          <w:numId w:val="87"/>
        </w:numPr>
      </w:pPr>
      <w:r w:rsidRPr="00F10BF8">
        <w:lastRenderedPageBreak/>
        <w:t xml:space="preserve">Local and national VCs with potential to create investment return into the project area and locally driven inclusive </w:t>
      </w:r>
      <w:r>
        <w:t>growth;</w:t>
      </w:r>
      <w:r w:rsidRPr="00F10BF8">
        <w:t xml:space="preserve"> </w:t>
      </w:r>
    </w:p>
    <w:p w14:paraId="0F9DCCE0" w14:textId="77777777" w:rsidR="00982553" w:rsidRPr="00F10BF8" w:rsidRDefault="00982553" w:rsidP="001667C6">
      <w:pPr>
        <w:pStyle w:val="ListParagraph"/>
        <w:numPr>
          <w:ilvl w:val="0"/>
          <w:numId w:val="87"/>
        </w:numPr>
      </w:pPr>
      <w:r w:rsidRPr="00F10BF8">
        <w:t>Local and national VCs with opportunities for youth and women entrepreneurship in rural areas</w:t>
      </w:r>
      <w:r>
        <w:t>;</w:t>
      </w:r>
    </w:p>
    <w:p w14:paraId="33C97109" w14:textId="77777777" w:rsidR="00982553" w:rsidRPr="00F10BF8" w:rsidRDefault="00982553" w:rsidP="001667C6">
      <w:pPr>
        <w:pStyle w:val="ListParagraph"/>
        <w:numPr>
          <w:ilvl w:val="0"/>
          <w:numId w:val="87"/>
        </w:numPr>
      </w:pPr>
      <w:r w:rsidRPr="00F10BF8">
        <w:t>Local and national VCs with potential to stimulate compliance with the land use planning, use of available resources, sustainable production and sustainable harvesting of the NTFPs</w:t>
      </w:r>
    </w:p>
    <w:p w14:paraId="520240EF" w14:textId="77777777" w:rsidR="00982553" w:rsidRPr="00F10BF8" w:rsidRDefault="00982553" w:rsidP="001667C6">
      <w:pPr>
        <w:pStyle w:val="ListParagraph"/>
        <w:numPr>
          <w:ilvl w:val="0"/>
          <w:numId w:val="87"/>
        </w:numPr>
      </w:pPr>
      <w:r w:rsidRPr="00F10BF8">
        <w:t xml:space="preserve">Potential to contribute to land degradation neutrality and sustainable utilization of resources through change of behavior by local actors; </w:t>
      </w:r>
    </w:p>
    <w:p w14:paraId="3B81E26C" w14:textId="77777777" w:rsidR="00982553" w:rsidRDefault="00982553" w:rsidP="001667C6">
      <w:pPr>
        <w:pStyle w:val="ListParagraph"/>
        <w:numPr>
          <w:ilvl w:val="0"/>
          <w:numId w:val="87"/>
        </w:numPr>
      </w:pPr>
      <w:r w:rsidRPr="00F10BF8">
        <w:t>Potential for positively impacting rural people’s ability to improve their food security and nutrition;</w:t>
      </w:r>
    </w:p>
    <w:p w14:paraId="00D81BA9" w14:textId="77777777" w:rsidR="00982553" w:rsidRDefault="00982553" w:rsidP="001667C6">
      <w:pPr>
        <w:pStyle w:val="ListParagraph"/>
        <w:numPr>
          <w:ilvl w:val="0"/>
          <w:numId w:val="87"/>
        </w:numPr>
      </w:pPr>
      <w:r w:rsidRPr="00F10BF8">
        <w:t>Local and national VCs with potential to cr</w:t>
      </w:r>
      <w:r>
        <w:t>eate added value in rural areas;</w:t>
      </w:r>
    </w:p>
    <w:p w14:paraId="7DA9CE60" w14:textId="77777777" w:rsidR="00982553" w:rsidRDefault="00982553" w:rsidP="001667C6">
      <w:pPr>
        <w:pStyle w:val="ListParagraph"/>
        <w:numPr>
          <w:ilvl w:val="0"/>
          <w:numId w:val="87"/>
        </w:numPr>
      </w:pPr>
      <w:r w:rsidRPr="00F10BF8">
        <w:t>Value chains with currently high negative externalities and with potential to increase sustainability</w:t>
      </w:r>
      <w:r>
        <w:t xml:space="preserve">; </w:t>
      </w:r>
    </w:p>
    <w:p w14:paraId="128A0969" w14:textId="77777777" w:rsidR="00E34983" w:rsidRDefault="00982553" w:rsidP="001667C6">
      <w:pPr>
        <w:pStyle w:val="ListParagraph"/>
        <w:numPr>
          <w:ilvl w:val="0"/>
          <w:numId w:val="87"/>
        </w:numPr>
      </w:pPr>
      <w:r>
        <w:t>VCs aligned to Government PRODESI Program</w:t>
      </w:r>
      <w:r>
        <w:rPr>
          <w:rStyle w:val="FootnoteReference"/>
        </w:rPr>
        <w:footnoteReference w:id="82"/>
      </w:r>
      <w:r>
        <w:t xml:space="preserve"> </w:t>
      </w:r>
      <w:r w:rsidRPr="00F10BF8">
        <w:t>priorit</w:t>
      </w:r>
      <w:r>
        <w:t>ies</w:t>
      </w:r>
      <w:r w:rsidRPr="00F10BF8">
        <w:t xml:space="preserve"> for development.</w:t>
      </w:r>
    </w:p>
    <w:p w14:paraId="7A96DC3F" w14:textId="2D7875DC" w:rsidR="001D5778" w:rsidRPr="00E34983" w:rsidRDefault="00E34983" w:rsidP="001667C6">
      <w:pPr>
        <w:pStyle w:val="ParagraphOED"/>
        <w:numPr>
          <w:ilvl w:val="0"/>
          <w:numId w:val="102"/>
        </w:numPr>
        <w:spacing w:after="0"/>
      </w:pPr>
      <w:r>
        <w:t>Three Outputs are foreseen under this Outcome: (i) a strategy for GVCs development in Southern Angola, including the investment proposals (ii) Development of selected GVCs through private sector engagement focusing on strengthening women and youth led micro and small rural enterprise growth and (iii) Youth and women led enterprises and value addition supported through FBS within FFS and FFF .</w:t>
      </w:r>
    </w:p>
    <w:p w14:paraId="6D5DD89F" w14:textId="018CF7B3" w:rsidR="004764ED" w:rsidRPr="00F476C8" w:rsidRDefault="004764ED" w:rsidP="00FC655A">
      <w:pPr>
        <w:pStyle w:val="Heading6"/>
        <w:spacing w:before="160" w:after="160"/>
        <w:ind w:hanging="11"/>
        <w:rPr>
          <w:rFonts w:asciiTheme="minorHAnsi" w:hAnsiTheme="minorHAnsi" w:cstheme="minorHAnsi"/>
          <w:sz w:val="21"/>
          <w:szCs w:val="21"/>
          <w:highlight w:val="lightGray"/>
        </w:rPr>
      </w:pPr>
      <w:r w:rsidRPr="00F476C8">
        <w:rPr>
          <w:rFonts w:asciiTheme="minorHAnsi" w:hAnsiTheme="minorHAnsi"/>
          <w:b/>
          <w:bCs/>
          <w:sz w:val="21"/>
          <w:szCs w:val="21"/>
          <w:highlight w:val="lightGray"/>
        </w:rPr>
        <w:t>Output 2.3.1</w:t>
      </w:r>
      <w:r w:rsidRPr="00F476C8">
        <w:rPr>
          <w:rFonts w:asciiTheme="minorHAnsi" w:hAnsiTheme="minorHAnsi"/>
          <w:b/>
          <w:bCs/>
          <w:sz w:val="21"/>
          <w:szCs w:val="21"/>
          <w:highlight w:val="lightGray"/>
        </w:rPr>
        <w:tab/>
      </w:r>
      <w:r w:rsidR="00357558" w:rsidRPr="00BD64C8">
        <w:rPr>
          <w:rFonts w:asciiTheme="minorHAnsi" w:hAnsiTheme="minorHAnsi"/>
          <w:sz w:val="21"/>
          <w:szCs w:val="21"/>
          <w:highlight w:val="lightGray"/>
        </w:rPr>
        <w:t>Drylands Green Value Chain Strategy for southern Angola and strategy for women and youth led rural agri-entrepreneurship developed</w:t>
      </w:r>
    </w:p>
    <w:p w14:paraId="7908F717" w14:textId="77777777" w:rsidR="00E3332E" w:rsidRDefault="00E3332E" w:rsidP="001667C6">
      <w:pPr>
        <w:pStyle w:val="ParagraphOED"/>
        <w:numPr>
          <w:ilvl w:val="0"/>
          <w:numId w:val="102"/>
        </w:numPr>
        <w:spacing w:after="160"/>
      </w:pPr>
      <w:r>
        <w:t xml:space="preserve">Southern Angola agriculture sector is heavily underserved and underfinanced, in particular in rural areas. The 2018-2019 drought had affected in particular poor and vulnerable small farmers and their businesses. The drought caused decrease of all produce up to 50%. In Cuando Cubango at small holder/subsistance farm level, 87% less maize and 82% less millet was harvested in 2019, comparing to the previous year. It was reported that over 73 thousand heads of cattle died in Cuando Cubango, Cunene, Huila and Namibe during the 2019 drought and houndred of thousand were severaly affected. As an effect of this, more pressure to local resources and increase of degradation was observed as peole were seeking new pastures, more fertile land and new income generating activities, like charcoal, unsustainable wild honey harvesting and others. </w:t>
      </w:r>
    </w:p>
    <w:p w14:paraId="67FC20F8" w14:textId="77777777" w:rsidR="00E3332E" w:rsidRDefault="00E3332E" w:rsidP="001667C6">
      <w:pPr>
        <w:pStyle w:val="ParagraphOED"/>
        <w:numPr>
          <w:ilvl w:val="0"/>
          <w:numId w:val="102"/>
        </w:numPr>
        <w:spacing w:after="160"/>
      </w:pPr>
      <w:r>
        <w:t xml:space="preserve">While southern Angola has potential in developing dryland green value chains, currently the investments made are rather ad hoc and not coordinated. The Strategy for Drylands Green Value chains will use FAO Hand in Hand initiative approach in identifying investment opportunities in micro regions, while adopting participatory approach and public private dialogues for the strategy development. The Strategy will facilitate coordination of public private efforts to operationalize local value chains and increase sustainability in rural areas. Under the strategy, youth and women agripreneurship will be also assessed, with aim to understand barriers and define actions for the localy led growth through these actors. Specific section will be dedicated to sustainability of the FFS, FBS and FFFs. </w:t>
      </w:r>
    </w:p>
    <w:p w14:paraId="4E89AE6C" w14:textId="77777777" w:rsidR="00E3332E" w:rsidRPr="0062620B" w:rsidRDefault="00E3332E" w:rsidP="001667C6">
      <w:pPr>
        <w:pStyle w:val="ParagraphOED"/>
        <w:numPr>
          <w:ilvl w:val="0"/>
          <w:numId w:val="102"/>
        </w:numPr>
        <w:spacing w:before="160" w:after="160"/>
      </w:pPr>
      <w:r>
        <w:t xml:space="preserve">Selection of VC interventions and matching livelihood options to date is based on the analysis of existing data during the PPG phase in 2019 and early 2020, prior to the onset of the COVID-19 pandemic. Sources included SHARP, key informant interviews and multi-stakeholder focus group discussions at national and local level. Additional market assessment, VC assessment and MSMEs assessment will be undertaken to complete the rapid assessment results from the PPG and integrate effects of the COVID19 pandemic. </w:t>
      </w:r>
    </w:p>
    <w:p w14:paraId="12F54765" w14:textId="77777777" w:rsidR="00E3332E" w:rsidRPr="004027CB" w:rsidRDefault="00E3332E" w:rsidP="001667C6">
      <w:pPr>
        <w:pStyle w:val="ParagraphOED"/>
        <w:numPr>
          <w:ilvl w:val="0"/>
          <w:numId w:val="102"/>
        </w:numPr>
        <w:spacing w:before="160" w:after="80"/>
        <w:rPr>
          <w:b/>
          <w:bCs/>
        </w:rPr>
      </w:pPr>
      <w:r w:rsidRPr="1E65A5F7">
        <w:rPr>
          <w:b/>
          <w:bCs/>
        </w:rPr>
        <w:t>Indicative Activities under Output 2.3.1</w:t>
      </w:r>
    </w:p>
    <w:p w14:paraId="66C09F38" w14:textId="77777777" w:rsidR="00E3332E" w:rsidRPr="00D17916" w:rsidRDefault="00E3332E" w:rsidP="00E3332E">
      <w:pPr>
        <w:pStyle w:val="Default"/>
      </w:pPr>
    </w:p>
    <w:p w14:paraId="1CFE157B" w14:textId="77777777" w:rsidR="00E3332E" w:rsidRPr="00D17916" w:rsidRDefault="00E3332E" w:rsidP="001667C6">
      <w:pPr>
        <w:pStyle w:val="ListParagraph"/>
        <w:numPr>
          <w:ilvl w:val="0"/>
          <w:numId w:val="62"/>
        </w:numPr>
        <w:spacing w:after="80"/>
        <w:ind w:hanging="294"/>
        <w:contextualSpacing w:val="0"/>
      </w:pPr>
      <w:r w:rsidRPr="3FF4C3E7">
        <w:rPr>
          <w:b/>
          <w:bCs/>
          <w:sz w:val="21"/>
          <w:szCs w:val="21"/>
        </w:rPr>
        <w:t>Establish a Green Value Chains Investment platform or GVC Advisory Group</w:t>
      </w:r>
      <w:r w:rsidRPr="3FF4C3E7">
        <w:rPr>
          <w:sz w:val="21"/>
          <w:szCs w:val="21"/>
        </w:rPr>
        <w:t xml:space="preserve"> including representatives from: national government, UN agencies, local government, land users, project’s Landscape Coordinators, and private sector – national company and local enterprise. The Investment platform/ GVC Advisory Group will be serviced by the project, chaired by one of the Landscape Coordinators. The aim of the platform will be to develop and implement the GVC strategy and facilitate public and private investment into the selected GVCs. The Investment platform/ GVC Advisory Group Chairperson will inform the Project Steering Committee on the Group’s progress, receive their feedback and respond to any requests for advice.</w:t>
      </w:r>
    </w:p>
    <w:p w14:paraId="5B3C0A70" w14:textId="77777777" w:rsidR="00B45519" w:rsidRPr="00B45519" w:rsidRDefault="00E3332E" w:rsidP="001667C6">
      <w:pPr>
        <w:pStyle w:val="ListParagraph"/>
        <w:numPr>
          <w:ilvl w:val="0"/>
          <w:numId w:val="62"/>
        </w:numPr>
        <w:spacing w:after="80"/>
        <w:contextualSpacing w:val="0"/>
        <w:rPr>
          <w:rFonts w:eastAsia="Calibri" w:cs="Calibri"/>
          <w:sz w:val="21"/>
          <w:szCs w:val="20"/>
          <w:shd w:val="clear" w:color="auto" w:fill="FFFFFF"/>
        </w:rPr>
      </w:pPr>
      <w:r w:rsidRPr="00846C84">
        <w:rPr>
          <w:b/>
          <w:bCs/>
          <w:sz w:val="21"/>
          <w:szCs w:val="21"/>
        </w:rPr>
        <w:t xml:space="preserve">Conduct the end market, value chain and MSMEs assessment, </w:t>
      </w:r>
      <w:r w:rsidRPr="00846C84">
        <w:rPr>
          <w:b/>
          <w:bCs/>
        </w:rPr>
        <w:t>including COVID-19 impact and risk assessment.</w:t>
      </w:r>
      <w:r>
        <w:t xml:space="preserve"> With specific aim to identify: </w:t>
      </w:r>
      <w:r w:rsidRPr="00B45519">
        <w:rPr>
          <w:rFonts w:asciiTheme="minorHAnsi" w:hAnsiTheme="minorHAnsi" w:cstheme="minorHAnsi"/>
          <w:sz w:val="20"/>
          <w:szCs w:val="20"/>
        </w:rPr>
        <w:t>(1</w:t>
      </w:r>
      <w:r w:rsidRPr="00D24CF7">
        <w:t>) GVCs objectives: possibly competitiveness, reduced imports, increased exports, improved trade balance, affordable price for consumers, job creation, food and nutrition security; (2) the smallholder inclusive business models applicable to the GVCs; (3) Quantified investment needs and commitments by the private sector (farmers, firms, bankers etc…); (4) The enabling measures (regulatory, fiscal, infrastructure development, communicative, smart subsidies…) to be deployed by Government and the quantified required public sector investments; (5) Arrangements to build trust, ensure accountability and monitor implementation including related traceability systems in the GVCs</w:t>
      </w:r>
      <w:r>
        <w:t xml:space="preserve">; and (6) </w:t>
      </w:r>
      <w:r w:rsidRPr="00B45519">
        <w:rPr>
          <w:rFonts w:eastAsia="Calibri" w:cs="Calibri"/>
          <w:szCs w:val="20"/>
          <w:shd w:val="clear" w:color="auto" w:fill="FFFFFF"/>
        </w:rPr>
        <w:t>Review the work of the FFF and indicate the most suitable areas of work where private engagement has largest potential and d</w:t>
      </w:r>
      <w:r w:rsidRPr="00D17916">
        <w:t xml:space="preserve">esign strategy for the MSMEs, FFS, FBS and FFF. </w:t>
      </w:r>
    </w:p>
    <w:p w14:paraId="0FE3F240" w14:textId="48062FCD" w:rsidR="00E3332E" w:rsidRPr="009A0F08" w:rsidRDefault="00E3332E" w:rsidP="2366C064">
      <w:pPr>
        <w:rPr>
          <w:rFonts w:eastAsia="Calibri" w:cs="Calibri"/>
          <w:sz w:val="21"/>
          <w:szCs w:val="21"/>
          <w:shd w:val="clear" w:color="auto" w:fill="FFFFFF"/>
        </w:rPr>
      </w:pPr>
      <w:r w:rsidRPr="00B45519">
        <w:rPr>
          <w:rFonts w:eastAsia="Calibri" w:cs="Calibri"/>
          <w:b/>
          <w:bCs/>
          <w:sz w:val="21"/>
          <w:szCs w:val="21"/>
          <w:shd w:val="clear" w:color="auto" w:fill="FFFFFF"/>
        </w:rPr>
        <w:t>Assess different business models in linking farmers/NTFPs producers and pickers to market</w:t>
      </w:r>
      <w:r w:rsidR="048A48DE" w:rsidRPr="00B45519">
        <w:rPr>
          <w:rFonts w:eastAsia="Calibri" w:cs="Calibri"/>
          <w:b/>
          <w:bCs/>
          <w:sz w:val="21"/>
          <w:szCs w:val="21"/>
          <w:shd w:val="clear" w:color="auto" w:fill="FFFFFF"/>
        </w:rPr>
        <w:t>, and</w:t>
      </w:r>
      <w:r w:rsidRPr="00846C84">
        <w:rPr>
          <w:rFonts w:eastAsia="Calibri" w:cs="Calibri"/>
          <w:b/>
          <w:bCs/>
          <w:sz w:val="21"/>
          <w:szCs w:val="21"/>
          <w:shd w:val="clear" w:color="auto" w:fill="FFFFFF"/>
        </w:rPr>
        <w:t>local and nati</w:t>
      </w:r>
      <w:r w:rsidR="00846C84">
        <w:rPr>
          <w:rFonts w:eastAsia="Calibri" w:cs="Calibri"/>
          <w:b/>
          <w:bCs/>
          <w:sz w:val="21"/>
          <w:szCs w:val="21"/>
          <w:shd w:val="clear" w:color="auto" w:fill="FFFFFF"/>
        </w:rPr>
        <w:t>on</w:t>
      </w:r>
      <w:r w:rsidRPr="00846C84">
        <w:rPr>
          <w:rFonts w:eastAsia="Calibri" w:cs="Calibri"/>
          <w:b/>
          <w:bCs/>
          <w:sz w:val="21"/>
          <w:szCs w:val="21"/>
          <w:shd w:val="clear" w:color="auto" w:fill="FFFFFF"/>
        </w:rPr>
        <w:t>al MSMEs from perspective of operations, profitability, technology and marketing</w:t>
      </w:r>
      <w:r>
        <w:rPr>
          <w:rFonts w:eastAsia="Calibri" w:cs="Calibri"/>
          <w:sz w:val="21"/>
          <w:szCs w:val="21"/>
          <w:shd w:val="clear" w:color="auto" w:fill="FFFFFF"/>
        </w:rPr>
        <w:t xml:space="preserve">; </w:t>
      </w:r>
    </w:p>
    <w:p w14:paraId="36D1316E" w14:textId="77777777" w:rsidR="00E3332E" w:rsidRPr="009A0F08" w:rsidRDefault="00E3332E" w:rsidP="001667C6">
      <w:pPr>
        <w:pStyle w:val="ListParagraph"/>
        <w:numPr>
          <w:ilvl w:val="0"/>
          <w:numId w:val="62"/>
        </w:numPr>
        <w:rPr>
          <w:rFonts w:eastAsia="Calibri" w:cs="Calibri"/>
          <w:sz w:val="21"/>
          <w:szCs w:val="21"/>
          <w:shd w:val="clear" w:color="auto" w:fill="FFFFFF"/>
        </w:rPr>
      </w:pPr>
      <w:r w:rsidRPr="00881BBB">
        <w:rPr>
          <w:rFonts w:eastAsia="Calibri" w:cs="Calibri"/>
          <w:b/>
          <w:bCs/>
          <w:sz w:val="21"/>
          <w:szCs w:val="21"/>
          <w:shd w:val="clear" w:color="auto" w:fill="FFFFFF"/>
        </w:rPr>
        <w:t>Identify skill gaps at different level of the value chain and beneficiary of the project</w:t>
      </w:r>
      <w:r>
        <w:rPr>
          <w:rFonts w:eastAsia="Calibri" w:cs="Calibri"/>
          <w:sz w:val="21"/>
          <w:szCs w:val="21"/>
          <w:shd w:val="clear" w:color="auto" w:fill="FFFFFF"/>
        </w:rPr>
        <w:t>;</w:t>
      </w:r>
    </w:p>
    <w:p w14:paraId="12621AF0" w14:textId="1FEB13D5" w:rsidR="00E3332E" w:rsidRPr="00D17916" w:rsidRDefault="00E3332E" w:rsidP="001667C6">
      <w:pPr>
        <w:pStyle w:val="ListParagraph"/>
        <w:numPr>
          <w:ilvl w:val="0"/>
          <w:numId w:val="62"/>
        </w:numPr>
        <w:rPr>
          <w:rFonts w:eastAsia="Calibri" w:cs="Calibri"/>
          <w:sz w:val="21"/>
          <w:szCs w:val="21"/>
          <w:shd w:val="clear" w:color="auto" w:fill="FFFFFF"/>
        </w:rPr>
      </w:pPr>
      <w:r w:rsidRPr="2366C064">
        <w:rPr>
          <w:b/>
          <w:bCs/>
          <w:sz w:val="21"/>
          <w:szCs w:val="21"/>
        </w:rPr>
        <w:t xml:space="preserve">Assess ongoing and likely future risks arising from </w:t>
      </w:r>
      <w:r w:rsidR="001816D7" w:rsidRPr="2366C064">
        <w:rPr>
          <w:b/>
          <w:bCs/>
          <w:sz w:val="21"/>
          <w:szCs w:val="21"/>
        </w:rPr>
        <w:t>COVID-19</w:t>
      </w:r>
      <w:r w:rsidRPr="2366C064">
        <w:rPr>
          <w:sz w:val="21"/>
          <w:szCs w:val="21"/>
        </w:rPr>
        <w:t xml:space="preserve"> and provi</w:t>
      </w:r>
      <w:r w:rsidR="001816D7" w:rsidRPr="2366C064">
        <w:rPr>
          <w:sz w:val="21"/>
          <w:szCs w:val="21"/>
        </w:rPr>
        <w:t>de</w:t>
      </w:r>
      <w:r w:rsidRPr="2366C064">
        <w:rPr>
          <w:sz w:val="21"/>
          <w:szCs w:val="21"/>
        </w:rPr>
        <w:t xml:space="preserve"> clear directions and guidance on how risks of transmitting this disease will be avoided, minimized or mitigated. </w:t>
      </w:r>
    </w:p>
    <w:p w14:paraId="58B011B9" w14:textId="77777777" w:rsidR="00E3332E" w:rsidRPr="002E119A" w:rsidRDefault="00E3332E" w:rsidP="001667C6">
      <w:pPr>
        <w:pStyle w:val="ListParagraph"/>
        <w:numPr>
          <w:ilvl w:val="0"/>
          <w:numId w:val="62"/>
        </w:numPr>
        <w:spacing w:after="80"/>
        <w:contextualSpacing w:val="0"/>
        <w:rPr>
          <w:sz w:val="21"/>
          <w:szCs w:val="21"/>
        </w:rPr>
      </w:pPr>
      <w:r w:rsidRPr="2366C064">
        <w:rPr>
          <w:b/>
          <w:bCs/>
          <w:sz w:val="21"/>
          <w:szCs w:val="21"/>
        </w:rPr>
        <w:t xml:space="preserve">Draft the </w:t>
      </w:r>
      <w:r w:rsidRPr="2366C064">
        <w:rPr>
          <w:b/>
          <w:bCs/>
          <w:i/>
          <w:iCs/>
          <w:sz w:val="21"/>
          <w:szCs w:val="21"/>
        </w:rPr>
        <w:t>Green Value Chains Strategy for southern Angola’s Drylands</w:t>
      </w:r>
      <w:r w:rsidRPr="2366C064">
        <w:rPr>
          <w:sz w:val="21"/>
          <w:szCs w:val="21"/>
        </w:rPr>
        <w:t xml:space="preserve">, using experience from FAO AgrInvest initiative. Draft will be validated through the investmetn platform/GVC Advisory Group before it will be presented to Government of Angola and valaue chain stakeholders for signature. </w:t>
      </w:r>
    </w:p>
    <w:p w14:paraId="75A4CA4F" w14:textId="77777777" w:rsidR="00E3332E" w:rsidRPr="002E119A" w:rsidRDefault="00E3332E" w:rsidP="001667C6">
      <w:pPr>
        <w:pStyle w:val="ListParagraph"/>
        <w:numPr>
          <w:ilvl w:val="0"/>
          <w:numId w:val="62"/>
        </w:numPr>
        <w:spacing w:after="80"/>
        <w:contextualSpacing w:val="0"/>
        <w:rPr>
          <w:sz w:val="21"/>
          <w:szCs w:val="21"/>
        </w:rPr>
      </w:pPr>
      <w:r w:rsidRPr="2366C064">
        <w:rPr>
          <w:b/>
          <w:bCs/>
          <w:sz w:val="21"/>
          <w:szCs w:val="21"/>
        </w:rPr>
        <w:t>Hold a workshop in the project area (either one of the target landscapes) with a wider group of key stakeholders predominantly from the target landscapes, to review the draft Strategy</w:t>
      </w:r>
      <w:r w:rsidRPr="2366C064">
        <w:rPr>
          <w:sz w:val="21"/>
          <w:szCs w:val="21"/>
        </w:rPr>
        <w:t>. Seek consensus from particpants on priority GVCs to be taken forward by the project, based on criteria in the Project Document and subsequent additions/modifications to them.</w:t>
      </w:r>
    </w:p>
    <w:p w14:paraId="4DF22C50" w14:textId="77777777" w:rsidR="00E3332E" w:rsidRPr="002E119A" w:rsidRDefault="00E3332E" w:rsidP="001667C6">
      <w:pPr>
        <w:pStyle w:val="ListParagraph"/>
        <w:numPr>
          <w:ilvl w:val="0"/>
          <w:numId w:val="62"/>
        </w:numPr>
        <w:spacing w:after="80"/>
        <w:contextualSpacing w:val="0"/>
        <w:rPr>
          <w:sz w:val="21"/>
          <w:szCs w:val="21"/>
        </w:rPr>
      </w:pPr>
      <w:r w:rsidRPr="2366C064">
        <w:rPr>
          <w:b/>
          <w:bCs/>
          <w:sz w:val="21"/>
          <w:szCs w:val="21"/>
        </w:rPr>
        <w:t xml:space="preserve">Finalise the </w:t>
      </w:r>
      <w:r w:rsidRPr="2366C064">
        <w:rPr>
          <w:b/>
          <w:bCs/>
          <w:i/>
          <w:iCs/>
          <w:sz w:val="21"/>
          <w:szCs w:val="21"/>
        </w:rPr>
        <w:t>Green Value Chains Strategy for southern Angola’s Drylands</w:t>
      </w:r>
      <w:r w:rsidRPr="2366C064">
        <w:rPr>
          <w:sz w:val="21"/>
          <w:szCs w:val="21"/>
        </w:rPr>
        <w:t xml:space="preserve"> and facilitate the signature.</w:t>
      </w:r>
    </w:p>
    <w:p w14:paraId="223D133E" w14:textId="31165D73" w:rsidR="00CB2FAB" w:rsidRPr="00E3332E" w:rsidRDefault="00CB2FAB" w:rsidP="00106DEA">
      <w:pPr>
        <w:spacing w:after="80"/>
        <w:ind w:left="426"/>
        <w:rPr>
          <w:rFonts w:asciiTheme="minorHAnsi" w:hAnsiTheme="minorHAnsi" w:cstheme="minorHAnsi"/>
          <w:sz w:val="21"/>
          <w:szCs w:val="21"/>
          <w:lang w:val="en-US"/>
        </w:rPr>
      </w:pPr>
    </w:p>
    <w:p w14:paraId="62AC58AF" w14:textId="6096C09A" w:rsidR="00E27C50" w:rsidRPr="00BD64C8" w:rsidRDefault="004764ED" w:rsidP="00C979F1">
      <w:pPr>
        <w:pStyle w:val="Heading6"/>
        <w:spacing w:before="160" w:after="160"/>
        <w:ind w:hanging="11"/>
        <w:rPr>
          <w:rFonts w:asciiTheme="minorHAnsi" w:hAnsiTheme="minorHAnsi" w:cstheme="minorHAnsi"/>
          <w:sz w:val="21"/>
          <w:szCs w:val="21"/>
          <w:lang w:val="en-US"/>
        </w:rPr>
      </w:pPr>
      <w:r w:rsidRPr="00BD64C8">
        <w:rPr>
          <w:rFonts w:asciiTheme="minorHAnsi" w:hAnsiTheme="minorHAnsi" w:cstheme="minorHAnsi"/>
          <w:b/>
          <w:bCs/>
          <w:sz w:val="21"/>
          <w:szCs w:val="21"/>
          <w:highlight w:val="lightGray"/>
        </w:rPr>
        <w:t>Output 2.3</w:t>
      </w:r>
      <w:r w:rsidRPr="00BD64C8">
        <w:rPr>
          <w:rFonts w:asciiTheme="minorHAnsi" w:hAnsiTheme="minorHAnsi" w:cstheme="minorHAnsi"/>
          <w:b/>
          <w:sz w:val="21"/>
          <w:szCs w:val="21"/>
          <w:highlight w:val="lightGray"/>
        </w:rPr>
        <w:t>.2</w:t>
      </w:r>
      <w:r w:rsidRPr="00BD64C8">
        <w:rPr>
          <w:rFonts w:asciiTheme="minorHAnsi" w:hAnsiTheme="minorHAnsi" w:cstheme="minorHAnsi"/>
          <w:b/>
          <w:sz w:val="21"/>
          <w:szCs w:val="21"/>
          <w:highlight w:val="lightGray"/>
        </w:rPr>
        <w:tab/>
      </w:r>
      <w:r w:rsidR="0053565F" w:rsidRPr="00BD64C8">
        <w:rPr>
          <w:rFonts w:asciiTheme="minorHAnsi" w:hAnsiTheme="minorHAnsi" w:cstheme="minorHAnsi"/>
          <w:sz w:val="21"/>
          <w:szCs w:val="21"/>
          <w:highlight w:val="lightGray"/>
        </w:rPr>
        <w:t>The Green Value Chain strategy implemented for selected Value chains</w:t>
      </w:r>
      <w:r w:rsidR="0053565F">
        <w:rPr>
          <w:rFonts w:asciiTheme="minorHAnsi" w:hAnsiTheme="minorHAnsi" w:cstheme="minorHAnsi"/>
          <w:sz w:val="21"/>
          <w:szCs w:val="21"/>
          <w:highlight w:val="lightGray"/>
        </w:rPr>
        <w:t xml:space="preserve"> </w:t>
      </w:r>
    </w:p>
    <w:p w14:paraId="7FCA5CF2" w14:textId="77777777" w:rsidR="00C93C69" w:rsidRDefault="00C93C69" w:rsidP="001667C6">
      <w:pPr>
        <w:pStyle w:val="ParagraphOED"/>
        <w:numPr>
          <w:ilvl w:val="0"/>
          <w:numId w:val="102"/>
        </w:numPr>
        <w:spacing w:after="160"/>
      </w:pPr>
      <w:r>
        <w:t xml:space="preserve">PPG preparatory work identified several potential value chains for both project sites. Apiculture, NTFPs and small livestock have been identified as the most promising. </w:t>
      </w:r>
    </w:p>
    <w:p w14:paraId="115C9C7D" w14:textId="77777777" w:rsidR="00C93C69" w:rsidRDefault="00C93C69" w:rsidP="001667C6">
      <w:pPr>
        <w:pStyle w:val="ParagraphOED"/>
        <w:numPr>
          <w:ilvl w:val="0"/>
          <w:numId w:val="102"/>
        </w:numPr>
        <w:spacing w:after="160"/>
      </w:pPr>
      <w:r>
        <w:t>Bee products (honey</w:t>
      </w:r>
      <w:r>
        <w:rPr>
          <w:rStyle w:val="FootnoteReference"/>
        </w:rPr>
        <w:footnoteReference w:id="83"/>
      </w:r>
      <w:r>
        <w:t xml:space="preserve">) are potentially the most promising product in the market place with a value chain that meets many of the project’s criteria for development. They include: its relatively high value at source (beekeepers receive USD 2 per kilo and produce 200-400 kg per year, which generates more income for land users (farmers) than most other agricultural activities; high potential for job creation (self-employment); national market demand (estimated at 10-20MT annually) exceeds production (Angola imports several tons annually) and much higher potential market (estimated at 70 MT per year). Moreover, the industry is well-coordinated by government </w:t>
      </w:r>
      <w:r>
        <w:lastRenderedPageBreak/>
        <w:t>and the private sector, with initiatives underway to certify Angolan honey for the export market. Dryland and forest honey is of high quality and there is a potential to develop a geographic indicator for the natural and sustainable dryland honey. Digitalization to enhance tracebility and thus increase rural beekeeper ability to produce quality honey that can get the right certification and enter the formal value chains, will be one of the strategy of the VC work. A key challenge to address is the unsustainable manner in which honey is traditionally produced, as bark from trees is used to make the beehive and fire is used to harvest the honey, which not only kills the debarked trees and the bee colony but can also result in far more damaging forest fires.</w:t>
      </w:r>
    </w:p>
    <w:p w14:paraId="28EC2288" w14:textId="2012A0A4" w:rsidR="00C93C69" w:rsidRPr="00307028" w:rsidRDefault="00C93C69" w:rsidP="001667C6">
      <w:pPr>
        <w:pStyle w:val="ParagraphOED"/>
        <w:numPr>
          <w:ilvl w:val="0"/>
          <w:numId w:val="102"/>
        </w:numPr>
        <w:spacing w:after="160"/>
      </w:pPr>
      <w:r>
        <w:t xml:space="preserve">Other existing VCs identified during the PPG phase to consider prioritizing for greening in ways that reinforce and consolidate the landscape approach include dryland forest fruits,  and charcoal/firewood. </w:t>
      </w:r>
    </w:p>
    <w:p w14:paraId="57C78AEC" w14:textId="62B66323" w:rsidR="00872019" w:rsidRDefault="00C93C69" w:rsidP="001667C6">
      <w:pPr>
        <w:pStyle w:val="ParagraphOED"/>
        <w:numPr>
          <w:ilvl w:val="0"/>
          <w:numId w:val="102"/>
        </w:numPr>
      </w:pPr>
      <w:r w:rsidRPr="2ECADB71">
        <w:rPr>
          <w:shd w:val="clear" w:color="auto" w:fill="auto"/>
        </w:rPr>
        <w:t>Charcoal and firewood</w:t>
      </w:r>
      <w:r w:rsidRPr="2ECADB71">
        <w:t xml:space="preserve"> exploitation</w:t>
      </w:r>
      <w:r w:rsidRPr="0062620B">
        <w:t xml:space="preserve"> is common in the project sites</w:t>
      </w:r>
      <w:r>
        <w:t>:</w:t>
      </w:r>
      <w:r w:rsidRPr="0062620B">
        <w:t xml:space="preserve"> </w:t>
      </w:r>
      <w:r>
        <w:t>m</w:t>
      </w:r>
      <w:r w:rsidRPr="0062620B">
        <w:t xml:space="preserve">ost </w:t>
      </w:r>
      <w:r>
        <w:t>fire</w:t>
      </w:r>
      <w:r w:rsidRPr="0062620B">
        <w:t xml:space="preserve">wood is used for </w:t>
      </w:r>
      <w:r>
        <w:t xml:space="preserve">domestic </w:t>
      </w:r>
      <w:r w:rsidRPr="0062620B">
        <w:t>cooking, while charcoal is produced for sale</w:t>
      </w:r>
      <w:r>
        <w:t xml:space="preserve"> to city markets where demand is higher</w:t>
      </w:r>
      <w:r w:rsidRPr="0062620B">
        <w:t xml:space="preserve">. Charcoal producers </w:t>
      </w:r>
      <w:r>
        <w:t xml:space="preserve">are poorly </w:t>
      </w:r>
      <w:r w:rsidRPr="0062620B">
        <w:t>compensat</w:t>
      </w:r>
      <w:r>
        <w:t xml:space="preserve">ed and the work is </w:t>
      </w:r>
      <w:r w:rsidRPr="0062620B">
        <w:t xml:space="preserve">time </w:t>
      </w:r>
      <w:r>
        <w:t>consuming</w:t>
      </w:r>
      <w:r w:rsidRPr="00287561">
        <w:rPr>
          <w:highlight w:val="yellow"/>
        </w:rPr>
        <w:t>.</w:t>
      </w:r>
      <w:r w:rsidR="472F0B0D" w:rsidRPr="00287561">
        <w:rPr>
          <w:highlight w:val="yellow"/>
        </w:rPr>
        <w:t xml:space="preserve"> As in other charcoal enterprises, the major part of the added value remains with the trader and retailers in the cities. In Cuchi charcoal is also produced from local trees for the ore industry.</w:t>
      </w:r>
      <w:r w:rsidRPr="00287561">
        <w:rPr>
          <w:highlight w:val="yellow"/>
        </w:rPr>
        <w:t xml:space="preserve"> </w:t>
      </w:r>
      <w:r w:rsidR="6DBEFCB6" w:rsidRPr="00287561">
        <w:rPr>
          <w:highlight w:val="yellow"/>
        </w:rPr>
        <w:t>The DSL IP Project will closely work with GEF Project Promotion of Sustainable Charcoal in Angola through a Value Chain Approach GEF ID#5719 implemented by UNDP and MCTA, which is working on the policy framework to support a sustainable charcoal value chain and sustainable charcoal production technology, briquetting and energy-efficient charcoal stoves and capacity building.</w:t>
      </w:r>
      <w:r w:rsidR="5E5103C9" w:rsidRPr="00287561">
        <w:rPr>
          <w:highlight w:val="yellow"/>
        </w:rPr>
        <w:t xml:space="preserve"> This project is already working </w:t>
      </w:r>
      <w:r w:rsidR="2705AFC8" w:rsidRPr="00287561">
        <w:rPr>
          <w:highlight w:val="yellow"/>
        </w:rPr>
        <w:t>on defining with the Government a certification scheme. The DSL IP Project will</w:t>
      </w:r>
      <w:r w:rsidR="4ADF6BD4" w:rsidRPr="00E076D7">
        <w:rPr>
          <w:highlight w:val="yellow"/>
        </w:rPr>
        <w:t xml:space="preserve"> focus on demonstrating the charcoal green value chain in the targeted landscapes with focus on the </w:t>
      </w:r>
      <w:r w:rsidR="4ADF6BD4" w:rsidRPr="00287561">
        <w:rPr>
          <w:highlight w:val="yellow"/>
        </w:rPr>
        <w:t xml:space="preserve">sustainable </w:t>
      </w:r>
      <w:r w:rsidR="4ADF6BD4" w:rsidRPr="00E076D7">
        <w:rPr>
          <w:highlight w:val="yellow"/>
        </w:rPr>
        <w:t xml:space="preserve">production and </w:t>
      </w:r>
      <w:r w:rsidR="7083930F" w:rsidRPr="00287561">
        <w:rPr>
          <w:highlight w:val="yellow"/>
        </w:rPr>
        <w:t xml:space="preserve">efficient </w:t>
      </w:r>
      <w:r w:rsidR="4ADF6BD4" w:rsidRPr="00E076D7">
        <w:rPr>
          <w:highlight w:val="yellow"/>
        </w:rPr>
        <w:t>processing complementing UNDP’s charcoal project interventions</w:t>
      </w:r>
      <w:r w:rsidR="2CD9DAF0">
        <w:t>.</w:t>
      </w:r>
    </w:p>
    <w:p w14:paraId="699EA5DB" w14:textId="25A9A6DF" w:rsidR="00272411" w:rsidRPr="00B34050" w:rsidRDefault="00272411" w:rsidP="00B37D5C">
      <w:pPr>
        <w:pStyle w:val="Caption"/>
        <w:spacing w:before="0" w:after="80"/>
        <w:rPr>
          <w:sz w:val="22"/>
          <w:szCs w:val="22"/>
        </w:rPr>
      </w:pPr>
      <w:bookmarkStart w:id="148" w:name="_Toc58398663"/>
      <w:r w:rsidRPr="00B34050">
        <w:rPr>
          <w:sz w:val="22"/>
          <w:szCs w:val="22"/>
        </w:rPr>
        <w:t xml:space="preserve">Box </w:t>
      </w:r>
      <w:r w:rsidRPr="00B34050">
        <w:rPr>
          <w:sz w:val="22"/>
          <w:szCs w:val="22"/>
        </w:rPr>
        <w:fldChar w:fldCharType="begin"/>
      </w:r>
      <w:r w:rsidRPr="00B34050">
        <w:rPr>
          <w:sz w:val="22"/>
          <w:szCs w:val="22"/>
        </w:rPr>
        <w:instrText>SEQ Box \* ARABIC</w:instrText>
      </w:r>
      <w:r w:rsidRPr="00B34050">
        <w:rPr>
          <w:sz w:val="22"/>
          <w:szCs w:val="22"/>
        </w:rPr>
        <w:fldChar w:fldCharType="separate"/>
      </w:r>
      <w:r w:rsidR="00EE0298">
        <w:rPr>
          <w:noProof/>
          <w:sz w:val="22"/>
          <w:szCs w:val="22"/>
        </w:rPr>
        <w:t>9</w:t>
      </w:r>
      <w:r w:rsidRPr="00B34050">
        <w:rPr>
          <w:sz w:val="22"/>
          <w:szCs w:val="22"/>
        </w:rPr>
        <w:fldChar w:fldCharType="end"/>
      </w:r>
      <w:r w:rsidRPr="00B34050">
        <w:rPr>
          <w:sz w:val="22"/>
          <w:szCs w:val="22"/>
        </w:rPr>
        <w:t>.</w:t>
      </w:r>
      <w:r w:rsidR="003B6C65" w:rsidRPr="00B34050">
        <w:rPr>
          <w:sz w:val="22"/>
          <w:szCs w:val="22"/>
        </w:rPr>
        <w:t xml:space="preserve"> Honey </w:t>
      </w:r>
      <w:r w:rsidR="00B37D5C" w:rsidRPr="00B34050">
        <w:rPr>
          <w:sz w:val="22"/>
          <w:szCs w:val="22"/>
        </w:rPr>
        <w:t xml:space="preserve">– </w:t>
      </w:r>
      <w:r w:rsidR="001971A0">
        <w:rPr>
          <w:sz w:val="22"/>
          <w:szCs w:val="22"/>
        </w:rPr>
        <w:t>M</w:t>
      </w:r>
      <w:r w:rsidR="00B37D5C" w:rsidRPr="00B34050">
        <w:rPr>
          <w:sz w:val="22"/>
          <w:szCs w:val="22"/>
        </w:rPr>
        <w:t>ost promising value chain for green development</w:t>
      </w:r>
      <w:r w:rsidR="00B37D5C" w:rsidRPr="00B34050">
        <w:rPr>
          <w:rStyle w:val="FootnoteReference"/>
          <w:rFonts w:cs="Calibri"/>
          <w:sz w:val="22"/>
          <w:szCs w:val="22"/>
        </w:rPr>
        <w:t xml:space="preserve"> </w:t>
      </w:r>
      <w:r w:rsidR="003B6C65" w:rsidRPr="00B34050">
        <w:rPr>
          <w:rStyle w:val="FootnoteReference"/>
          <w:rFonts w:cs="Calibri"/>
          <w:sz w:val="22"/>
          <w:szCs w:val="22"/>
        </w:rPr>
        <w:footnoteReference w:id="84"/>
      </w:r>
      <w:bookmarkEnd w:id="148"/>
      <w:r w:rsidR="003B6C65" w:rsidRPr="00B34050" w:rsidDel="002E680C">
        <w:rPr>
          <w:sz w:val="22"/>
          <w:szCs w:val="22"/>
        </w:rPr>
        <w:t xml:space="preserve"> </w:t>
      </w:r>
    </w:p>
    <w:tbl>
      <w:tblPr>
        <w:tblStyle w:val="TableGrid"/>
        <w:tblW w:w="5000" w:type="pct"/>
        <w:tblBorders>
          <w:insideH w:val="none" w:sz="0" w:space="0" w:color="auto"/>
          <w:insideV w:val="none" w:sz="0" w:space="0" w:color="auto"/>
        </w:tblBorders>
        <w:tblLook w:val="04A0" w:firstRow="1" w:lastRow="0" w:firstColumn="1" w:lastColumn="0" w:noHBand="0" w:noVBand="1"/>
      </w:tblPr>
      <w:tblGrid>
        <w:gridCol w:w="3391"/>
        <w:gridCol w:w="5625"/>
      </w:tblGrid>
      <w:tr w:rsidR="00840732" w:rsidRPr="00965183" w14:paraId="199199AE" w14:textId="77777777" w:rsidTr="78C544BE">
        <w:tc>
          <w:tcPr>
            <w:tcW w:w="0" w:type="auto"/>
            <w:gridSpan w:val="2"/>
            <w:shd w:val="clear" w:color="auto" w:fill="F2F2F2" w:themeFill="background1" w:themeFillShade="F2"/>
            <w:tcMar>
              <w:top w:w="57" w:type="dxa"/>
              <w:left w:w="57" w:type="dxa"/>
              <w:bottom w:w="0" w:type="dxa"/>
              <w:right w:w="28" w:type="dxa"/>
            </w:tcMar>
          </w:tcPr>
          <w:p w14:paraId="136B61BF" w14:textId="55565747" w:rsidR="00840732" w:rsidRPr="00840732" w:rsidRDefault="00840732" w:rsidP="00840732">
            <w:pPr>
              <w:pStyle w:val="Boxtext"/>
              <w:shd w:val="clear" w:color="auto" w:fill="FFF2CC" w:themeFill="accent4" w:themeFillTint="33"/>
              <w:spacing w:before="0" w:after="0"/>
              <w:ind w:left="170" w:right="181"/>
              <w:rPr>
                <w:b/>
                <w:bCs/>
                <w:noProof w:val="0"/>
                <w:sz w:val="16"/>
                <w:szCs w:val="16"/>
              </w:rPr>
            </w:pPr>
            <w:r>
              <w:rPr>
                <w:b/>
                <w:bCs/>
                <w:noProof w:val="0"/>
                <w:sz w:val="16"/>
                <w:szCs w:val="16"/>
              </w:rPr>
              <w:t>H</w:t>
            </w:r>
            <w:r w:rsidRPr="00965183">
              <w:rPr>
                <w:b/>
                <w:bCs/>
                <w:noProof w:val="0"/>
                <w:sz w:val="16"/>
                <w:szCs w:val="16"/>
              </w:rPr>
              <w:t xml:space="preserve">oney </w:t>
            </w:r>
            <w:r>
              <w:rPr>
                <w:rFonts w:ascii="Calibri" w:hAnsi="Calibri" w:cs="Calibri"/>
                <w:b/>
                <w:bCs/>
                <w:sz w:val="16"/>
                <w:szCs w:val="16"/>
              </w:rPr>
              <w:t xml:space="preserve">value chain </w:t>
            </w:r>
            <w:r>
              <w:rPr>
                <w:b/>
                <w:bCs/>
                <w:noProof w:val="0"/>
                <w:sz w:val="16"/>
                <w:szCs w:val="16"/>
              </w:rPr>
              <w:t xml:space="preserve">has promising potential </w:t>
            </w:r>
            <w:r w:rsidRPr="00965183">
              <w:rPr>
                <w:b/>
                <w:bCs/>
                <w:noProof w:val="0"/>
                <w:sz w:val="16"/>
                <w:szCs w:val="16"/>
              </w:rPr>
              <w:t>for</w:t>
            </w:r>
            <w:r>
              <w:rPr>
                <w:b/>
                <w:bCs/>
                <w:noProof w:val="0"/>
                <w:sz w:val="16"/>
                <w:szCs w:val="16"/>
              </w:rPr>
              <w:t xml:space="preserve"> </w:t>
            </w:r>
            <w:r w:rsidRPr="00965183">
              <w:rPr>
                <w:rFonts w:ascii="Calibri" w:hAnsi="Calibri" w:cs="Calibri"/>
                <w:b/>
                <w:bCs/>
                <w:sz w:val="16"/>
                <w:szCs w:val="16"/>
              </w:rPr>
              <w:t xml:space="preserve">’greening’ </w:t>
            </w:r>
            <w:r w:rsidRPr="00965183">
              <w:rPr>
                <w:b/>
                <w:bCs/>
                <w:noProof w:val="0"/>
                <w:sz w:val="16"/>
                <w:szCs w:val="16"/>
              </w:rPr>
              <w:t>in project landscapes</w:t>
            </w:r>
            <w:r>
              <w:rPr>
                <w:b/>
                <w:bCs/>
                <w:noProof w:val="0"/>
                <w:sz w:val="16"/>
                <w:szCs w:val="16"/>
              </w:rPr>
              <w:t>;</w:t>
            </w:r>
            <w:r w:rsidRPr="00965183">
              <w:rPr>
                <w:b/>
                <w:bCs/>
                <w:noProof w:val="0"/>
                <w:sz w:val="16"/>
                <w:szCs w:val="16"/>
              </w:rPr>
              <w:t xml:space="preserve"> </w:t>
            </w:r>
            <w:r>
              <w:rPr>
                <w:b/>
                <w:bCs/>
                <w:noProof w:val="0"/>
                <w:sz w:val="16"/>
                <w:szCs w:val="16"/>
              </w:rPr>
              <w:t xml:space="preserve">and it </w:t>
            </w:r>
            <w:r w:rsidRPr="00965183">
              <w:rPr>
                <w:b/>
                <w:bCs/>
                <w:noProof w:val="0"/>
                <w:sz w:val="16"/>
                <w:szCs w:val="16"/>
              </w:rPr>
              <w:t>fulfils many criteria</w:t>
            </w:r>
            <w:r>
              <w:rPr>
                <w:b/>
                <w:bCs/>
                <w:noProof w:val="0"/>
                <w:sz w:val="16"/>
                <w:szCs w:val="16"/>
              </w:rPr>
              <w:t>,</w:t>
            </w:r>
            <w:r w:rsidRPr="00965183">
              <w:rPr>
                <w:b/>
                <w:bCs/>
                <w:noProof w:val="0"/>
                <w:sz w:val="16"/>
                <w:szCs w:val="16"/>
              </w:rPr>
              <w:t xml:space="preserve"> notably</w:t>
            </w:r>
            <w:r>
              <w:rPr>
                <w:b/>
                <w:bCs/>
                <w:noProof w:val="0"/>
                <w:sz w:val="16"/>
                <w:szCs w:val="16"/>
              </w:rPr>
              <w:t>:</w:t>
            </w:r>
            <w:r w:rsidRPr="00965183">
              <w:rPr>
                <w:b/>
                <w:bCs/>
                <w:noProof w:val="0"/>
                <w:sz w:val="16"/>
                <w:szCs w:val="16"/>
              </w:rPr>
              <w:t xml:space="preserve"> current lack of safeguarding bee colonies and opportunities </w:t>
            </w:r>
            <w:r>
              <w:rPr>
                <w:b/>
                <w:bCs/>
                <w:noProof w:val="0"/>
                <w:sz w:val="16"/>
                <w:szCs w:val="16"/>
              </w:rPr>
              <w:t>to</w:t>
            </w:r>
            <w:r w:rsidRPr="00965183">
              <w:rPr>
                <w:b/>
                <w:bCs/>
                <w:noProof w:val="0"/>
                <w:sz w:val="16"/>
                <w:szCs w:val="16"/>
              </w:rPr>
              <w:t xml:space="preserve"> improv</w:t>
            </w:r>
            <w:r>
              <w:rPr>
                <w:b/>
                <w:bCs/>
                <w:noProof w:val="0"/>
                <w:sz w:val="16"/>
                <w:szCs w:val="16"/>
              </w:rPr>
              <w:t>e</w:t>
            </w:r>
            <w:r w:rsidRPr="00965183">
              <w:rPr>
                <w:b/>
                <w:bCs/>
                <w:noProof w:val="0"/>
                <w:sz w:val="16"/>
                <w:szCs w:val="16"/>
              </w:rPr>
              <w:t xml:space="preserve"> quality and increas</w:t>
            </w:r>
            <w:r>
              <w:rPr>
                <w:b/>
                <w:bCs/>
                <w:noProof w:val="0"/>
                <w:sz w:val="16"/>
                <w:szCs w:val="16"/>
              </w:rPr>
              <w:t>e</w:t>
            </w:r>
            <w:r w:rsidRPr="00965183">
              <w:rPr>
                <w:b/>
                <w:bCs/>
                <w:noProof w:val="0"/>
                <w:sz w:val="16"/>
                <w:szCs w:val="16"/>
              </w:rPr>
              <w:t xml:space="preserve"> production</w:t>
            </w:r>
            <w:r>
              <w:rPr>
                <w:b/>
                <w:bCs/>
                <w:noProof w:val="0"/>
                <w:sz w:val="16"/>
                <w:szCs w:val="16"/>
              </w:rPr>
              <w:t xml:space="preserve"> of</w:t>
            </w:r>
            <w:r w:rsidRPr="00965183">
              <w:rPr>
                <w:b/>
                <w:bCs/>
                <w:noProof w:val="0"/>
                <w:sz w:val="16"/>
                <w:szCs w:val="16"/>
              </w:rPr>
              <w:t xml:space="preserve"> honey</w:t>
            </w:r>
            <w:r>
              <w:rPr>
                <w:b/>
                <w:bCs/>
                <w:noProof w:val="0"/>
                <w:sz w:val="16"/>
                <w:szCs w:val="16"/>
              </w:rPr>
              <w:t>, benefitting livelihoods</w:t>
            </w:r>
            <w:r w:rsidRPr="00965183">
              <w:rPr>
                <w:b/>
                <w:bCs/>
                <w:noProof w:val="0"/>
                <w:sz w:val="16"/>
                <w:szCs w:val="16"/>
              </w:rPr>
              <w:t>.</w:t>
            </w:r>
          </w:p>
        </w:tc>
      </w:tr>
      <w:tr w:rsidR="00B31D04" w:rsidRPr="00965183" w14:paraId="4DDDC66F" w14:textId="77777777" w:rsidTr="78C544BE">
        <w:tc>
          <w:tcPr>
            <w:tcW w:w="0" w:type="auto"/>
            <w:gridSpan w:val="2"/>
            <w:shd w:val="clear" w:color="auto" w:fill="F2F2F2" w:themeFill="background1" w:themeFillShade="F2"/>
            <w:tcMar>
              <w:top w:w="57" w:type="dxa"/>
              <w:left w:w="57" w:type="dxa"/>
              <w:bottom w:w="0" w:type="dxa"/>
              <w:right w:w="28" w:type="dxa"/>
            </w:tcMar>
          </w:tcPr>
          <w:p w14:paraId="26FE8480" w14:textId="68A71269" w:rsidR="00B31D04" w:rsidRDefault="00B31D04" w:rsidP="006B5F09">
            <w:pPr>
              <w:spacing w:after="80"/>
              <w:jc w:val="both"/>
              <w:rPr>
                <w:rFonts w:asciiTheme="minorHAnsi" w:hAnsiTheme="minorHAnsi" w:cstheme="minorHAnsi"/>
                <w:sz w:val="16"/>
                <w:szCs w:val="16"/>
              </w:rPr>
            </w:pPr>
            <w:r w:rsidRPr="00965183">
              <w:rPr>
                <w:rFonts w:asciiTheme="minorHAnsi" w:hAnsiTheme="minorHAnsi" w:cstheme="minorHAnsi"/>
                <w:b/>
                <w:sz w:val="16"/>
                <w:szCs w:val="16"/>
                <w:u w:val="single"/>
              </w:rPr>
              <w:t>Honey and bee products</w:t>
            </w:r>
            <w:r>
              <w:rPr>
                <w:rFonts w:asciiTheme="minorHAnsi" w:hAnsiTheme="minorHAnsi" w:cstheme="minorHAnsi"/>
                <w:b/>
                <w:sz w:val="16"/>
                <w:szCs w:val="16"/>
                <w:u w:val="single"/>
              </w:rPr>
              <w:t xml:space="preserve">: </w:t>
            </w:r>
            <w:r w:rsidRPr="00965183">
              <w:rPr>
                <w:rFonts w:asciiTheme="minorHAnsi" w:hAnsiTheme="minorHAnsi" w:cstheme="minorHAnsi"/>
                <w:sz w:val="16"/>
                <w:szCs w:val="16"/>
              </w:rPr>
              <w:t>Currently,  there are very few honey producers in Cuando Cubango and Cunene. They produce honey in traditional way inside the bark of the tree, using fire to harvest the honey, which kills the bee community, provokes bushfires and decreases honey quality and price at market.</w:t>
            </w:r>
            <w:r>
              <w:rPr>
                <w:rFonts w:asciiTheme="minorHAnsi" w:hAnsiTheme="minorHAnsi" w:cstheme="minorHAnsi"/>
                <w:sz w:val="16"/>
                <w:szCs w:val="16"/>
              </w:rPr>
              <w:t xml:space="preserve"> P</w:t>
            </w:r>
            <w:r w:rsidRPr="00965183">
              <w:rPr>
                <w:rFonts w:asciiTheme="minorHAnsi" w:hAnsiTheme="minorHAnsi" w:cstheme="minorHAnsi"/>
                <w:sz w:val="16"/>
                <w:szCs w:val="16"/>
              </w:rPr>
              <w:t>rocessing is rudimentary</w:t>
            </w:r>
            <w:r>
              <w:rPr>
                <w:rFonts w:asciiTheme="minorHAnsi" w:hAnsiTheme="minorHAnsi" w:cstheme="minorHAnsi"/>
                <w:sz w:val="16"/>
                <w:szCs w:val="16"/>
              </w:rPr>
              <w:t xml:space="preserve"> and any </w:t>
            </w:r>
            <w:r w:rsidRPr="00965183">
              <w:rPr>
                <w:rFonts w:asciiTheme="minorHAnsi" w:hAnsiTheme="minorHAnsi" w:cstheme="minorHAnsi"/>
                <w:sz w:val="16"/>
                <w:szCs w:val="16"/>
              </w:rPr>
              <w:t>market</w:t>
            </w:r>
            <w:r>
              <w:rPr>
                <w:rFonts w:asciiTheme="minorHAnsi" w:hAnsiTheme="minorHAnsi" w:cstheme="minorHAnsi"/>
                <w:sz w:val="16"/>
                <w:szCs w:val="16"/>
              </w:rPr>
              <w:t>ing is limitied</w:t>
            </w:r>
            <w:r w:rsidRPr="00965183">
              <w:rPr>
                <w:rFonts w:asciiTheme="minorHAnsi" w:hAnsiTheme="minorHAnsi" w:cstheme="minorHAnsi"/>
                <w:sz w:val="16"/>
                <w:szCs w:val="16"/>
              </w:rPr>
              <w:t xml:space="preserve"> </w:t>
            </w:r>
            <w:r>
              <w:rPr>
                <w:rFonts w:asciiTheme="minorHAnsi" w:hAnsiTheme="minorHAnsi" w:cstheme="minorHAnsi"/>
                <w:sz w:val="16"/>
                <w:szCs w:val="16"/>
              </w:rPr>
              <w:t xml:space="preserve">and </w:t>
            </w:r>
            <w:r w:rsidRPr="00965183">
              <w:rPr>
                <w:rFonts w:asciiTheme="minorHAnsi" w:hAnsiTheme="minorHAnsi" w:cstheme="minorHAnsi"/>
                <w:sz w:val="16"/>
                <w:szCs w:val="16"/>
              </w:rPr>
              <w:t>through informal chains.</w:t>
            </w:r>
          </w:p>
          <w:p w14:paraId="7F49D0D7" w14:textId="150DB2ED" w:rsidR="00B31D04" w:rsidRPr="00965183" w:rsidRDefault="00B31D04" w:rsidP="006B5F09">
            <w:pPr>
              <w:spacing w:after="80"/>
              <w:jc w:val="both"/>
              <w:rPr>
                <w:rFonts w:asciiTheme="minorHAnsi" w:hAnsiTheme="minorHAnsi" w:cstheme="minorHAnsi"/>
                <w:sz w:val="16"/>
                <w:szCs w:val="16"/>
              </w:rPr>
            </w:pPr>
            <w:r w:rsidRPr="00965183">
              <w:rPr>
                <w:rFonts w:asciiTheme="minorHAnsi" w:hAnsiTheme="minorHAnsi" w:cstheme="minorHAnsi"/>
                <w:sz w:val="16"/>
                <w:szCs w:val="16"/>
              </w:rPr>
              <w:t>Despite the above, honey and bee products value chains are the most promising for the project area. While honey is the most commercialized commodity, bee products are new to Angolan markets, expensive for consumers and the supply is too limited for export.</w:t>
            </w:r>
          </w:p>
        </w:tc>
      </w:tr>
      <w:tr w:rsidR="00B31D04" w:rsidRPr="00965183" w14:paraId="3ED9FDD6" w14:textId="77777777" w:rsidTr="78C544BE">
        <w:tc>
          <w:tcPr>
            <w:tcW w:w="0" w:type="auto"/>
            <w:shd w:val="clear" w:color="auto" w:fill="F2F2F2" w:themeFill="background1" w:themeFillShade="F2"/>
            <w:tcMar>
              <w:top w:w="0" w:type="dxa"/>
              <w:left w:w="57" w:type="dxa"/>
              <w:bottom w:w="57" w:type="dxa"/>
              <w:right w:w="28" w:type="dxa"/>
            </w:tcMar>
          </w:tcPr>
          <w:p w14:paraId="6C78B20E" w14:textId="7C99AF61" w:rsidR="00B31D04" w:rsidRPr="00965183" w:rsidRDefault="0019522F" w:rsidP="006B5F09">
            <w:pPr>
              <w:jc w:val="both"/>
              <w:rPr>
                <w:rFonts w:asciiTheme="minorHAnsi" w:hAnsiTheme="minorHAnsi" w:cstheme="minorHAnsi"/>
                <w:sz w:val="16"/>
                <w:szCs w:val="16"/>
              </w:rPr>
            </w:pPr>
            <w:r w:rsidRPr="00965183">
              <w:rPr>
                <w:rFonts w:asciiTheme="minorHAnsi" w:hAnsiTheme="minorHAnsi" w:cstheme="minorHAnsi"/>
                <w:b/>
                <w:sz w:val="16"/>
                <w:szCs w:val="16"/>
              </w:rPr>
              <w:t>Income generating and job creating potential:</w:t>
            </w:r>
            <w:r w:rsidRPr="00965183">
              <w:rPr>
                <w:rFonts w:asciiTheme="minorHAnsi" w:hAnsiTheme="minorHAnsi" w:cstheme="minorHAnsi"/>
                <w:sz w:val="16"/>
                <w:szCs w:val="16"/>
              </w:rPr>
              <w:t xml:space="preserve"> The sector is led by several processors, who directly source raw honey from small-scale beekeepers. The income for small beekeeper can surpass the income from other agricutlure activities, as one kg of honey in Luanda costs USD 2 and a producer averages  200-400kg per year. </w:t>
            </w:r>
          </w:p>
        </w:tc>
        <w:tc>
          <w:tcPr>
            <w:tcW w:w="3119" w:type="pct"/>
            <w:shd w:val="clear" w:color="auto" w:fill="F2F2F2" w:themeFill="background1" w:themeFillShade="F2"/>
            <w:tcMar>
              <w:top w:w="0" w:type="dxa"/>
              <w:left w:w="57" w:type="dxa"/>
              <w:bottom w:w="57" w:type="dxa"/>
              <w:right w:w="28" w:type="dxa"/>
            </w:tcMar>
          </w:tcPr>
          <w:p w14:paraId="6D53B1D4" w14:textId="2EB67556" w:rsidR="00B31D04" w:rsidRPr="00965183" w:rsidRDefault="59D0F7D2" w:rsidP="006B5F09">
            <w:pPr>
              <w:jc w:val="both"/>
              <w:rPr>
                <w:sz w:val="16"/>
                <w:szCs w:val="16"/>
                <w:highlight w:val="cyan"/>
              </w:rPr>
            </w:pPr>
            <w:r>
              <w:rPr>
                <w:noProof/>
              </w:rPr>
              <w:drawing>
                <wp:inline distT="0" distB="0" distL="0" distR="0" wp14:anchorId="28C03012" wp14:editId="28C17183">
                  <wp:extent cx="3514902" cy="914400"/>
                  <wp:effectExtent l="0" t="0" r="3175" b="0"/>
                  <wp:docPr id="70" name="Picture 70" descr="A picture containing indoor, food, open, sitt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pic:cNvPicPr/>
                        </pic:nvPicPr>
                        <pic:blipFill>
                          <a:blip r:embed="rId81">
                            <a:extLst>
                              <a:ext uri="{28A0092B-C50C-407E-A947-70E740481C1C}">
                                <a14:useLocalDpi xmlns:a14="http://schemas.microsoft.com/office/drawing/2010/main"/>
                              </a:ext>
                            </a:extLst>
                          </a:blip>
                          <a:stretch>
                            <a:fillRect/>
                          </a:stretch>
                        </pic:blipFill>
                        <pic:spPr>
                          <a:xfrm>
                            <a:off x="0" y="0"/>
                            <a:ext cx="3514902" cy="914400"/>
                          </a:xfrm>
                          <a:prstGeom prst="rect">
                            <a:avLst/>
                          </a:prstGeom>
                        </pic:spPr>
                      </pic:pic>
                    </a:graphicData>
                  </a:graphic>
                </wp:inline>
              </w:drawing>
            </w:r>
          </w:p>
        </w:tc>
      </w:tr>
      <w:tr w:rsidR="0019522F" w:rsidRPr="00965183" w14:paraId="68403873" w14:textId="77777777" w:rsidTr="78C544BE">
        <w:tc>
          <w:tcPr>
            <w:tcW w:w="5000" w:type="pct"/>
            <w:gridSpan w:val="2"/>
            <w:shd w:val="clear" w:color="auto" w:fill="F2F2F2" w:themeFill="background1" w:themeFillShade="F2"/>
            <w:tcMar>
              <w:top w:w="0" w:type="dxa"/>
              <w:left w:w="57" w:type="dxa"/>
              <w:bottom w:w="57" w:type="dxa"/>
              <w:right w:w="28" w:type="dxa"/>
            </w:tcMar>
          </w:tcPr>
          <w:p w14:paraId="7C376B61" w14:textId="2BA2BA89" w:rsidR="0019522F" w:rsidRPr="00965183" w:rsidRDefault="0019522F" w:rsidP="006B5F09">
            <w:pPr>
              <w:spacing w:after="80"/>
              <w:jc w:val="both"/>
              <w:rPr>
                <w:rFonts w:asciiTheme="minorHAnsi" w:hAnsiTheme="minorHAnsi" w:cstheme="minorHAnsi"/>
                <w:sz w:val="16"/>
                <w:szCs w:val="16"/>
              </w:rPr>
            </w:pPr>
            <w:r w:rsidRPr="00965183">
              <w:rPr>
                <w:rFonts w:asciiTheme="minorHAnsi" w:hAnsiTheme="minorHAnsi" w:cstheme="minorHAnsi"/>
                <w:b/>
                <w:sz w:val="16"/>
                <w:szCs w:val="16"/>
              </w:rPr>
              <w:t>Existing demand and economic sustainability</w:t>
            </w:r>
            <w:r w:rsidRPr="00965183">
              <w:rPr>
                <w:rFonts w:asciiTheme="minorHAnsi" w:hAnsiTheme="minorHAnsi" w:cstheme="minorHAnsi"/>
                <w:sz w:val="16"/>
                <w:szCs w:val="16"/>
              </w:rPr>
              <w:t xml:space="preserve">: Angola still imports several tons of honey each year but the local honey is competitive considering price, branding and quality. It is estimated that with targeted marketing, consumption could increase up to 70 thousand MT per year. Currently Angola produces 10-20MT of honey per year. </w:t>
            </w:r>
          </w:p>
          <w:p w14:paraId="4F727A2E" w14:textId="3EA0AA10" w:rsidR="0019522F" w:rsidRPr="00965183" w:rsidRDefault="0019522F" w:rsidP="006B5F09">
            <w:pPr>
              <w:spacing w:after="80"/>
              <w:jc w:val="both"/>
              <w:rPr>
                <w:rFonts w:asciiTheme="minorHAnsi" w:hAnsiTheme="minorHAnsi" w:cstheme="minorHAnsi"/>
                <w:sz w:val="16"/>
                <w:szCs w:val="16"/>
              </w:rPr>
            </w:pPr>
            <w:r w:rsidRPr="00965183">
              <w:rPr>
                <w:rFonts w:asciiTheme="minorHAnsi" w:hAnsiTheme="minorHAnsi" w:cstheme="minorHAnsi"/>
                <w:b/>
                <w:sz w:val="16"/>
                <w:szCs w:val="16"/>
              </w:rPr>
              <w:t xml:space="preserve">Potential for export: </w:t>
            </w:r>
            <w:r w:rsidRPr="00965183">
              <w:rPr>
                <w:rFonts w:asciiTheme="minorHAnsi" w:hAnsiTheme="minorHAnsi" w:cstheme="minorHAnsi"/>
                <w:bCs/>
                <w:sz w:val="16"/>
                <w:szCs w:val="16"/>
              </w:rPr>
              <w:t>In</w:t>
            </w:r>
            <w:r w:rsidRPr="00965183">
              <w:rPr>
                <w:rFonts w:asciiTheme="minorHAnsi" w:hAnsiTheme="minorHAnsi" w:cstheme="minorHAnsi"/>
                <w:b/>
                <w:sz w:val="16"/>
                <w:szCs w:val="16"/>
              </w:rPr>
              <w:t xml:space="preserve"> </w:t>
            </w:r>
            <w:r w:rsidRPr="00965183">
              <w:rPr>
                <w:rFonts w:asciiTheme="minorHAnsi" w:hAnsiTheme="minorHAnsi" w:cstheme="minorHAnsi"/>
                <w:sz w:val="16"/>
                <w:szCs w:val="16"/>
              </w:rPr>
              <w:t>Angola, use of agrochemicals in Miombo and Mopane is low, hence associated pollutants are at low levels. Specific tree species provide opportunities to develop geographical indicators or other forms of certification. Angola also has opportunities to export honey. Currently, the lead honey processing companies, together with the IDF, are working together to get Angolan honey certified for export to EU and USA. Regional sector leader South Africa leads in the region: its honey business turnover reached USD 177 million in 2018. Angola, with its vast areas, could compete in the regional market.</w:t>
            </w:r>
          </w:p>
          <w:p w14:paraId="4D4A224E" w14:textId="687082ED" w:rsidR="0019522F" w:rsidRPr="00965183" w:rsidRDefault="0019522F" w:rsidP="006B5F09">
            <w:pPr>
              <w:spacing w:after="80"/>
              <w:jc w:val="both"/>
              <w:rPr>
                <w:rFonts w:asciiTheme="minorHAnsi" w:hAnsiTheme="minorHAnsi" w:cstheme="minorHAnsi"/>
                <w:sz w:val="16"/>
                <w:szCs w:val="16"/>
              </w:rPr>
            </w:pPr>
            <w:r w:rsidRPr="00965183">
              <w:rPr>
                <w:rFonts w:asciiTheme="minorHAnsi" w:hAnsiTheme="minorHAnsi" w:cstheme="minorHAnsi"/>
                <w:b/>
                <w:sz w:val="16"/>
                <w:szCs w:val="16"/>
              </w:rPr>
              <w:t>VC Coordination and Governance:</w:t>
            </w:r>
            <w:r w:rsidRPr="00965183">
              <w:rPr>
                <w:rFonts w:asciiTheme="minorHAnsi" w:hAnsiTheme="minorHAnsi" w:cstheme="minorHAnsi"/>
                <w:sz w:val="16"/>
                <w:szCs w:val="16"/>
              </w:rPr>
              <w:t xml:space="preserve"> The sector is coordinated, exemplified by the above government-private sector collaboration to export Angolan honey. The sector has strong national leaders: COAPA, Maxi Mel, Dona Bia are the main processing companies. COAPA is the major leader and an advocate for an inclusive honey value chain, with strong management, professional branding, innovative products and strategic thinking for sector growth. </w:t>
            </w:r>
          </w:p>
          <w:p w14:paraId="7205CA68" w14:textId="392E14DC" w:rsidR="0019522F" w:rsidRPr="00965183" w:rsidRDefault="0019522F" w:rsidP="006B5F09">
            <w:pPr>
              <w:spacing w:after="80"/>
              <w:jc w:val="both"/>
              <w:rPr>
                <w:rFonts w:asciiTheme="minorHAnsi" w:hAnsiTheme="minorHAnsi" w:cstheme="minorHAnsi"/>
                <w:sz w:val="16"/>
                <w:szCs w:val="16"/>
              </w:rPr>
            </w:pPr>
            <w:r w:rsidRPr="00965183">
              <w:rPr>
                <w:rFonts w:asciiTheme="minorHAnsi" w:hAnsiTheme="minorHAnsi" w:cstheme="minorHAnsi"/>
                <w:b/>
                <w:sz w:val="16"/>
                <w:szCs w:val="16"/>
              </w:rPr>
              <w:lastRenderedPageBreak/>
              <w:t>Private sector is interested in investing in the project site:</w:t>
            </w:r>
            <w:r w:rsidRPr="00965183">
              <w:rPr>
                <w:rFonts w:asciiTheme="minorHAnsi" w:hAnsiTheme="minorHAnsi" w:cstheme="minorHAnsi"/>
                <w:sz w:val="16"/>
                <w:szCs w:val="16"/>
              </w:rPr>
              <w:t xml:space="preserve"> During the key informant interviews, the private processing companies showed interest in co-investing with the project, source from the project site or collaborate in development of the local capacities to increase honey production.</w:t>
            </w:r>
          </w:p>
          <w:p w14:paraId="30F3C340" w14:textId="29E67701" w:rsidR="0019522F" w:rsidRPr="00965183" w:rsidRDefault="0019522F" w:rsidP="006B5F09">
            <w:pPr>
              <w:spacing w:after="80"/>
              <w:jc w:val="both"/>
              <w:rPr>
                <w:rFonts w:asciiTheme="minorHAnsi" w:hAnsiTheme="minorHAnsi" w:cstheme="minorHAnsi"/>
                <w:sz w:val="16"/>
                <w:szCs w:val="16"/>
              </w:rPr>
            </w:pPr>
            <w:r w:rsidRPr="00965183">
              <w:rPr>
                <w:rFonts w:asciiTheme="minorHAnsi" w:hAnsiTheme="minorHAnsi" w:cstheme="minorHAnsi"/>
                <w:b/>
                <w:sz w:val="16"/>
                <w:szCs w:val="16"/>
              </w:rPr>
              <w:t xml:space="preserve">Value chain constraints are not complex: </w:t>
            </w:r>
            <w:r w:rsidRPr="00965183">
              <w:rPr>
                <w:rFonts w:asciiTheme="minorHAnsi" w:hAnsiTheme="minorHAnsi" w:cstheme="minorHAnsi"/>
                <w:sz w:val="16"/>
                <w:szCs w:val="16"/>
              </w:rPr>
              <w:t>The main needs of the sector can be substantively supported by the project, while private sector leadership will assure sustainability of the intervention. The GEF investment can accelerate sector competitiveness and resolve the main underlying challenges. These are: (i) cost, availability and accessibility of improved technologies and practices; (ii) low honey quality due to improper harvesting and processing techniques; (iii) exorbitant margins charged to national honey by some retailers (over USD 3.5/l difference between different retailers); (iv) unnecessary honey imports; (v) lack of investment in innovative practices, including packaging (currently Angola honey consumption is well below the regional average); and (vi) export certification and promotion.</w:t>
            </w:r>
          </w:p>
          <w:p w14:paraId="7735DBDA" w14:textId="2339162F" w:rsidR="0019522F" w:rsidRPr="00965183" w:rsidRDefault="0019522F" w:rsidP="006B5F09">
            <w:pPr>
              <w:jc w:val="both"/>
              <w:rPr>
                <w:sz w:val="16"/>
                <w:szCs w:val="16"/>
                <w:highlight w:val="cyan"/>
              </w:rPr>
            </w:pPr>
            <w:r w:rsidRPr="00965183">
              <w:rPr>
                <w:rFonts w:asciiTheme="minorHAnsi" w:hAnsiTheme="minorHAnsi" w:cstheme="minorHAnsi"/>
                <w:b/>
                <w:sz w:val="16"/>
                <w:szCs w:val="16"/>
              </w:rPr>
              <w:t>High level support and interest in honey sector by Government of Angola:</w:t>
            </w:r>
            <w:r w:rsidRPr="00965183">
              <w:rPr>
                <w:rFonts w:asciiTheme="minorHAnsi" w:hAnsiTheme="minorHAnsi" w:cstheme="minorHAnsi"/>
                <w:sz w:val="16"/>
                <w:szCs w:val="16"/>
              </w:rPr>
              <w:t xml:space="preserve"> including banning the import of honey to the country. Tax or other innovative incentives to access production and processing equipment, for example, could result in an exponential rise in beekeeping in Angola.</w:t>
            </w:r>
          </w:p>
        </w:tc>
      </w:tr>
    </w:tbl>
    <w:p w14:paraId="3941E997" w14:textId="1E0193A7" w:rsidR="00AE2A85" w:rsidRPr="00B34050" w:rsidRDefault="00AE2A85" w:rsidP="00B37D5C">
      <w:pPr>
        <w:pStyle w:val="Caption"/>
        <w:spacing w:before="160" w:after="80"/>
        <w:rPr>
          <w:sz w:val="22"/>
          <w:szCs w:val="22"/>
        </w:rPr>
      </w:pPr>
      <w:bookmarkStart w:id="149" w:name="_Toc58398664"/>
      <w:r w:rsidRPr="00B34050">
        <w:rPr>
          <w:sz w:val="22"/>
          <w:szCs w:val="22"/>
        </w:rPr>
        <w:lastRenderedPageBreak/>
        <w:t xml:space="preserve">Box </w:t>
      </w:r>
      <w:r w:rsidRPr="00B34050">
        <w:rPr>
          <w:sz w:val="22"/>
          <w:szCs w:val="22"/>
        </w:rPr>
        <w:fldChar w:fldCharType="begin"/>
      </w:r>
      <w:r w:rsidRPr="00B34050">
        <w:rPr>
          <w:sz w:val="22"/>
          <w:szCs w:val="22"/>
        </w:rPr>
        <w:instrText>SEQ Box \* ARABIC</w:instrText>
      </w:r>
      <w:r w:rsidRPr="00B34050">
        <w:rPr>
          <w:sz w:val="22"/>
          <w:szCs w:val="22"/>
        </w:rPr>
        <w:fldChar w:fldCharType="separate"/>
      </w:r>
      <w:r w:rsidR="00EE0298">
        <w:rPr>
          <w:noProof/>
          <w:sz w:val="22"/>
          <w:szCs w:val="22"/>
        </w:rPr>
        <w:t>10</w:t>
      </w:r>
      <w:r w:rsidRPr="00B34050">
        <w:rPr>
          <w:sz w:val="22"/>
          <w:szCs w:val="22"/>
        </w:rPr>
        <w:fldChar w:fldCharType="end"/>
      </w:r>
      <w:r w:rsidRPr="00B34050">
        <w:rPr>
          <w:sz w:val="22"/>
          <w:szCs w:val="22"/>
        </w:rPr>
        <w:t xml:space="preserve">. Forest fruits </w:t>
      </w:r>
      <w:r w:rsidR="00B37D5C" w:rsidRPr="00B34050">
        <w:rPr>
          <w:sz w:val="22"/>
          <w:szCs w:val="22"/>
        </w:rPr>
        <w:t>-</w:t>
      </w:r>
      <w:r w:rsidRPr="00B34050">
        <w:rPr>
          <w:sz w:val="22"/>
          <w:szCs w:val="22"/>
        </w:rPr>
        <w:t xml:space="preserve"> potential NTFPs for green value chains development</w:t>
      </w:r>
      <w:bookmarkEnd w:id="149"/>
    </w:p>
    <w:tbl>
      <w:tblPr>
        <w:tblStyle w:val="TableGrid"/>
        <w:tblW w:w="5000" w:type="pct"/>
        <w:tblBorders>
          <w:insideH w:val="none" w:sz="0" w:space="0" w:color="auto"/>
          <w:insideV w:val="none" w:sz="0" w:space="0" w:color="auto"/>
        </w:tblBorders>
        <w:tblLook w:val="04A0" w:firstRow="1" w:lastRow="0" w:firstColumn="1" w:lastColumn="0" w:noHBand="0" w:noVBand="1"/>
      </w:tblPr>
      <w:tblGrid>
        <w:gridCol w:w="2335"/>
        <w:gridCol w:w="3652"/>
        <w:gridCol w:w="3029"/>
      </w:tblGrid>
      <w:tr w:rsidR="00AE2A85" w:rsidRPr="00965183" w14:paraId="629B5BD4" w14:textId="77777777" w:rsidTr="78C544BE">
        <w:trPr>
          <w:trHeight w:val="2399"/>
        </w:trPr>
        <w:tc>
          <w:tcPr>
            <w:tcW w:w="1255" w:type="pct"/>
            <w:shd w:val="clear" w:color="auto" w:fill="F2F2F2" w:themeFill="background1" w:themeFillShade="F2"/>
            <w:tcMar>
              <w:top w:w="57" w:type="dxa"/>
              <w:left w:w="57" w:type="dxa"/>
              <w:bottom w:w="0" w:type="dxa"/>
              <w:right w:w="57" w:type="dxa"/>
            </w:tcMar>
          </w:tcPr>
          <w:p w14:paraId="73437526" w14:textId="77777777" w:rsidR="00AE2A85" w:rsidRPr="00965183" w:rsidRDefault="00AE2A85" w:rsidP="006B5F09">
            <w:pPr>
              <w:jc w:val="both"/>
              <w:rPr>
                <w:sz w:val="16"/>
                <w:szCs w:val="16"/>
                <w:highlight w:val="cyan"/>
              </w:rPr>
            </w:pPr>
            <w:r w:rsidRPr="00965183">
              <w:rPr>
                <w:rFonts w:asciiTheme="minorHAnsi" w:hAnsiTheme="minorHAnsi" w:cstheme="minorHAnsi"/>
                <w:noProof/>
                <w:sz w:val="16"/>
                <w:szCs w:val="16"/>
                <w:lang w:val="en-US" w:eastAsia="en-US"/>
              </w:rPr>
              <w:drawing>
                <wp:inline distT="0" distB="0" distL="0" distR="0" wp14:anchorId="5234B91C" wp14:editId="4BAE4DD3">
                  <wp:extent cx="1410346" cy="1566330"/>
                  <wp:effectExtent l="0" t="0" r="0" b="0"/>
                  <wp:docPr id="68" name="Picture 68" descr="A picture containing refrigerator, bottle, many, differe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Box12_a.jpg"/>
                          <pic:cNvPicPr/>
                        </pic:nvPicPr>
                        <pic:blipFill rotWithShape="1">
                          <a:blip r:embed="rId82" cstate="email">
                            <a:extLst>
                              <a:ext uri="{28A0092B-C50C-407E-A947-70E740481C1C}">
                                <a14:useLocalDpi xmlns:a14="http://schemas.microsoft.com/office/drawing/2010/main"/>
                              </a:ext>
                            </a:extLst>
                          </a:blip>
                          <a:srcRect/>
                          <a:stretch/>
                        </pic:blipFill>
                        <pic:spPr bwMode="auto">
                          <a:xfrm>
                            <a:off x="0" y="0"/>
                            <a:ext cx="1462438" cy="1624184"/>
                          </a:xfrm>
                          <a:prstGeom prst="rect">
                            <a:avLst/>
                          </a:prstGeom>
                          <a:ln>
                            <a:noFill/>
                          </a:ln>
                          <a:extLst>
                            <a:ext uri="{53640926-AAD7-44d8-BBD7-CCE9431645EC}">
                              <a14:shadowObscured xmlns:asvg="http://schemas.microsoft.com/office/drawing/2016/SVG/main" xmlns:a16="http://schemas.microsoft.com/office/drawing/2014/main" xmlns:ask="http://schemas.microsoft.com/office/drawing/2018/sketchyshapes"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xmlns:arto="http://schemas.microsoft.com/office/word/2006/arto"/>
                            </a:ext>
                          </a:extLst>
                        </pic:spPr>
                      </pic:pic>
                    </a:graphicData>
                  </a:graphic>
                </wp:inline>
              </w:drawing>
            </w:r>
          </w:p>
        </w:tc>
        <w:tc>
          <w:tcPr>
            <w:tcW w:w="3745" w:type="pct"/>
            <w:gridSpan w:val="2"/>
            <w:shd w:val="clear" w:color="auto" w:fill="F2F2F2" w:themeFill="background1" w:themeFillShade="F2"/>
            <w:tcMar>
              <w:top w:w="57" w:type="dxa"/>
              <w:left w:w="113" w:type="dxa"/>
              <w:bottom w:w="0" w:type="dxa"/>
              <w:right w:w="85" w:type="dxa"/>
            </w:tcMar>
          </w:tcPr>
          <w:p w14:paraId="7DF23015" w14:textId="1DC593DA" w:rsidR="00AE2A85" w:rsidRPr="00965183" w:rsidRDefault="00AE2A85" w:rsidP="006B5F09">
            <w:pPr>
              <w:ind w:left="53"/>
              <w:jc w:val="both"/>
              <w:rPr>
                <w:rFonts w:asciiTheme="minorHAnsi" w:hAnsiTheme="minorHAnsi" w:cstheme="minorHAnsi"/>
                <w:sz w:val="16"/>
                <w:szCs w:val="16"/>
              </w:rPr>
            </w:pPr>
            <w:r w:rsidRPr="00965183">
              <w:rPr>
                <w:rFonts w:asciiTheme="minorHAnsi" w:hAnsiTheme="minorHAnsi" w:cstheme="minorHAnsi"/>
                <w:sz w:val="16"/>
                <w:szCs w:val="16"/>
              </w:rPr>
              <w:t>Several local</w:t>
            </w:r>
            <w:r>
              <w:rPr>
                <w:rFonts w:asciiTheme="minorHAnsi" w:hAnsiTheme="minorHAnsi" w:cstheme="minorHAnsi"/>
                <w:sz w:val="16"/>
                <w:szCs w:val="16"/>
              </w:rPr>
              <w:t xml:space="preserve"> forest</w:t>
            </w:r>
            <w:r w:rsidRPr="00965183">
              <w:rPr>
                <w:rFonts w:asciiTheme="minorHAnsi" w:hAnsiTheme="minorHAnsi" w:cstheme="minorHAnsi"/>
                <w:sz w:val="16"/>
                <w:szCs w:val="16"/>
              </w:rPr>
              <w:t xml:space="preserve"> fruits are commercially used in juices, ice creams and jams. Jinguenga </w:t>
            </w:r>
            <w:r w:rsidRPr="00965183">
              <w:rPr>
                <w:rFonts w:asciiTheme="minorHAnsi" w:hAnsiTheme="minorHAnsi" w:cstheme="minorHAnsi"/>
                <w:i/>
                <w:sz w:val="16"/>
                <w:szCs w:val="16"/>
              </w:rPr>
              <w:t>(Aframomum Alboviolaceum)</w:t>
            </w:r>
            <w:r w:rsidRPr="00965183">
              <w:rPr>
                <w:rFonts w:asciiTheme="minorHAnsi" w:hAnsiTheme="minorHAnsi" w:cstheme="minorHAnsi"/>
                <w:sz w:val="16"/>
                <w:szCs w:val="16"/>
              </w:rPr>
              <w:t xml:space="preserve">, Maboque </w:t>
            </w:r>
            <w:r w:rsidRPr="00965183">
              <w:rPr>
                <w:rFonts w:asciiTheme="minorHAnsi" w:hAnsiTheme="minorHAnsi" w:cstheme="minorHAnsi"/>
                <w:i/>
                <w:sz w:val="16"/>
                <w:szCs w:val="16"/>
              </w:rPr>
              <w:t>(Strychnos Schumaniana)</w:t>
            </w:r>
            <w:r w:rsidRPr="00965183">
              <w:rPr>
                <w:rFonts w:asciiTheme="minorHAnsi" w:hAnsiTheme="minorHAnsi" w:cstheme="minorHAnsi"/>
                <w:sz w:val="16"/>
                <w:szCs w:val="16"/>
              </w:rPr>
              <w:t xml:space="preserve">, Loengo </w:t>
            </w:r>
            <w:r w:rsidRPr="00965183">
              <w:rPr>
                <w:rFonts w:asciiTheme="minorHAnsi" w:hAnsiTheme="minorHAnsi" w:cstheme="minorHAnsi"/>
                <w:i/>
                <w:sz w:val="16"/>
                <w:szCs w:val="16"/>
              </w:rPr>
              <w:t xml:space="preserve">(Plinia cauliflora), </w:t>
            </w:r>
            <w:r w:rsidRPr="00965183">
              <w:rPr>
                <w:rFonts w:asciiTheme="minorHAnsi" w:hAnsiTheme="minorHAnsi" w:cstheme="minorHAnsi"/>
                <w:sz w:val="16"/>
                <w:szCs w:val="16"/>
              </w:rPr>
              <w:t>Mucua (</w:t>
            </w:r>
            <w:r w:rsidRPr="00965183">
              <w:rPr>
                <w:rFonts w:asciiTheme="minorHAnsi" w:hAnsiTheme="minorHAnsi" w:cstheme="minorHAnsi"/>
                <w:i/>
                <w:sz w:val="16"/>
                <w:szCs w:val="16"/>
              </w:rPr>
              <w:t>Baobab)</w:t>
            </w:r>
            <w:r w:rsidRPr="00965183">
              <w:rPr>
                <w:rFonts w:asciiTheme="minorHAnsi" w:hAnsiTheme="minorHAnsi" w:cstheme="minorHAnsi"/>
                <w:sz w:val="16"/>
                <w:szCs w:val="16"/>
              </w:rPr>
              <w:t xml:space="preserve">, Mirangolo </w:t>
            </w:r>
            <w:r w:rsidRPr="00965183">
              <w:rPr>
                <w:rFonts w:asciiTheme="minorHAnsi" w:hAnsiTheme="minorHAnsi" w:cstheme="minorHAnsi"/>
                <w:i/>
                <w:sz w:val="16"/>
                <w:szCs w:val="16"/>
              </w:rPr>
              <w:t xml:space="preserve">(Carrisa spinarum), </w:t>
            </w:r>
            <w:r w:rsidRPr="00965183">
              <w:rPr>
                <w:rFonts w:asciiTheme="minorHAnsi" w:hAnsiTheme="minorHAnsi" w:cstheme="minorHAnsi"/>
                <w:sz w:val="16"/>
                <w:szCs w:val="16"/>
              </w:rPr>
              <w:t xml:space="preserve">Ngongo </w:t>
            </w:r>
            <w:r w:rsidRPr="00965183">
              <w:rPr>
                <w:rFonts w:asciiTheme="minorHAnsi" w:hAnsiTheme="minorHAnsi" w:cstheme="minorHAnsi"/>
                <w:i/>
                <w:sz w:val="16"/>
                <w:szCs w:val="16"/>
              </w:rPr>
              <w:t xml:space="preserve">(Marula) </w:t>
            </w:r>
            <w:r w:rsidRPr="00965183">
              <w:rPr>
                <w:rFonts w:asciiTheme="minorHAnsi" w:hAnsiTheme="minorHAnsi" w:cstheme="minorHAnsi"/>
                <w:sz w:val="16"/>
                <w:szCs w:val="16"/>
              </w:rPr>
              <w:t xml:space="preserve">and forest mushrooms are very popular and sought after by consumers. Some of them are sold dried or processed into traditional alcoholic drinks. </w:t>
            </w:r>
          </w:p>
          <w:p w14:paraId="4F2B8A71" w14:textId="77777777" w:rsidR="00AE2A85" w:rsidRPr="00965183" w:rsidRDefault="00AE2A85" w:rsidP="006B5F09">
            <w:pPr>
              <w:spacing w:before="80" w:after="80"/>
              <w:jc w:val="both"/>
              <w:rPr>
                <w:rFonts w:asciiTheme="minorHAnsi" w:hAnsiTheme="minorHAnsi" w:cstheme="minorHAnsi"/>
                <w:sz w:val="16"/>
                <w:szCs w:val="16"/>
              </w:rPr>
            </w:pPr>
            <w:r w:rsidRPr="00965183">
              <w:rPr>
                <w:rFonts w:asciiTheme="minorHAnsi" w:hAnsiTheme="minorHAnsi" w:cstheme="minorHAnsi"/>
                <w:sz w:val="16"/>
                <w:szCs w:val="16"/>
              </w:rPr>
              <w:t xml:space="preserve">All products from the area are traded through informal channels and available in most of the main markets (Luanda, Lubango, Benguela, Huambo). </w:t>
            </w:r>
          </w:p>
          <w:p w14:paraId="546AF1C8" w14:textId="3FC5E0A5" w:rsidR="00AE2A85" w:rsidRPr="00965183" w:rsidRDefault="00AE2A85" w:rsidP="006B5F09">
            <w:pPr>
              <w:spacing w:after="80"/>
              <w:jc w:val="both"/>
              <w:rPr>
                <w:rFonts w:asciiTheme="minorHAnsi" w:hAnsiTheme="minorHAnsi" w:cstheme="minorHAnsi"/>
                <w:sz w:val="16"/>
                <w:szCs w:val="16"/>
              </w:rPr>
            </w:pPr>
            <w:r w:rsidRPr="00965183">
              <w:rPr>
                <w:rFonts w:asciiTheme="minorHAnsi" w:hAnsiTheme="minorHAnsi" w:cstheme="minorHAnsi"/>
                <w:sz w:val="16"/>
                <w:szCs w:val="16"/>
              </w:rPr>
              <w:t xml:space="preserve">A few small and medium scale processors (Pingo de Mel, Frutos de Angola, Zinho) focus on processing Maboque, Loengo and other forest fruits into jams. </w:t>
            </w:r>
          </w:p>
          <w:p w14:paraId="25CA729B" w14:textId="4101C0F5" w:rsidR="00AE2A85" w:rsidRPr="00965183" w:rsidRDefault="00AE2A85" w:rsidP="006B5F09">
            <w:pPr>
              <w:jc w:val="both"/>
              <w:rPr>
                <w:rFonts w:asciiTheme="minorHAnsi" w:hAnsiTheme="minorHAnsi" w:cstheme="minorHAnsi"/>
                <w:sz w:val="16"/>
                <w:szCs w:val="16"/>
              </w:rPr>
            </w:pPr>
            <w:r w:rsidRPr="00965183">
              <w:rPr>
                <w:rFonts w:asciiTheme="minorHAnsi" w:hAnsiTheme="minorHAnsi" w:cstheme="minorHAnsi"/>
                <w:sz w:val="16"/>
                <w:szCs w:val="16"/>
              </w:rPr>
              <w:t xml:space="preserve">Some large-scale beverage companies (e.g. RefriAngo) produce juices and sodas flavoured with mucua or tamarindo flavours but it is unclear whether or not Angolan products are used. </w:t>
            </w:r>
          </w:p>
        </w:tc>
      </w:tr>
      <w:tr w:rsidR="00AE2A85" w:rsidRPr="00965183" w14:paraId="3D092698" w14:textId="77777777" w:rsidTr="78C544BE">
        <w:tc>
          <w:tcPr>
            <w:tcW w:w="3300" w:type="pct"/>
            <w:gridSpan w:val="2"/>
            <w:shd w:val="clear" w:color="auto" w:fill="F2F2F2" w:themeFill="background1" w:themeFillShade="F2"/>
            <w:tcMar>
              <w:top w:w="0" w:type="dxa"/>
              <w:left w:w="57" w:type="dxa"/>
              <w:bottom w:w="57" w:type="dxa"/>
              <w:right w:w="57" w:type="dxa"/>
            </w:tcMar>
          </w:tcPr>
          <w:p w14:paraId="7D1EC4B4" w14:textId="77777777" w:rsidR="00AE2A85" w:rsidRPr="00965183" w:rsidRDefault="00AE2A85" w:rsidP="006B5F09">
            <w:pPr>
              <w:spacing w:after="80"/>
              <w:jc w:val="both"/>
              <w:rPr>
                <w:rFonts w:asciiTheme="minorHAnsi" w:hAnsiTheme="minorHAnsi" w:cstheme="minorHAnsi"/>
                <w:sz w:val="16"/>
                <w:szCs w:val="16"/>
              </w:rPr>
            </w:pPr>
            <w:r w:rsidRPr="00965183">
              <w:rPr>
                <w:rFonts w:asciiTheme="minorHAnsi" w:hAnsiTheme="minorHAnsi" w:cstheme="minorHAnsi"/>
                <w:sz w:val="16"/>
                <w:szCs w:val="16"/>
              </w:rPr>
              <w:t xml:space="preserve">Commercial products are traded through formal chains and sold at main retail stores. Given that most jams are imported,  a jam GVC initiative substantive potential as Government is rationalizing the food import bill. </w:t>
            </w:r>
          </w:p>
          <w:p w14:paraId="206D34CA" w14:textId="77777777" w:rsidR="00AE2A85" w:rsidRPr="00965183" w:rsidRDefault="00AE2A85" w:rsidP="006B5F09">
            <w:pPr>
              <w:jc w:val="both"/>
              <w:rPr>
                <w:rFonts w:asciiTheme="minorHAnsi" w:hAnsiTheme="minorHAnsi" w:cstheme="minorHAnsi"/>
                <w:sz w:val="16"/>
                <w:szCs w:val="16"/>
              </w:rPr>
            </w:pPr>
            <w:r w:rsidRPr="00965183">
              <w:rPr>
                <w:rFonts w:asciiTheme="minorHAnsi" w:hAnsiTheme="minorHAnsi" w:cstheme="minorHAnsi"/>
                <w:sz w:val="16"/>
                <w:szCs w:val="16"/>
              </w:rPr>
              <w:t xml:space="preserve">Nutri Boty is one of the main Angolan brands selling locally processed products. Based in Huila, it processes and sells baobab leaves (local name - imbondeiro) and powder, products of West Indian lemon grass (caxinde), and products of moringa and mopane oil. Its business model includes community engagement and sustainable sourcing. It also produces and processes all of its own moringa. </w:t>
            </w:r>
          </w:p>
        </w:tc>
        <w:tc>
          <w:tcPr>
            <w:tcW w:w="1700" w:type="pct"/>
            <w:shd w:val="clear" w:color="auto" w:fill="F2F2F2" w:themeFill="background1" w:themeFillShade="F2"/>
            <w:tcMar>
              <w:top w:w="0" w:type="dxa"/>
              <w:left w:w="57" w:type="dxa"/>
              <w:bottom w:w="57" w:type="dxa"/>
              <w:right w:w="57" w:type="dxa"/>
            </w:tcMar>
            <w:vAlign w:val="center"/>
          </w:tcPr>
          <w:p w14:paraId="188EE58E" w14:textId="77777777" w:rsidR="00AE2A85" w:rsidRPr="00965183" w:rsidRDefault="2B0453F7" w:rsidP="006B5F09">
            <w:pPr>
              <w:jc w:val="both"/>
              <w:rPr>
                <w:sz w:val="16"/>
                <w:szCs w:val="16"/>
                <w:highlight w:val="cyan"/>
              </w:rPr>
            </w:pPr>
            <w:r>
              <w:rPr>
                <w:noProof/>
              </w:rPr>
              <w:drawing>
                <wp:inline distT="0" distB="0" distL="0" distR="0" wp14:anchorId="78EC6BA5" wp14:editId="66BF1037">
                  <wp:extent cx="1626472" cy="989071"/>
                  <wp:effectExtent l="0" t="0" r="0" b="1905"/>
                  <wp:docPr id="69" name="Picture 69" descr="A close up of a bott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pic:cNvPicPr/>
                        </pic:nvPicPr>
                        <pic:blipFill>
                          <a:blip r:embed="rId83">
                            <a:extLst>
                              <a:ext uri="{28A0092B-C50C-407E-A947-70E740481C1C}">
                                <a14:useLocalDpi xmlns:a14="http://schemas.microsoft.com/office/drawing/2010/main"/>
                              </a:ext>
                            </a:extLst>
                          </a:blip>
                          <a:stretch>
                            <a:fillRect/>
                          </a:stretch>
                        </pic:blipFill>
                        <pic:spPr>
                          <a:xfrm>
                            <a:off x="0" y="0"/>
                            <a:ext cx="1626472" cy="989071"/>
                          </a:xfrm>
                          <a:prstGeom prst="rect">
                            <a:avLst/>
                          </a:prstGeom>
                        </pic:spPr>
                      </pic:pic>
                    </a:graphicData>
                  </a:graphic>
                </wp:inline>
              </w:drawing>
            </w:r>
          </w:p>
        </w:tc>
      </w:tr>
    </w:tbl>
    <w:p w14:paraId="2BFA21AB" w14:textId="77777777" w:rsidR="00272411" w:rsidRDefault="00272411" w:rsidP="001667C6">
      <w:pPr>
        <w:pStyle w:val="ParagraphOED"/>
        <w:numPr>
          <w:ilvl w:val="0"/>
          <w:numId w:val="102"/>
        </w:numPr>
        <w:spacing w:before="160" w:after="80"/>
        <w:rPr>
          <w:b/>
          <w:bCs/>
        </w:rPr>
      </w:pPr>
      <w:r w:rsidRPr="1E65A5F7">
        <w:rPr>
          <w:b/>
          <w:bCs/>
        </w:rPr>
        <w:t>Indicative Activities under Output 2.3.2</w:t>
      </w:r>
    </w:p>
    <w:p w14:paraId="16966AE8" w14:textId="77777777" w:rsidR="00112071" w:rsidRPr="007F61E4" w:rsidRDefault="00112071" w:rsidP="00112071">
      <w:pPr>
        <w:pStyle w:val="ParagraphOED"/>
        <w:numPr>
          <w:ilvl w:val="0"/>
          <w:numId w:val="0"/>
        </w:numPr>
        <w:rPr>
          <w:szCs w:val="21"/>
        </w:rPr>
      </w:pPr>
      <w:r>
        <w:t xml:space="preserve">Below list of activities is preliminary and will be updated and enhanced during and after the GVCs strategy development. Honey will be part of the strategy of dryland green value chains in southern Angola, which will further specify in more details needs and activities. The below are preliminary activities that were developed as a result of bilateral meetings with stakeholders in Angola and through assessment of local practices in honey production, harvesting and commercialization. </w:t>
      </w:r>
    </w:p>
    <w:p w14:paraId="23900B11" w14:textId="77777777" w:rsidR="00112071" w:rsidRPr="00242706" w:rsidRDefault="00112071" w:rsidP="00112071">
      <w:pPr>
        <w:spacing w:before="80"/>
        <w:rPr>
          <w:rFonts w:cs="Calibri"/>
          <w:b/>
          <w:bCs/>
          <w:sz w:val="21"/>
          <w:szCs w:val="21"/>
        </w:rPr>
      </w:pPr>
      <w:r>
        <w:rPr>
          <w:rFonts w:cs="Calibri"/>
          <w:b/>
          <w:bCs/>
          <w:sz w:val="21"/>
          <w:szCs w:val="21"/>
        </w:rPr>
        <w:t>Apiculture</w:t>
      </w:r>
    </w:p>
    <w:p w14:paraId="68055B46" w14:textId="77777777" w:rsidR="00112071" w:rsidRPr="00E04AB4" w:rsidRDefault="00112071" w:rsidP="001667C6">
      <w:pPr>
        <w:pStyle w:val="ListParagraph"/>
        <w:numPr>
          <w:ilvl w:val="0"/>
          <w:numId w:val="63"/>
        </w:numPr>
      </w:pPr>
      <w:r w:rsidRPr="0014358F">
        <w:rPr>
          <w:b/>
          <w:bCs/>
        </w:rPr>
        <w:t>Support existing small and medium honey processing enterprises</w:t>
      </w:r>
      <w:r>
        <w:t xml:space="preserve"> with technical capacity and mentorship</w:t>
      </w:r>
      <w:r w:rsidRPr="00F41F63">
        <w:t xml:space="preserve">, including quality and branding of their product and innovative practices in honey packaging to increase </w:t>
      </w:r>
      <w:r>
        <w:t xml:space="preserve">product quality, commercialization, shelf life and </w:t>
      </w:r>
      <w:r w:rsidRPr="00F41F63">
        <w:t>domestic consumption, mainly for the honey pro</w:t>
      </w:r>
      <w:r>
        <w:t>cessed at micro and small scale;</w:t>
      </w:r>
    </w:p>
    <w:p w14:paraId="308B6CF0" w14:textId="77777777" w:rsidR="00112071" w:rsidRDefault="00112071" w:rsidP="001667C6">
      <w:pPr>
        <w:pStyle w:val="ListParagraph"/>
        <w:numPr>
          <w:ilvl w:val="0"/>
          <w:numId w:val="63"/>
        </w:numPr>
      </w:pPr>
      <w:r w:rsidRPr="0014358F">
        <w:rPr>
          <w:b/>
          <w:bCs/>
        </w:rPr>
        <w:t>Increase capacities of honey producers</w:t>
      </w:r>
      <w:r w:rsidRPr="00F41F63">
        <w:t xml:space="preserve"> </w:t>
      </w:r>
      <w:r>
        <w:t xml:space="preserve">to deliver for existing markets, through blened extension and introduction of digital technologies that improve tracability and help to assure quality and fasibility of the honey production at local level; </w:t>
      </w:r>
    </w:p>
    <w:p w14:paraId="6FDF0B3A" w14:textId="77777777" w:rsidR="00112071" w:rsidRDefault="00112071" w:rsidP="001667C6">
      <w:pPr>
        <w:pStyle w:val="ListParagraph"/>
        <w:numPr>
          <w:ilvl w:val="0"/>
          <w:numId w:val="63"/>
        </w:numPr>
      </w:pPr>
      <w:r>
        <w:t xml:space="preserve">With specific emphasis to the landscape, </w:t>
      </w:r>
      <w:r w:rsidRPr="0014358F">
        <w:rPr>
          <w:b/>
          <w:bCs/>
        </w:rPr>
        <w:t>assess potential for development of local branded honey or geographical indicator for honey</w:t>
      </w:r>
      <w:r>
        <w:t xml:space="preserve"> from Miombo and Mopane forests;</w:t>
      </w:r>
    </w:p>
    <w:p w14:paraId="5ABE9A51" w14:textId="77777777" w:rsidR="00112071" w:rsidRDefault="00112071" w:rsidP="001667C6">
      <w:pPr>
        <w:pStyle w:val="ListParagraph"/>
        <w:numPr>
          <w:ilvl w:val="0"/>
          <w:numId w:val="63"/>
        </w:numPr>
      </w:pPr>
      <w:r w:rsidRPr="0014358F">
        <w:rPr>
          <w:b/>
          <w:bCs/>
        </w:rPr>
        <w:t>Support increase of financing for the sector by providing evidence on the business models</w:t>
      </w:r>
      <w:r>
        <w:t>, supporting local actors develop bankable business plans, supporting</w:t>
      </w:r>
      <w:r w:rsidRPr="00F41F63">
        <w:t xml:space="preserve"> </w:t>
      </w:r>
      <w:r>
        <w:t>dialogue for enabling business in honey sector (includes tax reduction</w:t>
      </w:r>
      <w:r w:rsidRPr="00F41F63">
        <w:t xml:space="preserve"> for import of honey equipment and </w:t>
      </w:r>
      <w:r>
        <w:t xml:space="preserve">deployment of </w:t>
      </w:r>
      <w:r w:rsidRPr="00F41F63">
        <w:t>smart subsidy schemes</w:t>
      </w:r>
      <w:r>
        <w:t>)</w:t>
      </w:r>
      <w:r w:rsidRPr="00F41F63">
        <w:t xml:space="preserve"> and </w:t>
      </w:r>
      <w:r>
        <w:t>propose</w:t>
      </w:r>
      <w:r w:rsidRPr="00F41F63">
        <w:t xml:space="preserve"> dedicated credit line for beekeeping activities to spur honey production and increase investment in proces</w:t>
      </w:r>
      <w:r>
        <w:t xml:space="preserve">sing and downstream value chain </w:t>
      </w:r>
      <w:r w:rsidRPr="00F41F63">
        <w:t>at local level</w:t>
      </w:r>
      <w:r>
        <w:t xml:space="preserve">. Facilitate public finance into honey sector through proposal for development of </w:t>
      </w:r>
      <w:r w:rsidRPr="00F41F63">
        <w:t>grant mechanisms for new mainly youth and women led honey product</w:t>
      </w:r>
      <w:r>
        <w:t>ion and processing enterprises;</w:t>
      </w:r>
    </w:p>
    <w:p w14:paraId="5D330524" w14:textId="77777777" w:rsidR="00112071" w:rsidRPr="00F41F63" w:rsidRDefault="00112071" w:rsidP="001667C6">
      <w:pPr>
        <w:pStyle w:val="ListParagraph"/>
        <w:numPr>
          <w:ilvl w:val="0"/>
          <w:numId w:val="63"/>
        </w:numPr>
      </w:pPr>
      <w:r w:rsidRPr="0014358F">
        <w:rPr>
          <w:b/>
          <w:bCs/>
        </w:rPr>
        <w:lastRenderedPageBreak/>
        <w:t>Leverage private investment at the project site to participate at the honey value chain</w:t>
      </w:r>
      <w:r w:rsidRPr="00F41F63">
        <w:t>.</w:t>
      </w:r>
    </w:p>
    <w:p w14:paraId="09592F9E" w14:textId="77777777" w:rsidR="00112071" w:rsidRPr="00F41F63" w:rsidRDefault="00112071" w:rsidP="001667C6">
      <w:pPr>
        <w:pStyle w:val="ListParagraph"/>
        <w:numPr>
          <w:ilvl w:val="0"/>
          <w:numId w:val="63"/>
        </w:numPr>
      </w:pPr>
      <w:r w:rsidRPr="0014358F">
        <w:rPr>
          <w:b/>
          <w:bCs/>
        </w:rPr>
        <w:t>Promote entrepreneurship in honey sector at local level</w:t>
      </w:r>
      <w:r>
        <w:t>, through (i) development of c</w:t>
      </w:r>
      <w:r w:rsidRPr="00F41F63">
        <w:t>apacities of local carpenters and steel workers to produc</w:t>
      </w:r>
      <w:r>
        <w:t xml:space="preserve">e equipment for the sector; (ii) </w:t>
      </w:r>
      <w:r w:rsidRPr="00F41F63">
        <w:t>development capacities of local micro and cottage industries for honey processing and packaging, pre-processing for off takers etc</w:t>
      </w:r>
      <w:r>
        <w:t>;</w:t>
      </w:r>
    </w:p>
    <w:p w14:paraId="3D846557" w14:textId="77777777" w:rsidR="00112071" w:rsidRPr="00E722C1" w:rsidRDefault="00112071" w:rsidP="001667C6">
      <w:pPr>
        <w:pStyle w:val="ListParagraph"/>
        <w:numPr>
          <w:ilvl w:val="0"/>
          <w:numId w:val="63"/>
        </w:numPr>
      </w:pPr>
      <w:r w:rsidRPr="0014358F">
        <w:rPr>
          <w:rFonts w:cs="Calibri"/>
          <w:b/>
          <w:bCs/>
          <w:sz w:val="21"/>
          <w:szCs w:val="21"/>
        </w:rPr>
        <w:t>Reduce</w:t>
      </w:r>
      <w:r w:rsidRPr="0014358F">
        <w:rPr>
          <w:b/>
          <w:bCs/>
        </w:rPr>
        <w:t xml:space="preserve"> market failures and stimulate market development</w:t>
      </w:r>
      <w:r>
        <w:t xml:space="preserve"> through </w:t>
      </w:r>
      <w:r w:rsidRPr="00F41F63">
        <w:t xml:space="preserve">dialogue between honey businesses, major retailers and Government of Angola to slowly decrease imports of honey, regulate margins on the product by major retailers, </w:t>
      </w:r>
      <w:r>
        <w:t>promote export</w:t>
      </w:r>
      <w:r w:rsidRPr="00F41F63">
        <w:t xml:space="preserve"> and facilitate finalization of the </w:t>
      </w:r>
      <w:r>
        <w:t>certification for Angolan honey;</w:t>
      </w:r>
    </w:p>
    <w:p w14:paraId="1B308323" w14:textId="77777777" w:rsidR="00112071" w:rsidRPr="00F41F63" w:rsidRDefault="00112071" w:rsidP="001667C6">
      <w:pPr>
        <w:pStyle w:val="ListParagraph"/>
        <w:numPr>
          <w:ilvl w:val="0"/>
          <w:numId w:val="63"/>
        </w:numPr>
      </w:pPr>
      <w:r w:rsidRPr="0014358F">
        <w:rPr>
          <w:b/>
          <w:bCs/>
        </w:rPr>
        <w:t>Provide mentorship to lead honey processing enterprises to improve their business models</w:t>
      </w:r>
      <w:r w:rsidRPr="00F41F63">
        <w:t>, product quality and profitability</w:t>
      </w:r>
    </w:p>
    <w:p w14:paraId="2F23A8F6" w14:textId="77777777" w:rsidR="00112071" w:rsidRPr="00070831" w:rsidRDefault="00112071" w:rsidP="00112071">
      <w:pPr>
        <w:pStyle w:val="Default"/>
        <w:rPr>
          <w:rFonts w:ascii="Calibri" w:hAnsi="Calibri" w:cs="Calibri"/>
          <w:b/>
          <w:bCs/>
          <w:sz w:val="21"/>
          <w:szCs w:val="21"/>
        </w:rPr>
      </w:pPr>
      <w:r w:rsidRPr="00070831">
        <w:rPr>
          <w:rFonts w:ascii="Calibri" w:hAnsi="Calibri" w:cs="Calibri"/>
          <w:b/>
          <w:bCs/>
          <w:sz w:val="21"/>
          <w:szCs w:val="21"/>
          <w:highlight w:val="lightGray"/>
        </w:rPr>
        <w:t xml:space="preserve">Other NTFP GVCs (besides </w:t>
      </w:r>
      <w:r>
        <w:rPr>
          <w:rFonts w:ascii="Calibri" w:hAnsi="Calibri" w:cs="Calibri"/>
          <w:b/>
          <w:bCs/>
          <w:sz w:val="21"/>
          <w:szCs w:val="21"/>
          <w:highlight w:val="lightGray"/>
        </w:rPr>
        <w:t>apiculture</w:t>
      </w:r>
      <w:r w:rsidRPr="00070831">
        <w:rPr>
          <w:rFonts w:ascii="Calibri" w:hAnsi="Calibri" w:cs="Calibri"/>
          <w:b/>
          <w:bCs/>
          <w:sz w:val="21"/>
          <w:szCs w:val="21"/>
          <w:highlight w:val="lightGray"/>
        </w:rPr>
        <w:t>)</w:t>
      </w:r>
    </w:p>
    <w:p w14:paraId="0615B7A4" w14:textId="77777777" w:rsidR="00112071" w:rsidRDefault="00112071" w:rsidP="00112071">
      <w:pPr>
        <w:rPr>
          <w:rFonts w:ascii="Calibri" w:eastAsia="Calibri" w:hAnsi="Calibri" w:cs="Calibri"/>
          <w:sz w:val="21"/>
          <w:szCs w:val="20"/>
          <w:shd w:val="clear" w:color="auto" w:fill="FFFFFF"/>
          <w:lang w:val="en-US" w:eastAsia="en-US"/>
        </w:rPr>
      </w:pPr>
    </w:p>
    <w:p w14:paraId="0A32D2FE" w14:textId="77051014" w:rsidR="00112071" w:rsidRDefault="00112071" w:rsidP="00112071">
      <w:pPr>
        <w:jc w:val="both"/>
        <w:rPr>
          <w:rFonts w:ascii="Calibri" w:eastAsia="Calibri" w:hAnsi="Calibri" w:cs="Calibri"/>
          <w:sz w:val="21"/>
          <w:szCs w:val="21"/>
          <w:shd w:val="clear" w:color="auto" w:fill="FFFFFF"/>
          <w:lang w:val="en-US" w:eastAsia="en-US"/>
        </w:rPr>
      </w:pPr>
      <w:r w:rsidRPr="00242706">
        <w:rPr>
          <w:rFonts w:ascii="Calibri" w:eastAsia="Calibri" w:hAnsi="Calibri" w:cs="Calibri"/>
          <w:sz w:val="21"/>
          <w:szCs w:val="21"/>
          <w:shd w:val="clear" w:color="auto" w:fill="FFFFFF"/>
          <w:lang w:val="en-US" w:eastAsia="en-US"/>
        </w:rPr>
        <w:t>More in-depth feasibility assessments as part of the strategy development will bring details on the concrete activities to be performed by the project. For the dryland fruits , and potentially other NTFPs, such as medicinal plants.</w:t>
      </w:r>
      <w:r>
        <w:rPr>
          <w:rFonts w:ascii="Calibri" w:eastAsia="Calibri" w:hAnsi="Calibri" w:cs="Calibri"/>
          <w:sz w:val="21"/>
          <w:szCs w:val="21"/>
          <w:shd w:val="clear" w:color="auto" w:fill="FFFFFF"/>
          <w:lang w:val="en-US" w:eastAsia="en-US"/>
        </w:rPr>
        <w:t xml:space="preserve"> The following activities are tentative:</w:t>
      </w:r>
    </w:p>
    <w:p w14:paraId="5AD50787" w14:textId="77777777" w:rsidR="00112071" w:rsidRDefault="00112071" w:rsidP="001667C6">
      <w:pPr>
        <w:pStyle w:val="ListParagraph"/>
        <w:numPr>
          <w:ilvl w:val="0"/>
          <w:numId w:val="85"/>
        </w:numPr>
        <w:rPr>
          <w:rFonts w:eastAsia="Calibri" w:cs="Calibri"/>
          <w:sz w:val="21"/>
          <w:szCs w:val="20"/>
          <w:shd w:val="clear" w:color="auto" w:fill="FFFFFF"/>
        </w:rPr>
      </w:pPr>
      <w:r w:rsidRPr="00FD2B90">
        <w:rPr>
          <w:rFonts w:eastAsia="Calibri" w:cs="Calibri"/>
          <w:b/>
          <w:bCs/>
          <w:sz w:val="21"/>
          <w:szCs w:val="20"/>
          <w:shd w:val="clear" w:color="auto" w:fill="FFFFFF"/>
        </w:rPr>
        <w:t>Support local, national and international private enteprises that process and sell NTFPs</w:t>
      </w:r>
      <w:r>
        <w:rPr>
          <w:rFonts w:eastAsia="Calibri" w:cs="Calibri"/>
          <w:sz w:val="21"/>
          <w:szCs w:val="20"/>
          <w:shd w:val="clear" w:color="auto" w:fill="FFFFFF"/>
        </w:rPr>
        <w:t xml:space="preserve"> in improving their company operations, management and more inclusive and feasible busines models with local fruit or medicinal plant pickers;</w:t>
      </w:r>
    </w:p>
    <w:p w14:paraId="398EBB28" w14:textId="77777777" w:rsidR="00112071" w:rsidRPr="009A0F08" w:rsidRDefault="00112071" w:rsidP="001667C6">
      <w:pPr>
        <w:pStyle w:val="ListParagraph"/>
        <w:numPr>
          <w:ilvl w:val="0"/>
          <w:numId w:val="85"/>
        </w:numPr>
        <w:rPr>
          <w:rFonts w:eastAsia="Calibri" w:cs="Calibri"/>
          <w:sz w:val="21"/>
          <w:szCs w:val="20"/>
          <w:shd w:val="clear" w:color="auto" w:fill="FFFFFF"/>
        </w:rPr>
      </w:pPr>
      <w:r w:rsidRPr="009B650A">
        <w:rPr>
          <w:rFonts w:eastAsia="Calibri" w:cs="Calibri"/>
          <w:b/>
          <w:bCs/>
          <w:sz w:val="21"/>
          <w:szCs w:val="20"/>
          <w:shd w:val="clear" w:color="auto" w:fill="FFFFFF"/>
        </w:rPr>
        <w:t>From the perspective of the firm (MSMEs), using FAO Inclusive business models tool, prioritize the activities that will enhance the off take and value addition at local level</w:t>
      </w:r>
      <w:r>
        <w:rPr>
          <w:rFonts w:eastAsia="Calibri" w:cs="Calibri"/>
          <w:sz w:val="21"/>
          <w:szCs w:val="20"/>
          <w:shd w:val="clear" w:color="auto" w:fill="FFFFFF"/>
        </w:rPr>
        <w:t>;</w:t>
      </w:r>
    </w:p>
    <w:p w14:paraId="33AEC3B3" w14:textId="77777777" w:rsidR="00112071" w:rsidRPr="00BB0000" w:rsidRDefault="00112071" w:rsidP="001667C6">
      <w:pPr>
        <w:pStyle w:val="ListParagraph"/>
        <w:numPr>
          <w:ilvl w:val="0"/>
          <w:numId w:val="85"/>
        </w:numPr>
        <w:rPr>
          <w:rFonts w:eastAsia="Calibri"/>
        </w:rPr>
      </w:pPr>
      <w:r w:rsidRPr="00BC4E92">
        <w:rPr>
          <w:rFonts w:eastAsia="Calibri"/>
          <w:b/>
          <w:bCs/>
        </w:rPr>
        <w:t>In collaboration with the private sector develop training materials for collectors and forest users to complement the FFF trainings</w:t>
      </w:r>
      <w:r>
        <w:rPr>
          <w:rFonts w:eastAsia="Calibri"/>
        </w:rPr>
        <w:t xml:space="preserve"> with more market and busines oriented capacity building;</w:t>
      </w:r>
    </w:p>
    <w:p w14:paraId="52967F85" w14:textId="49AD77FC" w:rsidR="00112071" w:rsidRPr="00AE6F94" w:rsidRDefault="00112071" w:rsidP="001667C6">
      <w:pPr>
        <w:pStyle w:val="ListParagraph"/>
        <w:numPr>
          <w:ilvl w:val="0"/>
          <w:numId w:val="85"/>
        </w:numPr>
        <w:rPr>
          <w:rFonts w:cs="Calibri"/>
        </w:rPr>
      </w:pPr>
      <w:r w:rsidRPr="2ECADB71">
        <w:rPr>
          <w:b/>
          <w:bCs/>
          <w:sz w:val="21"/>
          <w:szCs w:val="21"/>
        </w:rPr>
        <w:t>Develop specific acitvities for charcoal and firewood VT chain in target landscapes</w:t>
      </w:r>
      <w:r w:rsidRPr="2ECADB71">
        <w:rPr>
          <w:sz w:val="21"/>
          <w:szCs w:val="21"/>
        </w:rPr>
        <w:t xml:space="preserve"> </w:t>
      </w:r>
      <w:r w:rsidRPr="2ECADB71">
        <w:rPr>
          <w:rFonts w:cs="Calibri"/>
          <w:sz w:val="21"/>
          <w:szCs w:val="21"/>
        </w:rPr>
        <w:t xml:space="preserve">to increase its sustainability through: </w:t>
      </w:r>
      <w:r w:rsidRPr="2ECADB71">
        <w:rPr>
          <w:rFonts w:cs="Calibri"/>
        </w:rPr>
        <w:t xml:space="preserve">restoration of degraded lands with native dryland trees  to provide renewable wood supply; more </w:t>
      </w:r>
      <w:r w:rsidR="33788F3E" w:rsidRPr="2ECADB71">
        <w:rPr>
          <w:rFonts w:cs="Calibri"/>
        </w:rPr>
        <w:t>efficient</w:t>
      </w:r>
      <w:r w:rsidRPr="2ECADB71">
        <w:rPr>
          <w:rFonts w:cs="Calibri"/>
        </w:rPr>
        <w:t xml:space="preserve"> processing in the case of charcoal (e.g. pyrolysis - valued by-products additional to charcoal being wood oil and wood); and improved fuel-efficient stove designs to reduce </w:t>
      </w:r>
      <w:r w:rsidR="78AEFF80" w:rsidRPr="2ECADB71">
        <w:rPr>
          <w:rFonts w:cs="Calibri"/>
        </w:rPr>
        <w:t>firewood</w:t>
      </w:r>
      <w:r w:rsidRPr="2ECADB71">
        <w:rPr>
          <w:rFonts w:cs="Calibri"/>
        </w:rPr>
        <w:t xml:space="preserve"> consumption.</w:t>
      </w:r>
    </w:p>
    <w:p w14:paraId="72A6F4D2" w14:textId="77777777" w:rsidR="00112071" w:rsidRDefault="00112071" w:rsidP="00112071">
      <w:pPr>
        <w:pStyle w:val="Boxtext"/>
        <w:pBdr>
          <w:top w:val="none" w:sz="0" w:space="0" w:color="auto"/>
          <w:left w:val="none" w:sz="0" w:space="0" w:color="auto"/>
          <w:bottom w:val="none" w:sz="0" w:space="0" w:color="auto"/>
          <w:right w:val="none" w:sz="0" w:space="0" w:color="auto"/>
        </w:pBdr>
        <w:tabs>
          <w:tab w:val="left" w:pos="993"/>
          <w:tab w:val="left" w:pos="1134"/>
        </w:tabs>
        <w:spacing w:before="0" w:after="0"/>
        <w:jc w:val="both"/>
        <w:rPr>
          <w:rFonts w:ascii="Calibri" w:hAnsi="Calibri" w:cs="Calibri"/>
          <w:sz w:val="21"/>
          <w:szCs w:val="21"/>
        </w:rPr>
      </w:pPr>
    </w:p>
    <w:p w14:paraId="0A0AFE86" w14:textId="77777777" w:rsidR="00112071" w:rsidRDefault="00112071" w:rsidP="00112071">
      <w:pPr>
        <w:pStyle w:val="Boxtext"/>
        <w:pBdr>
          <w:top w:val="none" w:sz="0" w:space="0" w:color="auto"/>
          <w:left w:val="none" w:sz="0" w:space="0" w:color="auto"/>
          <w:bottom w:val="none" w:sz="0" w:space="0" w:color="auto"/>
          <w:right w:val="none" w:sz="0" w:space="0" w:color="auto"/>
        </w:pBdr>
        <w:tabs>
          <w:tab w:val="left" w:pos="993"/>
          <w:tab w:val="left" w:pos="1134"/>
        </w:tabs>
        <w:spacing w:before="0" w:after="0"/>
        <w:jc w:val="both"/>
        <w:rPr>
          <w:i/>
          <w:sz w:val="22"/>
          <w:szCs w:val="22"/>
        </w:rPr>
      </w:pPr>
      <w:r w:rsidRPr="0063608B">
        <w:rPr>
          <w:rFonts w:ascii="Calibri" w:hAnsi="Calibri" w:cs="Calibri"/>
          <w:b/>
          <w:sz w:val="21"/>
          <w:szCs w:val="21"/>
          <w:highlight w:val="lightGray"/>
        </w:rPr>
        <w:t>Output 2.3.3.</w:t>
      </w:r>
      <w:r w:rsidRPr="0063608B">
        <w:rPr>
          <w:rFonts w:ascii="Calibri" w:hAnsi="Calibri" w:cs="Calibri"/>
          <w:sz w:val="21"/>
          <w:szCs w:val="21"/>
          <w:highlight w:val="lightGray"/>
        </w:rPr>
        <w:t xml:space="preserve"> </w:t>
      </w:r>
      <w:r w:rsidRPr="0063608B">
        <w:rPr>
          <w:i/>
          <w:sz w:val="22"/>
          <w:szCs w:val="22"/>
          <w:highlight w:val="lightGray"/>
        </w:rPr>
        <w:t xml:space="preserve"> </w:t>
      </w:r>
      <w:r>
        <w:rPr>
          <w:i/>
          <w:sz w:val="22"/>
          <w:szCs w:val="22"/>
          <w:highlight w:val="lightGray"/>
        </w:rPr>
        <w:t>FBS developed within</w:t>
      </w:r>
      <w:r w:rsidRPr="009A0F08">
        <w:rPr>
          <w:i/>
          <w:sz w:val="22"/>
          <w:szCs w:val="22"/>
          <w:highlight w:val="lightGray"/>
        </w:rPr>
        <w:t xml:space="preserve"> FFS and FFF </w:t>
      </w:r>
      <w:r>
        <w:rPr>
          <w:i/>
          <w:sz w:val="22"/>
          <w:szCs w:val="22"/>
          <w:highlight w:val="lightGray"/>
        </w:rPr>
        <w:t xml:space="preserve"> to support new value chain enterprises</w:t>
      </w:r>
      <w:r w:rsidRPr="009A0F08">
        <w:rPr>
          <w:i/>
          <w:sz w:val="22"/>
          <w:szCs w:val="22"/>
          <w:highlight w:val="lightGray"/>
        </w:rPr>
        <w:t xml:space="preserve"> </w:t>
      </w:r>
    </w:p>
    <w:p w14:paraId="62D31340" w14:textId="77777777" w:rsidR="00112071" w:rsidRDefault="00112071" w:rsidP="00112071">
      <w:pPr>
        <w:pStyle w:val="Boxtext"/>
        <w:pBdr>
          <w:top w:val="none" w:sz="0" w:space="0" w:color="auto"/>
          <w:left w:val="none" w:sz="0" w:space="0" w:color="auto"/>
          <w:bottom w:val="none" w:sz="0" w:space="0" w:color="auto"/>
          <w:right w:val="none" w:sz="0" w:space="0" w:color="auto"/>
        </w:pBdr>
        <w:tabs>
          <w:tab w:val="left" w:pos="993"/>
          <w:tab w:val="left" w:pos="1134"/>
        </w:tabs>
        <w:spacing w:before="0" w:after="0"/>
        <w:jc w:val="both"/>
        <w:rPr>
          <w:i/>
          <w:sz w:val="22"/>
          <w:szCs w:val="22"/>
        </w:rPr>
      </w:pPr>
    </w:p>
    <w:p w14:paraId="56965D68" w14:textId="77777777" w:rsidR="00112071" w:rsidRPr="00034DB7" w:rsidRDefault="00112071" w:rsidP="001667C6">
      <w:pPr>
        <w:pStyle w:val="ParagraphOED"/>
        <w:numPr>
          <w:ilvl w:val="0"/>
          <w:numId w:val="102"/>
        </w:numPr>
      </w:pPr>
      <w:r>
        <w:t xml:space="preserve">Further through the strategy of the Output 2.2., this output will enhance impact of the FFS and FFF activities. It will assist with strategic acitivites at FFS, FFF and seed enterprises. In particular to enhance effects of these approaches to women and youth income generation through value addition, post-harvest loss reduction and quality assurance in fruit sector and others. The business models where integrated production is implemented, with short term income generating activities that provide additional cash for more investment into agriculture production or agroforestry have shown good results in the past. Special attention will paid to encourage women and youth to participate in FSB and enterprises creation. </w:t>
      </w:r>
    </w:p>
    <w:p w14:paraId="618A52D8" w14:textId="77777777" w:rsidR="00112071" w:rsidRDefault="00112071" w:rsidP="001667C6">
      <w:pPr>
        <w:pStyle w:val="ParagraphOED"/>
        <w:numPr>
          <w:ilvl w:val="0"/>
          <w:numId w:val="102"/>
        </w:numPr>
        <w:spacing w:before="160" w:after="160"/>
      </w:pPr>
      <w:r>
        <w:t>In Cunene, livestock is the main potential for rural economic empowerement. While the traditional agropastorist are reluctant to commercialize their livestock. The women led sustainable small livestock businesses have shown potential for impact. While the agricutlrue production in Cunene is difficult outside irrigated areas, feed production can generate important source of income, when linked to sustainable small livestock activities. Small livestock like goats or guineafowls, are procured by comerciants from different markets including Luanda. The output aim at improving the value chain through fattening, market development, product development, branding and using of digital technologies to shorten the value chains. This will allow local women and youth capitalize better from their activities.</w:t>
      </w:r>
    </w:p>
    <w:p w14:paraId="1299102C" w14:textId="77777777" w:rsidR="00112071" w:rsidRPr="009A0F08" w:rsidRDefault="00112071" w:rsidP="001667C6">
      <w:pPr>
        <w:pStyle w:val="ParagraphOED"/>
        <w:numPr>
          <w:ilvl w:val="0"/>
          <w:numId w:val="102"/>
        </w:numPr>
        <w:spacing w:before="160" w:after="160"/>
      </w:pPr>
      <w:r>
        <w:lastRenderedPageBreak/>
        <w:t>Additional MSMEs and cottage industries will be identified through the output 2.3.1. and strategic interventions developed in participative manner.</w:t>
      </w:r>
    </w:p>
    <w:p w14:paraId="150E2A73" w14:textId="77777777" w:rsidR="00112071" w:rsidRDefault="00112071" w:rsidP="001667C6">
      <w:pPr>
        <w:pStyle w:val="ParagraphOED"/>
        <w:numPr>
          <w:ilvl w:val="0"/>
          <w:numId w:val="102"/>
        </w:numPr>
        <w:spacing w:before="160" w:after="80"/>
        <w:rPr>
          <w:b/>
          <w:bCs/>
        </w:rPr>
      </w:pPr>
      <w:r w:rsidRPr="1E65A5F7">
        <w:rPr>
          <w:b/>
          <w:bCs/>
        </w:rPr>
        <w:t>Indicative Activities under Output 2.3.3</w:t>
      </w:r>
    </w:p>
    <w:p w14:paraId="5B7F35AC" w14:textId="406920DF" w:rsidR="00112071" w:rsidRDefault="00112071" w:rsidP="001667C6">
      <w:pPr>
        <w:pStyle w:val="ListParagraph"/>
        <w:numPr>
          <w:ilvl w:val="0"/>
          <w:numId w:val="92"/>
        </w:numPr>
      </w:pPr>
      <w:r>
        <w:t>Select the Micro and small women and youth existing and aspiring ent</w:t>
      </w:r>
      <w:r w:rsidR="00DD6910">
        <w:t>r</w:t>
      </w:r>
      <w:r>
        <w:t xml:space="preserve">epreneurs, women groups and cooperatives and </w:t>
      </w:r>
      <w:r w:rsidRPr="00A30213">
        <w:rPr>
          <w:b/>
          <w:bCs/>
        </w:rPr>
        <w:t>develop a capacity development training and mentorship with aim to increase their profit</w:t>
      </w:r>
      <w:r>
        <w:t>, optimize production and commercialization, iniciate growth;</w:t>
      </w:r>
    </w:p>
    <w:p w14:paraId="3A3AF4A8" w14:textId="77777777" w:rsidR="00112071" w:rsidRDefault="00112071" w:rsidP="001667C6">
      <w:pPr>
        <w:pStyle w:val="ListParagraph"/>
        <w:numPr>
          <w:ilvl w:val="0"/>
          <w:numId w:val="92"/>
        </w:numPr>
      </w:pPr>
      <w:r w:rsidRPr="00A30213">
        <w:rPr>
          <w:b/>
          <w:bCs/>
        </w:rPr>
        <w:t>Develop a database of existing and potential MSMEs in southern Angola</w:t>
      </w:r>
      <w:r>
        <w:t xml:space="preserve"> and web profiles to facilitate investmetn and support by donors, Government and private sector;</w:t>
      </w:r>
    </w:p>
    <w:p w14:paraId="02C89D76" w14:textId="77777777" w:rsidR="00112071" w:rsidRPr="00AE6F94" w:rsidRDefault="00112071" w:rsidP="001667C6">
      <w:pPr>
        <w:pStyle w:val="ListParagraph"/>
        <w:numPr>
          <w:ilvl w:val="0"/>
          <w:numId w:val="92"/>
        </w:numPr>
      </w:pPr>
      <w:r w:rsidRPr="00D42894">
        <w:rPr>
          <w:b/>
          <w:bCs/>
        </w:rPr>
        <w:t>Pilot digital technologies to enhance MSMEs access to credit or funding</w:t>
      </w:r>
      <w:r>
        <w:t>, information and market;</w:t>
      </w:r>
    </w:p>
    <w:p w14:paraId="654D75D5" w14:textId="77777777" w:rsidR="00112071" w:rsidRPr="00AE6F94" w:rsidRDefault="00112071" w:rsidP="001667C6">
      <w:pPr>
        <w:pStyle w:val="ListParagraph"/>
        <w:numPr>
          <w:ilvl w:val="0"/>
          <w:numId w:val="92"/>
        </w:numPr>
      </w:pPr>
      <w:r w:rsidRPr="00EE5100">
        <w:rPr>
          <w:b/>
          <w:bCs/>
        </w:rPr>
        <w:t>Develop collaboration with local education institutions and pilot incubation of selected enterpreneurs</w:t>
      </w:r>
      <w:r>
        <w:t>;</w:t>
      </w:r>
    </w:p>
    <w:p w14:paraId="67AE4E89" w14:textId="77777777" w:rsidR="00112071" w:rsidRDefault="00112071" w:rsidP="001667C6">
      <w:pPr>
        <w:pStyle w:val="ListParagraph"/>
        <w:numPr>
          <w:ilvl w:val="0"/>
          <w:numId w:val="92"/>
        </w:numPr>
      </w:pPr>
      <w:r w:rsidRPr="007D6D79">
        <w:rPr>
          <w:b/>
          <w:bCs/>
        </w:rPr>
        <w:t>Implement Farmer Busienss schools, community saving and credit groups to enhance capacities of FFS</w:t>
      </w:r>
      <w:r>
        <w:t>, FFF and seed enterprise beneficiaries in business, management and finance literacy;</w:t>
      </w:r>
    </w:p>
    <w:p w14:paraId="2507CCAA" w14:textId="77777777" w:rsidR="00112071" w:rsidRPr="00AE6F94" w:rsidRDefault="00112071" w:rsidP="001667C6">
      <w:pPr>
        <w:pStyle w:val="ListParagraph"/>
        <w:numPr>
          <w:ilvl w:val="0"/>
          <w:numId w:val="92"/>
        </w:numPr>
      </w:pPr>
      <w:r w:rsidRPr="004B12C1">
        <w:rPr>
          <w:b/>
          <w:bCs/>
        </w:rPr>
        <w:t>Enhance technical capacities of women and youth led businesses in both provinces</w:t>
      </w:r>
      <w:r>
        <w:t>;</w:t>
      </w:r>
    </w:p>
    <w:p w14:paraId="37436901" w14:textId="77777777" w:rsidR="00112071" w:rsidRDefault="00112071" w:rsidP="001667C6">
      <w:pPr>
        <w:pStyle w:val="ListParagraph"/>
        <w:numPr>
          <w:ilvl w:val="0"/>
          <w:numId w:val="92"/>
        </w:numPr>
      </w:pPr>
      <w:r w:rsidRPr="00752658">
        <w:rPr>
          <w:b/>
          <w:bCs/>
        </w:rPr>
        <w:t>Enhance commercialization, marketing, branding of selected products</w:t>
      </w:r>
      <w:r>
        <w:t xml:space="preserve"> to increase income generation of the selected enterprises;</w:t>
      </w:r>
    </w:p>
    <w:p w14:paraId="30201DA3" w14:textId="77777777" w:rsidR="00112071" w:rsidRPr="00AE6F94" w:rsidRDefault="00112071" w:rsidP="001667C6">
      <w:pPr>
        <w:pStyle w:val="ListParagraph"/>
        <w:numPr>
          <w:ilvl w:val="0"/>
          <w:numId w:val="92"/>
        </w:numPr>
      </w:pPr>
      <w:r w:rsidRPr="00A06DC3">
        <w:rPr>
          <w:b/>
          <w:bCs/>
        </w:rPr>
        <w:t>Organize sharing of experience and lessons engaging between the beneficiaries and with successful MSMEs</w:t>
      </w:r>
      <w:r>
        <w:t xml:space="preserve"> in the region and sectors selected;</w:t>
      </w:r>
    </w:p>
    <w:p w14:paraId="7E9113A2" w14:textId="77777777" w:rsidR="004318D9" w:rsidRPr="00A33089" w:rsidRDefault="004318D9" w:rsidP="004318D9">
      <w:pPr>
        <w:pStyle w:val="Boxtext"/>
        <w:pBdr>
          <w:top w:val="none" w:sz="0" w:space="0" w:color="auto"/>
          <w:left w:val="none" w:sz="0" w:space="0" w:color="auto"/>
          <w:bottom w:val="none" w:sz="0" w:space="0" w:color="auto"/>
          <w:right w:val="none" w:sz="0" w:space="0" w:color="auto"/>
        </w:pBdr>
        <w:tabs>
          <w:tab w:val="left" w:pos="993"/>
          <w:tab w:val="left" w:pos="1134"/>
        </w:tabs>
        <w:spacing w:before="0" w:after="0"/>
        <w:jc w:val="both"/>
        <w:rPr>
          <w:rFonts w:ascii="Calibri" w:hAnsi="Calibri" w:cs="Calibri"/>
          <w:sz w:val="21"/>
          <w:szCs w:val="21"/>
          <w:lang w:val="en-US"/>
        </w:rPr>
      </w:pPr>
    </w:p>
    <w:p w14:paraId="37CF30E2" w14:textId="22930D58" w:rsidR="00121B65" w:rsidRDefault="002D75B6" w:rsidP="005C6F7A">
      <w:pPr>
        <w:rPr>
          <w:rFonts w:asciiTheme="minorHAnsi" w:hAnsiTheme="minorHAnsi" w:cstheme="minorHAnsi"/>
          <w:b/>
          <w:bCs/>
          <w:i/>
          <w:iCs/>
        </w:rPr>
      </w:pPr>
      <w:r w:rsidRPr="005C6F7A">
        <w:rPr>
          <w:rFonts w:asciiTheme="minorHAnsi" w:hAnsiTheme="minorHAnsi" w:cstheme="minorHAnsi"/>
          <w:b/>
          <w:bCs/>
          <w:i/>
          <w:iCs/>
        </w:rPr>
        <w:t>C</w:t>
      </w:r>
      <w:r w:rsidR="004764ED" w:rsidRPr="005C6F7A">
        <w:rPr>
          <w:rFonts w:asciiTheme="minorHAnsi" w:hAnsiTheme="minorHAnsi" w:cstheme="minorHAnsi"/>
          <w:b/>
          <w:bCs/>
          <w:i/>
          <w:iCs/>
        </w:rPr>
        <w:t xml:space="preserve">omponent </w:t>
      </w:r>
      <w:r w:rsidRPr="005C6F7A">
        <w:rPr>
          <w:rFonts w:asciiTheme="minorHAnsi" w:hAnsiTheme="minorHAnsi" w:cstheme="minorHAnsi"/>
          <w:b/>
          <w:bCs/>
          <w:i/>
          <w:iCs/>
        </w:rPr>
        <w:t xml:space="preserve">3. </w:t>
      </w:r>
      <w:r w:rsidR="00121B65" w:rsidRPr="005C6F7A">
        <w:rPr>
          <w:rFonts w:asciiTheme="minorHAnsi" w:hAnsiTheme="minorHAnsi" w:cstheme="minorHAnsi"/>
          <w:b/>
          <w:bCs/>
          <w:i/>
          <w:iCs/>
        </w:rPr>
        <w:t>Strengthening knowledge, learning and collaboration to support progress towards achieving national LDN targets</w:t>
      </w:r>
    </w:p>
    <w:p w14:paraId="27E78388" w14:textId="77777777" w:rsidR="005C6F7A" w:rsidRPr="005C6F7A" w:rsidRDefault="005C6F7A" w:rsidP="005C6F7A">
      <w:pPr>
        <w:rPr>
          <w:rFonts w:asciiTheme="minorHAnsi" w:hAnsiTheme="minorHAnsi" w:cstheme="minorHAnsi"/>
          <w:b/>
          <w:bCs/>
          <w:i/>
          <w:iCs/>
        </w:rPr>
      </w:pPr>
    </w:p>
    <w:p w14:paraId="6CCE5210" w14:textId="0E6C81AD" w:rsidR="00896A8F" w:rsidRPr="00896A8F" w:rsidRDefault="00896A8F" w:rsidP="001667C6">
      <w:pPr>
        <w:pStyle w:val="ParagraphOED"/>
        <w:numPr>
          <w:ilvl w:val="0"/>
          <w:numId w:val="102"/>
        </w:numPr>
      </w:pPr>
      <w:r w:rsidRPr="619CA689">
        <w:t>Component 3 draws on the UNCCD enabling-environment guidance for LDN, particularly with respect to</w:t>
      </w:r>
      <w:r>
        <w:rPr>
          <w:szCs w:val="21"/>
        </w:rPr>
        <w:t>:</w:t>
      </w:r>
      <w:r w:rsidRPr="00755FB2">
        <w:rPr>
          <w:szCs w:val="21"/>
        </w:rPr>
        <w:t xml:space="preserve"> </w:t>
      </w:r>
      <w:r w:rsidRPr="619CA689">
        <w:t>institutional aspects of national LDN coordination (vertically and horizontally); policy coherence and alignment; and the science-policy interface dimensions of information on the multiple benefits of SLM and LDN</w:t>
      </w:r>
      <w:r w:rsidRPr="003240FF">
        <w:rPr>
          <w:szCs w:val="21"/>
        </w:rPr>
        <w:t xml:space="preserve"> </w:t>
      </w:r>
      <w:r w:rsidRPr="619CA689">
        <w:t xml:space="preserve">being considered in relation to biodiversity, climate change, livelihoods etc. </w:t>
      </w:r>
      <w:r w:rsidRPr="00755FB2">
        <w:rPr>
          <w:szCs w:val="21"/>
        </w:rPr>
        <w:t>(</w:t>
      </w:r>
      <w:r w:rsidRPr="619CA689">
        <w:rPr>
          <w:highlight w:val="lightGray"/>
        </w:rPr>
        <w:fldChar w:fldCharType="begin"/>
      </w:r>
      <w:r w:rsidRPr="619CA689">
        <w:rPr>
          <w:highlight w:val="lightGray"/>
        </w:rPr>
        <w:instrText xml:space="preserve"> REF _Ref41252555 \h  \* MERGEFORMAT </w:instrText>
      </w:r>
      <w:r w:rsidRPr="619CA689">
        <w:rPr>
          <w:highlight w:val="lightGray"/>
        </w:rPr>
      </w:r>
      <w:r w:rsidRPr="619CA689">
        <w:rPr>
          <w:highlight w:val="lightGray"/>
        </w:rPr>
        <w:fldChar w:fldCharType="separate"/>
      </w:r>
      <w:r w:rsidR="00A64193" w:rsidRPr="00A64193">
        <w:rPr>
          <w:highlight w:val="lightGray"/>
        </w:rPr>
        <w:t xml:space="preserve">Table </w:t>
      </w:r>
      <w:r w:rsidR="00A64193" w:rsidRPr="00A64193">
        <w:rPr>
          <w:noProof/>
          <w:highlight w:val="lightGray"/>
        </w:rPr>
        <w:t>2</w:t>
      </w:r>
      <w:r w:rsidRPr="619CA689">
        <w:rPr>
          <w:highlight w:val="lightGray"/>
        </w:rPr>
        <w:fldChar w:fldCharType="end"/>
      </w:r>
      <w:r w:rsidRPr="00BF3C7E">
        <w:rPr>
          <w:szCs w:val="21"/>
        </w:rPr>
        <w:t>)</w:t>
      </w:r>
      <w:r w:rsidRPr="619CA689">
        <w:t xml:space="preserve">. </w:t>
      </w:r>
    </w:p>
    <w:p w14:paraId="64D32B4A" w14:textId="49A59A46" w:rsidR="00896A8F" w:rsidRPr="00E93479" w:rsidRDefault="00896A8F" w:rsidP="001667C6">
      <w:pPr>
        <w:pStyle w:val="ParagraphOED"/>
        <w:numPr>
          <w:ilvl w:val="0"/>
          <w:numId w:val="102"/>
        </w:numPr>
        <w:spacing w:after="160"/>
        <w:rPr>
          <w:rFonts w:asciiTheme="minorHAnsi" w:hAnsiTheme="minorHAnsi" w:cstheme="minorBidi"/>
        </w:rPr>
      </w:pPr>
      <w:r w:rsidRPr="1E65A5F7">
        <w:rPr>
          <w:rFonts w:asciiTheme="minorHAnsi" w:hAnsiTheme="minorHAnsi" w:cstheme="minorBidi"/>
        </w:rPr>
        <w:t>It is designed to address Barriers 6 (</w:t>
      </w:r>
      <w:r w:rsidR="651568AC" w:rsidRPr="1E65A5F7">
        <w:rPr>
          <w:rFonts w:asciiTheme="minorHAnsi" w:eastAsiaTheme="minorEastAsia" w:hAnsiTheme="minorHAnsi" w:cstheme="minorBidi"/>
        </w:rPr>
        <w:t xml:space="preserve"> w</w:t>
      </w:r>
      <w:r w:rsidR="651568AC" w:rsidRPr="1E65A5F7">
        <w:rPr>
          <w:rFonts w:asciiTheme="minorHAnsi" w:hAnsiTheme="minorHAnsi" w:cstheme="minorBidi"/>
        </w:rPr>
        <w:t>eak national and landscape-level LDN assessment, monitoring and information management frameworks</w:t>
      </w:r>
      <w:r w:rsidRPr="1E65A5F7">
        <w:rPr>
          <w:rFonts w:asciiTheme="minorHAnsi" w:hAnsiTheme="minorHAnsi" w:cstheme="minorBidi"/>
        </w:rPr>
        <w:t>), 7 (</w:t>
      </w:r>
      <w:r w:rsidR="421BEE95" w:rsidRPr="1E65A5F7">
        <w:rPr>
          <w:rFonts w:asciiTheme="minorHAnsi" w:eastAsia="Times New Roman" w:hAnsiTheme="minorHAnsi" w:cstheme="minorBidi"/>
          <w:i/>
          <w:iCs/>
        </w:rPr>
        <w:t xml:space="preserve"> </w:t>
      </w:r>
      <w:r w:rsidR="421BEE95" w:rsidRPr="1E65A5F7">
        <w:rPr>
          <w:rFonts w:asciiTheme="minorHAnsi" w:hAnsiTheme="minorHAnsi" w:cstheme="minorBidi"/>
        </w:rPr>
        <w:t>LDN-focused KM and learning initiatives largely absent in Angola and across Miombo-Mopane region</w:t>
      </w:r>
      <w:r w:rsidRPr="1E65A5F7">
        <w:rPr>
          <w:rFonts w:asciiTheme="minorHAnsi" w:hAnsiTheme="minorHAnsi" w:cstheme="minorBidi"/>
        </w:rPr>
        <w:t>) and 8 (</w:t>
      </w:r>
      <w:r w:rsidR="6C349C5C" w:rsidRPr="1E65A5F7">
        <w:rPr>
          <w:rFonts w:asciiTheme="minorHAnsi" w:eastAsia="Times New Roman" w:hAnsiTheme="minorHAnsi" w:cstheme="minorBidi"/>
          <w:i/>
          <w:iCs/>
        </w:rPr>
        <w:t xml:space="preserve"> </w:t>
      </w:r>
      <w:r w:rsidR="6C349C5C" w:rsidRPr="1E65A5F7">
        <w:rPr>
          <w:rFonts w:asciiTheme="minorHAnsi" w:eastAsia="Times New Roman" w:hAnsiTheme="minorHAnsi" w:cstheme="minorBidi"/>
        </w:rPr>
        <w:t>Limited trans-boundary and regional collaboration/ coordination on addressing LDN among Miombo-Mopane cluster countries</w:t>
      </w:r>
      <w:r w:rsidRPr="1E65A5F7">
        <w:rPr>
          <w:rFonts w:asciiTheme="minorHAnsi" w:hAnsiTheme="minorHAnsi" w:cstheme="minorBidi"/>
        </w:rPr>
        <w:t>), as elaborated in Section 2.1. The underlying assumptions concern: a willingness among all stakeholders to engage across sectors in the governance of LDN (A.1); and there is value in committing to collaborate in regional activities to enhance the LDN agenda across the Miombo-Mopane ecoregion, as well as drive this agenda in-country (A.7). These scenarios are depicted in the ToC diagram.</w:t>
      </w:r>
    </w:p>
    <w:p w14:paraId="20C7CD33" w14:textId="3EEBF21A" w:rsidR="00896A8F" w:rsidRDefault="118475EA" w:rsidP="001667C6">
      <w:pPr>
        <w:pStyle w:val="ParagraphOED"/>
        <w:numPr>
          <w:ilvl w:val="0"/>
          <w:numId w:val="102"/>
        </w:numPr>
        <w:spacing w:after="160"/>
      </w:pPr>
      <w:r w:rsidRPr="1E65A5F7">
        <w:rPr>
          <w:sz w:val="22"/>
          <w:szCs w:val="22"/>
        </w:rPr>
        <w:t>Consequently, Component 3 has a strong focus on knowledge management, including information flow at and between district, national, regional and global levels, identification of lessons and best practice, M&amp;E for informed decision-making and adaptive management, and promoting regional and global exchange and collaboration to strengthen national efforts to address land degradation. Component 3 also seeks to promote programmatic consistency, cohesion and synergies.</w:t>
      </w:r>
    </w:p>
    <w:p w14:paraId="7B8B6CB8" w14:textId="067F8632" w:rsidR="00896A8F" w:rsidRDefault="118475EA" w:rsidP="001667C6">
      <w:pPr>
        <w:pStyle w:val="ParagraphOED"/>
        <w:numPr>
          <w:ilvl w:val="0"/>
          <w:numId w:val="102"/>
        </w:numPr>
        <w:spacing w:after="160"/>
        <w:rPr>
          <w:color w:val="000000" w:themeColor="text1"/>
        </w:rPr>
      </w:pPr>
      <w:r w:rsidRPr="1E65A5F7">
        <w:rPr>
          <w:sz w:val="22"/>
          <w:szCs w:val="22"/>
        </w:rPr>
        <w:t xml:space="preserve">Component 3 will support the systematic creation and sharing of knowledge related to best practices on sustainable dryland management and contribute to increasing the capacity of Angola to meet its national targets on LDN. Opportunities for exchange with other DSL-IP child projects in the Miombo-Mopane region and with the global IP platform will be an important aspect of this component. It also seeks to enhance collaboration between both DSL-IP and non-DSL-IP countries to achieve a less piecemeal and more coherent approach to </w:t>
      </w:r>
      <w:r w:rsidRPr="1E65A5F7">
        <w:rPr>
          <w:sz w:val="22"/>
          <w:szCs w:val="22"/>
        </w:rPr>
        <w:lastRenderedPageBreak/>
        <w:t>dryland management regionally, including identifying and exploring opportunities for potential joint initiatives targeted at addressing common challenges across neighbouring country borders and throughout the Miombo-Mopane region.</w:t>
      </w:r>
      <w:r>
        <w:t xml:space="preserve"> </w:t>
      </w:r>
    </w:p>
    <w:p w14:paraId="266702D1" w14:textId="6CF5B421" w:rsidR="00896A8F" w:rsidRDefault="118475EA" w:rsidP="001667C6">
      <w:pPr>
        <w:pStyle w:val="ParagraphOED"/>
        <w:numPr>
          <w:ilvl w:val="0"/>
          <w:numId w:val="102"/>
        </w:numPr>
        <w:spacing w:after="160"/>
        <w:rPr>
          <w:color w:val="000000" w:themeColor="text1"/>
        </w:rPr>
      </w:pPr>
      <w:r>
        <w:t xml:space="preserve"> </w:t>
      </w:r>
      <w:r w:rsidRPr="1E65A5F7">
        <w:rPr>
          <w:sz w:val="22"/>
          <w:szCs w:val="22"/>
        </w:rPr>
        <w:t>Component 3 will also support project M&amp;E for effective project coordination and adaptive management, and provide important information and knowledge on project results of relevance to national and global knowledge platforms on SLM/SFM and LDN. This will help the project in achieving the anticipated impact at wider (transboundary/regional/ ecosystem/global) scale.</w:t>
      </w:r>
      <w:r>
        <w:t xml:space="preserve"> </w:t>
      </w:r>
    </w:p>
    <w:p w14:paraId="032950BB" w14:textId="7B012430" w:rsidR="009F551C" w:rsidRPr="00281AF6" w:rsidRDefault="66116093" w:rsidP="001667C6">
      <w:pPr>
        <w:pStyle w:val="ParagraphOED"/>
        <w:numPr>
          <w:ilvl w:val="0"/>
          <w:numId w:val="102"/>
        </w:numPr>
        <w:spacing w:after="160"/>
      </w:pPr>
      <w:r>
        <w:t>Considering the caracteristics</w:t>
      </w:r>
      <w:r w:rsidR="67171882">
        <w:t xml:space="preserve"> of </w:t>
      </w:r>
      <w:r>
        <w:t>component 3, FAO</w:t>
      </w:r>
      <w:r w:rsidR="009F551C">
        <w:t xml:space="preserve"> will lead the implementation </w:t>
      </w:r>
      <w:r>
        <w:t xml:space="preserve">and execution </w:t>
      </w:r>
      <w:r w:rsidR="009F551C">
        <w:t xml:space="preserve">of </w:t>
      </w:r>
      <w:r>
        <w:t>this component</w:t>
      </w:r>
      <w:r w:rsidR="3D70B4E7">
        <w:t xml:space="preserve"> in colse coordination with MCTA and</w:t>
      </w:r>
      <w:r w:rsidR="009F551C">
        <w:t xml:space="preserve"> collaborating closely with MINAGRI</w:t>
      </w:r>
      <w:r w:rsidR="0AF5C316">
        <w:t>P</w:t>
      </w:r>
      <w:r w:rsidR="009F551C">
        <w:t xml:space="preserve"> and MINEA.</w:t>
      </w:r>
      <w:r w:rsidR="009F551C" w:rsidRPr="1E65A5F7">
        <w:rPr>
          <w:b/>
          <w:bCs/>
        </w:rPr>
        <w:t xml:space="preserve"> </w:t>
      </w:r>
      <w:r w:rsidR="1BE96DFC">
        <w:t xml:space="preserve">Project Coordination (included in Outcome 3.2) is leaded by MCTA. </w:t>
      </w:r>
      <w:r w:rsidR="00281AF6" w:rsidRPr="1E65A5F7">
        <w:rPr>
          <w:b/>
          <w:bCs/>
        </w:rPr>
        <w:t>Three</w:t>
      </w:r>
      <w:r w:rsidR="009F551C" w:rsidRPr="1E65A5F7">
        <w:rPr>
          <w:b/>
          <w:bCs/>
        </w:rPr>
        <w:t xml:space="preserve"> baseline programs will contribute co-financing to the project’s baseline,</w:t>
      </w:r>
      <w:r w:rsidR="009F551C">
        <w:t xml:space="preserve"> as shown in the table below.</w:t>
      </w:r>
    </w:p>
    <w:tbl>
      <w:tblPr>
        <w:tblW w:w="9158" w:type="dxa"/>
        <w:tblLook w:val="04A0" w:firstRow="1" w:lastRow="0" w:firstColumn="1" w:lastColumn="0" w:noHBand="0" w:noVBand="1"/>
      </w:tblPr>
      <w:tblGrid>
        <w:gridCol w:w="7116"/>
        <w:gridCol w:w="955"/>
        <w:gridCol w:w="1087"/>
      </w:tblGrid>
      <w:tr w:rsidR="009F551C" w:rsidRPr="00281AF6" w14:paraId="5E6D4ABB" w14:textId="77777777" w:rsidTr="25447658">
        <w:trPr>
          <w:trHeight w:val="136"/>
          <w:tblHeader/>
        </w:trPr>
        <w:tc>
          <w:tcPr>
            <w:tcW w:w="7116" w:type="dxa"/>
            <w:vMerge w:val="restart"/>
            <w:tcBorders>
              <w:top w:val="single" w:sz="4" w:space="0" w:color="auto"/>
              <w:left w:val="single" w:sz="4" w:space="0" w:color="auto"/>
              <w:right w:val="single" w:sz="4" w:space="0" w:color="auto"/>
            </w:tcBorders>
            <w:shd w:val="clear" w:color="auto" w:fill="000000" w:themeFill="text1"/>
            <w:noWrap/>
            <w:tcMar>
              <w:left w:w="28" w:type="dxa"/>
              <w:right w:w="57" w:type="dxa"/>
            </w:tcMar>
            <w:vAlign w:val="center"/>
          </w:tcPr>
          <w:p w14:paraId="630AC846" w14:textId="5E6DBBFF" w:rsidR="009F551C" w:rsidRPr="00E93479" w:rsidRDefault="009F551C" w:rsidP="00E93479">
            <w:pPr>
              <w:jc w:val="center"/>
              <w:rPr>
                <w:rFonts w:asciiTheme="minorHAnsi" w:hAnsiTheme="minorHAnsi" w:cstheme="minorHAnsi"/>
                <w:b/>
                <w:bCs/>
                <w:color w:val="FFFFFF"/>
                <w:sz w:val="18"/>
                <w:szCs w:val="18"/>
              </w:rPr>
            </w:pPr>
            <w:r w:rsidRPr="00E93479">
              <w:rPr>
                <w:rFonts w:asciiTheme="minorHAnsi" w:hAnsiTheme="minorHAnsi" w:cstheme="minorHAnsi"/>
                <w:b/>
                <w:bCs/>
                <w:color w:val="FFFFFF"/>
                <w:sz w:val="18"/>
                <w:szCs w:val="18"/>
              </w:rPr>
              <w:t>Baseline Project / Program / Initiative</w:t>
            </w:r>
          </w:p>
        </w:tc>
        <w:tc>
          <w:tcPr>
            <w:tcW w:w="2042"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Mar>
              <w:left w:w="28" w:type="dxa"/>
              <w:right w:w="57" w:type="dxa"/>
            </w:tcMar>
          </w:tcPr>
          <w:p w14:paraId="2FB218C7" w14:textId="77777777" w:rsidR="009F551C" w:rsidRPr="00E93479" w:rsidRDefault="009F551C" w:rsidP="00E40817">
            <w:pPr>
              <w:jc w:val="center"/>
              <w:rPr>
                <w:rFonts w:asciiTheme="minorHAnsi" w:hAnsiTheme="minorHAnsi" w:cstheme="minorHAnsi"/>
                <w:color w:val="000000"/>
                <w:sz w:val="18"/>
                <w:szCs w:val="18"/>
              </w:rPr>
            </w:pPr>
            <w:r w:rsidRPr="00E93479">
              <w:rPr>
                <w:rFonts w:asciiTheme="minorHAnsi" w:hAnsiTheme="minorHAnsi" w:cstheme="minorHAnsi"/>
                <w:color w:val="000000"/>
                <w:sz w:val="18"/>
                <w:szCs w:val="18"/>
              </w:rPr>
              <w:t>Component 3</w:t>
            </w:r>
          </w:p>
        </w:tc>
      </w:tr>
      <w:tr w:rsidR="009F551C" w:rsidRPr="00281AF6" w14:paraId="392F8A5E" w14:textId="77777777" w:rsidTr="25447658">
        <w:trPr>
          <w:trHeight w:val="136"/>
          <w:tblHeader/>
        </w:trPr>
        <w:tc>
          <w:tcPr>
            <w:tcW w:w="7116" w:type="dxa"/>
            <w:vMerge/>
            <w:noWrap/>
            <w:tcMar>
              <w:left w:w="28" w:type="dxa"/>
              <w:right w:w="57" w:type="dxa"/>
            </w:tcMar>
          </w:tcPr>
          <w:p w14:paraId="21D8C9DE" w14:textId="77777777" w:rsidR="009F551C" w:rsidRPr="00E93479" w:rsidRDefault="009F551C" w:rsidP="00E40817">
            <w:pPr>
              <w:rPr>
                <w:rFonts w:asciiTheme="minorHAnsi" w:hAnsiTheme="minorHAnsi" w:cstheme="minorHAnsi"/>
                <w:b/>
                <w:bCs/>
                <w:color w:val="FFFFFF"/>
                <w:sz w:val="18"/>
                <w:szCs w:val="18"/>
              </w:rPr>
            </w:pPr>
          </w:p>
        </w:tc>
        <w:tc>
          <w:tcPr>
            <w:tcW w:w="955" w:type="dxa"/>
            <w:tcBorders>
              <w:top w:val="single" w:sz="4" w:space="0" w:color="auto"/>
              <w:left w:val="single" w:sz="4" w:space="0" w:color="auto"/>
              <w:bottom w:val="single" w:sz="4" w:space="0" w:color="auto"/>
              <w:right w:val="single" w:sz="4" w:space="0" w:color="auto"/>
            </w:tcBorders>
            <w:shd w:val="clear" w:color="auto" w:fill="D9D9D9" w:themeFill="background1" w:themeFillShade="D9"/>
            <w:tcMar>
              <w:left w:w="28" w:type="dxa"/>
              <w:right w:w="57" w:type="dxa"/>
            </w:tcMar>
          </w:tcPr>
          <w:p w14:paraId="14C50CA3" w14:textId="1F9E9B03" w:rsidR="009F551C" w:rsidRPr="00E93479" w:rsidRDefault="009F551C" w:rsidP="00E40817">
            <w:pPr>
              <w:jc w:val="center"/>
              <w:rPr>
                <w:rFonts w:asciiTheme="minorHAnsi" w:hAnsiTheme="minorHAnsi" w:cstheme="minorHAnsi"/>
                <w:sz w:val="18"/>
                <w:szCs w:val="18"/>
              </w:rPr>
            </w:pPr>
            <w:r w:rsidRPr="00E93479">
              <w:rPr>
                <w:rFonts w:asciiTheme="minorHAnsi" w:hAnsiTheme="minorHAnsi" w:cstheme="minorHAnsi"/>
                <w:sz w:val="18"/>
                <w:szCs w:val="18"/>
              </w:rPr>
              <w:t>B</w:t>
            </w:r>
            <w:r w:rsidR="00E93479">
              <w:rPr>
                <w:rFonts w:asciiTheme="minorHAnsi" w:hAnsiTheme="minorHAnsi" w:cstheme="minorHAnsi"/>
                <w:sz w:val="18"/>
                <w:szCs w:val="18"/>
              </w:rPr>
              <w:t>aseline</w:t>
            </w:r>
          </w:p>
        </w:tc>
        <w:tc>
          <w:tcPr>
            <w:tcW w:w="1087" w:type="dxa"/>
            <w:tcBorders>
              <w:top w:val="single" w:sz="4" w:space="0" w:color="auto"/>
              <w:left w:val="nil"/>
              <w:bottom w:val="single" w:sz="4" w:space="0" w:color="auto"/>
              <w:right w:val="single" w:sz="4" w:space="0" w:color="auto"/>
            </w:tcBorders>
            <w:shd w:val="clear" w:color="auto" w:fill="D9E2F3" w:themeFill="accent5" w:themeFillTint="33"/>
            <w:tcMar>
              <w:left w:w="28" w:type="dxa"/>
              <w:right w:w="57" w:type="dxa"/>
            </w:tcMar>
          </w:tcPr>
          <w:p w14:paraId="66828B86" w14:textId="1CE655DA" w:rsidR="009F551C" w:rsidRPr="00E93479" w:rsidRDefault="009F551C" w:rsidP="00E40817">
            <w:pPr>
              <w:jc w:val="center"/>
              <w:rPr>
                <w:rFonts w:asciiTheme="minorHAnsi" w:hAnsiTheme="minorHAnsi" w:cstheme="minorBidi"/>
                <w:color w:val="000000"/>
                <w:sz w:val="18"/>
                <w:szCs w:val="18"/>
              </w:rPr>
            </w:pPr>
            <w:r w:rsidRPr="0D74D851">
              <w:rPr>
                <w:rFonts w:asciiTheme="minorHAnsi" w:hAnsiTheme="minorHAnsi" w:cstheme="minorBidi"/>
                <w:color w:val="000000" w:themeColor="text1"/>
                <w:sz w:val="18"/>
                <w:szCs w:val="18"/>
              </w:rPr>
              <w:t>Co-financing</w:t>
            </w:r>
          </w:p>
        </w:tc>
      </w:tr>
      <w:tr w:rsidR="009F551C" w:rsidRPr="00545C04" w14:paraId="4826E016" w14:textId="77777777" w:rsidTr="25447658">
        <w:trPr>
          <w:trHeight w:val="56"/>
        </w:trPr>
        <w:tc>
          <w:tcPr>
            <w:tcW w:w="7116" w:type="dxa"/>
            <w:tcBorders>
              <w:top w:val="nil"/>
              <w:left w:val="single" w:sz="4" w:space="0" w:color="auto"/>
              <w:bottom w:val="single" w:sz="4" w:space="0" w:color="auto"/>
              <w:right w:val="single" w:sz="4" w:space="0" w:color="auto"/>
            </w:tcBorders>
            <w:shd w:val="clear" w:color="auto" w:fill="auto"/>
            <w:noWrap/>
            <w:tcMar>
              <w:left w:w="28" w:type="dxa"/>
              <w:right w:w="57" w:type="dxa"/>
            </w:tcMar>
          </w:tcPr>
          <w:p w14:paraId="6FDC0732" w14:textId="7AEF2B38" w:rsidR="009F551C" w:rsidRPr="00E93479" w:rsidRDefault="009F551C" w:rsidP="00E40817">
            <w:pPr>
              <w:rPr>
                <w:rFonts w:asciiTheme="minorHAnsi" w:hAnsiTheme="minorHAnsi" w:cstheme="minorHAnsi"/>
                <w:color w:val="000000"/>
                <w:sz w:val="18"/>
                <w:szCs w:val="18"/>
              </w:rPr>
            </w:pPr>
            <w:r w:rsidRPr="00E93479">
              <w:rPr>
                <w:rFonts w:asciiTheme="minorHAnsi" w:hAnsiTheme="minorHAnsi" w:cstheme="minorHAnsi"/>
                <w:color w:val="000000" w:themeColor="text1"/>
                <w:sz w:val="18"/>
                <w:szCs w:val="18"/>
              </w:rPr>
              <w:t>M</w:t>
            </w:r>
            <w:r w:rsidR="3CD8CC5A" w:rsidRPr="00E93479">
              <w:rPr>
                <w:rFonts w:asciiTheme="minorHAnsi" w:hAnsiTheme="minorHAnsi" w:cstheme="minorHAnsi"/>
                <w:color w:val="000000" w:themeColor="text1"/>
                <w:sz w:val="18"/>
                <w:szCs w:val="18"/>
              </w:rPr>
              <w:t>CTA</w:t>
            </w:r>
            <w:r w:rsidRPr="00E93479">
              <w:rPr>
                <w:rFonts w:asciiTheme="minorHAnsi" w:hAnsiTheme="minorHAnsi" w:cstheme="minorHAnsi"/>
                <w:color w:val="000000" w:themeColor="text1"/>
                <w:sz w:val="18"/>
                <w:szCs w:val="18"/>
              </w:rPr>
              <w:t xml:space="preserve"> (</w:t>
            </w:r>
            <w:r w:rsidR="246E1B90" w:rsidRPr="00E93479">
              <w:rPr>
                <w:rFonts w:asciiTheme="minorHAnsi" w:hAnsiTheme="minorHAnsi" w:cstheme="minorHAnsi"/>
                <w:color w:val="000000" w:themeColor="text1"/>
                <w:sz w:val="18"/>
                <w:szCs w:val="18"/>
              </w:rPr>
              <w:t>DNAAC</w:t>
            </w:r>
            <w:r w:rsidRPr="00E93479">
              <w:rPr>
                <w:rFonts w:asciiTheme="minorHAnsi" w:hAnsiTheme="minorHAnsi" w:cstheme="minorHAnsi"/>
                <w:color w:val="000000" w:themeColor="text1"/>
                <w:sz w:val="18"/>
                <w:szCs w:val="18"/>
              </w:rPr>
              <w:t>) PND # 2.4.1: Climate Change</w:t>
            </w:r>
          </w:p>
        </w:tc>
        <w:tc>
          <w:tcPr>
            <w:tcW w:w="955" w:type="dxa"/>
            <w:tcBorders>
              <w:top w:val="nil"/>
              <w:left w:val="nil"/>
              <w:bottom w:val="single" w:sz="4" w:space="0" w:color="auto"/>
              <w:right w:val="single" w:sz="4" w:space="0" w:color="auto"/>
            </w:tcBorders>
            <w:shd w:val="clear" w:color="auto" w:fill="auto"/>
            <w:noWrap/>
            <w:tcMar>
              <w:left w:w="28" w:type="dxa"/>
              <w:right w:w="57" w:type="dxa"/>
            </w:tcMar>
          </w:tcPr>
          <w:p w14:paraId="670CFB34" w14:textId="5DB362F1" w:rsidR="009F551C" w:rsidRPr="00E93479" w:rsidRDefault="009F551C" w:rsidP="00E40817">
            <w:pPr>
              <w:jc w:val="center"/>
              <w:rPr>
                <w:rFonts w:asciiTheme="minorHAnsi" w:hAnsiTheme="minorHAnsi" w:cstheme="minorHAnsi"/>
                <w:sz w:val="18"/>
                <w:szCs w:val="18"/>
              </w:rPr>
            </w:pPr>
            <w:r w:rsidRPr="00E93479">
              <w:rPr>
                <w:rFonts w:asciiTheme="minorHAnsi" w:hAnsiTheme="minorHAnsi" w:cstheme="minorHAnsi"/>
                <w:sz w:val="18"/>
                <w:szCs w:val="18"/>
              </w:rPr>
              <w:t>$</w:t>
            </w:r>
            <w:r w:rsidR="00A24514" w:rsidRPr="00E93479">
              <w:rPr>
                <w:rFonts w:asciiTheme="minorHAnsi" w:hAnsiTheme="minorHAnsi" w:cstheme="minorHAnsi"/>
                <w:sz w:val="18"/>
                <w:szCs w:val="18"/>
              </w:rPr>
              <w:t>12.2</w:t>
            </w:r>
          </w:p>
        </w:tc>
        <w:tc>
          <w:tcPr>
            <w:tcW w:w="1087" w:type="dxa"/>
            <w:tcBorders>
              <w:top w:val="nil"/>
              <w:left w:val="nil"/>
              <w:bottom w:val="single" w:sz="4" w:space="0" w:color="auto"/>
              <w:right w:val="single" w:sz="4" w:space="0" w:color="auto"/>
            </w:tcBorders>
            <w:shd w:val="clear" w:color="auto" w:fill="FFFFFF" w:themeFill="background1"/>
            <w:noWrap/>
            <w:tcMar>
              <w:left w:w="28" w:type="dxa"/>
              <w:right w:w="57" w:type="dxa"/>
            </w:tcMar>
          </w:tcPr>
          <w:p w14:paraId="780DE569" w14:textId="6AAA6CBE" w:rsidR="009F551C" w:rsidRPr="00E93479" w:rsidRDefault="009F551C" w:rsidP="00E40817">
            <w:pPr>
              <w:jc w:val="center"/>
              <w:rPr>
                <w:rFonts w:asciiTheme="minorHAnsi" w:hAnsiTheme="minorHAnsi" w:cstheme="minorHAnsi"/>
                <w:sz w:val="18"/>
                <w:szCs w:val="18"/>
              </w:rPr>
            </w:pPr>
            <w:r w:rsidRPr="00E93479">
              <w:rPr>
                <w:rFonts w:asciiTheme="minorHAnsi" w:hAnsiTheme="minorHAnsi" w:cstheme="minorHAnsi"/>
                <w:sz w:val="18"/>
                <w:szCs w:val="18"/>
              </w:rPr>
              <w:t>$7.</w:t>
            </w:r>
            <w:r w:rsidR="78826360" w:rsidRPr="22A98B4B">
              <w:rPr>
                <w:rFonts w:asciiTheme="minorHAnsi" w:hAnsiTheme="minorHAnsi" w:cstheme="minorBidi"/>
                <w:sz w:val="18"/>
                <w:szCs w:val="18"/>
              </w:rPr>
              <w:t>1</w:t>
            </w:r>
            <w:r w:rsidR="40A8CAB0" w:rsidRPr="22A98B4B">
              <w:rPr>
                <w:rFonts w:asciiTheme="minorHAnsi" w:hAnsiTheme="minorHAnsi" w:cstheme="minorBidi"/>
                <w:sz w:val="18"/>
                <w:szCs w:val="18"/>
              </w:rPr>
              <w:t>236</w:t>
            </w:r>
          </w:p>
        </w:tc>
      </w:tr>
      <w:tr w:rsidR="009F551C" w:rsidRPr="00545C04" w14:paraId="529E9B73" w14:textId="77777777" w:rsidTr="25447658">
        <w:trPr>
          <w:trHeight w:val="233"/>
        </w:trPr>
        <w:tc>
          <w:tcPr>
            <w:tcW w:w="7116" w:type="dxa"/>
            <w:tcBorders>
              <w:top w:val="nil"/>
              <w:left w:val="single" w:sz="4" w:space="0" w:color="auto"/>
              <w:bottom w:val="single" w:sz="4" w:space="0" w:color="auto"/>
              <w:right w:val="single" w:sz="4" w:space="0" w:color="auto"/>
            </w:tcBorders>
            <w:shd w:val="clear" w:color="auto" w:fill="FFFFFF" w:themeFill="background1"/>
            <w:noWrap/>
            <w:tcMar>
              <w:left w:w="28" w:type="dxa"/>
              <w:right w:w="57" w:type="dxa"/>
            </w:tcMar>
          </w:tcPr>
          <w:p w14:paraId="166F780C" w14:textId="20DAA179" w:rsidR="009F551C" w:rsidRPr="00E93479" w:rsidRDefault="00281AF6" w:rsidP="00E40817">
            <w:pPr>
              <w:rPr>
                <w:rFonts w:asciiTheme="minorHAnsi" w:hAnsiTheme="minorHAnsi" w:cstheme="minorHAnsi"/>
                <w:color w:val="000000"/>
                <w:sz w:val="18"/>
                <w:szCs w:val="18"/>
              </w:rPr>
            </w:pPr>
            <w:r w:rsidRPr="00E93479">
              <w:rPr>
                <w:rFonts w:asciiTheme="minorHAnsi" w:hAnsiTheme="minorHAnsi" w:cstheme="minorHAnsi"/>
                <w:color w:val="000000" w:themeColor="text1"/>
                <w:sz w:val="18"/>
                <w:szCs w:val="18"/>
              </w:rPr>
              <w:t>AFDB Agricultural Value Chains – Support to Sustainable. Development. &amp; Growth</w:t>
            </w:r>
          </w:p>
        </w:tc>
        <w:tc>
          <w:tcPr>
            <w:tcW w:w="955" w:type="dxa"/>
            <w:tcBorders>
              <w:top w:val="nil"/>
              <w:left w:val="nil"/>
              <w:bottom w:val="single" w:sz="4" w:space="0" w:color="auto"/>
              <w:right w:val="single" w:sz="4" w:space="0" w:color="auto"/>
            </w:tcBorders>
            <w:shd w:val="clear" w:color="auto" w:fill="auto"/>
            <w:noWrap/>
            <w:tcMar>
              <w:left w:w="28" w:type="dxa"/>
              <w:right w:w="57" w:type="dxa"/>
            </w:tcMar>
          </w:tcPr>
          <w:p w14:paraId="4D5D25D9" w14:textId="5F5F9C5F" w:rsidR="009F551C" w:rsidRPr="00E93479" w:rsidRDefault="009F551C" w:rsidP="00E40817">
            <w:pPr>
              <w:jc w:val="center"/>
              <w:rPr>
                <w:rFonts w:asciiTheme="minorHAnsi" w:hAnsiTheme="minorHAnsi" w:cstheme="minorHAnsi"/>
                <w:sz w:val="18"/>
                <w:szCs w:val="18"/>
              </w:rPr>
            </w:pPr>
            <w:r w:rsidRPr="00E93479">
              <w:rPr>
                <w:rFonts w:asciiTheme="minorHAnsi" w:hAnsiTheme="minorHAnsi" w:cstheme="minorHAnsi"/>
                <w:sz w:val="18"/>
                <w:szCs w:val="18"/>
              </w:rPr>
              <w:t>$</w:t>
            </w:r>
            <w:r w:rsidR="00281AF6" w:rsidRPr="00E93479">
              <w:rPr>
                <w:rFonts w:asciiTheme="minorHAnsi" w:hAnsiTheme="minorHAnsi" w:cstheme="minorHAnsi"/>
                <w:sz w:val="18"/>
                <w:szCs w:val="18"/>
              </w:rPr>
              <w:t>4</w:t>
            </w:r>
            <w:r w:rsidRPr="00E93479">
              <w:rPr>
                <w:rFonts w:asciiTheme="minorHAnsi" w:hAnsiTheme="minorHAnsi" w:cstheme="minorHAnsi"/>
                <w:sz w:val="18"/>
                <w:szCs w:val="18"/>
              </w:rPr>
              <w:t>.0</w:t>
            </w:r>
          </w:p>
        </w:tc>
        <w:tc>
          <w:tcPr>
            <w:tcW w:w="1087" w:type="dxa"/>
            <w:tcBorders>
              <w:top w:val="nil"/>
              <w:left w:val="nil"/>
              <w:bottom w:val="single" w:sz="4" w:space="0" w:color="auto"/>
              <w:right w:val="single" w:sz="4" w:space="0" w:color="auto"/>
            </w:tcBorders>
            <w:shd w:val="clear" w:color="auto" w:fill="FFFFFF" w:themeFill="background1"/>
            <w:noWrap/>
            <w:tcMar>
              <w:left w:w="28" w:type="dxa"/>
              <w:right w:w="57" w:type="dxa"/>
            </w:tcMar>
          </w:tcPr>
          <w:p w14:paraId="0981C63C" w14:textId="77777777" w:rsidR="009F551C" w:rsidRPr="00E93479" w:rsidRDefault="009F551C" w:rsidP="00E40817">
            <w:pPr>
              <w:jc w:val="center"/>
              <w:rPr>
                <w:rFonts w:asciiTheme="minorHAnsi" w:hAnsiTheme="minorHAnsi" w:cstheme="minorHAnsi"/>
                <w:sz w:val="18"/>
                <w:szCs w:val="18"/>
              </w:rPr>
            </w:pPr>
            <w:r w:rsidRPr="00E93479">
              <w:rPr>
                <w:rFonts w:asciiTheme="minorHAnsi" w:hAnsiTheme="minorHAnsi" w:cstheme="minorHAnsi"/>
                <w:sz w:val="18"/>
                <w:szCs w:val="18"/>
              </w:rPr>
              <w:t>$0.0</w:t>
            </w:r>
          </w:p>
        </w:tc>
      </w:tr>
      <w:tr w:rsidR="009F551C" w:rsidRPr="00545C04" w14:paraId="2F9E9907" w14:textId="77777777" w:rsidTr="25447658">
        <w:trPr>
          <w:trHeight w:val="233"/>
        </w:trPr>
        <w:tc>
          <w:tcPr>
            <w:tcW w:w="7116" w:type="dxa"/>
            <w:tcBorders>
              <w:top w:val="nil"/>
              <w:left w:val="single" w:sz="4" w:space="0" w:color="auto"/>
              <w:bottom w:val="single" w:sz="4" w:space="0" w:color="auto"/>
              <w:right w:val="single" w:sz="4" w:space="0" w:color="auto"/>
            </w:tcBorders>
            <w:shd w:val="clear" w:color="auto" w:fill="FFFFFF" w:themeFill="background1"/>
            <w:noWrap/>
            <w:tcMar>
              <w:left w:w="28" w:type="dxa"/>
              <w:right w:w="57" w:type="dxa"/>
            </w:tcMar>
          </w:tcPr>
          <w:p w14:paraId="29BE78B3" w14:textId="69BB1D96" w:rsidR="009F551C" w:rsidRPr="00E93479" w:rsidRDefault="00281AF6" w:rsidP="00E40817">
            <w:pPr>
              <w:rPr>
                <w:rFonts w:asciiTheme="minorHAnsi" w:hAnsiTheme="minorHAnsi" w:cstheme="minorHAnsi"/>
                <w:color w:val="000000"/>
                <w:sz w:val="18"/>
                <w:szCs w:val="18"/>
              </w:rPr>
            </w:pPr>
            <w:r w:rsidRPr="00E93479">
              <w:rPr>
                <w:rFonts w:asciiTheme="minorHAnsi" w:hAnsiTheme="minorHAnsi" w:cstheme="minorHAnsi"/>
                <w:color w:val="000000" w:themeColor="text1"/>
                <w:sz w:val="18"/>
                <w:szCs w:val="18"/>
              </w:rPr>
              <w:t>FAO</w:t>
            </w:r>
          </w:p>
        </w:tc>
        <w:tc>
          <w:tcPr>
            <w:tcW w:w="955" w:type="dxa"/>
            <w:tcBorders>
              <w:top w:val="nil"/>
              <w:left w:val="nil"/>
              <w:bottom w:val="single" w:sz="4" w:space="0" w:color="auto"/>
              <w:right w:val="single" w:sz="4" w:space="0" w:color="auto"/>
            </w:tcBorders>
            <w:shd w:val="clear" w:color="auto" w:fill="auto"/>
            <w:noWrap/>
            <w:tcMar>
              <w:left w:w="28" w:type="dxa"/>
              <w:right w:w="57" w:type="dxa"/>
            </w:tcMar>
          </w:tcPr>
          <w:p w14:paraId="0B29306A" w14:textId="2E36DF06" w:rsidR="009F551C" w:rsidRPr="00E93479" w:rsidRDefault="009F551C" w:rsidP="00E40817">
            <w:pPr>
              <w:jc w:val="center"/>
              <w:rPr>
                <w:rFonts w:asciiTheme="minorHAnsi" w:hAnsiTheme="minorHAnsi" w:cstheme="minorHAnsi"/>
                <w:sz w:val="18"/>
                <w:szCs w:val="18"/>
              </w:rPr>
            </w:pPr>
            <w:r w:rsidRPr="00E93479">
              <w:rPr>
                <w:rFonts w:asciiTheme="minorHAnsi" w:hAnsiTheme="minorHAnsi" w:cstheme="minorHAnsi"/>
                <w:sz w:val="18"/>
                <w:szCs w:val="18"/>
              </w:rPr>
              <w:t>$0.</w:t>
            </w:r>
            <w:r w:rsidR="00281AF6" w:rsidRPr="00E93479">
              <w:rPr>
                <w:rFonts w:asciiTheme="minorHAnsi" w:hAnsiTheme="minorHAnsi" w:cstheme="minorHAnsi"/>
                <w:sz w:val="18"/>
                <w:szCs w:val="18"/>
              </w:rPr>
              <w:t>35</w:t>
            </w:r>
          </w:p>
        </w:tc>
        <w:tc>
          <w:tcPr>
            <w:tcW w:w="1087" w:type="dxa"/>
            <w:tcBorders>
              <w:top w:val="nil"/>
              <w:left w:val="nil"/>
              <w:bottom w:val="single" w:sz="4" w:space="0" w:color="auto"/>
              <w:right w:val="single" w:sz="4" w:space="0" w:color="auto"/>
            </w:tcBorders>
            <w:shd w:val="clear" w:color="auto" w:fill="FFFFFF" w:themeFill="background1"/>
            <w:noWrap/>
            <w:tcMar>
              <w:left w:w="28" w:type="dxa"/>
              <w:right w:w="57" w:type="dxa"/>
            </w:tcMar>
          </w:tcPr>
          <w:p w14:paraId="46330DA0" w14:textId="6B472689" w:rsidR="009F551C" w:rsidRPr="00E93479" w:rsidRDefault="009F551C" w:rsidP="00E40817">
            <w:pPr>
              <w:jc w:val="center"/>
              <w:rPr>
                <w:rFonts w:asciiTheme="minorHAnsi" w:hAnsiTheme="minorHAnsi" w:cstheme="minorHAnsi"/>
                <w:sz w:val="18"/>
                <w:szCs w:val="18"/>
              </w:rPr>
            </w:pPr>
            <w:r w:rsidRPr="00E93479">
              <w:rPr>
                <w:rFonts w:asciiTheme="minorHAnsi" w:hAnsiTheme="minorHAnsi" w:cstheme="minorHAnsi"/>
                <w:sz w:val="18"/>
                <w:szCs w:val="18"/>
              </w:rPr>
              <w:t>$0.</w:t>
            </w:r>
            <w:r w:rsidR="00281AF6" w:rsidRPr="22A98B4B">
              <w:rPr>
                <w:rFonts w:asciiTheme="minorHAnsi" w:hAnsiTheme="minorHAnsi" w:cstheme="minorBidi"/>
                <w:sz w:val="18"/>
                <w:szCs w:val="18"/>
              </w:rPr>
              <w:t>0</w:t>
            </w:r>
            <w:r w:rsidR="3DF30FE9" w:rsidRPr="22A98B4B">
              <w:rPr>
                <w:rFonts w:asciiTheme="minorHAnsi" w:hAnsiTheme="minorHAnsi" w:cstheme="minorBidi"/>
                <w:sz w:val="18"/>
                <w:szCs w:val="18"/>
              </w:rPr>
              <w:t>25</w:t>
            </w:r>
          </w:p>
        </w:tc>
      </w:tr>
      <w:tr w:rsidR="009F551C" w:rsidRPr="00545C04" w14:paraId="69BF98DE" w14:textId="77777777" w:rsidTr="25447658">
        <w:trPr>
          <w:trHeight w:val="233"/>
        </w:trPr>
        <w:tc>
          <w:tcPr>
            <w:tcW w:w="7116" w:type="dxa"/>
            <w:tcBorders>
              <w:top w:val="nil"/>
              <w:left w:val="single" w:sz="4" w:space="0" w:color="auto"/>
              <w:bottom w:val="single" w:sz="4" w:space="0" w:color="auto"/>
              <w:right w:val="single" w:sz="4" w:space="0" w:color="auto"/>
            </w:tcBorders>
            <w:shd w:val="clear" w:color="auto" w:fill="000000" w:themeFill="text1"/>
            <w:noWrap/>
            <w:tcMar>
              <w:left w:w="28" w:type="dxa"/>
              <w:right w:w="57" w:type="dxa"/>
            </w:tcMar>
          </w:tcPr>
          <w:p w14:paraId="23D5B562" w14:textId="77777777" w:rsidR="009F551C" w:rsidRPr="00E93479" w:rsidRDefault="009F551C" w:rsidP="00E40817">
            <w:pPr>
              <w:jc w:val="right"/>
              <w:rPr>
                <w:rFonts w:asciiTheme="minorHAnsi" w:hAnsiTheme="minorHAnsi" w:cstheme="minorHAnsi"/>
                <w:b/>
                <w:bCs/>
                <w:color w:val="FFFFFF"/>
                <w:sz w:val="18"/>
                <w:szCs w:val="18"/>
              </w:rPr>
            </w:pPr>
            <w:r w:rsidRPr="00E93479">
              <w:rPr>
                <w:rFonts w:asciiTheme="minorHAnsi" w:hAnsiTheme="minorHAnsi" w:cstheme="minorHAnsi"/>
                <w:b/>
                <w:bCs/>
                <w:color w:val="FFFFFF"/>
                <w:sz w:val="18"/>
                <w:szCs w:val="18"/>
              </w:rPr>
              <w:t>Totals US $ million)</w:t>
            </w:r>
          </w:p>
        </w:tc>
        <w:tc>
          <w:tcPr>
            <w:tcW w:w="955" w:type="dxa"/>
            <w:tcBorders>
              <w:top w:val="nil"/>
              <w:left w:val="nil"/>
              <w:bottom w:val="single" w:sz="4" w:space="0" w:color="auto"/>
              <w:right w:val="single" w:sz="4" w:space="0" w:color="auto"/>
            </w:tcBorders>
            <w:shd w:val="clear" w:color="auto" w:fill="FFFFFF" w:themeFill="background1"/>
            <w:noWrap/>
            <w:tcMar>
              <w:left w:w="28" w:type="dxa"/>
              <w:right w:w="57" w:type="dxa"/>
            </w:tcMar>
          </w:tcPr>
          <w:p w14:paraId="589C39CE" w14:textId="2D1B489F" w:rsidR="009F551C" w:rsidRPr="00E93479" w:rsidRDefault="009F551C" w:rsidP="00E40817">
            <w:pPr>
              <w:jc w:val="center"/>
              <w:rPr>
                <w:rFonts w:asciiTheme="minorHAnsi" w:hAnsiTheme="minorHAnsi" w:cstheme="minorHAnsi"/>
                <w:b/>
                <w:bCs/>
                <w:sz w:val="18"/>
                <w:szCs w:val="18"/>
              </w:rPr>
            </w:pPr>
            <w:r w:rsidRPr="00E93479">
              <w:rPr>
                <w:rFonts w:asciiTheme="minorHAnsi" w:hAnsiTheme="minorHAnsi" w:cstheme="minorHAnsi"/>
                <w:b/>
                <w:bCs/>
                <w:sz w:val="18"/>
                <w:szCs w:val="18"/>
              </w:rPr>
              <w:t>$1</w:t>
            </w:r>
            <w:r w:rsidR="00281AF6" w:rsidRPr="00E93479">
              <w:rPr>
                <w:rFonts w:asciiTheme="minorHAnsi" w:hAnsiTheme="minorHAnsi" w:cstheme="minorHAnsi"/>
                <w:b/>
                <w:bCs/>
                <w:sz w:val="18"/>
                <w:szCs w:val="18"/>
              </w:rPr>
              <w:t>6</w:t>
            </w:r>
            <w:r w:rsidRPr="00E93479">
              <w:rPr>
                <w:rFonts w:asciiTheme="minorHAnsi" w:hAnsiTheme="minorHAnsi" w:cstheme="minorHAnsi"/>
                <w:b/>
                <w:bCs/>
                <w:sz w:val="18"/>
                <w:szCs w:val="18"/>
              </w:rPr>
              <w:t>.</w:t>
            </w:r>
            <w:r w:rsidR="00281AF6" w:rsidRPr="00E93479">
              <w:rPr>
                <w:rFonts w:asciiTheme="minorHAnsi" w:hAnsiTheme="minorHAnsi" w:cstheme="minorHAnsi"/>
                <w:b/>
                <w:bCs/>
                <w:sz w:val="18"/>
                <w:szCs w:val="18"/>
              </w:rPr>
              <w:t>5</w:t>
            </w:r>
          </w:p>
        </w:tc>
        <w:tc>
          <w:tcPr>
            <w:tcW w:w="1087" w:type="dxa"/>
            <w:tcBorders>
              <w:top w:val="nil"/>
              <w:left w:val="nil"/>
              <w:bottom w:val="single" w:sz="4" w:space="0" w:color="auto"/>
              <w:right w:val="single" w:sz="4" w:space="0" w:color="auto"/>
            </w:tcBorders>
            <w:shd w:val="clear" w:color="auto" w:fill="FFFFFF" w:themeFill="background1"/>
            <w:noWrap/>
            <w:tcMar>
              <w:left w:w="28" w:type="dxa"/>
              <w:right w:w="57" w:type="dxa"/>
            </w:tcMar>
          </w:tcPr>
          <w:p w14:paraId="7C627F6E" w14:textId="13F21A13" w:rsidR="009F551C" w:rsidRPr="00E93479" w:rsidRDefault="48D55F08" w:rsidP="25447658">
            <w:pPr>
              <w:jc w:val="center"/>
              <w:rPr>
                <w:rFonts w:asciiTheme="minorHAnsi" w:hAnsiTheme="minorHAnsi" w:cstheme="minorBidi"/>
                <w:b/>
                <w:bCs/>
                <w:sz w:val="18"/>
                <w:szCs w:val="18"/>
              </w:rPr>
            </w:pPr>
            <w:r w:rsidRPr="25447658">
              <w:rPr>
                <w:rFonts w:asciiTheme="minorHAnsi" w:hAnsiTheme="minorHAnsi" w:cstheme="minorBidi"/>
                <w:b/>
                <w:bCs/>
                <w:sz w:val="18"/>
                <w:szCs w:val="18"/>
              </w:rPr>
              <w:t>$</w:t>
            </w:r>
            <w:r w:rsidR="34E50A32" w:rsidRPr="25447658">
              <w:rPr>
                <w:rFonts w:asciiTheme="minorHAnsi" w:hAnsiTheme="minorHAnsi" w:cstheme="minorBidi"/>
                <w:b/>
                <w:bCs/>
                <w:sz w:val="18"/>
                <w:szCs w:val="18"/>
              </w:rPr>
              <w:t>7.</w:t>
            </w:r>
            <w:r w:rsidR="643C5E7B" w:rsidRPr="0AA1E2A0">
              <w:rPr>
                <w:rFonts w:asciiTheme="minorHAnsi" w:hAnsiTheme="minorHAnsi" w:cstheme="minorBidi"/>
                <w:b/>
                <w:bCs/>
                <w:sz w:val="18"/>
                <w:szCs w:val="18"/>
              </w:rPr>
              <w:t>1486</w:t>
            </w:r>
          </w:p>
        </w:tc>
      </w:tr>
    </w:tbl>
    <w:p w14:paraId="1800B856" w14:textId="12B3FFF2" w:rsidR="0006551A" w:rsidRDefault="0006551A" w:rsidP="0006551A">
      <w:pPr>
        <w:pStyle w:val="Default"/>
        <w:rPr>
          <w:rFonts w:ascii="Calibri" w:hAnsi="Calibri" w:cs="Calibri"/>
          <w:sz w:val="21"/>
          <w:szCs w:val="21"/>
        </w:rPr>
      </w:pPr>
    </w:p>
    <w:p w14:paraId="1E6EA82E" w14:textId="77777777" w:rsidR="00A24514" w:rsidRPr="002B3CB5" w:rsidRDefault="00A24514" w:rsidP="0006551A">
      <w:pPr>
        <w:pStyle w:val="Default"/>
        <w:rPr>
          <w:rFonts w:ascii="Calibri" w:hAnsi="Calibri" w:cs="Calibri"/>
          <w:sz w:val="21"/>
          <w:szCs w:val="21"/>
        </w:rPr>
      </w:pPr>
    </w:p>
    <w:tbl>
      <w:tblPr>
        <w:tblStyle w:val="TableGrid"/>
        <w:tblpPr w:leftFromText="180" w:rightFromText="180" w:vertAnchor="text" w:horzAnchor="margin" w:tblpXSpec="right" w:tblpY="70"/>
        <w:tblW w:w="0" w:type="auto"/>
        <w:tblLook w:val="04A0" w:firstRow="1" w:lastRow="0" w:firstColumn="1" w:lastColumn="0" w:noHBand="0" w:noVBand="1"/>
      </w:tblPr>
      <w:tblGrid>
        <w:gridCol w:w="1418"/>
        <w:gridCol w:w="7003"/>
      </w:tblGrid>
      <w:tr w:rsidR="0006551A" w:rsidRPr="0071113D" w14:paraId="6B0B4D3F" w14:textId="77777777" w:rsidTr="3B8109EE">
        <w:tc>
          <w:tcPr>
            <w:tcW w:w="1418" w:type="dxa"/>
            <w:tcBorders>
              <w:top w:val="nil"/>
              <w:left w:val="nil"/>
              <w:bottom w:val="nil"/>
            </w:tcBorders>
            <w:tcMar>
              <w:top w:w="57" w:type="dxa"/>
              <w:left w:w="57" w:type="dxa"/>
              <w:bottom w:w="57" w:type="dxa"/>
              <w:right w:w="57" w:type="dxa"/>
            </w:tcMar>
          </w:tcPr>
          <w:p w14:paraId="6EAC772F" w14:textId="74854CF4" w:rsidR="0006551A" w:rsidRPr="00C87774" w:rsidRDefault="0006551A" w:rsidP="00E40817">
            <w:pPr>
              <w:pStyle w:val="Heading5"/>
              <w:spacing w:before="0" w:after="0"/>
              <w:ind w:left="0"/>
              <w:outlineLvl w:val="4"/>
              <w:rPr>
                <w:rFonts w:cs="Calibri"/>
                <w:sz w:val="22"/>
                <w:szCs w:val="22"/>
                <w:lang w:val="en-GB"/>
              </w:rPr>
            </w:pPr>
            <w:r w:rsidRPr="00C87774">
              <w:rPr>
                <w:rFonts w:ascii="Calibri" w:hAnsi="Calibri" w:cs="Calibri"/>
                <w:sz w:val="22"/>
                <w:szCs w:val="22"/>
              </w:rPr>
              <w:t xml:space="preserve">Outcome </w:t>
            </w:r>
            <w:r>
              <w:rPr>
                <w:rFonts w:ascii="Calibri" w:hAnsi="Calibri" w:cs="Calibri"/>
                <w:sz w:val="22"/>
                <w:szCs w:val="22"/>
              </w:rPr>
              <w:t>3</w:t>
            </w:r>
            <w:r w:rsidRPr="00C87774">
              <w:rPr>
                <w:rFonts w:ascii="Calibri" w:hAnsi="Calibri" w:cs="Calibri"/>
                <w:sz w:val="22"/>
                <w:szCs w:val="22"/>
              </w:rPr>
              <w:t>.</w:t>
            </w:r>
            <w:r>
              <w:rPr>
                <w:rFonts w:ascii="Calibri" w:hAnsi="Calibri" w:cs="Calibri"/>
                <w:sz w:val="22"/>
                <w:szCs w:val="22"/>
              </w:rPr>
              <w:t>1</w:t>
            </w:r>
          </w:p>
        </w:tc>
        <w:tc>
          <w:tcPr>
            <w:tcW w:w="7003" w:type="dxa"/>
            <w:tcMar>
              <w:top w:w="57" w:type="dxa"/>
              <w:left w:w="57" w:type="dxa"/>
              <w:bottom w:w="57" w:type="dxa"/>
              <w:right w:w="57" w:type="dxa"/>
            </w:tcMar>
          </w:tcPr>
          <w:p w14:paraId="69653767" w14:textId="467E6D11" w:rsidR="0006551A" w:rsidRPr="0006551A" w:rsidRDefault="6262375C" w:rsidP="00E40817">
            <w:pPr>
              <w:pStyle w:val="Heading5"/>
              <w:spacing w:before="0" w:after="0"/>
              <w:ind w:left="0"/>
              <w:outlineLvl w:val="4"/>
              <w:rPr>
                <w:rFonts w:ascii="Calibri" w:hAnsi="Calibri" w:cs="Calibri"/>
                <w:sz w:val="22"/>
                <w:szCs w:val="22"/>
                <w:lang w:val="en-GB"/>
              </w:rPr>
            </w:pPr>
            <w:r w:rsidRPr="3B8109EE">
              <w:rPr>
                <w:rFonts w:ascii="Calibri" w:hAnsi="Calibri"/>
                <w:color w:val="444444"/>
                <w:sz w:val="22"/>
                <w:szCs w:val="22"/>
              </w:rPr>
              <w:t>National land information framework strengthened to inform LDN-related policy, planning</w:t>
            </w:r>
            <w:r w:rsidR="08F8D69B" w:rsidRPr="3B8109EE">
              <w:rPr>
                <w:rFonts w:ascii="Calibri" w:hAnsi="Calibri"/>
                <w:color w:val="444444"/>
                <w:sz w:val="22"/>
                <w:szCs w:val="22"/>
              </w:rPr>
              <w:t xml:space="preserve"> and</w:t>
            </w:r>
            <w:r w:rsidRPr="3B8109EE">
              <w:rPr>
                <w:rFonts w:ascii="Calibri" w:hAnsi="Calibri"/>
                <w:color w:val="444444"/>
                <w:sz w:val="22"/>
                <w:szCs w:val="22"/>
              </w:rPr>
              <w:t xml:space="preserve"> management  at </w:t>
            </w:r>
            <w:r w:rsidR="43BF12C9" w:rsidRPr="3B8109EE">
              <w:rPr>
                <w:rFonts w:ascii="Calibri" w:hAnsi="Calibri"/>
                <w:color w:val="444444"/>
                <w:sz w:val="22"/>
                <w:szCs w:val="22"/>
              </w:rPr>
              <w:t xml:space="preserve">landscape, </w:t>
            </w:r>
            <w:r w:rsidRPr="3B8109EE">
              <w:rPr>
                <w:rFonts w:ascii="Calibri" w:hAnsi="Calibri"/>
                <w:color w:val="444444"/>
                <w:sz w:val="22"/>
                <w:szCs w:val="22"/>
              </w:rPr>
              <w:t>national and global levels</w:t>
            </w:r>
          </w:p>
        </w:tc>
      </w:tr>
    </w:tbl>
    <w:p w14:paraId="1B5181BA" w14:textId="77777777" w:rsidR="0006551A" w:rsidRPr="00593046" w:rsidRDefault="0006551A" w:rsidP="0006551A">
      <w:pPr>
        <w:spacing w:after="160"/>
      </w:pPr>
    </w:p>
    <w:p w14:paraId="1E231F58" w14:textId="0C69847F" w:rsidR="004B3F45" w:rsidRPr="00237303" w:rsidRDefault="004B3F45" w:rsidP="001667C6">
      <w:pPr>
        <w:pStyle w:val="ParagraphOED"/>
        <w:numPr>
          <w:ilvl w:val="0"/>
          <w:numId w:val="102"/>
        </w:numPr>
        <w:spacing w:after="160"/>
        <w:rPr>
          <w:sz w:val="22"/>
          <w:szCs w:val="22"/>
        </w:rPr>
      </w:pPr>
      <w:r>
        <w:t xml:space="preserve">The project seeks to strengthen land information monitoring and reporting systems and tools, and management of the data collected within the </w:t>
      </w:r>
      <w:r w:rsidR="00533B65">
        <w:t xml:space="preserve">to be created </w:t>
      </w:r>
      <w:r>
        <w:t>national LDN knowledge platform, to support assessing progress towards LDN targets</w:t>
      </w:r>
      <w:r w:rsidR="39CCCF88">
        <w:t>.</w:t>
      </w:r>
      <w:r>
        <w:t xml:space="preserve"> </w:t>
      </w:r>
      <w:r w:rsidR="381E21C6" w:rsidRPr="1E65A5F7">
        <w:rPr>
          <w:sz w:val="22"/>
          <w:szCs w:val="22"/>
        </w:rPr>
        <w:t xml:space="preserve">The LDN platform will support application of the LDN hierarchy, including tracking land use decisions with respect to maintaining (or exceeding) LDN, and where necessary helping to counterbalance LDN anticipated losses with planned gains elsewhere.  </w:t>
      </w:r>
      <w:r w:rsidR="144DB6DB">
        <w:t xml:space="preserve"> </w:t>
      </w:r>
    </w:p>
    <w:p w14:paraId="1420654F" w14:textId="12DC360D" w:rsidR="004B3F45" w:rsidRDefault="004B3F45" w:rsidP="001667C6">
      <w:pPr>
        <w:pStyle w:val="ParagraphOED"/>
        <w:numPr>
          <w:ilvl w:val="0"/>
          <w:numId w:val="102"/>
        </w:numPr>
        <w:spacing w:after="160"/>
      </w:pPr>
      <w:r>
        <w:t>The project will support the development of a comprehensive monitoring and assessment system and define a process for regular monitoring of land use/land degradation and biodiversity in the target sub-basins, feeding into national reporting requirements on LDN achievements and targets, building on existing monitoring processes (e.g. for the agricultural, forestry and pastoral aspects). This will also help foster greater cross-institutional collaboration on addressing land degradation and integrated land-use planning and management.</w:t>
      </w:r>
      <w:r w:rsidR="46CAE0C5" w:rsidRPr="1E65A5F7">
        <w:rPr>
          <w:sz w:val="22"/>
          <w:szCs w:val="22"/>
          <w:lang w:val="en-GB"/>
        </w:rPr>
        <w:t xml:space="preserve"> </w:t>
      </w:r>
    </w:p>
    <w:p w14:paraId="57FE7B9D" w14:textId="7C59CCB8" w:rsidR="053AD3FC" w:rsidRDefault="053AD3FC" w:rsidP="001667C6">
      <w:pPr>
        <w:pStyle w:val="ParagraphOED"/>
        <w:numPr>
          <w:ilvl w:val="0"/>
          <w:numId w:val="102"/>
        </w:numPr>
        <w:spacing w:after="160"/>
      </w:pPr>
      <w:r w:rsidRPr="1E65A5F7">
        <w:rPr>
          <w:sz w:val="22"/>
          <w:szCs w:val="22"/>
        </w:rPr>
        <w:t xml:space="preserve">It is expected that the platform will serve as a national repository of information on sustainable production approaches and good practices that can help to avoid, reduce and reverse land degradation, including information on successful project experiences such as on ILMP design and implementation and the effectiveness of FFS as a channel for capacity development for SLM/SFM. Information may include data on land capability, condition and use, land value, land tenure and LDN status, and draw upon cadastral mapping, topographic mapping, land capability, resilience assessments and maps, land degradation maps, land use and populations maps. </w:t>
      </w:r>
      <w:r>
        <w:t>This will facilitate national LDN reporting responsibilities under the UNCCD, and t</w:t>
      </w:r>
      <w:r w:rsidRPr="1E65A5F7">
        <w:rPr>
          <w:sz w:val="22"/>
          <w:szCs w:val="22"/>
        </w:rPr>
        <w:t>he platform will also support scaling out of project experiences and results.</w:t>
      </w:r>
    </w:p>
    <w:p w14:paraId="24FCC782" w14:textId="568DB65E" w:rsidR="33D55EB9" w:rsidRPr="009C3DA1" w:rsidRDefault="33D55EB9" w:rsidP="001667C6">
      <w:pPr>
        <w:pStyle w:val="ParagraphOED"/>
        <w:numPr>
          <w:ilvl w:val="0"/>
          <w:numId w:val="102"/>
        </w:numPr>
        <w:spacing w:after="160"/>
      </w:pPr>
      <w:r w:rsidRPr="1E65A5F7">
        <w:rPr>
          <w:sz w:val="22"/>
          <w:szCs w:val="22"/>
          <w:lang w:val="en-GB"/>
        </w:rPr>
        <w:t xml:space="preserve">A key focus of this outcome is to improve the information needed to make more effective, evidence-based, feeding into decision-making structures and processes being addressed through Outcome 1.1, </w:t>
      </w:r>
      <w:r w:rsidR="46DD68F9" w:rsidRPr="1E65A5F7">
        <w:rPr>
          <w:sz w:val="22"/>
          <w:szCs w:val="22"/>
          <w:lang w:val="en-GB"/>
        </w:rPr>
        <w:t xml:space="preserve">which addresses the strengthening/establishment of LDN Working Groups (WGs) at national and sub-national levels and the process of integrating LDN </w:t>
      </w:r>
      <w:r w:rsidR="46DD68F9" w:rsidRPr="1E65A5F7">
        <w:rPr>
          <w:sz w:val="22"/>
          <w:szCs w:val="22"/>
          <w:lang w:val="en-GB"/>
        </w:rPr>
        <w:lastRenderedPageBreak/>
        <w:t>into broader national and landscape level development planning and decision-making processes.  Outcome 3.1 also supports the transfer of LDN-related information from national to regional and global levels.</w:t>
      </w:r>
    </w:p>
    <w:p w14:paraId="78DFE1CC" w14:textId="19113226" w:rsidR="004B3F45" w:rsidRPr="00237303" w:rsidRDefault="004B3F45" w:rsidP="001667C6">
      <w:pPr>
        <w:pStyle w:val="ParagraphOED"/>
        <w:numPr>
          <w:ilvl w:val="0"/>
          <w:numId w:val="102"/>
        </w:numPr>
        <w:spacing w:after="160"/>
      </w:pPr>
      <w:r>
        <w:t xml:space="preserve">Outcome </w:t>
      </w:r>
      <w:r w:rsidR="1B6AF418">
        <w:t xml:space="preserve">3.1 </w:t>
      </w:r>
      <w:r>
        <w:t xml:space="preserve">also responds to calls from the UNCCD Science-Policy Interface and GEF-STAP for consideration of the effectiveness of land degradation data and monitoring systems, as well as wider consideration of the three global LDN indicators. </w:t>
      </w:r>
    </w:p>
    <w:p w14:paraId="3FE64439" w14:textId="45BD1E08" w:rsidR="004B3F45" w:rsidRPr="00070831" w:rsidRDefault="004B3F45" w:rsidP="0006551A">
      <w:pPr>
        <w:pStyle w:val="Heading6"/>
        <w:spacing w:before="160" w:after="160"/>
        <w:ind w:hanging="11"/>
        <w:rPr>
          <w:rFonts w:ascii="Calibri" w:hAnsi="Calibri" w:cs="Calibri"/>
          <w:b/>
          <w:bCs/>
          <w:sz w:val="21"/>
          <w:szCs w:val="21"/>
          <w:highlight w:val="lightGray"/>
        </w:rPr>
      </w:pPr>
      <w:r w:rsidRPr="00070831">
        <w:rPr>
          <w:rFonts w:ascii="Calibri" w:hAnsi="Calibri" w:cs="Calibri"/>
          <w:b/>
          <w:bCs/>
          <w:sz w:val="21"/>
          <w:szCs w:val="21"/>
          <w:highlight w:val="lightGray"/>
        </w:rPr>
        <w:t>Output 3.1.1</w:t>
      </w:r>
      <w:r w:rsidR="0006551A" w:rsidRPr="00070831">
        <w:rPr>
          <w:rFonts w:ascii="Calibri" w:hAnsi="Calibri" w:cs="Calibri"/>
          <w:b/>
          <w:bCs/>
          <w:sz w:val="21"/>
          <w:szCs w:val="21"/>
          <w:highlight w:val="lightGray"/>
        </w:rPr>
        <w:tab/>
      </w:r>
      <w:r w:rsidRPr="00070831">
        <w:rPr>
          <w:rFonts w:ascii="Calibri" w:hAnsi="Calibri" w:cs="Calibri"/>
          <w:sz w:val="21"/>
          <w:szCs w:val="21"/>
          <w:highlight w:val="lightGray"/>
        </w:rPr>
        <w:t>National and sub-national LDN assessment, monitoring and reporting systems and tools, including LDN knowledge platform developed and operational, with relevant reporting to global level</w:t>
      </w:r>
    </w:p>
    <w:p w14:paraId="06348ABE" w14:textId="6BFA8A35" w:rsidR="004B3F45" w:rsidRPr="00237303" w:rsidRDefault="004B3F45" w:rsidP="001667C6">
      <w:pPr>
        <w:pStyle w:val="ParagraphOED"/>
        <w:numPr>
          <w:ilvl w:val="0"/>
          <w:numId w:val="102"/>
        </w:numPr>
        <w:spacing w:after="160"/>
      </w:pPr>
      <w:r>
        <w:t xml:space="preserve">Angola suffers from the absence/limited presence of a centralized, publicly available database system hosting LDN-related information at the national level, which impedes the efficient and timely sharing (and reporting) of information between relevant sectors and agencies at both national and sub-national levels, as well as regional and global levels. This works against the adoption of effective SLM and SFM practices across sectors and scales to address degradation drivers in the Miombo-Mopane system and enable transformational change towards the sustainable management of the landscape. Strengthening the national knowledge management platform will help to better inform decision-making and scale out SLM/SFM and LDN practices to other Miombo-Mopane areas within the country.  </w:t>
      </w:r>
    </w:p>
    <w:p w14:paraId="28BB5432" w14:textId="62514F0D" w:rsidR="004B3F45" w:rsidRPr="00237303" w:rsidRDefault="004B3F45" w:rsidP="001667C6">
      <w:pPr>
        <w:pStyle w:val="ParagraphOED"/>
        <w:numPr>
          <w:ilvl w:val="0"/>
          <w:numId w:val="102"/>
        </w:numPr>
        <w:spacing w:after="160"/>
      </w:pPr>
      <w:r>
        <w:t xml:space="preserve">The current national LDN monitoring framework needs additional effort to agree and/or refine measurable, achievable benchmarks for progress including the development of a system for collecting, storing and analyzing data. </w:t>
      </w:r>
      <w:r w:rsidR="6D1AB809">
        <w:t xml:space="preserve">The project will support further definition of goals, core indicators, metrics, data sources, and some baseline data for monitoring progress on LDN in the target landscapes using LDN methodologies that can be scaled out for national reporting purposes to UNCCD. </w:t>
      </w:r>
      <w:r>
        <w:t xml:space="preserve">Two other identified needs - secure high-level buy-in for the LDN framework and associated monitoring system from multiple ministries and ensure that the multi-sectoral LDN Working Group oversees the development of an LDN monitoring under Outcome 1.1. </w:t>
      </w:r>
    </w:p>
    <w:p w14:paraId="3599CC58" w14:textId="77777777" w:rsidR="004B3F45" w:rsidRDefault="004B3F45" w:rsidP="001667C6">
      <w:pPr>
        <w:pStyle w:val="ParagraphOED"/>
        <w:numPr>
          <w:ilvl w:val="0"/>
          <w:numId w:val="102"/>
        </w:numPr>
        <w:spacing w:before="160" w:after="80"/>
        <w:rPr>
          <w:b/>
          <w:bCs/>
        </w:rPr>
      </w:pPr>
      <w:r w:rsidRPr="1E65A5F7">
        <w:rPr>
          <w:b/>
          <w:bCs/>
        </w:rPr>
        <w:t>Indicative Activities under Output 3.1.1</w:t>
      </w:r>
    </w:p>
    <w:p w14:paraId="4594D53E" w14:textId="05B8BA9F" w:rsidR="004B3F45" w:rsidRPr="00C9574E" w:rsidRDefault="004B3F45" w:rsidP="001667C6">
      <w:pPr>
        <w:pStyle w:val="ListParagraph"/>
        <w:numPr>
          <w:ilvl w:val="0"/>
          <w:numId w:val="66"/>
        </w:numPr>
        <w:autoSpaceDE/>
        <w:autoSpaceDN/>
        <w:adjustRightInd/>
        <w:spacing w:after="80"/>
        <w:contextualSpacing w:val="0"/>
        <w:rPr>
          <w:sz w:val="21"/>
          <w:szCs w:val="21"/>
        </w:rPr>
      </w:pPr>
      <w:r w:rsidRPr="00BE21C7">
        <w:rPr>
          <w:b/>
          <w:bCs/>
          <w:sz w:val="21"/>
          <w:szCs w:val="21"/>
        </w:rPr>
        <w:t>Review current national LDN indicators, assessment and monitoring systems</w:t>
      </w:r>
      <w:r w:rsidRPr="3B8109EE">
        <w:rPr>
          <w:sz w:val="21"/>
          <w:szCs w:val="21"/>
        </w:rPr>
        <w:t xml:space="preserve">, and tools and their utility at national and sub-national (provincial, district, municipality, community/village) levels </w:t>
      </w:r>
      <w:r w:rsidR="2576C1E1" w:rsidRPr="3B8109EE">
        <w:rPr>
          <w:sz w:val="21"/>
          <w:szCs w:val="21"/>
        </w:rPr>
        <w:t xml:space="preserve">and identify </w:t>
      </w:r>
      <w:r w:rsidRPr="3B8109EE">
        <w:rPr>
          <w:sz w:val="21"/>
          <w:szCs w:val="21"/>
        </w:rPr>
        <w:t>improvements/standardisation where required, based on LDN checklist and core indicators.</w:t>
      </w:r>
    </w:p>
    <w:p w14:paraId="79C57E64" w14:textId="46A931D0" w:rsidR="004B3F45" w:rsidRPr="00C9574E" w:rsidRDefault="004B3F45" w:rsidP="001667C6">
      <w:pPr>
        <w:pStyle w:val="ListParagraph"/>
        <w:numPr>
          <w:ilvl w:val="0"/>
          <w:numId w:val="66"/>
        </w:numPr>
        <w:autoSpaceDE/>
        <w:autoSpaceDN/>
        <w:adjustRightInd/>
        <w:spacing w:after="80"/>
        <w:contextualSpacing w:val="0"/>
        <w:rPr>
          <w:sz w:val="21"/>
          <w:szCs w:val="21"/>
        </w:rPr>
      </w:pPr>
      <w:bookmarkStart w:id="150" w:name="_Hlk40255330"/>
      <w:r w:rsidRPr="00781966">
        <w:rPr>
          <w:b/>
          <w:bCs/>
          <w:sz w:val="21"/>
          <w:szCs w:val="21"/>
        </w:rPr>
        <w:t xml:space="preserve">Develop, establish and operationalise a participatory landscape level LDN </w:t>
      </w:r>
      <w:r w:rsidR="7AC1DEC5" w:rsidRPr="00781966">
        <w:rPr>
          <w:b/>
          <w:bCs/>
          <w:sz w:val="21"/>
          <w:szCs w:val="21"/>
        </w:rPr>
        <w:t xml:space="preserve">data </w:t>
      </w:r>
      <w:r w:rsidRPr="00781966">
        <w:rPr>
          <w:b/>
          <w:bCs/>
          <w:sz w:val="21"/>
          <w:szCs w:val="21"/>
        </w:rPr>
        <w:t>assessment, monitoring and reporting system</w:t>
      </w:r>
      <w:r w:rsidRPr="3B8109EE">
        <w:rPr>
          <w:sz w:val="21"/>
          <w:szCs w:val="21"/>
        </w:rPr>
        <w:t>, using a participatory methodological approach validated with local communities.</w:t>
      </w:r>
      <w:bookmarkEnd w:id="150"/>
    </w:p>
    <w:p w14:paraId="288EBE7C" w14:textId="1ADC0C94" w:rsidR="004B3F45" w:rsidRPr="00755FB2" w:rsidRDefault="004B3F45" w:rsidP="001667C6">
      <w:pPr>
        <w:pStyle w:val="ListParagraph"/>
        <w:numPr>
          <w:ilvl w:val="0"/>
          <w:numId w:val="66"/>
        </w:numPr>
        <w:autoSpaceDE/>
        <w:autoSpaceDN/>
        <w:adjustRightInd/>
        <w:spacing w:after="80"/>
        <w:contextualSpacing w:val="0"/>
        <w:rPr>
          <w:sz w:val="21"/>
          <w:szCs w:val="21"/>
        </w:rPr>
      </w:pPr>
      <w:r w:rsidRPr="00972CF2">
        <w:rPr>
          <w:b/>
          <w:bCs/>
          <w:sz w:val="21"/>
          <w:szCs w:val="21"/>
        </w:rPr>
        <w:t>Support a digital platform/information clearing house mechanism for storage, management and analysis of LD and LDN-related data</w:t>
      </w:r>
      <w:r w:rsidRPr="00C9574E">
        <w:rPr>
          <w:sz w:val="21"/>
          <w:szCs w:val="21"/>
        </w:rPr>
        <w:t>, practices and lessons learned  to provide decision-makers at both landscape and national levels with accurate and timely information to inform decision-making, focused on national and sub-national level data but also open to other</w:t>
      </w:r>
      <w:r w:rsidRPr="00755FB2">
        <w:rPr>
          <w:sz w:val="21"/>
          <w:szCs w:val="21"/>
        </w:rPr>
        <w:t xml:space="preserve"> experiences and links to other relevant regional and global databases (e.g. SADC, the AFR100</w:t>
      </w:r>
      <w:r>
        <w:rPr>
          <w:rStyle w:val="FootnoteReference"/>
          <w:sz w:val="21"/>
          <w:szCs w:val="21"/>
        </w:rPr>
        <w:footnoteReference w:id="85"/>
      </w:r>
      <w:r w:rsidRPr="00755FB2">
        <w:rPr>
          <w:sz w:val="21"/>
          <w:szCs w:val="21"/>
        </w:rPr>
        <w:t xml:space="preserve"> countries, TRI).</w:t>
      </w:r>
    </w:p>
    <w:p w14:paraId="072E7424" w14:textId="77777777" w:rsidR="004B3F45" w:rsidRPr="00C9574E" w:rsidRDefault="004B3F45" w:rsidP="001667C6">
      <w:pPr>
        <w:pStyle w:val="ListParagraph"/>
        <w:numPr>
          <w:ilvl w:val="0"/>
          <w:numId w:val="66"/>
        </w:numPr>
        <w:autoSpaceDE/>
        <w:autoSpaceDN/>
        <w:adjustRightInd/>
        <w:spacing w:after="80"/>
        <w:contextualSpacing w:val="0"/>
        <w:rPr>
          <w:sz w:val="21"/>
          <w:szCs w:val="21"/>
        </w:rPr>
      </w:pPr>
      <w:r w:rsidRPr="003E57F0">
        <w:rPr>
          <w:b/>
          <w:bCs/>
          <w:sz w:val="21"/>
          <w:szCs w:val="21"/>
        </w:rPr>
        <w:t>Establish a specific ‘dashboard’ within the LDN knowledge platform</w:t>
      </w:r>
      <w:r w:rsidRPr="00C9574E">
        <w:rPr>
          <w:sz w:val="21"/>
          <w:szCs w:val="21"/>
        </w:rPr>
        <w:t xml:space="preserve"> targeted at government decision-makers to facilitate ease of reporting under international requirements.</w:t>
      </w:r>
    </w:p>
    <w:p w14:paraId="1C2A3B6F" w14:textId="375C368E" w:rsidR="004B3F45" w:rsidRPr="00755FB2" w:rsidRDefault="004B3F45" w:rsidP="001667C6">
      <w:pPr>
        <w:pStyle w:val="ListParagraph"/>
        <w:numPr>
          <w:ilvl w:val="0"/>
          <w:numId w:val="66"/>
        </w:numPr>
        <w:autoSpaceDE/>
        <w:autoSpaceDN/>
        <w:adjustRightInd/>
        <w:spacing w:after="80"/>
        <w:contextualSpacing w:val="0"/>
        <w:rPr>
          <w:sz w:val="21"/>
          <w:szCs w:val="21"/>
        </w:rPr>
      </w:pPr>
      <w:r w:rsidRPr="00C9574E">
        <w:rPr>
          <w:sz w:val="21"/>
          <w:szCs w:val="21"/>
        </w:rPr>
        <w:t xml:space="preserve">Where necessary </w:t>
      </w:r>
      <w:r w:rsidRPr="000C79E3">
        <w:rPr>
          <w:b/>
          <w:bCs/>
          <w:sz w:val="21"/>
          <w:szCs w:val="21"/>
        </w:rPr>
        <w:t>update existing spatial planning/GIS-based systems/facilities</w:t>
      </w:r>
      <w:r w:rsidRPr="00C9574E">
        <w:rPr>
          <w:sz w:val="21"/>
          <w:szCs w:val="21"/>
        </w:rPr>
        <w:t xml:space="preserve"> to provide robust data and information management capacity</w:t>
      </w:r>
      <w:r w:rsidR="5791388E" w:rsidRPr="00C9574E">
        <w:rPr>
          <w:sz w:val="21"/>
          <w:szCs w:val="21"/>
        </w:rPr>
        <w:t xml:space="preserve"> to support the knowledge platform</w:t>
      </w:r>
      <w:r w:rsidRPr="00C9574E">
        <w:rPr>
          <w:sz w:val="21"/>
          <w:szCs w:val="21"/>
        </w:rPr>
        <w:t xml:space="preserve">, and link with </w:t>
      </w:r>
      <w:r w:rsidRPr="00C9574E">
        <w:rPr>
          <w:sz w:val="21"/>
          <w:szCs w:val="21"/>
        </w:rPr>
        <w:lastRenderedPageBreak/>
        <w:t>relevant international and regional databases and tools that can support national spatial analyses of land degradation, such as</w:t>
      </w:r>
      <w:r w:rsidRPr="00755FB2">
        <w:rPr>
          <w:sz w:val="21"/>
          <w:szCs w:val="21"/>
        </w:rPr>
        <w:t xml:space="preserve"> Trends.Earth</w:t>
      </w:r>
      <w:r w:rsidRPr="00755FB2">
        <w:rPr>
          <w:rStyle w:val="FootnoteReference"/>
          <w:sz w:val="21"/>
          <w:szCs w:val="21"/>
        </w:rPr>
        <w:footnoteReference w:id="86"/>
      </w:r>
      <w:r w:rsidRPr="00755FB2">
        <w:rPr>
          <w:sz w:val="21"/>
          <w:szCs w:val="21"/>
        </w:rPr>
        <w:t>.</w:t>
      </w:r>
    </w:p>
    <w:p w14:paraId="1B36C733" w14:textId="5C404F2F" w:rsidR="004B3F45" w:rsidRPr="00C9574E" w:rsidRDefault="004B3F45" w:rsidP="001667C6">
      <w:pPr>
        <w:pStyle w:val="ListParagraph"/>
        <w:numPr>
          <w:ilvl w:val="0"/>
          <w:numId w:val="66"/>
        </w:numPr>
        <w:autoSpaceDE/>
        <w:autoSpaceDN/>
        <w:adjustRightInd/>
        <w:spacing w:after="80"/>
        <w:contextualSpacing w:val="0"/>
        <w:rPr>
          <w:sz w:val="21"/>
          <w:szCs w:val="21"/>
        </w:rPr>
      </w:pPr>
      <w:r w:rsidRPr="00374374">
        <w:rPr>
          <w:b/>
          <w:bCs/>
          <w:sz w:val="21"/>
          <w:szCs w:val="21"/>
        </w:rPr>
        <w:t>Further develop/refine the ILAM toolbox</w:t>
      </w:r>
      <w:r w:rsidRPr="3B8109EE">
        <w:rPr>
          <w:sz w:val="21"/>
          <w:szCs w:val="21"/>
        </w:rPr>
        <w:t xml:space="preserve">, piloted during the PPG process, for LDN monitoring and reporting purposes, </w:t>
      </w:r>
      <w:r w:rsidR="7ECF4AAA" w:rsidRPr="3B8109EE">
        <w:rPr>
          <w:sz w:val="21"/>
          <w:szCs w:val="21"/>
        </w:rPr>
        <w:t>including consideration of the Neutrality Mechanism Balance Sheet.</w:t>
      </w:r>
    </w:p>
    <w:p w14:paraId="1F84BA02" w14:textId="46C4A079" w:rsidR="004B3F45" w:rsidRPr="00C9574E" w:rsidRDefault="004B3F45" w:rsidP="001667C6">
      <w:pPr>
        <w:pStyle w:val="ListParagraph"/>
        <w:numPr>
          <w:ilvl w:val="0"/>
          <w:numId w:val="66"/>
        </w:numPr>
        <w:autoSpaceDE/>
        <w:autoSpaceDN/>
        <w:adjustRightInd/>
        <w:spacing w:after="80"/>
        <w:contextualSpacing w:val="0"/>
        <w:rPr>
          <w:rFonts w:eastAsia="Calibri" w:cs="Calibri"/>
          <w:color w:val="000000" w:themeColor="text1"/>
          <w:sz w:val="21"/>
          <w:szCs w:val="21"/>
        </w:rPr>
      </w:pPr>
      <w:r w:rsidRPr="00374374">
        <w:rPr>
          <w:b/>
          <w:bCs/>
          <w:sz w:val="21"/>
          <w:szCs w:val="21"/>
        </w:rPr>
        <w:t>Develop/refine a decision-support system (DSS) based on LDN to guide LD and SLM/SFM assessments</w:t>
      </w:r>
      <w:r w:rsidR="6E766F2E" w:rsidRPr="3B8109EE">
        <w:rPr>
          <w:sz w:val="21"/>
          <w:szCs w:val="21"/>
        </w:rPr>
        <w:t xml:space="preserve">, </w:t>
      </w:r>
      <w:r w:rsidR="6E766F2E" w:rsidRPr="3B8109EE">
        <w:rPr>
          <w:rFonts w:eastAsia="Calibri" w:cs="Calibri"/>
        </w:rPr>
        <w:t>including further development and promotion of the use of the ‘avoid, reduce, reverse’ concept (no net loss of land-based natural capital) employed in the ILM planning process (under Outcome 2.1)</w:t>
      </w:r>
    </w:p>
    <w:p w14:paraId="41E0A755" w14:textId="77777777" w:rsidR="004B3F45" w:rsidRPr="00C9574E" w:rsidRDefault="004B3F45" w:rsidP="001667C6">
      <w:pPr>
        <w:pStyle w:val="ListParagraph"/>
        <w:numPr>
          <w:ilvl w:val="0"/>
          <w:numId w:val="66"/>
        </w:numPr>
        <w:autoSpaceDE/>
        <w:autoSpaceDN/>
        <w:adjustRightInd/>
        <w:spacing w:after="80"/>
        <w:contextualSpacing w:val="0"/>
        <w:rPr>
          <w:sz w:val="21"/>
          <w:szCs w:val="21"/>
        </w:rPr>
      </w:pPr>
      <w:r w:rsidRPr="004820BD">
        <w:rPr>
          <w:b/>
          <w:bCs/>
          <w:sz w:val="21"/>
          <w:szCs w:val="21"/>
        </w:rPr>
        <w:t>Develop and execute a programme to integrate LDN monitoring into development planning and monitoring processes at the national and sub-national levels</w:t>
      </w:r>
      <w:r w:rsidRPr="3B8109EE">
        <w:rPr>
          <w:sz w:val="21"/>
          <w:szCs w:val="21"/>
        </w:rPr>
        <w:t>.</w:t>
      </w:r>
    </w:p>
    <w:p w14:paraId="62804217" w14:textId="77777777" w:rsidR="004B3F45" w:rsidRPr="00C9574E" w:rsidRDefault="004B3F45" w:rsidP="001667C6">
      <w:pPr>
        <w:pStyle w:val="ListParagraph"/>
        <w:numPr>
          <w:ilvl w:val="0"/>
          <w:numId w:val="66"/>
        </w:numPr>
        <w:autoSpaceDE/>
        <w:autoSpaceDN/>
        <w:adjustRightInd/>
        <w:spacing w:after="80"/>
        <w:contextualSpacing w:val="0"/>
        <w:rPr>
          <w:sz w:val="21"/>
          <w:szCs w:val="21"/>
        </w:rPr>
      </w:pPr>
      <w:r w:rsidRPr="004820BD">
        <w:rPr>
          <w:b/>
          <w:bCs/>
          <w:sz w:val="21"/>
          <w:szCs w:val="21"/>
        </w:rPr>
        <w:t>Develop and operationalise a plan for the sustainability</w:t>
      </w:r>
      <w:r w:rsidRPr="3B8109EE">
        <w:rPr>
          <w:sz w:val="21"/>
          <w:szCs w:val="21"/>
        </w:rPr>
        <w:t xml:space="preserve"> (financial, institutional and human capacity) </w:t>
      </w:r>
      <w:r w:rsidRPr="004820BD">
        <w:rPr>
          <w:b/>
          <w:bCs/>
          <w:sz w:val="21"/>
          <w:szCs w:val="21"/>
        </w:rPr>
        <w:t>of the LDN monitoring and reporting system</w:t>
      </w:r>
      <w:r w:rsidRPr="3B8109EE">
        <w:rPr>
          <w:sz w:val="21"/>
          <w:szCs w:val="21"/>
        </w:rPr>
        <w:t xml:space="preserve"> (by end of the project). The project will provide the assistance required for the Government to develop a strategy and ensure that project capacity building efforts endure.</w:t>
      </w:r>
    </w:p>
    <w:p w14:paraId="58C76892" w14:textId="2D5531D7" w:rsidR="004B3F45" w:rsidRDefault="004B3F45" w:rsidP="001667C6">
      <w:pPr>
        <w:pStyle w:val="ParagraphOED"/>
        <w:numPr>
          <w:ilvl w:val="0"/>
          <w:numId w:val="102"/>
        </w:numPr>
        <w:spacing w:after="160"/>
      </w:pPr>
      <w:r>
        <w:t xml:space="preserve">The project will also support the process of further developing and integrating LDN indicators into relevant national development and adaptation frameworks, such as the National Adaptation Plan (NAP), and developing a </w:t>
      </w:r>
      <w:r w:rsidR="055504E1">
        <w:t xml:space="preserve">harmonised, national </w:t>
      </w:r>
      <w:r>
        <w:t xml:space="preserve">system for collecting, monitoring, storing, analyzing and reporting </w:t>
      </w:r>
      <w:r w:rsidR="7446FBFC">
        <w:t xml:space="preserve">on </w:t>
      </w:r>
      <w:r>
        <w:t>LDN indicator</w:t>
      </w:r>
      <w:r w:rsidR="7B05FE6F">
        <w:t xml:space="preserve">s. </w:t>
      </w:r>
      <w:r>
        <w:t xml:space="preserve"> This Output links directly with Output 1.1.1 </w:t>
      </w:r>
      <w:r w:rsidR="698D98D8">
        <w:t>(</w:t>
      </w:r>
      <w:r>
        <w:t>strengthening the LDN Working Group</w:t>
      </w:r>
      <w:r w:rsidR="1DB7B37E">
        <w:t>)</w:t>
      </w:r>
      <w:r>
        <w:t xml:space="preserve"> by providing it with improved information sources to support evidence-based decision-making for LDN. </w:t>
      </w:r>
      <w:r w:rsidR="69179072" w:rsidRPr="1E65A5F7">
        <w:rPr>
          <w:sz w:val="22"/>
          <w:szCs w:val="22"/>
          <w:lang w:val="en-GB"/>
        </w:rPr>
        <w:t>This will help support the process of further developing and integrating LDN indicators into wider relevant national development and adaptation frameworks, such as the National Adaptation Plan (NAP), and developing a harmonised national system to support reporting on LDN indicators.</w:t>
      </w:r>
      <w:r w:rsidR="69179072">
        <w:t xml:space="preserve"> </w:t>
      </w:r>
      <w:r>
        <w:t xml:space="preserve">Data collection methodologies and tools, roles and responsibilities, and ways to mainstream monitoring into SLM/SFM will also be part of the work identified in the ILUPs (under Component 2). </w:t>
      </w:r>
    </w:p>
    <w:p w14:paraId="24B50FCC" w14:textId="1924DCFF" w:rsidR="004B3F45" w:rsidRPr="00A84B46" w:rsidRDefault="004B3F45" w:rsidP="001667C6">
      <w:pPr>
        <w:pStyle w:val="ParagraphOED"/>
        <w:numPr>
          <w:ilvl w:val="0"/>
          <w:numId w:val="102"/>
        </w:numPr>
        <w:spacing w:after="160"/>
      </w:pPr>
      <w:r>
        <w:t xml:space="preserve">Field monitoring data will be matched with remote sensing data collected at national level. This will be facilitated by FAO, through capacity development of the </w:t>
      </w:r>
      <w:r w:rsidR="00533B65">
        <w:t xml:space="preserve">DNAAC </w:t>
      </w:r>
      <w:r>
        <w:t xml:space="preserve">using a variety of relevant tools, including </w:t>
      </w:r>
      <w:r w:rsidR="10F48FF5">
        <w:t xml:space="preserve">Trends.Earth </w:t>
      </w:r>
      <w:r>
        <w:t>or other GIS-based systems that combine high-resolution imagery with a cloud-based architecture and user-friendly interface for monitoring. The GCP/REM will also assist the PMU and the LDN Working Group to establishing a remote sensing data collection system that will complement field data where needed.</w:t>
      </w:r>
    </w:p>
    <w:p w14:paraId="512BD55B" w14:textId="252CD21D" w:rsidR="004B3F45" w:rsidRPr="00A84B46" w:rsidRDefault="004B3F45" w:rsidP="001667C6">
      <w:pPr>
        <w:pStyle w:val="ParagraphOED"/>
        <w:numPr>
          <w:ilvl w:val="0"/>
          <w:numId w:val="102"/>
        </w:numPr>
        <w:spacing w:after="160"/>
      </w:pPr>
      <w:r>
        <w:t>The design/strengthening and operation of the platform will be informed by experience and lessons emerging from the regional suite of SFM-DSL IP child projects</w:t>
      </w:r>
      <w:r w:rsidR="437FC0F1">
        <w:t>, and it</w:t>
      </w:r>
      <w:r w:rsidR="7B8CDF27">
        <w:t xml:space="preserve">national and international </w:t>
      </w:r>
      <w:r>
        <w:t>will draw on and consolidate information currently available from other existing knowledge platforms of relevance to SFM, SLM and LDN objectives</w:t>
      </w:r>
      <w:r w:rsidR="2BB96D42">
        <w:t xml:space="preserve"> (e.g., WOCAT, SADC, CAADP, DRIP, etc.)</w:t>
      </w:r>
      <w:r w:rsidR="704333EF">
        <w:t>,</w:t>
      </w:r>
      <w:r w:rsidR="53613561">
        <w:t xml:space="preserve"> </w:t>
      </w:r>
      <w:r>
        <w:t xml:space="preserve">and be open to other experiences from SADC, AFR100 countries, TRI, and elsewhere. </w:t>
      </w:r>
    </w:p>
    <w:p w14:paraId="19A4F281" w14:textId="495A016C" w:rsidR="004B3F45" w:rsidRPr="00070831" w:rsidRDefault="004B3F45" w:rsidP="001667C6">
      <w:pPr>
        <w:pStyle w:val="ParagraphOED"/>
        <w:numPr>
          <w:ilvl w:val="0"/>
          <w:numId w:val="102"/>
        </w:numPr>
        <w:spacing w:after="160"/>
      </w:pPr>
      <w:r>
        <w:t>This project will cover the operational costs, equipment, capacity development and technical assistance to enhance national capacity to monitor the impact of LDN in the long-term.</w:t>
      </w:r>
    </w:p>
    <w:p w14:paraId="530155A7" w14:textId="688930DD" w:rsidR="0095743F" w:rsidRPr="00070831" w:rsidRDefault="0095743F" w:rsidP="0095743F">
      <w:pPr>
        <w:pStyle w:val="Heading6"/>
        <w:spacing w:before="160" w:after="160"/>
        <w:ind w:hanging="11"/>
        <w:rPr>
          <w:rFonts w:ascii="Calibri" w:hAnsi="Calibri" w:cs="Calibri"/>
          <w:sz w:val="21"/>
          <w:szCs w:val="21"/>
          <w:highlight w:val="lightGray"/>
        </w:rPr>
      </w:pPr>
      <w:r w:rsidRPr="00070831">
        <w:rPr>
          <w:rFonts w:ascii="Calibri" w:hAnsi="Calibri" w:cs="Calibri"/>
          <w:b/>
          <w:bCs/>
          <w:sz w:val="21"/>
          <w:szCs w:val="21"/>
          <w:highlight w:val="lightGray"/>
        </w:rPr>
        <w:t>Output 3.1.2</w:t>
      </w:r>
      <w:r w:rsidRPr="00070831">
        <w:rPr>
          <w:rFonts w:ascii="Calibri" w:hAnsi="Calibri" w:cs="Calibri"/>
          <w:b/>
          <w:bCs/>
          <w:sz w:val="21"/>
          <w:szCs w:val="21"/>
          <w:highlight w:val="lightGray"/>
        </w:rPr>
        <w:tab/>
      </w:r>
      <w:r w:rsidRPr="00070831">
        <w:rPr>
          <w:rFonts w:ascii="Calibri" w:hAnsi="Calibri" w:cs="Calibri"/>
          <w:sz w:val="21"/>
          <w:szCs w:val="21"/>
          <w:highlight w:val="lightGray"/>
        </w:rPr>
        <w:t xml:space="preserve">Capacity development </w:t>
      </w:r>
      <w:r w:rsidR="67B4DCF3" w:rsidRPr="00070831">
        <w:rPr>
          <w:rFonts w:ascii="Calibri" w:hAnsi="Calibri" w:cs="Calibri"/>
          <w:sz w:val="21"/>
          <w:szCs w:val="21"/>
          <w:highlight w:val="lightGray"/>
        </w:rPr>
        <w:t xml:space="preserve">program </w:t>
      </w:r>
      <w:r w:rsidRPr="00070831">
        <w:rPr>
          <w:rFonts w:ascii="Calibri" w:hAnsi="Calibri" w:cs="Calibri"/>
          <w:sz w:val="21"/>
          <w:szCs w:val="21"/>
          <w:highlight w:val="lightGray"/>
        </w:rPr>
        <w:t xml:space="preserve">for </w:t>
      </w:r>
      <w:r w:rsidR="2D060FAA" w:rsidRPr="00070831">
        <w:rPr>
          <w:rFonts w:ascii="Calibri" w:hAnsi="Calibri" w:cs="Calibri"/>
          <w:sz w:val="21"/>
          <w:szCs w:val="21"/>
          <w:highlight w:val="lightGray"/>
        </w:rPr>
        <w:t>improving LDN assessment, monitoring and analysis among</w:t>
      </w:r>
      <w:r w:rsidR="118BF012" w:rsidRPr="00070831">
        <w:rPr>
          <w:rFonts w:ascii="Calibri" w:hAnsi="Calibri" w:cs="Calibri"/>
          <w:sz w:val="21"/>
          <w:szCs w:val="21"/>
          <w:highlight w:val="lightGray"/>
        </w:rPr>
        <w:t xml:space="preserve"> key stakeholders at national and sub-national levels </w:t>
      </w:r>
      <w:r w:rsidR="2D060FAA" w:rsidRPr="00070831">
        <w:rPr>
          <w:rFonts w:ascii="Calibri" w:hAnsi="Calibri" w:cs="Calibri"/>
          <w:sz w:val="21"/>
          <w:szCs w:val="21"/>
          <w:highlight w:val="lightGray"/>
        </w:rPr>
        <w:t xml:space="preserve"> </w:t>
      </w:r>
      <w:r w:rsidRPr="00070831">
        <w:rPr>
          <w:rFonts w:ascii="Calibri" w:hAnsi="Calibri" w:cs="Calibri"/>
          <w:sz w:val="21"/>
          <w:szCs w:val="21"/>
          <w:highlight w:val="lightGray"/>
        </w:rPr>
        <w:t xml:space="preserve">to support national LDN reporting, designed and delivered. </w:t>
      </w:r>
    </w:p>
    <w:p w14:paraId="43BC5BF2" w14:textId="19D916DB" w:rsidR="004B3F45" w:rsidRPr="00A84B46" w:rsidRDefault="004B3F45" w:rsidP="001667C6">
      <w:pPr>
        <w:pStyle w:val="ParagraphOED"/>
        <w:numPr>
          <w:ilvl w:val="0"/>
          <w:numId w:val="102"/>
        </w:numPr>
        <w:spacing w:before="160" w:after="160"/>
      </w:pPr>
      <w:r>
        <w:t>This output aims to build knowledge and skills of key stakeholder groups, from national to community level</w:t>
      </w:r>
      <w:r w:rsidR="235BB3AC">
        <w:t xml:space="preserve">. It will </w:t>
      </w:r>
      <w:r>
        <w:t>includ</w:t>
      </w:r>
      <w:r w:rsidR="1937B3C5">
        <w:t>e</w:t>
      </w:r>
      <w:r>
        <w:t xml:space="preserve"> technical training and </w:t>
      </w:r>
      <w:r w:rsidR="7F0BEDE2">
        <w:t xml:space="preserve">provision of </w:t>
      </w:r>
      <w:r>
        <w:t>equipment/tools to local government officers and local volunteers for regular monitoring of land use/land degradation, biodiversity and other relevant indicators</w:t>
      </w:r>
      <w:r w:rsidR="36986A41">
        <w:t xml:space="preserve"> to support delivery of output 3.3.1 above and how to use this information to strengthen decision-making (linking particularly with Outcome 1.1)</w:t>
      </w:r>
      <w:r>
        <w:t xml:space="preserve">. </w:t>
      </w:r>
    </w:p>
    <w:p w14:paraId="2C202A35" w14:textId="77777777" w:rsidR="004B3F45" w:rsidRDefault="004B3F45" w:rsidP="001667C6">
      <w:pPr>
        <w:pStyle w:val="ParagraphOED"/>
        <w:numPr>
          <w:ilvl w:val="0"/>
          <w:numId w:val="102"/>
        </w:numPr>
        <w:spacing w:before="160" w:after="80"/>
        <w:rPr>
          <w:b/>
          <w:bCs/>
        </w:rPr>
      </w:pPr>
      <w:r w:rsidRPr="1E65A5F7">
        <w:rPr>
          <w:b/>
          <w:bCs/>
        </w:rPr>
        <w:lastRenderedPageBreak/>
        <w:t>Indicative Activities under Output 3.1.2</w:t>
      </w:r>
    </w:p>
    <w:p w14:paraId="68FFFE2E" w14:textId="16DCE157" w:rsidR="004B3F45" w:rsidRPr="00E26F86" w:rsidRDefault="004B3F45" w:rsidP="001667C6">
      <w:pPr>
        <w:pStyle w:val="ListParagraph"/>
        <w:numPr>
          <w:ilvl w:val="0"/>
          <w:numId w:val="59"/>
        </w:numPr>
        <w:autoSpaceDE/>
        <w:autoSpaceDN/>
        <w:adjustRightInd/>
        <w:spacing w:after="80"/>
        <w:contextualSpacing w:val="0"/>
        <w:rPr>
          <w:rFonts w:eastAsia="Calibri" w:cs="Calibri"/>
          <w:color w:val="000000" w:themeColor="text1"/>
          <w:sz w:val="21"/>
          <w:szCs w:val="21"/>
        </w:rPr>
      </w:pPr>
      <w:r w:rsidRPr="000F5F91">
        <w:rPr>
          <w:b/>
          <w:bCs/>
          <w:sz w:val="21"/>
          <w:szCs w:val="21"/>
        </w:rPr>
        <w:t xml:space="preserve">Develop </w:t>
      </w:r>
      <w:r w:rsidR="0FF63D67" w:rsidRPr="000F5F91">
        <w:rPr>
          <w:b/>
          <w:bCs/>
          <w:sz w:val="21"/>
          <w:szCs w:val="21"/>
        </w:rPr>
        <w:t xml:space="preserve">and deliver </w:t>
      </w:r>
      <w:r w:rsidRPr="000F5F91">
        <w:rPr>
          <w:b/>
          <w:bCs/>
          <w:sz w:val="21"/>
          <w:szCs w:val="21"/>
        </w:rPr>
        <w:t>training modules for key stakeholder groups ion LDN assessment and monitoring</w:t>
      </w:r>
      <w:r w:rsidR="02A0D58B" w:rsidRPr="3B8109EE">
        <w:rPr>
          <w:sz w:val="21"/>
          <w:szCs w:val="21"/>
        </w:rPr>
        <w:t xml:space="preserve">, </w:t>
      </w:r>
      <w:r w:rsidR="3A541824" w:rsidRPr="3B8109EE">
        <w:rPr>
          <w:sz w:val="21"/>
          <w:szCs w:val="21"/>
        </w:rPr>
        <w:t xml:space="preserve">the </w:t>
      </w:r>
      <w:r w:rsidRPr="3B8109EE">
        <w:rPr>
          <w:sz w:val="21"/>
          <w:szCs w:val="21"/>
        </w:rPr>
        <w:t>use of LDN-related indicators at landscape, national and international levels</w:t>
      </w:r>
      <w:r w:rsidR="7B9ED042" w:rsidRPr="3B8109EE">
        <w:rPr>
          <w:sz w:val="21"/>
          <w:szCs w:val="21"/>
        </w:rPr>
        <w:t>, and approaches to effectively incorporate LDN-related indicators into multi-sector, multi-level policy and planning processes at national and international levels. (Training will include: the definition of LDN indicators; LDN baseline mapping; data quality standards and specifications; methodologies and tools for estimating and measuring LDN indicators; mechanisms for validation on the ground; and data analytics)</w:t>
      </w:r>
      <w:r w:rsidR="00140C1B" w:rsidRPr="3B8109EE">
        <w:rPr>
          <w:sz w:val="21"/>
          <w:szCs w:val="21"/>
        </w:rPr>
        <w:t>.</w:t>
      </w:r>
    </w:p>
    <w:p w14:paraId="3FC71D20" w14:textId="3390FD4C" w:rsidR="004B3F45" w:rsidRPr="00E26F86" w:rsidRDefault="004B3F45" w:rsidP="001667C6">
      <w:pPr>
        <w:pStyle w:val="ListParagraph"/>
        <w:numPr>
          <w:ilvl w:val="0"/>
          <w:numId w:val="59"/>
        </w:numPr>
        <w:spacing w:after="80"/>
        <w:contextualSpacing w:val="0"/>
        <w:rPr>
          <w:sz w:val="21"/>
          <w:szCs w:val="21"/>
        </w:rPr>
      </w:pPr>
      <w:r w:rsidRPr="00586834">
        <w:rPr>
          <w:b/>
          <w:bCs/>
          <w:sz w:val="21"/>
          <w:szCs w:val="21"/>
        </w:rPr>
        <w:t>Provision of training to government staff at the national and sub-national levels on global monitoring tools designed to support LDN assessment</w:t>
      </w:r>
      <w:r w:rsidRPr="3B8109EE">
        <w:rPr>
          <w:sz w:val="21"/>
          <w:szCs w:val="21"/>
        </w:rPr>
        <w:t>, including building capacities to identify, assess, monitor and report on land degradation trends and degradation hot spots. Potential tools to consider include Open Foris Collect, Collect Earth, SEPAL, and Earth Map</w:t>
      </w:r>
      <w:r w:rsidR="00140C1B" w:rsidRPr="3B8109EE">
        <w:rPr>
          <w:sz w:val="21"/>
          <w:szCs w:val="21"/>
        </w:rPr>
        <w:t xml:space="preserve">. </w:t>
      </w:r>
    </w:p>
    <w:p w14:paraId="47DDE4B8" w14:textId="05F80148" w:rsidR="004B3F45" w:rsidRPr="00E26F86" w:rsidRDefault="004B3F45" w:rsidP="001667C6">
      <w:pPr>
        <w:pStyle w:val="ListParagraph"/>
        <w:numPr>
          <w:ilvl w:val="0"/>
          <w:numId w:val="59"/>
        </w:numPr>
        <w:autoSpaceDE/>
        <w:autoSpaceDN/>
        <w:adjustRightInd/>
        <w:spacing w:after="80"/>
        <w:contextualSpacing w:val="0"/>
        <w:rPr>
          <w:sz w:val="21"/>
          <w:szCs w:val="21"/>
        </w:rPr>
      </w:pPr>
      <w:r w:rsidRPr="007447D2">
        <w:rPr>
          <w:b/>
          <w:bCs/>
          <w:sz w:val="21"/>
          <w:szCs w:val="21"/>
        </w:rPr>
        <w:t>Provision or upgrading of tools and equipment for monitoring LDN in the field</w:t>
      </w:r>
      <w:r w:rsidR="007447D2">
        <w:rPr>
          <w:sz w:val="21"/>
          <w:szCs w:val="21"/>
        </w:rPr>
        <w:t>.</w:t>
      </w:r>
    </w:p>
    <w:p w14:paraId="269C3CDD" w14:textId="77777777" w:rsidR="004B3F45" w:rsidRPr="00E26F86" w:rsidRDefault="004B3F45" w:rsidP="001667C6">
      <w:pPr>
        <w:pStyle w:val="ListParagraph"/>
        <w:numPr>
          <w:ilvl w:val="0"/>
          <w:numId w:val="59"/>
        </w:numPr>
        <w:autoSpaceDE/>
        <w:autoSpaceDN/>
        <w:adjustRightInd/>
        <w:spacing w:after="80"/>
        <w:contextualSpacing w:val="0"/>
        <w:rPr>
          <w:sz w:val="21"/>
          <w:szCs w:val="21"/>
        </w:rPr>
      </w:pPr>
      <w:r w:rsidRPr="006926D5">
        <w:rPr>
          <w:b/>
          <w:bCs/>
          <w:sz w:val="21"/>
          <w:szCs w:val="21"/>
        </w:rPr>
        <w:t>Support the LMCs in the target areas to develop Landscape Monitoring Action Plans (LMAPs)</w:t>
      </w:r>
      <w:r w:rsidRPr="3B8109EE">
        <w:rPr>
          <w:sz w:val="21"/>
          <w:szCs w:val="21"/>
        </w:rPr>
        <w:t xml:space="preserve"> and oversee piloting the use of LDN indicators defined under the national LDN framework. </w:t>
      </w:r>
    </w:p>
    <w:p w14:paraId="15604485" w14:textId="56CA4557" w:rsidR="00B9677B" w:rsidRPr="00F76DB0" w:rsidRDefault="00B9677B" w:rsidP="001667C6">
      <w:pPr>
        <w:pStyle w:val="ParagraphOED"/>
        <w:numPr>
          <w:ilvl w:val="0"/>
          <w:numId w:val="102"/>
        </w:numPr>
        <w:spacing w:before="160" w:after="160"/>
      </w:pPr>
      <w:r>
        <w:t xml:space="preserve">The national LDN Working Group  will assess the suitability of the proposed data collection and monitoring tools, based on costs, scope, data type and easiness of implementation, and adapt them, </w:t>
      </w:r>
      <w:r w:rsidR="0323C626">
        <w:t>as needed,</w:t>
      </w:r>
      <w:r>
        <w:t xml:space="preserve"> to the time- and capacity-constraints of the collectors, to ensure that monitoring does not involve too much extra-work to add to their daily tasks. Collaborative partnerships for LDN assessment and monitoring will be encouraged.</w:t>
      </w:r>
      <w:r w:rsidR="34252558">
        <w:t xml:space="preserve"> Stakeholder groups targeted for training include: national and sub-national government staff, monitoring working groups of the Landscape Management Committees (LMCs), rural extension services (agriculture and forestry), representatives or involved FFS and FFPOs (where relevant), and other relevant civil society groups.</w:t>
      </w:r>
    </w:p>
    <w:p w14:paraId="64000690" w14:textId="660CB90E" w:rsidR="00B9677B" w:rsidRPr="00F76DB0" w:rsidRDefault="00B9677B" w:rsidP="001667C6">
      <w:pPr>
        <w:pStyle w:val="ParagraphOED"/>
        <w:numPr>
          <w:ilvl w:val="0"/>
          <w:numId w:val="102"/>
        </w:numPr>
        <w:spacing w:after="160"/>
      </w:pPr>
      <w:r>
        <w:t>The GCP/REM will support the PMU in the organization of training workshops targeting the members of the LDN Working Group and other M&amp;E officers from relevant ministries, research centres and civil society organizations.</w:t>
      </w:r>
      <w:r w:rsidR="0F71BEB0">
        <w:t xml:space="preserve"> Training will follow a ‘training of trainers’ approach so that capacity building can be multiplied up (this approach is being applied generally across the project).</w:t>
      </w:r>
    </w:p>
    <w:p w14:paraId="6F3BEC22" w14:textId="12A44A02" w:rsidR="00896A8F" w:rsidRPr="00EE1655" w:rsidRDefault="00B9677B" w:rsidP="001667C6">
      <w:pPr>
        <w:pStyle w:val="ParagraphOED"/>
        <w:numPr>
          <w:ilvl w:val="0"/>
          <w:numId w:val="102"/>
        </w:numPr>
        <w:spacing w:after="160"/>
      </w:pPr>
      <w:r w:rsidRPr="00F76DB0">
        <w:t>The project will also support the strengthening of existing, digital knowledge platforms that target FFS</w:t>
      </w:r>
      <w:r w:rsidRPr="3B8109EE">
        <w:rPr>
          <w:vertAlign w:val="superscript"/>
        </w:rPr>
        <w:footnoteReference w:id="87"/>
      </w:r>
      <w:r w:rsidRPr="00F76DB0">
        <w:t xml:space="preserve">/FFPOs/CBO/rural advisory services (which will act as a channel for technical know-how on SLM/SFM to the field practitioners and will collect results and good practices) and private producers to serve as a tool that can be used by extension officers and other stakeholders to help build private practice awareness and promote the adoption of sustainable practices. This will include information regarding value-chains and markets designed to incentivize adoption of sustainable practices. The knowledge platform will be presented in both English and </w:t>
      </w:r>
      <w:r>
        <w:t>Portuguese</w:t>
      </w:r>
      <w:r w:rsidRPr="00F76DB0">
        <w:t xml:space="preserve">. </w:t>
      </w:r>
    </w:p>
    <w:tbl>
      <w:tblPr>
        <w:tblStyle w:val="TableGrid"/>
        <w:tblpPr w:leftFromText="180" w:rightFromText="180" w:vertAnchor="text" w:horzAnchor="margin" w:tblpXSpec="right" w:tblpY="70"/>
        <w:tblW w:w="0" w:type="auto"/>
        <w:tblLook w:val="04A0" w:firstRow="1" w:lastRow="0" w:firstColumn="1" w:lastColumn="0" w:noHBand="0" w:noVBand="1"/>
      </w:tblPr>
      <w:tblGrid>
        <w:gridCol w:w="1418"/>
        <w:gridCol w:w="7003"/>
      </w:tblGrid>
      <w:tr w:rsidR="00EE1655" w:rsidRPr="0071113D" w14:paraId="5554D1AA" w14:textId="77777777" w:rsidTr="3B8109EE">
        <w:tc>
          <w:tcPr>
            <w:tcW w:w="1418" w:type="dxa"/>
            <w:tcBorders>
              <w:top w:val="nil"/>
              <w:left w:val="nil"/>
              <w:bottom w:val="nil"/>
            </w:tcBorders>
            <w:tcMar>
              <w:top w:w="57" w:type="dxa"/>
              <w:left w:w="57" w:type="dxa"/>
              <w:bottom w:w="57" w:type="dxa"/>
              <w:right w:w="57" w:type="dxa"/>
            </w:tcMar>
          </w:tcPr>
          <w:p w14:paraId="24D58B20" w14:textId="44ACD8E9" w:rsidR="00EE1655" w:rsidRPr="00B70731" w:rsidRDefault="00EE1655" w:rsidP="00E40817">
            <w:pPr>
              <w:pStyle w:val="Heading5"/>
              <w:spacing w:before="0" w:after="0"/>
              <w:ind w:left="0"/>
              <w:outlineLvl w:val="4"/>
              <w:rPr>
                <w:rFonts w:cs="Calibri"/>
                <w:sz w:val="22"/>
                <w:szCs w:val="22"/>
                <w:lang w:val="en-GB"/>
              </w:rPr>
            </w:pPr>
            <w:r w:rsidRPr="00C87774">
              <w:rPr>
                <w:rFonts w:ascii="Calibri" w:hAnsi="Calibri" w:cs="Calibri"/>
                <w:sz w:val="22"/>
                <w:szCs w:val="22"/>
              </w:rPr>
              <w:t xml:space="preserve">Outcome </w:t>
            </w:r>
            <w:r>
              <w:rPr>
                <w:rFonts w:ascii="Calibri" w:hAnsi="Calibri" w:cs="Calibri"/>
                <w:sz w:val="22"/>
                <w:szCs w:val="22"/>
              </w:rPr>
              <w:t>3</w:t>
            </w:r>
            <w:r w:rsidRPr="00C87774">
              <w:rPr>
                <w:rFonts w:ascii="Calibri" w:hAnsi="Calibri" w:cs="Calibri"/>
                <w:sz w:val="22"/>
                <w:szCs w:val="22"/>
              </w:rPr>
              <w:t>.</w:t>
            </w:r>
            <w:r w:rsidR="00B70731">
              <w:rPr>
                <w:rFonts w:ascii="Calibri" w:hAnsi="Calibri" w:cs="Calibri"/>
                <w:sz w:val="22"/>
                <w:szCs w:val="22"/>
                <w:lang w:val="en-GB"/>
              </w:rPr>
              <w:t>2</w:t>
            </w:r>
          </w:p>
        </w:tc>
        <w:tc>
          <w:tcPr>
            <w:tcW w:w="7003" w:type="dxa"/>
            <w:tcMar>
              <w:top w:w="57" w:type="dxa"/>
              <w:left w:w="57" w:type="dxa"/>
              <w:bottom w:w="57" w:type="dxa"/>
              <w:right w:w="57" w:type="dxa"/>
            </w:tcMar>
          </w:tcPr>
          <w:p w14:paraId="2F471747" w14:textId="00C9B26E" w:rsidR="00EE1655" w:rsidRPr="00EE1655" w:rsidRDefault="19409777" w:rsidP="00E40817">
            <w:pPr>
              <w:pStyle w:val="Heading5"/>
              <w:spacing w:before="0" w:after="0"/>
              <w:ind w:left="0"/>
              <w:outlineLvl w:val="4"/>
              <w:rPr>
                <w:rFonts w:ascii="Calibri" w:hAnsi="Calibri" w:cs="Calibri"/>
                <w:sz w:val="22"/>
                <w:szCs w:val="22"/>
                <w:lang w:val="en-GB"/>
              </w:rPr>
            </w:pPr>
            <w:r w:rsidRPr="3B8109EE">
              <w:rPr>
                <w:rFonts w:ascii="Calibri" w:hAnsi="Calibri"/>
                <w:sz w:val="22"/>
                <w:szCs w:val="22"/>
              </w:rPr>
              <w:t xml:space="preserve">Knowledge and awareness </w:t>
            </w:r>
            <w:r w:rsidR="5E92A446" w:rsidRPr="3B8109EE">
              <w:rPr>
                <w:rFonts w:ascii="Calibri" w:hAnsi="Calibri"/>
                <w:sz w:val="22"/>
                <w:szCs w:val="22"/>
              </w:rPr>
              <w:t xml:space="preserve">enhanced </w:t>
            </w:r>
            <w:r w:rsidRPr="3B8109EE">
              <w:rPr>
                <w:rFonts w:ascii="Calibri" w:hAnsi="Calibri"/>
                <w:sz w:val="22"/>
                <w:szCs w:val="22"/>
              </w:rPr>
              <w:t>to support progress towards achiev</w:t>
            </w:r>
            <w:r w:rsidR="50D0C69E" w:rsidRPr="3B8109EE">
              <w:rPr>
                <w:rFonts w:ascii="Calibri" w:hAnsi="Calibri"/>
                <w:sz w:val="22"/>
                <w:szCs w:val="22"/>
              </w:rPr>
              <w:t>ement of</w:t>
            </w:r>
            <w:r w:rsidRPr="3B8109EE">
              <w:rPr>
                <w:rFonts w:ascii="Calibri" w:hAnsi="Calibri"/>
                <w:sz w:val="22"/>
                <w:szCs w:val="22"/>
              </w:rPr>
              <w:t xml:space="preserve"> national LDN targets </w:t>
            </w:r>
          </w:p>
        </w:tc>
      </w:tr>
    </w:tbl>
    <w:p w14:paraId="31FC3C8D" w14:textId="77777777" w:rsidR="00EE1655" w:rsidRPr="008176BC" w:rsidRDefault="00EE1655" w:rsidP="00092F72">
      <w:pPr>
        <w:pStyle w:val="Heading5"/>
        <w:ind w:left="0"/>
      </w:pPr>
    </w:p>
    <w:p w14:paraId="5DB9A498" w14:textId="48159A86" w:rsidR="00896A8F" w:rsidRDefault="00896A8F" w:rsidP="00896A8F">
      <w:pPr>
        <w:rPr>
          <w:rFonts w:asciiTheme="minorHAnsi" w:hAnsiTheme="minorHAnsi" w:cstheme="minorHAnsi"/>
          <w:sz w:val="21"/>
          <w:szCs w:val="21"/>
        </w:rPr>
      </w:pPr>
    </w:p>
    <w:p w14:paraId="23D68B3B" w14:textId="1BE34D1C" w:rsidR="00B70731" w:rsidRDefault="099A47A9" w:rsidP="001667C6">
      <w:pPr>
        <w:pStyle w:val="ParagraphOED"/>
        <w:numPr>
          <w:ilvl w:val="0"/>
          <w:numId w:val="102"/>
        </w:numPr>
        <w:spacing w:after="160"/>
      </w:pPr>
      <w:r w:rsidRPr="1E65A5F7">
        <w:rPr>
          <w:sz w:val="22"/>
          <w:szCs w:val="22"/>
        </w:rPr>
        <w:t xml:space="preserve"> Outcome 3.2 is concerned with the dynamic process of the generation, management and communication of information, including that from lesson learning/sharing and project monitoring and evaluation (M&amp;E) activities, to facilitate the sharing, transfer and up-scaling and out-scaling of knowledge and best practice produced through the project (and DSL-IP) on SLM/SFM and LDN. This is aimed at key local, national and global stakeholders to inform decision-making and to raise awareness among wider audiences. These activities link to the capacity development, monitoring and reporting efforts promoted under Components 1 and 2.</w:t>
      </w:r>
    </w:p>
    <w:p w14:paraId="1B08D9C1" w14:textId="77777777" w:rsidR="00B70731" w:rsidRPr="003168B8" w:rsidRDefault="00B70731" w:rsidP="001667C6">
      <w:pPr>
        <w:pStyle w:val="ParagraphOED"/>
        <w:numPr>
          <w:ilvl w:val="0"/>
          <w:numId w:val="102"/>
        </w:numPr>
        <w:spacing w:after="160"/>
      </w:pPr>
      <w:r>
        <w:lastRenderedPageBreak/>
        <w:t xml:space="preserve">The knowledge management and communication and awareness-raising activities will be linked to the capacity development, monitoring and reporting efforts promoted under Components 1 and 2. </w:t>
      </w:r>
    </w:p>
    <w:p w14:paraId="3D967C75" w14:textId="7A11DE6B" w:rsidR="00B70731" w:rsidRPr="00070831" w:rsidRDefault="00B70731" w:rsidP="00B70731">
      <w:pPr>
        <w:pStyle w:val="Heading6"/>
        <w:spacing w:before="160" w:after="160"/>
        <w:ind w:hanging="11"/>
        <w:rPr>
          <w:rFonts w:ascii="Calibri" w:hAnsi="Calibri" w:cs="Calibri"/>
          <w:b/>
          <w:bCs/>
          <w:sz w:val="21"/>
          <w:szCs w:val="21"/>
          <w:highlight w:val="lightGray"/>
        </w:rPr>
      </w:pPr>
      <w:r w:rsidRPr="00070831">
        <w:rPr>
          <w:rFonts w:ascii="Calibri" w:hAnsi="Calibri" w:cs="Calibri"/>
          <w:b/>
          <w:bCs/>
          <w:sz w:val="21"/>
          <w:szCs w:val="21"/>
          <w:highlight w:val="lightGray"/>
        </w:rPr>
        <w:t>Output 3.2.1</w:t>
      </w:r>
      <w:r w:rsidRPr="00070831">
        <w:rPr>
          <w:rFonts w:ascii="Calibri" w:hAnsi="Calibri" w:cs="Calibri"/>
          <w:b/>
          <w:bCs/>
          <w:sz w:val="21"/>
          <w:szCs w:val="21"/>
          <w:highlight w:val="lightGray"/>
        </w:rPr>
        <w:tab/>
      </w:r>
      <w:r w:rsidRPr="00070831">
        <w:rPr>
          <w:rFonts w:ascii="Calibri" w:hAnsi="Calibri" w:cs="Calibri"/>
          <w:sz w:val="21"/>
          <w:szCs w:val="21"/>
          <w:highlight w:val="lightGray"/>
        </w:rPr>
        <w:t>Project knowledge management, communication and dissemination framework</w:t>
      </w:r>
      <w:r w:rsidR="4FFD64A0" w:rsidRPr="00070831">
        <w:rPr>
          <w:rFonts w:ascii="Calibri" w:hAnsi="Calibri" w:cs="Calibri"/>
          <w:sz w:val="21"/>
          <w:szCs w:val="21"/>
          <w:highlight w:val="lightGray"/>
        </w:rPr>
        <w:t xml:space="preserve"> </w:t>
      </w:r>
      <w:r w:rsidRPr="00070831">
        <w:rPr>
          <w:rFonts w:ascii="Calibri" w:hAnsi="Calibri" w:cs="Calibri"/>
          <w:sz w:val="21"/>
          <w:szCs w:val="21"/>
          <w:highlight w:val="lightGray"/>
        </w:rPr>
        <w:t>and strategy developed and implemented</w:t>
      </w:r>
    </w:p>
    <w:p w14:paraId="513168F3" w14:textId="1B689259" w:rsidR="00B70731" w:rsidRPr="003168B8" w:rsidRDefault="00B70731" w:rsidP="001667C6">
      <w:pPr>
        <w:pStyle w:val="ParagraphOED"/>
        <w:numPr>
          <w:ilvl w:val="0"/>
          <w:numId w:val="102"/>
        </w:numPr>
        <w:spacing w:after="160"/>
      </w:pPr>
      <w:r>
        <w:t>Documentation and dissemination of information and knowledge about SLM/SFM and LDN methodologies, tools</w:t>
      </w:r>
      <w:r w:rsidR="33E24988">
        <w:t>, lessons learned</w:t>
      </w:r>
      <w:r>
        <w:t xml:space="preserve"> and best practices is a critical component of the project. Knowledge management, communications and outreach activities will be guided by a Knowledge Management and Communications Strategy (KMCS), supported by a project web-based knowledge management portal and innovative information-sharing program.</w:t>
      </w:r>
    </w:p>
    <w:p w14:paraId="684695B4" w14:textId="7D9BE043" w:rsidR="00CA2B1D" w:rsidRDefault="00CA2B1D" w:rsidP="001667C6">
      <w:pPr>
        <w:pStyle w:val="ParagraphOED"/>
        <w:numPr>
          <w:ilvl w:val="0"/>
          <w:numId w:val="102"/>
        </w:numPr>
        <w:spacing w:after="160"/>
      </w:pPr>
      <w:r w:rsidRPr="1E65A5F7">
        <w:rPr>
          <w:lang w:val="en-GB"/>
        </w:rPr>
        <w:t xml:space="preserve">Knowledge exchange at global level, facilitated by the GCP, will take place in two ways: the child project will actively “feed” knowledge to the global and regional platforms while benefiting from recent scientific knowledge and global evidence-based good practices provided by the platforms/exchange mechanisms in return through the Regional Exchange Mechanism (REM).  Further details about this Mechanism and how it is aligned with the GCP are provided in </w:t>
      </w:r>
      <w:r w:rsidRPr="1E65A5F7">
        <w:rPr>
          <w:b/>
          <w:bCs/>
          <w:highlight w:val="lightGray"/>
          <w:lang w:val="en-GB"/>
        </w:rPr>
        <w:t xml:space="preserve">Annex </w:t>
      </w:r>
      <w:r w:rsidR="003A7DA0" w:rsidRPr="1E65A5F7">
        <w:rPr>
          <w:b/>
          <w:bCs/>
          <w:highlight w:val="lightGray"/>
          <w:lang w:val="en-GB"/>
        </w:rPr>
        <w:t>IV-2</w:t>
      </w:r>
      <w:r w:rsidRPr="1E65A5F7">
        <w:rPr>
          <w:lang w:val="en-GB"/>
        </w:rPr>
        <w:t xml:space="preserve"> and summary details in </w:t>
      </w:r>
      <w:r w:rsidRPr="1E65A5F7">
        <w:rPr>
          <w:b/>
          <w:bCs/>
          <w:highlight w:val="lightGray"/>
          <w:lang w:val="en-GB"/>
        </w:rPr>
        <w:t>Box 11</w:t>
      </w:r>
      <w:r w:rsidRPr="1E65A5F7">
        <w:rPr>
          <w:b/>
          <w:bCs/>
          <w:lang w:val="en-GB"/>
        </w:rPr>
        <w:t>.</w:t>
      </w:r>
    </w:p>
    <w:p w14:paraId="1BF55FD8" w14:textId="77777777" w:rsidR="00B70731" w:rsidRPr="003168B8" w:rsidRDefault="00B70731" w:rsidP="001667C6">
      <w:pPr>
        <w:pStyle w:val="ParagraphOED"/>
        <w:numPr>
          <w:ilvl w:val="0"/>
          <w:numId w:val="102"/>
        </w:numPr>
        <w:spacing w:after="160"/>
      </w:pPr>
      <w:r>
        <w:t xml:space="preserve">All communication and awareness-raising materials will consider the information needs and ambitions of women and minority groups in the generation of knowledge, its dissemination and the ensuing outreach that will ultimately take place. </w:t>
      </w:r>
    </w:p>
    <w:p w14:paraId="2F6A94CC" w14:textId="77777777" w:rsidR="00B70731" w:rsidRDefault="00B70731" w:rsidP="001667C6">
      <w:pPr>
        <w:pStyle w:val="ParagraphOED"/>
        <w:numPr>
          <w:ilvl w:val="0"/>
          <w:numId w:val="102"/>
        </w:numPr>
        <w:spacing w:before="160" w:after="80"/>
        <w:rPr>
          <w:b/>
          <w:bCs/>
        </w:rPr>
      </w:pPr>
      <w:r w:rsidRPr="1E65A5F7">
        <w:rPr>
          <w:b/>
          <w:bCs/>
        </w:rPr>
        <w:t>Indicative Activities under Output 3.2.1</w:t>
      </w:r>
    </w:p>
    <w:p w14:paraId="26DB19D9" w14:textId="0BA3C229" w:rsidR="00B70731" w:rsidRPr="00E26F86" w:rsidRDefault="00B70731" w:rsidP="001667C6">
      <w:pPr>
        <w:pStyle w:val="ListParagraph"/>
        <w:numPr>
          <w:ilvl w:val="0"/>
          <w:numId w:val="67"/>
        </w:numPr>
        <w:autoSpaceDE/>
        <w:autoSpaceDN/>
        <w:adjustRightInd/>
        <w:spacing w:after="80"/>
        <w:contextualSpacing w:val="0"/>
        <w:rPr>
          <w:rFonts w:eastAsia="Calibri" w:cs="Calibri"/>
          <w:color w:val="000000" w:themeColor="text1"/>
          <w:sz w:val="21"/>
          <w:szCs w:val="21"/>
        </w:rPr>
      </w:pPr>
      <w:r w:rsidRPr="00EA4F92">
        <w:rPr>
          <w:b/>
          <w:bCs/>
          <w:sz w:val="21"/>
          <w:szCs w:val="21"/>
        </w:rPr>
        <w:t>Develop a project gender-sensitive KMCS</w:t>
      </w:r>
      <w:r w:rsidRPr="3B8109EE">
        <w:rPr>
          <w:sz w:val="21"/>
          <w:szCs w:val="21"/>
        </w:rPr>
        <w:t xml:space="preserve"> </w:t>
      </w:r>
      <w:r w:rsidR="02D412B3" w:rsidRPr="3B8109EE">
        <w:rPr>
          <w:rFonts w:eastAsia="Calibri" w:cs="Calibri"/>
        </w:rPr>
        <w:t xml:space="preserve">(based on a gender analysis to identify project-specific gender gaps/issues/constraints in relation to KMC and activities to address them) </w:t>
      </w:r>
      <w:r w:rsidRPr="3B8109EE">
        <w:rPr>
          <w:sz w:val="21"/>
          <w:szCs w:val="21"/>
        </w:rPr>
        <w:t xml:space="preserve">and associated financing plan, </w:t>
      </w:r>
      <w:r w:rsidR="2C4F08DB" w:rsidRPr="3B8109EE">
        <w:rPr>
          <w:sz w:val="21"/>
          <w:szCs w:val="21"/>
        </w:rPr>
        <w:t>to</w:t>
      </w:r>
      <w:r w:rsidRPr="3B8109EE">
        <w:rPr>
          <w:sz w:val="21"/>
          <w:szCs w:val="21"/>
        </w:rPr>
        <w:t xml:space="preserve"> guide all knowledge management, communication and </w:t>
      </w:r>
      <w:r w:rsidR="5D85B236" w:rsidRPr="3B8109EE">
        <w:rPr>
          <w:sz w:val="21"/>
          <w:szCs w:val="21"/>
        </w:rPr>
        <w:t>outreach</w:t>
      </w:r>
      <w:r w:rsidRPr="3B8109EE">
        <w:rPr>
          <w:sz w:val="21"/>
          <w:szCs w:val="21"/>
        </w:rPr>
        <w:t xml:space="preserve"> activities, as well as tailored knowledge management and communications plans for individual target landscapes and </w:t>
      </w:r>
      <w:r w:rsidR="0EAE32D0" w:rsidRPr="3B8109EE">
        <w:rPr>
          <w:sz w:val="21"/>
          <w:szCs w:val="21"/>
        </w:rPr>
        <w:t xml:space="preserve">their </w:t>
      </w:r>
      <w:r w:rsidRPr="3B8109EE">
        <w:rPr>
          <w:sz w:val="21"/>
          <w:szCs w:val="21"/>
        </w:rPr>
        <w:t>respective districts</w:t>
      </w:r>
      <w:r w:rsidR="01AFBB13" w:rsidRPr="3B8109EE">
        <w:rPr>
          <w:sz w:val="21"/>
          <w:szCs w:val="21"/>
        </w:rPr>
        <w:t>/communities.</w:t>
      </w:r>
      <w:r w:rsidRPr="3B8109EE">
        <w:rPr>
          <w:sz w:val="21"/>
          <w:szCs w:val="21"/>
        </w:rPr>
        <w:t xml:space="preserve"> (The Landscape Management Committees </w:t>
      </w:r>
      <w:r w:rsidR="0AD827DB" w:rsidRPr="3B8109EE">
        <w:rPr>
          <w:sz w:val="21"/>
          <w:szCs w:val="21"/>
        </w:rPr>
        <w:t xml:space="preserve">and agriculture and forestry extension services </w:t>
      </w:r>
      <w:r w:rsidRPr="3B8109EE">
        <w:rPr>
          <w:sz w:val="21"/>
          <w:szCs w:val="21"/>
        </w:rPr>
        <w:t>will disseminate information about the initiative among relevant stakeholders in each target landscape.)</w:t>
      </w:r>
    </w:p>
    <w:p w14:paraId="3E7B551A" w14:textId="77777777" w:rsidR="00B70731" w:rsidRPr="00E26F86" w:rsidRDefault="00B70731" w:rsidP="001667C6">
      <w:pPr>
        <w:pStyle w:val="ListParagraph"/>
        <w:numPr>
          <w:ilvl w:val="0"/>
          <w:numId w:val="67"/>
        </w:numPr>
        <w:autoSpaceDE/>
        <w:autoSpaceDN/>
        <w:adjustRightInd/>
        <w:spacing w:after="80"/>
        <w:contextualSpacing w:val="0"/>
        <w:rPr>
          <w:sz w:val="21"/>
          <w:szCs w:val="21"/>
        </w:rPr>
      </w:pPr>
      <w:r w:rsidRPr="00CA6A21">
        <w:rPr>
          <w:b/>
          <w:bCs/>
          <w:sz w:val="21"/>
          <w:szCs w:val="21"/>
        </w:rPr>
        <w:t>Produce project communication materials and events</w:t>
      </w:r>
      <w:r w:rsidRPr="3B8109EE">
        <w:rPr>
          <w:sz w:val="21"/>
          <w:szCs w:val="21"/>
        </w:rPr>
        <w:t xml:space="preserve"> (including final workshop) informing multiple stakeholder audiences (from national to community levels) about project aims, progress and results, using the most appropriate means to the target audience.</w:t>
      </w:r>
    </w:p>
    <w:p w14:paraId="1C7C93EC" w14:textId="77777777" w:rsidR="00B70731" w:rsidRPr="00E26F86" w:rsidRDefault="00B70731" w:rsidP="001667C6">
      <w:pPr>
        <w:pStyle w:val="ListParagraph"/>
        <w:numPr>
          <w:ilvl w:val="0"/>
          <w:numId w:val="67"/>
        </w:numPr>
        <w:autoSpaceDE/>
        <w:autoSpaceDN/>
        <w:adjustRightInd/>
        <w:spacing w:after="80"/>
        <w:contextualSpacing w:val="0"/>
        <w:rPr>
          <w:sz w:val="21"/>
          <w:szCs w:val="21"/>
        </w:rPr>
      </w:pPr>
      <w:r w:rsidRPr="00FF3C00">
        <w:rPr>
          <w:b/>
          <w:bCs/>
          <w:sz w:val="21"/>
          <w:szCs w:val="21"/>
        </w:rPr>
        <w:t>Synthesise all new project-generated knowledge acquired about SLM/SFM and LDN in Miombo-Mopane landscapes</w:t>
      </w:r>
      <w:r w:rsidRPr="3B8109EE">
        <w:rPr>
          <w:sz w:val="21"/>
          <w:szCs w:val="21"/>
        </w:rPr>
        <w:t xml:space="preserve"> and publication of relevant results in academic journals. (It is expected that the project will generate and systematically document lessons learned that will contribute to understanding the complex dynamics of this ecosystem/biome, their values and the multiple demands placed upon them.) </w:t>
      </w:r>
    </w:p>
    <w:p w14:paraId="72439787" w14:textId="77777777" w:rsidR="00B70731" w:rsidRPr="00E26F86" w:rsidRDefault="00B70731" w:rsidP="001667C6">
      <w:pPr>
        <w:pStyle w:val="ListParagraph"/>
        <w:numPr>
          <w:ilvl w:val="0"/>
          <w:numId w:val="67"/>
        </w:numPr>
        <w:autoSpaceDE/>
        <w:autoSpaceDN/>
        <w:adjustRightInd/>
        <w:spacing w:after="80"/>
        <w:contextualSpacing w:val="0"/>
        <w:rPr>
          <w:sz w:val="21"/>
          <w:szCs w:val="21"/>
        </w:rPr>
      </w:pPr>
      <w:r w:rsidRPr="0029576D">
        <w:rPr>
          <w:b/>
          <w:bCs/>
          <w:sz w:val="21"/>
          <w:szCs w:val="21"/>
        </w:rPr>
        <w:t>Establish an online web-based platform for hosting and disseminating project-related communication materials, lessons learned and best practices</w:t>
      </w:r>
      <w:r w:rsidRPr="3B8109EE">
        <w:rPr>
          <w:sz w:val="21"/>
          <w:szCs w:val="21"/>
        </w:rPr>
        <w:t xml:space="preserve"> from the project and wider SFM-DSL IP network; and disseminate them among relevant audiences.</w:t>
      </w:r>
    </w:p>
    <w:p w14:paraId="26190B3C" w14:textId="02A8F105" w:rsidR="00B70731" w:rsidRPr="00E26F86" w:rsidRDefault="00B70731" w:rsidP="001667C6">
      <w:pPr>
        <w:pStyle w:val="ListParagraph"/>
        <w:numPr>
          <w:ilvl w:val="0"/>
          <w:numId w:val="67"/>
        </w:numPr>
        <w:autoSpaceDE/>
        <w:autoSpaceDN/>
        <w:adjustRightInd/>
        <w:spacing w:after="80"/>
        <w:contextualSpacing w:val="0"/>
        <w:rPr>
          <w:sz w:val="21"/>
          <w:szCs w:val="21"/>
        </w:rPr>
      </w:pPr>
      <w:r w:rsidRPr="001E1A7D">
        <w:rPr>
          <w:b/>
          <w:bCs/>
          <w:sz w:val="21"/>
          <w:szCs w:val="21"/>
        </w:rPr>
        <w:t>Develop a framework/process for transferring key project reports, studies, experiences and lessons learned</w:t>
      </w:r>
      <w:r w:rsidRPr="3B8109EE">
        <w:rPr>
          <w:sz w:val="21"/>
          <w:szCs w:val="21"/>
        </w:rPr>
        <w:t xml:space="preserve">, ‘best practice’ documents, and other relevant material on LDN to national, regional and global databases/knowledge platforms, including the national LDN knowledge platform (identified in Output 3.1.1) and WOCAT. </w:t>
      </w:r>
    </w:p>
    <w:p w14:paraId="29D0B392" w14:textId="2632F175" w:rsidR="00B70731" w:rsidRPr="00E26F86" w:rsidRDefault="00B70731" w:rsidP="001667C6">
      <w:pPr>
        <w:pStyle w:val="ListParagraph"/>
        <w:numPr>
          <w:ilvl w:val="0"/>
          <w:numId w:val="67"/>
        </w:numPr>
        <w:autoSpaceDE/>
        <w:autoSpaceDN/>
        <w:adjustRightInd/>
        <w:spacing w:after="80"/>
        <w:contextualSpacing w:val="0"/>
        <w:rPr>
          <w:sz w:val="21"/>
          <w:szCs w:val="21"/>
        </w:rPr>
      </w:pPr>
      <w:r w:rsidRPr="001E1A7D">
        <w:rPr>
          <w:b/>
          <w:bCs/>
          <w:sz w:val="21"/>
          <w:szCs w:val="21"/>
        </w:rPr>
        <w:t xml:space="preserve">Liaise with the GCP/REM </w:t>
      </w:r>
      <w:r w:rsidR="54364A3C" w:rsidRPr="001E1A7D">
        <w:rPr>
          <w:b/>
          <w:bCs/>
          <w:sz w:val="21"/>
          <w:szCs w:val="21"/>
        </w:rPr>
        <w:t xml:space="preserve">to </w:t>
      </w:r>
      <w:r w:rsidRPr="001E1A7D">
        <w:rPr>
          <w:b/>
          <w:bCs/>
          <w:sz w:val="21"/>
          <w:szCs w:val="21"/>
        </w:rPr>
        <w:t>establish two-way flow of project-generated information and knowledge between the child project in Angola and the GCP and other SFM-DSL IP countries</w:t>
      </w:r>
      <w:r w:rsidRPr="3B8109EE">
        <w:rPr>
          <w:sz w:val="21"/>
          <w:szCs w:val="21"/>
        </w:rPr>
        <w:t>. (The GCP/REM will support the project</w:t>
      </w:r>
      <w:r w:rsidR="42481DA5" w:rsidRPr="3B8109EE">
        <w:rPr>
          <w:sz w:val="21"/>
          <w:szCs w:val="21"/>
        </w:rPr>
        <w:t xml:space="preserve"> to</w:t>
      </w:r>
      <w:r w:rsidRPr="3B8109EE">
        <w:rPr>
          <w:sz w:val="21"/>
          <w:szCs w:val="21"/>
        </w:rPr>
        <w:t xml:space="preserve"> identify appropriate and standardized means of documenting lessons learned and best practices to reach the different audiences – rural communities, NGOs, civil servants, researchers, policy-makers, donors – in the most appropriate fashion.) </w:t>
      </w:r>
    </w:p>
    <w:p w14:paraId="13CB96D3" w14:textId="5697C9A4" w:rsidR="00B70731" w:rsidRPr="00EC764F" w:rsidRDefault="00B70731" w:rsidP="001667C6">
      <w:pPr>
        <w:pStyle w:val="ListParagraph"/>
        <w:numPr>
          <w:ilvl w:val="0"/>
          <w:numId w:val="67"/>
        </w:numPr>
        <w:spacing w:after="80"/>
        <w:rPr>
          <w:b/>
          <w:bCs/>
          <w:sz w:val="21"/>
          <w:szCs w:val="21"/>
        </w:rPr>
      </w:pPr>
      <w:r w:rsidRPr="3B8109EE">
        <w:rPr>
          <w:sz w:val="21"/>
          <w:szCs w:val="21"/>
        </w:rPr>
        <w:lastRenderedPageBreak/>
        <w:t xml:space="preserve">Design and deliver a training module on communication and outreach to </w:t>
      </w:r>
      <w:r w:rsidRPr="00EC764F">
        <w:rPr>
          <w:b/>
          <w:bCs/>
          <w:sz w:val="21"/>
          <w:szCs w:val="21"/>
        </w:rPr>
        <w:t>develop the capacity of the Project Management Unit and key stakeholders design and deliver effective social-media content.</w:t>
      </w:r>
    </w:p>
    <w:p w14:paraId="57009D86" w14:textId="3927F581" w:rsidR="4F00E3D6" w:rsidRDefault="4F00E3D6" w:rsidP="001667C6">
      <w:pPr>
        <w:pStyle w:val="ListParagraph"/>
        <w:numPr>
          <w:ilvl w:val="0"/>
          <w:numId w:val="67"/>
        </w:numPr>
        <w:spacing w:after="80"/>
        <w:rPr>
          <w:sz w:val="21"/>
          <w:szCs w:val="21"/>
        </w:rPr>
      </w:pPr>
      <w:r w:rsidRPr="00002EE7">
        <w:rPr>
          <w:rFonts w:eastAsia="Calibri" w:cs="Calibri"/>
          <w:b/>
          <w:bCs/>
        </w:rPr>
        <w:t>Participate in relevant Communities of Practice to exchange project knowledge</w:t>
      </w:r>
      <w:r w:rsidRPr="3B8109EE">
        <w:rPr>
          <w:rFonts w:eastAsia="Calibri" w:cs="Calibri"/>
        </w:rPr>
        <w:t xml:space="preserve"> and learning and sharing results with project stakeholders.</w:t>
      </w:r>
    </w:p>
    <w:p w14:paraId="628BCC83" w14:textId="77636EEF" w:rsidR="4F00E3D6" w:rsidRPr="00002EE7" w:rsidRDefault="4F00E3D6" w:rsidP="001667C6">
      <w:pPr>
        <w:pStyle w:val="ListParagraph"/>
        <w:numPr>
          <w:ilvl w:val="0"/>
          <w:numId w:val="67"/>
        </w:numPr>
        <w:spacing w:after="80"/>
        <w:rPr>
          <w:b/>
          <w:bCs/>
          <w:sz w:val="21"/>
          <w:szCs w:val="21"/>
        </w:rPr>
      </w:pPr>
      <w:r w:rsidRPr="00002EE7">
        <w:rPr>
          <w:rFonts w:eastAsia="Calibri" w:cs="Calibri"/>
          <w:b/>
          <w:bCs/>
        </w:rPr>
        <w:t>Participate in regional and global events of relevance for knowledge management in coordination with the GCP/REM.</w:t>
      </w:r>
    </w:p>
    <w:p w14:paraId="52796B02" w14:textId="03EA96E7" w:rsidR="3B8109EE" w:rsidRPr="00533B65" w:rsidRDefault="3B8109EE" w:rsidP="3B8109EE">
      <w:pPr>
        <w:pStyle w:val="Default"/>
      </w:pPr>
    </w:p>
    <w:p w14:paraId="1326D507" w14:textId="0B65E888" w:rsidR="00B70731" w:rsidRPr="003168B8" w:rsidRDefault="00B70731" w:rsidP="001667C6">
      <w:pPr>
        <w:pStyle w:val="ParagraphOED"/>
        <w:numPr>
          <w:ilvl w:val="0"/>
          <w:numId w:val="102"/>
        </w:numPr>
        <w:spacing w:after="160"/>
      </w:pPr>
      <w:r>
        <w:t>The KMCS will address the systematic creation, documentation and sharing of knowledge on sustainable dryland management and LDN through local and national data platforms as well as contribute to global knowledge platforms. It will set out a systematic knowledge management process to capture and exchange lessons learned and best practices in SLM/SFM and LDN</w:t>
      </w:r>
      <w:r w:rsidR="0B5B1470">
        <w:t>,</w:t>
      </w:r>
      <w:r>
        <w:t xml:space="preserve"> and will support knowledge development and communication activities to systematize and disseminate them at local and national levels, as well as with other SFM-DSL IP countries. It will address the needs of practitioners, decision-makers and local stakeholders, making use of both traditional and new communication media and networks.</w:t>
      </w:r>
    </w:p>
    <w:p w14:paraId="53C725E3" w14:textId="25A44537" w:rsidR="00B70731" w:rsidRPr="003168B8" w:rsidRDefault="00B70731" w:rsidP="001667C6">
      <w:pPr>
        <w:pStyle w:val="ParagraphOED"/>
        <w:numPr>
          <w:ilvl w:val="0"/>
          <w:numId w:val="102"/>
        </w:numPr>
        <w:spacing w:after="160"/>
      </w:pPr>
      <w:r>
        <w:t>Project communication materials (culturally appropriate and in relevant languages) for dissemination to all relevant national and landscape-level government agencies and key stakeholders will include various digital and printed knowledge products (e.g. publications, leaflets, journal articles, booklets, case studies, best practice documents, presentations and audio-visual materials), as well as social media content and a quarterly electronic project newsletter. Communication events with stakeholders may include information days, on-farm demonstrations, local fairs</w:t>
      </w:r>
      <w:r w:rsidR="529D7F1C">
        <w:t xml:space="preserve"> and </w:t>
      </w:r>
      <w:r>
        <w:t>radio programs. TV and radio stations will be key partners in the dissemination of news about the project.</w:t>
      </w:r>
    </w:p>
    <w:p w14:paraId="1A056616" w14:textId="77777777" w:rsidR="00B70731" w:rsidRPr="003168B8" w:rsidRDefault="00B70731" w:rsidP="001667C6">
      <w:pPr>
        <w:pStyle w:val="ParagraphOED"/>
        <w:numPr>
          <w:ilvl w:val="0"/>
          <w:numId w:val="102"/>
        </w:numPr>
        <w:spacing w:after="160"/>
      </w:pPr>
      <w:r>
        <w:t>The KMCS will integrate innovative tools, including web-based and smart-phone applications designed to engage and inform stakeholders at multiple levels (e.g. easily accessible to farmers and rural private producers), based upon best international practices such as farmer channels. It will also incorporate specific monitoring tools to ensure that key audiences are reached and engaged and can contribute and that the project is effectively communicating key messages and results.</w:t>
      </w:r>
    </w:p>
    <w:p w14:paraId="5C2A0DB1" w14:textId="77777777" w:rsidR="00B70731" w:rsidRPr="003168B8" w:rsidRDefault="00B70731" w:rsidP="001667C6">
      <w:pPr>
        <w:pStyle w:val="ParagraphOED"/>
        <w:numPr>
          <w:ilvl w:val="0"/>
          <w:numId w:val="102"/>
        </w:numPr>
        <w:spacing w:after="160"/>
      </w:pPr>
      <w:r>
        <w:t>At the local level, FFS, FFPOs and Forest Learning Groups will act as channels for technical know-how on SLM/SFM to the field practitioners and will collect results and good practices that will feed the awareness-raising and outreach work of the project and the Landscape Management Committees, and eventually the knowledge management structure and LDN platform at the national level.</w:t>
      </w:r>
    </w:p>
    <w:p w14:paraId="545C25E0" w14:textId="6230BD36" w:rsidR="00B70731" w:rsidRPr="003168B8" w:rsidRDefault="00B70731" w:rsidP="001667C6">
      <w:pPr>
        <w:pStyle w:val="ParagraphOED"/>
        <w:numPr>
          <w:ilvl w:val="0"/>
          <w:numId w:val="102"/>
        </w:numPr>
        <w:spacing w:after="160"/>
      </w:pPr>
      <w:r>
        <w:t xml:space="preserve">The KMCS activities will be aligned with the GEF communication and visibility policy and FAO’s corporate communication strategy. </w:t>
      </w:r>
      <w:r w:rsidR="0BE2720B">
        <w:t xml:space="preserve"> </w:t>
      </w:r>
      <w:r w:rsidR="0BE2720B" w:rsidRPr="1E65A5F7">
        <w:rPr>
          <w:sz w:val="22"/>
          <w:szCs w:val="22"/>
        </w:rPr>
        <w:t xml:space="preserve">All project knowledge, communication and awareness-raising activities will be tailored to the target audience and consider the information needs and ambitions of women and minority groups. A Knowledge Management and Communications specialist will be employed as part of the PMU, and working with other relevant specialists, e.g. journalists, to identify and create targeted products (e.g. ‘success stories’ for the media). </w:t>
      </w:r>
    </w:p>
    <w:p w14:paraId="41522F8D" w14:textId="46C22E73" w:rsidR="00B70731" w:rsidRPr="003168B8" w:rsidRDefault="00B70731" w:rsidP="001667C6">
      <w:pPr>
        <w:pStyle w:val="ParagraphOED"/>
        <w:numPr>
          <w:ilvl w:val="0"/>
          <w:numId w:val="102"/>
        </w:numPr>
        <w:spacing w:after="160"/>
      </w:pPr>
      <w:r>
        <w:t xml:space="preserve">The KMCS for the project will be </w:t>
      </w:r>
      <w:r w:rsidR="0605C48C">
        <w:t xml:space="preserve">formed by, and </w:t>
      </w:r>
      <w:r>
        <w:t>closely aligned with</w:t>
      </w:r>
      <w:r w:rsidR="5B9271BA">
        <w:t>,</w:t>
      </w:r>
      <w:r>
        <w:t xml:space="preserve"> that at the program level, as well as harmonized with those of the other Miombo/Mopane child projects through the GCP/REM. This will facilitate the sharing of evidence-based good practices </w:t>
      </w:r>
      <w:r w:rsidR="6F84AB83">
        <w:t xml:space="preserve">between countries and across the program. </w:t>
      </w:r>
      <w:r>
        <w:t xml:space="preserve"> ( The project will actively “feed” </w:t>
      </w:r>
      <w:r w:rsidR="096E9CBB">
        <w:t xml:space="preserve">into, </w:t>
      </w:r>
      <w:r>
        <w:t xml:space="preserve">and share knowledge </w:t>
      </w:r>
      <w:r w:rsidR="12AF0E26">
        <w:t xml:space="preserve">with, </w:t>
      </w:r>
      <w:r>
        <w:t xml:space="preserve"> </w:t>
      </w:r>
      <w:r w:rsidR="4BE0C847">
        <w:t xml:space="preserve">relevant </w:t>
      </w:r>
      <w:r>
        <w:t xml:space="preserve">regional and global platforms, </w:t>
      </w:r>
      <w:r w:rsidR="41CCAF27">
        <w:t xml:space="preserve">such as </w:t>
      </w:r>
      <w:r w:rsidR="00DD10D6">
        <w:t>Committee</w:t>
      </w:r>
      <w:r w:rsidR="41CCAF27">
        <w:t xml:space="preserve"> on </w:t>
      </w:r>
      <w:r w:rsidR="00DD10D6">
        <w:t>Forestry W</w:t>
      </w:r>
      <w:r w:rsidR="41CCAF27">
        <w:t xml:space="preserve">orking </w:t>
      </w:r>
      <w:r w:rsidR="00DD10D6">
        <w:t>Group</w:t>
      </w:r>
      <w:r w:rsidR="41CCAF27">
        <w:t xml:space="preserve"> on dryland</w:t>
      </w:r>
      <w:r w:rsidR="00DD10D6">
        <w:t xml:space="preserve"> forest</w:t>
      </w:r>
      <w:r w:rsidR="41CCAF27">
        <w:t>s</w:t>
      </w:r>
      <w:r w:rsidR="00DD10D6">
        <w:t xml:space="preserve"> and Agrosilvopastoral systems</w:t>
      </w:r>
      <w:r w:rsidR="41CCAF27">
        <w:t xml:space="preserve">, UNCCD, (SADC’s GGWI-S) knowledge platforms and exchange mechanisms, </w:t>
      </w:r>
      <w:r>
        <w:t>while benefiting from recent scientific knowledge and global best practices provided by the platforms in return</w:t>
      </w:r>
      <w:r w:rsidR="23841BD2">
        <w:t>.</w:t>
      </w:r>
    </w:p>
    <w:p w14:paraId="55C1CC2B" w14:textId="5EA33C45" w:rsidR="000C5DB8" w:rsidRPr="00613A2E" w:rsidRDefault="000C5DB8" w:rsidP="000C5DB8">
      <w:pPr>
        <w:pStyle w:val="Heading6"/>
        <w:spacing w:before="160" w:after="160"/>
        <w:ind w:hanging="11"/>
        <w:rPr>
          <w:rFonts w:ascii="Calibri" w:hAnsi="Calibri" w:cs="Calibri"/>
          <w:b/>
          <w:bCs/>
          <w:sz w:val="21"/>
          <w:szCs w:val="21"/>
          <w:highlight w:val="lightGray"/>
        </w:rPr>
      </w:pPr>
      <w:r w:rsidRPr="00613A2E">
        <w:rPr>
          <w:rFonts w:ascii="Calibri" w:hAnsi="Calibri" w:cs="Calibri"/>
          <w:b/>
          <w:bCs/>
          <w:sz w:val="21"/>
          <w:szCs w:val="21"/>
          <w:highlight w:val="lightGray"/>
        </w:rPr>
        <w:lastRenderedPageBreak/>
        <w:t>Output 3.2.2</w:t>
      </w:r>
      <w:r w:rsidR="109E0D9D" w:rsidRPr="00613A2E">
        <w:rPr>
          <w:rFonts w:ascii="Calibri" w:hAnsi="Calibri" w:cs="Calibri"/>
          <w:b/>
          <w:bCs/>
          <w:sz w:val="21"/>
          <w:szCs w:val="21"/>
          <w:highlight w:val="lightGray"/>
        </w:rPr>
        <w:t xml:space="preserve"> </w:t>
      </w:r>
      <w:r w:rsidR="00211AD1" w:rsidRPr="00613A2E">
        <w:rPr>
          <w:rFonts w:ascii="Calibri" w:hAnsi="Calibri" w:cs="Calibri"/>
          <w:b/>
          <w:bCs/>
          <w:sz w:val="21"/>
          <w:szCs w:val="21"/>
          <w:highlight w:val="lightGray"/>
        </w:rPr>
        <w:tab/>
      </w:r>
      <w:r w:rsidRPr="00613A2E">
        <w:rPr>
          <w:rFonts w:ascii="Calibri" w:hAnsi="Calibri" w:cs="Calibri"/>
          <w:sz w:val="21"/>
          <w:szCs w:val="21"/>
          <w:highlight w:val="lightGray"/>
        </w:rPr>
        <w:t xml:space="preserve">Project M&amp;E framework, supporting lesson learning and </w:t>
      </w:r>
      <w:r w:rsidR="5A6D4CC0" w:rsidRPr="00613A2E">
        <w:rPr>
          <w:rFonts w:ascii="Calibri" w:hAnsi="Calibri" w:cs="Calibri"/>
          <w:sz w:val="21"/>
          <w:szCs w:val="21"/>
          <w:highlight w:val="lightGray"/>
        </w:rPr>
        <w:t xml:space="preserve">guiding </w:t>
      </w:r>
      <w:r w:rsidRPr="00613A2E">
        <w:rPr>
          <w:rFonts w:ascii="Calibri" w:hAnsi="Calibri" w:cs="Calibri"/>
          <w:sz w:val="21"/>
          <w:szCs w:val="21"/>
          <w:highlight w:val="lightGray"/>
        </w:rPr>
        <w:t>adaptive management, developed and operational from national to community levels</w:t>
      </w:r>
    </w:p>
    <w:p w14:paraId="06C27D31" w14:textId="32941675" w:rsidR="000C5DB8" w:rsidRPr="007C21F4" w:rsidRDefault="000C5DB8" w:rsidP="001667C6">
      <w:pPr>
        <w:pStyle w:val="ParagraphOED"/>
        <w:numPr>
          <w:ilvl w:val="0"/>
          <w:numId w:val="102"/>
        </w:numPr>
        <w:spacing w:after="160"/>
      </w:pPr>
      <w:r>
        <w:t xml:space="preserve">The project will develop and implement a detailed M&amp;E framework (see Section 9), which includes the Mid-Term Review (MTR) and Terminal Evaluation (TE), to support an adaptive, results-based management approach to improve the efficiency and effectiveness of project management and </w:t>
      </w:r>
      <w:r w:rsidR="71785D64">
        <w:t>delivery of project results and impacts</w:t>
      </w:r>
      <w:r>
        <w:t>.  The project M&amp;E framework will be consistent with the</w:t>
      </w:r>
      <w:r w:rsidR="1F724AF9">
        <w:t xml:space="preserve"> overall M&amp;E framework and</w:t>
      </w:r>
      <w:r>
        <w:t xml:space="preserve"> learning program of the REM established by the GCP. </w:t>
      </w:r>
    </w:p>
    <w:p w14:paraId="6E498608" w14:textId="51332428" w:rsidR="000C5DB8" w:rsidRPr="0068531C" w:rsidRDefault="53291A9B" w:rsidP="001667C6">
      <w:pPr>
        <w:pStyle w:val="ParagraphOED"/>
        <w:numPr>
          <w:ilvl w:val="0"/>
          <w:numId w:val="102"/>
        </w:numPr>
        <w:spacing w:after="160"/>
      </w:pPr>
      <w:r>
        <w:t xml:space="preserve">The project’s M&amp;E framework will generate and systematically document lessons learned (supported by the GCP/REM on methodology) that will contribute to the knowledge base on SLM/SFM approaches and practices and means to achieve LDN targets. The project will identify and share lessons through sub-national, national and regional level meetings, exchange visits and various knowledge products, with </w:t>
      </w:r>
      <w:r w:rsidR="1C23AEF5">
        <w:t>neighboring</w:t>
      </w:r>
      <w:r>
        <w:t xml:space="preserve"> IP and non-IP countries. It is expected that the project will provide important lessons on land tenure and access, resilience, the role of women in the sustainable management of drylands, effectiveness of public-private partnerships in addressing land degradation, and the effectiveness of market-based instruments such as ‘branding’ to encourage and maintain sustainable land management practices.</w:t>
      </w:r>
    </w:p>
    <w:p w14:paraId="15A7DAD1" w14:textId="77777777" w:rsidR="000C5DB8" w:rsidRDefault="000C5DB8" w:rsidP="001667C6">
      <w:pPr>
        <w:pStyle w:val="ParagraphOED"/>
        <w:numPr>
          <w:ilvl w:val="0"/>
          <w:numId w:val="102"/>
        </w:numPr>
        <w:spacing w:before="160" w:after="80"/>
        <w:rPr>
          <w:b/>
          <w:bCs/>
        </w:rPr>
      </w:pPr>
      <w:r w:rsidRPr="1E65A5F7">
        <w:rPr>
          <w:b/>
          <w:bCs/>
        </w:rPr>
        <w:t>Indicative Activities under Output 3.2.2</w:t>
      </w:r>
    </w:p>
    <w:p w14:paraId="63824BC8" w14:textId="47EC6B4D" w:rsidR="000C5DB8" w:rsidRPr="00E26F86" w:rsidRDefault="000C5DB8" w:rsidP="001667C6">
      <w:pPr>
        <w:pStyle w:val="ListParagraph"/>
        <w:numPr>
          <w:ilvl w:val="0"/>
          <w:numId w:val="96"/>
        </w:numPr>
        <w:autoSpaceDE/>
        <w:autoSpaceDN/>
        <w:adjustRightInd/>
        <w:spacing w:after="80"/>
        <w:contextualSpacing w:val="0"/>
        <w:rPr>
          <w:sz w:val="21"/>
          <w:szCs w:val="21"/>
        </w:rPr>
      </w:pPr>
      <w:r w:rsidRPr="002C794F">
        <w:rPr>
          <w:b/>
          <w:bCs/>
          <w:sz w:val="21"/>
          <w:szCs w:val="21"/>
        </w:rPr>
        <w:t>Further development and implementation of the project M&amp;E strategy</w:t>
      </w:r>
      <w:r w:rsidRPr="3B8109EE">
        <w:rPr>
          <w:sz w:val="21"/>
          <w:szCs w:val="21"/>
        </w:rPr>
        <w:t xml:space="preserve"> (Section 9 of Project Document), with the role of each project stakeholder group/institution involved in project-related monitoring, evaluation and reporting agreed (in a participatory manner); and, where needed, training </w:t>
      </w:r>
      <w:r w:rsidR="5D41FAEB" w:rsidRPr="3B8109EE">
        <w:rPr>
          <w:sz w:val="21"/>
          <w:szCs w:val="21"/>
        </w:rPr>
        <w:t xml:space="preserve">(including guidelines) </w:t>
      </w:r>
      <w:r w:rsidRPr="3B8109EE">
        <w:rPr>
          <w:sz w:val="21"/>
          <w:szCs w:val="21"/>
        </w:rPr>
        <w:t>provided on the implementation of the M&amp;E strategy.</w:t>
      </w:r>
    </w:p>
    <w:p w14:paraId="3C85B6D0" w14:textId="6A828598" w:rsidR="120DD5C5" w:rsidRDefault="120DD5C5" w:rsidP="001667C6">
      <w:pPr>
        <w:pStyle w:val="ListParagraph"/>
        <w:numPr>
          <w:ilvl w:val="0"/>
          <w:numId w:val="96"/>
        </w:numPr>
        <w:spacing w:after="80"/>
        <w:rPr>
          <w:sz w:val="21"/>
          <w:szCs w:val="21"/>
        </w:rPr>
      </w:pPr>
      <w:r w:rsidRPr="00B1167D">
        <w:rPr>
          <w:b/>
          <w:bCs/>
          <w:sz w:val="21"/>
          <w:szCs w:val="21"/>
        </w:rPr>
        <w:t>Support development of community-level participatory monitoring of project activities</w:t>
      </w:r>
      <w:r w:rsidRPr="4235EC14">
        <w:rPr>
          <w:sz w:val="21"/>
          <w:szCs w:val="21"/>
        </w:rPr>
        <w:t>, with training in M&amp;E methods as needed.</w:t>
      </w:r>
    </w:p>
    <w:p w14:paraId="18A218EA" w14:textId="53DD4C1A" w:rsidR="000C5DB8" w:rsidRPr="00E26F86" w:rsidRDefault="000C5DB8" w:rsidP="001667C6">
      <w:pPr>
        <w:pStyle w:val="ListParagraph"/>
        <w:numPr>
          <w:ilvl w:val="0"/>
          <w:numId w:val="96"/>
        </w:numPr>
        <w:autoSpaceDE/>
        <w:autoSpaceDN/>
        <w:adjustRightInd/>
        <w:spacing w:after="80"/>
        <w:contextualSpacing w:val="0"/>
        <w:rPr>
          <w:sz w:val="21"/>
          <w:szCs w:val="21"/>
        </w:rPr>
      </w:pPr>
      <w:r w:rsidRPr="00C064CD">
        <w:rPr>
          <w:b/>
          <w:bCs/>
          <w:sz w:val="21"/>
          <w:szCs w:val="21"/>
        </w:rPr>
        <w:t>Review and revise the project objective and outcome-level indicators and their associated baseline and targets during the project inception period</w:t>
      </w:r>
      <w:r w:rsidRPr="00E26F86">
        <w:rPr>
          <w:sz w:val="21"/>
          <w:szCs w:val="21"/>
        </w:rPr>
        <w:t xml:space="preserve"> (first 3 months of implementation) to ensure that indicators are SMART</w:t>
      </w:r>
      <w:r w:rsidRPr="3B8109EE">
        <w:rPr>
          <w:sz w:val="21"/>
          <w:szCs w:val="21"/>
          <w:vertAlign w:val="superscript"/>
        </w:rPr>
        <w:footnoteReference w:id="88"/>
      </w:r>
      <w:r w:rsidRPr="00E26F86">
        <w:rPr>
          <w:sz w:val="21"/>
          <w:szCs w:val="21"/>
        </w:rPr>
        <w:t>, baseline data complete and targets realistic, particularly with respect to any prevailing COVID-19 limitations on the project at the start of implementation</w:t>
      </w:r>
      <w:r w:rsidR="5FC04422" w:rsidRPr="4235EC14">
        <w:rPr>
          <w:sz w:val="21"/>
          <w:szCs w:val="21"/>
        </w:rPr>
        <w:t>.</w:t>
      </w:r>
      <w:r w:rsidRPr="00E26F86">
        <w:rPr>
          <w:sz w:val="21"/>
          <w:szCs w:val="21"/>
        </w:rPr>
        <w:t xml:space="preserve"> </w:t>
      </w:r>
    </w:p>
    <w:p w14:paraId="1DA29A02" w14:textId="6BBD6732" w:rsidR="000C5DB8" w:rsidRPr="00E26F86" w:rsidRDefault="000C5DB8" w:rsidP="001667C6">
      <w:pPr>
        <w:pStyle w:val="ListParagraph"/>
        <w:numPr>
          <w:ilvl w:val="0"/>
          <w:numId w:val="96"/>
        </w:numPr>
        <w:autoSpaceDE/>
        <w:autoSpaceDN/>
        <w:adjustRightInd/>
        <w:spacing w:after="80"/>
        <w:contextualSpacing w:val="0"/>
        <w:rPr>
          <w:sz w:val="21"/>
          <w:szCs w:val="21"/>
        </w:rPr>
      </w:pPr>
      <w:r w:rsidRPr="0005335C">
        <w:rPr>
          <w:b/>
          <w:bCs/>
          <w:sz w:val="21"/>
          <w:szCs w:val="21"/>
        </w:rPr>
        <w:t>Develop a set of performance/process indicators to measure delivery and achievement of project activities and outputs</w:t>
      </w:r>
      <w:r w:rsidR="065D7648" w:rsidRPr="4235EC14">
        <w:rPr>
          <w:sz w:val="21"/>
          <w:szCs w:val="21"/>
        </w:rPr>
        <w:t>,</w:t>
      </w:r>
      <w:r w:rsidRPr="4235EC14">
        <w:rPr>
          <w:sz w:val="21"/>
          <w:szCs w:val="21"/>
        </w:rPr>
        <w:t xml:space="preserve"> and incorporate a set of global platform indicators (provided by GECP/REM) during project inception period (first 3 months of implementation).  </w:t>
      </w:r>
    </w:p>
    <w:p w14:paraId="01FAFFC5" w14:textId="4018E2E2" w:rsidR="000C5DB8" w:rsidRPr="00E26F86" w:rsidRDefault="53291A9B" w:rsidP="001667C6">
      <w:pPr>
        <w:pStyle w:val="ListParagraph"/>
        <w:numPr>
          <w:ilvl w:val="0"/>
          <w:numId w:val="96"/>
        </w:numPr>
        <w:autoSpaceDE/>
        <w:autoSpaceDN/>
        <w:adjustRightInd/>
        <w:spacing w:after="80"/>
        <w:contextualSpacing w:val="0"/>
        <w:rPr>
          <w:sz w:val="21"/>
          <w:szCs w:val="21"/>
        </w:rPr>
      </w:pPr>
      <w:r w:rsidRPr="002017C6">
        <w:rPr>
          <w:b/>
          <w:bCs/>
          <w:sz w:val="21"/>
          <w:szCs w:val="21"/>
        </w:rPr>
        <w:t>Establish a framework and methodology (process) for the identification and capture of best practices</w:t>
      </w:r>
      <w:r w:rsidR="000C5DB8" w:rsidRPr="3B8109EE">
        <w:rPr>
          <w:sz w:val="21"/>
          <w:szCs w:val="21"/>
          <w:vertAlign w:val="superscript"/>
        </w:rPr>
        <w:footnoteReference w:id="89"/>
      </w:r>
      <w:r w:rsidRPr="00E26F86">
        <w:rPr>
          <w:sz w:val="21"/>
          <w:szCs w:val="21"/>
        </w:rPr>
        <w:t xml:space="preserve"> and lessons learned from the project and</w:t>
      </w:r>
      <w:r w:rsidR="23D836AD" w:rsidRPr="4235EC14">
        <w:rPr>
          <w:sz w:val="21"/>
          <w:szCs w:val="21"/>
        </w:rPr>
        <w:t xml:space="preserve"> disseminate</w:t>
      </w:r>
      <w:r w:rsidRPr="00E26F86">
        <w:rPr>
          <w:sz w:val="21"/>
          <w:szCs w:val="21"/>
        </w:rPr>
        <w:t xml:space="preserve"> the results through the KMCS under Output 3.2.1, with technical</w:t>
      </w:r>
      <w:r w:rsidRPr="00E26F86" w:rsidDel="008B0AEB">
        <w:rPr>
          <w:sz w:val="21"/>
          <w:szCs w:val="21"/>
        </w:rPr>
        <w:t xml:space="preserve"> </w:t>
      </w:r>
      <w:r w:rsidRPr="00E26F86">
        <w:rPr>
          <w:sz w:val="21"/>
          <w:szCs w:val="21"/>
        </w:rPr>
        <w:t>support from the GCP/REM.</w:t>
      </w:r>
    </w:p>
    <w:p w14:paraId="1532CF28" w14:textId="5CC53320" w:rsidR="000C5DB8" w:rsidRPr="00E26F86" w:rsidRDefault="000C5DB8" w:rsidP="001667C6">
      <w:pPr>
        <w:pStyle w:val="ListParagraph"/>
        <w:numPr>
          <w:ilvl w:val="0"/>
          <w:numId w:val="96"/>
        </w:numPr>
        <w:autoSpaceDE/>
        <w:autoSpaceDN/>
        <w:adjustRightInd/>
        <w:spacing w:after="80"/>
        <w:contextualSpacing w:val="0"/>
        <w:rPr>
          <w:sz w:val="21"/>
          <w:szCs w:val="21"/>
        </w:rPr>
      </w:pPr>
      <w:r w:rsidRPr="00E80F4B">
        <w:rPr>
          <w:b/>
          <w:bCs/>
          <w:sz w:val="21"/>
          <w:szCs w:val="21"/>
        </w:rPr>
        <w:t xml:space="preserve">Undertake MTR in year 3 and TE in year 5, results disseminated and </w:t>
      </w:r>
      <w:r w:rsidR="4D28AC75" w:rsidRPr="00E80F4B">
        <w:rPr>
          <w:b/>
          <w:bCs/>
          <w:sz w:val="21"/>
          <w:szCs w:val="21"/>
        </w:rPr>
        <w:t xml:space="preserve">deliver </w:t>
      </w:r>
      <w:r w:rsidRPr="00E80F4B">
        <w:rPr>
          <w:b/>
          <w:bCs/>
          <w:sz w:val="21"/>
          <w:szCs w:val="21"/>
        </w:rPr>
        <w:t>their respective management responses delivered</w:t>
      </w:r>
      <w:r w:rsidRPr="4235EC14">
        <w:rPr>
          <w:sz w:val="21"/>
          <w:szCs w:val="21"/>
        </w:rPr>
        <w:t>.</w:t>
      </w:r>
      <w:r w:rsidR="43DAC978" w:rsidRPr="4235EC14">
        <w:rPr>
          <w:sz w:val="21"/>
          <w:szCs w:val="21"/>
        </w:rPr>
        <w:t xml:space="preserve"> </w:t>
      </w:r>
      <w:r w:rsidR="43DAC978" w:rsidRPr="00CA180B">
        <w:rPr>
          <w:sz w:val="21"/>
          <w:szCs w:val="21"/>
        </w:rPr>
        <w:t>The MTR is particularly crucial, providing a vital opportunity for reviewing progress, identifying successes, shortfall, bottlenecks and any needs for re-alignment through adaptive management. Lessons learnt and recommendations produced by the Terminal Evaluation will inform discussions on sustainability/durability of project results and impacts and future replication and scaling up initiatives.</w:t>
      </w:r>
    </w:p>
    <w:p w14:paraId="5941F9EA" w14:textId="15C4BC24" w:rsidR="000C5DB8" w:rsidRPr="00E26F86" w:rsidRDefault="000C5DB8" w:rsidP="001667C6">
      <w:pPr>
        <w:pStyle w:val="ListParagraph"/>
        <w:numPr>
          <w:ilvl w:val="0"/>
          <w:numId w:val="96"/>
        </w:numPr>
        <w:autoSpaceDE/>
        <w:autoSpaceDN/>
        <w:adjustRightInd/>
        <w:spacing w:after="80"/>
        <w:contextualSpacing w:val="0"/>
        <w:rPr>
          <w:sz w:val="21"/>
          <w:szCs w:val="21"/>
        </w:rPr>
      </w:pPr>
      <w:r w:rsidRPr="009A1624">
        <w:rPr>
          <w:b/>
          <w:bCs/>
          <w:sz w:val="21"/>
          <w:szCs w:val="21"/>
        </w:rPr>
        <w:t>Organise annual 1-day project retreats for PMU staff and key stakeholders to provide an opportunity to reflect on project management</w:t>
      </w:r>
      <w:r w:rsidRPr="4235EC14">
        <w:rPr>
          <w:sz w:val="21"/>
          <w:szCs w:val="21"/>
        </w:rPr>
        <w:t>, operation and delivery, and identify practical solutions to resolve issues and overcome barriers hindering project performance</w:t>
      </w:r>
      <w:r w:rsidR="1BAE38AA" w:rsidRPr="4235EC14">
        <w:rPr>
          <w:sz w:val="21"/>
          <w:szCs w:val="21"/>
        </w:rPr>
        <w:t xml:space="preserve"> to support adaptive management</w:t>
      </w:r>
      <w:r w:rsidRPr="4235EC14">
        <w:rPr>
          <w:sz w:val="21"/>
          <w:szCs w:val="21"/>
        </w:rPr>
        <w:t>.</w:t>
      </w:r>
    </w:p>
    <w:p w14:paraId="531D6252" w14:textId="77777777" w:rsidR="000C5DB8" w:rsidRPr="00E26F86" w:rsidRDefault="000C5DB8" w:rsidP="001667C6">
      <w:pPr>
        <w:pStyle w:val="ListParagraph"/>
        <w:numPr>
          <w:ilvl w:val="0"/>
          <w:numId w:val="96"/>
        </w:numPr>
        <w:autoSpaceDE/>
        <w:autoSpaceDN/>
        <w:adjustRightInd/>
        <w:spacing w:after="80"/>
        <w:contextualSpacing w:val="0"/>
        <w:rPr>
          <w:sz w:val="21"/>
          <w:szCs w:val="21"/>
        </w:rPr>
      </w:pPr>
      <w:r w:rsidRPr="00F62AA8">
        <w:rPr>
          <w:b/>
          <w:bCs/>
          <w:sz w:val="21"/>
          <w:szCs w:val="21"/>
        </w:rPr>
        <w:t>Feed results and recommendations from project M&amp;E activities into project Knowledge Management framework</w:t>
      </w:r>
      <w:r w:rsidRPr="4235EC14">
        <w:rPr>
          <w:sz w:val="21"/>
          <w:szCs w:val="21"/>
        </w:rPr>
        <w:t xml:space="preserve"> (Output 3.2.1) as appropriate.</w:t>
      </w:r>
    </w:p>
    <w:p w14:paraId="3EA2A9A5" w14:textId="2A25EDE6" w:rsidR="000C5DB8" w:rsidRPr="0068531C" w:rsidRDefault="000C5DB8" w:rsidP="001667C6">
      <w:pPr>
        <w:pStyle w:val="ParagraphOED"/>
        <w:numPr>
          <w:ilvl w:val="0"/>
          <w:numId w:val="102"/>
        </w:numPr>
        <w:spacing w:after="160"/>
      </w:pPr>
      <w:r>
        <w:lastRenderedPageBreak/>
        <w:t xml:space="preserve">The project will hire an M&amp;E specialist during Year 1 to: </w:t>
      </w:r>
      <w:r w:rsidR="7A6C0869">
        <w:t xml:space="preserve">(i) </w:t>
      </w:r>
      <w:r>
        <w:t xml:space="preserve">develop and oversee delivery of the M&amp;E system; </w:t>
      </w:r>
      <w:r w:rsidR="52E8B02D">
        <w:t xml:space="preserve">(ii) </w:t>
      </w:r>
      <w:r>
        <w:t>collect and collate information on progress in meeting targets and evaluate results; and to</w:t>
      </w:r>
      <w:r w:rsidR="5AFBAD38">
        <w:t xml:space="preserve"> (iii) lead on the identification of project best practices and </w:t>
      </w:r>
      <w:r>
        <w:t xml:space="preserve"> lessons learned and the systematization of experiences.  Monitoring reports will be prepared by the PMU according to the M&amp;E system throughout the duration of the project.</w:t>
      </w:r>
      <w:r w:rsidR="0AC8BA61">
        <w:t xml:space="preserve"> As part of the Integrated Landscape Management (ILM) planning process, the project will also hire national experts to gather baseline information and elaborate the initial values of the GEF Core Indicators and selected LDN indicators once demarcation of the target areas is finalised.</w:t>
      </w:r>
    </w:p>
    <w:p w14:paraId="0152F989" w14:textId="6AA566C9" w:rsidR="000C5DB8" w:rsidRPr="0068531C" w:rsidRDefault="000C5DB8" w:rsidP="001667C6">
      <w:pPr>
        <w:pStyle w:val="ParagraphOED"/>
        <w:numPr>
          <w:ilvl w:val="0"/>
          <w:numId w:val="102"/>
        </w:numPr>
        <w:spacing w:after="160"/>
      </w:pPr>
      <w:r>
        <w:t xml:space="preserve">The project is aligned with SFM-DSL IP objectives at regional and global levels and includes a number of relevant GEF-7 Core Indicators (namely: number 3 (area of land restored); 4 (area of landscapes under improved practices); 6 (Greenhouse Gas Emissions Mitigated in tCO2eq); and 11 (number of direct beneficiaries disaggregated by gender as co-benefit of GEF investment). The project will also track contributions to the minimum set of UNCCD LDN indicators – land cover/land cover change, land productivity (metric: net primary productivity), and carbon stocks above and below ground (metric: soil organic carbon) and SDG 15.3.1 – proportion of land that is degraded over total land area. </w:t>
      </w:r>
    </w:p>
    <w:p w14:paraId="673BA108" w14:textId="66651F0F" w:rsidR="000C5DB8" w:rsidRPr="0068531C" w:rsidRDefault="000C5DB8" w:rsidP="001667C6">
      <w:pPr>
        <w:pStyle w:val="ParagraphOED"/>
        <w:numPr>
          <w:ilvl w:val="0"/>
          <w:numId w:val="102"/>
        </w:numPr>
        <w:spacing w:after="160"/>
      </w:pPr>
      <w:r>
        <w:t>Project M&amp;E will also contribute to the LDN assessment and monitoring framework through the LDN Working Group (Component 1), providing important information to help populate the national LDN information platform (Output 3.1.1). Links will also be established with program-level monitoring organised through the GCP/REM, with relevant M&amp;E data fed to the GCP/REM to consolidate data at regional and global levels. M&amp;E tools used by the individual child projects will be harmonised as much as possible to facilitate program-level reporting and monitoring, knowledge sharing and good practices identified and their successes highlighted.</w:t>
      </w:r>
      <w:r w:rsidR="3960C3AD" w:rsidRPr="1E65A5F7">
        <w:rPr>
          <w:sz w:val="22"/>
          <w:szCs w:val="22"/>
        </w:rPr>
        <w:t xml:space="preserve"> This will include agreement and harmonisation on the use of common indicators for LDN assessment and monitoring (piloted under Outcomes 3.1 and 3.2).</w:t>
      </w:r>
    </w:p>
    <w:tbl>
      <w:tblPr>
        <w:tblStyle w:val="TableGrid"/>
        <w:tblpPr w:leftFromText="180" w:rightFromText="180" w:vertAnchor="text" w:horzAnchor="margin" w:tblpXSpec="right" w:tblpY="70"/>
        <w:tblW w:w="0" w:type="auto"/>
        <w:tblLook w:val="04A0" w:firstRow="1" w:lastRow="0" w:firstColumn="1" w:lastColumn="0" w:noHBand="0" w:noVBand="1"/>
      </w:tblPr>
      <w:tblGrid>
        <w:gridCol w:w="1418"/>
        <w:gridCol w:w="7003"/>
      </w:tblGrid>
      <w:tr w:rsidR="00EE1655" w:rsidRPr="0071113D" w14:paraId="241CE1CF" w14:textId="77777777" w:rsidTr="3B8109EE">
        <w:tc>
          <w:tcPr>
            <w:tcW w:w="1418" w:type="dxa"/>
            <w:tcBorders>
              <w:top w:val="nil"/>
              <w:left w:val="nil"/>
              <w:bottom w:val="nil"/>
            </w:tcBorders>
            <w:tcMar>
              <w:top w:w="57" w:type="dxa"/>
              <w:left w:w="57" w:type="dxa"/>
              <w:bottom w:w="57" w:type="dxa"/>
              <w:right w:w="57" w:type="dxa"/>
            </w:tcMar>
          </w:tcPr>
          <w:p w14:paraId="6A8A8A3E" w14:textId="3C51B536" w:rsidR="00EE1655" w:rsidRPr="00B70731" w:rsidRDefault="00EE1655" w:rsidP="00E40817">
            <w:pPr>
              <w:pStyle w:val="Heading5"/>
              <w:spacing w:before="0" w:after="0"/>
              <w:ind w:left="0"/>
              <w:outlineLvl w:val="4"/>
              <w:rPr>
                <w:rFonts w:cs="Calibri"/>
                <w:sz w:val="22"/>
                <w:szCs w:val="22"/>
                <w:lang w:val="en-GB"/>
              </w:rPr>
            </w:pPr>
            <w:r w:rsidRPr="00C87774">
              <w:rPr>
                <w:rFonts w:ascii="Calibri" w:hAnsi="Calibri" w:cs="Calibri"/>
                <w:sz w:val="22"/>
                <w:szCs w:val="22"/>
              </w:rPr>
              <w:t xml:space="preserve">Outcome </w:t>
            </w:r>
            <w:r>
              <w:rPr>
                <w:rFonts w:ascii="Calibri" w:hAnsi="Calibri" w:cs="Calibri"/>
                <w:sz w:val="22"/>
                <w:szCs w:val="22"/>
              </w:rPr>
              <w:t>3</w:t>
            </w:r>
            <w:r w:rsidRPr="00C87774">
              <w:rPr>
                <w:rFonts w:ascii="Calibri" w:hAnsi="Calibri" w:cs="Calibri"/>
                <w:sz w:val="22"/>
                <w:szCs w:val="22"/>
              </w:rPr>
              <w:t>.</w:t>
            </w:r>
            <w:r w:rsidR="00B70731">
              <w:rPr>
                <w:rFonts w:ascii="Calibri" w:hAnsi="Calibri" w:cs="Calibri"/>
                <w:sz w:val="22"/>
                <w:szCs w:val="22"/>
              </w:rPr>
              <w:t>3</w:t>
            </w:r>
          </w:p>
        </w:tc>
        <w:tc>
          <w:tcPr>
            <w:tcW w:w="7003" w:type="dxa"/>
            <w:tcMar>
              <w:top w:w="57" w:type="dxa"/>
              <w:left w:w="57" w:type="dxa"/>
              <w:bottom w:w="57" w:type="dxa"/>
              <w:right w:w="57" w:type="dxa"/>
            </w:tcMar>
          </w:tcPr>
          <w:p w14:paraId="5FE660CF" w14:textId="047BEDB8" w:rsidR="00EE1655" w:rsidRPr="00B70731" w:rsidRDefault="4E13C474" w:rsidP="00E40817">
            <w:pPr>
              <w:pStyle w:val="Heading5"/>
              <w:spacing w:before="0" w:after="0"/>
              <w:ind w:left="0"/>
              <w:outlineLvl w:val="4"/>
              <w:rPr>
                <w:rFonts w:ascii="Calibri" w:hAnsi="Calibri" w:cs="Calibri"/>
                <w:sz w:val="22"/>
                <w:szCs w:val="22"/>
                <w:lang w:val="en-GB"/>
              </w:rPr>
            </w:pPr>
            <w:r w:rsidRPr="3B8109EE">
              <w:rPr>
                <w:rFonts w:ascii="Calibri" w:hAnsi="Calibri"/>
                <w:sz w:val="22"/>
                <w:szCs w:val="22"/>
              </w:rPr>
              <w:t>Collaboration and exchange at regional and global levels enhanced to support n</w:t>
            </w:r>
            <w:r w:rsidR="00B70731" w:rsidRPr="3B8109EE">
              <w:rPr>
                <w:rFonts w:ascii="Calibri" w:hAnsi="Calibri"/>
                <w:sz w:val="22"/>
                <w:szCs w:val="22"/>
              </w:rPr>
              <w:t>ational</w:t>
            </w:r>
            <w:r w:rsidR="3FC8C4AE" w:rsidRPr="3B8109EE">
              <w:rPr>
                <w:rFonts w:ascii="Calibri" w:hAnsi="Calibri"/>
                <w:sz w:val="22"/>
                <w:szCs w:val="22"/>
              </w:rPr>
              <w:t>/</w:t>
            </w:r>
            <w:r w:rsidR="00B70731" w:rsidRPr="3B8109EE">
              <w:rPr>
                <w:rFonts w:ascii="Calibri" w:hAnsi="Calibri"/>
                <w:sz w:val="22"/>
                <w:szCs w:val="22"/>
              </w:rPr>
              <w:t xml:space="preserve">sub-national </w:t>
            </w:r>
            <w:r w:rsidR="61D699D8" w:rsidRPr="3B8109EE">
              <w:rPr>
                <w:rFonts w:ascii="Calibri" w:hAnsi="Calibri"/>
                <w:sz w:val="22"/>
                <w:szCs w:val="22"/>
              </w:rPr>
              <w:t>efforts</w:t>
            </w:r>
            <w:r w:rsidR="00B70731" w:rsidRPr="3B8109EE">
              <w:rPr>
                <w:rFonts w:ascii="Calibri" w:hAnsi="Calibri"/>
                <w:sz w:val="22"/>
                <w:szCs w:val="22"/>
              </w:rPr>
              <w:t xml:space="preserve"> to deliver LDN</w:t>
            </w:r>
          </w:p>
        </w:tc>
      </w:tr>
    </w:tbl>
    <w:p w14:paraId="27C4D351" w14:textId="1774A7FF" w:rsidR="00EE1655" w:rsidRDefault="00EE1655" w:rsidP="00896A8F"/>
    <w:p w14:paraId="7BAE5922" w14:textId="478A53CD" w:rsidR="002F3829" w:rsidRDefault="002F3829" w:rsidP="001667C6">
      <w:pPr>
        <w:pStyle w:val="ParagraphOED"/>
        <w:numPr>
          <w:ilvl w:val="0"/>
          <w:numId w:val="102"/>
        </w:numPr>
        <w:spacing w:before="160" w:after="160"/>
      </w:pPr>
      <w:r>
        <w:t xml:space="preserve">This Outcome </w:t>
      </w:r>
      <w:r w:rsidR="7886C922">
        <w:t>seeks t</w:t>
      </w:r>
      <w:r w:rsidR="7886C922" w:rsidRPr="1E65A5F7">
        <w:rPr>
          <w:sz w:val="22"/>
          <w:szCs w:val="22"/>
        </w:rPr>
        <w:t xml:space="preserve">o enhance the Angola project’s national and sub-national delivery and impacts through engagement with additional opportunities available through collaboration with other DSL-IP countries and the global DSL-IP and at wider regional and global levels. </w:t>
      </w:r>
      <w:r w:rsidR="645763D8" w:rsidRPr="1E65A5F7">
        <w:rPr>
          <w:sz w:val="22"/>
          <w:szCs w:val="22"/>
        </w:rPr>
        <w:t xml:space="preserve">It </w:t>
      </w:r>
      <w:r w:rsidR="645763D8">
        <w:t xml:space="preserve">aims to ensure that the project and its partners can benefit from the additional up-to-date technical capacity development, knowledge exchange and mutual learning, and networking and potential market development opportunities provided through the SFM-DSL-IP. </w:t>
      </w:r>
      <w:r w:rsidR="7886C922" w:rsidRPr="1E65A5F7">
        <w:rPr>
          <w:sz w:val="22"/>
          <w:szCs w:val="22"/>
        </w:rPr>
        <w:t xml:space="preserve">It focuses on three areas to achieve this: </w:t>
      </w:r>
    </w:p>
    <w:p w14:paraId="2E4E9B83" w14:textId="7337C54B" w:rsidR="7886C922" w:rsidRDefault="7886C922" w:rsidP="00C53A49">
      <w:pPr>
        <w:pStyle w:val="ListParagraph"/>
        <w:numPr>
          <w:ilvl w:val="0"/>
          <w:numId w:val="2"/>
        </w:numPr>
        <w:rPr>
          <w:rFonts w:eastAsia="Calibri" w:cs="Calibri"/>
        </w:rPr>
      </w:pPr>
      <w:r w:rsidRPr="3B8109EE">
        <w:rPr>
          <w:rFonts w:eastAsia="Calibri" w:cs="Calibri"/>
        </w:rPr>
        <w:t xml:space="preserve">Supporting regional collaboration and coordination on actions to identify and jointly address common challenges to the sustainable management of drylands in the Miombo-Mopane ecoregion; </w:t>
      </w:r>
    </w:p>
    <w:p w14:paraId="70FD7C70" w14:textId="070FD772" w:rsidR="7886C922" w:rsidRDefault="7886C922" w:rsidP="00C53A49">
      <w:pPr>
        <w:pStyle w:val="ListParagraph"/>
        <w:numPr>
          <w:ilvl w:val="0"/>
          <w:numId w:val="2"/>
        </w:numPr>
        <w:rPr>
          <w:rFonts w:eastAsia="Calibri" w:cs="Calibri"/>
        </w:rPr>
      </w:pPr>
      <w:r w:rsidRPr="3B8109EE">
        <w:rPr>
          <w:rFonts w:eastAsia="Calibri" w:cs="Calibri"/>
        </w:rPr>
        <w:t xml:space="preserve">Offering increased opportunities for market development of SLM/SFM products from the project target areas; and </w:t>
      </w:r>
    </w:p>
    <w:p w14:paraId="2D8DD801" w14:textId="13D0EFA6" w:rsidR="7886C922" w:rsidRDefault="7886C922" w:rsidP="00C53A49">
      <w:pPr>
        <w:pStyle w:val="ListParagraph"/>
        <w:numPr>
          <w:ilvl w:val="0"/>
          <w:numId w:val="2"/>
        </w:numPr>
        <w:rPr>
          <w:rFonts w:eastAsia="Calibri" w:cs="Calibri"/>
        </w:rPr>
      </w:pPr>
      <w:r w:rsidRPr="3B8109EE">
        <w:rPr>
          <w:rFonts w:eastAsia="Calibri" w:cs="Calibri"/>
        </w:rPr>
        <w:t>Improving access for national and sub-national project stakeholders to knowledge and mutual learning opportunities available at regional and global levels, while leveraging the project’s results, experiences and lessons learnt for wider impact at the regional and global scales.</w:t>
      </w:r>
    </w:p>
    <w:p w14:paraId="68060580" w14:textId="27D476BF" w:rsidR="24B8D204" w:rsidRDefault="24B8D204" w:rsidP="001667C6">
      <w:pPr>
        <w:pStyle w:val="ParagraphOED"/>
        <w:numPr>
          <w:ilvl w:val="0"/>
          <w:numId w:val="102"/>
        </w:numPr>
        <w:spacing w:before="160" w:after="160"/>
      </w:pPr>
      <w:r w:rsidRPr="1E65A5F7">
        <w:rPr>
          <w:sz w:val="22"/>
          <w:szCs w:val="22"/>
        </w:rPr>
        <w:t xml:space="preserve">The Outcome will strengthen connections between the Angola project and its partners and the other child projects and the overall program, supporting networking and partnership development, as well as promoting South-South cooperation. </w:t>
      </w:r>
    </w:p>
    <w:p w14:paraId="6EFF729B" w14:textId="1F4AECCB" w:rsidR="002F3829" w:rsidRDefault="002F3829" w:rsidP="001667C6">
      <w:pPr>
        <w:pStyle w:val="ParagraphOED"/>
        <w:numPr>
          <w:ilvl w:val="0"/>
          <w:numId w:val="102"/>
        </w:numPr>
        <w:spacing w:before="160" w:after="160"/>
        <w:rPr>
          <w:lang w:val="en-GB"/>
        </w:rPr>
      </w:pPr>
      <w:r>
        <w:t>Activities under this Outcome are largely developed through partnership with and support from the GCP/REM</w:t>
      </w:r>
      <w:r w:rsidR="49BD29AB" w:rsidRPr="1E65A5F7">
        <w:rPr>
          <w:sz w:val="22"/>
          <w:szCs w:val="22"/>
          <w:lang w:val="en-GB"/>
        </w:rPr>
        <w:t xml:space="preserve">, which aims to ensure that the project and its partners can benefit from </w:t>
      </w:r>
      <w:r w:rsidR="49BD29AB" w:rsidRPr="1E65A5F7">
        <w:rPr>
          <w:sz w:val="22"/>
          <w:szCs w:val="22"/>
          <w:lang w:val="en-GB"/>
        </w:rPr>
        <w:lastRenderedPageBreak/>
        <w:t xml:space="preserve">these additional shared opportunities. As mentioned above (Box </w:t>
      </w:r>
      <w:r w:rsidR="00702BDE" w:rsidRPr="1E65A5F7">
        <w:rPr>
          <w:sz w:val="22"/>
          <w:szCs w:val="22"/>
          <w:lang w:val="en-GB"/>
        </w:rPr>
        <w:t>11</w:t>
      </w:r>
      <w:r w:rsidR="49BD29AB" w:rsidRPr="1E65A5F7">
        <w:rPr>
          <w:sz w:val="22"/>
          <w:szCs w:val="22"/>
          <w:lang w:val="en-GB"/>
        </w:rPr>
        <w:t>) and in Annex</w:t>
      </w:r>
      <w:r w:rsidR="00702BDE" w:rsidRPr="1E65A5F7">
        <w:rPr>
          <w:sz w:val="22"/>
          <w:szCs w:val="22"/>
          <w:lang w:val="en-GB"/>
        </w:rPr>
        <w:t xml:space="preserve"> IV-2</w:t>
      </w:r>
      <w:r w:rsidR="49BD29AB" w:rsidRPr="1E65A5F7">
        <w:rPr>
          <w:sz w:val="22"/>
          <w:szCs w:val="22"/>
          <w:lang w:val="en-GB"/>
        </w:rPr>
        <w:t>, the REM functions as a mechanism to strengthen national- and landscape-level project delivery through its service function across all components of the project, as well as facilitating national, regional and global exchange of knowledge, lessons learned and best practices to accelerate and amplify the uptake of such practices (see Output 3.2.1).</w:t>
      </w:r>
    </w:p>
    <w:p w14:paraId="14DB639D" w14:textId="190E5BB1" w:rsidR="002F3829" w:rsidRDefault="002F3829" w:rsidP="001667C6">
      <w:pPr>
        <w:pStyle w:val="ParagraphOED"/>
        <w:numPr>
          <w:ilvl w:val="0"/>
          <w:numId w:val="102"/>
        </w:numPr>
        <w:spacing w:after="160"/>
      </w:pPr>
      <w:r>
        <w:t>The project will use part of the SFM-DSL IP incentive to “access” additional services and opportunities offered by the global project on a demand and adaptive basis, in order to support the child project in achieving the anticipated impact at wider (transboundary ecosystem) scale. This support will be available to meet technical capacity needs (e.g. improved access to SLM and SFM technologies, tools and practices) identified under Components 1 and 2, but also under Component 3 to access opportunities for exchange and knowledge sharing, explore and develop new commercial possibilities for SLM/SFM products promoted through the project, networking opportunities for market development, as well as support development of joint initiatives between the countries to promote sustainable drylands management of the Miombo-Mopane eco-region.</w:t>
      </w:r>
    </w:p>
    <w:p w14:paraId="276CD7ED" w14:textId="6E1ABB1C" w:rsidR="002F3829" w:rsidRPr="00296F64" w:rsidRDefault="5D227B22" w:rsidP="001667C6">
      <w:pPr>
        <w:pStyle w:val="ParagraphOED"/>
        <w:numPr>
          <w:ilvl w:val="0"/>
          <w:numId w:val="102"/>
        </w:numPr>
        <w:spacing w:after="0" w:line="259" w:lineRule="auto"/>
        <w:rPr>
          <w:highlight w:val="yellow"/>
        </w:rPr>
      </w:pPr>
      <w:r w:rsidRPr="00296F64">
        <w:rPr>
          <w:highlight w:val="yellow"/>
        </w:rPr>
        <w:t xml:space="preserve">A very important contribution from the GCP/REM to </w:t>
      </w:r>
      <w:r w:rsidR="008500FD" w:rsidRPr="00296F64">
        <w:rPr>
          <w:highlight w:val="yellow"/>
        </w:rPr>
        <w:t>the</w:t>
      </w:r>
      <w:r w:rsidRPr="00296F64">
        <w:rPr>
          <w:highlight w:val="yellow"/>
        </w:rPr>
        <w:t xml:space="preserve"> </w:t>
      </w:r>
      <w:r w:rsidR="546D085D" w:rsidRPr="00296F64">
        <w:rPr>
          <w:highlight w:val="yellow"/>
        </w:rPr>
        <w:t>Angola Child P</w:t>
      </w:r>
      <w:r w:rsidRPr="00296F64">
        <w:rPr>
          <w:highlight w:val="yellow"/>
        </w:rPr>
        <w:t>roject</w:t>
      </w:r>
      <w:r w:rsidR="4002F5F5" w:rsidRPr="00296F64">
        <w:rPr>
          <w:highlight w:val="yellow"/>
        </w:rPr>
        <w:t xml:space="preserve"> in COVID-19 times</w:t>
      </w:r>
      <w:r w:rsidRPr="00296F64">
        <w:rPr>
          <w:highlight w:val="yellow"/>
        </w:rPr>
        <w:t xml:space="preserve"> will be </w:t>
      </w:r>
      <w:r w:rsidR="3815866C" w:rsidRPr="00296F64">
        <w:rPr>
          <w:highlight w:val="yellow"/>
        </w:rPr>
        <w:t xml:space="preserve"> to support efficient monitoring and dissemination of knowledge </w:t>
      </w:r>
      <w:r w:rsidR="0BBE36DF" w:rsidRPr="00296F64">
        <w:rPr>
          <w:highlight w:val="yellow"/>
        </w:rPr>
        <w:t>in the context of</w:t>
      </w:r>
      <w:r w:rsidR="3815866C" w:rsidRPr="00296F64">
        <w:rPr>
          <w:highlight w:val="yellow"/>
        </w:rPr>
        <w:t xml:space="preserve"> COVID 19</w:t>
      </w:r>
      <w:r w:rsidR="77B0A206" w:rsidRPr="00296F64">
        <w:rPr>
          <w:highlight w:val="yellow"/>
        </w:rPr>
        <w:t>. T</w:t>
      </w:r>
      <w:r w:rsidR="3815866C" w:rsidRPr="00296F64">
        <w:rPr>
          <w:highlight w:val="yellow"/>
        </w:rPr>
        <w:t xml:space="preserve">he efforts of the FAO South-South and Triangular Cooperation Division in promoting a systematic learning approach to document and disseminate knowledge resources through the initiative called "Making every voice count for adaptive management". The goal is to create a bridge between other teams and initiatives and work beyond the 11 countries involved in this program. </w:t>
      </w:r>
      <w:r w:rsidR="195EFD8E" w:rsidRPr="00296F64">
        <w:rPr>
          <w:highlight w:val="yellow"/>
        </w:rPr>
        <w:t>Joint management and good practices to minimize negative inpact of COVID will be developed and shared.</w:t>
      </w:r>
    </w:p>
    <w:p w14:paraId="309D4734" w14:textId="3891CAA7" w:rsidR="7A3CB5A9" w:rsidRDefault="7A3CB5A9" w:rsidP="001667C6">
      <w:pPr>
        <w:pStyle w:val="ParagraphOED"/>
        <w:numPr>
          <w:ilvl w:val="0"/>
          <w:numId w:val="102"/>
        </w:numPr>
        <w:spacing w:after="160"/>
      </w:pPr>
      <w:r w:rsidRPr="1E65A5F7">
        <w:rPr>
          <w:sz w:val="22"/>
          <w:szCs w:val="22"/>
          <w:lang w:val="en-GB"/>
        </w:rPr>
        <w:t>Thus</w:t>
      </w:r>
      <w:r w:rsidR="292EE6AD" w:rsidRPr="1E65A5F7">
        <w:rPr>
          <w:sz w:val="22"/>
          <w:szCs w:val="22"/>
          <w:lang w:val="en-GB"/>
        </w:rPr>
        <w:t>,</w:t>
      </w:r>
      <w:r w:rsidRPr="1E65A5F7">
        <w:rPr>
          <w:sz w:val="22"/>
          <w:szCs w:val="22"/>
          <w:lang w:val="en-GB"/>
        </w:rPr>
        <w:t xml:space="preserve"> as a member of a program (the DSL IP), the Angola child project has the possibility to access additional resources and opportunities that would not be easily available to a stand-alone project.  </w:t>
      </w:r>
    </w:p>
    <w:p w14:paraId="6652730B" w14:textId="721D5126" w:rsidR="002F3829" w:rsidRPr="00070831" w:rsidRDefault="002F3829" w:rsidP="0095743F">
      <w:pPr>
        <w:pStyle w:val="Heading6"/>
        <w:spacing w:before="160" w:after="160"/>
        <w:ind w:hanging="11"/>
        <w:rPr>
          <w:rFonts w:ascii="Calibri" w:hAnsi="Calibri" w:cs="Calibri"/>
          <w:b/>
          <w:bCs/>
          <w:sz w:val="21"/>
          <w:szCs w:val="21"/>
          <w:highlight w:val="lightGray"/>
        </w:rPr>
      </w:pPr>
      <w:r w:rsidRPr="0CA2215C">
        <w:rPr>
          <w:rFonts w:ascii="Calibri" w:hAnsi="Calibri" w:cs="Calibri"/>
          <w:b/>
          <w:bCs/>
          <w:sz w:val="21"/>
          <w:szCs w:val="21"/>
          <w:highlight w:val="lightGray"/>
        </w:rPr>
        <w:t>Output 3.3.1</w:t>
      </w:r>
      <w:r>
        <w:tab/>
      </w:r>
      <w:r w:rsidRPr="0CA2215C">
        <w:rPr>
          <w:rFonts w:ascii="Calibri" w:hAnsi="Calibri" w:cs="Calibri"/>
          <w:sz w:val="21"/>
          <w:szCs w:val="21"/>
          <w:highlight w:val="lightGray"/>
        </w:rPr>
        <w:t>Actions</w:t>
      </w:r>
      <w:r w:rsidR="50FFAD14" w:rsidRPr="0CA2215C">
        <w:rPr>
          <w:rFonts w:ascii="Calibri" w:hAnsi="Calibri" w:cs="Calibri"/>
          <w:sz w:val="21"/>
          <w:szCs w:val="21"/>
          <w:highlight w:val="lightGray"/>
        </w:rPr>
        <w:t xml:space="preserve"> </w:t>
      </w:r>
      <w:r w:rsidRPr="0CA2215C">
        <w:rPr>
          <w:rFonts w:ascii="Calibri" w:hAnsi="Calibri" w:cs="Calibri"/>
          <w:sz w:val="21"/>
          <w:szCs w:val="21"/>
          <w:highlight w:val="lightGray"/>
        </w:rPr>
        <w:t>and investments identified to address transboundary land and environmental degradation priorities in Miombo-Mopane ecoregion and bi-/multi-lateral initiatives strengthened/established to progress towards LDN</w:t>
      </w:r>
      <w:r w:rsidRPr="0CA2215C">
        <w:rPr>
          <w:rFonts w:ascii="Calibri" w:hAnsi="Calibri" w:cs="Calibri"/>
          <w:b/>
          <w:bCs/>
          <w:sz w:val="21"/>
          <w:szCs w:val="21"/>
          <w:highlight w:val="lightGray"/>
        </w:rPr>
        <w:t xml:space="preserve"> </w:t>
      </w:r>
    </w:p>
    <w:p w14:paraId="041454ED" w14:textId="616CCBA9" w:rsidR="002F3829" w:rsidRPr="007C0607" w:rsidRDefault="002F3829" w:rsidP="001667C6">
      <w:pPr>
        <w:pStyle w:val="ParagraphOED"/>
        <w:numPr>
          <w:ilvl w:val="0"/>
          <w:numId w:val="102"/>
        </w:numPr>
        <w:spacing w:after="160"/>
      </w:pPr>
      <w:r>
        <w:t xml:space="preserve">This output aims to support </w:t>
      </w:r>
      <w:r w:rsidR="2B76A099">
        <w:t xml:space="preserve">initiatives to foster greater </w:t>
      </w:r>
      <w:r>
        <w:t>regional and cross-border collaborati</w:t>
      </w:r>
      <w:r w:rsidR="47036C81">
        <w:t>ve</w:t>
      </w:r>
      <w:r w:rsidR="7BCDB706">
        <w:t xml:space="preserve"> </w:t>
      </w:r>
      <w:r w:rsidR="05AC33E0">
        <w:t xml:space="preserve">efforts </w:t>
      </w:r>
      <w:r>
        <w:t xml:space="preserve">to maintain the ecological integrity of the Miombo-Mopane eco-region. </w:t>
      </w:r>
      <w:r w:rsidR="14C58979" w:rsidRPr="1E65A5F7">
        <w:rPr>
          <w:sz w:val="22"/>
          <w:szCs w:val="22"/>
        </w:rPr>
        <w:t xml:space="preserve">This is expected to involve both DSL-IP countries and non-DSL-IP countries, with the aim to develop joint solutions to common challenges in sustainably managing the region’s natural resources, including exploring the possibility of new cross-border and regional initiatives and investments. In doing so it will also facilitate the sustainability and scaling up and scaling out of project results across the region. </w:t>
      </w:r>
      <w:r>
        <w:t>It begins with the identification of common or transboundary priority land degradation, sustainable drylands management and other environmental challenges, concerning geographical areas, communities, habitat sub-types, species, etc., and progresses to prioritizing and jointly addressing them. The GCP/REM will further support cooperation and collaboration between neighbouring countries through shared technical advisory provisions.</w:t>
      </w:r>
    </w:p>
    <w:p w14:paraId="056BEC59" w14:textId="77777777" w:rsidR="002F3829" w:rsidRDefault="002F3829" w:rsidP="001667C6">
      <w:pPr>
        <w:pStyle w:val="ParagraphOED"/>
        <w:numPr>
          <w:ilvl w:val="0"/>
          <w:numId w:val="102"/>
        </w:numPr>
        <w:spacing w:before="160" w:after="80"/>
        <w:rPr>
          <w:b/>
          <w:bCs/>
        </w:rPr>
      </w:pPr>
      <w:r w:rsidRPr="1E65A5F7">
        <w:rPr>
          <w:b/>
          <w:bCs/>
        </w:rPr>
        <w:t>Indicative Activities under Output 3.3.1</w:t>
      </w:r>
    </w:p>
    <w:p w14:paraId="1856B3E7" w14:textId="36E21634" w:rsidR="002F3829" w:rsidRPr="00B65123" w:rsidRDefault="002F3829" w:rsidP="001667C6">
      <w:pPr>
        <w:pStyle w:val="ListParagraph"/>
        <w:numPr>
          <w:ilvl w:val="0"/>
          <w:numId w:val="69"/>
        </w:numPr>
        <w:autoSpaceDE/>
        <w:autoSpaceDN/>
        <w:adjustRightInd/>
        <w:spacing w:after="80"/>
        <w:contextualSpacing w:val="0"/>
        <w:rPr>
          <w:sz w:val="21"/>
          <w:szCs w:val="21"/>
        </w:rPr>
      </w:pPr>
      <w:r w:rsidRPr="00A21689">
        <w:rPr>
          <w:b/>
          <w:bCs/>
          <w:sz w:val="21"/>
          <w:szCs w:val="21"/>
        </w:rPr>
        <w:t>National participation in regional review and identification of priorities for transboundary and regional collaboration</w:t>
      </w:r>
      <w:r w:rsidRPr="3B8109EE">
        <w:rPr>
          <w:sz w:val="21"/>
          <w:szCs w:val="21"/>
        </w:rPr>
        <w:t xml:space="preserve"> to address: environmental and natural resource degradation and loss; sustainable resource use in the Miombo-Mopane region (e.g. veldt fires, invasive alien species, illegal mining, charcoal, extraction of indigenous plant resources, watershed management); and</w:t>
      </w:r>
      <w:r w:rsidR="2F63C30F" w:rsidRPr="3B8109EE">
        <w:rPr>
          <w:sz w:val="21"/>
          <w:szCs w:val="21"/>
        </w:rPr>
        <w:t xml:space="preserve"> the</w:t>
      </w:r>
      <w:r w:rsidRPr="3B8109EE">
        <w:rPr>
          <w:sz w:val="21"/>
          <w:szCs w:val="21"/>
        </w:rPr>
        <w:t xml:space="preserve"> identif</w:t>
      </w:r>
      <w:r w:rsidR="46A7D658" w:rsidRPr="3B8109EE">
        <w:rPr>
          <w:sz w:val="21"/>
          <w:szCs w:val="21"/>
        </w:rPr>
        <w:t>ication of joint solutions</w:t>
      </w:r>
      <w:r w:rsidRPr="3B8109EE">
        <w:rPr>
          <w:sz w:val="21"/>
          <w:szCs w:val="21"/>
        </w:rPr>
        <w:t xml:space="preserve"> to address them in a collaborative manner,  with development of an action plan</w:t>
      </w:r>
    </w:p>
    <w:p w14:paraId="514066C7" w14:textId="5660C272" w:rsidR="002F3829" w:rsidRPr="00B65123" w:rsidRDefault="002F3829" w:rsidP="001667C6">
      <w:pPr>
        <w:pStyle w:val="ListParagraph"/>
        <w:numPr>
          <w:ilvl w:val="0"/>
          <w:numId w:val="69"/>
        </w:numPr>
        <w:autoSpaceDE/>
        <w:autoSpaceDN/>
        <w:adjustRightInd/>
        <w:spacing w:after="80"/>
        <w:contextualSpacing w:val="0"/>
        <w:rPr>
          <w:sz w:val="21"/>
          <w:szCs w:val="21"/>
        </w:rPr>
      </w:pPr>
      <w:r w:rsidRPr="00D2145D">
        <w:rPr>
          <w:b/>
          <w:bCs/>
          <w:sz w:val="21"/>
          <w:szCs w:val="21"/>
        </w:rPr>
        <w:t>Review</w:t>
      </w:r>
      <w:r w:rsidR="2A90FD6E" w:rsidRPr="00D2145D">
        <w:rPr>
          <w:b/>
          <w:bCs/>
          <w:sz w:val="21"/>
          <w:szCs w:val="21"/>
        </w:rPr>
        <w:t xml:space="preserve"> and </w:t>
      </w:r>
      <w:r w:rsidRPr="00D2145D">
        <w:rPr>
          <w:b/>
          <w:bCs/>
          <w:sz w:val="21"/>
          <w:szCs w:val="21"/>
        </w:rPr>
        <w:t>develop linkages with regional and global investment initiatives</w:t>
      </w:r>
      <w:r w:rsidR="0B0CAF9E" w:rsidRPr="00D2145D">
        <w:rPr>
          <w:b/>
          <w:bCs/>
          <w:sz w:val="21"/>
          <w:szCs w:val="21"/>
        </w:rPr>
        <w:t xml:space="preserve"> including private sector companies</w:t>
      </w:r>
      <w:r w:rsidR="0B0CAF9E" w:rsidRPr="3B8109EE">
        <w:rPr>
          <w:sz w:val="21"/>
          <w:szCs w:val="21"/>
        </w:rPr>
        <w:t xml:space="preserve"> and institutions with a mandate including</w:t>
      </w:r>
      <w:r w:rsidRPr="3B8109EE">
        <w:rPr>
          <w:sz w:val="21"/>
          <w:szCs w:val="21"/>
        </w:rPr>
        <w:t xml:space="preserve">  sustainable drylands management (e.g. Miombo Forum SADC-GGWI) in order to identify potential financing sources and innovative </w:t>
      </w:r>
      <w:r w:rsidRPr="3B8109EE">
        <w:rPr>
          <w:sz w:val="21"/>
          <w:szCs w:val="21"/>
        </w:rPr>
        <w:lastRenderedPageBreak/>
        <w:t xml:space="preserve">financial tools in support of </w:t>
      </w:r>
      <w:r w:rsidR="4D11F7CD" w:rsidRPr="3B8109EE">
        <w:rPr>
          <w:sz w:val="21"/>
          <w:szCs w:val="21"/>
        </w:rPr>
        <w:t xml:space="preserve">both regional priorities identified through the activities above and </w:t>
      </w:r>
      <w:r w:rsidRPr="3B8109EE">
        <w:rPr>
          <w:sz w:val="21"/>
          <w:szCs w:val="21"/>
        </w:rPr>
        <w:t>the national LDN targets.</w:t>
      </w:r>
    </w:p>
    <w:p w14:paraId="43C6F02F" w14:textId="5BE39BC7" w:rsidR="002F3829" w:rsidRDefault="002F3829" w:rsidP="001667C6">
      <w:pPr>
        <w:pStyle w:val="ListParagraph"/>
        <w:numPr>
          <w:ilvl w:val="0"/>
          <w:numId w:val="69"/>
        </w:numPr>
        <w:autoSpaceDE/>
        <w:autoSpaceDN/>
        <w:adjustRightInd/>
        <w:spacing w:after="80"/>
        <w:contextualSpacing w:val="0"/>
        <w:rPr>
          <w:sz w:val="21"/>
          <w:szCs w:val="21"/>
        </w:rPr>
      </w:pPr>
      <w:r w:rsidRPr="0CA2215C">
        <w:rPr>
          <w:b/>
          <w:bCs/>
          <w:sz w:val="21"/>
          <w:szCs w:val="21"/>
        </w:rPr>
        <w:t>Identify and develop proposals for trans-boundary and regional initiatives to address common challenges to managing the Miombo-Mopane system</w:t>
      </w:r>
      <w:r w:rsidRPr="0CA2215C">
        <w:rPr>
          <w:sz w:val="21"/>
          <w:szCs w:val="21"/>
        </w:rPr>
        <w:t xml:space="preserve"> (involving both SFM-DSL-IP countries and non-SFM-DSL-IP countries), such as biodiversity (e.g. endangered species’ ranges covering several Miombo-Mopane countries), protected areas with a shared national border (e.g. Save and Runde Basin between Mozambique and Zimbabwe) and addressing common water systems shared between countries (e.g. between Angola and Namibia).</w:t>
      </w:r>
      <w:r w:rsidR="0B3B97EA" w:rsidRPr="0CA2215C">
        <w:rPr>
          <w:sz w:val="21"/>
          <w:szCs w:val="21"/>
        </w:rPr>
        <w:t xml:space="preserve"> </w:t>
      </w:r>
      <w:r w:rsidRPr="0CA2215C">
        <w:rPr>
          <w:sz w:val="21"/>
          <w:szCs w:val="21"/>
        </w:rPr>
        <w:t>It may also include: agreements on the use of a common set of methods and indicators for LDN assessment and monitoring (piloted under Outcomes 3.1 and 3.2); best practice approaches to SLM/SFM and achieving LDN targets; and exchange between countries on LDN-related information.</w:t>
      </w:r>
    </w:p>
    <w:p w14:paraId="092EA301" w14:textId="70D9F776" w:rsidR="002F3829" w:rsidRPr="00070831" w:rsidRDefault="002F3829" w:rsidP="0095743F">
      <w:pPr>
        <w:pStyle w:val="Heading6"/>
        <w:spacing w:before="160" w:after="160"/>
        <w:ind w:hanging="11"/>
        <w:rPr>
          <w:rFonts w:ascii="Calibri" w:hAnsi="Calibri" w:cs="Calibri"/>
          <w:b/>
          <w:bCs/>
          <w:sz w:val="21"/>
          <w:szCs w:val="21"/>
          <w:highlight w:val="lightGray"/>
        </w:rPr>
      </w:pPr>
      <w:r w:rsidRPr="00070831">
        <w:rPr>
          <w:rFonts w:ascii="Calibri" w:hAnsi="Calibri" w:cs="Calibri"/>
          <w:b/>
          <w:bCs/>
          <w:sz w:val="21"/>
          <w:szCs w:val="21"/>
          <w:highlight w:val="lightGray"/>
        </w:rPr>
        <w:t>Output 3.3.2</w:t>
      </w:r>
      <w:r w:rsidRPr="00070831">
        <w:rPr>
          <w:rFonts w:ascii="Calibri" w:hAnsi="Calibri" w:cs="Calibri"/>
          <w:sz w:val="21"/>
          <w:szCs w:val="21"/>
          <w:highlight w:val="lightGray"/>
        </w:rPr>
        <w:t xml:space="preserve"> Collaborative actions to support business and </w:t>
      </w:r>
      <w:r w:rsidR="00D84DED" w:rsidRPr="00070831">
        <w:rPr>
          <w:rFonts w:ascii="Calibri" w:hAnsi="Calibri" w:cs="Calibri"/>
          <w:sz w:val="21"/>
          <w:szCs w:val="21"/>
        </w:rPr>
        <w:t>market development</w:t>
      </w:r>
      <w:r w:rsidRPr="00070831">
        <w:rPr>
          <w:rFonts w:ascii="Calibri" w:hAnsi="Calibri" w:cs="Calibri"/>
          <w:sz w:val="21"/>
          <w:szCs w:val="21"/>
          <w:highlight w:val="lightGray"/>
        </w:rPr>
        <w:t xml:space="preserve"> for SLM/SFM products across the Miombo-Mopane region undertaken</w:t>
      </w:r>
    </w:p>
    <w:p w14:paraId="1AF6D7C4" w14:textId="42E808D6" w:rsidR="002F3829" w:rsidRPr="007C0607" w:rsidRDefault="002F3829" w:rsidP="001667C6">
      <w:pPr>
        <w:pStyle w:val="ParagraphOED"/>
        <w:numPr>
          <w:ilvl w:val="0"/>
          <w:numId w:val="102"/>
        </w:numPr>
        <w:spacing w:after="160"/>
      </w:pPr>
      <w:r>
        <w:t>This output addresses, through the support of the GCP/REM, the identification of</w:t>
      </w:r>
      <w:r w:rsidR="4320B5DD">
        <w:t>,</w:t>
      </w:r>
      <w:r>
        <w:t xml:space="preserve"> and networking with</w:t>
      </w:r>
      <w:r w:rsidR="7E5D5B58">
        <w:t>,</w:t>
      </w:r>
      <w:r>
        <w:t xml:space="preserve"> cross-border, regional and global markets for LDN-compliant land-use products promoted by the project. Activities under this output support </w:t>
      </w:r>
      <w:r w:rsidR="41DC3DC9">
        <w:t xml:space="preserve">those </w:t>
      </w:r>
      <w:r>
        <w:t xml:space="preserve">under Outcome 2.3 on value chain development, </w:t>
      </w:r>
      <w:r w:rsidR="44956CE3">
        <w:t xml:space="preserve">but are focused on providing opportunities for selected </w:t>
      </w:r>
      <w:r w:rsidR="4415DA04">
        <w:t xml:space="preserve">SLM/SFM </w:t>
      </w:r>
      <w:r>
        <w:t xml:space="preserve">products from the project’s target areas to be marketed across the wider region and beyond. </w:t>
      </w:r>
    </w:p>
    <w:p w14:paraId="3CC833CC" w14:textId="5AA7E364" w:rsidR="00070831" w:rsidRDefault="00070831">
      <w:pPr>
        <w:rPr>
          <w:rFonts w:ascii="Calibri" w:eastAsia="Calibri" w:hAnsi="Calibri" w:cs="Calibri"/>
          <w:b/>
          <w:bCs/>
          <w:sz w:val="21"/>
          <w:szCs w:val="21"/>
          <w:shd w:val="clear" w:color="auto" w:fill="FFFFFF"/>
          <w:lang w:val="en-US" w:eastAsia="en-US"/>
        </w:rPr>
      </w:pPr>
    </w:p>
    <w:p w14:paraId="0DE0ED21" w14:textId="51942E7C" w:rsidR="002F3829" w:rsidRDefault="002F3829" w:rsidP="001667C6">
      <w:pPr>
        <w:pStyle w:val="ParagraphOED"/>
        <w:numPr>
          <w:ilvl w:val="0"/>
          <w:numId w:val="102"/>
        </w:numPr>
        <w:spacing w:before="160" w:after="80"/>
        <w:rPr>
          <w:b/>
          <w:bCs/>
        </w:rPr>
      </w:pPr>
      <w:r w:rsidRPr="1E65A5F7">
        <w:rPr>
          <w:b/>
          <w:bCs/>
        </w:rPr>
        <w:t>Indicative Activities under Output 3.3.2</w:t>
      </w:r>
    </w:p>
    <w:p w14:paraId="08F5D146" w14:textId="75CB5183" w:rsidR="002F3829" w:rsidRPr="00B65123" w:rsidRDefault="24B8883B" w:rsidP="001667C6">
      <w:pPr>
        <w:pStyle w:val="ListParagraph"/>
        <w:numPr>
          <w:ilvl w:val="0"/>
          <w:numId w:val="70"/>
        </w:numPr>
        <w:autoSpaceDE/>
        <w:autoSpaceDN/>
        <w:adjustRightInd/>
        <w:spacing w:after="80"/>
        <w:contextualSpacing w:val="0"/>
        <w:rPr>
          <w:sz w:val="21"/>
          <w:szCs w:val="21"/>
        </w:rPr>
      </w:pPr>
      <w:r w:rsidRPr="004B0A7D">
        <w:rPr>
          <w:b/>
          <w:bCs/>
          <w:sz w:val="21"/>
          <w:szCs w:val="21"/>
        </w:rPr>
        <w:t>Provide n</w:t>
      </w:r>
      <w:r w:rsidR="002F3829" w:rsidRPr="004B0A7D">
        <w:rPr>
          <w:b/>
          <w:bCs/>
          <w:sz w:val="21"/>
          <w:szCs w:val="21"/>
        </w:rPr>
        <w:t xml:space="preserve">ational inputs into </w:t>
      </w:r>
      <w:r w:rsidR="3C5F1003" w:rsidRPr="004B0A7D">
        <w:rPr>
          <w:b/>
          <w:bCs/>
          <w:sz w:val="21"/>
          <w:szCs w:val="21"/>
        </w:rPr>
        <w:t xml:space="preserve">the proposed </w:t>
      </w:r>
      <w:r w:rsidR="002F3829" w:rsidRPr="004B0A7D">
        <w:rPr>
          <w:b/>
          <w:bCs/>
          <w:sz w:val="21"/>
          <w:szCs w:val="21"/>
        </w:rPr>
        <w:t xml:space="preserve">GCP/REM </w:t>
      </w:r>
      <w:r w:rsidR="64929B7D" w:rsidRPr="004B0A7D">
        <w:rPr>
          <w:b/>
          <w:bCs/>
          <w:sz w:val="21"/>
          <w:szCs w:val="21"/>
        </w:rPr>
        <w:t xml:space="preserve">needs </w:t>
      </w:r>
      <w:r w:rsidR="002F3829" w:rsidRPr="004B0A7D">
        <w:rPr>
          <w:b/>
          <w:bCs/>
          <w:sz w:val="21"/>
          <w:szCs w:val="21"/>
        </w:rPr>
        <w:t xml:space="preserve">assessment </w:t>
      </w:r>
      <w:r w:rsidR="2C56EE70" w:rsidRPr="004B0A7D">
        <w:rPr>
          <w:b/>
          <w:bCs/>
          <w:sz w:val="21"/>
          <w:szCs w:val="21"/>
        </w:rPr>
        <w:t xml:space="preserve">surveys </w:t>
      </w:r>
      <w:r w:rsidR="002F3829" w:rsidRPr="004B0A7D">
        <w:rPr>
          <w:b/>
          <w:bCs/>
          <w:sz w:val="21"/>
          <w:szCs w:val="21"/>
        </w:rPr>
        <w:t xml:space="preserve">of </w:t>
      </w:r>
      <w:r w:rsidR="04C428FB" w:rsidRPr="004B0A7D">
        <w:rPr>
          <w:b/>
          <w:bCs/>
          <w:sz w:val="21"/>
          <w:szCs w:val="21"/>
        </w:rPr>
        <w:t xml:space="preserve">private sector engagement, </w:t>
      </w:r>
      <w:r w:rsidR="002F3829" w:rsidRPr="004B0A7D">
        <w:rPr>
          <w:b/>
          <w:bCs/>
          <w:sz w:val="21"/>
          <w:szCs w:val="21"/>
        </w:rPr>
        <w:t>market analysis and business opportunities</w:t>
      </w:r>
      <w:r w:rsidR="002F3829" w:rsidRPr="00B65123">
        <w:rPr>
          <w:sz w:val="21"/>
          <w:szCs w:val="21"/>
        </w:rPr>
        <w:t xml:space="preserve"> for further development of trans-boundary, regional and global markets </w:t>
      </w:r>
      <w:r w:rsidR="26A6DA7B" w:rsidRPr="00B65123">
        <w:rPr>
          <w:sz w:val="21"/>
          <w:szCs w:val="21"/>
        </w:rPr>
        <w:t xml:space="preserve">(with a focus on linkages with DSL-IP countries) </w:t>
      </w:r>
      <w:r w:rsidR="002F3829" w:rsidRPr="00B65123">
        <w:rPr>
          <w:sz w:val="21"/>
          <w:szCs w:val="21"/>
        </w:rPr>
        <w:t>for SLM/SFM products, such as charcoal</w:t>
      </w:r>
      <w:r w:rsidR="002F3829" w:rsidRPr="00CA180B">
        <w:rPr>
          <w:sz w:val="21"/>
          <w:szCs w:val="21"/>
          <w:vertAlign w:val="superscript"/>
        </w:rPr>
        <w:footnoteReference w:id="90"/>
      </w:r>
      <w:r w:rsidR="002F3829" w:rsidRPr="00CA180B">
        <w:rPr>
          <w:sz w:val="21"/>
          <w:szCs w:val="21"/>
          <w:vertAlign w:val="superscript"/>
        </w:rPr>
        <w:t xml:space="preserve"> </w:t>
      </w:r>
      <w:r w:rsidR="002F3829" w:rsidRPr="00B65123">
        <w:rPr>
          <w:sz w:val="21"/>
          <w:szCs w:val="21"/>
        </w:rPr>
        <w:t>and NTFPs (building on the preliminary work undertaken during the PPG period on value-chain activities), including identification of potential sources of commercial financing.</w:t>
      </w:r>
    </w:p>
    <w:p w14:paraId="5E0B7CC6" w14:textId="3FD2E642" w:rsidR="002F3829" w:rsidRDefault="23A2E2A6" w:rsidP="001667C6">
      <w:pPr>
        <w:pStyle w:val="ListParagraph"/>
        <w:numPr>
          <w:ilvl w:val="0"/>
          <w:numId w:val="70"/>
        </w:numPr>
        <w:spacing w:after="80"/>
        <w:rPr>
          <w:sz w:val="21"/>
          <w:szCs w:val="21"/>
        </w:rPr>
      </w:pPr>
      <w:r w:rsidRPr="004B0A7D">
        <w:rPr>
          <w:rFonts w:eastAsia="Calibri" w:cs="Calibri"/>
          <w:b/>
          <w:bCs/>
        </w:rPr>
        <w:t>Engage with GCP/REM-promoted regional business networking events, regional commodity roundtables, multi-stakeholder platforms, relevant for value-chain development</w:t>
      </w:r>
      <w:r w:rsidRPr="3B8109EE">
        <w:rPr>
          <w:rFonts w:eastAsia="Calibri" w:cs="Calibri"/>
        </w:rPr>
        <w:t xml:space="preserve"> and promotion of products from target areas under SLM/SFM practices, and lead on country level engagement with producers, SMEs, local finance institutions to complement outreach and engagement at regional and global scale.</w:t>
      </w:r>
    </w:p>
    <w:p w14:paraId="5937C5DD" w14:textId="18D85449" w:rsidR="002F3829" w:rsidRPr="00B65123" w:rsidRDefault="23A2E2A6" w:rsidP="001667C6">
      <w:pPr>
        <w:pStyle w:val="ListParagraph"/>
        <w:numPr>
          <w:ilvl w:val="0"/>
          <w:numId w:val="70"/>
        </w:numPr>
        <w:autoSpaceDE/>
        <w:autoSpaceDN/>
        <w:adjustRightInd/>
        <w:spacing w:after="80"/>
        <w:contextualSpacing w:val="0"/>
        <w:rPr>
          <w:sz w:val="21"/>
          <w:szCs w:val="21"/>
        </w:rPr>
      </w:pPr>
      <w:r w:rsidRPr="00895E66">
        <w:rPr>
          <w:b/>
          <w:bCs/>
          <w:sz w:val="21"/>
          <w:szCs w:val="21"/>
        </w:rPr>
        <w:t>Provide n</w:t>
      </w:r>
      <w:r w:rsidR="002F3829" w:rsidRPr="00895E66">
        <w:rPr>
          <w:b/>
          <w:bCs/>
          <w:sz w:val="21"/>
          <w:szCs w:val="21"/>
        </w:rPr>
        <w:t>ational input to any proposed development and promotion of a Miombo-Mopane ‘brand’ for SLM/SFM products</w:t>
      </w:r>
      <w:r w:rsidR="002F3829" w:rsidRPr="3B8109EE">
        <w:rPr>
          <w:sz w:val="21"/>
          <w:szCs w:val="21"/>
        </w:rPr>
        <w:t>, delivered through the project to support market development.</w:t>
      </w:r>
    </w:p>
    <w:p w14:paraId="5A3A9BBA" w14:textId="378A8076" w:rsidR="002F3829" w:rsidRPr="007C0607" w:rsidRDefault="3D82AA95" w:rsidP="001667C6">
      <w:pPr>
        <w:pStyle w:val="ParagraphOED"/>
        <w:numPr>
          <w:ilvl w:val="0"/>
          <w:numId w:val="102"/>
        </w:numPr>
        <w:spacing w:after="160"/>
      </w:pPr>
      <w:r w:rsidRPr="3B8109EE">
        <w:rPr>
          <w:sz w:val="22"/>
          <w:szCs w:val="22"/>
        </w:rPr>
        <w:t>The REM will provide a dedicated ‘business development facility’ function, supporting the (largely) underdeveloped value chains for SLM/SFM products from the target areas.  Amongst other support the REM will compile information (on a database) on potential products, businesses, sources of financing and markets, which will be available to the Angola and other DSL-IP child projects. The REM will also explore the possibility of developing a Miombo-Mopane ‘brand’, drawing on FAO’s experience with Geographical Indication (GI) schemes</w:t>
      </w:r>
      <w:r w:rsidR="00533B65">
        <w:rPr>
          <w:rStyle w:val="FootnoteReference"/>
          <w:sz w:val="22"/>
          <w:szCs w:val="22"/>
        </w:rPr>
        <w:footnoteReference w:id="91"/>
      </w:r>
      <w:r w:rsidR="7A74BF3A" w:rsidRPr="3B8109EE">
        <w:rPr>
          <w:sz w:val="22"/>
          <w:szCs w:val="22"/>
        </w:rPr>
        <w:t>.</w:t>
      </w:r>
    </w:p>
    <w:p w14:paraId="02A9D879" w14:textId="04CEEF5B" w:rsidR="002F3829" w:rsidRPr="007C0607" w:rsidRDefault="002F3829" w:rsidP="001667C6">
      <w:pPr>
        <w:pStyle w:val="ParagraphOED"/>
        <w:numPr>
          <w:ilvl w:val="0"/>
          <w:numId w:val="102"/>
        </w:numPr>
        <w:spacing w:after="160"/>
      </w:pPr>
      <w:r>
        <w:t xml:space="preserve">Products from areas under SLM/SFM practices with global appeal and markets are relatively limited, with some exceptions such as honey markets. It is expected that much of the business and market development will be relatively local (district or provincial or national) in Angola, such as wood fuel market. </w:t>
      </w:r>
    </w:p>
    <w:p w14:paraId="2BBEB8A4" w14:textId="3E2633FC" w:rsidR="002F3829" w:rsidRPr="0095743F" w:rsidRDefault="002F3829" w:rsidP="0095743F">
      <w:pPr>
        <w:pStyle w:val="Heading6"/>
        <w:spacing w:before="160" w:after="160"/>
        <w:ind w:hanging="11"/>
        <w:rPr>
          <w:b/>
          <w:bCs/>
          <w:sz w:val="22"/>
          <w:szCs w:val="22"/>
          <w:highlight w:val="lightGray"/>
        </w:rPr>
      </w:pPr>
      <w:r w:rsidRPr="3B8109EE">
        <w:rPr>
          <w:b/>
          <w:bCs/>
          <w:sz w:val="22"/>
          <w:szCs w:val="22"/>
          <w:highlight w:val="lightGray"/>
        </w:rPr>
        <w:lastRenderedPageBreak/>
        <w:t xml:space="preserve">Output 3.3.3 </w:t>
      </w:r>
      <w:r w:rsidRPr="3B8109EE">
        <w:rPr>
          <w:sz w:val="22"/>
          <w:szCs w:val="22"/>
          <w:highlight w:val="lightGray"/>
        </w:rPr>
        <w:t>Opportunities for national and landscape-level stakeholders to exchange knowledge</w:t>
      </w:r>
      <w:r w:rsidR="613D0E12" w:rsidRPr="3B8109EE">
        <w:rPr>
          <w:sz w:val="22"/>
          <w:szCs w:val="22"/>
          <w:highlight w:val="lightGray"/>
        </w:rPr>
        <w:t>, experiences, best practices,</w:t>
      </w:r>
      <w:r w:rsidRPr="3B8109EE">
        <w:rPr>
          <w:sz w:val="22"/>
          <w:szCs w:val="22"/>
          <w:highlight w:val="lightGray"/>
        </w:rPr>
        <w:t>and lessons learnt at regional and global levels identified, developed and supported</w:t>
      </w:r>
    </w:p>
    <w:p w14:paraId="7032BCD0" w14:textId="137A8D2A" w:rsidR="002F3829" w:rsidRPr="007C0607" w:rsidRDefault="7AEF6D9F" w:rsidP="001667C6">
      <w:pPr>
        <w:pStyle w:val="ParagraphOED"/>
        <w:numPr>
          <w:ilvl w:val="0"/>
          <w:numId w:val="102"/>
        </w:numPr>
        <w:spacing w:after="160"/>
      </w:pPr>
      <w:r w:rsidRPr="1E65A5F7">
        <w:rPr>
          <w:sz w:val="22"/>
          <w:szCs w:val="22"/>
        </w:rPr>
        <w:t>This output seeks to identify and promote opportunities for project stakeholders to exchange knowledge, experiences</w:t>
      </w:r>
      <w:r w:rsidR="6D54BB92" w:rsidRPr="1E65A5F7">
        <w:rPr>
          <w:sz w:val="22"/>
          <w:szCs w:val="22"/>
        </w:rPr>
        <w:t xml:space="preserve">, best practices </w:t>
      </w:r>
      <w:r w:rsidRPr="1E65A5F7">
        <w:rPr>
          <w:sz w:val="22"/>
          <w:szCs w:val="22"/>
        </w:rPr>
        <w:t xml:space="preserve">and lessons learnt and enhance mutual learning with other DSL-IP projects, as well as connecting project stakeholders with other relevant regional and global knowledge sources and learning opportunities. This will further strengthen evidence-based decision-making capacity for LDN in Angola. </w:t>
      </w:r>
      <w:r w:rsidR="002F3829">
        <w:t xml:space="preserve"> </w:t>
      </w:r>
      <w:r w:rsidR="1802AB76">
        <w:t xml:space="preserve">It </w:t>
      </w:r>
      <w:r w:rsidR="002F3829">
        <w:t xml:space="preserve">will further assist, and add value to, project efforts in Angola through Outcomes 3.1 and 3.2 to inform and be informed by the expanding body of global knowledge and practice on SLM and SFM practices and measures to </w:t>
      </w:r>
      <w:r w:rsidR="5CC9BB67">
        <w:t xml:space="preserve">achieve </w:t>
      </w:r>
      <w:r w:rsidR="002F3829">
        <w:t xml:space="preserve">LDN. </w:t>
      </w:r>
    </w:p>
    <w:p w14:paraId="6582748A" w14:textId="3EBE0ECF" w:rsidR="002F3829" w:rsidRPr="007C0607" w:rsidRDefault="002F3829" w:rsidP="001667C6">
      <w:pPr>
        <w:pStyle w:val="ParagraphOED"/>
        <w:numPr>
          <w:ilvl w:val="0"/>
          <w:numId w:val="102"/>
        </w:numPr>
        <w:spacing w:after="160"/>
      </w:pPr>
      <w:r>
        <w:t xml:space="preserve">The project’s framework is closely aligned with the SLM-DSL-IP’s global framework, </w:t>
      </w:r>
      <w:r w:rsidR="0E448DF3">
        <w:t xml:space="preserve">and </w:t>
      </w:r>
      <w:r>
        <w:t xml:space="preserve">harmonized with </w:t>
      </w:r>
      <w:r w:rsidR="38B0722B">
        <w:t xml:space="preserve">those </w:t>
      </w:r>
      <w:r>
        <w:t>of the other Miombo/Mopane child projects. This should facilitate the sharing of evidence-based good practices across initiatives.</w:t>
      </w:r>
      <w:r w:rsidR="6174A4A2">
        <w:t xml:space="preserve"> The GCP/REM will play a major role in assisting the Angola child project to engage in and deliver this output.</w:t>
      </w:r>
    </w:p>
    <w:p w14:paraId="58BDD16F" w14:textId="77777777" w:rsidR="002F3829" w:rsidRDefault="002F3829" w:rsidP="001667C6">
      <w:pPr>
        <w:pStyle w:val="ParagraphOED"/>
        <w:numPr>
          <w:ilvl w:val="0"/>
          <w:numId w:val="102"/>
        </w:numPr>
        <w:spacing w:before="160" w:after="80"/>
        <w:rPr>
          <w:b/>
          <w:bCs/>
        </w:rPr>
      </w:pPr>
      <w:r w:rsidRPr="1E65A5F7">
        <w:rPr>
          <w:b/>
          <w:bCs/>
        </w:rPr>
        <w:t>Indicative Activities under Output 3.3.3</w:t>
      </w:r>
    </w:p>
    <w:p w14:paraId="41500EEA" w14:textId="2F5A10D5" w:rsidR="002F3829" w:rsidRPr="00B65123" w:rsidRDefault="002F3829" w:rsidP="001667C6">
      <w:pPr>
        <w:pStyle w:val="ListParagraph"/>
        <w:numPr>
          <w:ilvl w:val="0"/>
          <w:numId w:val="71"/>
        </w:numPr>
        <w:autoSpaceDE/>
        <w:autoSpaceDN/>
        <w:adjustRightInd/>
        <w:spacing w:after="80"/>
        <w:contextualSpacing w:val="0"/>
        <w:rPr>
          <w:sz w:val="21"/>
          <w:szCs w:val="21"/>
        </w:rPr>
      </w:pPr>
      <w:r w:rsidRPr="00BB2FE9">
        <w:rPr>
          <w:b/>
          <w:bCs/>
          <w:sz w:val="21"/>
          <w:szCs w:val="21"/>
        </w:rPr>
        <w:t xml:space="preserve">Liaise with the GCP/REM, other SFM-DSL-IP countries and other relevant initiatives and platforms to </w:t>
      </w:r>
      <w:r w:rsidR="425EDE66" w:rsidRPr="00BB2FE9">
        <w:rPr>
          <w:rFonts w:eastAsia="Calibri" w:cs="Calibri"/>
          <w:b/>
          <w:bCs/>
        </w:rPr>
        <w:t>identify appropriate opportunities being offered through the DSL-IP</w:t>
      </w:r>
      <w:r w:rsidR="425EDE66" w:rsidRPr="3B8109EE">
        <w:rPr>
          <w:rFonts w:eastAsia="Calibri" w:cs="Calibri"/>
        </w:rPr>
        <w:t xml:space="preserve"> to improve Angola’s access to regional and global knowledge and expertise in relation to sustainable drylands management and LDN</w:t>
      </w:r>
    </w:p>
    <w:p w14:paraId="180539B6" w14:textId="1BCB9EEF" w:rsidR="002F3829" w:rsidRPr="00B65123" w:rsidRDefault="002F3829" w:rsidP="001667C6">
      <w:pPr>
        <w:pStyle w:val="ListParagraph"/>
        <w:numPr>
          <w:ilvl w:val="0"/>
          <w:numId w:val="71"/>
        </w:numPr>
        <w:autoSpaceDE/>
        <w:autoSpaceDN/>
        <w:adjustRightInd/>
        <w:spacing w:after="80"/>
        <w:contextualSpacing w:val="0"/>
        <w:rPr>
          <w:sz w:val="21"/>
          <w:szCs w:val="21"/>
        </w:rPr>
      </w:pPr>
      <w:r w:rsidRPr="00E36ED2">
        <w:rPr>
          <w:b/>
          <w:bCs/>
          <w:sz w:val="21"/>
          <w:szCs w:val="21"/>
        </w:rPr>
        <w:t>Identify and organise national and sub-national participation in regional and global ‘cross-fertilisation’ exchanges, study tours and peer-to-peer learning opportunities, including exchange-learning visits</w:t>
      </w:r>
      <w:r w:rsidRPr="4235EC14">
        <w:rPr>
          <w:sz w:val="21"/>
          <w:szCs w:val="21"/>
        </w:rPr>
        <w:t xml:space="preserve"> (with cross-site visits at local, national and regional levels) </w:t>
      </w:r>
      <w:r w:rsidR="56230F41" w:rsidRPr="4235EC14">
        <w:rPr>
          <w:sz w:val="21"/>
          <w:szCs w:val="21"/>
        </w:rPr>
        <w:t xml:space="preserve">for key </w:t>
      </w:r>
      <w:r w:rsidRPr="4235EC14">
        <w:rPr>
          <w:sz w:val="21"/>
          <w:szCs w:val="21"/>
        </w:rPr>
        <w:t>project</w:t>
      </w:r>
      <w:r w:rsidR="2038EAF7" w:rsidRPr="4235EC14">
        <w:rPr>
          <w:sz w:val="21"/>
          <w:szCs w:val="21"/>
        </w:rPr>
        <w:t xml:space="preserve"> participants and</w:t>
      </w:r>
      <w:r w:rsidRPr="4235EC14">
        <w:rPr>
          <w:sz w:val="21"/>
          <w:szCs w:val="21"/>
        </w:rPr>
        <w:t xml:space="preserve"> partners to other SFM-DSL-IP projects in the Miombo-Mopane ecoregion, and </w:t>
      </w:r>
      <w:r w:rsidR="38B000C9" w:rsidRPr="4235EC14">
        <w:rPr>
          <w:sz w:val="21"/>
          <w:szCs w:val="21"/>
        </w:rPr>
        <w:t xml:space="preserve">to </w:t>
      </w:r>
      <w:r w:rsidRPr="4235EC14">
        <w:rPr>
          <w:sz w:val="21"/>
          <w:szCs w:val="21"/>
        </w:rPr>
        <w:t xml:space="preserve">other </w:t>
      </w:r>
      <w:r w:rsidR="4566742A" w:rsidRPr="4235EC14">
        <w:rPr>
          <w:sz w:val="21"/>
          <w:szCs w:val="21"/>
        </w:rPr>
        <w:t xml:space="preserve">relevant </w:t>
      </w:r>
      <w:r w:rsidRPr="4235EC14">
        <w:rPr>
          <w:sz w:val="21"/>
          <w:szCs w:val="21"/>
        </w:rPr>
        <w:t>projects providing best practices under the AFR100 network to improve mutual learning and increase opportunities for South-South cooperation (supported by GCP/REM)</w:t>
      </w:r>
    </w:p>
    <w:p w14:paraId="1B83C4D9" w14:textId="6D9CFFEA" w:rsidR="002F3829" w:rsidRPr="00B65123" w:rsidRDefault="002F3829" w:rsidP="001667C6">
      <w:pPr>
        <w:pStyle w:val="ListParagraph"/>
        <w:numPr>
          <w:ilvl w:val="0"/>
          <w:numId w:val="71"/>
        </w:numPr>
        <w:autoSpaceDE/>
        <w:autoSpaceDN/>
        <w:adjustRightInd/>
        <w:spacing w:after="80"/>
        <w:contextualSpacing w:val="0"/>
        <w:rPr>
          <w:sz w:val="21"/>
          <w:szCs w:val="21"/>
        </w:rPr>
      </w:pPr>
      <w:r w:rsidRPr="00267D66">
        <w:rPr>
          <w:b/>
          <w:bCs/>
          <w:sz w:val="21"/>
          <w:szCs w:val="21"/>
        </w:rPr>
        <w:t>Develop linkages through the GCP/REM and engage with key global forums and working groups on drylands and related platforms</w:t>
      </w:r>
      <w:r w:rsidRPr="4235EC14">
        <w:rPr>
          <w:sz w:val="21"/>
          <w:szCs w:val="21"/>
        </w:rPr>
        <w:t xml:space="preserve"> (e.g. Collaborative Partnership on Forests, Global Landscapes Forum, Global Soils Partnership, Global Agenda for Sustainable Livestock, FAO’s Family Farming Platform, and the World Overview of Conservation Approaches and Technologies) and regional-level platforms (e.g. SADC GGWI, Miombo Network, GEF-6 IAP Policy and Science Interface, World Overview of Conservation Approaches and Technologies – WOCAT), with specific training provided on a demand basis to relevant departments on the use of existing sources of information (e.g. WOCAT, TerrAfrica).</w:t>
      </w:r>
    </w:p>
    <w:p w14:paraId="2923887C" w14:textId="3B12A856" w:rsidR="002F3829" w:rsidRPr="00B65123" w:rsidRDefault="6581063F" w:rsidP="001667C6">
      <w:pPr>
        <w:pStyle w:val="ListParagraph"/>
        <w:numPr>
          <w:ilvl w:val="0"/>
          <w:numId w:val="71"/>
        </w:numPr>
        <w:autoSpaceDE/>
        <w:autoSpaceDN/>
        <w:adjustRightInd/>
        <w:spacing w:after="80"/>
        <w:contextualSpacing w:val="0"/>
        <w:rPr>
          <w:sz w:val="21"/>
          <w:szCs w:val="21"/>
        </w:rPr>
      </w:pPr>
      <w:r w:rsidRPr="003F5BA8">
        <w:rPr>
          <w:b/>
          <w:bCs/>
          <w:sz w:val="21"/>
          <w:szCs w:val="21"/>
        </w:rPr>
        <w:t>Ensure c</w:t>
      </w:r>
      <w:r w:rsidR="002F3829" w:rsidRPr="003F5BA8">
        <w:rPr>
          <w:b/>
          <w:bCs/>
          <w:sz w:val="21"/>
          <w:szCs w:val="21"/>
        </w:rPr>
        <w:t>lose coordination with FAO’s Committee on Forestry (COFO) Working Group on Dryland Forests and Agrosilvopastoral Systems</w:t>
      </w:r>
      <w:r w:rsidR="002F3829" w:rsidRPr="4235EC14">
        <w:rPr>
          <w:sz w:val="21"/>
          <w:szCs w:val="21"/>
        </w:rPr>
        <w:t xml:space="preserve">, including support for </w:t>
      </w:r>
      <w:r w:rsidR="4F9C5FD6" w:rsidRPr="4235EC14">
        <w:rPr>
          <w:sz w:val="21"/>
          <w:szCs w:val="21"/>
        </w:rPr>
        <w:t xml:space="preserve">the </w:t>
      </w:r>
      <w:r w:rsidR="002F3829" w:rsidRPr="4235EC14">
        <w:rPr>
          <w:sz w:val="21"/>
          <w:szCs w:val="21"/>
        </w:rPr>
        <w:t>country’s representative to participate in relevant meetings in order to help channel knowledge and policy support between the child project, regional level and GCP steering committee.</w:t>
      </w:r>
    </w:p>
    <w:p w14:paraId="5337B3BE" w14:textId="0580E75B" w:rsidR="002F3829" w:rsidRPr="00B65123" w:rsidRDefault="46254132" w:rsidP="001667C6">
      <w:pPr>
        <w:pStyle w:val="ListParagraph"/>
        <w:numPr>
          <w:ilvl w:val="0"/>
          <w:numId w:val="71"/>
        </w:numPr>
        <w:autoSpaceDE/>
        <w:autoSpaceDN/>
        <w:adjustRightInd/>
        <w:spacing w:after="80"/>
        <w:contextualSpacing w:val="0"/>
        <w:rPr>
          <w:rFonts w:eastAsia="Calibri" w:cs="Calibri"/>
          <w:color w:val="000000" w:themeColor="text1"/>
          <w:sz w:val="21"/>
          <w:szCs w:val="21"/>
        </w:rPr>
      </w:pPr>
      <w:r w:rsidRPr="00FD6F89">
        <w:rPr>
          <w:b/>
          <w:bCs/>
          <w:sz w:val="21"/>
          <w:szCs w:val="21"/>
        </w:rPr>
        <w:t>Organise the p</w:t>
      </w:r>
      <w:r w:rsidR="002F3829" w:rsidRPr="00FD6F89">
        <w:rPr>
          <w:b/>
          <w:bCs/>
          <w:sz w:val="21"/>
          <w:szCs w:val="21"/>
        </w:rPr>
        <w:t>articipation</w:t>
      </w:r>
      <w:r w:rsidR="451BBAD8" w:rsidRPr="00FD6F89">
        <w:rPr>
          <w:b/>
          <w:bCs/>
          <w:sz w:val="21"/>
          <w:szCs w:val="21"/>
        </w:rPr>
        <w:t>, facilitated by the GCP/REM,</w:t>
      </w:r>
      <w:r w:rsidR="002F3829" w:rsidRPr="00FD6F89">
        <w:rPr>
          <w:b/>
          <w:bCs/>
          <w:sz w:val="21"/>
          <w:szCs w:val="21"/>
        </w:rPr>
        <w:t xml:space="preserve"> of the Angola project team and partners </w:t>
      </w:r>
      <w:r w:rsidR="45B71531" w:rsidRPr="00FD6F89">
        <w:rPr>
          <w:b/>
          <w:bCs/>
          <w:sz w:val="21"/>
          <w:szCs w:val="21"/>
        </w:rPr>
        <w:t>in</w:t>
      </w:r>
      <w:r w:rsidR="002F3829" w:rsidRPr="00FD6F89">
        <w:rPr>
          <w:b/>
          <w:bCs/>
          <w:sz w:val="21"/>
          <w:szCs w:val="21"/>
        </w:rPr>
        <w:t xml:space="preserve"> the annual meetings of SFM-DSL IP</w:t>
      </w:r>
      <w:r w:rsidR="002F3829" w:rsidRPr="4235EC14">
        <w:rPr>
          <w:sz w:val="21"/>
          <w:szCs w:val="21"/>
        </w:rPr>
        <w:t xml:space="preserve"> and other capacity development events and networking opportunities organized by the GCP, SADC, UN COPs (particularly UNCCD), IUCN Global Congress, among others.</w:t>
      </w:r>
    </w:p>
    <w:p w14:paraId="1AF770CB" w14:textId="22ED8E3A" w:rsidR="002F3829" w:rsidRPr="007C0607" w:rsidRDefault="002F3829" w:rsidP="001667C6">
      <w:pPr>
        <w:pStyle w:val="ParagraphOED"/>
        <w:numPr>
          <w:ilvl w:val="0"/>
          <w:numId w:val="102"/>
        </w:numPr>
        <w:spacing w:before="160" w:after="160"/>
      </w:pPr>
      <w:r>
        <w:t xml:space="preserve">The project </w:t>
      </w:r>
      <w:r w:rsidR="25389908">
        <w:t xml:space="preserve">and GCP/REM </w:t>
      </w:r>
      <w:r>
        <w:t xml:space="preserve">will </w:t>
      </w:r>
      <w:r w:rsidR="6E5E7EDD">
        <w:t xml:space="preserve">jointly </w:t>
      </w:r>
      <w:r>
        <w:t>identify the most suitable learning opportunities in other countries and organize at least two visits of approximately one week</w:t>
      </w:r>
      <w:r w:rsidR="5D9F6DE1">
        <w:t xml:space="preserve"> to relevant sites</w:t>
      </w:r>
      <w:r>
        <w:t xml:space="preserve">, with the help of the host partner. </w:t>
      </w:r>
      <w:r w:rsidR="2D5A4D06">
        <w:t>V</w:t>
      </w:r>
      <w:r>
        <w:t>isit</w:t>
      </w:r>
      <w:r w:rsidR="0A60AE0D">
        <w:t>s are</w:t>
      </w:r>
      <w:r>
        <w:t xml:space="preserve"> expected to involve between 8-10 participants from Angola. As a commitment of their involvement, participants will be required to prepare a report for dissemination and conduct workshops or meetings to share the knowledge acquired on returning to Angola and identify how it might be applied in a brief action plan. Actions can then be monitored and reported to the PSC.  </w:t>
      </w:r>
      <w:r w:rsidR="4E5396C9">
        <w:t xml:space="preserve"> Conversely,</w:t>
      </w:r>
      <w:r>
        <w:t xml:space="preserve"> the PMU will liaise with the GCP to host similar learning </w:t>
      </w:r>
      <w:r>
        <w:lastRenderedPageBreak/>
        <w:t xml:space="preserve">visits for other SFM-DSL IP partners, based on the most successful achievements of the project in Angola. </w:t>
      </w:r>
    </w:p>
    <w:p w14:paraId="4A5297A1" w14:textId="1D9EC4E5" w:rsidR="009563B4" w:rsidRPr="008A7E2F" w:rsidRDefault="00B85D50" w:rsidP="00267A88">
      <w:pPr>
        <w:pStyle w:val="Heading3"/>
        <w:rPr>
          <w:rFonts w:ascii="Calibri" w:hAnsi="Calibri" w:cs="Calibri"/>
          <w:b w:val="0"/>
        </w:rPr>
      </w:pPr>
      <w:bookmarkStart w:id="151" w:name="_Toc42027124"/>
      <w:bookmarkStart w:id="152" w:name="_Toc42262632"/>
      <w:bookmarkStart w:id="153" w:name="_Toc52367660"/>
      <w:r w:rsidRPr="008A7E2F">
        <w:rPr>
          <w:rFonts w:ascii="Calibri" w:hAnsi="Calibri" w:cs="Calibri"/>
        </w:rPr>
        <w:t>4.</w:t>
      </w:r>
      <w:r w:rsidR="009563B4" w:rsidRPr="008A7E2F">
        <w:rPr>
          <w:rFonts w:ascii="Calibri" w:hAnsi="Calibri" w:cs="Calibri"/>
        </w:rPr>
        <w:t xml:space="preserve"> Alignment with GEF focal area and/or Impact Program strategies</w:t>
      </w:r>
      <w:bookmarkEnd w:id="151"/>
      <w:bookmarkEnd w:id="152"/>
      <w:bookmarkEnd w:id="153"/>
    </w:p>
    <w:p w14:paraId="066CB549" w14:textId="77777777" w:rsidR="00D65EAB" w:rsidRPr="00A33B9E" w:rsidRDefault="00D65EAB" w:rsidP="001667C6">
      <w:pPr>
        <w:pStyle w:val="ParagraphOED"/>
        <w:numPr>
          <w:ilvl w:val="0"/>
          <w:numId w:val="102"/>
        </w:numPr>
        <w:spacing w:after="160"/>
        <w:rPr>
          <w:lang w:val="en-GB"/>
        </w:rPr>
      </w:pPr>
      <w:r w:rsidRPr="1E65A5F7">
        <w:rPr>
          <w:lang w:val="en-GB"/>
        </w:rPr>
        <w:t xml:space="preserve">The Dryland Sustainable Landscapes Impact Program is a multifocal, integrated initiative that will create multiple benefits in the land degradation (LD), biodiversity (BD) and climate change (CC) focal areas. It is aligned with the general IP strategies to address key programmatic issues including transformation, impact, collaboration, coordination, and private sector engagement; and its goal is to address the nexus between local livelihoods, land degradation, climate change and environmental security. </w:t>
      </w:r>
    </w:p>
    <w:p w14:paraId="13736A78" w14:textId="77777777" w:rsidR="00D65EAB" w:rsidRDefault="00D65EAB" w:rsidP="001667C6">
      <w:pPr>
        <w:pStyle w:val="ParagraphOED"/>
        <w:numPr>
          <w:ilvl w:val="0"/>
          <w:numId w:val="102"/>
        </w:numPr>
        <w:spacing w:after="0"/>
        <w:rPr>
          <w:rFonts w:cs="Times New Roman"/>
        </w:rPr>
      </w:pPr>
      <w:r>
        <w:t>This Angola child project of the GEF-7 SFM IP Program on Dryland Sustainable Landscapes is focused on achieving a paradigm shift towards Land Degradation Neutrality for Miombo-Mopane woodlands in southern Angola by applying SLM/SFM best practices at landscape (sub-basin) scales in an integrated manner that engages with all sectors and other stakeholders having vested interests. The integrated landscape approach will directly address barriers that have thwarted LDN, SLM, and SFM from being successfully realized to date and, alongside a focus on diversifying food production systems, will contribute to increasing the resilience of ecosystems and livelihoods. Hence, the project is directly aligned with the Impact Program’s three objectives:</w:t>
      </w:r>
    </w:p>
    <w:p w14:paraId="4DC832DE" w14:textId="77777777" w:rsidR="00D65EAB" w:rsidRPr="0000721D" w:rsidRDefault="00D65EAB" w:rsidP="001667C6">
      <w:pPr>
        <w:pStyle w:val="ListParagraph"/>
        <w:numPr>
          <w:ilvl w:val="3"/>
          <w:numId w:val="65"/>
        </w:numPr>
        <w:tabs>
          <w:tab w:val="left" w:pos="709"/>
        </w:tabs>
        <w:autoSpaceDE/>
        <w:autoSpaceDN/>
        <w:adjustRightInd/>
        <w:spacing w:after="0"/>
        <w:ind w:left="709" w:hanging="142"/>
        <w:contextualSpacing w:val="0"/>
        <w:rPr>
          <w:rFonts w:asciiTheme="minorHAnsi" w:hAnsiTheme="minorHAnsi" w:cstheme="minorHAnsi"/>
          <w:color w:val="auto"/>
          <w:sz w:val="21"/>
          <w:szCs w:val="21"/>
        </w:rPr>
      </w:pPr>
      <w:r w:rsidRPr="0000721D">
        <w:rPr>
          <w:rFonts w:eastAsia="SimSun"/>
          <w:i/>
          <w:iCs/>
          <w:color w:val="auto"/>
          <w:sz w:val="21"/>
          <w:szCs w:val="21"/>
        </w:rPr>
        <w:t>integrated landscape management with particular focus on sustainable forest management and restoration, rangelands, and livestock production</w:t>
      </w:r>
      <w:r w:rsidRPr="0000721D">
        <w:rPr>
          <w:rFonts w:eastAsia="SimSun"/>
          <w:color w:val="auto"/>
          <w:sz w:val="21"/>
          <w:szCs w:val="21"/>
        </w:rPr>
        <w:t xml:space="preserve"> [predominantly via Component 2, Outcome 2.1];</w:t>
      </w:r>
    </w:p>
    <w:p w14:paraId="14544E1C" w14:textId="77777777" w:rsidR="00D65EAB" w:rsidRPr="0000721D" w:rsidRDefault="00D65EAB" w:rsidP="001667C6">
      <w:pPr>
        <w:pStyle w:val="ListParagraph"/>
        <w:numPr>
          <w:ilvl w:val="3"/>
          <w:numId w:val="65"/>
        </w:numPr>
        <w:tabs>
          <w:tab w:val="left" w:pos="709"/>
        </w:tabs>
        <w:autoSpaceDE/>
        <w:autoSpaceDN/>
        <w:adjustRightInd/>
        <w:spacing w:after="0"/>
        <w:ind w:left="709" w:hanging="142"/>
        <w:contextualSpacing w:val="0"/>
        <w:rPr>
          <w:rFonts w:asciiTheme="minorHAnsi" w:hAnsiTheme="minorHAnsi" w:cstheme="minorHAnsi"/>
          <w:color w:val="auto"/>
          <w:sz w:val="21"/>
          <w:szCs w:val="21"/>
        </w:rPr>
      </w:pPr>
      <w:r w:rsidRPr="0000721D">
        <w:rPr>
          <w:rFonts w:eastAsia="SimSun"/>
          <w:color w:val="auto"/>
          <w:sz w:val="21"/>
          <w:szCs w:val="21"/>
        </w:rPr>
        <w:t>promotion of diversified agro-ecological food production systems in drylands [predominantly via Component 2, Outcomes 2.2 and 2.3]; and</w:t>
      </w:r>
    </w:p>
    <w:p w14:paraId="01454B63" w14:textId="77777777" w:rsidR="00D65EAB" w:rsidRPr="0000721D" w:rsidRDefault="00D65EAB" w:rsidP="001667C6">
      <w:pPr>
        <w:pStyle w:val="ListParagraph"/>
        <w:numPr>
          <w:ilvl w:val="3"/>
          <w:numId w:val="65"/>
        </w:numPr>
        <w:tabs>
          <w:tab w:val="left" w:pos="709"/>
        </w:tabs>
        <w:autoSpaceDE/>
        <w:autoSpaceDN/>
        <w:adjustRightInd/>
        <w:spacing w:after="0"/>
        <w:ind w:left="709" w:hanging="142"/>
        <w:contextualSpacing w:val="0"/>
        <w:rPr>
          <w:rFonts w:asciiTheme="minorHAnsi" w:hAnsiTheme="minorHAnsi" w:cstheme="minorHAnsi"/>
          <w:color w:val="auto"/>
          <w:sz w:val="21"/>
          <w:szCs w:val="21"/>
        </w:rPr>
      </w:pPr>
      <w:r w:rsidRPr="0000721D">
        <w:rPr>
          <w:rFonts w:eastAsia="SimSun"/>
          <w:i/>
          <w:iCs/>
          <w:color w:val="auto"/>
          <w:sz w:val="21"/>
          <w:szCs w:val="21"/>
        </w:rPr>
        <w:t>creation of an enabling environment to support the two objectives above</w:t>
      </w:r>
      <w:r w:rsidRPr="0000721D">
        <w:rPr>
          <w:rFonts w:eastAsia="SimSun"/>
          <w:color w:val="auto"/>
          <w:sz w:val="21"/>
          <w:szCs w:val="21"/>
        </w:rPr>
        <w:t xml:space="preserve"> [predominantly via Component 1 and enhanced by Component 3]. </w:t>
      </w:r>
    </w:p>
    <w:p w14:paraId="5A69C5D1" w14:textId="77777777" w:rsidR="00D65EAB" w:rsidRPr="00442890" w:rsidRDefault="00D65EAB" w:rsidP="001667C6">
      <w:pPr>
        <w:pStyle w:val="ParagraphOED"/>
        <w:numPr>
          <w:ilvl w:val="0"/>
          <w:numId w:val="102"/>
        </w:numPr>
        <w:spacing w:before="160" w:after="80"/>
      </w:pPr>
      <w:r w:rsidRPr="1E65A5F7">
        <w:rPr>
          <w:rFonts w:eastAsia="SimSun"/>
        </w:rPr>
        <w:t>More specifically, the three integrated components of the Angola child project are aligned with two of the seven GEF Focal Areas of the Impact Program in the following ways: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firstRow="1" w:lastRow="1" w:firstColumn="1" w:lastColumn="1" w:noHBand="0" w:noVBand="0"/>
      </w:tblPr>
      <w:tblGrid>
        <w:gridCol w:w="3397"/>
        <w:gridCol w:w="5619"/>
      </w:tblGrid>
      <w:tr w:rsidR="00D65EAB" w:rsidRPr="00070831" w14:paraId="4E4242EC" w14:textId="77777777" w:rsidTr="005E0723">
        <w:tc>
          <w:tcPr>
            <w:tcW w:w="1884" w:type="pct"/>
            <w:shd w:val="clear" w:color="auto" w:fill="FFFFFF"/>
            <w:tcMar>
              <w:top w:w="28" w:type="dxa"/>
              <w:left w:w="57" w:type="dxa"/>
              <w:bottom w:w="28" w:type="dxa"/>
              <w:right w:w="57" w:type="dxa"/>
            </w:tcMar>
            <w:vAlign w:val="center"/>
          </w:tcPr>
          <w:p w14:paraId="26D6CD41" w14:textId="77777777" w:rsidR="00D65EAB" w:rsidRPr="00070831" w:rsidRDefault="00D65EAB" w:rsidP="005E0723">
            <w:pPr>
              <w:spacing w:before="80" w:after="80"/>
              <w:jc w:val="center"/>
              <w:rPr>
                <w:rFonts w:ascii="Calibri" w:hAnsi="Calibri" w:cs="Calibri"/>
                <w:b/>
                <w:bCs/>
                <w:sz w:val="21"/>
                <w:szCs w:val="21"/>
              </w:rPr>
            </w:pPr>
            <w:r w:rsidRPr="00070831">
              <w:rPr>
                <w:rFonts w:ascii="Calibri" w:hAnsi="Calibri" w:cs="Calibri"/>
                <w:b/>
                <w:bCs/>
                <w:sz w:val="21"/>
                <w:szCs w:val="21"/>
              </w:rPr>
              <w:t>GEF-7 Programming Directions</w:t>
            </w:r>
          </w:p>
        </w:tc>
        <w:tc>
          <w:tcPr>
            <w:tcW w:w="3116" w:type="pct"/>
            <w:shd w:val="clear" w:color="auto" w:fill="FFFFFF"/>
            <w:tcMar>
              <w:top w:w="28" w:type="dxa"/>
              <w:left w:w="57" w:type="dxa"/>
              <w:bottom w:w="28" w:type="dxa"/>
              <w:right w:w="57" w:type="dxa"/>
            </w:tcMar>
            <w:vAlign w:val="center"/>
          </w:tcPr>
          <w:p w14:paraId="198CEBE4" w14:textId="77777777" w:rsidR="00D65EAB" w:rsidRPr="00070831" w:rsidRDefault="00D65EAB" w:rsidP="005E0723">
            <w:pPr>
              <w:spacing w:before="80" w:after="80"/>
              <w:jc w:val="center"/>
              <w:rPr>
                <w:rFonts w:ascii="Calibri" w:hAnsi="Calibri" w:cs="Calibri"/>
                <w:b/>
                <w:bCs/>
                <w:sz w:val="21"/>
                <w:szCs w:val="21"/>
              </w:rPr>
            </w:pPr>
            <w:r w:rsidRPr="00070831">
              <w:rPr>
                <w:rFonts w:ascii="Calibri" w:hAnsi="Calibri" w:cs="Calibri"/>
                <w:b/>
                <w:bCs/>
                <w:sz w:val="21"/>
                <w:szCs w:val="21"/>
              </w:rPr>
              <w:t>Alignment of Angola Child Project</w:t>
            </w:r>
          </w:p>
        </w:tc>
      </w:tr>
      <w:tr w:rsidR="00D65EAB" w:rsidRPr="00070831" w14:paraId="58E1F009" w14:textId="77777777" w:rsidTr="005E0723">
        <w:tc>
          <w:tcPr>
            <w:tcW w:w="1884" w:type="pct"/>
            <w:shd w:val="clear" w:color="auto" w:fill="FFFFFF"/>
            <w:tcMar>
              <w:top w:w="28" w:type="dxa"/>
              <w:left w:w="57" w:type="dxa"/>
              <w:bottom w:w="28" w:type="dxa"/>
              <w:right w:w="57" w:type="dxa"/>
            </w:tcMar>
          </w:tcPr>
          <w:p w14:paraId="5F0E414F" w14:textId="77777777" w:rsidR="00D65EAB" w:rsidRPr="00070831" w:rsidRDefault="00D65EAB" w:rsidP="005E0723">
            <w:pPr>
              <w:rPr>
                <w:rFonts w:ascii="Calibri" w:hAnsi="Calibri" w:cs="Calibri"/>
                <w:sz w:val="21"/>
                <w:szCs w:val="21"/>
              </w:rPr>
            </w:pPr>
            <w:r w:rsidRPr="00070831">
              <w:rPr>
                <w:rFonts w:ascii="Calibri" w:hAnsi="Calibri" w:cs="Calibri"/>
                <w:b/>
                <w:bCs/>
                <w:sz w:val="21"/>
                <w:szCs w:val="21"/>
              </w:rPr>
              <w:t>LD Objective 1</w:t>
            </w:r>
            <w:r w:rsidRPr="00070831">
              <w:rPr>
                <w:rFonts w:ascii="Calibri" w:hAnsi="Calibri" w:cs="Calibri"/>
                <w:sz w:val="21"/>
                <w:szCs w:val="21"/>
              </w:rPr>
              <w:t xml:space="preserve"> </w:t>
            </w:r>
          </w:p>
          <w:p w14:paraId="40EC4AEB" w14:textId="77777777" w:rsidR="00D65EAB" w:rsidRPr="00070831" w:rsidRDefault="00D65EAB" w:rsidP="005E0723">
            <w:pPr>
              <w:spacing w:after="80"/>
              <w:rPr>
                <w:rFonts w:ascii="Calibri" w:hAnsi="Calibri" w:cs="Calibri"/>
                <w:sz w:val="21"/>
                <w:szCs w:val="21"/>
              </w:rPr>
            </w:pPr>
            <w:r w:rsidRPr="00070831">
              <w:rPr>
                <w:rFonts w:ascii="Calibri" w:hAnsi="Calibri" w:cs="Calibri"/>
                <w:sz w:val="21"/>
                <w:szCs w:val="21"/>
              </w:rPr>
              <w:t>Enhance on-the-ground implementation of SLM using the LDN tool.</w:t>
            </w:r>
          </w:p>
          <w:p w14:paraId="4402DD55" w14:textId="77777777" w:rsidR="00D65EAB" w:rsidRPr="00070831" w:rsidRDefault="00D65EAB" w:rsidP="005E0723">
            <w:pPr>
              <w:spacing w:after="80"/>
              <w:rPr>
                <w:rFonts w:ascii="Calibri" w:hAnsi="Calibri" w:cs="Calibri"/>
                <w:sz w:val="21"/>
                <w:szCs w:val="21"/>
              </w:rPr>
            </w:pPr>
            <w:r w:rsidRPr="00070831">
              <w:rPr>
                <w:rFonts w:ascii="Calibri" w:hAnsi="Calibri" w:cs="Calibri"/>
                <w:b/>
                <w:bCs/>
                <w:sz w:val="21"/>
                <w:szCs w:val="21"/>
              </w:rPr>
              <w:t>LD-1-1</w:t>
            </w:r>
            <w:r w:rsidRPr="00070831">
              <w:rPr>
                <w:rFonts w:ascii="Calibri" w:hAnsi="Calibri" w:cs="Calibri"/>
                <w:sz w:val="21"/>
                <w:szCs w:val="21"/>
              </w:rPr>
              <w:t>: Maintain or improve flow of agro-ecosystem services to sustain food production and livelihoods through Sustainable Land Management (SLM).</w:t>
            </w:r>
          </w:p>
          <w:p w14:paraId="3CF1D60D" w14:textId="77777777" w:rsidR="00D65EAB" w:rsidRPr="00070831" w:rsidRDefault="00D65EAB" w:rsidP="005E0723">
            <w:pPr>
              <w:spacing w:after="80"/>
              <w:rPr>
                <w:rFonts w:ascii="Calibri" w:hAnsi="Calibri" w:cs="Calibri"/>
                <w:sz w:val="21"/>
                <w:szCs w:val="21"/>
              </w:rPr>
            </w:pPr>
            <w:r w:rsidRPr="00070831">
              <w:rPr>
                <w:rFonts w:ascii="Calibri" w:hAnsi="Calibri" w:cs="Calibri"/>
                <w:b/>
                <w:bCs/>
                <w:sz w:val="21"/>
                <w:szCs w:val="21"/>
              </w:rPr>
              <w:t>LD-2-2</w:t>
            </w:r>
            <w:r w:rsidRPr="00070831">
              <w:rPr>
                <w:rFonts w:ascii="Calibri" w:hAnsi="Calibri" w:cs="Calibri"/>
                <w:sz w:val="21"/>
                <w:szCs w:val="21"/>
              </w:rPr>
              <w:t>: Maintain or improve flow of ecosystem services, including sustaining livelihoods of forest-dependent people through Sustainable Forest Management (SFM).</w:t>
            </w:r>
          </w:p>
        </w:tc>
        <w:tc>
          <w:tcPr>
            <w:tcW w:w="3116" w:type="pct"/>
            <w:shd w:val="clear" w:color="auto" w:fill="FFFFFF"/>
            <w:tcMar>
              <w:top w:w="28" w:type="dxa"/>
              <w:left w:w="57" w:type="dxa"/>
              <w:bottom w:w="28" w:type="dxa"/>
              <w:right w:w="57" w:type="dxa"/>
            </w:tcMar>
          </w:tcPr>
          <w:p w14:paraId="24AD9833" w14:textId="77777777" w:rsidR="00D65EAB" w:rsidRPr="00070831" w:rsidRDefault="00D65EAB" w:rsidP="00FC10C8">
            <w:pPr>
              <w:spacing w:after="80"/>
              <w:jc w:val="both"/>
              <w:rPr>
                <w:rFonts w:ascii="Calibri" w:hAnsi="Calibri" w:cs="Calibri"/>
                <w:sz w:val="21"/>
                <w:szCs w:val="21"/>
              </w:rPr>
            </w:pPr>
            <w:r w:rsidRPr="00070831">
              <w:rPr>
                <w:rFonts w:ascii="Calibri" w:hAnsi="Calibri" w:cs="Calibri"/>
                <w:b/>
                <w:bCs/>
                <w:sz w:val="21"/>
                <w:szCs w:val="21"/>
              </w:rPr>
              <w:t>LD Objective 1</w:t>
            </w:r>
            <w:r w:rsidRPr="00070831">
              <w:rPr>
                <w:rFonts w:ascii="Calibri" w:hAnsi="Calibri" w:cs="Calibri"/>
                <w:sz w:val="21"/>
                <w:szCs w:val="21"/>
              </w:rPr>
              <w:t xml:space="preserve"> is directly supported by focusing on SLM/SFM at landscape (sub-basin) levels, in conjunction with land-use planning at local (municipality) levels in order to micro-manage the complexities of land use and land tenure realities through engaging with stakeholders by means of consensus-building processes. </w:t>
            </w:r>
          </w:p>
          <w:p w14:paraId="32B4B073" w14:textId="2202DD0F" w:rsidR="00D65EAB" w:rsidRPr="00070831" w:rsidRDefault="00D65EAB" w:rsidP="00FC10C8">
            <w:pPr>
              <w:spacing w:after="80"/>
              <w:jc w:val="both"/>
              <w:rPr>
                <w:rFonts w:ascii="Calibri" w:hAnsi="Calibri" w:cs="Calibri"/>
                <w:sz w:val="21"/>
                <w:szCs w:val="21"/>
              </w:rPr>
            </w:pPr>
            <w:r w:rsidRPr="00070831">
              <w:rPr>
                <w:rFonts w:ascii="Calibri" w:hAnsi="Calibri" w:cs="Calibri"/>
                <w:sz w:val="21"/>
                <w:szCs w:val="21"/>
              </w:rPr>
              <w:t xml:space="preserve">Both </w:t>
            </w:r>
            <w:r w:rsidRPr="00070831">
              <w:rPr>
                <w:rFonts w:ascii="Calibri" w:hAnsi="Calibri" w:cs="Calibri"/>
                <w:b/>
                <w:bCs/>
                <w:sz w:val="21"/>
                <w:szCs w:val="21"/>
              </w:rPr>
              <w:t xml:space="preserve">LD-1-1 and LD-2-2 </w:t>
            </w:r>
            <w:r w:rsidRPr="00070831">
              <w:rPr>
                <w:rFonts w:ascii="Calibri" w:hAnsi="Calibri" w:cs="Calibri"/>
                <w:sz w:val="21"/>
                <w:szCs w:val="21"/>
              </w:rPr>
              <w:t>will be addressed through SLM and SFM, respectively, under Component 2. Of the total area of 633,278 ha in the two target landscapes preselected for interventions aligned to the LDN response hierarchy of avoid, reduce, restore (</w:t>
            </w:r>
            <w:r w:rsidRPr="00070831">
              <w:rPr>
                <w:rFonts w:ascii="Calibri" w:hAnsi="Calibri" w:cs="Calibri"/>
                <w:sz w:val="21"/>
                <w:szCs w:val="21"/>
                <w:highlight w:val="lightGray"/>
              </w:rPr>
              <w:fldChar w:fldCharType="begin"/>
            </w:r>
            <w:r w:rsidRPr="00070831">
              <w:rPr>
                <w:rFonts w:ascii="Calibri" w:hAnsi="Calibri" w:cs="Calibri"/>
                <w:sz w:val="21"/>
                <w:szCs w:val="21"/>
                <w:highlight w:val="lightGray"/>
              </w:rPr>
              <w:instrText xml:space="preserve"> REF _Ref51310081 \h  \* MERGEFORMAT </w:instrText>
            </w:r>
            <w:r w:rsidRPr="00070831">
              <w:rPr>
                <w:rFonts w:ascii="Calibri" w:hAnsi="Calibri" w:cs="Calibri"/>
                <w:sz w:val="21"/>
                <w:szCs w:val="21"/>
                <w:highlight w:val="lightGray"/>
              </w:rPr>
            </w:r>
            <w:r w:rsidRPr="00070831">
              <w:rPr>
                <w:rFonts w:ascii="Calibri" w:hAnsi="Calibri" w:cs="Calibri"/>
                <w:sz w:val="21"/>
                <w:szCs w:val="21"/>
                <w:highlight w:val="lightGray"/>
              </w:rPr>
              <w:fldChar w:fldCharType="separate"/>
            </w:r>
            <w:r w:rsidR="00A64193" w:rsidRPr="00A64193">
              <w:rPr>
                <w:rFonts w:ascii="Calibri" w:hAnsi="Calibri" w:cs="Calibri"/>
                <w:sz w:val="21"/>
                <w:szCs w:val="21"/>
                <w:highlight w:val="lightGray"/>
              </w:rPr>
              <w:t xml:space="preserve">Table </w:t>
            </w:r>
            <w:r w:rsidR="00A64193" w:rsidRPr="00A64193">
              <w:rPr>
                <w:rFonts w:ascii="Calibri" w:hAnsi="Calibri" w:cs="Calibri"/>
                <w:noProof/>
                <w:sz w:val="21"/>
                <w:szCs w:val="21"/>
                <w:highlight w:val="lightGray"/>
              </w:rPr>
              <w:t>5</w:t>
            </w:r>
            <w:r w:rsidRPr="00070831">
              <w:rPr>
                <w:rFonts w:ascii="Calibri" w:hAnsi="Calibri" w:cs="Calibri"/>
                <w:sz w:val="21"/>
                <w:szCs w:val="21"/>
                <w:highlight w:val="lightGray"/>
              </w:rPr>
              <w:fldChar w:fldCharType="end"/>
            </w:r>
            <w:r w:rsidRPr="00070831">
              <w:rPr>
                <w:rFonts w:ascii="Calibri" w:hAnsi="Calibri" w:cs="Calibri"/>
                <w:sz w:val="21"/>
                <w:szCs w:val="21"/>
              </w:rPr>
              <w:t xml:space="preserve">), 17 % (107,722 ha) is forest and the rest is watershed (26.4%, which also includes forest), cropland (34.3%) and grassland (22.3%). While Outcome 2.1 is focused on integrated land-use planning and management towards achieving LDN, Outcome 2.2 addresses land users’production capacity and resilience, and Outcome 2.3 invests in matching green value chains with livelihood opportunities and fosters engagement with the private sector. </w:t>
            </w:r>
          </w:p>
        </w:tc>
      </w:tr>
      <w:tr w:rsidR="00D65EAB" w:rsidRPr="00070831" w14:paraId="6D05C3D0" w14:textId="77777777" w:rsidTr="005E0723">
        <w:tc>
          <w:tcPr>
            <w:tcW w:w="1884" w:type="pct"/>
            <w:shd w:val="clear" w:color="auto" w:fill="FFFFFF"/>
            <w:tcMar>
              <w:top w:w="28" w:type="dxa"/>
              <w:left w:w="57" w:type="dxa"/>
              <w:bottom w:w="28" w:type="dxa"/>
              <w:right w:w="57" w:type="dxa"/>
            </w:tcMar>
          </w:tcPr>
          <w:p w14:paraId="6EC27550" w14:textId="77777777" w:rsidR="00D65EAB" w:rsidRPr="00070831" w:rsidRDefault="00D65EAB" w:rsidP="005E0723">
            <w:pPr>
              <w:spacing w:after="80"/>
              <w:rPr>
                <w:rFonts w:ascii="Calibri" w:hAnsi="Calibri" w:cs="Calibri"/>
                <w:b/>
                <w:bCs/>
                <w:sz w:val="21"/>
                <w:szCs w:val="21"/>
              </w:rPr>
            </w:pPr>
            <w:r w:rsidRPr="00070831">
              <w:rPr>
                <w:rFonts w:ascii="Calibri" w:hAnsi="Calibri" w:cs="Calibri"/>
                <w:b/>
                <w:bCs/>
                <w:sz w:val="21"/>
                <w:szCs w:val="21"/>
              </w:rPr>
              <w:t>Climate Change Mitigation Programmatic Approach</w:t>
            </w:r>
          </w:p>
          <w:p w14:paraId="351B7B6B" w14:textId="77777777" w:rsidR="00D65EAB" w:rsidRPr="00070831" w:rsidRDefault="00D65EAB" w:rsidP="005E0723">
            <w:pPr>
              <w:spacing w:after="80"/>
              <w:rPr>
                <w:rFonts w:ascii="Calibri" w:hAnsi="Calibri" w:cs="Calibri"/>
                <w:sz w:val="21"/>
                <w:szCs w:val="21"/>
              </w:rPr>
            </w:pPr>
            <w:r w:rsidRPr="00070831">
              <w:rPr>
                <w:rFonts w:ascii="Calibri" w:hAnsi="Calibri" w:cs="Calibri"/>
                <w:sz w:val="21"/>
                <w:szCs w:val="21"/>
              </w:rPr>
              <w:t xml:space="preserve">Mitigate the release of GHG emissions through avoided deforestation and by </w:t>
            </w:r>
            <w:r w:rsidRPr="00070831">
              <w:rPr>
                <w:rFonts w:ascii="Calibri" w:hAnsi="Calibri" w:cs="Calibri"/>
                <w:sz w:val="21"/>
                <w:szCs w:val="21"/>
              </w:rPr>
              <w:lastRenderedPageBreak/>
              <w:t>enhancing carbon stocks above and below ground</w:t>
            </w:r>
          </w:p>
          <w:p w14:paraId="7A5A8D5C" w14:textId="77777777" w:rsidR="00D65EAB" w:rsidRPr="00070831" w:rsidRDefault="00D65EAB" w:rsidP="005E0723">
            <w:pPr>
              <w:spacing w:after="80"/>
              <w:rPr>
                <w:rFonts w:ascii="Calibri" w:hAnsi="Calibri" w:cs="Calibri"/>
                <w:sz w:val="21"/>
                <w:szCs w:val="21"/>
              </w:rPr>
            </w:pPr>
            <w:r w:rsidRPr="00070831">
              <w:rPr>
                <w:rFonts w:ascii="Calibri" w:hAnsi="Calibri" w:cs="Calibri"/>
                <w:b/>
                <w:bCs/>
                <w:sz w:val="21"/>
                <w:szCs w:val="21"/>
              </w:rPr>
              <w:t>CCM-2-7:</w:t>
            </w:r>
            <w:r w:rsidRPr="00070831">
              <w:rPr>
                <w:rFonts w:ascii="Calibri" w:hAnsi="Calibri" w:cs="Calibri"/>
                <w:sz w:val="21"/>
                <w:szCs w:val="21"/>
              </w:rPr>
              <w:t xml:space="preserve"> Demonstrate mitigation options with systemic impacts for the Sustainable Forest Management Impact Program</w:t>
            </w:r>
          </w:p>
        </w:tc>
        <w:tc>
          <w:tcPr>
            <w:tcW w:w="3116" w:type="pct"/>
            <w:shd w:val="clear" w:color="auto" w:fill="FFFFFF"/>
            <w:tcMar>
              <w:top w:w="28" w:type="dxa"/>
              <w:left w:w="57" w:type="dxa"/>
              <w:bottom w:w="28" w:type="dxa"/>
              <w:right w:w="57" w:type="dxa"/>
            </w:tcMar>
          </w:tcPr>
          <w:p w14:paraId="7EEE0C49" w14:textId="22BDF22B" w:rsidR="00D65EAB" w:rsidRPr="00070831" w:rsidRDefault="00D65EAB" w:rsidP="00FC10C8">
            <w:pPr>
              <w:jc w:val="both"/>
              <w:rPr>
                <w:rFonts w:ascii="Calibri" w:hAnsi="Calibri" w:cs="Calibri"/>
                <w:sz w:val="21"/>
                <w:szCs w:val="21"/>
              </w:rPr>
            </w:pPr>
            <w:r w:rsidRPr="00070831">
              <w:rPr>
                <w:rFonts w:ascii="Calibri" w:hAnsi="Calibri" w:cs="Calibri"/>
                <w:sz w:val="21"/>
                <w:szCs w:val="21"/>
              </w:rPr>
              <w:lastRenderedPageBreak/>
              <w:t>Mitigation of G</w:t>
            </w:r>
            <w:r w:rsidR="009E4891" w:rsidRPr="00070831">
              <w:rPr>
                <w:rFonts w:ascii="Calibri" w:hAnsi="Calibri" w:cs="Calibri"/>
                <w:sz w:val="21"/>
                <w:szCs w:val="21"/>
              </w:rPr>
              <w:t>HG</w:t>
            </w:r>
            <w:r w:rsidRPr="00070831">
              <w:rPr>
                <w:rFonts w:ascii="Calibri" w:hAnsi="Calibri" w:cs="Calibri"/>
                <w:sz w:val="21"/>
                <w:szCs w:val="21"/>
              </w:rPr>
              <w:t xml:space="preserve"> emissions is estimated to be </w:t>
            </w:r>
            <w:r w:rsidR="00A32471" w:rsidRPr="00E74ED0">
              <w:rPr>
                <w:rFonts w:ascii="Calibri" w:hAnsi="Calibri" w:cs="Calibri"/>
                <w:sz w:val="21"/>
                <w:szCs w:val="21"/>
                <w:highlight w:val="yellow"/>
              </w:rPr>
              <w:t>1,047,911</w:t>
            </w:r>
            <w:r w:rsidR="00EE679B" w:rsidRPr="00EE679B">
              <w:rPr>
                <w:rFonts w:ascii="Calibri" w:hAnsi="Calibri" w:cs="Calibri"/>
                <w:sz w:val="21"/>
                <w:szCs w:val="21"/>
              </w:rPr>
              <w:t xml:space="preserve"> tCO2-eq</w:t>
            </w:r>
            <w:r w:rsidR="00FC10C8">
              <w:t xml:space="preserve"> </w:t>
            </w:r>
            <w:r w:rsidR="00FC10C8" w:rsidRPr="00FC10C8">
              <w:rPr>
                <w:rFonts w:ascii="Calibri" w:hAnsi="Calibri" w:cs="Calibri"/>
                <w:sz w:val="21"/>
                <w:szCs w:val="21"/>
              </w:rPr>
              <w:t>over 20-year</w:t>
            </w:r>
            <w:r w:rsidR="00EE679B" w:rsidRPr="00EE679B">
              <w:rPr>
                <w:rFonts w:ascii="Calibri" w:hAnsi="Calibri" w:cs="Calibri"/>
                <w:sz w:val="21"/>
                <w:szCs w:val="21"/>
              </w:rPr>
              <w:t xml:space="preserve"> </w:t>
            </w:r>
            <w:r w:rsidRPr="00070831">
              <w:rPr>
                <w:rFonts w:ascii="Calibri" w:hAnsi="Calibri" w:cs="Calibri"/>
                <w:sz w:val="21"/>
                <w:szCs w:val="21"/>
              </w:rPr>
              <w:t xml:space="preserve">arising from avoidance of emissions and sequestration of carbon throughSLM/SFM best practices with respect to land (and soil) use, food production and greening value </w:t>
            </w:r>
            <w:r w:rsidRPr="00070831">
              <w:rPr>
                <w:rFonts w:ascii="Calibri" w:hAnsi="Calibri" w:cs="Calibri"/>
                <w:sz w:val="21"/>
                <w:szCs w:val="21"/>
              </w:rPr>
              <w:lastRenderedPageBreak/>
              <w:t>chains, as reflected under Component 2, enabled through changes in policy and regualtions under Componet 1 and both informed and scaled out through targeted communications and sharing of know-how under Component 3. Specific areas of intervention include:</w:t>
            </w:r>
          </w:p>
          <w:p w14:paraId="0D5A551E" w14:textId="77777777" w:rsidR="00D65EAB" w:rsidRPr="00070831" w:rsidRDefault="00D65EAB" w:rsidP="00FC10C8">
            <w:pPr>
              <w:ind w:left="174" w:hanging="174"/>
              <w:jc w:val="both"/>
              <w:rPr>
                <w:rFonts w:ascii="Calibri" w:hAnsi="Calibri" w:cs="Calibri"/>
                <w:sz w:val="21"/>
                <w:szCs w:val="21"/>
              </w:rPr>
            </w:pPr>
            <w:r w:rsidRPr="00070831">
              <w:rPr>
                <w:rFonts w:ascii="Calibri" w:hAnsi="Calibri" w:cs="Calibri"/>
                <w:sz w:val="21"/>
                <w:szCs w:val="21"/>
              </w:rPr>
              <w:t>-</w:t>
            </w:r>
            <w:r w:rsidRPr="00070831">
              <w:rPr>
                <w:rFonts w:ascii="Calibri" w:hAnsi="Calibri" w:cs="Calibri"/>
                <w:sz w:val="21"/>
                <w:szCs w:val="21"/>
              </w:rPr>
              <w:tab/>
              <w:t>climate smart agriculture;</w:t>
            </w:r>
          </w:p>
          <w:p w14:paraId="5D801878" w14:textId="77777777" w:rsidR="00D65EAB" w:rsidRPr="00070831" w:rsidRDefault="00D65EAB" w:rsidP="00FC10C8">
            <w:pPr>
              <w:ind w:left="174" w:hanging="174"/>
              <w:jc w:val="both"/>
              <w:rPr>
                <w:rFonts w:ascii="Calibri" w:hAnsi="Calibri" w:cs="Calibri"/>
                <w:sz w:val="21"/>
                <w:szCs w:val="21"/>
              </w:rPr>
            </w:pPr>
            <w:r w:rsidRPr="00070831">
              <w:rPr>
                <w:rFonts w:ascii="Calibri" w:hAnsi="Calibri" w:cs="Calibri"/>
                <w:sz w:val="21"/>
                <w:szCs w:val="21"/>
              </w:rPr>
              <w:t>-</w:t>
            </w:r>
            <w:r w:rsidRPr="00070831">
              <w:rPr>
                <w:rFonts w:ascii="Calibri" w:hAnsi="Calibri" w:cs="Calibri"/>
                <w:sz w:val="21"/>
                <w:szCs w:val="21"/>
              </w:rPr>
              <w:tab/>
              <w:t>emissions reduction from food systems and supply chains; and</w:t>
            </w:r>
          </w:p>
          <w:p w14:paraId="163792C1" w14:textId="639DF9E5" w:rsidR="00D65EAB" w:rsidRPr="00070831" w:rsidRDefault="00D65EAB" w:rsidP="00FC10C8">
            <w:pPr>
              <w:ind w:left="174" w:hanging="174"/>
              <w:jc w:val="both"/>
              <w:rPr>
                <w:rFonts w:ascii="Calibri" w:hAnsi="Calibri" w:cs="Calibri"/>
                <w:sz w:val="21"/>
                <w:szCs w:val="21"/>
              </w:rPr>
            </w:pPr>
            <w:r w:rsidRPr="00070831">
              <w:rPr>
                <w:rFonts w:ascii="Calibri" w:hAnsi="Calibri" w:cs="Calibri"/>
                <w:sz w:val="21"/>
                <w:szCs w:val="21"/>
              </w:rPr>
              <w:t>-</w:t>
            </w:r>
            <w:r w:rsidRPr="00070831">
              <w:rPr>
                <w:rFonts w:ascii="Calibri" w:hAnsi="Calibri" w:cs="Calibri"/>
                <w:sz w:val="21"/>
                <w:szCs w:val="21"/>
              </w:rPr>
              <w:tab/>
              <w:t>innovations in soil quality improvement techniques that increase carbon storage in farmlands.</w:t>
            </w:r>
          </w:p>
        </w:tc>
      </w:tr>
      <w:tr w:rsidR="00D65EAB" w:rsidRPr="00070831" w14:paraId="1F75F720" w14:textId="77777777" w:rsidTr="005E0723">
        <w:tc>
          <w:tcPr>
            <w:tcW w:w="1884" w:type="pct"/>
            <w:shd w:val="clear" w:color="auto" w:fill="FFFFFF"/>
            <w:tcMar>
              <w:top w:w="28" w:type="dxa"/>
              <w:left w:w="57" w:type="dxa"/>
              <w:bottom w:w="28" w:type="dxa"/>
              <w:right w:w="57" w:type="dxa"/>
            </w:tcMar>
          </w:tcPr>
          <w:p w14:paraId="1135EA44" w14:textId="77777777" w:rsidR="00D65EAB" w:rsidRPr="00070831" w:rsidRDefault="00D65EAB" w:rsidP="005E0723">
            <w:pPr>
              <w:rPr>
                <w:rFonts w:ascii="Calibri" w:hAnsi="Calibri" w:cs="Calibri"/>
                <w:b/>
                <w:bCs/>
                <w:sz w:val="21"/>
                <w:szCs w:val="21"/>
              </w:rPr>
            </w:pPr>
            <w:r w:rsidRPr="00070831">
              <w:rPr>
                <w:rFonts w:ascii="Calibri" w:hAnsi="Calibri" w:cs="Calibri"/>
                <w:b/>
                <w:bCs/>
                <w:sz w:val="21"/>
                <w:szCs w:val="21"/>
              </w:rPr>
              <w:lastRenderedPageBreak/>
              <w:t xml:space="preserve">IP SFM Dryland Sustainable Landscapes </w:t>
            </w:r>
          </w:p>
          <w:p w14:paraId="5C68F52A" w14:textId="77777777" w:rsidR="00D65EAB" w:rsidRPr="00070831" w:rsidRDefault="00D65EAB" w:rsidP="005E0723">
            <w:pPr>
              <w:rPr>
                <w:rFonts w:ascii="Calibri" w:hAnsi="Calibri" w:cs="Calibri"/>
                <w:sz w:val="21"/>
                <w:szCs w:val="21"/>
              </w:rPr>
            </w:pPr>
            <w:r w:rsidRPr="00070831">
              <w:rPr>
                <w:rFonts w:ascii="Calibri" w:hAnsi="Calibri" w:cs="Calibri"/>
                <w:sz w:val="21"/>
                <w:szCs w:val="21"/>
              </w:rPr>
              <w:t>[GEF-7 Impact Program: Sustainable Forest Management, Dryland Sustainable Landscapes (DSL)]</w:t>
            </w:r>
          </w:p>
        </w:tc>
        <w:tc>
          <w:tcPr>
            <w:tcW w:w="3116" w:type="pct"/>
            <w:shd w:val="clear" w:color="auto" w:fill="auto"/>
            <w:tcMar>
              <w:top w:w="28" w:type="dxa"/>
              <w:left w:w="57" w:type="dxa"/>
              <w:bottom w:w="28" w:type="dxa"/>
              <w:right w:w="57" w:type="dxa"/>
            </w:tcMar>
          </w:tcPr>
          <w:p w14:paraId="41922A85" w14:textId="77777777" w:rsidR="00D65EAB" w:rsidRPr="00070831" w:rsidRDefault="00D65EAB" w:rsidP="005E0723">
            <w:pPr>
              <w:rPr>
                <w:rFonts w:ascii="Calibri" w:hAnsi="Calibri" w:cs="Calibri"/>
                <w:sz w:val="21"/>
                <w:szCs w:val="21"/>
              </w:rPr>
            </w:pPr>
            <w:r w:rsidRPr="00070831">
              <w:rPr>
                <w:rFonts w:ascii="Calibri" w:hAnsi="Calibri" w:cs="Calibri"/>
                <w:sz w:val="21"/>
                <w:szCs w:val="21"/>
              </w:rPr>
              <w:t>Multi-focal contribution to the Dryland Sustainable Landscapes Impact Program that addresses: degradation, desertification, and deforestation of land and ecosystems in drylands avoided, reduced and further reversed through the integrated, sustainable management of production landscapes.</w:t>
            </w:r>
          </w:p>
        </w:tc>
      </w:tr>
    </w:tbl>
    <w:p w14:paraId="65F151C5" w14:textId="78C61EA1" w:rsidR="009563B4" w:rsidRPr="008A7E2F" w:rsidRDefault="00B85D50" w:rsidP="009E4891">
      <w:pPr>
        <w:pStyle w:val="Heading3"/>
        <w:jc w:val="left"/>
        <w:rPr>
          <w:rFonts w:ascii="Calibri" w:hAnsi="Calibri" w:cs="Calibri"/>
          <w:b w:val="0"/>
        </w:rPr>
      </w:pPr>
      <w:bookmarkStart w:id="154" w:name="_4)_Incremental_cost"/>
      <w:bookmarkStart w:id="155" w:name="_Toc42027125"/>
      <w:bookmarkStart w:id="156" w:name="_Toc42262633"/>
      <w:bookmarkStart w:id="157" w:name="_Toc52367661"/>
      <w:bookmarkEnd w:id="154"/>
      <w:r w:rsidRPr="008A7E2F">
        <w:rPr>
          <w:rFonts w:ascii="Calibri" w:hAnsi="Calibri" w:cs="Calibri"/>
        </w:rPr>
        <w:t>5.</w:t>
      </w:r>
      <w:r w:rsidR="009563B4" w:rsidRPr="008A7E2F">
        <w:rPr>
          <w:rFonts w:ascii="Calibri" w:hAnsi="Calibri" w:cs="Calibri"/>
        </w:rPr>
        <w:t xml:space="preserve"> Incremental cost reasoning</w:t>
      </w:r>
      <w:r w:rsidR="009E4891" w:rsidRPr="008A7E2F">
        <w:rPr>
          <w:rFonts w:ascii="Calibri" w:hAnsi="Calibri" w:cs="Calibri"/>
        </w:rPr>
        <w:t>,</w:t>
      </w:r>
      <w:r w:rsidR="009563B4" w:rsidRPr="008A7E2F">
        <w:rPr>
          <w:rFonts w:ascii="Calibri" w:hAnsi="Calibri" w:cs="Calibri"/>
        </w:rPr>
        <w:t xml:space="preserve"> expected contributions from baseline, GEFTF</w:t>
      </w:r>
      <w:r w:rsidR="009E4891" w:rsidRPr="008A7E2F">
        <w:rPr>
          <w:rFonts w:ascii="Calibri" w:hAnsi="Calibri" w:cs="Calibri"/>
        </w:rPr>
        <w:t>,</w:t>
      </w:r>
      <w:r w:rsidR="009563B4" w:rsidRPr="008A7E2F">
        <w:rPr>
          <w:rFonts w:ascii="Calibri" w:hAnsi="Calibri" w:cs="Calibri"/>
        </w:rPr>
        <w:t xml:space="preserve"> co-financing</w:t>
      </w:r>
      <w:bookmarkEnd w:id="155"/>
      <w:bookmarkEnd w:id="156"/>
      <w:bookmarkEnd w:id="157"/>
    </w:p>
    <w:p w14:paraId="475D568F" w14:textId="13B15E99" w:rsidR="009563B4" w:rsidRPr="00815516" w:rsidRDefault="009563B4" w:rsidP="001667C6">
      <w:pPr>
        <w:pStyle w:val="ParagraphOED"/>
        <w:numPr>
          <w:ilvl w:val="0"/>
          <w:numId w:val="102"/>
        </w:numPr>
        <w:spacing w:after="160"/>
        <w:rPr>
          <w:rFonts w:cs="Times New Roman"/>
        </w:rPr>
      </w:pPr>
      <w:r w:rsidRPr="1E65A5F7">
        <w:rPr>
          <w:i/>
          <w:iCs/>
          <w:u w:val="single"/>
        </w:rPr>
        <w:t>Enabling LDN.</w:t>
      </w:r>
      <w:r>
        <w:t xml:space="preserve"> In the baseline scenario, land degradation will continue to be </w:t>
      </w:r>
      <w:r w:rsidR="0007130D">
        <w:t xml:space="preserve">a </w:t>
      </w:r>
      <w:r>
        <w:t>serious problem in Angola</w:t>
      </w:r>
      <w:r w:rsidR="0007130D">
        <w:t>,</w:t>
      </w:r>
      <w:r>
        <w:t xml:space="preserve"> both in the project zone </w:t>
      </w:r>
      <w:r w:rsidR="0007130D">
        <w:t>and nationally</w:t>
      </w:r>
      <w:r>
        <w:t xml:space="preserve">. Although Angola </w:t>
      </w:r>
      <w:r w:rsidR="004E13F3">
        <w:t>adopted</w:t>
      </w:r>
      <w:r>
        <w:t xml:space="preserve"> a national LDN target in 2018, </w:t>
      </w:r>
      <w:r w:rsidR="004E13F3">
        <w:t>its achievement</w:t>
      </w:r>
      <w:r>
        <w:t xml:space="preserve"> require</w:t>
      </w:r>
      <w:r w:rsidR="004E13F3">
        <w:t>s major</w:t>
      </w:r>
      <w:r>
        <w:t xml:space="preserve"> </w:t>
      </w:r>
      <w:r w:rsidR="004E13F3">
        <w:t xml:space="preserve">operational </w:t>
      </w:r>
      <w:r>
        <w:t xml:space="preserve">efforts </w:t>
      </w:r>
      <w:r w:rsidR="004E13F3">
        <w:t>on the ground and in the creation of an enabling policy and regulatory environment, very little of which is yet in place</w:t>
      </w:r>
      <w:r>
        <w:t xml:space="preserve">. </w:t>
      </w:r>
      <w:r w:rsidR="004E13F3">
        <w:t xml:space="preserve">Moreover, </w:t>
      </w:r>
      <w:r>
        <w:t>institutional capacities, including cross-sectoral collaboration</w:t>
      </w:r>
      <w:r w:rsidR="004E13F3">
        <w:t>,</w:t>
      </w:r>
      <w:r>
        <w:t xml:space="preserve"> remain weak</w:t>
      </w:r>
      <w:r w:rsidR="004E13F3">
        <w:t xml:space="preserve"> and </w:t>
      </w:r>
      <w:r>
        <w:t>policies concern</w:t>
      </w:r>
      <w:r w:rsidR="004E13F3">
        <w:t>ing</w:t>
      </w:r>
      <w:r>
        <w:t xml:space="preserve"> land tenure rights require a concerted and innovative approach to </w:t>
      </w:r>
      <w:r w:rsidR="004E13F3">
        <w:t xml:space="preserve">align with </w:t>
      </w:r>
      <w:r>
        <w:t xml:space="preserve">LDN </w:t>
      </w:r>
      <w:r w:rsidR="004E13F3">
        <w:t>aspirations</w:t>
      </w:r>
      <w:r>
        <w:t xml:space="preserve">. </w:t>
      </w:r>
      <w:r w:rsidR="0067282B">
        <w:t>Furthermore</w:t>
      </w:r>
      <w:r>
        <w:t xml:space="preserve">, </w:t>
      </w:r>
      <w:r w:rsidR="0067282B">
        <w:t>tracking progress towards LDN requires a somewhat sophisticated and accountable monitoring system in place and institutionalized</w:t>
      </w:r>
      <w:r w:rsidR="00403B18">
        <w:t>.</w:t>
      </w:r>
      <w:r w:rsidR="0067282B">
        <w:t xml:space="preserve"> </w:t>
      </w:r>
      <w:r>
        <w:t xml:space="preserve">Without </w:t>
      </w:r>
      <w:r w:rsidR="00403B18">
        <w:t xml:space="preserve">the GEF-7 investment, </w:t>
      </w:r>
      <w:r>
        <w:t>adequate systems and a</w:t>
      </w:r>
      <w:r w:rsidR="00403B18">
        <w:t xml:space="preserve">n institionalised </w:t>
      </w:r>
      <w:r>
        <w:t xml:space="preserve"> ‘neutrality</w:t>
      </w:r>
      <w:r w:rsidR="00403B18">
        <w:t>’</w:t>
      </w:r>
      <w:r>
        <w:t xml:space="preserve"> mechanism will likely remain incipient. </w:t>
      </w:r>
    </w:p>
    <w:p w14:paraId="62CE8077" w14:textId="31992F1E" w:rsidR="009563B4" w:rsidRPr="00815516" w:rsidRDefault="001611C6" w:rsidP="001667C6">
      <w:pPr>
        <w:pStyle w:val="ParagraphOED"/>
        <w:numPr>
          <w:ilvl w:val="0"/>
          <w:numId w:val="102"/>
        </w:numPr>
        <w:spacing w:after="160"/>
      </w:pPr>
      <w:r w:rsidRPr="1E65A5F7">
        <w:rPr>
          <w:i/>
          <w:iCs/>
          <w:u w:val="single"/>
        </w:rPr>
        <w:t>C</w:t>
      </w:r>
      <w:r w:rsidR="009563B4" w:rsidRPr="1E65A5F7">
        <w:rPr>
          <w:i/>
          <w:iCs/>
          <w:u w:val="single"/>
        </w:rPr>
        <w:t>apacity for plan</w:t>
      </w:r>
      <w:r w:rsidR="00403B18" w:rsidRPr="1E65A5F7">
        <w:rPr>
          <w:i/>
          <w:iCs/>
          <w:u w:val="single"/>
        </w:rPr>
        <w:t>ning</w:t>
      </w:r>
      <w:r w:rsidR="009563B4" w:rsidRPr="1E65A5F7">
        <w:rPr>
          <w:i/>
          <w:iCs/>
          <w:u w:val="single"/>
        </w:rPr>
        <w:t xml:space="preserve"> and implementing SLM/SFM on the ground</w:t>
      </w:r>
      <w:r w:rsidR="009563B4">
        <w:t xml:space="preserve"> will remain limited in the baseline scenario. The southern region of Angola will face increasing threats to ecosystem services, affecting biodiversity, soil, water and carbon. Land will continue to be managed largely in an unsustainable </w:t>
      </w:r>
      <w:r w:rsidR="00403B18">
        <w:t>manner</w:t>
      </w:r>
      <w:r w:rsidR="009563B4">
        <w:t xml:space="preserve"> across landscapes in the project zone i</w:t>
      </w:r>
      <w:r w:rsidR="00403B18">
        <w:t>n the absence o</w:t>
      </w:r>
      <w:r w:rsidR="009563B4">
        <w:t xml:space="preserve">f a </w:t>
      </w:r>
      <w:r w:rsidR="00403B18">
        <w:t xml:space="preserve">larger scale, </w:t>
      </w:r>
      <w:r w:rsidR="009563B4">
        <w:t>integrated approach to planning land use and managing landscapes. In limited areas, short-term increases in producti</w:t>
      </w:r>
      <w:r w:rsidR="00403B18">
        <w:t>on</w:t>
      </w:r>
      <w:r w:rsidR="009563B4">
        <w:t xml:space="preserve"> are possible when </w:t>
      </w:r>
      <w:r w:rsidR="00403B18">
        <w:t>small-scale best practices and innovative</w:t>
      </w:r>
      <w:r w:rsidR="009563B4">
        <w:t xml:space="preserve"> techniques are applied but </w:t>
      </w:r>
      <w:r w:rsidR="00403B18">
        <w:t xml:space="preserve">ecosystems </w:t>
      </w:r>
      <w:r>
        <w:t>will continue to degrade and become increasingly disfunctional in the absence of holistic, integrated (mulit-sector) planning and sustainable management at landscape scales. Given that government has recently signed up to the principle of LDN as a party to UNCCD, the GEF-7 investment is timely and likely to prove to be the catalyst that will set LDN in motion.</w:t>
      </w:r>
      <w:r w:rsidR="004C610F">
        <w:t xml:space="preserve"> In this respect, the GEF-7 investment of over US $ 5 million has leveraged in excess of US $ 45 million</w:t>
      </w:r>
      <w:r w:rsidR="00C34F56">
        <w:t xml:space="preserve"> from three ministries –  </w:t>
      </w:r>
      <w:r w:rsidR="5C1248F9">
        <w:t>Culture, Tourism and Environment</w:t>
      </w:r>
      <w:r w:rsidR="00C34F56">
        <w:t xml:space="preserve"> (M</w:t>
      </w:r>
      <w:r w:rsidR="6E2844BB">
        <w:t>CTA</w:t>
      </w:r>
      <w:r w:rsidR="00C34F56">
        <w:t xml:space="preserve">), Agriculture &amp;  </w:t>
      </w:r>
      <w:r w:rsidR="663A3801">
        <w:t>Fishery</w:t>
      </w:r>
      <w:r w:rsidR="00C34F56">
        <w:t xml:space="preserve"> (MINAGRI</w:t>
      </w:r>
      <w:r w:rsidR="57BDD45C">
        <w:t>P</w:t>
      </w:r>
      <w:r w:rsidR="00C34F56">
        <w:t>) and Energy &amp; Waters (MINEA) – reflecting well the multi-focal nature of this project.</w:t>
      </w:r>
    </w:p>
    <w:p w14:paraId="2723513D" w14:textId="14E935CD" w:rsidR="009563B4" w:rsidRPr="00815516" w:rsidRDefault="009563B4" w:rsidP="001667C6">
      <w:pPr>
        <w:pStyle w:val="ParagraphOED"/>
        <w:numPr>
          <w:ilvl w:val="0"/>
          <w:numId w:val="102"/>
        </w:numPr>
        <w:spacing w:after="160"/>
        <w:rPr>
          <w:rFonts w:cs="Times New Roman"/>
        </w:rPr>
      </w:pPr>
      <w:r w:rsidRPr="1E65A5F7">
        <w:rPr>
          <w:i/>
          <w:iCs/>
          <w:u w:val="single"/>
        </w:rPr>
        <w:t xml:space="preserve">Landscapes, value chains and </w:t>
      </w:r>
      <w:r w:rsidR="001611C6" w:rsidRPr="1E65A5F7">
        <w:rPr>
          <w:i/>
          <w:iCs/>
          <w:u w:val="single"/>
        </w:rPr>
        <w:t>s</w:t>
      </w:r>
      <w:r w:rsidRPr="1E65A5F7">
        <w:rPr>
          <w:i/>
          <w:iCs/>
          <w:u w:val="single"/>
        </w:rPr>
        <w:t>cale.</w:t>
      </w:r>
      <w:r w:rsidRPr="1E65A5F7">
        <w:rPr>
          <w:i/>
          <w:iCs/>
        </w:rPr>
        <w:t xml:space="preserve"> </w:t>
      </w:r>
      <w:r>
        <w:t xml:space="preserve">Without an integrated and inclusive </w:t>
      </w:r>
      <w:r w:rsidR="001611C6">
        <w:t>lan</w:t>
      </w:r>
      <w:r w:rsidR="00CE2A38">
        <w:t xml:space="preserve">dscape </w:t>
      </w:r>
      <w:r>
        <w:t xml:space="preserve">approach to </w:t>
      </w:r>
      <w:r w:rsidR="001B248C">
        <w:t>land-use plan</w:t>
      </w:r>
      <w:r>
        <w:t>ning, the potential for disseminating and scaling out SLM/SFM techniques and approaches among land users and decision-makers in southern Angola would be largely missed. Furthermore, such techniques and approaches have greater chances of success, if they are made economically ‘attractive’ to land users and build on market forces.</w:t>
      </w:r>
      <w:r w:rsidRPr="1E65A5F7">
        <w:rPr>
          <w:rFonts w:cs="Times New Roman"/>
        </w:rPr>
        <w:t xml:space="preserve"> In the baseline scenario, it is possible that agricultural modernization eventually </w:t>
      </w:r>
      <w:r w:rsidR="00CE2A38" w:rsidRPr="1E65A5F7">
        <w:rPr>
          <w:rFonts w:cs="Times New Roman"/>
        </w:rPr>
        <w:t>gains traction</w:t>
      </w:r>
      <w:r w:rsidRPr="1E65A5F7">
        <w:rPr>
          <w:rFonts w:cs="Times New Roman"/>
        </w:rPr>
        <w:t xml:space="preserve"> in the project zone, but criteria of inclusiveness (including gender-based) and sustainability would not necessarily be mainstreamed into the agricultural value chains that would be developed. </w:t>
      </w:r>
      <w:r w:rsidR="00CE2A38" w:rsidRPr="1E65A5F7">
        <w:rPr>
          <w:rFonts w:cs="Times New Roman"/>
        </w:rPr>
        <w:t xml:space="preserve">This </w:t>
      </w:r>
      <w:r w:rsidRPr="1E65A5F7">
        <w:rPr>
          <w:rFonts w:cs="Times New Roman"/>
        </w:rPr>
        <w:t>targeted GEF contribution w</w:t>
      </w:r>
      <w:r w:rsidR="00CE2A38" w:rsidRPr="1E65A5F7">
        <w:rPr>
          <w:rFonts w:cs="Times New Roman"/>
        </w:rPr>
        <w:t>ill</w:t>
      </w:r>
      <w:r w:rsidRPr="1E65A5F7">
        <w:rPr>
          <w:rFonts w:cs="Times New Roman"/>
        </w:rPr>
        <w:t xml:space="preserve"> </w:t>
      </w:r>
      <w:r w:rsidR="00CE2A38" w:rsidRPr="1E65A5F7">
        <w:rPr>
          <w:rFonts w:cs="Times New Roman"/>
        </w:rPr>
        <w:t xml:space="preserve">help </w:t>
      </w:r>
      <w:r w:rsidRPr="1E65A5F7">
        <w:rPr>
          <w:rFonts w:cs="Times New Roman"/>
        </w:rPr>
        <w:t>ensure th</w:t>
      </w:r>
      <w:r w:rsidR="00CE2A38" w:rsidRPr="1E65A5F7">
        <w:rPr>
          <w:rFonts w:cs="Times New Roman"/>
        </w:rPr>
        <w:t xml:space="preserve">at </w:t>
      </w:r>
      <w:r w:rsidRPr="1E65A5F7">
        <w:rPr>
          <w:rFonts w:cs="Times New Roman"/>
        </w:rPr>
        <w:t xml:space="preserve">value chains are </w:t>
      </w:r>
      <w:r w:rsidR="00CE2A38" w:rsidRPr="1E65A5F7">
        <w:rPr>
          <w:rFonts w:cs="Times New Roman"/>
        </w:rPr>
        <w:t xml:space="preserve">greened to the extent of at least </w:t>
      </w:r>
      <w:r w:rsidRPr="1E65A5F7">
        <w:rPr>
          <w:rFonts w:cs="Times New Roman"/>
        </w:rPr>
        <w:t>align</w:t>
      </w:r>
      <w:r w:rsidR="00CE2A38" w:rsidRPr="1E65A5F7">
        <w:rPr>
          <w:rFonts w:cs="Times New Roman"/>
        </w:rPr>
        <w:t>ing them</w:t>
      </w:r>
      <w:r w:rsidRPr="1E65A5F7">
        <w:rPr>
          <w:rFonts w:cs="Times New Roman"/>
        </w:rPr>
        <w:t xml:space="preserve"> with the LD</w:t>
      </w:r>
      <w:r w:rsidR="00CE2A38" w:rsidRPr="1E65A5F7">
        <w:rPr>
          <w:rFonts w:cs="Times New Roman"/>
        </w:rPr>
        <w:t>N</w:t>
      </w:r>
      <w:r w:rsidRPr="1E65A5F7">
        <w:rPr>
          <w:rFonts w:cs="Times New Roman"/>
        </w:rPr>
        <w:t xml:space="preserve"> target</w:t>
      </w:r>
      <w:r w:rsidR="00CE2A38" w:rsidRPr="1E65A5F7">
        <w:rPr>
          <w:rFonts w:cs="Times New Roman"/>
        </w:rPr>
        <w:t>,</w:t>
      </w:r>
      <w:r w:rsidRPr="1E65A5F7">
        <w:rPr>
          <w:rFonts w:cs="Times New Roman"/>
        </w:rPr>
        <w:t xml:space="preserve"> by adopting SLM/SFM </w:t>
      </w:r>
      <w:r w:rsidR="00CE2A38" w:rsidRPr="1E65A5F7">
        <w:rPr>
          <w:rFonts w:cs="Times New Roman"/>
        </w:rPr>
        <w:t>practices,</w:t>
      </w:r>
      <w:r w:rsidRPr="1E65A5F7">
        <w:rPr>
          <w:rFonts w:cs="Times New Roman"/>
        </w:rPr>
        <w:t xml:space="preserve"> improv</w:t>
      </w:r>
      <w:r w:rsidR="00CE2A38" w:rsidRPr="1E65A5F7">
        <w:rPr>
          <w:rFonts w:cs="Times New Roman"/>
        </w:rPr>
        <w:t>ing</w:t>
      </w:r>
      <w:r w:rsidRPr="1E65A5F7">
        <w:rPr>
          <w:rFonts w:cs="Times New Roman"/>
        </w:rPr>
        <w:t xml:space="preserve"> the livelihoods of land users </w:t>
      </w:r>
      <w:r w:rsidR="00CE2A38" w:rsidRPr="1E65A5F7">
        <w:rPr>
          <w:rFonts w:cs="Times New Roman"/>
        </w:rPr>
        <w:t>(</w:t>
      </w:r>
      <w:r w:rsidRPr="1E65A5F7">
        <w:rPr>
          <w:rFonts w:cs="Times New Roman"/>
        </w:rPr>
        <w:t>including women</w:t>
      </w:r>
      <w:r w:rsidR="00CE2A38" w:rsidRPr="1E65A5F7">
        <w:rPr>
          <w:rFonts w:cs="Times New Roman"/>
        </w:rPr>
        <w:t>)</w:t>
      </w:r>
      <w:r w:rsidRPr="1E65A5F7">
        <w:rPr>
          <w:rFonts w:cs="Times New Roman"/>
        </w:rPr>
        <w:t xml:space="preserve"> </w:t>
      </w:r>
      <w:r w:rsidR="00CE2A38" w:rsidRPr="1E65A5F7">
        <w:rPr>
          <w:rFonts w:cs="Times New Roman"/>
        </w:rPr>
        <w:t xml:space="preserve">and by </w:t>
      </w:r>
      <w:r w:rsidRPr="1E65A5F7">
        <w:rPr>
          <w:rFonts w:cs="Times New Roman"/>
        </w:rPr>
        <w:t xml:space="preserve">making it easier for stakeholders to be part of the transformative change envisaged for the project. </w:t>
      </w:r>
    </w:p>
    <w:p w14:paraId="10F05C3E" w14:textId="0929D5AA" w:rsidR="009563B4" w:rsidRPr="00815516" w:rsidRDefault="009563B4" w:rsidP="001667C6">
      <w:pPr>
        <w:pStyle w:val="ParagraphOED"/>
        <w:numPr>
          <w:ilvl w:val="0"/>
          <w:numId w:val="102"/>
        </w:numPr>
        <w:spacing w:after="160"/>
      </w:pPr>
      <w:r w:rsidRPr="1E65A5F7">
        <w:rPr>
          <w:rFonts w:cs="Times New Roman"/>
          <w:i/>
          <w:iCs/>
          <w:u w:val="single"/>
        </w:rPr>
        <w:lastRenderedPageBreak/>
        <w:t>Regional Cooperation</w:t>
      </w:r>
      <w:r w:rsidRPr="1E65A5F7">
        <w:rPr>
          <w:rFonts w:cs="Times New Roman"/>
        </w:rPr>
        <w:t>. In the baseline</w:t>
      </w:r>
      <w:r w:rsidR="00822D11" w:rsidRPr="1E65A5F7">
        <w:rPr>
          <w:rFonts w:cs="Times New Roman"/>
        </w:rPr>
        <w:t xml:space="preserve"> situation</w:t>
      </w:r>
      <w:r w:rsidRPr="1E65A5F7">
        <w:rPr>
          <w:rFonts w:cs="Times New Roman"/>
        </w:rPr>
        <w:t>, Angola</w:t>
      </w:r>
      <w:r w:rsidR="00822D11" w:rsidRPr="1E65A5F7">
        <w:rPr>
          <w:rFonts w:cs="Times New Roman"/>
        </w:rPr>
        <w:t>’s effo</w:t>
      </w:r>
      <w:r w:rsidR="00281095" w:rsidRPr="1E65A5F7">
        <w:rPr>
          <w:rFonts w:cs="Times New Roman"/>
        </w:rPr>
        <w:t>r</w:t>
      </w:r>
      <w:r w:rsidR="00822D11" w:rsidRPr="1E65A5F7">
        <w:rPr>
          <w:rFonts w:cs="Times New Roman"/>
        </w:rPr>
        <w:t>ts</w:t>
      </w:r>
      <w:r w:rsidRPr="1E65A5F7">
        <w:rPr>
          <w:rFonts w:cs="Times New Roman"/>
        </w:rPr>
        <w:t xml:space="preserve"> towards achieving LDN goals will continue </w:t>
      </w:r>
      <w:r w:rsidR="00822D11" w:rsidRPr="1E65A5F7">
        <w:rPr>
          <w:rFonts w:cs="Times New Roman"/>
        </w:rPr>
        <w:t xml:space="preserve">to be largely </w:t>
      </w:r>
      <w:r w:rsidRPr="1E65A5F7">
        <w:rPr>
          <w:rFonts w:cs="Times New Roman"/>
        </w:rPr>
        <w:t>isolated from potential collaboration with neighbo</w:t>
      </w:r>
      <w:r w:rsidR="00822D11" w:rsidRPr="1E65A5F7">
        <w:rPr>
          <w:rFonts w:cs="Times New Roman"/>
        </w:rPr>
        <w:t>uring</w:t>
      </w:r>
      <w:r w:rsidRPr="1E65A5F7">
        <w:rPr>
          <w:rFonts w:cs="Times New Roman"/>
        </w:rPr>
        <w:t xml:space="preserve"> Namibia and Botswana</w:t>
      </w:r>
      <w:r w:rsidR="00822D11" w:rsidRPr="1E65A5F7">
        <w:rPr>
          <w:rFonts w:cs="Times New Roman"/>
        </w:rPr>
        <w:t xml:space="preserve"> in respect of</w:t>
      </w:r>
      <w:r w:rsidRPr="1E65A5F7">
        <w:rPr>
          <w:rFonts w:cs="Times New Roman"/>
        </w:rPr>
        <w:t xml:space="preserve"> LDN-conducive measures, policies and practices</w:t>
      </w:r>
      <w:r w:rsidR="00822D11" w:rsidRPr="1E65A5F7">
        <w:rPr>
          <w:rFonts w:cs="Times New Roman"/>
        </w:rPr>
        <w:t xml:space="preserve"> to jointly and respectively address land degradation in shared river basins, quite a</w:t>
      </w:r>
      <w:r w:rsidR="00BF485A" w:rsidRPr="1E65A5F7">
        <w:rPr>
          <w:rFonts w:cs="Times New Roman"/>
        </w:rPr>
        <w:t>p</w:t>
      </w:r>
      <w:r w:rsidR="00822D11" w:rsidRPr="1E65A5F7">
        <w:rPr>
          <w:rFonts w:cs="Times New Roman"/>
        </w:rPr>
        <w:t>art from sharing knowledge, best practices</w:t>
      </w:r>
      <w:r w:rsidR="00BF485A" w:rsidRPr="1E65A5F7">
        <w:rPr>
          <w:rFonts w:cs="Times New Roman"/>
        </w:rPr>
        <w:t>, and</w:t>
      </w:r>
      <w:r w:rsidR="00822D11" w:rsidRPr="1E65A5F7">
        <w:rPr>
          <w:rFonts w:cs="Times New Roman"/>
        </w:rPr>
        <w:t xml:space="preserve"> lessons learned</w:t>
      </w:r>
      <w:r w:rsidR="00281095" w:rsidRPr="1E65A5F7">
        <w:rPr>
          <w:rFonts w:cs="Times New Roman"/>
        </w:rPr>
        <w:t xml:space="preserve"> more generally</w:t>
      </w:r>
      <w:r w:rsidR="00BF485A" w:rsidRPr="1E65A5F7">
        <w:rPr>
          <w:rFonts w:cs="Times New Roman"/>
        </w:rPr>
        <w:t xml:space="preserve">, as well as engaging </w:t>
      </w:r>
      <w:r w:rsidRPr="1E65A5F7">
        <w:rPr>
          <w:rFonts w:cs="Times New Roman"/>
        </w:rPr>
        <w:t xml:space="preserve">with other countries from the </w:t>
      </w:r>
      <w:r w:rsidR="00BF485A" w:rsidRPr="1E65A5F7">
        <w:rPr>
          <w:rFonts w:cs="Times New Roman"/>
        </w:rPr>
        <w:t>SADC</w:t>
      </w:r>
      <w:r w:rsidRPr="1E65A5F7">
        <w:rPr>
          <w:rFonts w:cs="Times New Roman"/>
        </w:rPr>
        <w:t xml:space="preserve"> region and contributing to</w:t>
      </w:r>
      <w:r w:rsidR="00BF485A" w:rsidRPr="1E65A5F7">
        <w:rPr>
          <w:rFonts w:cs="Times New Roman"/>
        </w:rPr>
        <w:t xml:space="preserve"> initiatives such as the </w:t>
      </w:r>
      <w:r w:rsidRPr="1E65A5F7">
        <w:rPr>
          <w:rFonts w:cs="Times New Roman"/>
        </w:rPr>
        <w:t xml:space="preserve"> </w:t>
      </w:r>
      <w:r w:rsidR="00BF485A" w:rsidRPr="1E65A5F7">
        <w:rPr>
          <w:color w:val="000000" w:themeColor="text1"/>
        </w:rPr>
        <w:t>Great Green Wall Initiative for Southern Africa</w:t>
      </w:r>
      <w:r w:rsidR="00BF485A" w:rsidRPr="1E65A5F7">
        <w:rPr>
          <w:rFonts w:cs="Times New Roman"/>
        </w:rPr>
        <w:t xml:space="preserve"> </w:t>
      </w:r>
      <w:r w:rsidR="00281095" w:rsidRPr="1E65A5F7">
        <w:rPr>
          <w:rFonts w:cs="Times New Roman"/>
        </w:rPr>
        <w:t>(</w:t>
      </w:r>
      <w:r w:rsidRPr="1E65A5F7">
        <w:rPr>
          <w:rFonts w:cs="Times New Roman"/>
        </w:rPr>
        <w:t xml:space="preserve"> GGWI-S</w:t>
      </w:r>
      <w:r w:rsidR="00281095" w:rsidRPr="1E65A5F7">
        <w:rPr>
          <w:rFonts w:cs="Times New Roman"/>
        </w:rPr>
        <w:t>). T</w:t>
      </w:r>
      <w:r>
        <w:t>he same applies at global level</w:t>
      </w:r>
      <w:r w:rsidR="00281095">
        <w:t>, while recognizing and respecting priorities for South-South cooperation in the first instance</w:t>
      </w:r>
      <w:r>
        <w:t xml:space="preserve">. With GEF support, </w:t>
      </w:r>
      <w:r w:rsidR="00281095">
        <w:t xml:space="preserve">such </w:t>
      </w:r>
      <w:r>
        <w:t>collaborative learning, exchang</w:t>
      </w:r>
      <w:r w:rsidR="00281095">
        <w:t>es, synergies and</w:t>
      </w:r>
      <w:r>
        <w:t xml:space="preserve"> and harmonized implementation </w:t>
      </w:r>
      <w:r w:rsidR="00281095">
        <w:t>of the national ‘child projects’ can be realized through the regional and global exchange mechanisms (R/GEM) developed under the I</w:t>
      </w:r>
      <w:r w:rsidR="000C49B7">
        <w:t xml:space="preserve">mpact </w:t>
      </w:r>
      <w:r w:rsidR="00281095">
        <w:t>P</w:t>
      </w:r>
      <w:r w:rsidR="000C49B7">
        <w:t>rogram</w:t>
      </w:r>
      <w:r w:rsidR="00281095">
        <w:t>.</w:t>
      </w:r>
      <w:r>
        <w:t xml:space="preserve"> </w:t>
      </w:r>
    </w:p>
    <w:p w14:paraId="25BD9AA8" w14:textId="50DCBE3D" w:rsidR="009563B4" w:rsidRPr="003D36A0" w:rsidRDefault="00E262D5" w:rsidP="009563B4">
      <w:pPr>
        <w:pStyle w:val="Heading3"/>
        <w:rPr>
          <w:rFonts w:ascii="Calibri" w:hAnsi="Calibri" w:cs="Calibri"/>
        </w:rPr>
      </w:pPr>
      <w:bookmarkStart w:id="158" w:name="_5)_Global_environmental"/>
      <w:bookmarkStart w:id="159" w:name="_Toc42027126"/>
      <w:bookmarkStart w:id="160" w:name="_Toc42262634"/>
      <w:bookmarkStart w:id="161" w:name="_Toc52367662"/>
      <w:bookmarkStart w:id="162" w:name="_Ref41325079"/>
      <w:bookmarkEnd w:id="158"/>
      <w:r w:rsidRPr="003D36A0">
        <w:rPr>
          <w:rFonts w:ascii="Calibri" w:hAnsi="Calibri" w:cs="Calibri"/>
        </w:rPr>
        <w:t>6</w:t>
      </w:r>
      <w:r w:rsidR="00B85D50" w:rsidRPr="003D36A0">
        <w:rPr>
          <w:rFonts w:ascii="Calibri" w:hAnsi="Calibri" w:cs="Calibri"/>
        </w:rPr>
        <w:t>.</w:t>
      </w:r>
      <w:r w:rsidR="009563B4" w:rsidRPr="003D36A0">
        <w:rPr>
          <w:rFonts w:ascii="Calibri" w:hAnsi="Calibri" w:cs="Calibri"/>
        </w:rPr>
        <w:t xml:space="preserve"> Global environmental benefits (GEFTF) and/or adaptation benefits (LDCF/SCCF)</w:t>
      </w:r>
      <w:bookmarkEnd w:id="159"/>
      <w:bookmarkEnd w:id="160"/>
      <w:bookmarkEnd w:id="161"/>
      <w:r w:rsidR="009563B4" w:rsidRPr="003D36A0">
        <w:rPr>
          <w:rFonts w:ascii="Calibri" w:hAnsi="Calibri" w:cs="Calibri"/>
        </w:rPr>
        <w:t xml:space="preserve"> </w:t>
      </w:r>
      <w:bookmarkEnd w:id="162"/>
    </w:p>
    <w:p w14:paraId="7C04F192" w14:textId="6EDEAD61" w:rsidR="00796D9D" w:rsidRDefault="00796D9D" w:rsidP="001667C6">
      <w:pPr>
        <w:pStyle w:val="ParagraphOED"/>
        <w:numPr>
          <w:ilvl w:val="0"/>
          <w:numId w:val="102"/>
        </w:numPr>
        <w:spacing w:after="80"/>
      </w:pPr>
      <w:bookmarkStart w:id="163" w:name="_Toc42027127"/>
      <w:bookmarkStart w:id="164" w:name="_Toc42262635"/>
      <w:r w:rsidRPr="00545C04">
        <w:t xml:space="preserve">The project </w:t>
      </w:r>
      <w:r>
        <w:t>will deliver</w:t>
      </w:r>
      <w:r w:rsidRPr="00545C04">
        <w:t xml:space="preserve"> a range of Global Environmental Benefits (GEBs) by halting and reversing negative trends of land degradation and biodiversity loss in degraded areas of the Miombo</w:t>
      </w:r>
      <w:r>
        <w:t>-Mopane</w:t>
      </w:r>
      <w:r w:rsidRPr="00545C04">
        <w:t xml:space="preserve"> woodlands in</w:t>
      </w:r>
      <w:r w:rsidR="00493F8B">
        <w:t>southern Angola</w:t>
      </w:r>
      <w:r w:rsidRPr="00545C04">
        <w:t xml:space="preserve"> by applying an integrated landscape management approach. </w:t>
      </w:r>
      <w:r w:rsidRPr="00CE1EA7">
        <w:t xml:space="preserve">Productive land under different </w:t>
      </w:r>
      <w:r>
        <w:t>land-use sys</w:t>
      </w:r>
      <w:r w:rsidRPr="00CE1EA7">
        <w:t xml:space="preserve">tems will come under improved management within </w:t>
      </w:r>
      <w:r>
        <w:t xml:space="preserve">two </w:t>
      </w:r>
      <w:r w:rsidRPr="00CE1EA7">
        <w:t xml:space="preserve">targeted landscapes </w:t>
      </w:r>
      <w:r>
        <w:t xml:space="preserve">(sub-basins) </w:t>
      </w:r>
      <w:r w:rsidRPr="00CE1EA7">
        <w:t xml:space="preserve">through the </w:t>
      </w:r>
      <w:r>
        <w:t xml:space="preserve">application </w:t>
      </w:r>
      <w:r w:rsidRPr="00CE1EA7">
        <w:t xml:space="preserve">of SLM and SFM techniques </w:t>
      </w:r>
      <w:r>
        <w:t>that</w:t>
      </w:r>
      <w:r w:rsidRPr="00CE1EA7">
        <w:t xml:space="preserve"> embrac</w:t>
      </w:r>
      <w:r>
        <w:t>e</w:t>
      </w:r>
      <w:r w:rsidRPr="00CE1EA7">
        <w:t xml:space="preserve"> LDN as a long-term goal</w:t>
      </w:r>
      <w:r w:rsidRPr="003E3EF9">
        <w:t xml:space="preserve">. </w:t>
      </w:r>
      <w:r w:rsidRPr="003E3EF9">
        <w:rPr>
          <w:u w:val="single"/>
        </w:rPr>
        <w:t xml:space="preserve">The total area of productive land </w:t>
      </w:r>
      <w:r>
        <w:rPr>
          <w:u w:val="single"/>
        </w:rPr>
        <w:t>identified for</w:t>
      </w:r>
      <w:r w:rsidRPr="003E3EF9">
        <w:rPr>
          <w:u w:val="single"/>
        </w:rPr>
        <w:t xml:space="preserve"> improvement is 633,278 ha, representing 46% of the total area of the target landscapes</w:t>
      </w:r>
      <w:r>
        <w:t>. Improvements relate to 18 intervention sites, 9 in each target landscape, that have been pre-selected during the PPG phase, mapped (</w:t>
      </w:r>
      <w:r w:rsidRPr="00B34050">
        <w:rPr>
          <w:highlight w:val="lightGray"/>
        </w:rPr>
        <w:fldChar w:fldCharType="begin"/>
      </w:r>
      <w:r w:rsidRPr="00B34050">
        <w:rPr>
          <w:highlight w:val="lightGray"/>
        </w:rPr>
        <w:instrText xml:space="preserve"> REF _Ref51506043 \h </w:instrText>
      </w:r>
      <w:r>
        <w:rPr>
          <w:highlight w:val="lightGray"/>
        </w:rPr>
        <w:instrText xml:space="preserve"> \* MERGEFORMAT </w:instrText>
      </w:r>
      <w:r w:rsidRPr="00B34050">
        <w:rPr>
          <w:highlight w:val="lightGray"/>
        </w:rPr>
      </w:r>
      <w:r w:rsidRPr="00B34050">
        <w:rPr>
          <w:highlight w:val="lightGray"/>
        </w:rPr>
        <w:fldChar w:fldCharType="separate"/>
      </w:r>
      <w:r w:rsidR="00A64193" w:rsidRPr="00A64193">
        <w:rPr>
          <w:sz w:val="22"/>
          <w:szCs w:val="22"/>
          <w:highlight w:val="lightGray"/>
        </w:rPr>
        <w:t>Figure 7</w:t>
      </w:r>
      <w:r w:rsidRPr="00B34050">
        <w:rPr>
          <w:highlight w:val="lightGray"/>
        </w:rPr>
        <w:fldChar w:fldCharType="end"/>
      </w:r>
      <w:r>
        <w:t xml:space="preserve"> and </w:t>
      </w:r>
      <w:r w:rsidRPr="00B34050">
        <w:rPr>
          <w:highlight w:val="lightGray"/>
        </w:rPr>
        <w:fldChar w:fldCharType="begin"/>
      </w:r>
      <w:r w:rsidRPr="00B34050">
        <w:rPr>
          <w:highlight w:val="lightGray"/>
        </w:rPr>
        <w:instrText xml:space="preserve"> REF _Ref51506101 \h </w:instrText>
      </w:r>
      <w:r>
        <w:rPr>
          <w:highlight w:val="lightGray"/>
        </w:rPr>
        <w:instrText xml:space="preserve"> \* MERGEFORMAT </w:instrText>
      </w:r>
      <w:r w:rsidRPr="00B34050">
        <w:rPr>
          <w:highlight w:val="lightGray"/>
        </w:rPr>
      </w:r>
      <w:r w:rsidRPr="00B34050">
        <w:rPr>
          <w:highlight w:val="lightGray"/>
        </w:rPr>
        <w:fldChar w:fldCharType="separate"/>
      </w:r>
      <w:r w:rsidR="00FC10C8" w:rsidRPr="00FC10C8">
        <w:rPr>
          <w:sz w:val="22"/>
          <w:szCs w:val="22"/>
          <w:highlight w:val="lightGray"/>
        </w:rPr>
        <w:t>Figure 8</w:t>
      </w:r>
      <w:r w:rsidRPr="00B34050">
        <w:rPr>
          <w:highlight w:val="lightGray"/>
        </w:rPr>
        <w:fldChar w:fldCharType="end"/>
      </w:r>
      <w:r>
        <w:t xml:space="preserve"> for the respective landscapes) and subject to confirmation during project inception. They are targeted at croplands, grasslands, forest and watersheds (comprising forests and croplands), full details of which are provided in </w:t>
      </w:r>
      <w:r w:rsidRPr="00656A98">
        <w:rPr>
          <w:highlight w:val="lightGray"/>
        </w:rPr>
        <w:fldChar w:fldCharType="begin"/>
      </w:r>
      <w:r w:rsidRPr="00656A98">
        <w:rPr>
          <w:highlight w:val="lightGray"/>
        </w:rPr>
        <w:instrText xml:space="preserve"> REF _Ref41318206 \h </w:instrText>
      </w:r>
      <w:r>
        <w:rPr>
          <w:highlight w:val="lightGray"/>
        </w:rPr>
        <w:instrText xml:space="preserve"> \* MERGEFORMAT </w:instrText>
      </w:r>
      <w:r w:rsidRPr="00656A98">
        <w:rPr>
          <w:highlight w:val="lightGray"/>
        </w:rPr>
      </w:r>
      <w:r w:rsidRPr="00656A98">
        <w:rPr>
          <w:highlight w:val="lightGray"/>
        </w:rPr>
        <w:fldChar w:fldCharType="separate"/>
      </w:r>
      <w:r w:rsidR="00FC10C8" w:rsidRPr="00FC10C8">
        <w:rPr>
          <w:sz w:val="22"/>
          <w:szCs w:val="22"/>
          <w:highlight w:val="lightGray"/>
        </w:rPr>
        <w:t xml:space="preserve">Table </w:t>
      </w:r>
      <w:r w:rsidR="00FC10C8" w:rsidRPr="00FC10C8">
        <w:rPr>
          <w:noProof/>
          <w:sz w:val="22"/>
          <w:szCs w:val="22"/>
          <w:highlight w:val="lightGray"/>
        </w:rPr>
        <w:t>4</w:t>
      </w:r>
      <w:r w:rsidRPr="00656A98">
        <w:rPr>
          <w:highlight w:val="lightGray"/>
        </w:rPr>
        <w:fldChar w:fldCharType="end"/>
      </w:r>
      <w:r>
        <w:t xml:space="preserve"> and summarized by land use system and LDN response hierarchy (avoid, reduce, restore) in </w:t>
      </w:r>
      <w:r w:rsidRPr="00656A98">
        <w:rPr>
          <w:highlight w:val="lightGray"/>
        </w:rPr>
        <w:fldChar w:fldCharType="begin"/>
      </w:r>
      <w:r w:rsidRPr="00656A98">
        <w:rPr>
          <w:highlight w:val="lightGray"/>
        </w:rPr>
        <w:instrText xml:space="preserve"> REF _Ref51310081 \h </w:instrText>
      </w:r>
      <w:r>
        <w:rPr>
          <w:highlight w:val="lightGray"/>
        </w:rPr>
        <w:instrText xml:space="preserve"> \* MERGEFORMAT </w:instrText>
      </w:r>
      <w:r w:rsidRPr="00656A98">
        <w:rPr>
          <w:highlight w:val="lightGray"/>
        </w:rPr>
      </w:r>
      <w:r w:rsidRPr="00656A98">
        <w:rPr>
          <w:highlight w:val="lightGray"/>
        </w:rPr>
        <w:fldChar w:fldCharType="separate"/>
      </w:r>
      <w:r w:rsidR="00FC10C8" w:rsidRPr="00FC10C8">
        <w:rPr>
          <w:highlight w:val="lightGray"/>
        </w:rPr>
        <w:t xml:space="preserve">Table </w:t>
      </w:r>
      <w:r w:rsidR="00FC10C8" w:rsidRPr="00FC10C8">
        <w:rPr>
          <w:noProof/>
          <w:highlight w:val="lightGray"/>
        </w:rPr>
        <w:t>5</w:t>
      </w:r>
      <w:r w:rsidRPr="00656A98">
        <w:rPr>
          <w:highlight w:val="lightGray"/>
        </w:rPr>
        <w:fldChar w:fldCharType="end"/>
      </w:r>
      <w:r>
        <w:t>. In summary, the following results are anticipated in the immediate term:</w:t>
      </w:r>
    </w:p>
    <w:p w14:paraId="64B469D2" w14:textId="57ADBFDC" w:rsidR="00796D9D" w:rsidRPr="00E36EEF" w:rsidRDefault="00796D9D" w:rsidP="001667C6">
      <w:pPr>
        <w:pStyle w:val="ListParagraph"/>
        <w:numPr>
          <w:ilvl w:val="0"/>
          <w:numId w:val="72"/>
        </w:numPr>
        <w:rPr>
          <w:highlight w:val="yellow"/>
        </w:rPr>
      </w:pPr>
      <w:r w:rsidRPr="00E36EEF">
        <w:rPr>
          <w:highlight w:val="yellow"/>
        </w:rPr>
        <w:t xml:space="preserve">217,056 ha of croplands </w:t>
      </w:r>
      <w:r w:rsidR="004B7971" w:rsidRPr="00E36EEF">
        <w:rPr>
          <w:highlight w:val="yellow"/>
        </w:rPr>
        <w:t xml:space="preserve">covered by ILUPs </w:t>
      </w:r>
      <w:r w:rsidRPr="00E36EEF">
        <w:rPr>
          <w:highlight w:val="yellow"/>
        </w:rPr>
        <w:t xml:space="preserve">, with </w:t>
      </w:r>
      <w:r w:rsidR="00F10DE0" w:rsidRPr="00E36EEF">
        <w:rPr>
          <w:highlight w:val="yellow"/>
        </w:rPr>
        <w:t xml:space="preserve"> 4,929 </w:t>
      </w:r>
      <w:r w:rsidRPr="00E36EEF">
        <w:rPr>
          <w:highlight w:val="yellow"/>
        </w:rPr>
        <w:t xml:space="preserve"> ha having reduced LD through </w:t>
      </w:r>
      <w:r w:rsidR="00B47C3C" w:rsidRPr="00E36EEF">
        <w:rPr>
          <w:highlight w:val="yellow"/>
        </w:rPr>
        <w:t xml:space="preserve">direct </w:t>
      </w:r>
      <w:r w:rsidRPr="00E36EEF">
        <w:rPr>
          <w:highlight w:val="yellow"/>
        </w:rPr>
        <w:t>agricultural improvement</w:t>
      </w:r>
      <w:r w:rsidR="2D507264" w:rsidRPr="00E36EEF">
        <w:rPr>
          <w:highlight w:val="yellow"/>
        </w:rPr>
        <w:t xml:space="preserve"> </w:t>
      </w:r>
      <w:r w:rsidRPr="00E36EEF">
        <w:rPr>
          <w:highlight w:val="yellow"/>
        </w:rPr>
        <w:t>interventions</w:t>
      </w:r>
      <w:r w:rsidR="00B47C3C" w:rsidRPr="00E36EEF">
        <w:rPr>
          <w:highlight w:val="yellow"/>
        </w:rPr>
        <w:t>;</w:t>
      </w:r>
      <w:r w:rsidRPr="00E36EEF">
        <w:rPr>
          <w:highlight w:val="yellow"/>
        </w:rPr>
        <w:t xml:space="preserve"> </w:t>
      </w:r>
    </w:p>
    <w:p w14:paraId="784C79D3" w14:textId="6822F8EA" w:rsidR="00796D9D" w:rsidRPr="00E36EEF" w:rsidRDefault="00796D9D" w:rsidP="001667C6">
      <w:pPr>
        <w:pStyle w:val="ListParagraph"/>
        <w:numPr>
          <w:ilvl w:val="0"/>
          <w:numId w:val="72"/>
        </w:numPr>
        <w:rPr>
          <w:highlight w:val="yellow"/>
        </w:rPr>
      </w:pPr>
      <w:r w:rsidRPr="00E36EEF">
        <w:rPr>
          <w:highlight w:val="yellow"/>
        </w:rPr>
        <w:t>141,200 ha of grasslands</w:t>
      </w:r>
      <w:r w:rsidR="00475200" w:rsidRPr="00E36EEF">
        <w:rPr>
          <w:highlight w:val="yellow"/>
        </w:rPr>
        <w:t xml:space="preserve"> covered by ILUPs</w:t>
      </w:r>
      <w:r w:rsidRPr="00E36EEF">
        <w:rPr>
          <w:highlight w:val="yellow"/>
        </w:rPr>
        <w:t xml:space="preserve">, comprising </w:t>
      </w:r>
      <w:r w:rsidR="00475200" w:rsidRPr="00E36EEF">
        <w:rPr>
          <w:highlight w:val="yellow"/>
        </w:rPr>
        <w:t xml:space="preserve">13,988 </w:t>
      </w:r>
      <w:r w:rsidRPr="00E36EEF">
        <w:rPr>
          <w:highlight w:val="yellow"/>
        </w:rPr>
        <w:t xml:space="preserve"> ha of </w:t>
      </w:r>
      <w:r w:rsidR="00366765" w:rsidRPr="00E36EEF">
        <w:rPr>
          <w:highlight w:val="yellow"/>
        </w:rPr>
        <w:t xml:space="preserve">direct </w:t>
      </w:r>
      <w:r w:rsidR="00272731" w:rsidRPr="00E36EEF">
        <w:rPr>
          <w:highlight w:val="yellow"/>
        </w:rPr>
        <w:t>sustainable rangeland management interventions</w:t>
      </w:r>
      <w:r w:rsidRPr="00E36EEF">
        <w:rPr>
          <w:highlight w:val="yellow"/>
        </w:rPr>
        <w:t xml:space="preserve">, will be subject to reduced LD; </w:t>
      </w:r>
    </w:p>
    <w:p w14:paraId="28EA7A02" w14:textId="4FA0C266" w:rsidR="00796D9D" w:rsidRPr="00E36EEF" w:rsidRDefault="00796D9D" w:rsidP="001667C6">
      <w:pPr>
        <w:pStyle w:val="ListParagraph"/>
        <w:numPr>
          <w:ilvl w:val="0"/>
          <w:numId w:val="72"/>
        </w:numPr>
        <w:rPr>
          <w:highlight w:val="yellow"/>
        </w:rPr>
      </w:pPr>
      <w:r w:rsidRPr="00E36EEF">
        <w:rPr>
          <w:highlight w:val="yellow"/>
        </w:rPr>
        <w:t xml:space="preserve">107,722 ha of forest </w:t>
      </w:r>
      <w:r w:rsidR="00547969" w:rsidRPr="00E36EEF">
        <w:rPr>
          <w:highlight w:val="yellow"/>
        </w:rPr>
        <w:t xml:space="preserve">covered by ILUPs, with </w:t>
      </w:r>
      <w:r w:rsidR="00444D62" w:rsidRPr="00E36EEF">
        <w:rPr>
          <w:highlight w:val="yellow"/>
        </w:rPr>
        <w:t xml:space="preserve"> 16,825 ha </w:t>
      </w:r>
      <w:r w:rsidRPr="00E36EEF">
        <w:rPr>
          <w:highlight w:val="yellow"/>
        </w:rPr>
        <w:t xml:space="preserve">under </w:t>
      </w:r>
      <w:r w:rsidR="005D2ECC" w:rsidRPr="00E36EEF">
        <w:rPr>
          <w:highlight w:val="yellow"/>
        </w:rPr>
        <w:t>SFM</w:t>
      </w:r>
      <w:r w:rsidR="00895444" w:rsidRPr="00E36EEF">
        <w:rPr>
          <w:highlight w:val="yellow"/>
        </w:rPr>
        <w:t xml:space="preserve"> aiming at </w:t>
      </w:r>
      <w:r w:rsidR="00547969" w:rsidRPr="00E36EEF">
        <w:rPr>
          <w:highlight w:val="yellow"/>
        </w:rPr>
        <w:t xml:space="preserve">avoiding deforestation and degradation </w:t>
      </w:r>
      <w:r w:rsidR="00895444" w:rsidRPr="00E36EEF">
        <w:rPr>
          <w:highlight w:val="yellow"/>
        </w:rPr>
        <w:t>.</w:t>
      </w:r>
      <w:r w:rsidRPr="00E36EEF">
        <w:rPr>
          <w:highlight w:val="yellow"/>
        </w:rPr>
        <w:t xml:space="preserve"> </w:t>
      </w:r>
      <w:r w:rsidR="00ED4C9F" w:rsidRPr="00E36EEF">
        <w:rPr>
          <w:highlight w:val="yellow"/>
        </w:rPr>
        <w:t>Assistened natural regeneration</w:t>
      </w:r>
      <w:r w:rsidR="00F23DA3" w:rsidRPr="00E36EEF">
        <w:rPr>
          <w:highlight w:val="yellow"/>
        </w:rPr>
        <w:t xml:space="preserve"> approaches</w:t>
      </w:r>
      <w:r w:rsidR="003E06E5" w:rsidRPr="00E36EEF">
        <w:rPr>
          <w:highlight w:val="yellow"/>
        </w:rPr>
        <w:t xml:space="preserve"> coupled with the estabilishment of n</w:t>
      </w:r>
      <w:r w:rsidR="00ED4C9F" w:rsidRPr="00E36EEF">
        <w:rPr>
          <w:highlight w:val="yellow"/>
        </w:rPr>
        <w:t xml:space="preserve">urseries </w:t>
      </w:r>
      <w:r w:rsidRPr="00E36EEF">
        <w:rPr>
          <w:highlight w:val="yellow"/>
        </w:rPr>
        <w:t xml:space="preserve"> and</w:t>
      </w:r>
      <w:r w:rsidR="0098006E" w:rsidRPr="00E36EEF">
        <w:rPr>
          <w:highlight w:val="yellow"/>
        </w:rPr>
        <w:t xml:space="preserve"> community seed banks</w:t>
      </w:r>
      <w:r w:rsidR="006447B0" w:rsidRPr="00E36EEF">
        <w:rPr>
          <w:highlight w:val="yellow"/>
        </w:rPr>
        <w:t xml:space="preserve"> will </w:t>
      </w:r>
      <w:r w:rsidR="00162B1B" w:rsidRPr="00E36EEF">
        <w:rPr>
          <w:highlight w:val="yellow"/>
        </w:rPr>
        <w:t>complement the SFM/SLM</w:t>
      </w:r>
      <w:r w:rsidR="006D038F" w:rsidRPr="00E36EEF">
        <w:rPr>
          <w:highlight w:val="yellow"/>
        </w:rPr>
        <w:t xml:space="preserve"> interventions.</w:t>
      </w:r>
    </w:p>
    <w:p w14:paraId="465756FF" w14:textId="3E4C803C" w:rsidR="00796D9D" w:rsidRPr="00E36EEF" w:rsidRDefault="00796D9D" w:rsidP="001667C6">
      <w:pPr>
        <w:pStyle w:val="ListParagraph"/>
        <w:numPr>
          <w:ilvl w:val="0"/>
          <w:numId w:val="72"/>
        </w:numPr>
        <w:spacing w:after="160"/>
        <w:ind w:left="714" w:hanging="357"/>
        <w:rPr>
          <w:highlight w:val="yellow"/>
        </w:rPr>
      </w:pPr>
      <w:r>
        <w:t xml:space="preserve">167,300 </w:t>
      </w:r>
      <w:r w:rsidRPr="00E36EEF">
        <w:rPr>
          <w:highlight w:val="yellow"/>
        </w:rPr>
        <w:t xml:space="preserve">ha of </w:t>
      </w:r>
      <w:r w:rsidR="00AD1E5F" w:rsidRPr="00E36EEF">
        <w:rPr>
          <w:highlight w:val="yellow"/>
        </w:rPr>
        <w:t xml:space="preserve">mixed land uses </w:t>
      </w:r>
      <w:r w:rsidRPr="00E36EEF">
        <w:rPr>
          <w:highlight w:val="yellow"/>
        </w:rPr>
        <w:t xml:space="preserve">watershed, comprising 117,000 ha of Cuchi and 56,000 ha of Chinguanja commune, will be </w:t>
      </w:r>
      <w:r w:rsidR="00824AF5" w:rsidRPr="00E36EEF">
        <w:rPr>
          <w:highlight w:val="yellow"/>
        </w:rPr>
        <w:t>covered by ILUPs</w:t>
      </w:r>
      <w:r w:rsidR="00AD1E5F" w:rsidRPr="00E36EEF">
        <w:rPr>
          <w:highlight w:val="yellow"/>
        </w:rPr>
        <w:t>;</w:t>
      </w:r>
    </w:p>
    <w:p w14:paraId="1FB15E4A" w14:textId="12475425" w:rsidR="00796D9D" w:rsidRDefault="00796D9D" w:rsidP="001667C6">
      <w:pPr>
        <w:pStyle w:val="ParagraphOED"/>
        <w:numPr>
          <w:ilvl w:val="0"/>
          <w:numId w:val="102"/>
        </w:numPr>
        <w:spacing w:after="160"/>
      </w:pPr>
      <w:r w:rsidRPr="00E36EEF">
        <w:rPr>
          <w:highlight w:val="yellow"/>
        </w:rPr>
        <w:t xml:space="preserve">The medium term benefit will be </w:t>
      </w:r>
      <w:r w:rsidR="003804C5" w:rsidRPr="00E36EEF">
        <w:rPr>
          <w:highlight w:val="yellow"/>
        </w:rPr>
        <w:t>633,278</w:t>
      </w:r>
      <w:r w:rsidRPr="00E36EEF">
        <w:rPr>
          <w:highlight w:val="yellow"/>
        </w:rPr>
        <w:t xml:space="preserve"> ha of </w:t>
      </w:r>
      <w:r w:rsidR="00D022CB" w:rsidRPr="00E36EEF">
        <w:rPr>
          <w:highlight w:val="yellow"/>
        </w:rPr>
        <w:t>land within the</w:t>
      </w:r>
      <w:r w:rsidRPr="00E36EEF" w:rsidDel="00796D9D">
        <w:rPr>
          <w:highlight w:val="yellow"/>
        </w:rPr>
        <w:t xml:space="preserve"> </w:t>
      </w:r>
      <w:r w:rsidRPr="00E36EEF">
        <w:rPr>
          <w:highlight w:val="yellow"/>
        </w:rPr>
        <w:t>target landscape</w:t>
      </w:r>
      <w:r w:rsidR="00D022CB" w:rsidRPr="00E36EEF">
        <w:rPr>
          <w:highlight w:val="yellow"/>
        </w:rPr>
        <w:t>s</w:t>
      </w:r>
      <w:r w:rsidRPr="00E36EEF">
        <w:rPr>
          <w:highlight w:val="yellow"/>
        </w:rPr>
        <w:t xml:space="preserve"> </w:t>
      </w:r>
      <w:r w:rsidR="00C930A8" w:rsidRPr="00E36EEF">
        <w:rPr>
          <w:highlight w:val="yellow"/>
        </w:rPr>
        <w:t>covered by ILUPs</w:t>
      </w:r>
      <w:r w:rsidR="00956BFA" w:rsidRPr="00E36EEF">
        <w:rPr>
          <w:highlight w:val="yellow"/>
        </w:rPr>
        <w:t xml:space="preserve">, of which  35,742 ha </w:t>
      </w:r>
      <w:r w:rsidR="002D1CF2" w:rsidRPr="00E36EEF">
        <w:rPr>
          <w:highlight w:val="yellow"/>
        </w:rPr>
        <w:t xml:space="preserve">will be </w:t>
      </w:r>
      <w:r w:rsidRPr="00E36EEF">
        <w:rPr>
          <w:highlight w:val="yellow"/>
        </w:rPr>
        <w:t xml:space="preserve">under </w:t>
      </w:r>
      <w:r w:rsidR="002D1CF2" w:rsidRPr="00E36EEF">
        <w:rPr>
          <w:highlight w:val="yellow"/>
        </w:rPr>
        <w:t>direct</w:t>
      </w:r>
      <w:r w:rsidRPr="00E36EEF">
        <w:rPr>
          <w:highlight w:val="yellow"/>
        </w:rPr>
        <w:t xml:space="preserve"> improved</w:t>
      </w:r>
      <w:r>
        <w:t xml:space="preserve"> management, subject to best practices in SLM/FSM and other types of intervention demonstrated during the life of the project being replicated post-project. An Exit Strategy will be designed in the last year of the project to flag up what will need to be in place by way of the enabling environment (policies institutionalization of policies, mechanisms and platforms, best practices, continuing capacity development and sustainable financing by project end to secure continuity post-project and linkages to any potential new opportunities to rolling out the LDN agenda across other priority landscapes. </w:t>
      </w:r>
    </w:p>
    <w:p w14:paraId="727AF4B4" w14:textId="6AAB98AF" w:rsidR="00796D9D" w:rsidRDefault="00796D9D" w:rsidP="001667C6">
      <w:pPr>
        <w:pStyle w:val="ParagraphOED"/>
        <w:numPr>
          <w:ilvl w:val="0"/>
          <w:numId w:val="102"/>
        </w:numPr>
        <w:spacing w:after="160"/>
      </w:pPr>
      <w:r>
        <w:t xml:space="preserve">Together, these immediate and medium-term </w:t>
      </w:r>
      <w:r w:rsidRPr="00545C04">
        <w:t>improved practices will lead to increased ecosystem and community resilience, and the sustainable provision of ecosystem goods and services at the landscape level. Moreover, th</w:t>
      </w:r>
      <w:r>
        <w:t>ey</w:t>
      </w:r>
      <w:r w:rsidRPr="00545C04">
        <w:t xml:space="preserve"> will contribute to the conservation of globally significant biodiversity in the Miombo</w:t>
      </w:r>
      <w:r>
        <w:t>-Mopane</w:t>
      </w:r>
      <w:r w:rsidRPr="00545C04">
        <w:t xml:space="preserve"> woodlands, </w:t>
      </w:r>
      <w:r>
        <w:t>contributing</w:t>
      </w:r>
      <w:r w:rsidRPr="00545C04">
        <w:t xml:space="preserve"> significant</w:t>
      </w:r>
      <w:r>
        <w:t>ly</w:t>
      </w:r>
      <w:r w:rsidRPr="00545C04">
        <w:t xml:space="preserve"> to the African Forest Landscape Restoration Initiative (AFR100)</w:t>
      </w:r>
      <w:r w:rsidRPr="00F903F4">
        <w:rPr>
          <w:highlight w:val="lightGray"/>
          <w:vertAlign w:val="superscript"/>
        </w:rPr>
        <w:fldChar w:fldCharType="begin"/>
      </w:r>
      <w:r w:rsidRPr="00F903F4">
        <w:rPr>
          <w:highlight w:val="lightGray"/>
          <w:vertAlign w:val="superscript"/>
        </w:rPr>
        <w:instrText xml:space="preserve"> NOTEREF _Ref51514065 \h  \* MERGEFORMAT </w:instrText>
      </w:r>
      <w:r w:rsidRPr="00F903F4">
        <w:rPr>
          <w:highlight w:val="lightGray"/>
          <w:vertAlign w:val="superscript"/>
        </w:rPr>
      </w:r>
      <w:r w:rsidRPr="00F903F4">
        <w:rPr>
          <w:highlight w:val="lightGray"/>
          <w:vertAlign w:val="superscript"/>
        </w:rPr>
        <w:fldChar w:fldCharType="separate"/>
      </w:r>
      <w:r w:rsidR="00A64193">
        <w:rPr>
          <w:highlight w:val="lightGray"/>
          <w:vertAlign w:val="superscript"/>
        </w:rPr>
        <w:t>83</w:t>
      </w:r>
      <w:r w:rsidRPr="00F903F4">
        <w:rPr>
          <w:highlight w:val="lightGray"/>
          <w:vertAlign w:val="superscript"/>
        </w:rPr>
        <w:fldChar w:fldCharType="end"/>
      </w:r>
      <w:r w:rsidRPr="00545C04">
        <w:t xml:space="preserve"> objectives by bringing degraded land into restoration by 2030.</w:t>
      </w:r>
    </w:p>
    <w:p w14:paraId="720A8397" w14:textId="5573BB0C" w:rsidR="00796D9D" w:rsidRPr="00CE1EA7" w:rsidRDefault="00796D9D" w:rsidP="001667C6">
      <w:pPr>
        <w:pStyle w:val="ParagraphOED"/>
        <w:numPr>
          <w:ilvl w:val="0"/>
          <w:numId w:val="102"/>
        </w:numPr>
        <w:spacing w:after="80"/>
      </w:pPr>
      <w:r>
        <w:lastRenderedPageBreak/>
        <w:t xml:space="preserve">A major co-benefit of these interventions to reduce land degradation and deforestation will be avoided GHG emissions and carbon sequestration, estimated at </w:t>
      </w:r>
      <w:r w:rsidR="00A32471" w:rsidRPr="00E36EEF">
        <w:rPr>
          <w:highlight w:val="yellow"/>
        </w:rPr>
        <w:t>1,047,911</w:t>
      </w:r>
      <w:r w:rsidR="006D7CA3">
        <w:t xml:space="preserve">tCO2-eq </w:t>
      </w:r>
      <w:r>
        <w:t>over the 20-years project lifespan. Policy changes and behavioural changes associated with capacity-development activities are also expected to contribute to this co-benefit. The carbon benefit calculus takes into account the following:</w:t>
      </w:r>
    </w:p>
    <w:p w14:paraId="18672EC5" w14:textId="77777777" w:rsidR="00796D9D" w:rsidRPr="004B0FFB" w:rsidRDefault="00796D9D" w:rsidP="001667C6">
      <w:pPr>
        <w:pStyle w:val="ListParagraph"/>
        <w:numPr>
          <w:ilvl w:val="0"/>
          <w:numId w:val="68"/>
        </w:numPr>
        <w:rPr>
          <w:rFonts w:asciiTheme="minorHAnsi" w:hAnsiTheme="minorHAnsi" w:cstheme="minorHAnsi"/>
          <w:sz w:val="21"/>
          <w:szCs w:val="21"/>
        </w:rPr>
      </w:pPr>
      <w:r w:rsidRPr="004B0FFB">
        <w:rPr>
          <w:rFonts w:asciiTheme="minorHAnsi" w:hAnsiTheme="minorHAnsi" w:cstheme="minorHAnsi"/>
          <w:sz w:val="21"/>
          <w:szCs w:val="21"/>
        </w:rPr>
        <w:t xml:space="preserve">Miombo and Mopane woodlands are considered </w:t>
      </w:r>
      <w:r>
        <w:rPr>
          <w:rFonts w:asciiTheme="minorHAnsi" w:hAnsiTheme="minorHAnsi" w:cstheme="minorHAnsi"/>
          <w:sz w:val="21"/>
          <w:szCs w:val="21"/>
        </w:rPr>
        <w:t xml:space="preserve">to be </w:t>
      </w:r>
      <w:r w:rsidRPr="004B0FFB">
        <w:rPr>
          <w:rFonts w:asciiTheme="minorHAnsi" w:hAnsiTheme="minorHAnsi" w:cstheme="minorHAnsi"/>
          <w:sz w:val="21"/>
          <w:szCs w:val="21"/>
        </w:rPr>
        <w:t xml:space="preserve">dryland forests. </w:t>
      </w:r>
    </w:p>
    <w:p w14:paraId="4979F93B" w14:textId="77777777" w:rsidR="00796D9D" w:rsidRPr="004B0FFB" w:rsidRDefault="00796D9D" w:rsidP="001667C6">
      <w:pPr>
        <w:pStyle w:val="ListParagraph"/>
        <w:numPr>
          <w:ilvl w:val="0"/>
          <w:numId w:val="68"/>
        </w:numPr>
        <w:rPr>
          <w:rFonts w:asciiTheme="minorHAnsi" w:hAnsiTheme="minorHAnsi" w:cstheme="minorHAnsi"/>
          <w:sz w:val="21"/>
          <w:szCs w:val="21"/>
        </w:rPr>
      </w:pPr>
      <w:r w:rsidRPr="004B0FFB">
        <w:rPr>
          <w:rFonts w:asciiTheme="minorHAnsi" w:hAnsiTheme="minorHAnsi" w:cstheme="minorHAnsi"/>
          <w:sz w:val="21"/>
          <w:szCs w:val="21"/>
        </w:rPr>
        <w:t>In Mopane vegetation, the above</w:t>
      </w:r>
      <w:r>
        <w:rPr>
          <w:rFonts w:asciiTheme="minorHAnsi" w:hAnsiTheme="minorHAnsi" w:cstheme="minorHAnsi"/>
          <w:sz w:val="21"/>
          <w:szCs w:val="21"/>
        </w:rPr>
        <w:t>-</w:t>
      </w:r>
      <w:r w:rsidRPr="004B0FFB">
        <w:rPr>
          <w:rFonts w:asciiTheme="minorHAnsi" w:hAnsiTheme="minorHAnsi" w:cstheme="minorHAnsi"/>
          <w:sz w:val="21"/>
          <w:szCs w:val="21"/>
        </w:rPr>
        <w:t xml:space="preserve">ground density of live woody biomass is low and tree canopy </w:t>
      </w:r>
      <w:r>
        <w:rPr>
          <w:rFonts w:asciiTheme="minorHAnsi" w:hAnsiTheme="minorHAnsi" w:cstheme="minorHAnsi"/>
          <w:sz w:val="21"/>
          <w:szCs w:val="21"/>
        </w:rPr>
        <w:t>is below</w:t>
      </w:r>
      <w:r w:rsidRPr="004B0FFB">
        <w:rPr>
          <w:rFonts w:asciiTheme="minorHAnsi" w:hAnsiTheme="minorHAnsi" w:cstheme="minorHAnsi"/>
          <w:sz w:val="21"/>
          <w:szCs w:val="21"/>
        </w:rPr>
        <w:t xml:space="preserve"> 30%. </w:t>
      </w:r>
    </w:p>
    <w:p w14:paraId="675B3914" w14:textId="77777777" w:rsidR="00796D9D" w:rsidRPr="004B0FFB" w:rsidRDefault="00796D9D" w:rsidP="001667C6">
      <w:pPr>
        <w:pStyle w:val="ListParagraph"/>
        <w:numPr>
          <w:ilvl w:val="0"/>
          <w:numId w:val="68"/>
        </w:numPr>
        <w:rPr>
          <w:rFonts w:asciiTheme="minorHAnsi" w:hAnsiTheme="minorHAnsi" w:cstheme="minorHAnsi"/>
          <w:sz w:val="21"/>
          <w:szCs w:val="21"/>
        </w:rPr>
      </w:pPr>
      <w:r w:rsidRPr="004B0FFB">
        <w:rPr>
          <w:rFonts w:asciiTheme="minorHAnsi" w:hAnsiTheme="minorHAnsi" w:cstheme="minorHAnsi"/>
          <w:sz w:val="21"/>
          <w:szCs w:val="21"/>
        </w:rPr>
        <w:t xml:space="preserve">Miombo are </w:t>
      </w:r>
      <w:r>
        <w:rPr>
          <w:rFonts w:asciiTheme="minorHAnsi" w:hAnsiTheme="minorHAnsi" w:cstheme="minorHAnsi"/>
          <w:sz w:val="21"/>
          <w:szCs w:val="21"/>
        </w:rPr>
        <w:t>comparatively</w:t>
      </w:r>
      <w:r w:rsidRPr="004B0FFB">
        <w:rPr>
          <w:rFonts w:asciiTheme="minorHAnsi" w:hAnsiTheme="minorHAnsi" w:cstheme="minorHAnsi"/>
          <w:sz w:val="21"/>
          <w:szCs w:val="21"/>
        </w:rPr>
        <w:t xml:space="preserve"> richer in carbon stocks than Mopane landscapes but much more susceptible to fire. </w:t>
      </w:r>
    </w:p>
    <w:p w14:paraId="31A99CA4" w14:textId="77777777" w:rsidR="00796D9D" w:rsidRPr="004B0FFB" w:rsidRDefault="00796D9D" w:rsidP="001667C6">
      <w:pPr>
        <w:pStyle w:val="ListParagraph"/>
        <w:numPr>
          <w:ilvl w:val="0"/>
          <w:numId w:val="68"/>
        </w:numPr>
        <w:rPr>
          <w:rFonts w:asciiTheme="minorHAnsi" w:hAnsiTheme="minorHAnsi" w:cstheme="minorHAnsi"/>
          <w:sz w:val="21"/>
          <w:szCs w:val="21"/>
        </w:rPr>
      </w:pPr>
      <w:r w:rsidRPr="004B0FFB">
        <w:rPr>
          <w:rFonts w:asciiTheme="minorHAnsi" w:hAnsiTheme="minorHAnsi" w:cstheme="minorHAnsi"/>
          <w:sz w:val="21"/>
          <w:szCs w:val="21"/>
        </w:rPr>
        <w:t xml:space="preserve">Most of the carbon stocks in Miombo-Mopane landscapes are stored in the soil. </w:t>
      </w:r>
    </w:p>
    <w:p w14:paraId="52EB1A64" w14:textId="77777777" w:rsidR="00796D9D" w:rsidRPr="004B0FFB" w:rsidRDefault="00796D9D" w:rsidP="001667C6">
      <w:pPr>
        <w:pStyle w:val="ListParagraph"/>
        <w:numPr>
          <w:ilvl w:val="0"/>
          <w:numId w:val="68"/>
        </w:numPr>
        <w:rPr>
          <w:rFonts w:asciiTheme="minorHAnsi" w:hAnsiTheme="minorHAnsi" w:cstheme="minorHAnsi"/>
          <w:sz w:val="21"/>
          <w:szCs w:val="21"/>
        </w:rPr>
      </w:pPr>
      <w:r w:rsidRPr="004B0FFB">
        <w:rPr>
          <w:rFonts w:asciiTheme="minorHAnsi" w:hAnsiTheme="minorHAnsi" w:cstheme="minorHAnsi"/>
          <w:sz w:val="21"/>
          <w:szCs w:val="21"/>
        </w:rPr>
        <w:t xml:space="preserve">If the vegetation cover is removed and the soil is not protected from erosion, land degradation ensues and soil carbon will be lost over time. This process is avoidable and the current trends can be </w:t>
      </w:r>
      <w:r w:rsidRPr="003B4367">
        <w:rPr>
          <w:rFonts w:asciiTheme="minorHAnsi" w:hAnsiTheme="minorHAnsi" w:cstheme="minorHAnsi"/>
          <w:sz w:val="21"/>
          <w:szCs w:val="21"/>
        </w:rPr>
        <w:t>reversed</w:t>
      </w:r>
      <w:r w:rsidRPr="004B0FFB">
        <w:rPr>
          <w:rFonts w:asciiTheme="minorHAnsi" w:hAnsiTheme="minorHAnsi" w:cstheme="minorHAnsi"/>
          <w:sz w:val="21"/>
          <w:szCs w:val="21"/>
        </w:rPr>
        <w:t xml:space="preserve"> through more adaptive and sustainable land uses/practices. </w:t>
      </w:r>
    </w:p>
    <w:p w14:paraId="29A257E3" w14:textId="6F370801" w:rsidR="009563B4" w:rsidRPr="003D36A0" w:rsidRDefault="00B85D50" w:rsidP="009563B4">
      <w:pPr>
        <w:pStyle w:val="Heading3"/>
        <w:rPr>
          <w:rFonts w:ascii="Calibri" w:hAnsi="Calibri" w:cs="Calibri"/>
          <w:b w:val="0"/>
        </w:rPr>
      </w:pPr>
      <w:bookmarkStart w:id="165" w:name="_Toc52367663"/>
      <w:r w:rsidRPr="003D36A0">
        <w:rPr>
          <w:rFonts w:ascii="Calibri" w:hAnsi="Calibri" w:cs="Calibri"/>
        </w:rPr>
        <w:t>7.</w:t>
      </w:r>
      <w:r w:rsidR="009563B4" w:rsidRPr="003D36A0">
        <w:rPr>
          <w:rFonts w:ascii="Calibri" w:hAnsi="Calibri" w:cs="Calibri"/>
        </w:rPr>
        <w:t xml:space="preserve"> Innovativeness, sustainability, potential for scaling up and </w:t>
      </w:r>
      <w:r w:rsidR="00B17BBB">
        <w:rPr>
          <w:rFonts w:ascii="Calibri" w:hAnsi="Calibri" w:cs="Calibri"/>
        </w:rPr>
        <w:t xml:space="preserve">system-wide </w:t>
      </w:r>
      <w:r w:rsidR="009563B4" w:rsidRPr="003D36A0">
        <w:rPr>
          <w:rFonts w:ascii="Calibri" w:hAnsi="Calibri" w:cs="Calibri"/>
        </w:rPr>
        <w:t>capacity development</w:t>
      </w:r>
      <w:bookmarkEnd w:id="163"/>
      <w:bookmarkEnd w:id="164"/>
      <w:bookmarkEnd w:id="165"/>
    </w:p>
    <w:p w14:paraId="541262E6" w14:textId="050E5372" w:rsidR="009563B4" w:rsidRPr="00F252FB" w:rsidRDefault="009563B4" w:rsidP="001667C6">
      <w:pPr>
        <w:pStyle w:val="ParagraphOED"/>
        <w:numPr>
          <w:ilvl w:val="0"/>
          <w:numId w:val="102"/>
        </w:numPr>
        <w:spacing w:after="80"/>
      </w:pPr>
      <w:r>
        <w:t>The Angola Child Project is part of the GEF/SFM DSL Impact Program, whose programmatic approach contrasts with the conventional model of country-specific project</w:t>
      </w:r>
      <w:r w:rsidR="00796D9D">
        <w:t>s</w:t>
      </w:r>
      <w:r>
        <w:t xml:space="preserve">. Although this element, in itself, is not fully ‘innovative’ </w:t>
      </w:r>
      <w:r w:rsidR="002F36AE">
        <w:t xml:space="preserve">as </w:t>
      </w:r>
      <w:r>
        <w:t xml:space="preserve">it is the second </w:t>
      </w:r>
      <w:r w:rsidR="002F36AE">
        <w:t xml:space="preserve">cycle of </w:t>
      </w:r>
      <w:r>
        <w:t xml:space="preserve">GEF Impact Programs, </w:t>
      </w:r>
      <w:r w:rsidR="00796D9D">
        <w:t xml:space="preserve">the IP affords </w:t>
      </w:r>
      <w:r>
        <w:t>two advantages to th</w:t>
      </w:r>
      <w:r w:rsidR="00796D9D">
        <w:t xml:space="preserve">is </w:t>
      </w:r>
      <w:r w:rsidR="002F36AE">
        <w:t xml:space="preserve">Child Project </w:t>
      </w:r>
      <w:r w:rsidR="00796D9D">
        <w:t>(and other</w:t>
      </w:r>
      <w:r w:rsidR="002F36AE">
        <w:t>s</w:t>
      </w:r>
      <w:r w:rsidR="00796D9D">
        <w:t>)</w:t>
      </w:r>
      <w:r>
        <w:t xml:space="preserve"> pertaining to </w:t>
      </w:r>
      <w:r w:rsidRPr="1E65A5F7">
        <w:rPr>
          <w:b/>
          <w:bCs/>
        </w:rPr>
        <w:t>scale</w:t>
      </w:r>
      <w:r>
        <w:t xml:space="preserve"> (potential to scale up</w:t>
      </w:r>
      <w:r w:rsidR="00796D9D">
        <w:t xml:space="preserve"> and out</w:t>
      </w:r>
      <w:r>
        <w:t>) and</w:t>
      </w:r>
      <w:r w:rsidR="00796D9D">
        <w:t xml:space="preserve"> to</w:t>
      </w:r>
      <w:r>
        <w:t xml:space="preserve"> </w:t>
      </w:r>
      <w:r w:rsidRPr="1E65A5F7">
        <w:rPr>
          <w:b/>
          <w:bCs/>
        </w:rPr>
        <w:t>sustainability</w:t>
      </w:r>
      <w:r>
        <w:t xml:space="preserve">, which would not </w:t>
      </w:r>
      <w:r w:rsidR="002F36AE">
        <w:t>apply to stand-alone projects</w:t>
      </w:r>
      <w:r>
        <w:t>:</w:t>
      </w:r>
    </w:p>
    <w:p w14:paraId="6068FDAD" w14:textId="7D3B9082" w:rsidR="009563B4" w:rsidRPr="003672EA" w:rsidRDefault="009563B4" w:rsidP="001667C6">
      <w:pPr>
        <w:pStyle w:val="ListParagraph"/>
        <w:numPr>
          <w:ilvl w:val="0"/>
          <w:numId w:val="41"/>
        </w:numPr>
        <w:spacing w:after="80"/>
        <w:ind w:left="714" w:hanging="357"/>
        <w:contextualSpacing w:val="0"/>
        <w:rPr>
          <w:rFonts w:cstheme="minorHAnsi"/>
          <w:sz w:val="21"/>
          <w:szCs w:val="21"/>
        </w:rPr>
      </w:pPr>
      <w:r w:rsidRPr="003672EA">
        <w:rPr>
          <w:rFonts w:cstheme="minorHAnsi"/>
          <w:sz w:val="21"/>
          <w:szCs w:val="21"/>
        </w:rPr>
        <w:t xml:space="preserve">First, there </w:t>
      </w:r>
      <w:r w:rsidR="002F36AE" w:rsidRPr="003672EA">
        <w:rPr>
          <w:rFonts w:cstheme="minorHAnsi"/>
          <w:sz w:val="21"/>
          <w:szCs w:val="21"/>
        </w:rPr>
        <w:t>are</w:t>
      </w:r>
      <w:r w:rsidRPr="003672EA">
        <w:rPr>
          <w:rFonts w:cstheme="minorHAnsi"/>
          <w:sz w:val="21"/>
          <w:szCs w:val="21"/>
        </w:rPr>
        <w:t xml:space="preserve"> the advantages of ‘scale’ and commonality embedded in belong</w:t>
      </w:r>
      <w:r w:rsidR="002F36AE" w:rsidRPr="003672EA">
        <w:rPr>
          <w:rFonts w:cstheme="minorHAnsi"/>
          <w:sz w:val="21"/>
          <w:szCs w:val="21"/>
        </w:rPr>
        <w:t>ing</w:t>
      </w:r>
      <w:r w:rsidRPr="003672EA">
        <w:rPr>
          <w:rFonts w:cstheme="minorHAnsi"/>
          <w:sz w:val="21"/>
          <w:szCs w:val="21"/>
        </w:rPr>
        <w:t xml:space="preserve"> to the ‘Miombo Cluster’</w:t>
      </w:r>
      <w:r w:rsidR="002F36AE" w:rsidRPr="003672EA">
        <w:rPr>
          <w:rFonts w:cstheme="minorHAnsi"/>
          <w:sz w:val="21"/>
          <w:szCs w:val="21"/>
        </w:rPr>
        <w:t xml:space="preserve"> of child projects</w:t>
      </w:r>
      <w:r w:rsidRPr="003672EA">
        <w:rPr>
          <w:rFonts w:cstheme="minorHAnsi"/>
          <w:sz w:val="21"/>
          <w:szCs w:val="21"/>
        </w:rPr>
        <w:t xml:space="preserve">. As stated in the introduction, countries within the Miombo Cluster share not only similar ecosystems that are unique to Southern Africa—the Miombo-Mopane Woodlands—but also similar and common challenges, including </w:t>
      </w:r>
      <w:r w:rsidR="00727E7E" w:rsidRPr="003672EA">
        <w:rPr>
          <w:rFonts w:cstheme="minorHAnsi"/>
          <w:sz w:val="21"/>
          <w:szCs w:val="21"/>
        </w:rPr>
        <w:t>transfrontier</w:t>
      </w:r>
      <w:r w:rsidRPr="003672EA">
        <w:rPr>
          <w:rFonts w:cstheme="minorHAnsi"/>
          <w:sz w:val="21"/>
          <w:szCs w:val="21"/>
        </w:rPr>
        <w:t xml:space="preserve"> ones, with respect to land-use management. By taking a supra-national view on the SFM DSL topic, the program </w:t>
      </w:r>
      <w:r w:rsidR="002F36AE" w:rsidRPr="003672EA">
        <w:rPr>
          <w:rFonts w:cstheme="minorHAnsi"/>
          <w:sz w:val="21"/>
          <w:szCs w:val="21"/>
        </w:rPr>
        <w:t>is able to address</w:t>
      </w:r>
      <w:r w:rsidRPr="003672EA">
        <w:rPr>
          <w:rFonts w:cstheme="minorHAnsi"/>
          <w:sz w:val="21"/>
          <w:szCs w:val="21"/>
        </w:rPr>
        <w:t xml:space="preserve"> key regional and transboundary issues </w:t>
      </w:r>
      <w:r w:rsidR="002F36AE" w:rsidRPr="003672EA">
        <w:rPr>
          <w:rFonts w:cstheme="minorHAnsi"/>
          <w:sz w:val="21"/>
          <w:szCs w:val="21"/>
        </w:rPr>
        <w:t>through simultaneous action</w:t>
      </w:r>
      <w:r w:rsidR="000D15ED" w:rsidRPr="003672EA">
        <w:rPr>
          <w:rFonts w:cstheme="minorHAnsi"/>
          <w:sz w:val="21"/>
          <w:szCs w:val="21"/>
        </w:rPr>
        <w:t>s</w:t>
      </w:r>
      <w:r w:rsidRPr="003672EA">
        <w:rPr>
          <w:rFonts w:cstheme="minorHAnsi"/>
          <w:sz w:val="21"/>
          <w:szCs w:val="21"/>
        </w:rPr>
        <w:t xml:space="preserve"> by the </w:t>
      </w:r>
      <w:r w:rsidR="000D15ED" w:rsidRPr="003672EA">
        <w:rPr>
          <w:rFonts w:cstheme="minorHAnsi"/>
          <w:sz w:val="21"/>
          <w:szCs w:val="21"/>
        </w:rPr>
        <w:t xml:space="preserve">respective </w:t>
      </w:r>
      <w:r w:rsidRPr="003672EA">
        <w:rPr>
          <w:rFonts w:cstheme="minorHAnsi"/>
          <w:sz w:val="21"/>
          <w:szCs w:val="21"/>
        </w:rPr>
        <w:t xml:space="preserve">child projects, increasing the impact </w:t>
      </w:r>
      <w:r w:rsidR="000D15ED" w:rsidRPr="003672EA">
        <w:rPr>
          <w:rFonts w:cstheme="minorHAnsi"/>
          <w:sz w:val="21"/>
          <w:szCs w:val="21"/>
        </w:rPr>
        <w:t>indivual</w:t>
      </w:r>
      <w:r w:rsidRPr="003672EA">
        <w:rPr>
          <w:rFonts w:cstheme="minorHAnsi"/>
          <w:sz w:val="21"/>
          <w:szCs w:val="21"/>
        </w:rPr>
        <w:t xml:space="preserve"> </w:t>
      </w:r>
      <w:r w:rsidR="000D15ED" w:rsidRPr="003672EA">
        <w:rPr>
          <w:rFonts w:cstheme="minorHAnsi"/>
          <w:sz w:val="21"/>
          <w:szCs w:val="21"/>
        </w:rPr>
        <w:t xml:space="preserve">child </w:t>
      </w:r>
      <w:r w:rsidRPr="003672EA">
        <w:rPr>
          <w:rFonts w:cstheme="minorHAnsi"/>
          <w:sz w:val="21"/>
          <w:szCs w:val="21"/>
        </w:rPr>
        <w:t>projects and the program</w:t>
      </w:r>
      <w:r w:rsidR="000D15ED" w:rsidRPr="003672EA">
        <w:rPr>
          <w:rFonts w:cstheme="minorHAnsi"/>
          <w:sz w:val="21"/>
          <w:szCs w:val="21"/>
        </w:rPr>
        <w:t xml:space="preserve"> as a whole</w:t>
      </w:r>
      <w:r w:rsidRPr="003672EA">
        <w:rPr>
          <w:rFonts w:cstheme="minorHAnsi"/>
          <w:sz w:val="21"/>
          <w:szCs w:val="21"/>
        </w:rPr>
        <w:t xml:space="preserve">. The regional aspect can also facilitate local stakeholders’ access to </w:t>
      </w:r>
      <w:r w:rsidR="000D15ED" w:rsidRPr="003672EA">
        <w:rPr>
          <w:rFonts w:cstheme="minorHAnsi"/>
          <w:sz w:val="21"/>
          <w:szCs w:val="21"/>
        </w:rPr>
        <w:t xml:space="preserve">a wider range of </w:t>
      </w:r>
      <w:r w:rsidRPr="003672EA">
        <w:rPr>
          <w:rFonts w:cstheme="minorHAnsi"/>
          <w:sz w:val="21"/>
          <w:szCs w:val="21"/>
        </w:rPr>
        <w:t>different opportunities. Certain products are on high demand across the entire region and reaching global markets (e.g. marula oil). For private sector players</w:t>
      </w:r>
      <w:r w:rsidR="000D15ED" w:rsidRPr="003672EA">
        <w:rPr>
          <w:rFonts w:cstheme="minorHAnsi"/>
          <w:sz w:val="21"/>
          <w:szCs w:val="21"/>
        </w:rPr>
        <w:t>,</w:t>
      </w:r>
      <w:r w:rsidRPr="003672EA">
        <w:rPr>
          <w:rFonts w:cstheme="minorHAnsi"/>
          <w:sz w:val="21"/>
          <w:szCs w:val="21"/>
        </w:rPr>
        <w:t xml:space="preserve"> it implies broader connections and the expansion of their potential to reach multi-country supply partnerships. For the local value chain participants, the kind of scale enabled through the DSL IP will allow them have access to innovations they would otherwise not have imagined.</w:t>
      </w:r>
    </w:p>
    <w:p w14:paraId="36D8B3CF" w14:textId="3BB2A1E6" w:rsidR="009563B4" w:rsidRPr="003672EA" w:rsidRDefault="009563B4" w:rsidP="001667C6">
      <w:pPr>
        <w:pStyle w:val="ListParagraph"/>
        <w:numPr>
          <w:ilvl w:val="0"/>
          <w:numId w:val="41"/>
        </w:numPr>
        <w:spacing w:after="160"/>
        <w:ind w:left="714" w:hanging="357"/>
        <w:contextualSpacing w:val="0"/>
        <w:rPr>
          <w:rFonts w:cstheme="minorHAnsi"/>
          <w:sz w:val="21"/>
          <w:szCs w:val="21"/>
        </w:rPr>
      </w:pPr>
      <w:r w:rsidRPr="003672EA">
        <w:rPr>
          <w:rFonts w:cstheme="minorHAnsi"/>
          <w:sz w:val="21"/>
          <w:szCs w:val="21"/>
        </w:rPr>
        <w:t xml:space="preserve">Secondly, there </w:t>
      </w:r>
      <w:r w:rsidR="000D15ED" w:rsidRPr="003672EA">
        <w:rPr>
          <w:rFonts w:cstheme="minorHAnsi"/>
          <w:sz w:val="21"/>
          <w:szCs w:val="21"/>
        </w:rPr>
        <w:t>is</w:t>
      </w:r>
      <w:r w:rsidRPr="003672EA">
        <w:rPr>
          <w:rFonts w:cstheme="minorHAnsi"/>
          <w:sz w:val="21"/>
          <w:szCs w:val="21"/>
        </w:rPr>
        <w:t xml:space="preserve"> </w:t>
      </w:r>
      <w:r w:rsidR="000D15ED" w:rsidRPr="003672EA">
        <w:rPr>
          <w:rFonts w:cstheme="minorHAnsi"/>
          <w:sz w:val="21"/>
          <w:szCs w:val="21"/>
        </w:rPr>
        <w:t xml:space="preserve">the </w:t>
      </w:r>
      <w:r w:rsidRPr="003672EA">
        <w:rPr>
          <w:rFonts w:cstheme="minorHAnsi"/>
          <w:sz w:val="21"/>
          <w:szCs w:val="21"/>
        </w:rPr>
        <w:t>challenge of sustainability</w:t>
      </w:r>
      <w:r w:rsidR="000D15ED" w:rsidRPr="003672EA">
        <w:rPr>
          <w:rFonts w:cstheme="minorHAnsi"/>
          <w:sz w:val="21"/>
          <w:szCs w:val="21"/>
        </w:rPr>
        <w:t>,</w:t>
      </w:r>
      <w:r w:rsidRPr="003672EA">
        <w:rPr>
          <w:rFonts w:cstheme="minorHAnsi"/>
          <w:sz w:val="21"/>
          <w:szCs w:val="21"/>
        </w:rPr>
        <w:t xml:space="preserve"> especially financial. If countries in the DSL IP advance towards their LDN agenda, they will have proven a model that seeks to apply LDN across landscapes with shared</w:t>
      </w:r>
      <w:r w:rsidR="000D15ED" w:rsidRPr="003672EA">
        <w:rPr>
          <w:rFonts w:cstheme="minorHAnsi"/>
          <w:sz w:val="21"/>
          <w:szCs w:val="21"/>
        </w:rPr>
        <w:t>,</w:t>
      </w:r>
      <w:r w:rsidRPr="003672EA">
        <w:rPr>
          <w:rFonts w:cstheme="minorHAnsi"/>
          <w:sz w:val="21"/>
          <w:szCs w:val="21"/>
        </w:rPr>
        <w:t xml:space="preserve"> coordinated and relatively harmonized approaches. The</w:t>
      </w:r>
      <w:r w:rsidR="000D15ED" w:rsidRPr="003672EA">
        <w:rPr>
          <w:rFonts w:cstheme="minorHAnsi"/>
          <w:sz w:val="21"/>
          <w:szCs w:val="21"/>
        </w:rPr>
        <w:t>y</w:t>
      </w:r>
      <w:r w:rsidRPr="003672EA">
        <w:rPr>
          <w:rFonts w:cstheme="minorHAnsi"/>
          <w:sz w:val="21"/>
          <w:szCs w:val="21"/>
        </w:rPr>
        <w:t xml:space="preserve"> can then collectively use the </w:t>
      </w:r>
      <w:r w:rsidR="000D15ED" w:rsidRPr="003672EA">
        <w:rPr>
          <w:rFonts w:cstheme="minorHAnsi"/>
          <w:sz w:val="21"/>
          <w:szCs w:val="21"/>
        </w:rPr>
        <w:t>c</w:t>
      </w:r>
      <w:r w:rsidRPr="003672EA">
        <w:rPr>
          <w:rFonts w:cstheme="minorHAnsi"/>
          <w:sz w:val="21"/>
          <w:szCs w:val="21"/>
        </w:rPr>
        <w:t xml:space="preserve">hild </w:t>
      </w:r>
      <w:r w:rsidR="000D15ED" w:rsidRPr="003672EA">
        <w:rPr>
          <w:rFonts w:cstheme="minorHAnsi"/>
          <w:sz w:val="21"/>
          <w:szCs w:val="21"/>
        </w:rPr>
        <w:t>p</w:t>
      </w:r>
      <w:r w:rsidRPr="003672EA">
        <w:rPr>
          <w:rFonts w:cstheme="minorHAnsi"/>
          <w:sz w:val="21"/>
          <w:szCs w:val="21"/>
        </w:rPr>
        <w:t>rojects as a ‘springboard’ for accelerating LD measures towards the neutrality goal at the regional level across the Miombo</w:t>
      </w:r>
      <w:r w:rsidR="0019234E" w:rsidRPr="003672EA">
        <w:rPr>
          <w:rFonts w:cstheme="minorHAnsi"/>
          <w:sz w:val="21"/>
          <w:szCs w:val="21"/>
        </w:rPr>
        <w:t>-Mopane ecoregion</w:t>
      </w:r>
      <w:r w:rsidRPr="003672EA">
        <w:rPr>
          <w:rFonts w:cstheme="minorHAnsi"/>
          <w:sz w:val="21"/>
          <w:szCs w:val="21"/>
        </w:rPr>
        <w:t>. Collectively, countries will be well positioned to access</w:t>
      </w:r>
      <w:r w:rsidR="0019234E" w:rsidRPr="003672EA">
        <w:rPr>
          <w:rFonts w:cstheme="minorHAnsi"/>
          <w:sz w:val="21"/>
          <w:szCs w:val="21"/>
        </w:rPr>
        <w:t xml:space="preserve"> future</w:t>
      </w:r>
      <w:r w:rsidRPr="003672EA">
        <w:rPr>
          <w:rFonts w:cstheme="minorHAnsi"/>
          <w:sz w:val="21"/>
          <w:szCs w:val="21"/>
        </w:rPr>
        <w:t xml:space="preserve"> funding for LDN and </w:t>
      </w:r>
      <w:r w:rsidR="0019234E" w:rsidRPr="003672EA">
        <w:rPr>
          <w:rFonts w:cstheme="minorHAnsi"/>
          <w:sz w:val="21"/>
          <w:szCs w:val="21"/>
        </w:rPr>
        <w:t>CCM</w:t>
      </w:r>
      <w:r w:rsidRPr="003672EA">
        <w:rPr>
          <w:rFonts w:cstheme="minorHAnsi"/>
          <w:sz w:val="21"/>
          <w:szCs w:val="21"/>
        </w:rPr>
        <w:t xml:space="preserve"> and also  impact investments for </w:t>
      </w:r>
      <w:r w:rsidR="0019234E" w:rsidRPr="003672EA">
        <w:rPr>
          <w:rFonts w:cstheme="minorHAnsi"/>
          <w:sz w:val="21"/>
          <w:szCs w:val="21"/>
        </w:rPr>
        <w:t xml:space="preserve">large-scale </w:t>
      </w:r>
      <w:r w:rsidRPr="003672EA">
        <w:rPr>
          <w:rFonts w:cstheme="minorHAnsi"/>
          <w:sz w:val="21"/>
          <w:szCs w:val="21"/>
        </w:rPr>
        <w:t xml:space="preserve">ecosystem restoration. </w:t>
      </w:r>
    </w:p>
    <w:p w14:paraId="3276DD7F" w14:textId="60364CF3" w:rsidR="009563B4" w:rsidRPr="003672EA" w:rsidRDefault="000555B6" w:rsidP="001667C6">
      <w:pPr>
        <w:pStyle w:val="ParagraphOED"/>
        <w:numPr>
          <w:ilvl w:val="0"/>
          <w:numId w:val="102"/>
        </w:numPr>
        <w:spacing w:after="80"/>
        <w:rPr>
          <w:rFonts w:cstheme="minorBidi"/>
        </w:rPr>
      </w:pPr>
      <w:r w:rsidRPr="619CA689">
        <w:t>T</w:t>
      </w:r>
      <w:r w:rsidR="009563B4" w:rsidRPr="619CA689">
        <w:t xml:space="preserve">he Angola Child Project will be </w:t>
      </w:r>
      <w:r w:rsidR="009563B4" w:rsidRPr="619CA689">
        <w:rPr>
          <w:b/>
          <w:bCs/>
        </w:rPr>
        <w:t>innovative</w:t>
      </w:r>
      <w:r w:rsidR="009563B4" w:rsidRPr="003672EA">
        <w:rPr>
          <w:szCs w:val="21"/>
        </w:rPr>
        <w:t xml:space="preserve"> </w:t>
      </w:r>
      <w:r w:rsidRPr="619CA689">
        <w:t>in a number of related respects</w:t>
      </w:r>
      <w:r w:rsidR="009563B4" w:rsidRPr="003672EA">
        <w:rPr>
          <w:szCs w:val="21"/>
        </w:rPr>
        <w:t>:</w:t>
      </w:r>
      <w:r w:rsidR="009563B4" w:rsidRPr="619CA689">
        <w:rPr>
          <w:rStyle w:val="FootnoteReference"/>
        </w:rPr>
        <w:footnoteReference w:id="92"/>
      </w:r>
      <w:r w:rsidR="009563B4" w:rsidRPr="003672EA">
        <w:rPr>
          <w:szCs w:val="21"/>
        </w:rPr>
        <w:t xml:space="preserve">  </w:t>
      </w:r>
    </w:p>
    <w:p w14:paraId="151C2E0D" w14:textId="6DAB46D8" w:rsidR="009563B4" w:rsidRPr="003672EA" w:rsidRDefault="009563B4" w:rsidP="001667C6">
      <w:pPr>
        <w:pStyle w:val="ListParagraph"/>
        <w:numPr>
          <w:ilvl w:val="0"/>
          <w:numId w:val="78"/>
        </w:numPr>
        <w:spacing w:after="80"/>
        <w:ind w:left="714" w:hanging="357"/>
        <w:contextualSpacing w:val="0"/>
        <w:rPr>
          <w:rFonts w:cstheme="minorHAnsi"/>
          <w:sz w:val="21"/>
          <w:szCs w:val="21"/>
        </w:rPr>
      </w:pPr>
      <w:r w:rsidRPr="003672EA">
        <w:rPr>
          <w:rFonts w:cstheme="minorHAnsi"/>
          <w:sz w:val="21"/>
          <w:szCs w:val="21"/>
        </w:rPr>
        <w:t xml:space="preserve">The project </w:t>
      </w:r>
      <w:r w:rsidR="004F6298" w:rsidRPr="003672EA">
        <w:rPr>
          <w:rFonts w:cstheme="minorHAnsi"/>
          <w:sz w:val="21"/>
          <w:szCs w:val="21"/>
        </w:rPr>
        <w:t xml:space="preserve">is the first of its kind in Angola to </w:t>
      </w:r>
      <w:r w:rsidRPr="003672EA">
        <w:rPr>
          <w:rFonts w:cstheme="minorHAnsi"/>
          <w:sz w:val="21"/>
          <w:szCs w:val="21"/>
        </w:rPr>
        <w:t xml:space="preserve">embrace and apply the LDN response hierarchy across </w:t>
      </w:r>
      <w:r w:rsidR="004F6298" w:rsidRPr="003672EA">
        <w:rPr>
          <w:rFonts w:cstheme="minorHAnsi"/>
          <w:sz w:val="21"/>
          <w:szCs w:val="21"/>
        </w:rPr>
        <w:t xml:space="preserve">municipal </w:t>
      </w:r>
      <w:r w:rsidRPr="003672EA">
        <w:rPr>
          <w:rFonts w:cstheme="minorHAnsi"/>
          <w:sz w:val="21"/>
          <w:szCs w:val="21"/>
        </w:rPr>
        <w:t xml:space="preserve">land management units within </w:t>
      </w:r>
      <w:r w:rsidR="004F6298" w:rsidRPr="003672EA">
        <w:rPr>
          <w:rFonts w:cstheme="minorHAnsi"/>
          <w:sz w:val="21"/>
          <w:szCs w:val="21"/>
        </w:rPr>
        <w:t xml:space="preserve">a </w:t>
      </w:r>
      <w:r w:rsidRPr="003672EA">
        <w:rPr>
          <w:rFonts w:cstheme="minorHAnsi"/>
          <w:sz w:val="21"/>
          <w:szCs w:val="21"/>
        </w:rPr>
        <w:t>targeted landscape</w:t>
      </w:r>
      <w:r w:rsidR="004F6298" w:rsidRPr="003672EA">
        <w:rPr>
          <w:rFonts w:cstheme="minorHAnsi"/>
          <w:sz w:val="21"/>
          <w:szCs w:val="21"/>
        </w:rPr>
        <w:t xml:space="preserve"> framework of sub-basins</w:t>
      </w:r>
      <w:r w:rsidRPr="003672EA">
        <w:rPr>
          <w:rFonts w:cstheme="minorHAnsi"/>
          <w:sz w:val="21"/>
          <w:szCs w:val="21"/>
        </w:rPr>
        <w:t xml:space="preserve"> to avoid, reduce and reverse land degradation. </w:t>
      </w:r>
      <w:r w:rsidR="004F6298" w:rsidRPr="003672EA">
        <w:rPr>
          <w:rFonts w:cstheme="minorHAnsi"/>
          <w:sz w:val="21"/>
          <w:szCs w:val="21"/>
        </w:rPr>
        <w:t xml:space="preserve">Moreover, interventions will be tracked and, ultimately, enable the Government to report to UNCCD on its progress nationally towards LDN, using </w:t>
      </w:r>
      <w:r w:rsidR="00B84184" w:rsidRPr="003672EA">
        <w:rPr>
          <w:rFonts w:cstheme="minorHAnsi"/>
          <w:sz w:val="21"/>
          <w:szCs w:val="21"/>
        </w:rPr>
        <w:lastRenderedPageBreak/>
        <w:t xml:space="preserve">methodologies, </w:t>
      </w:r>
      <w:r w:rsidR="004F6298" w:rsidRPr="003672EA">
        <w:rPr>
          <w:rFonts w:cstheme="minorHAnsi"/>
          <w:sz w:val="21"/>
          <w:szCs w:val="21"/>
        </w:rPr>
        <w:t xml:space="preserve">tools and monitoring systems </w:t>
      </w:r>
      <w:r w:rsidR="00B84184" w:rsidRPr="003672EA">
        <w:rPr>
          <w:rFonts w:cstheme="minorHAnsi"/>
          <w:sz w:val="21"/>
          <w:szCs w:val="21"/>
        </w:rPr>
        <w:t xml:space="preserve">aligned with the LDN principles and demonstrated </w:t>
      </w:r>
      <w:r w:rsidR="004F6298" w:rsidRPr="003672EA">
        <w:rPr>
          <w:rFonts w:cstheme="minorHAnsi"/>
          <w:sz w:val="21"/>
          <w:szCs w:val="21"/>
        </w:rPr>
        <w:t>by the project</w:t>
      </w:r>
      <w:r w:rsidRPr="003672EA">
        <w:rPr>
          <w:rFonts w:cstheme="minorHAnsi"/>
          <w:sz w:val="21"/>
          <w:szCs w:val="21"/>
        </w:rPr>
        <w:t xml:space="preserve">. </w:t>
      </w:r>
      <w:r w:rsidR="00B84184" w:rsidRPr="003672EA">
        <w:rPr>
          <w:rFonts w:cstheme="minorHAnsi"/>
          <w:sz w:val="21"/>
          <w:szCs w:val="21"/>
        </w:rPr>
        <w:t>A</w:t>
      </w:r>
      <w:r w:rsidRPr="003672EA">
        <w:rPr>
          <w:rFonts w:cstheme="minorHAnsi"/>
          <w:sz w:val="21"/>
          <w:szCs w:val="21"/>
        </w:rPr>
        <w:t xml:space="preserve">pplication of the LDN response hierarchy will be based on carefully </w:t>
      </w:r>
      <w:r w:rsidR="00B84184" w:rsidRPr="003672EA">
        <w:rPr>
          <w:rFonts w:cstheme="minorHAnsi"/>
          <w:sz w:val="21"/>
          <w:szCs w:val="21"/>
        </w:rPr>
        <w:t xml:space="preserve">designed </w:t>
      </w:r>
      <w:r w:rsidR="001B248C" w:rsidRPr="003672EA">
        <w:rPr>
          <w:rFonts w:cstheme="minorHAnsi"/>
          <w:sz w:val="21"/>
          <w:szCs w:val="21"/>
        </w:rPr>
        <w:t>land-use plan</w:t>
      </w:r>
      <w:r w:rsidR="00B84184" w:rsidRPr="003672EA">
        <w:rPr>
          <w:rFonts w:cstheme="minorHAnsi"/>
          <w:sz w:val="21"/>
          <w:szCs w:val="21"/>
        </w:rPr>
        <w:t>s</w:t>
      </w:r>
      <w:r w:rsidRPr="003672EA">
        <w:rPr>
          <w:rFonts w:cstheme="minorHAnsi"/>
          <w:sz w:val="21"/>
          <w:szCs w:val="21"/>
        </w:rPr>
        <w:t xml:space="preserve"> </w:t>
      </w:r>
      <w:r w:rsidR="00B84184" w:rsidRPr="003672EA">
        <w:rPr>
          <w:rFonts w:cstheme="minorHAnsi"/>
          <w:sz w:val="21"/>
          <w:szCs w:val="21"/>
        </w:rPr>
        <w:t xml:space="preserve">developed through inclusive participatory processes </w:t>
      </w:r>
      <w:r w:rsidRPr="003672EA">
        <w:rPr>
          <w:rFonts w:cstheme="minorHAnsi"/>
          <w:sz w:val="21"/>
          <w:szCs w:val="21"/>
        </w:rPr>
        <w:t xml:space="preserve">that </w:t>
      </w:r>
      <w:r w:rsidR="00B84184" w:rsidRPr="003672EA">
        <w:rPr>
          <w:rFonts w:cstheme="minorHAnsi"/>
          <w:sz w:val="21"/>
          <w:szCs w:val="21"/>
        </w:rPr>
        <w:t>are</w:t>
      </w:r>
      <w:r w:rsidRPr="003672EA">
        <w:rPr>
          <w:rFonts w:cstheme="minorHAnsi"/>
          <w:sz w:val="21"/>
          <w:szCs w:val="21"/>
        </w:rPr>
        <w:t xml:space="preserve"> cross-sectoral and </w:t>
      </w:r>
      <w:r w:rsidR="00B84184" w:rsidRPr="003672EA">
        <w:rPr>
          <w:rFonts w:cstheme="minorHAnsi"/>
          <w:sz w:val="21"/>
          <w:szCs w:val="21"/>
        </w:rPr>
        <w:t>integrated</w:t>
      </w:r>
      <w:r w:rsidRPr="003672EA">
        <w:rPr>
          <w:rFonts w:cstheme="minorHAnsi"/>
          <w:sz w:val="21"/>
          <w:szCs w:val="21"/>
        </w:rPr>
        <w:t xml:space="preserve">. </w:t>
      </w:r>
    </w:p>
    <w:p w14:paraId="751F6530" w14:textId="2F692881" w:rsidR="009563B4" w:rsidRPr="003672EA" w:rsidRDefault="003672EA" w:rsidP="001667C6">
      <w:pPr>
        <w:pStyle w:val="ListParagraph"/>
        <w:numPr>
          <w:ilvl w:val="0"/>
          <w:numId w:val="78"/>
        </w:numPr>
        <w:spacing w:after="80"/>
        <w:ind w:left="714" w:hanging="357"/>
        <w:contextualSpacing w:val="0"/>
        <w:rPr>
          <w:rFonts w:cstheme="minorHAnsi"/>
          <w:sz w:val="21"/>
          <w:szCs w:val="21"/>
        </w:rPr>
      </w:pPr>
      <w:r>
        <w:rPr>
          <w:rFonts w:cstheme="minorHAnsi"/>
          <w:sz w:val="21"/>
          <w:szCs w:val="21"/>
        </w:rPr>
        <w:t>Application of a</w:t>
      </w:r>
      <w:r w:rsidR="009563B4" w:rsidRPr="003672EA">
        <w:rPr>
          <w:rFonts w:cstheme="minorHAnsi"/>
          <w:sz w:val="21"/>
          <w:szCs w:val="21"/>
        </w:rPr>
        <w:t xml:space="preserve"> Landscape Approach </w:t>
      </w:r>
      <w:r>
        <w:rPr>
          <w:rFonts w:cstheme="minorHAnsi"/>
          <w:sz w:val="21"/>
          <w:szCs w:val="21"/>
        </w:rPr>
        <w:t xml:space="preserve">involves </w:t>
      </w:r>
      <w:r w:rsidR="009563B4" w:rsidRPr="003672EA">
        <w:rPr>
          <w:rFonts w:cstheme="minorHAnsi"/>
          <w:sz w:val="21"/>
          <w:szCs w:val="21"/>
        </w:rPr>
        <w:t xml:space="preserve">choosing an area large enough to </w:t>
      </w:r>
      <w:r w:rsidR="000555B6">
        <w:rPr>
          <w:rFonts w:cstheme="minorHAnsi"/>
          <w:sz w:val="21"/>
          <w:szCs w:val="21"/>
        </w:rPr>
        <w:t>envelop</w:t>
      </w:r>
      <w:r w:rsidR="00C13CA1" w:rsidRPr="003672EA">
        <w:rPr>
          <w:rFonts w:cstheme="minorHAnsi"/>
          <w:sz w:val="21"/>
          <w:szCs w:val="21"/>
        </w:rPr>
        <w:t xml:space="preserve"> </w:t>
      </w:r>
      <w:r w:rsidR="009563B4" w:rsidRPr="003672EA">
        <w:rPr>
          <w:rFonts w:cstheme="minorHAnsi"/>
          <w:sz w:val="21"/>
          <w:szCs w:val="21"/>
        </w:rPr>
        <w:t>multiple land units</w:t>
      </w:r>
      <w:r w:rsidR="00C13CA1">
        <w:rPr>
          <w:rFonts w:cstheme="minorHAnsi"/>
          <w:sz w:val="21"/>
          <w:szCs w:val="21"/>
        </w:rPr>
        <w:t>,</w:t>
      </w:r>
      <w:r w:rsidR="009563B4" w:rsidRPr="003672EA">
        <w:rPr>
          <w:rFonts w:cstheme="minorHAnsi"/>
          <w:sz w:val="21"/>
          <w:szCs w:val="21"/>
        </w:rPr>
        <w:t xml:space="preserve"> </w:t>
      </w:r>
      <w:r w:rsidR="00C13CA1">
        <w:rPr>
          <w:rFonts w:cstheme="minorHAnsi"/>
          <w:sz w:val="21"/>
          <w:szCs w:val="21"/>
        </w:rPr>
        <w:t xml:space="preserve">comprising </w:t>
      </w:r>
      <w:r w:rsidR="009563B4" w:rsidRPr="003672EA">
        <w:rPr>
          <w:rFonts w:cstheme="minorHAnsi"/>
          <w:sz w:val="21"/>
          <w:szCs w:val="21"/>
        </w:rPr>
        <w:t>a variety of land types</w:t>
      </w:r>
      <w:r w:rsidR="00C13CA1">
        <w:rPr>
          <w:rFonts w:cstheme="minorHAnsi"/>
          <w:sz w:val="21"/>
          <w:szCs w:val="21"/>
        </w:rPr>
        <w:t xml:space="preserve"> under different land uses</w:t>
      </w:r>
      <w:r w:rsidR="009563B4" w:rsidRPr="003672EA">
        <w:rPr>
          <w:rFonts w:cstheme="minorHAnsi"/>
          <w:sz w:val="21"/>
          <w:szCs w:val="21"/>
        </w:rPr>
        <w:t>, sectors and jurisdictions/administrative boundaries that are inclusive of different land tenure governance</w:t>
      </w:r>
      <w:r w:rsidR="00C13CA1">
        <w:rPr>
          <w:rFonts w:cstheme="minorHAnsi"/>
          <w:sz w:val="21"/>
          <w:szCs w:val="21"/>
        </w:rPr>
        <w:t xml:space="preserve"> systems</w:t>
      </w:r>
      <w:r w:rsidR="009563B4" w:rsidRPr="003672EA">
        <w:rPr>
          <w:rFonts w:cstheme="minorHAnsi"/>
          <w:sz w:val="21"/>
          <w:szCs w:val="21"/>
        </w:rPr>
        <w:t xml:space="preserve"> (communal, privately leased and public land)</w:t>
      </w:r>
      <w:r w:rsidR="00C13CA1">
        <w:rPr>
          <w:rFonts w:cstheme="minorHAnsi"/>
          <w:sz w:val="21"/>
          <w:szCs w:val="21"/>
        </w:rPr>
        <w:t>.</w:t>
      </w:r>
    </w:p>
    <w:p w14:paraId="6C943AF2" w14:textId="4F34D399" w:rsidR="009563B4" w:rsidRPr="00033077" w:rsidRDefault="009563B4" w:rsidP="001667C6">
      <w:pPr>
        <w:pStyle w:val="ListParagraph"/>
        <w:numPr>
          <w:ilvl w:val="0"/>
          <w:numId w:val="78"/>
        </w:numPr>
        <w:spacing w:after="80"/>
        <w:ind w:left="714" w:hanging="357"/>
        <w:contextualSpacing w:val="0"/>
        <w:rPr>
          <w:rFonts w:cstheme="minorHAnsi"/>
          <w:sz w:val="21"/>
          <w:szCs w:val="21"/>
        </w:rPr>
      </w:pPr>
      <w:r w:rsidRPr="003672EA">
        <w:rPr>
          <w:rFonts w:cstheme="minorHAnsi"/>
          <w:sz w:val="21"/>
          <w:szCs w:val="21"/>
        </w:rPr>
        <w:t>The project will employ science-based</w:t>
      </w:r>
      <w:r w:rsidR="00C13CA1">
        <w:rPr>
          <w:rFonts w:cstheme="minorHAnsi"/>
          <w:sz w:val="21"/>
          <w:szCs w:val="21"/>
        </w:rPr>
        <w:t>,</w:t>
      </w:r>
      <w:r w:rsidRPr="003672EA">
        <w:rPr>
          <w:rFonts w:cstheme="minorHAnsi"/>
          <w:sz w:val="21"/>
          <w:szCs w:val="21"/>
        </w:rPr>
        <w:t xml:space="preserve"> local and indigenous knowledge</w:t>
      </w:r>
      <w:r w:rsidR="00C13CA1">
        <w:rPr>
          <w:rFonts w:cstheme="minorHAnsi"/>
          <w:sz w:val="21"/>
          <w:szCs w:val="21"/>
        </w:rPr>
        <w:t>,</w:t>
      </w:r>
      <w:r w:rsidRPr="003672EA">
        <w:rPr>
          <w:rFonts w:cstheme="minorHAnsi"/>
          <w:sz w:val="21"/>
          <w:szCs w:val="21"/>
        </w:rPr>
        <w:t xml:space="preserve"> as well as best practices including </w:t>
      </w:r>
      <w:r w:rsidR="00C13CA1">
        <w:rPr>
          <w:rFonts w:cstheme="minorHAnsi"/>
          <w:sz w:val="21"/>
          <w:szCs w:val="21"/>
        </w:rPr>
        <w:t>SLM</w:t>
      </w:r>
      <w:r w:rsidRPr="003672EA">
        <w:rPr>
          <w:rFonts w:cstheme="minorHAnsi"/>
          <w:sz w:val="21"/>
          <w:szCs w:val="21"/>
        </w:rPr>
        <w:t xml:space="preserve"> that contributes to land-based climate change adaptation and mitigation. </w:t>
      </w:r>
      <w:r w:rsidR="00C13CA1">
        <w:rPr>
          <w:rFonts w:cstheme="minorHAnsi"/>
          <w:sz w:val="21"/>
          <w:szCs w:val="21"/>
        </w:rPr>
        <w:t>It</w:t>
      </w:r>
      <w:r w:rsidRPr="00C13CA1">
        <w:rPr>
          <w:rFonts w:cstheme="minorHAnsi"/>
          <w:sz w:val="21"/>
          <w:szCs w:val="21"/>
        </w:rPr>
        <w:t xml:space="preserve"> will support and deploy technical innovations through improved extension services</w:t>
      </w:r>
      <w:r w:rsidR="00033077">
        <w:rPr>
          <w:rFonts w:cstheme="minorHAnsi"/>
          <w:sz w:val="21"/>
          <w:szCs w:val="21"/>
        </w:rPr>
        <w:t xml:space="preserve">. Examples are </w:t>
      </w:r>
      <w:r w:rsidRPr="00C13CA1">
        <w:rPr>
          <w:rFonts w:cstheme="minorHAnsi"/>
          <w:sz w:val="21"/>
          <w:szCs w:val="21"/>
        </w:rPr>
        <w:t>use</w:t>
      </w:r>
      <w:r w:rsidR="00C13CA1">
        <w:rPr>
          <w:rFonts w:cstheme="minorHAnsi"/>
          <w:sz w:val="21"/>
          <w:szCs w:val="21"/>
        </w:rPr>
        <w:t xml:space="preserve"> of</w:t>
      </w:r>
      <w:r w:rsidRPr="00C13CA1">
        <w:rPr>
          <w:rFonts w:cstheme="minorHAnsi"/>
          <w:sz w:val="21"/>
          <w:szCs w:val="21"/>
        </w:rPr>
        <w:t xml:space="preserve"> drones </w:t>
      </w:r>
      <w:r w:rsidR="00C13CA1">
        <w:rPr>
          <w:rFonts w:cstheme="minorHAnsi"/>
          <w:sz w:val="21"/>
          <w:szCs w:val="21"/>
        </w:rPr>
        <w:t>to</w:t>
      </w:r>
      <w:r w:rsidR="00C13CA1" w:rsidRPr="00C13CA1">
        <w:rPr>
          <w:rFonts w:cstheme="minorHAnsi"/>
          <w:sz w:val="21"/>
          <w:szCs w:val="21"/>
        </w:rPr>
        <w:t xml:space="preserve"> </w:t>
      </w:r>
      <w:r w:rsidRPr="00C13CA1">
        <w:rPr>
          <w:rFonts w:cstheme="minorHAnsi"/>
          <w:sz w:val="21"/>
          <w:szCs w:val="21"/>
        </w:rPr>
        <w:t xml:space="preserve">survey </w:t>
      </w:r>
      <w:r w:rsidR="00033077">
        <w:rPr>
          <w:rFonts w:cstheme="minorHAnsi"/>
          <w:sz w:val="21"/>
          <w:szCs w:val="21"/>
        </w:rPr>
        <w:t xml:space="preserve">and map </w:t>
      </w:r>
      <w:r w:rsidRPr="00C13CA1">
        <w:rPr>
          <w:rFonts w:cstheme="minorHAnsi"/>
          <w:sz w:val="21"/>
          <w:szCs w:val="21"/>
        </w:rPr>
        <w:t>landscapes</w:t>
      </w:r>
      <w:r w:rsidR="00C13CA1">
        <w:rPr>
          <w:rFonts w:cstheme="minorHAnsi"/>
          <w:sz w:val="21"/>
          <w:szCs w:val="21"/>
        </w:rPr>
        <w:t>/</w:t>
      </w:r>
      <w:r w:rsidRPr="00C13CA1">
        <w:rPr>
          <w:rFonts w:cstheme="minorHAnsi"/>
          <w:sz w:val="21"/>
          <w:szCs w:val="21"/>
        </w:rPr>
        <w:t>terrain</w:t>
      </w:r>
      <w:r w:rsidR="00033077">
        <w:rPr>
          <w:rFonts w:cstheme="minorHAnsi"/>
          <w:sz w:val="21"/>
          <w:szCs w:val="21"/>
        </w:rPr>
        <w:t>, alongside</w:t>
      </w:r>
      <w:r w:rsidRPr="00C13CA1">
        <w:rPr>
          <w:rFonts w:cstheme="minorHAnsi"/>
          <w:sz w:val="21"/>
          <w:szCs w:val="21"/>
        </w:rPr>
        <w:t xml:space="preserve"> </w:t>
      </w:r>
      <w:r w:rsidR="007B0C94">
        <w:rPr>
          <w:rFonts w:cstheme="minorHAnsi"/>
          <w:sz w:val="21"/>
          <w:szCs w:val="21"/>
        </w:rPr>
        <w:t xml:space="preserve">working with communities to fill in </w:t>
      </w:r>
      <w:r w:rsidR="00B33376" w:rsidRPr="00C13CA1">
        <w:rPr>
          <w:rFonts w:cstheme="minorHAnsi"/>
          <w:sz w:val="21"/>
          <w:szCs w:val="21"/>
        </w:rPr>
        <w:t xml:space="preserve">land-use </w:t>
      </w:r>
      <w:r w:rsidR="007B0C94">
        <w:rPr>
          <w:rFonts w:cstheme="minorHAnsi"/>
          <w:sz w:val="21"/>
          <w:szCs w:val="21"/>
        </w:rPr>
        <w:t>details</w:t>
      </w:r>
      <w:r w:rsidR="00033077">
        <w:rPr>
          <w:rFonts w:cstheme="minorHAnsi"/>
          <w:sz w:val="21"/>
          <w:szCs w:val="21"/>
        </w:rPr>
        <w:t>;</w:t>
      </w:r>
      <w:r w:rsidRPr="00C13CA1">
        <w:rPr>
          <w:rFonts w:cstheme="minorHAnsi"/>
          <w:sz w:val="21"/>
          <w:szCs w:val="21"/>
        </w:rPr>
        <w:t xml:space="preserve"> </w:t>
      </w:r>
      <w:r w:rsidR="00033077">
        <w:rPr>
          <w:rFonts w:cstheme="minorHAnsi"/>
          <w:sz w:val="21"/>
          <w:szCs w:val="21"/>
        </w:rPr>
        <w:t>and u</w:t>
      </w:r>
      <w:r w:rsidRPr="00C13CA1">
        <w:rPr>
          <w:rFonts w:cstheme="minorHAnsi"/>
          <w:sz w:val="21"/>
          <w:szCs w:val="21"/>
        </w:rPr>
        <w:t>se of mobile technology for disseminating information on market price</w:t>
      </w:r>
      <w:r w:rsidR="007B0C94">
        <w:rPr>
          <w:rFonts w:cstheme="minorHAnsi"/>
          <w:sz w:val="21"/>
          <w:szCs w:val="21"/>
        </w:rPr>
        <w:t>s</w:t>
      </w:r>
      <w:r w:rsidRPr="00C13CA1">
        <w:rPr>
          <w:rFonts w:cstheme="minorHAnsi"/>
          <w:sz w:val="21"/>
          <w:szCs w:val="21"/>
        </w:rPr>
        <w:t xml:space="preserve"> of agricultural produce</w:t>
      </w:r>
      <w:r w:rsidR="007B0C94">
        <w:rPr>
          <w:rFonts w:cstheme="minorHAnsi"/>
          <w:sz w:val="21"/>
          <w:szCs w:val="21"/>
        </w:rPr>
        <w:t>,</w:t>
      </w:r>
      <w:r w:rsidRPr="00C13CA1">
        <w:rPr>
          <w:rFonts w:cstheme="minorHAnsi"/>
          <w:sz w:val="21"/>
          <w:szCs w:val="21"/>
        </w:rPr>
        <w:t xml:space="preserve"> </w:t>
      </w:r>
      <w:r w:rsidR="007B0C94">
        <w:rPr>
          <w:rFonts w:cstheme="minorHAnsi"/>
          <w:sz w:val="21"/>
          <w:szCs w:val="21"/>
        </w:rPr>
        <w:t>c</w:t>
      </w:r>
      <w:r w:rsidRPr="00C13CA1">
        <w:rPr>
          <w:rFonts w:cstheme="minorHAnsi"/>
          <w:sz w:val="21"/>
          <w:szCs w:val="21"/>
        </w:rPr>
        <w:t>rowd</w:t>
      </w:r>
      <w:r w:rsidR="007B0C94">
        <w:rPr>
          <w:rFonts w:cstheme="minorHAnsi"/>
          <w:sz w:val="21"/>
          <w:szCs w:val="21"/>
        </w:rPr>
        <w:t>-</w:t>
      </w:r>
      <w:r w:rsidRPr="00C13CA1">
        <w:rPr>
          <w:rFonts w:cstheme="minorHAnsi"/>
          <w:sz w:val="21"/>
          <w:szCs w:val="21"/>
        </w:rPr>
        <w:t>sourc</w:t>
      </w:r>
      <w:r w:rsidR="007B0C94">
        <w:rPr>
          <w:rFonts w:cstheme="minorHAnsi"/>
          <w:sz w:val="21"/>
          <w:szCs w:val="21"/>
        </w:rPr>
        <w:t>ing</w:t>
      </w:r>
      <w:r w:rsidRPr="00C13CA1">
        <w:rPr>
          <w:rFonts w:cstheme="minorHAnsi"/>
          <w:sz w:val="21"/>
          <w:szCs w:val="21"/>
        </w:rPr>
        <w:t xml:space="preserve"> among local communities </w:t>
      </w:r>
      <w:r w:rsidR="00033077">
        <w:rPr>
          <w:rFonts w:cstheme="minorHAnsi"/>
          <w:sz w:val="21"/>
          <w:szCs w:val="21"/>
        </w:rPr>
        <w:t xml:space="preserve">and monitoring production in target LMUs. </w:t>
      </w:r>
    </w:p>
    <w:p w14:paraId="09B83310" w14:textId="45CBD99B" w:rsidR="000555B6" w:rsidRDefault="000555B6" w:rsidP="001667C6">
      <w:pPr>
        <w:pStyle w:val="ListParagraph"/>
        <w:numPr>
          <w:ilvl w:val="0"/>
          <w:numId w:val="78"/>
        </w:numPr>
        <w:spacing w:after="160"/>
        <w:ind w:left="714" w:hanging="357"/>
        <w:contextualSpacing w:val="0"/>
        <w:rPr>
          <w:rFonts w:eastAsia="Calibri" w:cstheme="minorHAnsi"/>
          <w:color w:val="auto"/>
          <w:sz w:val="21"/>
          <w:szCs w:val="21"/>
          <w:shd w:val="clear" w:color="auto" w:fill="FFFFFF"/>
        </w:rPr>
      </w:pPr>
      <w:r w:rsidRPr="003672EA">
        <w:rPr>
          <w:rFonts w:eastAsia="Calibri" w:cstheme="minorHAnsi"/>
          <w:color w:val="auto"/>
          <w:sz w:val="21"/>
          <w:szCs w:val="21"/>
          <w:shd w:val="clear" w:color="auto" w:fill="FFFFFF"/>
        </w:rPr>
        <w:t xml:space="preserve">Although </w:t>
      </w:r>
      <w:r>
        <w:rPr>
          <w:rFonts w:eastAsia="Calibri" w:cstheme="minorHAnsi"/>
          <w:color w:val="auto"/>
          <w:sz w:val="21"/>
          <w:szCs w:val="21"/>
          <w:shd w:val="clear" w:color="auto" w:fill="FFFFFF"/>
        </w:rPr>
        <w:t xml:space="preserve">practiced </w:t>
      </w:r>
      <w:r w:rsidRPr="003672EA">
        <w:rPr>
          <w:rFonts w:eastAsia="Calibri" w:cstheme="minorHAnsi"/>
          <w:color w:val="auto"/>
          <w:sz w:val="21"/>
          <w:szCs w:val="21"/>
          <w:shd w:val="clear" w:color="auto" w:fill="FFFFFF"/>
        </w:rPr>
        <w:t xml:space="preserve">in other parts of Africa, </w:t>
      </w:r>
      <w:r>
        <w:rPr>
          <w:rFonts w:eastAsia="Calibri" w:cstheme="minorHAnsi"/>
          <w:color w:val="auto"/>
          <w:sz w:val="21"/>
          <w:szCs w:val="21"/>
          <w:shd w:val="clear" w:color="auto" w:fill="FFFFFF"/>
        </w:rPr>
        <w:t>c</w:t>
      </w:r>
      <w:r w:rsidRPr="003672EA">
        <w:rPr>
          <w:rFonts w:eastAsia="Calibri" w:cstheme="minorHAnsi"/>
          <w:color w:val="auto"/>
          <w:sz w:val="21"/>
          <w:szCs w:val="21"/>
          <w:shd w:val="clear" w:color="auto" w:fill="FFFFFF"/>
        </w:rPr>
        <w:t>ommunity</w:t>
      </w:r>
      <w:r>
        <w:rPr>
          <w:rFonts w:eastAsia="Calibri" w:cstheme="minorHAnsi"/>
          <w:color w:val="auto"/>
          <w:sz w:val="21"/>
          <w:szCs w:val="21"/>
          <w:shd w:val="clear" w:color="auto" w:fill="FFFFFF"/>
        </w:rPr>
        <w:t>-</w:t>
      </w:r>
      <w:r w:rsidRPr="003672EA">
        <w:rPr>
          <w:rFonts w:eastAsia="Calibri" w:cstheme="minorHAnsi"/>
          <w:color w:val="auto"/>
          <w:sz w:val="21"/>
          <w:szCs w:val="21"/>
          <w:shd w:val="clear" w:color="auto" w:fill="FFFFFF"/>
        </w:rPr>
        <w:t>based forest management (CBFM) is a novelty in Angola</w:t>
      </w:r>
      <w:r>
        <w:rPr>
          <w:rFonts w:eastAsia="Calibri" w:cstheme="minorHAnsi"/>
          <w:color w:val="auto"/>
          <w:sz w:val="21"/>
          <w:szCs w:val="21"/>
          <w:shd w:val="clear" w:color="auto" w:fill="FFFFFF"/>
        </w:rPr>
        <w:t xml:space="preserve"> requiring</w:t>
      </w:r>
      <w:r w:rsidRPr="003672EA">
        <w:rPr>
          <w:rFonts w:eastAsia="Calibri" w:cstheme="minorHAnsi"/>
          <w:color w:val="auto"/>
          <w:sz w:val="21"/>
          <w:szCs w:val="21"/>
          <w:shd w:val="clear" w:color="auto" w:fill="FFFFFF"/>
        </w:rPr>
        <w:t xml:space="preserve"> innovative ways</w:t>
      </w:r>
      <w:r>
        <w:rPr>
          <w:rFonts w:eastAsia="Calibri" w:cstheme="minorHAnsi"/>
          <w:color w:val="auto"/>
          <w:sz w:val="21"/>
          <w:szCs w:val="21"/>
          <w:shd w:val="clear" w:color="auto" w:fill="FFFFFF"/>
        </w:rPr>
        <w:t xml:space="preserve"> to overcome certain </w:t>
      </w:r>
      <w:r w:rsidRPr="003672EA">
        <w:rPr>
          <w:rFonts w:eastAsia="Calibri" w:cstheme="minorHAnsi"/>
          <w:color w:val="auto"/>
          <w:sz w:val="21"/>
          <w:szCs w:val="21"/>
          <w:shd w:val="clear" w:color="auto" w:fill="FFFFFF"/>
        </w:rPr>
        <w:t>challenges to be overcome</w:t>
      </w:r>
      <w:r>
        <w:rPr>
          <w:rFonts w:eastAsia="Calibri" w:cstheme="minorHAnsi"/>
          <w:color w:val="auto"/>
          <w:sz w:val="21"/>
          <w:szCs w:val="21"/>
          <w:shd w:val="clear" w:color="auto" w:fill="FFFFFF"/>
        </w:rPr>
        <w:t>, such as</w:t>
      </w:r>
      <w:r w:rsidRPr="003672EA">
        <w:rPr>
          <w:rFonts w:eastAsia="Calibri" w:cstheme="minorHAnsi"/>
          <w:color w:val="auto"/>
          <w:sz w:val="21"/>
          <w:szCs w:val="21"/>
          <w:shd w:val="clear" w:color="auto" w:fill="FFFFFF"/>
        </w:rPr>
        <w:t xml:space="preserve"> anchoring CBFM at the national level </w:t>
      </w:r>
      <w:r>
        <w:rPr>
          <w:rFonts w:eastAsia="Calibri" w:cstheme="minorHAnsi"/>
          <w:color w:val="auto"/>
          <w:sz w:val="21"/>
          <w:szCs w:val="21"/>
          <w:shd w:val="clear" w:color="auto" w:fill="FFFFFF"/>
        </w:rPr>
        <w:t xml:space="preserve">while </w:t>
      </w:r>
      <w:r w:rsidRPr="003672EA">
        <w:rPr>
          <w:rFonts w:eastAsia="Calibri" w:cstheme="minorHAnsi"/>
          <w:color w:val="auto"/>
          <w:sz w:val="21"/>
          <w:szCs w:val="21"/>
          <w:shd w:val="clear" w:color="auto" w:fill="FFFFFF"/>
        </w:rPr>
        <w:t>ensur</w:t>
      </w:r>
      <w:r>
        <w:rPr>
          <w:rFonts w:eastAsia="Calibri" w:cstheme="minorHAnsi"/>
          <w:color w:val="auto"/>
          <w:sz w:val="21"/>
          <w:szCs w:val="21"/>
          <w:shd w:val="clear" w:color="auto" w:fill="FFFFFF"/>
        </w:rPr>
        <w:t>ing</w:t>
      </w:r>
      <w:r w:rsidRPr="003672EA">
        <w:rPr>
          <w:rFonts w:eastAsia="Calibri" w:cstheme="minorHAnsi"/>
          <w:color w:val="auto"/>
          <w:sz w:val="21"/>
          <w:szCs w:val="21"/>
          <w:shd w:val="clear" w:color="auto" w:fill="FFFFFF"/>
        </w:rPr>
        <w:t xml:space="preserve"> a sense of stewardship among the local communities through a joint land-use covenant.</w:t>
      </w:r>
    </w:p>
    <w:p w14:paraId="456B296E" w14:textId="55E694F3" w:rsidR="000555B6" w:rsidRDefault="000555B6" w:rsidP="001667C6">
      <w:pPr>
        <w:pStyle w:val="ListParagraph"/>
        <w:numPr>
          <w:ilvl w:val="0"/>
          <w:numId w:val="78"/>
        </w:numPr>
        <w:spacing w:after="160"/>
        <w:ind w:left="714" w:hanging="357"/>
        <w:contextualSpacing w:val="0"/>
        <w:rPr>
          <w:rFonts w:eastAsia="Calibri" w:cstheme="minorHAnsi"/>
          <w:color w:val="auto"/>
          <w:sz w:val="21"/>
          <w:szCs w:val="21"/>
          <w:shd w:val="clear" w:color="auto" w:fill="FFFFFF"/>
        </w:rPr>
      </w:pPr>
      <w:r>
        <w:rPr>
          <w:rFonts w:eastAsia="Calibri" w:cstheme="minorHAnsi"/>
          <w:color w:val="auto"/>
          <w:sz w:val="21"/>
          <w:szCs w:val="21"/>
          <w:shd w:val="clear" w:color="auto" w:fill="FFFFFF"/>
        </w:rPr>
        <w:t>Other innovative aspects of the project include the radical development of a network Farmer Field Schools</w:t>
      </w:r>
      <w:r w:rsidR="003B3270">
        <w:rPr>
          <w:rFonts w:eastAsia="Calibri" w:cstheme="minorHAnsi"/>
          <w:color w:val="auto"/>
          <w:sz w:val="21"/>
          <w:szCs w:val="21"/>
          <w:shd w:val="clear" w:color="auto" w:fill="FFFFFF"/>
        </w:rPr>
        <w:t xml:space="preserve"> as nodes of training and outreach, reinforced by Forest Farm Facilities set up with seed funds by the project. The latter has yet to piloted in Angola. These initiatives, together with a focus on green value chains, such as honey and charcoal</w:t>
      </w:r>
      <w:r w:rsidR="003B3270" w:rsidRPr="003B3270">
        <w:rPr>
          <w:rFonts w:eastAsia="Calibri" w:cstheme="minorHAnsi"/>
          <w:color w:val="auto"/>
          <w:sz w:val="21"/>
          <w:szCs w:val="21"/>
          <w:shd w:val="clear" w:color="auto" w:fill="FFFFFF"/>
        </w:rPr>
        <w:t xml:space="preserve"> </w:t>
      </w:r>
      <w:r w:rsidR="003B3270">
        <w:rPr>
          <w:rFonts w:eastAsia="Calibri" w:cstheme="minorHAnsi"/>
          <w:color w:val="auto"/>
          <w:sz w:val="21"/>
          <w:szCs w:val="21"/>
          <w:shd w:val="clear" w:color="auto" w:fill="FFFFFF"/>
        </w:rPr>
        <w:t>production, will help to reinforce and consolidate SLM/SFM efforts towards LDN in the 18 project intervention sites</w:t>
      </w:r>
      <w:r w:rsidR="008D1241">
        <w:rPr>
          <w:rFonts w:eastAsia="Calibri" w:cstheme="minorHAnsi"/>
          <w:color w:val="auto"/>
          <w:sz w:val="21"/>
          <w:szCs w:val="21"/>
          <w:shd w:val="clear" w:color="auto" w:fill="FFFFFF"/>
        </w:rPr>
        <w:t>.</w:t>
      </w:r>
    </w:p>
    <w:p w14:paraId="3CD8E18C" w14:textId="0187AC4B" w:rsidR="009563B4" w:rsidRPr="00F252FB" w:rsidRDefault="09E594E7" w:rsidP="001667C6">
      <w:pPr>
        <w:pStyle w:val="ParagraphOED"/>
        <w:numPr>
          <w:ilvl w:val="0"/>
          <w:numId w:val="102"/>
        </w:numPr>
        <w:spacing w:after="160"/>
      </w:pPr>
      <w:r>
        <w:t xml:space="preserve">Sustainability is inherent in the design of the project, key elements </w:t>
      </w:r>
      <w:r w:rsidR="20C4A135">
        <w:t>being: the institutionali</w:t>
      </w:r>
      <w:r w:rsidR="50CB87A1">
        <w:t>s</w:t>
      </w:r>
      <w:r w:rsidR="20C4A135">
        <w:t>ation  of certain aspects of the Capacity Development Program, notably the training modules, to ensure continuity post-project, and certain mechanism and platforms such as the LDN Working Group</w:t>
      </w:r>
    </w:p>
    <w:p w14:paraId="27B61F48" w14:textId="2AA488DE" w:rsidR="008A15AA" w:rsidRDefault="008A15AA" w:rsidP="001667C6">
      <w:pPr>
        <w:pStyle w:val="ParagraphOED"/>
        <w:numPr>
          <w:ilvl w:val="0"/>
          <w:numId w:val="102"/>
        </w:numPr>
        <w:rPr>
          <w:lang w:val="en-GB"/>
        </w:rPr>
      </w:pPr>
      <w:r w:rsidRPr="1E65A5F7">
        <w:rPr>
          <w:b/>
          <w:bCs/>
          <w:lang w:val="en-GB"/>
        </w:rPr>
        <w:t>Sustainability</w:t>
      </w:r>
      <w:r w:rsidRPr="1E65A5F7">
        <w:rPr>
          <w:lang w:val="en-GB"/>
        </w:rPr>
        <w:t xml:space="preserve"> </w:t>
      </w:r>
      <w:r w:rsidR="002351DF" w:rsidRPr="1E65A5F7">
        <w:rPr>
          <w:lang w:val="en-GB"/>
        </w:rPr>
        <w:t>is</w:t>
      </w:r>
      <w:r w:rsidRPr="1E65A5F7">
        <w:rPr>
          <w:lang w:val="en-GB"/>
        </w:rPr>
        <w:t xml:space="preserve"> inherent in the design of this project and underpinned by adopting </w:t>
      </w:r>
      <w:r w:rsidRPr="1E65A5F7">
        <w:rPr>
          <w:u w:val="single"/>
          <w:lang w:val="en-GB"/>
        </w:rPr>
        <w:t>existing</w:t>
      </w:r>
      <w:r w:rsidRPr="1E65A5F7">
        <w:rPr>
          <w:lang w:val="en-GB"/>
        </w:rPr>
        <w:t xml:space="preserve"> land-use planning processes, and </w:t>
      </w:r>
      <w:r w:rsidR="00731673" w:rsidRPr="1E65A5F7">
        <w:rPr>
          <w:lang w:val="en-GB"/>
        </w:rPr>
        <w:t>improving</w:t>
      </w:r>
      <w:r w:rsidRPr="1E65A5F7">
        <w:rPr>
          <w:lang w:val="en-GB"/>
        </w:rPr>
        <w:t xml:space="preserve"> them to achieve LDN targets through SLM and SFM best practices applied at landscape (sub-basin) levels. Enhanced environmental resilience to anthropogenic and natural shocks, associated with the increased a</w:t>
      </w:r>
      <w:r w:rsidR="002351DF" w:rsidRPr="1E65A5F7">
        <w:rPr>
          <w:lang w:val="en-GB"/>
        </w:rPr>
        <w:t>pplication</w:t>
      </w:r>
      <w:r w:rsidRPr="1E65A5F7">
        <w:rPr>
          <w:lang w:val="en-GB"/>
        </w:rPr>
        <w:t xml:space="preserve"> of SLM and SFM at the landscape level, will </w:t>
      </w:r>
      <w:r w:rsidR="002351DF" w:rsidRPr="1E65A5F7">
        <w:rPr>
          <w:lang w:val="en-GB"/>
        </w:rPr>
        <w:t>enable</w:t>
      </w:r>
      <w:r w:rsidRPr="1E65A5F7">
        <w:rPr>
          <w:lang w:val="en-GB"/>
        </w:rPr>
        <w:t xml:space="preserve"> ecosystems to continue providing essential services in the future. Long-term sustainability will also be ensured through the highly </w:t>
      </w:r>
      <w:r w:rsidR="002351DF" w:rsidRPr="1E65A5F7">
        <w:rPr>
          <w:lang w:val="en-GB"/>
        </w:rPr>
        <w:t xml:space="preserve">inclusive </w:t>
      </w:r>
      <w:r w:rsidRPr="1E65A5F7">
        <w:rPr>
          <w:lang w:val="en-GB"/>
        </w:rPr>
        <w:t xml:space="preserve">participatory process adopted by the </w:t>
      </w:r>
      <w:r w:rsidR="002351DF" w:rsidRPr="1E65A5F7">
        <w:rPr>
          <w:lang w:val="en-GB"/>
        </w:rPr>
        <w:t xml:space="preserve">project, </w:t>
      </w:r>
      <w:r w:rsidRPr="1E65A5F7">
        <w:rPr>
          <w:lang w:val="en-GB"/>
        </w:rPr>
        <w:t>which will contribute to re</w:t>
      </w:r>
      <w:r w:rsidR="002351DF" w:rsidRPr="1E65A5F7">
        <w:rPr>
          <w:lang w:val="en-GB"/>
        </w:rPr>
        <w:t>solving</w:t>
      </w:r>
      <w:r w:rsidRPr="1E65A5F7">
        <w:rPr>
          <w:lang w:val="en-GB"/>
        </w:rPr>
        <w:t xml:space="preserve"> conflicts over land uses and secure ownership of the project’s interventions and objectives. In addition, the project </w:t>
      </w:r>
      <w:r w:rsidR="002351DF" w:rsidRPr="1E65A5F7">
        <w:rPr>
          <w:lang w:val="en-GB"/>
        </w:rPr>
        <w:t>will</w:t>
      </w:r>
      <w:r w:rsidRPr="1E65A5F7">
        <w:rPr>
          <w:lang w:val="en-GB"/>
        </w:rPr>
        <w:t xml:space="preserve"> strengthen capacity at national and local levels to manage and restore dryland ecosystems through training and its institionalisation, which will ultimately help to ensure that SLM/SFM and LDN are well integrated into policy frameworks at all scales. Furthermore, the project will green value chains </w:t>
      </w:r>
      <w:r w:rsidR="002351DF" w:rsidRPr="1E65A5F7">
        <w:rPr>
          <w:lang w:val="en-GB"/>
        </w:rPr>
        <w:t>by linking them with</w:t>
      </w:r>
      <w:r w:rsidRPr="1E65A5F7">
        <w:rPr>
          <w:lang w:val="en-GB"/>
        </w:rPr>
        <w:t xml:space="preserve"> sustainable land use management and production practices, thereby increasing the financial security of households involved in th</w:t>
      </w:r>
      <w:r w:rsidR="002351DF" w:rsidRPr="1E65A5F7">
        <w:rPr>
          <w:lang w:val="en-GB"/>
        </w:rPr>
        <w:t>e</w:t>
      </w:r>
      <w:r w:rsidRPr="1E65A5F7">
        <w:rPr>
          <w:lang w:val="en-GB"/>
        </w:rPr>
        <w:t>se value chains as they become more formally established, with robust business plans geared towards self-sufficiency within or just beyond the project</w:t>
      </w:r>
      <w:r w:rsidR="002351DF" w:rsidRPr="1E65A5F7">
        <w:rPr>
          <w:lang w:val="en-GB"/>
        </w:rPr>
        <w:t xml:space="preserve"> </w:t>
      </w:r>
      <w:r w:rsidRPr="1E65A5F7">
        <w:rPr>
          <w:lang w:val="en-GB"/>
        </w:rPr>
        <w:t xml:space="preserve">implementation period. </w:t>
      </w:r>
    </w:p>
    <w:p w14:paraId="10DAC7D4" w14:textId="77EEC940" w:rsidR="008A15AA" w:rsidRDefault="6C29D891" w:rsidP="001667C6">
      <w:pPr>
        <w:pStyle w:val="ParagraphOED"/>
        <w:numPr>
          <w:ilvl w:val="0"/>
          <w:numId w:val="102"/>
        </w:numPr>
        <w:rPr>
          <w:lang w:val="en-GB"/>
        </w:rPr>
      </w:pPr>
      <w:r w:rsidRPr="0034637D">
        <w:rPr>
          <w:b/>
          <w:bCs/>
          <w:lang w:val="en-GB"/>
        </w:rPr>
        <w:t>Scaling upwards</w:t>
      </w:r>
      <w:r>
        <w:rPr>
          <w:b/>
          <w:bCs/>
          <w:lang w:val="en-GB"/>
        </w:rPr>
        <w:t>,</w:t>
      </w:r>
      <w:r w:rsidRPr="0034637D">
        <w:rPr>
          <w:b/>
          <w:bCs/>
          <w:lang w:val="en-GB"/>
        </w:rPr>
        <w:t xml:space="preserve"> outwards</w:t>
      </w:r>
      <w:r>
        <w:rPr>
          <w:lang w:val="en-GB"/>
        </w:rPr>
        <w:t xml:space="preserve"> and </w:t>
      </w:r>
      <w:r w:rsidRPr="0034637D">
        <w:rPr>
          <w:b/>
          <w:bCs/>
          <w:lang w:val="en-GB"/>
        </w:rPr>
        <w:t>downwards</w:t>
      </w:r>
      <w:r>
        <w:rPr>
          <w:lang w:val="en-GB"/>
        </w:rPr>
        <w:t xml:space="preserve"> is a critical</w:t>
      </w:r>
      <w:r w:rsidR="13D9C5D8">
        <w:rPr>
          <w:lang w:val="en-GB"/>
        </w:rPr>
        <w:t>ly</w:t>
      </w:r>
      <w:r>
        <w:rPr>
          <w:lang w:val="en-GB"/>
        </w:rPr>
        <w:t xml:space="preserve"> important part of the project’s strategy about which much has been stated above and earlier in the Component descriptions. </w:t>
      </w:r>
      <w:r w:rsidR="7CC3B6DD" w:rsidRPr="008F1E98">
        <w:t>In line with GEF STAP recommended guidance on scaling out, up and deep</w:t>
      </w:r>
      <w:r w:rsidR="006D0D82">
        <w:rPr>
          <w:rStyle w:val="FootnoteReference"/>
          <w:sz w:val="22"/>
          <w:szCs w:val="22"/>
        </w:rPr>
        <w:footnoteReference w:id="93"/>
      </w:r>
      <w:r w:rsidR="7CC3B6DD">
        <w:t>, t</w:t>
      </w:r>
      <w:r w:rsidR="7CC3B6DD" w:rsidRPr="003C33AE">
        <w:t xml:space="preserve">he project is designed to generate models </w:t>
      </w:r>
      <w:r w:rsidR="7CC3B6DD">
        <w:t xml:space="preserve">combined with system-wide capacity development </w:t>
      </w:r>
      <w:r w:rsidR="7CC3B6DD" w:rsidRPr="003C33AE">
        <w:t>that can be upscaled and amplified to increase impact.</w:t>
      </w:r>
      <w:r w:rsidR="7CC3B6DD">
        <w:t xml:space="preserve"> </w:t>
      </w:r>
      <w:r w:rsidR="10181236">
        <w:rPr>
          <w:lang w:val="en-GB"/>
        </w:rPr>
        <w:t>Particulary relevant wil</w:t>
      </w:r>
      <w:r w:rsidR="5FE28CFE">
        <w:rPr>
          <w:lang w:val="en-GB"/>
        </w:rPr>
        <w:t>l</w:t>
      </w:r>
      <w:r w:rsidR="10181236">
        <w:rPr>
          <w:lang w:val="en-GB"/>
        </w:rPr>
        <w:t xml:space="preserve"> be the preparation of an Exit Strategy during </w:t>
      </w:r>
      <w:r w:rsidR="10181236">
        <w:rPr>
          <w:lang w:val="en-GB"/>
        </w:rPr>
        <w:lastRenderedPageBreak/>
        <w:t xml:space="preserve">the final year of the project to provide a road map for </w:t>
      </w:r>
      <w:r w:rsidR="10181236">
        <w:rPr>
          <w:b/>
          <w:bCs/>
          <w:lang w:val="en-GB"/>
        </w:rPr>
        <w:t>scaling out</w:t>
      </w:r>
      <w:r w:rsidR="10181236">
        <w:rPr>
          <w:lang w:val="en-GB"/>
        </w:rPr>
        <w:t xml:space="preserve"> the successes demonstrated by the land</w:t>
      </w:r>
      <w:r w:rsidR="5FE28CFE">
        <w:rPr>
          <w:lang w:val="en-GB"/>
        </w:rPr>
        <w:t>-</w:t>
      </w:r>
      <w:r w:rsidR="10181236">
        <w:rPr>
          <w:lang w:val="en-GB"/>
        </w:rPr>
        <w:t xml:space="preserve">use planning processes and management practices to the remaining 54% of the two landscapes that </w:t>
      </w:r>
      <w:r w:rsidR="5FE28CFE">
        <w:rPr>
          <w:lang w:val="en-GB"/>
        </w:rPr>
        <w:t>is</w:t>
      </w:r>
      <w:r w:rsidR="10181236">
        <w:rPr>
          <w:lang w:val="en-GB"/>
        </w:rPr>
        <w:t xml:space="preserve"> not targeted </w:t>
      </w:r>
      <w:r w:rsidR="5FE28CFE">
        <w:rPr>
          <w:lang w:val="en-GB"/>
        </w:rPr>
        <w:t>for</w:t>
      </w:r>
      <w:r w:rsidR="10181236">
        <w:rPr>
          <w:lang w:val="en-GB"/>
        </w:rPr>
        <w:t xml:space="preserve"> specific interventions. There is also significant potential for </w:t>
      </w:r>
      <w:r w:rsidR="10181236">
        <w:rPr>
          <w:b/>
          <w:bCs/>
          <w:lang w:val="en-GB"/>
        </w:rPr>
        <w:t>up-scaling</w:t>
      </w:r>
      <w:r w:rsidR="10181236">
        <w:rPr>
          <w:lang w:val="en-GB"/>
        </w:rPr>
        <w:t>, given the need to mainstream best practices, experience and lessons learned into national policies, strategies, and plans, as well as</w:t>
      </w:r>
      <w:r w:rsidR="5FE28CFE">
        <w:rPr>
          <w:lang w:val="en-GB"/>
        </w:rPr>
        <w:t xml:space="preserve"> to </w:t>
      </w:r>
      <w:r w:rsidR="10181236">
        <w:rPr>
          <w:lang w:val="en-GB"/>
        </w:rPr>
        <w:t>engage</w:t>
      </w:r>
      <w:r w:rsidR="5FE28CFE">
        <w:rPr>
          <w:lang w:val="en-GB"/>
        </w:rPr>
        <w:t xml:space="preserve"> with stakeholders</w:t>
      </w:r>
      <w:r w:rsidR="10181236">
        <w:rPr>
          <w:lang w:val="en-GB"/>
        </w:rPr>
        <w:t xml:space="preserve"> </w:t>
      </w:r>
      <w:r w:rsidR="5FE28CFE">
        <w:rPr>
          <w:lang w:val="en-GB"/>
        </w:rPr>
        <w:t>from multiple sectors having interests vested in the target landscapes</w:t>
      </w:r>
      <w:r w:rsidR="10181236">
        <w:rPr>
          <w:lang w:val="en-GB"/>
        </w:rPr>
        <w:t xml:space="preserve">. In particular, the project intends to </w:t>
      </w:r>
      <w:r w:rsidR="46C9E0AF">
        <w:rPr>
          <w:lang w:val="en-GB"/>
        </w:rPr>
        <w:t>work in partnership with the private sector as an agent for transforming markets</w:t>
      </w:r>
      <w:r w:rsidR="0F9EF398">
        <w:rPr>
          <w:lang w:val="en-GB"/>
        </w:rPr>
        <w:t xml:space="preserve"> in ways that are credibly al</w:t>
      </w:r>
      <w:r w:rsidR="754FE207">
        <w:rPr>
          <w:lang w:val="en-GB"/>
        </w:rPr>
        <w:t>igned with the LDN agenda</w:t>
      </w:r>
      <w:r w:rsidR="10181236">
        <w:rPr>
          <w:lang w:val="en-GB"/>
        </w:rPr>
        <w:t>.</w:t>
      </w:r>
    </w:p>
    <w:p w14:paraId="58787184" w14:textId="1A0ECB74" w:rsidR="002B09E5" w:rsidRPr="004D6753" w:rsidRDefault="002B09E5" w:rsidP="001667C6">
      <w:pPr>
        <w:pStyle w:val="ParagraphOED"/>
        <w:numPr>
          <w:ilvl w:val="0"/>
          <w:numId w:val="102"/>
        </w:numPr>
      </w:pPr>
      <w:r>
        <w:t xml:space="preserve">The project will design and support implementation of a </w:t>
      </w:r>
      <w:r w:rsidRPr="2ECADB71">
        <w:rPr>
          <w:b/>
          <w:bCs/>
        </w:rPr>
        <w:t>system-wide</w:t>
      </w:r>
      <w:r>
        <w:t xml:space="preserve"> </w:t>
      </w:r>
      <w:r w:rsidR="00297884" w:rsidRPr="4235EC14">
        <w:rPr>
          <w:b/>
          <w:bCs/>
        </w:rPr>
        <w:t>C</w:t>
      </w:r>
      <w:r w:rsidRPr="4235EC14">
        <w:rPr>
          <w:b/>
          <w:bCs/>
        </w:rPr>
        <w:t xml:space="preserve">apacity </w:t>
      </w:r>
      <w:r w:rsidR="00297884" w:rsidRPr="4235EC14">
        <w:rPr>
          <w:b/>
          <w:bCs/>
        </w:rPr>
        <w:t>D</w:t>
      </w:r>
      <w:r w:rsidRPr="4235EC14">
        <w:rPr>
          <w:b/>
          <w:bCs/>
        </w:rPr>
        <w:t xml:space="preserve">evelopment </w:t>
      </w:r>
      <w:r w:rsidR="00297884" w:rsidRPr="4235EC14">
        <w:rPr>
          <w:b/>
          <w:bCs/>
        </w:rPr>
        <w:t>P</w:t>
      </w:r>
      <w:r w:rsidRPr="4235EC14">
        <w:rPr>
          <w:b/>
          <w:bCs/>
        </w:rPr>
        <w:t>rogram</w:t>
      </w:r>
      <w:r>
        <w:t xml:space="preserve">, focusing on empowering people, strengthening organizations and institutions, and enhancing the enabling policy environment based on an inclusive assessment of country needs and priorities, some of which </w:t>
      </w:r>
      <w:r w:rsidR="001C29A4">
        <w:t xml:space="preserve">was done during the PPG stage </w:t>
      </w:r>
      <w:r w:rsidR="003A6D07">
        <w:t>but much remains to done at project onset</w:t>
      </w:r>
      <w:r w:rsidR="001C29A4">
        <w:t>.</w:t>
      </w:r>
      <w:r w:rsidR="0039347A">
        <w:t xml:space="preserve"> The system-wide capacity approach will maximize country ownership, sustainability and scale of intended results.</w:t>
      </w:r>
      <w:r w:rsidR="003F31F1">
        <w:rPr>
          <w:rStyle w:val="FootnoteReference"/>
        </w:rPr>
        <w:footnoteReference w:id="94"/>
      </w:r>
      <w:r w:rsidR="0039347A">
        <w:t xml:space="preserve"> </w:t>
      </w:r>
    </w:p>
    <w:p w14:paraId="06528C7A" w14:textId="5D92D389" w:rsidR="00FC2B0B" w:rsidRDefault="002B09E5" w:rsidP="001667C6">
      <w:pPr>
        <w:pStyle w:val="ParagraphOED"/>
        <w:numPr>
          <w:ilvl w:val="0"/>
          <w:numId w:val="102"/>
        </w:numPr>
      </w:pPr>
      <w:r>
        <w:t xml:space="preserve">Key capacity gaps </w:t>
      </w:r>
      <w:r w:rsidR="003A6D07">
        <w:t xml:space="preserve">currently </w:t>
      </w:r>
      <w:r>
        <w:t>identified include, but not limited to</w:t>
      </w:r>
      <w:r w:rsidR="007620EE">
        <w:t>:</w:t>
      </w:r>
      <w:r>
        <w:t xml:space="preserve"> </w:t>
      </w:r>
      <w:r w:rsidR="007620EE">
        <w:t>general levels of awareness among stakeholders about LDN; technical understanding about LDN, methodologies for measuring and monitoring it at different scales; policy and legal frameworks for LDN</w:t>
      </w:r>
      <w:r w:rsidR="00926A13">
        <w:t>,</w:t>
      </w:r>
      <w:r w:rsidR="007620EE">
        <w:t xml:space="preserve"> </w:t>
      </w:r>
      <w:r w:rsidR="007620EE" w:rsidRPr="1E65A5F7">
        <w:rPr>
          <w:i/>
          <w:iCs/>
        </w:rPr>
        <w:t>landscape approach</w:t>
      </w:r>
      <w:r w:rsidR="00926A13">
        <w:t xml:space="preserve"> and community-based approaches to forest/natural resources management; application of local </w:t>
      </w:r>
      <w:r w:rsidR="00B15FEC">
        <w:t xml:space="preserve">land-use </w:t>
      </w:r>
      <w:r w:rsidR="00926A13">
        <w:t>planning processes to landscape-scale LDN considerations (</w:t>
      </w:r>
      <w:r w:rsidR="00B15FEC">
        <w:t>Integrated Land-Use Plans/Landscape Management Plans)</w:t>
      </w:r>
      <w:r w:rsidR="00926A13">
        <w:t>;</w:t>
      </w:r>
      <w:r w:rsidR="00B15FEC">
        <w:t xml:space="preserve"> developing and institutionalizing a modular training program that addresses a diverse range of stakeholders’ technical skills and related needs;</w:t>
      </w:r>
      <w:r w:rsidR="00926A13">
        <w:t xml:space="preserve"> climate resilience considerations and synergies with LDN agenda; greening of value chains</w:t>
      </w:r>
      <w:r w:rsidR="00FC2B0B">
        <w:t>,</w:t>
      </w:r>
      <w:r w:rsidR="00B15FEC">
        <w:t xml:space="preserve"> markets</w:t>
      </w:r>
      <w:r w:rsidR="00FC2B0B">
        <w:t xml:space="preserve"> and associated</w:t>
      </w:r>
      <w:r w:rsidR="00926A13">
        <w:t xml:space="preserve"> </w:t>
      </w:r>
      <w:r w:rsidR="00B15FEC">
        <w:t>small-medium size enterprises</w:t>
      </w:r>
      <w:r w:rsidR="00FC2B0B">
        <w:t>;</w:t>
      </w:r>
      <w:r w:rsidR="00B15FEC">
        <w:t xml:space="preserve"> </w:t>
      </w:r>
      <w:r w:rsidR="00926A13">
        <w:t>designing and facilitating stakeholder engagement processes</w:t>
      </w:r>
      <w:r>
        <w:t>; limited technical capacities of farmers</w:t>
      </w:r>
      <w:r w:rsidR="00FC2B0B">
        <w:t>,</w:t>
      </w:r>
      <w:r>
        <w:t xml:space="preserve"> limited knowledge and capacity of producers and limited institutional capacity to coordinate </w:t>
      </w:r>
      <w:r w:rsidR="00FC2B0B">
        <w:t>natural resources</w:t>
      </w:r>
      <w:r>
        <w:t xml:space="preserve"> management and planning at landscape level</w:t>
      </w:r>
      <w:r w:rsidR="00FC2B0B">
        <w:t>s</w:t>
      </w:r>
      <w:r>
        <w:t xml:space="preserve">. </w:t>
      </w:r>
    </w:p>
    <w:p w14:paraId="7620FB0D" w14:textId="00C12469" w:rsidR="00583725" w:rsidRPr="00583725" w:rsidRDefault="00FC2B0B" w:rsidP="001667C6">
      <w:pPr>
        <w:pStyle w:val="ParagraphOED"/>
        <w:numPr>
          <w:ilvl w:val="0"/>
          <w:numId w:val="102"/>
        </w:numPr>
      </w:pPr>
      <w:r>
        <w:t>C</w:t>
      </w:r>
      <w:r w:rsidR="002B09E5">
        <w:t xml:space="preserve">apacity gaps and needs of all stakeholders </w:t>
      </w:r>
      <w:r w:rsidR="00297884">
        <w:t>from</w:t>
      </w:r>
      <w:r w:rsidR="002B09E5">
        <w:t xml:space="preserve"> institutional, private, civil society, and community sectors will </w:t>
      </w:r>
      <w:r w:rsidR="00297884">
        <w:t xml:space="preserve">be </w:t>
      </w:r>
      <w:r w:rsidR="002B09E5">
        <w:t xml:space="preserve">reassessed to verify and complement these initial findings. The FAO Capacity Needs Assessment Tool will be used to assess the three </w:t>
      </w:r>
      <w:r>
        <w:t>core</w:t>
      </w:r>
      <w:r w:rsidR="002B09E5">
        <w:t xml:space="preserve"> dimensions - individual, organizational and enabling environment. The assessment will inform the fine tuning of the </w:t>
      </w:r>
      <w:r>
        <w:t>C</w:t>
      </w:r>
      <w:r w:rsidR="002B09E5">
        <w:t xml:space="preserve">apacity </w:t>
      </w:r>
      <w:r>
        <w:t>D</w:t>
      </w:r>
      <w:r w:rsidR="002B09E5">
        <w:t xml:space="preserve">evelopment </w:t>
      </w:r>
      <w:r>
        <w:t>Program</w:t>
      </w:r>
      <w:r w:rsidR="005D3136">
        <w:t xml:space="preserve"> as part of a dedicated capacity development strategy </w:t>
      </w:r>
      <w:r>
        <w:t xml:space="preserve">which is lodged in Component 2 </w:t>
      </w:r>
      <w:r w:rsidR="00297884">
        <w:t xml:space="preserve">for coordination purposes </w:t>
      </w:r>
      <w:r>
        <w:t>but inevitably c</w:t>
      </w:r>
      <w:r w:rsidR="00297884">
        <w:t>u</w:t>
      </w:r>
      <w:r>
        <w:t xml:space="preserve">ts across all </w:t>
      </w:r>
      <w:r w:rsidR="002B09E5">
        <w:t>three components.</w:t>
      </w:r>
      <w:r w:rsidR="00297884">
        <w:t xml:space="preserve"> A key strategy for deliver</w:t>
      </w:r>
      <w:r w:rsidR="00E96193">
        <w:t>ing</w:t>
      </w:r>
      <w:r w:rsidR="00297884">
        <w:t xml:space="preserve"> the Program will be a train</w:t>
      </w:r>
      <w:r w:rsidR="00E96193">
        <w:t>ing</w:t>
      </w:r>
      <w:r w:rsidR="00297884">
        <w:t>-of-trainers approach linked to the Regional Exchange Mechanism to secure international specialist</w:t>
      </w:r>
      <w:r w:rsidR="00D86895">
        <w:t>s</w:t>
      </w:r>
      <w:r w:rsidR="00E96193">
        <w:t xml:space="preserve"> from within the region</w:t>
      </w:r>
      <w:r w:rsidR="00D86895">
        <w:t>, as</w:t>
      </w:r>
      <w:r w:rsidR="00E96193">
        <w:t xml:space="preserve"> required</w:t>
      </w:r>
      <w:r w:rsidR="00D86895">
        <w:t>,</w:t>
      </w:r>
      <w:r w:rsidR="00E96193">
        <w:t xml:space="preserve"> to</w:t>
      </w:r>
      <w:r w:rsidR="00297884">
        <w:t xml:space="preserve"> design</w:t>
      </w:r>
      <w:r w:rsidR="00E96193">
        <w:t xml:space="preserve"> training modules and both train and subsequently support trainers</w:t>
      </w:r>
      <w:r w:rsidR="00297884">
        <w:t xml:space="preserve"> </w:t>
      </w:r>
      <w:r w:rsidR="00E96193">
        <w:t>from one more countries in the Miombo Cluster</w:t>
      </w:r>
      <w:r w:rsidR="00297884">
        <w:t>.</w:t>
      </w:r>
    </w:p>
    <w:p w14:paraId="03200F0B" w14:textId="77777777" w:rsidR="005D3136" w:rsidRDefault="005D3136" w:rsidP="001667C6">
      <w:pPr>
        <w:pStyle w:val="ParagraphOED"/>
        <w:numPr>
          <w:ilvl w:val="0"/>
          <w:numId w:val="102"/>
        </w:numPr>
      </w:pPr>
      <w:r>
        <w:t>During the implementation, state-of-the art capacity enhancement methodologies will be applied. For instance, a</w:t>
      </w:r>
      <w:r w:rsidR="000E3B2A">
        <w:t xml:space="preserve">ll envisioned training activities will apply effective learning practices including pre-event learning needs assessments, post-event follow-up support to facilitate the transfer of knowledge into practice as well as institutionalization of curricula through partnering with and enhancing the capacities of local universities and research centres.  Efforts will also include organizational and institutional capacity strengthening efforts such as to strengthen multi-sectoral and multi-coordination and collaboration at all levels such as the LDN platforms at national and landscape. Taking a system-wide, country-driven approach, the project’s capacity development  efforts will therefore result in a transformational and lasting change in the way Angola is able to address SLM and SFM needs.  </w:t>
      </w:r>
    </w:p>
    <w:p w14:paraId="44FDF119" w14:textId="2175598A" w:rsidR="002B55B2" w:rsidRPr="002B55B2" w:rsidRDefault="00EB0DFC" w:rsidP="001667C6">
      <w:pPr>
        <w:pStyle w:val="ParagraphOED"/>
        <w:numPr>
          <w:ilvl w:val="0"/>
          <w:numId w:val="102"/>
        </w:numPr>
      </w:pPr>
      <w:r>
        <w:lastRenderedPageBreak/>
        <w:t>All</w:t>
      </w:r>
      <w:r w:rsidR="000E3B2A">
        <w:t xml:space="preserve"> capacity enhancement activities will be aligned with a harmonized approach across the GEF IP Programme including the capacity enhancement strategy of the global coordination project and individual child project strategies.</w:t>
      </w:r>
    </w:p>
    <w:p w14:paraId="02011DFD" w14:textId="4BC1086B" w:rsidR="00583725" w:rsidRPr="00583725" w:rsidRDefault="00EB0DFC" w:rsidP="001667C6">
      <w:pPr>
        <w:pStyle w:val="ParagraphOED"/>
        <w:numPr>
          <w:ilvl w:val="0"/>
          <w:numId w:val="102"/>
        </w:numPr>
      </w:pPr>
      <w:r w:rsidRPr="1E65A5F7">
        <w:rPr>
          <w:rFonts w:asciiTheme="minorHAnsi" w:hAnsiTheme="minorHAnsi" w:cstheme="minorBidi"/>
        </w:rPr>
        <w:t>The PMU will include a dedicated expert to follow the systemic capacity development components together with knowledge management and stakeholder engagement</w:t>
      </w:r>
      <w:r w:rsidR="008F4DB1" w:rsidRPr="1E65A5F7">
        <w:rPr>
          <w:rFonts w:asciiTheme="minorHAnsi" w:hAnsiTheme="minorHAnsi" w:cstheme="minorBidi"/>
        </w:rPr>
        <w:t xml:space="preserve">. </w:t>
      </w:r>
      <w:r w:rsidRPr="1E65A5F7">
        <w:rPr>
          <w:rFonts w:asciiTheme="minorHAnsi" w:hAnsiTheme="minorHAnsi" w:cstheme="minorBidi"/>
        </w:rPr>
        <w:t xml:space="preserve">FAO will provide overall quality assusrance through a dedicated member on the internal Project Task Force (PTF) who will be task with the knowmedge management, stakeholder engagement and system-wide capacity development components. </w:t>
      </w:r>
    </w:p>
    <w:p w14:paraId="6A915A49" w14:textId="13F91BFE" w:rsidR="009563B4" w:rsidRPr="003D36A0" w:rsidRDefault="00B85D50" w:rsidP="009563B4">
      <w:pPr>
        <w:pStyle w:val="Heading3"/>
        <w:rPr>
          <w:rFonts w:ascii="Calibri" w:hAnsi="Calibri" w:cs="Calibri"/>
        </w:rPr>
      </w:pPr>
      <w:bookmarkStart w:id="166" w:name="_Toc52367664"/>
      <w:bookmarkStart w:id="167" w:name="_Toc42027128"/>
      <w:bookmarkStart w:id="168" w:name="_Toc42262636"/>
      <w:r w:rsidRPr="003D36A0">
        <w:rPr>
          <w:rFonts w:ascii="Calibri" w:hAnsi="Calibri" w:cs="Calibri"/>
        </w:rPr>
        <w:t xml:space="preserve">8. </w:t>
      </w:r>
      <w:r w:rsidR="009563B4" w:rsidRPr="003D36A0">
        <w:rPr>
          <w:rFonts w:ascii="Calibri" w:hAnsi="Calibri" w:cs="Calibri"/>
        </w:rPr>
        <w:t xml:space="preserve">Summary of changes in alignment with the project design </w:t>
      </w:r>
      <w:r w:rsidR="004715BA" w:rsidRPr="003D36A0">
        <w:rPr>
          <w:rFonts w:ascii="Calibri" w:hAnsi="Calibri" w:cs="Calibri"/>
        </w:rPr>
        <w:t>of</w:t>
      </w:r>
      <w:r w:rsidR="009563B4" w:rsidRPr="003D36A0">
        <w:rPr>
          <w:rFonts w:ascii="Calibri" w:hAnsi="Calibri" w:cs="Calibri"/>
        </w:rPr>
        <w:t xml:space="preserve"> the original PIF</w:t>
      </w:r>
      <w:bookmarkEnd w:id="166"/>
      <w:r w:rsidR="009563B4" w:rsidRPr="003D36A0">
        <w:rPr>
          <w:rFonts w:ascii="Calibri" w:hAnsi="Calibri" w:cs="Calibri"/>
        </w:rPr>
        <w:t xml:space="preserve"> </w:t>
      </w:r>
      <w:bookmarkEnd w:id="167"/>
      <w:bookmarkEnd w:id="168"/>
    </w:p>
    <w:p w14:paraId="64285577" w14:textId="77777777" w:rsidR="00720442" w:rsidRPr="00720442" w:rsidRDefault="00DC2ADE" w:rsidP="001667C6">
      <w:pPr>
        <w:pStyle w:val="ParagraphOED"/>
        <w:numPr>
          <w:ilvl w:val="0"/>
          <w:numId w:val="102"/>
        </w:numPr>
        <w:spacing w:before="160" w:after="160"/>
      </w:pPr>
      <w:r w:rsidRPr="1E65A5F7">
        <w:rPr>
          <w:lang w:val="en-GB"/>
        </w:rPr>
        <w:t xml:space="preserve">The project design has not changed conceptually with respect to </w:t>
      </w:r>
      <w:r w:rsidR="00AC581B" w:rsidRPr="1E65A5F7">
        <w:rPr>
          <w:lang w:val="en-GB"/>
        </w:rPr>
        <w:t xml:space="preserve">the its objective of seeking a </w:t>
      </w:r>
      <w:r w:rsidR="00AC581B" w:rsidRPr="1E65A5F7">
        <w:rPr>
          <w:i/>
          <w:iCs/>
          <w:lang w:val="en-GB"/>
        </w:rPr>
        <w:t xml:space="preserve">transformational shift towards sustainable, integrated management of multi-use dryland landscapes in Miombo-Mopane ecoregions of </w:t>
      </w:r>
      <w:r w:rsidR="00AC581B" w:rsidRPr="1E65A5F7">
        <w:rPr>
          <w:lang w:val="en-GB"/>
        </w:rPr>
        <w:t xml:space="preserve">Angola, albeit the language has been changed from </w:t>
      </w:r>
      <w:r w:rsidR="00AC581B" w:rsidRPr="1E65A5F7">
        <w:rPr>
          <w:i/>
          <w:iCs/>
          <w:lang w:val="en-GB"/>
        </w:rPr>
        <w:t>’to support</w:t>
      </w:r>
      <w:r w:rsidR="00AC581B" w:rsidRPr="1E65A5F7">
        <w:rPr>
          <w:lang w:val="en-GB"/>
        </w:rPr>
        <w:t>’ to ‘</w:t>
      </w:r>
      <w:r w:rsidR="00720442" w:rsidRPr="1E65A5F7">
        <w:rPr>
          <w:i/>
          <w:iCs/>
          <w:lang w:val="en-GB"/>
        </w:rPr>
        <w:t xml:space="preserve">to </w:t>
      </w:r>
      <w:r w:rsidR="00AC581B" w:rsidRPr="1E65A5F7">
        <w:rPr>
          <w:i/>
          <w:iCs/>
          <w:lang w:val="en-GB"/>
        </w:rPr>
        <w:t>initiat</w:t>
      </w:r>
      <w:r w:rsidR="00720442" w:rsidRPr="1E65A5F7">
        <w:rPr>
          <w:i/>
          <w:iCs/>
          <w:lang w:val="en-GB"/>
        </w:rPr>
        <w:t>e’</w:t>
      </w:r>
      <w:r w:rsidR="00AC581B" w:rsidRPr="1E65A5F7">
        <w:rPr>
          <w:i/>
          <w:iCs/>
          <w:lang w:val="en-GB"/>
        </w:rPr>
        <w:t xml:space="preserve"> </w:t>
      </w:r>
      <w:r w:rsidR="00AC581B" w:rsidRPr="1E65A5F7">
        <w:rPr>
          <w:lang w:val="en-GB"/>
        </w:rPr>
        <w:t>such a shift</w:t>
      </w:r>
      <w:r w:rsidR="00720442" w:rsidRPr="1E65A5F7">
        <w:rPr>
          <w:lang w:val="en-GB"/>
        </w:rPr>
        <w:t xml:space="preserve"> in order to highlight the catalytic significance and timeliness  of the project.</w:t>
      </w:r>
    </w:p>
    <w:p w14:paraId="79E8A677" w14:textId="60A85941" w:rsidR="00E57DAD" w:rsidRDefault="00E57DAD" w:rsidP="001667C6">
      <w:pPr>
        <w:pStyle w:val="ParagraphOED"/>
        <w:numPr>
          <w:ilvl w:val="0"/>
          <w:numId w:val="102"/>
        </w:numPr>
        <w:spacing w:after="0"/>
        <w:rPr>
          <w:lang w:val="en-GB"/>
        </w:rPr>
      </w:pPr>
      <w:r w:rsidRPr="1E65A5F7">
        <w:rPr>
          <w:lang w:val="en-GB"/>
        </w:rPr>
        <w:t>The three Components now address 8 rather than 3 barriers, additions including</w:t>
      </w:r>
      <w:r w:rsidR="00396B5E" w:rsidRPr="1E65A5F7">
        <w:rPr>
          <w:lang w:val="en-GB"/>
        </w:rPr>
        <w:t xml:space="preserve">: </w:t>
      </w:r>
    </w:p>
    <w:p w14:paraId="59C8F0A1" w14:textId="10B4D0AD" w:rsidR="008755AF" w:rsidRDefault="008755AF" w:rsidP="001667C6">
      <w:pPr>
        <w:pStyle w:val="ListParagraph"/>
        <w:numPr>
          <w:ilvl w:val="0"/>
          <w:numId w:val="73"/>
        </w:numPr>
        <w:spacing w:after="0"/>
        <w:ind w:left="1077" w:hanging="357"/>
        <w:contextualSpacing w:val="0"/>
        <w:rPr>
          <w:rFonts w:cstheme="minorHAnsi"/>
          <w:sz w:val="21"/>
          <w:szCs w:val="21"/>
        </w:rPr>
      </w:pPr>
      <w:r w:rsidRPr="008755AF">
        <w:rPr>
          <w:rFonts w:cstheme="minorHAnsi"/>
          <w:sz w:val="21"/>
          <w:szCs w:val="21"/>
        </w:rPr>
        <w:t>inadequate institutional mandates and capacities for engaging stakeholders in delivering LDN through integrated management of landscapes;</w:t>
      </w:r>
    </w:p>
    <w:p w14:paraId="5B499D54" w14:textId="6237AC57" w:rsidR="008755AF" w:rsidRDefault="008755AF" w:rsidP="001667C6">
      <w:pPr>
        <w:pStyle w:val="ListParagraph"/>
        <w:numPr>
          <w:ilvl w:val="0"/>
          <w:numId w:val="73"/>
        </w:numPr>
        <w:spacing w:after="0"/>
        <w:ind w:left="1077" w:hanging="357"/>
        <w:contextualSpacing w:val="0"/>
        <w:rPr>
          <w:rFonts w:cstheme="minorHAnsi"/>
          <w:sz w:val="21"/>
          <w:szCs w:val="21"/>
        </w:rPr>
      </w:pPr>
      <w:r>
        <w:rPr>
          <w:rFonts w:cstheme="minorHAnsi"/>
          <w:sz w:val="21"/>
          <w:szCs w:val="21"/>
        </w:rPr>
        <w:t>ineffective management of land tenure;</w:t>
      </w:r>
    </w:p>
    <w:p w14:paraId="61E712A7" w14:textId="27A76D1C" w:rsidR="008755AF" w:rsidRDefault="517E0B06" w:rsidP="001667C6">
      <w:pPr>
        <w:pStyle w:val="ListParagraph"/>
        <w:numPr>
          <w:ilvl w:val="0"/>
          <w:numId w:val="73"/>
        </w:numPr>
        <w:spacing w:after="0"/>
        <w:ind w:left="1077" w:hanging="357"/>
        <w:contextualSpacing w:val="0"/>
        <w:rPr>
          <w:rFonts w:cstheme="minorBidi"/>
          <w:sz w:val="21"/>
          <w:szCs w:val="21"/>
        </w:rPr>
      </w:pPr>
      <w:r w:rsidRPr="3764D022">
        <w:rPr>
          <w:rFonts w:cstheme="minorBidi"/>
          <w:sz w:val="21"/>
          <w:szCs w:val="21"/>
        </w:rPr>
        <w:t>poor masterly of SLM/SFM and access to production improvement inputs</w:t>
      </w:r>
      <w:r w:rsidR="37840528" w:rsidRPr="3764D022">
        <w:rPr>
          <w:rFonts w:cstheme="minorBidi"/>
          <w:sz w:val="21"/>
          <w:szCs w:val="21"/>
        </w:rPr>
        <w:t xml:space="preserve"> among local land users</w:t>
      </w:r>
      <w:r w:rsidRPr="3764D022">
        <w:rPr>
          <w:rFonts w:cstheme="minorBidi"/>
          <w:sz w:val="21"/>
          <w:szCs w:val="21"/>
        </w:rPr>
        <w:t>, and insuffi</w:t>
      </w:r>
      <w:r w:rsidR="6E5A2C49" w:rsidRPr="3764D022">
        <w:rPr>
          <w:rFonts w:cstheme="minorBidi"/>
          <w:sz w:val="21"/>
          <w:szCs w:val="21"/>
        </w:rPr>
        <w:t>ci</w:t>
      </w:r>
      <w:r w:rsidRPr="3764D022">
        <w:rPr>
          <w:rFonts w:cstheme="minorBidi"/>
          <w:sz w:val="21"/>
          <w:szCs w:val="21"/>
        </w:rPr>
        <w:t xml:space="preserve">ent incentives </w:t>
      </w:r>
      <w:r w:rsidR="37840528" w:rsidRPr="3764D022">
        <w:rPr>
          <w:rFonts w:cstheme="minorBidi"/>
          <w:sz w:val="21"/>
          <w:szCs w:val="21"/>
        </w:rPr>
        <w:t xml:space="preserve">for them </w:t>
      </w:r>
      <w:r w:rsidRPr="3764D022">
        <w:rPr>
          <w:rFonts w:cstheme="minorBidi"/>
          <w:sz w:val="21"/>
          <w:szCs w:val="21"/>
        </w:rPr>
        <w:t>to</w:t>
      </w:r>
      <w:r w:rsidR="37840528" w:rsidRPr="3764D022">
        <w:rPr>
          <w:rFonts w:cstheme="minorBidi"/>
          <w:sz w:val="21"/>
          <w:szCs w:val="21"/>
        </w:rPr>
        <w:t xml:space="preserve"> adopt more sustainable practices;</w:t>
      </w:r>
    </w:p>
    <w:p w14:paraId="2A2F719D" w14:textId="1C606C0B" w:rsidR="009E1900" w:rsidRDefault="009E1900" w:rsidP="001667C6">
      <w:pPr>
        <w:pStyle w:val="ListParagraph"/>
        <w:numPr>
          <w:ilvl w:val="0"/>
          <w:numId w:val="73"/>
        </w:numPr>
        <w:spacing w:after="0"/>
        <w:ind w:left="1077" w:hanging="357"/>
        <w:contextualSpacing w:val="0"/>
        <w:rPr>
          <w:rFonts w:cstheme="minorHAnsi"/>
          <w:sz w:val="21"/>
          <w:szCs w:val="21"/>
        </w:rPr>
      </w:pPr>
      <w:r>
        <w:rPr>
          <w:rFonts w:cstheme="minorHAnsi"/>
          <w:sz w:val="21"/>
          <w:szCs w:val="21"/>
        </w:rPr>
        <w:t>opportunities to strengthen local livelihoods hampered by limited access to finance and markets for SLM products ;</w:t>
      </w:r>
    </w:p>
    <w:p w14:paraId="495F5EA8" w14:textId="51135ABF" w:rsidR="009E1900" w:rsidRDefault="37840528" w:rsidP="001667C6">
      <w:pPr>
        <w:pStyle w:val="ListParagraph"/>
        <w:numPr>
          <w:ilvl w:val="0"/>
          <w:numId w:val="73"/>
        </w:numPr>
        <w:spacing w:after="0"/>
        <w:ind w:left="1077" w:hanging="357"/>
        <w:contextualSpacing w:val="0"/>
        <w:rPr>
          <w:rFonts w:cstheme="minorBidi"/>
          <w:sz w:val="21"/>
          <w:szCs w:val="21"/>
        </w:rPr>
      </w:pPr>
      <w:r w:rsidRPr="3764D022">
        <w:rPr>
          <w:rFonts w:cstheme="minorBidi"/>
          <w:sz w:val="21"/>
          <w:szCs w:val="21"/>
        </w:rPr>
        <w:t xml:space="preserve">weak national and landscape level LDN assessment and </w:t>
      </w:r>
      <w:r w:rsidR="27A5BB2B" w:rsidRPr="3764D022">
        <w:rPr>
          <w:rFonts w:cstheme="minorBidi"/>
          <w:sz w:val="21"/>
          <w:szCs w:val="21"/>
        </w:rPr>
        <w:t>monitoring</w:t>
      </w:r>
      <w:r w:rsidRPr="3764D022">
        <w:rPr>
          <w:rFonts w:cstheme="minorBidi"/>
          <w:sz w:val="21"/>
          <w:szCs w:val="21"/>
        </w:rPr>
        <w:t xml:space="preserve"> frameworks;</w:t>
      </w:r>
      <w:r w:rsidR="39D4AD1D" w:rsidRPr="3764D022">
        <w:rPr>
          <w:rFonts w:cstheme="minorBidi"/>
          <w:sz w:val="21"/>
          <w:szCs w:val="21"/>
        </w:rPr>
        <w:t xml:space="preserve"> and </w:t>
      </w:r>
    </w:p>
    <w:p w14:paraId="69315F31" w14:textId="3921BC80" w:rsidR="00396B5E" w:rsidRDefault="00900956" w:rsidP="001667C6">
      <w:pPr>
        <w:pStyle w:val="ListParagraph"/>
        <w:numPr>
          <w:ilvl w:val="0"/>
          <w:numId w:val="73"/>
        </w:numPr>
        <w:spacing w:after="0"/>
        <w:ind w:left="1077" w:hanging="357"/>
        <w:contextualSpacing w:val="0"/>
        <w:rPr>
          <w:rFonts w:cstheme="minorHAnsi"/>
          <w:sz w:val="21"/>
          <w:szCs w:val="21"/>
        </w:rPr>
      </w:pPr>
      <w:r>
        <w:rPr>
          <w:rFonts w:cstheme="minorHAnsi"/>
          <w:sz w:val="21"/>
          <w:szCs w:val="21"/>
        </w:rPr>
        <w:t xml:space="preserve">absence of a </w:t>
      </w:r>
      <w:r w:rsidR="009E1900">
        <w:rPr>
          <w:rFonts w:cstheme="minorHAnsi"/>
          <w:sz w:val="21"/>
          <w:szCs w:val="21"/>
        </w:rPr>
        <w:t>comprehensive</w:t>
      </w:r>
      <w:r>
        <w:rPr>
          <w:rFonts w:cstheme="minorHAnsi"/>
          <w:sz w:val="21"/>
          <w:szCs w:val="21"/>
        </w:rPr>
        <w:t>,</w:t>
      </w:r>
      <w:r w:rsidR="009E1900">
        <w:rPr>
          <w:rFonts w:cstheme="minorHAnsi"/>
          <w:sz w:val="21"/>
          <w:szCs w:val="21"/>
        </w:rPr>
        <w:t xml:space="preserve"> LDN-focused k</w:t>
      </w:r>
      <w:r>
        <w:rPr>
          <w:rFonts w:cstheme="minorHAnsi"/>
          <w:sz w:val="21"/>
          <w:szCs w:val="21"/>
        </w:rPr>
        <w:t>n</w:t>
      </w:r>
      <w:r w:rsidR="009E1900">
        <w:rPr>
          <w:rFonts w:cstheme="minorHAnsi"/>
          <w:sz w:val="21"/>
          <w:szCs w:val="21"/>
        </w:rPr>
        <w:t xml:space="preserve">owledge management </w:t>
      </w:r>
      <w:r>
        <w:rPr>
          <w:rFonts w:cstheme="minorHAnsi"/>
          <w:sz w:val="21"/>
          <w:szCs w:val="21"/>
        </w:rPr>
        <w:t>and learning initiative across Miombo-Mopane,</w:t>
      </w:r>
    </w:p>
    <w:p w14:paraId="48C04C04" w14:textId="637A8AEF" w:rsidR="00B460F5" w:rsidRDefault="2B70B3A2" w:rsidP="001667C6">
      <w:pPr>
        <w:pStyle w:val="ParagraphOED"/>
        <w:numPr>
          <w:ilvl w:val="0"/>
          <w:numId w:val="102"/>
        </w:numPr>
        <w:spacing w:before="160" w:after="160"/>
        <w:rPr>
          <w:lang w:val="en-GB"/>
        </w:rPr>
      </w:pPr>
      <w:r w:rsidRPr="1E65A5F7">
        <w:rPr>
          <w:lang w:val="en-GB"/>
        </w:rPr>
        <w:t xml:space="preserve">Components </w:t>
      </w:r>
      <w:r w:rsidR="77578F2E" w:rsidRPr="1E65A5F7">
        <w:rPr>
          <w:lang w:val="en-GB"/>
        </w:rPr>
        <w:t xml:space="preserve">1 and 2 </w:t>
      </w:r>
      <w:r w:rsidRPr="1E65A5F7">
        <w:rPr>
          <w:lang w:val="en-GB"/>
        </w:rPr>
        <w:t xml:space="preserve">remain focused, respectively, on: the enabling environment; </w:t>
      </w:r>
      <w:r w:rsidR="77578F2E" w:rsidRPr="1E65A5F7">
        <w:rPr>
          <w:lang w:val="en-GB"/>
        </w:rPr>
        <w:t xml:space="preserve">and </w:t>
      </w:r>
      <w:r w:rsidRPr="1E65A5F7">
        <w:rPr>
          <w:lang w:val="en-GB"/>
        </w:rPr>
        <w:t>implementing and scaling</w:t>
      </w:r>
      <w:r w:rsidR="6B10689A" w:rsidRPr="1E65A5F7">
        <w:rPr>
          <w:lang w:val="en-GB"/>
        </w:rPr>
        <w:t xml:space="preserve"> </w:t>
      </w:r>
      <w:r w:rsidRPr="1E65A5F7">
        <w:rPr>
          <w:lang w:val="en-GB"/>
        </w:rPr>
        <w:t>up/out SLM and SFM best practices at landscape levels</w:t>
      </w:r>
      <w:r w:rsidR="77578F2E" w:rsidRPr="1E65A5F7">
        <w:rPr>
          <w:lang w:val="en-GB"/>
        </w:rPr>
        <w:t xml:space="preserve">. In the case of Component 3, the scope has been expanded from </w:t>
      </w:r>
      <w:r w:rsidRPr="1E65A5F7">
        <w:rPr>
          <w:lang w:val="en-GB"/>
        </w:rPr>
        <w:t>knowledge management, monitoring and evaluation</w:t>
      </w:r>
      <w:r w:rsidR="77578F2E" w:rsidRPr="1E65A5F7">
        <w:rPr>
          <w:lang w:val="en-GB"/>
        </w:rPr>
        <w:t xml:space="preserve"> to giving more emphasis to learning and the inclusion of collaboration to support progress towards achieving national LDN targets. </w:t>
      </w:r>
      <w:r w:rsidR="68939379" w:rsidRPr="1E65A5F7">
        <w:rPr>
          <w:lang w:val="en-GB"/>
        </w:rPr>
        <w:t>Importantly</w:t>
      </w:r>
      <w:r w:rsidR="77578F2E" w:rsidRPr="1E65A5F7">
        <w:rPr>
          <w:lang w:val="en-GB"/>
        </w:rPr>
        <w:t xml:space="preserve"> a template for Component 3 Outcomes, Outputs and to a lesser extent Activities </w:t>
      </w:r>
      <w:r w:rsidR="0E7E17E9" w:rsidRPr="1E65A5F7">
        <w:rPr>
          <w:lang w:val="en-GB"/>
        </w:rPr>
        <w:t xml:space="preserve">has been developed at Impact Program level in order to accommodate support from the Global Program to the Child Projects and, conversely, scaling up </w:t>
      </w:r>
      <w:r w:rsidR="77578F2E" w:rsidRPr="1E65A5F7">
        <w:rPr>
          <w:lang w:val="en-GB"/>
        </w:rPr>
        <w:t xml:space="preserve">of </w:t>
      </w:r>
      <w:r w:rsidR="0E7E17E9" w:rsidRPr="1E65A5F7">
        <w:rPr>
          <w:lang w:val="en-GB"/>
        </w:rPr>
        <w:t xml:space="preserve">knowledge gained and lessons learned from the Child Projects to the Global Program and on to GEF. Much of this reciprocal support and sharing will be facilitated through the Regional Exchange Mechanism, which is </w:t>
      </w:r>
      <w:r w:rsidR="307E9D1A" w:rsidRPr="1E65A5F7">
        <w:rPr>
          <w:lang w:val="en-GB"/>
        </w:rPr>
        <w:t>part of</w:t>
      </w:r>
      <w:r w:rsidR="0E7E17E9" w:rsidRPr="1E65A5F7">
        <w:rPr>
          <w:lang w:val="en-GB"/>
        </w:rPr>
        <w:t xml:space="preserve"> Component 3 </w:t>
      </w:r>
      <w:r w:rsidR="307E9D1A" w:rsidRPr="1E65A5F7">
        <w:rPr>
          <w:lang w:val="en-GB"/>
        </w:rPr>
        <w:t>(</w:t>
      </w:r>
      <w:r w:rsidR="307E9D1A" w:rsidRPr="1E65A5F7">
        <w:rPr>
          <w:b/>
          <w:bCs/>
          <w:lang w:val="en-GB"/>
        </w:rPr>
        <w:t>Box 11</w:t>
      </w:r>
      <w:r w:rsidR="307E9D1A" w:rsidRPr="1E65A5F7">
        <w:rPr>
          <w:lang w:val="en-GB"/>
        </w:rPr>
        <w:t>)</w:t>
      </w:r>
      <w:r w:rsidR="754FE207" w:rsidRPr="1E65A5F7">
        <w:rPr>
          <w:lang w:val="en-GB"/>
        </w:rPr>
        <w:t>.</w:t>
      </w:r>
      <w:r w:rsidR="0E7E17E9" w:rsidRPr="1E65A5F7">
        <w:rPr>
          <w:lang w:val="en-GB"/>
        </w:rPr>
        <w:t xml:space="preserve"> </w:t>
      </w:r>
    </w:p>
    <w:p w14:paraId="79B2F7D5" w14:textId="53DBB09F" w:rsidR="001A429C" w:rsidRDefault="001A429C" w:rsidP="001667C6">
      <w:pPr>
        <w:pStyle w:val="ParagraphOED"/>
        <w:numPr>
          <w:ilvl w:val="0"/>
          <w:numId w:val="102"/>
        </w:numPr>
        <w:spacing w:after="160"/>
      </w:pPr>
      <w:bookmarkStart w:id="169" w:name="_Hlk58256760"/>
      <w:r>
        <w:t xml:space="preserve">GHG mitigation target (Core Indicator 6) was reduced from 8,460,000 tCO2e at PFD stage to </w:t>
      </w:r>
      <w:r w:rsidR="00A415D1" w:rsidRPr="00E36EEF">
        <w:rPr>
          <w:highlight w:val="yellow"/>
        </w:rPr>
        <w:t>1,047,911</w:t>
      </w:r>
      <w:r>
        <w:t xml:space="preserve"> tCO2e at CEO endorsement request (see updated Ex-Act calculation in Annex X-</w:t>
      </w:r>
      <w:r w:rsidR="006D1B96">
        <w:t>2.6</w:t>
      </w:r>
      <w:r>
        <w:t xml:space="preserve"> of the ProDoc).  The current figure only reflects the benefits from the project’s direct interventions. It is expected that additional carbon benefits will be secured during the project implementation as part of the integrated landscape planning and implementation/financing of corresponding land use plans. The latter is difficult to calculate/estimate at this stage as the plans are not yet in place, finances not yet secured and targeted LUS not yet known.</w:t>
      </w:r>
    </w:p>
    <w:p w14:paraId="4D111FA4" w14:textId="71613E44" w:rsidR="009563B4" w:rsidRPr="003D36A0" w:rsidRDefault="009563B4" w:rsidP="009563B4">
      <w:pPr>
        <w:pStyle w:val="Heading2"/>
        <w:rPr>
          <w:rFonts w:ascii="Calibri" w:hAnsi="Calibri" w:cs="Calibri"/>
          <w:sz w:val="24"/>
          <w:szCs w:val="24"/>
          <w:lang w:val="en-US"/>
        </w:rPr>
      </w:pPr>
      <w:bookmarkStart w:id="170" w:name="_Toc12612942"/>
      <w:bookmarkStart w:id="171" w:name="_Toc42027129"/>
      <w:bookmarkStart w:id="172" w:name="_Toc42262637"/>
      <w:bookmarkStart w:id="173" w:name="_Toc58398592"/>
      <w:bookmarkStart w:id="174" w:name="_Toc10550556"/>
      <w:bookmarkStart w:id="175" w:name="_Toc10550644"/>
      <w:bookmarkStart w:id="176" w:name="_Toc10552987"/>
      <w:bookmarkStart w:id="177" w:name="_Toc10554529"/>
      <w:bookmarkStart w:id="178" w:name="_Toc10554597"/>
      <w:bookmarkEnd w:id="169"/>
      <w:r w:rsidRPr="003D36A0">
        <w:rPr>
          <w:rFonts w:ascii="Calibri" w:hAnsi="Calibri" w:cs="Calibri"/>
          <w:sz w:val="24"/>
          <w:szCs w:val="24"/>
          <w:lang w:val="en-US"/>
        </w:rPr>
        <w:t>1.</w:t>
      </w:r>
      <w:r w:rsidR="003D36A0" w:rsidRPr="003D36A0">
        <w:rPr>
          <w:rFonts w:ascii="Calibri" w:hAnsi="Calibri" w:cs="Calibri"/>
          <w:smallCaps w:val="0"/>
          <w:sz w:val="24"/>
          <w:szCs w:val="24"/>
          <w:lang w:val="en-US"/>
        </w:rPr>
        <w:t>b</w:t>
      </w:r>
      <w:r w:rsidRPr="003D36A0">
        <w:rPr>
          <w:rFonts w:ascii="Calibri" w:hAnsi="Calibri" w:cs="Calibri"/>
          <w:sz w:val="24"/>
          <w:szCs w:val="24"/>
          <w:lang w:val="en-US"/>
        </w:rPr>
        <w:t xml:space="preserve"> Project Map and Geo-Coordinates</w:t>
      </w:r>
      <w:bookmarkEnd w:id="170"/>
      <w:bookmarkEnd w:id="171"/>
      <w:bookmarkEnd w:id="172"/>
      <w:bookmarkEnd w:id="173"/>
      <w:r w:rsidRPr="003D36A0">
        <w:rPr>
          <w:rFonts w:ascii="Calibri" w:hAnsi="Calibri" w:cs="Calibri"/>
          <w:sz w:val="24"/>
          <w:szCs w:val="24"/>
          <w:lang w:val="en-US"/>
        </w:rPr>
        <w:t xml:space="preserve"> </w:t>
      </w:r>
    </w:p>
    <w:tbl>
      <w:tblPr>
        <w:tblStyle w:val="TableGrid"/>
        <w:tblW w:w="5000" w:type="pct"/>
        <w:tblLook w:val="04A0" w:firstRow="1" w:lastRow="0" w:firstColumn="1" w:lastColumn="0" w:noHBand="0" w:noVBand="1"/>
      </w:tblPr>
      <w:tblGrid>
        <w:gridCol w:w="4575"/>
        <w:gridCol w:w="4441"/>
      </w:tblGrid>
      <w:tr w:rsidR="009563B4" w:rsidRPr="00054E37" w14:paraId="21E02732" w14:textId="77777777" w:rsidTr="78C544BE">
        <w:trPr>
          <w:trHeight w:val="695"/>
        </w:trPr>
        <w:tc>
          <w:tcPr>
            <w:tcW w:w="5000" w:type="pct"/>
            <w:gridSpan w:val="2"/>
            <w:tcBorders>
              <w:bottom w:val="single" w:sz="4" w:space="0" w:color="auto"/>
            </w:tcBorders>
            <w:shd w:val="clear" w:color="auto" w:fill="FFFFFF" w:themeFill="background1"/>
            <w:tcMar>
              <w:top w:w="57" w:type="dxa"/>
              <w:left w:w="57" w:type="dxa"/>
              <w:bottom w:w="57" w:type="dxa"/>
              <w:right w:w="57" w:type="dxa"/>
            </w:tcMar>
          </w:tcPr>
          <w:p w14:paraId="4BA55CA6" w14:textId="5D06ABCC" w:rsidR="009563B4" w:rsidRPr="00D74D79" w:rsidRDefault="009563B4" w:rsidP="00D74D79">
            <w:pPr>
              <w:spacing w:before="120" w:after="120"/>
              <w:contextualSpacing/>
              <w:jc w:val="both"/>
              <w:rPr>
                <w:rFonts w:ascii="Calibri" w:hAnsi="Calibri" w:cs="Calibri"/>
                <w:sz w:val="21"/>
                <w:szCs w:val="21"/>
              </w:rPr>
            </w:pPr>
            <w:r w:rsidRPr="003D36A0">
              <w:rPr>
                <w:rFonts w:ascii="Calibri" w:hAnsi="Calibri" w:cs="Calibri"/>
                <w:sz w:val="21"/>
                <w:szCs w:val="21"/>
              </w:rPr>
              <w:t>Location of project sites (</w:t>
            </w:r>
            <w:hyperlink r:id="rId84" w:history="1">
              <w:r w:rsidR="003D36A0">
                <w:rPr>
                  <w:rStyle w:val="Hyperlink"/>
                  <w:rFonts w:ascii="Calibri" w:hAnsi="Calibri" w:cs="Calibri"/>
                  <w:sz w:val="21"/>
                  <w:szCs w:val="21"/>
                </w:rPr>
                <w:t>l</w:t>
              </w:r>
              <w:r w:rsidRPr="003D36A0">
                <w:rPr>
                  <w:rStyle w:val="Hyperlink"/>
                  <w:rFonts w:ascii="Calibri" w:hAnsi="Calibri" w:cs="Calibri"/>
                  <w:sz w:val="21"/>
                  <w:szCs w:val="21"/>
                </w:rPr>
                <w:t>ink to map</w:t>
              </w:r>
            </w:hyperlink>
            <w:r w:rsidRPr="003D36A0">
              <w:rPr>
                <w:rFonts w:ascii="Calibri" w:hAnsi="Calibri" w:cs="Calibri"/>
                <w:sz w:val="21"/>
                <w:szCs w:val="21"/>
              </w:rPr>
              <w:t xml:space="preserve">) </w:t>
            </w:r>
            <w:r w:rsidR="003D36A0">
              <w:rPr>
                <w:rFonts w:ascii="Calibri" w:hAnsi="Calibri" w:cs="Calibri"/>
                <w:sz w:val="21"/>
                <w:szCs w:val="21"/>
              </w:rPr>
              <w:t>- r</w:t>
            </w:r>
            <w:r w:rsidRPr="003D36A0">
              <w:rPr>
                <w:rFonts w:ascii="Calibri" w:hAnsi="Calibri" w:cs="Calibri"/>
                <w:sz w:val="21"/>
                <w:szCs w:val="21"/>
              </w:rPr>
              <w:t xml:space="preserve">efer to </w:t>
            </w:r>
            <w:r w:rsidRPr="003D36A0">
              <w:rPr>
                <w:rFonts w:ascii="Calibri" w:hAnsi="Calibri" w:cs="Calibri"/>
                <w:b/>
                <w:bCs/>
                <w:sz w:val="21"/>
                <w:szCs w:val="21"/>
              </w:rPr>
              <w:t>Annex E</w:t>
            </w:r>
            <w:r w:rsidRPr="003D36A0">
              <w:rPr>
                <w:rFonts w:ascii="Calibri" w:hAnsi="Calibri" w:cs="Calibri"/>
                <w:sz w:val="21"/>
                <w:szCs w:val="21"/>
              </w:rPr>
              <w:t xml:space="preserve"> for the </w:t>
            </w:r>
            <w:r w:rsidR="003D36A0">
              <w:rPr>
                <w:rFonts w:ascii="Calibri" w:hAnsi="Calibri" w:cs="Calibri"/>
                <w:sz w:val="21"/>
                <w:szCs w:val="21"/>
              </w:rPr>
              <w:t>l</w:t>
            </w:r>
            <w:r w:rsidRPr="003D36A0">
              <w:rPr>
                <w:rFonts w:ascii="Calibri" w:hAnsi="Calibri" w:cs="Calibri"/>
                <w:sz w:val="21"/>
                <w:szCs w:val="21"/>
              </w:rPr>
              <w:t xml:space="preserve">andscape </w:t>
            </w:r>
            <w:r w:rsidR="003D36A0">
              <w:rPr>
                <w:rFonts w:ascii="Calibri" w:hAnsi="Calibri" w:cs="Calibri"/>
                <w:sz w:val="21"/>
                <w:szCs w:val="21"/>
              </w:rPr>
              <w:t>p</w:t>
            </w:r>
            <w:r w:rsidRPr="003D36A0">
              <w:rPr>
                <w:rFonts w:ascii="Calibri" w:hAnsi="Calibri" w:cs="Calibri"/>
                <w:sz w:val="21"/>
                <w:szCs w:val="21"/>
              </w:rPr>
              <w:t>rofiles.</w:t>
            </w:r>
            <w:r w:rsidR="00D74D79">
              <w:rPr>
                <w:rFonts w:ascii="Calibri" w:hAnsi="Calibri" w:cs="Calibri"/>
                <w:sz w:val="21"/>
                <w:szCs w:val="21"/>
              </w:rPr>
              <w:t xml:space="preserve"> </w:t>
            </w:r>
            <w:r w:rsidRPr="003D36A0">
              <w:rPr>
                <w:rFonts w:ascii="Calibri" w:hAnsi="Calibri" w:cs="Calibri"/>
                <w:sz w:val="21"/>
                <w:szCs w:val="21"/>
              </w:rPr>
              <w:t>Refer also to Part I, Section 1a</w:t>
            </w:r>
            <w:r w:rsidR="00D74D79">
              <w:rPr>
                <w:rFonts w:ascii="Calibri" w:hAnsi="Calibri" w:cs="Calibri"/>
                <w:sz w:val="21"/>
                <w:szCs w:val="21"/>
                <w:u w:val="single"/>
              </w:rPr>
              <w:t xml:space="preserve"> Box 6.</w:t>
            </w:r>
          </w:p>
        </w:tc>
      </w:tr>
      <w:tr w:rsidR="009563B4" w:rsidRPr="00CE1EA7" w14:paraId="1DA01A07" w14:textId="77777777" w:rsidTr="78C544BE">
        <w:trPr>
          <w:trHeight w:val="84"/>
        </w:trPr>
        <w:tc>
          <w:tcPr>
            <w:tcW w:w="2503" w:type="pct"/>
            <w:tcBorders>
              <w:bottom w:val="nil"/>
            </w:tcBorders>
            <w:shd w:val="clear" w:color="auto" w:fill="FFFFFF" w:themeFill="background1"/>
            <w:tcMar>
              <w:top w:w="57" w:type="dxa"/>
              <w:left w:w="57" w:type="dxa"/>
              <w:bottom w:w="57" w:type="dxa"/>
              <w:right w:w="57" w:type="dxa"/>
            </w:tcMar>
          </w:tcPr>
          <w:p w14:paraId="2F4C694E" w14:textId="77777777" w:rsidR="009563B4" w:rsidRPr="00C0777D" w:rsidRDefault="009563B4" w:rsidP="00481CA4">
            <w:pPr>
              <w:jc w:val="center"/>
              <w:rPr>
                <w:rFonts w:asciiTheme="minorHAnsi" w:hAnsiTheme="minorHAnsi" w:cstheme="minorHAnsi"/>
                <w:b/>
                <w:sz w:val="21"/>
                <w:szCs w:val="21"/>
                <w:lang w:val="it-IT"/>
              </w:rPr>
            </w:pPr>
            <w:r w:rsidRPr="00C0777D">
              <w:rPr>
                <w:rFonts w:asciiTheme="minorHAnsi" w:hAnsiTheme="minorHAnsi" w:cstheme="minorHAnsi"/>
                <w:b/>
                <w:sz w:val="21"/>
                <w:szCs w:val="21"/>
                <w:lang w:val="it-IT"/>
              </w:rPr>
              <w:lastRenderedPageBreak/>
              <w:t>Sub-basin 1 (Cuchi-Okavango)</w:t>
            </w:r>
          </w:p>
          <w:p w14:paraId="21709B65" w14:textId="4B50185C" w:rsidR="009563B4" w:rsidRPr="00BA2133" w:rsidRDefault="009563B4" w:rsidP="00481CA4">
            <w:pPr>
              <w:jc w:val="center"/>
              <w:rPr>
                <w:rFonts w:asciiTheme="minorHAnsi" w:hAnsiTheme="minorHAnsi" w:cstheme="minorHAnsi"/>
                <w:lang w:val="it-IT"/>
              </w:rPr>
            </w:pPr>
            <w:r w:rsidRPr="00C0777D">
              <w:rPr>
                <w:rFonts w:asciiTheme="minorHAnsi" w:hAnsiTheme="minorHAnsi" w:cstheme="minorHAnsi"/>
                <w:sz w:val="21"/>
                <w:szCs w:val="21"/>
                <w:lang w:val="it-IT"/>
              </w:rPr>
              <w:t>Coordinates:-</w:t>
            </w:r>
            <w:r w:rsidR="003D36A0" w:rsidRPr="00C0777D">
              <w:rPr>
                <w:rFonts w:asciiTheme="minorHAnsi" w:hAnsiTheme="minorHAnsi" w:cstheme="minorHAnsi"/>
                <w:sz w:val="21"/>
                <w:szCs w:val="21"/>
                <w:lang w:val="it-IT"/>
              </w:rPr>
              <w:t xml:space="preserve"> </w:t>
            </w:r>
            <w:r w:rsidRPr="00C0777D">
              <w:rPr>
                <w:rFonts w:asciiTheme="minorHAnsi" w:hAnsiTheme="minorHAnsi" w:cstheme="minorHAnsi"/>
                <w:sz w:val="21"/>
                <w:szCs w:val="21"/>
                <w:lang w:val="it-IT"/>
              </w:rPr>
              <w:t>14.72064, 16.88853</w:t>
            </w:r>
          </w:p>
        </w:tc>
        <w:tc>
          <w:tcPr>
            <w:tcW w:w="2497" w:type="pct"/>
            <w:tcBorders>
              <w:bottom w:val="nil"/>
            </w:tcBorders>
            <w:shd w:val="clear" w:color="auto" w:fill="FFFFFF" w:themeFill="background1"/>
            <w:tcMar>
              <w:top w:w="57" w:type="dxa"/>
              <w:left w:w="57" w:type="dxa"/>
              <w:bottom w:w="57" w:type="dxa"/>
              <w:right w:w="57" w:type="dxa"/>
            </w:tcMar>
          </w:tcPr>
          <w:p w14:paraId="78064529" w14:textId="77777777" w:rsidR="009563B4" w:rsidRPr="00C0777D" w:rsidRDefault="009563B4" w:rsidP="00481CA4">
            <w:pPr>
              <w:jc w:val="center"/>
              <w:rPr>
                <w:rFonts w:asciiTheme="minorHAnsi" w:hAnsiTheme="minorHAnsi" w:cstheme="minorHAnsi"/>
                <w:b/>
                <w:sz w:val="21"/>
                <w:szCs w:val="21"/>
              </w:rPr>
            </w:pPr>
            <w:r w:rsidRPr="00C0777D">
              <w:rPr>
                <w:rFonts w:asciiTheme="minorHAnsi" w:hAnsiTheme="minorHAnsi" w:cstheme="minorHAnsi"/>
                <w:b/>
                <w:sz w:val="21"/>
                <w:szCs w:val="21"/>
              </w:rPr>
              <w:t>Sub-basin 2 (Cahama-Kunene)</w:t>
            </w:r>
          </w:p>
          <w:p w14:paraId="23981D13" w14:textId="5AC35C89" w:rsidR="009563B4" w:rsidRPr="00CE1EA7" w:rsidRDefault="009563B4" w:rsidP="00481CA4">
            <w:pPr>
              <w:jc w:val="center"/>
              <w:rPr>
                <w:rFonts w:asciiTheme="minorHAnsi" w:hAnsiTheme="minorHAnsi" w:cstheme="minorHAnsi"/>
              </w:rPr>
            </w:pPr>
            <w:r w:rsidRPr="00C0777D">
              <w:rPr>
                <w:rFonts w:asciiTheme="minorHAnsi" w:hAnsiTheme="minorHAnsi" w:cstheme="minorHAnsi"/>
                <w:sz w:val="21"/>
                <w:szCs w:val="21"/>
              </w:rPr>
              <w:t>Coordinates:-</w:t>
            </w:r>
            <w:r w:rsidR="003D36A0" w:rsidRPr="00C0777D">
              <w:rPr>
                <w:rFonts w:asciiTheme="minorHAnsi" w:hAnsiTheme="minorHAnsi" w:cstheme="minorHAnsi"/>
                <w:sz w:val="21"/>
                <w:szCs w:val="21"/>
              </w:rPr>
              <w:t xml:space="preserve"> </w:t>
            </w:r>
            <w:r w:rsidRPr="00C0777D">
              <w:rPr>
                <w:rFonts w:asciiTheme="minorHAnsi" w:hAnsiTheme="minorHAnsi" w:cstheme="minorHAnsi"/>
                <w:sz w:val="21"/>
                <w:szCs w:val="21"/>
              </w:rPr>
              <w:t>16.31316, 14.31777</w:t>
            </w:r>
          </w:p>
        </w:tc>
      </w:tr>
      <w:tr w:rsidR="002E3E91" w:rsidRPr="00CE1EA7" w14:paraId="6780DC50" w14:textId="77777777" w:rsidTr="78C544BE">
        <w:trPr>
          <w:trHeight w:val="84"/>
        </w:trPr>
        <w:tc>
          <w:tcPr>
            <w:tcW w:w="2503" w:type="pct"/>
            <w:tcBorders>
              <w:top w:val="nil"/>
            </w:tcBorders>
            <w:shd w:val="clear" w:color="auto" w:fill="FFFFFF" w:themeFill="background1"/>
            <w:tcMar>
              <w:top w:w="57" w:type="dxa"/>
              <w:left w:w="57" w:type="dxa"/>
              <w:bottom w:w="57" w:type="dxa"/>
              <w:right w:w="57" w:type="dxa"/>
            </w:tcMar>
          </w:tcPr>
          <w:p w14:paraId="0AD207D6" w14:textId="28862842" w:rsidR="002E3E91" w:rsidRPr="00CE1EA7" w:rsidRDefault="00F96399" w:rsidP="00481CA4">
            <w:pPr>
              <w:jc w:val="center"/>
              <w:rPr>
                <w:rFonts w:asciiTheme="minorHAnsi" w:hAnsiTheme="minorHAnsi" w:cstheme="minorHAnsi"/>
                <w:b/>
              </w:rPr>
            </w:pPr>
            <w:r>
              <w:rPr>
                <w:rFonts w:asciiTheme="minorHAnsi" w:hAnsiTheme="minorHAnsi" w:cstheme="minorHAnsi"/>
                <w:b/>
                <w:noProof/>
                <w:lang w:val="en-US" w:eastAsia="en-US"/>
              </w:rPr>
              <w:drawing>
                <wp:inline distT="0" distB="0" distL="0" distR="0" wp14:anchorId="3DC33F5F" wp14:editId="2C5AC695">
                  <wp:extent cx="2893926" cy="2201843"/>
                  <wp:effectExtent l="0" t="0" r="1905" b="8255"/>
                  <wp:docPr id="225" name="Picture 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5" name="Angola Remote Sensing Assessment ProDoc_240420_Page_03.jpg"/>
                          <pic:cNvPicPr/>
                        </pic:nvPicPr>
                        <pic:blipFill>
                          <a:blip r:embed="rId85"/>
                          <a:stretch>
                            <a:fillRect/>
                          </a:stretch>
                        </pic:blipFill>
                        <pic:spPr bwMode="auto">
                          <a:xfrm>
                            <a:off x="0" y="0"/>
                            <a:ext cx="2893926" cy="2201843"/>
                          </a:xfrm>
                          <a:prstGeom prst="rect">
                            <a:avLst/>
                          </a:prstGeom>
                          <a:ln>
                            <a:noFill/>
                          </a:ln>
                          <a:extLst>
                            <a:ext uri="{53640926-AAD7-44d8-BBD7-CCE9431645EC}">
                              <a14:shadowObscured xmlns:asvg="http://schemas.microsoft.com/office/drawing/2016/SVG/main" xmlns:a16="http://schemas.microsoft.com/office/drawing/2014/main" xmlns:ask="http://schemas.microsoft.com/office/drawing/2018/sketchyshapes"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xmlns:arto="http://schemas.microsoft.com/office/word/2006/arto"/>
                            </a:ext>
                          </a:extLst>
                        </pic:spPr>
                      </pic:pic>
                    </a:graphicData>
                  </a:graphic>
                </wp:inline>
              </w:drawing>
            </w:r>
          </w:p>
        </w:tc>
        <w:tc>
          <w:tcPr>
            <w:tcW w:w="2497" w:type="pct"/>
            <w:tcBorders>
              <w:top w:val="nil"/>
            </w:tcBorders>
            <w:shd w:val="clear" w:color="auto" w:fill="FFFFFF" w:themeFill="background1"/>
            <w:tcMar>
              <w:top w:w="57" w:type="dxa"/>
              <w:left w:w="57" w:type="dxa"/>
              <w:bottom w:w="57" w:type="dxa"/>
              <w:right w:w="57" w:type="dxa"/>
            </w:tcMar>
          </w:tcPr>
          <w:p w14:paraId="368355D7" w14:textId="77B5F981" w:rsidR="002E3E91" w:rsidRPr="00CE1EA7" w:rsidRDefault="00054E37" w:rsidP="00481CA4">
            <w:pPr>
              <w:jc w:val="center"/>
              <w:rPr>
                <w:rFonts w:asciiTheme="minorHAnsi" w:hAnsiTheme="minorHAnsi" w:cstheme="minorHAnsi"/>
                <w:b/>
              </w:rPr>
            </w:pPr>
            <w:r>
              <w:rPr>
                <w:rFonts w:asciiTheme="minorHAnsi" w:hAnsiTheme="minorHAnsi" w:cstheme="minorHAnsi"/>
                <w:b/>
                <w:noProof/>
                <w:lang w:val="en-US" w:eastAsia="en-US"/>
              </w:rPr>
              <w:drawing>
                <wp:inline distT="0" distB="0" distL="0" distR="0" wp14:anchorId="1B31B8FC" wp14:editId="26F5CDE4">
                  <wp:extent cx="2808720" cy="2137014"/>
                  <wp:effectExtent l="0" t="0" r="0" b="0"/>
                  <wp:docPr id="228" name="Picture 2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8" name="Angola Remote Sensing Assessment ProDoc_240420_Page_07.jpg"/>
                          <pic:cNvPicPr/>
                        </pic:nvPicPr>
                        <pic:blipFill>
                          <a:blip r:embed="rId86"/>
                          <a:stretch>
                            <a:fillRect/>
                          </a:stretch>
                        </pic:blipFill>
                        <pic:spPr bwMode="auto">
                          <a:xfrm>
                            <a:off x="0" y="0"/>
                            <a:ext cx="2808720" cy="2137014"/>
                          </a:xfrm>
                          <a:prstGeom prst="rect">
                            <a:avLst/>
                          </a:prstGeom>
                          <a:ln>
                            <a:noFill/>
                          </a:ln>
                          <a:extLst>
                            <a:ext uri="{53640926-AAD7-44d8-BBD7-CCE9431645EC}">
                              <a14:shadowObscured xmlns:asvg="http://schemas.microsoft.com/office/drawing/2016/SVG/main" xmlns:a16="http://schemas.microsoft.com/office/drawing/2014/main" xmlns:ask="http://schemas.microsoft.com/office/drawing/2018/sketchyshapes"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xmlns:arto="http://schemas.microsoft.com/office/word/2006/arto"/>
                            </a:ext>
                          </a:extLst>
                        </pic:spPr>
                      </pic:pic>
                    </a:graphicData>
                  </a:graphic>
                </wp:inline>
              </w:drawing>
            </w:r>
          </w:p>
        </w:tc>
      </w:tr>
    </w:tbl>
    <w:p w14:paraId="55BA9841" w14:textId="77777777" w:rsidR="009563B4" w:rsidRPr="004B5C32" w:rsidRDefault="009563B4" w:rsidP="009563B4">
      <w:pPr>
        <w:rPr>
          <w:rFonts w:ascii="Calibri" w:hAnsi="Calibri" w:cs="Calibri"/>
        </w:rPr>
      </w:pPr>
      <w:bookmarkStart w:id="179" w:name="_Toc10554530"/>
      <w:bookmarkStart w:id="180" w:name="_Toc10554598"/>
      <w:bookmarkStart w:id="181" w:name="_Toc12612944"/>
      <w:bookmarkStart w:id="182" w:name="_Toc42027130"/>
      <w:bookmarkStart w:id="183" w:name="_Toc42262638"/>
      <w:bookmarkEnd w:id="174"/>
      <w:bookmarkEnd w:id="175"/>
      <w:bookmarkEnd w:id="176"/>
      <w:bookmarkEnd w:id="177"/>
      <w:bookmarkEnd w:id="178"/>
    </w:p>
    <w:p w14:paraId="726FDB10" w14:textId="358CF9BE" w:rsidR="009563B4" w:rsidRPr="007834C4" w:rsidRDefault="009563B4" w:rsidP="001667C6">
      <w:pPr>
        <w:pStyle w:val="Heading2"/>
        <w:numPr>
          <w:ilvl w:val="0"/>
          <w:numId w:val="65"/>
        </w:numPr>
        <w:shd w:val="clear" w:color="auto" w:fill="000000" w:themeFill="text1"/>
        <w:jc w:val="center"/>
        <w:rPr>
          <w:rFonts w:ascii="Calibri" w:hAnsi="Calibri" w:cs="Calibri"/>
          <w:color w:val="FFFFFF" w:themeColor="background1"/>
          <w:sz w:val="24"/>
          <w:szCs w:val="24"/>
          <w:lang w:val="en-US"/>
        </w:rPr>
      </w:pPr>
      <w:bookmarkStart w:id="184" w:name="_2._Stakeholders"/>
      <w:bookmarkStart w:id="185" w:name="_Ref52163541"/>
      <w:bookmarkStart w:id="186" w:name="_Toc58398593"/>
      <w:bookmarkEnd w:id="184"/>
      <w:r w:rsidRPr="007834C4">
        <w:rPr>
          <w:rFonts w:ascii="Calibri" w:hAnsi="Calibri" w:cs="Calibri"/>
          <w:color w:val="FFFFFF" w:themeColor="background1"/>
          <w:sz w:val="24"/>
          <w:szCs w:val="24"/>
          <w:lang w:val="en-US"/>
        </w:rPr>
        <w:t>Stakeholders</w:t>
      </w:r>
      <w:bookmarkEnd w:id="179"/>
      <w:bookmarkEnd w:id="180"/>
      <w:bookmarkEnd w:id="181"/>
      <w:bookmarkEnd w:id="182"/>
      <w:bookmarkEnd w:id="183"/>
      <w:bookmarkEnd w:id="185"/>
      <w:bookmarkEnd w:id="186"/>
    </w:p>
    <w:p w14:paraId="6B9F6E0E" w14:textId="77777777" w:rsidR="004B5C32" w:rsidRPr="007834C4" w:rsidRDefault="004B5C32" w:rsidP="004B5C32">
      <w:pPr>
        <w:rPr>
          <w:rFonts w:ascii="Calibri" w:hAnsi="Calibri" w:cs="Calibri"/>
          <w:sz w:val="21"/>
          <w:szCs w:val="21"/>
          <w:lang w:eastAsia="x-none"/>
        </w:rPr>
      </w:pPr>
    </w:p>
    <w:tbl>
      <w:tblPr>
        <w:tblStyle w:val="TableGrid"/>
        <w:tblW w:w="5000" w:type="pct"/>
        <w:jc w:val="center"/>
        <w:tblLook w:val="04A0" w:firstRow="1" w:lastRow="0" w:firstColumn="1" w:lastColumn="0" w:noHBand="0" w:noVBand="1"/>
      </w:tblPr>
      <w:tblGrid>
        <w:gridCol w:w="9016"/>
      </w:tblGrid>
      <w:tr w:rsidR="009563B4" w:rsidRPr="00C124A1" w14:paraId="5BBE472A" w14:textId="77777777" w:rsidTr="00C124A1">
        <w:trPr>
          <w:jc w:val="center"/>
        </w:trPr>
        <w:tc>
          <w:tcPr>
            <w:tcW w:w="5000" w:type="pct"/>
            <w:shd w:val="clear" w:color="auto" w:fill="auto"/>
            <w:tcMar>
              <w:top w:w="28" w:type="dxa"/>
              <w:left w:w="57" w:type="dxa"/>
              <w:bottom w:w="28" w:type="dxa"/>
              <w:right w:w="57" w:type="dxa"/>
            </w:tcMar>
          </w:tcPr>
          <w:p w14:paraId="0BF53015" w14:textId="10D16781" w:rsidR="009563B4" w:rsidRPr="00C124A1" w:rsidRDefault="009563B4" w:rsidP="00481CA4">
            <w:pPr>
              <w:spacing w:line="264" w:lineRule="auto"/>
              <w:rPr>
                <w:rFonts w:ascii="Calibri" w:eastAsia="MS Mincho" w:hAnsi="Calibri" w:cs="Calibri"/>
                <w:b/>
                <w:bCs/>
                <w:sz w:val="22"/>
                <w:szCs w:val="22"/>
              </w:rPr>
            </w:pPr>
            <w:r w:rsidRPr="000B2046">
              <w:rPr>
                <w:rFonts w:ascii="Calibri" w:eastAsia="MS Mincho" w:hAnsi="Calibri" w:cs="Calibri"/>
                <w:b/>
                <w:bCs/>
                <w:sz w:val="22"/>
                <w:szCs w:val="22"/>
              </w:rPr>
              <w:t>Select what role civil society will play in the project:</w:t>
            </w:r>
          </w:p>
          <w:p w14:paraId="5842582A" w14:textId="7AFCDBA8" w:rsidR="009563B4" w:rsidRPr="00FD141D" w:rsidRDefault="00FC10C8" w:rsidP="00481CA4">
            <w:pPr>
              <w:spacing w:line="264" w:lineRule="auto"/>
              <w:ind w:left="311"/>
              <w:rPr>
                <w:rFonts w:ascii="Calibri" w:eastAsia="MS Mincho" w:hAnsi="Calibri" w:cs="Calibri"/>
                <w:sz w:val="21"/>
                <w:szCs w:val="21"/>
              </w:rPr>
            </w:pPr>
            <w:r>
              <w:rPr>
                <w:rFonts w:ascii="Calibri" w:eastAsia="MS Mincho" w:hAnsi="Calibri" w:cs="Calibri"/>
                <w:sz w:val="22"/>
                <w:szCs w:val="22"/>
              </w:rPr>
              <w:fldChar w:fldCharType="begin">
                <w:ffData>
                  <w:name w:val="IAP_cities"/>
                  <w:enabled/>
                  <w:calcOnExit w:val="0"/>
                  <w:checkBox>
                    <w:sizeAuto/>
                    <w:default w:val="0"/>
                  </w:checkBox>
                </w:ffData>
              </w:fldChar>
            </w:r>
            <w:bookmarkStart w:id="187" w:name="IAP_cities"/>
            <w:r>
              <w:rPr>
                <w:rFonts w:ascii="Calibri" w:eastAsia="MS Mincho" w:hAnsi="Calibri" w:cs="Calibri"/>
                <w:sz w:val="22"/>
                <w:szCs w:val="22"/>
              </w:rPr>
              <w:instrText xml:space="preserve"> FORMCHECKBOX </w:instrText>
            </w:r>
            <w:r w:rsidR="000C73F8">
              <w:rPr>
                <w:rFonts w:ascii="Calibri" w:eastAsia="MS Mincho" w:hAnsi="Calibri" w:cs="Calibri"/>
                <w:sz w:val="22"/>
                <w:szCs w:val="22"/>
              </w:rPr>
            </w:r>
            <w:r w:rsidR="000C73F8">
              <w:rPr>
                <w:rFonts w:ascii="Calibri" w:eastAsia="MS Mincho" w:hAnsi="Calibri" w:cs="Calibri"/>
                <w:sz w:val="22"/>
                <w:szCs w:val="22"/>
              </w:rPr>
              <w:fldChar w:fldCharType="separate"/>
            </w:r>
            <w:r>
              <w:rPr>
                <w:rFonts w:ascii="Calibri" w:eastAsia="MS Mincho" w:hAnsi="Calibri" w:cs="Calibri"/>
                <w:sz w:val="22"/>
                <w:szCs w:val="22"/>
              </w:rPr>
              <w:fldChar w:fldCharType="end"/>
            </w:r>
            <w:bookmarkEnd w:id="187"/>
            <w:r w:rsidR="00C124A1">
              <w:rPr>
                <w:rFonts w:ascii="Calibri" w:eastAsia="MS Mincho" w:hAnsi="Calibri" w:cs="Calibri"/>
                <w:sz w:val="22"/>
                <w:szCs w:val="22"/>
              </w:rPr>
              <w:t xml:space="preserve"> </w:t>
            </w:r>
            <w:r w:rsidR="009563B4" w:rsidRPr="00FD141D">
              <w:rPr>
                <w:rFonts w:ascii="Calibri" w:eastAsia="MS Mincho" w:hAnsi="Calibri" w:cs="Calibri"/>
                <w:sz w:val="21"/>
                <w:szCs w:val="21"/>
              </w:rPr>
              <w:t xml:space="preserve">Consulted only; </w:t>
            </w:r>
          </w:p>
          <w:p w14:paraId="043D287D" w14:textId="20EAA37A" w:rsidR="009563B4" w:rsidRPr="00FD141D" w:rsidRDefault="000B2046" w:rsidP="00481CA4">
            <w:pPr>
              <w:spacing w:line="264" w:lineRule="auto"/>
              <w:ind w:left="311"/>
              <w:rPr>
                <w:rFonts w:ascii="Calibri" w:eastAsia="MS Mincho" w:hAnsi="Calibri" w:cs="Calibri"/>
                <w:sz w:val="21"/>
                <w:szCs w:val="21"/>
              </w:rPr>
            </w:pPr>
            <w:r>
              <w:rPr>
                <w:rFonts w:ascii="Calibri" w:eastAsia="MS Mincho" w:hAnsi="Calibri" w:cs="Calibri"/>
                <w:sz w:val="21"/>
                <w:szCs w:val="21"/>
              </w:rPr>
              <w:fldChar w:fldCharType="begin">
                <w:ffData>
                  <w:name w:val=""/>
                  <w:enabled/>
                  <w:calcOnExit w:val="0"/>
                  <w:checkBox>
                    <w:sizeAuto/>
                    <w:default w:val="1"/>
                  </w:checkBox>
                </w:ffData>
              </w:fldChar>
            </w:r>
            <w:r>
              <w:rPr>
                <w:rFonts w:ascii="Calibri" w:eastAsia="MS Mincho" w:hAnsi="Calibri" w:cs="Calibri"/>
                <w:sz w:val="21"/>
                <w:szCs w:val="21"/>
              </w:rPr>
              <w:instrText xml:space="preserve"> FORMCHECKBOX </w:instrText>
            </w:r>
            <w:r w:rsidR="000C73F8">
              <w:rPr>
                <w:rFonts w:ascii="Calibri" w:eastAsia="MS Mincho" w:hAnsi="Calibri" w:cs="Calibri"/>
                <w:sz w:val="21"/>
                <w:szCs w:val="21"/>
              </w:rPr>
            </w:r>
            <w:r w:rsidR="000C73F8">
              <w:rPr>
                <w:rFonts w:ascii="Calibri" w:eastAsia="MS Mincho" w:hAnsi="Calibri" w:cs="Calibri"/>
                <w:sz w:val="21"/>
                <w:szCs w:val="21"/>
              </w:rPr>
              <w:fldChar w:fldCharType="separate"/>
            </w:r>
            <w:r>
              <w:rPr>
                <w:rFonts w:ascii="Calibri" w:eastAsia="MS Mincho" w:hAnsi="Calibri" w:cs="Calibri"/>
                <w:sz w:val="21"/>
                <w:szCs w:val="21"/>
              </w:rPr>
              <w:fldChar w:fldCharType="end"/>
            </w:r>
            <w:r w:rsidR="00C124A1" w:rsidRPr="00FD141D">
              <w:rPr>
                <w:rFonts w:ascii="Calibri" w:eastAsia="MS Mincho" w:hAnsi="Calibri" w:cs="Calibri"/>
                <w:sz w:val="21"/>
                <w:szCs w:val="21"/>
              </w:rPr>
              <w:t xml:space="preserve"> </w:t>
            </w:r>
            <w:r w:rsidR="009563B4" w:rsidRPr="00FD141D">
              <w:rPr>
                <w:rFonts w:ascii="Calibri" w:eastAsia="MS Mincho" w:hAnsi="Calibri" w:cs="Calibri"/>
                <w:sz w:val="21"/>
                <w:szCs w:val="21"/>
              </w:rPr>
              <w:t xml:space="preserve">Member of Advisory Body; contractor; </w:t>
            </w:r>
          </w:p>
          <w:p w14:paraId="39470619" w14:textId="7200B6A2" w:rsidR="009563B4" w:rsidRPr="00FD141D" w:rsidRDefault="009563B4" w:rsidP="00481CA4">
            <w:pPr>
              <w:spacing w:line="264" w:lineRule="auto"/>
              <w:ind w:left="311"/>
              <w:rPr>
                <w:rFonts w:ascii="Calibri" w:eastAsia="MS Mincho" w:hAnsi="Calibri" w:cs="Calibri"/>
                <w:sz w:val="21"/>
                <w:szCs w:val="21"/>
              </w:rPr>
            </w:pPr>
            <w:r w:rsidRPr="00FD141D">
              <w:rPr>
                <w:rFonts w:ascii="Calibri" w:eastAsia="MS Mincho" w:hAnsi="Calibri" w:cs="Calibri"/>
                <w:sz w:val="21"/>
                <w:szCs w:val="21"/>
              </w:rPr>
              <w:fldChar w:fldCharType="begin">
                <w:ffData>
                  <w:name w:val="IAP_cities"/>
                  <w:enabled/>
                  <w:calcOnExit w:val="0"/>
                  <w:checkBox>
                    <w:sizeAuto/>
                    <w:default w:val="0"/>
                  </w:checkBox>
                </w:ffData>
              </w:fldChar>
            </w:r>
            <w:r w:rsidRPr="00FD141D">
              <w:rPr>
                <w:rFonts w:ascii="Calibri" w:eastAsia="MS Mincho" w:hAnsi="Calibri" w:cs="Calibri"/>
                <w:sz w:val="21"/>
                <w:szCs w:val="21"/>
              </w:rPr>
              <w:instrText xml:space="preserve"> FORMCHECKBOX </w:instrText>
            </w:r>
            <w:r w:rsidR="000C73F8">
              <w:rPr>
                <w:rFonts w:ascii="Calibri" w:eastAsia="MS Mincho" w:hAnsi="Calibri" w:cs="Calibri"/>
                <w:sz w:val="21"/>
                <w:szCs w:val="21"/>
              </w:rPr>
            </w:r>
            <w:r w:rsidR="000C73F8">
              <w:rPr>
                <w:rFonts w:ascii="Calibri" w:eastAsia="MS Mincho" w:hAnsi="Calibri" w:cs="Calibri"/>
                <w:sz w:val="21"/>
                <w:szCs w:val="21"/>
              </w:rPr>
              <w:fldChar w:fldCharType="separate"/>
            </w:r>
            <w:r w:rsidRPr="00FD141D">
              <w:rPr>
                <w:rFonts w:ascii="Calibri" w:eastAsia="MS Mincho" w:hAnsi="Calibri" w:cs="Calibri"/>
                <w:sz w:val="21"/>
                <w:szCs w:val="21"/>
              </w:rPr>
              <w:fldChar w:fldCharType="end"/>
            </w:r>
            <w:r w:rsidR="00C124A1" w:rsidRPr="00FD141D">
              <w:rPr>
                <w:rFonts w:ascii="Calibri" w:eastAsia="MS Mincho" w:hAnsi="Calibri" w:cs="Calibri"/>
                <w:sz w:val="21"/>
                <w:szCs w:val="21"/>
              </w:rPr>
              <w:t xml:space="preserve"> </w:t>
            </w:r>
            <w:r w:rsidRPr="00FD141D">
              <w:rPr>
                <w:rFonts w:ascii="Calibri" w:eastAsia="MS Mincho" w:hAnsi="Calibri" w:cs="Calibri"/>
                <w:sz w:val="21"/>
                <w:szCs w:val="21"/>
              </w:rPr>
              <w:t xml:space="preserve">Co-financier; </w:t>
            </w:r>
          </w:p>
          <w:p w14:paraId="74C1B9E1" w14:textId="600FEE46" w:rsidR="009563B4" w:rsidRPr="00FD141D" w:rsidRDefault="000B2046" w:rsidP="00481CA4">
            <w:pPr>
              <w:spacing w:line="264" w:lineRule="auto"/>
              <w:ind w:left="311"/>
              <w:rPr>
                <w:rFonts w:ascii="Calibri" w:eastAsia="MS Mincho" w:hAnsi="Calibri" w:cs="Calibri"/>
                <w:sz w:val="21"/>
                <w:szCs w:val="21"/>
              </w:rPr>
            </w:pPr>
            <w:r>
              <w:rPr>
                <w:rFonts w:ascii="Calibri" w:eastAsia="MS Mincho" w:hAnsi="Calibri" w:cs="Calibri"/>
                <w:sz w:val="21"/>
                <w:szCs w:val="21"/>
              </w:rPr>
              <w:fldChar w:fldCharType="begin">
                <w:ffData>
                  <w:name w:val=""/>
                  <w:enabled/>
                  <w:calcOnExit w:val="0"/>
                  <w:checkBox>
                    <w:sizeAuto/>
                    <w:default w:val="1"/>
                  </w:checkBox>
                </w:ffData>
              </w:fldChar>
            </w:r>
            <w:r>
              <w:rPr>
                <w:rFonts w:ascii="Calibri" w:eastAsia="MS Mincho" w:hAnsi="Calibri" w:cs="Calibri"/>
                <w:sz w:val="21"/>
                <w:szCs w:val="21"/>
              </w:rPr>
              <w:instrText xml:space="preserve"> FORMCHECKBOX </w:instrText>
            </w:r>
            <w:r w:rsidR="000C73F8">
              <w:rPr>
                <w:rFonts w:ascii="Calibri" w:eastAsia="MS Mincho" w:hAnsi="Calibri" w:cs="Calibri"/>
                <w:sz w:val="21"/>
                <w:szCs w:val="21"/>
              </w:rPr>
            </w:r>
            <w:r w:rsidR="000C73F8">
              <w:rPr>
                <w:rFonts w:ascii="Calibri" w:eastAsia="MS Mincho" w:hAnsi="Calibri" w:cs="Calibri"/>
                <w:sz w:val="21"/>
                <w:szCs w:val="21"/>
              </w:rPr>
              <w:fldChar w:fldCharType="separate"/>
            </w:r>
            <w:r>
              <w:rPr>
                <w:rFonts w:ascii="Calibri" w:eastAsia="MS Mincho" w:hAnsi="Calibri" w:cs="Calibri"/>
                <w:sz w:val="21"/>
                <w:szCs w:val="21"/>
              </w:rPr>
              <w:fldChar w:fldCharType="end"/>
            </w:r>
            <w:r w:rsidR="00C124A1" w:rsidRPr="00FD141D">
              <w:rPr>
                <w:rFonts w:ascii="Calibri" w:eastAsia="MS Mincho" w:hAnsi="Calibri" w:cs="Calibri"/>
                <w:sz w:val="21"/>
                <w:szCs w:val="21"/>
              </w:rPr>
              <w:t xml:space="preserve"> </w:t>
            </w:r>
            <w:r w:rsidR="009563B4" w:rsidRPr="00FD141D">
              <w:rPr>
                <w:rFonts w:ascii="Calibri" w:eastAsia="MS Mincho" w:hAnsi="Calibri" w:cs="Calibri"/>
                <w:sz w:val="21"/>
                <w:szCs w:val="21"/>
              </w:rPr>
              <w:t xml:space="preserve">Member of project steering committee or equivalent decision-making body; </w:t>
            </w:r>
          </w:p>
          <w:p w14:paraId="4704F3E9" w14:textId="6353133E" w:rsidR="009563B4" w:rsidRPr="00FD141D" w:rsidRDefault="000B2046" w:rsidP="00481CA4">
            <w:pPr>
              <w:spacing w:line="264" w:lineRule="auto"/>
              <w:ind w:left="311"/>
              <w:rPr>
                <w:rFonts w:ascii="Calibri" w:eastAsia="MS Mincho" w:hAnsi="Calibri" w:cs="Calibri"/>
                <w:sz w:val="21"/>
                <w:szCs w:val="21"/>
              </w:rPr>
            </w:pPr>
            <w:r>
              <w:rPr>
                <w:rFonts w:ascii="Calibri" w:eastAsia="MS Mincho" w:hAnsi="Calibri" w:cs="Calibri"/>
                <w:sz w:val="21"/>
                <w:szCs w:val="21"/>
              </w:rPr>
              <w:fldChar w:fldCharType="begin">
                <w:ffData>
                  <w:name w:val=""/>
                  <w:enabled/>
                  <w:calcOnExit w:val="0"/>
                  <w:checkBox>
                    <w:sizeAuto/>
                    <w:default w:val="1"/>
                  </w:checkBox>
                </w:ffData>
              </w:fldChar>
            </w:r>
            <w:r>
              <w:rPr>
                <w:rFonts w:ascii="Calibri" w:eastAsia="MS Mincho" w:hAnsi="Calibri" w:cs="Calibri"/>
                <w:sz w:val="21"/>
                <w:szCs w:val="21"/>
              </w:rPr>
              <w:instrText xml:space="preserve"> FORMCHECKBOX </w:instrText>
            </w:r>
            <w:r w:rsidR="000C73F8">
              <w:rPr>
                <w:rFonts w:ascii="Calibri" w:eastAsia="MS Mincho" w:hAnsi="Calibri" w:cs="Calibri"/>
                <w:sz w:val="21"/>
                <w:szCs w:val="21"/>
              </w:rPr>
            </w:r>
            <w:r w:rsidR="000C73F8">
              <w:rPr>
                <w:rFonts w:ascii="Calibri" w:eastAsia="MS Mincho" w:hAnsi="Calibri" w:cs="Calibri"/>
                <w:sz w:val="21"/>
                <w:szCs w:val="21"/>
              </w:rPr>
              <w:fldChar w:fldCharType="separate"/>
            </w:r>
            <w:r>
              <w:rPr>
                <w:rFonts w:ascii="Calibri" w:eastAsia="MS Mincho" w:hAnsi="Calibri" w:cs="Calibri"/>
                <w:sz w:val="21"/>
                <w:szCs w:val="21"/>
              </w:rPr>
              <w:fldChar w:fldCharType="end"/>
            </w:r>
            <w:r w:rsidR="00C124A1" w:rsidRPr="00FD141D">
              <w:rPr>
                <w:rFonts w:ascii="Calibri" w:eastAsia="MS Mincho" w:hAnsi="Calibri" w:cs="Calibri"/>
                <w:sz w:val="21"/>
                <w:szCs w:val="21"/>
              </w:rPr>
              <w:t xml:space="preserve"> </w:t>
            </w:r>
            <w:r w:rsidR="009563B4" w:rsidRPr="00FD141D">
              <w:rPr>
                <w:rFonts w:ascii="Calibri" w:eastAsia="MS Mincho" w:hAnsi="Calibri" w:cs="Calibri"/>
                <w:sz w:val="21"/>
                <w:szCs w:val="21"/>
              </w:rPr>
              <w:t>Executor or co-executor;</w:t>
            </w:r>
          </w:p>
          <w:p w14:paraId="4803FAEE" w14:textId="3BC3CA0F" w:rsidR="009563B4" w:rsidRPr="00C124A1" w:rsidRDefault="009563B4" w:rsidP="00004E48">
            <w:pPr>
              <w:spacing w:line="264" w:lineRule="auto"/>
              <w:ind w:left="311"/>
              <w:rPr>
                <w:rFonts w:ascii="Calibri" w:eastAsia="MS Mincho" w:hAnsi="Calibri" w:cs="Calibri"/>
                <w:sz w:val="22"/>
                <w:szCs w:val="22"/>
              </w:rPr>
            </w:pPr>
            <w:r w:rsidRPr="00FD141D">
              <w:rPr>
                <w:rFonts w:ascii="Calibri" w:eastAsia="MS Mincho" w:hAnsi="Calibri" w:cs="Calibri"/>
                <w:sz w:val="21"/>
                <w:szCs w:val="21"/>
              </w:rPr>
              <w:fldChar w:fldCharType="begin">
                <w:ffData>
                  <w:name w:val="IAP_cities"/>
                  <w:enabled/>
                  <w:calcOnExit w:val="0"/>
                  <w:checkBox>
                    <w:sizeAuto/>
                    <w:default w:val="0"/>
                  </w:checkBox>
                </w:ffData>
              </w:fldChar>
            </w:r>
            <w:r w:rsidRPr="00FD141D">
              <w:rPr>
                <w:rFonts w:ascii="Calibri" w:eastAsia="MS Mincho" w:hAnsi="Calibri" w:cs="Calibri"/>
                <w:sz w:val="21"/>
                <w:szCs w:val="21"/>
              </w:rPr>
              <w:instrText xml:space="preserve"> FORMCHECKBOX </w:instrText>
            </w:r>
            <w:r w:rsidR="000C73F8">
              <w:rPr>
                <w:rFonts w:ascii="Calibri" w:eastAsia="MS Mincho" w:hAnsi="Calibri" w:cs="Calibri"/>
                <w:sz w:val="21"/>
                <w:szCs w:val="21"/>
              </w:rPr>
            </w:r>
            <w:r w:rsidR="000C73F8">
              <w:rPr>
                <w:rFonts w:ascii="Calibri" w:eastAsia="MS Mincho" w:hAnsi="Calibri" w:cs="Calibri"/>
                <w:sz w:val="21"/>
                <w:szCs w:val="21"/>
              </w:rPr>
              <w:fldChar w:fldCharType="separate"/>
            </w:r>
            <w:r w:rsidRPr="00FD141D">
              <w:rPr>
                <w:rFonts w:ascii="Calibri" w:eastAsia="MS Mincho" w:hAnsi="Calibri" w:cs="Calibri"/>
                <w:sz w:val="21"/>
                <w:szCs w:val="21"/>
              </w:rPr>
              <w:fldChar w:fldCharType="end"/>
            </w:r>
            <w:r w:rsidR="00C124A1" w:rsidRPr="00FD141D">
              <w:rPr>
                <w:rFonts w:ascii="Calibri" w:eastAsia="MS Mincho" w:hAnsi="Calibri" w:cs="Calibri"/>
                <w:sz w:val="21"/>
                <w:szCs w:val="21"/>
              </w:rPr>
              <w:t xml:space="preserve"> </w:t>
            </w:r>
            <w:r w:rsidRPr="00FD141D">
              <w:rPr>
                <w:rFonts w:ascii="Calibri" w:eastAsia="MS Mincho" w:hAnsi="Calibri" w:cs="Calibri"/>
                <w:sz w:val="21"/>
                <w:szCs w:val="21"/>
              </w:rPr>
              <w:t>Other (Please explain)</w:t>
            </w:r>
            <w:r w:rsidRPr="00C124A1">
              <w:rPr>
                <w:rFonts w:ascii="Calibri" w:eastAsia="MS Mincho" w:hAnsi="Calibri" w:cs="Calibri"/>
                <w:sz w:val="22"/>
                <w:szCs w:val="22"/>
              </w:rPr>
              <w:t xml:space="preserve"> </w:t>
            </w:r>
          </w:p>
        </w:tc>
      </w:tr>
    </w:tbl>
    <w:p w14:paraId="2DBCF3C5" w14:textId="77777777" w:rsidR="009563B4" w:rsidRPr="00CE1EA7" w:rsidRDefault="009563B4" w:rsidP="009563B4"/>
    <w:p w14:paraId="39A00D81" w14:textId="1ED74840" w:rsidR="008446D2" w:rsidRDefault="008446D2" w:rsidP="001667C6">
      <w:pPr>
        <w:pStyle w:val="ParagraphOED"/>
        <w:numPr>
          <w:ilvl w:val="0"/>
          <w:numId w:val="102"/>
        </w:numPr>
      </w:pPr>
      <w:r w:rsidRPr="75E7BDD7">
        <w:t xml:space="preserve">In line with GEF Policy on Stakeholder engagement and Implementation Guidelines guidance, meaningful and continuous stakeholder engagement during the project design and implementation is key to maximize country ownership and contribute to more enduring results at scale. </w:t>
      </w:r>
      <w:r w:rsidRPr="00A47A75">
        <w:t>Moreover, the project intends to strengthen polycentric, multi-stakeholder governance mechanisms within the identified landscapes beyond integrated spatial planning and management</w:t>
      </w:r>
      <w:r w:rsidR="00AC4EE7">
        <w:rPr>
          <w:rStyle w:val="FootnoteReference"/>
        </w:rPr>
        <w:footnoteReference w:id="95"/>
      </w:r>
      <w:r w:rsidRPr="00A47A75">
        <w:t xml:space="preserve"> to result in positive impacts within the productive landscapes and contribute to preserving the natural capital.</w:t>
      </w:r>
    </w:p>
    <w:p w14:paraId="44E09A6B" w14:textId="5168B978" w:rsidR="009563B4" w:rsidRPr="00CE1EA7" w:rsidRDefault="00A45B4B" w:rsidP="001667C6">
      <w:pPr>
        <w:pStyle w:val="ParagraphOED"/>
        <w:numPr>
          <w:ilvl w:val="0"/>
          <w:numId w:val="102"/>
        </w:numPr>
        <w:spacing w:after="160"/>
      </w:pPr>
      <w:r>
        <w:t>Existing</w:t>
      </w:r>
      <w:r w:rsidR="009563B4" w:rsidRPr="1E65A5F7">
        <w:rPr>
          <w:b/>
          <w:bCs/>
        </w:rPr>
        <w:t xml:space="preserve"> and potential stakeholder individuals, groups and entities</w:t>
      </w:r>
      <w:r w:rsidR="009563B4">
        <w:t xml:space="preserve"> </w:t>
      </w:r>
      <w:r>
        <w:t>were identified during the project preparation process through various events and consultative meetings, including: the national inception workshop held on 24</w:t>
      </w:r>
      <w:r w:rsidRPr="1E65A5F7">
        <w:rPr>
          <w:vertAlign w:val="superscript"/>
        </w:rPr>
        <w:t>th</w:t>
      </w:r>
      <w:r>
        <w:t xml:space="preserve"> September 2019, landscape-level consultations on 15</w:t>
      </w:r>
      <w:r w:rsidRPr="1E65A5F7">
        <w:rPr>
          <w:vertAlign w:val="superscript"/>
        </w:rPr>
        <w:t>th</w:t>
      </w:r>
      <w:r>
        <w:t xml:space="preserve"> and 17</w:t>
      </w:r>
      <w:r w:rsidRPr="1E65A5F7">
        <w:rPr>
          <w:vertAlign w:val="superscript"/>
        </w:rPr>
        <w:t>th</w:t>
      </w:r>
      <w:r>
        <w:t xml:space="preserve"> October 2019 in Menonqgue and Cuchi (Site 1, Cuando Cubango) and 25</w:t>
      </w:r>
      <w:r w:rsidRPr="1E65A5F7">
        <w:rPr>
          <w:vertAlign w:val="superscript"/>
        </w:rPr>
        <w:t>th</w:t>
      </w:r>
      <w:r>
        <w:t xml:space="preserve"> and 26</w:t>
      </w:r>
      <w:r w:rsidRPr="1E65A5F7">
        <w:rPr>
          <w:vertAlign w:val="superscript"/>
        </w:rPr>
        <w:t>th</w:t>
      </w:r>
      <w:r>
        <w:t xml:space="preserve"> November in Ondjiva and Cahama (Site 2 Cunene). </w:t>
      </w:r>
      <w:r w:rsidR="00FA085C">
        <w:t>Individual and organization capacities were</w:t>
      </w:r>
      <w:r>
        <w:t xml:space="preserve"> assess</w:t>
      </w:r>
      <w:r w:rsidR="00FA085C">
        <w:t>ed</w:t>
      </w:r>
      <w:r>
        <w:t xml:space="preserve"> during these </w:t>
      </w:r>
      <w:r w:rsidR="00FA085C">
        <w:t xml:space="preserve">events by various methods of </w:t>
      </w:r>
      <w:r>
        <w:t xml:space="preserve">communication </w:t>
      </w:r>
      <w:r w:rsidR="00FA085C">
        <w:t>but such surveys were by no means comprehensive in their coverage of those who participated</w:t>
      </w:r>
      <w:r w:rsidR="00A950AD">
        <w:t xml:space="preserve"> and further consultation will be undertaken</w:t>
      </w:r>
      <w:r w:rsidR="0000539A">
        <w:t xml:space="preserve"> during project inception</w:t>
      </w:r>
      <w:r w:rsidR="00FA085C">
        <w:t xml:space="preserve">. </w:t>
      </w:r>
    </w:p>
    <w:p w14:paraId="28979B44" w14:textId="6A2C7315" w:rsidR="009563B4" w:rsidRPr="00004E48" w:rsidRDefault="009563B4" w:rsidP="00004E48">
      <w:pPr>
        <w:pStyle w:val="Heading3"/>
        <w:shd w:val="clear" w:color="auto" w:fill="FFFFFF" w:themeFill="background1"/>
        <w:spacing w:before="0"/>
        <w:jc w:val="left"/>
        <w:rPr>
          <w:rFonts w:ascii="Calibri" w:hAnsi="Calibri" w:cs="Calibri"/>
          <w:color w:val="FFFFFF" w:themeColor="background1"/>
          <w:sz w:val="22"/>
          <w:szCs w:val="22"/>
          <w:highlight w:val="black"/>
        </w:rPr>
      </w:pPr>
      <w:bookmarkStart w:id="188" w:name="_Toc42027132"/>
      <w:bookmarkStart w:id="189" w:name="_Toc42262640"/>
      <w:r w:rsidRPr="00004E48">
        <w:rPr>
          <w:rFonts w:ascii="Calibri" w:hAnsi="Calibri" w:cs="Calibri"/>
          <w:color w:val="FFFFFF" w:themeColor="background1"/>
          <w:sz w:val="22"/>
          <w:szCs w:val="22"/>
          <w:highlight w:val="black"/>
        </w:rPr>
        <w:t xml:space="preserve">Stakeholder </w:t>
      </w:r>
      <w:r w:rsidR="00683237">
        <w:rPr>
          <w:rFonts w:ascii="Calibri" w:hAnsi="Calibri" w:cs="Calibri"/>
          <w:color w:val="FFFFFF" w:themeColor="background1"/>
          <w:sz w:val="22"/>
          <w:szCs w:val="22"/>
          <w:highlight w:val="black"/>
        </w:rPr>
        <w:t xml:space="preserve">Analysis </w:t>
      </w:r>
      <w:r w:rsidRPr="00004E48">
        <w:rPr>
          <w:rFonts w:ascii="Calibri" w:hAnsi="Calibri" w:cs="Calibri"/>
          <w:color w:val="FFFFFF" w:themeColor="background1"/>
          <w:sz w:val="22"/>
          <w:szCs w:val="22"/>
          <w:highlight w:val="black"/>
        </w:rPr>
        <w:t>Exercise</w:t>
      </w:r>
      <w:bookmarkEnd w:id="188"/>
      <w:bookmarkEnd w:id="189"/>
    </w:p>
    <w:p w14:paraId="5B2C466F" w14:textId="2C0088AE" w:rsidR="009563B4" w:rsidRDefault="009563B4" w:rsidP="001667C6">
      <w:pPr>
        <w:pStyle w:val="ParagraphOED"/>
        <w:numPr>
          <w:ilvl w:val="0"/>
          <w:numId w:val="102"/>
        </w:numPr>
        <w:spacing w:after="160"/>
      </w:pPr>
      <w:r>
        <w:t xml:space="preserve">A </w:t>
      </w:r>
      <w:r w:rsidR="00C354E8">
        <w:t>participatory</w:t>
      </w:r>
      <w:r>
        <w:t xml:space="preserve"> Stakeholder </w:t>
      </w:r>
      <w:r w:rsidR="006E670F">
        <w:t>Analysis</w:t>
      </w:r>
      <w:r>
        <w:t xml:space="preserve"> Exercise</w:t>
      </w:r>
      <w:r w:rsidR="0000539A" w:rsidRPr="1E65A5F7">
        <w:rPr>
          <w:b/>
          <w:bCs/>
        </w:rPr>
        <w:t xml:space="preserve"> </w:t>
      </w:r>
      <w:r w:rsidR="0000539A">
        <w:t>was</w:t>
      </w:r>
      <w:r>
        <w:t xml:space="preserve"> undertaken during the PPG phase, </w:t>
      </w:r>
      <w:r w:rsidR="0000539A">
        <w:t xml:space="preserve">based on FAO’s methodology, to identify </w:t>
      </w:r>
      <w:r>
        <w:t xml:space="preserve">key, primary and secondary stakeholders </w:t>
      </w:r>
      <w:r w:rsidR="0000539A">
        <w:t xml:space="preserve">in respect of </w:t>
      </w:r>
      <w:r w:rsidR="0000539A">
        <w:lastRenderedPageBreak/>
        <w:t>Angola’s</w:t>
      </w:r>
      <w:r>
        <w:t xml:space="preserve"> national LDN agenda</w:t>
      </w:r>
      <w:r w:rsidR="00835233">
        <w:t xml:space="preserve"> across national and sub-national (i.e. landscape) levels</w:t>
      </w:r>
      <w:r w:rsidR="0000539A">
        <w:t xml:space="preserve">. The method is described in </w:t>
      </w:r>
      <w:r w:rsidR="0000539A" w:rsidRPr="1E65A5F7">
        <w:rPr>
          <w:b/>
          <w:bCs/>
        </w:rPr>
        <w:t>Figure 12</w:t>
      </w:r>
      <w:r w:rsidR="0000539A">
        <w:t xml:space="preserve"> and has been applied to existing and potential stakeholders listed in </w:t>
      </w:r>
      <w:r w:rsidR="0000539A" w:rsidRPr="1E65A5F7">
        <w:rPr>
          <w:b/>
          <w:bCs/>
        </w:rPr>
        <w:t>Table 7</w:t>
      </w:r>
      <w:r w:rsidR="00FD141D">
        <w:t xml:space="preserve">, together with a brief synopsis of their potential role. A structured </w:t>
      </w:r>
      <w:r w:rsidR="00FD141D" w:rsidRPr="1E65A5F7">
        <w:rPr>
          <w:b/>
          <w:bCs/>
        </w:rPr>
        <w:t>list of stakeholders</w:t>
      </w:r>
      <w:r w:rsidR="00FD141D">
        <w:t xml:space="preserve"> engaged (and to be engaged) is included in </w:t>
      </w:r>
      <w:r w:rsidR="00FD141D" w:rsidRPr="1E65A5F7">
        <w:rPr>
          <w:rStyle w:val="Hyperlink"/>
        </w:rPr>
        <w:t>Annex I2</w:t>
      </w:r>
      <w:r w:rsidR="008C0851" w:rsidRPr="1E65A5F7">
        <w:rPr>
          <w:rStyle w:val="Hyperlink"/>
        </w:rPr>
        <w:t>.</w:t>
      </w:r>
    </w:p>
    <w:p w14:paraId="4C96FC25" w14:textId="6DDDA6BD" w:rsidR="009563B4" w:rsidRPr="00FA4E6E" w:rsidRDefault="009563B4" w:rsidP="00FD141D">
      <w:pPr>
        <w:pStyle w:val="Caption"/>
        <w:spacing w:before="0" w:after="160"/>
        <w:rPr>
          <w:rFonts w:ascii="Calibri" w:hAnsi="Calibri" w:cs="Calibri"/>
          <w:sz w:val="22"/>
          <w:szCs w:val="22"/>
        </w:rPr>
      </w:pPr>
      <w:bookmarkStart w:id="190" w:name="_Toc42262747"/>
      <w:bookmarkStart w:id="191" w:name="_Toc64037185"/>
      <w:r w:rsidRPr="00FA4E6E">
        <w:rPr>
          <w:rFonts w:ascii="Calibri" w:hAnsi="Calibri" w:cs="Calibri"/>
          <w:sz w:val="22"/>
          <w:szCs w:val="22"/>
        </w:rPr>
        <w:t xml:space="preserve">Figure </w:t>
      </w:r>
      <w:r w:rsidRPr="00FA4E6E">
        <w:rPr>
          <w:rFonts w:ascii="Calibri" w:hAnsi="Calibri" w:cs="Calibri"/>
          <w:sz w:val="22"/>
          <w:szCs w:val="22"/>
        </w:rPr>
        <w:fldChar w:fldCharType="begin"/>
      </w:r>
      <w:r w:rsidRPr="00FA4E6E">
        <w:rPr>
          <w:rFonts w:ascii="Calibri" w:hAnsi="Calibri" w:cs="Calibri"/>
          <w:sz w:val="22"/>
          <w:szCs w:val="22"/>
        </w:rPr>
        <w:instrText>SEQ Figure \* ARABIC</w:instrText>
      </w:r>
      <w:r w:rsidRPr="00FA4E6E">
        <w:rPr>
          <w:rFonts w:ascii="Calibri" w:hAnsi="Calibri" w:cs="Calibri"/>
          <w:sz w:val="22"/>
          <w:szCs w:val="22"/>
        </w:rPr>
        <w:fldChar w:fldCharType="separate"/>
      </w:r>
      <w:r w:rsidR="00A64193">
        <w:rPr>
          <w:rFonts w:ascii="Calibri" w:hAnsi="Calibri" w:cs="Calibri"/>
          <w:noProof/>
          <w:sz w:val="22"/>
          <w:szCs w:val="22"/>
        </w:rPr>
        <w:t>9</w:t>
      </w:r>
      <w:r w:rsidRPr="00FA4E6E">
        <w:rPr>
          <w:rFonts w:ascii="Calibri" w:hAnsi="Calibri" w:cs="Calibri"/>
          <w:sz w:val="22"/>
          <w:szCs w:val="22"/>
        </w:rPr>
        <w:fldChar w:fldCharType="end"/>
      </w:r>
      <w:r w:rsidRPr="00FA4E6E">
        <w:rPr>
          <w:rFonts w:ascii="Calibri" w:hAnsi="Calibri" w:cs="Calibri"/>
          <w:sz w:val="22"/>
          <w:szCs w:val="22"/>
        </w:rPr>
        <w:t xml:space="preserve">. Results from the Stakeholder </w:t>
      </w:r>
      <w:r w:rsidR="006E670F">
        <w:rPr>
          <w:rFonts w:ascii="Calibri" w:hAnsi="Calibri" w:cs="Calibri"/>
          <w:sz w:val="22"/>
          <w:szCs w:val="22"/>
        </w:rPr>
        <w:t xml:space="preserve">Analysis </w:t>
      </w:r>
      <w:r w:rsidR="006E670F" w:rsidRPr="00FA4E6E">
        <w:rPr>
          <w:rFonts w:ascii="Calibri" w:hAnsi="Calibri" w:cs="Calibri"/>
          <w:sz w:val="22"/>
          <w:szCs w:val="22"/>
        </w:rPr>
        <w:t xml:space="preserve"> </w:t>
      </w:r>
      <w:r w:rsidRPr="00FA4E6E">
        <w:rPr>
          <w:rFonts w:ascii="Calibri" w:hAnsi="Calibri" w:cs="Calibri"/>
          <w:sz w:val="22"/>
          <w:szCs w:val="22"/>
        </w:rPr>
        <w:t>Exercise</w:t>
      </w:r>
      <w:bookmarkEnd w:id="190"/>
      <w:bookmarkEnd w:id="191"/>
    </w:p>
    <w:tbl>
      <w:tblPr>
        <w:tblStyle w:val="TableGrid"/>
        <w:tblW w:w="5000" w:type="pct"/>
        <w:tblBorders>
          <w:top w:val="single" w:sz="8" w:space="0" w:color="000000" w:themeColor="text1"/>
          <w:left w:val="single" w:sz="8" w:space="0" w:color="000000" w:themeColor="text1"/>
          <w:bottom w:val="single" w:sz="8" w:space="0" w:color="000000" w:themeColor="text1"/>
          <w:right w:val="single" w:sz="8" w:space="0" w:color="000000" w:themeColor="text1"/>
          <w:insideH w:val="none" w:sz="0" w:space="0" w:color="auto"/>
          <w:insideV w:val="none" w:sz="0" w:space="0" w:color="auto"/>
        </w:tblBorders>
        <w:tblLook w:val="04A0" w:firstRow="1" w:lastRow="0" w:firstColumn="1" w:lastColumn="0" w:noHBand="0" w:noVBand="1"/>
      </w:tblPr>
      <w:tblGrid>
        <w:gridCol w:w="4986"/>
        <w:gridCol w:w="4020"/>
      </w:tblGrid>
      <w:tr w:rsidR="009563B4" w:rsidRPr="00FA4E6E" w14:paraId="0F5E897E" w14:textId="77777777" w:rsidTr="78C544BE">
        <w:trPr>
          <w:trHeight w:val="6872"/>
        </w:trPr>
        <w:tc>
          <w:tcPr>
            <w:tcW w:w="2768" w:type="pct"/>
            <w:tcMar>
              <w:top w:w="28" w:type="dxa"/>
              <w:left w:w="57" w:type="dxa"/>
              <w:bottom w:w="28" w:type="dxa"/>
              <w:right w:w="57" w:type="dxa"/>
            </w:tcMar>
          </w:tcPr>
          <w:p w14:paraId="5753FFE4" w14:textId="77777777" w:rsidR="009563B4" w:rsidRDefault="009563B4" w:rsidP="00481CA4">
            <w:pPr>
              <w:keepNext/>
              <w:rPr>
                <w:rFonts w:asciiTheme="minorHAnsi" w:hAnsiTheme="minorHAnsi" w:cstheme="minorHAnsi"/>
                <w:b/>
                <w:bCs/>
                <w:i/>
                <w:iCs/>
              </w:rPr>
            </w:pPr>
            <w:r w:rsidRPr="00CE1EA7">
              <w:rPr>
                <w:rFonts w:asciiTheme="minorHAnsi" w:hAnsiTheme="minorHAnsi" w:cstheme="minorHAnsi"/>
                <w:b/>
                <w:bCs/>
                <w:i/>
                <w:iCs/>
              </w:rPr>
              <w:t>Who are the main stakeholders?</w:t>
            </w:r>
          </w:p>
          <w:p w14:paraId="4C8CAF9C" w14:textId="374D8E9E" w:rsidR="009563B4" w:rsidRPr="00CE1EA7" w:rsidRDefault="009563B4" w:rsidP="00481CA4">
            <w:pPr>
              <w:keepNext/>
              <w:rPr>
                <w:rFonts w:asciiTheme="minorHAnsi" w:hAnsiTheme="minorHAnsi" w:cstheme="minorHAnsi"/>
                <w:b/>
                <w:bCs/>
                <w:i/>
                <w:iCs/>
              </w:rPr>
            </w:pPr>
            <w:r>
              <w:rPr>
                <w:noProof/>
                <w:lang w:val="en-US" w:eastAsia="en-US"/>
              </w:rPr>
              <w:drawing>
                <wp:inline distT="0" distB="0" distL="0" distR="0" wp14:anchorId="5736ED4F" wp14:editId="56AEAA1D">
                  <wp:extent cx="2961564" cy="1985383"/>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7" cstate="email">
                            <a:extLst>
                              <a:ext uri="{28A0092B-C50C-407E-A947-70E740481C1C}">
                                <a14:useLocalDpi xmlns:a14="http://schemas.microsoft.com/office/drawing/2010/main"/>
                              </a:ext>
                            </a:extLst>
                          </a:blip>
                          <a:srcRect/>
                          <a:stretch/>
                        </pic:blipFill>
                        <pic:spPr bwMode="auto">
                          <a:xfrm>
                            <a:off x="0" y="0"/>
                            <a:ext cx="2973899" cy="1993652"/>
                          </a:xfrm>
                          <a:prstGeom prst="rect">
                            <a:avLst/>
                          </a:prstGeom>
                          <a:ln>
                            <a:noFill/>
                          </a:ln>
                          <a:extLst>
                            <a:ext uri="{53640926-AAD7-44d8-BBD7-CCE9431645EC}">
                              <a14:shadowObscured xmlns:asvg="http://schemas.microsoft.com/office/drawing/2016/SVG/main" xmlns:a16="http://schemas.microsoft.com/office/drawing/2014/main" xmlns:ask="http://schemas.microsoft.com/office/drawing/2018/sketchyshapes"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xmlns:arto="http://schemas.microsoft.com/office/word/2006/arto"/>
                            </a:ext>
                          </a:extLst>
                        </pic:spPr>
                      </pic:pic>
                    </a:graphicData>
                  </a:graphic>
                </wp:inline>
              </w:drawing>
            </w:r>
          </w:p>
          <w:p w14:paraId="4C39CF15" w14:textId="77777777" w:rsidR="009563B4" w:rsidRDefault="009563B4" w:rsidP="00481CA4">
            <w:pPr>
              <w:keepNext/>
              <w:rPr>
                <w:rFonts w:asciiTheme="minorHAnsi" w:hAnsiTheme="minorHAnsi" w:cstheme="minorHAnsi"/>
              </w:rPr>
            </w:pPr>
          </w:p>
          <w:tbl>
            <w:tblPr>
              <w:tblStyle w:val="GridTable1Light-Accent22"/>
              <w:tblW w:w="4650" w:type="dxa"/>
              <w:tblLook w:val="04A0" w:firstRow="1" w:lastRow="0" w:firstColumn="1" w:lastColumn="0" w:noHBand="0" w:noVBand="1"/>
            </w:tblPr>
            <w:tblGrid>
              <w:gridCol w:w="1779"/>
              <w:gridCol w:w="2871"/>
            </w:tblGrid>
            <w:tr w:rsidR="009563B4" w:rsidRPr="00DE0155" w14:paraId="62467665" w14:textId="77777777" w:rsidTr="00384C6D">
              <w:trPr>
                <w:cnfStyle w:val="100000000000" w:firstRow="1" w:lastRow="0" w:firstColumn="0" w:lastColumn="0" w:oddVBand="0" w:evenVBand="0" w:oddHBand="0" w:evenHBand="0" w:firstRowFirstColumn="0" w:firstRowLastColumn="0" w:lastRowFirstColumn="0" w:lastRowLastColumn="0"/>
                <w:trHeight w:val="309"/>
              </w:trPr>
              <w:tc>
                <w:tcPr>
                  <w:cnfStyle w:val="001000000000" w:firstRow="0" w:lastRow="0" w:firstColumn="1" w:lastColumn="0" w:oddVBand="0" w:evenVBand="0" w:oddHBand="0" w:evenHBand="0" w:firstRowFirstColumn="0" w:firstRowLastColumn="0" w:lastRowFirstColumn="0" w:lastRowLastColumn="0"/>
                  <w:tcW w:w="1779" w:type="dxa"/>
                  <w:tcBorders>
                    <w:top w:val="single" w:sz="4" w:space="0" w:color="000000" w:themeColor="text1"/>
                    <w:left w:val="single" w:sz="4" w:space="0" w:color="000000" w:themeColor="text1"/>
                    <w:bottom w:val="single" w:sz="4" w:space="0" w:color="BFBFBF" w:themeColor="background1" w:themeShade="BF"/>
                  </w:tcBorders>
                  <w:shd w:val="clear" w:color="auto" w:fill="ED7D31" w:themeFill="accent2"/>
                  <w:tcMar>
                    <w:top w:w="28" w:type="dxa"/>
                    <w:left w:w="57" w:type="dxa"/>
                    <w:bottom w:w="28" w:type="dxa"/>
                    <w:right w:w="57" w:type="dxa"/>
                  </w:tcMar>
                  <w:hideMark/>
                </w:tcPr>
                <w:p w14:paraId="4B744F6F" w14:textId="77777777" w:rsidR="009563B4" w:rsidRPr="003374F0" w:rsidRDefault="009563B4" w:rsidP="00481CA4">
                  <w:pPr>
                    <w:keepNext/>
                    <w:jc w:val="center"/>
                    <w:rPr>
                      <w:rFonts w:ascii="Calibri" w:hAnsi="Calibri" w:cs="Calibri"/>
                      <w:color w:val="FFFFFF" w:themeColor="background1"/>
                      <w:sz w:val="20"/>
                      <w:szCs w:val="20"/>
                    </w:rPr>
                  </w:pPr>
                  <w:r w:rsidRPr="003374F0">
                    <w:rPr>
                      <w:rFonts w:ascii="Calibri" w:hAnsi="Calibri" w:cs="Calibri"/>
                      <w:color w:val="FFFFFF" w:themeColor="background1"/>
                      <w:sz w:val="20"/>
                      <w:szCs w:val="20"/>
                    </w:rPr>
                    <w:t>Category</w:t>
                  </w:r>
                </w:p>
              </w:tc>
              <w:tc>
                <w:tcPr>
                  <w:tcW w:w="2871" w:type="dxa"/>
                  <w:tcBorders>
                    <w:top w:val="single" w:sz="4" w:space="0" w:color="000000" w:themeColor="text1"/>
                    <w:bottom w:val="single" w:sz="4" w:space="0" w:color="BFBFBF" w:themeColor="background1" w:themeShade="BF"/>
                    <w:right w:val="single" w:sz="4" w:space="0" w:color="000000" w:themeColor="text1"/>
                  </w:tcBorders>
                  <w:shd w:val="clear" w:color="auto" w:fill="ED7D31" w:themeFill="accent2"/>
                  <w:tcMar>
                    <w:top w:w="28" w:type="dxa"/>
                    <w:left w:w="57" w:type="dxa"/>
                    <w:bottom w:w="28" w:type="dxa"/>
                    <w:right w:w="57" w:type="dxa"/>
                  </w:tcMar>
                  <w:hideMark/>
                </w:tcPr>
                <w:p w14:paraId="48182B6B" w14:textId="77777777" w:rsidR="009563B4" w:rsidRPr="003374F0" w:rsidRDefault="009563B4" w:rsidP="00481CA4">
                  <w:pPr>
                    <w:keepNext/>
                    <w:jc w:val="center"/>
                    <w:cnfStyle w:val="100000000000" w:firstRow="1" w:lastRow="0" w:firstColumn="0" w:lastColumn="0" w:oddVBand="0" w:evenVBand="0" w:oddHBand="0" w:evenHBand="0" w:firstRowFirstColumn="0" w:firstRowLastColumn="0" w:lastRowFirstColumn="0" w:lastRowLastColumn="0"/>
                    <w:rPr>
                      <w:rFonts w:ascii="Calibri" w:hAnsi="Calibri" w:cs="Calibri"/>
                      <w:color w:val="FFFFFF" w:themeColor="background1"/>
                      <w:sz w:val="20"/>
                      <w:szCs w:val="20"/>
                    </w:rPr>
                  </w:pPr>
                  <w:r w:rsidRPr="003374F0">
                    <w:rPr>
                      <w:rFonts w:ascii="Calibri" w:hAnsi="Calibri" w:cs="Calibri"/>
                      <w:color w:val="FFFFFF" w:themeColor="background1"/>
                      <w:sz w:val="20"/>
                      <w:szCs w:val="20"/>
                    </w:rPr>
                    <w:t>Description</w:t>
                  </w:r>
                </w:p>
              </w:tc>
            </w:tr>
            <w:tr w:rsidR="009563B4" w:rsidRPr="00DE0155" w14:paraId="55E2A589" w14:textId="77777777" w:rsidTr="00384C6D">
              <w:trPr>
                <w:trHeight w:val="157"/>
              </w:trPr>
              <w:tc>
                <w:tcPr>
                  <w:cnfStyle w:val="001000000000" w:firstRow="0" w:lastRow="0" w:firstColumn="1" w:lastColumn="0" w:oddVBand="0" w:evenVBand="0" w:oddHBand="0" w:evenHBand="0" w:firstRowFirstColumn="0" w:firstRowLastColumn="0" w:lastRowFirstColumn="0" w:lastRowLastColumn="0"/>
                  <w:tcW w:w="1779" w:type="dxa"/>
                  <w:tcBorders>
                    <w:top w:val="single" w:sz="4" w:space="0" w:color="BFBFBF" w:themeColor="background1" w:themeShade="BF"/>
                    <w:left w:val="single" w:sz="4" w:space="0" w:color="000000" w:themeColor="text1"/>
                    <w:bottom w:val="single" w:sz="4" w:space="0" w:color="BFBFBF" w:themeColor="background1" w:themeShade="BF"/>
                    <w:right w:val="single" w:sz="4" w:space="0" w:color="BFBFBF" w:themeColor="background1" w:themeShade="BF"/>
                  </w:tcBorders>
                  <w:tcMar>
                    <w:top w:w="28" w:type="dxa"/>
                    <w:left w:w="57" w:type="dxa"/>
                    <w:bottom w:w="28" w:type="dxa"/>
                    <w:right w:w="57" w:type="dxa"/>
                  </w:tcMar>
                  <w:hideMark/>
                </w:tcPr>
                <w:p w14:paraId="4438E851" w14:textId="77777777" w:rsidR="009563B4" w:rsidRPr="003374F0" w:rsidRDefault="009563B4" w:rsidP="00481CA4">
                  <w:pPr>
                    <w:keepNext/>
                    <w:rPr>
                      <w:rFonts w:ascii="Calibri" w:hAnsi="Calibri" w:cs="Calibri"/>
                      <w:b w:val="0"/>
                      <w:bCs w:val="0"/>
                      <w:color w:val="7F7F7F" w:themeColor="text1" w:themeTint="80"/>
                      <w:sz w:val="20"/>
                      <w:szCs w:val="20"/>
                    </w:rPr>
                  </w:pPr>
                  <w:r w:rsidRPr="003374F0">
                    <w:rPr>
                      <w:rFonts w:ascii="Calibri" w:hAnsi="Calibri" w:cs="Calibri"/>
                      <w:color w:val="7F7F7F" w:themeColor="text1" w:themeTint="80"/>
                      <w:sz w:val="20"/>
                      <w:szCs w:val="20"/>
                    </w:rPr>
                    <w:t>Veto Player</w:t>
                  </w:r>
                </w:p>
              </w:tc>
              <w:tc>
                <w:tcPr>
                  <w:tcW w:w="287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000000" w:themeColor="text1"/>
                  </w:tcBorders>
                  <w:tcMar>
                    <w:top w:w="28" w:type="dxa"/>
                    <w:left w:w="57" w:type="dxa"/>
                    <w:bottom w:w="28" w:type="dxa"/>
                    <w:right w:w="57" w:type="dxa"/>
                  </w:tcMar>
                  <w:hideMark/>
                </w:tcPr>
                <w:p w14:paraId="56354D48" w14:textId="77777777" w:rsidR="009563B4" w:rsidRPr="003374F0" w:rsidRDefault="009563B4" w:rsidP="00481CA4">
                  <w:pPr>
                    <w:keepNext/>
                    <w:cnfStyle w:val="000000000000" w:firstRow="0" w:lastRow="0" w:firstColumn="0" w:lastColumn="0" w:oddVBand="0" w:evenVBand="0" w:oddHBand="0" w:evenHBand="0" w:firstRowFirstColumn="0" w:firstRowLastColumn="0" w:lastRowFirstColumn="0" w:lastRowLastColumn="0"/>
                    <w:rPr>
                      <w:rFonts w:ascii="Calibri" w:hAnsi="Calibri" w:cs="Calibri"/>
                      <w:i/>
                      <w:iCs/>
                      <w:color w:val="7F7F7F" w:themeColor="text1" w:themeTint="80"/>
                      <w:sz w:val="20"/>
                      <w:szCs w:val="20"/>
                    </w:rPr>
                  </w:pPr>
                  <w:r w:rsidRPr="003374F0">
                    <w:rPr>
                      <w:rFonts w:ascii="Calibri" w:hAnsi="Calibri" w:cs="Calibri"/>
                      <w:i/>
                      <w:iCs/>
                      <w:color w:val="7F7F7F" w:themeColor="text1" w:themeTint="80"/>
                      <w:sz w:val="20"/>
                      <w:szCs w:val="20"/>
                    </w:rPr>
                    <w:t>Have power to stop project implementation</w:t>
                  </w:r>
                </w:p>
              </w:tc>
            </w:tr>
            <w:tr w:rsidR="009563B4" w:rsidRPr="00DE0155" w14:paraId="606A3BC5" w14:textId="77777777" w:rsidTr="00384C6D">
              <w:trPr>
                <w:trHeight w:val="400"/>
              </w:trPr>
              <w:tc>
                <w:tcPr>
                  <w:cnfStyle w:val="001000000000" w:firstRow="0" w:lastRow="0" w:firstColumn="1" w:lastColumn="0" w:oddVBand="0" w:evenVBand="0" w:oddHBand="0" w:evenHBand="0" w:firstRowFirstColumn="0" w:firstRowLastColumn="0" w:lastRowFirstColumn="0" w:lastRowLastColumn="0"/>
                  <w:tcW w:w="1779" w:type="dxa"/>
                  <w:tcBorders>
                    <w:top w:val="single" w:sz="4" w:space="0" w:color="BFBFBF" w:themeColor="background1" w:themeShade="BF"/>
                    <w:left w:val="single" w:sz="4" w:space="0" w:color="000000" w:themeColor="text1"/>
                    <w:bottom w:val="single" w:sz="4" w:space="0" w:color="BFBFBF" w:themeColor="background1" w:themeShade="BF"/>
                    <w:right w:val="single" w:sz="4" w:space="0" w:color="BFBFBF" w:themeColor="background1" w:themeShade="BF"/>
                  </w:tcBorders>
                  <w:tcMar>
                    <w:top w:w="28" w:type="dxa"/>
                    <w:left w:w="57" w:type="dxa"/>
                    <w:bottom w:w="28" w:type="dxa"/>
                    <w:right w:w="57" w:type="dxa"/>
                  </w:tcMar>
                  <w:hideMark/>
                </w:tcPr>
                <w:p w14:paraId="72F56590" w14:textId="77777777" w:rsidR="009563B4" w:rsidRPr="003374F0" w:rsidRDefault="009563B4" w:rsidP="00481CA4">
                  <w:pPr>
                    <w:keepNext/>
                    <w:rPr>
                      <w:rFonts w:ascii="Calibri" w:hAnsi="Calibri" w:cs="Calibri"/>
                      <w:color w:val="7F7F7F" w:themeColor="text1" w:themeTint="80"/>
                      <w:sz w:val="20"/>
                      <w:szCs w:val="20"/>
                    </w:rPr>
                  </w:pPr>
                  <w:r w:rsidRPr="003374F0">
                    <w:rPr>
                      <w:rFonts w:ascii="Calibri" w:hAnsi="Calibri" w:cs="Calibri"/>
                      <w:color w:val="7F7F7F" w:themeColor="text1" w:themeTint="80"/>
                      <w:sz w:val="20"/>
                      <w:szCs w:val="20"/>
                    </w:rPr>
                    <w:t>Key Stakeholder</w:t>
                  </w:r>
                </w:p>
              </w:tc>
              <w:tc>
                <w:tcPr>
                  <w:tcW w:w="287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000000" w:themeColor="text1"/>
                  </w:tcBorders>
                  <w:tcMar>
                    <w:top w:w="28" w:type="dxa"/>
                    <w:left w:w="57" w:type="dxa"/>
                    <w:bottom w:w="28" w:type="dxa"/>
                    <w:right w:w="57" w:type="dxa"/>
                  </w:tcMar>
                  <w:hideMark/>
                </w:tcPr>
                <w:p w14:paraId="4B463BA0" w14:textId="48CE7EBF" w:rsidR="009563B4" w:rsidRPr="003374F0" w:rsidRDefault="009563B4" w:rsidP="00481CA4">
                  <w:pPr>
                    <w:keepNext/>
                    <w:cnfStyle w:val="000000000000" w:firstRow="0" w:lastRow="0" w:firstColumn="0" w:lastColumn="0" w:oddVBand="0" w:evenVBand="0" w:oddHBand="0" w:evenHBand="0" w:firstRowFirstColumn="0" w:firstRowLastColumn="0" w:lastRowFirstColumn="0" w:lastRowLastColumn="0"/>
                    <w:rPr>
                      <w:rFonts w:ascii="Calibri" w:hAnsi="Calibri" w:cs="Calibri"/>
                      <w:i/>
                      <w:iCs/>
                      <w:color w:val="7F7F7F" w:themeColor="text1" w:themeTint="80"/>
                      <w:sz w:val="20"/>
                      <w:szCs w:val="20"/>
                    </w:rPr>
                  </w:pPr>
                  <w:r w:rsidRPr="003374F0">
                    <w:rPr>
                      <w:rFonts w:ascii="Calibri" w:hAnsi="Calibri" w:cs="Calibri"/>
                      <w:i/>
                      <w:iCs/>
                      <w:color w:val="7F7F7F" w:themeColor="text1" w:themeTint="80"/>
                      <w:sz w:val="20"/>
                      <w:szCs w:val="20"/>
                    </w:rPr>
                    <w:t>Have skills, knowledge</w:t>
                  </w:r>
                  <w:r w:rsidR="00DE0155" w:rsidRPr="003374F0">
                    <w:rPr>
                      <w:rFonts w:ascii="Calibri" w:hAnsi="Calibri" w:cs="Calibri"/>
                      <w:i/>
                      <w:iCs/>
                      <w:color w:val="7F7F7F" w:themeColor="text1" w:themeTint="80"/>
                      <w:sz w:val="20"/>
                      <w:szCs w:val="20"/>
                    </w:rPr>
                    <w:t xml:space="preserve"> and/</w:t>
                  </w:r>
                  <w:r w:rsidRPr="003374F0">
                    <w:rPr>
                      <w:rFonts w:ascii="Calibri" w:hAnsi="Calibri" w:cs="Calibri"/>
                      <w:i/>
                      <w:iCs/>
                      <w:color w:val="7F7F7F" w:themeColor="text1" w:themeTint="80"/>
                      <w:sz w:val="20"/>
                      <w:szCs w:val="20"/>
                    </w:rPr>
                    <w:t xml:space="preserve"> or position of power to significantly influence project</w:t>
                  </w:r>
                </w:p>
              </w:tc>
            </w:tr>
            <w:tr w:rsidR="009563B4" w:rsidRPr="00DE0155" w14:paraId="45886EF5" w14:textId="77777777" w:rsidTr="00384C6D">
              <w:trPr>
                <w:trHeight w:val="92"/>
              </w:trPr>
              <w:tc>
                <w:tcPr>
                  <w:cnfStyle w:val="001000000000" w:firstRow="0" w:lastRow="0" w:firstColumn="1" w:lastColumn="0" w:oddVBand="0" w:evenVBand="0" w:oddHBand="0" w:evenHBand="0" w:firstRowFirstColumn="0" w:firstRowLastColumn="0" w:lastRowFirstColumn="0" w:lastRowLastColumn="0"/>
                  <w:tcW w:w="1779" w:type="dxa"/>
                  <w:tcBorders>
                    <w:top w:val="single" w:sz="4" w:space="0" w:color="BFBFBF" w:themeColor="background1" w:themeShade="BF"/>
                    <w:left w:val="single" w:sz="4" w:space="0" w:color="000000" w:themeColor="text1"/>
                    <w:bottom w:val="single" w:sz="4" w:space="0" w:color="BFBFBF" w:themeColor="background1" w:themeShade="BF"/>
                    <w:right w:val="single" w:sz="4" w:space="0" w:color="BFBFBF" w:themeColor="background1" w:themeShade="BF"/>
                  </w:tcBorders>
                  <w:tcMar>
                    <w:top w:w="28" w:type="dxa"/>
                    <w:left w:w="57" w:type="dxa"/>
                    <w:bottom w:w="28" w:type="dxa"/>
                    <w:right w:w="57" w:type="dxa"/>
                  </w:tcMar>
                  <w:hideMark/>
                </w:tcPr>
                <w:p w14:paraId="6683DBD1" w14:textId="77777777" w:rsidR="009563B4" w:rsidRPr="003374F0" w:rsidRDefault="009563B4" w:rsidP="00481CA4">
                  <w:pPr>
                    <w:keepNext/>
                    <w:rPr>
                      <w:rFonts w:ascii="Calibri" w:hAnsi="Calibri" w:cs="Calibri"/>
                      <w:color w:val="7F7F7F" w:themeColor="text1" w:themeTint="80"/>
                      <w:sz w:val="20"/>
                      <w:szCs w:val="20"/>
                    </w:rPr>
                  </w:pPr>
                  <w:r w:rsidRPr="003374F0">
                    <w:rPr>
                      <w:rFonts w:ascii="Calibri" w:hAnsi="Calibri" w:cs="Calibri"/>
                      <w:color w:val="7F7F7F" w:themeColor="text1" w:themeTint="80"/>
                      <w:sz w:val="20"/>
                      <w:szCs w:val="20"/>
                    </w:rPr>
                    <w:t>Primary Stakeholder</w:t>
                  </w:r>
                </w:p>
              </w:tc>
              <w:tc>
                <w:tcPr>
                  <w:tcW w:w="287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000000" w:themeColor="text1"/>
                  </w:tcBorders>
                  <w:tcMar>
                    <w:top w:w="28" w:type="dxa"/>
                    <w:left w:w="57" w:type="dxa"/>
                    <w:bottom w:w="28" w:type="dxa"/>
                    <w:right w:w="57" w:type="dxa"/>
                  </w:tcMar>
                  <w:hideMark/>
                </w:tcPr>
                <w:p w14:paraId="6B94C64D" w14:textId="77777777" w:rsidR="009563B4" w:rsidRPr="003374F0" w:rsidRDefault="009563B4" w:rsidP="00481CA4">
                  <w:pPr>
                    <w:keepNext/>
                    <w:cnfStyle w:val="000000000000" w:firstRow="0" w:lastRow="0" w:firstColumn="0" w:lastColumn="0" w:oddVBand="0" w:evenVBand="0" w:oddHBand="0" w:evenHBand="0" w:firstRowFirstColumn="0" w:firstRowLastColumn="0" w:lastRowFirstColumn="0" w:lastRowLastColumn="0"/>
                    <w:rPr>
                      <w:rFonts w:ascii="Calibri" w:hAnsi="Calibri" w:cs="Calibri"/>
                      <w:i/>
                      <w:iCs/>
                      <w:color w:val="7F7F7F" w:themeColor="text1" w:themeTint="80"/>
                      <w:sz w:val="20"/>
                      <w:szCs w:val="20"/>
                    </w:rPr>
                  </w:pPr>
                  <w:r w:rsidRPr="003374F0">
                    <w:rPr>
                      <w:rFonts w:ascii="Calibri" w:hAnsi="Calibri" w:cs="Calibri"/>
                      <w:i/>
                      <w:iCs/>
                      <w:color w:val="7F7F7F" w:themeColor="text1" w:themeTint="80"/>
                      <w:sz w:val="20"/>
                      <w:szCs w:val="20"/>
                    </w:rPr>
                    <w:t>Directly affected by the project</w:t>
                  </w:r>
                </w:p>
              </w:tc>
            </w:tr>
            <w:tr w:rsidR="009563B4" w:rsidRPr="00DE0155" w14:paraId="63273389" w14:textId="77777777" w:rsidTr="00384C6D">
              <w:trPr>
                <w:trHeight w:val="92"/>
              </w:trPr>
              <w:tc>
                <w:tcPr>
                  <w:cnfStyle w:val="001000000000" w:firstRow="0" w:lastRow="0" w:firstColumn="1" w:lastColumn="0" w:oddVBand="0" w:evenVBand="0" w:oddHBand="0" w:evenHBand="0" w:firstRowFirstColumn="0" w:firstRowLastColumn="0" w:lastRowFirstColumn="0" w:lastRowLastColumn="0"/>
                  <w:tcW w:w="1779" w:type="dxa"/>
                  <w:tcBorders>
                    <w:top w:val="single" w:sz="4" w:space="0" w:color="BFBFBF" w:themeColor="background1" w:themeShade="BF"/>
                    <w:left w:val="single" w:sz="4" w:space="0" w:color="000000" w:themeColor="text1"/>
                    <w:bottom w:val="single" w:sz="4" w:space="0" w:color="000000" w:themeColor="text1"/>
                    <w:right w:val="single" w:sz="4" w:space="0" w:color="BFBFBF" w:themeColor="background1" w:themeShade="BF"/>
                  </w:tcBorders>
                  <w:tcMar>
                    <w:top w:w="28" w:type="dxa"/>
                    <w:left w:w="57" w:type="dxa"/>
                    <w:bottom w:w="28" w:type="dxa"/>
                    <w:right w:w="57" w:type="dxa"/>
                  </w:tcMar>
                  <w:hideMark/>
                </w:tcPr>
                <w:p w14:paraId="1E1597EE" w14:textId="77777777" w:rsidR="009563B4" w:rsidRPr="003374F0" w:rsidRDefault="009563B4" w:rsidP="00481CA4">
                  <w:pPr>
                    <w:keepNext/>
                    <w:rPr>
                      <w:rFonts w:ascii="Calibri" w:hAnsi="Calibri" w:cs="Calibri"/>
                      <w:color w:val="7F7F7F" w:themeColor="text1" w:themeTint="80"/>
                      <w:sz w:val="20"/>
                      <w:szCs w:val="20"/>
                    </w:rPr>
                  </w:pPr>
                  <w:r w:rsidRPr="003374F0">
                    <w:rPr>
                      <w:rFonts w:ascii="Calibri" w:hAnsi="Calibri" w:cs="Calibri"/>
                      <w:color w:val="7F7F7F" w:themeColor="text1" w:themeTint="80"/>
                      <w:sz w:val="20"/>
                      <w:szCs w:val="20"/>
                    </w:rPr>
                    <w:t>Secondary Stakeholder</w:t>
                  </w:r>
                </w:p>
              </w:tc>
              <w:tc>
                <w:tcPr>
                  <w:tcW w:w="2871" w:type="dxa"/>
                  <w:tcBorders>
                    <w:top w:val="single" w:sz="4" w:space="0" w:color="BFBFBF" w:themeColor="background1" w:themeShade="BF"/>
                    <w:left w:val="single" w:sz="4" w:space="0" w:color="BFBFBF" w:themeColor="background1" w:themeShade="BF"/>
                    <w:bottom w:val="single" w:sz="4" w:space="0" w:color="000000" w:themeColor="text1"/>
                    <w:right w:val="single" w:sz="4" w:space="0" w:color="000000" w:themeColor="text1"/>
                  </w:tcBorders>
                  <w:tcMar>
                    <w:top w:w="28" w:type="dxa"/>
                    <w:left w:w="57" w:type="dxa"/>
                    <w:bottom w:w="28" w:type="dxa"/>
                    <w:right w:w="57" w:type="dxa"/>
                  </w:tcMar>
                  <w:hideMark/>
                </w:tcPr>
                <w:p w14:paraId="3D7240A8" w14:textId="77777777" w:rsidR="009563B4" w:rsidRPr="003374F0" w:rsidRDefault="009563B4" w:rsidP="00481CA4">
                  <w:pPr>
                    <w:keepNext/>
                    <w:cnfStyle w:val="000000000000" w:firstRow="0" w:lastRow="0" w:firstColumn="0" w:lastColumn="0" w:oddVBand="0" w:evenVBand="0" w:oddHBand="0" w:evenHBand="0" w:firstRowFirstColumn="0" w:firstRowLastColumn="0" w:lastRowFirstColumn="0" w:lastRowLastColumn="0"/>
                    <w:rPr>
                      <w:rFonts w:ascii="Calibri" w:hAnsi="Calibri" w:cs="Calibri"/>
                      <w:i/>
                      <w:iCs/>
                      <w:color w:val="7F7F7F" w:themeColor="text1" w:themeTint="80"/>
                      <w:sz w:val="20"/>
                      <w:szCs w:val="20"/>
                    </w:rPr>
                  </w:pPr>
                  <w:r w:rsidRPr="003374F0">
                    <w:rPr>
                      <w:rFonts w:ascii="Calibri" w:hAnsi="Calibri" w:cs="Calibri"/>
                      <w:i/>
                      <w:iCs/>
                      <w:color w:val="7F7F7F" w:themeColor="text1" w:themeTint="80"/>
                      <w:sz w:val="20"/>
                      <w:szCs w:val="20"/>
                    </w:rPr>
                    <w:t>Only indirectly or temporarily involved</w:t>
                  </w:r>
                </w:p>
              </w:tc>
            </w:tr>
          </w:tbl>
          <w:p w14:paraId="71F10C0C" w14:textId="30906525" w:rsidR="009563B4" w:rsidRPr="00CE1EA7" w:rsidRDefault="00384C6D" w:rsidP="00384C6D">
            <w:pPr>
              <w:keepNext/>
              <w:spacing w:before="80"/>
              <w:rPr>
                <w:rFonts w:asciiTheme="minorHAnsi" w:hAnsiTheme="minorHAnsi" w:cstheme="minorHAnsi"/>
              </w:rPr>
            </w:pPr>
            <w:r w:rsidRPr="001E0014">
              <w:rPr>
                <w:rFonts w:asciiTheme="majorHAnsi" w:hAnsiTheme="majorHAnsi" w:cstheme="majorHAnsi"/>
                <w:sz w:val="16"/>
                <w:szCs w:val="16"/>
              </w:rPr>
              <w:t xml:space="preserve">From FAO’s Stakeholder </w:t>
            </w:r>
            <w:r w:rsidR="006E670F">
              <w:rPr>
                <w:rFonts w:asciiTheme="majorHAnsi" w:hAnsiTheme="majorHAnsi" w:cstheme="majorHAnsi"/>
                <w:sz w:val="16"/>
                <w:szCs w:val="16"/>
              </w:rPr>
              <w:t>Analysis</w:t>
            </w:r>
            <w:r w:rsidRPr="001E0014">
              <w:rPr>
                <w:rFonts w:asciiTheme="majorHAnsi" w:hAnsiTheme="majorHAnsi" w:cstheme="majorHAnsi"/>
                <w:sz w:val="16"/>
                <w:szCs w:val="16"/>
              </w:rPr>
              <w:t xml:space="preserve"> Methodology</w:t>
            </w:r>
          </w:p>
        </w:tc>
        <w:tc>
          <w:tcPr>
            <w:tcW w:w="2232" w:type="pct"/>
            <w:tcMar>
              <w:top w:w="28" w:type="dxa"/>
              <w:left w:w="57" w:type="dxa"/>
              <w:bottom w:w="28" w:type="dxa"/>
              <w:right w:w="57" w:type="dxa"/>
            </w:tcMar>
          </w:tcPr>
          <w:p w14:paraId="47681D2C" w14:textId="13047E06" w:rsidR="009563B4" w:rsidRPr="003374F0" w:rsidRDefault="009563B4" w:rsidP="00FA4E6E">
            <w:pPr>
              <w:pStyle w:val="Boxtext"/>
              <w:keepNext/>
              <w:shd w:val="clear" w:color="auto" w:fill="ED7D31" w:themeFill="accent2"/>
              <w:ind w:left="124" w:right="127"/>
              <w:jc w:val="both"/>
              <w:rPr>
                <w:rFonts w:ascii="Calibri" w:hAnsi="Calibri" w:cs="Calibri"/>
                <w:b/>
                <w:bCs/>
                <w:noProof w:val="0"/>
                <w:color w:val="FFFFFF" w:themeColor="background1"/>
                <w:sz w:val="20"/>
              </w:rPr>
            </w:pPr>
            <w:r w:rsidRPr="003374F0">
              <w:rPr>
                <w:rFonts w:ascii="Calibri" w:hAnsi="Calibri" w:cs="Calibri"/>
                <w:b/>
                <w:bCs/>
                <w:noProof w:val="0"/>
                <w:color w:val="FFFFFF" w:themeColor="background1"/>
                <w:sz w:val="20"/>
              </w:rPr>
              <w:t>At the cent</w:t>
            </w:r>
            <w:r w:rsidR="00FA085C" w:rsidRPr="003374F0">
              <w:rPr>
                <w:rFonts w:ascii="Calibri" w:hAnsi="Calibri" w:cs="Calibri"/>
                <w:b/>
                <w:bCs/>
                <w:noProof w:val="0"/>
                <w:color w:val="FFFFFF" w:themeColor="background1"/>
                <w:sz w:val="20"/>
              </w:rPr>
              <w:t>re</w:t>
            </w:r>
            <w:r w:rsidRPr="003374F0">
              <w:rPr>
                <w:rFonts w:ascii="Calibri" w:hAnsi="Calibri" w:cs="Calibri"/>
                <w:b/>
                <w:bCs/>
                <w:noProof w:val="0"/>
                <w:color w:val="FFFFFF" w:themeColor="background1"/>
                <w:sz w:val="20"/>
              </w:rPr>
              <w:t xml:space="preserve"> is the </w:t>
            </w:r>
            <w:r w:rsidRPr="003374F0">
              <w:rPr>
                <w:rFonts w:ascii="Calibri" w:hAnsi="Calibri" w:cs="Calibri"/>
                <w:b/>
                <w:bCs/>
                <w:noProof w:val="0"/>
                <w:color w:val="FFFFFF" w:themeColor="background1"/>
                <w:sz w:val="20"/>
                <w:u w:val="single"/>
              </w:rPr>
              <w:t>LDN agenda</w:t>
            </w:r>
            <w:r w:rsidRPr="003374F0">
              <w:rPr>
                <w:rFonts w:ascii="Calibri" w:hAnsi="Calibri" w:cs="Calibri"/>
                <w:b/>
                <w:bCs/>
                <w:noProof w:val="0"/>
                <w:color w:val="FFFFFF" w:themeColor="background1"/>
                <w:sz w:val="20"/>
              </w:rPr>
              <w:t xml:space="preserve">, which </w:t>
            </w:r>
            <w:r w:rsidR="00FA085C" w:rsidRPr="003374F0">
              <w:rPr>
                <w:rFonts w:ascii="Calibri" w:hAnsi="Calibri" w:cs="Calibri"/>
                <w:b/>
                <w:bCs/>
                <w:noProof w:val="0"/>
                <w:color w:val="FFFFFF" w:themeColor="background1"/>
                <w:sz w:val="20"/>
              </w:rPr>
              <w:t xml:space="preserve">concerns the planning and management </w:t>
            </w:r>
            <w:r w:rsidRPr="003374F0">
              <w:rPr>
                <w:rFonts w:ascii="Calibri" w:hAnsi="Calibri" w:cs="Calibri"/>
                <w:b/>
                <w:bCs/>
                <w:noProof w:val="0"/>
                <w:color w:val="FFFFFF" w:themeColor="background1"/>
                <w:sz w:val="20"/>
              </w:rPr>
              <w:t>of land use and related topics.</w:t>
            </w:r>
          </w:p>
          <w:p w14:paraId="6632B66D" w14:textId="73D5925E" w:rsidR="009563B4" w:rsidRPr="003374F0" w:rsidRDefault="009563B4" w:rsidP="00D47BE7">
            <w:pPr>
              <w:keepNext/>
              <w:spacing w:before="160" w:after="80"/>
              <w:jc w:val="both"/>
              <w:rPr>
                <w:rFonts w:ascii="Calibri" w:hAnsi="Calibri" w:cs="Calibri"/>
                <w:sz w:val="20"/>
                <w:szCs w:val="20"/>
                <w:u w:val="single"/>
              </w:rPr>
            </w:pPr>
            <w:r w:rsidRPr="003374F0">
              <w:rPr>
                <w:rFonts w:ascii="Calibri" w:hAnsi="Calibri" w:cs="Calibri"/>
                <w:b/>
                <w:bCs/>
                <w:sz w:val="20"/>
                <w:szCs w:val="20"/>
                <w:u w:val="single"/>
              </w:rPr>
              <w:t>Key</w:t>
            </w:r>
            <w:r w:rsidR="00212C66" w:rsidRPr="003374F0">
              <w:rPr>
                <w:rFonts w:ascii="Calibri" w:hAnsi="Calibri" w:cs="Calibri"/>
                <w:b/>
                <w:bCs/>
                <w:sz w:val="20"/>
                <w:szCs w:val="20"/>
                <w:u w:val="single"/>
              </w:rPr>
              <w:t xml:space="preserve"> stakeholders </w:t>
            </w:r>
            <w:r w:rsidR="00212C66" w:rsidRPr="003374F0">
              <w:rPr>
                <w:rFonts w:ascii="Calibri" w:hAnsi="Calibri" w:cs="Calibri"/>
                <w:sz w:val="20"/>
                <w:szCs w:val="20"/>
              </w:rPr>
              <w:t>are</w:t>
            </w:r>
            <w:r w:rsidRPr="003374F0">
              <w:rPr>
                <w:rFonts w:ascii="Calibri" w:hAnsi="Calibri" w:cs="Calibri"/>
                <w:sz w:val="20"/>
                <w:szCs w:val="20"/>
              </w:rPr>
              <w:t xml:space="preserve"> </w:t>
            </w:r>
            <w:r w:rsidR="00212C66" w:rsidRPr="003374F0">
              <w:rPr>
                <w:rFonts w:ascii="Calibri" w:hAnsi="Calibri" w:cs="Calibri"/>
                <w:sz w:val="20"/>
                <w:szCs w:val="20"/>
              </w:rPr>
              <w:t>the i</w:t>
            </w:r>
            <w:r w:rsidRPr="003374F0">
              <w:rPr>
                <w:rFonts w:ascii="Calibri" w:hAnsi="Calibri" w:cs="Calibri"/>
                <w:sz w:val="20"/>
                <w:szCs w:val="20"/>
              </w:rPr>
              <w:t>nstitution</w:t>
            </w:r>
            <w:r w:rsidR="00212C66" w:rsidRPr="003374F0">
              <w:rPr>
                <w:rFonts w:ascii="Calibri" w:hAnsi="Calibri" w:cs="Calibri"/>
                <w:sz w:val="20"/>
                <w:szCs w:val="20"/>
              </w:rPr>
              <w:t xml:space="preserve">s </w:t>
            </w:r>
            <w:r w:rsidRPr="003374F0">
              <w:rPr>
                <w:rFonts w:ascii="Calibri" w:hAnsi="Calibri" w:cs="Calibri"/>
                <w:sz w:val="20"/>
                <w:szCs w:val="20"/>
              </w:rPr>
              <w:t xml:space="preserve">that </w:t>
            </w:r>
            <w:r w:rsidR="00C91F88" w:rsidRPr="003374F0">
              <w:rPr>
                <w:rFonts w:ascii="Calibri" w:hAnsi="Calibri" w:cs="Calibri"/>
                <w:sz w:val="20"/>
                <w:szCs w:val="20"/>
              </w:rPr>
              <w:t xml:space="preserve">have a highly central role in implementation and </w:t>
            </w:r>
            <w:r w:rsidRPr="003374F0">
              <w:rPr>
                <w:rFonts w:ascii="Calibri" w:hAnsi="Calibri" w:cs="Calibri"/>
                <w:sz w:val="20"/>
                <w:szCs w:val="20"/>
              </w:rPr>
              <w:t>h</w:t>
            </w:r>
            <w:r w:rsidR="00212C66" w:rsidRPr="003374F0">
              <w:rPr>
                <w:rFonts w:ascii="Calibri" w:hAnsi="Calibri" w:cs="Calibri"/>
                <w:sz w:val="20"/>
                <w:szCs w:val="20"/>
              </w:rPr>
              <w:t>old</w:t>
            </w:r>
            <w:r w:rsidRPr="003374F0">
              <w:rPr>
                <w:rFonts w:ascii="Calibri" w:hAnsi="Calibri" w:cs="Calibri"/>
                <w:sz w:val="20"/>
                <w:szCs w:val="20"/>
              </w:rPr>
              <w:t xml:space="preserve"> </w:t>
            </w:r>
            <w:r w:rsidR="00212C66" w:rsidRPr="003374F0">
              <w:rPr>
                <w:rFonts w:ascii="Calibri" w:hAnsi="Calibri" w:cs="Calibri"/>
                <w:sz w:val="20"/>
                <w:szCs w:val="20"/>
              </w:rPr>
              <w:t xml:space="preserve">the power of </w:t>
            </w:r>
            <w:r w:rsidRPr="003374F0">
              <w:rPr>
                <w:rFonts w:ascii="Calibri" w:hAnsi="Calibri" w:cs="Calibri"/>
                <w:sz w:val="20"/>
                <w:szCs w:val="20"/>
              </w:rPr>
              <w:t>veto power within the project</w:t>
            </w:r>
            <w:r w:rsidR="00C91F88" w:rsidRPr="003374F0">
              <w:rPr>
                <w:rFonts w:ascii="Calibri" w:hAnsi="Calibri" w:cs="Calibri"/>
                <w:sz w:val="20"/>
                <w:szCs w:val="20"/>
              </w:rPr>
              <w:t xml:space="preserve">, which includes </w:t>
            </w:r>
            <w:r w:rsidRPr="003374F0">
              <w:rPr>
                <w:rFonts w:ascii="Calibri" w:hAnsi="Calibri" w:cs="Calibri"/>
                <w:sz w:val="20"/>
                <w:szCs w:val="20"/>
              </w:rPr>
              <w:t xml:space="preserve">FAO by default </w:t>
            </w:r>
            <w:r w:rsidR="00C91F88" w:rsidRPr="003374F0">
              <w:rPr>
                <w:rFonts w:ascii="Calibri" w:hAnsi="Calibri" w:cs="Calibri"/>
                <w:sz w:val="20"/>
                <w:szCs w:val="20"/>
              </w:rPr>
              <w:t xml:space="preserve">of its role. </w:t>
            </w:r>
            <w:r w:rsidRPr="003374F0">
              <w:rPr>
                <w:rFonts w:ascii="Calibri" w:hAnsi="Calibri" w:cs="Calibri"/>
                <w:sz w:val="20"/>
                <w:szCs w:val="20"/>
              </w:rPr>
              <w:t xml:space="preserve">The project’s operational partners </w:t>
            </w:r>
            <w:r w:rsidR="00C91F88" w:rsidRPr="003374F0">
              <w:rPr>
                <w:rFonts w:ascii="Calibri" w:hAnsi="Calibri" w:cs="Calibri"/>
                <w:sz w:val="20"/>
                <w:szCs w:val="20"/>
              </w:rPr>
              <w:t>lie</w:t>
            </w:r>
            <w:r w:rsidRPr="003374F0">
              <w:rPr>
                <w:rFonts w:ascii="Calibri" w:hAnsi="Calibri" w:cs="Calibri"/>
                <w:sz w:val="20"/>
                <w:szCs w:val="20"/>
              </w:rPr>
              <w:t xml:space="preserve"> within this category, which includes the national institutions responsible for the environmental portfolio</w:t>
            </w:r>
            <w:r w:rsidR="00C91F88" w:rsidRPr="003374F0">
              <w:rPr>
                <w:rFonts w:ascii="Calibri" w:hAnsi="Calibri" w:cs="Calibri"/>
                <w:sz w:val="20"/>
                <w:szCs w:val="20"/>
              </w:rPr>
              <w:t xml:space="preserve">, </w:t>
            </w:r>
            <w:r w:rsidRPr="003374F0">
              <w:rPr>
                <w:rFonts w:ascii="Calibri" w:hAnsi="Calibri" w:cs="Calibri"/>
                <w:sz w:val="20"/>
                <w:szCs w:val="20"/>
              </w:rPr>
              <w:t>focus</w:t>
            </w:r>
            <w:r w:rsidR="00C91F88" w:rsidRPr="003374F0">
              <w:rPr>
                <w:rFonts w:ascii="Calibri" w:hAnsi="Calibri" w:cs="Calibri"/>
                <w:sz w:val="20"/>
                <w:szCs w:val="20"/>
              </w:rPr>
              <w:t>ing</w:t>
            </w:r>
            <w:r w:rsidRPr="003374F0">
              <w:rPr>
                <w:rFonts w:ascii="Calibri" w:hAnsi="Calibri" w:cs="Calibri"/>
                <w:sz w:val="20"/>
                <w:szCs w:val="20"/>
              </w:rPr>
              <w:t xml:space="preserve"> on land degradation and climate change</w:t>
            </w:r>
            <w:r w:rsidR="00C91F88" w:rsidRPr="003374F0">
              <w:rPr>
                <w:rFonts w:ascii="Calibri" w:hAnsi="Calibri" w:cs="Calibri"/>
                <w:sz w:val="20"/>
                <w:szCs w:val="20"/>
              </w:rPr>
              <w:t>,</w:t>
            </w:r>
            <w:r w:rsidRPr="003374F0">
              <w:rPr>
                <w:rFonts w:ascii="Calibri" w:hAnsi="Calibri" w:cs="Calibri"/>
                <w:sz w:val="20"/>
                <w:szCs w:val="20"/>
              </w:rPr>
              <w:t xml:space="preserve"> those in charge of the agrarian sector (agriculture, forest</w:t>
            </w:r>
            <w:r w:rsidR="00C91F88" w:rsidRPr="003374F0">
              <w:rPr>
                <w:rFonts w:ascii="Calibri" w:hAnsi="Calibri" w:cs="Calibri"/>
                <w:sz w:val="20"/>
                <w:szCs w:val="20"/>
              </w:rPr>
              <w:t>ry</w:t>
            </w:r>
            <w:r w:rsidRPr="003374F0">
              <w:rPr>
                <w:rFonts w:ascii="Calibri" w:hAnsi="Calibri" w:cs="Calibri"/>
                <w:sz w:val="20"/>
                <w:szCs w:val="20"/>
              </w:rPr>
              <w:t xml:space="preserve"> and livestock</w:t>
            </w:r>
            <w:r w:rsidR="00DE0155" w:rsidRPr="003374F0">
              <w:rPr>
                <w:rFonts w:ascii="Calibri" w:hAnsi="Calibri" w:cs="Calibri"/>
                <w:sz w:val="20"/>
                <w:szCs w:val="20"/>
              </w:rPr>
              <w:t>) and</w:t>
            </w:r>
            <w:r w:rsidR="00C91F88" w:rsidRPr="003374F0">
              <w:rPr>
                <w:rFonts w:ascii="Calibri" w:hAnsi="Calibri" w:cs="Calibri"/>
                <w:sz w:val="20"/>
                <w:szCs w:val="20"/>
              </w:rPr>
              <w:t xml:space="preserve"> members of the LDN Committee.</w:t>
            </w:r>
            <w:r w:rsidRPr="003374F0">
              <w:rPr>
                <w:rFonts w:ascii="Calibri" w:hAnsi="Calibri" w:cs="Calibri"/>
                <w:sz w:val="20"/>
                <w:szCs w:val="20"/>
              </w:rPr>
              <w:t xml:space="preserve"> </w:t>
            </w:r>
            <w:r w:rsidR="00DE0155" w:rsidRPr="003374F0">
              <w:rPr>
                <w:rFonts w:ascii="Calibri" w:hAnsi="Calibri" w:cs="Calibri"/>
                <w:sz w:val="20"/>
                <w:szCs w:val="20"/>
              </w:rPr>
              <w:t>D</w:t>
            </w:r>
            <w:r w:rsidRPr="003374F0">
              <w:rPr>
                <w:rFonts w:ascii="Calibri" w:hAnsi="Calibri" w:cs="Calibri"/>
                <w:sz w:val="20"/>
                <w:szCs w:val="20"/>
              </w:rPr>
              <w:t>irect beneficiaries are also considered key</w:t>
            </w:r>
            <w:r w:rsidR="00DE0155" w:rsidRPr="003374F0">
              <w:rPr>
                <w:rFonts w:ascii="Calibri" w:hAnsi="Calibri" w:cs="Calibri"/>
                <w:sz w:val="20"/>
                <w:szCs w:val="20"/>
              </w:rPr>
              <w:t xml:space="preserve"> stakeholders</w:t>
            </w:r>
            <w:r w:rsidRPr="003374F0">
              <w:rPr>
                <w:rFonts w:ascii="Calibri" w:hAnsi="Calibri" w:cs="Calibri"/>
                <w:sz w:val="20"/>
                <w:szCs w:val="20"/>
              </w:rPr>
              <w:t xml:space="preserve">. </w:t>
            </w:r>
          </w:p>
          <w:p w14:paraId="427BDAC3" w14:textId="292C82E8" w:rsidR="009563B4" w:rsidRPr="003374F0" w:rsidRDefault="009563B4" w:rsidP="00D47BE7">
            <w:pPr>
              <w:spacing w:before="40" w:after="80"/>
              <w:jc w:val="both"/>
              <w:rPr>
                <w:rFonts w:ascii="Calibri" w:hAnsi="Calibri" w:cs="Calibri"/>
                <w:b/>
                <w:bCs/>
                <w:sz w:val="20"/>
                <w:szCs w:val="20"/>
                <w:u w:val="single"/>
              </w:rPr>
            </w:pPr>
            <w:r w:rsidRPr="003374F0">
              <w:rPr>
                <w:rFonts w:ascii="Calibri" w:hAnsi="Calibri" w:cs="Calibri"/>
                <w:b/>
                <w:bCs/>
                <w:sz w:val="20"/>
                <w:szCs w:val="20"/>
                <w:u w:val="single"/>
              </w:rPr>
              <w:t>Primary</w:t>
            </w:r>
            <w:r w:rsidR="00DE0155" w:rsidRPr="003374F0">
              <w:rPr>
                <w:rFonts w:ascii="Calibri" w:hAnsi="Calibri" w:cs="Calibri"/>
                <w:b/>
                <w:bCs/>
                <w:sz w:val="20"/>
                <w:szCs w:val="20"/>
                <w:u w:val="single"/>
              </w:rPr>
              <w:t xml:space="preserve"> stakeholders</w:t>
            </w:r>
            <w:r w:rsidRPr="003374F0">
              <w:rPr>
                <w:rFonts w:ascii="Calibri" w:hAnsi="Calibri" w:cs="Calibri"/>
                <w:sz w:val="20"/>
                <w:szCs w:val="20"/>
              </w:rPr>
              <w:t xml:space="preserve">  include institutions that are important for the project and could add value through collaborative </w:t>
            </w:r>
            <w:r w:rsidR="00DE0155" w:rsidRPr="003374F0">
              <w:rPr>
                <w:rFonts w:ascii="Calibri" w:hAnsi="Calibri" w:cs="Calibri"/>
                <w:sz w:val="20"/>
                <w:szCs w:val="20"/>
              </w:rPr>
              <w:t xml:space="preserve">implementation </w:t>
            </w:r>
            <w:r w:rsidRPr="003374F0">
              <w:rPr>
                <w:rFonts w:ascii="Calibri" w:hAnsi="Calibri" w:cs="Calibri"/>
                <w:sz w:val="20"/>
                <w:szCs w:val="20"/>
              </w:rPr>
              <w:t xml:space="preserve">arrangements. </w:t>
            </w:r>
            <w:r w:rsidR="00DE0155" w:rsidRPr="003374F0">
              <w:rPr>
                <w:rFonts w:ascii="Calibri" w:hAnsi="Calibri" w:cs="Calibri"/>
                <w:sz w:val="20"/>
                <w:szCs w:val="20"/>
              </w:rPr>
              <w:t>C</w:t>
            </w:r>
            <w:r w:rsidRPr="003374F0">
              <w:rPr>
                <w:rFonts w:ascii="Calibri" w:hAnsi="Calibri" w:cs="Calibri"/>
                <w:sz w:val="20"/>
                <w:szCs w:val="20"/>
              </w:rPr>
              <w:t>o-financiers, if not already key stakeholders, fall into this category</w:t>
            </w:r>
            <w:r w:rsidR="00DE0155" w:rsidRPr="003374F0">
              <w:rPr>
                <w:rFonts w:ascii="Calibri" w:hAnsi="Calibri" w:cs="Calibri"/>
                <w:sz w:val="20"/>
                <w:szCs w:val="20"/>
              </w:rPr>
              <w:t xml:space="preserve"> as do </w:t>
            </w:r>
            <w:r w:rsidRPr="003374F0">
              <w:rPr>
                <w:rFonts w:ascii="Calibri" w:hAnsi="Calibri" w:cs="Calibri"/>
                <w:sz w:val="20"/>
                <w:szCs w:val="20"/>
              </w:rPr>
              <w:t>direct beneficiaries.</w:t>
            </w:r>
            <w:r w:rsidRPr="003374F0">
              <w:rPr>
                <w:rFonts w:ascii="Calibri" w:hAnsi="Calibri" w:cs="Calibri"/>
                <w:b/>
                <w:bCs/>
                <w:sz w:val="20"/>
                <w:szCs w:val="20"/>
                <w:u w:val="single"/>
              </w:rPr>
              <w:t xml:space="preserve"> </w:t>
            </w:r>
          </w:p>
          <w:p w14:paraId="15022BFF" w14:textId="34B9C9C4" w:rsidR="009563B4" w:rsidRPr="00FA4E6E" w:rsidRDefault="009563B4" w:rsidP="00D47BE7">
            <w:pPr>
              <w:spacing w:before="40" w:after="40"/>
              <w:jc w:val="both"/>
              <w:rPr>
                <w:rFonts w:ascii="Calibri" w:hAnsi="Calibri" w:cs="Calibri"/>
                <w:sz w:val="21"/>
                <w:szCs w:val="21"/>
              </w:rPr>
            </w:pPr>
            <w:r w:rsidRPr="003374F0">
              <w:rPr>
                <w:rFonts w:ascii="Calibri" w:hAnsi="Calibri" w:cs="Calibri"/>
                <w:b/>
                <w:bCs/>
                <w:sz w:val="20"/>
                <w:szCs w:val="20"/>
                <w:u w:val="single"/>
              </w:rPr>
              <w:t>Secondary</w:t>
            </w:r>
            <w:r w:rsidR="00384C6D" w:rsidRPr="003374F0">
              <w:rPr>
                <w:rFonts w:ascii="Calibri" w:hAnsi="Calibri" w:cs="Calibri"/>
                <w:sz w:val="20"/>
                <w:szCs w:val="20"/>
              </w:rPr>
              <w:t xml:space="preserve"> </w:t>
            </w:r>
            <w:r w:rsidR="00384C6D" w:rsidRPr="003374F0">
              <w:rPr>
                <w:rFonts w:ascii="Calibri" w:hAnsi="Calibri" w:cs="Calibri"/>
                <w:b/>
                <w:bCs/>
                <w:sz w:val="20"/>
                <w:szCs w:val="20"/>
              </w:rPr>
              <w:t>stakeholders</w:t>
            </w:r>
            <w:r w:rsidR="00384C6D" w:rsidRPr="003374F0">
              <w:rPr>
                <w:rFonts w:ascii="Calibri" w:hAnsi="Calibri" w:cs="Calibri"/>
                <w:sz w:val="20"/>
                <w:szCs w:val="20"/>
                <w:u w:val="single"/>
              </w:rPr>
              <w:t xml:space="preserve"> are t</w:t>
            </w:r>
            <w:r w:rsidRPr="003374F0">
              <w:rPr>
                <w:rFonts w:ascii="Calibri" w:hAnsi="Calibri" w:cs="Calibri"/>
                <w:sz w:val="20"/>
                <w:szCs w:val="20"/>
              </w:rPr>
              <w:t xml:space="preserve">hose </w:t>
            </w:r>
            <w:r w:rsidR="00384C6D" w:rsidRPr="003374F0">
              <w:rPr>
                <w:rFonts w:ascii="Calibri" w:hAnsi="Calibri" w:cs="Calibri"/>
                <w:sz w:val="20"/>
                <w:szCs w:val="20"/>
              </w:rPr>
              <w:t xml:space="preserve">having </w:t>
            </w:r>
            <w:r w:rsidRPr="003374F0">
              <w:rPr>
                <w:rFonts w:ascii="Calibri" w:hAnsi="Calibri" w:cs="Calibri"/>
                <w:sz w:val="20"/>
                <w:szCs w:val="20"/>
              </w:rPr>
              <w:t xml:space="preserve">an interest in the project but </w:t>
            </w:r>
            <w:r w:rsidR="003739FF">
              <w:rPr>
                <w:rFonts w:ascii="Calibri" w:hAnsi="Calibri" w:cs="Calibri"/>
                <w:sz w:val="20"/>
                <w:szCs w:val="20"/>
              </w:rPr>
              <w:t>participating</w:t>
            </w:r>
            <w:r w:rsidR="003739FF" w:rsidRPr="003374F0">
              <w:rPr>
                <w:rFonts w:ascii="Calibri" w:hAnsi="Calibri" w:cs="Calibri"/>
                <w:sz w:val="20"/>
                <w:szCs w:val="20"/>
              </w:rPr>
              <w:t xml:space="preserve"> </w:t>
            </w:r>
            <w:r w:rsidR="00384C6D" w:rsidRPr="003374F0">
              <w:rPr>
                <w:rFonts w:ascii="Calibri" w:hAnsi="Calibri" w:cs="Calibri"/>
                <w:sz w:val="20"/>
                <w:szCs w:val="20"/>
              </w:rPr>
              <w:t xml:space="preserve">from a </w:t>
            </w:r>
            <w:r w:rsidRPr="003374F0">
              <w:rPr>
                <w:rFonts w:ascii="Calibri" w:hAnsi="Calibri" w:cs="Calibri"/>
                <w:sz w:val="20"/>
                <w:szCs w:val="20"/>
              </w:rPr>
              <w:t xml:space="preserve">peripheral </w:t>
            </w:r>
            <w:r w:rsidR="00384C6D" w:rsidRPr="003374F0">
              <w:rPr>
                <w:rFonts w:ascii="Calibri" w:hAnsi="Calibri" w:cs="Calibri"/>
                <w:sz w:val="20"/>
                <w:szCs w:val="20"/>
              </w:rPr>
              <w:t>context</w:t>
            </w:r>
            <w:r w:rsidRPr="003374F0">
              <w:rPr>
                <w:rFonts w:ascii="Calibri" w:hAnsi="Calibri" w:cs="Calibri"/>
                <w:sz w:val="20"/>
                <w:szCs w:val="20"/>
              </w:rPr>
              <w:t xml:space="preserve">. </w:t>
            </w:r>
          </w:p>
        </w:tc>
      </w:tr>
    </w:tbl>
    <w:p w14:paraId="0CC1A05D" w14:textId="77777777" w:rsidR="009563B4" w:rsidRPr="00CE1EA7" w:rsidRDefault="009563B4" w:rsidP="009563B4">
      <w:pPr>
        <w:pStyle w:val="ParagraphOED"/>
        <w:numPr>
          <w:ilvl w:val="0"/>
          <w:numId w:val="0"/>
        </w:numPr>
        <w:rPr>
          <w:highlight w:val="magenta"/>
        </w:rPr>
      </w:pPr>
    </w:p>
    <w:p w14:paraId="3D708C6D" w14:textId="73D3E00A" w:rsidR="009563B4" w:rsidRPr="00FD141D" w:rsidRDefault="009563B4" w:rsidP="00FD141D">
      <w:pPr>
        <w:pStyle w:val="Caption"/>
        <w:spacing w:after="160"/>
        <w:rPr>
          <w:rFonts w:ascii="Calibri" w:hAnsi="Calibri" w:cs="Calibri"/>
          <w:sz w:val="22"/>
          <w:szCs w:val="22"/>
          <w:highlight w:val="magenta"/>
        </w:rPr>
      </w:pPr>
      <w:bookmarkStart w:id="192" w:name="_Toc42027222"/>
      <w:bookmarkStart w:id="193" w:name="_Toc42089596"/>
      <w:bookmarkStart w:id="194" w:name="_Toc58398636"/>
      <w:r w:rsidRPr="00FD141D">
        <w:rPr>
          <w:rFonts w:ascii="Calibri" w:hAnsi="Calibri" w:cs="Calibri"/>
          <w:sz w:val="22"/>
          <w:szCs w:val="22"/>
        </w:rPr>
        <w:t xml:space="preserve">Table </w:t>
      </w:r>
      <w:r w:rsidRPr="00FD141D">
        <w:rPr>
          <w:rFonts w:ascii="Calibri" w:hAnsi="Calibri" w:cs="Calibri"/>
          <w:sz w:val="22"/>
          <w:szCs w:val="22"/>
        </w:rPr>
        <w:fldChar w:fldCharType="begin"/>
      </w:r>
      <w:r w:rsidRPr="00FD141D">
        <w:rPr>
          <w:rFonts w:ascii="Calibri" w:hAnsi="Calibri" w:cs="Calibri"/>
          <w:sz w:val="22"/>
          <w:szCs w:val="22"/>
        </w:rPr>
        <w:instrText>SEQ Table \* ARABIC</w:instrText>
      </w:r>
      <w:r w:rsidRPr="00FD141D">
        <w:rPr>
          <w:rFonts w:ascii="Calibri" w:hAnsi="Calibri" w:cs="Calibri"/>
          <w:sz w:val="22"/>
          <w:szCs w:val="22"/>
        </w:rPr>
        <w:fldChar w:fldCharType="separate"/>
      </w:r>
      <w:r w:rsidR="007D3608">
        <w:rPr>
          <w:rFonts w:ascii="Calibri" w:hAnsi="Calibri" w:cs="Calibri"/>
          <w:noProof/>
          <w:sz w:val="22"/>
          <w:szCs w:val="22"/>
        </w:rPr>
        <w:t>6</w:t>
      </w:r>
      <w:r w:rsidRPr="00FD141D">
        <w:rPr>
          <w:rFonts w:ascii="Calibri" w:hAnsi="Calibri" w:cs="Calibri"/>
          <w:sz w:val="22"/>
          <w:szCs w:val="22"/>
        </w:rPr>
        <w:fldChar w:fldCharType="end"/>
      </w:r>
      <w:r w:rsidRPr="00FD141D">
        <w:rPr>
          <w:rFonts w:ascii="Calibri" w:hAnsi="Calibri" w:cs="Calibri"/>
          <w:sz w:val="22"/>
          <w:szCs w:val="22"/>
        </w:rPr>
        <w:t xml:space="preserve">. Project </w:t>
      </w:r>
      <w:r w:rsidR="00FD141D" w:rsidRPr="00FD141D">
        <w:rPr>
          <w:rFonts w:ascii="Calibri" w:hAnsi="Calibri" w:cs="Calibri"/>
          <w:sz w:val="22"/>
          <w:szCs w:val="22"/>
        </w:rPr>
        <w:t>s</w:t>
      </w:r>
      <w:r w:rsidRPr="00FD141D">
        <w:rPr>
          <w:rFonts w:ascii="Calibri" w:hAnsi="Calibri" w:cs="Calibri"/>
          <w:sz w:val="22"/>
          <w:szCs w:val="22"/>
        </w:rPr>
        <w:t>takeholders and their potential role in the project</w:t>
      </w:r>
      <w:bookmarkEnd w:id="192"/>
      <w:bookmarkEnd w:id="193"/>
      <w:bookmarkEnd w:id="194"/>
    </w:p>
    <w:tbl>
      <w:tblPr>
        <w:tblStyle w:val="TableGrid"/>
        <w:tblW w:w="0" w:type="auto"/>
        <w:tblLook w:val="04A0" w:firstRow="1" w:lastRow="0" w:firstColumn="1" w:lastColumn="0" w:noHBand="0" w:noVBand="1"/>
      </w:tblPr>
      <w:tblGrid>
        <w:gridCol w:w="1193"/>
        <w:gridCol w:w="6740"/>
        <w:gridCol w:w="1083"/>
      </w:tblGrid>
      <w:tr w:rsidR="009563B4" w:rsidRPr="00CE1EA7" w14:paraId="7D593DAB" w14:textId="77777777" w:rsidTr="3764D022">
        <w:trPr>
          <w:trHeight w:val="89"/>
          <w:tblHeader/>
        </w:trPr>
        <w:tc>
          <w:tcPr>
            <w:tcW w:w="1129" w:type="dxa"/>
            <w:shd w:val="clear" w:color="auto" w:fill="000000" w:themeFill="text1"/>
            <w:tcMar>
              <w:left w:w="57" w:type="dxa"/>
              <w:right w:w="28" w:type="dxa"/>
            </w:tcMar>
          </w:tcPr>
          <w:p w14:paraId="21C802E6" w14:textId="77777777" w:rsidR="009563B4" w:rsidRPr="00463F77" w:rsidRDefault="009563B4" w:rsidP="00463F77">
            <w:pPr>
              <w:rPr>
                <w:rFonts w:asciiTheme="minorHAnsi" w:hAnsiTheme="minorHAnsi" w:cstheme="minorHAnsi"/>
                <w:b/>
                <w:bCs/>
                <w:sz w:val="18"/>
                <w:szCs w:val="18"/>
              </w:rPr>
            </w:pPr>
            <w:r w:rsidRPr="00463F77">
              <w:rPr>
                <w:rFonts w:asciiTheme="minorHAnsi" w:hAnsiTheme="minorHAnsi" w:cstheme="minorHAnsi"/>
                <w:b/>
                <w:bCs/>
                <w:sz w:val="18"/>
                <w:szCs w:val="18"/>
              </w:rPr>
              <w:t>Stakeholder</w:t>
            </w:r>
          </w:p>
        </w:tc>
        <w:tc>
          <w:tcPr>
            <w:tcW w:w="6804" w:type="dxa"/>
            <w:shd w:val="clear" w:color="auto" w:fill="000000" w:themeFill="text1"/>
            <w:tcMar>
              <w:left w:w="57" w:type="dxa"/>
              <w:right w:w="28" w:type="dxa"/>
            </w:tcMar>
          </w:tcPr>
          <w:p w14:paraId="1123E81B" w14:textId="77777777" w:rsidR="009563B4" w:rsidRPr="00463F77" w:rsidRDefault="009563B4" w:rsidP="00463F77">
            <w:pPr>
              <w:rPr>
                <w:rFonts w:asciiTheme="minorHAnsi" w:hAnsiTheme="minorHAnsi" w:cstheme="minorHAnsi"/>
                <w:b/>
                <w:bCs/>
                <w:sz w:val="18"/>
                <w:szCs w:val="18"/>
              </w:rPr>
            </w:pPr>
            <w:r w:rsidRPr="00463F77">
              <w:rPr>
                <w:rFonts w:asciiTheme="minorHAnsi" w:hAnsiTheme="minorHAnsi" w:cstheme="minorHAnsi"/>
                <w:b/>
                <w:bCs/>
                <w:sz w:val="18"/>
                <w:szCs w:val="18"/>
              </w:rPr>
              <w:t>Role in the Project</w:t>
            </w:r>
          </w:p>
        </w:tc>
        <w:tc>
          <w:tcPr>
            <w:tcW w:w="1083" w:type="dxa"/>
            <w:shd w:val="clear" w:color="auto" w:fill="000000" w:themeFill="text1"/>
            <w:tcMar>
              <w:left w:w="57" w:type="dxa"/>
              <w:right w:w="28" w:type="dxa"/>
            </w:tcMar>
          </w:tcPr>
          <w:p w14:paraId="298C1047" w14:textId="77777777" w:rsidR="009563B4" w:rsidRPr="00463F77" w:rsidRDefault="009563B4" w:rsidP="00463F77">
            <w:pPr>
              <w:rPr>
                <w:rFonts w:asciiTheme="minorHAnsi" w:hAnsiTheme="minorHAnsi" w:cstheme="minorHAnsi"/>
                <w:b/>
                <w:bCs/>
                <w:sz w:val="18"/>
                <w:szCs w:val="18"/>
              </w:rPr>
            </w:pPr>
            <w:r w:rsidRPr="00463F77">
              <w:rPr>
                <w:rFonts w:asciiTheme="minorHAnsi" w:hAnsiTheme="minorHAnsi" w:cstheme="minorHAnsi"/>
                <w:b/>
                <w:bCs/>
                <w:sz w:val="18"/>
                <w:szCs w:val="18"/>
              </w:rPr>
              <w:t xml:space="preserve">Classification </w:t>
            </w:r>
          </w:p>
        </w:tc>
      </w:tr>
      <w:tr w:rsidR="009563B4" w:rsidRPr="00CE1EA7" w14:paraId="042C1641" w14:textId="77777777" w:rsidTr="3764D022">
        <w:trPr>
          <w:trHeight w:val="277"/>
        </w:trPr>
        <w:tc>
          <w:tcPr>
            <w:tcW w:w="1129" w:type="dxa"/>
            <w:shd w:val="clear" w:color="auto" w:fill="DEEAF6" w:themeFill="accent1" w:themeFillTint="33"/>
            <w:tcMar>
              <w:left w:w="57" w:type="dxa"/>
              <w:right w:w="28" w:type="dxa"/>
            </w:tcMar>
          </w:tcPr>
          <w:p w14:paraId="639FCD11" w14:textId="77777777" w:rsidR="009563B4" w:rsidRPr="00463F77" w:rsidRDefault="009563B4" w:rsidP="00463F77">
            <w:pPr>
              <w:keepNext/>
              <w:rPr>
                <w:rFonts w:asciiTheme="minorHAnsi" w:hAnsiTheme="minorHAnsi" w:cstheme="minorHAnsi"/>
                <w:b/>
                <w:bCs/>
                <w:i/>
                <w:iCs/>
                <w:sz w:val="18"/>
                <w:szCs w:val="18"/>
              </w:rPr>
            </w:pPr>
          </w:p>
        </w:tc>
        <w:tc>
          <w:tcPr>
            <w:tcW w:w="6804" w:type="dxa"/>
            <w:shd w:val="clear" w:color="auto" w:fill="DEEAF6" w:themeFill="accent1" w:themeFillTint="33"/>
            <w:tcMar>
              <w:left w:w="57" w:type="dxa"/>
              <w:right w:w="28" w:type="dxa"/>
            </w:tcMar>
          </w:tcPr>
          <w:p w14:paraId="048B0070" w14:textId="77777777" w:rsidR="009563B4" w:rsidRPr="00463F77" w:rsidRDefault="009563B4" w:rsidP="00463F77">
            <w:pPr>
              <w:keepNext/>
              <w:rPr>
                <w:rFonts w:asciiTheme="minorHAnsi" w:hAnsiTheme="minorHAnsi" w:cstheme="minorHAnsi"/>
                <w:b/>
                <w:bCs/>
                <w:i/>
                <w:iCs/>
                <w:sz w:val="18"/>
                <w:szCs w:val="18"/>
              </w:rPr>
            </w:pPr>
            <w:r w:rsidRPr="00463F77">
              <w:rPr>
                <w:rFonts w:asciiTheme="minorHAnsi" w:hAnsiTheme="minorHAnsi" w:cstheme="minorHAnsi"/>
                <w:b/>
                <w:bCs/>
                <w:i/>
                <w:iCs/>
                <w:sz w:val="18"/>
                <w:szCs w:val="18"/>
              </w:rPr>
              <w:t xml:space="preserve">Institutional Stakeholders within Central Government </w:t>
            </w:r>
          </w:p>
        </w:tc>
        <w:tc>
          <w:tcPr>
            <w:tcW w:w="1083" w:type="dxa"/>
            <w:shd w:val="clear" w:color="auto" w:fill="DEEAF6" w:themeFill="accent1" w:themeFillTint="33"/>
            <w:tcMar>
              <w:left w:w="57" w:type="dxa"/>
              <w:right w:w="28" w:type="dxa"/>
            </w:tcMar>
          </w:tcPr>
          <w:p w14:paraId="639C7472" w14:textId="77777777" w:rsidR="009563B4" w:rsidRPr="00463F77" w:rsidRDefault="009563B4" w:rsidP="00463F77">
            <w:pPr>
              <w:keepNext/>
              <w:rPr>
                <w:rFonts w:asciiTheme="minorHAnsi" w:hAnsiTheme="minorHAnsi" w:cstheme="minorHAnsi"/>
                <w:b/>
                <w:bCs/>
                <w:i/>
                <w:iCs/>
                <w:sz w:val="18"/>
                <w:szCs w:val="18"/>
              </w:rPr>
            </w:pPr>
          </w:p>
        </w:tc>
      </w:tr>
      <w:tr w:rsidR="009563B4" w:rsidRPr="00CE1EA7" w14:paraId="6BC8BFEB" w14:textId="77777777" w:rsidTr="3764D022">
        <w:trPr>
          <w:trHeight w:val="1094"/>
        </w:trPr>
        <w:tc>
          <w:tcPr>
            <w:tcW w:w="1129" w:type="dxa"/>
            <w:tcMar>
              <w:left w:w="57" w:type="dxa"/>
              <w:right w:w="28" w:type="dxa"/>
            </w:tcMar>
          </w:tcPr>
          <w:p w14:paraId="2A5E711D" w14:textId="033166EC" w:rsidR="009563B4" w:rsidRPr="00463F77" w:rsidRDefault="266668C4" w:rsidP="4D10DE74">
            <w:pPr>
              <w:rPr>
                <w:rFonts w:asciiTheme="minorHAnsi" w:hAnsiTheme="minorHAnsi" w:cstheme="minorBidi"/>
                <w:b/>
                <w:bCs/>
                <w:sz w:val="18"/>
                <w:szCs w:val="18"/>
              </w:rPr>
            </w:pPr>
            <w:r w:rsidRPr="4D10DE74">
              <w:rPr>
                <w:rFonts w:asciiTheme="minorHAnsi" w:hAnsiTheme="minorHAnsi" w:cstheme="minorBidi"/>
                <w:b/>
                <w:bCs/>
                <w:sz w:val="18"/>
                <w:szCs w:val="18"/>
              </w:rPr>
              <w:t xml:space="preserve"> Ministry of Culture, Tourism and Environment</w:t>
            </w:r>
            <w:r w:rsidR="009563B4" w:rsidRPr="4D10DE74">
              <w:rPr>
                <w:rFonts w:asciiTheme="minorHAnsi" w:hAnsiTheme="minorHAnsi" w:cstheme="minorBidi"/>
                <w:b/>
                <w:bCs/>
                <w:sz w:val="18"/>
                <w:szCs w:val="18"/>
              </w:rPr>
              <w:t xml:space="preserve"> (M</w:t>
            </w:r>
            <w:r w:rsidR="0715D9AA" w:rsidRPr="4D10DE74">
              <w:rPr>
                <w:rFonts w:asciiTheme="minorHAnsi" w:hAnsiTheme="minorHAnsi" w:cstheme="minorBidi"/>
                <w:b/>
                <w:bCs/>
                <w:sz w:val="18"/>
                <w:szCs w:val="18"/>
              </w:rPr>
              <w:t>CTA</w:t>
            </w:r>
            <w:r w:rsidR="009563B4" w:rsidRPr="4D10DE74">
              <w:rPr>
                <w:rFonts w:asciiTheme="minorHAnsi" w:hAnsiTheme="minorHAnsi" w:cstheme="minorBidi"/>
                <w:b/>
                <w:bCs/>
                <w:sz w:val="18"/>
                <w:szCs w:val="18"/>
              </w:rPr>
              <w:t>)</w:t>
            </w:r>
          </w:p>
          <w:p w14:paraId="0426338A" w14:textId="77777777" w:rsidR="009563B4" w:rsidRPr="00463F77" w:rsidRDefault="009563B4" w:rsidP="00463F77">
            <w:pPr>
              <w:rPr>
                <w:rFonts w:asciiTheme="minorHAnsi" w:hAnsiTheme="minorHAnsi" w:cstheme="minorHAnsi"/>
                <w:b/>
                <w:bCs/>
                <w:sz w:val="18"/>
                <w:szCs w:val="18"/>
              </w:rPr>
            </w:pPr>
          </w:p>
        </w:tc>
        <w:tc>
          <w:tcPr>
            <w:tcW w:w="6804" w:type="dxa"/>
            <w:tcMar>
              <w:left w:w="57" w:type="dxa"/>
              <w:right w:w="28" w:type="dxa"/>
            </w:tcMar>
          </w:tcPr>
          <w:p w14:paraId="4893EBFB" w14:textId="00A2DE28" w:rsidR="009563B4" w:rsidRPr="00463F77" w:rsidRDefault="009563B4" w:rsidP="00D47BE7">
            <w:pPr>
              <w:jc w:val="both"/>
              <w:rPr>
                <w:rFonts w:asciiTheme="minorHAnsi" w:hAnsiTheme="minorHAnsi" w:cstheme="minorBidi"/>
                <w:sz w:val="18"/>
                <w:szCs w:val="18"/>
              </w:rPr>
            </w:pPr>
            <w:r w:rsidRPr="4D10DE74">
              <w:rPr>
                <w:rFonts w:asciiTheme="minorHAnsi" w:hAnsiTheme="minorHAnsi" w:cstheme="minorBidi"/>
                <w:sz w:val="18"/>
                <w:szCs w:val="18"/>
                <w:u w:val="single"/>
              </w:rPr>
              <w:t>M</w:t>
            </w:r>
            <w:r w:rsidR="157393A4" w:rsidRPr="4D10DE74">
              <w:rPr>
                <w:rFonts w:asciiTheme="minorHAnsi" w:hAnsiTheme="minorHAnsi" w:cstheme="minorBidi"/>
                <w:sz w:val="18"/>
                <w:szCs w:val="18"/>
                <w:u w:val="single"/>
              </w:rPr>
              <w:t>CTA</w:t>
            </w:r>
            <w:r w:rsidRPr="4D10DE74">
              <w:rPr>
                <w:rFonts w:asciiTheme="minorHAnsi" w:hAnsiTheme="minorHAnsi" w:cstheme="minorBidi"/>
                <w:sz w:val="18"/>
                <w:szCs w:val="18"/>
              </w:rPr>
              <w:t>will be the leader of project at national government level. The ministry has the overall responsibility for the coordination of land management and environmental policies. It will support the project with institutional and legislative frameworks, and other important elements. Under M</w:t>
            </w:r>
            <w:r w:rsidR="36C07884" w:rsidRPr="4D10DE74">
              <w:rPr>
                <w:rFonts w:asciiTheme="minorHAnsi" w:hAnsiTheme="minorHAnsi" w:cstheme="minorBidi"/>
                <w:sz w:val="18"/>
                <w:szCs w:val="18"/>
              </w:rPr>
              <w:t>CTA</w:t>
            </w:r>
            <w:r w:rsidRPr="4D10DE74">
              <w:rPr>
                <w:rFonts w:asciiTheme="minorHAnsi" w:hAnsiTheme="minorHAnsi" w:cstheme="minorBidi"/>
                <w:sz w:val="18"/>
                <w:szCs w:val="18"/>
              </w:rPr>
              <w:t xml:space="preserve">, the following institutional set up: </w:t>
            </w:r>
          </w:p>
          <w:p w14:paraId="6DD0D486" w14:textId="7314388D" w:rsidR="009563B4" w:rsidRPr="00463F77" w:rsidRDefault="460C6265" w:rsidP="001667C6">
            <w:pPr>
              <w:pStyle w:val="ListParagraph"/>
              <w:numPr>
                <w:ilvl w:val="0"/>
                <w:numId w:val="25"/>
              </w:numPr>
              <w:spacing w:after="0"/>
              <w:ind w:left="307" w:hanging="284"/>
              <w:rPr>
                <w:rFonts w:asciiTheme="minorHAnsi" w:eastAsiaTheme="minorEastAsia" w:hAnsiTheme="minorHAnsi" w:cstheme="minorBidi"/>
                <w:color w:val="000000" w:themeColor="text1"/>
                <w:sz w:val="18"/>
                <w:szCs w:val="18"/>
              </w:rPr>
            </w:pPr>
            <w:r w:rsidRPr="3764D022">
              <w:rPr>
                <w:rFonts w:asciiTheme="minorHAnsi" w:hAnsiTheme="minorHAnsi" w:cstheme="minorBidi"/>
                <w:sz w:val="18"/>
                <w:szCs w:val="18"/>
              </w:rPr>
              <w:t xml:space="preserve">National </w:t>
            </w:r>
            <w:r w:rsidR="3639627C" w:rsidRPr="3764D022">
              <w:rPr>
                <w:rFonts w:asciiTheme="minorHAnsi" w:hAnsiTheme="minorHAnsi" w:cstheme="minorBidi"/>
                <w:sz w:val="18"/>
                <w:szCs w:val="18"/>
              </w:rPr>
              <w:t>Directorate for Environment and Climate Action</w:t>
            </w:r>
            <w:r w:rsidRPr="3764D022">
              <w:rPr>
                <w:rFonts w:asciiTheme="minorHAnsi" w:hAnsiTheme="minorHAnsi" w:cstheme="minorBidi"/>
                <w:sz w:val="18"/>
                <w:szCs w:val="18"/>
              </w:rPr>
              <w:t xml:space="preserve"> (DN</w:t>
            </w:r>
            <w:r w:rsidR="2763D5A2" w:rsidRPr="3764D022">
              <w:rPr>
                <w:rFonts w:asciiTheme="minorHAnsi" w:hAnsiTheme="minorHAnsi" w:cstheme="minorBidi"/>
                <w:sz w:val="18"/>
                <w:szCs w:val="18"/>
              </w:rPr>
              <w:t>A</w:t>
            </w:r>
            <w:r w:rsidRPr="3764D022">
              <w:rPr>
                <w:rFonts w:asciiTheme="minorHAnsi" w:hAnsiTheme="minorHAnsi" w:cstheme="minorBidi"/>
                <w:sz w:val="18"/>
                <w:szCs w:val="18"/>
              </w:rPr>
              <w:t>A</w:t>
            </w:r>
            <w:r w:rsidR="742E06FE" w:rsidRPr="3764D022">
              <w:rPr>
                <w:rFonts w:asciiTheme="minorHAnsi" w:hAnsiTheme="minorHAnsi" w:cstheme="minorBidi"/>
                <w:sz w:val="18"/>
                <w:szCs w:val="18"/>
              </w:rPr>
              <w:t>C</w:t>
            </w:r>
            <w:r w:rsidRPr="3764D022">
              <w:rPr>
                <w:rFonts w:asciiTheme="minorHAnsi" w:hAnsiTheme="minorHAnsi" w:cstheme="minorBidi"/>
                <w:sz w:val="18"/>
                <w:szCs w:val="18"/>
              </w:rPr>
              <w:t>):</w:t>
            </w:r>
            <w:r w:rsidRPr="3764D022">
              <w:rPr>
                <w:rFonts w:asciiTheme="minorHAnsi" w:hAnsiTheme="minorHAnsi" w:cstheme="minorBidi"/>
                <w:b/>
                <w:bCs/>
                <w:sz w:val="18"/>
                <w:szCs w:val="18"/>
              </w:rPr>
              <w:t xml:space="preserve"> </w:t>
            </w:r>
            <w:r w:rsidRPr="3764D022">
              <w:rPr>
                <w:rFonts w:asciiTheme="minorHAnsi" w:hAnsiTheme="minorHAnsi" w:cstheme="minorBidi"/>
                <w:sz w:val="18"/>
                <w:szCs w:val="18"/>
              </w:rPr>
              <w:t>Th</w:t>
            </w:r>
            <w:r w:rsidR="554F1490" w:rsidRPr="3764D022">
              <w:rPr>
                <w:rFonts w:asciiTheme="minorHAnsi" w:hAnsiTheme="minorHAnsi" w:cstheme="minorBidi"/>
                <w:sz w:val="18"/>
                <w:szCs w:val="18"/>
              </w:rPr>
              <w:t>is</w:t>
            </w:r>
            <w:r w:rsidRPr="3764D022">
              <w:rPr>
                <w:rFonts w:asciiTheme="minorHAnsi" w:hAnsiTheme="minorHAnsi" w:cstheme="minorBidi"/>
                <w:sz w:val="18"/>
                <w:szCs w:val="18"/>
              </w:rPr>
              <w:t xml:space="preserve"> office</w:t>
            </w:r>
            <w:r w:rsidR="6943BA58" w:rsidRPr="3764D022">
              <w:rPr>
                <w:rFonts w:asciiTheme="minorHAnsi" w:hAnsiTheme="minorHAnsi" w:cstheme="minorBidi"/>
                <w:sz w:val="18"/>
                <w:szCs w:val="18"/>
              </w:rPr>
              <w:t xml:space="preserve"> will host</w:t>
            </w:r>
            <w:r w:rsidRPr="3764D022">
              <w:rPr>
                <w:rFonts w:asciiTheme="minorHAnsi" w:hAnsiTheme="minorHAnsi" w:cstheme="minorBidi"/>
                <w:sz w:val="18"/>
                <w:szCs w:val="18"/>
              </w:rPr>
              <w:t xml:space="preserve"> the focal government taskforce for the project, with close collaboration with National GEF OPF. This body will be responsible for leading and coordination the project in national level, as well as monitoring and evaluation and promote synergy between any existing or foreseen projects.</w:t>
            </w:r>
          </w:p>
        </w:tc>
        <w:tc>
          <w:tcPr>
            <w:tcW w:w="1083" w:type="dxa"/>
            <w:tcMar>
              <w:left w:w="57" w:type="dxa"/>
              <w:right w:w="28" w:type="dxa"/>
            </w:tcMar>
          </w:tcPr>
          <w:p w14:paraId="7F75F86F" w14:textId="77777777" w:rsidR="009563B4" w:rsidRPr="00463F77" w:rsidRDefault="009563B4" w:rsidP="00463F77">
            <w:pPr>
              <w:rPr>
                <w:rFonts w:asciiTheme="minorHAnsi" w:hAnsiTheme="minorHAnsi" w:cstheme="minorHAnsi"/>
                <w:sz w:val="18"/>
                <w:szCs w:val="18"/>
              </w:rPr>
            </w:pPr>
            <w:r w:rsidRPr="00463F77">
              <w:rPr>
                <w:rFonts w:asciiTheme="minorHAnsi" w:hAnsiTheme="minorHAnsi" w:cstheme="minorHAnsi"/>
                <w:sz w:val="18"/>
                <w:szCs w:val="18"/>
              </w:rPr>
              <w:t>Key Stakeholder and Co-financier</w:t>
            </w:r>
          </w:p>
        </w:tc>
      </w:tr>
      <w:tr w:rsidR="009563B4" w:rsidRPr="00CE1EA7" w14:paraId="50AC8C5E" w14:textId="77777777" w:rsidTr="3764D022">
        <w:trPr>
          <w:trHeight w:val="93"/>
        </w:trPr>
        <w:tc>
          <w:tcPr>
            <w:tcW w:w="1129" w:type="dxa"/>
            <w:tcMar>
              <w:left w:w="57" w:type="dxa"/>
              <w:right w:w="28" w:type="dxa"/>
            </w:tcMar>
          </w:tcPr>
          <w:p w14:paraId="0F77957B" w14:textId="163E9412" w:rsidR="009563B4" w:rsidRPr="00463F77" w:rsidRDefault="009563B4" w:rsidP="4D10DE74">
            <w:pPr>
              <w:jc w:val="right"/>
              <w:rPr>
                <w:rFonts w:asciiTheme="minorHAnsi" w:hAnsiTheme="minorHAnsi" w:cstheme="minorBidi"/>
                <w:i/>
                <w:iCs/>
                <w:sz w:val="18"/>
                <w:szCs w:val="18"/>
              </w:rPr>
            </w:pPr>
            <w:r w:rsidRPr="4D10DE74">
              <w:rPr>
                <w:rFonts w:asciiTheme="minorHAnsi" w:hAnsiTheme="minorHAnsi" w:cstheme="minorBidi"/>
                <w:i/>
                <w:iCs/>
                <w:sz w:val="18"/>
                <w:szCs w:val="18"/>
              </w:rPr>
              <w:t xml:space="preserve">Under </w:t>
            </w:r>
            <w:r w:rsidR="56DA73A7" w:rsidRPr="4D10DE74">
              <w:rPr>
                <w:rFonts w:asciiTheme="minorHAnsi" w:hAnsiTheme="minorHAnsi" w:cstheme="minorBidi"/>
                <w:i/>
                <w:iCs/>
                <w:sz w:val="18"/>
                <w:szCs w:val="18"/>
              </w:rPr>
              <w:t>MCTA</w:t>
            </w:r>
          </w:p>
        </w:tc>
        <w:tc>
          <w:tcPr>
            <w:tcW w:w="6804" w:type="dxa"/>
            <w:tcMar>
              <w:left w:w="57" w:type="dxa"/>
              <w:right w:w="28" w:type="dxa"/>
            </w:tcMar>
          </w:tcPr>
          <w:p w14:paraId="79AE53F1" w14:textId="77777777" w:rsidR="009563B4" w:rsidRPr="00463F77" w:rsidRDefault="009563B4" w:rsidP="00D47BE7">
            <w:pPr>
              <w:spacing w:after="80"/>
              <w:jc w:val="both"/>
              <w:rPr>
                <w:rFonts w:asciiTheme="minorHAnsi" w:hAnsiTheme="minorHAnsi" w:cstheme="minorHAnsi"/>
                <w:sz w:val="18"/>
                <w:szCs w:val="18"/>
              </w:rPr>
            </w:pPr>
            <w:r w:rsidRPr="00463F77">
              <w:rPr>
                <w:rFonts w:asciiTheme="minorHAnsi" w:hAnsiTheme="minorHAnsi" w:cstheme="minorHAnsi"/>
                <w:sz w:val="18"/>
                <w:szCs w:val="18"/>
                <w:u w:val="single"/>
              </w:rPr>
              <w:t>National Institute for Biodiversity and Conservation Areas (INBAC):</w:t>
            </w:r>
            <w:r w:rsidRPr="00463F77">
              <w:rPr>
                <w:rFonts w:asciiTheme="minorHAnsi" w:hAnsiTheme="minorHAnsi" w:cstheme="minorHAnsi"/>
                <w:sz w:val="18"/>
                <w:szCs w:val="18"/>
              </w:rPr>
              <w:t xml:space="preserve"> This institute is responsible for implement the policies and strategies of biodiversity and the management of the national protected areas. In both provinces that the project will be implemented has a national park.</w:t>
            </w:r>
          </w:p>
          <w:p w14:paraId="2FD73099" w14:textId="77777777" w:rsidR="009563B4" w:rsidRPr="00463F77" w:rsidRDefault="009563B4" w:rsidP="00D47BE7">
            <w:pPr>
              <w:spacing w:after="80"/>
              <w:jc w:val="both"/>
              <w:rPr>
                <w:rFonts w:asciiTheme="minorHAnsi" w:hAnsiTheme="minorHAnsi" w:cstheme="minorHAnsi"/>
                <w:sz w:val="18"/>
                <w:szCs w:val="18"/>
              </w:rPr>
            </w:pPr>
            <w:r w:rsidRPr="00463F77">
              <w:rPr>
                <w:rFonts w:asciiTheme="minorHAnsi" w:hAnsiTheme="minorHAnsi" w:cstheme="minorHAnsi"/>
                <w:sz w:val="18"/>
                <w:szCs w:val="18"/>
                <w:u w:val="single"/>
              </w:rPr>
              <w:t>Provincial directorate of environment, waste management and community services of Cunene and Cuando Cubango</w:t>
            </w:r>
            <w:r w:rsidRPr="00463F77">
              <w:rPr>
                <w:rFonts w:asciiTheme="minorHAnsi" w:hAnsiTheme="minorHAnsi" w:cstheme="minorHAnsi"/>
                <w:sz w:val="18"/>
                <w:szCs w:val="18"/>
              </w:rPr>
              <w:t xml:space="preserve">: They will be the key liaison entity of the provincial governments in accompanying the project. This department was responsible for issues </w:t>
            </w:r>
            <w:r w:rsidRPr="00463F77">
              <w:rPr>
                <w:rFonts w:asciiTheme="minorHAnsi" w:hAnsiTheme="minorHAnsi" w:cstheme="minorHAnsi"/>
                <w:sz w:val="18"/>
                <w:szCs w:val="18"/>
              </w:rPr>
              <w:lastRenderedPageBreak/>
              <w:t>related with Spatial Planning, Urbanism and Environment. Recently it was divided, and only the issues related to environment are under of his responsibility.</w:t>
            </w:r>
          </w:p>
          <w:p w14:paraId="6D7034B9" w14:textId="77777777" w:rsidR="009563B4" w:rsidRPr="00463F77" w:rsidRDefault="009563B4" w:rsidP="00D47BE7">
            <w:pPr>
              <w:spacing w:after="80"/>
              <w:jc w:val="both"/>
              <w:rPr>
                <w:rFonts w:asciiTheme="minorHAnsi" w:hAnsiTheme="minorHAnsi" w:cstheme="minorHAnsi"/>
                <w:sz w:val="18"/>
                <w:szCs w:val="18"/>
              </w:rPr>
            </w:pPr>
            <w:r w:rsidRPr="00463F77">
              <w:rPr>
                <w:rFonts w:asciiTheme="minorHAnsi" w:hAnsiTheme="minorHAnsi" w:cstheme="minorHAnsi"/>
                <w:sz w:val="18"/>
                <w:szCs w:val="18"/>
                <w:u w:val="single"/>
              </w:rPr>
              <w:t xml:space="preserve">Center Agro-Ecologic of Cuando Cubango (CAECC): </w:t>
            </w:r>
            <w:r w:rsidRPr="00463F77">
              <w:rPr>
                <w:rFonts w:asciiTheme="minorHAnsi" w:hAnsiTheme="minorHAnsi" w:cstheme="minorHAnsi"/>
                <w:sz w:val="18"/>
                <w:szCs w:val="18"/>
              </w:rPr>
              <w:t>The center was inaugurated in 2017 and aim training farmers, especially women, is several sustainable practices of SLM and SFM, as well as the teaching of good practices for environmental protection.</w:t>
            </w:r>
          </w:p>
          <w:p w14:paraId="0F87E8C3" w14:textId="79C3471F" w:rsidR="009563B4" w:rsidRPr="00463F77" w:rsidRDefault="009563B4" w:rsidP="00D47BE7">
            <w:pPr>
              <w:jc w:val="both"/>
              <w:rPr>
                <w:rFonts w:asciiTheme="minorHAnsi" w:hAnsiTheme="minorHAnsi" w:cstheme="minorBidi"/>
                <w:sz w:val="18"/>
                <w:szCs w:val="18"/>
              </w:rPr>
            </w:pPr>
            <w:r w:rsidRPr="4D10DE74">
              <w:rPr>
                <w:rFonts w:asciiTheme="minorHAnsi" w:hAnsiTheme="minorHAnsi" w:cstheme="minorBidi"/>
                <w:sz w:val="18"/>
                <w:szCs w:val="18"/>
                <w:u w:val="single"/>
              </w:rPr>
              <w:t xml:space="preserve">The Polytechnic Institute for Environment, in Menongue, Cuando Cubango: </w:t>
            </w:r>
            <w:r w:rsidRPr="4D10DE74">
              <w:rPr>
                <w:rFonts w:asciiTheme="minorHAnsi" w:hAnsiTheme="minorHAnsi" w:cstheme="minorBidi"/>
                <w:sz w:val="18"/>
                <w:szCs w:val="18"/>
              </w:rPr>
              <w:t xml:space="preserve">This rural high school education institute, located near the Landscape #1, is under </w:t>
            </w:r>
            <w:r w:rsidR="0B5CDB47" w:rsidRPr="4D10DE74">
              <w:rPr>
                <w:rFonts w:asciiTheme="minorHAnsi" w:hAnsiTheme="minorHAnsi" w:cstheme="minorBidi"/>
                <w:sz w:val="18"/>
                <w:szCs w:val="18"/>
              </w:rPr>
              <w:t>MCTA</w:t>
            </w:r>
            <w:r w:rsidRPr="4D10DE74">
              <w:rPr>
                <w:rFonts w:asciiTheme="minorHAnsi" w:hAnsiTheme="minorHAnsi" w:cstheme="minorBidi"/>
                <w:sz w:val="18"/>
                <w:szCs w:val="18"/>
              </w:rPr>
              <w:t>, and started as from January 2019 to offer several courses related with sustainability and environmental management, with the special emphasis of developing the skills of ‘environmental monitoring agents (</w:t>
            </w:r>
            <w:r w:rsidRPr="4D10DE74">
              <w:rPr>
                <w:rFonts w:asciiTheme="minorHAnsi" w:hAnsiTheme="minorHAnsi" w:cstheme="minorBidi"/>
                <w:i/>
                <w:iCs/>
                <w:sz w:val="18"/>
                <w:szCs w:val="18"/>
              </w:rPr>
              <w:t>fiscais</w:t>
            </w:r>
            <w:r w:rsidRPr="4D10DE74">
              <w:rPr>
                <w:rFonts w:asciiTheme="minorHAnsi" w:hAnsiTheme="minorHAnsi" w:cstheme="minorBidi"/>
                <w:sz w:val="18"/>
                <w:szCs w:val="18"/>
              </w:rPr>
              <w:t>, and inspectors), environmental management agents, in addition to technicians in environmental protection and control, and waste management and nature guides. The project draws on the existing and potential capacity formed through the Institute to help to with train at site site level, particular around Cuchi, and in support of beneficiaries in other project sites.</w:t>
            </w:r>
          </w:p>
        </w:tc>
        <w:tc>
          <w:tcPr>
            <w:tcW w:w="1083" w:type="dxa"/>
            <w:tcMar>
              <w:left w:w="57" w:type="dxa"/>
              <w:right w:w="28" w:type="dxa"/>
            </w:tcMar>
          </w:tcPr>
          <w:p w14:paraId="6BF92926" w14:textId="77777777" w:rsidR="009563B4" w:rsidRPr="00463F77" w:rsidRDefault="009563B4" w:rsidP="00463F77">
            <w:pPr>
              <w:rPr>
                <w:rFonts w:asciiTheme="minorHAnsi" w:hAnsiTheme="minorHAnsi" w:cstheme="minorHAnsi"/>
                <w:sz w:val="18"/>
                <w:szCs w:val="18"/>
              </w:rPr>
            </w:pPr>
            <w:r w:rsidRPr="00463F77">
              <w:rPr>
                <w:rFonts w:asciiTheme="minorHAnsi" w:hAnsiTheme="minorHAnsi" w:cstheme="minorHAnsi"/>
                <w:sz w:val="18"/>
                <w:szCs w:val="18"/>
              </w:rPr>
              <w:lastRenderedPageBreak/>
              <w:t>Primary or Secondary</w:t>
            </w:r>
          </w:p>
        </w:tc>
      </w:tr>
      <w:tr w:rsidR="009563B4" w:rsidRPr="00CE1EA7" w14:paraId="4F4CF483" w14:textId="77777777" w:rsidTr="3764D022">
        <w:trPr>
          <w:trHeight w:val="89"/>
        </w:trPr>
        <w:tc>
          <w:tcPr>
            <w:tcW w:w="1129" w:type="dxa"/>
            <w:tcMar>
              <w:left w:w="57" w:type="dxa"/>
              <w:right w:w="28" w:type="dxa"/>
            </w:tcMar>
          </w:tcPr>
          <w:p w14:paraId="0691CBD7" w14:textId="4CED30A6" w:rsidR="009563B4" w:rsidRPr="00463F77" w:rsidRDefault="009563B4" w:rsidP="00463F77">
            <w:pPr>
              <w:rPr>
                <w:rFonts w:asciiTheme="minorHAnsi" w:hAnsiTheme="minorHAnsi" w:cstheme="minorBidi"/>
                <w:b/>
                <w:sz w:val="18"/>
                <w:szCs w:val="18"/>
              </w:rPr>
            </w:pPr>
            <w:r w:rsidRPr="302C34D4">
              <w:rPr>
                <w:rFonts w:asciiTheme="minorHAnsi" w:hAnsiTheme="minorHAnsi" w:cstheme="minorBidi"/>
                <w:b/>
                <w:sz w:val="18"/>
                <w:szCs w:val="18"/>
              </w:rPr>
              <w:t xml:space="preserve">Ministry of Agriculture and  </w:t>
            </w:r>
            <w:r w:rsidR="036C2C25" w:rsidRPr="302C34D4">
              <w:rPr>
                <w:rFonts w:asciiTheme="minorHAnsi" w:hAnsiTheme="minorHAnsi" w:cstheme="minorBidi"/>
                <w:b/>
                <w:bCs/>
                <w:sz w:val="18"/>
                <w:szCs w:val="18"/>
              </w:rPr>
              <w:t>Fishery</w:t>
            </w:r>
            <w:r w:rsidRPr="302C34D4">
              <w:rPr>
                <w:rFonts w:asciiTheme="minorHAnsi" w:hAnsiTheme="minorHAnsi" w:cstheme="minorBidi"/>
                <w:b/>
                <w:bCs/>
                <w:sz w:val="18"/>
                <w:szCs w:val="18"/>
              </w:rPr>
              <w:t xml:space="preserve"> (MINAGRI</w:t>
            </w:r>
            <w:r w:rsidR="756BEF23" w:rsidRPr="302C34D4">
              <w:rPr>
                <w:rFonts w:asciiTheme="minorHAnsi" w:hAnsiTheme="minorHAnsi" w:cstheme="minorBidi"/>
                <w:b/>
                <w:bCs/>
                <w:sz w:val="18"/>
                <w:szCs w:val="18"/>
              </w:rPr>
              <w:t>P</w:t>
            </w:r>
            <w:r w:rsidRPr="302C34D4">
              <w:rPr>
                <w:rFonts w:asciiTheme="minorHAnsi" w:hAnsiTheme="minorHAnsi" w:cstheme="minorBidi"/>
                <w:b/>
                <w:sz w:val="18"/>
                <w:szCs w:val="18"/>
              </w:rPr>
              <w:t>)</w:t>
            </w:r>
          </w:p>
        </w:tc>
        <w:tc>
          <w:tcPr>
            <w:tcW w:w="6804" w:type="dxa"/>
            <w:tcMar>
              <w:left w:w="57" w:type="dxa"/>
              <w:right w:w="28" w:type="dxa"/>
            </w:tcMar>
          </w:tcPr>
          <w:p w14:paraId="681DABBC" w14:textId="20BFCC2B" w:rsidR="009563B4" w:rsidRPr="00463F77" w:rsidRDefault="009563B4" w:rsidP="00D47BE7">
            <w:pPr>
              <w:jc w:val="both"/>
              <w:rPr>
                <w:rFonts w:asciiTheme="minorHAnsi" w:hAnsiTheme="minorHAnsi" w:cstheme="minorBidi"/>
                <w:sz w:val="18"/>
                <w:szCs w:val="18"/>
              </w:rPr>
            </w:pPr>
            <w:r w:rsidRPr="302C34D4">
              <w:rPr>
                <w:rFonts w:asciiTheme="minorHAnsi" w:hAnsiTheme="minorHAnsi" w:cstheme="minorBidi"/>
                <w:sz w:val="18"/>
                <w:szCs w:val="18"/>
                <w:u w:val="single"/>
              </w:rPr>
              <w:t>MINAGRI</w:t>
            </w:r>
            <w:r w:rsidR="23529F1E" w:rsidRPr="302C34D4">
              <w:rPr>
                <w:rFonts w:asciiTheme="minorHAnsi" w:hAnsiTheme="minorHAnsi" w:cstheme="minorBidi"/>
                <w:sz w:val="18"/>
                <w:szCs w:val="18"/>
                <w:u w:val="single"/>
              </w:rPr>
              <w:t>P</w:t>
            </w:r>
            <w:r w:rsidRPr="4D10DE74">
              <w:rPr>
                <w:rFonts w:asciiTheme="minorHAnsi" w:hAnsiTheme="minorHAnsi" w:cstheme="minorBidi"/>
                <w:sz w:val="18"/>
                <w:szCs w:val="18"/>
              </w:rPr>
              <w:t xml:space="preserve"> has the responsibility over the agriculture and forestry sectors. It also has a mandate over a number of rural development issues. Along with </w:t>
            </w:r>
            <w:r w:rsidR="3E872397" w:rsidRPr="4D10DE74">
              <w:rPr>
                <w:rFonts w:asciiTheme="minorHAnsi" w:hAnsiTheme="minorHAnsi" w:cstheme="minorBidi"/>
                <w:sz w:val="18"/>
                <w:szCs w:val="18"/>
              </w:rPr>
              <w:t>MCTA</w:t>
            </w:r>
            <w:r w:rsidRPr="4D10DE74">
              <w:rPr>
                <w:rFonts w:asciiTheme="minorHAnsi" w:hAnsiTheme="minorHAnsi" w:cstheme="minorBidi"/>
                <w:sz w:val="18"/>
                <w:szCs w:val="18"/>
              </w:rPr>
              <w:t xml:space="preserve">, </w:t>
            </w:r>
            <w:r w:rsidRPr="302C34D4">
              <w:rPr>
                <w:rFonts w:asciiTheme="minorHAnsi" w:hAnsiTheme="minorHAnsi" w:cstheme="minorBidi"/>
                <w:sz w:val="18"/>
                <w:szCs w:val="18"/>
              </w:rPr>
              <w:t>MINAGRI</w:t>
            </w:r>
            <w:r w:rsidR="37818B63" w:rsidRPr="302C34D4">
              <w:rPr>
                <w:rFonts w:asciiTheme="minorHAnsi" w:hAnsiTheme="minorHAnsi" w:cstheme="minorBidi"/>
                <w:sz w:val="18"/>
                <w:szCs w:val="18"/>
              </w:rPr>
              <w:t>P</w:t>
            </w:r>
            <w:r w:rsidRPr="4D10DE74">
              <w:rPr>
                <w:rFonts w:asciiTheme="minorHAnsi" w:hAnsiTheme="minorHAnsi" w:cstheme="minorBidi"/>
                <w:sz w:val="18"/>
                <w:szCs w:val="18"/>
              </w:rPr>
              <w:t xml:space="preserve"> will be engaged in the execution of the project, and the organization of the project’s activities.</w:t>
            </w:r>
          </w:p>
        </w:tc>
        <w:tc>
          <w:tcPr>
            <w:tcW w:w="1083" w:type="dxa"/>
            <w:tcMar>
              <w:left w:w="57" w:type="dxa"/>
              <w:right w:w="28" w:type="dxa"/>
            </w:tcMar>
          </w:tcPr>
          <w:p w14:paraId="55523F23" w14:textId="77777777" w:rsidR="009563B4" w:rsidRPr="00463F77" w:rsidRDefault="009563B4" w:rsidP="00463F77">
            <w:pPr>
              <w:rPr>
                <w:rFonts w:asciiTheme="minorHAnsi" w:hAnsiTheme="minorHAnsi" w:cstheme="minorHAnsi"/>
                <w:b/>
                <w:bCs/>
                <w:sz w:val="18"/>
                <w:szCs w:val="18"/>
              </w:rPr>
            </w:pPr>
            <w:r w:rsidRPr="00463F77">
              <w:rPr>
                <w:rFonts w:asciiTheme="minorHAnsi" w:hAnsiTheme="minorHAnsi" w:cstheme="minorHAnsi"/>
                <w:sz w:val="18"/>
                <w:szCs w:val="18"/>
              </w:rPr>
              <w:t>Key Stakeholder and Co-financier</w:t>
            </w:r>
          </w:p>
        </w:tc>
      </w:tr>
      <w:tr w:rsidR="009563B4" w:rsidRPr="00CE1EA7" w14:paraId="75F667BB" w14:textId="77777777" w:rsidTr="3764D022">
        <w:trPr>
          <w:trHeight w:val="89"/>
        </w:trPr>
        <w:tc>
          <w:tcPr>
            <w:tcW w:w="1129" w:type="dxa"/>
            <w:tcMar>
              <w:left w:w="57" w:type="dxa"/>
              <w:right w:w="28" w:type="dxa"/>
            </w:tcMar>
          </w:tcPr>
          <w:p w14:paraId="564D146A" w14:textId="790841B1" w:rsidR="009563B4" w:rsidRPr="00463F77" w:rsidRDefault="009563B4" w:rsidP="00463F77">
            <w:pPr>
              <w:jc w:val="right"/>
              <w:rPr>
                <w:rFonts w:asciiTheme="minorHAnsi" w:hAnsiTheme="minorHAnsi" w:cstheme="minorBidi"/>
                <w:i/>
                <w:sz w:val="18"/>
                <w:szCs w:val="18"/>
              </w:rPr>
            </w:pPr>
            <w:r w:rsidRPr="302C34D4">
              <w:rPr>
                <w:rFonts w:asciiTheme="minorHAnsi" w:hAnsiTheme="minorHAnsi" w:cstheme="minorBidi"/>
                <w:i/>
                <w:sz w:val="18"/>
                <w:szCs w:val="18"/>
              </w:rPr>
              <w:t xml:space="preserve">Under </w:t>
            </w:r>
            <w:r w:rsidRPr="302C34D4">
              <w:rPr>
                <w:rFonts w:asciiTheme="minorHAnsi" w:hAnsiTheme="minorHAnsi" w:cstheme="minorBidi"/>
                <w:i/>
                <w:iCs/>
                <w:sz w:val="18"/>
                <w:szCs w:val="18"/>
              </w:rPr>
              <w:t>MINAGRI</w:t>
            </w:r>
            <w:r w:rsidR="254E0E90" w:rsidRPr="302C34D4">
              <w:rPr>
                <w:rFonts w:asciiTheme="minorHAnsi" w:hAnsiTheme="minorHAnsi" w:cstheme="minorBidi"/>
                <w:i/>
                <w:iCs/>
                <w:sz w:val="18"/>
                <w:szCs w:val="18"/>
              </w:rPr>
              <w:t>P</w:t>
            </w:r>
          </w:p>
        </w:tc>
        <w:tc>
          <w:tcPr>
            <w:tcW w:w="6804" w:type="dxa"/>
            <w:tcMar>
              <w:left w:w="57" w:type="dxa"/>
              <w:right w:w="28" w:type="dxa"/>
            </w:tcMar>
          </w:tcPr>
          <w:p w14:paraId="661503A4" w14:textId="39BBDBBF" w:rsidR="009563B4" w:rsidRPr="00463F77" w:rsidRDefault="460C6265" w:rsidP="3764D022">
            <w:pPr>
              <w:spacing w:after="80"/>
              <w:jc w:val="both"/>
              <w:rPr>
                <w:rFonts w:asciiTheme="minorHAnsi" w:hAnsiTheme="minorHAnsi" w:cstheme="minorBidi"/>
                <w:sz w:val="18"/>
                <w:szCs w:val="18"/>
              </w:rPr>
            </w:pPr>
            <w:r w:rsidRPr="3764D022">
              <w:rPr>
                <w:rFonts w:asciiTheme="minorHAnsi" w:hAnsiTheme="minorHAnsi" w:cstheme="minorBidi"/>
                <w:sz w:val="18"/>
                <w:szCs w:val="18"/>
                <w:u w:val="single"/>
              </w:rPr>
              <w:t xml:space="preserve">National offices for Forest, Agriculture and </w:t>
            </w:r>
            <w:r w:rsidR="46231DF6" w:rsidRPr="3764D022">
              <w:rPr>
                <w:rFonts w:asciiTheme="minorHAnsi" w:hAnsiTheme="minorHAnsi" w:cstheme="minorBidi"/>
                <w:sz w:val="18"/>
                <w:szCs w:val="18"/>
                <w:u w:val="single"/>
              </w:rPr>
              <w:t xml:space="preserve">Livestock </w:t>
            </w:r>
            <w:r w:rsidRPr="3764D022">
              <w:rPr>
                <w:rFonts w:asciiTheme="minorHAnsi" w:hAnsiTheme="minorHAnsi" w:cstheme="minorBidi"/>
                <w:sz w:val="18"/>
                <w:szCs w:val="18"/>
                <w:u w:val="single"/>
              </w:rPr>
              <w:t xml:space="preserve"> (DNF, DNA</w:t>
            </w:r>
            <w:r w:rsidR="032A5A4B" w:rsidRPr="3764D022">
              <w:rPr>
                <w:rFonts w:asciiTheme="minorHAnsi" w:hAnsiTheme="minorHAnsi" w:cstheme="minorBidi"/>
                <w:sz w:val="18"/>
                <w:szCs w:val="18"/>
                <w:u w:val="single"/>
              </w:rPr>
              <w:t>P</w:t>
            </w:r>
            <w:r w:rsidRPr="3764D022">
              <w:rPr>
                <w:rFonts w:asciiTheme="minorHAnsi" w:hAnsiTheme="minorHAnsi" w:cstheme="minorBidi"/>
                <w:sz w:val="18"/>
                <w:szCs w:val="18"/>
                <w:u w:val="single"/>
              </w:rPr>
              <w:t xml:space="preserve">, ): </w:t>
            </w:r>
            <w:r w:rsidRPr="3764D022">
              <w:rPr>
                <w:rFonts w:asciiTheme="minorHAnsi" w:hAnsiTheme="minorHAnsi" w:cstheme="minorBidi"/>
                <w:sz w:val="18"/>
                <w:szCs w:val="18"/>
              </w:rPr>
              <w:t xml:space="preserve">These offices are responsible to elaborate the policies for Forest, Agriculture and unsure the Food Security. They will be the key stakeholder at national government level, once they play a very relevant role to the project and deal directly with policies for SLM and SFM. The </w:t>
            </w:r>
            <w:r w:rsidR="6C0476FF" w:rsidRPr="3764D022">
              <w:rPr>
                <w:rFonts w:asciiTheme="minorHAnsi" w:hAnsiTheme="minorHAnsi" w:cstheme="minorBidi"/>
                <w:sz w:val="18"/>
                <w:szCs w:val="18"/>
              </w:rPr>
              <w:t>DNAP</w:t>
            </w:r>
            <w:r w:rsidRPr="3764D022">
              <w:rPr>
                <w:rFonts w:asciiTheme="minorHAnsi" w:hAnsiTheme="minorHAnsi" w:cstheme="minorBidi"/>
                <w:sz w:val="18"/>
                <w:szCs w:val="18"/>
              </w:rPr>
              <w:t xml:space="preserve"> is also responsible for the collection of agro-meteorological data and could participate by sharing its data.</w:t>
            </w:r>
          </w:p>
          <w:p w14:paraId="4F39A250" w14:textId="77777777" w:rsidR="009563B4" w:rsidRPr="00463F77" w:rsidRDefault="009563B4" w:rsidP="00D47BE7">
            <w:pPr>
              <w:spacing w:after="80"/>
              <w:jc w:val="both"/>
              <w:rPr>
                <w:rFonts w:asciiTheme="minorHAnsi" w:hAnsiTheme="minorHAnsi" w:cstheme="minorHAnsi"/>
                <w:sz w:val="18"/>
                <w:szCs w:val="18"/>
              </w:rPr>
            </w:pPr>
            <w:r w:rsidRPr="00463F77">
              <w:rPr>
                <w:rFonts w:asciiTheme="minorHAnsi" w:hAnsiTheme="minorHAnsi" w:cstheme="minorHAnsi"/>
                <w:sz w:val="18"/>
                <w:szCs w:val="18"/>
                <w:u w:val="single"/>
              </w:rPr>
              <w:t xml:space="preserve">Forest Development institute (IDF): </w:t>
            </w:r>
            <w:r w:rsidRPr="00463F77">
              <w:rPr>
                <w:rFonts w:asciiTheme="minorHAnsi" w:hAnsiTheme="minorHAnsi" w:cstheme="minorHAnsi"/>
                <w:sz w:val="18"/>
                <w:szCs w:val="18"/>
              </w:rPr>
              <w:t>IDF is responsible for coordination and implementation of the forest policies, management and license all forest activities. It is present in at local level, and are one of the key stakeholder for the project.</w:t>
            </w:r>
          </w:p>
          <w:p w14:paraId="7114BAF0" w14:textId="77777777" w:rsidR="009563B4" w:rsidRPr="00463F77" w:rsidRDefault="009563B4" w:rsidP="00D47BE7">
            <w:pPr>
              <w:spacing w:after="80"/>
              <w:jc w:val="both"/>
              <w:rPr>
                <w:rFonts w:asciiTheme="minorHAnsi" w:hAnsiTheme="minorHAnsi" w:cstheme="minorHAnsi"/>
                <w:sz w:val="18"/>
                <w:szCs w:val="18"/>
              </w:rPr>
            </w:pPr>
            <w:r w:rsidRPr="00463F77">
              <w:rPr>
                <w:rFonts w:asciiTheme="minorHAnsi" w:hAnsiTheme="minorHAnsi" w:cstheme="minorHAnsi"/>
                <w:sz w:val="18"/>
                <w:szCs w:val="18"/>
                <w:u w:val="single"/>
              </w:rPr>
              <w:t xml:space="preserve">Agrarian Development Institute (IDA) &amp; the Agro-Development (Field) Station (EDA): </w:t>
            </w:r>
            <w:r w:rsidRPr="00463F77">
              <w:rPr>
                <w:rFonts w:asciiTheme="minorHAnsi" w:hAnsiTheme="minorHAnsi" w:cstheme="minorHAnsi"/>
                <w:sz w:val="18"/>
                <w:szCs w:val="18"/>
              </w:rPr>
              <w:t>IDA and EDAs will work on building capacity, integrating at local level and to promote and monitor SLM, as well as to collect data and contribute to monitor and evaluation.</w:t>
            </w:r>
          </w:p>
          <w:p w14:paraId="1DE26A99" w14:textId="44B71D63" w:rsidR="009563B4" w:rsidRPr="00463F77" w:rsidRDefault="009563B4" w:rsidP="00D47BE7">
            <w:pPr>
              <w:jc w:val="both"/>
              <w:rPr>
                <w:rFonts w:asciiTheme="minorHAnsi" w:hAnsiTheme="minorHAnsi" w:cstheme="minorHAnsi"/>
                <w:sz w:val="18"/>
                <w:szCs w:val="18"/>
              </w:rPr>
            </w:pPr>
            <w:r w:rsidRPr="00463F77">
              <w:rPr>
                <w:rFonts w:asciiTheme="minorHAnsi" w:hAnsiTheme="minorHAnsi" w:cstheme="minorHAnsi"/>
                <w:sz w:val="18"/>
                <w:szCs w:val="18"/>
                <w:u w:val="single"/>
              </w:rPr>
              <w:t xml:space="preserve">Provincial Directorates for Agriculture and Forestry in Cunene and Cuando Cubango: </w:t>
            </w:r>
            <w:r w:rsidRPr="00463F77">
              <w:rPr>
                <w:rFonts w:asciiTheme="minorHAnsi" w:hAnsiTheme="minorHAnsi" w:cstheme="minorHAnsi"/>
                <w:sz w:val="18"/>
                <w:szCs w:val="18"/>
              </w:rPr>
              <w:t>Have had a presence for a few years and work closely with Provincial Directorate for the Environment. The will be closely articulated with the provincial IDA regarding the involvement of the municipal EDA’s in the project’s implementation.</w:t>
            </w:r>
          </w:p>
        </w:tc>
        <w:tc>
          <w:tcPr>
            <w:tcW w:w="1083" w:type="dxa"/>
            <w:tcMar>
              <w:left w:w="57" w:type="dxa"/>
              <w:right w:w="28" w:type="dxa"/>
            </w:tcMar>
          </w:tcPr>
          <w:p w14:paraId="12202349" w14:textId="77777777" w:rsidR="009563B4" w:rsidRPr="00463F77" w:rsidRDefault="009563B4" w:rsidP="00463F77">
            <w:pPr>
              <w:rPr>
                <w:rFonts w:asciiTheme="minorHAnsi" w:hAnsiTheme="minorHAnsi" w:cstheme="minorHAnsi"/>
                <w:sz w:val="18"/>
                <w:szCs w:val="18"/>
              </w:rPr>
            </w:pPr>
            <w:r w:rsidRPr="00463F77">
              <w:rPr>
                <w:rFonts w:asciiTheme="minorHAnsi" w:hAnsiTheme="minorHAnsi" w:cstheme="minorHAnsi"/>
                <w:sz w:val="18"/>
                <w:szCs w:val="18"/>
              </w:rPr>
              <w:t>Primary and Secondary</w:t>
            </w:r>
          </w:p>
        </w:tc>
      </w:tr>
      <w:tr w:rsidR="009563B4" w:rsidRPr="00CE1EA7" w14:paraId="3B4036C3" w14:textId="77777777" w:rsidTr="3764D022">
        <w:trPr>
          <w:trHeight w:val="89"/>
        </w:trPr>
        <w:tc>
          <w:tcPr>
            <w:tcW w:w="1129" w:type="dxa"/>
            <w:tcMar>
              <w:left w:w="57" w:type="dxa"/>
              <w:right w:w="28" w:type="dxa"/>
            </w:tcMar>
          </w:tcPr>
          <w:p w14:paraId="08F66454" w14:textId="77777777" w:rsidR="009563B4" w:rsidRPr="00463F77" w:rsidRDefault="009563B4" w:rsidP="00463F77">
            <w:pPr>
              <w:rPr>
                <w:rFonts w:asciiTheme="minorHAnsi" w:hAnsiTheme="minorHAnsi" w:cstheme="minorHAnsi"/>
                <w:b/>
                <w:bCs/>
                <w:sz w:val="18"/>
                <w:szCs w:val="18"/>
              </w:rPr>
            </w:pPr>
            <w:r w:rsidRPr="00463F77">
              <w:rPr>
                <w:rFonts w:asciiTheme="minorHAnsi" w:hAnsiTheme="minorHAnsi" w:cstheme="minorHAnsi"/>
                <w:b/>
                <w:bCs/>
                <w:sz w:val="18"/>
                <w:szCs w:val="18"/>
              </w:rPr>
              <w:t>Ministry of Energy and Water MINEA</w:t>
            </w:r>
          </w:p>
        </w:tc>
        <w:tc>
          <w:tcPr>
            <w:tcW w:w="6804" w:type="dxa"/>
            <w:tcMar>
              <w:left w:w="57" w:type="dxa"/>
              <w:right w:w="28" w:type="dxa"/>
            </w:tcMar>
          </w:tcPr>
          <w:p w14:paraId="6F739380" w14:textId="77777777" w:rsidR="009563B4" w:rsidRPr="00463F77" w:rsidRDefault="009563B4" w:rsidP="00D47BE7">
            <w:pPr>
              <w:jc w:val="both"/>
              <w:rPr>
                <w:rFonts w:asciiTheme="minorHAnsi" w:hAnsiTheme="minorHAnsi" w:cstheme="minorHAnsi"/>
                <w:sz w:val="18"/>
                <w:szCs w:val="18"/>
              </w:rPr>
            </w:pPr>
            <w:r w:rsidRPr="00463F77">
              <w:rPr>
                <w:rFonts w:asciiTheme="minorHAnsi" w:hAnsiTheme="minorHAnsi" w:cstheme="minorHAnsi"/>
                <w:b/>
                <w:sz w:val="18"/>
                <w:szCs w:val="18"/>
              </w:rPr>
              <w:t xml:space="preserve">MINEA </w:t>
            </w:r>
            <w:r w:rsidRPr="00463F77">
              <w:rPr>
                <w:rFonts w:asciiTheme="minorHAnsi" w:hAnsiTheme="minorHAnsi" w:cstheme="minorHAnsi"/>
                <w:sz w:val="18"/>
                <w:szCs w:val="18"/>
              </w:rPr>
              <w:t xml:space="preserve">is responsible for energy and water management policies. The provinces where the project will be implemented are suffering with drought and his ministry has programs to fight drought and can be used to leverage the activities of the project. Under MINEA, there is the </w:t>
            </w:r>
            <w:r w:rsidRPr="00463F77">
              <w:rPr>
                <w:rFonts w:asciiTheme="minorHAnsi" w:hAnsiTheme="minorHAnsi" w:cstheme="minorHAnsi"/>
                <w:b/>
                <w:bCs/>
                <w:sz w:val="18"/>
                <w:szCs w:val="18"/>
              </w:rPr>
              <w:t xml:space="preserve">Office for Administration of </w:t>
            </w:r>
            <w:r w:rsidRPr="007C21F4">
              <w:rPr>
                <w:rFonts w:asciiTheme="minorHAnsi" w:hAnsiTheme="minorHAnsi" w:cstheme="minorHAnsi"/>
                <w:b/>
                <w:bCs/>
                <w:sz w:val="18"/>
                <w:szCs w:val="18"/>
              </w:rPr>
              <w:t>watersheds of Cunene, Cuvelai and Cubango (GABHIC)</w:t>
            </w:r>
            <w:r w:rsidRPr="007C21F4">
              <w:rPr>
                <w:rFonts w:asciiTheme="minorHAnsi" w:hAnsiTheme="minorHAnsi" w:cstheme="minorHAnsi"/>
                <w:sz w:val="18"/>
                <w:szCs w:val="18"/>
              </w:rPr>
              <w:t>, which is responsible for integrated management of natural resources in the watersheds where the project will be implemented. It is not expected that GABHIC will have an executive role in the project, but rather a collaborative one through multi-stakeholder commissions, task forces and other related constellations. As a co-financier, MINEA will be part of the project steering committee.</w:t>
            </w:r>
          </w:p>
        </w:tc>
        <w:tc>
          <w:tcPr>
            <w:tcW w:w="1083" w:type="dxa"/>
            <w:tcMar>
              <w:left w:w="57" w:type="dxa"/>
              <w:right w:w="28" w:type="dxa"/>
            </w:tcMar>
          </w:tcPr>
          <w:p w14:paraId="3FEE7D0D" w14:textId="77777777" w:rsidR="009563B4" w:rsidRPr="00463F77" w:rsidRDefault="009563B4" w:rsidP="00463F77">
            <w:pPr>
              <w:rPr>
                <w:rFonts w:asciiTheme="minorHAnsi" w:hAnsiTheme="minorHAnsi" w:cstheme="minorHAnsi"/>
                <w:sz w:val="18"/>
                <w:szCs w:val="18"/>
              </w:rPr>
            </w:pPr>
            <w:r w:rsidRPr="00463F77">
              <w:rPr>
                <w:rFonts w:asciiTheme="minorHAnsi" w:hAnsiTheme="minorHAnsi" w:cstheme="minorHAnsi"/>
                <w:sz w:val="18"/>
                <w:szCs w:val="18"/>
              </w:rPr>
              <w:t>Key or Primary Stakeholder (tbc) and Co-financier</w:t>
            </w:r>
          </w:p>
        </w:tc>
      </w:tr>
      <w:tr w:rsidR="009563B4" w:rsidRPr="00CE1EA7" w14:paraId="737C50C0" w14:textId="77777777" w:rsidTr="3764D022">
        <w:trPr>
          <w:trHeight w:val="89"/>
        </w:trPr>
        <w:tc>
          <w:tcPr>
            <w:tcW w:w="1129" w:type="dxa"/>
            <w:tcMar>
              <w:left w:w="57" w:type="dxa"/>
              <w:right w:w="28" w:type="dxa"/>
            </w:tcMar>
          </w:tcPr>
          <w:p w14:paraId="2981A4EB" w14:textId="32F73771" w:rsidR="009563B4" w:rsidRPr="00463F77" w:rsidRDefault="009563B4" w:rsidP="00463F77">
            <w:pPr>
              <w:rPr>
                <w:rFonts w:asciiTheme="minorHAnsi" w:hAnsiTheme="minorHAnsi" w:cstheme="minorBidi"/>
                <w:b/>
                <w:sz w:val="18"/>
                <w:szCs w:val="18"/>
              </w:rPr>
            </w:pPr>
            <w:r w:rsidRPr="6491AA2D">
              <w:rPr>
                <w:rFonts w:asciiTheme="minorHAnsi" w:hAnsiTheme="minorHAnsi" w:cstheme="minorBidi"/>
                <w:b/>
                <w:sz w:val="18"/>
                <w:szCs w:val="18"/>
              </w:rPr>
              <w:t xml:space="preserve">Ministry for  </w:t>
            </w:r>
            <w:r w:rsidR="7D3A589D" w:rsidRPr="6491AA2D">
              <w:rPr>
                <w:rFonts w:asciiTheme="minorHAnsi" w:hAnsiTheme="minorHAnsi" w:cstheme="minorBidi"/>
                <w:b/>
                <w:bCs/>
                <w:sz w:val="18"/>
                <w:szCs w:val="18"/>
              </w:rPr>
              <w:t>Public Works and Spatial Planning</w:t>
            </w:r>
            <w:r w:rsidRPr="6491AA2D">
              <w:rPr>
                <w:rFonts w:asciiTheme="minorHAnsi" w:hAnsiTheme="minorHAnsi" w:cstheme="minorBidi"/>
                <w:b/>
                <w:bCs/>
                <w:sz w:val="18"/>
                <w:szCs w:val="18"/>
              </w:rPr>
              <w:t xml:space="preserve"> (MINO</w:t>
            </w:r>
            <w:r w:rsidR="07F94B45" w:rsidRPr="6491AA2D">
              <w:rPr>
                <w:rFonts w:asciiTheme="minorHAnsi" w:hAnsiTheme="minorHAnsi" w:cstheme="minorBidi"/>
                <w:b/>
                <w:bCs/>
                <w:sz w:val="18"/>
                <w:szCs w:val="18"/>
              </w:rPr>
              <w:t>PO</w:t>
            </w:r>
            <w:r w:rsidRPr="6491AA2D">
              <w:rPr>
                <w:rFonts w:asciiTheme="minorHAnsi" w:hAnsiTheme="minorHAnsi" w:cstheme="minorBidi"/>
                <w:b/>
                <w:bCs/>
                <w:sz w:val="18"/>
                <w:szCs w:val="18"/>
              </w:rPr>
              <w:t>T</w:t>
            </w:r>
            <w:r w:rsidRPr="6491AA2D">
              <w:rPr>
                <w:rFonts w:asciiTheme="minorHAnsi" w:hAnsiTheme="minorHAnsi" w:cstheme="minorBidi"/>
                <w:b/>
                <w:sz w:val="18"/>
                <w:szCs w:val="18"/>
              </w:rPr>
              <w:t>)</w:t>
            </w:r>
          </w:p>
        </w:tc>
        <w:tc>
          <w:tcPr>
            <w:tcW w:w="6804" w:type="dxa"/>
            <w:tcMar>
              <w:left w:w="57" w:type="dxa"/>
              <w:right w:w="28" w:type="dxa"/>
            </w:tcMar>
          </w:tcPr>
          <w:p w14:paraId="6DA0892F" w14:textId="5116C90F" w:rsidR="009563B4" w:rsidRPr="00463F77" w:rsidRDefault="009563B4" w:rsidP="00D47BE7">
            <w:pPr>
              <w:jc w:val="both"/>
              <w:rPr>
                <w:rFonts w:asciiTheme="minorHAnsi" w:hAnsiTheme="minorHAnsi" w:cstheme="minorBidi"/>
                <w:sz w:val="18"/>
                <w:szCs w:val="18"/>
              </w:rPr>
            </w:pPr>
            <w:r w:rsidRPr="6491AA2D">
              <w:rPr>
                <w:rFonts w:asciiTheme="minorHAnsi" w:hAnsiTheme="minorHAnsi" w:cstheme="minorBidi"/>
                <w:b/>
                <w:bCs/>
                <w:sz w:val="18"/>
                <w:szCs w:val="18"/>
                <w:u w:val="single"/>
              </w:rPr>
              <w:t>MINO</w:t>
            </w:r>
            <w:r w:rsidR="0B5B4C8E" w:rsidRPr="6491AA2D">
              <w:rPr>
                <w:rFonts w:asciiTheme="minorHAnsi" w:hAnsiTheme="minorHAnsi" w:cstheme="minorBidi"/>
                <w:b/>
                <w:bCs/>
                <w:sz w:val="18"/>
                <w:szCs w:val="18"/>
                <w:u w:val="single"/>
              </w:rPr>
              <w:t>PO</w:t>
            </w:r>
            <w:r w:rsidRPr="6491AA2D">
              <w:rPr>
                <w:rFonts w:asciiTheme="minorHAnsi" w:hAnsiTheme="minorHAnsi" w:cstheme="minorBidi"/>
                <w:b/>
                <w:bCs/>
                <w:sz w:val="18"/>
                <w:szCs w:val="18"/>
                <w:u w:val="single"/>
              </w:rPr>
              <w:t>T</w:t>
            </w:r>
            <w:r w:rsidRPr="6491AA2D">
              <w:rPr>
                <w:rFonts w:asciiTheme="minorHAnsi" w:hAnsiTheme="minorHAnsi" w:cstheme="minorBidi"/>
                <w:sz w:val="18"/>
                <w:szCs w:val="18"/>
              </w:rPr>
              <w:t xml:space="preserve"> play a relevant role for the project, once they deal with land tenure issues and are responsible for approve the </w:t>
            </w:r>
            <w:r w:rsidR="001B248C" w:rsidRPr="6491AA2D">
              <w:rPr>
                <w:rFonts w:asciiTheme="minorHAnsi" w:hAnsiTheme="minorHAnsi" w:cstheme="minorBidi"/>
                <w:sz w:val="18"/>
                <w:szCs w:val="18"/>
              </w:rPr>
              <w:t>land-use plan</w:t>
            </w:r>
            <w:r w:rsidRPr="6491AA2D">
              <w:rPr>
                <w:rFonts w:asciiTheme="minorHAnsi" w:hAnsiTheme="minorHAnsi" w:cstheme="minorBidi"/>
                <w:sz w:val="18"/>
                <w:szCs w:val="18"/>
              </w:rPr>
              <w:t>s.</w:t>
            </w:r>
          </w:p>
          <w:p w14:paraId="42BBCAA8" w14:textId="722C2A93" w:rsidR="009563B4" w:rsidRPr="00463F77" w:rsidRDefault="009563B4" w:rsidP="00D47BE7">
            <w:pPr>
              <w:jc w:val="both"/>
              <w:rPr>
                <w:rFonts w:asciiTheme="minorHAnsi" w:hAnsiTheme="minorHAnsi" w:cstheme="minorBidi"/>
                <w:sz w:val="18"/>
                <w:szCs w:val="18"/>
              </w:rPr>
            </w:pPr>
            <w:r w:rsidRPr="6491AA2D">
              <w:rPr>
                <w:rFonts w:asciiTheme="minorHAnsi" w:hAnsiTheme="minorHAnsi" w:cstheme="minorBidi"/>
                <w:sz w:val="18"/>
                <w:szCs w:val="18"/>
              </w:rPr>
              <w:t>Under MINO</w:t>
            </w:r>
            <w:r w:rsidR="6BC4E65B" w:rsidRPr="6491AA2D">
              <w:rPr>
                <w:rFonts w:asciiTheme="minorHAnsi" w:hAnsiTheme="minorHAnsi" w:cstheme="minorBidi"/>
                <w:sz w:val="18"/>
                <w:szCs w:val="18"/>
              </w:rPr>
              <w:t>PO</w:t>
            </w:r>
            <w:r w:rsidRPr="6491AA2D">
              <w:rPr>
                <w:rFonts w:asciiTheme="minorHAnsi" w:hAnsiTheme="minorHAnsi" w:cstheme="minorBidi"/>
                <w:sz w:val="18"/>
                <w:szCs w:val="18"/>
              </w:rPr>
              <w:t xml:space="preserve">T: </w:t>
            </w:r>
          </w:p>
          <w:p w14:paraId="395A6F2A" w14:textId="7AE8E3E2" w:rsidR="009563B4" w:rsidRPr="00463F77" w:rsidRDefault="009563B4" w:rsidP="00D47BE7">
            <w:pPr>
              <w:spacing w:before="80" w:after="80"/>
              <w:jc w:val="both"/>
              <w:rPr>
                <w:rFonts w:asciiTheme="minorHAnsi" w:hAnsiTheme="minorHAnsi" w:cstheme="minorHAnsi"/>
                <w:sz w:val="18"/>
                <w:szCs w:val="18"/>
              </w:rPr>
            </w:pPr>
            <w:r w:rsidRPr="00463F77">
              <w:rPr>
                <w:rFonts w:asciiTheme="minorHAnsi" w:hAnsiTheme="minorHAnsi" w:cstheme="minorHAnsi"/>
                <w:sz w:val="18"/>
                <w:szCs w:val="18"/>
                <w:u w:val="single"/>
              </w:rPr>
              <w:t>National Institute for Territorial Planning and Urban Development (INOTU):</w:t>
            </w:r>
            <w:r w:rsidRPr="00463F77">
              <w:rPr>
                <w:rFonts w:asciiTheme="minorHAnsi" w:hAnsiTheme="minorHAnsi" w:cstheme="minorHAnsi"/>
                <w:sz w:val="18"/>
                <w:szCs w:val="18"/>
              </w:rPr>
              <w:t xml:space="preserve"> will help with the engagement of different levels of government in </w:t>
            </w:r>
            <w:r w:rsidR="001B248C">
              <w:rPr>
                <w:rFonts w:asciiTheme="minorHAnsi" w:hAnsiTheme="minorHAnsi" w:cstheme="minorHAnsi"/>
                <w:sz w:val="18"/>
                <w:szCs w:val="18"/>
              </w:rPr>
              <w:t>land-use plan</w:t>
            </w:r>
            <w:r w:rsidRPr="00463F77">
              <w:rPr>
                <w:rFonts w:asciiTheme="minorHAnsi" w:hAnsiTheme="minorHAnsi" w:cstheme="minorHAnsi"/>
                <w:sz w:val="18"/>
                <w:szCs w:val="18"/>
              </w:rPr>
              <w:t xml:space="preserve">ning (central, provincial and municipal). They also play important roles in statutory commissions that are relevant for the endorsement of plans produced under the legal umbrella of the 2004 LOTU and its 2006 regulations. </w:t>
            </w:r>
          </w:p>
          <w:p w14:paraId="65B945C7" w14:textId="3FEF4684" w:rsidR="009563B4" w:rsidRPr="00463F77" w:rsidRDefault="009563B4" w:rsidP="00D47BE7">
            <w:pPr>
              <w:jc w:val="both"/>
              <w:rPr>
                <w:rFonts w:asciiTheme="minorHAnsi" w:hAnsiTheme="minorHAnsi" w:cstheme="minorHAnsi"/>
                <w:b/>
                <w:sz w:val="18"/>
                <w:szCs w:val="18"/>
              </w:rPr>
            </w:pPr>
            <w:r w:rsidRPr="00463F77">
              <w:rPr>
                <w:rFonts w:asciiTheme="minorHAnsi" w:hAnsiTheme="minorHAnsi" w:cstheme="minorHAnsi"/>
                <w:sz w:val="18"/>
                <w:szCs w:val="18"/>
                <w:u w:val="single"/>
              </w:rPr>
              <w:t xml:space="preserve">Angolan Institute for Geodesy and Cartography (IGCA): </w:t>
            </w:r>
            <w:r w:rsidRPr="00463F77">
              <w:rPr>
                <w:rFonts w:asciiTheme="minorHAnsi" w:hAnsiTheme="minorHAnsi" w:cstheme="minorHAnsi"/>
                <w:sz w:val="18"/>
                <w:szCs w:val="18"/>
              </w:rPr>
              <w:t>Is responsible for the ongoing national land cadaster initiative and could participate by sharing its geographic data.</w:t>
            </w:r>
          </w:p>
        </w:tc>
        <w:tc>
          <w:tcPr>
            <w:tcW w:w="1083" w:type="dxa"/>
            <w:tcMar>
              <w:left w:w="57" w:type="dxa"/>
              <w:right w:w="28" w:type="dxa"/>
            </w:tcMar>
          </w:tcPr>
          <w:p w14:paraId="0FB6D0FE" w14:textId="77777777" w:rsidR="009563B4" w:rsidRPr="00463F77" w:rsidRDefault="009563B4" w:rsidP="00463F77">
            <w:pPr>
              <w:rPr>
                <w:rFonts w:asciiTheme="minorHAnsi" w:hAnsiTheme="minorHAnsi" w:cstheme="minorHAnsi"/>
                <w:sz w:val="18"/>
                <w:szCs w:val="18"/>
              </w:rPr>
            </w:pPr>
            <w:r w:rsidRPr="00463F77">
              <w:rPr>
                <w:rFonts w:asciiTheme="minorHAnsi" w:hAnsiTheme="minorHAnsi" w:cstheme="minorHAnsi"/>
                <w:sz w:val="18"/>
                <w:szCs w:val="18"/>
              </w:rPr>
              <w:t>Secondary</w:t>
            </w:r>
          </w:p>
        </w:tc>
      </w:tr>
      <w:tr w:rsidR="009563B4" w:rsidRPr="00CE1EA7" w14:paraId="37C3B051" w14:textId="77777777" w:rsidTr="3764D022">
        <w:trPr>
          <w:trHeight w:val="89"/>
        </w:trPr>
        <w:tc>
          <w:tcPr>
            <w:tcW w:w="1129" w:type="dxa"/>
            <w:tcMar>
              <w:left w:w="57" w:type="dxa"/>
              <w:right w:w="28" w:type="dxa"/>
            </w:tcMar>
          </w:tcPr>
          <w:p w14:paraId="0332C399" w14:textId="77777777" w:rsidR="009563B4" w:rsidRPr="00463F77" w:rsidRDefault="009563B4" w:rsidP="00463F77">
            <w:pPr>
              <w:rPr>
                <w:rFonts w:asciiTheme="minorHAnsi" w:hAnsiTheme="minorHAnsi" w:cstheme="minorHAnsi"/>
                <w:b/>
                <w:bCs/>
                <w:sz w:val="18"/>
                <w:szCs w:val="18"/>
              </w:rPr>
            </w:pPr>
            <w:r w:rsidRPr="00463F77">
              <w:rPr>
                <w:rFonts w:asciiTheme="minorHAnsi" w:hAnsiTheme="minorHAnsi" w:cstheme="minorHAnsi"/>
                <w:b/>
                <w:bCs/>
                <w:sz w:val="18"/>
                <w:szCs w:val="18"/>
              </w:rPr>
              <w:t>Other Central Government Agencies</w:t>
            </w:r>
          </w:p>
        </w:tc>
        <w:tc>
          <w:tcPr>
            <w:tcW w:w="6804" w:type="dxa"/>
            <w:tcMar>
              <w:left w:w="57" w:type="dxa"/>
              <w:right w:w="28" w:type="dxa"/>
            </w:tcMar>
          </w:tcPr>
          <w:p w14:paraId="4D868326" w14:textId="77777777" w:rsidR="009563B4" w:rsidRPr="00463F77" w:rsidRDefault="009563B4" w:rsidP="00D47BE7">
            <w:pPr>
              <w:spacing w:after="80"/>
              <w:jc w:val="both"/>
              <w:rPr>
                <w:rFonts w:asciiTheme="minorHAnsi" w:hAnsiTheme="minorHAnsi" w:cstheme="minorHAnsi"/>
                <w:sz w:val="18"/>
                <w:szCs w:val="18"/>
              </w:rPr>
            </w:pPr>
            <w:r w:rsidRPr="00463F77">
              <w:rPr>
                <w:rFonts w:asciiTheme="minorHAnsi" w:hAnsiTheme="minorHAnsi" w:cstheme="minorHAnsi"/>
                <w:b/>
                <w:sz w:val="18"/>
                <w:szCs w:val="18"/>
              </w:rPr>
              <w:t xml:space="preserve">Ministry of Territorial Administration and State Reform (MAT): MAT </w:t>
            </w:r>
            <w:r w:rsidRPr="00463F77">
              <w:rPr>
                <w:rFonts w:asciiTheme="minorHAnsi" w:hAnsiTheme="minorHAnsi" w:cstheme="minorHAnsi"/>
                <w:sz w:val="18"/>
                <w:szCs w:val="18"/>
              </w:rPr>
              <w:t>is the central government structure that the local governments are under. MAT does play a direct role in project, but can influence the local structures in appropriation of the project.</w:t>
            </w:r>
          </w:p>
          <w:p w14:paraId="19F2327A" w14:textId="77777777" w:rsidR="009563B4" w:rsidRPr="00463F77" w:rsidRDefault="009563B4" w:rsidP="00D47BE7">
            <w:pPr>
              <w:spacing w:after="80"/>
              <w:jc w:val="both"/>
              <w:rPr>
                <w:rFonts w:asciiTheme="minorHAnsi" w:hAnsiTheme="minorHAnsi" w:cstheme="minorHAnsi"/>
                <w:sz w:val="18"/>
                <w:szCs w:val="18"/>
              </w:rPr>
            </w:pPr>
            <w:r w:rsidRPr="00463F77">
              <w:rPr>
                <w:rFonts w:asciiTheme="minorHAnsi" w:hAnsiTheme="minorHAnsi" w:cstheme="minorHAnsi"/>
                <w:b/>
                <w:bCs/>
                <w:iCs/>
                <w:sz w:val="18"/>
                <w:szCs w:val="18"/>
              </w:rPr>
              <w:t xml:space="preserve">Ministry of Women, Family and Social Action (MINFAMU): </w:t>
            </w:r>
            <w:r w:rsidRPr="00463F77">
              <w:rPr>
                <w:rFonts w:asciiTheme="minorHAnsi" w:hAnsiTheme="minorHAnsi" w:cstheme="minorHAnsi"/>
                <w:sz w:val="18"/>
                <w:szCs w:val="18"/>
              </w:rPr>
              <w:t xml:space="preserve">MINFAMU is responsible for the social assistance and women inclusion policies. It will be a relevant player in approach of the existing gaps regarding the limited access of women to productive resources (forest </w:t>
            </w:r>
            <w:r w:rsidRPr="00463F77">
              <w:rPr>
                <w:rFonts w:asciiTheme="minorHAnsi" w:hAnsiTheme="minorHAnsi" w:cstheme="minorHAnsi"/>
                <w:sz w:val="18"/>
                <w:szCs w:val="18"/>
              </w:rPr>
              <w:lastRenderedPageBreak/>
              <w:t>resources), services and employment opportunities; and invest in their technical and leadership skills so that they can better participate in decision-making and fully benefit from the project’s interventions.</w:t>
            </w:r>
          </w:p>
          <w:p w14:paraId="1BD8FB72" w14:textId="3D26CD32" w:rsidR="009563B4" w:rsidRPr="00463F77" w:rsidRDefault="009563B4" w:rsidP="00D47BE7">
            <w:pPr>
              <w:jc w:val="both"/>
              <w:rPr>
                <w:rFonts w:asciiTheme="minorHAnsi" w:hAnsiTheme="minorHAnsi" w:cstheme="minorBidi"/>
                <w:b/>
                <w:sz w:val="18"/>
                <w:szCs w:val="18"/>
              </w:rPr>
            </w:pPr>
            <w:r w:rsidRPr="6491AA2D">
              <w:rPr>
                <w:rFonts w:asciiTheme="minorHAnsi" w:hAnsiTheme="minorHAnsi" w:cstheme="minorBidi"/>
                <w:b/>
                <w:sz w:val="18"/>
                <w:szCs w:val="18"/>
              </w:rPr>
              <w:t>Ministry of Telecommunications</w:t>
            </w:r>
            <w:r w:rsidR="01DF2BEA" w:rsidRPr="6491AA2D">
              <w:rPr>
                <w:rFonts w:asciiTheme="minorHAnsi" w:hAnsiTheme="minorHAnsi" w:cstheme="minorBidi"/>
                <w:b/>
                <w:bCs/>
                <w:sz w:val="18"/>
                <w:szCs w:val="18"/>
              </w:rPr>
              <w:t>,</w:t>
            </w:r>
            <w:r w:rsidRPr="6491AA2D">
              <w:rPr>
                <w:rFonts w:asciiTheme="minorHAnsi" w:hAnsiTheme="minorHAnsi" w:cstheme="minorBidi"/>
                <w:b/>
                <w:sz w:val="18"/>
                <w:szCs w:val="18"/>
              </w:rPr>
              <w:t xml:space="preserve">Information Technologies </w:t>
            </w:r>
            <w:r w:rsidR="4A21E954" w:rsidRPr="6491AA2D">
              <w:rPr>
                <w:rFonts w:asciiTheme="minorHAnsi" w:hAnsiTheme="minorHAnsi" w:cstheme="minorBidi"/>
                <w:b/>
                <w:bCs/>
                <w:sz w:val="18"/>
                <w:szCs w:val="18"/>
              </w:rPr>
              <w:t>and Social Communication</w:t>
            </w:r>
            <w:r w:rsidRPr="6491AA2D">
              <w:rPr>
                <w:rFonts w:asciiTheme="minorHAnsi" w:hAnsiTheme="minorHAnsi" w:cstheme="minorBidi"/>
                <w:b/>
                <w:bCs/>
                <w:sz w:val="18"/>
                <w:szCs w:val="18"/>
              </w:rPr>
              <w:t xml:space="preserve"> (MTTI</w:t>
            </w:r>
            <w:r w:rsidR="44DDE52B" w:rsidRPr="6491AA2D">
              <w:rPr>
                <w:rFonts w:asciiTheme="minorHAnsi" w:hAnsiTheme="minorHAnsi" w:cstheme="minorBidi"/>
                <w:b/>
                <w:bCs/>
                <w:sz w:val="18"/>
                <w:szCs w:val="18"/>
              </w:rPr>
              <w:t>CS</w:t>
            </w:r>
            <w:r w:rsidRPr="6491AA2D">
              <w:rPr>
                <w:rFonts w:asciiTheme="minorHAnsi" w:hAnsiTheme="minorHAnsi" w:cstheme="minorBidi"/>
                <w:b/>
                <w:sz w:val="18"/>
                <w:szCs w:val="18"/>
              </w:rPr>
              <w:t xml:space="preserve">): </w:t>
            </w:r>
            <w:r w:rsidRPr="6491AA2D">
              <w:rPr>
                <w:rFonts w:asciiTheme="minorHAnsi" w:hAnsiTheme="minorHAnsi" w:cstheme="minorBidi"/>
                <w:sz w:val="18"/>
                <w:szCs w:val="18"/>
              </w:rPr>
              <w:t xml:space="preserve">The National Institute of Meteorology and Geophysics (INAMET) is the national institution in charge of monitoring the weather and climate. It is also a research organization, which provides scientific services in the fields of meteorology and geophysics under the Ministry of Telecommunications and Information Technologies (MTTI). INAMET is represented across the country through its provincial departments. Jointly with </w:t>
            </w:r>
            <w:r w:rsidR="50232B23" w:rsidRPr="6491AA2D">
              <w:rPr>
                <w:rFonts w:asciiTheme="minorHAnsi" w:hAnsiTheme="minorHAnsi" w:cstheme="minorBidi"/>
                <w:sz w:val="18"/>
                <w:szCs w:val="18"/>
              </w:rPr>
              <w:t>DNAP</w:t>
            </w:r>
            <w:r w:rsidRPr="6491AA2D">
              <w:rPr>
                <w:rFonts w:asciiTheme="minorHAnsi" w:hAnsiTheme="minorHAnsi" w:cstheme="minorBidi"/>
                <w:sz w:val="18"/>
                <w:szCs w:val="18"/>
              </w:rPr>
              <w:t xml:space="preserve"> and IGCA, INAMET will be engaged by a partnership to encourage the sharing of geographic data.</w:t>
            </w:r>
          </w:p>
        </w:tc>
        <w:tc>
          <w:tcPr>
            <w:tcW w:w="1083" w:type="dxa"/>
            <w:tcMar>
              <w:left w:w="57" w:type="dxa"/>
              <w:right w:w="28" w:type="dxa"/>
            </w:tcMar>
          </w:tcPr>
          <w:p w14:paraId="6E330E97" w14:textId="77777777" w:rsidR="009563B4" w:rsidRPr="00463F77" w:rsidRDefault="009563B4" w:rsidP="00463F77">
            <w:pPr>
              <w:rPr>
                <w:rFonts w:asciiTheme="minorHAnsi" w:hAnsiTheme="minorHAnsi" w:cstheme="minorHAnsi"/>
                <w:sz w:val="18"/>
                <w:szCs w:val="18"/>
              </w:rPr>
            </w:pPr>
            <w:r w:rsidRPr="00463F77">
              <w:rPr>
                <w:rFonts w:asciiTheme="minorHAnsi" w:hAnsiTheme="minorHAnsi" w:cstheme="minorHAnsi"/>
                <w:sz w:val="18"/>
                <w:szCs w:val="18"/>
              </w:rPr>
              <w:lastRenderedPageBreak/>
              <w:t>Secondary</w:t>
            </w:r>
          </w:p>
        </w:tc>
      </w:tr>
      <w:tr w:rsidR="009563B4" w:rsidRPr="00CE1EA7" w14:paraId="65E463EF" w14:textId="77777777" w:rsidTr="3764D022">
        <w:trPr>
          <w:trHeight w:val="277"/>
        </w:trPr>
        <w:tc>
          <w:tcPr>
            <w:tcW w:w="1129" w:type="dxa"/>
            <w:shd w:val="clear" w:color="auto" w:fill="DEEAF6" w:themeFill="accent1" w:themeFillTint="33"/>
            <w:tcMar>
              <w:left w:w="57" w:type="dxa"/>
              <w:right w:w="28" w:type="dxa"/>
            </w:tcMar>
          </w:tcPr>
          <w:p w14:paraId="694FD7D5" w14:textId="77777777" w:rsidR="009563B4" w:rsidRPr="00463F77" w:rsidRDefault="009563B4" w:rsidP="00463F77">
            <w:pPr>
              <w:rPr>
                <w:rFonts w:asciiTheme="minorHAnsi" w:hAnsiTheme="minorHAnsi" w:cstheme="minorHAnsi"/>
                <w:b/>
                <w:bCs/>
                <w:i/>
                <w:iCs/>
                <w:sz w:val="18"/>
                <w:szCs w:val="18"/>
              </w:rPr>
            </w:pPr>
          </w:p>
        </w:tc>
        <w:tc>
          <w:tcPr>
            <w:tcW w:w="6804" w:type="dxa"/>
            <w:shd w:val="clear" w:color="auto" w:fill="DEEAF6" w:themeFill="accent1" w:themeFillTint="33"/>
            <w:tcMar>
              <w:left w:w="57" w:type="dxa"/>
              <w:right w:w="28" w:type="dxa"/>
            </w:tcMar>
          </w:tcPr>
          <w:p w14:paraId="3718005D" w14:textId="77777777" w:rsidR="009563B4" w:rsidRPr="00463F77" w:rsidRDefault="009563B4" w:rsidP="00D47BE7">
            <w:pPr>
              <w:jc w:val="both"/>
              <w:rPr>
                <w:rFonts w:asciiTheme="minorHAnsi" w:hAnsiTheme="minorHAnsi" w:cstheme="minorHAnsi"/>
                <w:b/>
                <w:bCs/>
                <w:i/>
                <w:iCs/>
                <w:sz w:val="18"/>
                <w:szCs w:val="18"/>
              </w:rPr>
            </w:pPr>
            <w:r w:rsidRPr="00463F77">
              <w:rPr>
                <w:rFonts w:asciiTheme="minorHAnsi" w:hAnsiTheme="minorHAnsi" w:cstheme="minorHAnsi"/>
                <w:b/>
                <w:bCs/>
                <w:i/>
                <w:iCs/>
                <w:sz w:val="18"/>
                <w:szCs w:val="18"/>
              </w:rPr>
              <w:t>Institutional Stakeholders within At the Sub-national levels</w:t>
            </w:r>
          </w:p>
        </w:tc>
        <w:tc>
          <w:tcPr>
            <w:tcW w:w="1083" w:type="dxa"/>
            <w:shd w:val="clear" w:color="auto" w:fill="DEEAF6" w:themeFill="accent1" w:themeFillTint="33"/>
            <w:tcMar>
              <w:left w:w="57" w:type="dxa"/>
              <w:right w:w="28" w:type="dxa"/>
            </w:tcMar>
          </w:tcPr>
          <w:p w14:paraId="2ED2BE89" w14:textId="77777777" w:rsidR="009563B4" w:rsidRPr="00463F77" w:rsidRDefault="009563B4" w:rsidP="00463F77">
            <w:pPr>
              <w:rPr>
                <w:rFonts w:asciiTheme="minorHAnsi" w:hAnsiTheme="minorHAnsi" w:cstheme="minorHAnsi"/>
                <w:b/>
                <w:bCs/>
                <w:i/>
                <w:iCs/>
                <w:sz w:val="18"/>
                <w:szCs w:val="18"/>
              </w:rPr>
            </w:pPr>
          </w:p>
        </w:tc>
      </w:tr>
      <w:tr w:rsidR="009563B4" w:rsidRPr="00CE1EA7" w14:paraId="1A5BA203" w14:textId="77777777" w:rsidTr="3764D022">
        <w:trPr>
          <w:trHeight w:val="89"/>
        </w:trPr>
        <w:tc>
          <w:tcPr>
            <w:tcW w:w="1129" w:type="dxa"/>
            <w:tcMar>
              <w:left w:w="57" w:type="dxa"/>
              <w:right w:w="28" w:type="dxa"/>
            </w:tcMar>
          </w:tcPr>
          <w:p w14:paraId="05DAC3AF" w14:textId="77777777" w:rsidR="009563B4" w:rsidRPr="00463F77" w:rsidRDefault="009563B4" w:rsidP="00463F77">
            <w:pPr>
              <w:rPr>
                <w:rFonts w:asciiTheme="minorHAnsi" w:hAnsiTheme="minorHAnsi" w:cstheme="minorHAnsi"/>
                <w:b/>
                <w:bCs/>
                <w:sz w:val="18"/>
                <w:szCs w:val="18"/>
              </w:rPr>
            </w:pPr>
            <w:r w:rsidRPr="00463F77">
              <w:rPr>
                <w:rFonts w:asciiTheme="minorHAnsi" w:hAnsiTheme="minorHAnsi" w:cstheme="minorHAnsi"/>
                <w:b/>
                <w:bCs/>
                <w:sz w:val="18"/>
                <w:szCs w:val="18"/>
              </w:rPr>
              <w:t>Provincial Governments of Cunene and Cuando Cubango</w:t>
            </w:r>
          </w:p>
        </w:tc>
        <w:tc>
          <w:tcPr>
            <w:tcW w:w="6804" w:type="dxa"/>
            <w:tcMar>
              <w:left w:w="57" w:type="dxa"/>
              <w:right w:w="28" w:type="dxa"/>
            </w:tcMar>
          </w:tcPr>
          <w:p w14:paraId="588DC7B6" w14:textId="105F9B69" w:rsidR="009563B4" w:rsidRPr="007C21F4" w:rsidRDefault="009563B4" w:rsidP="00D47BE7">
            <w:pPr>
              <w:jc w:val="both"/>
              <w:rPr>
                <w:rFonts w:asciiTheme="minorHAnsi" w:hAnsiTheme="minorHAnsi" w:cstheme="minorBidi"/>
                <w:b/>
                <w:bCs/>
                <w:sz w:val="18"/>
                <w:szCs w:val="18"/>
              </w:rPr>
            </w:pPr>
            <w:r w:rsidRPr="4D10DE74">
              <w:rPr>
                <w:rFonts w:asciiTheme="minorHAnsi" w:hAnsiTheme="minorHAnsi" w:cstheme="minorBidi"/>
                <w:sz w:val="18"/>
                <w:szCs w:val="18"/>
              </w:rPr>
              <w:t xml:space="preserve">Mostly through the interfaces of the provincial directorates of </w:t>
            </w:r>
            <w:r w:rsidR="2E31091A" w:rsidRPr="4D10DE74">
              <w:rPr>
                <w:rFonts w:asciiTheme="minorHAnsi" w:hAnsiTheme="minorHAnsi" w:cstheme="minorBidi"/>
                <w:sz w:val="18"/>
                <w:szCs w:val="18"/>
              </w:rPr>
              <w:t>MCTA</w:t>
            </w:r>
            <w:r w:rsidRPr="4D10DE74">
              <w:rPr>
                <w:rFonts w:asciiTheme="minorHAnsi" w:hAnsiTheme="minorHAnsi" w:cstheme="minorBidi"/>
                <w:sz w:val="18"/>
                <w:szCs w:val="18"/>
              </w:rPr>
              <w:t xml:space="preserve"> and </w:t>
            </w:r>
            <w:r w:rsidRPr="302C34D4">
              <w:rPr>
                <w:rFonts w:asciiTheme="minorHAnsi" w:hAnsiTheme="minorHAnsi" w:cstheme="minorBidi"/>
                <w:sz w:val="18"/>
                <w:szCs w:val="18"/>
              </w:rPr>
              <w:t>MINAGRI</w:t>
            </w:r>
            <w:r w:rsidR="34C5EA6B" w:rsidRPr="302C34D4">
              <w:rPr>
                <w:rFonts w:asciiTheme="minorHAnsi" w:hAnsiTheme="minorHAnsi" w:cstheme="minorBidi"/>
                <w:sz w:val="18"/>
                <w:szCs w:val="18"/>
              </w:rPr>
              <w:t>P</w:t>
            </w:r>
            <w:r w:rsidRPr="4D10DE74">
              <w:rPr>
                <w:rFonts w:asciiTheme="minorHAnsi" w:hAnsiTheme="minorHAnsi" w:cstheme="minorBidi"/>
                <w:sz w:val="18"/>
                <w:szCs w:val="18"/>
              </w:rPr>
              <w:t>, provincial governments will be engaged in the planning and implementation of the project and support its activities in the demo landscapes. They will support the project in all its phases and will ensure linkage with local development strategies. They are key beneficiary of project’s capacity building interventions. One important fact to refer is that, at local level has different consultation councils like, community auscultation council, social concertation council, community oversight council.</w:t>
            </w:r>
          </w:p>
        </w:tc>
        <w:tc>
          <w:tcPr>
            <w:tcW w:w="1083" w:type="dxa"/>
            <w:tcMar>
              <w:left w:w="57" w:type="dxa"/>
              <w:right w:w="28" w:type="dxa"/>
            </w:tcMar>
          </w:tcPr>
          <w:p w14:paraId="52336FFA" w14:textId="77777777" w:rsidR="009563B4" w:rsidRPr="00463F77" w:rsidRDefault="009563B4" w:rsidP="00463F77">
            <w:pPr>
              <w:rPr>
                <w:rFonts w:asciiTheme="minorHAnsi" w:hAnsiTheme="minorHAnsi" w:cstheme="minorHAnsi"/>
                <w:sz w:val="18"/>
                <w:szCs w:val="18"/>
              </w:rPr>
            </w:pPr>
            <w:r w:rsidRPr="00463F77">
              <w:rPr>
                <w:rFonts w:asciiTheme="minorHAnsi" w:hAnsiTheme="minorHAnsi" w:cstheme="minorHAnsi"/>
                <w:sz w:val="18"/>
                <w:szCs w:val="18"/>
              </w:rPr>
              <w:t>Secondary</w:t>
            </w:r>
          </w:p>
        </w:tc>
      </w:tr>
      <w:tr w:rsidR="009563B4" w:rsidRPr="00CE1EA7" w14:paraId="7D76D497" w14:textId="77777777" w:rsidTr="3764D022">
        <w:trPr>
          <w:trHeight w:val="89"/>
        </w:trPr>
        <w:tc>
          <w:tcPr>
            <w:tcW w:w="1129" w:type="dxa"/>
            <w:tcMar>
              <w:left w:w="57" w:type="dxa"/>
              <w:right w:w="28" w:type="dxa"/>
            </w:tcMar>
          </w:tcPr>
          <w:p w14:paraId="48631EE9" w14:textId="77777777" w:rsidR="009563B4" w:rsidRPr="00463F77" w:rsidRDefault="009563B4" w:rsidP="00463F77">
            <w:pPr>
              <w:rPr>
                <w:rFonts w:asciiTheme="minorHAnsi" w:hAnsiTheme="minorHAnsi" w:cstheme="minorHAnsi"/>
                <w:b/>
                <w:bCs/>
                <w:sz w:val="18"/>
                <w:szCs w:val="18"/>
              </w:rPr>
            </w:pPr>
            <w:r w:rsidRPr="00463F77">
              <w:rPr>
                <w:rFonts w:asciiTheme="minorHAnsi" w:hAnsiTheme="minorHAnsi" w:cstheme="minorHAnsi"/>
                <w:b/>
                <w:bCs/>
                <w:sz w:val="18"/>
                <w:szCs w:val="18"/>
              </w:rPr>
              <w:t>Municipal Governments</w:t>
            </w:r>
          </w:p>
        </w:tc>
        <w:tc>
          <w:tcPr>
            <w:tcW w:w="6804" w:type="dxa"/>
            <w:tcMar>
              <w:left w:w="57" w:type="dxa"/>
              <w:right w:w="28" w:type="dxa"/>
            </w:tcMar>
          </w:tcPr>
          <w:p w14:paraId="798F9170" w14:textId="4F919CBB" w:rsidR="009563B4" w:rsidRPr="007C21F4" w:rsidRDefault="009563B4" w:rsidP="00D47BE7">
            <w:pPr>
              <w:jc w:val="both"/>
              <w:rPr>
                <w:rFonts w:asciiTheme="minorHAnsi" w:hAnsiTheme="minorHAnsi" w:cstheme="minorHAnsi"/>
                <w:b/>
                <w:sz w:val="18"/>
                <w:szCs w:val="18"/>
              </w:rPr>
            </w:pPr>
            <w:r w:rsidRPr="007C21F4">
              <w:rPr>
                <w:rFonts w:asciiTheme="minorHAnsi" w:hAnsiTheme="minorHAnsi" w:cstheme="minorHAnsi"/>
                <w:sz w:val="18"/>
                <w:szCs w:val="18"/>
              </w:rPr>
              <w:t>Together with provincial governments, the municipal governments will be working on the project’s execution and provide support throughout the entire time of its implementation and planning. The two target municipalities are: Cahama in Cunene and Cuchi in Cuando Cubango. The respective municipal administrations are also a key project beneficiary.</w:t>
            </w:r>
          </w:p>
        </w:tc>
        <w:tc>
          <w:tcPr>
            <w:tcW w:w="1083" w:type="dxa"/>
            <w:tcMar>
              <w:left w:w="57" w:type="dxa"/>
              <w:right w:w="28" w:type="dxa"/>
            </w:tcMar>
          </w:tcPr>
          <w:p w14:paraId="13CB688E" w14:textId="77777777" w:rsidR="009563B4" w:rsidRPr="00463F77" w:rsidRDefault="009563B4" w:rsidP="00463F77">
            <w:pPr>
              <w:rPr>
                <w:rFonts w:asciiTheme="minorHAnsi" w:hAnsiTheme="minorHAnsi" w:cstheme="minorHAnsi"/>
                <w:sz w:val="18"/>
                <w:szCs w:val="18"/>
              </w:rPr>
            </w:pPr>
            <w:r w:rsidRPr="00463F77">
              <w:rPr>
                <w:rFonts w:asciiTheme="minorHAnsi" w:hAnsiTheme="minorHAnsi" w:cstheme="minorHAnsi"/>
                <w:sz w:val="18"/>
                <w:szCs w:val="18"/>
              </w:rPr>
              <w:t>Primary</w:t>
            </w:r>
          </w:p>
        </w:tc>
      </w:tr>
      <w:tr w:rsidR="009563B4" w:rsidRPr="00CE1EA7" w14:paraId="4FC9DB1B" w14:textId="77777777" w:rsidTr="3764D022">
        <w:trPr>
          <w:trHeight w:val="277"/>
        </w:trPr>
        <w:tc>
          <w:tcPr>
            <w:tcW w:w="1129" w:type="dxa"/>
            <w:shd w:val="clear" w:color="auto" w:fill="DEEAF6" w:themeFill="accent1" w:themeFillTint="33"/>
            <w:tcMar>
              <w:left w:w="57" w:type="dxa"/>
              <w:right w:w="28" w:type="dxa"/>
            </w:tcMar>
          </w:tcPr>
          <w:p w14:paraId="52C6B039" w14:textId="77777777" w:rsidR="009563B4" w:rsidRPr="00463F77" w:rsidRDefault="009563B4" w:rsidP="00463F77">
            <w:pPr>
              <w:rPr>
                <w:rFonts w:asciiTheme="minorHAnsi" w:hAnsiTheme="minorHAnsi" w:cstheme="minorHAnsi"/>
                <w:b/>
                <w:bCs/>
                <w:i/>
                <w:iCs/>
                <w:sz w:val="18"/>
                <w:szCs w:val="18"/>
              </w:rPr>
            </w:pPr>
          </w:p>
        </w:tc>
        <w:tc>
          <w:tcPr>
            <w:tcW w:w="6804" w:type="dxa"/>
            <w:shd w:val="clear" w:color="auto" w:fill="DEEAF6" w:themeFill="accent1" w:themeFillTint="33"/>
            <w:tcMar>
              <w:left w:w="57" w:type="dxa"/>
              <w:right w:w="28" w:type="dxa"/>
            </w:tcMar>
          </w:tcPr>
          <w:p w14:paraId="2B634EDA" w14:textId="77777777" w:rsidR="009563B4" w:rsidRPr="00463F77" w:rsidRDefault="009563B4" w:rsidP="00D47BE7">
            <w:pPr>
              <w:jc w:val="both"/>
              <w:rPr>
                <w:rFonts w:asciiTheme="minorHAnsi" w:hAnsiTheme="minorHAnsi" w:cstheme="minorHAnsi"/>
                <w:b/>
                <w:bCs/>
                <w:i/>
                <w:iCs/>
                <w:sz w:val="18"/>
                <w:szCs w:val="18"/>
              </w:rPr>
            </w:pPr>
            <w:r w:rsidRPr="00463F77">
              <w:rPr>
                <w:rFonts w:asciiTheme="minorHAnsi" w:hAnsiTheme="minorHAnsi" w:cstheme="minorHAnsi"/>
                <w:b/>
                <w:bCs/>
                <w:i/>
                <w:iCs/>
                <w:sz w:val="18"/>
                <w:szCs w:val="18"/>
              </w:rPr>
              <w:t>Local Stakeholders</w:t>
            </w:r>
          </w:p>
        </w:tc>
        <w:tc>
          <w:tcPr>
            <w:tcW w:w="1083" w:type="dxa"/>
            <w:shd w:val="clear" w:color="auto" w:fill="DEEAF6" w:themeFill="accent1" w:themeFillTint="33"/>
            <w:tcMar>
              <w:left w:w="57" w:type="dxa"/>
              <w:right w:w="28" w:type="dxa"/>
            </w:tcMar>
          </w:tcPr>
          <w:p w14:paraId="1BD4DA5D" w14:textId="77777777" w:rsidR="009563B4" w:rsidRPr="00463F77" w:rsidRDefault="009563B4" w:rsidP="00463F77">
            <w:pPr>
              <w:rPr>
                <w:rFonts w:asciiTheme="minorHAnsi" w:hAnsiTheme="minorHAnsi" w:cstheme="minorHAnsi"/>
                <w:b/>
                <w:bCs/>
                <w:i/>
                <w:iCs/>
                <w:sz w:val="18"/>
                <w:szCs w:val="18"/>
              </w:rPr>
            </w:pPr>
          </w:p>
        </w:tc>
      </w:tr>
      <w:tr w:rsidR="009563B4" w:rsidRPr="00CE1EA7" w14:paraId="27635023" w14:textId="77777777" w:rsidTr="3764D022">
        <w:trPr>
          <w:trHeight w:val="89"/>
        </w:trPr>
        <w:tc>
          <w:tcPr>
            <w:tcW w:w="1129" w:type="dxa"/>
            <w:tcMar>
              <w:left w:w="57" w:type="dxa"/>
              <w:right w:w="28" w:type="dxa"/>
            </w:tcMar>
          </w:tcPr>
          <w:p w14:paraId="0330B8F4" w14:textId="20368568" w:rsidR="009563B4" w:rsidRPr="00463F77" w:rsidRDefault="009563B4" w:rsidP="00463F77">
            <w:pPr>
              <w:rPr>
                <w:rFonts w:asciiTheme="minorHAnsi" w:hAnsiTheme="minorHAnsi" w:cstheme="minorHAnsi"/>
                <w:b/>
                <w:bCs/>
                <w:sz w:val="18"/>
                <w:szCs w:val="18"/>
              </w:rPr>
            </w:pPr>
            <w:r w:rsidRPr="00463F77">
              <w:rPr>
                <w:rFonts w:asciiTheme="minorHAnsi" w:hAnsiTheme="minorHAnsi" w:cstheme="minorHAnsi"/>
                <w:b/>
                <w:bCs/>
                <w:sz w:val="18"/>
                <w:szCs w:val="18"/>
              </w:rPr>
              <w:t>Family Farmers</w:t>
            </w:r>
          </w:p>
        </w:tc>
        <w:tc>
          <w:tcPr>
            <w:tcW w:w="6804" w:type="dxa"/>
            <w:tcMar>
              <w:left w:w="57" w:type="dxa"/>
              <w:right w:w="28" w:type="dxa"/>
            </w:tcMar>
          </w:tcPr>
          <w:p w14:paraId="0FCAFE2F" w14:textId="66A8A798" w:rsidR="009563B4" w:rsidRPr="00463F77" w:rsidRDefault="009563B4" w:rsidP="00D47BE7">
            <w:pPr>
              <w:jc w:val="both"/>
              <w:rPr>
                <w:rFonts w:asciiTheme="minorHAnsi" w:hAnsiTheme="minorHAnsi" w:cstheme="minorHAnsi"/>
                <w:sz w:val="18"/>
                <w:szCs w:val="18"/>
              </w:rPr>
            </w:pPr>
            <w:r w:rsidRPr="00463F77">
              <w:rPr>
                <w:rFonts w:asciiTheme="minorHAnsi" w:hAnsiTheme="minorHAnsi" w:cstheme="minorHAnsi"/>
                <w:sz w:val="18"/>
                <w:szCs w:val="18"/>
              </w:rPr>
              <w:t>The family farmers are responsible for the most of the country's agricultural production. In project's sites, these groups will be the first and direct beneficiaries of the project on the ground, with special emphasis on gender inclusion.</w:t>
            </w:r>
          </w:p>
        </w:tc>
        <w:tc>
          <w:tcPr>
            <w:tcW w:w="1083" w:type="dxa"/>
            <w:tcMar>
              <w:left w:w="57" w:type="dxa"/>
              <w:right w:w="28" w:type="dxa"/>
            </w:tcMar>
          </w:tcPr>
          <w:p w14:paraId="097BFF78" w14:textId="77777777" w:rsidR="009563B4" w:rsidRPr="00463F77" w:rsidRDefault="66E9F8B2" w:rsidP="424E3A35">
            <w:pPr>
              <w:rPr>
                <w:rFonts w:asciiTheme="minorHAnsi" w:hAnsiTheme="minorHAnsi" w:cstheme="minorBidi"/>
                <w:sz w:val="18"/>
                <w:szCs w:val="18"/>
              </w:rPr>
            </w:pPr>
            <w:r w:rsidRPr="424E3A35">
              <w:rPr>
                <w:rFonts w:asciiTheme="minorHAnsi" w:hAnsiTheme="minorHAnsi" w:cstheme="minorBidi"/>
                <w:sz w:val="18"/>
                <w:szCs w:val="18"/>
              </w:rPr>
              <w:t>Secondary</w:t>
            </w:r>
          </w:p>
          <w:p w14:paraId="798611BC" w14:textId="3F53FF2E" w:rsidR="009563B4" w:rsidRPr="00463F77" w:rsidRDefault="009563B4" w:rsidP="00463F77">
            <w:pPr>
              <w:rPr>
                <w:rFonts w:asciiTheme="minorHAnsi" w:hAnsiTheme="minorHAnsi" w:cstheme="minorBidi"/>
                <w:sz w:val="18"/>
                <w:szCs w:val="18"/>
              </w:rPr>
            </w:pPr>
          </w:p>
        </w:tc>
      </w:tr>
      <w:tr w:rsidR="009563B4" w:rsidRPr="00CE1EA7" w14:paraId="34697854" w14:textId="77777777" w:rsidTr="3764D022">
        <w:trPr>
          <w:trHeight w:val="89"/>
        </w:trPr>
        <w:tc>
          <w:tcPr>
            <w:tcW w:w="1129" w:type="dxa"/>
            <w:tcMar>
              <w:left w:w="57" w:type="dxa"/>
              <w:right w:w="28" w:type="dxa"/>
            </w:tcMar>
          </w:tcPr>
          <w:p w14:paraId="2806057D" w14:textId="77777777" w:rsidR="009563B4" w:rsidRPr="00463F77" w:rsidRDefault="009563B4" w:rsidP="00463F77">
            <w:pPr>
              <w:rPr>
                <w:rFonts w:asciiTheme="minorHAnsi" w:hAnsiTheme="minorHAnsi" w:cstheme="minorHAnsi"/>
                <w:b/>
                <w:bCs/>
                <w:sz w:val="18"/>
                <w:szCs w:val="18"/>
              </w:rPr>
            </w:pPr>
            <w:r w:rsidRPr="00463F77">
              <w:rPr>
                <w:rFonts w:asciiTheme="minorHAnsi" w:hAnsiTheme="minorHAnsi" w:cstheme="minorHAnsi"/>
                <w:b/>
                <w:bCs/>
                <w:sz w:val="18"/>
                <w:szCs w:val="18"/>
              </w:rPr>
              <w:t>Farmers Associations</w:t>
            </w:r>
          </w:p>
          <w:p w14:paraId="0A0D5DC9" w14:textId="77777777" w:rsidR="009563B4" w:rsidRPr="00463F77" w:rsidRDefault="009563B4" w:rsidP="00463F77">
            <w:pPr>
              <w:rPr>
                <w:rFonts w:asciiTheme="minorHAnsi" w:hAnsiTheme="minorHAnsi" w:cstheme="minorHAnsi"/>
                <w:b/>
                <w:bCs/>
                <w:sz w:val="18"/>
                <w:szCs w:val="18"/>
              </w:rPr>
            </w:pPr>
          </w:p>
        </w:tc>
        <w:tc>
          <w:tcPr>
            <w:tcW w:w="6804" w:type="dxa"/>
            <w:tcMar>
              <w:left w:w="57" w:type="dxa"/>
              <w:right w:w="28" w:type="dxa"/>
            </w:tcMar>
          </w:tcPr>
          <w:p w14:paraId="7B82577A" w14:textId="6F3250A0" w:rsidR="009563B4" w:rsidRPr="00463F77" w:rsidRDefault="009563B4" w:rsidP="00D47BE7">
            <w:pPr>
              <w:jc w:val="both"/>
              <w:rPr>
                <w:rFonts w:asciiTheme="minorHAnsi" w:hAnsiTheme="minorHAnsi" w:cstheme="minorHAnsi"/>
                <w:sz w:val="18"/>
                <w:szCs w:val="18"/>
              </w:rPr>
            </w:pPr>
            <w:r w:rsidRPr="00463F77">
              <w:rPr>
                <w:rFonts w:asciiTheme="minorHAnsi" w:hAnsiTheme="minorHAnsi" w:cstheme="minorHAnsi"/>
                <w:sz w:val="18"/>
                <w:szCs w:val="18"/>
              </w:rPr>
              <w:t>They are very relevant for the project, once the farmers are organized in association and for the project’s implementation they can be mediators, enabling communication between local groups engaged in the project. They will also monitor the project’s activities..</w:t>
            </w:r>
          </w:p>
        </w:tc>
        <w:tc>
          <w:tcPr>
            <w:tcW w:w="1083" w:type="dxa"/>
            <w:tcMar>
              <w:left w:w="57" w:type="dxa"/>
              <w:right w:w="28" w:type="dxa"/>
            </w:tcMar>
          </w:tcPr>
          <w:p w14:paraId="10A0802F" w14:textId="77777777" w:rsidR="009563B4" w:rsidRPr="00463F77" w:rsidRDefault="76A94580" w:rsidP="424E3A35">
            <w:pPr>
              <w:rPr>
                <w:rFonts w:asciiTheme="minorHAnsi" w:hAnsiTheme="minorHAnsi" w:cstheme="minorBidi"/>
                <w:sz w:val="18"/>
                <w:szCs w:val="18"/>
              </w:rPr>
            </w:pPr>
            <w:r w:rsidRPr="424E3A35">
              <w:rPr>
                <w:rFonts w:asciiTheme="minorHAnsi" w:hAnsiTheme="minorHAnsi" w:cstheme="minorBidi"/>
                <w:sz w:val="18"/>
                <w:szCs w:val="18"/>
              </w:rPr>
              <w:t>Secondary</w:t>
            </w:r>
          </w:p>
          <w:p w14:paraId="5262D3F0" w14:textId="3D69A97A" w:rsidR="009563B4" w:rsidRPr="00463F77" w:rsidRDefault="009563B4" w:rsidP="00463F77">
            <w:pPr>
              <w:rPr>
                <w:rFonts w:asciiTheme="minorHAnsi" w:hAnsiTheme="minorHAnsi" w:cstheme="minorBidi"/>
                <w:sz w:val="18"/>
                <w:szCs w:val="18"/>
              </w:rPr>
            </w:pPr>
          </w:p>
        </w:tc>
      </w:tr>
      <w:tr w:rsidR="009563B4" w:rsidRPr="00CE1EA7" w14:paraId="5480431C" w14:textId="77777777" w:rsidTr="3764D022">
        <w:trPr>
          <w:trHeight w:val="89"/>
        </w:trPr>
        <w:tc>
          <w:tcPr>
            <w:tcW w:w="1129" w:type="dxa"/>
            <w:tcMar>
              <w:left w:w="57" w:type="dxa"/>
              <w:right w:w="28" w:type="dxa"/>
            </w:tcMar>
          </w:tcPr>
          <w:p w14:paraId="4D39F5B2" w14:textId="77777777" w:rsidR="009563B4" w:rsidRPr="00463F77" w:rsidRDefault="009563B4" w:rsidP="00463F77">
            <w:pPr>
              <w:rPr>
                <w:rFonts w:asciiTheme="minorHAnsi" w:hAnsiTheme="minorHAnsi" w:cstheme="minorHAnsi"/>
                <w:b/>
                <w:bCs/>
                <w:sz w:val="18"/>
                <w:szCs w:val="18"/>
              </w:rPr>
            </w:pPr>
            <w:r w:rsidRPr="00463F77">
              <w:rPr>
                <w:rFonts w:asciiTheme="minorHAnsi" w:hAnsiTheme="minorHAnsi" w:cstheme="minorHAnsi"/>
                <w:b/>
                <w:bCs/>
                <w:sz w:val="18"/>
                <w:szCs w:val="18"/>
              </w:rPr>
              <w:t>Traditional Authorities</w:t>
            </w:r>
          </w:p>
        </w:tc>
        <w:tc>
          <w:tcPr>
            <w:tcW w:w="6804" w:type="dxa"/>
            <w:tcMar>
              <w:left w:w="57" w:type="dxa"/>
              <w:right w:w="28" w:type="dxa"/>
            </w:tcMar>
          </w:tcPr>
          <w:p w14:paraId="10F84C8D" w14:textId="1771930F" w:rsidR="009563B4" w:rsidRPr="00463F77" w:rsidRDefault="009563B4" w:rsidP="00D47BE7">
            <w:pPr>
              <w:jc w:val="both"/>
              <w:rPr>
                <w:rFonts w:asciiTheme="minorHAnsi" w:hAnsiTheme="minorHAnsi" w:cstheme="minorHAnsi"/>
                <w:b/>
                <w:sz w:val="18"/>
                <w:szCs w:val="18"/>
              </w:rPr>
            </w:pPr>
            <w:r w:rsidRPr="00463F77">
              <w:rPr>
                <w:rFonts w:asciiTheme="minorHAnsi" w:hAnsiTheme="minorHAnsi" w:cstheme="minorHAnsi"/>
                <w:sz w:val="18"/>
                <w:szCs w:val="18"/>
              </w:rPr>
              <w:t>In rural areas, traditional authorities play a very import role in communities. They will be direct beneficiary and the first interlocutor of communities for the project</w:t>
            </w:r>
            <w:r w:rsidR="00F20E1F">
              <w:rPr>
                <w:rFonts w:asciiTheme="minorHAnsi" w:hAnsiTheme="minorHAnsi" w:cstheme="minorHAnsi"/>
                <w:sz w:val="18"/>
                <w:szCs w:val="18"/>
              </w:rPr>
              <w:t>.</w:t>
            </w:r>
          </w:p>
        </w:tc>
        <w:tc>
          <w:tcPr>
            <w:tcW w:w="1083" w:type="dxa"/>
            <w:tcMar>
              <w:left w:w="57" w:type="dxa"/>
              <w:right w:w="28" w:type="dxa"/>
            </w:tcMar>
          </w:tcPr>
          <w:p w14:paraId="5E06504D" w14:textId="77777777" w:rsidR="009563B4" w:rsidRPr="00463F77" w:rsidRDefault="77F96B19" w:rsidP="424E3A35">
            <w:pPr>
              <w:rPr>
                <w:rFonts w:asciiTheme="minorHAnsi" w:hAnsiTheme="minorHAnsi" w:cstheme="minorBidi"/>
                <w:sz w:val="18"/>
                <w:szCs w:val="18"/>
              </w:rPr>
            </w:pPr>
            <w:r w:rsidRPr="424E3A35">
              <w:rPr>
                <w:rFonts w:asciiTheme="minorHAnsi" w:hAnsiTheme="minorHAnsi" w:cstheme="minorBidi"/>
                <w:sz w:val="18"/>
                <w:szCs w:val="18"/>
              </w:rPr>
              <w:t>Secondary</w:t>
            </w:r>
          </w:p>
          <w:p w14:paraId="209D7AE4" w14:textId="2E8396DC" w:rsidR="009563B4" w:rsidRPr="00463F77" w:rsidRDefault="009563B4" w:rsidP="00463F77">
            <w:pPr>
              <w:rPr>
                <w:rFonts w:asciiTheme="minorHAnsi" w:hAnsiTheme="minorHAnsi" w:cstheme="minorBidi"/>
                <w:sz w:val="18"/>
                <w:szCs w:val="18"/>
              </w:rPr>
            </w:pPr>
          </w:p>
        </w:tc>
      </w:tr>
      <w:tr w:rsidR="009563B4" w:rsidRPr="00CE1EA7" w14:paraId="30DE49FF" w14:textId="77777777" w:rsidTr="3764D022">
        <w:trPr>
          <w:trHeight w:val="277"/>
        </w:trPr>
        <w:tc>
          <w:tcPr>
            <w:tcW w:w="1129" w:type="dxa"/>
            <w:shd w:val="clear" w:color="auto" w:fill="DEEAF6" w:themeFill="accent1" w:themeFillTint="33"/>
            <w:tcMar>
              <w:left w:w="57" w:type="dxa"/>
              <w:right w:w="28" w:type="dxa"/>
            </w:tcMar>
          </w:tcPr>
          <w:p w14:paraId="579B718C" w14:textId="77777777" w:rsidR="009563B4" w:rsidRPr="00463F77" w:rsidRDefault="009563B4" w:rsidP="00463F77">
            <w:pPr>
              <w:rPr>
                <w:rFonts w:asciiTheme="minorHAnsi" w:hAnsiTheme="minorHAnsi" w:cstheme="minorHAnsi"/>
                <w:b/>
                <w:bCs/>
                <w:i/>
                <w:iCs/>
                <w:sz w:val="18"/>
                <w:szCs w:val="18"/>
              </w:rPr>
            </w:pPr>
          </w:p>
        </w:tc>
        <w:tc>
          <w:tcPr>
            <w:tcW w:w="6804" w:type="dxa"/>
            <w:shd w:val="clear" w:color="auto" w:fill="DEEAF6" w:themeFill="accent1" w:themeFillTint="33"/>
            <w:tcMar>
              <w:left w:w="57" w:type="dxa"/>
              <w:right w:w="28" w:type="dxa"/>
            </w:tcMar>
          </w:tcPr>
          <w:p w14:paraId="015FE2AD" w14:textId="77777777" w:rsidR="009563B4" w:rsidRPr="00463F77" w:rsidRDefault="009563B4" w:rsidP="00D47BE7">
            <w:pPr>
              <w:jc w:val="both"/>
              <w:rPr>
                <w:rFonts w:asciiTheme="minorHAnsi" w:hAnsiTheme="minorHAnsi" w:cstheme="minorHAnsi"/>
                <w:b/>
                <w:bCs/>
                <w:i/>
                <w:iCs/>
                <w:sz w:val="18"/>
                <w:szCs w:val="18"/>
              </w:rPr>
            </w:pPr>
            <w:r w:rsidRPr="00463F77">
              <w:rPr>
                <w:rFonts w:asciiTheme="minorHAnsi" w:hAnsiTheme="minorHAnsi" w:cstheme="minorHAnsi"/>
                <w:b/>
                <w:bCs/>
                <w:i/>
                <w:iCs/>
                <w:sz w:val="18"/>
                <w:szCs w:val="18"/>
              </w:rPr>
              <w:t>Funders and Civil Society Organizations</w:t>
            </w:r>
          </w:p>
        </w:tc>
        <w:tc>
          <w:tcPr>
            <w:tcW w:w="1083" w:type="dxa"/>
            <w:shd w:val="clear" w:color="auto" w:fill="DEEAF6" w:themeFill="accent1" w:themeFillTint="33"/>
            <w:tcMar>
              <w:left w:w="57" w:type="dxa"/>
              <w:right w:w="28" w:type="dxa"/>
            </w:tcMar>
          </w:tcPr>
          <w:p w14:paraId="5687C004" w14:textId="77777777" w:rsidR="009563B4" w:rsidRPr="00463F77" w:rsidRDefault="009563B4" w:rsidP="00463F77">
            <w:pPr>
              <w:rPr>
                <w:rFonts w:asciiTheme="minorHAnsi" w:hAnsiTheme="minorHAnsi" w:cstheme="minorHAnsi"/>
                <w:b/>
                <w:bCs/>
                <w:i/>
                <w:iCs/>
                <w:sz w:val="18"/>
                <w:szCs w:val="18"/>
              </w:rPr>
            </w:pPr>
          </w:p>
        </w:tc>
      </w:tr>
      <w:tr w:rsidR="009563B4" w:rsidRPr="00CE1EA7" w14:paraId="0AC44F7A" w14:textId="77777777" w:rsidTr="3764D022">
        <w:trPr>
          <w:trHeight w:val="89"/>
        </w:trPr>
        <w:tc>
          <w:tcPr>
            <w:tcW w:w="1129" w:type="dxa"/>
            <w:tcMar>
              <w:left w:w="57" w:type="dxa"/>
              <w:right w:w="28" w:type="dxa"/>
            </w:tcMar>
          </w:tcPr>
          <w:p w14:paraId="5AC99A32" w14:textId="77777777" w:rsidR="009563B4" w:rsidRPr="00463F77" w:rsidRDefault="009563B4" w:rsidP="00463F77">
            <w:pPr>
              <w:rPr>
                <w:rFonts w:asciiTheme="minorHAnsi" w:hAnsiTheme="minorHAnsi" w:cstheme="minorHAnsi"/>
                <w:b/>
                <w:bCs/>
                <w:sz w:val="18"/>
                <w:szCs w:val="18"/>
              </w:rPr>
            </w:pPr>
            <w:r w:rsidRPr="00463F77">
              <w:rPr>
                <w:rFonts w:asciiTheme="minorHAnsi" w:hAnsiTheme="minorHAnsi" w:cstheme="minorHAnsi"/>
                <w:b/>
                <w:bCs/>
                <w:sz w:val="18"/>
                <w:szCs w:val="18"/>
              </w:rPr>
              <w:t>Resource Partner/Donor</w:t>
            </w:r>
          </w:p>
        </w:tc>
        <w:tc>
          <w:tcPr>
            <w:tcW w:w="6804" w:type="dxa"/>
            <w:tcMar>
              <w:left w:w="57" w:type="dxa"/>
              <w:right w:w="28" w:type="dxa"/>
            </w:tcMar>
          </w:tcPr>
          <w:p w14:paraId="032D52D9" w14:textId="77777777" w:rsidR="009563B4" w:rsidRPr="007C21F4" w:rsidRDefault="009563B4" w:rsidP="00D47BE7">
            <w:pPr>
              <w:spacing w:after="80"/>
              <w:jc w:val="both"/>
              <w:rPr>
                <w:rFonts w:asciiTheme="minorHAnsi" w:hAnsiTheme="minorHAnsi" w:cstheme="minorHAnsi"/>
                <w:sz w:val="18"/>
                <w:szCs w:val="18"/>
              </w:rPr>
            </w:pPr>
            <w:r w:rsidRPr="00463F77">
              <w:rPr>
                <w:rFonts w:asciiTheme="minorHAnsi" w:hAnsiTheme="minorHAnsi" w:cstheme="minorHAnsi"/>
                <w:sz w:val="18"/>
                <w:szCs w:val="18"/>
              </w:rPr>
              <w:t xml:space="preserve">The group includes funders, financiers and others alike. Wherever relevant the project will to collaborate with possible donors and private sector. Co-financing with multilateral partners is being leveraged and more details will be provided in </w:t>
            </w:r>
            <w:r w:rsidRPr="007C21F4">
              <w:rPr>
                <w:rFonts w:asciiTheme="minorHAnsi" w:hAnsiTheme="minorHAnsi" w:cstheme="minorHAnsi"/>
                <w:sz w:val="18"/>
                <w:szCs w:val="18"/>
              </w:rPr>
              <w:t>due course.</w:t>
            </w:r>
          </w:p>
          <w:p w14:paraId="57E0848C" w14:textId="2FC8BA3A" w:rsidR="009563B4" w:rsidRPr="007C21F4" w:rsidRDefault="009563B4" w:rsidP="00D47BE7">
            <w:pPr>
              <w:jc w:val="both"/>
              <w:rPr>
                <w:rFonts w:asciiTheme="minorHAnsi" w:hAnsiTheme="minorHAnsi" w:cstheme="minorHAnsi"/>
                <w:sz w:val="18"/>
                <w:szCs w:val="18"/>
              </w:rPr>
            </w:pPr>
            <w:r w:rsidRPr="007C21F4">
              <w:rPr>
                <w:rFonts w:asciiTheme="minorHAnsi" w:hAnsiTheme="minorHAnsi" w:cstheme="minorHAnsi"/>
                <w:sz w:val="18"/>
                <w:szCs w:val="18"/>
              </w:rPr>
              <w:t xml:space="preserve">In </w:t>
            </w:r>
            <w:r w:rsidR="003A522C">
              <w:rPr>
                <w:rFonts w:asciiTheme="minorHAnsi" w:hAnsiTheme="minorHAnsi" w:cstheme="minorHAnsi"/>
                <w:sz w:val="18"/>
                <w:szCs w:val="18"/>
                <w:u w:val="single"/>
              </w:rPr>
              <w:t>AnnexA3</w:t>
            </w:r>
            <w:r w:rsidRPr="007C21F4">
              <w:rPr>
                <w:rFonts w:asciiTheme="minorHAnsi" w:hAnsiTheme="minorHAnsi" w:cstheme="minorHAnsi"/>
                <w:sz w:val="18"/>
                <w:szCs w:val="18"/>
                <w:u w:val="single"/>
              </w:rPr>
              <w:t xml:space="preserve"> (Baseline &amp; Co-financing: All initiatives</w:t>
            </w:r>
            <w:r w:rsidR="00653949" w:rsidRPr="007C21F4">
              <w:rPr>
                <w:rFonts w:asciiTheme="minorHAnsi" w:hAnsiTheme="minorHAnsi" w:cstheme="minorHAnsi"/>
                <w:sz w:val="18"/>
                <w:szCs w:val="18"/>
                <w:u w:val="single"/>
              </w:rPr>
              <w:t>,</w:t>
            </w:r>
            <w:r w:rsidRPr="007C21F4">
              <w:rPr>
                <w:rFonts w:asciiTheme="minorHAnsi" w:hAnsiTheme="minorHAnsi" w:cstheme="minorHAnsi"/>
                <w:sz w:val="18"/>
                <w:szCs w:val="18"/>
                <w:u w:val="single"/>
              </w:rPr>
              <w:t xml:space="preserve"> in USD million</w:t>
            </w:r>
            <w:r w:rsidRPr="007C21F4">
              <w:rPr>
                <w:rFonts w:asciiTheme="minorHAnsi" w:hAnsiTheme="minorHAnsi" w:cstheme="minorHAnsi"/>
                <w:sz w:val="18"/>
                <w:szCs w:val="18"/>
              </w:rPr>
              <w:t>), initiatives with synergies and collaboration with IFAD SREP - Smallholder Resilience Enhancement Project</w:t>
            </w:r>
          </w:p>
          <w:p w14:paraId="35F9D2D2" w14:textId="673D897B" w:rsidR="009563B4" w:rsidRPr="007C21F4" w:rsidRDefault="009563B4" w:rsidP="00D47BE7">
            <w:pPr>
              <w:jc w:val="both"/>
              <w:rPr>
                <w:rFonts w:asciiTheme="minorHAnsi" w:hAnsiTheme="minorHAnsi" w:cstheme="minorHAnsi"/>
                <w:sz w:val="18"/>
                <w:szCs w:val="18"/>
              </w:rPr>
            </w:pPr>
            <w:r w:rsidRPr="007C21F4">
              <w:rPr>
                <w:rFonts w:asciiTheme="minorHAnsi" w:hAnsiTheme="minorHAnsi" w:cstheme="minorHAnsi"/>
                <w:sz w:val="18"/>
                <w:szCs w:val="18"/>
              </w:rPr>
              <w:t>AFDB Agric Value Chains –</w:t>
            </w:r>
            <w:r w:rsidR="007C21F4">
              <w:rPr>
                <w:rFonts w:asciiTheme="minorHAnsi" w:hAnsiTheme="minorHAnsi" w:cstheme="minorHAnsi"/>
                <w:sz w:val="18"/>
                <w:szCs w:val="18"/>
              </w:rPr>
              <w:t xml:space="preserve"> Support to Sust. Dev. &amp; Growth</w:t>
            </w:r>
          </w:p>
        </w:tc>
        <w:tc>
          <w:tcPr>
            <w:tcW w:w="1083" w:type="dxa"/>
            <w:tcMar>
              <w:left w:w="57" w:type="dxa"/>
              <w:right w:w="28" w:type="dxa"/>
            </w:tcMar>
          </w:tcPr>
          <w:p w14:paraId="4C1989B2" w14:textId="77777777" w:rsidR="009563B4" w:rsidRPr="00463F77" w:rsidRDefault="009563B4" w:rsidP="00463F77">
            <w:pPr>
              <w:rPr>
                <w:rFonts w:asciiTheme="minorHAnsi" w:hAnsiTheme="minorHAnsi" w:cstheme="minorHAnsi"/>
                <w:sz w:val="18"/>
                <w:szCs w:val="18"/>
              </w:rPr>
            </w:pPr>
            <w:r w:rsidRPr="00463F77">
              <w:rPr>
                <w:rFonts w:asciiTheme="minorHAnsi" w:hAnsiTheme="minorHAnsi" w:cstheme="minorHAnsi"/>
                <w:sz w:val="18"/>
                <w:szCs w:val="18"/>
              </w:rPr>
              <w:t>Primary or Secondary</w:t>
            </w:r>
          </w:p>
        </w:tc>
      </w:tr>
      <w:tr w:rsidR="009563B4" w:rsidRPr="00CE1EA7" w14:paraId="3D47ABD7" w14:textId="77777777" w:rsidTr="3764D022">
        <w:trPr>
          <w:trHeight w:val="89"/>
        </w:trPr>
        <w:tc>
          <w:tcPr>
            <w:tcW w:w="1129" w:type="dxa"/>
            <w:tcMar>
              <w:left w:w="57" w:type="dxa"/>
              <w:right w:w="28" w:type="dxa"/>
            </w:tcMar>
          </w:tcPr>
          <w:p w14:paraId="2829BEAF" w14:textId="77777777" w:rsidR="009563B4" w:rsidRPr="00463F77" w:rsidRDefault="009563B4" w:rsidP="00463F77">
            <w:pPr>
              <w:rPr>
                <w:rFonts w:asciiTheme="minorHAnsi" w:hAnsiTheme="minorHAnsi" w:cstheme="minorHAnsi"/>
                <w:b/>
                <w:bCs/>
                <w:sz w:val="18"/>
                <w:szCs w:val="18"/>
              </w:rPr>
            </w:pPr>
            <w:r w:rsidRPr="00463F77">
              <w:rPr>
                <w:rFonts w:asciiTheme="minorHAnsi" w:hAnsiTheme="minorHAnsi" w:cstheme="minorHAnsi"/>
                <w:b/>
                <w:bCs/>
                <w:sz w:val="18"/>
                <w:szCs w:val="18"/>
              </w:rPr>
              <w:t>NGOs and CBOs</w:t>
            </w:r>
          </w:p>
          <w:p w14:paraId="6484FE5D" w14:textId="77777777" w:rsidR="009563B4" w:rsidRPr="00463F77" w:rsidRDefault="009563B4" w:rsidP="00463F77">
            <w:pPr>
              <w:rPr>
                <w:rFonts w:asciiTheme="minorHAnsi" w:hAnsiTheme="minorHAnsi" w:cstheme="minorHAnsi"/>
                <w:b/>
                <w:bCs/>
                <w:sz w:val="18"/>
                <w:szCs w:val="18"/>
              </w:rPr>
            </w:pPr>
          </w:p>
        </w:tc>
        <w:tc>
          <w:tcPr>
            <w:tcW w:w="6804" w:type="dxa"/>
            <w:tcMar>
              <w:left w:w="57" w:type="dxa"/>
              <w:right w:w="28" w:type="dxa"/>
            </w:tcMar>
          </w:tcPr>
          <w:p w14:paraId="5D1F17DD" w14:textId="77777777" w:rsidR="009563B4" w:rsidRPr="00463F77" w:rsidRDefault="009563B4" w:rsidP="00D47BE7">
            <w:pPr>
              <w:spacing w:after="80"/>
              <w:jc w:val="both"/>
              <w:rPr>
                <w:rFonts w:asciiTheme="minorHAnsi" w:hAnsiTheme="minorHAnsi" w:cstheme="minorHAnsi"/>
                <w:sz w:val="18"/>
                <w:szCs w:val="18"/>
              </w:rPr>
            </w:pPr>
            <w:r w:rsidRPr="00463F77">
              <w:rPr>
                <w:rFonts w:asciiTheme="minorHAnsi" w:hAnsiTheme="minorHAnsi" w:cstheme="minorHAnsi"/>
                <w:sz w:val="18"/>
                <w:szCs w:val="18"/>
              </w:rPr>
              <w:t xml:space="preserve">The project will be implemented with the participation of NGOs, in particular those that are currently helping build the capacity of local land users and managers in from forest and agricultural sector. </w:t>
            </w:r>
          </w:p>
          <w:p w14:paraId="37A80008" w14:textId="6A72680B" w:rsidR="009563B4" w:rsidRPr="00463F77" w:rsidRDefault="00F20E1F" w:rsidP="00D47BE7">
            <w:pPr>
              <w:jc w:val="both"/>
              <w:rPr>
                <w:rFonts w:asciiTheme="minorHAnsi" w:hAnsiTheme="minorHAnsi" w:cstheme="minorHAnsi"/>
                <w:b/>
                <w:sz w:val="18"/>
                <w:szCs w:val="18"/>
              </w:rPr>
            </w:pPr>
            <w:r>
              <w:rPr>
                <w:rFonts w:asciiTheme="minorHAnsi" w:hAnsiTheme="minorHAnsi" w:cstheme="minorHAnsi"/>
                <w:sz w:val="18"/>
                <w:szCs w:val="18"/>
              </w:rPr>
              <w:t>P</w:t>
            </w:r>
            <w:r w:rsidR="009563B4" w:rsidRPr="00463F77">
              <w:rPr>
                <w:rFonts w:asciiTheme="minorHAnsi" w:hAnsiTheme="minorHAnsi" w:cstheme="minorHAnsi"/>
                <w:sz w:val="18"/>
                <w:szCs w:val="18"/>
              </w:rPr>
              <w:t>roject</w:t>
            </w:r>
            <w:r>
              <w:rPr>
                <w:rFonts w:asciiTheme="minorHAnsi" w:hAnsiTheme="minorHAnsi" w:cstheme="minorHAnsi"/>
                <w:sz w:val="18"/>
                <w:szCs w:val="18"/>
              </w:rPr>
              <w:t>, during</w:t>
            </w:r>
            <w:r w:rsidR="009563B4" w:rsidRPr="00463F77">
              <w:rPr>
                <w:rFonts w:asciiTheme="minorHAnsi" w:hAnsiTheme="minorHAnsi" w:cstheme="minorHAnsi"/>
                <w:sz w:val="18"/>
                <w:szCs w:val="18"/>
              </w:rPr>
              <w:t xml:space="preserve"> preparation and implementation, will collaborat</w:t>
            </w:r>
            <w:r w:rsidR="00F233A1">
              <w:rPr>
                <w:rFonts w:asciiTheme="minorHAnsi" w:hAnsiTheme="minorHAnsi" w:cstheme="minorHAnsi"/>
                <w:sz w:val="18"/>
                <w:szCs w:val="18"/>
              </w:rPr>
              <w:t>e</w:t>
            </w:r>
            <w:r w:rsidR="009563B4" w:rsidRPr="00463F77">
              <w:rPr>
                <w:rFonts w:asciiTheme="minorHAnsi" w:hAnsiTheme="minorHAnsi" w:cstheme="minorHAnsi"/>
                <w:sz w:val="18"/>
                <w:szCs w:val="18"/>
              </w:rPr>
              <w:t xml:space="preserve"> with a wider network of NGOs working in the region like, DBDS (Association for the Defence of Biodiversity and Sustainable Development), ACADIR (Association for Environment Conservation and Integrated Rural Development), Environmental Network Mayombe (RAM) which is an association of 47 registered environmental ONGs and CSOs, ADRA (Association for Angolan Rural Development), World Vision and Foundation Codespa.</w:t>
            </w:r>
          </w:p>
        </w:tc>
        <w:tc>
          <w:tcPr>
            <w:tcW w:w="1083" w:type="dxa"/>
            <w:tcMar>
              <w:left w:w="57" w:type="dxa"/>
              <w:right w:w="28" w:type="dxa"/>
            </w:tcMar>
          </w:tcPr>
          <w:p w14:paraId="4315FAEA" w14:textId="77777777" w:rsidR="009563B4" w:rsidRPr="00463F77" w:rsidRDefault="009563B4" w:rsidP="00463F77">
            <w:pPr>
              <w:rPr>
                <w:rFonts w:asciiTheme="minorHAnsi" w:hAnsiTheme="minorHAnsi" w:cstheme="minorHAnsi"/>
                <w:sz w:val="18"/>
                <w:szCs w:val="18"/>
              </w:rPr>
            </w:pPr>
            <w:r w:rsidRPr="00463F77">
              <w:rPr>
                <w:rFonts w:asciiTheme="minorHAnsi" w:hAnsiTheme="minorHAnsi" w:cstheme="minorHAnsi"/>
                <w:sz w:val="18"/>
                <w:szCs w:val="18"/>
              </w:rPr>
              <w:t>Key, Primary or Secondary</w:t>
            </w:r>
          </w:p>
        </w:tc>
      </w:tr>
      <w:tr w:rsidR="009563B4" w:rsidRPr="00CE1EA7" w14:paraId="03E1DD90" w14:textId="77777777" w:rsidTr="3764D022">
        <w:trPr>
          <w:trHeight w:val="277"/>
        </w:trPr>
        <w:tc>
          <w:tcPr>
            <w:tcW w:w="1129" w:type="dxa"/>
            <w:shd w:val="clear" w:color="auto" w:fill="DEEAF6" w:themeFill="accent1" w:themeFillTint="33"/>
            <w:tcMar>
              <w:left w:w="57" w:type="dxa"/>
              <w:right w:w="28" w:type="dxa"/>
            </w:tcMar>
          </w:tcPr>
          <w:p w14:paraId="01981FDD" w14:textId="77777777" w:rsidR="009563B4" w:rsidRPr="00463F77" w:rsidRDefault="009563B4" w:rsidP="00463F77">
            <w:pPr>
              <w:rPr>
                <w:rFonts w:asciiTheme="minorHAnsi" w:hAnsiTheme="minorHAnsi" w:cstheme="minorHAnsi"/>
                <w:b/>
                <w:bCs/>
                <w:i/>
                <w:iCs/>
                <w:sz w:val="18"/>
                <w:szCs w:val="18"/>
              </w:rPr>
            </w:pPr>
          </w:p>
        </w:tc>
        <w:tc>
          <w:tcPr>
            <w:tcW w:w="6804" w:type="dxa"/>
            <w:shd w:val="clear" w:color="auto" w:fill="DEEAF6" w:themeFill="accent1" w:themeFillTint="33"/>
            <w:tcMar>
              <w:left w:w="57" w:type="dxa"/>
              <w:right w:w="28" w:type="dxa"/>
            </w:tcMar>
          </w:tcPr>
          <w:p w14:paraId="440B2313" w14:textId="77777777" w:rsidR="009563B4" w:rsidRPr="00463F77" w:rsidRDefault="009563B4" w:rsidP="00D47BE7">
            <w:pPr>
              <w:jc w:val="both"/>
              <w:rPr>
                <w:rFonts w:asciiTheme="minorHAnsi" w:hAnsiTheme="minorHAnsi" w:cstheme="minorHAnsi"/>
                <w:b/>
                <w:bCs/>
                <w:i/>
                <w:iCs/>
                <w:sz w:val="18"/>
                <w:szCs w:val="18"/>
              </w:rPr>
            </w:pPr>
            <w:r w:rsidRPr="00463F77">
              <w:rPr>
                <w:rFonts w:asciiTheme="minorHAnsi" w:hAnsiTheme="minorHAnsi" w:cstheme="minorHAnsi"/>
                <w:b/>
                <w:bCs/>
                <w:i/>
                <w:iCs/>
                <w:sz w:val="18"/>
                <w:szCs w:val="18"/>
              </w:rPr>
              <w:t>Funders, Civil Society and supra-national Organizations</w:t>
            </w:r>
          </w:p>
        </w:tc>
        <w:tc>
          <w:tcPr>
            <w:tcW w:w="1083" w:type="dxa"/>
            <w:shd w:val="clear" w:color="auto" w:fill="DEEAF6" w:themeFill="accent1" w:themeFillTint="33"/>
            <w:tcMar>
              <w:left w:w="57" w:type="dxa"/>
              <w:right w:w="28" w:type="dxa"/>
            </w:tcMar>
          </w:tcPr>
          <w:p w14:paraId="7A4D55CF" w14:textId="77777777" w:rsidR="009563B4" w:rsidRPr="00463F77" w:rsidRDefault="009563B4" w:rsidP="00463F77">
            <w:pPr>
              <w:rPr>
                <w:rFonts w:asciiTheme="minorHAnsi" w:hAnsiTheme="minorHAnsi" w:cstheme="minorHAnsi"/>
                <w:b/>
                <w:bCs/>
                <w:i/>
                <w:iCs/>
                <w:sz w:val="18"/>
                <w:szCs w:val="18"/>
              </w:rPr>
            </w:pPr>
          </w:p>
        </w:tc>
      </w:tr>
      <w:tr w:rsidR="009563B4" w:rsidRPr="00CE1EA7" w14:paraId="6C6EE8FB" w14:textId="77777777" w:rsidTr="3764D022">
        <w:trPr>
          <w:trHeight w:val="277"/>
        </w:trPr>
        <w:tc>
          <w:tcPr>
            <w:tcW w:w="1129" w:type="dxa"/>
            <w:shd w:val="clear" w:color="auto" w:fill="auto"/>
            <w:tcMar>
              <w:left w:w="57" w:type="dxa"/>
              <w:right w:w="28" w:type="dxa"/>
            </w:tcMar>
          </w:tcPr>
          <w:p w14:paraId="0AFD9E6E" w14:textId="77777777" w:rsidR="009563B4" w:rsidRPr="00463F77" w:rsidRDefault="009563B4" w:rsidP="00463F77">
            <w:pPr>
              <w:rPr>
                <w:rFonts w:asciiTheme="minorHAnsi" w:hAnsiTheme="minorHAnsi" w:cstheme="minorHAnsi"/>
                <w:b/>
                <w:bCs/>
                <w:sz w:val="18"/>
                <w:szCs w:val="18"/>
              </w:rPr>
            </w:pPr>
            <w:r w:rsidRPr="00463F77">
              <w:rPr>
                <w:rFonts w:asciiTheme="minorHAnsi" w:hAnsiTheme="minorHAnsi" w:cstheme="minorHAnsi"/>
                <w:b/>
                <w:bCs/>
                <w:sz w:val="18"/>
                <w:szCs w:val="18"/>
              </w:rPr>
              <w:t xml:space="preserve">SADC – Southern Africa Development Community </w:t>
            </w:r>
          </w:p>
          <w:p w14:paraId="3EB38F85" w14:textId="77777777" w:rsidR="009563B4" w:rsidRPr="00463F77" w:rsidRDefault="009563B4" w:rsidP="00463F77">
            <w:pPr>
              <w:rPr>
                <w:rFonts w:asciiTheme="minorHAnsi" w:hAnsiTheme="minorHAnsi" w:cstheme="minorHAnsi"/>
                <w:b/>
                <w:bCs/>
                <w:sz w:val="18"/>
                <w:szCs w:val="18"/>
              </w:rPr>
            </w:pPr>
          </w:p>
        </w:tc>
        <w:tc>
          <w:tcPr>
            <w:tcW w:w="6804" w:type="dxa"/>
            <w:shd w:val="clear" w:color="auto" w:fill="auto"/>
            <w:tcMar>
              <w:left w:w="57" w:type="dxa"/>
              <w:right w:w="28" w:type="dxa"/>
            </w:tcMar>
          </w:tcPr>
          <w:p w14:paraId="4CFDE473" w14:textId="420E53F9" w:rsidR="009563B4" w:rsidRPr="00463F77" w:rsidRDefault="009563B4" w:rsidP="00D47BE7">
            <w:pPr>
              <w:jc w:val="both"/>
              <w:rPr>
                <w:rFonts w:asciiTheme="minorHAnsi" w:hAnsiTheme="minorHAnsi" w:cstheme="minorHAnsi"/>
                <w:sz w:val="18"/>
                <w:szCs w:val="18"/>
              </w:rPr>
            </w:pPr>
            <w:r w:rsidRPr="00463F77">
              <w:rPr>
                <w:rFonts w:asciiTheme="minorHAnsi" w:hAnsiTheme="minorHAnsi" w:cstheme="minorHAnsi"/>
                <w:sz w:val="18"/>
                <w:szCs w:val="18"/>
              </w:rPr>
              <w:t xml:space="preserve">SADC is an inter-governmental organization with headquarters in Gaborone, Botswana, composed of member States. Its goal is to further the socio-economic cooperation and integration as well as political and security cooperation among 16 southern African countries. Through the organ’s Council of Ministers a number if important sectoral decisions are made, including on environmental matters. The sub-regional dialogue that would be generated from the activities related to LDN and the DSL IP, would be instrumental in leveraging SADC’s decision-making power to help create an investment friendly environment for LDN. Such measures would also enhance implementation of the GGWI-S, including with the support from other partners. </w:t>
            </w:r>
          </w:p>
        </w:tc>
        <w:tc>
          <w:tcPr>
            <w:tcW w:w="1083" w:type="dxa"/>
            <w:shd w:val="clear" w:color="auto" w:fill="auto"/>
            <w:tcMar>
              <w:left w:w="57" w:type="dxa"/>
              <w:right w:w="28" w:type="dxa"/>
            </w:tcMar>
          </w:tcPr>
          <w:p w14:paraId="4331E6C5" w14:textId="77777777" w:rsidR="009563B4" w:rsidRPr="00463F77" w:rsidRDefault="009563B4" w:rsidP="00463F77">
            <w:pPr>
              <w:rPr>
                <w:rFonts w:asciiTheme="minorHAnsi" w:hAnsiTheme="minorHAnsi" w:cstheme="minorHAnsi"/>
                <w:b/>
                <w:bCs/>
                <w:i/>
                <w:iCs/>
                <w:sz w:val="18"/>
                <w:szCs w:val="18"/>
              </w:rPr>
            </w:pPr>
            <w:r w:rsidRPr="00463F77">
              <w:rPr>
                <w:rFonts w:asciiTheme="minorHAnsi" w:hAnsiTheme="minorHAnsi" w:cstheme="minorHAnsi"/>
                <w:sz w:val="18"/>
                <w:szCs w:val="18"/>
              </w:rPr>
              <w:t>Secondary</w:t>
            </w:r>
          </w:p>
        </w:tc>
      </w:tr>
      <w:tr w:rsidR="009563B4" w:rsidRPr="00CE1EA7" w14:paraId="3D176CE6" w14:textId="77777777" w:rsidTr="3764D022">
        <w:trPr>
          <w:trHeight w:val="89"/>
        </w:trPr>
        <w:tc>
          <w:tcPr>
            <w:tcW w:w="1129" w:type="dxa"/>
            <w:tcMar>
              <w:left w:w="57" w:type="dxa"/>
              <w:right w:w="28" w:type="dxa"/>
            </w:tcMar>
          </w:tcPr>
          <w:p w14:paraId="75ECE815" w14:textId="77777777" w:rsidR="009563B4" w:rsidRPr="00463F77" w:rsidRDefault="009563B4" w:rsidP="00463F77">
            <w:pPr>
              <w:rPr>
                <w:rFonts w:asciiTheme="minorHAnsi" w:hAnsiTheme="minorHAnsi" w:cstheme="minorHAnsi"/>
                <w:b/>
                <w:bCs/>
                <w:sz w:val="18"/>
                <w:szCs w:val="18"/>
              </w:rPr>
            </w:pPr>
            <w:r w:rsidRPr="00463F77">
              <w:rPr>
                <w:rFonts w:asciiTheme="minorHAnsi" w:hAnsiTheme="minorHAnsi" w:cstheme="minorHAnsi"/>
                <w:b/>
                <w:bCs/>
                <w:sz w:val="18"/>
                <w:szCs w:val="18"/>
              </w:rPr>
              <w:lastRenderedPageBreak/>
              <w:t>River Basin Commissions, etc.</w:t>
            </w:r>
          </w:p>
        </w:tc>
        <w:tc>
          <w:tcPr>
            <w:tcW w:w="6804" w:type="dxa"/>
            <w:tcMar>
              <w:left w:w="57" w:type="dxa"/>
              <w:right w:w="28" w:type="dxa"/>
            </w:tcMar>
          </w:tcPr>
          <w:p w14:paraId="67F5829D" w14:textId="3AB85977" w:rsidR="009563B4" w:rsidRPr="00463F77" w:rsidRDefault="009563B4" w:rsidP="00D47BE7">
            <w:pPr>
              <w:jc w:val="both"/>
              <w:rPr>
                <w:rFonts w:asciiTheme="minorHAnsi" w:hAnsiTheme="minorHAnsi" w:cstheme="minorHAnsi"/>
                <w:sz w:val="18"/>
                <w:szCs w:val="18"/>
              </w:rPr>
            </w:pPr>
            <w:r w:rsidRPr="00463F77">
              <w:rPr>
                <w:rFonts w:asciiTheme="minorHAnsi" w:hAnsiTheme="minorHAnsi" w:cstheme="minorHAnsi"/>
                <w:sz w:val="18"/>
                <w:szCs w:val="18"/>
                <w:u w:val="single"/>
              </w:rPr>
              <w:t xml:space="preserve">Transboundary Commission for Watershed Management (OKAKOM, KUNENECOM): </w:t>
            </w:r>
            <w:r w:rsidRPr="00463F77">
              <w:rPr>
                <w:rFonts w:asciiTheme="minorHAnsi" w:hAnsiTheme="minorHAnsi" w:cstheme="minorHAnsi"/>
                <w:sz w:val="18"/>
                <w:szCs w:val="18"/>
              </w:rPr>
              <w:t>The project's sites are located in watersheds of Cunene and Okavango. These transboundary watersheds are shared between Angola and Namibia in case of Cunene, and Angola, Namibia and Botswana in case of Okavango. These watersheds are managed by permanent international commissions, KUNENECOM and OKAKOM.  These bodies can give a lot support for the project, once it already implements several projects in these watersheds, that we can highlight, Climate Resilient Infrastructure Development Facility (CRIDF); Environmental monitoring and Future of Okavango. Other important thing to refer is the transboundary project Okavango-Zambezi (KAZA) that can strength the project.</w:t>
            </w:r>
          </w:p>
        </w:tc>
        <w:tc>
          <w:tcPr>
            <w:tcW w:w="1083" w:type="dxa"/>
            <w:tcMar>
              <w:left w:w="57" w:type="dxa"/>
              <w:right w:w="28" w:type="dxa"/>
            </w:tcMar>
          </w:tcPr>
          <w:p w14:paraId="50A09F98" w14:textId="77777777" w:rsidR="009563B4" w:rsidRPr="00463F77" w:rsidRDefault="009563B4" w:rsidP="00463F77">
            <w:pPr>
              <w:rPr>
                <w:rFonts w:asciiTheme="minorHAnsi" w:hAnsiTheme="minorHAnsi" w:cstheme="minorHAnsi"/>
                <w:sz w:val="18"/>
                <w:szCs w:val="18"/>
              </w:rPr>
            </w:pPr>
            <w:r w:rsidRPr="00463F77">
              <w:rPr>
                <w:rFonts w:asciiTheme="minorHAnsi" w:hAnsiTheme="minorHAnsi" w:cstheme="minorHAnsi"/>
                <w:sz w:val="18"/>
                <w:szCs w:val="18"/>
              </w:rPr>
              <w:t>Key, Primary or Secondary</w:t>
            </w:r>
          </w:p>
        </w:tc>
      </w:tr>
      <w:tr w:rsidR="009563B4" w:rsidRPr="00CE1EA7" w14:paraId="4FC66FCE" w14:textId="77777777" w:rsidTr="3764D022">
        <w:trPr>
          <w:trHeight w:val="89"/>
        </w:trPr>
        <w:tc>
          <w:tcPr>
            <w:tcW w:w="1129" w:type="dxa"/>
            <w:tcMar>
              <w:left w:w="57" w:type="dxa"/>
              <w:right w:w="28" w:type="dxa"/>
            </w:tcMar>
          </w:tcPr>
          <w:p w14:paraId="58B6FEC0" w14:textId="4D4CF42F" w:rsidR="009563B4" w:rsidRPr="00463F77" w:rsidRDefault="009563B4" w:rsidP="00463F77">
            <w:pPr>
              <w:rPr>
                <w:rFonts w:asciiTheme="minorHAnsi" w:hAnsiTheme="minorHAnsi" w:cstheme="minorHAnsi"/>
                <w:b/>
                <w:bCs/>
                <w:sz w:val="18"/>
                <w:szCs w:val="18"/>
              </w:rPr>
            </w:pPr>
            <w:r w:rsidRPr="00463F77">
              <w:rPr>
                <w:rFonts w:asciiTheme="minorHAnsi" w:hAnsiTheme="minorHAnsi" w:cstheme="minorHAnsi"/>
                <w:b/>
                <w:bCs/>
                <w:sz w:val="18"/>
                <w:szCs w:val="18"/>
              </w:rPr>
              <w:t>Academic and research institutes</w:t>
            </w:r>
          </w:p>
        </w:tc>
        <w:tc>
          <w:tcPr>
            <w:tcW w:w="6804" w:type="dxa"/>
            <w:tcMar>
              <w:left w:w="57" w:type="dxa"/>
              <w:right w:w="28" w:type="dxa"/>
            </w:tcMar>
          </w:tcPr>
          <w:p w14:paraId="69324D7C" w14:textId="1C4093A1" w:rsidR="009563B4" w:rsidRPr="00463F77" w:rsidRDefault="009563B4" w:rsidP="00D47BE7">
            <w:pPr>
              <w:jc w:val="both"/>
              <w:rPr>
                <w:rFonts w:asciiTheme="minorHAnsi" w:hAnsiTheme="minorHAnsi" w:cstheme="minorHAnsi"/>
                <w:sz w:val="18"/>
                <w:szCs w:val="18"/>
              </w:rPr>
            </w:pPr>
            <w:r w:rsidRPr="00463F77">
              <w:rPr>
                <w:rFonts w:asciiTheme="minorHAnsi" w:hAnsiTheme="minorHAnsi" w:cstheme="minorHAnsi"/>
                <w:sz w:val="18"/>
                <w:szCs w:val="18"/>
              </w:rPr>
              <w:t>Where applicable, project’s activities will be developed in cooperation with local research institutions. The potential academic and research institutes for this project at local level can include the Institute Polytechnic of Ondjiva in Cunene, Institute Polytechnic of Environment 31th of January, University Cuíto Cuanavale in Cuando Cubango and others.</w:t>
            </w:r>
          </w:p>
        </w:tc>
        <w:tc>
          <w:tcPr>
            <w:tcW w:w="1083" w:type="dxa"/>
            <w:tcMar>
              <w:left w:w="57" w:type="dxa"/>
              <w:right w:w="28" w:type="dxa"/>
            </w:tcMar>
          </w:tcPr>
          <w:p w14:paraId="49D371ED" w14:textId="77777777" w:rsidR="009563B4" w:rsidRPr="00463F77" w:rsidRDefault="009563B4" w:rsidP="00463F77">
            <w:pPr>
              <w:rPr>
                <w:rFonts w:asciiTheme="minorHAnsi" w:hAnsiTheme="minorHAnsi" w:cstheme="minorHAnsi"/>
                <w:sz w:val="18"/>
                <w:szCs w:val="18"/>
              </w:rPr>
            </w:pPr>
            <w:r w:rsidRPr="00463F77">
              <w:rPr>
                <w:rFonts w:asciiTheme="minorHAnsi" w:hAnsiTheme="minorHAnsi" w:cstheme="minorHAnsi"/>
                <w:sz w:val="18"/>
                <w:szCs w:val="18"/>
              </w:rPr>
              <w:t>Secondary</w:t>
            </w:r>
          </w:p>
        </w:tc>
      </w:tr>
      <w:tr w:rsidR="009563B4" w:rsidRPr="00CE1EA7" w14:paraId="1B2EDBB3" w14:textId="77777777" w:rsidTr="3764D022">
        <w:trPr>
          <w:trHeight w:val="89"/>
        </w:trPr>
        <w:tc>
          <w:tcPr>
            <w:tcW w:w="1129" w:type="dxa"/>
            <w:tcMar>
              <w:left w:w="57" w:type="dxa"/>
              <w:right w:w="28" w:type="dxa"/>
            </w:tcMar>
          </w:tcPr>
          <w:p w14:paraId="0ABC2275" w14:textId="77777777" w:rsidR="009563B4" w:rsidRPr="00463F77" w:rsidRDefault="009563B4" w:rsidP="00463F77">
            <w:pPr>
              <w:rPr>
                <w:rFonts w:asciiTheme="minorHAnsi" w:hAnsiTheme="minorHAnsi" w:cstheme="minorHAnsi"/>
                <w:b/>
                <w:bCs/>
                <w:sz w:val="18"/>
                <w:szCs w:val="18"/>
              </w:rPr>
            </w:pPr>
            <w:r w:rsidRPr="00463F77">
              <w:rPr>
                <w:rFonts w:asciiTheme="minorHAnsi" w:hAnsiTheme="minorHAnsi" w:cstheme="minorHAnsi"/>
                <w:b/>
                <w:bCs/>
                <w:sz w:val="18"/>
                <w:szCs w:val="18"/>
              </w:rPr>
              <w:t>Entrepreneurs in relevant domains</w:t>
            </w:r>
          </w:p>
        </w:tc>
        <w:tc>
          <w:tcPr>
            <w:tcW w:w="6804" w:type="dxa"/>
            <w:tcMar>
              <w:left w:w="57" w:type="dxa"/>
              <w:right w:w="28" w:type="dxa"/>
            </w:tcMar>
          </w:tcPr>
          <w:p w14:paraId="6E829634" w14:textId="77777777" w:rsidR="009563B4" w:rsidRPr="00463F77" w:rsidRDefault="009563B4" w:rsidP="00D47BE7">
            <w:pPr>
              <w:jc w:val="both"/>
              <w:rPr>
                <w:rFonts w:asciiTheme="minorHAnsi" w:hAnsiTheme="minorHAnsi" w:cstheme="minorHAnsi"/>
                <w:sz w:val="18"/>
                <w:szCs w:val="18"/>
              </w:rPr>
            </w:pPr>
            <w:r w:rsidRPr="00463F77">
              <w:rPr>
                <w:rFonts w:asciiTheme="minorHAnsi" w:hAnsiTheme="minorHAnsi" w:cstheme="minorHAnsi"/>
                <w:sz w:val="18"/>
                <w:szCs w:val="18"/>
              </w:rPr>
              <w:t>Entrepreneurs providing services or products that can contribute to SLM/SFM and to the diversification of rural economy have an interest in the sustainability of the resources base of rural areas and could contribute to SLM/SFM through their businesses.</w:t>
            </w:r>
          </w:p>
        </w:tc>
        <w:tc>
          <w:tcPr>
            <w:tcW w:w="1083" w:type="dxa"/>
            <w:tcMar>
              <w:left w:w="57" w:type="dxa"/>
              <w:right w:w="28" w:type="dxa"/>
            </w:tcMar>
          </w:tcPr>
          <w:p w14:paraId="22C92F78" w14:textId="77777777" w:rsidR="009563B4" w:rsidRPr="00463F77" w:rsidRDefault="009563B4" w:rsidP="00463F77">
            <w:pPr>
              <w:rPr>
                <w:rFonts w:asciiTheme="minorHAnsi" w:hAnsiTheme="minorHAnsi" w:cstheme="minorHAnsi"/>
                <w:sz w:val="18"/>
                <w:szCs w:val="18"/>
              </w:rPr>
            </w:pPr>
            <w:r w:rsidRPr="00463F77">
              <w:rPr>
                <w:rFonts w:asciiTheme="minorHAnsi" w:hAnsiTheme="minorHAnsi" w:cstheme="minorHAnsi"/>
                <w:sz w:val="18"/>
                <w:szCs w:val="18"/>
              </w:rPr>
              <w:t>Secondary</w:t>
            </w:r>
          </w:p>
        </w:tc>
      </w:tr>
    </w:tbl>
    <w:p w14:paraId="370D704E" w14:textId="199A2E0A" w:rsidR="008446D2" w:rsidRDefault="008446D2" w:rsidP="008446D2">
      <w:pPr>
        <w:rPr>
          <w:lang w:val="en-US" w:eastAsia="en-US"/>
        </w:rPr>
      </w:pPr>
    </w:p>
    <w:p w14:paraId="56189D9E" w14:textId="69E12CC6" w:rsidR="003D20CD" w:rsidRDefault="003D20CD" w:rsidP="001667C6">
      <w:pPr>
        <w:pStyle w:val="ParagraphOED"/>
        <w:numPr>
          <w:ilvl w:val="0"/>
          <w:numId w:val="102"/>
        </w:numPr>
        <w:spacing w:after="160"/>
      </w:pPr>
      <w:r>
        <w:t xml:space="preserve">Different budget lines have been allocated to ensure the identified stakeholder are </w:t>
      </w:r>
      <w:r w:rsidR="009C41EF">
        <w:t xml:space="preserve">meaningfully </w:t>
      </w:r>
      <w:r>
        <w:t xml:space="preserve">involved </w:t>
      </w:r>
      <w:r w:rsidR="00C42029">
        <w:t xml:space="preserve">throughout </w:t>
      </w:r>
      <w:r>
        <w:t>decision making process. This includes several capacity development workshops at local, and regional levels, regular consultation meetings and surveys, communications strategy, among others.</w:t>
      </w:r>
      <w:r w:rsidR="003619D3">
        <w:t xml:space="preserve"> The engagement of the stakeholders related to lessons learned of other participant countries in the program will be made through regional exchange mechanism</w:t>
      </w:r>
      <w:r w:rsidR="0081690D">
        <w:t xml:space="preserve"> (REM)</w:t>
      </w:r>
      <w:r w:rsidR="003619D3">
        <w:t>.</w:t>
      </w:r>
    </w:p>
    <w:p w14:paraId="0963A9DE" w14:textId="340CC107" w:rsidR="003D20CD" w:rsidRDefault="003D20CD" w:rsidP="001667C6">
      <w:pPr>
        <w:pStyle w:val="ParagraphOED"/>
        <w:numPr>
          <w:ilvl w:val="0"/>
          <w:numId w:val="102"/>
        </w:numPr>
        <w:spacing w:after="160"/>
      </w:pPr>
      <w:r>
        <w:t>The results framework has been structured to include indicators that ensure stakeholder participation</w:t>
      </w:r>
      <w:r w:rsidR="003D3BDE">
        <w:t xml:space="preserve"> </w:t>
      </w:r>
      <w:r w:rsidR="002A235D">
        <w:t>in all component</w:t>
      </w:r>
      <w:r w:rsidR="00745F08">
        <w:t>s of the project</w:t>
      </w:r>
      <w:r w:rsidR="00DF7CD0">
        <w:t xml:space="preserve"> (see Annex A1)</w:t>
      </w:r>
      <w:r w:rsidR="00745F08">
        <w:t>.</w:t>
      </w:r>
      <w:r w:rsidR="00BA6F0F">
        <w:t xml:space="preserve"> The engagement of national and local institutions </w:t>
      </w:r>
      <w:r w:rsidR="004B089F">
        <w:t xml:space="preserve">is </w:t>
      </w:r>
      <w:r w:rsidR="00FF1AEC">
        <w:t xml:space="preserve">also </w:t>
      </w:r>
      <w:r w:rsidR="00BA6F0F">
        <w:t xml:space="preserve">reflected in </w:t>
      </w:r>
      <w:r w:rsidR="007865B1">
        <w:t xml:space="preserve">the </w:t>
      </w:r>
      <w:r w:rsidR="00BA6F0F">
        <w:t xml:space="preserve">results of institutional capacity </w:t>
      </w:r>
      <w:r w:rsidR="00743A10">
        <w:t xml:space="preserve">development, </w:t>
      </w:r>
      <w:r w:rsidR="00BA6F0F">
        <w:t>strengthening of policy, regulatory and planning frameworks. At local level, the communities, farmers, entrepreneurs will be engaged through FFS, FFF as main actors in sustainable</w:t>
      </w:r>
      <w:r w:rsidR="00072596">
        <w:t xml:space="preserve"> land</w:t>
      </w:r>
      <w:r w:rsidR="00BA6F0F">
        <w:t xml:space="preserve"> management of drylands. At </w:t>
      </w:r>
      <w:r w:rsidR="00072596">
        <w:t>landscape level, the development and implementation o</w:t>
      </w:r>
      <w:r w:rsidR="00024864">
        <w:t>f</w:t>
      </w:r>
      <w:r w:rsidR="00072596">
        <w:t xml:space="preserve"> </w:t>
      </w:r>
      <w:r w:rsidR="007E2D8E">
        <w:t xml:space="preserve">integrated </w:t>
      </w:r>
      <w:r w:rsidR="00072596">
        <w:t>land use</w:t>
      </w:r>
      <w:r w:rsidR="00024864">
        <w:t xml:space="preserve"> plans will involve extensive consultation of local stakeholders. At the r</w:t>
      </w:r>
      <w:r w:rsidR="00BA6F0F">
        <w:t>egional level, the engagement of stakeholders will be through transboundary approaches as LDN dialogue platforms, intergovernmental agreements and sharing of lessons learned.</w:t>
      </w:r>
    </w:p>
    <w:p w14:paraId="024521F6" w14:textId="00EC2435" w:rsidR="00070A1F" w:rsidRPr="00070A1F" w:rsidRDefault="00070A1F" w:rsidP="001667C6">
      <w:pPr>
        <w:pStyle w:val="ParagraphOED"/>
        <w:numPr>
          <w:ilvl w:val="0"/>
          <w:numId w:val="102"/>
        </w:numPr>
        <w:spacing w:after="160"/>
      </w:pPr>
      <w:r>
        <w:t>The PMU</w:t>
      </w:r>
      <w:r w:rsidR="00EB0B3A">
        <w:t xml:space="preserve"> </w:t>
      </w:r>
      <w:r>
        <w:t xml:space="preserve">will be responsible for implementing </w:t>
      </w:r>
      <w:r w:rsidR="0030764C">
        <w:t xml:space="preserve">all </w:t>
      </w:r>
      <w:r>
        <w:t xml:space="preserve">stakeholder engagement </w:t>
      </w:r>
      <w:r w:rsidR="007E2D8E">
        <w:t xml:space="preserve">activities </w:t>
      </w:r>
      <w:r w:rsidR="00B2375D">
        <w:t xml:space="preserve">including </w:t>
      </w:r>
      <w:r w:rsidR="00D056E1">
        <w:t xml:space="preserve">outlined in </w:t>
      </w:r>
      <w:r w:rsidR="00B2375D">
        <w:t xml:space="preserve">the </w:t>
      </w:r>
      <w:r>
        <w:t>Stakeholder Engagement Matrix</w:t>
      </w:r>
      <w:r w:rsidR="00B2375D">
        <w:t xml:space="preserve"> </w:t>
      </w:r>
      <w:r w:rsidR="00222ACF">
        <w:t>(Annex I2)</w:t>
      </w:r>
      <w:r>
        <w:t xml:space="preserve">. It will also be responsible for monitoring and reporting on stakeholder engagement through the annual project implementation reports (PIRs). Relevant tasks have been incorporated into the Terms of Reference of the project staff </w:t>
      </w:r>
      <w:r w:rsidR="00A40DE9">
        <w:t xml:space="preserve">and budged for accordingly </w:t>
      </w:r>
      <w:r>
        <w:t xml:space="preserve">(see Annex </w:t>
      </w:r>
      <w:r w:rsidR="19BEABCB">
        <w:t>M</w:t>
      </w:r>
      <w:r>
        <w:t xml:space="preserve">). </w:t>
      </w:r>
    </w:p>
    <w:p w14:paraId="57124C60" w14:textId="77777777" w:rsidR="003D20CD" w:rsidRPr="00070A1F" w:rsidRDefault="003D20CD" w:rsidP="001667C6">
      <w:pPr>
        <w:pStyle w:val="ParagraphOED"/>
        <w:numPr>
          <w:ilvl w:val="0"/>
          <w:numId w:val="102"/>
        </w:numPr>
        <w:spacing w:after="160"/>
      </w:pPr>
      <w:r>
        <w:t>In the annual PIRs, the PMU will report on the following indicators:</w:t>
      </w:r>
    </w:p>
    <w:p w14:paraId="7408DA23" w14:textId="77777777" w:rsidR="003D20CD" w:rsidRDefault="003D20CD" w:rsidP="001667C6">
      <w:pPr>
        <w:pStyle w:val="ListParagraph"/>
        <w:numPr>
          <w:ilvl w:val="0"/>
          <w:numId w:val="86"/>
        </w:numPr>
        <w:tabs>
          <w:tab w:val="left" w:pos="360"/>
        </w:tabs>
        <w:snapToGrid w:val="0"/>
        <w:spacing w:after="40"/>
        <w:textAlignment w:val="baseline"/>
        <w:rPr>
          <w:rFonts w:eastAsia="SimSun"/>
        </w:rPr>
      </w:pPr>
      <w:r w:rsidRPr="402E96EA">
        <w:rPr>
          <w:rFonts w:eastAsia="SimSun"/>
        </w:rPr>
        <w:t>Number of government agencies, civil society organizations, private sector, vulnerable groups and other stakeholder groups that have been involved in the project implementation phase.</w:t>
      </w:r>
    </w:p>
    <w:p w14:paraId="12A553B3" w14:textId="77777777" w:rsidR="003D20CD" w:rsidRDefault="003D20CD" w:rsidP="001667C6">
      <w:pPr>
        <w:pStyle w:val="ListParagraph"/>
        <w:numPr>
          <w:ilvl w:val="0"/>
          <w:numId w:val="86"/>
        </w:numPr>
        <w:tabs>
          <w:tab w:val="left" w:pos="360"/>
        </w:tabs>
        <w:snapToGrid w:val="0"/>
        <w:spacing w:after="40"/>
        <w:textAlignment w:val="baseline"/>
        <w:rPr>
          <w:rFonts w:eastAsia="SimSun"/>
        </w:rPr>
      </w:pPr>
      <w:r w:rsidRPr="402E96EA">
        <w:rPr>
          <w:rFonts w:eastAsia="SimSun"/>
        </w:rPr>
        <w:t>Number of engagements (such as meetings, workshops, official communications) with stakeholders during the project implementation phase.</w:t>
      </w:r>
    </w:p>
    <w:p w14:paraId="6B88AB8D" w14:textId="77777777" w:rsidR="003D20CD" w:rsidRDefault="003D20CD" w:rsidP="001667C6">
      <w:pPr>
        <w:pStyle w:val="ListParagraph"/>
        <w:numPr>
          <w:ilvl w:val="0"/>
          <w:numId w:val="86"/>
        </w:numPr>
        <w:tabs>
          <w:tab w:val="left" w:pos="360"/>
        </w:tabs>
        <w:snapToGrid w:val="0"/>
        <w:spacing w:after="40"/>
        <w:textAlignment w:val="baseline"/>
        <w:rPr>
          <w:rFonts w:eastAsia="SimSun"/>
        </w:rPr>
      </w:pPr>
      <w:r w:rsidRPr="402E96EA">
        <w:rPr>
          <w:rFonts w:eastAsia="SimSun"/>
        </w:rPr>
        <w:t>Number of grievances received and responded to/resolved.</w:t>
      </w:r>
    </w:p>
    <w:p w14:paraId="71C14C2C" w14:textId="34173D50" w:rsidR="009563B4" w:rsidRPr="007834C4" w:rsidRDefault="009563B4" w:rsidP="001667C6">
      <w:pPr>
        <w:pStyle w:val="Heading2"/>
        <w:numPr>
          <w:ilvl w:val="0"/>
          <w:numId w:val="65"/>
        </w:numPr>
        <w:shd w:val="clear" w:color="auto" w:fill="000000" w:themeFill="text1"/>
        <w:ind w:left="357" w:hanging="357"/>
        <w:jc w:val="center"/>
        <w:rPr>
          <w:rFonts w:ascii="Calibri" w:hAnsi="Calibri" w:cs="Calibri"/>
          <w:color w:val="FFFFFF" w:themeColor="background1"/>
          <w:sz w:val="24"/>
          <w:szCs w:val="24"/>
          <w:lang w:val="en-US"/>
        </w:rPr>
      </w:pPr>
      <w:bookmarkStart w:id="195" w:name="_Ref40734109"/>
      <w:bookmarkStart w:id="196" w:name="_Toc42027133"/>
      <w:bookmarkStart w:id="197" w:name="_Toc42262641"/>
      <w:bookmarkStart w:id="198" w:name="_Toc58398594"/>
      <w:bookmarkStart w:id="199" w:name="_Toc10554531"/>
      <w:bookmarkStart w:id="200" w:name="_Toc10554599"/>
      <w:bookmarkStart w:id="201" w:name="_Toc12612945"/>
      <w:r w:rsidRPr="007834C4">
        <w:rPr>
          <w:rFonts w:ascii="Calibri" w:hAnsi="Calibri" w:cs="Calibri"/>
          <w:color w:val="FFFFFF" w:themeColor="background1"/>
          <w:sz w:val="24"/>
          <w:szCs w:val="24"/>
          <w:lang w:val="en-US"/>
        </w:rPr>
        <w:t>Gender Equality and Women's Empowerment</w:t>
      </w:r>
      <w:bookmarkEnd w:id="195"/>
      <w:bookmarkEnd w:id="196"/>
      <w:bookmarkEnd w:id="197"/>
      <w:bookmarkEnd w:id="198"/>
    </w:p>
    <w:tbl>
      <w:tblPr>
        <w:tblStyle w:val="TableGrid"/>
        <w:tblW w:w="0" w:type="auto"/>
        <w:tblLook w:val="04A0" w:firstRow="1" w:lastRow="0" w:firstColumn="1" w:lastColumn="0" w:noHBand="0" w:noVBand="1"/>
      </w:tblPr>
      <w:tblGrid>
        <w:gridCol w:w="9016"/>
      </w:tblGrid>
      <w:tr w:rsidR="009563B4" w:rsidRPr="007834C4" w14:paraId="37A8B5B2" w14:textId="77777777" w:rsidTr="36822015">
        <w:tc>
          <w:tcPr>
            <w:tcW w:w="9016" w:type="dxa"/>
            <w:shd w:val="clear" w:color="auto" w:fill="auto"/>
          </w:tcPr>
          <w:p w14:paraId="10B788D0" w14:textId="0D1BE9D2" w:rsidR="009563B4" w:rsidRPr="00A73CA2" w:rsidRDefault="009563B4" w:rsidP="00E33464">
            <w:pPr>
              <w:pStyle w:val="GEFQuestion"/>
              <w:spacing w:line="264" w:lineRule="auto"/>
              <w:ind w:left="0"/>
              <w:rPr>
                <w:rFonts w:ascii="Calibri" w:hAnsi="Calibri" w:cs="Calibri"/>
                <w:sz w:val="18"/>
                <w:szCs w:val="18"/>
              </w:rPr>
            </w:pPr>
            <w:r w:rsidRPr="00A73CA2">
              <w:rPr>
                <w:rFonts w:ascii="Calibri" w:eastAsia="MS Mincho" w:hAnsi="Calibri" w:cs="Calibri"/>
                <w:sz w:val="18"/>
                <w:szCs w:val="18"/>
              </w:rPr>
              <w:t xml:space="preserve">Does the project expect to include any gender-responsive measures to address gender gaps or promote gender equality and women’s empowerment? </w:t>
            </w:r>
            <w:r w:rsidRPr="00A73CA2">
              <w:rPr>
                <w:rFonts w:ascii="Calibri" w:hAnsi="Calibri" w:cs="Calibri"/>
                <w:sz w:val="18"/>
                <w:szCs w:val="18"/>
              </w:rPr>
              <w:t xml:space="preserve">(yes </w:t>
            </w:r>
            <w:r w:rsidRPr="00A73CA2">
              <w:rPr>
                <w:rFonts w:ascii="Calibri" w:hAnsi="Calibri" w:cs="Calibri"/>
                <w:sz w:val="18"/>
                <w:szCs w:val="18"/>
              </w:rPr>
              <w:fldChar w:fldCharType="begin">
                <w:ffData>
                  <w:name w:val="incl_civil_yes"/>
                  <w:enabled/>
                  <w:calcOnExit w:val="0"/>
                  <w:checkBox>
                    <w:sizeAuto/>
                    <w:default w:val="1"/>
                  </w:checkBox>
                </w:ffData>
              </w:fldChar>
            </w:r>
            <w:r w:rsidRPr="00A73CA2">
              <w:rPr>
                <w:rFonts w:ascii="Calibri" w:hAnsi="Calibri" w:cs="Calibri"/>
                <w:sz w:val="18"/>
                <w:szCs w:val="18"/>
              </w:rPr>
              <w:instrText xml:space="preserve"> FORMCHECKBOX </w:instrText>
            </w:r>
            <w:r w:rsidR="000C73F8">
              <w:rPr>
                <w:rFonts w:ascii="Calibri" w:hAnsi="Calibri" w:cs="Calibri"/>
                <w:sz w:val="18"/>
                <w:szCs w:val="18"/>
              </w:rPr>
            </w:r>
            <w:r w:rsidR="000C73F8">
              <w:rPr>
                <w:rFonts w:ascii="Calibri" w:hAnsi="Calibri" w:cs="Calibri"/>
                <w:sz w:val="18"/>
                <w:szCs w:val="18"/>
              </w:rPr>
              <w:fldChar w:fldCharType="separate"/>
            </w:r>
            <w:r w:rsidRPr="00A73CA2">
              <w:rPr>
                <w:rFonts w:ascii="Calibri" w:hAnsi="Calibri" w:cs="Calibri"/>
                <w:sz w:val="18"/>
                <w:szCs w:val="18"/>
              </w:rPr>
              <w:fldChar w:fldCharType="end"/>
            </w:r>
            <w:r w:rsidRPr="00A73CA2">
              <w:rPr>
                <w:rFonts w:ascii="Calibri" w:hAnsi="Calibri" w:cs="Calibri"/>
                <w:sz w:val="18"/>
                <w:szCs w:val="18"/>
              </w:rPr>
              <w:t xml:space="preserve"> /no</w:t>
            </w:r>
            <w:r w:rsidRPr="00A73CA2">
              <w:rPr>
                <w:rFonts w:ascii="Calibri" w:hAnsi="Calibri" w:cs="Calibri"/>
                <w:sz w:val="18"/>
                <w:szCs w:val="18"/>
              </w:rPr>
              <w:fldChar w:fldCharType="begin">
                <w:ffData>
                  <w:name w:val="incl_civil_no"/>
                  <w:enabled/>
                  <w:calcOnExit w:val="0"/>
                  <w:checkBox>
                    <w:sizeAuto/>
                    <w:default w:val="0"/>
                  </w:checkBox>
                </w:ffData>
              </w:fldChar>
            </w:r>
            <w:r w:rsidRPr="00A73CA2">
              <w:rPr>
                <w:rFonts w:ascii="Calibri" w:hAnsi="Calibri" w:cs="Calibri"/>
                <w:sz w:val="18"/>
                <w:szCs w:val="18"/>
              </w:rPr>
              <w:instrText xml:space="preserve"> FORMCHECKBOX </w:instrText>
            </w:r>
            <w:r w:rsidR="000C73F8">
              <w:rPr>
                <w:rFonts w:ascii="Calibri" w:hAnsi="Calibri" w:cs="Calibri"/>
                <w:sz w:val="18"/>
                <w:szCs w:val="18"/>
              </w:rPr>
            </w:r>
            <w:r w:rsidR="000C73F8">
              <w:rPr>
                <w:rFonts w:ascii="Calibri" w:hAnsi="Calibri" w:cs="Calibri"/>
                <w:sz w:val="18"/>
                <w:szCs w:val="18"/>
              </w:rPr>
              <w:fldChar w:fldCharType="separate"/>
            </w:r>
            <w:r w:rsidRPr="00A73CA2">
              <w:rPr>
                <w:rFonts w:ascii="Calibri" w:hAnsi="Calibri" w:cs="Calibri"/>
                <w:sz w:val="18"/>
                <w:szCs w:val="18"/>
              </w:rPr>
              <w:fldChar w:fldCharType="end"/>
            </w:r>
            <w:r w:rsidRPr="00A73CA2">
              <w:rPr>
                <w:rFonts w:ascii="Calibri" w:hAnsi="Calibri" w:cs="Calibri"/>
                <w:sz w:val="18"/>
                <w:szCs w:val="18"/>
              </w:rPr>
              <w:t xml:space="preserve">) </w:t>
            </w:r>
            <w:r w:rsidR="00060054" w:rsidRPr="00A73CA2">
              <w:rPr>
                <w:rFonts w:ascii="Calibri" w:eastAsia="SimSun" w:hAnsi="Calibri" w:cs="Calibri"/>
                <w:b/>
                <w:bCs/>
                <w:i/>
                <w:iCs/>
                <w:sz w:val="18"/>
                <w:szCs w:val="18"/>
              </w:rPr>
              <w:t>Refer to Section</w:t>
            </w:r>
            <w:r w:rsidR="00F02DDC" w:rsidRPr="00A73CA2">
              <w:rPr>
                <w:rFonts w:ascii="Calibri" w:eastAsia="SimSun" w:hAnsi="Calibri" w:cs="Calibri"/>
                <w:b/>
                <w:bCs/>
                <w:i/>
                <w:iCs/>
                <w:sz w:val="18"/>
                <w:szCs w:val="18"/>
              </w:rPr>
              <w:t xml:space="preserve"> </w:t>
            </w:r>
            <w:r w:rsidR="00F02DDC" w:rsidRPr="00A73CA2">
              <w:rPr>
                <w:rStyle w:val="X-RefChar"/>
                <w:rFonts w:ascii="Calibri" w:hAnsi="Calibri" w:cs="Calibri"/>
                <w:i/>
                <w:color w:val="3333FF"/>
                <w:sz w:val="18"/>
                <w:szCs w:val="18"/>
              </w:rPr>
              <w:fldChar w:fldCharType="begin"/>
            </w:r>
            <w:r w:rsidR="00F02DDC" w:rsidRPr="00A73CA2">
              <w:rPr>
                <w:rStyle w:val="X-RefChar"/>
                <w:rFonts w:ascii="Calibri" w:hAnsi="Calibri" w:cs="Calibri"/>
                <w:i/>
                <w:color w:val="3333FF"/>
                <w:sz w:val="18"/>
                <w:szCs w:val="18"/>
              </w:rPr>
              <w:instrText xml:space="preserve"> REF _Ref34644321 \h  \* MERGEFORMAT </w:instrText>
            </w:r>
            <w:r w:rsidR="00F02DDC" w:rsidRPr="00A73CA2">
              <w:rPr>
                <w:rStyle w:val="X-RefChar"/>
                <w:rFonts w:ascii="Calibri" w:hAnsi="Calibri" w:cs="Calibri"/>
                <w:i/>
                <w:color w:val="3333FF"/>
                <w:sz w:val="18"/>
                <w:szCs w:val="18"/>
              </w:rPr>
            </w:r>
            <w:r w:rsidR="00F02DDC" w:rsidRPr="00A73CA2">
              <w:rPr>
                <w:rStyle w:val="X-RefChar"/>
                <w:rFonts w:ascii="Calibri" w:hAnsi="Calibri" w:cs="Calibri"/>
                <w:i/>
                <w:color w:val="3333FF"/>
                <w:sz w:val="18"/>
                <w:szCs w:val="18"/>
              </w:rPr>
              <w:fldChar w:fldCharType="separate"/>
            </w:r>
            <w:r w:rsidR="00A64193" w:rsidRPr="00A64193">
              <w:rPr>
                <w:rStyle w:val="X-RefChar"/>
                <w:rFonts w:ascii="Calibri" w:hAnsi="Calibri" w:cs="Calibri"/>
                <w:bCs/>
                <w:i/>
                <w:iCs/>
                <w:color w:val="3333FF"/>
                <w:sz w:val="18"/>
                <w:szCs w:val="18"/>
              </w:rPr>
              <w:t>3b. Gender Analysis and</w:t>
            </w:r>
            <w:r w:rsidR="00A64193">
              <w:rPr>
                <w:rFonts w:ascii="Calibri" w:hAnsi="Calibri" w:cs="Calibri"/>
                <w:color w:val="FFFFFF" w:themeColor="background1"/>
                <w:sz w:val="22"/>
                <w:szCs w:val="22"/>
                <w:highlight w:val="black"/>
              </w:rPr>
              <w:t xml:space="preserve"> </w:t>
            </w:r>
            <w:r w:rsidR="00A64193" w:rsidRPr="002325F8">
              <w:rPr>
                <w:rFonts w:ascii="Calibri" w:hAnsi="Calibri" w:cs="Calibri"/>
                <w:color w:val="FFFFFF" w:themeColor="background1"/>
                <w:sz w:val="22"/>
                <w:szCs w:val="22"/>
                <w:highlight w:val="black"/>
              </w:rPr>
              <w:t>Action Plan</w:t>
            </w:r>
            <w:r w:rsidR="00F02DDC" w:rsidRPr="00A73CA2">
              <w:rPr>
                <w:rStyle w:val="X-RefChar"/>
                <w:rFonts w:ascii="Calibri" w:hAnsi="Calibri" w:cs="Calibri"/>
                <w:i/>
                <w:color w:val="3333FF"/>
                <w:sz w:val="18"/>
                <w:szCs w:val="18"/>
              </w:rPr>
              <w:fldChar w:fldCharType="end"/>
            </w:r>
            <w:r w:rsidR="00F02DDC" w:rsidRPr="00A73CA2">
              <w:rPr>
                <w:rStyle w:val="X-RefChar"/>
                <w:rFonts w:ascii="Calibri" w:hAnsi="Calibri" w:cs="Calibri"/>
                <w:i/>
                <w:color w:val="3333FF"/>
                <w:sz w:val="18"/>
                <w:szCs w:val="18"/>
              </w:rPr>
              <w:t xml:space="preserve"> </w:t>
            </w:r>
          </w:p>
          <w:p w14:paraId="3E3CA592" w14:textId="51C85505" w:rsidR="009563B4" w:rsidRPr="007834C4" w:rsidRDefault="009563B4" w:rsidP="00486B69">
            <w:pPr>
              <w:tabs>
                <w:tab w:val="left" w:pos="1017"/>
              </w:tabs>
              <w:spacing w:before="80" w:line="264" w:lineRule="auto"/>
              <w:rPr>
                <w:rFonts w:ascii="Calibri" w:hAnsi="Calibri" w:cs="Calibri"/>
                <w:b/>
                <w:bCs/>
                <w:color w:val="808080" w:themeColor="background1" w:themeShade="80"/>
                <w:sz w:val="21"/>
                <w:szCs w:val="21"/>
                <w:highlight w:val="lightGray"/>
              </w:rPr>
            </w:pPr>
            <w:r w:rsidRPr="00F02DDC">
              <w:rPr>
                <w:rFonts w:ascii="Calibri" w:hAnsi="Calibri" w:cs="Calibri"/>
                <w:b/>
                <w:bCs/>
                <w:sz w:val="15"/>
                <w:szCs w:val="15"/>
                <w:u w:val="single"/>
              </w:rPr>
              <w:t>Sources</w:t>
            </w:r>
            <w:r w:rsidR="1D294DD3" w:rsidRPr="00BF2D7B">
              <w:rPr>
                <w:rFonts w:ascii="Calibri" w:hAnsi="Calibri" w:cs="Calibri"/>
                <w:sz w:val="15"/>
                <w:szCs w:val="15"/>
              </w:rPr>
              <w:t>.</w:t>
            </w:r>
            <w:r w:rsidR="00E83A36" w:rsidRPr="00BF2D7B">
              <w:rPr>
                <w:rStyle w:val="FootnoteReference"/>
                <w:rFonts w:ascii="Calibri" w:hAnsi="Calibri" w:cs="Calibri"/>
                <w:sz w:val="15"/>
                <w:szCs w:val="15"/>
              </w:rPr>
              <w:footnoteReference w:id="96"/>
            </w:r>
            <w:r w:rsidR="5097A9A9" w:rsidRPr="007834C4">
              <w:rPr>
                <w:rFonts w:ascii="Calibri" w:hAnsi="Calibri" w:cs="Calibri"/>
                <w:sz w:val="21"/>
                <w:szCs w:val="21"/>
              </w:rPr>
              <w:t xml:space="preserve"> </w:t>
            </w:r>
          </w:p>
        </w:tc>
      </w:tr>
      <w:tr w:rsidR="009563B4" w:rsidRPr="007834C4" w14:paraId="3FD6E8ED" w14:textId="77777777" w:rsidTr="36822015">
        <w:tblPrEx>
          <w:jc w:val="center"/>
        </w:tblPrEx>
        <w:trPr>
          <w:jc w:val="center"/>
        </w:trPr>
        <w:tc>
          <w:tcPr>
            <w:tcW w:w="9016" w:type="dxa"/>
            <w:shd w:val="clear" w:color="auto" w:fill="auto"/>
          </w:tcPr>
          <w:p w14:paraId="5E4F3778" w14:textId="77777777" w:rsidR="009563B4" w:rsidRPr="00A73CA2" w:rsidRDefault="009563B4" w:rsidP="00E33464">
            <w:pPr>
              <w:pStyle w:val="GEFQuestion"/>
              <w:spacing w:line="264" w:lineRule="auto"/>
              <w:ind w:left="0"/>
              <w:rPr>
                <w:rFonts w:ascii="Calibri" w:eastAsia="MS Mincho" w:hAnsi="Calibri" w:cs="Calibri"/>
                <w:sz w:val="18"/>
                <w:szCs w:val="18"/>
              </w:rPr>
            </w:pPr>
            <w:r w:rsidRPr="00A73CA2">
              <w:rPr>
                <w:rFonts w:ascii="Calibri" w:eastAsia="MS Mincho" w:hAnsi="Calibri" w:cs="Calibri"/>
                <w:sz w:val="18"/>
                <w:szCs w:val="18"/>
              </w:rPr>
              <w:lastRenderedPageBreak/>
              <w:t xml:space="preserve">If possible, indicate in which results area(s) the project is expected to contribute to </w:t>
            </w:r>
            <w:r w:rsidRPr="00A73CA2">
              <w:rPr>
                <w:rFonts w:ascii="Calibri" w:eastAsia="MS Mincho" w:hAnsi="Calibri" w:cs="Calibri"/>
                <w:b/>
                <w:bCs/>
                <w:sz w:val="18"/>
                <w:szCs w:val="18"/>
                <w:u w:val="single"/>
              </w:rPr>
              <w:t>Gender Equality</w:t>
            </w:r>
            <w:r w:rsidRPr="00A73CA2">
              <w:rPr>
                <w:rFonts w:ascii="Calibri" w:eastAsia="MS Mincho" w:hAnsi="Calibri" w:cs="Calibri"/>
                <w:sz w:val="18"/>
                <w:szCs w:val="18"/>
              </w:rPr>
              <w:t xml:space="preserve">: </w:t>
            </w:r>
          </w:p>
          <w:p w14:paraId="1940698F" w14:textId="77777777" w:rsidR="009563B4" w:rsidRPr="00A73CA2" w:rsidRDefault="009563B4" w:rsidP="00E33464">
            <w:pPr>
              <w:pStyle w:val="GEFQuestion"/>
              <w:spacing w:line="264" w:lineRule="auto"/>
              <w:ind w:left="0"/>
              <w:rPr>
                <w:rFonts w:ascii="Calibri" w:eastAsia="MS Mincho" w:hAnsi="Calibri" w:cs="Calibri"/>
                <w:sz w:val="18"/>
                <w:szCs w:val="18"/>
              </w:rPr>
            </w:pPr>
            <w:r w:rsidRPr="00A73CA2">
              <w:rPr>
                <w:rFonts w:ascii="Calibri" w:hAnsi="Calibri" w:cs="Calibri"/>
                <w:sz w:val="18"/>
                <w:szCs w:val="18"/>
              </w:rPr>
              <w:fldChar w:fldCharType="begin">
                <w:ffData>
                  <w:name w:val="incl_civil_yes"/>
                  <w:enabled/>
                  <w:calcOnExit w:val="0"/>
                  <w:checkBox>
                    <w:sizeAuto/>
                    <w:default w:val="1"/>
                  </w:checkBox>
                </w:ffData>
              </w:fldChar>
            </w:r>
            <w:r w:rsidRPr="00A73CA2">
              <w:rPr>
                <w:rFonts w:ascii="Calibri" w:hAnsi="Calibri" w:cs="Calibri"/>
                <w:sz w:val="18"/>
                <w:szCs w:val="18"/>
              </w:rPr>
              <w:instrText xml:space="preserve"> FORMCHECKBOX </w:instrText>
            </w:r>
            <w:r w:rsidR="000C73F8">
              <w:rPr>
                <w:rFonts w:ascii="Calibri" w:hAnsi="Calibri" w:cs="Calibri"/>
                <w:sz w:val="18"/>
                <w:szCs w:val="18"/>
              </w:rPr>
            </w:r>
            <w:r w:rsidR="000C73F8">
              <w:rPr>
                <w:rFonts w:ascii="Calibri" w:hAnsi="Calibri" w:cs="Calibri"/>
                <w:sz w:val="18"/>
                <w:szCs w:val="18"/>
              </w:rPr>
              <w:fldChar w:fldCharType="separate"/>
            </w:r>
            <w:r w:rsidRPr="00A73CA2">
              <w:rPr>
                <w:rFonts w:ascii="Calibri" w:hAnsi="Calibri" w:cs="Calibri"/>
                <w:sz w:val="18"/>
                <w:szCs w:val="18"/>
              </w:rPr>
              <w:fldChar w:fldCharType="end"/>
            </w:r>
            <w:r w:rsidRPr="00A73CA2">
              <w:rPr>
                <w:rFonts w:ascii="Calibri" w:hAnsi="Calibri" w:cs="Calibri"/>
                <w:sz w:val="18"/>
                <w:szCs w:val="18"/>
              </w:rPr>
              <w:t xml:space="preserve"> closing gender gaps in </w:t>
            </w:r>
            <w:r w:rsidRPr="00A73CA2">
              <w:rPr>
                <w:rFonts w:ascii="Calibri" w:eastAsia="MS Mincho" w:hAnsi="Calibri" w:cs="Calibri"/>
                <w:sz w:val="18"/>
                <w:szCs w:val="18"/>
              </w:rPr>
              <w:t xml:space="preserve">access to and control over natural resources; </w:t>
            </w:r>
          </w:p>
          <w:p w14:paraId="571E5DBA" w14:textId="77777777" w:rsidR="009563B4" w:rsidRPr="00A73CA2" w:rsidRDefault="009563B4" w:rsidP="00E33464">
            <w:pPr>
              <w:pStyle w:val="GEFQuestion"/>
              <w:spacing w:line="264" w:lineRule="auto"/>
              <w:ind w:left="0"/>
              <w:rPr>
                <w:rFonts w:ascii="Calibri" w:eastAsia="MS Mincho" w:hAnsi="Calibri" w:cs="Calibri"/>
                <w:sz w:val="18"/>
                <w:szCs w:val="18"/>
              </w:rPr>
            </w:pPr>
            <w:r w:rsidRPr="00A73CA2">
              <w:rPr>
                <w:rFonts w:ascii="Calibri" w:hAnsi="Calibri" w:cs="Calibri"/>
                <w:sz w:val="18"/>
                <w:szCs w:val="18"/>
              </w:rPr>
              <w:fldChar w:fldCharType="begin">
                <w:ffData>
                  <w:name w:val="incl_civil_yes"/>
                  <w:enabled/>
                  <w:calcOnExit w:val="0"/>
                  <w:checkBox>
                    <w:sizeAuto/>
                    <w:default w:val="1"/>
                  </w:checkBox>
                </w:ffData>
              </w:fldChar>
            </w:r>
            <w:r w:rsidRPr="00A73CA2">
              <w:rPr>
                <w:rFonts w:ascii="Calibri" w:hAnsi="Calibri" w:cs="Calibri"/>
                <w:sz w:val="18"/>
                <w:szCs w:val="18"/>
              </w:rPr>
              <w:instrText xml:space="preserve"> FORMCHECKBOX </w:instrText>
            </w:r>
            <w:r w:rsidR="000C73F8">
              <w:rPr>
                <w:rFonts w:ascii="Calibri" w:hAnsi="Calibri" w:cs="Calibri"/>
                <w:sz w:val="18"/>
                <w:szCs w:val="18"/>
              </w:rPr>
            </w:r>
            <w:r w:rsidR="000C73F8">
              <w:rPr>
                <w:rFonts w:ascii="Calibri" w:hAnsi="Calibri" w:cs="Calibri"/>
                <w:sz w:val="18"/>
                <w:szCs w:val="18"/>
              </w:rPr>
              <w:fldChar w:fldCharType="separate"/>
            </w:r>
            <w:r w:rsidRPr="00A73CA2">
              <w:rPr>
                <w:rFonts w:ascii="Calibri" w:hAnsi="Calibri" w:cs="Calibri"/>
                <w:sz w:val="18"/>
                <w:szCs w:val="18"/>
              </w:rPr>
              <w:fldChar w:fldCharType="end"/>
            </w:r>
            <w:r w:rsidRPr="00A73CA2">
              <w:rPr>
                <w:rFonts w:ascii="Calibri" w:hAnsi="Calibri" w:cs="Calibri"/>
                <w:sz w:val="18"/>
                <w:szCs w:val="18"/>
              </w:rPr>
              <w:t xml:space="preserve"> improving women’s </w:t>
            </w:r>
            <w:r w:rsidRPr="00A73CA2">
              <w:rPr>
                <w:rFonts w:ascii="Calibri" w:eastAsia="MS Mincho" w:hAnsi="Calibri" w:cs="Calibri"/>
                <w:sz w:val="18"/>
                <w:szCs w:val="18"/>
              </w:rPr>
              <w:t xml:space="preserve">participation and decision making; and or </w:t>
            </w:r>
          </w:p>
          <w:p w14:paraId="42FE8D0D" w14:textId="77777777" w:rsidR="009563B4" w:rsidRPr="00A73CA2" w:rsidRDefault="009563B4" w:rsidP="00E33464">
            <w:pPr>
              <w:pStyle w:val="GEFQuestion"/>
              <w:spacing w:line="264" w:lineRule="auto"/>
              <w:ind w:left="0"/>
              <w:rPr>
                <w:rFonts w:ascii="Calibri" w:eastAsia="MS Mincho" w:hAnsi="Calibri" w:cs="Calibri"/>
                <w:sz w:val="18"/>
                <w:szCs w:val="18"/>
              </w:rPr>
            </w:pPr>
            <w:r w:rsidRPr="00A73CA2">
              <w:rPr>
                <w:rFonts w:ascii="Calibri" w:hAnsi="Calibri" w:cs="Calibri"/>
                <w:sz w:val="18"/>
                <w:szCs w:val="18"/>
              </w:rPr>
              <w:fldChar w:fldCharType="begin">
                <w:ffData>
                  <w:name w:val="incl_civil_yes"/>
                  <w:enabled/>
                  <w:calcOnExit w:val="0"/>
                  <w:checkBox>
                    <w:sizeAuto/>
                    <w:default w:val="1"/>
                  </w:checkBox>
                </w:ffData>
              </w:fldChar>
            </w:r>
            <w:r w:rsidRPr="00A73CA2">
              <w:rPr>
                <w:rFonts w:ascii="Calibri" w:hAnsi="Calibri" w:cs="Calibri"/>
                <w:sz w:val="18"/>
                <w:szCs w:val="18"/>
              </w:rPr>
              <w:instrText xml:space="preserve"> FORMCHECKBOX </w:instrText>
            </w:r>
            <w:r w:rsidR="000C73F8">
              <w:rPr>
                <w:rFonts w:ascii="Calibri" w:hAnsi="Calibri" w:cs="Calibri"/>
                <w:sz w:val="18"/>
                <w:szCs w:val="18"/>
              </w:rPr>
            </w:r>
            <w:r w:rsidR="000C73F8">
              <w:rPr>
                <w:rFonts w:ascii="Calibri" w:hAnsi="Calibri" w:cs="Calibri"/>
                <w:sz w:val="18"/>
                <w:szCs w:val="18"/>
              </w:rPr>
              <w:fldChar w:fldCharType="separate"/>
            </w:r>
            <w:r w:rsidRPr="00A73CA2">
              <w:rPr>
                <w:rFonts w:ascii="Calibri" w:hAnsi="Calibri" w:cs="Calibri"/>
                <w:sz w:val="18"/>
                <w:szCs w:val="18"/>
              </w:rPr>
              <w:fldChar w:fldCharType="end"/>
            </w:r>
            <w:r w:rsidRPr="00A73CA2">
              <w:rPr>
                <w:rFonts w:ascii="Calibri" w:hAnsi="Calibri" w:cs="Calibri"/>
                <w:sz w:val="18"/>
                <w:szCs w:val="18"/>
              </w:rPr>
              <w:t xml:space="preserve"> generating socio-</w:t>
            </w:r>
            <w:r w:rsidRPr="00A73CA2">
              <w:rPr>
                <w:rFonts w:ascii="Calibri" w:eastAsia="MS Mincho" w:hAnsi="Calibri" w:cs="Calibri"/>
                <w:sz w:val="18"/>
                <w:szCs w:val="18"/>
              </w:rPr>
              <w:t xml:space="preserve">economic benefits or services for women. </w:t>
            </w:r>
          </w:p>
          <w:p w14:paraId="3F6C7BD1" w14:textId="287A29FE" w:rsidR="009563B4" w:rsidRPr="00A73CA2" w:rsidRDefault="009563B4" w:rsidP="00060054">
            <w:pPr>
              <w:pStyle w:val="GEFQuestion"/>
              <w:spacing w:line="264" w:lineRule="auto"/>
              <w:ind w:left="0"/>
              <w:rPr>
                <w:sz w:val="18"/>
                <w:szCs w:val="18"/>
              </w:rPr>
            </w:pPr>
            <w:r w:rsidRPr="00A73CA2">
              <w:rPr>
                <w:rFonts w:ascii="Calibri" w:eastAsia="MS Mincho" w:hAnsi="Calibri" w:cs="Calibri"/>
                <w:sz w:val="18"/>
                <w:szCs w:val="18"/>
              </w:rPr>
              <w:t xml:space="preserve">Does the project's results framework or logical framework include gender-sensitive indicators? </w:t>
            </w:r>
            <w:r w:rsidRPr="00A73CA2">
              <w:rPr>
                <w:rFonts w:ascii="Calibri" w:hAnsi="Calibri" w:cs="Calibri"/>
                <w:sz w:val="18"/>
                <w:szCs w:val="18"/>
              </w:rPr>
              <w:t xml:space="preserve">(yes </w:t>
            </w:r>
            <w:r w:rsidRPr="00A73CA2">
              <w:rPr>
                <w:rFonts w:ascii="Calibri" w:hAnsi="Calibri" w:cs="Calibri"/>
                <w:sz w:val="18"/>
                <w:szCs w:val="18"/>
              </w:rPr>
              <w:fldChar w:fldCharType="begin">
                <w:ffData>
                  <w:name w:val=""/>
                  <w:enabled/>
                  <w:calcOnExit w:val="0"/>
                  <w:checkBox>
                    <w:sizeAuto/>
                    <w:default w:val="1"/>
                  </w:checkBox>
                </w:ffData>
              </w:fldChar>
            </w:r>
            <w:r w:rsidRPr="00A73CA2">
              <w:rPr>
                <w:rFonts w:ascii="Calibri" w:hAnsi="Calibri" w:cs="Calibri"/>
                <w:sz w:val="18"/>
                <w:szCs w:val="18"/>
              </w:rPr>
              <w:instrText xml:space="preserve"> FORMCHECKBOX </w:instrText>
            </w:r>
            <w:r w:rsidR="000C73F8">
              <w:rPr>
                <w:rFonts w:ascii="Calibri" w:hAnsi="Calibri" w:cs="Calibri"/>
                <w:sz w:val="18"/>
                <w:szCs w:val="18"/>
              </w:rPr>
            </w:r>
            <w:r w:rsidR="000C73F8">
              <w:rPr>
                <w:rFonts w:ascii="Calibri" w:hAnsi="Calibri" w:cs="Calibri"/>
                <w:sz w:val="18"/>
                <w:szCs w:val="18"/>
              </w:rPr>
              <w:fldChar w:fldCharType="separate"/>
            </w:r>
            <w:r w:rsidRPr="00A73CA2">
              <w:rPr>
                <w:rFonts w:ascii="Calibri" w:hAnsi="Calibri" w:cs="Calibri"/>
                <w:sz w:val="18"/>
                <w:szCs w:val="18"/>
              </w:rPr>
              <w:fldChar w:fldCharType="end"/>
            </w:r>
            <w:r w:rsidRPr="00A73CA2">
              <w:rPr>
                <w:rFonts w:ascii="Calibri" w:hAnsi="Calibri" w:cs="Calibri"/>
                <w:sz w:val="18"/>
                <w:szCs w:val="18"/>
              </w:rPr>
              <w:t xml:space="preserve"> /no</w:t>
            </w:r>
            <w:r w:rsidRPr="00A73CA2">
              <w:rPr>
                <w:rFonts w:ascii="Calibri" w:hAnsi="Calibri" w:cs="Calibri"/>
                <w:sz w:val="18"/>
                <w:szCs w:val="18"/>
              </w:rPr>
              <w:fldChar w:fldCharType="begin">
                <w:ffData>
                  <w:name w:val="incl_civil_no"/>
                  <w:enabled/>
                  <w:calcOnExit w:val="0"/>
                  <w:checkBox>
                    <w:sizeAuto/>
                    <w:default w:val="0"/>
                  </w:checkBox>
                </w:ffData>
              </w:fldChar>
            </w:r>
            <w:r w:rsidRPr="00A73CA2">
              <w:rPr>
                <w:rFonts w:ascii="Calibri" w:hAnsi="Calibri" w:cs="Calibri"/>
                <w:sz w:val="18"/>
                <w:szCs w:val="18"/>
              </w:rPr>
              <w:instrText xml:space="preserve"> FORMCHECKBOX </w:instrText>
            </w:r>
            <w:r w:rsidR="000C73F8">
              <w:rPr>
                <w:rFonts w:ascii="Calibri" w:hAnsi="Calibri" w:cs="Calibri"/>
                <w:sz w:val="18"/>
                <w:szCs w:val="18"/>
              </w:rPr>
            </w:r>
            <w:r w:rsidR="000C73F8">
              <w:rPr>
                <w:rFonts w:ascii="Calibri" w:hAnsi="Calibri" w:cs="Calibri"/>
                <w:sz w:val="18"/>
                <w:szCs w:val="18"/>
              </w:rPr>
              <w:fldChar w:fldCharType="separate"/>
            </w:r>
            <w:r w:rsidRPr="00A73CA2">
              <w:rPr>
                <w:rFonts w:ascii="Calibri" w:hAnsi="Calibri" w:cs="Calibri"/>
                <w:sz w:val="18"/>
                <w:szCs w:val="18"/>
              </w:rPr>
              <w:fldChar w:fldCharType="end"/>
            </w:r>
            <w:r w:rsidRPr="00A73CA2">
              <w:rPr>
                <w:rFonts w:ascii="Calibri" w:hAnsi="Calibri" w:cs="Calibri"/>
                <w:sz w:val="18"/>
                <w:szCs w:val="18"/>
              </w:rPr>
              <w:t>)</w:t>
            </w:r>
          </w:p>
        </w:tc>
      </w:tr>
    </w:tbl>
    <w:p w14:paraId="32B2AA6F" w14:textId="697CF4FA" w:rsidR="009563B4" w:rsidRPr="005A55FC" w:rsidRDefault="009563B4" w:rsidP="00ED5AE6">
      <w:pPr>
        <w:pStyle w:val="Heading3"/>
        <w:shd w:val="clear" w:color="auto" w:fill="FFFFFF" w:themeFill="background1"/>
        <w:spacing w:before="240"/>
        <w:jc w:val="left"/>
        <w:rPr>
          <w:rFonts w:ascii="Calibri" w:hAnsi="Calibri" w:cs="Calibri"/>
          <w:color w:val="FFFFFF" w:themeColor="background1"/>
          <w:sz w:val="22"/>
          <w:szCs w:val="22"/>
          <w:highlight w:val="black"/>
        </w:rPr>
      </w:pPr>
      <w:bookmarkStart w:id="202" w:name="_3a._Gender_Equality"/>
      <w:bookmarkStart w:id="203" w:name="_Toc422924587"/>
      <w:bookmarkStart w:id="204" w:name="_Toc42027135"/>
      <w:bookmarkStart w:id="205" w:name="_Toc42262643"/>
      <w:bookmarkEnd w:id="199"/>
      <w:bookmarkEnd w:id="200"/>
      <w:bookmarkEnd w:id="201"/>
      <w:bookmarkEnd w:id="202"/>
      <w:r w:rsidRPr="005A55FC">
        <w:rPr>
          <w:rFonts w:ascii="Calibri" w:hAnsi="Calibri" w:cs="Calibri"/>
          <w:color w:val="FFFFFF" w:themeColor="background1"/>
          <w:sz w:val="22"/>
          <w:szCs w:val="22"/>
          <w:highlight w:val="black"/>
        </w:rPr>
        <w:t xml:space="preserve">3a. </w:t>
      </w:r>
      <w:hyperlink r:id="rId88" w:history="1">
        <w:bookmarkStart w:id="206" w:name="_Toc19082669"/>
        <w:bookmarkStart w:id="207" w:name="_Toc529831807"/>
        <w:bookmarkStart w:id="208" w:name="_Toc526767887"/>
        <w:bookmarkEnd w:id="203"/>
        <w:r w:rsidRPr="005A55FC">
          <w:rPr>
            <w:rFonts w:ascii="Calibri" w:hAnsi="Calibri" w:cs="Calibri"/>
            <w:color w:val="FFFFFF" w:themeColor="background1"/>
            <w:sz w:val="22"/>
            <w:szCs w:val="22"/>
            <w:highlight w:val="black"/>
          </w:rPr>
          <w:t>Gender Equality</w:t>
        </w:r>
        <w:bookmarkEnd w:id="204"/>
        <w:bookmarkEnd w:id="205"/>
        <w:bookmarkEnd w:id="206"/>
        <w:bookmarkEnd w:id="207"/>
      </w:hyperlink>
      <w:bookmarkStart w:id="209" w:name="_Toc10550560"/>
      <w:bookmarkStart w:id="210" w:name="_Toc10550648"/>
      <w:bookmarkStart w:id="211" w:name="_Toc10552991"/>
      <w:bookmarkEnd w:id="208"/>
    </w:p>
    <w:p w14:paraId="0B41321A" w14:textId="435BF9D6" w:rsidR="009563B4" w:rsidRPr="00783874" w:rsidRDefault="009563B4" w:rsidP="001667C6">
      <w:pPr>
        <w:pStyle w:val="ParagraphOED"/>
        <w:numPr>
          <w:ilvl w:val="0"/>
          <w:numId w:val="102"/>
        </w:numPr>
        <w:spacing w:after="160"/>
      </w:pPr>
      <w:r w:rsidRPr="1E65A5F7">
        <w:rPr>
          <w:b/>
          <w:bCs/>
          <w:i/>
          <w:iCs/>
        </w:rPr>
        <w:t>A</w:t>
      </w:r>
      <w:r>
        <w:t xml:space="preserve"> </w:t>
      </w:r>
      <w:r w:rsidRPr="1E65A5F7">
        <w:rPr>
          <w:b/>
          <w:bCs/>
          <w:i/>
          <w:iCs/>
        </w:rPr>
        <w:t>national gender equality policy has been in place in Angola since 2013</w:t>
      </w:r>
      <w:r w:rsidRPr="005D0516">
        <w:t>. According to W</w:t>
      </w:r>
      <w:r w:rsidR="00446C4E">
        <w:t xml:space="preserve">orld </w:t>
      </w:r>
      <w:r w:rsidRPr="005D0516">
        <w:t>B</w:t>
      </w:r>
      <w:r w:rsidR="00446C4E">
        <w:t>ank</w:t>
      </w:r>
      <w:r w:rsidRPr="005D0516">
        <w:t xml:space="preserve"> data, between 2000 and 2018 there has been a significant increase in representation of women in decision-making positions in the higher political sphere (WB 2019, AfDB 2008</w:t>
      </w:r>
      <w:bookmarkStart w:id="212" w:name="_Ref51737177"/>
      <w:r w:rsidRPr="005D0516">
        <w:rPr>
          <w:rStyle w:val="FootnoteReference"/>
        </w:rPr>
        <w:footnoteReference w:id="97"/>
      </w:r>
      <w:bookmarkEnd w:id="212"/>
      <w:r w:rsidRPr="005D0516">
        <w:t xml:space="preserve">). Women today make up 30.5% of Members of Parliament </w:t>
      </w:r>
      <w:r w:rsidR="00446C4E">
        <w:t>as compared to</w:t>
      </w:r>
      <w:r w:rsidRPr="005D0516">
        <w:t xml:space="preserve"> 15.5% in 2000. By 2008, at least 19.5% of Ministers, 16.4% of Secretaries of State, 11% of Governors were women. By 2018, there is indication </w:t>
      </w:r>
      <w:r w:rsidR="00446C4E">
        <w:t>that</w:t>
      </w:r>
      <w:r w:rsidRPr="005D0516">
        <w:t xml:space="preserve"> women occup</w:t>
      </w:r>
      <w:r w:rsidR="00446C4E">
        <w:t>ied</w:t>
      </w:r>
      <w:r w:rsidRPr="005D0516">
        <w:t xml:space="preserve"> </w:t>
      </w:r>
      <w:r w:rsidR="00446C4E" w:rsidRPr="005D0516">
        <w:t xml:space="preserve">34.4% of </w:t>
      </w:r>
      <w:r w:rsidRPr="005D0516">
        <w:t>ministerial level positions</w:t>
      </w:r>
      <w:r w:rsidR="00446C4E">
        <w:t xml:space="preserve">, </w:t>
      </w:r>
      <w:r w:rsidRPr="005D0516">
        <w:t xml:space="preserve">compared with </w:t>
      </w:r>
      <w:r w:rsidR="00446C4E" w:rsidRPr="005D0516">
        <w:t>3</w:t>
      </w:r>
      <w:r w:rsidR="00446C4E">
        <w:t>-</w:t>
      </w:r>
      <w:r w:rsidR="00446C4E" w:rsidRPr="005D0516">
        <w:t xml:space="preserve">5% political representation </w:t>
      </w:r>
      <w:r w:rsidRPr="005D0516">
        <w:t>in the first decade of the millennium</w:t>
      </w:r>
      <w:r w:rsidR="00446C4E">
        <w:t>.</w:t>
      </w:r>
      <w:r w:rsidRPr="005D0516">
        <w:t xml:space="preserve"> The Ministry of Social Action, Family and Promotion of Women </w:t>
      </w:r>
      <w:r w:rsidR="00446C4E">
        <w:t>was</w:t>
      </w:r>
      <w:r w:rsidRPr="005D0516">
        <w:t xml:space="preserve"> created in 2017 with to promot</w:t>
      </w:r>
      <w:r w:rsidR="000065EC">
        <w:t>e</w:t>
      </w:r>
      <w:r w:rsidRPr="005D0516">
        <w:t xml:space="preserve"> </w:t>
      </w:r>
      <w:r w:rsidR="000065EC">
        <w:t xml:space="preserve">the </w:t>
      </w:r>
      <w:r w:rsidRPr="005D0516">
        <w:t xml:space="preserve">integration </w:t>
      </w:r>
      <w:r w:rsidR="000065EC">
        <w:t xml:space="preserve">and mainstreaming </w:t>
      </w:r>
      <w:r w:rsidRPr="005D0516">
        <w:t xml:space="preserve">of woman and family </w:t>
      </w:r>
      <w:r w:rsidR="000065EC">
        <w:t>as the</w:t>
      </w:r>
      <w:r w:rsidRPr="005D0516">
        <w:t xml:space="preserve"> fundamental pillar</w:t>
      </w:r>
      <w:r w:rsidR="000065EC">
        <w:t xml:space="preserve"> of society</w:t>
      </w:r>
      <w:r w:rsidRPr="005D0516">
        <w:t xml:space="preserve">. Nevertheless </w:t>
      </w:r>
      <w:r w:rsidRPr="1E65A5F7">
        <w:rPr>
          <w:b/>
          <w:bCs/>
          <w:i/>
          <w:iCs/>
        </w:rPr>
        <w:t xml:space="preserve">the further the distance </w:t>
      </w:r>
      <w:r w:rsidR="000065EC" w:rsidRPr="1E65A5F7">
        <w:rPr>
          <w:b/>
          <w:bCs/>
          <w:i/>
          <w:iCs/>
        </w:rPr>
        <w:t>away from</w:t>
      </w:r>
      <w:r w:rsidRPr="1E65A5F7">
        <w:rPr>
          <w:b/>
          <w:bCs/>
          <w:i/>
          <w:iCs/>
        </w:rPr>
        <w:t xml:space="preserve"> the center of power, the less influential are women voices</w:t>
      </w:r>
      <w:r w:rsidRPr="005D0516">
        <w:t xml:space="preserve"> in government bodies</w:t>
      </w:r>
      <w:r w:rsidR="000065EC">
        <w:t>:</w:t>
      </w:r>
      <w:r w:rsidRPr="005D0516">
        <w:t xml:space="preserve"> at municipality and village level they still tend to be quasi non-existent.  </w:t>
      </w:r>
      <w:r w:rsidR="002931BF" w:rsidRPr="619CA689">
        <w:t>Although legislation is beginning to address gender equality</w:t>
      </w:r>
      <w:r w:rsidR="00783874" w:rsidRPr="00783874">
        <w:rPr>
          <w:szCs w:val="21"/>
        </w:rPr>
        <w:t>,</w:t>
      </w:r>
      <w:r w:rsidR="002931BF" w:rsidRPr="619CA689">
        <w:t xml:space="preserve"> with revision of the Criminal Code</w:t>
      </w:r>
      <w:r w:rsidR="00783874" w:rsidRPr="619CA689">
        <w:t xml:space="preserve"> and</w:t>
      </w:r>
      <w:r w:rsidR="002931BF" w:rsidRPr="00783874">
        <w:rPr>
          <w:szCs w:val="21"/>
        </w:rPr>
        <w:t xml:space="preserve"> </w:t>
      </w:r>
      <w:r w:rsidR="00783874" w:rsidRPr="619CA689">
        <w:t>l</w:t>
      </w:r>
      <w:r w:rsidR="002931BF" w:rsidRPr="619CA689">
        <w:t>aws against gender</w:t>
      </w:r>
      <w:r w:rsidR="00783874" w:rsidRPr="619CA689">
        <w:t>-b</w:t>
      </w:r>
      <w:r w:rsidR="002931BF" w:rsidRPr="619CA689">
        <w:t>ased</w:t>
      </w:r>
      <w:r w:rsidR="00783874" w:rsidRPr="619CA689">
        <w:t>v</w:t>
      </w:r>
      <w:r w:rsidR="002931BF" w:rsidRPr="619CA689">
        <w:t xml:space="preserve">iolence, customary laws </w:t>
      </w:r>
      <w:r w:rsidR="00783874" w:rsidRPr="619CA689">
        <w:t>remain</w:t>
      </w:r>
      <w:r w:rsidR="002931BF" w:rsidRPr="619CA689">
        <w:t xml:space="preserve"> effective and tend to exclude and discriminate against women, perpetuating patriarchal norms and social and cultural practices such as child marriage</w:t>
      </w:r>
      <w:r w:rsidR="00783874" w:rsidRPr="00783874">
        <w:rPr>
          <w:szCs w:val="21"/>
        </w:rPr>
        <w:t>,</w:t>
      </w:r>
      <w:r w:rsidR="002931BF" w:rsidRPr="619CA689">
        <w:t xml:space="preserve"> polygamy, lack of legal protection on inheritance and property, as well as the prevailing </w:t>
      </w:r>
      <w:r w:rsidR="00783874" w:rsidRPr="619CA689">
        <w:t xml:space="preserve">dowry </w:t>
      </w:r>
      <w:r w:rsidR="002931BF" w:rsidRPr="619CA689">
        <w:t>practice</w:t>
      </w:r>
      <w:r w:rsidR="00783874" w:rsidRPr="00783874">
        <w:rPr>
          <w:szCs w:val="21"/>
        </w:rPr>
        <w:t>.</w:t>
      </w:r>
      <w:r w:rsidR="00783874" w:rsidRPr="619CA689">
        <w:rPr>
          <w:highlight w:val="lightGray"/>
          <w:vertAlign w:val="superscript"/>
        </w:rPr>
        <w:fldChar w:fldCharType="begin"/>
      </w:r>
      <w:r w:rsidR="00783874" w:rsidRPr="619CA689">
        <w:rPr>
          <w:highlight w:val="lightGray"/>
          <w:vertAlign w:val="superscript"/>
        </w:rPr>
        <w:instrText xml:space="preserve"> NOTEREF _Ref51735586 \h  \* MERGEFORMAT </w:instrText>
      </w:r>
      <w:r w:rsidR="00783874" w:rsidRPr="619CA689">
        <w:rPr>
          <w:highlight w:val="lightGray"/>
          <w:vertAlign w:val="superscript"/>
        </w:rPr>
      </w:r>
      <w:r w:rsidR="00783874" w:rsidRPr="619CA689">
        <w:rPr>
          <w:highlight w:val="lightGray"/>
          <w:vertAlign w:val="superscript"/>
        </w:rPr>
        <w:fldChar w:fldCharType="separate"/>
      </w:r>
      <w:r w:rsidR="00A64193">
        <w:rPr>
          <w:highlight w:val="lightGray"/>
          <w:vertAlign w:val="superscript"/>
        </w:rPr>
        <w:t>92</w:t>
      </w:r>
      <w:r w:rsidR="00783874" w:rsidRPr="619CA689">
        <w:rPr>
          <w:highlight w:val="lightGray"/>
          <w:vertAlign w:val="superscript"/>
        </w:rPr>
        <w:fldChar w:fldCharType="end"/>
      </w:r>
    </w:p>
    <w:p w14:paraId="5F2BD7C0" w14:textId="5C8D205C" w:rsidR="009563B4" w:rsidRPr="00CE1EA7" w:rsidRDefault="009563B4" w:rsidP="001667C6">
      <w:pPr>
        <w:pStyle w:val="ParagraphOED"/>
        <w:numPr>
          <w:ilvl w:val="0"/>
          <w:numId w:val="102"/>
        </w:numPr>
        <w:spacing w:after="160"/>
        <w:rPr>
          <w:color w:val="000000"/>
        </w:rPr>
      </w:pPr>
      <w:r w:rsidRPr="005D0516">
        <w:t>According to World Bank data, in 2017 women represented almost 51% of Angola’s population, 53% of the</w:t>
      </w:r>
      <w:r w:rsidRPr="00CE1EA7">
        <w:t xml:space="preserve"> population in rural households, </w:t>
      </w:r>
      <w:r w:rsidR="001D309F">
        <w:t xml:space="preserve">and </w:t>
      </w:r>
      <w:r w:rsidRPr="00CE1EA7">
        <w:t xml:space="preserve">nearly 58% of the work force in agriculture. Angola has a high fertility rate, with 5.9 children per woman over the period of 2012-2015. </w:t>
      </w:r>
      <w:r w:rsidR="001D309F" w:rsidRPr="1E65A5F7">
        <w:rPr>
          <w:b/>
          <w:bCs/>
          <w:i/>
          <w:iCs/>
        </w:rPr>
        <w:t>L</w:t>
      </w:r>
      <w:r w:rsidRPr="1E65A5F7">
        <w:rPr>
          <w:b/>
          <w:bCs/>
          <w:i/>
          <w:iCs/>
        </w:rPr>
        <w:t>iteracy rates among female adults (≥15</w:t>
      </w:r>
      <w:r w:rsidR="001D309F" w:rsidRPr="1E65A5F7">
        <w:rPr>
          <w:b/>
          <w:bCs/>
          <w:i/>
          <w:iCs/>
        </w:rPr>
        <w:t xml:space="preserve"> years old</w:t>
      </w:r>
      <w:r w:rsidRPr="1E65A5F7">
        <w:rPr>
          <w:b/>
          <w:bCs/>
          <w:i/>
          <w:iCs/>
        </w:rPr>
        <w:t xml:space="preserve">) is 53%, </w:t>
      </w:r>
      <w:r w:rsidR="001D309F" w:rsidRPr="1E65A5F7">
        <w:rPr>
          <w:b/>
          <w:bCs/>
          <w:i/>
          <w:iCs/>
        </w:rPr>
        <w:t xml:space="preserve">compared with up to </w:t>
      </w:r>
      <w:r w:rsidRPr="1E65A5F7">
        <w:rPr>
          <w:b/>
          <w:bCs/>
          <w:i/>
          <w:iCs/>
        </w:rPr>
        <w:t>79.9% in 2014</w:t>
      </w:r>
      <w:r w:rsidR="001D309F" w:rsidRPr="1E65A5F7">
        <w:rPr>
          <w:b/>
          <w:bCs/>
          <w:i/>
          <w:iCs/>
        </w:rPr>
        <w:t xml:space="preserve"> among men</w:t>
      </w:r>
      <w:r w:rsidRPr="00CE1EA7">
        <w:t xml:space="preserve">. </w:t>
      </w:r>
      <w:r w:rsidRPr="00CE1EA7">
        <w:rPr>
          <w:color w:val="000000"/>
        </w:rPr>
        <w:t xml:space="preserve">Such a young population as in Angola, with 70% of its people under the age of 18, </w:t>
      </w:r>
      <w:r w:rsidR="001D309F">
        <w:rPr>
          <w:color w:val="000000"/>
        </w:rPr>
        <w:t>provides</w:t>
      </w:r>
      <w:r w:rsidRPr="00CE1EA7">
        <w:rPr>
          <w:color w:val="000000"/>
        </w:rPr>
        <w:t xml:space="preserve"> great hope for the future but also presents a lot of challenges. Of particular concern is girls</w:t>
      </w:r>
      <w:r w:rsidR="009B04C9">
        <w:rPr>
          <w:color w:val="000000"/>
        </w:rPr>
        <w:t>’</w:t>
      </w:r>
      <w:r w:rsidRPr="00CE1EA7">
        <w:rPr>
          <w:color w:val="000000"/>
        </w:rPr>
        <w:t xml:space="preserve"> access</w:t>
      </w:r>
      <w:r w:rsidRPr="00CE1EA7" w:rsidDel="00A53232">
        <w:rPr>
          <w:color w:val="000000"/>
        </w:rPr>
        <w:t xml:space="preserve"> </w:t>
      </w:r>
      <w:r w:rsidRPr="00CE1EA7">
        <w:rPr>
          <w:color w:val="000000"/>
        </w:rPr>
        <w:t xml:space="preserve">to education, including to science, technology, engineering, and mathematics, and all forms of violence often exclude them from education and other </w:t>
      </w:r>
      <w:r w:rsidRPr="00CE1EA7">
        <w:t xml:space="preserve">opportunities.  During the 2013-2017 period, net school enrolment rates for both sexes stood at 71% in </w:t>
      </w:r>
      <w:r w:rsidRPr="00CE1EA7">
        <w:rPr>
          <w:color w:val="000000"/>
        </w:rPr>
        <w:t>primary school</w:t>
      </w:r>
      <w:r w:rsidR="009B04C9">
        <w:rPr>
          <w:color w:val="000000"/>
        </w:rPr>
        <w:t xml:space="preserve"> but</w:t>
      </w:r>
      <w:r w:rsidRPr="00CE1EA7">
        <w:rPr>
          <w:color w:val="000000"/>
        </w:rPr>
        <w:t xml:space="preserve"> in secondary school, rates were 43% for boys and 37% for girls (CEDAW 2019</w:t>
      </w:r>
      <w:bookmarkStart w:id="213" w:name="_Ref51735586"/>
      <w:r w:rsidRPr="00CE1EA7">
        <w:rPr>
          <w:rStyle w:val="FootnoteReference"/>
          <w:color w:val="000000"/>
        </w:rPr>
        <w:footnoteReference w:id="98"/>
      </w:r>
      <w:bookmarkEnd w:id="213"/>
      <w:r w:rsidRPr="00CE1EA7">
        <w:rPr>
          <w:color w:val="000000"/>
        </w:rPr>
        <w:t>).</w:t>
      </w:r>
    </w:p>
    <w:p w14:paraId="3000C574" w14:textId="34C70F4C" w:rsidR="009563B4" w:rsidRPr="00CE1EA7" w:rsidRDefault="009563B4" w:rsidP="001667C6">
      <w:pPr>
        <w:pStyle w:val="ParagraphOED"/>
        <w:numPr>
          <w:ilvl w:val="0"/>
          <w:numId w:val="102"/>
        </w:numPr>
        <w:spacing w:after="160"/>
      </w:pPr>
      <w:r w:rsidRPr="00CE1EA7">
        <w:t xml:space="preserve">Given the social, cultural, economic and political situation in Angola, </w:t>
      </w:r>
      <w:r w:rsidRPr="1E65A5F7">
        <w:rPr>
          <w:b/>
          <w:bCs/>
          <w:i/>
          <w:iCs/>
        </w:rPr>
        <w:t xml:space="preserve">poverty </w:t>
      </w:r>
      <w:r w:rsidR="009B04C9" w:rsidRPr="1E65A5F7">
        <w:rPr>
          <w:b/>
          <w:bCs/>
          <w:i/>
          <w:iCs/>
        </w:rPr>
        <w:t>impacts</w:t>
      </w:r>
      <w:r w:rsidRPr="1E65A5F7">
        <w:rPr>
          <w:b/>
          <w:bCs/>
          <w:i/>
          <w:iCs/>
        </w:rPr>
        <w:t xml:space="preserve"> women and children particularly hard</w:t>
      </w:r>
      <w:r w:rsidRPr="00CE1EA7">
        <w:t xml:space="preserve">. </w:t>
      </w:r>
      <w:r w:rsidR="009B04C9">
        <w:t>About</w:t>
      </w:r>
      <w:r w:rsidR="009B04C9" w:rsidRPr="00CE1EA7">
        <w:t xml:space="preserve"> </w:t>
      </w:r>
      <w:r w:rsidRPr="00CE1EA7">
        <w:t>half of the population (48%) still live in poverty and risk being excluded from development processes. Additional</w:t>
      </w:r>
      <w:r w:rsidR="009B04C9">
        <w:t>ly,</w:t>
      </w:r>
      <w:r w:rsidRPr="00CE1EA7">
        <w:t xml:space="preserve"> </w:t>
      </w:r>
      <w:r w:rsidR="009B04C9">
        <w:t>poverty has gender dimensions: most of</w:t>
      </w:r>
      <w:r w:rsidRPr="00CE1EA7">
        <w:t xml:space="preserve"> the poor are women, </w:t>
      </w:r>
      <w:r w:rsidR="009B04C9">
        <w:t xml:space="preserve">especially in </w:t>
      </w:r>
      <w:r w:rsidRPr="00CE1EA7">
        <w:t xml:space="preserve">rural </w:t>
      </w:r>
      <w:r w:rsidR="009B04C9">
        <w:t>areas</w:t>
      </w:r>
      <w:r w:rsidR="009B04C9" w:rsidRPr="009B04C9">
        <w:rPr>
          <w:highlight w:val="lightGray"/>
          <w:vertAlign w:val="superscript"/>
        </w:rPr>
        <w:fldChar w:fldCharType="begin"/>
      </w:r>
      <w:r w:rsidR="009B04C9" w:rsidRPr="009B04C9">
        <w:rPr>
          <w:highlight w:val="lightGray"/>
          <w:vertAlign w:val="superscript"/>
        </w:rPr>
        <w:instrText xml:space="preserve"> NOTEREF _Ref51735586 \h  \* MERGEFORMAT </w:instrText>
      </w:r>
      <w:r w:rsidR="009B04C9" w:rsidRPr="009B04C9">
        <w:rPr>
          <w:highlight w:val="lightGray"/>
          <w:vertAlign w:val="superscript"/>
        </w:rPr>
      </w:r>
      <w:r w:rsidR="009B04C9" w:rsidRPr="009B04C9">
        <w:rPr>
          <w:highlight w:val="lightGray"/>
          <w:vertAlign w:val="superscript"/>
        </w:rPr>
        <w:fldChar w:fldCharType="separate"/>
      </w:r>
      <w:r w:rsidR="00A64193">
        <w:rPr>
          <w:highlight w:val="lightGray"/>
          <w:vertAlign w:val="superscript"/>
        </w:rPr>
        <w:t>92</w:t>
      </w:r>
      <w:r w:rsidR="009B04C9" w:rsidRPr="009B04C9">
        <w:rPr>
          <w:highlight w:val="lightGray"/>
          <w:vertAlign w:val="superscript"/>
        </w:rPr>
        <w:fldChar w:fldCharType="end"/>
      </w:r>
      <w:r w:rsidRPr="00CE1EA7">
        <w:t>. Poverty is greater in female</w:t>
      </w:r>
      <w:r w:rsidR="009B04C9">
        <w:t>-</w:t>
      </w:r>
      <w:r w:rsidRPr="00CE1EA7">
        <w:t>headed households</w:t>
      </w:r>
      <w:r w:rsidR="009B04C9">
        <w:t>; and</w:t>
      </w:r>
      <w:r w:rsidRPr="00CE1EA7">
        <w:t xml:space="preserve"> </w:t>
      </w:r>
      <w:r w:rsidR="009B04C9">
        <w:t>m</w:t>
      </w:r>
      <w:r w:rsidRPr="00CE1EA7">
        <w:t xml:space="preserve">any women (34% of all households) are also </w:t>
      </w:r>
      <w:r w:rsidRPr="1E65A5F7">
        <w:rPr>
          <w:i/>
          <w:iCs/>
        </w:rPr>
        <w:t>de facto</w:t>
      </w:r>
      <w:r w:rsidRPr="00CE1EA7">
        <w:t xml:space="preserve"> household </w:t>
      </w:r>
      <w:r w:rsidR="002931BF" w:rsidRPr="00CE1EA7">
        <w:t xml:space="preserve">heads </w:t>
      </w:r>
      <w:r w:rsidRPr="00CE1EA7">
        <w:t>because of polygam</w:t>
      </w:r>
      <w:r w:rsidR="002931BF">
        <w:t>y,</w:t>
      </w:r>
      <w:r w:rsidR="002931BF" w:rsidRPr="00CE1EA7" w:rsidDel="002931BF">
        <w:t xml:space="preserve"> </w:t>
      </w:r>
      <w:r w:rsidRPr="00CE1EA7">
        <w:t>male labo</w:t>
      </w:r>
      <w:r w:rsidR="002931BF">
        <w:t>u</w:t>
      </w:r>
      <w:r w:rsidRPr="00CE1EA7">
        <w:t xml:space="preserve">r migration or conscription </w:t>
      </w:r>
      <w:r w:rsidR="002931BF">
        <w:t>ongoing on their</w:t>
      </w:r>
      <w:r w:rsidR="002931BF" w:rsidRPr="00CE1EA7">
        <w:t xml:space="preserve"> households </w:t>
      </w:r>
      <w:r w:rsidRPr="00CE1EA7">
        <w:t>(W</w:t>
      </w:r>
      <w:r w:rsidR="002931BF">
        <w:t xml:space="preserve">orld </w:t>
      </w:r>
      <w:r w:rsidRPr="00CE1EA7">
        <w:t>B</w:t>
      </w:r>
      <w:r w:rsidR="002931BF">
        <w:t>ank,</w:t>
      </w:r>
      <w:r w:rsidRPr="00CE1EA7">
        <w:t xml:space="preserve"> 2017).</w:t>
      </w:r>
    </w:p>
    <w:p w14:paraId="2FB38294" w14:textId="23FEB5F3" w:rsidR="009563B4" w:rsidRPr="00CE1EA7" w:rsidRDefault="009563B4" w:rsidP="001667C6">
      <w:pPr>
        <w:pStyle w:val="ParagraphOED"/>
        <w:numPr>
          <w:ilvl w:val="0"/>
          <w:numId w:val="102"/>
        </w:numPr>
        <w:spacing w:after="160"/>
      </w:pPr>
      <w:r w:rsidRPr="00CE1EA7">
        <w:t>Gender gaps in Angola are large and challeng</w:t>
      </w:r>
      <w:r w:rsidR="00783874">
        <w:t>ing, for example:</w:t>
      </w:r>
      <w:r w:rsidRPr="00CE1EA7">
        <w:t xml:space="preserve"> </w:t>
      </w:r>
      <w:r w:rsidR="00783874">
        <w:t>w</w:t>
      </w:r>
      <w:r w:rsidRPr="00CE1EA7">
        <w:t>omen have lower access to productive inputs such as land and credit; they are often only able to access land through their husbands or sons</w:t>
      </w:r>
      <w:r w:rsidR="00783874">
        <w:t>;</w:t>
      </w:r>
      <w:r w:rsidRPr="00CE1EA7">
        <w:t xml:space="preserve"> they are less likely than men to borrow money to start or expand a farm or business</w:t>
      </w:r>
      <w:r w:rsidR="00783874">
        <w:t>;</w:t>
      </w:r>
      <w:r w:rsidRPr="00CE1EA7">
        <w:t xml:space="preserve"> </w:t>
      </w:r>
      <w:r w:rsidR="00783874">
        <w:t>and e</w:t>
      </w:r>
      <w:r w:rsidRPr="00CE1EA7">
        <w:t>xisting customary law reduces women’s chances of accessing credit, as land is often required as collateral</w:t>
      </w:r>
      <w:r w:rsidR="00783874">
        <w:t>.</w:t>
      </w:r>
      <w:r w:rsidRPr="00CE1EA7">
        <w:t xml:space="preserve"> Gender roles concerning child and elderly care also negative</w:t>
      </w:r>
      <w:r w:rsidR="00783874">
        <w:t>ly</w:t>
      </w:r>
      <w:r w:rsidRPr="00CE1EA7">
        <w:t xml:space="preserve"> impact on </w:t>
      </w:r>
      <w:r w:rsidRPr="00CE1EA7">
        <w:lastRenderedPageBreak/>
        <w:t>women’s economic empowerment, as the expectation that women must care for children hinders their participation in the labo</w:t>
      </w:r>
      <w:r w:rsidR="00874EC6">
        <w:t>u</w:t>
      </w:r>
      <w:r w:rsidRPr="00CE1EA7">
        <w:t>r force.</w:t>
      </w:r>
      <w:r w:rsidR="00874EC6" w:rsidRPr="00874EC6">
        <w:rPr>
          <w:highlight w:val="lightGray"/>
          <w:vertAlign w:val="superscript"/>
        </w:rPr>
        <w:fldChar w:fldCharType="begin"/>
      </w:r>
      <w:r w:rsidR="00874EC6" w:rsidRPr="00874EC6">
        <w:rPr>
          <w:highlight w:val="lightGray"/>
          <w:vertAlign w:val="superscript"/>
        </w:rPr>
        <w:instrText xml:space="preserve"> NOTEREF _Ref51737177 \h  \* MERGEFORMAT </w:instrText>
      </w:r>
      <w:r w:rsidR="00874EC6" w:rsidRPr="00874EC6">
        <w:rPr>
          <w:highlight w:val="lightGray"/>
          <w:vertAlign w:val="superscript"/>
        </w:rPr>
      </w:r>
      <w:r w:rsidR="00874EC6" w:rsidRPr="00874EC6">
        <w:rPr>
          <w:highlight w:val="lightGray"/>
          <w:vertAlign w:val="superscript"/>
        </w:rPr>
        <w:fldChar w:fldCharType="separate"/>
      </w:r>
      <w:r w:rsidR="00A64193">
        <w:rPr>
          <w:highlight w:val="lightGray"/>
          <w:vertAlign w:val="superscript"/>
        </w:rPr>
        <w:t>91</w:t>
      </w:r>
      <w:r w:rsidR="00874EC6" w:rsidRPr="00874EC6">
        <w:rPr>
          <w:highlight w:val="lightGray"/>
          <w:vertAlign w:val="superscript"/>
        </w:rPr>
        <w:fldChar w:fldCharType="end"/>
      </w:r>
      <w:r w:rsidRPr="00CE1EA7">
        <w:t xml:space="preserve"> </w:t>
      </w:r>
    </w:p>
    <w:p w14:paraId="14A545F4" w14:textId="4710F5EC" w:rsidR="009563B4" w:rsidRPr="00CE1EA7" w:rsidRDefault="009563B4" w:rsidP="001667C6">
      <w:pPr>
        <w:pStyle w:val="ParagraphOED"/>
        <w:numPr>
          <w:ilvl w:val="0"/>
          <w:numId w:val="102"/>
        </w:numPr>
        <w:spacing w:after="160"/>
      </w:pPr>
      <w:r>
        <w:t xml:space="preserve">According to the constitution, land </w:t>
      </w:r>
      <w:r w:rsidR="00874EC6">
        <w:t>belongs to</w:t>
      </w:r>
      <w:r>
        <w:t xml:space="preserve"> the state although it can be transferred to individuals and corporations.</w:t>
      </w:r>
      <w:r w:rsidR="00874EC6">
        <w:t>S</w:t>
      </w:r>
      <w:r>
        <w:t xml:space="preserve">mallholder farming communities are mostly affected by gender conflicts regarding the control of land. </w:t>
      </w:r>
      <w:r w:rsidRPr="1E65A5F7">
        <w:rPr>
          <w:b/>
          <w:bCs/>
          <w:i/>
          <w:iCs/>
        </w:rPr>
        <w:t>Generally, women have restricted access to and control over land in most parts of the country</w:t>
      </w:r>
      <w:r>
        <w:t xml:space="preserve">, </w:t>
      </w:r>
      <w:r w:rsidR="00874EC6">
        <w:t xml:space="preserve">although </w:t>
      </w:r>
      <w:r>
        <w:t>the situation differs from region to region</w:t>
      </w:r>
      <w:r w:rsidR="00874EC6">
        <w:t>,</w:t>
      </w:r>
      <w:r>
        <w:t xml:space="preserve"> and between ethnic groups according to their social organization (mainly patrilineal) and the farming systems introduced </w:t>
      </w:r>
      <w:r w:rsidR="00874EC6">
        <w:t xml:space="preserve">in </w:t>
      </w:r>
      <w:r>
        <w:t xml:space="preserve">colonial times. There have been profound changes in land tenure due to the war and </w:t>
      </w:r>
      <w:r w:rsidR="00874EC6">
        <w:t>subsequent</w:t>
      </w:r>
      <w:r>
        <w:t xml:space="preserve"> displacement of millions of people. Today, land tenure patterns are in the process of being transformed, as social and economic relations have undergone profound changes. In overpopulated peri-urban areas</w:t>
      </w:r>
      <w:r w:rsidR="00874EC6">
        <w:t>,</w:t>
      </w:r>
      <w:r>
        <w:t xml:space="preserve"> survival fighting is leading to open land struggle.  New land rights legislation and regulations for its implementation </w:t>
      </w:r>
      <w:r w:rsidR="00874EC6">
        <w:t>were</w:t>
      </w:r>
      <w:r>
        <w:t xml:space="preserve"> approved by Parliament in 2018 after long public and political </w:t>
      </w:r>
      <w:r w:rsidR="00874EC6">
        <w:t>debate</w:t>
      </w:r>
      <w:r>
        <w:t xml:space="preserve">. Private land titles </w:t>
      </w:r>
      <w:r w:rsidR="00874EC6">
        <w:t>can</w:t>
      </w:r>
      <w:r w:rsidR="00E96BC0">
        <w:t xml:space="preserve"> now</w:t>
      </w:r>
      <w:r w:rsidR="00874EC6">
        <w:t xml:space="preserve"> be</w:t>
      </w:r>
      <w:r>
        <w:t xml:space="preserve"> acquired </w:t>
      </w:r>
      <w:r w:rsidR="00E96BC0">
        <w:t>from</w:t>
      </w:r>
      <w:r>
        <w:t xml:space="preserve"> municipalities but the system is not i</w:t>
      </w:r>
      <w:r w:rsidR="00E96BC0">
        <w:t>n place</w:t>
      </w:r>
      <w:r>
        <w:t xml:space="preserve"> everywhere and barriers </w:t>
      </w:r>
      <w:r w:rsidR="00E96BC0">
        <w:t>hinder</w:t>
      </w:r>
      <w:r>
        <w:t xml:space="preserve"> its functioning</w:t>
      </w:r>
      <w:r w:rsidR="00E96BC0">
        <w:t>.</w:t>
      </w:r>
    </w:p>
    <w:p w14:paraId="18C84D2C" w14:textId="105039CA" w:rsidR="007D26EB" w:rsidRDefault="009563B4" w:rsidP="001667C6">
      <w:pPr>
        <w:pStyle w:val="ParagraphOED"/>
        <w:numPr>
          <w:ilvl w:val="0"/>
          <w:numId w:val="102"/>
        </w:numPr>
        <w:spacing w:after="160"/>
      </w:pPr>
      <w:r>
        <w:t xml:space="preserve">In the context of rural Angola, women </w:t>
      </w:r>
      <w:r w:rsidR="00E96BC0">
        <w:t xml:space="preserve">traditionally </w:t>
      </w:r>
      <w:r>
        <w:t xml:space="preserve">take care of agriculture and contribute most to the household economy. </w:t>
      </w:r>
      <w:r w:rsidR="00B81423">
        <w:t>Their role is fundamental and includes livestock grazing, raising small animals, vegetable gardens, fetching water, collecting fuelwood</w:t>
      </w:r>
      <w:r w:rsidR="007D26EB">
        <w:t xml:space="preserve"> and</w:t>
      </w:r>
      <w:r w:rsidR="00B81423">
        <w:t xml:space="preserve"> collecting medicinal plants</w:t>
      </w:r>
      <w:r w:rsidR="007D26EB">
        <w:t>; while a</w:t>
      </w:r>
      <w:r w:rsidR="00B81423">
        <w:t>t the same time, they are caring for the young, elderly and sick, and are also bearers of traditional knowledge. R</w:t>
      </w:r>
      <w:r w:rsidR="00B81423" w:rsidRPr="1E65A5F7">
        <w:rPr>
          <w:lang w:eastAsia="de-DE"/>
        </w:rPr>
        <w:t xml:space="preserve">ural women in dryland areas play a key role in natural resource management and achieving food security. They often grow, process, manage and market food and other natural resources. </w:t>
      </w:r>
    </w:p>
    <w:p w14:paraId="2379617B" w14:textId="2447B19C" w:rsidR="009563B4" w:rsidRPr="005D0516" w:rsidRDefault="00E96BC0" w:rsidP="001667C6">
      <w:pPr>
        <w:pStyle w:val="ParagraphOED"/>
        <w:numPr>
          <w:ilvl w:val="0"/>
          <w:numId w:val="102"/>
        </w:numPr>
        <w:spacing w:after="160"/>
      </w:pPr>
      <w:r>
        <w:t>While t</w:t>
      </w:r>
      <w:r w:rsidR="009563B4" w:rsidRPr="00CE1EA7">
        <w:t>he predominance of women in the family farming sector is widely recognized at all levels</w:t>
      </w:r>
      <w:r>
        <w:t>,</w:t>
      </w:r>
      <w:r w:rsidR="009563B4" w:rsidRPr="00CE1EA7">
        <w:t xml:space="preserve"> this is not reflected in the </w:t>
      </w:r>
      <w:r>
        <w:t>numbers</w:t>
      </w:r>
      <w:r w:rsidRPr="00CE1EA7">
        <w:t xml:space="preserve"> </w:t>
      </w:r>
      <w:r w:rsidR="009563B4" w:rsidRPr="00CE1EA7">
        <w:t>of women in leadership positions</w:t>
      </w:r>
      <w:r>
        <w:t>,</w:t>
      </w:r>
      <w:r w:rsidR="009563B4" w:rsidRPr="00CE1EA7">
        <w:t xml:space="preserve"> </w:t>
      </w:r>
      <w:r>
        <w:t xml:space="preserve">such as </w:t>
      </w:r>
      <w:r w:rsidR="009563B4" w:rsidRPr="00CE1EA7">
        <w:t>extensionists</w:t>
      </w:r>
      <w:r>
        <w:t>,</w:t>
      </w:r>
      <w:r w:rsidR="009563B4" w:rsidRPr="00CE1EA7">
        <w:t xml:space="preserve"> </w:t>
      </w:r>
      <w:r w:rsidRPr="00CE1EA7">
        <w:t>presidents</w:t>
      </w:r>
      <w:r>
        <w:t xml:space="preserve"> of farmer </w:t>
      </w:r>
      <w:r w:rsidR="009563B4" w:rsidRPr="00CE1EA7">
        <w:t xml:space="preserve">associations and cooperatives. In recent years, Government has registered private landowners and </w:t>
      </w:r>
      <w:r>
        <w:t>given</w:t>
      </w:r>
      <w:r w:rsidRPr="00CE1EA7">
        <w:t xml:space="preserve"> </w:t>
      </w:r>
      <w:r w:rsidR="009563B4" w:rsidRPr="00CE1EA7">
        <w:t xml:space="preserve">particular </w:t>
      </w:r>
      <w:r>
        <w:t>attention</w:t>
      </w:r>
      <w:r w:rsidR="009563B4" w:rsidRPr="00CE1EA7">
        <w:t xml:space="preserve"> to women in rural areas, offering diversified training support through over 800 centers in villages across the country and literacy campaigns. Poverty reduction efforts targeted over 59,000 families in rural areas.</w:t>
      </w:r>
      <w:r w:rsidR="00B81423">
        <w:t xml:space="preserve"> A</w:t>
      </w:r>
      <w:r w:rsidR="009563B4" w:rsidRPr="00CE1EA7">
        <w:t xml:space="preserve"> </w:t>
      </w:r>
      <w:r w:rsidRPr="00CE1EA7">
        <w:t xml:space="preserve">present </w:t>
      </w:r>
      <w:r w:rsidR="009563B4" w:rsidRPr="00CE1EA7">
        <w:t xml:space="preserve">focus of government is </w:t>
      </w:r>
      <w:r w:rsidR="00B81423" w:rsidRPr="00CE1EA7">
        <w:t xml:space="preserve">encouraging the role of women within </w:t>
      </w:r>
      <w:r w:rsidR="009563B4" w:rsidRPr="00CE1EA7">
        <w:t>community management of land, who otherwise are ofte</w:t>
      </w:r>
      <w:r w:rsidR="009563B4" w:rsidRPr="005D0516">
        <w:t xml:space="preserve">n socially marginalized </w:t>
      </w:r>
      <w:r w:rsidR="00B81423">
        <w:t>from such opportunities.</w:t>
      </w:r>
      <w:r w:rsidR="00B81423" w:rsidRPr="00B81423">
        <w:rPr>
          <w:highlight w:val="lightGray"/>
          <w:vertAlign w:val="superscript"/>
        </w:rPr>
        <w:fldChar w:fldCharType="begin"/>
      </w:r>
      <w:r w:rsidR="00B81423" w:rsidRPr="00B81423">
        <w:rPr>
          <w:highlight w:val="lightGray"/>
          <w:vertAlign w:val="superscript"/>
        </w:rPr>
        <w:instrText xml:space="preserve"> NOTEREF _Ref51735586 \h  \* MERGEFORMAT </w:instrText>
      </w:r>
      <w:r w:rsidR="00B81423" w:rsidRPr="00B81423">
        <w:rPr>
          <w:highlight w:val="lightGray"/>
          <w:vertAlign w:val="superscript"/>
        </w:rPr>
      </w:r>
      <w:r w:rsidR="00B81423" w:rsidRPr="00B81423">
        <w:rPr>
          <w:highlight w:val="lightGray"/>
          <w:vertAlign w:val="superscript"/>
        </w:rPr>
        <w:fldChar w:fldCharType="separate"/>
      </w:r>
      <w:r w:rsidR="00A64193">
        <w:rPr>
          <w:highlight w:val="lightGray"/>
          <w:vertAlign w:val="superscript"/>
        </w:rPr>
        <w:t>92</w:t>
      </w:r>
      <w:r w:rsidR="00B81423" w:rsidRPr="00B81423">
        <w:rPr>
          <w:highlight w:val="lightGray"/>
          <w:vertAlign w:val="superscript"/>
        </w:rPr>
        <w:fldChar w:fldCharType="end"/>
      </w:r>
    </w:p>
    <w:p w14:paraId="6EB3C763" w14:textId="56F78F52" w:rsidR="009563B4" w:rsidRPr="005D0516" w:rsidRDefault="007D26EB" w:rsidP="001667C6">
      <w:pPr>
        <w:pStyle w:val="ParagraphOED"/>
        <w:numPr>
          <w:ilvl w:val="0"/>
          <w:numId w:val="102"/>
        </w:numPr>
        <w:spacing w:after="160"/>
      </w:pPr>
      <w:r w:rsidRPr="1E65A5F7">
        <w:rPr>
          <w:b/>
          <w:bCs/>
          <w:i/>
          <w:iCs/>
          <w:lang w:eastAsia="de-DE"/>
        </w:rPr>
        <w:t>R</w:t>
      </w:r>
      <w:r w:rsidR="009563B4" w:rsidRPr="1E65A5F7">
        <w:rPr>
          <w:b/>
          <w:bCs/>
          <w:i/>
          <w:iCs/>
          <w:lang w:eastAsia="de-DE"/>
        </w:rPr>
        <w:t>eliable sex- and age-disaggregated statistics on gender roles</w:t>
      </w:r>
      <w:r w:rsidRPr="1E65A5F7">
        <w:rPr>
          <w:b/>
          <w:bCs/>
          <w:lang w:eastAsia="de-DE"/>
        </w:rPr>
        <w:t xml:space="preserve"> </w:t>
      </w:r>
      <w:r w:rsidR="009563B4" w:rsidRPr="1E65A5F7">
        <w:rPr>
          <w:b/>
          <w:bCs/>
          <w:lang w:eastAsia="de-DE"/>
        </w:rPr>
        <w:t>in dryland management activities</w:t>
      </w:r>
      <w:r w:rsidR="009563B4" w:rsidRPr="1E65A5F7">
        <w:rPr>
          <w:lang w:eastAsia="de-DE"/>
        </w:rPr>
        <w:t xml:space="preserve"> </w:t>
      </w:r>
      <w:r w:rsidR="00003A92" w:rsidRPr="1E65A5F7">
        <w:rPr>
          <w:lang w:eastAsia="de-DE"/>
        </w:rPr>
        <w:t>are</w:t>
      </w:r>
      <w:r w:rsidRPr="1E65A5F7">
        <w:rPr>
          <w:lang w:eastAsia="de-DE"/>
        </w:rPr>
        <w:t xml:space="preserve"> lacking. </w:t>
      </w:r>
      <w:r w:rsidR="009563B4" w:rsidRPr="1E65A5F7">
        <w:rPr>
          <w:lang w:eastAsia="de-DE"/>
        </w:rPr>
        <w:t xml:space="preserve">In general, men are responsible for decision-making and planning farming activities, while women have little authority and have to seek their husbands’ permission before they commit family resources or make decisions (FAO). </w:t>
      </w:r>
      <w:r w:rsidRPr="1E65A5F7">
        <w:rPr>
          <w:lang w:eastAsia="de-DE"/>
        </w:rPr>
        <w:t>W</w:t>
      </w:r>
      <w:r w:rsidR="009563B4">
        <w:t xml:space="preserve">omen tend to have a heavier workload, </w:t>
      </w:r>
      <w:r>
        <w:t>with</w:t>
      </w:r>
      <w:r w:rsidR="009563B4">
        <w:t xml:space="preserve"> less leadership roles. </w:t>
      </w:r>
      <w:r w:rsidRPr="1E65A5F7">
        <w:rPr>
          <w:b/>
          <w:bCs/>
          <w:i/>
          <w:iCs/>
        </w:rPr>
        <w:t>L</w:t>
      </w:r>
      <w:r w:rsidR="009563B4" w:rsidRPr="1E65A5F7">
        <w:rPr>
          <w:b/>
          <w:bCs/>
          <w:i/>
          <w:iCs/>
        </w:rPr>
        <w:t xml:space="preserve">ocal power structures are </w:t>
      </w:r>
      <w:r w:rsidRPr="1E65A5F7">
        <w:rPr>
          <w:b/>
          <w:bCs/>
          <w:i/>
          <w:iCs/>
        </w:rPr>
        <w:t xml:space="preserve">traditionally </w:t>
      </w:r>
      <w:r w:rsidR="009563B4" w:rsidRPr="1E65A5F7">
        <w:rPr>
          <w:b/>
          <w:bCs/>
          <w:i/>
          <w:iCs/>
        </w:rPr>
        <w:t>male</w:t>
      </w:r>
      <w:r w:rsidRPr="1E65A5F7">
        <w:rPr>
          <w:b/>
          <w:bCs/>
          <w:i/>
          <w:iCs/>
        </w:rPr>
        <w:t>-</w:t>
      </w:r>
      <w:r w:rsidR="009563B4" w:rsidRPr="1E65A5F7">
        <w:rPr>
          <w:b/>
          <w:bCs/>
          <w:i/>
          <w:iCs/>
        </w:rPr>
        <w:t xml:space="preserve">dominated; among the </w:t>
      </w:r>
      <w:r w:rsidRPr="1E65A5F7">
        <w:rPr>
          <w:b/>
          <w:bCs/>
          <w:i/>
          <w:iCs/>
        </w:rPr>
        <w:t>‘</w:t>
      </w:r>
      <w:r w:rsidR="009563B4" w:rsidRPr="1E65A5F7">
        <w:rPr>
          <w:b/>
          <w:bCs/>
          <w:i/>
          <w:iCs/>
        </w:rPr>
        <w:t>Sobas</w:t>
      </w:r>
      <w:r w:rsidRPr="1E65A5F7">
        <w:rPr>
          <w:b/>
          <w:bCs/>
          <w:i/>
          <w:iCs/>
        </w:rPr>
        <w:t>’</w:t>
      </w:r>
      <w:r w:rsidR="009563B4" w:rsidRPr="1E65A5F7">
        <w:rPr>
          <w:b/>
          <w:bCs/>
          <w:i/>
          <w:iCs/>
        </w:rPr>
        <w:t>, charged with the task of land distribution, virtually all members are men.</w:t>
      </w:r>
      <w:r w:rsidR="009563B4">
        <w:t xml:space="preserve"> It is only recently that the </w:t>
      </w:r>
      <w:r w:rsidR="009563B4" w:rsidRPr="1E65A5F7">
        <w:rPr>
          <w:i/>
          <w:iCs/>
        </w:rPr>
        <w:t>Jango</w:t>
      </w:r>
      <w:r w:rsidR="009563B4">
        <w:t xml:space="preserve"> –</w:t>
      </w:r>
      <w:r>
        <w:t xml:space="preserve"> </w:t>
      </w:r>
      <w:r w:rsidR="009563B4">
        <w:t xml:space="preserve">committees of the </w:t>
      </w:r>
      <w:r>
        <w:t xml:space="preserve">village </w:t>
      </w:r>
      <w:r w:rsidR="009563B4">
        <w:t xml:space="preserve">elders where decisions </w:t>
      </w:r>
      <w:r w:rsidR="00590227">
        <w:t>are made</w:t>
      </w:r>
      <w:r>
        <w:t xml:space="preserve"> </w:t>
      </w:r>
      <w:r w:rsidR="009563B4">
        <w:t>– accept</w:t>
      </w:r>
      <w:r>
        <w:t>ed</w:t>
      </w:r>
      <w:r w:rsidR="009563B4">
        <w:t xml:space="preserve"> the participation of women. </w:t>
      </w:r>
      <w:r w:rsidR="009563B4" w:rsidRPr="1E65A5F7">
        <w:rPr>
          <w:b/>
          <w:bCs/>
        </w:rPr>
        <w:t xml:space="preserve">Hence, </w:t>
      </w:r>
      <w:r w:rsidRPr="1E65A5F7">
        <w:rPr>
          <w:b/>
          <w:bCs/>
        </w:rPr>
        <w:t xml:space="preserve">resolution </w:t>
      </w:r>
      <w:r w:rsidR="009563B4" w:rsidRPr="1E65A5F7">
        <w:rPr>
          <w:b/>
          <w:bCs/>
        </w:rPr>
        <w:t xml:space="preserve">of agricultural </w:t>
      </w:r>
      <w:r w:rsidR="00590227" w:rsidRPr="1E65A5F7">
        <w:rPr>
          <w:b/>
          <w:bCs/>
        </w:rPr>
        <w:t xml:space="preserve">problems </w:t>
      </w:r>
      <w:r w:rsidR="009563B4" w:rsidRPr="1E65A5F7">
        <w:rPr>
          <w:b/>
          <w:bCs/>
        </w:rPr>
        <w:t>in Angola, especially family farming, need</w:t>
      </w:r>
      <w:r w:rsidR="00590227" w:rsidRPr="1E65A5F7">
        <w:rPr>
          <w:b/>
          <w:bCs/>
        </w:rPr>
        <w:t>s</w:t>
      </w:r>
      <w:r w:rsidR="009563B4" w:rsidRPr="1E65A5F7">
        <w:rPr>
          <w:b/>
          <w:bCs/>
        </w:rPr>
        <w:t xml:space="preserve"> </w:t>
      </w:r>
      <w:r w:rsidR="00590227" w:rsidRPr="1E65A5F7">
        <w:rPr>
          <w:b/>
          <w:bCs/>
        </w:rPr>
        <w:t xml:space="preserve">a </w:t>
      </w:r>
      <w:r w:rsidR="009563B4" w:rsidRPr="1E65A5F7">
        <w:rPr>
          <w:b/>
          <w:bCs/>
        </w:rPr>
        <w:t>gender-sensitive approach</w:t>
      </w:r>
      <w:r w:rsidR="009563B4">
        <w:t xml:space="preserve">. </w:t>
      </w:r>
    </w:p>
    <w:p w14:paraId="300CC514" w14:textId="675C890A" w:rsidR="009563B4" w:rsidRPr="00590227" w:rsidRDefault="009563B4" w:rsidP="001667C6">
      <w:pPr>
        <w:pStyle w:val="ParagraphOED"/>
        <w:numPr>
          <w:ilvl w:val="0"/>
          <w:numId w:val="102"/>
        </w:numPr>
        <w:spacing w:after="0"/>
        <w:rPr>
          <w:rFonts w:ascii="Arial" w:eastAsia="Times New Roman" w:hAnsi="Arial" w:cs="Arial"/>
          <w:color w:val="000000"/>
          <w:lang w:eastAsia="de-DE"/>
        </w:rPr>
      </w:pPr>
      <w:r>
        <w:t>As gender equality is at the core of the proposed project, a gender-sensitive approach and analysis were</w:t>
      </w:r>
      <w:r w:rsidR="00590227">
        <w:t xml:space="preserve"> adopted</w:t>
      </w:r>
      <w:r>
        <w:t xml:space="preserve"> during the PPG process and will </w:t>
      </w:r>
      <w:r w:rsidR="00590227">
        <w:t>be embedded within</w:t>
      </w:r>
      <w:r>
        <w:t xml:space="preserve"> project implementation. Particular attention will be given women and the</w:t>
      </w:r>
      <w:r w:rsidR="00590227">
        <w:t>ir</w:t>
      </w:r>
      <w:r>
        <w:t xml:space="preserve"> specific vulnerability </w:t>
      </w:r>
      <w:r w:rsidR="00590227">
        <w:t>in</w:t>
      </w:r>
      <w:r>
        <w:t xml:space="preserve"> women-lead households</w:t>
      </w:r>
      <w:r w:rsidR="00590227">
        <w:t>.</w:t>
      </w:r>
      <w:r>
        <w:t xml:space="preserve"> </w:t>
      </w:r>
      <w:r w:rsidR="00590227">
        <w:t>G</w:t>
      </w:r>
      <w:r>
        <w:t xml:space="preserve">ender gaps </w:t>
      </w:r>
      <w:r w:rsidR="00590227">
        <w:t xml:space="preserve">Identified </w:t>
      </w:r>
      <w:r>
        <w:t>in the agricultural sector are:</w:t>
      </w:r>
    </w:p>
    <w:p w14:paraId="74F161A3" w14:textId="63BE3B92" w:rsidR="009563B4" w:rsidRPr="004B0FFB" w:rsidRDefault="009563B4" w:rsidP="001667C6">
      <w:pPr>
        <w:pStyle w:val="ListParagraph"/>
        <w:numPr>
          <w:ilvl w:val="0"/>
          <w:numId w:val="76"/>
        </w:numPr>
        <w:rPr>
          <w:rFonts w:asciiTheme="minorHAnsi" w:hAnsiTheme="minorHAnsi" w:cstheme="minorHAnsi"/>
          <w:sz w:val="21"/>
          <w:szCs w:val="21"/>
        </w:rPr>
      </w:pPr>
      <w:r w:rsidRPr="004B0FFB">
        <w:rPr>
          <w:rFonts w:asciiTheme="minorHAnsi" w:hAnsiTheme="minorHAnsi" w:cstheme="minorHAnsi"/>
          <w:sz w:val="21"/>
          <w:szCs w:val="21"/>
        </w:rPr>
        <w:t>access to economic resources</w:t>
      </w:r>
      <w:r w:rsidR="00590227">
        <w:rPr>
          <w:rFonts w:asciiTheme="minorHAnsi" w:hAnsiTheme="minorHAnsi" w:cstheme="minorHAnsi"/>
          <w:sz w:val="21"/>
          <w:szCs w:val="21"/>
        </w:rPr>
        <w:t>,</w:t>
      </w:r>
      <w:r w:rsidRPr="004B0FFB">
        <w:rPr>
          <w:rFonts w:asciiTheme="minorHAnsi" w:hAnsiTheme="minorHAnsi" w:cstheme="minorHAnsi"/>
          <w:sz w:val="21"/>
          <w:szCs w:val="21"/>
        </w:rPr>
        <w:t xml:space="preserve"> such as productive land, cash and credit;</w:t>
      </w:r>
    </w:p>
    <w:p w14:paraId="6B3BA518" w14:textId="77777777" w:rsidR="009563B4" w:rsidRPr="004B0FFB" w:rsidRDefault="009563B4" w:rsidP="001667C6">
      <w:pPr>
        <w:pStyle w:val="ListParagraph"/>
        <w:numPr>
          <w:ilvl w:val="0"/>
          <w:numId w:val="76"/>
        </w:numPr>
        <w:rPr>
          <w:rFonts w:asciiTheme="minorHAnsi" w:hAnsiTheme="minorHAnsi" w:cstheme="minorHAnsi"/>
          <w:sz w:val="21"/>
          <w:szCs w:val="21"/>
        </w:rPr>
      </w:pPr>
      <w:r w:rsidRPr="004B0FFB">
        <w:rPr>
          <w:rFonts w:asciiTheme="minorHAnsi" w:hAnsiTheme="minorHAnsi" w:cstheme="minorHAnsi"/>
          <w:sz w:val="21"/>
          <w:szCs w:val="21"/>
        </w:rPr>
        <w:t>tools, agricultural inputs such as seeds, fertilizer, etc.;</w:t>
      </w:r>
      <w:r w:rsidRPr="004B0FFB" w:rsidDel="00F5365C">
        <w:rPr>
          <w:rFonts w:asciiTheme="minorHAnsi" w:hAnsiTheme="minorHAnsi" w:cstheme="minorHAnsi"/>
          <w:sz w:val="21"/>
          <w:szCs w:val="21"/>
        </w:rPr>
        <w:t xml:space="preserve"> </w:t>
      </w:r>
    </w:p>
    <w:p w14:paraId="6A3985B9" w14:textId="64022810" w:rsidR="009563B4" w:rsidRPr="004B0FFB" w:rsidRDefault="009563B4" w:rsidP="001667C6">
      <w:pPr>
        <w:pStyle w:val="ListParagraph"/>
        <w:numPr>
          <w:ilvl w:val="0"/>
          <w:numId w:val="76"/>
        </w:numPr>
        <w:rPr>
          <w:rFonts w:asciiTheme="minorHAnsi" w:hAnsiTheme="minorHAnsi" w:cstheme="minorHAnsi"/>
          <w:sz w:val="21"/>
          <w:szCs w:val="21"/>
        </w:rPr>
      </w:pPr>
      <w:r w:rsidRPr="004B0FFB">
        <w:rPr>
          <w:rFonts w:asciiTheme="minorHAnsi" w:hAnsiTheme="minorHAnsi" w:cstheme="minorHAnsi"/>
          <w:sz w:val="21"/>
          <w:szCs w:val="21"/>
        </w:rPr>
        <w:t>skills</w:t>
      </w:r>
      <w:r w:rsidR="00590227">
        <w:rPr>
          <w:rFonts w:asciiTheme="minorHAnsi" w:hAnsiTheme="minorHAnsi" w:cstheme="minorHAnsi"/>
          <w:sz w:val="21"/>
          <w:szCs w:val="21"/>
        </w:rPr>
        <w:t xml:space="preserve"> and</w:t>
      </w:r>
      <w:r w:rsidRPr="004B0FFB">
        <w:rPr>
          <w:rFonts w:asciiTheme="minorHAnsi" w:hAnsiTheme="minorHAnsi" w:cstheme="minorHAnsi"/>
          <w:sz w:val="21"/>
          <w:szCs w:val="21"/>
        </w:rPr>
        <w:t xml:space="preserve"> technological knowledge;</w:t>
      </w:r>
    </w:p>
    <w:p w14:paraId="3BCBFBB9" w14:textId="414AE40D" w:rsidR="009563B4" w:rsidRPr="004B0FFB" w:rsidRDefault="009563B4" w:rsidP="001667C6">
      <w:pPr>
        <w:pStyle w:val="ListParagraph"/>
        <w:numPr>
          <w:ilvl w:val="0"/>
          <w:numId w:val="76"/>
        </w:numPr>
        <w:rPr>
          <w:rFonts w:asciiTheme="minorHAnsi" w:hAnsiTheme="minorHAnsi" w:cstheme="minorHAnsi"/>
          <w:sz w:val="21"/>
          <w:szCs w:val="21"/>
        </w:rPr>
      </w:pPr>
      <w:r w:rsidRPr="004B0FFB">
        <w:rPr>
          <w:rFonts w:asciiTheme="minorHAnsi" w:hAnsiTheme="minorHAnsi" w:cstheme="minorHAnsi"/>
          <w:sz w:val="21"/>
          <w:szCs w:val="21"/>
        </w:rPr>
        <w:t>market institutions and market access, including transportation;</w:t>
      </w:r>
      <w:r w:rsidR="00590227">
        <w:rPr>
          <w:rFonts w:asciiTheme="minorHAnsi" w:hAnsiTheme="minorHAnsi" w:cstheme="minorHAnsi"/>
          <w:sz w:val="21"/>
          <w:szCs w:val="21"/>
        </w:rPr>
        <w:t xml:space="preserve"> and</w:t>
      </w:r>
    </w:p>
    <w:p w14:paraId="1B84C92B" w14:textId="41C7C913" w:rsidR="009563B4" w:rsidRPr="004B0FFB" w:rsidRDefault="009563B4" w:rsidP="001667C6">
      <w:pPr>
        <w:pStyle w:val="ListParagraph"/>
        <w:numPr>
          <w:ilvl w:val="0"/>
          <w:numId w:val="76"/>
        </w:numPr>
        <w:rPr>
          <w:rFonts w:asciiTheme="minorHAnsi" w:hAnsiTheme="minorHAnsi" w:cstheme="minorHAnsi"/>
          <w:sz w:val="21"/>
          <w:szCs w:val="21"/>
        </w:rPr>
      </w:pPr>
      <w:r w:rsidRPr="004B0FFB">
        <w:rPr>
          <w:rFonts w:asciiTheme="minorHAnsi" w:hAnsiTheme="minorHAnsi" w:cstheme="minorHAnsi"/>
          <w:sz w:val="21"/>
          <w:szCs w:val="21"/>
        </w:rPr>
        <w:t>income</w:t>
      </w:r>
      <w:r w:rsidR="00590227">
        <w:rPr>
          <w:rFonts w:asciiTheme="minorHAnsi" w:hAnsiTheme="minorHAnsi" w:cstheme="minorHAnsi"/>
          <w:sz w:val="21"/>
          <w:szCs w:val="21"/>
        </w:rPr>
        <w:t>-</w:t>
      </w:r>
      <w:r w:rsidRPr="004B0FFB">
        <w:rPr>
          <w:rFonts w:asciiTheme="minorHAnsi" w:hAnsiTheme="minorHAnsi" w:cstheme="minorHAnsi"/>
          <w:sz w:val="21"/>
          <w:szCs w:val="21"/>
        </w:rPr>
        <w:t>generating projects in innovative agricultural and non-agricultural sectors.</w:t>
      </w:r>
    </w:p>
    <w:p w14:paraId="20611447" w14:textId="2AAAE9B0" w:rsidR="0030528C" w:rsidRPr="0030528C" w:rsidRDefault="009563B4" w:rsidP="001667C6">
      <w:pPr>
        <w:pStyle w:val="ParagraphOED"/>
        <w:numPr>
          <w:ilvl w:val="0"/>
          <w:numId w:val="102"/>
        </w:numPr>
        <w:spacing w:after="160"/>
      </w:pPr>
      <w:r w:rsidRPr="00CE1EA7">
        <w:t xml:space="preserve">During the PPG phase a </w:t>
      </w:r>
      <w:r w:rsidRPr="1E65A5F7">
        <w:rPr>
          <w:i/>
          <w:iCs/>
        </w:rPr>
        <w:t>Self-Evaluation and Holistic Assessment of Climate Resilience of Farmers and Pastoralists</w:t>
      </w:r>
      <w:r w:rsidRPr="00CE1EA7">
        <w:t xml:space="preserve"> (SHARP) was </w:t>
      </w:r>
      <w:r w:rsidR="00D53D81" w:rsidRPr="619CA689">
        <w:t xml:space="preserve">undertaken in the two project intervention landscapes of Cahama and Cuchi. </w:t>
      </w:r>
      <w:r w:rsidR="0030528C" w:rsidRPr="619CA689">
        <w:t xml:space="preserve">The SHARP results highlight a picture of gender-based inequality in the project </w:t>
      </w:r>
      <w:r w:rsidR="0030528C" w:rsidRPr="619CA689">
        <w:lastRenderedPageBreak/>
        <w:t>landscapes with respect to the labour burden within households, land tenure, other socio-economic patterns and, importantly, decision-making processes on farms</w:t>
      </w:r>
      <w:r w:rsidR="0030528C" w:rsidRPr="00745F08">
        <w:rPr>
          <w:szCs w:val="21"/>
        </w:rPr>
        <w:t xml:space="preserve">. </w:t>
      </w:r>
      <w:r w:rsidR="00D53D81" w:rsidRPr="619CA689">
        <w:t xml:space="preserve">Findings are highlighted in </w:t>
      </w:r>
      <w:r w:rsidRPr="00745F08">
        <w:rPr>
          <w:highlight w:val="lightGray"/>
          <w:u w:val="single"/>
        </w:rPr>
        <w:fldChar w:fldCharType="begin"/>
      </w:r>
      <w:r w:rsidRPr="00745F08">
        <w:rPr>
          <w:highlight w:val="lightGray"/>
          <w:u w:val="single"/>
        </w:rPr>
        <w:instrText xml:space="preserve"> REF _Ref34900223 \h  \* MERGEFORMAT </w:instrText>
      </w:r>
      <w:r w:rsidRPr="00745F08">
        <w:rPr>
          <w:highlight w:val="lightGray"/>
          <w:u w:val="single"/>
        </w:rPr>
      </w:r>
      <w:r w:rsidRPr="00745F08">
        <w:rPr>
          <w:highlight w:val="lightGray"/>
          <w:u w:val="single"/>
        </w:rPr>
        <w:fldChar w:fldCharType="separate"/>
      </w:r>
      <w:r w:rsidR="00A64193" w:rsidRPr="00745F08">
        <w:rPr>
          <w:highlight w:val="lightGray"/>
          <w:u w:val="single"/>
        </w:rPr>
        <w:t>Box</w:t>
      </w:r>
      <w:r w:rsidR="00A64193" w:rsidRPr="00C066ED">
        <w:rPr>
          <w:highlight w:val="lightGray"/>
          <w:u w:val="single"/>
        </w:rPr>
        <w:t xml:space="preserve"> </w:t>
      </w:r>
      <w:r w:rsidR="00A64193" w:rsidRPr="00745F08">
        <w:rPr>
          <w:noProof/>
          <w:sz w:val="22"/>
          <w:szCs w:val="22"/>
        </w:rPr>
        <w:t>10</w:t>
      </w:r>
      <w:r w:rsidRPr="00745F08">
        <w:rPr>
          <w:highlight w:val="lightGray"/>
          <w:u w:val="single"/>
        </w:rPr>
        <w:fldChar w:fldCharType="end"/>
      </w:r>
      <w:r w:rsidR="00D53D81" w:rsidRPr="619CA689">
        <w:t xml:space="preserve"> and full details </w:t>
      </w:r>
      <w:r w:rsidR="00C83FE3" w:rsidRPr="619CA689">
        <w:t xml:space="preserve">are </w:t>
      </w:r>
      <w:r w:rsidR="00D53D81" w:rsidRPr="619CA689">
        <w:t>in the draft report.</w:t>
      </w:r>
      <w:r w:rsidR="00D53D81" w:rsidRPr="619CA689">
        <w:rPr>
          <w:rStyle w:val="FootnoteReference"/>
        </w:rPr>
        <w:footnoteReference w:id="99"/>
      </w:r>
      <w:r w:rsidR="00D53D81" w:rsidRPr="619CA689">
        <w:t xml:space="preserve"> These findings provide the basis to </w:t>
      </w:r>
      <w:r w:rsidR="00C87ACA" w:rsidRPr="619CA689">
        <w:t>identifying g</w:t>
      </w:r>
      <w:r w:rsidR="00D53D81" w:rsidRPr="619CA689">
        <w:t xml:space="preserve">ender </w:t>
      </w:r>
      <w:r w:rsidR="00C87ACA" w:rsidRPr="619CA689">
        <w:t>e</w:t>
      </w:r>
      <w:r w:rsidR="00D53D81" w:rsidRPr="619CA689">
        <w:t xml:space="preserve">ntry </w:t>
      </w:r>
      <w:r w:rsidR="00C87ACA" w:rsidRPr="619CA689">
        <w:t>p</w:t>
      </w:r>
      <w:r w:rsidR="00D53D81" w:rsidRPr="619CA689">
        <w:t xml:space="preserve">oints for </w:t>
      </w:r>
      <w:r w:rsidR="00C87ACA" w:rsidRPr="619CA689">
        <w:t>m</w:t>
      </w:r>
      <w:r w:rsidR="00D53D81" w:rsidRPr="619CA689">
        <w:t xml:space="preserve">onitoring during </w:t>
      </w:r>
      <w:r w:rsidR="00C87ACA" w:rsidRPr="619CA689">
        <w:t>p</w:t>
      </w:r>
      <w:r w:rsidR="00D53D81" w:rsidRPr="619CA689">
        <w:t>roject Implementation</w:t>
      </w:r>
      <w:r w:rsidR="00C87ACA" w:rsidRPr="619CA689">
        <w:t xml:space="preserve"> in </w:t>
      </w:r>
      <w:r w:rsidR="00C87ACA" w:rsidRPr="00745F08">
        <w:rPr>
          <w:highlight w:val="lightGray"/>
        </w:rPr>
        <w:fldChar w:fldCharType="begin"/>
      </w:r>
      <w:r w:rsidR="00C87ACA" w:rsidRPr="00745F08">
        <w:rPr>
          <w:highlight w:val="lightGray"/>
        </w:rPr>
        <w:instrText xml:space="preserve"> REF _Ref45738825 \h  \* MERGEFORMAT </w:instrText>
      </w:r>
      <w:r w:rsidR="00C87ACA" w:rsidRPr="00745F08">
        <w:rPr>
          <w:highlight w:val="lightGray"/>
        </w:rPr>
      </w:r>
      <w:r w:rsidR="00C87ACA" w:rsidRPr="00745F08">
        <w:rPr>
          <w:highlight w:val="lightGray"/>
        </w:rPr>
        <w:fldChar w:fldCharType="separate"/>
      </w:r>
      <w:r w:rsidR="00A64193" w:rsidRPr="00745F08">
        <w:rPr>
          <w:highlight w:val="lightGray"/>
        </w:rPr>
        <w:t xml:space="preserve">Table </w:t>
      </w:r>
      <w:r w:rsidR="00A64193" w:rsidRPr="00745F08">
        <w:rPr>
          <w:noProof/>
          <w:highlight w:val="lightGray"/>
        </w:rPr>
        <w:t>7</w:t>
      </w:r>
      <w:r w:rsidR="00C87ACA" w:rsidRPr="00745F08">
        <w:rPr>
          <w:highlight w:val="lightGray"/>
        </w:rPr>
        <w:fldChar w:fldCharType="end"/>
      </w:r>
      <w:r w:rsidR="00C87ACA" w:rsidRPr="619CA689">
        <w:t xml:space="preserve"> and the </w:t>
      </w:r>
      <w:r w:rsidR="008D675A" w:rsidRPr="619CA689">
        <w:t xml:space="preserve">Gender Analysis and </w:t>
      </w:r>
      <w:r w:rsidR="00C87ACA" w:rsidRPr="619CA689">
        <w:t>Action</w:t>
      </w:r>
      <w:r w:rsidR="000B692F" w:rsidRPr="619CA689">
        <w:t xml:space="preserve"> Plan that follow</w:t>
      </w:r>
      <w:r w:rsidR="00C83FE3" w:rsidRPr="619CA689">
        <w:t>s</w:t>
      </w:r>
      <w:r w:rsidR="000B692F" w:rsidRPr="619CA689">
        <w:t xml:space="preserve"> in Section 3b.</w:t>
      </w:r>
    </w:p>
    <w:p w14:paraId="50942919" w14:textId="0C512765" w:rsidR="009563B4" w:rsidRDefault="00C83FE3" w:rsidP="001667C6">
      <w:pPr>
        <w:pStyle w:val="ParagraphOED"/>
        <w:numPr>
          <w:ilvl w:val="0"/>
          <w:numId w:val="102"/>
        </w:numPr>
        <w:spacing w:after="160"/>
      </w:pPr>
      <w:r>
        <w:t>The gender equality tag applied to the project is G2A:</w:t>
      </w:r>
    </w:p>
    <w:tbl>
      <w:tblPr>
        <w:tblStyle w:val="TableGrid"/>
        <w:tblW w:w="4994" w:type="pct"/>
        <w:tblLook w:val="04A0" w:firstRow="1" w:lastRow="0" w:firstColumn="1" w:lastColumn="0" w:noHBand="0" w:noVBand="1"/>
      </w:tblPr>
      <w:tblGrid>
        <w:gridCol w:w="9005"/>
      </w:tblGrid>
      <w:tr w:rsidR="008D675A" w14:paraId="5AD2A14B" w14:textId="77777777" w:rsidTr="36822015">
        <w:tc>
          <w:tcPr>
            <w:tcW w:w="5000" w:type="pct"/>
          </w:tcPr>
          <w:p w14:paraId="607EEE67" w14:textId="77777777" w:rsidR="00C83FE3" w:rsidRDefault="008D675A" w:rsidP="00EC2AA8">
            <w:pPr>
              <w:rPr>
                <w:rFonts w:ascii="Calibri" w:hAnsi="Calibri" w:cs="Calibri"/>
                <w:sz w:val="21"/>
                <w:szCs w:val="21"/>
              </w:rPr>
            </w:pPr>
            <w:r w:rsidRPr="008D675A">
              <w:rPr>
                <w:rFonts w:ascii="Calibri" w:hAnsi="Calibri" w:cs="Calibri"/>
                <w:b/>
                <w:sz w:val="21"/>
                <w:szCs w:val="21"/>
              </w:rPr>
              <w:t>GENDER MARKING:</w:t>
            </w:r>
            <w:r w:rsidRPr="008D675A">
              <w:rPr>
                <w:rFonts w:ascii="Calibri" w:hAnsi="Calibri" w:cs="Calibri"/>
                <w:sz w:val="21"/>
                <w:szCs w:val="21"/>
              </w:rPr>
              <w:t xml:space="preserve"> The current project has been tagged as </w:t>
            </w:r>
            <w:r w:rsidRPr="008D675A">
              <w:rPr>
                <w:rFonts w:ascii="Calibri" w:hAnsi="Calibri" w:cs="Calibri"/>
                <w:b/>
                <w:sz w:val="21"/>
                <w:szCs w:val="21"/>
              </w:rPr>
              <w:t>G2A</w:t>
            </w:r>
            <w:r w:rsidRPr="008D675A">
              <w:rPr>
                <w:rFonts w:ascii="Calibri" w:hAnsi="Calibri" w:cs="Calibri"/>
                <w:sz w:val="21"/>
                <w:szCs w:val="21"/>
              </w:rPr>
              <w:t xml:space="preserve"> (see cover page) </w:t>
            </w:r>
          </w:p>
          <w:p w14:paraId="6D6BC788" w14:textId="1047400E" w:rsidR="008D675A" w:rsidRPr="008D675A" w:rsidRDefault="008D675A" w:rsidP="00EC2AA8">
            <w:pPr>
              <w:rPr>
                <w:rFonts w:ascii="Calibri" w:hAnsi="Calibri" w:cs="Calibri"/>
                <w:sz w:val="21"/>
                <w:szCs w:val="21"/>
              </w:rPr>
            </w:pPr>
            <w:r w:rsidRPr="008D675A">
              <w:rPr>
                <w:rFonts w:ascii="Calibri" w:hAnsi="Calibri" w:cs="Calibri"/>
                <w:sz w:val="21"/>
                <w:szCs w:val="21"/>
              </w:rPr>
              <w:t xml:space="preserve">i.e. it “... </w:t>
            </w:r>
            <w:r w:rsidRPr="36822015">
              <w:rPr>
                <w:rFonts w:ascii="Calibri" w:hAnsi="Calibri" w:cs="Calibri"/>
                <w:i/>
                <w:iCs/>
                <w:sz w:val="21"/>
                <w:szCs w:val="21"/>
              </w:rPr>
              <w:t>addresses gender equality in a systematic way, but this is not one of its main objectives</w:t>
            </w:r>
            <w:r w:rsidRPr="008D675A">
              <w:rPr>
                <w:rFonts w:ascii="Calibri" w:hAnsi="Calibri" w:cs="Calibri"/>
                <w:sz w:val="21"/>
                <w:szCs w:val="21"/>
              </w:rPr>
              <w:t>”.</w:t>
            </w:r>
            <w:r w:rsidRPr="008D675A">
              <w:rPr>
                <w:rStyle w:val="FootnoteReference"/>
                <w:rFonts w:ascii="Calibri" w:hAnsi="Calibri" w:cs="Calibri"/>
                <w:sz w:val="21"/>
                <w:szCs w:val="21"/>
              </w:rPr>
              <w:footnoteReference w:id="100"/>
            </w:r>
          </w:p>
        </w:tc>
      </w:tr>
    </w:tbl>
    <w:p w14:paraId="5EF97A8C" w14:textId="002218BF" w:rsidR="009563B4" w:rsidRPr="00442AC1" w:rsidRDefault="460C6265" w:rsidP="00EC2AA8">
      <w:pPr>
        <w:pStyle w:val="Caption"/>
        <w:keepLines/>
        <w:rPr>
          <w:rFonts w:ascii="Calibri" w:hAnsi="Calibri" w:cs="Calibri"/>
          <w:sz w:val="22"/>
          <w:szCs w:val="22"/>
        </w:rPr>
      </w:pPr>
      <w:bookmarkStart w:id="214" w:name="_Ref34900223"/>
      <w:bookmarkStart w:id="215" w:name="_Toc41492325"/>
      <w:bookmarkStart w:id="216" w:name="_Toc58398665"/>
      <w:r w:rsidRPr="3764D022">
        <w:rPr>
          <w:rFonts w:ascii="Calibri" w:hAnsi="Calibri" w:cs="Calibri"/>
          <w:sz w:val="22"/>
          <w:szCs w:val="22"/>
        </w:rPr>
        <w:t xml:space="preserve">Box </w:t>
      </w:r>
      <w:r w:rsidR="009563B4" w:rsidRPr="3764D022">
        <w:rPr>
          <w:rFonts w:ascii="Calibri" w:hAnsi="Calibri" w:cs="Calibri"/>
          <w:sz w:val="22"/>
          <w:szCs w:val="22"/>
        </w:rPr>
        <w:fldChar w:fldCharType="begin"/>
      </w:r>
      <w:r w:rsidR="009563B4" w:rsidRPr="3764D022">
        <w:rPr>
          <w:rFonts w:ascii="Calibri" w:hAnsi="Calibri" w:cs="Calibri"/>
          <w:sz w:val="22"/>
          <w:szCs w:val="22"/>
        </w:rPr>
        <w:instrText>SEQ Box \* ARABIC</w:instrText>
      </w:r>
      <w:r w:rsidR="009563B4" w:rsidRPr="3764D022">
        <w:rPr>
          <w:rFonts w:ascii="Calibri" w:hAnsi="Calibri" w:cs="Calibri"/>
          <w:sz w:val="22"/>
          <w:szCs w:val="22"/>
        </w:rPr>
        <w:fldChar w:fldCharType="separate"/>
      </w:r>
      <w:r w:rsidR="6BE00402" w:rsidRPr="3764D022">
        <w:rPr>
          <w:rFonts w:ascii="Calibri" w:hAnsi="Calibri" w:cs="Calibri"/>
          <w:noProof/>
          <w:sz w:val="22"/>
          <w:szCs w:val="22"/>
        </w:rPr>
        <w:t>10</w:t>
      </w:r>
      <w:r w:rsidR="009563B4" w:rsidRPr="3764D022">
        <w:rPr>
          <w:rFonts w:ascii="Calibri" w:hAnsi="Calibri" w:cs="Calibri"/>
          <w:sz w:val="22"/>
          <w:szCs w:val="22"/>
        </w:rPr>
        <w:fldChar w:fldCharType="end"/>
      </w:r>
      <w:bookmarkEnd w:id="214"/>
      <w:r w:rsidRPr="3764D022">
        <w:rPr>
          <w:rFonts w:ascii="Calibri" w:hAnsi="Calibri" w:cs="Calibri"/>
          <w:sz w:val="22"/>
          <w:szCs w:val="22"/>
        </w:rPr>
        <w:t>. SHARP</w:t>
      </w:r>
      <w:r w:rsidR="178A9E83" w:rsidRPr="3764D022">
        <w:rPr>
          <w:rFonts w:ascii="Calibri" w:hAnsi="Calibri" w:cs="Calibri"/>
          <w:sz w:val="22"/>
          <w:szCs w:val="22"/>
        </w:rPr>
        <w:t xml:space="preserve"> </w:t>
      </w:r>
      <w:r w:rsidR="45AE4216" w:rsidRPr="3764D022">
        <w:rPr>
          <w:rFonts w:ascii="Calibri" w:hAnsi="Calibri" w:cs="Calibri"/>
          <w:sz w:val="22"/>
          <w:szCs w:val="22"/>
        </w:rPr>
        <w:t xml:space="preserve">results </w:t>
      </w:r>
      <w:r w:rsidR="178A9E83" w:rsidRPr="3764D022">
        <w:rPr>
          <w:rFonts w:ascii="Calibri" w:hAnsi="Calibri" w:cs="Calibri"/>
          <w:sz w:val="22"/>
          <w:szCs w:val="22"/>
        </w:rPr>
        <w:t>summary</w:t>
      </w:r>
      <w:r w:rsidRPr="3764D022">
        <w:rPr>
          <w:rFonts w:ascii="Calibri" w:hAnsi="Calibri" w:cs="Calibri"/>
          <w:sz w:val="22"/>
          <w:szCs w:val="22"/>
        </w:rPr>
        <w:t xml:space="preserve">, including </w:t>
      </w:r>
      <w:r w:rsidR="178A9E83" w:rsidRPr="3764D022">
        <w:rPr>
          <w:rFonts w:ascii="Calibri" w:hAnsi="Calibri" w:cs="Calibri"/>
          <w:sz w:val="22"/>
          <w:szCs w:val="22"/>
        </w:rPr>
        <w:t>s</w:t>
      </w:r>
      <w:r w:rsidRPr="3764D022">
        <w:rPr>
          <w:rFonts w:ascii="Calibri" w:hAnsi="Calibri" w:cs="Calibri"/>
          <w:sz w:val="22"/>
          <w:szCs w:val="22"/>
        </w:rPr>
        <w:t>elf-assessed priorities</w:t>
      </w:r>
      <w:r w:rsidR="178A9E83" w:rsidRPr="3764D022">
        <w:rPr>
          <w:rFonts w:ascii="Calibri" w:hAnsi="Calibri" w:cs="Calibri"/>
          <w:sz w:val="22"/>
          <w:szCs w:val="22"/>
        </w:rPr>
        <w:t>,</w:t>
      </w:r>
      <w:r w:rsidRPr="3764D022">
        <w:rPr>
          <w:rFonts w:ascii="Calibri" w:hAnsi="Calibri" w:cs="Calibri"/>
          <w:sz w:val="22"/>
          <w:szCs w:val="22"/>
        </w:rPr>
        <w:t xml:space="preserve"> </w:t>
      </w:r>
      <w:r w:rsidR="178A9E83" w:rsidRPr="3764D022">
        <w:rPr>
          <w:rFonts w:ascii="Calibri" w:hAnsi="Calibri" w:cs="Calibri"/>
          <w:sz w:val="22"/>
          <w:szCs w:val="22"/>
        </w:rPr>
        <w:t>from</w:t>
      </w:r>
      <w:r w:rsidRPr="3764D022">
        <w:rPr>
          <w:rFonts w:ascii="Calibri" w:hAnsi="Calibri" w:cs="Calibri"/>
          <w:sz w:val="22"/>
          <w:szCs w:val="22"/>
        </w:rPr>
        <w:t xml:space="preserve"> project </w:t>
      </w:r>
      <w:bookmarkEnd w:id="215"/>
      <w:r w:rsidR="178A9E83" w:rsidRPr="3764D022">
        <w:rPr>
          <w:rFonts w:ascii="Calibri" w:hAnsi="Calibri" w:cs="Calibri"/>
          <w:sz w:val="22"/>
          <w:szCs w:val="22"/>
        </w:rPr>
        <w:t>target landscapes</w:t>
      </w:r>
      <w:bookmarkEnd w:id="216"/>
    </w:p>
    <w:tbl>
      <w:tblPr>
        <w:tblStyle w:val="TableGrid"/>
        <w:tblW w:w="8640" w:type="dxa"/>
        <w:jc w:val="center"/>
        <w:shd w:val="clear" w:color="auto" w:fill="FFFFFF" w:themeFill="background1"/>
        <w:tblLook w:val="04A0" w:firstRow="1" w:lastRow="0" w:firstColumn="1" w:lastColumn="0" w:noHBand="0" w:noVBand="1"/>
      </w:tblPr>
      <w:tblGrid>
        <w:gridCol w:w="9016"/>
      </w:tblGrid>
      <w:tr w:rsidR="009563B4" w:rsidRPr="000423FC" w14:paraId="46630A17" w14:textId="77777777" w:rsidTr="78C544BE">
        <w:trPr>
          <w:tblHeader/>
          <w:jc w:val="center"/>
        </w:trPr>
        <w:tc>
          <w:tcPr>
            <w:tcW w:w="9952" w:type="dxa"/>
            <w:shd w:val="clear" w:color="auto" w:fill="000000" w:themeFill="text1"/>
            <w:tcMar>
              <w:left w:w="57" w:type="dxa"/>
              <w:right w:w="57" w:type="dxa"/>
            </w:tcMar>
          </w:tcPr>
          <w:p w14:paraId="23DF3E3A" w14:textId="77777777" w:rsidR="009563B4" w:rsidRPr="000423FC" w:rsidRDefault="009563B4" w:rsidP="00EC2AA8">
            <w:pPr>
              <w:keepNext/>
              <w:keepLines/>
              <w:jc w:val="center"/>
              <w:rPr>
                <w:rFonts w:asciiTheme="minorHAnsi" w:hAnsiTheme="minorHAnsi" w:cstheme="minorHAnsi"/>
                <w:b/>
                <w:color w:val="FFFFFF" w:themeColor="background1"/>
                <w:sz w:val="20"/>
                <w:szCs w:val="20"/>
              </w:rPr>
            </w:pPr>
            <w:r w:rsidRPr="000423FC">
              <w:rPr>
                <w:rFonts w:asciiTheme="minorHAnsi" w:hAnsiTheme="minorHAnsi" w:cstheme="minorHAnsi"/>
                <w:b/>
                <w:color w:val="FFFFFF" w:themeColor="background1"/>
                <w:sz w:val="20"/>
                <w:szCs w:val="20"/>
              </w:rPr>
              <w:t>Baseline Household and Resilience Assessment Report, FAO, ROME JANUARY 2020</w:t>
            </w:r>
          </w:p>
        </w:tc>
      </w:tr>
      <w:tr w:rsidR="009563B4" w:rsidRPr="004D2FAD" w14:paraId="616A4E47" w14:textId="77777777" w:rsidTr="78C544BE">
        <w:trPr>
          <w:jc w:val="center"/>
        </w:trPr>
        <w:tc>
          <w:tcPr>
            <w:tcW w:w="9952" w:type="dxa"/>
            <w:shd w:val="clear" w:color="auto" w:fill="FFFFFF" w:themeFill="background1"/>
            <w:tcMar>
              <w:left w:w="57" w:type="dxa"/>
              <w:right w:w="57" w:type="dxa"/>
            </w:tcMar>
          </w:tcPr>
          <w:p w14:paraId="2555A366" w14:textId="1C241961" w:rsidR="009563B4" w:rsidRPr="000423FC" w:rsidRDefault="42786035" w:rsidP="004F3DF5">
            <w:pPr>
              <w:jc w:val="center"/>
              <w:rPr>
                <w:rFonts w:asciiTheme="minorHAnsi" w:hAnsiTheme="minorHAnsi" w:cstheme="minorHAnsi"/>
                <w:b/>
                <w:bCs/>
                <w:sz w:val="20"/>
                <w:szCs w:val="20"/>
              </w:rPr>
            </w:pPr>
            <w:r>
              <w:rPr>
                <w:noProof/>
              </w:rPr>
              <w:drawing>
                <wp:inline distT="0" distB="0" distL="0" distR="0" wp14:anchorId="559CBFAB" wp14:editId="3568ADED">
                  <wp:extent cx="5654042" cy="2677814"/>
                  <wp:effectExtent l="0" t="0" r="0" b="1905"/>
                  <wp:docPr id="231" name="Picture 231" descr="A group of people standing in front of a crow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1"/>
                          <pic:cNvPicPr/>
                        </pic:nvPicPr>
                        <pic:blipFill>
                          <a:blip r:embed="rId89">
                            <a:extLst>
                              <a:ext uri="{28A0092B-C50C-407E-A947-70E740481C1C}">
                                <a14:useLocalDpi xmlns:a14="http://schemas.microsoft.com/office/drawing/2010/main"/>
                              </a:ext>
                            </a:extLst>
                          </a:blip>
                          <a:stretch>
                            <a:fillRect/>
                          </a:stretch>
                        </pic:blipFill>
                        <pic:spPr>
                          <a:xfrm>
                            <a:off x="0" y="0"/>
                            <a:ext cx="5654042" cy="2677814"/>
                          </a:xfrm>
                          <a:prstGeom prst="rect">
                            <a:avLst/>
                          </a:prstGeom>
                        </pic:spPr>
                      </pic:pic>
                    </a:graphicData>
                  </a:graphic>
                </wp:inline>
              </w:drawing>
            </w:r>
          </w:p>
        </w:tc>
      </w:tr>
      <w:tr w:rsidR="000423FC" w:rsidRPr="004D2FAD" w14:paraId="72B06660" w14:textId="77777777" w:rsidTr="78C544BE">
        <w:trPr>
          <w:jc w:val="center"/>
        </w:trPr>
        <w:tc>
          <w:tcPr>
            <w:tcW w:w="9952" w:type="dxa"/>
            <w:shd w:val="clear" w:color="auto" w:fill="auto"/>
            <w:tcMar>
              <w:left w:w="57" w:type="dxa"/>
              <w:right w:w="57" w:type="dxa"/>
            </w:tcMar>
          </w:tcPr>
          <w:p w14:paraId="561ED601" w14:textId="77777777" w:rsidR="00684A64" w:rsidRPr="00FE528B" w:rsidRDefault="00684A64" w:rsidP="00684A64">
            <w:pPr>
              <w:spacing w:after="80"/>
              <w:rPr>
                <w:rFonts w:ascii="Calibri" w:eastAsia="Calibri" w:hAnsi="Calibri" w:cs="Calibri"/>
                <w:sz w:val="20"/>
                <w:szCs w:val="20"/>
                <w:shd w:val="clear" w:color="auto" w:fill="FFFFFF"/>
                <w:lang w:val="en-US" w:eastAsia="en-US"/>
              </w:rPr>
            </w:pPr>
            <w:r w:rsidRPr="00FE528B">
              <w:rPr>
                <w:rFonts w:ascii="Calibri" w:eastAsia="Calibri" w:hAnsi="Calibri" w:cs="Calibri"/>
                <w:sz w:val="20"/>
                <w:szCs w:val="20"/>
                <w:shd w:val="clear" w:color="auto" w:fill="FFFFFF"/>
                <w:lang w:val="en-US" w:eastAsia="en-US"/>
              </w:rPr>
              <w:t>A baseline survey was conducted in Cuchi and Cunene, Angola during the PPG phase using the SHARP tool, which was adapted to fit the context and objectives of the project. Particular attention was paid to crops, trees, land access, resource management (land, forest, water and energy) and selected socio-economic indicators. As such, a core set of 19 question-modules comprised the standard survey, with seven additional modules used to capture relevant aspects aligned to project objectives and its M&amp;E system.</w:t>
            </w:r>
          </w:p>
          <w:p w14:paraId="454F90B9" w14:textId="392A6437" w:rsidR="000423FC" w:rsidRPr="00FE528B" w:rsidRDefault="000423FC" w:rsidP="00CD15DA">
            <w:pPr>
              <w:pStyle w:val="ParagraphOED"/>
              <w:numPr>
                <w:ilvl w:val="0"/>
                <w:numId w:val="0"/>
              </w:numPr>
              <w:spacing w:before="80" w:after="0"/>
              <w:rPr>
                <w:sz w:val="20"/>
              </w:rPr>
            </w:pPr>
            <w:r w:rsidRPr="00FE528B">
              <w:rPr>
                <w:sz w:val="20"/>
              </w:rPr>
              <w:t xml:space="preserve">In Angola, women tend to be more reliant on </w:t>
            </w:r>
            <w:r w:rsidR="00442AC1" w:rsidRPr="00FE528B">
              <w:rPr>
                <w:sz w:val="20"/>
              </w:rPr>
              <w:t xml:space="preserve">land for </w:t>
            </w:r>
            <w:r w:rsidRPr="00FE528B">
              <w:rPr>
                <w:sz w:val="20"/>
              </w:rPr>
              <w:t>natural resources. Th</w:t>
            </w:r>
            <w:r w:rsidR="00442AC1" w:rsidRPr="00FE528B">
              <w:rPr>
                <w:sz w:val="20"/>
              </w:rPr>
              <w:t>us</w:t>
            </w:r>
            <w:r w:rsidRPr="00FE528B">
              <w:rPr>
                <w:sz w:val="20"/>
              </w:rPr>
              <w:t>, land degradation negatively affects them disproportiona</w:t>
            </w:r>
            <w:r w:rsidR="005579A4" w:rsidRPr="00FE528B">
              <w:rPr>
                <w:sz w:val="20"/>
              </w:rPr>
              <w:t>te</w:t>
            </w:r>
            <w:r w:rsidRPr="00FE528B">
              <w:rPr>
                <w:sz w:val="20"/>
              </w:rPr>
              <w:t>l</w:t>
            </w:r>
            <w:r w:rsidR="005579A4" w:rsidRPr="00FE528B">
              <w:rPr>
                <w:sz w:val="20"/>
              </w:rPr>
              <w:t>y</w:t>
            </w:r>
            <w:r w:rsidRPr="00FE528B">
              <w:rPr>
                <w:sz w:val="20"/>
              </w:rPr>
              <w:t xml:space="preserve">. Gender inequality is also often reflected in intra-household relationships and in land tenure and </w:t>
            </w:r>
            <w:r w:rsidR="005579A4" w:rsidRPr="00FE528B">
              <w:rPr>
                <w:sz w:val="20"/>
              </w:rPr>
              <w:t xml:space="preserve">its </w:t>
            </w:r>
            <w:r w:rsidRPr="00FE528B">
              <w:rPr>
                <w:sz w:val="20"/>
              </w:rPr>
              <w:t xml:space="preserve">governance more generally. </w:t>
            </w:r>
          </w:p>
          <w:p w14:paraId="4FDDDC82" w14:textId="23C9B2AE" w:rsidR="00A83455" w:rsidRPr="00FE528B" w:rsidRDefault="000423FC" w:rsidP="00CD15DA">
            <w:pPr>
              <w:spacing w:before="80"/>
              <w:rPr>
                <w:rFonts w:ascii="Calibri" w:hAnsi="Calibri" w:cs="Calibri"/>
                <w:lang w:val="en-US" w:eastAsia="en-US"/>
              </w:rPr>
            </w:pPr>
            <w:r w:rsidRPr="00FE528B">
              <w:rPr>
                <w:sz w:val="20"/>
              </w:rPr>
              <w:t xml:space="preserve">SHARP results </w:t>
            </w:r>
            <w:r w:rsidR="005579A4" w:rsidRPr="00FE528B">
              <w:rPr>
                <w:sz w:val="20"/>
              </w:rPr>
              <w:t>confirm</w:t>
            </w:r>
            <w:r w:rsidRPr="00FE528B">
              <w:rPr>
                <w:sz w:val="20"/>
              </w:rPr>
              <w:t xml:space="preserve"> a picture of </w:t>
            </w:r>
            <w:r w:rsidRPr="00FE528B">
              <w:rPr>
                <w:b/>
                <w:bCs/>
                <w:sz w:val="20"/>
              </w:rPr>
              <w:t>gender-based inequality</w:t>
            </w:r>
            <w:r w:rsidRPr="00FE528B">
              <w:rPr>
                <w:sz w:val="20"/>
              </w:rPr>
              <w:t xml:space="preserve"> in </w:t>
            </w:r>
            <w:r w:rsidR="005579A4" w:rsidRPr="00FE528B">
              <w:rPr>
                <w:sz w:val="20"/>
              </w:rPr>
              <w:t xml:space="preserve">the two </w:t>
            </w:r>
            <w:r w:rsidRPr="00FE528B">
              <w:rPr>
                <w:sz w:val="20"/>
              </w:rPr>
              <w:t xml:space="preserve">project </w:t>
            </w:r>
            <w:r w:rsidR="00442AC1" w:rsidRPr="00FE528B">
              <w:rPr>
                <w:sz w:val="20"/>
              </w:rPr>
              <w:t>landscapes</w:t>
            </w:r>
            <w:r w:rsidRPr="00FE528B">
              <w:rPr>
                <w:sz w:val="20"/>
              </w:rPr>
              <w:t xml:space="preserve"> – inequality that is also reflected </w:t>
            </w:r>
            <w:r w:rsidR="005579A4" w:rsidRPr="00FE528B">
              <w:rPr>
                <w:sz w:val="20"/>
              </w:rPr>
              <w:t>in</w:t>
            </w:r>
            <w:r w:rsidRPr="00FE528B">
              <w:rPr>
                <w:sz w:val="20"/>
              </w:rPr>
              <w:t xml:space="preserve"> how decisions </w:t>
            </w:r>
            <w:r w:rsidR="005579A4" w:rsidRPr="00FE528B">
              <w:rPr>
                <w:sz w:val="20"/>
              </w:rPr>
              <w:t xml:space="preserve">on land use and natural resources </w:t>
            </w:r>
            <w:r w:rsidRPr="00FE528B">
              <w:rPr>
                <w:sz w:val="20"/>
              </w:rPr>
              <w:t xml:space="preserve">are made within households by men and women. Inequality patterns in economic and political opportunities based on gender were noted </w:t>
            </w:r>
            <w:r w:rsidR="005579A4" w:rsidRPr="00FE528B">
              <w:rPr>
                <w:sz w:val="20"/>
              </w:rPr>
              <w:t>in</w:t>
            </w:r>
            <w:r w:rsidRPr="00FE528B">
              <w:rPr>
                <w:sz w:val="20"/>
              </w:rPr>
              <w:t xml:space="preserve"> 31% of  household </w:t>
            </w:r>
            <w:r w:rsidR="005579A4" w:rsidRPr="00FE528B">
              <w:rPr>
                <w:sz w:val="20"/>
              </w:rPr>
              <w:t>interviews</w:t>
            </w:r>
            <w:r w:rsidRPr="00FE528B">
              <w:rPr>
                <w:sz w:val="20"/>
              </w:rPr>
              <w:t xml:space="preserve">, </w:t>
            </w:r>
            <w:r w:rsidR="00702C7F" w:rsidRPr="00FE528B">
              <w:rPr>
                <w:sz w:val="20"/>
              </w:rPr>
              <w:t xml:space="preserve">as </w:t>
            </w:r>
            <w:r w:rsidRPr="00FE528B">
              <w:rPr>
                <w:sz w:val="20"/>
              </w:rPr>
              <w:t>against 64% where this was not noted. There was no further specification on whether this inequality was based on ethnic group kinship or religion – hence, it is assumed to purely gender-based.</w:t>
            </w:r>
          </w:p>
          <w:p w14:paraId="3074A0FA" w14:textId="27697798" w:rsidR="00A83455" w:rsidRPr="00FE528B" w:rsidRDefault="00CD15DA" w:rsidP="00CD15DA">
            <w:pPr>
              <w:spacing w:before="80"/>
              <w:rPr>
                <w:rFonts w:ascii="Calibri" w:hAnsi="Calibri" w:cs="Calibri"/>
                <w:b/>
                <w:bCs/>
                <w:i/>
                <w:iCs/>
                <w:sz w:val="20"/>
                <w:szCs w:val="20"/>
                <w:u w:val="single"/>
              </w:rPr>
            </w:pPr>
            <w:r w:rsidRPr="00FE528B">
              <w:rPr>
                <w:rFonts w:ascii="Calibri" w:hAnsi="Calibri" w:cs="Calibri"/>
                <w:sz w:val="20"/>
              </w:rPr>
              <w:t>H</w:t>
            </w:r>
            <w:r w:rsidRPr="00FE528B">
              <w:rPr>
                <w:rFonts w:ascii="Calibri" w:hAnsi="Calibri" w:cs="Calibri"/>
                <w:sz w:val="20"/>
                <w:szCs w:val="20"/>
              </w:rPr>
              <w:t xml:space="preserve">ousehold revenue is spent mainly on food and breeding </w:t>
            </w:r>
            <w:r w:rsidRPr="00FE528B">
              <w:rPr>
                <w:rFonts w:ascii="Calibri" w:hAnsi="Calibri" w:cs="Calibri"/>
                <w:sz w:val="20"/>
              </w:rPr>
              <w:t>livestock, with</w:t>
            </w:r>
            <w:r w:rsidRPr="00FE528B">
              <w:rPr>
                <w:rFonts w:ascii="Calibri" w:hAnsi="Calibri" w:cs="Calibri"/>
                <w:sz w:val="20"/>
                <w:szCs w:val="20"/>
              </w:rPr>
              <w:t xml:space="preserve"> men spend</w:t>
            </w:r>
            <w:r w:rsidRPr="00FE528B">
              <w:rPr>
                <w:rFonts w:ascii="Calibri" w:hAnsi="Calibri" w:cs="Calibri"/>
                <w:sz w:val="20"/>
              </w:rPr>
              <w:t>ing</w:t>
            </w:r>
            <w:r w:rsidRPr="00FE528B">
              <w:rPr>
                <w:rFonts w:ascii="Calibri" w:hAnsi="Calibri" w:cs="Calibri"/>
                <w:sz w:val="20"/>
                <w:szCs w:val="20"/>
              </w:rPr>
              <w:t xml:space="preserve"> more money on </w:t>
            </w:r>
            <w:r w:rsidRPr="00FE528B">
              <w:rPr>
                <w:rFonts w:ascii="Calibri" w:hAnsi="Calibri" w:cs="Calibri"/>
                <w:sz w:val="20"/>
              </w:rPr>
              <w:t>livestock and</w:t>
            </w:r>
            <w:r w:rsidRPr="00FE528B">
              <w:rPr>
                <w:rFonts w:ascii="Calibri" w:hAnsi="Calibri" w:cs="Calibri"/>
                <w:sz w:val="20"/>
                <w:szCs w:val="20"/>
              </w:rPr>
              <w:t xml:space="preserve"> women dedicat</w:t>
            </w:r>
            <w:r w:rsidRPr="00FE528B">
              <w:rPr>
                <w:rFonts w:ascii="Calibri" w:hAnsi="Calibri" w:cs="Calibri"/>
                <w:sz w:val="20"/>
              </w:rPr>
              <w:t>ing</w:t>
            </w:r>
            <w:r w:rsidRPr="00FE528B">
              <w:rPr>
                <w:rFonts w:ascii="Calibri" w:hAnsi="Calibri" w:cs="Calibri"/>
                <w:sz w:val="20"/>
                <w:szCs w:val="20"/>
              </w:rPr>
              <w:t xml:space="preserve"> most of their </w:t>
            </w:r>
            <w:r w:rsidRPr="00FE528B">
              <w:rPr>
                <w:rFonts w:ascii="Calibri" w:hAnsi="Calibri" w:cs="Calibri"/>
                <w:sz w:val="20"/>
              </w:rPr>
              <w:t xml:space="preserve">income </w:t>
            </w:r>
            <w:r w:rsidRPr="00FE528B">
              <w:rPr>
                <w:rFonts w:ascii="Calibri" w:hAnsi="Calibri" w:cs="Calibri"/>
                <w:sz w:val="20"/>
                <w:szCs w:val="20"/>
              </w:rPr>
              <w:t>to food</w:t>
            </w:r>
            <w:r w:rsidRPr="00FE528B">
              <w:rPr>
                <w:rFonts w:ascii="Calibri" w:hAnsi="Calibri" w:cs="Calibri"/>
                <w:sz w:val="20"/>
              </w:rPr>
              <w:t xml:space="preserve">. </w:t>
            </w:r>
            <w:r w:rsidR="00A83455" w:rsidRPr="00FE528B">
              <w:rPr>
                <w:rFonts w:ascii="Calibri" w:hAnsi="Calibri" w:cs="Calibri"/>
                <w:b/>
                <w:bCs/>
                <w:i/>
                <w:iCs/>
                <w:sz w:val="20"/>
                <w:szCs w:val="20"/>
                <w:u w:val="single"/>
              </w:rPr>
              <w:t>The main gender gap</w:t>
            </w:r>
            <w:r w:rsidRPr="00FE528B">
              <w:rPr>
                <w:rFonts w:ascii="Calibri" w:hAnsi="Calibri" w:cs="Calibri"/>
                <w:b/>
                <w:bCs/>
                <w:i/>
                <w:iCs/>
                <w:sz w:val="20"/>
                <w:szCs w:val="20"/>
                <w:u w:val="single"/>
              </w:rPr>
              <w:t>s</w:t>
            </w:r>
            <w:r w:rsidR="00A83455" w:rsidRPr="00FE528B">
              <w:rPr>
                <w:rFonts w:ascii="Calibri" w:hAnsi="Calibri" w:cs="Calibri"/>
                <w:b/>
                <w:bCs/>
                <w:i/>
                <w:iCs/>
                <w:sz w:val="20"/>
                <w:szCs w:val="20"/>
                <w:u w:val="single"/>
              </w:rPr>
              <w:t xml:space="preserve"> include: </w:t>
            </w:r>
          </w:p>
          <w:p w14:paraId="05506BB8" w14:textId="77777777" w:rsidR="00A83455" w:rsidRPr="00FE528B" w:rsidRDefault="00A83455" w:rsidP="001667C6">
            <w:pPr>
              <w:pStyle w:val="ListParagraph"/>
              <w:numPr>
                <w:ilvl w:val="0"/>
                <w:numId w:val="39"/>
              </w:numPr>
              <w:spacing w:after="120"/>
              <w:ind w:left="462" w:hanging="284"/>
              <w:rPr>
                <w:rFonts w:cs="Calibri"/>
                <w:color w:val="auto"/>
                <w:sz w:val="18"/>
                <w:szCs w:val="18"/>
              </w:rPr>
            </w:pPr>
            <w:r w:rsidRPr="00FE528B">
              <w:rPr>
                <w:rFonts w:cs="Calibri"/>
                <w:color w:val="auto"/>
                <w:sz w:val="18"/>
                <w:szCs w:val="18"/>
              </w:rPr>
              <w:t xml:space="preserve">Land tenure security reported by 63% of male respondents, against 36% of female ones. </w:t>
            </w:r>
          </w:p>
          <w:p w14:paraId="79411D99" w14:textId="77777777" w:rsidR="00A83455" w:rsidRPr="00FE528B" w:rsidRDefault="00A83455" w:rsidP="001667C6">
            <w:pPr>
              <w:pStyle w:val="ListParagraph"/>
              <w:numPr>
                <w:ilvl w:val="0"/>
                <w:numId w:val="39"/>
              </w:numPr>
              <w:spacing w:after="120"/>
              <w:ind w:left="462" w:hanging="284"/>
              <w:rPr>
                <w:rFonts w:cs="Calibri"/>
                <w:color w:val="auto"/>
                <w:sz w:val="18"/>
                <w:szCs w:val="18"/>
              </w:rPr>
            </w:pPr>
            <w:r w:rsidRPr="00FE528B">
              <w:rPr>
                <w:rFonts w:cs="Calibri"/>
                <w:color w:val="auto"/>
                <w:sz w:val="18"/>
                <w:szCs w:val="18"/>
              </w:rPr>
              <w:t>Most of men-headed households (71%, 12 households) have two income sources, while this is true for 47% women-led families (7 households) and 41% of jointly led households (12 households).</w:t>
            </w:r>
          </w:p>
          <w:p w14:paraId="521979C8" w14:textId="10D0FD15" w:rsidR="00A83455" w:rsidRPr="00FE528B" w:rsidRDefault="00A83455" w:rsidP="001667C6">
            <w:pPr>
              <w:pStyle w:val="ListParagraph"/>
              <w:numPr>
                <w:ilvl w:val="0"/>
                <w:numId w:val="39"/>
              </w:numPr>
              <w:spacing w:after="120"/>
              <w:ind w:left="462" w:hanging="284"/>
              <w:rPr>
                <w:rFonts w:cs="Calibri"/>
                <w:color w:val="auto"/>
                <w:sz w:val="18"/>
                <w:szCs w:val="18"/>
              </w:rPr>
            </w:pPr>
            <w:r w:rsidRPr="00FE528B">
              <w:rPr>
                <w:rFonts w:cs="Calibri"/>
                <w:color w:val="auto"/>
                <w:sz w:val="18"/>
                <w:szCs w:val="18"/>
              </w:rPr>
              <w:t xml:space="preserve">Men make most household budget-decisions (87% of men and 43% of women), while decisions </w:t>
            </w:r>
            <w:r w:rsidR="00CD15DA" w:rsidRPr="00FE528B">
              <w:rPr>
                <w:rFonts w:cs="Calibri"/>
                <w:color w:val="auto"/>
                <w:sz w:val="18"/>
                <w:szCs w:val="18"/>
              </w:rPr>
              <w:t>on</w:t>
            </w:r>
            <w:r w:rsidRPr="00FE528B">
              <w:rPr>
                <w:rFonts w:cs="Calibri"/>
                <w:color w:val="auto"/>
                <w:sz w:val="18"/>
                <w:szCs w:val="18"/>
              </w:rPr>
              <w:t xml:space="preserve"> food purchase are mostly made by women (57% of women stated this fact</w:t>
            </w:r>
            <w:r w:rsidR="00CD15DA" w:rsidRPr="00FE528B">
              <w:rPr>
                <w:rFonts w:cs="Calibri"/>
                <w:color w:val="auto"/>
                <w:sz w:val="18"/>
                <w:szCs w:val="18"/>
              </w:rPr>
              <w:t>,</w:t>
            </w:r>
            <w:r w:rsidRPr="00FE528B">
              <w:rPr>
                <w:rFonts w:cs="Calibri"/>
                <w:color w:val="auto"/>
                <w:sz w:val="18"/>
                <w:szCs w:val="18"/>
              </w:rPr>
              <w:t xml:space="preserve"> while 92% of men declared that </w:t>
            </w:r>
            <w:r w:rsidR="00CD15DA" w:rsidRPr="00FE528B">
              <w:rPr>
                <w:rFonts w:cs="Calibri"/>
                <w:color w:val="auto"/>
                <w:sz w:val="18"/>
                <w:szCs w:val="18"/>
              </w:rPr>
              <w:t xml:space="preserve">women </w:t>
            </w:r>
            <w:r w:rsidR="00FE528B" w:rsidRPr="00FE528B">
              <w:rPr>
                <w:rFonts w:cs="Calibri"/>
                <w:color w:val="auto"/>
                <w:sz w:val="18"/>
                <w:szCs w:val="18"/>
              </w:rPr>
              <w:t xml:space="preserve">made </w:t>
            </w:r>
            <w:r w:rsidR="00CD15DA" w:rsidRPr="00FE528B">
              <w:rPr>
                <w:rFonts w:cs="Calibri"/>
                <w:color w:val="auto"/>
                <w:sz w:val="18"/>
                <w:szCs w:val="18"/>
              </w:rPr>
              <w:t>over</w:t>
            </w:r>
            <w:r w:rsidRPr="00FE528B">
              <w:rPr>
                <w:rFonts w:cs="Calibri"/>
                <w:color w:val="auto"/>
                <w:sz w:val="18"/>
                <w:szCs w:val="18"/>
              </w:rPr>
              <w:t xml:space="preserve"> </w:t>
            </w:r>
            <w:r w:rsidR="00FE528B" w:rsidRPr="00FE528B">
              <w:rPr>
                <w:rFonts w:cs="Calibri"/>
                <w:color w:val="auto"/>
                <w:sz w:val="18"/>
                <w:szCs w:val="18"/>
              </w:rPr>
              <w:t xml:space="preserve">half of </w:t>
            </w:r>
            <w:r w:rsidRPr="00FE528B">
              <w:rPr>
                <w:rFonts w:cs="Calibri"/>
                <w:color w:val="auto"/>
                <w:sz w:val="18"/>
                <w:szCs w:val="18"/>
              </w:rPr>
              <w:t xml:space="preserve">the decisions. </w:t>
            </w:r>
          </w:p>
          <w:p w14:paraId="3661C998" w14:textId="0E71FA42" w:rsidR="00A83455" w:rsidRPr="00FE528B" w:rsidRDefault="00FE528B" w:rsidP="001667C6">
            <w:pPr>
              <w:pStyle w:val="ListParagraph"/>
              <w:numPr>
                <w:ilvl w:val="0"/>
                <w:numId w:val="39"/>
              </w:numPr>
              <w:spacing w:after="120"/>
              <w:ind w:left="462" w:hanging="284"/>
              <w:rPr>
                <w:rFonts w:cs="Calibri"/>
                <w:color w:val="auto"/>
                <w:sz w:val="18"/>
                <w:szCs w:val="18"/>
              </w:rPr>
            </w:pPr>
            <w:r w:rsidRPr="00FE528B">
              <w:rPr>
                <w:rFonts w:cs="Calibri"/>
                <w:color w:val="auto"/>
                <w:sz w:val="18"/>
                <w:szCs w:val="18"/>
              </w:rPr>
              <w:t>Majority of d</w:t>
            </w:r>
            <w:r w:rsidR="00A83455" w:rsidRPr="00FE528B">
              <w:rPr>
                <w:rFonts w:cs="Calibri"/>
                <w:color w:val="auto"/>
                <w:sz w:val="18"/>
                <w:szCs w:val="18"/>
              </w:rPr>
              <w:t>ecisions linked to reproductive labo</w:t>
            </w:r>
            <w:r w:rsidRPr="00FE528B">
              <w:rPr>
                <w:rFonts w:cs="Calibri"/>
                <w:color w:val="auto"/>
                <w:sz w:val="18"/>
                <w:szCs w:val="18"/>
              </w:rPr>
              <w:t>u</w:t>
            </w:r>
            <w:r w:rsidR="00A83455" w:rsidRPr="00FE528B">
              <w:rPr>
                <w:rFonts w:cs="Calibri"/>
                <w:color w:val="auto"/>
                <w:sz w:val="18"/>
                <w:szCs w:val="18"/>
              </w:rPr>
              <w:t xml:space="preserve">r (e.g. housekeeping, childcare) are made by women. </w:t>
            </w:r>
          </w:p>
          <w:p w14:paraId="607FA130" w14:textId="7EDA7DB6" w:rsidR="00A83455" w:rsidRPr="00FE528B" w:rsidRDefault="00FE528B" w:rsidP="001667C6">
            <w:pPr>
              <w:pStyle w:val="ListParagraph"/>
              <w:numPr>
                <w:ilvl w:val="0"/>
                <w:numId w:val="39"/>
              </w:numPr>
              <w:spacing w:after="120"/>
              <w:ind w:left="462" w:hanging="284"/>
              <w:rPr>
                <w:rFonts w:cs="Calibri"/>
                <w:color w:val="auto"/>
                <w:sz w:val="18"/>
                <w:szCs w:val="18"/>
              </w:rPr>
            </w:pPr>
            <w:r w:rsidRPr="00FE528B">
              <w:rPr>
                <w:rFonts w:cs="Calibri"/>
                <w:sz w:val="18"/>
                <w:szCs w:val="18"/>
              </w:rPr>
              <w:lastRenderedPageBreak/>
              <w:t>F</w:t>
            </w:r>
            <w:r w:rsidR="00A83455" w:rsidRPr="00FE528B">
              <w:rPr>
                <w:rFonts w:cs="Calibri"/>
                <w:sz w:val="18"/>
                <w:szCs w:val="18"/>
              </w:rPr>
              <w:t>inancial decisions</w:t>
            </w:r>
            <w:r w:rsidRPr="00FE528B">
              <w:rPr>
                <w:rFonts w:cs="Calibri"/>
                <w:sz w:val="18"/>
                <w:szCs w:val="18"/>
              </w:rPr>
              <w:t>:</w:t>
            </w:r>
            <w:r w:rsidR="00A83455" w:rsidRPr="00FE528B">
              <w:rPr>
                <w:rFonts w:cs="Calibri"/>
                <w:sz w:val="18"/>
                <w:szCs w:val="18"/>
              </w:rPr>
              <w:t xml:space="preserve"> most respondents </w:t>
            </w:r>
            <w:r w:rsidRPr="00FE528B">
              <w:rPr>
                <w:rFonts w:cs="Calibri"/>
                <w:sz w:val="18"/>
                <w:szCs w:val="18"/>
              </w:rPr>
              <w:t xml:space="preserve">(87% of men and 70% of women) </w:t>
            </w:r>
            <w:r w:rsidR="00A83455" w:rsidRPr="00FE528B">
              <w:rPr>
                <w:rFonts w:cs="Calibri"/>
                <w:sz w:val="18"/>
                <w:szCs w:val="18"/>
              </w:rPr>
              <w:t>made their own decision</w:t>
            </w:r>
            <w:r w:rsidRPr="00FE528B">
              <w:rPr>
                <w:rFonts w:cs="Calibri"/>
                <w:sz w:val="18"/>
                <w:szCs w:val="18"/>
              </w:rPr>
              <w:t>s</w:t>
            </w:r>
            <w:r w:rsidR="00A83455" w:rsidRPr="00FE528B">
              <w:rPr>
                <w:rFonts w:cs="Calibri"/>
                <w:sz w:val="18"/>
                <w:szCs w:val="18"/>
              </w:rPr>
              <w:t xml:space="preserve"> </w:t>
            </w:r>
            <w:r w:rsidRPr="00FE528B">
              <w:rPr>
                <w:rFonts w:cs="Calibri"/>
                <w:sz w:val="18"/>
                <w:szCs w:val="18"/>
              </w:rPr>
              <w:t xml:space="preserve">about </w:t>
            </w:r>
            <w:r w:rsidR="00A83455" w:rsidRPr="00FE528B">
              <w:rPr>
                <w:rFonts w:cs="Calibri"/>
                <w:sz w:val="18"/>
                <w:szCs w:val="18"/>
              </w:rPr>
              <w:t>their engagement in employment outside of agriculture and on how to spend their own income (when applicable)</w:t>
            </w:r>
            <w:r w:rsidRPr="00FE528B">
              <w:rPr>
                <w:rFonts w:cs="Calibri"/>
                <w:sz w:val="18"/>
                <w:szCs w:val="18"/>
              </w:rPr>
              <w:t>.</w:t>
            </w:r>
          </w:p>
          <w:p w14:paraId="5BE6D2D7" w14:textId="7080E60D" w:rsidR="00FA670C" w:rsidRPr="002A35D6" w:rsidRDefault="14630359" w:rsidP="002A35D6">
            <w:pPr>
              <w:spacing w:before="80" w:after="40"/>
              <w:rPr>
                <w:b/>
                <w:bCs/>
                <w:sz w:val="18"/>
                <w:szCs w:val="18"/>
                <w:lang w:val="en-US" w:eastAsia="en-US"/>
              </w:rPr>
            </w:pPr>
            <w:r w:rsidRPr="3764D022">
              <w:rPr>
                <w:b/>
                <w:bCs/>
                <w:sz w:val="18"/>
                <w:szCs w:val="18"/>
              </w:rPr>
              <w:t>Gender-differentiated priorities, sorted in order of priorities perceived</w:t>
            </w:r>
            <w:r w:rsidR="3189894E" w:rsidRPr="3764D022">
              <w:rPr>
                <w:b/>
                <w:bCs/>
                <w:sz w:val="18"/>
                <w:szCs w:val="18"/>
              </w:rPr>
              <w:t xml:space="preserve"> </w:t>
            </w:r>
            <w:r w:rsidRPr="3764D022">
              <w:rPr>
                <w:b/>
                <w:bCs/>
                <w:sz w:val="18"/>
                <w:szCs w:val="18"/>
              </w:rPr>
              <w:t xml:space="preserve">by women for ease of comparison between genders: </w:t>
            </w:r>
          </w:p>
          <w:tbl>
            <w:tblPr>
              <w:tblW w:w="8897" w:type="dxa"/>
              <w:jc w:val="center"/>
              <w:tblLook w:val="04A0" w:firstRow="1" w:lastRow="0" w:firstColumn="1" w:lastColumn="0" w:noHBand="0" w:noVBand="1"/>
            </w:tblPr>
            <w:tblGrid>
              <w:gridCol w:w="405"/>
              <w:gridCol w:w="7091"/>
              <w:gridCol w:w="414"/>
              <w:gridCol w:w="630"/>
              <w:gridCol w:w="119"/>
              <w:gridCol w:w="119"/>
              <w:gridCol w:w="119"/>
            </w:tblGrid>
            <w:tr w:rsidR="000049BA" w14:paraId="44739D7F" w14:textId="77777777" w:rsidTr="000049BA">
              <w:trPr>
                <w:trHeight w:val="494"/>
                <w:jc w:val="center"/>
              </w:trPr>
              <w:tc>
                <w:tcPr>
                  <w:tcW w:w="4222" w:type="pct"/>
                  <w:gridSpan w:val="2"/>
                  <w:tcBorders>
                    <w:top w:val="single" w:sz="4" w:space="0" w:color="auto"/>
                    <w:left w:val="single" w:sz="4" w:space="0" w:color="auto"/>
                    <w:bottom w:val="single" w:sz="4" w:space="0" w:color="auto"/>
                    <w:right w:val="single" w:sz="4" w:space="0" w:color="auto"/>
                  </w:tcBorders>
                  <w:shd w:val="clear" w:color="000000" w:fill="FFF2CC"/>
                  <w:noWrap/>
                  <w:tcMar>
                    <w:left w:w="57" w:type="dxa"/>
                    <w:right w:w="57" w:type="dxa"/>
                  </w:tcMar>
                  <w:hideMark/>
                </w:tcPr>
                <w:p w14:paraId="6F66107C" w14:textId="4E30F2F2" w:rsidR="000049BA" w:rsidRDefault="000049BA" w:rsidP="000049BA">
                  <w:pPr>
                    <w:rPr>
                      <w:rFonts w:ascii="Calibri" w:hAnsi="Calibri" w:cs="Calibri"/>
                      <w:b/>
                      <w:bCs/>
                      <w:color w:val="000000"/>
                      <w:sz w:val="18"/>
                      <w:szCs w:val="18"/>
                    </w:rPr>
                  </w:pPr>
                  <w:r>
                    <w:rPr>
                      <w:rFonts w:ascii="Calibri" w:hAnsi="Calibri" w:cs="Calibri"/>
                      <w:b/>
                      <w:bCs/>
                      <w:color w:val="000000"/>
                      <w:sz w:val="18"/>
                      <w:szCs w:val="18"/>
                    </w:rPr>
                    <w:t>Priorities - aimed to increase agricultural production, house revenue and food security: scored 1 (high) to 10 (low)</w:t>
                  </w:r>
                </w:p>
              </w:tc>
              <w:tc>
                <w:tcPr>
                  <w:tcW w:w="229" w:type="pct"/>
                  <w:tcBorders>
                    <w:top w:val="single" w:sz="4" w:space="0" w:color="auto"/>
                    <w:left w:val="nil"/>
                    <w:bottom w:val="single" w:sz="4" w:space="0" w:color="auto"/>
                    <w:right w:val="single" w:sz="4" w:space="0" w:color="auto"/>
                  </w:tcBorders>
                  <w:shd w:val="clear" w:color="000000" w:fill="FFF2CC"/>
                  <w:noWrap/>
                  <w:tcMar>
                    <w:left w:w="57" w:type="dxa"/>
                    <w:right w:w="57" w:type="dxa"/>
                  </w:tcMar>
                  <w:hideMark/>
                </w:tcPr>
                <w:p w14:paraId="39935417" w14:textId="77777777" w:rsidR="000049BA" w:rsidRDefault="000049BA" w:rsidP="002A35D6">
                  <w:pPr>
                    <w:jc w:val="center"/>
                    <w:rPr>
                      <w:rFonts w:ascii="Calibri" w:hAnsi="Calibri" w:cs="Calibri"/>
                      <w:b/>
                      <w:bCs/>
                      <w:color w:val="000000"/>
                      <w:sz w:val="18"/>
                      <w:szCs w:val="18"/>
                    </w:rPr>
                  </w:pPr>
                  <w:r>
                    <w:rPr>
                      <w:rFonts w:ascii="Calibri" w:hAnsi="Calibri" w:cs="Calibri"/>
                      <w:b/>
                      <w:bCs/>
                      <w:color w:val="000000"/>
                      <w:sz w:val="18"/>
                      <w:szCs w:val="18"/>
                    </w:rPr>
                    <w:t>Men</w:t>
                  </w:r>
                </w:p>
              </w:tc>
              <w:tc>
                <w:tcPr>
                  <w:tcW w:w="348" w:type="pct"/>
                  <w:tcBorders>
                    <w:top w:val="single" w:sz="4" w:space="0" w:color="auto"/>
                    <w:left w:val="nil"/>
                    <w:bottom w:val="single" w:sz="4" w:space="0" w:color="auto"/>
                    <w:right w:val="single" w:sz="4" w:space="0" w:color="auto"/>
                  </w:tcBorders>
                  <w:shd w:val="clear" w:color="000000" w:fill="FFF2CC"/>
                  <w:noWrap/>
                  <w:tcMar>
                    <w:left w:w="57" w:type="dxa"/>
                    <w:right w:w="57" w:type="dxa"/>
                  </w:tcMar>
                  <w:hideMark/>
                </w:tcPr>
                <w:p w14:paraId="640DD7AF" w14:textId="77777777" w:rsidR="000049BA" w:rsidRDefault="000049BA" w:rsidP="002A35D6">
                  <w:pPr>
                    <w:jc w:val="center"/>
                    <w:rPr>
                      <w:rFonts w:ascii="Calibri" w:hAnsi="Calibri" w:cs="Calibri"/>
                      <w:b/>
                      <w:bCs/>
                      <w:color w:val="000000"/>
                      <w:sz w:val="18"/>
                      <w:szCs w:val="18"/>
                    </w:rPr>
                  </w:pPr>
                  <w:r>
                    <w:rPr>
                      <w:rFonts w:ascii="Calibri" w:hAnsi="Calibri" w:cs="Calibri"/>
                      <w:b/>
                      <w:bCs/>
                      <w:color w:val="000000"/>
                      <w:sz w:val="18"/>
                      <w:szCs w:val="18"/>
                    </w:rPr>
                    <w:t>Women</w:t>
                  </w:r>
                </w:p>
              </w:tc>
              <w:tc>
                <w:tcPr>
                  <w:tcW w:w="67" w:type="pct"/>
                  <w:tcBorders>
                    <w:top w:val="nil"/>
                    <w:left w:val="nil"/>
                    <w:bottom w:val="nil"/>
                    <w:right w:val="nil"/>
                  </w:tcBorders>
                  <w:shd w:val="clear" w:color="auto" w:fill="auto"/>
                  <w:noWrap/>
                  <w:tcMar>
                    <w:left w:w="57" w:type="dxa"/>
                    <w:right w:w="57" w:type="dxa"/>
                  </w:tcMar>
                  <w:hideMark/>
                </w:tcPr>
                <w:p w14:paraId="021852E8" w14:textId="77777777" w:rsidR="000049BA" w:rsidRDefault="000049BA" w:rsidP="002A35D6">
                  <w:pPr>
                    <w:jc w:val="center"/>
                    <w:rPr>
                      <w:rFonts w:ascii="Calibri" w:hAnsi="Calibri" w:cs="Calibri"/>
                      <w:b/>
                      <w:bCs/>
                      <w:color w:val="000000"/>
                      <w:sz w:val="18"/>
                      <w:szCs w:val="18"/>
                    </w:rPr>
                  </w:pPr>
                </w:p>
              </w:tc>
              <w:tc>
                <w:tcPr>
                  <w:tcW w:w="67" w:type="pct"/>
                  <w:tcBorders>
                    <w:top w:val="nil"/>
                    <w:left w:val="nil"/>
                    <w:bottom w:val="nil"/>
                    <w:right w:val="nil"/>
                  </w:tcBorders>
                  <w:shd w:val="clear" w:color="auto" w:fill="auto"/>
                  <w:noWrap/>
                  <w:tcMar>
                    <w:left w:w="57" w:type="dxa"/>
                    <w:right w:w="57" w:type="dxa"/>
                  </w:tcMar>
                  <w:hideMark/>
                </w:tcPr>
                <w:p w14:paraId="7A314B32" w14:textId="77777777" w:rsidR="000049BA" w:rsidRDefault="000049BA" w:rsidP="002A35D6">
                  <w:pPr>
                    <w:jc w:val="right"/>
                    <w:rPr>
                      <w:sz w:val="20"/>
                      <w:szCs w:val="20"/>
                    </w:rPr>
                  </w:pPr>
                </w:p>
              </w:tc>
              <w:tc>
                <w:tcPr>
                  <w:tcW w:w="67" w:type="pct"/>
                  <w:tcBorders>
                    <w:top w:val="nil"/>
                    <w:left w:val="nil"/>
                    <w:bottom w:val="nil"/>
                    <w:right w:val="nil"/>
                  </w:tcBorders>
                  <w:shd w:val="clear" w:color="auto" w:fill="auto"/>
                  <w:noWrap/>
                  <w:tcMar>
                    <w:left w:w="57" w:type="dxa"/>
                    <w:right w:w="57" w:type="dxa"/>
                  </w:tcMar>
                  <w:hideMark/>
                </w:tcPr>
                <w:p w14:paraId="501EB0DB" w14:textId="77777777" w:rsidR="000049BA" w:rsidRDefault="000049BA" w:rsidP="002A35D6">
                  <w:pPr>
                    <w:jc w:val="right"/>
                    <w:rPr>
                      <w:sz w:val="20"/>
                      <w:szCs w:val="20"/>
                    </w:rPr>
                  </w:pPr>
                </w:p>
              </w:tc>
            </w:tr>
            <w:tr w:rsidR="002A35D6" w14:paraId="6D0985B1" w14:textId="77777777" w:rsidTr="000049BA">
              <w:trPr>
                <w:trHeight w:val="220"/>
                <w:jc w:val="center"/>
              </w:trPr>
              <w:tc>
                <w:tcPr>
                  <w:tcW w:w="220" w:type="pct"/>
                  <w:tcBorders>
                    <w:top w:val="nil"/>
                    <w:left w:val="single" w:sz="4" w:space="0" w:color="auto"/>
                    <w:bottom w:val="nil"/>
                    <w:right w:val="single" w:sz="4" w:space="0" w:color="auto"/>
                  </w:tcBorders>
                  <w:shd w:val="clear" w:color="000000" w:fill="FFF2CC"/>
                  <w:noWrap/>
                  <w:tcMar>
                    <w:left w:w="57" w:type="dxa"/>
                    <w:right w:w="57" w:type="dxa"/>
                  </w:tcMar>
                  <w:hideMark/>
                </w:tcPr>
                <w:p w14:paraId="226DE61C" w14:textId="77777777" w:rsidR="002A35D6" w:rsidRDefault="002A35D6" w:rsidP="002A35D6">
                  <w:pPr>
                    <w:jc w:val="right"/>
                    <w:rPr>
                      <w:rFonts w:ascii="Calibri" w:hAnsi="Calibri" w:cs="Calibri"/>
                      <w:color w:val="000000"/>
                      <w:sz w:val="18"/>
                      <w:szCs w:val="18"/>
                    </w:rPr>
                  </w:pPr>
                  <w:r>
                    <w:rPr>
                      <w:rFonts w:ascii="Calibri" w:hAnsi="Calibri" w:cs="Calibri"/>
                      <w:color w:val="000000"/>
                      <w:sz w:val="18"/>
                      <w:szCs w:val="18"/>
                    </w:rPr>
                    <w:t>a)</w:t>
                  </w:r>
                </w:p>
              </w:tc>
              <w:tc>
                <w:tcPr>
                  <w:tcW w:w="4001" w:type="pct"/>
                  <w:tcBorders>
                    <w:top w:val="nil"/>
                    <w:left w:val="nil"/>
                    <w:bottom w:val="nil"/>
                    <w:right w:val="single" w:sz="4" w:space="0" w:color="auto"/>
                  </w:tcBorders>
                  <w:shd w:val="clear" w:color="000000" w:fill="FFF2CC"/>
                  <w:noWrap/>
                  <w:tcMar>
                    <w:left w:w="57" w:type="dxa"/>
                    <w:right w:w="57" w:type="dxa"/>
                  </w:tcMar>
                  <w:hideMark/>
                </w:tcPr>
                <w:p w14:paraId="6D2172E5" w14:textId="77777777" w:rsidR="002A35D6" w:rsidRDefault="002A35D6" w:rsidP="002A35D6">
                  <w:pPr>
                    <w:rPr>
                      <w:rFonts w:ascii="Calibri" w:hAnsi="Calibri" w:cs="Calibri"/>
                      <w:color w:val="000000"/>
                      <w:sz w:val="18"/>
                      <w:szCs w:val="18"/>
                    </w:rPr>
                  </w:pPr>
                  <w:r>
                    <w:rPr>
                      <w:rFonts w:ascii="Calibri" w:hAnsi="Calibri" w:cs="Calibri"/>
                      <w:color w:val="000000"/>
                      <w:sz w:val="18"/>
                      <w:szCs w:val="18"/>
                      <w:lang w:val="en-US"/>
                    </w:rPr>
                    <w:t>Improved access to enough and clean water sources</w:t>
                  </w:r>
                </w:p>
              </w:tc>
              <w:tc>
                <w:tcPr>
                  <w:tcW w:w="229" w:type="pct"/>
                  <w:tcBorders>
                    <w:top w:val="nil"/>
                    <w:left w:val="nil"/>
                    <w:bottom w:val="nil"/>
                    <w:right w:val="single" w:sz="4" w:space="0" w:color="auto"/>
                  </w:tcBorders>
                  <w:shd w:val="clear" w:color="000000" w:fill="FFF2CC"/>
                  <w:noWrap/>
                  <w:tcMar>
                    <w:left w:w="57" w:type="dxa"/>
                    <w:right w:w="57" w:type="dxa"/>
                  </w:tcMar>
                  <w:hideMark/>
                </w:tcPr>
                <w:p w14:paraId="3741BA45" w14:textId="77777777" w:rsidR="002A35D6" w:rsidRDefault="002A35D6" w:rsidP="002A35D6">
                  <w:pPr>
                    <w:jc w:val="right"/>
                    <w:rPr>
                      <w:rFonts w:ascii="Calibri" w:hAnsi="Calibri" w:cs="Calibri"/>
                      <w:color w:val="000000"/>
                      <w:sz w:val="18"/>
                      <w:szCs w:val="18"/>
                    </w:rPr>
                  </w:pPr>
                  <w:r>
                    <w:rPr>
                      <w:rFonts w:ascii="Calibri" w:hAnsi="Calibri" w:cs="Calibri"/>
                      <w:color w:val="000000"/>
                      <w:sz w:val="18"/>
                      <w:szCs w:val="18"/>
                    </w:rPr>
                    <w:t>1.3</w:t>
                  </w:r>
                </w:p>
              </w:tc>
              <w:tc>
                <w:tcPr>
                  <w:tcW w:w="348" w:type="pct"/>
                  <w:tcBorders>
                    <w:top w:val="nil"/>
                    <w:left w:val="nil"/>
                    <w:bottom w:val="nil"/>
                    <w:right w:val="single" w:sz="4" w:space="0" w:color="auto"/>
                  </w:tcBorders>
                  <w:shd w:val="clear" w:color="000000" w:fill="FFF2CC"/>
                  <w:noWrap/>
                  <w:tcMar>
                    <w:left w:w="57" w:type="dxa"/>
                    <w:right w:w="57" w:type="dxa"/>
                  </w:tcMar>
                  <w:hideMark/>
                </w:tcPr>
                <w:p w14:paraId="6F93C54D" w14:textId="77777777" w:rsidR="002A35D6" w:rsidRDefault="002A35D6" w:rsidP="002A35D6">
                  <w:pPr>
                    <w:jc w:val="right"/>
                    <w:rPr>
                      <w:rFonts w:ascii="Calibri" w:hAnsi="Calibri" w:cs="Calibri"/>
                      <w:color w:val="000000"/>
                      <w:sz w:val="18"/>
                      <w:szCs w:val="18"/>
                    </w:rPr>
                  </w:pPr>
                  <w:r>
                    <w:rPr>
                      <w:rFonts w:ascii="Calibri" w:hAnsi="Calibri" w:cs="Calibri"/>
                      <w:color w:val="000000"/>
                      <w:sz w:val="18"/>
                      <w:szCs w:val="18"/>
                    </w:rPr>
                    <w:t>1.0</w:t>
                  </w:r>
                </w:p>
              </w:tc>
              <w:tc>
                <w:tcPr>
                  <w:tcW w:w="67" w:type="pct"/>
                  <w:tcBorders>
                    <w:top w:val="nil"/>
                    <w:left w:val="nil"/>
                    <w:bottom w:val="nil"/>
                    <w:right w:val="nil"/>
                  </w:tcBorders>
                  <w:shd w:val="clear" w:color="auto" w:fill="auto"/>
                  <w:noWrap/>
                  <w:tcMar>
                    <w:left w:w="57" w:type="dxa"/>
                    <w:right w:w="57" w:type="dxa"/>
                  </w:tcMar>
                  <w:hideMark/>
                </w:tcPr>
                <w:p w14:paraId="13050BD1" w14:textId="77777777" w:rsidR="002A35D6" w:rsidRDefault="002A35D6" w:rsidP="002A35D6">
                  <w:pPr>
                    <w:jc w:val="right"/>
                    <w:rPr>
                      <w:rFonts w:ascii="Calibri" w:hAnsi="Calibri" w:cs="Calibri"/>
                      <w:color w:val="000000"/>
                      <w:sz w:val="18"/>
                      <w:szCs w:val="18"/>
                    </w:rPr>
                  </w:pPr>
                </w:p>
              </w:tc>
              <w:tc>
                <w:tcPr>
                  <w:tcW w:w="67" w:type="pct"/>
                  <w:tcBorders>
                    <w:top w:val="nil"/>
                    <w:left w:val="nil"/>
                    <w:bottom w:val="nil"/>
                    <w:right w:val="nil"/>
                  </w:tcBorders>
                  <w:shd w:val="clear" w:color="auto" w:fill="auto"/>
                  <w:noWrap/>
                  <w:tcMar>
                    <w:left w:w="57" w:type="dxa"/>
                    <w:right w:w="57" w:type="dxa"/>
                  </w:tcMar>
                  <w:hideMark/>
                </w:tcPr>
                <w:p w14:paraId="43A319AE" w14:textId="77777777" w:rsidR="002A35D6" w:rsidRDefault="002A35D6" w:rsidP="002A35D6">
                  <w:pPr>
                    <w:jc w:val="right"/>
                    <w:rPr>
                      <w:sz w:val="20"/>
                      <w:szCs w:val="20"/>
                    </w:rPr>
                  </w:pPr>
                </w:p>
              </w:tc>
              <w:tc>
                <w:tcPr>
                  <w:tcW w:w="67" w:type="pct"/>
                  <w:tcBorders>
                    <w:top w:val="nil"/>
                    <w:left w:val="nil"/>
                    <w:bottom w:val="nil"/>
                    <w:right w:val="nil"/>
                  </w:tcBorders>
                  <w:shd w:val="clear" w:color="auto" w:fill="auto"/>
                  <w:noWrap/>
                  <w:tcMar>
                    <w:left w:w="57" w:type="dxa"/>
                    <w:right w:w="57" w:type="dxa"/>
                  </w:tcMar>
                  <w:hideMark/>
                </w:tcPr>
                <w:p w14:paraId="631D105C" w14:textId="77777777" w:rsidR="002A35D6" w:rsidRDefault="002A35D6" w:rsidP="002A35D6">
                  <w:pPr>
                    <w:jc w:val="right"/>
                    <w:rPr>
                      <w:sz w:val="20"/>
                      <w:szCs w:val="20"/>
                    </w:rPr>
                  </w:pPr>
                </w:p>
              </w:tc>
            </w:tr>
            <w:tr w:rsidR="002A35D6" w14:paraId="12CC9BD4" w14:textId="77777777" w:rsidTr="000049BA">
              <w:trPr>
                <w:trHeight w:val="220"/>
                <w:jc w:val="center"/>
              </w:trPr>
              <w:tc>
                <w:tcPr>
                  <w:tcW w:w="220" w:type="pct"/>
                  <w:tcBorders>
                    <w:top w:val="nil"/>
                    <w:left w:val="single" w:sz="4" w:space="0" w:color="auto"/>
                    <w:bottom w:val="nil"/>
                    <w:right w:val="single" w:sz="4" w:space="0" w:color="auto"/>
                  </w:tcBorders>
                  <w:shd w:val="clear" w:color="000000" w:fill="FFF2CC"/>
                  <w:noWrap/>
                  <w:tcMar>
                    <w:left w:w="57" w:type="dxa"/>
                    <w:right w:w="57" w:type="dxa"/>
                  </w:tcMar>
                  <w:hideMark/>
                </w:tcPr>
                <w:p w14:paraId="215AC333" w14:textId="77777777" w:rsidR="002A35D6" w:rsidRDefault="002A35D6" w:rsidP="002A35D6">
                  <w:pPr>
                    <w:jc w:val="right"/>
                    <w:rPr>
                      <w:rFonts w:ascii="Calibri" w:hAnsi="Calibri" w:cs="Calibri"/>
                      <w:color w:val="000000"/>
                      <w:sz w:val="18"/>
                      <w:szCs w:val="18"/>
                    </w:rPr>
                  </w:pPr>
                  <w:r>
                    <w:rPr>
                      <w:rFonts w:ascii="Calibri" w:hAnsi="Calibri" w:cs="Calibri"/>
                      <w:color w:val="000000"/>
                      <w:sz w:val="18"/>
                      <w:szCs w:val="18"/>
                    </w:rPr>
                    <w:t>d)</w:t>
                  </w:r>
                </w:p>
              </w:tc>
              <w:tc>
                <w:tcPr>
                  <w:tcW w:w="4001" w:type="pct"/>
                  <w:tcBorders>
                    <w:top w:val="nil"/>
                    <w:left w:val="nil"/>
                    <w:bottom w:val="nil"/>
                    <w:right w:val="single" w:sz="4" w:space="0" w:color="auto"/>
                  </w:tcBorders>
                  <w:shd w:val="clear" w:color="000000" w:fill="FFF2CC"/>
                  <w:noWrap/>
                  <w:tcMar>
                    <w:left w:w="57" w:type="dxa"/>
                    <w:right w:w="57" w:type="dxa"/>
                  </w:tcMar>
                  <w:hideMark/>
                </w:tcPr>
                <w:p w14:paraId="31FF4495" w14:textId="77777777" w:rsidR="002A35D6" w:rsidRDefault="002A35D6" w:rsidP="002A35D6">
                  <w:pPr>
                    <w:rPr>
                      <w:rFonts w:ascii="Calibri" w:hAnsi="Calibri" w:cs="Calibri"/>
                      <w:color w:val="000000"/>
                      <w:sz w:val="18"/>
                      <w:szCs w:val="18"/>
                    </w:rPr>
                  </w:pPr>
                  <w:r>
                    <w:rPr>
                      <w:rFonts w:ascii="Calibri" w:hAnsi="Calibri" w:cs="Calibri"/>
                      <w:color w:val="000000"/>
                      <w:sz w:val="18"/>
                      <w:szCs w:val="18"/>
                      <w:lang w:val="en-US"/>
                    </w:rPr>
                    <w:t>Enough and good meals, food security</w:t>
                  </w:r>
                </w:p>
              </w:tc>
              <w:tc>
                <w:tcPr>
                  <w:tcW w:w="229" w:type="pct"/>
                  <w:tcBorders>
                    <w:top w:val="nil"/>
                    <w:left w:val="nil"/>
                    <w:bottom w:val="nil"/>
                    <w:right w:val="single" w:sz="4" w:space="0" w:color="auto"/>
                  </w:tcBorders>
                  <w:shd w:val="clear" w:color="000000" w:fill="FFF2CC"/>
                  <w:noWrap/>
                  <w:tcMar>
                    <w:left w:w="57" w:type="dxa"/>
                    <w:right w:w="57" w:type="dxa"/>
                  </w:tcMar>
                  <w:hideMark/>
                </w:tcPr>
                <w:p w14:paraId="28F6E5CA" w14:textId="77777777" w:rsidR="002A35D6" w:rsidRDefault="002A35D6" w:rsidP="002A35D6">
                  <w:pPr>
                    <w:jc w:val="right"/>
                    <w:rPr>
                      <w:rFonts w:ascii="Calibri" w:hAnsi="Calibri" w:cs="Calibri"/>
                      <w:color w:val="000000"/>
                      <w:sz w:val="18"/>
                      <w:szCs w:val="18"/>
                    </w:rPr>
                  </w:pPr>
                  <w:r>
                    <w:rPr>
                      <w:rFonts w:ascii="Calibri" w:hAnsi="Calibri" w:cs="Calibri"/>
                      <w:color w:val="000000"/>
                      <w:sz w:val="18"/>
                      <w:szCs w:val="18"/>
                    </w:rPr>
                    <w:t>2.3</w:t>
                  </w:r>
                </w:p>
              </w:tc>
              <w:tc>
                <w:tcPr>
                  <w:tcW w:w="348" w:type="pct"/>
                  <w:tcBorders>
                    <w:top w:val="nil"/>
                    <w:left w:val="nil"/>
                    <w:bottom w:val="nil"/>
                    <w:right w:val="single" w:sz="4" w:space="0" w:color="auto"/>
                  </w:tcBorders>
                  <w:shd w:val="clear" w:color="000000" w:fill="FFF2CC"/>
                  <w:noWrap/>
                  <w:tcMar>
                    <w:left w:w="57" w:type="dxa"/>
                    <w:right w:w="57" w:type="dxa"/>
                  </w:tcMar>
                  <w:hideMark/>
                </w:tcPr>
                <w:p w14:paraId="22DA522C" w14:textId="77777777" w:rsidR="002A35D6" w:rsidRDefault="002A35D6" w:rsidP="002A35D6">
                  <w:pPr>
                    <w:jc w:val="right"/>
                    <w:rPr>
                      <w:rFonts w:ascii="Calibri" w:hAnsi="Calibri" w:cs="Calibri"/>
                      <w:color w:val="000000"/>
                      <w:sz w:val="18"/>
                      <w:szCs w:val="18"/>
                    </w:rPr>
                  </w:pPr>
                  <w:r>
                    <w:rPr>
                      <w:rFonts w:ascii="Calibri" w:hAnsi="Calibri" w:cs="Calibri"/>
                      <w:color w:val="000000"/>
                      <w:sz w:val="18"/>
                      <w:szCs w:val="18"/>
                    </w:rPr>
                    <w:t>1.2</w:t>
                  </w:r>
                </w:p>
              </w:tc>
              <w:tc>
                <w:tcPr>
                  <w:tcW w:w="67" w:type="pct"/>
                  <w:tcBorders>
                    <w:top w:val="nil"/>
                    <w:left w:val="nil"/>
                    <w:bottom w:val="nil"/>
                    <w:right w:val="nil"/>
                  </w:tcBorders>
                  <w:shd w:val="clear" w:color="auto" w:fill="auto"/>
                  <w:noWrap/>
                  <w:tcMar>
                    <w:left w:w="57" w:type="dxa"/>
                    <w:right w:w="57" w:type="dxa"/>
                  </w:tcMar>
                  <w:hideMark/>
                </w:tcPr>
                <w:p w14:paraId="2C8F2905" w14:textId="77777777" w:rsidR="002A35D6" w:rsidRDefault="002A35D6" w:rsidP="002A35D6">
                  <w:pPr>
                    <w:jc w:val="right"/>
                    <w:rPr>
                      <w:rFonts w:ascii="Calibri" w:hAnsi="Calibri" w:cs="Calibri"/>
                      <w:color w:val="000000"/>
                      <w:sz w:val="18"/>
                      <w:szCs w:val="18"/>
                    </w:rPr>
                  </w:pPr>
                </w:p>
              </w:tc>
              <w:tc>
                <w:tcPr>
                  <w:tcW w:w="67" w:type="pct"/>
                  <w:tcBorders>
                    <w:top w:val="nil"/>
                    <w:left w:val="nil"/>
                    <w:bottom w:val="nil"/>
                    <w:right w:val="nil"/>
                  </w:tcBorders>
                  <w:shd w:val="clear" w:color="auto" w:fill="auto"/>
                  <w:noWrap/>
                  <w:tcMar>
                    <w:left w:w="57" w:type="dxa"/>
                    <w:right w:w="57" w:type="dxa"/>
                  </w:tcMar>
                  <w:hideMark/>
                </w:tcPr>
                <w:p w14:paraId="0B255FCA" w14:textId="77777777" w:rsidR="002A35D6" w:rsidRDefault="002A35D6" w:rsidP="002A35D6">
                  <w:pPr>
                    <w:jc w:val="right"/>
                    <w:rPr>
                      <w:sz w:val="20"/>
                      <w:szCs w:val="20"/>
                    </w:rPr>
                  </w:pPr>
                </w:p>
              </w:tc>
              <w:tc>
                <w:tcPr>
                  <w:tcW w:w="67" w:type="pct"/>
                  <w:tcBorders>
                    <w:top w:val="nil"/>
                    <w:left w:val="nil"/>
                    <w:bottom w:val="nil"/>
                    <w:right w:val="nil"/>
                  </w:tcBorders>
                  <w:shd w:val="clear" w:color="auto" w:fill="auto"/>
                  <w:noWrap/>
                  <w:tcMar>
                    <w:left w:w="57" w:type="dxa"/>
                    <w:right w:w="57" w:type="dxa"/>
                  </w:tcMar>
                  <w:hideMark/>
                </w:tcPr>
                <w:p w14:paraId="33D879FD" w14:textId="77777777" w:rsidR="002A35D6" w:rsidRDefault="002A35D6" w:rsidP="002A35D6">
                  <w:pPr>
                    <w:jc w:val="right"/>
                    <w:rPr>
                      <w:sz w:val="20"/>
                      <w:szCs w:val="20"/>
                    </w:rPr>
                  </w:pPr>
                </w:p>
              </w:tc>
            </w:tr>
            <w:tr w:rsidR="002A35D6" w14:paraId="3EA6C76A" w14:textId="77777777" w:rsidTr="000049BA">
              <w:trPr>
                <w:trHeight w:val="220"/>
                <w:jc w:val="center"/>
              </w:trPr>
              <w:tc>
                <w:tcPr>
                  <w:tcW w:w="220" w:type="pct"/>
                  <w:tcBorders>
                    <w:top w:val="nil"/>
                    <w:left w:val="single" w:sz="4" w:space="0" w:color="auto"/>
                    <w:bottom w:val="nil"/>
                    <w:right w:val="single" w:sz="4" w:space="0" w:color="auto"/>
                  </w:tcBorders>
                  <w:shd w:val="clear" w:color="000000" w:fill="FFF2CC"/>
                  <w:noWrap/>
                  <w:tcMar>
                    <w:left w:w="57" w:type="dxa"/>
                    <w:right w:w="57" w:type="dxa"/>
                  </w:tcMar>
                  <w:hideMark/>
                </w:tcPr>
                <w:p w14:paraId="4E82E157" w14:textId="77777777" w:rsidR="002A35D6" w:rsidRDefault="002A35D6" w:rsidP="002A35D6">
                  <w:pPr>
                    <w:jc w:val="right"/>
                    <w:rPr>
                      <w:rFonts w:ascii="Calibri" w:hAnsi="Calibri" w:cs="Calibri"/>
                      <w:color w:val="000000"/>
                      <w:sz w:val="18"/>
                      <w:szCs w:val="18"/>
                    </w:rPr>
                  </w:pPr>
                  <w:r>
                    <w:rPr>
                      <w:rFonts w:ascii="Calibri" w:hAnsi="Calibri" w:cs="Calibri"/>
                      <w:color w:val="000000"/>
                      <w:sz w:val="18"/>
                      <w:szCs w:val="18"/>
                    </w:rPr>
                    <w:t>e)</w:t>
                  </w:r>
                </w:p>
              </w:tc>
              <w:tc>
                <w:tcPr>
                  <w:tcW w:w="4001" w:type="pct"/>
                  <w:tcBorders>
                    <w:top w:val="nil"/>
                    <w:left w:val="nil"/>
                    <w:bottom w:val="nil"/>
                    <w:right w:val="single" w:sz="4" w:space="0" w:color="auto"/>
                  </w:tcBorders>
                  <w:shd w:val="clear" w:color="000000" w:fill="FFF2CC"/>
                  <w:noWrap/>
                  <w:tcMar>
                    <w:left w:w="57" w:type="dxa"/>
                    <w:right w:w="57" w:type="dxa"/>
                  </w:tcMar>
                  <w:hideMark/>
                </w:tcPr>
                <w:p w14:paraId="0E0BB1D5" w14:textId="77777777" w:rsidR="002A35D6" w:rsidRDefault="002A35D6" w:rsidP="002A35D6">
                  <w:pPr>
                    <w:rPr>
                      <w:rFonts w:ascii="Calibri" w:hAnsi="Calibri" w:cs="Calibri"/>
                      <w:color w:val="000000"/>
                      <w:sz w:val="18"/>
                      <w:szCs w:val="18"/>
                    </w:rPr>
                  </w:pPr>
                  <w:r>
                    <w:rPr>
                      <w:rFonts w:ascii="Calibri" w:hAnsi="Calibri" w:cs="Calibri"/>
                      <w:color w:val="000000"/>
                      <w:sz w:val="18"/>
                      <w:szCs w:val="18"/>
                      <w:lang w:val="en-US"/>
                    </w:rPr>
                    <w:t>Better knowledge on pest management practices</w:t>
                  </w:r>
                </w:p>
              </w:tc>
              <w:tc>
                <w:tcPr>
                  <w:tcW w:w="229" w:type="pct"/>
                  <w:tcBorders>
                    <w:top w:val="nil"/>
                    <w:left w:val="nil"/>
                    <w:bottom w:val="nil"/>
                    <w:right w:val="single" w:sz="4" w:space="0" w:color="auto"/>
                  </w:tcBorders>
                  <w:shd w:val="clear" w:color="000000" w:fill="FFF2CC"/>
                  <w:noWrap/>
                  <w:tcMar>
                    <w:left w:w="57" w:type="dxa"/>
                    <w:right w:w="57" w:type="dxa"/>
                  </w:tcMar>
                  <w:hideMark/>
                </w:tcPr>
                <w:p w14:paraId="71B1E914" w14:textId="77777777" w:rsidR="002A35D6" w:rsidRDefault="002A35D6" w:rsidP="002A35D6">
                  <w:pPr>
                    <w:jc w:val="right"/>
                    <w:rPr>
                      <w:rFonts w:ascii="Calibri" w:hAnsi="Calibri" w:cs="Calibri"/>
                      <w:color w:val="000000"/>
                      <w:sz w:val="18"/>
                      <w:szCs w:val="18"/>
                    </w:rPr>
                  </w:pPr>
                  <w:r>
                    <w:rPr>
                      <w:rFonts w:ascii="Calibri" w:hAnsi="Calibri" w:cs="Calibri"/>
                      <w:color w:val="000000"/>
                      <w:sz w:val="18"/>
                      <w:szCs w:val="18"/>
                    </w:rPr>
                    <w:t>2.3</w:t>
                  </w:r>
                </w:p>
              </w:tc>
              <w:tc>
                <w:tcPr>
                  <w:tcW w:w="348" w:type="pct"/>
                  <w:tcBorders>
                    <w:top w:val="nil"/>
                    <w:left w:val="nil"/>
                    <w:bottom w:val="nil"/>
                    <w:right w:val="single" w:sz="4" w:space="0" w:color="auto"/>
                  </w:tcBorders>
                  <w:shd w:val="clear" w:color="000000" w:fill="FFF2CC"/>
                  <w:noWrap/>
                  <w:tcMar>
                    <w:left w:w="57" w:type="dxa"/>
                    <w:right w:w="57" w:type="dxa"/>
                  </w:tcMar>
                  <w:hideMark/>
                </w:tcPr>
                <w:p w14:paraId="5147A704" w14:textId="77777777" w:rsidR="002A35D6" w:rsidRDefault="002A35D6" w:rsidP="002A35D6">
                  <w:pPr>
                    <w:jc w:val="right"/>
                    <w:rPr>
                      <w:rFonts w:ascii="Calibri" w:hAnsi="Calibri" w:cs="Calibri"/>
                      <w:color w:val="000000"/>
                      <w:sz w:val="18"/>
                      <w:szCs w:val="18"/>
                    </w:rPr>
                  </w:pPr>
                  <w:r>
                    <w:rPr>
                      <w:rFonts w:ascii="Calibri" w:hAnsi="Calibri" w:cs="Calibri"/>
                      <w:color w:val="000000"/>
                      <w:sz w:val="18"/>
                      <w:szCs w:val="18"/>
                    </w:rPr>
                    <w:t>1.4</w:t>
                  </w:r>
                </w:p>
              </w:tc>
              <w:tc>
                <w:tcPr>
                  <w:tcW w:w="67" w:type="pct"/>
                  <w:tcBorders>
                    <w:top w:val="nil"/>
                    <w:left w:val="nil"/>
                    <w:bottom w:val="nil"/>
                    <w:right w:val="nil"/>
                  </w:tcBorders>
                  <w:shd w:val="clear" w:color="auto" w:fill="auto"/>
                  <w:noWrap/>
                  <w:tcMar>
                    <w:left w:w="57" w:type="dxa"/>
                    <w:right w:w="57" w:type="dxa"/>
                  </w:tcMar>
                  <w:hideMark/>
                </w:tcPr>
                <w:p w14:paraId="44DF1CF2" w14:textId="77777777" w:rsidR="002A35D6" w:rsidRDefault="002A35D6" w:rsidP="002A35D6">
                  <w:pPr>
                    <w:jc w:val="right"/>
                    <w:rPr>
                      <w:rFonts w:ascii="Calibri" w:hAnsi="Calibri" w:cs="Calibri"/>
                      <w:color w:val="000000"/>
                      <w:sz w:val="18"/>
                      <w:szCs w:val="18"/>
                    </w:rPr>
                  </w:pPr>
                </w:p>
              </w:tc>
              <w:tc>
                <w:tcPr>
                  <w:tcW w:w="67" w:type="pct"/>
                  <w:tcBorders>
                    <w:top w:val="nil"/>
                    <w:left w:val="nil"/>
                    <w:bottom w:val="nil"/>
                    <w:right w:val="nil"/>
                  </w:tcBorders>
                  <w:shd w:val="clear" w:color="auto" w:fill="auto"/>
                  <w:noWrap/>
                  <w:tcMar>
                    <w:left w:w="57" w:type="dxa"/>
                    <w:right w:w="57" w:type="dxa"/>
                  </w:tcMar>
                  <w:hideMark/>
                </w:tcPr>
                <w:p w14:paraId="3E66373F" w14:textId="77777777" w:rsidR="002A35D6" w:rsidRDefault="002A35D6" w:rsidP="002A35D6">
                  <w:pPr>
                    <w:jc w:val="right"/>
                    <w:rPr>
                      <w:sz w:val="20"/>
                      <w:szCs w:val="20"/>
                    </w:rPr>
                  </w:pPr>
                </w:p>
              </w:tc>
              <w:tc>
                <w:tcPr>
                  <w:tcW w:w="67" w:type="pct"/>
                  <w:tcBorders>
                    <w:top w:val="nil"/>
                    <w:left w:val="nil"/>
                    <w:bottom w:val="nil"/>
                    <w:right w:val="nil"/>
                  </w:tcBorders>
                  <w:shd w:val="clear" w:color="auto" w:fill="auto"/>
                  <w:noWrap/>
                  <w:tcMar>
                    <w:left w:w="57" w:type="dxa"/>
                    <w:right w:w="57" w:type="dxa"/>
                  </w:tcMar>
                  <w:hideMark/>
                </w:tcPr>
                <w:p w14:paraId="726242BA" w14:textId="77777777" w:rsidR="002A35D6" w:rsidRDefault="002A35D6" w:rsidP="002A35D6">
                  <w:pPr>
                    <w:jc w:val="right"/>
                    <w:rPr>
                      <w:sz w:val="20"/>
                      <w:szCs w:val="20"/>
                    </w:rPr>
                  </w:pPr>
                </w:p>
              </w:tc>
            </w:tr>
            <w:tr w:rsidR="002A35D6" w14:paraId="11CBF712" w14:textId="77777777" w:rsidTr="000049BA">
              <w:trPr>
                <w:trHeight w:val="220"/>
                <w:jc w:val="center"/>
              </w:trPr>
              <w:tc>
                <w:tcPr>
                  <w:tcW w:w="220" w:type="pct"/>
                  <w:tcBorders>
                    <w:top w:val="nil"/>
                    <w:left w:val="single" w:sz="4" w:space="0" w:color="auto"/>
                    <w:bottom w:val="nil"/>
                    <w:right w:val="single" w:sz="4" w:space="0" w:color="auto"/>
                  </w:tcBorders>
                  <w:shd w:val="clear" w:color="000000" w:fill="FFF2CC"/>
                  <w:noWrap/>
                  <w:tcMar>
                    <w:left w:w="57" w:type="dxa"/>
                    <w:right w:w="57" w:type="dxa"/>
                  </w:tcMar>
                  <w:hideMark/>
                </w:tcPr>
                <w:p w14:paraId="1F3D1270" w14:textId="77777777" w:rsidR="002A35D6" w:rsidRDefault="002A35D6" w:rsidP="002A35D6">
                  <w:pPr>
                    <w:jc w:val="right"/>
                    <w:rPr>
                      <w:rFonts w:ascii="Calibri" w:hAnsi="Calibri" w:cs="Calibri"/>
                      <w:color w:val="000000"/>
                      <w:sz w:val="18"/>
                      <w:szCs w:val="18"/>
                    </w:rPr>
                  </w:pPr>
                  <w:r>
                    <w:rPr>
                      <w:rFonts w:ascii="Calibri" w:hAnsi="Calibri" w:cs="Calibri"/>
                      <w:color w:val="000000"/>
                      <w:sz w:val="18"/>
                      <w:szCs w:val="18"/>
                    </w:rPr>
                    <w:t>c)</w:t>
                  </w:r>
                </w:p>
              </w:tc>
              <w:tc>
                <w:tcPr>
                  <w:tcW w:w="4001" w:type="pct"/>
                  <w:tcBorders>
                    <w:top w:val="nil"/>
                    <w:left w:val="nil"/>
                    <w:bottom w:val="nil"/>
                    <w:right w:val="single" w:sz="4" w:space="0" w:color="auto"/>
                  </w:tcBorders>
                  <w:shd w:val="clear" w:color="000000" w:fill="FFF2CC"/>
                  <w:noWrap/>
                  <w:tcMar>
                    <w:left w:w="57" w:type="dxa"/>
                    <w:right w:w="57" w:type="dxa"/>
                  </w:tcMar>
                  <w:hideMark/>
                </w:tcPr>
                <w:p w14:paraId="04F91FDE" w14:textId="77777777" w:rsidR="002A35D6" w:rsidRDefault="002A35D6" w:rsidP="002A35D6">
                  <w:pPr>
                    <w:rPr>
                      <w:rFonts w:ascii="Calibri" w:hAnsi="Calibri" w:cs="Calibri"/>
                      <w:color w:val="000000"/>
                      <w:sz w:val="18"/>
                      <w:szCs w:val="18"/>
                    </w:rPr>
                  </w:pPr>
                  <w:r>
                    <w:rPr>
                      <w:rFonts w:ascii="Calibri" w:hAnsi="Calibri" w:cs="Calibri"/>
                      <w:color w:val="000000"/>
                      <w:sz w:val="18"/>
                      <w:szCs w:val="18"/>
                      <w:lang w:val="en-US"/>
                    </w:rPr>
                    <w:t>Water conservation</w:t>
                  </w:r>
                </w:p>
              </w:tc>
              <w:tc>
                <w:tcPr>
                  <w:tcW w:w="229" w:type="pct"/>
                  <w:tcBorders>
                    <w:top w:val="nil"/>
                    <w:left w:val="nil"/>
                    <w:bottom w:val="nil"/>
                    <w:right w:val="single" w:sz="4" w:space="0" w:color="auto"/>
                  </w:tcBorders>
                  <w:shd w:val="clear" w:color="000000" w:fill="FFF2CC"/>
                  <w:noWrap/>
                  <w:tcMar>
                    <w:left w:w="57" w:type="dxa"/>
                    <w:right w:w="57" w:type="dxa"/>
                  </w:tcMar>
                  <w:hideMark/>
                </w:tcPr>
                <w:p w14:paraId="64483E92" w14:textId="77777777" w:rsidR="002A35D6" w:rsidRDefault="002A35D6" w:rsidP="002A35D6">
                  <w:pPr>
                    <w:jc w:val="right"/>
                    <w:rPr>
                      <w:rFonts w:ascii="Calibri" w:hAnsi="Calibri" w:cs="Calibri"/>
                      <w:color w:val="000000"/>
                      <w:sz w:val="18"/>
                      <w:szCs w:val="18"/>
                    </w:rPr>
                  </w:pPr>
                  <w:r>
                    <w:rPr>
                      <w:rFonts w:ascii="Calibri" w:hAnsi="Calibri" w:cs="Calibri"/>
                      <w:color w:val="000000"/>
                      <w:sz w:val="18"/>
                      <w:szCs w:val="18"/>
                    </w:rPr>
                    <w:t>2.0</w:t>
                  </w:r>
                </w:p>
              </w:tc>
              <w:tc>
                <w:tcPr>
                  <w:tcW w:w="348" w:type="pct"/>
                  <w:tcBorders>
                    <w:top w:val="nil"/>
                    <w:left w:val="nil"/>
                    <w:bottom w:val="nil"/>
                    <w:right w:val="single" w:sz="4" w:space="0" w:color="auto"/>
                  </w:tcBorders>
                  <w:shd w:val="clear" w:color="000000" w:fill="FFF2CC"/>
                  <w:noWrap/>
                  <w:tcMar>
                    <w:left w:w="57" w:type="dxa"/>
                    <w:right w:w="57" w:type="dxa"/>
                  </w:tcMar>
                  <w:hideMark/>
                </w:tcPr>
                <w:p w14:paraId="42954659" w14:textId="77777777" w:rsidR="002A35D6" w:rsidRDefault="002A35D6" w:rsidP="002A35D6">
                  <w:pPr>
                    <w:jc w:val="right"/>
                    <w:rPr>
                      <w:rFonts w:ascii="Calibri" w:hAnsi="Calibri" w:cs="Calibri"/>
                      <w:color w:val="000000"/>
                      <w:sz w:val="18"/>
                      <w:szCs w:val="18"/>
                    </w:rPr>
                  </w:pPr>
                  <w:r>
                    <w:rPr>
                      <w:rFonts w:ascii="Calibri" w:hAnsi="Calibri" w:cs="Calibri"/>
                      <w:color w:val="000000"/>
                      <w:sz w:val="18"/>
                      <w:szCs w:val="18"/>
                    </w:rPr>
                    <w:t>1.6</w:t>
                  </w:r>
                </w:p>
              </w:tc>
              <w:tc>
                <w:tcPr>
                  <w:tcW w:w="67" w:type="pct"/>
                  <w:tcBorders>
                    <w:top w:val="nil"/>
                    <w:left w:val="nil"/>
                    <w:bottom w:val="nil"/>
                    <w:right w:val="nil"/>
                  </w:tcBorders>
                  <w:shd w:val="clear" w:color="auto" w:fill="auto"/>
                  <w:noWrap/>
                  <w:tcMar>
                    <w:left w:w="57" w:type="dxa"/>
                    <w:right w:w="57" w:type="dxa"/>
                  </w:tcMar>
                  <w:hideMark/>
                </w:tcPr>
                <w:p w14:paraId="73B89FF7" w14:textId="77777777" w:rsidR="002A35D6" w:rsidRDefault="002A35D6" w:rsidP="002A35D6">
                  <w:pPr>
                    <w:jc w:val="right"/>
                    <w:rPr>
                      <w:rFonts w:ascii="Calibri" w:hAnsi="Calibri" w:cs="Calibri"/>
                      <w:color w:val="000000"/>
                      <w:sz w:val="18"/>
                      <w:szCs w:val="18"/>
                    </w:rPr>
                  </w:pPr>
                </w:p>
              </w:tc>
              <w:tc>
                <w:tcPr>
                  <w:tcW w:w="67" w:type="pct"/>
                  <w:tcBorders>
                    <w:top w:val="nil"/>
                    <w:left w:val="nil"/>
                    <w:bottom w:val="nil"/>
                    <w:right w:val="nil"/>
                  </w:tcBorders>
                  <w:shd w:val="clear" w:color="auto" w:fill="auto"/>
                  <w:noWrap/>
                  <w:tcMar>
                    <w:left w:w="57" w:type="dxa"/>
                    <w:right w:w="57" w:type="dxa"/>
                  </w:tcMar>
                  <w:hideMark/>
                </w:tcPr>
                <w:p w14:paraId="0CDDCC8E" w14:textId="77777777" w:rsidR="002A35D6" w:rsidRDefault="002A35D6" w:rsidP="002A35D6">
                  <w:pPr>
                    <w:jc w:val="right"/>
                    <w:rPr>
                      <w:sz w:val="20"/>
                      <w:szCs w:val="20"/>
                    </w:rPr>
                  </w:pPr>
                </w:p>
              </w:tc>
              <w:tc>
                <w:tcPr>
                  <w:tcW w:w="67" w:type="pct"/>
                  <w:tcBorders>
                    <w:top w:val="nil"/>
                    <w:left w:val="nil"/>
                    <w:bottom w:val="nil"/>
                    <w:right w:val="nil"/>
                  </w:tcBorders>
                  <w:shd w:val="clear" w:color="auto" w:fill="auto"/>
                  <w:noWrap/>
                  <w:tcMar>
                    <w:left w:w="57" w:type="dxa"/>
                    <w:right w:w="57" w:type="dxa"/>
                  </w:tcMar>
                  <w:hideMark/>
                </w:tcPr>
                <w:p w14:paraId="33FD26F3" w14:textId="77777777" w:rsidR="002A35D6" w:rsidRDefault="002A35D6" w:rsidP="002A35D6">
                  <w:pPr>
                    <w:jc w:val="right"/>
                    <w:rPr>
                      <w:sz w:val="20"/>
                      <w:szCs w:val="20"/>
                    </w:rPr>
                  </w:pPr>
                </w:p>
              </w:tc>
            </w:tr>
            <w:tr w:rsidR="002A35D6" w14:paraId="62196C59" w14:textId="77777777" w:rsidTr="000049BA">
              <w:trPr>
                <w:trHeight w:val="220"/>
                <w:jc w:val="center"/>
              </w:trPr>
              <w:tc>
                <w:tcPr>
                  <w:tcW w:w="220" w:type="pct"/>
                  <w:tcBorders>
                    <w:top w:val="nil"/>
                    <w:left w:val="single" w:sz="4" w:space="0" w:color="auto"/>
                    <w:bottom w:val="nil"/>
                    <w:right w:val="single" w:sz="4" w:space="0" w:color="auto"/>
                  </w:tcBorders>
                  <w:shd w:val="clear" w:color="000000" w:fill="FFF2CC"/>
                  <w:noWrap/>
                  <w:tcMar>
                    <w:left w:w="57" w:type="dxa"/>
                    <w:right w:w="57" w:type="dxa"/>
                  </w:tcMar>
                  <w:hideMark/>
                </w:tcPr>
                <w:p w14:paraId="58D22941" w14:textId="77777777" w:rsidR="002A35D6" w:rsidRDefault="002A35D6" w:rsidP="002A35D6">
                  <w:pPr>
                    <w:jc w:val="right"/>
                    <w:rPr>
                      <w:rFonts w:ascii="Calibri" w:hAnsi="Calibri" w:cs="Calibri"/>
                      <w:color w:val="000000"/>
                      <w:sz w:val="18"/>
                      <w:szCs w:val="18"/>
                    </w:rPr>
                  </w:pPr>
                  <w:r>
                    <w:rPr>
                      <w:rFonts w:ascii="Calibri" w:hAnsi="Calibri" w:cs="Calibri"/>
                      <w:color w:val="000000"/>
                      <w:sz w:val="18"/>
                      <w:szCs w:val="18"/>
                    </w:rPr>
                    <w:t>g)</w:t>
                  </w:r>
                </w:p>
              </w:tc>
              <w:tc>
                <w:tcPr>
                  <w:tcW w:w="4001" w:type="pct"/>
                  <w:tcBorders>
                    <w:top w:val="nil"/>
                    <w:left w:val="nil"/>
                    <w:bottom w:val="nil"/>
                    <w:right w:val="single" w:sz="4" w:space="0" w:color="auto"/>
                  </w:tcBorders>
                  <w:shd w:val="clear" w:color="000000" w:fill="FFF2CC"/>
                  <w:noWrap/>
                  <w:tcMar>
                    <w:left w:w="57" w:type="dxa"/>
                    <w:right w:w="57" w:type="dxa"/>
                  </w:tcMar>
                  <w:hideMark/>
                </w:tcPr>
                <w:p w14:paraId="118599E7" w14:textId="77777777" w:rsidR="002A35D6" w:rsidRDefault="002A35D6" w:rsidP="002A35D6">
                  <w:pPr>
                    <w:rPr>
                      <w:rFonts w:ascii="Calibri" w:hAnsi="Calibri" w:cs="Calibri"/>
                      <w:color w:val="000000"/>
                      <w:sz w:val="18"/>
                      <w:szCs w:val="18"/>
                    </w:rPr>
                  </w:pPr>
                  <w:r>
                    <w:rPr>
                      <w:rFonts w:ascii="Calibri" w:hAnsi="Calibri" w:cs="Calibri"/>
                      <w:color w:val="000000"/>
                      <w:sz w:val="18"/>
                      <w:szCs w:val="18"/>
                      <w:lang w:val="en-US"/>
                    </w:rPr>
                    <w:t>Improved access to energy for household and agriculture</w:t>
                  </w:r>
                </w:p>
              </w:tc>
              <w:tc>
                <w:tcPr>
                  <w:tcW w:w="229" w:type="pct"/>
                  <w:tcBorders>
                    <w:top w:val="nil"/>
                    <w:left w:val="nil"/>
                    <w:bottom w:val="nil"/>
                    <w:right w:val="single" w:sz="4" w:space="0" w:color="auto"/>
                  </w:tcBorders>
                  <w:shd w:val="clear" w:color="000000" w:fill="FFF2CC"/>
                  <w:noWrap/>
                  <w:tcMar>
                    <w:left w:w="57" w:type="dxa"/>
                    <w:right w:w="57" w:type="dxa"/>
                  </w:tcMar>
                  <w:hideMark/>
                </w:tcPr>
                <w:p w14:paraId="4D6DECFD" w14:textId="77777777" w:rsidR="002A35D6" w:rsidRDefault="002A35D6" w:rsidP="002A35D6">
                  <w:pPr>
                    <w:jc w:val="right"/>
                    <w:rPr>
                      <w:rFonts w:ascii="Calibri" w:hAnsi="Calibri" w:cs="Calibri"/>
                      <w:color w:val="000000"/>
                      <w:sz w:val="18"/>
                      <w:szCs w:val="18"/>
                    </w:rPr>
                  </w:pPr>
                  <w:r>
                    <w:rPr>
                      <w:rFonts w:ascii="Calibri" w:hAnsi="Calibri" w:cs="Calibri"/>
                      <w:color w:val="000000"/>
                      <w:sz w:val="18"/>
                      <w:szCs w:val="18"/>
                    </w:rPr>
                    <w:t>2.4</w:t>
                  </w:r>
                </w:p>
              </w:tc>
              <w:tc>
                <w:tcPr>
                  <w:tcW w:w="348" w:type="pct"/>
                  <w:tcBorders>
                    <w:top w:val="nil"/>
                    <w:left w:val="nil"/>
                    <w:bottom w:val="nil"/>
                    <w:right w:val="single" w:sz="4" w:space="0" w:color="auto"/>
                  </w:tcBorders>
                  <w:shd w:val="clear" w:color="000000" w:fill="FFF2CC"/>
                  <w:noWrap/>
                  <w:tcMar>
                    <w:left w:w="57" w:type="dxa"/>
                    <w:right w:w="57" w:type="dxa"/>
                  </w:tcMar>
                  <w:hideMark/>
                </w:tcPr>
                <w:p w14:paraId="0D2976FC" w14:textId="77777777" w:rsidR="002A35D6" w:rsidRDefault="002A35D6" w:rsidP="002A35D6">
                  <w:pPr>
                    <w:jc w:val="right"/>
                    <w:rPr>
                      <w:rFonts w:ascii="Calibri" w:hAnsi="Calibri" w:cs="Calibri"/>
                      <w:color w:val="000000"/>
                      <w:sz w:val="18"/>
                      <w:szCs w:val="18"/>
                    </w:rPr>
                  </w:pPr>
                  <w:r>
                    <w:rPr>
                      <w:rFonts w:ascii="Calibri" w:hAnsi="Calibri" w:cs="Calibri"/>
                      <w:color w:val="000000"/>
                      <w:sz w:val="18"/>
                      <w:szCs w:val="18"/>
                    </w:rPr>
                    <w:t>1.6</w:t>
                  </w:r>
                </w:p>
              </w:tc>
              <w:tc>
                <w:tcPr>
                  <w:tcW w:w="67" w:type="pct"/>
                  <w:tcBorders>
                    <w:top w:val="nil"/>
                    <w:left w:val="nil"/>
                    <w:bottom w:val="nil"/>
                    <w:right w:val="nil"/>
                  </w:tcBorders>
                  <w:shd w:val="clear" w:color="auto" w:fill="auto"/>
                  <w:noWrap/>
                  <w:tcMar>
                    <w:left w:w="57" w:type="dxa"/>
                    <w:right w:w="57" w:type="dxa"/>
                  </w:tcMar>
                  <w:hideMark/>
                </w:tcPr>
                <w:p w14:paraId="0AC6698E" w14:textId="77777777" w:rsidR="002A35D6" w:rsidRDefault="002A35D6" w:rsidP="002A35D6">
                  <w:pPr>
                    <w:jc w:val="right"/>
                    <w:rPr>
                      <w:rFonts w:ascii="Calibri" w:hAnsi="Calibri" w:cs="Calibri"/>
                      <w:color w:val="000000"/>
                      <w:sz w:val="18"/>
                      <w:szCs w:val="18"/>
                    </w:rPr>
                  </w:pPr>
                </w:p>
              </w:tc>
              <w:tc>
                <w:tcPr>
                  <w:tcW w:w="67" w:type="pct"/>
                  <w:tcBorders>
                    <w:top w:val="nil"/>
                    <w:left w:val="nil"/>
                    <w:bottom w:val="nil"/>
                    <w:right w:val="nil"/>
                  </w:tcBorders>
                  <w:shd w:val="clear" w:color="auto" w:fill="auto"/>
                  <w:noWrap/>
                  <w:tcMar>
                    <w:left w:w="57" w:type="dxa"/>
                    <w:right w:w="57" w:type="dxa"/>
                  </w:tcMar>
                  <w:hideMark/>
                </w:tcPr>
                <w:p w14:paraId="78CC356A" w14:textId="77777777" w:rsidR="002A35D6" w:rsidRDefault="002A35D6" w:rsidP="002A35D6">
                  <w:pPr>
                    <w:jc w:val="right"/>
                    <w:rPr>
                      <w:sz w:val="20"/>
                      <w:szCs w:val="20"/>
                    </w:rPr>
                  </w:pPr>
                </w:p>
              </w:tc>
              <w:tc>
                <w:tcPr>
                  <w:tcW w:w="67" w:type="pct"/>
                  <w:tcBorders>
                    <w:top w:val="nil"/>
                    <w:left w:val="nil"/>
                    <w:bottom w:val="nil"/>
                    <w:right w:val="nil"/>
                  </w:tcBorders>
                  <w:shd w:val="clear" w:color="auto" w:fill="auto"/>
                  <w:noWrap/>
                  <w:tcMar>
                    <w:left w:w="57" w:type="dxa"/>
                    <w:right w:w="57" w:type="dxa"/>
                  </w:tcMar>
                  <w:hideMark/>
                </w:tcPr>
                <w:p w14:paraId="4D2A12A0" w14:textId="77777777" w:rsidR="002A35D6" w:rsidRDefault="002A35D6" w:rsidP="002A35D6">
                  <w:pPr>
                    <w:jc w:val="right"/>
                    <w:rPr>
                      <w:sz w:val="20"/>
                      <w:szCs w:val="20"/>
                    </w:rPr>
                  </w:pPr>
                </w:p>
              </w:tc>
            </w:tr>
            <w:tr w:rsidR="002A35D6" w14:paraId="60D29DF2" w14:textId="77777777" w:rsidTr="000049BA">
              <w:trPr>
                <w:trHeight w:val="220"/>
                <w:jc w:val="center"/>
              </w:trPr>
              <w:tc>
                <w:tcPr>
                  <w:tcW w:w="220" w:type="pct"/>
                  <w:tcBorders>
                    <w:top w:val="nil"/>
                    <w:left w:val="single" w:sz="4" w:space="0" w:color="auto"/>
                    <w:bottom w:val="nil"/>
                    <w:right w:val="single" w:sz="4" w:space="0" w:color="auto"/>
                  </w:tcBorders>
                  <w:shd w:val="clear" w:color="000000" w:fill="FFF2CC"/>
                  <w:noWrap/>
                  <w:tcMar>
                    <w:left w:w="57" w:type="dxa"/>
                    <w:right w:w="57" w:type="dxa"/>
                  </w:tcMar>
                  <w:hideMark/>
                </w:tcPr>
                <w:p w14:paraId="045E8593" w14:textId="77777777" w:rsidR="002A35D6" w:rsidRDefault="002A35D6" w:rsidP="002A35D6">
                  <w:pPr>
                    <w:jc w:val="right"/>
                    <w:rPr>
                      <w:rFonts w:ascii="Calibri" w:hAnsi="Calibri" w:cs="Calibri"/>
                      <w:color w:val="000000"/>
                      <w:sz w:val="18"/>
                      <w:szCs w:val="18"/>
                    </w:rPr>
                  </w:pPr>
                  <w:r>
                    <w:rPr>
                      <w:rFonts w:ascii="Calibri" w:hAnsi="Calibri" w:cs="Calibri"/>
                      <w:color w:val="000000"/>
                      <w:sz w:val="18"/>
                      <w:szCs w:val="18"/>
                    </w:rPr>
                    <w:t>f)</w:t>
                  </w:r>
                </w:p>
              </w:tc>
              <w:tc>
                <w:tcPr>
                  <w:tcW w:w="4001" w:type="pct"/>
                  <w:tcBorders>
                    <w:top w:val="nil"/>
                    <w:left w:val="nil"/>
                    <w:bottom w:val="nil"/>
                    <w:right w:val="single" w:sz="4" w:space="0" w:color="auto"/>
                  </w:tcBorders>
                  <w:shd w:val="clear" w:color="000000" w:fill="FFF2CC"/>
                  <w:noWrap/>
                  <w:tcMar>
                    <w:left w:w="57" w:type="dxa"/>
                    <w:right w:w="57" w:type="dxa"/>
                  </w:tcMar>
                  <w:hideMark/>
                </w:tcPr>
                <w:p w14:paraId="393719D1" w14:textId="77777777" w:rsidR="002A35D6" w:rsidRDefault="002A35D6" w:rsidP="002A35D6">
                  <w:pPr>
                    <w:rPr>
                      <w:rFonts w:ascii="Calibri" w:hAnsi="Calibri" w:cs="Calibri"/>
                      <w:color w:val="000000"/>
                      <w:sz w:val="18"/>
                      <w:szCs w:val="18"/>
                    </w:rPr>
                  </w:pPr>
                  <w:r>
                    <w:rPr>
                      <w:rFonts w:ascii="Calibri" w:hAnsi="Calibri" w:cs="Calibri"/>
                      <w:color w:val="000000"/>
                      <w:sz w:val="18"/>
                      <w:szCs w:val="18"/>
                      <w:lang w:val="en-US"/>
                    </w:rPr>
                    <w:t>Higher diversification of on-farm agricultural activities</w:t>
                  </w:r>
                </w:p>
              </w:tc>
              <w:tc>
                <w:tcPr>
                  <w:tcW w:w="229" w:type="pct"/>
                  <w:tcBorders>
                    <w:top w:val="nil"/>
                    <w:left w:val="nil"/>
                    <w:bottom w:val="nil"/>
                    <w:right w:val="single" w:sz="4" w:space="0" w:color="auto"/>
                  </w:tcBorders>
                  <w:shd w:val="clear" w:color="000000" w:fill="FFF2CC"/>
                  <w:noWrap/>
                  <w:tcMar>
                    <w:left w:w="57" w:type="dxa"/>
                    <w:right w:w="57" w:type="dxa"/>
                  </w:tcMar>
                  <w:hideMark/>
                </w:tcPr>
                <w:p w14:paraId="11E6305C" w14:textId="77777777" w:rsidR="002A35D6" w:rsidRDefault="002A35D6" w:rsidP="002A35D6">
                  <w:pPr>
                    <w:jc w:val="right"/>
                    <w:rPr>
                      <w:rFonts w:ascii="Calibri" w:hAnsi="Calibri" w:cs="Calibri"/>
                      <w:color w:val="000000"/>
                      <w:sz w:val="18"/>
                      <w:szCs w:val="18"/>
                    </w:rPr>
                  </w:pPr>
                  <w:r>
                    <w:rPr>
                      <w:rFonts w:ascii="Calibri" w:hAnsi="Calibri" w:cs="Calibri"/>
                      <w:color w:val="000000"/>
                      <w:sz w:val="18"/>
                      <w:szCs w:val="18"/>
                    </w:rPr>
                    <w:t>2.3</w:t>
                  </w:r>
                </w:p>
              </w:tc>
              <w:tc>
                <w:tcPr>
                  <w:tcW w:w="348" w:type="pct"/>
                  <w:tcBorders>
                    <w:top w:val="nil"/>
                    <w:left w:val="nil"/>
                    <w:bottom w:val="nil"/>
                    <w:right w:val="single" w:sz="4" w:space="0" w:color="auto"/>
                  </w:tcBorders>
                  <w:shd w:val="clear" w:color="000000" w:fill="FFF2CC"/>
                  <w:noWrap/>
                  <w:tcMar>
                    <w:left w:w="57" w:type="dxa"/>
                    <w:right w:w="57" w:type="dxa"/>
                  </w:tcMar>
                  <w:hideMark/>
                </w:tcPr>
                <w:p w14:paraId="46D9ED32" w14:textId="77777777" w:rsidR="002A35D6" w:rsidRDefault="002A35D6" w:rsidP="002A35D6">
                  <w:pPr>
                    <w:jc w:val="right"/>
                    <w:rPr>
                      <w:rFonts w:ascii="Calibri" w:hAnsi="Calibri" w:cs="Calibri"/>
                      <w:color w:val="000000"/>
                      <w:sz w:val="18"/>
                      <w:szCs w:val="18"/>
                    </w:rPr>
                  </w:pPr>
                  <w:r>
                    <w:rPr>
                      <w:rFonts w:ascii="Calibri" w:hAnsi="Calibri" w:cs="Calibri"/>
                      <w:color w:val="000000"/>
                      <w:sz w:val="18"/>
                      <w:szCs w:val="18"/>
                    </w:rPr>
                    <w:t>2.0</w:t>
                  </w:r>
                </w:p>
              </w:tc>
              <w:tc>
                <w:tcPr>
                  <w:tcW w:w="67" w:type="pct"/>
                  <w:tcBorders>
                    <w:top w:val="nil"/>
                    <w:left w:val="nil"/>
                    <w:bottom w:val="nil"/>
                    <w:right w:val="nil"/>
                  </w:tcBorders>
                  <w:shd w:val="clear" w:color="auto" w:fill="auto"/>
                  <w:noWrap/>
                  <w:tcMar>
                    <w:left w:w="57" w:type="dxa"/>
                    <w:right w:w="57" w:type="dxa"/>
                  </w:tcMar>
                  <w:hideMark/>
                </w:tcPr>
                <w:p w14:paraId="316D84B6" w14:textId="77777777" w:rsidR="002A35D6" w:rsidRDefault="002A35D6" w:rsidP="002A35D6">
                  <w:pPr>
                    <w:jc w:val="right"/>
                    <w:rPr>
                      <w:rFonts w:ascii="Calibri" w:hAnsi="Calibri" w:cs="Calibri"/>
                      <w:color w:val="000000"/>
                      <w:sz w:val="18"/>
                      <w:szCs w:val="18"/>
                    </w:rPr>
                  </w:pPr>
                </w:p>
              </w:tc>
              <w:tc>
                <w:tcPr>
                  <w:tcW w:w="67" w:type="pct"/>
                  <w:tcBorders>
                    <w:top w:val="nil"/>
                    <w:left w:val="nil"/>
                    <w:bottom w:val="nil"/>
                    <w:right w:val="nil"/>
                  </w:tcBorders>
                  <w:shd w:val="clear" w:color="auto" w:fill="auto"/>
                  <w:noWrap/>
                  <w:tcMar>
                    <w:left w:w="57" w:type="dxa"/>
                    <w:right w:w="57" w:type="dxa"/>
                  </w:tcMar>
                  <w:hideMark/>
                </w:tcPr>
                <w:p w14:paraId="51890306" w14:textId="77777777" w:rsidR="002A35D6" w:rsidRDefault="002A35D6" w:rsidP="002A35D6">
                  <w:pPr>
                    <w:jc w:val="right"/>
                    <w:rPr>
                      <w:sz w:val="20"/>
                      <w:szCs w:val="20"/>
                    </w:rPr>
                  </w:pPr>
                </w:p>
              </w:tc>
              <w:tc>
                <w:tcPr>
                  <w:tcW w:w="67" w:type="pct"/>
                  <w:tcBorders>
                    <w:top w:val="nil"/>
                    <w:left w:val="nil"/>
                    <w:bottom w:val="nil"/>
                    <w:right w:val="nil"/>
                  </w:tcBorders>
                  <w:shd w:val="clear" w:color="auto" w:fill="auto"/>
                  <w:noWrap/>
                  <w:tcMar>
                    <w:left w:w="57" w:type="dxa"/>
                    <w:right w:w="57" w:type="dxa"/>
                  </w:tcMar>
                  <w:hideMark/>
                </w:tcPr>
                <w:p w14:paraId="1045CCE8" w14:textId="77777777" w:rsidR="002A35D6" w:rsidRDefault="002A35D6" w:rsidP="002A35D6">
                  <w:pPr>
                    <w:jc w:val="right"/>
                    <w:rPr>
                      <w:sz w:val="20"/>
                      <w:szCs w:val="20"/>
                    </w:rPr>
                  </w:pPr>
                </w:p>
              </w:tc>
            </w:tr>
            <w:tr w:rsidR="002A35D6" w14:paraId="297E49DF" w14:textId="77777777" w:rsidTr="000049BA">
              <w:trPr>
                <w:trHeight w:val="220"/>
                <w:jc w:val="center"/>
              </w:trPr>
              <w:tc>
                <w:tcPr>
                  <w:tcW w:w="220" w:type="pct"/>
                  <w:tcBorders>
                    <w:top w:val="nil"/>
                    <w:left w:val="single" w:sz="4" w:space="0" w:color="auto"/>
                    <w:bottom w:val="nil"/>
                    <w:right w:val="single" w:sz="4" w:space="0" w:color="auto"/>
                  </w:tcBorders>
                  <w:shd w:val="clear" w:color="000000" w:fill="FFF2CC"/>
                  <w:noWrap/>
                  <w:tcMar>
                    <w:left w:w="57" w:type="dxa"/>
                    <w:right w:w="57" w:type="dxa"/>
                  </w:tcMar>
                  <w:hideMark/>
                </w:tcPr>
                <w:p w14:paraId="0B023990" w14:textId="77777777" w:rsidR="002A35D6" w:rsidRDefault="002A35D6" w:rsidP="002A35D6">
                  <w:pPr>
                    <w:jc w:val="right"/>
                    <w:rPr>
                      <w:rFonts w:ascii="Calibri" w:hAnsi="Calibri" w:cs="Calibri"/>
                      <w:color w:val="000000"/>
                      <w:sz w:val="18"/>
                      <w:szCs w:val="18"/>
                    </w:rPr>
                  </w:pPr>
                  <w:r>
                    <w:rPr>
                      <w:rFonts w:ascii="Calibri" w:hAnsi="Calibri" w:cs="Calibri"/>
                      <w:color w:val="000000"/>
                      <w:sz w:val="18"/>
                      <w:szCs w:val="18"/>
                    </w:rPr>
                    <w:t>h)</w:t>
                  </w:r>
                </w:p>
              </w:tc>
              <w:tc>
                <w:tcPr>
                  <w:tcW w:w="4001" w:type="pct"/>
                  <w:tcBorders>
                    <w:top w:val="nil"/>
                    <w:left w:val="nil"/>
                    <w:bottom w:val="nil"/>
                    <w:right w:val="single" w:sz="4" w:space="0" w:color="auto"/>
                  </w:tcBorders>
                  <w:shd w:val="clear" w:color="000000" w:fill="FFF2CC"/>
                  <w:noWrap/>
                  <w:tcMar>
                    <w:left w:w="57" w:type="dxa"/>
                    <w:right w:w="57" w:type="dxa"/>
                  </w:tcMar>
                  <w:hideMark/>
                </w:tcPr>
                <w:p w14:paraId="6F670B52" w14:textId="77777777" w:rsidR="002A35D6" w:rsidRDefault="002A35D6" w:rsidP="002A35D6">
                  <w:pPr>
                    <w:rPr>
                      <w:rFonts w:ascii="Calibri" w:hAnsi="Calibri" w:cs="Calibri"/>
                      <w:color w:val="000000"/>
                      <w:sz w:val="18"/>
                      <w:szCs w:val="18"/>
                    </w:rPr>
                  </w:pPr>
                  <w:r>
                    <w:rPr>
                      <w:rFonts w:ascii="Calibri" w:hAnsi="Calibri" w:cs="Calibri"/>
                      <w:color w:val="000000"/>
                      <w:sz w:val="18"/>
                      <w:szCs w:val="18"/>
                      <w:lang w:val="en-US"/>
                    </w:rPr>
                    <w:t>Better access to information on weather and adaptation practices</w:t>
                  </w:r>
                </w:p>
              </w:tc>
              <w:tc>
                <w:tcPr>
                  <w:tcW w:w="229" w:type="pct"/>
                  <w:tcBorders>
                    <w:top w:val="nil"/>
                    <w:left w:val="nil"/>
                    <w:bottom w:val="nil"/>
                    <w:right w:val="single" w:sz="4" w:space="0" w:color="auto"/>
                  </w:tcBorders>
                  <w:shd w:val="clear" w:color="000000" w:fill="FFF2CC"/>
                  <w:noWrap/>
                  <w:tcMar>
                    <w:left w:w="57" w:type="dxa"/>
                    <w:right w:w="57" w:type="dxa"/>
                  </w:tcMar>
                  <w:hideMark/>
                </w:tcPr>
                <w:p w14:paraId="5F2A49F7" w14:textId="77777777" w:rsidR="002A35D6" w:rsidRDefault="002A35D6" w:rsidP="002A35D6">
                  <w:pPr>
                    <w:jc w:val="right"/>
                    <w:rPr>
                      <w:rFonts w:ascii="Calibri" w:hAnsi="Calibri" w:cs="Calibri"/>
                      <w:color w:val="000000"/>
                      <w:sz w:val="18"/>
                      <w:szCs w:val="18"/>
                    </w:rPr>
                  </w:pPr>
                  <w:r>
                    <w:rPr>
                      <w:rFonts w:ascii="Calibri" w:hAnsi="Calibri" w:cs="Calibri"/>
                      <w:color w:val="000000"/>
                      <w:sz w:val="18"/>
                      <w:szCs w:val="18"/>
                    </w:rPr>
                    <w:t>2.9</w:t>
                  </w:r>
                </w:p>
              </w:tc>
              <w:tc>
                <w:tcPr>
                  <w:tcW w:w="348" w:type="pct"/>
                  <w:tcBorders>
                    <w:top w:val="nil"/>
                    <w:left w:val="nil"/>
                    <w:bottom w:val="nil"/>
                    <w:right w:val="single" w:sz="4" w:space="0" w:color="auto"/>
                  </w:tcBorders>
                  <w:shd w:val="clear" w:color="000000" w:fill="FFF2CC"/>
                  <w:noWrap/>
                  <w:tcMar>
                    <w:left w:w="57" w:type="dxa"/>
                    <w:right w:w="57" w:type="dxa"/>
                  </w:tcMar>
                  <w:hideMark/>
                </w:tcPr>
                <w:p w14:paraId="74646843" w14:textId="77777777" w:rsidR="002A35D6" w:rsidRDefault="002A35D6" w:rsidP="002A35D6">
                  <w:pPr>
                    <w:jc w:val="right"/>
                    <w:rPr>
                      <w:rFonts w:ascii="Calibri" w:hAnsi="Calibri" w:cs="Calibri"/>
                      <w:color w:val="000000"/>
                      <w:sz w:val="18"/>
                      <w:szCs w:val="18"/>
                    </w:rPr>
                  </w:pPr>
                  <w:r>
                    <w:rPr>
                      <w:rFonts w:ascii="Calibri" w:hAnsi="Calibri" w:cs="Calibri"/>
                      <w:color w:val="000000"/>
                      <w:sz w:val="18"/>
                      <w:szCs w:val="18"/>
                    </w:rPr>
                    <w:t>2.1</w:t>
                  </w:r>
                </w:p>
              </w:tc>
              <w:tc>
                <w:tcPr>
                  <w:tcW w:w="67" w:type="pct"/>
                  <w:tcBorders>
                    <w:top w:val="nil"/>
                    <w:left w:val="nil"/>
                    <w:bottom w:val="nil"/>
                    <w:right w:val="nil"/>
                  </w:tcBorders>
                  <w:shd w:val="clear" w:color="auto" w:fill="auto"/>
                  <w:noWrap/>
                  <w:tcMar>
                    <w:left w:w="57" w:type="dxa"/>
                    <w:right w:w="57" w:type="dxa"/>
                  </w:tcMar>
                  <w:hideMark/>
                </w:tcPr>
                <w:p w14:paraId="4B00C2E2" w14:textId="77777777" w:rsidR="002A35D6" w:rsidRDefault="002A35D6" w:rsidP="002A35D6">
                  <w:pPr>
                    <w:jc w:val="right"/>
                    <w:rPr>
                      <w:rFonts w:ascii="Calibri" w:hAnsi="Calibri" w:cs="Calibri"/>
                      <w:color w:val="000000"/>
                      <w:sz w:val="18"/>
                      <w:szCs w:val="18"/>
                    </w:rPr>
                  </w:pPr>
                </w:p>
              </w:tc>
              <w:tc>
                <w:tcPr>
                  <w:tcW w:w="67" w:type="pct"/>
                  <w:tcBorders>
                    <w:top w:val="nil"/>
                    <w:left w:val="nil"/>
                    <w:bottom w:val="nil"/>
                    <w:right w:val="nil"/>
                  </w:tcBorders>
                  <w:shd w:val="clear" w:color="auto" w:fill="auto"/>
                  <w:noWrap/>
                  <w:tcMar>
                    <w:left w:w="57" w:type="dxa"/>
                    <w:right w:w="57" w:type="dxa"/>
                  </w:tcMar>
                  <w:hideMark/>
                </w:tcPr>
                <w:p w14:paraId="77412B58" w14:textId="77777777" w:rsidR="002A35D6" w:rsidRDefault="002A35D6" w:rsidP="002A35D6">
                  <w:pPr>
                    <w:jc w:val="right"/>
                    <w:rPr>
                      <w:sz w:val="20"/>
                      <w:szCs w:val="20"/>
                    </w:rPr>
                  </w:pPr>
                </w:p>
              </w:tc>
              <w:tc>
                <w:tcPr>
                  <w:tcW w:w="67" w:type="pct"/>
                  <w:tcBorders>
                    <w:top w:val="nil"/>
                    <w:left w:val="nil"/>
                    <w:bottom w:val="nil"/>
                    <w:right w:val="nil"/>
                  </w:tcBorders>
                  <w:shd w:val="clear" w:color="auto" w:fill="auto"/>
                  <w:noWrap/>
                  <w:tcMar>
                    <w:left w:w="57" w:type="dxa"/>
                    <w:right w:w="57" w:type="dxa"/>
                  </w:tcMar>
                  <w:hideMark/>
                </w:tcPr>
                <w:p w14:paraId="1A28C79B" w14:textId="77777777" w:rsidR="002A35D6" w:rsidRDefault="002A35D6" w:rsidP="002A35D6">
                  <w:pPr>
                    <w:jc w:val="right"/>
                    <w:rPr>
                      <w:sz w:val="20"/>
                      <w:szCs w:val="20"/>
                    </w:rPr>
                  </w:pPr>
                </w:p>
              </w:tc>
            </w:tr>
            <w:tr w:rsidR="002A35D6" w14:paraId="1659FFA6" w14:textId="77777777" w:rsidTr="000049BA">
              <w:trPr>
                <w:trHeight w:val="220"/>
                <w:jc w:val="center"/>
              </w:trPr>
              <w:tc>
                <w:tcPr>
                  <w:tcW w:w="220" w:type="pct"/>
                  <w:tcBorders>
                    <w:top w:val="nil"/>
                    <w:left w:val="single" w:sz="4" w:space="0" w:color="auto"/>
                    <w:bottom w:val="nil"/>
                    <w:right w:val="single" w:sz="4" w:space="0" w:color="auto"/>
                  </w:tcBorders>
                  <w:shd w:val="clear" w:color="000000" w:fill="FFF2CC"/>
                  <w:noWrap/>
                  <w:tcMar>
                    <w:left w:w="57" w:type="dxa"/>
                    <w:right w:w="57" w:type="dxa"/>
                  </w:tcMar>
                  <w:hideMark/>
                </w:tcPr>
                <w:p w14:paraId="6CE4AB34" w14:textId="77777777" w:rsidR="002A35D6" w:rsidRDefault="002A35D6" w:rsidP="002A35D6">
                  <w:pPr>
                    <w:jc w:val="right"/>
                    <w:rPr>
                      <w:rFonts w:ascii="Calibri" w:hAnsi="Calibri" w:cs="Calibri"/>
                      <w:color w:val="000000"/>
                      <w:sz w:val="18"/>
                      <w:szCs w:val="18"/>
                    </w:rPr>
                  </w:pPr>
                  <w:r>
                    <w:rPr>
                      <w:rFonts w:ascii="Calibri" w:hAnsi="Calibri" w:cs="Calibri"/>
                      <w:color w:val="000000"/>
                      <w:sz w:val="18"/>
                      <w:szCs w:val="18"/>
                    </w:rPr>
                    <w:t>j)</w:t>
                  </w:r>
                </w:p>
              </w:tc>
              <w:tc>
                <w:tcPr>
                  <w:tcW w:w="4001" w:type="pct"/>
                  <w:tcBorders>
                    <w:top w:val="nil"/>
                    <w:left w:val="nil"/>
                    <w:bottom w:val="nil"/>
                    <w:right w:val="single" w:sz="4" w:space="0" w:color="auto"/>
                  </w:tcBorders>
                  <w:shd w:val="clear" w:color="000000" w:fill="FFF2CC"/>
                  <w:noWrap/>
                  <w:tcMar>
                    <w:left w:w="57" w:type="dxa"/>
                    <w:right w:w="57" w:type="dxa"/>
                  </w:tcMar>
                  <w:hideMark/>
                </w:tcPr>
                <w:p w14:paraId="1B88D6C4" w14:textId="77777777" w:rsidR="002A35D6" w:rsidRDefault="002A35D6" w:rsidP="002A35D6">
                  <w:pPr>
                    <w:rPr>
                      <w:rFonts w:ascii="Calibri" w:hAnsi="Calibri" w:cs="Calibri"/>
                      <w:color w:val="000000"/>
                      <w:sz w:val="18"/>
                      <w:szCs w:val="18"/>
                    </w:rPr>
                  </w:pPr>
                  <w:r>
                    <w:rPr>
                      <w:rFonts w:ascii="Calibri" w:hAnsi="Calibri" w:cs="Calibri"/>
                      <w:color w:val="000000"/>
                      <w:sz w:val="18"/>
                      <w:szCs w:val="18"/>
                    </w:rPr>
                    <w:t>Land management</w:t>
                  </w:r>
                </w:p>
              </w:tc>
              <w:tc>
                <w:tcPr>
                  <w:tcW w:w="229" w:type="pct"/>
                  <w:tcBorders>
                    <w:top w:val="nil"/>
                    <w:left w:val="nil"/>
                    <w:bottom w:val="nil"/>
                    <w:right w:val="single" w:sz="4" w:space="0" w:color="auto"/>
                  </w:tcBorders>
                  <w:shd w:val="clear" w:color="000000" w:fill="FFF2CC"/>
                  <w:noWrap/>
                  <w:tcMar>
                    <w:left w:w="57" w:type="dxa"/>
                    <w:right w:w="57" w:type="dxa"/>
                  </w:tcMar>
                  <w:hideMark/>
                </w:tcPr>
                <w:p w14:paraId="6BA3CDD4" w14:textId="77777777" w:rsidR="002A35D6" w:rsidRDefault="002A35D6" w:rsidP="002A35D6">
                  <w:pPr>
                    <w:jc w:val="right"/>
                    <w:rPr>
                      <w:rFonts w:ascii="Calibri" w:hAnsi="Calibri" w:cs="Calibri"/>
                      <w:color w:val="000000"/>
                      <w:sz w:val="18"/>
                      <w:szCs w:val="18"/>
                    </w:rPr>
                  </w:pPr>
                  <w:r>
                    <w:rPr>
                      <w:rFonts w:ascii="Calibri" w:hAnsi="Calibri" w:cs="Calibri"/>
                      <w:color w:val="000000"/>
                      <w:sz w:val="18"/>
                      <w:szCs w:val="18"/>
                    </w:rPr>
                    <w:t>-</w:t>
                  </w:r>
                </w:p>
              </w:tc>
              <w:tc>
                <w:tcPr>
                  <w:tcW w:w="348" w:type="pct"/>
                  <w:tcBorders>
                    <w:top w:val="nil"/>
                    <w:left w:val="nil"/>
                    <w:bottom w:val="nil"/>
                    <w:right w:val="single" w:sz="4" w:space="0" w:color="auto"/>
                  </w:tcBorders>
                  <w:shd w:val="clear" w:color="000000" w:fill="FFF2CC"/>
                  <w:noWrap/>
                  <w:tcMar>
                    <w:left w:w="57" w:type="dxa"/>
                    <w:right w:w="57" w:type="dxa"/>
                  </w:tcMar>
                  <w:hideMark/>
                </w:tcPr>
                <w:p w14:paraId="061C39CD" w14:textId="77777777" w:rsidR="002A35D6" w:rsidRDefault="002A35D6" w:rsidP="002A35D6">
                  <w:pPr>
                    <w:jc w:val="right"/>
                    <w:rPr>
                      <w:rFonts w:ascii="Calibri" w:hAnsi="Calibri" w:cs="Calibri"/>
                      <w:color w:val="000000"/>
                      <w:sz w:val="18"/>
                      <w:szCs w:val="18"/>
                    </w:rPr>
                  </w:pPr>
                  <w:r>
                    <w:rPr>
                      <w:rFonts w:ascii="Calibri" w:hAnsi="Calibri" w:cs="Calibri"/>
                      <w:color w:val="000000"/>
                      <w:sz w:val="18"/>
                      <w:szCs w:val="18"/>
                    </w:rPr>
                    <w:t>2.6</w:t>
                  </w:r>
                </w:p>
              </w:tc>
              <w:tc>
                <w:tcPr>
                  <w:tcW w:w="67" w:type="pct"/>
                  <w:tcBorders>
                    <w:top w:val="nil"/>
                    <w:left w:val="nil"/>
                    <w:bottom w:val="nil"/>
                    <w:right w:val="nil"/>
                  </w:tcBorders>
                  <w:shd w:val="clear" w:color="auto" w:fill="auto"/>
                  <w:noWrap/>
                  <w:tcMar>
                    <w:left w:w="57" w:type="dxa"/>
                    <w:right w:w="57" w:type="dxa"/>
                  </w:tcMar>
                  <w:hideMark/>
                </w:tcPr>
                <w:p w14:paraId="03E223A6" w14:textId="77777777" w:rsidR="002A35D6" w:rsidRDefault="002A35D6" w:rsidP="002A35D6">
                  <w:pPr>
                    <w:jc w:val="right"/>
                    <w:rPr>
                      <w:rFonts w:ascii="Calibri" w:hAnsi="Calibri" w:cs="Calibri"/>
                      <w:color w:val="000000"/>
                      <w:sz w:val="18"/>
                      <w:szCs w:val="18"/>
                    </w:rPr>
                  </w:pPr>
                </w:p>
              </w:tc>
              <w:tc>
                <w:tcPr>
                  <w:tcW w:w="67" w:type="pct"/>
                  <w:tcBorders>
                    <w:top w:val="nil"/>
                    <w:left w:val="nil"/>
                    <w:bottom w:val="nil"/>
                    <w:right w:val="nil"/>
                  </w:tcBorders>
                  <w:shd w:val="clear" w:color="auto" w:fill="auto"/>
                  <w:noWrap/>
                  <w:tcMar>
                    <w:left w:w="57" w:type="dxa"/>
                    <w:right w:w="57" w:type="dxa"/>
                  </w:tcMar>
                  <w:hideMark/>
                </w:tcPr>
                <w:p w14:paraId="157E574C" w14:textId="77777777" w:rsidR="002A35D6" w:rsidRDefault="002A35D6" w:rsidP="002A35D6">
                  <w:pPr>
                    <w:jc w:val="right"/>
                    <w:rPr>
                      <w:sz w:val="20"/>
                      <w:szCs w:val="20"/>
                    </w:rPr>
                  </w:pPr>
                </w:p>
              </w:tc>
              <w:tc>
                <w:tcPr>
                  <w:tcW w:w="67" w:type="pct"/>
                  <w:tcBorders>
                    <w:top w:val="nil"/>
                    <w:left w:val="nil"/>
                    <w:bottom w:val="nil"/>
                    <w:right w:val="nil"/>
                  </w:tcBorders>
                  <w:shd w:val="clear" w:color="auto" w:fill="auto"/>
                  <w:noWrap/>
                  <w:tcMar>
                    <w:left w:w="57" w:type="dxa"/>
                    <w:right w:w="57" w:type="dxa"/>
                  </w:tcMar>
                  <w:hideMark/>
                </w:tcPr>
                <w:p w14:paraId="2AE7B6BB" w14:textId="77777777" w:rsidR="002A35D6" w:rsidRDefault="002A35D6" w:rsidP="002A35D6">
                  <w:pPr>
                    <w:jc w:val="right"/>
                    <w:rPr>
                      <w:sz w:val="20"/>
                      <w:szCs w:val="20"/>
                    </w:rPr>
                  </w:pPr>
                </w:p>
              </w:tc>
            </w:tr>
            <w:tr w:rsidR="002A35D6" w14:paraId="7FB09EA2" w14:textId="77777777" w:rsidTr="000049BA">
              <w:trPr>
                <w:trHeight w:val="220"/>
                <w:jc w:val="center"/>
              </w:trPr>
              <w:tc>
                <w:tcPr>
                  <w:tcW w:w="220" w:type="pct"/>
                  <w:tcBorders>
                    <w:top w:val="nil"/>
                    <w:left w:val="single" w:sz="4" w:space="0" w:color="auto"/>
                    <w:bottom w:val="nil"/>
                    <w:right w:val="single" w:sz="4" w:space="0" w:color="auto"/>
                  </w:tcBorders>
                  <w:shd w:val="clear" w:color="000000" w:fill="FFF2CC"/>
                  <w:noWrap/>
                  <w:tcMar>
                    <w:left w:w="57" w:type="dxa"/>
                    <w:right w:w="57" w:type="dxa"/>
                  </w:tcMar>
                  <w:hideMark/>
                </w:tcPr>
                <w:p w14:paraId="15B1435F" w14:textId="77777777" w:rsidR="002A35D6" w:rsidRDefault="002A35D6" w:rsidP="002A35D6">
                  <w:pPr>
                    <w:jc w:val="right"/>
                    <w:rPr>
                      <w:rFonts w:ascii="Calibri" w:hAnsi="Calibri" w:cs="Calibri"/>
                      <w:color w:val="000000"/>
                      <w:sz w:val="18"/>
                      <w:szCs w:val="18"/>
                    </w:rPr>
                  </w:pPr>
                  <w:r>
                    <w:rPr>
                      <w:rFonts w:ascii="Calibri" w:hAnsi="Calibri" w:cs="Calibri"/>
                      <w:color w:val="000000"/>
                      <w:sz w:val="18"/>
                      <w:szCs w:val="18"/>
                    </w:rPr>
                    <w:t>i)</w:t>
                  </w:r>
                </w:p>
              </w:tc>
              <w:tc>
                <w:tcPr>
                  <w:tcW w:w="4001" w:type="pct"/>
                  <w:tcBorders>
                    <w:top w:val="nil"/>
                    <w:left w:val="nil"/>
                    <w:bottom w:val="nil"/>
                    <w:right w:val="single" w:sz="4" w:space="0" w:color="auto"/>
                  </w:tcBorders>
                  <w:shd w:val="clear" w:color="000000" w:fill="FFF2CC"/>
                  <w:noWrap/>
                  <w:tcMar>
                    <w:left w:w="57" w:type="dxa"/>
                    <w:right w:w="57" w:type="dxa"/>
                  </w:tcMar>
                  <w:hideMark/>
                </w:tcPr>
                <w:p w14:paraId="4C72529A" w14:textId="77777777" w:rsidR="002A35D6" w:rsidRDefault="002A35D6" w:rsidP="002A35D6">
                  <w:pPr>
                    <w:rPr>
                      <w:rFonts w:ascii="Calibri" w:hAnsi="Calibri" w:cs="Calibri"/>
                      <w:color w:val="000000"/>
                      <w:sz w:val="18"/>
                      <w:szCs w:val="18"/>
                    </w:rPr>
                  </w:pPr>
                  <w:r>
                    <w:rPr>
                      <w:rFonts w:ascii="Calibri" w:hAnsi="Calibri" w:cs="Calibri"/>
                      <w:color w:val="000000"/>
                      <w:sz w:val="18"/>
                      <w:szCs w:val="18"/>
                      <w:lang w:val="en-US"/>
                    </w:rPr>
                    <w:t>Strengthening their households’ capacity to deal with changing climate patterns (climate change)</w:t>
                  </w:r>
                </w:p>
              </w:tc>
              <w:tc>
                <w:tcPr>
                  <w:tcW w:w="229" w:type="pct"/>
                  <w:tcBorders>
                    <w:top w:val="nil"/>
                    <w:left w:val="nil"/>
                    <w:bottom w:val="nil"/>
                    <w:right w:val="single" w:sz="4" w:space="0" w:color="auto"/>
                  </w:tcBorders>
                  <w:shd w:val="clear" w:color="000000" w:fill="FFF2CC"/>
                  <w:noWrap/>
                  <w:tcMar>
                    <w:left w:w="57" w:type="dxa"/>
                    <w:right w:w="57" w:type="dxa"/>
                  </w:tcMar>
                  <w:hideMark/>
                </w:tcPr>
                <w:p w14:paraId="58D7B589" w14:textId="77777777" w:rsidR="002A35D6" w:rsidRDefault="002A35D6" w:rsidP="002A35D6">
                  <w:pPr>
                    <w:jc w:val="right"/>
                    <w:rPr>
                      <w:rFonts w:ascii="Calibri" w:hAnsi="Calibri" w:cs="Calibri"/>
                      <w:color w:val="000000"/>
                      <w:sz w:val="18"/>
                      <w:szCs w:val="18"/>
                    </w:rPr>
                  </w:pPr>
                  <w:r>
                    <w:rPr>
                      <w:rFonts w:ascii="Calibri" w:hAnsi="Calibri" w:cs="Calibri"/>
                      <w:color w:val="000000"/>
                      <w:sz w:val="18"/>
                      <w:szCs w:val="18"/>
                    </w:rPr>
                    <w:t>3.0</w:t>
                  </w:r>
                </w:p>
              </w:tc>
              <w:tc>
                <w:tcPr>
                  <w:tcW w:w="348" w:type="pct"/>
                  <w:tcBorders>
                    <w:top w:val="nil"/>
                    <w:left w:val="nil"/>
                    <w:bottom w:val="nil"/>
                    <w:right w:val="single" w:sz="4" w:space="0" w:color="auto"/>
                  </w:tcBorders>
                  <w:shd w:val="clear" w:color="000000" w:fill="FFF2CC"/>
                  <w:noWrap/>
                  <w:tcMar>
                    <w:left w:w="57" w:type="dxa"/>
                    <w:right w:w="57" w:type="dxa"/>
                  </w:tcMar>
                  <w:hideMark/>
                </w:tcPr>
                <w:p w14:paraId="665C2F92" w14:textId="77777777" w:rsidR="002A35D6" w:rsidRDefault="002A35D6" w:rsidP="002A35D6">
                  <w:pPr>
                    <w:jc w:val="right"/>
                    <w:rPr>
                      <w:rFonts w:ascii="Calibri" w:hAnsi="Calibri" w:cs="Calibri"/>
                      <w:color w:val="000000"/>
                      <w:sz w:val="18"/>
                      <w:szCs w:val="18"/>
                    </w:rPr>
                  </w:pPr>
                  <w:r>
                    <w:rPr>
                      <w:rFonts w:ascii="Calibri" w:hAnsi="Calibri" w:cs="Calibri"/>
                      <w:color w:val="000000"/>
                      <w:sz w:val="18"/>
                      <w:szCs w:val="18"/>
                    </w:rPr>
                    <w:t>3.0</w:t>
                  </w:r>
                </w:p>
              </w:tc>
              <w:tc>
                <w:tcPr>
                  <w:tcW w:w="67" w:type="pct"/>
                  <w:tcBorders>
                    <w:top w:val="nil"/>
                    <w:left w:val="nil"/>
                    <w:bottom w:val="nil"/>
                    <w:right w:val="nil"/>
                  </w:tcBorders>
                  <w:shd w:val="clear" w:color="auto" w:fill="auto"/>
                  <w:noWrap/>
                  <w:tcMar>
                    <w:left w:w="57" w:type="dxa"/>
                    <w:right w:w="57" w:type="dxa"/>
                  </w:tcMar>
                  <w:hideMark/>
                </w:tcPr>
                <w:p w14:paraId="7999D5F8" w14:textId="77777777" w:rsidR="002A35D6" w:rsidRDefault="002A35D6" w:rsidP="002A35D6">
                  <w:pPr>
                    <w:jc w:val="right"/>
                    <w:rPr>
                      <w:rFonts w:ascii="Calibri" w:hAnsi="Calibri" w:cs="Calibri"/>
                      <w:color w:val="000000"/>
                      <w:sz w:val="18"/>
                      <w:szCs w:val="18"/>
                    </w:rPr>
                  </w:pPr>
                </w:p>
              </w:tc>
              <w:tc>
                <w:tcPr>
                  <w:tcW w:w="67" w:type="pct"/>
                  <w:tcBorders>
                    <w:top w:val="nil"/>
                    <w:left w:val="nil"/>
                    <w:bottom w:val="nil"/>
                    <w:right w:val="nil"/>
                  </w:tcBorders>
                  <w:shd w:val="clear" w:color="auto" w:fill="auto"/>
                  <w:noWrap/>
                  <w:tcMar>
                    <w:left w:w="57" w:type="dxa"/>
                    <w:right w:w="57" w:type="dxa"/>
                  </w:tcMar>
                  <w:hideMark/>
                </w:tcPr>
                <w:p w14:paraId="1DB27472" w14:textId="77777777" w:rsidR="002A35D6" w:rsidRDefault="002A35D6" w:rsidP="002A35D6">
                  <w:pPr>
                    <w:jc w:val="right"/>
                    <w:rPr>
                      <w:sz w:val="20"/>
                      <w:szCs w:val="20"/>
                    </w:rPr>
                  </w:pPr>
                </w:p>
              </w:tc>
              <w:tc>
                <w:tcPr>
                  <w:tcW w:w="67" w:type="pct"/>
                  <w:tcBorders>
                    <w:top w:val="nil"/>
                    <w:left w:val="nil"/>
                    <w:bottom w:val="nil"/>
                    <w:right w:val="nil"/>
                  </w:tcBorders>
                  <w:shd w:val="clear" w:color="auto" w:fill="auto"/>
                  <w:noWrap/>
                  <w:tcMar>
                    <w:left w:w="57" w:type="dxa"/>
                    <w:right w:w="57" w:type="dxa"/>
                  </w:tcMar>
                  <w:hideMark/>
                </w:tcPr>
                <w:p w14:paraId="6229FBE0" w14:textId="77777777" w:rsidR="002A35D6" w:rsidRDefault="002A35D6" w:rsidP="002A35D6">
                  <w:pPr>
                    <w:jc w:val="right"/>
                    <w:rPr>
                      <w:sz w:val="20"/>
                      <w:szCs w:val="20"/>
                    </w:rPr>
                  </w:pPr>
                </w:p>
              </w:tc>
            </w:tr>
            <w:tr w:rsidR="002A35D6" w14:paraId="7963B32B" w14:textId="77777777" w:rsidTr="000049BA">
              <w:trPr>
                <w:trHeight w:val="220"/>
                <w:jc w:val="center"/>
              </w:trPr>
              <w:tc>
                <w:tcPr>
                  <w:tcW w:w="220" w:type="pct"/>
                  <w:tcBorders>
                    <w:top w:val="nil"/>
                    <w:left w:val="single" w:sz="4" w:space="0" w:color="auto"/>
                    <w:bottom w:val="single" w:sz="4" w:space="0" w:color="auto"/>
                    <w:right w:val="single" w:sz="4" w:space="0" w:color="auto"/>
                  </w:tcBorders>
                  <w:shd w:val="clear" w:color="000000" w:fill="FFF2CC"/>
                  <w:noWrap/>
                  <w:tcMar>
                    <w:left w:w="57" w:type="dxa"/>
                    <w:right w:w="57" w:type="dxa"/>
                  </w:tcMar>
                  <w:hideMark/>
                </w:tcPr>
                <w:p w14:paraId="35C29A06" w14:textId="77777777" w:rsidR="002A35D6" w:rsidRDefault="002A35D6" w:rsidP="002A35D6">
                  <w:pPr>
                    <w:jc w:val="right"/>
                    <w:rPr>
                      <w:rFonts w:ascii="Calibri" w:hAnsi="Calibri" w:cs="Calibri"/>
                      <w:color w:val="000000"/>
                      <w:sz w:val="18"/>
                      <w:szCs w:val="18"/>
                    </w:rPr>
                  </w:pPr>
                  <w:r>
                    <w:rPr>
                      <w:rFonts w:ascii="Calibri" w:hAnsi="Calibri" w:cs="Calibri"/>
                      <w:color w:val="000000"/>
                      <w:sz w:val="18"/>
                      <w:szCs w:val="18"/>
                    </w:rPr>
                    <w:t>b)</w:t>
                  </w:r>
                </w:p>
              </w:tc>
              <w:tc>
                <w:tcPr>
                  <w:tcW w:w="4001" w:type="pct"/>
                  <w:tcBorders>
                    <w:top w:val="nil"/>
                    <w:left w:val="nil"/>
                    <w:bottom w:val="single" w:sz="4" w:space="0" w:color="auto"/>
                    <w:right w:val="single" w:sz="4" w:space="0" w:color="auto"/>
                  </w:tcBorders>
                  <w:shd w:val="clear" w:color="000000" w:fill="FFF2CC"/>
                  <w:noWrap/>
                  <w:tcMar>
                    <w:left w:w="57" w:type="dxa"/>
                    <w:right w:w="57" w:type="dxa"/>
                  </w:tcMar>
                  <w:hideMark/>
                </w:tcPr>
                <w:p w14:paraId="059BA4AF" w14:textId="77777777" w:rsidR="002A35D6" w:rsidRDefault="002A35D6" w:rsidP="002A35D6">
                  <w:pPr>
                    <w:rPr>
                      <w:rFonts w:ascii="Calibri" w:hAnsi="Calibri" w:cs="Calibri"/>
                      <w:color w:val="000000"/>
                      <w:sz w:val="18"/>
                      <w:szCs w:val="18"/>
                    </w:rPr>
                  </w:pPr>
                  <w:r>
                    <w:rPr>
                      <w:rFonts w:ascii="Calibri" w:hAnsi="Calibri" w:cs="Calibri"/>
                      <w:color w:val="000000"/>
                      <w:sz w:val="18"/>
                      <w:szCs w:val="18"/>
                      <w:lang w:val="en-US"/>
                    </w:rPr>
                    <w:t>Increased access to forest resources (trees)</w:t>
                  </w:r>
                </w:p>
              </w:tc>
              <w:tc>
                <w:tcPr>
                  <w:tcW w:w="229" w:type="pct"/>
                  <w:tcBorders>
                    <w:top w:val="nil"/>
                    <w:left w:val="nil"/>
                    <w:bottom w:val="single" w:sz="4" w:space="0" w:color="auto"/>
                    <w:right w:val="single" w:sz="4" w:space="0" w:color="auto"/>
                  </w:tcBorders>
                  <w:shd w:val="clear" w:color="000000" w:fill="FFF2CC"/>
                  <w:noWrap/>
                  <w:tcMar>
                    <w:left w:w="57" w:type="dxa"/>
                    <w:right w:w="57" w:type="dxa"/>
                  </w:tcMar>
                  <w:hideMark/>
                </w:tcPr>
                <w:p w14:paraId="3F099282" w14:textId="77777777" w:rsidR="002A35D6" w:rsidRDefault="002A35D6" w:rsidP="002A35D6">
                  <w:pPr>
                    <w:jc w:val="right"/>
                    <w:rPr>
                      <w:rFonts w:ascii="Calibri" w:hAnsi="Calibri" w:cs="Calibri"/>
                      <w:color w:val="000000"/>
                      <w:sz w:val="18"/>
                      <w:szCs w:val="18"/>
                    </w:rPr>
                  </w:pPr>
                  <w:r>
                    <w:rPr>
                      <w:rFonts w:ascii="Calibri" w:hAnsi="Calibri" w:cs="Calibri"/>
                      <w:color w:val="000000"/>
                      <w:sz w:val="18"/>
                      <w:szCs w:val="18"/>
                    </w:rPr>
                    <w:t>1.9</w:t>
                  </w:r>
                </w:p>
              </w:tc>
              <w:tc>
                <w:tcPr>
                  <w:tcW w:w="348" w:type="pct"/>
                  <w:tcBorders>
                    <w:top w:val="nil"/>
                    <w:left w:val="nil"/>
                    <w:bottom w:val="single" w:sz="4" w:space="0" w:color="auto"/>
                    <w:right w:val="single" w:sz="4" w:space="0" w:color="auto"/>
                  </w:tcBorders>
                  <w:shd w:val="clear" w:color="000000" w:fill="FFF2CC"/>
                  <w:noWrap/>
                  <w:tcMar>
                    <w:left w:w="57" w:type="dxa"/>
                    <w:right w:w="57" w:type="dxa"/>
                  </w:tcMar>
                  <w:hideMark/>
                </w:tcPr>
                <w:p w14:paraId="6D466342" w14:textId="77777777" w:rsidR="002A35D6" w:rsidRDefault="002A35D6" w:rsidP="002A35D6">
                  <w:pPr>
                    <w:jc w:val="right"/>
                    <w:rPr>
                      <w:rFonts w:ascii="Calibri" w:hAnsi="Calibri" w:cs="Calibri"/>
                      <w:color w:val="000000"/>
                      <w:sz w:val="18"/>
                      <w:szCs w:val="18"/>
                    </w:rPr>
                  </w:pPr>
                  <w:r>
                    <w:rPr>
                      <w:rFonts w:ascii="Calibri" w:hAnsi="Calibri" w:cs="Calibri"/>
                      <w:color w:val="000000"/>
                      <w:sz w:val="18"/>
                      <w:szCs w:val="18"/>
                    </w:rPr>
                    <w:t>-</w:t>
                  </w:r>
                </w:p>
              </w:tc>
              <w:tc>
                <w:tcPr>
                  <w:tcW w:w="67" w:type="pct"/>
                  <w:tcBorders>
                    <w:top w:val="nil"/>
                    <w:left w:val="nil"/>
                    <w:bottom w:val="nil"/>
                    <w:right w:val="nil"/>
                  </w:tcBorders>
                  <w:shd w:val="clear" w:color="auto" w:fill="auto"/>
                  <w:noWrap/>
                  <w:tcMar>
                    <w:left w:w="57" w:type="dxa"/>
                    <w:right w:w="57" w:type="dxa"/>
                  </w:tcMar>
                  <w:hideMark/>
                </w:tcPr>
                <w:p w14:paraId="405AD99B" w14:textId="77777777" w:rsidR="002A35D6" w:rsidRDefault="002A35D6" w:rsidP="002A35D6">
                  <w:pPr>
                    <w:jc w:val="right"/>
                    <w:rPr>
                      <w:rFonts w:ascii="Calibri" w:hAnsi="Calibri" w:cs="Calibri"/>
                      <w:color w:val="000000"/>
                      <w:sz w:val="18"/>
                      <w:szCs w:val="18"/>
                    </w:rPr>
                  </w:pPr>
                </w:p>
              </w:tc>
              <w:tc>
                <w:tcPr>
                  <w:tcW w:w="67" w:type="pct"/>
                  <w:tcBorders>
                    <w:top w:val="nil"/>
                    <w:left w:val="nil"/>
                    <w:bottom w:val="nil"/>
                    <w:right w:val="nil"/>
                  </w:tcBorders>
                  <w:shd w:val="clear" w:color="auto" w:fill="auto"/>
                  <w:noWrap/>
                  <w:tcMar>
                    <w:left w:w="57" w:type="dxa"/>
                    <w:right w:w="57" w:type="dxa"/>
                  </w:tcMar>
                  <w:hideMark/>
                </w:tcPr>
                <w:p w14:paraId="785AE83F" w14:textId="77777777" w:rsidR="002A35D6" w:rsidRDefault="002A35D6" w:rsidP="002A35D6">
                  <w:pPr>
                    <w:jc w:val="right"/>
                    <w:rPr>
                      <w:sz w:val="20"/>
                      <w:szCs w:val="20"/>
                    </w:rPr>
                  </w:pPr>
                </w:p>
              </w:tc>
              <w:tc>
                <w:tcPr>
                  <w:tcW w:w="67" w:type="pct"/>
                  <w:tcBorders>
                    <w:top w:val="nil"/>
                    <w:left w:val="nil"/>
                    <w:bottom w:val="nil"/>
                    <w:right w:val="nil"/>
                  </w:tcBorders>
                  <w:shd w:val="clear" w:color="auto" w:fill="auto"/>
                  <w:noWrap/>
                  <w:tcMar>
                    <w:left w:w="57" w:type="dxa"/>
                    <w:right w:w="57" w:type="dxa"/>
                  </w:tcMar>
                  <w:hideMark/>
                </w:tcPr>
                <w:p w14:paraId="528CAA07" w14:textId="77777777" w:rsidR="002A35D6" w:rsidRDefault="002A35D6" w:rsidP="002A35D6">
                  <w:pPr>
                    <w:jc w:val="right"/>
                    <w:rPr>
                      <w:sz w:val="20"/>
                      <w:szCs w:val="20"/>
                    </w:rPr>
                  </w:pPr>
                </w:p>
              </w:tc>
            </w:tr>
          </w:tbl>
          <w:p w14:paraId="1F3FEE94" w14:textId="0D14E323" w:rsidR="000423FC" w:rsidRPr="002A35D6" w:rsidRDefault="000423FC" w:rsidP="00CD15DA">
            <w:pPr>
              <w:pStyle w:val="ParagraphOED"/>
              <w:numPr>
                <w:ilvl w:val="0"/>
                <w:numId w:val="0"/>
              </w:numPr>
              <w:spacing w:before="80" w:after="0"/>
              <w:rPr>
                <w:sz w:val="18"/>
                <w:szCs w:val="18"/>
              </w:rPr>
            </w:pPr>
          </w:p>
        </w:tc>
      </w:tr>
    </w:tbl>
    <w:p w14:paraId="07C367EE" w14:textId="77777777" w:rsidR="009563B4" w:rsidRPr="00CE1EA7" w:rsidRDefault="009563B4" w:rsidP="009563B4">
      <w:pPr>
        <w:rPr>
          <w:sz w:val="2"/>
          <w:szCs w:val="2"/>
        </w:rPr>
      </w:pPr>
    </w:p>
    <w:p w14:paraId="11DB4DC3" w14:textId="73D1E6E1" w:rsidR="009563B4" w:rsidRPr="005A55FC" w:rsidRDefault="009563B4" w:rsidP="005A55FC">
      <w:pPr>
        <w:pStyle w:val="Caption"/>
        <w:spacing w:before="160" w:after="160"/>
        <w:rPr>
          <w:rFonts w:ascii="Calibri" w:hAnsi="Calibri" w:cs="Calibri"/>
          <w:sz w:val="22"/>
          <w:szCs w:val="22"/>
        </w:rPr>
      </w:pPr>
      <w:bookmarkStart w:id="217" w:name="_Ref45738825"/>
      <w:bookmarkStart w:id="218" w:name="_Toc19082711"/>
      <w:bookmarkStart w:id="219" w:name="_Toc42027224"/>
      <w:bookmarkStart w:id="220" w:name="_Toc42089598"/>
      <w:bookmarkStart w:id="221" w:name="_Toc58398637"/>
      <w:r w:rsidRPr="005A55FC">
        <w:rPr>
          <w:rFonts w:ascii="Calibri" w:hAnsi="Calibri" w:cs="Calibri"/>
          <w:sz w:val="22"/>
          <w:szCs w:val="22"/>
        </w:rPr>
        <w:t xml:space="preserve">Table </w:t>
      </w:r>
      <w:r w:rsidRPr="005A55FC">
        <w:rPr>
          <w:rFonts w:ascii="Calibri" w:hAnsi="Calibri" w:cs="Calibri"/>
          <w:sz w:val="22"/>
          <w:szCs w:val="22"/>
        </w:rPr>
        <w:fldChar w:fldCharType="begin"/>
      </w:r>
      <w:r w:rsidRPr="005A55FC">
        <w:rPr>
          <w:rFonts w:ascii="Calibri" w:hAnsi="Calibri" w:cs="Calibri"/>
          <w:sz w:val="22"/>
          <w:szCs w:val="22"/>
        </w:rPr>
        <w:instrText>SEQ Table \* ARABIC</w:instrText>
      </w:r>
      <w:r w:rsidRPr="005A55FC">
        <w:rPr>
          <w:rFonts w:ascii="Calibri" w:hAnsi="Calibri" w:cs="Calibri"/>
          <w:sz w:val="22"/>
          <w:szCs w:val="22"/>
        </w:rPr>
        <w:fldChar w:fldCharType="separate"/>
      </w:r>
      <w:r w:rsidR="007D3608">
        <w:rPr>
          <w:rFonts w:ascii="Calibri" w:hAnsi="Calibri" w:cs="Calibri"/>
          <w:noProof/>
          <w:sz w:val="22"/>
          <w:szCs w:val="22"/>
        </w:rPr>
        <w:t>7</w:t>
      </w:r>
      <w:r w:rsidRPr="005A55FC">
        <w:rPr>
          <w:rFonts w:ascii="Calibri" w:hAnsi="Calibri" w:cs="Calibri"/>
          <w:sz w:val="22"/>
          <w:szCs w:val="22"/>
        </w:rPr>
        <w:fldChar w:fldCharType="end"/>
      </w:r>
      <w:bookmarkEnd w:id="217"/>
      <w:r w:rsidRPr="005A55FC">
        <w:rPr>
          <w:rFonts w:ascii="Calibri" w:hAnsi="Calibri" w:cs="Calibri"/>
          <w:sz w:val="22"/>
          <w:szCs w:val="22"/>
        </w:rPr>
        <w:t>. Gender Entry Points for Monitoring during Project Implementation</w:t>
      </w:r>
      <w:bookmarkEnd w:id="218"/>
      <w:bookmarkEnd w:id="219"/>
      <w:bookmarkEnd w:id="220"/>
      <w:bookmarkEnd w:id="221"/>
    </w:p>
    <w:tbl>
      <w:tblPr>
        <w:tblStyle w:val="TableGrid"/>
        <w:tblW w:w="5000" w:type="pct"/>
        <w:tblLook w:val="04A0" w:firstRow="1" w:lastRow="0" w:firstColumn="1" w:lastColumn="0" w:noHBand="0" w:noVBand="1"/>
      </w:tblPr>
      <w:tblGrid>
        <w:gridCol w:w="403"/>
        <w:gridCol w:w="2350"/>
        <w:gridCol w:w="683"/>
        <w:gridCol w:w="5580"/>
      </w:tblGrid>
      <w:tr w:rsidR="009563B4" w:rsidRPr="00F561D2" w14:paraId="78FB9FEE" w14:textId="77777777" w:rsidTr="3764D022">
        <w:trPr>
          <w:tblHeader/>
        </w:trPr>
        <w:tc>
          <w:tcPr>
            <w:tcW w:w="245" w:type="pct"/>
            <w:shd w:val="clear" w:color="auto" w:fill="000000" w:themeFill="text1"/>
            <w:tcMar>
              <w:left w:w="57" w:type="dxa"/>
              <w:right w:w="28" w:type="dxa"/>
            </w:tcMar>
          </w:tcPr>
          <w:p w14:paraId="2542F9D9" w14:textId="77777777" w:rsidR="009563B4" w:rsidRPr="00F561D2" w:rsidRDefault="009563B4" w:rsidP="00481CA4">
            <w:pPr>
              <w:rPr>
                <w:rFonts w:asciiTheme="minorHAnsi" w:hAnsiTheme="minorHAnsi" w:cstheme="minorHAnsi"/>
                <w:b/>
                <w:sz w:val="19"/>
                <w:szCs w:val="19"/>
              </w:rPr>
            </w:pPr>
            <w:r w:rsidRPr="00F561D2">
              <w:rPr>
                <w:rFonts w:asciiTheme="minorHAnsi" w:hAnsiTheme="minorHAnsi" w:cstheme="minorHAnsi"/>
                <w:b/>
                <w:sz w:val="19"/>
                <w:szCs w:val="19"/>
              </w:rPr>
              <w:t>#</w:t>
            </w:r>
          </w:p>
        </w:tc>
        <w:tc>
          <w:tcPr>
            <w:tcW w:w="1325" w:type="pct"/>
            <w:shd w:val="clear" w:color="auto" w:fill="000000" w:themeFill="text1"/>
            <w:tcMar>
              <w:left w:w="57" w:type="dxa"/>
              <w:right w:w="28" w:type="dxa"/>
            </w:tcMar>
          </w:tcPr>
          <w:p w14:paraId="1577C2AA" w14:textId="77777777" w:rsidR="009563B4" w:rsidRPr="00F561D2" w:rsidRDefault="009563B4" w:rsidP="00481CA4">
            <w:pPr>
              <w:rPr>
                <w:rFonts w:asciiTheme="minorHAnsi" w:hAnsiTheme="minorHAnsi" w:cstheme="minorHAnsi"/>
                <w:b/>
                <w:sz w:val="19"/>
                <w:szCs w:val="19"/>
              </w:rPr>
            </w:pPr>
            <w:r w:rsidRPr="00F561D2">
              <w:rPr>
                <w:rFonts w:asciiTheme="minorHAnsi" w:hAnsiTheme="minorHAnsi" w:cstheme="minorHAnsi"/>
                <w:b/>
                <w:sz w:val="19"/>
                <w:szCs w:val="19"/>
              </w:rPr>
              <w:t>Question</w:t>
            </w:r>
          </w:p>
        </w:tc>
        <w:tc>
          <w:tcPr>
            <w:tcW w:w="314" w:type="pct"/>
            <w:shd w:val="clear" w:color="auto" w:fill="000000" w:themeFill="text1"/>
            <w:tcMar>
              <w:left w:w="57" w:type="dxa"/>
              <w:right w:w="28" w:type="dxa"/>
            </w:tcMar>
          </w:tcPr>
          <w:p w14:paraId="2E73BC84" w14:textId="77777777" w:rsidR="009563B4" w:rsidRPr="00F561D2" w:rsidRDefault="009563B4" w:rsidP="005A55FC">
            <w:pPr>
              <w:jc w:val="center"/>
              <w:rPr>
                <w:rFonts w:asciiTheme="minorHAnsi" w:hAnsiTheme="minorHAnsi" w:cstheme="minorHAnsi"/>
                <w:b/>
                <w:sz w:val="19"/>
                <w:szCs w:val="19"/>
              </w:rPr>
            </w:pPr>
            <w:r w:rsidRPr="00F561D2">
              <w:rPr>
                <w:rFonts w:asciiTheme="minorHAnsi" w:hAnsiTheme="minorHAnsi" w:cstheme="minorHAnsi"/>
                <w:b/>
                <w:sz w:val="19"/>
                <w:szCs w:val="19"/>
              </w:rPr>
              <w:t>Answer</w:t>
            </w:r>
          </w:p>
        </w:tc>
        <w:tc>
          <w:tcPr>
            <w:tcW w:w="3116" w:type="pct"/>
            <w:shd w:val="clear" w:color="auto" w:fill="000000" w:themeFill="text1"/>
            <w:tcMar>
              <w:left w:w="57" w:type="dxa"/>
              <w:right w:w="28" w:type="dxa"/>
            </w:tcMar>
          </w:tcPr>
          <w:p w14:paraId="2913D5BE" w14:textId="77777777" w:rsidR="009563B4" w:rsidRPr="00F561D2" w:rsidRDefault="009563B4" w:rsidP="00481CA4">
            <w:pPr>
              <w:rPr>
                <w:rFonts w:asciiTheme="minorHAnsi" w:hAnsiTheme="minorHAnsi" w:cstheme="minorHAnsi"/>
                <w:b/>
                <w:sz w:val="19"/>
                <w:szCs w:val="19"/>
              </w:rPr>
            </w:pPr>
            <w:r w:rsidRPr="00F561D2">
              <w:rPr>
                <w:rFonts w:asciiTheme="minorHAnsi" w:hAnsiTheme="minorHAnsi" w:cstheme="minorHAnsi"/>
                <w:b/>
                <w:sz w:val="19"/>
                <w:szCs w:val="19"/>
              </w:rPr>
              <w:t>Comment</w:t>
            </w:r>
          </w:p>
        </w:tc>
      </w:tr>
      <w:tr w:rsidR="009563B4" w:rsidRPr="00F561D2" w14:paraId="596C3F7D" w14:textId="77777777" w:rsidTr="3764D022">
        <w:tc>
          <w:tcPr>
            <w:tcW w:w="245" w:type="pct"/>
            <w:shd w:val="clear" w:color="auto" w:fill="E7E6E6" w:themeFill="background2"/>
            <w:tcMar>
              <w:left w:w="57" w:type="dxa"/>
              <w:right w:w="28" w:type="dxa"/>
            </w:tcMar>
          </w:tcPr>
          <w:p w14:paraId="6833595B" w14:textId="77777777" w:rsidR="009563B4" w:rsidRPr="00F561D2" w:rsidRDefault="009563B4" w:rsidP="00481CA4">
            <w:pPr>
              <w:rPr>
                <w:rFonts w:asciiTheme="minorHAnsi" w:hAnsiTheme="minorHAnsi" w:cstheme="minorHAnsi"/>
                <w:b/>
                <w:i/>
                <w:sz w:val="19"/>
                <w:szCs w:val="19"/>
              </w:rPr>
            </w:pPr>
            <w:r w:rsidRPr="00F561D2">
              <w:rPr>
                <w:rFonts w:asciiTheme="minorHAnsi" w:hAnsiTheme="minorHAnsi" w:cstheme="minorHAnsi"/>
                <w:b/>
                <w:i/>
                <w:sz w:val="19"/>
                <w:szCs w:val="19"/>
              </w:rPr>
              <w:t>1</w:t>
            </w:r>
          </w:p>
        </w:tc>
        <w:tc>
          <w:tcPr>
            <w:tcW w:w="1325" w:type="pct"/>
            <w:shd w:val="clear" w:color="auto" w:fill="F2F2F2" w:themeFill="background1" w:themeFillShade="F2"/>
            <w:tcMar>
              <w:left w:w="57" w:type="dxa"/>
              <w:right w:w="28" w:type="dxa"/>
            </w:tcMar>
          </w:tcPr>
          <w:p w14:paraId="14F7E77B" w14:textId="77777777" w:rsidR="009563B4" w:rsidRPr="00F561D2" w:rsidRDefault="009563B4" w:rsidP="00481CA4">
            <w:pPr>
              <w:rPr>
                <w:rFonts w:asciiTheme="minorHAnsi" w:hAnsiTheme="minorHAnsi" w:cstheme="minorHAnsi"/>
                <w:i/>
                <w:sz w:val="19"/>
                <w:szCs w:val="19"/>
              </w:rPr>
            </w:pPr>
            <w:r w:rsidRPr="00F561D2">
              <w:rPr>
                <w:rFonts w:asciiTheme="minorHAnsi" w:hAnsiTheme="minorHAnsi" w:cstheme="minorHAnsi"/>
                <w:i/>
                <w:sz w:val="19"/>
                <w:szCs w:val="19"/>
              </w:rPr>
              <w:t>Does the project expect to include any gender-responsive measures to address gender gaps or promote gender equality and women’s empowerment?</w:t>
            </w:r>
          </w:p>
        </w:tc>
        <w:tc>
          <w:tcPr>
            <w:tcW w:w="314" w:type="pct"/>
            <w:tcMar>
              <w:left w:w="57" w:type="dxa"/>
              <w:right w:w="28" w:type="dxa"/>
            </w:tcMar>
          </w:tcPr>
          <w:p w14:paraId="057810FC" w14:textId="77777777" w:rsidR="009563B4" w:rsidRPr="00F561D2" w:rsidRDefault="009563B4" w:rsidP="005A55FC">
            <w:pPr>
              <w:jc w:val="center"/>
              <w:rPr>
                <w:rFonts w:asciiTheme="minorHAnsi" w:hAnsiTheme="minorHAnsi" w:cstheme="minorHAnsi"/>
                <w:sz w:val="19"/>
                <w:szCs w:val="19"/>
              </w:rPr>
            </w:pPr>
            <w:r w:rsidRPr="00F561D2">
              <w:rPr>
                <w:rFonts w:asciiTheme="minorHAnsi" w:hAnsiTheme="minorHAnsi" w:cstheme="minorHAnsi"/>
                <w:sz w:val="19"/>
                <w:szCs w:val="19"/>
              </w:rPr>
              <w:t>Yes</w:t>
            </w:r>
          </w:p>
        </w:tc>
        <w:tc>
          <w:tcPr>
            <w:tcW w:w="3116" w:type="pct"/>
            <w:tcMar>
              <w:left w:w="57" w:type="dxa"/>
              <w:right w:w="28" w:type="dxa"/>
            </w:tcMar>
          </w:tcPr>
          <w:p w14:paraId="6A3048F8" w14:textId="23B115E2" w:rsidR="009563B4" w:rsidRPr="00F561D2" w:rsidRDefault="009563B4" w:rsidP="00481CA4">
            <w:pPr>
              <w:rPr>
                <w:rFonts w:asciiTheme="minorHAnsi" w:hAnsiTheme="minorHAnsi" w:cstheme="minorHAnsi"/>
                <w:sz w:val="19"/>
                <w:szCs w:val="19"/>
              </w:rPr>
            </w:pPr>
            <w:r w:rsidRPr="00F561D2">
              <w:rPr>
                <w:rFonts w:asciiTheme="minorHAnsi" w:hAnsiTheme="minorHAnsi" w:cstheme="minorHAnsi"/>
                <w:sz w:val="19"/>
                <w:szCs w:val="19"/>
              </w:rPr>
              <w:t xml:space="preserve">Following a gender-analysis during the PPG process, gender-responsive measures were designed to increase women’s participation </w:t>
            </w:r>
            <w:r w:rsidR="00651709">
              <w:rPr>
                <w:rFonts w:asciiTheme="minorHAnsi" w:hAnsiTheme="minorHAnsi" w:cstheme="minorHAnsi"/>
                <w:sz w:val="19"/>
                <w:szCs w:val="19"/>
              </w:rPr>
              <w:t>and</w:t>
            </w:r>
            <w:r w:rsidR="00651709" w:rsidRPr="00F561D2">
              <w:rPr>
                <w:rFonts w:asciiTheme="minorHAnsi" w:hAnsiTheme="minorHAnsi" w:cstheme="minorHAnsi"/>
                <w:sz w:val="19"/>
                <w:szCs w:val="19"/>
              </w:rPr>
              <w:t xml:space="preserve"> promote </w:t>
            </w:r>
            <w:r w:rsidR="00651709">
              <w:rPr>
                <w:rFonts w:asciiTheme="minorHAnsi" w:hAnsiTheme="minorHAnsi" w:cstheme="minorHAnsi"/>
                <w:sz w:val="19"/>
                <w:szCs w:val="19"/>
              </w:rPr>
              <w:t>their</w:t>
            </w:r>
            <w:r w:rsidR="00651709" w:rsidRPr="00F561D2">
              <w:rPr>
                <w:rFonts w:asciiTheme="minorHAnsi" w:hAnsiTheme="minorHAnsi" w:cstheme="minorHAnsi"/>
                <w:sz w:val="19"/>
                <w:szCs w:val="19"/>
              </w:rPr>
              <w:t xml:space="preserve"> empowerment and leadership in the agricultural sector through project activities</w:t>
            </w:r>
            <w:r w:rsidRPr="00F561D2">
              <w:rPr>
                <w:rFonts w:asciiTheme="minorHAnsi" w:hAnsiTheme="minorHAnsi" w:cstheme="minorHAnsi"/>
                <w:sz w:val="19"/>
                <w:szCs w:val="19"/>
              </w:rPr>
              <w:t xml:space="preserve">, especially in family farming, </w:t>
            </w:r>
            <w:r w:rsidR="005A55FC">
              <w:rPr>
                <w:rFonts w:asciiTheme="minorHAnsi" w:hAnsiTheme="minorHAnsi" w:cstheme="minorHAnsi"/>
                <w:sz w:val="19"/>
                <w:szCs w:val="19"/>
              </w:rPr>
              <w:t>understanding</w:t>
            </w:r>
            <w:r w:rsidRPr="00F561D2">
              <w:rPr>
                <w:rFonts w:asciiTheme="minorHAnsi" w:hAnsiTheme="minorHAnsi" w:cstheme="minorHAnsi"/>
                <w:sz w:val="19"/>
                <w:szCs w:val="19"/>
              </w:rPr>
              <w:t xml:space="preserve"> LDN and related climate</w:t>
            </w:r>
            <w:r w:rsidR="005A55FC">
              <w:rPr>
                <w:rFonts w:asciiTheme="minorHAnsi" w:hAnsiTheme="minorHAnsi" w:cstheme="minorHAnsi"/>
                <w:sz w:val="19"/>
                <w:szCs w:val="19"/>
              </w:rPr>
              <w:t>-</w:t>
            </w:r>
            <w:r w:rsidRPr="00F561D2">
              <w:rPr>
                <w:rFonts w:asciiTheme="minorHAnsi" w:hAnsiTheme="minorHAnsi" w:cstheme="minorHAnsi"/>
                <w:sz w:val="19"/>
                <w:szCs w:val="19"/>
              </w:rPr>
              <w:t xml:space="preserve">smart agriculture, improved land,  water and energy management, </w:t>
            </w:r>
            <w:r w:rsidR="005A55FC">
              <w:rPr>
                <w:rFonts w:asciiTheme="minorHAnsi" w:hAnsiTheme="minorHAnsi" w:cstheme="minorHAnsi"/>
                <w:sz w:val="19"/>
                <w:szCs w:val="19"/>
              </w:rPr>
              <w:t>green value cha</w:t>
            </w:r>
            <w:r w:rsidR="00651709">
              <w:rPr>
                <w:rFonts w:asciiTheme="minorHAnsi" w:hAnsiTheme="minorHAnsi" w:cstheme="minorHAnsi"/>
                <w:sz w:val="19"/>
                <w:szCs w:val="19"/>
              </w:rPr>
              <w:t xml:space="preserve">ins and </w:t>
            </w:r>
            <w:r w:rsidRPr="00F561D2">
              <w:rPr>
                <w:rFonts w:asciiTheme="minorHAnsi" w:hAnsiTheme="minorHAnsi" w:cstheme="minorHAnsi"/>
                <w:sz w:val="19"/>
                <w:szCs w:val="19"/>
              </w:rPr>
              <w:t>product marketing</w:t>
            </w:r>
            <w:r w:rsidR="00651709">
              <w:rPr>
                <w:rFonts w:asciiTheme="minorHAnsi" w:hAnsiTheme="minorHAnsi" w:cstheme="minorHAnsi"/>
                <w:sz w:val="19"/>
                <w:szCs w:val="19"/>
              </w:rPr>
              <w:t>,</w:t>
            </w:r>
            <w:r w:rsidRPr="00F561D2">
              <w:rPr>
                <w:rFonts w:asciiTheme="minorHAnsi" w:hAnsiTheme="minorHAnsi" w:cstheme="minorHAnsi"/>
                <w:sz w:val="19"/>
                <w:szCs w:val="19"/>
              </w:rPr>
              <w:t xml:space="preserve"> and cooperati</w:t>
            </w:r>
            <w:r w:rsidR="00651709">
              <w:rPr>
                <w:rFonts w:asciiTheme="minorHAnsi" w:hAnsiTheme="minorHAnsi" w:cstheme="minorHAnsi"/>
                <w:sz w:val="19"/>
                <w:szCs w:val="19"/>
              </w:rPr>
              <w:t>ve</w:t>
            </w:r>
            <w:r w:rsidRPr="00F561D2">
              <w:rPr>
                <w:rFonts w:asciiTheme="minorHAnsi" w:hAnsiTheme="minorHAnsi" w:cstheme="minorHAnsi"/>
                <w:sz w:val="19"/>
                <w:szCs w:val="19"/>
              </w:rPr>
              <w:t xml:space="preserve"> mechanisms.</w:t>
            </w:r>
          </w:p>
        </w:tc>
      </w:tr>
      <w:tr w:rsidR="009563B4" w:rsidRPr="00F561D2" w14:paraId="2C90A808" w14:textId="77777777" w:rsidTr="3764D022">
        <w:tc>
          <w:tcPr>
            <w:tcW w:w="245" w:type="pct"/>
            <w:shd w:val="clear" w:color="auto" w:fill="E7E6E6" w:themeFill="background2"/>
            <w:tcMar>
              <w:left w:w="57" w:type="dxa"/>
              <w:right w:w="28" w:type="dxa"/>
            </w:tcMar>
          </w:tcPr>
          <w:p w14:paraId="28CC7FBE" w14:textId="77777777" w:rsidR="009563B4" w:rsidRPr="00F561D2" w:rsidRDefault="009563B4" w:rsidP="00481CA4">
            <w:pPr>
              <w:rPr>
                <w:rFonts w:asciiTheme="minorHAnsi" w:hAnsiTheme="minorHAnsi" w:cstheme="minorHAnsi"/>
                <w:b/>
                <w:i/>
                <w:sz w:val="19"/>
                <w:szCs w:val="19"/>
              </w:rPr>
            </w:pPr>
            <w:r w:rsidRPr="00F561D2">
              <w:rPr>
                <w:rFonts w:asciiTheme="minorHAnsi" w:hAnsiTheme="minorHAnsi" w:cstheme="minorHAnsi"/>
                <w:b/>
                <w:i/>
                <w:sz w:val="19"/>
                <w:szCs w:val="19"/>
              </w:rPr>
              <w:t>2</w:t>
            </w:r>
          </w:p>
        </w:tc>
        <w:tc>
          <w:tcPr>
            <w:tcW w:w="1325" w:type="pct"/>
            <w:shd w:val="clear" w:color="auto" w:fill="F2F2F2" w:themeFill="background1" w:themeFillShade="F2"/>
            <w:tcMar>
              <w:left w:w="57" w:type="dxa"/>
              <w:right w:w="28" w:type="dxa"/>
            </w:tcMar>
          </w:tcPr>
          <w:p w14:paraId="5E679430" w14:textId="5BA13E0A" w:rsidR="009563B4" w:rsidRPr="00F561D2" w:rsidRDefault="009563B4" w:rsidP="00481CA4">
            <w:pPr>
              <w:rPr>
                <w:rFonts w:asciiTheme="minorHAnsi" w:hAnsiTheme="minorHAnsi" w:cstheme="minorHAnsi"/>
                <w:i/>
                <w:sz w:val="19"/>
                <w:szCs w:val="19"/>
              </w:rPr>
            </w:pPr>
            <w:r w:rsidRPr="00F561D2">
              <w:rPr>
                <w:rFonts w:asciiTheme="minorHAnsi" w:hAnsiTheme="minorHAnsi" w:cstheme="minorHAnsi"/>
                <w:i/>
                <w:sz w:val="19"/>
                <w:szCs w:val="19"/>
              </w:rPr>
              <w:t xml:space="preserve">Which area(s) the project is expected to contribute to gender equality: </w:t>
            </w:r>
          </w:p>
        </w:tc>
        <w:tc>
          <w:tcPr>
            <w:tcW w:w="314" w:type="pct"/>
            <w:tcMar>
              <w:left w:w="57" w:type="dxa"/>
              <w:right w:w="28" w:type="dxa"/>
            </w:tcMar>
          </w:tcPr>
          <w:p w14:paraId="46ACE920" w14:textId="53D5F5A6" w:rsidR="009563B4" w:rsidRPr="00F561D2" w:rsidRDefault="009563B4" w:rsidP="005A55FC">
            <w:pPr>
              <w:jc w:val="center"/>
              <w:rPr>
                <w:rFonts w:asciiTheme="minorHAnsi" w:hAnsiTheme="minorHAnsi" w:cstheme="minorHAnsi"/>
                <w:i/>
                <w:sz w:val="19"/>
                <w:szCs w:val="19"/>
              </w:rPr>
            </w:pPr>
          </w:p>
        </w:tc>
        <w:tc>
          <w:tcPr>
            <w:tcW w:w="3116" w:type="pct"/>
            <w:vMerge w:val="restart"/>
            <w:tcMar>
              <w:left w:w="57" w:type="dxa"/>
              <w:right w:w="28" w:type="dxa"/>
            </w:tcMar>
          </w:tcPr>
          <w:p w14:paraId="72785BD8" w14:textId="3CE8DCFC" w:rsidR="009563B4" w:rsidRPr="00F561D2" w:rsidRDefault="009563B4" w:rsidP="00481CA4">
            <w:pPr>
              <w:rPr>
                <w:rFonts w:asciiTheme="minorHAnsi" w:hAnsiTheme="minorHAnsi" w:cstheme="minorHAnsi"/>
                <w:sz w:val="19"/>
                <w:szCs w:val="19"/>
              </w:rPr>
            </w:pPr>
            <w:r w:rsidRPr="00F561D2">
              <w:rPr>
                <w:rFonts w:asciiTheme="minorHAnsi" w:hAnsiTheme="minorHAnsi" w:cstheme="minorHAnsi"/>
                <w:sz w:val="19"/>
                <w:szCs w:val="19"/>
              </w:rPr>
              <w:t xml:space="preserve">The project will contribute to all three areas by creating specific opportunities for women </w:t>
            </w:r>
            <w:r w:rsidR="00651709">
              <w:rPr>
                <w:rFonts w:asciiTheme="minorHAnsi" w:hAnsiTheme="minorHAnsi" w:cstheme="minorHAnsi"/>
                <w:sz w:val="19"/>
                <w:szCs w:val="19"/>
              </w:rPr>
              <w:t>to participate in</w:t>
            </w:r>
            <w:r w:rsidRPr="00F561D2">
              <w:rPr>
                <w:rFonts w:asciiTheme="minorHAnsi" w:hAnsiTheme="minorHAnsi" w:cstheme="minorHAnsi"/>
                <w:sz w:val="19"/>
                <w:szCs w:val="19"/>
              </w:rPr>
              <w:t xml:space="preserve"> project activities and benefit from the project’s outcome</w:t>
            </w:r>
            <w:r w:rsidR="00651709">
              <w:rPr>
                <w:rFonts w:asciiTheme="minorHAnsi" w:hAnsiTheme="minorHAnsi" w:cstheme="minorHAnsi"/>
                <w:sz w:val="19"/>
                <w:szCs w:val="19"/>
              </w:rPr>
              <w:t>s</w:t>
            </w:r>
            <w:r w:rsidRPr="00F561D2">
              <w:rPr>
                <w:rFonts w:asciiTheme="minorHAnsi" w:hAnsiTheme="minorHAnsi" w:cstheme="minorHAnsi"/>
                <w:sz w:val="19"/>
                <w:szCs w:val="19"/>
              </w:rPr>
              <w:t>.</w:t>
            </w:r>
          </w:p>
          <w:p w14:paraId="56D9D617" w14:textId="4C7274B5" w:rsidR="009563B4" w:rsidRPr="00F561D2" w:rsidRDefault="009563B4" w:rsidP="00651709">
            <w:pPr>
              <w:spacing w:after="80"/>
              <w:rPr>
                <w:rFonts w:asciiTheme="minorHAnsi" w:hAnsiTheme="minorHAnsi" w:cstheme="minorHAnsi"/>
                <w:sz w:val="19"/>
                <w:szCs w:val="19"/>
              </w:rPr>
            </w:pPr>
            <w:r w:rsidRPr="00F561D2">
              <w:rPr>
                <w:rFonts w:asciiTheme="minorHAnsi" w:hAnsiTheme="minorHAnsi" w:cstheme="minorHAnsi"/>
                <w:sz w:val="19"/>
                <w:szCs w:val="19"/>
              </w:rPr>
              <w:t xml:space="preserve">Assist women in attaining private land ownership titles (political and legal support); negotiate mechanisms for full participation of women in communal land and forest use; foster </w:t>
            </w:r>
            <w:r w:rsidR="00651709" w:rsidRPr="00F561D2">
              <w:rPr>
                <w:rFonts w:asciiTheme="minorHAnsi" w:hAnsiTheme="minorHAnsi" w:cstheme="minorHAnsi"/>
                <w:sz w:val="19"/>
                <w:szCs w:val="19"/>
              </w:rPr>
              <w:t xml:space="preserve">engagement </w:t>
            </w:r>
            <w:r w:rsidR="00651709">
              <w:rPr>
                <w:rFonts w:asciiTheme="minorHAnsi" w:hAnsiTheme="minorHAnsi" w:cstheme="minorHAnsi"/>
                <w:sz w:val="19"/>
                <w:szCs w:val="19"/>
              </w:rPr>
              <w:t xml:space="preserve">of </w:t>
            </w:r>
            <w:r w:rsidRPr="00F561D2">
              <w:rPr>
                <w:rFonts w:asciiTheme="minorHAnsi" w:hAnsiTheme="minorHAnsi" w:cstheme="minorHAnsi"/>
                <w:sz w:val="19"/>
                <w:szCs w:val="19"/>
              </w:rPr>
              <w:t>women</w:t>
            </w:r>
            <w:r w:rsidR="00651709">
              <w:rPr>
                <w:rFonts w:asciiTheme="minorHAnsi" w:hAnsiTheme="minorHAnsi" w:cstheme="minorHAnsi"/>
                <w:sz w:val="19"/>
                <w:szCs w:val="19"/>
              </w:rPr>
              <w:t>’s</w:t>
            </w:r>
            <w:r w:rsidRPr="00F561D2">
              <w:rPr>
                <w:rFonts w:asciiTheme="minorHAnsi" w:hAnsiTheme="minorHAnsi" w:cstheme="minorHAnsi"/>
                <w:sz w:val="19"/>
                <w:szCs w:val="19"/>
              </w:rPr>
              <w:t xml:space="preserve"> groups in LDN.</w:t>
            </w:r>
          </w:p>
          <w:p w14:paraId="0B2EFC3E" w14:textId="2211CA93" w:rsidR="009563B4" w:rsidRPr="00F561D2" w:rsidRDefault="009563B4" w:rsidP="00651709">
            <w:pPr>
              <w:spacing w:after="80"/>
              <w:rPr>
                <w:rFonts w:asciiTheme="minorHAnsi" w:hAnsiTheme="minorHAnsi" w:cstheme="minorHAnsi"/>
                <w:sz w:val="19"/>
                <w:szCs w:val="19"/>
              </w:rPr>
            </w:pPr>
            <w:r w:rsidRPr="00AE587B">
              <w:rPr>
                <w:rFonts w:asciiTheme="minorHAnsi" w:hAnsiTheme="minorHAnsi" w:cstheme="minorHAnsi"/>
                <w:sz w:val="19"/>
                <w:szCs w:val="19"/>
              </w:rPr>
              <w:t xml:space="preserve">Encourage women </w:t>
            </w:r>
            <w:r w:rsidR="005C3CE8" w:rsidRPr="00AE587B">
              <w:rPr>
                <w:rFonts w:asciiTheme="minorHAnsi" w:hAnsiTheme="minorHAnsi" w:cstheme="minorHAnsi"/>
                <w:sz w:val="19"/>
                <w:szCs w:val="19"/>
              </w:rPr>
              <w:t xml:space="preserve">to </w:t>
            </w:r>
            <w:r w:rsidRPr="00AE587B">
              <w:rPr>
                <w:rFonts w:asciiTheme="minorHAnsi" w:hAnsiTheme="minorHAnsi" w:cstheme="minorHAnsi"/>
                <w:sz w:val="19"/>
                <w:szCs w:val="19"/>
              </w:rPr>
              <w:t>learn</w:t>
            </w:r>
            <w:r w:rsidR="005C3CE8" w:rsidRPr="00AE587B">
              <w:rPr>
                <w:rFonts w:asciiTheme="minorHAnsi" w:hAnsiTheme="minorHAnsi" w:cstheme="minorHAnsi"/>
                <w:sz w:val="19"/>
                <w:szCs w:val="19"/>
              </w:rPr>
              <w:t xml:space="preserve"> about</w:t>
            </w:r>
            <w:r w:rsidRPr="00AE587B">
              <w:rPr>
                <w:rFonts w:asciiTheme="minorHAnsi" w:hAnsiTheme="minorHAnsi" w:cstheme="minorHAnsi"/>
                <w:sz w:val="19"/>
                <w:szCs w:val="19"/>
              </w:rPr>
              <w:t xml:space="preserve"> SLM, SFM, CSA; as main agricultural producer support their lead in community resilience, diversification of agricultural production, alternative products and income strategies,</w:t>
            </w:r>
            <w:r w:rsidRPr="00F561D2">
              <w:rPr>
                <w:rFonts w:asciiTheme="minorHAnsi" w:hAnsiTheme="minorHAnsi" w:cstheme="minorHAnsi"/>
                <w:sz w:val="19"/>
                <w:szCs w:val="19"/>
              </w:rPr>
              <w:t xml:space="preserve"> thus empowering women </w:t>
            </w:r>
            <w:r w:rsidR="005C3CE8">
              <w:rPr>
                <w:rFonts w:asciiTheme="minorHAnsi" w:hAnsiTheme="minorHAnsi" w:cstheme="minorHAnsi"/>
                <w:sz w:val="19"/>
                <w:szCs w:val="19"/>
              </w:rPr>
              <w:t xml:space="preserve">to engage in higher </w:t>
            </w:r>
            <w:r w:rsidRPr="00F561D2">
              <w:rPr>
                <w:rFonts w:asciiTheme="minorHAnsi" w:hAnsiTheme="minorHAnsi" w:cstheme="minorHAnsi"/>
                <w:sz w:val="19"/>
                <w:szCs w:val="19"/>
              </w:rPr>
              <w:t>decision-making level</w:t>
            </w:r>
            <w:r w:rsidR="005C3CE8">
              <w:rPr>
                <w:rFonts w:asciiTheme="minorHAnsi" w:hAnsiTheme="minorHAnsi" w:cstheme="minorHAnsi"/>
                <w:sz w:val="19"/>
                <w:szCs w:val="19"/>
              </w:rPr>
              <w:t>s.</w:t>
            </w:r>
          </w:p>
          <w:p w14:paraId="31F8B050" w14:textId="3653B77B" w:rsidR="009563B4" w:rsidRPr="00F561D2" w:rsidRDefault="009563B4" w:rsidP="00481CA4">
            <w:pPr>
              <w:rPr>
                <w:rFonts w:asciiTheme="minorHAnsi" w:hAnsiTheme="minorHAnsi" w:cstheme="minorHAnsi"/>
                <w:sz w:val="19"/>
                <w:szCs w:val="19"/>
              </w:rPr>
            </w:pPr>
            <w:r w:rsidRPr="00F561D2">
              <w:rPr>
                <w:rFonts w:asciiTheme="minorHAnsi" w:hAnsiTheme="minorHAnsi" w:cstheme="minorHAnsi"/>
                <w:sz w:val="19"/>
                <w:szCs w:val="19"/>
              </w:rPr>
              <w:t>Water and energy management, improved cooking stove for every household; improved charcoal kilns, credit lines for women</w:t>
            </w:r>
            <w:r w:rsidR="005C3CE8">
              <w:rPr>
                <w:rFonts w:asciiTheme="minorHAnsi" w:hAnsiTheme="minorHAnsi" w:cstheme="minorHAnsi"/>
                <w:sz w:val="19"/>
                <w:szCs w:val="19"/>
              </w:rPr>
              <w:t>’s</w:t>
            </w:r>
            <w:r w:rsidRPr="00F561D2">
              <w:rPr>
                <w:rFonts w:asciiTheme="minorHAnsi" w:hAnsiTheme="minorHAnsi" w:cstheme="minorHAnsi"/>
                <w:sz w:val="19"/>
                <w:szCs w:val="19"/>
              </w:rPr>
              <w:t xml:space="preserve"> groups, marketing strategies for alternative agricultural products (according to value chain assessment</w:t>
            </w:r>
            <w:r w:rsidR="005C3CE8">
              <w:rPr>
                <w:rFonts w:asciiTheme="minorHAnsi" w:hAnsiTheme="minorHAnsi" w:cstheme="minorHAnsi"/>
                <w:sz w:val="19"/>
                <w:szCs w:val="19"/>
              </w:rPr>
              <w:t>s</w:t>
            </w:r>
            <w:r w:rsidRPr="00F561D2">
              <w:rPr>
                <w:rFonts w:asciiTheme="minorHAnsi" w:hAnsiTheme="minorHAnsi" w:cstheme="minorHAnsi"/>
                <w:sz w:val="19"/>
                <w:szCs w:val="19"/>
              </w:rPr>
              <w:t xml:space="preserve">), dry-land gardens, </w:t>
            </w:r>
            <w:r w:rsidR="005C3CE8">
              <w:rPr>
                <w:rFonts w:asciiTheme="minorHAnsi" w:hAnsiTheme="minorHAnsi" w:cstheme="minorHAnsi"/>
                <w:sz w:val="19"/>
                <w:szCs w:val="19"/>
              </w:rPr>
              <w:t xml:space="preserve">enterprises for </w:t>
            </w:r>
            <w:r w:rsidRPr="00F561D2">
              <w:rPr>
                <w:rFonts w:asciiTheme="minorHAnsi" w:hAnsiTheme="minorHAnsi" w:cstheme="minorHAnsi"/>
                <w:sz w:val="19"/>
                <w:szCs w:val="19"/>
              </w:rPr>
              <w:t>non-agricultural women</w:t>
            </w:r>
            <w:r w:rsidR="005C3CE8">
              <w:rPr>
                <w:rFonts w:asciiTheme="minorHAnsi" w:hAnsiTheme="minorHAnsi" w:cstheme="minorHAnsi"/>
                <w:sz w:val="19"/>
                <w:szCs w:val="19"/>
              </w:rPr>
              <w:t>.</w:t>
            </w:r>
          </w:p>
        </w:tc>
      </w:tr>
      <w:tr w:rsidR="009563B4" w:rsidRPr="00F561D2" w14:paraId="54777B09" w14:textId="77777777" w:rsidTr="3764D022">
        <w:tc>
          <w:tcPr>
            <w:tcW w:w="245" w:type="pct"/>
            <w:shd w:val="clear" w:color="auto" w:fill="E7E6E6" w:themeFill="background2"/>
            <w:tcMar>
              <w:left w:w="57" w:type="dxa"/>
              <w:right w:w="28" w:type="dxa"/>
            </w:tcMar>
          </w:tcPr>
          <w:p w14:paraId="448B12DF" w14:textId="77777777" w:rsidR="009563B4" w:rsidRPr="00F561D2" w:rsidRDefault="009563B4" w:rsidP="00481CA4">
            <w:pPr>
              <w:jc w:val="right"/>
              <w:rPr>
                <w:rFonts w:asciiTheme="minorHAnsi" w:hAnsiTheme="minorHAnsi" w:cstheme="minorHAnsi"/>
                <w:i/>
                <w:sz w:val="19"/>
                <w:szCs w:val="19"/>
              </w:rPr>
            </w:pPr>
            <w:r w:rsidRPr="00F561D2">
              <w:rPr>
                <w:rFonts w:asciiTheme="minorHAnsi" w:hAnsiTheme="minorHAnsi" w:cstheme="minorHAnsi"/>
                <w:i/>
                <w:sz w:val="19"/>
                <w:szCs w:val="19"/>
              </w:rPr>
              <w:t>2a)</w:t>
            </w:r>
          </w:p>
        </w:tc>
        <w:tc>
          <w:tcPr>
            <w:tcW w:w="1325" w:type="pct"/>
            <w:shd w:val="clear" w:color="auto" w:fill="F2F2F2" w:themeFill="background1" w:themeFillShade="F2"/>
            <w:tcMar>
              <w:left w:w="57" w:type="dxa"/>
              <w:right w:w="28" w:type="dxa"/>
            </w:tcMar>
          </w:tcPr>
          <w:p w14:paraId="45F98292" w14:textId="44B2B849" w:rsidR="009563B4" w:rsidRPr="00F561D2" w:rsidRDefault="009563B4" w:rsidP="005A55FC">
            <w:pPr>
              <w:rPr>
                <w:rFonts w:asciiTheme="minorHAnsi" w:hAnsiTheme="minorHAnsi" w:cstheme="minorHAnsi"/>
                <w:i/>
                <w:sz w:val="19"/>
                <w:szCs w:val="19"/>
              </w:rPr>
            </w:pPr>
            <w:r w:rsidRPr="00F561D2">
              <w:rPr>
                <w:rFonts w:asciiTheme="minorHAnsi" w:hAnsiTheme="minorHAnsi" w:cstheme="minorHAnsi"/>
                <w:i/>
                <w:sz w:val="19"/>
                <w:szCs w:val="19"/>
              </w:rPr>
              <w:t>Closing gender gaps in access and control over natural resources</w:t>
            </w:r>
          </w:p>
        </w:tc>
        <w:tc>
          <w:tcPr>
            <w:tcW w:w="314" w:type="pct"/>
            <w:tcMar>
              <w:left w:w="57" w:type="dxa"/>
              <w:right w:w="28" w:type="dxa"/>
            </w:tcMar>
          </w:tcPr>
          <w:p w14:paraId="44E40F68" w14:textId="175490C1" w:rsidR="009563B4" w:rsidRPr="00F561D2" w:rsidRDefault="009563B4" w:rsidP="005A55FC">
            <w:pPr>
              <w:jc w:val="center"/>
              <w:rPr>
                <w:rFonts w:asciiTheme="minorHAnsi" w:hAnsiTheme="minorHAnsi" w:cstheme="minorHAnsi"/>
                <w:sz w:val="19"/>
                <w:szCs w:val="19"/>
              </w:rPr>
            </w:pPr>
            <w:r w:rsidRPr="00F561D2">
              <w:rPr>
                <w:rFonts w:asciiTheme="minorHAnsi" w:hAnsiTheme="minorHAnsi" w:cstheme="minorHAnsi"/>
                <w:sz w:val="19"/>
                <w:szCs w:val="19"/>
              </w:rPr>
              <w:t>Yes</w:t>
            </w:r>
          </w:p>
        </w:tc>
        <w:tc>
          <w:tcPr>
            <w:tcW w:w="3116" w:type="pct"/>
            <w:vMerge/>
            <w:tcMar>
              <w:left w:w="57" w:type="dxa"/>
              <w:right w:w="28" w:type="dxa"/>
            </w:tcMar>
          </w:tcPr>
          <w:p w14:paraId="7C2FE52A" w14:textId="77777777" w:rsidR="009563B4" w:rsidRPr="00F561D2" w:rsidRDefault="009563B4" w:rsidP="00481CA4">
            <w:pPr>
              <w:rPr>
                <w:rFonts w:asciiTheme="minorHAnsi" w:hAnsiTheme="minorHAnsi" w:cstheme="minorHAnsi"/>
                <w:sz w:val="19"/>
                <w:szCs w:val="19"/>
              </w:rPr>
            </w:pPr>
          </w:p>
        </w:tc>
      </w:tr>
      <w:tr w:rsidR="009563B4" w:rsidRPr="00F561D2" w14:paraId="0F61CCD6" w14:textId="77777777" w:rsidTr="3764D022">
        <w:tc>
          <w:tcPr>
            <w:tcW w:w="245" w:type="pct"/>
            <w:shd w:val="clear" w:color="auto" w:fill="E7E6E6" w:themeFill="background2"/>
            <w:tcMar>
              <w:left w:w="57" w:type="dxa"/>
              <w:right w:w="28" w:type="dxa"/>
            </w:tcMar>
          </w:tcPr>
          <w:p w14:paraId="06B7EF00" w14:textId="77777777" w:rsidR="009563B4" w:rsidRPr="00F561D2" w:rsidRDefault="009563B4" w:rsidP="00481CA4">
            <w:pPr>
              <w:jc w:val="right"/>
              <w:rPr>
                <w:rFonts w:asciiTheme="minorHAnsi" w:hAnsiTheme="minorHAnsi" w:cstheme="minorHAnsi"/>
                <w:i/>
                <w:sz w:val="19"/>
                <w:szCs w:val="19"/>
              </w:rPr>
            </w:pPr>
            <w:r w:rsidRPr="00F561D2">
              <w:rPr>
                <w:rFonts w:asciiTheme="minorHAnsi" w:hAnsiTheme="minorHAnsi" w:cstheme="minorHAnsi"/>
                <w:i/>
                <w:sz w:val="19"/>
                <w:szCs w:val="19"/>
              </w:rPr>
              <w:t>2b)</w:t>
            </w:r>
          </w:p>
        </w:tc>
        <w:tc>
          <w:tcPr>
            <w:tcW w:w="1325" w:type="pct"/>
            <w:shd w:val="clear" w:color="auto" w:fill="F2F2F2" w:themeFill="background1" w:themeFillShade="F2"/>
            <w:tcMar>
              <w:left w:w="57" w:type="dxa"/>
              <w:right w:w="28" w:type="dxa"/>
            </w:tcMar>
          </w:tcPr>
          <w:p w14:paraId="3456E60E" w14:textId="2241F37D" w:rsidR="009563B4" w:rsidRPr="00F561D2" w:rsidRDefault="009563B4" w:rsidP="005A55FC">
            <w:pPr>
              <w:rPr>
                <w:rFonts w:asciiTheme="minorHAnsi" w:hAnsiTheme="minorHAnsi" w:cstheme="minorHAnsi"/>
                <w:i/>
                <w:sz w:val="19"/>
                <w:szCs w:val="19"/>
              </w:rPr>
            </w:pPr>
            <w:r w:rsidRPr="00F561D2">
              <w:rPr>
                <w:rFonts w:asciiTheme="minorHAnsi" w:hAnsiTheme="minorHAnsi" w:cstheme="minorHAnsi"/>
                <w:i/>
                <w:sz w:val="19"/>
                <w:szCs w:val="19"/>
              </w:rPr>
              <w:t xml:space="preserve">Improving women’s participation and decision-making </w:t>
            </w:r>
          </w:p>
        </w:tc>
        <w:tc>
          <w:tcPr>
            <w:tcW w:w="314" w:type="pct"/>
            <w:tcMar>
              <w:left w:w="57" w:type="dxa"/>
              <w:right w:w="28" w:type="dxa"/>
            </w:tcMar>
          </w:tcPr>
          <w:p w14:paraId="04C46907" w14:textId="77777777" w:rsidR="009563B4" w:rsidRPr="00F561D2" w:rsidRDefault="009563B4" w:rsidP="005A55FC">
            <w:pPr>
              <w:jc w:val="center"/>
              <w:rPr>
                <w:rFonts w:asciiTheme="minorHAnsi" w:hAnsiTheme="minorHAnsi" w:cstheme="minorHAnsi"/>
                <w:sz w:val="19"/>
                <w:szCs w:val="19"/>
              </w:rPr>
            </w:pPr>
            <w:r w:rsidRPr="00F561D2">
              <w:rPr>
                <w:rFonts w:asciiTheme="minorHAnsi" w:hAnsiTheme="minorHAnsi" w:cstheme="minorHAnsi"/>
                <w:sz w:val="19"/>
                <w:szCs w:val="19"/>
              </w:rPr>
              <w:t>Yes</w:t>
            </w:r>
          </w:p>
        </w:tc>
        <w:tc>
          <w:tcPr>
            <w:tcW w:w="3116" w:type="pct"/>
            <w:vMerge/>
            <w:tcMar>
              <w:left w:w="57" w:type="dxa"/>
              <w:right w:w="28" w:type="dxa"/>
            </w:tcMar>
          </w:tcPr>
          <w:p w14:paraId="7DFDDF05" w14:textId="77777777" w:rsidR="009563B4" w:rsidRPr="00F561D2" w:rsidRDefault="009563B4" w:rsidP="00481CA4">
            <w:pPr>
              <w:rPr>
                <w:rFonts w:asciiTheme="minorHAnsi" w:hAnsiTheme="minorHAnsi" w:cstheme="minorHAnsi"/>
                <w:sz w:val="19"/>
                <w:szCs w:val="19"/>
              </w:rPr>
            </w:pPr>
          </w:p>
        </w:tc>
      </w:tr>
      <w:tr w:rsidR="009563B4" w:rsidRPr="00F561D2" w14:paraId="5211181D" w14:textId="77777777" w:rsidTr="3764D022">
        <w:tc>
          <w:tcPr>
            <w:tcW w:w="245" w:type="pct"/>
            <w:shd w:val="clear" w:color="auto" w:fill="E7E6E6" w:themeFill="background2"/>
            <w:tcMar>
              <w:left w:w="57" w:type="dxa"/>
              <w:right w:w="28" w:type="dxa"/>
            </w:tcMar>
          </w:tcPr>
          <w:p w14:paraId="35FBF7B3" w14:textId="77777777" w:rsidR="009563B4" w:rsidRPr="00F561D2" w:rsidRDefault="009563B4" w:rsidP="00481CA4">
            <w:pPr>
              <w:jc w:val="right"/>
              <w:rPr>
                <w:rFonts w:asciiTheme="minorHAnsi" w:hAnsiTheme="minorHAnsi" w:cstheme="minorHAnsi"/>
                <w:i/>
                <w:sz w:val="19"/>
                <w:szCs w:val="19"/>
              </w:rPr>
            </w:pPr>
            <w:r w:rsidRPr="00F561D2">
              <w:rPr>
                <w:rFonts w:asciiTheme="minorHAnsi" w:hAnsiTheme="minorHAnsi" w:cstheme="minorHAnsi"/>
                <w:i/>
                <w:sz w:val="19"/>
                <w:szCs w:val="19"/>
              </w:rPr>
              <w:t>2c)</w:t>
            </w:r>
          </w:p>
        </w:tc>
        <w:tc>
          <w:tcPr>
            <w:tcW w:w="1325" w:type="pct"/>
            <w:shd w:val="clear" w:color="auto" w:fill="F2F2F2" w:themeFill="background1" w:themeFillShade="F2"/>
            <w:tcMar>
              <w:left w:w="57" w:type="dxa"/>
              <w:right w:w="28" w:type="dxa"/>
            </w:tcMar>
          </w:tcPr>
          <w:p w14:paraId="1E5A4C38" w14:textId="77777777" w:rsidR="009563B4" w:rsidRPr="00F561D2" w:rsidRDefault="009563B4" w:rsidP="005A55FC">
            <w:pPr>
              <w:rPr>
                <w:rFonts w:asciiTheme="minorHAnsi" w:hAnsiTheme="minorHAnsi" w:cstheme="minorHAnsi"/>
                <w:i/>
                <w:sz w:val="19"/>
                <w:szCs w:val="19"/>
              </w:rPr>
            </w:pPr>
            <w:r w:rsidRPr="00F561D2">
              <w:rPr>
                <w:rFonts w:asciiTheme="minorHAnsi" w:hAnsiTheme="minorHAnsi" w:cstheme="minorHAnsi"/>
                <w:i/>
                <w:sz w:val="19"/>
                <w:szCs w:val="19"/>
              </w:rPr>
              <w:t>Generating socioeconomic benefits or services for women</w:t>
            </w:r>
          </w:p>
        </w:tc>
        <w:tc>
          <w:tcPr>
            <w:tcW w:w="314" w:type="pct"/>
            <w:tcMar>
              <w:left w:w="57" w:type="dxa"/>
              <w:right w:w="28" w:type="dxa"/>
            </w:tcMar>
          </w:tcPr>
          <w:p w14:paraId="092AD10C" w14:textId="77777777" w:rsidR="009563B4" w:rsidRPr="00F561D2" w:rsidRDefault="009563B4" w:rsidP="005A55FC">
            <w:pPr>
              <w:jc w:val="center"/>
              <w:rPr>
                <w:rFonts w:asciiTheme="minorHAnsi" w:hAnsiTheme="minorHAnsi" w:cstheme="minorHAnsi"/>
                <w:sz w:val="19"/>
                <w:szCs w:val="19"/>
              </w:rPr>
            </w:pPr>
            <w:r w:rsidRPr="00F561D2">
              <w:rPr>
                <w:rFonts w:asciiTheme="minorHAnsi" w:hAnsiTheme="minorHAnsi" w:cstheme="minorHAnsi"/>
                <w:sz w:val="19"/>
                <w:szCs w:val="19"/>
              </w:rPr>
              <w:t>Yes</w:t>
            </w:r>
          </w:p>
        </w:tc>
        <w:tc>
          <w:tcPr>
            <w:tcW w:w="3116" w:type="pct"/>
            <w:vMerge/>
            <w:tcMar>
              <w:left w:w="57" w:type="dxa"/>
              <w:right w:w="28" w:type="dxa"/>
            </w:tcMar>
          </w:tcPr>
          <w:p w14:paraId="4AA25E86" w14:textId="77777777" w:rsidR="009563B4" w:rsidRPr="00F561D2" w:rsidRDefault="009563B4" w:rsidP="00481CA4">
            <w:pPr>
              <w:rPr>
                <w:rFonts w:asciiTheme="minorHAnsi" w:hAnsiTheme="minorHAnsi" w:cstheme="minorHAnsi"/>
                <w:sz w:val="19"/>
                <w:szCs w:val="19"/>
              </w:rPr>
            </w:pPr>
          </w:p>
        </w:tc>
      </w:tr>
      <w:tr w:rsidR="009563B4" w:rsidRPr="00F561D2" w14:paraId="43CCAB7F" w14:textId="77777777" w:rsidTr="3764D022">
        <w:tc>
          <w:tcPr>
            <w:tcW w:w="245" w:type="pct"/>
            <w:shd w:val="clear" w:color="auto" w:fill="E7E6E6" w:themeFill="background2"/>
            <w:tcMar>
              <w:left w:w="57" w:type="dxa"/>
              <w:right w:w="28" w:type="dxa"/>
            </w:tcMar>
          </w:tcPr>
          <w:p w14:paraId="74D6FDC7" w14:textId="77777777" w:rsidR="009563B4" w:rsidRPr="00F561D2" w:rsidRDefault="009563B4" w:rsidP="00481CA4">
            <w:pPr>
              <w:rPr>
                <w:rFonts w:asciiTheme="minorHAnsi" w:hAnsiTheme="minorHAnsi" w:cstheme="minorHAnsi"/>
                <w:b/>
                <w:i/>
                <w:sz w:val="19"/>
                <w:szCs w:val="19"/>
              </w:rPr>
            </w:pPr>
            <w:r w:rsidRPr="00F561D2">
              <w:rPr>
                <w:rFonts w:asciiTheme="minorHAnsi" w:hAnsiTheme="minorHAnsi" w:cstheme="minorHAnsi"/>
                <w:b/>
                <w:i/>
                <w:sz w:val="19"/>
                <w:szCs w:val="19"/>
              </w:rPr>
              <w:t>3</w:t>
            </w:r>
          </w:p>
        </w:tc>
        <w:tc>
          <w:tcPr>
            <w:tcW w:w="1325" w:type="pct"/>
            <w:shd w:val="clear" w:color="auto" w:fill="F2F2F2" w:themeFill="background1" w:themeFillShade="F2"/>
            <w:tcMar>
              <w:left w:w="57" w:type="dxa"/>
              <w:right w:w="28" w:type="dxa"/>
            </w:tcMar>
          </w:tcPr>
          <w:p w14:paraId="76D2B50C" w14:textId="77777777" w:rsidR="009563B4" w:rsidRPr="00F561D2" w:rsidRDefault="009563B4" w:rsidP="00481CA4">
            <w:pPr>
              <w:rPr>
                <w:rFonts w:asciiTheme="minorHAnsi" w:hAnsiTheme="minorHAnsi" w:cstheme="minorHAnsi"/>
                <w:i/>
                <w:sz w:val="19"/>
                <w:szCs w:val="19"/>
              </w:rPr>
            </w:pPr>
            <w:r w:rsidRPr="00F561D2">
              <w:rPr>
                <w:rFonts w:asciiTheme="minorHAnsi" w:hAnsiTheme="minorHAnsi" w:cstheme="minorHAnsi"/>
                <w:i/>
                <w:sz w:val="19"/>
                <w:szCs w:val="19"/>
              </w:rPr>
              <w:t>Does the project’s results framework include gender-sensitive indicators?</w:t>
            </w:r>
          </w:p>
        </w:tc>
        <w:tc>
          <w:tcPr>
            <w:tcW w:w="314" w:type="pct"/>
            <w:tcMar>
              <w:left w:w="57" w:type="dxa"/>
              <w:right w:w="28" w:type="dxa"/>
            </w:tcMar>
          </w:tcPr>
          <w:p w14:paraId="0C789402" w14:textId="77777777" w:rsidR="009563B4" w:rsidRPr="00F561D2" w:rsidRDefault="009563B4" w:rsidP="005A55FC">
            <w:pPr>
              <w:jc w:val="center"/>
              <w:rPr>
                <w:rFonts w:asciiTheme="minorHAnsi" w:hAnsiTheme="minorHAnsi" w:cstheme="minorHAnsi"/>
                <w:sz w:val="19"/>
                <w:szCs w:val="19"/>
              </w:rPr>
            </w:pPr>
            <w:r w:rsidRPr="00F561D2">
              <w:rPr>
                <w:rFonts w:asciiTheme="minorHAnsi" w:hAnsiTheme="minorHAnsi" w:cstheme="minorHAnsi"/>
                <w:sz w:val="19"/>
                <w:szCs w:val="19"/>
              </w:rPr>
              <w:t>Yes</w:t>
            </w:r>
          </w:p>
        </w:tc>
        <w:tc>
          <w:tcPr>
            <w:tcW w:w="3116" w:type="pct"/>
            <w:shd w:val="clear" w:color="auto" w:fill="auto"/>
            <w:tcMar>
              <w:left w:w="57" w:type="dxa"/>
              <w:right w:w="28" w:type="dxa"/>
            </w:tcMar>
          </w:tcPr>
          <w:p w14:paraId="08D2D3F1" w14:textId="5E9A6929" w:rsidR="009563B4" w:rsidRPr="00F561D2" w:rsidRDefault="009563B4" w:rsidP="00481CA4">
            <w:pPr>
              <w:rPr>
                <w:rFonts w:asciiTheme="minorHAnsi" w:hAnsiTheme="minorHAnsi" w:cstheme="minorHAnsi"/>
                <w:sz w:val="19"/>
                <w:szCs w:val="19"/>
              </w:rPr>
            </w:pPr>
            <w:r w:rsidRPr="00F561D2">
              <w:rPr>
                <w:rFonts w:asciiTheme="minorHAnsi" w:hAnsiTheme="minorHAnsi" w:cstheme="minorHAnsi"/>
                <w:sz w:val="19"/>
                <w:szCs w:val="19"/>
              </w:rPr>
              <w:t xml:space="preserve">Specific gender-sensitive indicators </w:t>
            </w:r>
            <w:r w:rsidR="00791402">
              <w:rPr>
                <w:rFonts w:asciiTheme="minorHAnsi" w:hAnsiTheme="minorHAnsi" w:cstheme="minorHAnsi"/>
                <w:sz w:val="19"/>
                <w:szCs w:val="19"/>
              </w:rPr>
              <w:t>are</w:t>
            </w:r>
            <w:r w:rsidR="00791402" w:rsidRPr="00F561D2">
              <w:rPr>
                <w:rFonts w:asciiTheme="minorHAnsi" w:hAnsiTheme="minorHAnsi" w:cstheme="minorHAnsi"/>
                <w:sz w:val="19"/>
                <w:szCs w:val="19"/>
              </w:rPr>
              <w:t xml:space="preserve"> </w:t>
            </w:r>
            <w:r w:rsidRPr="00F561D2">
              <w:rPr>
                <w:rFonts w:asciiTheme="minorHAnsi" w:hAnsiTheme="minorHAnsi" w:cstheme="minorHAnsi"/>
                <w:sz w:val="19"/>
                <w:szCs w:val="19"/>
              </w:rPr>
              <w:t xml:space="preserve">included in the project’s </w:t>
            </w:r>
            <w:r w:rsidR="00791402">
              <w:rPr>
                <w:rFonts w:asciiTheme="minorHAnsi" w:hAnsiTheme="minorHAnsi" w:cstheme="minorHAnsi"/>
                <w:sz w:val="19"/>
                <w:szCs w:val="19"/>
              </w:rPr>
              <w:t>Results</w:t>
            </w:r>
            <w:r w:rsidRPr="00F561D2">
              <w:rPr>
                <w:rFonts w:asciiTheme="minorHAnsi" w:hAnsiTheme="minorHAnsi" w:cstheme="minorHAnsi"/>
                <w:sz w:val="19"/>
                <w:szCs w:val="19"/>
              </w:rPr>
              <w:t xml:space="preserve"> Framework in order to assess </w:t>
            </w:r>
            <w:r w:rsidR="00791402">
              <w:rPr>
                <w:rFonts w:asciiTheme="minorHAnsi" w:hAnsiTheme="minorHAnsi" w:cstheme="minorHAnsi"/>
                <w:sz w:val="19"/>
                <w:szCs w:val="19"/>
              </w:rPr>
              <w:t>its</w:t>
            </w:r>
            <w:r w:rsidRPr="00F561D2">
              <w:rPr>
                <w:rFonts w:asciiTheme="minorHAnsi" w:hAnsiTheme="minorHAnsi" w:cstheme="minorHAnsi"/>
                <w:sz w:val="19"/>
                <w:szCs w:val="19"/>
              </w:rPr>
              <w:t xml:space="preserve"> progress </w:t>
            </w:r>
            <w:r w:rsidR="00791402">
              <w:rPr>
                <w:rFonts w:asciiTheme="minorHAnsi" w:hAnsiTheme="minorHAnsi" w:cstheme="minorHAnsi"/>
                <w:sz w:val="19"/>
                <w:szCs w:val="19"/>
              </w:rPr>
              <w:t>i</w:t>
            </w:r>
            <w:r w:rsidRPr="00F561D2">
              <w:rPr>
                <w:rFonts w:asciiTheme="minorHAnsi" w:hAnsiTheme="minorHAnsi" w:cstheme="minorHAnsi"/>
                <w:sz w:val="19"/>
                <w:szCs w:val="19"/>
              </w:rPr>
              <w:t>n promoting gender equality and improvements in women’s participation in decision-making process</w:t>
            </w:r>
            <w:r w:rsidR="00791402">
              <w:rPr>
                <w:rFonts w:asciiTheme="minorHAnsi" w:hAnsiTheme="minorHAnsi" w:cstheme="minorHAnsi"/>
                <w:sz w:val="19"/>
                <w:szCs w:val="19"/>
              </w:rPr>
              <w:t>es</w:t>
            </w:r>
            <w:r w:rsidRPr="00F561D2">
              <w:rPr>
                <w:rFonts w:asciiTheme="minorHAnsi" w:hAnsiTheme="minorHAnsi" w:cstheme="minorHAnsi"/>
                <w:sz w:val="19"/>
                <w:szCs w:val="19"/>
              </w:rPr>
              <w:t>, as follows:</w:t>
            </w:r>
          </w:p>
          <w:p w14:paraId="1B197568" w14:textId="6D572F99" w:rsidR="009563B4" w:rsidRPr="00F561D2" w:rsidRDefault="009563B4" w:rsidP="001667C6">
            <w:pPr>
              <w:pStyle w:val="ListParagraph"/>
              <w:numPr>
                <w:ilvl w:val="0"/>
                <w:numId w:val="74"/>
              </w:numPr>
              <w:autoSpaceDE/>
              <w:autoSpaceDN/>
              <w:adjustRightInd/>
              <w:spacing w:after="0"/>
              <w:ind w:left="327" w:hanging="284"/>
              <w:contextualSpacing w:val="0"/>
              <w:jc w:val="left"/>
              <w:rPr>
                <w:rFonts w:asciiTheme="minorHAnsi" w:hAnsiTheme="minorHAnsi" w:cstheme="minorHAnsi"/>
                <w:color w:val="auto"/>
                <w:sz w:val="19"/>
                <w:szCs w:val="19"/>
              </w:rPr>
            </w:pPr>
            <w:r w:rsidRPr="00F561D2">
              <w:rPr>
                <w:rFonts w:asciiTheme="minorHAnsi" w:hAnsiTheme="minorHAnsi" w:cstheme="minorHAnsi"/>
                <w:color w:val="auto"/>
                <w:sz w:val="19"/>
                <w:szCs w:val="19"/>
              </w:rPr>
              <w:t xml:space="preserve">Several gender sensitive indicators were included in the </w:t>
            </w:r>
            <w:r w:rsidR="00791402">
              <w:rPr>
                <w:rFonts w:asciiTheme="minorHAnsi" w:hAnsiTheme="minorHAnsi" w:cstheme="minorHAnsi"/>
                <w:color w:val="auto"/>
                <w:sz w:val="19"/>
                <w:szCs w:val="19"/>
              </w:rPr>
              <w:t xml:space="preserve">Results </w:t>
            </w:r>
            <w:r w:rsidRPr="00F561D2">
              <w:rPr>
                <w:rFonts w:asciiTheme="minorHAnsi" w:hAnsiTheme="minorHAnsi" w:cstheme="minorHAnsi"/>
                <w:color w:val="auto"/>
                <w:sz w:val="19"/>
                <w:szCs w:val="19"/>
              </w:rPr>
              <w:t xml:space="preserve">Framework, which has </w:t>
            </w:r>
            <w:r w:rsidR="005864DB">
              <w:rPr>
                <w:rFonts w:asciiTheme="minorHAnsi" w:hAnsiTheme="minorHAnsi" w:cstheme="minorHAnsi"/>
                <w:color w:val="auto"/>
                <w:sz w:val="19"/>
                <w:szCs w:val="19"/>
              </w:rPr>
              <w:t>21</w:t>
            </w:r>
            <w:r w:rsidRPr="00F561D2">
              <w:rPr>
                <w:rFonts w:asciiTheme="minorHAnsi" w:hAnsiTheme="minorHAnsi" w:cstheme="minorHAnsi"/>
                <w:color w:val="auto"/>
                <w:sz w:val="19"/>
                <w:szCs w:val="19"/>
              </w:rPr>
              <w:t xml:space="preserve"> indicators.</w:t>
            </w:r>
          </w:p>
          <w:p w14:paraId="3AB9DABE" w14:textId="5F052CED" w:rsidR="009563B4" w:rsidRPr="00F561D2" w:rsidRDefault="009563B4" w:rsidP="001667C6">
            <w:pPr>
              <w:pStyle w:val="ListParagraph"/>
              <w:numPr>
                <w:ilvl w:val="0"/>
                <w:numId w:val="74"/>
              </w:numPr>
              <w:autoSpaceDE/>
              <w:autoSpaceDN/>
              <w:adjustRightInd/>
              <w:spacing w:after="0"/>
              <w:ind w:left="327" w:hanging="284"/>
              <w:contextualSpacing w:val="0"/>
              <w:jc w:val="left"/>
              <w:rPr>
                <w:rFonts w:asciiTheme="minorHAnsi" w:hAnsiTheme="minorHAnsi" w:cstheme="minorHAnsi"/>
                <w:color w:val="auto"/>
                <w:sz w:val="19"/>
                <w:szCs w:val="19"/>
              </w:rPr>
            </w:pPr>
            <w:r w:rsidRPr="00F561D2">
              <w:rPr>
                <w:rFonts w:asciiTheme="minorHAnsi" w:hAnsiTheme="minorHAnsi" w:cstheme="minorHAnsi"/>
                <w:color w:val="auto"/>
                <w:sz w:val="19"/>
                <w:szCs w:val="19"/>
              </w:rPr>
              <w:t xml:space="preserve">Of the </w:t>
            </w:r>
            <w:r w:rsidR="005864DB">
              <w:rPr>
                <w:rFonts w:asciiTheme="minorHAnsi" w:hAnsiTheme="minorHAnsi" w:cstheme="minorHAnsi"/>
                <w:color w:val="auto"/>
                <w:sz w:val="19"/>
                <w:szCs w:val="19"/>
              </w:rPr>
              <w:t>21</w:t>
            </w:r>
            <w:r w:rsidRPr="00F561D2">
              <w:rPr>
                <w:rFonts w:asciiTheme="minorHAnsi" w:hAnsiTheme="minorHAnsi" w:cstheme="minorHAnsi"/>
                <w:color w:val="auto"/>
                <w:sz w:val="19"/>
                <w:szCs w:val="19"/>
              </w:rPr>
              <w:t xml:space="preserve"> indicators, </w:t>
            </w:r>
            <w:r w:rsidR="005864DB">
              <w:rPr>
                <w:rFonts w:asciiTheme="minorHAnsi" w:hAnsiTheme="minorHAnsi" w:cstheme="minorHAnsi"/>
                <w:color w:val="auto"/>
                <w:sz w:val="19"/>
                <w:szCs w:val="19"/>
              </w:rPr>
              <w:t>3</w:t>
            </w:r>
            <w:r w:rsidRPr="00F561D2">
              <w:rPr>
                <w:rFonts w:asciiTheme="minorHAnsi" w:hAnsiTheme="minorHAnsi" w:cstheme="minorHAnsi"/>
                <w:color w:val="auto"/>
                <w:sz w:val="19"/>
                <w:szCs w:val="19"/>
              </w:rPr>
              <w:t xml:space="preserve"> include explicit gender disaggregation.</w:t>
            </w:r>
          </w:p>
          <w:p w14:paraId="07097B33" w14:textId="3B443384" w:rsidR="009563B4" w:rsidRPr="00F561D2" w:rsidRDefault="460C6265" w:rsidP="001667C6">
            <w:pPr>
              <w:pStyle w:val="ListParagraph"/>
              <w:numPr>
                <w:ilvl w:val="0"/>
                <w:numId w:val="74"/>
              </w:numPr>
              <w:autoSpaceDE/>
              <w:autoSpaceDN/>
              <w:adjustRightInd/>
              <w:spacing w:after="0"/>
              <w:ind w:left="327" w:hanging="284"/>
              <w:contextualSpacing w:val="0"/>
              <w:jc w:val="left"/>
              <w:rPr>
                <w:rFonts w:asciiTheme="minorHAnsi" w:hAnsiTheme="minorHAnsi" w:cstheme="minorBidi"/>
                <w:color w:val="auto"/>
                <w:sz w:val="19"/>
                <w:szCs w:val="19"/>
              </w:rPr>
            </w:pPr>
            <w:r w:rsidRPr="3764D022">
              <w:rPr>
                <w:rFonts w:asciiTheme="minorHAnsi" w:hAnsiTheme="minorHAnsi" w:cstheme="minorBidi"/>
                <w:color w:val="auto"/>
                <w:sz w:val="19"/>
                <w:szCs w:val="19"/>
              </w:rPr>
              <w:t xml:space="preserve">Of the </w:t>
            </w:r>
            <w:r w:rsidR="5792E791" w:rsidRPr="3764D022">
              <w:rPr>
                <w:rFonts w:asciiTheme="minorHAnsi" w:hAnsiTheme="minorHAnsi" w:cstheme="minorBidi"/>
                <w:color w:val="auto"/>
                <w:sz w:val="19"/>
                <w:szCs w:val="19"/>
              </w:rPr>
              <w:t>21</w:t>
            </w:r>
            <w:r w:rsidRPr="3764D022">
              <w:rPr>
                <w:rFonts w:asciiTheme="minorHAnsi" w:hAnsiTheme="minorHAnsi" w:cstheme="minorBidi"/>
                <w:color w:val="auto"/>
                <w:sz w:val="19"/>
                <w:szCs w:val="19"/>
              </w:rPr>
              <w:t xml:space="preserve"> indicators, </w:t>
            </w:r>
            <w:r w:rsidR="5792E791" w:rsidRPr="3764D022">
              <w:rPr>
                <w:rFonts w:asciiTheme="minorHAnsi" w:hAnsiTheme="minorHAnsi" w:cstheme="minorBidi"/>
                <w:color w:val="auto"/>
                <w:sz w:val="19"/>
                <w:szCs w:val="19"/>
              </w:rPr>
              <w:t>12</w:t>
            </w:r>
            <w:r w:rsidRPr="3764D022">
              <w:rPr>
                <w:rFonts w:asciiTheme="minorHAnsi" w:hAnsiTheme="minorHAnsi" w:cstheme="minorBidi"/>
                <w:color w:val="auto"/>
                <w:sz w:val="19"/>
                <w:szCs w:val="19"/>
              </w:rPr>
              <w:t xml:space="preserve"> are </w:t>
            </w:r>
            <w:r w:rsidR="1FA60AE3" w:rsidRPr="3764D022">
              <w:rPr>
                <w:rFonts w:asciiTheme="minorHAnsi" w:hAnsiTheme="minorHAnsi" w:cstheme="minorBidi"/>
                <w:color w:val="auto"/>
                <w:sz w:val="19"/>
                <w:szCs w:val="19"/>
              </w:rPr>
              <w:t>un</w:t>
            </w:r>
            <w:r w:rsidRPr="3764D022">
              <w:rPr>
                <w:rFonts w:asciiTheme="minorHAnsi" w:hAnsiTheme="minorHAnsi" w:cstheme="minorBidi"/>
                <w:color w:val="auto"/>
                <w:sz w:val="19"/>
                <w:szCs w:val="19"/>
              </w:rPr>
              <w:t xml:space="preserve">suitable for monitoring gender mainstreaming (e.g. they monitor number of hectares), leaving </w:t>
            </w:r>
            <w:r w:rsidR="5792E791" w:rsidRPr="3764D022">
              <w:rPr>
                <w:rFonts w:asciiTheme="minorHAnsi" w:hAnsiTheme="minorHAnsi" w:cstheme="minorBidi"/>
                <w:color w:val="auto"/>
                <w:sz w:val="19"/>
                <w:szCs w:val="19"/>
              </w:rPr>
              <w:t>9</w:t>
            </w:r>
            <w:r w:rsidRPr="3764D022">
              <w:rPr>
                <w:rFonts w:asciiTheme="minorHAnsi" w:hAnsiTheme="minorHAnsi" w:cstheme="minorBidi"/>
                <w:color w:val="auto"/>
                <w:sz w:val="19"/>
                <w:szCs w:val="19"/>
              </w:rPr>
              <w:t xml:space="preserve">  indicators where gender can be potentially included. Among them</w:t>
            </w:r>
            <w:r w:rsidR="5792E791" w:rsidRPr="3764D022">
              <w:rPr>
                <w:rFonts w:asciiTheme="minorHAnsi" w:hAnsiTheme="minorHAnsi" w:cstheme="minorBidi"/>
                <w:color w:val="auto"/>
                <w:sz w:val="19"/>
                <w:szCs w:val="19"/>
              </w:rPr>
              <w:t>,</w:t>
            </w:r>
            <w:r w:rsidRPr="3764D022">
              <w:rPr>
                <w:rFonts w:asciiTheme="minorHAnsi" w:hAnsiTheme="minorHAnsi" w:cstheme="minorBidi"/>
                <w:color w:val="auto"/>
                <w:sz w:val="19"/>
                <w:szCs w:val="19"/>
                <w:highlight w:val="cyan"/>
              </w:rPr>
              <w:t xml:space="preserve"> </w:t>
            </w:r>
            <w:r w:rsidR="5792E791" w:rsidRPr="3764D022">
              <w:rPr>
                <w:rFonts w:asciiTheme="minorHAnsi" w:hAnsiTheme="minorHAnsi" w:cstheme="minorBidi"/>
                <w:color w:val="auto"/>
                <w:sz w:val="19"/>
                <w:szCs w:val="19"/>
              </w:rPr>
              <w:t>3</w:t>
            </w:r>
            <w:r w:rsidRPr="3764D022">
              <w:rPr>
                <w:rFonts w:asciiTheme="minorHAnsi" w:hAnsiTheme="minorHAnsi" w:cstheme="minorBidi"/>
                <w:color w:val="auto"/>
                <w:sz w:val="19"/>
                <w:szCs w:val="19"/>
              </w:rPr>
              <w:t xml:space="preserve"> include the gender aspect in one way or another.</w:t>
            </w:r>
          </w:p>
          <w:p w14:paraId="11C814A5" w14:textId="4C7C7390" w:rsidR="009563B4" w:rsidRPr="00F561D2" w:rsidRDefault="009563B4" w:rsidP="00481CA4">
            <w:pPr>
              <w:rPr>
                <w:rFonts w:asciiTheme="minorHAnsi" w:hAnsiTheme="minorHAnsi" w:cstheme="minorHAnsi"/>
                <w:sz w:val="19"/>
                <w:szCs w:val="19"/>
              </w:rPr>
            </w:pPr>
            <w:r w:rsidRPr="00F561D2">
              <w:rPr>
                <w:rFonts w:asciiTheme="minorHAnsi" w:hAnsiTheme="minorHAnsi" w:cstheme="minorHAnsi"/>
                <w:sz w:val="19"/>
                <w:szCs w:val="19"/>
              </w:rPr>
              <w:t>The above is a strong token of gender mainstreaming for a project tagged as “G2a” for its gender mark.</w:t>
            </w:r>
          </w:p>
        </w:tc>
      </w:tr>
      <w:tr w:rsidR="009563B4" w:rsidRPr="00F561D2" w14:paraId="4E6C8AAC" w14:textId="77777777" w:rsidTr="3764D022">
        <w:tc>
          <w:tcPr>
            <w:tcW w:w="245" w:type="pct"/>
            <w:shd w:val="clear" w:color="auto" w:fill="E7E6E6" w:themeFill="background2"/>
            <w:tcMar>
              <w:left w:w="57" w:type="dxa"/>
              <w:right w:w="28" w:type="dxa"/>
            </w:tcMar>
          </w:tcPr>
          <w:p w14:paraId="1DDC11C3" w14:textId="77777777" w:rsidR="009563B4" w:rsidRPr="00F561D2" w:rsidRDefault="009563B4" w:rsidP="00481CA4">
            <w:pPr>
              <w:rPr>
                <w:rFonts w:asciiTheme="minorHAnsi" w:hAnsiTheme="minorHAnsi" w:cstheme="minorHAnsi"/>
                <w:b/>
                <w:i/>
                <w:sz w:val="19"/>
                <w:szCs w:val="19"/>
              </w:rPr>
            </w:pPr>
          </w:p>
        </w:tc>
        <w:tc>
          <w:tcPr>
            <w:tcW w:w="4755" w:type="pct"/>
            <w:gridSpan w:val="3"/>
            <w:tcMar>
              <w:left w:w="57" w:type="dxa"/>
              <w:right w:w="28" w:type="dxa"/>
            </w:tcMar>
          </w:tcPr>
          <w:p w14:paraId="1EA22B87" w14:textId="72F48220" w:rsidR="009563B4" w:rsidRPr="00791402" w:rsidRDefault="009563B4" w:rsidP="00791402">
            <w:pPr>
              <w:jc w:val="right"/>
              <w:rPr>
                <w:rFonts w:asciiTheme="minorHAnsi" w:hAnsiTheme="minorHAnsi" w:cstheme="minorHAnsi"/>
                <w:i/>
                <w:sz w:val="15"/>
                <w:szCs w:val="15"/>
              </w:rPr>
            </w:pPr>
            <w:r w:rsidRPr="00B349B5">
              <w:rPr>
                <w:rFonts w:asciiTheme="minorHAnsi" w:hAnsiTheme="minorHAnsi" w:cstheme="minorHAnsi"/>
                <w:i/>
                <w:sz w:val="15"/>
                <w:szCs w:val="15"/>
              </w:rPr>
              <w:t>Source</w:t>
            </w:r>
            <w:r w:rsidRPr="00791402">
              <w:rPr>
                <w:rFonts w:asciiTheme="minorHAnsi" w:hAnsiTheme="minorHAnsi" w:cstheme="minorHAnsi"/>
                <w:i/>
                <w:sz w:val="15"/>
                <w:szCs w:val="15"/>
              </w:rPr>
              <w:t>: GEF Guidance to Advance Gender Equality</w:t>
            </w:r>
            <w:r w:rsidR="00791402" w:rsidRPr="00791402">
              <w:rPr>
                <w:rFonts w:asciiTheme="minorHAnsi" w:hAnsiTheme="minorHAnsi" w:cstheme="minorHAnsi"/>
                <w:i/>
                <w:sz w:val="15"/>
                <w:szCs w:val="15"/>
              </w:rPr>
              <w:t>,</w:t>
            </w:r>
            <w:r w:rsidRPr="00791402">
              <w:rPr>
                <w:rFonts w:asciiTheme="minorHAnsi" w:hAnsiTheme="minorHAnsi" w:cstheme="minorHAnsi"/>
                <w:i/>
                <w:sz w:val="15"/>
                <w:szCs w:val="15"/>
              </w:rPr>
              <w:t xml:space="preserve"> 2018</w:t>
            </w:r>
          </w:p>
        </w:tc>
      </w:tr>
    </w:tbl>
    <w:p w14:paraId="3510BDE7" w14:textId="77777777" w:rsidR="009563B4" w:rsidRPr="004F69BD" w:rsidRDefault="009563B4" w:rsidP="009563B4">
      <w:pPr>
        <w:rPr>
          <w:rFonts w:ascii="Calibri" w:hAnsi="Calibri" w:cs="Calibri"/>
          <w:sz w:val="21"/>
          <w:szCs w:val="21"/>
          <w:lang w:eastAsia="de-DE"/>
        </w:rPr>
      </w:pPr>
    </w:p>
    <w:p w14:paraId="1F24FD65" w14:textId="5F9EAC40" w:rsidR="007A2BD0" w:rsidRDefault="007A2BD0">
      <w:pPr>
        <w:rPr>
          <w:rFonts w:ascii="Calibri" w:hAnsi="Calibri" w:cs="Calibri"/>
          <w:color w:val="FF0000"/>
          <w:sz w:val="21"/>
          <w:szCs w:val="21"/>
        </w:rPr>
      </w:pPr>
      <w:r>
        <w:rPr>
          <w:rFonts w:ascii="Calibri" w:hAnsi="Calibri" w:cs="Calibri"/>
          <w:color w:val="FF0000"/>
          <w:sz w:val="21"/>
          <w:szCs w:val="21"/>
        </w:rPr>
        <w:br w:type="page"/>
      </w:r>
    </w:p>
    <w:p w14:paraId="43246342" w14:textId="77777777" w:rsidR="009563B4" w:rsidRPr="004F69BD" w:rsidRDefault="009563B4" w:rsidP="009563B4">
      <w:pPr>
        <w:rPr>
          <w:rStyle w:val="Heading1Char"/>
          <w:rFonts w:ascii="Calibri" w:eastAsia="SimSun" w:hAnsi="Calibri" w:cs="Calibri"/>
          <w:noProof w:val="0"/>
          <w:sz w:val="21"/>
          <w:szCs w:val="21"/>
        </w:rPr>
        <w:sectPr w:rsidR="009563B4" w:rsidRPr="004F69BD" w:rsidSect="00903274">
          <w:headerReference w:type="even" r:id="rId90"/>
          <w:headerReference w:type="default" r:id="rId91"/>
          <w:headerReference w:type="first" r:id="rId92"/>
          <w:pgSz w:w="11906" w:h="16838" w:code="9"/>
          <w:pgMar w:top="1440" w:right="1440" w:bottom="1440" w:left="1440" w:header="720" w:footer="720" w:gutter="0"/>
          <w:cols w:space="720"/>
          <w:docGrid w:linePitch="360"/>
        </w:sectPr>
      </w:pPr>
    </w:p>
    <w:p w14:paraId="6600B6B0" w14:textId="2930F917" w:rsidR="009563B4" w:rsidRPr="002325F8" w:rsidRDefault="009563B4" w:rsidP="002325F8">
      <w:pPr>
        <w:pStyle w:val="Heading3"/>
        <w:shd w:val="clear" w:color="auto" w:fill="FFFFFF" w:themeFill="background1"/>
        <w:spacing w:before="0"/>
        <w:jc w:val="left"/>
        <w:rPr>
          <w:rFonts w:ascii="Calibri" w:hAnsi="Calibri" w:cs="Calibri"/>
          <w:color w:val="FFFFFF" w:themeColor="background1"/>
          <w:sz w:val="22"/>
          <w:szCs w:val="22"/>
          <w:highlight w:val="black"/>
        </w:rPr>
      </w:pPr>
      <w:bookmarkStart w:id="222" w:name="_3b._Gender_Action"/>
      <w:bookmarkStart w:id="223" w:name="_Ref34644321"/>
      <w:bookmarkStart w:id="224" w:name="_Toc42027136"/>
      <w:bookmarkStart w:id="225" w:name="_Toc42262644"/>
      <w:bookmarkEnd w:id="222"/>
      <w:r w:rsidRPr="002325F8">
        <w:rPr>
          <w:rFonts w:ascii="Calibri" w:hAnsi="Calibri" w:cs="Calibri"/>
          <w:color w:val="FFFFFF" w:themeColor="background1"/>
          <w:sz w:val="22"/>
          <w:szCs w:val="22"/>
          <w:highlight w:val="black"/>
        </w:rPr>
        <w:lastRenderedPageBreak/>
        <w:t xml:space="preserve">3b. Gender </w:t>
      </w:r>
      <w:r w:rsidR="00FE3397">
        <w:rPr>
          <w:rFonts w:ascii="Calibri" w:hAnsi="Calibri" w:cs="Calibri"/>
          <w:color w:val="FFFFFF" w:themeColor="background1"/>
          <w:sz w:val="22"/>
          <w:szCs w:val="22"/>
          <w:highlight w:val="black"/>
        </w:rPr>
        <w:t xml:space="preserve">Analysis and </w:t>
      </w:r>
      <w:r w:rsidRPr="002325F8">
        <w:rPr>
          <w:rFonts w:ascii="Calibri" w:hAnsi="Calibri" w:cs="Calibri"/>
          <w:color w:val="FFFFFF" w:themeColor="background1"/>
          <w:sz w:val="22"/>
          <w:szCs w:val="22"/>
          <w:highlight w:val="black"/>
        </w:rPr>
        <w:t>Action Plan</w:t>
      </w:r>
      <w:bookmarkEnd w:id="223"/>
      <w:bookmarkEnd w:id="224"/>
      <w:bookmarkEnd w:id="225"/>
    </w:p>
    <w:tbl>
      <w:tblPr>
        <w:tblW w:w="1402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4029"/>
      </w:tblGrid>
      <w:tr w:rsidR="009563B4" w:rsidRPr="007A2BD0" w14:paraId="33B0293D" w14:textId="77777777" w:rsidTr="36822015">
        <w:trPr>
          <w:trHeight w:val="259"/>
        </w:trPr>
        <w:tc>
          <w:tcPr>
            <w:tcW w:w="14029" w:type="dxa"/>
            <w:shd w:val="clear" w:color="auto" w:fill="000000" w:themeFill="text1"/>
            <w:vAlign w:val="center"/>
          </w:tcPr>
          <w:p w14:paraId="446D645D" w14:textId="56D0BDBF" w:rsidR="009563B4" w:rsidRPr="007A2BD0" w:rsidRDefault="009563B4" w:rsidP="00481CA4">
            <w:pPr>
              <w:pStyle w:val="TableParagraph"/>
              <w:spacing w:line="224" w:lineRule="exact"/>
              <w:ind w:right="160"/>
              <w:jc w:val="center"/>
              <w:rPr>
                <w:rFonts w:ascii="Calibri" w:hAnsi="Calibri"/>
                <w:b/>
                <w:i/>
                <w:iCs/>
                <w:sz w:val="22"/>
                <w:szCs w:val="22"/>
              </w:rPr>
            </w:pPr>
            <w:r w:rsidRPr="007A2BD0">
              <w:rPr>
                <w:rFonts w:ascii="Calibri" w:hAnsi="Calibri"/>
                <w:b/>
                <w:i/>
                <w:iCs/>
                <w:sz w:val="22"/>
                <w:szCs w:val="22"/>
              </w:rPr>
              <w:t xml:space="preserve">Key Findings from the </w:t>
            </w:r>
            <w:r w:rsidR="00FE3397">
              <w:rPr>
                <w:rFonts w:ascii="Calibri" w:hAnsi="Calibri"/>
                <w:b/>
                <w:i/>
                <w:iCs/>
                <w:sz w:val="22"/>
                <w:szCs w:val="22"/>
              </w:rPr>
              <w:t>G</w:t>
            </w:r>
            <w:r w:rsidRPr="007A2BD0">
              <w:rPr>
                <w:rFonts w:ascii="Calibri" w:hAnsi="Calibri"/>
                <w:b/>
                <w:i/>
                <w:iCs/>
                <w:sz w:val="22"/>
                <w:szCs w:val="22"/>
              </w:rPr>
              <w:t xml:space="preserve">ender </w:t>
            </w:r>
            <w:r w:rsidR="00FE3397">
              <w:rPr>
                <w:rFonts w:ascii="Calibri" w:hAnsi="Calibri"/>
                <w:b/>
                <w:i/>
                <w:iCs/>
                <w:sz w:val="22"/>
                <w:szCs w:val="22"/>
              </w:rPr>
              <w:t>An</w:t>
            </w:r>
            <w:r w:rsidRPr="007A2BD0">
              <w:rPr>
                <w:rFonts w:ascii="Calibri" w:hAnsi="Calibri"/>
                <w:b/>
                <w:i/>
                <w:iCs/>
                <w:sz w:val="22"/>
                <w:szCs w:val="22"/>
              </w:rPr>
              <w:t>alysis (or equivalent socio</w:t>
            </w:r>
            <w:r w:rsidR="002228A2" w:rsidRPr="007A2BD0">
              <w:rPr>
                <w:rFonts w:ascii="Calibri" w:hAnsi="Calibri"/>
                <w:b/>
                <w:i/>
                <w:iCs/>
                <w:sz w:val="22"/>
                <w:szCs w:val="22"/>
              </w:rPr>
              <w:t>-</w:t>
            </w:r>
            <w:r w:rsidRPr="007A2BD0">
              <w:rPr>
                <w:rFonts w:ascii="Calibri" w:hAnsi="Calibri"/>
                <w:b/>
                <w:i/>
                <w:iCs/>
                <w:sz w:val="22"/>
                <w:szCs w:val="22"/>
              </w:rPr>
              <w:t>economic analysis)</w:t>
            </w:r>
          </w:p>
        </w:tc>
      </w:tr>
      <w:tr w:rsidR="009563B4" w:rsidRPr="002228A2" w14:paraId="17B572E9" w14:textId="77777777" w:rsidTr="36822015">
        <w:trPr>
          <w:trHeight w:val="259"/>
        </w:trPr>
        <w:tc>
          <w:tcPr>
            <w:tcW w:w="14029" w:type="dxa"/>
            <w:vAlign w:val="center"/>
          </w:tcPr>
          <w:p w14:paraId="289C3511" w14:textId="02B1CB7B" w:rsidR="000B5D8B" w:rsidRPr="000B5D8B" w:rsidRDefault="000B5D8B" w:rsidP="000B5D8B">
            <w:pPr>
              <w:pStyle w:val="TableParagraph"/>
              <w:spacing w:line="224" w:lineRule="exact"/>
              <w:ind w:left="164" w:right="160"/>
              <w:rPr>
                <w:rFonts w:ascii="Calibri" w:hAnsi="Calibri"/>
                <w:b/>
                <w:sz w:val="18"/>
                <w:szCs w:val="18"/>
              </w:rPr>
            </w:pPr>
            <w:r w:rsidRPr="000B5D8B">
              <w:rPr>
                <w:rFonts w:ascii="Calibri" w:hAnsi="Calibri"/>
                <w:b/>
                <w:sz w:val="18"/>
                <w:szCs w:val="18"/>
              </w:rPr>
              <w:t>Components 1 and 2 gender-related analysis:</w:t>
            </w:r>
          </w:p>
          <w:p w14:paraId="6FFD0C8D" w14:textId="13AE811F" w:rsidR="009563B4" w:rsidRPr="002228A2" w:rsidRDefault="009563B4" w:rsidP="00C53A49">
            <w:pPr>
              <w:pStyle w:val="TableParagraph"/>
              <w:numPr>
                <w:ilvl w:val="0"/>
                <w:numId w:val="10"/>
              </w:numPr>
              <w:spacing w:line="224" w:lineRule="exact"/>
              <w:ind w:left="524" w:right="160"/>
              <w:rPr>
                <w:rFonts w:ascii="Calibri" w:hAnsi="Calibri"/>
                <w:bCs/>
                <w:sz w:val="18"/>
                <w:szCs w:val="18"/>
              </w:rPr>
            </w:pPr>
            <w:r w:rsidRPr="002228A2">
              <w:rPr>
                <w:rFonts w:ascii="Calibri" w:hAnsi="Calibri"/>
                <w:b/>
                <w:sz w:val="18"/>
                <w:szCs w:val="18"/>
              </w:rPr>
              <w:t>Men and Women have unequal socio-economic conditions at the national level</w:t>
            </w:r>
            <w:r w:rsidRPr="002228A2">
              <w:rPr>
                <w:rFonts w:ascii="Calibri" w:hAnsi="Calibri"/>
                <w:bCs/>
                <w:sz w:val="18"/>
                <w:szCs w:val="18"/>
              </w:rPr>
              <w:t>, which reflects also on conditions at local levels, in particular in Cuando Cubango and Cunene provinces, where gender inequality conditions are aggravated by demographic and income</w:t>
            </w:r>
            <w:r w:rsidR="000B45FF" w:rsidRPr="002228A2">
              <w:rPr>
                <w:rFonts w:ascii="Calibri" w:hAnsi="Calibri"/>
                <w:bCs/>
                <w:sz w:val="18"/>
                <w:szCs w:val="18"/>
              </w:rPr>
              <w:t>-</w:t>
            </w:r>
            <w:r w:rsidRPr="002228A2">
              <w:rPr>
                <w:rFonts w:ascii="Calibri" w:hAnsi="Calibri"/>
                <w:bCs/>
                <w:sz w:val="18"/>
                <w:szCs w:val="18"/>
              </w:rPr>
              <w:t>related patterns, coupled with traditions and cultural practices. This includes:</w:t>
            </w:r>
          </w:p>
          <w:p w14:paraId="59D75F27" w14:textId="79EF82FE" w:rsidR="009563B4" w:rsidRPr="002228A2" w:rsidRDefault="002325F8" w:rsidP="00C53A49">
            <w:pPr>
              <w:pStyle w:val="TableParagraph"/>
              <w:numPr>
                <w:ilvl w:val="1"/>
                <w:numId w:val="10"/>
              </w:numPr>
              <w:spacing w:line="224" w:lineRule="exact"/>
              <w:ind w:left="851" w:right="160" w:hanging="284"/>
              <w:rPr>
                <w:rFonts w:ascii="Calibri" w:hAnsi="Calibri"/>
                <w:sz w:val="18"/>
                <w:szCs w:val="18"/>
              </w:rPr>
            </w:pPr>
            <w:r w:rsidRPr="36822015">
              <w:rPr>
                <w:rFonts w:ascii="Calibri" w:hAnsi="Calibri"/>
                <w:sz w:val="18"/>
                <w:szCs w:val="18"/>
              </w:rPr>
              <w:t>d</w:t>
            </w:r>
            <w:r w:rsidR="009563B4" w:rsidRPr="36822015">
              <w:rPr>
                <w:rFonts w:ascii="Calibri" w:hAnsi="Calibri"/>
                <w:sz w:val="18"/>
                <w:szCs w:val="18"/>
              </w:rPr>
              <w:t xml:space="preserve">ifferentiated literacy rates (adult literacy rates are </w:t>
            </w:r>
            <w:r w:rsidR="00802F4E" w:rsidRPr="36822015">
              <w:rPr>
                <w:rFonts w:ascii="Calibri" w:hAnsi="Calibri"/>
                <w:sz w:val="18"/>
                <w:szCs w:val="18"/>
              </w:rPr>
              <w:t>10</w:t>
            </w:r>
            <w:r w:rsidR="009563B4" w:rsidRPr="36822015">
              <w:rPr>
                <w:rFonts w:ascii="Calibri" w:hAnsi="Calibri"/>
                <w:sz w:val="18"/>
                <w:szCs w:val="18"/>
              </w:rPr>
              <w:t>%</w:t>
            </w:r>
            <w:r w:rsidR="00802F4E" w:rsidRPr="36822015">
              <w:rPr>
                <w:rStyle w:val="FootnoteReference"/>
                <w:rFonts w:ascii="Calibri" w:hAnsi="Calibri"/>
                <w:sz w:val="18"/>
                <w:szCs w:val="18"/>
              </w:rPr>
              <w:footnoteReference w:id="101"/>
            </w:r>
            <w:r w:rsidR="009563B4" w:rsidRPr="36822015">
              <w:rPr>
                <w:rFonts w:ascii="Calibri" w:hAnsi="Calibri"/>
                <w:sz w:val="18"/>
                <w:szCs w:val="18"/>
              </w:rPr>
              <w:t xml:space="preserve"> lower for women than men at national level – and worse still in Cunene and Cuando Cubango); </w:t>
            </w:r>
          </w:p>
          <w:p w14:paraId="2A7CC1A6" w14:textId="554BA9D3" w:rsidR="005864DB" w:rsidRDefault="005864DB" w:rsidP="00C53A49">
            <w:pPr>
              <w:pStyle w:val="TableParagraph"/>
              <w:numPr>
                <w:ilvl w:val="1"/>
                <w:numId w:val="10"/>
              </w:numPr>
              <w:spacing w:line="224" w:lineRule="exact"/>
              <w:ind w:left="851" w:right="160" w:hanging="284"/>
              <w:rPr>
                <w:rFonts w:ascii="Calibri" w:hAnsi="Calibri"/>
                <w:sz w:val="18"/>
                <w:szCs w:val="18"/>
              </w:rPr>
            </w:pPr>
            <w:r w:rsidRPr="005864DB">
              <w:rPr>
                <w:rFonts w:ascii="Calibri" w:hAnsi="Calibri"/>
                <w:sz w:val="18"/>
                <w:szCs w:val="18"/>
              </w:rPr>
              <w:t>69% of women earn less than their husband or partner (Nationally). In Cunene: 66,2% and Cuando cubago 38</w:t>
            </w:r>
            <w:r>
              <w:rPr>
                <w:rFonts w:ascii="Calibri" w:hAnsi="Calibri"/>
                <w:sz w:val="18"/>
                <w:szCs w:val="18"/>
              </w:rPr>
              <w:t>.</w:t>
            </w:r>
            <w:r w:rsidRPr="005864DB">
              <w:rPr>
                <w:rFonts w:ascii="Calibri" w:hAnsi="Calibri"/>
                <w:sz w:val="18"/>
                <w:szCs w:val="18"/>
              </w:rPr>
              <w:t>7</w:t>
            </w:r>
            <w:r>
              <w:rPr>
                <w:rFonts w:ascii="Calibri" w:hAnsi="Calibri"/>
                <w:sz w:val="18"/>
                <w:szCs w:val="18"/>
              </w:rPr>
              <w:t>%</w:t>
            </w:r>
            <w:r w:rsidR="000B5D8B">
              <w:rPr>
                <w:rFonts w:ascii="Calibri" w:hAnsi="Calibri"/>
                <w:sz w:val="18"/>
                <w:szCs w:val="18"/>
              </w:rPr>
              <w:t>;</w:t>
            </w:r>
          </w:p>
          <w:p w14:paraId="25D64480" w14:textId="6E2884DD" w:rsidR="009563B4" w:rsidRPr="002228A2" w:rsidRDefault="002325F8" w:rsidP="00C53A49">
            <w:pPr>
              <w:pStyle w:val="TableParagraph"/>
              <w:numPr>
                <w:ilvl w:val="1"/>
                <w:numId w:val="10"/>
              </w:numPr>
              <w:spacing w:line="224" w:lineRule="exact"/>
              <w:ind w:left="851" w:right="160" w:hanging="284"/>
              <w:rPr>
                <w:rFonts w:ascii="Calibri" w:hAnsi="Calibri"/>
                <w:sz w:val="18"/>
                <w:szCs w:val="18"/>
              </w:rPr>
            </w:pPr>
            <w:r w:rsidRPr="22E66BFA">
              <w:rPr>
                <w:rFonts w:ascii="Calibri" w:hAnsi="Calibri"/>
                <w:sz w:val="18"/>
                <w:szCs w:val="18"/>
              </w:rPr>
              <w:t>u</w:t>
            </w:r>
            <w:r w:rsidR="009563B4" w:rsidRPr="22E66BFA">
              <w:rPr>
                <w:rFonts w:ascii="Calibri" w:hAnsi="Calibri"/>
                <w:sz w:val="18"/>
                <w:szCs w:val="18"/>
              </w:rPr>
              <w:t>nequal access to</w:t>
            </w:r>
            <w:r w:rsidR="000B5D8B">
              <w:rPr>
                <w:rFonts w:ascii="Calibri" w:hAnsi="Calibri"/>
                <w:sz w:val="18"/>
                <w:szCs w:val="18"/>
              </w:rPr>
              <w:t xml:space="preserve"> natural resouces and</w:t>
            </w:r>
            <w:r w:rsidR="009563B4" w:rsidRPr="22E66BFA">
              <w:rPr>
                <w:rFonts w:ascii="Calibri" w:hAnsi="Calibri"/>
                <w:sz w:val="18"/>
                <w:szCs w:val="18"/>
              </w:rPr>
              <w:t xml:space="preserve"> security </w:t>
            </w:r>
            <w:r w:rsidR="009563B4" w:rsidRPr="000B5D8B">
              <w:rPr>
                <w:rFonts w:ascii="Calibri" w:hAnsi="Calibri"/>
                <w:sz w:val="18"/>
                <w:szCs w:val="18"/>
              </w:rPr>
              <w:t>of tenure (</w:t>
            </w:r>
            <w:r w:rsidR="005864DB" w:rsidRPr="000B5D8B">
              <w:rPr>
                <w:rFonts w:ascii="Calibri" w:hAnsi="Calibri"/>
                <w:sz w:val="18"/>
                <w:szCs w:val="18"/>
              </w:rPr>
              <w:t>12</w:t>
            </w:r>
            <w:r w:rsidR="005864DB" w:rsidRPr="005864DB">
              <w:rPr>
                <w:rFonts w:ascii="Calibri" w:hAnsi="Calibri"/>
                <w:sz w:val="18"/>
                <w:szCs w:val="18"/>
              </w:rPr>
              <w:t>% of women own land in partnership with husband or partner and 20% of men own land individually</w:t>
            </w:r>
            <w:r w:rsidR="000B5D8B">
              <w:rPr>
                <w:rFonts w:ascii="Calibri" w:hAnsi="Calibri"/>
                <w:sz w:val="18"/>
                <w:szCs w:val="18"/>
              </w:rPr>
              <w:t xml:space="preserve"> – no data available for women owning land on their own</w:t>
            </w:r>
            <w:r w:rsidR="009563B4" w:rsidRPr="22E66BFA">
              <w:rPr>
                <w:rFonts w:ascii="Calibri" w:hAnsi="Calibri"/>
                <w:sz w:val="18"/>
                <w:szCs w:val="18"/>
              </w:rPr>
              <w:t>)</w:t>
            </w:r>
            <w:r w:rsidRPr="22E66BFA">
              <w:rPr>
                <w:rFonts w:ascii="Calibri" w:hAnsi="Calibri"/>
                <w:sz w:val="18"/>
                <w:szCs w:val="18"/>
              </w:rPr>
              <w:t>;</w:t>
            </w:r>
          </w:p>
          <w:p w14:paraId="5650FED0" w14:textId="7E44805E" w:rsidR="009563B4" w:rsidRPr="002228A2" w:rsidRDefault="009563B4" w:rsidP="00C53A49">
            <w:pPr>
              <w:pStyle w:val="TableParagraph"/>
              <w:numPr>
                <w:ilvl w:val="0"/>
                <w:numId w:val="10"/>
              </w:numPr>
              <w:spacing w:line="224" w:lineRule="exact"/>
              <w:ind w:left="524" w:right="160"/>
              <w:rPr>
                <w:rFonts w:ascii="Calibri" w:hAnsi="Calibri"/>
                <w:b/>
                <w:sz w:val="18"/>
                <w:szCs w:val="18"/>
              </w:rPr>
            </w:pPr>
            <w:r w:rsidRPr="002228A2">
              <w:rPr>
                <w:rFonts w:ascii="Calibri" w:hAnsi="Calibri"/>
                <w:b/>
                <w:sz w:val="18"/>
                <w:szCs w:val="18"/>
              </w:rPr>
              <w:t>The LDN Strategy, including the PANCOD</w:t>
            </w:r>
            <w:r w:rsidR="00F565F9" w:rsidRPr="002228A2">
              <w:rPr>
                <w:rFonts w:ascii="Calibri" w:hAnsi="Calibri"/>
                <w:b/>
                <w:sz w:val="18"/>
                <w:szCs w:val="18"/>
              </w:rPr>
              <w:t>,</w:t>
            </w:r>
            <w:r w:rsidRPr="002228A2">
              <w:rPr>
                <w:rFonts w:ascii="Calibri" w:hAnsi="Calibri"/>
                <w:b/>
                <w:sz w:val="18"/>
                <w:szCs w:val="18"/>
              </w:rPr>
              <w:t xml:space="preserve"> ha</w:t>
            </w:r>
            <w:r w:rsidR="00F565F9" w:rsidRPr="002228A2">
              <w:rPr>
                <w:rFonts w:ascii="Calibri" w:hAnsi="Calibri"/>
                <w:b/>
                <w:sz w:val="18"/>
                <w:szCs w:val="18"/>
              </w:rPr>
              <w:t>s</w:t>
            </w:r>
            <w:r w:rsidRPr="002228A2">
              <w:rPr>
                <w:rFonts w:ascii="Calibri" w:hAnsi="Calibri"/>
                <w:b/>
                <w:sz w:val="18"/>
                <w:szCs w:val="18"/>
              </w:rPr>
              <w:t xml:space="preserve"> only incorporated gender mainstreaming in an incipient way. </w:t>
            </w:r>
            <w:r w:rsidRPr="002228A2">
              <w:rPr>
                <w:rFonts w:ascii="Calibri" w:hAnsi="Calibri"/>
                <w:bCs/>
                <w:sz w:val="18"/>
                <w:szCs w:val="18"/>
              </w:rPr>
              <w:t xml:space="preserve">The same applies to other related policies, plans, strategies and practices at the national level. </w:t>
            </w:r>
          </w:p>
          <w:p w14:paraId="7C4C6014" w14:textId="24FD92E8" w:rsidR="009563B4" w:rsidRPr="002228A2" w:rsidRDefault="009563B4" w:rsidP="00C53A49">
            <w:pPr>
              <w:pStyle w:val="TableParagraph"/>
              <w:numPr>
                <w:ilvl w:val="0"/>
                <w:numId w:val="10"/>
              </w:numPr>
              <w:spacing w:line="224" w:lineRule="exact"/>
              <w:ind w:left="524" w:right="160"/>
              <w:rPr>
                <w:rFonts w:ascii="Calibri" w:hAnsi="Calibri"/>
                <w:b/>
                <w:sz w:val="18"/>
                <w:szCs w:val="18"/>
              </w:rPr>
            </w:pPr>
            <w:r w:rsidRPr="002228A2">
              <w:rPr>
                <w:rFonts w:ascii="Calibri" w:hAnsi="Calibri"/>
                <w:b/>
                <w:sz w:val="18"/>
                <w:szCs w:val="18"/>
              </w:rPr>
              <w:t>The national gender strategy is outdated, incipiently implemented and it has had minimal influence in the above cited conditions and/or policy-planning frameworks.</w:t>
            </w:r>
            <w:r w:rsidRPr="002228A2">
              <w:rPr>
                <w:rFonts w:ascii="Calibri" w:hAnsi="Calibri"/>
                <w:bCs/>
                <w:sz w:val="18"/>
                <w:szCs w:val="18"/>
              </w:rPr>
              <w:t xml:space="preserve"> Official national data, including demographic, poverty and market</w:t>
            </w:r>
            <w:r w:rsidR="00F565F9" w:rsidRPr="002228A2">
              <w:rPr>
                <w:rFonts w:ascii="Calibri" w:hAnsi="Calibri"/>
                <w:bCs/>
                <w:sz w:val="18"/>
                <w:szCs w:val="18"/>
              </w:rPr>
              <w:t>-</w:t>
            </w:r>
            <w:r w:rsidRPr="002228A2">
              <w:rPr>
                <w:rFonts w:ascii="Calibri" w:hAnsi="Calibri"/>
                <w:bCs/>
                <w:sz w:val="18"/>
                <w:szCs w:val="18"/>
              </w:rPr>
              <w:t xml:space="preserve">related data are scant and/or biased, setting limits of accuracy and scope on gender-based analyses in general.  </w:t>
            </w:r>
          </w:p>
          <w:p w14:paraId="190EDC66" w14:textId="740755A9" w:rsidR="009563B4" w:rsidRPr="002228A2" w:rsidRDefault="009563B4" w:rsidP="00C53A49">
            <w:pPr>
              <w:pStyle w:val="TableParagraph"/>
              <w:numPr>
                <w:ilvl w:val="0"/>
                <w:numId w:val="10"/>
              </w:numPr>
              <w:spacing w:line="224" w:lineRule="exact"/>
              <w:ind w:left="524" w:right="160"/>
              <w:rPr>
                <w:rFonts w:ascii="Calibri" w:hAnsi="Calibri"/>
                <w:b/>
                <w:sz w:val="18"/>
                <w:szCs w:val="18"/>
              </w:rPr>
            </w:pPr>
            <w:r w:rsidRPr="002228A2">
              <w:rPr>
                <w:rFonts w:ascii="Calibri" w:hAnsi="Calibri"/>
                <w:b/>
                <w:sz w:val="18"/>
                <w:szCs w:val="18"/>
              </w:rPr>
              <w:t xml:space="preserve">Women’s participation in </w:t>
            </w:r>
            <w:r w:rsidRPr="004947E6">
              <w:rPr>
                <w:rFonts w:ascii="Calibri" w:hAnsi="Calibri"/>
                <w:b/>
                <w:sz w:val="18"/>
                <w:szCs w:val="18"/>
              </w:rPr>
              <w:t xml:space="preserve">LDN National Committee is marginal </w:t>
            </w:r>
            <w:r w:rsidRPr="004947E6">
              <w:rPr>
                <w:rFonts w:ascii="Calibri" w:hAnsi="Calibri"/>
                <w:bCs/>
                <w:sz w:val="18"/>
                <w:szCs w:val="18"/>
              </w:rPr>
              <w:t>(</w:t>
            </w:r>
            <w:r w:rsidR="004947E6" w:rsidRPr="004947E6">
              <w:rPr>
                <w:rFonts w:ascii="Calibri" w:hAnsi="Calibri"/>
                <w:bCs/>
                <w:sz w:val="18"/>
                <w:szCs w:val="18"/>
              </w:rPr>
              <w:t>15</w:t>
            </w:r>
            <w:r w:rsidR="00163692" w:rsidRPr="004947E6">
              <w:rPr>
                <w:rFonts w:ascii="Calibri" w:hAnsi="Calibri"/>
                <w:bCs/>
                <w:sz w:val="18"/>
                <w:szCs w:val="18"/>
              </w:rPr>
              <w:t>%</w:t>
            </w:r>
            <w:r w:rsidRPr="004947E6">
              <w:rPr>
                <w:rFonts w:ascii="Calibri" w:hAnsi="Calibri"/>
                <w:bCs/>
                <w:sz w:val="18"/>
                <w:szCs w:val="18"/>
              </w:rPr>
              <w:t xml:space="preserve"> female).</w:t>
            </w:r>
            <w:r w:rsidRPr="002228A2">
              <w:rPr>
                <w:rFonts w:ascii="Calibri" w:hAnsi="Calibri"/>
                <w:bCs/>
                <w:sz w:val="18"/>
                <w:szCs w:val="18"/>
              </w:rPr>
              <w:t xml:space="preserve"> In local land management committees (existing ones are the </w:t>
            </w:r>
            <w:r w:rsidR="00C37ECD" w:rsidRPr="002228A2">
              <w:rPr>
                <w:rFonts w:ascii="Calibri" w:hAnsi="Calibri"/>
                <w:color w:val="000000"/>
                <w:sz w:val="18"/>
                <w:szCs w:val="18"/>
              </w:rPr>
              <w:t xml:space="preserve">Councils for Social Consultation and Concertation - </w:t>
            </w:r>
            <w:r w:rsidRPr="002228A2">
              <w:rPr>
                <w:rFonts w:ascii="Calibri" w:hAnsi="Calibri"/>
                <w:bCs/>
                <w:sz w:val="18"/>
                <w:szCs w:val="18"/>
              </w:rPr>
              <w:t xml:space="preserve">CACS), women’s participation is marginal and no gender mainstreaming mechanism is in place </w:t>
            </w:r>
            <w:r w:rsidR="00C37ECD" w:rsidRPr="002228A2">
              <w:rPr>
                <w:rFonts w:ascii="Calibri" w:hAnsi="Calibri"/>
                <w:bCs/>
                <w:sz w:val="18"/>
                <w:szCs w:val="18"/>
              </w:rPr>
              <w:t>for</w:t>
            </w:r>
            <w:r w:rsidRPr="002228A2">
              <w:rPr>
                <w:rFonts w:ascii="Calibri" w:hAnsi="Calibri"/>
                <w:bCs/>
                <w:sz w:val="18"/>
                <w:szCs w:val="18"/>
              </w:rPr>
              <w:t xml:space="preserve"> the functioning CACS in target landscapes. </w:t>
            </w:r>
          </w:p>
          <w:p w14:paraId="6A29F5B7" w14:textId="77777777" w:rsidR="009563B4" w:rsidRPr="002228A2" w:rsidRDefault="009563B4" w:rsidP="00C53A49">
            <w:pPr>
              <w:pStyle w:val="TableParagraph"/>
              <w:numPr>
                <w:ilvl w:val="0"/>
                <w:numId w:val="10"/>
              </w:numPr>
              <w:spacing w:line="224" w:lineRule="exact"/>
              <w:ind w:left="524" w:right="160"/>
              <w:rPr>
                <w:rFonts w:ascii="Calibri" w:hAnsi="Calibri"/>
                <w:b/>
                <w:sz w:val="18"/>
                <w:szCs w:val="18"/>
              </w:rPr>
            </w:pPr>
            <w:r w:rsidRPr="002228A2">
              <w:rPr>
                <w:rFonts w:ascii="Calibri" w:hAnsi="Calibri"/>
                <w:b/>
                <w:sz w:val="18"/>
                <w:szCs w:val="18"/>
              </w:rPr>
              <w:t>Gender-sensitive results from the SHARP</w:t>
            </w:r>
            <w:r w:rsidRPr="002228A2">
              <w:rPr>
                <w:rFonts w:ascii="Calibri" w:hAnsi="Calibri"/>
                <w:bCs/>
                <w:sz w:val="18"/>
                <w:szCs w:val="18"/>
              </w:rPr>
              <w:t xml:space="preserve"> carried out during the PPG appear balanced: </w:t>
            </w:r>
          </w:p>
          <w:p w14:paraId="66C46451" w14:textId="4317DEE6" w:rsidR="009563B4" w:rsidRPr="002228A2" w:rsidRDefault="009563B4" w:rsidP="00C53A49">
            <w:pPr>
              <w:pStyle w:val="TableParagraph"/>
              <w:numPr>
                <w:ilvl w:val="1"/>
                <w:numId w:val="10"/>
              </w:numPr>
              <w:spacing w:line="224" w:lineRule="exact"/>
              <w:ind w:left="851" w:right="160" w:hanging="284"/>
              <w:rPr>
                <w:rFonts w:ascii="Calibri" w:hAnsi="Calibri"/>
                <w:b/>
                <w:sz w:val="18"/>
                <w:szCs w:val="18"/>
              </w:rPr>
            </w:pPr>
            <w:r w:rsidRPr="002228A2">
              <w:rPr>
                <w:rFonts w:ascii="Calibri" w:hAnsi="Calibri"/>
                <w:bCs/>
                <w:sz w:val="18"/>
                <w:szCs w:val="18"/>
                <w:u w:val="single"/>
              </w:rPr>
              <w:t>Household decision-making and leadership (male/female) is generally balanced:</w:t>
            </w:r>
            <w:r w:rsidRPr="002228A2">
              <w:rPr>
                <w:rFonts w:ascii="Calibri" w:hAnsi="Calibri"/>
                <w:bCs/>
                <w:sz w:val="18"/>
                <w:szCs w:val="18"/>
              </w:rPr>
              <w:t xml:space="preserve"> dual household leadership 47.5%; female-led households 24.6%; male-led households 27.9%</w:t>
            </w:r>
            <w:r w:rsidR="00C37ECD" w:rsidRPr="002228A2">
              <w:rPr>
                <w:rFonts w:ascii="Calibri" w:hAnsi="Calibri"/>
                <w:bCs/>
                <w:sz w:val="18"/>
                <w:szCs w:val="18"/>
              </w:rPr>
              <w:t>,</w:t>
            </w:r>
            <w:r w:rsidRPr="002228A2">
              <w:rPr>
                <w:rFonts w:ascii="Calibri" w:hAnsi="Calibri"/>
                <w:bCs/>
                <w:sz w:val="18"/>
                <w:szCs w:val="18"/>
              </w:rPr>
              <w:t xml:space="preserve"> while the national average is 32% of rural households are led by women </w:t>
            </w:r>
            <w:r w:rsidR="00D45F9E" w:rsidRPr="002228A2">
              <w:rPr>
                <w:rFonts w:ascii="Calibri" w:hAnsi="Calibri"/>
                <w:bCs/>
                <w:sz w:val="18"/>
                <w:szCs w:val="18"/>
              </w:rPr>
              <w:t>(</w:t>
            </w:r>
            <w:r w:rsidRPr="002228A2">
              <w:rPr>
                <w:rFonts w:ascii="Calibri" w:hAnsi="Calibri"/>
                <w:bCs/>
                <w:sz w:val="18"/>
                <w:szCs w:val="18"/>
              </w:rPr>
              <w:t>2014 Census</w:t>
            </w:r>
            <w:r w:rsidR="00D45F9E" w:rsidRPr="002228A2">
              <w:rPr>
                <w:rFonts w:ascii="Calibri" w:hAnsi="Calibri"/>
                <w:bCs/>
                <w:sz w:val="18"/>
                <w:szCs w:val="18"/>
              </w:rPr>
              <w:t>)</w:t>
            </w:r>
            <w:r w:rsidRPr="002228A2">
              <w:rPr>
                <w:rFonts w:ascii="Calibri" w:hAnsi="Calibri"/>
                <w:bCs/>
                <w:sz w:val="18"/>
                <w:szCs w:val="18"/>
              </w:rPr>
              <w:t>, but noting that the Census (i) did not consider the “dual leadership category” and data on household leadership at sub-national level remained unpublished)</w:t>
            </w:r>
            <w:r w:rsidR="00D45F9E" w:rsidRPr="002228A2">
              <w:rPr>
                <w:rFonts w:ascii="Calibri" w:hAnsi="Calibri"/>
                <w:bCs/>
                <w:sz w:val="18"/>
                <w:szCs w:val="18"/>
              </w:rPr>
              <w:t>.</w:t>
            </w:r>
          </w:p>
          <w:p w14:paraId="1749546A" w14:textId="755180CA" w:rsidR="009563B4" w:rsidRPr="002228A2" w:rsidRDefault="009563B4" w:rsidP="00C53A49">
            <w:pPr>
              <w:pStyle w:val="TableParagraph"/>
              <w:numPr>
                <w:ilvl w:val="1"/>
                <w:numId w:val="10"/>
              </w:numPr>
              <w:spacing w:line="224" w:lineRule="exact"/>
              <w:ind w:left="851" w:right="160" w:hanging="284"/>
              <w:rPr>
                <w:rFonts w:ascii="Calibri" w:hAnsi="Calibri"/>
                <w:b/>
                <w:sz w:val="18"/>
                <w:szCs w:val="18"/>
              </w:rPr>
            </w:pPr>
            <w:r w:rsidRPr="002228A2">
              <w:rPr>
                <w:rFonts w:ascii="Calibri" w:hAnsi="Calibri"/>
                <w:bCs/>
                <w:sz w:val="18"/>
                <w:szCs w:val="18"/>
                <w:u w:val="single"/>
              </w:rPr>
              <w:t>Food security and nutrition app</w:t>
            </w:r>
            <w:r w:rsidR="00D45F9E" w:rsidRPr="002228A2">
              <w:rPr>
                <w:rFonts w:ascii="Calibri" w:hAnsi="Calibri"/>
                <w:bCs/>
                <w:sz w:val="18"/>
                <w:szCs w:val="18"/>
                <w:u w:val="single"/>
              </w:rPr>
              <w:t>ears</w:t>
            </w:r>
            <w:r w:rsidRPr="002228A2">
              <w:rPr>
                <w:rFonts w:ascii="Calibri" w:hAnsi="Calibri"/>
                <w:bCs/>
                <w:sz w:val="18"/>
                <w:szCs w:val="18"/>
                <w:u w:val="single"/>
              </w:rPr>
              <w:t xml:space="preserve"> balanced</w:t>
            </w:r>
            <w:r w:rsidRPr="002228A2">
              <w:rPr>
                <w:rFonts w:ascii="Calibri" w:hAnsi="Calibri"/>
                <w:bCs/>
                <w:sz w:val="18"/>
                <w:szCs w:val="18"/>
              </w:rPr>
              <w:t>: men appear to be worse off by a small margin, considering that</w:t>
            </w:r>
            <w:r w:rsidR="00D45F9E" w:rsidRPr="002228A2">
              <w:rPr>
                <w:rFonts w:ascii="Calibri" w:hAnsi="Calibri"/>
                <w:bCs/>
                <w:sz w:val="18"/>
                <w:szCs w:val="18"/>
              </w:rPr>
              <w:t>:</w:t>
            </w:r>
            <w:r w:rsidRPr="002228A2">
              <w:rPr>
                <w:rFonts w:ascii="Calibri" w:hAnsi="Calibri"/>
                <w:bCs/>
                <w:sz w:val="18"/>
                <w:szCs w:val="18"/>
              </w:rPr>
              <w:t xml:space="preserve"> (i) both </w:t>
            </w:r>
            <w:r w:rsidR="00D45F9E" w:rsidRPr="002228A2">
              <w:rPr>
                <w:rFonts w:ascii="Calibri" w:hAnsi="Calibri"/>
                <w:bCs/>
                <w:sz w:val="18"/>
                <w:szCs w:val="18"/>
              </w:rPr>
              <w:t xml:space="preserve">project </w:t>
            </w:r>
            <w:r w:rsidRPr="002228A2">
              <w:rPr>
                <w:rFonts w:ascii="Calibri" w:hAnsi="Calibri"/>
                <w:bCs/>
                <w:sz w:val="18"/>
                <w:szCs w:val="18"/>
              </w:rPr>
              <w:t xml:space="preserve">sites have a generalized low HDDS incidence (39% for women; 42% for men and 41% for both) and </w:t>
            </w:r>
            <w:r w:rsidR="00D45F9E" w:rsidRPr="002228A2">
              <w:rPr>
                <w:rFonts w:ascii="Calibri" w:hAnsi="Calibri"/>
                <w:bCs/>
                <w:sz w:val="18"/>
                <w:szCs w:val="18"/>
              </w:rPr>
              <w:t xml:space="preserve">(ii) </w:t>
            </w:r>
            <w:r w:rsidRPr="002228A2">
              <w:rPr>
                <w:rFonts w:ascii="Calibri" w:hAnsi="Calibri"/>
                <w:bCs/>
                <w:sz w:val="18"/>
                <w:szCs w:val="18"/>
              </w:rPr>
              <w:t xml:space="preserve">the statistical difference between HDDS rates for men and women may not be significant, </w:t>
            </w:r>
            <w:r w:rsidR="00D45F9E" w:rsidRPr="002228A2">
              <w:rPr>
                <w:rFonts w:ascii="Calibri" w:hAnsi="Calibri"/>
                <w:bCs/>
                <w:sz w:val="18"/>
                <w:szCs w:val="18"/>
              </w:rPr>
              <w:t>based on</w:t>
            </w:r>
            <w:r w:rsidRPr="002228A2">
              <w:rPr>
                <w:rFonts w:ascii="Calibri" w:hAnsi="Calibri"/>
                <w:bCs/>
                <w:sz w:val="18"/>
                <w:szCs w:val="18"/>
              </w:rPr>
              <w:t xml:space="preserve"> SHARP data </w:t>
            </w:r>
            <w:r w:rsidR="00D45F9E" w:rsidRPr="002228A2">
              <w:rPr>
                <w:rFonts w:ascii="Calibri" w:hAnsi="Calibri"/>
                <w:bCs/>
                <w:sz w:val="18"/>
                <w:szCs w:val="18"/>
              </w:rPr>
              <w:t xml:space="preserve">from </w:t>
            </w:r>
            <w:r w:rsidRPr="002228A2">
              <w:rPr>
                <w:rFonts w:ascii="Calibri" w:hAnsi="Calibri"/>
                <w:bCs/>
                <w:sz w:val="18"/>
                <w:szCs w:val="18"/>
              </w:rPr>
              <w:t xml:space="preserve">PPG. </w:t>
            </w:r>
          </w:p>
          <w:p w14:paraId="733829F1" w14:textId="6F7787AB" w:rsidR="009563B4" w:rsidRDefault="009563B4" w:rsidP="00C53A49">
            <w:pPr>
              <w:pStyle w:val="TableParagraph"/>
              <w:numPr>
                <w:ilvl w:val="0"/>
                <w:numId w:val="10"/>
              </w:numPr>
              <w:spacing w:line="224" w:lineRule="exact"/>
              <w:ind w:left="524" w:right="160"/>
              <w:rPr>
                <w:rFonts w:ascii="Calibri" w:hAnsi="Calibri"/>
                <w:bCs/>
                <w:sz w:val="18"/>
                <w:szCs w:val="18"/>
              </w:rPr>
            </w:pPr>
            <w:r w:rsidRPr="002228A2">
              <w:rPr>
                <w:rFonts w:ascii="Calibri" w:hAnsi="Calibri"/>
                <w:b/>
                <w:sz w:val="18"/>
                <w:szCs w:val="18"/>
              </w:rPr>
              <w:t xml:space="preserve">Women’s participation in </w:t>
            </w:r>
            <w:r w:rsidR="00E24249" w:rsidRPr="002228A2">
              <w:rPr>
                <w:rFonts w:ascii="Calibri" w:hAnsi="Calibri"/>
                <w:b/>
                <w:sz w:val="18"/>
                <w:szCs w:val="18"/>
              </w:rPr>
              <w:t xml:space="preserve">dryland </w:t>
            </w:r>
            <w:r w:rsidRPr="002228A2">
              <w:rPr>
                <w:rFonts w:ascii="Calibri" w:hAnsi="Calibri"/>
                <w:b/>
                <w:sz w:val="18"/>
                <w:szCs w:val="18"/>
              </w:rPr>
              <w:t>value chains</w:t>
            </w:r>
            <w:r w:rsidRPr="002228A2">
              <w:rPr>
                <w:rFonts w:ascii="Calibri" w:hAnsi="Calibri"/>
                <w:bCs/>
                <w:sz w:val="18"/>
                <w:szCs w:val="18"/>
              </w:rPr>
              <w:t xml:space="preserve"> in Angola </w:t>
            </w:r>
            <w:r w:rsidR="00A10AF4" w:rsidRPr="002228A2">
              <w:rPr>
                <w:rFonts w:ascii="Calibri" w:hAnsi="Calibri"/>
                <w:bCs/>
                <w:sz w:val="18"/>
                <w:szCs w:val="18"/>
              </w:rPr>
              <w:t>shows</w:t>
            </w:r>
            <w:r w:rsidRPr="002228A2">
              <w:rPr>
                <w:rFonts w:ascii="Calibri" w:hAnsi="Calibri"/>
                <w:bCs/>
                <w:sz w:val="18"/>
                <w:szCs w:val="18"/>
              </w:rPr>
              <w:t xml:space="preserve"> that in local communities </w:t>
            </w:r>
            <w:r w:rsidR="00A10AF4" w:rsidRPr="002228A2">
              <w:rPr>
                <w:rFonts w:ascii="Calibri" w:hAnsi="Calibri"/>
                <w:bCs/>
                <w:sz w:val="18"/>
                <w:szCs w:val="18"/>
              </w:rPr>
              <w:t xml:space="preserve">they </w:t>
            </w:r>
            <w:r w:rsidRPr="002228A2">
              <w:rPr>
                <w:rFonts w:ascii="Calibri" w:hAnsi="Calibri"/>
                <w:bCs/>
                <w:sz w:val="18"/>
                <w:szCs w:val="18"/>
              </w:rPr>
              <w:t>are more engaged in taking products to market</w:t>
            </w:r>
            <w:r w:rsidR="00A10AF4" w:rsidRPr="002228A2">
              <w:rPr>
                <w:rFonts w:ascii="Calibri" w:hAnsi="Calibri"/>
                <w:bCs/>
                <w:sz w:val="18"/>
                <w:szCs w:val="18"/>
              </w:rPr>
              <w:t>s</w:t>
            </w:r>
            <w:r w:rsidRPr="002228A2">
              <w:rPr>
                <w:rFonts w:ascii="Calibri" w:hAnsi="Calibri"/>
                <w:bCs/>
                <w:sz w:val="18"/>
                <w:szCs w:val="18"/>
              </w:rPr>
              <w:t xml:space="preserve"> </w:t>
            </w:r>
            <w:r w:rsidR="00A10AF4" w:rsidRPr="002228A2">
              <w:rPr>
                <w:rFonts w:ascii="Calibri" w:hAnsi="Calibri"/>
                <w:bCs/>
                <w:sz w:val="18"/>
                <w:szCs w:val="18"/>
              </w:rPr>
              <w:t xml:space="preserve">than men </w:t>
            </w:r>
            <w:r w:rsidRPr="002228A2">
              <w:rPr>
                <w:rFonts w:ascii="Calibri" w:hAnsi="Calibri"/>
                <w:bCs/>
                <w:sz w:val="18"/>
                <w:szCs w:val="18"/>
              </w:rPr>
              <w:t xml:space="preserve">(62% of households sold at least </w:t>
            </w:r>
            <w:r w:rsidR="00A10AF4" w:rsidRPr="002228A2">
              <w:rPr>
                <w:rFonts w:ascii="Calibri" w:hAnsi="Calibri"/>
                <w:bCs/>
                <w:sz w:val="18"/>
                <w:szCs w:val="18"/>
              </w:rPr>
              <w:t xml:space="preserve">a </w:t>
            </w:r>
            <w:r w:rsidRPr="002228A2">
              <w:rPr>
                <w:rFonts w:ascii="Calibri" w:hAnsi="Calibri"/>
                <w:bCs/>
                <w:sz w:val="18"/>
                <w:szCs w:val="18"/>
              </w:rPr>
              <w:t xml:space="preserve">few of their products in the market, 58% of men, 70% of women); most primary level aggregators are women; but the more capitalized aggregators (with access to own </w:t>
            </w:r>
            <w:r w:rsidRPr="000B5D8B">
              <w:rPr>
                <w:rFonts w:ascii="Calibri" w:hAnsi="Calibri"/>
                <w:bCs/>
                <w:sz w:val="18"/>
                <w:szCs w:val="18"/>
              </w:rPr>
              <w:t>transport) are mostly male. There is otherwise no information on local producer organizations, nor on their composition, let alon</w:t>
            </w:r>
            <w:r w:rsidR="00A10AF4" w:rsidRPr="000B5D8B">
              <w:rPr>
                <w:rFonts w:ascii="Calibri" w:hAnsi="Calibri"/>
                <w:bCs/>
                <w:sz w:val="18"/>
                <w:szCs w:val="18"/>
              </w:rPr>
              <w:t>e</w:t>
            </w:r>
            <w:r w:rsidRPr="000B5D8B">
              <w:rPr>
                <w:rFonts w:ascii="Calibri" w:hAnsi="Calibri"/>
                <w:bCs/>
                <w:sz w:val="18"/>
                <w:szCs w:val="18"/>
              </w:rPr>
              <w:t xml:space="preserve"> the gender aspects. </w:t>
            </w:r>
            <w:r w:rsidR="000B5D8B">
              <w:rPr>
                <w:rFonts w:ascii="Calibri" w:hAnsi="Calibri"/>
                <w:bCs/>
                <w:sz w:val="18"/>
                <w:szCs w:val="18"/>
              </w:rPr>
              <w:t>+</w:t>
            </w:r>
          </w:p>
          <w:p w14:paraId="579CA75A" w14:textId="5FDF522F" w:rsidR="000B5D8B" w:rsidRPr="000B5D8B" w:rsidRDefault="000B5D8B" w:rsidP="000B5D8B">
            <w:pPr>
              <w:pStyle w:val="TableParagraph"/>
              <w:spacing w:line="224" w:lineRule="exact"/>
              <w:ind w:left="164" w:right="160"/>
              <w:rPr>
                <w:rFonts w:ascii="Calibri" w:hAnsi="Calibri"/>
                <w:b/>
                <w:sz w:val="18"/>
                <w:szCs w:val="18"/>
              </w:rPr>
            </w:pPr>
            <w:r w:rsidRPr="000B5D8B">
              <w:rPr>
                <w:rFonts w:ascii="Calibri" w:hAnsi="Calibri"/>
                <w:b/>
                <w:sz w:val="18"/>
                <w:szCs w:val="18"/>
              </w:rPr>
              <w:t>Component 3, Angola-related gender analysis with respect to the regional and global components of the DSL IP Child Project:</w:t>
            </w:r>
          </w:p>
          <w:p w14:paraId="132F84EC" w14:textId="0274407A" w:rsidR="009563B4" w:rsidRPr="000B5D8B" w:rsidRDefault="009563B4" w:rsidP="00C53A49">
            <w:pPr>
              <w:pStyle w:val="TableParagraph"/>
              <w:numPr>
                <w:ilvl w:val="0"/>
                <w:numId w:val="10"/>
              </w:numPr>
              <w:spacing w:line="224" w:lineRule="exact"/>
              <w:ind w:left="524" w:right="160"/>
              <w:rPr>
                <w:rFonts w:ascii="Calibri" w:hAnsi="Calibri"/>
                <w:bCs/>
                <w:sz w:val="18"/>
                <w:szCs w:val="18"/>
              </w:rPr>
            </w:pPr>
            <w:r w:rsidRPr="000B5D8B">
              <w:rPr>
                <w:rFonts w:ascii="Calibri" w:hAnsi="Calibri"/>
                <w:b/>
                <w:sz w:val="18"/>
                <w:szCs w:val="18"/>
              </w:rPr>
              <w:t>Women’s participation in the regional river basin committees is more or less balanced</w:t>
            </w:r>
            <w:r w:rsidRPr="000B5D8B">
              <w:rPr>
                <w:rFonts w:ascii="Calibri" w:hAnsi="Calibri"/>
                <w:bCs/>
                <w:sz w:val="18"/>
                <w:szCs w:val="18"/>
              </w:rPr>
              <w:t xml:space="preserve">, according to </w:t>
            </w:r>
            <w:r w:rsidR="00BB19FF" w:rsidRPr="000B5D8B">
              <w:rPr>
                <w:rFonts w:ascii="Calibri" w:hAnsi="Calibri"/>
                <w:bCs/>
                <w:sz w:val="18"/>
                <w:szCs w:val="18"/>
              </w:rPr>
              <w:t>the data</w:t>
            </w:r>
            <w:r w:rsidRPr="000B5D8B">
              <w:rPr>
                <w:rFonts w:ascii="Calibri" w:hAnsi="Calibri"/>
                <w:bCs/>
                <w:sz w:val="18"/>
                <w:szCs w:val="18"/>
              </w:rPr>
              <w:t>:</w:t>
            </w:r>
          </w:p>
          <w:p w14:paraId="210B0E94" w14:textId="1FBF3F70" w:rsidR="009563B4" w:rsidRPr="000B5D8B" w:rsidRDefault="009563B4" w:rsidP="001667C6">
            <w:pPr>
              <w:pStyle w:val="TableParagraph"/>
              <w:numPr>
                <w:ilvl w:val="1"/>
                <w:numId w:val="75"/>
              </w:numPr>
              <w:tabs>
                <w:tab w:val="left" w:pos="851"/>
              </w:tabs>
              <w:spacing w:line="224" w:lineRule="exact"/>
              <w:ind w:left="1134" w:right="160" w:hanging="567"/>
              <w:rPr>
                <w:rFonts w:ascii="Calibri" w:hAnsi="Calibri"/>
                <w:b/>
                <w:sz w:val="18"/>
                <w:szCs w:val="18"/>
              </w:rPr>
            </w:pPr>
            <w:r w:rsidRPr="000B5D8B">
              <w:rPr>
                <w:rFonts w:ascii="Calibri" w:hAnsi="Calibri"/>
                <w:bCs/>
                <w:sz w:val="18"/>
                <w:szCs w:val="18"/>
              </w:rPr>
              <w:t>Okavango Basin Steering Committee (OBSC): (members: n=</w:t>
            </w:r>
            <w:r w:rsidR="2DAE0902" w:rsidRPr="000B5D8B">
              <w:rPr>
                <w:rFonts w:ascii="Calibri" w:hAnsi="Calibri"/>
                <w:sz w:val="18"/>
                <w:szCs w:val="18"/>
              </w:rPr>
              <w:t>7</w:t>
            </w:r>
            <w:r w:rsidRPr="000B5D8B">
              <w:rPr>
                <w:rFonts w:ascii="Calibri" w:hAnsi="Calibri"/>
                <w:bCs/>
                <w:sz w:val="18"/>
                <w:szCs w:val="18"/>
              </w:rPr>
              <w:t xml:space="preserve">, of which </w:t>
            </w:r>
            <w:r w:rsidR="4A4202C0" w:rsidRPr="000B5D8B">
              <w:rPr>
                <w:rFonts w:ascii="Calibri" w:hAnsi="Calibri"/>
                <w:sz w:val="18"/>
                <w:szCs w:val="18"/>
              </w:rPr>
              <w:t>3</w:t>
            </w:r>
            <w:r w:rsidRPr="000B5D8B">
              <w:rPr>
                <w:rFonts w:ascii="Calibri" w:hAnsi="Calibri"/>
                <w:bCs/>
                <w:sz w:val="18"/>
                <w:szCs w:val="18"/>
              </w:rPr>
              <w:t xml:space="preserve"> are female).</w:t>
            </w:r>
          </w:p>
          <w:p w14:paraId="3400369B" w14:textId="2A1ACB35" w:rsidR="009563B4" w:rsidRPr="000B5D8B" w:rsidRDefault="009563B4" w:rsidP="001667C6">
            <w:pPr>
              <w:pStyle w:val="TableParagraph"/>
              <w:numPr>
                <w:ilvl w:val="1"/>
                <w:numId w:val="75"/>
              </w:numPr>
              <w:tabs>
                <w:tab w:val="left" w:pos="851"/>
              </w:tabs>
              <w:spacing w:line="224" w:lineRule="exact"/>
              <w:ind w:left="1134" w:right="160" w:hanging="567"/>
              <w:rPr>
                <w:rFonts w:ascii="Calibri" w:hAnsi="Calibri"/>
                <w:bCs/>
                <w:sz w:val="18"/>
                <w:szCs w:val="18"/>
              </w:rPr>
            </w:pPr>
            <w:r w:rsidRPr="000B5D8B">
              <w:rPr>
                <w:rFonts w:ascii="Calibri" w:hAnsi="Calibri"/>
                <w:bCs/>
                <w:sz w:val="18"/>
                <w:szCs w:val="18"/>
              </w:rPr>
              <w:t>Permanent Okavango River Basin Water Commission (OKACOM</w:t>
            </w:r>
            <w:r w:rsidR="000B5D8B" w:rsidRPr="000B5D8B">
              <w:rPr>
                <w:rFonts w:ascii="Calibri" w:hAnsi="Calibri"/>
                <w:bCs/>
                <w:sz w:val="18"/>
                <w:szCs w:val="18"/>
              </w:rPr>
              <w:t xml:space="preserve"> Secretariat</w:t>
            </w:r>
            <w:r w:rsidRPr="000B5D8B">
              <w:rPr>
                <w:rFonts w:ascii="Calibri" w:hAnsi="Calibri"/>
                <w:bCs/>
                <w:sz w:val="18"/>
                <w:szCs w:val="18"/>
              </w:rPr>
              <w:t>) (members: n=</w:t>
            </w:r>
            <w:r w:rsidR="000B5D8B" w:rsidRPr="000B5D8B">
              <w:rPr>
                <w:rFonts w:ascii="Calibri" w:hAnsi="Calibri"/>
                <w:bCs/>
                <w:sz w:val="18"/>
                <w:szCs w:val="18"/>
              </w:rPr>
              <w:t>14</w:t>
            </w:r>
            <w:r w:rsidRPr="000B5D8B">
              <w:rPr>
                <w:rFonts w:ascii="Calibri" w:hAnsi="Calibri"/>
                <w:bCs/>
                <w:sz w:val="18"/>
                <w:szCs w:val="18"/>
              </w:rPr>
              <w:t xml:space="preserve">, of which </w:t>
            </w:r>
            <w:r w:rsidR="000B5D8B" w:rsidRPr="000B5D8B">
              <w:rPr>
                <w:rFonts w:ascii="Calibri" w:hAnsi="Calibri"/>
                <w:bCs/>
                <w:sz w:val="18"/>
                <w:szCs w:val="18"/>
              </w:rPr>
              <w:t>7</w:t>
            </w:r>
            <w:r w:rsidRPr="000B5D8B">
              <w:rPr>
                <w:rFonts w:ascii="Calibri" w:hAnsi="Calibri"/>
                <w:bCs/>
                <w:sz w:val="18"/>
                <w:szCs w:val="18"/>
              </w:rPr>
              <w:t xml:space="preserve"> are female).</w:t>
            </w:r>
          </w:p>
          <w:p w14:paraId="073BAF01" w14:textId="4AC2A978" w:rsidR="009563B4" w:rsidRPr="002228A2" w:rsidRDefault="009563B4" w:rsidP="001667C6">
            <w:pPr>
              <w:pStyle w:val="TableParagraph"/>
              <w:numPr>
                <w:ilvl w:val="1"/>
                <w:numId w:val="75"/>
              </w:numPr>
              <w:tabs>
                <w:tab w:val="left" w:pos="851"/>
              </w:tabs>
              <w:spacing w:line="224" w:lineRule="exact"/>
              <w:ind w:left="1134" w:right="160" w:hanging="567"/>
              <w:rPr>
                <w:rFonts w:ascii="Calibri" w:hAnsi="Calibri"/>
                <w:bCs/>
                <w:sz w:val="18"/>
                <w:szCs w:val="18"/>
              </w:rPr>
            </w:pPr>
            <w:r w:rsidRPr="000B5D8B">
              <w:rPr>
                <w:rFonts w:ascii="Calibri" w:hAnsi="Calibri"/>
                <w:bCs/>
                <w:sz w:val="18"/>
                <w:szCs w:val="18"/>
              </w:rPr>
              <w:t>Angola-Namibia Joint Permanent Technical Commission on the Kunene River Basin (PJTC): (members: n=</w:t>
            </w:r>
            <w:r w:rsidR="7E015F31" w:rsidRPr="000B5D8B">
              <w:rPr>
                <w:rFonts w:ascii="Calibri" w:hAnsi="Calibri"/>
                <w:sz w:val="18"/>
                <w:szCs w:val="18"/>
              </w:rPr>
              <w:t>6</w:t>
            </w:r>
            <w:r w:rsidRPr="000B5D8B">
              <w:rPr>
                <w:rFonts w:ascii="Calibri" w:hAnsi="Calibri"/>
                <w:bCs/>
                <w:sz w:val="18"/>
                <w:szCs w:val="18"/>
              </w:rPr>
              <w:t xml:space="preserve">, of which </w:t>
            </w:r>
            <w:r w:rsidR="57A2280A" w:rsidRPr="000B5D8B">
              <w:rPr>
                <w:rFonts w:ascii="Calibri" w:hAnsi="Calibri"/>
                <w:sz w:val="18"/>
                <w:szCs w:val="18"/>
              </w:rPr>
              <w:t>2</w:t>
            </w:r>
            <w:r w:rsidRPr="000B5D8B">
              <w:rPr>
                <w:rFonts w:ascii="Calibri" w:hAnsi="Calibri"/>
                <w:sz w:val="18"/>
                <w:szCs w:val="18"/>
              </w:rPr>
              <w:t xml:space="preserve"> </w:t>
            </w:r>
            <w:r w:rsidRPr="000B5D8B">
              <w:rPr>
                <w:rFonts w:ascii="Calibri" w:hAnsi="Calibri"/>
                <w:bCs/>
                <w:sz w:val="18"/>
                <w:szCs w:val="18"/>
              </w:rPr>
              <w:t>are female).</w:t>
            </w:r>
          </w:p>
        </w:tc>
      </w:tr>
    </w:tbl>
    <w:p w14:paraId="27061B4E" w14:textId="77777777" w:rsidR="009563B4" w:rsidRPr="00CE1EA7" w:rsidRDefault="009563B4" w:rsidP="009563B4">
      <w:pPr>
        <w:rPr>
          <w:sz w:val="2"/>
          <w:szCs w:val="2"/>
        </w:rPr>
      </w:pPr>
    </w:p>
    <w:p w14:paraId="5A3928D3" w14:textId="5DE01B3D" w:rsidR="007A2BD0" w:rsidRDefault="007A2BD0">
      <w:r>
        <w:br w:type="page"/>
      </w:r>
    </w:p>
    <w:tbl>
      <w:tblPr>
        <w:tblStyle w:val="TableGrid"/>
        <w:tblW w:w="5029" w:type="pct"/>
        <w:tblLook w:val="04A0" w:firstRow="1" w:lastRow="0" w:firstColumn="1" w:lastColumn="0" w:noHBand="0" w:noVBand="1"/>
      </w:tblPr>
      <w:tblGrid>
        <w:gridCol w:w="4958"/>
        <w:gridCol w:w="3827"/>
        <w:gridCol w:w="3401"/>
        <w:gridCol w:w="1843"/>
      </w:tblGrid>
      <w:tr w:rsidR="007A2BD0" w:rsidRPr="007A2BD0" w14:paraId="576BB630" w14:textId="77777777" w:rsidTr="007A2BD0">
        <w:trPr>
          <w:tblHeader/>
        </w:trPr>
        <w:tc>
          <w:tcPr>
            <w:tcW w:w="5000" w:type="pct"/>
            <w:gridSpan w:val="4"/>
            <w:shd w:val="clear" w:color="auto" w:fill="000000" w:themeFill="text1"/>
            <w:tcMar>
              <w:left w:w="57" w:type="dxa"/>
              <w:right w:w="28" w:type="dxa"/>
            </w:tcMar>
          </w:tcPr>
          <w:p w14:paraId="561AA654" w14:textId="40DA2731" w:rsidR="007A2BD0" w:rsidRPr="007A2BD0" w:rsidRDefault="007A2BD0" w:rsidP="007A2BD0">
            <w:pPr>
              <w:jc w:val="center"/>
              <w:rPr>
                <w:rFonts w:asciiTheme="minorHAnsi" w:hAnsiTheme="minorHAnsi" w:cstheme="minorHAnsi"/>
                <w:b/>
                <w:bCs/>
                <w:sz w:val="22"/>
                <w:szCs w:val="22"/>
              </w:rPr>
            </w:pPr>
            <w:r w:rsidRPr="007A2BD0">
              <w:rPr>
                <w:rFonts w:asciiTheme="minorHAnsi" w:hAnsiTheme="minorHAnsi" w:cstheme="minorHAnsi"/>
                <w:b/>
                <w:bCs/>
                <w:sz w:val="22"/>
                <w:szCs w:val="22"/>
              </w:rPr>
              <w:lastRenderedPageBreak/>
              <w:t>Gender Action Plan</w:t>
            </w:r>
          </w:p>
        </w:tc>
      </w:tr>
      <w:tr w:rsidR="009563B4" w:rsidRPr="002D473C" w14:paraId="363D25C1" w14:textId="77777777" w:rsidTr="00CC1CA2">
        <w:trPr>
          <w:tblHeader/>
        </w:trPr>
        <w:tc>
          <w:tcPr>
            <w:tcW w:w="1767" w:type="pct"/>
            <w:shd w:val="clear" w:color="auto" w:fill="auto"/>
            <w:tcMar>
              <w:left w:w="57" w:type="dxa"/>
              <w:right w:w="28" w:type="dxa"/>
            </w:tcMar>
          </w:tcPr>
          <w:p w14:paraId="30523DD4" w14:textId="77777777" w:rsidR="009563B4" w:rsidRPr="002D473C" w:rsidRDefault="009563B4" w:rsidP="00481CA4">
            <w:pPr>
              <w:rPr>
                <w:rFonts w:asciiTheme="minorHAnsi" w:hAnsiTheme="minorHAnsi" w:cstheme="minorHAnsi"/>
                <w:b/>
                <w:bCs/>
                <w:sz w:val="18"/>
                <w:szCs w:val="18"/>
              </w:rPr>
            </w:pPr>
            <w:r w:rsidRPr="002D473C">
              <w:rPr>
                <w:rFonts w:asciiTheme="minorHAnsi" w:hAnsiTheme="minorHAnsi" w:cstheme="minorHAnsi"/>
                <w:b/>
                <w:bCs/>
                <w:sz w:val="18"/>
                <w:szCs w:val="18"/>
              </w:rPr>
              <w:t>Strategic Goal/ Activities</w:t>
            </w:r>
          </w:p>
        </w:tc>
        <w:tc>
          <w:tcPr>
            <w:tcW w:w="1364" w:type="pct"/>
            <w:shd w:val="clear" w:color="auto" w:fill="auto"/>
            <w:tcMar>
              <w:left w:w="57" w:type="dxa"/>
              <w:right w:w="28" w:type="dxa"/>
            </w:tcMar>
          </w:tcPr>
          <w:p w14:paraId="5E1AB439" w14:textId="0C1E565A" w:rsidR="009563B4" w:rsidRPr="002D473C" w:rsidRDefault="009563B4" w:rsidP="00481CA4">
            <w:pPr>
              <w:rPr>
                <w:rFonts w:asciiTheme="minorHAnsi" w:hAnsiTheme="minorHAnsi" w:cstheme="minorHAnsi"/>
                <w:b/>
                <w:bCs/>
                <w:sz w:val="18"/>
                <w:szCs w:val="18"/>
              </w:rPr>
            </w:pPr>
            <w:r w:rsidRPr="002D473C">
              <w:rPr>
                <w:rFonts w:asciiTheme="minorHAnsi" w:hAnsiTheme="minorHAnsi" w:cstheme="minorHAnsi"/>
                <w:b/>
                <w:bCs/>
                <w:sz w:val="18"/>
                <w:szCs w:val="18"/>
              </w:rPr>
              <w:t xml:space="preserve">Detailed description / </w:t>
            </w:r>
            <w:r w:rsidR="00643D79">
              <w:rPr>
                <w:rFonts w:asciiTheme="minorHAnsi" w:hAnsiTheme="minorHAnsi" w:cstheme="minorHAnsi"/>
                <w:b/>
                <w:bCs/>
                <w:sz w:val="18"/>
                <w:szCs w:val="18"/>
              </w:rPr>
              <w:t>t</w:t>
            </w:r>
            <w:r w:rsidRPr="002D473C">
              <w:rPr>
                <w:rFonts w:asciiTheme="minorHAnsi" w:hAnsiTheme="minorHAnsi" w:cstheme="minorHAnsi"/>
                <w:b/>
                <w:bCs/>
                <w:sz w:val="18"/>
                <w:szCs w:val="18"/>
              </w:rPr>
              <w:t>imeline</w:t>
            </w:r>
          </w:p>
        </w:tc>
        <w:tc>
          <w:tcPr>
            <w:tcW w:w="1212" w:type="pct"/>
            <w:shd w:val="clear" w:color="auto" w:fill="auto"/>
            <w:tcMar>
              <w:left w:w="57" w:type="dxa"/>
              <w:right w:w="28" w:type="dxa"/>
            </w:tcMar>
          </w:tcPr>
          <w:p w14:paraId="4180D01D" w14:textId="77777777" w:rsidR="009563B4" w:rsidRPr="002D473C" w:rsidRDefault="009563B4" w:rsidP="00481CA4">
            <w:pPr>
              <w:rPr>
                <w:rFonts w:asciiTheme="minorHAnsi" w:hAnsiTheme="minorHAnsi" w:cstheme="minorHAnsi"/>
                <w:b/>
                <w:bCs/>
                <w:sz w:val="18"/>
                <w:szCs w:val="18"/>
              </w:rPr>
            </w:pPr>
            <w:r w:rsidRPr="002D473C">
              <w:rPr>
                <w:rFonts w:asciiTheme="minorHAnsi" w:hAnsiTheme="minorHAnsi" w:cstheme="minorHAnsi"/>
                <w:b/>
                <w:bCs/>
                <w:sz w:val="18"/>
                <w:szCs w:val="18"/>
              </w:rPr>
              <w:t>Indicators and targets</w:t>
            </w:r>
          </w:p>
        </w:tc>
        <w:tc>
          <w:tcPr>
            <w:tcW w:w="657" w:type="pct"/>
            <w:shd w:val="clear" w:color="auto" w:fill="auto"/>
            <w:tcMar>
              <w:left w:w="57" w:type="dxa"/>
              <w:right w:w="28" w:type="dxa"/>
            </w:tcMar>
          </w:tcPr>
          <w:p w14:paraId="05BCC779" w14:textId="77777777" w:rsidR="009563B4" w:rsidRPr="002D473C" w:rsidRDefault="009563B4" w:rsidP="00481CA4">
            <w:pPr>
              <w:rPr>
                <w:rFonts w:asciiTheme="minorHAnsi" w:hAnsiTheme="minorHAnsi" w:cstheme="minorHAnsi"/>
                <w:b/>
                <w:bCs/>
                <w:sz w:val="18"/>
                <w:szCs w:val="18"/>
              </w:rPr>
            </w:pPr>
            <w:r w:rsidRPr="002D473C">
              <w:rPr>
                <w:rFonts w:asciiTheme="minorHAnsi" w:hAnsiTheme="minorHAnsi" w:cstheme="minorHAnsi"/>
                <w:b/>
                <w:bCs/>
                <w:sz w:val="18"/>
                <w:szCs w:val="18"/>
              </w:rPr>
              <w:t>Budget</w:t>
            </w:r>
          </w:p>
        </w:tc>
      </w:tr>
      <w:tr w:rsidR="009563B4" w:rsidRPr="002D473C" w14:paraId="46931C7F" w14:textId="77777777" w:rsidTr="00CC1CA2">
        <w:tc>
          <w:tcPr>
            <w:tcW w:w="1767" w:type="pct"/>
            <w:shd w:val="clear" w:color="auto" w:fill="auto"/>
            <w:tcMar>
              <w:left w:w="57" w:type="dxa"/>
              <w:right w:w="28" w:type="dxa"/>
            </w:tcMar>
          </w:tcPr>
          <w:p w14:paraId="62DE2AD0" w14:textId="77777777" w:rsidR="009563B4" w:rsidRPr="002D473C" w:rsidRDefault="009563B4" w:rsidP="00481CA4">
            <w:pPr>
              <w:rPr>
                <w:rFonts w:asciiTheme="minorHAnsi" w:hAnsiTheme="minorHAnsi" w:cstheme="minorHAnsi"/>
                <w:b/>
                <w:bCs/>
                <w:i/>
                <w:iCs/>
                <w:sz w:val="18"/>
                <w:szCs w:val="18"/>
              </w:rPr>
            </w:pPr>
            <w:r w:rsidRPr="002D473C">
              <w:rPr>
                <w:rFonts w:asciiTheme="minorHAnsi" w:hAnsiTheme="minorHAnsi" w:cstheme="minorHAnsi"/>
                <w:b/>
                <w:bCs/>
                <w:i/>
                <w:iCs/>
                <w:sz w:val="18"/>
                <w:szCs w:val="18"/>
              </w:rPr>
              <w:t>1. Ensure sustainability of land use and agricultural and pastoral production</w:t>
            </w:r>
          </w:p>
        </w:tc>
        <w:tc>
          <w:tcPr>
            <w:tcW w:w="1364" w:type="pct"/>
            <w:shd w:val="clear" w:color="auto" w:fill="auto"/>
            <w:tcMar>
              <w:left w:w="57" w:type="dxa"/>
              <w:right w:w="28" w:type="dxa"/>
            </w:tcMar>
          </w:tcPr>
          <w:p w14:paraId="001D5544" w14:textId="77777777" w:rsidR="009563B4" w:rsidRPr="002D473C" w:rsidRDefault="009563B4" w:rsidP="00481CA4">
            <w:pPr>
              <w:rPr>
                <w:rFonts w:asciiTheme="minorHAnsi" w:hAnsiTheme="minorHAnsi" w:cstheme="minorHAnsi"/>
                <w:b/>
                <w:bCs/>
                <w:i/>
                <w:iCs/>
                <w:sz w:val="18"/>
                <w:szCs w:val="18"/>
              </w:rPr>
            </w:pPr>
            <w:r w:rsidRPr="002D473C">
              <w:rPr>
                <w:rFonts w:asciiTheme="minorHAnsi" w:hAnsiTheme="minorHAnsi" w:cstheme="minorHAnsi"/>
                <w:b/>
                <w:bCs/>
                <w:i/>
                <w:iCs/>
                <w:sz w:val="18"/>
                <w:szCs w:val="18"/>
              </w:rPr>
              <w:t>[as below]</w:t>
            </w:r>
          </w:p>
        </w:tc>
        <w:tc>
          <w:tcPr>
            <w:tcW w:w="1212" w:type="pct"/>
            <w:shd w:val="clear" w:color="auto" w:fill="auto"/>
            <w:tcMar>
              <w:left w:w="57" w:type="dxa"/>
              <w:right w:w="28" w:type="dxa"/>
            </w:tcMar>
          </w:tcPr>
          <w:p w14:paraId="005CD42B" w14:textId="77777777" w:rsidR="009563B4" w:rsidRPr="002D473C" w:rsidRDefault="009563B4" w:rsidP="00481CA4">
            <w:pPr>
              <w:rPr>
                <w:rFonts w:asciiTheme="minorHAnsi" w:hAnsiTheme="minorHAnsi" w:cstheme="minorHAnsi"/>
                <w:b/>
                <w:bCs/>
                <w:i/>
                <w:iCs/>
                <w:sz w:val="18"/>
                <w:szCs w:val="18"/>
              </w:rPr>
            </w:pPr>
            <w:r w:rsidRPr="002D473C">
              <w:rPr>
                <w:rFonts w:asciiTheme="minorHAnsi" w:hAnsiTheme="minorHAnsi" w:cstheme="minorHAnsi"/>
                <w:b/>
                <w:bCs/>
                <w:i/>
                <w:iCs/>
                <w:sz w:val="18"/>
                <w:szCs w:val="18"/>
              </w:rPr>
              <w:t>[as below]</w:t>
            </w:r>
          </w:p>
        </w:tc>
        <w:tc>
          <w:tcPr>
            <w:tcW w:w="657" w:type="pct"/>
            <w:shd w:val="clear" w:color="auto" w:fill="auto"/>
            <w:tcMar>
              <w:left w:w="57" w:type="dxa"/>
              <w:right w:w="28" w:type="dxa"/>
            </w:tcMar>
          </w:tcPr>
          <w:p w14:paraId="04442D86" w14:textId="77777777" w:rsidR="009563B4" w:rsidRPr="002D473C" w:rsidRDefault="009563B4" w:rsidP="00481CA4">
            <w:pPr>
              <w:rPr>
                <w:rFonts w:asciiTheme="minorHAnsi" w:hAnsiTheme="minorHAnsi" w:cstheme="minorHAnsi"/>
                <w:b/>
                <w:bCs/>
                <w:i/>
                <w:iCs/>
                <w:sz w:val="18"/>
                <w:szCs w:val="18"/>
              </w:rPr>
            </w:pPr>
          </w:p>
        </w:tc>
      </w:tr>
      <w:tr w:rsidR="009563B4" w:rsidRPr="002D473C" w14:paraId="6F76EE33" w14:textId="77777777" w:rsidTr="00CC1CA2">
        <w:tc>
          <w:tcPr>
            <w:tcW w:w="1767" w:type="pct"/>
            <w:shd w:val="clear" w:color="auto" w:fill="auto"/>
            <w:tcMar>
              <w:left w:w="57" w:type="dxa"/>
              <w:right w:w="28" w:type="dxa"/>
            </w:tcMar>
          </w:tcPr>
          <w:p w14:paraId="14B91C7F" w14:textId="76547E54" w:rsidR="009563B4" w:rsidRPr="002D473C" w:rsidRDefault="009563B4" w:rsidP="00481CA4">
            <w:pPr>
              <w:rPr>
                <w:rFonts w:asciiTheme="minorHAnsi" w:hAnsiTheme="minorHAnsi" w:cstheme="minorHAnsi"/>
                <w:sz w:val="18"/>
                <w:szCs w:val="18"/>
              </w:rPr>
            </w:pPr>
            <w:r w:rsidRPr="002D473C">
              <w:rPr>
                <w:rFonts w:asciiTheme="minorHAnsi" w:hAnsiTheme="minorHAnsi" w:cstheme="minorHAnsi"/>
                <w:sz w:val="18"/>
                <w:szCs w:val="18"/>
              </w:rPr>
              <w:t>1.1 Collect national and regional level gender</w:t>
            </w:r>
            <w:r w:rsidR="00826029">
              <w:rPr>
                <w:rFonts w:asciiTheme="minorHAnsi" w:hAnsiTheme="minorHAnsi" w:cstheme="minorHAnsi"/>
                <w:sz w:val="18"/>
                <w:szCs w:val="18"/>
              </w:rPr>
              <w:t>-</w:t>
            </w:r>
            <w:r w:rsidRPr="002D473C">
              <w:rPr>
                <w:rFonts w:asciiTheme="minorHAnsi" w:hAnsiTheme="minorHAnsi" w:cstheme="minorHAnsi"/>
                <w:sz w:val="18"/>
                <w:szCs w:val="18"/>
              </w:rPr>
              <w:t>parity data</w:t>
            </w:r>
            <w:r w:rsidR="00C5768A">
              <w:rPr>
                <w:rFonts w:asciiTheme="minorHAnsi" w:hAnsiTheme="minorHAnsi" w:cstheme="minorHAnsi"/>
                <w:sz w:val="18"/>
                <w:szCs w:val="18"/>
              </w:rPr>
              <w:t xml:space="preserve"> and </w:t>
            </w:r>
            <w:r w:rsidR="00327452">
              <w:rPr>
                <w:rFonts w:asciiTheme="minorHAnsi" w:hAnsiTheme="minorHAnsi" w:cstheme="minorHAnsi"/>
                <w:sz w:val="18"/>
                <w:szCs w:val="18"/>
              </w:rPr>
              <w:t>gender participa</w:t>
            </w:r>
            <w:r w:rsidR="00C5768A">
              <w:rPr>
                <w:rFonts w:asciiTheme="minorHAnsi" w:hAnsiTheme="minorHAnsi" w:cstheme="minorHAnsi"/>
                <w:sz w:val="18"/>
                <w:szCs w:val="18"/>
              </w:rPr>
              <w:t>cipation</w:t>
            </w:r>
          </w:p>
        </w:tc>
        <w:tc>
          <w:tcPr>
            <w:tcW w:w="1364" w:type="pct"/>
            <w:shd w:val="clear" w:color="auto" w:fill="auto"/>
            <w:tcMar>
              <w:left w:w="57" w:type="dxa"/>
              <w:right w:w="28" w:type="dxa"/>
            </w:tcMar>
          </w:tcPr>
          <w:p w14:paraId="1C86F075" w14:textId="77777777" w:rsidR="009563B4" w:rsidRPr="002D473C" w:rsidRDefault="009563B4" w:rsidP="00481CA4">
            <w:pPr>
              <w:rPr>
                <w:rFonts w:asciiTheme="minorHAnsi" w:hAnsiTheme="minorHAnsi" w:cstheme="minorHAnsi"/>
                <w:sz w:val="18"/>
                <w:szCs w:val="18"/>
              </w:rPr>
            </w:pPr>
            <w:r w:rsidRPr="002D473C">
              <w:rPr>
                <w:rFonts w:asciiTheme="minorHAnsi" w:hAnsiTheme="minorHAnsi" w:cstheme="minorHAnsi"/>
                <w:sz w:val="18"/>
                <w:szCs w:val="18"/>
              </w:rPr>
              <w:t>Targeted surveys (electronic where needed)</w:t>
            </w:r>
          </w:p>
        </w:tc>
        <w:tc>
          <w:tcPr>
            <w:tcW w:w="1212" w:type="pct"/>
            <w:shd w:val="clear" w:color="auto" w:fill="auto"/>
            <w:tcMar>
              <w:left w:w="57" w:type="dxa"/>
              <w:right w:w="28" w:type="dxa"/>
            </w:tcMar>
          </w:tcPr>
          <w:p w14:paraId="115661AC" w14:textId="4F3478B1" w:rsidR="009563B4" w:rsidRPr="007C7D70" w:rsidRDefault="009602BB" w:rsidP="00481CA4">
            <w:pPr>
              <w:rPr>
                <w:rFonts w:asciiTheme="minorHAnsi" w:hAnsiTheme="minorHAnsi" w:cstheme="minorHAnsi"/>
                <w:sz w:val="18"/>
                <w:szCs w:val="18"/>
              </w:rPr>
            </w:pPr>
            <w:r w:rsidRPr="007C7D70">
              <w:rPr>
                <w:rFonts w:asciiTheme="minorHAnsi" w:hAnsiTheme="minorHAnsi" w:cstheme="minorHAnsi"/>
                <w:sz w:val="18"/>
                <w:szCs w:val="18"/>
              </w:rPr>
              <w:t>I</w:t>
            </w:r>
            <w:r w:rsidR="009563B4" w:rsidRPr="007C7D70">
              <w:rPr>
                <w:rFonts w:asciiTheme="minorHAnsi" w:hAnsiTheme="minorHAnsi" w:cstheme="minorHAnsi"/>
                <w:sz w:val="18"/>
                <w:szCs w:val="18"/>
              </w:rPr>
              <w:t>nception</w:t>
            </w:r>
          </w:p>
        </w:tc>
        <w:tc>
          <w:tcPr>
            <w:tcW w:w="657" w:type="pct"/>
            <w:shd w:val="clear" w:color="auto" w:fill="auto"/>
            <w:tcMar>
              <w:left w:w="57" w:type="dxa"/>
              <w:right w:w="28" w:type="dxa"/>
            </w:tcMar>
          </w:tcPr>
          <w:p w14:paraId="39EDB649" w14:textId="129A80B3" w:rsidR="009563B4" w:rsidRPr="002D473C" w:rsidRDefault="00852297" w:rsidP="00481CA4">
            <w:pPr>
              <w:rPr>
                <w:rFonts w:asciiTheme="minorHAnsi" w:hAnsiTheme="minorHAnsi" w:cstheme="minorHAnsi"/>
                <w:sz w:val="18"/>
                <w:szCs w:val="18"/>
                <w:highlight w:val="magenta"/>
              </w:rPr>
            </w:pPr>
            <w:r>
              <w:rPr>
                <w:rFonts w:asciiTheme="minorHAnsi" w:hAnsiTheme="minorHAnsi" w:cstheme="minorHAnsi"/>
                <w:sz w:val="18"/>
                <w:szCs w:val="18"/>
              </w:rPr>
              <w:t xml:space="preserve">Allocated under </w:t>
            </w:r>
            <w:r w:rsidR="00D55937">
              <w:rPr>
                <w:rFonts w:asciiTheme="minorHAnsi" w:hAnsiTheme="minorHAnsi" w:cstheme="minorHAnsi"/>
                <w:sz w:val="18"/>
                <w:szCs w:val="18"/>
              </w:rPr>
              <w:t>Outcome</w:t>
            </w:r>
            <w:r>
              <w:rPr>
                <w:rFonts w:asciiTheme="minorHAnsi" w:hAnsiTheme="minorHAnsi" w:cstheme="minorHAnsi"/>
                <w:sz w:val="18"/>
                <w:szCs w:val="18"/>
              </w:rPr>
              <w:t xml:space="preserve"> </w:t>
            </w:r>
            <w:r w:rsidR="00B564E0">
              <w:rPr>
                <w:rFonts w:asciiTheme="minorHAnsi" w:hAnsiTheme="minorHAnsi" w:cstheme="minorHAnsi"/>
                <w:sz w:val="18"/>
                <w:szCs w:val="18"/>
              </w:rPr>
              <w:t>2</w:t>
            </w:r>
            <w:r>
              <w:rPr>
                <w:rFonts w:asciiTheme="minorHAnsi" w:hAnsiTheme="minorHAnsi" w:cstheme="minorHAnsi"/>
                <w:sz w:val="18"/>
                <w:szCs w:val="18"/>
              </w:rPr>
              <w:t>.1</w:t>
            </w:r>
          </w:p>
        </w:tc>
      </w:tr>
      <w:tr w:rsidR="009563B4" w:rsidRPr="002D473C" w14:paraId="70EA2348" w14:textId="77777777" w:rsidTr="00CC1CA2">
        <w:tc>
          <w:tcPr>
            <w:tcW w:w="1767" w:type="pct"/>
            <w:shd w:val="clear" w:color="auto" w:fill="auto"/>
            <w:tcMar>
              <w:left w:w="57" w:type="dxa"/>
              <w:right w:w="28" w:type="dxa"/>
            </w:tcMar>
          </w:tcPr>
          <w:p w14:paraId="409D1902" w14:textId="77777777" w:rsidR="009563B4" w:rsidRPr="000639B7" w:rsidRDefault="009563B4" w:rsidP="00481CA4">
            <w:pPr>
              <w:rPr>
                <w:rFonts w:asciiTheme="minorHAnsi" w:hAnsiTheme="minorHAnsi" w:cstheme="minorHAnsi"/>
                <w:sz w:val="18"/>
                <w:szCs w:val="18"/>
              </w:rPr>
            </w:pPr>
            <w:r w:rsidRPr="000639B7">
              <w:rPr>
                <w:rFonts w:asciiTheme="minorHAnsi" w:hAnsiTheme="minorHAnsi" w:cstheme="minorHAnsi"/>
                <w:sz w:val="18"/>
                <w:szCs w:val="18"/>
              </w:rPr>
              <w:t>1.2 Conduct a new round of baseline SHARP with due gender and ethnicity sensitivity</w:t>
            </w:r>
          </w:p>
        </w:tc>
        <w:tc>
          <w:tcPr>
            <w:tcW w:w="1364" w:type="pct"/>
            <w:shd w:val="clear" w:color="auto" w:fill="auto"/>
            <w:tcMar>
              <w:left w:w="57" w:type="dxa"/>
              <w:right w:w="28" w:type="dxa"/>
            </w:tcMar>
          </w:tcPr>
          <w:p w14:paraId="65D52C94" w14:textId="2303F9CD" w:rsidR="009563B4" w:rsidRPr="000639B7" w:rsidRDefault="001D6B6F" w:rsidP="00481CA4">
            <w:pPr>
              <w:rPr>
                <w:rFonts w:asciiTheme="minorHAnsi" w:hAnsiTheme="minorHAnsi" w:cstheme="minorHAnsi"/>
                <w:sz w:val="18"/>
                <w:szCs w:val="18"/>
              </w:rPr>
            </w:pPr>
            <w:r w:rsidRPr="000639B7">
              <w:rPr>
                <w:rFonts w:asciiTheme="minorHAnsi" w:hAnsiTheme="minorHAnsi" w:cstheme="minorHAnsi"/>
                <w:sz w:val="18"/>
                <w:szCs w:val="18"/>
              </w:rPr>
              <w:t>Household (</w:t>
            </w:r>
            <w:r w:rsidR="009563B4" w:rsidRPr="000639B7">
              <w:rPr>
                <w:rFonts w:asciiTheme="minorHAnsi" w:hAnsiTheme="minorHAnsi" w:cstheme="minorHAnsi"/>
                <w:sz w:val="18"/>
                <w:szCs w:val="18"/>
              </w:rPr>
              <w:t>HH</w:t>
            </w:r>
            <w:r w:rsidRPr="000639B7">
              <w:rPr>
                <w:rFonts w:asciiTheme="minorHAnsi" w:hAnsiTheme="minorHAnsi" w:cstheme="minorHAnsi"/>
                <w:sz w:val="18"/>
                <w:szCs w:val="18"/>
              </w:rPr>
              <w:t>)</w:t>
            </w:r>
            <w:r w:rsidR="009563B4" w:rsidRPr="000639B7">
              <w:rPr>
                <w:rFonts w:asciiTheme="minorHAnsi" w:hAnsiTheme="minorHAnsi" w:cstheme="minorHAnsi"/>
                <w:sz w:val="18"/>
                <w:szCs w:val="18"/>
              </w:rPr>
              <w:t xml:space="preserve"> survey</w:t>
            </w:r>
            <w:r w:rsidRPr="000639B7">
              <w:rPr>
                <w:rFonts w:asciiTheme="minorHAnsi" w:hAnsiTheme="minorHAnsi" w:cstheme="minorHAnsi"/>
                <w:sz w:val="18"/>
                <w:szCs w:val="18"/>
              </w:rPr>
              <w:t>s</w:t>
            </w:r>
            <w:r w:rsidR="009563B4" w:rsidRPr="000639B7">
              <w:rPr>
                <w:rFonts w:asciiTheme="minorHAnsi" w:hAnsiTheme="minorHAnsi" w:cstheme="minorHAnsi"/>
                <w:sz w:val="18"/>
                <w:szCs w:val="18"/>
              </w:rPr>
              <w:t xml:space="preserve"> using SHARP+ methodology</w:t>
            </w:r>
            <w:r w:rsidRPr="000639B7">
              <w:rPr>
                <w:rFonts w:asciiTheme="minorHAnsi" w:hAnsiTheme="minorHAnsi" w:cstheme="minorHAnsi"/>
                <w:sz w:val="18"/>
                <w:szCs w:val="18"/>
              </w:rPr>
              <w:t>,</w:t>
            </w:r>
            <w:r w:rsidR="009563B4" w:rsidRPr="000639B7">
              <w:rPr>
                <w:rFonts w:asciiTheme="minorHAnsi" w:hAnsiTheme="minorHAnsi" w:cstheme="minorHAnsi"/>
                <w:sz w:val="18"/>
                <w:szCs w:val="18"/>
              </w:rPr>
              <w:t xml:space="preserve"> covering statistically significant number of </w:t>
            </w:r>
            <w:r w:rsidR="00826029" w:rsidRPr="000639B7">
              <w:rPr>
                <w:rFonts w:asciiTheme="minorHAnsi" w:hAnsiTheme="minorHAnsi" w:cstheme="minorHAnsi"/>
                <w:sz w:val="18"/>
                <w:szCs w:val="18"/>
              </w:rPr>
              <w:t>(</w:t>
            </w:r>
            <w:r w:rsidR="009563B4" w:rsidRPr="000639B7">
              <w:rPr>
                <w:rFonts w:asciiTheme="minorHAnsi" w:hAnsiTheme="minorHAnsi" w:cstheme="minorHAnsi"/>
                <w:sz w:val="18"/>
                <w:szCs w:val="18"/>
              </w:rPr>
              <w:t>HHs</w:t>
            </w:r>
            <w:r w:rsidR="00826029" w:rsidRPr="000639B7">
              <w:rPr>
                <w:rFonts w:asciiTheme="minorHAnsi" w:hAnsiTheme="minorHAnsi" w:cstheme="minorHAnsi"/>
                <w:sz w:val="18"/>
                <w:szCs w:val="18"/>
              </w:rPr>
              <w:t>)</w:t>
            </w:r>
            <w:r w:rsidR="009563B4" w:rsidRPr="000639B7">
              <w:rPr>
                <w:rFonts w:asciiTheme="minorHAnsi" w:hAnsiTheme="minorHAnsi" w:cstheme="minorHAnsi"/>
                <w:sz w:val="18"/>
                <w:szCs w:val="18"/>
              </w:rPr>
              <w:t>.</w:t>
            </w:r>
          </w:p>
          <w:p w14:paraId="3E1C1537" w14:textId="77777777" w:rsidR="009563B4" w:rsidRPr="000639B7" w:rsidRDefault="009563B4" w:rsidP="00481CA4">
            <w:pPr>
              <w:rPr>
                <w:rFonts w:asciiTheme="minorHAnsi" w:hAnsiTheme="minorHAnsi" w:cstheme="minorHAnsi"/>
                <w:sz w:val="18"/>
                <w:szCs w:val="18"/>
              </w:rPr>
            </w:pPr>
          </w:p>
          <w:p w14:paraId="3AC504E1" w14:textId="63B39BE0" w:rsidR="009563B4" w:rsidRPr="000639B7" w:rsidRDefault="009563B4" w:rsidP="00481CA4">
            <w:pPr>
              <w:rPr>
                <w:rFonts w:asciiTheme="minorHAnsi" w:hAnsiTheme="minorHAnsi" w:cstheme="minorHAnsi"/>
                <w:sz w:val="18"/>
                <w:szCs w:val="18"/>
              </w:rPr>
            </w:pPr>
            <w:r w:rsidRPr="000639B7">
              <w:rPr>
                <w:rFonts w:asciiTheme="minorHAnsi" w:hAnsiTheme="minorHAnsi" w:cstheme="minorHAnsi"/>
                <w:sz w:val="18"/>
                <w:szCs w:val="18"/>
              </w:rPr>
              <w:t xml:space="preserve">Results at </w:t>
            </w:r>
            <w:r w:rsidR="001D6B6F" w:rsidRPr="000639B7">
              <w:rPr>
                <w:rFonts w:asciiTheme="minorHAnsi" w:hAnsiTheme="minorHAnsi" w:cstheme="minorHAnsi"/>
                <w:sz w:val="18"/>
                <w:szCs w:val="18"/>
              </w:rPr>
              <w:t>project</w:t>
            </w:r>
            <w:r w:rsidRPr="000639B7">
              <w:rPr>
                <w:rFonts w:asciiTheme="minorHAnsi" w:hAnsiTheme="minorHAnsi" w:cstheme="minorHAnsi"/>
                <w:sz w:val="18"/>
                <w:szCs w:val="18"/>
              </w:rPr>
              <w:t xml:space="preserve"> inception will </w:t>
            </w:r>
            <w:r w:rsidR="001D6B6F" w:rsidRPr="000639B7">
              <w:rPr>
                <w:rFonts w:asciiTheme="minorHAnsi" w:hAnsiTheme="minorHAnsi" w:cstheme="minorHAnsi"/>
                <w:sz w:val="18"/>
                <w:szCs w:val="18"/>
              </w:rPr>
              <w:t>replace</w:t>
            </w:r>
            <w:r w:rsidRPr="000639B7">
              <w:rPr>
                <w:rFonts w:asciiTheme="minorHAnsi" w:hAnsiTheme="minorHAnsi" w:cstheme="minorHAnsi"/>
                <w:sz w:val="18"/>
                <w:szCs w:val="18"/>
              </w:rPr>
              <w:t xml:space="preserve"> existing SHARP results, which </w:t>
            </w:r>
            <w:r w:rsidR="001D6B6F" w:rsidRPr="000639B7">
              <w:rPr>
                <w:rFonts w:asciiTheme="minorHAnsi" w:hAnsiTheme="minorHAnsi" w:cstheme="minorHAnsi"/>
                <w:sz w:val="18"/>
                <w:szCs w:val="18"/>
              </w:rPr>
              <w:t>have limitations</w:t>
            </w:r>
            <w:r w:rsidRPr="000639B7">
              <w:rPr>
                <w:rFonts w:asciiTheme="minorHAnsi" w:hAnsiTheme="minorHAnsi" w:cstheme="minorHAnsi"/>
                <w:sz w:val="18"/>
                <w:szCs w:val="18"/>
              </w:rPr>
              <w:t xml:space="preserve">. </w:t>
            </w:r>
          </w:p>
        </w:tc>
        <w:tc>
          <w:tcPr>
            <w:tcW w:w="1212" w:type="pct"/>
            <w:shd w:val="clear" w:color="auto" w:fill="auto"/>
            <w:tcMar>
              <w:left w:w="57" w:type="dxa"/>
              <w:right w:w="28" w:type="dxa"/>
            </w:tcMar>
          </w:tcPr>
          <w:p w14:paraId="33590547" w14:textId="77777777" w:rsidR="009563B4" w:rsidRPr="007C7D70" w:rsidRDefault="009563B4" w:rsidP="00481CA4">
            <w:pPr>
              <w:rPr>
                <w:rFonts w:asciiTheme="minorHAnsi" w:hAnsiTheme="minorHAnsi" w:cstheme="minorHAnsi"/>
                <w:sz w:val="18"/>
                <w:szCs w:val="18"/>
              </w:rPr>
            </w:pPr>
            <w:r w:rsidRPr="007C7D70">
              <w:rPr>
                <w:rFonts w:asciiTheme="minorHAnsi" w:hAnsiTheme="minorHAnsi" w:cstheme="minorHAnsi"/>
                <w:sz w:val="18"/>
                <w:szCs w:val="18"/>
              </w:rPr>
              <w:t>Conclude at least 2 rounds of SHARP survey with due methodological stringency:</w:t>
            </w:r>
          </w:p>
          <w:p w14:paraId="792C50F4" w14:textId="77777777" w:rsidR="009563B4" w:rsidRPr="007C7D70" w:rsidRDefault="009563B4" w:rsidP="00481CA4">
            <w:pPr>
              <w:rPr>
                <w:rFonts w:asciiTheme="minorHAnsi" w:hAnsiTheme="minorHAnsi" w:cstheme="minorHAnsi"/>
                <w:sz w:val="18"/>
                <w:szCs w:val="18"/>
              </w:rPr>
            </w:pPr>
          </w:p>
          <w:p w14:paraId="342A8A84" w14:textId="0A7E3CB8" w:rsidR="009563B4" w:rsidRPr="007C7D70" w:rsidRDefault="009563B4" w:rsidP="00481CA4">
            <w:pPr>
              <w:rPr>
                <w:rFonts w:asciiTheme="minorHAnsi" w:hAnsiTheme="minorHAnsi" w:cstheme="minorHAnsi"/>
                <w:sz w:val="18"/>
                <w:szCs w:val="18"/>
              </w:rPr>
            </w:pPr>
            <w:r w:rsidRPr="007C7D70">
              <w:rPr>
                <w:rFonts w:asciiTheme="minorHAnsi" w:hAnsiTheme="minorHAnsi" w:cstheme="minorHAnsi"/>
                <w:sz w:val="18"/>
                <w:szCs w:val="18"/>
              </w:rPr>
              <w:t xml:space="preserve">- 1 round at </w:t>
            </w:r>
            <w:r w:rsidR="00C752CF" w:rsidRPr="007C7D70">
              <w:rPr>
                <w:rFonts w:asciiTheme="minorHAnsi" w:hAnsiTheme="minorHAnsi" w:cstheme="minorHAnsi"/>
                <w:sz w:val="18"/>
                <w:szCs w:val="18"/>
              </w:rPr>
              <w:t>mid-term</w:t>
            </w:r>
            <w:r w:rsidRPr="007C7D70">
              <w:rPr>
                <w:rFonts w:asciiTheme="minorHAnsi" w:hAnsiTheme="minorHAnsi" w:cstheme="minorHAnsi"/>
                <w:sz w:val="18"/>
                <w:szCs w:val="18"/>
              </w:rPr>
              <w:t xml:space="preserve"> </w:t>
            </w:r>
          </w:p>
          <w:p w14:paraId="5F10B6C1" w14:textId="77777777" w:rsidR="009563B4" w:rsidRPr="007C7D70" w:rsidRDefault="009563B4" w:rsidP="00481CA4">
            <w:pPr>
              <w:rPr>
                <w:rFonts w:asciiTheme="minorHAnsi" w:hAnsiTheme="minorHAnsi" w:cstheme="minorHAnsi"/>
                <w:sz w:val="18"/>
                <w:szCs w:val="18"/>
              </w:rPr>
            </w:pPr>
            <w:r w:rsidRPr="007C7D70">
              <w:rPr>
                <w:rFonts w:asciiTheme="minorHAnsi" w:hAnsiTheme="minorHAnsi" w:cstheme="minorHAnsi"/>
                <w:sz w:val="18"/>
                <w:szCs w:val="18"/>
              </w:rPr>
              <w:t>- 1 round at project end</w:t>
            </w:r>
          </w:p>
          <w:p w14:paraId="1F3FEAEC" w14:textId="77777777" w:rsidR="009563B4" w:rsidRPr="007C7D70" w:rsidRDefault="009563B4" w:rsidP="00481CA4">
            <w:pPr>
              <w:rPr>
                <w:rFonts w:asciiTheme="minorHAnsi" w:hAnsiTheme="minorHAnsi" w:cstheme="minorHAnsi"/>
                <w:sz w:val="18"/>
                <w:szCs w:val="18"/>
              </w:rPr>
            </w:pPr>
          </w:p>
        </w:tc>
        <w:tc>
          <w:tcPr>
            <w:tcW w:w="657" w:type="pct"/>
            <w:shd w:val="clear" w:color="auto" w:fill="auto"/>
            <w:tcMar>
              <w:left w:w="57" w:type="dxa"/>
              <w:right w:w="28" w:type="dxa"/>
            </w:tcMar>
          </w:tcPr>
          <w:p w14:paraId="72242D48" w14:textId="71EA0EDE" w:rsidR="00852297" w:rsidRPr="002D473C" w:rsidRDefault="00D55937" w:rsidP="00481CA4">
            <w:pPr>
              <w:rPr>
                <w:rFonts w:asciiTheme="minorHAnsi" w:hAnsiTheme="minorHAnsi" w:cstheme="minorHAnsi"/>
                <w:sz w:val="18"/>
                <w:szCs w:val="18"/>
              </w:rPr>
            </w:pPr>
            <w:r>
              <w:rPr>
                <w:rFonts w:asciiTheme="minorHAnsi" w:hAnsiTheme="minorHAnsi" w:cstheme="minorHAnsi"/>
                <w:sz w:val="18"/>
                <w:szCs w:val="18"/>
              </w:rPr>
              <w:t xml:space="preserve">Allocated under Outcome </w:t>
            </w:r>
            <w:r w:rsidR="00C752CF">
              <w:rPr>
                <w:rFonts w:asciiTheme="minorHAnsi" w:hAnsiTheme="minorHAnsi" w:cstheme="minorHAnsi"/>
                <w:sz w:val="18"/>
                <w:szCs w:val="18"/>
              </w:rPr>
              <w:t>3</w:t>
            </w:r>
            <w:r>
              <w:rPr>
                <w:rFonts w:asciiTheme="minorHAnsi" w:hAnsiTheme="minorHAnsi" w:cstheme="minorHAnsi"/>
                <w:sz w:val="18"/>
                <w:szCs w:val="18"/>
              </w:rPr>
              <w:t>.</w:t>
            </w:r>
            <w:r w:rsidR="00C752CF">
              <w:rPr>
                <w:rFonts w:asciiTheme="minorHAnsi" w:hAnsiTheme="minorHAnsi" w:cstheme="minorHAnsi"/>
                <w:sz w:val="18"/>
                <w:szCs w:val="18"/>
              </w:rPr>
              <w:t>2</w:t>
            </w:r>
          </w:p>
        </w:tc>
      </w:tr>
      <w:tr w:rsidR="009563B4" w:rsidRPr="002D473C" w14:paraId="67BD4550" w14:textId="77777777" w:rsidTr="00CC1CA2">
        <w:tc>
          <w:tcPr>
            <w:tcW w:w="1767" w:type="pct"/>
            <w:shd w:val="clear" w:color="auto" w:fill="auto"/>
            <w:tcMar>
              <w:left w:w="57" w:type="dxa"/>
              <w:right w:w="28" w:type="dxa"/>
            </w:tcMar>
          </w:tcPr>
          <w:p w14:paraId="3A8FD942" w14:textId="77777777" w:rsidR="009563B4" w:rsidRPr="002D473C" w:rsidRDefault="009563B4" w:rsidP="00481CA4">
            <w:pPr>
              <w:rPr>
                <w:rFonts w:asciiTheme="minorHAnsi" w:hAnsiTheme="minorHAnsi" w:cstheme="minorHAnsi"/>
                <w:b/>
                <w:bCs/>
                <w:i/>
                <w:iCs/>
                <w:sz w:val="18"/>
                <w:szCs w:val="18"/>
              </w:rPr>
            </w:pPr>
            <w:r w:rsidRPr="002D473C">
              <w:rPr>
                <w:rFonts w:asciiTheme="minorHAnsi" w:hAnsiTheme="minorHAnsi" w:cstheme="minorHAnsi"/>
                <w:b/>
                <w:bCs/>
                <w:i/>
                <w:iCs/>
                <w:sz w:val="18"/>
                <w:szCs w:val="18"/>
              </w:rPr>
              <w:t>2. Reduce land degradation impacts among the most vulnerable social groups by making use of their traditional knowledge base to better cope with LD impacts and improve food security</w:t>
            </w:r>
          </w:p>
        </w:tc>
        <w:tc>
          <w:tcPr>
            <w:tcW w:w="1364" w:type="pct"/>
            <w:shd w:val="clear" w:color="auto" w:fill="auto"/>
            <w:tcMar>
              <w:left w:w="57" w:type="dxa"/>
              <w:right w:w="28" w:type="dxa"/>
            </w:tcMar>
          </w:tcPr>
          <w:p w14:paraId="3B8E8E3F" w14:textId="409AAF10" w:rsidR="009563B4" w:rsidRPr="002D473C" w:rsidRDefault="009563B4" w:rsidP="00481CA4">
            <w:pPr>
              <w:rPr>
                <w:rFonts w:asciiTheme="minorHAnsi" w:hAnsiTheme="minorHAnsi" w:cstheme="minorHAnsi"/>
                <w:b/>
                <w:bCs/>
                <w:i/>
                <w:iCs/>
                <w:sz w:val="18"/>
                <w:szCs w:val="18"/>
              </w:rPr>
            </w:pPr>
            <w:r w:rsidRPr="002D473C">
              <w:rPr>
                <w:rFonts w:asciiTheme="minorHAnsi" w:hAnsiTheme="minorHAnsi" w:cstheme="minorHAnsi"/>
                <w:b/>
                <w:bCs/>
                <w:i/>
                <w:iCs/>
                <w:sz w:val="18"/>
                <w:szCs w:val="18"/>
              </w:rPr>
              <w:t>[as below]</w:t>
            </w:r>
          </w:p>
        </w:tc>
        <w:tc>
          <w:tcPr>
            <w:tcW w:w="1212" w:type="pct"/>
            <w:shd w:val="clear" w:color="auto" w:fill="auto"/>
            <w:tcMar>
              <w:left w:w="57" w:type="dxa"/>
              <w:right w:w="28" w:type="dxa"/>
            </w:tcMar>
          </w:tcPr>
          <w:p w14:paraId="66F3D57C" w14:textId="77777777" w:rsidR="009563B4" w:rsidRPr="002D473C" w:rsidRDefault="009563B4" w:rsidP="00481CA4">
            <w:pPr>
              <w:rPr>
                <w:rFonts w:asciiTheme="minorHAnsi" w:hAnsiTheme="minorHAnsi" w:cstheme="minorHAnsi"/>
                <w:b/>
                <w:bCs/>
                <w:i/>
                <w:iCs/>
                <w:sz w:val="18"/>
                <w:szCs w:val="18"/>
              </w:rPr>
            </w:pPr>
            <w:r w:rsidRPr="002D473C">
              <w:rPr>
                <w:rFonts w:asciiTheme="minorHAnsi" w:hAnsiTheme="minorHAnsi" w:cstheme="minorHAnsi"/>
                <w:b/>
                <w:bCs/>
                <w:i/>
                <w:iCs/>
                <w:sz w:val="18"/>
                <w:szCs w:val="18"/>
              </w:rPr>
              <w:t>[as below]</w:t>
            </w:r>
          </w:p>
        </w:tc>
        <w:tc>
          <w:tcPr>
            <w:tcW w:w="657" w:type="pct"/>
            <w:shd w:val="clear" w:color="auto" w:fill="auto"/>
            <w:tcMar>
              <w:left w:w="57" w:type="dxa"/>
              <w:right w:w="28" w:type="dxa"/>
            </w:tcMar>
          </w:tcPr>
          <w:p w14:paraId="3351E4A4" w14:textId="77777777" w:rsidR="009563B4" w:rsidRPr="002D473C" w:rsidRDefault="009563B4" w:rsidP="00481CA4">
            <w:pPr>
              <w:rPr>
                <w:rFonts w:asciiTheme="minorHAnsi" w:hAnsiTheme="minorHAnsi" w:cstheme="minorHAnsi"/>
                <w:b/>
                <w:bCs/>
                <w:i/>
                <w:iCs/>
                <w:sz w:val="18"/>
                <w:szCs w:val="18"/>
              </w:rPr>
            </w:pPr>
            <w:r w:rsidRPr="002D473C">
              <w:rPr>
                <w:rFonts w:asciiTheme="minorHAnsi" w:hAnsiTheme="minorHAnsi" w:cstheme="minorHAnsi"/>
                <w:b/>
                <w:bCs/>
                <w:i/>
                <w:iCs/>
                <w:sz w:val="18"/>
                <w:szCs w:val="18"/>
              </w:rPr>
              <w:t>[as below]</w:t>
            </w:r>
          </w:p>
        </w:tc>
      </w:tr>
      <w:tr w:rsidR="009563B4" w:rsidRPr="002D473C" w14:paraId="3A1BB033" w14:textId="77777777" w:rsidTr="00CC1CA2">
        <w:tc>
          <w:tcPr>
            <w:tcW w:w="1767" w:type="pct"/>
            <w:shd w:val="clear" w:color="auto" w:fill="auto"/>
            <w:tcMar>
              <w:left w:w="57" w:type="dxa"/>
              <w:right w:w="28" w:type="dxa"/>
            </w:tcMar>
          </w:tcPr>
          <w:p w14:paraId="6318F0D1" w14:textId="1D1857C5" w:rsidR="009563B4" w:rsidRPr="002D473C" w:rsidRDefault="009563B4" w:rsidP="00481CA4">
            <w:pPr>
              <w:rPr>
                <w:rFonts w:asciiTheme="minorHAnsi" w:hAnsiTheme="minorHAnsi" w:cstheme="minorHAnsi"/>
                <w:sz w:val="18"/>
                <w:szCs w:val="18"/>
              </w:rPr>
            </w:pPr>
            <w:r w:rsidRPr="002D473C">
              <w:rPr>
                <w:rFonts w:asciiTheme="minorHAnsi" w:hAnsiTheme="minorHAnsi" w:cstheme="minorHAnsi"/>
                <w:sz w:val="18"/>
                <w:szCs w:val="18"/>
              </w:rPr>
              <w:t xml:space="preserve">2.1 </w:t>
            </w:r>
            <w:r w:rsidR="00406E2D">
              <w:rPr>
                <w:rFonts w:asciiTheme="minorHAnsi" w:hAnsiTheme="minorHAnsi" w:cstheme="minorHAnsi"/>
                <w:sz w:val="18"/>
                <w:szCs w:val="18"/>
              </w:rPr>
              <w:t xml:space="preserve">Taylored FFS curricula to include </w:t>
            </w:r>
            <w:r w:rsidR="00406E2D" w:rsidRPr="00406E2D">
              <w:rPr>
                <w:rFonts w:asciiTheme="minorHAnsi" w:hAnsiTheme="minorHAnsi" w:cstheme="minorHAnsi"/>
                <w:sz w:val="18"/>
                <w:szCs w:val="18"/>
              </w:rPr>
              <w:t>traditional knowledge</w:t>
            </w:r>
            <w:r w:rsidR="00406E2D">
              <w:rPr>
                <w:rFonts w:asciiTheme="minorHAnsi" w:hAnsiTheme="minorHAnsi" w:cstheme="minorHAnsi"/>
                <w:sz w:val="18"/>
                <w:szCs w:val="18"/>
              </w:rPr>
              <w:t xml:space="preserve"> and </w:t>
            </w:r>
            <w:r w:rsidR="00C65223">
              <w:rPr>
                <w:rFonts w:asciiTheme="minorHAnsi" w:hAnsiTheme="minorHAnsi" w:cstheme="minorHAnsi"/>
                <w:sz w:val="18"/>
                <w:szCs w:val="18"/>
              </w:rPr>
              <w:t xml:space="preserve">its ties to </w:t>
            </w:r>
            <w:r w:rsidR="00406E2D">
              <w:rPr>
                <w:rFonts w:asciiTheme="minorHAnsi" w:hAnsiTheme="minorHAnsi" w:cstheme="minorHAnsi"/>
                <w:sz w:val="18"/>
                <w:szCs w:val="18"/>
              </w:rPr>
              <w:t>gender</w:t>
            </w:r>
          </w:p>
        </w:tc>
        <w:tc>
          <w:tcPr>
            <w:tcW w:w="1364" w:type="pct"/>
            <w:shd w:val="clear" w:color="auto" w:fill="auto"/>
            <w:tcMar>
              <w:left w:w="57" w:type="dxa"/>
              <w:right w:w="28" w:type="dxa"/>
            </w:tcMar>
          </w:tcPr>
          <w:p w14:paraId="4EDB6B33" w14:textId="284BCEFA" w:rsidR="009563B4" w:rsidRPr="002D473C" w:rsidRDefault="009563B4" w:rsidP="00481CA4">
            <w:pPr>
              <w:rPr>
                <w:rFonts w:asciiTheme="minorHAnsi" w:hAnsiTheme="minorHAnsi" w:cstheme="minorHAnsi"/>
                <w:sz w:val="18"/>
                <w:szCs w:val="18"/>
              </w:rPr>
            </w:pPr>
            <w:r w:rsidRPr="002D473C">
              <w:rPr>
                <w:rFonts w:asciiTheme="minorHAnsi" w:hAnsiTheme="minorHAnsi" w:cstheme="minorHAnsi"/>
                <w:sz w:val="18"/>
                <w:szCs w:val="18"/>
              </w:rPr>
              <w:t xml:space="preserve">Methodology to be developed. </w:t>
            </w:r>
            <w:r w:rsidR="009C7CBA">
              <w:rPr>
                <w:rFonts w:asciiTheme="minorHAnsi" w:hAnsiTheme="minorHAnsi" w:cstheme="minorHAnsi"/>
                <w:sz w:val="18"/>
                <w:szCs w:val="18"/>
              </w:rPr>
              <w:t>Year 1 p</w:t>
            </w:r>
            <w:r w:rsidRPr="002D473C">
              <w:rPr>
                <w:rFonts w:asciiTheme="minorHAnsi" w:hAnsiTheme="minorHAnsi" w:cstheme="minorHAnsi"/>
                <w:sz w:val="18"/>
                <w:szCs w:val="18"/>
              </w:rPr>
              <w:t>referred.</w:t>
            </w:r>
          </w:p>
        </w:tc>
        <w:tc>
          <w:tcPr>
            <w:tcW w:w="1212" w:type="pct"/>
            <w:shd w:val="clear" w:color="auto" w:fill="auto"/>
            <w:tcMar>
              <w:left w:w="57" w:type="dxa"/>
              <w:right w:w="28" w:type="dxa"/>
            </w:tcMar>
          </w:tcPr>
          <w:p w14:paraId="52AC653C" w14:textId="77777777" w:rsidR="009563B4" w:rsidRPr="002D473C" w:rsidRDefault="009563B4" w:rsidP="00481CA4">
            <w:pPr>
              <w:rPr>
                <w:rFonts w:asciiTheme="minorHAnsi" w:hAnsiTheme="minorHAnsi" w:cstheme="minorHAnsi"/>
                <w:sz w:val="18"/>
                <w:szCs w:val="18"/>
              </w:rPr>
            </w:pPr>
          </w:p>
        </w:tc>
        <w:tc>
          <w:tcPr>
            <w:tcW w:w="657" w:type="pct"/>
            <w:shd w:val="clear" w:color="auto" w:fill="auto"/>
            <w:tcMar>
              <w:left w:w="57" w:type="dxa"/>
              <w:right w:w="28" w:type="dxa"/>
            </w:tcMar>
          </w:tcPr>
          <w:p w14:paraId="3AB4833E" w14:textId="33BA8166" w:rsidR="009563B4" w:rsidRPr="002D473C" w:rsidRDefault="008818A4" w:rsidP="00481CA4">
            <w:pPr>
              <w:rPr>
                <w:rFonts w:asciiTheme="minorHAnsi" w:hAnsiTheme="minorHAnsi" w:cstheme="minorHAnsi"/>
                <w:sz w:val="18"/>
                <w:szCs w:val="18"/>
              </w:rPr>
            </w:pPr>
            <w:r>
              <w:rPr>
                <w:rFonts w:asciiTheme="minorHAnsi" w:hAnsiTheme="minorHAnsi" w:cstheme="minorHAnsi"/>
                <w:sz w:val="18"/>
                <w:szCs w:val="18"/>
              </w:rPr>
              <w:t>Budget allocated under Outcome 2.1 / FFF-FFS</w:t>
            </w:r>
          </w:p>
        </w:tc>
      </w:tr>
      <w:tr w:rsidR="009563B4" w:rsidRPr="002D473C" w14:paraId="5951C50B" w14:textId="77777777" w:rsidTr="00CC1CA2">
        <w:tc>
          <w:tcPr>
            <w:tcW w:w="1767" w:type="pct"/>
            <w:shd w:val="clear" w:color="auto" w:fill="auto"/>
            <w:tcMar>
              <w:left w:w="57" w:type="dxa"/>
              <w:right w:w="28" w:type="dxa"/>
            </w:tcMar>
          </w:tcPr>
          <w:p w14:paraId="534363BA" w14:textId="5816A083" w:rsidR="009563B4" w:rsidRPr="002D473C" w:rsidRDefault="009563B4" w:rsidP="00481CA4">
            <w:pPr>
              <w:rPr>
                <w:rFonts w:asciiTheme="minorHAnsi" w:hAnsiTheme="minorHAnsi" w:cstheme="minorHAnsi"/>
                <w:sz w:val="18"/>
                <w:szCs w:val="18"/>
              </w:rPr>
            </w:pPr>
            <w:r w:rsidRPr="002D473C">
              <w:rPr>
                <w:rFonts w:asciiTheme="minorHAnsi" w:hAnsiTheme="minorHAnsi" w:cstheme="minorHAnsi"/>
                <w:sz w:val="18"/>
                <w:szCs w:val="18"/>
              </w:rPr>
              <w:t xml:space="preserve">2.2 One </w:t>
            </w:r>
            <w:r w:rsidR="00C65223">
              <w:rPr>
                <w:rFonts w:asciiTheme="minorHAnsi" w:hAnsiTheme="minorHAnsi" w:cstheme="minorHAnsi"/>
                <w:sz w:val="18"/>
                <w:szCs w:val="18"/>
              </w:rPr>
              <w:t xml:space="preserve">scoping </w:t>
            </w:r>
            <w:r w:rsidRPr="002D473C">
              <w:rPr>
                <w:rFonts w:asciiTheme="minorHAnsi" w:hAnsiTheme="minorHAnsi" w:cstheme="minorHAnsi"/>
                <w:sz w:val="18"/>
                <w:szCs w:val="18"/>
              </w:rPr>
              <w:t xml:space="preserve">study on gender and </w:t>
            </w:r>
            <w:r w:rsidR="00C65223">
              <w:rPr>
                <w:rFonts w:asciiTheme="minorHAnsi" w:hAnsiTheme="minorHAnsi" w:cstheme="minorHAnsi"/>
                <w:sz w:val="18"/>
                <w:szCs w:val="18"/>
              </w:rPr>
              <w:t>NTFPs collection and use</w:t>
            </w:r>
          </w:p>
        </w:tc>
        <w:tc>
          <w:tcPr>
            <w:tcW w:w="1364" w:type="pct"/>
            <w:shd w:val="clear" w:color="auto" w:fill="auto"/>
            <w:tcMar>
              <w:left w:w="57" w:type="dxa"/>
              <w:right w:w="28" w:type="dxa"/>
            </w:tcMar>
          </w:tcPr>
          <w:p w14:paraId="5B55B02F" w14:textId="7F500709" w:rsidR="009563B4" w:rsidRPr="002D473C" w:rsidRDefault="009563B4" w:rsidP="00481CA4">
            <w:pPr>
              <w:rPr>
                <w:rFonts w:asciiTheme="minorHAnsi" w:hAnsiTheme="minorHAnsi" w:cstheme="minorHAnsi"/>
                <w:sz w:val="18"/>
                <w:szCs w:val="18"/>
              </w:rPr>
            </w:pPr>
            <w:r w:rsidRPr="002D473C">
              <w:rPr>
                <w:rFonts w:asciiTheme="minorHAnsi" w:hAnsiTheme="minorHAnsi" w:cstheme="minorHAnsi"/>
                <w:sz w:val="18"/>
                <w:szCs w:val="18"/>
              </w:rPr>
              <w:t xml:space="preserve">Methodology to be developed. </w:t>
            </w:r>
            <w:r w:rsidR="009C7CBA">
              <w:rPr>
                <w:rFonts w:asciiTheme="minorHAnsi" w:hAnsiTheme="minorHAnsi" w:cstheme="minorHAnsi"/>
                <w:sz w:val="18"/>
                <w:szCs w:val="18"/>
              </w:rPr>
              <w:t>Year 1 p</w:t>
            </w:r>
            <w:r w:rsidR="009C7CBA" w:rsidRPr="002D473C">
              <w:rPr>
                <w:rFonts w:asciiTheme="minorHAnsi" w:hAnsiTheme="minorHAnsi" w:cstheme="minorHAnsi"/>
                <w:sz w:val="18"/>
                <w:szCs w:val="18"/>
              </w:rPr>
              <w:t>referred</w:t>
            </w:r>
            <w:r w:rsidRPr="002D473C">
              <w:rPr>
                <w:rFonts w:asciiTheme="minorHAnsi" w:hAnsiTheme="minorHAnsi" w:cstheme="minorHAnsi"/>
                <w:sz w:val="18"/>
                <w:szCs w:val="18"/>
              </w:rPr>
              <w:t>.</w:t>
            </w:r>
          </w:p>
        </w:tc>
        <w:tc>
          <w:tcPr>
            <w:tcW w:w="1212" w:type="pct"/>
            <w:shd w:val="clear" w:color="auto" w:fill="auto"/>
            <w:tcMar>
              <w:left w:w="57" w:type="dxa"/>
              <w:right w:w="28" w:type="dxa"/>
            </w:tcMar>
          </w:tcPr>
          <w:p w14:paraId="0154DE35" w14:textId="77777777" w:rsidR="009563B4" w:rsidRPr="002D473C" w:rsidRDefault="009563B4" w:rsidP="00481CA4">
            <w:pPr>
              <w:rPr>
                <w:rFonts w:asciiTheme="minorHAnsi" w:hAnsiTheme="minorHAnsi" w:cstheme="minorHAnsi"/>
                <w:sz w:val="18"/>
                <w:szCs w:val="18"/>
              </w:rPr>
            </w:pPr>
          </w:p>
        </w:tc>
        <w:tc>
          <w:tcPr>
            <w:tcW w:w="657" w:type="pct"/>
            <w:shd w:val="clear" w:color="auto" w:fill="auto"/>
            <w:tcMar>
              <w:left w:w="57" w:type="dxa"/>
              <w:right w:w="28" w:type="dxa"/>
            </w:tcMar>
          </w:tcPr>
          <w:p w14:paraId="2FDD56A5" w14:textId="47433C01" w:rsidR="009563B4" w:rsidRPr="002D473C" w:rsidRDefault="008818A4" w:rsidP="00481CA4">
            <w:pPr>
              <w:rPr>
                <w:rFonts w:asciiTheme="minorHAnsi" w:hAnsiTheme="minorHAnsi" w:cstheme="minorHAnsi"/>
                <w:sz w:val="18"/>
                <w:szCs w:val="18"/>
              </w:rPr>
            </w:pPr>
            <w:r>
              <w:rPr>
                <w:rFonts w:asciiTheme="minorHAnsi" w:hAnsiTheme="minorHAnsi" w:cstheme="minorHAnsi"/>
                <w:sz w:val="18"/>
                <w:szCs w:val="18"/>
              </w:rPr>
              <w:t xml:space="preserve">Budget allocated under Outcome </w:t>
            </w:r>
            <w:r w:rsidR="00A34DFC">
              <w:rPr>
                <w:rFonts w:asciiTheme="minorHAnsi" w:hAnsiTheme="minorHAnsi" w:cstheme="minorHAnsi"/>
                <w:sz w:val="18"/>
                <w:szCs w:val="18"/>
              </w:rPr>
              <w:t>2</w:t>
            </w:r>
            <w:r>
              <w:rPr>
                <w:rFonts w:asciiTheme="minorHAnsi" w:hAnsiTheme="minorHAnsi" w:cstheme="minorHAnsi"/>
                <w:sz w:val="18"/>
                <w:szCs w:val="18"/>
              </w:rPr>
              <w:t>.</w:t>
            </w:r>
            <w:r w:rsidR="00A34DFC">
              <w:rPr>
                <w:rFonts w:asciiTheme="minorHAnsi" w:hAnsiTheme="minorHAnsi" w:cstheme="minorHAnsi"/>
                <w:sz w:val="18"/>
                <w:szCs w:val="18"/>
              </w:rPr>
              <w:t>3</w:t>
            </w:r>
          </w:p>
        </w:tc>
      </w:tr>
      <w:tr w:rsidR="009563B4" w:rsidRPr="002D473C" w14:paraId="62B79244" w14:textId="77777777" w:rsidTr="00CC1CA2">
        <w:tc>
          <w:tcPr>
            <w:tcW w:w="1767" w:type="pct"/>
            <w:shd w:val="clear" w:color="auto" w:fill="auto"/>
            <w:tcMar>
              <w:left w:w="57" w:type="dxa"/>
              <w:right w:w="28" w:type="dxa"/>
            </w:tcMar>
          </w:tcPr>
          <w:p w14:paraId="66641D0C" w14:textId="4A70CF55" w:rsidR="009563B4" w:rsidRPr="002D473C" w:rsidRDefault="009563B4" w:rsidP="00481CA4">
            <w:pPr>
              <w:rPr>
                <w:rFonts w:asciiTheme="minorHAnsi" w:hAnsiTheme="minorHAnsi" w:cstheme="minorHAnsi"/>
                <w:b/>
                <w:bCs/>
                <w:i/>
                <w:iCs/>
                <w:sz w:val="18"/>
                <w:szCs w:val="18"/>
              </w:rPr>
            </w:pPr>
            <w:r w:rsidRPr="002D473C">
              <w:rPr>
                <w:rFonts w:asciiTheme="minorHAnsi" w:hAnsiTheme="minorHAnsi" w:cstheme="minorHAnsi"/>
                <w:b/>
                <w:bCs/>
                <w:i/>
                <w:iCs/>
                <w:sz w:val="18"/>
                <w:szCs w:val="18"/>
              </w:rPr>
              <w:t>3. Foster women’s full access and equal participation in learning and implementing activities of the Agricultural Support Services</w:t>
            </w:r>
          </w:p>
        </w:tc>
        <w:tc>
          <w:tcPr>
            <w:tcW w:w="1364" w:type="pct"/>
            <w:shd w:val="clear" w:color="auto" w:fill="auto"/>
            <w:tcMar>
              <w:left w:w="57" w:type="dxa"/>
              <w:right w:w="28" w:type="dxa"/>
            </w:tcMar>
          </w:tcPr>
          <w:p w14:paraId="29BB3C03" w14:textId="17A85D92" w:rsidR="009563B4" w:rsidRPr="002D473C" w:rsidRDefault="009563B4" w:rsidP="00481CA4">
            <w:pPr>
              <w:rPr>
                <w:rFonts w:asciiTheme="minorHAnsi" w:hAnsiTheme="minorHAnsi" w:cstheme="minorHAnsi"/>
                <w:b/>
                <w:bCs/>
                <w:i/>
                <w:iCs/>
                <w:sz w:val="18"/>
                <w:szCs w:val="18"/>
              </w:rPr>
            </w:pPr>
            <w:r w:rsidRPr="002D473C">
              <w:rPr>
                <w:rFonts w:asciiTheme="minorHAnsi" w:hAnsiTheme="minorHAnsi" w:cstheme="minorHAnsi"/>
                <w:b/>
                <w:bCs/>
                <w:i/>
                <w:iCs/>
                <w:sz w:val="18"/>
                <w:szCs w:val="18"/>
              </w:rPr>
              <w:t xml:space="preserve">Throughout implementation: </w:t>
            </w:r>
            <w:r w:rsidR="009C7CBA">
              <w:rPr>
                <w:rFonts w:asciiTheme="minorHAnsi" w:hAnsiTheme="minorHAnsi" w:cstheme="minorHAnsi"/>
                <w:b/>
                <w:bCs/>
                <w:i/>
                <w:iCs/>
                <w:sz w:val="18"/>
                <w:szCs w:val="18"/>
              </w:rPr>
              <w:t>f</w:t>
            </w:r>
            <w:r w:rsidRPr="002D473C">
              <w:rPr>
                <w:rFonts w:asciiTheme="minorHAnsi" w:hAnsiTheme="minorHAnsi" w:cstheme="minorHAnsi"/>
                <w:b/>
                <w:bCs/>
                <w:i/>
                <w:iCs/>
                <w:sz w:val="18"/>
                <w:szCs w:val="18"/>
              </w:rPr>
              <w:t>oster women’s full access and equal participation in activities of the Agricultural Support Services</w:t>
            </w:r>
          </w:p>
        </w:tc>
        <w:tc>
          <w:tcPr>
            <w:tcW w:w="1212" w:type="pct"/>
            <w:shd w:val="clear" w:color="auto" w:fill="auto"/>
            <w:tcMar>
              <w:left w:w="57" w:type="dxa"/>
              <w:right w:w="28" w:type="dxa"/>
            </w:tcMar>
          </w:tcPr>
          <w:p w14:paraId="0EFA1316" w14:textId="77777777" w:rsidR="009563B4" w:rsidRPr="002D473C" w:rsidRDefault="009563B4" w:rsidP="00481CA4">
            <w:pPr>
              <w:rPr>
                <w:rFonts w:asciiTheme="minorHAnsi" w:hAnsiTheme="minorHAnsi" w:cstheme="minorHAnsi"/>
                <w:b/>
                <w:bCs/>
                <w:i/>
                <w:iCs/>
                <w:sz w:val="18"/>
                <w:szCs w:val="18"/>
              </w:rPr>
            </w:pPr>
            <w:r w:rsidRPr="002D473C">
              <w:rPr>
                <w:rFonts w:asciiTheme="minorHAnsi" w:hAnsiTheme="minorHAnsi" w:cstheme="minorHAnsi"/>
                <w:b/>
                <w:bCs/>
                <w:i/>
                <w:iCs/>
                <w:sz w:val="18"/>
                <w:szCs w:val="18"/>
              </w:rPr>
              <w:t>[as below]</w:t>
            </w:r>
          </w:p>
        </w:tc>
        <w:tc>
          <w:tcPr>
            <w:tcW w:w="657" w:type="pct"/>
            <w:shd w:val="clear" w:color="auto" w:fill="auto"/>
            <w:tcMar>
              <w:left w:w="57" w:type="dxa"/>
              <w:right w:w="28" w:type="dxa"/>
            </w:tcMar>
          </w:tcPr>
          <w:p w14:paraId="2ABAFE39" w14:textId="77777777" w:rsidR="009563B4" w:rsidRPr="002D473C" w:rsidRDefault="009563B4" w:rsidP="00481CA4">
            <w:pPr>
              <w:rPr>
                <w:rFonts w:asciiTheme="minorHAnsi" w:hAnsiTheme="minorHAnsi" w:cstheme="minorHAnsi"/>
                <w:b/>
                <w:bCs/>
                <w:i/>
                <w:iCs/>
                <w:sz w:val="18"/>
                <w:szCs w:val="18"/>
              </w:rPr>
            </w:pPr>
            <w:r w:rsidRPr="002D473C">
              <w:rPr>
                <w:rFonts w:asciiTheme="minorHAnsi" w:hAnsiTheme="minorHAnsi" w:cstheme="minorHAnsi"/>
                <w:b/>
                <w:bCs/>
                <w:i/>
                <w:iCs/>
                <w:sz w:val="18"/>
                <w:szCs w:val="18"/>
              </w:rPr>
              <w:t>[as below]</w:t>
            </w:r>
          </w:p>
        </w:tc>
      </w:tr>
      <w:tr w:rsidR="009563B4" w:rsidRPr="002D473C" w14:paraId="411C03B4" w14:textId="77777777" w:rsidTr="00CC1CA2">
        <w:tc>
          <w:tcPr>
            <w:tcW w:w="1767" w:type="pct"/>
            <w:shd w:val="clear" w:color="auto" w:fill="auto"/>
            <w:tcMar>
              <w:left w:w="57" w:type="dxa"/>
              <w:right w:w="28" w:type="dxa"/>
            </w:tcMar>
          </w:tcPr>
          <w:p w14:paraId="3773386F" w14:textId="2E9CEBFE" w:rsidR="009563B4" w:rsidRPr="002D473C" w:rsidRDefault="009563B4" w:rsidP="00481CA4">
            <w:pPr>
              <w:rPr>
                <w:rFonts w:asciiTheme="minorHAnsi" w:hAnsiTheme="minorHAnsi" w:cstheme="minorHAnsi"/>
                <w:sz w:val="18"/>
                <w:szCs w:val="18"/>
              </w:rPr>
            </w:pPr>
            <w:r w:rsidRPr="002D473C">
              <w:rPr>
                <w:rFonts w:asciiTheme="minorHAnsi" w:hAnsiTheme="minorHAnsi" w:cstheme="minorHAnsi"/>
                <w:sz w:val="18"/>
                <w:szCs w:val="18"/>
              </w:rPr>
              <w:t xml:space="preserve">3.1 Supply </w:t>
            </w:r>
            <w:r w:rsidR="000724E1">
              <w:rPr>
                <w:rFonts w:asciiTheme="minorHAnsi" w:hAnsiTheme="minorHAnsi" w:cstheme="minorHAnsi"/>
                <w:sz w:val="18"/>
                <w:szCs w:val="18"/>
              </w:rPr>
              <w:t>1</w:t>
            </w:r>
            <w:r w:rsidRPr="002D473C">
              <w:rPr>
                <w:rFonts w:asciiTheme="minorHAnsi" w:hAnsiTheme="minorHAnsi" w:cstheme="minorHAnsi"/>
                <w:sz w:val="18"/>
                <w:szCs w:val="18"/>
              </w:rPr>
              <w:t xml:space="preserve">000 improved cooking stoves </w:t>
            </w:r>
            <w:r w:rsidR="009C7CBA">
              <w:rPr>
                <w:rFonts w:asciiTheme="minorHAnsi" w:hAnsiTheme="minorHAnsi" w:cstheme="minorHAnsi"/>
                <w:sz w:val="18"/>
                <w:szCs w:val="18"/>
              </w:rPr>
              <w:t>to</w:t>
            </w:r>
            <w:r w:rsidRPr="002D473C">
              <w:rPr>
                <w:rFonts w:asciiTheme="minorHAnsi" w:hAnsiTheme="minorHAnsi" w:cstheme="minorHAnsi"/>
                <w:sz w:val="18"/>
                <w:szCs w:val="18"/>
              </w:rPr>
              <w:t xml:space="preserve"> households and communal pyrolysis stoves for producing biochar / </w:t>
            </w:r>
            <w:r w:rsidRPr="002D473C">
              <w:rPr>
                <w:rFonts w:asciiTheme="minorHAnsi" w:hAnsiTheme="minorHAnsi" w:cstheme="minorHAnsi"/>
                <w:i/>
                <w:iCs/>
                <w:sz w:val="18"/>
                <w:szCs w:val="18"/>
              </w:rPr>
              <w:t>terra-preta</w:t>
            </w:r>
            <w:r w:rsidRPr="002D473C">
              <w:rPr>
                <w:rFonts w:asciiTheme="minorHAnsi" w:hAnsiTheme="minorHAnsi" w:cstheme="minorHAnsi"/>
                <w:sz w:val="18"/>
                <w:szCs w:val="18"/>
              </w:rPr>
              <w:t>, followed by training on maintenance</w:t>
            </w:r>
          </w:p>
        </w:tc>
        <w:tc>
          <w:tcPr>
            <w:tcW w:w="1364" w:type="pct"/>
            <w:shd w:val="clear" w:color="auto" w:fill="auto"/>
            <w:tcMar>
              <w:left w:w="57" w:type="dxa"/>
              <w:right w:w="28" w:type="dxa"/>
            </w:tcMar>
          </w:tcPr>
          <w:p w14:paraId="5A48CC38" w14:textId="536FCA2A" w:rsidR="009563B4" w:rsidRPr="002D473C" w:rsidRDefault="009563B4" w:rsidP="00481CA4">
            <w:pPr>
              <w:rPr>
                <w:rFonts w:asciiTheme="minorHAnsi" w:hAnsiTheme="minorHAnsi" w:cstheme="minorHAnsi"/>
                <w:sz w:val="18"/>
                <w:szCs w:val="18"/>
              </w:rPr>
            </w:pPr>
            <w:r w:rsidRPr="002D473C">
              <w:rPr>
                <w:rFonts w:asciiTheme="minorHAnsi" w:hAnsiTheme="minorHAnsi" w:cstheme="minorHAnsi"/>
                <w:sz w:val="18"/>
                <w:szCs w:val="18"/>
              </w:rPr>
              <w:t>500 in Cunene, 500 in Cuchi</w:t>
            </w:r>
          </w:p>
          <w:p w14:paraId="35CF6EA4" w14:textId="77777777" w:rsidR="009563B4" w:rsidRPr="002D473C" w:rsidRDefault="009563B4" w:rsidP="00481CA4">
            <w:pPr>
              <w:rPr>
                <w:rFonts w:asciiTheme="minorHAnsi" w:hAnsiTheme="minorHAnsi" w:cstheme="minorHAnsi"/>
                <w:sz w:val="18"/>
                <w:szCs w:val="18"/>
              </w:rPr>
            </w:pPr>
          </w:p>
          <w:p w14:paraId="785EFAED" w14:textId="7F69B041" w:rsidR="009563B4" w:rsidRPr="002D473C" w:rsidRDefault="009563B4" w:rsidP="00481CA4">
            <w:pPr>
              <w:rPr>
                <w:rFonts w:asciiTheme="minorHAnsi" w:hAnsiTheme="minorHAnsi" w:cstheme="minorHAnsi"/>
                <w:sz w:val="18"/>
                <w:szCs w:val="18"/>
              </w:rPr>
            </w:pPr>
            <w:r w:rsidRPr="002D473C">
              <w:rPr>
                <w:rFonts w:asciiTheme="minorHAnsi" w:hAnsiTheme="minorHAnsi" w:cstheme="minorHAnsi"/>
                <w:sz w:val="18"/>
                <w:szCs w:val="18"/>
              </w:rPr>
              <w:t>1 pyrolysis stove per community assisted by FFF,</w:t>
            </w:r>
            <w:r w:rsidR="009C7CBA">
              <w:rPr>
                <w:rFonts w:asciiTheme="minorHAnsi" w:hAnsiTheme="minorHAnsi" w:cstheme="minorHAnsi"/>
                <w:sz w:val="18"/>
                <w:szCs w:val="18"/>
              </w:rPr>
              <w:t xml:space="preserve"> for which</w:t>
            </w:r>
            <w:r w:rsidRPr="002D473C">
              <w:rPr>
                <w:rFonts w:asciiTheme="minorHAnsi" w:hAnsiTheme="minorHAnsi" w:cstheme="minorHAnsi"/>
                <w:sz w:val="18"/>
                <w:szCs w:val="18"/>
              </w:rPr>
              <w:t xml:space="preserve"> specific training will be delivered and custodianship entrusted to women</w:t>
            </w:r>
          </w:p>
        </w:tc>
        <w:tc>
          <w:tcPr>
            <w:tcW w:w="1212" w:type="pct"/>
            <w:shd w:val="clear" w:color="auto" w:fill="auto"/>
            <w:tcMar>
              <w:left w:w="57" w:type="dxa"/>
              <w:right w:w="28" w:type="dxa"/>
            </w:tcMar>
          </w:tcPr>
          <w:p w14:paraId="6ECD3E05" w14:textId="77777777" w:rsidR="009563B4" w:rsidRPr="002D473C" w:rsidRDefault="009563B4" w:rsidP="00481CA4">
            <w:pPr>
              <w:rPr>
                <w:rFonts w:asciiTheme="minorHAnsi" w:hAnsiTheme="minorHAnsi" w:cstheme="minorHAnsi"/>
                <w:sz w:val="18"/>
                <w:szCs w:val="18"/>
              </w:rPr>
            </w:pPr>
          </w:p>
        </w:tc>
        <w:tc>
          <w:tcPr>
            <w:tcW w:w="657" w:type="pct"/>
            <w:shd w:val="clear" w:color="auto" w:fill="auto"/>
            <w:tcMar>
              <w:left w:w="57" w:type="dxa"/>
              <w:right w:w="28" w:type="dxa"/>
            </w:tcMar>
          </w:tcPr>
          <w:p w14:paraId="52D1439F" w14:textId="575C3233" w:rsidR="009563B4" w:rsidRPr="002D473C" w:rsidRDefault="009A6F48" w:rsidP="00481CA4">
            <w:pPr>
              <w:rPr>
                <w:rFonts w:asciiTheme="minorHAnsi" w:hAnsiTheme="minorHAnsi" w:cstheme="minorHAnsi"/>
                <w:sz w:val="18"/>
                <w:szCs w:val="18"/>
              </w:rPr>
            </w:pPr>
            <w:r>
              <w:rPr>
                <w:rFonts w:asciiTheme="minorHAnsi" w:hAnsiTheme="minorHAnsi" w:cstheme="minorHAnsi"/>
                <w:sz w:val="18"/>
                <w:szCs w:val="18"/>
              </w:rPr>
              <w:t xml:space="preserve">Budget allocated under </w:t>
            </w:r>
            <w:r w:rsidR="002F7513">
              <w:rPr>
                <w:rFonts w:asciiTheme="minorHAnsi" w:hAnsiTheme="minorHAnsi" w:cstheme="minorHAnsi"/>
                <w:sz w:val="18"/>
                <w:szCs w:val="18"/>
              </w:rPr>
              <w:t>Outcome 2.</w:t>
            </w:r>
            <w:r w:rsidR="00C1629E">
              <w:rPr>
                <w:rFonts w:asciiTheme="minorHAnsi" w:hAnsiTheme="minorHAnsi" w:cstheme="minorHAnsi"/>
                <w:sz w:val="18"/>
                <w:szCs w:val="18"/>
              </w:rPr>
              <w:t xml:space="preserve"> 2</w:t>
            </w:r>
            <w:r w:rsidR="002F7513">
              <w:rPr>
                <w:rFonts w:asciiTheme="minorHAnsi" w:hAnsiTheme="minorHAnsi" w:cstheme="minorHAnsi"/>
                <w:sz w:val="18"/>
                <w:szCs w:val="18"/>
              </w:rPr>
              <w:t xml:space="preserve"> / </w:t>
            </w:r>
            <w:r>
              <w:rPr>
                <w:rFonts w:asciiTheme="minorHAnsi" w:hAnsiTheme="minorHAnsi" w:cstheme="minorHAnsi"/>
                <w:sz w:val="18"/>
                <w:szCs w:val="18"/>
              </w:rPr>
              <w:t>FFF</w:t>
            </w:r>
            <w:r w:rsidR="002F7513">
              <w:rPr>
                <w:rFonts w:asciiTheme="minorHAnsi" w:hAnsiTheme="minorHAnsi" w:cstheme="minorHAnsi"/>
                <w:sz w:val="18"/>
                <w:szCs w:val="18"/>
              </w:rPr>
              <w:t>-FFS</w:t>
            </w:r>
          </w:p>
        </w:tc>
      </w:tr>
      <w:tr w:rsidR="009563B4" w:rsidRPr="002D473C" w14:paraId="7BD49696" w14:textId="77777777" w:rsidTr="009C7CBA">
        <w:tc>
          <w:tcPr>
            <w:tcW w:w="1767" w:type="pct"/>
            <w:tcMar>
              <w:left w:w="57" w:type="dxa"/>
              <w:right w:w="28" w:type="dxa"/>
            </w:tcMar>
          </w:tcPr>
          <w:p w14:paraId="6AC6DB2B" w14:textId="77777777" w:rsidR="009563B4" w:rsidRPr="002D473C" w:rsidRDefault="009563B4" w:rsidP="00481CA4">
            <w:pPr>
              <w:rPr>
                <w:rFonts w:asciiTheme="minorHAnsi" w:hAnsiTheme="minorHAnsi" w:cstheme="minorHAnsi"/>
                <w:sz w:val="18"/>
                <w:szCs w:val="18"/>
              </w:rPr>
            </w:pPr>
            <w:r w:rsidRPr="002D473C">
              <w:rPr>
                <w:rFonts w:asciiTheme="minorHAnsi" w:hAnsiTheme="minorHAnsi" w:cstheme="minorHAnsi"/>
                <w:sz w:val="18"/>
                <w:szCs w:val="18"/>
              </w:rPr>
              <w:t>3.2 Local production of improved cooking stoves with women community association, training and testing, start-up credits</w:t>
            </w:r>
          </w:p>
        </w:tc>
        <w:tc>
          <w:tcPr>
            <w:tcW w:w="1364" w:type="pct"/>
            <w:tcMar>
              <w:left w:w="57" w:type="dxa"/>
              <w:right w:w="28" w:type="dxa"/>
            </w:tcMar>
          </w:tcPr>
          <w:p w14:paraId="69D2E519" w14:textId="7B9179C3" w:rsidR="009563B4" w:rsidRPr="002D473C" w:rsidRDefault="009563B4" w:rsidP="00481CA4">
            <w:pPr>
              <w:rPr>
                <w:rFonts w:asciiTheme="minorHAnsi" w:hAnsiTheme="minorHAnsi" w:cstheme="minorHAnsi"/>
                <w:sz w:val="18"/>
                <w:szCs w:val="18"/>
              </w:rPr>
            </w:pPr>
            <w:r w:rsidRPr="002D473C">
              <w:rPr>
                <w:rFonts w:asciiTheme="minorHAnsi" w:hAnsiTheme="minorHAnsi" w:cstheme="minorHAnsi"/>
                <w:sz w:val="18"/>
                <w:szCs w:val="18"/>
              </w:rPr>
              <w:t xml:space="preserve">Target </w:t>
            </w:r>
            <w:r w:rsidR="00F953A5">
              <w:rPr>
                <w:rFonts w:asciiTheme="minorHAnsi" w:hAnsiTheme="minorHAnsi" w:cstheme="minorHAnsi"/>
                <w:sz w:val="18"/>
                <w:szCs w:val="18"/>
              </w:rPr>
              <w:t>2</w:t>
            </w:r>
            <w:r w:rsidR="000724E1">
              <w:rPr>
                <w:rFonts w:asciiTheme="minorHAnsi" w:hAnsiTheme="minorHAnsi" w:cstheme="minorHAnsi"/>
                <w:sz w:val="18"/>
                <w:szCs w:val="18"/>
              </w:rPr>
              <w:t>,</w:t>
            </w:r>
            <w:r w:rsidRPr="002D473C">
              <w:rPr>
                <w:rFonts w:asciiTheme="minorHAnsi" w:hAnsiTheme="minorHAnsi" w:cstheme="minorHAnsi"/>
                <w:sz w:val="18"/>
                <w:szCs w:val="18"/>
              </w:rPr>
              <w:t xml:space="preserve">000 cooking stoves </w:t>
            </w:r>
          </w:p>
        </w:tc>
        <w:tc>
          <w:tcPr>
            <w:tcW w:w="1212" w:type="pct"/>
            <w:tcMar>
              <w:left w:w="57" w:type="dxa"/>
              <w:right w:w="28" w:type="dxa"/>
            </w:tcMar>
          </w:tcPr>
          <w:p w14:paraId="5AABE040" w14:textId="77777777" w:rsidR="009563B4" w:rsidRPr="002D473C" w:rsidRDefault="009563B4" w:rsidP="00481CA4">
            <w:pPr>
              <w:rPr>
                <w:rFonts w:asciiTheme="minorHAnsi" w:hAnsiTheme="minorHAnsi" w:cstheme="minorHAnsi"/>
                <w:sz w:val="18"/>
                <w:szCs w:val="18"/>
              </w:rPr>
            </w:pPr>
          </w:p>
        </w:tc>
        <w:tc>
          <w:tcPr>
            <w:tcW w:w="657" w:type="pct"/>
            <w:tcMar>
              <w:left w:w="57" w:type="dxa"/>
              <w:right w:w="28" w:type="dxa"/>
            </w:tcMar>
          </w:tcPr>
          <w:p w14:paraId="0EC6CDDF" w14:textId="7F1E2389" w:rsidR="009563B4" w:rsidRPr="002D473C" w:rsidRDefault="002F7513" w:rsidP="00481CA4">
            <w:pPr>
              <w:rPr>
                <w:rFonts w:asciiTheme="minorHAnsi" w:hAnsiTheme="minorHAnsi" w:cstheme="minorHAnsi"/>
                <w:sz w:val="18"/>
                <w:szCs w:val="18"/>
              </w:rPr>
            </w:pPr>
            <w:r>
              <w:rPr>
                <w:rFonts w:asciiTheme="minorHAnsi" w:hAnsiTheme="minorHAnsi" w:cstheme="minorHAnsi"/>
                <w:sz w:val="18"/>
                <w:szCs w:val="18"/>
              </w:rPr>
              <w:t>Budget allocated under Outcome 2.</w:t>
            </w:r>
            <w:r w:rsidR="0043477F">
              <w:rPr>
                <w:rFonts w:asciiTheme="minorHAnsi" w:hAnsiTheme="minorHAnsi" w:cstheme="minorHAnsi"/>
                <w:sz w:val="18"/>
                <w:szCs w:val="18"/>
              </w:rPr>
              <w:t>2</w:t>
            </w:r>
            <w:r>
              <w:rPr>
                <w:rFonts w:asciiTheme="minorHAnsi" w:hAnsiTheme="minorHAnsi" w:cstheme="minorHAnsi"/>
                <w:sz w:val="18"/>
                <w:szCs w:val="18"/>
              </w:rPr>
              <w:t xml:space="preserve"> / FFF-FFS</w:t>
            </w:r>
          </w:p>
        </w:tc>
      </w:tr>
      <w:tr w:rsidR="009563B4" w:rsidRPr="002D473C" w14:paraId="762F7D41" w14:textId="77777777" w:rsidTr="009C7CBA">
        <w:tc>
          <w:tcPr>
            <w:tcW w:w="1767" w:type="pct"/>
            <w:tcMar>
              <w:left w:w="57" w:type="dxa"/>
              <w:right w:w="28" w:type="dxa"/>
            </w:tcMar>
          </w:tcPr>
          <w:p w14:paraId="25A1E9A3" w14:textId="2F5F2B23" w:rsidR="009563B4" w:rsidRPr="002D473C" w:rsidRDefault="009563B4" w:rsidP="00481CA4">
            <w:pPr>
              <w:rPr>
                <w:rFonts w:asciiTheme="minorHAnsi" w:hAnsiTheme="minorHAnsi" w:cstheme="minorHAnsi"/>
                <w:sz w:val="18"/>
                <w:szCs w:val="18"/>
              </w:rPr>
            </w:pPr>
            <w:r w:rsidRPr="002D473C">
              <w:rPr>
                <w:rFonts w:asciiTheme="minorHAnsi" w:hAnsiTheme="minorHAnsi" w:cstheme="minorHAnsi"/>
                <w:sz w:val="18"/>
                <w:szCs w:val="18"/>
              </w:rPr>
              <w:t>3.3 Identif</w:t>
            </w:r>
            <w:r w:rsidR="00565DA7">
              <w:rPr>
                <w:rFonts w:asciiTheme="minorHAnsi" w:hAnsiTheme="minorHAnsi" w:cstheme="minorHAnsi"/>
                <w:sz w:val="18"/>
                <w:szCs w:val="18"/>
              </w:rPr>
              <w:t>y</w:t>
            </w:r>
            <w:r w:rsidRPr="002D473C">
              <w:rPr>
                <w:rFonts w:asciiTheme="minorHAnsi" w:hAnsiTheme="minorHAnsi" w:cstheme="minorHAnsi"/>
                <w:sz w:val="18"/>
                <w:szCs w:val="18"/>
              </w:rPr>
              <w:t xml:space="preserve"> 10 community water retention installation </w:t>
            </w:r>
            <w:r w:rsidR="00565DA7">
              <w:rPr>
                <w:rFonts w:asciiTheme="minorHAnsi" w:hAnsiTheme="minorHAnsi" w:cstheme="minorHAnsi"/>
                <w:sz w:val="18"/>
                <w:szCs w:val="18"/>
              </w:rPr>
              <w:t xml:space="preserve">sites </w:t>
            </w:r>
            <w:r w:rsidRPr="002D473C">
              <w:rPr>
                <w:rFonts w:asciiTheme="minorHAnsi" w:hAnsiTheme="minorHAnsi" w:cstheme="minorHAnsi"/>
                <w:sz w:val="18"/>
                <w:szCs w:val="18"/>
              </w:rPr>
              <w:t>and construct with villagers and farmers, community associations</w:t>
            </w:r>
            <w:r w:rsidR="00565DA7">
              <w:rPr>
                <w:rFonts w:asciiTheme="minorHAnsi" w:hAnsiTheme="minorHAnsi" w:cstheme="minorHAnsi"/>
                <w:sz w:val="18"/>
                <w:szCs w:val="18"/>
              </w:rPr>
              <w:t>; and</w:t>
            </w:r>
            <w:r w:rsidRPr="002D473C">
              <w:rPr>
                <w:rFonts w:asciiTheme="minorHAnsi" w:hAnsiTheme="minorHAnsi" w:cstheme="minorHAnsi"/>
                <w:sz w:val="18"/>
                <w:szCs w:val="18"/>
              </w:rPr>
              <w:t xml:space="preserve"> </w:t>
            </w:r>
            <w:r w:rsidR="00565DA7">
              <w:rPr>
                <w:rFonts w:asciiTheme="minorHAnsi" w:hAnsiTheme="minorHAnsi" w:cstheme="minorHAnsi"/>
                <w:sz w:val="18"/>
                <w:szCs w:val="18"/>
              </w:rPr>
              <w:t xml:space="preserve">provide </w:t>
            </w:r>
            <w:r w:rsidRPr="002D473C">
              <w:rPr>
                <w:rFonts w:asciiTheme="minorHAnsi" w:hAnsiTheme="minorHAnsi" w:cstheme="minorHAnsi"/>
                <w:sz w:val="18"/>
                <w:szCs w:val="18"/>
              </w:rPr>
              <w:t>training on water disinfection methods</w:t>
            </w:r>
          </w:p>
        </w:tc>
        <w:tc>
          <w:tcPr>
            <w:tcW w:w="1364" w:type="pct"/>
            <w:tcMar>
              <w:left w:w="57" w:type="dxa"/>
              <w:right w:w="28" w:type="dxa"/>
            </w:tcMar>
          </w:tcPr>
          <w:p w14:paraId="4F8CD07B" w14:textId="77777777" w:rsidR="009563B4" w:rsidRPr="002D473C" w:rsidRDefault="009563B4" w:rsidP="00481CA4">
            <w:pPr>
              <w:rPr>
                <w:rFonts w:asciiTheme="minorHAnsi" w:hAnsiTheme="minorHAnsi" w:cstheme="minorHAnsi"/>
                <w:sz w:val="18"/>
                <w:szCs w:val="18"/>
              </w:rPr>
            </w:pPr>
            <w:r w:rsidRPr="002D473C">
              <w:rPr>
                <w:rFonts w:asciiTheme="minorHAnsi" w:hAnsiTheme="minorHAnsi" w:cstheme="minorHAnsi"/>
                <w:sz w:val="18"/>
                <w:szCs w:val="18"/>
              </w:rPr>
              <w:t>5 in each project landscape</w:t>
            </w:r>
          </w:p>
        </w:tc>
        <w:tc>
          <w:tcPr>
            <w:tcW w:w="1212" w:type="pct"/>
            <w:tcMar>
              <w:left w:w="57" w:type="dxa"/>
              <w:right w:w="28" w:type="dxa"/>
            </w:tcMar>
          </w:tcPr>
          <w:p w14:paraId="6826D659" w14:textId="77777777" w:rsidR="009563B4" w:rsidRPr="002D473C" w:rsidRDefault="009563B4" w:rsidP="00481CA4">
            <w:pPr>
              <w:rPr>
                <w:rFonts w:asciiTheme="minorHAnsi" w:hAnsiTheme="minorHAnsi" w:cstheme="minorHAnsi"/>
                <w:sz w:val="18"/>
                <w:szCs w:val="18"/>
              </w:rPr>
            </w:pPr>
          </w:p>
        </w:tc>
        <w:tc>
          <w:tcPr>
            <w:tcW w:w="657" w:type="pct"/>
            <w:tcMar>
              <w:left w:w="57" w:type="dxa"/>
              <w:right w:w="28" w:type="dxa"/>
            </w:tcMar>
          </w:tcPr>
          <w:p w14:paraId="34FA021A" w14:textId="1B1103F1" w:rsidR="009563B4" w:rsidRPr="002D473C" w:rsidRDefault="002F7513" w:rsidP="00481CA4">
            <w:pPr>
              <w:rPr>
                <w:rFonts w:asciiTheme="minorHAnsi" w:hAnsiTheme="minorHAnsi" w:cstheme="minorHAnsi"/>
                <w:sz w:val="18"/>
                <w:szCs w:val="18"/>
              </w:rPr>
            </w:pPr>
            <w:r>
              <w:rPr>
                <w:rFonts w:asciiTheme="minorHAnsi" w:hAnsiTheme="minorHAnsi" w:cstheme="minorHAnsi"/>
                <w:sz w:val="18"/>
                <w:szCs w:val="18"/>
              </w:rPr>
              <w:t>Budget allocated under Outcome 2.</w:t>
            </w:r>
            <w:r w:rsidR="002116D8">
              <w:rPr>
                <w:rFonts w:asciiTheme="minorHAnsi" w:hAnsiTheme="minorHAnsi" w:cstheme="minorHAnsi"/>
                <w:sz w:val="18"/>
                <w:szCs w:val="18"/>
              </w:rPr>
              <w:t>2</w:t>
            </w:r>
            <w:r>
              <w:rPr>
                <w:rFonts w:asciiTheme="minorHAnsi" w:hAnsiTheme="minorHAnsi" w:cstheme="minorHAnsi"/>
                <w:sz w:val="18"/>
                <w:szCs w:val="18"/>
              </w:rPr>
              <w:t xml:space="preserve"> / FFF-FFS</w:t>
            </w:r>
          </w:p>
        </w:tc>
      </w:tr>
      <w:tr w:rsidR="009563B4" w:rsidRPr="002D473C" w14:paraId="1D7CC393" w14:textId="77777777" w:rsidTr="009C7CBA">
        <w:tc>
          <w:tcPr>
            <w:tcW w:w="1767" w:type="pct"/>
            <w:tcMar>
              <w:left w:w="57" w:type="dxa"/>
              <w:right w:w="28" w:type="dxa"/>
            </w:tcMar>
          </w:tcPr>
          <w:p w14:paraId="16E51057" w14:textId="7106B6CD" w:rsidR="009563B4" w:rsidRPr="002D473C" w:rsidRDefault="009563B4" w:rsidP="00481CA4">
            <w:pPr>
              <w:rPr>
                <w:rFonts w:asciiTheme="minorHAnsi" w:hAnsiTheme="minorHAnsi" w:cstheme="minorHAnsi"/>
                <w:sz w:val="18"/>
                <w:szCs w:val="18"/>
              </w:rPr>
            </w:pPr>
            <w:r w:rsidRPr="002D473C">
              <w:rPr>
                <w:rFonts w:asciiTheme="minorHAnsi" w:hAnsiTheme="minorHAnsi" w:cstheme="minorHAnsi"/>
                <w:sz w:val="18"/>
                <w:szCs w:val="18"/>
              </w:rPr>
              <w:t>3.4 Construct wells, if applicable, with solar pumping mechanism</w:t>
            </w:r>
          </w:p>
        </w:tc>
        <w:tc>
          <w:tcPr>
            <w:tcW w:w="1364" w:type="pct"/>
            <w:tcMar>
              <w:left w:w="57" w:type="dxa"/>
              <w:right w:w="28" w:type="dxa"/>
            </w:tcMar>
          </w:tcPr>
          <w:p w14:paraId="6CB09878" w14:textId="77777777" w:rsidR="009563B4" w:rsidRPr="002D473C" w:rsidRDefault="009563B4" w:rsidP="00481CA4">
            <w:pPr>
              <w:rPr>
                <w:rFonts w:asciiTheme="minorHAnsi" w:hAnsiTheme="minorHAnsi" w:cstheme="minorHAnsi"/>
                <w:sz w:val="18"/>
                <w:szCs w:val="18"/>
              </w:rPr>
            </w:pPr>
            <w:r w:rsidRPr="002D473C">
              <w:rPr>
                <w:rFonts w:asciiTheme="minorHAnsi" w:hAnsiTheme="minorHAnsi" w:cstheme="minorHAnsi"/>
                <w:sz w:val="18"/>
                <w:szCs w:val="18"/>
              </w:rPr>
              <w:t>5 in each project landscape</w:t>
            </w:r>
          </w:p>
        </w:tc>
        <w:tc>
          <w:tcPr>
            <w:tcW w:w="1212" w:type="pct"/>
            <w:tcMar>
              <w:left w:w="57" w:type="dxa"/>
              <w:right w:w="28" w:type="dxa"/>
            </w:tcMar>
          </w:tcPr>
          <w:p w14:paraId="4DD61CA5" w14:textId="77777777" w:rsidR="009563B4" w:rsidRPr="002D473C" w:rsidRDefault="009563B4" w:rsidP="00481CA4">
            <w:pPr>
              <w:rPr>
                <w:rFonts w:asciiTheme="minorHAnsi" w:hAnsiTheme="minorHAnsi" w:cstheme="minorHAnsi"/>
                <w:sz w:val="18"/>
                <w:szCs w:val="18"/>
              </w:rPr>
            </w:pPr>
          </w:p>
        </w:tc>
        <w:tc>
          <w:tcPr>
            <w:tcW w:w="657" w:type="pct"/>
            <w:tcMar>
              <w:left w:w="57" w:type="dxa"/>
              <w:right w:w="28" w:type="dxa"/>
            </w:tcMar>
          </w:tcPr>
          <w:p w14:paraId="2A15B2E5" w14:textId="1D9861A6" w:rsidR="009563B4" w:rsidRPr="002D473C" w:rsidRDefault="002F7513" w:rsidP="00481CA4">
            <w:pPr>
              <w:rPr>
                <w:rFonts w:asciiTheme="minorHAnsi" w:hAnsiTheme="minorHAnsi" w:cstheme="minorHAnsi"/>
                <w:sz w:val="18"/>
                <w:szCs w:val="18"/>
              </w:rPr>
            </w:pPr>
            <w:r>
              <w:rPr>
                <w:rFonts w:asciiTheme="minorHAnsi" w:hAnsiTheme="minorHAnsi" w:cstheme="minorHAnsi"/>
                <w:sz w:val="18"/>
                <w:szCs w:val="18"/>
              </w:rPr>
              <w:t>Budget allocated under Outcome 2.</w:t>
            </w:r>
            <w:r w:rsidR="00C1629E">
              <w:rPr>
                <w:rFonts w:asciiTheme="minorHAnsi" w:hAnsiTheme="minorHAnsi" w:cstheme="minorHAnsi"/>
                <w:sz w:val="18"/>
                <w:szCs w:val="18"/>
              </w:rPr>
              <w:t>2</w:t>
            </w:r>
            <w:r>
              <w:rPr>
                <w:rFonts w:asciiTheme="minorHAnsi" w:hAnsiTheme="minorHAnsi" w:cstheme="minorHAnsi"/>
                <w:sz w:val="18"/>
                <w:szCs w:val="18"/>
              </w:rPr>
              <w:t xml:space="preserve"> / FFF-FFS</w:t>
            </w:r>
          </w:p>
        </w:tc>
      </w:tr>
      <w:tr w:rsidR="009563B4" w:rsidRPr="002D473C" w14:paraId="44BC2836" w14:textId="77777777" w:rsidTr="00CC1CA2">
        <w:tc>
          <w:tcPr>
            <w:tcW w:w="1767" w:type="pct"/>
            <w:shd w:val="clear" w:color="auto" w:fill="auto"/>
            <w:tcMar>
              <w:left w:w="57" w:type="dxa"/>
              <w:right w:w="28" w:type="dxa"/>
            </w:tcMar>
          </w:tcPr>
          <w:p w14:paraId="5667A3B6" w14:textId="3D21A75A" w:rsidR="009563B4" w:rsidRPr="002D473C" w:rsidRDefault="009563B4" w:rsidP="00481CA4">
            <w:pPr>
              <w:rPr>
                <w:rFonts w:asciiTheme="minorHAnsi" w:hAnsiTheme="minorHAnsi" w:cstheme="minorHAnsi"/>
                <w:sz w:val="18"/>
                <w:szCs w:val="18"/>
              </w:rPr>
            </w:pPr>
            <w:r w:rsidRPr="002D473C">
              <w:rPr>
                <w:rFonts w:asciiTheme="minorHAnsi" w:hAnsiTheme="minorHAnsi" w:cstheme="minorHAnsi"/>
                <w:sz w:val="18"/>
                <w:szCs w:val="18"/>
              </w:rPr>
              <w:t>3.5 Test and train 50</w:t>
            </w:r>
            <w:r w:rsidR="00565DA7">
              <w:rPr>
                <w:rFonts w:asciiTheme="minorHAnsi" w:hAnsiTheme="minorHAnsi" w:cstheme="minorHAnsi"/>
                <w:sz w:val="18"/>
                <w:szCs w:val="18"/>
              </w:rPr>
              <w:t xml:space="preserve"> women</w:t>
            </w:r>
            <w:r w:rsidRPr="002D473C">
              <w:rPr>
                <w:rFonts w:asciiTheme="minorHAnsi" w:hAnsiTheme="minorHAnsi" w:cstheme="minorHAnsi"/>
                <w:sz w:val="18"/>
                <w:szCs w:val="18"/>
              </w:rPr>
              <w:t>/50 men on improved charcoal kilns, later implement 10 kilns</w:t>
            </w:r>
          </w:p>
        </w:tc>
        <w:tc>
          <w:tcPr>
            <w:tcW w:w="1364" w:type="pct"/>
            <w:shd w:val="clear" w:color="auto" w:fill="auto"/>
            <w:tcMar>
              <w:left w:w="57" w:type="dxa"/>
              <w:right w:w="28" w:type="dxa"/>
            </w:tcMar>
          </w:tcPr>
          <w:p w14:paraId="610057A1" w14:textId="77777777" w:rsidR="009563B4" w:rsidRPr="002D473C" w:rsidRDefault="009563B4" w:rsidP="00481CA4">
            <w:pPr>
              <w:rPr>
                <w:rFonts w:asciiTheme="minorHAnsi" w:hAnsiTheme="minorHAnsi" w:cstheme="minorHAnsi"/>
                <w:sz w:val="18"/>
                <w:szCs w:val="18"/>
              </w:rPr>
            </w:pPr>
            <w:r w:rsidRPr="002D473C">
              <w:rPr>
                <w:rFonts w:asciiTheme="minorHAnsi" w:hAnsiTheme="minorHAnsi" w:cstheme="minorHAnsi"/>
                <w:sz w:val="18"/>
                <w:szCs w:val="18"/>
              </w:rPr>
              <w:t>1 in each project landscape</w:t>
            </w:r>
          </w:p>
        </w:tc>
        <w:tc>
          <w:tcPr>
            <w:tcW w:w="1212" w:type="pct"/>
            <w:shd w:val="clear" w:color="auto" w:fill="auto"/>
            <w:tcMar>
              <w:left w:w="57" w:type="dxa"/>
              <w:right w:w="28" w:type="dxa"/>
            </w:tcMar>
          </w:tcPr>
          <w:p w14:paraId="652EA583" w14:textId="77777777" w:rsidR="009563B4" w:rsidRPr="002D473C" w:rsidRDefault="009563B4" w:rsidP="00481CA4">
            <w:pPr>
              <w:rPr>
                <w:rFonts w:asciiTheme="minorHAnsi" w:hAnsiTheme="minorHAnsi" w:cstheme="minorHAnsi"/>
                <w:sz w:val="18"/>
                <w:szCs w:val="18"/>
              </w:rPr>
            </w:pPr>
          </w:p>
        </w:tc>
        <w:tc>
          <w:tcPr>
            <w:tcW w:w="657" w:type="pct"/>
            <w:shd w:val="clear" w:color="auto" w:fill="auto"/>
            <w:tcMar>
              <w:left w:w="57" w:type="dxa"/>
              <w:right w:w="28" w:type="dxa"/>
            </w:tcMar>
          </w:tcPr>
          <w:p w14:paraId="49906D41" w14:textId="79E6E442" w:rsidR="009563B4" w:rsidRPr="002D473C" w:rsidRDefault="002F7513" w:rsidP="00481CA4">
            <w:pPr>
              <w:rPr>
                <w:rFonts w:asciiTheme="minorHAnsi" w:hAnsiTheme="minorHAnsi" w:cstheme="minorHAnsi"/>
                <w:sz w:val="18"/>
                <w:szCs w:val="18"/>
              </w:rPr>
            </w:pPr>
            <w:r>
              <w:rPr>
                <w:rFonts w:asciiTheme="minorHAnsi" w:hAnsiTheme="minorHAnsi" w:cstheme="minorHAnsi"/>
                <w:sz w:val="18"/>
                <w:szCs w:val="18"/>
              </w:rPr>
              <w:t>Budget allocated under Outcome 2.</w:t>
            </w:r>
            <w:r w:rsidR="00C1629E">
              <w:rPr>
                <w:rFonts w:asciiTheme="minorHAnsi" w:hAnsiTheme="minorHAnsi" w:cstheme="minorHAnsi"/>
                <w:sz w:val="18"/>
                <w:szCs w:val="18"/>
              </w:rPr>
              <w:t>2</w:t>
            </w:r>
            <w:r>
              <w:rPr>
                <w:rFonts w:asciiTheme="minorHAnsi" w:hAnsiTheme="minorHAnsi" w:cstheme="minorHAnsi"/>
                <w:sz w:val="18"/>
                <w:szCs w:val="18"/>
              </w:rPr>
              <w:t xml:space="preserve"> / FFF-FFS</w:t>
            </w:r>
          </w:p>
        </w:tc>
      </w:tr>
      <w:tr w:rsidR="009563B4" w:rsidRPr="002D473C" w14:paraId="045D68A9" w14:textId="77777777" w:rsidTr="00CC1CA2">
        <w:tc>
          <w:tcPr>
            <w:tcW w:w="1767" w:type="pct"/>
            <w:shd w:val="clear" w:color="auto" w:fill="auto"/>
            <w:tcMar>
              <w:left w:w="57" w:type="dxa"/>
              <w:right w:w="28" w:type="dxa"/>
            </w:tcMar>
          </w:tcPr>
          <w:p w14:paraId="16339468" w14:textId="4F1DED4E" w:rsidR="009563B4" w:rsidRPr="002D473C" w:rsidRDefault="009563B4" w:rsidP="00481CA4">
            <w:pPr>
              <w:rPr>
                <w:rFonts w:asciiTheme="minorHAnsi" w:hAnsiTheme="minorHAnsi" w:cstheme="minorHAnsi"/>
                <w:b/>
                <w:bCs/>
                <w:i/>
                <w:iCs/>
                <w:sz w:val="18"/>
                <w:szCs w:val="18"/>
              </w:rPr>
            </w:pPr>
            <w:r w:rsidRPr="002D473C">
              <w:rPr>
                <w:rFonts w:asciiTheme="minorHAnsi" w:hAnsiTheme="minorHAnsi" w:cstheme="minorHAnsi"/>
                <w:b/>
                <w:bCs/>
                <w:i/>
                <w:iCs/>
                <w:sz w:val="18"/>
                <w:szCs w:val="18"/>
              </w:rPr>
              <w:t>4.  Women and men learn together how they become more resilient to LD and CC</w:t>
            </w:r>
          </w:p>
        </w:tc>
        <w:tc>
          <w:tcPr>
            <w:tcW w:w="1364" w:type="pct"/>
            <w:shd w:val="clear" w:color="auto" w:fill="auto"/>
            <w:tcMar>
              <w:left w:w="57" w:type="dxa"/>
              <w:right w:w="28" w:type="dxa"/>
            </w:tcMar>
          </w:tcPr>
          <w:p w14:paraId="53D11726" w14:textId="1F7937F7" w:rsidR="009563B4" w:rsidRPr="00565DA7" w:rsidRDefault="009563B4" w:rsidP="00481CA4">
            <w:pPr>
              <w:rPr>
                <w:rFonts w:asciiTheme="minorHAnsi" w:hAnsiTheme="minorHAnsi" w:cstheme="minorHAnsi"/>
                <w:b/>
                <w:bCs/>
                <w:i/>
                <w:iCs/>
                <w:sz w:val="18"/>
                <w:szCs w:val="18"/>
              </w:rPr>
            </w:pPr>
            <w:r w:rsidRPr="00565DA7">
              <w:rPr>
                <w:rFonts w:asciiTheme="minorHAnsi" w:hAnsiTheme="minorHAnsi" w:cstheme="minorHAnsi"/>
                <w:b/>
                <w:bCs/>
                <w:i/>
                <w:iCs/>
                <w:sz w:val="18"/>
                <w:szCs w:val="18"/>
              </w:rPr>
              <w:t xml:space="preserve">Throughout implementation: </w:t>
            </w:r>
            <w:r w:rsidR="00565DA7">
              <w:rPr>
                <w:rFonts w:asciiTheme="minorHAnsi" w:hAnsiTheme="minorHAnsi" w:cstheme="minorHAnsi"/>
                <w:b/>
                <w:bCs/>
                <w:i/>
                <w:iCs/>
                <w:sz w:val="18"/>
                <w:szCs w:val="18"/>
              </w:rPr>
              <w:t>f</w:t>
            </w:r>
            <w:r w:rsidRPr="00565DA7">
              <w:rPr>
                <w:rFonts w:asciiTheme="minorHAnsi" w:hAnsiTheme="minorHAnsi" w:cstheme="minorHAnsi"/>
                <w:b/>
                <w:bCs/>
                <w:i/>
                <w:iCs/>
                <w:sz w:val="18"/>
                <w:szCs w:val="18"/>
              </w:rPr>
              <w:t>oster women’s full access and equal participation in activities of the Agricultural Support Services</w:t>
            </w:r>
          </w:p>
        </w:tc>
        <w:tc>
          <w:tcPr>
            <w:tcW w:w="1212" w:type="pct"/>
            <w:shd w:val="clear" w:color="auto" w:fill="auto"/>
            <w:tcMar>
              <w:left w:w="57" w:type="dxa"/>
              <w:right w:w="28" w:type="dxa"/>
            </w:tcMar>
          </w:tcPr>
          <w:p w14:paraId="1771DD95" w14:textId="77777777" w:rsidR="009563B4" w:rsidRPr="002D473C" w:rsidRDefault="009563B4" w:rsidP="00481CA4">
            <w:pPr>
              <w:rPr>
                <w:rFonts w:asciiTheme="minorHAnsi" w:hAnsiTheme="minorHAnsi" w:cstheme="minorHAnsi"/>
                <w:b/>
                <w:bCs/>
                <w:i/>
                <w:iCs/>
                <w:sz w:val="18"/>
                <w:szCs w:val="18"/>
              </w:rPr>
            </w:pPr>
            <w:r w:rsidRPr="002D473C">
              <w:rPr>
                <w:rFonts w:asciiTheme="minorHAnsi" w:hAnsiTheme="minorHAnsi" w:cstheme="minorHAnsi"/>
                <w:b/>
                <w:bCs/>
                <w:i/>
                <w:iCs/>
                <w:sz w:val="18"/>
                <w:szCs w:val="18"/>
              </w:rPr>
              <w:t>[as below]</w:t>
            </w:r>
          </w:p>
        </w:tc>
        <w:tc>
          <w:tcPr>
            <w:tcW w:w="657" w:type="pct"/>
            <w:shd w:val="clear" w:color="auto" w:fill="auto"/>
            <w:tcMar>
              <w:left w:w="57" w:type="dxa"/>
              <w:right w:w="28" w:type="dxa"/>
            </w:tcMar>
          </w:tcPr>
          <w:p w14:paraId="064E4944" w14:textId="77777777" w:rsidR="009563B4" w:rsidRPr="002D473C" w:rsidRDefault="009563B4" w:rsidP="00481CA4">
            <w:pPr>
              <w:rPr>
                <w:rFonts w:asciiTheme="minorHAnsi" w:hAnsiTheme="minorHAnsi" w:cstheme="minorHAnsi"/>
                <w:b/>
                <w:bCs/>
                <w:i/>
                <w:iCs/>
                <w:sz w:val="18"/>
                <w:szCs w:val="18"/>
              </w:rPr>
            </w:pPr>
            <w:r w:rsidRPr="002D473C">
              <w:rPr>
                <w:rFonts w:asciiTheme="minorHAnsi" w:hAnsiTheme="minorHAnsi" w:cstheme="minorHAnsi"/>
                <w:b/>
                <w:bCs/>
                <w:i/>
                <w:iCs/>
                <w:sz w:val="18"/>
                <w:szCs w:val="18"/>
              </w:rPr>
              <w:t>[as below]</w:t>
            </w:r>
          </w:p>
        </w:tc>
      </w:tr>
      <w:tr w:rsidR="009563B4" w:rsidRPr="002D473C" w14:paraId="70A145B7" w14:textId="77777777" w:rsidTr="00CC1CA2">
        <w:tc>
          <w:tcPr>
            <w:tcW w:w="1767" w:type="pct"/>
            <w:shd w:val="clear" w:color="auto" w:fill="auto"/>
            <w:tcMar>
              <w:left w:w="57" w:type="dxa"/>
              <w:right w:w="28" w:type="dxa"/>
            </w:tcMar>
          </w:tcPr>
          <w:p w14:paraId="153832C2" w14:textId="2F1DC15C" w:rsidR="009563B4" w:rsidRPr="002D473C" w:rsidRDefault="009563B4" w:rsidP="00481CA4">
            <w:pPr>
              <w:rPr>
                <w:rFonts w:asciiTheme="minorHAnsi" w:hAnsiTheme="minorHAnsi" w:cstheme="minorHAnsi"/>
                <w:sz w:val="18"/>
                <w:szCs w:val="18"/>
              </w:rPr>
            </w:pPr>
            <w:r w:rsidRPr="002D473C">
              <w:rPr>
                <w:rFonts w:asciiTheme="minorHAnsi" w:hAnsiTheme="minorHAnsi" w:cstheme="minorHAnsi"/>
                <w:sz w:val="18"/>
                <w:szCs w:val="18"/>
              </w:rPr>
              <w:lastRenderedPageBreak/>
              <w:t>4.1 Functional alphabet courses for young girls, women, boys and men, as applicable for the project zone; r</w:t>
            </w:r>
            <w:r w:rsidR="00565DA7">
              <w:rPr>
                <w:rFonts w:asciiTheme="minorHAnsi" w:hAnsiTheme="minorHAnsi" w:cstheme="minorHAnsi"/>
                <w:sz w:val="18"/>
                <w:szCs w:val="18"/>
              </w:rPr>
              <w:t>a</w:t>
            </w:r>
            <w:r w:rsidRPr="002D473C">
              <w:rPr>
                <w:rFonts w:asciiTheme="minorHAnsi" w:hAnsiTheme="minorHAnsi" w:cstheme="minorHAnsi"/>
                <w:sz w:val="18"/>
                <w:szCs w:val="18"/>
              </w:rPr>
              <w:t xml:space="preserve">ising education levels through formal school, agricultural training </w:t>
            </w:r>
          </w:p>
        </w:tc>
        <w:tc>
          <w:tcPr>
            <w:tcW w:w="1364" w:type="pct"/>
            <w:shd w:val="clear" w:color="auto" w:fill="auto"/>
            <w:tcMar>
              <w:left w:w="57" w:type="dxa"/>
              <w:right w:w="28" w:type="dxa"/>
            </w:tcMar>
          </w:tcPr>
          <w:p w14:paraId="2442CBAC" w14:textId="789227B3" w:rsidR="009563B4" w:rsidRPr="002D473C" w:rsidRDefault="00990260" w:rsidP="00481CA4">
            <w:pPr>
              <w:rPr>
                <w:rFonts w:asciiTheme="minorHAnsi" w:hAnsiTheme="minorHAnsi" w:cstheme="minorHAnsi"/>
                <w:sz w:val="18"/>
                <w:szCs w:val="18"/>
              </w:rPr>
            </w:pPr>
            <w:r>
              <w:rPr>
                <w:rFonts w:asciiTheme="minorHAnsi" w:hAnsiTheme="minorHAnsi" w:cstheme="minorHAnsi"/>
                <w:sz w:val="18"/>
                <w:szCs w:val="18"/>
              </w:rPr>
              <w:t>As per FFS methodology</w:t>
            </w:r>
          </w:p>
        </w:tc>
        <w:tc>
          <w:tcPr>
            <w:tcW w:w="1212" w:type="pct"/>
            <w:shd w:val="clear" w:color="auto" w:fill="auto"/>
            <w:tcMar>
              <w:left w:w="57" w:type="dxa"/>
              <w:right w:w="28" w:type="dxa"/>
            </w:tcMar>
          </w:tcPr>
          <w:p w14:paraId="318C483F" w14:textId="77777777" w:rsidR="009563B4" w:rsidRPr="002D473C" w:rsidRDefault="009563B4" w:rsidP="00481CA4">
            <w:pPr>
              <w:rPr>
                <w:rFonts w:asciiTheme="minorHAnsi" w:hAnsiTheme="minorHAnsi" w:cstheme="minorHAnsi"/>
                <w:sz w:val="18"/>
                <w:szCs w:val="18"/>
              </w:rPr>
            </w:pPr>
            <w:r w:rsidRPr="002D473C">
              <w:rPr>
                <w:rFonts w:asciiTheme="minorHAnsi" w:hAnsiTheme="minorHAnsi" w:cstheme="minorHAnsi"/>
                <w:sz w:val="18"/>
                <w:szCs w:val="18"/>
              </w:rPr>
              <w:t>Participants: gender parity is the goal</w:t>
            </w:r>
          </w:p>
        </w:tc>
        <w:tc>
          <w:tcPr>
            <w:tcW w:w="657" w:type="pct"/>
            <w:shd w:val="clear" w:color="auto" w:fill="auto"/>
            <w:tcMar>
              <w:left w:w="57" w:type="dxa"/>
              <w:right w:w="28" w:type="dxa"/>
            </w:tcMar>
          </w:tcPr>
          <w:p w14:paraId="6DBC6CA7" w14:textId="46A8892B" w:rsidR="009563B4" w:rsidRPr="002D473C" w:rsidRDefault="0078288B" w:rsidP="00481CA4">
            <w:pPr>
              <w:rPr>
                <w:rFonts w:asciiTheme="minorHAnsi" w:hAnsiTheme="minorHAnsi" w:cstheme="minorHAnsi"/>
                <w:sz w:val="18"/>
                <w:szCs w:val="18"/>
              </w:rPr>
            </w:pPr>
            <w:r>
              <w:rPr>
                <w:rFonts w:asciiTheme="minorHAnsi" w:hAnsiTheme="minorHAnsi" w:cstheme="minorHAnsi"/>
                <w:sz w:val="18"/>
                <w:szCs w:val="18"/>
              </w:rPr>
              <w:t>Budget allocated under Outcome 2.2 / FFS</w:t>
            </w:r>
          </w:p>
        </w:tc>
      </w:tr>
      <w:tr w:rsidR="009563B4" w:rsidRPr="002D473C" w14:paraId="087181AA" w14:textId="77777777" w:rsidTr="009C7CBA">
        <w:tc>
          <w:tcPr>
            <w:tcW w:w="1767" w:type="pct"/>
            <w:tcMar>
              <w:left w:w="57" w:type="dxa"/>
              <w:right w:w="28" w:type="dxa"/>
            </w:tcMar>
          </w:tcPr>
          <w:p w14:paraId="75FC71D7" w14:textId="77777777" w:rsidR="009563B4" w:rsidRPr="002D473C" w:rsidRDefault="009563B4" w:rsidP="00481CA4">
            <w:pPr>
              <w:rPr>
                <w:rFonts w:asciiTheme="minorHAnsi" w:hAnsiTheme="minorHAnsi" w:cstheme="minorHAnsi"/>
                <w:sz w:val="18"/>
                <w:szCs w:val="18"/>
              </w:rPr>
            </w:pPr>
            <w:r w:rsidRPr="002D473C">
              <w:rPr>
                <w:rFonts w:asciiTheme="minorHAnsi" w:hAnsiTheme="minorHAnsi" w:cstheme="minorHAnsi"/>
                <w:sz w:val="18"/>
                <w:szCs w:val="18"/>
              </w:rPr>
              <w:t>4.2 Agricultural extension mechanisms through the FAO mechanism:  information/training on crop and livestock production and management, post-harvest food storage, pest management practices, pests and crop diseases, adaptation practices overall</w:t>
            </w:r>
          </w:p>
        </w:tc>
        <w:tc>
          <w:tcPr>
            <w:tcW w:w="1364" w:type="pct"/>
            <w:tcMar>
              <w:left w:w="57" w:type="dxa"/>
              <w:right w:w="28" w:type="dxa"/>
            </w:tcMar>
          </w:tcPr>
          <w:p w14:paraId="29713144" w14:textId="235F1D59" w:rsidR="009563B4" w:rsidRPr="002D473C" w:rsidRDefault="009B3D27" w:rsidP="00481CA4">
            <w:pPr>
              <w:rPr>
                <w:rFonts w:asciiTheme="minorHAnsi" w:hAnsiTheme="minorHAnsi" w:cstheme="minorHAnsi"/>
                <w:sz w:val="18"/>
                <w:szCs w:val="18"/>
              </w:rPr>
            </w:pPr>
            <w:r>
              <w:rPr>
                <w:rFonts w:asciiTheme="minorHAnsi" w:hAnsiTheme="minorHAnsi" w:cstheme="minorHAnsi"/>
                <w:sz w:val="18"/>
                <w:szCs w:val="18"/>
              </w:rPr>
              <w:t>As per FFS</w:t>
            </w:r>
            <w:r w:rsidR="00990260">
              <w:rPr>
                <w:rFonts w:asciiTheme="minorHAnsi" w:hAnsiTheme="minorHAnsi" w:cstheme="minorHAnsi"/>
                <w:sz w:val="18"/>
                <w:szCs w:val="18"/>
              </w:rPr>
              <w:t xml:space="preserve"> methodology</w:t>
            </w:r>
          </w:p>
        </w:tc>
        <w:tc>
          <w:tcPr>
            <w:tcW w:w="1212" w:type="pct"/>
            <w:tcMar>
              <w:left w:w="57" w:type="dxa"/>
              <w:right w:w="28" w:type="dxa"/>
            </w:tcMar>
          </w:tcPr>
          <w:p w14:paraId="767BC8B4" w14:textId="77777777" w:rsidR="009563B4" w:rsidRPr="002D473C" w:rsidRDefault="009563B4" w:rsidP="00481CA4">
            <w:pPr>
              <w:rPr>
                <w:rFonts w:asciiTheme="minorHAnsi" w:hAnsiTheme="minorHAnsi" w:cstheme="minorHAnsi"/>
                <w:sz w:val="18"/>
                <w:szCs w:val="18"/>
              </w:rPr>
            </w:pPr>
            <w:r w:rsidRPr="002D473C">
              <w:rPr>
                <w:rFonts w:asciiTheme="minorHAnsi" w:hAnsiTheme="minorHAnsi" w:cstheme="minorHAnsi"/>
                <w:sz w:val="18"/>
                <w:szCs w:val="18"/>
              </w:rPr>
              <w:t>Participants: gender parity is the goal</w:t>
            </w:r>
          </w:p>
        </w:tc>
        <w:tc>
          <w:tcPr>
            <w:tcW w:w="657" w:type="pct"/>
            <w:tcMar>
              <w:left w:w="57" w:type="dxa"/>
              <w:right w:w="28" w:type="dxa"/>
            </w:tcMar>
          </w:tcPr>
          <w:p w14:paraId="05CF9AC7" w14:textId="2823EB4D" w:rsidR="009563B4" w:rsidRPr="002D473C" w:rsidRDefault="009563B4" w:rsidP="00481CA4">
            <w:pPr>
              <w:rPr>
                <w:rFonts w:asciiTheme="minorHAnsi" w:hAnsiTheme="minorHAnsi" w:cstheme="minorHAnsi"/>
                <w:sz w:val="18"/>
                <w:szCs w:val="18"/>
              </w:rPr>
            </w:pPr>
            <w:r w:rsidRPr="002D473C">
              <w:rPr>
                <w:rFonts w:asciiTheme="minorHAnsi" w:hAnsiTheme="minorHAnsi" w:cstheme="minorHAnsi"/>
                <w:sz w:val="18"/>
                <w:szCs w:val="18"/>
              </w:rPr>
              <w:t xml:space="preserve">NA – already included in respective budgets for the FFS / FFF </w:t>
            </w:r>
          </w:p>
        </w:tc>
      </w:tr>
      <w:tr w:rsidR="009563B4" w:rsidRPr="002D473C" w14:paraId="33815FB5" w14:textId="77777777" w:rsidTr="009C7CBA">
        <w:tc>
          <w:tcPr>
            <w:tcW w:w="1767" w:type="pct"/>
            <w:tcMar>
              <w:left w:w="57" w:type="dxa"/>
              <w:right w:w="28" w:type="dxa"/>
            </w:tcMar>
          </w:tcPr>
          <w:p w14:paraId="4DA1A11E" w14:textId="6F8C15CF" w:rsidR="009563B4" w:rsidRPr="002D473C" w:rsidRDefault="009563B4" w:rsidP="00481CA4">
            <w:pPr>
              <w:rPr>
                <w:rFonts w:asciiTheme="minorHAnsi" w:hAnsiTheme="minorHAnsi" w:cstheme="minorHAnsi"/>
                <w:sz w:val="18"/>
                <w:szCs w:val="18"/>
              </w:rPr>
            </w:pPr>
            <w:r w:rsidRPr="002D473C">
              <w:rPr>
                <w:rFonts w:asciiTheme="minorHAnsi" w:hAnsiTheme="minorHAnsi" w:cstheme="minorHAnsi"/>
                <w:sz w:val="18"/>
                <w:szCs w:val="18"/>
              </w:rPr>
              <w:t>4.3 Special training of women and men on integrated management and use of sustainable alternatives</w:t>
            </w:r>
            <w:r w:rsidR="00E4236D">
              <w:rPr>
                <w:rFonts w:asciiTheme="minorHAnsi" w:hAnsiTheme="minorHAnsi" w:cstheme="minorHAnsi"/>
                <w:sz w:val="18"/>
                <w:szCs w:val="18"/>
              </w:rPr>
              <w:t>,</w:t>
            </w:r>
            <w:r w:rsidRPr="002D473C">
              <w:rPr>
                <w:rFonts w:asciiTheme="minorHAnsi" w:hAnsiTheme="minorHAnsi" w:cstheme="minorHAnsi"/>
                <w:sz w:val="18"/>
                <w:szCs w:val="18"/>
              </w:rPr>
              <w:t xml:space="preserve"> such as natural pesticides, crop rotation</w:t>
            </w:r>
            <w:r w:rsidR="00E4236D">
              <w:rPr>
                <w:rFonts w:asciiTheme="minorHAnsi" w:hAnsiTheme="minorHAnsi" w:cstheme="minorHAnsi"/>
                <w:sz w:val="18"/>
                <w:szCs w:val="18"/>
              </w:rPr>
              <w:t>,</w:t>
            </w:r>
            <w:r w:rsidRPr="002D473C">
              <w:rPr>
                <w:rFonts w:asciiTheme="minorHAnsi" w:hAnsiTheme="minorHAnsi" w:cstheme="minorHAnsi"/>
                <w:sz w:val="18"/>
                <w:szCs w:val="18"/>
              </w:rPr>
              <w:t xml:space="preserve"> increased biodiversity, irrigation and reforestation activities.</w:t>
            </w:r>
          </w:p>
        </w:tc>
        <w:tc>
          <w:tcPr>
            <w:tcW w:w="1364" w:type="pct"/>
            <w:tcMar>
              <w:left w:w="57" w:type="dxa"/>
              <w:right w:w="28" w:type="dxa"/>
            </w:tcMar>
          </w:tcPr>
          <w:p w14:paraId="32C9F56B" w14:textId="710C4A08" w:rsidR="009563B4" w:rsidRPr="002D473C" w:rsidRDefault="00990260" w:rsidP="00481CA4">
            <w:pPr>
              <w:rPr>
                <w:rFonts w:asciiTheme="minorHAnsi" w:hAnsiTheme="minorHAnsi" w:cstheme="minorHAnsi"/>
                <w:sz w:val="18"/>
                <w:szCs w:val="18"/>
              </w:rPr>
            </w:pPr>
            <w:r>
              <w:rPr>
                <w:rFonts w:asciiTheme="minorHAnsi" w:hAnsiTheme="minorHAnsi" w:cstheme="minorHAnsi"/>
                <w:sz w:val="18"/>
                <w:szCs w:val="18"/>
              </w:rPr>
              <w:t>As per FFS methodology</w:t>
            </w:r>
          </w:p>
        </w:tc>
        <w:tc>
          <w:tcPr>
            <w:tcW w:w="1212" w:type="pct"/>
            <w:tcMar>
              <w:left w:w="57" w:type="dxa"/>
              <w:right w:w="28" w:type="dxa"/>
            </w:tcMar>
          </w:tcPr>
          <w:p w14:paraId="08D8CCA3" w14:textId="77777777" w:rsidR="009563B4" w:rsidRPr="002D473C" w:rsidRDefault="009563B4" w:rsidP="00481CA4">
            <w:pPr>
              <w:rPr>
                <w:rFonts w:asciiTheme="minorHAnsi" w:hAnsiTheme="minorHAnsi" w:cstheme="minorHAnsi"/>
                <w:sz w:val="18"/>
                <w:szCs w:val="18"/>
              </w:rPr>
            </w:pPr>
            <w:r w:rsidRPr="002D473C">
              <w:rPr>
                <w:rFonts w:asciiTheme="minorHAnsi" w:hAnsiTheme="minorHAnsi" w:cstheme="minorHAnsi"/>
                <w:sz w:val="18"/>
                <w:szCs w:val="18"/>
              </w:rPr>
              <w:t>Participants: gender parity is the goal</w:t>
            </w:r>
          </w:p>
          <w:p w14:paraId="002F36A0" w14:textId="77777777" w:rsidR="009563B4" w:rsidRPr="002D473C" w:rsidRDefault="009563B4" w:rsidP="00481CA4">
            <w:pPr>
              <w:rPr>
                <w:rFonts w:asciiTheme="minorHAnsi" w:hAnsiTheme="minorHAnsi" w:cstheme="minorHAnsi"/>
                <w:sz w:val="18"/>
                <w:szCs w:val="18"/>
              </w:rPr>
            </w:pPr>
          </w:p>
        </w:tc>
        <w:tc>
          <w:tcPr>
            <w:tcW w:w="657" w:type="pct"/>
            <w:tcMar>
              <w:left w:w="57" w:type="dxa"/>
              <w:right w:w="28" w:type="dxa"/>
            </w:tcMar>
          </w:tcPr>
          <w:p w14:paraId="2E4F4E73" w14:textId="2D38FBE5" w:rsidR="009563B4" w:rsidRPr="002D473C" w:rsidRDefault="009563B4" w:rsidP="00481CA4">
            <w:pPr>
              <w:rPr>
                <w:rFonts w:asciiTheme="minorHAnsi" w:hAnsiTheme="minorHAnsi" w:cstheme="minorHAnsi"/>
                <w:sz w:val="18"/>
                <w:szCs w:val="18"/>
              </w:rPr>
            </w:pPr>
            <w:r w:rsidRPr="002D473C">
              <w:rPr>
                <w:rFonts w:asciiTheme="minorHAnsi" w:hAnsiTheme="minorHAnsi" w:cstheme="minorHAnsi"/>
                <w:sz w:val="18"/>
                <w:szCs w:val="18"/>
              </w:rPr>
              <w:t>NA – already included in respective budgets for the FFS / FFF</w:t>
            </w:r>
          </w:p>
        </w:tc>
      </w:tr>
      <w:tr w:rsidR="009563B4" w:rsidRPr="002D473C" w14:paraId="51977A40" w14:textId="77777777" w:rsidTr="009C7CBA">
        <w:tc>
          <w:tcPr>
            <w:tcW w:w="1767" w:type="pct"/>
            <w:tcMar>
              <w:left w:w="57" w:type="dxa"/>
              <w:right w:w="28" w:type="dxa"/>
            </w:tcMar>
          </w:tcPr>
          <w:p w14:paraId="3833D47C" w14:textId="6A5FE41B" w:rsidR="009563B4" w:rsidRPr="002D473C" w:rsidRDefault="009563B4" w:rsidP="00481CA4">
            <w:pPr>
              <w:rPr>
                <w:rFonts w:asciiTheme="minorHAnsi" w:hAnsiTheme="minorHAnsi" w:cstheme="minorHAnsi"/>
                <w:sz w:val="18"/>
                <w:szCs w:val="18"/>
              </w:rPr>
            </w:pPr>
            <w:r w:rsidRPr="002D473C">
              <w:rPr>
                <w:rFonts w:asciiTheme="minorHAnsi" w:hAnsiTheme="minorHAnsi" w:cstheme="minorHAnsi"/>
                <w:sz w:val="18"/>
                <w:szCs w:val="18"/>
              </w:rPr>
              <w:t>4.4 Community training: women/men parity participants on the use of climate information services, Climate Smart Agri</w:t>
            </w:r>
            <w:r w:rsidR="00E4236D">
              <w:rPr>
                <w:rFonts w:asciiTheme="minorHAnsi" w:hAnsiTheme="minorHAnsi" w:cstheme="minorHAnsi"/>
                <w:sz w:val="18"/>
                <w:szCs w:val="18"/>
              </w:rPr>
              <w:t>culture</w:t>
            </w:r>
            <w:r w:rsidRPr="002D473C">
              <w:rPr>
                <w:rFonts w:asciiTheme="minorHAnsi" w:hAnsiTheme="minorHAnsi" w:cstheme="minorHAnsi"/>
                <w:sz w:val="18"/>
                <w:szCs w:val="18"/>
              </w:rPr>
              <w:t xml:space="preserve">, including e-sources, to improve climate </w:t>
            </w:r>
            <w:r w:rsidR="00E4236D">
              <w:rPr>
                <w:rFonts w:asciiTheme="minorHAnsi" w:hAnsiTheme="minorHAnsi" w:cstheme="minorHAnsi"/>
                <w:sz w:val="18"/>
                <w:szCs w:val="18"/>
              </w:rPr>
              <w:t>s</w:t>
            </w:r>
            <w:r w:rsidRPr="002D473C">
              <w:rPr>
                <w:rFonts w:asciiTheme="minorHAnsi" w:hAnsiTheme="minorHAnsi" w:cstheme="minorHAnsi"/>
                <w:sz w:val="18"/>
                <w:szCs w:val="18"/>
              </w:rPr>
              <w:t xml:space="preserve">hock preparedness and capacity of small farmers against climate shocks, droughts etc. </w:t>
            </w:r>
          </w:p>
        </w:tc>
        <w:tc>
          <w:tcPr>
            <w:tcW w:w="1364" w:type="pct"/>
            <w:tcMar>
              <w:left w:w="57" w:type="dxa"/>
              <w:right w:w="28" w:type="dxa"/>
            </w:tcMar>
          </w:tcPr>
          <w:p w14:paraId="376B6074" w14:textId="130EBFAF" w:rsidR="009563B4" w:rsidRPr="002D473C" w:rsidRDefault="00E44BCE" w:rsidP="00481CA4">
            <w:pPr>
              <w:rPr>
                <w:rFonts w:asciiTheme="minorHAnsi" w:hAnsiTheme="minorHAnsi" w:cstheme="minorHAnsi"/>
                <w:sz w:val="18"/>
                <w:szCs w:val="18"/>
              </w:rPr>
            </w:pPr>
            <w:r>
              <w:rPr>
                <w:rFonts w:asciiTheme="minorHAnsi" w:hAnsiTheme="minorHAnsi" w:cstheme="minorHAnsi"/>
                <w:sz w:val="18"/>
                <w:szCs w:val="18"/>
              </w:rPr>
              <w:t>As per</w:t>
            </w:r>
            <w:r w:rsidR="000977C0">
              <w:rPr>
                <w:rFonts w:asciiTheme="minorHAnsi" w:hAnsiTheme="minorHAnsi" w:cstheme="minorHAnsi"/>
                <w:sz w:val="18"/>
                <w:szCs w:val="18"/>
              </w:rPr>
              <w:t xml:space="preserve"> FFS/</w:t>
            </w:r>
            <w:r>
              <w:rPr>
                <w:rFonts w:asciiTheme="minorHAnsi" w:hAnsiTheme="minorHAnsi" w:cstheme="minorHAnsi"/>
                <w:sz w:val="18"/>
                <w:szCs w:val="18"/>
              </w:rPr>
              <w:t xml:space="preserve"> FFF methodology</w:t>
            </w:r>
          </w:p>
        </w:tc>
        <w:tc>
          <w:tcPr>
            <w:tcW w:w="1212" w:type="pct"/>
            <w:tcMar>
              <w:left w:w="57" w:type="dxa"/>
              <w:right w:w="28" w:type="dxa"/>
            </w:tcMar>
          </w:tcPr>
          <w:p w14:paraId="2D601FF4" w14:textId="77777777" w:rsidR="009563B4" w:rsidRPr="002D473C" w:rsidRDefault="009563B4" w:rsidP="00481CA4">
            <w:pPr>
              <w:rPr>
                <w:rFonts w:asciiTheme="minorHAnsi" w:hAnsiTheme="minorHAnsi" w:cstheme="minorHAnsi"/>
                <w:sz w:val="18"/>
                <w:szCs w:val="18"/>
              </w:rPr>
            </w:pPr>
            <w:r w:rsidRPr="002D473C">
              <w:rPr>
                <w:rFonts w:asciiTheme="minorHAnsi" w:hAnsiTheme="minorHAnsi" w:cstheme="minorHAnsi"/>
                <w:sz w:val="18"/>
                <w:szCs w:val="18"/>
              </w:rPr>
              <w:t>Participants: gender parity is the goal</w:t>
            </w:r>
          </w:p>
          <w:p w14:paraId="5BB69700" w14:textId="77777777" w:rsidR="009563B4" w:rsidRPr="002D473C" w:rsidRDefault="009563B4" w:rsidP="00481CA4">
            <w:pPr>
              <w:rPr>
                <w:rFonts w:asciiTheme="minorHAnsi" w:hAnsiTheme="minorHAnsi" w:cstheme="minorHAnsi"/>
                <w:sz w:val="18"/>
                <w:szCs w:val="18"/>
              </w:rPr>
            </w:pPr>
          </w:p>
        </w:tc>
        <w:tc>
          <w:tcPr>
            <w:tcW w:w="657" w:type="pct"/>
            <w:tcMar>
              <w:left w:w="57" w:type="dxa"/>
              <w:right w:w="28" w:type="dxa"/>
            </w:tcMar>
          </w:tcPr>
          <w:p w14:paraId="06CBC028" w14:textId="11FBBA68" w:rsidR="009563B4" w:rsidRPr="002D473C" w:rsidRDefault="009563B4" w:rsidP="00481CA4">
            <w:pPr>
              <w:rPr>
                <w:rFonts w:asciiTheme="minorHAnsi" w:hAnsiTheme="minorHAnsi" w:cstheme="minorHAnsi"/>
                <w:sz w:val="18"/>
                <w:szCs w:val="18"/>
              </w:rPr>
            </w:pPr>
            <w:r w:rsidRPr="002D473C">
              <w:rPr>
                <w:rFonts w:asciiTheme="minorHAnsi" w:hAnsiTheme="minorHAnsi" w:cstheme="minorHAnsi"/>
                <w:sz w:val="18"/>
                <w:szCs w:val="18"/>
              </w:rPr>
              <w:t xml:space="preserve">NA – already included in respective budgets </w:t>
            </w:r>
            <w:r w:rsidR="00662E4E">
              <w:rPr>
                <w:rFonts w:asciiTheme="minorHAnsi" w:hAnsiTheme="minorHAnsi" w:cstheme="minorHAnsi"/>
                <w:sz w:val="18"/>
                <w:szCs w:val="18"/>
              </w:rPr>
              <w:t>of</w:t>
            </w:r>
            <w:r w:rsidRPr="002D473C">
              <w:rPr>
                <w:rFonts w:asciiTheme="minorHAnsi" w:hAnsiTheme="minorHAnsi" w:cstheme="minorHAnsi"/>
                <w:sz w:val="18"/>
                <w:szCs w:val="18"/>
              </w:rPr>
              <w:t xml:space="preserve"> FFS / FFF</w:t>
            </w:r>
          </w:p>
        </w:tc>
      </w:tr>
      <w:tr w:rsidR="009563B4" w:rsidRPr="002D473C" w14:paraId="32CA0BF3" w14:textId="77777777" w:rsidTr="009C7CBA">
        <w:tc>
          <w:tcPr>
            <w:tcW w:w="1767" w:type="pct"/>
            <w:tcMar>
              <w:left w:w="57" w:type="dxa"/>
              <w:right w:w="28" w:type="dxa"/>
            </w:tcMar>
          </w:tcPr>
          <w:p w14:paraId="3B39BA2C" w14:textId="010368F6" w:rsidR="009563B4" w:rsidRPr="002D473C" w:rsidRDefault="009563B4" w:rsidP="00481CA4">
            <w:pPr>
              <w:rPr>
                <w:rFonts w:asciiTheme="minorHAnsi" w:hAnsiTheme="minorHAnsi" w:cstheme="minorHAnsi"/>
                <w:sz w:val="18"/>
                <w:szCs w:val="18"/>
              </w:rPr>
            </w:pPr>
            <w:r w:rsidRPr="002D473C">
              <w:rPr>
                <w:rFonts w:asciiTheme="minorHAnsi" w:hAnsiTheme="minorHAnsi" w:cstheme="minorHAnsi"/>
                <w:sz w:val="18"/>
                <w:szCs w:val="18"/>
              </w:rPr>
              <w:t xml:space="preserve">4.5 Foster </w:t>
            </w:r>
            <w:r w:rsidR="00662E4E" w:rsidRPr="002D473C">
              <w:rPr>
                <w:rFonts w:asciiTheme="minorHAnsi" w:hAnsiTheme="minorHAnsi" w:cstheme="minorHAnsi"/>
                <w:sz w:val="18"/>
                <w:szCs w:val="18"/>
              </w:rPr>
              <w:t>due consideration of multiple roles of women in dryland landscape management</w:t>
            </w:r>
            <w:r w:rsidR="00662E4E">
              <w:rPr>
                <w:rFonts w:asciiTheme="minorHAnsi" w:hAnsiTheme="minorHAnsi" w:cstheme="minorHAnsi"/>
                <w:sz w:val="18"/>
                <w:szCs w:val="18"/>
              </w:rPr>
              <w:t>, including</w:t>
            </w:r>
            <w:r w:rsidR="00662E4E" w:rsidRPr="002D473C">
              <w:rPr>
                <w:rFonts w:asciiTheme="minorHAnsi" w:hAnsiTheme="minorHAnsi" w:cstheme="minorHAnsi"/>
                <w:sz w:val="18"/>
                <w:szCs w:val="18"/>
              </w:rPr>
              <w:t xml:space="preserve"> </w:t>
            </w:r>
            <w:r w:rsidRPr="002D473C">
              <w:rPr>
                <w:rFonts w:asciiTheme="minorHAnsi" w:hAnsiTheme="minorHAnsi" w:cstheme="minorHAnsi"/>
                <w:sz w:val="18"/>
                <w:szCs w:val="18"/>
              </w:rPr>
              <w:t>establishment of a corps of female extensionists and agro-value chain technicians</w:t>
            </w:r>
            <w:r w:rsidR="00662E4E">
              <w:rPr>
                <w:rFonts w:asciiTheme="minorHAnsi" w:hAnsiTheme="minorHAnsi" w:cstheme="minorHAnsi"/>
                <w:sz w:val="18"/>
                <w:szCs w:val="18"/>
              </w:rPr>
              <w:t>.</w:t>
            </w:r>
            <w:r w:rsidRPr="002D473C">
              <w:rPr>
                <w:rFonts w:asciiTheme="minorHAnsi" w:hAnsiTheme="minorHAnsi" w:cstheme="minorHAnsi"/>
                <w:sz w:val="18"/>
                <w:szCs w:val="18"/>
              </w:rPr>
              <w:t xml:space="preserve"> </w:t>
            </w:r>
          </w:p>
        </w:tc>
        <w:tc>
          <w:tcPr>
            <w:tcW w:w="1364" w:type="pct"/>
            <w:tcMar>
              <w:left w:w="57" w:type="dxa"/>
              <w:right w:w="28" w:type="dxa"/>
            </w:tcMar>
          </w:tcPr>
          <w:p w14:paraId="39A47BF2" w14:textId="409B55C7" w:rsidR="009563B4" w:rsidRPr="002D473C" w:rsidRDefault="009563B4" w:rsidP="00481CA4">
            <w:pPr>
              <w:rPr>
                <w:rFonts w:asciiTheme="minorHAnsi" w:hAnsiTheme="minorHAnsi" w:cstheme="minorHAnsi"/>
                <w:sz w:val="18"/>
                <w:szCs w:val="18"/>
              </w:rPr>
            </w:pPr>
            <w:r w:rsidRPr="002D473C">
              <w:rPr>
                <w:rFonts w:asciiTheme="minorHAnsi" w:hAnsiTheme="minorHAnsi" w:cstheme="minorHAnsi"/>
                <w:sz w:val="18"/>
                <w:szCs w:val="18"/>
                <w:u w:val="single"/>
              </w:rPr>
              <w:t>Rural extension</w:t>
            </w:r>
            <w:r w:rsidRPr="002D473C">
              <w:rPr>
                <w:rFonts w:asciiTheme="minorHAnsi" w:hAnsiTheme="minorHAnsi" w:cstheme="minorHAnsi"/>
                <w:sz w:val="18"/>
                <w:szCs w:val="18"/>
              </w:rPr>
              <w:t>: Disseminat</w:t>
            </w:r>
            <w:r w:rsidR="00662E4E">
              <w:rPr>
                <w:rFonts w:asciiTheme="minorHAnsi" w:hAnsiTheme="minorHAnsi" w:cstheme="minorHAnsi"/>
                <w:sz w:val="18"/>
                <w:szCs w:val="18"/>
              </w:rPr>
              <w:t>e</w:t>
            </w:r>
            <w:r w:rsidRPr="002D473C">
              <w:rPr>
                <w:rFonts w:asciiTheme="minorHAnsi" w:hAnsiTheme="minorHAnsi" w:cstheme="minorHAnsi"/>
                <w:sz w:val="18"/>
                <w:szCs w:val="18"/>
              </w:rPr>
              <w:t xml:space="preserve"> appropriate techniques, in which women’s positive role in the selection of crops, seeds and techniques agro-sylvo-pastoral </w:t>
            </w:r>
            <w:r w:rsidR="001B248C">
              <w:rPr>
                <w:rFonts w:asciiTheme="minorHAnsi" w:hAnsiTheme="minorHAnsi" w:cstheme="minorHAnsi"/>
                <w:sz w:val="18"/>
                <w:szCs w:val="18"/>
              </w:rPr>
              <w:t>land-use man</w:t>
            </w:r>
            <w:r w:rsidRPr="002D473C">
              <w:rPr>
                <w:rFonts w:asciiTheme="minorHAnsi" w:hAnsiTheme="minorHAnsi" w:cstheme="minorHAnsi"/>
                <w:sz w:val="18"/>
                <w:szCs w:val="18"/>
              </w:rPr>
              <w:t>agement practices can be enhanced and steered towards sustainability.</w:t>
            </w:r>
          </w:p>
          <w:p w14:paraId="7633BAEB" w14:textId="77777777" w:rsidR="009563B4" w:rsidRPr="002D473C" w:rsidRDefault="009563B4" w:rsidP="00481CA4">
            <w:pPr>
              <w:rPr>
                <w:rFonts w:asciiTheme="minorHAnsi" w:hAnsiTheme="minorHAnsi" w:cstheme="minorHAnsi"/>
                <w:sz w:val="18"/>
                <w:szCs w:val="18"/>
              </w:rPr>
            </w:pPr>
            <w:r w:rsidRPr="002D473C">
              <w:rPr>
                <w:rFonts w:asciiTheme="minorHAnsi" w:hAnsiTheme="minorHAnsi" w:cstheme="minorHAnsi"/>
                <w:sz w:val="18"/>
                <w:szCs w:val="18"/>
                <w:u w:val="single"/>
              </w:rPr>
              <w:t>Agro-value chain</w:t>
            </w:r>
            <w:r w:rsidRPr="002D473C">
              <w:rPr>
                <w:rFonts w:asciiTheme="minorHAnsi" w:hAnsiTheme="minorHAnsi" w:cstheme="minorHAnsi"/>
                <w:sz w:val="18"/>
                <w:szCs w:val="18"/>
              </w:rPr>
              <w:t>: As part of value chain development activities, assist women and men with business planning, organization and efficiency tools.</w:t>
            </w:r>
          </w:p>
        </w:tc>
        <w:tc>
          <w:tcPr>
            <w:tcW w:w="1212" w:type="pct"/>
            <w:tcMar>
              <w:left w:w="57" w:type="dxa"/>
              <w:right w:w="28" w:type="dxa"/>
            </w:tcMar>
          </w:tcPr>
          <w:p w14:paraId="3996B891" w14:textId="22368E7C" w:rsidR="009563B4" w:rsidRPr="002D473C" w:rsidRDefault="009563B4" w:rsidP="00481CA4">
            <w:pPr>
              <w:rPr>
                <w:rFonts w:asciiTheme="minorHAnsi" w:hAnsiTheme="minorHAnsi" w:cstheme="minorHAnsi"/>
                <w:sz w:val="18"/>
                <w:szCs w:val="18"/>
              </w:rPr>
            </w:pPr>
            <w:r w:rsidRPr="002D473C">
              <w:rPr>
                <w:rFonts w:asciiTheme="minorHAnsi" w:hAnsiTheme="minorHAnsi" w:cstheme="minorHAnsi"/>
                <w:sz w:val="18"/>
                <w:szCs w:val="18"/>
                <w:u w:val="single"/>
              </w:rPr>
              <w:t>For rural extension</w:t>
            </w:r>
            <w:r w:rsidRPr="002D473C">
              <w:rPr>
                <w:rFonts w:asciiTheme="minorHAnsi" w:hAnsiTheme="minorHAnsi" w:cstheme="minorHAnsi"/>
                <w:sz w:val="18"/>
                <w:szCs w:val="18"/>
              </w:rPr>
              <w:t>: Target quota 30 – 40% female participation in overall rural extension activities through FFS and FFF packages</w:t>
            </w:r>
          </w:p>
          <w:p w14:paraId="66335B6E" w14:textId="77777777" w:rsidR="009563B4" w:rsidRPr="002D473C" w:rsidRDefault="009563B4" w:rsidP="00481CA4">
            <w:pPr>
              <w:rPr>
                <w:rFonts w:asciiTheme="minorHAnsi" w:hAnsiTheme="minorHAnsi" w:cstheme="minorHAnsi"/>
                <w:sz w:val="18"/>
                <w:szCs w:val="18"/>
              </w:rPr>
            </w:pPr>
          </w:p>
          <w:p w14:paraId="5B47731C" w14:textId="77777777" w:rsidR="009563B4" w:rsidRPr="002D473C" w:rsidRDefault="009563B4" w:rsidP="00481CA4">
            <w:pPr>
              <w:rPr>
                <w:rFonts w:asciiTheme="minorHAnsi" w:hAnsiTheme="minorHAnsi" w:cstheme="minorHAnsi"/>
                <w:sz w:val="18"/>
                <w:szCs w:val="18"/>
              </w:rPr>
            </w:pPr>
            <w:r w:rsidRPr="002D473C">
              <w:rPr>
                <w:rFonts w:asciiTheme="minorHAnsi" w:hAnsiTheme="minorHAnsi" w:cstheme="minorHAnsi"/>
                <w:sz w:val="18"/>
                <w:szCs w:val="18"/>
                <w:u w:val="single"/>
              </w:rPr>
              <w:t>For Agro-value chains:</w:t>
            </w:r>
            <w:r w:rsidRPr="002D473C">
              <w:rPr>
                <w:rFonts w:asciiTheme="minorHAnsi" w:hAnsiTheme="minorHAnsi" w:cstheme="minorHAnsi"/>
                <w:sz w:val="18"/>
                <w:szCs w:val="18"/>
              </w:rPr>
              <w:t xml:space="preserve"> Target quota 60% female</w:t>
            </w:r>
          </w:p>
        </w:tc>
        <w:tc>
          <w:tcPr>
            <w:tcW w:w="657" w:type="pct"/>
            <w:tcMar>
              <w:left w:w="57" w:type="dxa"/>
              <w:right w:w="28" w:type="dxa"/>
            </w:tcMar>
          </w:tcPr>
          <w:p w14:paraId="62E34739" w14:textId="77777777" w:rsidR="002116D8" w:rsidRDefault="009563B4" w:rsidP="00481CA4">
            <w:pPr>
              <w:rPr>
                <w:rFonts w:asciiTheme="minorHAnsi" w:hAnsiTheme="minorHAnsi" w:cstheme="minorHAnsi"/>
                <w:sz w:val="18"/>
                <w:szCs w:val="18"/>
              </w:rPr>
            </w:pPr>
            <w:r w:rsidRPr="002D473C">
              <w:rPr>
                <w:rFonts w:asciiTheme="minorHAnsi" w:hAnsiTheme="minorHAnsi" w:cstheme="minorHAnsi"/>
                <w:sz w:val="18"/>
                <w:szCs w:val="18"/>
              </w:rPr>
              <w:t xml:space="preserve">NA – already included respective budgets </w:t>
            </w:r>
            <w:r w:rsidR="00662E4E">
              <w:rPr>
                <w:rFonts w:asciiTheme="minorHAnsi" w:hAnsiTheme="minorHAnsi" w:cstheme="minorHAnsi"/>
                <w:sz w:val="18"/>
                <w:szCs w:val="18"/>
              </w:rPr>
              <w:t>of</w:t>
            </w:r>
            <w:r w:rsidRPr="002D473C">
              <w:rPr>
                <w:rFonts w:asciiTheme="minorHAnsi" w:hAnsiTheme="minorHAnsi" w:cstheme="minorHAnsi"/>
                <w:sz w:val="18"/>
                <w:szCs w:val="18"/>
              </w:rPr>
              <w:t xml:space="preserve"> FFS / FFF</w:t>
            </w:r>
          </w:p>
          <w:p w14:paraId="0B17F772" w14:textId="77777777" w:rsidR="001D289D" w:rsidRDefault="001D289D" w:rsidP="00481CA4">
            <w:pPr>
              <w:rPr>
                <w:rFonts w:asciiTheme="minorHAnsi" w:hAnsiTheme="minorHAnsi" w:cstheme="minorHAnsi"/>
                <w:sz w:val="18"/>
                <w:szCs w:val="18"/>
              </w:rPr>
            </w:pPr>
          </w:p>
          <w:p w14:paraId="5F17E571" w14:textId="4B52EC9C" w:rsidR="001D289D" w:rsidRPr="002D473C" w:rsidRDefault="001D289D" w:rsidP="00481CA4">
            <w:pPr>
              <w:rPr>
                <w:rFonts w:asciiTheme="minorHAnsi" w:hAnsiTheme="minorHAnsi" w:cstheme="minorHAnsi"/>
                <w:sz w:val="18"/>
                <w:szCs w:val="18"/>
              </w:rPr>
            </w:pPr>
            <w:r>
              <w:rPr>
                <w:rFonts w:asciiTheme="minorHAnsi" w:hAnsiTheme="minorHAnsi" w:cstheme="minorHAnsi"/>
                <w:sz w:val="18"/>
                <w:szCs w:val="18"/>
              </w:rPr>
              <w:t>Included also under Outcome 2.3</w:t>
            </w:r>
          </w:p>
        </w:tc>
      </w:tr>
    </w:tbl>
    <w:p w14:paraId="0C393256" w14:textId="77777777" w:rsidR="009563B4" w:rsidRPr="00CE1EA7" w:rsidRDefault="009563B4" w:rsidP="009563B4">
      <w:pPr>
        <w:sectPr w:rsidR="009563B4" w:rsidRPr="00CE1EA7" w:rsidSect="00903274">
          <w:headerReference w:type="even" r:id="rId93"/>
          <w:headerReference w:type="default" r:id="rId94"/>
          <w:headerReference w:type="first" r:id="rId95"/>
          <w:pgSz w:w="16838" w:h="11906" w:orient="landscape" w:code="9"/>
          <w:pgMar w:top="1440" w:right="1440" w:bottom="1440" w:left="1440" w:header="720" w:footer="720" w:gutter="0"/>
          <w:cols w:space="720"/>
          <w:docGrid w:linePitch="360"/>
        </w:sectPr>
      </w:pPr>
    </w:p>
    <w:p w14:paraId="611CBDEB" w14:textId="3FCE49CC" w:rsidR="009563B4" w:rsidRPr="00DB68FC" w:rsidRDefault="009563B4" w:rsidP="001667C6">
      <w:pPr>
        <w:pStyle w:val="Heading2"/>
        <w:numPr>
          <w:ilvl w:val="0"/>
          <w:numId w:val="65"/>
        </w:numPr>
        <w:shd w:val="clear" w:color="auto" w:fill="000000" w:themeFill="text1"/>
        <w:spacing w:before="0"/>
        <w:ind w:left="357" w:hanging="357"/>
        <w:jc w:val="center"/>
        <w:rPr>
          <w:rFonts w:ascii="Calibri" w:hAnsi="Calibri" w:cs="Calibri"/>
          <w:color w:val="FFFFFF" w:themeColor="background1"/>
          <w:sz w:val="22"/>
          <w:szCs w:val="22"/>
          <w:lang w:val="en-US"/>
        </w:rPr>
      </w:pPr>
      <w:bookmarkStart w:id="226" w:name="_4._Private_Sector"/>
      <w:bookmarkStart w:id="227" w:name="_Toc42027137"/>
      <w:bookmarkStart w:id="228" w:name="_Toc42262645"/>
      <w:bookmarkStart w:id="229" w:name="_Ref51598857"/>
      <w:bookmarkStart w:id="230" w:name="_Ref51598863"/>
      <w:bookmarkStart w:id="231" w:name="_Ref51599006"/>
      <w:bookmarkStart w:id="232" w:name="_Toc58398595"/>
      <w:bookmarkStart w:id="233" w:name="_Toc10554534"/>
      <w:bookmarkStart w:id="234" w:name="_Toc10554602"/>
      <w:bookmarkStart w:id="235" w:name="_Toc12612946"/>
      <w:bookmarkEnd w:id="226"/>
      <w:r w:rsidRPr="00DB68FC">
        <w:rPr>
          <w:rFonts w:ascii="Calibri" w:hAnsi="Calibri" w:cs="Calibri"/>
          <w:color w:val="FFFFFF" w:themeColor="background1"/>
          <w:sz w:val="22"/>
          <w:szCs w:val="22"/>
          <w:lang w:val="en-US"/>
        </w:rPr>
        <w:lastRenderedPageBreak/>
        <w:t>Private Sector Engagement</w:t>
      </w:r>
      <w:bookmarkEnd w:id="227"/>
      <w:bookmarkEnd w:id="228"/>
      <w:bookmarkEnd w:id="229"/>
      <w:bookmarkEnd w:id="230"/>
      <w:bookmarkEnd w:id="231"/>
      <w:bookmarkEnd w:id="232"/>
      <w:r w:rsidRPr="00DB68FC">
        <w:rPr>
          <w:rFonts w:ascii="Calibri" w:hAnsi="Calibri" w:cs="Calibri"/>
          <w:color w:val="FFFFFF" w:themeColor="background1"/>
          <w:sz w:val="22"/>
          <w:szCs w:val="22"/>
          <w:lang w:val="en-US"/>
        </w:rPr>
        <w:t xml:space="preserve"> </w:t>
      </w:r>
    </w:p>
    <w:p w14:paraId="26AECDC5" w14:textId="5EC85F2B" w:rsidR="009563B4" w:rsidRPr="00CE02DC" w:rsidRDefault="00DB68FC" w:rsidP="001667C6">
      <w:pPr>
        <w:pStyle w:val="ParagraphOED"/>
        <w:numPr>
          <w:ilvl w:val="0"/>
          <w:numId w:val="102"/>
        </w:numPr>
        <w:spacing w:after="160"/>
      </w:pPr>
      <w:r w:rsidRPr="619CA689">
        <w:t xml:space="preserve">The project’s engagement with the private sector follows the guiding principles of the </w:t>
      </w:r>
      <w:r w:rsidR="009563B4" w:rsidRPr="619CA689">
        <w:t>GEF’s 2019 Private Sector Engagement Strategy (PSES)</w:t>
      </w:r>
      <w:r w:rsidR="009563B4" w:rsidRPr="619CA689">
        <w:rPr>
          <w:rStyle w:val="FootnoteReference"/>
        </w:rPr>
        <w:footnoteReference w:id="102"/>
      </w:r>
      <w:r w:rsidRPr="00CE02DC">
        <w:rPr>
          <w:szCs w:val="21"/>
        </w:rPr>
        <w:t>:</w:t>
      </w:r>
    </w:p>
    <w:p w14:paraId="1B18B98A" w14:textId="47F7CED6" w:rsidR="009563B4" w:rsidRPr="00CE02DC" w:rsidRDefault="00DB68FC" w:rsidP="001667C6">
      <w:pPr>
        <w:pStyle w:val="ListParagraph"/>
        <w:numPr>
          <w:ilvl w:val="0"/>
          <w:numId w:val="43"/>
        </w:numPr>
        <w:spacing w:after="160"/>
        <w:ind w:left="993" w:hanging="284"/>
        <w:rPr>
          <w:rFonts w:cs="Calibri"/>
          <w:sz w:val="21"/>
          <w:szCs w:val="21"/>
        </w:rPr>
      </w:pPr>
      <w:r w:rsidRPr="00CE02DC">
        <w:rPr>
          <w:rFonts w:cs="Calibri"/>
          <w:sz w:val="21"/>
          <w:szCs w:val="21"/>
        </w:rPr>
        <w:t>s</w:t>
      </w:r>
      <w:r w:rsidR="009563B4" w:rsidRPr="00CE02DC">
        <w:rPr>
          <w:rFonts w:cs="Calibri"/>
          <w:sz w:val="21"/>
          <w:szCs w:val="21"/>
        </w:rPr>
        <w:t>trong in-country networks and relationships</w:t>
      </w:r>
      <w:r w:rsidRPr="00CE02DC">
        <w:rPr>
          <w:rFonts w:cs="Calibri"/>
          <w:sz w:val="21"/>
          <w:szCs w:val="21"/>
        </w:rPr>
        <w:t>;</w:t>
      </w:r>
    </w:p>
    <w:p w14:paraId="1E9294BD" w14:textId="08C6B5E5" w:rsidR="009563B4" w:rsidRPr="00CE02DC" w:rsidRDefault="00DB68FC" w:rsidP="001667C6">
      <w:pPr>
        <w:pStyle w:val="ListParagraph"/>
        <w:numPr>
          <w:ilvl w:val="0"/>
          <w:numId w:val="43"/>
        </w:numPr>
        <w:spacing w:after="160"/>
        <w:ind w:left="993" w:hanging="284"/>
        <w:rPr>
          <w:rFonts w:cs="Calibri"/>
          <w:sz w:val="21"/>
          <w:szCs w:val="21"/>
        </w:rPr>
      </w:pPr>
      <w:r w:rsidRPr="00CE02DC">
        <w:rPr>
          <w:rFonts w:cs="Calibri"/>
          <w:sz w:val="21"/>
          <w:szCs w:val="21"/>
        </w:rPr>
        <w:t>s</w:t>
      </w:r>
      <w:r w:rsidR="009563B4" w:rsidRPr="00CE02DC">
        <w:rPr>
          <w:rFonts w:cs="Calibri"/>
          <w:sz w:val="21"/>
          <w:szCs w:val="21"/>
        </w:rPr>
        <w:t>pecificity that is useful for the private sector: geographies, metrics, transparency;</w:t>
      </w:r>
      <w:r w:rsidRPr="00CE02DC">
        <w:rPr>
          <w:rFonts w:cs="Calibri"/>
          <w:sz w:val="21"/>
          <w:szCs w:val="21"/>
        </w:rPr>
        <w:t xml:space="preserve"> and</w:t>
      </w:r>
      <w:r w:rsidR="009563B4" w:rsidRPr="00CE02DC">
        <w:rPr>
          <w:rFonts w:cs="Calibri"/>
          <w:sz w:val="21"/>
          <w:szCs w:val="21"/>
        </w:rPr>
        <w:t xml:space="preserve"> </w:t>
      </w:r>
    </w:p>
    <w:p w14:paraId="7860D393" w14:textId="4A3CD6FA" w:rsidR="009563B4" w:rsidRPr="00CE02DC" w:rsidRDefault="00DB68FC" w:rsidP="001667C6">
      <w:pPr>
        <w:pStyle w:val="ListParagraph"/>
        <w:numPr>
          <w:ilvl w:val="0"/>
          <w:numId w:val="43"/>
        </w:numPr>
        <w:spacing w:after="160"/>
        <w:ind w:left="993" w:hanging="284"/>
        <w:rPr>
          <w:rFonts w:cs="Calibri"/>
          <w:sz w:val="21"/>
          <w:szCs w:val="21"/>
        </w:rPr>
      </w:pPr>
      <w:r w:rsidRPr="00CE02DC">
        <w:rPr>
          <w:rFonts w:cs="Calibri"/>
          <w:sz w:val="21"/>
          <w:szCs w:val="21"/>
        </w:rPr>
        <w:t>i</w:t>
      </w:r>
      <w:r w:rsidR="009563B4" w:rsidRPr="00CE02DC">
        <w:rPr>
          <w:rFonts w:cs="Calibri"/>
          <w:sz w:val="21"/>
          <w:szCs w:val="21"/>
        </w:rPr>
        <w:t>nsight into the major and gender-sensitive understanding of developing markets</w:t>
      </w:r>
      <w:r w:rsidRPr="00CE02DC">
        <w:rPr>
          <w:rFonts w:cs="Calibri"/>
          <w:sz w:val="21"/>
          <w:szCs w:val="21"/>
        </w:rPr>
        <w:t>.</w:t>
      </w:r>
    </w:p>
    <w:p w14:paraId="35A1A218" w14:textId="3EF9F274" w:rsidR="009563B4" w:rsidRPr="00CE02DC" w:rsidRDefault="007C2EDC" w:rsidP="001667C6">
      <w:pPr>
        <w:pStyle w:val="ParagraphOED"/>
        <w:numPr>
          <w:ilvl w:val="0"/>
          <w:numId w:val="102"/>
        </w:numPr>
        <w:spacing w:after="160"/>
      </w:pPr>
      <w:r w:rsidRPr="619CA689">
        <w:t>S</w:t>
      </w:r>
      <w:r w:rsidR="009563B4" w:rsidRPr="619CA689">
        <w:t xml:space="preserve">trong participation </w:t>
      </w:r>
      <w:r w:rsidRPr="619CA689">
        <w:t>with</w:t>
      </w:r>
      <w:r w:rsidR="009563B4" w:rsidRPr="619CA689">
        <w:t xml:space="preserve"> the private sector</w:t>
      </w:r>
      <w:r w:rsidRPr="619CA689">
        <w:t xml:space="preserve"> will be promoted by the project, particularly with respect to greening value chains</w:t>
      </w:r>
      <w:r w:rsidR="00883A68" w:rsidRPr="619CA689">
        <w:t xml:space="preserve"> under Outcome 2.</w:t>
      </w:r>
      <w:r w:rsidR="00015775">
        <w:t>3</w:t>
      </w:r>
      <w:r w:rsidRPr="619CA689">
        <w:t xml:space="preserve">, underpinned by a strategy </w:t>
      </w:r>
      <w:r w:rsidR="00883A68" w:rsidRPr="619CA689">
        <w:t xml:space="preserve">to be developed in partnership with key players. </w:t>
      </w:r>
      <w:r w:rsidR="009563B4" w:rsidRPr="619CA689">
        <w:t>Moreover,</w:t>
      </w:r>
      <w:r w:rsidR="00883A68" w:rsidRPr="619CA689">
        <w:t xml:space="preserve"> the strategy will draw on</w:t>
      </w:r>
      <w:r w:rsidR="009563B4" w:rsidRPr="00CE02DC">
        <w:rPr>
          <w:szCs w:val="21"/>
        </w:rPr>
        <w:t xml:space="preserve"> </w:t>
      </w:r>
      <w:r w:rsidR="00883A68" w:rsidRPr="619CA689">
        <w:t xml:space="preserve">the </w:t>
      </w:r>
      <w:r w:rsidR="009563B4" w:rsidRPr="619CA689">
        <w:t xml:space="preserve">analysis of the </w:t>
      </w:r>
      <w:r w:rsidR="00883A68" w:rsidRPr="619CA689">
        <w:t>local economy and potential value chains in the target landscapes, details of which are extracted from the PPG report</w:t>
      </w:r>
      <w:r w:rsidR="00883A68" w:rsidRPr="619CA689">
        <w:rPr>
          <w:rStyle w:val="FootnoteReference"/>
        </w:rPr>
        <w:footnoteReference w:id="103"/>
      </w:r>
      <w:r w:rsidR="00883A68" w:rsidRPr="619CA689">
        <w:t xml:space="preserve"> and provided in Annex X-2.2. </w:t>
      </w:r>
      <w:r w:rsidR="009563B4" w:rsidRPr="619CA689">
        <w:t>The analysis cover</w:t>
      </w:r>
      <w:r w:rsidR="00B264CD" w:rsidRPr="619CA689">
        <w:t>s</w:t>
      </w:r>
      <w:r w:rsidR="009563B4" w:rsidRPr="619CA689">
        <w:t xml:space="preserve"> four sub-topics, discussed </w:t>
      </w:r>
      <w:r w:rsidR="00003A92" w:rsidRPr="619CA689">
        <w:t xml:space="preserve">in relation to Barrier 2 </w:t>
      </w:r>
      <w:r w:rsidR="00B264CD" w:rsidRPr="619CA689">
        <w:t>elsewhere</w:t>
      </w:r>
      <w:r w:rsidR="009563B4" w:rsidRPr="619CA689">
        <w:t xml:space="preserve"> in this document: (</w:t>
      </w:r>
      <w:r w:rsidR="00B264CD" w:rsidRPr="619CA689">
        <w:t>i</w:t>
      </w:r>
      <w:r w:rsidR="009563B4" w:rsidRPr="00CE02DC">
        <w:rPr>
          <w:szCs w:val="21"/>
        </w:rPr>
        <w:t xml:space="preserve">) </w:t>
      </w:r>
      <w:r w:rsidR="00B264CD" w:rsidRPr="619CA689">
        <w:t>m</w:t>
      </w:r>
      <w:r w:rsidR="009563B4" w:rsidRPr="619CA689">
        <w:t>aladptive local production practices; (</w:t>
      </w:r>
      <w:r w:rsidR="00B264CD" w:rsidRPr="619CA689">
        <w:t>ii</w:t>
      </w:r>
      <w:r w:rsidR="009563B4" w:rsidRPr="619CA689">
        <w:t>) Technology, know-how and production diversification challenges; (</w:t>
      </w:r>
      <w:r w:rsidR="00B264CD" w:rsidRPr="619CA689">
        <w:t>iii</w:t>
      </w:r>
      <w:r w:rsidR="009563B4" w:rsidRPr="619CA689">
        <w:t>) gender gap; and (</w:t>
      </w:r>
      <w:r w:rsidR="00B264CD" w:rsidRPr="619CA689">
        <w:t>iv</w:t>
      </w:r>
      <w:r w:rsidR="009563B4" w:rsidRPr="00CE02DC">
        <w:rPr>
          <w:szCs w:val="21"/>
        </w:rPr>
        <w:t xml:space="preserve">) </w:t>
      </w:r>
      <w:r w:rsidR="00B264CD" w:rsidRPr="619CA689">
        <w:t>u</w:t>
      </w:r>
      <w:r w:rsidR="009563B4" w:rsidRPr="619CA689">
        <w:t xml:space="preserve">pscaling and market access. </w:t>
      </w:r>
      <w:r w:rsidR="00003A92" w:rsidRPr="619CA689">
        <w:t>Various ago-value chain stakeholders were identified through the PPG Value-Chains Assessment.</w:t>
      </w:r>
    </w:p>
    <w:p w14:paraId="14D43795" w14:textId="4D8EF6FF" w:rsidR="009563B4" w:rsidRPr="00CE02DC" w:rsidRDefault="009563B4" w:rsidP="001667C6">
      <w:pPr>
        <w:pStyle w:val="ParagraphOED"/>
        <w:numPr>
          <w:ilvl w:val="0"/>
          <w:numId w:val="102"/>
        </w:numPr>
        <w:spacing w:after="0"/>
      </w:pPr>
      <w:r>
        <w:t xml:space="preserve">The private sector is a key stakeholder and essential </w:t>
      </w:r>
      <w:r w:rsidR="00B264CD">
        <w:t>to delivering</w:t>
      </w:r>
      <w:r w:rsidR="00003A92">
        <w:t xml:space="preserve"> part of </w:t>
      </w:r>
      <w:r>
        <w:t xml:space="preserve">the project’s strategy </w:t>
      </w:r>
      <w:r w:rsidR="00003A92">
        <w:t>to</w:t>
      </w:r>
      <w:r>
        <w:t xml:space="preserve"> develop </w:t>
      </w:r>
      <w:r w:rsidR="00003A92">
        <w:t xml:space="preserve">green </w:t>
      </w:r>
      <w:r>
        <w:t xml:space="preserve">value chains. However, they face a series of barriers to achieve its development, as presented in the statement below: </w:t>
      </w:r>
    </w:p>
    <w:p w14:paraId="2C64FFD5" w14:textId="77777777" w:rsidR="009563B4" w:rsidRPr="00CE02DC" w:rsidRDefault="009563B4" w:rsidP="007C2EDC">
      <w:pPr>
        <w:pStyle w:val="ParagraphOED"/>
        <w:numPr>
          <w:ilvl w:val="0"/>
          <w:numId w:val="0"/>
        </w:numPr>
        <w:spacing w:after="160"/>
        <w:ind w:left="720"/>
        <w:rPr>
          <w:i/>
          <w:iCs/>
          <w:szCs w:val="21"/>
        </w:rPr>
      </w:pPr>
      <w:r w:rsidRPr="00CE02DC">
        <w:rPr>
          <w:i/>
          <w:iCs/>
          <w:szCs w:val="21"/>
        </w:rPr>
        <w:t xml:space="preserve">“Farmers are poorly organized and face difficulties to access markets, improved seeds, useful agronomic know-how and basic mechanization, resulting in low income, low resilience and incipient technological progress, sustaining gender-based inequalities and ultimately resulting in maladaptive land management at farm and community levels).” </w:t>
      </w:r>
    </w:p>
    <w:p w14:paraId="4C87B99E" w14:textId="5C4B97CB" w:rsidR="009563B4" w:rsidRPr="00CE02DC" w:rsidRDefault="006E2138" w:rsidP="001667C6">
      <w:pPr>
        <w:pStyle w:val="ParagraphOED"/>
        <w:numPr>
          <w:ilvl w:val="0"/>
          <w:numId w:val="102"/>
        </w:numPr>
        <w:spacing w:after="160"/>
      </w:pPr>
      <w:r>
        <w:t>T</w:t>
      </w:r>
      <w:r w:rsidR="009563B4">
        <w:t>he Gender Action Plan include</w:t>
      </w:r>
      <w:r>
        <w:t>s</w:t>
      </w:r>
      <w:r w:rsidR="009563B4">
        <w:t xml:space="preserve"> </w:t>
      </w:r>
      <w:r w:rsidR="009563B4" w:rsidRPr="1E65A5F7">
        <w:rPr>
          <w:u w:val="single"/>
        </w:rPr>
        <w:t xml:space="preserve">women’s participation in </w:t>
      </w:r>
      <w:r w:rsidR="00E24249" w:rsidRPr="1E65A5F7">
        <w:rPr>
          <w:u w:val="single"/>
        </w:rPr>
        <w:t xml:space="preserve">dryland </w:t>
      </w:r>
      <w:r w:rsidR="009563B4" w:rsidRPr="1E65A5F7">
        <w:rPr>
          <w:u w:val="single"/>
        </w:rPr>
        <w:t>value chains</w:t>
      </w:r>
      <w:r w:rsidR="00A922A6" w:rsidRPr="1E65A5F7">
        <w:rPr>
          <w:u w:val="single"/>
        </w:rPr>
        <w:t>, the</w:t>
      </w:r>
      <w:r w:rsidR="009563B4">
        <w:t xml:space="preserve"> context </w:t>
      </w:r>
      <w:r w:rsidR="00A922A6">
        <w:t>being</w:t>
      </w:r>
      <w:r w:rsidR="009563B4">
        <w:t xml:space="preserve"> that women in local communities are more engaged in taking products to the market </w:t>
      </w:r>
      <w:r w:rsidR="00A922A6">
        <w:t>(70% of women) than men (</w:t>
      </w:r>
      <w:r w:rsidR="009563B4">
        <w:t>58%</w:t>
      </w:r>
      <w:r w:rsidR="00A922A6">
        <w:t>)</w:t>
      </w:r>
      <w:r w:rsidR="009563B4">
        <w:t xml:space="preserve">. Also, most primary level aggregators </w:t>
      </w:r>
      <w:r w:rsidR="00A922A6">
        <w:t xml:space="preserve">of local produce </w:t>
      </w:r>
      <w:r w:rsidR="009563B4">
        <w:t>are women but the more capitalized aggregators</w:t>
      </w:r>
      <w:r w:rsidR="00A922A6">
        <w:t>,</w:t>
      </w:r>
      <w:r w:rsidR="009563B4">
        <w:t xml:space="preserve"> with access to own transport</w:t>
      </w:r>
      <w:r w:rsidR="00A922A6">
        <w:t xml:space="preserve"> for example) </w:t>
      </w:r>
      <w:r w:rsidR="009563B4">
        <w:t>are mostly male.</w:t>
      </w:r>
    </w:p>
    <w:p w14:paraId="0DE8C921" w14:textId="13940F85" w:rsidR="009563B4" w:rsidRPr="00CE02DC" w:rsidRDefault="00A922A6" w:rsidP="001667C6">
      <w:pPr>
        <w:pStyle w:val="ParagraphOED"/>
        <w:numPr>
          <w:ilvl w:val="0"/>
          <w:numId w:val="102"/>
        </w:numPr>
        <w:spacing w:after="160"/>
      </w:pPr>
      <w:r w:rsidRPr="619CA689">
        <w:t>A</w:t>
      </w:r>
      <w:r w:rsidR="009563B4" w:rsidRPr="619CA689">
        <w:t xml:space="preserve"> </w:t>
      </w:r>
      <w:r w:rsidR="00541221">
        <w:t xml:space="preserve">possible </w:t>
      </w:r>
      <w:r w:rsidR="009563B4" w:rsidRPr="619CA689">
        <w:t xml:space="preserve">strategy for </w:t>
      </w:r>
      <w:r w:rsidRPr="619CA689">
        <w:t xml:space="preserve"> private sector </w:t>
      </w:r>
      <w:r w:rsidR="00D86C7E" w:rsidRPr="619CA689">
        <w:t xml:space="preserve">engagement </w:t>
      </w:r>
      <w:r w:rsidR="009563B4" w:rsidRPr="619CA689">
        <w:t>is summarized</w:t>
      </w:r>
      <w:r w:rsidR="005975A9" w:rsidRPr="619CA689">
        <w:t xml:space="preserve"> in </w:t>
      </w:r>
      <w:r w:rsidR="005975A9" w:rsidRPr="00CE02DC">
        <w:rPr>
          <w:szCs w:val="21"/>
        </w:rPr>
        <w:fldChar w:fldCharType="begin"/>
      </w:r>
      <w:r w:rsidR="005975A9" w:rsidRPr="00CE02DC">
        <w:rPr>
          <w:szCs w:val="21"/>
        </w:rPr>
        <w:instrText xml:space="preserve"> REF _Ref51758030 \h  \* MERGEFORMAT </w:instrText>
      </w:r>
      <w:r w:rsidR="005975A9" w:rsidRPr="00CE02DC">
        <w:rPr>
          <w:szCs w:val="21"/>
        </w:rPr>
      </w:r>
      <w:r w:rsidR="005975A9" w:rsidRPr="00CE02DC">
        <w:rPr>
          <w:szCs w:val="21"/>
        </w:rPr>
        <w:fldChar w:fldCharType="separate"/>
      </w:r>
      <w:r w:rsidR="00A64193" w:rsidRPr="00A64193">
        <w:rPr>
          <w:highlight w:val="lightGray"/>
        </w:rPr>
        <w:t xml:space="preserve">Table </w:t>
      </w:r>
      <w:r w:rsidR="00A64193" w:rsidRPr="00A64193">
        <w:rPr>
          <w:noProof/>
          <w:highlight w:val="lightGray"/>
        </w:rPr>
        <w:t>8</w:t>
      </w:r>
      <w:r w:rsidR="005975A9" w:rsidRPr="00CE02DC">
        <w:rPr>
          <w:szCs w:val="21"/>
        </w:rPr>
        <w:fldChar w:fldCharType="end"/>
      </w:r>
      <w:r w:rsidR="00CE02DC">
        <w:rPr>
          <w:szCs w:val="21"/>
        </w:rPr>
        <w:t>;</w:t>
      </w:r>
      <w:r w:rsidR="005975A9" w:rsidRPr="619CA689">
        <w:t xml:space="preserve"> and a more specific example </w:t>
      </w:r>
      <w:r w:rsidR="00CE02DC" w:rsidRPr="619CA689">
        <w:t xml:space="preserve">showing how private sector </w:t>
      </w:r>
      <w:r w:rsidR="00CE02DC" w:rsidRPr="00CE1EA7">
        <w:t xml:space="preserve">involvement </w:t>
      </w:r>
      <w:r w:rsidR="00CE02DC">
        <w:t>in</w:t>
      </w:r>
      <w:r w:rsidR="00CE02DC" w:rsidRPr="00CE1EA7">
        <w:t xml:space="preserve"> dryland commodity </w:t>
      </w:r>
      <w:r w:rsidR="00010912">
        <w:t>value chains</w:t>
      </w:r>
      <w:r w:rsidR="00CE02DC" w:rsidRPr="00CE1EA7">
        <w:t xml:space="preserve"> and capacity </w:t>
      </w:r>
      <w:r w:rsidR="00D86C7E">
        <w:t xml:space="preserve">development </w:t>
      </w:r>
      <w:r w:rsidR="00CE02DC" w:rsidRPr="00CE1EA7">
        <w:t xml:space="preserve">will be targeted </w:t>
      </w:r>
      <w:r w:rsidR="005975A9" w:rsidRPr="619CA689">
        <w:t xml:space="preserve">is provided in </w:t>
      </w:r>
      <w:r w:rsidR="005975A9" w:rsidRPr="619CA689">
        <w:rPr>
          <w:highlight w:val="lightGray"/>
        </w:rPr>
        <w:fldChar w:fldCharType="begin"/>
      </w:r>
      <w:r w:rsidR="005975A9" w:rsidRPr="619CA689">
        <w:rPr>
          <w:highlight w:val="lightGray"/>
        </w:rPr>
        <w:instrText xml:space="preserve"> REF _Ref51758209 \h  \* MERGEFORMAT </w:instrText>
      </w:r>
      <w:r w:rsidR="005975A9" w:rsidRPr="619CA689">
        <w:rPr>
          <w:highlight w:val="lightGray"/>
        </w:rPr>
      </w:r>
      <w:r w:rsidR="005975A9" w:rsidRPr="619CA689">
        <w:rPr>
          <w:highlight w:val="lightGray"/>
        </w:rPr>
        <w:fldChar w:fldCharType="separate"/>
      </w:r>
      <w:r w:rsidR="00A64193" w:rsidRPr="00A64193">
        <w:rPr>
          <w:highlight w:val="lightGray"/>
        </w:rPr>
        <w:t xml:space="preserve">Figure </w:t>
      </w:r>
      <w:r w:rsidR="00A64193" w:rsidRPr="00A64193">
        <w:rPr>
          <w:noProof/>
          <w:highlight w:val="lightGray"/>
        </w:rPr>
        <w:t>10</w:t>
      </w:r>
      <w:r w:rsidR="005975A9" w:rsidRPr="619CA689">
        <w:rPr>
          <w:highlight w:val="lightGray"/>
        </w:rPr>
        <w:fldChar w:fldCharType="end"/>
      </w:r>
      <w:r w:rsidR="005975A9" w:rsidRPr="00CE02DC">
        <w:rPr>
          <w:szCs w:val="21"/>
        </w:rPr>
        <w:t>.</w:t>
      </w:r>
    </w:p>
    <w:p w14:paraId="3678AB97" w14:textId="36511F70" w:rsidR="009563B4" w:rsidRPr="00CE1EA7" w:rsidRDefault="009563B4" w:rsidP="00CE02DC">
      <w:pPr>
        <w:pStyle w:val="Caption"/>
        <w:spacing w:before="160" w:after="80"/>
      </w:pPr>
      <w:bookmarkStart w:id="236" w:name="_Ref51758030"/>
      <w:bookmarkStart w:id="237" w:name="_Toc58398638"/>
      <w:r>
        <w:t xml:space="preserve">Table </w:t>
      </w:r>
      <w:r>
        <w:fldChar w:fldCharType="begin"/>
      </w:r>
      <w:r>
        <w:instrText>SEQ Table \* ARABIC</w:instrText>
      </w:r>
      <w:r>
        <w:fldChar w:fldCharType="separate"/>
      </w:r>
      <w:r w:rsidR="007D3608">
        <w:rPr>
          <w:noProof/>
        </w:rPr>
        <w:t>8</w:t>
      </w:r>
      <w:r>
        <w:fldChar w:fldCharType="end"/>
      </w:r>
      <w:bookmarkEnd w:id="236"/>
      <w:r>
        <w:t xml:space="preserve">. </w:t>
      </w:r>
      <w:bookmarkStart w:id="238" w:name="_Toc42262748"/>
      <w:r w:rsidRPr="00CE1EA7">
        <w:t>Private sector stakeholder engagement modalities</w:t>
      </w:r>
      <w:bookmarkEnd w:id="237"/>
      <w:bookmarkEnd w:id="238"/>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20" w:firstRow="1" w:lastRow="0" w:firstColumn="0" w:lastColumn="0" w:noHBand="0" w:noVBand="1"/>
      </w:tblPr>
      <w:tblGrid>
        <w:gridCol w:w="1130"/>
        <w:gridCol w:w="1971"/>
        <w:gridCol w:w="1973"/>
        <w:gridCol w:w="1971"/>
        <w:gridCol w:w="1971"/>
      </w:tblGrid>
      <w:tr w:rsidR="009563B4" w:rsidRPr="005975A9" w14:paraId="222C5FED" w14:textId="77777777" w:rsidTr="00A82064">
        <w:trPr>
          <w:trHeight w:val="78"/>
          <w:tblHeader/>
        </w:trPr>
        <w:tc>
          <w:tcPr>
            <w:tcW w:w="627" w:type="pct"/>
            <w:shd w:val="clear" w:color="auto" w:fill="000000"/>
            <w:tcMar>
              <w:top w:w="28" w:type="dxa"/>
              <w:left w:w="57" w:type="dxa"/>
              <w:bottom w:w="28" w:type="dxa"/>
              <w:right w:w="28" w:type="dxa"/>
            </w:tcMar>
          </w:tcPr>
          <w:p w14:paraId="4E5B86F6" w14:textId="479FAA02" w:rsidR="009563B4" w:rsidRPr="005975A9" w:rsidRDefault="009563B4" w:rsidP="005975A9">
            <w:pPr>
              <w:jc w:val="center"/>
              <w:rPr>
                <w:rFonts w:ascii="Calibri" w:hAnsi="Calibri" w:cs="Calibri"/>
                <w:sz w:val="18"/>
                <w:szCs w:val="18"/>
              </w:rPr>
            </w:pPr>
            <w:r w:rsidRPr="005975A9">
              <w:rPr>
                <w:rFonts w:ascii="Calibri" w:hAnsi="Calibri" w:cs="Calibri"/>
                <w:b/>
                <w:bCs/>
                <w:i/>
                <w:iCs/>
                <w:sz w:val="18"/>
                <w:szCs w:val="18"/>
              </w:rPr>
              <w:t>Through / With ...</w:t>
            </w:r>
          </w:p>
        </w:tc>
        <w:tc>
          <w:tcPr>
            <w:tcW w:w="1093" w:type="pct"/>
            <w:shd w:val="clear" w:color="auto" w:fill="000000"/>
            <w:tcMar>
              <w:top w:w="28" w:type="dxa"/>
              <w:left w:w="57" w:type="dxa"/>
              <w:bottom w:w="28" w:type="dxa"/>
              <w:right w:w="28" w:type="dxa"/>
            </w:tcMar>
          </w:tcPr>
          <w:p w14:paraId="285573AB" w14:textId="77777777" w:rsidR="009563B4" w:rsidRPr="005975A9" w:rsidRDefault="009563B4" w:rsidP="005975A9">
            <w:pPr>
              <w:jc w:val="center"/>
              <w:rPr>
                <w:rFonts w:ascii="Calibri" w:hAnsi="Calibri" w:cs="Calibri"/>
                <w:sz w:val="18"/>
                <w:szCs w:val="18"/>
              </w:rPr>
            </w:pPr>
            <w:r w:rsidRPr="005975A9">
              <w:rPr>
                <w:rFonts w:ascii="Calibri" w:hAnsi="Calibri" w:cs="Calibri"/>
                <w:b/>
                <w:bCs/>
                <w:sz w:val="18"/>
                <w:szCs w:val="18"/>
              </w:rPr>
              <w:t>Private Sector</w:t>
            </w:r>
          </w:p>
        </w:tc>
        <w:tc>
          <w:tcPr>
            <w:tcW w:w="1094" w:type="pct"/>
            <w:shd w:val="clear" w:color="auto" w:fill="000000"/>
            <w:tcMar>
              <w:top w:w="28" w:type="dxa"/>
              <w:left w:w="57" w:type="dxa"/>
              <w:bottom w:w="28" w:type="dxa"/>
              <w:right w:w="28" w:type="dxa"/>
            </w:tcMar>
          </w:tcPr>
          <w:p w14:paraId="71433AF7" w14:textId="77777777" w:rsidR="009563B4" w:rsidRPr="005975A9" w:rsidRDefault="009563B4" w:rsidP="005975A9">
            <w:pPr>
              <w:jc w:val="center"/>
              <w:rPr>
                <w:rFonts w:ascii="Calibri" w:hAnsi="Calibri" w:cs="Calibri"/>
                <w:sz w:val="18"/>
                <w:szCs w:val="18"/>
              </w:rPr>
            </w:pPr>
            <w:r w:rsidRPr="005975A9">
              <w:rPr>
                <w:rFonts w:ascii="Calibri" w:hAnsi="Calibri" w:cs="Calibri"/>
                <w:b/>
                <w:bCs/>
                <w:sz w:val="18"/>
                <w:szCs w:val="18"/>
              </w:rPr>
              <w:t>Government</w:t>
            </w:r>
          </w:p>
        </w:tc>
        <w:tc>
          <w:tcPr>
            <w:tcW w:w="1093" w:type="pct"/>
            <w:shd w:val="clear" w:color="auto" w:fill="000000"/>
            <w:tcMar>
              <w:top w:w="28" w:type="dxa"/>
              <w:left w:w="57" w:type="dxa"/>
              <w:bottom w:w="28" w:type="dxa"/>
              <w:right w:w="28" w:type="dxa"/>
            </w:tcMar>
          </w:tcPr>
          <w:p w14:paraId="3B39F963" w14:textId="77777777" w:rsidR="009563B4" w:rsidRPr="005975A9" w:rsidRDefault="009563B4" w:rsidP="005975A9">
            <w:pPr>
              <w:jc w:val="center"/>
              <w:rPr>
                <w:rFonts w:ascii="Calibri" w:hAnsi="Calibri" w:cs="Calibri"/>
                <w:sz w:val="18"/>
                <w:szCs w:val="18"/>
              </w:rPr>
            </w:pPr>
            <w:r w:rsidRPr="005975A9">
              <w:rPr>
                <w:rFonts w:ascii="Calibri" w:hAnsi="Calibri" w:cs="Calibri"/>
                <w:b/>
                <w:bCs/>
                <w:sz w:val="18"/>
                <w:szCs w:val="18"/>
              </w:rPr>
              <w:t>Local producers</w:t>
            </w:r>
          </w:p>
        </w:tc>
        <w:tc>
          <w:tcPr>
            <w:tcW w:w="1093" w:type="pct"/>
            <w:shd w:val="clear" w:color="auto" w:fill="000000"/>
            <w:tcMar>
              <w:top w:w="28" w:type="dxa"/>
              <w:left w:w="57" w:type="dxa"/>
              <w:bottom w:w="28" w:type="dxa"/>
              <w:right w:w="28" w:type="dxa"/>
            </w:tcMar>
          </w:tcPr>
          <w:p w14:paraId="3A2114EB" w14:textId="77777777" w:rsidR="009563B4" w:rsidRPr="005975A9" w:rsidRDefault="009563B4" w:rsidP="005975A9">
            <w:pPr>
              <w:jc w:val="center"/>
              <w:rPr>
                <w:rFonts w:ascii="Calibri" w:hAnsi="Calibri" w:cs="Calibri"/>
                <w:sz w:val="18"/>
                <w:szCs w:val="18"/>
              </w:rPr>
            </w:pPr>
            <w:r w:rsidRPr="005975A9">
              <w:rPr>
                <w:rFonts w:ascii="Calibri" w:hAnsi="Calibri" w:cs="Calibri"/>
                <w:b/>
                <w:bCs/>
                <w:sz w:val="18"/>
                <w:szCs w:val="18"/>
              </w:rPr>
              <w:t>‘Catalysts’</w:t>
            </w:r>
          </w:p>
        </w:tc>
      </w:tr>
      <w:tr w:rsidR="009563B4" w:rsidRPr="005975A9" w14:paraId="1561B23D" w14:textId="77777777" w:rsidTr="00A82064">
        <w:trPr>
          <w:trHeight w:val="379"/>
        </w:trPr>
        <w:tc>
          <w:tcPr>
            <w:tcW w:w="627" w:type="pct"/>
            <w:shd w:val="clear" w:color="auto" w:fill="F7CAAC" w:themeFill="accent2" w:themeFillTint="66"/>
            <w:tcMar>
              <w:top w:w="28" w:type="dxa"/>
              <w:left w:w="57" w:type="dxa"/>
              <w:bottom w:w="28" w:type="dxa"/>
              <w:right w:w="28" w:type="dxa"/>
            </w:tcMar>
          </w:tcPr>
          <w:p w14:paraId="1B68D7CC" w14:textId="77777777" w:rsidR="009563B4" w:rsidRPr="005975A9" w:rsidRDefault="009563B4" w:rsidP="00481CA4">
            <w:pPr>
              <w:rPr>
                <w:rFonts w:ascii="Calibri" w:hAnsi="Calibri" w:cs="Calibri"/>
                <w:sz w:val="18"/>
                <w:szCs w:val="18"/>
              </w:rPr>
            </w:pPr>
            <w:r w:rsidRPr="005975A9">
              <w:rPr>
                <w:rFonts w:ascii="Calibri" w:hAnsi="Calibri" w:cs="Calibri"/>
                <w:b/>
                <w:bCs/>
                <w:sz w:val="18"/>
                <w:szCs w:val="18"/>
              </w:rPr>
              <w:t>Strategic Analysis</w:t>
            </w:r>
          </w:p>
        </w:tc>
        <w:tc>
          <w:tcPr>
            <w:tcW w:w="1093" w:type="pct"/>
            <w:shd w:val="clear" w:color="auto" w:fill="FFFFFF" w:themeFill="background1"/>
            <w:tcMar>
              <w:top w:w="28" w:type="dxa"/>
              <w:left w:w="57" w:type="dxa"/>
              <w:bottom w:w="28" w:type="dxa"/>
              <w:right w:w="28" w:type="dxa"/>
            </w:tcMar>
          </w:tcPr>
          <w:p w14:paraId="202B78A4" w14:textId="4CF6C43A" w:rsidR="009563B4" w:rsidRPr="005975A9" w:rsidRDefault="009563B4" w:rsidP="00481CA4">
            <w:pPr>
              <w:rPr>
                <w:rFonts w:ascii="Calibri" w:hAnsi="Calibri" w:cs="Calibri"/>
                <w:sz w:val="18"/>
                <w:szCs w:val="18"/>
              </w:rPr>
            </w:pPr>
            <w:r w:rsidRPr="005975A9">
              <w:rPr>
                <w:rFonts w:ascii="Calibri" w:hAnsi="Calibri" w:cs="Calibri"/>
                <w:sz w:val="18"/>
                <w:szCs w:val="18"/>
              </w:rPr>
              <w:t xml:space="preserve">Help stakeholders understand conditions of market access sustainability for different </w:t>
            </w:r>
            <w:r w:rsidR="00392B39">
              <w:rPr>
                <w:rFonts w:ascii="Calibri" w:hAnsi="Calibri" w:cs="Calibri"/>
                <w:sz w:val="18"/>
                <w:szCs w:val="18"/>
              </w:rPr>
              <w:t>G</w:t>
            </w:r>
            <w:r w:rsidRPr="005975A9">
              <w:rPr>
                <w:rFonts w:ascii="Calibri" w:hAnsi="Calibri" w:cs="Calibri"/>
                <w:sz w:val="18"/>
                <w:szCs w:val="18"/>
              </w:rPr>
              <w:t>VCs</w:t>
            </w:r>
          </w:p>
          <w:p w14:paraId="20CDDF9F" w14:textId="5349E651" w:rsidR="009563B4" w:rsidRPr="005975A9" w:rsidRDefault="009563B4" w:rsidP="00481CA4">
            <w:pPr>
              <w:rPr>
                <w:rFonts w:ascii="Calibri" w:hAnsi="Calibri" w:cs="Calibri"/>
                <w:sz w:val="18"/>
                <w:szCs w:val="18"/>
              </w:rPr>
            </w:pPr>
            <w:r w:rsidRPr="005975A9">
              <w:rPr>
                <w:rFonts w:ascii="Calibri" w:hAnsi="Calibri" w:cs="Calibri"/>
                <w:i/>
                <w:iCs/>
                <w:sz w:val="18"/>
                <w:szCs w:val="18"/>
                <w:u w:val="single"/>
                <w:shd w:val="clear" w:color="auto" w:fill="FBE4D5" w:themeFill="accent2" w:themeFillTint="33"/>
              </w:rPr>
              <w:t>PURPOSE</w:t>
            </w:r>
            <w:r w:rsidRPr="005975A9">
              <w:rPr>
                <w:rFonts w:ascii="Calibri" w:hAnsi="Calibri" w:cs="Calibri"/>
                <w:sz w:val="18"/>
                <w:szCs w:val="18"/>
                <w:shd w:val="clear" w:color="auto" w:fill="FBE4D5" w:themeFill="accent2" w:themeFillTint="33"/>
              </w:rPr>
              <w:t xml:space="preserve">: conditions of market access </w:t>
            </w:r>
            <w:r w:rsidR="00392B39">
              <w:rPr>
                <w:rFonts w:ascii="Calibri" w:hAnsi="Calibri" w:cs="Calibri"/>
                <w:sz w:val="18"/>
                <w:szCs w:val="18"/>
                <w:shd w:val="clear" w:color="auto" w:fill="FBE4D5" w:themeFill="accent2" w:themeFillTint="33"/>
              </w:rPr>
              <w:t xml:space="preserve">and </w:t>
            </w:r>
            <w:r w:rsidRPr="005975A9">
              <w:rPr>
                <w:rFonts w:ascii="Calibri" w:hAnsi="Calibri" w:cs="Calibri"/>
                <w:sz w:val="18"/>
                <w:szCs w:val="18"/>
                <w:shd w:val="clear" w:color="auto" w:fill="FBE4D5" w:themeFill="accent2" w:themeFillTint="33"/>
              </w:rPr>
              <w:t xml:space="preserve">sustainability for different </w:t>
            </w:r>
            <w:r w:rsidR="00392B39">
              <w:rPr>
                <w:rFonts w:ascii="Calibri" w:hAnsi="Calibri" w:cs="Calibri"/>
                <w:sz w:val="18"/>
                <w:szCs w:val="18"/>
                <w:shd w:val="clear" w:color="auto" w:fill="FBE4D5" w:themeFill="accent2" w:themeFillTint="33"/>
              </w:rPr>
              <w:t>G</w:t>
            </w:r>
            <w:r w:rsidRPr="005975A9">
              <w:rPr>
                <w:rFonts w:ascii="Calibri" w:hAnsi="Calibri" w:cs="Calibri"/>
                <w:sz w:val="18"/>
                <w:szCs w:val="18"/>
                <w:shd w:val="clear" w:color="auto" w:fill="FBE4D5" w:themeFill="accent2" w:themeFillTint="33"/>
              </w:rPr>
              <w:t>VCs</w:t>
            </w:r>
          </w:p>
        </w:tc>
        <w:tc>
          <w:tcPr>
            <w:tcW w:w="1094" w:type="pct"/>
            <w:shd w:val="clear" w:color="auto" w:fill="FFFFFF" w:themeFill="background1"/>
            <w:tcMar>
              <w:top w:w="28" w:type="dxa"/>
              <w:left w:w="57" w:type="dxa"/>
              <w:bottom w:w="28" w:type="dxa"/>
              <w:right w:w="28" w:type="dxa"/>
            </w:tcMar>
          </w:tcPr>
          <w:p w14:paraId="1508909C" w14:textId="387DCB01" w:rsidR="009563B4" w:rsidRPr="005975A9" w:rsidRDefault="009563B4" w:rsidP="00481CA4">
            <w:pPr>
              <w:rPr>
                <w:rFonts w:ascii="Calibri" w:hAnsi="Calibri" w:cs="Calibri"/>
                <w:sz w:val="18"/>
                <w:szCs w:val="18"/>
              </w:rPr>
            </w:pPr>
            <w:r w:rsidRPr="005975A9">
              <w:rPr>
                <w:rFonts w:ascii="Calibri" w:hAnsi="Calibri" w:cs="Calibri"/>
                <w:sz w:val="18"/>
                <w:szCs w:val="18"/>
              </w:rPr>
              <w:t xml:space="preserve">Help stakeholders identify policy barriers </w:t>
            </w:r>
            <w:r w:rsidR="00F05E9B">
              <w:rPr>
                <w:rFonts w:ascii="Calibri" w:hAnsi="Calibri" w:cs="Calibri"/>
                <w:sz w:val="18"/>
                <w:szCs w:val="18"/>
              </w:rPr>
              <w:t>to</w:t>
            </w:r>
            <w:r w:rsidRPr="005975A9">
              <w:rPr>
                <w:rFonts w:ascii="Calibri" w:hAnsi="Calibri" w:cs="Calibri"/>
                <w:sz w:val="18"/>
                <w:szCs w:val="18"/>
              </w:rPr>
              <w:t xml:space="preserve"> sustainable development of local drylands economy</w:t>
            </w:r>
          </w:p>
          <w:p w14:paraId="197C487A" w14:textId="2724E80D" w:rsidR="009563B4" w:rsidRPr="005975A9" w:rsidRDefault="009563B4" w:rsidP="00481CA4">
            <w:pPr>
              <w:rPr>
                <w:rFonts w:ascii="Calibri" w:hAnsi="Calibri" w:cs="Calibri"/>
                <w:sz w:val="18"/>
                <w:szCs w:val="18"/>
              </w:rPr>
            </w:pPr>
            <w:r w:rsidRPr="005975A9">
              <w:rPr>
                <w:rFonts w:ascii="Calibri" w:hAnsi="Calibri" w:cs="Calibri"/>
                <w:i/>
                <w:iCs/>
                <w:sz w:val="18"/>
                <w:szCs w:val="18"/>
                <w:u w:val="single"/>
                <w:shd w:val="clear" w:color="auto" w:fill="FBE4D5" w:themeFill="accent2" w:themeFillTint="33"/>
              </w:rPr>
              <w:t>PURPOSE</w:t>
            </w:r>
            <w:r w:rsidRPr="005975A9">
              <w:rPr>
                <w:rFonts w:ascii="Calibri" w:hAnsi="Calibri" w:cs="Calibri"/>
                <w:sz w:val="18"/>
                <w:szCs w:val="18"/>
                <w:shd w:val="clear" w:color="auto" w:fill="FBE4D5" w:themeFill="accent2" w:themeFillTint="33"/>
              </w:rPr>
              <w:t xml:space="preserve">: identify policy barriers </w:t>
            </w:r>
            <w:r w:rsidR="00F05E9B">
              <w:rPr>
                <w:rFonts w:ascii="Calibri" w:hAnsi="Calibri" w:cs="Calibri"/>
                <w:sz w:val="18"/>
                <w:szCs w:val="18"/>
                <w:shd w:val="clear" w:color="auto" w:fill="FBE4D5" w:themeFill="accent2" w:themeFillTint="33"/>
              </w:rPr>
              <w:t>to</w:t>
            </w:r>
            <w:r w:rsidRPr="005975A9">
              <w:rPr>
                <w:rFonts w:ascii="Calibri" w:hAnsi="Calibri" w:cs="Calibri"/>
                <w:sz w:val="18"/>
                <w:szCs w:val="18"/>
                <w:shd w:val="clear" w:color="auto" w:fill="FBE4D5" w:themeFill="accent2" w:themeFillTint="33"/>
              </w:rPr>
              <w:t xml:space="preserve"> sustainable </w:t>
            </w:r>
            <w:r w:rsidR="00F05E9B">
              <w:rPr>
                <w:rFonts w:ascii="Calibri" w:hAnsi="Calibri" w:cs="Calibri"/>
                <w:sz w:val="18"/>
                <w:szCs w:val="18"/>
                <w:shd w:val="clear" w:color="auto" w:fill="FBE4D5" w:themeFill="accent2" w:themeFillTint="33"/>
              </w:rPr>
              <w:t>development</w:t>
            </w:r>
            <w:r w:rsidRPr="005975A9">
              <w:rPr>
                <w:rFonts w:ascii="Calibri" w:hAnsi="Calibri" w:cs="Calibri"/>
                <w:sz w:val="18"/>
                <w:szCs w:val="18"/>
                <w:shd w:val="clear" w:color="auto" w:fill="FBE4D5" w:themeFill="accent2" w:themeFillTint="33"/>
              </w:rPr>
              <w:t xml:space="preserve"> of local drylands economy</w:t>
            </w:r>
          </w:p>
        </w:tc>
        <w:tc>
          <w:tcPr>
            <w:tcW w:w="1093" w:type="pct"/>
            <w:shd w:val="clear" w:color="auto" w:fill="FFFFFF" w:themeFill="background1"/>
            <w:tcMar>
              <w:top w:w="28" w:type="dxa"/>
              <w:left w:w="57" w:type="dxa"/>
              <w:bottom w:w="28" w:type="dxa"/>
              <w:right w:w="28" w:type="dxa"/>
            </w:tcMar>
          </w:tcPr>
          <w:p w14:paraId="4FF53807" w14:textId="77777777" w:rsidR="009563B4" w:rsidRPr="005975A9" w:rsidRDefault="009563B4" w:rsidP="00481CA4">
            <w:pPr>
              <w:rPr>
                <w:rFonts w:ascii="Calibri" w:hAnsi="Calibri" w:cs="Calibri"/>
                <w:sz w:val="18"/>
                <w:szCs w:val="18"/>
              </w:rPr>
            </w:pPr>
            <w:r w:rsidRPr="005975A9">
              <w:rPr>
                <w:rFonts w:ascii="Calibri" w:hAnsi="Calibri" w:cs="Calibri"/>
                <w:sz w:val="18"/>
                <w:szCs w:val="18"/>
              </w:rPr>
              <w:t>Providing data and being willing recipients of assistance</w:t>
            </w:r>
          </w:p>
          <w:p w14:paraId="0D7337DE" w14:textId="77777777" w:rsidR="009563B4" w:rsidRPr="005975A9" w:rsidRDefault="009563B4" w:rsidP="00481CA4">
            <w:pPr>
              <w:rPr>
                <w:rFonts w:ascii="Calibri" w:hAnsi="Calibri" w:cs="Calibri"/>
                <w:sz w:val="18"/>
                <w:szCs w:val="18"/>
              </w:rPr>
            </w:pPr>
          </w:p>
          <w:p w14:paraId="758EE554" w14:textId="77777777" w:rsidR="009563B4" w:rsidRPr="005975A9" w:rsidRDefault="009563B4" w:rsidP="00481CA4">
            <w:pPr>
              <w:rPr>
                <w:rFonts w:ascii="Calibri" w:hAnsi="Calibri" w:cs="Calibri"/>
                <w:sz w:val="18"/>
                <w:szCs w:val="18"/>
              </w:rPr>
            </w:pPr>
          </w:p>
          <w:p w14:paraId="661A79AD" w14:textId="77777777" w:rsidR="009563B4" w:rsidRPr="005975A9" w:rsidRDefault="009563B4" w:rsidP="00481CA4">
            <w:pPr>
              <w:rPr>
                <w:rFonts w:ascii="Calibri" w:hAnsi="Calibri" w:cs="Calibri"/>
                <w:sz w:val="18"/>
                <w:szCs w:val="18"/>
              </w:rPr>
            </w:pPr>
            <w:r w:rsidRPr="005975A9">
              <w:rPr>
                <w:rFonts w:ascii="Calibri" w:hAnsi="Calibri" w:cs="Calibri"/>
                <w:sz w:val="18"/>
                <w:szCs w:val="18"/>
                <w:u w:val="single"/>
                <w:shd w:val="clear" w:color="auto" w:fill="FBE4D5" w:themeFill="accent2" w:themeFillTint="33"/>
              </w:rPr>
              <w:t>PURPOSE:</w:t>
            </w:r>
            <w:r w:rsidRPr="005975A9">
              <w:rPr>
                <w:rFonts w:ascii="Calibri" w:hAnsi="Calibri" w:cs="Calibri"/>
                <w:sz w:val="18"/>
                <w:szCs w:val="18"/>
                <w:shd w:val="clear" w:color="auto" w:fill="FBE4D5" w:themeFill="accent2" w:themeFillTint="33"/>
              </w:rPr>
              <w:t xml:space="preserve"> Providing data and being willing recipients of assistance</w:t>
            </w:r>
          </w:p>
        </w:tc>
        <w:tc>
          <w:tcPr>
            <w:tcW w:w="1093" w:type="pct"/>
            <w:shd w:val="clear" w:color="auto" w:fill="FFFFFF" w:themeFill="background1"/>
            <w:tcMar>
              <w:top w:w="28" w:type="dxa"/>
              <w:left w:w="57" w:type="dxa"/>
              <w:bottom w:w="28" w:type="dxa"/>
              <w:right w:w="28" w:type="dxa"/>
            </w:tcMar>
          </w:tcPr>
          <w:p w14:paraId="20BAD0BE" w14:textId="4DE709C5" w:rsidR="009563B4" w:rsidRPr="005975A9" w:rsidRDefault="009563B4" w:rsidP="00481CA4">
            <w:pPr>
              <w:rPr>
                <w:rFonts w:ascii="Calibri" w:hAnsi="Calibri" w:cs="Calibri"/>
                <w:sz w:val="18"/>
                <w:szCs w:val="18"/>
              </w:rPr>
            </w:pPr>
            <w:r w:rsidRPr="005975A9">
              <w:rPr>
                <w:rFonts w:ascii="Calibri" w:hAnsi="Calibri" w:cs="Calibri"/>
                <w:sz w:val="18"/>
                <w:szCs w:val="18"/>
              </w:rPr>
              <w:t xml:space="preserve">Conveying results of </w:t>
            </w:r>
            <w:r w:rsidR="00F05E9B" w:rsidRPr="005975A9">
              <w:rPr>
                <w:rFonts w:ascii="Calibri" w:hAnsi="Calibri" w:cs="Calibri"/>
                <w:sz w:val="18"/>
                <w:szCs w:val="18"/>
              </w:rPr>
              <w:t xml:space="preserve">the </w:t>
            </w:r>
            <w:r w:rsidRPr="005975A9">
              <w:rPr>
                <w:rFonts w:ascii="Calibri" w:hAnsi="Calibri" w:cs="Calibri"/>
                <w:sz w:val="18"/>
                <w:szCs w:val="18"/>
              </w:rPr>
              <w:t>analysis.</w:t>
            </w:r>
          </w:p>
          <w:p w14:paraId="39E6DC45" w14:textId="77777777" w:rsidR="009563B4" w:rsidRPr="005975A9" w:rsidRDefault="009563B4" w:rsidP="00481CA4">
            <w:pPr>
              <w:rPr>
                <w:rFonts w:ascii="Calibri" w:hAnsi="Calibri" w:cs="Calibri"/>
                <w:sz w:val="18"/>
                <w:szCs w:val="18"/>
              </w:rPr>
            </w:pPr>
          </w:p>
          <w:p w14:paraId="689D1556" w14:textId="77777777" w:rsidR="009563B4" w:rsidRPr="005975A9" w:rsidRDefault="009563B4" w:rsidP="00481CA4">
            <w:pPr>
              <w:rPr>
                <w:rFonts w:ascii="Calibri" w:hAnsi="Calibri" w:cs="Calibri"/>
                <w:sz w:val="18"/>
                <w:szCs w:val="18"/>
              </w:rPr>
            </w:pPr>
          </w:p>
          <w:p w14:paraId="0ED7C014" w14:textId="77777777" w:rsidR="009563B4" w:rsidRPr="005975A9" w:rsidRDefault="009563B4" w:rsidP="00481CA4">
            <w:pPr>
              <w:rPr>
                <w:rFonts w:ascii="Calibri" w:hAnsi="Calibri" w:cs="Calibri"/>
                <w:sz w:val="18"/>
                <w:szCs w:val="18"/>
              </w:rPr>
            </w:pPr>
          </w:p>
          <w:p w14:paraId="72C547D5" w14:textId="77777777" w:rsidR="009563B4" w:rsidRPr="005975A9" w:rsidRDefault="009563B4" w:rsidP="00481CA4">
            <w:pPr>
              <w:rPr>
                <w:rFonts w:ascii="Calibri" w:hAnsi="Calibri" w:cs="Calibri"/>
                <w:sz w:val="18"/>
                <w:szCs w:val="18"/>
              </w:rPr>
            </w:pPr>
            <w:r w:rsidRPr="005975A9">
              <w:rPr>
                <w:rFonts w:ascii="Calibri" w:hAnsi="Calibri" w:cs="Calibri"/>
                <w:sz w:val="18"/>
                <w:szCs w:val="18"/>
                <w:u w:val="single"/>
                <w:shd w:val="clear" w:color="auto" w:fill="FBE4D5" w:themeFill="accent2" w:themeFillTint="33"/>
              </w:rPr>
              <w:t>PURPOSE</w:t>
            </w:r>
            <w:r w:rsidRPr="005975A9">
              <w:rPr>
                <w:rFonts w:ascii="Calibri" w:hAnsi="Calibri" w:cs="Calibri"/>
                <w:sz w:val="18"/>
                <w:szCs w:val="18"/>
                <w:shd w:val="clear" w:color="auto" w:fill="FBE4D5" w:themeFill="accent2" w:themeFillTint="33"/>
              </w:rPr>
              <w:t>: Conveying the results of analysis</w:t>
            </w:r>
          </w:p>
        </w:tc>
      </w:tr>
      <w:tr w:rsidR="009563B4" w:rsidRPr="005975A9" w14:paraId="4A130B19" w14:textId="77777777" w:rsidTr="00A82064">
        <w:trPr>
          <w:trHeight w:val="157"/>
        </w:trPr>
        <w:tc>
          <w:tcPr>
            <w:tcW w:w="627" w:type="pct"/>
            <w:shd w:val="clear" w:color="auto" w:fill="F7CAAC" w:themeFill="accent2" w:themeFillTint="66"/>
            <w:tcMar>
              <w:top w:w="28" w:type="dxa"/>
              <w:left w:w="57" w:type="dxa"/>
              <w:bottom w:w="28" w:type="dxa"/>
              <w:right w:w="28" w:type="dxa"/>
            </w:tcMar>
          </w:tcPr>
          <w:p w14:paraId="5FFF8B60" w14:textId="77777777" w:rsidR="009563B4" w:rsidRPr="005975A9" w:rsidRDefault="009563B4" w:rsidP="00481CA4">
            <w:pPr>
              <w:rPr>
                <w:rFonts w:ascii="Calibri" w:hAnsi="Calibri" w:cs="Calibri"/>
                <w:sz w:val="18"/>
                <w:szCs w:val="18"/>
              </w:rPr>
            </w:pPr>
            <w:r w:rsidRPr="005975A9">
              <w:rPr>
                <w:rFonts w:ascii="Calibri" w:hAnsi="Calibri" w:cs="Calibri"/>
                <w:b/>
                <w:bCs/>
                <w:sz w:val="18"/>
                <w:szCs w:val="18"/>
              </w:rPr>
              <w:t>Capacity development</w:t>
            </w:r>
          </w:p>
        </w:tc>
        <w:tc>
          <w:tcPr>
            <w:tcW w:w="1093" w:type="pct"/>
            <w:shd w:val="clear" w:color="auto" w:fill="FFFFFF" w:themeFill="background1"/>
            <w:tcMar>
              <w:top w:w="28" w:type="dxa"/>
              <w:left w:w="57" w:type="dxa"/>
              <w:bottom w:w="28" w:type="dxa"/>
              <w:right w:w="28" w:type="dxa"/>
            </w:tcMar>
          </w:tcPr>
          <w:p w14:paraId="6992CB12" w14:textId="3A4671AE" w:rsidR="009563B4" w:rsidRPr="005975A9" w:rsidRDefault="009563B4" w:rsidP="00481CA4">
            <w:pPr>
              <w:rPr>
                <w:rFonts w:ascii="Calibri" w:hAnsi="Calibri" w:cs="Calibri"/>
                <w:sz w:val="18"/>
                <w:szCs w:val="18"/>
              </w:rPr>
            </w:pPr>
            <w:r w:rsidRPr="005975A9">
              <w:rPr>
                <w:rFonts w:ascii="Calibri" w:hAnsi="Calibri" w:cs="Calibri"/>
                <w:sz w:val="18"/>
                <w:szCs w:val="18"/>
              </w:rPr>
              <w:t xml:space="preserve">Identify opportunities and risks through gender-sensitive business incubation </w:t>
            </w:r>
            <w:r w:rsidR="00D86C7E">
              <w:rPr>
                <w:rFonts w:ascii="Calibri" w:hAnsi="Calibri" w:cs="Calibri"/>
                <w:sz w:val="18"/>
                <w:szCs w:val="18"/>
              </w:rPr>
              <w:t>/</w:t>
            </w:r>
            <w:r w:rsidRPr="005975A9">
              <w:rPr>
                <w:rFonts w:ascii="Calibri" w:hAnsi="Calibri" w:cs="Calibri"/>
                <w:sz w:val="18"/>
                <w:szCs w:val="18"/>
              </w:rPr>
              <w:t>development</w:t>
            </w:r>
          </w:p>
          <w:p w14:paraId="78A317BD" w14:textId="3B840537" w:rsidR="009563B4" w:rsidRPr="005975A9" w:rsidRDefault="009563B4" w:rsidP="00A82064">
            <w:pPr>
              <w:rPr>
                <w:rFonts w:ascii="Calibri" w:hAnsi="Calibri" w:cs="Calibri"/>
                <w:sz w:val="18"/>
                <w:szCs w:val="18"/>
              </w:rPr>
            </w:pPr>
            <w:r w:rsidRPr="005975A9">
              <w:rPr>
                <w:rFonts w:ascii="Calibri" w:hAnsi="Calibri" w:cs="Calibri"/>
                <w:i/>
                <w:iCs/>
                <w:sz w:val="18"/>
                <w:szCs w:val="18"/>
                <w:u w:val="single"/>
                <w:shd w:val="clear" w:color="auto" w:fill="FBE4D5" w:themeFill="accent2" w:themeFillTint="33"/>
              </w:rPr>
              <w:t>PURPOSE</w:t>
            </w:r>
            <w:r w:rsidRPr="005975A9">
              <w:rPr>
                <w:rFonts w:ascii="Calibri" w:hAnsi="Calibri" w:cs="Calibri"/>
                <w:sz w:val="18"/>
                <w:szCs w:val="18"/>
                <w:shd w:val="clear" w:color="auto" w:fill="FBE4D5" w:themeFill="accent2" w:themeFillTint="33"/>
              </w:rPr>
              <w:t xml:space="preserve">: Leverage opportunities and risks </w:t>
            </w:r>
            <w:r w:rsidRPr="005975A9">
              <w:rPr>
                <w:rFonts w:ascii="Calibri" w:hAnsi="Calibri" w:cs="Calibri"/>
                <w:sz w:val="18"/>
                <w:szCs w:val="18"/>
                <w:shd w:val="clear" w:color="auto" w:fill="FBE4D5" w:themeFill="accent2" w:themeFillTint="33"/>
              </w:rPr>
              <w:lastRenderedPageBreak/>
              <w:t>gender-sensitive business incubation</w:t>
            </w:r>
          </w:p>
        </w:tc>
        <w:tc>
          <w:tcPr>
            <w:tcW w:w="1094" w:type="pct"/>
            <w:shd w:val="clear" w:color="auto" w:fill="FFFFFF" w:themeFill="background1"/>
            <w:tcMar>
              <w:top w:w="28" w:type="dxa"/>
              <w:left w:w="57" w:type="dxa"/>
              <w:bottom w:w="28" w:type="dxa"/>
              <w:right w:w="28" w:type="dxa"/>
            </w:tcMar>
          </w:tcPr>
          <w:p w14:paraId="23D2A6D2" w14:textId="3B3CF411" w:rsidR="009563B4" w:rsidRPr="005975A9" w:rsidRDefault="009563B4" w:rsidP="00481CA4">
            <w:pPr>
              <w:rPr>
                <w:rFonts w:ascii="Calibri" w:hAnsi="Calibri" w:cs="Calibri"/>
                <w:sz w:val="18"/>
                <w:szCs w:val="18"/>
              </w:rPr>
            </w:pPr>
            <w:r w:rsidRPr="005975A9">
              <w:rPr>
                <w:rFonts w:ascii="Calibri" w:hAnsi="Calibri" w:cs="Calibri"/>
                <w:sz w:val="18"/>
                <w:szCs w:val="18"/>
              </w:rPr>
              <w:lastRenderedPageBreak/>
              <w:t xml:space="preserve">Help remove policy barriers </w:t>
            </w:r>
            <w:r w:rsidR="00A82064">
              <w:rPr>
                <w:rFonts w:ascii="Calibri" w:hAnsi="Calibri" w:cs="Calibri"/>
                <w:sz w:val="18"/>
                <w:szCs w:val="18"/>
              </w:rPr>
              <w:t>to</w:t>
            </w:r>
            <w:r w:rsidR="00A82064" w:rsidRPr="005975A9">
              <w:rPr>
                <w:rFonts w:ascii="Calibri" w:hAnsi="Calibri" w:cs="Calibri"/>
                <w:sz w:val="18"/>
                <w:szCs w:val="18"/>
              </w:rPr>
              <w:t xml:space="preserve"> </w:t>
            </w:r>
            <w:r w:rsidRPr="005975A9">
              <w:rPr>
                <w:rFonts w:ascii="Calibri" w:hAnsi="Calibri" w:cs="Calibri"/>
                <w:sz w:val="18"/>
                <w:szCs w:val="18"/>
              </w:rPr>
              <w:t>sustainably develop local drylands economy</w:t>
            </w:r>
          </w:p>
          <w:p w14:paraId="63569530" w14:textId="77777777" w:rsidR="009563B4" w:rsidRPr="005975A9" w:rsidRDefault="009563B4" w:rsidP="00481CA4">
            <w:pPr>
              <w:rPr>
                <w:rFonts w:ascii="Calibri" w:hAnsi="Calibri" w:cs="Calibri"/>
                <w:sz w:val="18"/>
                <w:szCs w:val="18"/>
              </w:rPr>
            </w:pPr>
          </w:p>
          <w:p w14:paraId="19A566A5" w14:textId="77777777" w:rsidR="009563B4" w:rsidRPr="005975A9" w:rsidRDefault="009563B4" w:rsidP="00481CA4">
            <w:pPr>
              <w:rPr>
                <w:rFonts w:ascii="Calibri" w:hAnsi="Calibri" w:cs="Calibri"/>
                <w:sz w:val="18"/>
                <w:szCs w:val="18"/>
                <w:shd w:val="clear" w:color="auto" w:fill="FBE4D5" w:themeFill="accent2" w:themeFillTint="33"/>
              </w:rPr>
            </w:pPr>
            <w:r w:rsidRPr="005975A9">
              <w:rPr>
                <w:rFonts w:ascii="Calibri" w:hAnsi="Calibri" w:cs="Calibri"/>
                <w:i/>
                <w:iCs/>
                <w:sz w:val="18"/>
                <w:szCs w:val="18"/>
                <w:u w:val="single"/>
                <w:shd w:val="clear" w:color="auto" w:fill="FBE4D5" w:themeFill="accent2" w:themeFillTint="33"/>
              </w:rPr>
              <w:t>PURPOSE</w:t>
            </w:r>
            <w:r w:rsidRPr="005975A9">
              <w:rPr>
                <w:rFonts w:ascii="Calibri" w:hAnsi="Calibri" w:cs="Calibri"/>
                <w:sz w:val="18"/>
                <w:szCs w:val="18"/>
                <w:shd w:val="clear" w:color="auto" w:fill="FBE4D5" w:themeFill="accent2" w:themeFillTint="33"/>
              </w:rPr>
              <w:t xml:space="preserve">: Remove </w:t>
            </w:r>
          </w:p>
          <w:p w14:paraId="5F425E37" w14:textId="2C6C085E" w:rsidR="009563B4" w:rsidRPr="005975A9" w:rsidRDefault="009563B4" w:rsidP="00A82064">
            <w:pPr>
              <w:rPr>
                <w:rFonts w:ascii="Calibri" w:hAnsi="Calibri" w:cs="Calibri"/>
                <w:sz w:val="18"/>
                <w:szCs w:val="18"/>
              </w:rPr>
            </w:pPr>
            <w:r w:rsidRPr="005975A9">
              <w:rPr>
                <w:rFonts w:ascii="Calibri" w:hAnsi="Calibri" w:cs="Calibri"/>
                <w:sz w:val="18"/>
                <w:szCs w:val="18"/>
                <w:shd w:val="clear" w:color="auto" w:fill="FBE4D5" w:themeFill="accent2" w:themeFillTint="33"/>
              </w:rPr>
              <w:t>policy barriers</w:t>
            </w:r>
          </w:p>
        </w:tc>
        <w:tc>
          <w:tcPr>
            <w:tcW w:w="1093" w:type="pct"/>
            <w:shd w:val="clear" w:color="auto" w:fill="FFFFFF" w:themeFill="background1"/>
            <w:tcMar>
              <w:top w:w="28" w:type="dxa"/>
              <w:left w:w="57" w:type="dxa"/>
              <w:bottom w:w="28" w:type="dxa"/>
              <w:right w:w="28" w:type="dxa"/>
            </w:tcMar>
          </w:tcPr>
          <w:p w14:paraId="10255D4B" w14:textId="44D9A938" w:rsidR="009563B4" w:rsidRPr="005975A9" w:rsidRDefault="009563B4" w:rsidP="00481CA4">
            <w:pPr>
              <w:rPr>
                <w:rFonts w:ascii="Calibri" w:hAnsi="Calibri" w:cs="Calibri"/>
                <w:sz w:val="18"/>
                <w:szCs w:val="18"/>
              </w:rPr>
            </w:pPr>
            <w:r w:rsidRPr="005975A9">
              <w:rPr>
                <w:rFonts w:ascii="Calibri" w:hAnsi="Calibri" w:cs="Calibri"/>
                <w:sz w:val="18"/>
                <w:szCs w:val="18"/>
              </w:rPr>
              <w:t>Technical support: FFS/APFS and other</w:t>
            </w:r>
            <w:r w:rsidR="00A82064">
              <w:rPr>
                <w:rFonts w:ascii="Calibri" w:hAnsi="Calibri" w:cs="Calibri"/>
                <w:sz w:val="18"/>
                <w:szCs w:val="18"/>
              </w:rPr>
              <w:t xml:space="preserve"> rural</w:t>
            </w:r>
            <w:r w:rsidRPr="005975A9">
              <w:rPr>
                <w:rFonts w:ascii="Calibri" w:hAnsi="Calibri" w:cs="Calibri"/>
                <w:sz w:val="18"/>
                <w:szCs w:val="18"/>
              </w:rPr>
              <w:t xml:space="preserve"> extension </w:t>
            </w:r>
            <w:r w:rsidR="00A82064" w:rsidRPr="005975A9">
              <w:rPr>
                <w:rFonts w:ascii="Calibri" w:hAnsi="Calibri" w:cs="Calibri"/>
                <w:sz w:val="18"/>
                <w:szCs w:val="18"/>
              </w:rPr>
              <w:t xml:space="preserve">models </w:t>
            </w:r>
            <w:r w:rsidRPr="005975A9">
              <w:rPr>
                <w:rFonts w:ascii="Calibri" w:hAnsi="Calibri" w:cs="Calibri"/>
                <w:sz w:val="18"/>
                <w:szCs w:val="18"/>
              </w:rPr>
              <w:t>to</w:t>
            </w:r>
            <w:r w:rsidR="00A82064">
              <w:rPr>
                <w:rFonts w:ascii="Calibri" w:hAnsi="Calibri" w:cs="Calibri"/>
                <w:sz w:val="18"/>
                <w:szCs w:val="18"/>
              </w:rPr>
              <w:t xml:space="preserve"> </w:t>
            </w:r>
            <w:r w:rsidRPr="005975A9">
              <w:rPr>
                <w:rFonts w:ascii="Calibri" w:hAnsi="Calibri" w:cs="Calibri"/>
                <w:sz w:val="18"/>
                <w:szCs w:val="18"/>
              </w:rPr>
              <w:t>improv</w:t>
            </w:r>
            <w:r w:rsidR="00A82064">
              <w:rPr>
                <w:rFonts w:ascii="Calibri" w:hAnsi="Calibri" w:cs="Calibri"/>
                <w:sz w:val="18"/>
                <w:szCs w:val="18"/>
              </w:rPr>
              <w:t>e</w:t>
            </w:r>
            <w:r w:rsidRPr="005975A9">
              <w:rPr>
                <w:rFonts w:ascii="Calibri" w:hAnsi="Calibri" w:cs="Calibri"/>
                <w:sz w:val="18"/>
                <w:szCs w:val="18"/>
              </w:rPr>
              <w:t xml:space="preserve"> techniques, choice of crop</w:t>
            </w:r>
          </w:p>
          <w:p w14:paraId="26E9DAD6" w14:textId="77777777" w:rsidR="009563B4" w:rsidRPr="005975A9" w:rsidRDefault="009563B4" w:rsidP="00481CA4">
            <w:pPr>
              <w:rPr>
                <w:rFonts w:ascii="Calibri" w:hAnsi="Calibri" w:cs="Calibri"/>
                <w:sz w:val="18"/>
                <w:szCs w:val="18"/>
              </w:rPr>
            </w:pPr>
            <w:r w:rsidRPr="005975A9">
              <w:rPr>
                <w:rFonts w:ascii="Calibri" w:hAnsi="Calibri" w:cs="Calibri"/>
                <w:i/>
                <w:iCs/>
                <w:sz w:val="18"/>
                <w:szCs w:val="18"/>
                <w:u w:val="single"/>
                <w:shd w:val="clear" w:color="auto" w:fill="FBE4D5" w:themeFill="accent2" w:themeFillTint="33"/>
              </w:rPr>
              <w:t>PURPOSE</w:t>
            </w:r>
            <w:r w:rsidRPr="005975A9">
              <w:rPr>
                <w:rFonts w:ascii="Calibri" w:hAnsi="Calibri" w:cs="Calibri"/>
                <w:sz w:val="18"/>
                <w:szCs w:val="18"/>
                <w:shd w:val="clear" w:color="auto" w:fill="FBE4D5" w:themeFill="accent2" w:themeFillTint="33"/>
              </w:rPr>
              <w:t>: Technical Assistance (convey it).</w:t>
            </w:r>
          </w:p>
        </w:tc>
        <w:tc>
          <w:tcPr>
            <w:tcW w:w="1093" w:type="pct"/>
            <w:shd w:val="clear" w:color="auto" w:fill="FFFFFF" w:themeFill="background1"/>
            <w:tcMar>
              <w:top w:w="28" w:type="dxa"/>
              <w:left w:w="57" w:type="dxa"/>
              <w:bottom w:w="28" w:type="dxa"/>
              <w:right w:w="28" w:type="dxa"/>
            </w:tcMar>
          </w:tcPr>
          <w:p w14:paraId="747D15DC" w14:textId="65DB9142" w:rsidR="009563B4" w:rsidRPr="005975A9" w:rsidRDefault="009563B4" w:rsidP="00481CA4">
            <w:pPr>
              <w:rPr>
                <w:rFonts w:ascii="Calibri" w:hAnsi="Calibri" w:cs="Calibri"/>
                <w:sz w:val="18"/>
                <w:szCs w:val="18"/>
              </w:rPr>
            </w:pPr>
            <w:r w:rsidRPr="005975A9">
              <w:rPr>
                <w:rFonts w:ascii="Calibri" w:hAnsi="Calibri" w:cs="Calibri"/>
                <w:sz w:val="18"/>
                <w:szCs w:val="18"/>
              </w:rPr>
              <w:t xml:space="preserve">Identify best suited technologies </w:t>
            </w:r>
            <w:r w:rsidR="00A82064">
              <w:rPr>
                <w:rFonts w:ascii="Calibri" w:hAnsi="Calibri" w:cs="Calibri"/>
                <w:sz w:val="18"/>
                <w:szCs w:val="18"/>
              </w:rPr>
              <w:t>/</w:t>
            </w:r>
            <w:r w:rsidRPr="005975A9">
              <w:rPr>
                <w:rFonts w:ascii="Calibri" w:hAnsi="Calibri" w:cs="Calibri"/>
                <w:sz w:val="18"/>
                <w:szCs w:val="18"/>
              </w:rPr>
              <w:t xml:space="preserve"> practices</w:t>
            </w:r>
            <w:r w:rsidR="00A82064">
              <w:rPr>
                <w:rFonts w:ascii="Calibri" w:hAnsi="Calibri" w:cs="Calibri"/>
                <w:sz w:val="18"/>
                <w:szCs w:val="18"/>
              </w:rPr>
              <w:t xml:space="preserve"> to</w:t>
            </w:r>
            <w:r w:rsidRPr="005975A9">
              <w:rPr>
                <w:rFonts w:ascii="Calibri" w:hAnsi="Calibri" w:cs="Calibri"/>
                <w:sz w:val="18"/>
                <w:szCs w:val="18"/>
              </w:rPr>
              <w:t xml:space="preserve"> </w:t>
            </w:r>
            <w:r w:rsidR="00A82064">
              <w:rPr>
                <w:rFonts w:ascii="Calibri" w:hAnsi="Calibri" w:cs="Calibri"/>
                <w:sz w:val="18"/>
                <w:szCs w:val="18"/>
              </w:rPr>
              <w:t>develop</w:t>
            </w:r>
            <w:r w:rsidRPr="005975A9">
              <w:rPr>
                <w:rFonts w:ascii="Calibri" w:hAnsi="Calibri" w:cs="Calibri"/>
                <w:sz w:val="18"/>
                <w:szCs w:val="18"/>
              </w:rPr>
              <w:t xml:space="preserve"> </w:t>
            </w:r>
            <w:r w:rsidR="00A82064">
              <w:rPr>
                <w:rFonts w:ascii="Calibri" w:hAnsi="Calibri" w:cs="Calibri"/>
                <w:sz w:val="18"/>
                <w:szCs w:val="18"/>
              </w:rPr>
              <w:t>G</w:t>
            </w:r>
            <w:r w:rsidRPr="005975A9">
              <w:rPr>
                <w:rFonts w:ascii="Calibri" w:hAnsi="Calibri" w:cs="Calibri"/>
                <w:sz w:val="18"/>
                <w:szCs w:val="18"/>
              </w:rPr>
              <w:t>VC</w:t>
            </w:r>
            <w:r w:rsidR="00A82064">
              <w:rPr>
                <w:rFonts w:ascii="Calibri" w:hAnsi="Calibri" w:cs="Calibri"/>
                <w:sz w:val="18"/>
                <w:szCs w:val="18"/>
              </w:rPr>
              <w:t>s</w:t>
            </w:r>
            <w:r w:rsidRPr="005975A9">
              <w:rPr>
                <w:rFonts w:ascii="Calibri" w:hAnsi="Calibri" w:cs="Calibri"/>
                <w:sz w:val="18"/>
                <w:szCs w:val="18"/>
              </w:rPr>
              <w:t xml:space="preserve"> in any given context in dryland landscapes</w:t>
            </w:r>
          </w:p>
          <w:p w14:paraId="47BE2D33" w14:textId="77777777" w:rsidR="009563B4" w:rsidRPr="005975A9" w:rsidRDefault="009563B4" w:rsidP="00481CA4">
            <w:pPr>
              <w:shd w:val="clear" w:color="auto" w:fill="FBE4D5" w:themeFill="accent2" w:themeFillTint="33"/>
              <w:rPr>
                <w:rFonts w:ascii="Calibri" w:hAnsi="Calibri" w:cs="Calibri"/>
                <w:sz w:val="18"/>
                <w:szCs w:val="18"/>
              </w:rPr>
            </w:pPr>
            <w:r w:rsidRPr="005975A9">
              <w:rPr>
                <w:rFonts w:ascii="Calibri" w:hAnsi="Calibri" w:cs="Calibri"/>
                <w:sz w:val="18"/>
                <w:szCs w:val="18"/>
                <w:u w:val="single"/>
              </w:rPr>
              <w:t>PURPOSE</w:t>
            </w:r>
            <w:r w:rsidRPr="005975A9">
              <w:rPr>
                <w:rFonts w:ascii="Calibri" w:hAnsi="Calibri" w:cs="Calibri"/>
                <w:sz w:val="18"/>
                <w:szCs w:val="18"/>
              </w:rPr>
              <w:t xml:space="preserve">: Fostering technologies and </w:t>
            </w:r>
          </w:p>
          <w:p w14:paraId="65D8D292" w14:textId="77777777" w:rsidR="009563B4" w:rsidRPr="005975A9" w:rsidRDefault="009563B4" w:rsidP="00481CA4">
            <w:pPr>
              <w:shd w:val="clear" w:color="auto" w:fill="FBE4D5" w:themeFill="accent2" w:themeFillTint="33"/>
              <w:rPr>
                <w:rFonts w:ascii="Calibri" w:hAnsi="Calibri" w:cs="Calibri"/>
                <w:sz w:val="18"/>
                <w:szCs w:val="18"/>
              </w:rPr>
            </w:pPr>
            <w:r w:rsidRPr="005975A9">
              <w:rPr>
                <w:rFonts w:ascii="Calibri" w:hAnsi="Calibri" w:cs="Calibri"/>
                <w:sz w:val="18"/>
                <w:szCs w:val="18"/>
              </w:rPr>
              <w:lastRenderedPageBreak/>
              <w:t>practices</w:t>
            </w:r>
          </w:p>
        </w:tc>
      </w:tr>
    </w:tbl>
    <w:p w14:paraId="51ACDDEB" w14:textId="77777777" w:rsidR="00A82064" w:rsidRDefault="00A82064" w:rsidP="00481CA4">
      <w:pPr>
        <w:rPr>
          <w:rFonts w:ascii="Calibri" w:hAnsi="Calibri" w:cs="Calibri"/>
          <w:b/>
          <w:bCs/>
          <w:sz w:val="18"/>
          <w:szCs w:val="18"/>
        </w:rPr>
        <w:sectPr w:rsidR="00A82064" w:rsidSect="00903274">
          <w:headerReference w:type="even" r:id="rId96"/>
          <w:headerReference w:type="default" r:id="rId97"/>
          <w:headerReference w:type="first" r:id="rId98"/>
          <w:pgSz w:w="11906" w:h="16838" w:code="9"/>
          <w:pgMar w:top="1440" w:right="1440" w:bottom="1440" w:left="1440" w:header="720" w:footer="720" w:gutter="0"/>
          <w:cols w:space="720"/>
          <w:docGrid w:linePitch="360"/>
        </w:sect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20" w:firstRow="1" w:lastRow="0" w:firstColumn="0" w:lastColumn="0" w:noHBand="0" w:noVBand="1"/>
      </w:tblPr>
      <w:tblGrid>
        <w:gridCol w:w="1130"/>
        <w:gridCol w:w="1971"/>
        <w:gridCol w:w="1973"/>
        <w:gridCol w:w="1971"/>
        <w:gridCol w:w="1971"/>
      </w:tblGrid>
      <w:tr w:rsidR="009563B4" w:rsidRPr="005975A9" w14:paraId="1975F617" w14:textId="77777777" w:rsidTr="00A82064">
        <w:trPr>
          <w:trHeight w:val="390"/>
        </w:trPr>
        <w:tc>
          <w:tcPr>
            <w:tcW w:w="627" w:type="pct"/>
            <w:shd w:val="clear" w:color="auto" w:fill="F7CAAC" w:themeFill="accent2" w:themeFillTint="66"/>
            <w:tcMar>
              <w:top w:w="28" w:type="dxa"/>
              <w:left w:w="57" w:type="dxa"/>
              <w:bottom w:w="28" w:type="dxa"/>
              <w:right w:w="28" w:type="dxa"/>
            </w:tcMar>
          </w:tcPr>
          <w:p w14:paraId="579D92AD" w14:textId="6F37FB34" w:rsidR="009563B4" w:rsidRPr="005975A9" w:rsidRDefault="009563B4" w:rsidP="00481CA4">
            <w:pPr>
              <w:rPr>
                <w:rFonts w:ascii="Calibri" w:hAnsi="Calibri" w:cs="Calibri"/>
                <w:sz w:val="18"/>
                <w:szCs w:val="18"/>
              </w:rPr>
            </w:pPr>
            <w:r w:rsidRPr="005975A9">
              <w:rPr>
                <w:rFonts w:ascii="Calibri" w:hAnsi="Calibri" w:cs="Calibri"/>
                <w:b/>
                <w:bCs/>
                <w:sz w:val="18"/>
                <w:szCs w:val="18"/>
              </w:rPr>
              <w:lastRenderedPageBreak/>
              <w:t>Facilitation</w:t>
            </w:r>
          </w:p>
        </w:tc>
        <w:tc>
          <w:tcPr>
            <w:tcW w:w="1093" w:type="pct"/>
            <w:shd w:val="clear" w:color="auto" w:fill="FFFFFF" w:themeFill="background1"/>
            <w:tcMar>
              <w:top w:w="28" w:type="dxa"/>
              <w:left w:w="57" w:type="dxa"/>
              <w:bottom w:w="28" w:type="dxa"/>
              <w:right w:w="28" w:type="dxa"/>
            </w:tcMar>
          </w:tcPr>
          <w:p w14:paraId="5310D375" w14:textId="07A07E29" w:rsidR="009563B4" w:rsidRPr="005975A9" w:rsidRDefault="009563B4" w:rsidP="00481CA4">
            <w:pPr>
              <w:rPr>
                <w:rFonts w:ascii="Calibri" w:hAnsi="Calibri" w:cs="Calibri"/>
                <w:sz w:val="18"/>
                <w:szCs w:val="18"/>
              </w:rPr>
            </w:pPr>
            <w:r w:rsidRPr="005975A9">
              <w:rPr>
                <w:rFonts w:ascii="Calibri" w:hAnsi="Calibri" w:cs="Calibri"/>
                <w:sz w:val="18"/>
                <w:szCs w:val="18"/>
              </w:rPr>
              <w:t>Match supply</w:t>
            </w:r>
            <w:r w:rsidR="00A82064">
              <w:rPr>
                <w:rFonts w:ascii="Calibri" w:hAnsi="Calibri" w:cs="Calibri"/>
                <w:sz w:val="18"/>
                <w:szCs w:val="18"/>
              </w:rPr>
              <w:t>/</w:t>
            </w:r>
            <w:r w:rsidRPr="005975A9">
              <w:rPr>
                <w:rFonts w:ascii="Calibri" w:hAnsi="Calibri" w:cs="Calibri"/>
                <w:sz w:val="18"/>
                <w:szCs w:val="18"/>
              </w:rPr>
              <w:t xml:space="preserve"> demand </w:t>
            </w:r>
            <w:r w:rsidR="00A82064">
              <w:rPr>
                <w:rFonts w:ascii="Calibri" w:hAnsi="Calibri" w:cs="Calibri"/>
                <w:sz w:val="18"/>
                <w:szCs w:val="18"/>
              </w:rPr>
              <w:t>and</w:t>
            </w:r>
            <w:r w:rsidRPr="005975A9">
              <w:rPr>
                <w:rFonts w:ascii="Calibri" w:hAnsi="Calibri" w:cs="Calibri"/>
                <w:sz w:val="18"/>
                <w:szCs w:val="18"/>
              </w:rPr>
              <w:t xml:space="preserve"> producers </w:t>
            </w:r>
            <w:r w:rsidR="00A82064">
              <w:rPr>
                <w:rFonts w:ascii="Calibri" w:hAnsi="Calibri" w:cs="Calibri"/>
                <w:sz w:val="18"/>
                <w:szCs w:val="18"/>
              </w:rPr>
              <w:t>/</w:t>
            </w:r>
            <w:r w:rsidRPr="005975A9">
              <w:rPr>
                <w:rFonts w:ascii="Calibri" w:hAnsi="Calibri" w:cs="Calibri"/>
                <w:sz w:val="18"/>
                <w:szCs w:val="18"/>
              </w:rPr>
              <w:t xml:space="preserve"> buyers</w:t>
            </w:r>
            <w:r w:rsidR="00D86C7E">
              <w:rPr>
                <w:rFonts w:ascii="Calibri" w:hAnsi="Calibri" w:cs="Calibri"/>
                <w:sz w:val="18"/>
                <w:szCs w:val="18"/>
              </w:rPr>
              <w:t>.</w:t>
            </w:r>
          </w:p>
          <w:p w14:paraId="478D1CD3" w14:textId="77777777" w:rsidR="009563B4" w:rsidRPr="005975A9" w:rsidRDefault="009563B4" w:rsidP="00481CA4">
            <w:pPr>
              <w:rPr>
                <w:rFonts w:ascii="Calibri" w:hAnsi="Calibri" w:cs="Calibri"/>
                <w:sz w:val="18"/>
                <w:szCs w:val="18"/>
              </w:rPr>
            </w:pPr>
            <w:r w:rsidRPr="005975A9">
              <w:rPr>
                <w:rFonts w:ascii="Calibri" w:hAnsi="Calibri" w:cs="Calibri"/>
                <w:sz w:val="18"/>
                <w:szCs w:val="18"/>
              </w:rPr>
              <w:t>Provide seed funding (co-financing)</w:t>
            </w:r>
          </w:p>
          <w:p w14:paraId="18449F0A" w14:textId="32DE1FB7" w:rsidR="009563B4" w:rsidRPr="005975A9" w:rsidRDefault="009563B4" w:rsidP="00392B39">
            <w:pPr>
              <w:rPr>
                <w:rFonts w:ascii="Calibri" w:hAnsi="Calibri" w:cs="Calibri"/>
                <w:sz w:val="18"/>
                <w:szCs w:val="18"/>
              </w:rPr>
            </w:pPr>
            <w:r w:rsidRPr="005975A9">
              <w:rPr>
                <w:rFonts w:ascii="Calibri" w:hAnsi="Calibri" w:cs="Calibri"/>
                <w:i/>
                <w:iCs/>
                <w:sz w:val="18"/>
                <w:szCs w:val="18"/>
                <w:u w:val="single"/>
                <w:shd w:val="clear" w:color="auto" w:fill="FBE4D5" w:themeFill="accent2" w:themeFillTint="33"/>
              </w:rPr>
              <w:t>PURPOSE</w:t>
            </w:r>
            <w:r w:rsidRPr="005975A9">
              <w:rPr>
                <w:rFonts w:ascii="Calibri" w:hAnsi="Calibri" w:cs="Calibri"/>
                <w:sz w:val="18"/>
                <w:szCs w:val="18"/>
                <w:shd w:val="clear" w:color="auto" w:fill="FBE4D5" w:themeFill="accent2" w:themeFillTint="33"/>
              </w:rPr>
              <w:t xml:space="preserve">: Leverage </w:t>
            </w:r>
            <w:r w:rsidR="00CE02DC">
              <w:rPr>
                <w:rFonts w:ascii="Calibri" w:hAnsi="Calibri" w:cs="Calibri"/>
                <w:sz w:val="18"/>
                <w:szCs w:val="18"/>
                <w:shd w:val="clear" w:color="auto" w:fill="FBE4D5" w:themeFill="accent2" w:themeFillTint="33"/>
              </w:rPr>
              <w:t>s</w:t>
            </w:r>
            <w:r w:rsidRPr="005975A9">
              <w:rPr>
                <w:rFonts w:ascii="Calibri" w:hAnsi="Calibri" w:cs="Calibri"/>
                <w:sz w:val="18"/>
                <w:szCs w:val="18"/>
                <w:shd w:val="clear" w:color="auto" w:fill="FBE4D5" w:themeFill="accent2" w:themeFillTint="33"/>
              </w:rPr>
              <w:t xml:space="preserve">eed fund, </w:t>
            </w:r>
            <w:r w:rsidR="00CE02DC">
              <w:rPr>
                <w:rFonts w:ascii="Calibri" w:hAnsi="Calibri" w:cs="Calibri"/>
                <w:sz w:val="18"/>
                <w:szCs w:val="18"/>
                <w:shd w:val="clear" w:color="auto" w:fill="FBE4D5" w:themeFill="accent2" w:themeFillTint="33"/>
              </w:rPr>
              <w:t>m</w:t>
            </w:r>
            <w:r w:rsidRPr="005975A9">
              <w:rPr>
                <w:rFonts w:ascii="Calibri" w:hAnsi="Calibri" w:cs="Calibri"/>
                <w:sz w:val="18"/>
                <w:szCs w:val="18"/>
                <w:shd w:val="clear" w:color="auto" w:fill="FBE4D5" w:themeFill="accent2" w:themeFillTint="33"/>
              </w:rPr>
              <w:t xml:space="preserve">atch-making, etc. </w:t>
            </w:r>
          </w:p>
        </w:tc>
        <w:tc>
          <w:tcPr>
            <w:tcW w:w="1094" w:type="pct"/>
            <w:shd w:val="clear" w:color="auto" w:fill="FFFFFF" w:themeFill="background1"/>
            <w:tcMar>
              <w:top w:w="28" w:type="dxa"/>
              <w:left w:w="57" w:type="dxa"/>
              <w:bottom w:w="28" w:type="dxa"/>
              <w:right w:w="28" w:type="dxa"/>
            </w:tcMar>
          </w:tcPr>
          <w:p w14:paraId="1B96137C" w14:textId="7D9272C3" w:rsidR="009563B4" w:rsidRPr="005975A9" w:rsidRDefault="009563B4" w:rsidP="00481CA4">
            <w:pPr>
              <w:rPr>
                <w:rFonts w:ascii="Calibri" w:hAnsi="Calibri" w:cs="Calibri"/>
                <w:sz w:val="18"/>
                <w:szCs w:val="18"/>
              </w:rPr>
            </w:pPr>
            <w:r w:rsidRPr="005975A9">
              <w:rPr>
                <w:rFonts w:ascii="Calibri" w:hAnsi="Calibri" w:cs="Calibri"/>
                <w:sz w:val="18"/>
                <w:szCs w:val="18"/>
              </w:rPr>
              <w:t>Negotiat</w:t>
            </w:r>
            <w:r w:rsidR="00A82064">
              <w:rPr>
                <w:rFonts w:ascii="Calibri" w:hAnsi="Calibri" w:cs="Calibri"/>
                <w:sz w:val="18"/>
                <w:szCs w:val="18"/>
              </w:rPr>
              <w:t>e</w:t>
            </w:r>
            <w:r w:rsidRPr="005975A9">
              <w:rPr>
                <w:rFonts w:ascii="Calibri" w:hAnsi="Calibri" w:cs="Calibri"/>
                <w:sz w:val="18"/>
                <w:szCs w:val="18"/>
              </w:rPr>
              <w:t xml:space="preserve"> land-uses and their implications</w:t>
            </w:r>
            <w:r w:rsidR="00D86C7E">
              <w:rPr>
                <w:rFonts w:ascii="Calibri" w:hAnsi="Calibri" w:cs="Calibri"/>
                <w:sz w:val="18"/>
                <w:szCs w:val="18"/>
              </w:rPr>
              <w:t>.</w:t>
            </w:r>
          </w:p>
          <w:p w14:paraId="67762F25" w14:textId="77777777" w:rsidR="009563B4" w:rsidRPr="005975A9" w:rsidRDefault="009563B4" w:rsidP="00481CA4">
            <w:pPr>
              <w:rPr>
                <w:rFonts w:ascii="Calibri" w:hAnsi="Calibri" w:cs="Calibri"/>
                <w:sz w:val="18"/>
                <w:szCs w:val="18"/>
              </w:rPr>
            </w:pPr>
            <w:r w:rsidRPr="005975A9">
              <w:rPr>
                <w:rFonts w:ascii="Calibri" w:hAnsi="Calibri" w:cs="Calibri"/>
                <w:sz w:val="18"/>
                <w:szCs w:val="18"/>
              </w:rPr>
              <w:t>Facilitate access to seed funding</w:t>
            </w:r>
          </w:p>
          <w:p w14:paraId="13914835" w14:textId="7FECA419" w:rsidR="009563B4" w:rsidRPr="005975A9" w:rsidRDefault="009563B4" w:rsidP="00481CA4">
            <w:pPr>
              <w:rPr>
                <w:rFonts w:ascii="Calibri" w:hAnsi="Calibri" w:cs="Calibri"/>
                <w:sz w:val="18"/>
                <w:szCs w:val="18"/>
              </w:rPr>
            </w:pPr>
            <w:r w:rsidRPr="005975A9">
              <w:rPr>
                <w:rFonts w:ascii="Calibri" w:hAnsi="Calibri" w:cs="Calibri"/>
                <w:i/>
                <w:iCs/>
                <w:sz w:val="18"/>
                <w:szCs w:val="18"/>
                <w:u w:val="single"/>
                <w:shd w:val="clear" w:color="auto" w:fill="FBE4D5" w:themeFill="accent2" w:themeFillTint="33"/>
              </w:rPr>
              <w:t>PURPOSE</w:t>
            </w:r>
            <w:r w:rsidRPr="005975A9">
              <w:rPr>
                <w:rFonts w:ascii="Calibri" w:hAnsi="Calibri" w:cs="Calibri"/>
                <w:sz w:val="18"/>
                <w:szCs w:val="18"/>
                <w:shd w:val="clear" w:color="auto" w:fill="FBE4D5" w:themeFill="accent2" w:themeFillTint="33"/>
              </w:rPr>
              <w:t>: Negotiat</w:t>
            </w:r>
            <w:r w:rsidR="00A82064">
              <w:rPr>
                <w:rFonts w:ascii="Calibri" w:hAnsi="Calibri" w:cs="Calibri"/>
                <w:sz w:val="18"/>
                <w:szCs w:val="18"/>
                <w:shd w:val="clear" w:color="auto" w:fill="FBE4D5" w:themeFill="accent2" w:themeFillTint="33"/>
              </w:rPr>
              <w:t>e</w:t>
            </w:r>
            <w:r w:rsidRPr="005975A9">
              <w:rPr>
                <w:rFonts w:ascii="Calibri" w:hAnsi="Calibri" w:cs="Calibri"/>
                <w:sz w:val="18"/>
                <w:szCs w:val="18"/>
                <w:shd w:val="clear" w:color="auto" w:fill="FBE4D5" w:themeFill="accent2" w:themeFillTint="33"/>
              </w:rPr>
              <w:t xml:space="preserve"> land-uses</w:t>
            </w:r>
            <w:r w:rsidR="00CE02DC">
              <w:rPr>
                <w:rFonts w:ascii="Calibri" w:hAnsi="Calibri" w:cs="Calibri"/>
                <w:sz w:val="18"/>
                <w:szCs w:val="18"/>
                <w:shd w:val="clear" w:color="auto" w:fill="FBE4D5" w:themeFill="accent2" w:themeFillTint="33"/>
              </w:rPr>
              <w:t>,</w:t>
            </w:r>
            <w:r w:rsidRPr="005975A9">
              <w:rPr>
                <w:rFonts w:ascii="Calibri" w:hAnsi="Calibri" w:cs="Calibri"/>
                <w:sz w:val="18"/>
                <w:szCs w:val="18"/>
                <w:shd w:val="clear" w:color="auto" w:fill="FBE4D5" w:themeFill="accent2" w:themeFillTint="33"/>
              </w:rPr>
              <w:t xml:space="preserve"> assess implications</w:t>
            </w:r>
          </w:p>
        </w:tc>
        <w:tc>
          <w:tcPr>
            <w:tcW w:w="1093" w:type="pct"/>
            <w:shd w:val="clear" w:color="auto" w:fill="FFFFFF" w:themeFill="background1"/>
            <w:tcMar>
              <w:top w:w="28" w:type="dxa"/>
              <w:left w:w="57" w:type="dxa"/>
              <w:bottom w:w="28" w:type="dxa"/>
              <w:right w:w="28" w:type="dxa"/>
            </w:tcMar>
          </w:tcPr>
          <w:p w14:paraId="478BD040" w14:textId="77777777" w:rsidR="009563B4" w:rsidRPr="005975A9" w:rsidRDefault="009563B4" w:rsidP="00481CA4">
            <w:pPr>
              <w:rPr>
                <w:rFonts w:ascii="Calibri" w:hAnsi="Calibri" w:cs="Calibri"/>
                <w:sz w:val="18"/>
                <w:szCs w:val="18"/>
              </w:rPr>
            </w:pPr>
            <w:r w:rsidRPr="005975A9">
              <w:rPr>
                <w:rFonts w:ascii="Calibri" w:hAnsi="Calibri" w:cs="Calibri"/>
                <w:sz w:val="18"/>
                <w:szCs w:val="18"/>
              </w:rPr>
              <w:t>Help local Business Plan development</w:t>
            </w:r>
          </w:p>
          <w:p w14:paraId="59C10D87" w14:textId="77777777" w:rsidR="009563B4" w:rsidRPr="005975A9" w:rsidRDefault="009563B4" w:rsidP="00481CA4">
            <w:pPr>
              <w:rPr>
                <w:rFonts w:ascii="Calibri" w:hAnsi="Calibri" w:cs="Calibri"/>
                <w:sz w:val="18"/>
                <w:szCs w:val="18"/>
              </w:rPr>
            </w:pPr>
          </w:p>
          <w:p w14:paraId="5E30CB8F" w14:textId="77777777" w:rsidR="009563B4" w:rsidRPr="005975A9" w:rsidRDefault="009563B4" w:rsidP="00481CA4">
            <w:pPr>
              <w:rPr>
                <w:rFonts w:ascii="Calibri" w:hAnsi="Calibri" w:cs="Calibri"/>
                <w:sz w:val="18"/>
                <w:szCs w:val="18"/>
              </w:rPr>
            </w:pPr>
          </w:p>
          <w:p w14:paraId="31021ABB" w14:textId="77777777" w:rsidR="009563B4" w:rsidRPr="005975A9" w:rsidRDefault="009563B4" w:rsidP="00481CA4">
            <w:pPr>
              <w:rPr>
                <w:rFonts w:ascii="Calibri" w:hAnsi="Calibri" w:cs="Calibri"/>
                <w:sz w:val="18"/>
                <w:szCs w:val="18"/>
              </w:rPr>
            </w:pPr>
            <w:r w:rsidRPr="005975A9">
              <w:rPr>
                <w:rFonts w:ascii="Calibri" w:hAnsi="Calibri" w:cs="Calibri"/>
                <w:sz w:val="18"/>
                <w:szCs w:val="18"/>
                <w:u w:val="single"/>
                <w:shd w:val="clear" w:color="auto" w:fill="FBE4D5" w:themeFill="accent2" w:themeFillTint="33"/>
              </w:rPr>
              <w:t>PURPOSE</w:t>
            </w:r>
            <w:r w:rsidRPr="005975A9">
              <w:rPr>
                <w:rFonts w:ascii="Calibri" w:hAnsi="Calibri" w:cs="Calibri"/>
                <w:sz w:val="18"/>
                <w:szCs w:val="18"/>
                <w:shd w:val="clear" w:color="auto" w:fill="FBE4D5" w:themeFill="accent2" w:themeFillTint="33"/>
              </w:rPr>
              <w:t>: All of those before it.</w:t>
            </w:r>
          </w:p>
        </w:tc>
        <w:tc>
          <w:tcPr>
            <w:tcW w:w="1093" w:type="pct"/>
            <w:shd w:val="clear" w:color="auto" w:fill="FFFFFF" w:themeFill="background1"/>
            <w:tcMar>
              <w:top w:w="28" w:type="dxa"/>
              <w:left w:w="57" w:type="dxa"/>
              <w:bottom w:w="28" w:type="dxa"/>
              <w:right w:w="28" w:type="dxa"/>
            </w:tcMar>
          </w:tcPr>
          <w:p w14:paraId="38C83DD8" w14:textId="34603F94" w:rsidR="009563B4" w:rsidRDefault="009563B4" w:rsidP="00481CA4">
            <w:pPr>
              <w:rPr>
                <w:rFonts w:ascii="Calibri" w:hAnsi="Calibri" w:cs="Calibri"/>
                <w:sz w:val="18"/>
                <w:szCs w:val="18"/>
              </w:rPr>
            </w:pPr>
            <w:r w:rsidRPr="005975A9">
              <w:rPr>
                <w:rFonts w:ascii="Calibri" w:hAnsi="Calibri" w:cs="Calibri"/>
                <w:sz w:val="18"/>
                <w:szCs w:val="18"/>
              </w:rPr>
              <w:t>Link needs to solutions, including technologies and practices</w:t>
            </w:r>
          </w:p>
          <w:p w14:paraId="27C8F4DC" w14:textId="77777777" w:rsidR="00A82064" w:rsidRPr="005975A9" w:rsidRDefault="00A82064" w:rsidP="00481CA4">
            <w:pPr>
              <w:rPr>
                <w:rFonts w:ascii="Calibri" w:hAnsi="Calibri" w:cs="Calibri"/>
                <w:sz w:val="18"/>
                <w:szCs w:val="18"/>
              </w:rPr>
            </w:pPr>
          </w:p>
          <w:p w14:paraId="32E02E9C" w14:textId="77777777" w:rsidR="009563B4" w:rsidRPr="005975A9" w:rsidRDefault="009563B4" w:rsidP="00481CA4">
            <w:pPr>
              <w:rPr>
                <w:rFonts w:ascii="Calibri" w:hAnsi="Calibri" w:cs="Calibri"/>
                <w:sz w:val="18"/>
                <w:szCs w:val="18"/>
                <w:shd w:val="clear" w:color="auto" w:fill="FBE4D5" w:themeFill="accent2" w:themeFillTint="33"/>
              </w:rPr>
            </w:pPr>
            <w:r w:rsidRPr="005975A9">
              <w:rPr>
                <w:rFonts w:ascii="Calibri" w:hAnsi="Calibri" w:cs="Calibri"/>
                <w:sz w:val="18"/>
                <w:szCs w:val="18"/>
                <w:u w:val="single"/>
                <w:shd w:val="clear" w:color="auto" w:fill="FBE4D5" w:themeFill="accent2" w:themeFillTint="33"/>
              </w:rPr>
              <w:t>PURPOSE</w:t>
            </w:r>
            <w:r w:rsidRPr="005975A9">
              <w:rPr>
                <w:rFonts w:ascii="Calibri" w:hAnsi="Calibri" w:cs="Calibri"/>
                <w:sz w:val="18"/>
                <w:szCs w:val="18"/>
                <w:shd w:val="clear" w:color="auto" w:fill="FBE4D5" w:themeFill="accent2" w:themeFillTint="33"/>
              </w:rPr>
              <w:t xml:space="preserve">: Linking </w:t>
            </w:r>
          </w:p>
          <w:p w14:paraId="5D68D310" w14:textId="77777777" w:rsidR="009563B4" w:rsidRPr="005975A9" w:rsidRDefault="009563B4" w:rsidP="00481CA4">
            <w:pPr>
              <w:rPr>
                <w:rFonts w:ascii="Calibri" w:hAnsi="Calibri" w:cs="Calibri"/>
                <w:sz w:val="18"/>
                <w:szCs w:val="18"/>
              </w:rPr>
            </w:pPr>
            <w:r w:rsidRPr="005975A9">
              <w:rPr>
                <w:rFonts w:ascii="Calibri" w:hAnsi="Calibri" w:cs="Calibri"/>
                <w:sz w:val="18"/>
                <w:szCs w:val="18"/>
                <w:shd w:val="clear" w:color="auto" w:fill="FBE4D5" w:themeFill="accent2" w:themeFillTint="33"/>
              </w:rPr>
              <w:t>needs to solutions</w:t>
            </w:r>
          </w:p>
        </w:tc>
      </w:tr>
    </w:tbl>
    <w:p w14:paraId="5D6E8BB2" w14:textId="77777777" w:rsidR="009563B4" w:rsidRPr="00CE1EA7" w:rsidRDefault="009563B4" w:rsidP="009563B4"/>
    <w:p w14:paraId="08BABEA3" w14:textId="66C83EA6" w:rsidR="009563B4" w:rsidRPr="00D86C7E" w:rsidRDefault="009563B4" w:rsidP="00D86C7E">
      <w:pPr>
        <w:pStyle w:val="Caption"/>
        <w:spacing w:before="160" w:after="80"/>
        <w:rPr>
          <w:rFonts w:ascii="Calibri" w:hAnsi="Calibri" w:cs="Calibri"/>
          <w:sz w:val="22"/>
          <w:szCs w:val="22"/>
        </w:rPr>
      </w:pPr>
      <w:bookmarkStart w:id="239" w:name="_Ref51758209"/>
      <w:bookmarkStart w:id="240" w:name="_Toc42262749"/>
      <w:bookmarkStart w:id="241" w:name="_Toc64037186"/>
      <w:r w:rsidRPr="00D86C7E">
        <w:rPr>
          <w:rFonts w:ascii="Calibri" w:hAnsi="Calibri" w:cs="Calibri"/>
          <w:sz w:val="22"/>
          <w:szCs w:val="22"/>
        </w:rPr>
        <w:t xml:space="preserve">Figure </w:t>
      </w:r>
      <w:r w:rsidRPr="00D86C7E">
        <w:rPr>
          <w:rFonts w:ascii="Calibri" w:hAnsi="Calibri" w:cs="Calibri"/>
          <w:sz w:val="22"/>
          <w:szCs w:val="22"/>
        </w:rPr>
        <w:fldChar w:fldCharType="begin"/>
      </w:r>
      <w:r w:rsidRPr="00D86C7E">
        <w:rPr>
          <w:rFonts w:ascii="Calibri" w:hAnsi="Calibri" w:cs="Calibri"/>
          <w:sz w:val="22"/>
          <w:szCs w:val="22"/>
        </w:rPr>
        <w:instrText>SEQ Figure \* ARABIC</w:instrText>
      </w:r>
      <w:r w:rsidRPr="00D86C7E">
        <w:rPr>
          <w:rFonts w:ascii="Calibri" w:hAnsi="Calibri" w:cs="Calibri"/>
          <w:sz w:val="22"/>
          <w:szCs w:val="22"/>
        </w:rPr>
        <w:fldChar w:fldCharType="separate"/>
      </w:r>
      <w:r w:rsidR="00A64193">
        <w:rPr>
          <w:rFonts w:ascii="Calibri" w:hAnsi="Calibri" w:cs="Calibri"/>
          <w:noProof/>
          <w:sz w:val="22"/>
          <w:szCs w:val="22"/>
        </w:rPr>
        <w:t>10</w:t>
      </w:r>
      <w:r w:rsidRPr="00D86C7E">
        <w:rPr>
          <w:rFonts w:ascii="Calibri" w:hAnsi="Calibri" w:cs="Calibri"/>
          <w:sz w:val="22"/>
          <w:szCs w:val="22"/>
        </w:rPr>
        <w:fldChar w:fldCharType="end"/>
      </w:r>
      <w:bookmarkEnd w:id="239"/>
      <w:r w:rsidRPr="00D86C7E">
        <w:rPr>
          <w:rFonts w:ascii="Calibri" w:hAnsi="Calibri" w:cs="Calibri"/>
          <w:sz w:val="22"/>
          <w:szCs w:val="22"/>
        </w:rPr>
        <w:t>.</w:t>
      </w:r>
      <w:r w:rsidR="00561462">
        <w:rPr>
          <w:rFonts w:ascii="Calibri" w:hAnsi="Calibri" w:cs="Calibri"/>
          <w:sz w:val="22"/>
          <w:szCs w:val="22"/>
        </w:rPr>
        <w:t xml:space="preserve"> E</w:t>
      </w:r>
      <w:r w:rsidRPr="00D86C7E">
        <w:rPr>
          <w:rFonts w:ascii="Calibri" w:hAnsi="Calibri" w:cs="Calibri"/>
          <w:sz w:val="22"/>
          <w:szCs w:val="22"/>
        </w:rPr>
        <w:t xml:space="preserve">ngaging private sector </w:t>
      </w:r>
      <w:r w:rsidR="00D86C7E">
        <w:rPr>
          <w:rFonts w:ascii="Calibri" w:hAnsi="Calibri" w:cs="Calibri"/>
          <w:sz w:val="22"/>
          <w:szCs w:val="22"/>
        </w:rPr>
        <w:t>stakeholders</w:t>
      </w:r>
      <w:r w:rsidRPr="00D86C7E">
        <w:rPr>
          <w:rFonts w:ascii="Calibri" w:hAnsi="Calibri" w:cs="Calibri"/>
          <w:sz w:val="22"/>
          <w:szCs w:val="22"/>
        </w:rPr>
        <w:t xml:space="preserve"> in agro/forest</w:t>
      </w:r>
      <w:bookmarkEnd w:id="240"/>
      <w:r w:rsidR="00D86C7E">
        <w:rPr>
          <w:rFonts w:ascii="Calibri" w:hAnsi="Calibri" w:cs="Calibri"/>
          <w:sz w:val="22"/>
          <w:szCs w:val="22"/>
        </w:rPr>
        <w:t>s</w:t>
      </w:r>
      <w:r w:rsidR="00381B46">
        <w:rPr>
          <w:rFonts w:ascii="Calibri" w:hAnsi="Calibri" w:cs="Calibri"/>
          <w:sz w:val="22"/>
          <w:szCs w:val="22"/>
        </w:rPr>
        <w:t xml:space="preserve"> value chains</w:t>
      </w:r>
      <w:bookmarkEnd w:id="241"/>
    </w:p>
    <w:p w14:paraId="7F301C32" w14:textId="77777777" w:rsidR="009563B4" w:rsidRPr="00CE1EA7" w:rsidRDefault="009563B4" w:rsidP="00010912">
      <w:pPr>
        <w:jc w:val="center"/>
      </w:pPr>
      <w:r w:rsidRPr="00CE1EA7">
        <w:rPr>
          <w:noProof/>
          <w:lang w:val="en-US" w:eastAsia="en-US"/>
        </w:rPr>
        <w:drawing>
          <wp:inline distT="0" distB="0" distL="0" distR="0" wp14:anchorId="1632D2EE" wp14:editId="0859A399">
            <wp:extent cx="5720901" cy="3133725"/>
            <wp:effectExtent l="19050" t="19050" r="13335" b="9525"/>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9" cstate="email">
                      <a:extLst>
                        <a:ext uri="{28A0092B-C50C-407E-A947-70E740481C1C}">
                          <a14:useLocalDpi xmlns:a14="http://schemas.microsoft.com/office/drawing/2010/main"/>
                        </a:ext>
                      </a:extLst>
                    </a:blip>
                    <a:srcRect t="7885"/>
                    <a:stretch/>
                  </pic:blipFill>
                  <pic:spPr bwMode="auto">
                    <a:xfrm>
                      <a:off x="0" y="0"/>
                      <a:ext cx="5728293" cy="3137774"/>
                    </a:xfrm>
                    <a:prstGeom prst="rect">
                      <a:avLst/>
                    </a:prstGeom>
                    <a:ln w="9525" cap="flat" cmpd="sng" algn="ctr">
                      <a:solidFill>
                        <a:schemeClr val="tx1"/>
                      </a:solid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xtLst>
                      <a:ext uri="{53640926-AAD7-44D8-BBD7-CCE9431645EC}">
                        <a14:shadowObscured xmlns:a14="http://schemas.microsoft.com/office/drawing/2010/main"/>
                      </a:ext>
                    </a:extLst>
                  </pic:spPr>
                </pic:pic>
              </a:graphicData>
            </a:graphic>
          </wp:inline>
        </w:drawing>
      </w:r>
    </w:p>
    <w:p w14:paraId="2466AD3A" w14:textId="77777777" w:rsidR="00ED5AE6" w:rsidRDefault="00ED5AE6">
      <w:pPr>
        <w:rPr>
          <w:rFonts w:ascii="Calibri" w:hAnsi="Calibri" w:cs="Calibri"/>
          <w:b/>
          <w:iCs/>
          <w:smallCaps/>
          <w:color w:val="FFFFFF" w:themeColor="background1"/>
          <w:sz w:val="22"/>
          <w:szCs w:val="22"/>
          <w:lang w:val="en-US" w:eastAsia="x-none"/>
        </w:rPr>
      </w:pPr>
      <w:bookmarkStart w:id="242" w:name="_Toc42027138"/>
      <w:bookmarkStart w:id="243" w:name="_Toc42262646"/>
      <w:bookmarkEnd w:id="209"/>
      <w:bookmarkEnd w:id="210"/>
      <w:bookmarkEnd w:id="211"/>
      <w:bookmarkEnd w:id="233"/>
      <w:bookmarkEnd w:id="234"/>
      <w:bookmarkEnd w:id="235"/>
      <w:r>
        <w:rPr>
          <w:rFonts w:ascii="Calibri" w:hAnsi="Calibri" w:cs="Calibri"/>
          <w:bCs/>
          <w:color w:val="FFFFFF" w:themeColor="background1"/>
          <w:sz w:val="22"/>
          <w:szCs w:val="22"/>
          <w:lang w:val="en-US"/>
        </w:rPr>
        <w:br w:type="page"/>
      </w:r>
    </w:p>
    <w:p w14:paraId="73B6B813" w14:textId="4CAB9DBE" w:rsidR="009563B4" w:rsidRPr="00447E0C" w:rsidRDefault="009563B4" w:rsidP="001667C6">
      <w:pPr>
        <w:pStyle w:val="Heading2"/>
        <w:numPr>
          <w:ilvl w:val="0"/>
          <w:numId w:val="65"/>
        </w:numPr>
        <w:shd w:val="clear" w:color="auto" w:fill="000000" w:themeFill="text1"/>
        <w:spacing w:after="160"/>
        <w:ind w:left="357" w:hanging="357"/>
        <w:jc w:val="center"/>
        <w:rPr>
          <w:rFonts w:ascii="Calibri" w:hAnsi="Calibri" w:cs="Calibri"/>
          <w:bCs w:val="0"/>
          <w:color w:val="FFFFFF" w:themeColor="background1"/>
          <w:sz w:val="22"/>
          <w:szCs w:val="22"/>
          <w:lang w:val="en-US"/>
        </w:rPr>
      </w:pPr>
      <w:bookmarkStart w:id="244" w:name="_Toc58398596"/>
      <w:r w:rsidRPr="00447E0C">
        <w:rPr>
          <w:rFonts w:ascii="Calibri" w:hAnsi="Calibri" w:cs="Calibri"/>
          <w:bCs w:val="0"/>
          <w:color w:val="FFFFFF" w:themeColor="background1"/>
          <w:sz w:val="22"/>
          <w:szCs w:val="22"/>
          <w:lang w:val="en-US"/>
        </w:rPr>
        <w:lastRenderedPageBreak/>
        <w:t>Risks</w:t>
      </w:r>
      <w:bookmarkEnd w:id="242"/>
      <w:bookmarkEnd w:id="243"/>
      <w:bookmarkEnd w:id="244"/>
    </w:p>
    <w:p w14:paraId="0BF4B292" w14:textId="77777777" w:rsidR="00DA54AA" w:rsidRPr="00DA54AA" w:rsidRDefault="00DA54AA" w:rsidP="00DA54AA">
      <w:pPr>
        <w:rPr>
          <w:rFonts w:ascii="Calibri" w:hAnsi="Calibri" w:cs="Calibri"/>
          <w:sz w:val="22"/>
          <w:szCs w:val="22"/>
        </w:rPr>
      </w:pPr>
    </w:p>
    <w:p w14:paraId="43C0B24E" w14:textId="77777777" w:rsidR="009563B4" w:rsidRPr="00447E0C" w:rsidRDefault="009563B4" w:rsidP="00447E0C">
      <w:pPr>
        <w:pStyle w:val="Heading3"/>
        <w:shd w:val="clear" w:color="auto" w:fill="FFFFFF" w:themeFill="background1"/>
        <w:spacing w:before="0"/>
        <w:jc w:val="left"/>
        <w:rPr>
          <w:rFonts w:ascii="Calibri" w:hAnsi="Calibri" w:cs="Calibri"/>
          <w:color w:val="FFFFFF" w:themeColor="background1"/>
          <w:sz w:val="22"/>
          <w:szCs w:val="22"/>
          <w:highlight w:val="black"/>
        </w:rPr>
      </w:pPr>
      <w:bookmarkStart w:id="245" w:name="_Toc467228303"/>
      <w:bookmarkStart w:id="246" w:name="_Toc467229547"/>
      <w:bookmarkStart w:id="247" w:name="_Toc478973818"/>
      <w:bookmarkStart w:id="248" w:name="_Toc518290099"/>
      <w:bookmarkStart w:id="249" w:name="_Toc10550563"/>
      <w:bookmarkStart w:id="250" w:name="_Toc10550651"/>
      <w:bookmarkStart w:id="251" w:name="_Toc10552994"/>
      <w:bookmarkStart w:id="252" w:name="_Toc10554536"/>
      <w:bookmarkStart w:id="253" w:name="_Toc10554604"/>
      <w:bookmarkStart w:id="254" w:name="_Toc12612948"/>
      <w:bookmarkStart w:id="255" w:name="_Toc42027139"/>
      <w:bookmarkStart w:id="256" w:name="_Toc42262647"/>
      <w:r w:rsidRPr="00447E0C">
        <w:rPr>
          <w:rFonts w:ascii="Calibri" w:hAnsi="Calibri" w:cs="Calibri"/>
          <w:color w:val="FFFFFF" w:themeColor="background1"/>
          <w:sz w:val="22"/>
          <w:szCs w:val="22"/>
          <w:highlight w:val="black"/>
        </w:rPr>
        <w:t>Section A: Risks to the project</w:t>
      </w:r>
      <w:bookmarkEnd w:id="245"/>
      <w:bookmarkEnd w:id="246"/>
      <w:bookmarkEnd w:id="247"/>
      <w:bookmarkEnd w:id="248"/>
      <w:bookmarkEnd w:id="249"/>
      <w:bookmarkEnd w:id="250"/>
      <w:bookmarkEnd w:id="251"/>
      <w:bookmarkEnd w:id="252"/>
      <w:bookmarkEnd w:id="253"/>
      <w:bookmarkEnd w:id="254"/>
      <w:bookmarkEnd w:id="255"/>
      <w:bookmarkEnd w:id="256"/>
      <w:r w:rsidRPr="00447E0C">
        <w:rPr>
          <w:rFonts w:ascii="Calibri" w:hAnsi="Calibri" w:cs="Calibri"/>
          <w:color w:val="FFFFFF" w:themeColor="background1"/>
          <w:sz w:val="22"/>
          <w:szCs w:val="22"/>
          <w:highlight w:val="black"/>
        </w:rPr>
        <w:t xml:space="preserve"> </w:t>
      </w:r>
    </w:p>
    <w:p w14:paraId="718DE8A1" w14:textId="74EE2BFD" w:rsidR="00682C90" w:rsidRDefault="00682C90" w:rsidP="00682C90">
      <w:pPr>
        <w:pStyle w:val="Caption"/>
      </w:pPr>
      <w:bookmarkStart w:id="257" w:name="_Toc58398639"/>
      <w:r>
        <w:t xml:space="preserve">Table </w:t>
      </w:r>
      <w:r>
        <w:fldChar w:fldCharType="begin"/>
      </w:r>
      <w:r>
        <w:instrText xml:space="preserve"> SEQ Table \* ARABIC </w:instrText>
      </w:r>
      <w:r>
        <w:fldChar w:fldCharType="separate"/>
      </w:r>
      <w:r w:rsidR="007D3608">
        <w:rPr>
          <w:noProof/>
        </w:rPr>
        <w:t>9</w:t>
      </w:r>
      <w:r>
        <w:fldChar w:fldCharType="end"/>
      </w:r>
      <w:r w:rsidR="00046FE0">
        <w:t xml:space="preserve"> – Risk Description</w:t>
      </w:r>
      <w:r w:rsidR="007D3608">
        <w:t xml:space="preserve"> and mitigation actions</w:t>
      </w:r>
      <w:bookmarkEnd w:id="257"/>
    </w:p>
    <w:tbl>
      <w:tblPr>
        <w:tblW w:w="5000" w:type="pct"/>
        <w:tblLayout w:type="fixed"/>
        <w:tblLook w:val="04A0" w:firstRow="1" w:lastRow="0" w:firstColumn="1" w:lastColumn="0" w:noHBand="0" w:noVBand="1"/>
      </w:tblPr>
      <w:tblGrid>
        <w:gridCol w:w="1837"/>
        <w:gridCol w:w="709"/>
        <w:gridCol w:w="992"/>
        <w:gridCol w:w="4537"/>
        <w:gridCol w:w="941"/>
      </w:tblGrid>
      <w:tr w:rsidR="009C37A5" w:rsidRPr="009C37A5" w14:paraId="5A438942" w14:textId="77777777" w:rsidTr="3260A9D8">
        <w:trPr>
          <w:tblHeader/>
        </w:trPr>
        <w:tc>
          <w:tcPr>
            <w:tcW w:w="1019" w:type="pct"/>
            <w:tcBorders>
              <w:top w:val="single" w:sz="4" w:space="0" w:color="000000" w:themeColor="text1"/>
              <w:left w:val="single" w:sz="4" w:space="0" w:color="000000" w:themeColor="text1"/>
              <w:bottom w:val="single" w:sz="4" w:space="0" w:color="000000" w:themeColor="text1"/>
              <w:right w:val="nil"/>
            </w:tcBorders>
            <w:shd w:val="clear" w:color="auto" w:fill="D9D9D9" w:themeFill="background1" w:themeFillShade="D9"/>
            <w:tcMar>
              <w:left w:w="20" w:type="dxa"/>
              <w:right w:w="10" w:type="dxa"/>
            </w:tcMar>
          </w:tcPr>
          <w:p w14:paraId="5285287C" w14:textId="77777777" w:rsidR="009563B4" w:rsidRPr="009C37A5" w:rsidRDefault="009563B4" w:rsidP="00481CA4">
            <w:pPr>
              <w:ind w:right="144"/>
              <w:jc w:val="center"/>
              <w:rPr>
                <w:rFonts w:ascii="Calibri" w:hAnsi="Calibri" w:cs="Calibri"/>
                <w:b/>
                <w:bCs/>
                <w:sz w:val="16"/>
                <w:szCs w:val="16"/>
              </w:rPr>
            </w:pPr>
            <w:r w:rsidRPr="009C37A5">
              <w:rPr>
                <w:rFonts w:ascii="Calibri" w:hAnsi="Calibri" w:cs="Calibri"/>
                <w:b/>
                <w:bCs/>
                <w:sz w:val="16"/>
                <w:szCs w:val="16"/>
              </w:rPr>
              <w:t>Description of risk</w:t>
            </w:r>
          </w:p>
        </w:tc>
        <w:tc>
          <w:tcPr>
            <w:tcW w:w="393"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tcMar>
              <w:left w:w="20" w:type="dxa"/>
              <w:right w:w="10" w:type="dxa"/>
            </w:tcMar>
          </w:tcPr>
          <w:p w14:paraId="596F0831" w14:textId="1A8FA835" w:rsidR="00447E0C" w:rsidRPr="009C37A5" w:rsidRDefault="009563B4" w:rsidP="00ED5AE6">
            <w:pPr>
              <w:jc w:val="center"/>
              <w:rPr>
                <w:rFonts w:ascii="Calibri" w:hAnsi="Calibri" w:cs="Calibri"/>
                <w:b/>
                <w:bCs/>
                <w:sz w:val="16"/>
                <w:szCs w:val="16"/>
              </w:rPr>
            </w:pPr>
            <w:r w:rsidRPr="009C37A5">
              <w:rPr>
                <w:rFonts w:ascii="Calibri" w:hAnsi="Calibri" w:cs="Calibri"/>
                <w:b/>
                <w:bCs/>
                <w:sz w:val="16"/>
                <w:szCs w:val="16"/>
              </w:rPr>
              <w:t>Impact</w:t>
            </w:r>
            <w:r w:rsidR="009C37A5" w:rsidRPr="009C37A5">
              <w:rPr>
                <w:rFonts w:ascii="Calibri" w:hAnsi="Calibri" w:cs="Calibri"/>
                <w:b/>
                <w:bCs/>
                <w:sz w:val="16"/>
                <w:szCs w:val="16"/>
              </w:rPr>
              <w:t>*</w:t>
            </w:r>
          </w:p>
        </w:tc>
        <w:tc>
          <w:tcPr>
            <w:tcW w:w="550" w:type="pct"/>
            <w:tcBorders>
              <w:top w:val="single" w:sz="4" w:space="0" w:color="000000" w:themeColor="text1"/>
              <w:left w:val="single" w:sz="4" w:space="0" w:color="000000" w:themeColor="text1"/>
              <w:bottom w:val="single" w:sz="4" w:space="0" w:color="000000" w:themeColor="text1"/>
              <w:right w:val="nil"/>
            </w:tcBorders>
            <w:shd w:val="clear" w:color="auto" w:fill="D9D9D9" w:themeFill="background1" w:themeFillShade="D9"/>
            <w:tcMar>
              <w:left w:w="20" w:type="dxa"/>
              <w:right w:w="10" w:type="dxa"/>
            </w:tcMar>
          </w:tcPr>
          <w:p w14:paraId="139A3644" w14:textId="1434B99F" w:rsidR="009563B4" w:rsidRPr="009C37A5" w:rsidRDefault="00ED5AE6" w:rsidP="00ED5AE6">
            <w:pPr>
              <w:jc w:val="center"/>
              <w:rPr>
                <w:rFonts w:ascii="Calibri" w:hAnsi="Calibri" w:cs="Calibri"/>
                <w:b/>
                <w:bCs/>
                <w:sz w:val="16"/>
                <w:szCs w:val="16"/>
              </w:rPr>
            </w:pPr>
            <w:r>
              <w:rPr>
                <w:rFonts w:ascii="Calibri" w:hAnsi="Calibri" w:cs="Calibri"/>
                <w:b/>
                <w:bCs/>
                <w:sz w:val="16"/>
                <w:szCs w:val="16"/>
              </w:rPr>
              <w:t>*</w:t>
            </w:r>
            <w:r w:rsidR="009563B4" w:rsidRPr="009C37A5">
              <w:rPr>
                <w:rFonts w:ascii="Calibri" w:hAnsi="Calibri" w:cs="Calibri"/>
                <w:b/>
                <w:bCs/>
                <w:sz w:val="16"/>
                <w:szCs w:val="16"/>
              </w:rPr>
              <w:t>Probability of occurance</w:t>
            </w:r>
          </w:p>
        </w:tc>
        <w:tc>
          <w:tcPr>
            <w:tcW w:w="2516"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tcMar>
              <w:left w:w="20" w:type="dxa"/>
              <w:right w:w="10" w:type="dxa"/>
            </w:tcMar>
          </w:tcPr>
          <w:p w14:paraId="1E2088DA" w14:textId="77777777" w:rsidR="009563B4" w:rsidRPr="009C37A5" w:rsidRDefault="009563B4" w:rsidP="00481CA4">
            <w:pPr>
              <w:ind w:right="144"/>
              <w:jc w:val="center"/>
              <w:rPr>
                <w:rFonts w:ascii="Calibri" w:hAnsi="Calibri" w:cs="Calibri"/>
                <w:b/>
                <w:bCs/>
                <w:sz w:val="16"/>
                <w:szCs w:val="16"/>
              </w:rPr>
            </w:pPr>
            <w:r w:rsidRPr="009C37A5">
              <w:rPr>
                <w:rFonts w:ascii="Calibri" w:hAnsi="Calibri" w:cs="Calibri"/>
                <w:b/>
                <w:bCs/>
                <w:sz w:val="16"/>
                <w:szCs w:val="16"/>
              </w:rPr>
              <w:t>Mitigation</w:t>
            </w:r>
            <w:r w:rsidRPr="009C37A5">
              <w:rPr>
                <w:rFonts w:ascii="Calibri" w:hAnsi="Calibri" w:cs="Calibri"/>
                <w:b/>
                <w:bCs/>
                <w:i/>
                <w:sz w:val="16"/>
                <w:szCs w:val="16"/>
              </w:rPr>
              <w:t xml:space="preserve"> </w:t>
            </w:r>
            <w:r w:rsidRPr="009C37A5">
              <w:rPr>
                <w:rFonts w:ascii="Calibri" w:hAnsi="Calibri" w:cs="Calibri"/>
                <w:b/>
                <w:bCs/>
                <w:sz w:val="16"/>
                <w:szCs w:val="16"/>
              </w:rPr>
              <w:t>actions</w:t>
            </w:r>
          </w:p>
        </w:tc>
        <w:tc>
          <w:tcPr>
            <w:tcW w:w="522"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tcMar>
              <w:left w:w="20" w:type="dxa"/>
              <w:right w:w="10" w:type="dxa"/>
            </w:tcMar>
          </w:tcPr>
          <w:p w14:paraId="612EC4DF" w14:textId="77777777" w:rsidR="009563B4" w:rsidRPr="009C37A5" w:rsidRDefault="009563B4" w:rsidP="00ED5AE6">
            <w:pPr>
              <w:jc w:val="center"/>
              <w:rPr>
                <w:rFonts w:ascii="Calibri" w:hAnsi="Calibri" w:cs="Calibri"/>
                <w:b/>
                <w:bCs/>
                <w:i/>
                <w:sz w:val="16"/>
                <w:szCs w:val="16"/>
              </w:rPr>
            </w:pPr>
            <w:r w:rsidRPr="009C37A5">
              <w:rPr>
                <w:rFonts w:ascii="Calibri" w:hAnsi="Calibri" w:cs="Calibri"/>
                <w:b/>
                <w:bCs/>
                <w:sz w:val="16"/>
                <w:szCs w:val="16"/>
              </w:rPr>
              <w:t>Responsible party</w:t>
            </w:r>
          </w:p>
        </w:tc>
      </w:tr>
      <w:tr w:rsidR="00ED5AE6" w:rsidRPr="009C37A5" w14:paraId="1AA3171B" w14:textId="77777777" w:rsidTr="3260A9D8">
        <w:tc>
          <w:tcPr>
            <w:tcW w:w="1019" w:type="pct"/>
            <w:tcBorders>
              <w:top w:val="single" w:sz="4" w:space="0" w:color="000000" w:themeColor="text1"/>
              <w:left w:val="single" w:sz="4" w:space="0" w:color="000000" w:themeColor="text1"/>
              <w:bottom w:val="single" w:sz="4" w:space="0" w:color="000000" w:themeColor="text1"/>
              <w:right w:val="nil"/>
            </w:tcBorders>
            <w:shd w:val="clear" w:color="auto" w:fill="FFFFFF" w:themeFill="background1"/>
            <w:tcMar>
              <w:left w:w="57" w:type="dxa"/>
              <w:right w:w="28" w:type="dxa"/>
            </w:tcMar>
          </w:tcPr>
          <w:p w14:paraId="6BF5988B" w14:textId="77777777" w:rsidR="009563B4" w:rsidRPr="009C37A5" w:rsidRDefault="009563B4" w:rsidP="00481CA4">
            <w:pPr>
              <w:ind w:right="144"/>
              <w:rPr>
                <w:rFonts w:ascii="Calibri" w:hAnsi="Calibri" w:cs="Calibri"/>
                <w:sz w:val="16"/>
                <w:szCs w:val="16"/>
              </w:rPr>
            </w:pPr>
            <w:r w:rsidRPr="009C37A5">
              <w:rPr>
                <w:rFonts w:ascii="Calibri" w:hAnsi="Calibri" w:cs="Calibri"/>
                <w:sz w:val="16"/>
                <w:szCs w:val="16"/>
              </w:rPr>
              <w:t>Insufficient political will and commitment to address LDN in the face of other political and economic pressures, and thus limited engagement and collaboration by national and local authorities with project implementation, failing to guarantee the successful achievement of project results</w:t>
            </w:r>
          </w:p>
        </w:tc>
        <w:tc>
          <w:tcPr>
            <w:tcW w:w="393"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Mar>
              <w:left w:w="57" w:type="dxa"/>
              <w:right w:w="28" w:type="dxa"/>
            </w:tcMar>
          </w:tcPr>
          <w:p w14:paraId="47E9F818" w14:textId="4052D0DA" w:rsidR="009563B4" w:rsidRPr="009C37A5" w:rsidRDefault="009563B4" w:rsidP="00ED5AE6">
            <w:pPr>
              <w:ind w:right="144"/>
              <w:jc w:val="center"/>
              <w:rPr>
                <w:rFonts w:ascii="Calibri" w:hAnsi="Calibri" w:cs="Calibri"/>
                <w:sz w:val="16"/>
                <w:szCs w:val="16"/>
              </w:rPr>
            </w:pPr>
            <w:r w:rsidRPr="009C37A5">
              <w:rPr>
                <w:rFonts w:ascii="Calibri" w:hAnsi="Calibri" w:cs="Calibri"/>
                <w:sz w:val="16"/>
                <w:szCs w:val="16"/>
              </w:rPr>
              <w:t>M</w:t>
            </w:r>
          </w:p>
        </w:tc>
        <w:tc>
          <w:tcPr>
            <w:tcW w:w="550" w:type="pct"/>
            <w:tcBorders>
              <w:top w:val="single" w:sz="4" w:space="0" w:color="000000" w:themeColor="text1"/>
              <w:left w:val="single" w:sz="4" w:space="0" w:color="000000" w:themeColor="text1"/>
              <w:bottom w:val="single" w:sz="4" w:space="0" w:color="000000" w:themeColor="text1"/>
              <w:right w:val="nil"/>
            </w:tcBorders>
            <w:shd w:val="clear" w:color="auto" w:fill="FFFFFF" w:themeFill="background1"/>
            <w:tcMar>
              <w:left w:w="57" w:type="dxa"/>
              <w:right w:w="28" w:type="dxa"/>
            </w:tcMar>
          </w:tcPr>
          <w:p w14:paraId="75DF8443" w14:textId="0780A76A" w:rsidR="009563B4" w:rsidRPr="009C37A5" w:rsidRDefault="009563B4" w:rsidP="00ED5AE6">
            <w:pPr>
              <w:ind w:right="144"/>
              <w:jc w:val="center"/>
              <w:rPr>
                <w:rFonts w:ascii="Calibri" w:hAnsi="Calibri" w:cs="Calibri"/>
                <w:sz w:val="16"/>
                <w:szCs w:val="16"/>
              </w:rPr>
            </w:pPr>
            <w:r w:rsidRPr="009C37A5">
              <w:rPr>
                <w:rFonts w:ascii="Calibri" w:hAnsi="Calibri" w:cs="Calibri"/>
                <w:sz w:val="16"/>
                <w:szCs w:val="16"/>
              </w:rPr>
              <w:t>L</w:t>
            </w:r>
          </w:p>
        </w:tc>
        <w:tc>
          <w:tcPr>
            <w:tcW w:w="2516"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Mar>
              <w:left w:w="57" w:type="dxa"/>
              <w:right w:w="28" w:type="dxa"/>
            </w:tcMar>
          </w:tcPr>
          <w:p w14:paraId="1AE1EC7D" w14:textId="77777777" w:rsidR="009563B4" w:rsidRPr="009C37A5" w:rsidRDefault="009563B4" w:rsidP="00481CA4">
            <w:pPr>
              <w:ind w:right="144"/>
              <w:rPr>
                <w:rFonts w:ascii="Calibri" w:hAnsi="Calibri" w:cs="Calibri"/>
                <w:iCs/>
                <w:sz w:val="16"/>
                <w:szCs w:val="16"/>
              </w:rPr>
            </w:pPr>
            <w:r w:rsidRPr="009C37A5">
              <w:rPr>
                <w:rFonts w:ascii="Calibri" w:hAnsi="Calibri" w:cs="Calibri"/>
                <w:iCs/>
                <w:sz w:val="16"/>
                <w:szCs w:val="16"/>
              </w:rPr>
              <w:t>The fact that the LDN target has been mainstreamed into Angola’s climate change and national development policy frameworks, puts it high on the policy agenda. In any case, the project must leverage political will through active stakeholder engagement. Through a series of meetings, field visits and interactions with national stakeholders during the PPG process, the project’s objectives and results were developed to continue to be closely aligned with Angola’s national priorities and strategies, to the evolving policy agendas and the country’s international commitments under relevant MEAs and as articulated by the Government. Additionally, a strong stakeholder engagement and empowerment plan will be implemented in order to raise awareness of the government institutions about the importance of a successful project implementation and the government’s engagement.  Finally, awareness raising will be continuous throughout the project to ensure that awareness levels are maintained even if there are changes in key political figures, government technical staff, etc.</w:t>
            </w:r>
          </w:p>
        </w:tc>
        <w:tc>
          <w:tcPr>
            <w:tcW w:w="522"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Mar>
              <w:left w:w="57" w:type="dxa"/>
              <w:right w:w="28" w:type="dxa"/>
            </w:tcMar>
          </w:tcPr>
          <w:p w14:paraId="683A2B7C" w14:textId="77777777" w:rsidR="009563B4" w:rsidRPr="009C37A5" w:rsidRDefault="009563B4" w:rsidP="00ED5AE6">
            <w:pPr>
              <w:ind w:right="144"/>
              <w:jc w:val="center"/>
              <w:rPr>
                <w:rFonts w:ascii="Calibri" w:hAnsi="Calibri" w:cs="Calibri"/>
                <w:sz w:val="16"/>
                <w:szCs w:val="16"/>
              </w:rPr>
            </w:pPr>
            <w:r w:rsidRPr="009C37A5">
              <w:rPr>
                <w:rFonts w:ascii="Calibri" w:hAnsi="Calibri" w:cs="Calibri"/>
                <w:sz w:val="16"/>
                <w:szCs w:val="16"/>
              </w:rPr>
              <w:t>PMU</w:t>
            </w:r>
          </w:p>
        </w:tc>
      </w:tr>
      <w:tr w:rsidR="00ED5AE6" w:rsidRPr="009C37A5" w14:paraId="7EEF2669" w14:textId="77777777" w:rsidTr="3260A9D8">
        <w:tc>
          <w:tcPr>
            <w:tcW w:w="1019" w:type="pct"/>
            <w:tcBorders>
              <w:top w:val="single" w:sz="4" w:space="0" w:color="000000" w:themeColor="text1"/>
              <w:left w:val="single" w:sz="4" w:space="0" w:color="000000" w:themeColor="text1"/>
              <w:bottom w:val="single" w:sz="4" w:space="0" w:color="000000" w:themeColor="text1"/>
              <w:right w:val="nil"/>
            </w:tcBorders>
            <w:shd w:val="clear" w:color="auto" w:fill="FFFFFF" w:themeFill="background1"/>
            <w:tcMar>
              <w:left w:w="57" w:type="dxa"/>
              <w:right w:w="28" w:type="dxa"/>
            </w:tcMar>
          </w:tcPr>
          <w:p w14:paraId="7DBA1F3A" w14:textId="77777777" w:rsidR="009563B4" w:rsidRPr="009C37A5" w:rsidRDefault="009563B4" w:rsidP="00481CA4">
            <w:pPr>
              <w:ind w:right="144"/>
              <w:rPr>
                <w:rFonts w:ascii="Calibri" w:hAnsi="Calibri" w:cs="Calibri"/>
                <w:sz w:val="16"/>
                <w:szCs w:val="16"/>
              </w:rPr>
            </w:pPr>
            <w:r w:rsidRPr="009C37A5">
              <w:rPr>
                <w:rFonts w:ascii="Calibri" w:hAnsi="Calibri" w:cs="Calibri"/>
                <w:sz w:val="16"/>
                <w:szCs w:val="16"/>
              </w:rPr>
              <w:t xml:space="preserve">Lack of capacity and expertise from local institutions to successfully engage, implement and integrate SFM/SLM in relevant policies, plans and sectoral frameworks of action. </w:t>
            </w:r>
          </w:p>
        </w:tc>
        <w:tc>
          <w:tcPr>
            <w:tcW w:w="393"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Mar>
              <w:left w:w="57" w:type="dxa"/>
              <w:right w:w="28" w:type="dxa"/>
            </w:tcMar>
          </w:tcPr>
          <w:p w14:paraId="684CEBA7" w14:textId="44231004" w:rsidR="009563B4" w:rsidRPr="009C37A5" w:rsidRDefault="009563B4" w:rsidP="00ED5AE6">
            <w:pPr>
              <w:ind w:right="144"/>
              <w:jc w:val="center"/>
              <w:rPr>
                <w:rFonts w:ascii="Calibri" w:hAnsi="Calibri" w:cs="Calibri"/>
                <w:sz w:val="16"/>
                <w:szCs w:val="16"/>
              </w:rPr>
            </w:pPr>
            <w:r w:rsidRPr="009C37A5">
              <w:rPr>
                <w:rFonts w:ascii="Calibri" w:hAnsi="Calibri" w:cs="Calibri"/>
                <w:sz w:val="16"/>
                <w:szCs w:val="16"/>
              </w:rPr>
              <w:t>L</w:t>
            </w:r>
          </w:p>
        </w:tc>
        <w:tc>
          <w:tcPr>
            <w:tcW w:w="550" w:type="pct"/>
            <w:tcBorders>
              <w:top w:val="single" w:sz="4" w:space="0" w:color="000000" w:themeColor="text1"/>
              <w:left w:val="single" w:sz="4" w:space="0" w:color="000000" w:themeColor="text1"/>
              <w:bottom w:val="single" w:sz="4" w:space="0" w:color="000000" w:themeColor="text1"/>
              <w:right w:val="nil"/>
            </w:tcBorders>
            <w:shd w:val="clear" w:color="auto" w:fill="FFFFFF" w:themeFill="background1"/>
            <w:tcMar>
              <w:left w:w="57" w:type="dxa"/>
              <w:right w:w="28" w:type="dxa"/>
            </w:tcMar>
          </w:tcPr>
          <w:p w14:paraId="69F961F9" w14:textId="63E5F1F8" w:rsidR="009563B4" w:rsidRPr="009C37A5" w:rsidRDefault="009563B4" w:rsidP="00ED5AE6">
            <w:pPr>
              <w:ind w:right="144"/>
              <w:jc w:val="center"/>
              <w:rPr>
                <w:rFonts w:ascii="Calibri" w:hAnsi="Calibri" w:cs="Calibri"/>
                <w:sz w:val="16"/>
                <w:szCs w:val="16"/>
              </w:rPr>
            </w:pPr>
            <w:r w:rsidRPr="009C37A5">
              <w:rPr>
                <w:rFonts w:ascii="Calibri" w:hAnsi="Calibri" w:cs="Calibri"/>
                <w:sz w:val="16"/>
                <w:szCs w:val="16"/>
              </w:rPr>
              <w:t>L</w:t>
            </w:r>
          </w:p>
        </w:tc>
        <w:tc>
          <w:tcPr>
            <w:tcW w:w="2516"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Mar>
              <w:left w:w="57" w:type="dxa"/>
              <w:right w:w="28" w:type="dxa"/>
            </w:tcMar>
          </w:tcPr>
          <w:p w14:paraId="1F307469" w14:textId="19E62E5D" w:rsidR="009563B4" w:rsidRPr="009C37A5" w:rsidRDefault="009563B4" w:rsidP="00481CA4">
            <w:pPr>
              <w:ind w:right="144"/>
              <w:rPr>
                <w:rFonts w:ascii="Calibri" w:hAnsi="Calibri" w:cs="Calibri"/>
                <w:iCs/>
                <w:sz w:val="16"/>
                <w:szCs w:val="16"/>
              </w:rPr>
            </w:pPr>
            <w:r w:rsidRPr="009C37A5">
              <w:rPr>
                <w:rFonts w:ascii="Calibri" w:hAnsi="Calibri" w:cs="Calibri"/>
                <w:iCs/>
                <w:sz w:val="16"/>
                <w:szCs w:val="16"/>
              </w:rPr>
              <w:t xml:space="preserve">Activities under components 1 and 2 (e.g. Outcomes 1.1 and 2.1) were developed specially to strengthen the national capacity and effectively engage local actors in the implementation of SFM/SLM best practices). A brief but focused Capacity Needs Assessment (CNA) has been carried out during the PPG. The some of the results are directly included in </w:t>
            </w:r>
            <w:r w:rsidR="009C5926" w:rsidRPr="009C37A5">
              <w:rPr>
                <w:rFonts w:ascii="Calibri" w:hAnsi="Calibri" w:cs="Calibri"/>
                <w:iCs/>
                <w:sz w:val="16"/>
                <w:szCs w:val="16"/>
              </w:rPr>
              <w:t xml:space="preserve">PRODOC </w:t>
            </w:r>
            <w:r w:rsidRPr="009C37A5">
              <w:rPr>
                <w:rFonts w:ascii="Calibri" w:hAnsi="Calibri" w:cs="Calibri"/>
                <w:iCs/>
                <w:sz w:val="16"/>
                <w:szCs w:val="16"/>
              </w:rPr>
              <w:t xml:space="preserve">Annex X-2.3. The general strategy embedded in the project’s outputs include have built on the CNA results and other sources (e.g. the description of the general context included in </w:t>
            </w:r>
            <w:r w:rsidR="009C5926" w:rsidRPr="009C37A5">
              <w:rPr>
                <w:rFonts w:ascii="Calibri" w:hAnsi="Calibri" w:cs="Calibri"/>
                <w:iCs/>
                <w:sz w:val="16"/>
                <w:szCs w:val="16"/>
              </w:rPr>
              <w:t xml:space="preserve">PRODOC </w:t>
            </w:r>
            <w:r w:rsidRPr="009C37A5">
              <w:rPr>
                <w:rFonts w:ascii="Calibri" w:hAnsi="Calibri" w:cs="Calibri"/>
                <w:iCs/>
                <w:sz w:val="16"/>
                <w:szCs w:val="16"/>
              </w:rPr>
              <w:t xml:space="preserve">Annex W-2. capacity development Component 3 will also dedicate efforts to the capacity building through knowledge sharing and learning among the other countries in the Miombo and Mopane landscape. </w:t>
            </w:r>
          </w:p>
        </w:tc>
        <w:tc>
          <w:tcPr>
            <w:tcW w:w="522"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Mar>
              <w:left w:w="57" w:type="dxa"/>
              <w:right w:w="28" w:type="dxa"/>
            </w:tcMar>
          </w:tcPr>
          <w:p w14:paraId="20EEA9A7" w14:textId="77777777" w:rsidR="009563B4" w:rsidRPr="009C37A5" w:rsidRDefault="009563B4" w:rsidP="00ED5AE6">
            <w:pPr>
              <w:ind w:right="144"/>
              <w:jc w:val="center"/>
              <w:rPr>
                <w:rFonts w:ascii="Calibri" w:hAnsi="Calibri" w:cs="Calibri"/>
                <w:sz w:val="16"/>
                <w:szCs w:val="16"/>
              </w:rPr>
            </w:pPr>
            <w:r w:rsidRPr="009C37A5">
              <w:rPr>
                <w:rFonts w:ascii="Calibri" w:hAnsi="Calibri" w:cs="Calibri"/>
                <w:sz w:val="16"/>
                <w:szCs w:val="16"/>
              </w:rPr>
              <w:t>PMU</w:t>
            </w:r>
          </w:p>
        </w:tc>
      </w:tr>
      <w:tr w:rsidR="00ED5AE6" w:rsidRPr="009C37A5" w14:paraId="4700EEF7" w14:textId="77777777" w:rsidTr="3260A9D8">
        <w:tc>
          <w:tcPr>
            <w:tcW w:w="1019" w:type="pct"/>
            <w:tcBorders>
              <w:top w:val="single" w:sz="4" w:space="0" w:color="000000" w:themeColor="text1"/>
              <w:left w:val="single" w:sz="4" w:space="0" w:color="000000" w:themeColor="text1"/>
              <w:bottom w:val="single" w:sz="4" w:space="0" w:color="000000" w:themeColor="text1"/>
              <w:right w:val="nil"/>
            </w:tcBorders>
            <w:shd w:val="clear" w:color="auto" w:fill="FFFFFF" w:themeFill="background1"/>
            <w:tcMar>
              <w:left w:w="57" w:type="dxa"/>
              <w:right w:w="28" w:type="dxa"/>
            </w:tcMar>
          </w:tcPr>
          <w:p w14:paraId="37A17392" w14:textId="77777777" w:rsidR="009563B4" w:rsidRPr="009C37A5" w:rsidRDefault="009563B4" w:rsidP="00481CA4">
            <w:pPr>
              <w:ind w:right="144"/>
              <w:rPr>
                <w:rFonts w:ascii="Calibri" w:hAnsi="Calibri" w:cs="Calibri"/>
                <w:sz w:val="16"/>
                <w:szCs w:val="16"/>
              </w:rPr>
            </w:pPr>
            <w:r w:rsidRPr="009C37A5">
              <w:rPr>
                <w:rFonts w:ascii="Calibri" w:hAnsi="Calibri" w:cs="Calibri"/>
                <w:sz w:val="16"/>
                <w:szCs w:val="16"/>
              </w:rPr>
              <w:t xml:space="preserve">Lack of coordination and engagement between the project team and local communities on the implementation of the project’s activities. </w:t>
            </w:r>
          </w:p>
        </w:tc>
        <w:tc>
          <w:tcPr>
            <w:tcW w:w="393"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Mar>
              <w:left w:w="57" w:type="dxa"/>
              <w:right w:w="28" w:type="dxa"/>
            </w:tcMar>
          </w:tcPr>
          <w:p w14:paraId="47DB7165" w14:textId="102A349C" w:rsidR="009563B4" w:rsidRPr="009C37A5" w:rsidRDefault="009563B4" w:rsidP="00ED5AE6">
            <w:pPr>
              <w:ind w:right="144"/>
              <w:jc w:val="center"/>
              <w:rPr>
                <w:rFonts w:ascii="Calibri" w:hAnsi="Calibri" w:cs="Calibri"/>
                <w:sz w:val="16"/>
                <w:szCs w:val="16"/>
              </w:rPr>
            </w:pPr>
            <w:r w:rsidRPr="009C37A5">
              <w:rPr>
                <w:rFonts w:ascii="Calibri" w:hAnsi="Calibri" w:cs="Calibri"/>
                <w:sz w:val="16"/>
                <w:szCs w:val="16"/>
              </w:rPr>
              <w:t>M</w:t>
            </w:r>
          </w:p>
        </w:tc>
        <w:tc>
          <w:tcPr>
            <w:tcW w:w="550" w:type="pct"/>
            <w:tcBorders>
              <w:top w:val="single" w:sz="4" w:space="0" w:color="000000" w:themeColor="text1"/>
              <w:left w:val="single" w:sz="4" w:space="0" w:color="000000" w:themeColor="text1"/>
              <w:bottom w:val="single" w:sz="4" w:space="0" w:color="000000" w:themeColor="text1"/>
              <w:right w:val="nil"/>
            </w:tcBorders>
            <w:shd w:val="clear" w:color="auto" w:fill="FFFFFF" w:themeFill="background1"/>
            <w:tcMar>
              <w:left w:w="57" w:type="dxa"/>
              <w:right w:w="28" w:type="dxa"/>
            </w:tcMar>
          </w:tcPr>
          <w:p w14:paraId="489A02DD" w14:textId="7147A085" w:rsidR="009563B4" w:rsidRPr="009C37A5" w:rsidRDefault="009563B4" w:rsidP="00ED5AE6">
            <w:pPr>
              <w:ind w:right="144"/>
              <w:jc w:val="center"/>
              <w:rPr>
                <w:rFonts w:ascii="Calibri" w:hAnsi="Calibri" w:cs="Calibri"/>
                <w:sz w:val="16"/>
                <w:szCs w:val="16"/>
              </w:rPr>
            </w:pPr>
            <w:r w:rsidRPr="009C37A5">
              <w:rPr>
                <w:rFonts w:ascii="Calibri" w:hAnsi="Calibri" w:cs="Calibri"/>
                <w:sz w:val="16"/>
                <w:szCs w:val="16"/>
              </w:rPr>
              <w:t>L</w:t>
            </w:r>
          </w:p>
        </w:tc>
        <w:tc>
          <w:tcPr>
            <w:tcW w:w="2516"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Mar>
              <w:left w:w="57" w:type="dxa"/>
              <w:right w:w="28" w:type="dxa"/>
            </w:tcMar>
          </w:tcPr>
          <w:p w14:paraId="576CA396" w14:textId="77777777" w:rsidR="009563B4" w:rsidRPr="009C37A5" w:rsidRDefault="009563B4" w:rsidP="00481CA4">
            <w:pPr>
              <w:ind w:right="144"/>
              <w:rPr>
                <w:rFonts w:ascii="Calibri" w:hAnsi="Calibri" w:cs="Calibri"/>
                <w:iCs/>
                <w:sz w:val="16"/>
                <w:szCs w:val="16"/>
              </w:rPr>
            </w:pPr>
            <w:r w:rsidRPr="009C37A5">
              <w:rPr>
                <w:rFonts w:ascii="Calibri" w:hAnsi="Calibri" w:cs="Calibri"/>
                <w:iCs/>
                <w:sz w:val="16"/>
                <w:szCs w:val="16"/>
              </w:rPr>
              <w:t xml:space="preserve">The participative project design process, which included intensive consultations on project sites, helped to raise awareness and create a sense of ownership of local communities towards the project and its outcomes, reducing the risk of lack of engagement. Project interventions also foresee a strong stakeholder engagement plan to continue and improve the involvement and relationship between the project team, government institutions and local communities. </w:t>
            </w:r>
          </w:p>
        </w:tc>
        <w:tc>
          <w:tcPr>
            <w:tcW w:w="522"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Mar>
              <w:left w:w="57" w:type="dxa"/>
              <w:right w:w="28" w:type="dxa"/>
            </w:tcMar>
          </w:tcPr>
          <w:p w14:paraId="7DCCA062" w14:textId="5D9F82D5" w:rsidR="009563B4" w:rsidRPr="009C37A5" w:rsidRDefault="009563B4" w:rsidP="00ED5AE6">
            <w:pPr>
              <w:ind w:right="144"/>
              <w:jc w:val="center"/>
              <w:rPr>
                <w:rFonts w:ascii="Calibri" w:hAnsi="Calibri" w:cs="Calibri"/>
                <w:sz w:val="16"/>
                <w:szCs w:val="16"/>
              </w:rPr>
            </w:pPr>
            <w:r w:rsidRPr="009C37A5">
              <w:rPr>
                <w:rFonts w:ascii="Calibri" w:hAnsi="Calibri" w:cs="Calibri"/>
                <w:sz w:val="16"/>
                <w:szCs w:val="16"/>
              </w:rPr>
              <w:t>PMU</w:t>
            </w:r>
          </w:p>
          <w:p w14:paraId="2E31C936" w14:textId="77777777" w:rsidR="009563B4" w:rsidRPr="009C37A5" w:rsidRDefault="009563B4" w:rsidP="00ED5AE6">
            <w:pPr>
              <w:jc w:val="center"/>
              <w:rPr>
                <w:rFonts w:ascii="Calibri" w:hAnsi="Calibri" w:cs="Calibri"/>
                <w:sz w:val="16"/>
                <w:szCs w:val="16"/>
              </w:rPr>
            </w:pPr>
          </w:p>
        </w:tc>
      </w:tr>
      <w:tr w:rsidR="00ED5AE6" w:rsidRPr="009C37A5" w14:paraId="1E72F3B2" w14:textId="77777777" w:rsidTr="3260A9D8">
        <w:tc>
          <w:tcPr>
            <w:tcW w:w="1019" w:type="pct"/>
            <w:tcBorders>
              <w:top w:val="single" w:sz="4" w:space="0" w:color="000000" w:themeColor="text1"/>
              <w:left w:val="single" w:sz="4" w:space="0" w:color="000000" w:themeColor="text1"/>
              <w:bottom w:val="single" w:sz="4" w:space="0" w:color="000000" w:themeColor="text1"/>
              <w:right w:val="nil"/>
            </w:tcBorders>
            <w:shd w:val="clear" w:color="auto" w:fill="FFFFFF" w:themeFill="background1"/>
            <w:tcMar>
              <w:left w:w="57" w:type="dxa"/>
              <w:right w:w="28" w:type="dxa"/>
            </w:tcMar>
          </w:tcPr>
          <w:p w14:paraId="09DC451D" w14:textId="77777777" w:rsidR="009563B4" w:rsidRPr="009C37A5" w:rsidRDefault="009563B4" w:rsidP="00481CA4">
            <w:pPr>
              <w:ind w:right="144"/>
              <w:rPr>
                <w:rFonts w:ascii="Calibri" w:hAnsi="Calibri" w:cs="Calibri"/>
                <w:sz w:val="16"/>
                <w:szCs w:val="16"/>
              </w:rPr>
            </w:pPr>
            <w:r w:rsidRPr="009C37A5">
              <w:rPr>
                <w:rFonts w:ascii="Calibri" w:hAnsi="Calibri" w:cs="Calibri"/>
                <w:sz w:val="16"/>
                <w:szCs w:val="16"/>
              </w:rPr>
              <w:t xml:space="preserve">The consequences of the global Covid-19 pandemic can impact the project’s financial support, partnerships, and interactions. </w:t>
            </w:r>
          </w:p>
        </w:tc>
        <w:tc>
          <w:tcPr>
            <w:tcW w:w="393"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Mar>
              <w:left w:w="57" w:type="dxa"/>
              <w:right w:w="28" w:type="dxa"/>
            </w:tcMar>
          </w:tcPr>
          <w:p w14:paraId="625412AB" w14:textId="3E30FF44" w:rsidR="009563B4" w:rsidRPr="009C37A5" w:rsidRDefault="009563B4" w:rsidP="00ED5AE6">
            <w:pPr>
              <w:ind w:right="144"/>
              <w:jc w:val="center"/>
              <w:rPr>
                <w:rFonts w:ascii="Calibri" w:hAnsi="Calibri" w:cs="Calibri"/>
                <w:sz w:val="16"/>
                <w:szCs w:val="16"/>
              </w:rPr>
            </w:pPr>
            <w:r w:rsidRPr="009C37A5">
              <w:rPr>
                <w:rFonts w:ascii="Calibri" w:hAnsi="Calibri" w:cs="Calibri"/>
                <w:sz w:val="16"/>
                <w:szCs w:val="16"/>
              </w:rPr>
              <w:t>M</w:t>
            </w:r>
          </w:p>
        </w:tc>
        <w:tc>
          <w:tcPr>
            <w:tcW w:w="550" w:type="pct"/>
            <w:tcBorders>
              <w:top w:val="single" w:sz="4" w:space="0" w:color="000000" w:themeColor="text1"/>
              <w:left w:val="single" w:sz="4" w:space="0" w:color="000000" w:themeColor="text1"/>
              <w:bottom w:val="single" w:sz="4" w:space="0" w:color="000000" w:themeColor="text1"/>
              <w:right w:val="nil"/>
            </w:tcBorders>
            <w:shd w:val="clear" w:color="auto" w:fill="FFFFFF" w:themeFill="background1"/>
            <w:tcMar>
              <w:left w:w="57" w:type="dxa"/>
              <w:right w:w="28" w:type="dxa"/>
            </w:tcMar>
          </w:tcPr>
          <w:p w14:paraId="4E5D1F9C" w14:textId="44043A91" w:rsidR="009563B4" w:rsidRPr="009C37A5" w:rsidRDefault="009563B4" w:rsidP="00ED5AE6">
            <w:pPr>
              <w:ind w:right="144"/>
              <w:jc w:val="center"/>
              <w:rPr>
                <w:rFonts w:ascii="Calibri" w:hAnsi="Calibri" w:cs="Calibri"/>
                <w:sz w:val="16"/>
                <w:szCs w:val="16"/>
              </w:rPr>
            </w:pPr>
            <w:r w:rsidRPr="009C37A5">
              <w:rPr>
                <w:rFonts w:ascii="Calibri" w:hAnsi="Calibri" w:cs="Calibri"/>
                <w:sz w:val="16"/>
                <w:szCs w:val="16"/>
              </w:rPr>
              <w:t>H</w:t>
            </w:r>
          </w:p>
        </w:tc>
        <w:tc>
          <w:tcPr>
            <w:tcW w:w="2516"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Mar>
              <w:left w:w="57" w:type="dxa"/>
              <w:right w:w="28" w:type="dxa"/>
            </w:tcMar>
          </w:tcPr>
          <w:p w14:paraId="65927651" w14:textId="77777777" w:rsidR="009563B4" w:rsidRPr="009C37A5" w:rsidRDefault="009563B4" w:rsidP="00481CA4">
            <w:pPr>
              <w:ind w:right="144"/>
              <w:rPr>
                <w:rFonts w:ascii="Calibri" w:hAnsi="Calibri" w:cs="Calibri"/>
                <w:iCs/>
                <w:sz w:val="16"/>
                <w:szCs w:val="16"/>
              </w:rPr>
            </w:pPr>
            <w:r w:rsidRPr="009C37A5">
              <w:rPr>
                <w:rFonts w:ascii="Calibri" w:hAnsi="Calibri" w:cs="Calibri"/>
                <w:iCs/>
                <w:sz w:val="16"/>
                <w:szCs w:val="16"/>
              </w:rPr>
              <w:t xml:space="preserve">It is likely that the project will suffer with operational impacts from the global Covid-19 pandemic. Given the timeline of the PPG process, the project team was able to consider the potential impacts on the project design. </w:t>
            </w:r>
          </w:p>
          <w:p w14:paraId="3ED1E8AD" w14:textId="2A6DAD82" w:rsidR="009563B4" w:rsidRPr="009C37A5" w:rsidRDefault="009563B4" w:rsidP="00481CA4">
            <w:pPr>
              <w:ind w:right="144"/>
              <w:rPr>
                <w:rFonts w:ascii="Calibri" w:hAnsi="Calibri" w:cs="Calibri"/>
                <w:iCs/>
                <w:sz w:val="16"/>
                <w:szCs w:val="16"/>
              </w:rPr>
            </w:pPr>
            <w:r w:rsidRPr="009C37A5">
              <w:rPr>
                <w:rFonts w:ascii="Calibri" w:hAnsi="Calibri" w:cs="Calibri"/>
                <w:iCs/>
                <w:sz w:val="16"/>
                <w:szCs w:val="16"/>
              </w:rPr>
              <w:t>Measures such as the consolidation of co-financing sources and adjustments to the methodologies used in interactions between project participants, at least on the short term, were included. Furthermore, in line with an adaptive management approach, project activities, targets and operational arrangements will be reviewed at the project inception stage and changes made to mitigate Covid-19 impacts if required</w:t>
            </w:r>
            <w:r w:rsidRPr="003C0C70">
              <w:rPr>
                <w:rFonts w:ascii="Calibri" w:hAnsi="Calibri" w:cs="Calibri"/>
                <w:sz w:val="16"/>
                <w:szCs w:val="16"/>
                <w:highlight w:val="yellow"/>
              </w:rPr>
              <w:t>.</w:t>
            </w:r>
            <w:r w:rsidR="30532E25" w:rsidRPr="003C0C70">
              <w:rPr>
                <w:rFonts w:ascii="Calibri" w:hAnsi="Calibri" w:cs="Calibri"/>
                <w:sz w:val="16"/>
                <w:szCs w:val="16"/>
                <w:highlight w:val="yellow"/>
              </w:rPr>
              <w:t xml:space="preserve"> In this sense, GoA launched initiatives </w:t>
            </w:r>
            <w:r w:rsidR="003C0C70" w:rsidRPr="003C0C70">
              <w:rPr>
                <w:rFonts w:ascii="Calibri" w:hAnsi="Calibri" w:cs="Calibri"/>
                <w:sz w:val="16"/>
                <w:szCs w:val="16"/>
                <w:highlight w:val="yellow"/>
              </w:rPr>
              <w:t>such</w:t>
            </w:r>
            <w:r w:rsidR="30532E25" w:rsidRPr="003C0C70">
              <w:rPr>
                <w:rFonts w:ascii="Calibri" w:hAnsi="Calibri" w:cs="Calibri"/>
                <w:sz w:val="16"/>
                <w:szCs w:val="16"/>
                <w:highlight w:val="yellow"/>
              </w:rPr>
              <w:t xml:space="preserve"> as the PIAA</w:t>
            </w:r>
            <w:r w:rsidR="56B28F2C" w:rsidRPr="003C0C70">
              <w:rPr>
                <w:rFonts w:ascii="Calibri" w:hAnsi="Calibri" w:cs="Calibri"/>
                <w:sz w:val="16"/>
                <w:szCs w:val="16"/>
                <w:highlight w:val="yellow"/>
              </w:rPr>
              <w:t>PF will be considered for synergies and coordination creation.</w:t>
            </w:r>
          </w:p>
        </w:tc>
        <w:tc>
          <w:tcPr>
            <w:tcW w:w="522"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Mar>
              <w:left w:w="57" w:type="dxa"/>
              <w:right w:w="28" w:type="dxa"/>
            </w:tcMar>
          </w:tcPr>
          <w:p w14:paraId="15D81A3B" w14:textId="77777777" w:rsidR="009563B4" w:rsidRPr="009C37A5" w:rsidRDefault="009563B4" w:rsidP="00ED5AE6">
            <w:pPr>
              <w:ind w:right="144"/>
              <w:jc w:val="center"/>
              <w:rPr>
                <w:rFonts w:ascii="Calibri" w:hAnsi="Calibri" w:cs="Calibri"/>
                <w:sz w:val="16"/>
                <w:szCs w:val="16"/>
              </w:rPr>
            </w:pPr>
            <w:r w:rsidRPr="009C37A5">
              <w:rPr>
                <w:rFonts w:ascii="Calibri" w:hAnsi="Calibri" w:cs="Calibri"/>
                <w:sz w:val="16"/>
                <w:szCs w:val="16"/>
              </w:rPr>
              <w:t>PMU</w:t>
            </w:r>
          </w:p>
        </w:tc>
      </w:tr>
      <w:tr w:rsidR="00ED5AE6" w:rsidRPr="009C37A5" w14:paraId="009FB815" w14:textId="77777777" w:rsidTr="3260A9D8">
        <w:tc>
          <w:tcPr>
            <w:tcW w:w="1019" w:type="pct"/>
            <w:tcBorders>
              <w:top w:val="single" w:sz="4" w:space="0" w:color="000000" w:themeColor="text1"/>
              <w:left w:val="single" w:sz="4" w:space="0" w:color="000000" w:themeColor="text1"/>
              <w:bottom w:val="single" w:sz="4" w:space="0" w:color="000000" w:themeColor="text1"/>
              <w:right w:val="nil"/>
            </w:tcBorders>
            <w:shd w:val="clear" w:color="auto" w:fill="FFFFFF" w:themeFill="background1"/>
            <w:tcMar>
              <w:left w:w="57" w:type="dxa"/>
              <w:right w:w="28" w:type="dxa"/>
            </w:tcMar>
          </w:tcPr>
          <w:p w14:paraId="3AFBB839" w14:textId="77777777" w:rsidR="009563B4" w:rsidRPr="009C37A5" w:rsidRDefault="009563B4" w:rsidP="00481CA4">
            <w:pPr>
              <w:ind w:right="144"/>
              <w:rPr>
                <w:rFonts w:ascii="Calibri" w:hAnsi="Calibri" w:cs="Calibri"/>
                <w:sz w:val="16"/>
                <w:szCs w:val="16"/>
              </w:rPr>
            </w:pPr>
            <w:r w:rsidRPr="009C37A5">
              <w:rPr>
                <w:rFonts w:ascii="Calibri" w:hAnsi="Calibri" w:cs="Calibri"/>
                <w:sz w:val="16"/>
                <w:szCs w:val="16"/>
              </w:rPr>
              <w:t>Current and future climate change impacts will threaten the sustainability of the project’s investments and results</w:t>
            </w:r>
          </w:p>
        </w:tc>
        <w:tc>
          <w:tcPr>
            <w:tcW w:w="393"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Mar>
              <w:left w:w="57" w:type="dxa"/>
              <w:right w:w="28" w:type="dxa"/>
            </w:tcMar>
          </w:tcPr>
          <w:p w14:paraId="65D74443" w14:textId="78BDAF30" w:rsidR="009563B4" w:rsidRPr="009C37A5" w:rsidRDefault="009563B4" w:rsidP="00ED5AE6">
            <w:pPr>
              <w:ind w:right="144"/>
              <w:jc w:val="center"/>
              <w:rPr>
                <w:rFonts w:ascii="Calibri" w:hAnsi="Calibri" w:cs="Calibri"/>
                <w:sz w:val="16"/>
                <w:szCs w:val="16"/>
              </w:rPr>
            </w:pPr>
            <w:r w:rsidRPr="009C37A5">
              <w:rPr>
                <w:rFonts w:ascii="Calibri" w:hAnsi="Calibri" w:cs="Calibri"/>
                <w:sz w:val="16"/>
                <w:szCs w:val="16"/>
              </w:rPr>
              <w:t>M</w:t>
            </w:r>
          </w:p>
        </w:tc>
        <w:tc>
          <w:tcPr>
            <w:tcW w:w="550" w:type="pct"/>
            <w:tcBorders>
              <w:top w:val="single" w:sz="4" w:space="0" w:color="000000" w:themeColor="text1"/>
              <w:left w:val="single" w:sz="4" w:space="0" w:color="000000" w:themeColor="text1"/>
              <w:bottom w:val="single" w:sz="4" w:space="0" w:color="000000" w:themeColor="text1"/>
              <w:right w:val="nil"/>
            </w:tcBorders>
            <w:shd w:val="clear" w:color="auto" w:fill="FFFFFF" w:themeFill="background1"/>
            <w:tcMar>
              <w:left w:w="57" w:type="dxa"/>
              <w:right w:w="28" w:type="dxa"/>
            </w:tcMar>
          </w:tcPr>
          <w:p w14:paraId="0E62AB37" w14:textId="45C1BD5D" w:rsidR="009563B4" w:rsidRPr="009C37A5" w:rsidRDefault="009C37A5" w:rsidP="00ED5AE6">
            <w:pPr>
              <w:ind w:right="144"/>
              <w:jc w:val="center"/>
              <w:rPr>
                <w:rFonts w:ascii="Calibri" w:hAnsi="Calibri" w:cs="Calibri"/>
                <w:sz w:val="16"/>
                <w:szCs w:val="16"/>
              </w:rPr>
            </w:pPr>
            <w:r w:rsidRPr="009C37A5">
              <w:rPr>
                <w:rFonts w:ascii="Calibri" w:hAnsi="Calibri" w:cs="Calibri"/>
                <w:sz w:val="16"/>
                <w:szCs w:val="16"/>
              </w:rPr>
              <w:t>M</w:t>
            </w:r>
          </w:p>
        </w:tc>
        <w:tc>
          <w:tcPr>
            <w:tcW w:w="2516"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Mar>
              <w:left w:w="57" w:type="dxa"/>
              <w:right w:w="28" w:type="dxa"/>
            </w:tcMar>
          </w:tcPr>
          <w:p w14:paraId="22FFEB16" w14:textId="77777777" w:rsidR="009563B4" w:rsidRDefault="009563B4" w:rsidP="004629A8">
            <w:pPr>
              <w:ind w:right="144"/>
              <w:jc w:val="both"/>
              <w:rPr>
                <w:rFonts w:ascii="Calibri" w:hAnsi="Calibri" w:cs="Calibri"/>
                <w:iCs/>
                <w:sz w:val="16"/>
                <w:szCs w:val="16"/>
              </w:rPr>
            </w:pPr>
            <w:r w:rsidRPr="009C37A5">
              <w:rPr>
                <w:rFonts w:ascii="Calibri" w:hAnsi="Calibri" w:cs="Calibri"/>
                <w:iCs/>
                <w:sz w:val="16"/>
                <w:szCs w:val="16"/>
              </w:rPr>
              <w:t xml:space="preserve">The potential impacts of current and future climate change impacts on the project sites were considered in project design; therefore, the activities, outcomes and outputs were developed in order to minimize take these impacts into account. Various techniques and approaches aligned with Climate Smart Agriculture/SLM/SFM practices and livelihood diversification will be promoted and adopted through the project help build resilience to CC impacts. In addition, by introducing effective government support, scaling up best practices and incorporating a strong knowledge management </w:t>
            </w:r>
            <w:r w:rsidRPr="009C37A5">
              <w:rPr>
                <w:rFonts w:ascii="Calibri" w:hAnsi="Calibri" w:cs="Calibri"/>
                <w:iCs/>
                <w:sz w:val="16"/>
                <w:szCs w:val="16"/>
              </w:rPr>
              <w:lastRenderedPageBreak/>
              <w:t>and sharing mechanism. By mainstreaming and expanding the knowledge about SLM/SFM best practices in Angola the project’s results will be able to achieve sustainability.</w:t>
            </w:r>
          </w:p>
          <w:p w14:paraId="0CC228C1" w14:textId="77777777" w:rsidR="00064100" w:rsidRPr="00064100" w:rsidRDefault="00064100" w:rsidP="004629A8">
            <w:pPr>
              <w:ind w:right="144"/>
              <w:jc w:val="both"/>
              <w:rPr>
                <w:rFonts w:ascii="Calibri" w:hAnsi="Calibri" w:cs="Calibri"/>
                <w:iCs/>
                <w:sz w:val="16"/>
                <w:szCs w:val="16"/>
              </w:rPr>
            </w:pPr>
            <w:r w:rsidRPr="00064100">
              <w:rPr>
                <w:rFonts w:ascii="Calibri" w:hAnsi="Calibri" w:cs="Calibri"/>
                <w:iCs/>
                <w:sz w:val="16"/>
                <w:szCs w:val="16"/>
              </w:rPr>
              <w:t>Component 1:</w:t>
            </w:r>
          </w:p>
          <w:p w14:paraId="0FA22B30" w14:textId="77777777" w:rsidR="00064100" w:rsidRPr="00064100" w:rsidRDefault="00064100" w:rsidP="004629A8">
            <w:pPr>
              <w:ind w:right="144"/>
              <w:jc w:val="both"/>
              <w:rPr>
                <w:rFonts w:ascii="Calibri" w:hAnsi="Calibri" w:cs="Calibri"/>
                <w:iCs/>
                <w:sz w:val="16"/>
                <w:szCs w:val="16"/>
              </w:rPr>
            </w:pPr>
            <w:r w:rsidRPr="00064100">
              <w:rPr>
                <w:rFonts w:ascii="Calibri" w:hAnsi="Calibri" w:cs="Calibri"/>
                <w:iCs/>
                <w:sz w:val="16"/>
                <w:szCs w:val="16"/>
              </w:rPr>
              <w:t xml:space="preserve">Climate risks will be systematically incorporated in the integrated land use planning process to anticipate future extreme weather events and plan positive actions of sustainable land management. This joint planning process will benefit from climate change related assessments conducted during the PPG (SHARP) as well as available climate change analysis (e.g. IFAD/ACDI climate analysis) and other available data sets. </w:t>
            </w:r>
          </w:p>
          <w:p w14:paraId="5B5F9751" w14:textId="77777777" w:rsidR="00064100" w:rsidRPr="00064100" w:rsidRDefault="00064100" w:rsidP="004629A8">
            <w:pPr>
              <w:ind w:right="144"/>
              <w:jc w:val="both"/>
              <w:rPr>
                <w:rFonts w:ascii="Calibri" w:hAnsi="Calibri" w:cs="Calibri"/>
                <w:iCs/>
                <w:sz w:val="16"/>
                <w:szCs w:val="16"/>
              </w:rPr>
            </w:pPr>
            <w:r w:rsidRPr="00064100">
              <w:rPr>
                <w:rFonts w:ascii="Calibri" w:hAnsi="Calibri" w:cs="Calibri"/>
                <w:iCs/>
                <w:sz w:val="16"/>
                <w:szCs w:val="16"/>
              </w:rPr>
              <w:t>The National Meteorological Authorities (NMA) and other institutions leading the collection, analysis and use of climate data should be engaged in the development and implementation of LDN strategies. Trainings and capacity building of relevant stakeholders should include activities on the use of climate information for informing strategies and planning, certain activities can be led by the NMAs.</w:t>
            </w:r>
          </w:p>
          <w:p w14:paraId="7D3CF82E" w14:textId="77777777" w:rsidR="00064100" w:rsidRPr="00064100" w:rsidRDefault="00064100" w:rsidP="004629A8">
            <w:pPr>
              <w:ind w:right="144"/>
              <w:jc w:val="both"/>
              <w:rPr>
                <w:rFonts w:ascii="Calibri" w:hAnsi="Calibri" w:cs="Calibri"/>
                <w:iCs/>
                <w:sz w:val="16"/>
                <w:szCs w:val="16"/>
              </w:rPr>
            </w:pPr>
            <w:r w:rsidRPr="00064100">
              <w:rPr>
                <w:rFonts w:ascii="Calibri" w:hAnsi="Calibri" w:cs="Calibri"/>
                <w:iCs/>
                <w:sz w:val="16"/>
                <w:szCs w:val="16"/>
              </w:rPr>
              <w:t>Component 2:</w:t>
            </w:r>
          </w:p>
          <w:p w14:paraId="270A0349" w14:textId="77777777" w:rsidR="00064100" w:rsidRPr="00064100" w:rsidRDefault="00064100" w:rsidP="004629A8">
            <w:pPr>
              <w:ind w:right="144"/>
              <w:jc w:val="both"/>
              <w:rPr>
                <w:rFonts w:ascii="Calibri" w:hAnsi="Calibri" w:cs="Calibri"/>
                <w:iCs/>
                <w:sz w:val="16"/>
                <w:szCs w:val="16"/>
              </w:rPr>
            </w:pPr>
            <w:r w:rsidRPr="00064100">
              <w:rPr>
                <w:rFonts w:ascii="Calibri" w:hAnsi="Calibri" w:cs="Calibri"/>
                <w:iCs/>
                <w:sz w:val="16"/>
                <w:szCs w:val="16"/>
              </w:rPr>
              <w:t>The selection of evidence-based climate smart SLM/SFM practices will follow the results of the joint planning process (component 1) to ensure they are adapted to local contexts and supported by scientific evidence of project climate conditions. The identified practices should be integrated in the forest and farm producers’ training manuals and be part of the Famers Field Schools curricula. The newly developed global note for FFS facilitators on integrating climate change adaptation into farmer field schools can inform this process as well as lessons learned from participatory engagement approaches such a PICSA. Climate field schools can link to demonstration plots of sustainable intensification practices and resilience measures post-harvest.</w:t>
            </w:r>
          </w:p>
          <w:p w14:paraId="110BC0EE" w14:textId="462CC3B0" w:rsidR="00064100" w:rsidRDefault="00064100" w:rsidP="004629A8">
            <w:pPr>
              <w:ind w:right="144"/>
              <w:jc w:val="both"/>
              <w:rPr>
                <w:rFonts w:ascii="Calibri" w:hAnsi="Calibri" w:cs="Calibri"/>
                <w:iCs/>
                <w:sz w:val="16"/>
                <w:szCs w:val="16"/>
              </w:rPr>
            </w:pPr>
            <w:r w:rsidRPr="00064100">
              <w:rPr>
                <w:rFonts w:ascii="Calibri" w:hAnsi="Calibri" w:cs="Calibri"/>
                <w:iCs/>
                <w:sz w:val="16"/>
                <w:szCs w:val="16"/>
              </w:rPr>
              <w:t>The selection of dryland value chains should also consider climate related risks. Their selection should be based on (i) their viability under climate change in the mid to long term; (ii) their contribution to drivers of climate-related impacts; and (iii) their ability to increase the resilience of the most vulnerable populations. Development of green value chains, including appropriate infrastructure or technologies to climate proof food value chains, should be based on results of climate impact assessments. Planning around drying, storage and transport can be informed by climate impacts at each stage.</w:t>
            </w:r>
          </w:p>
          <w:p w14:paraId="7936CA19" w14:textId="77777777" w:rsidR="00064100" w:rsidRDefault="00064100" w:rsidP="004629A8">
            <w:pPr>
              <w:ind w:right="144"/>
              <w:jc w:val="both"/>
              <w:rPr>
                <w:rFonts w:ascii="Calibri" w:hAnsi="Calibri" w:cs="Calibri"/>
                <w:iCs/>
                <w:sz w:val="16"/>
                <w:szCs w:val="16"/>
              </w:rPr>
            </w:pPr>
          </w:p>
          <w:p w14:paraId="1EB68AE1" w14:textId="00F84AAC" w:rsidR="004B299A" w:rsidRDefault="004B299A" w:rsidP="004629A8">
            <w:pPr>
              <w:ind w:right="144"/>
              <w:jc w:val="both"/>
              <w:rPr>
                <w:rFonts w:ascii="Calibri" w:hAnsi="Calibri" w:cs="Calibri"/>
                <w:iCs/>
                <w:sz w:val="16"/>
                <w:szCs w:val="16"/>
                <w:lang w:val="en-US"/>
              </w:rPr>
            </w:pPr>
            <w:r>
              <w:rPr>
                <w:rFonts w:ascii="Calibri" w:hAnsi="Calibri" w:cs="Calibri"/>
                <w:iCs/>
                <w:sz w:val="16"/>
                <w:szCs w:val="16"/>
              </w:rPr>
              <w:t>A detailed</w:t>
            </w:r>
            <w:r w:rsidR="00B90775">
              <w:rPr>
                <w:rFonts w:ascii="Calibri" w:hAnsi="Calibri" w:cs="Calibri"/>
                <w:iCs/>
                <w:sz w:val="16"/>
                <w:szCs w:val="16"/>
              </w:rPr>
              <w:t xml:space="preserve"> climate risk summary for the DSL-IP </w:t>
            </w:r>
            <w:r w:rsidR="00FC7773">
              <w:rPr>
                <w:rFonts w:ascii="Calibri" w:hAnsi="Calibri" w:cs="Calibri"/>
                <w:iCs/>
                <w:sz w:val="16"/>
                <w:szCs w:val="16"/>
              </w:rPr>
              <w:t xml:space="preserve">Miombo cluster (Angola, Botswana, Malawi, </w:t>
            </w:r>
            <w:r w:rsidR="00815C03">
              <w:rPr>
                <w:rFonts w:ascii="Calibri" w:hAnsi="Calibri" w:cs="Calibri"/>
                <w:iCs/>
                <w:sz w:val="16"/>
                <w:szCs w:val="16"/>
              </w:rPr>
              <w:t xml:space="preserve">Namibia, Tanzania and Zimbabwe) </w:t>
            </w:r>
            <w:r w:rsidR="00FC7773">
              <w:rPr>
                <w:rFonts w:ascii="Calibri" w:hAnsi="Calibri" w:cs="Calibri"/>
                <w:iCs/>
                <w:sz w:val="16"/>
                <w:szCs w:val="16"/>
              </w:rPr>
              <w:t xml:space="preserve"> </w:t>
            </w:r>
            <w:r w:rsidR="00B90775">
              <w:rPr>
                <w:rFonts w:ascii="Calibri" w:hAnsi="Calibri" w:cs="Calibri"/>
                <w:iCs/>
                <w:sz w:val="16"/>
                <w:szCs w:val="16"/>
              </w:rPr>
              <w:t>can be found here:</w:t>
            </w:r>
            <w:r w:rsidR="00815C03">
              <w:rPr>
                <w:rFonts w:ascii="Calibri" w:hAnsi="Calibri" w:cs="Calibri"/>
                <w:iCs/>
                <w:sz w:val="16"/>
                <w:szCs w:val="16"/>
              </w:rPr>
              <w:t xml:space="preserve"> </w:t>
            </w:r>
            <w:hyperlink r:id="rId100" w:history="1">
              <w:r w:rsidRPr="00F93907">
                <w:rPr>
                  <w:rStyle w:val="Hyperlink"/>
                  <w:rFonts w:ascii="Calibri" w:hAnsi="Calibri" w:cs="Calibri"/>
                  <w:iCs/>
                  <w:sz w:val="16"/>
                  <w:szCs w:val="16"/>
                  <w:lang w:val="en-US"/>
                </w:rPr>
                <w:t>https://drive.google.com/file/d/1Ng-VWBnviBbLVHTxccbN4msvHWUSnrOy/view?usp=sharing</w:t>
              </w:r>
            </w:hyperlink>
          </w:p>
          <w:p w14:paraId="7A4F0D88" w14:textId="28BE119D" w:rsidR="004B299A" w:rsidRPr="004B299A" w:rsidRDefault="004B299A" w:rsidP="004629A8">
            <w:pPr>
              <w:ind w:right="144"/>
              <w:jc w:val="both"/>
              <w:rPr>
                <w:rFonts w:ascii="Calibri" w:hAnsi="Calibri" w:cs="Calibri"/>
                <w:iCs/>
                <w:sz w:val="16"/>
                <w:szCs w:val="16"/>
                <w:lang w:val="en-US"/>
              </w:rPr>
            </w:pPr>
          </w:p>
        </w:tc>
        <w:tc>
          <w:tcPr>
            <w:tcW w:w="522"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Mar>
              <w:left w:w="57" w:type="dxa"/>
              <w:right w:w="28" w:type="dxa"/>
            </w:tcMar>
          </w:tcPr>
          <w:p w14:paraId="45C70F38" w14:textId="77777777" w:rsidR="009563B4" w:rsidRPr="009C37A5" w:rsidRDefault="009563B4" w:rsidP="00ED5AE6">
            <w:pPr>
              <w:ind w:right="144"/>
              <w:jc w:val="center"/>
              <w:rPr>
                <w:rFonts w:ascii="Calibri" w:hAnsi="Calibri" w:cs="Calibri"/>
                <w:sz w:val="16"/>
                <w:szCs w:val="16"/>
              </w:rPr>
            </w:pPr>
            <w:r w:rsidRPr="009C37A5">
              <w:rPr>
                <w:rFonts w:ascii="Calibri" w:hAnsi="Calibri" w:cs="Calibri"/>
                <w:sz w:val="16"/>
                <w:szCs w:val="16"/>
              </w:rPr>
              <w:lastRenderedPageBreak/>
              <w:t>PMU</w:t>
            </w:r>
          </w:p>
        </w:tc>
      </w:tr>
    </w:tbl>
    <w:p w14:paraId="41FABF17" w14:textId="3B52F6D6" w:rsidR="00C86064" w:rsidRDefault="009C37A5">
      <w:pPr>
        <w:rPr>
          <w:rFonts w:asciiTheme="minorHAnsi" w:hAnsiTheme="minorHAnsi" w:cstheme="minorHAnsi"/>
          <w:color w:val="000000"/>
          <w:sz w:val="16"/>
          <w:szCs w:val="16"/>
        </w:rPr>
      </w:pPr>
      <w:r w:rsidRPr="00C86064">
        <w:rPr>
          <w:rFonts w:ascii="Calibri" w:hAnsi="Calibri" w:cs="Calibri"/>
          <w:sz w:val="16"/>
          <w:szCs w:val="16"/>
        </w:rPr>
        <w:t>*</w:t>
      </w:r>
      <w:r w:rsidRPr="00C86064">
        <w:rPr>
          <w:rFonts w:asciiTheme="minorHAnsi" w:hAnsiTheme="minorHAnsi" w:cstheme="minorHAnsi"/>
          <w:b/>
          <w:bCs/>
          <w:color w:val="000000"/>
          <w:sz w:val="16"/>
          <w:szCs w:val="16"/>
        </w:rPr>
        <w:t>H</w:t>
      </w:r>
      <w:r w:rsidRPr="00C86064">
        <w:rPr>
          <w:rFonts w:asciiTheme="minorHAnsi" w:hAnsiTheme="minorHAnsi" w:cstheme="minorHAnsi"/>
          <w:color w:val="000000"/>
          <w:sz w:val="16"/>
          <w:szCs w:val="16"/>
        </w:rPr>
        <w:t xml:space="preserve">: High, </w:t>
      </w:r>
      <w:r w:rsidRPr="00C86064">
        <w:rPr>
          <w:rFonts w:asciiTheme="minorHAnsi" w:hAnsiTheme="minorHAnsi" w:cstheme="minorHAnsi"/>
          <w:b/>
          <w:bCs/>
          <w:color w:val="000000"/>
          <w:sz w:val="16"/>
          <w:szCs w:val="16"/>
        </w:rPr>
        <w:t>M</w:t>
      </w:r>
      <w:r w:rsidRPr="00C86064">
        <w:rPr>
          <w:rFonts w:asciiTheme="minorHAnsi" w:hAnsiTheme="minorHAnsi" w:cstheme="minorHAnsi"/>
          <w:color w:val="000000"/>
          <w:sz w:val="16"/>
          <w:szCs w:val="16"/>
        </w:rPr>
        <w:t xml:space="preserve">: Moderate, </w:t>
      </w:r>
      <w:r w:rsidRPr="00C86064">
        <w:rPr>
          <w:rFonts w:asciiTheme="minorHAnsi" w:hAnsiTheme="minorHAnsi" w:cstheme="minorHAnsi"/>
          <w:b/>
          <w:bCs/>
          <w:color w:val="000000"/>
          <w:sz w:val="16"/>
          <w:szCs w:val="16"/>
        </w:rPr>
        <w:t>L:</w:t>
      </w:r>
      <w:r w:rsidRPr="00C86064">
        <w:rPr>
          <w:rFonts w:asciiTheme="minorHAnsi" w:hAnsiTheme="minorHAnsi" w:cstheme="minorHAnsi"/>
          <w:color w:val="000000"/>
          <w:sz w:val="16"/>
          <w:szCs w:val="16"/>
        </w:rPr>
        <w:t xml:space="preserve"> Low</w:t>
      </w:r>
    </w:p>
    <w:p w14:paraId="6BE48133" w14:textId="77777777" w:rsidR="009563B4" w:rsidRDefault="009563B4" w:rsidP="00447E0C">
      <w:pPr>
        <w:pStyle w:val="Heading3"/>
        <w:shd w:val="clear" w:color="auto" w:fill="FFFFFF" w:themeFill="background1"/>
        <w:spacing w:before="240" w:after="160"/>
        <w:jc w:val="left"/>
        <w:rPr>
          <w:rFonts w:ascii="Calibri" w:hAnsi="Calibri" w:cs="Calibri"/>
          <w:bCs/>
          <w:color w:val="FFFFFF" w:themeColor="background1"/>
          <w:sz w:val="22"/>
          <w:szCs w:val="22"/>
          <w:highlight w:val="black"/>
        </w:rPr>
      </w:pPr>
      <w:bookmarkStart w:id="258" w:name="_Toc467228304"/>
      <w:bookmarkStart w:id="259" w:name="_Toc467229548"/>
      <w:bookmarkStart w:id="260" w:name="_Toc478973819"/>
      <w:bookmarkStart w:id="261" w:name="_Toc518290100"/>
      <w:bookmarkStart w:id="262" w:name="_Toc10550564"/>
      <w:bookmarkStart w:id="263" w:name="_Toc10550652"/>
      <w:bookmarkStart w:id="264" w:name="_Toc10552995"/>
      <w:bookmarkStart w:id="265" w:name="_Toc10554537"/>
      <w:bookmarkStart w:id="266" w:name="_Toc10554605"/>
      <w:bookmarkStart w:id="267" w:name="_Toc12612949"/>
      <w:bookmarkStart w:id="268" w:name="_Toc42027140"/>
      <w:bookmarkStart w:id="269" w:name="_Toc42262648"/>
      <w:r w:rsidRPr="00447E0C">
        <w:rPr>
          <w:rFonts w:ascii="Calibri" w:hAnsi="Calibri" w:cs="Calibri"/>
          <w:bCs/>
          <w:color w:val="FFFFFF" w:themeColor="background1"/>
          <w:sz w:val="22"/>
          <w:szCs w:val="22"/>
          <w:highlight w:val="black"/>
        </w:rPr>
        <w:t>Section B: Environmental and Social risks from the project</w:t>
      </w:r>
      <w:bookmarkEnd w:id="258"/>
      <w:bookmarkEnd w:id="259"/>
      <w:bookmarkEnd w:id="260"/>
      <w:bookmarkEnd w:id="261"/>
      <w:r w:rsidRPr="00447E0C">
        <w:rPr>
          <w:rFonts w:ascii="Calibri" w:hAnsi="Calibri" w:cs="Calibri"/>
          <w:bCs/>
          <w:color w:val="FFFFFF" w:themeColor="background1"/>
          <w:sz w:val="22"/>
          <w:szCs w:val="22"/>
          <w:highlight w:val="black"/>
        </w:rPr>
        <w:t xml:space="preserve"> – ESM Plan</w:t>
      </w:r>
      <w:bookmarkEnd w:id="262"/>
      <w:bookmarkEnd w:id="263"/>
      <w:bookmarkEnd w:id="264"/>
      <w:bookmarkEnd w:id="265"/>
      <w:bookmarkEnd w:id="266"/>
      <w:bookmarkEnd w:id="267"/>
      <w:bookmarkEnd w:id="268"/>
      <w:bookmarkEnd w:id="269"/>
    </w:p>
    <w:p w14:paraId="2CDEDD54" w14:textId="77777777" w:rsidR="00F42293" w:rsidRPr="00F42293" w:rsidRDefault="00F42293" w:rsidP="00F42293">
      <w:pPr>
        <w:jc w:val="both"/>
        <w:rPr>
          <w:rFonts w:asciiTheme="minorHAnsi" w:hAnsiTheme="minorHAnsi" w:cstheme="minorHAnsi"/>
          <w:sz w:val="21"/>
          <w:szCs w:val="21"/>
        </w:rPr>
      </w:pPr>
      <w:r w:rsidRPr="00F42293">
        <w:rPr>
          <w:rFonts w:asciiTheme="minorHAnsi" w:hAnsiTheme="minorHAnsi" w:cstheme="minorHAnsi"/>
          <w:sz w:val="21"/>
          <w:szCs w:val="21"/>
        </w:rPr>
        <w:t xml:space="preserve">The project is reclassified from low to moderate risk mostly due to the fact that although the foreseen environmental and social impacts of project are likely to be positive considering the nature of the interventions, the project includes the following risks factors under the Environmental and Social Risk Identification Screening Checklist: </w:t>
      </w:r>
    </w:p>
    <w:p w14:paraId="7CDD9BC1" w14:textId="6D5485C4" w:rsidR="00F42293" w:rsidRPr="00B275E4" w:rsidRDefault="00F42293" w:rsidP="001667C6">
      <w:pPr>
        <w:pStyle w:val="ListParagraph"/>
        <w:numPr>
          <w:ilvl w:val="0"/>
          <w:numId w:val="42"/>
        </w:numPr>
        <w:rPr>
          <w:rFonts w:asciiTheme="minorHAnsi" w:hAnsiTheme="minorHAnsi" w:cstheme="minorHAnsi"/>
          <w:sz w:val="21"/>
          <w:szCs w:val="21"/>
        </w:rPr>
      </w:pPr>
      <w:r w:rsidRPr="00B275E4">
        <w:rPr>
          <w:rFonts w:asciiTheme="minorHAnsi" w:hAnsiTheme="minorHAnsi" w:cstheme="minorHAnsi"/>
          <w:sz w:val="21"/>
          <w:szCs w:val="21"/>
        </w:rPr>
        <w:t>ESS 1 - Natural resources management: The project will work to improve land tenure security and access rights through policy dialogue and multi-stakeholder policy and support implementation of participatory land use planning. This may result in changes to existing tenure rights (formal and informal) of individuals, communities or others to land, fishery and forest resources which triggers ESS 1.</w:t>
      </w:r>
    </w:p>
    <w:p w14:paraId="5CAD3CD0" w14:textId="5CC57BBE" w:rsidR="00F42293" w:rsidRPr="00B275E4" w:rsidRDefault="00F42293" w:rsidP="001667C6">
      <w:pPr>
        <w:pStyle w:val="ListParagraph"/>
        <w:numPr>
          <w:ilvl w:val="0"/>
          <w:numId w:val="42"/>
        </w:numPr>
        <w:rPr>
          <w:rFonts w:asciiTheme="minorHAnsi" w:hAnsiTheme="minorHAnsi" w:cstheme="minorHAnsi"/>
          <w:sz w:val="21"/>
          <w:szCs w:val="21"/>
        </w:rPr>
      </w:pPr>
      <w:r w:rsidRPr="00B275E4">
        <w:rPr>
          <w:rFonts w:asciiTheme="minorHAnsi" w:hAnsiTheme="minorHAnsi" w:cstheme="minorHAnsi"/>
          <w:sz w:val="21"/>
          <w:szCs w:val="21"/>
        </w:rPr>
        <w:t>ESS 3 - Plant and Genetic Resources for Food and Agriculture: The project interventions on crop diversification and community seed banks will involve the provision and transfer of seeds and planting material for cultivation which triggers ESS 3.</w:t>
      </w:r>
    </w:p>
    <w:p w14:paraId="7D02E195" w14:textId="77777777" w:rsidR="00F42293" w:rsidRPr="00F42293" w:rsidRDefault="00F42293" w:rsidP="00F42293">
      <w:pPr>
        <w:jc w:val="both"/>
        <w:rPr>
          <w:rFonts w:asciiTheme="minorHAnsi" w:hAnsiTheme="minorHAnsi" w:cstheme="minorHAnsi"/>
          <w:sz w:val="21"/>
          <w:szCs w:val="21"/>
        </w:rPr>
      </w:pPr>
      <w:r w:rsidRPr="00F42293">
        <w:rPr>
          <w:rFonts w:asciiTheme="minorHAnsi" w:hAnsiTheme="minorHAnsi" w:cstheme="minorHAnsi"/>
          <w:sz w:val="21"/>
          <w:szCs w:val="21"/>
        </w:rPr>
        <w:lastRenderedPageBreak/>
        <w:t xml:space="preserve">The identified risks are mostly temporal, localized and reversible. Considering the impact, appropriate mitigation measures have been developed to address and mitigate the identified risks above. The developed risk management plan in the table below will allow managing risks by monitoring mitigation actions throughout implementation. </w:t>
      </w:r>
    </w:p>
    <w:p w14:paraId="72951227" w14:textId="77777777" w:rsidR="00F42293" w:rsidRPr="00F42293" w:rsidRDefault="00F42293" w:rsidP="00F42293">
      <w:pPr>
        <w:jc w:val="both"/>
        <w:rPr>
          <w:rFonts w:asciiTheme="minorHAnsi" w:hAnsiTheme="minorHAnsi" w:cstheme="minorHAnsi"/>
          <w:sz w:val="21"/>
          <w:szCs w:val="21"/>
        </w:rPr>
      </w:pPr>
    </w:p>
    <w:p w14:paraId="5BE65A47" w14:textId="77777777" w:rsidR="00F42293" w:rsidRPr="00F42293" w:rsidRDefault="00F42293" w:rsidP="00F42293">
      <w:pPr>
        <w:jc w:val="both"/>
        <w:rPr>
          <w:rFonts w:asciiTheme="minorHAnsi" w:hAnsiTheme="minorHAnsi" w:cstheme="minorHAnsi"/>
          <w:sz w:val="21"/>
          <w:szCs w:val="21"/>
        </w:rPr>
      </w:pPr>
      <w:r w:rsidRPr="00F42293">
        <w:rPr>
          <w:rFonts w:asciiTheme="minorHAnsi" w:hAnsiTheme="minorHAnsi" w:cstheme="minorHAnsi"/>
          <w:sz w:val="21"/>
          <w:szCs w:val="21"/>
        </w:rPr>
        <w:t>The risks to the project have been identified and analysed during the project preparation phase and mitigation measures have been incorporated into the project design (see Table below). With the support and oversight of FAO, the Project Steering Committee (PSC) will be responsible for managing these risks as well as the effective implementation of mitigation measures. The Monitoring and Evaluation (M&amp;E) system will serve to monitor outcome and output indicators, risks to the project and mitigation measures. The PSC will also be responsible for monitoring the effectiveness of mitigation measures and adjusting mitigation strategies accordingly, as well as identifying and managing any new risks that have not been identified during Project preparation, in collaboration with Project partners.</w:t>
      </w:r>
    </w:p>
    <w:p w14:paraId="2F22363A" w14:textId="77777777" w:rsidR="00F42293" w:rsidRPr="00F42293" w:rsidRDefault="00F42293" w:rsidP="00F42293">
      <w:pPr>
        <w:jc w:val="both"/>
        <w:rPr>
          <w:rFonts w:asciiTheme="minorHAnsi" w:hAnsiTheme="minorHAnsi" w:cstheme="minorHAnsi"/>
          <w:sz w:val="21"/>
          <w:szCs w:val="21"/>
        </w:rPr>
      </w:pPr>
    </w:p>
    <w:p w14:paraId="1A0F940F" w14:textId="4EE5058E" w:rsidR="00F42293" w:rsidRPr="00F42293" w:rsidRDefault="00F42293" w:rsidP="00F42293">
      <w:pPr>
        <w:jc w:val="both"/>
        <w:rPr>
          <w:rFonts w:asciiTheme="minorHAnsi" w:hAnsiTheme="minorHAnsi" w:cstheme="minorBidi"/>
          <w:sz w:val="21"/>
          <w:szCs w:val="21"/>
          <w:highlight w:val="black"/>
        </w:rPr>
      </w:pPr>
      <w:r w:rsidRPr="4C22F77B">
        <w:rPr>
          <w:rFonts w:asciiTheme="minorHAnsi" w:hAnsiTheme="minorHAnsi" w:cstheme="minorBidi"/>
          <w:sz w:val="21"/>
          <w:szCs w:val="21"/>
        </w:rPr>
        <w:t>The six-monthly Project Progress Reports (PPR) are the main tool for risk monitoring and management. The PPRs include a section covering the systematic monitoring of risks and mitigation actions that were identified in the previous PPRs. The PPRs also include a section for the identification of possible new risks or risks that still need to be addressed, risk rating and mitigation actions, as well as those responsible for monitoring such actions and estimated timeframes. FAO will closely monitor project risk management and will support the adjustment and implementation of mitigation strategies. The preparation of risk monitoring reports and their rating will also be part of the Annual Project Implementation Review Report (PIR) prepared by FAO and submitted to the GEF Secretariat.</w:t>
      </w:r>
    </w:p>
    <w:p w14:paraId="34571177" w14:textId="52189AAE" w:rsidR="007D3608" w:rsidRDefault="007D3608" w:rsidP="007D3608">
      <w:pPr>
        <w:pStyle w:val="Caption"/>
      </w:pPr>
      <w:bookmarkStart w:id="270" w:name="_Toc58398640"/>
      <w:r>
        <w:t xml:space="preserve">Table </w:t>
      </w:r>
      <w:r>
        <w:fldChar w:fldCharType="begin"/>
      </w:r>
      <w:r>
        <w:instrText xml:space="preserve"> SEQ Table \* ARABIC </w:instrText>
      </w:r>
      <w:r>
        <w:fldChar w:fldCharType="separate"/>
      </w:r>
      <w:r>
        <w:rPr>
          <w:noProof/>
        </w:rPr>
        <w:t>10</w:t>
      </w:r>
      <w:r>
        <w:fldChar w:fldCharType="end"/>
      </w:r>
      <w:r>
        <w:t xml:space="preserve"> - </w:t>
      </w:r>
      <w:r w:rsidRPr="007D3608">
        <w:t>Environmental and Social risks</w:t>
      </w:r>
      <w:bookmarkEnd w:id="270"/>
    </w:p>
    <w:tbl>
      <w:tblPr>
        <w:tblStyle w:val="TableGrid3"/>
        <w:tblW w:w="0" w:type="auto"/>
        <w:tblBorders>
          <w:top w:val="single" w:sz="4" w:space="0" w:color="A6A6A6"/>
          <w:left w:val="single" w:sz="4" w:space="0" w:color="A6A6A6"/>
          <w:bottom w:val="single" w:sz="4" w:space="0" w:color="A6A6A6"/>
          <w:right w:val="single" w:sz="4" w:space="0" w:color="A6A6A6"/>
          <w:insideH w:val="single" w:sz="4" w:space="0" w:color="A6A6A6"/>
          <w:insideV w:val="single" w:sz="4" w:space="0" w:color="A6A6A6"/>
        </w:tblBorders>
        <w:tblLook w:val="04A0" w:firstRow="1" w:lastRow="0" w:firstColumn="1" w:lastColumn="0" w:noHBand="0" w:noVBand="1"/>
      </w:tblPr>
      <w:tblGrid>
        <w:gridCol w:w="1473"/>
        <w:gridCol w:w="1198"/>
        <w:gridCol w:w="3195"/>
        <w:gridCol w:w="2096"/>
        <w:gridCol w:w="1054"/>
      </w:tblGrid>
      <w:tr w:rsidR="00A42AC4" w:rsidRPr="00B275E4" w14:paraId="477EB535" w14:textId="77777777" w:rsidTr="7F4D7136">
        <w:tc>
          <w:tcPr>
            <w:tcW w:w="0" w:type="auto"/>
            <w:shd w:val="clear" w:color="auto" w:fill="D9E2F3" w:themeFill="accent5" w:themeFillTint="33"/>
            <w:vAlign w:val="center"/>
          </w:tcPr>
          <w:p w14:paraId="05867172" w14:textId="77777777" w:rsidR="00A42AC4" w:rsidRPr="00A42AC4" w:rsidRDefault="00A42AC4" w:rsidP="00A42AC4">
            <w:pPr>
              <w:jc w:val="center"/>
              <w:rPr>
                <w:rFonts w:asciiTheme="minorHAnsi" w:hAnsiTheme="minorHAnsi" w:cstheme="minorHAnsi"/>
                <w:b/>
                <w:sz w:val="18"/>
                <w:szCs w:val="18"/>
                <w:lang w:eastAsia="it-IT"/>
              </w:rPr>
            </w:pPr>
            <w:bookmarkStart w:id="271" w:name="_Toc10554538"/>
            <w:bookmarkStart w:id="272" w:name="_Toc10554606"/>
            <w:bookmarkStart w:id="273" w:name="_Toc12612950"/>
            <w:bookmarkStart w:id="274" w:name="_Toc42027141"/>
            <w:bookmarkStart w:id="275" w:name="_Toc42262649"/>
            <w:r w:rsidRPr="00A42AC4">
              <w:rPr>
                <w:rFonts w:asciiTheme="minorHAnsi" w:hAnsiTheme="minorHAnsi" w:cstheme="minorHAnsi"/>
                <w:b/>
                <w:sz w:val="18"/>
                <w:szCs w:val="18"/>
                <w:lang w:eastAsia="it-IT"/>
              </w:rPr>
              <w:t>Risk identified</w:t>
            </w:r>
          </w:p>
        </w:tc>
        <w:tc>
          <w:tcPr>
            <w:tcW w:w="0" w:type="auto"/>
            <w:shd w:val="clear" w:color="auto" w:fill="D9E2F3" w:themeFill="accent5" w:themeFillTint="33"/>
          </w:tcPr>
          <w:p w14:paraId="11BAC688" w14:textId="77777777" w:rsidR="00A42AC4" w:rsidRPr="00A42AC4" w:rsidRDefault="00A42AC4" w:rsidP="00A42AC4">
            <w:pPr>
              <w:jc w:val="center"/>
              <w:rPr>
                <w:rFonts w:asciiTheme="minorHAnsi" w:hAnsiTheme="minorHAnsi" w:cstheme="minorHAnsi"/>
                <w:b/>
                <w:sz w:val="18"/>
                <w:szCs w:val="18"/>
                <w:lang w:eastAsia="it-IT"/>
              </w:rPr>
            </w:pPr>
            <w:r w:rsidRPr="00A42AC4">
              <w:rPr>
                <w:rFonts w:asciiTheme="minorHAnsi" w:hAnsiTheme="minorHAnsi" w:cstheme="minorHAnsi"/>
                <w:b/>
                <w:sz w:val="18"/>
                <w:szCs w:val="18"/>
                <w:lang w:eastAsia="it-IT"/>
              </w:rPr>
              <w:t xml:space="preserve">Risk </w:t>
            </w:r>
          </w:p>
          <w:p w14:paraId="455F1803" w14:textId="77777777" w:rsidR="00A42AC4" w:rsidRPr="00A42AC4" w:rsidRDefault="00A42AC4" w:rsidP="00A42AC4">
            <w:pPr>
              <w:jc w:val="center"/>
              <w:rPr>
                <w:rFonts w:asciiTheme="minorHAnsi" w:hAnsiTheme="minorHAnsi" w:cstheme="minorHAnsi"/>
                <w:b/>
                <w:sz w:val="18"/>
                <w:szCs w:val="18"/>
                <w:lang w:eastAsia="it-IT"/>
              </w:rPr>
            </w:pPr>
            <w:r w:rsidRPr="00A42AC4">
              <w:rPr>
                <w:rFonts w:asciiTheme="minorHAnsi" w:hAnsiTheme="minorHAnsi" w:cstheme="minorHAnsi"/>
                <w:b/>
                <w:sz w:val="18"/>
                <w:szCs w:val="18"/>
                <w:lang w:eastAsia="it-IT"/>
              </w:rPr>
              <w:t>Classification</w:t>
            </w:r>
          </w:p>
        </w:tc>
        <w:tc>
          <w:tcPr>
            <w:tcW w:w="0" w:type="auto"/>
            <w:shd w:val="clear" w:color="auto" w:fill="D9E2F3" w:themeFill="accent5" w:themeFillTint="33"/>
            <w:vAlign w:val="center"/>
          </w:tcPr>
          <w:p w14:paraId="6C29054D" w14:textId="77777777" w:rsidR="00A42AC4" w:rsidRPr="00A42AC4" w:rsidRDefault="00A42AC4" w:rsidP="00A42AC4">
            <w:pPr>
              <w:jc w:val="center"/>
              <w:rPr>
                <w:rFonts w:asciiTheme="minorHAnsi" w:hAnsiTheme="minorHAnsi" w:cstheme="minorHAnsi"/>
                <w:b/>
                <w:sz w:val="18"/>
                <w:szCs w:val="18"/>
                <w:lang w:eastAsia="it-IT"/>
              </w:rPr>
            </w:pPr>
            <w:r w:rsidRPr="00A42AC4">
              <w:rPr>
                <w:rFonts w:asciiTheme="minorHAnsi" w:hAnsiTheme="minorHAnsi" w:cstheme="minorHAnsi"/>
                <w:b/>
                <w:sz w:val="18"/>
                <w:szCs w:val="18"/>
                <w:lang w:eastAsia="it-IT"/>
              </w:rPr>
              <w:t>Mitigation Action (s)</w:t>
            </w:r>
          </w:p>
        </w:tc>
        <w:tc>
          <w:tcPr>
            <w:tcW w:w="0" w:type="auto"/>
            <w:shd w:val="clear" w:color="auto" w:fill="D9E2F3" w:themeFill="accent5" w:themeFillTint="33"/>
            <w:vAlign w:val="center"/>
          </w:tcPr>
          <w:p w14:paraId="7CBD4F7C" w14:textId="77777777" w:rsidR="00A42AC4" w:rsidRPr="00A42AC4" w:rsidRDefault="00A42AC4" w:rsidP="00A42AC4">
            <w:pPr>
              <w:jc w:val="center"/>
              <w:rPr>
                <w:rFonts w:asciiTheme="minorHAnsi" w:hAnsiTheme="minorHAnsi" w:cstheme="minorHAnsi"/>
                <w:b/>
                <w:sz w:val="18"/>
                <w:szCs w:val="18"/>
                <w:lang w:eastAsia="it-IT"/>
              </w:rPr>
            </w:pPr>
            <w:r w:rsidRPr="00A42AC4">
              <w:rPr>
                <w:rFonts w:asciiTheme="minorHAnsi" w:hAnsiTheme="minorHAnsi" w:cstheme="minorHAnsi"/>
                <w:b/>
                <w:sz w:val="18"/>
                <w:szCs w:val="18"/>
                <w:lang w:eastAsia="it-IT"/>
              </w:rPr>
              <w:t>Indicators</w:t>
            </w:r>
          </w:p>
        </w:tc>
        <w:tc>
          <w:tcPr>
            <w:tcW w:w="0" w:type="auto"/>
            <w:shd w:val="clear" w:color="auto" w:fill="D9E2F3" w:themeFill="accent5" w:themeFillTint="33"/>
            <w:vAlign w:val="center"/>
          </w:tcPr>
          <w:p w14:paraId="059F3346" w14:textId="77777777" w:rsidR="00A42AC4" w:rsidRPr="00A42AC4" w:rsidRDefault="00A42AC4" w:rsidP="00A42AC4">
            <w:pPr>
              <w:jc w:val="center"/>
              <w:rPr>
                <w:rFonts w:asciiTheme="minorHAnsi" w:hAnsiTheme="minorHAnsi" w:cstheme="minorHAnsi"/>
                <w:b/>
                <w:sz w:val="18"/>
                <w:szCs w:val="18"/>
                <w:lang w:eastAsia="it-IT"/>
              </w:rPr>
            </w:pPr>
            <w:r w:rsidRPr="00A42AC4">
              <w:rPr>
                <w:rFonts w:asciiTheme="minorHAnsi" w:hAnsiTheme="minorHAnsi" w:cstheme="minorHAnsi"/>
                <w:b/>
                <w:sz w:val="18"/>
                <w:szCs w:val="18"/>
                <w:lang w:eastAsia="it-IT"/>
              </w:rPr>
              <w:t>Progress on mitigation action</w:t>
            </w:r>
          </w:p>
        </w:tc>
      </w:tr>
      <w:tr w:rsidR="00B275E4" w:rsidRPr="00B275E4" w14:paraId="1A27F181" w14:textId="77777777" w:rsidTr="7F4D7136">
        <w:tc>
          <w:tcPr>
            <w:tcW w:w="0" w:type="auto"/>
          </w:tcPr>
          <w:p w14:paraId="62FA959B" w14:textId="77777777" w:rsidR="00A42AC4" w:rsidRPr="00A42AC4" w:rsidRDefault="00A42AC4" w:rsidP="00A42AC4">
            <w:pPr>
              <w:jc w:val="center"/>
              <w:rPr>
                <w:rFonts w:asciiTheme="minorHAnsi" w:hAnsiTheme="minorHAnsi" w:cstheme="minorHAnsi"/>
                <w:b/>
                <w:sz w:val="18"/>
                <w:szCs w:val="18"/>
                <w:lang w:val="fr-FR" w:eastAsia="it-IT"/>
              </w:rPr>
            </w:pPr>
          </w:p>
          <w:p w14:paraId="424A55F7" w14:textId="77777777" w:rsidR="00A42AC4" w:rsidRPr="00A42AC4" w:rsidRDefault="00A42AC4" w:rsidP="00A42AC4">
            <w:pPr>
              <w:jc w:val="both"/>
              <w:rPr>
                <w:rFonts w:asciiTheme="minorHAnsi" w:hAnsiTheme="minorHAnsi" w:cstheme="minorHAnsi"/>
                <w:sz w:val="18"/>
                <w:szCs w:val="18"/>
                <w:lang w:val="fr-FR" w:eastAsia="it-IT"/>
              </w:rPr>
            </w:pPr>
            <w:r w:rsidRPr="00A42AC4">
              <w:rPr>
                <w:rFonts w:asciiTheme="minorHAnsi" w:hAnsiTheme="minorHAnsi" w:cstheme="minorHAnsi"/>
                <w:sz w:val="18"/>
                <w:szCs w:val="18"/>
                <w:lang w:val="fr-FR" w:eastAsia="it-IT"/>
              </w:rPr>
              <w:t>ESS 1</w:t>
            </w:r>
          </w:p>
          <w:p w14:paraId="38D0CBD5" w14:textId="38C10692" w:rsidR="00A42AC4" w:rsidRPr="00A42AC4" w:rsidRDefault="234AA5C5" w:rsidP="7F4D7136">
            <w:pPr>
              <w:jc w:val="both"/>
              <w:rPr>
                <w:rFonts w:asciiTheme="minorHAnsi" w:hAnsiTheme="minorHAnsi" w:cstheme="minorBidi"/>
                <w:sz w:val="18"/>
                <w:szCs w:val="18"/>
                <w:lang w:val="fr-FR" w:eastAsia="it-IT"/>
              </w:rPr>
            </w:pPr>
            <w:r w:rsidRPr="7F4D7136">
              <w:rPr>
                <w:rFonts w:asciiTheme="minorHAnsi" w:hAnsiTheme="minorHAnsi" w:cstheme="minorBidi"/>
                <w:sz w:val="18"/>
                <w:szCs w:val="18"/>
                <w:lang w:val="fr-FR" w:eastAsia="it-IT"/>
              </w:rPr>
              <w:t>NATURAL RESOURCES MANAGEMENT</w:t>
            </w:r>
          </w:p>
          <w:p w14:paraId="3D2881D2" w14:textId="77777777" w:rsidR="00A42AC4" w:rsidRPr="00A42AC4" w:rsidRDefault="00A42AC4" w:rsidP="00A42AC4">
            <w:pPr>
              <w:jc w:val="both"/>
              <w:rPr>
                <w:rFonts w:asciiTheme="minorHAnsi" w:hAnsiTheme="minorHAnsi" w:cstheme="minorHAnsi"/>
                <w:sz w:val="18"/>
                <w:szCs w:val="18"/>
                <w:lang w:val="fr-FR" w:eastAsia="it-IT"/>
              </w:rPr>
            </w:pPr>
          </w:p>
          <w:p w14:paraId="56092E27" w14:textId="77777777" w:rsidR="00A42AC4" w:rsidRPr="00A42AC4" w:rsidRDefault="00A42AC4" w:rsidP="00A42AC4">
            <w:pPr>
              <w:jc w:val="both"/>
              <w:rPr>
                <w:rFonts w:asciiTheme="minorHAnsi" w:hAnsiTheme="minorHAnsi" w:cstheme="minorHAnsi"/>
                <w:sz w:val="18"/>
                <w:szCs w:val="18"/>
                <w:lang w:val="fr-FR" w:eastAsia="it-IT"/>
              </w:rPr>
            </w:pPr>
            <w:r w:rsidRPr="00A42AC4">
              <w:rPr>
                <w:rFonts w:asciiTheme="minorHAnsi" w:hAnsiTheme="minorHAnsi" w:cstheme="minorHAnsi"/>
                <w:sz w:val="18"/>
                <w:szCs w:val="18"/>
                <w:lang w:val="fr-FR" w:eastAsia="it-IT"/>
              </w:rPr>
              <w:t xml:space="preserve">Tenure </w:t>
            </w:r>
          </w:p>
        </w:tc>
        <w:tc>
          <w:tcPr>
            <w:tcW w:w="0" w:type="auto"/>
          </w:tcPr>
          <w:p w14:paraId="393C7858" w14:textId="77777777" w:rsidR="00A42AC4" w:rsidRPr="00A42AC4" w:rsidRDefault="00A42AC4" w:rsidP="00A42AC4">
            <w:pPr>
              <w:jc w:val="center"/>
              <w:rPr>
                <w:rFonts w:asciiTheme="minorHAnsi" w:hAnsiTheme="minorHAnsi" w:cstheme="minorHAnsi"/>
                <w:sz w:val="18"/>
                <w:szCs w:val="18"/>
                <w:lang w:eastAsia="it-IT"/>
              </w:rPr>
            </w:pPr>
            <w:r w:rsidRPr="00A42AC4">
              <w:rPr>
                <w:rFonts w:asciiTheme="minorHAnsi" w:hAnsiTheme="minorHAnsi" w:cstheme="minorHAnsi"/>
                <w:sz w:val="18"/>
                <w:szCs w:val="18"/>
                <w:lang w:eastAsia="it-IT"/>
              </w:rPr>
              <w:t>Moderate</w:t>
            </w:r>
          </w:p>
        </w:tc>
        <w:tc>
          <w:tcPr>
            <w:tcW w:w="0" w:type="auto"/>
          </w:tcPr>
          <w:p w14:paraId="5FE18A34" w14:textId="77777777" w:rsidR="00A42AC4" w:rsidRPr="00A42AC4" w:rsidRDefault="00A42AC4" w:rsidP="00A42AC4">
            <w:pPr>
              <w:jc w:val="both"/>
              <w:rPr>
                <w:rFonts w:asciiTheme="minorHAnsi" w:hAnsiTheme="minorHAnsi" w:cstheme="minorHAnsi"/>
                <w:sz w:val="18"/>
                <w:szCs w:val="18"/>
                <w:lang w:eastAsia="it-IT"/>
              </w:rPr>
            </w:pPr>
            <w:r w:rsidRPr="00A42AC4">
              <w:rPr>
                <w:rFonts w:asciiTheme="minorHAnsi" w:hAnsiTheme="minorHAnsi" w:cstheme="minorHAnsi"/>
                <w:sz w:val="18"/>
                <w:szCs w:val="18"/>
                <w:lang w:eastAsia="it-IT"/>
              </w:rPr>
              <w:t xml:space="preserve">During implementation, the project activities will address tenure rights by applying an integrated landscape/territorial approach resolving insecure or inequitable tenure (right to use and benefits of ecosystem services), weak common property regimes, and natural resources management institutions. Conflict resolution measures to address land conflicts and boundary disputes will be applied as part of an inclusive engagement of all relevant stakeholders in this process. For this purpose, the project will follow the stakeholder engagement plan (Annex I2) as well as core elements of the Integrated Landscape Assessment and Management Methodology (ILAM), in particular the multi-stakeholder workshop approach which was successfully applied during the project’s preparation. </w:t>
            </w:r>
          </w:p>
          <w:p w14:paraId="6A7FDC9B" w14:textId="77777777" w:rsidR="00A42AC4" w:rsidRPr="00A42AC4" w:rsidRDefault="00A42AC4" w:rsidP="00A42AC4">
            <w:pPr>
              <w:jc w:val="both"/>
              <w:rPr>
                <w:rFonts w:asciiTheme="minorHAnsi" w:hAnsiTheme="minorHAnsi" w:cstheme="minorHAnsi"/>
                <w:sz w:val="18"/>
                <w:szCs w:val="18"/>
                <w:lang w:eastAsia="it-IT"/>
              </w:rPr>
            </w:pPr>
            <w:r w:rsidRPr="00A42AC4">
              <w:rPr>
                <w:rFonts w:asciiTheme="minorHAnsi" w:hAnsiTheme="minorHAnsi" w:cstheme="minorHAnsi"/>
                <w:sz w:val="18"/>
                <w:szCs w:val="18"/>
                <w:lang w:eastAsia="it-IT"/>
              </w:rPr>
              <w:t xml:space="preserve">The project will apply and adhere to the principles/framework of the Voluntary Guidelines on the Responsible Governance of Tenure of Land, Fisheries and Forests in the Context of National Food Security (VGGT) and stakeholders will be trained in its use. </w:t>
            </w:r>
          </w:p>
          <w:p w14:paraId="463F1FD8" w14:textId="77777777" w:rsidR="00A42AC4" w:rsidRPr="00A42AC4" w:rsidRDefault="00A42AC4" w:rsidP="00A42AC4">
            <w:pPr>
              <w:jc w:val="both"/>
              <w:rPr>
                <w:rFonts w:asciiTheme="minorHAnsi" w:hAnsiTheme="minorHAnsi" w:cstheme="minorHAnsi"/>
                <w:sz w:val="18"/>
                <w:szCs w:val="18"/>
                <w:lang w:eastAsia="it-IT"/>
              </w:rPr>
            </w:pPr>
          </w:p>
        </w:tc>
        <w:tc>
          <w:tcPr>
            <w:tcW w:w="0" w:type="auto"/>
          </w:tcPr>
          <w:p w14:paraId="7EB56CC5" w14:textId="77777777" w:rsidR="00A42AC4" w:rsidRPr="00A42AC4" w:rsidRDefault="00A42AC4" w:rsidP="00A42AC4">
            <w:pPr>
              <w:rPr>
                <w:rFonts w:asciiTheme="minorHAnsi" w:hAnsiTheme="minorHAnsi" w:cstheme="minorHAnsi"/>
                <w:color w:val="000000"/>
                <w:sz w:val="18"/>
                <w:szCs w:val="18"/>
                <w:lang w:eastAsia="it-IT"/>
              </w:rPr>
            </w:pPr>
            <w:r w:rsidRPr="00A42AC4">
              <w:rPr>
                <w:rFonts w:asciiTheme="minorHAnsi" w:hAnsiTheme="minorHAnsi" w:cstheme="minorHAnsi"/>
                <w:color w:val="000000"/>
                <w:sz w:val="18"/>
                <w:szCs w:val="18"/>
                <w:lang w:eastAsia="it-IT"/>
              </w:rPr>
              <w:t># of beneficiaries trained on  the implementation of the VGGT</w:t>
            </w:r>
          </w:p>
          <w:p w14:paraId="111AB077" w14:textId="77777777" w:rsidR="00A42AC4" w:rsidRPr="00A42AC4" w:rsidRDefault="00A42AC4" w:rsidP="00A42AC4">
            <w:pPr>
              <w:rPr>
                <w:rFonts w:asciiTheme="minorHAnsi" w:hAnsiTheme="minorHAnsi" w:cstheme="minorHAnsi"/>
                <w:color w:val="000000"/>
                <w:sz w:val="18"/>
                <w:szCs w:val="18"/>
                <w:lang w:eastAsia="it-IT"/>
              </w:rPr>
            </w:pPr>
          </w:p>
          <w:p w14:paraId="47F0721D" w14:textId="77777777" w:rsidR="00A42AC4" w:rsidRPr="00A42AC4" w:rsidRDefault="00A42AC4" w:rsidP="00A42AC4">
            <w:pPr>
              <w:rPr>
                <w:rFonts w:asciiTheme="minorHAnsi" w:hAnsiTheme="minorHAnsi" w:cstheme="minorHAnsi"/>
                <w:color w:val="000000"/>
                <w:sz w:val="18"/>
                <w:szCs w:val="18"/>
                <w:lang w:eastAsia="it-IT"/>
              </w:rPr>
            </w:pPr>
            <w:r w:rsidRPr="00A42AC4">
              <w:rPr>
                <w:rFonts w:asciiTheme="minorHAnsi" w:hAnsiTheme="minorHAnsi" w:cstheme="minorHAnsi"/>
                <w:color w:val="000000"/>
                <w:sz w:val="18"/>
                <w:szCs w:val="18"/>
                <w:lang w:eastAsia="it-IT"/>
              </w:rPr>
              <w:t>Level of influence and engagement with government around the principles enshrined in the VGGT</w:t>
            </w:r>
          </w:p>
          <w:p w14:paraId="6E5694CE" w14:textId="77777777" w:rsidR="00A42AC4" w:rsidRPr="00A42AC4" w:rsidRDefault="00A42AC4" w:rsidP="00A42AC4">
            <w:pPr>
              <w:rPr>
                <w:rFonts w:asciiTheme="minorHAnsi" w:hAnsiTheme="minorHAnsi" w:cstheme="minorHAnsi"/>
                <w:color w:val="000000"/>
                <w:sz w:val="18"/>
                <w:szCs w:val="18"/>
                <w:lang w:eastAsia="it-IT"/>
              </w:rPr>
            </w:pPr>
          </w:p>
          <w:p w14:paraId="0A978D9D" w14:textId="424A24A0" w:rsidR="00A42AC4" w:rsidRPr="00A42AC4" w:rsidRDefault="32C62E96" w:rsidP="3764D022">
            <w:pPr>
              <w:rPr>
                <w:rFonts w:asciiTheme="minorHAnsi" w:hAnsiTheme="minorHAnsi" w:cstheme="minorBidi"/>
                <w:color w:val="000000"/>
                <w:sz w:val="18"/>
                <w:szCs w:val="18"/>
                <w:lang w:eastAsia="it-IT"/>
              </w:rPr>
            </w:pPr>
            <w:r w:rsidRPr="3764D022">
              <w:rPr>
                <w:rFonts w:asciiTheme="minorHAnsi" w:hAnsiTheme="minorHAnsi" w:cstheme="minorBidi"/>
                <w:color w:val="000000" w:themeColor="text1"/>
                <w:sz w:val="18"/>
                <w:szCs w:val="18"/>
                <w:lang w:eastAsia="it-IT"/>
              </w:rPr>
              <w:t># of land use plans in place and regulations effectively implemented</w:t>
            </w:r>
          </w:p>
          <w:p w14:paraId="73206D5D" w14:textId="77777777" w:rsidR="00A42AC4" w:rsidRPr="00A42AC4" w:rsidRDefault="00A42AC4" w:rsidP="00A42AC4">
            <w:pPr>
              <w:rPr>
                <w:rFonts w:asciiTheme="minorHAnsi" w:hAnsiTheme="minorHAnsi" w:cstheme="minorHAnsi"/>
                <w:color w:val="000000"/>
                <w:sz w:val="18"/>
                <w:szCs w:val="18"/>
                <w:lang w:eastAsia="it-IT"/>
              </w:rPr>
            </w:pPr>
          </w:p>
          <w:p w14:paraId="3E1084DE" w14:textId="77777777" w:rsidR="00A42AC4" w:rsidRPr="00A42AC4" w:rsidRDefault="00A42AC4" w:rsidP="00A42AC4">
            <w:pPr>
              <w:rPr>
                <w:rFonts w:asciiTheme="minorHAnsi" w:hAnsiTheme="minorHAnsi" w:cstheme="minorHAnsi"/>
                <w:color w:val="000000"/>
                <w:sz w:val="18"/>
                <w:szCs w:val="18"/>
                <w:lang w:eastAsia="it-IT"/>
              </w:rPr>
            </w:pPr>
            <w:r w:rsidRPr="00A42AC4">
              <w:rPr>
                <w:rFonts w:asciiTheme="minorHAnsi" w:hAnsiTheme="minorHAnsi" w:cstheme="minorHAnsi"/>
                <w:color w:val="000000"/>
                <w:sz w:val="18"/>
                <w:szCs w:val="18"/>
                <w:lang w:eastAsia="it-IT"/>
              </w:rPr>
              <w:t># of communities with secure tenure</w:t>
            </w:r>
          </w:p>
          <w:p w14:paraId="1AC60AB3" w14:textId="77777777" w:rsidR="00A42AC4" w:rsidRPr="00A42AC4" w:rsidRDefault="00A42AC4" w:rsidP="00A42AC4">
            <w:pPr>
              <w:rPr>
                <w:rFonts w:asciiTheme="minorHAnsi" w:hAnsiTheme="minorHAnsi" w:cstheme="minorHAnsi"/>
                <w:color w:val="000000"/>
                <w:sz w:val="18"/>
                <w:szCs w:val="18"/>
                <w:lang w:eastAsia="it-IT"/>
              </w:rPr>
            </w:pPr>
            <w:r w:rsidRPr="00A42AC4">
              <w:rPr>
                <w:rFonts w:asciiTheme="minorHAnsi" w:hAnsiTheme="minorHAnsi" w:cstheme="minorHAnsi"/>
                <w:color w:val="000000"/>
                <w:sz w:val="18"/>
                <w:szCs w:val="18"/>
                <w:lang w:eastAsia="it-IT"/>
              </w:rPr>
              <w:t>rights to land, with legally</w:t>
            </w:r>
          </w:p>
          <w:p w14:paraId="3A952488" w14:textId="644CCCCA" w:rsidR="00A42AC4" w:rsidRPr="00A42AC4" w:rsidRDefault="32C62E96" w:rsidP="3764D022">
            <w:pPr>
              <w:rPr>
                <w:rFonts w:asciiTheme="minorHAnsi" w:hAnsiTheme="minorHAnsi" w:cstheme="minorBidi"/>
                <w:color w:val="000000"/>
                <w:sz w:val="18"/>
                <w:szCs w:val="18"/>
                <w:lang w:eastAsia="it-IT"/>
              </w:rPr>
            </w:pPr>
            <w:r w:rsidRPr="3764D022">
              <w:rPr>
                <w:rFonts w:asciiTheme="minorHAnsi" w:hAnsiTheme="minorHAnsi" w:cstheme="minorBidi"/>
                <w:color w:val="000000" w:themeColor="text1"/>
                <w:sz w:val="18"/>
                <w:szCs w:val="18"/>
                <w:lang w:eastAsia="it-IT"/>
              </w:rPr>
              <w:t>recognized documentation</w:t>
            </w:r>
            <w:r w:rsidR="59B4A51A" w:rsidRPr="3764D022">
              <w:rPr>
                <w:rFonts w:asciiTheme="minorHAnsi" w:hAnsiTheme="minorHAnsi" w:cstheme="minorBidi"/>
                <w:color w:val="000000" w:themeColor="text1"/>
                <w:sz w:val="18"/>
                <w:szCs w:val="18"/>
                <w:lang w:eastAsia="it-IT"/>
              </w:rPr>
              <w:t xml:space="preserve"> </w:t>
            </w:r>
            <w:r w:rsidRPr="3764D022">
              <w:rPr>
                <w:rFonts w:asciiTheme="minorHAnsi" w:hAnsiTheme="minorHAnsi" w:cstheme="minorBidi"/>
                <w:color w:val="000000" w:themeColor="text1"/>
                <w:sz w:val="18"/>
                <w:szCs w:val="18"/>
                <w:lang w:eastAsia="it-IT"/>
              </w:rPr>
              <w:t>(CCROs) and</w:t>
            </w:r>
          </w:p>
          <w:p w14:paraId="06A75565" w14:textId="77777777" w:rsidR="00A42AC4" w:rsidRPr="00A42AC4" w:rsidRDefault="00A42AC4" w:rsidP="00A42AC4">
            <w:pPr>
              <w:rPr>
                <w:rFonts w:asciiTheme="minorHAnsi" w:hAnsiTheme="minorHAnsi" w:cstheme="minorHAnsi"/>
                <w:color w:val="000000"/>
                <w:sz w:val="18"/>
                <w:szCs w:val="18"/>
                <w:lang w:eastAsia="it-IT"/>
              </w:rPr>
            </w:pPr>
            <w:r w:rsidRPr="00A42AC4">
              <w:rPr>
                <w:rFonts w:asciiTheme="minorHAnsi" w:hAnsiTheme="minorHAnsi" w:cstheme="minorHAnsi"/>
                <w:color w:val="000000"/>
                <w:sz w:val="18"/>
                <w:szCs w:val="18"/>
                <w:lang w:eastAsia="it-IT"/>
              </w:rPr>
              <w:t>who perceive their rights to land</w:t>
            </w:r>
          </w:p>
          <w:p w14:paraId="5C83AAF4" w14:textId="77777777" w:rsidR="00A42AC4" w:rsidRPr="00A42AC4" w:rsidRDefault="00A42AC4" w:rsidP="00A42AC4">
            <w:pPr>
              <w:rPr>
                <w:rFonts w:asciiTheme="minorHAnsi" w:hAnsiTheme="minorHAnsi" w:cstheme="minorHAnsi"/>
                <w:color w:val="000000"/>
                <w:sz w:val="18"/>
                <w:szCs w:val="18"/>
                <w:lang w:eastAsia="it-IT"/>
              </w:rPr>
            </w:pPr>
            <w:r w:rsidRPr="00A42AC4">
              <w:rPr>
                <w:rFonts w:asciiTheme="minorHAnsi" w:hAnsiTheme="minorHAnsi" w:cstheme="minorHAnsi"/>
                <w:color w:val="000000"/>
                <w:sz w:val="18"/>
                <w:szCs w:val="18"/>
                <w:lang w:eastAsia="it-IT"/>
              </w:rPr>
              <w:t>as secure, by sex and by type of</w:t>
            </w:r>
          </w:p>
          <w:p w14:paraId="42423360" w14:textId="77777777" w:rsidR="00A42AC4" w:rsidRPr="00A42AC4" w:rsidRDefault="00A42AC4" w:rsidP="00A42AC4">
            <w:pPr>
              <w:rPr>
                <w:rFonts w:asciiTheme="minorHAnsi" w:hAnsiTheme="minorHAnsi" w:cstheme="minorHAnsi"/>
                <w:color w:val="000000"/>
                <w:sz w:val="18"/>
                <w:szCs w:val="18"/>
                <w:lang w:eastAsia="it-IT"/>
              </w:rPr>
            </w:pPr>
            <w:r w:rsidRPr="00A42AC4">
              <w:rPr>
                <w:rFonts w:asciiTheme="minorHAnsi" w:hAnsiTheme="minorHAnsi" w:cstheme="minorHAnsi"/>
                <w:color w:val="000000"/>
                <w:sz w:val="18"/>
                <w:szCs w:val="18"/>
                <w:lang w:eastAsia="it-IT"/>
              </w:rPr>
              <w:t>tenure</w:t>
            </w:r>
          </w:p>
          <w:p w14:paraId="00B9B076" w14:textId="77777777" w:rsidR="00A42AC4" w:rsidRPr="00A42AC4" w:rsidRDefault="00A42AC4" w:rsidP="00A42AC4">
            <w:pPr>
              <w:rPr>
                <w:rFonts w:asciiTheme="minorHAnsi" w:hAnsiTheme="minorHAnsi" w:cstheme="minorHAnsi"/>
                <w:color w:val="000000"/>
                <w:sz w:val="18"/>
                <w:szCs w:val="18"/>
                <w:lang w:eastAsia="it-IT"/>
              </w:rPr>
            </w:pPr>
          </w:p>
          <w:p w14:paraId="6EB35663" w14:textId="77777777" w:rsidR="00A42AC4" w:rsidRPr="00A42AC4" w:rsidRDefault="00A42AC4" w:rsidP="00A42AC4">
            <w:pPr>
              <w:rPr>
                <w:rFonts w:asciiTheme="minorHAnsi" w:hAnsiTheme="minorHAnsi" w:cstheme="minorHAnsi"/>
                <w:color w:val="000000"/>
                <w:sz w:val="18"/>
                <w:szCs w:val="18"/>
                <w:lang w:eastAsia="it-IT"/>
              </w:rPr>
            </w:pPr>
            <w:r w:rsidRPr="00A42AC4">
              <w:rPr>
                <w:rFonts w:asciiTheme="minorHAnsi" w:hAnsiTheme="minorHAnsi" w:cstheme="minorHAnsi"/>
                <w:color w:val="000000"/>
                <w:sz w:val="18"/>
                <w:szCs w:val="18"/>
                <w:lang w:eastAsia="it-IT"/>
              </w:rPr>
              <w:t xml:space="preserve"># of land based conflicts resolved and # of people that have actively </w:t>
            </w:r>
            <w:r w:rsidRPr="00A42AC4">
              <w:rPr>
                <w:rFonts w:asciiTheme="minorHAnsi" w:hAnsiTheme="minorHAnsi" w:cstheme="minorHAnsi"/>
                <w:color w:val="000000"/>
                <w:sz w:val="18"/>
                <w:szCs w:val="18"/>
                <w:lang w:eastAsia="it-IT"/>
              </w:rPr>
              <w:lastRenderedPageBreak/>
              <w:t>participated in the conflict resolution activities (disaggregated by gender)</w:t>
            </w:r>
          </w:p>
          <w:p w14:paraId="710604A8" w14:textId="77777777" w:rsidR="00A42AC4" w:rsidRPr="00A42AC4" w:rsidRDefault="00A42AC4" w:rsidP="00A42AC4">
            <w:pPr>
              <w:rPr>
                <w:rFonts w:asciiTheme="minorHAnsi" w:hAnsiTheme="minorHAnsi" w:cstheme="minorHAnsi"/>
                <w:color w:val="000000"/>
                <w:sz w:val="18"/>
                <w:szCs w:val="18"/>
                <w:lang w:eastAsia="it-IT"/>
              </w:rPr>
            </w:pPr>
          </w:p>
          <w:p w14:paraId="0EED8D9B" w14:textId="77777777" w:rsidR="00A42AC4" w:rsidRPr="00A42AC4" w:rsidRDefault="00A42AC4" w:rsidP="00A42AC4">
            <w:pPr>
              <w:rPr>
                <w:rFonts w:asciiTheme="minorHAnsi" w:hAnsiTheme="minorHAnsi" w:cstheme="minorHAnsi"/>
                <w:color w:val="000000"/>
                <w:sz w:val="18"/>
                <w:szCs w:val="18"/>
                <w:lang w:eastAsia="it-IT"/>
              </w:rPr>
            </w:pPr>
          </w:p>
        </w:tc>
        <w:tc>
          <w:tcPr>
            <w:tcW w:w="0" w:type="auto"/>
          </w:tcPr>
          <w:p w14:paraId="4A5E2E6D" w14:textId="77777777" w:rsidR="00A42AC4" w:rsidRPr="00A42AC4" w:rsidRDefault="00A42AC4" w:rsidP="00A42AC4">
            <w:pPr>
              <w:rPr>
                <w:rFonts w:asciiTheme="minorHAnsi" w:hAnsiTheme="minorHAnsi" w:cstheme="minorHAnsi"/>
                <w:color w:val="000000"/>
                <w:sz w:val="18"/>
                <w:szCs w:val="18"/>
                <w:lang w:eastAsia="it-IT"/>
              </w:rPr>
            </w:pPr>
            <w:r w:rsidRPr="00A42AC4">
              <w:rPr>
                <w:rFonts w:asciiTheme="minorHAnsi" w:hAnsiTheme="minorHAnsi" w:cstheme="minorHAnsi"/>
                <w:color w:val="000000"/>
                <w:sz w:val="18"/>
                <w:szCs w:val="18"/>
                <w:lang w:eastAsia="it-IT"/>
              </w:rPr>
              <w:lastRenderedPageBreak/>
              <w:t>N/A</w:t>
            </w:r>
          </w:p>
        </w:tc>
      </w:tr>
      <w:tr w:rsidR="00B275E4" w:rsidRPr="00B275E4" w14:paraId="6915CC4D" w14:textId="77777777" w:rsidTr="7F4D7136">
        <w:tc>
          <w:tcPr>
            <w:tcW w:w="0" w:type="auto"/>
          </w:tcPr>
          <w:p w14:paraId="0968968B" w14:textId="77777777" w:rsidR="00A42AC4" w:rsidRPr="00A42AC4" w:rsidRDefault="00A42AC4" w:rsidP="00A42AC4">
            <w:pPr>
              <w:jc w:val="center"/>
              <w:rPr>
                <w:rFonts w:asciiTheme="minorHAnsi" w:hAnsiTheme="minorHAnsi" w:cstheme="minorHAnsi"/>
                <w:sz w:val="18"/>
                <w:szCs w:val="18"/>
                <w:lang w:eastAsia="it-IT"/>
              </w:rPr>
            </w:pPr>
            <w:r w:rsidRPr="00A42AC4">
              <w:rPr>
                <w:rFonts w:asciiTheme="minorHAnsi" w:hAnsiTheme="minorHAnsi" w:cstheme="minorHAnsi"/>
                <w:sz w:val="18"/>
                <w:szCs w:val="18"/>
                <w:lang w:eastAsia="it-IT"/>
              </w:rPr>
              <w:t xml:space="preserve">ESS 3 </w:t>
            </w:r>
          </w:p>
          <w:p w14:paraId="0C63FA36" w14:textId="77777777" w:rsidR="00A42AC4" w:rsidRPr="00A42AC4" w:rsidRDefault="00A42AC4" w:rsidP="00A42AC4">
            <w:pPr>
              <w:jc w:val="center"/>
              <w:rPr>
                <w:rFonts w:asciiTheme="minorHAnsi" w:hAnsiTheme="minorHAnsi" w:cstheme="minorHAnsi"/>
                <w:sz w:val="18"/>
                <w:szCs w:val="18"/>
                <w:lang w:eastAsia="it-IT"/>
              </w:rPr>
            </w:pPr>
            <w:r w:rsidRPr="00A42AC4">
              <w:rPr>
                <w:rFonts w:asciiTheme="minorHAnsi" w:hAnsiTheme="minorHAnsi" w:cstheme="minorHAnsi"/>
                <w:sz w:val="18"/>
                <w:szCs w:val="18"/>
                <w:lang w:eastAsia="it-IT"/>
              </w:rPr>
              <w:t>Plant and Genetic Resources for Food and Agriculture</w:t>
            </w:r>
          </w:p>
        </w:tc>
        <w:tc>
          <w:tcPr>
            <w:tcW w:w="0" w:type="auto"/>
          </w:tcPr>
          <w:p w14:paraId="7282A76E" w14:textId="77777777" w:rsidR="00A42AC4" w:rsidRPr="00A42AC4" w:rsidRDefault="00A42AC4" w:rsidP="00A42AC4">
            <w:pPr>
              <w:jc w:val="center"/>
              <w:rPr>
                <w:rFonts w:asciiTheme="minorHAnsi" w:hAnsiTheme="minorHAnsi" w:cstheme="minorHAnsi"/>
                <w:sz w:val="18"/>
                <w:szCs w:val="18"/>
                <w:lang w:eastAsia="it-IT"/>
              </w:rPr>
            </w:pPr>
            <w:r w:rsidRPr="00A42AC4">
              <w:rPr>
                <w:rFonts w:asciiTheme="minorHAnsi" w:hAnsiTheme="minorHAnsi" w:cstheme="minorHAnsi"/>
                <w:sz w:val="18"/>
                <w:szCs w:val="18"/>
                <w:lang w:eastAsia="it-IT"/>
              </w:rPr>
              <w:t xml:space="preserve">Moderate </w:t>
            </w:r>
          </w:p>
        </w:tc>
        <w:tc>
          <w:tcPr>
            <w:tcW w:w="0" w:type="auto"/>
          </w:tcPr>
          <w:p w14:paraId="195E218C" w14:textId="77777777" w:rsidR="00A42AC4" w:rsidRPr="00A42AC4" w:rsidRDefault="00A42AC4" w:rsidP="00A42AC4">
            <w:pPr>
              <w:spacing w:before="120" w:after="120"/>
              <w:jc w:val="both"/>
              <w:rPr>
                <w:rFonts w:asciiTheme="minorHAnsi" w:hAnsiTheme="minorHAnsi" w:cstheme="minorHAnsi"/>
                <w:sz w:val="18"/>
                <w:szCs w:val="18"/>
                <w:lang w:eastAsia="it-IT"/>
              </w:rPr>
            </w:pPr>
            <w:r w:rsidRPr="00A42AC4">
              <w:rPr>
                <w:rFonts w:asciiTheme="minorHAnsi" w:hAnsiTheme="minorHAnsi" w:cstheme="minorHAnsi"/>
                <w:sz w:val="18"/>
                <w:szCs w:val="18"/>
                <w:lang w:eastAsia="it-IT"/>
              </w:rPr>
              <w:t>As part of the integrated landscape management approach the project will promote sustainable agricultural intensification through the diversification of the agricultural production. The focus will be on drought tolerant, nitrogen fixing and soil stabilizing pulses (and other neglected and underutilized species/NUS) to increase resilience and productivity, strengthening sustainable local food systems and mitigating the negative effects of land degradation and climate change. `</w:t>
            </w:r>
          </w:p>
          <w:p w14:paraId="4B39B1A1" w14:textId="77777777" w:rsidR="00A42AC4" w:rsidRPr="00A42AC4" w:rsidRDefault="00A42AC4" w:rsidP="00A42AC4">
            <w:pPr>
              <w:spacing w:before="120" w:after="120"/>
              <w:jc w:val="both"/>
              <w:rPr>
                <w:rFonts w:asciiTheme="minorHAnsi" w:hAnsiTheme="minorHAnsi" w:cstheme="minorHAnsi"/>
                <w:sz w:val="18"/>
                <w:szCs w:val="18"/>
                <w:lang w:eastAsia="it-IT"/>
              </w:rPr>
            </w:pPr>
            <w:r w:rsidRPr="00A42AC4">
              <w:rPr>
                <w:rFonts w:asciiTheme="minorHAnsi" w:hAnsiTheme="minorHAnsi" w:cstheme="minorHAnsi"/>
                <w:sz w:val="18"/>
                <w:szCs w:val="18"/>
                <w:lang w:eastAsia="it-IT"/>
              </w:rPr>
              <w:t xml:space="preserve">Community Seed Banks (CSB) will serve as hubs where local communities can conserve and exchange seeds that can be used for diversifying the agricultural systems locally. The selected seeds and planting material will be largely derived from locally adapted crops and varieties and will be suitable to local conditions and preferences of farmers and consumers.  </w:t>
            </w:r>
          </w:p>
          <w:p w14:paraId="7F60490C" w14:textId="77777777" w:rsidR="00A42AC4" w:rsidRPr="00A42AC4" w:rsidRDefault="00A42AC4" w:rsidP="00A42AC4">
            <w:pPr>
              <w:spacing w:before="120" w:after="120"/>
              <w:jc w:val="both"/>
              <w:rPr>
                <w:rFonts w:asciiTheme="minorHAnsi" w:hAnsiTheme="minorHAnsi" w:cstheme="minorHAnsi"/>
                <w:sz w:val="18"/>
                <w:szCs w:val="18"/>
                <w:lang w:eastAsia="it-IT"/>
              </w:rPr>
            </w:pPr>
            <w:r w:rsidRPr="00A42AC4">
              <w:rPr>
                <w:rFonts w:asciiTheme="minorHAnsi" w:hAnsiTheme="minorHAnsi" w:cstheme="minorHAnsi"/>
                <w:sz w:val="18"/>
                <w:szCs w:val="18"/>
                <w:lang w:eastAsia="it-IT"/>
              </w:rPr>
              <w:t xml:space="preserve">The CSB and associated trainings will enable the targeted farmers and their families to conserve local varieties of their preference, multiply seeds, and distribute them within across farming communities. The CSB management will ensure that the seeds and planting materials are free from pests and diseases according to agreed norms, especially the IPPC. The transfer of seeds across borders will take place, if needed, following international regulations on plant health (IPPC) and access and benefit-sharing, for example through a Standard Material Transfer Agreement (SMTA). </w:t>
            </w:r>
          </w:p>
          <w:p w14:paraId="2BDF5037" w14:textId="77777777" w:rsidR="00A42AC4" w:rsidRPr="00A42AC4" w:rsidRDefault="00A42AC4" w:rsidP="00A42AC4">
            <w:pPr>
              <w:spacing w:before="120" w:after="120"/>
              <w:jc w:val="both"/>
              <w:rPr>
                <w:rFonts w:asciiTheme="minorHAnsi" w:hAnsiTheme="minorHAnsi" w:cstheme="minorHAnsi"/>
                <w:sz w:val="18"/>
                <w:szCs w:val="18"/>
                <w:lang w:eastAsia="it-IT"/>
              </w:rPr>
            </w:pPr>
            <w:r w:rsidRPr="00A42AC4">
              <w:rPr>
                <w:rFonts w:asciiTheme="minorHAnsi" w:hAnsiTheme="minorHAnsi" w:cstheme="minorHAnsi"/>
                <w:sz w:val="18"/>
                <w:szCs w:val="18"/>
                <w:lang w:eastAsia="it-IT"/>
              </w:rPr>
              <w:t xml:space="preserve">The project (with support of the Regional Exchange Mechanism) will further support communities’ increased access to genetic diversity and greater knowledge of their own national programmes, other countries and international organizations. </w:t>
            </w:r>
          </w:p>
          <w:p w14:paraId="31151563" w14:textId="77777777" w:rsidR="00A42AC4" w:rsidRPr="00A42AC4" w:rsidRDefault="00A42AC4" w:rsidP="00A42AC4">
            <w:pPr>
              <w:spacing w:before="120" w:after="120"/>
              <w:jc w:val="both"/>
              <w:rPr>
                <w:rFonts w:asciiTheme="minorHAnsi" w:hAnsiTheme="minorHAnsi" w:cstheme="minorHAnsi"/>
                <w:sz w:val="18"/>
                <w:szCs w:val="18"/>
                <w:lang w:eastAsia="it-IT"/>
              </w:rPr>
            </w:pPr>
            <w:r w:rsidRPr="00A42AC4">
              <w:rPr>
                <w:rFonts w:asciiTheme="minorHAnsi" w:hAnsiTheme="minorHAnsi" w:cstheme="minorHAnsi"/>
                <w:sz w:val="18"/>
                <w:szCs w:val="18"/>
                <w:lang w:eastAsia="it-IT"/>
              </w:rPr>
              <w:t xml:space="preserve">The project includes national level analysis on the policy and legal environment of target countries in relation to </w:t>
            </w:r>
            <w:r w:rsidRPr="00A42AC4">
              <w:rPr>
                <w:rFonts w:asciiTheme="minorHAnsi" w:hAnsiTheme="minorHAnsi" w:cstheme="minorHAnsi"/>
                <w:color w:val="000000"/>
                <w:sz w:val="18"/>
                <w:szCs w:val="18"/>
                <w:lang w:eastAsia="it-IT"/>
              </w:rPr>
              <w:t xml:space="preserve">access, benefit-sharing, conservation, use and exchange of seeds in </w:t>
            </w:r>
            <w:r w:rsidRPr="00A42AC4">
              <w:rPr>
                <w:rFonts w:asciiTheme="minorHAnsi" w:hAnsiTheme="minorHAnsi" w:cstheme="minorHAnsi"/>
                <w:sz w:val="18"/>
                <w:szCs w:val="18"/>
                <w:lang w:eastAsia="it-IT"/>
              </w:rPr>
              <w:t xml:space="preserve">order to ensure that CSBs activities complement, and operate within the </w:t>
            </w:r>
            <w:r w:rsidRPr="00A42AC4">
              <w:rPr>
                <w:rFonts w:asciiTheme="minorHAnsi" w:hAnsiTheme="minorHAnsi" w:cstheme="minorHAnsi"/>
                <w:sz w:val="18"/>
                <w:szCs w:val="18"/>
                <w:lang w:eastAsia="it-IT"/>
              </w:rPr>
              <w:lastRenderedPageBreak/>
              <w:t>regulatory context of target countries. As such, guidance will be provided within the context of the ITPGRFA and capacity development activities on Farmers’ Rights are key planned activities.</w:t>
            </w:r>
          </w:p>
          <w:p w14:paraId="10E254C7" w14:textId="77777777" w:rsidR="00A42AC4" w:rsidRPr="00A42AC4" w:rsidRDefault="00A42AC4" w:rsidP="00A42AC4">
            <w:pPr>
              <w:ind w:left="720"/>
              <w:rPr>
                <w:rFonts w:asciiTheme="minorHAnsi" w:hAnsiTheme="minorHAnsi" w:cstheme="minorHAnsi"/>
                <w:sz w:val="18"/>
                <w:szCs w:val="18"/>
                <w:lang w:eastAsia="it-IT"/>
              </w:rPr>
            </w:pPr>
          </w:p>
        </w:tc>
        <w:tc>
          <w:tcPr>
            <w:tcW w:w="0" w:type="auto"/>
          </w:tcPr>
          <w:p w14:paraId="55DB19A7" w14:textId="77777777" w:rsidR="00A42AC4" w:rsidRPr="00A42AC4" w:rsidRDefault="00A42AC4" w:rsidP="00A42AC4">
            <w:pPr>
              <w:rPr>
                <w:rFonts w:asciiTheme="minorHAnsi" w:hAnsiTheme="minorHAnsi" w:cstheme="minorHAnsi"/>
                <w:color w:val="000000"/>
                <w:sz w:val="18"/>
                <w:szCs w:val="18"/>
                <w:lang w:eastAsia="it-IT"/>
              </w:rPr>
            </w:pPr>
            <w:r w:rsidRPr="00A42AC4">
              <w:rPr>
                <w:rFonts w:asciiTheme="minorHAnsi" w:hAnsiTheme="minorHAnsi" w:cstheme="minorHAnsi"/>
                <w:color w:val="000000"/>
                <w:sz w:val="18"/>
                <w:szCs w:val="18"/>
                <w:lang w:eastAsia="it-IT"/>
              </w:rPr>
              <w:lastRenderedPageBreak/>
              <w:t># of smallholder farming households who are applying sustainable agricultural intensification and diversifying their production.</w:t>
            </w:r>
          </w:p>
          <w:p w14:paraId="517400D2" w14:textId="77777777" w:rsidR="00A42AC4" w:rsidRPr="00A42AC4" w:rsidRDefault="00A42AC4" w:rsidP="00A42AC4">
            <w:pPr>
              <w:rPr>
                <w:rFonts w:asciiTheme="minorHAnsi" w:hAnsiTheme="minorHAnsi" w:cstheme="minorHAnsi"/>
                <w:color w:val="000000"/>
                <w:sz w:val="18"/>
                <w:szCs w:val="18"/>
                <w:lang w:eastAsia="it-IT"/>
              </w:rPr>
            </w:pPr>
          </w:p>
          <w:p w14:paraId="6A505A5E" w14:textId="77777777" w:rsidR="00A42AC4" w:rsidRPr="00A42AC4" w:rsidRDefault="00A42AC4" w:rsidP="00A42AC4">
            <w:pPr>
              <w:rPr>
                <w:rFonts w:asciiTheme="minorHAnsi" w:hAnsiTheme="minorHAnsi" w:cstheme="minorHAnsi"/>
                <w:color w:val="000000"/>
                <w:sz w:val="18"/>
                <w:szCs w:val="18"/>
                <w:lang w:eastAsia="it-IT"/>
              </w:rPr>
            </w:pPr>
            <w:r w:rsidRPr="00A42AC4">
              <w:rPr>
                <w:rFonts w:asciiTheme="minorHAnsi" w:hAnsiTheme="minorHAnsi" w:cstheme="minorHAnsi"/>
                <w:color w:val="000000"/>
                <w:sz w:val="18"/>
                <w:szCs w:val="18"/>
                <w:lang w:eastAsia="it-IT"/>
              </w:rPr>
              <w:t># of farmers involved in CSB activities and benefiting in resources</w:t>
            </w:r>
          </w:p>
          <w:p w14:paraId="27A7BF70" w14:textId="77777777" w:rsidR="00A42AC4" w:rsidRPr="00A42AC4" w:rsidRDefault="00A42AC4" w:rsidP="00A42AC4">
            <w:pPr>
              <w:rPr>
                <w:rFonts w:asciiTheme="minorHAnsi" w:hAnsiTheme="minorHAnsi" w:cstheme="minorHAnsi"/>
                <w:color w:val="000000"/>
                <w:sz w:val="18"/>
                <w:szCs w:val="18"/>
                <w:lang w:eastAsia="it-IT"/>
              </w:rPr>
            </w:pPr>
          </w:p>
          <w:p w14:paraId="6967E5C1" w14:textId="77777777" w:rsidR="00A42AC4" w:rsidRPr="00A42AC4" w:rsidRDefault="00A42AC4" w:rsidP="00A42AC4">
            <w:pPr>
              <w:rPr>
                <w:rFonts w:asciiTheme="minorHAnsi" w:hAnsiTheme="minorHAnsi" w:cstheme="minorHAnsi"/>
                <w:color w:val="000000"/>
                <w:sz w:val="18"/>
                <w:szCs w:val="18"/>
                <w:lang w:eastAsia="it-IT"/>
              </w:rPr>
            </w:pPr>
            <w:r w:rsidRPr="00A42AC4">
              <w:rPr>
                <w:rFonts w:asciiTheme="minorHAnsi" w:hAnsiTheme="minorHAnsi" w:cstheme="minorHAnsi"/>
                <w:color w:val="000000"/>
                <w:sz w:val="18"/>
                <w:szCs w:val="18"/>
                <w:lang w:eastAsia="it-IT"/>
              </w:rPr>
              <w:t># of crops and varieties per crops conserved and exchanged through the CSB.</w:t>
            </w:r>
          </w:p>
          <w:p w14:paraId="51E6148C" w14:textId="77777777" w:rsidR="00A42AC4" w:rsidRPr="00A42AC4" w:rsidRDefault="00A42AC4" w:rsidP="00A42AC4">
            <w:pPr>
              <w:rPr>
                <w:rFonts w:asciiTheme="minorHAnsi" w:hAnsiTheme="minorHAnsi" w:cstheme="minorHAnsi"/>
                <w:color w:val="000000"/>
                <w:sz w:val="18"/>
                <w:szCs w:val="18"/>
                <w:lang w:eastAsia="it-IT"/>
              </w:rPr>
            </w:pPr>
          </w:p>
          <w:p w14:paraId="02AF2D3C" w14:textId="77777777" w:rsidR="00A42AC4" w:rsidRPr="00A42AC4" w:rsidRDefault="00A42AC4" w:rsidP="00A42AC4">
            <w:pPr>
              <w:rPr>
                <w:rFonts w:asciiTheme="minorHAnsi" w:hAnsiTheme="minorHAnsi" w:cstheme="minorHAnsi"/>
                <w:color w:val="000000"/>
                <w:sz w:val="18"/>
                <w:szCs w:val="18"/>
                <w:lang w:eastAsia="it-IT"/>
              </w:rPr>
            </w:pPr>
            <w:r w:rsidRPr="00A42AC4">
              <w:rPr>
                <w:rFonts w:asciiTheme="minorHAnsi" w:hAnsiTheme="minorHAnsi" w:cstheme="minorHAnsi"/>
                <w:color w:val="000000"/>
                <w:sz w:val="18"/>
                <w:szCs w:val="18"/>
                <w:lang w:eastAsia="it-IT"/>
              </w:rPr>
              <w:t xml:space="preserve"># of training beneficiaries (management of CSB and seed conservation, Participatory Plant Breeding (PPB), small-scale seed production and climate change adaptation strategies) </w:t>
            </w:r>
          </w:p>
          <w:p w14:paraId="1566F944" w14:textId="77777777" w:rsidR="00A42AC4" w:rsidRPr="00A42AC4" w:rsidRDefault="00A42AC4" w:rsidP="00A42AC4">
            <w:pPr>
              <w:rPr>
                <w:rFonts w:asciiTheme="minorHAnsi" w:hAnsiTheme="minorHAnsi" w:cstheme="minorHAnsi"/>
                <w:color w:val="000000"/>
                <w:sz w:val="18"/>
                <w:szCs w:val="18"/>
                <w:lang w:eastAsia="it-IT"/>
              </w:rPr>
            </w:pPr>
          </w:p>
          <w:p w14:paraId="2A756E76" w14:textId="77777777" w:rsidR="00A42AC4" w:rsidRPr="00A42AC4" w:rsidRDefault="00A42AC4" w:rsidP="00A42AC4">
            <w:pPr>
              <w:rPr>
                <w:rFonts w:asciiTheme="minorHAnsi" w:hAnsiTheme="minorHAnsi" w:cstheme="minorHAnsi"/>
                <w:color w:val="000000"/>
                <w:sz w:val="18"/>
                <w:szCs w:val="18"/>
                <w:lang w:eastAsia="it-IT"/>
              </w:rPr>
            </w:pPr>
            <w:r w:rsidRPr="00A42AC4">
              <w:rPr>
                <w:rFonts w:asciiTheme="minorHAnsi" w:hAnsiTheme="minorHAnsi" w:cstheme="minorHAnsi"/>
                <w:color w:val="000000"/>
                <w:sz w:val="18"/>
                <w:szCs w:val="18"/>
                <w:lang w:eastAsia="it-IT"/>
              </w:rPr>
              <w:t xml:space="preserve">National level analysis and recommendations produced on policy and legal environment in relation to access and benefit-sharing, conservation, use and exchange of germplasm.  </w:t>
            </w:r>
          </w:p>
          <w:p w14:paraId="761B7DA7" w14:textId="77777777" w:rsidR="00A42AC4" w:rsidRPr="00A42AC4" w:rsidRDefault="00A42AC4" w:rsidP="00A42AC4">
            <w:pPr>
              <w:rPr>
                <w:rFonts w:asciiTheme="minorHAnsi" w:hAnsiTheme="minorHAnsi" w:cstheme="minorHAnsi"/>
                <w:color w:val="000000"/>
                <w:sz w:val="18"/>
                <w:szCs w:val="18"/>
                <w:lang w:eastAsia="it-IT"/>
              </w:rPr>
            </w:pPr>
          </w:p>
          <w:p w14:paraId="17B0793D" w14:textId="77777777" w:rsidR="00A42AC4" w:rsidRPr="00A42AC4" w:rsidRDefault="00A42AC4" w:rsidP="00A42AC4">
            <w:pPr>
              <w:rPr>
                <w:rFonts w:asciiTheme="minorHAnsi" w:hAnsiTheme="minorHAnsi" w:cstheme="minorHAnsi"/>
                <w:color w:val="000000"/>
                <w:sz w:val="18"/>
                <w:szCs w:val="18"/>
                <w:lang w:eastAsia="it-IT"/>
              </w:rPr>
            </w:pPr>
            <w:r w:rsidRPr="00A42AC4">
              <w:rPr>
                <w:rFonts w:asciiTheme="minorHAnsi" w:hAnsiTheme="minorHAnsi" w:cstheme="minorHAnsi"/>
                <w:color w:val="000000"/>
                <w:sz w:val="18"/>
                <w:szCs w:val="18"/>
                <w:lang w:eastAsia="it-IT"/>
              </w:rPr>
              <w:t># of training beneficiaries on the mutual implementation of ITPGRFA and Nagoya Protocol and national implementation of Farmers’ Rights)</w:t>
            </w:r>
          </w:p>
          <w:p w14:paraId="6827DF84" w14:textId="77777777" w:rsidR="00A42AC4" w:rsidRPr="00A42AC4" w:rsidRDefault="00A42AC4" w:rsidP="00A42AC4">
            <w:pPr>
              <w:rPr>
                <w:rFonts w:asciiTheme="minorHAnsi" w:hAnsiTheme="minorHAnsi" w:cstheme="minorHAnsi"/>
                <w:sz w:val="18"/>
                <w:szCs w:val="18"/>
                <w:lang w:eastAsia="it-IT"/>
              </w:rPr>
            </w:pPr>
          </w:p>
        </w:tc>
        <w:tc>
          <w:tcPr>
            <w:tcW w:w="0" w:type="auto"/>
          </w:tcPr>
          <w:p w14:paraId="5CB6BA4C" w14:textId="77777777" w:rsidR="00A42AC4" w:rsidRPr="00A42AC4" w:rsidRDefault="00A42AC4" w:rsidP="00A42AC4">
            <w:pPr>
              <w:rPr>
                <w:rFonts w:asciiTheme="minorHAnsi" w:hAnsiTheme="minorHAnsi" w:cstheme="minorHAnsi"/>
                <w:sz w:val="18"/>
                <w:szCs w:val="18"/>
                <w:lang w:eastAsia="it-IT"/>
              </w:rPr>
            </w:pPr>
            <w:r w:rsidRPr="00A42AC4">
              <w:rPr>
                <w:rFonts w:asciiTheme="minorHAnsi" w:hAnsiTheme="minorHAnsi" w:cstheme="minorHAnsi"/>
                <w:sz w:val="18"/>
                <w:szCs w:val="18"/>
                <w:lang w:eastAsia="it-IT"/>
              </w:rPr>
              <w:t>N/A</w:t>
            </w:r>
          </w:p>
        </w:tc>
      </w:tr>
    </w:tbl>
    <w:p w14:paraId="176221D5" w14:textId="77777777" w:rsidR="00555104" w:rsidRDefault="00555104" w:rsidP="00555104"/>
    <w:p w14:paraId="0B531E26" w14:textId="62D9F24D" w:rsidR="00555104" w:rsidRPr="00447E0C" w:rsidRDefault="00555104" w:rsidP="00555104">
      <w:pPr>
        <w:pStyle w:val="Heading3"/>
        <w:shd w:val="clear" w:color="auto" w:fill="FFFFFF" w:themeFill="background1"/>
        <w:spacing w:before="240" w:after="160"/>
        <w:jc w:val="left"/>
        <w:rPr>
          <w:rFonts w:ascii="Calibri" w:hAnsi="Calibri" w:cs="Calibri"/>
          <w:bCs/>
          <w:color w:val="FFFFFF" w:themeColor="background1"/>
          <w:sz w:val="22"/>
          <w:szCs w:val="22"/>
          <w:highlight w:val="black"/>
        </w:rPr>
      </w:pPr>
      <w:r w:rsidRPr="00447E0C">
        <w:rPr>
          <w:rFonts w:ascii="Calibri" w:hAnsi="Calibri" w:cs="Calibri"/>
          <w:bCs/>
          <w:color w:val="FFFFFF" w:themeColor="background1"/>
          <w:sz w:val="22"/>
          <w:szCs w:val="22"/>
          <w:highlight w:val="black"/>
        </w:rPr>
        <w:t xml:space="preserve">Section </w:t>
      </w:r>
      <w:r>
        <w:rPr>
          <w:rFonts w:ascii="Calibri" w:hAnsi="Calibri" w:cs="Calibri"/>
          <w:bCs/>
          <w:color w:val="FFFFFF" w:themeColor="background1"/>
          <w:sz w:val="22"/>
          <w:szCs w:val="22"/>
          <w:highlight w:val="black"/>
        </w:rPr>
        <w:t>C</w:t>
      </w:r>
      <w:r w:rsidRPr="00447E0C">
        <w:rPr>
          <w:rFonts w:ascii="Calibri" w:hAnsi="Calibri" w:cs="Calibri"/>
          <w:bCs/>
          <w:color w:val="FFFFFF" w:themeColor="background1"/>
          <w:sz w:val="22"/>
          <w:szCs w:val="22"/>
          <w:highlight w:val="black"/>
        </w:rPr>
        <w:t xml:space="preserve">: </w:t>
      </w:r>
      <w:r w:rsidR="00163EF2">
        <w:rPr>
          <w:rFonts w:ascii="Calibri" w:hAnsi="Calibri" w:cs="Calibri"/>
          <w:bCs/>
          <w:color w:val="FFFFFF" w:themeColor="background1"/>
          <w:sz w:val="22"/>
          <w:szCs w:val="22"/>
          <w:highlight w:val="black"/>
        </w:rPr>
        <w:t>COVID19</w:t>
      </w:r>
    </w:p>
    <w:p w14:paraId="6E1D678B" w14:textId="77777777" w:rsidR="009951E0" w:rsidRPr="009951E0" w:rsidRDefault="009951E0" w:rsidP="001667C6">
      <w:pPr>
        <w:pStyle w:val="ParagraphOED"/>
        <w:numPr>
          <w:ilvl w:val="0"/>
          <w:numId w:val="102"/>
        </w:numPr>
        <w:spacing w:after="160"/>
      </w:pPr>
      <w:r>
        <w:t>The first cases of Covid-19 in Angola were registered from passengers that landed in Angola on 16Th and 17th March. on 27th March the government declared an emergency state that imposed restrictions on mobility and in the economy. On 26th May the government declared the calamity state reducing the restriction measures. The epicenter of the cases is in capital Luanda that is in the sanitary fence. The number of cases in the other provinces is very low compared with Lunada. The number of cases has been increasing daily. By November the country registered 11.813 cases among which 6.251 active, 5.266 recovered, 296 dead.</w:t>
      </w:r>
    </w:p>
    <w:p w14:paraId="7F63A3D6" w14:textId="77777777" w:rsidR="009951E0" w:rsidRPr="009951E0" w:rsidRDefault="009951E0" w:rsidP="001667C6">
      <w:pPr>
        <w:pStyle w:val="ParagraphOED"/>
        <w:numPr>
          <w:ilvl w:val="0"/>
          <w:numId w:val="102"/>
        </w:numPr>
        <w:spacing w:after="160"/>
      </w:pPr>
      <w:r>
        <w:t>As other countries, Angola's economy is not immune to the harmful effects of COVID-19, especially because it is very dependent of importations of goods and services. The outbreak of the COVID-19 pandemic has significantly slowed down economic activity and created uncertainties in the short- and medium-term outlook of the Angola economy. It has affected economic activities through both demand and supply-side shocks.  On the demand side, the containment efforts and the consequent policy actions, such as physical distancing and lockdowns, have led to reduced demand for Angolan commodities both domestically and internationally. On the supply side the labour force remained at home to prevent infection and spread of the virus, this led to a decline in domestic economic activities.</w:t>
      </w:r>
    </w:p>
    <w:p w14:paraId="5CCABC1C" w14:textId="77777777" w:rsidR="009951E0" w:rsidRPr="009951E0" w:rsidRDefault="009951E0" w:rsidP="001667C6">
      <w:pPr>
        <w:pStyle w:val="ParagraphOED"/>
        <w:numPr>
          <w:ilvl w:val="0"/>
          <w:numId w:val="102"/>
        </w:numPr>
        <w:spacing w:after="160"/>
      </w:pPr>
      <w:r>
        <w:t>Angola is facing an economic crisis that started in 2014 years and up to here has been weakened and its growth has been slowed down because of: 1). reduction of the price of oil in international markets, which is its main source of financial resources through exportation.; 2). The drought and low level of agricultural production which exacerbated food and livelihood insecurity for the communities across the country. The pandemic is expected to disproportionately affect vulnerable groups. It is exposing and deepening previously existing vulnerabilities such as poverty, inequality, unemployment and overall human insecurity.</w:t>
      </w:r>
    </w:p>
    <w:p w14:paraId="025DEF5F" w14:textId="29A0398D" w:rsidR="009951E0" w:rsidRPr="009951E0" w:rsidRDefault="009951E0" w:rsidP="001667C6">
      <w:pPr>
        <w:pStyle w:val="ParagraphOED"/>
        <w:numPr>
          <w:ilvl w:val="0"/>
          <w:numId w:val="102"/>
        </w:numPr>
        <w:spacing w:after="160"/>
      </w:pPr>
      <w:r w:rsidRPr="009951E0">
        <w:t xml:space="preserve">The government is taking measures to recovery from the pandemic impacts. Among these measures are health and economic measures. </w:t>
      </w:r>
      <w:r w:rsidR="48070069" w:rsidRPr="00B417DC">
        <w:rPr>
          <w:highlight w:val="yellow"/>
        </w:rPr>
        <w:t>As explained in the baseline,</w:t>
      </w:r>
      <w:r w:rsidR="6AEC5C25" w:rsidRPr="00B417DC">
        <w:rPr>
          <w:highlight w:val="yellow"/>
        </w:rPr>
        <w:t xml:space="preserve"> </w:t>
      </w:r>
      <w:r w:rsidR="6AEC5C25" w:rsidRPr="00B417DC">
        <w:rPr>
          <w:sz w:val="22"/>
          <w:szCs w:val="22"/>
          <w:highlight w:val="yellow"/>
        </w:rPr>
        <w:t xml:space="preserve"> the Government of Angola launched in April 2020 a Presidential Decree (98/20) to support families, enterprises and informal economy sector affected by COVID</w:t>
      </w:r>
      <w:r w:rsidR="12F37ABD" w:rsidRPr="00B417DC">
        <w:rPr>
          <w:sz w:val="22"/>
          <w:szCs w:val="22"/>
          <w:highlight w:val="yellow"/>
        </w:rPr>
        <w:t xml:space="preserve"> –</w:t>
      </w:r>
      <w:r w:rsidR="6AEC5C25" w:rsidRPr="00B417DC">
        <w:rPr>
          <w:sz w:val="22"/>
          <w:szCs w:val="22"/>
          <w:highlight w:val="yellow"/>
        </w:rPr>
        <w:t>19</w:t>
      </w:r>
      <w:r w:rsidR="7F378477" w:rsidRPr="00B417DC">
        <w:rPr>
          <w:sz w:val="22"/>
          <w:szCs w:val="22"/>
          <w:highlight w:val="yellow"/>
        </w:rPr>
        <w:t xml:space="preserve"> </w:t>
      </w:r>
      <w:r w:rsidR="27F369B6" w:rsidRPr="00B417DC">
        <w:rPr>
          <w:sz w:val="22"/>
          <w:szCs w:val="22"/>
          <w:highlight w:val="yellow"/>
        </w:rPr>
        <w:t xml:space="preserve">with </w:t>
      </w:r>
      <w:r w:rsidR="6AEC5C25" w:rsidRPr="00B417DC">
        <w:rPr>
          <w:sz w:val="22"/>
          <w:szCs w:val="22"/>
          <w:highlight w:val="yellow"/>
        </w:rPr>
        <w:t xml:space="preserve"> TAX reduction and access to financial mechanisms. Additionally, the “Family farming and fisheries Acceleration Integrated Program (PIAAPF)” launched by Ministry of Agriculture and Fisheries in June 2020</w:t>
      </w:r>
      <w:r w:rsidR="55419057" w:rsidRPr="00B417DC">
        <w:rPr>
          <w:sz w:val="22"/>
          <w:szCs w:val="22"/>
          <w:highlight w:val="yellow"/>
        </w:rPr>
        <w:t xml:space="preserve"> and with a budget of 450 Million US$</w:t>
      </w:r>
      <w:r w:rsidR="6AEC5C25" w:rsidRPr="00B417DC">
        <w:rPr>
          <w:sz w:val="22"/>
          <w:szCs w:val="22"/>
          <w:highlight w:val="yellow"/>
        </w:rPr>
        <w:t>, is aimed to support family farming in 3 areas: Support Value chains to increase production, strengthen human resources and support agriculture inputs sectors.</w:t>
      </w:r>
      <w:r w:rsidR="6AEC5C25" w:rsidRPr="3260A9D8">
        <w:rPr>
          <w:sz w:val="22"/>
          <w:szCs w:val="22"/>
        </w:rPr>
        <w:t xml:space="preserve"> </w:t>
      </w:r>
    </w:p>
    <w:p w14:paraId="1160A2E7" w14:textId="25586A69" w:rsidR="009951E0" w:rsidRPr="009951E0" w:rsidRDefault="3DE13AC4" w:rsidP="001667C6">
      <w:pPr>
        <w:pStyle w:val="ParagraphOED"/>
        <w:numPr>
          <w:ilvl w:val="0"/>
          <w:numId w:val="102"/>
        </w:numPr>
        <w:spacing w:after="160"/>
      </w:pPr>
      <w:r>
        <w:t>I</w:t>
      </w:r>
      <w:r w:rsidR="34CBD2AA">
        <w:t>t is also worth to mention that due to COVID-19,</w:t>
      </w:r>
      <w:r w:rsidR="009951E0">
        <w:t xml:space="preserve"> implications on the DSL project in Angola, for example the already identified co-financing for which the big share is coming from the government could be affected. </w:t>
      </w:r>
    </w:p>
    <w:tbl>
      <w:tblPr>
        <w:tblStyle w:val="TableGrid"/>
        <w:tblpPr w:leftFromText="180" w:rightFromText="180" w:vertAnchor="text" w:horzAnchor="margin" w:tblpXSpec="center" w:tblpY="193"/>
        <w:tblW w:w="5630" w:type="pct"/>
        <w:tblLook w:val="04A0" w:firstRow="1" w:lastRow="0" w:firstColumn="1" w:lastColumn="0" w:noHBand="0" w:noVBand="1"/>
      </w:tblPr>
      <w:tblGrid>
        <w:gridCol w:w="1470"/>
        <w:gridCol w:w="3647"/>
        <w:gridCol w:w="5035"/>
      </w:tblGrid>
      <w:tr w:rsidR="009951E0" w:rsidRPr="00EE6128" w14:paraId="2482471E" w14:textId="77777777" w:rsidTr="3764D022">
        <w:tc>
          <w:tcPr>
            <w:tcW w:w="724" w:type="pct"/>
          </w:tcPr>
          <w:p w14:paraId="43562F4A" w14:textId="77777777" w:rsidR="009951E0" w:rsidRPr="0000721D" w:rsidRDefault="009951E0" w:rsidP="000D7904">
            <w:pPr>
              <w:jc w:val="center"/>
              <w:rPr>
                <w:rFonts w:asciiTheme="minorHAnsi" w:hAnsiTheme="minorHAnsi" w:cstheme="minorHAnsi"/>
                <w:b/>
                <w:i/>
                <w:sz w:val="21"/>
                <w:szCs w:val="21"/>
              </w:rPr>
            </w:pPr>
            <w:r w:rsidRPr="0000721D">
              <w:rPr>
                <w:rFonts w:asciiTheme="minorHAnsi" w:hAnsiTheme="minorHAnsi" w:cstheme="minorHAnsi"/>
                <w:b/>
                <w:i/>
                <w:sz w:val="21"/>
                <w:szCs w:val="21"/>
              </w:rPr>
              <w:t xml:space="preserve">Category </w:t>
            </w:r>
          </w:p>
        </w:tc>
        <w:tc>
          <w:tcPr>
            <w:tcW w:w="1796" w:type="pct"/>
          </w:tcPr>
          <w:p w14:paraId="5C610CA3" w14:textId="77777777" w:rsidR="009951E0" w:rsidRPr="0000721D" w:rsidRDefault="009951E0" w:rsidP="000D7904">
            <w:pPr>
              <w:jc w:val="center"/>
              <w:rPr>
                <w:rFonts w:asciiTheme="minorHAnsi" w:hAnsiTheme="minorHAnsi" w:cstheme="minorHAnsi"/>
                <w:b/>
                <w:i/>
                <w:sz w:val="21"/>
                <w:szCs w:val="21"/>
              </w:rPr>
            </w:pPr>
            <w:r w:rsidRPr="0000721D">
              <w:rPr>
                <w:rFonts w:asciiTheme="minorHAnsi" w:hAnsiTheme="minorHAnsi" w:cstheme="minorHAnsi"/>
                <w:b/>
                <w:i/>
                <w:sz w:val="21"/>
                <w:szCs w:val="21"/>
              </w:rPr>
              <w:t>Risks</w:t>
            </w:r>
          </w:p>
        </w:tc>
        <w:tc>
          <w:tcPr>
            <w:tcW w:w="2480" w:type="pct"/>
          </w:tcPr>
          <w:p w14:paraId="122EB27E" w14:textId="77777777" w:rsidR="009951E0" w:rsidRPr="0000721D" w:rsidRDefault="009951E0" w:rsidP="000D7904">
            <w:pPr>
              <w:rPr>
                <w:rFonts w:asciiTheme="minorHAnsi" w:hAnsiTheme="minorHAnsi" w:cstheme="minorHAnsi"/>
                <w:b/>
                <w:i/>
                <w:sz w:val="21"/>
                <w:szCs w:val="21"/>
              </w:rPr>
            </w:pPr>
            <w:r w:rsidRPr="0000721D">
              <w:rPr>
                <w:rFonts w:asciiTheme="minorHAnsi" w:hAnsiTheme="minorHAnsi" w:cstheme="minorHAnsi"/>
                <w:b/>
                <w:i/>
                <w:sz w:val="21"/>
                <w:szCs w:val="21"/>
              </w:rPr>
              <w:t xml:space="preserve">Measures </w:t>
            </w:r>
          </w:p>
        </w:tc>
      </w:tr>
      <w:tr w:rsidR="009951E0" w:rsidRPr="00EE6128" w14:paraId="546BE4A4" w14:textId="77777777" w:rsidTr="3764D022">
        <w:tc>
          <w:tcPr>
            <w:tcW w:w="5000" w:type="pct"/>
            <w:gridSpan w:val="3"/>
            <w:shd w:val="clear" w:color="auto" w:fill="D0CECE" w:themeFill="background2" w:themeFillShade="E6"/>
          </w:tcPr>
          <w:p w14:paraId="34EF1E58" w14:textId="77777777" w:rsidR="009951E0" w:rsidRPr="0000721D" w:rsidRDefault="009951E0" w:rsidP="000D7904">
            <w:pPr>
              <w:rPr>
                <w:rFonts w:asciiTheme="minorHAnsi" w:hAnsiTheme="minorHAnsi" w:cstheme="minorHAnsi"/>
                <w:b/>
                <w:sz w:val="21"/>
                <w:szCs w:val="21"/>
              </w:rPr>
            </w:pPr>
            <w:r w:rsidRPr="0000721D">
              <w:rPr>
                <w:rFonts w:asciiTheme="minorHAnsi" w:hAnsiTheme="minorHAnsi" w:cstheme="minorHAnsi"/>
                <w:b/>
                <w:sz w:val="21"/>
                <w:szCs w:val="21"/>
              </w:rPr>
              <w:t>Implications at national level</w:t>
            </w:r>
          </w:p>
        </w:tc>
      </w:tr>
      <w:tr w:rsidR="009951E0" w:rsidRPr="00EE6128" w14:paraId="04ACCC73" w14:textId="77777777" w:rsidTr="3764D022">
        <w:tc>
          <w:tcPr>
            <w:tcW w:w="724" w:type="pct"/>
          </w:tcPr>
          <w:p w14:paraId="4A2F5D24" w14:textId="77777777" w:rsidR="009951E0" w:rsidRPr="0000721D" w:rsidRDefault="009951E0" w:rsidP="000D7904">
            <w:pPr>
              <w:rPr>
                <w:rFonts w:asciiTheme="minorHAnsi" w:hAnsiTheme="minorHAnsi" w:cstheme="minorHAnsi"/>
                <w:sz w:val="21"/>
                <w:szCs w:val="21"/>
              </w:rPr>
            </w:pPr>
            <w:r w:rsidRPr="0000721D">
              <w:rPr>
                <w:rFonts w:asciiTheme="minorHAnsi" w:hAnsiTheme="minorHAnsi" w:cstheme="minorHAnsi"/>
                <w:sz w:val="21"/>
                <w:szCs w:val="21"/>
              </w:rPr>
              <w:t xml:space="preserve">Short to medium term </w:t>
            </w:r>
          </w:p>
        </w:tc>
        <w:tc>
          <w:tcPr>
            <w:tcW w:w="1796" w:type="pct"/>
          </w:tcPr>
          <w:p w14:paraId="161507B2" w14:textId="77777777" w:rsidR="009951E0" w:rsidRPr="0000721D" w:rsidRDefault="009951E0" w:rsidP="001667C6">
            <w:pPr>
              <w:numPr>
                <w:ilvl w:val="0"/>
                <w:numId w:val="93"/>
              </w:numPr>
              <w:contextualSpacing/>
              <w:rPr>
                <w:rFonts w:asciiTheme="minorHAnsi" w:hAnsiTheme="minorHAnsi" w:cstheme="minorHAnsi"/>
                <w:sz w:val="21"/>
                <w:szCs w:val="21"/>
              </w:rPr>
            </w:pPr>
            <w:r w:rsidRPr="0000721D">
              <w:rPr>
                <w:rFonts w:asciiTheme="minorHAnsi" w:hAnsiTheme="minorHAnsi" w:cstheme="minorHAnsi"/>
                <w:sz w:val="21"/>
                <w:szCs w:val="21"/>
              </w:rPr>
              <w:t xml:space="preserve">Reduced financial (co-financing) support from Government, development partners, and private sector, due to limited overall </w:t>
            </w:r>
            <w:r w:rsidRPr="0000721D">
              <w:rPr>
                <w:rFonts w:asciiTheme="minorHAnsi" w:hAnsiTheme="minorHAnsi" w:cstheme="minorHAnsi"/>
                <w:sz w:val="21"/>
                <w:szCs w:val="21"/>
              </w:rPr>
              <w:lastRenderedPageBreak/>
              <w:t>funding availability resulting from the COVID-19 related economic downturn, and/or the diverting of available funding to actions directly related to COVID-19</w:t>
            </w:r>
          </w:p>
          <w:p w14:paraId="3FD4F46E" w14:textId="73C4DEDF" w:rsidR="009951E0" w:rsidRPr="0000721D" w:rsidRDefault="175B4C12" w:rsidP="001667C6">
            <w:pPr>
              <w:numPr>
                <w:ilvl w:val="0"/>
                <w:numId w:val="93"/>
              </w:numPr>
              <w:contextualSpacing/>
              <w:jc w:val="both"/>
              <w:rPr>
                <w:rFonts w:asciiTheme="minorHAnsi" w:hAnsiTheme="minorHAnsi" w:cstheme="minorBidi"/>
                <w:sz w:val="21"/>
                <w:szCs w:val="21"/>
              </w:rPr>
            </w:pPr>
            <w:r w:rsidRPr="3764D022">
              <w:rPr>
                <w:rFonts w:asciiTheme="minorHAnsi" w:hAnsiTheme="minorHAnsi" w:cstheme="minorBidi"/>
                <w:sz w:val="21"/>
                <w:szCs w:val="21"/>
              </w:rPr>
              <w:t xml:space="preserve">Government budget and expenditure and prioritization of different programs and sectors, including agriculture, food security and natural resources might change as results for diverting funds to pressing health matters. </w:t>
            </w:r>
          </w:p>
        </w:tc>
        <w:tc>
          <w:tcPr>
            <w:tcW w:w="2480" w:type="pct"/>
          </w:tcPr>
          <w:p w14:paraId="67B205B6" w14:textId="77777777" w:rsidR="009951E0" w:rsidRPr="0000721D" w:rsidRDefault="009951E0" w:rsidP="001667C6">
            <w:pPr>
              <w:numPr>
                <w:ilvl w:val="0"/>
                <w:numId w:val="93"/>
              </w:numPr>
              <w:contextualSpacing/>
              <w:rPr>
                <w:rFonts w:asciiTheme="minorHAnsi" w:hAnsiTheme="minorHAnsi" w:cstheme="minorHAnsi"/>
                <w:sz w:val="21"/>
                <w:szCs w:val="21"/>
              </w:rPr>
            </w:pPr>
            <w:r w:rsidRPr="0000721D">
              <w:rPr>
                <w:rFonts w:asciiTheme="minorHAnsi" w:hAnsiTheme="minorHAnsi" w:cstheme="minorHAnsi"/>
                <w:sz w:val="21"/>
                <w:szCs w:val="21"/>
              </w:rPr>
              <w:lastRenderedPageBreak/>
              <w:t xml:space="preserve">If there are changes in co-finance, then partners to work closely to seek alternative options for co-financing and ensure continuity of resource </w:t>
            </w:r>
            <w:r w:rsidRPr="0000721D">
              <w:rPr>
                <w:rFonts w:asciiTheme="minorHAnsi" w:hAnsiTheme="minorHAnsi" w:cstheme="minorHAnsi"/>
                <w:sz w:val="21"/>
                <w:szCs w:val="21"/>
              </w:rPr>
              <w:lastRenderedPageBreak/>
              <w:t xml:space="preserve">allocation to ongoing initiatives in project target areas. </w:t>
            </w:r>
          </w:p>
          <w:p w14:paraId="33920A95" w14:textId="34DE59F1" w:rsidR="009951E0" w:rsidRPr="0000721D" w:rsidRDefault="175B4C12" w:rsidP="001667C6">
            <w:pPr>
              <w:numPr>
                <w:ilvl w:val="0"/>
                <w:numId w:val="93"/>
              </w:numPr>
              <w:contextualSpacing/>
              <w:rPr>
                <w:rFonts w:asciiTheme="minorHAnsi" w:hAnsiTheme="minorHAnsi" w:cstheme="minorBidi"/>
                <w:sz w:val="21"/>
                <w:szCs w:val="21"/>
              </w:rPr>
            </w:pPr>
            <w:r w:rsidRPr="3764D022">
              <w:rPr>
                <w:rFonts w:asciiTheme="minorHAnsi" w:hAnsiTheme="minorHAnsi" w:cstheme="minorBidi"/>
                <w:sz w:val="21"/>
                <w:szCs w:val="21"/>
              </w:rPr>
              <w:t xml:space="preserve">It is expected that the project activities will support the Government’s interventions </w:t>
            </w:r>
            <w:r w:rsidR="4EAFC84E" w:rsidRPr="00B417DC">
              <w:rPr>
                <w:rFonts w:asciiTheme="minorHAnsi" w:hAnsiTheme="minorHAnsi" w:cstheme="minorBidi"/>
                <w:sz w:val="21"/>
                <w:szCs w:val="21"/>
                <w:highlight w:val="yellow"/>
              </w:rPr>
              <w:t>(</w:t>
            </w:r>
            <w:r w:rsidR="4EAFC84E">
              <w:rPr>
                <w:rFonts w:asciiTheme="minorHAnsi" w:hAnsiTheme="minorHAnsi" w:cstheme="minorBidi"/>
                <w:sz w:val="21"/>
                <w:szCs w:val="21"/>
                <w:highlight w:val="yellow"/>
              </w:rPr>
              <w:t>e.</w:t>
            </w:r>
            <w:r w:rsidR="00B417DC">
              <w:rPr>
                <w:rFonts w:asciiTheme="minorHAnsi" w:hAnsiTheme="minorHAnsi" w:cstheme="minorBidi"/>
                <w:sz w:val="21"/>
                <w:szCs w:val="21"/>
                <w:highlight w:val="yellow"/>
              </w:rPr>
              <w:t>g.</w:t>
            </w:r>
            <w:r w:rsidR="4EAFC84E" w:rsidRPr="00B417DC">
              <w:rPr>
                <w:rFonts w:asciiTheme="minorHAnsi" w:hAnsiTheme="minorHAnsi" w:cstheme="minorBidi"/>
                <w:sz w:val="21"/>
                <w:szCs w:val="21"/>
                <w:highlight w:val="yellow"/>
              </w:rPr>
              <w:t xml:space="preserve"> PIAAF)</w:t>
            </w:r>
            <w:r w:rsidR="3A01D3AE" w:rsidRPr="3260A9D8">
              <w:rPr>
                <w:rFonts w:asciiTheme="minorHAnsi" w:hAnsiTheme="minorHAnsi" w:cstheme="minorBidi"/>
                <w:sz w:val="21"/>
                <w:szCs w:val="21"/>
              </w:rPr>
              <w:t xml:space="preserve"> </w:t>
            </w:r>
            <w:r w:rsidRPr="3764D022">
              <w:rPr>
                <w:rFonts w:asciiTheme="minorHAnsi" w:hAnsiTheme="minorHAnsi" w:cstheme="minorBidi"/>
                <w:sz w:val="21"/>
                <w:szCs w:val="21"/>
              </w:rPr>
              <w:t>in responding to COVID-19 through its activities aimed at improving livelihoods of rural communities in the three project intervention areas through value chains development of indigenous plant. The project activities will be discussed and refined during the planned validation with stakeholders as well as during project inception workshop</w:t>
            </w:r>
            <w:r w:rsidR="3ED94ECE" w:rsidRPr="3260A9D8">
              <w:rPr>
                <w:rFonts w:asciiTheme="minorHAnsi" w:hAnsiTheme="minorHAnsi" w:cstheme="minorBidi"/>
                <w:sz w:val="21"/>
                <w:szCs w:val="21"/>
              </w:rPr>
              <w:t xml:space="preserve"> </w:t>
            </w:r>
            <w:r w:rsidR="27D674C6" w:rsidRPr="3260A9D8">
              <w:rPr>
                <w:rFonts w:asciiTheme="minorHAnsi" w:hAnsiTheme="minorHAnsi" w:cstheme="minorBidi"/>
                <w:sz w:val="21"/>
                <w:szCs w:val="21"/>
              </w:rPr>
              <w:t xml:space="preserve"> </w:t>
            </w:r>
            <w:r w:rsidR="27D674C6" w:rsidRPr="00B417DC">
              <w:rPr>
                <w:rFonts w:asciiTheme="minorHAnsi" w:hAnsiTheme="minorHAnsi" w:cstheme="minorBidi"/>
                <w:sz w:val="21"/>
                <w:szCs w:val="21"/>
                <w:highlight w:val="yellow"/>
              </w:rPr>
              <w:t>and also during project implementation .</w:t>
            </w:r>
            <w:r w:rsidR="59C396A7" w:rsidRPr="3260A9D8">
              <w:rPr>
                <w:rFonts w:asciiTheme="minorHAnsi" w:hAnsiTheme="minorHAnsi" w:cstheme="minorBidi"/>
                <w:sz w:val="21"/>
                <w:szCs w:val="21"/>
              </w:rPr>
              <w:t>T</w:t>
            </w:r>
            <w:r w:rsidR="3A01D3AE" w:rsidRPr="3260A9D8">
              <w:rPr>
                <w:rFonts w:asciiTheme="minorHAnsi" w:hAnsiTheme="minorHAnsi" w:cstheme="minorBidi"/>
                <w:sz w:val="21"/>
                <w:szCs w:val="21"/>
              </w:rPr>
              <w:t>his</w:t>
            </w:r>
            <w:r w:rsidRPr="3764D022">
              <w:rPr>
                <w:rFonts w:asciiTheme="minorHAnsi" w:hAnsiTheme="minorHAnsi" w:cstheme="minorBidi"/>
                <w:sz w:val="21"/>
                <w:szCs w:val="21"/>
              </w:rPr>
              <w:t xml:space="preserve"> will be opportunity to mainstream COVID-19 responses in the project implementation.</w:t>
            </w:r>
          </w:p>
        </w:tc>
      </w:tr>
      <w:tr w:rsidR="009951E0" w:rsidRPr="00EE6128" w14:paraId="5A287DBB" w14:textId="77777777" w:rsidTr="3764D022">
        <w:tc>
          <w:tcPr>
            <w:tcW w:w="5000" w:type="pct"/>
            <w:gridSpan w:val="3"/>
            <w:shd w:val="clear" w:color="auto" w:fill="D0CECE" w:themeFill="background2" w:themeFillShade="E6"/>
          </w:tcPr>
          <w:p w14:paraId="742C14D7" w14:textId="77777777" w:rsidR="009951E0" w:rsidRPr="0000721D" w:rsidRDefault="009951E0" w:rsidP="000D7904">
            <w:pPr>
              <w:rPr>
                <w:rFonts w:asciiTheme="minorHAnsi" w:hAnsiTheme="minorHAnsi" w:cstheme="minorHAnsi"/>
                <w:sz w:val="21"/>
                <w:szCs w:val="21"/>
              </w:rPr>
            </w:pPr>
            <w:r w:rsidRPr="0000721D">
              <w:rPr>
                <w:rFonts w:asciiTheme="minorHAnsi" w:hAnsiTheme="minorHAnsi" w:cstheme="minorHAnsi"/>
                <w:b/>
                <w:sz w:val="21"/>
                <w:szCs w:val="21"/>
              </w:rPr>
              <w:lastRenderedPageBreak/>
              <w:t>Implications for project activities (on the ground)</w:t>
            </w:r>
          </w:p>
        </w:tc>
      </w:tr>
      <w:tr w:rsidR="009951E0" w:rsidRPr="00EE6128" w14:paraId="49D91854" w14:textId="77777777" w:rsidTr="3764D022">
        <w:tc>
          <w:tcPr>
            <w:tcW w:w="724" w:type="pct"/>
          </w:tcPr>
          <w:p w14:paraId="5E6C5210" w14:textId="77777777" w:rsidR="009951E0" w:rsidRPr="0000721D" w:rsidRDefault="009951E0" w:rsidP="000D7904">
            <w:pPr>
              <w:rPr>
                <w:rFonts w:asciiTheme="minorHAnsi" w:hAnsiTheme="minorHAnsi" w:cstheme="minorHAnsi"/>
                <w:sz w:val="21"/>
                <w:szCs w:val="21"/>
              </w:rPr>
            </w:pPr>
            <w:r w:rsidRPr="0000721D">
              <w:rPr>
                <w:rFonts w:asciiTheme="minorHAnsi" w:hAnsiTheme="minorHAnsi" w:cstheme="minorHAnsi"/>
                <w:sz w:val="21"/>
                <w:szCs w:val="21"/>
              </w:rPr>
              <w:t>Short to medium term</w:t>
            </w:r>
          </w:p>
        </w:tc>
        <w:tc>
          <w:tcPr>
            <w:tcW w:w="1796" w:type="pct"/>
          </w:tcPr>
          <w:p w14:paraId="234E30B0" w14:textId="1DE00DAD" w:rsidR="009951E0" w:rsidRPr="0000721D" w:rsidRDefault="009951E0" w:rsidP="005E5370">
            <w:pPr>
              <w:contextualSpacing/>
              <w:jc w:val="both"/>
              <w:rPr>
                <w:rFonts w:asciiTheme="minorHAnsi" w:hAnsiTheme="minorHAnsi" w:cstheme="minorBidi"/>
                <w:sz w:val="21"/>
                <w:szCs w:val="21"/>
              </w:rPr>
            </w:pPr>
            <w:r w:rsidRPr="3260A9D8">
              <w:rPr>
                <w:rFonts w:asciiTheme="minorHAnsi" w:hAnsiTheme="minorHAnsi" w:cstheme="minorBidi"/>
                <w:sz w:val="21"/>
                <w:szCs w:val="21"/>
              </w:rPr>
              <w:t>Uncertainty with COVID-19 including temporary closure of government offices, restrictions on people movement from one region to another  or within regions could delay launching and implementation of the project.</w:t>
            </w:r>
            <w:r>
              <w:br/>
            </w:r>
            <w:r>
              <w:br/>
            </w:r>
          </w:p>
          <w:p w14:paraId="09AE940D" w14:textId="77777777" w:rsidR="009951E0" w:rsidRPr="0000721D" w:rsidRDefault="009951E0" w:rsidP="001667C6">
            <w:pPr>
              <w:numPr>
                <w:ilvl w:val="0"/>
                <w:numId w:val="93"/>
              </w:numPr>
              <w:contextualSpacing/>
              <w:jc w:val="both"/>
              <w:rPr>
                <w:rFonts w:asciiTheme="minorHAnsi" w:hAnsiTheme="minorHAnsi" w:cstheme="minorHAnsi"/>
                <w:sz w:val="21"/>
                <w:szCs w:val="21"/>
              </w:rPr>
            </w:pPr>
            <w:r w:rsidRPr="0000721D">
              <w:rPr>
                <w:rFonts w:asciiTheme="minorHAnsi" w:hAnsiTheme="minorHAnsi" w:cstheme="minorHAnsi"/>
                <w:bCs/>
                <w:sz w:val="21"/>
                <w:szCs w:val="21"/>
              </w:rPr>
              <w:t>Limited opportunities for face-to-face interactions</w:t>
            </w:r>
            <w:r w:rsidRPr="0000721D">
              <w:rPr>
                <w:rFonts w:asciiTheme="minorHAnsi" w:hAnsiTheme="minorHAnsi" w:cstheme="minorHAnsi"/>
                <w:sz w:val="21"/>
                <w:szCs w:val="21"/>
              </w:rPr>
              <w:t xml:space="preserve"> with project beneficiaries </w:t>
            </w:r>
            <w:r w:rsidRPr="0000721D">
              <w:rPr>
                <w:rFonts w:asciiTheme="minorHAnsi" w:hAnsiTheme="minorHAnsi" w:cstheme="minorHAnsi"/>
                <w:sz w:val="21"/>
                <w:szCs w:val="21"/>
              </w:rPr>
              <w:br/>
            </w:r>
          </w:p>
          <w:p w14:paraId="09726E79" w14:textId="77777777" w:rsidR="009951E0" w:rsidRPr="0000721D" w:rsidRDefault="009951E0" w:rsidP="001667C6">
            <w:pPr>
              <w:numPr>
                <w:ilvl w:val="0"/>
                <w:numId w:val="93"/>
              </w:numPr>
              <w:contextualSpacing/>
              <w:jc w:val="both"/>
              <w:rPr>
                <w:rFonts w:asciiTheme="minorHAnsi" w:hAnsiTheme="minorHAnsi" w:cstheme="minorHAnsi"/>
                <w:sz w:val="21"/>
                <w:szCs w:val="21"/>
              </w:rPr>
            </w:pPr>
            <w:r w:rsidRPr="0000721D">
              <w:rPr>
                <w:rFonts w:asciiTheme="minorHAnsi" w:hAnsiTheme="minorHAnsi" w:cstheme="minorHAnsi"/>
                <w:sz w:val="21"/>
                <w:szCs w:val="21"/>
              </w:rPr>
              <w:t xml:space="preserve">Constraints on conducting face-to-face baseline surveys </w:t>
            </w:r>
          </w:p>
        </w:tc>
        <w:tc>
          <w:tcPr>
            <w:tcW w:w="2480" w:type="pct"/>
          </w:tcPr>
          <w:p w14:paraId="0604D0D5" w14:textId="77777777" w:rsidR="009951E0" w:rsidRPr="0000721D" w:rsidRDefault="009951E0" w:rsidP="000D7904">
            <w:pPr>
              <w:ind w:left="360"/>
              <w:contextualSpacing/>
              <w:rPr>
                <w:rFonts w:asciiTheme="minorHAnsi" w:hAnsiTheme="minorHAnsi" w:cstheme="minorHAnsi"/>
                <w:sz w:val="21"/>
                <w:szCs w:val="21"/>
              </w:rPr>
            </w:pPr>
            <w:r w:rsidRPr="0000721D">
              <w:rPr>
                <w:rFonts w:asciiTheme="minorHAnsi" w:hAnsiTheme="minorHAnsi" w:cstheme="minorHAnsi"/>
                <w:sz w:val="21"/>
                <w:szCs w:val="21"/>
              </w:rPr>
              <w:t xml:space="preserve">Temporary closure of government and UN offices from time to time as results of confirmed COVID-19, restrictions on people movement as well as limitations on number of people gathering for meetings/workshops could impact smooth project implementation. To mitigate this the project will put measures in place such as having local facilitators/moderators to work with local project partners to ensure field project activities are effectively implemented. The facilitators will also ensure use of virtual platforms to conduct meetings and workshop when physical meetings are not permitted.  </w:t>
            </w:r>
          </w:p>
          <w:p w14:paraId="01CC29B0" w14:textId="590D270F" w:rsidR="009951E0" w:rsidRDefault="009951E0" w:rsidP="001667C6">
            <w:pPr>
              <w:numPr>
                <w:ilvl w:val="0"/>
                <w:numId w:val="93"/>
              </w:numPr>
              <w:contextualSpacing/>
              <w:rPr>
                <w:rFonts w:asciiTheme="minorHAnsi" w:hAnsiTheme="minorHAnsi" w:cstheme="minorHAnsi"/>
                <w:sz w:val="21"/>
                <w:szCs w:val="21"/>
              </w:rPr>
            </w:pPr>
            <w:r w:rsidRPr="0000721D">
              <w:rPr>
                <w:rFonts w:asciiTheme="minorHAnsi" w:hAnsiTheme="minorHAnsi" w:cstheme="minorHAnsi"/>
                <w:sz w:val="21"/>
                <w:szCs w:val="21"/>
              </w:rPr>
              <w:t>Set out engagement plans with limited number of participants mainly  representatives /leaders of constituencies/communities and ensuring provision of sanitizers and face masks.</w:t>
            </w:r>
          </w:p>
          <w:p w14:paraId="62B4B6E3" w14:textId="7DF992BF" w:rsidR="009951E0" w:rsidRPr="00784789" w:rsidRDefault="007022F4" w:rsidP="001667C6">
            <w:pPr>
              <w:numPr>
                <w:ilvl w:val="0"/>
                <w:numId w:val="93"/>
              </w:numPr>
              <w:contextualSpacing/>
              <w:rPr>
                <w:rFonts w:asciiTheme="minorHAnsi" w:hAnsiTheme="minorHAnsi" w:cstheme="minorHAnsi"/>
                <w:sz w:val="21"/>
                <w:szCs w:val="21"/>
                <w:highlight w:val="yellow"/>
              </w:rPr>
            </w:pPr>
            <w:r w:rsidRPr="00784789">
              <w:rPr>
                <w:rFonts w:asciiTheme="minorHAnsi" w:hAnsiTheme="minorHAnsi" w:cstheme="minorHAnsi"/>
                <w:sz w:val="21"/>
                <w:szCs w:val="21"/>
                <w:highlight w:val="yellow"/>
              </w:rPr>
              <w:t>Introduction of</w:t>
            </w:r>
            <w:r w:rsidR="0003654D" w:rsidRPr="00784789">
              <w:rPr>
                <w:rFonts w:asciiTheme="minorHAnsi" w:hAnsiTheme="minorHAnsi" w:cstheme="minorHAnsi"/>
                <w:sz w:val="21"/>
                <w:szCs w:val="21"/>
                <w:highlight w:val="yellow"/>
              </w:rPr>
              <w:t xml:space="preserve"> digital technologies and innovative approaches </w:t>
            </w:r>
            <w:r w:rsidRPr="00784789">
              <w:rPr>
                <w:rFonts w:asciiTheme="minorHAnsi" w:hAnsiTheme="minorHAnsi" w:cstheme="minorHAnsi"/>
                <w:sz w:val="21"/>
                <w:szCs w:val="21"/>
                <w:highlight w:val="yellow"/>
              </w:rPr>
              <w:t>in</w:t>
            </w:r>
            <w:r w:rsidR="0003654D" w:rsidRPr="00784789">
              <w:rPr>
                <w:rFonts w:asciiTheme="minorHAnsi" w:hAnsiTheme="minorHAnsi" w:cstheme="minorHAnsi"/>
                <w:sz w:val="21"/>
                <w:szCs w:val="21"/>
                <w:highlight w:val="yellow"/>
              </w:rPr>
              <w:t xml:space="preserve"> support </w:t>
            </w:r>
            <w:r w:rsidRPr="00784789">
              <w:rPr>
                <w:rFonts w:asciiTheme="minorHAnsi" w:hAnsiTheme="minorHAnsi" w:cstheme="minorHAnsi"/>
                <w:sz w:val="21"/>
                <w:szCs w:val="21"/>
                <w:highlight w:val="yellow"/>
              </w:rPr>
              <w:t xml:space="preserve">of </w:t>
            </w:r>
            <w:r w:rsidR="0003654D" w:rsidRPr="00784789">
              <w:rPr>
                <w:rFonts w:asciiTheme="minorHAnsi" w:hAnsiTheme="minorHAnsi" w:cstheme="minorHAnsi"/>
                <w:sz w:val="21"/>
                <w:szCs w:val="21"/>
                <w:highlight w:val="yellow"/>
              </w:rPr>
              <w:t xml:space="preserve">sharing of knowledge virtually </w:t>
            </w:r>
            <w:r w:rsidRPr="00784789">
              <w:rPr>
                <w:rFonts w:asciiTheme="minorHAnsi" w:hAnsiTheme="minorHAnsi" w:cstheme="minorHAnsi"/>
                <w:sz w:val="21"/>
                <w:szCs w:val="21"/>
                <w:highlight w:val="yellow"/>
              </w:rPr>
              <w:t xml:space="preserve">and ensure </w:t>
            </w:r>
            <w:r w:rsidR="0003654D" w:rsidRPr="00784789">
              <w:rPr>
                <w:rFonts w:asciiTheme="minorHAnsi" w:hAnsiTheme="minorHAnsi" w:cstheme="minorHAnsi"/>
                <w:sz w:val="21"/>
                <w:szCs w:val="21"/>
                <w:highlight w:val="yellow"/>
              </w:rPr>
              <w:t xml:space="preserve">social distancing. For example; tablets that were introduced for the SHARP household surveys will be used to take footages on different SLM/SFM approaches that will be disseminated to wider groups of stakeholders as well as for monitoring and evaluation purposes. This approach will be complemented by the "Making every voice count for adaptive management" initiative facilitated by the Global Coordination project. This initiative promotes a variety of communication tools, focusing on a participatory video approach as an interactive platform that supports networking and knowledge generation, and in later stages documenting and disseminating knowledge assets and lessons learned – especially those identified by the local communities and stakeholders at landscape level. The goal is to create a bridge between other teams and initiatives and work beyond the 11 countries involved in this program. The activities will be </w:t>
            </w:r>
            <w:r w:rsidR="0003654D" w:rsidRPr="00784789">
              <w:rPr>
                <w:rFonts w:asciiTheme="minorHAnsi" w:hAnsiTheme="minorHAnsi" w:cstheme="minorHAnsi"/>
                <w:sz w:val="21"/>
                <w:szCs w:val="21"/>
                <w:highlight w:val="yellow"/>
              </w:rPr>
              <w:lastRenderedPageBreak/>
              <w:t>complemented by specific activities and tools to ensure access to agriculture and forestry advisory services during COVID-19 pandemic, such as the use of radio, print media, videos, mobile vans, and social media (e.g. WhatsApp) to overcome barriers related to social distance, travel limitations and possible lockdown periods.</w:t>
            </w:r>
            <w:r w:rsidR="009951E0" w:rsidRPr="00784789">
              <w:rPr>
                <w:rFonts w:asciiTheme="minorHAnsi" w:hAnsiTheme="minorHAnsi" w:cstheme="minorHAnsi"/>
                <w:sz w:val="21"/>
                <w:szCs w:val="21"/>
              </w:rPr>
              <w:t xml:space="preserve"> </w:t>
            </w:r>
          </w:p>
        </w:tc>
      </w:tr>
      <w:tr w:rsidR="009951E0" w:rsidRPr="00EE6128" w14:paraId="1B1147AF" w14:textId="77777777" w:rsidTr="3764D022">
        <w:tc>
          <w:tcPr>
            <w:tcW w:w="724" w:type="pct"/>
          </w:tcPr>
          <w:p w14:paraId="2887291B" w14:textId="77777777" w:rsidR="009951E0" w:rsidRPr="0000721D" w:rsidRDefault="009951E0" w:rsidP="000D7904">
            <w:pPr>
              <w:rPr>
                <w:rFonts w:asciiTheme="minorHAnsi" w:hAnsiTheme="minorHAnsi" w:cstheme="minorHAnsi"/>
                <w:sz w:val="21"/>
                <w:szCs w:val="21"/>
              </w:rPr>
            </w:pPr>
            <w:r w:rsidRPr="0000721D">
              <w:rPr>
                <w:rFonts w:asciiTheme="minorHAnsi" w:hAnsiTheme="minorHAnsi" w:cstheme="minorHAnsi"/>
                <w:sz w:val="21"/>
                <w:szCs w:val="21"/>
              </w:rPr>
              <w:lastRenderedPageBreak/>
              <w:t xml:space="preserve">Short to long term </w:t>
            </w:r>
          </w:p>
        </w:tc>
        <w:tc>
          <w:tcPr>
            <w:tcW w:w="1796" w:type="pct"/>
          </w:tcPr>
          <w:p w14:paraId="6440BB6F" w14:textId="77777777" w:rsidR="009951E0" w:rsidRPr="0000721D" w:rsidRDefault="009951E0" w:rsidP="000D7904">
            <w:pPr>
              <w:jc w:val="both"/>
              <w:rPr>
                <w:rFonts w:asciiTheme="minorHAnsi" w:hAnsiTheme="minorHAnsi" w:cstheme="minorHAnsi"/>
                <w:sz w:val="21"/>
                <w:szCs w:val="21"/>
              </w:rPr>
            </w:pPr>
            <w:r w:rsidRPr="0000721D">
              <w:rPr>
                <w:rFonts w:asciiTheme="minorHAnsi" w:hAnsiTheme="minorHAnsi" w:cstheme="minorHAnsi"/>
                <w:sz w:val="21"/>
                <w:szCs w:val="21"/>
              </w:rPr>
              <w:t xml:space="preserve">Potential for community transmission of COVID-19 </w:t>
            </w:r>
          </w:p>
        </w:tc>
        <w:tc>
          <w:tcPr>
            <w:tcW w:w="2480" w:type="pct"/>
          </w:tcPr>
          <w:p w14:paraId="22638E3B" w14:textId="77777777" w:rsidR="009951E0" w:rsidRPr="0000721D" w:rsidRDefault="009951E0" w:rsidP="000D7904">
            <w:pPr>
              <w:contextualSpacing/>
              <w:rPr>
                <w:rFonts w:asciiTheme="minorHAnsi" w:hAnsiTheme="minorHAnsi" w:cstheme="minorHAnsi"/>
                <w:sz w:val="21"/>
                <w:szCs w:val="21"/>
              </w:rPr>
            </w:pPr>
            <w:r w:rsidRPr="0000721D">
              <w:rPr>
                <w:rFonts w:asciiTheme="minorHAnsi" w:hAnsiTheme="minorHAnsi" w:cstheme="minorHAnsi"/>
                <w:sz w:val="21"/>
                <w:szCs w:val="21"/>
              </w:rPr>
              <w:t xml:space="preserve">To measures in place to raise awareness of COVID-19 transmission and prevention. Provide guidance on steps to be taken by institutions (public and private) when exposure to COVID-19 occurs or is suspected to have occurred. </w:t>
            </w:r>
          </w:p>
          <w:p w14:paraId="60543F67" w14:textId="77777777" w:rsidR="009951E0" w:rsidRPr="0000721D" w:rsidRDefault="009951E0" w:rsidP="000D7904">
            <w:pPr>
              <w:contextualSpacing/>
              <w:rPr>
                <w:rFonts w:asciiTheme="minorHAnsi" w:hAnsiTheme="minorHAnsi" w:cstheme="minorHAnsi"/>
                <w:sz w:val="21"/>
                <w:szCs w:val="21"/>
              </w:rPr>
            </w:pPr>
            <w:r w:rsidRPr="0000721D">
              <w:rPr>
                <w:rFonts w:asciiTheme="minorHAnsi" w:hAnsiTheme="minorHAnsi" w:cstheme="minorHAnsi"/>
                <w:sz w:val="21"/>
                <w:szCs w:val="21"/>
              </w:rPr>
              <w:t xml:space="preserve">Provide social support to COVID-19 affected families and communities.   </w:t>
            </w:r>
          </w:p>
        </w:tc>
      </w:tr>
    </w:tbl>
    <w:p w14:paraId="4C372E10" w14:textId="395DCBE4" w:rsidR="009563B4" w:rsidRPr="00494A73" w:rsidRDefault="009563B4" w:rsidP="001667C6">
      <w:pPr>
        <w:pStyle w:val="Heading2"/>
        <w:numPr>
          <w:ilvl w:val="0"/>
          <w:numId w:val="65"/>
        </w:numPr>
        <w:shd w:val="clear" w:color="auto" w:fill="000000" w:themeFill="text1"/>
        <w:spacing w:after="160"/>
        <w:ind w:left="357" w:hanging="357"/>
        <w:jc w:val="center"/>
        <w:rPr>
          <w:rFonts w:ascii="Calibri" w:hAnsi="Calibri" w:cs="Calibri"/>
          <w:bCs w:val="0"/>
          <w:color w:val="FFFFFF" w:themeColor="background1"/>
          <w:sz w:val="22"/>
          <w:szCs w:val="22"/>
          <w:lang w:val="en-US"/>
        </w:rPr>
      </w:pPr>
      <w:bookmarkStart w:id="276" w:name="_Toc58398597"/>
      <w:r w:rsidRPr="00494A73">
        <w:rPr>
          <w:rFonts w:ascii="Calibri" w:hAnsi="Calibri" w:cs="Calibri"/>
          <w:bCs w:val="0"/>
          <w:color w:val="FFFFFF" w:themeColor="background1"/>
          <w:sz w:val="22"/>
          <w:szCs w:val="22"/>
          <w:lang w:val="en-US"/>
        </w:rPr>
        <w:t>Institutional Arrangements and Coordination</w:t>
      </w:r>
      <w:bookmarkEnd w:id="271"/>
      <w:bookmarkEnd w:id="272"/>
      <w:bookmarkEnd w:id="273"/>
      <w:bookmarkEnd w:id="274"/>
      <w:bookmarkEnd w:id="275"/>
      <w:bookmarkEnd w:id="276"/>
    </w:p>
    <w:p w14:paraId="0BD8E79C" w14:textId="40DA506F" w:rsidR="002155A4" w:rsidRPr="00163EF2" w:rsidRDefault="002155A4" w:rsidP="002155A4">
      <w:pPr>
        <w:rPr>
          <w:rFonts w:ascii="Calibri" w:hAnsi="Calibri" w:cs="Calibri"/>
          <w:sz w:val="21"/>
          <w:szCs w:val="21"/>
          <w:lang w:val="en-US" w:eastAsia="x-none"/>
        </w:rPr>
      </w:pPr>
    </w:p>
    <w:p w14:paraId="124C7A7C" w14:textId="77777777" w:rsidR="007031F0" w:rsidRPr="00163EF2" w:rsidRDefault="007031F0" w:rsidP="002155A4">
      <w:pPr>
        <w:rPr>
          <w:rFonts w:ascii="Calibri" w:hAnsi="Calibri" w:cs="Calibri"/>
          <w:sz w:val="21"/>
          <w:szCs w:val="21"/>
          <w:lang w:val="en-US" w:eastAsia="x-none"/>
        </w:rPr>
      </w:pPr>
    </w:p>
    <w:p w14:paraId="7BEEF8B8" w14:textId="77777777" w:rsidR="009563B4" w:rsidRPr="002155A4" w:rsidRDefault="009563B4" w:rsidP="001F4662">
      <w:pPr>
        <w:pStyle w:val="Heading3"/>
        <w:shd w:val="clear" w:color="auto" w:fill="FFFFFF" w:themeFill="background1"/>
        <w:spacing w:before="0" w:after="160"/>
        <w:jc w:val="left"/>
        <w:rPr>
          <w:rFonts w:ascii="Calibri" w:hAnsi="Calibri" w:cs="Calibri"/>
          <w:bCs/>
          <w:color w:val="FFFFFF" w:themeColor="background1"/>
          <w:sz w:val="22"/>
          <w:szCs w:val="22"/>
          <w:highlight w:val="black"/>
        </w:rPr>
      </w:pPr>
      <w:bookmarkStart w:id="277" w:name="_Toc10554539"/>
      <w:bookmarkStart w:id="278" w:name="_Toc10554607"/>
      <w:bookmarkStart w:id="279" w:name="_Toc12612951"/>
      <w:bookmarkStart w:id="280" w:name="_Toc42027142"/>
      <w:bookmarkStart w:id="281" w:name="_Toc42262650"/>
      <w:r w:rsidRPr="002155A4">
        <w:rPr>
          <w:rFonts w:ascii="Calibri" w:hAnsi="Calibri" w:cs="Calibri"/>
          <w:bCs/>
          <w:color w:val="FFFFFF" w:themeColor="background1"/>
          <w:sz w:val="22"/>
          <w:szCs w:val="22"/>
          <w:highlight w:val="black"/>
        </w:rPr>
        <w:t>6a. Institutional arrangements for project implementation</w:t>
      </w:r>
      <w:bookmarkEnd w:id="277"/>
      <w:bookmarkEnd w:id="278"/>
      <w:bookmarkEnd w:id="279"/>
      <w:r w:rsidRPr="002155A4">
        <w:rPr>
          <w:rFonts w:ascii="Calibri" w:hAnsi="Calibri" w:cs="Calibri"/>
          <w:bCs/>
          <w:color w:val="FFFFFF" w:themeColor="background1"/>
          <w:sz w:val="22"/>
          <w:szCs w:val="22"/>
          <w:highlight w:val="black"/>
        </w:rPr>
        <w:t xml:space="preserve"> </w:t>
      </w:r>
      <w:bookmarkEnd w:id="280"/>
      <w:bookmarkEnd w:id="281"/>
    </w:p>
    <w:p w14:paraId="7D46D388" w14:textId="3FD52257" w:rsidR="002D33F1" w:rsidRPr="002D33F1" w:rsidRDefault="002D33F1" w:rsidP="001667C6">
      <w:pPr>
        <w:pStyle w:val="ParagraphOED"/>
        <w:numPr>
          <w:ilvl w:val="0"/>
          <w:numId w:val="102"/>
        </w:numPr>
        <w:spacing w:after="160"/>
        <w:rPr>
          <w:szCs w:val="21"/>
          <w:highlight w:val="yellow"/>
        </w:rPr>
      </w:pPr>
      <w:bookmarkStart w:id="282" w:name="_Ref20812966"/>
      <w:bookmarkStart w:id="283" w:name="_Toc42262750"/>
      <w:r>
        <w:t>The Government of Angola will have the overall executing and technical responsibility for the project, with FAO as the GEF Agency providing oversight in the manner described below.  The Ministry of Culture, Tourism and d Environment (MCTA) will be responsible as the lead executing agency, with responsibility for the day-to-day management of project results entrusted in full compliance with all terms and conditions of the Operational Partnership Agreement signed with FAO.</w:t>
      </w:r>
      <w:r w:rsidR="6156B1A1" w:rsidRPr="72409255">
        <w:rPr>
          <w:szCs w:val="21"/>
        </w:rPr>
        <w:t xml:space="preserve"> </w:t>
      </w:r>
      <w:r w:rsidR="6156B1A1" w:rsidRPr="72409255">
        <w:rPr>
          <w:color w:val="000000" w:themeColor="text1"/>
          <w:szCs w:val="21"/>
          <w:highlight w:val="yellow"/>
        </w:rPr>
        <w:t>It should be noted that the identified Operational Partner(s) or OP, results to be implemented by the OP and budgets to be transferred to the OP are non-binding and may change due to FAO internal partnership and agreement procedures which have not yet been concluded at the time of submission.</w:t>
      </w:r>
    </w:p>
    <w:p w14:paraId="069B2AB0" w14:textId="3B7D9B80" w:rsidR="002D33F1" w:rsidRPr="002D33F1" w:rsidRDefault="4E789855" w:rsidP="001667C6">
      <w:pPr>
        <w:pStyle w:val="ParagraphOED"/>
        <w:numPr>
          <w:ilvl w:val="0"/>
          <w:numId w:val="102"/>
        </w:numPr>
        <w:spacing w:after="160"/>
      </w:pPr>
      <w:r>
        <w:t xml:space="preserve">For </w:t>
      </w:r>
      <w:r w:rsidR="2FBDA157">
        <w:t>Component 2</w:t>
      </w:r>
      <w:r w:rsidR="114FCFC8">
        <w:t xml:space="preserve"> and 3,</w:t>
      </w:r>
      <w:r w:rsidR="2FBDA157">
        <w:t xml:space="preserve"> MCTA</w:t>
      </w:r>
      <w:r w:rsidR="0077A97F">
        <w:t>, as leading executing partner, will stablish agreemnets</w:t>
      </w:r>
      <w:r w:rsidR="2FBDA157">
        <w:t xml:space="preserve"> </w:t>
      </w:r>
      <w:r w:rsidR="3EF95405">
        <w:t>(</w:t>
      </w:r>
      <w:r w:rsidR="2FBDA157">
        <w:t xml:space="preserve">mainly </w:t>
      </w:r>
      <w:r w:rsidR="3517BD3F">
        <w:t xml:space="preserve">through </w:t>
      </w:r>
      <w:r w:rsidR="2FBDA157">
        <w:t>Letters of Agreements</w:t>
      </w:r>
      <w:r w:rsidR="2429A0B7">
        <w:t>)</w:t>
      </w:r>
      <w:r w:rsidR="2FBDA157">
        <w:t xml:space="preserve"> with NGOs in coordination with decentralized institutes of MINAGRIP and technically backstopped by FAO.</w:t>
      </w:r>
      <w:r w:rsidR="7F80C179">
        <w:t xml:space="preserve"> A Capacity asses</w:t>
      </w:r>
      <w:r w:rsidR="0103D175">
        <w:t>se</w:t>
      </w:r>
      <w:r w:rsidR="7F80C179">
        <w:t xml:space="preserve">ment will be carried out to MCTA to </w:t>
      </w:r>
      <w:r w:rsidR="4385F0D3">
        <w:t>confirm</w:t>
      </w:r>
      <w:r w:rsidR="7F80C179">
        <w:t xml:space="preserve"> their capacity for su</w:t>
      </w:r>
      <w:r w:rsidR="1C7F2FCA">
        <w:t>bcontracting NGOs</w:t>
      </w:r>
      <w:r w:rsidR="33C8D6A7">
        <w:t xml:space="preserve">. In case it is positive </w:t>
      </w:r>
      <w:r w:rsidR="0818D593">
        <w:t>LoAs with local partners organizations will be stablished by MCTA. In case it is negative, this LoAs will be established by FAO. In any of the cases</w:t>
      </w:r>
      <w:r w:rsidR="447CD784">
        <w:t>full coordination between FAO and MCT</w:t>
      </w:r>
      <w:r w:rsidR="61B534D9">
        <w:t>A</w:t>
      </w:r>
      <w:r w:rsidR="447CD784">
        <w:t xml:space="preserve"> will be assured for LoAs </w:t>
      </w:r>
      <w:r w:rsidR="0B47585D">
        <w:t>establishment</w:t>
      </w:r>
      <w:r w:rsidR="447CD784">
        <w:t>.</w:t>
      </w:r>
      <w:r w:rsidR="2FBDA157">
        <w:t xml:space="preserve"> The MCTA and the NGOs are responsible and accountable to FAO for the timely implementation of the agreed project results, operational oversight of implementation activities, timely reporting, and for effective use of GEF resources for the intended purposes and in line with FAO and GEF policy requirements. </w:t>
      </w:r>
    </w:p>
    <w:p w14:paraId="7BBA151C" w14:textId="1078E60E" w:rsidR="002D33F1" w:rsidRPr="002D33F1" w:rsidRDefault="002D33F1" w:rsidP="001667C6">
      <w:pPr>
        <w:pStyle w:val="ParagraphOED"/>
        <w:numPr>
          <w:ilvl w:val="0"/>
          <w:numId w:val="102"/>
        </w:numPr>
        <w:spacing w:after="160"/>
      </w:pPr>
      <w:r>
        <w:t>The two important bodies for project governance are the National Project Steering Committee and the Project </w:t>
      </w:r>
      <w:r w:rsidR="3BA05D6D">
        <w:t>Management</w:t>
      </w:r>
      <w:r>
        <w:t xml:space="preserve"> Unit.</w:t>
      </w:r>
    </w:p>
    <w:p w14:paraId="2CC8DBFE" w14:textId="77777777" w:rsidR="002D33F1" w:rsidRPr="002D33F1" w:rsidRDefault="002D33F1" w:rsidP="001667C6">
      <w:pPr>
        <w:pStyle w:val="ParagraphOED"/>
        <w:numPr>
          <w:ilvl w:val="0"/>
          <w:numId w:val="102"/>
        </w:numPr>
        <w:spacing w:after="160"/>
      </w:pPr>
      <w:r>
        <w:t xml:space="preserve">The National Project Steering Committee (NPSC) corresponds to the highest level of decision-making vis-à-vis project implementation and will be established for the oversight of project activities at a national level. It is proposed that the NPSC is chaired by the MCTA with the participation of a member of the MINAMB’s GEF unit, MINAGRP, MINOPOT, MINEA, representatives of the Provincial Governments, FAO, one representative from each municipality, and observers from civil society organizations. The members of the NPSC will each assure the role of a Focal Point for the project in their respective institutions with full decision making. Hence the project will have a Focal Point in each concerned institution. As Focal Points in their agency, the concerned PSC members will meet at once per year and will have the following responsibilities: (i) technically oversee activities in their sector or jurisdiction, (ii) ensure a fluid two-way exchange of </w:t>
      </w:r>
      <w:r>
        <w:lastRenderedPageBreak/>
        <w:t xml:space="preserve">information and knowledge between their agency and the project, (iii) facilitate coordination and links between the project activities and the work plan of their agency, (iv) taking decisions in the course of the practical organization, coordination and implementation of the project in order to address implementation problems identified by the PPR; (v) facilitating cooperation between government institutions and project participating partners and enabling a sufficient degree of project ownership by national authorities at the central, provincial and local levels; (vi) ensuring that co-financing support is provided in a timely and effective manner; and (vii) reviewing six-monthly Project Progress and Financial Reports and approving the AWP/B (Annual Work Plan and Budget). Moreover, the PSC shall ensure the project’s sustainability (in view of upscaling, replication and mainstreaming). </w:t>
      </w:r>
    </w:p>
    <w:p w14:paraId="30AC6CD3" w14:textId="77777777" w:rsidR="002D33F1" w:rsidRPr="002D33F1" w:rsidRDefault="002D33F1" w:rsidP="001667C6">
      <w:pPr>
        <w:pStyle w:val="ParagraphOED"/>
        <w:numPr>
          <w:ilvl w:val="0"/>
          <w:numId w:val="102"/>
        </w:numPr>
        <w:spacing w:after="160"/>
      </w:pPr>
      <w:r>
        <w:t>The Project Governance and Implementation Structure is shown in Figure 11. </w:t>
      </w:r>
    </w:p>
    <w:p w14:paraId="45A3380C" w14:textId="16A78BB2" w:rsidR="009563B4" w:rsidRDefault="009563B4" w:rsidP="009563B4">
      <w:pPr>
        <w:pStyle w:val="Caption"/>
      </w:pPr>
      <w:bookmarkStart w:id="284" w:name="_Toc64037187"/>
      <w:r w:rsidRPr="00F252FB">
        <w:t xml:space="preserve">Figure </w:t>
      </w:r>
      <w:r>
        <w:fldChar w:fldCharType="begin"/>
      </w:r>
      <w:r>
        <w:instrText>SEQ Figure \* ARABIC</w:instrText>
      </w:r>
      <w:r>
        <w:fldChar w:fldCharType="separate"/>
      </w:r>
      <w:r w:rsidR="00A64193">
        <w:rPr>
          <w:noProof/>
        </w:rPr>
        <w:t>11</w:t>
      </w:r>
      <w:r>
        <w:fldChar w:fldCharType="end"/>
      </w:r>
      <w:bookmarkEnd w:id="282"/>
      <w:r w:rsidRPr="00F252FB">
        <w:t>.</w:t>
      </w:r>
      <w:bookmarkEnd w:id="283"/>
      <w:r w:rsidRPr="00F252FB">
        <w:t xml:space="preserve"> Project organization</w:t>
      </w:r>
      <w:r w:rsidR="00443A66">
        <w:t>al</w:t>
      </w:r>
      <w:r w:rsidRPr="00F252FB">
        <w:t xml:space="preserve"> structure</w:t>
      </w:r>
      <w:bookmarkEnd w:id="284"/>
    </w:p>
    <w:tbl>
      <w:tblPr>
        <w:tblStyle w:val="TableGrid"/>
        <w:tblW w:w="72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581"/>
      </w:tblGrid>
      <w:tr w:rsidR="009563B4" w14:paraId="102B0BFB" w14:textId="77777777" w:rsidTr="78C544BE">
        <w:trPr>
          <w:trHeight w:val="8533"/>
        </w:trPr>
        <w:tc>
          <w:tcPr>
            <w:tcW w:w="7260" w:type="dxa"/>
          </w:tcPr>
          <w:p w14:paraId="19854136" w14:textId="5CC35B75" w:rsidR="00817901" w:rsidRDefault="00817901" w:rsidP="002B56D1">
            <w:pPr>
              <w:jc w:val="center"/>
            </w:pPr>
          </w:p>
          <w:p w14:paraId="71146022" w14:textId="359D2B8F" w:rsidR="00817901" w:rsidRDefault="00817901" w:rsidP="7A8EE34C">
            <w:pPr>
              <w:jc w:val="center"/>
            </w:pPr>
          </w:p>
          <w:p w14:paraId="21A9F50F" w14:textId="578FF813" w:rsidR="00817901" w:rsidRDefault="640353D9" w:rsidP="7A8EE34C">
            <w:r>
              <w:rPr>
                <w:noProof/>
              </w:rPr>
              <w:drawing>
                <wp:inline distT="0" distB="0" distL="0" distR="0" wp14:anchorId="3C2C690E" wp14:editId="19D588EF">
                  <wp:extent cx="4676776" cy="4743450"/>
                  <wp:effectExtent l="0" t="0" r="0" b="0"/>
                  <wp:docPr id="1482525937" name="Picture 14825259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82525937"/>
                          <pic:cNvPicPr/>
                        </pic:nvPicPr>
                        <pic:blipFill>
                          <a:blip r:embed="rId101">
                            <a:extLst>
                              <a:ext uri="{28A0092B-C50C-407E-A947-70E740481C1C}">
                                <a14:useLocalDpi xmlns:a14="http://schemas.microsoft.com/office/drawing/2010/main" val="0"/>
                              </a:ext>
                            </a:extLst>
                          </a:blip>
                          <a:stretch>
                            <a:fillRect/>
                          </a:stretch>
                        </pic:blipFill>
                        <pic:spPr>
                          <a:xfrm>
                            <a:off x="0" y="0"/>
                            <a:ext cx="4676776" cy="4743450"/>
                          </a:xfrm>
                          <a:prstGeom prst="rect">
                            <a:avLst/>
                          </a:prstGeom>
                        </pic:spPr>
                      </pic:pic>
                    </a:graphicData>
                  </a:graphic>
                </wp:inline>
              </w:drawing>
            </w:r>
          </w:p>
        </w:tc>
      </w:tr>
    </w:tbl>
    <w:p w14:paraId="02CB1571" w14:textId="77777777" w:rsidR="00A33C74" w:rsidRPr="009D4267" w:rsidRDefault="00A33C74" w:rsidP="001667C6">
      <w:pPr>
        <w:pStyle w:val="ParagraphOED"/>
        <w:numPr>
          <w:ilvl w:val="0"/>
          <w:numId w:val="102"/>
        </w:numPr>
        <w:spacing w:before="240" w:after="160"/>
      </w:pPr>
      <w:bookmarkStart w:id="285" w:name="_6b._Coordination_with"/>
      <w:bookmarkStart w:id="286" w:name="_Toc42027143"/>
      <w:bookmarkStart w:id="287" w:name="_Toc42262651"/>
      <w:bookmarkEnd w:id="285"/>
      <w:r>
        <w:t xml:space="preserve">The National Project Coordinator (see below) will be the Secretary to the Project Steering Committee. As mentioned before, the involved Ministries will designate one or more Focal Points, who will be responsible for participation in the NPSC and coordinating activities with all the national bodies related to the different project components, as well as with the project partners. S/he will also be responsible for supervising and guiding the National Project </w:t>
      </w:r>
      <w:r>
        <w:lastRenderedPageBreak/>
        <w:t>Coordinator (NPC), based in the Project Management Unit (PMU), on government policies and priorities. </w:t>
      </w:r>
    </w:p>
    <w:p w14:paraId="44024553" w14:textId="1FA4E537" w:rsidR="00A33C74" w:rsidRPr="009D4267" w:rsidRDefault="5E50D04F" w:rsidP="001667C6">
      <w:pPr>
        <w:pStyle w:val="ParagraphOED"/>
        <w:numPr>
          <w:ilvl w:val="0"/>
          <w:numId w:val="102"/>
        </w:numPr>
        <w:spacing w:after="160"/>
      </w:pPr>
      <w:r>
        <w:t>The Project Management Unit will be funded by the GEF. The main functions of the PMU, following the guidance of the Project Steering Committee, will be to ensure overall efficient management, coordination and monitoring of the project through the effective implementation of the annual work plans and budgets (AWP/Bs). The PMU will comprise a full-time NPC for the duration of the project</w:t>
      </w:r>
      <w:r w:rsidR="2729DBA3">
        <w:t xml:space="preserve"> that will be supported by a Technician for </w:t>
      </w:r>
      <w:r w:rsidR="2729DBA3" w:rsidRPr="1E65A5F7">
        <w:rPr>
          <w:color w:val="444444"/>
          <w:sz w:val="22"/>
          <w:szCs w:val="22"/>
        </w:rPr>
        <w:t>Stakeholder enga</w:t>
      </w:r>
      <w:r w:rsidR="52231BF3" w:rsidRPr="1E65A5F7">
        <w:rPr>
          <w:color w:val="444444"/>
          <w:sz w:val="22"/>
          <w:szCs w:val="22"/>
        </w:rPr>
        <w:t>ge</w:t>
      </w:r>
      <w:r w:rsidR="2729DBA3" w:rsidRPr="1E65A5F7">
        <w:rPr>
          <w:color w:val="444444"/>
          <w:sz w:val="22"/>
          <w:szCs w:val="22"/>
        </w:rPr>
        <w:t>ment, Knowledge manage</w:t>
      </w:r>
      <w:r w:rsidR="0C401D23" w:rsidRPr="1E65A5F7">
        <w:rPr>
          <w:color w:val="444444"/>
          <w:sz w:val="22"/>
          <w:szCs w:val="22"/>
        </w:rPr>
        <w:t>me</w:t>
      </w:r>
      <w:r w:rsidR="2729DBA3" w:rsidRPr="1E65A5F7">
        <w:rPr>
          <w:color w:val="444444"/>
          <w:sz w:val="22"/>
          <w:szCs w:val="22"/>
        </w:rPr>
        <w:t>t and institutional capacity building</w:t>
      </w:r>
      <w:r w:rsidR="4ED5C2A8" w:rsidRPr="1E65A5F7">
        <w:rPr>
          <w:color w:val="444444"/>
          <w:sz w:val="22"/>
          <w:szCs w:val="22"/>
        </w:rPr>
        <w:t>. Additionally, the PMU will be</w:t>
      </w:r>
      <w:r w:rsidRPr="1E65A5F7">
        <w:rPr>
          <w:color w:val="444444"/>
          <w:sz w:val="22"/>
          <w:szCs w:val="22"/>
        </w:rPr>
        <w:t xml:space="preserve"> </w:t>
      </w:r>
      <w:r>
        <w:t xml:space="preserve">supported by a full-time </w:t>
      </w:r>
      <w:r w:rsidRPr="1E65A5F7">
        <w:rPr>
          <w:color w:val="444444"/>
          <w:sz w:val="22"/>
          <w:szCs w:val="22"/>
        </w:rPr>
        <w:t xml:space="preserve">Administrative </w:t>
      </w:r>
      <w:r w:rsidR="2AA49C57" w:rsidRPr="1E65A5F7">
        <w:rPr>
          <w:color w:val="444444"/>
          <w:sz w:val="22"/>
          <w:szCs w:val="22"/>
        </w:rPr>
        <w:t xml:space="preserve">and </w:t>
      </w:r>
      <w:r w:rsidR="6286EE50" w:rsidRPr="1E65A5F7">
        <w:rPr>
          <w:color w:val="444444"/>
          <w:sz w:val="22"/>
          <w:szCs w:val="22"/>
        </w:rPr>
        <w:t>Accountant</w:t>
      </w:r>
      <w:r w:rsidR="2AA49C57" w:rsidRPr="1E65A5F7">
        <w:rPr>
          <w:color w:val="444444"/>
          <w:sz w:val="22"/>
          <w:szCs w:val="22"/>
        </w:rPr>
        <w:t xml:space="preserve"> Manager</w:t>
      </w:r>
      <w:r>
        <w:t xml:space="preserve"> and part-time </w:t>
      </w:r>
      <w:r w:rsidR="2CDAE917">
        <w:t>fina</w:t>
      </w:r>
      <w:r w:rsidR="35D8A726">
        <w:t>n</w:t>
      </w:r>
      <w:r w:rsidR="2CDAE917">
        <w:t xml:space="preserve">ce officer and </w:t>
      </w:r>
      <w:r>
        <w:t>M&amp;E</w:t>
      </w:r>
      <w:r w:rsidR="262DEF92">
        <w:t xml:space="preserve"> officer</w:t>
      </w:r>
      <w:r>
        <w:t xml:space="preserve">. Field based staff will include two full-time </w:t>
      </w:r>
      <w:r w:rsidR="705816A2" w:rsidRPr="00784789">
        <w:rPr>
          <w:highlight w:val="yellow"/>
        </w:rPr>
        <w:t>Field level facilitators to provide technical assistance</w:t>
      </w:r>
      <w:r>
        <w:t>, who will report to the NPC, each supported by an Assistant (full-time). </w:t>
      </w:r>
      <w:r w:rsidR="1568A680" w:rsidRPr="00784789">
        <w:rPr>
          <w:highlight w:val="yellow"/>
        </w:rPr>
        <w:t xml:space="preserve">A </w:t>
      </w:r>
      <w:r w:rsidR="26A83AFA" w:rsidRPr="00784789">
        <w:rPr>
          <w:highlight w:val="yellow"/>
        </w:rPr>
        <w:t>National</w:t>
      </w:r>
      <w:r>
        <w:t xml:space="preserve"> </w:t>
      </w:r>
      <w:r w:rsidR="00FC05C9">
        <w:t xml:space="preserve">Project Coordinator (NPC) </w:t>
      </w:r>
      <w:r w:rsidR="0C694E26">
        <w:t xml:space="preserve"> and the </w:t>
      </w:r>
      <w:r w:rsidRPr="1E65A5F7">
        <w:rPr>
          <w:color w:val="444444"/>
          <w:sz w:val="22"/>
          <w:szCs w:val="22"/>
        </w:rPr>
        <w:t xml:space="preserve"> </w:t>
      </w:r>
      <w:r w:rsidR="1414F08E" w:rsidRPr="00FC05C9">
        <w:rPr>
          <w:color w:val="444444"/>
          <w:sz w:val="22"/>
          <w:szCs w:val="22"/>
          <w:highlight w:val="yellow"/>
        </w:rPr>
        <w:t>Execution Capacity development Support and ESS monitoring specialist</w:t>
      </w:r>
      <w:r w:rsidR="1568A680">
        <w:t xml:space="preserve"> </w:t>
      </w:r>
      <w:r>
        <w:t>will ensure that activities are well coordinated and aligned  at programme level and assist the PMU in preparing project monitoring reports (PIRs). </w:t>
      </w:r>
      <w:r w:rsidR="7B5E5428">
        <w:t xml:space="preserve"> </w:t>
      </w:r>
    </w:p>
    <w:p w14:paraId="262A609D" w14:textId="77777777" w:rsidR="00A33C74" w:rsidRDefault="00A33C74" w:rsidP="001667C6">
      <w:pPr>
        <w:pStyle w:val="ParagraphOED"/>
        <w:numPr>
          <w:ilvl w:val="0"/>
          <w:numId w:val="102"/>
        </w:numPr>
        <w:spacing w:after="160"/>
      </w:pPr>
      <w:r>
        <w:t>The National Project Coordinator (NPC) will be in charge of daily implementation, management, administration and technical supervision of the project, on behalf of the Operational partner and within the framework delineated by the PSC. S/he will be responsible, among others, for:</w:t>
      </w:r>
      <w:r w:rsidRPr="1E65A5F7">
        <w:rPr>
          <w:rStyle w:val="normaltextrun"/>
        </w:rPr>
        <w:t> </w:t>
      </w:r>
      <w:r w:rsidRPr="1E65A5F7">
        <w:rPr>
          <w:rStyle w:val="eop"/>
        </w:rPr>
        <w:t> </w:t>
      </w:r>
    </w:p>
    <w:p w14:paraId="42C94140" w14:textId="77777777" w:rsidR="00A33C74" w:rsidRDefault="00A33C74" w:rsidP="001667C6">
      <w:pPr>
        <w:pStyle w:val="paragraph"/>
        <w:numPr>
          <w:ilvl w:val="0"/>
          <w:numId w:val="91"/>
        </w:numPr>
        <w:spacing w:before="0" w:beforeAutospacing="0" w:after="0" w:afterAutospacing="0"/>
        <w:jc w:val="both"/>
        <w:textAlignment w:val="baseline"/>
        <w:rPr>
          <w:rFonts w:ascii="Calibri" w:hAnsi="Calibri" w:cs="Calibri"/>
          <w:sz w:val="21"/>
          <w:szCs w:val="21"/>
        </w:rPr>
      </w:pPr>
      <w:r>
        <w:rPr>
          <w:rStyle w:val="normaltextrun"/>
          <w:rFonts w:ascii="Calibri" w:hAnsi="Calibri" w:cs="Calibri"/>
          <w:sz w:val="21"/>
          <w:szCs w:val="21"/>
        </w:rPr>
        <w:t>coordination of relevant initiatives; </w:t>
      </w:r>
      <w:r>
        <w:rPr>
          <w:rStyle w:val="eop"/>
          <w:rFonts w:ascii="Calibri" w:hAnsi="Calibri" w:cs="Calibri"/>
          <w:sz w:val="21"/>
          <w:szCs w:val="21"/>
        </w:rPr>
        <w:t> </w:t>
      </w:r>
    </w:p>
    <w:p w14:paraId="3DD90267" w14:textId="77777777" w:rsidR="00A33C74" w:rsidRPr="0006317D" w:rsidRDefault="00A33C74" w:rsidP="001667C6">
      <w:pPr>
        <w:pStyle w:val="paragraph"/>
        <w:numPr>
          <w:ilvl w:val="0"/>
          <w:numId w:val="91"/>
        </w:numPr>
        <w:spacing w:before="0" w:beforeAutospacing="0" w:after="0" w:afterAutospacing="0"/>
        <w:jc w:val="both"/>
        <w:textAlignment w:val="baseline"/>
        <w:rPr>
          <w:rFonts w:ascii="Calibri" w:hAnsi="Calibri" w:cs="Calibri"/>
          <w:sz w:val="21"/>
          <w:szCs w:val="21"/>
          <w:lang w:val="en-US"/>
        </w:rPr>
      </w:pPr>
      <w:r>
        <w:rPr>
          <w:rStyle w:val="normaltextrun"/>
          <w:rFonts w:ascii="Calibri" w:hAnsi="Calibri" w:cs="Calibri"/>
          <w:sz w:val="21"/>
          <w:szCs w:val="21"/>
        </w:rPr>
        <w:t>ensuring a high level of collaboration among participating institutions and organizations at national and local levels; </w:t>
      </w:r>
      <w:r w:rsidRPr="0006317D">
        <w:rPr>
          <w:rStyle w:val="eop"/>
          <w:rFonts w:ascii="Calibri" w:hAnsi="Calibri" w:cs="Calibri"/>
          <w:sz w:val="21"/>
          <w:szCs w:val="21"/>
          <w:lang w:val="en-US"/>
        </w:rPr>
        <w:t> </w:t>
      </w:r>
    </w:p>
    <w:p w14:paraId="493DEE34" w14:textId="77777777" w:rsidR="00A33C74" w:rsidRPr="0006317D" w:rsidRDefault="00A33C74" w:rsidP="001667C6">
      <w:pPr>
        <w:pStyle w:val="paragraph"/>
        <w:numPr>
          <w:ilvl w:val="0"/>
          <w:numId w:val="91"/>
        </w:numPr>
        <w:spacing w:before="0" w:beforeAutospacing="0" w:after="0" w:afterAutospacing="0"/>
        <w:jc w:val="both"/>
        <w:textAlignment w:val="baseline"/>
        <w:rPr>
          <w:rFonts w:ascii="Calibri" w:hAnsi="Calibri" w:cs="Calibri"/>
          <w:sz w:val="21"/>
          <w:szCs w:val="21"/>
          <w:lang w:val="en-US"/>
        </w:rPr>
      </w:pPr>
      <w:r>
        <w:rPr>
          <w:rStyle w:val="normaltextrun"/>
          <w:rFonts w:ascii="Calibri" w:hAnsi="Calibri" w:cs="Calibri"/>
          <w:sz w:val="21"/>
          <w:szCs w:val="21"/>
        </w:rPr>
        <w:t>ensuring compliance with all OPA provisions during implementation, including timely reporting and financial management; </w:t>
      </w:r>
      <w:r w:rsidRPr="0006317D">
        <w:rPr>
          <w:rStyle w:val="eop"/>
          <w:rFonts w:ascii="Calibri" w:hAnsi="Calibri" w:cs="Calibri"/>
          <w:sz w:val="21"/>
          <w:szCs w:val="21"/>
          <w:lang w:val="en-US"/>
        </w:rPr>
        <w:t> </w:t>
      </w:r>
    </w:p>
    <w:p w14:paraId="67E810FD" w14:textId="77777777" w:rsidR="00A33C74" w:rsidRPr="0006317D" w:rsidRDefault="00A33C74" w:rsidP="001667C6">
      <w:pPr>
        <w:pStyle w:val="paragraph"/>
        <w:numPr>
          <w:ilvl w:val="0"/>
          <w:numId w:val="91"/>
        </w:numPr>
        <w:spacing w:before="0" w:beforeAutospacing="0" w:after="0" w:afterAutospacing="0"/>
        <w:jc w:val="both"/>
        <w:textAlignment w:val="baseline"/>
        <w:rPr>
          <w:rFonts w:ascii="Calibri" w:hAnsi="Calibri" w:cs="Calibri"/>
          <w:sz w:val="21"/>
          <w:szCs w:val="21"/>
          <w:lang w:val="en-US"/>
        </w:rPr>
      </w:pPr>
      <w:r>
        <w:rPr>
          <w:rStyle w:val="normaltextrun"/>
          <w:rFonts w:ascii="Calibri" w:hAnsi="Calibri" w:cs="Calibri"/>
          <w:sz w:val="21"/>
          <w:szCs w:val="21"/>
        </w:rPr>
        <w:t>coordination and close monitoring of the implementation of project activities; </w:t>
      </w:r>
      <w:r w:rsidRPr="0006317D">
        <w:rPr>
          <w:rStyle w:val="eop"/>
          <w:rFonts w:ascii="Calibri" w:hAnsi="Calibri" w:cs="Calibri"/>
          <w:sz w:val="21"/>
          <w:szCs w:val="21"/>
          <w:lang w:val="en-US"/>
        </w:rPr>
        <w:t> </w:t>
      </w:r>
    </w:p>
    <w:p w14:paraId="4CE09A6B" w14:textId="77777777" w:rsidR="00A33C74" w:rsidRPr="0006317D" w:rsidRDefault="00A33C74" w:rsidP="001667C6">
      <w:pPr>
        <w:pStyle w:val="paragraph"/>
        <w:numPr>
          <w:ilvl w:val="0"/>
          <w:numId w:val="91"/>
        </w:numPr>
        <w:spacing w:before="0" w:beforeAutospacing="0" w:after="0" w:afterAutospacing="0"/>
        <w:jc w:val="both"/>
        <w:textAlignment w:val="baseline"/>
        <w:rPr>
          <w:rFonts w:ascii="Calibri" w:hAnsi="Calibri" w:cs="Calibri"/>
          <w:sz w:val="21"/>
          <w:szCs w:val="21"/>
          <w:lang w:val="en-US"/>
        </w:rPr>
      </w:pPr>
      <w:r>
        <w:rPr>
          <w:rStyle w:val="normaltextrun"/>
          <w:rFonts w:ascii="Calibri" w:hAnsi="Calibri" w:cs="Calibri"/>
          <w:sz w:val="21"/>
          <w:szCs w:val="21"/>
        </w:rPr>
        <w:t>tracking the project’s progress and ensuring timely delivery of inputs and outputs; </w:t>
      </w:r>
      <w:r w:rsidRPr="0006317D">
        <w:rPr>
          <w:rStyle w:val="eop"/>
          <w:rFonts w:ascii="Calibri" w:hAnsi="Calibri" w:cs="Calibri"/>
          <w:sz w:val="21"/>
          <w:szCs w:val="21"/>
          <w:lang w:val="en-US"/>
        </w:rPr>
        <w:t> </w:t>
      </w:r>
    </w:p>
    <w:p w14:paraId="5F90D2E9" w14:textId="77777777" w:rsidR="00A33C74" w:rsidRPr="0006317D" w:rsidRDefault="00A33C74" w:rsidP="001667C6">
      <w:pPr>
        <w:pStyle w:val="paragraph"/>
        <w:numPr>
          <w:ilvl w:val="0"/>
          <w:numId w:val="91"/>
        </w:numPr>
        <w:spacing w:before="0" w:beforeAutospacing="0" w:after="0" w:afterAutospacing="0"/>
        <w:jc w:val="both"/>
        <w:textAlignment w:val="baseline"/>
        <w:rPr>
          <w:rFonts w:ascii="Calibri" w:hAnsi="Calibri" w:cs="Calibri"/>
          <w:sz w:val="21"/>
          <w:szCs w:val="21"/>
          <w:lang w:val="en-US"/>
        </w:rPr>
      </w:pPr>
      <w:r>
        <w:rPr>
          <w:rStyle w:val="normaltextrun"/>
          <w:rFonts w:ascii="Calibri" w:hAnsi="Calibri" w:cs="Calibri"/>
          <w:sz w:val="21"/>
          <w:szCs w:val="21"/>
        </w:rPr>
        <w:t>providing technical support and assessing the outputs of project national consultants hired with GEF funds, as well as products generated from implementation of the project; </w:t>
      </w:r>
      <w:r w:rsidRPr="0006317D">
        <w:rPr>
          <w:rStyle w:val="eop"/>
          <w:rFonts w:ascii="Calibri" w:hAnsi="Calibri" w:cs="Calibri"/>
          <w:sz w:val="21"/>
          <w:szCs w:val="21"/>
          <w:lang w:val="en-US"/>
        </w:rPr>
        <w:t> </w:t>
      </w:r>
    </w:p>
    <w:p w14:paraId="51F81EE4" w14:textId="77777777" w:rsidR="00A33C74" w:rsidRPr="0006317D" w:rsidRDefault="00A33C74" w:rsidP="001667C6">
      <w:pPr>
        <w:pStyle w:val="paragraph"/>
        <w:numPr>
          <w:ilvl w:val="0"/>
          <w:numId w:val="91"/>
        </w:numPr>
        <w:spacing w:before="0" w:beforeAutospacing="0" w:after="0" w:afterAutospacing="0"/>
        <w:jc w:val="both"/>
        <w:textAlignment w:val="baseline"/>
        <w:rPr>
          <w:rFonts w:ascii="Calibri" w:hAnsi="Calibri" w:cs="Calibri"/>
          <w:sz w:val="21"/>
          <w:szCs w:val="21"/>
          <w:lang w:val="en-US"/>
        </w:rPr>
      </w:pPr>
      <w:r>
        <w:rPr>
          <w:rStyle w:val="normaltextrun"/>
          <w:rFonts w:ascii="Calibri" w:hAnsi="Calibri" w:cs="Calibri"/>
          <w:sz w:val="21"/>
          <w:szCs w:val="21"/>
        </w:rPr>
        <w:t>approve and manage requests for provision of financial resources using templates/formats provided in OPA annexes; </w:t>
      </w:r>
      <w:r w:rsidRPr="0006317D">
        <w:rPr>
          <w:rStyle w:val="eop"/>
          <w:rFonts w:ascii="Calibri" w:hAnsi="Calibri" w:cs="Calibri"/>
          <w:sz w:val="21"/>
          <w:szCs w:val="21"/>
          <w:lang w:val="en-US"/>
        </w:rPr>
        <w:t> </w:t>
      </w:r>
    </w:p>
    <w:p w14:paraId="36C60066" w14:textId="77777777" w:rsidR="00A33C74" w:rsidRPr="0006317D" w:rsidRDefault="00A33C74" w:rsidP="001667C6">
      <w:pPr>
        <w:pStyle w:val="paragraph"/>
        <w:numPr>
          <w:ilvl w:val="0"/>
          <w:numId w:val="91"/>
        </w:numPr>
        <w:spacing w:before="0" w:beforeAutospacing="0" w:after="0" w:afterAutospacing="0"/>
        <w:jc w:val="both"/>
        <w:textAlignment w:val="baseline"/>
        <w:rPr>
          <w:rFonts w:ascii="Calibri" w:hAnsi="Calibri" w:cs="Calibri"/>
          <w:sz w:val="21"/>
          <w:szCs w:val="21"/>
          <w:lang w:val="en-US"/>
        </w:rPr>
      </w:pPr>
      <w:r>
        <w:rPr>
          <w:rStyle w:val="normaltextrun"/>
          <w:rFonts w:ascii="Calibri" w:hAnsi="Calibri" w:cs="Calibri"/>
          <w:sz w:val="21"/>
          <w:szCs w:val="21"/>
        </w:rPr>
        <w:t>monitoring financial resources and accounting to ensure accuracy and reliability of financial reports; </w:t>
      </w:r>
      <w:r w:rsidRPr="0006317D">
        <w:rPr>
          <w:rStyle w:val="eop"/>
          <w:rFonts w:ascii="Calibri" w:hAnsi="Calibri" w:cs="Calibri"/>
          <w:sz w:val="21"/>
          <w:szCs w:val="21"/>
          <w:lang w:val="en-US"/>
        </w:rPr>
        <w:t> </w:t>
      </w:r>
    </w:p>
    <w:p w14:paraId="650A0E49" w14:textId="77777777" w:rsidR="00A33C74" w:rsidRPr="0006317D" w:rsidRDefault="00A33C74" w:rsidP="001667C6">
      <w:pPr>
        <w:pStyle w:val="paragraph"/>
        <w:numPr>
          <w:ilvl w:val="0"/>
          <w:numId w:val="91"/>
        </w:numPr>
        <w:spacing w:before="0" w:beforeAutospacing="0" w:after="0" w:afterAutospacing="0"/>
        <w:jc w:val="both"/>
        <w:textAlignment w:val="baseline"/>
        <w:rPr>
          <w:rFonts w:ascii="Calibri" w:hAnsi="Calibri" w:cs="Calibri"/>
          <w:sz w:val="21"/>
          <w:szCs w:val="21"/>
          <w:lang w:val="en-US"/>
        </w:rPr>
      </w:pPr>
      <w:r>
        <w:rPr>
          <w:rStyle w:val="normaltextrun"/>
          <w:rFonts w:ascii="Calibri" w:hAnsi="Calibri" w:cs="Calibri"/>
          <w:sz w:val="21"/>
          <w:szCs w:val="21"/>
        </w:rPr>
        <w:t>ensuring timely preparation and submission of requests for funds, financial and progress reports to FAO as per OPA reporting requirements; </w:t>
      </w:r>
      <w:r w:rsidRPr="0006317D">
        <w:rPr>
          <w:rStyle w:val="eop"/>
          <w:rFonts w:ascii="Calibri" w:hAnsi="Calibri" w:cs="Calibri"/>
          <w:sz w:val="21"/>
          <w:szCs w:val="21"/>
          <w:lang w:val="en-US"/>
        </w:rPr>
        <w:t> </w:t>
      </w:r>
    </w:p>
    <w:p w14:paraId="4DD3006D" w14:textId="77777777" w:rsidR="00A33C74" w:rsidRPr="0006317D" w:rsidRDefault="00A33C74" w:rsidP="001667C6">
      <w:pPr>
        <w:pStyle w:val="paragraph"/>
        <w:numPr>
          <w:ilvl w:val="0"/>
          <w:numId w:val="91"/>
        </w:numPr>
        <w:spacing w:before="0" w:beforeAutospacing="0" w:after="0" w:afterAutospacing="0"/>
        <w:jc w:val="both"/>
        <w:textAlignment w:val="baseline"/>
        <w:rPr>
          <w:rFonts w:ascii="Calibri" w:hAnsi="Calibri" w:cs="Calibri"/>
          <w:sz w:val="21"/>
          <w:szCs w:val="21"/>
          <w:lang w:val="en-US"/>
        </w:rPr>
      </w:pPr>
      <w:r>
        <w:rPr>
          <w:rStyle w:val="normaltextrun"/>
          <w:rFonts w:ascii="Calibri" w:hAnsi="Calibri" w:cs="Calibri"/>
          <w:sz w:val="21"/>
          <w:szCs w:val="21"/>
        </w:rPr>
        <w:t>maintaining documentation and evidence that describes the proper and prudent use of project resources as per OPA provisions, including making available such supporting documentation to FAO and designated auditors when requested; </w:t>
      </w:r>
      <w:r w:rsidRPr="0006317D">
        <w:rPr>
          <w:rStyle w:val="eop"/>
          <w:rFonts w:ascii="Calibri" w:hAnsi="Calibri" w:cs="Calibri"/>
          <w:sz w:val="21"/>
          <w:szCs w:val="21"/>
          <w:lang w:val="en-US"/>
        </w:rPr>
        <w:t> </w:t>
      </w:r>
    </w:p>
    <w:p w14:paraId="32C443BE" w14:textId="77777777" w:rsidR="00A33C74" w:rsidRPr="0006317D" w:rsidRDefault="00A33C74" w:rsidP="001667C6">
      <w:pPr>
        <w:pStyle w:val="paragraph"/>
        <w:numPr>
          <w:ilvl w:val="0"/>
          <w:numId w:val="91"/>
        </w:numPr>
        <w:spacing w:before="0" w:beforeAutospacing="0" w:after="0" w:afterAutospacing="0"/>
        <w:jc w:val="both"/>
        <w:textAlignment w:val="baseline"/>
        <w:rPr>
          <w:rFonts w:ascii="Calibri" w:hAnsi="Calibri" w:cs="Calibri"/>
          <w:sz w:val="21"/>
          <w:szCs w:val="21"/>
          <w:lang w:val="en-US"/>
        </w:rPr>
      </w:pPr>
      <w:r>
        <w:rPr>
          <w:rStyle w:val="normaltextrun"/>
          <w:rFonts w:ascii="Calibri" w:hAnsi="Calibri" w:cs="Calibri"/>
          <w:sz w:val="21"/>
          <w:szCs w:val="21"/>
        </w:rPr>
        <w:t>implementing and managing the project’s monitoring and communications plans; </w:t>
      </w:r>
      <w:r w:rsidRPr="0006317D">
        <w:rPr>
          <w:rStyle w:val="eop"/>
          <w:rFonts w:ascii="Calibri" w:hAnsi="Calibri" w:cs="Calibri"/>
          <w:sz w:val="21"/>
          <w:szCs w:val="21"/>
          <w:lang w:val="en-US"/>
        </w:rPr>
        <w:t> </w:t>
      </w:r>
    </w:p>
    <w:p w14:paraId="2E67AA50" w14:textId="77777777" w:rsidR="00A33C74" w:rsidRPr="0006317D" w:rsidRDefault="00A33C74" w:rsidP="001667C6">
      <w:pPr>
        <w:pStyle w:val="paragraph"/>
        <w:numPr>
          <w:ilvl w:val="0"/>
          <w:numId w:val="91"/>
        </w:numPr>
        <w:spacing w:before="0" w:beforeAutospacing="0" w:after="0" w:afterAutospacing="0"/>
        <w:jc w:val="both"/>
        <w:textAlignment w:val="baseline"/>
        <w:rPr>
          <w:rFonts w:ascii="Calibri" w:hAnsi="Calibri" w:cs="Calibri"/>
          <w:sz w:val="21"/>
          <w:szCs w:val="21"/>
          <w:lang w:val="en-US"/>
        </w:rPr>
      </w:pPr>
      <w:r>
        <w:rPr>
          <w:rStyle w:val="normaltextrun"/>
          <w:rFonts w:ascii="Calibri" w:hAnsi="Calibri" w:cs="Calibri"/>
          <w:sz w:val="21"/>
          <w:szCs w:val="21"/>
        </w:rPr>
        <w:t>organizing project workshops and meetings to monitor progress and preparing the Annual Budget and Work Plan; </w:t>
      </w:r>
      <w:r w:rsidRPr="0006317D">
        <w:rPr>
          <w:rStyle w:val="eop"/>
          <w:rFonts w:ascii="Calibri" w:hAnsi="Calibri" w:cs="Calibri"/>
          <w:sz w:val="21"/>
          <w:szCs w:val="21"/>
          <w:lang w:val="en-US"/>
        </w:rPr>
        <w:t> </w:t>
      </w:r>
    </w:p>
    <w:p w14:paraId="59FD942E" w14:textId="77777777" w:rsidR="00A33C74" w:rsidRPr="0006317D" w:rsidRDefault="00A33C74" w:rsidP="001667C6">
      <w:pPr>
        <w:pStyle w:val="paragraph"/>
        <w:numPr>
          <w:ilvl w:val="0"/>
          <w:numId w:val="91"/>
        </w:numPr>
        <w:spacing w:before="0" w:beforeAutospacing="0" w:after="0" w:afterAutospacing="0"/>
        <w:jc w:val="both"/>
        <w:textAlignment w:val="baseline"/>
        <w:rPr>
          <w:rFonts w:ascii="Calibri" w:hAnsi="Calibri" w:cs="Calibri"/>
          <w:sz w:val="21"/>
          <w:szCs w:val="21"/>
          <w:lang w:val="en-US"/>
        </w:rPr>
      </w:pPr>
      <w:r>
        <w:rPr>
          <w:rStyle w:val="normaltextrun"/>
          <w:rFonts w:ascii="Calibri" w:hAnsi="Calibri" w:cs="Calibri"/>
          <w:sz w:val="21"/>
          <w:szCs w:val="21"/>
        </w:rPr>
        <w:t>submitting the six-monthly Project Progress Reports (PPRs) with the AWP/B to the PSC and FAO; </w:t>
      </w:r>
      <w:r w:rsidRPr="0006317D">
        <w:rPr>
          <w:rStyle w:val="eop"/>
          <w:rFonts w:ascii="Calibri" w:hAnsi="Calibri" w:cs="Calibri"/>
          <w:sz w:val="21"/>
          <w:szCs w:val="21"/>
          <w:lang w:val="en-US"/>
        </w:rPr>
        <w:t> </w:t>
      </w:r>
    </w:p>
    <w:p w14:paraId="702A8FBC" w14:textId="77777777" w:rsidR="00A33C74" w:rsidRPr="0006317D" w:rsidRDefault="00A33C74" w:rsidP="001667C6">
      <w:pPr>
        <w:pStyle w:val="paragraph"/>
        <w:numPr>
          <w:ilvl w:val="0"/>
          <w:numId w:val="91"/>
        </w:numPr>
        <w:spacing w:before="0" w:beforeAutospacing="0" w:after="0" w:afterAutospacing="0"/>
        <w:jc w:val="both"/>
        <w:textAlignment w:val="baseline"/>
        <w:rPr>
          <w:rFonts w:ascii="Calibri" w:hAnsi="Calibri" w:cs="Calibri"/>
          <w:sz w:val="21"/>
          <w:szCs w:val="21"/>
          <w:lang w:val="en-US"/>
        </w:rPr>
      </w:pPr>
      <w:r>
        <w:rPr>
          <w:rStyle w:val="normaltextrun"/>
          <w:rFonts w:ascii="Calibri" w:hAnsi="Calibri" w:cs="Calibri"/>
          <w:sz w:val="21"/>
          <w:szCs w:val="21"/>
        </w:rPr>
        <w:t>preparing the first draft of the Project Implementation Review (PIR); </w:t>
      </w:r>
      <w:r w:rsidRPr="0006317D">
        <w:rPr>
          <w:rStyle w:val="eop"/>
          <w:rFonts w:ascii="Calibri" w:hAnsi="Calibri" w:cs="Calibri"/>
          <w:sz w:val="21"/>
          <w:szCs w:val="21"/>
          <w:lang w:val="en-US"/>
        </w:rPr>
        <w:t> </w:t>
      </w:r>
    </w:p>
    <w:p w14:paraId="2BD91622" w14:textId="77777777" w:rsidR="00A33C74" w:rsidRPr="0006317D" w:rsidRDefault="00A33C74" w:rsidP="001667C6">
      <w:pPr>
        <w:pStyle w:val="paragraph"/>
        <w:numPr>
          <w:ilvl w:val="0"/>
          <w:numId w:val="91"/>
        </w:numPr>
        <w:spacing w:before="0" w:beforeAutospacing="0" w:after="0" w:afterAutospacing="0"/>
        <w:jc w:val="both"/>
        <w:textAlignment w:val="baseline"/>
        <w:rPr>
          <w:rFonts w:ascii="Calibri" w:hAnsi="Calibri" w:cs="Calibri"/>
          <w:sz w:val="21"/>
          <w:szCs w:val="21"/>
          <w:lang w:val="en-US"/>
        </w:rPr>
      </w:pPr>
      <w:r>
        <w:rPr>
          <w:rStyle w:val="normaltextrun"/>
          <w:rFonts w:ascii="Calibri" w:hAnsi="Calibri" w:cs="Calibri"/>
          <w:sz w:val="21"/>
          <w:szCs w:val="21"/>
        </w:rPr>
        <w:t>supporting the organization of the mid-term review and terminal evaluation of the project in close coordination with the FAO Budget Holder and FAO Independent Office of Evaluation (OED); </w:t>
      </w:r>
      <w:r w:rsidRPr="0006317D">
        <w:rPr>
          <w:rStyle w:val="eop"/>
          <w:rFonts w:ascii="Calibri" w:hAnsi="Calibri" w:cs="Calibri"/>
          <w:sz w:val="21"/>
          <w:szCs w:val="21"/>
          <w:lang w:val="en-US"/>
        </w:rPr>
        <w:t> </w:t>
      </w:r>
    </w:p>
    <w:p w14:paraId="4232F37D" w14:textId="77777777" w:rsidR="00A33C74" w:rsidRPr="0006317D" w:rsidRDefault="00A33C74" w:rsidP="001667C6">
      <w:pPr>
        <w:pStyle w:val="paragraph"/>
        <w:numPr>
          <w:ilvl w:val="0"/>
          <w:numId w:val="91"/>
        </w:numPr>
        <w:spacing w:before="0" w:beforeAutospacing="0" w:after="0" w:afterAutospacing="0"/>
        <w:jc w:val="both"/>
        <w:textAlignment w:val="baseline"/>
        <w:rPr>
          <w:rFonts w:ascii="Calibri" w:hAnsi="Calibri" w:cs="Calibri"/>
          <w:sz w:val="21"/>
          <w:szCs w:val="21"/>
          <w:lang w:val="en-US"/>
        </w:rPr>
      </w:pPr>
      <w:r>
        <w:rPr>
          <w:rStyle w:val="normaltextrun"/>
          <w:rFonts w:ascii="Calibri" w:hAnsi="Calibri" w:cs="Calibri"/>
          <w:sz w:val="21"/>
          <w:szCs w:val="21"/>
        </w:rPr>
        <w:t>submitting the OP six-monthly technical and financial reports to FAO and facilitating information exchange between the OP and FAO, if needed; </w:t>
      </w:r>
      <w:r w:rsidRPr="0006317D">
        <w:rPr>
          <w:rStyle w:val="eop"/>
          <w:rFonts w:ascii="Calibri" w:hAnsi="Calibri" w:cs="Calibri"/>
          <w:sz w:val="21"/>
          <w:szCs w:val="21"/>
          <w:lang w:val="en-US"/>
        </w:rPr>
        <w:t> </w:t>
      </w:r>
    </w:p>
    <w:p w14:paraId="37B3D3C8" w14:textId="77777777" w:rsidR="00A33C74" w:rsidRPr="0006317D" w:rsidRDefault="00A33C74" w:rsidP="001667C6">
      <w:pPr>
        <w:pStyle w:val="paragraph"/>
        <w:numPr>
          <w:ilvl w:val="0"/>
          <w:numId w:val="91"/>
        </w:numPr>
        <w:spacing w:before="0" w:beforeAutospacing="0" w:after="0" w:afterAutospacing="0"/>
        <w:jc w:val="both"/>
        <w:textAlignment w:val="baseline"/>
        <w:rPr>
          <w:rFonts w:ascii="Calibri" w:hAnsi="Calibri" w:cs="Calibri"/>
          <w:sz w:val="21"/>
          <w:szCs w:val="21"/>
          <w:lang w:val="en-US"/>
        </w:rPr>
      </w:pPr>
      <w:r>
        <w:rPr>
          <w:rStyle w:val="normaltextrun"/>
          <w:rFonts w:ascii="Calibri" w:hAnsi="Calibri" w:cs="Calibri"/>
          <w:sz w:val="21"/>
          <w:szCs w:val="21"/>
        </w:rPr>
        <w:t>Informing the PSC and FAO of any delays and difficulties as they arise during project implementation to ensure timely corrective measures and support. </w:t>
      </w:r>
      <w:r w:rsidRPr="0006317D">
        <w:rPr>
          <w:rStyle w:val="eop"/>
          <w:rFonts w:ascii="Calibri" w:hAnsi="Calibri" w:cs="Calibri"/>
          <w:sz w:val="21"/>
          <w:szCs w:val="21"/>
          <w:lang w:val="en-US"/>
        </w:rPr>
        <w:t> </w:t>
      </w:r>
    </w:p>
    <w:p w14:paraId="08D0838A" w14:textId="77777777" w:rsidR="00A33C74" w:rsidRPr="0006317D" w:rsidRDefault="00A33C74" w:rsidP="001667C6">
      <w:pPr>
        <w:pStyle w:val="ParagraphOED"/>
        <w:numPr>
          <w:ilvl w:val="0"/>
          <w:numId w:val="102"/>
        </w:numPr>
        <w:spacing w:before="240" w:after="160"/>
      </w:pPr>
      <w:r>
        <w:t xml:space="preserve">The Food and Agriculture Organization (FAO) will be the GEF Implementing Agency (IA) for the Project, providing project cycle management and support services as established in the GEF </w:t>
      </w:r>
      <w:r>
        <w:lastRenderedPageBreak/>
        <w:t>Policy. As the GEF IA, FAO holds overall accountability and responsibility to the GEF for delivery of the results. In the IA role, FAO will utilize the GEF fees to deploy three different actors within the organization to support the project:</w:t>
      </w:r>
      <w:r w:rsidRPr="1E65A5F7">
        <w:rPr>
          <w:rStyle w:val="normaltextrun"/>
        </w:rPr>
        <w:t> </w:t>
      </w:r>
      <w:r w:rsidRPr="1E65A5F7">
        <w:rPr>
          <w:rStyle w:val="eop"/>
        </w:rPr>
        <w:t> </w:t>
      </w:r>
    </w:p>
    <w:p w14:paraId="4252FD7B" w14:textId="71FF3957" w:rsidR="00A33C74" w:rsidRPr="0006317D" w:rsidRDefault="68F5BF02" w:rsidP="001667C6">
      <w:pPr>
        <w:pStyle w:val="paragraph"/>
        <w:numPr>
          <w:ilvl w:val="0"/>
          <w:numId w:val="88"/>
        </w:numPr>
        <w:tabs>
          <w:tab w:val="clear" w:pos="720"/>
        </w:tabs>
        <w:spacing w:before="0" w:beforeAutospacing="0" w:after="0" w:afterAutospacing="0"/>
        <w:ind w:firstLine="0"/>
        <w:jc w:val="both"/>
        <w:textAlignment w:val="baseline"/>
        <w:rPr>
          <w:rFonts w:ascii="Calibri" w:hAnsi="Calibri" w:cs="Calibri"/>
          <w:sz w:val="21"/>
          <w:szCs w:val="21"/>
          <w:lang w:val="en-US"/>
        </w:rPr>
      </w:pPr>
      <w:r w:rsidRPr="2A5A2C00">
        <w:rPr>
          <w:rStyle w:val="normaltextrun"/>
          <w:rFonts w:ascii="Calibri" w:hAnsi="Calibri" w:cs="Calibri"/>
          <w:sz w:val="21"/>
          <w:szCs w:val="21"/>
        </w:rPr>
        <w:t>T</w:t>
      </w:r>
      <w:r w:rsidR="00A33C74" w:rsidRPr="2A5A2C00">
        <w:rPr>
          <w:rStyle w:val="normaltextrun"/>
          <w:rFonts w:ascii="Calibri" w:hAnsi="Calibri" w:cs="Calibri"/>
          <w:sz w:val="21"/>
          <w:szCs w:val="21"/>
        </w:rPr>
        <w:t>he</w:t>
      </w:r>
      <w:r w:rsidR="00A33C74">
        <w:rPr>
          <w:rStyle w:val="normaltextrun"/>
          <w:rFonts w:ascii="Calibri" w:hAnsi="Calibri" w:cs="Calibri"/>
          <w:sz w:val="21"/>
          <w:szCs w:val="21"/>
        </w:rPr>
        <w:t xml:space="preserve"> Budget Holder, which is usually the most decentralized FAO office, will provide oversight of day to day project execution; </w:t>
      </w:r>
      <w:r w:rsidR="00A33C74" w:rsidRPr="0006317D">
        <w:rPr>
          <w:rStyle w:val="eop"/>
          <w:rFonts w:ascii="Calibri" w:hAnsi="Calibri" w:cs="Calibri"/>
          <w:sz w:val="21"/>
          <w:szCs w:val="21"/>
          <w:lang w:val="en-US"/>
        </w:rPr>
        <w:t> </w:t>
      </w:r>
    </w:p>
    <w:p w14:paraId="04D321F1" w14:textId="77777777" w:rsidR="00A33C74" w:rsidRPr="0006317D" w:rsidRDefault="00A33C74" w:rsidP="001667C6">
      <w:pPr>
        <w:pStyle w:val="paragraph"/>
        <w:numPr>
          <w:ilvl w:val="0"/>
          <w:numId w:val="89"/>
        </w:numPr>
        <w:tabs>
          <w:tab w:val="clear" w:pos="720"/>
        </w:tabs>
        <w:spacing w:before="0" w:beforeAutospacing="0" w:after="0" w:afterAutospacing="0"/>
        <w:ind w:firstLine="0"/>
        <w:jc w:val="both"/>
        <w:textAlignment w:val="baseline"/>
        <w:rPr>
          <w:rFonts w:ascii="Calibri" w:hAnsi="Calibri" w:cs="Calibri"/>
          <w:sz w:val="21"/>
          <w:szCs w:val="21"/>
          <w:lang w:val="en-US"/>
        </w:rPr>
      </w:pPr>
      <w:r>
        <w:rPr>
          <w:rStyle w:val="normaltextrun"/>
          <w:rFonts w:ascii="Calibri" w:hAnsi="Calibri" w:cs="Calibri"/>
          <w:sz w:val="21"/>
          <w:szCs w:val="21"/>
          <w:lang w:val="en-US"/>
        </w:rPr>
        <w:t>T</w:t>
      </w:r>
      <w:r>
        <w:rPr>
          <w:rStyle w:val="normaltextrun"/>
          <w:rFonts w:ascii="Calibri" w:hAnsi="Calibri" w:cs="Calibri"/>
          <w:sz w:val="21"/>
          <w:szCs w:val="21"/>
        </w:rPr>
        <w:t>he Lead Technical Officer(s), drawn from across FAO will provide oversight/support to the project’s technical work in coordination with government representatives participating in the Project Steering Committee; and</w:t>
      </w:r>
      <w:r w:rsidRPr="0006317D">
        <w:rPr>
          <w:rStyle w:val="eop"/>
          <w:rFonts w:ascii="Calibri" w:hAnsi="Calibri" w:cs="Calibri"/>
          <w:sz w:val="21"/>
          <w:szCs w:val="21"/>
          <w:lang w:val="en-US"/>
        </w:rPr>
        <w:t> </w:t>
      </w:r>
    </w:p>
    <w:p w14:paraId="32C9CE41" w14:textId="77777777" w:rsidR="00A33C74" w:rsidRPr="0006317D" w:rsidRDefault="00A33C74" w:rsidP="001667C6">
      <w:pPr>
        <w:pStyle w:val="paragraph"/>
        <w:numPr>
          <w:ilvl w:val="0"/>
          <w:numId w:val="89"/>
        </w:numPr>
        <w:tabs>
          <w:tab w:val="clear" w:pos="720"/>
        </w:tabs>
        <w:spacing w:before="0" w:beforeAutospacing="0" w:after="0" w:afterAutospacing="0"/>
        <w:ind w:firstLine="0"/>
        <w:jc w:val="both"/>
        <w:textAlignment w:val="baseline"/>
        <w:rPr>
          <w:rFonts w:ascii="Calibri" w:hAnsi="Calibri" w:cs="Calibri"/>
          <w:sz w:val="21"/>
          <w:szCs w:val="21"/>
          <w:lang w:val="en-US"/>
        </w:rPr>
      </w:pPr>
      <w:r>
        <w:rPr>
          <w:rStyle w:val="normaltextrun"/>
          <w:rFonts w:ascii="Calibri" w:hAnsi="Calibri" w:cs="Calibri"/>
          <w:sz w:val="21"/>
          <w:szCs w:val="21"/>
        </w:rPr>
        <w:t>The Funding Liaison Officer(s) within FAO will monitor and support the project cycle to ensure that the project is being carried out and reporting done in accordance with agreed standards and requirements.</w:t>
      </w:r>
      <w:r w:rsidRPr="0006317D">
        <w:rPr>
          <w:rStyle w:val="eop"/>
          <w:rFonts w:ascii="Calibri" w:hAnsi="Calibri" w:cs="Calibri"/>
          <w:sz w:val="21"/>
          <w:szCs w:val="21"/>
          <w:lang w:val="en-US"/>
        </w:rPr>
        <w:t> </w:t>
      </w:r>
    </w:p>
    <w:p w14:paraId="02FA53D5" w14:textId="77777777" w:rsidR="00A33C74" w:rsidRPr="0006317D" w:rsidRDefault="00A33C74" w:rsidP="00A33C74">
      <w:pPr>
        <w:pStyle w:val="paragraph"/>
        <w:spacing w:before="0" w:beforeAutospacing="0" w:after="0" w:afterAutospacing="0"/>
        <w:textAlignment w:val="baseline"/>
        <w:rPr>
          <w:rFonts w:ascii="Calibri" w:hAnsi="Calibri" w:cs="Calibri"/>
          <w:sz w:val="21"/>
          <w:szCs w:val="21"/>
          <w:lang w:val="en-US"/>
        </w:rPr>
      </w:pPr>
      <w:r w:rsidRPr="0006317D">
        <w:rPr>
          <w:rStyle w:val="eop"/>
          <w:lang w:val="en-US"/>
        </w:rPr>
        <w:t> </w:t>
      </w:r>
    </w:p>
    <w:p w14:paraId="586EB90A" w14:textId="77777777" w:rsidR="00A33C74" w:rsidRPr="006A512A" w:rsidRDefault="00A33C74" w:rsidP="72409255">
      <w:pPr>
        <w:pStyle w:val="paragraph"/>
        <w:numPr>
          <w:ilvl w:val="0"/>
          <w:numId w:val="90"/>
        </w:numPr>
        <w:shd w:val="clear" w:color="auto" w:fill="FFFFFF" w:themeFill="background1"/>
        <w:spacing w:before="0" w:beforeAutospacing="0" w:after="0" w:afterAutospacing="0"/>
        <w:ind w:left="0" w:firstLine="0"/>
        <w:jc w:val="both"/>
        <w:textAlignment w:val="baseline"/>
        <w:rPr>
          <w:rStyle w:val="normaltextrun"/>
          <w:rFonts w:asciiTheme="minorHAnsi" w:eastAsiaTheme="minorEastAsia" w:hAnsiTheme="minorHAnsi" w:cstheme="minorBidi"/>
          <w:sz w:val="21"/>
          <w:szCs w:val="21"/>
          <w:lang w:val="en-US"/>
        </w:rPr>
      </w:pPr>
      <w:r w:rsidRPr="72409255">
        <w:rPr>
          <w:rStyle w:val="normaltextrun"/>
          <w:rFonts w:asciiTheme="minorHAnsi" w:eastAsiaTheme="minorEastAsia" w:hAnsiTheme="minorHAnsi" w:cstheme="minorBidi"/>
          <w:sz w:val="21"/>
          <w:szCs w:val="21"/>
          <w:shd w:val="clear" w:color="auto" w:fill="FFFFFF"/>
          <w:lang w:val="en-US"/>
        </w:rPr>
        <w:t>FAO responsibilities, as GEF agency, will include</w:t>
      </w:r>
    </w:p>
    <w:p w14:paraId="2ABDAA59" w14:textId="77777777" w:rsidR="00A33C74" w:rsidRPr="002B56D1" w:rsidRDefault="00A33C74" w:rsidP="001667C6">
      <w:pPr>
        <w:pStyle w:val="paragraph"/>
        <w:numPr>
          <w:ilvl w:val="0"/>
          <w:numId w:val="89"/>
        </w:numPr>
        <w:tabs>
          <w:tab w:val="clear" w:pos="720"/>
        </w:tabs>
        <w:spacing w:before="0" w:beforeAutospacing="0" w:after="0" w:afterAutospacing="0"/>
        <w:ind w:firstLine="0"/>
        <w:jc w:val="both"/>
        <w:textAlignment w:val="baseline"/>
        <w:rPr>
          <w:rStyle w:val="normaltextrun"/>
          <w:rFonts w:asciiTheme="minorHAnsi" w:eastAsiaTheme="minorEastAsia" w:hAnsiTheme="minorHAnsi" w:cstheme="minorBidi"/>
          <w:sz w:val="21"/>
          <w:szCs w:val="21"/>
        </w:rPr>
      </w:pPr>
      <w:r w:rsidRPr="72409255">
        <w:rPr>
          <w:rStyle w:val="normaltextrun"/>
          <w:rFonts w:asciiTheme="minorHAnsi" w:eastAsiaTheme="minorEastAsia" w:hAnsiTheme="minorHAnsi" w:cstheme="minorBidi"/>
          <w:sz w:val="21"/>
          <w:szCs w:val="21"/>
        </w:rPr>
        <w:t>Administer funds from GEF in accordance with the rules and procedures of FAO;  </w:t>
      </w:r>
    </w:p>
    <w:p w14:paraId="493CF086" w14:textId="614D1FEE" w:rsidR="00A33C74" w:rsidRPr="002B56D1" w:rsidRDefault="6B561FA3" w:rsidP="001667C6">
      <w:pPr>
        <w:pStyle w:val="paragraph"/>
        <w:numPr>
          <w:ilvl w:val="0"/>
          <w:numId w:val="89"/>
        </w:numPr>
        <w:tabs>
          <w:tab w:val="clear" w:pos="720"/>
        </w:tabs>
        <w:spacing w:before="0" w:beforeAutospacing="0" w:after="0" w:afterAutospacing="0"/>
        <w:ind w:firstLine="0"/>
        <w:jc w:val="both"/>
        <w:textAlignment w:val="baseline"/>
        <w:rPr>
          <w:rStyle w:val="normaltextrun"/>
          <w:rFonts w:asciiTheme="minorHAnsi" w:eastAsiaTheme="minorEastAsia" w:hAnsiTheme="minorHAnsi" w:cstheme="minorBidi"/>
          <w:sz w:val="21"/>
          <w:szCs w:val="21"/>
        </w:rPr>
      </w:pPr>
      <w:r w:rsidRPr="72409255">
        <w:rPr>
          <w:rStyle w:val="normaltextrun"/>
          <w:rFonts w:asciiTheme="minorHAnsi" w:eastAsiaTheme="minorEastAsia" w:hAnsiTheme="minorHAnsi" w:cstheme="minorBidi"/>
          <w:sz w:val="21"/>
          <w:szCs w:val="21"/>
        </w:rPr>
        <w:t>Oversee project implementation in accordance with the project document, work plans, budgets, agreements with co-financiers, Operational Partners Agreement(s)and other rules and procedures of FAO; </w:t>
      </w:r>
    </w:p>
    <w:p w14:paraId="41E41680" w14:textId="77777777" w:rsidR="00A33C74" w:rsidRPr="002B56D1" w:rsidRDefault="00A33C74" w:rsidP="001667C6">
      <w:pPr>
        <w:pStyle w:val="paragraph"/>
        <w:numPr>
          <w:ilvl w:val="0"/>
          <w:numId w:val="89"/>
        </w:numPr>
        <w:tabs>
          <w:tab w:val="clear" w:pos="720"/>
        </w:tabs>
        <w:spacing w:before="0" w:beforeAutospacing="0" w:after="0" w:afterAutospacing="0"/>
        <w:ind w:firstLine="0"/>
        <w:jc w:val="both"/>
        <w:textAlignment w:val="baseline"/>
        <w:rPr>
          <w:rStyle w:val="normaltextrun"/>
          <w:rFonts w:asciiTheme="minorHAnsi" w:eastAsiaTheme="minorEastAsia" w:hAnsiTheme="minorHAnsi" w:cstheme="minorBidi"/>
          <w:sz w:val="21"/>
          <w:szCs w:val="21"/>
        </w:rPr>
      </w:pPr>
      <w:r w:rsidRPr="72409255">
        <w:rPr>
          <w:rStyle w:val="normaltextrun"/>
          <w:rFonts w:asciiTheme="minorHAnsi" w:eastAsiaTheme="minorEastAsia" w:hAnsiTheme="minorHAnsi" w:cstheme="minorBidi"/>
          <w:sz w:val="21"/>
          <w:szCs w:val="21"/>
        </w:rPr>
        <w:t>Provide technical guidance to ensure that appropriate technical quality is applied to all activities concerned; </w:t>
      </w:r>
    </w:p>
    <w:p w14:paraId="664013D3" w14:textId="77777777" w:rsidR="00A33C74" w:rsidRPr="002B56D1" w:rsidRDefault="00A33C74" w:rsidP="001667C6">
      <w:pPr>
        <w:pStyle w:val="paragraph"/>
        <w:numPr>
          <w:ilvl w:val="0"/>
          <w:numId w:val="89"/>
        </w:numPr>
        <w:tabs>
          <w:tab w:val="clear" w:pos="720"/>
        </w:tabs>
        <w:spacing w:before="0" w:beforeAutospacing="0" w:after="0" w:afterAutospacing="0"/>
        <w:ind w:firstLine="0"/>
        <w:jc w:val="both"/>
        <w:textAlignment w:val="baseline"/>
        <w:rPr>
          <w:rStyle w:val="normaltextrun"/>
          <w:rFonts w:asciiTheme="minorHAnsi" w:eastAsiaTheme="minorEastAsia" w:hAnsiTheme="minorHAnsi" w:cstheme="minorBidi"/>
          <w:sz w:val="21"/>
          <w:szCs w:val="21"/>
        </w:rPr>
      </w:pPr>
      <w:r w:rsidRPr="72409255">
        <w:rPr>
          <w:rStyle w:val="normaltextrun"/>
          <w:rFonts w:asciiTheme="minorHAnsi" w:eastAsiaTheme="minorEastAsia" w:hAnsiTheme="minorHAnsi" w:cstheme="minorBidi"/>
          <w:sz w:val="21"/>
          <w:szCs w:val="21"/>
        </w:rPr>
        <w:t>Report to the GEF Secretariat and Evaluation Office, through the annual Project Implementation Review, Mid-Term Review, Terminal Evaluation and Project Closure Report on project progress;  </w:t>
      </w:r>
    </w:p>
    <w:p w14:paraId="43457200" w14:textId="77777777" w:rsidR="00A33C74" w:rsidRPr="002B56D1" w:rsidRDefault="00A33C74" w:rsidP="001667C6">
      <w:pPr>
        <w:pStyle w:val="paragraph"/>
        <w:numPr>
          <w:ilvl w:val="0"/>
          <w:numId w:val="89"/>
        </w:numPr>
        <w:tabs>
          <w:tab w:val="clear" w:pos="720"/>
        </w:tabs>
        <w:spacing w:before="0" w:beforeAutospacing="0" w:after="0" w:afterAutospacing="0"/>
        <w:ind w:firstLine="0"/>
        <w:jc w:val="both"/>
        <w:textAlignment w:val="baseline"/>
        <w:rPr>
          <w:rStyle w:val="normaltextrun"/>
          <w:rFonts w:asciiTheme="minorHAnsi" w:eastAsiaTheme="minorEastAsia" w:hAnsiTheme="minorHAnsi" w:cstheme="minorBidi"/>
          <w:sz w:val="21"/>
          <w:szCs w:val="21"/>
        </w:rPr>
      </w:pPr>
      <w:r w:rsidRPr="72409255">
        <w:rPr>
          <w:rStyle w:val="normaltextrun"/>
          <w:rFonts w:asciiTheme="minorHAnsi" w:eastAsiaTheme="minorEastAsia" w:hAnsiTheme="minorHAnsi" w:cstheme="minorBidi"/>
          <w:sz w:val="21"/>
          <w:szCs w:val="21"/>
        </w:rPr>
        <w:t>Conduct at least one supervision mission per year; and </w:t>
      </w:r>
    </w:p>
    <w:p w14:paraId="5A333680" w14:textId="77777777" w:rsidR="00A33C74" w:rsidRPr="002B56D1" w:rsidRDefault="00A33C74" w:rsidP="001667C6">
      <w:pPr>
        <w:pStyle w:val="paragraph"/>
        <w:numPr>
          <w:ilvl w:val="0"/>
          <w:numId w:val="89"/>
        </w:numPr>
        <w:tabs>
          <w:tab w:val="clear" w:pos="720"/>
        </w:tabs>
        <w:spacing w:before="0" w:beforeAutospacing="0" w:after="0" w:afterAutospacing="0"/>
        <w:ind w:firstLine="0"/>
        <w:jc w:val="both"/>
        <w:textAlignment w:val="baseline"/>
        <w:rPr>
          <w:rStyle w:val="normaltextrun"/>
          <w:rFonts w:asciiTheme="minorHAnsi" w:eastAsiaTheme="minorEastAsia" w:hAnsiTheme="minorHAnsi" w:cstheme="minorBidi"/>
          <w:sz w:val="21"/>
          <w:szCs w:val="21"/>
        </w:rPr>
      </w:pPr>
      <w:r w:rsidRPr="72409255">
        <w:rPr>
          <w:rStyle w:val="normaltextrun"/>
          <w:rFonts w:asciiTheme="minorHAnsi" w:eastAsiaTheme="minorEastAsia" w:hAnsiTheme="minorHAnsi" w:cstheme="minorBidi"/>
          <w:sz w:val="21"/>
          <w:szCs w:val="21"/>
        </w:rPr>
        <w:t>Financial reporting to the GEF Trustee. </w:t>
      </w:r>
    </w:p>
    <w:p w14:paraId="79BEB7CB" w14:textId="77777777" w:rsidR="00A33C74" w:rsidRPr="006A512A" w:rsidRDefault="00A33C74" w:rsidP="00A33C74">
      <w:pPr>
        <w:pStyle w:val="paragraph"/>
        <w:shd w:val="clear" w:color="auto" w:fill="FFFFFF"/>
        <w:spacing w:before="0" w:beforeAutospacing="0" w:after="0" w:afterAutospacing="0"/>
        <w:jc w:val="both"/>
        <w:textAlignment w:val="baseline"/>
        <w:rPr>
          <w:rStyle w:val="normaltextrun"/>
          <w:rFonts w:ascii="Calibri" w:hAnsi="Calibri" w:cs="Calibri"/>
          <w:sz w:val="21"/>
          <w:szCs w:val="21"/>
          <w:lang w:val="en-US"/>
        </w:rPr>
      </w:pPr>
    </w:p>
    <w:p w14:paraId="12C3D3E7" w14:textId="39D67BBB" w:rsidR="00A33C74" w:rsidRPr="006A512A" w:rsidRDefault="5E50D04F" w:rsidP="001667C6">
      <w:pPr>
        <w:pStyle w:val="paragraph"/>
        <w:numPr>
          <w:ilvl w:val="0"/>
          <w:numId w:val="90"/>
        </w:numPr>
        <w:shd w:val="clear" w:color="auto" w:fill="FFFFFF" w:themeFill="background1"/>
        <w:spacing w:before="0" w:beforeAutospacing="0" w:after="0" w:afterAutospacing="0"/>
        <w:ind w:left="0" w:firstLine="0"/>
        <w:jc w:val="both"/>
        <w:textAlignment w:val="baseline"/>
        <w:rPr>
          <w:rFonts w:ascii="Calibri" w:eastAsia="Calibri" w:hAnsi="Calibri" w:cs="Calibri"/>
          <w:b/>
          <w:bCs/>
          <w:color w:val="000000" w:themeColor="text1"/>
          <w:sz w:val="22"/>
          <w:szCs w:val="22"/>
        </w:rPr>
      </w:pPr>
      <w:r w:rsidRPr="006A512A">
        <w:rPr>
          <w:rStyle w:val="normaltextrun"/>
          <w:rFonts w:ascii="Calibri" w:hAnsi="Calibri" w:cs="Calibri"/>
          <w:sz w:val="21"/>
          <w:szCs w:val="21"/>
          <w:shd w:val="clear" w:color="auto" w:fill="FFFFFF"/>
          <w:lang w:val="en-US"/>
        </w:rPr>
        <w:t>Another relevant body of the</w:t>
      </w:r>
      <w:r>
        <w:rPr>
          <w:rStyle w:val="normaltextrun"/>
          <w:rFonts w:ascii="Calibri" w:hAnsi="Calibri" w:cs="Calibri"/>
          <w:sz w:val="21"/>
          <w:szCs w:val="21"/>
          <w:shd w:val="clear" w:color="auto" w:fill="FFFFFF"/>
          <w:lang w:val="en-US"/>
        </w:rPr>
        <w:t xml:space="preserve"> </w:t>
      </w:r>
      <w:r w:rsidRPr="006A512A">
        <w:rPr>
          <w:rStyle w:val="normaltextrun"/>
          <w:rFonts w:ascii="Calibri" w:hAnsi="Calibri" w:cs="Calibri"/>
          <w:sz w:val="21"/>
          <w:szCs w:val="21"/>
          <w:shd w:val="clear" w:color="auto" w:fill="FFFFFF"/>
          <w:lang w:val="en-US"/>
        </w:rPr>
        <w:t>Project Governance and Implementation Structure</w:t>
      </w:r>
      <w:r>
        <w:rPr>
          <w:rStyle w:val="normaltextrun"/>
          <w:rFonts w:ascii="Calibri" w:hAnsi="Calibri" w:cs="Calibri"/>
          <w:sz w:val="21"/>
          <w:szCs w:val="21"/>
          <w:shd w:val="clear" w:color="auto" w:fill="FFFFFF"/>
          <w:lang w:val="en-US"/>
        </w:rPr>
        <w:t xml:space="preserve"> is the </w:t>
      </w:r>
      <w:r w:rsidRPr="009D4983">
        <w:rPr>
          <w:rStyle w:val="normaltextrun"/>
          <w:rFonts w:ascii="Calibri" w:hAnsi="Calibri" w:cs="Calibri"/>
          <w:sz w:val="21"/>
          <w:szCs w:val="21"/>
          <w:u w:val="single"/>
          <w:shd w:val="clear" w:color="auto" w:fill="FFFFFF"/>
          <w:lang w:val="en-US"/>
        </w:rPr>
        <w:t>Integrated Technical Task Force</w:t>
      </w:r>
      <w:r>
        <w:rPr>
          <w:rStyle w:val="normaltextrun"/>
          <w:rFonts w:ascii="Calibri" w:hAnsi="Calibri" w:cs="Calibri"/>
          <w:sz w:val="21"/>
          <w:szCs w:val="21"/>
          <w:shd w:val="clear" w:color="auto" w:fill="FFFFFF"/>
          <w:lang w:val="en-US"/>
        </w:rPr>
        <w:t xml:space="preserve">. This Task Force, </w:t>
      </w:r>
      <w:r w:rsidRPr="7A8EE34C" w:rsidDel="5E50D04F">
        <w:rPr>
          <w:rStyle w:val="normaltextrun"/>
          <w:rFonts w:ascii="Calibri" w:hAnsi="Calibri" w:cs="Calibri"/>
          <w:sz w:val="21"/>
          <w:szCs w:val="21"/>
          <w:lang w:val="en-US"/>
        </w:rPr>
        <w:t>facilitated</w:t>
      </w:r>
      <w:r>
        <w:rPr>
          <w:rStyle w:val="normaltextrun"/>
          <w:rFonts w:ascii="Calibri" w:hAnsi="Calibri" w:cs="Calibri"/>
          <w:sz w:val="21"/>
          <w:szCs w:val="21"/>
          <w:shd w:val="clear" w:color="auto" w:fill="FFFFFF"/>
          <w:lang w:val="en-US"/>
        </w:rPr>
        <w:t xml:space="preserve"> by FAO in coordination with the PMUs will assure a coherent, integrated and coordinat</w:t>
      </w:r>
      <w:r w:rsidR="63F6CC27">
        <w:rPr>
          <w:rStyle w:val="normaltextrun"/>
          <w:rFonts w:ascii="Calibri" w:hAnsi="Calibri" w:cs="Calibri"/>
          <w:sz w:val="21"/>
          <w:szCs w:val="21"/>
          <w:shd w:val="clear" w:color="auto" w:fill="FFFFFF"/>
          <w:lang w:val="en-US"/>
        </w:rPr>
        <w:t>ed implementation</w:t>
      </w:r>
      <w:r>
        <w:rPr>
          <w:rStyle w:val="normaltextrun"/>
          <w:rFonts w:ascii="Calibri" w:hAnsi="Calibri" w:cs="Calibri"/>
          <w:sz w:val="21"/>
          <w:szCs w:val="21"/>
          <w:shd w:val="clear" w:color="auto" w:fill="FFFFFF"/>
          <w:lang w:val="en-US"/>
        </w:rPr>
        <w:t xml:space="preserve"> of t</w:t>
      </w:r>
      <w:r w:rsidRPr="7A8EE34C">
        <w:rPr>
          <w:rStyle w:val="normaltextrun"/>
          <w:rFonts w:ascii="Calibri" w:hAnsi="Calibri" w:cs="Calibri"/>
          <w:sz w:val="21"/>
          <w:szCs w:val="21"/>
          <w:lang w:val="en-US"/>
        </w:rPr>
        <w:t>he project. This Task force will meet a minimum of twice a year, however, the spirit of this Task force is answer in an effective and immediate way to the day-by-day challenges. The PMU will be the secretariat of the ITTF</w:t>
      </w:r>
      <w:r w:rsidR="55ED0BA1" w:rsidRPr="7A8EE34C">
        <w:rPr>
          <w:rStyle w:val="normaltextrun"/>
          <w:rFonts w:ascii="Calibri" w:hAnsi="Calibri" w:cs="Calibri"/>
          <w:sz w:val="21"/>
          <w:szCs w:val="21"/>
          <w:lang w:val="en-US"/>
        </w:rPr>
        <w:t xml:space="preserve"> and </w:t>
      </w:r>
      <w:r w:rsidR="55ED0BA1" w:rsidRPr="0028146F">
        <w:rPr>
          <w:rStyle w:val="normaltextrun"/>
          <w:rFonts w:ascii="Calibri" w:hAnsi="Calibri" w:cs="Calibri"/>
          <w:sz w:val="21"/>
          <w:szCs w:val="21"/>
          <w:highlight w:val="yellow"/>
          <w:lang w:val="en-US"/>
        </w:rPr>
        <w:t xml:space="preserve">the </w:t>
      </w:r>
      <w:r w:rsidR="55ED0BA1" w:rsidRPr="0028146F">
        <w:rPr>
          <w:rStyle w:val="normaltextrun"/>
          <w:rFonts w:ascii="Calibri" w:hAnsi="Calibri" w:cs="Calibri"/>
          <w:sz w:val="21"/>
          <w:szCs w:val="21"/>
          <w:highlight w:val="yellow"/>
        </w:rPr>
        <w:t>Execution Capacity development Support and ESS monitoring specialist</w:t>
      </w:r>
      <w:r w:rsidR="0D847AAE" w:rsidRPr="0028146F">
        <w:rPr>
          <w:rStyle w:val="normaltextrun"/>
          <w:rFonts w:ascii="Calibri" w:hAnsi="Calibri" w:cs="Calibri"/>
          <w:sz w:val="21"/>
          <w:szCs w:val="21"/>
          <w:highlight w:val="yellow"/>
        </w:rPr>
        <w:t xml:space="preserve"> will provide direct and specific guidance to this tasks force</w:t>
      </w:r>
      <w:r w:rsidR="0D847AAE" w:rsidRPr="7A8EE34C">
        <w:rPr>
          <w:rStyle w:val="normaltextrun"/>
          <w:rFonts w:ascii="Calibri" w:hAnsi="Calibri" w:cs="Calibri"/>
          <w:sz w:val="21"/>
          <w:szCs w:val="21"/>
        </w:rPr>
        <w:t>.</w:t>
      </w:r>
    </w:p>
    <w:p w14:paraId="249DEB25" w14:textId="13BBEFC0" w:rsidR="00A33C74" w:rsidRPr="006A512A" w:rsidRDefault="5E50D04F" w:rsidP="001667C6">
      <w:pPr>
        <w:pStyle w:val="paragraph"/>
        <w:numPr>
          <w:ilvl w:val="0"/>
          <w:numId w:val="90"/>
        </w:numPr>
        <w:shd w:val="clear" w:color="auto" w:fill="FFFFFF" w:themeFill="background1"/>
        <w:spacing w:before="0" w:beforeAutospacing="0" w:after="0" w:afterAutospacing="0"/>
        <w:ind w:left="0" w:firstLine="0"/>
        <w:jc w:val="both"/>
        <w:textAlignment w:val="baseline"/>
        <w:rPr>
          <w:sz w:val="21"/>
          <w:szCs w:val="21"/>
          <w:lang w:val="en-US"/>
        </w:rPr>
      </w:pPr>
      <w:r>
        <w:rPr>
          <w:rStyle w:val="normaltextrun"/>
          <w:rFonts w:ascii="Calibri" w:hAnsi="Calibri" w:cs="Calibri"/>
          <w:sz w:val="21"/>
          <w:szCs w:val="21"/>
          <w:shd w:val="clear" w:color="auto" w:fill="FFFFFF"/>
          <w:lang w:val="en-US"/>
        </w:rPr>
        <w:t>.All stakeholder involved in the project can be called to participate in the ITTF. Agenda and participants will be decide</w:t>
      </w:r>
      <w:r w:rsidR="7572C90B">
        <w:rPr>
          <w:rStyle w:val="normaltextrun"/>
          <w:rFonts w:ascii="Calibri" w:hAnsi="Calibri" w:cs="Calibri"/>
          <w:sz w:val="21"/>
          <w:szCs w:val="21"/>
          <w:shd w:val="clear" w:color="auto" w:fill="FFFFFF"/>
          <w:lang w:val="en-US"/>
        </w:rPr>
        <w:t>d</w:t>
      </w:r>
      <w:r>
        <w:rPr>
          <w:rStyle w:val="normaltextrun"/>
          <w:rFonts w:ascii="Calibri" w:hAnsi="Calibri" w:cs="Calibri"/>
          <w:sz w:val="21"/>
          <w:szCs w:val="21"/>
          <w:shd w:val="clear" w:color="auto" w:fill="FFFFFF"/>
          <w:lang w:val="en-US"/>
        </w:rPr>
        <w:t xml:space="preserve"> by PMU and FAO according to the project execution needs.</w:t>
      </w:r>
    </w:p>
    <w:p w14:paraId="75AC2BCA" w14:textId="5D0BE1F9" w:rsidR="009563B4" w:rsidRPr="001F4662" w:rsidRDefault="009563B4" w:rsidP="001F4662">
      <w:pPr>
        <w:pStyle w:val="Heading3"/>
        <w:shd w:val="clear" w:color="auto" w:fill="FFFFFF" w:themeFill="background1"/>
        <w:spacing w:before="240" w:after="160"/>
        <w:jc w:val="left"/>
        <w:rPr>
          <w:rFonts w:ascii="Calibri" w:hAnsi="Calibri" w:cs="Calibri"/>
          <w:bCs/>
          <w:color w:val="FFFFFF" w:themeColor="background1"/>
          <w:sz w:val="22"/>
          <w:szCs w:val="22"/>
          <w:highlight w:val="black"/>
        </w:rPr>
      </w:pPr>
      <w:r w:rsidRPr="001F4662">
        <w:rPr>
          <w:rFonts w:ascii="Calibri" w:hAnsi="Calibri" w:cs="Calibri"/>
          <w:bCs/>
          <w:color w:val="FFFFFF" w:themeColor="background1"/>
          <w:sz w:val="22"/>
          <w:szCs w:val="22"/>
          <w:highlight w:val="black"/>
        </w:rPr>
        <w:t>6b. Coordination with other relevant GEF-financed projects and other initiatives</w:t>
      </w:r>
      <w:bookmarkEnd w:id="286"/>
      <w:bookmarkEnd w:id="287"/>
    </w:p>
    <w:p w14:paraId="6918D898" w14:textId="3AEB7C61" w:rsidR="009563B4" w:rsidRPr="00CE1EA7" w:rsidRDefault="00313D1C" w:rsidP="001667C6">
      <w:pPr>
        <w:pStyle w:val="ParagraphOED"/>
        <w:numPr>
          <w:ilvl w:val="0"/>
          <w:numId w:val="102"/>
        </w:numPr>
        <w:spacing w:after="160"/>
      </w:pPr>
      <w:r w:rsidRPr="619CA689">
        <w:rPr>
          <w:lang w:val="en-GB"/>
        </w:rPr>
        <w:t>The project will coordinate with ongoing GEF and non- GEF initiatives in Angola to ensure synergies are generated, particularly with the GEF projects described below</w:t>
      </w:r>
      <w:r w:rsidR="008D7765" w:rsidRPr="619CA689">
        <w:rPr>
          <w:lang w:val="en-GB"/>
        </w:rPr>
        <w:t xml:space="preserve"> in </w:t>
      </w:r>
      <w:r w:rsidR="008D7765" w:rsidRPr="619CA689">
        <w:rPr>
          <w:u w:val="single"/>
        </w:rPr>
        <w:fldChar w:fldCharType="begin"/>
      </w:r>
      <w:r w:rsidR="008D7765" w:rsidRPr="619CA689">
        <w:rPr>
          <w:u w:val="single"/>
        </w:rPr>
        <w:instrText xml:space="preserve"> REF _Ref40735257 \h  \* MERGEFORMAT </w:instrText>
      </w:r>
      <w:r w:rsidR="008D7765" w:rsidRPr="619CA689">
        <w:rPr>
          <w:u w:val="single"/>
        </w:rPr>
      </w:r>
      <w:r w:rsidR="008D7765" w:rsidRPr="619CA689">
        <w:rPr>
          <w:u w:val="single"/>
        </w:rPr>
        <w:fldChar w:fldCharType="separate"/>
      </w:r>
      <w:r w:rsidR="00A64193" w:rsidRPr="00A64193">
        <w:rPr>
          <w:u w:val="single"/>
        </w:rPr>
        <w:t xml:space="preserve">Table </w:t>
      </w:r>
      <w:r w:rsidR="00A64193" w:rsidRPr="00A64193">
        <w:rPr>
          <w:noProof/>
          <w:u w:val="single"/>
        </w:rPr>
        <w:t>9</w:t>
      </w:r>
      <w:r w:rsidR="008D7765" w:rsidRPr="619CA689">
        <w:rPr>
          <w:u w:val="single"/>
        </w:rPr>
        <w:fldChar w:fldCharType="end"/>
      </w:r>
      <w:r w:rsidRPr="619CA689">
        <w:rPr>
          <w:lang w:val="en-GB"/>
        </w:rPr>
        <w:t>. Coordination with these initiatives will focus on exchanging lessons learned</w:t>
      </w:r>
      <w:r w:rsidR="008D7765" w:rsidRPr="619CA689">
        <w:rPr>
          <w:lang w:val="en-GB"/>
        </w:rPr>
        <w:t>,</w:t>
      </w:r>
      <w:r w:rsidRPr="619CA689">
        <w:rPr>
          <w:lang w:val="en-GB"/>
        </w:rPr>
        <w:t xml:space="preserve"> sharing technical expertise and</w:t>
      </w:r>
      <w:r w:rsidR="008D7765" w:rsidRPr="619CA689">
        <w:rPr>
          <w:lang w:val="en-GB"/>
        </w:rPr>
        <w:t>, where appropriate,</w:t>
      </w:r>
      <w:r w:rsidRPr="619CA689">
        <w:rPr>
          <w:lang w:val="en-GB"/>
        </w:rPr>
        <w:t xml:space="preserve"> establish</w:t>
      </w:r>
      <w:r w:rsidR="008D7765" w:rsidRPr="619CA689">
        <w:rPr>
          <w:lang w:val="en-GB"/>
        </w:rPr>
        <w:t xml:space="preserve"> </w:t>
      </w:r>
      <w:r w:rsidRPr="619CA689">
        <w:rPr>
          <w:lang w:val="en-GB"/>
        </w:rPr>
        <w:t>partnership agreements and joint work</w:t>
      </w:r>
      <w:r w:rsidR="008D7765" w:rsidRPr="619CA689">
        <w:rPr>
          <w:lang w:val="en-GB"/>
        </w:rPr>
        <w:t xml:space="preserve"> </w:t>
      </w:r>
      <w:r w:rsidRPr="619CA689">
        <w:rPr>
          <w:lang w:val="en-GB"/>
        </w:rPr>
        <w:t xml:space="preserve">plans. </w:t>
      </w:r>
      <w:r w:rsidR="00BD17EC" w:rsidRPr="619CA689">
        <w:rPr>
          <w:lang w:val="en-GB"/>
        </w:rPr>
        <w:t xml:space="preserve">The same applies to other non-GEF recent and ongoing baseline initiatives described in </w:t>
      </w:r>
      <w:r w:rsidR="003A522C">
        <w:rPr>
          <w:u w:val="single"/>
        </w:rPr>
        <w:t>Annex 3</w:t>
      </w:r>
      <w:r w:rsidR="00BD17EC" w:rsidRPr="619CA689">
        <w:rPr>
          <w:lang w:val="en-GB"/>
        </w:rPr>
        <w:t>.</w:t>
      </w:r>
      <w:r w:rsidR="008D7765">
        <w:t xml:space="preserve"> </w:t>
      </w:r>
    </w:p>
    <w:p w14:paraId="490D7603" w14:textId="5A515683" w:rsidR="009563B4" w:rsidRPr="008D7765" w:rsidRDefault="009563B4" w:rsidP="008D7765">
      <w:pPr>
        <w:pStyle w:val="Caption"/>
        <w:spacing w:before="160" w:after="80"/>
        <w:rPr>
          <w:rFonts w:ascii="Calibri" w:hAnsi="Calibri" w:cs="Calibri"/>
          <w:sz w:val="21"/>
          <w:szCs w:val="21"/>
        </w:rPr>
      </w:pPr>
      <w:bookmarkStart w:id="288" w:name="_Ref40735257"/>
      <w:bookmarkStart w:id="289" w:name="_Toc42027225"/>
      <w:bookmarkStart w:id="290" w:name="_Toc42089599"/>
      <w:bookmarkStart w:id="291" w:name="_Ref45478316"/>
      <w:bookmarkStart w:id="292" w:name="_Toc58398641"/>
      <w:r w:rsidRPr="008D7765">
        <w:rPr>
          <w:rFonts w:ascii="Calibri" w:hAnsi="Calibri" w:cs="Calibri"/>
          <w:sz w:val="21"/>
          <w:szCs w:val="21"/>
        </w:rPr>
        <w:t xml:space="preserve">Table </w:t>
      </w:r>
      <w:r w:rsidRPr="008D7765">
        <w:rPr>
          <w:rFonts w:ascii="Calibri" w:hAnsi="Calibri" w:cs="Calibri"/>
          <w:sz w:val="21"/>
          <w:szCs w:val="21"/>
        </w:rPr>
        <w:fldChar w:fldCharType="begin"/>
      </w:r>
      <w:r w:rsidRPr="008D7765">
        <w:rPr>
          <w:rFonts w:ascii="Calibri" w:hAnsi="Calibri" w:cs="Calibri"/>
          <w:sz w:val="21"/>
          <w:szCs w:val="21"/>
        </w:rPr>
        <w:instrText>SEQ Table \* ARABIC</w:instrText>
      </w:r>
      <w:r w:rsidRPr="008D7765">
        <w:rPr>
          <w:rFonts w:ascii="Calibri" w:hAnsi="Calibri" w:cs="Calibri"/>
          <w:sz w:val="21"/>
          <w:szCs w:val="21"/>
        </w:rPr>
        <w:fldChar w:fldCharType="separate"/>
      </w:r>
      <w:r w:rsidR="007D3608">
        <w:rPr>
          <w:rFonts w:ascii="Calibri" w:hAnsi="Calibri" w:cs="Calibri"/>
          <w:noProof/>
          <w:sz w:val="21"/>
          <w:szCs w:val="21"/>
        </w:rPr>
        <w:t>11</w:t>
      </w:r>
      <w:r w:rsidRPr="008D7765">
        <w:rPr>
          <w:rFonts w:ascii="Calibri" w:hAnsi="Calibri" w:cs="Calibri"/>
          <w:sz w:val="21"/>
          <w:szCs w:val="21"/>
        </w:rPr>
        <w:fldChar w:fldCharType="end"/>
      </w:r>
      <w:bookmarkEnd w:id="288"/>
      <w:r w:rsidRPr="008D7765">
        <w:rPr>
          <w:rFonts w:ascii="Calibri" w:hAnsi="Calibri" w:cs="Calibri"/>
          <w:sz w:val="21"/>
          <w:szCs w:val="21"/>
        </w:rPr>
        <w:t>. Other</w:t>
      </w:r>
      <w:r w:rsidR="008D7765">
        <w:rPr>
          <w:rFonts w:ascii="Calibri" w:hAnsi="Calibri" w:cs="Calibri"/>
          <w:sz w:val="21"/>
          <w:szCs w:val="21"/>
        </w:rPr>
        <w:t xml:space="preserve"> relevant</w:t>
      </w:r>
      <w:r w:rsidRPr="008D7765">
        <w:rPr>
          <w:rFonts w:ascii="Calibri" w:hAnsi="Calibri" w:cs="Calibri"/>
          <w:sz w:val="21"/>
          <w:szCs w:val="21"/>
        </w:rPr>
        <w:t xml:space="preserve"> GEF Projects: </w:t>
      </w:r>
      <w:r w:rsidR="008D7765">
        <w:rPr>
          <w:rFonts w:ascii="Calibri" w:hAnsi="Calibri" w:cs="Calibri"/>
          <w:sz w:val="21"/>
          <w:szCs w:val="21"/>
        </w:rPr>
        <w:t>l</w:t>
      </w:r>
      <w:r w:rsidRPr="008D7765">
        <w:rPr>
          <w:rFonts w:ascii="Calibri" w:hAnsi="Calibri" w:cs="Calibri"/>
          <w:sz w:val="21"/>
          <w:szCs w:val="21"/>
        </w:rPr>
        <w:t>essons, potential collaboration and synergies</w:t>
      </w:r>
      <w:bookmarkEnd w:id="289"/>
      <w:bookmarkEnd w:id="290"/>
      <w:bookmarkEnd w:id="291"/>
      <w:bookmarkEnd w:id="292"/>
    </w:p>
    <w:tbl>
      <w:tblPr>
        <w:tblW w:w="9217"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1E0" w:firstRow="1" w:lastRow="1" w:firstColumn="1" w:lastColumn="1" w:noHBand="0" w:noVBand="0"/>
      </w:tblPr>
      <w:tblGrid>
        <w:gridCol w:w="2370"/>
        <w:gridCol w:w="3442"/>
        <w:gridCol w:w="1843"/>
        <w:gridCol w:w="1562"/>
      </w:tblGrid>
      <w:tr w:rsidR="00DA42EB" w:rsidRPr="00BD17EC" w14:paraId="170F92E9" w14:textId="77777777" w:rsidTr="387CD9DC">
        <w:trPr>
          <w:tblHeader/>
        </w:trPr>
        <w:tc>
          <w:tcPr>
            <w:tcW w:w="2370" w:type="dxa"/>
            <w:shd w:val="clear" w:color="auto" w:fill="0D0D0D" w:themeFill="text1" w:themeFillTint="F2"/>
          </w:tcPr>
          <w:p w14:paraId="24752C21" w14:textId="77777777" w:rsidR="009563B4" w:rsidRPr="00BD17EC" w:rsidRDefault="009563B4" w:rsidP="00481CA4">
            <w:pPr>
              <w:rPr>
                <w:rFonts w:ascii="Calibri" w:hAnsi="Calibri" w:cs="Calibri"/>
                <w:b/>
                <w:bCs/>
                <w:sz w:val="18"/>
                <w:szCs w:val="18"/>
              </w:rPr>
            </w:pPr>
            <w:r w:rsidRPr="00BD17EC">
              <w:rPr>
                <w:rFonts w:ascii="Calibri" w:hAnsi="Calibri" w:cs="Calibri"/>
                <w:b/>
                <w:bCs/>
                <w:sz w:val="18"/>
                <w:szCs w:val="18"/>
              </w:rPr>
              <w:t>Project Title</w:t>
            </w:r>
          </w:p>
        </w:tc>
        <w:tc>
          <w:tcPr>
            <w:tcW w:w="3442" w:type="dxa"/>
            <w:shd w:val="clear" w:color="auto" w:fill="0D0D0D" w:themeFill="text1" w:themeFillTint="F2"/>
          </w:tcPr>
          <w:p w14:paraId="3E2ABC10" w14:textId="77777777" w:rsidR="009563B4" w:rsidRPr="00BD17EC" w:rsidRDefault="009563B4" w:rsidP="00481CA4">
            <w:pPr>
              <w:rPr>
                <w:rFonts w:ascii="Calibri" w:hAnsi="Calibri" w:cs="Calibri"/>
                <w:b/>
                <w:bCs/>
                <w:sz w:val="18"/>
                <w:szCs w:val="18"/>
              </w:rPr>
            </w:pPr>
            <w:r w:rsidRPr="00BD17EC">
              <w:rPr>
                <w:rFonts w:ascii="Calibri" w:hAnsi="Calibri" w:cs="Calibri"/>
                <w:b/>
                <w:bCs/>
                <w:sz w:val="18"/>
                <w:szCs w:val="18"/>
              </w:rPr>
              <w:t>Description and purpose of collaboration / synergy</w:t>
            </w:r>
          </w:p>
        </w:tc>
        <w:tc>
          <w:tcPr>
            <w:tcW w:w="1843" w:type="dxa"/>
            <w:shd w:val="clear" w:color="auto" w:fill="0D0D0D" w:themeFill="text1" w:themeFillTint="F2"/>
          </w:tcPr>
          <w:p w14:paraId="087D95FF" w14:textId="77777777" w:rsidR="009563B4" w:rsidRPr="00BD17EC" w:rsidRDefault="009563B4" w:rsidP="00481CA4">
            <w:pPr>
              <w:rPr>
                <w:rFonts w:ascii="Calibri" w:hAnsi="Calibri" w:cs="Calibri"/>
                <w:b/>
                <w:bCs/>
                <w:sz w:val="18"/>
                <w:szCs w:val="18"/>
              </w:rPr>
            </w:pPr>
            <w:r w:rsidRPr="00BD17EC">
              <w:rPr>
                <w:rFonts w:ascii="Calibri" w:hAnsi="Calibri" w:cs="Calibri"/>
                <w:b/>
                <w:bCs/>
                <w:sz w:val="18"/>
                <w:szCs w:val="18"/>
              </w:rPr>
              <w:t>Duration and Status</w:t>
            </w:r>
          </w:p>
        </w:tc>
        <w:tc>
          <w:tcPr>
            <w:tcW w:w="1562" w:type="dxa"/>
            <w:shd w:val="clear" w:color="auto" w:fill="0D0D0D" w:themeFill="text1" w:themeFillTint="F2"/>
          </w:tcPr>
          <w:p w14:paraId="54F0057E" w14:textId="77777777" w:rsidR="009563B4" w:rsidRPr="00BD17EC" w:rsidRDefault="009563B4" w:rsidP="00481CA4">
            <w:pPr>
              <w:rPr>
                <w:rFonts w:ascii="Calibri" w:hAnsi="Calibri" w:cs="Calibri"/>
                <w:b/>
                <w:bCs/>
                <w:sz w:val="18"/>
                <w:szCs w:val="18"/>
              </w:rPr>
            </w:pPr>
            <w:r w:rsidRPr="00BD17EC">
              <w:rPr>
                <w:rFonts w:ascii="Calibri" w:hAnsi="Calibri" w:cs="Calibri"/>
                <w:b/>
                <w:bCs/>
                <w:sz w:val="18"/>
                <w:szCs w:val="18"/>
              </w:rPr>
              <w:t>Sector</w:t>
            </w:r>
          </w:p>
        </w:tc>
      </w:tr>
      <w:tr w:rsidR="003228B0" w:rsidRPr="00BD17EC" w14:paraId="736A3E72" w14:textId="77777777" w:rsidTr="008652ED">
        <w:tc>
          <w:tcPr>
            <w:tcW w:w="2370" w:type="dxa"/>
          </w:tcPr>
          <w:p w14:paraId="4B83A9D8" w14:textId="77777777" w:rsidR="009563B4" w:rsidRPr="00BD17EC" w:rsidRDefault="009563B4" w:rsidP="00481CA4">
            <w:pPr>
              <w:spacing w:line="254" w:lineRule="auto"/>
              <w:rPr>
                <w:rFonts w:ascii="Calibri" w:hAnsi="Calibri" w:cs="Calibri"/>
                <w:sz w:val="18"/>
                <w:szCs w:val="18"/>
              </w:rPr>
            </w:pPr>
            <w:r w:rsidRPr="00BD17EC">
              <w:rPr>
                <w:rFonts w:ascii="Calibri" w:hAnsi="Calibri" w:cs="Calibri"/>
                <w:b/>
                <w:bCs/>
                <w:sz w:val="18"/>
                <w:szCs w:val="18"/>
                <w:u w:val="single"/>
              </w:rPr>
              <w:t>New</w:t>
            </w:r>
            <w:r w:rsidRPr="00BD17EC">
              <w:rPr>
                <w:rFonts w:ascii="Calibri" w:hAnsi="Calibri" w:cs="Calibri"/>
                <w:b/>
                <w:bCs/>
                <w:sz w:val="18"/>
                <w:szCs w:val="18"/>
              </w:rPr>
              <w:t xml:space="preserve"> FAO GEF Project ZAEC</w:t>
            </w:r>
            <w:r w:rsidRPr="00BD17EC">
              <w:rPr>
                <w:rFonts w:ascii="Calibri" w:hAnsi="Calibri" w:cs="Calibri"/>
                <w:sz w:val="18"/>
                <w:szCs w:val="18"/>
              </w:rPr>
              <w:t>: Sustainable Land Management in target landscapes of Central Angola</w:t>
            </w:r>
          </w:p>
          <w:p w14:paraId="15179BF6" w14:textId="77777777" w:rsidR="009563B4" w:rsidRPr="00BD17EC" w:rsidRDefault="009563B4" w:rsidP="00481CA4">
            <w:pPr>
              <w:spacing w:line="254" w:lineRule="auto"/>
              <w:rPr>
                <w:rFonts w:ascii="Calibri" w:hAnsi="Calibri" w:cs="Calibri"/>
                <w:iCs/>
                <w:sz w:val="18"/>
                <w:szCs w:val="18"/>
              </w:rPr>
            </w:pPr>
          </w:p>
          <w:p w14:paraId="45C6F3B3" w14:textId="77777777" w:rsidR="009563B4" w:rsidRPr="00BD17EC" w:rsidRDefault="009563B4" w:rsidP="00481CA4">
            <w:pPr>
              <w:rPr>
                <w:rFonts w:ascii="Calibri" w:hAnsi="Calibri" w:cs="Calibri"/>
                <w:sz w:val="18"/>
                <w:szCs w:val="18"/>
                <w:lang w:val="pt-BR"/>
              </w:rPr>
            </w:pPr>
            <w:r w:rsidRPr="00BD17EC">
              <w:rPr>
                <w:rFonts w:ascii="Calibri" w:hAnsi="Calibri" w:cs="Calibri"/>
                <w:sz w:val="18"/>
                <w:szCs w:val="18"/>
                <w:lang w:val="pt-BR"/>
              </w:rPr>
              <w:t>(</w:t>
            </w:r>
            <w:r w:rsidRPr="00BD17EC">
              <w:rPr>
                <w:rFonts w:ascii="Calibri" w:hAnsi="Calibri" w:cs="Calibri"/>
                <w:i/>
                <w:iCs/>
                <w:sz w:val="18"/>
                <w:szCs w:val="18"/>
                <w:lang w:val="pt-BR"/>
              </w:rPr>
              <w:t>Gestão Sustentável de Terras em paisagens seleccionadas da Região Central de Angola -ZAEC</w:t>
            </w:r>
            <w:r w:rsidRPr="00BD17EC">
              <w:rPr>
                <w:rFonts w:ascii="Calibri" w:hAnsi="Calibri" w:cs="Calibri"/>
                <w:sz w:val="18"/>
                <w:szCs w:val="18"/>
                <w:lang w:val="pt-BR"/>
              </w:rPr>
              <w:t>)</w:t>
            </w:r>
          </w:p>
        </w:tc>
        <w:tc>
          <w:tcPr>
            <w:tcW w:w="3442" w:type="dxa"/>
          </w:tcPr>
          <w:p w14:paraId="7C7FF0DE" w14:textId="77777777" w:rsidR="009563B4" w:rsidRPr="00BD17EC" w:rsidRDefault="009563B4" w:rsidP="00BD17EC">
            <w:pPr>
              <w:spacing w:after="80" w:line="254" w:lineRule="auto"/>
              <w:rPr>
                <w:rFonts w:ascii="Calibri" w:hAnsi="Calibri" w:cs="Calibri"/>
                <w:sz w:val="18"/>
                <w:szCs w:val="18"/>
              </w:rPr>
            </w:pPr>
            <w:r w:rsidRPr="00BD17EC">
              <w:rPr>
                <w:rFonts w:ascii="Calibri" w:hAnsi="Calibri" w:cs="Calibri"/>
                <w:sz w:val="18"/>
                <w:szCs w:val="18"/>
              </w:rPr>
              <w:t xml:space="preserve">Project ZAEC aims to develop and apply Agro-Ecological Zoning (AEZ) methodologies techniques by focusing on a 1.6 million Wider Landscape in the provinces of Huambo and Benguela. LDN is also a central concept in the project. Along the above-mentioned relevance of these landscapes for land degradation and the proximity to CETAC to one of the four AECs in Angola (Chipipa), </w:t>
            </w:r>
            <w:r w:rsidRPr="00BD17EC">
              <w:rPr>
                <w:rFonts w:ascii="Calibri" w:hAnsi="Calibri" w:cs="Calibri"/>
                <w:sz w:val="18"/>
                <w:szCs w:val="18"/>
              </w:rPr>
              <w:lastRenderedPageBreak/>
              <w:t>there is a growing network of AP/FFSs in Huambo and Benguela and neighboring provinces, which are already delivering community-level extension services on a regular basis with the support from both government and a series of international projects set on upscaling the approach. This creates opportunities, which the project will seize, for actively engaging land users in local spatial planning of SLM based on AEZ and adopting SLM practices on the ground.</w:t>
            </w:r>
          </w:p>
          <w:p w14:paraId="1F45A692" w14:textId="2C0A555B" w:rsidR="009563B4" w:rsidRPr="00BD17EC" w:rsidRDefault="009563B4" w:rsidP="008D7765">
            <w:pPr>
              <w:spacing w:line="254" w:lineRule="auto"/>
              <w:rPr>
                <w:rFonts w:ascii="Calibri" w:hAnsi="Calibri" w:cs="Calibri"/>
                <w:sz w:val="18"/>
                <w:szCs w:val="18"/>
              </w:rPr>
            </w:pPr>
            <w:r w:rsidRPr="4D10DE74">
              <w:rPr>
                <w:rFonts w:ascii="Calibri" w:hAnsi="Calibri" w:cs="Calibri"/>
                <w:i/>
                <w:iCs/>
                <w:sz w:val="18"/>
                <w:szCs w:val="18"/>
                <w:u w:val="single"/>
              </w:rPr>
              <w:t>Purpose</w:t>
            </w:r>
            <w:r w:rsidRPr="4D10DE74">
              <w:rPr>
                <w:rFonts w:ascii="Calibri" w:hAnsi="Calibri" w:cs="Calibri"/>
                <w:i/>
                <w:iCs/>
                <w:sz w:val="18"/>
                <w:szCs w:val="18"/>
              </w:rPr>
              <w:t>: Work together towards developing M</w:t>
            </w:r>
            <w:r w:rsidR="47E59346" w:rsidRPr="4D10DE74">
              <w:rPr>
                <w:rFonts w:ascii="Calibri" w:hAnsi="Calibri" w:cs="Calibri"/>
                <w:i/>
                <w:iCs/>
                <w:sz w:val="18"/>
                <w:szCs w:val="18"/>
              </w:rPr>
              <w:t>CTA</w:t>
            </w:r>
            <w:r w:rsidRPr="4D10DE74">
              <w:rPr>
                <w:rFonts w:ascii="Calibri" w:hAnsi="Calibri" w:cs="Calibri"/>
                <w:i/>
                <w:iCs/>
                <w:sz w:val="18"/>
                <w:szCs w:val="18"/>
              </w:rPr>
              <w:t>’s capacity for GIS and related analysis. The collaborate on stakeholder engagement in the southern regions. and rangeland management, including the application of tools such as GreeNTD.</w:t>
            </w:r>
          </w:p>
        </w:tc>
        <w:tc>
          <w:tcPr>
            <w:tcW w:w="1843" w:type="dxa"/>
          </w:tcPr>
          <w:p w14:paraId="4E13E5F6" w14:textId="77777777" w:rsidR="009563B4" w:rsidRPr="00BD17EC" w:rsidRDefault="009563B4" w:rsidP="00481CA4">
            <w:pPr>
              <w:spacing w:line="254" w:lineRule="auto"/>
              <w:rPr>
                <w:rFonts w:ascii="Calibri" w:hAnsi="Calibri" w:cs="Calibri"/>
                <w:b/>
                <w:bCs/>
                <w:sz w:val="18"/>
                <w:szCs w:val="18"/>
                <w:u w:val="single"/>
              </w:rPr>
            </w:pPr>
            <w:r w:rsidRPr="00BD17EC">
              <w:rPr>
                <w:rFonts w:ascii="Calibri" w:hAnsi="Calibri" w:cs="Calibri"/>
                <w:b/>
                <w:bCs/>
                <w:sz w:val="18"/>
                <w:szCs w:val="18"/>
                <w:u w:val="single"/>
              </w:rPr>
              <w:lastRenderedPageBreak/>
              <w:t>Starting up in 2020</w:t>
            </w:r>
          </w:p>
          <w:p w14:paraId="6C69EDAC" w14:textId="77777777" w:rsidR="009563B4" w:rsidRPr="00BD17EC" w:rsidRDefault="009563B4" w:rsidP="00481CA4">
            <w:pPr>
              <w:spacing w:line="254" w:lineRule="auto"/>
              <w:rPr>
                <w:rFonts w:ascii="Calibri" w:hAnsi="Calibri" w:cs="Calibri"/>
                <w:sz w:val="18"/>
                <w:szCs w:val="18"/>
              </w:rPr>
            </w:pPr>
          </w:p>
          <w:p w14:paraId="36CFE17C" w14:textId="77777777" w:rsidR="009563B4" w:rsidRPr="00BD17EC" w:rsidRDefault="009563B4" w:rsidP="00481CA4">
            <w:pPr>
              <w:spacing w:line="254" w:lineRule="auto"/>
              <w:rPr>
                <w:rFonts w:ascii="Calibri" w:hAnsi="Calibri" w:cs="Calibri"/>
                <w:sz w:val="18"/>
                <w:szCs w:val="18"/>
              </w:rPr>
            </w:pPr>
            <w:r w:rsidRPr="00BD17EC">
              <w:rPr>
                <w:rFonts w:ascii="Calibri" w:hAnsi="Calibri" w:cs="Calibri"/>
                <w:sz w:val="18"/>
                <w:szCs w:val="18"/>
              </w:rPr>
              <w:t>Total project cost (US $ million): 2.639</w:t>
            </w:r>
          </w:p>
          <w:p w14:paraId="600A3194" w14:textId="77777777" w:rsidR="009563B4" w:rsidRPr="00BD17EC" w:rsidRDefault="009563B4" w:rsidP="00481CA4">
            <w:pPr>
              <w:spacing w:line="254" w:lineRule="auto"/>
              <w:rPr>
                <w:rFonts w:ascii="Calibri" w:hAnsi="Calibri" w:cs="Calibri"/>
                <w:sz w:val="18"/>
                <w:szCs w:val="18"/>
              </w:rPr>
            </w:pPr>
          </w:p>
          <w:p w14:paraId="021CEB50" w14:textId="77777777" w:rsidR="009563B4" w:rsidRPr="00BD17EC" w:rsidRDefault="009563B4" w:rsidP="00481CA4">
            <w:pPr>
              <w:rPr>
                <w:rFonts w:ascii="Calibri" w:hAnsi="Calibri" w:cs="Calibri"/>
                <w:sz w:val="18"/>
                <w:szCs w:val="18"/>
              </w:rPr>
            </w:pPr>
            <w:r w:rsidRPr="00BD17EC">
              <w:rPr>
                <w:rFonts w:ascii="Calibri" w:hAnsi="Calibri" w:cs="Calibri"/>
                <w:sz w:val="18"/>
                <w:szCs w:val="18"/>
              </w:rPr>
              <w:t>Implementing GEF agency: FAO</w:t>
            </w:r>
          </w:p>
        </w:tc>
        <w:tc>
          <w:tcPr>
            <w:tcW w:w="1562" w:type="dxa"/>
          </w:tcPr>
          <w:p w14:paraId="2A7C08CC" w14:textId="77777777" w:rsidR="009563B4" w:rsidRPr="00BD17EC" w:rsidRDefault="009563B4" w:rsidP="00481CA4">
            <w:pPr>
              <w:rPr>
                <w:rFonts w:ascii="Calibri" w:hAnsi="Calibri" w:cs="Calibri"/>
                <w:sz w:val="18"/>
                <w:szCs w:val="18"/>
              </w:rPr>
            </w:pPr>
            <w:r w:rsidRPr="00BD17EC">
              <w:rPr>
                <w:rFonts w:ascii="Calibri" w:hAnsi="Calibri" w:cs="Calibri"/>
                <w:sz w:val="18"/>
                <w:szCs w:val="18"/>
              </w:rPr>
              <w:t xml:space="preserve">Land </w:t>
            </w:r>
            <w:r w:rsidRPr="00BD17EC">
              <w:rPr>
                <w:rFonts w:ascii="Calibri" w:hAnsi="Calibri" w:cs="Calibri"/>
                <w:w w:val="95"/>
                <w:sz w:val="18"/>
                <w:szCs w:val="18"/>
              </w:rPr>
              <w:t xml:space="preserve">rehabilitation, </w:t>
            </w:r>
            <w:r w:rsidRPr="00BD17EC">
              <w:rPr>
                <w:rFonts w:ascii="Calibri" w:hAnsi="Calibri" w:cs="Calibri"/>
                <w:sz w:val="18"/>
                <w:szCs w:val="18"/>
              </w:rPr>
              <w:t>Agriculture, including GIS based tools for Landscape level planning and development of AEZ results</w:t>
            </w:r>
          </w:p>
        </w:tc>
      </w:tr>
      <w:tr w:rsidR="003228B0" w:rsidRPr="00BD17EC" w14:paraId="6DA39AF9" w14:textId="77777777" w:rsidTr="008652ED">
        <w:tc>
          <w:tcPr>
            <w:tcW w:w="2370" w:type="dxa"/>
          </w:tcPr>
          <w:p w14:paraId="4DEA7F11" w14:textId="77777777" w:rsidR="009563B4" w:rsidRPr="00BD17EC" w:rsidRDefault="009563B4" w:rsidP="00481CA4">
            <w:pPr>
              <w:rPr>
                <w:rFonts w:ascii="Calibri" w:hAnsi="Calibri" w:cs="Calibri"/>
                <w:sz w:val="18"/>
                <w:szCs w:val="18"/>
              </w:rPr>
            </w:pPr>
            <w:r w:rsidRPr="00BD17EC">
              <w:rPr>
                <w:rFonts w:ascii="Calibri" w:hAnsi="Calibri" w:cs="Calibri"/>
                <w:b/>
                <w:bCs/>
                <w:sz w:val="18"/>
                <w:szCs w:val="18"/>
              </w:rPr>
              <w:t>UNDP-GEF Project</w:t>
            </w:r>
            <w:r w:rsidRPr="00BD17EC">
              <w:rPr>
                <w:rFonts w:ascii="Calibri" w:hAnsi="Calibri" w:cs="Calibri"/>
                <w:sz w:val="18"/>
                <w:szCs w:val="18"/>
              </w:rPr>
              <w:t xml:space="preserve">: Promoting climate- resilient development and enhanced </w:t>
            </w:r>
            <w:r w:rsidRPr="00BD17EC">
              <w:rPr>
                <w:rFonts w:ascii="Calibri" w:hAnsi="Calibri" w:cs="Calibri"/>
                <w:spacing w:val="-3"/>
                <w:sz w:val="18"/>
                <w:szCs w:val="18"/>
              </w:rPr>
              <w:t xml:space="preserve">adaptive </w:t>
            </w:r>
            <w:r w:rsidRPr="00BD17EC">
              <w:rPr>
                <w:rFonts w:ascii="Calibri" w:hAnsi="Calibri" w:cs="Calibri"/>
                <w:sz w:val="18"/>
                <w:szCs w:val="18"/>
              </w:rPr>
              <w:t>capacity to withstand disaster risks in Angola's Cuvelai River Basin</w:t>
            </w:r>
          </w:p>
        </w:tc>
        <w:tc>
          <w:tcPr>
            <w:tcW w:w="3442" w:type="dxa"/>
          </w:tcPr>
          <w:p w14:paraId="38199F7E" w14:textId="77777777" w:rsidR="009563B4" w:rsidRPr="00BD17EC" w:rsidRDefault="009563B4" w:rsidP="00BD17EC">
            <w:pPr>
              <w:spacing w:after="80"/>
              <w:rPr>
                <w:rFonts w:ascii="Calibri" w:hAnsi="Calibri" w:cs="Calibri"/>
                <w:sz w:val="18"/>
                <w:szCs w:val="18"/>
              </w:rPr>
            </w:pPr>
            <w:r w:rsidRPr="00BD17EC">
              <w:rPr>
                <w:rFonts w:ascii="Calibri" w:hAnsi="Calibri" w:cs="Calibri"/>
                <w:sz w:val="18"/>
                <w:szCs w:val="18"/>
              </w:rPr>
              <w:t>The project is focused on strengthening the capacity of national and sub-national entities to monitor climate change, generate reliable hydro-meteorological information (including forecasts) and to be able to combine this information with other environmental and socio-economic data to improve evidence- based decision-making for early warning and</w:t>
            </w:r>
            <w:r w:rsidRPr="00BD17EC">
              <w:rPr>
                <w:rFonts w:ascii="Calibri" w:hAnsi="Calibri" w:cs="Calibri"/>
                <w:spacing w:val="9"/>
                <w:sz w:val="18"/>
                <w:szCs w:val="18"/>
              </w:rPr>
              <w:t xml:space="preserve"> </w:t>
            </w:r>
            <w:r w:rsidRPr="00BD17EC">
              <w:rPr>
                <w:rFonts w:ascii="Calibri" w:hAnsi="Calibri" w:cs="Calibri"/>
                <w:sz w:val="18"/>
                <w:szCs w:val="18"/>
              </w:rPr>
              <w:t>adaptation responses as well as planning.</w:t>
            </w:r>
          </w:p>
          <w:p w14:paraId="5D720582" w14:textId="749FBB6A" w:rsidR="009563B4" w:rsidRPr="00BD17EC" w:rsidRDefault="009563B4" w:rsidP="00481CA4">
            <w:pPr>
              <w:rPr>
                <w:rFonts w:ascii="Calibri" w:hAnsi="Calibri" w:cs="Calibri"/>
                <w:sz w:val="18"/>
                <w:szCs w:val="18"/>
              </w:rPr>
            </w:pPr>
            <w:r w:rsidRPr="00BD17EC">
              <w:rPr>
                <w:rFonts w:ascii="Calibri" w:hAnsi="Calibri" w:cs="Calibri"/>
                <w:sz w:val="18"/>
                <w:szCs w:val="18"/>
                <w:u w:val="single"/>
              </w:rPr>
              <w:t>Purpose</w:t>
            </w:r>
            <w:r w:rsidRPr="00BD17EC">
              <w:rPr>
                <w:rFonts w:ascii="Calibri" w:hAnsi="Calibri" w:cs="Calibri"/>
                <w:sz w:val="18"/>
                <w:szCs w:val="18"/>
              </w:rPr>
              <w:t xml:space="preserve">: Learn lessons and piggy-back on contact in view of improving the processes of stakeholder engagement, in particular in the region where the project is implemented. </w:t>
            </w:r>
          </w:p>
        </w:tc>
        <w:tc>
          <w:tcPr>
            <w:tcW w:w="1843" w:type="dxa"/>
          </w:tcPr>
          <w:p w14:paraId="7A4A29A9" w14:textId="2EE5CA85" w:rsidR="009563B4" w:rsidRPr="00BD17EC" w:rsidRDefault="009563B4" w:rsidP="00481CA4">
            <w:pPr>
              <w:rPr>
                <w:rFonts w:ascii="Calibri" w:hAnsi="Calibri" w:cs="Calibri"/>
                <w:sz w:val="18"/>
                <w:szCs w:val="18"/>
              </w:rPr>
            </w:pPr>
            <w:r w:rsidRPr="00BD17EC">
              <w:rPr>
                <w:rFonts w:ascii="Calibri" w:hAnsi="Calibri" w:cs="Calibri"/>
                <w:sz w:val="18"/>
                <w:szCs w:val="18"/>
              </w:rPr>
              <w:t>On-going since 2015</w:t>
            </w:r>
            <w:r w:rsidR="00BD17EC">
              <w:rPr>
                <w:rFonts w:ascii="Calibri" w:hAnsi="Calibri" w:cs="Calibri"/>
                <w:sz w:val="18"/>
                <w:szCs w:val="18"/>
              </w:rPr>
              <w:t>, ends</w:t>
            </w:r>
            <w:r w:rsidRPr="00BD17EC">
              <w:rPr>
                <w:rFonts w:ascii="Calibri" w:hAnsi="Calibri" w:cs="Calibri"/>
                <w:sz w:val="18"/>
                <w:szCs w:val="18"/>
              </w:rPr>
              <w:t xml:space="preserve"> in 2020</w:t>
            </w:r>
          </w:p>
          <w:p w14:paraId="0A2D25A5" w14:textId="77777777" w:rsidR="009563B4" w:rsidRPr="00BD17EC" w:rsidRDefault="009563B4" w:rsidP="00481CA4">
            <w:pPr>
              <w:rPr>
                <w:rFonts w:ascii="Calibri" w:hAnsi="Calibri" w:cs="Calibri"/>
                <w:sz w:val="18"/>
                <w:szCs w:val="18"/>
              </w:rPr>
            </w:pPr>
          </w:p>
          <w:p w14:paraId="0109D821" w14:textId="77777777" w:rsidR="009563B4" w:rsidRPr="00BD17EC" w:rsidRDefault="009563B4" w:rsidP="00481CA4">
            <w:pPr>
              <w:rPr>
                <w:rFonts w:ascii="Calibri" w:hAnsi="Calibri" w:cs="Calibri"/>
                <w:sz w:val="18"/>
                <w:szCs w:val="18"/>
              </w:rPr>
            </w:pPr>
            <w:r w:rsidRPr="00BD17EC">
              <w:rPr>
                <w:rFonts w:ascii="Calibri" w:hAnsi="Calibri" w:cs="Calibri"/>
                <w:sz w:val="18"/>
                <w:szCs w:val="18"/>
              </w:rPr>
              <w:t>Total project cost (US $ million): 37.179</w:t>
            </w:r>
          </w:p>
          <w:p w14:paraId="71B50B67" w14:textId="77777777" w:rsidR="009563B4" w:rsidRPr="00BD17EC" w:rsidRDefault="009563B4" w:rsidP="00481CA4">
            <w:pPr>
              <w:rPr>
                <w:rFonts w:ascii="Calibri" w:hAnsi="Calibri" w:cs="Calibri"/>
                <w:sz w:val="18"/>
                <w:szCs w:val="18"/>
              </w:rPr>
            </w:pPr>
          </w:p>
          <w:p w14:paraId="49836F12" w14:textId="77777777" w:rsidR="009563B4" w:rsidRPr="00BD17EC" w:rsidRDefault="009563B4" w:rsidP="00481CA4">
            <w:pPr>
              <w:rPr>
                <w:rFonts w:ascii="Calibri" w:hAnsi="Calibri" w:cs="Calibri"/>
                <w:sz w:val="18"/>
                <w:szCs w:val="18"/>
              </w:rPr>
            </w:pPr>
            <w:r w:rsidRPr="00BD17EC">
              <w:rPr>
                <w:rFonts w:ascii="Calibri" w:hAnsi="Calibri" w:cs="Calibri"/>
                <w:sz w:val="18"/>
                <w:szCs w:val="18"/>
              </w:rPr>
              <w:t>Implementing GEF agency: UNDP</w:t>
            </w:r>
          </w:p>
        </w:tc>
        <w:tc>
          <w:tcPr>
            <w:tcW w:w="1562" w:type="dxa"/>
          </w:tcPr>
          <w:p w14:paraId="51B6D203" w14:textId="27429A00" w:rsidR="009563B4" w:rsidRPr="00BD17EC" w:rsidRDefault="009563B4" w:rsidP="00BD17EC">
            <w:pPr>
              <w:rPr>
                <w:rFonts w:ascii="Calibri" w:hAnsi="Calibri" w:cs="Calibri"/>
                <w:sz w:val="18"/>
                <w:szCs w:val="18"/>
              </w:rPr>
            </w:pPr>
            <w:r w:rsidRPr="2ECADB71">
              <w:rPr>
                <w:rFonts w:ascii="Calibri" w:hAnsi="Calibri" w:cs="Calibri"/>
                <w:sz w:val="18"/>
                <w:szCs w:val="18"/>
              </w:rPr>
              <w:t>Early warning systems.</w:t>
            </w:r>
            <w:r w:rsidR="00BD17EC" w:rsidRPr="2ECADB71">
              <w:rPr>
                <w:rFonts w:ascii="Calibri" w:hAnsi="Calibri" w:cs="Calibri"/>
                <w:sz w:val="18"/>
                <w:szCs w:val="18"/>
              </w:rPr>
              <w:t xml:space="preserve"> </w:t>
            </w:r>
            <w:r w:rsidRPr="2ECADB71">
              <w:rPr>
                <w:rFonts w:ascii="Calibri" w:hAnsi="Calibri" w:cs="Calibri"/>
                <w:sz w:val="18"/>
                <w:szCs w:val="18"/>
              </w:rPr>
              <w:t>Disaster risk management</w:t>
            </w:r>
          </w:p>
        </w:tc>
      </w:tr>
      <w:tr w:rsidR="003228B0" w14:paraId="2D524792" w14:textId="77777777" w:rsidTr="008652ED">
        <w:tc>
          <w:tcPr>
            <w:tcW w:w="2370" w:type="dxa"/>
          </w:tcPr>
          <w:p w14:paraId="25ADD117" w14:textId="0B9F3715" w:rsidR="34C0B1DD" w:rsidRPr="009A1F3B" w:rsidRDefault="34C0B1DD" w:rsidP="2ECADB71">
            <w:pPr>
              <w:rPr>
                <w:sz w:val="18"/>
                <w:szCs w:val="18"/>
                <w:highlight w:val="yellow"/>
              </w:rPr>
            </w:pPr>
            <w:r w:rsidRPr="009A1F3B">
              <w:rPr>
                <w:rFonts w:ascii="Calibri" w:hAnsi="Calibri" w:cs="Calibri"/>
                <w:b/>
                <w:sz w:val="18"/>
                <w:szCs w:val="18"/>
                <w:highlight w:val="yellow"/>
              </w:rPr>
              <w:t>UNDP-GEF Project</w:t>
            </w:r>
            <w:r w:rsidRPr="009A1F3B">
              <w:rPr>
                <w:rFonts w:ascii="Calibri" w:hAnsi="Calibri" w:cs="Calibri"/>
                <w:sz w:val="18"/>
                <w:szCs w:val="18"/>
                <w:highlight w:val="yellow"/>
              </w:rPr>
              <w:t>:</w:t>
            </w:r>
          </w:p>
          <w:p w14:paraId="07161CAD" w14:textId="387BBBC6" w:rsidR="34C0B1DD" w:rsidRDefault="34C0B1DD" w:rsidP="2ECADB71">
            <w:pPr>
              <w:rPr>
                <w:sz w:val="18"/>
                <w:szCs w:val="18"/>
              </w:rPr>
            </w:pPr>
            <w:r w:rsidRPr="009A1F3B">
              <w:rPr>
                <w:sz w:val="18"/>
                <w:szCs w:val="18"/>
                <w:highlight w:val="yellow"/>
              </w:rPr>
              <w:t>Promotion of Sustainable Charcoal in Angola through a Value Chain Approach</w:t>
            </w:r>
          </w:p>
        </w:tc>
        <w:tc>
          <w:tcPr>
            <w:tcW w:w="3442" w:type="dxa"/>
          </w:tcPr>
          <w:p w14:paraId="655757A5" w14:textId="163B572B" w:rsidR="7EB08C15" w:rsidRPr="00984692" w:rsidRDefault="7535529F" w:rsidP="009A1F3B">
            <w:pPr>
              <w:spacing w:line="257" w:lineRule="auto"/>
              <w:rPr>
                <w:rFonts w:ascii="Calibri" w:eastAsia="Calibri" w:hAnsi="Calibri" w:cs="Calibri"/>
                <w:sz w:val="18"/>
                <w:szCs w:val="18"/>
                <w:highlight w:val="yellow"/>
                <w:lang w:val="en-US"/>
              </w:rPr>
            </w:pPr>
            <w:r w:rsidRPr="00984692">
              <w:rPr>
                <w:rFonts w:ascii="Calibri" w:eastAsia="Calibri" w:hAnsi="Calibri" w:cs="Calibri"/>
                <w:sz w:val="18"/>
                <w:szCs w:val="18"/>
                <w:highlight w:val="yellow"/>
                <w:lang w:val="en-US"/>
              </w:rPr>
              <w:t xml:space="preserve">The objective of this project is to reduce the current unsustainable and GHG-intensive mode of charcoal production and utilization from Angola’s Miombo woodlands via an integrated set of interventions in the national charcoal value chain. </w:t>
            </w:r>
          </w:p>
          <w:p w14:paraId="4E7DFCA7" w14:textId="7D34BE3A" w:rsidR="7EB08C15" w:rsidRPr="00984692" w:rsidRDefault="7535529F" w:rsidP="009A1F3B">
            <w:pPr>
              <w:spacing w:line="257" w:lineRule="auto"/>
              <w:rPr>
                <w:rFonts w:ascii="Calibri" w:eastAsia="Calibri" w:hAnsi="Calibri" w:cs="Calibri"/>
                <w:sz w:val="18"/>
                <w:szCs w:val="18"/>
                <w:highlight w:val="yellow"/>
                <w:lang w:val="en-US"/>
              </w:rPr>
            </w:pPr>
            <w:r w:rsidRPr="00984692">
              <w:rPr>
                <w:rFonts w:ascii="Calibri" w:eastAsia="Calibri" w:hAnsi="Calibri" w:cs="Calibri"/>
                <w:sz w:val="18"/>
                <w:szCs w:val="18"/>
                <w:highlight w:val="yellow"/>
                <w:lang w:val="en-US"/>
              </w:rPr>
              <w:t xml:space="preserve">Component 1 focuses on strengthening policy framework to support a sustainable charcoal value chain in Angola </w:t>
            </w:r>
            <w:r w:rsidR="7A647B62" w:rsidRPr="00984692">
              <w:rPr>
                <w:rFonts w:ascii="Calibri" w:eastAsia="Calibri" w:hAnsi="Calibri" w:cs="Calibri"/>
                <w:sz w:val="18"/>
                <w:szCs w:val="18"/>
                <w:highlight w:val="yellow"/>
                <w:lang w:val="en-US"/>
              </w:rPr>
              <w:t>by</w:t>
            </w:r>
            <w:r w:rsidR="19D41EEB" w:rsidRPr="00984692">
              <w:rPr>
                <w:rFonts w:ascii="Calibri" w:eastAsia="Calibri" w:hAnsi="Calibri" w:cs="Calibri"/>
                <w:sz w:val="18"/>
                <w:szCs w:val="18"/>
                <w:highlight w:val="yellow"/>
                <w:lang w:val="en-US"/>
              </w:rPr>
              <w:t xml:space="preserve"> develop</w:t>
            </w:r>
            <w:r w:rsidR="3A5E1894" w:rsidRPr="00984692">
              <w:rPr>
                <w:rFonts w:ascii="Calibri" w:eastAsia="Calibri" w:hAnsi="Calibri" w:cs="Calibri"/>
                <w:sz w:val="18"/>
                <w:szCs w:val="18"/>
                <w:highlight w:val="yellow"/>
                <w:lang w:val="en-US"/>
              </w:rPr>
              <w:t>ing</w:t>
            </w:r>
            <w:r w:rsidRPr="00984692">
              <w:rPr>
                <w:rFonts w:ascii="Calibri" w:eastAsia="Calibri" w:hAnsi="Calibri" w:cs="Calibri"/>
                <w:sz w:val="18"/>
                <w:szCs w:val="18"/>
                <w:highlight w:val="yellow"/>
                <w:lang w:val="en-US"/>
              </w:rPr>
              <w:t xml:space="preserve"> a certification scheme for sustainable charcoal</w:t>
            </w:r>
            <w:r w:rsidR="6C926FF7" w:rsidRPr="00984692">
              <w:rPr>
                <w:rFonts w:ascii="Calibri" w:eastAsia="Calibri" w:hAnsi="Calibri" w:cs="Calibri"/>
                <w:sz w:val="18"/>
                <w:szCs w:val="18"/>
                <w:highlight w:val="yellow"/>
                <w:lang w:val="en-US"/>
              </w:rPr>
              <w:t>,</w:t>
            </w:r>
            <w:r w:rsidRPr="00984692">
              <w:rPr>
                <w:rFonts w:ascii="Calibri" w:eastAsia="Calibri" w:hAnsi="Calibri" w:cs="Calibri"/>
                <w:sz w:val="18"/>
                <w:szCs w:val="18"/>
                <w:highlight w:val="yellow"/>
                <w:lang w:val="en-US"/>
              </w:rPr>
              <w:t xml:space="preserve"> including a mechanism </w:t>
            </w:r>
            <w:r w:rsidR="32D4DCE1" w:rsidRPr="00984692">
              <w:rPr>
                <w:rFonts w:ascii="Calibri" w:eastAsia="Calibri" w:hAnsi="Calibri" w:cs="Calibri"/>
                <w:sz w:val="18"/>
                <w:szCs w:val="18"/>
                <w:highlight w:val="yellow"/>
                <w:lang w:val="en-US"/>
              </w:rPr>
              <w:t>to</w:t>
            </w:r>
            <w:r w:rsidRPr="00984692">
              <w:rPr>
                <w:rFonts w:ascii="Calibri" w:eastAsia="Calibri" w:hAnsi="Calibri" w:cs="Calibri"/>
                <w:sz w:val="18"/>
                <w:szCs w:val="18"/>
                <w:highlight w:val="yellow"/>
                <w:lang w:val="en-US"/>
              </w:rPr>
              <w:t xml:space="preserve"> monitor, reporting  and </w:t>
            </w:r>
            <w:r w:rsidR="19D41EEB" w:rsidRPr="00984692">
              <w:rPr>
                <w:rFonts w:ascii="Calibri" w:eastAsia="Calibri" w:hAnsi="Calibri" w:cs="Calibri"/>
                <w:sz w:val="18"/>
                <w:szCs w:val="18"/>
                <w:highlight w:val="yellow"/>
                <w:lang w:val="en-US"/>
              </w:rPr>
              <w:t>verif</w:t>
            </w:r>
            <w:r w:rsidR="009A1F3B" w:rsidRPr="00984692">
              <w:rPr>
                <w:rFonts w:ascii="Calibri" w:eastAsia="Calibri" w:hAnsi="Calibri" w:cs="Calibri"/>
                <w:sz w:val="18"/>
                <w:szCs w:val="18"/>
                <w:highlight w:val="yellow"/>
                <w:lang w:val="en-US"/>
              </w:rPr>
              <w:t>ication</w:t>
            </w:r>
            <w:r w:rsidR="721A9245" w:rsidRPr="00984692">
              <w:rPr>
                <w:rFonts w:ascii="Calibri" w:eastAsia="Calibri" w:hAnsi="Calibri" w:cs="Calibri"/>
                <w:sz w:val="18"/>
                <w:szCs w:val="18"/>
                <w:highlight w:val="yellow"/>
                <w:lang w:val="en-US"/>
              </w:rPr>
              <w:t>y</w:t>
            </w:r>
            <w:r w:rsidRPr="00984692">
              <w:rPr>
                <w:rFonts w:ascii="Calibri" w:eastAsia="Calibri" w:hAnsi="Calibri" w:cs="Calibri"/>
                <w:sz w:val="18"/>
                <w:szCs w:val="18"/>
                <w:highlight w:val="yellow"/>
                <w:lang w:val="en-US"/>
              </w:rPr>
              <w:t xml:space="preserve"> (MRV) of charcoal production, distribution and commercialization</w:t>
            </w:r>
            <w:r w:rsidR="3F8CA031" w:rsidRPr="00984692">
              <w:rPr>
                <w:rFonts w:ascii="Calibri" w:eastAsia="Calibri" w:hAnsi="Calibri" w:cs="Calibri"/>
                <w:sz w:val="18"/>
                <w:szCs w:val="18"/>
                <w:highlight w:val="yellow"/>
                <w:lang w:val="en-US"/>
              </w:rPr>
              <w:t>. It</w:t>
            </w:r>
            <w:r w:rsidRPr="00984692">
              <w:rPr>
                <w:rFonts w:ascii="Calibri" w:eastAsia="Calibri" w:hAnsi="Calibri" w:cs="Calibri"/>
                <w:sz w:val="18"/>
                <w:szCs w:val="18"/>
                <w:highlight w:val="yellow"/>
                <w:lang w:val="en-US"/>
              </w:rPr>
              <w:t xml:space="preserve"> will Incorporate certified and sustainable charcoal and fuel-efficient stoves into national poverty reduction and rural development programs.</w:t>
            </w:r>
          </w:p>
          <w:p w14:paraId="488573DF" w14:textId="163B572B" w:rsidR="7EB08C15" w:rsidRPr="00984692" w:rsidRDefault="7535529F" w:rsidP="009A1F3B">
            <w:pPr>
              <w:spacing w:line="257" w:lineRule="auto"/>
              <w:rPr>
                <w:rFonts w:ascii="Calibri" w:eastAsia="Calibri" w:hAnsi="Calibri" w:cs="Calibri"/>
                <w:sz w:val="18"/>
                <w:szCs w:val="18"/>
                <w:highlight w:val="yellow"/>
                <w:lang w:val="en-US"/>
              </w:rPr>
            </w:pPr>
            <w:r w:rsidRPr="00984692">
              <w:rPr>
                <w:rFonts w:ascii="Calibri" w:eastAsia="Calibri" w:hAnsi="Calibri" w:cs="Calibri"/>
                <w:sz w:val="18"/>
                <w:szCs w:val="18"/>
                <w:highlight w:val="yellow"/>
                <w:lang w:val="en-US"/>
              </w:rPr>
              <w:t xml:space="preserve">Component 2 on technology transfer will demonstrate and introduce improved charcoal kilns among selected rural communities and energy-efficient technologies (briquetting and efficient stoves) in selected peri-urban municipalities of Luanda. Additionally, improved charcoal production technology will be integrated with </w:t>
            </w:r>
            <w:r w:rsidRPr="00984692">
              <w:rPr>
                <w:rFonts w:ascii="Calibri" w:eastAsia="Calibri" w:hAnsi="Calibri" w:cs="Calibri"/>
                <w:sz w:val="18"/>
                <w:szCs w:val="18"/>
                <w:highlight w:val="yellow"/>
                <w:lang w:val="en-US"/>
              </w:rPr>
              <w:lastRenderedPageBreak/>
              <w:t>sustainable forest management and rural development initiatives in rural communities</w:t>
            </w:r>
          </w:p>
          <w:p w14:paraId="5B7A3287" w14:textId="29D6F6CC" w:rsidR="7EB08C15" w:rsidRPr="00984692" w:rsidRDefault="7535529F" w:rsidP="009A1F3B">
            <w:pPr>
              <w:spacing w:line="257" w:lineRule="auto"/>
              <w:rPr>
                <w:rFonts w:ascii="Calibri" w:eastAsia="Calibri" w:hAnsi="Calibri" w:cs="Calibri"/>
                <w:sz w:val="18"/>
                <w:szCs w:val="18"/>
                <w:highlight w:val="yellow"/>
                <w:lang w:val="en-US"/>
              </w:rPr>
            </w:pPr>
            <w:r w:rsidRPr="00984692">
              <w:rPr>
                <w:rFonts w:ascii="Calibri" w:eastAsia="Calibri" w:hAnsi="Calibri" w:cs="Calibri"/>
                <w:sz w:val="18"/>
                <w:szCs w:val="18"/>
                <w:highlight w:val="yellow"/>
                <w:lang w:val="en-US"/>
              </w:rPr>
              <w:t>The project is implemented in rural areas (Huambo and Kwanza Sul) focusing on production, as well as in the urban and peri-urban areas of Luanda</w:t>
            </w:r>
            <w:r w:rsidR="1FC758DA" w:rsidRPr="00984692">
              <w:rPr>
                <w:rFonts w:ascii="Calibri" w:eastAsia="Calibri" w:hAnsi="Calibri" w:cs="Calibri"/>
                <w:sz w:val="18"/>
                <w:szCs w:val="18"/>
                <w:highlight w:val="yellow"/>
                <w:lang w:val="en-US"/>
              </w:rPr>
              <w:t xml:space="preserve"> to</w:t>
            </w:r>
            <w:r w:rsidRPr="00984692">
              <w:rPr>
                <w:rFonts w:ascii="Calibri" w:eastAsia="Calibri" w:hAnsi="Calibri" w:cs="Calibri"/>
                <w:sz w:val="18"/>
                <w:szCs w:val="18"/>
                <w:highlight w:val="yellow"/>
                <w:lang w:val="en-US"/>
              </w:rPr>
              <w:t xml:space="preserve"> focus on consumption.</w:t>
            </w:r>
          </w:p>
          <w:p w14:paraId="5F9B9B4F" w14:textId="487DF0FD" w:rsidR="006361B9" w:rsidRDefault="006361B9" w:rsidP="2ECADB71">
            <w:pPr>
              <w:rPr>
                <w:sz w:val="18"/>
                <w:szCs w:val="18"/>
              </w:rPr>
            </w:pPr>
            <w:r w:rsidRPr="00984692">
              <w:rPr>
                <w:rFonts w:ascii="Calibri" w:hAnsi="Calibri" w:cs="Calibri"/>
                <w:sz w:val="18"/>
                <w:szCs w:val="18"/>
                <w:highlight w:val="yellow"/>
                <w:u w:val="single"/>
              </w:rPr>
              <w:t xml:space="preserve">Purpose: </w:t>
            </w:r>
            <w:r w:rsidR="00AD3E46" w:rsidRPr="00984692">
              <w:rPr>
                <w:rFonts w:ascii="Calibri" w:hAnsi="Calibri" w:cs="Calibri"/>
                <w:sz w:val="18"/>
                <w:szCs w:val="18"/>
                <w:highlight w:val="yellow"/>
              </w:rPr>
              <w:t xml:space="preserve">collaborate in </w:t>
            </w:r>
            <w:r w:rsidR="0F6EDAB3" w:rsidRPr="00984692">
              <w:rPr>
                <w:rFonts w:ascii="Calibri" w:hAnsi="Calibri" w:cs="Calibri"/>
                <w:sz w:val="18"/>
                <w:szCs w:val="18"/>
                <w:highlight w:val="yellow"/>
              </w:rPr>
              <w:t>strengthening</w:t>
            </w:r>
            <w:r w:rsidR="00AD3E46" w:rsidRPr="00984692">
              <w:rPr>
                <w:rFonts w:ascii="Calibri" w:hAnsi="Calibri" w:cs="Calibri"/>
                <w:sz w:val="18"/>
                <w:szCs w:val="18"/>
                <w:highlight w:val="yellow"/>
              </w:rPr>
              <w:t xml:space="preserve"> the enabling environment </w:t>
            </w:r>
            <w:r w:rsidR="00AC36DB" w:rsidRPr="00984692">
              <w:rPr>
                <w:rFonts w:ascii="Calibri" w:hAnsi="Calibri" w:cs="Calibri"/>
                <w:sz w:val="18"/>
                <w:szCs w:val="18"/>
                <w:highlight w:val="yellow"/>
              </w:rPr>
              <w:t xml:space="preserve">including sustainable charcoal </w:t>
            </w:r>
            <w:r w:rsidR="2960C431" w:rsidRPr="00984692">
              <w:rPr>
                <w:rFonts w:ascii="Calibri" w:hAnsi="Calibri" w:cs="Calibri"/>
                <w:sz w:val="18"/>
                <w:szCs w:val="18"/>
                <w:highlight w:val="yellow"/>
              </w:rPr>
              <w:t>certification</w:t>
            </w:r>
            <w:r w:rsidR="003F3B0F" w:rsidRPr="00984692">
              <w:rPr>
                <w:rFonts w:ascii="Calibri" w:hAnsi="Calibri" w:cs="Calibri"/>
                <w:sz w:val="18"/>
                <w:szCs w:val="18"/>
                <w:highlight w:val="yellow"/>
              </w:rPr>
              <w:t xml:space="preserve"> and </w:t>
            </w:r>
            <w:r w:rsidR="00A315D1" w:rsidRPr="00984692">
              <w:rPr>
                <w:rFonts w:ascii="Calibri" w:hAnsi="Calibri" w:cs="Calibri"/>
                <w:sz w:val="18"/>
                <w:szCs w:val="18"/>
                <w:highlight w:val="yellow"/>
              </w:rPr>
              <w:t xml:space="preserve">complement </w:t>
            </w:r>
            <w:r w:rsidR="00BD29CA" w:rsidRPr="00984692">
              <w:rPr>
                <w:rFonts w:ascii="Calibri" w:hAnsi="Calibri" w:cs="Calibri"/>
                <w:sz w:val="18"/>
                <w:szCs w:val="18"/>
                <w:highlight w:val="yellow"/>
              </w:rPr>
              <w:t>efficient charcoal value chain</w:t>
            </w:r>
            <w:r w:rsidR="00562D3B" w:rsidRPr="00984692">
              <w:rPr>
                <w:rFonts w:ascii="Calibri" w:hAnsi="Calibri" w:cs="Calibri"/>
                <w:sz w:val="18"/>
                <w:szCs w:val="18"/>
                <w:highlight w:val="yellow"/>
              </w:rPr>
              <w:t xml:space="preserve"> (also by sharing lessons learned </w:t>
            </w:r>
            <w:r w:rsidR="00896AB5" w:rsidRPr="00984692">
              <w:rPr>
                <w:rFonts w:ascii="Calibri" w:hAnsi="Calibri" w:cs="Calibri"/>
                <w:sz w:val="18"/>
                <w:szCs w:val="18"/>
                <w:highlight w:val="yellow"/>
              </w:rPr>
              <w:t xml:space="preserve">through the REM </w:t>
            </w:r>
            <w:r w:rsidR="00BC7F27" w:rsidRPr="00984692">
              <w:rPr>
                <w:rFonts w:ascii="Calibri" w:hAnsi="Calibri" w:cs="Calibri"/>
                <w:sz w:val="18"/>
                <w:szCs w:val="18"/>
                <w:highlight w:val="yellow"/>
              </w:rPr>
              <w:t xml:space="preserve">on </w:t>
            </w:r>
            <w:r w:rsidR="00663CBE">
              <w:rPr>
                <w:rFonts w:ascii="Calibri" w:hAnsi="Calibri" w:cs="Calibri"/>
                <w:sz w:val="18"/>
                <w:szCs w:val="18"/>
                <w:highlight w:val="yellow"/>
              </w:rPr>
              <w:t xml:space="preserve">functional </w:t>
            </w:r>
            <w:r w:rsidR="00BC7F27" w:rsidRPr="00984692">
              <w:rPr>
                <w:rFonts w:ascii="Calibri" w:hAnsi="Calibri" w:cs="Calibri"/>
                <w:sz w:val="18"/>
                <w:szCs w:val="18"/>
                <w:highlight w:val="yellow"/>
              </w:rPr>
              <w:t xml:space="preserve">regulatory </w:t>
            </w:r>
            <w:r w:rsidR="00663CBE">
              <w:rPr>
                <w:rFonts w:ascii="Calibri" w:hAnsi="Calibri" w:cs="Calibri"/>
                <w:sz w:val="18"/>
                <w:szCs w:val="18"/>
                <w:highlight w:val="yellow"/>
              </w:rPr>
              <w:t>frameworks for sustainable charcoal produ</w:t>
            </w:r>
            <w:r w:rsidR="000D4887">
              <w:rPr>
                <w:rFonts w:ascii="Calibri" w:hAnsi="Calibri" w:cs="Calibri"/>
                <w:sz w:val="18"/>
                <w:szCs w:val="18"/>
                <w:highlight w:val="yellow"/>
              </w:rPr>
              <w:t>c</w:t>
            </w:r>
            <w:r w:rsidR="00663CBE">
              <w:rPr>
                <w:rFonts w:ascii="Calibri" w:hAnsi="Calibri" w:cs="Calibri"/>
                <w:sz w:val="18"/>
                <w:szCs w:val="18"/>
                <w:highlight w:val="yellow"/>
              </w:rPr>
              <w:t>tion</w:t>
            </w:r>
            <w:r w:rsidR="00BC7F27" w:rsidRPr="00984692">
              <w:rPr>
                <w:rFonts w:ascii="Calibri" w:hAnsi="Calibri" w:cs="Calibri"/>
                <w:sz w:val="18"/>
                <w:szCs w:val="18"/>
                <w:highlight w:val="yellow"/>
              </w:rPr>
              <w:t xml:space="preserve"> e.g. from </w:t>
            </w:r>
            <w:r w:rsidR="000D4887">
              <w:rPr>
                <w:rFonts w:ascii="Calibri" w:hAnsi="Calibri" w:cs="Calibri"/>
                <w:sz w:val="18"/>
                <w:szCs w:val="18"/>
                <w:highlight w:val="yellow"/>
              </w:rPr>
              <w:t>FAO FFF interevntions in</w:t>
            </w:r>
            <w:r w:rsidR="00BC7F27" w:rsidRPr="00984692">
              <w:rPr>
                <w:rFonts w:ascii="Calibri" w:hAnsi="Calibri" w:cs="Calibri"/>
                <w:sz w:val="18"/>
                <w:szCs w:val="18"/>
                <w:highlight w:val="yellow"/>
              </w:rPr>
              <w:t xml:space="preserve"> Zambia as well as evidence based </w:t>
            </w:r>
            <w:r w:rsidR="00031D1C" w:rsidRPr="00984692">
              <w:rPr>
                <w:rFonts w:ascii="Calibri" w:hAnsi="Calibri" w:cs="Calibri"/>
                <w:sz w:val="18"/>
                <w:szCs w:val="18"/>
                <w:highlight w:val="yellow"/>
              </w:rPr>
              <w:t xml:space="preserve">good </w:t>
            </w:r>
            <w:r w:rsidR="000A55B8" w:rsidRPr="00984692">
              <w:rPr>
                <w:rFonts w:ascii="Calibri" w:hAnsi="Calibri" w:cs="Calibri"/>
                <w:sz w:val="18"/>
                <w:szCs w:val="18"/>
                <w:highlight w:val="yellow"/>
              </w:rPr>
              <w:t>wood to charcoal conversion technologies and energy effienct end-use appliances</w:t>
            </w:r>
            <w:r w:rsidR="000D4887">
              <w:rPr>
                <w:rFonts w:ascii="Calibri" w:hAnsi="Calibri" w:cs="Calibri"/>
                <w:sz w:val="18"/>
                <w:szCs w:val="18"/>
                <w:highlight w:val="yellow"/>
              </w:rPr>
              <w:t xml:space="preserve"> used in the region</w:t>
            </w:r>
            <w:r w:rsidR="00984692" w:rsidRPr="00984692">
              <w:rPr>
                <w:rFonts w:ascii="Calibri" w:hAnsi="Calibri" w:cs="Calibri"/>
                <w:sz w:val="18"/>
                <w:szCs w:val="18"/>
                <w:highlight w:val="yellow"/>
              </w:rPr>
              <w:t>)</w:t>
            </w:r>
            <w:r w:rsidR="00BD29CA" w:rsidRPr="00984692">
              <w:rPr>
                <w:rFonts w:ascii="Calibri" w:hAnsi="Calibri" w:cs="Calibri"/>
                <w:sz w:val="18"/>
                <w:szCs w:val="18"/>
                <w:highlight w:val="yellow"/>
              </w:rPr>
              <w:t>.</w:t>
            </w:r>
            <w:r w:rsidR="00BD29CA" w:rsidRPr="00984692">
              <w:rPr>
                <w:sz w:val="18"/>
                <w:szCs w:val="18"/>
                <w:highlight w:val="yellow"/>
              </w:rPr>
              <w:t xml:space="preserve"> </w:t>
            </w:r>
          </w:p>
        </w:tc>
        <w:tc>
          <w:tcPr>
            <w:tcW w:w="1843" w:type="dxa"/>
          </w:tcPr>
          <w:p w14:paraId="0776BB8F" w14:textId="2BB6A289" w:rsidR="7EB08C15" w:rsidRPr="009A1F3B" w:rsidRDefault="7EB08C15" w:rsidP="2ECADB71">
            <w:pPr>
              <w:spacing w:after="80"/>
              <w:rPr>
                <w:rFonts w:ascii="Calibri" w:hAnsi="Calibri" w:cs="Calibri"/>
                <w:sz w:val="18"/>
                <w:szCs w:val="18"/>
                <w:highlight w:val="yellow"/>
              </w:rPr>
            </w:pPr>
            <w:r w:rsidRPr="009A1F3B">
              <w:rPr>
                <w:rFonts w:ascii="Calibri" w:hAnsi="Calibri" w:cs="Calibri"/>
                <w:sz w:val="18"/>
                <w:szCs w:val="18"/>
                <w:highlight w:val="yellow"/>
              </w:rPr>
              <w:lastRenderedPageBreak/>
              <w:t>On-going since 2016</w:t>
            </w:r>
          </w:p>
          <w:p w14:paraId="2B51B646" w14:textId="7796E776" w:rsidR="7EB08C15" w:rsidRPr="009A1F3B" w:rsidRDefault="7EB08C15" w:rsidP="2ECADB71">
            <w:pPr>
              <w:rPr>
                <w:rFonts w:ascii="Calibri" w:hAnsi="Calibri" w:cs="Calibri"/>
                <w:sz w:val="18"/>
                <w:szCs w:val="18"/>
                <w:highlight w:val="yellow"/>
              </w:rPr>
            </w:pPr>
            <w:r w:rsidRPr="009A1F3B">
              <w:rPr>
                <w:rFonts w:ascii="Calibri" w:hAnsi="Calibri" w:cs="Calibri"/>
                <w:sz w:val="18"/>
                <w:szCs w:val="18"/>
                <w:highlight w:val="yellow"/>
              </w:rPr>
              <w:t xml:space="preserve">Total project cost (US $ million): </w:t>
            </w:r>
            <w:r w:rsidR="588F6316" w:rsidRPr="009A1F3B">
              <w:rPr>
                <w:rFonts w:ascii="Calibri" w:hAnsi="Calibri" w:cs="Calibri"/>
                <w:sz w:val="18"/>
                <w:szCs w:val="18"/>
                <w:highlight w:val="yellow"/>
              </w:rPr>
              <w:t>23,331,700</w:t>
            </w:r>
          </w:p>
          <w:p w14:paraId="2BEFB9E0" w14:textId="4B5CC29F" w:rsidR="7EB08C15" w:rsidRDefault="7EB08C15" w:rsidP="2ECADB71">
            <w:pPr>
              <w:rPr>
                <w:rFonts w:ascii="Calibri" w:hAnsi="Calibri" w:cs="Calibri"/>
                <w:sz w:val="18"/>
                <w:szCs w:val="18"/>
              </w:rPr>
            </w:pPr>
            <w:r w:rsidRPr="009A1F3B">
              <w:rPr>
                <w:rFonts w:ascii="Calibri" w:hAnsi="Calibri" w:cs="Calibri"/>
                <w:sz w:val="18"/>
                <w:szCs w:val="18"/>
                <w:highlight w:val="yellow"/>
              </w:rPr>
              <w:t>Implementing GEF agency: UNDP</w:t>
            </w:r>
          </w:p>
          <w:p w14:paraId="451F6B79" w14:textId="1C3EEE21" w:rsidR="00BA69EE" w:rsidRDefault="00BA69EE" w:rsidP="2ECADB71">
            <w:pPr>
              <w:rPr>
                <w:sz w:val="18"/>
                <w:szCs w:val="18"/>
              </w:rPr>
            </w:pPr>
          </w:p>
        </w:tc>
        <w:tc>
          <w:tcPr>
            <w:tcW w:w="1562" w:type="dxa"/>
          </w:tcPr>
          <w:p w14:paraId="7CBC6720" w14:textId="026C6E8D" w:rsidR="0CA213FE" w:rsidRDefault="009A1F3B" w:rsidP="2ECADB71">
            <w:pPr>
              <w:rPr>
                <w:sz w:val="18"/>
                <w:szCs w:val="18"/>
              </w:rPr>
            </w:pPr>
            <w:r>
              <w:rPr>
                <w:sz w:val="18"/>
                <w:szCs w:val="18"/>
              </w:rPr>
              <w:t xml:space="preserve">Sustainable woodfuel </w:t>
            </w:r>
          </w:p>
        </w:tc>
      </w:tr>
      <w:tr w:rsidR="003228B0" w:rsidRPr="00BD17EC" w14:paraId="39B6F01A" w14:textId="77777777" w:rsidTr="008652ED">
        <w:tc>
          <w:tcPr>
            <w:tcW w:w="2370" w:type="dxa"/>
          </w:tcPr>
          <w:p w14:paraId="387D3326" w14:textId="77777777" w:rsidR="009563B4" w:rsidRPr="00BD17EC" w:rsidRDefault="009563B4" w:rsidP="00481CA4">
            <w:pPr>
              <w:rPr>
                <w:rFonts w:ascii="Calibri" w:hAnsi="Calibri" w:cs="Calibri"/>
                <w:sz w:val="18"/>
                <w:szCs w:val="18"/>
              </w:rPr>
            </w:pPr>
            <w:r w:rsidRPr="00BD17EC">
              <w:rPr>
                <w:rFonts w:ascii="Calibri" w:hAnsi="Calibri" w:cs="Calibri"/>
                <w:b/>
                <w:bCs/>
                <w:sz w:val="18"/>
                <w:szCs w:val="18"/>
              </w:rPr>
              <w:t>AfDB GEF Project</w:t>
            </w:r>
            <w:r w:rsidRPr="00BD17EC">
              <w:rPr>
                <w:rFonts w:ascii="Calibri" w:hAnsi="Calibri" w:cs="Calibri"/>
                <w:sz w:val="18"/>
                <w:szCs w:val="18"/>
              </w:rPr>
              <w:t>: Integrating climate change into environment and sustainable land</w:t>
            </w:r>
          </w:p>
          <w:p w14:paraId="362019D6" w14:textId="77777777" w:rsidR="009563B4" w:rsidRPr="00BD17EC" w:rsidRDefault="009563B4" w:rsidP="00481CA4">
            <w:pPr>
              <w:rPr>
                <w:rFonts w:ascii="Calibri" w:hAnsi="Calibri" w:cs="Calibri"/>
                <w:sz w:val="18"/>
                <w:szCs w:val="18"/>
              </w:rPr>
            </w:pPr>
            <w:r w:rsidRPr="00BD17EC">
              <w:rPr>
                <w:rFonts w:ascii="Calibri" w:hAnsi="Calibri" w:cs="Calibri"/>
                <w:sz w:val="18"/>
                <w:szCs w:val="18"/>
              </w:rPr>
              <w:t>management practices</w:t>
            </w:r>
          </w:p>
        </w:tc>
        <w:tc>
          <w:tcPr>
            <w:tcW w:w="3442" w:type="dxa"/>
          </w:tcPr>
          <w:p w14:paraId="088C0934" w14:textId="77777777" w:rsidR="009563B4" w:rsidRPr="00BD17EC" w:rsidRDefault="009563B4" w:rsidP="00BD17EC">
            <w:pPr>
              <w:spacing w:after="80"/>
              <w:rPr>
                <w:rFonts w:ascii="Calibri" w:hAnsi="Calibri" w:cs="Calibri"/>
                <w:sz w:val="18"/>
                <w:szCs w:val="18"/>
              </w:rPr>
            </w:pPr>
            <w:r w:rsidRPr="00BD17EC">
              <w:rPr>
                <w:rFonts w:ascii="Calibri" w:hAnsi="Calibri" w:cs="Calibri"/>
                <w:sz w:val="18"/>
                <w:szCs w:val="18"/>
              </w:rPr>
              <w:t>The project will disseminate sustainable land management and adaptation practices in agro-forestry and land ecology in 350 communities.</w:t>
            </w:r>
          </w:p>
          <w:p w14:paraId="5374ADD4" w14:textId="7E7EBD23" w:rsidR="009563B4" w:rsidRPr="00BD17EC" w:rsidRDefault="009563B4" w:rsidP="00481CA4">
            <w:pPr>
              <w:rPr>
                <w:rFonts w:ascii="Calibri" w:hAnsi="Calibri" w:cs="Calibri"/>
                <w:sz w:val="18"/>
                <w:szCs w:val="18"/>
              </w:rPr>
            </w:pPr>
            <w:r w:rsidRPr="00BD17EC">
              <w:rPr>
                <w:rFonts w:ascii="Calibri" w:hAnsi="Calibri" w:cs="Calibri"/>
                <w:sz w:val="18"/>
                <w:szCs w:val="18"/>
                <w:u w:val="single"/>
              </w:rPr>
              <w:t>Purpose</w:t>
            </w:r>
            <w:r w:rsidRPr="00BD17EC">
              <w:rPr>
                <w:rFonts w:ascii="Calibri" w:hAnsi="Calibri" w:cs="Calibri"/>
                <w:sz w:val="18"/>
                <w:szCs w:val="18"/>
              </w:rPr>
              <w:t xml:space="preserve">: Seek collaboration on the forestry aspect, in particular with respect to the legal review. </w:t>
            </w:r>
          </w:p>
        </w:tc>
        <w:tc>
          <w:tcPr>
            <w:tcW w:w="1843" w:type="dxa"/>
          </w:tcPr>
          <w:p w14:paraId="3E3D7AC7" w14:textId="77777777" w:rsidR="009563B4" w:rsidRPr="00BD17EC" w:rsidRDefault="009563B4" w:rsidP="00BD17EC">
            <w:pPr>
              <w:spacing w:after="80"/>
              <w:rPr>
                <w:rFonts w:ascii="Calibri" w:hAnsi="Calibri" w:cs="Calibri"/>
                <w:sz w:val="18"/>
                <w:szCs w:val="18"/>
              </w:rPr>
            </w:pPr>
            <w:r w:rsidRPr="00BD17EC">
              <w:rPr>
                <w:rFonts w:ascii="Calibri" w:hAnsi="Calibri" w:cs="Calibri"/>
                <w:sz w:val="18"/>
                <w:szCs w:val="18"/>
              </w:rPr>
              <w:t xml:space="preserve">On-going </w:t>
            </w:r>
            <w:r w:rsidRPr="00AE587B">
              <w:rPr>
                <w:rFonts w:ascii="Calibri" w:hAnsi="Calibri" w:cs="Calibri"/>
                <w:sz w:val="18"/>
                <w:szCs w:val="18"/>
              </w:rPr>
              <w:t>since 2019</w:t>
            </w:r>
            <w:r w:rsidRPr="00BD17EC">
              <w:rPr>
                <w:rFonts w:ascii="Calibri" w:hAnsi="Calibri" w:cs="Calibri"/>
                <w:sz w:val="18"/>
                <w:szCs w:val="18"/>
              </w:rPr>
              <w:t xml:space="preserve"> </w:t>
            </w:r>
          </w:p>
          <w:p w14:paraId="15B37890" w14:textId="77777777" w:rsidR="009563B4" w:rsidRPr="00BD17EC" w:rsidRDefault="009563B4" w:rsidP="00481CA4">
            <w:pPr>
              <w:rPr>
                <w:rFonts w:ascii="Calibri" w:hAnsi="Calibri" w:cs="Calibri"/>
                <w:sz w:val="18"/>
                <w:szCs w:val="18"/>
              </w:rPr>
            </w:pPr>
            <w:r w:rsidRPr="00BD17EC">
              <w:rPr>
                <w:rFonts w:ascii="Calibri" w:hAnsi="Calibri" w:cs="Calibri"/>
                <w:sz w:val="18"/>
                <w:szCs w:val="18"/>
              </w:rPr>
              <w:t>Total project cost (US $ million): 24.831</w:t>
            </w:r>
          </w:p>
          <w:p w14:paraId="2124E2CA" w14:textId="77777777" w:rsidR="009563B4" w:rsidRPr="00BD17EC" w:rsidRDefault="009563B4" w:rsidP="00481CA4">
            <w:pPr>
              <w:rPr>
                <w:rFonts w:ascii="Calibri" w:hAnsi="Calibri" w:cs="Calibri"/>
                <w:sz w:val="18"/>
                <w:szCs w:val="18"/>
              </w:rPr>
            </w:pPr>
            <w:r w:rsidRPr="00BD17EC">
              <w:rPr>
                <w:rFonts w:ascii="Calibri" w:hAnsi="Calibri" w:cs="Calibri"/>
                <w:sz w:val="18"/>
                <w:szCs w:val="18"/>
              </w:rPr>
              <w:t>Implementing GEF agency: AfDB</w:t>
            </w:r>
          </w:p>
        </w:tc>
        <w:tc>
          <w:tcPr>
            <w:tcW w:w="1562" w:type="dxa"/>
          </w:tcPr>
          <w:p w14:paraId="1F1D14E2" w14:textId="77777777" w:rsidR="009563B4" w:rsidRPr="00BD17EC" w:rsidRDefault="009563B4" w:rsidP="00481CA4">
            <w:pPr>
              <w:rPr>
                <w:rFonts w:ascii="Calibri" w:hAnsi="Calibri" w:cs="Calibri"/>
                <w:sz w:val="18"/>
                <w:szCs w:val="18"/>
              </w:rPr>
            </w:pPr>
            <w:r w:rsidRPr="00BD17EC">
              <w:rPr>
                <w:rFonts w:ascii="Calibri" w:hAnsi="Calibri" w:cs="Calibri"/>
                <w:sz w:val="18"/>
                <w:szCs w:val="18"/>
              </w:rPr>
              <w:t>Agriculture and food security</w:t>
            </w:r>
          </w:p>
        </w:tc>
      </w:tr>
      <w:tr w:rsidR="003228B0" w:rsidRPr="00BD17EC" w14:paraId="717FE974" w14:textId="77777777" w:rsidTr="008652ED">
        <w:tc>
          <w:tcPr>
            <w:tcW w:w="2370" w:type="dxa"/>
          </w:tcPr>
          <w:p w14:paraId="3A25F2A8" w14:textId="77777777" w:rsidR="009563B4" w:rsidRPr="00BD17EC" w:rsidRDefault="009563B4" w:rsidP="00481CA4">
            <w:pPr>
              <w:rPr>
                <w:rFonts w:ascii="Calibri" w:hAnsi="Calibri" w:cs="Calibri"/>
                <w:sz w:val="18"/>
                <w:szCs w:val="18"/>
              </w:rPr>
            </w:pPr>
            <w:r w:rsidRPr="00BD17EC">
              <w:rPr>
                <w:rFonts w:ascii="Calibri" w:hAnsi="Calibri" w:cs="Calibri"/>
                <w:b/>
                <w:bCs/>
                <w:sz w:val="18"/>
                <w:szCs w:val="18"/>
              </w:rPr>
              <w:t>FAO-USAID-OFDA Regional Project PIRAN:</w:t>
            </w:r>
            <w:r w:rsidRPr="00BD17EC">
              <w:rPr>
                <w:rFonts w:ascii="Calibri" w:hAnsi="Calibri" w:cs="Calibri"/>
                <w:sz w:val="18"/>
                <w:szCs w:val="18"/>
              </w:rPr>
              <w:t xml:space="preserve"> Disaster risk reduction/ management to support agropastoral communities affected by recurrent droughts and other natural disasters in southern Angola and northern Namibia (Project PIRAN)</w:t>
            </w:r>
          </w:p>
        </w:tc>
        <w:tc>
          <w:tcPr>
            <w:tcW w:w="3442" w:type="dxa"/>
          </w:tcPr>
          <w:p w14:paraId="5CDAEF5F" w14:textId="77777777" w:rsidR="009563B4" w:rsidRPr="00BD17EC" w:rsidRDefault="009563B4" w:rsidP="00BD17EC">
            <w:pPr>
              <w:spacing w:after="80"/>
              <w:rPr>
                <w:rFonts w:ascii="Calibri" w:hAnsi="Calibri" w:cs="Calibri"/>
                <w:sz w:val="18"/>
                <w:szCs w:val="18"/>
              </w:rPr>
            </w:pPr>
            <w:r w:rsidRPr="00BD17EC">
              <w:rPr>
                <w:rFonts w:ascii="Calibri" w:hAnsi="Calibri" w:cs="Calibri"/>
                <w:sz w:val="18"/>
                <w:szCs w:val="18"/>
              </w:rPr>
              <w:t>The objective is to strengthen food security and DRR/M, and increase the resilience of agro-pastoral livelihoods by increasing capacity to manage risks related to natural disasters at the level of communities and local institutions. The expected results are: improved agricultural and livestock production, health and animal nutrition, soil and water management and management of early warning systems.</w:t>
            </w:r>
          </w:p>
          <w:p w14:paraId="6C78E3E6" w14:textId="5F2ADA94" w:rsidR="009563B4" w:rsidRPr="00BD17EC" w:rsidRDefault="009563B4" w:rsidP="00481CA4">
            <w:pPr>
              <w:rPr>
                <w:rFonts w:ascii="Calibri" w:hAnsi="Calibri" w:cs="Calibri"/>
                <w:sz w:val="18"/>
                <w:szCs w:val="18"/>
              </w:rPr>
            </w:pPr>
            <w:r w:rsidRPr="00BD17EC">
              <w:rPr>
                <w:rFonts w:ascii="Calibri" w:hAnsi="Calibri" w:cs="Calibri"/>
                <w:sz w:val="18"/>
                <w:szCs w:val="18"/>
                <w:u w:val="single"/>
              </w:rPr>
              <w:t>Purpose</w:t>
            </w:r>
            <w:r w:rsidRPr="00BD17EC">
              <w:rPr>
                <w:rFonts w:ascii="Calibri" w:hAnsi="Calibri" w:cs="Calibri"/>
                <w:sz w:val="18"/>
                <w:szCs w:val="18"/>
              </w:rPr>
              <w:t xml:space="preserve">: Learn lessons on stakeholder engagement, in particular cross-border ones, including on and rangeland, water and communal forest management, management in southern Namibia. </w:t>
            </w:r>
          </w:p>
        </w:tc>
        <w:tc>
          <w:tcPr>
            <w:tcW w:w="1843" w:type="dxa"/>
          </w:tcPr>
          <w:p w14:paraId="74CBDA60" w14:textId="77777777" w:rsidR="009563B4" w:rsidRPr="00BD17EC" w:rsidRDefault="009563B4" w:rsidP="00481CA4">
            <w:pPr>
              <w:rPr>
                <w:rFonts w:ascii="Calibri" w:hAnsi="Calibri" w:cs="Calibri"/>
                <w:sz w:val="18"/>
                <w:szCs w:val="18"/>
              </w:rPr>
            </w:pPr>
            <w:r w:rsidRPr="00BD17EC">
              <w:rPr>
                <w:rFonts w:ascii="Calibri" w:hAnsi="Calibri" w:cs="Calibri"/>
                <w:sz w:val="18"/>
                <w:szCs w:val="18"/>
              </w:rPr>
              <w:t>Closed</w:t>
            </w:r>
          </w:p>
          <w:p w14:paraId="4B857D66" w14:textId="77777777" w:rsidR="009563B4" w:rsidRPr="00BD17EC" w:rsidRDefault="009563B4" w:rsidP="00481CA4">
            <w:pPr>
              <w:rPr>
                <w:rFonts w:ascii="Calibri" w:hAnsi="Calibri" w:cs="Calibri"/>
                <w:sz w:val="18"/>
                <w:szCs w:val="18"/>
              </w:rPr>
            </w:pPr>
          </w:p>
          <w:p w14:paraId="5B289AE1" w14:textId="3788E504" w:rsidR="009563B4" w:rsidRDefault="009563B4" w:rsidP="00481CA4">
            <w:pPr>
              <w:rPr>
                <w:rFonts w:ascii="Calibri" w:hAnsi="Calibri" w:cs="Calibri"/>
                <w:sz w:val="18"/>
                <w:szCs w:val="18"/>
              </w:rPr>
            </w:pPr>
            <w:r w:rsidRPr="00BD17EC">
              <w:rPr>
                <w:rFonts w:ascii="Calibri" w:hAnsi="Calibri" w:cs="Calibri"/>
                <w:sz w:val="18"/>
                <w:szCs w:val="18"/>
              </w:rPr>
              <w:t>Total project cost (US $ million): 1.600 (1.180 for Angola) for the first year</w:t>
            </w:r>
          </w:p>
          <w:p w14:paraId="19C6953C" w14:textId="77777777" w:rsidR="00BD17EC" w:rsidRPr="00BD17EC" w:rsidRDefault="00BD17EC" w:rsidP="00481CA4">
            <w:pPr>
              <w:rPr>
                <w:rFonts w:ascii="Calibri" w:hAnsi="Calibri" w:cs="Calibri"/>
                <w:sz w:val="18"/>
                <w:szCs w:val="18"/>
              </w:rPr>
            </w:pPr>
          </w:p>
          <w:p w14:paraId="3FCA8800" w14:textId="77777777" w:rsidR="009563B4" w:rsidRPr="00BD17EC" w:rsidRDefault="009563B4" w:rsidP="00481CA4">
            <w:pPr>
              <w:rPr>
                <w:rFonts w:ascii="Calibri" w:hAnsi="Calibri" w:cs="Calibri"/>
                <w:sz w:val="18"/>
                <w:szCs w:val="18"/>
              </w:rPr>
            </w:pPr>
            <w:r w:rsidRPr="00BD17EC">
              <w:rPr>
                <w:rFonts w:ascii="Calibri" w:hAnsi="Calibri" w:cs="Calibri"/>
                <w:sz w:val="18"/>
                <w:szCs w:val="18"/>
              </w:rPr>
              <w:t>Implementing GEF agency: FAO</w:t>
            </w:r>
          </w:p>
          <w:p w14:paraId="57D02ECE" w14:textId="77777777" w:rsidR="009563B4" w:rsidRPr="00BD17EC" w:rsidRDefault="009563B4" w:rsidP="00481CA4">
            <w:pPr>
              <w:rPr>
                <w:rFonts w:ascii="Calibri" w:hAnsi="Calibri" w:cs="Calibri"/>
                <w:sz w:val="18"/>
                <w:szCs w:val="18"/>
              </w:rPr>
            </w:pPr>
            <w:r w:rsidRPr="00BD17EC">
              <w:rPr>
                <w:rFonts w:ascii="Calibri" w:hAnsi="Calibri" w:cs="Calibri"/>
                <w:sz w:val="18"/>
                <w:szCs w:val="18"/>
              </w:rPr>
              <w:t>Donor: United States of America (USAID/OFDA)</w:t>
            </w:r>
          </w:p>
        </w:tc>
        <w:tc>
          <w:tcPr>
            <w:tcW w:w="1562" w:type="dxa"/>
          </w:tcPr>
          <w:p w14:paraId="68A087A0" w14:textId="77777777" w:rsidR="009563B4" w:rsidRPr="00BD17EC" w:rsidRDefault="009563B4" w:rsidP="00481CA4">
            <w:pPr>
              <w:rPr>
                <w:rFonts w:ascii="Calibri" w:hAnsi="Calibri" w:cs="Calibri"/>
                <w:sz w:val="18"/>
                <w:szCs w:val="18"/>
              </w:rPr>
            </w:pPr>
            <w:r w:rsidRPr="00BD17EC">
              <w:rPr>
                <w:rFonts w:ascii="Calibri" w:hAnsi="Calibri" w:cs="Calibri"/>
                <w:sz w:val="18"/>
                <w:szCs w:val="18"/>
              </w:rPr>
              <w:t>Disaster risk management. Agriculture and food security</w:t>
            </w:r>
          </w:p>
        </w:tc>
      </w:tr>
      <w:tr w:rsidR="003228B0" w:rsidRPr="00BD17EC" w14:paraId="0B73FCDC" w14:textId="77777777" w:rsidTr="008652ED">
        <w:tc>
          <w:tcPr>
            <w:tcW w:w="2370" w:type="dxa"/>
          </w:tcPr>
          <w:p w14:paraId="532BE94C" w14:textId="77777777" w:rsidR="009563B4" w:rsidRPr="00BD17EC" w:rsidRDefault="009563B4" w:rsidP="00481CA4">
            <w:pPr>
              <w:rPr>
                <w:rFonts w:ascii="Calibri" w:hAnsi="Calibri" w:cs="Calibri"/>
                <w:sz w:val="18"/>
                <w:szCs w:val="18"/>
              </w:rPr>
            </w:pPr>
            <w:r w:rsidRPr="00BD17EC">
              <w:rPr>
                <w:rFonts w:ascii="Calibri" w:hAnsi="Calibri" w:cs="Calibri"/>
                <w:b/>
                <w:bCs/>
                <w:sz w:val="18"/>
                <w:szCs w:val="18"/>
              </w:rPr>
              <w:t>FAO GEF Project</w:t>
            </w:r>
            <w:r w:rsidRPr="00BD17EC">
              <w:rPr>
                <w:rFonts w:ascii="Calibri" w:hAnsi="Calibri" w:cs="Calibri"/>
                <w:sz w:val="18"/>
                <w:szCs w:val="18"/>
              </w:rPr>
              <w:t>: Land Rehabilitation and Rangelands Management in Small Holders Agropastoral Production Systems in Southwestern Angola (Project</w:t>
            </w:r>
          </w:p>
          <w:p w14:paraId="56A1E0A6" w14:textId="77777777" w:rsidR="009563B4" w:rsidRPr="00BD17EC" w:rsidRDefault="009563B4" w:rsidP="00481CA4">
            <w:pPr>
              <w:rPr>
                <w:rFonts w:ascii="Calibri" w:hAnsi="Calibri" w:cs="Calibri"/>
                <w:b/>
                <w:bCs/>
                <w:sz w:val="18"/>
                <w:szCs w:val="18"/>
              </w:rPr>
            </w:pPr>
            <w:r w:rsidRPr="00BD17EC">
              <w:rPr>
                <w:rFonts w:ascii="Calibri" w:hAnsi="Calibri" w:cs="Calibri"/>
                <w:sz w:val="18"/>
                <w:szCs w:val="18"/>
              </w:rPr>
              <w:t>RETESA).</w:t>
            </w:r>
          </w:p>
        </w:tc>
        <w:tc>
          <w:tcPr>
            <w:tcW w:w="3442" w:type="dxa"/>
          </w:tcPr>
          <w:p w14:paraId="3B5152CB" w14:textId="0A104B24" w:rsidR="009563B4" w:rsidRPr="00BD17EC" w:rsidRDefault="009563B4" w:rsidP="00BD17EC">
            <w:pPr>
              <w:spacing w:after="80"/>
              <w:rPr>
                <w:rFonts w:ascii="Calibri" w:hAnsi="Calibri" w:cs="Calibri"/>
                <w:sz w:val="18"/>
                <w:szCs w:val="18"/>
              </w:rPr>
            </w:pPr>
            <w:r w:rsidRPr="00BD17EC">
              <w:rPr>
                <w:rFonts w:ascii="Calibri" w:hAnsi="Calibri" w:cs="Calibri"/>
                <w:sz w:val="18"/>
                <w:szCs w:val="18"/>
              </w:rPr>
              <w:t>To enhance the capacity of southwestern Angola’s smallholder agro-pastoral sector to mitigate the impact of land degradation processes and to rehabilitate degraded lands by mainstreaming SLM technologies into agro-pastoral and agricultural development</w:t>
            </w:r>
            <w:r w:rsidRPr="00BD17EC">
              <w:rPr>
                <w:rFonts w:ascii="Calibri" w:hAnsi="Calibri" w:cs="Calibri"/>
                <w:spacing w:val="-4"/>
                <w:sz w:val="18"/>
                <w:szCs w:val="18"/>
              </w:rPr>
              <w:t xml:space="preserve"> </w:t>
            </w:r>
            <w:r w:rsidRPr="00BD17EC">
              <w:rPr>
                <w:rFonts w:ascii="Calibri" w:hAnsi="Calibri" w:cs="Calibri"/>
                <w:sz w:val="18"/>
                <w:szCs w:val="18"/>
              </w:rPr>
              <w:t>initiatives.</w:t>
            </w:r>
          </w:p>
          <w:p w14:paraId="2D6642BB" w14:textId="2E1F62B8" w:rsidR="009563B4" w:rsidRPr="00BD17EC" w:rsidRDefault="009563B4" w:rsidP="00481CA4">
            <w:pPr>
              <w:rPr>
                <w:rFonts w:ascii="Calibri" w:hAnsi="Calibri" w:cs="Calibri"/>
                <w:sz w:val="18"/>
                <w:szCs w:val="18"/>
              </w:rPr>
            </w:pPr>
            <w:r w:rsidRPr="00BD17EC">
              <w:rPr>
                <w:rFonts w:ascii="Calibri" w:hAnsi="Calibri" w:cs="Calibri"/>
                <w:sz w:val="18"/>
                <w:szCs w:val="18"/>
                <w:u w:val="single"/>
              </w:rPr>
              <w:t>Purpose</w:t>
            </w:r>
            <w:r w:rsidRPr="00BD17EC">
              <w:rPr>
                <w:rFonts w:ascii="Calibri" w:hAnsi="Calibri" w:cs="Calibri"/>
                <w:sz w:val="18"/>
                <w:szCs w:val="18"/>
              </w:rPr>
              <w:t>: Learn lessons on stakeholder engagement and rangeland management, including the application of tools such as GreeNTD.</w:t>
            </w:r>
          </w:p>
        </w:tc>
        <w:tc>
          <w:tcPr>
            <w:tcW w:w="1843" w:type="dxa"/>
          </w:tcPr>
          <w:p w14:paraId="471AC7B7" w14:textId="77777777" w:rsidR="009563B4" w:rsidRPr="00BD17EC" w:rsidRDefault="009563B4" w:rsidP="00481CA4">
            <w:pPr>
              <w:rPr>
                <w:rFonts w:ascii="Calibri" w:hAnsi="Calibri" w:cs="Calibri"/>
                <w:sz w:val="18"/>
                <w:szCs w:val="18"/>
              </w:rPr>
            </w:pPr>
            <w:r w:rsidRPr="00BD17EC">
              <w:rPr>
                <w:rFonts w:ascii="Calibri" w:hAnsi="Calibri" w:cs="Calibri"/>
                <w:sz w:val="18"/>
                <w:szCs w:val="18"/>
              </w:rPr>
              <w:t>Closed</w:t>
            </w:r>
          </w:p>
          <w:p w14:paraId="696C91C4" w14:textId="77777777" w:rsidR="009563B4" w:rsidRPr="00BD17EC" w:rsidRDefault="009563B4" w:rsidP="00481CA4">
            <w:pPr>
              <w:rPr>
                <w:rFonts w:ascii="Calibri" w:hAnsi="Calibri" w:cs="Calibri"/>
                <w:sz w:val="18"/>
                <w:szCs w:val="18"/>
              </w:rPr>
            </w:pPr>
          </w:p>
          <w:p w14:paraId="052107B0" w14:textId="77777777" w:rsidR="009563B4" w:rsidRPr="00BD17EC" w:rsidRDefault="009563B4" w:rsidP="00481CA4">
            <w:pPr>
              <w:rPr>
                <w:rFonts w:ascii="Calibri" w:hAnsi="Calibri" w:cs="Calibri"/>
                <w:sz w:val="18"/>
                <w:szCs w:val="18"/>
              </w:rPr>
            </w:pPr>
            <w:r w:rsidRPr="00BD17EC">
              <w:rPr>
                <w:rFonts w:ascii="Calibri" w:hAnsi="Calibri" w:cs="Calibri"/>
                <w:sz w:val="18"/>
                <w:szCs w:val="18"/>
              </w:rPr>
              <w:t>Total project cost (US $ million): 15.397</w:t>
            </w:r>
          </w:p>
          <w:p w14:paraId="5F30AB99" w14:textId="77777777" w:rsidR="009563B4" w:rsidRPr="00BD17EC" w:rsidRDefault="009563B4" w:rsidP="00481CA4">
            <w:pPr>
              <w:rPr>
                <w:rFonts w:ascii="Calibri" w:hAnsi="Calibri" w:cs="Calibri"/>
                <w:sz w:val="18"/>
                <w:szCs w:val="18"/>
              </w:rPr>
            </w:pPr>
            <w:r w:rsidRPr="00BD17EC">
              <w:rPr>
                <w:rFonts w:ascii="Calibri" w:hAnsi="Calibri" w:cs="Calibri"/>
                <w:sz w:val="18"/>
                <w:szCs w:val="18"/>
              </w:rPr>
              <w:t>Implementing GEF agency: FAO</w:t>
            </w:r>
          </w:p>
        </w:tc>
        <w:tc>
          <w:tcPr>
            <w:tcW w:w="1562" w:type="dxa"/>
          </w:tcPr>
          <w:p w14:paraId="6934036B" w14:textId="77777777" w:rsidR="009563B4" w:rsidRPr="00BD17EC" w:rsidRDefault="009563B4" w:rsidP="00481CA4">
            <w:pPr>
              <w:rPr>
                <w:rFonts w:ascii="Calibri" w:hAnsi="Calibri" w:cs="Calibri"/>
                <w:sz w:val="18"/>
                <w:szCs w:val="18"/>
              </w:rPr>
            </w:pPr>
            <w:r w:rsidRPr="00BD17EC">
              <w:rPr>
                <w:rFonts w:ascii="Calibri" w:hAnsi="Calibri" w:cs="Calibri"/>
                <w:sz w:val="18"/>
                <w:szCs w:val="18"/>
              </w:rPr>
              <w:t xml:space="preserve">Land </w:t>
            </w:r>
            <w:r w:rsidRPr="00BD17EC">
              <w:rPr>
                <w:rFonts w:ascii="Calibri" w:hAnsi="Calibri" w:cs="Calibri"/>
                <w:w w:val="95"/>
                <w:sz w:val="18"/>
                <w:szCs w:val="18"/>
              </w:rPr>
              <w:t xml:space="preserve">rehabilitation, </w:t>
            </w:r>
            <w:r w:rsidRPr="00BD17EC">
              <w:rPr>
                <w:rFonts w:ascii="Calibri" w:hAnsi="Calibri" w:cs="Calibri"/>
                <w:sz w:val="18"/>
                <w:szCs w:val="18"/>
              </w:rPr>
              <w:t>Agriculture</w:t>
            </w:r>
          </w:p>
        </w:tc>
      </w:tr>
      <w:tr w:rsidR="003228B0" w:rsidRPr="00BD17EC" w14:paraId="61DD2E75" w14:textId="77777777" w:rsidTr="008652ED">
        <w:tc>
          <w:tcPr>
            <w:tcW w:w="2370" w:type="dxa"/>
          </w:tcPr>
          <w:p w14:paraId="7BB8475B" w14:textId="77777777" w:rsidR="009563B4" w:rsidRPr="00BD17EC" w:rsidRDefault="009563B4" w:rsidP="00481CA4">
            <w:pPr>
              <w:spacing w:line="254" w:lineRule="auto"/>
              <w:rPr>
                <w:rFonts w:ascii="Calibri" w:hAnsi="Calibri" w:cs="Calibri"/>
                <w:b/>
                <w:bCs/>
                <w:sz w:val="18"/>
                <w:szCs w:val="18"/>
              </w:rPr>
            </w:pPr>
            <w:r w:rsidRPr="00BD17EC">
              <w:rPr>
                <w:rFonts w:ascii="Calibri" w:hAnsi="Calibri" w:cs="Calibri"/>
                <w:b/>
                <w:bCs/>
                <w:sz w:val="18"/>
                <w:szCs w:val="18"/>
              </w:rPr>
              <w:t xml:space="preserve">Other DSL IP Child Projects </w:t>
            </w:r>
          </w:p>
        </w:tc>
        <w:tc>
          <w:tcPr>
            <w:tcW w:w="3442" w:type="dxa"/>
          </w:tcPr>
          <w:p w14:paraId="67965A2E" w14:textId="051B00FE" w:rsidR="009563B4" w:rsidRPr="00BD17EC" w:rsidRDefault="009563B4" w:rsidP="00481CA4">
            <w:pPr>
              <w:spacing w:line="254" w:lineRule="auto"/>
              <w:rPr>
                <w:rFonts w:ascii="Calibri" w:hAnsi="Calibri" w:cs="Calibri"/>
                <w:sz w:val="18"/>
                <w:szCs w:val="18"/>
              </w:rPr>
            </w:pPr>
            <w:r w:rsidRPr="00BD17EC">
              <w:rPr>
                <w:rFonts w:ascii="Calibri" w:hAnsi="Calibri" w:cs="Calibri"/>
                <w:sz w:val="18"/>
                <w:szCs w:val="18"/>
              </w:rPr>
              <w:t xml:space="preserve">Refer to </w:t>
            </w:r>
            <w:r w:rsidR="00A81EB5">
              <w:rPr>
                <w:rFonts w:ascii="Calibri" w:hAnsi="Calibri" w:cs="Calibri"/>
                <w:sz w:val="18"/>
                <w:szCs w:val="18"/>
              </w:rPr>
              <w:t xml:space="preserve">Regional and Global Exchange Mechanisms in </w:t>
            </w:r>
            <w:r w:rsidRPr="00BD17EC">
              <w:rPr>
                <w:rFonts w:ascii="Calibri" w:hAnsi="Calibri" w:cs="Calibri"/>
                <w:sz w:val="18"/>
                <w:szCs w:val="18"/>
              </w:rPr>
              <w:t xml:space="preserve">description of Component 3. </w:t>
            </w:r>
          </w:p>
        </w:tc>
        <w:tc>
          <w:tcPr>
            <w:tcW w:w="1843" w:type="dxa"/>
          </w:tcPr>
          <w:p w14:paraId="0E0E74C0" w14:textId="77777777" w:rsidR="009563B4" w:rsidRPr="00BD17EC" w:rsidRDefault="009563B4" w:rsidP="00481CA4">
            <w:pPr>
              <w:spacing w:line="254" w:lineRule="auto"/>
              <w:rPr>
                <w:rFonts w:ascii="Calibri" w:hAnsi="Calibri" w:cs="Calibri"/>
                <w:sz w:val="18"/>
                <w:szCs w:val="18"/>
              </w:rPr>
            </w:pPr>
            <w:r w:rsidRPr="00BD17EC">
              <w:rPr>
                <w:rFonts w:ascii="Calibri" w:hAnsi="Calibri" w:cs="Calibri"/>
                <w:sz w:val="18"/>
                <w:szCs w:val="18"/>
              </w:rPr>
              <w:t>Same as this project</w:t>
            </w:r>
          </w:p>
        </w:tc>
        <w:tc>
          <w:tcPr>
            <w:tcW w:w="1562" w:type="dxa"/>
          </w:tcPr>
          <w:p w14:paraId="5BA19BA7" w14:textId="77777777" w:rsidR="009563B4" w:rsidRPr="00BD17EC" w:rsidRDefault="009563B4" w:rsidP="00481CA4">
            <w:pPr>
              <w:rPr>
                <w:rFonts w:ascii="Calibri" w:hAnsi="Calibri" w:cs="Calibri"/>
                <w:sz w:val="18"/>
                <w:szCs w:val="18"/>
              </w:rPr>
            </w:pPr>
            <w:r w:rsidRPr="00BD17EC">
              <w:rPr>
                <w:rFonts w:ascii="Calibri" w:hAnsi="Calibri" w:cs="Calibri"/>
                <w:sz w:val="18"/>
                <w:szCs w:val="18"/>
              </w:rPr>
              <w:t>Same as this project</w:t>
            </w:r>
          </w:p>
        </w:tc>
      </w:tr>
    </w:tbl>
    <w:p w14:paraId="1E965661" w14:textId="7801C312" w:rsidR="009563B4" w:rsidRPr="00A81EB5" w:rsidRDefault="009563B4" w:rsidP="001667C6">
      <w:pPr>
        <w:pStyle w:val="Heading2"/>
        <w:numPr>
          <w:ilvl w:val="0"/>
          <w:numId w:val="65"/>
        </w:numPr>
        <w:shd w:val="clear" w:color="auto" w:fill="000000" w:themeFill="text1"/>
        <w:ind w:left="357" w:hanging="357"/>
        <w:jc w:val="center"/>
        <w:rPr>
          <w:rFonts w:ascii="Calibri" w:hAnsi="Calibri" w:cs="Calibri"/>
          <w:bCs w:val="0"/>
          <w:color w:val="FFFFFF" w:themeColor="background1"/>
          <w:sz w:val="22"/>
          <w:szCs w:val="22"/>
          <w:lang w:val="en-US"/>
        </w:rPr>
      </w:pPr>
      <w:bookmarkStart w:id="293" w:name="_7._Consistency_with"/>
      <w:bookmarkStart w:id="294" w:name="_Toc42027144"/>
      <w:bookmarkStart w:id="295" w:name="_Toc42262652"/>
      <w:bookmarkStart w:id="296" w:name="_Toc58398598"/>
      <w:bookmarkStart w:id="297" w:name="_Toc10550567"/>
      <w:bookmarkStart w:id="298" w:name="_Toc10550655"/>
      <w:bookmarkStart w:id="299" w:name="_Toc10552998"/>
      <w:bookmarkStart w:id="300" w:name="_Toc10554541"/>
      <w:bookmarkStart w:id="301" w:name="_Toc10554609"/>
      <w:bookmarkStart w:id="302" w:name="_Toc12612952"/>
      <w:bookmarkEnd w:id="293"/>
      <w:r w:rsidRPr="00A81EB5">
        <w:rPr>
          <w:rFonts w:ascii="Calibri" w:hAnsi="Calibri" w:cs="Calibri"/>
          <w:bCs w:val="0"/>
          <w:color w:val="FFFFFF" w:themeColor="background1"/>
          <w:sz w:val="22"/>
          <w:szCs w:val="22"/>
          <w:lang w:val="en-US"/>
        </w:rPr>
        <w:lastRenderedPageBreak/>
        <w:t>Consistency with National Priorities</w:t>
      </w:r>
      <w:bookmarkEnd w:id="294"/>
      <w:bookmarkEnd w:id="295"/>
      <w:bookmarkEnd w:id="296"/>
    </w:p>
    <w:p w14:paraId="6C0D2285" w14:textId="393EC2A5" w:rsidR="001C2D6B" w:rsidRPr="00CE1EA7" w:rsidRDefault="009563B4" w:rsidP="001667C6">
      <w:pPr>
        <w:pStyle w:val="ParagraphOED"/>
        <w:numPr>
          <w:ilvl w:val="0"/>
          <w:numId w:val="102"/>
        </w:numPr>
        <w:spacing w:after="160"/>
      </w:pPr>
      <w:bookmarkStart w:id="303" w:name="_Toc529831763"/>
      <w:bookmarkStart w:id="304" w:name="_Toc19082635"/>
      <w:r w:rsidRPr="00CE1EA7">
        <w:t xml:space="preserve">The project strategy and proposed outputs are consistent with national development priorities, </w:t>
      </w:r>
      <w:r w:rsidRPr="0062620B">
        <w:t>complement</w:t>
      </w:r>
      <w:r w:rsidR="0002529C">
        <w:t>ing</w:t>
      </w:r>
      <w:r w:rsidRPr="0062620B">
        <w:t xml:space="preserve"> primary national and international development strategies and plans</w:t>
      </w:r>
      <w:r w:rsidR="001C2D6B">
        <w:t>.</w:t>
      </w:r>
      <w:r w:rsidR="001C2D6B" w:rsidRPr="001C2D6B">
        <w:t xml:space="preserve"> </w:t>
      </w:r>
      <w:r w:rsidR="001C2D6B" w:rsidRPr="00CE1EA7">
        <w:t>As the project relate</w:t>
      </w:r>
      <w:r w:rsidR="005E4D70">
        <w:t>s</w:t>
      </w:r>
      <w:r w:rsidR="001C2D6B" w:rsidRPr="00CE1EA7">
        <w:t xml:space="preserve"> to land degradation and climate change (</w:t>
      </w:r>
      <w:r w:rsidR="005E4D70">
        <w:t xml:space="preserve">mostly </w:t>
      </w:r>
      <w:r w:rsidR="001C2D6B" w:rsidRPr="00CE1EA7">
        <w:t xml:space="preserve">resilience), it is fully aligned with, and supportive of, the </w:t>
      </w:r>
      <w:r w:rsidR="001C2D6B" w:rsidRPr="00CE1EA7">
        <w:rPr>
          <w:b/>
          <w:bCs/>
        </w:rPr>
        <w:t>National Action Program to Combat Desertification (PANCOD)</w:t>
      </w:r>
      <w:r w:rsidR="001C2D6B" w:rsidRPr="00CE1EA7">
        <w:t xml:space="preserve">, </w:t>
      </w:r>
      <w:r w:rsidR="001C2D6B" w:rsidRPr="00CE1EA7">
        <w:rPr>
          <w:b/>
          <w:bCs/>
        </w:rPr>
        <w:t>LDN target setting</w:t>
      </w:r>
      <w:r w:rsidR="001C2D6B" w:rsidRPr="00CE1EA7">
        <w:t xml:space="preserve"> </w:t>
      </w:r>
      <w:r w:rsidR="005E4D70">
        <w:t>(</w:t>
      </w:r>
      <w:r w:rsidR="005E4D70" w:rsidRPr="00636112">
        <w:rPr>
          <w:highlight w:val="lightGray"/>
        </w:rPr>
        <w:fldChar w:fldCharType="begin"/>
      </w:r>
      <w:r w:rsidR="005E4D70" w:rsidRPr="00636112">
        <w:rPr>
          <w:highlight w:val="lightGray"/>
        </w:rPr>
        <w:instrText xml:space="preserve"> REF _Ref45643899 \h  \* MERGEFORMAT </w:instrText>
      </w:r>
      <w:r w:rsidR="005E4D70" w:rsidRPr="00636112">
        <w:rPr>
          <w:highlight w:val="lightGray"/>
        </w:rPr>
      </w:r>
      <w:r w:rsidR="005E4D70" w:rsidRPr="00636112">
        <w:rPr>
          <w:highlight w:val="lightGray"/>
        </w:rPr>
        <w:fldChar w:fldCharType="separate"/>
      </w:r>
      <w:r w:rsidR="00A64193" w:rsidRPr="00A64193">
        <w:rPr>
          <w:highlight w:val="lightGray"/>
        </w:rPr>
        <w:t xml:space="preserve">Box </w:t>
      </w:r>
      <w:r w:rsidR="00A64193" w:rsidRPr="00A64193">
        <w:rPr>
          <w:noProof/>
          <w:highlight w:val="lightGray"/>
        </w:rPr>
        <w:t>2</w:t>
      </w:r>
      <w:r w:rsidR="005E4D70" w:rsidRPr="00636112">
        <w:rPr>
          <w:highlight w:val="lightGray"/>
        </w:rPr>
        <w:fldChar w:fldCharType="end"/>
      </w:r>
      <w:r w:rsidR="005E4D70" w:rsidRPr="00636112">
        <w:rPr>
          <w:highlight w:val="lightGray"/>
        </w:rPr>
        <w:t>.</w:t>
      </w:r>
      <w:r w:rsidR="005E4D70">
        <w:t xml:space="preserve">) </w:t>
      </w:r>
      <w:r w:rsidR="001C2D6B" w:rsidRPr="00CE1EA7">
        <w:t xml:space="preserve">and other relevant policies, plans and frameworks under </w:t>
      </w:r>
      <w:r w:rsidR="001C2D6B" w:rsidRPr="00CE1EA7">
        <w:rPr>
          <w:b/>
          <w:bCs/>
        </w:rPr>
        <w:t>UNCCD</w:t>
      </w:r>
      <w:r w:rsidR="001C2D6B" w:rsidRPr="00CE1EA7">
        <w:t xml:space="preserve"> and the </w:t>
      </w:r>
      <w:r w:rsidR="001C2D6B" w:rsidRPr="00CE1EA7">
        <w:rPr>
          <w:b/>
          <w:bCs/>
        </w:rPr>
        <w:t>UNFCCC</w:t>
      </w:r>
      <w:r w:rsidR="001C2D6B" w:rsidRPr="00CE1EA7">
        <w:t xml:space="preserve">. More specifically, the project is consistent with the </w:t>
      </w:r>
      <w:r w:rsidR="001C2D6B" w:rsidRPr="00CE1EA7">
        <w:rPr>
          <w:b/>
          <w:bCs/>
        </w:rPr>
        <w:t>National Communication to the United Nations Framework Convention, National Action Plan for Adaptation (NAPA)</w:t>
      </w:r>
      <w:r w:rsidR="005E4D70">
        <w:t xml:space="preserve"> and the </w:t>
      </w:r>
      <w:r w:rsidR="001C2D6B" w:rsidRPr="00CE1EA7">
        <w:t xml:space="preserve"> </w:t>
      </w:r>
      <w:r w:rsidR="001C2D6B" w:rsidRPr="00CE1EA7">
        <w:rPr>
          <w:b/>
          <w:bCs/>
        </w:rPr>
        <w:t>National Strategy and Action Plan on Biodiversity (NBSAP)</w:t>
      </w:r>
      <w:r w:rsidR="005E4D70">
        <w:t>.</w:t>
      </w:r>
    </w:p>
    <w:p w14:paraId="5FB3D76B" w14:textId="5154C9CA" w:rsidR="009563B4" w:rsidRPr="00CE1EA7" w:rsidRDefault="009563B4" w:rsidP="001667C6">
      <w:pPr>
        <w:pStyle w:val="ParagraphOED"/>
        <w:numPr>
          <w:ilvl w:val="0"/>
          <w:numId w:val="102"/>
        </w:numPr>
        <w:spacing w:after="80"/>
      </w:pPr>
      <w:r w:rsidRPr="1E65A5F7">
        <w:rPr>
          <w:b/>
          <w:bCs/>
        </w:rPr>
        <w:t>Climate Change</w:t>
      </w:r>
      <w:r w:rsidR="0002529C" w:rsidRPr="1E65A5F7">
        <w:rPr>
          <w:b/>
          <w:bCs/>
        </w:rPr>
        <w:t>:</w:t>
      </w:r>
      <w:r>
        <w:t xml:space="preserve"> </w:t>
      </w:r>
      <w:r w:rsidR="00615B43">
        <w:t>By virtue of</w:t>
      </w:r>
      <w:r>
        <w:t xml:space="preserve"> contribut</w:t>
      </w:r>
      <w:r w:rsidR="0002529C">
        <w:t>ing to</w:t>
      </w:r>
      <w:r>
        <w:t xml:space="preserve"> Climate Change Mitigation (mostly by </w:t>
      </w:r>
      <w:r w:rsidR="0002529C">
        <w:t>maintaining</w:t>
      </w:r>
      <w:r>
        <w:t xml:space="preserve"> and increas</w:t>
      </w:r>
      <w:r w:rsidR="0002529C">
        <w:t>ing</w:t>
      </w:r>
      <w:r>
        <w:t xml:space="preserve"> soil carbon levels) and Resilience</w:t>
      </w:r>
      <w:r w:rsidR="00615B43">
        <w:t>/</w:t>
      </w:r>
      <w:r>
        <w:t>Adaptation (by preserving or increasing the resilience of Miombo-Mopane Woodland ecosystems and resident communities to climate change), the project is strongly aligned with the objectives</w:t>
      </w:r>
      <w:r w:rsidR="00615B43">
        <w:t>/</w:t>
      </w:r>
      <w:r>
        <w:t xml:space="preserve">strategies </w:t>
      </w:r>
      <w:r w:rsidR="00615B43">
        <w:t>of the following</w:t>
      </w:r>
      <w:r>
        <w:t>:</w:t>
      </w:r>
    </w:p>
    <w:p w14:paraId="115C0701" w14:textId="483E2246" w:rsidR="009563B4" w:rsidRPr="00615B43" w:rsidRDefault="009563B4" w:rsidP="00C53A49">
      <w:pPr>
        <w:numPr>
          <w:ilvl w:val="0"/>
          <w:numId w:val="9"/>
        </w:numPr>
        <w:spacing w:before="80"/>
        <w:jc w:val="both"/>
        <w:rPr>
          <w:rFonts w:ascii="Calibri" w:hAnsi="Calibri" w:cs="Calibri"/>
          <w:sz w:val="21"/>
          <w:szCs w:val="21"/>
        </w:rPr>
      </w:pPr>
      <w:r w:rsidRPr="00615B43">
        <w:rPr>
          <w:rFonts w:ascii="Calibri" w:hAnsi="Calibri" w:cs="Calibri"/>
          <w:b/>
          <w:bCs/>
          <w:sz w:val="21"/>
          <w:szCs w:val="21"/>
        </w:rPr>
        <w:t>Intended Nationally Determined Contribution</w:t>
      </w:r>
      <w:r w:rsidRPr="00615B43">
        <w:rPr>
          <w:rFonts w:ascii="Calibri" w:hAnsi="Calibri" w:cs="Calibri"/>
          <w:sz w:val="21"/>
          <w:szCs w:val="21"/>
        </w:rPr>
        <w:t xml:space="preserve"> (INDC), released by Angola in 2015 for COP-21, which prioritizes the implementation of adaptation measures in the agricultural sector, as well as for the forest, biodiversity and national resources sectors. </w:t>
      </w:r>
    </w:p>
    <w:p w14:paraId="24436937" w14:textId="0B700802" w:rsidR="009563B4" w:rsidRPr="00615B43" w:rsidRDefault="009563B4" w:rsidP="00C53A49">
      <w:pPr>
        <w:numPr>
          <w:ilvl w:val="0"/>
          <w:numId w:val="9"/>
        </w:numPr>
        <w:spacing w:before="80"/>
        <w:jc w:val="both"/>
        <w:rPr>
          <w:rFonts w:ascii="Calibri" w:hAnsi="Calibri" w:cs="Calibri"/>
          <w:sz w:val="21"/>
          <w:szCs w:val="21"/>
        </w:rPr>
      </w:pPr>
      <w:r w:rsidRPr="00615B43">
        <w:rPr>
          <w:rFonts w:ascii="Calibri" w:hAnsi="Calibri" w:cs="Calibri"/>
          <w:b/>
          <w:bCs/>
          <w:sz w:val="21"/>
          <w:szCs w:val="21"/>
        </w:rPr>
        <w:t>Angolan National Adaptation Plan</w:t>
      </w:r>
      <w:r w:rsidRPr="00615B43">
        <w:rPr>
          <w:rFonts w:ascii="Calibri" w:hAnsi="Calibri" w:cs="Calibri"/>
          <w:sz w:val="21"/>
          <w:szCs w:val="21"/>
        </w:rPr>
        <w:t xml:space="preserve"> (NAP), launched in July 2015. The NAP process is supported by the GEF-founded NAP Global Support Program (NAP-GSP) and seeks to facilitate effective medium and long-term climate change adaptation planning</w:t>
      </w:r>
      <w:r w:rsidR="00615B43">
        <w:rPr>
          <w:rFonts w:ascii="Calibri" w:hAnsi="Calibri" w:cs="Calibri"/>
          <w:sz w:val="21"/>
          <w:szCs w:val="21"/>
        </w:rPr>
        <w:t>,</w:t>
      </w:r>
      <w:r w:rsidRPr="00615B43">
        <w:rPr>
          <w:rFonts w:ascii="Calibri" w:hAnsi="Calibri" w:cs="Calibri"/>
          <w:sz w:val="21"/>
          <w:szCs w:val="21"/>
        </w:rPr>
        <w:t xml:space="preserve"> as well as budgeting </w:t>
      </w:r>
      <w:r w:rsidR="00615B43">
        <w:rPr>
          <w:rFonts w:ascii="Calibri" w:hAnsi="Calibri" w:cs="Calibri"/>
          <w:sz w:val="21"/>
          <w:szCs w:val="21"/>
        </w:rPr>
        <w:t xml:space="preserve">such </w:t>
      </w:r>
      <w:r w:rsidRPr="00615B43">
        <w:rPr>
          <w:rFonts w:ascii="Calibri" w:hAnsi="Calibri" w:cs="Calibri"/>
          <w:sz w:val="21"/>
          <w:szCs w:val="21"/>
        </w:rPr>
        <w:t>planning through institutional support, technical support and knowledge brokering. The proposed project provide</w:t>
      </w:r>
      <w:r w:rsidR="00615B43">
        <w:rPr>
          <w:rFonts w:ascii="Calibri" w:hAnsi="Calibri" w:cs="Calibri"/>
          <w:sz w:val="21"/>
          <w:szCs w:val="21"/>
        </w:rPr>
        <w:t>s</w:t>
      </w:r>
      <w:r w:rsidRPr="00615B43">
        <w:rPr>
          <w:rFonts w:ascii="Calibri" w:hAnsi="Calibri" w:cs="Calibri"/>
          <w:sz w:val="21"/>
          <w:szCs w:val="21"/>
        </w:rPr>
        <w:t xml:space="preserve"> a way forward on the NAP process by developing strong partnerships at national and local levels and contribut</w:t>
      </w:r>
      <w:r w:rsidR="00615B43">
        <w:rPr>
          <w:rFonts w:ascii="Calibri" w:hAnsi="Calibri" w:cs="Calibri"/>
          <w:sz w:val="21"/>
          <w:szCs w:val="21"/>
        </w:rPr>
        <w:t>ing</w:t>
      </w:r>
      <w:r w:rsidRPr="00615B43">
        <w:rPr>
          <w:rFonts w:ascii="Calibri" w:hAnsi="Calibri" w:cs="Calibri"/>
          <w:sz w:val="21"/>
          <w:szCs w:val="21"/>
        </w:rPr>
        <w:t xml:space="preserve"> to the integration of CCA sustainable Natural Resources Management and SLM. </w:t>
      </w:r>
    </w:p>
    <w:p w14:paraId="4928394C" w14:textId="5E7E6BBF" w:rsidR="009563B4" w:rsidRPr="009533C2" w:rsidRDefault="009563B4" w:rsidP="00D538E3">
      <w:pPr>
        <w:pStyle w:val="Heading4"/>
        <w:spacing w:before="160" w:after="80"/>
        <w:ind w:left="0"/>
        <w:rPr>
          <w:rFonts w:ascii="Calibri" w:hAnsi="Calibri" w:cs="Calibri"/>
          <w:sz w:val="21"/>
          <w:szCs w:val="21"/>
        </w:rPr>
      </w:pPr>
      <w:bookmarkStart w:id="305" w:name="_Toc42027145"/>
      <w:bookmarkStart w:id="306" w:name="_Toc42262653"/>
      <w:r w:rsidRPr="009533C2">
        <w:rPr>
          <w:rFonts w:ascii="Calibri" w:hAnsi="Calibri" w:cs="Calibri"/>
          <w:sz w:val="21"/>
          <w:szCs w:val="21"/>
        </w:rPr>
        <w:t>National Development Plan (PDN</w:t>
      </w:r>
      <w:bookmarkStart w:id="307" w:name="_Toc21505211"/>
      <w:bookmarkStart w:id="308" w:name="_Toc26105449"/>
      <w:r w:rsidRPr="009533C2">
        <w:rPr>
          <w:rFonts w:ascii="Calibri" w:hAnsi="Calibri" w:cs="Calibri"/>
          <w:sz w:val="21"/>
          <w:szCs w:val="21"/>
        </w:rPr>
        <w:t>) 2018-2022</w:t>
      </w:r>
      <w:bookmarkEnd w:id="305"/>
      <w:bookmarkEnd w:id="306"/>
      <w:bookmarkEnd w:id="307"/>
      <w:bookmarkEnd w:id="308"/>
    </w:p>
    <w:p w14:paraId="3713E6E5" w14:textId="0FE75CC0" w:rsidR="009563B4" w:rsidRPr="00CE1EA7" w:rsidRDefault="00FB3E01" w:rsidP="001667C6">
      <w:pPr>
        <w:pStyle w:val="ParagraphOED"/>
        <w:numPr>
          <w:ilvl w:val="0"/>
          <w:numId w:val="102"/>
        </w:numPr>
        <w:spacing w:after="160"/>
      </w:pPr>
      <w:r>
        <w:t>In 2018, Angola’s LDN target was mainstreamed into</w:t>
      </w:r>
      <w:r w:rsidR="00AD24E7">
        <w:t xml:space="preserve"> the</w:t>
      </w:r>
      <w:r>
        <w:t xml:space="preserve"> </w:t>
      </w:r>
      <w:r w:rsidRPr="1E65A5F7">
        <w:rPr>
          <w:b/>
          <w:bCs/>
        </w:rPr>
        <w:t>National Development Plan 2018-2022</w:t>
      </w:r>
      <w:r>
        <w:t xml:space="preserve">, </w:t>
      </w:r>
      <w:r w:rsidR="00AD24E7">
        <w:t>so</w:t>
      </w:r>
      <w:r>
        <w:t xml:space="preserve"> it is no surprise that th</w:t>
      </w:r>
      <w:r w:rsidR="00AD24E7">
        <w:t>is</w:t>
      </w:r>
      <w:r>
        <w:t xml:space="preserve"> current PND is</w:t>
      </w:r>
      <w:r w:rsidR="009533C2">
        <w:t xml:space="preserve"> the main instrument </w:t>
      </w:r>
      <w:r w:rsidR="002A333D">
        <w:t>that promotes sustainable management of landscapes to address land degradation</w:t>
      </w:r>
      <w:r w:rsidR="009533C2">
        <w:t xml:space="preserve">. </w:t>
      </w:r>
      <w:r w:rsidR="009563B4">
        <w:t>The PDN</w:t>
      </w:r>
      <w:r w:rsidR="002A333D">
        <w:t xml:space="preserve"> </w:t>
      </w:r>
      <w:r w:rsidR="009563B4">
        <w:t xml:space="preserve">is innovative, </w:t>
      </w:r>
      <w:r w:rsidR="00CF1E13">
        <w:t xml:space="preserve">having </w:t>
      </w:r>
      <w:r w:rsidR="009563B4">
        <w:t xml:space="preserve">being </w:t>
      </w:r>
      <w:r w:rsidR="0035347A">
        <w:t>prepared</w:t>
      </w:r>
      <w:r w:rsidR="009563B4">
        <w:t xml:space="preserve"> in co</w:t>
      </w:r>
      <w:r w:rsidR="00CF1E13">
        <w:t>nsultation</w:t>
      </w:r>
      <w:r w:rsidR="009563B4">
        <w:t xml:space="preserve"> with sectoral and provincial planning bodies, </w:t>
      </w:r>
      <w:r w:rsidR="00CF1E13">
        <w:t>thereby</w:t>
      </w:r>
      <w:r w:rsidR="009563B4">
        <w:t xml:space="preserve"> maximiz</w:t>
      </w:r>
      <w:r w:rsidR="00CF1E13">
        <w:t>ing</w:t>
      </w:r>
      <w:r w:rsidR="009563B4">
        <w:t xml:space="preserve"> their ownership of the national development process. </w:t>
      </w:r>
      <w:r w:rsidR="00CF1E13">
        <w:t>Furthermore,</w:t>
      </w:r>
      <w:r w:rsidR="009563B4">
        <w:t xml:space="preserve"> each sector was invited to interact with the provinces</w:t>
      </w:r>
      <w:r w:rsidR="00CF1E13">
        <w:t>,</w:t>
      </w:r>
      <w:r w:rsidR="009563B4">
        <w:t xml:space="preserve"> </w:t>
      </w:r>
      <w:r w:rsidR="0035347A">
        <w:t xml:space="preserve">and </w:t>
      </w:r>
      <w:r w:rsidR="009563B4">
        <w:t>relevant private sector and civil society partners in their areas of inter</w:t>
      </w:r>
      <w:r w:rsidR="0035347A">
        <w:t>est and expertise</w:t>
      </w:r>
      <w:r w:rsidR="009563B4">
        <w:t>.</w:t>
      </w:r>
      <w:r>
        <w:t xml:space="preserve"> Th</w:t>
      </w:r>
      <w:r w:rsidR="006D43CC">
        <w:t>us, the</w:t>
      </w:r>
      <w:r>
        <w:t xml:space="preserve"> project is consistent with national and local development plans</w:t>
      </w:r>
      <w:r w:rsidR="006D43CC">
        <w:t>. Furthermore, the PDN has been scrutinized during the PPG in order to assess it</w:t>
      </w:r>
      <w:r w:rsidR="00AD24E7">
        <w:t>s</w:t>
      </w:r>
      <w:r w:rsidR="006D43CC">
        <w:t xml:space="preserve"> co-financing element with respect to this project. Much of the evidence relating to the consistency of this project with national priorities has already been provided in Section </w:t>
      </w:r>
      <w:r w:rsidR="000D62EB">
        <w:t>1.a 2.B.</w:t>
      </w:r>
    </w:p>
    <w:p w14:paraId="065EE9CE" w14:textId="1146534F" w:rsidR="009563B4" w:rsidRPr="00F60CDA" w:rsidRDefault="00CF1E13" w:rsidP="001667C6">
      <w:pPr>
        <w:pStyle w:val="ParagraphOED"/>
        <w:numPr>
          <w:ilvl w:val="0"/>
          <w:numId w:val="102"/>
        </w:numPr>
        <w:spacing w:after="160"/>
      </w:pPr>
      <w:r>
        <w:t>The project is aligned with s</w:t>
      </w:r>
      <w:r w:rsidR="009563B4">
        <w:t>everal of the PDN’s programs related to the development of agriculture, environmental protection, spatial planning, forestry, integrated water resource management and decentralized rural development. Each program contains specific targets, policy linkages and actions</w:t>
      </w:r>
      <w:r w:rsidR="00316DA8">
        <w:t>. Those</w:t>
      </w:r>
      <w:r w:rsidR="009563B4">
        <w:t xml:space="preserve"> that</w:t>
      </w:r>
      <w:r>
        <w:t xml:space="preserve"> </w:t>
      </w:r>
      <w:r w:rsidR="009563B4">
        <w:t>direct</w:t>
      </w:r>
      <w:r w:rsidR="007114BC">
        <w:t>ly</w:t>
      </w:r>
      <w:r w:rsidR="009563B4">
        <w:t xml:space="preserve"> </w:t>
      </w:r>
      <w:r w:rsidR="00316DA8">
        <w:t>promote sustainable management of landscapes (primarily drylands)</w:t>
      </w:r>
      <w:r w:rsidR="009563B4">
        <w:t xml:space="preserve"> were selected as baseline </w:t>
      </w:r>
      <w:r w:rsidR="00316DA8">
        <w:t>co-</w:t>
      </w:r>
      <w:r w:rsidR="009563B4">
        <w:t>finance vis-à-vis this project. The</w:t>
      </w:r>
      <w:r w:rsidR="00316DA8">
        <w:t xml:space="preserve"> results of this analysis</w:t>
      </w:r>
      <w:r w:rsidR="00731DC4">
        <w:t>,</w:t>
      </w:r>
      <w:r w:rsidR="00316DA8">
        <w:t xml:space="preserve"> summarized </w:t>
      </w:r>
      <w:r w:rsidR="009563B4">
        <w:t xml:space="preserve">in </w:t>
      </w:r>
      <w:r w:rsidR="00DB14F8">
        <w:t>Table 9</w:t>
      </w:r>
      <w:r w:rsidR="00731DC4">
        <w:t>,</w:t>
      </w:r>
      <w:r w:rsidR="00316DA8">
        <w:t xml:space="preserve"> </w:t>
      </w:r>
      <w:r w:rsidR="009563B4">
        <w:t>provide the bas</w:t>
      </w:r>
      <w:r w:rsidR="006C4405">
        <w:t xml:space="preserve">is for calculating the </w:t>
      </w:r>
      <w:r w:rsidR="009563B4">
        <w:t xml:space="preserve">baseline and co-financing </w:t>
      </w:r>
      <w:r w:rsidR="006C4405">
        <w:t>from</w:t>
      </w:r>
      <w:r w:rsidR="009563B4">
        <w:t xml:space="preserve"> public investment budgetary allocations, indexed </w:t>
      </w:r>
      <w:r w:rsidR="006C4405">
        <w:t>by</w:t>
      </w:r>
      <w:r w:rsidR="009563B4">
        <w:t xml:space="preserve"> program and included in the Central Government Budget (OGE) for 2019</w:t>
      </w:r>
      <w:r w:rsidR="006C4405">
        <w:t xml:space="preserve">, the </w:t>
      </w:r>
      <w:r w:rsidR="009563B4">
        <w:t xml:space="preserve">base year </w:t>
      </w:r>
      <w:r w:rsidR="006C4405">
        <w:t>for</w:t>
      </w:r>
      <w:r w:rsidR="009563B4">
        <w:t xml:space="preserve"> the calculation</w:t>
      </w:r>
      <w:r w:rsidR="00731DC4">
        <w:t>s</w:t>
      </w:r>
      <w:r w:rsidR="009563B4">
        <w:t xml:space="preserve">. </w:t>
      </w:r>
      <w:r w:rsidR="00731DC4">
        <w:t>Further d</w:t>
      </w:r>
      <w:r w:rsidR="009563B4">
        <w:t xml:space="preserve">etails are provided in the </w:t>
      </w:r>
      <w:r w:rsidR="00731DC4">
        <w:t xml:space="preserve">notes at the foot of the </w:t>
      </w:r>
      <w:r w:rsidR="009563B4">
        <w:t xml:space="preserve">table. </w:t>
      </w:r>
    </w:p>
    <w:p w14:paraId="023C32D2" w14:textId="77777777" w:rsidR="009563B4" w:rsidRPr="00D538E3" w:rsidRDefault="009563B4" w:rsidP="00D538E3">
      <w:pPr>
        <w:pStyle w:val="Heading4"/>
        <w:spacing w:before="160" w:after="80"/>
        <w:ind w:left="0"/>
        <w:rPr>
          <w:rFonts w:ascii="Calibri" w:hAnsi="Calibri" w:cs="Calibri"/>
          <w:sz w:val="21"/>
          <w:szCs w:val="21"/>
        </w:rPr>
      </w:pPr>
      <w:bookmarkStart w:id="309" w:name="_Toc529831766"/>
      <w:bookmarkStart w:id="310" w:name="_Toc21505214"/>
      <w:bookmarkStart w:id="311" w:name="_Toc26105452"/>
      <w:bookmarkStart w:id="312" w:name="_Toc42027146"/>
      <w:bookmarkStart w:id="313" w:name="_Toc42262654"/>
      <w:bookmarkStart w:id="314" w:name="_Toc21505212"/>
      <w:bookmarkStart w:id="315" w:name="_Toc26105450"/>
      <w:r w:rsidRPr="00D538E3">
        <w:rPr>
          <w:rFonts w:ascii="Calibri" w:hAnsi="Calibri" w:cs="Calibri"/>
          <w:sz w:val="21"/>
          <w:szCs w:val="21"/>
        </w:rPr>
        <w:t>National Action Program to Combat Desertification (PANCOD)</w:t>
      </w:r>
      <w:bookmarkEnd w:id="309"/>
      <w:bookmarkEnd w:id="310"/>
      <w:bookmarkEnd w:id="311"/>
      <w:bookmarkEnd w:id="312"/>
      <w:bookmarkEnd w:id="313"/>
    </w:p>
    <w:p w14:paraId="08213941" w14:textId="6EF1F5A8" w:rsidR="009563B4" w:rsidRPr="00CE1EA7" w:rsidRDefault="005B16B4" w:rsidP="001667C6">
      <w:pPr>
        <w:pStyle w:val="ParagraphOED"/>
        <w:numPr>
          <w:ilvl w:val="0"/>
          <w:numId w:val="102"/>
        </w:numPr>
        <w:spacing w:after="160"/>
      </w:pPr>
      <w:r>
        <w:t xml:space="preserve">PANCOD is a national program that essentially provides a mechanism for Angola’s compliance with its commitments to UNCCD. </w:t>
      </w:r>
      <w:r w:rsidR="009407E4">
        <w:t xml:space="preserve">It has been described previously in </w:t>
      </w:r>
      <w:r w:rsidR="009407E4" w:rsidRPr="009407E4">
        <w:rPr>
          <w:highlight w:val="lightGray"/>
        </w:rPr>
        <w:t xml:space="preserve">paragraph </w:t>
      </w:r>
      <w:r w:rsidR="009407E4" w:rsidRPr="009407E4">
        <w:rPr>
          <w:highlight w:val="lightGray"/>
        </w:rPr>
        <w:fldChar w:fldCharType="begin"/>
      </w:r>
      <w:r w:rsidR="009407E4" w:rsidRPr="009407E4">
        <w:rPr>
          <w:highlight w:val="lightGray"/>
        </w:rPr>
        <w:instrText xml:space="preserve"> REF _Ref52338566 \r \h  \* MERGEFORMAT </w:instrText>
      </w:r>
      <w:r w:rsidR="009407E4" w:rsidRPr="009407E4">
        <w:rPr>
          <w:highlight w:val="lightGray"/>
        </w:rPr>
      </w:r>
      <w:r w:rsidR="009407E4" w:rsidRPr="009407E4">
        <w:rPr>
          <w:highlight w:val="lightGray"/>
        </w:rPr>
        <w:fldChar w:fldCharType="separate"/>
      </w:r>
      <w:r w:rsidR="00A64193">
        <w:rPr>
          <w:highlight w:val="lightGray"/>
        </w:rPr>
        <w:t>43</w:t>
      </w:r>
      <w:r w:rsidR="009407E4" w:rsidRPr="009407E4">
        <w:rPr>
          <w:highlight w:val="lightGray"/>
        </w:rPr>
        <w:fldChar w:fldCharType="end"/>
      </w:r>
      <w:r w:rsidR="009407E4">
        <w:t>. Importantly, t</w:t>
      </w:r>
      <w:r w:rsidR="009563B4" w:rsidRPr="00CE1EA7">
        <w:t xml:space="preserve">his </w:t>
      </w:r>
      <w:r w:rsidR="009407E4">
        <w:t xml:space="preserve">GEF-7 </w:t>
      </w:r>
      <w:r w:rsidR="009563B4" w:rsidRPr="00CE1EA7">
        <w:t xml:space="preserve">project will be instrumental in </w:t>
      </w:r>
      <w:r w:rsidR="006C381F">
        <w:t>supporting government</w:t>
      </w:r>
      <w:r w:rsidR="009563B4" w:rsidRPr="00CE1EA7">
        <w:t xml:space="preserve"> implement PANCOD.</w:t>
      </w:r>
    </w:p>
    <w:p w14:paraId="7D9E1AFF" w14:textId="77777777" w:rsidR="009563B4" w:rsidRPr="006C381F" w:rsidRDefault="009563B4" w:rsidP="006C381F">
      <w:pPr>
        <w:pStyle w:val="Heading4"/>
        <w:spacing w:before="160" w:after="80"/>
        <w:ind w:left="0"/>
        <w:rPr>
          <w:rFonts w:ascii="Calibri" w:hAnsi="Calibri" w:cs="Calibri"/>
          <w:sz w:val="21"/>
          <w:szCs w:val="21"/>
        </w:rPr>
      </w:pPr>
      <w:bookmarkStart w:id="316" w:name="_Toc21505213"/>
      <w:bookmarkStart w:id="317" w:name="_Toc26105451"/>
      <w:bookmarkStart w:id="318" w:name="_Toc42027147"/>
      <w:bookmarkStart w:id="319" w:name="_Toc42262655"/>
      <w:r w:rsidRPr="006C381F">
        <w:rPr>
          <w:rFonts w:ascii="Calibri" w:hAnsi="Calibri" w:cs="Calibri"/>
          <w:sz w:val="21"/>
          <w:szCs w:val="21"/>
        </w:rPr>
        <w:lastRenderedPageBreak/>
        <w:t>Land Degradation Neutrality Target Setting Program (LDN-TSP)</w:t>
      </w:r>
      <w:bookmarkEnd w:id="316"/>
      <w:bookmarkEnd w:id="317"/>
      <w:bookmarkEnd w:id="318"/>
      <w:bookmarkEnd w:id="319"/>
    </w:p>
    <w:p w14:paraId="2B3EF5F0" w14:textId="654D3621" w:rsidR="000C383E" w:rsidRPr="000C383E" w:rsidRDefault="009563B4" w:rsidP="001667C6">
      <w:pPr>
        <w:pStyle w:val="ParagraphOED"/>
        <w:numPr>
          <w:ilvl w:val="0"/>
          <w:numId w:val="102"/>
        </w:numPr>
        <w:spacing w:after="160"/>
        <w:rPr>
          <w:rFonts w:cs="Times New Roman"/>
        </w:rPr>
      </w:pPr>
      <w:r w:rsidRPr="00CE1EA7">
        <w:t>LDN TSP has been assisting countries since 2014 to mak</w:t>
      </w:r>
      <w:r w:rsidR="006C381F">
        <w:t>e</w:t>
      </w:r>
      <w:r w:rsidRPr="00CE1EA7">
        <w:t xml:space="preserve"> the LDN concept a reality by 2030, by providing practical tools and guidance for the establishment of voluntary LDN targets, </w:t>
      </w:r>
      <w:r w:rsidR="006C381F">
        <w:t xml:space="preserve">and </w:t>
      </w:r>
      <w:r w:rsidRPr="00CE1EA7">
        <w:t xml:space="preserve">accelerating the implementation of transformative programs and projects. </w:t>
      </w:r>
      <w:r w:rsidR="006C381F">
        <w:t>Angola is among</w:t>
      </w:r>
      <w:r w:rsidRPr="00CE1EA7">
        <w:t xml:space="preserve"> more than 100 countries participating in the </w:t>
      </w:r>
      <w:r w:rsidR="006C381F">
        <w:t>Program</w:t>
      </w:r>
      <w:r w:rsidRPr="619CA689">
        <w:rPr>
          <w:rStyle w:val="FootnoteReference"/>
          <w:rFonts w:cs="Times New Roman"/>
        </w:rPr>
        <w:footnoteReference w:id="104"/>
      </w:r>
      <w:r w:rsidR="00EA0C8C">
        <w:t>, having joined in November 2018</w:t>
      </w:r>
      <w:r w:rsidR="000C383E">
        <w:t xml:space="preserve"> and effectively signed up to the </w:t>
      </w:r>
      <w:r w:rsidRPr="619CA689">
        <w:t xml:space="preserve"> general LDN goal of “</w:t>
      </w:r>
      <w:r w:rsidRPr="1E65A5F7">
        <w:rPr>
          <w:i/>
          <w:iCs/>
        </w:rPr>
        <w:t>achieving neutral land degradation by 2030 compared to degradation levels for 2015</w:t>
      </w:r>
      <w:r w:rsidRPr="00CE1EA7">
        <w:t>”</w:t>
      </w:r>
      <w:r w:rsidR="000C383E">
        <w:t>.</w:t>
      </w:r>
    </w:p>
    <w:p w14:paraId="4DB4F9A5" w14:textId="1195DCF3" w:rsidR="009563B4" w:rsidRPr="000C383E" w:rsidRDefault="000C383E" w:rsidP="001667C6">
      <w:pPr>
        <w:pStyle w:val="ParagraphOED"/>
        <w:numPr>
          <w:ilvl w:val="0"/>
          <w:numId w:val="102"/>
        </w:numPr>
        <w:spacing w:after="0"/>
      </w:pPr>
      <w:r>
        <w:t>T</w:t>
      </w:r>
      <w:r w:rsidR="009563B4">
        <w:t>he LDN Fund was launched as</w:t>
      </w:r>
      <w:r>
        <w:t xml:space="preserve"> </w:t>
      </w:r>
      <w:r w:rsidR="009563B4">
        <w:t xml:space="preserve">an impact investment fund blending resources from the public, private and philanthropic sectors in support of achieving LDN through sustainable land management and land restoration projects undertaken by the private sector worldwide. The LDN TSP is defined as having four building blocks: </w:t>
      </w:r>
      <w:r w:rsidR="009563B4" w:rsidRPr="1E65A5F7">
        <w:rPr>
          <w:b/>
          <w:bCs/>
        </w:rPr>
        <w:t>1. Leveraging LDN</w:t>
      </w:r>
      <w:r w:rsidR="009563B4">
        <w:t xml:space="preserve">, </w:t>
      </w:r>
      <w:r w:rsidR="009563B4" w:rsidRPr="1E65A5F7">
        <w:rPr>
          <w:b/>
          <w:bCs/>
        </w:rPr>
        <w:t>2. Assessing LDN</w:t>
      </w:r>
      <w:r w:rsidR="009563B4">
        <w:t xml:space="preserve">, </w:t>
      </w:r>
      <w:r w:rsidR="009563B4" w:rsidRPr="1E65A5F7">
        <w:rPr>
          <w:b/>
          <w:bCs/>
        </w:rPr>
        <w:t>3. Setting LDN targets and associated measures</w:t>
      </w:r>
      <w:r w:rsidR="009563B4">
        <w:t xml:space="preserve"> and </w:t>
      </w:r>
      <w:r w:rsidR="009563B4" w:rsidRPr="1E65A5F7">
        <w:rPr>
          <w:b/>
          <w:bCs/>
        </w:rPr>
        <w:t>4. Achieving LDN</w:t>
      </w:r>
      <w:r w:rsidR="009563B4">
        <w:t xml:space="preserve">. </w:t>
      </w:r>
      <w:r>
        <w:t>A</w:t>
      </w:r>
      <w:r w:rsidR="009563B4">
        <w:t xml:space="preserve">ssessment of the current status, trends and drivers of land degradation is </w:t>
      </w:r>
      <w:r>
        <w:t>based on</w:t>
      </w:r>
      <w:r w:rsidR="009563B4">
        <w:t xml:space="preserve"> a set of </w:t>
      </w:r>
      <w:r w:rsidR="009563B4" w:rsidRPr="1E65A5F7">
        <w:rPr>
          <w:b/>
          <w:bCs/>
        </w:rPr>
        <w:t>three indicators</w:t>
      </w:r>
      <w:r w:rsidR="009563B4">
        <w:t xml:space="preserve"> that reflect land-based natural capital and its associated ecosystem services:</w:t>
      </w:r>
    </w:p>
    <w:p w14:paraId="32DA0E8D" w14:textId="66496F1A" w:rsidR="009563B4" w:rsidRPr="000C383E" w:rsidRDefault="009563B4" w:rsidP="00C53A49">
      <w:pPr>
        <w:numPr>
          <w:ilvl w:val="0"/>
          <w:numId w:val="15"/>
        </w:numPr>
        <w:suppressAutoHyphens/>
        <w:ind w:left="993" w:hanging="284"/>
        <w:rPr>
          <w:rFonts w:ascii="Calibri" w:hAnsi="Calibri" w:cs="Calibri"/>
          <w:sz w:val="21"/>
          <w:szCs w:val="21"/>
        </w:rPr>
      </w:pPr>
      <w:r w:rsidRPr="000C383E">
        <w:rPr>
          <w:rFonts w:ascii="Calibri" w:hAnsi="Calibri" w:cs="Calibri"/>
          <w:sz w:val="21"/>
          <w:szCs w:val="21"/>
        </w:rPr>
        <w:t>land cover</w:t>
      </w:r>
      <w:r w:rsidR="000C383E">
        <w:rPr>
          <w:rFonts w:ascii="Calibri" w:hAnsi="Calibri" w:cs="Calibri"/>
          <w:sz w:val="21"/>
          <w:szCs w:val="21"/>
        </w:rPr>
        <w:t>;</w:t>
      </w:r>
    </w:p>
    <w:p w14:paraId="726D085E" w14:textId="039DE5D1" w:rsidR="009563B4" w:rsidRPr="000C383E" w:rsidRDefault="009563B4" w:rsidP="00C53A49">
      <w:pPr>
        <w:numPr>
          <w:ilvl w:val="0"/>
          <w:numId w:val="15"/>
        </w:numPr>
        <w:suppressAutoHyphens/>
        <w:ind w:left="993" w:hanging="284"/>
        <w:rPr>
          <w:rFonts w:ascii="Calibri" w:hAnsi="Calibri" w:cs="Calibri"/>
          <w:sz w:val="21"/>
          <w:szCs w:val="21"/>
        </w:rPr>
      </w:pPr>
      <w:r w:rsidRPr="000C383E">
        <w:rPr>
          <w:rFonts w:ascii="Calibri" w:hAnsi="Calibri" w:cs="Calibri"/>
          <w:sz w:val="21"/>
          <w:szCs w:val="21"/>
        </w:rPr>
        <w:t>land productivity (metric: net primary productivity)</w:t>
      </w:r>
      <w:r w:rsidR="000C383E">
        <w:rPr>
          <w:rFonts w:ascii="Calibri" w:hAnsi="Calibri" w:cs="Calibri"/>
          <w:sz w:val="21"/>
          <w:szCs w:val="21"/>
        </w:rPr>
        <w:t>; and</w:t>
      </w:r>
    </w:p>
    <w:p w14:paraId="5BE6F37C" w14:textId="5B863AE5" w:rsidR="009563B4" w:rsidRPr="000C383E" w:rsidRDefault="009563B4" w:rsidP="00C53A49">
      <w:pPr>
        <w:numPr>
          <w:ilvl w:val="0"/>
          <w:numId w:val="15"/>
        </w:numPr>
        <w:suppressAutoHyphens/>
        <w:spacing w:after="180"/>
        <w:ind w:left="993" w:hanging="284"/>
        <w:rPr>
          <w:rFonts w:ascii="Calibri" w:hAnsi="Calibri" w:cs="Calibri"/>
          <w:sz w:val="21"/>
          <w:szCs w:val="21"/>
        </w:rPr>
      </w:pPr>
      <w:r w:rsidRPr="000C383E">
        <w:rPr>
          <w:rFonts w:ascii="Calibri" w:hAnsi="Calibri" w:cs="Calibri"/>
          <w:sz w:val="21"/>
          <w:szCs w:val="21"/>
        </w:rPr>
        <w:t>carbon stocks above and below ground (metric: soil organic carbon)</w:t>
      </w:r>
      <w:r w:rsidR="000C383E">
        <w:rPr>
          <w:rFonts w:ascii="Calibri" w:hAnsi="Calibri" w:cs="Calibri"/>
          <w:sz w:val="21"/>
          <w:szCs w:val="21"/>
        </w:rPr>
        <w:t>.</w:t>
      </w:r>
    </w:p>
    <w:p w14:paraId="4617C745" w14:textId="5A75C328" w:rsidR="009563B4" w:rsidRPr="00CE1EA7" w:rsidRDefault="009563B4" w:rsidP="001667C6">
      <w:pPr>
        <w:pStyle w:val="ParagraphOED"/>
        <w:numPr>
          <w:ilvl w:val="0"/>
          <w:numId w:val="102"/>
        </w:numPr>
        <w:spacing w:after="160"/>
      </w:pPr>
      <w:r w:rsidRPr="619CA689">
        <w:t>These indicators are part of a set of six progress indicators used by UNCCD to track progress in the implementation of the Convention through national reporting. They have also been recommended as sub-indicators for the global UNCCD indicator 15.3.1, “Proportion of land that is degraded over total land area”, adopted to measure progress toward the SDG target 15.3 and intended to reduce the reporting burden on country Parties. The indicators monitor changes in different yet highly relevant ways</w:t>
      </w:r>
      <w:r w:rsidR="000C383E">
        <w:rPr>
          <w:szCs w:val="21"/>
        </w:rPr>
        <w:t>:</w:t>
      </w:r>
      <w:r w:rsidRPr="00CE1EA7">
        <w:rPr>
          <w:szCs w:val="21"/>
        </w:rPr>
        <w:t xml:space="preserve"> </w:t>
      </w:r>
      <w:r w:rsidR="000C383E" w:rsidRPr="619CA689">
        <w:t>l</w:t>
      </w:r>
      <w:r w:rsidRPr="619CA689">
        <w:t xml:space="preserve">and cover provides a first indication of a reduction or increase in vegetation, habitat fragmentation and land conversion. Land productivity </w:t>
      </w:r>
      <w:r w:rsidR="00C62AE2" w:rsidRPr="619CA689">
        <w:t>is</w:t>
      </w:r>
      <w:r w:rsidRPr="619CA689">
        <w:t xml:space="preserve"> indicati</w:t>
      </w:r>
      <w:r w:rsidR="00C62AE2" w:rsidRPr="619CA689">
        <w:t>ve</w:t>
      </w:r>
      <w:r w:rsidRPr="619CA689">
        <w:t xml:space="preserve"> of ecosystem health and sharpens the focus on ecosystem services. Soil organic carbon denotes overall </w:t>
      </w:r>
      <w:r w:rsidRPr="00CE1EA7">
        <w:t xml:space="preserve">soil quality. These indicators may be enhanced and complemented </w:t>
      </w:r>
      <w:r w:rsidR="00C62AE2">
        <w:t>as necessary</w:t>
      </w:r>
      <w:r w:rsidRPr="00CE1EA7">
        <w:t>.</w:t>
      </w:r>
      <w:r w:rsidRPr="00CE1EA7">
        <w:rPr>
          <w:rStyle w:val="FootnoteReference"/>
          <w:rFonts w:cs="Times New Roman"/>
        </w:rPr>
        <w:footnoteReference w:id="105"/>
      </w:r>
    </w:p>
    <w:p w14:paraId="19447923" w14:textId="72CCBCC8" w:rsidR="009563B4" w:rsidRPr="00C62AE2" w:rsidRDefault="00C62AE2" w:rsidP="00C62AE2">
      <w:pPr>
        <w:pStyle w:val="Heading4"/>
        <w:spacing w:before="160" w:after="80"/>
        <w:ind w:left="0"/>
        <w:rPr>
          <w:rFonts w:ascii="Calibri" w:hAnsi="Calibri" w:cs="Calibri"/>
          <w:sz w:val="21"/>
          <w:szCs w:val="21"/>
        </w:rPr>
      </w:pPr>
      <w:bookmarkStart w:id="320" w:name="_Toc529831767"/>
      <w:bookmarkStart w:id="321" w:name="_Toc21505215"/>
      <w:bookmarkStart w:id="322" w:name="_Toc26105453"/>
      <w:bookmarkStart w:id="323" w:name="_Toc42027148"/>
      <w:bookmarkStart w:id="324" w:name="_Toc42262656"/>
      <w:r w:rsidRPr="00C62AE2">
        <w:rPr>
          <w:rFonts w:ascii="Calibri" w:hAnsi="Calibri" w:cs="Calibri"/>
          <w:sz w:val="21"/>
          <w:szCs w:val="21"/>
        </w:rPr>
        <w:t xml:space="preserve">Angola’s </w:t>
      </w:r>
      <w:bookmarkEnd w:id="320"/>
      <w:bookmarkEnd w:id="321"/>
      <w:bookmarkEnd w:id="322"/>
      <w:r w:rsidRPr="00C62AE2">
        <w:rPr>
          <w:rFonts w:ascii="Calibri" w:hAnsi="Calibri" w:cs="Calibri"/>
          <w:sz w:val="21"/>
          <w:szCs w:val="21"/>
        </w:rPr>
        <w:t xml:space="preserve">other environmental management topics </w:t>
      </w:r>
      <w:r>
        <w:rPr>
          <w:rFonts w:ascii="Calibri" w:hAnsi="Calibri" w:cs="Calibri"/>
          <w:sz w:val="21"/>
          <w:szCs w:val="21"/>
        </w:rPr>
        <w:t>and</w:t>
      </w:r>
      <w:r w:rsidRPr="00C62AE2">
        <w:rPr>
          <w:rFonts w:ascii="Calibri" w:hAnsi="Calibri" w:cs="Calibri"/>
          <w:sz w:val="21"/>
          <w:szCs w:val="21"/>
        </w:rPr>
        <w:t xml:space="preserve"> spatial planning framework</w:t>
      </w:r>
      <w:r w:rsidR="009563B4" w:rsidRPr="00C62AE2">
        <w:rPr>
          <w:rFonts w:ascii="Calibri" w:hAnsi="Calibri" w:cs="Calibri"/>
          <w:sz w:val="21"/>
          <w:szCs w:val="21"/>
        </w:rPr>
        <w:t>s</w:t>
      </w:r>
      <w:bookmarkEnd w:id="323"/>
      <w:bookmarkEnd w:id="324"/>
      <w:r w:rsidR="009563B4" w:rsidRPr="00C62AE2">
        <w:rPr>
          <w:rFonts w:ascii="Calibri" w:hAnsi="Calibri" w:cs="Calibri"/>
          <w:sz w:val="21"/>
          <w:szCs w:val="21"/>
        </w:rPr>
        <w:t xml:space="preserve"> </w:t>
      </w:r>
    </w:p>
    <w:p w14:paraId="7514C110" w14:textId="38239FB1" w:rsidR="0067397E" w:rsidRDefault="0067397E" w:rsidP="001667C6">
      <w:pPr>
        <w:pStyle w:val="ParagraphOED"/>
        <w:numPr>
          <w:ilvl w:val="0"/>
          <w:numId w:val="102"/>
        </w:numPr>
        <w:spacing w:after="160"/>
      </w:pPr>
      <w:r w:rsidRPr="1E65A5F7">
        <w:rPr>
          <w:b/>
          <w:bCs/>
        </w:rPr>
        <w:t>Biodiversity.</w:t>
      </w:r>
      <w:r>
        <w:t xml:space="preserve"> The project is consistent with the National Communication to the United Nations Framework Convention, the National Action Plan for Adaptation (NAPA), the National Strategy and Action Plan on Biodiversity (NBSAP) and with the main national public policies for development and fight against poverty, many of which contain specific guidelines on the environmental sustainability of the agricultural and livestock sectors and on reducing vulnerability.</w:t>
      </w:r>
    </w:p>
    <w:p w14:paraId="45BAA8CD" w14:textId="4E82A2C9" w:rsidR="00C62AE2" w:rsidRDefault="00C62AE2" w:rsidP="001667C6">
      <w:pPr>
        <w:pStyle w:val="ParagraphOED"/>
        <w:numPr>
          <w:ilvl w:val="0"/>
          <w:numId w:val="102"/>
        </w:numPr>
        <w:spacing w:after="160"/>
      </w:pPr>
      <w:r>
        <w:t>The project also directly contributes to specific priorities and results set out in the Partnership Framework between the Government of Angola and the United Nations System (UNPAF 2015-2019) and in the FAO Country Program Framework (CPF) for 2018-2023.</w:t>
      </w:r>
    </w:p>
    <w:p w14:paraId="45FED013" w14:textId="6C469F49" w:rsidR="009563B4" w:rsidRPr="00CE1EA7" w:rsidRDefault="001B248C" w:rsidP="001667C6">
      <w:pPr>
        <w:pStyle w:val="ParagraphOED"/>
        <w:numPr>
          <w:ilvl w:val="0"/>
          <w:numId w:val="102"/>
        </w:numPr>
        <w:spacing w:after="160"/>
      </w:pPr>
      <w:r w:rsidRPr="1E65A5F7">
        <w:rPr>
          <w:b/>
          <w:bCs/>
        </w:rPr>
        <w:t>Land-use man</w:t>
      </w:r>
      <w:r w:rsidR="009563B4" w:rsidRPr="1E65A5F7">
        <w:rPr>
          <w:b/>
          <w:bCs/>
        </w:rPr>
        <w:t xml:space="preserve">agement </w:t>
      </w:r>
      <w:r w:rsidR="0067397E" w:rsidRPr="1E65A5F7">
        <w:rPr>
          <w:b/>
          <w:bCs/>
        </w:rPr>
        <w:t>and</w:t>
      </w:r>
      <w:r w:rsidR="009563B4" w:rsidRPr="1E65A5F7">
        <w:rPr>
          <w:b/>
          <w:bCs/>
        </w:rPr>
        <w:t xml:space="preserve"> </w:t>
      </w:r>
      <w:r w:rsidR="0067397E" w:rsidRPr="1E65A5F7">
        <w:rPr>
          <w:b/>
          <w:bCs/>
        </w:rPr>
        <w:t>s</w:t>
      </w:r>
      <w:r w:rsidR="009563B4" w:rsidRPr="1E65A5F7">
        <w:rPr>
          <w:b/>
          <w:bCs/>
        </w:rPr>
        <w:t xml:space="preserve">patial </w:t>
      </w:r>
      <w:r w:rsidR="0067397E" w:rsidRPr="1E65A5F7">
        <w:rPr>
          <w:b/>
          <w:bCs/>
        </w:rPr>
        <w:t>p</w:t>
      </w:r>
      <w:r w:rsidR="009563B4" w:rsidRPr="1E65A5F7">
        <w:rPr>
          <w:b/>
          <w:bCs/>
        </w:rPr>
        <w:t>lanning.</w:t>
      </w:r>
      <w:r w:rsidR="009563B4">
        <w:t xml:space="preserve"> The project is also well aligned with the implementation of the “Spatial Planning Law” or LOTU (3/04). According to this framework law, municipalities have the duty to develop municipal planning instruments which include Municipal Master Plans (PDMs), Environmental Land-Use Plans (POAs) and Rural Land-Use Plans (POR). The latter in particular are of great potential for structuring an organized system of SLM but it is still underdeveloped. This project could provide essential support for creating the mechanisms and enabling environment for the development of the PORs (see section on</w:t>
      </w:r>
      <w:r w:rsidR="00843026">
        <w:t xml:space="preserve"> </w:t>
      </w:r>
      <w:r w:rsidR="00843026" w:rsidRPr="1E65A5F7">
        <w:rPr>
          <w:rStyle w:val="Hyperlink"/>
        </w:rPr>
        <w:t>Land Tenure Policies and Practices</w:t>
      </w:r>
      <w:r w:rsidR="009563B4">
        <w:t>).</w:t>
      </w:r>
    </w:p>
    <w:p w14:paraId="5B814FA1" w14:textId="3B51FC4D" w:rsidR="009563B4" w:rsidRDefault="009563B4" w:rsidP="0067397E">
      <w:pPr>
        <w:pStyle w:val="Heading4"/>
        <w:spacing w:before="160" w:after="80"/>
        <w:ind w:left="0"/>
        <w:rPr>
          <w:rFonts w:ascii="Calibri" w:hAnsi="Calibri" w:cs="Calibri"/>
          <w:sz w:val="21"/>
          <w:szCs w:val="21"/>
        </w:rPr>
      </w:pPr>
      <w:bookmarkStart w:id="325" w:name="_Toc42027149"/>
      <w:bookmarkStart w:id="326" w:name="_Toc42262657"/>
      <w:r w:rsidRPr="0067397E">
        <w:rPr>
          <w:rFonts w:ascii="Calibri" w:hAnsi="Calibri" w:cs="Calibri"/>
          <w:sz w:val="21"/>
          <w:szCs w:val="21"/>
        </w:rPr>
        <w:lastRenderedPageBreak/>
        <w:t>Agricultural Sector Mid-Term Plan (PMPSA) 2018-2022</w:t>
      </w:r>
      <w:bookmarkEnd w:id="314"/>
      <w:bookmarkEnd w:id="315"/>
      <w:bookmarkEnd w:id="325"/>
      <w:bookmarkEnd w:id="326"/>
    </w:p>
    <w:p w14:paraId="313C7883" w14:textId="3BAA8762" w:rsidR="009563B4" w:rsidRPr="00A92FCD" w:rsidRDefault="00097E4C" w:rsidP="001667C6">
      <w:pPr>
        <w:pStyle w:val="ParagraphOED"/>
        <w:numPr>
          <w:ilvl w:val="0"/>
          <w:numId w:val="102"/>
        </w:numPr>
        <w:spacing w:after="160"/>
        <w:rPr>
          <w:color w:val="FFFFFF" w:themeColor="background1"/>
          <w:sz w:val="22"/>
          <w:szCs w:val="22"/>
        </w:rPr>
      </w:pPr>
      <w:r w:rsidRPr="00CE1EA7">
        <w:t>The PMPSA</w:t>
      </w:r>
      <w:r w:rsidRPr="00CE1EA7">
        <w:rPr>
          <w:rStyle w:val="FootnoteReference"/>
        </w:rPr>
        <w:footnoteReference w:id="106"/>
      </w:r>
      <w:r w:rsidRPr="00CE1EA7">
        <w:t xml:space="preserve"> </w:t>
      </w:r>
      <w:r>
        <w:t xml:space="preserve">agenda </w:t>
      </w:r>
      <w:r w:rsidRPr="00CE1EA7">
        <w:t xml:space="preserve">has been integrated </w:t>
      </w:r>
      <w:r>
        <w:t>with</w:t>
      </w:r>
      <w:r w:rsidRPr="00CE1EA7">
        <w:t xml:space="preserve">in the PDN, </w:t>
      </w:r>
      <w:r>
        <w:t>which</w:t>
      </w:r>
      <w:r w:rsidRPr="00CE1EA7">
        <w:t xml:space="preserve"> recommend</w:t>
      </w:r>
      <w:r>
        <w:t>s</w:t>
      </w:r>
      <w:r w:rsidRPr="00CE1EA7">
        <w:t xml:space="preserve"> creating enabling conditions for more agricultural data: “Indeed, it is imperative to pay particular attention to the creation of conditions at the central (capital) and local level (areas of agrarian activity) for the rigorous production of data, which, after treatment, would become important agricultural statistical information. This information would serve as a reliable basis for drawing up coherent plans, projects and work programs, i.e. to quantify and qualify the necessary investments for the Sector as well as to plan imports so as to reduce waste.</w:t>
      </w:r>
      <w:r>
        <w:t>”</w:t>
      </w:r>
      <w:r w:rsidRPr="00111194">
        <w:t xml:space="preserve"> Refer to </w:t>
      </w:r>
      <w:hyperlink w:anchor="_Annex_W-3:_The" w:history="1">
        <w:r w:rsidRPr="00111194">
          <w:rPr>
            <w:rStyle w:val="Hyperlink"/>
          </w:rPr>
          <w:t>Annex W-3</w:t>
        </w:r>
      </w:hyperlink>
      <w:r w:rsidRPr="00111194">
        <w:t xml:space="preserve"> for a </w:t>
      </w:r>
      <w:r>
        <w:t>fuller</w:t>
      </w:r>
      <w:r w:rsidRPr="00111194">
        <w:t xml:space="preserve"> description of PMPSA and its context.</w:t>
      </w:r>
      <w:r w:rsidR="004D3559">
        <w:t xml:space="preserve"> For more details in </w:t>
      </w:r>
      <w:r w:rsidR="00C566A8" w:rsidRPr="00C566A8">
        <w:t>of Government baseline and co-financing investments estimated from the National Development Plan (2018-2022)</w:t>
      </w:r>
      <w:r w:rsidR="00C566A8">
        <w:t xml:space="preserve"> please refere to ANNEX </w:t>
      </w:r>
      <w:r w:rsidR="00F66397">
        <w:t>A</w:t>
      </w:r>
      <w:r w:rsidR="00C566A8">
        <w:t>3</w:t>
      </w:r>
      <w:bookmarkStart w:id="327" w:name="_Toc42027150"/>
      <w:bookmarkStart w:id="328" w:name="_Toc42262658"/>
      <w:bookmarkEnd w:id="297"/>
      <w:bookmarkEnd w:id="298"/>
      <w:bookmarkEnd w:id="299"/>
      <w:bookmarkEnd w:id="300"/>
      <w:bookmarkEnd w:id="301"/>
      <w:bookmarkEnd w:id="302"/>
      <w:bookmarkEnd w:id="303"/>
      <w:bookmarkEnd w:id="304"/>
      <w:r w:rsidR="009563B4" w:rsidRPr="00A92FCD">
        <w:rPr>
          <w:color w:val="FFFFFF" w:themeColor="background1"/>
          <w:sz w:val="22"/>
          <w:szCs w:val="22"/>
        </w:rPr>
        <w:t xml:space="preserve">8. </w:t>
      </w:r>
      <w:bookmarkStart w:id="329" w:name="_Toc10554542"/>
      <w:bookmarkStart w:id="330" w:name="_Toc10554610"/>
      <w:bookmarkStart w:id="331" w:name="_Toc12612953"/>
      <w:r w:rsidR="009563B4" w:rsidRPr="00A92FCD">
        <w:rPr>
          <w:color w:val="FFFFFF" w:themeColor="background1"/>
          <w:sz w:val="22"/>
          <w:szCs w:val="22"/>
        </w:rPr>
        <w:t>Knowledge Management</w:t>
      </w:r>
      <w:bookmarkEnd w:id="327"/>
      <w:bookmarkEnd w:id="328"/>
      <w:bookmarkEnd w:id="329"/>
      <w:bookmarkEnd w:id="330"/>
      <w:bookmarkEnd w:id="331"/>
    </w:p>
    <w:p w14:paraId="77E80E55" w14:textId="37D837D9" w:rsidR="009563B4" w:rsidRDefault="009563B4" w:rsidP="001667C6">
      <w:pPr>
        <w:pStyle w:val="ParagraphOED"/>
        <w:numPr>
          <w:ilvl w:val="0"/>
          <w:numId w:val="102"/>
        </w:numPr>
        <w:spacing w:after="160"/>
      </w:pPr>
      <w:r>
        <w:t>The project framework for Angola is closely aligned with the DSL IP’s global framework</w:t>
      </w:r>
      <w:r w:rsidR="00DB52EF">
        <w:t>,</w:t>
      </w:r>
      <w:r>
        <w:t xml:space="preserve"> as well as harmonized with that of the other Miombo/Mopane child projects through the Regional Exchange Mechanism</w:t>
      </w:r>
      <w:r w:rsidR="00DB52EF">
        <w:t xml:space="preserve"> (REM)</w:t>
      </w:r>
      <w:r w:rsidR="00BA181F">
        <w:t xml:space="preserve">, further details of which are provided in Annex </w:t>
      </w:r>
      <w:r w:rsidR="00B1385C">
        <w:t>IV-2</w:t>
      </w:r>
      <w:r>
        <w:t xml:space="preserve">. This will facilitate the sharing of evidence-based good practices across investments, which will be done through existing global (e.g. </w:t>
      </w:r>
      <w:r w:rsidR="00DD10D6">
        <w:t>COFO Working group</w:t>
      </w:r>
      <w:r>
        <w:t xml:space="preserve"> on dryland, UNCCD) and regional (SADC’s GGWI-S) knowledge and exchange structures. The project will actively “feed” and share knowledge to the global and regional platforms, while benefiting from recent scientific knowledge and global best practices provided by the platforms in return. Moreover, the child project will use part of the DSL IP incentive to “access” additional services that are provided by the global project on demand and adaptive basis (possibly through SADC’s GGWI-S) in order to support the child project in achieving the anticipated impact at wider (transboundary ecosystem) scale</w:t>
      </w:r>
      <w:r w:rsidR="006F2D38">
        <w:t>s</w:t>
      </w:r>
      <w:r>
        <w:t>.</w:t>
      </w:r>
    </w:p>
    <w:p w14:paraId="3A4617B6" w14:textId="77777777" w:rsidR="008D2CE3" w:rsidRPr="008D2CE3" w:rsidRDefault="008D2CE3" w:rsidP="008D2CE3">
      <w:pPr>
        <w:rPr>
          <w:rFonts w:ascii="Calibri" w:hAnsi="Calibri" w:cs="Calibri"/>
          <w:sz w:val="16"/>
          <w:szCs w:val="16"/>
          <w:lang w:val="en-US" w:eastAsia="en-US"/>
        </w:rPr>
      </w:pPr>
    </w:p>
    <w:p w14:paraId="1C7ABD6E" w14:textId="5223867B" w:rsidR="009563B4" w:rsidRDefault="009563B4" w:rsidP="001667C6">
      <w:pPr>
        <w:pStyle w:val="ParagraphOED"/>
        <w:numPr>
          <w:ilvl w:val="0"/>
          <w:numId w:val="102"/>
        </w:numPr>
        <w:spacing w:after="160"/>
      </w:pPr>
      <w:r>
        <w:t xml:space="preserve">The Global Coordination Project of the </w:t>
      </w:r>
      <w:r w:rsidR="00DB52EF">
        <w:t xml:space="preserve">IP </w:t>
      </w:r>
      <w:r>
        <w:t>will promote coherence among the multiple initiatives operating across the Miombo-Mopane dryland ecoregion by (i) establishing mechanisms for coordinating and prioritizing initiatives and investments across countries; (ii) channeling global knowledge and expertise in relation to sustainable dryland management by linking the project to relevant global initiatives and platforms; (iii) managing and capitalizing on knowledge on dryland management experiences; and (iv) introducing M&amp;E systems at project and programmatic levels supporting learning and adaptive management. Project Component 3 will build knowledge management, monitoring and evaluation, harmonizing M&amp;A tools, and approaches from a regional perspective through SADC’s GGWI-S, and with the assistance of the global network.</w:t>
      </w:r>
    </w:p>
    <w:p w14:paraId="2BC1E3D4" w14:textId="206E5F0A" w:rsidR="009563B4" w:rsidRPr="00F252FB" w:rsidRDefault="00DB52EF" w:rsidP="001667C6">
      <w:pPr>
        <w:pStyle w:val="ParagraphOED"/>
        <w:numPr>
          <w:ilvl w:val="0"/>
          <w:numId w:val="102"/>
        </w:numPr>
        <w:spacing w:after="160"/>
      </w:pPr>
      <w:r>
        <w:t>I</w:t>
      </w:r>
      <w:r w:rsidR="009563B4">
        <w:t xml:space="preserve">mprovement of the policy and governance system at multiple levels (national, district, community) and the development of knowledge management and monitoring schemes embedded in the wider regional framework spearheaded by the GEF-7 initiative will have a positive impact beyond the target landscapes, developing capacity among a broad range of stakeholders. </w:t>
      </w:r>
      <w:r>
        <w:t>I</w:t>
      </w:r>
      <w:r w:rsidR="009563B4">
        <w:t>mplementation of integrated management plans will have a long-term impact on the target landscapes, inspiring similar future exercises in other parts of the country. The linkage with GGWI/SADC and other transboundary frameworks such as the KAZA and under basin committees (OKACOM, KUVECOM) will ensure an impact at a larger ecosystem level through effective knowledge management.</w:t>
      </w:r>
    </w:p>
    <w:p w14:paraId="484DFEB4" w14:textId="4540CD1D" w:rsidR="009563B4" w:rsidRPr="00F252FB" w:rsidRDefault="009563B4" w:rsidP="001667C6">
      <w:pPr>
        <w:pStyle w:val="ParagraphOED"/>
        <w:numPr>
          <w:ilvl w:val="0"/>
          <w:numId w:val="102"/>
        </w:numPr>
        <w:spacing w:after="160"/>
      </w:pPr>
      <w:r>
        <w:t>Moreover, the project management unit should make an effort to collaborate and partner with national institutions and other initiatives working with subjects and topics that will contribute to the implementation of the project’s activities through knowledge</w:t>
      </w:r>
      <w:r w:rsidR="00DB52EF">
        <w:t>-</w:t>
      </w:r>
      <w:r>
        <w:t xml:space="preserve">sharing mechanisms. GABHIC (MINEA), for example, is an institution that has been producing important information about the Cunene, Cubango and Cuvelai basin, which, if shared, can be very useful during the project’s implementation phase, contributing to the development of knowledge about the best practices in the region. The GEF 6 project “Sustainable Land Management in target landscapes of Central Angola” is another potential partner for knowledge sharing. The DSL project will be able to build </w:t>
      </w:r>
      <w:r>
        <w:lastRenderedPageBreak/>
        <w:t xml:space="preserve">upon the GEF 6 project’s foreseen outcome of developing CETAC’s monitoring capacity, for example. </w:t>
      </w:r>
    </w:p>
    <w:p w14:paraId="73310C30" w14:textId="35AB5934" w:rsidR="008B3B0C" w:rsidRPr="008B3B0C" w:rsidRDefault="009563B4" w:rsidP="001667C6">
      <w:pPr>
        <w:pStyle w:val="ParagraphOED"/>
        <w:numPr>
          <w:ilvl w:val="0"/>
          <w:numId w:val="102"/>
        </w:numPr>
        <w:spacing w:after="160"/>
      </w:pPr>
      <w:r>
        <w:t xml:space="preserve">Besides the potential partnerships and collaborations, through the implementation of outputs and activities under </w:t>
      </w:r>
      <w:r w:rsidR="00DB52EF">
        <w:t>C</w:t>
      </w:r>
      <w:r>
        <w:t>omponent 3, the project will ensure the achievement of an effective knowledge management and coordination, monitoring and evaluation, as well as south-south cooperation</w:t>
      </w:r>
      <w:r w:rsidR="00DB52EF">
        <w:t xml:space="preserve"> enhanced through the REM</w:t>
      </w:r>
      <w:r>
        <w:t xml:space="preserve">. More specifically, Output 3.2.1 </w:t>
      </w:r>
      <w:r w:rsidR="00BA181F">
        <w:t>is focused on the development of a Knowledge Management and Communications Strategy (KMCS),</w:t>
      </w:r>
      <w:r>
        <w:t xml:space="preserve"> </w:t>
      </w:r>
      <w:r w:rsidR="00BA181F">
        <w:t xml:space="preserve">supported by a project web-based knowledge management portal and innovative information-sharing program, all of which will underpin </w:t>
      </w:r>
      <w:r>
        <w:t xml:space="preserve">knowledge sharing and </w:t>
      </w:r>
      <w:r w:rsidR="00BA181F">
        <w:t xml:space="preserve">the </w:t>
      </w:r>
      <w:r>
        <w:t xml:space="preserve">collection and dissemination of evidence-based best practices. Moreover, activities as the project’s inception and final workshop and a strong communication strategy will be used as opportunities to engage with key experts and stakeholders in order to disseminate lessons learned and results from similar projects and initiatives. </w:t>
      </w:r>
    </w:p>
    <w:p w14:paraId="5EFE27CC" w14:textId="3FE3B8A9" w:rsidR="00B7677B" w:rsidRPr="00F36B31" w:rsidRDefault="008F4DB1" w:rsidP="001667C6">
      <w:pPr>
        <w:pStyle w:val="Heading2"/>
        <w:numPr>
          <w:ilvl w:val="0"/>
          <w:numId w:val="65"/>
        </w:numPr>
        <w:shd w:val="clear" w:color="auto" w:fill="000000" w:themeFill="text1"/>
        <w:spacing w:before="0"/>
        <w:ind w:left="357" w:hanging="357"/>
        <w:jc w:val="center"/>
        <w:rPr>
          <w:rFonts w:ascii="Calibri" w:hAnsi="Calibri" w:cs="Calibri"/>
          <w:bCs w:val="0"/>
          <w:color w:val="FFFFFF" w:themeColor="background1"/>
          <w:sz w:val="22"/>
          <w:szCs w:val="22"/>
          <w:lang w:val="en-US"/>
        </w:rPr>
      </w:pPr>
      <w:bookmarkStart w:id="332" w:name="_Toc58398599"/>
      <w:r w:rsidRPr="00F36B31">
        <w:rPr>
          <w:rFonts w:ascii="Calibri" w:hAnsi="Calibri" w:cs="Calibri"/>
          <w:bCs w:val="0"/>
          <w:color w:val="FFFFFF" w:themeColor="background1"/>
          <w:sz w:val="22"/>
          <w:szCs w:val="22"/>
          <w:lang w:val="en-US"/>
        </w:rPr>
        <w:t>Knowledge Management</w:t>
      </w:r>
      <w:bookmarkEnd w:id="332"/>
    </w:p>
    <w:p w14:paraId="3571DCF6" w14:textId="520B6CB8" w:rsidR="00CC1F4D" w:rsidRPr="00F36B31" w:rsidRDefault="73C97E55" w:rsidP="001667C6">
      <w:pPr>
        <w:pStyle w:val="ParagraphOED"/>
        <w:numPr>
          <w:ilvl w:val="0"/>
          <w:numId w:val="102"/>
        </w:numPr>
      </w:pPr>
      <w:r w:rsidRPr="00F36B31">
        <w:t>In line with GEF Knowledge Management Guidelines</w:t>
      </w:r>
      <w:r w:rsidR="009D2B9D" w:rsidRPr="00F36B31">
        <w:footnoteReference w:id="107"/>
      </w:r>
      <w:r w:rsidRPr="00F36B31">
        <w:t>, knowledge generation and management will be an</w:t>
      </w:r>
      <w:r w:rsidRPr="009D1E5B">
        <w:t xml:space="preserve"> essential component of the project.</w:t>
      </w:r>
      <w:r w:rsidR="3F3FBDFB">
        <w:t xml:space="preserve"> </w:t>
      </w:r>
      <w:r w:rsidR="0F7FBD3A">
        <w:t>Knowledge</w:t>
      </w:r>
      <w:r w:rsidR="247C602A">
        <w:t xml:space="preserve"> and knowledge management is ref</w:t>
      </w:r>
      <w:r w:rsidR="00A9AA00">
        <w:t xml:space="preserve">lected </w:t>
      </w:r>
      <w:r w:rsidR="247C602A">
        <w:t>across all components</w:t>
      </w:r>
      <w:r w:rsidR="4852B4B0">
        <w:t>, however specifically in c</w:t>
      </w:r>
      <w:r w:rsidR="00A9AA00">
        <w:t>omponent 3, Outcome 3.2 and Output 3</w:t>
      </w:r>
      <w:r w:rsidR="00A9AA00" w:rsidRPr="00F36B31">
        <w:t>.2.1</w:t>
      </w:r>
      <w:r w:rsidR="4F4F446C" w:rsidRPr="00F36B31">
        <w:t>.</w:t>
      </w:r>
    </w:p>
    <w:p w14:paraId="17AA4843" w14:textId="0D278D9E" w:rsidR="00CC1F4D" w:rsidRPr="00CC1F4D" w:rsidRDefault="00CC1F4D" w:rsidP="001667C6">
      <w:pPr>
        <w:pStyle w:val="ParagraphOED"/>
        <w:numPr>
          <w:ilvl w:val="0"/>
          <w:numId w:val="102"/>
        </w:numPr>
      </w:pPr>
      <w:r>
        <w:t xml:space="preserve">Part of this knowledge management approach includes working to integrate lessons learned from past and on-going projects.  During the baseline data generation process, the project design took a very inclusive look at on-going investments and programs by the government, donors, and other stakeholders. This was done to not only make certain the proposed project is aligned with this on-going baseline and will provide incremental improvements, but also to </w:t>
      </w:r>
      <w:r w:rsidR="007038BF">
        <w:t>ensure that</w:t>
      </w:r>
      <w:r>
        <w:t xml:space="preserve"> certain lessons learned are reflected and pathways are in place to bring new knowledge and lessons within this proposed project’s actions and innovations to build synergy and scale.</w:t>
      </w:r>
    </w:p>
    <w:p w14:paraId="39FEF817" w14:textId="77777777" w:rsidR="00187E3F" w:rsidRDefault="00560F6E" w:rsidP="001667C6">
      <w:pPr>
        <w:pStyle w:val="ParagraphOED"/>
        <w:numPr>
          <w:ilvl w:val="0"/>
          <w:numId w:val="102"/>
        </w:numPr>
      </w:pPr>
      <w:r>
        <w:t xml:space="preserve">Building on the indicators developed during PPG and in coordination with the global IP Program, the project will establish systems for M&amp;E, knowledge management and knowledge sharing including a methodology to capture good practices and lessons learned contributing to national, regional and global IP implementation. the project will develop a knowledge management and communications strategy </w:t>
      </w:r>
      <w:r w:rsidR="00895A59">
        <w:t xml:space="preserve">(KMCS) </w:t>
      </w:r>
      <w:r>
        <w:t xml:space="preserve">to support implementation, replication and scaling of project activities. </w:t>
      </w:r>
    </w:p>
    <w:p w14:paraId="4AB8A58F" w14:textId="51C5B0D8" w:rsidR="00D62CC1" w:rsidRDefault="00560F6E" w:rsidP="001667C6">
      <w:pPr>
        <w:pStyle w:val="ParagraphOED"/>
        <w:numPr>
          <w:ilvl w:val="0"/>
          <w:numId w:val="102"/>
        </w:numPr>
      </w:pPr>
      <w:r>
        <w:t xml:space="preserve">Knowledge will be created, documented and shared systematically throughout the project closely aligned to the global IP DSL coordination project. </w:t>
      </w:r>
      <w:r w:rsidR="00187E3F">
        <w:t xml:space="preserve">More specifically, the GCP will facilitate global level knowledge exchange </w:t>
      </w:r>
      <w:r w:rsidR="007038BF" w:rsidRPr="1E65A5F7">
        <w:rPr>
          <w:lang w:val="en-GB"/>
        </w:rPr>
        <w:t xml:space="preserve">in two ways: the child project will actively “feed” knowledge to the global and regional platforms while benefiting from recent scientific knowledge and global evidence-based good practices provided by the platforms/exchange mechanisms in return through the Regional Exchange Mechanism (REM). Further details about this Mechanism and how it is aligned with the GCP are provided in </w:t>
      </w:r>
      <w:r w:rsidR="007038BF" w:rsidRPr="1E65A5F7">
        <w:rPr>
          <w:b/>
          <w:bCs/>
          <w:highlight w:val="lightGray"/>
          <w:lang w:val="en-GB"/>
        </w:rPr>
        <w:t>Annex IV-2</w:t>
      </w:r>
      <w:r w:rsidR="007038BF" w:rsidRPr="1E65A5F7">
        <w:rPr>
          <w:lang w:val="en-GB"/>
        </w:rPr>
        <w:t xml:space="preserve"> and summary details in </w:t>
      </w:r>
      <w:r w:rsidR="007038BF" w:rsidRPr="1E65A5F7">
        <w:rPr>
          <w:b/>
          <w:bCs/>
          <w:highlight w:val="lightGray"/>
          <w:lang w:val="en-GB"/>
        </w:rPr>
        <w:t>Box 11</w:t>
      </w:r>
      <w:r w:rsidR="007038BF" w:rsidRPr="1E65A5F7">
        <w:rPr>
          <w:b/>
          <w:bCs/>
          <w:lang w:val="en-GB"/>
        </w:rPr>
        <w:t>.</w:t>
      </w:r>
      <w:r w:rsidR="007038BF" w:rsidRPr="1E65A5F7">
        <w:rPr>
          <w:lang w:val="en-GB"/>
        </w:rPr>
        <w:t xml:space="preserve">  </w:t>
      </w:r>
      <w:r>
        <w:t xml:space="preserve"> </w:t>
      </w:r>
    </w:p>
    <w:p w14:paraId="22497A0A" w14:textId="77777777" w:rsidR="00FF55BB" w:rsidRDefault="00FF55BB" w:rsidP="001667C6">
      <w:pPr>
        <w:pStyle w:val="ParagraphOED"/>
        <w:numPr>
          <w:ilvl w:val="0"/>
          <w:numId w:val="102"/>
        </w:numPr>
      </w:pPr>
      <w:r>
        <w:t xml:space="preserve">To highlight the importance of documenting change management approaches and innovative solutions, and to help show results and impact, FAO’s South-South and Triangular Cooperation Division and its partners are documenting the baseline status of the targeted landscapes in every country, using a participatory video approach. This interactive, dynamic and powerful monitoring tool includes local communities and different stakeholders. Moreover, it provides a wholesome view of the project’s progress at every stage, including changes within the local community, the local governments and other stakeholders that may occur throughout the lifetime of the project. Through this in-depth observation, the initiative aims to point out what </w:t>
      </w:r>
      <w:r>
        <w:lastRenderedPageBreak/>
        <w:t>impact these changes may have on dryland management and degradation. Once the baseline is established, each country will continue this monitoring process until best practices are identified and each project reaches its completion. The final product will then be translated and disseminated among the 11 countries involved, cross pollinating and sharing the identified best practices, the supporting knowledge and the lessons learned. The dissemination will occur through various international and regional mechanisms by leveraging on the convening power of the Working Group on Dryland Forests and Agrosilvopastoral Systems. In the long term, this participatory approach will feed into a digital library containing an array of different contexts and paths, serving as a pragmatic learning platform for contributing partners and members achieving the objective of making every voice count for adaptive management, at every level. </w:t>
      </w:r>
    </w:p>
    <w:p w14:paraId="759ADDEE" w14:textId="3E8B5B09" w:rsidR="007F11EB" w:rsidRPr="00F36B31" w:rsidRDefault="0091596A" w:rsidP="001667C6">
      <w:pPr>
        <w:pStyle w:val="ParagraphOED"/>
        <w:numPr>
          <w:ilvl w:val="0"/>
          <w:numId w:val="102"/>
        </w:numPr>
        <w:spacing w:after="160"/>
        <w:rPr>
          <w:rFonts w:asciiTheme="minorHAnsi" w:hAnsiTheme="minorHAnsi" w:cstheme="minorBidi"/>
        </w:rPr>
      </w:pPr>
      <w:r w:rsidRPr="1E65A5F7">
        <w:rPr>
          <w:rFonts w:asciiTheme="minorHAnsi" w:hAnsiTheme="minorHAnsi" w:cstheme="minorBidi"/>
        </w:rPr>
        <w:t xml:space="preserve">The PMU will include a dedicated person to follow </w:t>
      </w:r>
      <w:r w:rsidR="009E5AE0" w:rsidRPr="1E65A5F7">
        <w:rPr>
          <w:rFonts w:asciiTheme="minorHAnsi" w:hAnsiTheme="minorHAnsi" w:cstheme="minorBidi"/>
        </w:rPr>
        <w:t xml:space="preserve">the </w:t>
      </w:r>
      <w:r w:rsidR="007038BF" w:rsidRPr="1E65A5F7">
        <w:rPr>
          <w:rFonts w:asciiTheme="minorHAnsi" w:hAnsiTheme="minorHAnsi" w:cstheme="minorBidi"/>
        </w:rPr>
        <w:t xml:space="preserve">knowledge management </w:t>
      </w:r>
      <w:r w:rsidR="00D2289C" w:rsidRPr="1E65A5F7">
        <w:rPr>
          <w:rFonts w:asciiTheme="minorHAnsi" w:hAnsiTheme="minorHAnsi" w:cstheme="minorBidi"/>
        </w:rPr>
        <w:t xml:space="preserve">components to assure that the KMCS is implemented. </w:t>
      </w:r>
      <w:r w:rsidR="006A5DA1" w:rsidRPr="1E65A5F7">
        <w:rPr>
          <w:rFonts w:asciiTheme="minorHAnsi" w:hAnsiTheme="minorHAnsi" w:cstheme="minorBidi"/>
        </w:rPr>
        <w:t>FAO will provide overall quality assu</w:t>
      </w:r>
      <w:r w:rsidR="00BA3F47" w:rsidRPr="1E65A5F7">
        <w:rPr>
          <w:rFonts w:asciiTheme="minorHAnsi" w:hAnsiTheme="minorHAnsi" w:cstheme="minorBidi"/>
        </w:rPr>
        <w:t>rance</w:t>
      </w:r>
      <w:r w:rsidR="006A5DA1" w:rsidRPr="1E65A5F7">
        <w:rPr>
          <w:rFonts w:asciiTheme="minorHAnsi" w:hAnsiTheme="minorHAnsi" w:cstheme="minorBidi"/>
        </w:rPr>
        <w:t xml:space="preserve"> through a dedicated </w:t>
      </w:r>
      <w:r w:rsidR="00B43BB9" w:rsidRPr="1E65A5F7">
        <w:rPr>
          <w:rFonts w:asciiTheme="minorHAnsi" w:hAnsiTheme="minorHAnsi" w:cstheme="minorBidi"/>
        </w:rPr>
        <w:t>member on the internal Project Task Force (PTF) who will be task with the know</w:t>
      </w:r>
      <w:r w:rsidR="00BA3F47" w:rsidRPr="1E65A5F7">
        <w:rPr>
          <w:rFonts w:asciiTheme="minorHAnsi" w:hAnsiTheme="minorHAnsi" w:cstheme="minorBidi"/>
        </w:rPr>
        <w:t>ledge</w:t>
      </w:r>
      <w:r w:rsidR="00B43BB9" w:rsidRPr="1E65A5F7">
        <w:rPr>
          <w:rFonts w:asciiTheme="minorHAnsi" w:hAnsiTheme="minorHAnsi" w:cstheme="minorBidi"/>
        </w:rPr>
        <w:t xml:space="preserve"> management, stakeholder engagement and system-wide capacity development components. </w:t>
      </w:r>
    </w:p>
    <w:p w14:paraId="42553EB8" w14:textId="77777777" w:rsidR="00B7677B" w:rsidRPr="00B7677B" w:rsidRDefault="00B7677B" w:rsidP="00B7677B">
      <w:pPr>
        <w:rPr>
          <w:lang w:val="en-US" w:eastAsia="en-US"/>
        </w:rPr>
      </w:pPr>
    </w:p>
    <w:p w14:paraId="0D2AF23A" w14:textId="098A0067" w:rsidR="009563B4" w:rsidRPr="00A92FCD" w:rsidRDefault="009563B4" w:rsidP="001667C6">
      <w:pPr>
        <w:pStyle w:val="Heading2"/>
        <w:numPr>
          <w:ilvl w:val="0"/>
          <w:numId w:val="65"/>
        </w:numPr>
        <w:shd w:val="clear" w:color="auto" w:fill="000000" w:themeFill="text1"/>
        <w:spacing w:before="0"/>
        <w:ind w:left="357" w:hanging="357"/>
        <w:jc w:val="center"/>
        <w:rPr>
          <w:rFonts w:ascii="Calibri" w:hAnsi="Calibri" w:cs="Calibri"/>
          <w:bCs w:val="0"/>
          <w:color w:val="FFFFFF" w:themeColor="background1"/>
          <w:sz w:val="22"/>
          <w:szCs w:val="22"/>
          <w:lang w:val="en-US"/>
        </w:rPr>
      </w:pPr>
      <w:bookmarkStart w:id="333" w:name="_Toc10554543"/>
      <w:bookmarkStart w:id="334" w:name="_Toc10554611"/>
      <w:bookmarkStart w:id="335" w:name="_Toc12612954"/>
      <w:bookmarkStart w:id="336" w:name="_Toc42027151"/>
      <w:bookmarkStart w:id="337" w:name="_Toc42262659"/>
      <w:bookmarkStart w:id="338" w:name="_Toc58398600"/>
      <w:r w:rsidRPr="00A92FCD">
        <w:rPr>
          <w:rFonts w:ascii="Calibri" w:hAnsi="Calibri" w:cs="Calibri"/>
          <w:bCs w:val="0"/>
          <w:color w:val="FFFFFF" w:themeColor="background1"/>
          <w:sz w:val="22"/>
          <w:szCs w:val="22"/>
          <w:lang w:val="en-US"/>
        </w:rPr>
        <w:t>Monitoring and Evaluation</w:t>
      </w:r>
      <w:bookmarkEnd w:id="333"/>
      <w:bookmarkEnd w:id="334"/>
      <w:bookmarkEnd w:id="335"/>
      <w:bookmarkEnd w:id="336"/>
      <w:bookmarkEnd w:id="337"/>
      <w:bookmarkEnd w:id="338"/>
    </w:p>
    <w:p w14:paraId="439B4E79" w14:textId="1D9949BA" w:rsidR="009563B4" w:rsidRPr="00CE1EA7" w:rsidRDefault="009563B4" w:rsidP="001667C6">
      <w:pPr>
        <w:pStyle w:val="ParagraphOED"/>
        <w:numPr>
          <w:ilvl w:val="0"/>
          <w:numId w:val="102"/>
        </w:numPr>
        <w:spacing w:after="160"/>
      </w:pPr>
      <w:bookmarkStart w:id="339" w:name="_Toc10554544"/>
      <w:bookmarkStart w:id="340" w:name="_Toc10554612"/>
      <w:bookmarkStart w:id="341" w:name="_Toc12612955"/>
      <w:r>
        <w:t xml:space="preserve">The project’s monitoring and evaluation will be undertaken </w:t>
      </w:r>
      <w:r w:rsidR="00A92FCD">
        <w:t>throughout</w:t>
      </w:r>
      <w:r>
        <w:t xml:space="preserve"> project implementation through different measures that include oversight, reporting and close monitoring, which will be carried out by different actors involved in the project development. Moreover, the project will ensure transparency in the preparation, conduct, reporting and evaluation of its activities.  This will include full disclosure of all non-confidential information, and consultation with major groups and representatives of local communities. The disclosure of information shall be ensured through posting on websites and dissemination of findings through knowledge products and events. Project reports will be broadly and freely shared, and findings and lessons learned made available.</w:t>
      </w:r>
    </w:p>
    <w:p w14:paraId="381E42A9" w14:textId="4EA66EEE" w:rsidR="009563B4" w:rsidRPr="00CE1EA7" w:rsidRDefault="009563B4" w:rsidP="001667C6">
      <w:pPr>
        <w:pStyle w:val="ParagraphOED"/>
        <w:numPr>
          <w:ilvl w:val="0"/>
          <w:numId w:val="102"/>
        </w:numPr>
        <w:spacing w:after="160"/>
        <w:rPr>
          <w:shd w:val="clear" w:color="auto" w:fill="auto"/>
        </w:rPr>
      </w:pPr>
      <w:r w:rsidRPr="00CE1EA7">
        <w:rPr>
          <w:shd w:val="clear" w:color="auto" w:fill="auto"/>
        </w:rPr>
        <w:t>Project oversight will be carried out by the Project Steering Committee (PSC), the FAO GEF Coordination Unit and relevant Technical Units in HQ. They will overview GEF</w:t>
      </w:r>
      <w:r w:rsidR="00E37EF7">
        <w:rPr>
          <w:shd w:val="clear" w:color="auto" w:fill="auto"/>
        </w:rPr>
        <w:t>-</w:t>
      </w:r>
      <w:r w:rsidRPr="00CE1EA7">
        <w:rPr>
          <w:shd w:val="clear" w:color="auto" w:fill="auto"/>
        </w:rPr>
        <w:t xml:space="preserve">financed activities, outputs, and outcomes largely through the annual Project Implementation Reports (PIRs), periodic backstopping and supervision missions. Oversight will ensure that: (i) project outputs are produced in accordance with the project results framework and lead to the achievement of project outcomes; (ii) project outcomes lead to the achievement of the project objective; (iii) risks are </w:t>
      </w:r>
      <w:r w:rsidR="00E37EF7">
        <w:rPr>
          <w:shd w:val="clear" w:color="auto" w:fill="auto"/>
        </w:rPr>
        <w:t>regularly</w:t>
      </w:r>
      <w:r w:rsidR="00E37EF7" w:rsidRPr="00CE1EA7">
        <w:rPr>
          <w:shd w:val="clear" w:color="auto" w:fill="auto"/>
        </w:rPr>
        <w:t xml:space="preserve"> </w:t>
      </w:r>
      <w:r w:rsidRPr="00CE1EA7">
        <w:rPr>
          <w:shd w:val="clear" w:color="auto" w:fill="auto"/>
        </w:rPr>
        <w:t>identified and monitored and mitigation strategies are applied</w:t>
      </w:r>
      <w:r w:rsidR="00E37EF7" w:rsidRPr="00E37EF7">
        <w:rPr>
          <w:shd w:val="clear" w:color="auto" w:fill="auto"/>
        </w:rPr>
        <w:t xml:space="preserve"> </w:t>
      </w:r>
      <w:r w:rsidR="00E37EF7">
        <w:rPr>
          <w:shd w:val="clear" w:color="auto" w:fill="auto"/>
        </w:rPr>
        <w:t xml:space="preserve">as </w:t>
      </w:r>
      <w:r w:rsidR="00E37EF7" w:rsidRPr="00CE1EA7">
        <w:rPr>
          <w:shd w:val="clear" w:color="auto" w:fill="auto"/>
        </w:rPr>
        <w:t>appropriate</w:t>
      </w:r>
      <w:r w:rsidRPr="00CE1EA7">
        <w:rPr>
          <w:shd w:val="clear" w:color="auto" w:fill="auto"/>
        </w:rPr>
        <w:t xml:space="preserve">; and (iv) agreed project global environmental benefits/adaptation benefits are being delivered. </w:t>
      </w:r>
    </w:p>
    <w:p w14:paraId="7BF02AE7" w14:textId="61FA7E92" w:rsidR="009563B4" w:rsidRPr="00CE1EA7" w:rsidRDefault="009563B4" w:rsidP="001667C6">
      <w:pPr>
        <w:pStyle w:val="ParagraphOED"/>
        <w:numPr>
          <w:ilvl w:val="0"/>
          <w:numId w:val="102"/>
        </w:numPr>
        <w:spacing w:after="160"/>
        <w:rPr>
          <w:shd w:val="clear" w:color="auto" w:fill="auto"/>
        </w:rPr>
      </w:pPr>
      <w:r w:rsidRPr="00CE1EA7">
        <w:rPr>
          <w:shd w:val="clear" w:color="auto" w:fill="auto"/>
        </w:rPr>
        <w:t xml:space="preserve">Project monitoring will be carried out by the Project </w:t>
      </w:r>
      <w:r w:rsidR="00E37EF7">
        <w:rPr>
          <w:shd w:val="clear" w:color="auto" w:fill="auto"/>
        </w:rPr>
        <w:t>Management</w:t>
      </w:r>
      <w:r w:rsidR="00E37EF7" w:rsidRPr="00CE1EA7">
        <w:rPr>
          <w:shd w:val="clear" w:color="auto" w:fill="auto"/>
        </w:rPr>
        <w:t xml:space="preserve"> </w:t>
      </w:r>
      <w:r w:rsidRPr="00CE1EA7">
        <w:rPr>
          <w:shd w:val="clear" w:color="auto" w:fill="auto"/>
        </w:rPr>
        <w:t xml:space="preserve">Unit (PMU) and the FAO budget holder. Project performance will be </w:t>
      </w:r>
      <w:r w:rsidRPr="00AE587B">
        <w:rPr>
          <w:shd w:val="clear" w:color="auto" w:fill="auto"/>
        </w:rPr>
        <w:t>monitored using the project results matrix, including indicators (baseline and targets) and annual work plans and budgets. At inception the results matrix will be reviewed to finalize identification of: i) outputs ii) indicators; and iii) missing baseline information and targets. A detailed M&amp;E plan, which builds on the results matrix and defines specific requirements for each indicator (data collection methods, frequency, responsibilities for data collection and analysis, etc.) will also be developed during project inception by the M&amp;E specialist.</w:t>
      </w:r>
      <w:r w:rsidRPr="00CE1EA7">
        <w:rPr>
          <w:shd w:val="clear" w:color="auto" w:fill="auto"/>
        </w:rPr>
        <w:t xml:space="preserve"> </w:t>
      </w:r>
    </w:p>
    <w:p w14:paraId="47AAD422" w14:textId="77777777" w:rsidR="009563B4" w:rsidRPr="00A92FCD" w:rsidRDefault="009563B4" w:rsidP="001667C6">
      <w:pPr>
        <w:pStyle w:val="ParagraphOED"/>
        <w:numPr>
          <w:ilvl w:val="0"/>
          <w:numId w:val="102"/>
        </w:numPr>
        <w:spacing w:after="160"/>
      </w:pPr>
      <w:r>
        <w:t xml:space="preserve">The project reports developed during its implementation will include: </w:t>
      </w:r>
    </w:p>
    <w:p w14:paraId="28971994" w14:textId="1512A2AA" w:rsidR="009563B4" w:rsidRPr="002045CB" w:rsidRDefault="009563B4" w:rsidP="001667C6">
      <w:pPr>
        <w:pStyle w:val="ListParagraph"/>
        <w:numPr>
          <w:ilvl w:val="0"/>
          <w:numId w:val="77"/>
        </w:numPr>
        <w:spacing w:after="80"/>
        <w:ind w:left="709" w:hanging="425"/>
        <w:contextualSpacing w:val="0"/>
        <w:rPr>
          <w:rFonts w:cs="Calibri"/>
          <w:sz w:val="21"/>
          <w:szCs w:val="21"/>
        </w:rPr>
      </w:pPr>
      <w:r w:rsidRPr="002045CB">
        <w:rPr>
          <w:rFonts w:cs="Calibri"/>
          <w:b/>
          <w:bCs/>
          <w:sz w:val="21"/>
          <w:szCs w:val="21"/>
        </w:rPr>
        <w:t>Project Inception Report.</w:t>
      </w:r>
      <w:r w:rsidRPr="002045CB">
        <w:rPr>
          <w:rFonts w:cs="Calibri"/>
          <w:sz w:val="21"/>
          <w:szCs w:val="21"/>
        </w:rPr>
        <w:t xml:space="preserve"> It is recommended that the PMU prepare a draft project inception report in consultation with the LTO, BH and other project partners. Elements of this report should be discussed during the Project Inception Workshop and the report subsequently finalized. The report will include a narrative on the institutional roles</w:t>
      </w:r>
      <w:r w:rsidR="002045CB" w:rsidRPr="002045CB">
        <w:rPr>
          <w:rFonts w:cs="Calibri"/>
          <w:sz w:val="21"/>
          <w:szCs w:val="21"/>
        </w:rPr>
        <w:t>,</w:t>
      </w:r>
      <w:r w:rsidRPr="002045CB">
        <w:rPr>
          <w:rFonts w:cs="Calibri"/>
          <w:sz w:val="21"/>
          <w:szCs w:val="21"/>
        </w:rPr>
        <w:t xml:space="preserve"> responsibilities and coordinating action of project partners, progress to date on project establishment and start-up activities and an update of any changed external conditions that may affect project implementation. It will also include a detailed </w:t>
      </w:r>
      <w:r w:rsidRPr="002045CB">
        <w:rPr>
          <w:rFonts w:cs="Calibri"/>
          <w:sz w:val="21"/>
          <w:szCs w:val="21"/>
        </w:rPr>
        <w:lastRenderedPageBreak/>
        <w:t>first year AWP/B a</w:t>
      </w:r>
      <w:r w:rsidR="002045CB" w:rsidRPr="002045CB">
        <w:rPr>
          <w:rFonts w:cs="Calibri"/>
          <w:sz w:val="21"/>
          <w:szCs w:val="21"/>
        </w:rPr>
        <w:t>nd</w:t>
      </w:r>
      <w:r w:rsidRPr="002045CB">
        <w:rPr>
          <w:rFonts w:cs="Calibri"/>
          <w:sz w:val="21"/>
          <w:szCs w:val="21"/>
        </w:rPr>
        <w:t xml:space="preserve"> detailed project monitoring plan. The draft inception report will be circulated to the PSC for review and comments before its finalization, no later than one month after project start-up. The report should be cleared by the FAO BH, LTO and the FAO GEF Coordination Unit and uploaded in FPMIS by the BH.</w:t>
      </w:r>
    </w:p>
    <w:p w14:paraId="47BD1DCE" w14:textId="2ED7A8D9" w:rsidR="009563B4" w:rsidRPr="00E37EF7" w:rsidRDefault="009563B4" w:rsidP="001667C6">
      <w:pPr>
        <w:pStyle w:val="ListParagraph"/>
        <w:numPr>
          <w:ilvl w:val="0"/>
          <w:numId w:val="77"/>
        </w:numPr>
        <w:spacing w:after="80"/>
        <w:ind w:left="709" w:hanging="425"/>
        <w:contextualSpacing w:val="0"/>
        <w:rPr>
          <w:rFonts w:cs="Calibri"/>
          <w:sz w:val="21"/>
          <w:szCs w:val="21"/>
        </w:rPr>
      </w:pPr>
      <w:r w:rsidRPr="00E37EF7">
        <w:rPr>
          <w:rFonts w:cs="Calibri"/>
          <w:b/>
          <w:bCs/>
          <w:sz w:val="21"/>
          <w:szCs w:val="21"/>
        </w:rPr>
        <w:t>Results-based Annual Work Plan and Budget (AWP/B).</w:t>
      </w:r>
      <w:r w:rsidRPr="00E37EF7">
        <w:rPr>
          <w:rFonts w:cs="Calibri"/>
          <w:sz w:val="21"/>
          <w:szCs w:val="21"/>
        </w:rPr>
        <w:t xml:space="preserve"> The draft of the first AWP/B will be prepared by the PMU in consultation with the FAO Project Task Force and reviewed at the project Inception Workshop. The Inception Workshop (IW) inputs will be incorporated and the PMU will submit a final draft AWP/B within two weeks of the IW to the BH. For subsequent AWP/B, the PMU will organize a project progress review and planning meeting for its review. Once comments have been incorporated, the BH will circulate the AWP/B to the LTO and the FAO GEF Coordination Unit for comments/clearance prior to uploading in FPMIS by the BH. The AWP/B must be linked to the project’s Results Framework indicators so that the project’s work contribut</w:t>
      </w:r>
      <w:r w:rsidR="002045CB">
        <w:rPr>
          <w:rFonts w:cs="Calibri"/>
          <w:sz w:val="21"/>
          <w:szCs w:val="21"/>
        </w:rPr>
        <w:t>es</w:t>
      </w:r>
      <w:r w:rsidRPr="00E37EF7">
        <w:rPr>
          <w:rFonts w:cs="Calibri"/>
          <w:sz w:val="21"/>
          <w:szCs w:val="21"/>
        </w:rPr>
        <w:t xml:space="preserve"> to achiev</w:t>
      </w:r>
      <w:r w:rsidR="002045CB">
        <w:rPr>
          <w:rFonts w:cs="Calibri"/>
          <w:sz w:val="21"/>
          <w:szCs w:val="21"/>
        </w:rPr>
        <w:t>ing</w:t>
      </w:r>
      <w:r w:rsidRPr="00E37EF7">
        <w:rPr>
          <w:rFonts w:cs="Calibri"/>
          <w:sz w:val="21"/>
          <w:szCs w:val="21"/>
        </w:rPr>
        <w:t xml:space="preserve"> the indicator</w:t>
      </w:r>
      <w:r w:rsidR="002045CB">
        <w:rPr>
          <w:rFonts w:cs="Calibri"/>
          <w:sz w:val="21"/>
          <w:szCs w:val="21"/>
        </w:rPr>
        <w:t xml:space="preserve"> target</w:t>
      </w:r>
      <w:r w:rsidRPr="00E37EF7">
        <w:rPr>
          <w:rFonts w:cs="Calibri"/>
          <w:sz w:val="21"/>
          <w:szCs w:val="21"/>
        </w:rPr>
        <w:t>s. The AWP/B should include detailed activities to be implemented to achieve the project outputs and output targets and divided into monthly timeframes and targets and milestone dates for output indicators to be achieved during the year. A detailed project budget for activities to be implemented during the year should also be included together with all monitoring and supervision activities required during the year. The AWP/B should be approved by the Project Steering Committee and uploaded on the FPMIS by the BH.</w:t>
      </w:r>
    </w:p>
    <w:p w14:paraId="3D2D35E9" w14:textId="77777777" w:rsidR="009563B4" w:rsidRPr="00A92FCD" w:rsidRDefault="009563B4" w:rsidP="002045CB">
      <w:pPr>
        <w:spacing w:after="80"/>
        <w:ind w:left="709" w:hanging="425"/>
        <w:rPr>
          <w:rFonts w:ascii="Calibri" w:hAnsi="Calibri" w:cs="Calibri"/>
          <w:sz w:val="21"/>
          <w:szCs w:val="21"/>
        </w:rPr>
      </w:pPr>
    </w:p>
    <w:p w14:paraId="0A7A0FD4" w14:textId="22754E06" w:rsidR="009563B4" w:rsidRPr="00E37EF7" w:rsidRDefault="009563B4" w:rsidP="001667C6">
      <w:pPr>
        <w:pStyle w:val="ListParagraph"/>
        <w:numPr>
          <w:ilvl w:val="0"/>
          <w:numId w:val="77"/>
        </w:numPr>
        <w:spacing w:after="80"/>
        <w:ind w:left="709" w:hanging="425"/>
        <w:contextualSpacing w:val="0"/>
        <w:rPr>
          <w:rFonts w:cs="Calibri"/>
          <w:sz w:val="21"/>
          <w:szCs w:val="21"/>
        </w:rPr>
      </w:pPr>
      <w:r w:rsidRPr="00E37EF7">
        <w:rPr>
          <w:rFonts w:cs="Calibri"/>
          <w:b/>
          <w:bCs/>
          <w:sz w:val="21"/>
          <w:szCs w:val="21"/>
        </w:rPr>
        <w:t>Project Progress Reports (PPR).</w:t>
      </w:r>
      <w:r w:rsidRPr="00E37EF7">
        <w:rPr>
          <w:rFonts w:cs="Calibri"/>
          <w:sz w:val="21"/>
          <w:szCs w:val="21"/>
        </w:rPr>
        <w:t xml:space="preserve"> PPRs will be prepared by the PMU based on the systematic monitoring of output and outcome indicators identified in the project’s Results Framework (Appendix I). The purpose of the PPR is to identify constraints, problems or bottlenecks that impede timely implementation and to take appropriate remedial action in a timely manner. They will also report on project risks and implementation of the risk mitigation plan. The Budget Holder has the responsibility to coordinate the preparation and finalization of the PPR, in consultation with the PMU, LTO and the FLO. After LTO, BH and FLO clearance, the FLO will ensure that project progress reports are uploaded in FPMIS in a timely manner.</w:t>
      </w:r>
    </w:p>
    <w:p w14:paraId="1B287C26" w14:textId="77777777" w:rsidR="009563B4" w:rsidRPr="00E37EF7" w:rsidRDefault="009563B4" w:rsidP="001667C6">
      <w:pPr>
        <w:pStyle w:val="ListParagraph"/>
        <w:numPr>
          <w:ilvl w:val="0"/>
          <w:numId w:val="77"/>
        </w:numPr>
        <w:spacing w:after="80"/>
        <w:ind w:left="709" w:hanging="425"/>
        <w:contextualSpacing w:val="0"/>
        <w:rPr>
          <w:rFonts w:cs="Calibri"/>
          <w:sz w:val="21"/>
          <w:szCs w:val="21"/>
        </w:rPr>
      </w:pPr>
      <w:r w:rsidRPr="00E37EF7">
        <w:rPr>
          <w:rFonts w:cs="Calibri"/>
          <w:b/>
          <w:bCs/>
          <w:sz w:val="21"/>
          <w:szCs w:val="21"/>
        </w:rPr>
        <w:t>Annual Project Implementation Review (PIR).</w:t>
      </w:r>
      <w:r w:rsidRPr="00E37EF7">
        <w:rPr>
          <w:rFonts w:cs="Calibri"/>
          <w:sz w:val="21"/>
          <w:szCs w:val="21"/>
        </w:rPr>
        <w:t xml:space="preserve"> The BH (in collaboration with the PMU and the LTO) will prepare an annual PIR covering the period July (the previous year) through June (current year) to be submitted to the FAO GEF Coordination Unit Funding Liaison Officer (FLO) for review and approval no later than (check each year with GEF Unit but roughly end June/early July each year). The FAO GEF Coordination Unit will submit the PIR to the GEF Secretariat and GEF Evaluation Office as part of the Annual Monitoring Review report of the FAO-GEF portfolio. PIRs will be uploaded on the FPMIS by the FAO GEF Coordination Unit. </w:t>
      </w:r>
    </w:p>
    <w:p w14:paraId="665BC5DA" w14:textId="77777777" w:rsidR="009563B4" w:rsidRPr="00E37EF7" w:rsidRDefault="009563B4" w:rsidP="001667C6">
      <w:pPr>
        <w:pStyle w:val="ListParagraph"/>
        <w:numPr>
          <w:ilvl w:val="0"/>
          <w:numId w:val="77"/>
        </w:numPr>
        <w:spacing w:after="80"/>
        <w:ind w:left="709" w:hanging="425"/>
        <w:contextualSpacing w:val="0"/>
        <w:rPr>
          <w:rFonts w:cs="Calibri"/>
          <w:sz w:val="21"/>
          <w:szCs w:val="21"/>
        </w:rPr>
      </w:pPr>
      <w:r w:rsidRPr="00E37EF7">
        <w:rPr>
          <w:rFonts w:cs="Calibri"/>
          <w:b/>
          <w:bCs/>
          <w:sz w:val="21"/>
          <w:szCs w:val="21"/>
        </w:rPr>
        <w:t>Technical Reports:</w:t>
      </w:r>
      <w:r w:rsidRPr="00E37EF7">
        <w:rPr>
          <w:rFonts w:cs="Calibri"/>
          <w:sz w:val="21"/>
          <w:szCs w:val="21"/>
        </w:rPr>
        <w:t xml:space="preserve"> Technical reports will be prepared by national, international consultants (partner organizations under LOAs) as part of project outputs and to document and share project outcomes and lessons learned. The drafts of any technical reports must be submitted by the PMU to the BH who will share it with the LTO. The LTO will be responsible for ensuring appropriate technical review and clearance of said report. The BH will upload the final cleared reports onto the FPMIS. Copies of the technical reports will be distributed to project partners and the Project Steering Committee as appropriate. </w:t>
      </w:r>
    </w:p>
    <w:p w14:paraId="58D0C68A" w14:textId="77777777" w:rsidR="009563B4" w:rsidRPr="00E37EF7" w:rsidRDefault="009563B4" w:rsidP="001667C6">
      <w:pPr>
        <w:pStyle w:val="ListParagraph"/>
        <w:numPr>
          <w:ilvl w:val="0"/>
          <w:numId w:val="77"/>
        </w:numPr>
        <w:spacing w:after="80"/>
        <w:ind w:left="709" w:hanging="425"/>
        <w:contextualSpacing w:val="0"/>
        <w:rPr>
          <w:rFonts w:cs="Calibri"/>
          <w:sz w:val="21"/>
          <w:szCs w:val="21"/>
        </w:rPr>
      </w:pPr>
      <w:r w:rsidRPr="00E37EF7">
        <w:rPr>
          <w:rFonts w:cs="Calibri"/>
          <w:b/>
          <w:bCs/>
          <w:sz w:val="21"/>
          <w:szCs w:val="21"/>
        </w:rPr>
        <w:t>Co-financing Reports:</w:t>
      </w:r>
      <w:r w:rsidRPr="00E37EF7">
        <w:rPr>
          <w:rFonts w:cs="Calibri"/>
          <w:sz w:val="21"/>
          <w:szCs w:val="21"/>
        </w:rPr>
        <w:t xml:space="preserve"> The BH, with support from the PMU, will be responsible for collecting the required information and reporting on co-financing as indicated in the Project Document/CEO Request. The PMU will compile the information received from the executing partners and transmit it in a timely manner to the LTO and BH. The report, which covers the period 1 July through 30 June, is to be submitted on or before 31 July and will be incorporated into the annual PIR. The format and tables to report on co-financing can be found in the PIR.</w:t>
      </w:r>
    </w:p>
    <w:p w14:paraId="0AE507B7" w14:textId="093EF0B5" w:rsidR="009563B4" w:rsidRPr="00E37EF7" w:rsidRDefault="009563B4" w:rsidP="001667C6">
      <w:pPr>
        <w:pStyle w:val="ListParagraph"/>
        <w:numPr>
          <w:ilvl w:val="0"/>
          <w:numId w:val="77"/>
        </w:numPr>
        <w:spacing w:after="80"/>
        <w:ind w:left="709" w:hanging="425"/>
        <w:contextualSpacing w:val="0"/>
        <w:rPr>
          <w:rFonts w:cs="Calibri"/>
          <w:sz w:val="21"/>
          <w:szCs w:val="21"/>
        </w:rPr>
      </w:pPr>
      <w:r w:rsidRPr="00E37EF7">
        <w:rPr>
          <w:rFonts w:cs="Calibri"/>
          <w:b/>
          <w:bCs/>
          <w:sz w:val="21"/>
          <w:szCs w:val="21"/>
        </w:rPr>
        <w:t>GEF Tracking Tools:</w:t>
      </w:r>
      <w:r w:rsidRPr="00E37EF7">
        <w:rPr>
          <w:rFonts w:cs="Calibri"/>
          <w:sz w:val="21"/>
          <w:szCs w:val="21"/>
        </w:rPr>
        <w:t xml:space="preserve"> Following the GEF policies and procedures, the relevant tracking tools will be </w:t>
      </w:r>
      <w:r w:rsidR="002D5ADA">
        <w:rPr>
          <w:rFonts w:cs="Calibri"/>
          <w:sz w:val="21"/>
          <w:szCs w:val="21"/>
        </w:rPr>
        <w:t xml:space="preserve">completed/updated and </w:t>
      </w:r>
      <w:r w:rsidRPr="00E37EF7">
        <w:rPr>
          <w:rFonts w:cs="Calibri"/>
          <w:sz w:val="21"/>
          <w:szCs w:val="21"/>
        </w:rPr>
        <w:t xml:space="preserve">submitted </w:t>
      </w:r>
      <w:r w:rsidR="002D5ADA">
        <w:rPr>
          <w:rFonts w:cs="Calibri"/>
          <w:sz w:val="21"/>
          <w:szCs w:val="21"/>
        </w:rPr>
        <w:t>on three occasions</w:t>
      </w:r>
      <w:r w:rsidRPr="00E37EF7">
        <w:rPr>
          <w:rFonts w:cs="Calibri"/>
          <w:sz w:val="21"/>
          <w:szCs w:val="21"/>
        </w:rPr>
        <w:t>: (i) with the project document at CEO endorsement</w:t>
      </w:r>
      <w:r w:rsidR="002D5ADA">
        <w:rPr>
          <w:rFonts w:cs="Calibri"/>
          <w:sz w:val="21"/>
          <w:szCs w:val="21"/>
        </w:rPr>
        <w:t>;</w:t>
      </w:r>
      <w:r w:rsidRPr="00E37EF7">
        <w:rPr>
          <w:rFonts w:cs="Calibri"/>
          <w:sz w:val="21"/>
          <w:szCs w:val="21"/>
        </w:rPr>
        <w:t xml:space="preserve"> </w:t>
      </w:r>
      <w:r w:rsidR="002D5ADA">
        <w:rPr>
          <w:rFonts w:cs="Calibri"/>
          <w:sz w:val="21"/>
          <w:szCs w:val="21"/>
        </w:rPr>
        <w:t xml:space="preserve">(ii) prior to the mid-term review; </w:t>
      </w:r>
      <w:r w:rsidRPr="00E37EF7">
        <w:rPr>
          <w:rFonts w:cs="Calibri"/>
          <w:sz w:val="21"/>
          <w:szCs w:val="21"/>
        </w:rPr>
        <w:t>and (</w:t>
      </w:r>
      <w:r w:rsidR="002D5ADA">
        <w:rPr>
          <w:rFonts w:cs="Calibri"/>
          <w:sz w:val="21"/>
          <w:szCs w:val="21"/>
        </w:rPr>
        <w:t>i</w:t>
      </w:r>
      <w:r w:rsidRPr="00E37EF7">
        <w:rPr>
          <w:rFonts w:cs="Calibri"/>
          <w:sz w:val="21"/>
          <w:szCs w:val="21"/>
        </w:rPr>
        <w:t xml:space="preserve">ii) with the project’s terminal evaluation or final completion report. The TT will be uploaded in FPMIS by the FAO GEF Coordination Unit. The </w:t>
      </w:r>
      <w:r w:rsidRPr="00E37EF7">
        <w:rPr>
          <w:rFonts w:cs="Calibri"/>
          <w:sz w:val="21"/>
          <w:szCs w:val="21"/>
        </w:rPr>
        <w:lastRenderedPageBreak/>
        <w:t>TT at the baseline were developed by the Project Design Specialist, in close collaboration with the FAO Project Task Force. They are filled in by the PMU and made available for the final evaluation.</w:t>
      </w:r>
    </w:p>
    <w:p w14:paraId="4B987C73" w14:textId="4F85A445" w:rsidR="009563B4" w:rsidRPr="00E37EF7" w:rsidRDefault="009563B4" w:rsidP="001667C6">
      <w:pPr>
        <w:pStyle w:val="ListParagraph"/>
        <w:numPr>
          <w:ilvl w:val="0"/>
          <w:numId w:val="77"/>
        </w:numPr>
        <w:spacing w:after="80"/>
        <w:ind w:left="709" w:hanging="425"/>
        <w:contextualSpacing w:val="0"/>
        <w:rPr>
          <w:rFonts w:cs="Calibri"/>
          <w:sz w:val="21"/>
          <w:szCs w:val="21"/>
        </w:rPr>
      </w:pPr>
      <w:r w:rsidRPr="00E37EF7">
        <w:rPr>
          <w:rFonts w:cs="Calibri"/>
          <w:b/>
          <w:bCs/>
          <w:sz w:val="21"/>
          <w:szCs w:val="21"/>
        </w:rPr>
        <w:t>Terminal Report:</w:t>
      </w:r>
      <w:r w:rsidRPr="00E37EF7">
        <w:rPr>
          <w:rFonts w:cs="Calibri"/>
          <w:sz w:val="21"/>
          <w:szCs w:val="21"/>
        </w:rPr>
        <w:t xml:space="preserve"> Within two months before the end date of the project, and one month before the Final Evaluation, the PMU will submit to the BH and LTO a draft Terminal Report. The main purpose of the Terminal Report is to give guidance at ministerial or senior government level on the policy decisions required for the follow-up of the project, and to provide the donor with information on how the funds were utilized. The Terminal Report is accordingly a concise account of the main products, results, conclusions, and recommendations of the project, without unnecessary background, narrative or technical details. The target readership consists of persons who are not necessarily technical specialists but who need to understand the policy implications of technical findings and needs for insuring sustainability of project results.</w:t>
      </w:r>
      <w:r w:rsidR="002D5ADA">
        <w:rPr>
          <w:rFonts w:cs="Calibri"/>
          <w:sz w:val="21"/>
          <w:szCs w:val="21"/>
        </w:rPr>
        <w:t xml:space="preserve"> It is also best practice to draft a </w:t>
      </w:r>
      <w:r w:rsidR="002D5ADA" w:rsidRPr="00B25561">
        <w:rPr>
          <w:rFonts w:cs="Calibri"/>
          <w:b/>
          <w:bCs/>
          <w:sz w:val="21"/>
          <w:szCs w:val="21"/>
        </w:rPr>
        <w:t>Project Exit Strategy</w:t>
      </w:r>
      <w:r w:rsidR="002D5ADA">
        <w:rPr>
          <w:rFonts w:cs="Calibri"/>
          <w:sz w:val="21"/>
          <w:szCs w:val="21"/>
        </w:rPr>
        <w:t xml:space="preserve"> 3-6 months prior to the end of the project</w:t>
      </w:r>
      <w:r w:rsidR="00B25561">
        <w:rPr>
          <w:rFonts w:cs="Calibri"/>
          <w:sz w:val="21"/>
          <w:szCs w:val="21"/>
        </w:rPr>
        <w:t xml:space="preserve"> to guide closure and ensure post-project continuity of activities, mechanisms and processes that need to be sustained, institutionalized, replicated and mainstreamed. This Strategy can accompany the Terminal Report.</w:t>
      </w:r>
    </w:p>
    <w:p w14:paraId="5F7270B0" w14:textId="4D79A1BB" w:rsidR="009563B4" w:rsidRPr="00CE1EA7" w:rsidRDefault="009563B4" w:rsidP="001667C6">
      <w:pPr>
        <w:pStyle w:val="ParagraphOED"/>
        <w:numPr>
          <w:ilvl w:val="0"/>
          <w:numId w:val="102"/>
        </w:numPr>
        <w:spacing w:before="160" w:after="160"/>
      </w:pPr>
      <w:r>
        <w:t>The table below provides a summary of the main M&amp;E reports, responsible parties, and timeframe</w:t>
      </w:r>
      <w:r w:rsidR="009E6B1A">
        <w:t>.</w:t>
      </w:r>
    </w:p>
    <w:p w14:paraId="4459FE4F" w14:textId="3A7A1334" w:rsidR="009563B4" w:rsidRPr="00AE587B" w:rsidRDefault="009563B4" w:rsidP="00B25561">
      <w:pPr>
        <w:pStyle w:val="Caption"/>
        <w:spacing w:before="160" w:after="160"/>
        <w:rPr>
          <w:rFonts w:ascii="Calibri" w:hAnsi="Calibri" w:cs="Calibri"/>
          <w:sz w:val="22"/>
          <w:szCs w:val="22"/>
        </w:rPr>
      </w:pPr>
      <w:bookmarkStart w:id="342" w:name="_Toc42027227"/>
      <w:bookmarkStart w:id="343" w:name="_Toc42089601"/>
      <w:bookmarkStart w:id="344" w:name="_Toc58398642"/>
      <w:r w:rsidRPr="66AD130D">
        <w:rPr>
          <w:rFonts w:ascii="Calibri" w:hAnsi="Calibri" w:cs="Calibri"/>
          <w:sz w:val="22"/>
          <w:szCs w:val="22"/>
        </w:rPr>
        <w:t xml:space="preserve">Table </w:t>
      </w:r>
      <w:r w:rsidRPr="66AD130D">
        <w:rPr>
          <w:rFonts w:ascii="Calibri" w:hAnsi="Calibri" w:cs="Calibri"/>
          <w:sz w:val="22"/>
          <w:szCs w:val="22"/>
          <w:highlight w:val="yellow"/>
        </w:rPr>
        <w:fldChar w:fldCharType="begin"/>
      </w:r>
      <w:r w:rsidRPr="66AD130D">
        <w:rPr>
          <w:rFonts w:ascii="Calibri" w:hAnsi="Calibri" w:cs="Calibri"/>
          <w:sz w:val="22"/>
          <w:szCs w:val="22"/>
          <w:highlight w:val="yellow"/>
        </w:rPr>
        <w:instrText>SEQ Table \* ARABIC</w:instrText>
      </w:r>
      <w:r w:rsidRPr="66AD130D">
        <w:rPr>
          <w:rFonts w:ascii="Calibri" w:hAnsi="Calibri" w:cs="Calibri"/>
          <w:sz w:val="22"/>
          <w:szCs w:val="22"/>
          <w:highlight w:val="yellow"/>
        </w:rPr>
        <w:fldChar w:fldCharType="separate"/>
      </w:r>
      <w:r w:rsidR="007D3608" w:rsidRPr="66AD130D">
        <w:rPr>
          <w:rFonts w:ascii="Calibri" w:hAnsi="Calibri" w:cs="Calibri"/>
          <w:noProof/>
          <w:sz w:val="22"/>
          <w:szCs w:val="22"/>
          <w:highlight w:val="yellow"/>
        </w:rPr>
        <w:t>12</w:t>
      </w:r>
      <w:r w:rsidRPr="66AD130D">
        <w:rPr>
          <w:rFonts w:ascii="Calibri" w:hAnsi="Calibri" w:cs="Calibri"/>
          <w:sz w:val="22"/>
          <w:szCs w:val="22"/>
          <w:highlight w:val="yellow"/>
        </w:rPr>
        <w:fldChar w:fldCharType="end"/>
      </w:r>
      <w:r w:rsidRPr="66AD130D">
        <w:rPr>
          <w:rFonts w:ascii="Calibri" w:hAnsi="Calibri" w:cs="Calibri"/>
          <w:sz w:val="22"/>
          <w:szCs w:val="22"/>
        </w:rPr>
        <w:t xml:space="preserve">. </w:t>
      </w:r>
      <w:r w:rsidR="00B25561" w:rsidRPr="66AD130D">
        <w:rPr>
          <w:rFonts w:ascii="Calibri" w:hAnsi="Calibri" w:cs="Calibri"/>
          <w:sz w:val="22"/>
          <w:szCs w:val="22"/>
        </w:rPr>
        <w:t xml:space="preserve">Project </w:t>
      </w:r>
      <w:r w:rsidRPr="66AD130D">
        <w:rPr>
          <w:rFonts w:ascii="Calibri" w:hAnsi="Calibri" w:cs="Calibri"/>
          <w:sz w:val="22"/>
          <w:szCs w:val="22"/>
        </w:rPr>
        <w:t>M</w:t>
      </w:r>
      <w:r w:rsidR="00B25561" w:rsidRPr="66AD130D">
        <w:rPr>
          <w:rFonts w:ascii="Calibri" w:hAnsi="Calibri" w:cs="Calibri"/>
          <w:sz w:val="22"/>
          <w:szCs w:val="22"/>
        </w:rPr>
        <w:t>onitoring and Evaluation Plan</w:t>
      </w:r>
      <w:r w:rsidRPr="66AD130D">
        <w:rPr>
          <w:rFonts w:ascii="Calibri" w:hAnsi="Calibri" w:cs="Calibri"/>
          <w:sz w:val="22"/>
          <w:szCs w:val="22"/>
        </w:rPr>
        <w:t xml:space="preserve"> Activities and Budget</w:t>
      </w:r>
      <w:bookmarkEnd w:id="342"/>
      <w:bookmarkEnd w:id="343"/>
      <w:bookmarkEnd w:id="344"/>
    </w:p>
    <w:tbl>
      <w:tblPr>
        <w:tblStyle w:val="TableGrid"/>
        <w:tblW w:w="0" w:type="auto"/>
        <w:tblLayout w:type="fixed"/>
        <w:tblLook w:val="04A0" w:firstRow="1" w:lastRow="0" w:firstColumn="1" w:lastColumn="0" w:noHBand="0" w:noVBand="1"/>
      </w:tblPr>
      <w:tblGrid>
        <w:gridCol w:w="2254"/>
        <w:gridCol w:w="2254"/>
        <w:gridCol w:w="2254"/>
        <w:gridCol w:w="2254"/>
      </w:tblGrid>
      <w:tr w:rsidR="71573F76" w14:paraId="386EF9E3" w14:textId="77777777" w:rsidTr="7F4D7136">
        <w:tc>
          <w:tcPr>
            <w:tcW w:w="2254" w:type="dxa"/>
            <w:shd w:val="clear" w:color="auto" w:fill="D0CECE" w:themeFill="background2" w:themeFillShade="E6"/>
          </w:tcPr>
          <w:p w14:paraId="0A966A78" w14:textId="72DA4609" w:rsidR="71573F76" w:rsidRDefault="71573F76" w:rsidP="71573F76">
            <w:pPr>
              <w:rPr>
                <w:rFonts w:ascii="Calibri" w:eastAsia="Calibri" w:hAnsi="Calibri" w:cs="Calibri"/>
                <w:b/>
                <w:bCs/>
                <w:sz w:val="19"/>
                <w:szCs w:val="19"/>
                <w:lang w:val="en-IE"/>
              </w:rPr>
            </w:pPr>
            <w:r w:rsidRPr="71573F76">
              <w:rPr>
                <w:rFonts w:ascii="Calibri" w:eastAsia="Calibri" w:hAnsi="Calibri" w:cs="Calibri"/>
                <w:b/>
                <w:bCs/>
                <w:sz w:val="19"/>
                <w:szCs w:val="19"/>
                <w:lang w:val="en-IE"/>
              </w:rPr>
              <w:t>Type of M&amp;E Activity</w:t>
            </w:r>
          </w:p>
        </w:tc>
        <w:tc>
          <w:tcPr>
            <w:tcW w:w="2254" w:type="dxa"/>
            <w:shd w:val="clear" w:color="auto" w:fill="D0CECE" w:themeFill="background2" w:themeFillShade="E6"/>
          </w:tcPr>
          <w:p w14:paraId="524C0B4B" w14:textId="737AF84E" w:rsidR="71573F76" w:rsidRDefault="71573F76" w:rsidP="71573F76">
            <w:pPr>
              <w:rPr>
                <w:rFonts w:ascii="Calibri" w:eastAsia="Calibri" w:hAnsi="Calibri" w:cs="Calibri"/>
                <w:b/>
                <w:bCs/>
                <w:sz w:val="19"/>
                <w:szCs w:val="19"/>
                <w:lang w:val="en-IE"/>
              </w:rPr>
            </w:pPr>
            <w:r w:rsidRPr="71573F76">
              <w:rPr>
                <w:rFonts w:ascii="Calibri" w:eastAsia="Calibri" w:hAnsi="Calibri" w:cs="Calibri"/>
                <w:b/>
                <w:bCs/>
                <w:sz w:val="19"/>
                <w:szCs w:val="19"/>
                <w:lang w:val="en-IE"/>
              </w:rPr>
              <w:t>Responsible Parties</w:t>
            </w:r>
          </w:p>
        </w:tc>
        <w:tc>
          <w:tcPr>
            <w:tcW w:w="2254" w:type="dxa"/>
            <w:shd w:val="clear" w:color="auto" w:fill="D0CECE" w:themeFill="background2" w:themeFillShade="E6"/>
          </w:tcPr>
          <w:p w14:paraId="468C267E" w14:textId="65E73EB0" w:rsidR="71573F76" w:rsidRDefault="71573F76" w:rsidP="71573F76">
            <w:pPr>
              <w:rPr>
                <w:rFonts w:ascii="Calibri" w:eastAsia="Calibri" w:hAnsi="Calibri" w:cs="Calibri"/>
                <w:b/>
                <w:bCs/>
                <w:sz w:val="19"/>
                <w:szCs w:val="19"/>
                <w:lang w:val="en-IE"/>
              </w:rPr>
            </w:pPr>
            <w:r w:rsidRPr="71573F76">
              <w:rPr>
                <w:rFonts w:ascii="Calibri" w:eastAsia="Calibri" w:hAnsi="Calibri" w:cs="Calibri"/>
                <w:b/>
                <w:bCs/>
                <w:sz w:val="19"/>
                <w:szCs w:val="19"/>
                <w:lang w:val="en-IE"/>
              </w:rPr>
              <w:t>Time-frame</w:t>
            </w:r>
          </w:p>
        </w:tc>
        <w:tc>
          <w:tcPr>
            <w:tcW w:w="2254" w:type="dxa"/>
            <w:shd w:val="clear" w:color="auto" w:fill="D0CECE" w:themeFill="background2" w:themeFillShade="E6"/>
          </w:tcPr>
          <w:p w14:paraId="4B87693C" w14:textId="30F59E57" w:rsidR="71573F76" w:rsidRDefault="71573F76" w:rsidP="71573F76">
            <w:pPr>
              <w:rPr>
                <w:rFonts w:ascii="Calibri" w:eastAsia="Calibri" w:hAnsi="Calibri" w:cs="Calibri"/>
                <w:b/>
                <w:bCs/>
                <w:sz w:val="19"/>
                <w:szCs w:val="19"/>
                <w:lang w:val="en-IE"/>
              </w:rPr>
            </w:pPr>
            <w:r w:rsidRPr="71573F76">
              <w:rPr>
                <w:rFonts w:ascii="Calibri" w:eastAsia="Calibri" w:hAnsi="Calibri" w:cs="Calibri"/>
                <w:b/>
                <w:bCs/>
                <w:sz w:val="19"/>
                <w:szCs w:val="19"/>
                <w:lang w:val="en-IE"/>
              </w:rPr>
              <w:t>Estimate of costs</w:t>
            </w:r>
          </w:p>
        </w:tc>
      </w:tr>
      <w:tr w:rsidR="00990DDD" w14:paraId="5042F10F" w14:textId="77777777" w:rsidTr="7F4D7136">
        <w:tc>
          <w:tcPr>
            <w:tcW w:w="2254" w:type="dxa"/>
          </w:tcPr>
          <w:p w14:paraId="464ADE8D" w14:textId="31251B7B" w:rsidR="00990DDD" w:rsidRPr="71573F76" w:rsidRDefault="00A75FB5" w:rsidP="71573F76">
            <w:pPr>
              <w:jc w:val="center"/>
              <w:rPr>
                <w:rFonts w:ascii="Calibri" w:eastAsia="Calibri" w:hAnsi="Calibri" w:cs="Calibri"/>
                <w:b/>
                <w:bCs/>
                <w:sz w:val="19"/>
                <w:szCs w:val="19"/>
                <w:lang w:val="en-IE"/>
              </w:rPr>
            </w:pPr>
            <w:r w:rsidRPr="00A75FB5">
              <w:rPr>
                <w:rFonts w:ascii="Calibri" w:eastAsia="Calibri" w:hAnsi="Calibri" w:cs="Calibri"/>
                <w:b/>
                <w:bCs/>
                <w:sz w:val="19"/>
                <w:szCs w:val="19"/>
                <w:lang w:val="en-IE"/>
              </w:rPr>
              <w:t>Inception</w:t>
            </w:r>
            <w:r w:rsidR="00A3644F">
              <w:rPr>
                <w:rFonts w:ascii="Calibri" w:eastAsia="Calibri" w:hAnsi="Calibri" w:cs="Calibri"/>
                <w:b/>
                <w:bCs/>
                <w:sz w:val="19"/>
                <w:szCs w:val="19"/>
                <w:lang w:val="en-IE"/>
              </w:rPr>
              <w:t>, mid-term and final workshop</w:t>
            </w:r>
          </w:p>
        </w:tc>
        <w:tc>
          <w:tcPr>
            <w:tcW w:w="2254" w:type="dxa"/>
          </w:tcPr>
          <w:p w14:paraId="41488F61" w14:textId="0D420AE8" w:rsidR="00990DDD" w:rsidRPr="71573F76" w:rsidRDefault="00687F93" w:rsidP="71573F76">
            <w:pPr>
              <w:jc w:val="center"/>
              <w:rPr>
                <w:rFonts w:ascii="Calibri" w:eastAsia="Calibri" w:hAnsi="Calibri" w:cs="Calibri"/>
                <w:sz w:val="19"/>
                <w:szCs w:val="19"/>
                <w:lang w:val="en-IE"/>
              </w:rPr>
            </w:pPr>
            <w:r w:rsidRPr="00687F93">
              <w:rPr>
                <w:rFonts w:ascii="Calibri" w:eastAsia="Calibri" w:hAnsi="Calibri" w:cs="Calibri"/>
                <w:sz w:val="19"/>
                <w:szCs w:val="19"/>
                <w:lang w:val="en-IE"/>
              </w:rPr>
              <w:t>PMU in consultation with the LTO, BH, PSC</w:t>
            </w:r>
          </w:p>
        </w:tc>
        <w:tc>
          <w:tcPr>
            <w:tcW w:w="2254" w:type="dxa"/>
          </w:tcPr>
          <w:p w14:paraId="17B15302" w14:textId="0269FA95" w:rsidR="00990DDD" w:rsidRPr="71573F76" w:rsidRDefault="00687F93" w:rsidP="71573F76">
            <w:pPr>
              <w:jc w:val="center"/>
              <w:rPr>
                <w:rFonts w:ascii="Calibri" w:eastAsia="Calibri" w:hAnsi="Calibri" w:cs="Calibri"/>
                <w:sz w:val="19"/>
                <w:szCs w:val="19"/>
                <w:lang w:val="en-IE"/>
              </w:rPr>
            </w:pPr>
            <w:r w:rsidRPr="00687F93">
              <w:rPr>
                <w:rFonts w:ascii="Calibri" w:eastAsia="Calibri" w:hAnsi="Calibri" w:cs="Calibri"/>
                <w:sz w:val="19"/>
                <w:szCs w:val="19"/>
                <w:lang w:val="en-IE"/>
              </w:rPr>
              <w:t>Within one month after start-up</w:t>
            </w:r>
            <w:r w:rsidR="00C83F6A">
              <w:rPr>
                <w:rFonts w:ascii="Calibri" w:eastAsia="Calibri" w:hAnsi="Calibri" w:cs="Calibri"/>
                <w:sz w:val="19"/>
                <w:szCs w:val="19"/>
                <w:lang w:val="en-IE"/>
              </w:rPr>
              <w:t>, mid-term and 2 months prior to project termination respectively</w:t>
            </w:r>
          </w:p>
        </w:tc>
        <w:tc>
          <w:tcPr>
            <w:tcW w:w="2254" w:type="dxa"/>
          </w:tcPr>
          <w:p w14:paraId="0B7DCD11" w14:textId="19347352" w:rsidR="007412F6" w:rsidRPr="00CF456F" w:rsidRDefault="007412F6" w:rsidP="71573F76">
            <w:pPr>
              <w:jc w:val="center"/>
              <w:rPr>
                <w:rFonts w:ascii="Calibri" w:eastAsia="Calibri" w:hAnsi="Calibri" w:cs="Calibri"/>
                <w:sz w:val="19"/>
                <w:szCs w:val="19"/>
                <w:lang w:val="en-IE"/>
              </w:rPr>
            </w:pPr>
            <w:r w:rsidRPr="00CF456F">
              <w:rPr>
                <w:rFonts w:ascii="Calibri" w:eastAsia="Calibri" w:hAnsi="Calibri" w:cs="Calibri"/>
                <w:sz w:val="19"/>
                <w:szCs w:val="19"/>
                <w:lang w:val="en-IE"/>
              </w:rPr>
              <w:t xml:space="preserve">USD </w:t>
            </w:r>
            <w:r w:rsidR="00D60F13" w:rsidRPr="00CF456F">
              <w:rPr>
                <w:rFonts w:ascii="Calibri" w:eastAsia="Calibri" w:hAnsi="Calibri" w:cs="Calibri"/>
                <w:sz w:val="19"/>
                <w:szCs w:val="19"/>
                <w:lang w:val="en-IE"/>
              </w:rPr>
              <w:t>25,950</w:t>
            </w:r>
          </w:p>
          <w:p w14:paraId="08CA343E" w14:textId="06A88EE0" w:rsidR="00990DDD" w:rsidRPr="71573F76" w:rsidRDefault="00C417A4" w:rsidP="71573F76">
            <w:pPr>
              <w:jc w:val="center"/>
              <w:rPr>
                <w:rFonts w:ascii="Calibri" w:eastAsia="Calibri" w:hAnsi="Calibri" w:cs="Calibri"/>
                <w:sz w:val="19"/>
                <w:szCs w:val="19"/>
                <w:lang w:val="en-IE"/>
              </w:rPr>
            </w:pPr>
            <w:r w:rsidRPr="00CF456F">
              <w:rPr>
                <w:rFonts w:ascii="Calibri" w:eastAsia="Calibri" w:hAnsi="Calibri" w:cs="Calibri"/>
                <w:sz w:val="19"/>
                <w:szCs w:val="19"/>
                <w:lang w:val="en-IE"/>
              </w:rPr>
              <w:t>Project staff time</w:t>
            </w:r>
            <w:r w:rsidRPr="00C417A4">
              <w:rPr>
                <w:rFonts w:ascii="Calibri" w:eastAsia="Calibri" w:hAnsi="Calibri" w:cs="Calibri"/>
                <w:sz w:val="19"/>
                <w:szCs w:val="19"/>
                <w:lang w:val="en-IE"/>
              </w:rPr>
              <w:t xml:space="preserve">  </w:t>
            </w:r>
          </w:p>
        </w:tc>
      </w:tr>
      <w:tr w:rsidR="00340549" w14:paraId="5825BDA0" w14:textId="77777777" w:rsidTr="7F4D7136">
        <w:tc>
          <w:tcPr>
            <w:tcW w:w="2254" w:type="dxa"/>
          </w:tcPr>
          <w:p w14:paraId="185A80C3" w14:textId="6BA1D62C" w:rsidR="00340549" w:rsidRPr="00A75FB5" w:rsidRDefault="00090675" w:rsidP="71573F76">
            <w:pPr>
              <w:jc w:val="center"/>
              <w:rPr>
                <w:rFonts w:ascii="Calibri" w:eastAsia="Calibri" w:hAnsi="Calibri" w:cs="Calibri"/>
                <w:b/>
                <w:bCs/>
                <w:sz w:val="19"/>
                <w:szCs w:val="19"/>
                <w:lang w:val="en-IE"/>
              </w:rPr>
            </w:pPr>
            <w:r w:rsidRPr="000375E6">
              <w:rPr>
                <w:rFonts w:ascii="Calibri" w:eastAsia="Calibri" w:hAnsi="Calibri" w:cs="Calibri"/>
                <w:b/>
                <w:bCs/>
                <w:sz w:val="19"/>
                <w:szCs w:val="19"/>
                <w:lang w:val="en-IE"/>
              </w:rPr>
              <w:t>Results-based Annual Work Plan and Budget</w:t>
            </w:r>
          </w:p>
        </w:tc>
        <w:tc>
          <w:tcPr>
            <w:tcW w:w="2254" w:type="dxa"/>
          </w:tcPr>
          <w:p w14:paraId="630A8890" w14:textId="20F6D2FC" w:rsidR="00340549" w:rsidRPr="00687F93" w:rsidRDefault="0001575F" w:rsidP="71573F76">
            <w:pPr>
              <w:jc w:val="center"/>
              <w:rPr>
                <w:rFonts w:ascii="Calibri" w:eastAsia="Calibri" w:hAnsi="Calibri" w:cs="Calibri"/>
                <w:sz w:val="19"/>
                <w:szCs w:val="19"/>
                <w:lang w:val="en-IE"/>
              </w:rPr>
            </w:pPr>
            <w:r w:rsidRPr="000375E6">
              <w:rPr>
                <w:rFonts w:ascii="Calibri" w:eastAsia="Calibri" w:hAnsi="Calibri" w:cs="Calibri"/>
                <w:sz w:val="19"/>
                <w:szCs w:val="19"/>
              </w:rPr>
              <w:t>PMU in consultation with the FAO Project Task Force</w:t>
            </w:r>
          </w:p>
        </w:tc>
        <w:tc>
          <w:tcPr>
            <w:tcW w:w="2254" w:type="dxa"/>
          </w:tcPr>
          <w:p w14:paraId="2625E058" w14:textId="4F786018" w:rsidR="00340549" w:rsidRPr="00687F93" w:rsidRDefault="00390CF2" w:rsidP="000375E6">
            <w:pPr>
              <w:jc w:val="both"/>
              <w:rPr>
                <w:rFonts w:ascii="Calibri" w:eastAsia="Calibri" w:hAnsi="Calibri" w:cs="Calibri"/>
                <w:sz w:val="19"/>
                <w:szCs w:val="19"/>
                <w:lang w:val="en-IE"/>
              </w:rPr>
            </w:pPr>
            <w:r w:rsidRPr="000375E6">
              <w:rPr>
                <w:rFonts w:ascii="Calibri" w:eastAsia="Calibri" w:hAnsi="Calibri" w:cs="Calibri"/>
                <w:sz w:val="19"/>
                <w:szCs w:val="19"/>
                <w:lang w:val="en-IE"/>
              </w:rPr>
              <w:t>3 weeks after Start-up and annually with the reporting period July to June</w:t>
            </w:r>
          </w:p>
        </w:tc>
        <w:tc>
          <w:tcPr>
            <w:tcW w:w="2254" w:type="dxa"/>
          </w:tcPr>
          <w:p w14:paraId="161C5641" w14:textId="43B84CAB" w:rsidR="00340549" w:rsidRDefault="000375E6" w:rsidP="71573F76">
            <w:pPr>
              <w:jc w:val="center"/>
              <w:rPr>
                <w:rFonts w:ascii="Calibri" w:eastAsia="Calibri" w:hAnsi="Calibri" w:cs="Calibri"/>
                <w:sz w:val="19"/>
                <w:szCs w:val="19"/>
                <w:lang w:val="en-IE"/>
              </w:rPr>
            </w:pPr>
            <w:r w:rsidRPr="00CF456F">
              <w:rPr>
                <w:rFonts w:ascii="Calibri" w:eastAsia="Calibri" w:hAnsi="Calibri" w:cs="Calibri"/>
                <w:sz w:val="19"/>
                <w:szCs w:val="19"/>
                <w:lang w:val="en-IE"/>
              </w:rPr>
              <w:t>Project staff time</w:t>
            </w:r>
          </w:p>
        </w:tc>
      </w:tr>
      <w:tr w:rsidR="00990DDD" w14:paraId="371820A8" w14:textId="77777777" w:rsidTr="7F4D7136">
        <w:tc>
          <w:tcPr>
            <w:tcW w:w="2254" w:type="dxa"/>
          </w:tcPr>
          <w:p w14:paraId="01F4E3D3" w14:textId="18BDD4AF" w:rsidR="00990DDD" w:rsidRPr="71573F76" w:rsidRDefault="00B97091" w:rsidP="71573F76">
            <w:pPr>
              <w:jc w:val="center"/>
              <w:rPr>
                <w:rFonts w:ascii="Calibri" w:eastAsia="Calibri" w:hAnsi="Calibri" w:cs="Calibri"/>
                <w:b/>
                <w:bCs/>
                <w:sz w:val="19"/>
                <w:szCs w:val="19"/>
                <w:lang w:val="en-IE"/>
              </w:rPr>
            </w:pPr>
            <w:r w:rsidRPr="00B97091">
              <w:rPr>
                <w:rFonts w:ascii="Calibri" w:eastAsia="Calibri" w:hAnsi="Calibri" w:cs="Calibri"/>
                <w:b/>
                <w:bCs/>
                <w:sz w:val="19"/>
                <w:szCs w:val="19"/>
                <w:lang w:val="en-IE"/>
              </w:rPr>
              <w:t>Project Inception Report</w:t>
            </w:r>
          </w:p>
        </w:tc>
        <w:tc>
          <w:tcPr>
            <w:tcW w:w="2254" w:type="dxa"/>
          </w:tcPr>
          <w:p w14:paraId="328CDA68" w14:textId="77777777" w:rsidR="00811DE6" w:rsidRPr="00811DE6" w:rsidRDefault="00811DE6" w:rsidP="5F3EA9C0">
            <w:pPr>
              <w:spacing w:line="259" w:lineRule="auto"/>
              <w:rPr>
                <w:rFonts w:ascii="Calibri" w:eastAsia="Calibri" w:hAnsi="Calibri" w:cs="Calibri"/>
                <w:sz w:val="19"/>
                <w:szCs w:val="19"/>
              </w:rPr>
            </w:pPr>
            <w:r w:rsidRPr="5F3EA9C0">
              <w:rPr>
                <w:rFonts w:ascii="Calibri" w:eastAsia="Calibri" w:hAnsi="Calibri" w:cs="Calibri"/>
                <w:sz w:val="19"/>
                <w:szCs w:val="19"/>
              </w:rPr>
              <w:t>PMU in consultation with the LTO, BH.  </w:t>
            </w:r>
          </w:p>
          <w:p w14:paraId="2AD4D1AC" w14:textId="36CAAC77" w:rsidR="00990DDD" w:rsidRPr="00811DE6" w:rsidRDefault="00811DE6" w:rsidP="5F3EA9C0">
            <w:pPr>
              <w:spacing w:line="259" w:lineRule="auto"/>
              <w:rPr>
                <w:rFonts w:ascii="Calibri" w:eastAsia="Calibri" w:hAnsi="Calibri" w:cs="Calibri"/>
                <w:sz w:val="19"/>
                <w:szCs w:val="19"/>
              </w:rPr>
            </w:pPr>
            <w:r w:rsidRPr="5F3EA9C0">
              <w:rPr>
                <w:rFonts w:ascii="Calibri" w:eastAsia="Calibri" w:hAnsi="Calibri" w:cs="Calibri"/>
                <w:sz w:val="19"/>
                <w:szCs w:val="19"/>
              </w:rPr>
              <w:t>Report cleared by the FAO BH, LTO and the FAO GEF Coordination Unit and uploaded in FPMIS by the BH. </w:t>
            </w:r>
          </w:p>
        </w:tc>
        <w:tc>
          <w:tcPr>
            <w:tcW w:w="2254" w:type="dxa"/>
          </w:tcPr>
          <w:p w14:paraId="417C79EB" w14:textId="3E080FAC" w:rsidR="00990DDD" w:rsidRPr="71573F76" w:rsidRDefault="00E47244" w:rsidP="71573F76">
            <w:pPr>
              <w:jc w:val="center"/>
              <w:rPr>
                <w:rFonts w:ascii="Calibri" w:eastAsia="Calibri" w:hAnsi="Calibri" w:cs="Calibri"/>
                <w:sz w:val="19"/>
                <w:szCs w:val="19"/>
                <w:lang w:val="en-IE"/>
              </w:rPr>
            </w:pPr>
            <w:r w:rsidRPr="00E47244">
              <w:rPr>
                <w:rFonts w:ascii="Calibri" w:eastAsia="Calibri" w:hAnsi="Calibri" w:cs="Calibri"/>
                <w:sz w:val="19"/>
                <w:szCs w:val="19"/>
                <w:lang w:val="en-IE"/>
              </w:rPr>
              <w:t>One month after start-up</w:t>
            </w:r>
          </w:p>
        </w:tc>
        <w:tc>
          <w:tcPr>
            <w:tcW w:w="2254" w:type="dxa"/>
          </w:tcPr>
          <w:p w14:paraId="5F5E1352" w14:textId="606034A8" w:rsidR="00990DDD" w:rsidRPr="71573F76" w:rsidRDefault="00147AF2" w:rsidP="71573F76">
            <w:pPr>
              <w:jc w:val="center"/>
              <w:rPr>
                <w:rFonts w:ascii="Calibri" w:eastAsia="Calibri" w:hAnsi="Calibri" w:cs="Calibri"/>
                <w:sz w:val="19"/>
                <w:szCs w:val="19"/>
                <w:lang w:val="en-IE"/>
              </w:rPr>
            </w:pPr>
            <w:r w:rsidRPr="00CF456F">
              <w:rPr>
                <w:rFonts w:ascii="Calibri" w:eastAsia="Calibri" w:hAnsi="Calibri" w:cs="Calibri"/>
                <w:sz w:val="19"/>
                <w:szCs w:val="19"/>
                <w:lang w:val="en-IE"/>
              </w:rPr>
              <w:t>Project staff time</w:t>
            </w:r>
          </w:p>
        </w:tc>
      </w:tr>
      <w:tr w:rsidR="5F3EA9C0" w14:paraId="157D874E" w14:textId="77777777" w:rsidTr="7F4D7136">
        <w:tc>
          <w:tcPr>
            <w:tcW w:w="2254" w:type="dxa"/>
          </w:tcPr>
          <w:p w14:paraId="0A9FB4B0" w14:textId="761F9B8B" w:rsidR="68B09B96" w:rsidRDefault="68B09B96" w:rsidP="5F3EA9C0">
            <w:pPr>
              <w:jc w:val="center"/>
              <w:rPr>
                <w:rFonts w:ascii="Calibri" w:eastAsia="Calibri" w:hAnsi="Calibri" w:cs="Calibri"/>
                <w:b/>
                <w:bCs/>
                <w:sz w:val="19"/>
                <w:szCs w:val="19"/>
                <w:lang w:val="en-IE"/>
              </w:rPr>
            </w:pPr>
            <w:r w:rsidRPr="5F3EA9C0">
              <w:rPr>
                <w:rFonts w:ascii="Calibri" w:eastAsia="Calibri" w:hAnsi="Calibri" w:cs="Calibri"/>
                <w:b/>
                <w:bCs/>
                <w:sz w:val="19"/>
                <w:szCs w:val="19"/>
                <w:lang w:val="en-IE"/>
              </w:rPr>
              <w:t>Execution Capacity development Support and ESS monitoring specialist</w:t>
            </w:r>
          </w:p>
        </w:tc>
        <w:tc>
          <w:tcPr>
            <w:tcW w:w="2254" w:type="dxa"/>
          </w:tcPr>
          <w:p w14:paraId="7A7DC29F" w14:textId="72440CA6" w:rsidR="5F3EA9C0" w:rsidRDefault="005E5763" w:rsidP="5F3EA9C0">
            <w:pPr>
              <w:jc w:val="center"/>
              <w:rPr>
                <w:rFonts w:ascii="Calibri" w:eastAsia="Calibri" w:hAnsi="Calibri" w:cs="Calibri"/>
                <w:sz w:val="19"/>
                <w:szCs w:val="19"/>
                <w:lang w:val="en-IE"/>
              </w:rPr>
            </w:pPr>
            <w:r>
              <w:rPr>
                <w:rFonts w:ascii="Calibri" w:eastAsia="Calibri" w:hAnsi="Calibri" w:cs="Calibri"/>
                <w:sz w:val="19"/>
                <w:szCs w:val="19"/>
                <w:lang w:val="en-IE"/>
              </w:rPr>
              <w:t>C</w:t>
            </w:r>
            <w:r w:rsidRPr="005E5763">
              <w:rPr>
                <w:rFonts w:ascii="Calibri" w:eastAsia="Calibri" w:hAnsi="Calibri" w:cs="Calibri"/>
                <w:sz w:val="19"/>
                <w:szCs w:val="19"/>
                <w:lang w:val="en-IE"/>
              </w:rPr>
              <w:t>ost shared between Component 3, M&amp;E and PMU</w:t>
            </w:r>
          </w:p>
        </w:tc>
        <w:tc>
          <w:tcPr>
            <w:tcW w:w="2254" w:type="dxa"/>
          </w:tcPr>
          <w:p w14:paraId="17230121" w14:textId="5D056DB2" w:rsidR="5F3EA9C0" w:rsidRDefault="5F3EA9C0" w:rsidP="5F3EA9C0">
            <w:pPr>
              <w:jc w:val="center"/>
              <w:rPr>
                <w:rFonts w:ascii="Calibri" w:eastAsia="Calibri" w:hAnsi="Calibri" w:cs="Calibri"/>
                <w:sz w:val="19"/>
                <w:szCs w:val="19"/>
                <w:lang w:val="en-IE"/>
              </w:rPr>
            </w:pPr>
            <w:r w:rsidRPr="5F3EA9C0">
              <w:rPr>
                <w:rFonts w:ascii="Calibri" w:eastAsia="Calibri" w:hAnsi="Calibri" w:cs="Calibri"/>
                <w:sz w:val="19"/>
                <w:szCs w:val="19"/>
                <w:lang w:val="en-IE"/>
              </w:rPr>
              <w:t>Annually</w:t>
            </w:r>
          </w:p>
        </w:tc>
        <w:tc>
          <w:tcPr>
            <w:tcW w:w="2254" w:type="dxa"/>
          </w:tcPr>
          <w:p w14:paraId="40B5CB92" w14:textId="6BA05AD6" w:rsidR="569777DF" w:rsidRPr="00CF456F" w:rsidRDefault="58A5BA52" w:rsidP="00CF456F">
            <w:pPr>
              <w:jc w:val="center"/>
              <w:rPr>
                <w:rFonts w:ascii="Calibri" w:eastAsia="Calibri" w:hAnsi="Calibri" w:cs="Calibri"/>
                <w:sz w:val="19"/>
                <w:szCs w:val="19"/>
                <w:lang w:val="en-IE"/>
              </w:rPr>
            </w:pPr>
            <w:r w:rsidRPr="00CF456F">
              <w:rPr>
                <w:rFonts w:ascii="Calibri" w:eastAsia="Calibri" w:hAnsi="Calibri" w:cs="Calibri"/>
                <w:sz w:val="19"/>
                <w:szCs w:val="19"/>
                <w:lang w:val="en-IE"/>
              </w:rPr>
              <w:t xml:space="preserve">USD </w:t>
            </w:r>
            <w:r w:rsidR="19C72C07" w:rsidRPr="00CF456F">
              <w:rPr>
                <w:rFonts w:ascii="Calibri" w:eastAsia="Calibri" w:hAnsi="Calibri" w:cs="Calibri"/>
                <w:sz w:val="19"/>
                <w:szCs w:val="19"/>
                <w:lang w:val="en-IE"/>
              </w:rPr>
              <w:t>150</w:t>
            </w:r>
            <w:r w:rsidRPr="00CF456F">
              <w:rPr>
                <w:rFonts w:ascii="Calibri" w:eastAsia="Calibri" w:hAnsi="Calibri" w:cs="Calibri"/>
                <w:sz w:val="19"/>
                <w:szCs w:val="19"/>
                <w:lang w:val="en-IE"/>
              </w:rPr>
              <w:t>,000</w:t>
            </w:r>
          </w:p>
        </w:tc>
      </w:tr>
      <w:tr w:rsidR="5F3EA9C0" w14:paraId="77C128C3" w14:textId="77777777" w:rsidTr="7F4D7136">
        <w:tc>
          <w:tcPr>
            <w:tcW w:w="2254" w:type="dxa"/>
          </w:tcPr>
          <w:p w14:paraId="3CBFD5AA" w14:textId="1B861AE3" w:rsidR="50D312F7" w:rsidRDefault="50D312F7" w:rsidP="5F3EA9C0">
            <w:pPr>
              <w:jc w:val="center"/>
              <w:rPr>
                <w:rFonts w:ascii="Calibri" w:eastAsia="Calibri" w:hAnsi="Calibri" w:cs="Calibri"/>
                <w:b/>
                <w:bCs/>
                <w:sz w:val="19"/>
                <w:szCs w:val="19"/>
                <w:lang w:val="en-IE"/>
              </w:rPr>
            </w:pPr>
            <w:r w:rsidRPr="5F3EA9C0">
              <w:rPr>
                <w:rFonts w:ascii="Calibri" w:eastAsia="Calibri" w:hAnsi="Calibri" w:cs="Calibri"/>
                <w:b/>
                <w:bCs/>
                <w:sz w:val="19"/>
                <w:szCs w:val="19"/>
                <w:lang w:val="en-IE"/>
              </w:rPr>
              <w:t>M&amp;E Expert</w:t>
            </w:r>
          </w:p>
        </w:tc>
        <w:tc>
          <w:tcPr>
            <w:tcW w:w="2254" w:type="dxa"/>
          </w:tcPr>
          <w:p w14:paraId="0425D6FB" w14:textId="3AD4C664" w:rsidR="4975FD69" w:rsidRDefault="00F239B8" w:rsidP="5F3EA9C0">
            <w:pPr>
              <w:jc w:val="center"/>
              <w:rPr>
                <w:rFonts w:ascii="Calibri" w:eastAsia="Calibri" w:hAnsi="Calibri" w:cs="Calibri"/>
                <w:sz w:val="19"/>
                <w:szCs w:val="19"/>
                <w:lang w:val="en-IE"/>
              </w:rPr>
            </w:pPr>
            <w:r w:rsidRPr="00F239B8">
              <w:rPr>
                <w:rFonts w:ascii="Calibri" w:eastAsia="Calibri" w:hAnsi="Calibri" w:cs="Calibri"/>
                <w:sz w:val="19"/>
                <w:szCs w:val="19"/>
                <w:lang w:val="en-IE"/>
              </w:rPr>
              <w:t>Full-time expert as part of the PMU</w:t>
            </w:r>
          </w:p>
        </w:tc>
        <w:tc>
          <w:tcPr>
            <w:tcW w:w="2254" w:type="dxa"/>
          </w:tcPr>
          <w:p w14:paraId="7910903E" w14:textId="5D056DB2" w:rsidR="5F3EA9C0" w:rsidRDefault="5F3EA9C0" w:rsidP="5F3EA9C0">
            <w:pPr>
              <w:jc w:val="center"/>
              <w:rPr>
                <w:rFonts w:ascii="Calibri" w:eastAsia="Calibri" w:hAnsi="Calibri" w:cs="Calibri"/>
                <w:sz w:val="19"/>
                <w:szCs w:val="19"/>
                <w:lang w:val="en-IE"/>
              </w:rPr>
            </w:pPr>
            <w:r w:rsidRPr="5F3EA9C0">
              <w:rPr>
                <w:rFonts w:ascii="Calibri" w:eastAsia="Calibri" w:hAnsi="Calibri" w:cs="Calibri"/>
                <w:sz w:val="19"/>
                <w:szCs w:val="19"/>
                <w:lang w:val="en-IE"/>
              </w:rPr>
              <w:t>Annually</w:t>
            </w:r>
          </w:p>
        </w:tc>
        <w:tc>
          <w:tcPr>
            <w:tcW w:w="2254" w:type="dxa"/>
          </w:tcPr>
          <w:p w14:paraId="669C7488" w14:textId="7DAA4B5B" w:rsidR="5F3EA9C0" w:rsidRPr="00CF456F" w:rsidRDefault="5F3EA9C0" w:rsidP="00CF456F">
            <w:pPr>
              <w:jc w:val="center"/>
              <w:rPr>
                <w:rFonts w:ascii="Calibri" w:eastAsia="Calibri" w:hAnsi="Calibri" w:cs="Calibri"/>
                <w:sz w:val="19"/>
                <w:szCs w:val="19"/>
                <w:lang w:val="en-IE"/>
              </w:rPr>
            </w:pPr>
            <w:r w:rsidRPr="00CF456F">
              <w:rPr>
                <w:rFonts w:ascii="Calibri" w:eastAsia="Calibri" w:hAnsi="Calibri" w:cs="Calibri"/>
                <w:sz w:val="19"/>
                <w:szCs w:val="19"/>
                <w:lang w:val="en-IE"/>
              </w:rPr>
              <w:t xml:space="preserve">USD </w:t>
            </w:r>
            <w:r w:rsidR="52A6D949" w:rsidRPr="00CF456F">
              <w:rPr>
                <w:rFonts w:ascii="Calibri" w:eastAsia="Calibri" w:hAnsi="Calibri" w:cs="Calibri"/>
                <w:sz w:val="19"/>
                <w:szCs w:val="19"/>
                <w:lang w:val="en-IE"/>
              </w:rPr>
              <w:t>78</w:t>
            </w:r>
            <w:r w:rsidR="4A291370" w:rsidRPr="00CF456F">
              <w:rPr>
                <w:rFonts w:ascii="Calibri" w:eastAsia="Calibri" w:hAnsi="Calibri" w:cs="Calibri"/>
                <w:sz w:val="19"/>
                <w:szCs w:val="19"/>
                <w:lang w:val="en-IE"/>
              </w:rPr>
              <w:t>,</w:t>
            </w:r>
            <w:r w:rsidR="78E72E09" w:rsidRPr="00CF456F">
              <w:rPr>
                <w:rFonts w:ascii="Calibri" w:eastAsia="Calibri" w:hAnsi="Calibri" w:cs="Calibri"/>
                <w:sz w:val="19"/>
                <w:szCs w:val="19"/>
                <w:lang w:val="en-IE"/>
              </w:rPr>
              <w:t>750</w:t>
            </w:r>
          </w:p>
          <w:p w14:paraId="1B5BEA2F" w14:textId="038C4189" w:rsidR="5F3EA9C0" w:rsidRPr="00CF456F" w:rsidRDefault="5F3EA9C0" w:rsidP="00CF456F">
            <w:pPr>
              <w:jc w:val="center"/>
              <w:rPr>
                <w:rFonts w:ascii="Calibri" w:eastAsia="Calibri" w:hAnsi="Calibri" w:cs="Calibri"/>
                <w:sz w:val="19"/>
                <w:szCs w:val="19"/>
                <w:lang w:val="en-IE"/>
              </w:rPr>
            </w:pPr>
          </w:p>
        </w:tc>
      </w:tr>
      <w:tr w:rsidR="00990DDD" w14:paraId="46FDF2FE" w14:textId="77777777" w:rsidTr="7F4D7136">
        <w:tc>
          <w:tcPr>
            <w:tcW w:w="2254" w:type="dxa"/>
          </w:tcPr>
          <w:p w14:paraId="0D1BCEA0" w14:textId="6762A486" w:rsidR="00990DDD" w:rsidRPr="71573F76" w:rsidRDefault="004C1F95" w:rsidP="71573F76">
            <w:pPr>
              <w:jc w:val="center"/>
              <w:rPr>
                <w:rFonts w:ascii="Calibri" w:eastAsia="Calibri" w:hAnsi="Calibri" w:cs="Calibri"/>
                <w:b/>
                <w:bCs/>
                <w:sz w:val="19"/>
                <w:szCs w:val="19"/>
                <w:lang w:val="en-IE"/>
              </w:rPr>
            </w:pPr>
            <w:r w:rsidRPr="004C1F95">
              <w:rPr>
                <w:rFonts w:ascii="Calibri" w:eastAsia="Calibri" w:hAnsi="Calibri" w:cs="Calibri"/>
                <w:b/>
                <w:bCs/>
                <w:sz w:val="19"/>
                <w:szCs w:val="19"/>
                <w:lang w:val="en-IE"/>
              </w:rPr>
              <w:t xml:space="preserve">Supervision visits  </w:t>
            </w:r>
          </w:p>
        </w:tc>
        <w:tc>
          <w:tcPr>
            <w:tcW w:w="2254" w:type="dxa"/>
          </w:tcPr>
          <w:p w14:paraId="7ED279C8" w14:textId="16915574" w:rsidR="00990DDD" w:rsidRPr="71573F76" w:rsidRDefault="006F190B" w:rsidP="71573F76">
            <w:pPr>
              <w:jc w:val="center"/>
              <w:rPr>
                <w:rFonts w:ascii="Calibri" w:eastAsia="Calibri" w:hAnsi="Calibri" w:cs="Calibri"/>
                <w:sz w:val="19"/>
                <w:szCs w:val="19"/>
                <w:lang w:val="en-IE"/>
              </w:rPr>
            </w:pPr>
            <w:r w:rsidRPr="006F190B">
              <w:rPr>
                <w:rFonts w:ascii="Calibri" w:eastAsia="Calibri" w:hAnsi="Calibri" w:cs="Calibri"/>
                <w:sz w:val="19"/>
                <w:szCs w:val="19"/>
                <w:lang w:val="en-IE"/>
              </w:rPr>
              <w:t>FAO</w:t>
            </w:r>
            <w:r>
              <w:rPr>
                <w:rFonts w:ascii="Calibri" w:eastAsia="Calibri" w:hAnsi="Calibri" w:cs="Calibri"/>
                <w:sz w:val="19"/>
                <w:szCs w:val="19"/>
                <w:lang w:val="en-IE"/>
              </w:rPr>
              <w:t xml:space="preserve"> </w:t>
            </w:r>
          </w:p>
        </w:tc>
        <w:tc>
          <w:tcPr>
            <w:tcW w:w="2254" w:type="dxa"/>
          </w:tcPr>
          <w:p w14:paraId="6B96ED8E" w14:textId="5D056DB2" w:rsidR="00990DDD" w:rsidRPr="71573F76" w:rsidRDefault="00E05D1C" w:rsidP="71573F76">
            <w:pPr>
              <w:jc w:val="center"/>
              <w:rPr>
                <w:rFonts w:ascii="Calibri" w:eastAsia="Calibri" w:hAnsi="Calibri" w:cs="Calibri"/>
                <w:sz w:val="19"/>
                <w:szCs w:val="19"/>
                <w:lang w:val="en-IE"/>
              </w:rPr>
            </w:pPr>
            <w:r w:rsidRPr="00E05D1C">
              <w:rPr>
                <w:rFonts w:ascii="Calibri" w:eastAsia="Calibri" w:hAnsi="Calibri" w:cs="Calibri"/>
                <w:sz w:val="19"/>
                <w:szCs w:val="19"/>
                <w:lang w:val="en-IE"/>
              </w:rPr>
              <w:t>Annually</w:t>
            </w:r>
          </w:p>
        </w:tc>
        <w:tc>
          <w:tcPr>
            <w:tcW w:w="2254" w:type="dxa"/>
          </w:tcPr>
          <w:p w14:paraId="189B3772" w14:textId="75A58017" w:rsidR="00990DDD" w:rsidRPr="00CF456F" w:rsidRDefault="601B62E4" w:rsidP="2B7CD992">
            <w:pPr>
              <w:jc w:val="center"/>
              <w:rPr>
                <w:rFonts w:ascii="Calibri" w:eastAsia="Calibri" w:hAnsi="Calibri" w:cs="Calibri"/>
                <w:sz w:val="19"/>
                <w:szCs w:val="19"/>
                <w:lang w:val="en-IE"/>
              </w:rPr>
            </w:pPr>
            <w:r w:rsidRPr="00CF456F">
              <w:rPr>
                <w:rFonts w:ascii="Calibri" w:eastAsia="Calibri" w:hAnsi="Calibri" w:cs="Calibri"/>
                <w:sz w:val="19"/>
                <w:szCs w:val="19"/>
                <w:lang w:val="en-IE"/>
              </w:rPr>
              <w:t xml:space="preserve">Project staff time  </w:t>
            </w:r>
          </w:p>
          <w:p w14:paraId="18246330" w14:textId="518F3F4F" w:rsidR="00990DDD" w:rsidRPr="00CF456F" w:rsidRDefault="00990DDD" w:rsidP="71573F76">
            <w:pPr>
              <w:jc w:val="center"/>
              <w:rPr>
                <w:rFonts w:ascii="Calibri" w:eastAsia="Calibri" w:hAnsi="Calibri" w:cs="Calibri"/>
                <w:sz w:val="19"/>
                <w:szCs w:val="19"/>
                <w:lang w:val="en-IE"/>
              </w:rPr>
            </w:pPr>
          </w:p>
        </w:tc>
      </w:tr>
      <w:tr w:rsidR="00364B3D" w14:paraId="44151F9F" w14:textId="77777777" w:rsidTr="7F4D7136">
        <w:tc>
          <w:tcPr>
            <w:tcW w:w="2254" w:type="dxa"/>
          </w:tcPr>
          <w:p w14:paraId="74A516F1" w14:textId="5DD575F0" w:rsidR="00364B3D" w:rsidRPr="71573F76" w:rsidRDefault="005773CA" w:rsidP="71573F76">
            <w:pPr>
              <w:jc w:val="center"/>
              <w:rPr>
                <w:rFonts w:ascii="Calibri" w:eastAsia="Calibri" w:hAnsi="Calibri" w:cs="Calibri"/>
                <w:b/>
                <w:bCs/>
                <w:sz w:val="19"/>
                <w:szCs w:val="19"/>
                <w:lang w:val="en-IE"/>
              </w:rPr>
            </w:pPr>
            <w:r w:rsidRPr="005773CA">
              <w:rPr>
                <w:rFonts w:ascii="Calibri" w:eastAsia="Calibri" w:hAnsi="Calibri" w:cs="Calibri"/>
                <w:b/>
                <w:bCs/>
                <w:sz w:val="19"/>
                <w:szCs w:val="19"/>
                <w:lang w:val="en-IE"/>
              </w:rPr>
              <w:t>Project Progress Reports (PPR)</w:t>
            </w:r>
          </w:p>
        </w:tc>
        <w:tc>
          <w:tcPr>
            <w:tcW w:w="2254" w:type="dxa"/>
          </w:tcPr>
          <w:p w14:paraId="327A27EC" w14:textId="77777777" w:rsidR="00FA4F55" w:rsidRPr="00FA4F55" w:rsidRDefault="00FA4F55" w:rsidP="00FA4F55">
            <w:pPr>
              <w:textAlignment w:val="baseline"/>
              <w:rPr>
                <w:rFonts w:ascii="Calibri" w:eastAsia="Calibri" w:hAnsi="Calibri" w:cs="Calibri"/>
                <w:sz w:val="19"/>
                <w:szCs w:val="19"/>
              </w:rPr>
            </w:pPr>
            <w:r w:rsidRPr="5F3EA9C0">
              <w:rPr>
                <w:rFonts w:ascii="Calibri" w:eastAsia="Calibri" w:hAnsi="Calibri" w:cs="Calibri"/>
                <w:sz w:val="19"/>
                <w:szCs w:val="19"/>
              </w:rPr>
              <w:t>PMU based on the systematic monitoring of output and outcome indicators identified in the project’s Results Framework. </w:t>
            </w:r>
          </w:p>
          <w:p w14:paraId="7C6E1070" w14:textId="21070935" w:rsidR="00364B3D" w:rsidRPr="00FA4F55" w:rsidRDefault="00FA4F55" w:rsidP="00FA4F55">
            <w:pPr>
              <w:textAlignment w:val="baseline"/>
              <w:rPr>
                <w:rFonts w:ascii="Segoe UI" w:hAnsi="Segoe UI" w:cs="Segoe UI"/>
                <w:sz w:val="18"/>
                <w:szCs w:val="18"/>
              </w:rPr>
            </w:pPr>
            <w:r w:rsidRPr="5F3EA9C0">
              <w:rPr>
                <w:rFonts w:ascii="Calibri" w:eastAsia="Calibri" w:hAnsi="Calibri" w:cs="Calibri"/>
                <w:sz w:val="19"/>
                <w:szCs w:val="19"/>
              </w:rPr>
              <w:t>The PPR will be submitted to the BH and LTO for comments and clearance. BH to upload the PPR on the FPMIS.</w:t>
            </w:r>
            <w:r w:rsidRPr="00FA4F55">
              <w:rPr>
                <w:sz w:val="20"/>
                <w:szCs w:val="20"/>
              </w:rPr>
              <w:t> </w:t>
            </w:r>
          </w:p>
        </w:tc>
        <w:tc>
          <w:tcPr>
            <w:tcW w:w="2254" w:type="dxa"/>
          </w:tcPr>
          <w:p w14:paraId="25798051" w14:textId="791CC73D" w:rsidR="00364B3D" w:rsidRPr="71573F76" w:rsidRDefault="00C420FC" w:rsidP="71573F76">
            <w:pPr>
              <w:jc w:val="center"/>
              <w:rPr>
                <w:rFonts w:ascii="Calibri" w:eastAsia="Calibri" w:hAnsi="Calibri" w:cs="Calibri"/>
                <w:sz w:val="19"/>
                <w:szCs w:val="19"/>
                <w:lang w:val="en-IE"/>
              </w:rPr>
            </w:pPr>
            <w:r w:rsidRPr="00C420FC">
              <w:rPr>
                <w:rFonts w:ascii="Calibri" w:eastAsia="Calibri" w:hAnsi="Calibri" w:cs="Calibri"/>
                <w:sz w:val="19"/>
                <w:szCs w:val="19"/>
                <w:lang w:val="en-IE"/>
              </w:rPr>
              <w:t>No later than one month after the end of each six-monthly reporting period (30 June and 31 December)</w:t>
            </w:r>
          </w:p>
        </w:tc>
        <w:tc>
          <w:tcPr>
            <w:tcW w:w="2254" w:type="dxa"/>
          </w:tcPr>
          <w:p w14:paraId="413C5EFE" w14:textId="43445B73" w:rsidR="00364B3D" w:rsidRPr="00CF456F" w:rsidRDefault="005B0567" w:rsidP="71573F76">
            <w:pPr>
              <w:jc w:val="center"/>
              <w:rPr>
                <w:rFonts w:ascii="Calibri" w:eastAsia="Calibri" w:hAnsi="Calibri" w:cs="Calibri"/>
                <w:sz w:val="19"/>
                <w:szCs w:val="19"/>
                <w:lang w:val="en-IE"/>
              </w:rPr>
            </w:pPr>
            <w:r w:rsidRPr="00CF456F">
              <w:rPr>
                <w:rFonts w:ascii="Calibri" w:eastAsia="Calibri" w:hAnsi="Calibri" w:cs="Calibri"/>
                <w:sz w:val="19"/>
                <w:szCs w:val="19"/>
                <w:lang w:val="en-IE"/>
              </w:rPr>
              <w:t xml:space="preserve">Project staff time  </w:t>
            </w:r>
          </w:p>
        </w:tc>
      </w:tr>
      <w:tr w:rsidR="00364B3D" w14:paraId="406E94BB" w14:textId="77777777" w:rsidTr="7F4D7136">
        <w:tc>
          <w:tcPr>
            <w:tcW w:w="2254" w:type="dxa"/>
          </w:tcPr>
          <w:p w14:paraId="29721E42" w14:textId="1A901EA1" w:rsidR="00364B3D" w:rsidRPr="71573F76" w:rsidRDefault="00326A6B" w:rsidP="71573F76">
            <w:pPr>
              <w:jc w:val="center"/>
              <w:rPr>
                <w:rFonts w:ascii="Calibri" w:eastAsia="Calibri" w:hAnsi="Calibri" w:cs="Calibri"/>
                <w:b/>
                <w:bCs/>
                <w:sz w:val="19"/>
                <w:szCs w:val="19"/>
                <w:lang w:val="en-IE"/>
              </w:rPr>
            </w:pPr>
            <w:r w:rsidRPr="00326A6B">
              <w:rPr>
                <w:rFonts w:ascii="Calibri" w:eastAsia="Calibri" w:hAnsi="Calibri" w:cs="Calibri"/>
                <w:b/>
                <w:bCs/>
                <w:sz w:val="19"/>
                <w:szCs w:val="19"/>
                <w:lang w:val="en-IE"/>
              </w:rPr>
              <w:t>Project Implementation Review report (PIR)</w:t>
            </w:r>
          </w:p>
        </w:tc>
        <w:tc>
          <w:tcPr>
            <w:tcW w:w="2254" w:type="dxa"/>
          </w:tcPr>
          <w:p w14:paraId="19FFA312" w14:textId="3EE42B95" w:rsidR="00364B3D" w:rsidRPr="71573F76" w:rsidRDefault="00507D8B" w:rsidP="71573F76">
            <w:pPr>
              <w:jc w:val="center"/>
              <w:rPr>
                <w:rFonts w:ascii="Calibri" w:eastAsia="Calibri" w:hAnsi="Calibri" w:cs="Calibri"/>
                <w:sz w:val="19"/>
                <w:szCs w:val="19"/>
                <w:lang w:val="en-IE"/>
              </w:rPr>
            </w:pPr>
            <w:r w:rsidRPr="00507D8B">
              <w:rPr>
                <w:rFonts w:ascii="Calibri" w:eastAsia="Calibri" w:hAnsi="Calibri" w:cs="Calibri"/>
                <w:sz w:val="19"/>
                <w:szCs w:val="19"/>
                <w:lang w:val="en-IE"/>
              </w:rPr>
              <w:t xml:space="preserve">LTO (in collaboration with the PMU) will prepare an </w:t>
            </w:r>
            <w:r w:rsidRPr="00507D8B">
              <w:rPr>
                <w:rFonts w:ascii="Calibri" w:eastAsia="Calibri" w:hAnsi="Calibri" w:cs="Calibri"/>
                <w:sz w:val="19"/>
                <w:szCs w:val="19"/>
                <w:lang w:val="en-IE"/>
              </w:rPr>
              <w:lastRenderedPageBreak/>
              <w:t>annual PIR covering the period July (the previous year) through June (current year) to be submitted to the BH and the TCI GEF Funding Liaison Officer.</w:t>
            </w:r>
          </w:p>
        </w:tc>
        <w:tc>
          <w:tcPr>
            <w:tcW w:w="2254" w:type="dxa"/>
          </w:tcPr>
          <w:p w14:paraId="7F1F9BE3" w14:textId="76F22FFC" w:rsidR="00364B3D" w:rsidRPr="71573F76" w:rsidRDefault="008B25E5" w:rsidP="71573F76">
            <w:pPr>
              <w:jc w:val="center"/>
              <w:rPr>
                <w:rFonts w:ascii="Calibri" w:eastAsia="Calibri" w:hAnsi="Calibri" w:cs="Calibri"/>
                <w:sz w:val="19"/>
                <w:szCs w:val="19"/>
                <w:lang w:val="en-IE"/>
              </w:rPr>
            </w:pPr>
            <w:r w:rsidRPr="5F3EA9C0">
              <w:rPr>
                <w:rFonts w:ascii="Calibri" w:eastAsia="Calibri" w:hAnsi="Calibri" w:cs="Calibri"/>
                <w:sz w:val="19"/>
                <w:szCs w:val="19"/>
              </w:rPr>
              <w:lastRenderedPageBreak/>
              <w:t>August 1, of each   reporting year</w:t>
            </w:r>
            <w:r>
              <w:rPr>
                <w:rStyle w:val="eop"/>
                <w:color w:val="000000"/>
                <w:sz w:val="20"/>
                <w:szCs w:val="20"/>
                <w:shd w:val="clear" w:color="auto" w:fill="FFFFFF"/>
              </w:rPr>
              <w:t> </w:t>
            </w:r>
          </w:p>
        </w:tc>
        <w:tc>
          <w:tcPr>
            <w:tcW w:w="2254" w:type="dxa"/>
          </w:tcPr>
          <w:p w14:paraId="7AAC5610" w14:textId="59923ECA" w:rsidR="00364B3D" w:rsidRPr="00CF456F" w:rsidRDefault="00F0389B" w:rsidP="71573F76">
            <w:pPr>
              <w:jc w:val="center"/>
              <w:rPr>
                <w:rFonts w:ascii="Calibri" w:eastAsia="Calibri" w:hAnsi="Calibri" w:cs="Calibri"/>
                <w:sz w:val="19"/>
                <w:szCs w:val="19"/>
                <w:lang w:val="en-IE"/>
              </w:rPr>
            </w:pPr>
            <w:r w:rsidRPr="00CF456F">
              <w:rPr>
                <w:rFonts w:ascii="Calibri" w:eastAsia="Calibri" w:hAnsi="Calibri" w:cs="Calibri"/>
                <w:sz w:val="19"/>
                <w:szCs w:val="19"/>
                <w:lang w:val="en-IE"/>
              </w:rPr>
              <w:t>Project staff time  </w:t>
            </w:r>
          </w:p>
        </w:tc>
      </w:tr>
      <w:tr w:rsidR="00974D32" w14:paraId="5073C707" w14:textId="77777777" w:rsidTr="7F4D7136">
        <w:tc>
          <w:tcPr>
            <w:tcW w:w="2254" w:type="dxa"/>
          </w:tcPr>
          <w:p w14:paraId="1A64C5C1" w14:textId="0AC3A781" w:rsidR="00974D32" w:rsidRPr="71573F76" w:rsidRDefault="00191D32" w:rsidP="71573F76">
            <w:pPr>
              <w:jc w:val="center"/>
              <w:rPr>
                <w:rFonts w:ascii="Calibri" w:eastAsia="Calibri" w:hAnsi="Calibri" w:cs="Calibri"/>
                <w:b/>
                <w:bCs/>
                <w:sz w:val="19"/>
                <w:szCs w:val="19"/>
                <w:lang w:val="en-IE"/>
              </w:rPr>
            </w:pPr>
            <w:r w:rsidRPr="00191D32">
              <w:rPr>
                <w:rFonts w:ascii="Calibri" w:eastAsia="Calibri" w:hAnsi="Calibri" w:cs="Calibri"/>
                <w:b/>
                <w:bCs/>
                <w:sz w:val="19"/>
                <w:szCs w:val="19"/>
                <w:lang w:val="en-IE"/>
              </w:rPr>
              <w:t>Co-financing Reports</w:t>
            </w:r>
          </w:p>
        </w:tc>
        <w:tc>
          <w:tcPr>
            <w:tcW w:w="2254" w:type="dxa"/>
          </w:tcPr>
          <w:p w14:paraId="2703486B" w14:textId="6EE65C5C" w:rsidR="00974D32" w:rsidRPr="71573F76" w:rsidRDefault="00AB28C5" w:rsidP="71573F76">
            <w:pPr>
              <w:jc w:val="center"/>
              <w:rPr>
                <w:rFonts w:ascii="Calibri" w:eastAsia="Calibri" w:hAnsi="Calibri" w:cs="Calibri"/>
                <w:sz w:val="19"/>
                <w:szCs w:val="19"/>
                <w:lang w:val="en-IE"/>
              </w:rPr>
            </w:pPr>
            <w:r w:rsidRPr="00AB28C5">
              <w:rPr>
                <w:rFonts w:ascii="Calibri" w:eastAsia="Calibri" w:hAnsi="Calibri" w:cs="Calibri"/>
                <w:sz w:val="19"/>
                <w:szCs w:val="19"/>
                <w:lang w:val="en-IE"/>
              </w:rPr>
              <w:t>PMU</w:t>
            </w:r>
          </w:p>
        </w:tc>
        <w:tc>
          <w:tcPr>
            <w:tcW w:w="2254" w:type="dxa"/>
          </w:tcPr>
          <w:p w14:paraId="43FDF967" w14:textId="64BD882A" w:rsidR="00974D32" w:rsidRPr="71573F76" w:rsidRDefault="00230B4A" w:rsidP="71573F76">
            <w:pPr>
              <w:jc w:val="center"/>
              <w:rPr>
                <w:rFonts w:ascii="Calibri" w:eastAsia="Calibri" w:hAnsi="Calibri" w:cs="Calibri"/>
                <w:sz w:val="19"/>
                <w:szCs w:val="19"/>
                <w:lang w:val="en-IE"/>
              </w:rPr>
            </w:pPr>
            <w:r w:rsidRPr="00230B4A">
              <w:rPr>
                <w:rFonts w:ascii="Calibri" w:eastAsia="Calibri" w:hAnsi="Calibri" w:cs="Calibri"/>
                <w:sz w:val="19"/>
                <w:szCs w:val="19"/>
                <w:lang w:val="en-IE"/>
              </w:rPr>
              <w:t>On a semi-annual basis, and will be considered as part of the semi-annual PPRs</w:t>
            </w:r>
          </w:p>
        </w:tc>
        <w:tc>
          <w:tcPr>
            <w:tcW w:w="2254" w:type="dxa"/>
          </w:tcPr>
          <w:p w14:paraId="0155B7AB" w14:textId="6F404CD2" w:rsidR="00974D32" w:rsidRPr="71573F76" w:rsidRDefault="00BF4F4A" w:rsidP="71573F76">
            <w:pPr>
              <w:jc w:val="center"/>
              <w:rPr>
                <w:rFonts w:ascii="Calibri" w:eastAsia="Calibri" w:hAnsi="Calibri" w:cs="Calibri"/>
                <w:sz w:val="19"/>
                <w:szCs w:val="19"/>
                <w:lang w:val="en-IE"/>
              </w:rPr>
            </w:pPr>
            <w:r w:rsidRPr="00CF456F">
              <w:rPr>
                <w:rFonts w:ascii="Calibri" w:eastAsia="Calibri" w:hAnsi="Calibri" w:cs="Calibri"/>
                <w:sz w:val="19"/>
                <w:szCs w:val="19"/>
                <w:lang w:val="en-IE"/>
              </w:rPr>
              <w:t>Project staff time</w:t>
            </w:r>
            <w:r w:rsidRPr="00BF4F4A">
              <w:rPr>
                <w:rFonts w:ascii="Calibri" w:eastAsia="Calibri" w:hAnsi="Calibri" w:cs="Calibri"/>
                <w:sz w:val="19"/>
                <w:szCs w:val="19"/>
                <w:lang w:val="en-IE"/>
              </w:rPr>
              <w:t xml:space="preserve">  </w:t>
            </w:r>
          </w:p>
        </w:tc>
      </w:tr>
      <w:tr w:rsidR="00BF4F4A" w14:paraId="2C63FC7A" w14:textId="77777777" w:rsidTr="7F4D7136">
        <w:tc>
          <w:tcPr>
            <w:tcW w:w="2254" w:type="dxa"/>
          </w:tcPr>
          <w:p w14:paraId="05F6332B" w14:textId="396E2979" w:rsidR="00BF4F4A" w:rsidRPr="00191D32" w:rsidRDefault="00E01585" w:rsidP="71573F76">
            <w:pPr>
              <w:jc w:val="center"/>
              <w:rPr>
                <w:rFonts w:ascii="Calibri" w:eastAsia="Calibri" w:hAnsi="Calibri" w:cs="Calibri"/>
                <w:b/>
                <w:bCs/>
                <w:sz w:val="19"/>
                <w:szCs w:val="19"/>
                <w:lang w:val="en-IE"/>
              </w:rPr>
            </w:pPr>
            <w:r w:rsidRPr="00E01585">
              <w:rPr>
                <w:rFonts w:ascii="Calibri" w:eastAsia="Calibri" w:hAnsi="Calibri" w:cs="Calibri"/>
                <w:b/>
                <w:bCs/>
                <w:sz w:val="19"/>
                <w:szCs w:val="19"/>
                <w:lang w:val="en-IE"/>
              </w:rPr>
              <w:t>Technical reports</w:t>
            </w:r>
          </w:p>
        </w:tc>
        <w:tc>
          <w:tcPr>
            <w:tcW w:w="2254" w:type="dxa"/>
          </w:tcPr>
          <w:p w14:paraId="5115B696" w14:textId="3CCD1F68" w:rsidR="00BF4F4A" w:rsidRPr="00AB28C5" w:rsidRDefault="009B5E40" w:rsidP="71573F76">
            <w:pPr>
              <w:jc w:val="center"/>
              <w:rPr>
                <w:rFonts w:ascii="Calibri" w:eastAsia="Calibri" w:hAnsi="Calibri" w:cs="Calibri"/>
                <w:sz w:val="19"/>
                <w:szCs w:val="19"/>
                <w:lang w:val="en-IE"/>
              </w:rPr>
            </w:pPr>
            <w:r w:rsidRPr="009B5E40">
              <w:rPr>
                <w:rFonts w:ascii="Calibri" w:eastAsia="Calibri" w:hAnsi="Calibri" w:cs="Calibri"/>
                <w:sz w:val="19"/>
                <w:szCs w:val="19"/>
                <w:lang w:val="en-IE"/>
              </w:rPr>
              <w:t xml:space="preserve">Project staff and consultants, with peer review as appropriate.  </w:t>
            </w:r>
          </w:p>
        </w:tc>
        <w:tc>
          <w:tcPr>
            <w:tcW w:w="2254" w:type="dxa"/>
          </w:tcPr>
          <w:p w14:paraId="490A7AA6" w14:textId="257EC77E" w:rsidR="00BF4F4A" w:rsidRPr="00230B4A" w:rsidRDefault="007A536C" w:rsidP="71573F76">
            <w:pPr>
              <w:jc w:val="center"/>
              <w:rPr>
                <w:rFonts w:ascii="Calibri" w:eastAsia="Calibri" w:hAnsi="Calibri" w:cs="Calibri"/>
                <w:sz w:val="19"/>
                <w:szCs w:val="19"/>
                <w:lang w:val="en-IE"/>
              </w:rPr>
            </w:pPr>
            <w:r w:rsidRPr="007A536C">
              <w:rPr>
                <w:rFonts w:ascii="Calibri" w:eastAsia="Calibri" w:hAnsi="Calibri" w:cs="Calibri"/>
                <w:sz w:val="19"/>
                <w:szCs w:val="19"/>
                <w:lang w:val="en-IE"/>
              </w:rPr>
              <w:t>As appropriate</w:t>
            </w:r>
          </w:p>
        </w:tc>
        <w:tc>
          <w:tcPr>
            <w:tcW w:w="2254" w:type="dxa"/>
          </w:tcPr>
          <w:p w14:paraId="32100A32" w14:textId="7AC99629" w:rsidR="00BF4F4A" w:rsidRPr="00BF4F4A" w:rsidRDefault="00424BB6" w:rsidP="71573F76">
            <w:pPr>
              <w:jc w:val="center"/>
              <w:rPr>
                <w:rFonts w:ascii="Calibri" w:eastAsia="Calibri" w:hAnsi="Calibri" w:cs="Calibri"/>
                <w:sz w:val="19"/>
                <w:szCs w:val="19"/>
                <w:lang w:val="en-IE"/>
              </w:rPr>
            </w:pPr>
            <w:r w:rsidRPr="00424BB6">
              <w:rPr>
                <w:rFonts w:ascii="Calibri" w:eastAsia="Calibri" w:hAnsi="Calibri" w:cs="Calibri"/>
                <w:sz w:val="19"/>
                <w:szCs w:val="19"/>
                <w:lang w:val="en-IE"/>
              </w:rPr>
              <w:t>Project staff time + consultant costs</w:t>
            </w:r>
          </w:p>
        </w:tc>
      </w:tr>
      <w:tr w:rsidR="71573F76" w14:paraId="1EEE7122" w14:textId="77777777" w:rsidTr="7F4D7136">
        <w:tc>
          <w:tcPr>
            <w:tcW w:w="2254" w:type="dxa"/>
          </w:tcPr>
          <w:p w14:paraId="63FAE608" w14:textId="3AAC7ABC" w:rsidR="71573F76" w:rsidRDefault="71573F76" w:rsidP="71573F76">
            <w:pPr>
              <w:jc w:val="center"/>
            </w:pPr>
            <w:r w:rsidRPr="71573F76">
              <w:rPr>
                <w:rFonts w:ascii="Calibri" w:eastAsia="Calibri" w:hAnsi="Calibri" w:cs="Calibri"/>
                <w:b/>
                <w:bCs/>
                <w:sz w:val="19"/>
                <w:szCs w:val="19"/>
                <w:lang w:val="en-IE"/>
              </w:rPr>
              <w:t>Mid-term Review (MTR)</w:t>
            </w:r>
          </w:p>
        </w:tc>
        <w:tc>
          <w:tcPr>
            <w:tcW w:w="2254" w:type="dxa"/>
          </w:tcPr>
          <w:p w14:paraId="4FD180B8" w14:textId="3E939CB2" w:rsidR="71573F76" w:rsidRDefault="71573F76" w:rsidP="71573F76">
            <w:pPr>
              <w:jc w:val="center"/>
            </w:pPr>
            <w:r w:rsidRPr="71573F76">
              <w:rPr>
                <w:rFonts w:ascii="Calibri" w:eastAsia="Calibri" w:hAnsi="Calibri" w:cs="Calibri"/>
                <w:sz w:val="19"/>
                <w:szCs w:val="19"/>
                <w:lang w:val="en-IE"/>
              </w:rPr>
              <w:t>MTR: FAO Angola, External consultant, in consultation with project team, including FAO-GEF Coordination Unit and others</w:t>
            </w:r>
          </w:p>
        </w:tc>
        <w:tc>
          <w:tcPr>
            <w:tcW w:w="2254" w:type="dxa"/>
          </w:tcPr>
          <w:p w14:paraId="275D79EF" w14:textId="6F02459A" w:rsidR="71573F76" w:rsidRDefault="71573F76" w:rsidP="71573F76">
            <w:pPr>
              <w:jc w:val="center"/>
            </w:pPr>
            <w:r w:rsidRPr="71573F76">
              <w:rPr>
                <w:rFonts w:ascii="Calibri" w:eastAsia="Calibri" w:hAnsi="Calibri" w:cs="Calibri"/>
                <w:sz w:val="19"/>
                <w:szCs w:val="19"/>
                <w:lang w:val="en-IE"/>
              </w:rPr>
              <w:t>At mid-point of project implementation</w:t>
            </w:r>
          </w:p>
        </w:tc>
        <w:tc>
          <w:tcPr>
            <w:tcW w:w="2254" w:type="dxa"/>
          </w:tcPr>
          <w:p w14:paraId="1363D64E" w14:textId="507328F7" w:rsidR="71573F76" w:rsidRDefault="71573F76" w:rsidP="71573F76">
            <w:pPr>
              <w:jc w:val="center"/>
            </w:pPr>
            <w:r w:rsidRPr="71573F76">
              <w:rPr>
                <w:rFonts w:ascii="Calibri" w:eastAsia="Calibri" w:hAnsi="Calibri" w:cs="Calibri"/>
                <w:sz w:val="19"/>
                <w:szCs w:val="19"/>
                <w:lang w:val="en-IE"/>
              </w:rPr>
              <w:t>USD 40,000</w:t>
            </w:r>
          </w:p>
        </w:tc>
      </w:tr>
      <w:tr w:rsidR="71573F76" w14:paraId="61F73B92" w14:textId="77777777" w:rsidTr="7F4D7136">
        <w:tc>
          <w:tcPr>
            <w:tcW w:w="2254" w:type="dxa"/>
          </w:tcPr>
          <w:p w14:paraId="5538FA3F" w14:textId="5A5DE8E1" w:rsidR="71573F76" w:rsidRDefault="71573F76" w:rsidP="71573F76">
            <w:pPr>
              <w:jc w:val="center"/>
            </w:pPr>
            <w:r w:rsidRPr="71573F76">
              <w:rPr>
                <w:rFonts w:ascii="Calibri" w:eastAsia="Calibri" w:hAnsi="Calibri" w:cs="Calibri"/>
                <w:b/>
                <w:bCs/>
                <w:sz w:val="19"/>
                <w:szCs w:val="19"/>
                <w:lang w:val="en-IE"/>
              </w:rPr>
              <w:t xml:space="preserve">Final evaluation </w:t>
            </w:r>
            <w:r w:rsidRPr="71573F76">
              <w:rPr>
                <w:rFonts w:ascii="Calibri" w:eastAsia="Calibri" w:hAnsi="Calibri" w:cs="Calibri"/>
                <w:sz w:val="19"/>
                <w:szCs w:val="19"/>
                <w:lang w:val="en-IE"/>
              </w:rPr>
              <w:t>(including accessible report on “best-practices” and “lessons-learned”)</w:t>
            </w:r>
          </w:p>
        </w:tc>
        <w:tc>
          <w:tcPr>
            <w:tcW w:w="2254" w:type="dxa"/>
          </w:tcPr>
          <w:p w14:paraId="26CF18B6" w14:textId="02C7F88C" w:rsidR="71573F76" w:rsidRDefault="71573F76" w:rsidP="71573F76">
            <w:pPr>
              <w:jc w:val="center"/>
            </w:pPr>
            <w:r w:rsidRPr="71573F76">
              <w:rPr>
                <w:rFonts w:ascii="Calibri" w:eastAsia="Calibri" w:hAnsi="Calibri" w:cs="Calibri"/>
                <w:sz w:val="19"/>
                <w:szCs w:val="19"/>
                <w:lang w:val="en-IE"/>
              </w:rPr>
              <w:t>Responsibility of FAO Office of Evaluation in consultation with project team including GCU and other partners</w:t>
            </w:r>
          </w:p>
        </w:tc>
        <w:tc>
          <w:tcPr>
            <w:tcW w:w="2254" w:type="dxa"/>
          </w:tcPr>
          <w:p w14:paraId="13ED5B3F" w14:textId="1AE84113" w:rsidR="71573F76" w:rsidRDefault="71573F76" w:rsidP="71573F76">
            <w:pPr>
              <w:jc w:val="center"/>
            </w:pPr>
            <w:r w:rsidRPr="71573F76">
              <w:rPr>
                <w:rFonts w:ascii="Calibri" w:eastAsia="Calibri" w:hAnsi="Calibri" w:cs="Calibri"/>
                <w:sz w:val="19"/>
                <w:szCs w:val="19"/>
                <w:lang w:val="en-IE"/>
              </w:rPr>
              <w:t>At the end of project implementation</w:t>
            </w:r>
          </w:p>
        </w:tc>
        <w:tc>
          <w:tcPr>
            <w:tcW w:w="2254" w:type="dxa"/>
          </w:tcPr>
          <w:p w14:paraId="0E1B44C8" w14:textId="7DD46E03" w:rsidR="71573F76" w:rsidRDefault="71573F76" w:rsidP="71573F76">
            <w:pPr>
              <w:jc w:val="center"/>
            </w:pPr>
            <w:r w:rsidRPr="71573F76">
              <w:rPr>
                <w:rFonts w:ascii="Calibri" w:eastAsia="Calibri" w:hAnsi="Calibri" w:cs="Calibri"/>
                <w:sz w:val="19"/>
                <w:szCs w:val="19"/>
                <w:lang w:val="en-IE"/>
              </w:rPr>
              <w:t>USD 40,000</w:t>
            </w:r>
          </w:p>
        </w:tc>
      </w:tr>
      <w:tr w:rsidR="00603346" w14:paraId="1F662AE3" w14:textId="77777777" w:rsidTr="7F4D7136">
        <w:tc>
          <w:tcPr>
            <w:tcW w:w="2254" w:type="dxa"/>
          </w:tcPr>
          <w:p w14:paraId="34ADBDBC" w14:textId="1827AF29" w:rsidR="00603346" w:rsidRPr="71573F76" w:rsidRDefault="00603346" w:rsidP="71573F76">
            <w:pPr>
              <w:jc w:val="center"/>
              <w:rPr>
                <w:rFonts w:ascii="Calibri" w:eastAsia="Calibri" w:hAnsi="Calibri" w:cs="Calibri"/>
                <w:b/>
                <w:bCs/>
                <w:sz w:val="19"/>
                <w:szCs w:val="19"/>
                <w:lang w:val="en-IE"/>
              </w:rPr>
            </w:pPr>
            <w:r>
              <w:rPr>
                <w:rFonts w:ascii="Calibri" w:eastAsia="Calibri" w:hAnsi="Calibri" w:cs="Calibri"/>
                <w:b/>
                <w:bCs/>
                <w:sz w:val="19"/>
                <w:szCs w:val="19"/>
                <w:lang w:val="en-IE"/>
              </w:rPr>
              <w:t xml:space="preserve">Terminal Report </w:t>
            </w:r>
          </w:p>
        </w:tc>
        <w:tc>
          <w:tcPr>
            <w:tcW w:w="2254" w:type="dxa"/>
          </w:tcPr>
          <w:p w14:paraId="0854B416" w14:textId="40DAB549" w:rsidR="00603346" w:rsidRPr="71573F76" w:rsidRDefault="00833A2E" w:rsidP="71573F76">
            <w:pPr>
              <w:jc w:val="center"/>
              <w:rPr>
                <w:rFonts w:ascii="Calibri" w:eastAsia="Calibri" w:hAnsi="Calibri" w:cs="Calibri"/>
                <w:sz w:val="19"/>
                <w:szCs w:val="19"/>
                <w:lang w:val="en-IE"/>
              </w:rPr>
            </w:pPr>
            <w:r w:rsidRPr="00250380">
              <w:rPr>
                <w:rFonts w:asciiTheme="majorBidi" w:hAnsiTheme="majorBidi" w:cstheme="majorBidi"/>
                <w:sz w:val="20"/>
                <w:szCs w:val="20"/>
              </w:rPr>
              <w:t>PMU with assistance of other project staff and the FAO LTO</w:t>
            </w:r>
          </w:p>
        </w:tc>
        <w:tc>
          <w:tcPr>
            <w:tcW w:w="2254" w:type="dxa"/>
          </w:tcPr>
          <w:p w14:paraId="348D665B" w14:textId="69D49F62" w:rsidR="00603346" w:rsidRPr="71573F76" w:rsidRDefault="00307505" w:rsidP="71573F76">
            <w:pPr>
              <w:jc w:val="center"/>
              <w:rPr>
                <w:rFonts w:ascii="Calibri" w:eastAsia="Calibri" w:hAnsi="Calibri" w:cs="Calibri"/>
                <w:sz w:val="19"/>
                <w:szCs w:val="19"/>
                <w:lang w:val="en-IE"/>
              </w:rPr>
            </w:pPr>
            <w:r w:rsidRPr="00250380">
              <w:rPr>
                <w:rFonts w:asciiTheme="majorBidi" w:hAnsiTheme="majorBidi" w:cstheme="majorBidi"/>
                <w:sz w:val="20"/>
                <w:szCs w:val="20"/>
              </w:rPr>
              <w:t>2 months before project end</w:t>
            </w:r>
          </w:p>
        </w:tc>
        <w:tc>
          <w:tcPr>
            <w:tcW w:w="2254" w:type="dxa"/>
          </w:tcPr>
          <w:p w14:paraId="2F9C6F4A" w14:textId="1CC1FA75" w:rsidR="00603346" w:rsidRPr="71573F76" w:rsidRDefault="00307505" w:rsidP="71573F76">
            <w:pPr>
              <w:jc w:val="center"/>
              <w:rPr>
                <w:rFonts w:ascii="Calibri" w:eastAsia="Calibri" w:hAnsi="Calibri" w:cs="Calibri"/>
                <w:sz w:val="19"/>
                <w:szCs w:val="19"/>
                <w:lang w:val="en-IE"/>
              </w:rPr>
            </w:pPr>
            <w:r w:rsidRPr="71573F76">
              <w:rPr>
                <w:rFonts w:ascii="Calibri" w:eastAsia="Calibri" w:hAnsi="Calibri" w:cs="Calibri"/>
                <w:sz w:val="19"/>
                <w:szCs w:val="19"/>
                <w:lang w:val="en-IE"/>
              </w:rPr>
              <w:t xml:space="preserve">USD </w:t>
            </w:r>
            <w:r>
              <w:rPr>
                <w:rFonts w:ascii="Calibri" w:eastAsia="Calibri" w:hAnsi="Calibri" w:cs="Calibri"/>
                <w:sz w:val="19"/>
                <w:szCs w:val="19"/>
                <w:lang w:val="en-IE"/>
              </w:rPr>
              <w:t>6,5</w:t>
            </w:r>
            <w:r w:rsidR="007B5C0B">
              <w:rPr>
                <w:rFonts w:ascii="Calibri" w:eastAsia="Calibri" w:hAnsi="Calibri" w:cs="Calibri"/>
                <w:sz w:val="19"/>
                <w:szCs w:val="19"/>
                <w:lang w:val="en-IE"/>
              </w:rPr>
              <w:t>5</w:t>
            </w:r>
            <w:r>
              <w:rPr>
                <w:rFonts w:ascii="Calibri" w:eastAsia="Calibri" w:hAnsi="Calibri" w:cs="Calibri"/>
                <w:sz w:val="19"/>
                <w:szCs w:val="19"/>
                <w:lang w:val="en-IE"/>
              </w:rPr>
              <w:t>0</w:t>
            </w:r>
          </w:p>
        </w:tc>
      </w:tr>
      <w:tr w:rsidR="71573F76" w14:paraId="36354A92" w14:textId="77777777" w:rsidTr="7F4D7136">
        <w:tc>
          <w:tcPr>
            <w:tcW w:w="2254" w:type="dxa"/>
          </w:tcPr>
          <w:p w14:paraId="21631F92" w14:textId="1B053EB9" w:rsidR="71573F76" w:rsidRDefault="71573F76" w:rsidP="71573F76">
            <w:pPr>
              <w:jc w:val="center"/>
            </w:pPr>
            <w:r w:rsidRPr="71573F76">
              <w:rPr>
                <w:rFonts w:ascii="Calibri" w:eastAsia="Calibri" w:hAnsi="Calibri" w:cs="Calibri"/>
                <w:b/>
                <w:bCs/>
                <w:sz w:val="19"/>
                <w:szCs w:val="19"/>
                <w:lang w:val="en-IE"/>
              </w:rPr>
              <w:t>M&amp;E meetings (x6)</w:t>
            </w:r>
          </w:p>
        </w:tc>
        <w:tc>
          <w:tcPr>
            <w:tcW w:w="2254" w:type="dxa"/>
          </w:tcPr>
          <w:p w14:paraId="58121557" w14:textId="4537DE2B" w:rsidR="71573F76" w:rsidRDefault="71573F76" w:rsidP="71573F76">
            <w:pPr>
              <w:jc w:val="center"/>
              <w:rPr>
                <w:rFonts w:ascii="Calibri" w:eastAsia="Calibri" w:hAnsi="Calibri" w:cs="Calibri"/>
                <w:sz w:val="19"/>
                <w:szCs w:val="19"/>
                <w:lang w:val="en-IE"/>
              </w:rPr>
            </w:pPr>
            <w:r w:rsidRPr="71573F76">
              <w:rPr>
                <w:rFonts w:ascii="Calibri" w:eastAsia="Calibri" w:hAnsi="Calibri" w:cs="Calibri"/>
                <w:sz w:val="19"/>
                <w:szCs w:val="19"/>
                <w:lang w:val="en-IE"/>
              </w:rPr>
              <w:t>PMU, LTO, TCSR Report Unit</w:t>
            </w:r>
          </w:p>
        </w:tc>
        <w:tc>
          <w:tcPr>
            <w:tcW w:w="2254" w:type="dxa"/>
          </w:tcPr>
          <w:p w14:paraId="7F2266F9" w14:textId="4990998B" w:rsidR="71573F76" w:rsidRDefault="71573F76" w:rsidP="71573F76">
            <w:pPr>
              <w:jc w:val="center"/>
            </w:pPr>
            <w:r w:rsidRPr="71573F76">
              <w:rPr>
                <w:rFonts w:ascii="Calibri" w:eastAsia="Calibri" w:hAnsi="Calibri" w:cs="Calibri"/>
                <w:sz w:val="19"/>
                <w:szCs w:val="19"/>
                <w:lang w:val="en-IE"/>
              </w:rPr>
              <w:t>Annual or as required</w:t>
            </w:r>
          </w:p>
        </w:tc>
        <w:tc>
          <w:tcPr>
            <w:tcW w:w="2254" w:type="dxa"/>
          </w:tcPr>
          <w:p w14:paraId="3ED69E98" w14:textId="4A75A9FB" w:rsidR="71573F76" w:rsidRDefault="71573F76" w:rsidP="71573F76">
            <w:pPr>
              <w:jc w:val="center"/>
            </w:pPr>
            <w:r w:rsidRPr="71573F76">
              <w:rPr>
                <w:rFonts w:ascii="Calibri" w:eastAsia="Calibri" w:hAnsi="Calibri" w:cs="Calibri"/>
                <w:sz w:val="19"/>
                <w:szCs w:val="19"/>
                <w:lang w:val="en-IE"/>
              </w:rPr>
              <w:t>USD 15,000</w:t>
            </w:r>
          </w:p>
        </w:tc>
      </w:tr>
      <w:tr w:rsidR="71573F76" w14:paraId="58340E20" w14:textId="77777777" w:rsidTr="7F4D7136">
        <w:tc>
          <w:tcPr>
            <w:tcW w:w="2254" w:type="dxa"/>
          </w:tcPr>
          <w:p w14:paraId="7C177299" w14:textId="498F146D" w:rsidR="71573F76" w:rsidRDefault="71573F76" w:rsidP="71573F76">
            <w:pPr>
              <w:jc w:val="right"/>
            </w:pPr>
            <w:r w:rsidRPr="71573F76">
              <w:rPr>
                <w:rFonts w:ascii="Calibri" w:eastAsia="Calibri" w:hAnsi="Calibri" w:cs="Calibri"/>
                <w:b/>
                <w:bCs/>
                <w:sz w:val="19"/>
                <w:szCs w:val="19"/>
                <w:lang w:val="en-IE"/>
              </w:rPr>
              <w:t>Total Budget</w:t>
            </w:r>
          </w:p>
        </w:tc>
        <w:tc>
          <w:tcPr>
            <w:tcW w:w="2254" w:type="dxa"/>
          </w:tcPr>
          <w:p w14:paraId="6A536218" w14:textId="55378205" w:rsidR="71573F76" w:rsidRDefault="71573F76"/>
        </w:tc>
        <w:tc>
          <w:tcPr>
            <w:tcW w:w="2254" w:type="dxa"/>
          </w:tcPr>
          <w:p w14:paraId="40AF55DF" w14:textId="553E94DF" w:rsidR="71573F76" w:rsidRDefault="71573F76"/>
        </w:tc>
        <w:tc>
          <w:tcPr>
            <w:tcW w:w="2254" w:type="dxa"/>
          </w:tcPr>
          <w:p w14:paraId="50D588F7" w14:textId="5C04D46E" w:rsidR="71573F76" w:rsidRDefault="545FAC61" w:rsidP="7F4D7136">
            <w:pPr>
              <w:jc w:val="right"/>
              <w:rPr>
                <w:rFonts w:ascii="Calibri" w:eastAsia="Calibri" w:hAnsi="Calibri" w:cs="Calibri"/>
                <w:b/>
                <w:bCs/>
                <w:sz w:val="19"/>
                <w:szCs w:val="19"/>
                <w:lang w:val="en-IE"/>
              </w:rPr>
            </w:pPr>
            <w:r w:rsidRPr="7F4D7136">
              <w:rPr>
                <w:rFonts w:ascii="Calibri" w:eastAsia="Calibri" w:hAnsi="Calibri" w:cs="Calibri"/>
                <w:b/>
                <w:bCs/>
                <w:sz w:val="19"/>
                <w:szCs w:val="19"/>
                <w:lang w:val="en-IE"/>
              </w:rPr>
              <w:t>356</w:t>
            </w:r>
            <w:r w:rsidR="089300DD" w:rsidRPr="7F4D7136">
              <w:rPr>
                <w:rFonts w:ascii="Calibri" w:eastAsia="Calibri" w:hAnsi="Calibri" w:cs="Calibri"/>
                <w:b/>
                <w:bCs/>
                <w:sz w:val="19"/>
                <w:szCs w:val="19"/>
                <w:lang w:val="en-IE"/>
              </w:rPr>
              <w:t>,250</w:t>
            </w:r>
          </w:p>
        </w:tc>
      </w:tr>
    </w:tbl>
    <w:p w14:paraId="6A1CABC4" w14:textId="6636D84B" w:rsidR="009563B4" w:rsidRPr="00CE1EA7" w:rsidRDefault="009563B4" w:rsidP="71573F76">
      <w:pPr>
        <w:rPr>
          <w:lang w:val="en-IE"/>
        </w:rPr>
      </w:pPr>
    </w:p>
    <w:p w14:paraId="63BB5C2E" w14:textId="15A48DD4" w:rsidR="009563B4" w:rsidRPr="00CE1EA7" w:rsidRDefault="009563B4" w:rsidP="71573F76"/>
    <w:p w14:paraId="25CC2DD9" w14:textId="4CDB5ACE" w:rsidR="009563B4" w:rsidRPr="00A92FCD" w:rsidRDefault="009563B4" w:rsidP="001667C6">
      <w:pPr>
        <w:pStyle w:val="Heading2"/>
        <w:numPr>
          <w:ilvl w:val="0"/>
          <w:numId w:val="65"/>
        </w:numPr>
        <w:shd w:val="clear" w:color="auto" w:fill="000000" w:themeFill="text1"/>
        <w:spacing w:before="0"/>
        <w:ind w:left="357" w:hanging="357"/>
        <w:jc w:val="center"/>
        <w:rPr>
          <w:rFonts w:ascii="Calibri" w:hAnsi="Calibri" w:cs="Calibri"/>
          <w:bCs w:val="0"/>
          <w:color w:val="FFFFFF" w:themeColor="background1"/>
          <w:sz w:val="22"/>
          <w:szCs w:val="22"/>
          <w:lang w:val="en-US"/>
        </w:rPr>
      </w:pPr>
      <w:bookmarkStart w:id="345" w:name="_Toc42027152"/>
      <w:bookmarkStart w:id="346" w:name="_Toc42262660"/>
      <w:bookmarkStart w:id="347" w:name="_Toc58398601"/>
      <w:r w:rsidRPr="00A92FCD">
        <w:rPr>
          <w:rFonts w:ascii="Calibri" w:hAnsi="Calibri" w:cs="Calibri"/>
          <w:bCs w:val="0"/>
          <w:color w:val="FFFFFF" w:themeColor="background1"/>
          <w:sz w:val="22"/>
          <w:szCs w:val="22"/>
          <w:lang w:val="en-US"/>
        </w:rPr>
        <w:t>Benefits</w:t>
      </w:r>
      <w:bookmarkEnd w:id="339"/>
      <w:bookmarkEnd w:id="340"/>
      <w:bookmarkEnd w:id="341"/>
      <w:bookmarkEnd w:id="345"/>
      <w:bookmarkEnd w:id="346"/>
      <w:bookmarkEnd w:id="347"/>
    </w:p>
    <w:p w14:paraId="2507AF35" w14:textId="77777777" w:rsidR="009563B4" w:rsidRDefault="009563B4" w:rsidP="001667C6">
      <w:pPr>
        <w:pStyle w:val="ParagraphOED"/>
        <w:numPr>
          <w:ilvl w:val="0"/>
          <w:numId w:val="102"/>
        </w:numPr>
        <w:spacing w:after="160"/>
      </w:pPr>
      <w:bookmarkStart w:id="348" w:name="_Toc10554546"/>
      <w:r>
        <w:t>The project will work towards the implementation and mainstreaming of sustainable and integrated approaches to the management of dryland landscapes and decision-making regarding land-use in selected landscapes in Angola. By scaling-up SLM and SFM best practices in priority landscapes in the south of the country, the project will have a transboundary focus and impact (Cunene basin) complementing existing interventions, which will in turn contribute to the achievement of both the project and the Impact Program main objectives.  The strengthened national policy and capacity on LDN and the empowerment of stakeholders on SLM/SFM/LR/IWRM planning and implementation in combination with the establishment/strengthening of inclusive dryland commodity value chains will have a positive impact beyond the target landscapes.</w:t>
      </w:r>
    </w:p>
    <w:p w14:paraId="32D941C5" w14:textId="6315B299" w:rsidR="009563B4" w:rsidRPr="00CE1EA7" w:rsidRDefault="005640AC" w:rsidP="001667C6">
      <w:pPr>
        <w:pStyle w:val="ParagraphOED"/>
        <w:numPr>
          <w:ilvl w:val="0"/>
          <w:numId w:val="102"/>
        </w:numPr>
        <w:spacing w:after="80"/>
      </w:pPr>
      <w:r>
        <w:t xml:space="preserve">Global </w:t>
      </w:r>
      <w:r w:rsidR="009563B4">
        <w:t>benefits from the project</w:t>
      </w:r>
      <w:r>
        <w:t>’s</w:t>
      </w:r>
      <w:r w:rsidR="009563B4">
        <w:t xml:space="preserve"> successful implementation will include: </w:t>
      </w:r>
    </w:p>
    <w:p w14:paraId="5ADD5E52" w14:textId="1FA9DFB9" w:rsidR="005640AC" w:rsidRPr="00831F44" w:rsidRDefault="009563B4" w:rsidP="001667C6">
      <w:pPr>
        <w:pStyle w:val="ListParagraph"/>
        <w:numPr>
          <w:ilvl w:val="0"/>
          <w:numId w:val="77"/>
        </w:numPr>
        <w:spacing w:after="80"/>
        <w:ind w:left="709" w:hanging="425"/>
        <w:contextualSpacing w:val="0"/>
        <w:rPr>
          <w:sz w:val="21"/>
          <w:szCs w:val="21"/>
        </w:rPr>
      </w:pPr>
      <w:r w:rsidRPr="00831F44">
        <w:rPr>
          <w:sz w:val="21"/>
          <w:szCs w:val="21"/>
        </w:rPr>
        <w:t xml:space="preserve">The project will apply the LDN response hierarchy </w:t>
      </w:r>
      <w:r w:rsidR="00DE5F62" w:rsidRPr="00831F44">
        <w:rPr>
          <w:sz w:val="21"/>
          <w:szCs w:val="21"/>
        </w:rPr>
        <w:t>to</w:t>
      </w:r>
      <w:r w:rsidRPr="00831F44">
        <w:rPr>
          <w:sz w:val="21"/>
          <w:szCs w:val="21"/>
        </w:rPr>
        <w:t xml:space="preserve"> </w:t>
      </w:r>
      <w:r w:rsidR="005640AC" w:rsidRPr="00831F44">
        <w:rPr>
          <w:sz w:val="21"/>
          <w:szCs w:val="21"/>
        </w:rPr>
        <w:t>633,278 hectares of production systems located within the two target landscapes that</w:t>
      </w:r>
      <w:r w:rsidRPr="00831F44">
        <w:rPr>
          <w:sz w:val="21"/>
          <w:szCs w:val="21"/>
        </w:rPr>
        <w:t xml:space="preserve"> cover 1.3 million hectares of Miombo-Mopane woodlands. </w:t>
      </w:r>
    </w:p>
    <w:p w14:paraId="14E6CB0D" w14:textId="4CADF6E8" w:rsidR="009563B4" w:rsidRPr="00073DA4" w:rsidRDefault="460C6265" w:rsidP="001667C6">
      <w:pPr>
        <w:pStyle w:val="ListParagraph"/>
        <w:numPr>
          <w:ilvl w:val="0"/>
          <w:numId w:val="77"/>
        </w:numPr>
        <w:spacing w:after="80"/>
        <w:ind w:left="709" w:hanging="425"/>
        <w:contextualSpacing w:val="0"/>
        <w:rPr>
          <w:sz w:val="21"/>
          <w:szCs w:val="21"/>
        </w:rPr>
      </w:pPr>
      <w:r w:rsidRPr="3764D022">
        <w:rPr>
          <w:sz w:val="21"/>
          <w:szCs w:val="21"/>
        </w:rPr>
        <w:t>Carbon benefits: Through the land management strategy mentioned above, the project will both sequester carbon and avoid emissions in the AFOLU sector</w:t>
      </w:r>
      <w:r w:rsidR="6D0ABFCE" w:rsidRPr="3764D022">
        <w:rPr>
          <w:sz w:val="21"/>
          <w:szCs w:val="21"/>
        </w:rPr>
        <w:t xml:space="preserve">, </w:t>
      </w:r>
      <w:r w:rsidR="457ADA55" w:rsidRPr="3764D022">
        <w:rPr>
          <w:sz w:val="21"/>
          <w:szCs w:val="21"/>
        </w:rPr>
        <w:t>totaling</w:t>
      </w:r>
      <w:r w:rsidR="6D0ABFCE" w:rsidRPr="3764D022">
        <w:rPr>
          <w:sz w:val="21"/>
          <w:szCs w:val="21"/>
        </w:rPr>
        <w:t xml:space="preserve"> </w:t>
      </w:r>
      <w:r w:rsidR="00A415D1" w:rsidRPr="00DB144E">
        <w:rPr>
          <w:sz w:val="21"/>
          <w:szCs w:val="21"/>
          <w:highlight w:val="yellow"/>
        </w:rPr>
        <w:t>1,047,911</w:t>
      </w:r>
      <w:r w:rsidR="4FF3C9C3" w:rsidRPr="3764D022">
        <w:rPr>
          <w:sz w:val="21"/>
          <w:szCs w:val="21"/>
        </w:rPr>
        <w:t xml:space="preserve"> tCO2-eq</w:t>
      </w:r>
      <w:r w:rsidRPr="3764D022">
        <w:rPr>
          <w:sz w:val="21"/>
          <w:szCs w:val="21"/>
        </w:rPr>
        <w:t xml:space="preserve">.  </w:t>
      </w:r>
    </w:p>
    <w:p w14:paraId="6BBECA97" w14:textId="299228DB" w:rsidR="000046AC" w:rsidRPr="00831F44" w:rsidRDefault="00F909D1" w:rsidP="001667C6">
      <w:pPr>
        <w:pStyle w:val="ListParagraph"/>
        <w:numPr>
          <w:ilvl w:val="0"/>
          <w:numId w:val="77"/>
        </w:numPr>
        <w:spacing w:after="80"/>
        <w:ind w:left="709" w:hanging="425"/>
        <w:contextualSpacing w:val="0"/>
        <w:rPr>
          <w:sz w:val="21"/>
          <w:szCs w:val="21"/>
        </w:rPr>
      </w:pPr>
      <w:r w:rsidRPr="00831F44">
        <w:rPr>
          <w:sz w:val="21"/>
          <w:szCs w:val="21"/>
        </w:rPr>
        <w:t>Co-benefit of GEF investment</w:t>
      </w:r>
      <w:r w:rsidR="00F04629" w:rsidRPr="00831F44">
        <w:rPr>
          <w:sz w:val="21"/>
          <w:szCs w:val="21"/>
        </w:rPr>
        <w:t xml:space="preserve">: At least 2,000 households, comprising approximately 10,000 individuals, will benefit directly from the GEF investment within the two project landscapes. </w:t>
      </w:r>
    </w:p>
    <w:p w14:paraId="22ACC0C4" w14:textId="006EA5B1" w:rsidR="00F909D1" w:rsidRPr="00F909D1" w:rsidRDefault="359F4D32" w:rsidP="001667C6">
      <w:pPr>
        <w:pStyle w:val="ParagraphOED"/>
        <w:numPr>
          <w:ilvl w:val="0"/>
          <w:numId w:val="102"/>
        </w:numPr>
        <w:rPr>
          <w:u w:val="single"/>
        </w:rPr>
      </w:pPr>
      <w:r>
        <w:lastRenderedPageBreak/>
        <w:t>Project activities will focus on enhancing key stakeholders’ capacity for handling spatial data, develop strategic partnerships, mobilizing finance, and conceiving projects, all related to SFM/SLM practices, creating conditions for collaborative landscape management. The project expects to train approximately 2000 land users in multiple locations across the landscapes of</w:t>
      </w:r>
      <w:r w:rsidR="7D577EAA">
        <w:t xml:space="preserve"> </w:t>
      </w:r>
      <w:r w:rsidR="1F12FE96">
        <w:t>southern Angola</w:t>
      </w:r>
      <w:r>
        <w:t xml:space="preserve"> (targeting at least 35% are women) with focus on skills development for SLM/SFM practices through the Farmer Field Schools and Forest Farm Facility approaches as applicable. Within the landscapes, the project expects to engage with 10,000 local stakeholders at the level of households. Efforts will be made to enlist the participation of female-headed and dual-headed households at higher rate than male-headed households (target 65% for female plus dual)</w:t>
      </w:r>
    </w:p>
    <w:p w14:paraId="186C9690" w14:textId="6736216A" w:rsidR="000046AC" w:rsidRPr="000046AC" w:rsidRDefault="000046AC" w:rsidP="001667C6">
      <w:pPr>
        <w:pStyle w:val="ParagraphOED"/>
        <w:numPr>
          <w:ilvl w:val="0"/>
          <w:numId w:val="102"/>
        </w:numPr>
        <w:rPr>
          <w:u w:val="single"/>
        </w:rPr>
      </w:pPr>
      <w:r w:rsidRPr="1E65A5F7">
        <w:rPr>
          <w:u w:val="single"/>
        </w:rPr>
        <w:t xml:space="preserve">SFM/SLM practices mainstreamed in the country: </w:t>
      </w:r>
      <w:r>
        <w:t>Principles and evidence-based best practices of SFM/SLM will be disseminated among project beneficiaries, including local communities and national institutions. By implementing activities related to it, the project will be able to reduce key policy barriers currently challenging the country’s enforcement to prevent causes of land degradation and will bring a positive long-term impact on a part of Angola where LD is the most critical issue.</w:t>
      </w:r>
    </w:p>
    <w:p w14:paraId="56110A0B" w14:textId="77777777" w:rsidR="000046AC" w:rsidRDefault="000046AC" w:rsidP="001667C6">
      <w:pPr>
        <w:pStyle w:val="ParagraphOED"/>
        <w:numPr>
          <w:ilvl w:val="0"/>
          <w:numId w:val="102"/>
        </w:numPr>
      </w:pPr>
      <w:r w:rsidRPr="1E65A5F7">
        <w:rPr>
          <w:u w:val="single"/>
        </w:rPr>
        <w:t>GreenValue chain development:</w:t>
      </w:r>
      <w:r>
        <w:t xml:space="preserve"> The project foresees the strengthening of viable and sustainable promising value chains identified during the PPG process. Producer organizations will be able to participate in capacity building activities, as well as have access to finance and market mechanisms which will allow their business to develop. Therefore, it is also foreseen that the project, by contributing to the productivity and sustainability of agricultural practices and green value chain development, has the potential for </w:t>
      </w:r>
      <w:r w:rsidRPr="1E65A5F7">
        <w:rPr>
          <w:b/>
          <w:bCs/>
        </w:rPr>
        <w:t>indirectly</w:t>
      </w:r>
      <w:r>
        <w:t xml:space="preserve"> contributing to long-lasting improvement of livelihoods and food security, particularly in direct beneficiary communities of the demonstration landscapes.</w:t>
      </w:r>
    </w:p>
    <w:p w14:paraId="1B3C7210" w14:textId="50993123" w:rsidR="009563B4" w:rsidRPr="000046AC" w:rsidRDefault="009563B4" w:rsidP="009563B4">
      <w:pPr>
        <w:rPr>
          <w:rFonts w:ascii="Calibri" w:hAnsi="Calibri" w:cs="Calibri"/>
          <w:sz w:val="21"/>
          <w:szCs w:val="21"/>
          <w:highlight w:val="darkGray"/>
        </w:rPr>
      </w:pPr>
    </w:p>
    <w:p w14:paraId="3D9EC2EB" w14:textId="5AB1BFE7" w:rsidR="009563B4" w:rsidRPr="00CE1EA7" w:rsidRDefault="009563B4" w:rsidP="009563B4">
      <w:pPr>
        <w:jc w:val="center"/>
        <w:sectPr w:rsidR="009563B4" w:rsidRPr="00CE1EA7" w:rsidSect="00903274">
          <w:headerReference w:type="even" r:id="rId102"/>
          <w:headerReference w:type="default" r:id="rId103"/>
          <w:headerReference w:type="first" r:id="rId104"/>
          <w:pgSz w:w="11906" w:h="16838" w:code="9"/>
          <w:pgMar w:top="1440" w:right="1440" w:bottom="1440" w:left="1440" w:header="720" w:footer="720" w:gutter="0"/>
          <w:cols w:space="720"/>
          <w:docGrid w:linePitch="360"/>
        </w:sectPr>
      </w:pPr>
    </w:p>
    <w:p w14:paraId="0EA882D2" w14:textId="563FDC9B" w:rsidR="009563B4" w:rsidRPr="00CE1EA7" w:rsidRDefault="009563B4" w:rsidP="009563B4">
      <w:pPr>
        <w:pStyle w:val="Heading1"/>
        <w:rPr>
          <w:noProof w:val="0"/>
        </w:rPr>
      </w:pPr>
      <w:bookmarkStart w:id="349" w:name="_Toc10554614"/>
      <w:bookmarkStart w:id="350" w:name="_Toc12612956"/>
      <w:bookmarkStart w:id="351" w:name="_Toc42027153"/>
      <w:bookmarkStart w:id="352" w:name="_Toc42262661"/>
      <w:bookmarkStart w:id="353" w:name="_Toc58398602"/>
      <w:r w:rsidRPr="00CE1EA7">
        <w:rPr>
          <w:noProof w:val="0"/>
        </w:rPr>
        <w:lastRenderedPageBreak/>
        <w:t>PART III: ANNEXES</w:t>
      </w:r>
      <w:bookmarkEnd w:id="348"/>
      <w:bookmarkEnd w:id="349"/>
      <w:bookmarkEnd w:id="350"/>
      <w:bookmarkEnd w:id="351"/>
      <w:bookmarkEnd w:id="352"/>
      <w:bookmarkEnd w:id="353"/>
    </w:p>
    <w:p w14:paraId="71AF76C5" w14:textId="774D04A2" w:rsidR="009563B4" w:rsidRPr="00306646" w:rsidRDefault="009563B4" w:rsidP="009563B4">
      <w:pPr>
        <w:pStyle w:val="Heading2"/>
        <w:rPr>
          <w:lang w:val="en-US"/>
        </w:rPr>
      </w:pPr>
      <w:bookmarkStart w:id="354" w:name="_Toc12612957"/>
      <w:bookmarkStart w:id="355" w:name="_Toc42027154"/>
      <w:bookmarkStart w:id="356" w:name="_Toc42262662"/>
      <w:bookmarkStart w:id="357" w:name="_Toc58398603"/>
      <w:r w:rsidRPr="23356FAB">
        <w:rPr>
          <w:lang w:val="en-US"/>
        </w:rPr>
        <w:t>Annex A1: Project Results Framework</w:t>
      </w:r>
      <w:bookmarkEnd w:id="354"/>
      <w:bookmarkEnd w:id="355"/>
      <w:bookmarkEnd w:id="356"/>
      <w:bookmarkEnd w:id="357"/>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66"/>
        <w:gridCol w:w="3875"/>
        <w:gridCol w:w="1840"/>
        <w:gridCol w:w="151"/>
        <w:gridCol w:w="1690"/>
        <w:gridCol w:w="1994"/>
        <w:gridCol w:w="2148"/>
        <w:gridCol w:w="1924"/>
      </w:tblGrid>
      <w:tr w:rsidR="00E65228" w:rsidRPr="0017210F" w14:paraId="0B1AF0CD" w14:textId="77777777" w:rsidTr="01B6467E">
        <w:trPr>
          <w:trHeight w:val="568"/>
          <w:tblHeader/>
        </w:trPr>
        <w:tc>
          <w:tcPr>
            <w:tcW w:w="574" w:type="pct"/>
            <w:shd w:val="clear" w:color="auto" w:fill="00CCFF"/>
          </w:tcPr>
          <w:p w14:paraId="08674F31" w14:textId="77777777" w:rsidR="00E65228" w:rsidRPr="0017210F" w:rsidRDefault="00E65228" w:rsidP="009D6968">
            <w:pPr>
              <w:jc w:val="center"/>
              <w:rPr>
                <w:rFonts w:asciiTheme="minorHAnsi" w:hAnsiTheme="minorHAnsi" w:cstheme="minorHAnsi"/>
                <w:b/>
                <w:sz w:val="17"/>
                <w:szCs w:val="17"/>
              </w:rPr>
            </w:pPr>
            <w:r w:rsidRPr="0017210F">
              <w:rPr>
                <w:rFonts w:asciiTheme="minorHAnsi" w:hAnsiTheme="minorHAnsi" w:cstheme="minorHAnsi"/>
                <w:b/>
                <w:sz w:val="17"/>
                <w:szCs w:val="17"/>
              </w:rPr>
              <w:t>Results Chain</w:t>
            </w:r>
          </w:p>
        </w:tc>
        <w:tc>
          <w:tcPr>
            <w:tcW w:w="1259" w:type="pct"/>
            <w:shd w:val="clear" w:color="auto" w:fill="00CCFF"/>
          </w:tcPr>
          <w:p w14:paraId="7E55B8E1" w14:textId="77777777" w:rsidR="00E65228" w:rsidRPr="0017210F" w:rsidRDefault="00E65228" w:rsidP="009D6968">
            <w:pPr>
              <w:jc w:val="center"/>
              <w:rPr>
                <w:rFonts w:asciiTheme="minorHAnsi" w:hAnsiTheme="minorHAnsi" w:cstheme="minorHAnsi"/>
                <w:b/>
                <w:sz w:val="17"/>
                <w:szCs w:val="17"/>
              </w:rPr>
            </w:pPr>
            <w:r w:rsidRPr="0017210F">
              <w:rPr>
                <w:rFonts w:asciiTheme="minorHAnsi" w:hAnsiTheme="minorHAnsi" w:cstheme="minorHAnsi"/>
                <w:b/>
                <w:sz w:val="17"/>
                <w:szCs w:val="17"/>
              </w:rPr>
              <w:t>Indicators</w:t>
            </w:r>
          </w:p>
        </w:tc>
        <w:tc>
          <w:tcPr>
            <w:tcW w:w="598" w:type="pct"/>
            <w:shd w:val="clear" w:color="auto" w:fill="00CCFF"/>
          </w:tcPr>
          <w:p w14:paraId="39A284C7" w14:textId="77777777" w:rsidR="00E65228" w:rsidRPr="0017210F" w:rsidRDefault="00E65228" w:rsidP="009D6968">
            <w:pPr>
              <w:jc w:val="center"/>
              <w:rPr>
                <w:rFonts w:asciiTheme="minorHAnsi" w:hAnsiTheme="minorHAnsi" w:cstheme="minorHAnsi"/>
                <w:b/>
                <w:sz w:val="17"/>
                <w:szCs w:val="17"/>
              </w:rPr>
            </w:pPr>
            <w:r w:rsidRPr="0017210F">
              <w:rPr>
                <w:rFonts w:asciiTheme="minorHAnsi" w:hAnsiTheme="minorHAnsi" w:cstheme="minorHAnsi"/>
                <w:b/>
                <w:sz w:val="17"/>
                <w:szCs w:val="17"/>
              </w:rPr>
              <w:t>Baseline</w:t>
            </w:r>
          </w:p>
        </w:tc>
        <w:tc>
          <w:tcPr>
            <w:tcW w:w="598" w:type="pct"/>
            <w:gridSpan w:val="2"/>
            <w:shd w:val="clear" w:color="auto" w:fill="00CCFF"/>
          </w:tcPr>
          <w:p w14:paraId="2ACC95A5" w14:textId="77777777" w:rsidR="00E65228" w:rsidRPr="0017210F" w:rsidRDefault="00E65228" w:rsidP="009D6968">
            <w:pPr>
              <w:jc w:val="center"/>
              <w:rPr>
                <w:rFonts w:asciiTheme="minorHAnsi" w:hAnsiTheme="minorHAnsi" w:cstheme="minorHAnsi"/>
                <w:b/>
                <w:sz w:val="17"/>
                <w:szCs w:val="17"/>
              </w:rPr>
            </w:pPr>
            <w:r w:rsidRPr="0017210F">
              <w:rPr>
                <w:rFonts w:asciiTheme="minorHAnsi" w:hAnsiTheme="minorHAnsi" w:cstheme="minorHAnsi"/>
                <w:b/>
                <w:sz w:val="17"/>
                <w:szCs w:val="17"/>
              </w:rPr>
              <w:t>Mid-Term Milestone</w:t>
            </w:r>
          </w:p>
        </w:tc>
        <w:tc>
          <w:tcPr>
            <w:tcW w:w="648" w:type="pct"/>
            <w:shd w:val="clear" w:color="auto" w:fill="00CCFF"/>
          </w:tcPr>
          <w:p w14:paraId="05959C22" w14:textId="77777777" w:rsidR="00E65228" w:rsidRPr="0017210F" w:rsidRDefault="00E65228" w:rsidP="009D6968">
            <w:pPr>
              <w:jc w:val="center"/>
              <w:rPr>
                <w:rFonts w:asciiTheme="minorHAnsi" w:hAnsiTheme="minorHAnsi" w:cstheme="minorHAnsi"/>
                <w:b/>
                <w:sz w:val="17"/>
                <w:szCs w:val="17"/>
              </w:rPr>
            </w:pPr>
            <w:r w:rsidRPr="0017210F">
              <w:rPr>
                <w:rFonts w:asciiTheme="minorHAnsi" w:hAnsiTheme="minorHAnsi" w:cstheme="minorHAnsi"/>
                <w:b/>
                <w:sz w:val="17"/>
                <w:szCs w:val="17"/>
              </w:rPr>
              <w:t>End of project (EoP) Targets</w:t>
            </w:r>
          </w:p>
        </w:tc>
        <w:tc>
          <w:tcPr>
            <w:tcW w:w="698" w:type="pct"/>
            <w:shd w:val="clear" w:color="auto" w:fill="00CCFF"/>
          </w:tcPr>
          <w:p w14:paraId="579378E0" w14:textId="77777777" w:rsidR="00E65228" w:rsidRPr="0017210F" w:rsidRDefault="00E65228" w:rsidP="009D6968">
            <w:pPr>
              <w:jc w:val="center"/>
              <w:rPr>
                <w:rFonts w:asciiTheme="minorHAnsi" w:hAnsiTheme="minorHAnsi" w:cstheme="minorHAnsi"/>
                <w:b/>
                <w:sz w:val="17"/>
                <w:szCs w:val="17"/>
              </w:rPr>
            </w:pPr>
            <w:r w:rsidRPr="0017210F">
              <w:rPr>
                <w:rFonts w:asciiTheme="minorHAnsi" w:hAnsiTheme="minorHAnsi" w:cstheme="minorHAnsi"/>
                <w:b/>
                <w:sz w:val="17"/>
                <w:szCs w:val="17"/>
              </w:rPr>
              <w:t>Means of Verification</w:t>
            </w:r>
          </w:p>
        </w:tc>
        <w:tc>
          <w:tcPr>
            <w:tcW w:w="625" w:type="pct"/>
            <w:shd w:val="clear" w:color="auto" w:fill="00CCFF"/>
          </w:tcPr>
          <w:p w14:paraId="4F910FE0" w14:textId="77777777" w:rsidR="00E65228" w:rsidRPr="0017210F" w:rsidRDefault="00E65228" w:rsidP="009D6968">
            <w:pPr>
              <w:jc w:val="center"/>
              <w:rPr>
                <w:rFonts w:asciiTheme="minorHAnsi" w:hAnsiTheme="minorHAnsi" w:cstheme="minorHAnsi"/>
                <w:b/>
                <w:sz w:val="17"/>
                <w:szCs w:val="17"/>
              </w:rPr>
            </w:pPr>
            <w:r w:rsidRPr="0017210F">
              <w:rPr>
                <w:rFonts w:asciiTheme="minorHAnsi" w:hAnsiTheme="minorHAnsi" w:cstheme="minorHAnsi"/>
                <w:b/>
                <w:sz w:val="17"/>
                <w:szCs w:val="17"/>
              </w:rPr>
              <w:t>Assumptions</w:t>
            </w:r>
          </w:p>
        </w:tc>
      </w:tr>
      <w:tr w:rsidR="00E65228" w:rsidRPr="0017210F" w14:paraId="31E8F573" w14:textId="77777777" w:rsidTr="01B6467E">
        <w:trPr>
          <w:trHeight w:val="699"/>
        </w:trPr>
        <w:tc>
          <w:tcPr>
            <w:tcW w:w="574" w:type="pct"/>
            <w:shd w:val="clear" w:color="auto" w:fill="auto"/>
          </w:tcPr>
          <w:p w14:paraId="23949595" w14:textId="77777777" w:rsidR="00E65228" w:rsidRPr="0017210F" w:rsidRDefault="00E65228" w:rsidP="009D6968">
            <w:pPr>
              <w:ind w:left="-57" w:right="-57"/>
              <w:rPr>
                <w:rFonts w:asciiTheme="minorHAnsi" w:hAnsiTheme="minorHAnsi" w:cstheme="minorHAnsi"/>
                <w:sz w:val="17"/>
                <w:szCs w:val="17"/>
              </w:rPr>
            </w:pPr>
            <w:r w:rsidRPr="0017210F">
              <w:rPr>
                <w:rFonts w:asciiTheme="minorHAnsi" w:hAnsiTheme="minorHAnsi" w:cstheme="minorHAnsi"/>
                <w:b/>
                <w:bCs/>
                <w:sz w:val="17"/>
                <w:szCs w:val="17"/>
              </w:rPr>
              <w:t>Objective</w:t>
            </w:r>
            <w:r w:rsidRPr="0017210F">
              <w:rPr>
                <w:rFonts w:asciiTheme="minorHAnsi" w:hAnsiTheme="minorHAnsi" w:cstheme="minorHAnsi"/>
                <w:sz w:val="17"/>
                <w:szCs w:val="17"/>
              </w:rPr>
              <w:t xml:space="preserve">: </w:t>
            </w:r>
          </w:p>
          <w:p w14:paraId="163B35F2" w14:textId="77777777" w:rsidR="00E65228" w:rsidRPr="0017210F" w:rsidRDefault="00E65228" w:rsidP="009D6968">
            <w:pPr>
              <w:rPr>
                <w:rFonts w:asciiTheme="minorHAnsi" w:hAnsiTheme="minorHAnsi" w:cstheme="minorHAnsi"/>
                <w:sz w:val="17"/>
                <w:szCs w:val="17"/>
              </w:rPr>
            </w:pPr>
            <w:r w:rsidRPr="0017210F">
              <w:rPr>
                <w:rFonts w:asciiTheme="minorHAnsi" w:hAnsiTheme="minorHAnsi" w:cstheme="minorHAnsi"/>
                <w:sz w:val="17"/>
                <w:szCs w:val="17"/>
              </w:rPr>
              <w:t>To initiate a transformational shift towards a sustainable and integrated management of multi-use dryland landscapes of the Miombo and Mopane ecoregions of Angola (Okavango and Cunene river basins) following Land Degradation Neutrality (LDN) principles.</w:t>
            </w:r>
          </w:p>
        </w:tc>
        <w:tc>
          <w:tcPr>
            <w:tcW w:w="1259" w:type="pct"/>
            <w:shd w:val="clear" w:color="auto" w:fill="auto"/>
          </w:tcPr>
          <w:p w14:paraId="78913CF5" w14:textId="53901E71" w:rsidR="00E65228" w:rsidRPr="0017210F" w:rsidRDefault="00E65228" w:rsidP="009D6968">
            <w:pPr>
              <w:rPr>
                <w:rFonts w:asciiTheme="minorHAnsi" w:hAnsiTheme="minorHAnsi" w:cstheme="minorHAnsi"/>
                <w:sz w:val="17"/>
                <w:szCs w:val="17"/>
              </w:rPr>
            </w:pPr>
            <w:r w:rsidRPr="0017210F">
              <w:rPr>
                <w:rFonts w:asciiTheme="minorHAnsi" w:hAnsiTheme="minorHAnsi" w:cstheme="minorHAnsi"/>
                <w:sz w:val="17"/>
                <w:szCs w:val="17"/>
              </w:rPr>
              <w:t xml:space="preserve">1.  Area of managed production system landscapes </w:t>
            </w:r>
            <w:r w:rsidR="009C7794" w:rsidRPr="003348C4">
              <w:rPr>
                <w:rFonts w:asciiTheme="minorHAnsi" w:hAnsiTheme="minorHAnsi" w:cstheme="minorHAnsi"/>
                <w:sz w:val="17"/>
                <w:szCs w:val="17"/>
                <w:highlight w:val="yellow"/>
              </w:rPr>
              <w:t xml:space="preserve">under ILUPs </w:t>
            </w:r>
            <w:r w:rsidR="00571203" w:rsidRPr="003348C4">
              <w:rPr>
                <w:rFonts w:asciiTheme="minorHAnsi" w:hAnsiTheme="minorHAnsi" w:cstheme="minorHAnsi"/>
                <w:sz w:val="17"/>
                <w:szCs w:val="17"/>
                <w:highlight w:val="yellow"/>
              </w:rPr>
              <w:t>and</w:t>
            </w:r>
            <w:r w:rsidR="00E17FB3" w:rsidRPr="003348C4">
              <w:rPr>
                <w:rFonts w:asciiTheme="minorHAnsi" w:hAnsiTheme="minorHAnsi" w:cstheme="minorHAnsi"/>
                <w:sz w:val="17"/>
                <w:szCs w:val="17"/>
                <w:highlight w:val="yellow"/>
              </w:rPr>
              <w:t xml:space="preserve"> applied</w:t>
            </w:r>
            <w:r w:rsidR="00571203" w:rsidRPr="003348C4">
              <w:rPr>
                <w:rFonts w:asciiTheme="minorHAnsi" w:hAnsiTheme="minorHAnsi" w:cstheme="minorHAnsi"/>
                <w:sz w:val="17"/>
                <w:szCs w:val="17"/>
                <w:highlight w:val="yellow"/>
              </w:rPr>
              <w:t xml:space="preserve"> </w:t>
            </w:r>
            <w:r w:rsidRPr="003348C4">
              <w:rPr>
                <w:rFonts w:asciiTheme="minorHAnsi" w:hAnsiTheme="minorHAnsi" w:cstheme="minorHAnsi"/>
                <w:sz w:val="17"/>
                <w:szCs w:val="17"/>
                <w:highlight w:val="yellow"/>
              </w:rPr>
              <w:t xml:space="preserve"> ‘LDN response hierarchy’</w:t>
            </w:r>
            <w:r w:rsidRPr="0017210F">
              <w:rPr>
                <w:rFonts w:asciiTheme="minorHAnsi" w:hAnsiTheme="minorHAnsi" w:cstheme="minorHAnsi"/>
                <w:sz w:val="17"/>
                <w:szCs w:val="17"/>
              </w:rPr>
              <w:t xml:space="preserve"> </w:t>
            </w:r>
          </w:p>
          <w:p w14:paraId="76DC7E1C" w14:textId="77777777" w:rsidR="00E65228" w:rsidRPr="0017210F" w:rsidDel="007001DC" w:rsidRDefault="00E65228" w:rsidP="009D6968">
            <w:pPr>
              <w:rPr>
                <w:rFonts w:asciiTheme="minorHAnsi" w:hAnsiTheme="minorHAnsi" w:cstheme="minorHAnsi"/>
                <w:sz w:val="17"/>
                <w:szCs w:val="17"/>
              </w:rPr>
            </w:pPr>
          </w:p>
          <w:p w14:paraId="03DEE2CD" w14:textId="77777777" w:rsidR="00E65228" w:rsidRPr="0017210F" w:rsidRDefault="00E65228" w:rsidP="009D6968">
            <w:pPr>
              <w:rPr>
                <w:rFonts w:asciiTheme="minorHAnsi" w:hAnsiTheme="minorHAnsi" w:cstheme="minorHAnsi"/>
                <w:sz w:val="17"/>
                <w:szCs w:val="17"/>
              </w:rPr>
            </w:pPr>
          </w:p>
          <w:p w14:paraId="18AF71DF" w14:textId="77777777" w:rsidR="00E65228" w:rsidRPr="0017210F" w:rsidRDefault="00E65228" w:rsidP="009D6968">
            <w:pPr>
              <w:jc w:val="right"/>
              <w:rPr>
                <w:rFonts w:asciiTheme="minorHAnsi" w:hAnsiTheme="minorHAnsi" w:cstheme="minorHAnsi"/>
                <w:sz w:val="17"/>
                <w:szCs w:val="17"/>
              </w:rPr>
            </w:pPr>
          </w:p>
          <w:p w14:paraId="1DB02F9C" w14:textId="77777777" w:rsidR="00E65228" w:rsidRPr="0017210F" w:rsidRDefault="00E65228" w:rsidP="009D6968">
            <w:pPr>
              <w:jc w:val="right"/>
              <w:rPr>
                <w:rFonts w:asciiTheme="minorHAnsi" w:hAnsiTheme="minorHAnsi" w:cstheme="minorHAnsi"/>
                <w:sz w:val="17"/>
                <w:szCs w:val="17"/>
              </w:rPr>
            </w:pPr>
            <w:r w:rsidRPr="36822015">
              <w:rPr>
                <w:rFonts w:asciiTheme="minorHAnsi" w:hAnsiTheme="minorHAnsi" w:cstheme="minorBidi"/>
                <w:sz w:val="17"/>
                <w:szCs w:val="17"/>
              </w:rPr>
              <w:t>Area under practices</w:t>
            </w:r>
            <w:r w:rsidRPr="36822015">
              <w:rPr>
                <w:rStyle w:val="FootnoteReference"/>
                <w:rFonts w:asciiTheme="minorHAnsi" w:hAnsiTheme="minorHAnsi" w:cstheme="minorBidi"/>
                <w:sz w:val="17"/>
                <w:szCs w:val="17"/>
              </w:rPr>
              <w:footnoteReference w:id="108"/>
            </w:r>
            <w:r w:rsidRPr="36822015">
              <w:rPr>
                <w:rFonts w:asciiTheme="minorHAnsi" w:hAnsiTheme="minorHAnsi" w:cstheme="minorBidi"/>
                <w:sz w:val="17"/>
                <w:szCs w:val="17"/>
              </w:rPr>
              <w:t xml:space="preserve"> to (1a) AVOID Land Degradation: </w:t>
            </w:r>
          </w:p>
          <w:p w14:paraId="0B1F44F9" w14:textId="77777777" w:rsidR="00E65228" w:rsidRPr="0017210F" w:rsidRDefault="00E65228" w:rsidP="009D6968">
            <w:pPr>
              <w:jc w:val="right"/>
              <w:rPr>
                <w:rFonts w:asciiTheme="minorHAnsi" w:hAnsiTheme="minorHAnsi" w:cstheme="minorHAnsi"/>
                <w:sz w:val="17"/>
                <w:szCs w:val="17"/>
              </w:rPr>
            </w:pPr>
            <w:r w:rsidRPr="0017210F">
              <w:rPr>
                <w:rFonts w:asciiTheme="minorHAnsi" w:hAnsiTheme="minorHAnsi" w:cstheme="minorHAnsi"/>
                <w:sz w:val="17"/>
                <w:szCs w:val="17"/>
              </w:rPr>
              <w:t>Area under practices to (1b) REDUCE Land Degradation:</w:t>
            </w:r>
          </w:p>
          <w:p w14:paraId="49A5BB01" w14:textId="77777777" w:rsidR="00E65228" w:rsidRPr="0017210F" w:rsidRDefault="00E65228" w:rsidP="009D6968">
            <w:pPr>
              <w:jc w:val="right"/>
              <w:rPr>
                <w:rFonts w:asciiTheme="minorHAnsi" w:hAnsiTheme="minorHAnsi" w:cstheme="minorHAnsi"/>
                <w:sz w:val="17"/>
                <w:szCs w:val="17"/>
              </w:rPr>
            </w:pPr>
            <w:r w:rsidRPr="0017210F">
              <w:rPr>
                <w:rFonts w:asciiTheme="minorHAnsi" w:hAnsiTheme="minorHAnsi" w:cstheme="minorHAnsi"/>
                <w:sz w:val="17"/>
                <w:szCs w:val="17"/>
              </w:rPr>
              <w:t>Area under practices to (1c) REVERSE Land Degradation:</w:t>
            </w:r>
          </w:p>
          <w:p w14:paraId="7603F831" w14:textId="77777777" w:rsidR="00E65228" w:rsidRPr="0017210F" w:rsidRDefault="00E65228" w:rsidP="009D6968">
            <w:pPr>
              <w:ind w:left="-57" w:right="-57"/>
              <w:jc w:val="right"/>
              <w:rPr>
                <w:rFonts w:asciiTheme="minorHAnsi" w:hAnsiTheme="minorHAnsi" w:cstheme="minorHAnsi"/>
                <w:sz w:val="17"/>
                <w:szCs w:val="17"/>
              </w:rPr>
            </w:pPr>
            <w:r w:rsidRPr="0017210F">
              <w:rPr>
                <w:rFonts w:asciiTheme="minorHAnsi" w:hAnsiTheme="minorHAnsi" w:cstheme="minorHAnsi"/>
                <w:sz w:val="17"/>
                <w:szCs w:val="17"/>
              </w:rPr>
              <w:t>Total:</w:t>
            </w:r>
          </w:p>
          <w:p w14:paraId="1155600C" w14:textId="77777777" w:rsidR="00E65228" w:rsidRPr="0017210F" w:rsidRDefault="00E65228" w:rsidP="009D6968">
            <w:pPr>
              <w:ind w:right="-57"/>
              <w:rPr>
                <w:rFonts w:asciiTheme="minorHAnsi" w:hAnsiTheme="minorHAnsi" w:cstheme="minorHAnsi"/>
                <w:iCs/>
                <w:sz w:val="17"/>
                <w:szCs w:val="17"/>
              </w:rPr>
            </w:pPr>
          </w:p>
          <w:p w14:paraId="135263BC" w14:textId="63F17E2D" w:rsidR="00E65228" w:rsidRPr="0017210F" w:rsidRDefault="00E65228" w:rsidP="009D6968">
            <w:pPr>
              <w:rPr>
                <w:rFonts w:asciiTheme="minorHAnsi" w:hAnsiTheme="minorHAnsi" w:cstheme="minorHAnsi"/>
                <w:sz w:val="17"/>
                <w:szCs w:val="17"/>
              </w:rPr>
            </w:pPr>
          </w:p>
        </w:tc>
        <w:tc>
          <w:tcPr>
            <w:tcW w:w="598" w:type="pct"/>
            <w:shd w:val="clear" w:color="auto" w:fill="auto"/>
          </w:tcPr>
          <w:p w14:paraId="673A4C36" w14:textId="77777777" w:rsidR="00E65228" w:rsidRPr="0017210F" w:rsidDel="007001DC" w:rsidRDefault="00E65228" w:rsidP="009D6968">
            <w:pPr>
              <w:ind w:left="-57" w:right="-57"/>
              <w:rPr>
                <w:rFonts w:asciiTheme="minorHAnsi" w:hAnsiTheme="minorHAnsi" w:cstheme="minorHAnsi"/>
                <w:sz w:val="17"/>
                <w:szCs w:val="17"/>
              </w:rPr>
            </w:pPr>
          </w:p>
          <w:p w14:paraId="1BED4610" w14:textId="77777777" w:rsidR="0017210F" w:rsidRDefault="0017210F" w:rsidP="009D6968">
            <w:pPr>
              <w:ind w:right="-57"/>
              <w:rPr>
                <w:rFonts w:asciiTheme="minorHAnsi" w:hAnsiTheme="minorHAnsi" w:cstheme="minorHAnsi"/>
                <w:sz w:val="17"/>
                <w:szCs w:val="17"/>
              </w:rPr>
            </w:pPr>
          </w:p>
          <w:p w14:paraId="01EA9AD6" w14:textId="77777777" w:rsidR="008D738E" w:rsidRDefault="008D738E" w:rsidP="009D6968">
            <w:pPr>
              <w:ind w:right="-57"/>
              <w:rPr>
                <w:rFonts w:asciiTheme="minorHAnsi" w:hAnsiTheme="minorHAnsi" w:cstheme="minorHAnsi"/>
                <w:sz w:val="17"/>
                <w:szCs w:val="17"/>
              </w:rPr>
            </w:pPr>
          </w:p>
          <w:p w14:paraId="428A9553" w14:textId="755A153A" w:rsidR="00E65228" w:rsidRPr="0017210F" w:rsidRDefault="00E65228" w:rsidP="009D6968">
            <w:pPr>
              <w:ind w:right="-57"/>
              <w:rPr>
                <w:rFonts w:asciiTheme="minorHAnsi" w:hAnsiTheme="minorHAnsi" w:cstheme="minorHAnsi"/>
                <w:sz w:val="17"/>
                <w:szCs w:val="17"/>
              </w:rPr>
            </w:pPr>
            <w:r w:rsidRPr="0017210F">
              <w:rPr>
                <w:rFonts w:asciiTheme="minorHAnsi" w:hAnsiTheme="minorHAnsi" w:cstheme="minorHAnsi"/>
                <w:sz w:val="17"/>
                <w:szCs w:val="17"/>
              </w:rPr>
              <w:t>Indicative (ha):</w:t>
            </w:r>
          </w:p>
          <w:p w14:paraId="4C3A584B" w14:textId="77777777" w:rsidR="0017210F" w:rsidRDefault="0017210F" w:rsidP="009D6968">
            <w:pPr>
              <w:ind w:right="-57"/>
              <w:rPr>
                <w:rFonts w:asciiTheme="minorHAnsi" w:hAnsiTheme="minorHAnsi" w:cstheme="minorHAnsi"/>
                <w:sz w:val="17"/>
                <w:szCs w:val="17"/>
              </w:rPr>
            </w:pPr>
          </w:p>
          <w:p w14:paraId="6D396D41" w14:textId="52F2EB51" w:rsidR="00E65228" w:rsidRPr="0017210F" w:rsidRDefault="00E65228" w:rsidP="0017210F">
            <w:pPr>
              <w:ind w:left="-57" w:right="-57"/>
              <w:rPr>
                <w:rFonts w:asciiTheme="minorHAnsi" w:hAnsiTheme="minorHAnsi" w:cstheme="minorHAnsi"/>
                <w:sz w:val="17"/>
                <w:szCs w:val="17"/>
              </w:rPr>
            </w:pPr>
            <w:r w:rsidRPr="0017210F">
              <w:rPr>
                <w:rFonts w:asciiTheme="minorHAnsi" w:hAnsiTheme="minorHAnsi" w:cstheme="minorHAnsi"/>
                <w:sz w:val="17"/>
                <w:szCs w:val="17"/>
              </w:rPr>
              <w:t>0</w:t>
            </w:r>
          </w:p>
          <w:p w14:paraId="08DF52B0" w14:textId="77777777" w:rsidR="00F61696" w:rsidRDefault="00F61696" w:rsidP="009D6968">
            <w:pPr>
              <w:ind w:left="-57" w:right="-57"/>
              <w:rPr>
                <w:rFonts w:asciiTheme="minorHAnsi" w:hAnsiTheme="minorHAnsi" w:cstheme="minorHAnsi"/>
                <w:sz w:val="17"/>
                <w:szCs w:val="17"/>
              </w:rPr>
            </w:pPr>
          </w:p>
          <w:p w14:paraId="4F214C2D" w14:textId="43FE2BB3" w:rsidR="00E65228" w:rsidRPr="0017210F" w:rsidRDefault="00E65228" w:rsidP="009D6968">
            <w:pPr>
              <w:ind w:left="-57" w:right="-57"/>
              <w:rPr>
                <w:rFonts w:asciiTheme="minorHAnsi" w:hAnsiTheme="minorHAnsi" w:cstheme="minorHAnsi"/>
                <w:sz w:val="17"/>
                <w:szCs w:val="17"/>
              </w:rPr>
            </w:pPr>
            <w:r w:rsidRPr="0017210F">
              <w:rPr>
                <w:rFonts w:asciiTheme="minorHAnsi" w:hAnsiTheme="minorHAnsi" w:cstheme="minorHAnsi"/>
                <w:sz w:val="17"/>
                <w:szCs w:val="17"/>
              </w:rPr>
              <w:t>0</w:t>
            </w:r>
          </w:p>
          <w:p w14:paraId="4BD3A83A" w14:textId="77777777" w:rsidR="00F61696" w:rsidRDefault="00F61696" w:rsidP="009D6968">
            <w:pPr>
              <w:ind w:left="-57" w:right="-57"/>
              <w:rPr>
                <w:rFonts w:asciiTheme="minorHAnsi" w:hAnsiTheme="minorHAnsi" w:cstheme="minorHAnsi"/>
                <w:sz w:val="17"/>
                <w:szCs w:val="17"/>
              </w:rPr>
            </w:pPr>
          </w:p>
          <w:p w14:paraId="4B743409" w14:textId="7A73E98C" w:rsidR="00E65228" w:rsidRPr="0017210F" w:rsidRDefault="00E65228" w:rsidP="009D6968">
            <w:pPr>
              <w:ind w:left="-57" w:right="-57"/>
              <w:rPr>
                <w:rFonts w:asciiTheme="minorHAnsi" w:hAnsiTheme="minorHAnsi" w:cstheme="minorHAnsi"/>
                <w:sz w:val="17"/>
                <w:szCs w:val="17"/>
              </w:rPr>
            </w:pPr>
            <w:r w:rsidRPr="0017210F">
              <w:rPr>
                <w:rFonts w:asciiTheme="minorHAnsi" w:hAnsiTheme="minorHAnsi" w:cstheme="minorHAnsi"/>
                <w:sz w:val="17"/>
                <w:szCs w:val="17"/>
              </w:rPr>
              <w:t>0</w:t>
            </w:r>
          </w:p>
          <w:p w14:paraId="71A11ECC" w14:textId="77777777" w:rsidR="00D12B6D" w:rsidRDefault="00D12B6D" w:rsidP="0017210F">
            <w:pPr>
              <w:ind w:left="-57" w:right="-57"/>
              <w:rPr>
                <w:rFonts w:asciiTheme="minorHAnsi" w:hAnsiTheme="minorHAnsi" w:cstheme="minorHAnsi"/>
                <w:sz w:val="17"/>
                <w:szCs w:val="17"/>
              </w:rPr>
            </w:pPr>
          </w:p>
          <w:p w14:paraId="43FD275E" w14:textId="062E855A" w:rsidR="00E65228" w:rsidRPr="0017210F" w:rsidRDefault="00E65228" w:rsidP="0017210F">
            <w:pPr>
              <w:ind w:left="-57" w:right="-57"/>
              <w:rPr>
                <w:rFonts w:asciiTheme="minorHAnsi" w:hAnsiTheme="minorHAnsi" w:cstheme="minorHAnsi"/>
                <w:sz w:val="17"/>
                <w:szCs w:val="17"/>
              </w:rPr>
            </w:pPr>
            <w:r w:rsidRPr="0017210F">
              <w:rPr>
                <w:rFonts w:asciiTheme="minorHAnsi" w:hAnsiTheme="minorHAnsi" w:cstheme="minorHAnsi"/>
                <w:sz w:val="17"/>
                <w:szCs w:val="17"/>
              </w:rPr>
              <w:t>0</w:t>
            </w:r>
          </w:p>
        </w:tc>
        <w:tc>
          <w:tcPr>
            <w:tcW w:w="598" w:type="pct"/>
            <w:gridSpan w:val="2"/>
            <w:shd w:val="clear" w:color="auto" w:fill="auto"/>
          </w:tcPr>
          <w:p w14:paraId="325B809B" w14:textId="77777777" w:rsidR="00A11006" w:rsidRDefault="00A11006" w:rsidP="009D6968">
            <w:pPr>
              <w:ind w:left="-57" w:right="-57"/>
              <w:rPr>
                <w:rFonts w:asciiTheme="minorHAnsi" w:hAnsiTheme="minorHAnsi" w:cstheme="minorHAnsi"/>
                <w:sz w:val="17"/>
                <w:szCs w:val="17"/>
              </w:rPr>
            </w:pPr>
          </w:p>
          <w:p w14:paraId="655E56F0" w14:textId="77777777" w:rsidR="00A11006" w:rsidRDefault="00A11006" w:rsidP="009D6968">
            <w:pPr>
              <w:ind w:left="-57" w:right="-57"/>
              <w:rPr>
                <w:rFonts w:asciiTheme="minorHAnsi" w:hAnsiTheme="minorHAnsi" w:cstheme="minorHAnsi"/>
                <w:sz w:val="17"/>
                <w:szCs w:val="17"/>
              </w:rPr>
            </w:pPr>
          </w:p>
          <w:p w14:paraId="3C5E1A77" w14:textId="77777777" w:rsidR="00D12B6D" w:rsidRPr="0017210F" w:rsidRDefault="00D12B6D" w:rsidP="00D12B6D">
            <w:pPr>
              <w:ind w:right="-57"/>
              <w:rPr>
                <w:rFonts w:asciiTheme="minorHAnsi" w:hAnsiTheme="minorHAnsi" w:cstheme="minorHAnsi"/>
                <w:sz w:val="17"/>
                <w:szCs w:val="17"/>
              </w:rPr>
            </w:pPr>
            <w:r w:rsidRPr="0017210F">
              <w:rPr>
                <w:rFonts w:asciiTheme="minorHAnsi" w:hAnsiTheme="minorHAnsi" w:cstheme="minorHAnsi"/>
                <w:sz w:val="17"/>
                <w:szCs w:val="17"/>
              </w:rPr>
              <w:t>Indicative (ha):</w:t>
            </w:r>
          </w:p>
          <w:p w14:paraId="23C0B5CD" w14:textId="77777777" w:rsidR="00A11006" w:rsidRDefault="00A11006" w:rsidP="009D6968">
            <w:pPr>
              <w:ind w:left="-57" w:right="-57"/>
              <w:rPr>
                <w:rFonts w:asciiTheme="minorHAnsi" w:hAnsiTheme="minorHAnsi" w:cstheme="minorHAnsi"/>
                <w:sz w:val="17"/>
                <w:szCs w:val="17"/>
              </w:rPr>
            </w:pPr>
          </w:p>
          <w:p w14:paraId="03F5C004" w14:textId="56E8AB2F" w:rsidR="00F472A6" w:rsidRDefault="00F472A6" w:rsidP="009D6968">
            <w:pPr>
              <w:ind w:left="-57" w:right="-57"/>
              <w:rPr>
                <w:rFonts w:asciiTheme="minorHAnsi" w:hAnsiTheme="minorHAnsi" w:cstheme="minorHAnsi"/>
                <w:sz w:val="17"/>
                <w:szCs w:val="17"/>
              </w:rPr>
            </w:pPr>
          </w:p>
          <w:p w14:paraId="0D70DF10" w14:textId="02474B83" w:rsidR="00D12B6D" w:rsidRPr="00DD5B7A" w:rsidRDefault="00350FAB" w:rsidP="009D6968">
            <w:pPr>
              <w:ind w:left="-57" w:right="-57"/>
              <w:rPr>
                <w:rFonts w:asciiTheme="minorHAnsi" w:hAnsiTheme="minorHAnsi" w:cstheme="minorHAnsi"/>
                <w:sz w:val="17"/>
                <w:szCs w:val="17"/>
                <w:highlight w:val="yellow"/>
              </w:rPr>
            </w:pPr>
            <w:r w:rsidRPr="00DD5B7A">
              <w:rPr>
                <w:rFonts w:asciiTheme="minorHAnsi" w:hAnsiTheme="minorHAnsi" w:cstheme="minorHAnsi"/>
                <w:sz w:val="17"/>
                <w:szCs w:val="17"/>
                <w:highlight w:val="yellow"/>
              </w:rPr>
              <w:t>100</w:t>
            </w:r>
            <w:r w:rsidR="00E72E5D" w:rsidRPr="00DD5B7A">
              <w:rPr>
                <w:rFonts w:asciiTheme="minorHAnsi" w:hAnsiTheme="minorHAnsi" w:cstheme="minorHAnsi"/>
                <w:sz w:val="17"/>
                <w:szCs w:val="17"/>
                <w:highlight w:val="yellow"/>
              </w:rPr>
              <w:t>,</w:t>
            </w:r>
            <w:r w:rsidRPr="00DD5B7A">
              <w:rPr>
                <w:rFonts w:asciiTheme="minorHAnsi" w:hAnsiTheme="minorHAnsi" w:cstheme="minorHAnsi"/>
                <w:sz w:val="17"/>
                <w:szCs w:val="17"/>
                <w:highlight w:val="yellow"/>
              </w:rPr>
              <w:t>110</w:t>
            </w:r>
          </w:p>
          <w:p w14:paraId="71FEE3DE" w14:textId="77777777" w:rsidR="00E72E5D" w:rsidRPr="00DD5B7A" w:rsidRDefault="00E72E5D" w:rsidP="009D6968">
            <w:pPr>
              <w:ind w:left="-57" w:right="-57"/>
              <w:rPr>
                <w:rFonts w:asciiTheme="minorHAnsi" w:hAnsiTheme="minorHAnsi" w:cstheme="minorHAnsi"/>
                <w:sz w:val="17"/>
                <w:szCs w:val="17"/>
                <w:highlight w:val="yellow"/>
              </w:rPr>
            </w:pPr>
          </w:p>
          <w:p w14:paraId="29293F09" w14:textId="3A6CFD89" w:rsidR="00E72E5D" w:rsidRPr="00DD5B7A" w:rsidRDefault="00E72E5D" w:rsidP="009D6968">
            <w:pPr>
              <w:ind w:left="-57" w:right="-57"/>
              <w:rPr>
                <w:rFonts w:asciiTheme="minorHAnsi" w:hAnsiTheme="minorHAnsi" w:cstheme="minorHAnsi"/>
                <w:sz w:val="17"/>
                <w:szCs w:val="17"/>
                <w:highlight w:val="yellow"/>
              </w:rPr>
            </w:pPr>
            <w:r w:rsidRPr="00DD5B7A">
              <w:rPr>
                <w:rFonts w:asciiTheme="minorHAnsi" w:hAnsiTheme="minorHAnsi" w:cstheme="minorHAnsi"/>
                <w:sz w:val="17"/>
                <w:szCs w:val="17"/>
                <w:highlight w:val="yellow"/>
              </w:rPr>
              <w:t>89,839</w:t>
            </w:r>
          </w:p>
          <w:p w14:paraId="4F0D54BA" w14:textId="77777777" w:rsidR="00E72E5D" w:rsidRPr="00DD5B7A" w:rsidRDefault="00E72E5D" w:rsidP="009D6968">
            <w:pPr>
              <w:ind w:left="-57" w:right="-57"/>
              <w:rPr>
                <w:rFonts w:asciiTheme="minorHAnsi" w:hAnsiTheme="minorHAnsi" w:cstheme="minorHAnsi"/>
                <w:sz w:val="17"/>
                <w:szCs w:val="17"/>
                <w:highlight w:val="yellow"/>
              </w:rPr>
            </w:pPr>
          </w:p>
          <w:p w14:paraId="2394440D" w14:textId="77777777" w:rsidR="00E72E5D" w:rsidRPr="00DD5B7A" w:rsidRDefault="00E72E5D" w:rsidP="009D6968">
            <w:pPr>
              <w:ind w:left="-57" w:right="-57"/>
              <w:rPr>
                <w:rFonts w:asciiTheme="minorHAnsi" w:hAnsiTheme="minorHAnsi" w:cstheme="minorHAnsi"/>
                <w:sz w:val="17"/>
                <w:szCs w:val="17"/>
                <w:highlight w:val="yellow"/>
              </w:rPr>
            </w:pPr>
            <w:r w:rsidRPr="00DD5B7A">
              <w:rPr>
                <w:rFonts w:asciiTheme="minorHAnsi" w:hAnsiTheme="minorHAnsi" w:cstheme="minorHAnsi"/>
                <w:sz w:val="17"/>
                <w:szCs w:val="17"/>
                <w:highlight w:val="yellow"/>
              </w:rPr>
              <w:t>34</w:t>
            </w:r>
          </w:p>
          <w:p w14:paraId="400930CF" w14:textId="77777777" w:rsidR="00E72E5D" w:rsidRPr="00DD5B7A" w:rsidRDefault="00E72E5D" w:rsidP="009D6968">
            <w:pPr>
              <w:ind w:left="-57" w:right="-57"/>
              <w:rPr>
                <w:rFonts w:asciiTheme="minorHAnsi" w:hAnsiTheme="minorHAnsi" w:cstheme="minorHAnsi"/>
                <w:sz w:val="17"/>
                <w:szCs w:val="17"/>
                <w:highlight w:val="yellow"/>
              </w:rPr>
            </w:pPr>
          </w:p>
          <w:p w14:paraId="4F30B729" w14:textId="458CD139" w:rsidR="00F472A6" w:rsidRPr="00DD5B7A" w:rsidRDefault="00E25F46" w:rsidP="009D6968">
            <w:pPr>
              <w:ind w:left="-57" w:right="-57"/>
              <w:rPr>
                <w:rFonts w:asciiTheme="minorHAnsi" w:hAnsiTheme="minorHAnsi" w:cstheme="minorHAnsi"/>
                <w:b/>
                <w:bCs/>
                <w:sz w:val="17"/>
                <w:szCs w:val="17"/>
              </w:rPr>
            </w:pPr>
            <w:r w:rsidRPr="00DD5B7A">
              <w:rPr>
                <w:rFonts w:asciiTheme="minorHAnsi" w:hAnsiTheme="minorHAnsi" w:cstheme="minorHAnsi"/>
                <w:b/>
                <w:bCs/>
                <w:sz w:val="17"/>
                <w:szCs w:val="17"/>
                <w:highlight w:val="yellow"/>
              </w:rPr>
              <w:t>189,983</w:t>
            </w:r>
          </w:p>
        </w:tc>
        <w:tc>
          <w:tcPr>
            <w:tcW w:w="648" w:type="pct"/>
            <w:shd w:val="clear" w:color="auto" w:fill="auto"/>
          </w:tcPr>
          <w:p w14:paraId="386D5DA7" w14:textId="77777777" w:rsidR="008D738E" w:rsidRDefault="008D738E" w:rsidP="009D6968">
            <w:pPr>
              <w:ind w:right="-57"/>
              <w:rPr>
                <w:rFonts w:asciiTheme="minorHAnsi" w:hAnsiTheme="minorHAnsi" w:cstheme="minorHAnsi"/>
                <w:sz w:val="17"/>
                <w:szCs w:val="17"/>
              </w:rPr>
            </w:pPr>
          </w:p>
          <w:p w14:paraId="041FE39F" w14:textId="77777777" w:rsidR="008D738E" w:rsidRDefault="008D738E" w:rsidP="009D6968">
            <w:pPr>
              <w:ind w:right="-57"/>
              <w:rPr>
                <w:rFonts w:asciiTheme="minorHAnsi" w:hAnsiTheme="minorHAnsi" w:cstheme="minorHAnsi"/>
                <w:sz w:val="17"/>
                <w:szCs w:val="17"/>
              </w:rPr>
            </w:pPr>
          </w:p>
          <w:p w14:paraId="3B9CAC3F" w14:textId="77777777" w:rsidR="00E65228" w:rsidRPr="0017210F" w:rsidRDefault="00E65228" w:rsidP="009D6968">
            <w:pPr>
              <w:ind w:right="-57"/>
              <w:rPr>
                <w:rFonts w:asciiTheme="minorHAnsi" w:hAnsiTheme="minorHAnsi" w:cstheme="minorHAnsi"/>
                <w:sz w:val="17"/>
                <w:szCs w:val="17"/>
              </w:rPr>
            </w:pPr>
            <w:r w:rsidRPr="0017210F">
              <w:rPr>
                <w:rFonts w:asciiTheme="minorHAnsi" w:hAnsiTheme="minorHAnsi" w:cstheme="minorHAnsi"/>
                <w:sz w:val="17"/>
                <w:szCs w:val="17"/>
              </w:rPr>
              <w:t>Indicative (ha):</w:t>
            </w:r>
          </w:p>
          <w:p w14:paraId="0488B9FE" w14:textId="77777777" w:rsidR="00E65228" w:rsidRPr="0017210F" w:rsidRDefault="00E65228" w:rsidP="009D6968">
            <w:pPr>
              <w:ind w:right="-57"/>
              <w:rPr>
                <w:rFonts w:asciiTheme="minorHAnsi" w:hAnsiTheme="minorHAnsi" w:cstheme="minorHAnsi"/>
                <w:sz w:val="17"/>
                <w:szCs w:val="17"/>
              </w:rPr>
            </w:pPr>
          </w:p>
          <w:p w14:paraId="3D341C5F" w14:textId="77777777" w:rsidR="00D12B6D" w:rsidRDefault="00D12B6D" w:rsidP="009D6968">
            <w:pPr>
              <w:ind w:left="-57" w:right="-57"/>
              <w:rPr>
                <w:rFonts w:asciiTheme="minorHAnsi" w:hAnsiTheme="minorHAnsi" w:cstheme="minorHAnsi"/>
                <w:sz w:val="17"/>
                <w:szCs w:val="17"/>
              </w:rPr>
            </w:pPr>
          </w:p>
          <w:p w14:paraId="63276FBD" w14:textId="65B2222B" w:rsidR="00D12B6D" w:rsidRPr="00DD5B7A" w:rsidRDefault="00DF7B90" w:rsidP="009D6968">
            <w:pPr>
              <w:ind w:left="-57" w:right="-57"/>
              <w:rPr>
                <w:rFonts w:asciiTheme="minorHAnsi" w:hAnsiTheme="minorHAnsi" w:cstheme="minorHAnsi"/>
                <w:sz w:val="17"/>
                <w:szCs w:val="17"/>
                <w:highlight w:val="yellow"/>
              </w:rPr>
            </w:pPr>
            <w:r w:rsidRPr="00DD5B7A">
              <w:rPr>
                <w:rFonts w:asciiTheme="minorHAnsi" w:hAnsiTheme="minorHAnsi" w:cstheme="minorHAnsi"/>
                <w:sz w:val="17"/>
                <w:szCs w:val="17"/>
                <w:highlight w:val="yellow"/>
              </w:rPr>
              <w:t>333</w:t>
            </w:r>
            <w:r w:rsidR="00D12B6D" w:rsidRPr="00DD5B7A">
              <w:rPr>
                <w:rFonts w:asciiTheme="minorHAnsi" w:hAnsiTheme="minorHAnsi" w:cstheme="minorHAnsi"/>
                <w:sz w:val="17"/>
                <w:szCs w:val="17"/>
                <w:highlight w:val="yellow"/>
              </w:rPr>
              <w:t>,</w:t>
            </w:r>
            <w:r w:rsidRPr="00DD5B7A">
              <w:rPr>
                <w:rFonts w:asciiTheme="minorHAnsi" w:hAnsiTheme="minorHAnsi" w:cstheme="minorHAnsi"/>
                <w:sz w:val="17"/>
                <w:szCs w:val="17"/>
                <w:highlight w:val="yellow"/>
              </w:rPr>
              <w:t>700</w:t>
            </w:r>
          </w:p>
          <w:p w14:paraId="0BC008EF" w14:textId="77777777" w:rsidR="00DD5B7A" w:rsidRPr="00DD5B7A" w:rsidRDefault="00DD5B7A" w:rsidP="009D6968">
            <w:pPr>
              <w:ind w:left="-57" w:right="-57"/>
              <w:rPr>
                <w:rFonts w:asciiTheme="minorHAnsi" w:hAnsiTheme="minorHAnsi" w:cstheme="minorHAnsi"/>
                <w:sz w:val="17"/>
                <w:szCs w:val="17"/>
                <w:highlight w:val="yellow"/>
              </w:rPr>
            </w:pPr>
          </w:p>
          <w:p w14:paraId="53856E6E" w14:textId="13313E15" w:rsidR="00CF0161" w:rsidRPr="00DD5B7A" w:rsidRDefault="00D12B6D" w:rsidP="009D6968">
            <w:pPr>
              <w:ind w:left="-57" w:right="-57"/>
              <w:rPr>
                <w:rFonts w:asciiTheme="minorHAnsi" w:hAnsiTheme="minorHAnsi" w:cstheme="minorHAnsi"/>
                <w:sz w:val="17"/>
                <w:szCs w:val="17"/>
                <w:highlight w:val="yellow"/>
              </w:rPr>
            </w:pPr>
            <w:r w:rsidRPr="00DD5B7A">
              <w:rPr>
                <w:rFonts w:asciiTheme="minorHAnsi" w:hAnsiTheme="minorHAnsi" w:cstheme="minorHAnsi"/>
                <w:sz w:val="17"/>
                <w:szCs w:val="17"/>
                <w:highlight w:val="yellow"/>
              </w:rPr>
              <w:t>299,464</w:t>
            </w:r>
          </w:p>
          <w:p w14:paraId="5E29FBCC" w14:textId="77777777" w:rsidR="00D12B6D" w:rsidRPr="00DD5B7A" w:rsidRDefault="00D12B6D" w:rsidP="009D6968">
            <w:pPr>
              <w:ind w:left="-57" w:right="-57"/>
              <w:rPr>
                <w:rFonts w:asciiTheme="minorHAnsi" w:hAnsiTheme="minorHAnsi" w:cstheme="minorHAnsi"/>
                <w:sz w:val="17"/>
                <w:szCs w:val="17"/>
                <w:highlight w:val="yellow"/>
              </w:rPr>
            </w:pPr>
          </w:p>
          <w:p w14:paraId="77AA064C" w14:textId="7AF683C4" w:rsidR="00CF0161" w:rsidRPr="00DD5B7A" w:rsidRDefault="00D12B6D" w:rsidP="009D6968">
            <w:pPr>
              <w:ind w:left="-57" w:right="-57"/>
              <w:rPr>
                <w:rFonts w:asciiTheme="minorHAnsi" w:hAnsiTheme="minorHAnsi" w:cstheme="minorHAnsi"/>
                <w:sz w:val="17"/>
                <w:szCs w:val="17"/>
                <w:highlight w:val="yellow"/>
              </w:rPr>
            </w:pPr>
            <w:r w:rsidRPr="00DD5B7A">
              <w:rPr>
                <w:rFonts w:asciiTheme="minorHAnsi" w:hAnsiTheme="minorHAnsi" w:cstheme="minorHAnsi"/>
                <w:sz w:val="17"/>
                <w:szCs w:val="17"/>
                <w:highlight w:val="yellow"/>
              </w:rPr>
              <w:t>114</w:t>
            </w:r>
          </w:p>
          <w:p w14:paraId="047EC325" w14:textId="77777777" w:rsidR="00CF0161" w:rsidRPr="00DD5B7A" w:rsidRDefault="00CF0161" w:rsidP="009D6968">
            <w:pPr>
              <w:ind w:left="-57" w:right="-57"/>
              <w:rPr>
                <w:rFonts w:asciiTheme="minorHAnsi" w:hAnsiTheme="minorHAnsi" w:cstheme="minorHAnsi"/>
                <w:sz w:val="17"/>
                <w:szCs w:val="17"/>
                <w:highlight w:val="yellow"/>
              </w:rPr>
            </w:pPr>
          </w:p>
          <w:p w14:paraId="19645DD3" w14:textId="520BE1EB" w:rsidR="00E65228" w:rsidRPr="0017210F" w:rsidRDefault="005D29E9" w:rsidP="009D6968">
            <w:pPr>
              <w:ind w:left="-57" w:right="-57"/>
              <w:rPr>
                <w:rFonts w:asciiTheme="minorHAnsi" w:hAnsiTheme="minorHAnsi" w:cstheme="minorHAnsi"/>
                <w:sz w:val="17"/>
                <w:szCs w:val="17"/>
              </w:rPr>
            </w:pPr>
            <w:r w:rsidRPr="00DD5B7A">
              <w:rPr>
                <w:rFonts w:asciiTheme="minorHAnsi" w:hAnsiTheme="minorHAnsi" w:cstheme="minorHAnsi"/>
                <w:b/>
                <w:bCs/>
                <w:sz w:val="17"/>
                <w:szCs w:val="17"/>
                <w:highlight w:val="yellow"/>
              </w:rPr>
              <w:t xml:space="preserve">633,278 </w:t>
            </w:r>
            <w:r w:rsidR="00993B91" w:rsidRPr="00993B91">
              <w:rPr>
                <w:rFonts w:asciiTheme="minorHAnsi" w:hAnsiTheme="minorHAnsi" w:cstheme="minorHAnsi"/>
                <w:sz w:val="17"/>
                <w:szCs w:val="17"/>
              </w:rPr>
              <w:tab/>
            </w:r>
          </w:p>
        </w:tc>
        <w:tc>
          <w:tcPr>
            <w:tcW w:w="698" w:type="pct"/>
            <w:shd w:val="clear" w:color="auto" w:fill="auto"/>
          </w:tcPr>
          <w:p w14:paraId="3A70191B" w14:textId="77777777" w:rsidR="00E65228" w:rsidRPr="0017210F" w:rsidDel="0052195C" w:rsidRDefault="00E65228" w:rsidP="009D6968">
            <w:pPr>
              <w:spacing w:beforeLines="1" w:before="2" w:afterLines="1" w:after="2"/>
              <w:ind w:left="-80" w:right="-80"/>
              <w:textAlignment w:val="baseline"/>
              <w:rPr>
                <w:rFonts w:asciiTheme="minorHAnsi" w:hAnsiTheme="minorHAnsi" w:cstheme="minorHAnsi"/>
                <w:sz w:val="17"/>
                <w:szCs w:val="17"/>
              </w:rPr>
            </w:pPr>
            <w:r w:rsidRPr="0017210F">
              <w:rPr>
                <w:rFonts w:asciiTheme="minorHAnsi" w:hAnsiTheme="minorHAnsi" w:cstheme="minorHAnsi"/>
                <w:sz w:val="17"/>
                <w:szCs w:val="17"/>
              </w:rPr>
              <w:t>- ILAM/ILUP reports</w:t>
            </w:r>
          </w:p>
          <w:p w14:paraId="797FF626" w14:textId="77777777" w:rsidR="00E65228" w:rsidRPr="0017210F" w:rsidRDefault="00E65228" w:rsidP="009D6968">
            <w:pPr>
              <w:spacing w:beforeLines="1" w:before="2" w:afterLines="1" w:after="2"/>
              <w:ind w:left="-80" w:right="-80"/>
              <w:textAlignment w:val="baseline"/>
              <w:rPr>
                <w:rFonts w:asciiTheme="minorHAnsi" w:hAnsiTheme="minorHAnsi" w:cstheme="minorHAnsi"/>
                <w:sz w:val="17"/>
                <w:szCs w:val="17"/>
              </w:rPr>
            </w:pPr>
            <w:r w:rsidRPr="0017210F">
              <w:rPr>
                <w:rFonts w:asciiTheme="minorHAnsi" w:hAnsiTheme="minorHAnsi" w:cstheme="minorHAnsi"/>
                <w:sz w:val="17"/>
                <w:szCs w:val="17"/>
              </w:rPr>
              <w:t>- Project progress reports (PIR, FAO PPR)</w:t>
            </w:r>
          </w:p>
          <w:p w14:paraId="3D130BBD" w14:textId="0B10A196" w:rsidR="00E65228" w:rsidRPr="0017210F" w:rsidRDefault="00036027" w:rsidP="009D6968">
            <w:pPr>
              <w:spacing w:beforeLines="1" w:before="2" w:afterLines="1" w:after="2"/>
              <w:ind w:left="-80" w:right="-80"/>
              <w:textAlignment w:val="baseline"/>
              <w:rPr>
                <w:rFonts w:asciiTheme="minorHAnsi" w:hAnsiTheme="minorHAnsi" w:cstheme="minorHAnsi"/>
                <w:sz w:val="17"/>
                <w:szCs w:val="17"/>
              </w:rPr>
            </w:pPr>
            <w:r>
              <w:rPr>
                <w:rFonts w:asciiTheme="minorHAnsi" w:hAnsiTheme="minorHAnsi" w:cstheme="minorHAnsi"/>
                <w:sz w:val="17"/>
                <w:szCs w:val="17"/>
              </w:rPr>
              <w:t>-</w:t>
            </w:r>
            <w:r w:rsidR="006A3334">
              <w:rPr>
                <w:rFonts w:asciiTheme="minorHAnsi" w:hAnsiTheme="minorHAnsi" w:cstheme="minorHAnsi"/>
                <w:sz w:val="17"/>
                <w:szCs w:val="17"/>
              </w:rPr>
              <w:t xml:space="preserve">Web-based </w:t>
            </w:r>
            <w:r w:rsidR="00D17620">
              <w:rPr>
                <w:rFonts w:asciiTheme="minorHAnsi" w:hAnsiTheme="minorHAnsi" w:cstheme="minorHAnsi"/>
                <w:sz w:val="17"/>
                <w:szCs w:val="17"/>
              </w:rPr>
              <w:t>GIS</w:t>
            </w:r>
            <w:r w:rsidR="00E65228" w:rsidRPr="0017210F">
              <w:rPr>
                <w:rFonts w:asciiTheme="minorHAnsi" w:hAnsiTheme="minorHAnsi" w:cstheme="minorHAnsi"/>
                <w:sz w:val="17"/>
                <w:szCs w:val="17"/>
              </w:rPr>
              <w:t xml:space="preserve"> database</w:t>
            </w:r>
            <w:r w:rsidR="00D17620">
              <w:rPr>
                <w:rFonts w:asciiTheme="minorHAnsi" w:hAnsiTheme="minorHAnsi" w:cstheme="minorHAnsi"/>
                <w:sz w:val="17"/>
                <w:szCs w:val="17"/>
              </w:rPr>
              <w:t xml:space="preserve"> </w:t>
            </w:r>
            <w:r>
              <w:rPr>
                <w:rFonts w:asciiTheme="minorHAnsi" w:hAnsiTheme="minorHAnsi" w:cstheme="minorHAnsi"/>
                <w:sz w:val="17"/>
                <w:szCs w:val="17"/>
              </w:rPr>
              <w:t>including</w:t>
            </w:r>
            <w:r w:rsidR="00D17620">
              <w:rPr>
                <w:rFonts w:asciiTheme="minorHAnsi" w:hAnsiTheme="minorHAnsi" w:cstheme="minorHAnsi"/>
                <w:sz w:val="17"/>
                <w:szCs w:val="17"/>
              </w:rPr>
              <w:t xml:space="preserve"> ILUP</w:t>
            </w:r>
            <w:r>
              <w:rPr>
                <w:rFonts w:asciiTheme="minorHAnsi" w:hAnsiTheme="minorHAnsi" w:cstheme="minorHAnsi"/>
                <w:sz w:val="17"/>
                <w:szCs w:val="17"/>
              </w:rPr>
              <w:t>s</w:t>
            </w:r>
            <w:r w:rsidR="00D17620">
              <w:rPr>
                <w:rFonts w:asciiTheme="minorHAnsi" w:hAnsiTheme="minorHAnsi" w:cstheme="minorHAnsi"/>
                <w:sz w:val="17"/>
                <w:szCs w:val="17"/>
              </w:rPr>
              <w:t xml:space="preserve"> and</w:t>
            </w:r>
            <w:r>
              <w:rPr>
                <w:rFonts w:asciiTheme="minorHAnsi" w:hAnsiTheme="minorHAnsi" w:cstheme="minorHAnsi"/>
                <w:sz w:val="17"/>
                <w:szCs w:val="17"/>
              </w:rPr>
              <w:t xml:space="preserve"> LDN Indicators</w:t>
            </w:r>
            <w:r w:rsidR="00D17620">
              <w:rPr>
                <w:rFonts w:asciiTheme="minorHAnsi" w:hAnsiTheme="minorHAnsi" w:cstheme="minorHAnsi"/>
                <w:sz w:val="17"/>
                <w:szCs w:val="17"/>
              </w:rPr>
              <w:t xml:space="preserve"> </w:t>
            </w:r>
          </w:p>
          <w:p w14:paraId="1EB615EC" w14:textId="77777777" w:rsidR="00E65228" w:rsidRPr="0017210F" w:rsidRDefault="00E65228" w:rsidP="009D6968">
            <w:pPr>
              <w:spacing w:beforeLines="1" w:before="2" w:afterLines="1" w:after="2"/>
              <w:ind w:left="-80" w:right="-80"/>
              <w:textAlignment w:val="baseline"/>
              <w:rPr>
                <w:rFonts w:asciiTheme="minorHAnsi" w:hAnsiTheme="minorHAnsi" w:cstheme="minorHAnsi"/>
                <w:sz w:val="17"/>
                <w:szCs w:val="17"/>
              </w:rPr>
            </w:pPr>
            <w:r w:rsidRPr="0017210F">
              <w:rPr>
                <w:rFonts w:asciiTheme="minorHAnsi" w:hAnsiTheme="minorHAnsi" w:cstheme="minorHAnsi"/>
                <w:sz w:val="17"/>
                <w:szCs w:val="17"/>
              </w:rPr>
              <w:t>- MTR and TE reports</w:t>
            </w:r>
          </w:p>
          <w:p w14:paraId="4A73C46B" w14:textId="77777777" w:rsidR="00E65228" w:rsidRPr="0017210F" w:rsidRDefault="00E65228" w:rsidP="009D6968">
            <w:pPr>
              <w:spacing w:beforeLines="1" w:before="2" w:afterLines="1" w:after="2"/>
              <w:ind w:left="-80" w:right="-80"/>
              <w:textAlignment w:val="baseline"/>
              <w:rPr>
                <w:rFonts w:asciiTheme="minorHAnsi" w:hAnsiTheme="minorHAnsi" w:cstheme="minorHAnsi"/>
                <w:sz w:val="17"/>
                <w:szCs w:val="17"/>
              </w:rPr>
            </w:pPr>
            <w:r w:rsidRPr="0017210F">
              <w:rPr>
                <w:rFonts w:asciiTheme="minorHAnsi" w:hAnsiTheme="minorHAnsi" w:cstheme="minorHAnsi"/>
                <w:sz w:val="17"/>
                <w:szCs w:val="17"/>
              </w:rPr>
              <w:t>- UNCCD and UNFCCC convention reporting by Angola</w:t>
            </w:r>
          </w:p>
          <w:p w14:paraId="564313DD" w14:textId="77777777" w:rsidR="00E65228" w:rsidRPr="0017210F" w:rsidRDefault="00E65228" w:rsidP="009D6968">
            <w:pPr>
              <w:spacing w:beforeLines="1" w:before="2" w:afterLines="1" w:after="2"/>
              <w:ind w:left="-80" w:right="-80"/>
              <w:textAlignment w:val="baseline"/>
              <w:rPr>
                <w:rFonts w:asciiTheme="minorHAnsi" w:hAnsiTheme="minorHAnsi" w:cstheme="minorHAnsi"/>
                <w:sz w:val="17"/>
                <w:szCs w:val="17"/>
              </w:rPr>
            </w:pPr>
            <w:r w:rsidRPr="0017210F">
              <w:rPr>
                <w:rFonts w:asciiTheme="minorHAnsi" w:hAnsiTheme="minorHAnsi" w:cstheme="minorHAnsi"/>
                <w:sz w:val="17"/>
                <w:szCs w:val="17"/>
              </w:rPr>
              <w:t>-ProDoc Annex F: GEF TF / LDCF/ SCCF Core Indicator Worksheet </w:t>
            </w:r>
          </w:p>
        </w:tc>
        <w:tc>
          <w:tcPr>
            <w:tcW w:w="625" w:type="pct"/>
            <w:vMerge w:val="restart"/>
            <w:shd w:val="clear" w:color="auto" w:fill="auto"/>
          </w:tcPr>
          <w:p w14:paraId="399C07EE" w14:textId="21C9AB23" w:rsidR="00E65228" w:rsidRPr="0017210F" w:rsidRDefault="00E65228" w:rsidP="005340DB">
            <w:pPr>
              <w:rPr>
                <w:rFonts w:asciiTheme="minorHAnsi" w:hAnsiTheme="minorHAnsi" w:cstheme="minorHAnsi"/>
                <w:sz w:val="17"/>
                <w:szCs w:val="17"/>
              </w:rPr>
            </w:pPr>
            <w:r w:rsidRPr="36822015">
              <w:rPr>
                <w:rFonts w:asciiTheme="minorHAnsi" w:hAnsiTheme="minorHAnsi" w:cstheme="minorBidi"/>
                <w:sz w:val="17"/>
                <w:szCs w:val="17"/>
              </w:rPr>
              <w:t>Not applicable</w:t>
            </w:r>
            <w:r w:rsidR="005340DB" w:rsidRPr="36822015">
              <w:rPr>
                <w:rStyle w:val="FootnoteReference"/>
                <w:rFonts w:asciiTheme="minorHAnsi" w:hAnsiTheme="minorHAnsi" w:cstheme="minorBidi"/>
                <w:sz w:val="17"/>
                <w:szCs w:val="17"/>
              </w:rPr>
              <w:footnoteReference w:id="109"/>
            </w:r>
            <w:r w:rsidRPr="36822015">
              <w:rPr>
                <w:rFonts w:asciiTheme="minorHAnsi" w:hAnsiTheme="minorHAnsi" w:cstheme="minorBidi"/>
                <w:sz w:val="17"/>
                <w:szCs w:val="17"/>
              </w:rPr>
              <w:t xml:space="preserve">. </w:t>
            </w:r>
          </w:p>
        </w:tc>
      </w:tr>
      <w:tr w:rsidR="00E65228" w:rsidRPr="0017210F" w14:paraId="561420DA" w14:textId="77777777" w:rsidTr="01B6467E">
        <w:trPr>
          <w:trHeight w:val="1160"/>
        </w:trPr>
        <w:tc>
          <w:tcPr>
            <w:tcW w:w="574" w:type="pct"/>
            <w:shd w:val="clear" w:color="auto" w:fill="auto"/>
          </w:tcPr>
          <w:p w14:paraId="511D1B43" w14:textId="77777777" w:rsidR="00E65228" w:rsidRPr="0017210F" w:rsidRDefault="00E65228" w:rsidP="009D6968">
            <w:pPr>
              <w:rPr>
                <w:rFonts w:asciiTheme="minorHAnsi" w:hAnsiTheme="minorHAnsi" w:cstheme="minorHAnsi"/>
                <w:sz w:val="17"/>
                <w:szCs w:val="17"/>
              </w:rPr>
            </w:pPr>
          </w:p>
        </w:tc>
        <w:tc>
          <w:tcPr>
            <w:tcW w:w="1259" w:type="pct"/>
            <w:shd w:val="clear" w:color="auto" w:fill="auto"/>
          </w:tcPr>
          <w:p w14:paraId="64ABB50D" w14:textId="77777777" w:rsidR="00E65228" w:rsidRPr="0017210F" w:rsidRDefault="00E65228" w:rsidP="009D6968">
            <w:pPr>
              <w:ind w:left="-57" w:right="-57"/>
              <w:rPr>
                <w:rFonts w:asciiTheme="minorHAnsi" w:hAnsiTheme="minorHAnsi" w:cstheme="minorHAnsi"/>
                <w:sz w:val="17"/>
                <w:szCs w:val="17"/>
              </w:rPr>
            </w:pPr>
            <w:r w:rsidRPr="36822015">
              <w:rPr>
                <w:rFonts w:asciiTheme="minorHAnsi" w:hAnsiTheme="minorHAnsi" w:cstheme="minorBidi"/>
                <w:sz w:val="17"/>
                <w:szCs w:val="17"/>
              </w:rPr>
              <w:t>2. Greenhouse Gas Emissions Mitigated (metric tons of CO2e)</w:t>
            </w:r>
            <w:r w:rsidRPr="36822015">
              <w:rPr>
                <w:rStyle w:val="FootnoteReference"/>
                <w:rFonts w:asciiTheme="minorHAnsi" w:hAnsiTheme="minorHAnsi" w:cstheme="minorBidi"/>
                <w:sz w:val="17"/>
                <w:szCs w:val="17"/>
              </w:rPr>
              <w:footnoteReference w:id="110"/>
            </w:r>
            <w:r w:rsidRPr="36822015">
              <w:rPr>
                <w:rFonts w:asciiTheme="minorHAnsi" w:hAnsiTheme="minorHAnsi" w:cstheme="minorBidi"/>
                <w:sz w:val="17"/>
                <w:szCs w:val="17"/>
              </w:rPr>
              <w:t xml:space="preserve"> (corresponding to </w:t>
            </w:r>
            <w:r w:rsidRPr="36822015">
              <w:rPr>
                <w:rFonts w:asciiTheme="minorHAnsi" w:hAnsiTheme="minorHAnsi" w:cstheme="minorBidi"/>
                <w:b/>
                <w:bCs/>
                <w:sz w:val="17"/>
                <w:szCs w:val="17"/>
              </w:rPr>
              <w:t>GEF Core Indicator 6.1</w:t>
            </w:r>
            <w:r w:rsidRPr="36822015">
              <w:rPr>
                <w:rFonts w:asciiTheme="minorHAnsi" w:hAnsiTheme="minorHAnsi" w:cstheme="minorBidi"/>
                <w:sz w:val="17"/>
                <w:szCs w:val="17"/>
              </w:rPr>
              <w:t>):</w:t>
            </w:r>
          </w:p>
          <w:p w14:paraId="2A4D9A27" w14:textId="77777777" w:rsidR="00E65228" w:rsidRPr="0017210F" w:rsidRDefault="00E65228" w:rsidP="009D6968">
            <w:pPr>
              <w:ind w:left="-57" w:right="-57"/>
              <w:jc w:val="right"/>
              <w:rPr>
                <w:rFonts w:asciiTheme="minorHAnsi" w:hAnsiTheme="minorHAnsi" w:cstheme="minorHAnsi"/>
                <w:sz w:val="17"/>
                <w:szCs w:val="17"/>
              </w:rPr>
            </w:pPr>
          </w:p>
          <w:p w14:paraId="7E1F8941" w14:textId="77777777" w:rsidR="00E65228" w:rsidRPr="0017210F" w:rsidRDefault="00E65228" w:rsidP="009D6968">
            <w:pPr>
              <w:rPr>
                <w:rFonts w:asciiTheme="minorHAnsi" w:hAnsiTheme="minorHAnsi" w:cstheme="minorHAnsi"/>
                <w:sz w:val="17"/>
                <w:szCs w:val="17"/>
              </w:rPr>
            </w:pPr>
          </w:p>
        </w:tc>
        <w:tc>
          <w:tcPr>
            <w:tcW w:w="598" w:type="pct"/>
            <w:shd w:val="clear" w:color="auto" w:fill="auto"/>
          </w:tcPr>
          <w:p w14:paraId="1AE18092" w14:textId="6516AC72" w:rsidR="00E65228" w:rsidRPr="0017210F" w:rsidRDefault="004B203A" w:rsidP="009D6968">
            <w:pPr>
              <w:ind w:left="-57" w:right="-57"/>
              <w:rPr>
                <w:rFonts w:asciiTheme="minorHAnsi" w:hAnsiTheme="minorHAnsi" w:cstheme="minorHAnsi"/>
                <w:sz w:val="17"/>
                <w:szCs w:val="17"/>
              </w:rPr>
            </w:pPr>
            <w:r>
              <w:rPr>
                <w:rFonts w:asciiTheme="minorHAnsi" w:hAnsiTheme="minorHAnsi" w:cstheme="minorHAnsi"/>
                <w:sz w:val="17"/>
                <w:szCs w:val="17"/>
              </w:rPr>
              <w:t>206</w:t>
            </w:r>
            <w:r w:rsidR="00E65228" w:rsidRPr="0017210F">
              <w:rPr>
                <w:rFonts w:asciiTheme="minorHAnsi" w:hAnsiTheme="minorHAnsi" w:cstheme="minorHAnsi"/>
                <w:sz w:val="17"/>
                <w:szCs w:val="17"/>
              </w:rPr>
              <w:t>,</w:t>
            </w:r>
            <w:r>
              <w:rPr>
                <w:rFonts w:asciiTheme="minorHAnsi" w:hAnsiTheme="minorHAnsi" w:cstheme="minorHAnsi"/>
                <w:sz w:val="17"/>
                <w:szCs w:val="17"/>
              </w:rPr>
              <w:t>096</w:t>
            </w:r>
            <w:r w:rsidR="00E65228" w:rsidRPr="0017210F">
              <w:rPr>
                <w:rFonts w:asciiTheme="minorHAnsi" w:hAnsiTheme="minorHAnsi" w:cstheme="minorHAnsi"/>
                <w:sz w:val="17"/>
                <w:szCs w:val="17"/>
              </w:rPr>
              <w:t xml:space="preserve"> tCO2-eq emissions generated without the project, indexed at 100% at the baseline</w:t>
            </w:r>
          </w:p>
        </w:tc>
        <w:tc>
          <w:tcPr>
            <w:tcW w:w="598" w:type="pct"/>
            <w:gridSpan w:val="2"/>
            <w:shd w:val="clear" w:color="auto" w:fill="auto"/>
          </w:tcPr>
          <w:p w14:paraId="580E218D" w14:textId="57CEBC0D" w:rsidR="00E65228" w:rsidRPr="0017210F" w:rsidRDefault="00E65228" w:rsidP="009D6968">
            <w:pPr>
              <w:rPr>
                <w:rFonts w:asciiTheme="minorHAnsi" w:hAnsiTheme="minorHAnsi" w:cstheme="minorHAnsi"/>
                <w:sz w:val="17"/>
                <w:szCs w:val="17"/>
              </w:rPr>
            </w:pPr>
            <w:r w:rsidRPr="0017210F">
              <w:rPr>
                <w:rFonts w:asciiTheme="minorHAnsi" w:hAnsiTheme="minorHAnsi" w:cstheme="minorHAnsi"/>
                <w:sz w:val="17"/>
                <w:szCs w:val="17"/>
              </w:rPr>
              <w:t>-</w:t>
            </w:r>
            <w:r w:rsidR="0076268C">
              <w:rPr>
                <w:rFonts w:asciiTheme="minorHAnsi" w:hAnsiTheme="minorHAnsi" w:cstheme="minorHAnsi"/>
                <w:sz w:val="17"/>
                <w:szCs w:val="17"/>
              </w:rPr>
              <w:t>314</w:t>
            </w:r>
            <w:r w:rsidRPr="0017210F">
              <w:rPr>
                <w:rFonts w:asciiTheme="minorHAnsi" w:hAnsiTheme="minorHAnsi" w:cstheme="minorHAnsi"/>
                <w:sz w:val="17"/>
                <w:szCs w:val="17"/>
              </w:rPr>
              <w:t>,</w:t>
            </w:r>
            <w:r w:rsidR="00F36C31">
              <w:rPr>
                <w:rFonts w:asciiTheme="minorHAnsi" w:hAnsiTheme="minorHAnsi" w:cstheme="minorHAnsi"/>
                <w:sz w:val="17"/>
                <w:szCs w:val="17"/>
              </w:rPr>
              <w:t>373</w:t>
            </w:r>
            <w:r w:rsidR="00F36C31" w:rsidRPr="0017210F">
              <w:rPr>
                <w:rFonts w:asciiTheme="minorHAnsi" w:hAnsiTheme="minorHAnsi" w:cstheme="minorHAnsi"/>
                <w:sz w:val="17"/>
                <w:szCs w:val="17"/>
              </w:rPr>
              <w:t xml:space="preserve"> </w:t>
            </w:r>
            <w:r w:rsidRPr="0017210F">
              <w:rPr>
                <w:rFonts w:asciiTheme="minorHAnsi" w:hAnsiTheme="minorHAnsi" w:cstheme="minorHAnsi"/>
                <w:sz w:val="17"/>
                <w:szCs w:val="17"/>
              </w:rPr>
              <w:t>tCO2-eq sequestered</w:t>
            </w:r>
          </w:p>
        </w:tc>
        <w:tc>
          <w:tcPr>
            <w:tcW w:w="648" w:type="pct"/>
            <w:shd w:val="clear" w:color="auto" w:fill="auto"/>
          </w:tcPr>
          <w:p w14:paraId="312A0720" w14:textId="3111127E" w:rsidR="00E65228" w:rsidRPr="0017210F" w:rsidRDefault="00E65228" w:rsidP="009D6968">
            <w:pPr>
              <w:rPr>
                <w:rFonts w:asciiTheme="minorHAnsi" w:hAnsiTheme="minorHAnsi" w:cstheme="minorHAnsi"/>
                <w:sz w:val="17"/>
                <w:szCs w:val="17"/>
              </w:rPr>
            </w:pPr>
            <w:r w:rsidRPr="0017210F">
              <w:rPr>
                <w:rFonts w:asciiTheme="minorHAnsi" w:hAnsiTheme="minorHAnsi" w:cstheme="minorHAnsi"/>
                <w:sz w:val="17"/>
                <w:szCs w:val="17"/>
              </w:rPr>
              <w:t>-</w:t>
            </w:r>
            <w:r w:rsidR="004B203A" w:rsidRPr="004B203A">
              <w:rPr>
                <w:rFonts w:asciiTheme="minorHAnsi" w:hAnsiTheme="minorHAnsi" w:cstheme="minorHAnsi"/>
                <w:sz w:val="17"/>
                <w:szCs w:val="17"/>
              </w:rPr>
              <w:t>1,047,911</w:t>
            </w:r>
            <w:r w:rsidR="004B203A" w:rsidRPr="004B203A" w:rsidDel="004B203A">
              <w:rPr>
                <w:rFonts w:asciiTheme="minorHAnsi" w:hAnsiTheme="minorHAnsi" w:cstheme="minorHAnsi"/>
                <w:sz w:val="17"/>
                <w:szCs w:val="17"/>
              </w:rPr>
              <w:t xml:space="preserve"> </w:t>
            </w:r>
            <w:r w:rsidRPr="0017210F">
              <w:rPr>
                <w:rFonts w:asciiTheme="minorHAnsi" w:hAnsiTheme="minorHAnsi" w:cstheme="minorHAnsi"/>
                <w:sz w:val="17"/>
                <w:szCs w:val="17"/>
              </w:rPr>
              <w:t>tCO2-eq sequestered as a result of the project</w:t>
            </w:r>
          </w:p>
        </w:tc>
        <w:tc>
          <w:tcPr>
            <w:tcW w:w="698" w:type="pct"/>
            <w:shd w:val="clear" w:color="auto" w:fill="auto"/>
          </w:tcPr>
          <w:p w14:paraId="3460157E" w14:textId="77777777" w:rsidR="00E65228" w:rsidRPr="0017210F" w:rsidRDefault="00E65228" w:rsidP="009D6968">
            <w:pPr>
              <w:spacing w:beforeLines="1" w:before="2" w:afterLines="1" w:after="2"/>
              <w:ind w:left="-80" w:right="-80"/>
              <w:textAlignment w:val="baseline"/>
              <w:rPr>
                <w:rFonts w:asciiTheme="minorHAnsi" w:hAnsiTheme="minorHAnsi" w:cstheme="minorHAnsi"/>
                <w:sz w:val="17"/>
                <w:szCs w:val="17"/>
              </w:rPr>
            </w:pPr>
            <w:r w:rsidRPr="0017210F">
              <w:rPr>
                <w:rFonts w:asciiTheme="minorHAnsi" w:hAnsiTheme="minorHAnsi" w:cstheme="minorHAnsi"/>
                <w:sz w:val="17"/>
                <w:szCs w:val="17"/>
              </w:rPr>
              <w:t>- Application of the ExACT Tool</w:t>
            </w:r>
          </w:p>
          <w:p w14:paraId="65254575" w14:textId="77777777" w:rsidR="00E65228" w:rsidRPr="0017210F" w:rsidDel="0052195C" w:rsidRDefault="00E65228" w:rsidP="009D6968">
            <w:pPr>
              <w:spacing w:beforeLines="1" w:before="2" w:afterLines="1" w:after="2"/>
              <w:ind w:left="-80" w:right="-80"/>
              <w:textAlignment w:val="baseline"/>
              <w:rPr>
                <w:rFonts w:asciiTheme="minorHAnsi" w:hAnsiTheme="minorHAnsi" w:cstheme="minorHAnsi"/>
                <w:sz w:val="17"/>
                <w:szCs w:val="17"/>
              </w:rPr>
            </w:pPr>
            <w:r w:rsidRPr="0017210F">
              <w:rPr>
                <w:rFonts w:asciiTheme="minorHAnsi" w:hAnsiTheme="minorHAnsi" w:cstheme="minorHAnsi"/>
                <w:sz w:val="17"/>
                <w:szCs w:val="17"/>
              </w:rPr>
              <w:t>- ILAM/ILUP reports</w:t>
            </w:r>
          </w:p>
          <w:p w14:paraId="61E68CAB" w14:textId="77777777" w:rsidR="00E65228" w:rsidRPr="0017210F" w:rsidRDefault="00E65228" w:rsidP="009D6968">
            <w:pPr>
              <w:spacing w:beforeLines="1" w:before="2" w:afterLines="1" w:after="2"/>
              <w:ind w:left="-80" w:right="-80"/>
              <w:textAlignment w:val="baseline"/>
              <w:rPr>
                <w:rFonts w:asciiTheme="minorHAnsi" w:hAnsiTheme="minorHAnsi" w:cstheme="minorHAnsi"/>
                <w:sz w:val="17"/>
                <w:szCs w:val="17"/>
              </w:rPr>
            </w:pPr>
            <w:r w:rsidRPr="0017210F">
              <w:rPr>
                <w:rFonts w:asciiTheme="minorHAnsi" w:hAnsiTheme="minorHAnsi" w:cstheme="minorHAnsi"/>
                <w:sz w:val="17"/>
                <w:szCs w:val="17"/>
              </w:rPr>
              <w:t>- Project progress reports (PIR, FAO PPR)</w:t>
            </w:r>
          </w:p>
          <w:p w14:paraId="64AF5CED" w14:textId="77777777" w:rsidR="00E65228" w:rsidRPr="0017210F" w:rsidRDefault="00E65228" w:rsidP="009D6968">
            <w:pPr>
              <w:spacing w:beforeLines="1" w:before="2" w:afterLines="1" w:after="2"/>
              <w:ind w:left="-80" w:right="-80"/>
              <w:textAlignment w:val="baseline"/>
              <w:rPr>
                <w:rFonts w:asciiTheme="minorHAnsi" w:hAnsiTheme="minorHAnsi" w:cstheme="minorHAnsi"/>
                <w:sz w:val="17"/>
                <w:szCs w:val="17"/>
              </w:rPr>
            </w:pPr>
            <w:r w:rsidRPr="0017210F">
              <w:rPr>
                <w:rFonts w:asciiTheme="minorHAnsi" w:hAnsiTheme="minorHAnsi" w:cstheme="minorHAnsi"/>
                <w:sz w:val="17"/>
                <w:szCs w:val="17"/>
              </w:rPr>
              <w:t>- MTR and TE report</w:t>
            </w:r>
          </w:p>
        </w:tc>
        <w:tc>
          <w:tcPr>
            <w:tcW w:w="625" w:type="pct"/>
            <w:vMerge/>
          </w:tcPr>
          <w:p w14:paraId="368CE403" w14:textId="77777777" w:rsidR="00E65228" w:rsidRPr="0017210F" w:rsidRDefault="00E65228" w:rsidP="009D6968">
            <w:pPr>
              <w:rPr>
                <w:rFonts w:asciiTheme="minorHAnsi" w:hAnsiTheme="minorHAnsi" w:cstheme="minorHAnsi"/>
                <w:sz w:val="17"/>
                <w:szCs w:val="17"/>
              </w:rPr>
            </w:pPr>
          </w:p>
        </w:tc>
      </w:tr>
      <w:tr w:rsidR="00E65228" w:rsidRPr="0017210F" w14:paraId="31EA003E" w14:textId="77777777" w:rsidTr="01B6467E">
        <w:trPr>
          <w:trHeight w:val="1643"/>
        </w:trPr>
        <w:tc>
          <w:tcPr>
            <w:tcW w:w="574" w:type="pct"/>
            <w:tcBorders>
              <w:bottom w:val="single" w:sz="4" w:space="0" w:color="auto"/>
            </w:tcBorders>
            <w:shd w:val="clear" w:color="auto" w:fill="auto"/>
          </w:tcPr>
          <w:p w14:paraId="5D3D3C43" w14:textId="77777777" w:rsidR="00E65228" w:rsidRPr="0017210F" w:rsidRDefault="00E65228" w:rsidP="009D6968">
            <w:pPr>
              <w:rPr>
                <w:rFonts w:asciiTheme="minorHAnsi" w:hAnsiTheme="minorHAnsi" w:cstheme="minorHAnsi"/>
                <w:sz w:val="17"/>
                <w:szCs w:val="17"/>
              </w:rPr>
            </w:pPr>
          </w:p>
        </w:tc>
        <w:tc>
          <w:tcPr>
            <w:tcW w:w="1259" w:type="pct"/>
            <w:tcBorders>
              <w:bottom w:val="single" w:sz="4" w:space="0" w:color="auto"/>
            </w:tcBorders>
            <w:shd w:val="clear" w:color="auto" w:fill="auto"/>
          </w:tcPr>
          <w:p w14:paraId="113DB3DB" w14:textId="77777777" w:rsidR="00E65228" w:rsidRPr="0017210F" w:rsidRDefault="00E65228" w:rsidP="009D6968">
            <w:pPr>
              <w:ind w:left="-72"/>
              <w:rPr>
                <w:rFonts w:asciiTheme="minorHAnsi" w:hAnsiTheme="minorHAnsi" w:cstheme="minorHAnsi"/>
                <w:sz w:val="17"/>
                <w:szCs w:val="17"/>
              </w:rPr>
            </w:pPr>
            <w:r w:rsidRPr="36822015">
              <w:rPr>
                <w:rFonts w:asciiTheme="minorHAnsi" w:hAnsiTheme="minorHAnsi" w:cstheme="minorBidi"/>
                <w:sz w:val="17"/>
                <w:szCs w:val="17"/>
              </w:rPr>
              <w:t>3a.  Number of direct beneficiaries</w:t>
            </w:r>
            <w:r w:rsidRPr="36822015">
              <w:rPr>
                <w:rStyle w:val="FootnoteReference"/>
                <w:rFonts w:asciiTheme="minorHAnsi" w:hAnsiTheme="minorHAnsi" w:cstheme="minorBidi"/>
                <w:sz w:val="17"/>
                <w:szCs w:val="17"/>
              </w:rPr>
              <w:footnoteReference w:id="111"/>
            </w:r>
            <w:r w:rsidRPr="36822015">
              <w:rPr>
                <w:rFonts w:asciiTheme="minorHAnsi" w:hAnsiTheme="minorHAnsi" w:cstheme="minorBidi"/>
                <w:sz w:val="17"/>
                <w:szCs w:val="17"/>
              </w:rPr>
              <w:t xml:space="preserve"> as co-benefit of the GEF investment (corresponding to </w:t>
            </w:r>
            <w:r w:rsidRPr="36822015">
              <w:rPr>
                <w:rFonts w:asciiTheme="minorHAnsi" w:hAnsiTheme="minorHAnsi" w:cstheme="minorBidi"/>
                <w:b/>
                <w:bCs/>
                <w:sz w:val="17"/>
                <w:szCs w:val="17"/>
              </w:rPr>
              <w:t>GEF Core Indicator 11</w:t>
            </w:r>
            <w:r w:rsidRPr="36822015">
              <w:rPr>
                <w:rFonts w:asciiTheme="minorHAnsi" w:hAnsiTheme="minorHAnsi" w:cstheme="minorBidi"/>
                <w:sz w:val="17"/>
                <w:szCs w:val="17"/>
              </w:rPr>
              <w:t>)</w:t>
            </w:r>
          </w:p>
          <w:p w14:paraId="0729800D" w14:textId="77777777" w:rsidR="00E65228" w:rsidRPr="0017210F" w:rsidRDefault="00E65228" w:rsidP="009D6968">
            <w:pPr>
              <w:ind w:left="-72" w:right="-57"/>
              <w:rPr>
                <w:rFonts w:asciiTheme="minorHAnsi" w:hAnsiTheme="minorHAnsi" w:cstheme="minorHAnsi"/>
                <w:i/>
                <w:iCs/>
                <w:sz w:val="17"/>
                <w:szCs w:val="17"/>
              </w:rPr>
            </w:pPr>
            <w:r w:rsidRPr="0017210F">
              <w:rPr>
                <w:rFonts w:asciiTheme="minorHAnsi" w:hAnsiTheme="minorHAnsi" w:cstheme="minorHAnsi"/>
                <w:sz w:val="17"/>
                <w:szCs w:val="17"/>
              </w:rPr>
              <w:t>3b. Percentage of women beneficiaries</w:t>
            </w:r>
          </w:p>
          <w:p w14:paraId="5E221BA2" w14:textId="77777777" w:rsidR="00E65228" w:rsidRPr="0017210F" w:rsidRDefault="00E65228" w:rsidP="009D6968">
            <w:pPr>
              <w:rPr>
                <w:rFonts w:asciiTheme="minorHAnsi" w:hAnsiTheme="minorHAnsi" w:cstheme="minorHAnsi"/>
                <w:sz w:val="17"/>
                <w:szCs w:val="17"/>
              </w:rPr>
            </w:pPr>
          </w:p>
        </w:tc>
        <w:tc>
          <w:tcPr>
            <w:tcW w:w="598" w:type="pct"/>
            <w:tcBorders>
              <w:bottom w:val="single" w:sz="4" w:space="0" w:color="auto"/>
            </w:tcBorders>
            <w:shd w:val="clear" w:color="auto" w:fill="auto"/>
          </w:tcPr>
          <w:p w14:paraId="5D8AF66F" w14:textId="77777777" w:rsidR="00E65228" w:rsidRPr="0017210F" w:rsidRDefault="00E65228" w:rsidP="009D6968">
            <w:pPr>
              <w:ind w:left="-57" w:right="-57"/>
              <w:rPr>
                <w:rFonts w:asciiTheme="minorHAnsi" w:hAnsiTheme="minorHAnsi" w:cstheme="minorHAnsi"/>
                <w:sz w:val="17"/>
                <w:szCs w:val="17"/>
              </w:rPr>
            </w:pPr>
            <w:r w:rsidRPr="0017210F">
              <w:rPr>
                <w:rFonts w:asciiTheme="minorHAnsi" w:hAnsiTheme="minorHAnsi" w:cstheme="minorHAnsi"/>
                <w:sz w:val="17"/>
                <w:szCs w:val="17"/>
              </w:rPr>
              <w:t>(a) 0</w:t>
            </w:r>
          </w:p>
          <w:p w14:paraId="371CDF56" w14:textId="77777777" w:rsidR="00E65228" w:rsidRPr="0017210F" w:rsidRDefault="00E65228" w:rsidP="009D6968">
            <w:pPr>
              <w:ind w:left="-57" w:right="-57"/>
              <w:rPr>
                <w:rFonts w:asciiTheme="minorHAnsi" w:hAnsiTheme="minorHAnsi" w:cstheme="minorHAnsi"/>
                <w:sz w:val="17"/>
                <w:szCs w:val="17"/>
              </w:rPr>
            </w:pPr>
          </w:p>
          <w:p w14:paraId="69B0A601" w14:textId="77777777" w:rsidR="00E65228" w:rsidRPr="0017210F" w:rsidRDefault="00E65228" w:rsidP="009D6968">
            <w:pPr>
              <w:ind w:left="-57" w:right="-57"/>
              <w:rPr>
                <w:rFonts w:asciiTheme="minorHAnsi" w:hAnsiTheme="minorHAnsi" w:cstheme="minorHAnsi"/>
                <w:sz w:val="17"/>
                <w:szCs w:val="17"/>
              </w:rPr>
            </w:pPr>
          </w:p>
          <w:p w14:paraId="38DD644F" w14:textId="77777777" w:rsidR="00E65228" w:rsidRPr="0017210F" w:rsidRDefault="00E65228" w:rsidP="009D6968">
            <w:pPr>
              <w:ind w:left="-57" w:right="-57"/>
              <w:rPr>
                <w:rFonts w:asciiTheme="minorHAnsi" w:hAnsiTheme="minorHAnsi" w:cstheme="minorHAnsi"/>
                <w:sz w:val="17"/>
                <w:szCs w:val="17"/>
              </w:rPr>
            </w:pPr>
            <w:r w:rsidRPr="0017210F">
              <w:rPr>
                <w:rFonts w:asciiTheme="minorHAnsi" w:hAnsiTheme="minorHAnsi" w:cstheme="minorHAnsi"/>
                <w:sz w:val="17"/>
                <w:szCs w:val="17"/>
              </w:rPr>
              <w:t>(b) 0</w:t>
            </w:r>
          </w:p>
          <w:p w14:paraId="205DEC6A" w14:textId="77777777" w:rsidR="00E65228" w:rsidRPr="0017210F" w:rsidRDefault="00E65228" w:rsidP="009D6968">
            <w:pPr>
              <w:rPr>
                <w:rFonts w:asciiTheme="minorHAnsi" w:hAnsiTheme="minorHAnsi" w:cstheme="minorHAnsi"/>
                <w:sz w:val="17"/>
                <w:szCs w:val="17"/>
              </w:rPr>
            </w:pPr>
          </w:p>
        </w:tc>
        <w:tc>
          <w:tcPr>
            <w:tcW w:w="598" w:type="pct"/>
            <w:gridSpan w:val="2"/>
            <w:tcBorders>
              <w:bottom w:val="single" w:sz="4" w:space="0" w:color="auto"/>
            </w:tcBorders>
            <w:shd w:val="clear" w:color="auto" w:fill="auto"/>
          </w:tcPr>
          <w:p w14:paraId="4E435D72" w14:textId="3E5EEA16" w:rsidR="00E65228" w:rsidRPr="0017210F" w:rsidRDefault="00E65228" w:rsidP="009D6968">
            <w:pPr>
              <w:ind w:left="-57" w:right="-57"/>
              <w:rPr>
                <w:rFonts w:asciiTheme="minorHAnsi" w:hAnsiTheme="minorHAnsi" w:cstheme="minorHAnsi"/>
                <w:sz w:val="17"/>
                <w:szCs w:val="17"/>
              </w:rPr>
            </w:pPr>
            <w:r w:rsidRPr="0017210F">
              <w:rPr>
                <w:rFonts w:asciiTheme="minorHAnsi" w:hAnsiTheme="minorHAnsi" w:cstheme="minorHAnsi"/>
                <w:sz w:val="17"/>
                <w:szCs w:val="17"/>
              </w:rPr>
              <w:t xml:space="preserve">(a) </w:t>
            </w:r>
            <w:r w:rsidR="004C31E6">
              <w:rPr>
                <w:rFonts w:asciiTheme="minorHAnsi" w:hAnsiTheme="minorHAnsi" w:cstheme="minorHAnsi"/>
                <w:sz w:val="17"/>
                <w:szCs w:val="17"/>
              </w:rPr>
              <w:t>3</w:t>
            </w:r>
            <w:r w:rsidRPr="0017210F">
              <w:rPr>
                <w:rFonts w:asciiTheme="minorHAnsi" w:hAnsiTheme="minorHAnsi" w:cstheme="minorHAnsi"/>
                <w:sz w:val="17"/>
                <w:szCs w:val="17"/>
              </w:rPr>
              <w:t>,</w:t>
            </w:r>
            <w:r w:rsidR="004C31E6">
              <w:rPr>
                <w:rFonts w:asciiTheme="minorHAnsi" w:hAnsiTheme="minorHAnsi" w:cstheme="minorHAnsi"/>
                <w:sz w:val="17"/>
                <w:szCs w:val="17"/>
              </w:rPr>
              <w:t>000</w:t>
            </w:r>
            <w:r w:rsidRPr="0017210F">
              <w:rPr>
                <w:rFonts w:asciiTheme="minorHAnsi" w:hAnsiTheme="minorHAnsi" w:cstheme="minorHAnsi"/>
                <w:sz w:val="17"/>
                <w:szCs w:val="17"/>
              </w:rPr>
              <w:t xml:space="preserve"> individuals</w:t>
            </w:r>
          </w:p>
          <w:p w14:paraId="0964CE6F" w14:textId="77777777" w:rsidR="00E65228" w:rsidRPr="0017210F" w:rsidRDefault="00E65228" w:rsidP="009D6968">
            <w:pPr>
              <w:ind w:left="-57" w:right="-57"/>
              <w:rPr>
                <w:rFonts w:asciiTheme="minorHAnsi" w:hAnsiTheme="minorHAnsi" w:cstheme="minorHAnsi"/>
                <w:sz w:val="17"/>
                <w:szCs w:val="17"/>
              </w:rPr>
            </w:pPr>
          </w:p>
          <w:p w14:paraId="7B504100" w14:textId="77777777" w:rsidR="00E65228" w:rsidRPr="0017210F" w:rsidRDefault="00E65228" w:rsidP="009D6968">
            <w:pPr>
              <w:ind w:left="-57" w:right="-57"/>
              <w:rPr>
                <w:rFonts w:asciiTheme="minorHAnsi" w:hAnsiTheme="minorHAnsi" w:cstheme="minorHAnsi"/>
                <w:sz w:val="17"/>
                <w:szCs w:val="17"/>
              </w:rPr>
            </w:pPr>
          </w:p>
          <w:p w14:paraId="50DAA48B" w14:textId="77777777" w:rsidR="00E65228" w:rsidRPr="0017210F" w:rsidRDefault="00E65228" w:rsidP="009D6968">
            <w:pPr>
              <w:rPr>
                <w:rFonts w:asciiTheme="minorHAnsi" w:hAnsiTheme="minorHAnsi" w:cstheme="minorHAnsi"/>
                <w:sz w:val="17"/>
                <w:szCs w:val="17"/>
              </w:rPr>
            </w:pPr>
            <w:r w:rsidRPr="0017210F">
              <w:rPr>
                <w:rFonts w:asciiTheme="minorHAnsi" w:hAnsiTheme="minorHAnsi" w:cstheme="minorHAnsi"/>
                <w:sz w:val="17"/>
                <w:szCs w:val="17"/>
              </w:rPr>
              <w:t>(b) At least 45% of total number of individuals</w:t>
            </w:r>
          </w:p>
        </w:tc>
        <w:tc>
          <w:tcPr>
            <w:tcW w:w="648" w:type="pct"/>
            <w:tcBorders>
              <w:bottom w:val="single" w:sz="4" w:space="0" w:color="auto"/>
            </w:tcBorders>
            <w:shd w:val="clear" w:color="auto" w:fill="auto"/>
          </w:tcPr>
          <w:p w14:paraId="6EE758F6" w14:textId="680450B4" w:rsidR="00E65228" w:rsidRPr="0017210F" w:rsidRDefault="00E65228" w:rsidP="009D6968">
            <w:pPr>
              <w:ind w:right="-57"/>
              <w:rPr>
                <w:rFonts w:asciiTheme="minorHAnsi" w:hAnsiTheme="minorHAnsi" w:cstheme="minorHAnsi"/>
                <w:sz w:val="17"/>
                <w:szCs w:val="17"/>
              </w:rPr>
            </w:pPr>
            <w:r w:rsidRPr="0017210F">
              <w:rPr>
                <w:rFonts w:asciiTheme="minorHAnsi" w:hAnsiTheme="minorHAnsi" w:cstheme="minorHAnsi"/>
                <w:sz w:val="17"/>
                <w:szCs w:val="17"/>
              </w:rPr>
              <w:t xml:space="preserve">(a) </w:t>
            </w:r>
            <w:r w:rsidR="004C31E6">
              <w:rPr>
                <w:rFonts w:asciiTheme="minorHAnsi" w:hAnsiTheme="minorHAnsi" w:cstheme="minorHAnsi"/>
                <w:sz w:val="17"/>
                <w:szCs w:val="17"/>
              </w:rPr>
              <w:t>10</w:t>
            </w:r>
            <w:r w:rsidRPr="0017210F">
              <w:rPr>
                <w:rFonts w:asciiTheme="minorHAnsi" w:hAnsiTheme="minorHAnsi" w:cstheme="minorHAnsi"/>
                <w:sz w:val="17"/>
                <w:szCs w:val="17"/>
              </w:rPr>
              <w:t>,000 individuals</w:t>
            </w:r>
          </w:p>
          <w:p w14:paraId="3C4CC7DC" w14:textId="77777777" w:rsidR="00E65228" w:rsidRPr="0017210F" w:rsidRDefault="00E65228" w:rsidP="009D6968">
            <w:pPr>
              <w:rPr>
                <w:rFonts w:asciiTheme="minorHAnsi" w:hAnsiTheme="minorHAnsi" w:cstheme="minorHAnsi"/>
                <w:sz w:val="17"/>
                <w:szCs w:val="17"/>
              </w:rPr>
            </w:pPr>
          </w:p>
          <w:p w14:paraId="689C0B60" w14:textId="77777777" w:rsidR="00E65228" w:rsidRPr="0017210F" w:rsidRDefault="00E65228" w:rsidP="009D6968">
            <w:pPr>
              <w:rPr>
                <w:rFonts w:asciiTheme="minorHAnsi" w:hAnsiTheme="minorHAnsi" w:cstheme="minorHAnsi"/>
                <w:sz w:val="17"/>
                <w:szCs w:val="17"/>
              </w:rPr>
            </w:pPr>
          </w:p>
          <w:p w14:paraId="456D5484" w14:textId="77777777" w:rsidR="00E65228" w:rsidRPr="0017210F" w:rsidRDefault="00E65228" w:rsidP="009D6968">
            <w:pPr>
              <w:rPr>
                <w:rFonts w:asciiTheme="minorHAnsi" w:hAnsiTheme="minorHAnsi" w:cstheme="minorHAnsi"/>
                <w:sz w:val="17"/>
                <w:szCs w:val="17"/>
              </w:rPr>
            </w:pPr>
            <w:r w:rsidRPr="0017210F">
              <w:rPr>
                <w:rFonts w:asciiTheme="minorHAnsi" w:hAnsiTheme="minorHAnsi" w:cstheme="minorHAnsi"/>
                <w:sz w:val="17"/>
                <w:szCs w:val="17"/>
              </w:rPr>
              <w:t>(b) At least 45% of total number of individuals</w:t>
            </w:r>
          </w:p>
        </w:tc>
        <w:tc>
          <w:tcPr>
            <w:tcW w:w="698" w:type="pct"/>
            <w:tcBorders>
              <w:bottom w:val="single" w:sz="4" w:space="0" w:color="auto"/>
            </w:tcBorders>
            <w:shd w:val="clear" w:color="auto" w:fill="auto"/>
          </w:tcPr>
          <w:p w14:paraId="0E502259" w14:textId="77777777" w:rsidR="00E65228" w:rsidRPr="0017210F" w:rsidRDefault="00E65228" w:rsidP="009D6968">
            <w:pPr>
              <w:rPr>
                <w:rFonts w:asciiTheme="minorHAnsi" w:hAnsiTheme="minorHAnsi" w:cstheme="minorHAnsi"/>
                <w:sz w:val="17"/>
                <w:szCs w:val="17"/>
              </w:rPr>
            </w:pPr>
            <w:r w:rsidRPr="0017210F">
              <w:rPr>
                <w:rFonts w:asciiTheme="minorHAnsi" w:hAnsiTheme="minorHAnsi" w:cstheme="minorHAnsi"/>
                <w:sz w:val="17"/>
                <w:szCs w:val="17"/>
              </w:rPr>
              <w:t>Workshop and capacity building activity reports</w:t>
            </w:r>
          </w:p>
          <w:p w14:paraId="3342745E" w14:textId="77777777" w:rsidR="00E65228" w:rsidRPr="0017210F" w:rsidRDefault="00E65228" w:rsidP="009D6968">
            <w:pPr>
              <w:rPr>
                <w:rFonts w:asciiTheme="minorHAnsi" w:hAnsiTheme="minorHAnsi" w:cstheme="minorHAnsi"/>
                <w:sz w:val="17"/>
                <w:szCs w:val="17"/>
              </w:rPr>
            </w:pPr>
            <w:r w:rsidRPr="0017210F">
              <w:rPr>
                <w:rFonts w:asciiTheme="minorHAnsi" w:hAnsiTheme="minorHAnsi" w:cstheme="minorHAnsi"/>
                <w:sz w:val="17"/>
                <w:szCs w:val="17"/>
              </w:rPr>
              <w:t>- Interviews with project stakeholders and identified beneficiaries</w:t>
            </w:r>
          </w:p>
          <w:p w14:paraId="1777114B" w14:textId="77777777" w:rsidR="00E65228" w:rsidRPr="0017210F" w:rsidRDefault="00E65228" w:rsidP="009D6968">
            <w:pPr>
              <w:rPr>
                <w:rFonts w:asciiTheme="minorHAnsi" w:hAnsiTheme="minorHAnsi" w:cstheme="minorHAnsi"/>
                <w:sz w:val="17"/>
                <w:szCs w:val="17"/>
              </w:rPr>
            </w:pPr>
            <w:r w:rsidRPr="0017210F">
              <w:rPr>
                <w:rFonts w:asciiTheme="minorHAnsi" w:hAnsiTheme="minorHAnsi" w:cstheme="minorHAnsi"/>
                <w:sz w:val="17"/>
                <w:szCs w:val="17"/>
              </w:rPr>
              <w:t>- MTR and TE reports</w:t>
            </w:r>
          </w:p>
          <w:p w14:paraId="4DDF273D" w14:textId="77777777" w:rsidR="00E65228" w:rsidRPr="0017210F" w:rsidRDefault="00E65228" w:rsidP="009D6968">
            <w:pPr>
              <w:rPr>
                <w:rFonts w:asciiTheme="minorHAnsi" w:hAnsiTheme="minorHAnsi" w:cstheme="minorHAnsi"/>
                <w:sz w:val="17"/>
                <w:szCs w:val="17"/>
              </w:rPr>
            </w:pPr>
            <w:r w:rsidRPr="0017210F">
              <w:rPr>
                <w:rFonts w:asciiTheme="minorHAnsi" w:hAnsiTheme="minorHAnsi" w:cstheme="minorHAnsi"/>
                <w:sz w:val="17"/>
                <w:szCs w:val="17"/>
              </w:rPr>
              <w:t>- Project progress reports (PIR, FAO PPR)</w:t>
            </w:r>
          </w:p>
        </w:tc>
        <w:tc>
          <w:tcPr>
            <w:tcW w:w="625" w:type="pct"/>
            <w:vMerge/>
          </w:tcPr>
          <w:p w14:paraId="04F12375" w14:textId="77777777" w:rsidR="00E65228" w:rsidRPr="0017210F" w:rsidRDefault="00E65228" w:rsidP="009D6968">
            <w:pPr>
              <w:rPr>
                <w:rFonts w:asciiTheme="minorHAnsi" w:hAnsiTheme="minorHAnsi" w:cstheme="minorHAnsi"/>
                <w:sz w:val="17"/>
                <w:szCs w:val="17"/>
              </w:rPr>
            </w:pPr>
          </w:p>
        </w:tc>
      </w:tr>
      <w:tr w:rsidR="00E65228" w:rsidRPr="0017210F" w14:paraId="2DDBD999" w14:textId="77777777" w:rsidTr="01B6467E">
        <w:trPr>
          <w:trHeight w:val="262"/>
        </w:trPr>
        <w:tc>
          <w:tcPr>
            <w:tcW w:w="5000" w:type="pct"/>
            <w:gridSpan w:val="8"/>
            <w:shd w:val="clear" w:color="auto" w:fill="D9D9D9" w:themeFill="background1" w:themeFillShade="D9"/>
          </w:tcPr>
          <w:p w14:paraId="791821F6" w14:textId="77777777" w:rsidR="00E65228" w:rsidRPr="0017210F" w:rsidRDefault="00E65228" w:rsidP="009D6968">
            <w:pPr>
              <w:rPr>
                <w:rFonts w:asciiTheme="minorHAnsi" w:hAnsiTheme="minorHAnsi" w:cstheme="minorHAnsi"/>
                <w:sz w:val="17"/>
                <w:szCs w:val="17"/>
              </w:rPr>
            </w:pPr>
            <w:r w:rsidRPr="0017210F">
              <w:rPr>
                <w:rFonts w:asciiTheme="minorHAnsi" w:hAnsiTheme="minorHAnsi" w:cstheme="minorHAnsi"/>
                <w:b/>
                <w:bCs/>
                <w:sz w:val="17"/>
                <w:szCs w:val="17"/>
              </w:rPr>
              <w:t>Component 1. Enabling frameworks for LDN at national and landscape levels</w:t>
            </w:r>
          </w:p>
        </w:tc>
      </w:tr>
      <w:tr w:rsidR="00E65228" w:rsidRPr="0017210F" w14:paraId="74A70100" w14:textId="77777777" w:rsidTr="01B6467E">
        <w:trPr>
          <w:trHeight w:val="699"/>
        </w:trPr>
        <w:tc>
          <w:tcPr>
            <w:tcW w:w="574" w:type="pct"/>
            <w:shd w:val="clear" w:color="auto" w:fill="auto"/>
          </w:tcPr>
          <w:p w14:paraId="6637868A" w14:textId="77777777" w:rsidR="00E65228" w:rsidRPr="0017210F" w:rsidRDefault="00E65228" w:rsidP="009D6968">
            <w:pPr>
              <w:rPr>
                <w:rFonts w:asciiTheme="minorHAnsi" w:hAnsiTheme="minorHAnsi" w:cstheme="minorHAnsi"/>
                <w:i/>
                <w:sz w:val="17"/>
                <w:szCs w:val="17"/>
              </w:rPr>
            </w:pPr>
            <w:r w:rsidRPr="0017210F">
              <w:rPr>
                <w:rFonts w:asciiTheme="minorHAnsi" w:hAnsiTheme="minorHAnsi" w:cstheme="minorHAnsi"/>
                <w:sz w:val="17"/>
                <w:szCs w:val="17"/>
              </w:rPr>
              <w:t>Outcome 1.1 Strengthened policy-regulatory and decision-making frameworks for LDN at national and sub-national levels</w:t>
            </w:r>
          </w:p>
        </w:tc>
        <w:tc>
          <w:tcPr>
            <w:tcW w:w="1259" w:type="pct"/>
            <w:shd w:val="clear" w:color="auto" w:fill="auto"/>
          </w:tcPr>
          <w:p w14:paraId="7B3152AB" w14:textId="77777777" w:rsidR="00E65228" w:rsidRPr="0017210F" w:rsidRDefault="00E65228" w:rsidP="009D6968">
            <w:pPr>
              <w:rPr>
                <w:rFonts w:asciiTheme="minorHAnsi" w:hAnsiTheme="minorHAnsi" w:cstheme="minorHAnsi"/>
                <w:sz w:val="17"/>
                <w:szCs w:val="17"/>
              </w:rPr>
            </w:pPr>
            <w:r w:rsidRPr="36822015">
              <w:rPr>
                <w:rFonts w:asciiTheme="minorHAnsi" w:hAnsiTheme="minorHAnsi" w:cstheme="minorBidi"/>
                <w:sz w:val="17"/>
                <w:szCs w:val="17"/>
              </w:rPr>
              <w:t>1. Number of revised policy, regulatory and planning frameworks into which LDN principles are mainstreamed.</w:t>
            </w:r>
            <w:r w:rsidRPr="36822015">
              <w:rPr>
                <w:rStyle w:val="FootnoteReference"/>
                <w:rFonts w:asciiTheme="minorHAnsi" w:hAnsiTheme="minorHAnsi" w:cstheme="minorBidi"/>
                <w:sz w:val="17"/>
                <w:szCs w:val="17"/>
              </w:rPr>
              <w:footnoteReference w:id="112"/>
            </w:r>
          </w:p>
          <w:p w14:paraId="2E3D5199" w14:textId="77777777" w:rsidR="00E65228" w:rsidRPr="0017210F" w:rsidRDefault="00E65228" w:rsidP="009D6968">
            <w:pPr>
              <w:rPr>
                <w:rFonts w:asciiTheme="minorHAnsi" w:hAnsiTheme="minorHAnsi" w:cstheme="minorHAnsi"/>
                <w:sz w:val="17"/>
                <w:szCs w:val="17"/>
              </w:rPr>
            </w:pPr>
          </w:p>
          <w:p w14:paraId="01702E95" w14:textId="77777777" w:rsidR="00E65228" w:rsidRPr="0017210F" w:rsidRDefault="00E65228" w:rsidP="009D6968">
            <w:pPr>
              <w:rPr>
                <w:rFonts w:asciiTheme="minorHAnsi" w:hAnsiTheme="minorHAnsi" w:cstheme="minorHAnsi"/>
                <w:i/>
                <w:iCs/>
                <w:sz w:val="17"/>
                <w:szCs w:val="17"/>
              </w:rPr>
            </w:pPr>
            <w:r w:rsidRPr="0017210F">
              <w:rPr>
                <w:rFonts w:asciiTheme="minorHAnsi" w:hAnsiTheme="minorHAnsi" w:cstheme="minorHAnsi"/>
                <w:i/>
                <w:iCs/>
                <w:sz w:val="17"/>
                <w:szCs w:val="17"/>
              </w:rPr>
              <w:t>The following 6 frameworks have been identified as potential targets for review and LDN mainstreaming:</w:t>
            </w:r>
          </w:p>
          <w:p w14:paraId="47B7AEFE" w14:textId="77777777" w:rsidR="00E65228" w:rsidRPr="0017210F" w:rsidRDefault="00E65228" w:rsidP="001667C6">
            <w:pPr>
              <w:pStyle w:val="ListParagraph"/>
              <w:numPr>
                <w:ilvl w:val="0"/>
                <w:numId w:val="84"/>
              </w:numPr>
              <w:ind w:left="353"/>
              <w:rPr>
                <w:rFonts w:asciiTheme="minorHAnsi" w:hAnsiTheme="minorHAnsi" w:cstheme="minorHAnsi"/>
                <w:sz w:val="17"/>
                <w:szCs w:val="17"/>
              </w:rPr>
            </w:pPr>
            <w:r w:rsidRPr="0017210F">
              <w:rPr>
                <w:rFonts w:asciiTheme="minorHAnsi" w:hAnsiTheme="minorHAnsi" w:cstheme="minorHAnsi"/>
                <w:sz w:val="17"/>
                <w:szCs w:val="17"/>
              </w:rPr>
              <w:t>Spatial planning (LOTU related legislation), including the management of sub-basins as special areas</w:t>
            </w:r>
          </w:p>
          <w:p w14:paraId="6CC12E33" w14:textId="77777777" w:rsidR="00E65228" w:rsidRPr="0017210F" w:rsidRDefault="00E65228" w:rsidP="001667C6">
            <w:pPr>
              <w:pStyle w:val="ListParagraph"/>
              <w:numPr>
                <w:ilvl w:val="0"/>
                <w:numId w:val="84"/>
              </w:numPr>
              <w:ind w:left="353"/>
              <w:rPr>
                <w:rFonts w:asciiTheme="minorHAnsi" w:hAnsiTheme="minorHAnsi" w:cstheme="minorHAnsi"/>
                <w:sz w:val="17"/>
                <w:szCs w:val="17"/>
              </w:rPr>
            </w:pPr>
            <w:r w:rsidRPr="0017210F">
              <w:rPr>
                <w:rFonts w:asciiTheme="minorHAnsi" w:hAnsiTheme="minorHAnsi" w:cstheme="minorHAnsi"/>
                <w:sz w:val="17"/>
                <w:szCs w:val="17"/>
              </w:rPr>
              <w:t>Land Tenure management policies and practices</w:t>
            </w:r>
          </w:p>
          <w:p w14:paraId="4A163D5C" w14:textId="77777777" w:rsidR="00E65228" w:rsidRPr="0017210F" w:rsidRDefault="00E65228" w:rsidP="001667C6">
            <w:pPr>
              <w:pStyle w:val="ListParagraph"/>
              <w:numPr>
                <w:ilvl w:val="0"/>
                <w:numId w:val="84"/>
              </w:numPr>
              <w:ind w:left="353"/>
              <w:rPr>
                <w:rFonts w:asciiTheme="minorHAnsi" w:hAnsiTheme="minorHAnsi" w:cstheme="minorHAnsi"/>
                <w:sz w:val="17"/>
                <w:szCs w:val="17"/>
              </w:rPr>
            </w:pPr>
            <w:r w:rsidRPr="0017210F">
              <w:rPr>
                <w:rFonts w:asciiTheme="minorHAnsi" w:hAnsiTheme="minorHAnsi" w:cstheme="minorHAnsi"/>
                <w:sz w:val="17"/>
                <w:szCs w:val="17"/>
              </w:rPr>
              <w:t>Regulation of collection firewood for charcoal production and marketing</w:t>
            </w:r>
          </w:p>
          <w:p w14:paraId="523CBC60" w14:textId="77777777" w:rsidR="00E65228" w:rsidRPr="0017210F" w:rsidRDefault="00E65228" w:rsidP="001667C6">
            <w:pPr>
              <w:pStyle w:val="ListParagraph"/>
              <w:numPr>
                <w:ilvl w:val="0"/>
                <w:numId w:val="84"/>
              </w:numPr>
              <w:ind w:left="353"/>
              <w:rPr>
                <w:rFonts w:asciiTheme="minorHAnsi" w:hAnsiTheme="minorHAnsi" w:cstheme="minorHAnsi"/>
                <w:sz w:val="17"/>
                <w:szCs w:val="17"/>
              </w:rPr>
            </w:pPr>
            <w:r w:rsidRPr="0017210F">
              <w:rPr>
                <w:rFonts w:asciiTheme="minorHAnsi" w:hAnsiTheme="minorHAnsi" w:cstheme="minorHAnsi"/>
                <w:sz w:val="17"/>
                <w:szCs w:val="17"/>
              </w:rPr>
              <w:t xml:space="preserve">Regulation of Community Based Forest Management, </w:t>
            </w:r>
          </w:p>
          <w:p w14:paraId="7F13936D" w14:textId="77777777" w:rsidR="00E65228" w:rsidRPr="0017210F" w:rsidRDefault="00E65228" w:rsidP="001667C6">
            <w:pPr>
              <w:pStyle w:val="ListParagraph"/>
              <w:numPr>
                <w:ilvl w:val="0"/>
                <w:numId w:val="84"/>
              </w:numPr>
              <w:ind w:left="353"/>
              <w:rPr>
                <w:rFonts w:asciiTheme="minorHAnsi" w:hAnsiTheme="minorHAnsi" w:cstheme="minorHAnsi"/>
                <w:sz w:val="17"/>
                <w:szCs w:val="17"/>
              </w:rPr>
            </w:pPr>
            <w:r w:rsidRPr="0017210F">
              <w:rPr>
                <w:rFonts w:asciiTheme="minorHAnsi" w:hAnsiTheme="minorHAnsi" w:cstheme="minorHAnsi"/>
                <w:sz w:val="17"/>
                <w:szCs w:val="17"/>
              </w:rPr>
              <w:t xml:space="preserve">Institutionalisation of FFS as Ministry of Agriculture extension service </w:t>
            </w:r>
          </w:p>
          <w:p w14:paraId="2D0BB3A9" w14:textId="77777777" w:rsidR="00E65228" w:rsidRPr="0017210F" w:rsidRDefault="00E65228" w:rsidP="009D6968">
            <w:pPr>
              <w:rPr>
                <w:rFonts w:asciiTheme="minorHAnsi" w:hAnsiTheme="minorHAnsi" w:cstheme="minorHAnsi"/>
                <w:sz w:val="17"/>
                <w:szCs w:val="17"/>
              </w:rPr>
            </w:pPr>
            <w:r w:rsidRPr="0017210F">
              <w:rPr>
                <w:rFonts w:asciiTheme="minorHAnsi" w:hAnsiTheme="minorHAnsi" w:cstheme="minorHAnsi"/>
                <w:sz w:val="17"/>
                <w:szCs w:val="17"/>
              </w:rPr>
              <w:t xml:space="preserve">Regulation and certification of harvesting and marketing activities for NTFP </w:t>
            </w:r>
          </w:p>
        </w:tc>
        <w:tc>
          <w:tcPr>
            <w:tcW w:w="598" w:type="pct"/>
            <w:shd w:val="clear" w:color="auto" w:fill="auto"/>
          </w:tcPr>
          <w:p w14:paraId="34F82600" w14:textId="77777777" w:rsidR="00E65228" w:rsidRPr="0017210F" w:rsidRDefault="00E65228" w:rsidP="009D6968">
            <w:pPr>
              <w:rPr>
                <w:rFonts w:asciiTheme="minorHAnsi" w:hAnsiTheme="minorHAnsi" w:cstheme="minorHAnsi"/>
                <w:sz w:val="17"/>
                <w:szCs w:val="17"/>
              </w:rPr>
            </w:pPr>
            <w:r w:rsidRPr="0017210F">
              <w:rPr>
                <w:rFonts w:asciiTheme="minorHAnsi" w:hAnsiTheme="minorHAnsi" w:cstheme="minorHAnsi"/>
                <w:sz w:val="17"/>
                <w:szCs w:val="17"/>
              </w:rPr>
              <w:t>The review of policy, regulatory and planning frameworks, in view of mainstreaming LDN principles has not yet started.</w:t>
            </w:r>
          </w:p>
          <w:p w14:paraId="2ED68C0B" w14:textId="77777777" w:rsidR="00E65228" w:rsidRPr="0017210F" w:rsidRDefault="00E65228" w:rsidP="009D6968">
            <w:pPr>
              <w:rPr>
                <w:rFonts w:asciiTheme="minorHAnsi" w:hAnsiTheme="minorHAnsi" w:cstheme="minorHAnsi"/>
                <w:sz w:val="17"/>
                <w:szCs w:val="17"/>
              </w:rPr>
            </w:pPr>
          </w:p>
          <w:p w14:paraId="77C744C1" w14:textId="77777777" w:rsidR="00E65228" w:rsidRPr="0017210F" w:rsidRDefault="00E65228" w:rsidP="009D6968">
            <w:pPr>
              <w:rPr>
                <w:rFonts w:asciiTheme="minorHAnsi" w:hAnsiTheme="minorHAnsi" w:cstheme="minorHAnsi"/>
                <w:sz w:val="17"/>
                <w:szCs w:val="17"/>
              </w:rPr>
            </w:pPr>
            <w:r w:rsidRPr="0017210F">
              <w:rPr>
                <w:rFonts w:asciiTheme="minorHAnsi" w:hAnsiTheme="minorHAnsi" w:cstheme="minorHAnsi"/>
                <w:sz w:val="17"/>
                <w:szCs w:val="17"/>
              </w:rPr>
              <w:t>0 target frameworks with LDN principles mainstreamed</w:t>
            </w:r>
          </w:p>
          <w:p w14:paraId="32A59A3F" w14:textId="77777777" w:rsidR="00E65228" w:rsidRPr="0017210F" w:rsidRDefault="00E65228" w:rsidP="009D6968">
            <w:pPr>
              <w:rPr>
                <w:rFonts w:asciiTheme="minorHAnsi" w:hAnsiTheme="minorHAnsi" w:cstheme="minorHAnsi"/>
                <w:sz w:val="17"/>
                <w:szCs w:val="17"/>
              </w:rPr>
            </w:pPr>
          </w:p>
          <w:p w14:paraId="161B3FBA" w14:textId="77777777" w:rsidR="00E65228" w:rsidRPr="0017210F" w:rsidRDefault="00E65228" w:rsidP="009D6968">
            <w:pPr>
              <w:rPr>
                <w:rFonts w:asciiTheme="minorHAnsi" w:hAnsiTheme="minorHAnsi" w:cstheme="minorHAnsi"/>
                <w:sz w:val="17"/>
                <w:szCs w:val="17"/>
              </w:rPr>
            </w:pPr>
          </w:p>
        </w:tc>
        <w:tc>
          <w:tcPr>
            <w:tcW w:w="598" w:type="pct"/>
            <w:gridSpan w:val="2"/>
            <w:shd w:val="clear" w:color="auto" w:fill="auto"/>
          </w:tcPr>
          <w:p w14:paraId="2E687812" w14:textId="77777777" w:rsidR="00E65228" w:rsidRPr="0017210F" w:rsidRDefault="00E65228" w:rsidP="009D6968">
            <w:pPr>
              <w:rPr>
                <w:rFonts w:asciiTheme="minorHAnsi" w:hAnsiTheme="minorHAnsi" w:cstheme="minorHAnsi"/>
                <w:sz w:val="17"/>
                <w:szCs w:val="17"/>
              </w:rPr>
            </w:pPr>
            <w:r w:rsidRPr="0017210F">
              <w:rPr>
                <w:rFonts w:asciiTheme="minorHAnsi" w:hAnsiTheme="minorHAnsi" w:cstheme="minorHAnsi"/>
                <w:sz w:val="17"/>
                <w:szCs w:val="17"/>
              </w:rPr>
              <w:t xml:space="preserve">Scoping studies completed for all relevant frameworks. </w:t>
            </w:r>
          </w:p>
          <w:p w14:paraId="78D31889" w14:textId="77777777" w:rsidR="00E65228" w:rsidRPr="0017210F" w:rsidRDefault="00E65228" w:rsidP="009D6968">
            <w:pPr>
              <w:rPr>
                <w:rFonts w:asciiTheme="minorHAnsi" w:hAnsiTheme="minorHAnsi" w:cstheme="minorHAnsi"/>
                <w:sz w:val="17"/>
                <w:szCs w:val="17"/>
              </w:rPr>
            </w:pPr>
          </w:p>
          <w:p w14:paraId="55614358" w14:textId="77777777" w:rsidR="00E65228" w:rsidRPr="0017210F" w:rsidRDefault="00E65228" w:rsidP="009D6968">
            <w:pPr>
              <w:rPr>
                <w:rFonts w:asciiTheme="minorHAnsi" w:hAnsiTheme="minorHAnsi" w:cstheme="minorHAnsi"/>
                <w:sz w:val="17"/>
                <w:szCs w:val="17"/>
              </w:rPr>
            </w:pPr>
          </w:p>
          <w:p w14:paraId="0F615F50" w14:textId="77777777" w:rsidR="00E65228" w:rsidRPr="0017210F" w:rsidRDefault="00E65228" w:rsidP="009D6968">
            <w:pPr>
              <w:rPr>
                <w:rFonts w:asciiTheme="minorHAnsi" w:hAnsiTheme="minorHAnsi" w:cstheme="minorHAnsi"/>
                <w:sz w:val="17"/>
                <w:szCs w:val="17"/>
              </w:rPr>
            </w:pPr>
          </w:p>
          <w:p w14:paraId="25923976" w14:textId="77777777" w:rsidR="00E65228" w:rsidRPr="0017210F" w:rsidRDefault="00E65228" w:rsidP="009D6968">
            <w:pPr>
              <w:rPr>
                <w:rFonts w:asciiTheme="minorHAnsi" w:hAnsiTheme="minorHAnsi" w:cstheme="minorHAnsi"/>
                <w:sz w:val="17"/>
                <w:szCs w:val="17"/>
              </w:rPr>
            </w:pPr>
          </w:p>
          <w:p w14:paraId="75B31C96" w14:textId="77777777" w:rsidR="00E65228" w:rsidRPr="0017210F" w:rsidRDefault="00E65228" w:rsidP="009D6968">
            <w:pPr>
              <w:rPr>
                <w:rFonts w:asciiTheme="minorHAnsi" w:hAnsiTheme="minorHAnsi" w:cstheme="minorHAnsi"/>
                <w:sz w:val="17"/>
                <w:szCs w:val="17"/>
              </w:rPr>
            </w:pPr>
            <w:r w:rsidRPr="0017210F">
              <w:rPr>
                <w:rFonts w:asciiTheme="minorHAnsi" w:hAnsiTheme="minorHAnsi" w:cstheme="minorHAnsi"/>
                <w:sz w:val="17"/>
                <w:szCs w:val="17"/>
              </w:rPr>
              <w:t>2 frameworks with LDN principles mainstreamed</w:t>
            </w:r>
          </w:p>
          <w:p w14:paraId="735C9396" w14:textId="77777777" w:rsidR="00E65228" w:rsidRPr="0017210F" w:rsidRDefault="00E65228" w:rsidP="009D6968">
            <w:pPr>
              <w:rPr>
                <w:rFonts w:asciiTheme="minorHAnsi" w:hAnsiTheme="minorHAnsi" w:cstheme="minorHAnsi"/>
                <w:sz w:val="17"/>
                <w:szCs w:val="17"/>
              </w:rPr>
            </w:pPr>
          </w:p>
          <w:p w14:paraId="4196CD50" w14:textId="77777777" w:rsidR="00E65228" w:rsidRPr="0017210F" w:rsidRDefault="00E65228" w:rsidP="009D6968">
            <w:pPr>
              <w:rPr>
                <w:rFonts w:asciiTheme="minorHAnsi" w:hAnsiTheme="minorHAnsi" w:cstheme="minorHAnsi"/>
                <w:sz w:val="17"/>
                <w:szCs w:val="17"/>
              </w:rPr>
            </w:pPr>
          </w:p>
          <w:p w14:paraId="514F5E96" w14:textId="77777777" w:rsidR="00E65228" w:rsidRPr="0017210F" w:rsidRDefault="00E65228" w:rsidP="009D6968">
            <w:pPr>
              <w:rPr>
                <w:rFonts w:asciiTheme="minorHAnsi" w:hAnsiTheme="minorHAnsi" w:cstheme="minorHAnsi"/>
                <w:sz w:val="17"/>
                <w:szCs w:val="17"/>
              </w:rPr>
            </w:pPr>
          </w:p>
        </w:tc>
        <w:tc>
          <w:tcPr>
            <w:tcW w:w="648" w:type="pct"/>
            <w:shd w:val="clear" w:color="auto" w:fill="auto"/>
          </w:tcPr>
          <w:p w14:paraId="6CEC893D" w14:textId="77777777" w:rsidR="00E65228" w:rsidRPr="0017210F" w:rsidRDefault="00E65228" w:rsidP="009D6968">
            <w:pPr>
              <w:rPr>
                <w:rFonts w:asciiTheme="minorHAnsi" w:hAnsiTheme="minorHAnsi" w:cstheme="minorHAnsi"/>
                <w:sz w:val="17"/>
                <w:szCs w:val="17"/>
              </w:rPr>
            </w:pPr>
            <w:r w:rsidRPr="0017210F">
              <w:rPr>
                <w:rFonts w:asciiTheme="minorHAnsi" w:hAnsiTheme="minorHAnsi" w:cstheme="minorHAnsi"/>
                <w:sz w:val="17"/>
                <w:szCs w:val="17"/>
              </w:rPr>
              <w:t xml:space="preserve">Review and revision process completed for at least 6 frameworks. </w:t>
            </w:r>
          </w:p>
          <w:p w14:paraId="4959E6D1" w14:textId="77777777" w:rsidR="00E65228" w:rsidRPr="0017210F" w:rsidRDefault="00E65228" w:rsidP="009D6968">
            <w:pPr>
              <w:rPr>
                <w:rFonts w:asciiTheme="minorHAnsi" w:hAnsiTheme="minorHAnsi" w:cstheme="minorHAnsi"/>
                <w:sz w:val="17"/>
                <w:szCs w:val="17"/>
              </w:rPr>
            </w:pPr>
          </w:p>
          <w:p w14:paraId="18F8AAEF" w14:textId="77777777" w:rsidR="00E65228" w:rsidRPr="0017210F" w:rsidRDefault="00E65228" w:rsidP="009D6968">
            <w:pPr>
              <w:rPr>
                <w:rFonts w:asciiTheme="minorHAnsi" w:hAnsiTheme="minorHAnsi" w:cstheme="minorHAnsi"/>
                <w:sz w:val="17"/>
                <w:szCs w:val="17"/>
              </w:rPr>
            </w:pPr>
          </w:p>
          <w:p w14:paraId="16C23F7C" w14:textId="77777777" w:rsidR="00E65228" w:rsidRPr="0017210F" w:rsidRDefault="00E65228" w:rsidP="009D6968">
            <w:pPr>
              <w:rPr>
                <w:rFonts w:asciiTheme="minorHAnsi" w:hAnsiTheme="minorHAnsi" w:cstheme="minorHAnsi"/>
                <w:sz w:val="17"/>
                <w:szCs w:val="17"/>
              </w:rPr>
            </w:pPr>
          </w:p>
          <w:p w14:paraId="350A356A" w14:textId="77777777" w:rsidR="00E65228" w:rsidRPr="0017210F" w:rsidRDefault="00E65228" w:rsidP="009D6968">
            <w:pPr>
              <w:rPr>
                <w:rFonts w:asciiTheme="minorHAnsi" w:hAnsiTheme="minorHAnsi" w:cstheme="minorHAnsi"/>
                <w:sz w:val="17"/>
                <w:szCs w:val="17"/>
              </w:rPr>
            </w:pPr>
          </w:p>
          <w:p w14:paraId="63AFF447" w14:textId="77777777" w:rsidR="00E65228" w:rsidRPr="0017210F" w:rsidRDefault="00E65228" w:rsidP="009D6968">
            <w:pPr>
              <w:rPr>
                <w:rFonts w:asciiTheme="minorHAnsi" w:hAnsiTheme="minorHAnsi" w:cstheme="minorHAnsi"/>
                <w:sz w:val="17"/>
                <w:szCs w:val="17"/>
              </w:rPr>
            </w:pPr>
          </w:p>
          <w:p w14:paraId="703B40A6" w14:textId="77777777" w:rsidR="00E65228" w:rsidRPr="0017210F" w:rsidRDefault="00E65228" w:rsidP="009D6968">
            <w:pPr>
              <w:rPr>
                <w:rFonts w:asciiTheme="minorHAnsi" w:hAnsiTheme="minorHAnsi" w:cstheme="minorHAnsi"/>
                <w:sz w:val="17"/>
                <w:szCs w:val="17"/>
              </w:rPr>
            </w:pPr>
            <w:r w:rsidRPr="0017210F">
              <w:rPr>
                <w:rFonts w:asciiTheme="minorHAnsi" w:hAnsiTheme="minorHAnsi" w:cstheme="minorHAnsi"/>
                <w:sz w:val="17"/>
                <w:szCs w:val="17"/>
              </w:rPr>
              <w:t>At least 6 frameworks with LDN principles mainstreamed</w:t>
            </w:r>
          </w:p>
          <w:p w14:paraId="2C2C1FFC" w14:textId="77777777" w:rsidR="00E65228" w:rsidRPr="0017210F" w:rsidRDefault="00E65228" w:rsidP="009D6968">
            <w:pPr>
              <w:rPr>
                <w:rFonts w:asciiTheme="minorHAnsi" w:hAnsiTheme="minorHAnsi" w:cstheme="minorHAnsi"/>
                <w:sz w:val="17"/>
                <w:szCs w:val="17"/>
              </w:rPr>
            </w:pPr>
          </w:p>
          <w:p w14:paraId="33D3CDCE" w14:textId="77777777" w:rsidR="00E65228" w:rsidRPr="0017210F" w:rsidRDefault="00E65228" w:rsidP="009D6968">
            <w:pPr>
              <w:rPr>
                <w:rFonts w:asciiTheme="minorHAnsi" w:hAnsiTheme="minorHAnsi" w:cstheme="minorHAnsi"/>
                <w:sz w:val="17"/>
                <w:szCs w:val="17"/>
              </w:rPr>
            </w:pPr>
          </w:p>
        </w:tc>
        <w:tc>
          <w:tcPr>
            <w:tcW w:w="698" w:type="pct"/>
            <w:shd w:val="clear" w:color="auto" w:fill="auto"/>
          </w:tcPr>
          <w:p w14:paraId="5F8B27B5" w14:textId="77777777" w:rsidR="00E65228" w:rsidRPr="0017210F" w:rsidDel="0052195C" w:rsidRDefault="00E65228" w:rsidP="009D6968">
            <w:pPr>
              <w:spacing w:beforeLines="1" w:before="2" w:afterLines="1" w:after="2"/>
              <w:ind w:left="-80" w:right="-80"/>
              <w:textAlignment w:val="baseline"/>
              <w:rPr>
                <w:rFonts w:asciiTheme="minorHAnsi" w:hAnsiTheme="minorHAnsi" w:cstheme="minorHAnsi"/>
                <w:sz w:val="17"/>
                <w:szCs w:val="17"/>
              </w:rPr>
            </w:pPr>
            <w:r w:rsidRPr="0017210F">
              <w:rPr>
                <w:rFonts w:asciiTheme="minorHAnsi" w:hAnsiTheme="minorHAnsi" w:cstheme="minorHAnsi"/>
                <w:sz w:val="17"/>
                <w:szCs w:val="17"/>
              </w:rPr>
              <w:t>- Copies of policy, regulatory and planning documents</w:t>
            </w:r>
          </w:p>
          <w:p w14:paraId="787F3CB7" w14:textId="77777777" w:rsidR="00E65228" w:rsidRPr="0017210F" w:rsidRDefault="00E65228" w:rsidP="009D6968">
            <w:pPr>
              <w:spacing w:beforeLines="1" w:before="2" w:afterLines="1" w:after="2"/>
              <w:ind w:left="-80" w:right="-80"/>
              <w:textAlignment w:val="baseline"/>
              <w:rPr>
                <w:rFonts w:asciiTheme="minorHAnsi" w:hAnsiTheme="minorHAnsi" w:cstheme="minorHAnsi"/>
                <w:sz w:val="17"/>
                <w:szCs w:val="17"/>
              </w:rPr>
            </w:pPr>
            <w:r w:rsidRPr="0017210F">
              <w:rPr>
                <w:rFonts w:asciiTheme="minorHAnsi" w:hAnsiTheme="minorHAnsi" w:cstheme="minorHAnsi"/>
                <w:sz w:val="17"/>
                <w:szCs w:val="17"/>
              </w:rPr>
              <w:t>- Project progress reports (PIR, FAO PPR)</w:t>
            </w:r>
          </w:p>
          <w:p w14:paraId="4449433F" w14:textId="77777777" w:rsidR="00E65228" w:rsidRPr="0017210F" w:rsidRDefault="00E65228" w:rsidP="009D6968">
            <w:pPr>
              <w:spacing w:beforeLines="1" w:before="2" w:afterLines="1" w:after="2"/>
              <w:ind w:left="-80" w:right="-80"/>
              <w:textAlignment w:val="baseline"/>
              <w:rPr>
                <w:rFonts w:asciiTheme="minorHAnsi" w:hAnsiTheme="minorHAnsi" w:cstheme="minorHAnsi"/>
                <w:sz w:val="17"/>
                <w:szCs w:val="17"/>
              </w:rPr>
            </w:pPr>
            <w:r w:rsidRPr="0017210F">
              <w:rPr>
                <w:rFonts w:asciiTheme="minorHAnsi" w:hAnsiTheme="minorHAnsi" w:cstheme="minorHAnsi"/>
                <w:sz w:val="17"/>
                <w:szCs w:val="17"/>
              </w:rPr>
              <w:t>- MTR and TE reports </w:t>
            </w:r>
          </w:p>
          <w:p w14:paraId="49A5B103" w14:textId="77777777" w:rsidR="00E65228" w:rsidRPr="0017210F" w:rsidRDefault="00E65228" w:rsidP="009D6968">
            <w:pPr>
              <w:spacing w:beforeLines="1" w:before="2" w:afterLines="1" w:after="2"/>
              <w:ind w:left="-80" w:right="-80"/>
              <w:textAlignment w:val="baseline"/>
              <w:rPr>
                <w:rFonts w:asciiTheme="minorHAnsi" w:hAnsiTheme="minorHAnsi" w:cstheme="minorHAnsi"/>
                <w:sz w:val="17"/>
                <w:szCs w:val="17"/>
              </w:rPr>
            </w:pPr>
            <w:r w:rsidRPr="0017210F">
              <w:rPr>
                <w:rFonts w:asciiTheme="minorHAnsi" w:hAnsiTheme="minorHAnsi" w:cstheme="minorHAnsi"/>
                <w:sz w:val="17"/>
                <w:szCs w:val="17"/>
              </w:rPr>
              <w:t>- UNCCD and UNFCCC convention reporting by Angola</w:t>
            </w:r>
          </w:p>
          <w:p w14:paraId="748493DB" w14:textId="77777777" w:rsidR="00E65228" w:rsidRPr="0017210F" w:rsidRDefault="00E65228" w:rsidP="009D6968">
            <w:pPr>
              <w:spacing w:beforeLines="1" w:before="2" w:afterLines="1" w:after="2"/>
              <w:ind w:left="-80" w:right="-80"/>
              <w:textAlignment w:val="baseline"/>
              <w:rPr>
                <w:rFonts w:asciiTheme="minorHAnsi" w:hAnsiTheme="minorHAnsi" w:cstheme="minorHAnsi"/>
                <w:sz w:val="17"/>
                <w:szCs w:val="17"/>
              </w:rPr>
            </w:pPr>
          </w:p>
        </w:tc>
        <w:tc>
          <w:tcPr>
            <w:tcW w:w="625" w:type="pct"/>
            <w:vMerge w:val="restart"/>
            <w:shd w:val="clear" w:color="auto" w:fill="auto"/>
          </w:tcPr>
          <w:p w14:paraId="1D293B9C" w14:textId="77777777" w:rsidR="00E65228" w:rsidRPr="0017210F" w:rsidRDefault="00E65228" w:rsidP="009D6968">
            <w:pPr>
              <w:spacing w:beforeLines="1" w:before="2" w:afterLines="1" w:after="2"/>
              <w:ind w:right="-80"/>
              <w:textAlignment w:val="baseline"/>
              <w:rPr>
                <w:rFonts w:asciiTheme="minorHAnsi" w:hAnsiTheme="minorHAnsi" w:cstheme="minorHAnsi"/>
                <w:sz w:val="17"/>
                <w:szCs w:val="17"/>
              </w:rPr>
            </w:pPr>
            <w:r w:rsidRPr="0017210F">
              <w:rPr>
                <w:rFonts w:asciiTheme="minorHAnsi" w:hAnsiTheme="minorHAnsi" w:cstheme="minorHAnsi"/>
                <w:sz w:val="17"/>
                <w:szCs w:val="17"/>
              </w:rPr>
              <w:t>National and sub-national government agencies, community groups, civil society and the private sector are willing (see the value) to participate in cross-sectoral governance for LDN </w:t>
            </w:r>
          </w:p>
          <w:p w14:paraId="51E09DAC" w14:textId="77777777" w:rsidR="00E65228" w:rsidRPr="0017210F" w:rsidRDefault="00E65228" w:rsidP="009D6968">
            <w:pPr>
              <w:spacing w:beforeLines="1" w:before="2" w:afterLines="1" w:after="2"/>
              <w:ind w:left="-80" w:right="-80"/>
              <w:textAlignment w:val="baseline"/>
              <w:rPr>
                <w:rFonts w:asciiTheme="minorHAnsi" w:hAnsiTheme="minorHAnsi" w:cstheme="minorHAnsi"/>
                <w:sz w:val="17"/>
                <w:szCs w:val="17"/>
              </w:rPr>
            </w:pPr>
            <w:r w:rsidRPr="0017210F">
              <w:rPr>
                <w:rFonts w:asciiTheme="minorHAnsi" w:hAnsiTheme="minorHAnsi" w:cstheme="minorHAnsi"/>
                <w:sz w:val="17"/>
                <w:szCs w:val="17"/>
              </w:rPr>
              <w:t> </w:t>
            </w:r>
          </w:p>
          <w:p w14:paraId="310DACB2" w14:textId="77777777" w:rsidR="00E65228" w:rsidRPr="0017210F" w:rsidRDefault="00E65228" w:rsidP="009D6968">
            <w:pPr>
              <w:rPr>
                <w:rFonts w:asciiTheme="minorHAnsi" w:hAnsiTheme="minorHAnsi" w:cstheme="minorHAnsi"/>
                <w:sz w:val="17"/>
                <w:szCs w:val="17"/>
              </w:rPr>
            </w:pPr>
            <w:r w:rsidRPr="0017210F">
              <w:rPr>
                <w:rFonts w:asciiTheme="minorHAnsi" w:hAnsiTheme="minorHAnsi" w:cstheme="minorHAnsi"/>
                <w:sz w:val="17"/>
                <w:szCs w:val="17"/>
              </w:rPr>
              <w:t>There is political will across government to address Angola’s land tenure issues (in line with its policy to promote more responsible land care across landscapes)</w:t>
            </w:r>
          </w:p>
        </w:tc>
      </w:tr>
      <w:tr w:rsidR="00E65228" w:rsidRPr="0017210F" w14:paraId="0FC890B4" w14:textId="77777777" w:rsidTr="01B6467E">
        <w:trPr>
          <w:trHeight w:val="699"/>
        </w:trPr>
        <w:tc>
          <w:tcPr>
            <w:tcW w:w="574" w:type="pct"/>
            <w:tcBorders>
              <w:bottom w:val="single" w:sz="4" w:space="0" w:color="auto"/>
            </w:tcBorders>
            <w:shd w:val="clear" w:color="auto" w:fill="auto"/>
          </w:tcPr>
          <w:p w14:paraId="45DE631F" w14:textId="77777777" w:rsidR="00E65228" w:rsidRPr="0017210F" w:rsidRDefault="00E65228" w:rsidP="009D6968">
            <w:pPr>
              <w:rPr>
                <w:rFonts w:asciiTheme="minorHAnsi" w:hAnsiTheme="minorHAnsi" w:cstheme="minorHAnsi"/>
                <w:sz w:val="17"/>
                <w:szCs w:val="17"/>
              </w:rPr>
            </w:pPr>
          </w:p>
        </w:tc>
        <w:tc>
          <w:tcPr>
            <w:tcW w:w="1259" w:type="pct"/>
            <w:tcBorders>
              <w:bottom w:val="single" w:sz="4" w:space="0" w:color="auto"/>
            </w:tcBorders>
            <w:shd w:val="clear" w:color="auto" w:fill="auto"/>
          </w:tcPr>
          <w:p w14:paraId="7F8D7B7E" w14:textId="77777777" w:rsidR="00E65228" w:rsidRPr="0017210F" w:rsidRDefault="00E65228" w:rsidP="009D6968">
            <w:pPr>
              <w:rPr>
                <w:rFonts w:asciiTheme="minorHAnsi" w:hAnsiTheme="minorHAnsi" w:cstheme="minorHAnsi"/>
                <w:sz w:val="17"/>
                <w:szCs w:val="17"/>
              </w:rPr>
            </w:pPr>
            <w:r w:rsidRPr="0017210F">
              <w:rPr>
                <w:rFonts w:asciiTheme="minorHAnsi" w:hAnsiTheme="minorHAnsi" w:cstheme="minorHAnsi"/>
                <w:sz w:val="17"/>
                <w:szCs w:val="17"/>
              </w:rPr>
              <w:t>2. LDN working groups/LDN focal points included within institutional frameworks at municipal level in project’s target landscapes</w:t>
            </w:r>
          </w:p>
        </w:tc>
        <w:tc>
          <w:tcPr>
            <w:tcW w:w="598" w:type="pct"/>
            <w:tcBorders>
              <w:bottom w:val="single" w:sz="4" w:space="0" w:color="auto"/>
            </w:tcBorders>
            <w:shd w:val="clear" w:color="auto" w:fill="auto"/>
          </w:tcPr>
          <w:p w14:paraId="71C78BCE" w14:textId="77777777" w:rsidR="00E65228" w:rsidRPr="0017210F" w:rsidRDefault="00E65228" w:rsidP="009D6968">
            <w:pPr>
              <w:rPr>
                <w:rFonts w:asciiTheme="minorHAnsi" w:hAnsiTheme="minorHAnsi" w:cstheme="minorHAnsi"/>
                <w:sz w:val="17"/>
                <w:szCs w:val="17"/>
              </w:rPr>
            </w:pPr>
            <w:r w:rsidRPr="0017210F">
              <w:rPr>
                <w:rFonts w:asciiTheme="minorHAnsi" w:hAnsiTheme="minorHAnsi" w:cstheme="minorHAnsi"/>
                <w:sz w:val="17"/>
                <w:szCs w:val="17"/>
              </w:rPr>
              <w:t>0</w:t>
            </w:r>
          </w:p>
        </w:tc>
        <w:tc>
          <w:tcPr>
            <w:tcW w:w="598" w:type="pct"/>
            <w:gridSpan w:val="2"/>
            <w:tcBorders>
              <w:bottom w:val="single" w:sz="4" w:space="0" w:color="auto"/>
            </w:tcBorders>
            <w:shd w:val="clear" w:color="auto" w:fill="auto"/>
          </w:tcPr>
          <w:p w14:paraId="0F4B4192" w14:textId="77777777" w:rsidR="00E65228" w:rsidRPr="0017210F" w:rsidRDefault="00E65228" w:rsidP="009D6968">
            <w:pPr>
              <w:rPr>
                <w:rFonts w:asciiTheme="minorHAnsi" w:hAnsiTheme="minorHAnsi" w:cstheme="minorHAnsi"/>
                <w:sz w:val="17"/>
                <w:szCs w:val="17"/>
              </w:rPr>
            </w:pPr>
            <w:r w:rsidRPr="0017210F">
              <w:rPr>
                <w:rFonts w:asciiTheme="minorHAnsi" w:hAnsiTheme="minorHAnsi" w:cstheme="minorHAnsi"/>
                <w:sz w:val="17"/>
                <w:szCs w:val="17"/>
              </w:rPr>
              <w:t>At least one municipality in one target landscape with LDN working group or LDN Focal point integrated into institutional structure</w:t>
            </w:r>
          </w:p>
        </w:tc>
        <w:tc>
          <w:tcPr>
            <w:tcW w:w="648" w:type="pct"/>
            <w:tcBorders>
              <w:bottom w:val="single" w:sz="4" w:space="0" w:color="auto"/>
            </w:tcBorders>
            <w:shd w:val="clear" w:color="auto" w:fill="auto"/>
          </w:tcPr>
          <w:p w14:paraId="551F2886" w14:textId="77777777" w:rsidR="00E65228" w:rsidRPr="0017210F" w:rsidRDefault="00E65228" w:rsidP="009D6968">
            <w:pPr>
              <w:rPr>
                <w:rFonts w:asciiTheme="minorHAnsi" w:hAnsiTheme="minorHAnsi" w:cstheme="minorHAnsi"/>
                <w:sz w:val="17"/>
                <w:szCs w:val="17"/>
              </w:rPr>
            </w:pPr>
            <w:r w:rsidRPr="0017210F">
              <w:rPr>
                <w:rFonts w:asciiTheme="minorHAnsi" w:hAnsiTheme="minorHAnsi" w:cstheme="minorHAnsi"/>
                <w:sz w:val="17"/>
                <w:szCs w:val="17"/>
              </w:rPr>
              <w:t>All four municipalities across both target landscapes with LDN working group or LDN Focal point integrated into institutional structure</w:t>
            </w:r>
          </w:p>
        </w:tc>
        <w:tc>
          <w:tcPr>
            <w:tcW w:w="698" w:type="pct"/>
            <w:tcBorders>
              <w:bottom w:val="single" w:sz="4" w:space="0" w:color="auto"/>
            </w:tcBorders>
            <w:shd w:val="clear" w:color="auto" w:fill="auto"/>
          </w:tcPr>
          <w:p w14:paraId="27627625" w14:textId="77777777" w:rsidR="00E65228" w:rsidRPr="0017210F" w:rsidRDefault="00E65228" w:rsidP="009D6968">
            <w:pPr>
              <w:spacing w:beforeLines="1" w:before="2" w:afterLines="1" w:after="2"/>
              <w:ind w:left="-80" w:right="-80"/>
              <w:textAlignment w:val="baseline"/>
              <w:rPr>
                <w:rFonts w:asciiTheme="minorHAnsi" w:hAnsiTheme="minorHAnsi" w:cstheme="minorHAnsi"/>
                <w:sz w:val="17"/>
                <w:szCs w:val="17"/>
              </w:rPr>
            </w:pPr>
            <w:r w:rsidRPr="0017210F">
              <w:rPr>
                <w:rFonts w:asciiTheme="minorHAnsi" w:hAnsiTheme="minorHAnsi" w:cstheme="minorHAnsi"/>
                <w:sz w:val="17"/>
                <w:szCs w:val="17"/>
              </w:rPr>
              <w:t>- Copies of LDN working group/focal point reports and minutes of meetings</w:t>
            </w:r>
          </w:p>
          <w:p w14:paraId="075B3EA3" w14:textId="77777777" w:rsidR="00E65228" w:rsidRPr="0017210F" w:rsidDel="0052195C" w:rsidRDefault="00E65228" w:rsidP="009D6968">
            <w:pPr>
              <w:spacing w:beforeLines="1" w:before="2" w:afterLines="1" w:after="2"/>
              <w:ind w:left="-80" w:right="-80"/>
              <w:textAlignment w:val="baseline"/>
              <w:rPr>
                <w:rFonts w:asciiTheme="minorHAnsi" w:hAnsiTheme="minorHAnsi" w:cstheme="minorHAnsi"/>
                <w:sz w:val="17"/>
                <w:szCs w:val="17"/>
              </w:rPr>
            </w:pPr>
            <w:r w:rsidRPr="0017210F">
              <w:rPr>
                <w:rFonts w:asciiTheme="minorHAnsi" w:hAnsiTheme="minorHAnsi" w:cstheme="minorHAnsi"/>
                <w:sz w:val="17"/>
                <w:szCs w:val="17"/>
              </w:rPr>
              <w:t>-Annual reports of key institutions hosting LDN working groups/ focal points</w:t>
            </w:r>
          </w:p>
          <w:p w14:paraId="527EBAD8" w14:textId="77777777" w:rsidR="00E65228" w:rsidRPr="0017210F" w:rsidRDefault="00E65228" w:rsidP="009D6968">
            <w:pPr>
              <w:spacing w:beforeLines="1" w:before="2" w:afterLines="1" w:after="2"/>
              <w:ind w:left="-80" w:right="-80"/>
              <w:textAlignment w:val="baseline"/>
              <w:rPr>
                <w:rFonts w:asciiTheme="minorHAnsi" w:hAnsiTheme="minorHAnsi" w:cstheme="minorHAnsi"/>
                <w:sz w:val="17"/>
                <w:szCs w:val="17"/>
              </w:rPr>
            </w:pPr>
            <w:r w:rsidRPr="0017210F">
              <w:rPr>
                <w:rFonts w:asciiTheme="minorHAnsi" w:hAnsiTheme="minorHAnsi" w:cstheme="minorHAnsi"/>
                <w:sz w:val="17"/>
                <w:szCs w:val="17"/>
              </w:rPr>
              <w:t>- Project progress reports (PIR, FAO PPR)</w:t>
            </w:r>
          </w:p>
          <w:p w14:paraId="62D2E32F" w14:textId="77777777" w:rsidR="00E65228" w:rsidRPr="0017210F" w:rsidRDefault="00E65228" w:rsidP="009D6968">
            <w:pPr>
              <w:spacing w:beforeLines="1" w:before="2" w:afterLines="1" w:after="2"/>
              <w:ind w:left="-80" w:right="-80"/>
              <w:textAlignment w:val="baseline"/>
              <w:rPr>
                <w:rFonts w:asciiTheme="minorHAnsi" w:hAnsiTheme="minorHAnsi" w:cstheme="minorHAnsi"/>
                <w:sz w:val="17"/>
                <w:szCs w:val="17"/>
              </w:rPr>
            </w:pPr>
            <w:r w:rsidRPr="0017210F">
              <w:rPr>
                <w:rFonts w:asciiTheme="minorHAnsi" w:hAnsiTheme="minorHAnsi" w:cstheme="minorHAnsi"/>
                <w:sz w:val="17"/>
                <w:szCs w:val="17"/>
              </w:rPr>
              <w:t>- MTR and TE reports </w:t>
            </w:r>
          </w:p>
          <w:p w14:paraId="4F625F6F" w14:textId="77777777" w:rsidR="00E65228" w:rsidRPr="0017210F" w:rsidRDefault="00E65228" w:rsidP="009D6968">
            <w:pPr>
              <w:spacing w:beforeLines="1" w:before="2" w:afterLines="1" w:after="2"/>
              <w:ind w:left="-80" w:right="-80"/>
              <w:textAlignment w:val="baseline"/>
              <w:rPr>
                <w:rFonts w:asciiTheme="minorHAnsi" w:hAnsiTheme="minorHAnsi" w:cstheme="minorHAnsi"/>
                <w:sz w:val="17"/>
                <w:szCs w:val="17"/>
              </w:rPr>
            </w:pPr>
            <w:r w:rsidRPr="0017210F">
              <w:rPr>
                <w:rFonts w:asciiTheme="minorHAnsi" w:hAnsiTheme="minorHAnsi" w:cstheme="minorHAnsi"/>
                <w:sz w:val="17"/>
                <w:szCs w:val="17"/>
              </w:rPr>
              <w:lastRenderedPageBreak/>
              <w:t>- UNCCD and UNFCCC convention reporting by Angola</w:t>
            </w:r>
          </w:p>
          <w:p w14:paraId="0BF40B9B" w14:textId="77777777" w:rsidR="00E65228" w:rsidRPr="0017210F" w:rsidRDefault="00E65228" w:rsidP="009D6968">
            <w:pPr>
              <w:rPr>
                <w:rFonts w:asciiTheme="minorHAnsi" w:hAnsiTheme="minorHAnsi" w:cstheme="minorHAnsi"/>
                <w:sz w:val="17"/>
                <w:szCs w:val="17"/>
              </w:rPr>
            </w:pPr>
          </w:p>
        </w:tc>
        <w:tc>
          <w:tcPr>
            <w:tcW w:w="625" w:type="pct"/>
            <w:vMerge/>
          </w:tcPr>
          <w:p w14:paraId="2C6DEA77" w14:textId="77777777" w:rsidR="00E65228" w:rsidRPr="0017210F" w:rsidRDefault="00E65228" w:rsidP="009D6968">
            <w:pPr>
              <w:rPr>
                <w:rFonts w:asciiTheme="minorHAnsi" w:hAnsiTheme="minorHAnsi" w:cstheme="minorHAnsi"/>
                <w:sz w:val="17"/>
                <w:szCs w:val="17"/>
              </w:rPr>
            </w:pPr>
          </w:p>
        </w:tc>
      </w:tr>
      <w:tr w:rsidR="00E65228" w:rsidRPr="0017210F" w14:paraId="1BDC3317" w14:textId="77777777" w:rsidTr="01B6467E">
        <w:trPr>
          <w:trHeight w:val="262"/>
        </w:trPr>
        <w:tc>
          <w:tcPr>
            <w:tcW w:w="5000" w:type="pct"/>
            <w:gridSpan w:val="8"/>
            <w:tcBorders>
              <w:bottom w:val="single" w:sz="4" w:space="0" w:color="auto"/>
            </w:tcBorders>
            <w:shd w:val="clear" w:color="auto" w:fill="auto"/>
          </w:tcPr>
          <w:p w14:paraId="1C640915" w14:textId="77777777" w:rsidR="00E65228" w:rsidRPr="0017210F" w:rsidRDefault="00E65228" w:rsidP="009D6968">
            <w:pPr>
              <w:spacing w:beforeLines="1" w:before="2" w:afterLines="1" w:after="2"/>
              <w:ind w:right="-80"/>
              <w:textAlignment w:val="baseline"/>
              <w:rPr>
                <w:rFonts w:asciiTheme="minorHAnsi" w:hAnsiTheme="minorHAnsi" w:cstheme="minorHAnsi"/>
                <w:b/>
                <w:sz w:val="17"/>
                <w:szCs w:val="17"/>
              </w:rPr>
            </w:pPr>
          </w:p>
          <w:p w14:paraId="44BD2D3D" w14:textId="77777777" w:rsidR="00E65228" w:rsidRPr="0017210F" w:rsidRDefault="00E65228" w:rsidP="009D6968">
            <w:pPr>
              <w:spacing w:beforeLines="1" w:before="2" w:afterLines="1" w:after="2"/>
              <w:ind w:right="-80"/>
              <w:textAlignment w:val="baseline"/>
              <w:rPr>
                <w:rFonts w:asciiTheme="minorHAnsi" w:hAnsiTheme="minorHAnsi" w:cstheme="minorHAnsi"/>
                <w:sz w:val="17"/>
                <w:szCs w:val="17"/>
              </w:rPr>
            </w:pPr>
            <w:r w:rsidRPr="0017210F">
              <w:rPr>
                <w:rFonts w:asciiTheme="minorHAnsi" w:hAnsiTheme="minorHAnsi" w:cstheme="minorHAnsi"/>
                <w:sz w:val="17"/>
                <w:szCs w:val="17"/>
              </w:rPr>
              <w:t>Output 1.1.1) LDN stakeholder participatory and decision-making structures at national level strengthened/established, with vertical integration to landscape level multi-sectoral working groups </w:t>
            </w:r>
          </w:p>
          <w:p w14:paraId="287D695C" w14:textId="2977BAD0" w:rsidR="00E65228" w:rsidRPr="0017210F" w:rsidRDefault="00E65228" w:rsidP="009D6968">
            <w:pPr>
              <w:spacing w:beforeLines="1" w:before="2" w:afterLines="1" w:after="2"/>
              <w:ind w:right="-80"/>
              <w:textAlignment w:val="baseline"/>
              <w:rPr>
                <w:rFonts w:asciiTheme="minorHAnsi" w:hAnsiTheme="minorHAnsi" w:cstheme="minorHAnsi"/>
                <w:sz w:val="17"/>
                <w:szCs w:val="17"/>
              </w:rPr>
            </w:pPr>
            <w:r w:rsidRPr="0017210F">
              <w:rPr>
                <w:rFonts w:asciiTheme="minorHAnsi" w:hAnsiTheme="minorHAnsi" w:cstheme="minorHAnsi"/>
                <w:sz w:val="17"/>
                <w:szCs w:val="17"/>
              </w:rPr>
              <w:t xml:space="preserve">Output 1.1.2) Policy and regulatory frameworks relevant for land-use planning and management reviewed and revised </w:t>
            </w:r>
            <w:r w:rsidR="00C33416" w:rsidRPr="00C33416">
              <w:rPr>
                <w:rFonts w:asciiTheme="minorHAnsi" w:hAnsiTheme="minorHAnsi" w:cstheme="minorHAnsi"/>
                <w:sz w:val="17"/>
                <w:szCs w:val="17"/>
              </w:rPr>
              <w:t>to incorporate and promote LDN principles and SLM/SFM interventions</w:t>
            </w:r>
          </w:p>
          <w:p w14:paraId="6E3FACFC" w14:textId="77777777" w:rsidR="00E65228" w:rsidRPr="0017210F" w:rsidRDefault="00E65228" w:rsidP="009D6968">
            <w:pPr>
              <w:spacing w:beforeLines="1" w:before="2" w:afterLines="1" w:after="2"/>
              <w:ind w:right="-80"/>
              <w:textAlignment w:val="baseline"/>
              <w:rPr>
                <w:rFonts w:asciiTheme="minorHAnsi" w:hAnsiTheme="minorHAnsi" w:cstheme="minorHAnsi"/>
                <w:sz w:val="17"/>
                <w:szCs w:val="17"/>
              </w:rPr>
            </w:pPr>
          </w:p>
        </w:tc>
      </w:tr>
      <w:tr w:rsidR="00E65228" w:rsidRPr="0017210F" w14:paraId="549D32D8" w14:textId="77777777" w:rsidTr="01B6467E">
        <w:trPr>
          <w:trHeight w:val="380"/>
        </w:trPr>
        <w:tc>
          <w:tcPr>
            <w:tcW w:w="5000" w:type="pct"/>
            <w:gridSpan w:val="8"/>
            <w:shd w:val="clear" w:color="auto" w:fill="D9D9D9" w:themeFill="background1" w:themeFillShade="D9"/>
          </w:tcPr>
          <w:p w14:paraId="69A0B06D" w14:textId="77777777" w:rsidR="00E65228" w:rsidRPr="0017210F" w:rsidRDefault="00E65228" w:rsidP="009D6968">
            <w:pPr>
              <w:rPr>
                <w:rFonts w:asciiTheme="minorHAnsi" w:hAnsiTheme="minorHAnsi" w:cstheme="minorHAnsi"/>
                <w:b/>
                <w:bCs/>
                <w:sz w:val="17"/>
                <w:szCs w:val="17"/>
              </w:rPr>
            </w:pPr>
            <w:r w:rsidRPr="0017210F">
              <w:rPr>
                <w:rFonts w:asciiTheme="minorHAnsi" w:hAnsiTheme="minorHAnsi" w:cstheme="minorHAnsi"/>
                <w:b/>
                <w:bCs/>
                <w:sz w:val="17"/>
                <w:szCs w:val="17"/>
              </w:rPr>
              <w:t xml:space="preserve">Component 2. Strengthening implementation and replicating SLM and SFM practices </w:t>
            </w:r>
          </w:p>
        </w:tc>
      </w:tr>
      <w:tr w:rsidR="00E65228" w:rsidRPr="0017210F" w14:paraId="5036A94C" w14:textId="77777777" w:rsidTr="01B6467E">
        <w:trPr>
          <w:trHeight w:val="699"/>
        </w:trPr>
        <w:tc>
          <w:tcPr>
            <w:tcW w:w="574" w:type="pct"/>
            <w:shd w:val="clear" w:color="auto" w:fill="auto"/>
          </w:tcPr>
          <w:p w14:paraId="2DB45BDE" w14:textId="77777777" w:rsidR="00E65228" w:rsidRPr="0017210F" w:rsidRDefault="00E65228" w:rsidP="009D6968">
            <w:pPr>
              <w:rPr>
                <w:rFonts w:asciiTheme="minorHAnsi" w:hAnsiTheme="minorHAnsi" w:cstheme="minorHAnsi"/>
                <w:sz w:val="17"/>
                <w:szCs w:val="17"/>
              </w:rPr>
            </w:pPr>
            <w:r w:rsidRPr="0017210F">
              <w:rPr>
                <w:rFonts w:asciiTheme="minorHAnsi" w:hAnsiTheme="minorHAnsi" w:cstheme="minorHAnsi"/>
                <w:sz w:val="17"/>
                <w:szCs w:val="17"/>
              </w:rPr>
              <w:t>Outcome 2.1) Landscapes in Southern Angola under Integrated Land-Use Planning (ILUP) for LDN</w:t>
            </w:r>
          </w:p>
        </w:tc>
        <w:tc>
          <w:tcPr>
            <w:tcW w:w="1259" w:type="pct"/>
            <w:shd w:val="clear" w:color="auto" w:fill="auto"/>
          </w:tcPr>
          <w:p w14:paraId="7B350D7D" w14:textId="666E63A9" w:rsidR="00E65228" w:rsidRPr="0017210F" w:rsidRDefault="00E65228" w:rsidP="009D6968">
            <w:pPr>
              <w:ind w:left="-57" w:right="-57"/>
              <w:rPr>
                <w:rFonts w:asciiTheme="minorHAnsi" w:hAnsiTheme="minorHAnsi" w:cstheme="minorHAnsi"/>
                <w:sz w:val="17"/>
                <w:szCs w:val="17"/>
              </w:rPr>
            </w:pPr>
            <w:r w:rsidRPr="0017210F">
              <w:rPr>
                <w:rFonts w:asciiTheme="minorHAnsi" w:hAnsiTheme="minorHAnsi" w:cstheme="minorHAnsi"/>
                <w:sz w:val="17"/>
                <w:szCs w:val="17"/>
              </w:rPr>
              <w:t>1.</w:t>
            </w:r>
            <w:r w:rsidR="00944086">
              <w:rPr>
                <w:rFonts w:asciiTheme="minorHAnsi" w:hAnsiTheme="minorHAnsi" w:cstheme="minorHAnsi"/>
                <w:sz w:val="17"/>
                <w:szCs w:val="17"/>
              </w:rPr>
              <w:t>Number of i</w:t>
            </w:r>
            <w:r w:rsidRPr="0017210F">
              <w:rPr>
                <w:rFonts w:asciiTheme="minorHAnsi" w:hAnsiTheme="minorHAnsi" w:cstheme="minorHAnsi"/>
                <w:sz w:val="17"/>
                <w:szCs w:val="17"/>
              </w:rPr>
              <w:t xml:space="preserve">ntegrated land-use plans (ILUPs) </w:t>
            </w:r>
            <w:r w:rsidR="00EA4414">
              <w:rPr>
                <w:rFonts w:asciiTheme="minorHAnsi" w:hAnsiTheme="minorHAnsi" w:cstheme="minorHAnsi"/>
                <w:sz w:val="17"/>
                <w:szCs w:val="17"/>
              </w:rPr>
              <w:t>for targeted sub-</w:t>
            </w:r>
            <w:r w:rsidR="00BC4AF1">
              <w:rPr>
                <w:rFonts w:asciiTheme="minorHAnsi" w:hAnsiTheme="minorHAnsi" w:cstheme="minorHAnsi"/>
                <w:sz w:val="17"/>
                <w:szCs w:val="17"/>
              </w:rPr>
              <w:t>with</w:t>
            </w:r>
            <w:r w:rsidR="00FF78C1">
              <w:rPr>
                <w:rFonts w:asciiTheme="minorHAnsi" w:hAnsiTheme="minorHAnsi" w:cstheme="minorHAnsi"/>
                <w:sz w:val="17"/>
                <w:szCs w:val="17"/>
              </w:rPr>
              <w:t xml:space="preserve"> </w:t>
            </w:r>
            <w:r w:rsidR="00FF78C1" w:rsidRPr="006B4B17">
              <w:rPr>
                <w:rFonts w:asciiTheme="minorHAnsi" w:hAnsiTheme="minorHAnsi" w:cstheme="minorHAnsi"/>
                <w:sz w:val="17"/>
                <w:szCs w:val="17"/>
                <w:highlight w:val="yellow"/>
              </w:rPr>
              <w:t xml:space="preserve">corresponding action </w:t>
            </w:r>
            <w:r w:rsidR="00291A97">
              <w:rPr>
                <w:rFonts w:asciiTheme="minorHAnsi" w:hAnsiTheme="minorHAnsi" w:cstheme="minorHAnsi"/>
                <w:sz w:val="17"/>
                <w:szCs w:val="17"/>
                <w:highlight w:val="yellow"/>
              </w:rPr>
              <w:t xml:space="preserve">plan </w:t>
            </w:r>
            <w:r w:rsidR="00BC4AF1" w:rsidRPr="006B4B17">
              <w:rPr>
                <w:rFonts w:asciiTheme="minorHAnsi" w:hAnsiTheme="minorHAnsi" w:cstheme="minorHAnsi"/>
                <w:sz w:val="17"/>
                <w:szCs w:val="17"/>
                <w:highlight w:val="yellow"/>
              </w:rPr>
              <w:t xml:space="preserve">and </w:t>
            </w:r>
            <w:r w:rsidR="005477CF">
              <w:rPr>
                <w:rFonts w:asciiTheme="minorHAnsi" w:hAnsiTheme="minorHAnsi" w:cstheme="minorHAnsi"/>
                <w:sz w:val="17"/>
                <w:szCs w:val="17"/>
                <w:highlight w:val="yellow"/>
              </w:rPr>
              <w:t>aligned with</w:t>
            </w:r>
            <w:r w:rsidR="00BC4AF1" w:rsidRPr="006B4B17">
              <w:rPr>
                <w:rFonts w:asciiTheme="minorHAnsi" w:hAnsiTheme="minorHAnsi" w:cstheme="minorHAnsi"/>
                <w:sz w:val="17"/>
                <w:szCs w:val="17"/>
                <w:highlight w:val="yellow"/>
              </w:rPr>
              <w:t xml:space="preserve"> </w:t>
            </w:r>
            <w:r w:rsidR="006B4B17">
              <w:rPr>
                <w:rFonts w:asciiTheme="minorHAnsi" w:hAnsiTheme="minorHAnsi" w:cstheme="minorHAnsi"/>
                <w:sz w:val="17"/>
                <w:szCs w:val="17"/>
                <w:highlight w:val="yellow"/>
              </w:rPr>
              <w:t xml:space="preserve">government </w:t>
            </w:r>
            <w:r w:rsidR="002F399E" w:rsidRPr="00395C8A">
              <w:rPr>
                <w:rFonts w:asciiTheme="minorHAnsi" w:hAnsiTheme="minorHAnsi" w:cstheme="minorHAnsi"/>
                <w:sz w:val="17"/>
                <w:szCs w:val="17"/>
                <w:highlight w:val="yellow"/>
              </w:rPr>
              <w:t>investmen</w:t>
            </w:r>
            <w:r w:rsidR="00395C8A" w:rsidRPr="00395C8A">
              <w:rPr>
                <w:rFonts w:asciiTheme="minorHAnsi" w:hAnsiTheme="minorHAnsi" w:cstheme="minorHAnsi"/>
                <w:sz w:val="17"/>
                <w:szCs w:val="17"/>
                <w:highlight w:val="yellow"/>
              </w:rPr>
              <w:t>ts (PND)</w:t>
            </w:r>
            <w:r w:rsidR="00FF78C1">
              <w:rPr>
                <w:rFonts w:asciiTheme="minorHAnsi" w:hAnsiTheme="minorHAnsi" w:cstheme="minorHAnsi"/>
                <w:sz w:val="17"/>
                <w:szCs w:val="17"/>
              </w:rPr>
              <w:t xml:space="preserve"> </w:t>
            </w:r>
          </w:p>
          <w:p w14:paraId="3D537D4E" w14:textId="77777777" w:rsidR="00E65228" w:rsidRPr="0017210F" w:rsidRDefault="00E65228" w:rsidP="009D6968">
            <w:pPr>
              <w:ind w:left="-57" w:right="-57"/>
              <w:rPr>
                <w:rFonts w:asciiTheme="minorHAnsi" w:hAnsiTheme="minorHAnsi" w:cstheme="minorHAnsi"/>
                <w:sz w:val="17"/>
                <w:szCs w:val="17"/>
              </w:rPr>
            </w:pPr>
          </w:p>
          <w:p w14:paraId="2380E055" w14:textId="0D8AD17A" w:rsidR="00E65228" w:rsidRPr="0017210F" w:rsidRDefault="00E65228" w:rsidP="009D6968">
            <w:pPr>
              <w:autoSpaceDE w:val="0"/>
              <w:autoSpaceDN w:val="0"/>
              <w:adjustRightInd w:val="0"/>
              <w:spacing w:after="200"/>
              <w:ind w:right="-57"/>
              <w:jc w:val="both"/>
              <w:rPr>
                <w:rFonts w:asciiTheme="minorHAnsi" w:hAnsiTheme="minorHAnsi" w:cstheme="minorHAnsi"/>
                <w:sz w:val="17"/>
                <w:szCs w:val="17"/>
              </w:rPr>
            </w:pPr>
          </w:p>
        </w:tc>
        <w:tc>
          <w:tcPr>
            <w:tcW w:w="598" w:type="pct"/>
            <w:shd w:val="clear" w:color="auto" w:fill="auto"/>
          </w:tcPr>
          <w:p w14:paraId="222AEC15" w14:textId="77777777" w:rsidR="00E65228" w:rsidRPr="0017210F" w:rsidRDefault="00E65228" w:rsidP="009D6968">
            <w:pPr>
              <w:rPr>
                <w:rFonts w:asciiTheme="minorHAnsi" w:hAnsiTheme="minorHAnsi" w:cstheme="minorHAnsi"/>
                <w:sz w:val="17"/>
                <w:szCs w:val="17"/>
              </w:rPr>
            </w:pPr>
            <w:r w:rsidRPr="0017210F">
              <w:rPr>
                <w:rFonts w:asciiTheme="minorHAnsi" w:hAnsiTheme="minorHAnsi" w:cstheme="minorHAnsi"/>
                <w:sz w:val="17"/>
                <w:szCs w:val="17"/>
              </w:rPr>
              <w:t>Plans not developed. Only a Prototype Database for Land Management Units (LMUs) targeted by the Project is in place for indicative development of ILUPs and derived local area plans</w:t>
            </w:r>
          </w:p>
        </w:tc>
        <w:tc>
          <w:tcPr>
            <w:tcW w:w="598" w:type="pct"/>
            <w:gridSpan w:val="2"/>
            <w:shd w:val="clear" w:color="auto" w:fill="auto"/>
          </w:tcPr>
          <w:p w14:paraId="63AF94E1" w14:textId="2192DF22" w:rsidR="00E65228" w:rsidRPr="0017210F" w:rsidRDefault="00E65228" w:rsidP="009D6968">
            <w:pPr>
              <w:rPr>
                <w:rFonts w:asciiTheme="minorHAnsi" w:hAnsiTheme="minorHAnsi" w:cstheme="minorHAnsi"/>
                <w:sz w:val="17"/>
                <w:szCs w:val="17"/>
              </w:rPr>
            </w:pPr>
            <w:r w:rsidRPr="0017210F">
              <w:rPr>
                <w:rFonts w:asciiTheme="minorHAnsi" w:hAnsiTheme="minorHAnsi" w:cstheme="minorHAnsi"/>
                <w:sz w:val="17"/>
                <w:szCs w:val="17"/>
              </w:rPr>
              <w:t xml:space="preserve">At least </w:t>
            </w:r>
            <w:r w:rsidR="001F5804">
              <w:rPr>
                <w:rFonts w:asciiTheme="minorHAnsi" w:hAnsiTheme="minorHAnsi" w:cstheme="minorHAnsi"/>
                <w:sz w:val="17"/>
                <w:szCs w:val="17"/>
              </w:rPr>
              <w:t>1</w:t>
            </w:r>
            <w:r w:rsidRPr="0017210F">
              <w:rPr>
                <w:rFonts w:asciiTheme="minorHAnsi" w:hAnsiTheme="minorHAnsi" w:cstheme="minorHAnsi"/>
                <w:sz w:val="17"/>
                <w:szCs w:val="17"/>
              </w:rPr>
              <w:t xml:space="preserve"> ILUPdeveloped, endorsed by relevant authorities and communities </w:t>
            </w:r>
          </w:p>
        </w:tc>
        <w:tc>
          <w:tcPr>
            <w:tcW w:w="648" w:type="pct"/>
            <w:shd w:val="clear" w:color="auto" w:fill="auto"/>
          </w:tcPr>
          <w:p w14:paraId="61EF5EDE" w14:textId="42C49526" w:rsidR="00E65228" w:rsidRPr="0017210F" w:rsidRDefault="00C30CB2" w:rsidP="009D6968">
            <w:pPr>
              <w:rPr>
                <w:rFonts w:asciiTheme="minorHAnsi" w:hAnsiTheme="minorHAnsi" w:cstheme="minorHAnsi"/>
                <w:sz w:val="17"/>
                <w:szCs w:val="17"/>
              </w:rPr>
            </w:pPr>
            <w:r>
              <w:rPr>
                <w:rFonts w:asciiTheme="minorHAnsi" w:hAnsiTheme="minorHAnsi" w:cstheme="minorHAnsi"/>
                <w:sz w:val="17"/>
                <w:szCs w:val="17"/>
              </w:rPr>
              <w:t xml:space="preserve">At least </w:t>
            </w:r>
            <w:r w:rsidR="008C1BE4">
              <w:rPr>
                <w:rFonts w:asciiTheme="minorHAnsi" w:hAnsiTheme="minorHAnsi" w:cstheme="minorHAnsi"/>
                <w:sz w:val="17"/>
                <w:szCs w:val="17"/>
              </w:rPr>
              <w:t xml:space="preserve">2 </w:t>
            </w:r>
            <w:r w:rsidR="00E65228" w:rsidRPr="0017210F">
              <w:rPr>
                <w:rFonts w:asciiTheme="minorHAnsi" w:hAnsiTheme="minorHAnsi" w:cstheme="minorHAnsi"/>
                <w:sz w:val="17"/>
                <w:szCs w:val="17"/>
              </w:rPr>
              <w:t xml:space="preserve">ILUPs </w:t>
            </w:r>
            <w:r w:rsidR="00D549F1">
              <w:rPr>
                <w:rFonts w:asciiTheme="minorHAnsi" w:hAnsiTheme="minorHAnsi" w:cstheme="minorHAnsi"/>
                <w:sz w:val="17"/>
                <w:szCs w:val="17"/>
              </w:rPr>
              <w:t xml:space="preserve">for targeted sub-basins </w:t>
            </w:r>
            <w:r w:rsidR="00E65228" w:rsidRPr="0017210F">
              <w:rPr>
                <w:rFonts w:asciiTheme="minorHAnsi" w:hAnsiTheme="minorHAnsi" w:cstheme="minorHAnsi"/>
                <w:sz w:val="17"/>
                <w:szCs w:val="17"/>
              </w:rPr>
              <w:t xml:space="preserve">developed and endorsed by relevant authorities and communities </w:t>
            </w:r>
            <w:r w:rsidR="008F5D1A" w:rsidRPr="0096106F">
              <w:rPr>
                <w:rFonts w:asciiTheme="minorHAnsi" w:hAnsiTheme="minorHAnsi" w:cstheme="minorHAnsi"/>
                <w:sz w:val="17"/>
                <w:szCs w:val="17"/>
                <w:highlight w:val="yellow"/>
              </w:rPr>
              <w:t>with respective actio</w:t>
            </w:r>
            <w:r w:rsidR="00CB1502" w:rsidRPr="0096106F">
              <w:rPr>
                <w:rFonts w:asciiTheme="minorHAnsi" w:hAnsiTheme="minorHAnsi" w:cstheme="minorHAnsi"/>
                <w:sz w:val="17"/>
                <w:szCs w:val="17"/>
                <w:highlight w:val="yellow"/>
              </w:rPr>
              <w:t>n</w:t>
            </w:r>
            <w:r w:rsidR="00D13D1C" w:rsidRPr="0096106F">
              <w:rPr>
                <w:rFonts w:asciiTheme="minorHAnsi" w:hAnsiTheme="minorHAnsi" w:cstheme="minorHAnsi"/>
                <w:sz w:val="17"/>
                <w:szCs w:val="17"/>
                <w:highlight w:val="yellow"/>
              </w:rPr>
              <w:t xml:space="preserve"> and </w:t>
            </w:r>
            <w:r w:rsidR="0096106F" w:rsidRPr="0096106F">
              <w:rPr>
                <w:rFonts w:asciiTheme="minorHAnsi" w:hAnsiTheme="minorHAnsi" w:cstheme="minorHAnsi"/>
                <w:sz w:val="17"/>
                <w:szCs w:val="17"/>
                <w:highlight w:val="yellow"/>
              </w:rPr>
              <w:t xml:space="preserve">government </w:t>
            </w:r>
            <w:r w:rsidR="00D13D1C" w:rsidRPr="0096106F">
              <w:rPr>
                <w:rFonts w:asciiTheme="minorHAnsi" w:hAnsiTheme="minorHAnsi" w:cstheme="minorHAnsi"/>
                <w:sz w:val="17"/>
                <w:szCs w:val="17"/>
                <w:highlight w:val="yellow"/>
              </w:rPr>
              <w:t>in</w:t>
            </w:r>
            <w:r w:rsidR="0096106F" w:rsidRPr="0096106F">
              <w:rPr>
                <w:rFonts w:asciiTheme="minorHAnsi" w:hAnsiTheme="minorHAnsi" w:cstheme="minorHAnsi"/>
                <w:sz w:val="17"/>
                <w:szCs w:val="17"/>
                <w:highlight w:val="yellow"/>
              </w:rPr>
              <w:t>vestment plans</w:t>
            </w:r>
            <w:r w:rsidR="00CB1502" w:rsidRPr="0096106F">
              <w:rPr>
                <w:rFonts w:asciiTheme="minorHAnsi" w:hAnsiTheme="minorHAnsi" w:cstheme="minorHAnsi"/>
                <w:sz w:val="17"/>
                <w:szCs w:val="17"/>
                <w:highlight w:val="yellow"/>
              </w:rPr>
              <w:t xml:space="preserve"> in place</w:t>
            </w:r>
            <w:r w:rsidR="00713EF2">
              <w:rPr>
                <w:rFonts w:asciiTheme="minorHAnsi" w:hAnsiTheme="minorHAnsi" w:cstheme="minorHAnsi"/>
                <w:sz w:val="17"/>
                <w:szCs w:val="17"/>
              </w:rPr>
              <w:t xml:space="preserve"> </w:t>
            </w:r>
          </w:p>
        </w:tc>
        <w:tc>
          <w:tcPr>
            <w:tcW w:w="698" w:type="pct"/>
            <w:shd w:val="clear" w:color="auto" w:fill="auto"/>
          </w:tcPr>
          <w:p w14:paraId="37175067" w14:textId="2C102FC2" w:rsidR="00E65228" w:rsidRPr="0017210F" w:rsidRDefault="00E65228" w:rsidP="009D6968">
            <w:pPr>
              <w:spacing w:beforeLines="1" w:before="2" w:afterLines="1" w:after="2"/>
              <w:ind w:left="-80" w:right="-80"/>
              <w:textAlignment w:val="baseline"/>
              <w:rPr>
                <w:rFonts w:asciiTheme="minorHAnsi" w:hAnsiTheme="minorHAnsi" w:cstheme="minorHAnsi"/>
                <w:sz w:val="17"/>
                <w:szCs w:val="17"/>
              </w:rPr>
            </w:pPr>
            <w:r w:rsidRPr="0017210F">
              <w:rPr>
                <w:rFonts w:asciiTheme="minorHAnsi" w:hAnsiTheme="minorHAnsi" w:cstheme="minorHAnsi"/>
                <w:sz w:val="17"/>
                <w:szCs w:val="17"/>
              </w:rPr>
              <w:t>- Copies ILUPs</w:t>
            </w:r>
          </w:p>
          <w:p w14:paraId="14744C86" w14:textId="3F7B363C" w:rsidR="00E65228" w:rsidRPr="0017210F" w:rsidRDefault="00E65228" w:rsidP="009D6968">
            <w:pPr>
              <w:spacing w:beforeLines="1" w:before="2" w:afterLines="1" w:after="2"/>
              <w:ind w:left="-80" w:right="-80"/>
              <w:textAlignment w:val="baseline"/>
              <w:rPr>
                <w:rFonts w:asciiTheme="minorHAnsi" w:hAnsiTheme="minorHAnsi" w:cstheme="minorHAnsi"/>
                <w:sz w:val="17"/>
                <w:szCs w:val="17"/>
              </w:rPr>
            </w:pPr>
            <w:r w:rsidRPr="0017210F">
              <w:rPr>
                <w:rFonts w:asciiTheme="minorHAnsi" w:hAnsiTheme="minorHAnsi" w:cstheme="minorHAnsi"/>
                <w:sz w:val="17"/>
                <w:szCs w:val="17"/>
              </w:rPr>
              <w:t xml:space="preserve">-Annual reports of target </w:t>
            </w:r>
            <w:r w:rsidR="00721BB5">
              <w:rPr>
                <w:rFonts w:asciiTheme="minorHAnsi" w:hAnsiTheme="minorHAnsi" w:cstheme="minorHAnsi"/>
                <w:sz w:val="17"/>
                <w:szCs w:val="17"/>
              </w:rPr>
              <w:t>landscape/</w:t>
            </w:r>
            <w:r w:rsidRPr="0017210F">
              <w:rPr>
                <w:rFonts w:asciiTheme="minorHAnsi" w:hAnsiTheme="minorHAnsi" w:cstheme="minorHAnsi"/>
                <w:sz w:val="17"/>
                <w:szCs w:val="17"/>
              </w:rPr>
              <w:t>municipal authorities</w:t>
            </w:r>
          </w:p>
          <w:p w14:paraId="4CA860A2" w14:textId="77777777" w:rsidR="00E65228" w:rsidRPr="0017210F" w:rsidRDefault="00E65228" w:rsidP="009D6968">
            <w:pPr>
              <w:rPr>
                <w:rFonts w:asciiTheme="minorHAnsi" w:hAnsiTheme="minorHAnsi" w:cstheme="minorHAnsi"/>
                <w:sz w:val="17"/>
                <w:szCs w:val="17"/>
              </w:rPr>
            </w:pPr>
            <w:r w:rsidRPr="0017210F">
              <w:rPr>
                <w:rFonts w:asciiTheme="minorHAnsi" w:hAnsiTheme="minorHAnsi" w:cstheme="minorHAnsi"/>
                <w:sz w:val="17"/>
                <w:szCs w:val="17"/>
              </w:rPr>
              <w:t>- Project progress reports (PIR, FAO PPR)</w:t>
            </w:r>
          </w:p>
          <w:p w14:paraId="72900A47" w14:textId="77777777" w:rsidR="00E65228" w:rsidRPr="0017210F" w:rsidRDefault="00E65228" w:rsidP="009D6968">
            <w:pPr>
              <w:spacing w:beforeLines="1" w:before="2" w:afterLines="1" w:after="2"/>
              <w:ind w:left="-80" w:right="-80"/>
              <w:textAlignment w:val="baseline"/>
              <w:rPr>
                <w:rFonts w:asciiTheme="minorHAnsi" w:hAnsiTheme="minorHAnsi" w:cstheme="minorHAnsi"/>
                <w:sz w:val="17"/>
                <w:szCs w:val="17"/>
              </w:rPr>
            </w:pPr>
            <w:r w:rsidRPr="0017210F">
              <w:rPr>
                <w:rFonts w:asciiTheme="minorHAnsi" w:hAnsiTheme="minorHAnsi" w:cstheme="minorHAnsi"/>
                <w:sz w:val="17"/>
                <w:szCs w:val="17"/>
              </w:rPr>
              <w:t>- MTR and TE reports </w:t>
            </w:r>
          </w:p>
          <w:p w14:paraId="1AE7476C" w14:textId="77777777" w:rsidR="00E65228" w:rsidRPr="0017210F" w:rsidRDefault="00E65228" w:rsidP="009D6968">
            <w:pPr>
              <w:spacing w:beforeLines="1" w:before="2" w:afterLines="1" w:after="2"/>
              <w:ind w:left="-80" w:right="-80"/>
              <w:textAlignment w:val="baseline"/>
              <w:rPr>
                <w:rFonts w:asciiTheme="minorHAnsi" w:hAnsiTheme="minorHAnsi" w:cstheme="minorHAnsi"/>
                <w:sz w:val="17"/>
                <w:szCs w:val="17"/>
              </w:rPr>
            </w:pPr>
          </w:p>
        </w:tc>
        <w:tc>
          <w:tcPr>
            <w:tcW w:w="625" w:type="pct"/>
            <w:shd w:val="clear" w:color="auto" w:fill="auto"/>
          </w:tcPr>
          <w:p w14:paraId="35ABB701" w14:textId="77777777" w:rsidR="00E65228" w:rsidRPr="0017210F" w:rsidRDefault="00E65228" w:rsidP="009D6968">
            <w:pPr>
              <w:spacing w:beforeLines="1" w:before="2" w:afterLines="1" w:after="2"/>
              <w:ind w:left="-80" w:right="-80"/>
              <w:textAlignment w:val="baseline"/>
              <w:rPr>
                <w:rFonts w:asciiTheme="minorHAnsi" w:hAnsiTheme="minorHAnsi" w:cstheme="minorHAnsi"/>
                <w:sz w:val="17"/>
                <w:szCs w:val="17"/>
              </w:rPr>
            </w:pPr>
            <w:r w:rsidRPr="0017210F">
              <w:rPr>
                <w:rFonts w:asciiTheme="minorHAnsi" w:hAnsiTheme="minorHAnsi" w:cstheme="minorHAnsi"/>
                <w:sz w:val="17"/>
                <w:szCs w:val="17"/>
              </w:rPr>
              <w:t> National and sub-national government agencies, community groups, civil society and the private sector are willing to participate in cross-sectoral governance for LDN</w:t>
            </w:r>
          </w:p>
          <w:p w14:paraId="179860C1" w14:textId="77777777" w:rsidR="00E65228" w:rsidRPr="0017210F" w:rsidRDefault="00E65228" w:rsidP="009D6968">
            <w:pPr>
              <w:spacing w:beforeLines="1" w:before="2" w:afterLines="1" w:after="2"/>
              <w:ind w:left="-80" w:right="-80"/>
              <w:textAlignment w:val="baseline"/>
              <w:rPr>
                <w:rFonts w:asciiTheme="minorHAnsi" w:hAnsiTheme="minorHAnsi" w:cstheme="minorHAnsi"/>
                <w:sz w:val="17"/>
                <w:szCs w:val="17"/>
              </w:rPr>
            </w:pPr>
            <w:r w:rsidRPr="0017210F">
              <w:rPr>
                <w:rFonts w:asciiTheme="minorHAnsi" w:hAnsiTheme="minorHAnsi" w:cstheme="minorHAnsi"/>
                <w:sz w:val="17"/>
                <w:szCs w:val="17"/>
              </w:rPr>
              <w:t> </w:t>
            </w:r>
          </w:p>
          <w:p w14:paraId="4BC49937" w14:textId="77777777" w:rsidR="00E65228" w:rsidRPr="0017210F" w:rsidRDefault="00E65228" w:rsidP="009D6968">
            <w:pPr>
              <w:spacing w:beforeLines="1" w:before="2" w:afterLines="1" w:after="2"/>
              <w:ind w:left="-80" w:right="-80"/>
              <w:textAlignment w:val="baseline"/>
              <w:rPr>
                <w:rFonts w:asciiTheme="minorHAnsi" w:hAnsiTheme="minorHAnsi" w:cstheme="minorHAnsi"/>
                <w:sz w:val="17"/>
                <w:szCs w:val="17"/>
              </w:rPr>
            </w:pPr>
            <w:r w:rsidRPr="0017210F">
              <w:rPr>
                <w:rFonts w:asciiTheme="minorHAnsi" w:hAnsiTheme="minorHAnsi" w:cstheme="minorHAnsi"/>
                <w:sz w:val="17"/>
                <w:szCs w:val="17"/>
              </w:rPr>
              <w:t>There is sufficient, continuing political support and resources from national and local government to address gaps in capacity for integrated land-use planning and management</w:t>
            </w:r>
          </w:p>
        </w:tc>
      </w:tr>
      <w:tr w:rsidR="00E65228" w:rsidRPr="0017210F" w14:paraId="32FD57ED" w14:textId="77777777" w:rsidTr="01B6467E">
        <w:trPr>
          <w:trHeight w:val="699"/>
        </w:trPr>
        <w:tc>
          <w:tcPr>
            <w:tcW w:w="5000" w:type="pct"/>
            <w:gridSpan w:val="8"/>
            <w:shd w:val="clear" w:color="auto" w:fill="auto"/>
          </w:tcPr>
          <w:p w14:paraId="10848EEA" w14:textId="77777777" w:rsidR="00E65228" w:rsidRPr="0017210F" w:rsidRDefault="00E65228" w:rsidP="009D6968">
            <w:pPr>
              <w:spacing w:beforeLines="1" w:before="2" w:afterLines="1" w:after="2"/>
              <w:ind w:right="-80"/>
              <w:textAlignment w:val="baseline"/>
              <w:rPr>
                <w:rFonts w:asciiTheme="minorHAnsi" w:hAnsiTheme="minorHAnsi" w:cstheme="minorHAnsi"/>
                <w:b/>
                <w:sz w:val="17"/>
                <w:szCs w:val="17"/>
              </w:rPr>
            </w:pPr>
          </w:p>
          <w:p w14:paraId="486B6666" w14:textId="6EFFD48A" w:rsidR="00E65228" w:rsidRPr="0017210F" w:rsidRDefault="00E65228" w:rsidP="009D6968">
            <w:pPr>
              <w:spacing w:beforeLines="1" w:before="2" w:afterLines="1" w:after="2"/>
              <w:ind w:right="-80"/>
              <w:textAlignment w:val="baseline"/>
              <w:rPr>
                <w:rFonts w:asciiTheme="minorHAnsi" w:hAnsiTheme="minorHAnsi" w:cstheme="minorHAnsi"/>
                <w:sz w:val="17"/>
                <w:szCs w:val="17"/>
              </w:rPr>
            </w:pPr>
            <w:r w:rsidRPr="0017210F">
              <w:rPr>
                <w:rFonts w:asciiTheme="minorHAnsi" w:hAnsiTheme="minorHAnsi" w:cstheme="minorHAnsi"/>
                <w:sz w:val="17"/>
                <w:szCs w:val="17"/>
              </w:rPr>
              <w:t>Output 2.1.1) Land Management Units and respective interventions selected, landscape level assessments expanded and deepened</w:t>
            </w:r>
          </w:p>
          <w:p w14:paraId="5B442428" w14:textId="678998DB" w:rsidR="00E65228" w:rsidRPr="0017210F" w:rsidRDefault="00E65228" w:rsidP="009D6968">
            <w:pPr>
              <w:spacing w:beforeLines="1" w:before="2" w:afterLines="1" w:after="2"/>
              <w:ind w:right="-80"/>
              <w:textAlignment w:val="baseline"/>
              <w:rPr>
                <w:rFonts w:asciiTheme="minorHAnsi" w:hAnsiTheme="minorHAnsi" w:cstheme="minorHAnsi"/>
                <w:sz w:val="17"/>
                <w:szCs w:val="17"/>
              </w:rPr>
            </w:pPr>
            <w:r w:rsidRPr="0063574E">
              <w:rPr>
                <w:rFonts w:asciiTheme="minorHAnsi" w:hAnsiTheme="minorHAnsi" w:cstheme="minorHAnsi"/>
                <w:sz w:val="17"/>
                <w:szCs w:val="17"/>
              </w:rPr>
              <w:t>Output 2.1.2) Integrated</w:t>
            </w:r>
            <w:r w:rsidRPr="0017210F">
              <w:rPr>
                <w:rFonts w:asciiTheme="minorHAnsi" w:hAnsiTheme="minorHAnsi" w:cstheme="minorHAnsi"/>
                <w:sz w:val="17"/>
                <w:szCs w:val="17"/>
              </w:rPr>
              <w:t xml:space="preserve"> Land-Use Plans developed for LMUs in target landscapes</w:t>
            </w:r>
          </w:p>
          <w:p w14:paraId="602BE8D9" w14:textId="77777777" w:rsidR="00E65228" w:rsidRPr="0017210F" w:rsidRDefault="00E65228" w:rsidP="009D6968">
            <w:pPr>
              <w:spacing w:beforeLines="1" w:before="2" w:afterLines="1" w:after="2"/>
              <w:ind w:right="-80"/>
              <w:textAlignment w:val="baseline"/>
              <w:rPr>
                <w:rFonts w:asciiTheme="minorHAnsi" w:hAnsiTheme="minorHAnsi" w:cstheme="minorHAnsi"/>
                <w:sz w:val="17"/>
                <w:szCs w:val="17"/>
              </w:rPr>
            </w:pPr>
            <w:r w:rsidRPr="0017210F">
              <w:rPr>
                <w:rFonts w:asciiTheme="minorHAnsi" w:hAnsiTheme="minorHAnsi" w:cstheme="minorHAnsi"/>
                <w:sz w:val="17"/>
                <w:szCs w:val="17"/>
              </w:rPr>
              <w:t>Output 2.1.3) Integrated Land-Use Plans under implementation in target landscapes </w:t>
            </w:r>
          </w:p>
          <w:p w14:paraId="0F90B044" w14:textId="77777777" w:rsidR="00E65228" w:rsidRPr="0017210F" w:rsidRDefault="00E65228" w:rsidP="009D6968">
            <w:pPr>
              <w:rPr>
                <w:rFonts w:asciiTheme="minorHAnsi" w:hAnsiTheme="minorHAnsi" w:cstheme="minorHAnsi"/>
                <w:sz w:val="17"/>
                <w:szCs w:val="17"/>
              </w:rPr>
            </w:pPr>
            <w:r w:rsidRPr="0017210F">
              <w:rPr>
                <w:rFonts w:asciiTheme="minorHAnsi" w:hAnsiTheme="minorHAnsi" w:cstheme="minorHAnsi"/>
                <w:sz w:val="17"/>
                <w:szCs w:val="17"/>
              </w:rPr>
              <w:t>Output 2.1.4) Capacity Development Program on integrated land-use planning, management and investment designed and delivered </w:t>
            </w:r>
          </w:p>
          <w:p w14:paraId="3CC6D59A" w14:textId="77777777" w:rsidR="00E65228" w:rsidRPr="0017210F" w:rsidRDefault="00E65228" w:rsidP="009D6968">
            <w:pPr>
              <w:rPr>
                <w:rFonts w:asciiTheme="minorHAnsi" w:hAnsiTheme="minorHAnsi" w:cstheme="minorHAnsi"/>
                <w:sz w:val="17"/>
                <w:szCs w:val="17"/>
              </w:rPr>
            </w:pPr>
          </w:p>
        </w:tc>
      </w:tr>
      <w:tr w:rsidR="00E65228" w:rsidRPr="0017210F" w14:paraId="4293AA2B" w14:textId="77777777" w:rsidTr="01B6467E">
        <w:trPr>
          <w:trHeight w:val="699"/>
        </w:trPr>
        <w:tc>
          <w:tcPr>
            <w:tcW w:w="574" w:type="pct"/>
            <w:shd w:val="clear" w:color="auto" w:fill="auto"/>
          </w:tcPr>
          <w:p w14:paraId="3C22F6EA" w14:textId="77777777" w:rsidR="00E65228" w:rsidRPr="0017210F" w:rsidRDefault="00E65228" w:rsidP="009D6968">
            <w:pPr>
              <w:rPr>
                <w:rFonts w:asciiTheme="minorHAnsi" w:hAnsiTheme="minorHAnsi" w:cstheme="minorHAnsi"/>
                <w:sz w:val="17"/>
                <w:szCs w:val="17"/>
              </w:rPr>
            </w:pPr>
            <w:r w:rsidRPr="0017210F">
              <w:rPr>
                <w:rFonts w:asciiTheme="minorHAnsi" w:hAnsiTheme="minorHAnsi" w:cstheme="minorHAnsi"/>
                <w:sz w:val="17"/>
                <w:szCs w:val="17"/>
              </w:rPr>
              <w:t xml:space="preserve">Outcome 2.2. Capacity and resilience of land users to apply SLM/SFM practices to production systems strengthened </w:t>
            </w:r>
          </w:p>
        </w:tc>
        <w:tc>
          <w:tcPr>
            <w:tcW w:w="1259" w:type="pct"/>
            <w:shd w:val="clear" w:color="auto" w:fill="auto"/>
          </w:tcPr>
          <w:p w14:paraId="2467445A" w14:textId="77777777" w:rsidR="00E65228" w:rsidRPr="0017210F" w:rsidRDefault="00E65228" w:rsidP="009D6968">
            <w:pPr>
              <w:ind w:left="-57" w:right="-57"/>
              <w:rPr>
                <w:rFonts w:asciiTheme="minorHAnsi" w:hAnsiTheme="minorHAnsi" w:cstheme="minorHAnsi"/>
                <w:i/>
                <w:iCs/>
                <w:sz w:val="17"/>
                <w:szCs w:val="17"/>
              </w:rPr>
            </w:pPr>
            <w:r w:rsidRPr="0017210F">
              <w:rPr>
                <w:rFonts w:asciiTheme="minorHAnsi" w:hAnsiTheme="minorHAnsi" w:cstheme="minorHAnsi"/>
                <w:sz w:val="17"/>
                <w:szCs w:val="17"/>
              </w:rPr>
              <w:t>1a. Number of individuals members benefiting from involvement with project-supported FFS and FFFs</w:t>
            </w:r>
          </w:p>
          <w:p w14:paraId="28B60644" w14:textId="77777777" w:rsidR="00E65228" w:rsidRPr="0017210F" w:rsidRDefault="00E65228" w:rsidP="009D6968">
            <w:pPr>
              <w:ind w:left="-57" w:right="-57"/>
              <w:rPr>
                <w:rFonts w:asciiTheme="minorHAnsi" w:hAnsiTheme="minorHAnsi" w:cstheme="minorHAnsi"/>
                <w:sz w:val="17"/>
                <w:szCs w:val="17"/>
              </w:rPr>
            </w:pPr>
          </w:p>
          <w:p w14:paraId="6A1B22D0" w14:textId="77777777" w:rsidR="00E65228" w:rsidRPr="0017210F" w:rsidRDefault="00E65228" w:rsidP="009D6968">
            <w:pPr>
              <w:ind w:left="-57" w:right="-57"/>
              <w:rPr>
                <w:rFonts w:asciiTheme="minorHAnsi" w:hAnsiTheme="minorHAnsi" w:cstheme="minorHAnsi"/>
                <w:sz w:val="17"/>
                <w:szCs w:val="17"/>
              </w:rPr>
            </w:pPr>
            <w:r w:rsidRPr="0017210F">
              <w:rPr>
                <w:rFonts w:asciiTheme="minorHAnsi" w:hAnsiTheme="minorHAnsi" w:cstheme="minorHAnsi"/>
                <w:sz w:val="17"/>
                <w:szCs w:val="17"/>
              </w:rPr>
              <w:t xml:space="preserve">1b. Of which percentage of women </w:t>
            </w:r>
          </w:p>
          <w:p w14:paraId="2E1363AD" w14:textId="77777777" w:rsidR="00E65228" w:rsidRPr="0017210F" w:rsidRDefault="00E65228" w:rsidP="009D6968">
            <w:pPr>
              <w:rPr>
                <w:rFonts w:asciiTheme="minorHAnsi" w:hAnsiTheme="minorHAnsi" w:cstheme="minorHAnsi"/>
                <w:sz w:val="17"/>
                <w:szCs w:val="17"/>
              </w:rPr>
            </w:pPr>
          </w:p>
        </w:tc>
        <w:tc>
          <w:tcPr>
            <w:tcW w:w="598" w:type="pct"/>
            <w:shd w:val="clear" w:color="auto" w:fill="auto"/>
          </w:tcPr>
          <w:p w14:paraId="38E39CB8" w14:textId="77777777" w:rsidR="00E65228" w:rsidRPr="0017210F" w:rsidRDefault="00E65228" w:rsidP="009D6968">
            <w:pPr>
              <w:ind w:left="-57" w:right="-57"/>
              <w:rPr>
                <w:rFonts w:asciiTheme="minorHAnsi" w:hAnsiTheme="minorHAnsi" w:cstheme="minorHAnsi"/>
                <w:sz w:val="17"/>
                <w:szCs w:val="17"/>
              </w:rPr>
            </w:pPr>
            <w:r w:rsidRPr="0017210F">
              <w:rPr>
                <w:rFonts w:asciiTheme="minorHAnsi" w:hAnsiTheme="minorHAnsi" w:cstheme="minorHAnsi"/>
                <w:sz w:val="17"/>
                <w:szCs w:val="17"/>
              </w:rPr>
              <w:t xml:space="preserve">(a) 0 individuals </w:t>
            </w:r>
          </w:p>
          <w:p w14:paraId="0F001384" w14:textId="77777777" w:rsidR="00E65228" w:rsidRPr="0017210F" w:rsidRDefault="00E65228" w:rsidP="009D6968">
            <w:pPr>
              <w:ind w:left="-57" w:right="-57"/>
              <w:rPr>
                <w:rFonts w:asciiTheme="minorHAnsi" w:hAnsiTheme="minorHAnsi" w:cstheme="minorHAnsi"/>
                <w:sz w:val="17"/>
                <w:szCs w:val="17"/>
              </w:rPr>
            </w:pPr>
          </w:p>
          <w:p w14:paraId="10F96C2C" w14:textId="77777777" w:rsidR="00E65228" w:rsidRPr="0017210F" w:rsidRDefault="00E65228" w:rsidP="009D6968">
            <w:pPr>
              <w:ind w:left="-57" w:right="-57"/>
              <w:rPr>
                <w:rFonts w:asciiTheme="minorHAnsi" w:hAnsiTheme="minorHAnsi" w:cstheme="minorHAnsi"/>
                <w:sz w:val="17"/>
                <w:szCs w:val="17"/>
              </w:rPr>
            </w:pPr>
          </w:p>
          <w:p w14:paraId="4BB796D2" w14:textId="77777777" w:rsidR="00E65228" w:rsidRPr="0017210F" w:rsidRDefault="00E65228" w:rsidP="009D6968">
            <w:pPr>
              <w:ind w:left="-57" w:right="-57"/>
              <w:rPr>
                <w:rFonts w:asciiTheme="minorHAnsi" w:hAnsiTheme="minorHAnsi" w:cstheme="minorHAnsi"/>
                <w:sz w:val="17"/>
                <w:szCs w:val="17"/>
              </w:rPr>
            </w:pPr>
            <w:r w:rsidRPr="0017210F">
              <w:rPr>
                <w:rFonts w:asciiTheme="minorHAnsi" w:hAnsiTheme="minorHAnsi" w:cstheme="minorHAnsi"/>
                <w:sz w:val="17"/>
                <w:szCs w:val="17"/>
              </w:rPr>
              <w:t xml:space="preserve">(b) 0 </w:t>
            </w:r>
          </w:p>
          <w:p w14:paraId="5D21D107" w14:textId="77777777" w:rsidR="00E65228" w:rsidRPr="0017210F" w:rsidRDefault="00E65228" w:rsidP="009D6968">
            <w:pPr>
              <w:rPr>
                <w:rFonts w:asciiTheme="minorHAnsi" w:hAnsiTheme="minorHAnsi" w:cstheme="minorHAnsi"/>
                <w:sz w:val="17"/>
                <w:szCs w:val="17"/>
              </w:rPr>
            </w:pPr>
          </w:p>
        </w:tc>
        <w:tc>
          <w:tcPr>
            <w:tcW w:w="598" w:type="pct"/>
            <w:gridSpan w:val="2"/>
            <w:shd w:val="clear" w:color="auto" w:fill="auto"/>
          </w:tcPr>
          <w:p w14:paraId="755CD21B" w14:textId="77777777" w:rsidR="00E65228" w:rsidRPr="0017210F" w:rsidRDefault="00E65228" w:rsidP="009D6968">
            <w:pPr>
              <w:ind w:left="-57" w:right="-57"/>
              <w:rPr>
                <w:rFonts w:asciiTheme="minorHAnsi" w:hAnsiTheme="minorHAnsi" w:cstheme="minorHAnsi"/>
                <w:sz w:val="17"/>
                <w:szCs w:val="17"/>
              </w:rPr>
            </w:pPr>
            <w:r w:rsidRPr="0017210F">
              <w:rPr>
                <w:rFonts w:asciiTheme="minorHAnsi" w:hAnsiTheme="minorHAnsi" w:cstheme="minorHAnsi"/>
                <w:sz w:val="17"/>
                <w:szCs w:val="17"/>
              </w:rPr>
              <w:t>At least 1925 individuals</w:t>
            </w:r>
          </w:p>
          <w:p w14:paraId="04F54A7A" w14:textId="77777777" w:rsidR="00E65228" w:rsidRPr="0017210F" w:rsidRDefault="00E65228" w:rsidP="009D6968">
            <w:pPr>
              <w:ind w:right="-57"/>
              <w:rPr>
                <w:rFonts w:asciiTheme="minorHAnsi" w:hAnsiTheme="minorHAnsi" w:cstheme="minorHAnsi"/>
                <w:sz w:val="17"/>
                <w:szCs w:val="17"/>
              </w:rPr>
            </w:pPr>
          </w:p>
          <w:p w14:paraId="5136D6C1" w14:textId="77777777" w:rsidR="00E65228" w:rsidRPr="0017210F" w:rsidRDefault="00E65228" w:rsidP="009D6968">
            <w:pPr>
              <w:rPr>
                <w:rFonts w:asciiTheme="minorHAnsi" w:hAnsiTheme="minorHAnsi" w:cstheme="minorHAnsi"/>
                <w:sz w:val="17"/>
                <w:szCs w:val="17"/>
              </w:rPr>
            </w:pPr>
            <w:r w:rsidRPr="0017210F">
              <w:rPr>
                <w:rFonts w:asciiTheme="minorHAnsi" w:hAnsiTheme="minorHAnsi" w:cstheme="minorHAnsi"/>
                <w:sz w:val="17"/>
                <w:szCs w:val="17"/>
              </w:rPr>
              <w:t xml:space="preserve">(b) At least 960 women </w:t>
            </w:r>
          </w:p>
        </w:tc>
        <w:tc>
          <w:tcPr>
            <w:tcW w:w="648" w:type="pct"/>
            <w:shd w:val="clear" w:color="auto" w:fill="auto"/>
          </w:tcPr>
          <w:p w14:paraId="3FD978F0" w14:textId="77777777" w:rsidR="00E65228" w:rsidRPr="0017210F" w:rsidRDefault="00E65228" w:rsidP="009D6968">
            <w:pPr>
              <w:ind w:left="-57" w:right="-57"/>
              <w:rPr>
                <w:rFonts w:asciiTheme="minorHAnsi" w:hAnsiTheme="minorHAnsi" w:cstheme="minorHAnsi"/>
                <w:sz w:val="17"/>
                <w:szCs w:val="17"/>
              </w:rPr>
            </w:pPr>
            <w:r w:rsidRPr="0017210F">
              <w:rPr>
                <w:rFonts w:asciiTheme="minorHAnsi" w:hAnsiTheme="minorHAnsi" w:cstheme="minorHAnsi"/>
                <w:sz w:val="17"/>
                <w:szCs w:val="17"/>
              </w:rPr>
              <w:t>At least 3850 individuals</w:t>
            </w:r>
          </w:p>
          <w:p w14:paraId="15016C54" w14:textId="77777777" w:rsidR="00E65228" w:rsidRPr="0017210F" w:rsidRDefault="00E65228" w:rsidP="009D6968">
            <w:pPr>
              <w:ind w:right="-57"/>
              <w:rPr>
                <w:rFonts w:asciiTheme="minorHAnsi" w:hAnsiTheme="minorHAnsi" w:cstheme="minorHAnsi"/>
                <w:sz w:val="17"/>
                <w:szCs w:val="17"/>
              </w:rPr>
            </w:pPr>
          </w:p>
          <w:p w14:paraId="72A57D86" w14:textId="77777777" w:rsidR="00E65228" w:rsidRPr="0017210F" w:rsidRDefault="00E65228" w:rsidP="009D6968">
            <w:pPr>
              <w:rPr>
                <w:rFonts w:asciiTheme="minorHAnsi" w:hAnsiTheme="minorHAnsi" w:cstheme="minorHAnsi"/>
                <w:sz w:val="17"/>
                <w:szCs w:val="17"/>
              </w:rPr>
            </w:pPr>
            <w:r w:rsidRPr="0017210F">
              <w:rPr>
                <w:rFonts w:asciiTheme="minorHAnsi" w:hAnsiTheme="minorHAnsi" w:cstheme="minorHAnsi"/>
                <w:sz w:val="17"/>
                <w:szCs w:val="17"/>
              </w:rPr>
              <w:t xml:space="preserve">(b) At least 1925 women </w:t>
            </w:r>
          </w:p>
        </w:tc>
        <w:tc>
          <w:tcPr>
            <w:tcW w:w="698" w:type="pct"/>
            <w:shd w:val="clear" w:color="auto" w:fill="auto"/>
          </w:tcPr>
          <w:p w14:paraId="51CD618F" w14:textId="77777777" w:rsidR="00E65228" w:rsidRPr="0017210F" w:rsidRDefault="00E65228" w:rsidP="009D6968">
            <w:pPr>
              <w:spacing w:beforeLines="1" w:before="2" w:afterLines="1" w:after="2"/>
              <w:ind w:left="-80" w:right="-80"/>
              <w:textAlignment w:val="baseline"/>
              <w:rPr>
                <w:rFonts w:asciiTheme="minorHAnsi" w:hAnsiTheme="minorHAnsi" w:cstheme="minorHAnsi"/>
                <w:sz w:val="17"/>
                <w:szCs w:val="17"/>
              </w:rPr>
            </w:pPr>
            <w:r w:rsidRPr="0017210F">
              <w:rPr>
                <w:rFonts w:asciiTheme="minorHAnsi" w:hAnsiTheme="minorHAnsi" w:cstheme="minorHAnsi"/>
                <w:sz w:val="17"/>
                <w:szCs w:val="17"/>
              </w:rPr>
              <w:t>- Stakeholder surveys and feedback questionnaires on capacity building events</w:t>
            </w:r>
          </w:p>
          <w:p w14:paraId="4F2489BC" w14:textId="77777777" w:rsidR="00E65228" w:rsidRPr="0017210F" w:rsidDel="00BB6B55" w:rsidRDefault="00E65228" w:rsidP="009D6968">
            <w:pPr>
              <w:spacing w:beforeLines="1" w:before="2" w:afterLines="1" w:after="2"/>
              <w:ind w:left="-80" w:right="-80"/>
              <w:textAlignment w:val="baseline"/>
              <w:rPr>
                <w:rFonts w:asciiTheme="minorHAnsi" w:hAnsiTheme="minorHAnsi" w:cstheme="minorHAnsi"/>
                <w:sz w:val="17"/>
                <w:szCs w:val="17"/>
              </w:rPr>
            </w:pPr>
            <w:r w:rsidRPr="0017210F">
              <w:rPr>
                <w:rFonts w:asciiTheme="minorHAnsi" w:hAnsiTheme="minorHAnsi" w:cstheme="minorHAnsi"/>
                <w:sz w:val="17"/>
                <w:szCs w:val="17"/>
              </w:rPr>
              <w:t>- SHARP Assessment (reapplication during implementation) </w:t>
            </w:r>
          </w:p>
          <w:p w14:paraId="47C4C285" w14:textId="77777777" w:rsidR="00E65228" w:rsidRPr="0017210F" w:rsidRDefault="00E65228" w:rsidP="009D6968">
            <w:pPr>
              <w:rPr>
                <w:rFonts w:asciiTheme="minorHAnsi" w:hAnsiTheme="minorHAnsi" w:cstheme="minorHAnsi"/>
                <w:sz w:val="17"/>
                <w:szCs w:val="17"/>
              </w:rPr>
            </w:pPr>
            <w:r w:rsidRPr="0017210F">
              <w:rPr>
                <w:rFonts w:asciiTheme="minorHAnsi" w:hAnsiTheme="minorHAnsi" w:cstheme="minorHAnsi"/>
                <w:sz w:val="17"/>
                <w:szCs w:val="17"/>
              </w:rPr>
              <w:t>- Project progress reports (PIR, FAO PPR)</w:t>
            </w:r>
          </w:p>
          <w:p w14:paraId="62673E42" w14:textId="77777777" w:rsidR="00E65228" w:rsidRPr="0017210F" w:rsidRDefault="00E65228" w:rsidP="009D6968">
            <w:pPr>
              <w:spacing w:beforeLines="1" w:before="2" w:afterLines="1" w:after="2"/>
              <w:ind w:left="-80" w:right="-80"/>
              <w:textAlignment w:val="baseline"/>
              <w:rPr>
                <w:rFonts w:asciiTheme="minorHAnsi" w:hAnsiTheme="minorHAnsi" w:cstheme="minorHAnsi"/>
                <w:sz w:val="17"/>
                <w:szCs w:val="17"/>
              </w:rPr>
            </w:pPr>
            <w:r w:rsidRPr="0017210F">
              <w:rPr>
                <w:rFonts w:asciiTheme="minorHAnsi" w:hAnsiTheme="minorHAnsi" w:cstheme="minorHAnsi"/>
                <w:sz w:val="17"/>
                <w:szCs w:val="17"/>
              </w:rPr>
              <w:t>- MTR and TE reports </w:t>
            </w:r>
          </w:p>
        </w:tc>
        <w:tc>
          <w:tcPr>
            <w:tcW w:w="625" w:type="pct"/>
            <w:vMerge w:val="restart"/>
            <w:shd w:val="clear" w:color="auto" w:fill="auto"/>
          </w:tcPr>
          <w:p w14:paraId="2DCC50EE" w14:textId="77777777" w:rsidR="00E65228" w:rsidRPr="0017210F" w:rsidRDefault="00E65228" w:rsidP="009D6968">
            <w:pPr>
              <w:spacing w:beforeLines="1" w:before="2" w:afterLines="1" w:after="2"/>
              <w:ind w:left="-80" w:right="-80"/>
              <w:textAlignment w:val="baseline"/>
              <w:rPr>
                <w:rFonts w:asciiTheme="minorHAnsi" w:hAnsiTheme="minorHAnsi" w:cstheme="minorHAnsi"/>
                <w:sz w:val="17"/>
                <w:szCs w:val="17"/>
              </w:rPr>
            </w:pPr>
            <w:r w:rsidRPr="0017210F">
              <w:rPr>
                <w:rFonts w:asciiTheme="minorHAnsi" w:hAnsiTheme="minorHAnsi" w:cstheme="minorHAnsi"/>
                <w:sz w:val="17"/>
                <w:szCs w:val="17"/>
              </w:rPr>
              <w:t xml:space="preserve">Smallholder farmers and forest resource users, individually and collectively, can be motivated and capacitated to develop their skills and adopt SLM/SFM practices that generate tangible benefits, while accepting </w:t>
            </w:r>
            <w:r w:rsidRPr="0017210F">
              <w:rPr>
                <w:rFonts w:asciiTheme="minorHAnsi" w:hAnsiTheme="minorHAnsi" w:cstheme="minorHAnsi"/>
                <w:sz w:val="17"/>
                <w:szCs w:val="17"/>
              </w:rPr>
              <w:lastRenderedPageBreak/>
              <w:t>potential risks from adopting new practices and products (e.g. seeds/cultivars)</w:t>
            </w:r>
          </w:p>
          <w:p w14:paraId="124983F8" w14:textId="77777777" w:rsidR="00E65228" w:rsidRPr="0017210F" w:rsidRDefault="00E65228" w:rsidP="009D6968">
            <w:pPr>
              <w:spacing w:beforeLines="1" w:before="2" w:afterLines="1" w:after="2"/>
              <w:ind w:left="-80" w:right="-80"/>
              <w:textAlignment w:val="baseline"/>
              <w:rPr>
                <w:rFonts w:asciiTheme="minorHAnsi" w:hAnsiTheme="minorHAnsi" w:cstheme="minorHAnsi"/>
                <w:sz w:val="17"/>
                <w:szCs w:val="17"/>
              </w:rPr>
            </w:pPr>
          </w:p>
          <w:p w14:paraId="29587BD7" w14:textId="77777777" w:rsidR="00E65228" w:rsidRPr="0017210F" w:rsidRDefault="00E65228" w:rsidP="009D6968">
            <w:pPr>
              <w:spacing w:beforeLines="1" w:before="2" w:afterLines="1" w:after="2"/>
              <w:ind w:right="-80"/>
              <w:textAlignment w:val="baseline"/>
              <w:rPr>
                <w:rFonts w:asciiTheme="minorHAnsi" w:hAnsiTheme="minorHAnsi" w:cstheme="minorHAnsi"/>
                <w:sz w:val="17"/>
                <w:szCs w:val="17"/>
              </w:rPr>
            </w:pPr>
            <w:r w:rsidRPr="0017210F">
              <w:rPr>
                <w:rFonts w:asciiTheme="minorHAnsi" w:hAnsiTheme="minorHAnsi" w:cstheme="minorHAnsi"/>
                <w:sz w:val="17"/>
                <w:szCs w:val="17"/>
              </w:rPr>
              <w:t>There is sufficient, continuing political support and resources from national and local government to address gaps in capacity for integrated land-use planning and management</w:t>
            </w:r>
            <w:r w:rsidRPr="0017210F" w:rsidDel="004F32FC">
              <w:rPr>
                <w:rFonts w:asciiTheme="minorHAnsi" w:hAnsiTheme="minorHAnsi" w:cstheme="minorHAnsi"/>
                <w:sz w:val="17"/>
                <w:szCs w:val="17"/>
              </w:rPr>
              <w:t xml:space="preserve"> </w:t>
            </w:r>
          </w:p>
        </w:tc>
      </w:tr>
      <w:tr w:rsidR="00E65228" w:rsidRPr="0017210F" w14:paraId="1F3A0309" w14:textId="77777777" w:rsidTr="01B6467E">
        <w:trPr>
          <w:trHeight w:val="699"/>
        </w:trPr>
        <w:tc>
          <w:tcPr>
            <w:tcW w:w="574" w:type="pct"/>
            <w:shd w:val="clear" w:color="auto" w:fill="auto"/>
          </w:tcPr>
          <w:p w14:paraId="35F3FCE7" w14:textId="77777777" w:rsidR="00E65228" w:rsidRPr="0017210F" w:rsidRDefault="00E65228" w:rsidP="009D6968">
            <w:pPr>
              <w:rPr>
                <w:rFonts w:asciiTheme="minorHAnsi" w:hAnsiTheme="minorHAnsi" w:cstheme="minorHAnsi"/>
                <w:sz w:val="17"/>
                <w:szCs w:val="17"/>
              </w:rPr>
            </w:pPr>
          </w:p>
        </w:tc>
        <w:tc>
          <w:tcPr>
            <w:tcW w:w="1259" w:type="pct"/>
            <w:shd w:val="clear" w:color="auto" w:fill="auto"/>
          </w:tcPr>
          <w:p w14:paraId="6C39F61E" w14:textId="7FC6152C" w:rsidR="00E65228" w:rsidRPr="0017210F" w:rsidRDefault="00E65228" w:rsidP="009D6968">
            <w:pPr>
              <w:ind w:left="-57" w:right="-57"/>
              <w:rPr>
                <w:rFonts w:asciiTheme="minorHAnsi" w:hAnsiTheme="minorHAnsi" w:cstheme="minorHAnsi"/>
                <w:sz w:val="17"/>
                <w:szCs w:val="17"/>
              </w:rPr>
            </w:pPr>
            <w:r w:rsidRPr="002C4C37">
              <w:rPr>
                <w:rFonts w:asciiTheme="minorHAnsi" w:hAnsiTheme="minorHAnsi" w:cstheme="minorHAnsi"/>
                <w:sz w:val="17"/>
                <w:szCs w:val="17"/>
                <w:highlight w:val="yellow"/>
              </w:rPr>
              <w:t xml:space="preserve">2. </w:t>
            </w:r>
            <w:r w:rsidR="00BA69C1" w:rsidRPr="002C4C37">
              <w:rPr>
                <w:rFonts w:asciiTheme="minorHAnsi" w:hAnsiTheme="minorHAnsi" w:cstheme="minorHAnsi"/>
                <w:sz w:val="17"/>
                <w:szCs w:val="17"/>
                <w:highlight w:val="yellow"/>
              </w:rPr>
              <w:t xml:space="preserve">Demonstration </w:t>
            </w:r>
            <w:r w:rsidR="00F47E2F" w:rsidRPr="00615798">
              <w:rPr>
                <w:rFonts w:asciiTheme="minorHAnsi" w:hAnsiTheme="minorHAnsi" w:cstheme="minorHAnsi"/>
                <w:sz w:val="17"/>
                <w:szCs w:val="17"/>
                <w:highlight w:val="yellow"/>
              </w:rPr>
              <w:t>established (SLM/SFM)</w:t>
            </w:r>
            <w:r w:rsidR="00D45B25" w:rsidRPr="00615798">
              <w:rPr>
                <w:rFonts w:asciiTheme="minorHAnsi" w:hAnsiTheme="minorHAnsi" w:cstheme="minorHAnsi"/>
                <w:sz w:val="17"/>
                <w:szCs w:val="17"/>
                <w:highlight w:val="yellow"/>
              </w:rPr>
              <w:t xml:space="preserve"> to inform government investments</w:t>
            </w:r>
            <w:r w:rsidR="00615798" w:rsidRPr="00615798">
              <w:rPr>
                <w:rFonts w:asciiTheme="minorHAnsi" w:hAnsiTheme="minorHAnsi" w:cstheme="minorHAnsi"/>
                <w:sz w:val="17"/>
                <w:szCs w:val="17"/>
                <w:highlight w:val="yellow"/>
              </w:rPr>
              <w:t xml:space="preserve"> (under Outcome 2.1)</w:t>
            </w:r>
            <w:r w:rsidR="00D45B25">
              <w:rPr>
                <w:rFonts w:asciiTheme="minorHAnsi" w:hAnsiTheme="minorHAnsi" w:cstheme="minorHAnsi"/>
                <w:sz w:val="17"/>
                <w:szCs w:val="17"/>
              </w:rPr>
              <w:t xml:space="preserve"> </w:t>
            </w:r>
          </w:p>
          <w:p w14:paraId="64D94ACD" w14:textId="77777777" w:rsidR="0096385D" w:rsidRPr="0017210F" w:rsidRDefault="0096385D" w:rsidP="000700A6">
            <w:pPr>
              <w:ind w:right="-57"/>
              <w:rPr>
                <w:rFonts w:asciiTheme="minorHAnsi" w:hAnsiTheme="minorHAnsi" w:cstheme="minorHAnsi"/>
                <w:sz w:val="17"/>
                <w:szCs w:val="17"/>
              </w:rPr>
            </w:pPr>
          </w:p>
          <w:p w14:paraId="06A3D2B1" w14:textId="77777777" w:rsidR="00E65228" w:rsidRPr="0017210F" w:rsidRDefault="00E65228" w:rsidP="009D6968">
            <w:pPr>
              <w:ind w:left="-57" w:right="-57"/>
              <w:jc w:val="right"/>
              <w:rPr>
                <w:rFonts w:asciiTheme="minorHAnsi" w:hAnsiTheme="minorHAnsi" w:cstheme="minorHAnsi"/>
                <w:sz w:val="17"/>
                <w:szCs w:val="17"/>
              </w:rPr>
            </w:pPr>
          </w:p>
          <w:p w14:paraId="1EE3D97D" w14:textId="77777777" w:rsidR="00E65228" w:rsidRPr="0017210F" w:rsidRDefault="00E65228" w:rsidP="009D6968">
            <w:pPr>
              <w:ind w:left="-57" w:right="-57"/>
              <w:jc w:val="right"/>
              <w:rPr>
                <w:rFonts w:asciiTheme="minorHAnsi" w:hAnsiTheme="minorHAnsi" w:cstheme="minorHAnsi"/>
                <w:sz w:val="17"/>
                <w:szCs w:val="17"/>
              </w:rPr>
            </w:pPr>
          </w:p>
          <w:p w14:paraId="261B50ED" w14:textId="77777777" w:rsidR="00E65228" w:rsidRPr="0017210F" w:rsidRDefault="00E65228" w:rsidP="009D6968">
            <w:pPr>
              <w:ind w:left="-57" w:right="-57"/>
              <w:jc w:val="right"/>
              <w:rPr>
                <w:rFonts w:asciiTheme="minorHAnsi" w:hAnsiTheme="minorHAnsi" w:cstheme="minorHAnsi"/>
                <w:sz w:val="17"/>
                <w:szCs w:val="17"/>
              </w:rPr>
            </w:pPr>
            <w:r w:rsidRPr="0017210F">
              <w:rPr>
                <w:rFonts w:asciiTheme="minorHAnsi" w:hAnsiTheme="minorHAnsi" w:cstheme="minorHAnsi"/>
                <w:sz w:val="17"/>
                <w:szCs w:val="17"/>
              </w:rPr>
              <w:t>(2a) Forest (production and under CBFM)</w:t>
            </w:r>
          </w:p>
          <w:p w14:paraId="00FC56A3" w14:textId="77777777" w:rsidR="00E65228" w:rsidRPr="0017210F" w:rsidRDefault="00E65228" w:rsidP="009D6968">
            <w:pPr>
              <w:ind w:left="-57" w:right="-57"/>
              <w:jc w:val="right"/>
              <w:rPr>
                <w:rFonts w:asciiTheme="minorHAnsi" w:hAnsiTheme="minorHAnsi" w:cstheme="minorHAnsi"/>
                <w:sz w:val="17"/>
                <w:szCs w:val="17"/>
              </w:rPr>
            </w:pPr>
            <w:r w:rsidRPr="0017210F">
              <w:rPr>
                <w:rFonts w:asciiTheme="minorHAnsi" w:hAnsiTheme="minorHAnsi" w:cstheme="minorHAnsi"/>
                <w:sz w:val="17"/>
                <w:szCs w:val="17"/>
              </w:rPr>
              <w:t>(2b) Cropland under SLM</w:t>
            </w:r>
          </w:p>
          <w:p w14:paraId="6B946A14" w14:textId="77777777" w:rsidR="00E65228" w:rsidRPr="0017210F" w:rsidRDefault="00E65228" w:rsidP="009D6968">
            <w:pPr>
              <w:ind w:left="-57" w:right="-57"/>
              <w:jc w:val="right"/>
              <w:rPr>
                <w:rFonts w:asciiTheme="minorHAnsi" w:hAnsiTheme="minorHAnsi" w:cstheme="minorHAnsi"/>
                <w:sz w:val="17"/>
                <w:szCs w:val="17"/>
              </w:rPr>
            </w:pPr>
            <w:r w:rsidRPr="0017210F">
              <w:rPr>
                <w:rFonts w:asciiTheme="minorHAnsi" w:hAnsiTheme="minorHAnsi" w:cstheme="minorHAnsi"/>
                <w:sz w:val="17"/>
                <w:szCs w:val="17"/>
              </w:rPr>
              <w:t>(2c) Grassland under SLM</w:t>
            </w:r>
          </w:p>
          <w:p w14:paraId="6C197DC4" w14:textId="77777777" w:rsidR="00E65228" w:rsidRPr="0017210F" w:rsidRDefault="00E65228" w:rsidP="009D6968">
            <w:pPr>
              <w:ind w:left="-57" w:right="-57"/>
              <w:jc w:val="right"/>
              <w:rPr>
                <w:rFonts w:asciiTheme="minorHAnsi" w:hAnsiTheme="minorHAnsi" w:cstheme="minorHAnsi"/>
                <w:sz w:val="17"/>
                <w:szCs w:val="17"/>
              </w:rPr>
            </w:pPr>
            <w:r w:rsidRPr="0017210F">
              <w:rPr>
                <w:rFonts w:asciiTheme="minorHAnsi" w:hAnsiTheme="minorHAnsi" w:cstheme="minorHAnsi"/>
                <w:sz w:val="17"/>
                <w:szCs w:val="17"/>
              </w:rPr>
              <w:t>Total</w:t>
            </w:r>
          </w:p>
        </w:tc>
        <w:tc>
          <w:tcPr>
            <w:tcW w:w="598" w:type="pct"/>
            <w:shd w:val="clear" w:color="auto" w:fill="auto"/>
          </w:tcPr>
          <w:p w14:paraId="28FAA7F7" w14:textId="77777777" w:rsidR="00E65228" w:rsidRPr="0017210F" w:rsidDel="00667FB3" w:rsidRDefault="00E65228" w:rsidP="009D6968">
            <w:pPr>
              <w:ind w:right="-57"/>
              <w:rPr>
                <w:rFonts w:asciiTheme="minorHAnsi" w:hAnsiTheme="minorHAnsi" w:cstheme="minorHAnsi"/>
                <w:sz w:val="17"/>
                <w:szCs w:val="17"/>
              </w:rPr>
            </w:pPr>
            <w:r w:rsidRPr="0017210F">
              <w:rPr>
                <w:rFonts w:asciiTheme="minorHAnsi" w:hAnsiTheme="minorHAnsi" w:cstheme="minorHAnsi"/>
                <w:sz w:val="17"/>
                <w:szCs w:val="17"/>
              </w:rPr>
              <w:t>Limited scope of existing SLM/SFM practices</w:t>
            </w:r>
          </w:p>
          <w:p w14:paraId="330A679A" w14:textId="77777777" w:rsidR="00E65228" w:rsidRPr="0017210F" w:rsidRDefault="00E65228" w:rsidP="009D6968">
            <w:pPr>
              <w:ind w:right="-57"/>
              <w:rPr>
                <w:rFonts w:asciiTheme="minorHAnsi" w:hAnsiTheme="minorHAnsi" w:cstheme="minorHAnsi"/>
                <w:sz w:val="17"/>
                <w:szCs w:val="17"/>
              </w:rPr>
            </w:pPr>
          </w:p>
          <w:p w14:paraId="3135539E" w14:textId="77777777" w:rsidR="00E65228" w:rsidRPr="0017210F" w:rsidRDefault="00E65228" w:rsidP="009D6968">
            <w:pPr>
              <w:ind w:left="-57" w:right="-57"/>
              <w:rPr>
                <w:rFonts w:asciiTheme="minorHAnsi" w:hAnsiTheme="minorHAnsi" w:cstheme="minorHAnsi"/>
                <w:sz w:val="17"/>
                <w:szCs w:val="17"/>
              </w:rPr>
            </w:pPr>
            <w:r w:rsidRPr="0017210F">
              <w:rPr>
                <w:rFonts w:asciiTheme="minorHAnsi" w:hAnsiTheme="minorHAnsi" w:cstheme="minorHAnsi"/>
                <w:sz w:val="17"/>
                <w:szCs w:val="17"/>
              </w:rPr>
              <w:t>Approx. area in hectares</w:t>
            </w:r>
          </w:p>
          <w:p w14:paraId="65D5919D" w14:textId="77777777" w:rsidR="00E65228" w:rsidRPr="0017210F" w:rsidRDefault="00E65228" w:rsidP="009D6968">
            <w:pPr>
              <w:ind w:left="-57" w:right="-57"/>
              <w:rPr>
                <w:rFonts w:asciiTheme="minorHAnsi" w:hAnsiTheme="minorHAnsi" w:cstheme="minorHAnsi"/>
                <w:sz w:val="17"/>
                <w:szCs w:val="17"/>
              </w:rPr>
            </w:pPr>
            <w:r w:rsidRPr="0017210F">
              <w:rPr>
                <w:rFonts w:asciiTheme="minorHAnsi" w:hAnsiTheme="minorHAnsi" w:cstheme="minorHAnsi"/>
                <w:sz w:val="17"/>
                <w:szCs w:val="17"/>
              </w:rPr>
              <w:t>0</w:t>
            </w:r>
          </w:p>
          <w:p w14:paraId="4D401D3C" w14:textId="77777777" w:rsidR="00E65228" w:rsidRPr="0017210F" w:rsidRDefault="00E65228" w:rsidP="009D6968">
            <w:pPr>
              <w:ind w:left="-57" w:right="-57"/>
              <w:rPr>
                <w:rFonts w:asciiTheme="minorHAnsi" w:hAnsiTheme="minorHAnsi" w:cstheme="minorHAnsi"/>
                <w:sz w:val="17"/>
                <w:szCs w:val="17"/>
              </w:rPr>
            </w:pPr>
            <w:r w:rsidRPr="0017210F">
              <w:rPr>
                <w:rFonts w:asciiTheme="minorHAnsi" w:hAnsiTheme="minorHAnsi" w:cstheme="minorHAnsi"/>
                <w:sz w:val="17"/>
                <w:szCs w:val="17"/>
              </w:rPr>
              <w:t>0</w:t>
            </w:r>
          </w:p>
          <w:p w14:paraId="2FAE6189" w14:textId="77777777" w:rsidR="00E65228" w:rsidRPr="0017210F" w:rsidRDefault="00E65228" w:rsidP="009D6968">
            <w:pPr>
              <w:ind w:left="-57" w:right="-57"/>
              <w:rPr>
                <w:rFonts w:asciiTheme="minorHAnsi" w:hAnsiTheme="minorHAnsi" w:cstheme="minorHAnsi"/>
                <w:sz w:val="17"/>
                <w:szCs w:val="17"/>
              </w:rPr>
            </w:pPr>
            <w:r w:rsidRPr="0017210F">
              <w:rPr>
                <w:rFonts w:asciiTheme="minorHAnsi" w:hAnsiTheme="minorHAnsi" w:cstheme="minorHAnsi"/>
                <w:sz w:val="17"/>
                <w:szCs w:val="17"/>
              </w:rPr>
              <w:t>0</w:t>
            </w:r>
          </w:p>
          <w:p w14:paraId="4FE09D56" w14:textId="77777777" w:rsidR="00E65228" w:rsidRPr="0017210F" w:rsidRDefault="00E65228" w:rsidP="009D6968">
            <w:pPr>
              <w:ind w:left="-57" w:right="-57"/>
              <w:rPr>
                <w:rFonts w:asciiTheme="minorHAnsi" w:hAnsiTheme="minorHAnsi" w:cstheme="minorHAnsi"/>
                <w:sz w:val="17"/>
                <w:szCs w:val="17"/>
              </w:rPr>
            </w:pPr>
            <w:r w:rsidRPr="0017210F">
              <w:rPr>
                <w:rFonts w:asciiTheme="minorHAnsi" w:hAnsiTheme="minorHAnsi" w:cstheme="minorHAnsi"/>
                <w:sz w:val="17"/>
                <w:szCs w:val="17"/>
              </w:rPr>
              <w:t>0</w:t>
            </w:r>
          </w:p>
          <w:p w14:paraId="7700BA8A" w14:textId="70DF2C17" w:rsidR="00E65228" w:rsidRPr="0017210F" w:rsidRDefault="00E65228" w:rsidP="00511AF1">
            <w:pPr>
              <w:ind w:left="-57" w:right="-57"/>
              <w:rPr>
                <w:rFonts w:asciiTheme="minorHAnsi" w:hAnsiTheme="minorHAnsi" w:cstheme="minorHAnsi"/>
                <w:sz w:val="17"/>
                <w:szCs w:val="17"/>
              </w:rPr>
            </w:pPr>
          </w:p>
        </w:tc>
        <w:tc>
          <w:tcPr>
            <w:tcW w:w="598" w:type="pct"/>
            <w:gridSpan w:val="2"/>
            <w:shd w:val="clear" w:color="auto" w:fill="auto"/>
          </w:tcPr>
          <w:p w14:paraId="72013937" w14:textId="77777777" w:rsidR="00E65228" w:rsidRPr="0017210F" w:rsidRDefault="00E65228" w:rsidP="009D6968">
            <w:pPr>
              <w:ind w:left="-57" w:right="-57"/>
              <w:rPr>
                <w:rFonts w:asciiTheme="minorHAnsi" w:hAnsiTheme="minorHAnsi" w:cstheme="minorHAnsi"/>
                <w:sz w:val="17"/>
                <w:szCs w:val="17"/>
              </w:rPr>
            </w:pPr>
            <w:r w:rsidRPr="0017210F">
              <w:rPr>
                <w:rFonts w:asciiTheme="minorHAnsi" w:hAnsiTheme="minorHAnsi" w:cstheme="minorHAnsi"/>
                <w:sz w:val="17"/>
                <w:szCs w:val="17"/>
              </w:rPr>
              <w:t>Expanded scope of SLM/SFM practices</w:t>
            </w:r>
          </w:p>
          <w:p w14:paraId="33FCE133" w14:textId="77777777" w:rsidR="00E65228" w:rsidRPr="0017210F" w:rsidRDefault="00E65228" w:rsidP="009D6968">
            <w:pPr>
              <w:ind w:left="-57" w:right="-57"/>
              <w:rPr>
                <w:rFonts w:asciiTheme="minorHAnsi" w:hAnsiTheme="minorHAnsi" w:cstheme="minorHAnsi"/>
                <w:sz w:val="17"/>
                <w:szCs w:val="17"/>
              </w:rPr>
            </w:pPr>
          </w:p>
          <w:p w14:paraId="075842DD" w14:textId="77777777" w:rsidR="00E65228" w:rsidRPr="0017210F" w:rsidDel="00667FB3" w:rsidRDefault="00E65228" w:rsidP="009D6968">
            <w:pPr>
              <w:ind w:right="-57"/>
              <w:rPr>
                <w:rFonts w:asciiTheme="minorHAnsi" w:hAnsiTheme="minorHAnsi" w:cstheme="minorHAnsi"/>
                <w:sz w:val="17"/>
                <w:szCs w:val="17"/>
              </w:rPr>
            </w:pPr>
          </w:p>
          <w:p w14:paraId="6009C9E3" w14:textId="77777777" w:rsidR="00E65228" w:rsidRPr="0017210F" w:rsidRDefault="00E65228" w:rsidP="009D6968">
            <w:pPr>
              <w:ind w:left="-57" w:right="-57"/>
              <w:rPr>
                <w:rFonts w:asciiTheme="minorHAnsi" w:hAnsiTheme="minorHAnsi" w:cstheme="minorHAnsi"/>
                <w:sz w:val="17"/>
                <w:szCs w:val="17"/>
              </w:rPr>
            </w:pPr>
            <w:r w:rsidRPr="0017210F">
              <w:rPr>
                <w:rFonts w:asciiTheme="minorHAnsi" w:hAnsiTheme="minorHAnsi" w:cstheme="minorHAnsi"/>
                <w:sz w:val="17"/>
                <w:szCs w:val="17"/>
              </w:rPr>
              <w:t>Approx. area in hectares</w:t>
            </w:r>
          </w:p>
          <w:p w14:paraId="184E46AF" w14:textId="08D5104E" w:rsidR="00E65228" w:rsidRPr="00DD5B7A" w:rsidRDefault="008520A3" w:rsidP="007819E0">
            <w:pPr>
              <w:ind w:left="-57" w:right="-57"/>
              <w:rPr>
                <w:rFonts w:asciiTheme="minorHAnsi" w:hAnsiTheme="minorHAnsi" w:cstheme="minorHAnsi"/>
                <w:sz w:val="17"/>
                <w:szCs w:val="17"/>
                <w:highlight w:val="yellow"/>
              </w:rPr>
            </w:pPr>
            <w:r w:rsidRPr="00DD5B7A">
              <w:rPr>
                <w:rFonts w:asciiTheme="minorHAnsi" w:hAnsiTheme="minorHAnsi" w:cstheme="minorHAnsi"/>
                <w:sz w:val="17"/>
                <w:szCs w:val="17"/>
                <w:highlight w:val="yellow"/>
              </w:rPr>
              <w:t>5</w:t>
            </w:r>
            <w:r w:rsidR="00BB4AE4" w:rsidRPr="00DD5B7A">
              <w:rPr>
                <w:rFonts w:asciiTheme="minorHAnsi" w:hAnsiTheme="minorHAnsi" w:cstheme="minorHAnsi"/>
                <w:sz w:val="17"/>
                <w:szCs w:val="17"/>
                <w:highlight w:val="yellow"/>
              </w:rPr>
              <w:t>,</w:t>
            </w:r>
            <w:r w:rsidRPr="00DD5B7A">
              <w:rPr>
                <w:rFonts w:asciiTheme="minorHAnsi" w:hAnsiTheme="minorHAnsi" w:cstheme="minorHAnsi"/>
                <w:sz w:val="17"/>
                <w:szCs w:val="17"/>
                <w:highlight w:val="yellow"/>
              </w:rPr>
              <w:t>04</w:t>
            </w:r>
            <w:r w:rsidR="008C7933" w:rsidRPr="00DD5B7A">
              <w:rPr>
                <w:rFonts w:asciiTheme="minorHAnsi" w:hAnsiTheme="minorHAnsi" w:cstheme="minorHAnsi"/>
                <w:sz w:val="17"/>
                <w:szCs w:val="17"/>
                <w:highlight w:val="yellow"/>
              </w:rPr>
              <w:t>7</w:t>
            </w:r>
          </w:p>
          <w:p w14:paraId="40650FAD" w14:textId="549D90C3" w:rsidR="002C4C37" w:rsidRPr="00DD5B7A" w:rsidRDefault="00A94F02" w:rsidP="007819E0">
            <w:pPr>
              <w:ind w:left="-57" w:right="-57"/>
              <w:rPr>
                <w:rFonts w:asciiTheme="minorHAnsi" w:hAnsiTheme="minorHAnsi" w:cstheme="minorHAnsi"/>
                <w:sz w:val="17"/>
                <w:szCs w:val="17"/>
                <w:highlight w:val="yellow"/>
              </w:rPr>
            </w:pPr>
            <w:r w:rsidRPr="00DD5B7A">
              <w:rPr>
                <w:rFonts w:asciiTheme="minorHAnsi" w:hAnsiTheme="minorHAnsi" w:cstheme="minorHAnsi"/>
                <w:sz w:val="17"/>
                <w:szCs w:val="17"/>
                <w:highlight w:val="yellow"/>
              </w:rPr>
              <w:t>1</w:t>
            </w:r>
            <w:r w:rsidR="00BB4AE4" w:rsidRPr="00DD5B7A">
              <w:rPr>
                <w:rFonts w:asciiTheme="minorHAnsi" w:hAnsiTheme="minorHAnsi" w:cstheme="minorHAnsi"/>
                <w:sz w:val="17"/>
                <w:szCs w:val="17"/>
                <w:highlight w:val="yellow"/>
              </w:rPr>
              <w:t>,</w:t>
            </w:r>
            <w:r w:rsidRPr="00DD5B7A">
              <w:rPr>
                <w:rFonts w:asciiTheme="minorHAnsi" w:hAnsiTheme="minorHAnsi" w:cstheme="minorHAnsi"/>
                <w:sz w:val="17"/>
                <w:szCs w:val="17"/>
                <w:highlight w:val="yellow"/>
              </w:rPr>
              <w:t>47</w:t>
            </w:r>
            <w:r w:rsidR="00BB4AE4" w:rsidRPr="00DD5B7A">
              <w:rPr>
                <w:rFonts w:asciiTheme="minorHAnsi" w:hAnsiTheme="minorHAnsi" w:cstheme="minorHAnsi"/>
                <w:sz w:val="17"/>
                <w:szCs w:val="17"/>
                <w:highlight w:val="yellow"/>
              </w:rPr>
              <w:t>9</w:t>
            </w:r>
          </w:p>
          <w:p w14:paraId="7833EA17" w14:textId="3BC768F9" w:rsidR="002C4C37" w:rsidRPr="00DD5B7A" w:rsidRDefault="00A94F02" w:rsidP="007819E0">
            <w:pPr>
              <w:ind w:left="-57" w:right="-57"/>
              <w:rPr>
                <w:rFonts w:asciiTheme="minorHAnsi" w:hAnsiTheme="minorHAnsi" w:cstheme="minorHAnsi"/>
                <w:sz w:val="17"/>
                <w:szCs w:val="17"/>
                <w:highlight w:val="yellow"/>
              </w:rPr>
            </w:pPr>
            <w:r w:rsidRPr="00DD5B7A">
              <w:rPr>
                <w:rFonts w:asciiTheme="minorHAnsi" w:hAnsiTheme="minorHAnsi" w:cstheme="minorHAnsi"/>
                <w:sz w:val="17"/>
                <w:szCs w:val="17"/>
                <w:highlight w:val="yellow"/>
              </w:rPr>
              <w:t>4</w:t>
            </w:r>
            <w:r w:rsidR="00BB4AE4" w:rsidRPr="00DD5B7A">
              <w:rPr>
                <w:rFonts w:asciiTheme="minorHAnsi" w:hAnsiTheme="minorHAnsi" w:cstheme="minorHAnsi"/>
                <w:sz w:val="17"/>
                <w:szCs w:val="17"/>
                <w:highlight w:val="yellow"/>
              </w:rPr>
              <w:t>,</w:t>
            </w:r>
            <w:r w:rsidRPr="00DD5B7A">
              <w:rPr>
                <w:rFonts w:asciiTheme="minorHAnsi" w:hAnsiTheme="minorHAnsi" w:cstheme="minorHAnsi"/>
                <w:sz w:val="17"/>
                <w:szCs w:val="17"/>
                <w:highlight w:val="yellow"/>
              </w:rPr>
              <w:t>196</w:t>
            </w:r>
          </w:p>
          <w:p w14:paraId="3D9E9A81" w14:textId="2C57B5EA" w:rsidR="002C4C37" w:rsidRPr="00DD5B7A" w:rsidRDefault="00BB4AE4" w:rsidP="007819E0">
            <w:pPr>
              <w:ind w:left="-57" w:right="-57"/>
              <w:rPr>
                <w:rFonts w:asciiTheme="minorHAnsi" w:hAnsiTheme="minorHAnsi" w:cstheme="minorHAnsi"/>
                <w:b/>
                <w:bCs/>
                <w:sz w:val="17"/>
                <w:szCs w:val="17"/>
              </w:rPr>
            </w:pPr>
            <w:r w:rsidRPr="00DD5B7A">
              <w:rPr>
                <w:rFonts w:asciiTheme="minorHAnsi" w:hAnsiTheme="minorHAnsi" w:cstheme="minorHAnsi"/>
                <w:b/>
                <w:bCs/>
                <w:sz w:val="17"/>
                <w:szCs w:val="17"/>
                <w:highlight w:val="yellow"/>
              </w:rPr>
              <w:t>10,722</w:t>
            </w:r>
            <w:r w:rsidR="002C4C37" w:rsidRPr="00DD5B7A">
              <w:rPr>
                <w:rFonts w:asciiTheme="minorHAnsi" w:hAnsiTheme="minorHAnsi" w:cstheme="minorHAnsi"/>
                <w:b/>
                <w:bCs/>
                <w:sz w:val="17"/>
                <w:szCs w:val="17"/>
              </w:rPr>
              <w:t xml:space="preserve"> </w:t>
            </w:r>
          </w:p>
        </w:tc>
        <w:tc>
          <w:tcPr>
            <w:tcW w:w="648" w:type="pct"/>
            <w:shd w:val="clear" w:color="auto" w:fill="auto"/>
          </w:tcPr>
          <w:p w14:paraId="089A0E33" w14:textId="77777777" w:rsidR="00E65228" w:rsidRPr="0017210F" w:rsidRDefault="00E65228" w:rsidP="009D6968">
            <w:pPr>
              <w:ind w:left="-57" w:right="-57"/>
              <w:rPr>
                <w:rFonts w:asciiTheme="minorHAnsi" w:hAnsiTheme="minorHAnsi" w:cstheme="minorHAnsi"/>
                <w:sz w:val="17"/>
                <w:szCs w:val="17"/>
              </w:rPr>
            </w:pPr>
            <w:r w:rsidRPr="0017210F">
              <w:rPr>
                <w:rFonts w:asciiTheme="minorHAnsi" w:hAnsiTheme="minorHAnsi" w:cstheme="minorHAnsi"/>
                <w:sz w:val="17"/>
                <w:szCs w:val="17"/>
              </w:rPr>
              <w:t xml:space="preserve">Practices apply to at least: </w:t>
            </w:r>
          </w:p>
          <w:p w14:paraId="191F6B02" w14:textId="77777777" w:rsidR="00E65228" w:rsidRPr="0017210F" w:rsidRDefault="00E65228" w:rsidP="009D6968">
            <w:pPr>
              <w:ind w:right="-57"/>
              <w:rPr>
                <w:rFonts w:asciiTheme="minorHAnsi" w:hAnsiTheme="minorHAnsi" w:cstheme="minorHAnsi"/>
                <w:sz w:val="17"/>
                <w:szCs w:val="17"/>
              </w:rPr>
            </w:pPr>
          </w:p>
          <w:p w14:paraId="6558F335" w14:textId="77777777" w:rsidR="00E65228" w:rsidRPr="0017210F" w:rsidDel="00667FB3" w:rsidRDefault="00E65228" w:rsidP="009D6968">
            <w:pPr>
              <w:ind w:right="-57"/>
              <w:rPr>
                <w:rFonts w:asciiTheme="minorHAnsi" w:hAnsiTheme="minorHAnsi" w:cstheme="minorHAnsi"/>
                <w:sz w:val="17"/>
                <w:szCs w:val="17"/>
              </w:rPr>
            </w:pPr>
          </w:p>
          <w:p w14:paraId="7BC63F71" w14:textId="77777777" w:rsidR="0063574E" w:rsidRDefault="0063574E" w:rsidP="009D6968">
            <w:pPr>
              <w:ind w:right="-57"/>
              <w:rPr>
                <w:rFonts w:asciiTheme="minorHAnsi" w:hAnsiTheme="minorHAnsi" w:cstheme="minorHAnsi"/>
                <w:sz w:val="17"/>
                <w:szCs w:val="17"/>
              </w:rPr>
            </w:pPr>
          </w:p>
          <w:p w14:paraId="0432C86B" w14:textId="4EB06D80" w:rsidR="002C4C37" w:rsidRPr="0017210F" w:rsidRDefault="00E65228" w:rsidP="009D6968">
            <w:pPr>
              <w:ind w:right="-57"/>
              <w:rPr>
                <w:rFonts w:asciiTheme="minorHAnsi" w:hAnsiTheme="minorHAnsi" w:cstheme="minorHAnsi"/>
                <w:sz w:val="17"/>
                <w:szCs w:val="17"/>
              </w:rPr>
            </w:pPr>
            <w:r w:rsidRPr="0017210F">
              <w:rPr>
                <w:rFonts w:asciiTheme="minorHAnsi" w:hAnsiTheme="minorHAnsi" w:cstheme="minorHAnsi"/>
                <w:sz w:val="17"/>
                <w:szCs w:val="17"/>
              </w:rPr>
              <w:t>Approx. area in hectares</w:t>
            </w:r>
          </w:p>
          <w:p w14:paraId="51FF62ED" w14:textId="48CBF5C1" w:rsidR="00AC1B6E" w:rsidRPr="007819E0" w:rsidRDefault="006442E1" w:rsidP="00AC1B6E">
            <w:pPr>
              <w:ind w:left="-57" w:right="-57"/>
              <w:rPr>
                <w:rFonts w:asciiTheme="minorHAnsi" w:hAnsiTheme="minorHAnsi" w:cstheme="minorHAnsi"/>
                <w:sz w:val="17"/>
                <w:szCs w:val="17"/>
              </w:rPr>
            </w:pPr>
            <w:r w:rsidRPr="006442E1">
              <w:rPr>
                <w:rFonts w:asciiTheme="minorHAnsi" w:hAnsiTheme="minorHAnsi" w:cstheme="minorHAnsi"/>
                <w:sz w:val="17"/>
                <w:szCs w:val="17"/>
                <w:highlight w:val="yellow"/>
              </w:rPr>
              <w:t>16,825</w:t>
            </w:r>
          </w:p>
          <w:p w14:paraId="1A8D5855" w14:textId="77777777" w:rsidR="00135C5E" w:rsidRPr="00CA4CBA" w:rsidRDefault="00135C5E" w:rsidP="00AC1B6E">
            <w:pPr>
              <w:ind w:left="-57" w:right="-57"/>
              <w:rPr>
                <w:rFonts w:asciiTheme="minorHAnsi" w:hAnsiTheme="minorHAnsi" w:cstheme="minorBidi"/>
                <w:sz w:val="17"/>
                <w:szCs w:val="17"/>
              </w:rPr>
            </w:pPr>
            <w:r w:rsidRPr="00CA4CBA">
              <w:rPr>
                <w:rFonts w:asciiTheme="minorHAnsi" w:hAnsiTheme="minorHAnsi" w:cstheme="minorBidi"/>
                <w:sz w:val="17"/>
                <w:szCs w:val="17"/>
                <w:highlight w:val="yellow"/>
              </w:rPr>
              <w:t xml:space="preserve">4,929 </w:t>
            </w:r>
          </w:p>
          <w:p w14:paraId="67310F29" w14:textId="77777777" w:rsidR="00D3665E" w:rsidRPr="00CA4CBA" w:rsidRDefault="00D3665E" w:rsidP="00AC1B6E">
            <w:pPr>
              <w:ind w:left="-57" w:right="-57"/>
              <w:rPr>
                <w:rFonts w:asciiTheme="minorHAnsi" w:hAnsiTheme="minorHAnsi" w:cstheme="minorBidi"/>
                <w:sz w:val="17"/>
                <w:szCs w:val="17"/>
              </w:rPr>
            </w:pPr>
            <w:r w:rsidRPr="00CA4CBA">
              <w:rPr>
                <w:rFonts w:asciiTheme="minorHAnsi" w:hAnsiTheme="minorHAnsi" w:cstheme="minorBidi"/>
                <w:sz w:val="17"/>
                <w:szCs w:val="17"/>
                <w:highlight w:val="yellow"/>
              </w:rPr>
              <w:t xml:space="preserve">13,988 </w:t>
            </w:r>
          </w:p>
          <w:p w14:paraId="45F82BCF" w14:textId="370F1AAD" w:rsidR="00AC1B6E" w:rsidRPr="002C4C37" w:rsidRDefault="002C4C37" w:rsidP="00AC1B6E">
            <w:pPr>
              <w:ind w:left="-57" w:right="-57"/>
              <w:rPr>
                <w:rFonts w:asciiTheme="minorHAnsi" w:hAnsiTheme="minorHAnsi" w:cstheme="minorHAnsi"/>
                <w:b/>
                <w:bCs/>
                <w:sz w:val="17"/>
                <w:szCs w:val="17"/>
              </w:rPr>
            </w:pPr>
            <w:r w:rsidRPr="002C4C37">
              <w:rPr>
                <w:rFonts w:asciiTheme="minorHAnsi" w:hAnsiTheme="minorHAnsi" w:cstheme="minorHAnsi"/>
                <w:b/>
                <w:bCs/>
                <w:sz w:val="17"/>
                <w:szCs w:val="17"/>
                <w:highlight w:val="yellow"/>
              </w:rPr>
              <w:t>35,742</w:t>
            </w:r>
          </w:p>
          <w:p w14:paraId="0B837D91" w14:textId="597F2B6C" w:rsidR="001E1446" w:rsidRPr="0017210F" w:rsidRDefault="001E1446" w:rsidP="00AC1B6E">
            <w:pPr>
              <w:ind w:left="-57" w:right="-57"/>
              <w:rPr>
                <w:rFonts w:asciiTheme="minorHAnsi" w:hAnsiTheme="minorHAnsi" w:cstheme="minorHAnsi"/>
                <w:sz w:val="17"/>
                <w:szCs w:val="17"/>
              </w:rPr>
            </w:pPr>
          </w:p>
        </w:tc>
        <w:tc>
          <w:tcPr>
            <w:tcW w:w="698" w:type="pct"/>
            <w:shd w:val="clear" w:color="auto" w:fill="auto"/>
          </w:tcPr>
          <w:p w14:paraId="4E74E324" w14:textId="77777777" w:rsidR="00E65228" w:rsidRPr="0017210F" w:rsidRDefault="00E65228" w:rsidP="009D6968">
            <w:pPr>
              <w:rPr>
                <w:rFonts w:asciiTheme="minorHAnsi" w:hAnsiTheme="minorHAnsi" w:cstheme="minorHAnsi"/>
                <w:sz w:val="17"/>
                <w:szCs w:val="17"/>
              </w:rPr>
            </w:pPr>
            <w:r w:rsidRPr="0017210F">
              <w:rPr>
                <w:rFonts w:asciiTheme="minorHAnsi" w:hAnsiTheme="minorHAnsi" w:cstheme="minorHAnsi"/>
                <w:sz w:val="17"/>
                <w:szCs w:val="17"/>
              </w:rPr>
              <w:t>- Field survey reports</w:t>
            </w:r>
          </w:p>
          <w:p w14:paraId="753AB025" w14:textId="77777777" w:rsidR="00E65228" w:rsidRPr="0017210F" w:rsidRDefault="00E65228" w:rsidP="009D6968">
            <w:pPr>
              <w:rPr>
                <w:rFonts w:asciiTheme="minorHAnsi" w:hAnsiTheme="minorHAnsi" w:cstheme="minorHAnsi"/>
                <w:sz w:val="17"/>
                <w:szCs w:val="17"/>
              </w:rPr>
            </w:pPr>
            <w:r w:rsidRPr="0017210F">
              <w:rPr>
                <w:rFonts w:asciiTheme="minorHAnsi" w:hAnsiTheme="minorHAnsi" w:cstheme="minorHAnsi"/>
                <w:sz w:val="17"/>
                <w:szCs w:val="17"/>
              </w:rPr>
              <w:t xml:space="preserve">- Analysis of publically available satellite imagery </w:t>
            </w:r>
          </w:p>
          <w:p w14:paraId="67847400" w14:textId="77777777" w:rsidR="00E65228" w:rsidRPr="0017210F" w:rsidRDefault="00E65228" w:rsidP="009D6968">
            <w:pPr>
              <w:rPr>
                <w:rFonts w:asciiTheme="minorHAnsi" w:hAnsiTheme="minorHAnsi" w:cstheme="minorHAnsi"/>
                <w:sz w:val="17"/>
                <w:szCs w:val="17"/>
              </w:rPr>
            </w:pPr>
            <w:r w:rsidRPr="0017210F">
              <w:rPr>
                <w:rFonts w:asciiTheme="minorHAnsi" w:hAnsiTheme="minorHAnsi" w:cstheme="minorHAnsi"/>
                <w:sz w:val="17"/>
                <w:szCs w:val="17"/>
              </w:rPr>
              <w:t>- Project progress reports (PIR, FAO PPR)</w:t>
            </w:r>
          </w:p>
          <w:p w14:paraId="5F6307E1" w14:textId="77777777" w:rsidR="00E65228" w:rsidRPr="0017210F" w:rsidRDefault="00E65228" w:rsidP="009D6968">
            <w:pPr>
              <w:rPr>
                <w:rFonts w:asciiTheme="minorHAnsi" w:hAnsiTheme="minorHAnsi" w:cstheme="minorHAnsi"/>
                <w:sz w:val="17"/>
                <w:szCs w:val="17"/>
              </w:rPr>
            </w:pPr>
            <w:r w:rsidRPr="0017210F">
              <w:rPr>
                <w:rFonts w:asciiTheme="minorHAnsi" w:hAnsiTheme="minorHAnsi" w:cstheme="minorHAnsi"/>
                <w:sz w:val="17"/>
                <w:szCs w:val="17"/>
              </w:rPr>
              <w:t>- MTR and TE reports </w:t>
            </w:r>
          </w:p>
        </w:tc>
        <w:tc>
          <w:tcPr>
            <w:tcW w:w="625" w:type="pct"/>
            <w:vMerge/>
          </w:tcPr>
          <w:p w14:paraId="75322172" w14:textId="77777777" w:rsidR="00E65228" w:rsidRPr="0017210F" w:rsidRDefault="00E65228" w:rsidP="009D6968">
            <w:pPr>
              <w:rPr>
                <w:rFonts w:asciiTheme="minorHAnsi" w:hAnsiTheme="minorHAnsi" w:cstheme="minorHAnsi"/>
                <w:sz w:val="17"/>
                <w:szCs w:val="17"/>
              </w:rPr>
            </w:pPr>
          </w:p>
        </w:tc>
      </w:tr>
      <w:tr w:rsidR="00E65228" w:rsidRPr="0017210F" w14:paraId="64B9B41B" w14:textId="77777777" w:rsidTr="01B6467E">
        <w:trPr>
          <w:trHeight w:val="699"/>
        </w:trPr>
        <w:tc>
          <w:tcPr>
            <w:tcW w:w="5000" w:type="pct"/>
            <w:gridSpan w:val="8"/>
            <w:shd w:val="clear" w:color="auto" w:fill="auto"/>
          </w:tcPr>
          <w:p w14:paraId="0F93240C" w14:textId="77777777" w:rsidR="00E65228" w:rsidRPr="0017210F" w:rsidRDefault="00E65228" w:rsidP="009D6968">
            <w:pPr>
              <w:rPr>
                <w:rFonts w:asciiTheme="minorHAnsi" w:hAnsiTheme="minorHAnsi" w:cstheme="minorHAnsi"/>
                <w:b/>
                <w:sz w:val="17"/>
                <w:szCs w:val="17"/>
              </w:rPr>
            </w:pPr>
          </w:p>
          <w:p w14:paraId="1ADAA78B" w14:textId="12B09472" w:rsidR="00E65228" w:rsidRPr="0017210F" w:rsidRDefault="00E65228" w:rsidP="009D6968">
            <w:pPr>
              <w:spacing w:beforeLines="1" w:before="2" w:afterLines="1" w:after="2"/>
              <w:ind w:right="-80"/>
              <w:textAlignment w:val="baseline"/>
              <w:rPr>
                <w:rFonts w:asciiTheme="minorHAnsi" w:hAnsiTheme="minorHAnsi" w:cstheme="minorHAnsi"/>
                <w:sz w:val="17"/>
                <w:szCs w:val="17"/>
              </w:rPr>
            </w:pPr>
            <w:r w:rsidRPr="0017210F">
              <w:rPr>
                <w:rFonts w:asciiTheme="minorHAnsi" w:hAnsiTheme="minorHAnsi" w:cstheme="minorHAnsi"/>
                <w:sz w:val="17"/>
                <w:szCs w:val="17"/>
              </w:rPr>
              <w:t xml:space="preserve">Output 2.2.1) Gender-sensitive SLM/SFM practices identified/developed and promoted in target landscapes </w:t>
            </w:r>
            <w:r w:rsidR="00633AF9">
              <w:rPr>
                <w:rFonts w:asciiTheme="minorHAnsi" w:hAnsiTheme="minorHAnsi" w:cstheme="minorHAnsi"/>
                <w:sz w:val="17"/>
                <w:szCs w:val="17"/>
              </w:rPr>
              <w:t>through</w:t>
            </w:r>
            <w:r w:rsidRPr="0017210F">
              <w:rPr>
                <w:rFonts w:asciiTheme="minorHAnsi" w:hAnsiTheme="minorHAnsi" w:cstheme="minorHAnsi"/>
                <w:sz w:val="17"/>
                <w:szCs w:val="17"/>
              </w:rPr>
              <w:t xml:space="preserve"> </w:t>
            </w:r>
            <w:r w:rsidR="002172B2">
              <w:rPr>
                <w:rFonts w:asciiTheme="minorHAnsi" w:hAnsiTheme="minorHAnsi" w:cstheme="minorHAnsi"/>
                <w:sz w:val="17"/>
                <w:szCs w:val="17"/>
              </w:rPr>
              <w:t>the</w:t>
            </w:r>
            <w:r w:rsidR="00D0184C">
              <w:rPr>
                <w:rFonts w:asciiTheme="minorHAnsi" w:hAnsiTheme="minorHAnsi" w:cstheme="minorHAnsi"/>
                <w:sz w:val="17"/>
                <w:szCs w:val="17"/>
              </w:rPr>
              <w:t xml:space="preserve"> </w:t>
            </w:r>
            <w:r w:rsidRPr="0017210F">
              <w:rPr>
                <w:rFonts w:asciiTheme="minorHAnsi" w:hAnsiTheme="minorHAnsi" w:cstheme="minorHAnsi"/>
                <w:sz w:val="17"/>
                <w:szCs w:val="17"/>
              </w:rPr>
              <w:t xml:space="preserve">Farmer/Agro-Pastoral Field Schools network </w:t>
            </w:r>
            <w:r w:rsidR="002172B2">
              <w:rPr>
                <w:rFonts w:asciiTheme="minorHAnsi" w:hAnsiTheme="minorHAnsi" w:cstheme="minorHAnsi"/>
                <w:sz w:val="17"/>
                <w:szCs w:val="17"/>
              </w:rPr>
              <w:t>(FFS)</w:t>
            </w:r>
          </w:p>
          <w:p w14:paraId="515A4867" w14:textId="3800C419" w:rsidR="00E65228" w:rsidRPr="0017210F" w:rsidRDefault="00E65228" w:rsidP="009D6968">
            <w:pPr>
              <w:spacing w:beforeLines="1" w:before="2" w:afterLines="1" w:after="2"/>
              <w:ind w:right="-80"/>
              <w:textAlignment w:val="baseline"/>
              <w:rPr>
                <w:rFonts w:asciiTheme="minorHAnsi" w:hAnsiTheme="minorHAnsi" w:cstheme="minorHAnsi"/>
                <w:sz w:val="17"/>
                <w:szCs w:val="17"/>
              </w:rPr>
            </w:pPr>
            <w:r w:rsidRPr="0017210F">
              <w:rPr>
                <w:rFonts w:asciiTheme="minorHAnsi" w:hAnsiTheme="minorHAnsi" w:cstheme="minorHAnsi"/>
                <w:sz w:val="17"/>
                <w:szCs w:val="17"/>
              </w:rPr>
              <w:t>Output 2.2.2) Forest-Farm Facilities established and investments in communal assets identified and delivered </w:t>
            </w:r>
          </w:p>
          <w:p w14:paraId="0F986725" w14:textId="77777777" w:rsidR="00E65228" w:rsidRPr="0017210F" w:rsidRDefault="00E65228" w:rsidP="009D6968">
            <w:pPr>
              <w:spacing w:beforeLines="1" w:before="2" w:afterLines="1" w:after="2"/>
              <w:ind w:right="-80"/>
              <w:textAlignment w:val="baseline"/>
              <w:rPr>
                <w:rFonts w:asciiTheme="minorHAnsi" w:hAnsiTheme="minorHAnsi" w:cstheme="minorHAnsi"/>
                <w:sz w:val="17"/>
                <w:szCs w:val="17"/>
              </w:rPr>
            </w:pPr>
          </w:p>
        </w:tc>
      </w:tr>
      <w:tr w:rsidR="00E65228" w:rsidRPr="0017210F" w14:paraId="6C966CC5" w14:textId="77777777" w:rsidTr="01B6467E">
        <w:trPr>
          <w:trHeight w:val="699"/>
        </w:trPr>
        <w:tc>
          <w:tcPr>
            <w:tcW w:w="574" w:type="pct"/>
            <w:shd w:val="clear" w:color="auto" w:fill="auto"/>
          </w:tcPr>
          <w:p w14:paraId="433F5C74" w14:textId="77777777" w:rsidR="00E65228" w:rsidRPr="0017210F" w:rsidRDefault="00E65228" w:rsidP="009D6968">
            <w:pPr>
              <w:rPr>
                <w:rFonts w:asciiTheme="minorHAnsi" w:hAnsiTheme="minorHAnsi" w:cstheme="minorHAnsi"/>
                <w:sz w:val="17"/>
                <w:szCs w:val="17"/>
              </w:rPr>
            </w:pPr>
            <w:r w:rsidRPr="0017210F">
              <w:rPr>
                <w:rFonts w:asciiTheme="minorHAnsi" w:hAnsiTheme="minorHAnsi" w:cstheme="minorHAnsi"/>
                <w:sz w:val="17"/>
                <w:szCs w:val="17"/>
              </w:rPr>
              <w:t>Outcome 2.3 Green value chains to support sustainable drylands products developed or strengthened</w:t>
            </w:r>
          </w:p>
        </w:tc>
        <w:tc>
          <w:tcPr>
            <w:tcW w:w="1259" w:type="pct"/>
            <w:shd w:val="clear" w:color="auto" w:fill="auto"/>
          </w:tcPr>
          <w:p w14:paraId="70CAB683" w14:textId="77777777" w:rsidR="00E65228" w:rsidRPr="0017210F" w:rsidRDefault="00E65228" w:rsidP="009D6968">
            <w:pPr>
              <w:ind w:left="-57" w:right="-57"/>
              <w:rPr>
                <w:rFonts w:asciiTheme="minorHAnsi" w:hAnsiTheme="minorHAnsi" w:cstheme="minorHAnsi"/>
                <w:sz w:val="17"/>
                <w:szCs w:val="17"/>
              </w:rPr>
            </w:pPr>
            <w:r w:rsidRPr="0017210F">
              <w:rPr>
                <w:rFonts w:asciiTheme="minorHAnsi" w:hAnsiTheme="minorHAnsi" w:cstheme="minorHAnsi"/>
                <w:sz w:val="17"/>
                <w:szCs w:val="17"/>
              </w:rPr>
              <w:t xml:space="preserve">1.  Increased percentage of farmers (of which at least 40% women) engaged in sustainable value chains </w:t>
            </w:r>
          </w:p>
          <w:p w14:paraId="2BC8C0C5" w14:textId="77777777" w:rsidR="00E65228" w:rsidRPr="0017210F" w:rsidRDefault="00E65228" w:rsidP="009D6968">
            <w:pPr>
              <w:ind w:left="-57" w:right="-57"/>
              <w:rPr>
                <w:rFonts w:asciiTheme="minorHAnsi" w:hAnsiTheme="minorHAnsi" w:cstheme="minorHAnsi"/>
                <w:sz w:val="17"/>
                <w:szCs w:val="17"/>
              </w:rPr>
            </w:pPr>
            <w:r w:rsidRPr="0017210F">
              <w:rPr>
                <w:rFonts w:asciiTheme="minorHAnsi" w:hAnsiTheme="minorHAnsi" w:cstheme="minorHAnsi"/>
                <w:sz w:val="17"/>
                <w:szCs w:val="17"/>
              </w:rPr>
              <w:t xml:space="preserve">  </w:t>
            </w:r>
          </w:p>
          <w:p w14:paraId="4F97FEBC" w14:textId="77777777" w:rsidR="00E65228" w:rsidRPr="0017210F" w:rsidRDefault="00E65228" w:rsidP="009D6968">
            <w:pPr>
              <w:rPr>
                <w:rFonts w:asciiTheme="minorHAnsi" w:hAnsiTheme="minorHAnsi" w:cstheme="minorHAnsi"/>
                <w:sz w:val="17"/>
                <w:szCs w:val="17"/>
              </w:rPr>
            </w:pPr>
          </w:p>
        </w:tc>
        <w:tc>
          <w:tcPr>
            <w:tcW w:w="598" w:type="pct"/>
            <w:shd w:val="clear" w:color="auto" w:fill="auto"/>
          </w:tcPr>
          <w:p w14:paraId="151462D8" w14:textId="77777777" w:rsidR="00E65228" w:rsidRPr="0017210F" w:rsidRDefault="00E65228" w:rsidP="009D6968">
            <w:pPr>
              <w:rPr>
                <w:rFonts w:asciiTheme="minorHAnsi" w:hAnsiTheme="minorHAnsi" w:cstheme="minorHAnsi"/>
                <w:sz w:val="17"/>
                <w:szCs w:val="17"/>
              </w:rPr>
            </w:pPr>
            <w:r w:rsidRPr="0017210F">
              <w:rPr>
                <w:rFonts w:asciiTheme="minorHAnsi" w:hAnsiTheme="minorHAnsi" w:cstheme="minorHAnsi"/>
                <w:sz w:val="17"/>
                <w:szCs w:val="17"/>
              </w:rPr>
              <w:t xml:space="preserve">To be determined during project inception. </w:t>
            </w:r>
          </w:p>
        </w:tc>
        <w:tc>
          <w:tcPr>
            <w:tcW w:w="598" w:type="pct"/>
            <w:gridSpan w:val="2"/>
            <w:shd w:val="clear" w:color="auto" w:fill="auto"/>
          </w:tcPr>
          <w:p w14:paraId="4A20A533" w14:textId="77777777" w:rsidR="00E65228" w:rsidRPr="0017210F" w:rsidRDefault="00E65228" w:rsidP="009D6968">
            <w:pPr>
              <w:ind w:left="-57" w:right="-57"/>
              <w:rPr>
                <w:rFonts w:asciiTheme="minorHAnsi" w:hAnsiTheme="minorHAnsi" w:cstheme="minorHAnsi"/>
                <w:sz w:val="17"/>
                <w:szCs w:val="17"/>
              </w:rPr>
            </w:pPr>
            <w:r w:rsidRPr="0017210F">
              <w:rPr>
                <w:rFonts w:asciiTheme="minorHAnsi" w:hAnsiTheme="minorHAnsi" w:cstheme="minorHAnsi"/>
                <w:sz w:val="17"/>
                <w:szCs w:val="17"/>
              </w:rPr>
              <w:t>15% increase over baseline in farmers involvement in sustainable value chains</w:t>
            </w:r>
          </w:p>
          <w:p w14:paraId="616E8039" w14:textId="77777777" w:rsidR="00E65228" w:rsidRPr="0017210F" w:rsidRDefault="00E65228" w:rsidP="009D6968">
            <w:pPr>
              <w:rPr>
                <w:rFonts w:asciiTheme="minorHAnsi" w:hAnsiTheme="minorHAnsi" w:cstheme="minorHAnsi"/>
                <w:sz w:val="17"/>
                <w:szCs w:val="17"/>
              </w:rPr>
            </w:pPr>
          </w:p>
        </w:tc>
        <w:tc>
          <w:tcPr>
            <w:tcW w:w="648" w:type="pct"/>
            <w:shd w:val="clear" w:color="auto" w:fill="auto"/>
          </w:tcPr>
          <w:p w14:paraId="6739FDB8" w14:textId="77777777" w:rsidR="00E65228" w:rsidRPr="0017210F" w:rsidRDefault="00E65228" w:rsidP="009D6968">
            <w:pPr>
              <w:ind w:left="-57" w:right="-57"/>
              <w:rPr>
                <w:rFonts w:asciiTheme="minorHAnsi" w:hAnsiTheme="minorHAnsi" w:cstheme="minorHAnsi"/>
                <w:sz w:val="17"/>
                <w:szCs w:val="17"/>
              </w:rPr>
            </w:pPr>
            <w:r w:rsidRPr="0017210F">
              <w:rPr>
                <w:rFonts w:asciiTheme="minorHAnsi" w:hAnsiTheme="minorHAnsi" w:cstheme="minorHAnsi"/>
                <w:sz w:val="17"/>
                <w:szCs w:val="17"/>
              </w:rPr>
              <w:t>30% increase in farmers involvement in sustainable value chains (incl. at least 15% women)</w:t>
            </w:r>
          </w:p>
          <w:p w14:paraId="36C77514" w14:textId="77777777" w:rsidR="00E65228" w:rsidRPr="0017210F" w:rsidRDefault="00E65228" w:rsidP="009D6968">
            <w:pPr>
              <w:rPr>
                <w:rFonts w:asciiTheme="minorHAnsi" w:hAnsiTheme="minorHAnsi" w:cstheme="minorHAnsi"/>
                <w:sz w:val="17"/>
                <w:szCs w:val="17"/>
              </w:rPr>
            </w:pPr>
          </w:p>
        </w:tc>
        <w:tc>
          <w:tcPr>
            <w:tcW w:w="698" w:type="pct"/>
            <w:shd w:val="clear" w:color="auto" w:fill="auto"/>
          </w:tcPr>
          <w:p w14:paraId="1CE35610" w14:textId="77777777" w:rsidR="00E65228" w:rsidRPr="0017210F" w:rsidRDefault="00E65228" w:rsidP="009D6968">
            <w:pPr>
              <w:rPr>
                <w:rFonts w:asciiTheme="minorHAnsi" w:hAnsiTheme="minorHAnsi" w:cstheme="minorHAnsi"/>
                <w:sz w:val="17"/>
                <w:szCs w:val="17"/>
              </w:rPr>
            </w:pPr>
            <w:r w:rsidRPr="0017210F">
              <w:rPr>
                <w:rFonts w:asciiTheme="minorHAnsi" w:hAnsiTheme="minorHAnsi" w:cstheme="minorHAnsi"/>
                <w:sz w:val="17"/>
                <w:szCs w:val="17"/>
              </w:rPr>
              <w:t>-Survey reports of FFS and FFF members</w:t>
            </w:r>
          </w:p>
          <w:p w14:paraId="58695676" w14:textId="77777777" w:rsidR="00E65228" w:rsidRPr="0017210F" w:rsidRDefault="00E65228" w:rsidP="009D6968">
            <w:pPr>
              <w:rPr>
                <w:rFonts w:asciiTheme="minorHAnsi" w:hAnsiTheme="minorHAnsi" w:cstheme="minorHAnsi"/>
                <w:sz w:val="17"/>
                <w:szCs w:val="17"/>
              </w:rPr>
            </w:pPr>
            <w:r w:rsidRPr="0017210F">
              <w:rPr>
                <w:rFonts w:asciiTheme="minorHAnsi" w:hAnsiTheme="minorHAnsi" w:cstheme="minorHAnsi"/>
                <w:sz w:val="17"/>
                <w:szCs w:val="17"/>
              </w:rPr>
              <w:t>- Project progress reports (PIR, FAO PPR)</w:t>
            </w:r>
          </w:p>
          <w:p w14:paraId="5C26E4FA" w14:textId="77777777" w:rsidR="00E65228" w:rsidRPr="0017210F" w:rsidRDefault="00E65228" w:rsidP="009D6968">
            <w:pPr>
              <w:rPr>
                <w:rFonts w:asciiTheme="minorHAnsi" w:hAnsiTheme="minorHAnsi" w:cstheme="minorHAnsi"/>
                <w:sz w:val="17"/>
                <w:szCs w:val="17"/>
              </w:rPr>
            </w:pPr>
            <w:r w:rsidRPr="0017210F">
              <w:rPr>
                <w:rFonts w:asciiTheme="minorHAnsi" w:hAnsiTheme="minorHAnsi" w:cstheme="minorHAnsi"/>
                <w:sz w:val="17"/>
                <w:szCs w:val="17"/>
              </w:rPr>
              <w:t>- MTR and TE reports </w:t>
            </w:r>
          </w:p>
          <w:p w14:paraId="5B2B2B2D" w14:textId="77777777" w:rsidR="00E65228" w:rsidRPr="0017210F" w:rsidRDefault="00E65228" w:rsidP="009D6968">
            <w:pPr>
              <w:rPr>
                <w:rFonts w:asciiTheme="minorHAnsi" w:hAnsiTheme="minorHAnsi" w:cstheme="minorHAnsi"/>
                <w:sz w:val="17"/>
                <w:szCs w:val="17"/>
              </w:rPr>
            </w:pPr>
          </w:p>
        </w:tc>
        <w:tc>
          <w:tcPr>
            <w:tcW w:w="625" w:type="pct"/>
            <w:vMerge w:val="restart"/>
            <w:shd w:val="clear" w:color="auto" w:fill="auto"/>
          </w:tcPr>
          <w:p w14:paraId="22244DD1" w14:textId="77777777" w:rsidR="00E65228" w:rsidRPr="0017210F" w:rsidRDefault="00E65228" w:rsidP="009D6968">
            <w:pPr>
              <w:rPr>
                <w:rFonts w:asciiTheme="minorHAnsi" w:hAnsiTheme="minorHAnsi" w:cstheme="minorHAnsi"/>
                <w:sz w:val="17"/>
                <w:szCs w:val="17"/>
              </w:rPr>
            </w:pPr>
            <w:r w:rsidRPr="0017210F">
              <w:rPr>
                <w:rFonts w:asciiTheme="minorHAnsi" w:hAnsiTheme="minorHAnsi" w:cstheme="minorHAnsi"/>
                <w:sz w:val="17"/>
                <w:szCs w:val="17"/>
              </w:rPr>
              <w:t xml:space="preserve">The private sector is willing to invest in SLM/SFM/LDN activities, encouraged by a supportive regulatory and financial environment </w:t>
            </w:r>
          </w:p>
          <w:p w14:paraId="65CA170D" w14:textId="77777777" w:rsidR="00E65228" w:rsidRPr="0017210F" w:rsidRDefault="00E65228" w:rsidP="009D6968">
            <w:pPr>
              <w:rPr>
                <w:rFonts w:asciiTheme="minorHAnsi" w:hAnsiTheme="minorHAnsi" w:cstheme="minorHAnsi"/>
                <w:sz w:val="17"/>
                <w:szCs w:val="17"/>
              </w:rPr>
            </w:pPr>
          </w:p>
          <w:p w14:paraId="14E33C8B" w14:textId="77777777" w:rsidR="00E65228" w:rsidRPr="0017210F" w:rsidRDefault="00E65228" w:rsidP="009D6968">
            <w:pPr>
              <w:rPr>
                <w:rFonts w:asciiTheme="minorHAnsi" w:hAnsiTheme="minorHAnsi" w:cstheme="minorHAnsi"/>
                <w:sz w:val="17"/>
                <w:szCs w:val="17"/>
              </w:rPr>
            </w:pPr>
            <w:r w:rsidRPr="0017210F">
              <w:rPr>
                <w:rFonts w:asciiTheme="minorHAnsi" w:hAnsiTheme="minorHAnsi" w:cstheme="minorHAnsi"/>
                <w:sz w:val="17"/>
                <w:szCs w:val="17"/>
              </w:rPr>
              <w:t>Market demand for dryland products from southern Angola, coupled with viable ways for local producers to commercialize their surplus production, provide the basis for developing green value chains (GVCs), subject to appropriate inputs and improved organizational support</w:t>
            </w:r>
          </w:p>
        </w:tc>
      </w:tr>
      <w:tr w:rsidR="00E65228" w:rsidRPr="0017210F" w14:paraId="1C14BF0E" w14:textId="77777777" w:rsidTr="01B6467E">
        <w:trPr>
          <w:trHeight w:val="262"/>
        </w:trPr>
        <w:tc>
          <w:tcPr>
            <w:tcW w:w="574" w:type="pct"/>
            <w:shd w:val="clear" w:color="auto" w:fill="auto"/>
          </w:tcPr>
          <w:p w14:paraId="61D7BE52" w14:textId="77777777" w:rsidR="00E65228" w:rsidRPr="0017210F" w:rsidRDefault="00E65228" w:rsidP="009D6968">
            <w:pPr>
              <w:rPr>
                <w:rFonts w:asciiTheme="minorHAnsi" w:hAnsiTheme="minorHAnsi" w:cstheme="minorHAnsi"/>
                <w:sz w:val="17"/>
                <w:szCs w:val="17"/>
              </w:rPr>
            </w:pPr>
          </w:p>
        </w:tc>
        <w:tc>
          <w:tcPr>
            <w:tcW w:w="1259" w:type="pct"/>
            <w:shd w:val="clear" w:color="auto" w:fill="auto"/>
          </w:tcPr>
          <w:p w14:paraId="2CAD3A43" w14:textId="77777777" w:rsidR="00E65228" w:rsidRPr="0017210F" w:rsidRDefault="00E65228" w:rsidP="009D6968">
            <w:pPr>
              <w:rPr>
                <w:rFonts w:asciiTheme="minorHAnsi" w:hAnsiTheme="minorHAnsi" w:cstheme="minorHAnsi"/>
                <w:sz w:val="17"/>
                <w:szCs w:val="17"/>
              </w:rPr>
            </w:pPr>
            <w:r w:rsidRPr="0017210F">
              <w:rPr>
                <w:rFonts w:asciiTheme="minorHAnsi" w:hAnsiTheme="minorHAnsi" w:cstheme="minorHAnsi"/>
                <w:sz w:val="17"/>
                <w:szCs w:val="17"/>
              </w:rPr>
              <w:t>2. Number of partnerships/</w:t>
            </w:r>
          </w:p>
          <w:p w14:paraId="0CA0FA74" w14:textId="77777777" w:rsidR="00E65228" w:rsidRPr="0017210F" w:rsidRDefault="00E65228" w:rsidP="009D6968">
            <w:pPr>
              <w:rPr>
                <w:rFonts w:asciiTheme="minorHAnsi" w:hAnsiTheme="minorHAnsi" w:cstheme="minorHAnsi"/>
                <w:sz w:val="17"/>
                <w:szCs w:val="17"/>
              </w:rPr>
            </w:pPr>
            <w:r w:rsidRPr="0017210F">
              <w:rPr>
                <w:rFonts w:asciiTheme="minorHAnsi" w:hAnsiTheme="minorHAnsi" w:cstheme="minorHAnsi"/>
                <w:sz w:val="17"/>
                <w:szCs w:val="17"/>
              </w:rPr>
              <w:t>projects/ business plans to support GVCs developed through the project</w:t>
            </w:r>
          </w:p>
        </w:tc>
        <w:tc>
          <w:tcPr>
            <w:tcW w:w="598" w:type="pct"/>
            <w:shd w:val="clear" w:color="auto" w:fill="auto"/>
          </w:tcPr>
          <w:p w14:paraId="16B4ED04" w14:textId="77777777" w:rsidR="00E65228" w:rsidRPr="0017210F" w:rsidRDefault="00E65228" w:rsidP="009D6968">
            <w:pPr>
              <w:rPr>
                <w:rFonts w:asciiTheme="minorHAnsi" w:hAnsiTheme="minorHAnsi" w:cstheme="minorHAnsi"/>
                <w:sz w:val="17"/>
                <w:szCs w:val="17"/>
              </w:rPr>
            </w:pPr>
            <w:r w:rsidRPr="0017210F">
              <w:rPr>
                <w:rFonts w:asciiTheme="minorHAnsi" w:hAnsiTheme="minorHAnsi" w:cstheme="minorHAnsi"/>
                <w:sz w:val="17"/>
                <w:szCs w:val="17"/>
              </w:rPr>
              <w:t>0</w:t>
            </w:r>
          </w:p>
        </w:tc>
        <w:tc>
          <w:tcPr>
            <w:tcW w:w="598" w:type="pct"/>
            <w:gridSpan w:val="2"/>
            <w:shd w:val="clear" w:color="auto" w:fill="auto"/>
          </w:tcPr>
          <w:p w14:paraId="35F560C2" w14:textId="77777777" w:rsidR="00E65228" w:rsidRPr="0017210F" w:rsidRDefault="00E65228" w:rsidP="009D6968">
            <w:pPr>
              <w:rPr>
                <w:rFonts w:asciiTheme="minorHAnsi" w:hAnsiTheme="minorHAnsi" w:cstheme="minorHAnsi"/>
                <w:sz w:val="17"/>
                <w:szCs w:val="17"/>
              </w:rPr>
            </w:pPr>
            <w:r w:rsidRPr="0017210F">
              <w:rPr>
                <w:rFonts w:asciiTheme="minorHAnsi" w:hAnsiTheme="minorHAnsi" w:cstheme="minorHAnsi"/>
                <w:sz w:val="17"/>
                <w:szCs w:val="17"/>
              </w:rPr>
              <w:t>At least 3 new partnership/project/ business plans under development</w:t>
            </w:r>
          </w:p>
          <w:p w14:paraId="218DD60F" w14:textId="77777777" w:rsidR="00E65228" w:rsidRPr="0017210F" w:rsidRDefault="00E65228" w:rsidP="009D6968">
            <w:pPr>
              <w:rPr>
                <w:rFonts w:asciiTheme="minorHAnsi" w:hAnsiTheme="minorHAnsi" w:cstheme="minorHAnsi"/>
                <w:sz w:val="17"/>
                <w:szCs w:val="17"/>
              </w:rPr>
            </w:pPr>
          </w:p>
          <w:p w14:paraId="5959C049" w14:textId="77777777" w:rsidR="00E65228" w:rsidRPr="0017210F" w:rsidRDefault="00E65228" w:rsidP="009D6968">
            <w:pPr>
              <w:rPr>
                <w:rFonts w:asciiTheme="minorHAnsi" w:hAnsiTheme="minorHAnsi" w:cstheme="minorHAnsi"/>
                <w:sz w:val="17"/>
                <w:szCs w:val="17"/>
              </w:rPr>
            </w:pPr>
          </w:p>
        </w:tc>
        <w:tc>
          <w:tcPr>
            <w:tcW w:w="648" w:type="pct"/>
            <w:shd w:val="clear" w:color="auto" w:fill="auto"/>
          </w:tcPr>
          <w:p w14:paraId="63328B42" w14:textId="77777777" w:rsidR="00E65228" w:rsidRPr="0017210F" w:rsidRDefault="00E65228" w:rsidP="009D6968">
            <w:pPr>
              <w:rPr>
                <w:rFonts w:asciiTheme="minorHAnsi" w:hAnsiTheme="minorHAnsi" w:cstheme="minorHAnsi"/>
                <w:sz w:val="17"/>
                <w:szCs w:val="17"/>
              </w:rPr>
            </w:pPr>
            <w:r w:rsidRPr="0017210F">
              <w:rPr>
                <w:rFonts w:asciiTheme="minorHAnsi" w:hAnsiTheme="minorHAnsi" w:cstheme="minorHAnsi"/>
                <w:sz w:val="17"/>
                <w:szCs w:val="17"/>
              </w:rPr>
              <w:t>At least 5 new partnership/project/business plans developed as a result of capacity building provided through the project</w:t>
            </w:r>
          </w:p>
        </w:tc>
        <w:tc>
          <w:tcPr>
            <w:tcW w:w="698" w:type="pct"/>
            <w:shd w:val="clear" w:color="auto" w:fill="auto"/>
          </w:tcPr>
          <w:p w14:paraId="25153B8B" w14:textId="77777777" w:rsidR="00E65228" w:rsidRPr="0017210F" w:rsidRDefault="00E65228" w:rsidP="009D6968">
            <w:pPr>
              <w:rPr>
                <w:rFonts w:asciiTheme="minorHAnsi" w:hAnsiTheme="minorHAnsi" w:cstheme="minorHAnsi"/>
                <w:sz w:val="17"/>
                <w:szCs w:val="17"/>
              </w:rPr>
            </w:pPr>
            <w:r w:rsidRPr="0017210F">
              <w:rPr>
                <w:rFonts w:asciiTheme="minorHAnsi" w:hAnsiTheme="minorHAnsi" w:cstheme="minorHAnsi"/>
                <w:sz w:val="17"/>
                <w:szCs w:val="17"/>
              </w:rPr>
              <w:t>- Copies of business plans, partnership agreements, project proposals, financial support documentation</w:t>
            </w:r>
          </w:p>
          <w:p w14:paraId="3A9A11CC" w14:textId="77777777" w:rsidR="00E65228" w:rsidRPr="0017210F" w:rsidRDefault="00E65228" w:rsidP="009D6968">
            <w:pPr>
              <w:rPr>
                <w:rFonts w:asciiTheme="minorHAnsi" w:hAnsiTheme="minorHAnsi" w:cstheme="minorHAnsi"/>
                <w:sz w:val="17"/>
                <w:szCs w:val="17"/>
              </w:rPr>
            </w:pPr>
            <w:r w:rsidRPr="0017210F">
              <w:rPr>
                <w:rFonts w:asciiTheme="minorHAnsi" w:hAnsiTheme="minorHAnsi" w:cstheme="minorHAnsi"/>
                <w:sz w:val="17"/>
                <w:szCs w:val="17"/>
              </w:rPr>
              <w:t>- - Project progress reports (PIR, FAO PPR)</w:t>
            </w:r>
          </w:p>
          <w:p w14:paraId="43A991D5" w14:textId="77777777" w:rsidR="00E65228" w:rsidRPr="0017210F" w:rsidRDefault="00E65228" w:rsidP="009D6968">
            <w:pPr>
              <w:spacing w:beforeLines="1" w:before="2" w:afterLines="1" w:after="2"/>
              <w:ind w:left="-80" w:right="-80"/>
              <w:textAlignment w:val="baseline"/>
              <w:rPr>
                <w:rFonts w:asciiTheme="minorHAnsi" w:hAnsiTheme="minorHAnsi" w:cstheme="minorHAnsi"/>
                <w:sz w:val="17"/>
                <w:szCs w:val="17"/>
              </w:rPr>
            </w:pPr>
            <w:r w:rsidRPr="0017210F">
              <w:rPr>
                <w:rFonts w:asciiTheme="minorHAnsi" w:hAnsiTheme="minorHAnsi" w:cstheme="minorHAnsi"/>
                <w:sz w:val="17"/>
                <w:szCs w:val="17"/>
              </w:rPr>
              <w:t>- MTR and TE reports </w:t>
            </w:r>
          </w:p>
        </w:tc>
        <w:tc>
          <w:tcPr>
            <w:tcW w:w="625" w:type="pct"/>
            <w:vMerge/>
          </w:tcPr>
          <w:p w14:paraId="5B4C603C" w14:textId="77777777" w:rsidR="00E65228" w:rsidRPr="0017210F" w:rsidRDefault="00E65228" w:rsidP="009D6968">
            <w:pPr>
              <w:rPr>
                <w:rFonts w:asciiTheme="minorHAnsi" w:hAnsiTheme="minorHAnsi" w:cstheme="minorHAnsi"/>
                <w:sz w:val="17"/>
                <w:szCs w:val="17"/>
              </w:rPr>
            </w:pPr>
          </w:p>
        </w:tc>
      </w:tr>
      <w:tr w:rsidR="00E65228" w:rsidRPr="0017210F" w14:paraId="46BB8AA5" w14:textId="77777777" w:rsidTr="01B6467E">
        <w:trPr>
          <w:trHeight w:val="404"/>
        </w:trPr>
        <w:tc>
          <w:tcPr>
            <w:tcW w:w="5000" w:type="pct"/>
            <w:gridSpan w:val="8"/>
            <w:shd w:val="clear" w:color="auto" w:fill="auto"/>
          </w:tcPr>
          <w:p w14:paraId="62F24D15" w14:textId="77777777" w:rsidR="00E65228" w:rsidRPr="0017210F" w:rsidRDefault="00E65228" w:rsidP="009D6968">
            <w:pPr>
              <w:spacing w:beforeLines="1" w:before="2" w:afterLines="1" w:after="2"/>
              <w:ind w:right="-80"/>
              <w:textAlignment w:val="baseline"/>
              <w:rPr>
                <w:rFonts w:asciiTheme="minorHAnsi" w:hAnsiTheme="minorHAnsi" w:cstheme="minorHAnsi"/>
                <w:b/>
                <w:sz w:val="17"/>
                <w:szCs w:val="17"/>
              </w:rPr>
            </w:pPr>
          </w:p>
          <w:p w14:paraId="04840609" w14:textId="67916AA2" w:rsidR="00E65228" w:rsidRPr="0017210F" w:rsidRDefault="00E65228" w:rsidP="009D6968">
            <w:pPr>
              <w:spacing w:beforeLines="1" w:before="2" w:afterLines="1" w:after="2"/>
              <w:ind w:right="-80"/>
              <w:textAlignment w:val="baseline"/>
              <w:rPr>
                <w:rFonts w:asciiTheme="minorHAnsi" w:hAnsiTheme="minorHAnsi" w:cstheme="minorHAnsi"/>
                <w:sz w:val="17"/>
                <w:szCs w:val="17"/>
              </w:rPr>
            </w:pPr>
            <w:r w:rsidRPr="0017210F">
              <w:rPr>
                <w:rFonts w:asciiTheme="minorHAnsi" w:hAnsiTheme="minorHAnsi" w:cstheme="minorHAnsi"/>
                <w:sz w:val="17"/>
                <w:szCs w:val="17"/>
              </w:rPr>
              <w:t>Output 2.3.1) Drylands Green Value Chain Strategic Study developed for southern Angola </w:t>
            </w:r>
            <w:r w:rsidR="00C94137">
              <w:rPr>
                <w:rFonts w:asciiTheme="minorHAnsi" w:hAnsiTheme="minorHAnsi" w:cstheme="minorHAnsi"/>
                <w:sz w:val="17"/>
                <w:szCs w:val="17"/>
              </w:rPr>
              <w:t xml:space="preserve">and </w:t>
            </w:r>
            <w:r w:rsidR="00C94137" w:rsidRPr="00C94137">
              <w:rPr>
                <w:rFonts w:asciiTheme="minorHAnsi" w:hAnsiTheme="minorHAnsi" w:cstheme="minorHAnsi"/>
                <w:sz w:val="17"/>
                <w:szCs w:val="17"/>
              </w:rPr>
              <w:t>strategy for women and youth led rural agri-entrepreneurship developed</w:t>
            </w:r>
          </w:p>
          <w:p w14:paraId="57E82DDB" w14:textId="2F93DD68" w:rsidR="00E65228" w:rsidRDefault="00E65228" w:rsidP="009D6968">
            <w:pPr>
              <w:spacing w:beforeLines="1" w:before="2" w:afterLines="1" w:after="2"/>
              <w:ind w:right="-80"/>
              <w:textAlignment w:val="baseline"/>
              <w:rPr>
                <w:rFonts w:asciiTheme="minorHAnsi" w:hAnsiTheme="minorHAnsi" w:cstheme="minorHAnsi"/>
                <w:sz w:val="17"/>
                <w:szCs w:val="17"/>
              </w:rPr>
            </w:pPr>
            <w:r w:rsidRPr="0017210F">
              <w:rPr>
                <w:rFonts w:asciiTheme="minorHAnsi" w:hAnsiTheme="minorHAnsi" w:cstheme="minorHAnsi"/>
                <w:sz w:val="17"/>
                <w:szCs w:val="17"/>
              </w:rPr>
              <w:t xml:space="preserve">Output 2.3.2) </w:t>
            </w:r>
            <w:r w:rsidR="003A465D" w:rsidRPr="003A465D">
              <w:rPr>
                <w:rFonts w:asciiTheme="minorHAnsi" w:hAnsiTheme="minorHAnsi" w:cstheme="minorHAnsi"/>
                <w:sz w:val="17"/>
                <w:szCs w:val="17"/>
              </w:rPr>
              <w:t>The Green Value Chain strategy implemented for selected Value chains</w:t>
            </w:r>
          </w:p>
          <w:p w14:paraId="1777902A" w14:textId="158BB8DA" w:rsidR="004A53E8" w:rsidRPr="0017210F" w:rsidRDefault="004A53E8" w:rsidP="009D6968">
            <w:pPr>
              <w:spacing w:beforeLines="1" w:before="2" w:afterLines="1" w:after="2"/>
              <w:ind w:right="-80"/>
              <w:textAlignment w:val="baseline"/>
              <w:rPr>
                <w:rFonts w:asciiTheme="minorHAnsi" w:hAnsiTheme="minorHAnsi" w:cstheme="minorHAnsi"/>
                <w:sz w:val="17"/>
                <w:szCs w:val="17"/>
              </w:rPr>
            </w:pPr>
            <w:r w:rsidRPr="004A53E8">
              <w:rPr>
                <w:rFonts w:asciiTheme="minorHAnsi" w:hAnsiTheme="minorHAnsi" w:cstheme="minorHAnsi"/>
                <w:sz w:val="17"/>
                <w:szCs w:val="17"/>
              </w:rPr>
              <w:lastRenderedPageBreak/>
              <w:t>Output 2.3.3</w:t>
            </w:r>
            <w:r>
              <w:rPr>
                <w:rFonts w:asciiTheme="minorHAnsi" w:hAnsiTheme="minorHAnsi" w:cstheme="minorHAnsi"/>
                <w:sz w:val="17"/>
                <w:szCs w:val="17"/>
              </w:rPr>
              <w:t>)</w:t>
            </w:r>
            <w:r w:rsidRPr="004A53E8">
              <w:rPr>
                <w:rFonts w:asciiTheme="minorHAnsi" w:hAnsiTheme="minorHAnsi" w:cstheme="minorHAnsi"/>
                <w:sz w:val="17"/>
                <w:szCs w:val="17"/>
              </w:rPr>
              <w:t xml:space="preserve"> </w:t>
            </w:r>
            <w:r w:rsidR="00E04B98" w:rsidRPr="00E04B98">
              <w:rPr>
                <w:rFonts w:asciiTheme="minorHAnsi" w:hAnsiTheme="minorHAnsi" w:cstheme="minorHAnsi"/>
                <w:sz w:val="17"/>
                <w:szCs w:val="17"/>
              </w:rPr>
              <w:t>FBS developed within FFS and FFF  to support new value chain enterprises</w:t>
            </w:r>
          </w:p>
          <w:p w14:paraId="0134194F" w14:textId="77777777" w:rsidR="00E65228" w:rsidRPr="0017210F" w:rsidRDefault="00E65228" w:rsidP="009D6968">
            <w:pPr>
              <w:spacing w:beforeLines="1" w:before="2" w:afterLines="1" w:after="2"/>
              <w:ind w:right="-80"/>
              <w:textAlignment w:val="baseline"/>
              <w:rPr>
                <w:rFonts w:asciiTheme="minorHAnsi" w:hAnsiTheme="minorHAnsi" w:cstheme="minorHAnsi"/>
                <w:sz w:val="17"/>
                <w:szCs w:val="17"/>
              </w:rPr>
            </w:pPr>
            <w:r w:rsidRPr="0017210F">
              <w:rPr>
                <w:rFonts w:asciiTheme="minorHAnsi" w:hAnsiTheme="minorHAnsi" w:cstheme="minorHAnsi"/>
                <w:sz w:val="17"/>
                <w:szCs w:val="17"/>
              </w:rPr>
              <w:t> </w:t>
            </w:r>
          </w:p>
        </w:tc>
      </w:tr>
      <w:tr w:rsidR="00E65228" w:rsidRPr="0017210F" w14:paraId="7FDE75A0" w14:textId="77777777" w:rsidTr="01B6467E">
        <w:trPr>
          <w:trHeight w:val="412"/>
        </w:trPr>
        <w:tc>
          <w:tcPr>
            <w:tcW w:w="5000" w:type="pct"/>
            <w:gridSpan w:val="8"/>
            <w:shd w:val="clear" w:color="auto" w:fill="D9D9D9" w:themeFill="background1" w:themeFillShade="D9"/>
          </w:tcPr>
          <w:p w14:paraId="23C2B675" w14:textId="77777777" w:rsidR="00E65228" w:rsidRPr="0017210F" w:rsidRDefault="00E65228" w:rsidP="009D6968">
            <w:pPr>
              <w:rPr>
                <w:rFonts w:asciiTheme="minorHAnsi" w:hAnsiTheme="minorHAnsi" w:cstheme="minorHAnsi"/>
                <w:b/>
                <w:sz w:val="17"/>
                <w:szCs w:val="17"/>
              </w:rPr>
            </w:pPr>
            <w:r w:rsidRPr="0017210F">
              <w:rPr>
                <w:rFonts w:asciiTheme="minorHAnsi" w:hAnsiTheme="minorHAnsi" w:cstheme="minorHAnsi"/>
                <w:b/>
                <w:sz w:val="17"/>
                <w:szCs w:val="17"/>
              </w:rPr>
              <w:lastRenderedPageBreak/>
              <w:t>Component 3: Strengthening knowledge, learning and collaboration to support progress towards achieving national LDN targets</w:t>
            </w:r>
          </w:p>
        </w:tc>
      </w:tr>
      <w:tr w:rsidR="00E65228" w:rsidRPr="0017210F" w14:paraId="5A28E772" w14:textId="77777777" w:rsidTr="01B6467E">
        <w:trPr>
          <w:trHeight w:val="699"/>
        </w:trPr>
        <w:tc>
          <w:tcPr>
            <w:tcW w:w="574" w:type="pct"/>
            <w:shd w:val="clear" w:color="auto" w:fill="auto"/>
          </w:tcPr>
          <w:p w14:paraId="14537423" w14:textId="77777777" w:rsidR="00E65228" w:rsidRPr="0017210F" w:rsidRDefault="00E65228" w:rsidP="009D6968">
            <w:pPr>
              <w:rPr>
                <w:rFonts w:asciiTheme="minorHAnsi" w:hAnsiTheme="minorHAnsi" w:cstheme="minorHAnsi"/>
                <w:sz w:val="17"/>
                <w:szCs w:val="17"/>
              </w:rPr>
            </w:pPr>
            <w:r w:rsidRPr="0017210F">
              <w:rPr>
                <w:rFonts w:asciiTheme="minorHAnsi" w:hAnsiTheme="minorHAnsi" w:cstheme="minorHAnsi"/>
                <w:sz w:val="17"/>
                <w:szCs w:val="17"/>
              </w:rPr>
              <w:t>Outcome 3.1: National land information framework strengthened to inform LDN-related policy, planning, and management at landscape, national and global levels</w:t>
            </w:r>
          </w:p>
        </w:tc>
        <w:tc>
          <w:tcPr>
            <w:tcW w:w="1259" w:type="pct"/>
            <w:shd w:val="clear" w:color="auto" w:fill="auto"/>
          </w:tcPr>
          <w:p w14:paraId="609B23AD" w14:textId="77777777" w:rsidR="00E65228" w:rsidRPr="0017210F" w:rsidRDefault="00E65228" w:rsidP="009D6968">
            <w:pPr>
              <w:rPr>
                <w:rFonts w:asciiTheme="minorHAnsi" w:hAnsiTheme="minorHAnsi" w:cstheme="minorHAnsi"/>
                <w:sz w:val="17"/>
                <w:szCs w:val="17"/>
              </w:rPr>
            </w:pPr>
            <w:r w:rsidRPr="0017210F">
              <w:rPr>
                <w:rFonts w:asciiTheme="minorHAnsi" w:hAnsiTheme="minorHAnsi" w:cstheme="minorHAnsi"/>
                <w:sz w:val="17"/>
                <w:szCs w:val="17"/>
              </w:rPr>
              <w:t>1. Publically accessible web-based national LDN platform hosting information on SLM/SFM/LDN operational and reporting on progress towards LDN targets</w:t>
            </w:r>
          </w:p>
          <w:p w14:paraId="3AB49032" w14:textId="77777777" w:rsidR="00E65228" w:rsidRPr="0017210F" w:rsidRDefault="00E65228" w:rsidP="009D6968">
            <w:pPr>
              <w:rPr>
                <w:rFonts w:asciiTheme="minorHAnsi" w:hAnsiTheme="minorHAnsi" w:cstheme="minorHAnsi"/>
                <w:sz w:val="17"/>
                <w:szCs w:val="17"/>
              </w:rPr>
            </w:pPr>
          </w:p>
        </w:tc>
        <w:tc>
          <w:tcPr>
            <w:tcW w:w="647" w:type="pct"/>
            <w:gridSpan w:val="2"/>
            <w:shd w:val="clear" w:color="auto" w:fill="auto"/>
          </w:tcPr>
          <w:p w14:paraId="3C0C9AAB" w14:textId="77777777" w:rsidR="00E65228" w:rsidRPr="0017210F" w:rsidRDefault="00E65228" w:rsidP="009D6968">
            <w:pPr>
              <w:rPr>
                <w:rFonts w:asciiTheme="minorHAnsi" w:hAnsiTheme="minorHAnsi" w:cstheme="minorHAnsi"/>
                <w:sz w:val="17"/>
                <w:szCs w:val="17"/>
              </w:rPr>
            </w:pPr>
            <w:r w:rsidRPr="0017210F">
              <w:rPr>
                <w:rFonts w:asciiTheme="minorHAnsi" w:hAnsiTheme="minorHAnsi" w:cstheme="minorHAnsi"/>
                <w:sz w:val="17"/>
                <w:szCs w:val="17"/>
              </w:rPr>
              <w:t>National LDN platform not established/fully functional</w:t>
            </w:r>
          </w:p>
        </w:tc>
        <w:tc>
          <w:tcPr>
            <w:tcW w:w="549" w:type="pct"/>
            <w:shd w:val="clear" w:color="auto" w:fill="auto"/>
          </w:tcPr>
          <w:p w14:paraId="4A96570E" w14:textId="77777777" w:rsidR="00E65228" w:rsidRPr="0017210F" w:rsidRDefault="00E65228" w:rsidP="009D6968">
            <w:pPr>
              <w:rPr>
                <w:rFonts w:asciiTheme="minorHAnsi" w:hAnsiTheme="minorHAnsi" w:cstheme="minorHAnsi"/>
                <w:sz w:val="17"/>
                <w:szCs w:val="17"/>
              </w:rPr>
            </w:pPr>
            <w:r w:rsidRPr="0017210F">
              <w:rPr>
                <w:rFonts w:asciiTheme="minorHAnsi" w:hAnsiTheme="minorHAnsi" w:cstheme="minorHAnsi"/>
                <w:sz w:val="17"/>
                <w:szCs w:val="17"/>
              </w:rPr>
              <w:t>Each child project design team to complete expected progress by mid-term</w:t>
            </w:r>
          </w:p>
        </w:tc>
        <w:tc>
          <w:tcPr>
            <w:tcW w:w="648" w:type="pct"/>
            <w:shd w:val="clear" w:color="auto" w:fill="auto"/>
          </w:tcPr>
          <w:p w14:paraId="04969220" w14:textId="77777777" w:rsidR="00E65228" w:rsidRPr="0017210F" w:rsidRDefault="00E65228" w:rsidP="009D6968">
            <w:pPr>
              <w:rPr>
                <w:rFonts w:asciiTheme="minorHAnsi" w:hAnsiTheme="minorHAnsi" w:cstheme="minorHAnsi"/>
                <w:sz w:val="17"/>
                <w:szCs w:val="17"/>
              </w:rPr>
            </w:pPr>
            <w:r w:rsidRPr="0017210F">
              <w:rPr>
                <w:rFonts w:asciiTheme="minorHAnsi" w:hAnsiTheme="minorHAnsi" w:cstheme="minorHAnsi"/>
                <w:sz w:val="17"/>
                <w:szCs w:val="17"/>
              </w:rPr>
              <w:t>National LDN platform reporting on LDN targets and feeding information into national LDN reporting</w:t>
            </w:r>
          </w:p>
        </w:tc>
        <w:tc>
          <w:tcPr>
            <w:tcW w:w="698" w:type="pct"/>
            <w:shd w:val="clear" w:color="auto" w:fill="auto"/>
          </w:tcPr>
          <w:p w14:paraId="1F708788" w14:textId="77777777" w:rsidR="00E65228" w:rsidRPr="0017210F" w:rsidRDefault="00E65228" w:rsidP="009D6968">
            <w:pPr>
              <w:rPr>
                <w:rFonts w:asciiTheme="minorHAnsi" w:hAnsiTheme="minorHAnsi" w:cstheme="minorHAnsi"/>
                <w:sz w:val="17"/>
                <w:szCs w:val="17"/>
              </w:rPr>
            </w:pPr>
            <w:r w:rsidRPr="0017210F">
              <w:rPr>
                <w:rFonts w:asciiTheme="minorHAnsi" w:hAnsiTheme="minorHAnsi" w:cstheme="minorHAnsi"/>
                <w:sz w:val="17"/>
                <w:szCs w:val="17"/>
              </w:rPr>
              <w:t>- Usage tracking data from platform</w:t>
            </w:r>
          </w:p>
          <w:p w14:paraId="3B0C1ED5" w14:textId="77777777" w:rsidR="00E65228" w:rsidRPr="0017210F" w:rsidRDefault="00E65228" w:rsidP="009D6968">
            <w:pPr>
              <w:rPr>
                <w:rFonts w:asciiTheme="minorHAnsi" w:hAnsiTheme="minorHAnsi" w:cstheme="minorHAnsi"/>
                <w:sz w:val="17"/>
                <w:szCs w:val="17"/>
              </w:rPr>
            </w:pPr>
            <w:r w:rsidRPr="0017210F">
              <w:rPr>
                <w:rFonts w:asciiTheme="minorHAnsi" w:hAnsiTheme="minorHAnsi" w:cstheme="minorHAnsi"/>
                <w:sz w:val="17"/>
                <w:szCs w:val="17"/>
              </w:rPr>
              <w:t>- Interviews with target stakeholders on use of platform information</w:t>
            </w:r>
          </w:p>
          <w:p w14:paraId="5B07B495" w14:textId="77777777" w:rsidR="00E65228" w:rsidRPr="0017210F" w:rsidRDefault="00E65228" w:rsidP="009D6968">
            <w:pPr>
              <w:rPr>
                <w:rFonts w:asciiTheme="minorHAnsi" w:hAnsiTheme="minorHAnsi" w:cstheme="minorHAnsi"/>
                <w:sz w:val="17"/>
                <w:szCs w:val="17"/>
              </w:rPr>
            </w:pPr>
            <w:r w:rsidRPr="0017210F">
              <w:rPr>
                <w:rFonts w:asciiTheme="minorHAnsi" w:hAnsiTheme="minorHAnsi" w:cstheme="minorHAnsi"/>
                <w:sz w:val="17"/>
                <w:szCs w:val="17"/>
              </w:rPr>
              <w:t>- Policy, planning and management documents referring to LDN platform</w:t>
            </w:r>
          </w:p>
          <w:p w14:paraId="51A7A4D9" w14:textId="77777777" w:rsidR="00E65228" w:rsidRPr="0017210F" w:rsidRDefault="00E65228" w:rsidP="009D6968">
            <w:pPr>
              <w:rPr>
                <w:rFonts w:asciiTheme="minorHAnsi" w:hAnsiTheme="minorHAnsi" w:cstheme="minorHAnsi"/>
                <w:sz w:val="17"/>
                <w:szCs w:val="17"/>
              </w:rPr>
            </w:pPr>
            <w:r w:rsidRPr="0017210F">
              <w:rPr>
                <w:rFonts w:asciiTheme="minorHAnsi" w:hAnsiTheme="minorHAnsi" w:cstheme="minorHAnsi"/>
                <w:sz w:val="17"/>
                <w:szCs w:val="17"/>
              </w:rPr>
              <w:t>- National UNCCED reports</w:t>
            </w:r>
          </w:p>
          <w:p w14:paraId="276C082D" w14:textId="77777777" w:rsidR="00E65228" w:rsidRPr="0017210F" w:rsidRDefault="00E65228" w:rsidP="009D6968">
            <w:pPr>
              <w:rPr>
                <w:rFonts w:asciiTheme="minorHAnsi" w:hAnsiTheme="minorHAnsi" w:cstheme="minorHAnsi"/>
                <w:sz w:val="17"/>
                <w:szCs w:val="17"/>
              </w:rPr>
            </w:pPr>
            <w:r w:rsidRPr="0017210F">
              <w:rPr>
                <w:rFonts w:asciiTheme="minorHAnsi" w:hAnsiTheme="minorHAnsi" w:cstheme="minorHAnsi"/>
                <w:sz w:val="17"/>
                <w:szCs w:val="17"/>
              </w:rPr>
              <w:t>- LDN national reports</w:t>
            </w:r>
          </w:p>
        </w:tc>
        <w:tc>
          <w:tcPr>
            <w:tcW w:w="625" w:type="pct"/>
            <w:vMerge w:val="restart"/>
            <w:shd w:val="clear" w:color="auto" w:fill="auto"/>
          </w:tcPr>
          <w:p w14:paraId="76827D09" w14:textId="77777777" w:rsidR="00E65228" w:rsidRPr="0017210F" w:rsidRDefault="00E65228" w:rsidP="009D6968">
            <w:pPr>
              <w:rPr>
                <w:rFonts w:asciiTheme="minorHAnsi" w:hAnsiTheme="minorHAnsi" w:cstheme="minorHAnsi"/>
                <w:sz w:val="17"/>
                <w:szCs w:val="17"/>
                <w:lang w:val="en-US"/>
              </w:rPr>
            </w:pPr>
            <w:r w:rsidRPr="0017210F">
              <w:rPr>
                <w:rFonts w:asciiTheme="minorHAnsi" w:hAnsiTheme="minorHAnsi" w:cstheme="minorHAnsi"/>
                <w:sz w:val="17"/>
                <w:szCs w:val="17"/>
                <w:lang w:val="en-US"/>
              </w:rPr>
              <w:t>Continued political stability in (country) to ensure institutional framework and capacity able to carry out LDN assessment, monitoring and reporting</w:t>
            </w:r>
          </w:p>
          <w:p w14:paraId="0703C88B" w14:textId="77777777" w:rsidR="00E65228" w:rsidRPr="0017210F" w:rsidRDefault="00E65228" w:rsidP="009D6968">
            <w:pPr>
              <w:rPr>
                <w:rFonts w:asciiTheme="minorHAnsi" w:hAnsiTheme="minorHAnsi" w:cstheme="minorHAnsi"/>
                <w:sz w:val="17"/>
                <w:szCs w:val="17"/>
                <w:lang w:val="en-US"/>
              </w:rPr>
            </w:pPr>
          </w:p>
          <w:p w14:paraId="37314328" w14:textId="77777777" w:rsidR="00E65228" w:rsidRPr="0017210F" w:rsidRDefault="00E65228" w:rsidP="009D6968">
            <w:pPr>
              <w:rPr>
                <w:rFonts w:asciiTheme="minorHAnsi" w:hAnsiTheme="minorHAnsi" w:cstheme="minorHAnsi"/>
                <w:sz w:val="17"/>
                <w:szCs w:val="17"/>
              </w:rPr>
            </w:pPr>
            <w:r w:rsidRPr="0017210F">
              <w:rPr>
                <w:rFonts w:asciiTheme="minorHAnsi" w:hAnsiTheme="minorHAnsi" w:cstheme="minorHAnsi"/>
                <w:sz w:val="17"/>
                <w:szCs w:val="17"/>
              </w:rPr>
              <w:t>LDN information framework continues to be used and supported across sectors</w:t>
            </w:r>
          </w:p>
          <w:p w14:paraId="77EA1405" w14:textId="77777777" w:rsidR="00E65228" w:rsidRPr="0017210F" w:rsidRDefault="00E65228" w:rsidP="009D6968">
            <w:pPr>
              <w:rPr>
                <w:rFonts w:asciiTheme="minorHAnsi" w:hAnsiTheme="minorHAnsi" w:cstheme="minorHAnsi"/>
                <w:sz w:val="17"/>
                <w:szCs w:val="17"/>
                <w:lang w:val="en-US"/>
              </w:rPr>
            </w:pPr>
          </w:p>
          <w:p w14:paraId="6A0EF063" w14:textId="77777777" w:rsidR="00E65228" w:rsidRPr="0017210F" w:rsidRDefault="00E65228" w:rsidP="009D6968">
            <w:pPr>
              <w:rPr>
                <w:rFonts w:asciiTheme="minorHAnsi" w:hAnsiTheme="minorHAnsi" w:cstheme="minorHAnsi"/>
                <w:sz w:val="17"/>
                <w:szCs w:val="17"/>
                <w:lang w:val="en-US"/>
              </w:rPr>
            </w:pPr>
          </w:p>
        </w:tc>
      </w:tr>
      <w:tr w:rsidR="00E65228" w:rsidRPr="0017210F" w14:paraId="70D7A197" w14:textId="77777777" w:rsidTr="01B6467E">
        <w:trPr>
          <w:trHeight w:val="699"/>
        </w:trPr>
        <w:tc>
          <w:tcPr>
            <w:tcW w:w="574" w:type="pct"/>
            <w:shd w:val="clear" w:color="auto" w:fill="auto"/>
          </w:tcPr>
          <w:p w14:paraId="6E43E650" w14:textId="77777777" w:rsidR="00E65228" w:rsidRPr="0017210F" w:rsidRDefault="00E65228" w:rsidP="009D6968">
            <w:pPr>
              <w:rPr>
                <w:rFonts w:asciiTheme="minorHAnsi" w:hAnsiTheme="minorHAnsi" w:cstheme="minorHAnsi"/>
                <w:sz w:val="17"/>
                <w:szCs w:val="17"/>
              </w:rPr>
            </w:pPr>
          </w:p>
        </w:tc>
        <w:tc>
          <w:tcPr>
            <w:tcW w:w="1259" w:type="pct"/>
            <w:shd w:val="clear" w:color="auto" w:fill="auto"/>
          </w:tcPr>
          <w:p w14:paraId="3DE78C77" w14:textId="77777777" w:rsidR="00E65228" w:rsidRPr="0017210F" w:rsidRDefault="00E65228" w:rsidP="009D6968">
            <w:pPr>
              <w:rPr>
                <w:rFonts w:asciiTheme="minorHAnsi" w:hAnsiTheme="minorHAnsi" w:cstheme="minorHAnsi"/>
                <w:sz w:val="17"/>
                <w:szCs w:val="17"/>
              </w:rPr>
            </w:pPr>
            <w:r w:rsidRPr="0017210F">
              <w:rPr>
                <w:rFonts w:asciiTheme="minorHAnsi" w:hAnsiTheme="minorHAnsi" w:cstheme="minorHAnsi"/>
                <w:sz w:val="17"/>
                <w:szCs w:val="17"/>
              </w:rPr>
              <w:t xml:space="preserve">2. % LDN indicators  </w:t>
            </w:r>
            <w:r w:rsidRPr="0017210F">
              <w:rPr>
                <w:rFonts w:asciiTheme="minorHAnsi" w:hAnsiTheme="minorHAnsi" w:cstheme="minorHAnsi"/>
                <w:sz w:val="17"/>
                <w:szCs w:val="17"/>
                <w:lang w:val="en-US"/>
              </w:rPr>
              <w:t>(</w:t>
            </w:r>
            <w:r w:rsidRPr="0017210F">
              <w:rPr>
                <w:rFonts w:asciiTheme="minorHAnsi" w:hAnsiTheme="minorHAnsi" w:cstheme="minorHAnsi"/>
                <w:iCs/>
                <w:sz w:val="17"/>
                <w:szCs w:val="17"/>
              </w:rPr>
              <w:t>defined under the national LDN framework</w:t>
            </w:r>
            <w:r w:rsidRPr="0017210F">
              <w:rPr>
                <w:rFonts w:asciiTheme="minorHAnsi" w:hAnsiTheme="minorHAnsi" w:cstheme="minorHAnsi"/>
                <w:sz w:val="17"/>
                <w:szCs w:val="17"/>
                <w:lang w:val="en-US"/>
              </w:rPr>
              <w:t xml:space="preserve">) incorporated into </w:t>
            </w:r>
            <w:r w:rsidRPr="0017210F">
              <w:rPr>
                <w:rFonts w:asciiTheme="minorHAnsi" w:hAnsiTheme="minorHAnsi" w:cstheme="minorHAnsi"/>
                <w:sz w:val="17"/>
                <w:szCs w:val="17"/>
              </w:rPr>
              <w:t>agriculture and forestry sector development plans (or equivalent strategy/programme)</w:t>
            </w:r>
          </w:p>
          <w:p w14:paraId="77047F61" w14:textId="77777777" w:rsidR="00E65228" w:rsidRPr="0017210F" w:rsidRDefault="00E65228" w:rsidP="009D6968">
            <w:pPr>
              <w:rPr>
                <w:rFonts w:asciiTheme="minorHAnsi" w:hAnsiTheme="minorHAnsi" w:cstheme="minorHAnsi"/>
                <w:sz w:val="17"/>
                <w:szCs w:val="17"/>
              </w:rPr>
            </w:pPr>
          </w:p>
          <w:p w14:paraId="02979764" w14:textId="77777777" w:rsidR="00E65228" w:rsidRPr="0017210F" w:rsidRDefault="00E65228" w:rsidP="009D6968">
            <w:pPr>
              <w:rPr>
                <w:rFonts w:asciiTheme="minorHAnsi" w:hAnsiTheme="minorHAnsi" w:cstheme="minorHAnsi"/>
                <w:sz w:val="17"/>
                <w:szCs w:val="17"/>
                <w:lang w:val="en-US"/>
              </w:rPr>
            </w:pPr>
          </w:p>
        </w:tc>
        <w:tc>
          <w:tcPr>
            <w:tcW w:w="647" w:type="pct"/>
            <w:gridSpan w:val="2"/>
            <w:shd w:val="clear" w:color="auto" w:fill="auto"/>
          </w:tcPr>
          <w:p w14:paraId="0C978137" w14:textId="77777777" w:rsidR="00E65228" w:rsidRPr="0017210F" w:rsidRDefault="00E65228" w:rsidP="009D6968">
            <w:pPr>
              <w:rPr>
                <w:rFonts w:asciiTheme="minorHAnsi" w:hAnsiTheme="minorHAnsi" w:cstheme="minorHAnsi"/>
                <w:sz w:val="17"/>
                <w:szCs w:val="17"/>
                <w:lang w:val="en-US"/>
              </w:rPr>
            </w:pPr>
            <w:r w:rsidRPr="0017210F">
              <w:rPr>
                <w:rFonts w:asciiTheme="minorHAnsi" w:hAnsiTheme="minorHAnsi" w:cstheme="minorHAnsi"/>
                <w:sz w:val="17"/>
                <w:szCs w:val="17"/>
              </w:rPr>
              <w:t>Each child project design team to complete</w:t>
            </w:r>
          </w:p>
        </w:tc>
        <w:tc>
          <w:tcPr>
            <w:tcW w:w="549" w:type="pct"/>
            <w:shd w:val="clear" w:color="auto" w:fill="auto"/>
          </w:tcPr>
          <w:p w14:paraId="2B44E311" w14:textId="77777777" w:rsidR="00E65228" w:rsidRPr="0017210F" w:rsidRDefault="00E65228" w:rsidP="009D6968">
            <w:pPr>
              <w:rPr>
                <w:rFonts w:asciiTheme="minorHAnsi" w:hAnsiTheme="minorHAnsi" w:cstheme="minorHAnsi"/>
                <w:sz w:val="17"/>
                <w:szCs w:val="17"/>
                <w:lang w:val="en-US"/>
              </w:rPr>
            </w:pPr>
            <w:r w:rsidRPr="0017210F">
              <w:rPr>
                <w:rFonts w:asciiTheme="minorHAnsi" w:hAnsiTheme="minorHAnsi" w:cstheme="minorHAnsi"/>
                <w:sz w:val="17"/>
                <w:szCs w:val="17"/>
                <w:lang w:val="en-US"/>
              </w:rPr>
              <w:t xml:space="preserve">Set of LDN indicators defined and validated, and process started for their incorporation into targeted </w:t>
            </w:r>
            <w:r w:rsidRPr="0017210F">
              <w:rPr>
                <w:rFonts w:asciiTheme="minorHAnsi" w:hAnsiTheme="minorHAnsi" w:cstheme="minorHAnsi"/>
                <w:sz w:val="17"/>
                <w:szCs w:val="17"/>
              </w:rPr>
              <w:t>agriculture and forestry sector development strategies, plans and programmes</w:t>
            </w:r>
          </w:p>
        </w:tc>
        <w:tc>
          <w:tcPr>
            <w:tcW w:w="648" w:type="pct"/>
            <w:shd w:val="clear" w:color="auto" w:fill="auto"/>
          </w:tcPr>
          <w:p w14:paraId="0CC7C39C" w14:textId="77777777" w:rsidR="00E65228" w:rsidRPr="0017210F" w:rsidRDefault="00E65228" w:rsidP="009D6968">
            <w:pPr>
              <w:rPr>
                <w:rFonts w:asciiTheme="minorHAnsi" w:hAnsiTheme="minorHAnsi" w:cstheme="minorHAnsi"/>
                <w:sz w:val="17"/>
                <w:szCs w:val="17"/>
                <w:lang w:val="en-US"/>
              </w:rPr>
            </w:pPr>
            <w:r w:rsidRPr="0017210F">
              <w:rPr>
                <w:rFonts w:asciiTheme="minorHAnsi" w:hAnsiTheme="minorHAnsi" w:cstheme="minorHAnsi"/>
                <w:sz w:val="17"/>
                <w:szCs w:val="17"/>
                <w:lang w:val="en-US"/>
              </w:rPr>
              <w:t xml:space="preserve">At least 80% of agreed LDN indicators incorporated into respective </w:t>
            </w:r>
            <w:r w:rsidRPr="0017210F">
              <w:rPr>
                <w:rFonts w:asciiTheme="minorHAnsi" w:hAnsiTheme="minorHAnsi" w:cstheme="minorHAnsi"/>
                <w:sz w:val="17"/>
                <w:szCs w:val="17"/>
              </w:rPr>
              <w:t>agriculture and forestry sector development plans (or equivalent strategy/programme)</w:t>
            </w:r>
          </w:p>
        </w:tc>
        <w:tc>
          <w:tcPr>
            <w:tcW w:w="698" w:type="pct"/>
            <w:shd w:val="clear" w:color="auto" w:fill="auto"/>
          </w:tcPr>
          <w:p w14:paraId="66A7E3FD" w14:textId="77777777" w:rsidR="00E65228" w:rsidRPr="0017210F" w:rsidRDefault="00E65228" w:rsidP="009D6968">
            <w:pPr>
              <w:rPr>
                <w:rFonts w:asciiTheme="minorHAnsi" w:hAnsiTheme="minorHAnsi" w:cstheme="minorHAnsi"/>
                <w:sz w:val="17"/>
                <w:szCs w:val="17"/>
                <w:lang w:val="en-US"/>
              </w:rPr>
            </w:pPr>
            <w:r w:rsidRPr="0017210F">
              <w:rPr>
                <w:rFonts w:asciiTheme="minorHAnsi" w:hAnsiTheme="minorHAnsi" w:cstheme="minorHAnsi"/>
                <w:sz w:val="17"/>
                <w:szCs w:val="17"/>
                <w:lang w:val="en-US"/>
              </w:rPr>
              <w:t>- Revised national strategies, plans and programmes and plans with LDN indicators</w:t>
            </w:r>
          </w:p>
          <w:p w14:paraId="51E25ED4" w14:textId="77777777" w:rsidR="00E65228" w:rsidRPr="0017210F" w:rsidRDefault="00E65228" w:rsidP="009D6968">
            <w:pPr>
              <w:rPr>
                <w:rFonts w:asciiTheme="minorHAnsi" w:hAnsiTheme="minorHAnsi" w:cstheme="minorHAnsi"/>
                <w:sz w:val="17"/>
                <w:szCs w:val="17"/>
                <w:lang w:val="en-US"/>
              </w:rPr>
            </w:pPr>
            <w:r w:rsidRPr="0017210F">
              <w:rPr>
                <w:rFonts w:asciiTheme="minorHAnsi" w:hAnsiTheme="minorHAnsi" w:cstheme="minorHAnsi"/>
                <w:sz w:val="17"/>
                <w:szCs w:val="17"/>
                <w:lang w:val="en-US"/>
              </w:rPr>
              <w:t>- Reports, publications, on-line information of monitored LDN indicators under revised national strategies, plans and programmes</w:t>
            </w:r>
          </w:p>
          <w:p w14:paraId="745CBB30" w14:textId="77777777" w:rsidR="00E65228" w:rsidRPr="0017210F" w:rsidRDefault="00E65228" w:rsidP="009D6968">
            <w:pPr>
              <w:rPr>
                <w:rFonts w:asciiTheme="minorHAnsi" w:hAnsiTheme="minorHAnsi" w:cstheme="minorHAnsi"/>
                <w:sz w:val="17"/>
                <w:szCs w:val="17"/>
              </w:rPr>
            </w:pPr>
            <w:r w:rsidRPr="0017210F">
              <w:rPr>
                <w:rFonts w:asciiTheme="minorHAnsi" w:hAnsiTheme="minorHAnsi" w:cstheme="minorHAnsi"/>
                <w:sz w:val="17"/>
                <w:szCs w:val="17"/>
              </w:rPr>
              <w:t>- National UNCCED reports</w:t>
            </w:r>
          </w:p>
          <w:p w14:paraId="248607EA" w14:textId="77777777" w:rsidR="00E65228" w:rsidRPr="0017210F" w:rsidRDefault="00E65228" w:rsidP="009D6968">
            <w:pPr>
              <w:rPr>
                <w:rFonts w:asciiTheme="minorHAnsi" w:hAnsiTheme="minorHAnsi" w:cstheme="minorHAnsi"/>
                <w:sz w:val="17"/>
                <w:szCs w:val="17"/>
                <w:lang w:val="en-US"/>
              </w:rPr>
            </w:pPr>
            <w:r w:rsidRPr="0017210F">
              <w:rPr>
                <w:rFonts w:asciiTheme="minorHAnsi" w:hAnsiTheme="minorHAnsi" w:cstheme="minorHAnsi"/>
                <w:sz w:val="17"/>
                <w:szCs w:val="17"/>
              </w:rPr>
              <w:t>- LDN national reports</w:t>
            </w:r>
          </w:p>
        </w:tc>
        <w:tc>
          <w:tcPr>
            <w:tcW w:w="625" w:type="pct"/>
            <w:vMerge/>
          </w:tcPr>
          <w:p w14:paraId="44EA7001" w14:textId="77777777" w:rsidR="00E65228" w:rsidRPr="0017210F" w:rsidRDefault="00E65228" w:rsidP="009D6968">
            <w:pPr>
              <w:rPr>
                <w:rFonts w:asciiTheme="minorHAnsi" w:hAnsiTheme="minorHAnsi" w:cstheme="minorHAnsi"/>
                <w:sz w:val="17"/>
                <w:szCs w:val="17"/>
              </w:rPr>
            </w:pPr>
          </w:p>
        </w:tc>
      </w:tr>
      <w:tr w:rsidR="00E65228" w:rsidRPr="0017210F" w14:paraId="10C9C6BC" w14:textId="77777777" w:rsidTr="01B6467E">
        <w:trPr>
          <w:trHeight w:val="699"/>
        </w:trPr>
        <w:tc>
          <w:tcPr>
            <w:tcW w:w="574" w:type="pct"/>
            <w:shd w:val="clear" w:color="auto" w:fill="auto"/>
          </w:tcPr>
          <w:p w14:paraId="1B5F05C9" w14:textId="77777777" w:rsidR="00E65228" w:rsidRPr="0017210F" w:rsidRDefault="00E65228" w:rsidP="009D6968">
            <w:pPr>
              <w:rPr>
                <w:rFonts w:asciiTheme="minorHAnsi" w:hAnsiTheme="minorHAnsi" w:cstheme="minorHAnsi"/>
                <w:sz w:val="17"/>
                <w:szCs w:val="17"/>
              </w:rPr>
            </w:pPr>
          </w:p>
        </w:tc>
        <w:tc>
          <w:tcPr>
            <w:tcW w:w="1259" w:type="pct"/>
            <w:shd w:val="clear" w:color="auto" w:fill="auto"/>
          </w:tcPr>
          <w:p w14:paraId="276DA119" w14:textId="77777777" w:rsidR="00E65228" w:rsidRPr="0017210F" w:rsidRDefault="00E65228" w:rsidP="009D6968">
            <w:pPr>
              <w:rPr>
                <w:rFonts w:asciiTheme="minorHAnsi" w:hAnsiTheme="minorHAnsi" w:cstheme="minorHAnsi"/>
                <w:sz w:val="17"/>
                <w:szCs w:val="17"/>
                <w:lang w:val="en-US"/>
              </w:rPr>
            </w:pPr>
            <w:r w:rsidRPr="0017210F">
              <w:rPr>
                <w:rFonts w:asciiTheme="minorHAnsi" w:hAnsiTheme="minorHAnsi" w:cstheme="minorHAnsi"/>
                <w:sz w:val="17"/>
                <w:szCs w:val="17"/>
                <w:lang w:val="en-US"/>
              </w:rPr>
              <w:t xml:space="preserve">3. </w:t>
            </w:r>
            <w:r w:rsidRPr="0017210F">
              <w:rPr>
                <w:rFonts w:asciiTheme="minorHAnsi" w:hAnsiTheme="minorHAnsi" w:cstheme="minorHAnsi"/>
                <w:sz w:val="17"/>
                <w:szCs w:val="17"/>
              </w:rPr>
              <w:t xml:space="preserve">Number of participatory </w:t>
            </w:r>
            <w:r w:rsidRPr="0017210F">
              <w:rPr>
                <w:rFonts w:asciiTheme="minorHAnsi" w:hAnsiTheme="minorHAnsi" w:cstheme="minorHAnsi"/>
                <w:sz w:val="17"/>
                <w:szCs w:val="17"/>
                <w:lang w:val="en-US"/>
              </w:rPr>
              <w:t>landscape-level LDN monitoring action plans (LDN-LMAPs) with LDN indicators (</w:t>
            </w:r>
            <w:r w:rsidRPr="0017210F">
              <w:rPr>
                <w:rFonts w:asciiTheme="minorHAnsi" w:hAnsiTheme="minorHAnsi" w:cstheme="minorHAnsi"/>
                <w:iCs/>
                <w:sz w:val="17"/>
                <w:szCs w:val="17"/>
              </w:rPr>
              <w:t>defined under the national LDN framework</w:t>
            </w:r>
            <w:r w:rsidRPr="0017210F">
              <w:rPr>
                <w:rFonts w:asciiTheme="minorHAnsi" w:hAnsiTheme="minorHAnsi" w:cstheme="minorHAnsi"/>
                <w:sz w:val="17"/>
                <w:szCs w:val="17"/>
                <w:lang w:val="en-US"/>
              </w:rPr>
              <w:t>) for target landscapes operational</w:t>
            </w:r>
          </w:p>
        </w:tc>
        <w:tc>
          <w:tcPr>
            <w:tcW w:w="647" w:type="pct"/>
            <w:gridSpan w:val="2"/>
            <w:shd w:val="clear" w:color="auto" w:fill="auto"/>
          </w:tcPr>
          <w:p w14:paraId="33CA14F3" w14:textId="77777777" w:rsidR="00E65228" w:rsidRPr="0017210F" w:rsidRDefault="00E65228" w:rsidP="009D6968">
            <w:pPr>
              <w:rPr>
                <w:rFonts w:asciiTheme="minorHAnsi" w:hAnsiTheme="minorHAnsi" w:cstheme="minorHAnsi"/>
                <w:sz w:val="17"/>
                <w:szCs w:val="17"/>
                <w:lang w:val="en-US"/>
              </w:rPr>
            </w:pPr>
            <w:r w:rsidRPr="0017210F">
              <w:rPr>
                <w:rFonts w:asciiTheme="minorHAnsi" w:hAnsiTheme="minorHAnsi" w:cstheme="minorHAnsi"/>
                <w:sz w:val="17"/>
                <w:szCs w:val="17"/>
                <w:lang w:val="en-US"/>
              </w:rPr>
              <w:t>No monitoring plans exist</w:t>
            </w:r>
          </w:p>
        </w:tc>
        <w:tc>
          <w:tcPr>
            <w:tcW w:w="549" w:type="pct"/>
            <w:shd w:val="clear" w:color="auto" w:fill="auto"/>
          </w:tcPr>
          <w:p w14:paraId="6A927216" w14:textId="5415EED9" w:rsidR="00E65228" w:rsidRPr="0017210F" w:rsidRDefault="00E65228" w:rsidP="009D6968">
            <w:pPr>
              <w:rPr>
                <w:rFonts w:asciiTheme="minorHAnsi" w:hAnsiTheme="minorHAnsi" w:cstheme="minorHAnsi"/>
                <w:sz w:val="17"/>
                <w:szCs w:val="17"/>
                <w:lang w:val="en-US"/>
              </w:rPr>
            </w:pPr>
            <w:r w:rsidRPr="0017210F">
              <w:rPr>
                <w:rFonts w:asciiTheme="minorHAnsi" w:hAnsiTheme="minorHAnsi" w:cstheme="minorHAnsi"/>
                <w:sz w:val="17"/>
                <w:szCs w:val="17"/>
                <w:lang w:val="en-US"/>
              </w:rPr>
              <w:t xml:space="preserve">Participatory landscape monitoring plans (LDN-LMAPs) under development for project target areas (within the framework of their </w:t>
            </w:r>
            <w:r w:rsidR="00C15947" w:rsidRPr="00C15947">
              <w:rPr>
                <w:rFonts w:asciiTheme="minorHAnsi" w:hAnsiTheme="minorHAnsi" w:cstheme="minorHAnsi"/>
                <w:sz w:val="17"/>
                <w:szCs w:val="17"/>
                <w:lang w:val="en-US"/>
              </w:rPr>
              <w:t>ILUP</w:t>
            </w:r>
            <w:r w:rsidR="00C16381">
              <w:rPr>
                <w:rFonts w:asciiTheme="minorHAnsi" w:hAnsiTheme="minorHAnsi" w:cstheme="minorHAnsi"/>
                <w:sz w:val="17"/>
                <w:szCs w:val="17"/>
                <w:lang w:val="en-US"/>
              </w:rPr>
              <w:t xml:space="preserve"> </w:t>
            </w:r>
            <w:r w:rsidRPr="0017210F">
              <w:rPr>
                <w:rFonts w:asciiTheme="minorHAnsi" w:hAnsiTheme="minorHAnsi" w:cstheme="minorHAnsi"/>
                <w:sz w:val="17"/>
                <w:szCs w:val="17"/>
                <w:lang w:val="en-US"/>
              </w:rPr>
              <w:t>implementation)</w:t>
            </w:r>
          </w:p>
        </w:tc>
        <w:tc>
          <w:tcPr>
            <w:tcW w:w="648" w:type="pct"/>
            <w:shd w:val="clear" w:color="auto" w:fill="auto"/>
          </w:tcPr>
          <w:p w14:paraId="0F2F9E98" w14:textId="3980533D" w:rsidR="00E65228" w:rsidRPr="0017210F" w:rsidRDefault="006B257C" w:rsidP="009D6968">
            <w:pPr>
              <w:rPr>
                <w:rFonts w:asciiTheme="minorHAnsi" w:hAnsiTheme="minorHAnsi" w:cstheme="minorHAnsi"/>
                <w:sz w:val="17"/>
                <w:szCs w:val="17"/>
                <w:lang w:val="en-US"/>
              </w:rPr>
            </w:pPr>
            <w:r>
              <w:rPr>
                <w:rFonts w:asciiTheme="minorHAnsi" w:hAnsiTheme="minorHAnsi" w:cstheme="minorHAnsi"/>
                <w:sz w:val="17"/>
                <w:szCs w:val="17"/>
                <w:lang w:val="en-US"/>
              </w:rPr>
              <w:t>4</w:t>
            </w:r>
            <w:r w:rsidR="00E65228" w:rsidRPr="0017210F">
              <w:rPr>
                <w:rFonts w:asciiTheme="minorHAnsi" w:hAnsiTheme="minorHAnsi" w:cstheme="minorHAnsi"/>
                <w:sz w:val="17"/>
                <w:szCs w:val="17"/>
                <w:lang w:val="en-US"/>
              </w:rPr>
              <w:t xml:space="preserve"> participatory landscape monitoring plans (LDN-LMAPs) approved and under implementation (within the framework of their </w:t>
            </w:r>
            <w:r w:rsidR="00A12B39" w:rsidRPr="0017210F">
              <w:rPr>
                <w:rFonts w:asciiTheme="minorHAnsi" w:hAnsiTheme="minorHAnsi" w:cstheme="minorHAnsi"/>
                <w:sz w:val="17"/>
                <w:szCs w:val="17"/>
              </w:rPr>
              <w:t>ILUP</w:t>
            </w:r>
            <w:r w:rsidR="00E65228" w:rsidRPr="0017210F">
              <w:rPr>
                <w:rFonts w:asciiTheme="minorHAnsi" w:hAnsiTheme="minorHAnsi" w:cstheme="minorHAnsi"/>
                <w:sz w:val="17"/>
                <w:szCs w:val="17"/>
                <w:lang w:val="en-US"/>
              </w:rPr>
              <w:t xml:space="preserve"> implementation)</w:t>
            </w:r>
          </w:p>
        </w:tc>
        <w:tc>
          <w:tcPr>
            <w:tcW w:w="698" w:type="pct"/>
            <w:shd w:val="clear" w:color="auto" w:fill="auto"/>
          </w:tcPr>
          <w:p w14:paraId="30E3F693" w14:textId="77777777" w:rsidR="00E65228" w:rsidRPr="0017210F" w:rsidRDefault="00E65228" w:rsidP="009D6968">
            <w:pPr>
              <w:rPr>
                <w:rFonts w:asciiTheme="minorHAnsi" w:hAnsiTheme="minorHAnsi" w:cstheme="minorHAnsi"/>
                <w:sz w:val="17"/>
                <w:szCs w:val="17"/>
                <w:lang w:val="en-US"/>
              </w:rPr>
            </w:pPr>
            <w:r w:rsidRPr="0017210F">
              <w:rPr>
                <w:rFonts w:asciiTheme="minorHAnsi" w:hAnsiTheme="minorHAnsi" w:cstheme="minorHAnsi"/>
                <w:sz w:val="17"/>
                <w:szCs w:val="17"/>
                <w:lang w:val="en-US"/>
              </w:rPr>
              <w:t>- Participatory landscape monitoring plans</w:t>
            </w:r>
          </w:p>
          <w:p w14:paraId="34773893" w14:textId="77777777" w:rsidR="00E65228" w:rsidRPr="0017210F" w:rsidRDefault="00E65228" w:rsidP="009D6968">
            <w:pPr>
              <w:rPr>
                <w:rFonts w:asciiTheme="minorHAnsi" w:hAnsiTheme="minorHAnsi" w:cstheme="minorHAnsi"/>
                <w:sz w:val="17"/>
                <w:szCs w:val="17"/>
              </w:rPr>
            </w:pPr>
            <w:r w:rsidRPr="0017210F">
              <w:rPr>
                <w:rFonts w:asciiTheme="minorHAnsi" w:hAnsiTheme="minorHAnsi" w:cstheme="minorHAnsi"/>
                <w:sz w:val="17"/>
                <w:szCs w:val="17"/>
              </w:rPr>
              <w:t>- Project progress reports (PIR, FAO PPR)</w:t>
            </w:r>
          </w:p>
          <w:p w14:paraId="5CC22AB4" w14:textId="77777777" w:rsidR="00E65228" w:rsidRPr="0017210F" w:rsidRDefault="00E65228" w:rsidP="009D6968">
            <w:pPr>
              <w:rPr>
                <w:rFonts w:asciiTheme="minorHAnsi" w:hAnsiTheme="minorHAnsi" w:cstheme="minorHAnsi"/>
                <w:sz w:val="17"/>
                <w:szCs w:val="17"/>
              </w:rPr>
            </w:pPr>
            <w:r w:rsidRPr="0017210F">
              <w:rPr>
                <w:rFonts w:asciiTheme="minorHAnsi" w:hAnsiTheme="minorHAnsi" w:cstheme="minorHAnsi"/>
                <w:sz w:val="17"/>
                <w:szCs w:val="17"/>
              </w:rPr>
              <w:t>- District authority reports</w:t>
            </w:r>
          </w:p>
          <w:p w14:paraId="1FED2A49" w14:textId="77777777" w:rsidR="00E65228" w:rsidRPr="0017210F" w:rsidRDefault="00E65228" w:rsidP="009D6968">
            <w:pPr>
              <w:rPr>
                <w:rFonts w:asciiTheme="minorHAnsi" w:hAnsiTheme="minorHAnsi" w:cstheme="minorHAnsi"/>
                <w:sz w:val="17"/>
                <w:szCs w:val="17"/>
                <w:lang w:val="en-US"/>
              </w:rPr>
            </w:pPr>
          </w:p>
          <w:p w14:paraId="687C05C3" w14:textId="77777777" w:rsidR="00E65228" w:rsidRPr="0017210F" w:rsidRDefault="00E65228" w:rsidP="009D6968">
            <w:pPr>
              <w:rPr>
                <w:rFonts w:asciiTheme="minorHAnsi" w:hAnsiTheme="minorHAnsi" w:cstheme="minorHAnsi"/>
                <w:sz w:val="17"/>
                <w:szCs w:val="17"/>
                <w:lang w:val="en-US"/>
              </w:rPr>
            </w:pPr>
          </w:p>
        </w:tc>
        <w:tc>
          <w:tcPr>
            <w:tcW w:w="625" w:type="pct"/>
            <w:vMerge/>
          </w:tcPr>
          <w:p w14:paraId="78F60279" w14:textId="77777777" w:rsidR="00E65228" w:rsidRPr="0017210F" w:rsidRDefault="00E65228" w:rsidP="009D6968">
            <w:pPr>
              <w:rPr>
                <w:rFonts w:asciiTheme="minorHAnsi" w:hAnsiTheme="minorHAnsi" w:cstheme="minorHAnsi"/>
                <w:sz w:val="17"/>
                <w:szCs w:val="17"/>
              </w:rPr>
            </w:pPr>
          </w:p>
        </w:tc>
      </w:tr>
      <w:tr w:rsidR="00E65228" w:rsidRPr="0017210F" w14:paraId="7EEE604C" w14:textId="77777777" w:rsidTr="01B6467E">
        <w:trPr>
          <w:trHeight w:val="1202"/>
        </w:trPr>
        <w:tc>
          <w:tcPr>
            <w:tcW w:w="5000" w:type="pct"/>
            <w:gridSpan w:val="8"/>
            <w:shd w:val="clear" w:color="auto" w:fill="auto"/>
            <w:vAlign w:val="center"/>
          </w:tcPr>
          <w:p w14:paraId="27D9C7A1" w14:textId="77777777" w:rsidR="00E65228" w:rsidRPr="0017210F" w:rsidRDefault="00E65228" w:rsidP="009D6968">
            <w:pPr>
              <w:jc w:val="both"/>
              <w:rPr>
                <w:rFonts w:asciiTheme="minorHAnsi" w:hAnsiTheme="minorHAnsi" w:cstheme="minorHAnsi"/>
                <w:sz w:val="17"/>
                <w:szCs w:val="17"/>
              </w:rPr>
            </w:pPr>
            <w:r w:rsidRPr="0017210F">
              <w:rPr>
                <w:rFonts w:asciiTheme="minorHAnsi" w:hAnsiTheme="minorHAnsi" w:cstheme="minorHAnsi"/>
                <w:sz w:val="17"/>
                <w:szCs w:val="17"/>
              </w:rPr>
              <w:t>Output 3.1.1: National and sub-national LDN assessment, monitoring and reporting systems and tools, including LDN knowledge platform, developed and operational, with relevant reporting to global level</w:t>
            </w:r>
          </w:p>
          <w:p w14:paraId="68CC4134" w14:textId="77777777" w:rsidR="00E65228" w:rsidRPr="0017210F" w:rsidRDefault="00E65228" w:rsidP="009D6968">
            <w:pPr>
              <w:jc w:val="both"/>
              <w:rPr>
                <w:rFonts w:asciiTheme="minorHAnsi" w:hAnsiTheme="minorHAnsi" w:cstheme="minorHAnsi"/>
                <w:sz w:val="17"/>
                <w:szCs w:val="17"/>
              </w:rPr>
            </w:pPr>
            <w:r w:rsidRPr="0017210F">
              <w:rPr>
                <w:rFonts w:asciiTheme="minorHAnsi" w:hAnsiTheme="minorHAnsi" w:cstheme="minorHAnsi"/>
                <w:sz w:val="17"/>
                <w:szCs w:val="17"/>
              </w:rPr>
              <w:t>Output 3.1.2: Capacity development program for improving LDN assessment, monitoring and analysis among key stakeholders at national and sub-national levels to support national LDN reporting designed and delivered</w:t>
            </w:r>
          </w:p>
        </w:tc>
      </w:tr>
      <w:tr w:rsidR="00E65228" w:rsidRPr="0017210F" w14:paraId="699935A8" w14:textId="77777777" w:rsidTr="01B6467E">
        <w:trPr>
          <w:trHeight w:val="1550"/>
        </w:trPr>
        <w:tc>
          <w:tcPr>
            <w:tcW w:w="574" w:type="pct"/>
            <w:shd w:val="clear" w:color="auto" w:fill="auto"/>
          </w:tcPr>
          <w:p w14:paraId="19F13FD8" w14:textId="77777777" w:rsidR="00E65228" w:rsidRPr="0017210F" w:rsidRDefault="00E65228" w:rsidP="009D6968">
            <w:pPr>
              <w:rPr>
                <w:rFonts w:asciiTheme="minorHAnsi" w:hAnsiTheme="minorHAnsi" w:cstheme="minorHAnsi"/>
                <w:sz w:val="17"/>
                <w:szCs w:val="17"/>
              </w:rPr>
            </w:pPr>
            <w:r w:rsidRPr="0017210F">
              <w:rPr>
                <w:rFonts w:asciiTheme="minorHAnsi" w:hAnsiTheme="minorHAnsi" w:cstheme="minorHAnsi"/>
                <w:sz w:val="17"/>
                <w:szCs w:val="17"/>
              </w:rPr>
              <w:lastRenderedPageBreak/>
              <w:t xml:space="preserve">Outcome 3.2: Knowledge and awareness enhanced to support progress towards achievement of national LDN targets </w:t>
            </w:r>
          </w:p>
          <w:p w14:paraId="572AFB3D" w14:textId="77777777" w:rsidR="00E65228" w:rsidRPr="0017210F" w:rsidRDefault="00E65228" w:rsidP="009D6968">
            <w:pPr>
              <w:rPr>
                <w:rFonts w:asciiTheme="minorHAnsi" w:hAnsiTheme="minorHAnsi" w:cstheme="minorHAnsi"/>
                <w:sz w:val="17"/>
                <w:szCs w:val="17"/>
              </w:rPr>
            </w:pPr>
          </w:p>
          <w:p w14:paraId="26F52EB9" w14:textId="77777777" w:rsidR="00E65228" w:rsidRPr="0017210F" w:rsidRDefault="00E65228" w:rsidP="009D6968">
            <w:pPr>
              <w:rPr>
                <w:rFonts w:asciiTheme="minorHAnsi" w:hAnsiTheme="minorHAnsi" w:cstheme="minorHAnsi"/>
                <w:sz w:val="17"/>
                <w:szCs w:val="17"/>
              </w:rPr>
            </w:pPr>
          </w:p>
        </w:tc>
        <w:tc>
          <w:tcPr>
            <w:tcW w:w="1259" w:type="pct"/>
            <w:shd w:val="clear" w:color="auto" w:fill="auto"/>
          </w:tcPr>
          <w:p w14:paraId="270E47B3" w14:textId="77777777" w:rsidR="00E65228" w:rsidRPr="0017210F" w:rsidRDefault="00E65228" w:rsidP="009D6968">
            <w:pPr>
              <w:rPr>
                <w:rFonts w:asciiTheme="minorHAnsi" w:hAnsiTheme="minorHAnsi" w:cstheme="minorHAnsi"/>
                <w:iCs/>
                <w:sz w:val="17"/>
                <w:szCs w:val="17"/>
              </w:rPr>
            </w:pPr>
            <w:r w:rsidRPr="0017210F">
              <w:rPr>
                <w:rFonts w:asciiTheme="minorHAnsi" w:hAnsiTheme="minorHAnsi" w:cstheme="minorHAnsi"/>
                <w:iCs/>
                <w:sz w:val="17"/>
                <w:szCs w:val="17"/>
              </w:rPr>
              <w:t>4. Number of project knowledge products (</w:t>
            </w:r>
            <w:r w:rsidRPr="0017210F">
              <w:rPr>
                <w:rFonts w:asciiTheme="minorHAnsi" w:hAnsiTheme="minorHAnsi" w:cstheme="minorHAnsi"/>
                <w:sz w:val="17"/>
                <w:szCs w:val="17"/>
                <w:lang w:val="en-US"/>
              </w:rPr>
              <w:t>lessons learned/best practices, policy briefs, guidelines, etc)</w:t>
            </w:r>
            <w:r w:rsidRPr="0017210F">
              <w:rPr>
                <w:rFonts w:asciiTheme="minorHAnsi" w:hAnsiTheme="minorHAnsi" w:cstheme="minorHAnsi"/>
                <w:iCs/>
                <w:sz w:val="17"/>
                <w:szCs w:val="17"/>
              </w:rPr>
              <w:t xml:space="preserve"> accessible through:</w:t>
            </w:r>
          </w:p>
          <w:p w14:paraId="69E1655B" w14:textId="77777777" w:rsidR="00E65228" w:rsidRPr="0017210F" w:rsidRDefault="00E65228" w:rsidP="009D6968">
            <w:pPr>
              <w:rPr>
                <w:rFonts w:asciiTheme="minorHAnsi" w:hAnsiTheme="minorHAnsi" w:cstheme="minorHAnsi"/>
                <w:iCs/>
                <w:sz w:val="17"/>
                <w:szCs w:val="17"/>
              </w:rPr>
            </w:pPr>
            <w:r w:rsidRPr="0017210F">
              <w:rPr>
                <w:rFonts w:asciiTheme="minorHAnsi" w:hAnsiTheme="minorHAnsi" w:cstheme="minorHAnsi"/>
                <w:iCs/>
                <w:sz w:val="17"/>
                <w:szCs w:val="17"/>
              </w:rPr>
              <w:t>(a) National (LDN) platform</w:t>
            </w:r>
          </w:p>
          <w:p w14:paraId="06FA5144" w14:textId="77777777" w:rsidR="00E65228" w:rsidRPr="0017210F" w:rsidRDefault="00E65228" w:rsidP="009D6968">
            <w:pPr>
              <w:rPr>
                <w:rFonts w:asciiTheme="minorHAnsi" w:hAnsiTheme="minorHAnsi" w:cstheme="minorHAnsi"/>
                <w:sz w:val="17"/>
                <w:szCs w:val="17"/>
              </w:rPr>
            </w:pPr>
            <w:r w:rsidRPr="0017210F">
              <w:rPr>
                <w:rFonts w:asciiTheme="minorHAnsi" w:hAnsiTheme="minorHAnsi" w:cstheme="minorHAnsi"/>
                <w:iCs/>
                <w:sz w:val="17"/>
                <w:szCs w:val="17"/>
              </w:rPr>
              <w:t>(b) Regional and global platforms</w:t>
            </w:r>
          </w:p>
        </w:tc>
        <w:tc>
          <w:tcPr>
            <w:tcW w:w="647" w:type="pct"/>
            <w:gridSpan w:val="2"/>
            <w:shd w:val="clear" w:color="auto" w:fill="auto"/>
          </w:tcPr>
          <w:p w14:paraId="4C0C652F" w14:textId="77777777" w:rsidR="00E65228" w:rsidRPr="0017210F" w:rsidRDefault="00E65228" w:rsidP="009D6968">
            <w:pPr>
              <w:rPr>
                <w:rFonts w:asciiTheme="minorHAnsi" w:hAnsiTheme="minorHAnsi" w:cstheme="minorHAnsi"/>
                <w:sz w:val="17"/>
                <w:szCs w:val="17"/>
              </w:rPr>
            </w:pPr>
            <w:r w:rsidRPr="0017210F">
              <w:rPr>
                <w:rFonts w:asciiTheme="minorHAnsi" w:hAnsiTheme="minorHAnsi" w:cstheme="minorHAnsi"/>
                <w:sz w:val="17"/>
                <w:szCs w:val="17"/>
              </w:rPr>
              <w:t>None as project yet to begin.</w:t>
            </w:r>
          </w:p>
          <w:p w14:paraId="1292A0DB" w14:textId="77777777" w:rsidR="00E65228" w:rsidRPr="0017210F" w:rsidRDefault="00E65228" w:rsidP="009D6968">
            <w:pPr>
              <w:rPr>
                <w:rFonts w:asciiTheme="minorHAnsi" w:hAnsiTheme="minorHAnsi" w:cstheme="minorHAnsi"/>
                <w:sz w:val="17"/>
                <w:szCs w:val="17"/>
              </w:rPr>
            </w:pPr>
          </w:p>
          <w:p w14:paraId="1E31B0CD" w14:textId="77777777" w:rsidR="00E65228" w:rsidRPr="0017210F" w:rsidRDefault="00E65228" w:rsidP="009D6968">
            <w:pPr>
              <w:rPr>
                <w:rFonts w:asciiTheme="minorHAnsi" w:hAnsiTheme="minorHAnsi" w:cstheme="minorHAnsi"/>
                <w:sz w:val="17"/>
                <w:szCs w:val="17"/>
              </w:rPr>
            </w:pPr>
            <w:r w:rsidRPr="0017210F">
              <w:rPr>
                <w:rFonts w:asciiTheme="minorHAnsi" w:hAnsiTheme="minorHAnsi" w:cstheme="minorHAnsi"/>
                <w:sz w:val="17"/>
                <w:szCs w:val="17"/>
                <w:lang w:val="en-US"/>
              </w:rPr>
              <w:t>Information sharing is mainly happening face-to-face between sectors at the national level, and the data available on regional and global platform only covers part of the experience held in the targeted countries, and this information is not visible and accessible enough to many government and non-government stakeholders</w:t>
            </w:r>
          </w:p>
        </w:tc>
        <w:tc>
          <w:tcPr>
            <w:tcW w:w="549" w:type="pct"/>
            <w:shd w:val="clear" w:color="auto" w:fill="auto"/>
          </w:tcPr>
          <w:p w14:paraId="735867A2" w14:textId="45A49C8C" w:rsidR="00E65228" w:rsidRPr="0017210F" w:rsidRDefault="0015719C" w:rsidP="00252A69">
            <w:pPr>
              <w:jc w:val="center"/>
              <w:rPr>
                <w:rFonts w:asciiTheme="minorHAnsi" w:hAnsiTheme="minorHAnsi" w:cstheme="minorHAnsi"/>
                <w:sz w:val="17"/>
                <w:szCs w:val="17"/>
              </w:rPr>
            </w:pPr>
            <w:r>
              <w:rPr>
                <w:rFonts w:asciiTheme="minorHAnsi" w:hAnsiTheme="minorHAnsi" w:cstheme="minorHAnsi"/>
                <w:sz w:val="17"/>
                <w:szCs w:val="17"/>
              </w:rPr>
              <w:t>3</w:t>
            </w:r>
          </w:p>
          <w:p w14:paraId="218CB6C7" w14:textId="77777777" w:rsidR="00E65228" w:rsidRPr="0017210F" w:rsidRDefault="00E65228" w:rsidP="00252A69">
            <w:pPr>
              <w:jc w:val="center"/>
              <w:rPr>
                <w:rFonts w:asciiTheme="minorHAnsi" w:hAnsiTheme="minorHAnsi" w:cstheme="minorHAnsi"/>
                <w:sz w:val="17"/>
                <w:szCs w:val="17"/>
              </w:rPr>
            </w:pPr>
          </w:p>
          <w:p w14:paraId="2E4CACC3" w14:textId="77777777" w:rsidR="00E65228" w:rsidRPr="0017210F" w:rsidRDefault="00E65228" w:rsidP="00252A69">
            <w:pPr>
              <w:jc w:val="center"/>
              <w:rPr>
                <w:rFonts w:asciiTheme="minorHAnsi" w:hAnsiTheme="minorHAnsi" w:cstheme="minorHAnsi"/>
                <w:sz w:val="17"/>
                <w:szCs w:val="17"/>
              </w:rPr>
            </w:pPr>
          </w:p>
        </w:tc>
        <w:tc>
          <w:tcPr>
            <w:tcW w:w="648" w:type="pct"/>
            <w:shd w:val="clear" w:color="auto" w:fill="auto"/>
          </w:tcPr>
          <w:p w14:paraId="4E8C7EB8" w14:textId="7C15F23E" w:rsidR="00E65228" w:rsidRPr="0017210F" w:rsidRDefault="00C52FB3" w:rsidP="00252A69">
            <w:pPr>
              <w:jc w:val="center"/>
              <w:rPr>
                <w:rFonts w:asciiTheme="minorHAnsi" w:hAnsiTheme="minorHAnsi" w:cstheme="minorHAnsi"/>
                <w:sz w:val="17"/>
                <w:szCs w:val="17"/>
              </w:rPr>
            </w:pPr>
            <w:r>
              <w:rPr>
                <w:rFonts w:asciiTheme="minorHAnsi" w:hAnsiTheme="minorHAnsi" w:cstheme="minorHAnsi"/>
                <w:sz w:val="17"/>
                <w:szCs w:val="17"/>
              </w:rPr>
              <w:t>10</w:t>
            </w:r>
          </w:p>
        </w:tc>
        <w:tc>
          <w:tcPr>
            <w:tcW w:w="698" w:type="pct"/>
            <w:shd w:val="clear" w:color="auto" w:fill="auto"/>
          </w:tcPr>
          <w:p w14:paraId="7EE6366D" w14:textId="77777777" w:rsidR="00E65228" w:rsidRPr="0017210F" w:rsidRDefault="00E65228" w:rsidP="009D6968">
            <w:pPr>
              <w:rPr>
                <w:rFonts w:asciiTheme="minorHAnsi" w:hAnsiTheme="minorHAnsi" w:cstheme="minorHAnsi"/>
                <w:sz w:val="17"/>
                <w:szCs w:val="17"/>
              </w:rPr>
            </w:pPr>
            <w:r w:rsidRPr="0017210F">
              <w:rPr>
                <w:rFonts w:asciiTheme="minorHAnsi" w:hAnsiTheme="minorHAnsi" w:cstheme="minorHAnsi"/>
                <w:sz w:val="17"/>
                <w:szCs w:val="17"/>
              </w:rPr>
              <w:t>- Annual report of national LDN platform with statistics on downloads of project knowledge documents</w:t>
            </w:r>
          </w:p>
          <w:p w14:paraId="60C2EEC7" w14:textId="77777777" w:rsidR="00E65228" w:rsidRPr="0017210F" w:rsidRDefault="00E65228" w:rsidP="009D6968">
            <w:pPr>
              <w:rPr>
                <w:rFonts w:asciiTheme="minorHAnsi" w:hAnsiTheme="minorHAnsi" w:cstheme="minorHAnsi"/>
                <w:sz w:val="17"/>
                <w:szCs w:val="17"/>
              </w:rPr>
            </w:pPr>
            <w:r w:rsidRPr="0017210F">
              <w:rPr>
                <w:rFonts w:asciiTheme="minorHAnsi" w:hAnsiTheme="minorHAnsi" w:cstheme="minorHAnsi"/>
                <w:sz w:val="17"/>
                <w:szCs w:val="17"/>
              </w:rPr>
              <w:t>- Project progress reports (PIR, FAO PPR)</w:t>
            </w:r>
          </w:p>
          <w:p w14:paraId="314F39D0" w14:textId="77777777" w:rsidR="00E65228" w:rsidRPr="0017210F" w:rsidRDefault="00E65228" w:rsidP="009D6968">
            <w:pPr>
              <w:rPr>
                <w:rFonts w:asciiTheme="minorHAnsi" w:hAnsiTheme="minorHAnsi" w:cstheme="minorHAnsi"/>
                <w:sz w:val="17"/>
                <w:szCs w:val="17"/>
              </w:rPr>
            </w:pPr>
          </w:p>
          <w:p w14:paraId="47699B28" w14:textId="77777777" w:rsidR="00E65228" w:rsidRPr="0017210F" w:rsidRDefault="00E65228" w:rsidP="009D6968">
            <w:pPr>
              <w:rPr>
                <w:rFonts w:asciiTheme="minorHAnsi" w:hAnsiTheme="minorHAnsi" w:cstheme="minorHAnsi"/>
                <w:sz w:val="17"/>
                <w:szCs w:val="17"/>
              </w:rPr>
            </w:pPr>
          </w:p>
        </w:tc>
        <w:tc>
          <w:tcPr>
            <w:tcW w:w="625" w:type="pct"/>
            <w:vMerge w:val="restart"/>
            <w:shd w:val="clear" w:color="auto" w:fill="auto"/>
          </w:tcPr>
          <w:p w14:paraId="39722905" w14:textId="77777777" w:rsidR="00E65228" w:rsidRPr="0017210F" w:rsidRDefault="00E65228" w:rsidP="009D6968">
            <w:pPr>
              <w:rPr>
                <w:rFonts w:asciiTheme="minorHAnsi" w:hAnsiTheme="minorHAnsi" w:cstheme="minorHAnsi"/>
                <w:sz w:val="17"/>
                <w:szCs w:val="17"/>
              </w:rPr>
            </w:pPr>
            <w:r w:rsidRPr="0017210F">
              <w:rPr>
                <w:rFonts w:asciiTheme="minorHAnsi" w:hAnsiTheme="minorHAnsi" w:cstheme="minorHAnsi"/>
                <w:sz w:val="17"/>
                <w:szCs w:val="17"/>
              </w:rPr>
              <w:t xml:space="preserve">Decision-making continues to be informed on evidence </w:t>
            </w:r>
          </w:p>
          <w:p w14:paraId="6B9C7656" w14:textId="77777777" w:rsidR="00E65228" w:rsidRPr="0017210F" w:rsidRDefault="00E65228" w:rsidP="009D6968">
            <w:pPr>
              <w:rPr>
                <w:rFonts w:asciiTheme="minorHAnsi" w:hAnsiTheme="minorHAnsi" w:cstheme="minorHAnsi"/>
                <w:sz w:val="17"/>
                <w:szCs w:val="17"/>
              </w:rPr>
            </w:pPr>
          </w:p>
          <w:p w14:paraId="6C74B30E" w14:textId="77777777" w:rsidR="00E65228" w:rsidRPr="0017210F" w:rsidRDefault="00E65228" w:rsidP="009D6968">
            <w:pPr>
              <w:rPr>
                <w:rFonts w:asciiTheme="minorHAnsi" w:hAnsiTheme="minorHAnsi" w:cstheme="minorHAnsi"/>
                <w:sz w:val="17"/>
                <w:szCs w:val="17"/>
              </w:rPr>
            </w:pPr>
            <w:r w:rsidRPr="0017210F">
              <w:rPr>
                <w:rFonts w:asciiTheme="minorHAnsi" w:hAnsiTheme="minorHAnsi" w:cstheme="minorHAnsi"/>
                <w:sz w:val="17"/>
                <w:szCs w:val="17"/>
              </w:rPr>
              <w:t>Willingness of project stakeholders (particularly government authorities) to engage with adaptive management processes and make changes based on lesson learned and best practices for LDN identified by project and DSL-IP</w:t>
            </w:r>
          </w:p>
          <w:p w14:paraId="54061CFE" w14:textId="77777777" w:rsidR="00E65228" w:rsidRPr="0017210F" w:rsidRDefault="00E65228" w:rsidP="009D6968">
            <w:pPr>
              <w:rPr>
                <w:rFonts w:asciiTheme="minorHAnsi" w:hAnsiTheme="minorHAnsi" w:cstheme="minorHAnsi"/>
                <w:sz w:val="17"/>
                <w:szCs w:val="17"/>
              </w:rPr>
            </w:pPr>
          </w:p>
          <w:p w14:paraId="09930E53" w14:textId="77777777" w:rsidR="00E65228" w:rsidRPr="0017210F" w:rsidRDefault="00E65228" w:rsidP="009D6968">
            <w:pPr>
              <w:rPr>
                <w:rFonts w:asciiTheme="minorHAnsi" w:hAnsiTheme="minorHAnsi" w:cstheme="minorHAnsi"/>
                <w:sz w:val="17"/>
                <w:szCs w:val="17"/>
              </w:rPr>
            </w:pPr>
          </w:p>
        </w:tc>
      </w:tr>
      <w:tr w:rsidR="00E65228" w:rsidRPr="0017210F" w14:paraId="6E5EB971" w14:textId="77777777" w:rsidTr="01B6467E">
        <w:trPr>
          <w:trHeight w:val="971"/>
        </w:trPr>
        <w:tc>
          <w:tcPr>
            <w:tcW w:w="574" w:type="pct"/>
            <w:tcBorders>
              <w:top w:val="single" w:sz="4" w:space="0" w:color="auto"/>
              <w:left w:val="single" w:sz="4" w:space="0" w:color="auto"/>
              <w:bottom w:val="single" w:sz="4" w:space="0" w:color="auto"/>
              <w:right w:val="single" w:sz="4" w:space="0" w:color="auto"/>
            </w:tcBorders>
            <w:shd w:val="clear" w:color="auto" w:fill="auto"/>
          </w:tcPr>
          <w:p w14:paraId="35AC4E04" w14:textId="77777777" w:rsidR="00E65228" w:rsidRPr="0017210F" w:rsidRDefault="00E65228" w:rsidP="009D6968">
            <w:pPr>
              <w:rPr>
                <w:rFonts w:asciiTheme="minorHAnsi" w:hAnsiTheme="minorHAnsi" w:cstheme="minorHAnsi"/>
                <w:sz w:val="17"/>
                <w:szCs w:val="17"/>
              </w:rPr>
            </w:pPr>
          </w:p>
        </w:tc>
        <w:tc>
          <w:tcPr>
            <w:tcW w:w="1259" w:type="pct"/>
            <w:tcBorders>
              <w:top w:val="single" w:sz="4" w:space="0" w:color="auto"/>
              <w:left w:val="single" w:sz="4" w:space="0" w:color="auto"/>
              <w:bottom w:val="single" w:sz="4" w:space="0" w:color="auto"/>
              <w:right w:val="single" w:sz="4" w:space="0" w:color="auto"/>
            </w:tcBorders>
            <w:shd w:val="clear" w:color="auto" w:fill="auto"/>
          </w:tcPr>
          <w:p w14:paraId="2E39BD15" w14:textId="77777777" w:rsidR="00E65228" w:rsidRPr="0017210F" w:rsidRDefault="00E65228" w:rsidP="009D6968">
            <w:pPr>
              <w:rPr>
                <w:rFonts w:asciiTheme="minorHAnsi" w:hAnsiTheme="minorHAnsi" w:cstheme="minorHAnsi"/>
                <w:sz w:val="17"/>
                <w:szCs w:val="17"/>
              </w:rPr>
            </w:pPr>
            <w:r w:rsidRPr="0017210F">
              <w:rPr>
                <w:rFonts w:asciiTheme="minorHAnsi" w:hAnsiTheme="minorHAnsi" w:cstheme="minorHAnsi"/>
                <w:sz w:val="17"/>
                <w:szCs w:val="17"/>
              </w:rPr>
              <w:t>5. Child project knowledge products (policy briefs, guidelines, best practice recommendations, etc) referenced/cited in national LDN-related policy and planning forums and decision documents and by stakeholder publications (including government and private sector, CSO/NGO community)</w:t>
            </w:r>
          </w:p>
        </w:tc>
        <w:tc>
          <w:tcPr>
            <w:tcW w:w="647" w:type="pct"/>
            <w:gridSpan w:val="2"/>
            <w:tcBorders>
              <w:top w:val="single" w:sz="4" w:space="0" w:color="auto"/>
              <w:left w:val="single" w:sz="4" w:space="0" w:color="auto"/>
              <w:bottom w:val="single" w:sz="4" w:space="0" w:color="auto"/>
              <w:right w:val="single" w:sz="4" w:space="0" w:color="auto"/>
            </w:tcBorders>
            <w:shd w:val="clear" w:color="auto" w:fill="auto"/>
          </w:tcPr>
          <w:p w14:paraId="781788FF" w14:textId="77777777" w:rsidR="00E65228" w:rsidRPr="0017210F" w:rsidRDefault="00E65228" w:rsidP="009D6968">
            <w:pPr>
              <w:rPr>
                <w:rFonts w:asciiTheme="minorHAnsi" w:hAnsiTheme="minorHAnsi" w:cstheme="minorHAnsi"/>
                <w:sz w:val="17"/>
                <w:szCs w:val="17"/>
              </w:rPr>
            </w:pPr>
            <w:r w:rsidRPr="0017210F">
              <w:rPr>
                <w:rFonts w:asciiTheme="minorHAnsi" w:hAnsiTheme="minorHAnsi" w:cstheme="minorHAnsi"/>
                <w:sz w:val="17"/>
                <w:szCs w:val="17"/>
              </w:rPr>
              <w:t>Each child project design team to complete</w:t>
            </w:r>
          </w:p>
        </w:tc>
        <w:tc>
          <w:tcPr>
            <w:tcW w:w="549" w:type="pct"/>
            <w:tcBorders>
              <w:top w:val="single" w:sz="4" w:space="0" w:color="auto"/>
              <w:left w:val="single" w:sz="4" w:space="0" w:color="auto"/>
              <w:bottom w:val="single" w:sz="4" w:space="0" w:color="auto"/>
              <w:right w:val="single" w:sz="4" w:space="0" w:color="auto"/>
            </w:tcBorders>
            <w:shd w:val="clear" w:color="auto" w:fill="auto"/>
          </w:tcPr>
          <w:p w14:paraId="39EF8B95" w14:textId="6F440984" w:rsidR="00E65228" w:rsidRPr="0017210F" w:rsidRDefault="001E304D" w:rsidP="00252A69">
            <w:pPr>
              <w:jc w:val="center"/>
              <w:rPr>
                <w:rFonts w:asciiTheme="minorHAnsi" w:hAnsiTheme="minorHAnsi" w:cstheme="minorHAnsi"/>
                <w:sz w:val="17"/>
                <w:szCs w:val="17"/>
              </w:rPr>
            </w:pPr>
            <w:r>
              <w:rPr>
                <w:rFonts w:asciiTheme="minorHAnsi" w:hAnsiTheme="minorHAnsi" w:cstheme="minorHAnsi"/>
                <w:sz w:val="17"/>
                <w:szCs w:val="17"/>
              </w:rPr>
              <w:t>10</w:t>
            </w:r>
          </w:p>
        </w:tc>
        <w:tc>
          <w:tcPr>
            <w:tcW w:w="648" w:type="pct"/>
            <w:tcBorders>
              <w:top w:val="single" w:sz="4" w:space="0" w:color="auto"/>
              <w:left w:val="single" w:sz="4" w:space="0" w:color="auto"/>
              <w:bottom w:val="single" w:sz="4" w:space="0" w:color="auto"/>
              <w:right w:val="single" w:sz="4" w:space="0" w:color="auto"/>
            </w:tcBorders>
            <w:shd w:val="clear" w:color="auto" w:fill="auto"/>
          </w:tcPr>
          <w:p w14:paraId="35CAB12A" w14:textId="77C65C2A" w:rsidR="00E65228" w:rsidRPr="0017210F" w:rsidRDefault="00D71E89" w:rsidP="00252A69">
            <w:pPr>
              <w:jc w:val="center"/>
              <w:rPr>
                <w:rFonts w:asciiTheme="minorHAnsi" w:hAnsiTheme="minorHAnsi" w:cstheme="minorHAnsi"/>
                <w:sz w:val="17"/>
                <w:szCs w:val="17"/>
              </w:rPr>
            </w:pPr>
            <w:r>
              <w:rPr>
                <w:rFonts w:asciiTheme="minorHAnsi" w:hAnsiTheme="minorHAnsi" w:cstheme="minorHAnsi"/>
                <w:sz w:val="17"/>
                <w:szCs w:val="17"/>
              </w:rPr>
              <w:t>25</w:t>
            </w:r>
          </w:p>
        </w:tc>
        <w:tc>
          <w:tcPr>
            <w:tcW w:w="698" w:type="pct"/>
            <w:tcBorders>
              <w:top w:val="single" w:sz="4" w:space="0" w:color="auto"/>
              <w:left w:val="single" w:sz="4" w:space="0" w:color="auto"/>
              <w:bottom w:val="single" w:sz="4" w:space="0" w:color="auto"/>
            </w:tcBorders>
            <w:shd w:val="clear" w:color="auto" w:fill="auto"/>
          </w:tcPr>
          <w:p w14:paraId="3BFB7086" w14:textId="77777777" w:rsidR="00E65228" w:rsidRPr="0017210F" w:rsidRDefault="00E65228" w:rsidP="009D6968">
            <w:pPr>
              <w:rPr>
                <w:rFonts w:asciiTheme="minorHAnsi" w:hAnsiTheme="minorHAnsi" w:cstheme="minorHAnsi"/>
                <w:sz w:val="17"/>
                <w:szCs w:val="17"/>
              </w:rPr>
            </w:pPr>
            <w:r w:rsidRPr="0017210F">
              <w:rPr>
                <w:rFonts w:asciiTheme="minorHAnsi" w:hAnsiTheme="minorHAnsi" w:cstheme="minorHAnsi"/>
                <w:sz w:val="17"/>
                <w:szCs w:val="17"/>
              </w:rPr>
              <w:t>- Policy and planning documents</w:t>
            </w:r>
          </w:p>
          <w:p w14:paraId="38189D78" w14:textId="77777777" w:rsidR="00E65228" w:rsidRPr="0017210F" w:rsidRDefault="00E65228" w:rsidP="009D6968">
            <w:pPr>
              <w:rPr>
                <w:rFonts w:asciiTheme="minorHAnsi" w:hAnsiTheme="minorHAnsi" w:cstheme="minorHAnsi"/>
                <w:sz w:val="17"/>
                <w:szCs w:val="17"/>
              </w:rPr>
            </w:pPr>
            <w:r w:rsidRPr="0017210F">
              <w:rPr>
                <w:rFonts w:asciiTheme="minorHAnsi" w:hAnsiTheme="minorHAnsi" w:cstheme="minorHAnsi"/>
                <w:sz w:val="17"/>
                <w:szCs w:val="17"/>
              </w:rPr>
              <w:t>- Minutes of meetings of relevant decision-making forums</w:t>
            </w:r>
          </w:p>
          <w:p w14:paraId="235DE7CD" w14:textId="77777777" w:rsidR="00E65228" w:rsidRPr="0017210F" w:rsidRDefault="00E65228" w:rsidP="009D6968">
            <w:pPr>
              <w:rPr>
                <w:rFonts w:asciiTheme="minorHAnsi" w:hAnsiTheme="minorHAnsi" w:cstheme="minorHAnsi"/>
                <w:sz w:val="17"/>
                <w:szCs w:val="17"/>
              </w:rPr>
            </w:pPr>
            <w:r w:rsidRPr="0017210F">
              <w:rPr>
                <w:rFonts w:asciiTheme="minorHAnsi" w:hAnsiTheme="minorHAnsi" w:cstheme="minorHAnsi"/>
                <w:sz w:val="17"/>
                <w:szCs w:val="17"/>
              </w:rPr>
              <w:t>- Institutional (public and private) press releases, reports, etc.</w:t>
            </w:r>
          </w:p>
          <w:p w14:paraId="649269D4" w14:textId="77777777" w:rsidR="00E65228" w:rsidRPr="0017210F" w:rsidRDefault="00E65228" w:rsidP="009D6968">
            <w:pPr>
              <w:rPr>
                <w:rFonts w:asciiTheme="minorHAnsi" w:hAnsiTheme="minorHAnsi" w:cstheme="minorHAnsi"/>
                <w:sz w:val="17"/>
                <w:szCs w:val="17"/>
              </w:rPr>
            </w:pPr>
            <w:r w:rsidRPr="0017210F">
              <w:rPr>
                <w:rFonts w:asciiTheme="minorHAnsi" w:hAnsiTheme="minorHAnsi" w:cstheme="minorHAnsi"/>
                <w:sz w:val="17"/>
                <w:szCs w:val="17"/>
              </w:rPr>
              <w:t>- Reports on events e.g. commodity value chain events</w:t>
            </w:r>
          </w:p>
          <w:p w14:paraId="5FF2D95C" w14:textId="77777777" w:rsidR="00E65228" w:rsidRPr="0017210F" w:rsidRDefault="00E65228" w:rsidP="009D6968">
            <w:pPr>
              <w:rPr>
                <w:rFonts w:asciiTheme="minorHAnsi" w:hAnsiTheme="minorHAnsi" w:cstheme="minorHAnsi"/>
                <w:sz w:val="17"/>
                <w:szCs w:val="17"/>
              </w:rPr>
            </w:pPr>
          </w:p>
        </w:tc>
        <w:tc>
          <w:tcPr>
            <w:tcW w:w="625" w:type="pct"/>
            <w:vMerge/>
          </w:tcPr>
          <w:p w14:paraId="0289751E" w14:textId="77777777" w:rsidR="00E65228" w:rsidRPr="0017210F" w:rsidRDefault="00E65228" w:rsidP="009D6968">
            <w:pPr>
              <w:rPr>
                <w:rFonts w:asciiTheme="minorHAnsi" w:hAnsiTheme="minorHAnsi" w:cstheme="minorHAnsi"/>
                <w:sz w:val="17"/>
                <w:szCs w:val="17"/>
              </w:rPr>
            </w:pPr>
          </w:p>
        </w:tc>
      </w:tr>
      <w:tr w:rsidR="00E65228" w:rsidRPr="0017210F" w14:paraId="78CA2138" w14:textId="77777777" w:rsidTr="01B6467E">
        <w:trPr>
          <w:trHeight w:val="1550"/>
        </w:trPr>
        <w:tc>
          <w:tcPr>
            <w:tcW w:w="574" w:type="pct"/>
            <w:tcBorders>
              <w:top w:val="single" w:sz="4" w:space="0" w:color="auto"/>
              <w:left w:val="single" w:sz="4" w:space="0" w:color="auto"/>
              <w:bottom w:val="single" w:sz="4" w:space="0" w:color="auto"/>
              <w:right w:val="single" w:sz="4" w:space="0" w:color="auto"/>
            </w:tcBorders>
            <w:shd w:val="clear" w:color="auto" w:fill="auto"/>
          </w:tcPr>
          <w:p w14:paraId="42FD1113" w14:textId="77777777" w:rsidR="00E65228" w:rsidRPr="0017210F" w:rsidRDefault="00E65228" w:rsidP="009D6968">
            <w:pPr>
              <w:rPr>
                <w:rFonts w:asciiTheme="minorHAnsi" w:hAnsiTheme="minorHAnsi" w:cstheme="minorHAnsi"/>
                <w:sz w:val="17"/>
                <w:szCs w:val="17"/>
              </w:rPr>
            </w:pPr>
          </w:p>
        </w:tc>
        <w:tc>
          <w:tcPr>
            <w:tcW w:w="1259" w:type="pct"/>
            <w:tcBorders>
              <w:top w:val="single" w:sz="4" w:space="0" w:color="auto"/>
              <w:left w:val="single" w:sz="4" w:space="0" w:color="auto"/>
              <w:bottom w:val="single" w:sz="4" w:space="0" w:color="auto"/>
              <w:right w:val="single" w:sz="4" w:space="0" w:color="auto"/>
            </w:tcBorders>
            <w:shd w:val="clear" w:color="auto" w:fill="auto"/>
          </w:tcPr>
          <w:p w14:paraId="0184DB66" w14:textId="77777777" w:rsidR="00E65228" w:rsidRPr="0017210F" w:rsidRDefault="00E65228" w:rsidP="009D6968">
            <w:pPr>
              <w:rPr>
                <w:rFonts w:asciiTheme="minorHAnsi" w:hAnsiTheme="minorHAnsi" w:cstheme="minorHAnsi"/>
                <w:sz w:val="17"/>
                <w:szCs w:val="17"/>
              </w:rPr>
            </w:pPr>
            <w:r w:rsidRPr="0017210F">
              <w:rPr>
                <w:rFonts w:asciiTheme="minorHAnsi" w:hAnsiTheme="minorHAnsi" w:cstheme="minorHAnsi"/>
                <w:sz w:val="17"/>
                <w:szCs w:val="17"/>
              </w:rPr>
              <w:t xml:space="preserve">6. Project M&amp;E system established and reporting project contributions to GEF-7, LDN and SDG targets </w:t>
            </w:r>
          </w:p>
        </w:tc>
        <w:tc>
          <w:tcPr>
            <w:tcW w:w="647" w:type="pct"/>
            <w:gridSpan w:val="2"/>
            <w:tcBorders>
              <w:top w:val="single" w:sz="4" w:space="0" w:color="auto"/>
              <w:left w:val="single" w:sz="4" w:space="0" w:color="auto"/>
              <w:bottom w:val="single" w:sz="4" w:space="0" w:color="auto"/>
              <w:right w:val="single" w:sz="4" w:space="0" w:color="auto"/>
            </w:tcBorders>
            <w:shd w:val="clear" w:color="auto" w:fill="auto"/>
          </w:tcPr>
          <w:p w14:paraId="60E19532" w14:textId="77777777" w:rsidR="00E65228" w:rsidRPr="0017210F" w:rsidRDefault="00E65228" w:rsidP="009D6968">
            <w:pPr>
              <w:rPr>
                <w:rFonts w:asciiTheme="minorHAnsi" w:hAnsiTheme="minorHAnsi" w:cstheme="minorHAnsi"/>
                <w:sz w:val="17"/>
                <w:szCs w:val="17"/>
              </w:rPr>
            </w:pPr>
            <w:r w:rsidRPr="0017210F">
              <w:rPr>
                <w:rFonts w:asciiTheme="minorHAnsi" w:hAnsiTheme="minorHAnsi" w:cstheme="minorHAnsi"/>
                <w:sz w:val="17"/>
                <w:szCs w:val="17"/>
              </w:rPr>
              <w:t>No M&amp;E system established as project not yet operational</w:t>
            </w:r>
          </w:p>
        </w:tc>
        <w:tc>
          <w:tcPr>
            <w:tcW w:w="549" w:type="pct"/>
            <w:tcBorders>
              <w:top w:val="single" w:sz="4" w:space="0" w:color="auto"/>
              <w:left w:val="single" w:sz="4" w:space="0" w:color="auto"/>
              <w:bottom w:val="single" w:sz="4" w:space="0" w:color="auto"/>
              <w:right w:val="single" w:sz="4" w:space="0" w:color="auto"/>
            </w:tcBorders>
            <w:shd w:val="clear" w:color="auto" w:fill="auto"/>
          </w:tcPr>
          <w:p w14:paraId="49258165" w14:textId="77777777" w:rsidR="00E65228" w:rsidRPr="0017210F" w:rsidRDefault="00E65228" w:rsidP="009D6968">
            <w:pPr>
              <w:rPr>
                <w:rFonts w:asciiTheme="minorHAnsi" w:hAnsiTheme="minorHAnsi" w:cstheme="minorHAnsi"/>
                <w:sz w:val="17"/>
                <w:szCs w:val="17"/>
              </w:rPr>
            </w:pPr>
            <w:r w:rsidRPr="0017210F">
              <w:rPr>
                <w:rFonts w:asciiTheme="minorHAnsi" w:hAnsiTheme="minorHAnsi" w:cstheme="minorHAnsi"/>
                <w:sz w:val="17"/>
                <w:szCs w:val="17"/>
              </w:rPr>
              <w:t>M&amp;E system operational and reporting on results framework targets and Mid-term Review underway</w:t>
            </w:r>
          </w:p>
        </w:tc>
        <w:tc>
          <w:tcPr>
            <w:tcW w:w="648" w:type="pct"/>
            <w:tcBorders>
              <w:top w:val="single" w:sz="4" w:space="0" w:color="auto"/>
              <w:left w:val="single" w:sz="4" w:space="0" w:color="auto"/>
              <w:bottom w:val="single" w:sz="4" w:space="0" w:color="auto"/>
              <w:right w:val="single" w:sz="4" w:space="0" w:color="auto"/>
            </w:tcBorders>
            <w:shd w:val="clear" w:color="auto" w:fill="auto"/>
          </w:tcPr>
          <w:p w14:paraId="3EE1EA04" w14:textId="77777777" w:rsidR="00E65228" w:rsidRPr="0017210F" w:rsidRDefault="00E65228" w:rsidP="009D6968">
            <w:pPr>
              <w:rPr>
                <w:rFonts w:asciiTheme="minorHAnsi" w:hAnsiTheme="minorHAnsi" w:cstheme="minorHAnsi"/>
                <w:sz w:val="17"/>
                <w:szCs w:val="17"/>
              </w:rPr>
            </w:pPr>
            <w:r w:rsidRPr="0017210F">
              <w:rPr>
                <w:rFonts w:asciiTheme="minorHAnsi" w:hAnsiTheme="minorHAnsi" w:cstheme="minorHAnsi"/>
                <w:sz w:val="17"/>
                <w:szCs w:val="17"/>
              </w:rPr>
              <w:t>Project M&amp;E and reporting on project contribution to GEF-7, LDN and SDG indicator targets</w:t>
            </w:r>
          </w:p>
        </w:tc>
        <w:tc>
          <w:tcPr>
            <w:tcW w:w="698" w:type="pct"/>
            <w:tcBorders>
              <w:top w:val="single" w:sz="4" w:space="0" w:color="auto"/>
              <w:left w:val="single" w:sz="4" w:space="0" w:color="auto"/>
              <w:bottom w:val="single" w:sz="4" w:space="0" w:color="auto"/>
            </w:tcBorders>
            <w:shd w:val="clear" w:color="auto" w:fill="auto"/>
          </w:tcPr>
          <w:p w14:paraId="7BDB6BA0" w14:textId="77777777" w:rsidR="00E65228" w:rsidRPr="0017210F" w:rsidRDefault="00E65228" w:rsidP="009D6968">
            <w:pPr>
              <w:rPr>
                <w:rFonts w:asciiTheme="minorHAnsi" w:hAnsiTheme="minorHAnsi" w:cstheme="minorHAnsi"/>
                <w:sz w:val="17"/>
                <w:szCs w:val="17"/>
              </w:rPr>
            </w:pPr>
            <w:r w:rsidRPr="0017210F">
              <w:rPr>
                <w:rFonts w:asciiTheme="minorHAnsi" w:hAnsiTheme="minorHAnsi" w:cstheme="minorHAnsi"/>
                <w:sz w:val="17"/>
                <w:szCs w:val="17"/>
              </w:rPr>
              <w:t>- MTR and TE reports</w:t>
            </w:r>
          </w:p>
          <w:p w14:paraId="2BBCC09A" w14:textId="77777777" w:rsidR="00E65228" w:rsidRPr="0017210F" w:rsidRDefault="00E65228" w:rsidP="009D6968">
            <w:pPr>
              <w:rPr>
                <w:rFonts w:asciiTheme="minorHAnsi" w:hAnsiTheme="minorHAnsi" w:cstheme="minorHAnsi"/>
                <w:sz w:val="17"/>
                <w:szCs w:val="17"/>
              </w:rPr>
            </w:pPr>
            <w:r w:rsidRPr="0017210F">
              <w:rPr>
                <w:rFonts w:asciiTheme="minorHAnsi" w:hAnsiTheme="minorHAnsi" w:cstheme="minorHAnsi"/>
                <w:sz w:val="17"/>
                <w:szCs w:val="17"/>
              </w:rPr>
              <w:t>- Annual PIR and 6-monthly FAO PPR</w:t>
            </w:r>
          </w:p>
          <w:p w14:paraId="0335A7F2" w14:textId="77777777" w:rsidR="00E65228" w:rsidRPr="0017210F" w:rsidRDefault="00E65228" w:rsidP="009D6968">
            <w:pPr>
              <w:rPr>
                <w:rFonts w:asciiTheme="minorHAnsi" w:hAnsiTheme="minorHAnsi" w:cstheme="minorHAnsi"/>
                <w:sz w:val="17"/>
                <w:szCs w:val="17"/>
              </w:rPr>
            </w:pPr>
            <w:r w:rsidRPr="0017210F">
              <w:rPr>
                <w:rFonts w:asciiTheme="minorHAnsi" w:hAnsiTheme="minorHAnsi" w:cstheme="minorHAnsi"/>
                <w:sz w:val="17"/>
                <w:szCs w:val="17"/>
              </w:rPr>
              <w:t>- Project communication documents and briefs</w:t>
            </w:r>
          </w:p>
        </w:tc>
        <w:tc>
          <w:tcPr>
            <w:tcW w:w="625" w:type="pct"/>
            <w:vMerge/>
          </w:tcPr>
          <w:p w14:paraId="3C7893C8" w14:textId="77777777" w:rsidR="00E65228" w:rsidRPr="0017210F" w:rsidRDefault="00E65228" w:rsidP="009D6968">
            <w:pPr>
              <w:rPr>
                <w:rFonts w:asciiTheme="minorHAnsi" w:hAnsiTheme="minorHAnsi" w:cstheme="minorHAnsi"/>
                <w:sz w:val="17"/>
                <w:szCs w:val="17"/>
              </w:rPr>
            </w:pPr>
          </w:p>
        </w:tc>
      </w:tr>
      <w:tr w:rsidR="00E65228" w:rsidRPr="0017210F" w14:paraId="4926C644" w14:textId="77777777" w:rsidTr="01B6467E">
        <w:trPr>
          <w:trHeight w:val="687"/>
        </w:trPr>
        <w:tc>
          <w:tcPr>
            <w:tcW w:w="5000" w:type="pct"/>
            <w:gridSpan w:val="8"/>
            <w:shd w:val="clear" w:color="auto" w:fill="auto"/>
          </w:tcPr>
          <w:p w14:paraId="7D694FB6" w14:textId="77777777" w:rsidR="00E65228" w:rsidRPr="0017210F" w:rsidRDefault="00E65228" w:rsidP="009D6968">
            <w:pPr>
              <w:rPr>
                <w:rFonts w:asciiTheme="minorHAnsi" w:hAnsiTheme="minorHAnsi" w:cstheme="minorHAnsi"/>
                <w:sz w:val="17"/>
                <w:szCs w:val="17"/>
              </w:rPr>
            </w:pPr>
          </w:p>
          <w:p w14:paraId="4C23E863" w14:textId="77777777" w:rsidR="00E65228" w:rsidRPr="0017210F" w:rsidRDefault="00E65228" w:rsidP="009D6968">
            <w:pPr>
              <w:rPr>
                <w:rFonts w:asciiTheme="minorHAnsi" w:hAnsiTheme="minorHAnsi" w:cstheme="minorHAnsi"/>
                <w:sz w:val="17"/>
                <w:szCs w:val="17"/>
              </w:rPr>
            </w:pPr>
            <w:r w:rsidRPr="0017210F">
              <w:rPr>
                <w:rFonts w:asciiTheme="minorHAnsi" w:hAnsiTheme="minorHAnsi" w:cstheme="minorHAnsi"/>
                <w:sz w:val="17"/>
                <w:szCs w:val="17"/>
              </w:rPr>
              <w:t xml:space="preserve">Output 3.2.1: Project knowledge management, communication and dissemination framework and strategy developed and implemented </w:t>
            </w:r>
          </w:p>
          <w:p w14:paraId="1896EDC4" w14:textId="77777777" w:rsidR="00E65228" w:rsidRPr="0017210F" w:rsidRDefault="00E65228" w:rsidP="009D6968">
            <w:pPr>
              <w:rPr>
                <w:rFonts w:asciiTheme="minorHAnsi" w:hAnsiTheme="minorHAnsi" w:cstheme="minorHAnsi"/>
                <w:sz w:val="17"/>
                <w:szCs w:val="17"/>
              </w:rPr>
            </w:pPr>
            <w:r w:rsidRPr="0017210F">
              <w:rPr>
                <w:rFonts w:asciiTheme="minorHAnsi" w:hAnsiTheme="minorHAnsi" w:cstheme="minorHAnsi"/>
                <w:sz w:val="17"/>
                <w:szCs w:val="17"/>
              </w:rPr>
              <w:t>Output 3.2.2: Project M&amp;E framework, supporting lesson learning and guiding adaptive management, developed and operational from national through to community levels</w:t>
            </w:r>
          </w:p>
          <w:p w14:paraId="712C3CD6" w14:textId="77777777" w:rsidR="00E65228" w:rsidRPr="0017210F" w:rsidRDefault="00E65228" w:rsidP="009D6968">
            <w:pPr>
              <w:rPr>
                <w:rFonts w:asciiTheme="minorHAnsi" w:hAnsiTheme="minorHAnsi" w:cstheme="minorHAnsi"/>
                <w:sz w:val="17"/>
                <w:szCs w:val="17"/>
              </w:rPr>
            </w:pPr>
          </w:p>
        </w:tc>
      </w:tr>
      <w:tr w:rsidR="00E65228" w:rsidRPr="0017210F" w14:paraId="5AE22F4C" w14:textId="77777777" w:rsidTr="01B6467E">
        <w:trPr>
          <w:trHeight w:val="558"/>
        </w:trPr>
        <w:tc>
          <w:tcPr>
            <w:tcW w:w="574" w:type="pct"/>
            <w:shd w:val="clear" w:color="auto" w:fill="auto"/>
          </w:tcPr>
          <w:p w14:paraId="6F910786" w14:textId="77777777" w:rsidR="00E65228" w:rsidRPr="0017210F" w:rsidRDefault="00E65228" w:rsidP="009D6968">
            <w:pPr>
              <w:rPr>
                <w:rFonts w:asciiTheme="minorHAnsi" w:hAnsiTheme="minorHAnsi" w:cstheme="minorHAnsi"/>
                <w:sz w:val="17"/>
                <w:szCs w:val="17"/>
              </w:rPr>
            </w:pPr>
            <w:r w:rsidRPr="0017210F">
              <w:rPr>
                <w:rFonts w:asciiTheme="minorHAnsi" w:hAnsiTheme="minorHAnsi" w:cstheme="minorHAnsi"/>
                <w:sz w:val="17"/>
                <w:szCs w:val="17"/>
              </w:rPr>
              <w:lastRenderedPageBreak/>
              <w:t xml:space="preserve">Outcome 3.3: Collaboration and exchange at regional and global levels enhanced to support national/sub-national efforts to deliver LDN </w:t>
            </w:r>
          </w:p>
        </w:tc>
        <w:tc>
          <w:tcPr>
            <w:tcW w:w="1259" w:type="pct"/>
            <w:shd w:val="clear" w:color="auto" w:fill="auto"/>
          </w:tcPr>
          <w:p w14:paraId="29DAA44E" w14:textId="77777777" w:rsidR="00E65228" w:rsidRPr="0017210F" w:rsidRDefault="00E65228" w:rsidP="009D6968">
            <w:pPr>
              <w:rPr>
                <w:rFonts w:asciiTheme="minorHAnsi" w:hAnsiTheme="minorHAnsi" w:cstheme="minorHAnsi"/>
                <w:sz w:val="17"/>
                <w:szCs w:val="17"/>
              </w:rPr>
            </w:pPr>
            <w:r w:rsidRPr="0017210F">
              <w:rPr>
                <w:rFonts w:asciiTheme="minorHAnsi" w:hAnsiTheme="minorHAnsi" w:cstheme="minorHAnsi"/>
                <w:sz w:val="17"/>
                <w:szCs w:val="17"/>
              </w:rPr>
              <w:t xml:space="preserve">7. Number of government-level policy related agreements (e.g. joint declarations) </w:t>
            </w:r>
            <w:r w:rsidRPr="0017210F">
              <w:rPr>
                <w:rFonts w:asciiTheme="minorHAnsi" w:eastAsia="Calibri" w:hAnsiTheme="minorHAnsi" w:cstheme="minorHAnsi"/>
                <w:sz w:val="17"/>
                <w:szCs w:val="17"/>
              </w:rPr>
              <w:t>designed to facilitate common action on SLM/SFM and LDN across the Miombo-Mopane ecoregion</w:t>
            </w:r>
          </w:p>
        </w:tc>
        <w:tc>
          <w:tcPr>
            <w:tcW w:w="647" w:type="pct"/>
            <w:gridSpan w:val="2"/>
            <w:shd w:val="clear" w:color="auto" w:fill="auto"/>
          </w:tcPr>
          <w:p w14:paraId="43DE0B4B" w14:textId="77777777" w:rsidR="00E65228" w:rsidRPr="0017210F" w:rsidRDefault="00E65228" w:rsidP="009D6968">
            <w:pPr>
              <w:rPr>
                <w:rFonts w:asciiTheme="minorHAnsi" w:hAnsiTheme="minorHAnsi" w:cstheme="minorHAnsi"/>
                <w:sz w:val="17"/>
                <w:szCs w:val="17"/>
                <w:lang w:val="en-US"/>
              </w:rPr>
            </w:pPr>
            <w:r w:rsidRPr="0017210F">
              <w:rPr>
                <w:rFonts w:asciiTheme="minorHAnsi" w:hAnsiTheme="minorHAnsi" w:cstheme="minorHAnsi"/>
                <w:sz w:val="17"/>
                <w:szCs w:val="17"/>
                <w:lang w:val="en-US"/>
              </w:rPr>
              <w:t>0</w:t>
            </w:r>
          </w:p>
        </w:tc>
        <w:tc>
          <w:tcPr>
            <w:tcW w:w="549" w:type="pct"/>
            <w:shd w:val="clear" w:color="auto" w:fill="auto"/>
          </w:tcPr>
          <w:p w14:paraId="3864169C" w14:textId="77777777" w:rsidR="00E65228" w:rsidRPr="0017210F" w:rsidRDefault="00E65228" w:rsidP="009D6968">
            <w:pPr>
              <w:rPr>
                <w:rFonts w:asciiTheme="minorHAnsi" w:hAnsiTheme="minorHAnsi" w:cstheme="minorHAnsi"/>
                <w:sz w:val="17"/>
                <w:szCs w:val="17"/>
                <w:lang w:val="en-US"/>
              </w:rPr>
            </w:pPr>
            <w:r w:rsidRPr="0017210F">
              <w:rPr>
                <w:rFonts w:asciiTheme="minorHAnsi" w:hAnsiTheme="minorHAnsi" w:cstheme="minorHAnsi"/>
                <w:sz w:val="17"/>
                <w:szCs w:val="17"/>
                <w:lang w:val="en-US"/>
              </w:rPr>
              <w:t xml:space="preserve">Discussions held on potential </w:t>
            </w:r>
            <w:r w:rsidRPr="0017210F">
              <w:rPr>
                <w:rFonts w:asciiTheme="minorHAnsi" w:eastAsia="Calibri" w:hAnsiTheme="minorHAnsi" w:cstheme="minorHAnsi"/>
                <w:sz w:val="17"/>
                <w:szCs w:val="17"/>
              </w:rPr>
              <w:t>international agreement designed to facilitate joint action on SLM/SFM and LDN across the Miombo-Mopane ecoregion</w:t>
            </w:r>
          </w:p>
        </w:tc>
        <w:tc>
          <w:tcPr>
            <w:tcW w:w="648" w:type="pct"/>
            <w:shd w:val="clear" w:color="auto" w:fill="auto"/>
          </w:tcPr>
          <w:p w14:paraId="72C43AC2" w14:textId="77777777" w:rsidR="00E65228" w:rsidRPr="0017210F" w:rsidRDefault="00E65228" w:rsidP="009D6968">
            <w:pPr>
              <w:rPr>
                <w:rFonts w:asciiTheme="minorHAnsi" w:hAnsiTheme="minorHAnsi" w:cstheme="minorHAnsi"/>
                <w:sz w:val="17"/>
                <w:szCs w:val="17"/>
                <w:lang w:val="en-US"/>
              </w:rPr>
            </w:pPr>
            <w:r w:rsidRPr="0017210F">
              <w:rPr>
                <w:rFonts w:asciiTheme="minorHAnsi" w:hAnsiTheme="minorHAnsi" w:cstheme="minorHAnsi"/>
                <w:sz w:val="17"/>
                <w:szCs w:val="17"/>
                <w:lang w:val="en-US"/>
              </w:rPr>
              <w:t xml:space="preserve">At least 1 </w:t>
            </w:r>
            <w:r w:rsidRPr="0017210F">
              <w:rPr>
                <w:rFonts w:asciiTheme="minorHAnsi" w:eastAsia="Calibri" w:hAnsiTheme="minorHAnsi" w:cstheme="minorHAnsi"/>
                <w:sz w:val="17"/>
                <w:szCs w:val="17"/>
              </w:rPr>
              <w:t>international agreement designed to facilitate joint action on SLM/SFM and LDN across the Miombo-Mopane ecoregion</w:t>
            </w:r>
          </w:p>
        </w:tc>
        <w:tc>
          <w:tcPr>
            <w:tcW w:w="698" w:type="pct"/>
            <w:shd w:val="clear" w:color="auto" w:fill="auto"/>
          </w:tcPr>
          <w:p w14:paraId="6D0F0761" w14:textId="77777777" w:rsidR="00E65228" w:rsidRPr="0017210F" w:rsidRDefault="00E65228" w:rsidP="009D6968">
            <w:pPr>
              <w:rPr>
                <w:rFonts w:asciiTheme="minorHAnsi" w:hAnsiTheme="minorHAnsi" w:cstheme="minorHAnsi"/>
                <w:sz w:val="17"/>
                <w:szCs w:val="17"/>
              </w:rPr>
            </w:pPr>
            <w:r w:rsidRPr="0017210F">
              <w:rPr>
                <w:rFonts w:asciiTheme="minorHAnsi" w:hAnsiTheme="minorHAnsi" w:cstheme="minorHAnsi"/>
                <w:sz w:val="17"/>
                <w:szCs w:val="17"/>
              </w:rPr>
              <w:t>- Letters of Agreement between countries</w:t>
            </w:r>
          </w:p>
          <w:p w14:paraId="749B0B72" w14:textId="77777777" w:rsidR="00E65228" w:rsidRPr="0017210F" w:rsidRDefault="00E65228" w:rsidP="009D6968">
            <w:pPr>
              <w:rPr>
                <w:rFonts w:asciiTheme="minorHAnsi" w:hAnsiTheme="minorHAnsi" w:cstheme="minorHAnsi"/>
                <w:sz w:val="17"/>
                <w:szCs w:val="17"/>
              </w:rPr>
            </w:pPr>
            <w:r w:rsidRPr="0017210F">
              <w:rPr>
                <w:rFonts w:asciiTheme="minorHAnsi" w:hAnsiTheme="minorHAnsi" w:cstheme="minorHAnsi"/>
                <w:sz w:val="17"/>
                <w:szCs w:val="17"/>
              </w:rPr>
              <w:t>- Joint project proposals</w:t>
            </w:r>
          </w:p>
          <w:p w14:paraId="7B131450" w14:textId="77777777" w:rsidR="00E65228" w:rsidRPr="0017210F" w:rsidRDefault="00E65228" w:rsidP="009D6968">
            <w:pPr>
              <w:rPr>
                <w:rFonts w:asciiTheme="minorHAnsi" w:hAnsiTheme="minorHAnsi" w:cstheme="minorHAnsi"/>
                <w:sz w:val="17"/>
                <w:szCs w:val="17"/>
              </w:rPr>
            </w:pPr>
            <w:r w:rsidRPr="0017210F">
              <w:rPr>
                <w:rFonts w:asciiTheme="minorHAnsi" w:hAnsiTheme="minorHAnsi" w:cstheme="minorHAnsi"/>
                <w:sz w:val="17"/>
                <w:szCs w:val="17"/>
              </w:rPr>
              <w:t>- Documents detailing joint management activities</w:t>
            </w:r>
          </w:p>
        </w:tc>
        <w:tc>
          <w:tcPr>
            <w:tcW w:w="625" w:type="pct"/>
            <w:vMerge w:val="restart"/>
            <w:shd w:val="clear" w:color="auto" w:fill="auto"/>
          </w:tcPr>
          <w:p w14:paraId="25FF43AA" w14:textId="77777777" w:rsidR="00E65228" w:rsidRPr="0017210F" w:rsidRDefault="00E65228" w:rsidP="009D6968">
            <w:pPr>
              <w:rPr>
                <w:rFonts w:asciiTheme="minorHAnsi" w:hAnsiTheme="minorHAnsi" w:cstheme="minorHAnsi"/>
                <w:sz w:val="17"/>
                <w:szCs w:val="17"/>
              </w:rPr>
            </w:pPr>
            <w:r w:rsidRPr="0017210F">
              <w:rPr>
                <w:rFonts w:asciiTheme="minorHAnsi" w:hAnsiTheme="minorHAnsi" w:cstheme="minorHAnsi"/>
                <w:sz w:val="17"/>
                <w:szCs w:val="17"/>
              </w:rPr>
              <w:t xml:space="preserve">Countries continue to commit to regional collaboration, benefitting from both the enhanced LDN agenda across the Miombo-Mopane ecoregion and strengthened national capacity </w:t>
            </w:r>
          </w:p>
          <w:p w14:paraId="4CD39B50" w14:textId="77777777" w:rsidR="00E65228" w:rsidRPr="0017210F" w:rsidRDefault="00E65228" w:rsidP="009D6968">
            <w:pPr>
              <w:rPr>
                <w:rFonts w:asciiTheme="minorHAnsi" w:hAnsiTheme="minorHAnsi" w:cstheme="minorHAnsi"/>
                <w:sz w:val="17"/>
                <w:szCs w:val="17"/>
              </w:rPr>
            </w:pPr>
          </w:p>
          <w:p w14:paraId="6CFA1BA2" w14:textId="77777777" w:rsidR="00E65228" w:rsidRPr="0017210F" w:rsidRDefault="00E65228" w:rsidP="009D6968">
            <w:pPr>
              <w:rPr>
                <w:rFonts w:asciiTheme="minorHAnsi" w:hAnsiTheme="minorHAnsi" w:cstheme="minorHAnsi"/>
                <w:sz w:val="17"/>
                <w:szCs w:val="17"/>
                <w:lang w:val="en-US"/>
              </w:rPr>
            </w:pPr>
            <w:r w:rsidRPr="0017210F">
              <w:rPr>
                <w:rFonts w:asciiTheme="minorHAnsi" w:hAnsiTheme="minorHAnsi" w:cstheme="minorHAnsi"/>
                <w:sz w:val="17"/>
                <w:szCs w:val="17"/>
              </w:rPr>
              <w:t>The private sector across region is interested in collaborating and investing in SLM/SFM/LDN products</w:t>
            </w:r>
          </w:p>
          <w:p w14:paraId="5203124F" w14:textId="77777777" w:rsidR="00E65228" w:rsidRPr="0017210F" w:rsidRDefault="00E65228" w:rsidP="009D6968">
            <w:pPr>
              <w:rPr>
                <w:rFonts w:asciiTheme="minorHAnsi" w:hAnsiTheme="minorHAnsi" w:cstheme="minorHAnsi"/>
                <w:sz w:val="17"/>
                <w:szCs w:val="17"/>
              </w:rPr>
            </w:pPr>
          </w:p>
        </w:tc>
      </w:tr>
      <w:tr w:rsidR="00E65228" w:rsidRPr="0017210F" w14:paraId="6C22047F" w14:textId="77777777" w:rsidTr="01B6467E">
        <w:trPr>
          <w:trHeight w:val="558"/>
        </w:trPr>
        <w:tc>
          <w:tcPr>
            <w:tcW w:w="574" w:type="pct"/>
            <w:shd w:val="clear" w:color="auto" w:fill="auto"/>
          </w:tcPr>
          <w:p w14:paraId="323D6534" w14:textId="77777777" w:rsidR="00E65228" w:rsidRPr="0017210F" w:rsidRDefault="00E65228" w:rsidP="009D6968">
            <w:pPr>
              <w:rPr>
                <w:rFonts w:asciiTheme="minorHAnsi" w:hAnsiTheme="minorHAnsi" w:cstheme="minorHAnsi"/>
                <w:sz w:val="17"/>
                <w:szCs w:val="17"/>
              </w:rPr>
            </w:pPr>
          </w:p>
        </w:tc>
        <w:tc>
          <w:tcPr>
            <w:tcW w:w="1259" w:type="pct"/>
            <w:shd w:val="clear" w:color="auto" w:fill="auto"/>
          </w:tcPr>
          <w:p w14:paraId="7860599F" w14:textId="77777777" w:rsidR="00E65228" w:rsidRPr="0017210F" w:rsidRDefault="00E65228" w:rsidP="009D6968">
            <w:pPr>
              <w:rPr>
                <w:rFonts w:asciiTheme="minorHAnsi" w:hAnsiTheme="minorHAnsi" w:cstheme="minorHAnsi"/>
                <w:sz w:val="17"/>
                <w:szCs w:val="17"/>
                <w:lang w:val="en-US"/>
              </w:rPr>
            </w:pPr>
            <w:r w:rsidRPr="0017210F">
              <w:rPr>
                <w:rFonts w:asciiTheme="minorHAnsi" w:hAnsiTheme="minorHAnsi" w:cstheme="minorHAnsi"/>
                <w:sz w:val="17"/>
                <w:szCs w:val="17"/>
                <w:lang w:val="en-US"/>
              </w:rPr>
              <w:t>8. Number of new transboundary/ regional or global business initiatives (e.g. public-private partnerships, agreements, contracts), focusing on SLM/SFM value chains developed</w:t>
            </w:r>
          </w:p>
        </w:tc>
        <w:tc>
          <w:tcPr>
            <w:tcW w:w="647" w:type="pct"/>
            <w:gridSpan w:val="2"/>
            <w:shd w:val="clear" w:color="auto" w:fill="auto"/>
          </w:tcPr>
          <w:p w14:paraId="235B31E2" w14:textId="77777777" w:rsidR="00E65228" w:rsidRPr="0017210F" w:rsidRDefault="00E65228" w:rsidP="009D6968">
            <w:pPr>
              <w:rPr>
                <w:rFonts w:asciiTheme="minorHAnsi" w:hAnsiTheme="minorHAnsi" w:cstheme="minorHAnsi"/>
                <w:sz w:val="17"/>
                <w:szCs w:val="17"/>
                <w:lang w:val="en-US"/>
              </w:rPr>
            </w:pPr>
            <w:r w:rsidRPr="0017210F">
              <w:rPr>
                <w:rFonts w:asciiTheme="minorHAnsi" w:hAnsiTheme="minorHAnsi" w:cstheme="minorHAnsi"/>
                <w:sz w:val="17"/>
                <w:szCs w:val="17"/>
                <w:lang w:val="en-US"/>
              </w:rPr>
              <w:t>No actions organized by REM so far</w:t>
            </w:r>
          </w:p>
        </w:tc>
        <w:tc>
          <w:tcPr>
            <w:tcW w:w="549" w:type="pct"/>
            <w:shd w:val="clear" w:color="auto" w:fill="auto"/>
          </w:tcPr>
          <w:p w14:paraId="7C956E29" w14:textId="77777777" w:rsidR="00E65228" w:rsidRPr="0017210F" w:rsidRDefault="00E65228" w:rsidP="009D6968">
            <w:pPr>
              <w:rPr>
                <w:rFonts w:asciiTheme="minorHAnsi" w:hAnsiTheme="minorHAnsi" w:cstheme="minorHAnsi"/>
                <w:sz w:val="17"/>
                <w:szCs w:val="17"/>
                <w:lang w:val="en-US"/>
              </w:rPr>
            </w:pPr>
            <w:r w:rsidRPr="0017210F">
              <w:rPr>
                <w:rFonts w:asciiTheme="minorHAnsi" w:hAnsiTheme="minorHAnsi" w:cstheme="minorHAnsi"/>
                <w:sz w:val="17"/>
                <w:szCs w:val="17"/>
                <w:lang w:val="en-US"/>
              </w:rPr>
              <w:t>REM assessment of market analysis and business opportunities for SLM/SFM products</w:t>
            </w:r>
          </w:p>
        </w:tc>
        <w:tc>
          <w:tcPr>
            <w:tcW w:w="648" w:type="pct"/>
            <w:shd w:val="clear" w:color="auto" w:fill="auto"/>
          </w:tcPr>
          <w:p w14:paraId="0BB00A8B" w14:textId="77777777" w:rsidR="00E65228" w:rsidRPr="0017210F" w:rsidRDefault="00E65228" w:rsidP="009D6968">
            <w:pPr>
              <w:rPr>
                <w:rFonts w:asciiTheme="minorHAnsi" w:hAnsiTheme="minorHAnsi" w:cstheme="minorHAnsi"/>
                <w:sz w:val="17"/>
                <w:szCs w:val="17"/>
                <w:lang w:val="en-US"/>
              </w:rPr>
            </w:pPr>
            <w:r w:rsidRPr="0017210F">
              <w:rPr>
                <w:rFonts w:asciiTheme="minorHAnsi" w:hAnsiTheme="minorHAnsi" w:cstheme="minorHAnsi"/>
                <w:sz w:val="17"/>
                <w:szCs w:val="17"/>
                <w:lang w:val="en-US"/>
              </w:rPr>
              <w:t>At least one transboundary/ regional business initiative from (country)</w:t>
            </w:r>
          </w:p>
        </w:tc>
        <w:tc>
          <w:tcPr>
            <w:tcW w:w="698" w:type="pct"/>
            <w:shd w:val="clear" w:color="auto" w:fill="auto"/>
          </w:tcPr>
          <w:p w14:paraId="7B911C7B" w14:textId="77777777" w:rsidR="00E65228" w:rsidRPr="0017210F" w:rsidRDefault="00E65228" w:rsidP="009D6968">
            <w:pPr>
              <w:rPr>
                <w:rFonts w:asciiTheme="minorHAnsi" w:hAnsiTheme="minorHAnsi" w:cstheme="minorHAnsi"/>
                <w:sz w:val="17"/>
                <w:szCs w:val="17"/>
                <w:lang w:val="en-US"/>
              </w:rPr>
            </w:pPr>
            <w:r w:rsidRPr="0017210F">
              <w:rPr>
                <w:rFonts w:asciiTheme="minorHAnsi" w:hAnsiTheme="minorHAnsi" w:cstheme="minorHAnsi"/>
                <w:sz w:val="17"/>
                <w:szCs w:val="17"/>
                <w:lang w:val="en-US"/>
              </w:rPr>
              <w:t>- Market assessments</w:t>
            </w:r>
          </w:p>
          <w:p w14:paraId="08FE9E69" w14:textId="77777777" w:rsidR="00E65228" w:rsidRPr="0017210F" w:rsidRDefault="00E65228" w:rsidP="009D6968">
            <w:pPr>
              <w:rPr>
                <w:rFonts w:asciiTheme="minorHAnsi" w:hAnsiTheme="minorHAnsi" w:cstheme="minorHAnsi"/>
                <w:sz w:val="17"/>
                <w:szCs w:val="17"/>
                <w:lang w:val="en-US"/>
              </w:rPr>
            </w:pPr>
            <w:r w:rsidRPr="0017210F">
              <w:rPr>
                <w:rFonts w:asciiTheme="minorHAnsi" w:hAnsiTheme="minorHAnsi" w:cstheme="minorHAnsi"/>
                <w:sz w:val="17"/>
                <w:szCs w:val="17"/>
                <w:lang w:val="en-US"/>
              </w:rPr>
              <w:t>- Strategic documents</w:t>
            </w:r>
          </w:p>
          <w:p w14:paraId="2B0FE236" w14:textId="77777777" w:rsidR="00E65228" w:rsidRPr="0017210F" w:rsidRDefault="00E65228" w:rsidP="009D6968">
            <w:pPr>
              <w:rPr>
                <w:rFonts w:asciiTheme="minorHAnsi" w:hAnsiTheme="minorHAnsi" w:cstheme="minorHAnsi"/>
                <w:sz w:val="17"/>
                <w:szCs w:val="17"/>
                <w:lang w:val="en-US"/>
              </w:rPr>
            </w:pPr>
            <w:r w:rsidRPr="0017210F">
              <w:rPr>
                <w:rFonts w:asciiTheme="minorHAnsi" w:hAnsiTheme="minorHAnsi" w:cstheme="minorHAnsi"/>
                <w:sz w:val="17"/>
                <w:szCs w:val="17"/>
                <w:lang w:val="en-US"/>
              </w:rPr>
              <w:t>- Minutes of meetings and workshops</w:t>
            </w:r>
          </w:p>
          <w:p w14:paraId="1B65F0B6" w14:textId="77777777" w:rsidR="00E65228" w:rsidRPr="0017210F" w:rsidRDefault="00E65228" w:rsidP="009D6968">
            <w:pPr>
              <w:rPr>
                <w:rFonts w:asciiTheme="minorHAnsi" w:hAnsiTheme="minorHAnsi" w:cstheme="minorHAnsi"/>
                <w:sz w:val="17"/>
                <w:szCs w:val="17"/>
                <w:lang w:val="en-US"/>
              </w:rPr>
            </w:pPr>
            <w:r w:rsidRPr="0017210F">
              <w:rPr>
                <w:rFonts w:asciiTheme="minorHAnsi" w:hAnsiTheme="minorHAnsi" w:cstheme="minorHAnsi"/>
                <w:sz w:val="17"/>
                <w:szCs w:val="17"/>
                <w:lang w:val="en-US"/>
              </w:rPr>
              <w:t>-Business proposals</w:t>
            </w:r>
          </w:p>
          <w:p w14:paraId="30D02759" w14:textId="77777777" w:rsidR="00E65228" w:rsidRPr="0017210F" w:rsidRDefault="00E65228" w:rsidP="009D6968">
            <w:pPr>
              <w:rPr>
                <w:rFonts w:asciiTheme="minorHAnsi" w:hAnsiTheme="minorHAnsi" w:cstheme="minorHAnsi"/>
                <w:sz w:val="17"/>
                <w:szCs w:val="17"/>
              </w:rPr>
            </w:pPr>
            <w:r w:rsidRPr="0017210F">
              <w:rPr>
                <w:rFonts w:asciiTheme="minorHAnsi" w:hAnsiTheme="minorHAnsi" w:cstheme="minorHAnsi"/>
                <w:sz w:val="17"/>
                <w:szCs w:val="17"/>
                <w:lang w:val="en-US"/>
              </w:rPr>
              <w:t>-</w:t>
            </w:r>
            <w:r w:rsidRPr="0017210F">
              <w:rPr>
                <w:rFonts w:asciiTheme="minorHAnsi" w:hAnsiTheme="minorHAnsi" w:cstheme="minorHAnsi"/>
                <w:sz w:val="17"/>
                <w:szCs w:val="17"/>
              </w:rPr>
              <w:t xml:space="preserve"> Private sector company reports</w:t>
            </w:r>
          </w:p>
        </w:tc>
        <w:tc>
          <w:tcPr>
            <w:tcW w:w="625" w:type="pct"/>
            <w:vMerge/>
          </w:tcPr>
          <w:p w14:paraId="3C8241C5" w14:textId="77777777" w:rsidR="00E65228" w:rsidRPr="0017210F" w:rsidRDefault="00E65228" w:rsidP="009D6968">
            <w:pPr>
              <w:rPr>
                <w:rFonts w:asciiTheme="minorHAnsi" w:hAnsiTheme="minorHAnsi" w:cstheme="minorHAnsi"/>
                <w:sz w:val="17"/>
                <w:szCs w:val="17"/>
              </w:rPr>
            </w:pPr>
          </w:p>
        </w:tc>
      </w:tr>
      <w:tr w:rsidR="00E65228" w:rsidRPr="0017210F" w14:paraId="345D8EC0" w14:textId="77777777" w:rsidTr="01B6467E">
        <w:trPr>
          <w:trHeight w:val="558"/>
        </w:trPr>
        <w:tc>
          <w:tcPr>
            <w:tcW w:w="574" w:type="pct"/>
            <w:shd w:val="clear" w:color="auto" w:fill="auto"/>
          </w:tcPr>
          <w:p w14:paraId="7013657C" w14:textId="77777777" w:rsidR="00E65228" w:rsidRPr="0017210F" w:rsidRDefault="00E65228" w:rsidP="009D6968">
            <w:pPr>
              <w:rPr>
                <w:rFonts w:asciiTheme="minorHAnsi" w:hAnsiTheme="minorHAnsi" w:cstheme="minorHAnsi"/>
                <w:sz w:val="17"/>
                <w:szCs w:val="17"/>
              </w:rPr>
            </w:pPr>
          </w:p>
        </w:tc>
        <w:tc>
          <w:tcPr>
            <w:tcW w:w="1259" w:type="pct"/>
            <w:shd w:val="clear" w:color="auto" w:fill="auto"/>
          </w:tcPr>
          <w:p w14:paraId="33292EDF" w14:textId="77777777" w:rsidR="00E65228" w:rsidRPr="0017210F" w:rsidRDefault="00E65228" w:rsidP="009D6968">
            <w:pPr>
              <w:rPr>
                <w:rFonts w:asciiTheme="minorHAnsi" w:hAnsiTheme="minorHAnsi" w:cstheme="minorHAnsi"/>
                <w:sz w:val="17"/>
                <w:szCs w:val="17"/>
              </w:rPr>
            </w:pPr>
            <w:r w:rsidRPr="0017210F">
              <w:rPr>
                <w:rFonts w:asciiTheme="minorHAnsi" w:hAnsiTheme="minorHAnsi" w:cstheme="minorHAnsi"/>
                <w:sz w:val="17"/>
                <w:szCs w:val="17"/>
              </w:rPr>
              <w:t xml:space="preserve">9. Number of regional and global LDN policy dialogue platforms (SADC, </w:t>
            </w:r>
            <w:r w:rsidRPr="0017210F">
              <w:rPr>
                <w:rFonts w:asciiTheme="minorHAnsi" w:hAnsiTheme="minorHAnsi" w:cstheme="minorHAnsi"/>
                <w:color w:val="000000"/>
                <w:sz w:val="17"/>
                <w:szCs w:val="17"/>
              </w:rPr>
              <w:t xml:space="preserve">GGWI-S, </w:t>
            </w:r>
            <w:r w:rsidRPr="0017210F">
              <w:rPr>
                <w:rFonts w:asciiTheme="minorHAnsi" w:hAnsiTheme="minorHAnsi" w:cstheme="minorHAnsi"/>
                <w:sz w:val="17"/>
                <w:szCs w:val="17"/>
              </w:rPr>
              <w:t>AFR100 other multi-stakeholder dialogues) to which the Angola project contributes project results and recommendations (lessons learned, best practice etc)</w:t>
            </w:r>
          </w:p>
        </w:tc>
        <w:tc>
          <w:tcPr>
            <w:tcW w:w="647" w:type="pct"/>
            <w:gridSpan w:val="2"/>
            <w:shd w:val="clear" w:color="auto" w:fill="auto"/>
          </w:tcPr>
          <w:p w14:paraId="4DF7FF59" w14:textId="77777777" w:rsidR="00E65228" w:rsidRPr="0017210F" w:rsidRDefault="00E65228" w:rsidP="009D6968">
            <w:pPr>
              <w:rPr>
                <w:rFonts w:asciiTheme="minorHAnsi" w:hAnsiTheme="minorHAnsi" w:cstheme="minorHAnsi"/>
                <w:sz w:val="17"/>
                <w:szCs w:val="17"/>
              </w:rPr>
            </w:pPr>
            <w:r w:rsidRPr="0017210F">
              <w:rPr>
                <w:rFonts w:asciiTheme="minorHAnsi" w:hAnsiTheme="minorHAnsi" w:cstheme="minorHAnsi"/>
                <w:sz w:val="17"/>
                <w:szCs w:val="17"/>
              </w:rPr>
              <w:t>N/A</w:t>
            </w:r>
          </w:p>
        </w:tc>
        <w:tc>
          <w:tcPr>
            <w:tcW w:w="549" w:type="pct"/>
            <w:shd w:val="clear" w:color="auto" w:fill="auto"/>
          </w:tcPr>
          <w:p w14:paraId="3E0BC71C" w14:textId="5E32AA24" w:rsidR="00E65228" w:rsidRPr="0017210F" w:rsidRDefault="003E7A96" w:rsidP="009D6968">
            <w:pPr>
              <w:rPr>
                <w:rFonts w:asciiTheme="minorHAnsi" w:hAnsiTheme="minorHAnsi" w:cstheme="minorHAnsi"/>
                <w:sz w:val="17"/>
                <w:szCs w:val="17"/>
              </w:rPr>
            </w:pPr>
            <w:r>
              <w:rPr>
                <w:rFonts w:asciiTheme="minorHAnsi" w:hAnsiTheme="minorHAnsi" w:cstheme="minorHAnsi"/>
                <w:sz w:val="17"/>
                <w:szCs w:val="17"/>
              </w:rPr>
              <w:t>2</w:t>
            </w:r>
          </w:p>
        </w:tc>
        <w:tc>
          <w:tcPr>
            <w:tcW w:w="648" w:type="pct"/>
            <w:shd w:val="clear" w:color="auto" w:fill="auto"/>
          </w:tcPr>
          <w:p w14:paraId="64E2457A" w14:textId="7EB21FF0" w:rsidR="00E65228" w:rsidRPr="0017210F" w:rsidRDefault="003E7A96" w:rsidP="009D6968">
            <w:pPr>
              <w:rPr>
                <w:rFonts w:asciiTheme="minorHAnsi" w:hAnsiTheme="minorHAnsi" w:cstheme="minorHAnsi"/>
                <w:sz w:val="17"/>
                <w:szCs w:val="17"/>
              </w:rPr>
            </w:pPr>
            <w:r>
              <w:rPr>
                <w:rFonts w:asciiTheme="minorHAnsi" w:hAnsiTheme="minorHAnsi" w:cstheme="minorHAnsi"/>
                <w:sz w:val="17"/>
                <w:szCs w:val="17"/>
              </w:rPr>
              <w:t>6</w:t>
            </w:r>
          </w:p>
        </w:tc>
        <w:tc>
          <w:tcPr>
            <w:tcW w:w="698" w:type="pct"/>
            <w:shd w:val="clear" w:color="auto" w:fill="auto"/>
          </w:tcPr>
          <w:p w14:paraId="57903E06" w14:textId="77777777" w:rsidR="00E65228" w:rsidRPr="0017210F" w:rsidRDefault="00E65228" w:rsidP="009D6968">
            <w:pPr>
              <w:rPr>
                <w:rFonts w:asciiTheme="minorHAnsi" w:hAnsiTheme="minorHAnsi" w:cstheme="minorHAnsi"/>
                <w:sz w:val="17"/>
                <w:szCs w:val="17"/>
              </w:rPr>
            </w:pPr>
            <w:r w:rsidRPr="0017210F">
              <w:rPr>
                <w:rFonts w:asciiTheme="minorHAnsi" w:hAnsiTheme="minorHAnsi" w:cstheme="minorHAnsi"/>
                <w:sz w:val="17"/>
                <w:szCs w:val="17"/>
              </w:rPr>
              <w:t>- Minutes of global meetings</w:t>
            </w:r>
          </w:p>
          <w:p w14:paraId="53A84AD0" w14:textId="77777777" w:rsidR="00E65228" w:rsidRPr="0017210F" w:rsidRDefault="00E65228" w:rsidP="009D6968">
            <w:pPr>
              <w:rPr>
                <w:rFonts w:asciiTheme="minorHAnsi" w:hAnsiTheme="minorHAnsi" w:cstheme="minorHAnsi"/>
                <w:sz w:val="17"/>
                <w:szCs w:val="17"/>
              </w:rPr>
            </w:pPr>
            <w:r w:rsidRPr="0017210F">
              <w:rPr>
                <w:rFonts w:asciiTheme="minorHAnsi" w:hAnsiTheme="minorHAnsi" w:cstheme="minorHAnsi"/>
                <w:sz w:val="17"/>
                <w:szCs w:val="17"/>
              </w:rPr>
              <w:t>- Project implementation reports/back to office reports</w:t>
            </w:r>
          </w:p>
          <w:p w14:paraId="7A4AF735" w14:textId="77777777" w:rsidR="00E65228" w:rsidRPr="0017210F" w:rsidRDefault="00E65228" w:rsidP="009D6968">
            <w:pPr>
              <w:rPr>
                <w:rFonts w:asciiTheme="minorHAnsi" w:hAnsiTheme="minorHAnsi" w:cstheme="minorHAnsi"/>
                <w:sz w:val="17"/>
                <w:szCs w:val="17"/>
              </w:rPr>
            </w:pPr>
            <w:r w:rsidRPr="0017210F">
              <w:rPr>
                <w:rFonts w:asciiTheme="minorHAnsi" w:hAnsiTheme="minorHAnsi" w:cstheme="minorHAnsi"/>
                <w:sz w:val="17"/>
                <w:szCs w:val="17"/>
              </w:rPr>
              <w:t>- References to project results (lessons learned, models, best practice, etc) in policy dialogue documents</w:t>
            </w:r>
          </w:p>
        </w:tc>
        <w:tc>
          <w:tcPr>
            <w:tcW w:w="625" w:type="pct"/>
            <w:vMerge/>
          </w:tcPr>
          <w:p w14:paraId="28FAB0CE" w14:textId="77777777" w:rsidR="00E65228" w:rsidRPr="0017210F" w:rsidRDefault="00E65228" w:rsidP="009D6968">
            <w:pPr>
              <w:rPr>
                <w:rFonts w:asciiTheme="minorHAnsi" w:hAnsiTheme="minorHAnsi" w:cstheme="minorHAnsi"/>
                <w:sz w:val="17"/>
                <w:szCs w:val="17"/>
              </w:rPr>
            </w:pPr>
          </w:p>
        </w:tc>
      </w:tr>
      <w:tr w:rsidR="00E65228" w:rsidRPr="0017210F" w14:paraId="584FBB89" w14:textId="77777777" w:rsidTr="01B6467E">
        <w:trPr>
          <w:trHeight w:val="1469"/>
        </w:trPr>
        <w:tc>
          <w:tcPr>
            <w:tcW w:w="5000" w:type="pct"/>
            <w:gridSpan w:val="8"/>
            <w:shd w:val="clear" w:color="auto" w:fill="auto"/>
          </w:tcPr>
          <w:p w14:paraId="043A3345" w14:textId="77777777" w:rsidR="00E65228" w:rsidRPr="0017210F" w:rsidRDefault="00E65228" w:rsidP="009D6968">
            <w:pPr>
              <w:rPr>
                <w:rFonts w:asciiTheme="minorHAnsi" w:hAnsiTheme="minorHAnsi" w:cstheme="minorHAnsi"/>
                <w:sz w:val="17"/>
                <w:szCs w:val="17"/>
              </w:rPr>
            </w:pPr>
          </w:p>
          <w:p w14:paraId="47CD9789" w14:textId="77777777" w:rsidR="00E65228" w:rsidRPr="0017210F" w:rsidRDefault="00E65228" w:rsidP="009D6968">
            <w:pPr>
              <w:rPr>
                <w:rFonts w:asciiTheme="minorHAnsi" w:hAnsiTheme="minorHAnsi" w:cstheme="minorHAnsi"/>
                <w:sz w:val="17"/>
                <w:szCs w:val="17"/>
              </w:rPr>
            </w:pPr>
            <w:r w:rsidRPr="0017210F">
              <w:rPr>
                <w:rFonts w:asciiTheme="minorHAnsi" w:hAnsiTheme="minorHAnsi" w:cstheme="minorHAnsi"/>
                <w:sz w:val="17"/>
                <w:szCs w:val="17"/>
              </w:rPr>
              <w:t>Output 3.3.1: Actions and investments identified to address transboundary land and environmental degradation priorities in Miombo-Mopane ecoregion and bi-/multi-lateral initiatives strengthened/established to progress towards LDN</w:t>
            </w:r>
          </w:p>
          <w:p w14:paraId="353B48D3" w14:textId="77777777" w:rsidR="00E65228" w:rsidRPr="0017210F" w:rsidRDefault="00E65228" w:rsidP="009D6968">
            <w:pPr>
              <w:rPr>
                <w:rFonts w:asciiTheme="minorHAnsi" w:hAnsiTheme="minorHAnsi" w:cstheme="minorHAnsi"/>
                <w:sz w:val="17"/>
                <w:szCs w:val="17"/>
              </w:rPr>
            </w:pPr>
            <w:r w:rsidRPr="0017210F">
              <w:rPr>
                <w:rFonts w:asciiTheme="minorHAnsi" w:hAnsiTheme="minorHAnsi" w:cstheme="minorHAnsi"/>
                <w:sz w:val="17"/>
                <w:szCs w:val="17"/>
              </w:rPr>
              <w:t>Output 3.3.2: Collaborative actions to support business and market development for SLM/SFM products across the Miombo-Mopane region undertaken</w:t>
            </w:r>
          </w:p>
          <w:p w14:paraId="3E658944" w14:textId="77777777" w:rsidR="00E65228" w:rsidRPr="0017210F" w:rsidRDefault="00E65228" w:rsidP="009D6968">
            <w:pPr>
              <w:rPr>
                <w:rFonts w:asciiTheme="minorHAnsi" w:hAnsiTheme="minorHAnsi" w:cstheme="minorHAnsi"/>
                <w:i/>
                <w:sz w:val="17"/>
                <w:szCs w:val="17"/>
              </w:rPr>
            </w:pPr>
            <w:r w:rsidRPr="0017210F">
              <w:rPr>
                <w:rFonts w:asciiTheme="minorHAnsi" w:hAnsiTheme="minorHAnsi" w:cstheme="minorHAnsi"/>
                <w:sz w:val="17"/>
                <w:szCs w:val="17"/>
              </w:rPr>
              <w:t>Output 3.3.3: Opportunities for national and landscape-level stakeholders to exchange knowledge, experiences, best practices and lessons learnt at regional and global levels identified, developed and supported</w:t>
            </w:r>
          </w:p>
        </w:tc>
      </w:tr>
    </w:tbl>
    <w:p w14:paraId="1CBEB0C1" w14:textId="77777777" w:rsidR="009563B4" w:rsidRDefault="009563B4" w:rsidP="009563B4">
      <w:r>
        <w:t xml:space="preserve"> </w:t>
      </w:r>
    </w:p>
    <w:p w14:paraId="73CB55F5" w14:textId="4B4A8299" w:rsidR="00A9648F" w:rsidRDefault="00A9648F">
      <w:bookmarkStart w:id="358" w:name="_Toc12612958"/>
      <w:bookmarkStart w:id="359" w:name="_Toc42027155"/>
      <w:bookmarkStart w:id="360" w:name="_Toc42262663"/>
      <w:r>
        <w:br w:type="page"/>
      </w:r>
    </w:p>
    <w:p w14:paraId="4788FA4E" w14:textId="019B2DD7" w:rsidR="009563B4" w:rsidRPr="005E5BDB" w:rsidRDefault="009563B4" w:rsidP="009563B4">
      <w:pPr>
        <w:pStyle w:val="Heading2"/>
        <w:rPr>
          <w:lang w:val="en-US"/>
        </w:rPr>
      </w:pPr>
      <w:bookmarkStart w:id="361" w:name="_Toc58398604"/>
      <w:r w:rsidRPr="00015A6B">
        <w:rPr>
          <w:highlight w:val="yellow"/>
          <w:lang w:val="en-US"/>
        </w:rPr>
        <w:lastRenderedPageBreak/>
        <w:t>Annex A2: Project Budget</w:t>
      </w:r>
      <w:bookmarkEnd w:id="358"/>
      <w:bookmarkEnd w:id="359"/>
      <w:bookmarkEnd w:id="360"/>
      <w:bookmarkEnd w:id="361"/>
    </w:p>
    <w:p w14:paraId="34511DA4" w14:textId="7307A7B3" w:rsidR="00015A6B" w:rsidRDefault="000C73F8">
      <w:pPr>
        <w:rPr>
          <w:rFonts w:ascii="Arial Narrow" w:eastAsia="Arial Narrow" w:hAnsi="Arial Narrow" w:cs="Arial Narrow"/>
          <w:noProof/>
        </w:rPr>
      </w:pPr>
      <w:hyperlink r:id="rId105" w:history="1">
        <w:r w:rsidR="001249CA" w:rsidRPr="008E40CA">
          <w:rPr>
            <w:rStyle w:val="Hyperlink"/>
            <w:rFonts w:ascii="Arial Narrow" w:eastAsia="Arial Narrow" w:hAnsi="Arial Narrow" w:cs="Arial Narrow"/>
            <w:noProof/>
          </w:rPr>
          <w:t>https://drive.google.com/file/d/1Eg9O7L3nq9fRqbIA5mx9Gdf0sJreAVmm/view?usp=sharing</w:t>
        </w:r>
      </w:hyperlink>
    </w:p>
    <w:p w14:paraId="7157B8BF" w14:textId="77777777" w:rsidR="00015A6B" w:rsidRDefault="00015A6B">
      <w:pPr>
        <w:rPr>
          <w:rFonts w:ascii="Arial Narrow" w:eastAsia="Arial Narrow" w:hAnsi="Arial Narrow" w:cs="Arial Narrow"/>
          <w:noProof/>
        </w:rPr>
      </w:pPr>
    </w:p>
    <w:p w14:paraId="763004E4" w14:textId="77777777" w:rsidR="00015A6B" w:rsidRDefault="00015A6B">
      <w:pPr>
        <w:rPr>
          <w:rFonts w:ascii="Arial Narrow" w:eastAsia="Arial Narrow" w:hAnsi="Arial Narrow" w:cs="Arial Narrow"/>
          <w:noProof/>
        </w:rPr>
      </w:pPr>
    </w:p>
    <w:p w14:paraId="59B76A3D" w14:textId="45263F14" w:rsidR="001249CA" w:rsidRDefault="001249CA"/>
    <w:p w14:paraId="7E01CF03" w14:textId="77777777" w:rsidR="00275ED4" w:rsidRDefault="00275ED4">
      <w:pPr>
        <w:rPr>
          <w:rFonts w:ascii="Arial Narrow" w:hAnsi="Arial Narrow"/>
          <w:noProof/>
          <w:color w:val="808080" w:themeColor="background1" w:themeShade="80"/>
        </w:rPr>
      </w:pPr>
    </w:p>
    <w:p w14:paraId="187F0BB4" w14:textId="77806D60" w:rsidR="00275ED4" w:rsidRPr="002E27A0" w:rsidRDefault="007F41DB">
      <w:pPr>
        <w:rPr>
          <w:rFonts w:ascii="Arial Narrow" w:hAnsi="Arial Narrow"/>
          <w:highlight w:val="yellow"/>
          <w:u w:val="single"/>
        </w:rPr>
      </w:pPr>
      <w:r w:rsidRPr="002E27A0">
        <w:rPr>
          <w:rFonts w:ascii="Arial Narrow" w:hAnsi="Arial Narrow"/>
          <w:highlight w:val="yellow"/>
          <w:u w:val="single"/>
        </w:rPr>
        <w:t xml:space="preserve">Justification for </w:t>
      </w:r>
      <w:r w:rsidR="003A2601" w:rsidRPr="002E27A0">
        <w:rPr>
          <w:rFonts w:ascii="Arial Narrow" w:hAnsi="Arial Narrow"/>
          <w:highlight w:val="yellow"/>
          <w:u w:val="single"/>
        </w:rPr>
        <w:t>cars</w:t>
      </w:r>
    </w:p>
    <w:p w14:paraId="78154A46" w14:textId="77777777" w:rsidR="003A2601" w:rsidRPr="002E27A0" w:rsidRDefault="003A2601">
      <w:pPr>
        <w:rPr>
          <w:rFonts w:ascii="Arial Narrow" w:hAnsi="Arial Narrow"/>
          <w:color w:val="808080" w:themeColor="background1" w:themeShade="80"/>
          <w:highlight w:val="yellow"/>
        </w:rPr>
      </w:pPr>
    </w:p>
    <w:p w14:paraId="0E640415" w14:textId="1BC597F1" w:rsidR="003A2601" w:rsidRDefault="003A2601" w:rsidP="003A2601">
      <w:pPr>
        <w:jc w:val="both"/>
        <w:rPr>
          <w:rFonts w:eastAsiaTheme="minorEastAsia"/>
        </w:rPr>
      </w:pPr>
      <w:r w:rsidRPr="002E27A0">
        <w:rPr>
          <w:rFonts w:eastAsiaTheme="minorEastAsia"/>
          <w:highlight w:val="yellow"/>
        </w:rPr>
        <w:t xml:space="preserve">The Number of cars has been reduced from 3 to 2 after </w:t>
      </w:r>
      <w:r w:rsidR="008E2BFC" w:rsidRPr="002E27A0">
        <w:rPr>
          <w:rFonts w:eastAsiaTheme="minorEastAsia"/>
          <w:highlight w:val="yellow"/>
        </w:rPr>
        <w:t>receiving GEFSec first round of comments</w:t>
      </w:r>
      <w:r w:rsidRPr="002E27A0">
        <w:rPr>
          <w:rFonts w:eastAsiaTheme="minorEastAsia"/>
          <w:highlight w:val="yellow"/>
        </w:rPr>
        <w:t>. The vehicle foreseen in support of the PMU in Luanda was removed and will be covered by co-financing contributions (see itemized co-financing/PMC, Table 1). The two vehicles covered by the project (components) are required to ensure that field interventions can be carried out in efficient and timely manner as logistical support that can be provided by project partners is very limited in the targeted intervention areas. The existing cars of local institutions will support the project as much as possible. However, these vehicles are already assigned to other projects and programmes and are therefore not always available causing possible delays in the project’s field activities. In addition, the geographical focus of the project is very large with difficult terrain, therefore sufficient mobility is needed in each province.</w:t>
      </w:r>
      <w:r w:rsidRPr="00357695">
        <w:rPr>
          <w:rFonts w:eastAsiaTheme="minorEastAsia"/>
        </w:rPr>
        <w:t xml:space="preserve">  </w:t>
      </w:r>
    </w:p>
    <w:p w14:paraId="243E8AEA" w14:textId="77777777" w:rsidR="00947A22" w:rsidRDefault="00947A22">
      <w:pPr>
        <w:rPr>
          <w:rFonts w:ascii="Arial Narrow" w:hAnsi="Arial Narrow"/>
          <w:noProof/>
          <w:color w:val="808080" w:themeColor="background1" w:themeShade="80"/>
        </w:rPr>
      </w:pPr>
    </w:p>
    <w:p w14:paraId="6E5620EE" w14:textId="77777777" w:rsidR="00947A22" w:rsidRDefault="00947A22">
      <w:pPr>
        <w:rPr>
          <w:rFonts w:ascii="Arial Narrow" w:hAnsi="Arial Narrow"/>
          <w:noProof/>
          <w:color w:val="808080" w:themeColor="background1" w:themeShade="80"/>
        </w:rPr>
      </w:pPr>
    </w:p>
    <w:p w14:paraId="4863FAB7" w14:textId="77777777" w:rsidR="00947A22" w:rsidRDefault="00947A22">
      <w:pPr>
        <w:rPr>
          <w:rFonts w:ascii="Arial Narrow" w:hAnsi="Arial Narrow"/>
          <w:noProof/>
          <w:color w:val="808080" w:themeColor="background1" w:themeShade="80"/>
        </w:rPr>
      </w:pPr>
    </w:p>
    <w:p w14:paraId="2D8D2C1F" w14:textId="00148AB2" w:rsidR="002311D8" w:rsidRPr="00CE3A55" w:rsidRDefault="002311D8">
      <w:r>
        <w:rPr>
          <w:rFonts w:ascii="Arial Narrow" w:hAnsi="Arial Narrow"/>
          <w:color w:val="808080" w:themeColor="background1" w:themeShade="80"/>
        </w:rPr>
        <w:br w:type="page"/>
      </w:r>
    </w:p>
    <w:p w14:paraId="56F51693" w14:textId="2395841F" w:rsidR="004E4003" w:rsidRPr="00BD0B3B" w:rsidRDefault="002311D8" w:rsidP="00BD0B3B">
      <w:pPr>
        <w:pStyle w:val="Heading2"/>
        <w:rPr>
          <w:lang w:val="en-US"/>
        </w:rPr>
      </w:pPr>
      <w:bookmarkStart w:id="362" w:name="_Toc58398605"/>
      <w:r w:rsidRPr="005E5BDB">
        <w:rPr>
          <w:lang w:val="en-US"/>
        </w:rPr>
        <w:lastRenderedPageBreak/>
        <w:t xml:space="preserve">Annex A3: Co-financing – </w:t>
      </w:r>
      <w:r w:rsidR="004E4003" w:rsidRPr="005E5BDB">
        <w:rPr>
          <w:lang w:val="en-US"/>
        </w:rPr>
        <w:t xml:space="preserve">Government </w:t>
      </w:r>
      <w:r w:rsidRPr="005E5BDB">
        <w:rPr>
          <w:lang w:val="en-US"/>
        </w:rPr>
        <w:t xml:space="preserve">Baselines and </w:t>
      </w:r>
      <w:r w:rsidR="004E4003" w:rsidRPr="005E5BDB">
        <w:rPr>
          <w:lang w:val="en-US"/>
        </w:rPr>
        <w:t>co-financing investments</w:t>
      </w:r>
      <w:bookmarkEnd w:id="362"/>
    </w:p>
    <w:p w14:paraId="739A7717" w14:textId="6DF8DA42" w:rsidR="00EB22CD" w:rsidRDefault="00EB22CD" w:rsidP="00EB22CD">
      <w:pPr>
        <w:pStyle w:val="Caption"/>
        <w:spacing w:before="0" w:after="80"/>
        <w:rPr>
          <w:rFonts w:ascii="Calibri" w:hAnsi="Calibri" w:cs="Calibri"/>
          <w:sz w:val="22"/>
          <w:szCs w:val="22"/>
        </w:rPr>
      </w:pPr>
      <w:bookmarkStart w:id="363" w:name="_Toc42027226"/>
      <w:bookmarkStart w:id="364" w:name="_Toc42089600"/>
      <w:r w:rsidRPr="00CA31E2">
        <w:rPr>
          <w:rFonts w:ascii="Calibri" w:hAnsi="Calibri" w:cs="Calibri"/>
          <w:sz w:val="22"/>
          <w:szCs w:val="22"/>
        </w:rPr>
        <w:t xml:space="preserve">Details </w:t>
      </w:r>
      <w:r w:rsidR="00E2665C" w:rsidRPr="00CA31E2">
        <w:rPr>
          <w:rFonts w:ascii="Calibri" w:hAnsi="Calibri" w:cs="Calibri"/>
          <w:sz w:val="22"/>
          <w:szCs w:val="22"/>
        </w:rPr>
        <w:t xml:space="preserve"> of</w:t>
      </w:r>
      <w:r w:rsidR="008347BF" w:rsidRPr="00CA31E2">
        <w:rPr>
          <w:rFonts w:ascii="Calibri" w:hAnsi="Calibri" w:cs="Calibri"/>
          <w:sz w:val="22"/>
          <w:szCs w:val="22"/>
        </w:rPr>
        <w:t xml:space="preserve"> </w:t>
      </w:r>
      <w:r w:rsidRPr="00CA31E2">
        <w:rPr>
          <w:rFonts w:ascii="Calibri" w:hAnsi="Calibri" w:cs="Calibri"/>
          <w:sz w:val="22"/>
          <w:szCs w:val="22"/>
        </w:rPr>
        <w:t>baseline and co-financing investments estimated from the National Development Plan (2018-2022)</w:t>
      </w:r>
      <w:r w:rsidR="00155763" w:rsidRPr="00CA31E2">
        <w:rPr>
          <w:rFonts w:ascii="Calibri" w:hAnsi="Calibri" w:cs="Calibri"/>
          <w:sz w:val="22"/>
          <w:szCs w:val="22"/>
        </w:rPr>
        <w:t xml:space="preserve"> and others</w:t>
      </w:r>
      <w:r w:rsidRPr="00CA31E2">
        <w:rPr>
          <w:rFonts w:ascii="Calibri" w:hAnsi="Calibri" w:cs="Calibri"/>
          <w:sz w:val="22"/>
          <w:szCs w:val="22"/>
        </w:rPr>
        <w:t xml:space="preserve"> </w:t>
      </w:r>
      <w:bookmarkEnd w:id="363"/>
      <w:bookmarkEnd w:id="364"/>
    </w:p>
    <w:tbl>
      <w:tblPr>
        <w:tblW w:w="14034" w:type="dxa"/>
        <w:tblInd w:w="-15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4A0" w:firstRow="1" w:lastRow="0" w:firstColumn="1" w:lastColumn="0" w:noHBand="0" w:noVBand="1"/>
      </w:tblPr>
      <w:tblGrid>
        <w:gridCol w:w="2836"/>
        <w:gridCol w:w="5103"/>
        <w:gridCol w:w="1701"/>
        <w:gridCol w:w="4394"/>
      </w:tblGrid>
      <w:tr w:rsidR="00DA42EB" w:rsidRPr="00CE1EA7" w14:paraId="65222925" w14:textId="77777777" w:rsidTr="72739566">
        <w:trPr>
          <w:tblHeader/>
        </w:trPr>
        <w:tc>
          <w:tcPr>
            <w:tcW w:w="2836" w:type="dxa"/>
            <w:tcBorders>
              <w:top w:val="single" w:sz="8" w:space="0" w:color="auto"/>
              <w:left w:val="single" w:sz="8" w:space="0" w:color="auto"/>
              <w:bottom w:val="single" w:sz="8" w:space="0" w:color="auto"/>
              <w:right w:val="single" w:sz="8" w:space="0" w:color="auto"/>
            </w:tcBorders>
            <w:shd w:val="clear" w:color="auto" w:fill="DDDBD5"/>
            <w:noWrap/>
            <w:tcMar>
              <w:left w:w="57" w:type="dxa"/>
              <w:right w:w="28" w:type="dxa"/>
            </w:tcMar>
          </w:tcPr>
          <w:p w14:paraId="76B46981" w14:textId="77777777" w:rsidR="00EB22CD" w:rsidRDefault="00EB22CD" w:rsidP="005F0859">
            <w:pPr>
              <w:rPr>
                <w:rFonts w:asciiTheme="minorHAnsi" w:hAnsiTheme="minorHAnsi" w:cstheme="minorHAnsi"/>
                <w:b/>
                <w:bCs/>
                <w:iCs/>
                <w:sz w:val="16"/>
                <w:szCs w:val="16"/>
              </w:rPr>
            </w:pPr>
            <w:r w:rsidRPr="00CE1EA7">
              <w:rPr>
                <w:rFonts w:asciiTheme="minorHAnsi" w:hAnsiTheme="minorHAnsi" w:cstheme="minorHAnsi"/>
                <w:b/>
                <w:bCs/>
                <w:iCs/>
                <w:sz w:val="16"/>
                <w:szCs w:val="16"/>
              </w:rPr>
              <w:t xml:space="preserve">Objectives under the different policies, programs and targets </w:t>
            </w:r>
          </w:p>
          <w:p w14:paraId="02407F3D" w14:textId="77777777" w:rsidR="00EB22CD" w:rsidRPr="00CE1EA7" w:rsidRDefault="00EB22CD" w:rsidP="005F0859">
            <w:pPr>
              <w:rPr>
                <w:rFonts w:asciiTheme="minorHAnsi" w:hAnsiTheme="minorHAnsi" w:cstheme="minorHAnsi"/>
                <w:b/>
                <w:bCs/>
                <w:sz w:val="16"/>
                <w:szCs w:val="16"/>
              </w:rPr>
            </w:pPr>
            <w:r w:rsidRPr="00CE1EA7">
              <w:rPr>
                <w:rFonts w:asciiTheme="minorHAnsi" w:hAnsiTheme="minorHAnsi" w:cstheme="minorHAnsi"/>
                <w:b/>
                <w:bCs/>
                <w:iCs/>
                <w:sz w:val="16"/>
                <w:szCs w:val="16"/>
              </w:rPr>
              <w:t>[Note</w:t>
            </w:r>
            <w:r>
              <w:rPr>
                <w:rFonts w:asciiTheme="minorHAnsi" w:hAnsiTheme="minorHAnsi" w:cstheme="minorHAnsi"/>
                <w:b/>
                <w:bCs/>
                <w:iCs/>
                <w:sz w:val="16"/>
                <w:szCs w:val="16"/>
              </w:rPr>
              <w:t>s</w:t>
            </w:r>
            <w:r w:rsidRPr="00CE1EA7">
              <w:rPr>
                <w:rFonts w:asciiTheme="minorHAnsi" w:hAnsiTheme="minorHAnsi" w:cstheme="minorHAnsi"/>
                <w:b/>
                <w:bCs/>
                <w:iCs/>
                <w:sz w:val="16"/>
                <w:szCs w:val="16"/>
              </w:rPr>
              <w:t xml:space="preserve"> </w:t>
            </w:r>
            <w:r>
              <w:rPr>
                <w:rFonts w:asciiTheme="minorHAnsi" w:hAnsiTheme="minorHAnsi" w:cstheme="minorHAnsi"/>
                <w:b/>
                <w:bCs/>
                <w:iCs/>
                <w:sz w:val="16"/>
                <w:szCs w:val="16"/>
              </w:rPr>
              <w:t>a</w:t>
            </w:r>
            <w:r w:rsidRPr="00CE1EA7">
              <w:rPr>
                <w:rFonts w:asciiTheme="minorHAnsi" w:hAnsiTheme="minorHAnsi" w:cstheme="minorHAnsi"/>
                <w:b/>
                <w:bCs/>
                <w:iCs/>
                <w:sz w:val="16"/>
                <w:szCs w:val="16"/>
              </w:rPr>
              <w:t>]</w:t>
            </w:r>
          </w:p>
        </w:tc>
        <w:tc>
          <w:tcPr>
            <w:tcW w:w="5103" w:type="dxa"/>
            <w:tcBorders>
              <w:top w:val="single" w:sz="8" w:space="0" w:color="auto"/>
              <w:left w:val="single" w:sz="8" w:space="0" w:color="auto"/>
              <w:bottom w:val="single" w:sz="8" w:space="0" w:color="auto"/>
              <w:right w:val="single" w:sz="8" w:space="0" w:color="auto"/>
            </w:tcBorders>
            <w:shd w:val="clear" w:color="auto" w:fill="DDDBD5"/>
            <w:noWrap/>
          </w:tcPr>
          <w:p w14:paraId="7F5E06EC" w14:textId="77777777" w:rsidR="00EB22CD" w:rsidRDefault="00EB22CD" w:rsidP="005F0859">
            <w:pPr>
              <w:rPr>
                <w:rFonts w:asciiTheme="minorHAnsi" w:hAnsiTheme="minorHAnsi" w:cstheme="minorHAnsi"/>
                <w:b/>
                <w:bCs/>
                <w:iCs/>
                <w:sz w:val="16"/>
                <w:szCs w:val="16"/>
              </w:rPr>
            </w:pPr>
            <w:r w:rsidRPr="00CE1EA7">
              <w:rPr>
                <w:rFonts w:asciiTheme="minorHAnsi" w:hAnsiTheme="minorHAnsi" w:cstheme="minorHAnsi"/>
                <w:b/>
                <w:bCs/>
                <w:iCs/>
                <w:sz w:val="16"/>
                <w:szCs w:val="16"/>
              </w:rPr>
              <w:t>Program Title, owner and Priority Actions</w:t>
            </w:r>
          </w:p>
          <w:p w14:paraId="553C7BAE" w14:textId="77777777" w:rsidR="00EB22CD" w:rsidRDefault="00EB22CD" w:rsidP="005F0859">
            <w:pPr>
              <w:rPr>
                <w:rFonts w:asciiTheme="minorHAnsi" w:hAnsiTheme="minorHAnsi" w:cstheme="minorHAnsi"/>
                <w:b/>
                <w:bCs/>
                <w:iCs/>
                <w:sz w:val="16"/>
                <w:szCs w:val="16"/>
              </w:rPr>
            </w:pPr>
          </w:p>
          <w:p w14:paraId="0C619B01" w14:textId="77777777" w:rsidR="00EB22CD" w:rsidRPr="00CE1EA7" w:rsidRDefault="00EB22CD" w:rsidP="005F0859">
            <w:pPr>
              <w:rPr>
                <w:rFonts w:asciiTheme="minorHAnsi" w:hAnsiTheme="minorHAnsi" w:cstheme="minorHAnsi"/>
                <w:b/>
                <w:bCs/>
                <w:iCs/>
                <w:sz w:val="16"/>
                <w:szCs w:val="16"/>
              </w:rPr>
            </w:pPr>
          </w:p>
        </w:tc>
        <w:tc>
          <w:tcPr>
            <w:tcW w:w="1701" w:type="dxa"/>
            <w:tcBorders>
              <w:top w:val="single" w:sz="8" w:space="0" w:color="auto"/>
              <w:left w:val="single" w:sz="8" w:space="0" w:color="auto"/>
              <w:bottom w:val="single" w:sz="8" w:space="0" w:color="auto"/>
              <w:right w:val="single" w:sz="8" w:space="0" w:color="auto"/>
            </w:tcBorders>
            <w:shd w:val="clear" w:color="auto" w:fill="DDDBD5"/>
          </w:tcPr>
          <w:p w14:paraId="17843235" w14:textId="77777777" w:rsidR="00EB22CD" w:rsidRPr="00CE1EA7" w:rsidRDefault="00EB22CD" w:rsidP="005F0859">
            <w:pPr>
              <w:rPr>
                <w:rFonts w:asciiTheme="minorHAnsi" w:hAnsiTheme="minorHAnsi" w:cstheme="minorHAnsi"/>
                <w:b/>
                <w:bCs/>
                <w:iCs/>
                <w:sz w:val="16"/>
                <w:szCs w:val="16"/>
              </w:rPr>
            </w:pPr>
            <w:r w:rsidRPr="00CE1EA7">
              <w:rPr>
                <w:rFonts w:asciiTheme="minorHAnsi" w:hAnsiTheme="minorHAnsi" w:cstheme="minorHAnsi"/>
                <w:b/>
                <w:bCs/>
                <w:iCs/>
                <w:sz w:val="16"/>
                <w:szCs w:val="16"/>
              </w:rPr>
              <w:t xml:space="preserve">Relevance </w:t>
            </w:r>
            <w:r>
              <w:rPr>
                <w:rFonts w:asciiTheme="minorHAnsi" w:hAnsiTheme="minorHAnsi" w:cstheme="minorHAnsi"/>
                <w:b/>
                <w:bCs/>
                <w:iCs/>
                <w:sz w:val="16"/>
                <w:szCs w:val="16"/>
              </w:rPr>
              <w:t>to</w:t>
            </w:r>
            <w:r w:rsidRPr="00CE1EA7">
              <w:rPr>
                <w:rFonts w:asciiTheme="minorHAnsi" w:hAnsiTheme="minorHAnsi" w:cstheme="minorHAnsi"/>
                <w:b/>
                <w:bCs/>
                <w:iCs/>
                <w:sz w:val="16"/>
                <w:szCs w:val="16"/>
              </w:rPr>
              <w:t xml:space="preserve"> project and its Components [Note </w:t>
            </w:r>
            <w:r>
              <w:rPr>
                <w:rFonts w:asciiTheme="minorHAnsi" w:hAnsiTheme="minorHAnsi" w:cstheme="minorHAnsi"/>
                <w:b/>
                <w:bCs/>
                <w:iCs/>
                <w:sz w:val="16"/>
                <w:szCs w:val="16"/>
              </w:rPr>
              <w:t>a</w:t>
            </w:r>
            <w:r w:rsidRPr="00CE1EA7">
              <w:rPr>
                <w:rFonts w:asciiTheme="minorHAnsi" w:hAnsiTheme="minorHAnsi" w:cstheme="minorHAnsi"/>
                <w:b/>
                <w:bCs/>
                <w:iCs/>
                <w:sz w:val="16"/>
                <w:szCs w:val="16"/>
              </w:rPr>
              <w:t>]</w:t>
            </w:r>
          </w:p>
        </w:tc>
        <w:tc>
          <w:tcPr>
            <w:tcW w:w="4394" w:type="dxa"/>
            <w:tcBorders>
              <w:top w:val="single" w:sz="8" w:space="0" w:color="auto"/>
              <w:left w:val="single" w:sz="8" w:space="0" w:color="auto"/>
              <w:bottom w:val="single" w:sz="8" w:space="0" w:color="auto"/>
              <w:right w:val="single" w:sz="8" w:space="0" w:color="auto"/>
            </w:tcBorders>
            <w:shd w:val="clear" w:color="auto" w:fill="DDDBD5"/>
          </w:tcPr>
          <w:p w14:paraId="4586E19D" w14:textId="77777777" w:rsidR="00EB22CD" w:rsidRDefault="00EB22CD" w:rsidP="005F0859">
            <w:pPr>
              <w:rPr>
                <w:rFonts w:asciiTheme="minorHAnsi" w:hAnsiTheme="minorHAnsi" w:cstheme="minorHAnsi"/>
                <w:b/>
                <w:bCs/>
                <w:iCs/>
                <w:sz w:val="16"/>
                <w:szCs w:val="16"/>
              </w:rPr>
            </w:pPr>
            <w:r w:rsidRPr="00CE1EA7">
              <w:rPr>
                <w:rFonts w:asciiTheme="minorHAnsi" w:hAnsiTheme="minorHAnsi" w:cstheme="minorHAnsi"/>
                <w:b/>
                <w:bCs/>
                <w:iCs/>
                <w:sz w:val="16"/>
                <w:szCs w:val="16"/>
              </w:rPr>
              <w:t xml:space="preserve">Baseline &amp; Co-financing amounts estimates from public investment programs for the duration of the project </w:t>
            </w:r>
          </w:p>
          <w:p w14:paraId="628A0D03" w14:textId="77777777" w:rsidR="00EB22CD" w:rsidRPr="00CE1EA7" w:rsidRDefault="00EB22CD" w:rsidP="005F0859">
            <w:pPr>
              <w:rPr>
                <w:rFonts w:asciiTheme="minorHAnsi" w:hAnsiTheme="minorHAnsi" w:cstheme="minorHAnsi"/>
                <w:b/>
                <w:bCs/>
                <w:iCs/>
                <w:sz w:val="16"/>
                <w:szCs w:val="16"/>
              </w:rPr>
            </w:pPr>
            <w:r w:rsidRPr="00CE1EA7">
              <w:rPr>
                <w:rFonts w:asciiTheme="minorHAnsi" w:hAnsiTheme="minorHAnsi" w:cstheme="minorHAnsi"/>
                <w:b/>
                <w:bCs/>
                <w:iCs/>
                <w:sz w:val="16"/>
                <w:szCs w:val="16"/>
              </w:rPr>
              <w:t>[Note</w:t>
            </w:r>
            <w:r>
              <w:rPr>
                <w:rFonts w:asciiTheme="minorHAnsi" w:hAnsiTheme="minorHAnsi" w:cstheme="minorHAnsi"/>
                <w:b/>
                <w:bCs/>
                <w:iCs/>
                <w:sz w:val="16"/>
                <w:szCs w:val="16"/>
              </w:rPr>
              <w:t xml:space="preserve"> b</w:t>
            </w:r>
            <w:r w:rsidRPr="00CE1EA7">
              <w:rPr>
                <w:rFonts w:asciiTheme="minorHAnsi" w:hAnsiTheme="minorHAnsi" w:cstheme="minorHAnsi"/>
                <w:b/>
                <w:bCs/>
                <w:iCs/>
                <w:sz w:val="16"/>
                <w:szCs w:val="16"/>
              </w:rPr>
              <w:t>]</w:t>
            </w:r>
          </w:p>
        </w:tc>
      </w:tr>
      <w:tr w:rsidR="00DA42EB" w:rsidRPr="00CE1EA7" w14:paraId="5D098449" w14:textId="77777777" w:rsidTr="72739566">
        <w:tc>
          <w:tcPr>
            <w:tcW w:w="2836" w:type="dxa"/>
            <w:tcBorders>
              <w:top w:val="single" w:sz="8" w:space="0" w:color="auto"/>
              <w:left w:val="single" w:sz="8" w:space="0" w:color="auto"/>
              <w:bottom w:val="single" w:sz="8" w:space="0" w:color="auto"/>
              <w:right w:val="single" w:sz="8" w:space="0" w:color="auto"/>
            </w:tcBorders>
            <w:shd w:val="clear" w:color="auto" w:fill="F6F4D0"/>
          </w:tcPr>
          <w:p w14:paraId="6A915059" w14:textId="77777777" w:rsidR="00EB22CD" w:rsidRPr="00CE1EA7" w:rsidRDefault="00EB22CD" w:rsidP="005F0859">
            <w:pPr>
              <w:keepNext/>
              <w:rPr>
                <w:rFonts w:asciiTheme="minorHAnsi" w:hAnsiTheme="minorHAnsi" w:cstheme="minorHAnsi"/>
                <w:b/>
                <w:bCs/>
                <w:iCs/>
                <w:sz w:val="16"/>
                <w:szCs w:val="16"/>
              </w:rPr>
            </w:pPr>
            <w:r w:rsidRPr="00CE1EA7">
              <w:rPr>
                <w:rFonts w:asciiTheme="minorHAnsi" w:hAnsiTheme="minorHAnsi" w:cstheme="minorHAnsi"/>
                <w:b/>
                <w:bCs/>
                <w:iCs/>
                <w:sz w:val="16"/>
                <w:szCs w:val="16"/>
              </w:rPr>
              <w:t>XII. ENVIRONMENTAL SUSTAINABILITY POLICY</w:t>
            </w:r>
          </w:p>
        </w:tc>
        <w:tc>
          <w:tcPr>
            <w:tcW w:w="5103" w:type="dxa"/>
            <w:tcBorders>
              <w:top w:val="single" w:sz="8" w:space="0" w:color="auto"/>
              <w:left w:val="single" w:sz="8" w:space="0" w:color="auto"/>
              <w:bottom w:val="single" w:sz="8" w:space="0" w:color="auto"/>
              <w:right w:val="single" w:sz="8" w:space="0" w:color="auto"/>
            </w:tcBorders>
            <w:shd w:val="clear" w:color="auto" w:fill="F6F4D0"/>
            <w:noWrap/>
          </w:tcPr>
          <w:p w14:paraId="63C4535A" w14:textId="0918ED3F" w:rsidR="00EB22CD" w:rsidRPr="00CE1EA7" w:rsidRDefault="00EB22CD" w:rsidP="005F0859">
            <w:pPr>
              <w:keepNext/>
              <w:rPr>
                <w:rFonts w:asciiTheme="minorHAnsi" w:hAnsiTheme="minorHAnsi" w:cstheme="minorBidi"/>
                <w:b/>
                <w:bCs/>
                <w:sz w:val="16"/>
                <w:szCs w:val="16"/>
              </w:rPr>
            </w:pPr>
            <w:r w:rsidRPr="4D10DE74">
              <w:rPr>
                <w:rFonts w:asciiTheme="minorHAnsi" w:hAnsiTheme="minorHAnsi" w:cstheme="minorBidi"/>
                <w:b/>
                <w:bCs/>
                <w:sz w:val="16"/>
                <w:szCs w:val="16"/>
              </w:rPr>
              <w:t>MCTA (DNAAC) / PND Program # 2.4.1: Climate Change</w:t>
            </w:r>
          </w:p>
          <w:p w14:paraId="7DBE888C" w14:textId="77777777" w:rsidR="00EB22CD" w:rsidRPr="00CE1EA7" w:rsidRDefault="00EB22CD" w:rsidP="005F0859">
            <w:pPr>
              <w:keepNext/>
              <w:rPr>
                <w:rFonts w:asciiTheme="minorHAnsi" w:hAnsiTheme="minorHAnsi" w:cstheme="minorHAnsi"/>
                <w:b/>
                <w:bCs/>
                <w:iCs/>
                <w:sz w:val="16"/>
                <w:szCs w:val="16"/>
              </w:rPr>
            </w:pPr>
          </w:p>
        </w:tc>
        <w:tc>
          <w:tcPr>
            <w:tcW w:w="1701" w:type="dxa"/>
            <w:tcBorders>
              <w:top w:val="single" w:sz="8" w:space="0" w:color="auto"/>
              <w:left w:val="single" w:sz="8" w:space="0" w:color="auto"/>
              <w:bottom w:val="single" w:sz="8" w:space="0" w:color="auto"/>
              <w:right w:val="single" w:sz="8" w:space="0" w:color="auto"/>
            </w:tcBorders>
            <w:shd w:val="clear" w:color="auto" w:fill="F6F4D0"/>
          </w:tcPr>
          <w:p w14:paraId="11894F6F" w14:textId="77777777" w:rsidR="00EB22CD" w:rsidRPr="00CE1EA7" w:rsidRDefault="00EB22CD" w:rsidP="005F0859">
            <w:pPr>
              <w:keepNext/>
              <w:rPr>
                <w:rFonts w:asciiTheme="minorHAnsi" w:hAnsiTheme="minorHAnsi" w:cstheme="minorHAnsi"/>
                <w:b/>
                <w:bCs/>
                <w:iCs/>
                <w:sz w:val="16"/>
                <w:szCs w:val="16"/>
              </w:rPr>
            </w:pPr>
            <w:r w:rsidRPr="00CE1EA7">
              <w:rPr>
                <w:rFonts w:asciiTheme="minorHAnsi" w:hAnsiTheme="minorHAnsi" w:cstheme="minorHAnsi"/>
                <w:b/>
                <w:bCs/>
                <w:iCs/>
                <w:sz w:val="16"/>
                <w:szCs w:val="16"/>
              </w:rPr>
              <w:t xml:space="preserve">Programmatic relevance: </w:t>
            </w:r>
            <w:r w:rsidRPr="00CE1EA7">
              <w:rPr>
                <w:rFonts w:asciiTheme="minorHAnsi" w:hAnsiTheme="minorHAnsi" w:cstheme="minorHAnsi"/>
                <w:b/>
                <w:bCs/>
                <w:i/>
                <w:sz w:val="16"/>
                <w:szCs w:val="16"/>
              </w:rPr>
              <w:t>100%</w:t>
            </w:r>
          </w:p>
        </w:tc>
        <w:tc>
          <w:tcPr>
            <w:tcW w:w="4394" w:type="dxa"/>
            <w:tcBorders>
              <w:top w:val="single" w:sz="8" w:space="0" w:color="auto"/>
              <w:left w:val="single" w:sz="8" w:space="0" w:color="auto"/>
              <w:bottom w:val="single" w:sz="8" w:space="0" w:color="auto"/>
              <w:right w:val="single" w:sz="8" w:space="0" w:color="auto"/>
            </w:tcBorders>
            <w:shd w:val="clear" w:color="auto" w:fill="F6F4D0"/>
            <w:noWrap/>
          </w:tcPr>
          <w:p w14:paraId="5BB91071" w14:textId="1C523E44" w:rsidR="00EB22CD" w:rsidRPr="00CE1EA7" w:rsidRDefault="00EB22CD" w:rsidP="005F0859">
            <w:pPr>
              <w:tabs>
                <w:tab w:val="right" w:pos="2086"/>
              </w:tabs>
              <w:rPr>
                <w:rFonts w:asciiTheme="minorHAnsi" w:hAnsiTheme="minorHAnsi" w:cstheme="minorBidi"/>
                <w:b/>
                <w:bCs/>
                <w:sz w:val="16"/>
                <w:szCs w:val="16"/>
              </w:rPr>
            </w:pPr>
            <w:r w:rsidRPr="4D10DE74">
              <w:rPr>
                <w:rFonts w:asciiTheme="minorHAnsi" w:hAnsiTheme="minorHAnsi" w:cstheme="minorBidi"/>
                <w:b/>
                <w:bCs/>
                <w:sz w:val="16"/>
                <w:szCs w:val="16"/>
                <w:u w:val="single"/>
              </w:rPr>
              <w:t>From MCTA, Environment (LD+CC)</w:t>
            </w:r>
            <w:r w:rsidRPr="4D10DE74">
              <w:rPr>
                <w:rFonts w:asciiTheme="minorHAnsi" w:hAnsiTheme="minorHAnsi" w:cstheme="minorBidi"/>
                <w:b/>
                <w:bCs/>
                <w:sz w:val="16"/>
                <w:szCs w:val="16"/>
              </w:rPr>
              <w:t>:</w:t>
            </w:r>
          </w:p>
          <w:p w14:paraId="65B8A4F4" w14:textId="00EEB853" w:rsidR="00EB22CD" w:rsidRPr="00CE1EA7" w:rsidRDefault="00EB22CD" w:rsidP="005F0859">
            <w:pPr>
              <w:keepNext/>
              <w:tabs>
                <w:tab w:val="right" w:pos="2086"/>
              </w:tabs>
              <w:rPr>
                <w:rFonts w:asciiTheme="minorHAnsi" w:hAnsiTheme="minorHAnsi" w:cstheme="minorHAnsi"/>
                <w:b/>
                <w:bCs/>
                <w:iCs/>
                <w:sz w:val="16"/>
                <w:szCs w:val="16"/>
              </w:rPr>
            </w:pPr>
            <w:r w:rsidRPr="00CE1EA7">
              <w:rPr>
                <w:rFonts w:asciiTheme="minorHAnsi" w:hAnsiTheme="minorHAnsi" w:cstheme="minorHAnsi"/>
                <w:b/>
                <w:bCs/>
                <w:iCs/>
                <w:sz w:val="16"/>
                <w:szCs w:val="16"/>
              </w:rPr>
              <w:t>- BASELINE:</w:t>
            </w:r>
            <w:r w:rsidRPr="00CE1EA7">
              <w:rPr>
                <w:rFonts w:asciiTheme="minorHAnsi" w:hAnsiTheme="minorHAnsi" w:cstheme="minorHAnsi"/>
                <w:b/>
                <w:bCs/>
                <w:iCs/>
                <w:sz w:val="16"/>
                <w:szCs w:val="16"/>
              </w:rPr>
              <w:tab/>
            </w:r>
            <w:r w:rsidR="00BE75B4" w:rsidRPr="00CE1EA7">
              <w:rPr>
                <w:rFonts w:asciiTheme="minorHAnsi" w:hAnsiTheme="minorHAnsi" w:cstheme="minorHAnsi"/>
                <w:b/>
                <w:bCs/>
                <w:iCs/>
                <w:sz w:val="16"/>
                <w:szCs w:val="16"/>
              </w:rPr>
              <w:t>$</w:t>
            </w:r>
            <w:r w:rsidR="00BE75B4">
              <w:rPr>
                <w:rFonts w:asciiTheme="minorHAnsi" w:hAnsiTheme="minorHAnsi" w:cstheme="minorHAnsi"/>
                <w:b/>
                <w:bCs/>
                <w:iCs/>
                <w:sz w:val="16"/>
                <w:szCs w:val="16"/>
              </w:rPr>
              <w:t>36</w:t>
            </w:r>
            <w:r w:rsidR="00BE75B4" w:rsidRPr="00CE1EA7">
              <w:rPr>
                <w:rFonts w:asciiTheme="minorHAnsi" w:hAnsiTheme="minorHAnsi" w:cstheme="minorHAnsi"/>
                <w:b/>
                <w:bCs/>
                <w:iCs/>
                <w:sz w:val="16"/>
                <w:szCs w:val="16"/>
              </w:rPr>
              <w:t>.</w:t>
            </w:r>
            <w:r w:rsidR="00BE75B4">
              <w:rPr>
                <w:rFonts w:asciiTheme="minorHAnsi" w:hAnsiTheme="minorHAnsi" w:cstheme="minorHAnsi"/>
                <w:b/>
                <w:bCs/>
                <w:iCs/>
                <w:sz w:val="16"/>
                <w:szCs w:val="16"/>
              </w:rPr>
              <w:t>6</w:t>
            </w:r>
            <w:r w:rsidR="00BE75B4" w:rsidRPr="00CE1EA7">
              <w:rPr>
                <w:rFonts w:asciiTheme="minorHAnsi" w:hAnsiTheme="minorHAnsi" w:cstheme="minorHAnsi"/>
                <w:b/>
                <w:bCs/>
                <w:iCs/>
                <w:sz w:val="16"/>
                <w:szCs w:val="16"/>
              </w:rPr>
              <w:t xml:space="preserve"> M</w:t>
            </w:r>
          </w:p>
          <w:p w14:paraId="779CFFAD" w14:textId="0BB6FA7B" w:rsidR="00EB22CD" w:rsidRPr="00CE1EA7" w:rsidRDefault="00EB22CD" w:rsidP="005F0859">
            <w:pPr>
              <w:keepNext/>
              <w:tabs>
                <w:tab w:val="right" w:pos="2086"/>
              </w:tabs>
              <w:rPr>
                <w:rFonts w:asciiTheme="minorHAnsi" w:hAnsiTheme="minorHAnsi" w:cstheme="minorHAnsi"/>
                <w:b/>
                <w:bCs/>
                <w:iCs/>
                <w:sz w:val="16"/>
                <w:szCs w:val="16"/>
              </w:rPr>
            </w:pPr>
            <w:r w:rsidRPr="00CE1EA7">
              <w:rPr>
                <w:rFonts w:asciiTheme="minorHAnsi" w:hAnsiTheme="minorHAnsi" w:cstheme="minorHAnsi"/>
                <w:b/>
                <w:bCs/>
                <w:iCs/>
                <w:sz w:val="16"/>
                <w:szCs w:val="16"/>
              </w:rPr>
              <w:t xml:space="preserve">- CO-FINANCING: </w:t>
            </w:r>
            <w:r w:rsidRPr="00CE1EA7">
              <w:rPr>
                <w:rFonts w:asciiTheme="minorHAnsi" w:hAnsiTheme="minorHAnsi" w:cstheme="minorHAnsi"/>
                <w:b/>
                <w:bCs/>
                <w:iCs/>
                <w:sz w:val="16"/>
                <w:szCs w:val="16"/>
              </w:rPr>
              <w:tab/>
              <w:t>$21.</w:t>
            </w:r>
            <w:r w:rsidR="007D6987">
              <w:rPr>
                <w:rFonts w:asciiTheme="minorHAnsi" w:hAnsiTheme="minorHAnsi" w:cstheme="minorHAnsi"/>
                <w:b/>
                <w:bCs/>
                <w:iCs/>
                <w:sz w:val="16"/>
                <w:szCs w:val="16"/>
              </w:rPr>
              <w:t>5</w:t>
            </w:r>
            <w:r w:rsidRPr="00CE1EA7">
              <w:rPr>
                <w:rFonts w:asciiTheme="minorHAnsi" w:hAnsiTheme="minorHAnsi" w:cstheme="minorHAnsi"/>
                <w:b/>
                <w:bCs/>
                <w:iCs/>
                <w:sz w:val="16"/>
                <w:szCs w:val="16"/>
              </w:rPr>
              <w:t xml:space="preserve"> M</w:t>
            </w:r>
          </w:p>
        </w:tc>
      </w:tr>
      <w:tr w:rsidR="00871AA1" w:rsidRPr="00CE1EA7" w14:paraId="40C59F2E" w14:textId="77777777" w:rsidTr="72739566">
        <w:trPr>
          <w:trHeight w:val="2370"/>
        </w:trPr>
        <w:tc>
          <w:tcPr>
            <w:tcW w:w="2836" w:type="dxa"/>
            <w:tcBorders>
              <w:top w:val="single" w:sz="8" w:space="0" w:color="auto"/>
              <w:left w:val="single" w:sz="8" w:space="0" w:color="auto"/>
              <w:bottom w:val="single" w:sz="8" w:space="0" w:color="auto"/>
              <w:right w:val="single" w:sz="8" w:space="0" w:color="auto"/>
            </w:tcBorders>
            <w:shd w:val="clear" w:color="auto" w:fill="auto"/>
          </w:tcPr>
          <w:p w14:paraId="5124C8D9" w14:textId="77777777" w:rsidR="00EB22CD" w:rsidRPr="00CE1EA7" w:rsidRDefault="00EB22CD" w:rsidP="005F0859">
            <w:pPr>
              <w:rPr>
                <w:rFonts w:asciiTheme="minorHAnsi" w:hAnsiTheme="minorHAnsi" w:cstheme="minorHAnsi"/>
                <w:i/>
                <w:sz w:val="16"/>
                <w:szCs w:val="16"/>
              </w:rPr>
            </w:pPr>
            <w:r w:rsidRPr="00CE1EA7">
              <w:rPr>
                <w:rFonts w:asciiTheme="minorHAnsi" w:hAnsiTheme="minorHAnsi" w:cstheme="minorHAnsi"/>
                <w:i/>
                <w:sz w:val="16"/>
                <w:szCs w:val="16"/>
              </w:rPr>
              <w:t>3: Reinforce the fight against drought and desertification, in particular by establishing institutional mechanisms for coordination, participation and action between different sectors</w:t>
            </w:r>
          </w:p>
          <w:p w14:paraId="0B3A0EFE" w14:textId="77777777" w:rsidR="00EB22CD" w:rsidRPr="00CE1EA7" w:rsidRDefault="00EB22CD" w:rsidP="005F0859">
            <w:pPr>
              <w:rPr>
                <w:rFonts w:asciiTheme="minorHAnsi" w:hAnsiTheme="minorHAnsi" w:cstheme="minorHAnsi"/>
                <w:iCs/>
                <w:sz w:val="16"/>
                <w:szCs w:val="16"/>
              </w:rPr>
            </w:pPr>
          </w:p>
          <w:p w14:paraId="4D5DD7CD" w14:textId="77777777" w:rsidR="00EB22CD" w:rsidRPr="00CE1EA7" w:rsidRDefault="00EB22CD" w:rsidP="005F0859">
            <w:pPr>
              <w:rPr>
                <w:rFonts w:asciiTheme="minorHAnsi" w:hAnsiTheme="minorHAnsi" w:cstheme="minorHAnsi"/>
                <w:iCs/>
                <w:sz w:val="16"/>
                <w:szCs w:val="16"/>
              </w:rPr>
            </w:pPr>
            <w:r w:rsidRPr="00CE1EA7">
              <w:rPr>
                <w:rFonts w:asciiTheme="minorHAnsi" w:hAnsiTheme="minorHAnsi" w:cstheme="minorHAnsi"/>
                <w:b/>
                <w:bCs/>
                <w:iCs/>
                <w:sz w:val="16"/>
                <w:szCs w:val="16"/>
              </w:rPr>
              <w:t>Target 3.4: Mapping of Zones with Land Degradation in all provinces by 2022</w:t>
            </w:r>
          </w:p>
        </w:tc>
        <w:tc>
          <w:tcPr>
            <w:tcW w:w="5103" w:type="dxa"/>
            <w:tcBorders>
              <w:top w:val="single" w:sz="8" w:space="0" w:color="auto"/>
              <w:left w:val="single" w:sz="8" w:space="0" w:color="auto"/>
              <w:bottom w:val="single" w:sz="8" w:space="0" w:color="auto"/>
              <w:right w:val="single" w:sz="8" w:space="0" w:color="auto"/>
            </w:tcBorders>
          </w:tcPr>
          <w:p w14:paraId="4D9E4BCB" w14:textId="77777777" w:rsidR="00C03B3C" w:rsidRPr="00C03B3C" w:rsidRDefault="00C03B3C" w:rsidP="00C03B3C">
            <w:pPr>
              <w:ind w:left="37"/>
              <w:rPr>
                <w:rFonts w:asciiTheme="minorHAnsi" w:hAnsiTheme="minorHAnsi" w:cstheme="minorHAnsi"/>
                <w:sz w:val="16"/>
                <w:szCs w:val="16"/>
              </w:rPr>
            </w:pPr>
            <w:r w:rsidRPr="00C03B3C">
              <w:rPr>
                <w:rFonts w:asciiTheme="minorHAnsi" w:hAnsiTheme="minorHAnsi" w:cstheme="minorHAnsi"/>
                <w:sz w:val="16"/>
                <w:szCs w:val="16"/>
              </w:rPr>
              <w:t>Being executed by the  Ministry of Culture, Tourism and Environment (MCTA) through its  Directorate of Environment and Climate Action (DNAAC), Program #2.4.1 is included in the National Development Program (PND 2018-2022) and it is linked to PND policy objective XII. ENVIRONMENTAL SUSTAINABILITY POLICY. The following goal is relevant to the project: 3: Reinforce the fight against drought and desertification, in particular by establishing institutional mechanisms for coordination, participation and action between different sectors. Core topics under the Program include:</w:t>
            </w:r>
          </w:p>
          <w:p w14:paraId="4CCE8AA7" w14:textId="77777777" w:rsidR="00C03B3C" w:rsidRPr="00C03B3C" w:rsidRDefault="00C03B3C" w:rsidP="00C03B3C">
            <w:pPr>
              <w:ind w:left="462" w:hanging="360"/>
              <w:rPr>
                <w:rFonts w:asciiTheme="minorHAnsi" w:hAnsiTheme="minorHAnsi" w:cstheme="minorHAnsi"/>
                <w:sz w:val="16"/>
                <w:szCs w:val="16"/>
              </w:rPr>
            </w:pPr>
            <w:r w:rsidRPr="00C03B3C">
              <w:rPr>
                <w:rFonts w:asciiTheme="minorHAnsi" w:hAnsiTheme="minorHAnsi" w:cstheme="minorHAnsi"/>
                <w:sz w:val="16"/>
                <w:szCs w:val="16"/>
              </w:rPr>
              <w:t>•</w:t>
            </w:r>
            <w:r w:rsidRPr="00C03B3C">
              <w:rPr>
                <w:rFonts w:asciiTheme="minorHAnsi" w:hAnsiTheme="minorHAnsi" w:cstheme="minorHAnsi"/>
                <w:sz w:val="16"/>
                <w:szCs w:val="16"/>
              </w:rPr>
              <w:tab/>
              <w:t>Establish a land-use mapping mechanism to allow monitoring of land-use including, for environmental management purposes, identification of land degradation and desertification zones. This mechanism will make it possible to identify measures to address land degradation factors, including measurable, verifiable and time-bound targets, based on the UNCCD and SDG indicators related to Target 15.3. This exercise will be triggered, phased, nationally in provincial increments;</w:t>
            </w:r>
          </w:p>
          <w:p w14:paraId="2AAA15B1" w14:textId="77777777" w:rsidR="00C03B3C" w:rsidRPr="00C03B3C" w:rsidRDefault="00C03B3C" w:rsidP="00C03B3C">
            <w:pPr>
              <w:ind w:left="462" w:hanging="360"/>
              <w:rPr>
                <w:rFonts w:asciiTheme="minorHAnsi" w:hAnsiTheme="minorHAnsi" w:cstheme="minorHAnsi"/>
                <w:sz w:val="16"/>
                <w:szCs w:val="16"/>
              </w:rPr>
            </w:pPr>
            <w:r w:rsidRPr="00C03B3C">
              <w:rPr>
                <w:rFonts w:asciiTheme="minorHAnsi" w:hAnsiTheme="minorHAnsi" w:cstheme="minorHAnsi"/>
                <w:sz w:val="16"/>
                <w:szCs w:val="16"/>
              </w:rPr>
              <w:t>•</w:t>
            </w:r>
            <w:r w:rsidRPr="00C03B3C">
              <w:rPr>
                <w:rFonts w:asciiTheme="minorHAnsi" w:hAnsiTheme="minorHAnsi" w:cstheme="minorHAnsi"/>
                <w:sz w:val="16"/>
                <w:szCs w:val="16"/>
              </w:rPr>
              <w:tab/>
              <w:t>Map areas of land degradation;</w:t>
            </w:r>
          </w:p>
          <w:p w14:paraId="5A0EE5CA" w14:textId="77777777" w:rsidR="00C03B3C" w:rsidRPr="00C03B3C" w:rsidRDefault="00C03B3C" w:rsidP="00C03B3C">
            <w:pPr>
              <w:ind w:left="462" w:hanging="360"/>
              <w:rPr>
                <w:rFonts w:asciiTheme="minorHAnsi" w:hAnsiTheme="minorHAnsi" w:cstheme="minorHAnsi"/>
                <w:sz w:val="16"/>
                <w:szCs w:val="16"/>
              </w:rPr>
            </w:pPr>
            <w:r w:rsidRPr="00C03B3C">
              <w:rPr>
                <w:rFonts w:asciiTheme="minorHAnsi" w:hAnsiTheme="minorHAnsi" w:cstheme="minorHAnsi"/>
                <w:sz w:val="16"/>
                <w:szCs w:val="16"/>
              </w:rPr>
              <w:t>•</w:t>
            </w:r>
            <w:r w:rsidRPr="00C03B3C">
              <w:rPr>
                <w:rFonts w:asciiTheme="minorHAnsi" w:hAnsiTheme="minorHAnsi" w:cstheme="minorHAnsi"/>
                <w:sz w:val="16"/>
                <w:szCs w:val="16"/>
              </w:rPr>
              <w:tab/>
              <w:t>Formulate and implement strategies for control of desertification at the local level and guidelines for designing and reviewing policies and measures to support the sustainable development of areas susceptible or affected by drought or desertification;</w:t>
            </w:r>
          </w:p>
          <w:p w14:paraId="089262F5" w14:textId="77777777" w:rsidR="00C03B3C" w:rsidRPr="00C03B3C" w:rsidRDefault="00C03B3C" w:rsidP="00C03B3C">
            <w:pPr>
              <w:ind w:left="462" w:hanging="360"/>
              <w:rPr>
                <w:rFonts w:asciiTheme="minorHAnsi" w:hAnsiTheme="minorHAnsi" w:cstheme="minorHAnsi"/>
                <w:sz w:val="16"/>
                <w:szCs w:val="16"/>
              </w:rPr>
            </w:pPr>
            <w:r w:rsidRPr="00C03B3C">
              <w:rPr>
                <w:rFonts w:asciiTheme="minorHAnsi" w:hAnsiTheme="minorHAnsi" w:cstheme="minorHAnsi"/>
                <w:sz w:val="16"/>
                <w:szCs w:val="16"/>
              </w:rPr>
              <w:t>•</w:t>
            </w:r>
            <w:r w:rsidRPr="00C03B3C">
              <w:rPr>
                <w:rFonts w:asciiTheme="minorHAnsi" w:hAnsiTheme="minorHAnsi" w:cstheme="minorHAnsi"/>
                <w:sz w:val="16"/>
                <w:szCs w:val="16"/>
              </w:rPr>
              <w:tab/>
              <w:t>Implementing long-term integrated measures and strategies in the affected areas, based on increased land productivity, rehabilitation, conservation and sustainable management of land resources, including the establishment of tree nurseries (fodder and fruit trees) for land rehabilitation purposes.</w:t>
            </w:r>
          </w:p>
          <w:p w14:paraId="72EB0C0B" w14:textId="77777777" w:rsidR="00C03B3C" w:rsidRPr="00C03B3C" w:rsidRDefault="00C03B3C" w:rsidP="00C03B3C">
            <w:pPr>
              <w:ind w:left="462" w:hanging="360"/>
              <w:rPr>
                <w:rFonts w:asciiTheme="minorHAnsi" w:hAnsiTheme="minorHAnsi" w:cstheme="minorHAnsi"/>
                <w:sz w:val="16"/>
                <w:szCs w:val="16"/>
              </w:rPr>
            </w:pPr>
            <w:r w:rsidRPr="00C03B3C">
              <w:rPr>
                <w:rFonts w:asciiTheme="minorHAnsi" w:hAnsiTheme="minorHAnsi" w:cstheme="minorHAnsi"/>
                <w:sz w:val="16"/>
                <w:szCs w:val="16"/>
              </w:rPr>
              <w:t>SYNERGIES AND COLLABORATION:</w:t>
            </w:r>
          </w:p>
          <w:p w14:paraId="50F817AD" w14:textId="191EE1A6" w:rsidR="00EB22CD" w:rsidRPr="00C03B3C" w:rsidRDefault="50B88322" w:rsidP="25447658">
            <w:pPr>
              <w:ind w:left="37"/>
              <w:rPr>
                <w:rFonts w:asciiTheme="minorHAnsi" w:hAnsiTheme="minorHAnsi" w:cstheme="minorBidi"/>
                <w:sz w:val="16"/>
                <w:szCs w:val="16"/>
              </w:rPr>
            </w:pPr>
            <w:r w:rsidRPr="25447658">
              <w:rPr>
                <w:rFonts w:asciiTheme="minorHAnsi" w:hAnsiTheme="minorHAnsi" w:cstheme="minorBidi"/>
                <w:sz w:val="16"/>
                <w:szCs w:val="16"/>
              </w:rPr>
              <w:t>The topics under PND Program #2.4.1 (Climate Change) are highly relevant to the subject matter of the DSL IP Child Project. Some of the activities, such as mapping areas of land degradation, will be undertaken by the project. Mapping and preliminary analysis has in fact already been undertaken through the Child Project’s PPG. It will be expanded during the full project’s implementation. The full project will also be instrumental in establish a land-use mapping mechanism to allow monitoring of land-use</w:t>
            </w:r>
            <w:r w:rsidR="3579A6F5" w:rsidRPr="37237217">
              <w:rPr>
                <w:rFonts w:asciiTheme="minorHAnsi" w:hAnsiTheme="minorHAnsi" w:cstheme="minorBidi"/>
                <w:sz w:val="16"/>
                <w:szCs w:val="16"/>
              </w:rPr>
              <w:t xml:space="preserve">, </w:t>
            </w:r>
            <w:r w:rsidR="3579A6F5" w:rsidRPr="00ED0EBA">
              <w:rPr>
                <w:rFonts w:asciiTheme="minorHAnsi" w:hAnsiTheme="minorHAnsi" w:cstheme="minorBidi"/>
                <w:sz w:val="16"/>
                <w:szCs w:val="16"/>
                <w:highlight w:val="yellow"/>
              </w:rPr>
              <w:t xml:space="preserve">therefore Outcomes 1.1 and 3.1 will </w:t>
            </w:r>
            <w:r w:rsidR="3200D095" w:rsidRPr="00ED0EBA">
              <w:rPr>
                <w:rFonts w:asciiTheme="minorHAnsi" w:hAnsiTheme="minorHAnsi" w:cstheme="minorBidi"/>
                <w:sz w:val="16"/>
                <w:szCs w:val="16"/>
                <w:highlight w:val="yellow"/>
              </w:rPr>
              <w:t>be directly linked to this program</w:t>
            </w:r>
            <w:r w:rsidR="1A1E37D2" w:rsidRPr="37237217">
              <w:rPr>
                <w:rFonts w:asciiTheme="minorHAnsi" w:hAnsiTheme="minorHAnsi" w:cstheme="minorBidi"/>
                <w:sz w:val="16"/>
                <w:szCs w:val="16"/>
              </w:rPr>
              <w:t xml:space="preserve">. </w:t>
            </w:r>
            <w:r w:rsidR="5326CBF5" w:rsidRPr="37237217">
              <w:rPr>
                <w:rFonts w:asciiTheme="minorHAnsi" w:hAnsiTheme="minorHAnsi" w:cstheme="minorBidi"/>
                <w:sz w:val="16"/>
                <w:szCs w:val="16"/>
              </w:rPr>
              <w:t xml:space="preserve"> </w:t>
            </w:r>
            <w:r w:rsidR="5326CBF5" w:rsidRPr="00416E37">
              <w:rPr>
                <w:rFonts w:asciiTheme="minorHAnsi" w:hAnsiTheme="minorHAnsi" w:cstheme="minorBidi"/>
                <w:sz w:val="16"/>
                <w:szCs w:val="16"/>
                <w:highlight w:val="yellow"/>
              </w:rPr>
              <w:t>Additionally</w:t>
            </w:r>
            <w:r w:rsidR="5326CBF5" w:rsidRPr="37237217">
              <w:rPr>
                <w:rFonts w:asciiTheme="minorHAnsi" w:hAnsiTheme="minorHAnsi" w:cstheme="minorBidi"/>
                <w:sz w:val="16"/>
                <w:szCs w:val="16"/>
              </w:rPr>
              <w:t>,</w:t>
            </w:r>
            <w:r w:rsidRPr="25447658">
              <w:rPr>
                <w:rFonts w:asciiTheme="minorHAnsi" w:hAnsiTheme="minorHAnsi" w:cstheme="minorBidi"/>
                <w:sz w:val="16"/>
                <w:szCs w:val="16"/>
              </w:rPr>
              <w:t xml:space="preserve"> It can be assumed that much of Government funding will go </w:t>
            </w:r>
            <w:r w:rsidRPr="25447658">
              <w:rPr>
                <w:rFonts w:asciiTheme="minorHAnsi" w:hAnsiTheme="minorHAnsi" w:cstheme="minorBidi"/>
                <w:sz w:val="16"/>
                <w:szCs w:val="16"/>
              </w:rPr>
              <w:lastRenderedPageBreak/>
              <w:t xml:space="preserve">towards </w:t>
            </w:r>
            <w:r w:rsidR="3EC23934" w:rsidRPr="00BF0F72">
              <w:rPr>
                <w:rFonts w:asciiTheme="minorHAnsi" w:hAnsiTheme="minorHAnsi" w:cstheme="minorBidi"/>
                <w:sz w:val="16"/>
                <w:szCs w:val="16"/>
                <w:highlight w:val="yellow"/>
              </w:rPr>
              <w:t>applied</w:t>
            </w:r>
            <w:r w:rsidRPr="25447658">
              <w:rPr>
                <w:rFonts w:asciiTheme="minorHAnsi" w:hAnsiTheme="minorHAnsi" w:cstheme="minorBidi"/>
                <w:sz w:val="16"/>
                <w:szCs w:val="16"/>
              </w:rPr>
              <w:t xml:space="preserve"> measures of desertification control at the local level, making the baseline finance insufficient for addressing long-term challenges</w:t>
            </w:r>
            <w:r w:rsidR="05B456BF" w:rsidRPr="37237217">
              <w:rPr>
                <w:rFonts w:asciiTheme="minorHAnsi" w:hAnsiTheme="minorHAnsi" w:cstheme="minorBidi"/>
                <w:sz w:val="16"/>
                <w:szCs w:val="16"/>
              </w:rPr>
              <w:t xml:space="preserve"> (</w:t>
            </w:r>
            <w:r w:rsidR="05B456BF" w:rsidRPr="00BF0F72">
              <w:rPr>
                <w:rFonts w:asciiTheme="minorHAnsi" w:hAnsiTheme="minorHAnsi" w:cstheme="minorBidi"/>
                <w:sz w:val="16"/>
                <w:szCs w:val="16"/>
                <w:highlight w:val="yellow"/>
              </w:rPr>
              <w:t>planning</w:t>
            </w:r>
            <w:r w:rsidR="05B456BF" w:rsidRPr="37237217">
              <w:rPr>
                <w:rFonts w:asciiTheme="minorHAnsi" w:hAnsiTheme="minorHAnsi" w:cstheme="minorBidi"/>
                <w:sz w:val="16"/>
                <w:szCs w:val="16"/>
              </w:rPr>
              <w:t>)</w:t>
            </w:r>
            <w:r w:rsidR="1A1E37D2" w:rsidRPr="37237217">
              <w:rPr>
                <w:rFonts w:asciiTheme="minorHAnsi" w:hAnsiTheme="minorHAnsi" w:cstheme="minorBidi"/>
                <w:sz w:val="16"/>
                <w:szCs w:val="16"/>
              </w:rPr>
              <w:t>.</w:t>
            </w:r>
            <w:r w:rsidRPr="25447658">
              <w:rPr>
                <w:rFonts w:asciiTheme="minorHAnsi" w:hAnsiTheme="minorHAnsi" w:cstheme="minorBidi"/>
                <w:sz w:val="16"/>
                <w:szCs w:val="16"/>
              </w:rPr>
              <w:t xml:space="preserve"> In southern Angola and within the project’s targeted landscapes, the project will fund activities incrementally with the aim of consolidating the long-term planning and the implementation of selected  </w:t>
            </w:r>
            <w:r w:rsidR="614E2D49" w:rsidRPr="00552F80">
              <w:rPr>
                <w:rFonts w:asciiTheme="minorHAnsi" w:hAnsiTheme="minorHAnsi" w:cstheme="minorBidi"/>
                <w:sz w:val="16"/>
                <w:szCs w:val="16"/>
                <w:highlight w:val="yellow"/>
              </w:rPr>
              <w:t>Integrated Land Use Management Plans (so, directl</w:t>
            </w:r>
            <w:r w:rsidR="3C27BFE6" w:rsidRPr="00552F80">
              <w:rPr>
                <w:rFonts w:asciiTheme="minorHAnsi" w:hAnsiTheme="minorHAnsi" w:cstheme="minorBidi"/>
                <w:sz w:val="16"/>
                <w:szCs w:val="16"/>
                <w:highlight w:val="yellow"/>
              </w:rPr>
              <w:t>y contributing to Output 2.1.3)</w:t>
            </w:r>
            <w:r w:rsidR="1A1E37D2" w:rsidRPr="37237217">
              <w:rPr>
                <w:rFonts w:asciiTheme="minorHAnsi" w:hAnsiTheme="minorHAnsi" w:cstheme="minorBidi"/>
                <w:sz w:val="16"/>
                <w:szCs w:val="16"/>
              </w:rPr>
              <w:t xml:space="preserve"> </w:t>
            </w:r>
            <w:r w:rsidRPr="25447658">
              <w:rPr>
                <w:rFonts w:asciiTheme="minorHAnsi" w:hAnsiTheme="minorHAnsi" w:cstheme="minorBidi"/>
                <w:sz w:val="16"/>
                <w:szCs w:val="16"/>
              </w:rPr>
              <w:t>in the affected areas, based on increased land productivity, rehabilitation, conservation and sustainable management of land resources</w:t>
            </w:r>
            <w:r w:rsidR="48A521F7" w:rsidRPr="37237217">
              <w:rPr>
                <w:rFonts w:asciiTheme="minorHAnsi" w:hAnsiTheme="minorHAnsi" w:cstheme="minorBidi"/>
                <w:sz w:val="16"/>
                <w:szCs w:val="16"/>
              </w:rPr>
              <w:t xml:space="preserve"> </w:t>
            </w:r>
            <w:r w:rsidR="48A521F7" w:rsidRPr="00E36764">
              <w:rPr>
                <w:rFonts w:asciiTheme="minorHAnsi" w:hAnsiTheme="minorHAnsi" w:cstheme="minorBidi"/>
                <w:sz w:val="16"/>
                <w:szCs w:val="16"/>
                <w:highlight w:val="yellow"/>
              </w:rPr>
              <w:t>in forest, cropland or mixed areas</w:t>
            </w:r>
            <w:r w:rsidRPr="25447658">
              <w:rPr>
                <w:rFonts w:asciiTheme="minorHAnsi" w:hAnsiTheme="minorHAnsi" w:cstheme="minorBidi"/>
                <w:sz w:val="16"/>
                <w:szCs w:val="16"/>
              </w:rPr>
              <w:t>, including the establishment of tree nurseries (fodder and fruit trees) for land rehabilitation purposes.</w:t>
            </w:r>
          </w:p>
          <w:p w14:paraId="5C933A12" w14:textId="3B41FB04" w:rsidR="00EB22CD" w:rsidRPr="00C03B3C" w:rsidRDefault="00EB22CD" w:rsidP="25447658">
            <w:pPr>
              <w:ind w:left="37"/>
              <w:rPr>
                <w:rFonts w:asciiTheme="minorHAnsi" w:hAnsiTheme="minorHAnsi" w:cstheme="minorBidi"/>
                <w:sz w:val="16"/>
                <w:szCs w:val="16"/>
              </w:rPr>
            </w:pPr>
          </w:p>
          <w:p w14:paraId="783974DA" w14:textId="662A98E5" w:rsidR="00EB22CD" w:rsidRPr="00C03B3C" w:rsidRDefault="00EB22CD" w:rsidP="25447658">
            <w:pPr>
              <w:ind w:left="37"/>
              <w:rPr>
                <w:rFonts w:asciiTheme="minorHAnsi" w:hAnsiTheme="minorHAnsi" w:cstheme="minorBidi"/>
                <w:sz w:val="16"/>
                <w:szCs w:val="16"/>
              </w:rPr>
            </w:pPr>
          </w:p>
        </w:tc>
        <w:tc>
          <w:tcPr>
            <w:tcW w:w="1701" w:type="dxa"/>
            <w:tcBorders>
              <w:top w:val="single" w:sz="8" w:space="0" w:color="auto"/>
              <w:left w:val="single" w:sz="8" w:space="0" w:color="auto"/>
              <w:bottom w:val="single" w:sz="8" w:space="0" w:color="auto"/>
              <w:right w:val="single" w:sz="8" w:space="0" w:color="auto"/>
            </w:tcBorders>
          </w:tcPr>
          <w:p w14:paraId="4F44C030" w14:textId="77777777" w:rsidR="00EB22CD" w:rsidRPr="00CE1EA7" w:rsidRDefault="00EB22CD" w:rsidP="005F0859">
            <w:pPr>
              <w:rPr>
                <w:rFonts w:asciiTheme="minorHAnsi" w:hAnsiTheme="minorHAnsi" w:cstheme="minorHAnsi"/>
                <w:b/>
                <w:bCs/>
                <w:sz w:val="16"/>
                <w:szCs w:val="16"/>
              </w:rPr>
            </w:pPr>
            <w:r w:rsidRPr="00CE1EA7">
              <w:rPr>
                <w:rFonts w:asciiTheme="minorHAnsi" w:hAnsiTheme="minorHAnsi" w:cstheme="minorHAnsi"/>
                <w:b/>
                <w:bCs/>
                <w:iCs/>
                <w:sz w:val="16"/>
                <w:szCs w:val="16"/>
              </w:rPr>
              <w:lastRenderedPageBreak/>
              <w:t>Baseline fit with Components:</w:t>
            </w:r>
          </w:p>
          <w:p w14:paraId="1B8DC7FB" w14:textId="77777777" w:rsidR="00EB22CD" w:rsidRPr="00CE1EA7" w:rsidRDefault="00EB22CD" w:rsidP="005F0859">
            <w:pPr>
              <w:rPr>
                <w:rFonts w:asciiTheme="minorHAnsi" w:hAnsiTheme="minorHAnsi" w:cstheme="minorHAnsi"/>
                <w:b/>
                <w:bCs/>
                <w:iCs/>
                <w:sz w:val="16"/>
                <w:szCs w:val="16"/>
              </w:rPr>
            </w:pPr>
          </w:p>
          <w:p w14:paraId="293DBA28" w14:textId="45AC53D1" w:rsidR="00EB22CD" w:rsidRPr="00CE1EA7" w:rsidRDefault="00EB22CD" w:rsidP="005F0859">
            <w:pPr>
              <w:rPr>
                <w:rFonts w:asciiTheme="minorHAnsi" w:hAnsiTheme="minorHAnsi" w:cstheme="minorHAnsi"/>
                <w:b/>
                <w:bCs/>
                <w:iCs/>
                <w:sz w:val="16"/>
                <w:szCs w:val="16"/>
              </w:rPr>
            </w:pPr>
            <w:r w:rsidRPr="00CE1EA7">
              <w:rPr>
                <w:rFonts w:asciiTheme="minorHAnsi" w:hAnsiTheme="minorHAnsi" w:cstheme="minorHAnsi"/>
                <w:b/>
                <w:bCs/>
                <w:iCs/>
                <w:sz w:val="16"/>
                <w:szCs w:val="16"/>
              </w:rPr>
              <w:t>C1 = $</w:t>
            </w:r>
            <w:r w:rsidR="00BE75B4">
              <w:rPr>
                <w:rFonts w:asciiTheme="minorHAnsi" w:hAnsiTheme="minorHAnsi" w:cstheme="minorHAnsi"/>
                <w:b/>
                <w:bCs/>
                <w:iCs/>
                <w:sz w:val="16"/>
                <w:szCs w:val="16"/>
              </w:rPr>
              <w:t>12</w:t>
            </w:r>
            <w:r w:rsidRPr="00CE1EA7">
              <w:rPr>
                <w:rFonts w:asciiTheme="minorHAnsi" w:hAnsiTheme="minorHAnsi" w:cstheme="minorHAnsi"/>
                <w:b/>
                <w:bCs/>
                <w:iCs/>
                <w:sz w:val="16"/>
                <w:szCs w:val="16"/>
              </w:rPr>
              <w:t>.</w:t>
            </w:r>
            <w:r w:rsidR="00BE75B4">
              <w:rPr>
                <w:rFonts w:asciiTheme="minorHAnsi" w:hAnsiTheme="minorHAnsi" w:cstheme="minorHAnsi"/>
                <w:b/>
                <w:bCs/>
                <w:iCs/>
                <w:sz w:val="16"/>
                <w:szCs w:val="16"/>
              </w:rPr>
              <w:t>2</w:t>
            </w:r>
            <w:r w:rsidRPr="00CE1EA7">
              <w:rPr>
                <w:rFonts w:asciiTheme="minorHAnsi" w:hAnsiTheme="minorHAnsi" w:cstheme="minorHAnsi"/>
                <w:b/>
                <w:bCs/>
                <w:iCs/>
                <w:sz w:val="16"/>
                <w:szCs w:val="16"/>
              </w:rPr>
              <w:t>M</w:t>
            </w:r>
          </w:p>
          <w:p w14:paraId="401B5F6E" w14:textId="1FDA53EC" w:rsidR="00EB22CD" w:rsidRPr="00CE1EA7" w:rsidRDefault="00EB22CD" w:rsidP="005F0859">
            <w:pPr>
              <w:rPr>
                <w:rFonts w:asciiTheme="minorHAnsi" w:hAnsiTheme="minorHAnsi" w:cstheme="minorHAnsi"/>
                <w:b/>
                <w:bCs/>
                <w:iCs/>
                <w:sz w:val="16"/>
                <w:szCs w:val="16"/>
              </w:rPr>
            </w:pPr>
            <w:r w:rsidRPr="00CE1EA7">
              <w:rPr>
                <w:rFonts w:asciiTheme="minorHAnsi" w:hAnsiTheme="minorHAnsi" w:cstheme="minorHAnsi"/>
                <w:b/>
                <w:bCs/>
                <w:iCs/>
                <w:sz w:val="16"/>
                <w:szCs w:val="16"/>
              </w:rPr>
              <w:t xml:space="preserve">C2 = </w:t>
            </w:r>
            <w:r w:rsidR="00BE75B4" w:rsidRPr="00CE1EA7">
              <w:rPr>
                <w:rFonts w:asciiTheme="minorHAnsi" w:hAnsiTheme="minorHAnsi" w:cstheme="minorHAnsi"/>
                <w:b/>
                <w:bCs/>
                <w:iCs/>
                <w:sz w:val="16"/>
                <w:szCs w:val="16"/>
              </w:rPr>
              <w:t>$</w:t>
            </w:r>
            <w:r w:rsidR="00BE75B4">
              <w:rPr>
                <w:rFonts w:asciiTheme="minorHAnsi" w:hAnsiTheme="minorHAnsi" w:cstheme="minorHAnsi"/>
                <w:b/>
                <w:bCs/>
                <w:iCs/>
                <w:sz w:val="16"/>
                <w:szCs w:val="16"/>
              </w:rPr>
              <w:t>12</w:t>
            </w:r>
            <w:r w:rsidR="00BE75B4" w:rsidRPr="00CE1EA7">
              <w:rPr>
                <w:rFonts w:asciiTheme="minorHAnsi" w:hAnsiTheme="minorHAnsi" w:cstheme="minorHAnsi"/>
                <w:b/>
                <w:bCs/>
                <w:iCs/>
                <w:sz w:val="16"/>
                <w:szCs w:val="16"/>
              </w:rPr>
              <w:t>.</w:t>
            </w:r>
            <w:r w:rsidR="00BE75B4">
              <w:rPr>
                <w:rFonts w:asciiTheme="minorHAnsi" w:hAnsiTheme="minorHAnsi" w:cstheme="minorHAnsi"/>
                <w:b/>
                <w:bCs/>
                <w:iCs/>
                <w:sz w:val="16"/>
                <w:szCs w:val="16"/>
              </w:rPr>
              <w:t>2</w:t>
            </w:r>
            <w:r w:rsidR="00BE75B4" w:rsidRPr="00CE1EA7">
              <w:rPr>
                <w:rFonts w:asciiTheme="minorHAnsi" w:hAnsiTheme="minorHAnsi" w:cstheme="minorHAnsi"/>
                <w:b/>
                <w:bCs/>
                <w:iCs/>
                <w:sz w:val="16"/>
                <w:szCs w:val="16"/>
              </w:rPr>
              <w:t>M</w:t>
            </w:r>
          </w:p>
          <w:p w14:paraId="7528E310" w14:textId="3D52FAD3" w:rsidR="00EB22CD" w:rsidRPr="00CE1EA7" w:rsidRDefault="00EB22CD" w:rsidP="005F0859">
            <w:pPr>
              <w:rPr>
                <w:rFonts w:asciiTheme="minorHAnsi" w:hAnsiTheme="minorHAnsi" w:cstheme="minorHAnsi"/>
                <w:b/>
                <w:bCs/>
                <w:iCs/>
                <w:sz w:val="16"/>
                <w:szCs w:val="16"/>
              </w:rPr>
            </w:pPr>
            <w:r w:rsidRPr="00CE1EA7">
              <w:rPr>
                <w:rFonts w:asciiTheme="minorHAnsi" w:hAnsiTheme="minorHAnsi" w:cstheme="minorHAnsi"/>
                <w:b/>
                <w:bCs/>
                <w:iCs/>
                <w:sz w:val="16"/>
                <w:szCs w:val="16"/>
              </w:rPr>
              <w:t xml:space="preserve">C3 = </w:t>
            </w:r>
            <w:r w:rsidR="00BE75B4" w:rsidRPr="00CE1EA7">
              <w:rPr>
                <w:rFonts w:asciiTheme="minorHAnsi" w:hAnsiTheme="minorHAnsi" w:cstheme="minorHAnsi"/>
                <w:b/>
                <w:bCs/>
                <w:iCs/>
                <w:sz w:val="16"/>
                <w:szCs w:val="16"/>
              </w:rPr>
              <w:t>$</w:t>
            </w:r>
            <w:r w:rsidR="00BE75B4">
              <w:rPr>
                <w:rFonts w:asciiTheme="minorHAnsi" w:hAnsiTheme="minorHAnsi" w:cstheme="minorHAnsi"/>
                <w:b/>
                <w:bCs/>
                <w:iCs/>
                <w:sz w:val="16"/>
                <w:szCs w:val="16"/>
              </w:rPr>
              <w:t>12</w:t>
            </w:r>
            <w:r w:rsidR="00BE75B4" w:rsidRPr="00CE1EA7">
              <w:rPr>
                <w:rFonts w:asciiTheme="minorHAnsi" w:hAnsiTheme="minorHAnsi" w:cstheme="minorHAnsi"/>
                <w:b/>
                <w:bCs/>
                <w:iCs/>
                <w:sz w:val="16"/>
                <w:szCs w:val="16"/>
              </w:rPr>
              <w:t>.</w:t>
            </w:r>
            <w:r w:rsidR="00BE75B4">
              <w:rPr>
                <w:rFonts w:asciiTheme="minorHAnsi" w:hAnsiTheme="minorHAnsi" w:cstheme="minorHAnsi"/>
                <w:b/>
                <w:bCs/>
                <w:iCs/>
                <w:sz w:val="16"/>
                <w:szCs w:val="16"/>
              </w:rPr>
              <w:t>2</w:t>
            </w:r>
            <w:r w:rsidR="00BE75B4" w:rsidRPr="00CE1EA7">
              <w:rPr>
                <w:rFonts w:asciiTheme="minorHAnsi" w:hAnsiTheme="minorHAnsi" w:cstheme="minorHAnsi"/>
                <w:b/>
                <w:bCs/>
                <w:iCs/>
                <w:sz w:val="16"/>
                <w:szCs w:val="16"/>
              </w:rPr>
              <w:t>M</w:t>
            </w:r>
          </w:p>
          <w:p w14:paraId="3C9BD06D" w14:textId="77777777" w:rsidR="00EB22CD" w:rsidRPr="00CE1EA7" w:rsidRDefault="00EB22CD" w:rsidP="005F0859">
            <w:pPr>
              <w:rPr>
                <w:rFonts w:asciiTheme="minorHAnsi" w:hAnsiTheme="minorHAnsi" w:cstheme="minorHAnsi"/>
                <w:b/>
                <w:bCs/>
                <w:iCs/>
                <w:sz w:val="16"/>
                <w:szCs w:val="16"/>
              </w:rPr>
            </w:pPr>
            <w:r w:rsidRPr="00CE1EA7">
              <w:rPr>
                <w:rFonts w:asciiTheme="minorHAnsi" w:hAnsiTheme="minorHAnsi" w:cstheme="minorHAnsi"/>
                <w:b/>
                <w:bCs/>
                <w:iCs/>
                <w:sz w:val="16"/>
                <w:szCs w:val="16"/>
              </w:rPr>
              <w:t>---------------</w:t>
            </w:r>
          </w:p>
          <w:p w14:paraId="4097C9ED" w14:textId="0C873377" w:rsidR="00EB22CD" w:rsidRPr="00CE1EA7" w:rsidRDefault="00EB22CD" w:rsidP="005F0859">
            <w:pPr>
              <w:rPr>
                <w:rFonts w:asciiTheme="minorHAnsi" w:hAnsiTheme="minorHAnsi" w:cstheme="minorHAnsi"/>
                <w:b/>
                <w:bCs/>
                <w:iCs/>
                <w:sz w:val="16"/>
                <w:szCs w:val="16"/>
              </w:rPr>
            </w:pPr>
            <w:r w:rsidRPr="00CE1EA7">
              <w:rPr>
                <w:rFonts w:asciiTheme="minorHAnsi" w:hAnsiTheme="minorHAnsi" w:cstheme="minorHAnsi"/>
                <w:b/>
                <w:bCs/>
                <w:iCs/>
                <w:sz w:val="16"/>
                <w:szCs w:val="16"/>
              </w:rPr>
              <w:t>Total = $</w:t>
            </w:r>
            <w:r w:rsidR="00E1575F">
              <w:rPr>
                <w:rFonts w:asciiTheme="minorHAnsi" w:hAnsiTheme="minorHAnsi" w:cstheme="minorHAnsi"/>
                <w:b/>
                <w:bCs/>
                <w:iCs/>
                <w:sz w:val="16"/>
                <w:szCs w:val="16"/>
              </w:rPr>
              <w:t>36</w:t>
            </w:r>
            <w:r w:rsidRPr="00CE1EA7">
              <w:rPr>
                <w:rFonts w:asciiTheme="minorHAnsi" w:hAnsiTheme="minorHAnsi" w:cstheme="minorHAnsi"/>
                <w:b/>
                <w:bCs/>
                <w:iCs/>
                <w:sz w:val="16"/>
                <w:szCs w:val="16"/>
              </w:rPr>
              <w:t>.</w:t>
            </w:r>
            <w:r w:rsidR="00217F05">
              <w:rPr>
                <w:rFonts w:asciiTheme="minorHAnsi" w:hAnsiTheme="minorHAnsi" w:cstheme="minorHAnsi"/>
                <w:b/>
                <w:bCs/>
                <w:iCs/>
                <w:sz w:val="16"/>
                <w:szCs w:val="16"/>
              </w:rPr>
              <w:t>6</w:t>
            </w:r>
            <w:r w:rsidRPr="00CE1EA7">
              <w:rPr>
                <w:rFonts w:asciiTheme="minorHAnsi" w:hAnsiTheme="minorHAnsi" w:cstheme="minorHAnsi"/>
                <w:b/>
                <w:bCs/>
                <w:iCs/>
                <w:sz w:val="16"/>
                <w:szCs w:val="16"/>
              </w:rPr>
              <w:t xml:space="preserve"> M</w:t>
            </w:r>
          </w:p>
        </w:tc>
        <w:tc>
          <w:tcPr>
            <w:tcW w:w="4394" w:type="dxa"/>
            <w:tcBorders>
              <w:top w:val="single" w:sz="8" w:space="0" w:color="auto"/>
              <w:left w:val="single" w:sz="8" w:space="0" w:color="auto"/>
              <w:bottom w:val="single" w:sz="8" w:space="0" w:color="auto"/>
              <w:right w:val="single" w:sz="8" w:space="0" w:color="auto"/>
            </w:tcBorders>
            <w:shd w:val="clear" w:color="auto" w:fill="99FFCC"/>
          </w:tcPr>
          <w:p w14:paraId="1A2A6B42" w14:textId="77777777" w:rsidR="00EB22CD" w:rsidRPr="00CE1EA7" w:rsidRDefault="00EB22CD" w:rsidP="005F0859">
            <w:pPr>
              <w:rPr>
                <w:rFonts w:asciiTheme="minorHAnsi" w:hAnsiTheme="minorHAnsi" w:cstheme="minorHAnsi"/>
                <w:b/>
                <w:bCs/>
                <w:iCs/>
                <w:sz w:val="16"/>
                <w:szCs w:val="16"/>
                <w:u w:val="single"/>
              </w:rPr>
            </w:pPr>
            <w:r w:rsidRPr="00CE1EA7">
              <w:rPr>
                <w:rFonts w:asciiTheme="minorHAnsi" w:hAnsiTheme="minorHAnsi" w:cstheme="minorHAnsi"/>
                <w:b/>
                <w:bCs/>
                <w:iCs/>
                <w:sz w:val="16"/>
                <w:szCs w:val="16"/>
                <w:u w:val="single"/>
              </w:rPr>
              <w:t>BASELINE CALCULUS:</w:t>
            </w:r>
          </w:p>
          <w:p w14:paraId="68617481" w14:textId="77777777" w:rsidR="00EB22CD" w:rsidRPr="00CE1EA7" w:rsidRDefault="00EB22CD" w:rsidP="005F0859">
            <w:pPr>
              <w:jc w:val="center"/>
              <w:rPr>
                <w:rFonts w:asciiTheme="minorHAnsi" w:hAnsiTheme="minorHAnsi" w:cstheme="minorHAnsi"/>
                <w:b/>
                <w:bCs/>
                <w:iCs/>
                <w:sz w:val="16"/>
                <w:szCs w:val="16"/>
              </w:rPr>
            </w:pPr>
          </w:p>
          <w:p w14:paraId="7DBF552C" w14:textId="4C17AE6F" w:rsidR="00EB22CD" w:rsidRPr="00CE1EA7" w:rsidRDefault="00EB22CD" w:rsidP="005F0859">
            <w:pPr>
              <w:jc w:val="center"/>
              <w:rPr>
                <w:rFonts w:asciiTheme="minorHAnsi" w:hAnsiTheme="minorHAnsi" w:cstheme="minorBidi"/>
                <w:b/>
                <w:sz w:val="16"/>
                <w:szCs w:val="16"/>
              </w:rPr>
            </w:pPr>
            <w:r w:rsidRPr="23356FAB">
              <w:rPr>
                <w:rFonts w:asciiTheme="minorHAnsi" w:hAnsiTheme="minorHAnsi" w:cstheme="minorBidi"/>
                <w:b/>
                <w:sz w:val="16"/>
                <w:szCs w:val="16"/>
              </w:rPr>
              <w:t>OGE 20</w:t>
            </w:r>
            <w:r w:rsidR="00FA6607">
              <w:rPr>
                <w:rFonts w:asciiTheme="minorHAnsi" w:hAnsiTheme="minorHAnsi" w:cstheme="minorBidi"/>
                <w:b/>
                <w:sz w:val="16"/>
                <w:szCs w:val="16"/>
              </w:rPr>
              <w:t>20</w:t>
            </w:r>
            <w:r w:rsidRPr="23356FAB">
              <w:rPr>
                <w:rFonts w:asciiTheme="minorHAnsi" w:hAnsiTheme="minorHAnsi" w:cstheme="minorBidi"/>
                <w:b/>
                <w:sz w:val="16"/>
                <w:szCs w:val="16"/>
              </w:rPr>
              <w:t xml:space="preserve"> = </w:t>
            </w:r>
            <w:r w:rsidR="00975309">
              <w:rPr>
                <w:rFonts w:asciiTheme="minorHAnsi" w:hAnsiTheme="minorHAnsi" w:cstheme="minorBidi"/>
                <w:b/>
                <w:sz w:val="16"/>
                <w:szCs w:val="16"/>
              </w:rPr>
              <w:t>4</w:t>
            </w:r>
            <w:r w:rsidRPr="23356FAB">
              <w:rPr>
                <w:rFonts w:asciiTheme="minorHAnsi" w:hAnsiTheme="minorHAnsi" w:cstheme="minorBidi"/>
                <w:b/>
                <w:sz w:val="16"/>
                <w:szCs w:val="16"/>
              </w:rPr>
              <w:t>,</w:t>
            </w:r>
            <w:r w:rsidR="00975309">
              <w:rPr>
                <w:rFonts w:asciiTheme="minorHAnsi" w:hAnsiTheme="minorHAnsi" w:cstheme="minorBidi"/>
                <w:b/>
                <w:sz w:val="16"/>
                <w:szCs w:val="16"/>
              </w:rPr>
              <w:t>589</w:t>
            </w:r>
            <w:r w:rsidRPr="23356FAB">
              <w:rPr>
                <w:rFonts w:asciiTheme="minorHAnsi" w:hAnsiTheme="minorHAnsi" w:cstheme="minorBidi"/>
                <w:b/>
                <w:sz w:val="16"/>
                <w:szCs w:val="16"/>
              </w:rPr>
              <w:t xml:space="preserve"> million </w:t>
            </w:r>
            <w:r w:rsidRPr="23356FAB">
              <w:rPr>
                <w:rFonts w:asciiTheme="minorHAnsi" w:hAnsiTheme="minorHAnsi" w:cstheme="minorBidi"/>
                <w:b/>
                <w:bCs/>
                <w:sz w:val="16"/>
                <w:szCs w:val="16"/>
              </w:rPr>
              <w:t>AOA</w:t>
            </w:r>
          </w:p>
          <w:p w14:paraId="303370CC" w14:textId="77777777" w:rsidR="00EB22CD" w:rsidRPr="00CE1EA7" w:rsidRDefault="00EB22CD" w:rsidP="005F0859">
            <w:pPr>
              <w:jc w:val="center"/>
              <w:rPr>
                <w:rFonts w:asciiTheme="minorHAnsi" w:hAnsiTheme="minorHAnsi" w:cstheme="minorHAnsi"/>
                <w:b/>
                <w:bCs/>
                <w:iCs/>
                <w:sz w:val="16"/>
                <w:szCs w:val="16"/>
              </w:rPr>
            </w:pPr>
            <w:r w:rsidRPr="00CE1EA7">
              <w:rPr>
                <w:rFonts w:asciiTheme="minorHAnsi" w:hAnsiTheme="minorHAnsi" w:cstheme="minorHAnsi"/>
                <w:b/>
                <w:bCs/>
                <w:iCs/>
                <w:sz w:val="16"/>
                <w:szCs w:val="16"/>
              </w:rPr>
              <w:t>↓</w:t>
            </w:r>
          </w:p>
          <w:p w14:paraId="407B06AB" w14:textId="51FCEADA" w:rsidR="00EB22CD" w:rsidRPr="00CE1EA7" w:rsidRDefault="00EB22CD" w:rsidP="005F0859">
            <w:pPr>
              <w:jc w:val="center"/>
              <w:rPr>
                <w:rFonts w:asciiTheme="minorHAnsi" w:hAnsiTheme="minorHAnsi" w:cstheme="minorHAnsi"/>
                <w:b/>
                <w:bCs/>
                <w:iCs/>
                <w:sz w:val="16"/>
                <w:szCs w:val="16"/>
              </w:rPr>
            </w:pPr>
            <w:r w:rsidRPr="00CE1EA7">
              <w:rPr>
                <w:rFonts w:asciiTheme="minorHAnsi" w:hAnsiTheme="minorHAnsi" w:cstheme="minorHAnsi"/>
                <w:b/>
                <w:bCs/>
                <w:iCs/>
                <w:sz w:val="16"/>
                <w:szCs w:val="16"/>
              </w:rPr>
              <w:t>Equivalent to $</w:t>
            </w:r>
            <w:r w:rsidR="00FA6607">
              <w:rPr>
                <w:rFonts w:asciiTheme="minorHAnsi" w:hAnsiTheme="minorHAnsi" w:cstheme="minorHAnsi"/>
                <w:b/>
                <w:bCs/>
                <w:iCs/>
                <w:sz w:val="16"/>
                <w:szCs w:val="16"/>
              </w:rPr>
              <w:t>7</w:t>
            </w:r>
            <w:r w:rsidRPr="00CE1EA7">
              <w:rPr>
                <w:rFonts w:asciiTheme="minorHAnsi" w:hAnsiTheme="minorHAnsi" w:cstheme="minorHAnsi"/>
                <w:b/>
                <w:bCs/>
                <w:iCs/>
                <w:sz w:val="16"/>
                <w:szCs w:val="16"/>
              </w:rPr>
              <w:t>.25 million for the base year (20</w:t>
            </w:r>
            <w:r w:rsidR="00FA6607">
              <w:rPr>
                <w:rFonts w:asciiTheme="minorHAnsi" w:hAnsiTheme="minorHAnsi" w:cstheme="minorHAnsi"/>
                <w:b/>
                <w:bCs/>
                <w:iCs/>
                <w:sz w:val="16"/>
                <w:szCs w:val="16"/>
              </w:rPr>
              <w:t>20</w:t>
            </w:r>
            <w:r w:rsidRPr="00CE1EA7">
              <w:rPr>
                <w:rFonts w:asciiTheme="minorHAnsi" w:hAnsiTheme="minorHAnsi" w:cstheme="minorHAnsi"/>
                <w:b/>
                <w:bCs/>
                <w:iCs/>
                <w:sz w:val="16"/>
                <w:szCs w:val="16"/>
              </w:rPr>
              <w:t>) x 100% relevance</w:t>
            </w:r>
          </w:p>
          <w:p w14:paraId="4ABBAFAD" w14:textId="77777777" w:rsidR="00EB22CD" w:rsidRPr="00CE1EA7" w:rsidRDefault="00EB22CD" w:rsidP="005F0859">
            <w:pPr>
              <w:jc w:val="center"/>
              <w:rPr>
                <w:rFonts w:asciiTheme="minorHAnsi" w:hAnsiTheme="minorHAnsi" w:cstheme="minorHAnsi"/>
                <w:b/>
                <w:bCs/>
                <w:iCs/>
                <w:sz w:val="16"/>
                <w:szCs w:val="16"/>
              </w:rPr>
            </w:pPr>
            <w:r w:rsidRPr="00CE1EA7">
              <w:rPr>
                <w:rFonts w:asciiTheme="minorHAnsi" w:hAnsiTheme="minorHAnsi" w:cstheme="minorHAnsi"/>
                <w:b/>
                <w:bCs/>
                <w:iCs/>
                <w:sz w:val="16"/>
                <w:szCs w:val="16"/>
              </w:rPr>
              <w:t>↓</w:t>
            </w:r>
          </w:p>
          <w:p w14:paraId="1D4F6CB9" w14:textId="6C85809A" w:rsidR="00EB22CD" w:rsidRPr="00CE1EA7" w:rsidRDefault="00EB22CD" w:rsidP="005F0859">
            <w:pPr>
              <w:jc w:val="center"/>
              <w:rPr>
                <w:rFonts w:asciiTheme="minorHAnsi" w:hAnsiTheme="minorHAnsi" w:cstheme="minorHAnsi"/>
                <w:b/>
                <w:bCs/>
                <w:iCs/>
                <w:sz w:val="16"/>
                <w:szCs w:val="16"/>
              </w:rPr>
            </w:pPr>
            <w:r w:rsidRPr="00CE1EA7">
              <w:rPr>
                <w:rFonts w:asciiTheme="minorHAnsi" w:hAnsiTheme="minorHAnsi" w:cstheme="minorHAnsi"/>
                <w:b/>
                <w:bCs/>
                <w:iCs/>
                <w:sz w:val="16"/>
                <w:szCs w:val="16"/>
              </w:rPr>
              <w:t xml:space="preserve">Extrapolated over </w:t>
            </w:r>
            <w:r w:rsidR="00FA6607">
              <w:rPr>
                <w:rFonts w:asciiTheme="minorHAnsi" w:hAnsiTheme="minorHAnsi" w:cstheme="minorHAnsi"/>
                <w:b/>
                <w:bCs/>
                <w:iCs/>
                <w:sz w:val="16"/>
                <w:szCs w:val="16"/>
              </w:rPr>
              <w:t>5</w:t>
            </w:r>
            <w:r w:rsidRPr="00CE1EA7">
              <w:rPr>
                <w:rFonts w:asciiTheme="minorHAnsi" w:hAnsiTheme="minorHAnsi" w:cstheme="minorHAnsi"/>
                <w:b/>
                <w:bCs/>
                <w:iCs/>
                <w:sz w:val="16"/>
                <w:szCs w:val="16"/>
              </w:rPr>
              <w:t xml:space="preserve"> years:</w:t>
            </w:r>
          </w:p>
          <w:p w14:paraId="0B0AA5C4" w14:textId="6258AB5C" w:rsidR="00EB22CD" w:rsidRPr="00CE1EA7" w:rsidRDefault="00EB22CD" w:rsidP="005F0859">
            <w:pPr>
              <w:pBdr>
                <w:bottom w:val="single" w:sz="6" w:space="1" w:color="auto"/>
              </w:pBdr>
              <w:jc w:val="center"/>
              <w:rPr>
                <w:rFonts w:asciiTheme="minorHAnsi" w:hAnsiTheme="minorHAnsi" w:cstheme="minorBidi"/>
                <w:b/>
                <w:bCs/>
                <w:sz w:val="16"/>
                <w:szCs w:val="16"/>
              </w:rPr>
            </w:pPr>
            <w:r w:rsidRPr="4D10DE74">
              <w:rPr>
                <w:rFonts w:asciiTheme="minorHAnsi" w:hAnsiTheme="minorHAnsi" w:cstheme="minorBidi"/>
                <w:b/>
                <w:bCs/>
                <w:sz w:val="16"/>
                <w:szCs w:val="16"/>
              </w:rPr>
              <w:t xml:space="preserve">(x 2.8) = </w:t>
            </w:r>
            <w:r w:rsidR="00544246">
              <w:rPr>
                <w:rFonts w:asciiTheme="minorHAnsi" w:hAnsiTheme="minorHAnsi" w:cstheme="minorBidi"/>
                <w:b/>
                <w:bCs/>
                <w:sz w:val="16"/>
                <w:szCs w:val="16"/>
              </w:rPr>
              <w:t>36.6</w:t>
            </w:r>
            <w:r w:rsidRPr="4D10DE74">
              <w:rPr>
                <w:rFonts w:asciiTheme="minorHAnsi" w:hAnsiTheme="minorHAnsi" w:cstheme="minorBidi"/>
                <w:b/>
                <w:bCs/>
                <w:sz w:val="16"/>
                <w:szCs w:val="16"/>
              </w:rPr>
              <w:t xml:space="preserve"> million USD equivalent in current prices, for the duration of the project, and as a relevant Public Investment baseline from OGE managed by MCTA</w:t>
            </w:r>
          </w:p>
          <w:p w14:paraId="3285F84A" w14:textId="77777777" w:rsidR="00EB22CD" w:rsidRPr="00CE1EA7" w:rsidRDefault="00EB22CD" w:rsidP="005F0859">
            <w:pPr>
              <w:jc w:val="center"/>
              <w:rPr>
                <w:rFonts w:asciiTheme="minorHAnsi" w:hAnsiTheme="minorHAnsi" w:cstheme="minorHAnsi"/>
                <w:b/>
                <w:bCs/>
                <w:iCs/>
                <w:sz w:val="16"/>
                <w:szCs w:val="16"/>
              </w:rPr>
            </w:pPr>
            <w:r w:rsidRPr="00CE1EA7">
              <w:rPr>
                <w:rFonts w:asciiTheme="minorHAnsi" w:hAnsiTheme="minorHAnsi" w:cstheme="minorHAnsi"/>
                <w:b/>
                <w:bCs/>
                <w:iCs/>
                <w:sz w:val="16"/>
                <w:szCs w:val="16"/>
              </w:rPr>
              <w:t>↓</w:t>
            </w:r>
          </w:p>
          <w:p w14:paraId="58930F8A" w14:textId="77777777" w:rsidR="00EB22CD" w:rsidRPr="00CE1EA7" w:rsidRDefault="00EB22CD" w:rsidP="005F0859">
            <w:pPr>
              <w:jc w:val="center"/>
              <w:rPr>
                <w:rFonts w:asciiTheme="minorHAnsi" w:hAnsiTheme="minorHAnsi" w:cstheme="minorHAnsi"/>
                <w:b/>
                <w:bCs/>
                <w:i/>
                <w:iCs/>
                <w:sz w:val="16"/>
                <w:szCs w:val="16"/>
              </w:rPr>
            </w:pPr>
            <w:r w:rsidRPr="00CE1EA7">
              <w:rPr>
                <w:rFonts w:asciiTheme="minorHAnsi" w:hAnsiTheme="minorHAnsi" w:cstheme="minorHAnsi"/>
                <w:b/>
                <w:bCs/>
                <w:i/>
                <w:sz w:val="16"/>
                <w:szCs w:val="16"/>
              </w:rPr>
              <w:t>Of these,</w:t>
            </w:r>
          </w:p>
          <w:p w14:paraId="647F8F06" w14:textId="6FCC9633" w:rsidR="00EB22CD" w:rsidRPr="00871AA1" w:rsidRDefault="2A71ACB2" w:rsidP="25447658">
            <w:pPr>
              <w:jc w:val="center"/>
              <w:rPr>
                <w:rFonts w:asciiTheme="minorHAnsi" w:hAnsiTheme="minorHAnsi" w:cstheme="minorBidi"/>
                <w:b/>
                <w:bCs/>
                <w:sz w:val="16"/>
                <w:szCs w:val="16"/>
              </w:rPr>
            </w:pPr>
            <w:r w:rsidRPr="25447658">
              <w:rPr>
                <w:rFonts w:asciiTheme="minorHAnsi" w:hAnsiTheme="minorHAnsi" w:cstheme="minorBidi"/>
                <w:b/>
                <w:bCs/>
                <w:i/>
                <w:iCs/>
                <w:sz w:val="16"/>
                <w:szCs w:val="16"/>
              </w:rPr>
              <w:t>$21.</w:t>
            </w:r>
            <w:r w:rsidR="61B860F5" w:rsidRPr="25447658">
              <w:rPr>
                <w:rFonts w:asciiTheme="minorHAnsi" w:hAnsiTheme="minorHAnsi" w:cstheme="minorBidi"/>
                <w:b/>
                <w:bCs/>
                <w:i/>
                <w:iCs/>
                <w:sz w:val="16"/>
                <w:szCs w:val="16"/>
              </w:rPr>
              <w:t>5</w:t>
            </w:r>
            <w:r w:rsidRPr="25447658">
              <w:rPr>
                <w:rFonts w:asciiTheme="minorHAnsi" w:hAnsiTheme="minorHAnsi" w:cstheme="minorBidi"/>
                <w:b/>
                <w:bCs/>
                <w:i/>
                <w:iCs/>
                <w:sz w:val="16"/>
                <w:szCs w:val="16"/>
              </w:rPr>
              <w:t xml:space="preserve"> M are proposed as co-financing from MCTA through DN</w:t>
            </w:r>
            <w:r w:rsidR="61DB3A06" w:rsidRPr="25447658">
              <w:rPr>
                <w:rFonts w:asciiTheme="minorHAnsi" w:hAnsiTheme="minorHAnsi" w:cstheme="minorBidi"/>
                <w:b/>
                <w:bCs/>
                <w:i/>
                <w:iCs/>
                <w:sz w:val="16"/>
                <w:szCs w:val="16"/>
              </w:rPr>
              <w:t>AAC</w:t>
            </w:r>
            <w:r w:rsidRPr="25447658">
              <w:rPr>
                <w:rFonts w:asciiTheme="minorHAnsi" w:hAnsiTheme="minorHAnsi" w:cstheme="minorBidi"/>
                <w:b/>
                <w:bCs/>
                <w:i/>
                <w:iCs/>
                <w:sz w:val="16"/>
                <w:szCs w:val="16"/>
              </w:rPr>
              <w:t xml:space="preserve"> and INBAC</w:t>
            </w:r>
            <w:r w:rsidR="00EF45EF">
              <w:rPr>
                <w:rFonts w:asciiTheme="minorHAnsi" w:hAnsiTheme="minorHAnsi" w:cstheme="minorBidi"/>
                <w:b/>
                <w:bCs/>
                <w:i/>
                <w:iCs/>
                <w:sz w:val="16"/>
                <w:szCs w:val="16"/>
              </w:rPr>
              <w:t xml:space="preserve">, </w:t>
            </w:r>
            <w:r w:rsidR="00EF45EF" w:rsidRPr="00871AA1">
              <w:rPr>
                <w:rFonts w:asciiTheme="minorHAnsi" w:hAnsiTheme="minorHAnsi" w:cstheme="minorBidi"/>
                <w:b/>
                <w:bCs/>
                <w:i/>
                <w:iCs/>
                <w:sz w:val="16"/>
                <w:szCs w:val="16"/>
              </w:rPr>
              <w:t xml:space="preserve">out of which </w:t>
            </w:r>
            <w:r w:rsidR="008605BE" w:rsidRPr="00871AA1">
              <w:rPr>
                <w:rFonts w:asciiTheme="minorHAnsi" w:hAnsiTheme="minorHAnsi" w:cstheme="minorBidi"/>
                <w:b/>
                <w:bCs/>
                <w:i/>
                <w:iCs/>
                <w:sz w:val="16"/>
                <w:szCs w:val="16"/>
              </w:rPr>
              <w:t xml:space="preserve">USD </w:t>
            </w:r>
            <w:r w:rsidR="4D695624" w:rsidRPr="00871AA1">
              <w:rPr>
                <w:rFonts w:asciiTheme="minorHAnsi" w:hAnsiTheme="minorHAnsi" w:cstheme="minorBidi"/>
                <w:b/>
                <w:bCs/>
                <w:i/>
                <w:iCs/>
                <w:sz w:val="16"/>
                <w:szCs w:val="16"/>
              </w:rPr>
              <w:t>2</w:t>
            </w:r>
            <w:r w:rsidR="427F4F6D" w:rsidRPr="00871AA1">
              <w:rPr>
                <w:rFonts w:asciiTheme="minorHAnsi" w:hAnsiTheme="minorHAnsi" w:cstheme="minorBidi"/>
                <w:b/>
                <w:bCs/>
                <w:i/>
                <w:iCs/>
                <w:sz w:val="16"/>
                <w:szCs w:val="16"/>
              </w:rPr>
              <w:t>52</w:t>
            </w:r>
            <w:r w:rsidR="4D695624" w:rsidRPr="00871AA1">
              <w:rPr>
                <w:rFonts w:asciiTheme="minorHAnsi" w:hAnsiTheme="minorHAnsi" w:cstheme="minorBidi"/>
                <w:b/>
                <w:bCs/>
                <w:i/>
                <w:iCs/>
                <w:sz w:val="16"/>
                <w:szCs w:val="16"/>
              </w:rPr>
              <w:t>,</w:t>
            </w:r>
            <w:r w:rsidR="62491EF2" w:rsidRPr="00871AA1">
              <w:rPr>
                <w:rFonts w:asciiTheme="minorHAnsi" w:hAnsiTheme="minorHAnsi" w:cstheme="minorBidi"/>
                <w:b/>
                <w:bCs/>
                <w:i/>
                <w:iCs/>
                <w:sz w:val="16"/>
                <w:szCs w:val="16"/>
              </w:rPr>
              <w:t>8</w:t>
            </w:r>
            <w:r w:rsidR="4D695624" w:rsidRPr="00871AA1">
              <w:rPr>
                <w:rFonts w:asciiTheme="minorHAnsi" w:hAnsiTheme="minorHAnsi" w:cstheme="minorBidi"/>
                <w:b/>
                <w:bCs/>
                <w:i/>
                <w:iCs/>
                <w:sz w:val="16"/>
                <w:szCs w:val="16"/>
              </w:rPr>
              <w:t>00</w:t>
            </w:r>
            <w:r w:rsidR="00671EBC" w:rsidRPr="00871AA1">
              <w:rPr>
                <w:rFonts w:asciiTheme="minorHAnsi" w:hAnsiTheme="minorHAnsi" w:cstheme="minorBidi"/>
                <w:b/>
                <w:bCs/>
                <w:i/>
                <w:iCs/>
                <w:sz w:val="16"/>
                <w:szCs w:val="16"/>
              </w:rPr>
              <w:t xml:space="preserve"> will be </w:t>
            </w:r>
            <w:r w:rsidR="00C03AFD" w:rsidRPr="00871AA1">
              <w:rPr>
                <w:rFonts w:asciiTheme="minorHAnsi" w:hAnsiTheme="minorHAnsi" w:cstheme="minorBidi"/>
                <w:b/>
                <w:bCs/>
                <w:i/>
                <w:iCs/>
                <w:sz w:val="16"/>
                <w:szCs w:val="16"/>
              </w:rPr>
              <w:t>an in</w:t>
            </w:r>
            <w:r w:rsidR="001C4E69" w:rsidRPr="00871AA1">
              <w:rPr>
                <w:rFonts w:asciiTheme="minorHAnsi" w:hAnsiTheme="minorHAnsi" w:cstheme="minorBidi"/>
                <w:b/>
                <w:bCs/>
                <w:i/>
                <w:iCs/>
                <w:sz w:val="16"/>
                <w:szCs w:val="16"/>
              </w:rPr>
              <w:t xml:space="preserve">-kind </w:t>
            </w:r>
            <w:r w:rsidR="00A84177" w:rsidRPr="00871AA1">
              <w:rPr>
                <w:rFonts w:asciiTheme="minorHAnsi" w:hAnsiTheme="minorHAnsi" w:cstheme="minorBidi"/>
                <w:b/>
                <w:bCs/>
                <w:i/>
                <w:iCs/>
                <w:sz w:val="16"/>
                <w:szCs w:val="16"/>
              </w:rPr>
              <w:t xml:space="preserve">PMC </w:t>
            </w:r>
            <w:r w:rsidR="001C4E69" w:rsidRPr="00871AA1">
              <w:rPr>
                <w:rFonts w:asciiTheme="minorHAnsi" w:hAnsiTheme="minorHAnsi" w:cstheme="minorBidi"/>
                <w:b/>
                <w:bCs/>
                <w:i/>
                <w:iCs/>
                <w:sz w:val="16"/>
                <w:szCs w:val="16"/>
              </w:rPr>
              <w:t xml:space="preserve">contribution </w:t>
            </w:r>
            <w:r w:rsidR="00A84177" w:rsidRPr="00871AA1">
              <w:rPr>
                <w:rFonts w:asciiTheme="minorHAnsi" w:hAnsiTheme="minorHAnsi" w:cstheme="minorBidi"/>
                <w:b/>
                <w:bCs/>
                <w:i/>
                <w:iCs/>
                <w:sz w:val="16"/>
                <w:szCs w:val="16"/>
              </w:rPr>
              <w:t xml:space="preserve">covering: </w:t>
            </w:r>
          </w:p>
          <w:p w14:paraId="33DE3067" w14:textId="354F9B63" w:rsidR="00EB22CD" w:rsidRPr="00871AA1" w:rsidRDefault="00EB22CD" w:rsidP="25447658">
            <w:pPr>
              <w:jc w:val="center"/>
              <w:rPr>
                <w:rFonts w:asciiTheme="minorHAnsi" w:hAnsiTheme="minorHAnsi" w:cstheme="minorBidi"/>
                <w:b/>
                <w:bCs/>
                <w:i/>
                <w:iCs/>
                <w:sz w:val="16"/>
                <w:szCs w:val="16"/>
              </w:rPr>
            </w:pPr>
          </w:p>
          <w:p w14:paraId="3130E982" w14:textId="0F9818FE" w:rsidR="00EB22CD" w:rsidRPr="00871AA1" w:rsidRDefault="417DB097" w:rsidP="25447658">
            <w:pPr>
              <w:rPr>
                <w:rFonts w:asciiTheme="minorHAnsi" w:hAnsiTheme="minorHAnsi" w:cstheme="minorBidi"/>
                <w:b/>
                <w:bCs/>
                <w:i/>
                <w:iCs/>
                <w:sz w:val="16"/>
                <w:szCs w:val="16"/>
                <w:lang w:val="en-US"/>
              </w:rPr>
            </w:pPr>
            <w:r w:rsidRPr="00871AA1">
              <w:rPr>
                <w:rFonts w:asciiTheme="minorHAnsi" w:hAnsiTheme="minorHAnsi" w:cstheme="minorBidi"/>
                <w:b/>
                <w:bCs/>
                <w:i/>
                <w:iCs/>
                <w:sz w:val="16"/>
                <w:szCs w:val="16"/>
                <w:lang w:val="en-US"/>
              </w:rPr>
              <w:t xml:space="preserve">-Use of facilities at Luanda and two provinces, municipalities and communes for project offices, meetings and trainings during 5 years: US$ 100.000 </w:t>
            </w:r>
          </w:p>
          <w:p w14:paraId="0A52785C" w14:textId="46221AA0" w:rsidR="00EB22CD" w:rsidRPr="00871AA1" w:rsidRDefault="417DB097" w:rsidP="00B6706D">
            <w:pPr>
              <w:pStyle w:val="CommentText"/>
              <w:rPr>
                <w:rFonts w:asciiTheme="minorHAnsi" w:hAnsiTheme="minorHAnsi" w:cstheme="minorBidi"/>
                <w:b/>
                <w:bCs/>
                <w:i/>
                <w:iCs/>
                <w:sz w:val="16"/>
                <w:szCs w:val="16"/>
                <w:lang w:val="en-US"/>
              </w:rPr>
            </w:pPr>
            <w:r w:rsidRPr="00871AA1">
              <w:rPr>
                <w:rFonts w:asciiTheme="minorHAnsi" w:hAnsiTheme="minorHAnsi" w:cstheme="minorBidi"/>
                <w:b/>
                <w:bCs/>
                <w:i/>
                <w:iCs/>
                <w:sz w:val="16"/>
                <w:szCs w:val="16"/>
                <w:lang w:val="en-US" w:eastAsia="en-GB"/>
              </w:rPr>
              <w:t xml:space="preserve">-Contribution to expendables in project offices for 5 years: US$ 40.000 </w:t>
            </w:r>
          </w:p>
          <w:p w14:paraId="1407217F" w14:textId="2BDE8F97" w:rsidR="00EB22CD" w:rsidRPr="00871AA1" w:rsidRDefault="417DB097" w:rsidP="00B6706D">
            <w:pPr>
              <w:pStyle w:val="CommentText"/>
              <w:rPr>
                <w:rFonts w:asciiTheme="minorHAnsi" w:hAnsiTheme="minorHAnsi" w:cstheme="minorBidi"/>
                <w:b/>
                <w:bCs/>
                <w:i/>
                <w:iCs/>
                <w:sz w:val="16"/>
                <w:szCs w:val="16"/>
                <w:lang w:val="en-US"/>
              </w:rPr>
            </w:pPr>
            <w:r w:rsidRPr="00871AA1">
              <w:rPr>
                <w:rFonts w:asciiTheme="minorHAnsi" w:hAnsiTheme="minorHAnsi" w:cstheme="minorBidi"/>
                <w:b/>
                <w:bCs/>
                <w:i/>
                <w:iCs/>
                <w:sz w:val="16"/>
                <w:szCs w:val="16"/>
                <w:lang w:val="en-US" w:eastAsia="en-GB"/>
              </w:rPr>
              <w:t xml:space="preserve">-Contribution to mobility with cars at field level and Capital during 5 years: </w:t>
            </w:r>
            <w:r w:rsidR="23E656C0" w:rsidRPr="00871AA1">
              <w:rPr>
                <w:rFonts w:asciiTheme="minorHAnsi" w:hAnsiTheme="minorHAnsi" w:cstheme="minorBidi"/>
                <w:b/>
                <w:bCs/>
                <w:i/>
                <w:iCs/>
                <w:sz w:val="16"/>
                <w:szCs w:val="16"/>
                <w:lang w:val="en-US" w:eastAsia="en-GB"/>
              </w:rPr>
              <w:t>30.000</w:t>
            </w:r>
          </w:p>
          <w:p w14:paraId="1CC8071D" w14:textId="57D62B36" w:rsidR="00EB22CD" w:rsidRPr="00CE1EA7" w:rsidRDefault="50338E24" w:rsidP="00B6706D">
            <w:pPr>
              <w:pStyle w:val="CommentText"/>
              <w:spacing w:line="259" w:lineRule="auto"/>
              <w:rPr>
                <w:rFonts w:asciiTheme="minorHAnsi" w:hAnsiTheme="minorHAnsi" w:cstheme="minorBidi"/>
                <w:b/>
                <w:bCs/>
                <w:i/>
                <w:iCs/>
                <w:sz w:val="16"/>
                <w:szCs w:val="16"/>
                <w:lang w:val="en-US"/>
              </w:rPr>
            </w:pPr>
            <w:r w:rsidRPr="00871AA1">
              <w:rPr>
                <w:rFonts w:asciiTheme="minorHAnsi" w:hAnsiTheme="minorHAnsi" w:cstheme="minorBidi"/>
                <w:b/>
                <w:bCs/>
                <w:i/>
                <w:iCs/>
                <w:sz w:val="16"/>
                <w:szCs w:val="16"/>
                <w:lang w:val="en-US" w:eastAsia="en-GB"/>
              </w:rPr>
              <w:t>-</w:t>
            </w:r>
            <w:r w:rsidR="00B6706D" w:rsidRPr="00871AA1">
              <w:rPr>
                <w:rFonts w:asciiTheme="minorHAnsi" w:hAnsiTheme="minorHAnsi" w:cstheme="minorBidi"/>
                <w:b/>
                <w:bCs/>
                <w:i/>
                <w:iCs/>
                <w:sz w:val="16"/>
                <w:szCs w:val="16"/>
                <w:lang w:val="en-US" w:eastAsia="en-GB"/>
              </w:rPr>
              <w:t>Staff t</w:t>
            </w:r>
            <w:r w:rsidR="417DB097" w:rsidRPr="00871AA1">
              <w:rPr>
                <w:rFonts w:asciiTheme="minorHAnsi" w:hAnsiTheme="minorHAnsi" w:cstheme="minorBidi"/>
                <w:b/>
                <w:bCs/>
                <w:i/>
                <w:iCs/>
                <w:sz w:val="16"/>
                <w:szCs w:val="16"/>
                <w:lang w:val="en-US" w:eastAsia="en-GB"/>
              </w:rPr>
              <w:t xml:space="preserve">ime </w:t>
            </w:r>
            <w:r w:rsidR="00B6706D" w:rsidRPr="00871AA1">
              <w:rPr>
                <w:rFonts w:asciiTheme="minorHAnsi" w:hAnsiTheme="minorHAnsi" w:cstheme="minorBidi"/>
                <w:b/>
                <w:bCs/>
                <w:i/>
                <w:iCs/>
                <w:sz w:val="16"/>
                <w:szCs w:val="16"/>
                <w:lang w:val="en-US" w:eastAsia="en-GB"/>
              </w:rPr>
              <w:t xml:space="preserve">contributions </w:t>
            </w:r>
            <w:r w:rsidR="417DB097" w:rsidRPr="00871AA1">
              <w:rPr>
                <w:rFonts w:asciiTheme="minorHAnsi" w:hAnsiTheme="minorHAnsi" w:cstheme="minorBidi"/>
                <w:b/>
                <w:bCs/>
                <w:i/>
                <w:iCs/>
                <w:sz w:val="16"/>
                <w:szCs w:val="16"/>
                <w:lang w:val="en-US" w:eastAsia="en-GB"/>
              </w:rPr>
              <w:t xml:space="preserve">during 5 years: US$ </w:t>
            </w:r>
            <w:r w:rsidR="439D37A3" w:rsidRPr="00871AA1">
              <w:rPr>
                <w:rFonts w:asciiTheme="minorHAnsi" w:hAnsiTheme="minorHAnsi" w:cstheme="minorBidi"/>
                <w:b/>
                <w:bCs/>
                <w:i/>
                <w:iCs/>
                <w:sz w:val="16"/>
                <w:szCs w:val="16"/>
                <w:lang w:val="en-US" w:eastAsia="en-GB"/>
              </w:rPr>
              <w:t>82</w:t>
            </w:r>
            <w:r w:rsidR="011C2927" w:rsidRPr="00871AA1">
              <w:rPr>
                <w:rFonts w:asciiTheme="minorHAnsi" w:hAnsiTheme="minorHAnsi" w:cstheme="minorBidi"/>
                <w:b/>
                <w:bCs/>
                <w:i/>
                <w:iCs/>
                <w:sz w:val="16"/>
                <w:szCs w:val="16"/>
                <w:lang w:val="en-US" w:eastAsia="en-GB"/>
              </w:rPr>
              <w:t>.</w:t>
            </w:r>
            <w:r w:rsidR="27AD1DCC" w:rsidRPr="00871AA1">
              <w:rPr>
                <w:rFonts w:asciiTheme="minorHAnsi" w:hAnsiTheme="minorHAnsi" w:cstheme="minorBidi"/>
                <w:b/>
                <w:bCs/>
                <w:i/>
                <w:iCs/>
                <w:sz w:val="16"/>
                <w:szCs w:val="16"/>
                <w:lang w:val="en-US" w:eastAsia="en-GB"/>
              </w:rPr>
              <w:t>8</w:t>
            </w:r>
            <w:r w:rsidR="011C2927" w:rsidRPr="00871AA1">
              <w:rPr>
                <w:rFonts w:asciiTheme="minorHAnsi" w:hAnsiTheme="minorHAnsi" w:cstheme="minorBidi"/>
                <w:b/>
                <w:bCs/>
                <w:i/>
                <w:iCs/>
                <w:sz w:val="16"/>
                <w:szCs w:val="16"/>
                <w:lang w:val="en-US" w:eastAsia="en-GB"/>
              </w:rPr>
              <w:t>00</w:t>
            </w:r>
          </w:p>
        </w:tc>
      </w:tr>
      <w:tr w:rsidR="00DA42EB" w:rsidRPr="00CE1EA7" w14:paraId="23FDAD63" w14:textId="77777777" w:rsidTr="72739566">
        <w:tc>
          <w:tcPr>
            <w:tcW w:w="2836" w:type="dxa"/>
            <w:tcBorders>
              <w:top w:val="single" w:sz="8" w:space="0" w:color="auto"/>
              <w:left w:val="single" w:sz="8" w:space="0" w:color="auto"/>
              <w:bottom w:val="single" w:sz="8" w:space="0" w:color="auto"/>
              <w:right w:val="single" w:sz="8" w:space="0" w:color="auto"/>
            </w:tcBorders>
            <w:shd w:val="clear" w:color="auto" w:fill="F6F4D0"/>
          </w:tcPr>
          <w:p w14:paraId="787871A9" w14:textId="77777777" w:rsidR="00EB22CD" w:rsidRPr="00CE1EA7" w:rsidRDefault="00EB22CD" w:rsidP="005F0859">
            <w:pPr>
              <w:rPr>
                <w:rFonts w:asciiTheme="minorHAnsi" w:hAnsiTheme="minorHAnsi" w:cstheme="minorHAnsi"/>
                <w:b/>
                <w:bCs/>
                <w:iCs/>
                <w:sz w:val="16"/>
                <w:szCs w:val="16"/>
              </w:rPr>
            </w:pPr>
            <w:r w:rsidRPr="00CE1EA7">
              <w:rPr>
                <w:rFonts w:asciiTheme="minorHAnsi" w:hAnsiTheme="minorHAnsi" w:cstheme="minorHAnsi"/>
                <w:b/>
                <w:bCs/>
                <w:iCs/>
                <w:sz w:val="16"/>
                <w:szCs w:val="16"/>
              </w:rPr>
              <w:t xml:space="preserve">XI: PROMOTION OF PRODUCTION, IMPORT SUBSTITUTION AND EXPORT DIVERSIFICATION </w:t>
            </w:r>
          </w:p>
        </w:tc>
        <w:tc>
          <w:tcPr>
            <w:tcW w:w="5103" w:type="dxa"/>
            <w:tcBorders>
              <w:top w:val="single" w:sz="8" w:space="0" w:color="auto"/>
              <w:left w:val="single" w:sz="8" w:space="0" w:color="auto"/>
              <w:bottom w:val="single" w:sz="8" w:space="0" w:color="auto"/>
              <w:right w:val="single" w:sz="8" w:space="0" w:color="auto"/>
            </w:tcBorders>
            <w:shd w:val="clear" w:color="auto" w:fill="F6F4D0"/>
            <w:noWrap/>
          </w:tcPr>
          <w:p w14:paraId="3FAD6B50" w14:textId="37D2EB0D" w:rsidR="00EB22CD" w:rsidRPr="00CE1EA7" w:rsidRDefault="00EB22CD" w:rsidP="005F0859">
            <w:pPr>
              <w:rPr>
                <w:rFonts w:asciiTheme="minorHAnsi" w:hAnsiTheme="minorHAnsi" w:cstheme="minorBidi"/>
                <w:b/>
                <w:sz w:val="16"/>
                <w:szCs w:val="16"/>
              </w:rPr>
            </w:pPr>
            <w:r w:rsidRPr="302C34D4">
              <w:rPr>
                <w:rFonts w:asciiTheme="minorHAnsi" w:hAnsiTheme="minorHAnsi" w:cstheme="minorBidi"/>
                <w:b/>
                <w:bCs/>
                <w:sz w:val="16"/>
                <w:szCs w:val="16"/>
              </w:rPr>
              <w:t>MINAGRIP</w:t>
            </w:r>
            <w:r w:rsidRPr="302C34D4">
              <w:rPr>
                <w:rFonts w:asciiTheme="minorHAnsi" w:hAnsiTheme="minorHAnsi" w:cstheme="minorBidi"/>
                <w:b/>
                <w:sz w:val="16"/>
                <w:szCs w:val="16"/>
              </w:rPr>
              <w:t xml:space="preserve"> / PND Program # 2.3.2: Promoting Agricultural Production</w:t>
            </w:r>
          </w:p>
          <w:p w14:paraId="7AFAACE8" w14:textId="77777777" w:rsidR="00EB22CD" w:rsidRPr="00CE1EA7" w:rsidRDefault="00EB22CD" w:rsidP="005F0859">
            <w:pPr>
              <w:rPr>
                <w:rFonts w:asciiTheme="minorHAnsi" w:hAnsiTheme="minorHAnsi" w:cstheme="minorHAnsi"/>
                <w:b/>
                <w:bCs/>
                <w:sz w:val="16"/>
                <w:szCs w:val="16"/>
              </w:rPr>
            </w:pPr>
          </w:p>
        </w:tc>
        <w:tc>
          <w:tcPr>
            <w:tcW w:w="1701" w:type="dxa"/>
            <w:tcBorders>
              <w:top w:val="single" w:sz="8" w:space="0" w:color="auto"/>
              <w:left w:val="single" w:sz="8" w:space="0" w:color="auto"/>
              <w:bottom w:val="single" w:sz="8" w:space="0" w:color="auto"/>
              <w:right w:val="single" w:sz="8" w:space="0" w:color="auto"/>
            </w:tcBorders>
            <w:shd w:val="clear" w:color="auto" w:fill="F6F4D0"/>
          </w:tcPr>
          <w:p w14:paraId="7DC8401B" w14:textId="77777777" w:rsidR="00EB22CD" w:rsidRPr="00CE1EA7" w:rsidRDefault="00EB22CD" w:rsidP="005F0859">
            <w:pPr>
              <w:rPr>
                <w:rFonts w:asciiTheme="minorHAnsi" w:hAnsiTheme="minorHAnsi" w:cstheme="minorHAnsi"/>
                <w:b/>
                <w:bCs/>
                <w:iCs/>
                <w:sz w:val="16"/>
                <w:szCs w:val="16"/>
              </w:rPr>
            </w:pPr>
            <w:r w:rsidRPr="00CE1EA7">
              <w:rPr>
                <w:rFonts w:asciiTheme="minorHAnsi" w:hAnsiTheme="minorHAnsi" w:cstheme="minorHAnsi"/>
                <w:b/>
                <w:bCs/>
                <w:iCs/>
                <w:sz w:val="16"/>
                <w:szCs w:val="16"/>
              </w:rPr>
              <w:t>Programmatic relevance: 30%</w:t>
            </w:r>
          </w:p>
        </w:tc>
        <w:tc>
          <w:tcPr>
            <w:tcW w:w="4394" w:type="dxa"/>
            <w:tcBorders>
              <w:top w:val="single" w:sz="8" w:space="0" w:color="auto"/>
              <w:left w:val="single" w:sz="8" w:space="0" w:color="auto"/>
              <w:bottom w:val="single" w:sz="8" w:space="0" w:color="auto"/>
              <w:right w:val="single" w:sz="8" w:space="0" w:color="auto"/>
            </w:tcBorders>
            <w:shd w:val="clear" w:color="auto" w:fill="F6F4D0"/>
            <w:noWrap/>
          </w:tcPr>
          <w:p w14:paraId="06504785" w14:textId="319032FB" w:rsidR="00EB22CD" w:rsidRPr="00CE1EA7" w:rsidRDefault="00EB22CD" w:rsidP="005F0859">
            <w:pPr>
              <w:tabs>
                <w:tab w:val="right" w:pos="2086"/>
              </w:tabs>
              <w:rPr>
                <w:rFonts w:asciiTheme="minorHAnsi" w:hAnsiTheme="minorHAnsi" w:cstheme="minorBidi"/>
                <w:b/>
                <w:sz w:val="16"/>
                <w:szCs w:val="16"/>
              </w:rPr>
            </w:pPr>
            <w:r w:rsidRPr="302C34D4">
              <w:rPr>
                <w:rFonts w:asciiTheme="minorHAnsi" w:hAnsiTheme="minorHAnsi" w:cstheme="minorBidi"/>
                <w:b/>
                <w:sz w:val="16"/>
                <w:szCs w:val="16"/>
                <w:u w:val="single"/>
              </w:rPr>
              <w:t xml:space="preserve">From </w:t>
            </w:r>
            <w:r w:rsidRPr="302C34D4">
              <w:rPr>
                <w:rFonts w:asciiTheme="minorHAnsi" w:hAnsiTheme="minorHAnsi" w:cstheme="minorBidi"/>
                <w:b/>
                <w:bCs/>
                <w:sz w:val="16"/>
                <w:szCs w:val="16"/>
                <w:u w:val="single"/>
              </w:rPr>
              <w:t>MINAGRIP</w:t>
            </w:r>
            <w:r w:rsidRPr="302C34D4">
              <w:rPr>
                <w:rFonts w:asciiTheme="minorHAnsi" w:hAnsiTheme="minorHAnsi" w:cstheme="minorBidi"/>
                <w:b/>
                <w:sz w:val="16"/>
                <w:szCs w:val="16"/>
                <w:u w:val="single"/>
              </w:rPr>
              <w:t>, Agriculture</w:t>
            </w:r>
            <w:r w:rsidRPr="302C34D4">
              <w:rPr>
                <w:rFonts w:asciiTheme="minorHAnsi" w:hAnsiTheme="minorHAnsi" w:cstheme="minorBidi"/>
                <w:b/>
                <w:sz w:val="16"/>
                <w:szCs w:val="16"/>
              </w:rPr>
              <w:t>:</w:t>
            </w:r>
          </w:p>
          <w:p w14:paraId="50D46898" w14:textId="60E54B52" w:rsidR="00EB22CD" w:rsidRPr="00CE1EA7" w:rsidRDefault="00EB22CD" w:rsidP="005F0859">
            <w:pPr>
              <w:tabs>
                <w:tab w:val="right" w:pos="2086"/>
              </w:tabs>
              <w:rPr>
                <w:rFonts w:asciiTheme="minorHAnsi" w:hAnsiTheme="minorHAnsi" w:cstheme="minorHAnsi"/>
                <w:b/>
                <w:bCs/>
                <w:iCs/>
                <w:sz w:val="16"/>
                <w:szCs w:val="16"/>
              </w:rPr>
            </w:pPr>
            <w:r w:rsidRPr="00CE1EA7">
              <w:rPr>
                <w:rFonts w:asciiTheme="minorHAnsi" w:hAnsiTheme="minorHAnsi" w:cstheme="minorHAnsi"/>
                <w:b/>
                <w:bCs/>
                <w:iCs/>
                <w:sz w:val="16"/>
                <w:szCs w:val="16"/>
              </w:rPr>
              <w:t>- BASELINE:</w:t>
            </w:r>
            <w:r w:rsidRPr="00CE1EA7">
              <w:rPr>
                <w:rFonts w:asciiTheme="minorHAnsi" w:hAnsiTheme="minorHAnsi" w:cstheme="minorHAnsi"/>
                <w:b/>
                <w:bCs/>
                <w:iCs/>
                <w:sz w:val="16"/>
                <w:szCs w:val="16"/>
              </w:rPr>
              <w:tab/>
              <w:t>$</w:t>
            </w:r>
            <w:r w:rsidR="000C0045">
              <w:rPr>
                <w:rFonts w:asciiTheme="minorHAnsi" w:hAnsiTheme="minorHAnsi" w:cstheme="minorHAnsi"/>
                <w:b/>
                <w:bCs/>
                <w:iCs/>
                <w:sz w:val="16"/>
                <w:szCs w:val="16"/>
              </w:rPr>
              <w:t>48.4</w:t>
            </w:r>
            <w:r w:rsidRPr="00CE1EA7">
              <w:rPr>
                <w:rFonts w:asciiTheme="minorHAnsi" w:hAnsiTheme="minorHAnsi" w:cstheme="minorHAnsi"/>
                <w:b/>
                <w:bCs/>
                <w:iCs/>
                <w:sz w:val="16"/>
                <w:szCs w:val="16"/>
              </w:rPr>
              <w:t xml:space="preserve"> M </w:t>
            </w:r>
          </w:p>
          <w:p w14:paraId="7FBD80A8" w14:textId="09C0AFBC" w:rsidR="00EB22CD" w:rsidRPr="00CE1EA7" w:rsidRDefault="00EB22CD" w:rsidP="005F0859">
            <w:pPr>
              <w:tabs>
                <w:tab w:val="right" w:pos="2086"/>
              </w:tabs>
              <w:rPr>
                <w:rFonts w:asciiTheme="minorHAnsi" w:hAnsiTheme="minorHAnsi" w:cstheme="minorHAnsi"/>
                <w:b/>
                <w:bCs/>
                <w:iCs/>
                <w:sz w:val="16"/>
                <w:szCs w:val="16"/>
              </w:rPr>
            </w:pPr>
            <w:r w:rsidRPr="00CE1EA7">
              <w:rPr>
                <w:rFonts w:asciiTheme="minorHAnsi" w:hAnsiTheme="minorHAnsi" w:cstheme="minorHAnsi"/>
                <w:b/>
                <w:bCs/>
                <w:iCs/>
                <w:sz w:val="16"/>
                <w:szCs w:val="16"/>
              </w:rPr>
              <w:t xml:space="preserve">- CO-FINANCING: </w:t>
            </w:r>
            <w:r w:rsidRPr="00CE1EA7">
              <w:rPr>
                <w:rFonts w:asciiTheme="minorHAnsi" w:hAnsiTheme="minorHAnsi" w:cstheme="minorHAnsi"/>
                <w:b/>
                <w:bCs/>
                <w:iCs/>
                <w:sz w:val="16"/>
                <w:szCs w:val="16"/>
              </w:rPr>
              <w:tab/>
              <w:t>$1</w:t>
            </w:r>
            <w:r w:rsidR="000C0045">
              <w:rPr>
                <w:rFonts w:asciiTheme="minorHAnsi" w:hAnsiTheme="minorHAnsi" w:cstheme="minorHAnsi"/>
                <w:b/>
                <w:bCs/>
                <w:iCs/>
                <w:sz w:val="16"/>
                <w:szCs w:val="16"/>
              </w:rPr>
              <w:t>0</w:t>
            </w:r>
            <w:r w:rsidRPr="00CE1EA7">
              <w:rPr>
                <w:rFonts w:asciiTheme="minorHAnsi" w:hAnsiTheme="minorHAnsi" w:cstheme="minorHAnsi"/>
                <w:b/>
                <w:bCs/>
                <w:iCs/>
                <w:sz w:val="16"/>
                <w:szCs w:val="16"/>
              </w:rPr>
              <w:t>.</w:t>
            </w:r>
            <w:r w:rsidR="003E60E0">
              <w:rPr>
                <w:rFonts w:asciiTheme="minorHAnsi" w:hAnsiTheme="minorHAnsi" w:cstheme="minorHAnsi"/>
                <w:b/>
                <w:bCs/>
                <w:iCs/>
                <w:sz w:val="16"/>
                <w:szCs w:val="16"/>
              </w:rPr>
              <w:t>0</w:t>
            </w:r>
            <w:r w:rsidRPr="00CE1EA7">
              <w:rPr>
                <w:rFonts w:asciiTheme="minorHAnsi" w:hAnsiTheme="minorHAnsi" w:cstheme="minorHAnsi"/>
                <w:b/>
                <w:bCs/>
                <w:iCs/>
                <w:sz w:val="16"/>
                <w:szCs w:val="16"/>
              </w:rPr>
              <w:t xml:space="preserve"> M</w:t>
            </w:r>
          </w:p>
        </w:tc>
      </w:tr>
      <w:tr w:rsidR="00871AA1" w:rsidRPr="00CE1EA7" w14:paraId="5315290C" w14:textId="77777777" w:rsidTr="72739566">
        <w:tc>
          <w:tcPr>
            <w:tcW w:w="2836" w:type="dxa"/>
            <w:tcBorders>
              <w:top w:val="single" w:sz="8" w:space="0" w:color="auto"/>
              <w:left w:val="single" w:sz="8" w:space="0" w:color="auto"/>
              <w:bottom w:val="single" w:sz="8" w:space="0" w:color="auto"/>
              <w:right w:val="single" w:sz="8" w:space="0" w:color="auto"/>
            </w:tcBorders>
          </w:tcPr>
          <w:p w14:paraId="55F16849" w14:textId="77777777" w:rsidR="00C03B3C" w:rsidRPr="00CE1EA7" w:rsidRDefault="00C03B3C" w:rsidP="00C03B3C">
            <w:pPr>
              <w:rPr>
                <w:rFonts w:asciiTheme="minorHAnsi" w:hAnsiTheme="minorHAnsi" w:cstheme="minorHAnsi"/>
                <w:i/>
                <w:sz w:val="16"/>
                <w:szCs w:val="16"/>
              </w:rPr>
            </w:pPr>
            <w:r w:rsidRPr="00CE1EA7">
              <w:rPr>
                <w:rFonts w:asciiTheme="minorHAnsi" w:hAnsiTheme="minorHAnsi" w:cstheme="minorHAnsi"/>
                <w:i/>
                <w:sz w:val="16"/>
                <w:szCs w:val="16"/>
              </w:rPr>
              <w:t>1: To promote agricultural activity with a view to increasing the production of basic food products for consumption, both on family farms and on farms</w:t>
            </w:r>
          </w:p>
          <w:p w14:paraId="293A90A3" w14:textId="77777777" w:rsidR="00C03B3C" w:rsidRPr="00CE1EA7" w:rsidRDefault="00C03B3C" w:rsidP="00C03B3C">
            <w:pPr>
              <w:rPr>
                <w:rFonts w:asciiTheme="minorHAnsi" w:hAnsiTheme="minorHAnsi" w:cstheme="minorHAnsi"/>
                <w:i/>
                <w:sz w:val="16"/>
                <w:szCs w:val="16"/>
              </w:rPr>
            </w:pPr>
          </w:p>
          <w:p w14:paraId="46CB8811" w14:textId="77777777" w:rsidR="00C03B3C" w:rsidRPr="00CE1EA7" w:rsidRDefault="00C03B3C" w:rsidP="00C03B3C">
            <w:pPr>
              <w:rPr>
                <w:rFonts w:asciiTheme="minorHAnsi" w:hAnsiTheme="minorHAnsi" w:cstheme="minorHAnsi"/>
                <w:i/>
                <w:sz w:val="16"/>
                <w:szCs w:val="16"/>
              </w:rPr>
            </w:pPr>
            <w:r w:rsidRPr="00CE1EA7">
              <w:rPr>
                <w:rFonts w:asciiTheme="minorHAnsi" w:hAnsiTheme="minorHAnsi" w:cstheme="minorHAnsi"/>
                <w:i/>
                <w:sz w:val="16"/>
                <w:szCs w:val="16"/>
              </w:rPr>
              <w:t>2: Increase production of industrial crops and yield</w:t>
            </w:r>
          </w:p>
          <w:p w14:paraId="092FDFA0" w14:textId="77777777" w:rsidR="00C03B3C" w:rsidRPr="00CE1EA7" w:rsidRDefault="00C03B3C" w:rsidP="00C03B3C">
            <w:pPr>
              <w:rPr>
                <w:rFonts w:asciiTheme="minorHAnsi" w:hAnsiTheme="minorHAnsi" w:cstheme="minorHAnsi"/>
                <w:i/>
                <w:sz w:val="16"/>
                <w:szCs w:val="16"/>
              </w:rPr>
            </w:pPr>
          </w:p>
          <w:p w14:paraId="0CA2C2BD" w14:textId="77777777" w:rsidR="00C03B3C" w:rsidRPr="00CE1EA7" w:rsidRDefault="00C03B3C" w:rsidP="00C03B3C">
            <w:pPr>
              <w:rPr>
                <w:rFonts w:asciiTheme="minorHAnsi" w:hAnsiTheme="minorHAnsi" w:cstheme="minorHAnsi"/>
                <w:i/>
                <w:sz w:val="16"/>
                <w:szCs w:val="16"/>
              </w:rPr>
            </w:pPr>
            <w:r w:rsidRPr="00CE1EA7">
              <w:rPr>
                <w:rFonts w:asciiTheme="minorHAnsi" w:hAnsiTheme="minorHAnsi" w:cstheme="minorHAnsi"/>
                <w:i/>
                <w:sz w:val="16"/>
                <w:szCs w:val="16"/>
              </w:rPr>
              <w:t>3: Support agricultural production of family farmers by increasing the availability and improved access to inputs and increasing the capacity of rural extension and development services</w:t>
            </w:r>
          </w:p>
          <w:p w14:paraId="5B157652" w14:textId="77777777" w:rsidR="00C03B3C" w:rsidRPr="00CE1EA7" w:rsidRDefault="00C03B3C" w:rsidP="00C03B3C">
            <w:pPr>
              <w:rPr>
                <w:rFonts w:asciiTheme="minorHAnsi" w:hAnsiTheme="minorHAnsi" w:cstheme="minorHAnsi"/>
                <w:iCs/>
                <w:sz w:val="16"/>
                <w:szCs w:val="16"/>
              </w:rPr>
            </w:pPr>
            <w:r w:rsidRPr="00CE1EA7">
              <w:rPr>
                <w:rFonts w:asciiTheme="minorHAnsi" w:hAnsiTheme="minorHAnsi" w:cstheme="minorHAnsi"/>
                <w:iCs/>
                <w:sz w:val="16"/>
                <w:szCs w:val="16"/>
              </w:rPr>
              <w:t> </w:t>
            </w:r>
          </w:p>
          <w:p w14:paraId="61690154" w14:textId="77777777" w:rsidR="00C03B3C" w:rsidRPr="00CE1EA7" w:rsidRDefault="00C03B3C" w:rsidP="00C03B3C">
            <w:pPr>
              <w:rPr>
                <w:rFonts w:asciiTheme="minorHAnsi" w:hAnsiTheme="minorHAnsi" w:cstheme="minorHAnsi"/>
                <w:b/>
                <w:bCs/>
                <w:iCs/>
                <w:sz w:val="16"/>
                <w:szCs w:val="16"/>
              </w:rPr>
            </w:pPr>
            <w:r w:rsidRPr="00CE1EA7">
              <w:rPr>
                <w:rFonts w:asciiTheme="minorHAnsi" w:hAnsiTheme="minorHAnsi" w:cstheme="minorHAnsi"/>
                <w:b/>
                <w:bCs/>
                <w:iCs/>
                <w:sz w:val="16"/>
                <w:szCs w:val="16"/>
              </w:rPr>
              <w:t xml:space="preserve">Targets 1.1 to 2.4: Substantial increases in agricultural production </w:t>
            </w:r>
          </w:p>
          <w:p w14:paraId="1464CFAE" w14:textId="77777777" w:rsidR="00C03B3C" w:rsidRPr="00CE1EA7" w:rsidRDefault="00C03B3C" w:rsidP="00C03B3C">
            <w:pPr>
              <w:rPr>
                <w:rFonts w:asciiTheme="minorHAnsi" w:hAnsiTheme="minorHAnsi" w:cstheme="minorHAnsi"/>
                <w:b/>
                <w:bCs/>
                <w:iCs/>
                <w:sz w:val="16"/>
                <w:szCs w:val="16"/>
              </w:rPr>
            </w:pPr>
            <w:r w:rsidRPr="00CE1EA7">
              <w:rPr>
                <w:rFonts w:asciiTheme="minorHAnsi" w:hAnsiTheme="minorHAnsi" w:cstheme="minorHAnsi"/>
                <w:b/>
                <w:bCs/>
                <w:iCs/>
                <w:sz w:val="16"/>
                <w:szCs w:val="16"/>
              </w:rPr>
              <w:t> </w:t>
            </w:r>
          </w:p>
          <w:p w14:paraId="7A8009B8" w14:textId="77777777" w:rsidR="00C03B3C" w:rsidRPr="00CE1EA7" w:rsidRDefault="00C03B3C" w:rsidP="00C03B3C">
            <w:pPr>
              <w:rPr>
                <w:rFonts w:asciiTheme="minorHAnsi" w:hAnsiTheme="minorHAnsi" w:cstheme="minorHAnsi"/>
                <w:b/>
                <w:bCs/>
                <w:iCs/>
                <w:sz w:val="16"/>
                <w:szCs w:val="16"/>
              </w:rPr>
            </w:pPr>
            <w:r w:rsidRPr="00CE1EA7">
              <w:rPr>
                <w:rFonts w:asciiTheme="minorHAnsi" w:hAnsiTheme="minorHAnsi" w:cstheme="minorHAnsi"/>
                <w:b/>
                <w:bCs/>
                <w:iCs/>
                <w:sz w:val="16"/>
                <w:szCs w:val="16"/>
              </w:rPr>
              <w:t>Target 3.5: By 2022, the number of Farmer Field Schools (FFS) increased 61% over 2017</w:t>
            </w:r>
          </w:p>
          <w:p w14:paraId="1D01CAF0" w14:textId="77777777" w:rsidR="00C03B3C" w:rsidRPr="00CE1EA7" w:rsidRDefault="00C03B3C" w:rsidP="00C03B3C">
            <w:pPr>
              <w:rPr>
                <w:rFonts w:asciiTheme="minorHAnsi" w:hAnsiTheme="minorHAnsi" w:cstheme="minorHAnsi"/>
                <w:b/>
                <w:bCs/>
                <w:iCs/>
                <w:sz w:val="16"/>
                <w:szCs w:val="16"/>
              </w:rPr>
            </w:pPr>
            <w:r w:rsidRPr="00CE1EA7">
              <w:rPr>
                <w:rFonts w:asciiTheme="minorHAnsi" w:hAnsiTheme="minorHAnsi" w:cstheme="minorHAnsi"/>
                <w:b/>
                <w:bCs/>
                <w:iCs/>
                <w:sz w:val="16"/>
                <w:szCs w:val="16"/>
              </w:rPr>
              <w:t> </w:t>
            </w:r>
          </w:p>
          <w:p w14:paraId="68D30CA9" w14:textId="77777777" w:rsidR="00C03B3C" w:rsidRPr="00CE1EA7" w:rsidRDefault="00C03B3C" w:rsidP="00C03B3C">
            <w:pPr>
              <w:rPr>
                <w:rFonts w:asciiTheme="minorHAnsi" w:hAnsiTheme="minorHAnsi" w:cstheme="minorHAnsi"/>
                <w:b/>
                <w:bCs/>
                <w:iCs/>
                <w:sz w:val="16"/>
                <w:szCs w:val="16"/>
              </w:rPr>
            </w:pPr>
            <w:r w:rsidRPr="00CE1EA7">
              <w:rPr>
                <w:rFonts w:asciiTheme="minorHAnsi" w:hAnsiTheme="minorHAnsi" w:cstheme="minorHAnsi"/>
                <w:b/>
                <w:bCs/>
                <w:iCs/>
                <w:sz w:val="16"/>
                <w:szCs w:val="16"/>
              </w:rPr>
              <w:t>Target 3.6: By 2022, the number of Demonstration Fields increases 35% compared to 2017</w:t>
            </w:r>
          </w:p>
          <w:p w14:paraId="0399A76F" w14:textId="77777777" w:rsidR="00C03B3C" w:rsidRPr="00CE1EA7" w:rsidRDefault="00C03B3C" w:rsidP="00C03B3C">
            <w:pPr>
              <w:rPr>
                <w:rFonts w:asciiTheme="minorHAnsi" w:hAnsiTheme="minorHAnsi" w:cstheme="minorHAnsi"/>
                <w:b/>
                <w:bCs/>
                <w:iCs/>
                <w:sz w:val="16"/>
                <w:szCs w:val="16"/>
              </w:rPr>
            </w:pPr>
            <w:r w:rsidRPr="00CE1EA7">
              <w:rPr>
                <w:rFonts w:asciiTheme="minorHAnsi" w:hAnsiTheme="minorHAnsi" w:cstheme="minorHAnsi"/>
                <w:b/>
                <w:bCs/>
                <w:iCs/>
                <w:sz w:val="16"/>
                <w:szCs w:val="16"/>
              </w:rPr>
              <w:t> </w:t>
            </w:r>
          </w:p>
          <w:p w14:paraId="38B9005A" w14:textId="77777777" w:rsidR="00C03B3C" w:rsidRPr="00CE1EA7" w:rsidRDefault="00C03B3C" w:rsidP="00C03B3C">
            <w:pPr>
              <w:rPr>
                <w:rFonts w:asciiTheme="minorHAnsi" w:hAnsiTheme="minorHAnsi" w:cstheme="minorHAnsi"/>
                <w:iCs/>
                <w:sz w:val="16"/>
                <w:szCs w:val="16"/>
              </w:rPr>
            </w:pPr>
            <w:r w:rsidRPr="00CE1EA7">
              <w:rPr>
                <w:rFonts w:asciiTheme="minorHAnsi" w:hAnsiTheme="minorHAnsi" w:cstheme="minorHAnsi"/>
                <w:b/>
                <w:bCs/>
                <w:iCs/>
                <w:sz w:val="16"/>
                <w:szCs w:val="16"/>
              </w:rPr>
              <w:t>Target 3.7: By 2022, the number of Agrarian Development Stations (’DA's) increases 100% over 2017</w:t>
            </w:r>
          </w:p>
        </w:tc>
        <w:tc>
          <w:tcPr>
            <w:tcW w:w="5103" w:type="dxa"/>
            <w:tcBorders>
              <w:top w:val="single" w:sz="8" w:space="0" w:color="auto"/>
              <w:left w:val="single" w:sz="8" w:space="0" w:color="auto"/>
              <w:bottom w:val="single" w:sz="8" w:space="0" w:color="auto"/>
              <w:right w:val="single" w:sz="8" w:space="0" w:color="auto"/>
            </w:tcBorders>
            <w:noWrap/>
          </w:tcPr>
          <w:p w14:paraId="0811D15E" w14:textId="77777777" w:rsidR="00C03B3C" w:rsidRPr="00166A58" w:rsidRDefault="00C03B3C" w:rsidP="00C03B3C">
            <w:pPr>
              <w:rPr>
                <w:rFonts w:ascii="Calibri" w:hAnsi="Calibri" w:cs="Calibri"/>
                <w:color w:val="000000"/>
                <w:sz w:val="16"/>
                <w:szCs w:val="16"/>
              </w:rPr>
            </w:pPr>
            <w:r w:rsidRPr="1DF45A6D">
              <w:rPr>
                <w:rFonts w:ascii="Calibri" w:hAnsi="Calibri" w:cs="Calibri"/>
                <w:color w:val="000000" w:themeColor="text1"/>
                <w:sz w:val="16"/>
                <w:szCs w:val="16"/>
              </w:rPr>
              <w:t>Being executed by the Ministry of Agriculture and  Fishery (MINAGRIP) Program #2.3.2 is included in the PND (2018-2022) and it is linked to PND policy objective XI: PROMOTION OF PRODUCTION, IMPORT SUBSTITUTION AND EXPORT DIVERSIFICATION. The following goals are relevant to the project: 1: To promote agricultural activity with a view to increasing the production of basic food products for consumption, both on family farms and on farms; and 2: Increase production of industrial crops and yield; and 3: Support agricultural production of family farmers by increasing the availability and improved access to inputs and increasing the capacity of rural extension and development services. Core topics under the Program include:</w:t>
            </w:r>
          </w:p>
          <w:p w14:paraId="2E99BCB2" w14:textId="77777777" w:rsidR="00C03B3C" w:rsidRPr="00166A58" w:rsidRDefault="00C03B3C" w:rsidP="001667C6">
            <w:pPr>
              <w:pStyle w:val="ListParagraph"/>
              <w:numPr>
                <w:ilvl w:val="0"/>
                <w:numId w:val="64"/>
              </w:numPr>
              <w:spacing w:after="0"/>
              <w:ind w:left="313" w:hanging="313"/>
              <w:contextualSpacing w:val="0"/>
              <w:jc w:val="left"/>
              <w:rPr>
                <w:rFonts w:cstheme="minorHAnsi"/>
                <w:color w:val="auto"/>
                <w:sz w:val="16"/>
                <w:szCs w:val="16"/>
              </w:rPr>
            </w:pPr>
            <w:r w:rsidRPr="00166A58">
              <w:rPr>
                <w:rFonts w:cstheme="minorHAnsi"/>
                <w:color w:val="auto"/>
                <w:sz w:val="16"/>
                <w:szCs w:val="16"/>
              </w:rPr>
              <w:t>Promoting agronomic research;</w:t>
            </w:r>
          </w:p>
          <w:p w14:paraId="5AE8BF52" w14:textId="77777777" w:rsidR="00C03B3C" w:rsidRPr="00166A58" w:rsidRDefault="00C03B3C" w:rsidP="001667C6">
            <w:pPr>
              <w:pStyle w:val="ListParagraph"/>
              <w:numPr>
                <w:ilvl w:val="0"/>
                <w:numId w:val="64"/>
              </w:numPr>
              <w:spacing w:after="0"/>
              <w:ind w:left="313" w:hanging="313"/>
              <w:contextualSpacing w:val="0"/>
              <w:jc w:val="left"/>
              <w:rPr>
                <w:rFonts w:cstheme="minorHAnsi"/>
                <w:color w:val="auto"/>
                <w:sz w:val="16"/>
                <w:szCs w:val="16"/>
              </w:rPr>
            </w:pPr>
            <w:r w:rsidRPr="00166A58">
              <w:rPr>
                <w:rFonts w:cstheme="minorHAnsi"/>
                <w:color w:val="auto"/>
                <w:sz w:val="16"/>
                <w:szCs w:val="16"/>
              </w:rPr>
              <w:t>Provide technical support to farmers through Agrarian Development Stations</w:t>
            </w:r>
            <w:r w:rsidRPr="00166A58">
              <w:rPr>
                <w:rStyle w:val="CommentReference"/>
                <w:rFonts w:cstheme="minorHAnsi"/>
                <w:iCs/>
                <w:color w:val="auto"/>
              </w:rPr>
              <w:t xml:space="preserve"> and FFS </w:t>
            </w:r>
            <w:r w:rsidRPr="00166A58">
              <w:rPr>
                <w:rFonts w:cstheme="minorHAnsi"/>
                <w:color w:val="auto"/>
                <w:sz w:val="16"/>
                <w:szCs w:val="16"/>
              </w:rPr>
              <w:t>(the latter do not necessarily require the construction of root infrastructures) so as to enable them to properly integrate the use of inputs, increase productivity and, consequently, the income of the households;</w:t>
            </w:r>
          </w:p>
          <w:p w14:paraId="2E0091A5" w14:textId="77777777" w:rsidR="00C03B3C" w:rsidRPr="00166A58" w:rsidRDefault="00C03B3C" w:rsidP="001667C6">
            <w:pPr>
              <w:pStyle w:val="ListParagraph"/>
              <w:numPr>
                <w:ilvl w:val="0"/>
                <w:numId w:val="64"/>
              </w:numPr>
              <w:spacing w:after="0"/>
              <w:ind w:left="313" w:hanging="313"/>
              <w:contextualSpacing w:val="0"/>
              <w:jc w:val="left"/>
              <w:rPr>
                <w:rFonts w:cstheme="minorHAnsi"/>
                <w:color w:val="auto"/>
                <w:sz w:val="16"/>
                <w:szCs w:val="16"/>
              </w:rPr>
            </w:pPr>
            <w:r w:rsidRPr="00166A58">
              <w:rPr>
                <w:rFonts w:cstheme="minorHAnsi"/>
                <w:color w:val="auto"/>
                <w:sz w:val="16"/>
                <w:szCs w:val="16"/>
              </w:rPr>
              <w:t>Correct soils with dolomitic limestone to reduce soil acidity and prepare soil for increasing areas;</w:t>
            </w:r>
          </w:p>
          <w:p w14:paraId="66E02D26" w14:textId="77777777" w:rsidR="00C03B3C" w:rsidRPr="00166A58" w:rsidRDefault="00C03B3C" w:rsidP="001667C6">
            <w:pPr>
              <w:pStyle w:val="ListParagraph"/>
              <w:numPr>
                <w:ilvl w:val="0"/>
                <w:numId w:val="64"/>
              </w:numPr>
              <w:spacing w:after="0"/>
              <w:ind w:left="313" w:hanging="313"/>
              <w:contextualSpacing w:val="0"/>
              <w:jc w:val="left"/>
              <w:rPr>
                <w:rFonts w:cstheme="minorHAnsi"/>
                <w:color w:val="auto"/>
                <w:sz w:val="16"/>
                <w:szCs w:val="16"/>
              </w:rPr>
            </w:pPr>
            <w:r w:rsidRPr="00166A58">
              <w:rPr>
                <w:rFonts w:cstheme="minorHAnsi"/>
                <w:color w:val="auto"/>
                <w:sz w:val="16"/>
                <w:szCs w:val="16"/>
              </w:rPr>
              <w:t>Support the structuring, expansion and operation of the rural commercial network;</w:t>
            </w:r>
          </w:p>
          <w:p w14:paraId="4130EC36" w14:textId="77777777" w:rsidR="00C03B3C" w:rsidRPr="00166A58" w:rsidRDefault="00C03B3C" w:rsidP="001667C6">
            <w:pPr>
              <w:pStyle w:val="ListParagraph"/>
              <w:numPr>
                <w:ilvl w:val="0"/>
                <w:numId w:val="64"/>
              </w:numPr>
              <w:spacing w:after="0"/>
              <w:ind w:left="313" w:hanging="313"/>
              <w:contextualSpacing w:val="0"/>
              <w:jc w:val="left"/>
              <w:rPr>
                <w:rFonts w:cstheme="minorHAnsi"/>
                <w:color w:val="auto"/>
                <w:sz w:val="16"/>
                <w:szCs w:val="16"/>
              </w:rPr>
            </w:pPr>
            <w:r w:rsidRPr="00166A58">
              <w:rPr>
                <w:rFonts w:cstheme="minorHAnsi"/>
                <w:color w:val="auto"/>
                <w:sz w:val="16"/>
                <w:szCs w:val="16"/>
              </w:rPr>
              <w:t>Promoting access to credit and insurance for agricultural and livestock activities with credit institutions and insurers under more attractive conditions; and</w:t>
            </w:r>
          </w:p>
          <w:p w14:paraId="0CE2B28E" w14:textId="77777777" w:rsidR="00C03B3C" w:rsidRPr="00166A58" w:rsidRDefault="00C03B3C" w:rsidP="001667C6">
            <w:pPr>
              <w:pStyle w:val="ListParagraph"/>
              <w:numPr>
                <w:ilvl w:val="0"/>
                <w:numId w:val="64"/>
              </w:numPr>
              <w:spacing w:after="0"/>
              <w:ind w:left="313" w:hanging="313"/>
              <w:contextualSpacing w:val="0"/>
              <w:jc w:val="left"/>
              <w:rPr>
                <w:rFonts w:cstheme="minorHAnsi"/>
                <w:color w:val="auto"/>
                <w:sz w:val="16"/>
                <w:szCs w:val="16"/>
              </w:rPr>
            </w:pPr>
            <w:r w:rsidRPr="00166A58">
              <w:rPr>
                <w:rFonts w:cstheme="minorHAnsi"/>
                <w:color w:val="auto"/>
                <w:sz w:val="16"/>
                <w:szCs w:val="16"/>
              </w:rPr>
              <w:t>Mapping and registering family and business farms and creating a bank of arable land available for investment, creating conditions for the improvement of land management.</w:t>
            </w:r>
          </w:p>
          <w:p w14:paraId="6FE8AA61" w14:textId="77777777" w:rsidR="00C03B3C" w:rsidRPr="00166A58" w:rsidRDefault="00C03B3C" w:rsidP="00C03B3C">
            <w:pPr>
              <w:spacing w:before="80"/>
              <w:rPr>
                <w:rFonts w:ascii="Calibri" w:hAnsi="Calibri" w:cs="Calibri"/>
                <w:b/>
                <w:bCs/>
                <w:color w:val="000000"/>
                <w:sz w:val="16"/>
                <w:szCs w:val="16"/>
                <w:u w:val="single"/>
              </w:rPr>
            </w:pPr>
            <w:r w:rsidRPr="00166A58">
              <w:rPr>
                <w:rFonts w:ascii="Calibri" w:hAnsi="Calibri" w:cs="Calibri"/>
                <w:b/>
                <w:bCs/>
                <w:color w:val="000000"/>
                <w:sz w:val="16"/>
                <w:szCs w:val="16"/>
                <w:u w:val="single"/>
              </w:rPr>
              <w:t>SYNERGIES AND COLLABORATION:</w:t>
            </w:r>
          </w:p>
          <w:p w14:paraId="7CCF02B8" w14:textId="4EDEA42B" w:rsidR="00C03B3C" w:rsidRPr="00C03B3C" w:rsidRDefault="00C03B3C" w:rsidP="4FA5C607">
            <w:pPr>
              <w:rPr>
                <w:rFonts w:ascii="Calibri" w:hAnsi="Calibri"/>
                <w:sz w:val="16"/>
                <w:szCs w:val="16"/>
              </w:rPr>
            </w:pPr>
            <w:r w:rsidRPr="608870BE">
              <w:rPr>
                <w:rFonts w:ascii="Calibri" w:hAnsi="Calibri" w:cs="Calibri"/>
                <w:color w:val="000000" w:themeColor="text1"/>
                <w:sz w:val="16"/>
                <w:szCs w:val="16"/>
              </w:rPr>
              <w:lastRenderedPageBreak/>
              <w:t>The topics under PND Program #2.3.2 (Promoting Agricultural Production) are highly relevant to the subject matter of the DSL IP Child Project. Some of the activities, such as providing technical support to farmers through Agrarian Development Stations and FFS,</w:t>
            </w:r>
            <w:r w:rsidRPr="00166A58">
              <w:rPr>
                <w:rFonts w:ascii="Calibri" w:hAnsi="Calibri"/>
                <w:sz w:val="16"/>
                <w:szCs w:val="16"/>
              </w:rPr>
              <w:t xml:space="preserve"> will be undertaken by the project. Government funding will help with creating infrastructures and supporting the agrarian sector more broadly towards overcoming barriers, including access to rural credit and support to business development within the agrarian sector. Baseline finance may be insufficient for addressing certain capacity development challenges. Within targeted landscapes, activities will be conducive towards these goals, either both the FFS approach and that of the FFF. </w:t>
            </w:r>
            <w:r w:rsidR="00C9107F" w:rsidRPr="00021736">
              <w:rPr>
                <w:rFonts w:ascii="Calibri" w:hAnsi="Calibri"/>
                <w:sz w:val="16"/>
                <w:szCs w:val="16"/>
                <w:highlight w:val="yellow"/>
              </w:rPr>
              <w:t>Moreover</w:t>
            </w:r>
            <w:r w:rsidR="009202C7" w:rsidRPr="00021736">
              <w:rPr>
                <w:rFonts w:ascii="Calibri" w:hAnsi="Calibri"/>
                <w:sz w:val="16"/>
                <w:szCs w:val="16"/>
                <w:highlight w:val="yellow"/>
              </w:rPr>
              <w:t xml:space="preserve">, </w:t>
            </w:r>
            <w:r w:rsidR="00047FF5" w:rsidRPr="00021736">
              <w:rPr>
                <w:rFonts w:ascii="Calibri" w:hAnsi="Calibri"/>
                <w:sz w:val="16"/>
                <w:szCs w:val="16"/>
                <w:highlight w:val="yellow"/>
              </w:rPr>
              <w:t xml:space="preserve">is is foreseen that the DSL IP project </w:t>
            </w:r>
            <w:r w:rsidR="006F1528" w:rsidRPr="00021736">
              <w:rPr>
                <w:rFonts w:ascii="Calibri" w:hAnsi="Calibri"/>
                <w:sz w:val="16"/>
                <w:szCs w:val="16"/>
                <w:highlight w:val="yellow"/>
              </w:rPr>
              <w:t xml:space="preserve">will support a </w:t>
            </w:r>
            <w:r w:rsidR="0090200C" w:rsidRPr="00021736">
              <w:rPr>
                <w:rFonts w:ascii="Calibri" w:hAnsi="Calibri"/>
                <w:sz w:val="16"/>
                <w:szCs w:val="16"/>
                <w:highlight w:val="yellow"/>
              </w:rPr>
              <w:t xml:space="preserve">closer alignment of the PND </w:t>
            </w:r>
            <w:r w:rsidR="00E17D95" w:rsidRPr="00021736">
              <w:rPr>
                <w:rFonts w:ascii="Calibri" w:hAnsi="Calibri"/>
                <w:sz w:val="16"/>
                <w:szCs w:val="16"/>
                <w:highlight w:val="yellow"/>
              </w:rPr>
              <w:t xml:space="preserve">with the </w:t>
            </w:r>
            <w:r w:rsidR="00B5350D" w:rsidRPr="00021736">
              <w:rPr>
                <w:rFonts w:ascii="Calibri" w:hAnsi="Calibri"/>
                <w:sz w:val="16"/>
                <w:szCs w:val="16"/>
                <w:highlight w:val="yellow"/>
              </w:rPr>
              <w:t>ILUPs</w:t>
            </w:r>
            <w:r w:rsidR="00283DB8">
              <w:rPr>
                <w:rFonts w:ascii="Calibri" w:hAnsi="Calibri"/>
                <w:sz w:val="16"/>
                <w:szCs w:val="16"/>
                <w:highlight w:val="yellow"/>
              </w:rPr>
              <w:t xml:space="preserve"> (</w:t>
            </w:r>
            <w:r w:rsidR="0090200C" w:rsidRPr="00021736">
              <w:rPr>
                <w:rFonts w:ascii="Calibri" w:hAnsi="Calibri"/>
                <w:sz w:val="16"/>
                <w:szCs w:val="16"/>
                <w:highlight w:val="yellow"/>
              </w:rPr>
              <w:t>implementation</w:t>
            </w:r>
            <w:r w:rsidR="00283DB8">
              <w:rPr>
                <w:rFonts w:ascii="Calibri" w:hAnsi="Calibri"/>
                <w:sz w:val="16"/>
                <w:szCs w:val="16"/>
                <w:highlight w:val="yellow"/>
              </w:rPr>
              <w:t>)</w:t>
            </w:r>
            <w:r w:rsidR="00B5350D" w:rsidRPr="00021736">
              <w:rPr>
                <w:rFonts w:ascii="Calibri" w:hAnsi="Calibri"/>
                <w:sz w:val="16"/>
                <w:szCs w:val="16"/>
                <w:highlight w:val="yellow"/>
              </w:rPr>
              <w:t xml:space="preserve">, hence </w:t>
            </w:r>
            <w:r w:rsidR="00B93194" w:rsidRPr="00021736">
              <w:rPr>
                <w:rFonts w:ascii="Calibri" w:hAnsi="Calibri"/>
                <w:sz w:val="16"/>
                <w:szCs w:val="16"/>
                <w:highlight w:val="yellow"/>
              </w:rPr>
              <w:t xml:space="preserve">supporting </w:t>
            </w:r>
            <w:r w:rsidR="00CF044C" w:rsidRPr="00021736">
              <w:rPr>
                <w:rFonts w:ascii="Calibri" w:hAnsi="Calibri"/>
                <w:sz w:val="16"/>
                <w:szCs w:val="16"/>
                <w:highlight w:val="yellow"/>
              </w:rPr>
              <w:t xml:space="preserve">a more target decision making on </w:t>
            </w:r>
            <w:r w:rsidR="00D326DF" w:rsidRPr="00021736">
              <w:rPr>
                <w:rFonts w:ascii="Calibri" w:hAnsi="Calibri"/>
                <w:sz w:val="16"/>
                <w:szCs w:val="16"/>
                <w:highlight w:val="yellow"/>
              </w:rPr>
              <w:t xml:space="preserve">where </w:t>
            </w:r>
            <w:r w:rsidR="00283DB8">
              <w:rPr>
                <w:rFonts w:ascii="Calibri" w:hAnsi="Calibri"/>
                <w:sz w:val="16"/>
                <w:szCs w:val="16"/>
                <w:highlight w:val="yellow"/>
              </w:rPr>
              <w:t>PND</w:t>
            </w:r>
            <w:r w:rsidR="00C449B3" w:rsidRPr="00021736">
              <w:rPr>
                <w:rFonts w:ascii="Calibri" w:hAnsi="Calibri"/>
                <w:sz w:val="16"/>
                <w:szCs w:val="16"/>
                <w:highlight w:val="yellow"/>
              </w:rPr>
              <w:t xml:space="preserve"> resources should be dep</w:t>
            </w:r>
            <w:r w:rsidR="001C79C8" w:rsidRPr="00021736">
              <w:rPr>
                <w:rFonts w:ascii="Calibri" w:hAnsi="Calibri"/>
                <w:sz w:val="16"/>
                <w:szCs w:val="16"/>
                <w:highlight w:val="yellow"/>
              </w:rPr>
              <w:t xml:space="preserve">loyed </w:t>
            </w:r>
            <w:r w:rsidR="00C0481F">
              <w:rPr>
                <w:rFonts w:ascii="Calibri" w:hAnsi="Calibri"/>
                <w:sz w:val="16"/>
                <w:szCs w:val="16"/>
                <w:highlight w:val="yellow"/>
              </w:rPr>
              <w:t xml:space="preserve">to achieve </w:t>
            </w:r>
            <w:r w:rsidR="00216102">
              <w:rPr>
                <w:rFonts w:ascii="Calibri" w:hAnsi="Calibri"/>
                <w:sz w:val="16"/>
                <w:szCs w:val="16"/>
                <w:highlight w:val="yellow"/>
              </w:rPr>
              <w:t xml:space="preserve">the expected impact at scale </w:t>
            </w:r>
            <w:r w:rsidR="00021736" w:rsidRPr="00021736">
              <w:rPr>
                <w:rFonts w:ascii="Calibri" w:hAnsi="Calibri"/>
                <w:sz w:val="16"/>
                <w:szCs w:val="16"/>
                <w:highlight w:val="yellow"/>
              </w:rPr>
              <w:t>within the project’s intervention areas.</w:t>
            </w:r>
            <w:r w:rsidR="00021736">
              <w:rPr>
                <w:rFonts w:ascii="Calibri" w:hAnsi="Calibri"/>
                <w:sz w:val="16"/>
                <w:szCs w:val="16"/>
              </w:rPr>
              <w:t xml:space="preserve"> </w:t>
            </w:r>
          </w:p>
          <w:p w14:paraId="471BFF45" w14:textId="6E204F5E" w:rsidR="00C03B3C" w:rsidRPr="00C03B3C" w:rsidRDefault="00C03B3C" w:rsidP="00C03B3C">
            <w:pPr>
              <w:rPr>
                <w:rFonts w:ascii="Calibri" w:hAnsi="Calibri"/>
                <w:sz w:val="16"/>
                <w:szCs w:val="16"/>
              </w:rPr>
            </w:pPr>
          </w:p>
        </w:tc>
        <w:tc>
          <w:tcPr>
            <w:tcW w:w="1701" w:type="dxa"/>
            <w:tcBorders>
              <w:top w:val="single" w:sz="8" w:space="0" w:color="auto"/>
              <w:left w:val="single" w:sz="8" w:space="0" w:color="auto"/>
              <w:bottom w:val="single" w:sz="8" w:space="0" w:color="auto"/>
              <w:right w:val="single" w:sz="8" w:space="0" w:color="auto"/>
            </w:tcBorders>
          </w:tcPr>
          <w:p w14:paraId="181CD3D5" w14:textId="77777777" w:rsidR="00C03B3C" w:rsidRPr="00CE1EA7" w:rsidRDefault="00C03B3C" w:rsidP="00C03B3C">
            <w:pPr>
              <w:rPr>
                <w:rFonts w:asciiTheme="minorHAnsi" w:hAnsiTheme="minorHAnsi" w:cstheme="minorHAnsi"/>
                <w:b/>
                <w:bCs/>
                <w:sz w:val="16"/>
                <w:szCs w:val="16"/>
              </w:rPr>
            </w:pPr>
            <w:r w:rsidRPr="00CE1EA7">
              <w:rPr>
                <w:rFonts w:asciiTheme="minorHAnsi" w:hAnsiTheme="minorHAnsi" w:cstheme="minorHAnsi"/>
                <w:b/>
                <w:bCs/>
                <w:iCs/>
                <w:sz w:val="16"/>
                <w:szCs w:val="16"/>
              </w:rPr>
              <w:lastRenderedPageBreak/>
              <w:t>Baseline fit with Components:</w:t>
            </w:r>
          </w:p>
          <w:p w14:paraId="24F75D16" w14:textId="77777777" w:rsidR="00C03B3C" w:rsidRPr="00CE1EA7" w:rsidRDefault="00C03B3C" w:rsidP="00C03B3C">
            <w:pPr>
              <w:rPr>
                <w:rFonts w:asciiTheme="minorHAnsi" w:hAnsiTheme="minorHAnsi" w:cstheme="minorHAnsi"/>
                <w:b/>
                <w:bCs/>
                <w:iCs/>
                <w:sz w:val="16"/>
                <w:szCs w:val="16"/>
              </w:rPr>
            </w:pPr>
          </w:p>
          <w:p w14:paraId="40BACC24" w14:textId="28470EE1" w:rsidR="00C03B3C" w:rsidRPr="00CE1EA7" w:rsidRDefault="00C03B3C" w:rsidP="00C03B3C">
            <w:pPr>
              <w:rPr>
                <w:rFonts w:asciiTheme="minorHAnsi" w:hAnsiTheme="minorHAnsi" w:cstheme="minorHAnsi"/>
                <w:b/>
                <w:bCs/>
                <w:iCs/>
                <w:sz w:val="16"/>
                <w:szCs w:val="16"/>
              </w:rPr>
            </w:pPr>
            <w:r w:rsidRPr="00CE1EA7">
              <w:rPr>
                <w:rFonts w:asciiTheme="minorHAnsi" w:hAnsiTheme="minorHAnsi" w:cstheme="minorHAnsi"/>
                <w:b/>
                <w:bCs/>
                <w:iCs/>
                <w:sz w:val="16"/>
                <w:szCs w:val="16"/>
              </w:rPr>
              <w:t>C2 = $</w:t>
            </w:r>
            <w:r>
              <w:rPr>
                <w:rFonts w:asciiTheme="minorHAnsi" w:hAnsiTheme="minorHAnsi" w:cstheme="minorHAnsi"/>
                <w:b/>
                <w:bCs/>
                <w:iCs/>
                <w:sz w:val="16"/>
                <w:szCs w:val="16"/>
              </w:rPr>
              <w:t>48</w:t>
            </w:r>
            <w:r w:rsidRPr="00CE1EA7">
              <w:rPr>
                <w:rFonts w:asciiTheme="minorHAnsi" w:hAnsiTheme="minorHAnsi" w:cstheme="minorHAnsi"/>
                <w:b/>
                <w:bCs/>
                <w:iCs/>
                <w:sz w:val="16"/>
                <w:szCs w:val="16"/>
              </w:rPr>
              <w:t>.</w:t>
            </w:r>
            <w:r>
              <w:rPr>
                <w:rFonts w:asciiTheme="minorHAnsi" w:hAnsiTheme="minorHAnsi" w:cstheme="minorHAnsi"/>
                <w:b/>
                <w:bCs/>
                <w:iCs/>
                <w:sz w:val="16"/>
                <w:szCs w:val="16"/>
              </w:rPr>
              <w:t>4</w:t>
            </w:r>
            <w:r w:rsidRPr="00CE1EA7">
              <w:rPr>
                <w:rFonts w:asciiTheme="minorHAnsi" w:hAnsiTheme="minorHAnsi" w:cstheme="minorHAnsi"/>
                <w:b/>
                <w:bCs/>
                <w:iCs/>
                <w:sz w:val="16"/>
                <w:szCs w:val="16"/>
              </w:rPr>
              <w:t>M</w:t>
            </w:r>
          </w:p>
        </w:tc>
        <w:tc>
          <w:tcPr>
            <w:tcW w:w="4394" w:type="dxa"/>
            <w:tcBorders>
              <w:top w:val="single" w:sz="8" w:space="0" w:color="auto"/>
              <w:left w:val="single" w:sz="8" w:space="0" w:color="auto"/>
              <w:bottom w:val="single" w:sz="8" w:space="0" w:color="auto"/>
              <w:right w:val="single" w:sz="8" w:space="0" w:color="auto"/>
            </w:tcBorders>
            <w:shd w:val="clear" w:color="auto" w:fill="99FFCC"/>
          </w:tcPr>
          <w:p w14:paraId="59364EED" w14:textId="77777777" w:rsidR="00C03B3C" w:rsidRPr="00CE1EA7" w:rsidRDefault="00C03B3C" w:rsidP="00C03B3C">
            <w:pPr>
              <w:rPr>
                <w:rFonts w:asciiTheme="minorHAnsi" w:hAnsiTheme="minorHAnsi" w:cstheme="minorHAnsi"/>
                <w:b/>
                <w:bCs/>
                <w:iCs/>
                <w:sz w:val="16"/>
                <w:szCs w:val="16"/>
                <w:u w:val="single"/>
              </w:rPr>
            </w:pPr>
            <w:r w:rsidRPr="00CE1EA7">
              <w:rPr>
                <w:rFonts w:asciiTheme="minorHAnsi" w:hAnsiTheme="minorHAnsi" w:cstheme="minorHAnsi"/>
                <w:b/>
                <w:bCs/>
                <w:iCs/>
                <w:sz w:val="16"/>
                <w:szCs w:val="16"/>
                <w:u w:val="single"/>
              </w:rPr>
              <w:t>BASELINE CALCULUS:</w:t>
            </w:r>
          </w:p>
          <w:p w14:paraId="137ECFBD" w14:textId="77777777" w:rsidR="00C03B3C" w:rsidRPr="00CE1EA7" w:rsidRDefault="00C03B3C" w:rsidP="00C03B3C">
            <w:pPr>
              <w:jc w:val="center"/>
              <w:rPr>
                <w:rFonts w:asciiTheme="minorHAnsi" w:hAnsiTheme="minorHAnsi" w:cstheme="minorHAnsi"/>
                <w:b/>
                <w:bCs/>
                <w:iCs/>
                <w:sz w:val="16"/>
                <w:szCs w:val="16"/>
                <w:u w:val="single"/>
              </w:rPr>
            </w:pPr>
          </w:p>
          <w:p w14:paraId="02F43FE2" w14:textId="409DCCDC" w:rsidR="00C03B3C" w:rsidRPr="00CE1EA7" w:rsidRDefault="00C03B3C" w:rsidP="00C03B3C">
            <w:pPr>
              <w:jc w:val="center"/>
              <w:rPr>
                <w:rFonts w:asciiTheme="minorHAnsi" w:hAnsiTheme="minorHAnsi" w:cstheme="minorBidi"/>
                <w:b/>
                <w:sz w:val="16"/>
                <w:szCs w:val="16"/>
              </w:rPr>
            </w:pPr>
            <w:r w:rsidRPr="23356FAB">
              <w:rPr>
                <w:rFonts w:asciiTheme="minorHAnsi" w:hAnsiTheme="minorHAnsi" w:cstheme="minorBidi"/>
                <w:b/>
                <w:sz w:val="16"/>
                <w:szCs w:val="16"/>
              </w:rPr>
              <w:t>OGE 20</w:t>
            </w:r>
            <w:r>
              <w:rPr>
                <w:rFonts w:asciiTheme="minorHAnsi" w:hAnsiTheme="minorHAnsi" w:cstheme="minorBidi"/>
                <w:b/>
                <w:sz w:val="16"/>
                <w:szCs w:val="16"/>
              </w:rPr>
              <w:t>20</w:t>
            </w:r>
            <w:r w:rsidRPr="23356FAB">
              <w:rPr>
                <w:rFonts w:asciiTheme="minorHAnsi" w:hAnsiTheme="minorHAnsi" w:cstheme="minorBidi"/>
                <w:b/>
                <w:sz w:val="16"/>
                <w:szCs w:val="16"/>
              </w:rPr>
              <w:t xml:space="preserve"> = </w:t>
            </w:r>
            <w:r>
              <w:rPr>
                <w:rFonts w:asciiTheme="minorHAnsi" w:hAnsiTheme="minorHAnsi" w:cstheme="minorBidi"/>
                <w:b/>
                <w:sz w:val="16"/>
                <w:szCs w:val="16"/>
              </w:rPr>
              <w:t>29</w:t>
            </w:r>
            <w:r w:rsidRPr="23356FAB">
              <w:rPr>
                <w:rFonts w:asciiTheme="minorHAnsi" w:hAnsiTheme="minorHAnsi" w:cstheme="minorBidi"/>
                <w:b/>
                <w:sz w:val="16"/>
                <w:szCs w:val="16"/>
              </w:rPr>
              <w:t>,</w:t>
            </w:r>
            <w:r>
              <w:rPr>
                <w:rFonts w:asciiTheme="minorHAnsi" w:hAnsiTheme="minorHAnsi" w:cstheme="minorBidi"/>
                <w:b/>
                <w:sz w:val="16"/>
                <w:szCs w:val="16"/>
              </w:rPr>
              <w:t>721</w:t>
            </w:r>
            <w:r w:rsidRPr="23356FAB">
              <w:rPr>
                <w:rFonts w:asciiTheme="minorHAnsi" w:hAnsiTheme="minorHAnsi" w:cstheme="minorBidi"/>
                <w:b/>
                <w:sz w:val="16"/>
                <w:szCs w:val="16"/>
              </w:rPr>
              <w:t xml:space="preserve"> million </w:t>
            </w:r>
            <w:r w:rsidRPr="23356FAB">
              <w:rPr>
                <w:rFonts w:asciiTheme="minorHAnsi" w:hAnsiTheme="minorHAnsi" w:cstheme="minorBidi"/>
                <w:b/>
                <w:bCs/>
                <w:sz w:val="16"/>
                <w:szCs w:val="16"/>
              </w:rPr>
              <w:t>AOA</w:t>
            </w:r>
          </w:p>
          <w:p w14:paraId="6F4379BF" w14:textId="77777777" w:rsidR="00C03B3C" w:rsidRPr="00CE1EA7" w:rsidRDefault="00C03B3C" w:rsidP="00C03B3C">
            <w:pPr>
              <w:jc w:val="center"/>
              <w:rPr>
                <w:rFonts w:asciiTheme="minorHAnsi" w:hAnsiTheme="minorHAnsi" w:cstheme="minorHAnsi"/>
                <w:b/>
                <w:bCs/>
                <w:iCs/>
                <w:sz w:val="16"/>
                <w:szCs w:val="16"/>
              </w:rPr>
            </w:pPr>
            <w:r w:rsidRPr="00CE1EA7">
              <w:rPr>
                <w:rFonts w:asciiTheme="minorHAnsi" w:hAnsiTheme="minorHAnsi" w:cstheme="minorHAnsi"/>
                <w:b/>
                <w:bCs/>
                <w:iCs/>
                <w:sz w:val="16"/>
                <w:szCs w:val="16"/>
              </w:rPr>
              <w:t>↓</w:t>
            </w:r>
          </w:p>
          <w:p w14:paraId="0AA27A85" w14:textId="457DE371" w:rsidR="00C03B3C" w:rsidRPr="00CE1EA7" w:rsidRDefault="00C03B3C" w:rsidP="00C03B3C">
            <w:pPr>
              <w:jc w:val="center"/>
              <w:rPr>
                <w:rFonts w:asciiTheme="minorHAnsi" w:hAnsiTheme="minorHAnsi" w:cstheme="minorHAnsi"/>
                <w:b/>
                <w:bCs/>
                <w:iCs/>
                <w:sz w:val="16"/>
                <w:szCs w:val="16"/>
              </w:rPr>
            </w:pPr>
            <w:r w:rsidRPr="00CE1EA7">
              <w:rPr>
                <w:rFonts w:asciiTheme="minorHAnsi" w:hAnsiTheme="minorHAnsi" w:cstheme="minorHAnsi"/>
                <w:b/>
                <w:bCs/>
                <w:iCs/>
                <w:sz w:val="16"/>
                <w:szCs w:val="16"/>
              </w:rPr>
              <w:t>Equivalent to $</w:t>
            </w:r>
            <w:r>
              <w:rPr>
                <w:rFonts w:asciiTheme="minorHAnsi" w:hAnsiTheme="minorHAnsi" w:cstheme="minorHAnsi"/>
                <w:b/>
                <w:bCs/>
                <w:iCs/>
                <w:sz w:val="16"/>
                <w:szCs w:val="16"/>
              </w:rPr>
              <w:t>48</w:t>
            </w:r>
            <w:r w:rsidRPr="00CE1EA7">
              <w:rPr>
                <w:rFonts w:asciiTheme="minorHAnsi" w:hAnsiTheme="minorHAnsi" w:cstheme="minorHAnsi"/>
                <w:b/>
                <w:bCs/>
                <w:iCs/>
                <w:sz w:val="16"/>
                <w:szCs w:val="16"/>
              </w:rPr>
              <w:t>.</w:t>
            </w:r>
            <w:r>
              <w:rPr>
                <w:rFonts w:asciiTheme="minorHAnsi" w:hAnsiTheme="minorHAnsi" w:cstheme="minorHAnsi"/>
                <w:b/>
                <w:bCs/>
                <w:iCs/>
                <w:sz w:val="16"/>
                <w:szCs w:val="16"/>
              </w:rPr>
              <w:t>407</w:t>
            </w:r>
            <w:r w:rsidRPr="00CE1EA7">
              <w:rPr>
                <w:rFonts w:asciiTheme="minorHAnsi" w:hAnsiTheme="minorHAnsi" w:cstheme="minorHAnsi"/>
                <w:b/>
                <w:bCs/>
                <w:iCs/>
                <w:sz w:val="16"/>
                <w:szCs w:val="16"/>
              </w:rPr>
              <w:t xml:space="preserve"> million for the base year (20</w:t>
            </w:r>
            <w:r>
              <w:rPr>
                <w:rFonts w:asciiTheme="minorHAnsi" w:hAnsiTheme="minorHAnsi" w:cstheme="minorHAnsi"/>
                <w:b/>
                <w:bCs/>
                <w:iCs/>
                <w:sz w:val="16"/>
                <w:szCs w:val="16"/>
              </w:rPr>
              <w:t>20</w:t>
            </w:r>
            <w:r w:rsidRPr="00CE1EA7">
              <w:rPr>
                <w:rFonts w:asciiTheme="minorHAnsi" w:hAnsiTheme="minorHAnsi" w:cstheme="minorHAnsi"/>
                <w:b/>
                <w:bCs/>
                <w:iCs/>
                <w:sz w:val="16"/>
                <w:szCs w:val="16"/>
              </w:rPr>
              <w:t>)</w:t>
            </w:r>
          </w:p>
          <w:p w14:paraId="1642FA8A" w14:textId="77777777" w:rsidR="00C03B3C" w:rsidRPr="00CE1EA7" w:rsidRDefault="00C03B3C" w:rsidP="00C03B3C">
            <w:pPr>
              <w:jc w:val="center"/>
              <w:rPr>
                <w:rFonts w:asciiTheme="minorHAnsi" w:hAnsiTheme="minorHAnsi" w:cstheme="minorHAnsi"/>
                <w:b/>
                <w:bCs/>
                <w:iCs/>
                <w:sz w:val="16"/>
                <w:szCs w:val="16"/>
              </w:rPr>
            </w:pPr>
            <w:r w:rsidRPr="00CE1EA7">
              <w:rPr>
                <w:rFonts w:asciiTheme="minorHAnsi" w:hAnsiTheme="minorHAnsi" w:cstheme="minorHAnsi"/>
                <w:b/>
                <w:bCs/>
                <w:iCs/>
                <w:sz w:val="16"/>
                <w:szCs w:val="16"/>
              </w:rPr>
              <w:t>↓</w:t>
            </w:r>
          </w:p>
          <w:p w14:paraId="229238C8" w14:textId="1D7809CB" w:rsidR="00C03B3C" w:rsidRPr="00CE1EA7" w:rsidRDefault="00C03B3C" w:rsidP="00C03B3C">
            <w:pPr>
              <w:jc w:val="center"/>
              <w:rPr>
                <w:rFonts w:asciiTheme="minorHAnsi" w:hAnsiTheme="minorHAnsi" w:cstheme="minorHAnsi"/>
                <w:b/>
                <w:bCs/>
                <w:iCs/>
                <w:sz w:val="16"/>
                <w:szCs w:val="16"/>
              </w:rPr>
            </w:pPr>
            <w:r w:rsidRPr="00CE1EA7">
              <w:rPr>
                <w:rFonts w:asciiTheme="minorHAnsi" w:hAnsiTheme="minorHAnsi" w:cstheme="minorHAnsi"/>
                <w:b/>
                <w:bCs/>
                <w:iCs/>
                <w:sz w:val="16"/>
                <w:szCs w:val="16"/>
              </w:rPr>
              <w:t>x 30% relevance = $</w:t>
            </w:r>
            <w:r>
              <w:rPr>
                <w:rFonts w:asciiTheme="minorHAnsi" w:hAnsiTheme="minorHAnsi" w:cstheme="minorHAnsi"/>
                <w:b/>
                <w:bCs/>
                <w:iCs/>
                <w:sz w:val="16"/>
                <w:szCs w:val="16"/>
              </w:rPr>
              <w:t>14</w:t>
            </w:r>
            <w:r w:rsidRPr="00CE1EA7">
              <w:rPr>
                <w:rFonts w:asciiTheme="minorHAnsi" w:hAnsiTheme="minorHAnsi" w:cstheme="minorHAnsi"/>
                <w:b/>
                <w:bCs/>
                <w:iCs/>
                <w:sz w:val="16"/>
                <w:szCs w:val="16"/>
              </w:rPr>
              <w:t>.</w:t>
            </w:r>
            <w:r>
              <w:rPr>
                <w:rFonts w:asciiTheme="minorHAnsi" w:hAnsiTheme="minorHAnsi" w:cstheme="minorHAnsi"/>
                <w:b/>
                <w:bCs/>
                <w:iCs/>
                <w:sz w:val="16"/>
                <w:szCs w:val="16"/>
              </w:rPr>
              <w:t>52</w:t>
            </w:r>
            <w:r w:rsidRPr="00CE1EA7">
              <w:rPr>
                <w:rFonts w:asciiTheme="minorHAnsi" w:hAnsiTheme="minorHAnsi" w:cstheme="minorHAnsi"/>
                <w:b/>
                <w:bCs/>
                <w:iCs/>
                <w:sz w:val="16"/>
                <w:szCs w:val="16"/>
              </w:rPr>
              <w:t>M</w:t>
            </w:r>
          </w:p>
          <w:p w14:paraId="5E99106B" w14:textId="77777777" w:rsidR="00C03B3C" w:rsidRPr="00CE1EA7" w:rsidRDefault="00C03B3C" w:rsidP="00C03B3C">
            <w:pPr>
              <w:jc w:val="center"/>
              <w:rPr>
                <w:rFonts w:asciiTheme="minorHAnsi" w:hAnsiTheme="minorHAnsi" w:cstheme="minorHAnsi"/>
                <w:b/>
                <w:bCs/>
                <w:iCs/>
                <w:sz w:val="16"/>
                <w:szCs w:val="16"/>
              </w:rPr>
            </w:pPr>
            <w:r w:rsidRPr="00CE1EA7">
              <w:rPr>
                <w:rFonts w:asciiTheme="minorHAnsi" w:hAnsiTheme="minorHAnsi" w:cstheme="minorHAnsi"/>
                <w:b/>
                <w:bCs/>
                <w:iCs/>
                <w:sz w:val="16"/>
                <w:szCs w:val="16"/>
              </w:rPr>
              <w:t>↓</w:t>
            </w:r>
          </w:p>
          <w:p w14:paraId="3117C8D1" w14:textId="77777777" w:rsidR="00C03B3C" w:rsidRPr="00CE1EA7" w:rsidRDefault="00C03B3C" w:rsidP="00C03B3C">
            <w:pPr>
              <w:jc w:val="center"/>
              <w:rPr>
                <w:rFonts w:asciiTheme="minorHAnsi" w:hAnsiTheme="minorHAnsi" w:cstheme="minorHAnsi"/>
                <w:b/>
                <w:bCs/>
                <w:iCs/>
                <w:sz w:val="16"/>
                <w:szCs w:val="16"/>
              </w:rPr>
            </w:pPr>
            <w:r w:rsidRPr="00CE1EA7">
              <w:rPr>
                <w:rFonts w:asciiTheme="minorHAnsi" w:hAnsiTheme="minorHAnsi" w:cstheme="minorHAnsi"/>
                <w:b/>
                <w:bCs/>
                <w:iCs/>
                <w:sz w:val="16"/>
                <w:szCs w:val="16"/>
              </w:rPr>
              <w:t>Extrapolated over 4 years:</w:t>
            </w:r>
          </w:p>
          <w:p w14:paraId="787FBBA3" w14:textId="55D57D44" w:rsidR="00C03B3C" w:rsidRPr="00CE1EA7" w:rsidRDefault="00C03B3C" w:rsidP="00C03B3C">
            <w:pPr>
              <w:pBdr>
                <w:bottom w:val="single" w:sz="6" w:space="1" w:color="auto"/>
              </w:pBdr>
              <w:jc w:val="center"/>
              <w:rPr>
                <w:rFonts w:asciiTheme="minorHAnsi" w:hAnsiTheme="minorHAnsi" w:cstheme="minorBidi"/>
                <w:b/>
                <w:sz w:val="16"/>
                <w:szCs w:val="16"/>
              </w:rPr>
            </w:pPr>
            <w:r w:rsidRPr="302C34D4">
              <w:rPr>
                <w:rFonts w:asciiTheme="minorHAnsi" w:hAnsiTheme="minorHAnsi" w:cstheme="minorBidi"/>
                <w:b/>
                <w:sz w:val="16"/>
                <w:szCs w:val="16"/>
              </w:rPr>
              <w:t xml:space="preserve">(x 2.8) = </w:t>
            </w:r>
            <w:r>
              <w:rPr>
                <w:rFonts w:asciiTheme="minorHAnsi" w:hAnsiTheme="minorHAnsi" w:cstheme="minorBidi"/>
                <w:b/>
                <w:sz w:val="16"/>
                <w:szCs w:val="16"/>
              </w:rPr>
              <w:t>72.61</w:t>
            </w:r>
            <w:r w:rsidRPr="302C34D4">
              <w:rPr>
                <w:rFonts w:asciiTheme="minorHAnsi" w:hAnsiTheme="minorHAnsi" w:cstheme="minorBidi"/>
                <w:b/>
                <w:sz w:val="16"/>
                <w:szCs w:val="16"/>
              </w:rPr>
              <w:t xml:space="preserve"> million USD equivalent in current prices, for the duration of the project, and as a relevant Public Investment baseline from OGE managed by </w:t>
            </w:r>
            <w:r w:rsidRPr="302C34D4">
              <w:rPr>
                <w:rFonts w:asciiTheme="minorHAnsi" w:hAnsiTheme="minorHAnsi" w:cstheme="minorBidi"/>
                <w:b/>
                <w:bCs/>
                <w:sz w:val="16"/>
                <w:szCs w:val="16"/>
              </w:rPr>
              <w:t>MINAGRIP</w:t>
            </w:r>
          </w:p>
          <w:p w14:paraId="574E4184" w14:textId="77777777" w:rsidR="00C03B3C" w:rsidRPr="00CE1EA7" w:rsidRDefault="00C03B3C" w:rsidP="00C03B3C">
            <w:pPr>
              <w:jc w:val="center"/>
              <w:rPr>
                <w:rFonts w:asciiTheme="minorHAnsi" w:hAnsiTheme="minorHAnsi" w:cstheme="minorHAnsi"/>
                <w:b/>
                <w:bCs/>
                <w:iCs/>
                <w:sz w:val="16"/>
                <w:szCs w:val="16"/>
              </w:rPr>
            </w:pPr>
            <w:r w:rsidRPr="00CE1EA7">
              <w:rPr>
                <w:rFonts w:asciiTheme="minorHAnsi" w:hAnsiTheme="minorHAnsi" w:cstheme="minorHAnsi"/>
                <w:b/>
                <w:bCs/>
                <w:iCs/>
                <w:sz w:val="16"/>
                <w:szCs w:val="16"/>
              </w:rPr>
              <w:t>↓</w:t>
            </w:r>
          </w:p>
          <w:p w14:paraId="703454F8" w14:textId="77777777" w:rsidR="00C03B3C" w:rsidRPr="00CE1EA7" w:rsidRDefault="00C03B3C" w:rsidP="00C03B3C">
            <w:pPr>
              <w:jc w:val="center"/>
              <w:rPr>
                <w:rFonts w:asciiTheme="minorHAnsi" w:hAnsiTheme="minorHAnsi" w:cstheme="minorHAnsi"/>
                <w:b/>
                <w:bCs/>
                <w:i/>
                <w:iCs/>
                <w:sz w:val="16"/>
                <w:szCs w:val="16"/>
              </w:rPr>
            </w:pPr>
            <w:r w:rsidRPr="00CE1EA7">
              <w:rPr>
                <w:rFonts w:asciiTheme="minorHAnsi" w:hAnsiTheme="minorHAnsi" w:cstheme="minorHAnsi"/>
                <w:b/>
                <w:bCs/>
                <w:i/>
                <w:sz w:val="16"/>
                <w:szCs w:val="16"/>
              </w:rPr>
              <w:t>Of these,</w:t>
            </w:r>
          </w:p>
          <w:p w14:paraId="431138D9" w14:textId="3FCBA639" w:rsidR="00C03B3C" w:rsidRPr="00871AA1" w:rsidRDefault="50B88322" w:rsidP="25447658">
            <w:pPr>
              <w:jc w:val="center"/>
              <w:rPr>
                <w:rFonts w:asciiTheme="minorHAnsi" w:hAnsiTheme="minorHAnsi" w:cstheme="minorBidi"/>
                <w:b/>
                <w:bCs/>
                <w:sz w:val="16"/>
                <w:szCs w:val="16"/>
              </w:rPr>
            </w:pPr>
            <w:r w:rsidRPr="25447658">
              <w:rPr>
                <w:rFonts w:asciiTheme="minorHAnsi" w:hAnsiTheme="minorHAnsi" w:cstheme="minorBidi"/>
                <w:b/>
                <w:bCs/>
                <w:i/>
                <w:iCs/>
                <w:sz w:val="16"/>
                <w:szCs w:val="16"/>
              </w:rPr>
              <w:t>$10.</w:t>
            </w:r>
            <w:r w:rsidR="42FB9023" w:rsidRPr="25447658">
              <w:rPr>
                <w:rFonts w:asciiTheme="minorHAnsi" w:hAnsiTheme="minorHAnsi" w:cstheme="minorBidi"/>
                <w:b/>
                <w:bCs/>
                <w:i/>
                <w:iCs/>
                <w:sz w:val="16"/>
                <w:szCs w:val="16"/>
              </w:rPr>
              <w:t>0</w:t>
            </w:r>
            <w:r w:rsidRPr="25447658">
              <w:rPr>
                <w:rFonts w:asciiTheme="minorHAnsi" w:hAnsiTheme="minorHAnsi" w:cstheme="minorBidi"/>
                <w:b/>
                <w:bCs/>
                <w:i/>
                <w:iCs/>
                <w:sz w:val="16"/>
                <w:szCs w:val="16"/>
              </w:rPr>
              <w:t xml:space="preserve"> M are proposed as co-financing </w:t>
            </w:r>
            <w:r w:rsidRPr="00871AA1">
              <w:rPr>
                <w:rFonts w:asciiTheme="minorHAnsi" w:hAnsiTheme="minorHAnsi" w:cstheme="minorBidi"/>
                <w:b/>
                <w:bCs/>
                <w:i/>
                <w:iCs/>
                <w:sz w:val="16"/>
                <w:szCs w:val="16"/>
              </w:rPr>
              <w:t>from MINAGRIP</w:t>
            </w:r>
            <w:r w:rsidR="00D92948" w:rsidRPr="00871AA1">
              <w:rPr>
                <w:rFonts w:asciiTheme="minorHAnsi" w:hAnsiTheme="minorHAnsi" w:cstheme="minorBidi"/>
                <w:b/>
                <w:bCs/>
                <w:i/>
                <w:iCs/>
                <w:sz w:val="16"/>
                <w:szCs w:val="16"/>
              </w:rPr>
              <w:t xml:space="preserve"> out of which </w:t>
            </w:r>
            <w:r w:rsidR="002A144D" w:rsidRPr="00871AA1">
              <w:rPr>
                <w:rFonts w:asciiTheme="minorHAnsi" w:hAnsiTheme="minorHAnsi" w:cstheme="minorBidi"/>
                <w:b/>
                <w:bCs/>
                <w:i/>
                <w:iCs/>
                <w:sz w:val="16"/>
                <w:szCs w:val="16"/>
              </w:rPr>
              <w:t>USD 190,00</w:t>
            </w:r>
            <w:r w:rsidR="00814812" w:rsidRPr="00871AA1">
              <w:rPr>
                <w:rFonts w:asciiTheme="minorHAnsi" w:hAnsiTheme="minorHAnsi" w:cstheme="minorBidi"/>
                <w:b/>
                <w:bCs/>
                <w:i/>
                <w:iCs/>
                <w:sz w:val="16"/>
                <w:szCs w:val="16"/>
              </w:rPr>
              <w:t xml:space="preserve"> will be an in-kind PMC contribution covering:</w:t>
            </w:r>
          </w:p>
          <w:p w14:paraId="5F2F1982" w14:textId="3950568D" w:rsidR="00C03B3C" w:rsidRPr="00871AA1" w:rsidRDefault="00C03B3C" w:rsidP="25447658">
            <w:pPr>
              <w:jc w:val="center"/>
              <w:rPr>
                <w:rFonts w:asciiTheme="minorHAnsi" w:hAnsiTheme="minorHAnsi" w:cstheme="minorBidi"/>
                <w:b/>
                <w:bCs/>
                <w:i/>
                <w:iCs/>
                <w:sz w:val="16"/>
                <w:szCs w:val="16"/>
              </w:rPr>
            </w:pPr>
          </w:p>
          <w:p w14:paraId="1A695148" w14:textId="167A411B" w:rsidR="00C03B3C" w:rsidRPr="00871AA1" w:rsidRDefault="2534BBDA" w:rsidP="25447658">
            <w:pPr>
              <w:rPr>
                <w:rFonts w:asciiTheme="minorHAnsi" w:hAnsiTheme="minorHAnsi" w:cstheme="minorBidi"/>
                <w:b/>
                <w:bCs/>
                <w:i/>
                <w:iCs/>
                <w:sz w:val="16"/>
                <w:szCs w:val="16"/>
                <w:lang w:val="en-US"/>
              </w:rPr>
            </w:pPr>
            <w:r w:rsidRPr="00871AA1">
              <w:rPr>
                <w:rFonts w:asciiTheme="minorHAnsi" w:hAnsiTheme="minorHAnsi" w:cstheme="minorBidi"/>
                <w:b/>
                <w:bCs/>
                <w:i/>
                <w:iCs/>
                <w:sz w:val="16"/>
                <w:szCs w:val="16"/>
                <w:lang w:val="en-US"/>
              </w:rPr>
              <w:t xml:space="preserve">-Use of facilities at Luanda and two provinces, municipalities and communes for project offices, meetings and trainings during 5 years: $ 100.000 </w:t>
            </w:r>
          </w:p>
          <w:p w14:paraId="618CF43D" w14:textId="77CCBE33" w:rsidR="00C03B3C" w:rsidRPr="00871AA1" w:rsidRDefault="2534BBDA" w:rsidP="25447658">
            <w:pPr>
              <w:pStyle w:val="CommentText"/>
              <w:rPr>
                <w:rFonts w:asciiTheme="minorHAnsi" w:hAnsiTheme="minorHAnsi" w:cstheme="minorBidi"/>
                <w:b/>
                <w:bCs/>
                <w:i/>
                <w:iCs/>
                <w:sz w:val="16"/>
                <w:szCs w:val="16"/>
                <w:lang w:val="en-US" w:eastAsia="en-GB"/>
              </w:rPr>
            </w:pPr>
            <w:r w:rsidRPr="00871AA1">
              <w:rPr>
                <w:rFonts w:asciiTheme="minorHAnsi" w:hAnsiTheme="minorHAnsi" w:cstheme="minorBidi"/>
                <w:b/>
                <w:bCs/>
                <w:i/>
                <w:iCs/>
                <w:sz w:val="16"/>
                <w:szCs w:val="16"/>
                <w:lang w:val="en-US" w:eastAsia="en-GB"/>
              </w:rPr>
              <w:t xml:space="preserve">-Contribution to mobility with cars at field level and Capital during 5 years: </w:t>
            </w:r>
            <w:r w:rsidR="00838F6B" w:rsidRPr="00871AA1">
              <w:rPr>
                <w:rFonts w:asciiTheme="minorHAnsi" w:hAnsiTheme="minorHAnsi" w:cstheme="minorBidi"/>
                <w:b/>
                <w:bCs/>
                <w:i/>
                <w:iCs/>
                <w:sz w:val="16"/>
                <w:szCs w:val="16"/>
                <w:lang w:val="en-US" w:eastAsia="en-GB"/>
              </w:rPr>
              <w:t>$</w:t>
            </w:r>
            <w:r w:rsidR="56508E49" w:rsidRPr="00871AA1">
              <w:rPr>
                <w:rFonts w:asciiTheme="minorHAnsi" w:hAnsiTheme="minorHAnsi" w:cstheme="minorBidi"/>
                <w:b/>
                <w:bCs/>
                <w:i/>
                <w:iCs/>
                <w:sz w:val="16"/>
                <w:szCs w:val="16"/>
                <w:lang w:val="en-US" w:eastAsia="en-GB"/>
              </w:rPr>
              <w:t xml:space="preserve"> 30</w:t>
            </w:r>
            <w:r w:rsidR="00838F6B" w:rsidRPr="00871AA1">
              <w:rPr>
                <w:rFonts w:asciiTheme="minorHAnsi" w:hAnsiTheme="minorHAnsi" w:cstheme="minorBidi"/>
                <w:b/>
                <w:bCs/>
                <w:i/>
                <w:iCs/>
                <w:sz w:val="16"/>
                <w:szCs w:val="16"/>
                <w:lang w:val="en-US" w:eastAsia="en-GB"/>
              </w:rPr>
              <w:t>.000</w:t>
            </w:r>
          </w:p>
          <w:p w14:paraId="79ED0556" w14:textId="29094BC4" w:rsidR="00C03B3C" w:rsidRPr="00CE1EA7" w:rsidRDefault="2534BBDA" w:rsidP="25447658">
            <w:pPr>
              <w:pStyle w:val="CommentText"/>
              <w:spacing w:line="259" w:lineRule="auto"/>
              <w:rPr>
                <w:rFonts w:asciiTheme="minorHAnsi" w:hAnsiTheme="minorHAnsi" w:cstheme="minorBidi"/>
                <w:b/>
                <w:bCs/>
                <w:i/>
                <w:iCs/>
                <w:sz w:val="16"/>
                <w:szCs w:val="16"/>
                <w:lang w:val="en-US" w:eastAsia="en-GB"/>
              </w:rPr>
            </w:pPr>
            <w:r w:rsidRPr="00871AA1">
              <w:rPr>
                <w:rFonts w:asciiTheme="minorHAnsi" w:hAnsiTheme="minorHAnsi" w:cstheme="minorBidi"/>
                <w:b/>
                <w:bCs/>
                <w:i/>
                <w:iCs/>
                <w:sz w:val="16"/>
                <w:szCs w:val="16"/>
                <w:lang w:val="en-US" w:eastAsia="en-GB"/>
              </w:rPr>
              <w:t xml:space="preserve">-Time dedication of public institutions </w:t>
            </w:r>
            <w:r w:rsidR="65418572" w:rsidRPr="00871AA1">
              <w:rPr>
                <w:rFonts w:asciiTheme="minorHAnsi" w:hAnsiTheme="minorHAnsi" w:cstheme="minorBidi"/>
                <w:b/>
                <w:bCs/>
                <w:i/>
                <w:iCs/>
                <w:sz w:val="16"/>
                <w:szCs w:val="16"/>
                <w:lang w:val="en-US" w:eastAsia="en-GB"/>
              </w:rPr>
              <w:t>directors, authorities</w:t>
            </w:r>
            <w:r w:rsidRPr="00871AA1">
              <w:rPr>
                <w:rFonts w:asciiTheme="minorHAnsi" w:hAnsiTheme="minorHAnsi" w:cstheme="minorBidi"/>
                <w:b/>
                <w:bCs/>
                <w:i/>
                <w:iCs/>
                <w:sz w:val="16"/>
                <w:szCs w:val="16"/>
                <w:lang w:val="en-US" w:eastAsia="en-GB"/>
              </w:rPr>
              <w:t xml:space="preserve">, </w:t>
            </w:r>
            <w:r w:rsidR="3A0F87B9" w:rsidRPr="00871AA1">
              <w:rPr>
                <w:rFonts w:asciiTheme="minorHAnsi" w:hAnsiTheme="minorHAnsi" w:cstheme="minorBidi"/>
                <w:b/>
                <w:bCs/>
                <w:i/>
                <w:iCs/>
                <w:sz w:val="16"/>
                <w:szCs w:val="16"/>
                <w:lang w:val="en-US" w:eastAsia="en-GB"/>
              </w:rPr>
              <w:t>technicians</w:t>
            </w:r>
            <w:r w:rsidRPr="00871AA1">
              <w:rPr>
                <w:rFonts w:asciiTheme="minorHAnsi" w:hAnsiTheme="minorHAnsi" w:cstheme="minorBidi"/>
                <w:b/>
                <w:bCs/>
                <w:i/>
                <w:iCs/>
                <w:sz w:val="16"/>
                <w:szCs w:val="16"/>
                <w:lang w:val="en-US" w:eastAsia="en-GB"/>
              </w:rPr>
              <w:t xml:space="preserve"> and support staff (drivers, admin, cleaning...) during 5 years: US$ </w:t>
            </w:r>
            <w:r w:rsidR="3036D3AC" w:rsidRPr="00871AA1">
              <w:rPr>
                <w:rFonts w:asciiTheme="minorHAnsi" w:hAnsiTheme="minorHAnsi" w:cstheme="minorBidi"/>
                <w:b/>
                <w:bCs/>
                <w:i/>
                <w:iCs/>
                <w:sz w:val="16"/>
                <w:szCs w:val="16"/>
                <w:lang w:val="en-US" w:eastAsia="en-GB"/>
              </w:rPr>
              <w:t>6</w:t>
            </w:r>
            <w:r w:rsidRPr="00871AA1">
              <w:rPr>
                <w:rFonts w:asciiTheme="minorHAnsi" w:hAnsiTheme="minorHAnsi" w:cstheme="minorBidi"/>
                <w:b/>
                <w:bCs/>
                <w:i/>
                <w:iCs/>
                <w:sz w:val="16"/>
                <w:szCs w:val="16"/>
                <w:lang w:val="en-US" w:eastAsia="en-GB"/>
              </w:rPr>
              <w:t>0.000</w:t>
            </w:r>
          </w:p>
          <w:p w14:paraId="3262ECDA" w14:textId="15095A72" w:rsidR="00C03B3C" w:rsidRPr="00197B87" w:rsidRDefault="00C03B3C" w:rsidP="25447658">
            <w:pPr>
              <w:jc w:val="both"/>
              <w:rPr>
                <w:rFonts w:asciiTheme="minorHAnsi" w:hAnsiTheme="minorHAnsi" w:cstheme="minorBidi"/>
                <w:b/>
                <w:bCs/>
                <w:i/>
                <w:iCs/>
                <w:sz w:val="16"/>
                <w:szCs w:val="16"/>
                <w:lang w:val="en-US"/>
              </w:rPr>
            </w:pPr>
          </w:p>
          <w:p w14:paraId="22AC9D24" w14:textId="0B4118A7" w:rsidR="00C03B3C" w:rsidRPr="00CE1EA7" w:rsidRDefault="00C03B3C" w:rsidP="25447658">
            <w:pPr>
              <w:rPr>
                <w:rFonts w:asciiTheme="minorHAnsi" w:hAnsiTheme="minorHAnsi" w:cstheme="minorBidi"/>
                <w:b/>
                <w:bCs/>
                <w:i/>
                <w:iCs/>
                <w:sz w:val="16"/>
                <w:szCs w:val="16"/>
              </w:rPr>
            </w:pPr>
          </w:p>
        </w:tc>
      </w:tr>
      <w:tr w:rsidR="00DA42EB" w:rsidRPr="00CE1EA7" w14:paraId="0DC723BD" w14:textId="77777777" w:rsidTr="72739566">
        <w:tc>
          <w:tcPr>
            <w:tcW w:w="2836" w:type="dxa"/>
            <w:tcBorders>
              <w:top w:val="single" w:sz="8" w:space="0" w:color="auto"/>
              <w:left w:val="single" w:sz="8" w:space="0" w:color="auto"/>
              <w:bottom w:val="single" w:sz="8" w:space="0" w:color="auto"/>
              <w:right w:val="single" w:sz="8" w:space="0" w:color="auto"/>
            </w:tcBorders>
            <w:shd w:val="clear" w:color="auto" w:fill="F6F4D0"/>
          </w:tcPr>
          <w:p w14:paraId="6DD48953" w14:textId="77777777" w:rsidR="00C03B3C" w:rsidRPr="00CE1EA7" w:rsidRDefault="00C03B3C" w:rsidP="00C03B3C">
            <w:pPr>
              <w:rPr>
                <w:rFonts w:asciiTheme="minorHAnsi" w:hAnsiTheme="minorHAnsi" w:cstheme="minorHAnsi"/>
                <w:b/>
                <w:bCs/>
                <w:iCs/>
                <w:sz w:val="16"/>
                <w:szCs w:val="16"/>
              </w:rPr>
            </w:pPr>
            <w:r w:rsidRPr="00CE1EA7">
              <w:rPr>
                <w:rFonts w:asciiTheme="minorHAnsi" w:hAnsiTheme="minorHAnsi" w:cstheme="minorHAnsi"/>
                <w:b/>
                <w:bCs/>
                <w:iCs/>
                <w:sz w:val="16"/>
                <w:szCs w:val="16"/>
              </w:rPr>
              <w:t xml:space="preserve">XI: PROMOTION OF PRODUCTION, IMPORT SUBSTITUTION AND EXPORT DIVERSIFICATION </w:t>
            </w:r>
          </w:p>
        </w:tc>
        <w:tc>
          <w:tcPr>
            <w:tcW w:w="5103" w:type="dxa"/>
            <w:tcBorders>
              <w:top w:val="single" w:sz="8" w:space="0" w:color="auto"/>
              <w:left w:val="single" w:sz="8" w:space="0" w:color="auto"/>
              <w:bottom w:val="single" w:sz="8" w:space="0" w:color="auto"/>
              <w:right w:val="single" w:sz="8" w:space="0" w:color="auto"/>
            </w:tcBorders>
            <w:shd w:val="clear" w:color="auto" w:fill="F6F4D0"/>
            <w:noWrap/>
          </w:tcPr>
          <w:p w14:paraId="0DA51870" w14:textId="62C218CA" w:rsidR="00C03B3C" w:rsidRPr="00CE1EA7" w:rsidRDefault="00C03B3C" w:rsidP="00C03B3C">
            <w:pPr>
              <w:rPr>
                <w:rFonts w:asciiTheme="minorHAnsi" w:hAnsiTheme="minorHAnsi" w:cstheme="minorBidi"/>
                <w:b/>
                <w:sz w:val="16"/>
                <w:szCs w:val="16"/>
              </w:rPr>
            </w:pPr>
            <w:r w:rsidRPr="302C34D4">
              <w:rPr>
                <w:rFonts w:asciiTheme="minorHAnsi" w:hAnsiTheme="minorHAnsi" w:cstheme="minorBidi"/>
                <w:b/>
                <w:bCs/>
                <w:sz w:val="16"/>
                <w:szCs w:val="16"/>
              </w:rPr>
              <w:t>MINAGRIP</w:t>
            </w:r>
            <w:r w:rsidRPr="302C34D4">
              <w:rPr>
                <w:rFonts w:asciiTheme="minorHAnsi" w:hAnsiTheme="minorHAnsi" w:cstheme="minorBidi"/>
                <w:b/>
                <w:sz w:val="16"/>
                <w:szCs w:val="16"/>
              </w:rPr>
              <w:t xml:space="preserve"> (DNF) / PND Program # 2.3.4: Promoting the Sustainable Use and Management of Forest Resources</w:t>
            </w:r>
          </w:p>
        </w:tc>
        <w:tc>
          <w:tcPr>
            <w:tcW w:w="1701" w:type="dxa"/>
            <w:tcBorders>
              <w:top w:val="single" w:sz="8" w:space="0" w:color="auto"/>
              <w:left w:val="single" w:sz="8" w:space="0" w:color="auto"/>
              <w:bottom w:val="single" w:sz="8" w:space="0" w:color="auto"/>
              <w:right w:val="single" w:sz="8" w:space="0" w:color="auto"/>
            </w:tcBorders>
            <w:shd w:val="clear" w:color="auto" w:fill="F6F4D0"/>
          </w:tcPr>
          <w:p w14:paraId="11A727BA" w14:textId="77777777" w:rsidR="00C03B3C" w:rsidRPr="00CE1EA7" w:rsidRDefault="00C03B3C" w:rsidP="00C03B3C">
            <w:pPr>
              <w:rPr>
                <w:rFonts w:asciiTheme="minorHAnsi" w:hAnsiTheme="minorHAnsi" w:cstheme="minorHAnsi"/>
                <w:b/>
                <w:bCs/>
                <w:iCs/>
                <w:sz w:val="16"/>
                <w:szCs w:val="16"/>
              </w:rPr>
            </w:pPr>
            <w:r w:rsidRPr="00CE1EA7">
              <w:rPr>
                <w:rFonts w:asciiTheme="minorHAnsi" w:hAnsiTheme="minorHAnsi" w:cstheme="minorHAnsi"/>
                <w:b/>
                <w:bCs/>
                <w:iCs/>
                <w:sz w:val="16"/>
                <w:szCs w:val="16"/>
              </w:rPr>
              <w:t>Programmatic relevance: 30%</w:t>
            </w:r>
          </w:p>
        </w:tc>
        <w:tc>
          <w:tcPr>
            <w:tcW w:w="4394" w:type="dxa"/>
            <w:tcBorders>
              <w:top w:val="single" w:sz="8" w:space="0" w:color="auto"/>
              <w:left w:val="single" w:sz="8" w:space="0" w:color="auto"/>
              <w:bottom w:val="single" w:sz="8" w:space="0" w:color="auto"/>
              <w:right w:val="single" w:sz="8" w:space="0" w:color="auto"/>
            </w:tcBorders>
            <w:shd w:val="clear" w:color="auto" w:fill="F6F4D0"/>
            <w:noWrap/>
          </w:tcPr>
          <w:p w14:paraId="54ABD666" w14:textId="4B3DE90E" w:rsidR="00C03B3C" w:rsidRPr="00CE1EA7" w:rsidRDefault="00C03B3C" w:rsidP="00C03B3C">
            <w:pPr>
              <w:tabs>
                <w:tab w:val="right" w:pos="2086"/>
              </w:tabs>
              <w:rPr>
                <w:rFonts w:asciiTheme="minorHAnsi" w:hAnsiTheme="minorHAnsi" w:cstheme="minorBidi"/>
                <w:b/>
                <w:sz w:val="16"/>
                <w:szCs w:val="16"/>
              </w:rPr>
            </w:pPr>
            <w:r w:rsidRPr="302C34D4">
              <w:rPr>
                <w:rFonts w:asciiTheme="minorHAnsi" w:hAnsiTheme="minorHAnsi" w:cstheme="minorBidi"/>
                <w:b/>
                <w:sz w:val="16"/>
                <w:szCs w:val="16"/>
                <w:u w:val="single"/>
              </w:rPr>
              <w:t xml:space="preserve">From </w:t>
            </w:r>
            <w:r w:rsidRPr="302C34D4">
              <w:rPr>
                <w:rFonts w:asciiTheme="minorHAnsi" w:hAnsiTheme="minorHAnsi" w:cstheme="minorBidi"/>
                <w:b/>
                <w:bCs/>
                <w:sz w:val="16"/>
                <w:szCs w:val="16"/>
                <w:u w:val="single"/>
              </w:rPr>
              <w:t>MINAGRIP</w:t>
            </w:r>
            <w:r w:rsidRPr="302C34D4">
              <w:rPr>
                <w:rFonts w:asciiTheme="minorHAnsi" w:hAnsiTheme="minorHAnsi" w:cstheme="minorBidi"/>
                <w:b/>
                <w:sz w:val="16"/>
                <w:szCs w:val="16"/>
                <w:u w:val="single"/>
              </w:rPr>
              <w:t>, forests</w:t>
            </w:r>
            <w:r w:rsidRPr="302C34D4">
              <w:rPr>
                <w:rFonts w:asciiTheme="minorHAnsi" w:hAnsiTheme="minorHAnsi" w:cstheme="minorBidi"/>
                <w:b/>
                <w:sz w:val="16"/>
                <w:szCs w:val="16"/>
              </w:rPr>
              <w:t>:</w:t>
            </w:r>
          </w:p>
          <w:p w14:paraId="5F4CDA00" w14:textId="395B3A32" w:rsidR="00C03B3C" w:rsidRPr="00CE1EA7" w:rsidRDefault="00C03B3C" w:rsidP="00C03B3C">
            <w:pPr>
              <w:keepNext/>
              <w:tabs>
                <w:tab w:val="right" w:pos="2086"/>
              </w:tabs>
              <w:rPr>
                <w:rFonts w:asciiTheme="minorHAnsi" w:hAnsiTheme="minorHAnsi" w:cstheme="minorHAnsi"/>
                <w:b/>
                <w:bCs/>
                <w:iCs/>
                <w:sz w:val="16"/>
                <w:szCs w:val="16"/>
              </w:rPr>
            </w:pPr>
            <w:r w:rsidRPr="00CE1EA7">
              <w:rPr>
                <w:rFonts w:asciiTheme="minorHAnsi" w:hAnsiTheme="minorHAnsi" w:cstheme="minorHAnsi"/>
                <w:b/>
                <w:bCs/>
                <w:iCs/>
                <w:sz w:val="16"/>
                <w:szCs w:val="16"/>
              </w:rPr>
              <w:t>- BASELINE:</w:t>
            </w:r>
            <w:r w:rsidRPr="00CE1EA7">
              <w:rPr>
                <w:rFonts w:asciiTheme="minorHAnsi" w:hAnsiTheme="minorHAnsi" w:cstheme="minorHAnsi"/>
                <w:b/>
                <w:bCs/>
                <w:iCs/>
                <w:sz w:val="16"/>
                <w:szCs w:val="16"/>
              </w:rPr>
              <w:tab/>
              <w:t>$</w:t>
            </w:r>
            <w:r>
              <w:rPr>
                <w:rFonts w:asciiTheme="minorHAnsi" w:hAnsiTheme="minorHAnsi" w:cstheme="minorHAnsi"/>
                <w:b/>
                <w:bCs/>
                <w:iCs/>
                <w:sz w:val="16"/>
                <w:szCs w:val="16"/>
              </w:rPr>
              <w:t>2.2</w:t>
            </w:r>
            <w:r w:rsidRPr="00CE1EA7">
              <w:rPr>
                <w:rFonts w:asciiTheme="minorHAnsi" w:hAnsiTheme="minorHAnsi" w:cstheme="minorHAnsi"/>
                <w:b/>
                <w:bCs/>
                <w:iCs/>
                <w:sz w:val="16"/>
                <w:szCs w:val="16"/>
              </w:rPr>
              <w:t xml:space="preserve"> M </w:t>
            </w:r>
          </w:p>
          <w:p w14:paraId="22540EC3" w14:textId="1EAE7D24" w:rsidR="00C03B3C" w:rsidRPr="00CE1EA7" w:rsidRDefault="00C03B3C" w:rsidP="00C03B3C">
            <w:pPr>
              <w:tabs>
                <w:tab w:val="right" w:pos="2086"/>
              </w:tabs>
              <w:rPr>
                <w:rFonts w:asciiTheme="minorHAnsi" w:hAnsiTheme="minorHAnsi" w:cstheme="minorHAnsi"/>
                <w:b/>
                <w:bCs/>
                <w:iCs/>
                <w:sz w:val="16"/>
                <w:szCs w:val="16"/>
              </w:rPr>
            </w:pPr>
            <w:r w:rsidRPr="00CE1EA7">
              <w:rPr>
                <w:rFonts w:asciiTheme="minorHAnsi" w:hAnsiTheme="minorHAnsi" w:cstheme="minorHAnsi"/>
                <w:b/>
                <w:bCs/>
                <w:iCs/>
                <w:sz w:val="16"/>
                <w:szCs w:val="16"/>
              </w:rPr>
              <w:t xml:space="preserve">- CO-FINANCING: </w:t>
            </w:r>
            <w:r w:rsidRPr="00CE1EA7">
              <w:rPr>
                <w:rFonts w:asciiTheme="minorHAnsi" w:hAnsiTheme="minorHAnsi" w:cstheme="minorHAnsi"/>
                <w:b/>
                <w:bCs/>
                <w:iCs/>
                <w:sz w:val="16"/>
                <w:szCs w:val="16"/>
              </w:rPr>
              <w:tab/>
              <w:t>$</w:t>
            </w:r>
            <w:r>
              <w:rPr>
                <w:rFonts w:asciiTheme="minorHAnsi" w:hAnsiTheme="minorHAnsi" w:cstheme="minorHAnsi"/>
                <w:b/>
                <w:bCs/>
                <w:iCs/>
                <w:sz w:val="16"/>
                <w:szCs w:val="16"/>
              </w:rPr>
              <w:t>0</w:t>
            </w:r>
            <w:r w:rsidRPr="00CE1EA7">
              <w:rPr>
                <w:rFonts w:asciiTheme="minorHAnsi" w:hAnsiTheme="minorHAnsi" w:cstheme="minorHAnsi"/>
                <w:b/>
                <w:bCs/>
                <w:iCs/>
                <w:sz w:val="16"/>
                <w:szCs w:val="16"/>
              </w:rPr>
              <w:t>.5 M</w:t>
            </w:r>
          </w:p>
        </w:tc>
      </w:tr>
      <w:tr w:rsidR="00871AA1" w:rsidRPr="00CE1EA7" w14:paraId="57A28F33" w14:textId="77777777" w:rsidTr="72739566">
        <w:tc>
          <w:tcPr>
            <w:tcW w:w="2836" w:type="dxa"/>
            <w:tcBorders>
              <w:top w:val="single" w:sz="8" w:space="0" w:color="auto"/>
              <w:left w:val="single" w:sz="8" w:space="0" w:color="auto"/>
              <w:bottom w:val="single" w:sz="8" w:space="0" w:color="auto"/>
              <w:right w:val="single" w:sz="8" w:space="0" w:color="auto"/>
            </w:tcBorders>
          </w:tcPr>
          <w:p w14:paraId="2BB2B56B" w14:textId="77777777" w:rsidR="003A522C" w:rsidRPr="00CE1EA7" w:rsidRDefault="003A522C" w:rsidP="003A522C">
            <w:pPr>
              <w:rPr>
                <w:rFonts w:asciiTheme="minorHAnsi" w:hAnsiTheme="minorHAnsi" w:cstheme="minorHAnsi"/>
                <w:i/>
                <w:sz w:val="16"/>
                <w:szCs w:val="16"/>
              </w:rPr>
            </w:pPr>
            <w:r w:rsidRPr="00CE1EA7">
              <w:rPr>
                <w:rFonts w:asciiTheme="minorHAnsi" w:hAnsiTheme="minorHAnsi" w:cstheme="minorHAnsi"/>
                <w:i/>
                <w:sz w:val="16"/>
                <w:szCs w:val="16"/>
              </w:rPr>
              <w:t>1: Promotion of the exploitation and management of forest resources, in particular natural timber and plantation forests</w:t>
            </w:r>
          </w:p>
          <w:p w14:paraId="01E6A6B6" w14:textId="77777777" w:rsidR="003A522C" w:rsidRPr="00CE1EA7" w:rsidRDefault="003A522C" w:rsidP="003A522C">
            <w:pPr>
              <w:rPr>
                <w:rFonts w:asciiTheme="minorHAnsi" w:hAnsiTheme="minorHAnsi" w:cstheme="minorHAnsi"/>
                <w:iCs/>
                <w:sz w:val="16"/>
                <w:szCs w:val="16"/>
              </w:rPr>
            </w:pPr>
            <w:r w:rsidRPr="00CE1EA7">
              <w:rPr>
                <w:rFonts w:asciiTheme="minorHAnsi" w:hAnsiTheme="minorHAnsi" w:cstheme="minorHAnsi"/>
                <w:iCs/>
                <w:sz w:val="16"/>
                <w:szCs w:val="16"/>
              </w:rPr>
              <w:t> </w:t>
            </w:r>
          </w:p>
          <w:p w14:paraId="0896499F" w14:textId="77777777" w:rsidR="003A522C" w:rsidRPr="00CE1EA7" w:rsidRDefault="003A522C" w:rsidP="003A522C">
            <w:pPr>
              <w:rPr>
                <w:rFonts w:asciiTheme="minorHAnsi" w:hAnsiTheme="minorHAnsi" w:cstheme="minorHAnsi"/>
                <w:iCs/>
                <w:sz w:val="16"/>
                <w:szCs w:val="16"/>
              </w:rPr>
            </w:pPr>
            <w:r w:rsidRPr="00CE1EA7">
              <w:rPr>
                <w:rFonts w:asciiTheme="minorHAnsi" w:hAnsiTheme="minorHAnsi" w:cstheme="minorHAnsi"/>
                <w:b/>
                <w:bCs/>
                <w:iCs/>
                <w:sz w:val="16"/>
                <w:szCs w:val="16"/>
              </w:rPr>
              <w:t>Target 1.5: At 2022, the planted area increases by 1054% over 2017</w:t>
            </w:r>
          </w:p>
          <w:p w14:paraId="08930068" w14:textId="77777777" w:rsidR="003A522C" w:rsidRPr="00CE1EA7" w:rsidRDefault="003A522C" w:rsidP="003A522C">
            <w:pPr>
              <w:rPr>
                <w:rFonts w:asciiTheme="minorHAnsi" w:hAnsiTheme="minorHAnsi" w:cstheme="minorHAnsi"/>
                <w:iCs/>
                <w:sz w:val="16"/>
                <w:szCs w:val="16"/>
              </w:rPr>
            </w:pPr>
            <w:r w:rsidRPr="00CE1EA7">
              <w:rPr>
                <w:rFonts w:asciiTheme="minorHAnsi" w:hAnsiTheme="minorHAnsi" w:cstheme="minorHAnsi"/>
                <w:iCs/>
                <w:sz w:val="16"/>
                <w:szCs w:val="16"/>
              </w:rPr>
              <w:t> </w:t>
            </w:r>
          </w:p>
        </w:tc>
        <w:tc>
          <w:tcPr>
            <w:tcW w:w="5103" w:type="dxa"/>
            <w:tcBorders>
              <w:top w:val="single" w:sz="8" w:space="0" w:color="auto"/>
              <w:left w:val="single" w:sz="8" w:space="0" w:color="auto"/>
              <w:bottom w:val="single" w:sz="8" w:space="0" w:color="auto"/>
              <w:right w:val="single" w:sz="8" w:space="0" w:color="auto"/>
            </w:tcBorders>
            <w:noWrap/>
          </w:tcPr>
          <w:p w14:paraId="39136C45" w14:textId="07C7C803" w:rsidR="003A522C" w:rsidRPr="00166A58" w:rsidRDefault="003A522C" w:rsidP="003A522C">
            <w:pPr>
              <w:rPr>
                <w:rFonts w:ascii="Calibri" w:hAnsi="Calibri" w:cs="Calibri"/>
                <w:color w:val="000000"/>
                <w:sz w:val="16"/>
                <w:szCs w:val="16"/>
              </w:rPr>
            </w:pPr>
            <w:r w:rsidRPr="1DF45A6D">
              <w:rPr>
                <w:rFonts w:ascii="Calibri" w:hAnsi="Calibri" w:cs="Calibri"/>
                <w:color w:val="000000" w:themeColor="text1"/>
                <w:sz w:val="16"/>
                <w:szCs w:val="16"/>
              </w:rPr>
              <w:t>Also executed by MINAGRIP through its Directorate for Forestry, Program #2.3.4 is included in the PND (2018-2022) and it is linked to PND policy objective XI: PROMOTION OF PRODUCTION, IMPORT SUBSTITUTION AND EXPORT DIVERSIFICATION. The following goal is relevant for the project: 1: Promotion of the exploitation and management of forest resources, in particular natural timber and plantation forests. Core topics under the Program include:</w:t>
            </w:r>
          </w:p>
          <w:p w14:paraId="392D72FA" w14:textId="77777777" w:rsidR="003A522C" w:rsidRPr="00166A58" w:rsidRDefault="003A522C" w:rsidP="001667C6">
            <w:pPr>
              <w:pStyle w:val="ListParagraph"/>
              <w:numPr>
                <w:ilvl w:val="0"/>
                <w:numId w:val="64"/>
              </w:numPr>
              <w:spacing w:after="0"/>
              <w:ind w:left="313" w:hanging="313"/>
              <w:contextualSpacing w:val="0"/>
              <w:jc w:val="left"/>
              <w:rPr>
                <w:rFonts w:cstheme="minorHAnsi"/>
                <w:color w:val="auto"/>
                <w:sz w:val="16"/>
                <w:szCs w:val="16"/>
              </w:rPr>
            </w:pPr>
            <w:r w:rsidRPr="00166A58">
              <w:rPr>
                <w:rFonts w:cstheme="minorHAnsi"/>
                <w:color w:val="auto"/>
                <w:sz w:val="16"/>
                <w:szCs w:val="16"/>
              </w:rPr>
              <w:t>Complete the National Forest Inventory;</w:t>
            </w:r>
          </w:p>
          <w:p w14:paraId="1FA0A77B" w14:textId="77777777" w:rsidR="003A522C" w:rsidRPr="00166A58" w:rsidRDefault="003A522C" w:rsidP="001667C6">
            <w:pPr>
              <w:pStyle w:val="ListParagraph"/>
              <w:numPr>
                <w:ilvl w:val="0"/>
                <w:numId w:val="64"/>
              </w:numPr>
              <w:spacing w:after="0"/>
              <w:ind w:left="313" w:hanging="313"/>
              <w:contextualSpacing w:val="0"/>
              <w:jc w:val="left"/>
              <w:rPr>
                <w:rFonts w:cstheme="minorHAnsi"/>
                <w:color w:val="auto"/>
                <w:sz w:val="16"/>
                <w:szCs w:val="16"/>
              </w:rPr>
            </w:pPr>
            <w:r w:rsidRPr="00166A58">
              <w:rPr>
                <w:rFonts w:cstheme="minorHAnsi"/>
                <w:color w:val="auto"/>
                <w:sz w:val="16"/>
                <w:szCs w:val="16"/>
              </w:rPr>
              <w:t xml:space="preserve">Establish forest plantations and polygons; </w:t>
            </w:r>
          </w:p>
          <w:p w14:paraId="7145D82C" w14:textId="77777777" w:rsidR="003A522C" w:rsidRPr="00166A58" w:rsidRDefault="003A522C" w:rsidP="001667C6">
            <w:pPr>
              <w:pStyle w:val="ListParagraph"/>
              <w:numPr>
                <w:ilvl w:val="0"/>
                <w:numId w:val="64"/>
              </w:numPr>
              <w:spacing w:after="0"/>
              <w:ind w:left="313" w:hanging="313"/>
              <w:contextualSpacing w:val="0"/>
              <w:jc w:val="left"/>
              <w:rPr>
                <w:rFonts w:cstheme="minorHAnsi"/>
                <w:color w:val="auto"/>
                <w:sz w:val="16"/>
                <w:szCs w:val="16"/>
              </w:rPr>
            </w:pPr>
            <w:r w:rsidRPr="00166A58">
              <w:rPr>
                <w:rFonts w:cstheme="minorHAnsi"/>
                <w:color w:val="auto"/>
                <w:sz w:val="16"/>
                <w:szCs w:val="16"/>
              </w:rPr>
              <w:t>Introduce the Forest Certification Process;</w:t>
            </w:r>
          </w:p>
          <w:p w14:paraId="1F82FC8F" w14:textId="77777777" w:rsidR="003A522C" w:rsidRPr="00166A58" w:rsidRDefault="003A522C" w:rsidP="001667C6">
            <w:pPr>
              <w:pStyle w:val="ListParagraph"/>
              <w:numPr>
                <w:ilvl w:val="0"/>
                <w:numId w:val="64"/>
              </w:numPr>
              <w:spacing w:after="0"/>
              <w:ind w:left="313" w:hanging="313"/>
              <w:contextualSpacing w:val="0"/>
              <w:jc w:val="left"/>
              <w:rPr>
                <w:rFonts w:cstheme="minorHAnsi"/>
                <w:color w:val="auto"/>
                <w:sz w:val="16"/>
                <w:szCs w:val="16"/>
              </w:rPr>
            </w:pPr>
            <w:r w:rsidRPr="00166A58">
              <w:rPr>
                <w:rFonts w:cstheme="minorHAnsi"/>
                <w:color w:val="auto"/>
                <w:sz w:val="16"/>
                <w:szCs w:val="16"/>
              </w:rPr>
              <w:t xml:space="preserve">Concession of available areas to stakeholders for forest settlement and restocking; </w:t>
            </w:r>
          </w:p>
          <w:p w14:paraId="7F1FB510" w14:textId="77777777" w:rsidR="003A522C" w:rsidRPr="00166A58" w:rsidRDefault="003A522C" w:rsidP="001667C6">
            <w:pPr>
              <w:pStyle w:val="ListParagraph"/>
              <w:numPr>
                <w:ilvl w:val="0"/>
                <w:numId w:val="64"/>
              </w:numPr>
              <w:spacing w:after="0"/>
              <w:ind w:left="313" w:hanging="313"/>
              <w:contextualSpacing w:val="0"/>
              <w:jc w:val="left"/>
              <w:rPr>
                <w:rFonts w:cstheme="minorHAnsi"/>
                <w:sz w:val="16"/>
                <w:szCs w:val="16"/>
              </w:rPr>
            </w:pPr>
            <w:r w:rsidRPr="00166A58">
              <w:rPr>
                <w:rFonts w:cstheme="minorHAnsi"/>
                <w:sz w:val="16"/>
                <w:szCs w:val="16"/>
              </w:rPr>
              <w:t>Conduct studies on the phenomena of desertification and reforestation.</w:t>
            </w:r>
          </w:p>
          <w:p w14:paraId="7E723313" w14:textId="77777777" w:rsidR="003A522C" w:rsidRPr="00166A58" w:rsidRDefault="003A522C" w:rsidP="003A522C">
            <w:pPr>
              <w:spacing w:before="80"/>
              <w:rPr>
                <w:rFonts w:ascii="Calibri" w:hAnsi="Calibri" w:cs="Calibri"/>
                <w:b/>
                <w:bCs/>
                <w:color w:val="000000"/>
                <w:sz w:val="16"/>
                <w:szCs w:val="16"/>
                <w:u w:val="single"/>
              </w:rPr>
            </w:pPr>
            <w:r w:rsidRPr="00166A58">
              <w:rPr>
                <w:rFonts w:ascii="Calibri" w:hAnsi="Calibri" w:cs="Calibri"/>
                <w:b/>
                <w:bCs/>
                <w:color w:val="000000"/>
                <w:sz w:val="16"/>
                <w:szCs w:val="16"/>
                <w:u w:val="single"/>
              </w:rPr>
              <w:t>SYNERGIES AND COLLABORATION:</w:t>
            </w:r>
          </w:p>
          <w:p w14:paraId="7BE0E1BE" w14:textId="7E1E614D" w:rsidR="003A522C" w:rsidRPr="007B43A1" w:rsidRDefault="003A522C" w:rsidP="001667C6">
            <w:pPr>
              <w:pStyle w:val="ListParagraph"/>
              <w:numPr>
                <w:ilvl w:val="0"/>
                <w:numId w:val="64"/>
              </w:numPr>
              <w:ind w:left="313" w:hanging="313"/>
              <w:jc w:val="left"/>
              <w:rPr>
                <w:rFonts w:asciiTheme="minorHAnsi" w:hAnsiTheme="minorHAnsi" w:cstheme="minorHAnsi"/>
                <w:color w:val="auto"/>
                <w:sz w:val="16"/>
                <w:szCs w:val="16"/>
              </w:rPr>
            </w:pPr>
            <w:r w:rsidRPr="00166A58">
              <w:rPr>
                <w:rFonts w:cs="Calibri"/>
                <w:sz w:val="16"/>
                <w:szCs w:val="16"/>
              </w:rPr>
              <w:t xml:space="preserve">The baseline investments under PND Program #2.3.4 (Promoting the Sustainable Use and Management of Forest Resources) are highly relevant to the subject matter of the DSL IP Child Project. Some of the activities, such as the realization and completion National Forest Inventory were co-supported by FAO and continue to be. At the local level, the project will help with some of the challenges of the forestry sector through incremental measures, including forest restoration, where it makes sense to make such investments. The </w:t>
            </w:r>
            <w:r w:rsidRPr="00166A58">
              <w:rPr>
                <w:sz w:val="16"/>
                <w:szCs w:val="16"/>
              </w:rPr>
              <w:t xml:space="preserve">FFF will be </w:t>
            </w:r>
            <w:r w:rsidRPr="00166A58">
              <w:rPr>
                <w:sz w:val="16"/>
                <w:szCs w:val="16"/>
              </w:rPr>
              <w:lastRenderedPageBreak/>
              <w:t xml:space="preserve">brough in for providing technical assistance, which is expected to be instrumental in this respect. </w:t>
            </w:r>
          </w:p>
        </w:tc>
        <w:tc>
          <w:tcPr>
            <w:tcW w:w="1701" w:type="dxa"/>
            <w:tcBorders>
              <w:top w:val="single" w:sz="8" w:space="0" w:color="auto"/>
              <w:left w:val="single" w:sz="8" w:space="0" w:color="auto"/>
              <w:bottom w:val="single" w:sz="8" w:space="0" w:color="auto"/>
              <w:right w:val="single" w:sz="8" w:space="0" w:color="auto"/>
            </w:tcBorders>
          </w:tcPr>
          <w:p w14:paraId="7D411DDF" w14:textId="77777777" w:rsidR="003A522C" w:rsidRPr="00CE1EA7" w:rsidRDefault="003A522C" w:rsidP="003A522C">
            <w:pPr>
              <w:rPr>
                <w:rFonts w:asciiTheme="minorHAnsi" w:hAnsiTheme="minorHAnsi" w:cstheme="minorHAnsi"/>
                <w:b/>
                <w:bCs/>
                <w:sz w:val="16"/>
                <w:szCs w:val="16"/>
              </w:rPr>
            </w:pPr>
            <w:r w:rsidRPr="00CE1EA7">
              <w:rPr>
                <w:rFonts w:asciiTheme="minorHAnsi" w:hAnsiTheme="minorHAnsi" w:cstheme="minorHAnsi"/>
                <w:b/>
                <w:bCs/>
                <w:iCs/>
                <w:sz w:val="16"/>
                <w:szCs w:val="16"/>
              </w:rPr>
              <w:lastRenderedPageBreak/>
              <w:t>Baseline fit with Components:</w:t>
            </w:r>
          </w:p>
          <w:p w14:paraId="4623EAEC" w14:textId="77777777" w:rsidR="003A522C" w:rsidRPr="00CE1EA7" w:rsidRDefault="003A522C" w:rsidP="003A522C">
            <w:pPr>
              <w:rPr>
                <w:rFonts w:asciiTheme="minorHAnsi" w:hAnsiTheme="minorHAnsi" w:cstheme="minorHAnsi"/>
                <w:b/>
                <w:bCs/>
                <w:iCs/>
                <w:sz w:val="16"/>
                <w:szCs w:val="16"/>
              </w:rPr>
            </w:pPr>
          </w:p>
          <w:p w14:paraId="6AF843C3" w14:textId="60C13FE0" w:rsidR="003A522C" w:rsidRPr="00CE1EA7" w:rsidRDefault="003A522C" w:rsidP="003A522C">
            <w:pPr>
              <w:rPr>
                <w:rFonts w:asciiTheme="minorHAnsi" w:hAnsiTheme="minorHAnsi" w:cstheme="minorHAnsi"/>
                <w:b/>
                <w:bCs/>
                <w:iCs/>
                <w:sz w:val="16"/>
                <w:szCs w:val="16"/>
              </w:rPr>
            </w:pPr>
            <w:r w:rsidRPr="00CE1EA7">
              <w:rPr>
                <w:rFonts w:asciiTheme="minorHAnsi" w:hAnsiTheme="minorHAnsi" w:cstheme="minorHAnsi"/>
                <w:b/>
                <w:bCs/>
                <w:iCs/>
                <w:sz w:val="16"/>
                <w:szCs w:val="16"/>
              </w:rPr>
              <w:t>C1 = $</w:t>
            </w:r>
            <w:r>
              <w:rPr>
                <w:rFonts w:asciiTheme="minorHAnsi" w:hAnsiTheme="minorHAnsi" w:cstheme="minorHAnsi"/>
                <w:b/>
                <w:bCs/>
                <w:iCs/>
                <w:sz w:val="16"/>
                <w:szCs w:val="16"/>
              </w:rPr>
              <w:t>2.2</w:t>
            </w:r>
            <w:r w:rsidRPr="00CE1EA7">
              <w:rPr>
                <w:rFonts w:asciiTheme="minorHAnsi" w:hAnsiTheme="minorHAnsi" w:cstheme="minorHAnsi"/>
                <w:b/>
                <w:bCs/>
                <w:iCs/>
                <w:sz w:val="16"/>
                <w:szCs w:val="16"/>
              </w:rPr>
              <w:t>M</w:t>
            </w:r>
          </w:p>
        </w:tc>
        <w:tc>
          <w:tcPr>
            <w:tcW w:w="4394" w:type="dxa"/>
            <w:tcBorders>
              <w:top w:val="single" w:sz="8" w:space="0" w:color="auto"/>
              <w:left w:val="single" w:sz="8" w:space="0" w:color="auto"/>
              <w:bottom w:val="single" w:sz="8" w:space="0" w:color="auto"/>
              <w:right w:val="single" w:sz="8" w:space="0" w:color="auto"/>
            </w:tcBorders>
            <w:shd w:val="clear" w:color="auto" w:fill="99FFCC"/>
          </w:tcPr>
          <w:p w14:paraId="514C7C7C" w14:textId="77777777" w:rsidR="003A522C" w:rsidRPr="00CE1EA7" w:rsidRDefault="003A522C" w:rsidP="003A522C">
            <w:pPr>
              <w:rPr>
                <w:rFonts w:asciiTheme="minorHAnsi" w:hAnsiTheme="minorHAnsi" w:cstheme="minorHAnsi"/>
                <w:b/>
                <w:bCs/>
                <w:iCs/>
                <w:sz w:val="16"/>
                <w:szCs w:val="16"/>
                <w:u w:val="single"/>
              </w:rPr>
            </w:pPr>
            <w:r w:rsidRPr="00CE1EA7">
              <w:rPr>
                <w:rFonts w:asciiTheme="minorHAnsi" w:hAnsiTheme="minorHAnsi" w:cstheme="minorHAnsi"/>
                <w:b/>
                <w:bCs/>
                <w:iCs/>
                <w:sz w:val="16"/>
                <w:szCs w:val="16"/>
                <w:u w:val="single"/>
              </w:rPr>
              <w:t>BASELINE CALCULUS:</w:t>
            </w:r>
          </w:p>
          <w:p w14:paraId="7E508992" w14:textId="77777777" w:rsidR="003A522C" w:rsidRPr="00CE1EA7" w:rsidRDefault="003A522C" w:rsidP="003A522C">
            <w:pPr>
              <w:rPr>
                <w:rFonts w:asciiTheme="minorHAnsi" w:hAnsiTheme="minorHAnsi" w:cstheme="minorHAnsi"/>
                <w:b/>
                <w:bCs/>
                <w:iCs/>
                <w:sz w:val="16"/>
                <w:szCs w:val="16"/>
              </w:rPr>
            </w:pPr>
          </w:p>
          <w:p w14:paraId="72BA8EC9" w14:textId="3FE77E26" w:rsidR="003A522C" w:rsidRPr="00CE1EA7" w:rsidRDefault="003A522C" w:rsidP="003A522C">
            <w:pPr>
              <w:jc w:val="center"/>
              <w:rPr>
                <w:rFonts w:asciiTheme="minorHAnsi" w:hAnsiTheme="minorHAnsi" w:cstheme="minorBidi"/>
                <w:b/>
                <w:sz w:val="16"/>
                <w:szCs w:val="16"/>
              </w:rPr>
            </w:pPr>
            <w:r w:rsidRPr="23356FAB">
              <w:rPr>
                <w:rFonts w:asciiTheme="minorHAnsi" w:hAnsiTheme="minorHAnsi" w:cstheme="minorBidi"/>
                <w:b/>
                <w:sz w:val="16"/>
                <w:szCs w:val="16"/>
              </w:rPr>
              <w:t>OGE 20</w:t>
            </w:r>
            <w:r>
              <w:rPr>
                <w:rFonts w:asciiTheme="minorHAnsi" w:hAnsiTheme="minorHAnsi" w:cstheme="minorBidi"/>
                <w:b/>
                <w:sz w:val="16"/>
                <w:szCs w:val="16"/>
              </w:rPr>
              <w:t>20</w:t>
            </w:r>
            <w:r w:rsidRPr="23356FAB">
              <w:rPr>
                <w:rFonts w:asciiTheme="minorHAnsi" w:hAnsiTheme="minorHAnsi" w:cstheme="minorBidi"/>
                <w:b/>
                <w:sz w:val="16"/>
                <w:szCs w:val="16"/>
              </w:rPr>
              <w:t xml:space="preserve"> = </w:t>
            </w:r>
            <w:r>
              <w:rPr>
                <w:rFonts w:asciiTheme="minorHAnsi" w:hAnsiTheme="minorHAnsi" w:cstheme="minorBidi"/>
                <w:b/>
                <w:sz w:val="16"/>
                <w:szCs w:val="16"/>
              </w:rPr>
              <w:t>312</w:t>
            </w:r>
            <w:r w:rsidRPr="23356FAB">
              <w:rPr>
                <w:rFonts w:asciiTheme="minorHAnsi" w:hAnsiTheme="minorHAnsi" w:cstheme="minorBidi"/>
                <w:b/>
                <w:sz w:val="16"/>
                <w:szCs w:val="16"/>
              </w:rPr>
              <w:t xml:space="preserve"> million </w:t>
            </w:r>
            <w:r w:rsidRPr="23356FAB">
              <w:rPr>
                <w:rFonts w:asciiTheme="minorHAnsi" w:hAnsiTheme="minorHAnsi" w:cstheme="minorBidi"/>
                <w:b/>
                <w:bCs/>
                <w:sz w:val="16"/>
                <w:szCs w:val="16"/>
              </w:rPr>
              <w:t>AOA</w:t>
            </w:r>
          </w:p>
          <w:p w14:paraId="7A04B2D2" w14:textId="77777777" w:rsidR="003A522C" w:rsidRPr="00CE1EA7" w:rsidRDefault="003A522C" w:rsidP="003A522C">
            <w:pPr>
              <w:jc w:val="center"/>
              <w:rPr>
                <w:rFonts w:asciiTheme="minorHAnsi" w:hAnsiTheme="minorHAnsi" w:cstheme="minorHAnsi"/>
                <w:b/>
                <w:bCs/>
                <w:iCs/>
                <w:sz w:val="16"/>
                <w:szCs w:val="16"/>
              </w:rPr>
            </w:pPr>
            <w:r w:rsidRPr="00CE1EA7">
              <w:rPr>
                <w:rFonts w:asciiTheme="minorHAnsi" w:hAnsiTheme="minorHAnsi" w:cstheme="minorHAnsi"/>
                <w:b/>
                <w:bCs/>
                <w:iCs/>
                <w:sz w:val="16"/>
                <w:szCs w:val="16"/>
              </w:rPr>
              <w:t>↓</w:t>
            </w:r>
          </w:p>
          <w:p w14:paraId="214D2198" w14:textId="667F545B" w:rsidR="003A522C" w:rsidRPr="00CE1EA7" w:rsidRDefault="003A522C" w:rsidP="003A522C">
            <w:pPr>
              <w:jc w:val="center"/>
              <w:rPr>
                <w:rFonts w:asciiTheme="minorHAnsi" w:hAnsiTheme="minorHAnsi" w:cstheme="minorHAnsi"/>
                <w:b/>
                <w:bCs/>
                <w:iCs/>
                <w:sz w:val="16"/>
                <w:szCs w:val="16"/>
              </w:rPr>
            </w:pPr>
            <w:r w:rsidRPr="00CE1EA7">
              <w:rPr>
                <w:rFonts w:asciiTheme="minorHAnsi" w:hAnsiTheme="minorHAnsi" w:cstheme="minorHAnsi"/>
                <w:b/>
                <w:bCs/>
                <w:iCs/>
                <w:sz w:val="16"/>
                <w:szCs w:val="16"/>
              </w:rPr>
              <w:t>Equivalent to $</w:t>
            </w:r>
            <w:r>
              <w:rPr>
                <w:rFonts w:asciiTheme="minorHAnsi" w:hAnsiTheme="minorHAnsi" w:cstheme="minorHAnsi"/>
                <w:b/>
                <w:bCs/>
                <w:iCs/>
                <w:sz w:val="16"/>
                <w:szCs w:val="16"/>
              </w:rPr>
              <w:t>0.5</w:t>
            </w:r>
            <w:r w:rsidRPr="00CE1EA7">
              <w:rPr>
                <w:rFonts w:asciiTheme="minorHAnsi" w:hAnsiTheme="minorHAnsi" w:cstheme="minorHAnsi"/>
                <w:b/>
                <w:bCs/>
                <w:iCs/>
                <w:sz w:val="16"/>
                <w:szCs w:val="16"/>
              </w:rPr>
              <w:t xml:space="preserve"> million for the base year (20</w:t>
            </w:r>
            <w:r>
              <w:rPr>
                <w:rFonts w:asciiTheme="minorHAnsi" w:hAnsiTheme="minorHAnsi" w:cstheme="minorHAnsi"/>
                <w:b/>
                <w:bCs/>
                <w:iCs/>
                <w:sz w:val="16"/>
                <w:szCs w:val="16"/>
              </w:rPr>
              <w:t>20</w:t>
            </w:r>
            <w:r w:rsidRPr="00CE1EA7">
              <w:rPr>
                <w:rFonts w:asciiTheme="minorHAnsi" w:hAnsiTheme="minorHAnsi" w:cstheme="minorHAnsi"/>
                <w:b/>
                <w:bCs/>
                <w:iCs/>
                <w:sz w:val="16"/>
                <w:szCs w:val="16"/>
              </w:rPr>
              <w:t>)</w:t>
            </w:r>
          </w:p>
          <w:p w14:paraId="270E8F13" w14:textId="77777777" w:rsidR="003A522C" w:rsidRPr="00CE1EA7" w:rsidRDefault="003A522C" w:rsidP="003A522C">
            <w:pPr>
              <w:jc w:val="center"/>
              <w:rPr>
                <w:rFonts w:asciiTheme="minorHAnsi" w:hAnsiTheme="minorHAnsi" w:cstheme="minorHAnsi"/>
                <w:b/>
                <w:bCs/>
                <w:iCs/>
                <w:sz w:val="16"/>
                <w:szCs w:val="16"/>
              </w:rPr>
            </w:pPr>
            <w:r w:rsidRPr="00CE1EA7">
              <w:rPr>
                <w:rFonts w:asciiTheme="minorHAnsi" w:hAnsiTheme="minorHAnsi" w:cstheme="minorHAnsi"/>
                <w:b/>
                <w:bCs/>
                <w:iCs/>
                <w:sz w:val="16"/>
                <w:szCs w:val="16"/>
              </w:rPr>
              <w:t>↓</w:t>
            </w:r>
          </w:p>
          <w:p w14:paraId="749390FC" w14:textId="0C58D4A1" w:rsidR="003A522C" w:rsidRPr="00CE1EA7" w:rsidRDefault="003A522C" w:rsidP="003A522C">
            <w:pPr>
              <w:jc w:val="center"/>
              <w:rPr>
                <w:rFonts w:asciiTheme="minorHAnsi" w:hAnsiTheme="minorHAnsi" w:cstheme="minorHAnsi"/>
                <w:b/>
                <w:bCs/>
                <w:iCs/>
                <w:sz w:val="16"/>
                <w:szCs w:val="16"/>
              </w:rPr>
            </w:pPr>
            <w:r w:rsidRPr="00CE1EA7">
              <w:rPr>
                <w:rFonts w:asciiTheme="minorHAnsi" w:hAnsiTheme="minorHAnsi" w:cstheme="minorHAnsi"/>
                <w:b/>
                <w:bCs/>
                <w:iCs/>
                <w:sz w:val="16"/>
                <w:szCs w:val="16"/>
              </w:rPr>
              <w:t>x 30% relevance = $0.</w:t>
            </w:r>
            <w:r>
              <w:rPr>
                <w:rFonts w:asciiTheme="minorHAnsi" w:hAnsiTheme="minorHAnsi" w:cstheme="minorHAnsi"/>
                <w:b/>
                <w:bCs/>
                <w:iCs/>
                <w:sz w:val="16"/>
                <w:szCs w:val="16"/>
              </w:rPr>
              <w:t>15</w:t>
            </w:r>
            <w:r w:rsidRPr="00CE1EA7">
              <w:rPr>
                <w:rFonts w:asciiTheme="minorHAnsi" w:hAnsiTheme="minorHAnsi" w:cstheme="minorHAnsi"/>
                <w:b/>
                <w:bCs/>
                <w:iCs/>
                <w:sz w:val="16"/>
                <w:szCs w:val="16"/>
              </w:rPr>
              <w:t>M</w:t>
            </w:r>
          </w:p>
          <w:p w14:paraId="5C2DFF84" w14:textId="77777777" w:rsidR="003A522C" w:rsidRPr="00CE1EA7" w:rsidRDefault="003A522C" w:rsidP="003A522C">
            <w:pPr>
              <w:jc w:val="center"/>
              <w:rPr>
                <w:rFonts w:asciiTheme="minorHAnsi" w:hAnsiTheme="minorHAnsi" w:cstheme="minorHAnsi"/>
                <w:b/>
                <w:bCs/>
                <w:iCs/>
                <w:sz w:val="16"/>
                <w:szCs w:val="16"/>
              </w:rPr>
            </w:pPr>
            <w:r w:rsidRPr="00CE1EA7">
              <w:rPr>
                <w:rFonts w:asciiTheme="minorHAnsi" w:hAnsiTheme="minorHAnsi" w:cstheme="minorHAnsi"/>
                <w:b/>
                <w:bCs/>
                <w:iCs/>
                <w:sz w:val="16"/>
                <w:szCs w:val="16"/>
              </w:rPr>
              <w:t>↓</w:t>
            </w:r>
          </w:p>
          <w:p w14:paraId="6BB0616A" w14:textId="77777777" w:rsidR="003A522C" w:rsidRPr="00CE1EA7" w:rsidRDefault="003A522C" w:rsidP="003A522C">
            <w:pPr>
              <w:jc w:val="center"/>
              <w:rPr>
                <w:rFonts w:asciiTheme="minorHAnsi" w:hAnsiTheme="minorHAnsi" w:cstheme="minorHAnsi"/>
                <w:b/>
                <w:bCs/>
                <w:iCs/>
                <w:sz w:val="16"/>
                <w:szCs w:val="16"/>
              </w:rPr>
            </w:pPr>
            <w:r w:rsidRPr="00CE1EA7">
              <w:rPr>
                <w:rFonts w:asciiTheme="minorHAnsi" w:hAnsiTheme="minorHAnsi" w:cstheme="minorHAnsi"/>
                <w:b/>
                <w:bCs/>
                <w:iCs/>
                <w:sz w:val="16"/>
                <w:szCs w:val="16"/>
              </w:rPr>
              <w:t>Extrapolated over 4 years:</w:t>
            </w:r>
          </w:p>
          <w:p w14:paraId="68960003" w14:textId="59F09CFC" w:rsidR="003A522C" w:rsidRPr="00CE1EA7" w:rsidRDefault="003A522C" w:rsidP="003A522C">
            <w:pPr>
              <w:pBdr>
                <w:bottom w:val="single" w:sz="6" w:space="1" w:color="auto"/>
              </w:pBdr>
              <w:jc w:val="center"/>
              <w:rPr>
                <w:rFonts w:asciiTheme="minorHAnsi" w:hAnsiTheme="minorHAnsi" w:cstheme="minorBidi"/>
                <w:b/>
                <w:sz w:val="16"/>
                <w:szCs w:val="16"/>
              </w:rPr>
            </w:pPr>
            <w:r w:rsidRPr="302C34D4">
              <w:rPr>
                <w:rFonts w:asciiTheme="minorHAnsi" w:hAnsiTheme="minorHAnsi" w:cstheme="minorBidi"/>
                <w:b/>
                <w:sz w:val="16"/>
                <w:szCs w:val="16"/>
              </w:rPr>
              <w:t xml:space="preserve">(x 2.8) = </w:t>
            </w:r>
            <w:r>
              <w:rPr>
                <w:rFonts w:asciiTheme="minorHAnsi" w:hAnsiTheme="minorHAnsi" w:cstheme="minorBidi"/>
                <w:b/>
                <w:sz w:val="16"/>
                <w:szCs w:val="16"/>
              </w:rPr>
              <w:t>0.77</w:t>
            </w:r>
            <w:r w:rsidRPr="302C34D4">
              <w:rPr>
                <w:rFonts w:asciiTheme="minorHAnsi" w:hAnsiTheme="minorHAnsi" w:cstheme="minorBidi"/>
                <w:b/>
                <w:sz w:val="16"/>
                <w:szCs w:val="16"/>
              </w:rPr>
              <w:t xml:space="preserve"> million USD equivalent in current prices, for the duration of the project, and as a relevant Public Investment baseline from OGE managed by </w:t>
            </w:r>
            <w:r w:rsidRPr="302C34D4">
              <w:rPr>
                <w:rFonts w:asciiTheme="minorHAnsi" w:hAnsiTheme="minorHAnsi" w:cstheme="minorBidi"/>
                <w:b/>
                <w:bCs/>
                <w:sz w:val="16"/>
                <w:szCs w:val="16"/>
              </w:rPr>
              <w:t>MINAGRIP</w:t>
            </w:r>
          </w:p>
          <w:p w14:paraId="5D8B717E" w14:textId="77777777" w:rsidR="003A522C" w:rsidRPr="00CE1EA7" w:rsidRDefault="003A522C" w:rsidP="003A522C">
            <w:pPr>
              <w:jc w:val="center"/>
              <w:rPr>
                <w:rFonts w:asciiTheme="minorHAnsi" w:hAnsiTheme="minorHAnsi" w:cstheme="minorHAnsi"/>
                <w:b/>
                <w:bCs/>
                <w:iCs/>
                <w:sz w:val="16"/>
                <w:szCs w:val="16"/>
              </w:rPr>
            </w:pPr>
            <w:r w:rsidRPr="00CE1EA7">
              <w:rPr>
                <w:rFonts w:asciiTheme="minorHAnsi" w:hAnsiTheme="minorHAnsi" w:cstheme="minorHAnsi"/>
                <w:b/>
                <w:bCs/>
                <w:iCs/>
                <w:sz w:val="16"/>
                <w:szCs w:val="16"/>
              </w:rPr>
              <w:t>↓</w:t>
            </w:r>
          </w:p>
          <w:p w14:paraId="498DD906" w14:textId="77777777" w:rsidR="003A522C" w:rsidRPr="00CE1EA7" w:rsidRDefault="003A522C" w:rsidP="003A522C">
            <w:pPr>
              <w:jc w:val="center"/>
              <w:rPr>
                <w:rFonts w:asciiTheme="minorHAnsi" w:hAnsiTheme="minorHAnsi" w:cstheme="minorHAnsi"/>
                <w:b/>
                <w:bCs/>
                <w:i/>
                <w:iCs/>
                <w:sz w:val="16"/>
                <w:szCs w:val="16"/>
              </w:rPr>
            </w:pPr>
            <w:r w:rsidRPr="00CE1EA7">
              <w:rPr>
                <w:rFonts w:asciiTheme="minorHAnsi" w:hAnsiTheme="minorHAnsi" w:cstheme="minorHAnsi"/>
                <w:b/>
                <w:bCs/>
                <w:i/>
                <w:sz w:val="16"/>
                <w:szCs w:val="16"/>
              </w:rPr>
              <w:t>Of these,</w:t>
            </w:r>
          </w:p>
          <w:p w14:paraId="0B351AA9" w14:textId="77777777" w:rsidR="009049EA" w:rsidRPr="00871AA1" w:rsidRDefault="10DC6AFB" w:rsidP="009049EA">
            <w:pPr>
              <w:jc w:val="center"/>
              <w:rPr>
                <w:rFonts w:asciiTheme="minorHAnsi" w:hAnsiTheme="minorHAnsi" w:cstheme="minorBidi"/>
                <w:b/>
                <w:bCs/>
                <w:sz w:val="16"/>
                <w:szCs w:val="16"/>
              </w:rPr>
            </w:pPr>
            <w:r w:rsidRPr="25447658">
              <w:rPr>
                <w:rFonts w:asciiTheme="minorHAnsi" w:hAnsiTheme="minorHAnsi" w:cstheme="minorBidi"/>
                <w:b/>
                <w:bCs/>
                <w:i/>
                <w:iCs/>
                <w:sz w:val="16"/>
                <w:szCs w:val="16"/>
              </w:rPr>
              <w:t>$0.5 M are proposed as co-financing from MINAGRIP</w:t>
            </w:r>
            <w:r w:rsidR="009049EA">
              <w:rPr>
                <w:rFonts w:asciiTheme="minorHAnsi" w:hAnsiTheme="minorHAnsi" w:cstheme="minorBidi"/>
                <w:b/>
                <w:bCs/>
                <w:i/>
                <w:iCs/>
                <w:sz w:val="16"/>
                <w:szCs w:val="16"/>
              </w:rPr>
              <w:t xml:space="preserve"> out of which USD 100,</w:t>
            </w:r>
            <w:r w:rsidR="009049EA" w:rsidRPr="00871AA1">
              <w:rPr>
                <w:rFonts w:asciiTheme="minorHAnsi" w:hAnsiTheme="minorHAnsi" w:cstheme="minorBidi"/>
                <w:b/>
                <w:bCs/>
                <w:i/>
                <w:iCs/>
                <w:sz w:val="16"/>
                <w:szCs w:val="16"/>
              </w:rPr>
              <w:t>000 will be an in-kind PMC contribution covering:</w:t>
            </w:r>
          </w:p>
          <w:p w14:paraId="55F94E70" w14:textId="0F4C8B9B" w:rsidR="003A522C" w:rsidRPr="00871AA1" w:rsidRDefault="003A522C" w:rsidP="25447658">
            <w:pPr>
              <w:jc w:val="center"/>
              <w:rPr>
                <w:rFonts w:asciiTheme="minorHAnsi" w:hAnsiTheme="minorHAnsi" w:cstheme="minorBidi"/>
                <w:b/>
                <w:bCs/>
                <w:sz w:val="16"/>
                <w:szCs w:val="16"/>
              </w:rPr>
            </w:pPr>
          </w:p>
          <w:p w14:paraId="768DF880" w14:textId="44792FCA" w:rsidR="003A522C" w:rsidRPr="00871AA1" w:rsidRDefault="003A522C" w:rsidP="25447658">
            <w:pPr>
              <w:jc w:val="center"/>
              <w:rPr>
                <w:rFonts w:asciiTheme="minorHAnsi" w:hAnsiTheme="minorHAnsi" w:cstheme="minorBidi"/>
                <w:b/>
                <w:bCs/>
                <w:i/>
                <w:iCs/>
                <w:sz w:val="16"/>
                <w:szCs w:val="16"/>
              </w:rPr>
            </w:pPr>
          </w:p>
          <w:p w14:paraId="35BFC236" w14:textId="72307365" w:rsidR="003A522C" w:rsidRPr="00871AA1" w:rsidRDefault="7E7FD882" w:rsidP="00C13D09">
            <w:pPr>
              <w:jc w:val="both"/>
              <w:rPr>
                <w:rFonts w:asciiTheme="minorHAnsi" w:hAnsiTheme="minorHAnsi" w:cstheme="minorBidi"/>
                <w:b/>
                <w:bCs/>
                <w:i/>
                <w:iCs/>
                <w:sz w:val="16"/>
                <w:szCs w:val="16"/>
                <w:lang w:val="en-US"/>
              </w:rPr>
            </w:pPr>
            <w:r w:rsidRPr="00871AA1">
              <w:rPr>
                <w:rFonts w:asciiTheme="minorHAnsi" w:hAnsiTheme="minorHAnsi" w:cstheme="minorBidi"/>
                <w:b/>
                <w:bCs/>
                <w:i/>
                <w:iCs/>
                <w:sz w:val="16"/>
                <w:szCs w:val="16"/>
                <w:lang w:val="en-US"/>
              </w:rPr>
              <w:t xml:space="preserve">-Use of facilities at Luanda and two provinces, municipalities and communes for project offices, meetings and trainings during 5 years: $ 40.000 </w:t>
            </w:r>
          </w:p>
          <w:p w14:paraId="637D31FB" w14:textId="2DE24576" w:rsidR="003A522C" w:rsidRPr="00871AA1" w:rsidRDefault="7E7FD882" w:rsidP="00C13D09">
            <w:pPr>
              <w:pStyle w:val="CommentText"/>
              <w:jc w:val="both"/>
              <w:rPr>
                <w:rFonts w:asciiTheme="minorHAnsi" w:hAnsiTheme="minorHAnsi" w:cstheme="minorBidi"/>
                <w:b/>
                <w:bCs/>
                <w:i/>
                <w:iCs/>
                <w:sz w:val="16"/>
                <w:szCs w:val="16"/>
                <w:lang w:val="en-US" w:eastAsia="en-GB"/>
              </w:rPr>
            </w:pPr>
            <w:r w:rsidRPr="00871AA1">
              <w:rPr>
                <w:rFonts w:asciiTheme="minorHAnsi" w:hAnsiTheme="minorHAnsi" w:cstheme="minorBidi"/>
                <w:b/>
                <w:bCs/>
                <w:i/>
                <w:iCs/>
                <w:sz w:val="16"/>
                <w:szCs w:val="16"/>
                <w:lang w:val="en-US" w:eastAsia="en-GB"/>
              </w:rPr>
              <w:t xml:space="preserve">-Contribution to mobility with cars at field level and Capital during 5 years: $ </w:t>
            </w:r>
            <w:r w:rsidR="709EB5AA" w:rsidRPr="00871AA1">
              <w:rPr>
                <w:rFonts w:asciiTheme="minorHAnsi" w:hAnsiTheme="minorHAnsi" w:cstheme="minorBidi"/>
                <w:b/>
                <w:bCs/>
                <w:i/>
                <w:iCs/>
                <w:sz w:val="16"/>
                <w:szCs w:val="16"/>
                <w:lang w:val="en-US" w:eastAsia="en-GB"/>
              </w:rPr>
              <w:t>2</w:t>
            </w:r>
            <w:r w:rsidRPr="00871AA1">
              <w:rPr>
                <w:rFonts w:asciiTheme="minorHAnsi" w:hAnsiTheme="minorHAnsi" w:cstheme="minorBidi"/>
                <w:b/>
                <w:bCs/>
                <w:i/>
                <w:iCs/>
                <w:sz w:val="16"/>
                <w:szCs w:val="16"/>
                <w:lang w:val="en-US" w:eastAsia="en-GB"/>
              </w:rPr>
              <w:t>0.000</w:t>
            </w:r>
          </w:p>
          <w:p w14:paraId="55CF57F9" w14:textId="7C02EED0" w:rsidR="003A522C" w:rsidRPr="00871AA1" w:rsidRDefault="7E7FD882" w:rsidP="00871AA1">
            <w:pPr>
              <w:jc w:val="center"/>
              <w:rPr>
                <w:rFonts w:asciiTheme="minorHAnsi" w:hAnsiTheme="minorHAnsi" w:cstheme="minorBidi"/>
                <w:b/>
                <w:bCs/>
                <w:i/>
                <w:iCs/>
                <w:sz w:val="16"/>
                <w:szCs w:val="16"/>
              </w:rPr>
            </w:pPr>
            <w:r w:rsidRPr="00871AA1">
              <w:rPr>
                <w:rFonts w:asciiTheme="minorHAnsi" w:hAnsiTheme="minorHAnsi" w:cstheme="minorBidi"/>
                <w:b/>
                <w:bCs/>
                <w:i/>
                <w:iCs/>
                <w:sz w:val="16"/>
                <w:szCs w:val="16"/>
              </w:rPr>
              <w:lastRenderedPageBreak/>
              <w:t xml:space="preserve">-Time dedication of public institutions directors, authorities, technicians and support staff (drivers, admin, cleaning...) during 5 years: US$ </w:t>
            </w:r>
            <w:r w:rsidR="499EEBEA" w:rsidRPr="00871AA1">
              <w:rPr>
                <w:rFonts w:asciiTheme="minorHAnsi" w:hAnsiTheme="minorHAnsi" w:cstheme="minorBidi"/>
                <w:b/>
                <w:bCs/>
                <w:i/>
                <w:iCs/>
                <w:sz w:val="16"/>
                <w:szCs w:val="16"/>
              </w:rPr>
              <w:t>4</w:t>
            </w:r>
            <w:r w:rsidRPr="00871AA1">
              <w:rPr>
                <w:rFonts w:asciiTheme="minorHAnsi" w:hAnsiTheme="minorHAnsi" w:cstheme="minorBidi"/>
                <w:b/>
                <w:bCs/>
                <w:i/>
                <w:iCs/>
                <w:sz w:val="16"/>
                <w:szCs w:val="16"/>
              </w:rPr>
              <w:t>0.000</w:t>
            </w:r>
          </w:p>
          <w:p w14:paraId="61CB8462" w14:textId="41B58D66" w:rsidR="003A522C" w:rsidRPr="00CE1EA7" w:rsidRDefault="003A522C" w:rsidP="25447658">
            <w:pPr>
              <w:jc w:val="both"/>
              <w:rPr>
                <w:rFonts w:asciiTheme="minorHAnsi" w:hAnsiTheme="minorHAnsi" w:cstheme="minorBidi"/>
                <w:b/>
                <w:bCs/>
                <w:i/>
                <w:iCs/>
                <w:sz w:val="16"/>
                <w:szCs w:val="16"/>
              </w:rPr>
            </w:pPr>
          </w:p>
        </w:tc>
      </w:tr>
      <w:tr w:rsidR="00DA42EB" w:rsidRPr="00CE1EA7" w14:paraId="6E89F072" w14:textId="77777777" w:rsidTr="72739566">
        <w:tc>
          <w:tcPr>
            <w:tcW w:w="2836" w:type="dxa"/>
            <w:tcBorders>
              <w:top w:val="single" w:sz="8" w:space="0" w:color="auto"/>
              <w:left w:val="single" w:sz="8" w:space="0" w:color="auto"/>
              <w:bottom w:val="single" w:sz="8" w:space="0" w:color="auto"/>
              <w:right w:val="single" w:sz="8" w:space="0" w:color="auto"/>
            </w:tcBorders>
            <w:shd w:val="clear" w:color="auto" w:fill="F6F4D0"/>
          </w:tcPr>
          <w:p w14:paraId="60FCE86A" w14:textId="77777777" w:rsidR="003A522C" w:rsidRPr="00CE1EA7" w:rsidRDefault="003A522C" w:rsidP="003A522C">
            <w:pPr>
              <w:rPr>
                <w:rFonts w:asciiTheme="minorHAnsi" w:hAnsiTheme="minorHAnsi" w:cstheme="minorHAnsi"/>
                <w:b/>
                <w:bCs/>
                <w:iCs/>
                <w:sz w:val="16"/>
                <w:szCs w:val="16"/>
              </w:rPr>
            </w:pPr>
            <w:r w:rsidRPr="00CE1EA7">
              <w:rPr>
                <w:rFonts w:asciiTheme="minorHAnsi" w:hAnsiTheme="minorHAnsi" w:cstheme="minorHAnsi"/>
                <w:b/>
                <w:bCs/>
                <w:iCs/>
                <w:sz w:val="16"/>
                <w:szCs w:val="16"/>
              </w:rPr>
              <w:lastRenderedPageBreak/>
              <w:t>XX. DECENTRALIZATION POLICY AND STRENGTHENING OF LOCAL GOVERNMENT</w:t>
            </w:r>
          </w:p>
        </w:tc>
        <w:tc>
          <w:tcPr>
            <w:tcW w:w="5103" w:type="dxa"/>
            <w:tcBorders>
              <w:top w:val="single" w:sz="8" w:space="0" w:color="auto"/>
              <w:left w:val="single" w:sz="8" w:space="0" w:color="auto"/>
              <w:bottom w:val="single" w:sz="8" w:space="0" w:color="auto"/>
              <w:right w:val="single" w:sz="8" w:space="0" w:color="auto"/>
            </w:tcBorders>
            <w:shd w:val="clear" w:color="auto" w:fill="F6F4D0"/>
            <w:noWrap/>
          </w:tcPr>
          <w:p w14:paraId="616D2457" w14:textId="77777777" w:rsidR="003A522C" w:rsidRPr="00CE1EA7" w:rsidRDefault="003A522C" w:rsidP="003A522C">
            <w:pPr>
              <w:rPr>
                <w:rFonts w:asciiTheme="minorHAnsi" w:hAnsiTheme="minorHAnsi" w:cstheme="minorHAnsi"/>
                <w:b/>
                <w:bCs/>
                <w:sz w:val="16"/>
                <w:szCs w:val="16"/>
              </w:rPr>
            </w:pPr>
            <w:r w:rsidRPr="00CE1EA7">
              <w:rPr>
                <w:rFonts w:asciiTheme="minorHAnsi" w:hAnsiTheme="minorHAnsi" w:cstheme="minorHAnsi"/>
                <w:b/>
                <w:bCs/>
                <w:iCs/>
                <w:sz w:val="16"/>
                <w:szCs w:val="16"/>
              </w:rPr>
              <w:t>Municipalities, more specifically of Cuchi, Cahama and surroundings, PND Program # 4.3.2: Decentralization and implementation of local governments</w:t>
            </w:r>
          </w:p>
        </w:tc>
        <w:tc>
          <w:tcPr>
            <w:tcW w:w="1701" w:type="dxa"/>
            <w:tcBorders>
              <w:top w:val="single" w:sz="8" w:space="0" w:color="auto"/>
              <w:left w:val="single" w:sz="8" w:space="0" w:color="auto"/>
              <w:bottom w:val="single" w:sz="8" w:space="0" w:color="auto"/>
              <w:right w:val="single" w:sz="8" w:space="0" w:color="auto"/>
            </w:tcBorders>
            <w:shd w:val="clear" w:color="auto" w:fill="F6F4D0"/>
          </w:tcPr>
          <w:p w14:paraId="331804C8" w14:textId="77777777" w:rsidR="003A522C" w:rsidRPr="00CE1EA7" w:rsidRDefault="003A522C" w:rsidP="003A522C">
            <w:pPr>
              <w:rPr>
                <w:rFonts w:asciiTheme="minorHAnsi" w:hAnsiTheme="minorHAnsi" w:cstheme="minorHAnsi"/>
                <w:b/>
                <w:bCs/>
                <w:iCs/>
                <w:sz w:val="16"/>
                <w:szCs w:val="16"/>
              </w:rPr>
            </w:pPr>
            <w:r w:rsidRPr="00CE1EA7">
              <w:rPr>
                <w:rFonts w:asciiTheme="minorHAnsi" w:hAnsiTheme="minorHAnsi" w:cstheme="minorHAnsi"/>
                <w:b/>
                <w:bCs/>
                <w:iCs/>
                <w:sz w:val="16"/>
                <w:szCs w:val="16"/>
              </w:rPr>
              <w:t xml:space="preserve">Programmatic relevance: </w:t>
            </w:r>
            <w:r w:rsidRPr="00CE1EA7">
              <w:rPr>
                <w:rFonts w:asciiTheme="minorHAnsi" w:hAnsiTheme="minorHAnsi" w:cstheme="minorHAnsi"/>
                <w:b/>
                <w:bCs/>
                <w:i/>
                <w:sz w:val="16"/>
                <w:szCs w:val="16"/>
              </w:rPr>
              <w:t>50%</w:t>
            </w:r>
          </w:p>
        </w:tc>
        <w:tc>
          <w:tcPr>
            <w:tcW w:w="4394" w:type="dxa"/>
            <w:tcBorders>
              <w:top w:val="single" w:sz="8" w:space="0" w:color="auto"/>
              <w:left w:val="single" w:sz="8" w:space="0" w:color="auto"/>
              <w:bottom w:val="single" w:sz="8" w:space="0" w:color="auto"/>
              <w:right w:val="single" w:sz="8" w:space="0" w:color="auto"/>
            </w:tcBorders>
            <w:shd w:val="clear" w:color="auto" w:fill="F6F4D0"/>
            <w:noWrap/>
          </w:tcPr>
          <w:p w14:paraId="3B7C4B11" w14:textId="77777777" w:rsidR="003A522C" w:rsidRPr="00CE1EA7" w:rsidRDefault="003A522C" w:rsidP="003A522C">
            <w:pPr>
              <w:tabs>
                <w:tab w:val="right" w:pos="2086"/>
              </w:tabs>
              <w:rPr>
                <w:rFonts w:asciiTheme="minorHAnsi" w:hAnsiTheme="minorHAnsi" w:cstheme="minorHAnsi"/>
                <w:b/>
                <w:bCs/>
                <w:iCs/>
                <w:sz w:val="16"/>
                <w:szCs w:val="16"/>
              </w:rPr>
            </w:pPr>
            <w:r w:rsidRPr="00CE1EA7">
              <w:rPr>
                <w:rFonts w:asciiTheme="minorHAnsi" w:hAnsiTheme="minorHAnsi" w:cstheme="minorHAnsi"/>
                <w:b/>
                <w:bCs/>
                <w:iCs/>
                <w:sz w:val="16"/>
                <w:szCs w:val="16"/>
                <w:u w:val="single"/>
              </w:rPr>
              <w:t>From Municipalities (Cuchi, Cahama)</w:t>
            </w:r>
            <w:r w:rsidRPr="00CE1EA7">
              <w:rPr>
                <w:rFonts w:asciiTheme="minorHAnsi" w:hAnsiTheme="minorHAnsi" w:cstheme="minorHAnsi"/>
                <w:b/>
                <w:bCs/>
                <w:iCs/>
                <w:sz w:val="16"/>
                <w:szCs w:val="16"/>
              </w:rPr>
              <w:t>:</w:t>
            </w:r>
          </w:p>
          <w:p w14:paraId="2A589FEC" w14:textId="77777777" w:rsidR="003A522C" w:rsidRPr="00CE1EA7" w:rsidRDefault="003A522C" w:rsidP="003A522C">
            <w:pPr>
              <w:keepNext/>
              <w:tabs>
                <w:tab w:val="right" w:pos="2086"/>
              </w:tabs>
              <w:rPr>
                <w:rFonts w:asciiTheme="minorHAnsi" w:hAnsiTheme="minorHAnsi" w:cstheme="minorHAnsi"/>
                <w:b/>
                <w:bCs/>
                <w:iCs/>
                <w:sz w:val="16"/>
                <w:szCs w:val="16"/>
              </w:rPr>
            </w:pPr>
            <w:r w:rsidRPr="00CE1EA7">
              <w:rPr>
                <w:rFonts w:asciiTheme="minorHAnsi" w:hAnsiTheme="minorHAnsi" w:cstheme="minorHAnsi"/>
                <w:b/>
                <w:bCs/>
                <w:iCs/>
                <w:sz w:val="16"/>
                <w:szCs w:val="16"/>
              </w:rPr>
              <w:t>- BASELINE:</w:t>
            </w:r>
            <w:r w:rsidRPr="00CE1EA7">
              <w:rPr>
                <w:rFonts w:asciiTheme="minorHAnsi" w:hAnsiTheme="minorHAnsi" w:cstheme="minorHAnsi"/>
                <w:b/>
                <w:bCs/>
                <w:iCs/>
                <w:sz w:val="16"/>
                <w:szCs w:val="16"/>
              </w:rPr>
              <w:tab/>
              <w:t xml:space="preserve">$7.9 M </w:t>
            </w:r>
          </w:p>
          <w:p w14:paraId="24FBE4EC" w14:textId="77777777" w:rsidR="003A522C" w:rsidRPr="00CE1EA7" w:rsidRDefault="003A522C" w:rsidP="003A522C">
            <w:pPr>
              <w:tabs>
                <w:tab w:val="right" w:pos="2086"/>
              </w:tabs>
              <w:rPr>
                <w:rFonts w:asciiTheme="minorHAnsi" w:hAnsiTheme="minorHAnsi" w:cstheme="minorHAnsi"/>
                <w:b/>
                <w:bCs/>
                <w:iCs/>
                <w:sz w:val="16"/>
                <w:szCs w:val="16"/>
              </w:rPr>
            </w:pPr>
            <w:r w:rsidRPr="00CE1EA7">
              <w:rPr>
                <w:rFonts w:asciiTheme="minorHAnsi" w:hAnsiTheme="minorHAnsi" w:cstheme="minorHAnsi"/>
                <w:b/>
                <w:bCs/>
                <w:iCs/>
                <w:sz w:val="16"/>
                <w:szCs w:val="16"/>
              </w:rPr>
              <w:t xml:space="preserve">- CO-FINANCING: </w:t>
            </w:r>
            <w:r w:rsidRPr="00CE1EA7">
              <w:rPr>
                <w:rFonts w:asciiTheme="minorHAnsi" w:hAnsiTheme="minorHAnsi" w:cstheme="minorHAnsi"/>
                <w:b/>
                <w:bCs/>
                <w:iCs/>
                <w:sz w:val="16"/>
                <w:szCs w:val="16"/>
              </w:rPr>
              <w:tab/>
              <w:t>$0.0M</w:t>
            </w:r>
          </w:p>
        </w:tc>
      </w:tr>
      <w:tr w:rsidR="00871AA1" w:rsidRPr="00CE1EA7" w14:paraId="5D1F25BB" w14:textId="77777777" w:rsidTr="72739566">
        <w:tc>
          <w:tcPr>
            <w:tcW w:w="2836" w:type="dxa"/>
            <w:tcBorders>
              <w:top w:val="single" w:sz="8" w:space="0" w:color="auto"/>
              <w:left w:val="single" w:sz="8" w:space="0" w:color="auto"/>
              <w:bottom w:val="single" w:sz="8" w:space="0" w:color="auto"/>
              <w:right w:val="single" w:sz="8" w:space="0" w:color="auto"/>
            </w:tcBorders>
          </w:tcPr>
          <w:p w14:paraId="3CDA46E4" w14:textId="77777777" w:rsidR="003A522C" w:rsidRPr="00CE1EA7" w:rsidRDefault="003A522C" w:rsidP="003A522C">
            <w:pPr>
              <w:rPr>
                <w:rFonts w:asciiTheme="minorHAnsi" w:hAnsiTheme="minorHAnsi" w:cstheme="minorHAnsi"/>
                <w:iCs/>
                <w:sz w:val="16"/>
                <w:szCs w:val="16"/>
              </w:rPr>
            </w:pPr>
            <w:r w:rsidRPr="00CE1EA7">
              <w:rPr>
                <w:rFonts w:asciiTheme="minorHAnsi" w:hAnsiTheme="minorHAnsi" w:cstheme="minorHAnsi"/>
                <w:iCs/>
                <w:sz w:val="16"/>
                <w:szCs w:val="16"/>
              </w:rPr>
              <w:t xml:space="preserve">1: Strengthen the process of deconcentration of the public administration </w:t>
            </w:r>
          </w:p>
          <w:p w14:paraId="1CDE6DE0" w14:textId="77777777" w:rsidR="003A522C" w:rsidRPr="00CE1EA7" w:rsidRDefault="003A522C" w:rsidP="003A522C">
            <w:pPr>
              <w:rPr>
                <w:rFonts w:asciiTheme="minorHAnsi" w:hAnsiTheme="minorHAnsi" w:cstheme="minorHAnsi"/>
                <w:iCs/>
                <w:sz w:val="16"/>
                <w:szCs w:val="16"/>
              </w:rPr>
            </w:pPr>
          </w:p>
          <w:p w14:paraId="1C29E413" w14:textId="77777777" w:rsidR="003A522C" w:rsidRPr="00CE1EA7" w:rsidRDefault="003A522C" w:rsidP="003A522C">
            <w:pPr>
              <w:rPr>
                <w:rFonts w:asciiTheme="minorHAnsi" w:hAnsiTheme="minorHAnsi" w:cstheme="minorHAnsi"/>
                <w:iCs/>
                <w:sz w:val="16"/>
                <w:szCs w:val="16"/>
              </w:rPr>
            </w:pPr>
            <w:r w:rsidRPr="00CE1EA7">
              <w:rPr>
                <w:rFonts w:asciiTheme="minorHAnsi" w:hAnsiTheme="minorHAnsi" w:cstheme="minorHAnsi"/>
                <w:b/>
                <w:bCs/>
                <w:iCs/>
                <w:sz w:val="16"/>
                <w:szCs w:val="16"/>
              </w:rPr>
              <w:t xml:space="preserve">Targets: - </w:t>
            </w:r>
            <w:r w:rsidRPr="00CE1EA7">
              <w:rPr>
                <w:rFonts w:asciiTheme="minorHAnsi" w:hAnsiTheme="minorHAnsi" w:cstheme="minorHAnsi"/>
                <w:iCs/>
                <w:sz w:val="16"/>
                <w:szCs w:val="16"/>
              </w:rPr>
              <w:t xml:space="preserve">Not Applicable </w:t>
            </w:r>
          </w:p>
          <w:p w14:paraId="0E1F5B23" w14:textId="77777777" w:rsidR="003A522C" w:rsidRPr="00CE1EA7" w:rsidRDefault="003A522C" w:rsidP="003A522C">
            <w:pPr>
              <w:rPr>
                <w:rFonts w:asciiTheme="minorHAnsi" w:hAnsiTheme="minorHAnsi" w:cstheme="minorHAnsi"/>
                <w:iCs/>
                <w:sz w:val="16"/>
                <w:szCs w:val="16"/>
              </w:rPr>
            </w:pPr>
          </w:p>
          <w:p w14:paraId="63F803F6" w14:textId="77777777" w:rsidR="003A522C" w:rsidRPr="00CE1EA7" w:rsidRDefault="003A522C" w:rsidP="003A522C">
            <w:pPr>
              <w:rPr>
                <w:rFonts w:asciiTheme="minorHAnsi" w:hAnsiTheme="minorHAnsi" w:cstheme="minorHAnsi"/>
                <w:iCs/>
                <w:sz w:val="16"/>
                <w:szCs w:val="16"/>
              </w:rPr>
            </w:pPr>
            <w:r w:rsidRPr="00CE1EA7">
              <w:rPr>
                <w:rFonts w:asciiTheme="minorHAnsi" w:hAnsiTheme="minorHAnsi" w:cstheme="minorHAnsi"/>
                <w:iCs/>
                <w:sz w:val="16"/>
                <w:szCs w:val="16"/>
              </w:rPr>
              <w:t>(this baseline focuses on selected local investment projects)</w:t>
            </w:r>
          </w:p>
        </w:tc>
        <w:tc>
          <w:tcPr>
            <w:tcW w:w="5103" w:type="dxa"/>
            <w:tcBorders>
              <w:top w:val="single" w:sz="8" w:space="0" w:color="auto"/>
              <w:left w:val="single" w:sz="8" w:space="0" w:color="auto"/>
              <w:bottom w:val="single" w:sz="8" w:space="0" w:color="auto"/>
              <w:right w:val="single" w:sz="8" w:space="0" w:color="auto"/>
            </w:tcBorders>
            <w:noWrap/>
          </w:tcPr>
          <w:p w14:paraId="234B8FB1" w14:textId="77777777" w:rsidR="003A522C" w:rsidRPr="00166A58" w:rsidRDefault="003A522C" w:rsidP="003A522C">
            <w:pPr>
              <w:rPr>
                <w:rFonts w:ascii="Calibri" w:hAnsi="Calibri" w:cs="Calibri"/>
                <w:color w:val="000000"/>
                <w:sz w:val="16"/>
                <w:szCs w:val="16"/>
              </w:rPr>
            </w:pPr>
            <w:r w:rsidRPr="00166A58">
              <w:rPr>
                <w:rFonts w:ascii="Calibri" w:hAnsi="Calibri" w:cs="Calibri"/>
                <w:color w:val="000000"/>
                <w:sz w:val="16"/>
                <w:szCs w:val="16"/>
              </w:rPr>
              <w:t>hrough the PND, the government allocates funds to the municipalities through Program # 4.3.2, titled ‘Decentralization and implementation of local governments / PND’. The activities consist of public funded local development projects, decentralized strategic investments and studies. For the baseline finance assessment under the DSL IP, investments within the landscapes with respect to Chuchi, Cahama municipalities and other relevant localities in the surrounding zones. They include the following selected public investment projects / local development initiatives:</w:t>
            </w:r>
          </w:p>
          <w:p w14:paraId="24D440B6" w14:textId="77777777" w:rsidR="003A522C" w:rsidRPr="00166A58" w:rsidRDefault="003A522C" w:rsidP="001667C6">
            <w:pPr>
              <w:pStyle w:val="ListParagraph"/>
              <w:numPr>
                <w:ilvl w:val="0"/>
                <w:numId w:val="64"/>
              </w:numPr>
              <w:spacing w:after="0"/>
              <w:ind w:left="313" w:hanging="313"/>
              <w:contextualSpacing w:val="0"/>
              <w:jc w:val="left"/>
              <w:rPr>
                <w:rFonts w:cstheme="minorHAnsi"/>
                <w:sz w:val="16"/>
                <w:szCs w:val="16"/>
              </w:rPr>
            </w:pPr>
            <w:r w:rsidRPr="00166A58">
              <w:rPr>
                <w:rFonts w:cstheme="minorHAnsi"/>
                <w:sz w:val="16"/>
                <w:szCs w:val="16"/>
              </w:rPr>
              <w:t>Cuchi and Menongue: Rehabilitation of the road Matala-Dongo-Cuvango-Cuchi/Menongue</w:t>
            </w:r>
          </w:p>
          <w:p w14:paraId="7DC33D90" w14:textId="77777777" w:rsidR="003A522C" w:rsidRPr="00166A58" w:rsidRDefault="003A522C" w:rsidP="001667C6">
            <w:pPr>
              <w:pStyle w:val="ListParagraph"/>
              <w:numPr>
                <w:ilvl w:val="0"/>
                <w:numId w:val="64"/>
              </w:numPr>
              <w:spacing w:after="0"/>
              <w:ind w:left="313" w:hanging="313"/>
              <w:contextualSpacing w:val="0"/>
              <w:jc w:val="left"/>
              <w:rPr>
                <w:rFonts w:cstheme="minorHAnsi"/>
                <w:sz w:val="16"/>
                <w:szCs w:val="16"/>
              </w:rPr>
            </w:pPr>
            <w:r w:rsidRPr="00166A58">
              <w:rPr>
                <w:rFonts w:cstheme="minorHAnsi"/>
                <w:sz w:val="16"/>
                <w:szCs w:val="16"/>
              </w:rPr>
              <w:t>Cahama and Otchinjau: Feasibility studies for the rehabilitation of the road En-368, Cahama/ Otchinjau/Cunene.</w:t>
            </w:r>
          </w:p>
          <w:p w14:paraId="461DA709" w14:textId="77777777" w:rsidR="003A522C" w:rsidRPr="00166A58" w:rsidRDefault="003A522C" w:rsidP="001667C6">
            <w:pPr>
              <w:pStyle w:val="ListParagraph"/>
              <w:numPr>
                <w:ilvl w:val="0"/>
                <w:numId w:val="64"/>
              </w:numPr>
              <w:spacing w:after="0"/>
              <w:ind w:left="313" w:hanging="313"/>
              <w:contextualSpacing w:val="0"/>
              <w:jc w:val="left"/>
              <w:rPr>
                <w:rFonts w:cstheme="minorHAnsi"/>
                <w:sz w:val="16"/>
                <w:szCs w:val="16"/>
              </w:rPr>
            </w:pPr>
            <w:r w:rsidRPr="00166A58">
              <w:rPr>
                <w:rFonts w:cstheme="minorHAnsi"/>
                <w:sz w:val="16"/>
                <w:szCs w:val="16"/>
              </w:rPr>
              <w:t>Both Cahama and Cuchi, municipalities respectively: Rehabilitation and expansion of water supply services, plus various rural water works for e.g. opening boreholes, building local storm water retention basins and irrigation schemes</w:t>
            </w:r>
          </w:p>
          <w:p w14:paraId="7A9DE97F" w14:textId="77777777" w:rsidR="003A522C" w:rsidRPr="00166A58" w:rsidRDefault="003A522C" w:rsidP="003A522C">
            <w:pPr>
              <w:spacing w:before="80"/>
              <w:rPr>
                <w:rFonts w:ascii="Calibri" w:hAnsi="Calibri" w:cs="Calibri"/>
                <w:b/>
                <w:bCs/>
                <w:color w:val="000000"/>
                <w:sz w:val="16"/>
                <w:szCs w:val="16"/>
                <w:u w:val="single"/>
              </w:rPr>
            </w:pPr>
            <w:r w:rsidRPr="00166A58">
              <w:rPr>
                <w:rFonts w:ascii="Calibri" w:hAnsi="Calibri" w:cs="Calibri"/>
                <w:b/>
                <w:bCs/>
                <w:color w:val="000000"/>
                <w:sz w:val="16"/>
                <w:szCs w:val="16"/>
                <w:u w:val="single"/>
              </w:rPr>
              <w:t>SYNERGIES AND COLLABORATION:</w:t>
            </w:r>
          </w:p>
          <w:p w14:paraId="52271F5B" w14:textId="164CC6A0" w:rsidR="003A522C" w:rsidRPr="003A522C" w:rsidRDefault="003A522C" w:rsidP="003A522C">
            <w:pPr>
              <w:rPr>
                <w:rFonts w:asciiTheme="minorHAnsi" w:hAnsiTheme="minorHAnsi" w:cstheme="minorHAnsi"/>
                <w:sz w:val="16"/>
                <w:szCs w:val="16"/>
                <w:u w:val="single"/>
              </w:rPr>
            </w:pPr>
            <w:r w:rsidRPr="00166A58">
              <w:rPr>
                <w:rFonts w:ascii="Calibri" w:hAnsi="Calibri" w:cs="Calibri"/>
                <w:color w:val="000000"/>
                <w:sz w:val="16"/>
                <w:szCs w:val="16"/>
              </w:rPr>
              <w:t>The baseline investments under PND Program #4.3.2 (Decentralization and implementation of local governments) are highly relevant to the subject matter of the DSL IP Child Project. They relate mostly to infrastructure, such as roads and water works, without which value chains development would not possible.</w:t>
            </w:r>
          </w:p>
        </w:tc>
        <w:tc>
          <w:tcPr>
            <w:tcW w:w="1701" w:type="dxa"/>
            <w:tcBorders>
              <w:top w:val="single" w:sz="8" w:space="0" w:color="auto"/>
              <w:left w:val="single" w:sz="8" w:space="0" w:color="auto"/>
              <w:bottom w:val="single" w:sz="8" w:space="0" w:color="auto"/>
              <w:right w:val="single" w:sz="8" w:space="0" w:color="auto"/>
            </w:tcBorders>
          </w:tcPr>
          <w:p w14:paraId="41EAB6E8" w14:textId="77777777" w:rsidR="003A522C" w:rsidRPr="00CE1EA7" w:rsidRDefault="003A522C" w:rsidP="003A522C">
            <w:pPr>
              <w:rPr>
                <w:rFonts w:asciiTheme="minorHAnsi" w:hAnsiTheme="minorHAnsi" w:cstheme="minorHAnsi"/>
                <w:b/>
                <w:bCs/>
                <w:sz w:val="16"/>
                <w:szCs w:val="16"/>
              </w:rPr>
            </w:pPr>
            <w:r w:rsidRPr="00CE1EA7">
              <w:rPr>
                <w:rFonts w:asciiTheme="minorHAnsi" w:hAnsiTheme="minorHAnsi" w:cstheme="minorHAnsi"/>
                <w:b/>
                <w:bCs/>
                <w:iCs/>
                <w:sz w:val="16"/>
                <w:szCs w:val="16"/>
              </w:rPr>
              <w:t>Baseline fit with Components:</w:t>
            </w:r>
          </w:p>
          <w:p w14:paraId="6477BBBE" w14:textId="77777777" w:rsidR="003A522C" w:rsidRPr="00CE1EA7" w:rsidRDefault="003A522C" w:rsidP="003A522C">
            <w:pPr>
              <w:rPr>
                <w:rFonts w:asciiTheme="minorHAnsi" w:hAnsiTheme="minorHAnsi" w:cstheme="minorHAnsi"/>
                <w:b/>
                <w:bCs/>
                <w:iCs/>
                <w:sz w:val="16"/>
                <w:szCs w:val="16"/>
              </w:rPr>
            </w:pPr>
          </w:p>
          <w:p w14:paraId="606A6394" w14:textId="77777777" w:rsidR="003A522C" w:rsidRPr="00CE1EA7" w:rsidRDefault="003A522C" w:rsidP="003A522C">
            <w:pPr>
              <w:rPr>
                <w:rFonts w:asciiTheme="minorHAnsi" w:hAnsiTheme="minorHAnsi" w:cstheme="minorHAnsi"/>
                <w:b/>
                <w:bCs/>
                <w:iCs/>
                <w:sz w:val="16"/>
                <w:szCs w:val="16"/>
              </w:rPr>
            </w:pPr>
            <w:r w:rsidRPr="00CE1EA7">
              <w:rPr>
                <w:rFonts w:asciiTheme="minorHAnsi" w:hAnsiTheme="minorHAnsi" w:cstheme="minorHAnsi"/>
                <w:b/>
                <w:bCs/>
                <w:iCs/>
                <w:sz w:val="16"/>
                <w:szCs w:val="16"/>
              </w:rPr>
              <w:t>C2 = $7.9M</w:t>
            </w:r>
          </w:p>
        </w:tc>
        <w:tc>
          <w:tcPr>
            <w:tcW w:w="4394" w:type="dxa"/>
            <w:tcBorders>
              <w:top w:val="single" w:sz="8" w:space="0" w:color="auto"/>
              <w:left w:val="single" w:sz="8" w:space="0" w:color="auto"/>
              <w:bottom w:val="single" w:sz="8" w:space="0" w:color="auto"/>
              <w:right w:val="single" w:sz="8" w:space="0" w:color="auto"/>
            </w:tcBorders>
            <w:shd w:val="clear" w:color="auto" w:fill="99FFCC"/>
          </w:tcPr>
          <w:p w14:paraId="6C7B12C2" w14:textId="77777777" w:rsidR="003A522C" w:rsidRPr="00CE1EA7" w:rsidRDefault="003A522C" w:rsidP="003A522C">
            <w:pPr>
              <w:rPr>
                <w:rFonts w:asciiTheme="minorHAnsi" w:hAnsiTheme="minorHAnsi" w:cstheme="minorHAnsi"/>
                <w:b/>
                <w:bCs/>
                <w:iCs/>
                <w:sz w:val="16"/>
                <w:szCs w:val="16"/>
                <w:u w:val="single"/>
              </w:rPr>
            </w:pPr>
            <w:r w:rsidRPr="00CE1EA7">
              <w:rPr>
                <w:rFonts w:asciiTheme="minorHAnsi" w:hAnsiTheme="minorHAnsi" w:cstheme="minorHAnsi"/>
                <w:b/>
                <w:bCs/>
                <w:iCs/>
                <w:sz w:val="16"/>
                <w:szCs w:val="16"/>
                <w:u w:val="single"/>
              </w:rPr>
              <w:t>BASELINE CALCULUS:</w:t>
            </w:r>
          </w:p>
          <w:p w14:paraId="488B8F31" w14:textId="77777777" w:rsidR="003A522C" w:rsidRPr="00CE1EA7" w:rsidRDefault="003A522C" w:rsidP="003A522C">
            <w:pPr>
              <w:jc w:val="center"/>
              <w:rPr>
                <w:rFonts w:asciiTheme="minorHAnsi" w:hAnsiTheme="minorHAnsi" w:cstheme="minorHAnsi"/>
                <w:b/>
                <w:bCs/>
                <w:iCs/>
                <w:sz w:val="16"/>
                <w:szCs w:val="16"/>
              </w:rPr>
            </w:pPr>
          </w:p>
          <w:p w14:paraId="2D01283D" w14:textId="007A4483" w:rsidR="003A522C" w:rsidRPr="00CE1EA7" w:rsidRDefault="003A522C" w:rsidP="003A522C">
            <w:pPr>
              <w:jc w:val="center"/>
              <w:rPr>
                <w:rFonts w:asciiTheme="minorHAnsi" w:hAnsiTheme="minorHAnsi" w:cstheme="minorBidi"/>
                <w:b/>
                <w:sz w:val="16"/>
                <w:szCs w:val="16"/>
              </w:rPr>
            </w:pPr>
            <w:r w:rsidRPr="23356FAB">
              <w:rPr>
                <w:rFonts w:asciiTheme="minorHAnsi" w:hAnsiTheme="minorHAnsi" w:cstheme="minorBidi"/>
                <w:b/>
                <w:sz w:val="16"/>
                <w:szCs w:val="16"/>
              </w:rPr>
              <w:t xml:space="preserve">OGE 2019 = 1,688 million </w:t>
            </w:r>
            <w:r w:rsidRPr="23356FAB">
              <w:rPr>
                <w:rFonts w:asciiTheme="minorHAnsi" w:hAnsiTheme="minorHAnsi" w:cstheme="minorBidi"/>
                <w:b/>
                <w:bCs/>
                <w:sz w:val="16"/>
                <w:szCs w:val="16"/>
              </w:rPr>
              <w:t>AOA</w:t>
            </w:r>
          </w:p>
          <w:p w14:paraId="2071730B" w14:textId="77777777" w:rsidR="003A522C" w:rsidRPr="00CE1EA7" w:rsidRDefault="003A522C" w:rsidP="003A522C">
            <w:pPr>
              <w:jc w:val="center"/>
              <w:rPr>
                <w:rFonts w:asciiTheme="minorHAnsi" w:hAnsiTheme="minorHAnsi" w:cstheme="minorHAnsi"/>
                <w:b/>
                <w:bCs/>
                <w:iCs/>
                <w:sz w:val="16"/>
                <w:szCs w:val="16"/>
              </w:rPr>
            </w:pPr>
            <w:r w:rsidRPr="00CE1EA7">
              <w:rPr>
                <w:rFonts w:asciiTheme="minorHAnsi" w:hAnsiTheme="minorHAnsi" w:cstheme="minorHAnsi"/>
                <w:b/>
                <w:bCs/>
                <w:iCs/>
                <w:sz w:val="16"/>
                <w:szCs w:val="16"/>
              </w:rPr>
              <w:t>↓</w:t>
            </w:r>
          </w:p>
          <w:p w14:paraId="3B574064" w14:textId="77777777" w:rsidR="003A522C" w:rsidRPr="00CE1EA7" w:rsidRDefault="003A522C" w:rsidP="003A522C">
            <w:pPr>
              <w:jc w:val="center"/>
              <w:rPr>
                <w:rFonts w:asciiTheme="minorHAnsi" w:hAnsiTheme="minorHAnsi" w:cstheme="minorHAnsi"/>
                <w:b/>
                <w:bCs/>
                <w:iCs/>
                <w:sz w:val="16"/>
                <w:szCs w:val="16"/>
              </w:rPr>
            </w:pPr>
            <w:r w:rsidRPr="00CE1EA7">
              <w:rPr>
                <w:rFonts w:asciiTheme="minorHAnsi" w:hAnsiTheme="minorHAnsi" w:cstheme="minorHAnsi"/>
                <w:b/>
                <w:bCs/>
                <w:iCs/>
                <w:sz w:val="16"/>
                <w:szCs w:val="16"/>
              </w:rPr>
              <w:t>Equivalent to $5.63 million for the base year (2019) x 50% relevance</w:t>
            </w:r>
          </w:p>
          <w:p w14:paraId="1D4E1C8A" w14:textId="77777777" w:rsidR="003A522C" w:rsidRPr="00CE1EA7" w:rsidRDefault="003A522C" w:rsidP="003A522C">
            <w:pPr>
              <w:jc w:val="center"/>
              <w:rPr>
                <w:rFonts w:asciiTheme="minorHAnsi" w:hAnsiTheme="minorHAnsi" w:cstheme="minorHAnsi"/>
                <w:b/>
                <w:bCs/>
                <w:iCs/>
                <w:sz w:val="16"/>
                <w:szCs w:val="16"/>
              </w:rPr>
            </w:pPr>
            <w:r w:rsidRPr="00CE1EA7">
              <w:rPr>
                <w:rFonts w:asciiTheme="minorHAnsi" w:hAnsiTheme="minorHAnsi" w:cstheme="minorHAnsi"/>
                <w:b/>
                <w:bCs/>
                <w:iCs/>
                <w:sz w:val="16"/>
                <w:szCs w:val="16"/>
              </w:rPr>
              <w:t>↓</w:t>
            </w:r>
          </w:p>
          <w:p w14:paraId="58A9964D" w14:textId="77777777" w:rsidR="003A522C" w:rsidRPr="00CE1EA7" w:rsidRDefault="003A522C" w:rsidP="003A522C">
            <w:pPr>
              <w:jc w:val="center"/>
              <w:rPr>
                <w:rFonts w:asciiTheme="minorHAnsi" w:hAnsiTheme="minorHAnsi" w:cstheme="minorHAnsi"/>
                <w:b/>
                <w:bCs/>
                <w:iCs/>
                <w:sz w:val="16"/>
                <w:szCs w:val="16"/>
              </w:rPr>
            </w:pPr>
            <w:r w:rsidRPr="00CE1EA7">
              <w:rPr>
                <w:rFonts w:asciiTheme="minorHAnsi" w:hAnsiTheme="minorHAnsi" w:cstheme="minorHAnsi"/>
                <w:b/>
                <w:bCs/>
                <w:iCs/>
                <w:sz w:val="16"/>
                <w:szCs w:val="16"/>
              </w:rPr>
              <w:t>Extrapolated over 4 years:</w:t>
            </w:r>
          </w:p>
          <w:p w14:paraId="7CF7DC57" w14:textId="77777777" w:rsidR="003A522C" w:rsidRPr="00CE1EA7" w:rsidRDefault="003A522C" w:rsidP="003A522C">
            <w:pPr>
              <w:pBdr>
                <w:bottom w:val="single" w:sz="6" w:space="1" w:color="auto"/>
              </w:pBdr>
              <w:jc w:val="center"/>
              <w:rPr>
                <w:rFonts w:asciiTheme="minorHAnsi" w:hAnsiTheme="minorHAnsi" w:cstheme="minorHAnsi"/>
                <w:b/>
                <w:bCs/>
                <w:iCs/>
                <w:sz w:val="16"/>
                <w:szCs w:val="16"/>
              </w:rPr>
            </w:pPr>
            <w:r w:rsidRPr="00CE1EA7">
              <w:rPr>
                <w:rFonts w:asciiTheme="minorHAnsi" w:hAnsiTheme="minorHAnsi" w:cstheme="minorHAnsi"/>
                <w:b/>
                <w:bCs/>
                <w:iCs/>
                <w:sz w:val="16"/>
                <w:szCs w:val="16"/>
              </w:rPr>
              <w:t>(x 2.8) = 7.9 million USD equivalent in current prices, for the duration of the project, and as a relevant Public Investment baseline from OGE managed by Municipalities and/or other relevant State entities</w:t>
            </w:r>
          </w:p>
          <w:p w14:paraId="4BCCE3AD" w14:textId="77777777" w:rsidR="003A522C" w:rsidRPr="00CE1EA7" w:rsidRDefault="003A522C" w:rsidP="003A522C">
            <w:pPr>
              <w:jc w:val="center"/>
              <w:rPr>
                <w:rFonts w:asciiTheme="minorHAnsi" w:hAnsiTheme="minorHAnsi" w:cstheme="minorHAnsi"/>
                <w:b/>
                <w:bCs/>
                <w:iCs/>
                <w:sz w:val="16"/>
                <w:szCs w:val="16"/>
              </w:rPr>
            </w:pPr>
            <w:r w:rsidRPr="00CE1EA7">
              <w:rPr>
                <w:rFonts w:asciiTheme="minorHAnsi" w:hAnsiTheme="minorHAnsi" w:cstheme="minorHAnsi"/>
                <w:b/>
                <w:bCs/>
                <w:iCs/>
                <w:sz w:val="16"/>
                <w:szCs w:val="16"/>
              </w:rPr>
              <w:t>↓</w:t>
            </w:r>
          </w:p>
          <w:p w14:paraId="0E47373F" w14:textId="77777777" w:rsidR="003A522C" w:rsidRPr="00CE1EA7" w:rsidRDefault="003A522C" w:rsidP="003A522C">
            <w:pPr>
              <w:jc w:val="center"/>
              <w:rPr>
                <w:rFonts w:asciiTheme="minorHAnsi" w:hAnsiTheme="minorHAnsi" w:cstheme="minorHAnsi"/>
                <w:b/>
                <w:bCs/>
                <w:sz w:val="16"/>
                <w:szCs w:val="16"/>
              </w:rPr>
            </w:pPr>
            <w:r w:rsidRPr="00CE1EA7">
              <w:rPr>
                <w:rFonts w:asciiTheme="minorHAnsi" w:hAnsiTheme="minorHAnsi" w:cstheme="minorHAnsi"/>
                <w:b/>
                <w:bCs/>
                <w:i/>
                <w:sz w:val="16"/>
                <w:szCs w:val="16"/>
              </w:rPr>
              <w:t>No co-financing yields from these projects, only baseline</w:t>
            </w:r>
          </w:p>
        </w:tc>
      </w:tr>
      <w:tr w:rsidR="004C4FD4" w:rsidRPr="00CE1EA7" w14:paraId="53B9BDC9" w14:textId="77777777" w:rsidTr="72739566">
        <w:tc>
          <w:tcPr>
            <w:tcW w:w="14034" w:type="dxa"/>
            <w:gridSpan w:val="4"/>
            <w:tcBorders>
              <w:top w:val="single" w:sz="8" w:space="0" w:color="auto"/>
              <w:left w:val="single" w:sz="8" w:space="0" w:color="auto"/>
              <w:bottom w:val="single" w:sz="4" w:space="0" w:color="auto"/>
              <w:right w:val="single" w:sz="8" w:space="0" w:color="auto"/>
            </w:tcBorders>
            <w:shd w:val="clear" w:color="auto" w:fill="FFC000" w:themeFill="accent4"/>
          </w:tcPr>
          <w:p w14:paraId="25B2B440" w14:textId="2460B825" w:rsidR="003A522C" w:rsidRPr="00FA6D27" w:rsidRDefault="003A522C" w:rsidP="003A522C">
            <w:pPr>
              <w:rPr>
                <w:rFonts w:asciiTheme="minorHAnsi" w:hAnsiTheme="minorHAnsi" w:cstheme="minorHAnsi"/>
                <w:b/>
                <w:bCs/>
                <w:iCs/>
                <w:sz w:val="16"/>
                <w:szCs w:val="16"/>
              </w:rPr>
            </w:pPr>
            <w:r w:rsidRPr="00FA6D27">
              <w:rPr>
                <w:rFonts w:asciiTheme="minorHAnsi" w:hAnsiTheme="minorHAnsi" w:cstheme="minorHAnsi"/>
                <w:b/>
                <w:bCs/>
                <w:iCs/>
                <w:sz w:val="16"/>
                <w:szCs w:val="16"/>
              </w:rPr>
              <w:t>OTHER NON PND PROGRAM/OGE BASELINE &amp; COFINANCING INVESTMENTS</w:t>
            </w:r>
          </w:p>
        </w:tc>
      </w:tr>
      <w:tr w:rsidR="00871AA1" w:rsidRPr="00CE1EA7" w14:paraId="711C614C" w14:textId="77777777" w:rsidTr="72739566">
        <w:tc>
          <w:tcPr>
            <w:tcW w:w="2836" w:type="dxa"/>
            <w:tcBorders>
              <w:top w:val="single" w:sz="4" w:space="0" w:color="auto"/>
              <w:left w:val="single" w:sz="4" w:space="0" w:color="auto"/>
              <w:bottom w:val="single" w:sz="4" w:space="0" w:color="auto"/>
              <w:right w:val="single" w:sz="4" w:space="0" w:color="auto"/>
            </w:tcBorders>
          </w:tcPr>
          <w:p w14:paraId="68EF6590" w14:textId="25B1A537" w:rsidR="003A522C" w:rsidRDefault="003A522C" w:rsidP="003A522C">
            <w:pPr>
              <w:rPr>
                <w:rFonts w:asciiTheme="minorHAnsi" w:hAnsiTheme="minorHAnsi" w:cstheme="minorHAnsi"/>
                <w:iCs/>
                <w:sz w:val="16"/>
                <w:szCs w:val="16"/>
              </w:rPr>
            </w:pPr>
            <w:r w:rsidRPr="00BE68D5">
              <w:rPr>
                <w:rFonts w:asciiTheme="minorHAnsi" w:hAnsiTheme="minorHAnsi" w:cstheme="minorHAnsi"/>
                <w:iCs/>
                <w:sz w:val="16"/>
                <w:szCs w:val="16"/>
              </w:rPr>
              <w:t>IFAD SREP - Smallholder Resilience Enhancement</w:t>
            </w:r>
          </w:p>
          <w:p w14:paraId="2B1BFAA9" w14:textId="7FB31736" w:rsidR="003A522C" w:rsidRDefault="003A522C" w:rsidP="003A522C">
            <w:pPr>
              <w:rPr>
                <w:rFonts w:asciiTheme="minorHAnsi" w:hAnsiTheme="minorHAnsi" w:cstheme="minorHAnsi"/>
                <w:iCs/>
                <w:sz w:val="16"/>
                <w:szCs w:val="16"/>
              </w:rPr>
            </w:pPr>
            <w:r>
              <w:rPr>
                <w:rFonts w:asciiTheme="minorHAnsi" w:hAnsiTheme="minorHAnsi" w:cstheme="minorHAnsi"/>
                <w:iCs/>
                <w:sz w:val="16"/>
                <w:szCs w:val="16"/>
              </w:rPr>
              <w:t>Founded through a IFAD Loan to GoA and implemented through MINAGRIP</w:t>
            </w:r>
          </w:p>
          <w:p w14:paraId="007463B5" w14:textId="379E0F16" w:rsidR="003A522C" w:rsidRDefault="003A522C" w:rsidP="003A522C">
            <w:pPr>
              <w:rPr>
                <w:rFonts w:asciiTheme="minorHAnsi" w:hAnsiTheme="minorHAnsi" w:cstheme="minorHAnsi"/>
                <w:iCs/>
                <w:sz w:val="16"/>
                <w:szCs w:val="16"/>
              </w:rPr>
            </w:pPr>
            <w:r w:rsidRPr="00BE68D5">
              <w:rPr>
                <w:rFonts w:asciiTheme="minorHAnsi" w:hAnsiTheme="minorHAnsi" w:cstheme="minorHAnsi"/>
                <w:iCs/>
                <w:sz w:val="16"/>
                <w:szCs w:val="16"/>
              </w:rPr>
              <w:t>Project</w:t>
            </w:r>
            <w:r>
              <w:rPr>
                <w:rFonts w:asciiTheme="minorHAnsi" w:hAnsiTheme="minorHAnsi" w:cstheme="minorHAnsi"/>
                <w:iCs/>
                <w:sz w:val="16"/>
                <w:szCs w:val="16"/>
              </w:rPr>
              <w:t xml:space="preserve"> </w:t>
            </w:r>
            <w:r w:rsidRPr="00BE68D5">
              <w:rPr>
                <w:rFonts w:asciiTheme="minorHAnsi" w:hAnsiTheme="minorHAnsi" w:cstheme="minorHAnsi"/>
                <w:iCs/>
                <w:sz w:val="16"/>
                <w:szCs w:val="16"/>
              </w:rPr>
              <w:t>SREP's objective is to enhance agricultural productivity and resilience of households affected by climate change by developing the adaptive capacity of farmers, support service providers and policy makers to better manage the production landscape.</w:t>
            </w:r>
          </w:p>
          <w:p w14:paraId="01126184" w14:textId="50F92103" w:rsidR="003A522C" w:rsidRPr="00CE1EA7" w:rsidRDefault="003A522C" w:rsidP="003A522C">
            <w:pPr>
              <w:rPr>
                <w:rFonts w:asciiTheme="minorHAnsi" w:hAnsiTheme="minorHAnsi" w:cstheme="minorHAnsi"/>
                <w:iCs/>
                <w:sz w:val="16"/>
                <w:szCs w:val="16"/>
              </w:rPr>
            </w:pPr>
          </w:p>
        </w:tc>
        <w:tc>
          <w:tcPr>
            <w:tcW w:w="5103" w:type="dxa"/>
            <w:tcBorders>
              <w:top w:val="single" w:sz="4" w:space="0" w:color="auto"/>
              <w:left w:val="single" w:sz="4" w:space="0" w:color="auto"/>
              <w:bottom w:val="single" w:sz="4" w:space="0" w:color="auto"/>
              <w:right w:val="single" w:sz="4" w:space="0" w:color="auto"/>
            </w:tcBorders>
            <w:noWrap/>
          </w:tcPr>
          <w:p w14:paraId="7E40823F" w14:textId="1F11788D" w:rsidR="003A522C" w:rsidRPr="00BE68D5" w:rsidRDefault="003A522C" w:rsidP="003A522C">
            <w:pPr>
              <w:rPr>
                <w:rFonts w:asciiTheme="minorHAnsi" w:hAnsiTheme="minorHAnsi" w:cstheme="minorHAnsi"/>
                <w:iCs/>
                <w:sz w:val="16"/>
                <w:szCs w:val="16"/>
              </w:rPr>
            </w:pPr>
            <w:r w:rsidRPr="00BE68D5">
              <w:rPr>
                <w:rFonts w:asciiTheme="minorHAnsi" w:hAnsiTheme="minorHAnsi" w:cstheme="minorHAnsi"/>
                <w:iCs/>
                <w:sz w:val="16"/>
                <w:szCs w:val="16"/>
              </w:rPr>
              <w:t xml:space="preserve">It will be implemented in the Provinces of Benguela, Bengo, Kwanza Norte, Uíge, Zaire, Cunene and Namibe.  The Project is particularly relevant because it also adopts the landscape approach with MINAGRIPF's IDA playing a key role. Depending on the agreed funding source and modality, the project may or may not represent co-financing to the FAO GEF Project. </w:t>
            </w:r>
          </w:p>
          <w:p w14:paraId="0BD1B92E" w14:textId="02DF1E62" w:rsidR="003A522C" w:rsidRPr="00BE68D5" w:rsidRDefault="003A522C" w:rsidP="003A522C">
            <w:pPr>
              <w:rPr>
                <w:rFonts w:asciiTheme="minorHAnsi" w:hAnsiTheme="minorHAnsi" w:cstheme="minorHAnsi"/>
                <w:iCs/>
                <w:sz w:val="16"/>
                <w:szCs w:val="16"/>
              </w:rPr>
            </w:pPr>
          </w:p>
          <w:p w14:paraId="3933A672" w14:textId="2A6478FB" w:rsidR="003A522C" w:rsidRPr="007B43A1" w:rsidRDefault="003A522C" w:rsidP="003A522C">
            <w:pPr>
              <w:rPr>
                <w:rFonts w:asciiTheme="minorHAnsi" w:hAnsiTheme="minorHAnsi" w:cstheme="minorHAnsi"/>
                <w:sz w:val="16"/>
                <w:szCs w:val="16"/>
                <w:u w:val="single"/>
              </w:rPr>
            </w:pPr>
          </w:p>
        </w:tc>
        <w:tc>
          <w:tcPr>
            <w:tcW w:w="1701" w:type="dxa"/>
            <w:tcBorders>
              <w:top w:val="single" w:sz="4" w:space="0" w:color="auto"/>
              <w:left w:val="single" w:sz="4" w:space="0" w:color="auto"/>
              <w:bottom w:val="single" w:sz="4" w:space="0" w:color="auto"/>
              <w:right w:val="single" w:sz="4" w:space="0" w:color="auto"/>
            </w:tcBorders>
          </w:tcPr>
          <w:p w14:paraId="393F03CC" w14:textId="77777777" w:rsidR="003A522C" w:rsidRDefault="003A522C" w:rsidP="003A522C">
            <w:pPr>
              <w:rPr>
                <w:rFonts w:asciiTheme="minorHAnsi" w:hAnsiTheme="minorHAnsi" w:cstheme="minorHAnsi"/>
                <w:iCs/>
                <w:sz w:val="16"/>
                <w:szCs w:val="16"/>
              </w:rPr>
            </w:pPr>
            <w:r w:rsidRPr="00BE68D5">
              <w:rPr>
                <w:rFonts w:asciiTheme="minorHAnsi" w:hAnsiTheme="minorHAnsi" w:cstheme="minorHAnsi"/>
                <w:iCs/>
                <w:sz w:val="16"/>
                <w:szCs w:val="16"/>
              </w:rPr>
              <w:t>The Project's budget can reach $100M. For the purposes of baseline calculations, an amount of $12M was considered.</w:t>
            </w:r>
          </w:p>
          <w:p w14:paraId="1A94F342" w14:textId="43E994CB" w:rsidR="003A522C" w:rsidRDefault="003A522C" w:rsidP="003A522C">
            <w:pPr>
              <w:rPr>
                <w:rFonts w:asciiTheme="minorHAnsi" w:hAnsiTheme="minorHAnsi" w:cstheme="minorHAnsi"/>
                <w:b/>
                <w:bCs/>
                <w:iCs/>
                <w:sz w:val="16"/>
                <w:szCs w:val="16"/>
              </w:rPr>
            </w:pPr>
            <w:r>
              <w:rPr>
                <w:rFonts w:asciiTheme="minorHAnsi" w:hAnsiTheme="minorHAnsi" w:cstheme="minorHAnsi"/>
                <w:b/>
                <w:bCs/>
                <w:iCs/>
                <w:sz w:val="16"/>
                <w:szCs w:val="16"/>
              </w:rPr>
              <w:t xml:space="preserve">C1= </w:t>
            </w:r>
            <w:r w:rsidRPr="00CE1EA7">
              <w:rPr>
                <w:rFonts w:asciiTheme="minorHAnsi" w:hAnsiTheme="minorHAnsi" w:cstheme="minorHAnsi"/>
                <w:b/>
                <w:bCs/>
                <w:iCs/>
                <w:sz w:val="16"/>
                <w:szCs w:val="16"/>
              </w:rPr>
              <w:t>$</w:t>
            </w:r>
            <w:r>
              <w:rPr>
                <w:rFonts w:asciiTheme="minorHAnsi" w:hAnsiTheme="minorHAnsi" w:cstheme="minorHAnsi"/>
                <w:b/>
                <w:bCs/>
                <w:iCs/>
                <w:sz w:val="16"/>
                <w:szCs w:val="16"/>
              </w:rPr>
              <w:t>6</w:t>
            </w:r>
            <w:r w:rsidRPr="00CE1EA7">
              <w:rPr>
                <w:rFonts w:asciiTheme="minorHAnsi" w:hAnsiTheme="minorHAnsi" w:cstheme="minorHAnsi"/>
                <w:b/>
                <w:bCs/>
                <w:iCs/>
                <w:sz w:val="16"/>
                <w:szCs w:val="16"/>
              </w:rPr>
              <w:t>M</w:t>
            </w:r>
          </w:p>
          <w:p w14:paraId="09BCA5E4" w14:textId="77777777" w:rsidR="003A522C" w:rsidRDefault="003A522C" w:rsidP="003A522C">
            <w:pPr>
              <w:rPr>
                <w:rFonts w:asciiTheme="minorHAnsi" w:hAnsiTheme="minorHAnsi" w:cstheme="minorHAnsi"/>
                <w:b/>
                <w:bCs/>
                <w:iCs/>
                <w:sz w:val="16"/>
                <w:szCs w:val="16"/>
              </w:rPr>
            </w:pPr>
            <w:r w:rsidRPr="00CE1EA7">
              <w:rPr>
                <w:rFonts w:asciiTheme="minorHAnsi" w:hAnsiTheme="minorHAnsi" w:cstheme="minorHAnsi"/>
                <w:b/>
                <w:bCs/>
                <w:iCs/>
                <w:sz w:val="16"/>
                <w:szCs w:val="16"/>
              </w:rPr>
              <w:t>C2 = $</w:t>
            </w:r>
            <w:r>
              <w:rPr>
                <w:rFonts w:asciiTheme="minorHAnsi" w:hAnsiTheme="minorHAnsi" w:cstheme="minorHAnsi"/>
                <w:b/>
                <w:bCs/>
                <w:iCs/>
                <w:sz w:val="16"/>
                <w:szCs w:val="16"/>
              </w:rPr>
              <w:t>6</w:t>
            </w:r>
            <w:r w:rsidRPr="00CE1EA7">
              <w:rPr>
                <w:rFonts w:asciiTheme="minorHAnsi" w:hAnsiTheme="minorHAnsi" w:cstheme="minorHAnsi"/>
                <w:b/>
                <w:bCs/>
                <w:iCs/>
                <w:sz w:val="16"/>
                <w:szCs w:val="16"/>
              </w:rPr>
              <w:t>M</w:t>
            </w:r>
          </w:p>
          <w:p w14:paraId="2534CA5C" w14:textId="77777777" w:rsidR="003A522C" w:rsidRPr="00CE1EA7" w:rsidRDefault="003A522C" w:rsidP="003A522C">
            <w:pPr>
              <w:rPr>
                <w:rFonts w:asciiTheme="minorHAnsi" w:hAnsiTheme="minorHAnsi" w:cstheme="minorHAnsi"/>
                <w:b/>
                <w:bCs/>
                <w:iCs/>
                <w:sz w:val="16"/>
                <w:szCs w:val="16"/>
              </w:rPr>
            </w:pPr>
            <w:r w:rsidRPr="00CE1EA7">
              <w:rPr>
                <w:rFonts w:asciiTheme="minorHAnsi" w:hAnsiTheme="minorHAnsi" w:cstheme="minorHAnsi"/>
                <w:b/>
                <w:bCs/>
                <w:iCs/>
                <w:sz w:val="16"/>
                <w:szCs w:val="16"/>
              </w:rPr>
              <w:t>---------------</w:t>
            </w:r>
          </w:p>
          <w:p w14:paraId="0D8544AD" w14:textId="7543FD8A" w:rsidR="003A522C" w:rsidRPr="00CE1EA7" w:rsidRDefault="003A522C" w:rsidP="003A522C">
            <w:pPr>
              <w:rPr>
                <w:rFonts w:asciiTheme="minorHAnsi" w:hAnsiTheme="minorHAnsi" w:cstheme="minorHAnsi"/>
                <w:b/>
                <w:bCs/>
                <w:iCs/>
                <w:sz w:val="16"/>
                <w:szCs w:val="16"/>
              </w:rPr>
            </w:pPr>
            <w:r w:rsidRPr="00CE1EA7">
              <w:rPr>
                <w:rFonts w:asciiTheme="minorHAnsi" w:hAnsiTheme="minorHAnsi" w:cstheme="minorHAnsi"/>
                <w:b/>
                <w:bCs/>
                <w:iCs/>
                <w:sz w:val="16"/>
                <w:szCs w:val="16"/>
              </w:rPr>
              <w:t>Total = $</w:t>
            </w:r>
            <w:r>
              <w:rPr>
                <w:rFonts w:asciiTheme="minorHAnsi" w:hAnsiTheme="minorHAnsi" w:cstheme="minorHAnsi"/>
                <w:b/>
                <w:bCs/>
                <w:iCs/>
                <w:sz w:val="16"/>
                <w:szCs w:val="16"/>
              </w:rPr>
              <w:t>12</w:t>
            </w:r>
            <w:r w:rsidRPr="00CE1EA7">
              <w:rPr>
                <w:rFonts w:asciiTheme="minorHAnsi" w:hAnsiTheme="minorHAnsi" w:cstheme="minorHAnsi"/>
                <w:b/>
                <w:bCs/>
                <w:iCs/>
                <w:sz w:val="16"/>
                <w:szCs w:val="16"/>
              </w:rPr>
              <w:t xml:space="preserve"> M</w:t>
            </w:r>
          </w:p>
        </w:tc>
        <w:tc>
          <w:tcPr>
            <w:tcW w:w="4394" w:type="dxa"/>
            <w:tcBorders>
              <w:top w:val="single" w:sz="4" w:space="0" w:color="auto"/>
              <w:left w:val="single" w:sz="4" w:space="0" w:color="auto"/>
              <w:bottom w:val="single" w:sz="4" w:space="0" w:color="auto"/>
              <w:right w:val="single" w:sz="4" w:space="0" w:color="auto"/>
            </w:tcBorders>
            <w:shd w:val="clear" w:color="auto" w:fill="99FFCC"/>
          </w:tcPr>
          <w:p w14:paraId="1FB99D60" w14:textId="77777777" w:rsidR="003A522C" w:rsidRDefault="003A522C" w:rsidP="003A522C">
            <w:pPr>
              <w:rPr>
                <w:rFonts w:asciiTheme="minorHAnsi" w:hAnsiTheme="minorHAnsi" w:cstheme="minorHAnsi"/>
                <w:iCs/>
                <w:sz w:val="16"/>
                <w:szCs w:val="16"/>
              </w:rPr>
            </w:pPr>
            <w:r w:rsidRPr="00BE68D5">
              <w:rPr>
                <w:rFonts w:asciiTheme="minorHAnsi" w:hAnsiTheme="minorHAnsi" w:cstheme="minorHAnsi"/>
                <w:iCs/>
                <w:sz w:val="16"/>
                <w:szCs w:val="16"/>
              </w:rPr>
              <w:t>Project IFAD SREP is a relevant baseline for the project because it deals with smallholder resilience, but there is little geographical coincidence vis-à-vis the DSL IP Project. Only the Cunene province is common to both. Therefore, it is considered as a baseline but not drawn in to provide co-financing. IFAD and FAO will collaborate with respect to approaches on capacity building small farmer outreach.</w:t>
            </w:r>
          </w:p>
          <w:p w14:paraId="08E88106" w14:textId="17705683" w:rsidR="003A522C" w:rsidRPr="00871AA1" w:rsidRDefault="003A522C" w:rsidP="77871A7A">
            <w:pPr>
              <w:jc w:val="center"/>
              <w:rPr>
                <w:rFonts w:asciiTheme="minorHAnsi" w:hAnsiTheme="minorHAnsi" w:cstheme="minorBidi"/>
                <w:b/>
                <w:bCs/>
                <w:sz w:val="16"/>
                <w:szCs w:val="16"/>
              </w:rPr>
            </w:pPr>
            <w:r w:rsidRPr="302C34D4">
              <w:rPr>
                <w:rFonts w:asciiTheme="minorHAnsi" w:hAnsiTheme="minorHAnsi" w:cstheme="minorBidi"/>
                <w:b/>
                <w:i/>
                <w:sz w:val="16"/>
                <w:szCs w:val="16"/>
              </w:rPr>
              <w:t>$</w:t>
            </w:r>
            <w:r>
              <w:rPr>
                <w:rFonts w:asciiTheme="minorHAnsi" w:hAnsiTheme="minorHAnsi" w:cstheme="minorBidi"/>
                <w:b/>
                <w:i/>
                <w:sz w:val="16"/>
                <w:szCs w:val="16"/>
              </w:rPr>
              <w:t>2.0</w:t>
            </w:r>
            <w:r w:rsidRPr="302C34D4">
              <w:rPr>
                <w:rFonts w:asciiTheme="minorHAnsi" w:hAnsiTheme="minorHAnsi" w:cstheme="minorBidi"/>
                <w:b/>
                <w:i/>
                <w:sz w:val="16"/>
                <w:szCs w:val="16"/>
              </w:rPr>
              <w:t xml:space="preserve"> M are proposed as co-financing from </w:t>
            </w:r>
            <w:r w:rsidRPr="302C34D4">
              <w:rPr>
                <w:rFonts w:asciiTheme="minorHAnsi" w:hAnsiTheme="minorHAnsi" w:cstheme="minorBidi"/>
                <w:b/>
                <w:bCs/>
                <w:i/>
                <w:iCs/>
                <w:sz w:val="16"/>
                <w:szCs w:val="16"/>
              </w:rPr>
              <w:t>MINAGRIP</w:t>
            </w:r>
            <w:r>
              <w:rPr>
                <w:rFonts w:asciiTheme="minorHAnsi" w:hAnsiTheme="minorHAnsi" w:cstheme="minorBidi"/>
                <w:b/>
                <w:bCs/>
                <w:i/>
                <w:iCs/>
                <w:sz w:val="16"/>
                <w:szCs w:val="16"/>
              </w:rPr>
              <w:t xml:space="preserve">/IFAD SREP </w:t>
            </w:r>
            <w:r w:rsidRPr="00871AA1">
              <w:rPr>
                <w:rFonts w:asciiTheme="minorHAnsi" w:hAnsiTheme="minorHAnsi" w:cstheme="minorBidi"/>
                <w:b/>
                <w:bCs/>
                <w:i/>
                <w:iCs/>
                <w:sz w:val="16"/>
                <w:szCs w:val="16"/>
              </w:rPr>
              <w:t>Project</w:t>
            </w:r>
            <w:r w:rsidR="7B9374B1" w:rsidRPr="00871AA1">
              <w:rPr>
                <w:rFonts w:asciiTheme="minorHAnsi" w:hAnsiTheme="minorHAnsi" w:cstheme="minorBidi"/>
                <w:b/>
                <w:bCs/>
                <w:i/>
                <w:iCs/>
                <w:sz w:val="16"/>
                <w:szCs w:val="16"/>
              </w:rPr>
              <w:t xml:space="preserve"> out of which USD 200,000 will be an in-kind PMC contribution covering:</w:t>
            </w:r>
          </w:p>
          <w:p w14:paraId="6E31BB6A" w14:textId="0F4C8B9B" w:rsidR="003A522C" w:rsidRPr="00871AA1" w:rsidRDefault="003A522C" w:rsidP="77871A7A">
            <w:pPr>
              <w:jc w:val="center"/>
              <w:rPr>
                <w:rFonts w:asciiTheme="minorHAnsi" w:hAnsiTheme="minorHAnsi" w:cstheme="minorBidi"/>
                <w:b/>
                <w:bCs/>
                <w:sz w:val="16"/>
                <w:szCs w:val="16"/>
              </w:rPr>
            </w:pPr>
          </w:p>
          <w:p w14:paraId="05335AC5" w14:textId="44792FCA" w:rsidR="003A522C" w:rsidRPr="00871AA1" w:rsidRDefault="003A522C" w:rsidP="77871A7A">
            <w:pPr>
              <w:jc w:val="center"/>
              <w:rPr>
                <w:rFonts w:asciiTheme="minorHAnsi" w:hAnsiTheme="minorHAnsi" w:cstheme="minorBidi"/>
                <w:b/>
                <w:bCs/>
                <w:i/>
                <w:iCs/>
                <w:sz w:val="16"/>
                <w:szCs w:val="16"/>
              </w:rPr>
            </w:pPr>
          </w:p>
          <w:p w14:paraId="6715CCD2" w14:textId="78E2AF15" w:rsidR="003A522C" w:rsidRPr="00871AA1" w:rsidRDefault="7B9374B1" w:rsidP="77871A7A">
            <w:pPr>
              <w:jc w:val="both"/>
              <w:rPr>
                <w:rFonts w:asciiTheme="minorHAnsi" w:hAnsiTheme="minorHAnsi" w:cstheme="minorBidi"/>
                <w:b/>
                <w:bCs/>
                <w:i/>
                <w:iCs/>
                <w:sz w:val="16"/>
                <w:szCs w:val="16"/>
                <w:lang w:val="en-US"/>
              </w:rPr>
            </w:pPr>
            <w:r w:rsidRPr="00871AA1">
              <w:rPr>
                <w:rFonts w:asciiTheme="minorHAnsi" w:hAnsiTheme="minorHAnsi" w:cstheme="minorBidi"/>
                <w:b/>
                <w:bCs/>
                <w:i/>
                <w:iCs/>
                <w:sz w:val="16"/>
                <w:szCs w:val="16"/>
                <w:lang w:val="en-US"/>
              </w:rPr>
              <w:lastRenderedPageBreak/>
              <w:t xml:space="preserve">-Use of facilities at Luanda and two provinces, municipalities and communes for project offices, meetings and trainings during 5 years: $ 50.000 </w:t>
            </w:r>
          </w:p>
          <w:p w14:paraId="718A31A9" w14:textId="253637A9" w:rsidR="003A522C" w:rsidRPr="00871AA1" w:rsidRDefault="7B9374B1" w:rsidP="77871A7A">
            <w:pPr>
              <w:pStyle w:val="CommentText"/>
              <w:jc w:val="both"/>
              <w:rPr>
                <w:rFonts w:asciiTheme="minorHAnsi" w:hAnsiTheme="minorHAnsi" w:cstheme="minorBidi"/>
                <w:b/>
                <w:bCs/>
                <w:i/>
                <w:iCs/>
                <w:sz w:val="16"/>
                <w:szCs w:val="16"/>
                <w:lang w:val="en-US" w:eastAsia="en-GB"/>
              </w:rPr>
            </w:pPr>
            <w:r w:rsidRPr="00871AA1">
              <w:rPr>
                <w:rFonts w:asciiTheme="minorHAnsi" w:hAnsiTheme="minorHAnsi" w:cstheme="minorBidi"/>
                <w:b/>
                <w:bCs/>
                <w:i/>
                <w:iCs/>
                <w:sz w:val="16"/>
                <w:szCs w:val="16"/>
                <w:lang w:val="en-US" w:eastAsia="en-GB"/>
              </w:rPr>
              <w:t xml:space="preserve">-Contribution to mobility with cars at field level and Capital during 5 years: $ </w:t>
            </w:r>
            <w:r w:rsidR="11219223" w:rsidRPr="00871AA1">
              <w:rPr>
                <w:rFonts w:asciiTheme="minorHAnsi" w:hAnsiTheme="minorHAnsi" w:cstheme="minorBidi"/>
                <w:b/>
                <w:bCs/>
                <w:i/>
                <w:iCs/>
                <w:sz w:val="16"/>
                <w:szCs w:val="16"/>
                <w:lang w:val="en-US" w:eastAsia="en-GB"/>
              </w:rPr>
              <w:t>5</w:t>
            </w:r>
            <w:r w:rsidRPr="00871AA1">
              <w:rPr>
                <w:rFonts w:asciiTheme="minorHAnsi" w:hAnsiTheme="minorHAnsi" w:cstheme="minorBidi"/>
                <w:b/>
                <w:bCs/>
                <w:i/>
                <w:iCs/>
                <w:sz w:val="16"/>
                <w:szCs w:val="16"/>
                <w:lang w:val="en-US" w:eastAsia="en-GB"/>
              </w:rPr>
              <w:t>0.000</w:t>
            </w:r>
          </w:p>
          <w:p w14:paraId="1E4E27E7" w14:textId="18BB4303" w:rsidR="003A522C" w:rsidRPr="00CE1EA7" w:rsidRDefault="7B9374B1" w:rsidP="77871A7A">
            <w:pPr>
              <w:pStyle w:val="CommentText"/>
              <w:spacing w:line="259" w:lineRule="auto"/>
              <w:jc w:val="both"/>
              <w:rPr>
                <w:rFonts w:asciiTheme="minorHAnsi" w:hAnsiTheme="minorHAnsi" w:cstheme="minorBidi"/>
                <w:b/>
                <w:bCs/>
                <w:i/>
                <w:iCs/>
                <w:sz w:val="16"/>
                <w:szCs w:val="16"/>
                <w:lang w:val="en-US" w:eastAsia="en-GB"/>
              </w:rPr>
            </w:pPr>
            <w:r w:rsidRPr="00871AA1">
              <w:rPr>
                <w:rFonts w:asciiTheme="minorHAnsi" w:hAnsiTheme="minorHAnsi" w:cstheme="minorBidi"/>
                <w:b/>
                <w:bCs/>
                <w:i/>
                <w:iCs/>
                <w:sz w:val="16"/>
                <w:szCs w:val="16"/>
                <w:lang w:val="en-US" w:eastAsia="en-GB"/>
              </w:rPr>
              <w:t xml:space="preserve">-Time dedication of public institutions directors, authorities, technicians and support staff (drivers, admin, cleaning...) during 5 years: US$ </w:t>
            </w:r>
            <w:r w:rsidR="6E20C517" w:rsidRPr="00871AA1">
              <w:rPr>
                <w:rFonts w:asciiTheme="minorHAnsi" w:hAnsiTheme="minorHAnsi" w:cstheme="minorBidi"/>
                <w:b/>
                <w:bCs/>
                <w:i/>
                <w:iCs/>
                <w:sz w:val="16"/>
                <w:szCs w:val="16"/>
                <w:lang w:val="en-US" w:eastAsia="en-GB"/>
              </w:rPr>
              <w:t>10</w:t>
            </w:r>
            <w:r w:rsidRPr="00871AA1">
              <w:rPr>
                <w:rFonts w:asciiTheme="minorHAnsi" w:hAnsiTheme="minorHAnsi" w:cstheme="minorBidi"/>
                <w:b/>
                <w:bCs/>
                <w:i/>
                <w:iCs/>
                <w:sz w:val="16"/>
                <w:szCs w:val="16"/>
                <w:lang w:val="en-US" w:eastAsia="en-GB"/>
              </w:rPr>
              <w:t>0.000</w:t>
            </w:r>
          </w:p>
          <w:p w14:paraId="4CA856F2" w14:textId="5017CD92" w:rsidR="003A522C" w:rsidRPr="00CE1EA7" w:rsidRDefault="003A522C" w:rsidP="003A522C">
            <w:pPr>
              <w:rPr>
                <w:b/>
                <w:i/>
                <w:sz w:val="16"/>
                <w:szCs w:val="16"/>
              </w:rPr>
            </w:pPr>
          </w:p>
        </w:tc>
      </w:tr>
      <w:tr w:rsidR="00871AA1" w:rsidRPr="00CE1EA7" w14:paraId="0359E53E" w14:textId="77777777" w:rsidTr="72739566">
        <w:tc>
          <w:tcPr>
            <w:tcW w:w="2836" w:type="dxa"/>
            <w:tcBorders>
              <w:top w:val="single" w:sz="4" w:space="0" w:color="auto"/>
              <w:left w:val="single" w:sz="4" w:space="0" w:color="auto"/>
              <w:bottom w:val="single" w:sz="4" w:space="0" w:color="auto"/>
              <w:right w:val="single" w:sz="4" w:space="0" w:color="auto"/>
            </w:tcBorders>
          </w:tcPr>
          <w:p w14:paraId="7FBA4CF1" w14:textId="7B85F63B" w:rsidR="003A522C" w:rsidRPr="00737FE9" w:rsidRDefault="003A522C" w:rsidP="003A522C">
            <w:pPr>
              <w:rPr>
                <w:rFonts w:asciiTheme="minorHAnsi" w:hAnsiTheme="minorHAnsi" w:cstheme="minorHAnsi"/>
                <w:iCs/>
                <w:sz w:val="16"/>
                <w:szCs w:val="16"/>
              </w:rPr>
            </w:pPr>
            <w:r w:rsidRPr="00737FE9">
              <w:rPr>
                <w:rFonts w:asciiTheme="minorHAnsi" w:hAnsiTheme="minorHAnsi" w:cstheme="minorHAnsi"/>
                <w:iCs/>
                <w:sz w:val="16"/>
                <w:szCs w:val="16"/>
              </w:rPr>
              <w:lastRenderedPageBreak/>
              <w:t>AFDB Agricultural Value Chains – Support to Sustainable  Development. &amp; Growth</w:t>
            </w:r>
            <w:r w:rsidRPr="00737FE9">
              <w:rPr>
                <w:rFonts w:asciiTheme="minorHAnsi" w:hAnsiTheme="minorHAnsi" w:cstheme="minorHAnsi"/>
                <w:iCs/>
                <w:sz w:val="16"/>
                <w:szCs w:val="16"/>
              </w:rPr>
              <w:tab/>
              <w:t xml:space="preserve">It will be a comprehensive sustainable growth program, with focus on developing staple foods value chains, including cassava, vegetables, soybean, flour, livestock and others.  Project Components are: 1. Value chains development; 2. Infrastructure; 3. Project management. </w:t>
            </w:r>
          </w:p>
          <w:p w14:paraId="72B615F5" w14:textId="67E25443" w:rsidR="003A522C" w:rsidRPr="00CE1EA7" w:rsidRDefault="003A522C" w:rsidP="003A522C">
            <w:pPr>
              <w:rPr>
                <w:rFonts w:asciiTheme="minorHAnsi" w:hAnsiTheme="minorHAnsi" w:cstheme="minorHAnsi"/>
                <w:iCs/>
                <w:sz w:val="16"/>
                <w:szCs w:val="16"/>
              </w:rPr>
            </w:pPr>
          </w:p>
        </w:tc>
        <w:tc>
          <w:tcPr>
            <w:tcW w:w="5103" w:type="dxa"/>
            <w:tcBorders>
              <w:top w:val="single" w:sz="4" w:space="0" w:color="auto"/>
              <w:left w:val="single" w:sz="4" w:space="0" w:color="auto"/>
              <w:bottom w:val="single" w:sz="4" w:space="0" w:color="auto"/>
              <w:right w:val="single" w:sz="4" w:space="0" w:color="auto"/>
            </w:tcBorders>
            <w:noWrap/>
          </w:tcPr>
          <w:p w14:paraId="4E754014" w14:textId="2FB3F490" w:rsidR="003A522C" w:rsidRPr="007B43A1" w:rsidRDefault="003A522C" w:rsidP="003A522C">
            <w:pPr>
              <w:rPr>
                <w:rFonts w:asciiTheme="minorHAnsi" w:hAnsiTheme="minorHAnsi" w:cstheme="minorHAnsi"/>
                <w:sz w:val="16"/>
                <w:szCs w:val="16"/>
                <w:u w:val="single"/>
              </w:rPr>
            </w:pPr>
            <w:r w:rsidRPr="00737FE9">
              <w:rPr>
                <w:rFonts w:asciiTheme="minorHAnsi" w:hAnsiTheme="minorHAnsi" w:cstheme="minorHAnsi"/>
                <w:iCs/>
                <w:sz w:val="16"/>
                <w:szCs w:val="16"/>
              </w:rPr>
              <w:t>AFDB Agric Value Chains Project will be implemented in 16 out of 18 Provinces in Angola. The AFDB Agric Value Chains Project is relevant to the objective of the GEF FAO Project to the extent that rapid development of the agricultural sector across the country through investment can have negative impacts on ecosystem services, e.g. through unplanned land clearances, unless sound and evidence-based policies focusing on land-use change can be put in place. The FAO GEF will contribute to this goal. Hence, the potential for cooperation through all three components of the FAO GEF Project should be explored early on and partnerships sought. For the purposes of calculations, an amount of $12M was considered as baseline. Likely duration is 5-6 years.</w:t>
            </w:r>
          </w:p>
        </w:tc>
        <w:tc>
          <w:tcPr>
            <w:tcW w:w="1701" w:type="dxa"/>
            <w:tcBorders>
              <w:top w:val="single" w:sz="4" w:space="0" w:color="auto"/>
              <w:left w:val="single" w:sz="4" w:space="0" w:color="auto"/>
              <w:bottom w:val="single" w:sz="4" w:space="0" w:color="auto"/>
              <w:right w:val="single" w:sz="4" w:space="0" w:color="auto"/>
            </w:tcBorders>
          </w:tcPr>
          <w:p w14:paraId="340CA2FC" w14:textId="77777777" w:rsidR="003A522C" w:rsidRDefault="003A522C" w:rsidP="003A522C">
            <w:pPr>
              <w:rPr>
                <w:rFonts w:asciiTheme="minorHAnsi" w:hAnsiTheme="minorHAnsi" w:cstheme="minorHAnsi"/>
                <w:iCs/>
                <w:sz w:val="16"/>
                <w:szCs w:val="16"/>
              </w:rPr>
            </w:pPr>
            <w:r w:rsidRPr="00BE68D5">
              <w:rPr>
                <w:rFonts w:asciiTheme="minorHAnsi" w:hAnsiTheme="minorHAnsi" w:cstheme="minorHAnsi"/>
                <w:iCs/>
                <w:sz w:val="16"/>
                <w:szCs w:val="16"/>
              </w:rPr>
              <w:t>The Project's budget can reach $100M. For the purposes of baseline calculations, an amount of $12M was considered.</w:t>
            </w:r>
          </w:p>
          <w:p w14:paraId="3E420796" w14:textId="0B4E024D" w:rsidR="003A522C" w:rsidRPr="00CE1EA7" w:rsidRDefault="003A522C" w:rsidP="003A522C">
            <w:pPr>
              <w:rPr>
                <w:rFonts w:asciiTheme="minorHAnsi" w:hAnsiTheme="minorHAnsi" w:cstheme="minorHAnsi"/>
                <w:b/>
                <w:bCs/>
                <w:iCs/>
                <w:sz w:val="16"/>
                <w:szCs w:val="16"/>
              </w:rPr>
            </w:pPr>
            <w:r w:rsidRPr="00CE1EA7">
              <w:rPr>
                <w:rFonts w:asciiTheme="minorHAnsi" w:hAnsiTheme="minorHAnsi" w:cstheme="minorHAnsi"/>
                <w:b/>
                <w:bCs/>
                <w:iCs/>
                <w:sz w:val="16"/>
                <w:szCs w:val="16"/>
              </w:rPr>
              <w:t>C1 = $</w:t>
            </w:r>
            <w:r>
              <w:rPr>
                <w:rFonts w:asciiTheme="minorHAnsi" w:hAnsiTheme="minorHAnsi" w:cstheme="minorHAnsi"/>
                <w:b/>
                <w:bCs/>
                <w:iCs/>
                <w:sz w:val="16"/>
                <w:szCs w:val="16"/>
              </w:rPr>
              <w:t>4</w:t>
            </w:r>
            <w:r w:rsidRPr="00CE1EA7">
              <w:rPr>
                <w:rFonts w:asciiTheme="minorHAnsi" w:hAnsiTheme="minorHAnsi" w:cstheme="minorHAnsi"/>
                <w:b/>
                <w:bCs/>
                <w:iCs/>
                <w:sz w:val="16"/>
                <w:szCs w:val="16"/>
              </w:rPr>
              <w:t>M</w:t>
            </w:r>
          </w:p>
          <w:p w14:paraId="0629CA0E" w14:textId="003FFD5A" w:rsidR="003A522C" w:rsidRPr="00CE1EA7" w:rsidRDefault="003A522C" w:rsidP="003A522C">
            <w:pPr>
              <w:rPr>
                <w:rFonts w:asciiTheme="minorHAnsi" w:hAnsiTheme="minorHAnsi" w:cstheme="minorHAnsi"/>
                <w:b/>
                <w:bCs/>
                <w:iCs/>
                <w:sz w:val="16"/>
                <w:szCs w:val="16"/>
              </w:rPr>
            </w:pPr>
            <w:r w:rsidRPr="00CE1EA7">
              <w:rPr>
                <w:rFonts w:asciiTheme="minorHAnsi" w:hAnsiTheme="minorHAnsi" w:cstheme="minorHAnsi"/>
                <w:b/>
                <w:bCs/>
                <w:iCs/>
                <w:sz w:val="16"/>
                <w:szCs w:val="16"/>
              </w:rPr>
              <w:t>C2 = $</w:t>
            </w:r>
            <w:r>
              <w:rPr>
                <w:rFonts w:asciiTheme="minorHAnsi" w:hAnsiTheme="minorHAnsi" w:cstheme="minorHAnsi"/>
                <w:b/>
                <w:bCs/>
                <w:iCs/>
                <w:sz w:val="16"/>
                <w:szCs w:val="16"/>
              </w:rPr>
              <w:t>4</w:t>
            </w:r>
            <w:r w:rsidRPr="00CE1EA7">
              <w:rPr>
                <w:rFonts w:asciiTheme="minorHAnsi" w:hAnsiTheme="minorHAnsi" w:cstheme="minorHAnsi"/>
                <w:b/>
                <w:bCs/>
                <w:iCs/>
                <w:sz w:val="16"/>
                <w:szCs w:val="16"/>
              </w:rPr>
              <w:t>M</w:t>
            </w:r>
          </w:p>
          <w:p w14:paraId="0C393648" w14:textId="51115DE7" w:rsidR="003A522C" w:rsidRPr="00CE1EA7" w:rsidRDefault="003A522C" w:rsidP="003A522C">
            <w:pPr>
              <w:rPr>
                <w:rFonts w:asciiTheme="minorHAnsi" w:hAnsiTheme="minorHAnsi" w:cstheme="minorHAnsi"/>
                <w:b/>
                <w:bCs/>
                <w:iCs/>
                <w:sz w:val="16"/>
                <w:szCs w:val="16"/>
              </w:rPr>
            </w:pPr>
            <w:r w:rsidRPr="00CE1EA7">
              <w:rPr>
                <w:rFonts w:asciiTheme="minorHAnsi" w:hAnsiTheme="minorHAnsi" w:cstheme="minorHAnsi"/>
                <w:b/>
                <w:bCs/>
                <w:iCs/>
                <w:sz w:val="16"/>
                <w:szCs w:val="16"/>
              </w:rPr>
              <w:t>C3 = $</w:t>
            </w:r>
            <w:r>
              <w:rPr>
                <w:rFonts w:asciiTheme="minorHAnsi" w:hAnsiTheme="minorHAnsi" w:cstheme="minorHAnsi"/>
                <w:b/>
                <w:bCs/>
                <w:iCs/>
                <w:sz w:val="16"/>
                <w:szCs w:val="16"/>
              </w:rPr>
              <w:t>4</w:t>
            </w:r>
            <w:r w:rsidRPr="00CE1EA7">
              <w:rPr>
                <w:rFonts w:asciiTheme="minorHAnsi" w:hAnsiTheme="minorHAnsi" w:cstheme="minorHAnsi"/>
                <w:b/>
                <w:bCs/>
                <w:iCs/>
                <w:sz w:val="16"/>
                <w:szCs w:val="16"/>
              </w:rPr>
              <w:t>M</w:t>
            </w:r>
          </w:p>
          <w:p w14:paraId="09E42EAB" w14:textId="77777777" w:rsidR="003A522C" w:rsidRPr="00CE1EA7" w:rsidRDefault="003A522C" w:rsidP="003A522C">
            <w:pPr>
              <w:rPr>
                <w:rFonts w:asciiTheme="minorHAnsi" w:hAnsiTheme="minorHAnsi" w:cstheme="minorHAnsi"/>
                <w:b/>
                <w:bCs/>
                <w:iCs/>
                <w:sz w:val="16"/>
                <w:szCs w:val="16"/>
              </w:rPr>
            </w:pPr>
            <w:r w:rsidRPr="00CE1EA7">
              <w:rPr>
                <w:rFonts w:asciiTheme="minorHAnsi" w:hAnsiTheme="minorHAnsi" w:cstheme="minorHAnsi"/>
                <w:b/>
                <w:bCs/>
                <w:iCs/>
                <w:sz w:val="16"/>
                <w:szCs w:val="16"/>
              </w:rPr>
              <w:t>---------------</w:t>
            </w:r>
          </w:p>
          <w:p w14:paraId="032824A6" w14:textId="768AEC1D" w:rsidR="003A522C" w:rsidRPr="00CE1EA7" w:rsidRDefault="003A522C" w:rsidP="003A522C">
            <w:pPr>
              <w:rPr>
                <w:rFonts w:asciiTheme="minorHAnsi" w:hAnsiTheme="minorHAnsi" w:cstheme="minorHAnsi"/>
                <w:b/>
                <w:bCs/>
                <w:iCs/>
                <w:sz w:val="16"/>
                <w:szCs w:val="16"/>
              </w:rPr>
            </w:pPr>
            <w:r w:rsidRPr="00CE1EA7">
              <w:rPr>
                <w:rFonts w:asciiTheme="minorHAnsi" w:hAnsiTheme="minorHAnsi" w:cstheme="minorHAnsi"/>
                <w:b/>
                <w:bCs/>
                <w:iCs/>
                <w:sz w:val="16"/>
                <w:szCs w:val="16"/>
              </w:rPr>
              <w:t>Total = $</w:t>
            </w:r>
            <w:r>
              <w:rPr>
                <w:rFonts w:asciiTheme="minorHAnsi" w:hAnsiTheme="minorHAnsi" w:cstheme="minorHAnsi"/>
                <w:b/>
                <w:bCs/>
                <w:iCs/>
                <w:sz w:val="16"/>
                <w:szCs w:val="16"/>
              </w:rPr>
              <w:t>12</w:t>
            </w:r>
            <w:r w:rsidRPr="00CE1EA7">
              <w:rPr>
                <w:rFonts w:asciiTheme="minorHAnsi" w:hAnsiTheme="minorHAnsi" w:cstheme="minorHAnsi"/>
                <w:b/>
                <w:bCs/>
                <w:iCs/>
                <w:sz w:val="16"/>
                <w:szCs w:val="16"/>
              </w:rPr>
              <w:t xml:space="preserve"> M</w:t>
            </w:r>
          </w:p>
        </w:tc>
        <w:tc>
          <w:tcPr>
            <w:tcW w:w="4394" w:type="dxa"/>
            <w:tcBorders>
              <w:top w:val="single" w:sz="4" w:space="0" w:color="auto"/>
              <w:left w:val="single" w:sz="4" w:space="0" w:color="auto"/>
              <w:bottom w:val="single" w:sz="4" w:space="0" w:color="auto"/>
              <w:right w:val="single" w:sz="4" w:space="0" w:color="auto"/>
            </w:tcBorders>
            <w:shd w:val="clear" w:color="auto" w:fill="99FFCC"/>
          </w:tcPr>
          <w:p w14:paraId="616F6165" w14:textId="77777777" w:rsidR="003A522C" w:rsidRDefault="003A522C" w:rsidP="003A522C">
            <w:pPr>
              <w:rPr>
                <w:rFonts w:asciiTheme="minorHAnsi" w:hAnsiTheme="minorHAnsi" w:cstheme="minorHAnsi"/>
                <w:iCs/>
                <w:sz w:val="16"/>
                <w:szCs w:val="16"/>
              </w:rPr>
            </w:pPr>
            <w:r w:rsidRPr="00737FE9">
              <w:rPr>
                <w:rFonts w:asciiTheme="minorHAnsi" w:hAnsiTheme="minorHAnsi" w:cstheme="minorHAnsi"/>
                <w:iCs/>
                <w:sz w:val="16"/>
                <w:szCs w:val="16"/>
              </w:rPr>
              <w:t>Project AFDB Agric Value Chains – Support to Sust. Dev. &amp; Growth is a relevant baseline for the project because it deals with agriculture value chains, including within the provinces covered by the project. While there is potential for co-financing, this is still under discussion and will depend on the Government’s preferences. The project’s coordination and FAO will be able collaborate with respect to approaches on capacity building and outreach vis-à-vis value chains players.</w:t>
            </w:r>
          </w:p>
          <w:p w14:paraId="36129E91" w14:textId="08F8388F" w:rsidR="003A522C" w:rsidRPr="00CE1EA7" w:rsidRDefault="003A522C" w:rsidP="003A522C">
            <w:pPr>
              <w:rPr>
                <w:rFonts w:asciiTheme="minorHAnsi" w:hAnsiTheme="minorHAnsi" w:cstheme="minorHAnsi"/>
                <w:b/>
                <w:bCs/>
                <w:iCs/>
                <w:sz w:val="16"/>
                <w:szCs w:val="16"/>
                <w:u w:val="single"/>
              </w:rPr>
            </w:pPr>
            <w:r w:rsidRPr="00CE1EA7">
              <w:rPr>
                <w:rFonts w:asciiTheme="minorHAnsi" w:hAnsiTheme="minorHAnsi" w:cstheme="minorHAnsi"/>
                <w:b/>
                <w:bCs/>
                <w:i/>
                <w:sz w:val="16"/>
                <w:szCs w:val="16"/>
              </w:rPr>
              <w:t>No co-financing yields from these projects, only baseline</w:t>
            </w:r>
          </w:p>
        </w:tc>
      </w:tr>
      <w:tr w:rsidR="00871AA1" w:rsidRPr="00CE1EA7" w14:paraId="5805D518" w14:textId="77777777" w:rsidTr="72739566">
        <w:tc>
          <w:tcPr>
            <w:tcW w:w="2836" w:type="dxa"/>
            <w:tcBorders>
              <w:top w:val="single" w:sz="4" w:space="0" w:color="auto"/>
              <w:left w:val="single" w:sz="8" w:space="0" w:color="auto"/>
              <w:bottom w:val="single" w:sz="8" w:space="0" w:color="auto"/>
              <w:right w:val="single" w:sz="8" w:space="0" w:color="auto"/>
            </w:tcBorders>
          </w:tcPr>
          <w:p w14:paraId="0BBD9C54" w14:textId="77777777" w:rsidR="003A522C" w:rsidRDefault="003A522C" w:rsidP="003A522C">
            <w:pPr>
              <w:rPr>
                <w:rFonts w:asciiTheme="minorHAnsi" w:hAnsiTheme="minorHAnsi" w:cstheme="minorHAnsi"/>
                <w:iCs/>
                <w:sz w:val="16"/>
                <w:szCs w:val="16"/>
              </w:rPr>
            </w:pPr>
            <w:r>
              <w:rPr>
                <w:rFonts w:asciiTheme="minorHAnsi" w:hAnsiTheme="minorHAnsi" w:cstheme="minorHAnsi"/>
                <w:iCs/>
                <w:sz w:val="16"/>
                <w:szCs w:val="16"/>
              </w:rPr>
              <w:t>FAO ANGOLA Interventions:</w:t>
            </w:r>
          </w:p>
          <w:p w14:paraId="4EF48C6E" w14:textId="2B0FC0A6" w:rsidR="003A522C" w:rsidRDefault="003A522C" w:rsidP="003A522C">
            <w:pPr>
              <w:rPr>
                <w:rFonts w:asciiTheme="minorHAnsi" w:hAnsiTheme="minorHAnsi" w:cstheme="minorHAnsi"/>
                <w:iCs/>
                <w:sz w:val="16"/>
                <w:szCs w:val="16"/>
              </w:rPr>
            </w:pPr>
            <w:r>
              <w:rPr>
                <w:rFonts w:asciiTheme="minorHAnsi" w:hAnsiTheme="minorHAnsi" w:cstheme="minorHAnsi"/>
                <w:iCs/>
                <w:sz w:val="16"/>
                <w:szCs w:val="16"/>
              </w:rPr>
              <w:t xml:space="preserve">- </w:t>
            </w:r>
            <w:r w:rsidRPr="00A078D4">
              <w:rPr>
                <w:rFonts w:asciiTheme="minorHAnsi" w:hAnsiTheme="minorHAnsi" w:cstheme="minorHAnsi"/>
                <w:iCs/>
                <w:sz w:val="16"/>
                <w:szCs w:val="16"/>
              </w:rPr>
              <w:t>FFS/APFS Practices and Methodology Dissemination (EU FRESAN Project Result 1.1)</w:t>
            </w:r>
            <w:r>
              <w:rPr>
                <w:rFonts w:asciiTheme="minorHAnsi" w:hAnsiTheme="minorHAnsi" w:cstheme="minorHAnsi"/>
                <w:iCs/>
                <w:sz w:val="16"/>
                <w:szCs w:val="16"/>
              </w:rPr>
              <w:t xml:space="preserve"> Project</w:t>
            </w:r>
          </w:p>
          <w:p w14:paraId="33BBF9C2" w14:textId="3F2DA9E2" w:rsidR="003A522C" w:rsidRPr="00CE1EA7" w:rsidRDefault="003A522C" w:rsidP="003A522C">
            <w:pPr>
              <w:rPr>
                <w:rFonts w:asciiTheme="minorHAnsi" w:hAnsiTheme="minorHAnsi" w:cstheme="minorHAnsi"/>
                <w:iCs/>
                <w:sz w:val="16"/>
                <w:szCs w:val="16"/>
              </w:rPr>
            </w:pPr>
            <w:r>
              <w:rPr>
                <w:rFonts w:asciiTheme="minorHAnsi" w:hAnsiTheme="minorHAnsi" w:cstheme="minorHAnsi"/>
                <w:iCs/>
                <w:sz w:val="16"/>
                <w:szCs w:val="16"/>
              </w:rPr>
              <w:t xml:space="preserve">- </w:t>
            </w:r>
            <w:r w:rsidRPr="00606091">
              <w:rPr>
                <w:rFonts w:asciiTheme="minorHAnsi" w:hAnsiTheme="minorHAnsi" w:cstheme="minorHAnsi"/>
                <w:iCs/>
                <w:sz w:val="16"/>
                <w:szCs w:val="16"/>
              </w:rPr>
              <w:t>Strengthening Institutional Information Services to support decision-making for Climate Change in the AFOLU sector in Angola</w:t>
            </w:r>
            <w:r>
              <w:rPr>
                <w:rFonts w:asciiTheme="minorHAnsi" w:hAnsiTheme="minorHAnsi" w:cstheme="minorHAnsi"/>
                <w:iCs/>
                <w:sz w:val="16"/>
                <w:szCs w:val="16"/>
              </w:rPr>
              <w:t xml:space="preserve"> Project</w:t>
            </w:r>
          </w:p>
        </w:tc>
        <w:tc>
          <w:tcPr>
            <w:tcW w:w="5103" w:type="dxa"/>
            <w:tcBorders>
              <w:top w:val="single" w:sz="4" w:space="0" w:color="auto"/>
              <w:left w:val="single" w:sz="8" w:space="0" w:color="auto"/>
              <w:bottom w:val="single" w:sz="8" w:space="0" w:color="auto"/>
              <w:right w:val="single" w:sz="8" w:space="0" w:color="auto"/>
            </w:tcBorders>
            <w:noWrap/>
          </w:tcPr>
          <w:p w14:paraId="57710780" w14:textId="7AAFE48B" w:rsidR="003A522C" w:rsidRDefault="003A522C" w:rsidP="001667C6">
            <w:pPr>
              <w:pStyle w:val="ListParagraph"/>
              <w:numPr>
                <w:ilvl w:val="0"/>
                <w:numId w:val="83"/>
              </w:numPr>
              <w:ind w:left="178" w:hanging="178"/>
              <w:rPr>
                <w:rFonts w:asciiTheme="minorHAnsi" w:hAnsiTheme="minorHAnsi" w:cstheme="minorHAnsi"/>
                <w:iCs/>
                <w:sz w:val="16"/>
                <w:szCs w:val="16"/>
              </w:rPr>
            </w:pPr>
            <w:r w:rsidRPr="00606091">
              <w:rPr>
                <w:rFonts w:asciiTheme="minorHAnsi" w:hAnsiTheme="minorHAnsi" w:cstheme="minorHAnsi"/>
                <w:sz w:val="16"/>
                <w:szCs w:val="16"/>
              </w:rPr>
              <w:t>FFS/APFS Practices and Methodology Dissemination (EU FRESAN Project Result 1.1) is a EU founded project aiming Strengthening the extension advisory system of the Ministry of Agriculture and Forest through the Agrarian Development Institute (IDA) with the implementation of FFS and by supporting the climate resilience strategy of the Ministry of Environment</w:t>
            </w:r>
            <w:r>
              <w:rPr>
                <w:rFonts w:asciiTheme="minorHAnsi" w:hAnsiTheme="minorHAnsi" w:cstheme="minorHAnsi"/>
                <w:sz w:val="16"/>
                <w:szCs w:val="16"/>
              </w:rPr>
              <w:t xml:space="preserve">. It is implemented in Namibe Huila and Cunene Provinces with a total budget of </w:t>
            </w:r>
            <w:r w:rsidRPr="00606091">
              <w:rPr>
                <w:rFonts w:asciiTheme="minorHAnsi" w:hAnsiTheme="minorHAnsi" w:cstheme="minorHAnsi"/>
                <w:sz w:val="16"/>
                <w:szCs w:val="16"/>
              </w:rPr>
              <w:t>6</w:t>
            </w:r>
            <w:r>
              <w:rPr>
                <w:rFonts w:asciiTheme="minorHAnsi" w:hAnsiTheme="minorHAnsi" w:cstheme="minorHAnsi"/>
                <w:sz w:val="16"/>
                <w:szCs w:val="16"/>
              </w:rPr>
              <w:t>.</w:t>
            </w:r>
            <w:r w:rsidRPr="00606091">
              <w:rPr>
                <w:rFonts w:asciiTheme="minorHAnsi" w:hAnsiTheme="minorHAnsi" w:cstheme="minorHAnsi"/>
                <w:sz w:val="16"/>
                <w:szCs w:val="16"/>
              </w:rPr>
              <w:t>1</w:t>
            </w:r>
            <w:r>
              <w:rPr>
                <w:rFonts w:asciiTheme="minorHAnsi" w:hAnsiTheme="minorHAnsi" w:cstheme="minorHAnsi"/>
                <w:sz w:val="16"/>
                <w:szCs w:val="16"/>
              </w:rPr>
              <w:t>$.</w:t>
            </w:r>
            <w:r w:rsidRPr="00737FE9">
              <w:rPr>
                <w:rFonts w:asciiTheme="minorHAnsi" w:hAnsiTheme="minorHAnsi" w:cstheme="minorHAnsi"/>
                <w:iCs/>
                <w:sz w:val="16"/>
                <w:szCs w:val="16"/>
              </w:rPr>
              <w:t xml:space="preserve"> For the purposes of calculations, an amount of $</w:t>
            </w:r>
            <w:r>
              <w:rPr>
                <w:rFonts w:asciiTheme="minorHAnsi" w:hAnsiTheme="minorHAnsi" w:cstheme="minorHAnsi"/>
                <w:iCs/>
                <w:sz w:val="16"/>
                <w:szCs w:val="16"/>
              </w:rPr>
              <w:t>3</w:t>
            </w:r>
            <w:r w:rsidRPr="00737FE9">
              <w:rPr>
                <w:rFonts w:asciiTheme="minorHAnsi" w:hAnsiTheme="minorHAnsi" w:cstheme="minorHAnsi"/>
                <w:iCs/>
                <w:sz w:val="16"/>
                <w:szCs w:val="16"/>
              </w:rPr>
              <w:t>M was considered as baseline</w:t>
            </w:r>
            <w:r>
              <w:rPr>
                <w:rFonts w:asciiTheme="minorHAnsi" w:hAnsiTheme="minorHAnsi" w:cstheme="minorHAnsi"/>
                <w:iCs/>
                <w:sz w:val="16"/>
                <w:szCs w:val="16"/>
              </w:rPr>
              <w:t xml:space="preserve"> to Component 2,</w:t>
            </w:r>
          </w:p>
          <w:p w14:paraId="616436E6" w14:textId="41BB54AC" w:rsidR="003A522C" w:rsidRPr="00606091" w:rsidRDefault="003A522C" w:rsidP="001667C6">
            <w:pPr>
              <w:pStyle w:val="ListParagraph"/>
              <w:numPr>
                <w:ilvl w:val="0"/>
                <w:numId w:val="83"/>
              </w:numPr>
              <w:ind w:left="178" w:hanging="178"/>
              <w:rPr>
                <w:rFonts w:asciiTheme="minorHAnsi" w:hAnsiTheme="minorHAnsi" w:cstheme="minorHAnsi"/>
                <w:iCs/>
                <w:sz w:val="16"/>
                <w:szCs w:val="16"/>
              </w:rPr>
            </w:pPr>
            <w:r w:rsidRPr="00606091">
              <w:rPr>
                <w:rFonts w:asciiTheme="minorHAnsi" w:hAnsiTheme="minorHAnsi" w:cstheme="minorHAnsi"/>
                <w:sz w:val="16"/>
                <w:szCs w:val="16"/>
              </w:rPr>
              <w:t>Strengthening Institutional Information Services to support decision-making for Climate Change in the AFOLU sector in Angola Project</w:t>
            </w:r>
            <w:r>
              <w:rPr>
                <w:rFonts w:asciiTheme="minorHAnsi" w:hAnsiTheme="minorHAnsi" w:cstheme="minorHAnsi"/>
                <w:sz w:val="16"/>
                <w:szCs w:val="16"/>
              </w:rPr>
              <w:t xml:space="preserve"> is a Readines GCF Project aiming </w:t>
            </w:r>
            <w:r w:rsidRPr="004C58E1">
              <w:rPr>
                <w:rFonts w:asciiTheme="minorHAnsi" w:hAnsiTheme="minorHAnsi" w:cstheme="minorHAnsi"/>
                <w:sz w:val="16"/>
                <w:szCs w:val="16"/>
              </w:rPr>
              <w:t>strengthen Institutional Information Services related to the AFOLU sector that will generate data and evidence to better inform the implementation of the National Climate Change Strategy 2018-2030</w:t>
            </w:r>
            <w:r>
              <w:rPr>
                <w:rFonts w:asciiTheme="minorHAnsi" w:hAnsiTheme="minorHAnsi" w:cstheme="minorHAnsi"/>
                <w:sz w:val="16"/>
                <w:szCs w:val="16"/>
              </w:rPr>
              <w:t>. It has a total budget of 0.7$ to be implemented in 2021 and 2022, which will contribute to baseline to componenet 1 and 3</w:t>
            </w:r>
          </w:p>
          <w:p w14:paraId="4D695986" w14:textId="4C629A55" w:rsidR="003A522C" w:rsidRPr="00606091" w:rsidRDefault="003A522C" w:rsidP="003A522C">
            <w:pPr>
              <w:pStyle w:val="Default"/>
            </w:pPr>
          </w:p>
        </w:tc>
        <w:tc>
          <w:tcPr>
            <w:tcW w:w="1701" w:type="dxa"/>
            <w:tcBorders>
              <w:top w:val="single" w:sz="4" w:space="0" w:color="auto"/>
              <w:left w:val="single" w:sz="8" w:space="0" w:color="auto"/>
              <w:bottom w:val="single" w:sz="8" w:space="0" w:color="auto"/>
              <w:right w:val="single" w:sz="8" w:space="0" w:color="auto"/>
            </w:tcBorders>
          </w:tcPr>
          <w:p w14:paraId="68F903A2" w14:textId="3F135107" w:rsidR="003A522C" w:rsidRDefault="003A522C" w:rsidP="003A522C">
            <w:pPr>
              <w:rPr>
                <w:rFonts w:asciiTheme="minorHAnsi" w:hAnsiTheme="minorHAnsi" w:cstheme="minorHAnsi"/>
                <w:iCs/>
                <w:sz w:val="16"/>
                <w:szCs w:val="16"/>
              </w:rPr>
            </w:pPr>
            <w:r w:rsidRPr="004C58E1">
              <w:rPr>
                <w:rFonts w:asciiTheme="minorHAnsi" w:hAnsiTheme="minorHAnsi" w:cstheme="minorHAnsi"/>
                <w:iCs/>
                <w:sz w:val="16"/>
                <w:szCs w:val="16"/>
              </w:rPr>
              <w:t>The contribution to to baseline of FAO interventions throu the mentioned interventions will be distributed as follows:</w:t>
            </w:r>
          </w:p>
          <w:p w14:paraId="6318440F" w14:textId="77777777" w:rsidR="003A522C" w:rsidRPr="004C58E1" w:rsidRDefault="003A522C" w:rsidP="003A522C">
            <w:pPr>
              <w:rPr>
                <w:rFonts w:asciiTheme="minorHAnsi" w:hAnsiTheme="minorHAnsi" w:cstheme="minorHAnsi"/>
                <w:iCs/>
                <w:sz w:val="16"/>
                <w:szCs w:val="16"/>
              </w:rPr>
            </w:pPr>
          </w:p>
          <w:p w14:paraId="340D4EEB" w14:textId="47062C54" w:rsidR="003A522C" w:rsidRPr="00CE1EA7" w:rsidRDefault="003A522C" w:rsidP="003A522C">
            <w:pPr>
              <w:rPr>
                <w:rFonts w:asciiTheme="minorHAnsi" w:hAnsiTheme="minorHAnsi" w:cstheme="minorHAnsi"/>
                <w:b/>
                <w:bCs/>
                <w:iCs/>
                <w:sz w:val="16"/>
                <w:szCs w:val="16"/>
              </w:rPr>
            </w:pPr>
            <w:r w:rsidRPr="00CE1EA7">
              <w:rPr>
                <w:rFonts w:asciiTheme="minorHAnsi" w:hAnsiTheme="minorHAnsi" w:cstheme="minorHAnsi"/>
                <w:b/>
                <w:bCs/>
                <w:iCs/>
                <w:sz w:val="16"/>
                <w:szCs w:val="16"/>
              </w:rPr>
              <w:t>C1 = $</w:t>
            </w:r>
            <w:r>
              <w:rPr>
                <w:rFonts w:asciiTheme="minorHAnsi" w:hAnsiTheme="minorHAnsi" w:cstheme="minorHAnsi"/>
                <w:b/>
                <w:bCs/>
                <w:iCs/>
                <w:sz w:val="16"/>
                <w:szCs w:val="16"/>
              </w:rPr>
              <w:t>0.35</w:t>
            </w:r>
            <w:r w:rsidRPr="00CE1EA7">
              <w:rPr>
                <w:rFonts w:asciiTheme="minorHAnsi" w:hAnsiTheme="minorHAnsi" w:cstheme="minorHAnsi"/>
                <w:b/>
                <w:bCs/>
                <w:iCs/>
                <w:sz w:val="16"/>
                <w:szCs w:val="16"/>
              </w:rPr>
              <w:t>M</w:t>
            </w:r>
          </w:p>
          <w:p w14:paraId="7D996AE1" w14:textId="5AB6B5C9" w:rsidR="003A522C" w:rsidRPr="00CE1EA7" w:rsidRDefault="003A522C" w:rsidP="003A522C">
            <w:pPr>
              <w:rPr>
                <w:rFonts w:asciiTheme="minorHAnsi" w:hAnsiTheme="minorHAnsi" w:cstheme="minorHAnsi"/>
                <w:b/>
                <w:bCs/>
                <w:iCs/>
                <w:sz w:val="16"/>
                <w:szCs w:val="16"/>
              </w:rPr>
            </w:pPr>
            <w:r w:rsidRPr="00CE1EA7">
              <w:rPr>
                <w:rFonts w:asciiTheme="minorHAnsi" w:hAnsiTheme="minorHAnsi" w:cstheme="minorHAnsi"/>
                <w:b/>
                <w:bCs/>
                <w:iCs/>
                <w:sz w:val="16"/>
                <w:szCs w:val="16"/>
              </w:rPr>
              <w:t>C2 = $</w:t>
            </w:r>
            <w:r>
              <w:rPr>
                <w:rFonts w:asciiTheme="minorHAnsi" w:hAnsiTheme="minorHAnsi" w:cstheme="minorHAnsi"/>
                <w:b/>
                <w:bCs/>
                <w:iCs/>
                <w:sz w:val="16"/>
                <w:szCs w:val="16"/>
              </w:rPr>
              <w:t>3</w:t>
            </w:r>
            <w:r w:rsidRPr="00CE1EA7">
              <w:rPr>
                <w:rFonts w:asciiTheme="minorHAnsi" w:hAnsiTheme="minorHAnsi" w:cstheme="minorHAnsi"/>
                <w:b/>
                <w:bCs/>
                <w:iCs/>
                <w:sz w:val="16"/>
                <w:szCs w:val="16"/>
              </w:rPr>
              <w:t>M</w:t>
            </w:r>
          </w:p>
          <w:p w14:paraId="01A62DF5" w14:textId="5E7545F0" w:rsidR="003A522C" w:rsidRPr="00CE1EA7" w:rsidRDefault="003A522C" w:rsidP="003A522C">
            <w:pPr>
              <w:rPr>
                <w:rFonts w:asciiTheme="minorHAnsi" w:hAnsiTheme="minorHAnsi" w:cstheme="minorHAnsi"/>
                <w:b/>
                <w:bCs/>
                <w:iCs/>
                <w:sz w:val="16"/>
                <w:szCs w:val="16"/>
              </w:rPr>
            </w:pPr>
            <w:r w:rsidRPr="00CE1EA7">
              <w:rPr>
                <w:rFonts w:asciiTheme="minorHAnsi" w:hAnsiTheme="minorHAnsi" w:cstheme="minorHAnsi"/>
                <w:b/>
                <w:bCs/>
                <w:iCs/>
                <w:sz w:val="16"/>
                <w:szCs w:val="16"/>
              </w:rPr>
              <w:t>C3 = $</w:t>
            </w:r>
            <w:r>
              <w:rPr>
                <w:rFonts w:asciiTheme="minorHAnsi" w:hAnsiTheme="minorHAnsi" w:cstheme="minorHAnsi"/>
                <w:b/>
                <w:bCs/>
                <w:iCs/>
                <w:sz w:val="16"/>
                <w:szCs w:val="16"/>
              </w:rPr>
              <w:t>0.35</w:t>
            </w:r>
            <w:r w:rsidRPr="00CE1EA7">
              <w:rPr>
                <w:rFonts w:asciiTheme="minorHAnsi" w:hAnsiTheme="minorHAnsi" w:cstheme="minorHAnsi"/>
                <w:b/>
                <w:bCs/>
                <w:iCs/>
                <w:sz w:val="16"/>
                <w:szCs w:val="16"/>
              </w:rPr>
              <w:t>M</w:t>
            </w:r>
          </w:p>
          <w:p w14:paraId="5F3DB8FD" w14:textId="77777777" w:rsidR="003A522C" w:rsidRPr="00CE1EA7" w:rsidRDefault="003A522C" w:rsidP="003A522C">
            <w:pPr>
              <w:rPr>
                <w:rFonts w:asciiTheme="minorHAnsi" w:hAnsiTheme="minorHAnsi" w:cstheme="minorHAnsi"/>
                <w:b/>
                <w:bCs/>
                <w:iCs/>
                <w:sz w:val="16"/>
                <w:szCs w:val="16"/>
              </w:rPr>
            </w:pPr>
            <w:r w:rsidRPr="00CE1EA7">
              <w:rPr>
                <w:rFonts w:asciiTheme="minorHAnsi" w:hAnsiTheme="minorHAnsi" w:cstheme="minorHAnsi"/>
                <w:b/>
                <w:bCs/>
                <w:iCs/>
                <w:sz w:val="16"/>
                <w:szCs w:val="16"/>
              </w:rPr>
              <w:t>---------------</w:t>
            </w:r>
          </w:p>
          <w:p w14:paraId="5D9C3F8C" w14:textId="091D3CAC" w:rsidR="003A522C" w:rsidRPr="00CE1EA7" w:rsidRDefault="003A522C" w:rsidP="003A522C">
            <w:pPr>
              <w:rPr>
                <w:rFonts w:asciiTheme="minorHAnsi" w:hAnsiTheme="minorHAnsi" w:cstheme="minorHAnsi"/>
                <w:b/>
                <w:bCs/>
                <w:iCs/>
                <w:sz w:val="16"/>
                <w:szCs w:val="16"/>
              </w:rPr>
            </w:pPr>
            <w:r w:rsidRPr="00CE1EA7">
              <w:rPr>
                <w:rFonts w:asciiTheme="minorHAnsi" w:hAnsiTheme="minorHAnsi" w:cstheme="minorHAnsi"/>
                <w:b/>
                <w:bCs/>
                <w:iCs/>
                <w:sz w:val="16"/>
                <w:szCs w:val="16"/>
              </w:rPr>
              <w:t>Total = $</w:t>
            </w:r>
            <w:r>
              <w:rPr>
                <w:rFonts w:asciiTheme="minorHAnsi" w:hAnsiTheme="minorHAnsi" w:cstheme="minorHAnsi"/>
                <w:b/>
                <w:bCs/>
                <w:iCs/>
                <w:sz w:val="16"/>
                <w:szCs w:val="16"/>
              </w:rPr>
              <w:t>3.7</w:t>
            </w:r>
            <w:r w:rsidRPr="00CE1EA7">
              <w:rPr>
                <w:rFonts w:asciiTheme="minorHAnsi" w:hAnsiTheme="minorHAnsi" w:cstheme="minorHAnsi"/>
                <w:b/>
                <w:bCs/>
                <w:iCs/>
                <w:sz w:val="16"/>
                <w:szCs w:val="16"/>
              </w:rPr>
              <w:t xml:space="preserve"> M</w:t>
            </w:r>
          </w:p>
        </w:tc>
        <w:tc>
          <w:tcPr>
            <w:tcW w:w="4394" w:type="dxa"/>
            <w:tcBorders>
              <w:top w:val="single" w:sz="4" w:space="0" w:color="auto"/>
              <w:left w:val="single" w:sz="8" w:space="0" w:color="auto"/>
              <w:bottom w:val="single" w:sz="8" w:space="0" w:color="auto"/>
              <w:right w:val="single" w:sz="8" w:space="0" w:color="auto"/>
            </w:tcBorders>
            <w:shd w:val="clear" w:color="auto" w:fill="99FFCC"/>
          </w:tcPr>
          <w:p w14:paraId="5806FB00" w14:textId="77777777" w:rsidR="003A522C" w:rsidRDefault="003A522C" w:rsidP="003A522C">
            <w:pPr>
              <w:rPr>
                <w:rFonts w:asciiTheme="minorHAnsi" w:hAnsiTheme="minorHAnsi" w:cstheme="minorHAnsi"/>
                <w:sz w:val="16"/>
                <w:szCs w:val="16"/>
              </w:rPr>
            </w:pPr>
            <w:r w:rsidRPr="00606091">
              <w:rPr>
                <w:rFonts w:asciiTheme="minorHAnsi" w:hAnsiTheme="minorHAnsi" w:cstheme="minorHAnsi"/>
                <w:sz w:val="16"/>
                <w:szCs w:val="16"/>
              </w:rPr>
              <w:t>FFS/APFS Practices and Methodology Dissemination (EU FRESAN Project Result 1.1)</w:t>
            </w:r>
            <w:r>
              <w:rPr>
                <w:rFonts w:asciiTheme="minorHAnsi" w:hAnsiTheme="minorHAnsi" w:cstheme="minorHAnsi"/>
                <w:sz w:val="16"/>
                <w:szCs w:val="16"/>
              </w:rPr>
              <w:t xml:space="preserve"> will develop FFS curricula, trainings and tools to be used by GEF Project as well as develop FFS in Cunene provinces that will benefit from  GEF intervention.</w:t>
            </w:r>
          </w:p>
          <w:p w14:paraId="44C936F1" w14:textId="4E4CEDD9" w:rsidR="003A522C" w:rsidRDefault="003A522C" w:rsidP="003A522C">
            <w:pPr>
              <w:rPr>
                <w:rFonts w:asciiTheme="minorHAnsi" w:hAnsiTheme="minorHAnsi" w:cstheme="minorBidi"/>
                <w:b/>
                <w:sz w:val="16"/>
                <w:szCs w:val="16"/>
              </w:rPr>
            </w:pPr>
            <w:r w:rsidRPr="1915C869">
              <w:rPr>
                <w:rFonts w:asciiTheme="minorHAnsi" w:hAnsiTheme="minorHAnsi" w:cstheme="minorBidi"/>
                <w:b/>
                <w:i/>
                <w:sz w:val="16"/>
                <w:szCs w:val="16"/>
              </w:rPr>
              <w:t xml:space="preserve">Co-financing: </w:t>
            </w:r>
            <w:r w:rsidRPr="1915C869">
              <w:rPr>
                <w:rFonts w:asciiTheme="minorHAnsi" w:hAnsiTheme="minorHAnsi" w:cstheme="minorBidi"/>
                <w:b/>
                <w:sz w:val="16"/>
                <w:szCs w:val="16"/>
              </w:rPr>
              <w:t>$0.</w:t>
            </w:r>
            <w:r w:rsidR="40B9D0F7" w:rsidRPr="1915C869">
              <w:rPr>
                <w:rFonts w:asciiTheme="minorHAnsi" w:hAnsiTheme="minorHAnsi" w:cstheme="minorBidi"/>
                <w:b/>
                <w:bCs/>
                <w:sz w:val="16"/>
                <w:szCs w:val="16"/>
              </w:rPr>
              <w:t>5</w:t>
            </w:r>
            <w:r w:rsidRPr="1915C869">
              <w:rPr>
                <w:rFonts w:asciiTheme="minorHAnsi" w:hAnsiTheme="minorHAnsi" w:cstheme="minorBidi"/>
                <w:b/>
                <w:sz w:val="16"/>
                <w:szCs w:val="16"/>
              </w:rPr>
              <w:t>M to Componennt 2</w:t>
            </w:r>
          </w:p>
          <w:p w14:paraId="62293950" w14:textId="77777777" w:rsidR="003A522C" w:rsidRDefault="003A522C" w:rsidP="003A522C">
            <w:pPr>
              <w:rPr>
                <w:rFonts w:asciiTheme="minorHAnsi" w:hAnsiTheme="minorHAnsi" w:cstheme="minorHAnsi"/>
                <w:iCs/>
                <w:sz w:val="16"/>
                <w:szCs w:val="16"/>
              </w:rPr>
            </w:pPr>
          </w:p>
          <w:p w14:paraId="6A7A1DFD" w14:textId="77777777" w:rsidR="003A522C" w:rsidRDefault="003A522C" w:rsidP="003A522C">
            <w:pPr>
              <w:rPr>
                <w:rFonts w:asciiTheme="minorHAnsi" w:hAnsiTheme="minorHAnsi" w:cstheme="minorHAnsi"/>
                <w:iCs/>
                <w:sz w:val="16"/>
                <w:szCs w:val="16"/>
              </w:rPr>
            </w:pPr>
            <w:r w:rsidRPr="00606091">
              <w:rPr>
                <w:rFonts w:asciiTheme="minorHAnsi" w:hAnsiTheme="minorHAnsi" w:cstheme="minorHAnsi"/>
                <w:iCs/>
                <w:sz w:val="16"/>
                <w:szCs w:val="16"/>
              </w:rPr>
              <w:t>Strengthening Institutional Information Services to support decision-making for Climate Change in the AFOLU sector in Angola</w:t>
            </w:r>
            <w:r>
              <w:rPr>
                <w:rFonts w:asciiTheme="minorHAnsi" w:hAnsiTheme="minorHAnsi" w:cstheme="minorHAnsi"/>
                <w:iCs/>
                <w:sz w:val="16"/>
                <w:szCs w:val="16"/>
              </w:rPr>
              <w:t xml:space="preserve"> Project will strengenth capacities to use tools as </w:t>
            </w:r>
            <w:r w:rsidRPr="00E50C72">
              <w:rPr>
                <w:rFonts w:asciiTheme="minorHAnsi" w:hAnsiTheme="minorHAnsi" w:cstheme="minorHAnsi"/>
                <w:iCs/>
                <w:sz w:val="16"/>
                <w:szCs w:val="16"/>
              </w:rPr>
              <w:t>ASIS and AGROMETSHELL</w:t>
            </w:r>
            <w:r>
              <w:rPr>
                <w:rFonts w:asciiTheme="minorHAnsi" w:hAnsiTheme="minorHAnsi" w:cstheme="minorHAnsi"/>
                <w:iCs/>
                <w:sz w:val="16"/>
                <w:szCs w:val="16"/>
              </w:rPr>
              <w:t xml:space="preserve"> that will be usefull for the LDN comitee strengethining process proposed by GEF intervention.</w:t>
            </w:r>
          </w:p>
          <w:p w14:paraId="40080F6C" w14:textId="5D01E42E" w:rsidR="003A522C" w:rsidRPr="00871AA1" w:rsidRDefault="10DC6AFB" w:rsidP="67B1BFBA">
            <w:pPr>
              <w:jc w:val="center"/>
              <w:rPr>
                <w:rFonts w:asciiTheme="minorHAnsi" w:hAnsiTheme="minorHAnsi" w:cstheme="minorBidi"/>
                <w:b/>
                <w:bCs/>
                <w:sz w:val="16"/>
                <w:szCs w:val="16"/>
              </w:rPr>
            </w:pPr>
            <w:r w:rsidRPr="25447658">
              <w:rPr>
                <w:rFonts w:asciiTheme="minorHAnsi" w:hAnsiTheme="minorHAnsi" w:cstheme="minorBidi"/>
                <w:b/>
                <w:bCs/>
                <w:i/>
                <w:iCs/>
                <w:sz w:val="16"/>
                <w:szCs w:val="16"/>
              </w:rPr>
              <w:t>Co-</w:t>
            </w:r>
            <w:r w:rsidRPr="00871AA1">
              <w:rPr>
                <w:rFonts w:asciiTheme="minorHAnsi" w:hAnsiTheme="minorHAnsi" w:cstheme="minorBidi"/>
                <w:b/>
                <w:bCs/>
                <w:i/>
                <w:iCs/>
                <w:sz w:val="16"/>
                <w:szCs w:val="16"/>
              </w:rPr>
              <w:t xml:space="preserve">financing: </w:t>
            </w:r>
            <w:r w:rsidRPr="00871AA1">
              <w:rPr>
                <w:rFonts w:asciiTheme="minorHAnsi" w:hAnsiTheme="minorHAnsi" w:cstheme="minorBidi"/>
                <w:b/>
                <w:bCs/>
                <w:sz w:val="16"/>
                <w:szCs w:val="16"/>
              </w:rPr>
              <w:t>$0.</w:t>
            </w:r>
            <w:r w:rsidR="2550C3FC" w:rsidRPr="00871AA1">
              <w:rPr>
                <w:rFonts w:asciiTheme="minorHAnsi" w:hAnsiTheme="minorHAnsi" w:cstheme="minorBidi"/>
                <w:b/>
                <w:bCs/>
                <w:sz w:val="16"/>
                <w:szCs w:val="16"/>
              </w:rPr>
              <w:t>5</w:t>
            </w:r>
            <w:r w:rsidRPr="00871AA1">
              <w:rPr>
                <w:rFonts w:asciiTheme="minorHAnsi" w:hAnsiTheme="minorHAnsi" w:cstheme="minorBidi"/>
                <w:b/>
                <w:bCs/>
                <w:sz w:val="16"/>
                <w:szCs w:val="16"/>
              </w:rPr>
              <w:t xml:space="preserve">M </w:t>
            </w:r>
            <w:r w:rsidR="000B5722" w:rsidRPr="00871AA1">
              <w:rPr>
                <w:rFonts w:asciiTheme="minorHAnsi" w:hAnsiTheme="minorHAnsi" w:cstheme="minorBidi"/>
                <w:b/>
                <w:i/>
                <w:sz w:val="16"/>
                <w:szCs w:val="16"/>
              </w:rPr>
              <w:t xml:space="preserve">out of which </w:t>
            </w:r>
            <w:r w:rsidR="003B7267" w:rsidRPr="00871AA1">
              <w:rPr>
                <w:rFonts w:asciiTheme="minorHAnsi" w:hAnsiTheme="minorHAnsi" w:cstheme="minorBidi"/>
                <w:b/>
                <w:i/>
                <w:sz w:val="16"/>
                <w:szCs w:val="16"/>
              </w:rPr>
              <w:t xml:space="preserve">USD </w:t>
            </w:r>
            <w:r w:rsidR="10510490" w:rsidRPr="00871AA1">
              <w:rPr>
                <w:rFonts w:asciiTheme="minorHAnsi" w:hAnsiTheme="minorHAnsi" w:cstheme="minorBidi"/>
                <w:b/>
                <w:bCs/>
                <w:i/>
                <w:iCs/>
                <w:sz w:val="16"/>
                <w:szCs w:val="16"/>
              </w:rPr>
              <w:t xml:space="preserve">252,800 </w:t>
            </w:r>
            <w:r w:rsidR="005D173E" w:rsidRPr="00871AA1">
              <w:rPr>
                <w:rFonts w:asciiTheme="minorHAnsi" w:hAnsiTheme="minorHAnsi" w:cstheme="minorBidi"/>
                <w:b/>
                <w:i/>
                <w:sz w:val="16"/>
                <w:szCs w:val="16"/>
              </w:rPr>
              <w:t xml:space="preserve">will </w:t>
            </w:r>
            <w:r w:rsidR="10510490" w:rsidRPr="00871AA1">
              <w:rPr>
                <w:rFonts w:asciiTheme="minorHAnsi" w:hAnsiTheme="minorHAnsi" w:cstheme="minorBidi"/>
                <w:b/>
                <w:bCs/>
                <w:i/>
                <w:iCs/>
                <w:sz w:val="16"/>
                <w:szCs w:val="16"/>
              </w:rPr>
              <w:t xml:space="preserve">be an </w:t>
            </w:r>
            <w:r w:rsidR="005D173E" w:rsidRPr="00871AA1">
              <w:rPr>
                <w:rFonts w:asciiTheme="minorHAnsi" w:hAnsiTheme="minorHAnsi" w:cstheme="minorBidi"/>
                <w:b/>
                <w:i/>
                <w:sz w:val="16"/>
                <w:szCs w:val="16"/>
              </w:rPr>
              <w:t xml:space="preserve">in-kind </w:t>
            </w:r>
            <w:r w:rsidR="10510490" w:rsidRPr="00871AA1">
              <w:rPr>
                <w:rFonts w:asciiTheme="minorHAnsi" w:hAnsiTheme="minorHAnsi" w:cstheme="minorBidi"/>
                <w:b/>
                <w:bCs/>
                <w:i/>
                <w:iCs/>
                <w:sz w:val="16"/>
                <w:szCs w:val="16"/>
              </w:rPr>
              <w:t xml:space="preserve">PMC contribution covering: </w:t>
            </w:r>
          </w:p>
          <w:p w14:paraId="4BF605F4" w14:textId="354F9B63" w:rsidR="003A522C" w:rsidRPr="00871AA1" w:rsidRDefault="003A522C" w:rsidP="67B1BFBA">
            <w:pPr>
              <w:jc w:val="center"/>
              <w:rPr>
                <w:rFonts w:asciiTheme="minorHAnsi" w:hAnsiTheme="minorHAnsi" w:cstheme="minorBidi"/>
                <w:b/>
                <w:bCs/>
                <w:i/>
                <w:iCs/>
                <w:sz w:val="16"/>
                <w:szCs w:val="16"/>
              </w:rPr>
            </w:pPr>
          </w:p>
          <w:p w14:paraId="4EF7D7F6" w14:textId="44322160" w:rsidR="003A522C" w:rsidRPr="00871AA1" w:rsidRDefault="10510490" w:rsidP="67B1BFBA">
            <w:pPr>
              <w:rPr>
                <w:rFonts w:asciiTheme="minorHAnsi" w:hAnsiTheme="minorHAnsi" w:cstheme="minorBidi"/>
                <w:b/>
                <w:bCs/>
                <w:i/>
                <w:iCs/>
                <w:sz w:val="16"/>
                <w:szCs w:val="16"/>
                <w:lang w:val="en-US"/>
              </w:rPr>
            </w:pPr>
            <w:r w:rsidRPr="00871AA1">
              <w:rPr>
                <w:rFonts w:asciiTheme="minorHAnsi" w:hAnsiTheme="minorHAnsi" w:cstheme="minorBidi"/>
                <w:b/>
                <w:bCs/>
                <w:i/>
                <w:iCs/>
                <w:sz w:val="16"/>
                <w:szCs w:val="16"/>
                <w:lang w:val="en-US"/>
              </w:rPr>
              <w:t xml:space="preserve">-Use of facilities at Luanda </w:t>
            </w:r>
            <w:r w:rsidR="00EF6725" w:rsidRPr="00871AA1">
              <w:rPr>
                <w:rFonts w:asciiTheme="minorHAnsi" w:hAnsiTheme="minorHAnsi" w:cstheme="minorBidi"/>
                <w:b/>
                <w:i/>
                <w:sz w:val="16"/>
                <w:szCs w:val="16"/>
                <w:lang w:val="en-US"/>
              </w:rPr>
              <w:t xml:space="preserve">and </w:t>
            </w:r>
            <w:r w:rsidRPr="00871AA1">
              <w:rPr>
                <w:rFonts w:asciiTheme="minorHAnsi" w:hAnsiTheme="minorHAnsi" w:cstheme="minorBidi"/>
                <w:b/>
                <w:bCs/>
                <w:i/>
                <w:iCs/>
                <w:sz w:val="16"/>
                <w:szCs w:val="16"/>
                <w:lang w:val="en-US"/>
              </w:rPr>
              <w:t>two provinces, municipalities and communes for project offices, meetings and trainings</w:t>
            </w:r>
            <w:r w:rsidR="007447B8" w:rsidRPr="00871AA1">
              <w:rPr>
                <w:rFonts w:asciiTheme="minorHAnsi" w:hAnsiTheme="minorHAnsi" w:cstheme="minorBidi"/>
                <w:b/>
                <w:i/>
                <w:sz w:val="16"/>
                <w:szCs w:val="16"/>
                <w:lang w:val="en-US"/>
              </w:rPr>
              <w:t xml:space="preserve"> </w:t>
            </w:r>
            <w:r w:rsidR="23D838A9" w:rsidRPr="00871AA1">
              <w:rPr>
                <w:rFonts w:asciiTheme="minorHAnsi" w:hAnsiTheme="minorHAnsi" w:cstheme="minorBidi"/>
                <w:b/>
                <w:bCs/>
                <w:i/>
                <w:iCs/>
                <w:sz w:val="16"/>
                <w:szCs w:val="16"/>
                <w:lang w:val="en-US"/>
              </w:rPr>
              <w:t xml:space="preserve">during 5 years: </w:t>
            </w:r>
            <w:r w:rsidRPr="00871AA1">
              <w:rPr>
                <w:rFonts w:asciiTheme="minorHAnsi" w:hAnsiTheme="minorHAnsi" w:cstheme="minorBidi"/>
                <w:b/>
                <w:bCs/>
                <w:i/>
                <w:iCs/>
                <w:sz w:val="16"/>
                <w:szCs w:val="16"/>
                <w:lang w:val="en-US"/>
              </w:rPr>
              <w:t xml:space="preserve">US$ 50.000 </w:t>
            </w:r>
          </w:p>
          <w:p w14:paraId="0FCF5466" w14:textId="34BE49D6" w:rsidR="003A522C" w:rsidRPr="00871AA1" w:rsidRDefault="10510490" w:rsidP="67B1BFBA">
            <w:pPr>
              <w:pStyle w:val="CommentText"/>
              <w:rPr>
                <w:rFonts w:asciiTheme="minorHAnsi" w:hAnsiTheme="minorHAnsi" w:cstheme="minorBidi"/>
                <w:b/>
                <w:bCs/>
                <w:i/>
                <w:iCs/>
                <w:sz w:val="16"/>
                <w:szCs w:val="16"/>
                <w:lang w:val="en-US"/>
              </w:rPr>
            </w:pPr>
            <w:r w:rsidRPr="00871AA1">
              <w:rPr>
                <w:rFonts w:asciiTheme="minorHAnsi" w:hAnsiTheme="minorHAnsi" w:cstheme="minorBidi"/>
                <w:b/>
                <w:bCs/>
                <w:i/>
                <w:iCs/>
                <w:sz w:val="16"/>
                <w:szCs w:val="16"/>
                <w:lang w:val="en-US" w:eastAsia="en-GB"/>
              </w:rPr>
              <w:t>-Contribution to expendables in project offices for 5 years: US$ 20</w:t>
            </w:r>
            <w:r w:rsidR="23D838A9" w:rsidRPr="00871AA1">
              <w:rPr>
                <w:rFonts w:asciiTheme="minorHAnsi" w:hAnsiTheme="minorHAnsi" w:cstheme="minorBidi"/>
                <w:b/>
                <w:i/>
                <w:sz w:val="16"/>
                <w:szCs w:val="16"/>
                <w:lang w:val="en-US" w:eastAsia="en-GB"/>
              </w:rPr>
              <w:t>.000</w:t>
            </w:r>
            <w:r w:rsidR="00D725A2" w:rsidRPr="00871AA1">
              <w:rPr>
                <w:rFonts w:asciiTheme="minorHAnsi" w:hAnsiTheme="minorHAnsi" w:cstheme="minorBidi"/>
                <w:b/>
                <w:i/>
                <w:sz w:val="16"/>
                <w:szCs w:val="16"/>
                <w:lang w:val="en-US" w:eastAsia="en-GB"/>
              </w:rPr>
              <w:t xml:space="preserve"> </w:t>
            </w:r>
          </w:p>
          <w:p w14:paraId="410381E0" w14:textId="69A84CD2" w:rsidR="003A522C" w:rsidRPr="00871AA1" w:rsidRDefault="10510490" w:rsidP="67B1BFBA">
            <w:pPr>
              <w:pStyle w:val="CommentText"/>
              <w:rPr>
                <w:rFonts w:asciiTheme="minorHAnsi" w:hAnsiTheme="minorHAnsi" w:cstheme="minorBidi"/>
                <w:b/>
                <w:bCs/>
                <w:i/>
                <w:iCs/>
                <w:sz w:val="16"/>
                <w:szCs w:val="16"/>
                <w:lang w:val="en-US"/>
              </w:rPr>
            </w:pPr>
            <w:r w:rsidRPr="00871AA1">
              <w:rPr>
                <w:rFonts w:asciiTheme="minorHAnsi" w:hAnsiTheme="minorHAnsi" w:cstheme="minorBidi"/>
                <w:b/>
                <w:bCs/>
                <w:i/>
                <w:iCs/>
                <w:sz w:val="16"/>
                <w:szCs w:val="16"/>
                <w:lang w:val="en-US" w:eastAsia="en-GB"/>
              </w:rPr>
              <w:t>-Contribution to mobility with cars at field level and Capital during 5 years: 140.000</w:t>
            </w:r>
          </w:p>
          <w:p w14:paraId="6B24A012" w14:textId="69A84CD2" w:rsidR="003A522C" w:rsidRPr="00CE1EA7" w:rsidRDefault="10510490" w:rsidP="67B1BFBA">
            <w:pPr>
              <w:pStyle w:val="CommentText"/>
              <w:spacing w:line="259" w:lineRule="auto"/>
              <w:rPr>
                <w:rFonts w:asciiTheme="minorHAnsi" w:hAnsiTheme="minorHAnsi" w:cstheme="minorBidi"/>
                <w:b/>
                <w:bCs/>
                <w:i/>
                <w:iCs/>
                <w:sz w:val="16"/>
                <w:szCs w:val="16"/>
                <w:lang w:val="en-US"/>
              </w:rPr>
            </w:pPr>
            <w:r w:rsidRPr="00871AA1">
              <w:rPr>
                <w:rFonts w:asciiTheme="minorHAnsi" w:hAnsiTheme="minorHAnsi" w:cstheme="minorBidi"/>
                <w:b/>
                <w:bCs/>
                <w:i/>
                <w:iCs/>
                <w:sz w:val="16"/>
                <w:szCs w:val="16"/>
                <w:lang w:val="en-US" w:eastAsia="en-GB"/>
              </w:rPr>
              <w:t>-Staff</w:t>
            </w:r>
            <w:r w:rsidR="000F037E" w:rsidRPr="00871AA1">
              <w:rPr>
                <w:rFonts w:asciiTheme="minorHAnsi" w:hAnsiTheme="minorHAnsi" w:cstheme="minorBidi"/>
                <w:b/>
                <w:i/>
                <w:sz w:val="16"/>
                <w:szCs w:val="16"/>
                <w:lang w:val="en-US" w:eastAsia="en-GB"/>
              </w:rPr>
              <w:t xml:space="preserve"> time </w:t>
            </w:r>
            <w:r w:rsidRPr="00871AA1">
              <w:rPr>
                <w:rFonts w:asciiTheme="minorHAnsi" w:hAnsiTheme="minorHAnsi" w:cstheme="minorBidi"/>
                <w:b/>
                <w:bCs/>
                <w:i/>
                <w:iCs/>
                <w:sz w:val="16"/>
                <w:szCs w:val="16"/>
                <w:lang w:val="en-US" w:eastAsia="en-GB"/>
              </w:rPr>
              <w:t>contributions during 5 years: US$ 190.000</w:t>
            </w:r>
          </w:p>
          <w:p w14:paraId="4E3EBDD8" w14:textId="187346E8" w:rsidR="003A522C" w:rsidRPr="00CE1EA7" w:rsidRDefault="003A522C" w:rsidP="00200111">
            <w:pPr>
              <w:rPr>
                <w:b/>
                <w:sz w:val="16"/>
                <w:szCs w:val="16"/>
              </w:rPr>
            </w:pPr>
          </w:p>
        </w:tc>
      </w:tr>
      <w:tr w:rsidR="00DA42EB" w:rsidRPr="00CE1EA7" w14:paraId="403379DF" w14:textId="77777777" w:rsidTr="72739566">
        <w:tc>
          <w:tcPr>
            <w:tcW w:w="2836" w:type="dxa"/>
            <w:tcBorders>
              <w:top w:val="single" w:sz="8" w:space="0" w:color="auto"/>
              <w:left w:val="single" w:sz="8" w:space="0" w:color="auto"/>
              <w:bottom w:val="single" w:sz="8" w:space="0" w:color="auto"/>
              <w:right w:val="single" w:sz="8" w:space="0" w:color="auto"/>
            </w:tcBorders>
            <w:shd w:val="clear" w:color="auto" w:fill="C5E0B3" w:themeFill="accent6" w:themeFillTint="66"/>
          </w:tcPr>
          <w:p w14:paraId="0EF75978" w14:textId="77777777" w:rsidR="003A522C" w:rsidRPr="00CE1EA7" w:rsidRDefault="003A522C" w:rsidP="003A522C">
            <w:pPr>
              <w:rPr>
                <w:rFonts w:asciiTheme="minorHAnsi" w:hAnsiTheme="minorHAnsi" w:cstheme="minorHAnsi"/>
                <w:b/>
                <w:bCs/>
                <w:iCs/>
                <w:sz w:val="16"/>
                <w:szCs w:val="16"/>
              </w:rPr>
            </w:pPr>
          </w:p>
        </w:tc>
        <w:tc>
          <w:tcPr>
            <w:tcW w:w="5103" w:type="dxa"/>
            <w:tcBorders>
              <w:top w:val="single" w:sz="8" w:space="0" w:color="auto"/>
              <w:left w:val="single" w:sz="8" w:space="0" w:color="auto"/>
              <w:bottom w:val="single" w:sz="8" w:space="0" w:color="auto"/>
              <w:right w:val="single" w:sz="8" w:space="0" w:color="auto"/>
            </w:tcBorders>
            <w:shd w:val="clear" w:color="auto" w:fill="C5E0B3" w:themeFill="accent6" w:themeFillTint="66"/>
            <w:noWrap/>
          </w:tcPr>
          <w:p w14:paraId="422FFE9A" w14:textId="77777777" w:rsidR="003A522C" w:rsidRPr="00CE1EA7" w:rsidRDefault="003A522C" w:rsidP="003A522C">
            <w:pPr>
              <w:rPr>
                <w:rFonts w:asciiTheme="minorHAnsi" w:hAnsiTheme="minorHAnsi" w:cstheme="minorHAnsi"/>
                <w:b/>
                <w:bCs/>
                <w:sz w:val="16"/>
                <w:szCs w:val="16"/>
                <w:u w:val="single"/>
              </w:rPr>
            </w:pPr>
            <w:r w:rsidRPr="00CE1EA7">
              <w:rPr>
                <w:rFonts w:asciiTheme="minorHAnsi" w:hAnsiTheme="minorHAnsi" w:cstheme="minorHAnsi"/>
                <w:b/>
                <w:bCs/>
                <w:sz w:val="16"/>
                <w:szCs w:val="16"/>
                <w:u w:val="single"/>
              </w:rPr>
              <w:t xml:space="preserve"> TOTALS </w:t>
            </w:r>
          </w:p>
        </w:tc>
        <w:tc>
          <w:tcPr>
            <w:tcW w:w="1701" w:type="dxa"/>
            <w:tcBorders>
              <w:top w:val="single" w:sz="8" w:space="0" w:color="auto"/>
              <w:left w:val="single" w:sz="8" w:space="0" w:color="auto"/>
              <w:bottom w:val="single" w:sz="8" w:space="0" w:color="auto"/>
              <w:right w:val="single" w:sz="8" w:space="0" w:color="auto"/>
            </w:tcBorders>
            <w:shd w:val="clear" w:color="auto" w:fill="C5E0B3" w:themeFill="accent6" w:themeFillTint="66"/>
          </w:tcPr>
          <w:p w14:paraId="464721A7" w14:textId="77777777" w:rsidR="003A522C" w:rsidRPr="00997AE6" w:rsidRDefault="003A522C" w:rsidP="003A522C">
            <w:pPr>
              <w:rPr>
                <w:rFonts w:asciiTheme="minorHAnsi" w:hAnsiTheme="minorHAnsi" w:cstheme="minorHAnsi"/>
                <w:b/>
                <w:bCs/>
                <w:iCs/>
                <w:sz w:val="16"/>
                <w:szCs w:val="16"/>
              </w:rPr>
            </w:pPr>
            <w:r w:rsidRPr="00997AE6">
              <w:rPr>
                <w:rFonts w:asciiTheme="minorHAnsi" w:hAnsiTheme="minorHAnsi" w:cstheme="minorHAnsi"/>
                <w:b/>
                <w:bCs/>
                <w:iCs/>
                <w:sz w:val="16"/>
                <w:szCs w:val="16"/>
              </w:rPr>
              <w:t>Baseline break-down:</w:t>
            </w:r>
          </w:p>
          <w:p w14:paraId="31E2D6FD" w14:textId="4E92CAA5" w:rsidR="003A522C" w:rsidRPr="00997AE6" w:rsidRDefault="003A522C" w:rsidP="003A522C">
            <w:pPr>
              <w:rPr>
                <w:rFonts w:asciiTheme="minorHAnsi" w:hAnsiTheme="minorHAnsi" w:cstheme="minorHAnsi"/>
                <w:b/>
                <w:bCs/>
                <w:iCs/>
                <w:sz w:val="16"/>
                <w:szCs w:val="16"/>
              </w:rPr>
            </w:pPr>
            <w:r w:rsidRPr="00997AE6">
              <w:rPr>
                <w:rFonts w:asciiTheme="minorHAnsi" w:hAnsiTheme="minorHAnsi" w:cstheme="minorHAnsi"/>
                <w:b/>
                <w:bCs/>
                <w:iCs/>
                <w:sz w:val="16"/>
                <w:szCs w:val="16"/>
              </w:rPr>
              <w:lastRenderedPageBreak/>
              <w:t>C1 = $24.7M</w:t>
            </w:r>
          </w:p>
          <w:p w14:paraId="665E8126" w14:textId="43791C36" w:rsidR="003A522C" w:rsidRPr="00997AE6" w:rsidRDefault="003A522C" w:rsidP="003A522C">
            <w:pPr>
              <w:rPr>
                <w:rFonts w:asciiTheme="minorHAnsi" w:hAnsiTheme="minorHAnsi" w:cstheme="minorHAnsi"/>
                <w:b/>
                <w:bCs/>
                <w:iCs/>
                <w:sz w:val="16"/>
                <w:szCs w:val="16"/>
              </w:rPr>
            </w:pPr>
            <w:r w:rsidRPr="00997AE6">
              <w:rPr>
                <w:rFonts w:asciiTheme="minorHAnsi" w:hAnsiTheme="minorHAnsi" w:cstheme="minorHAnsi"/>
                <w:b/>
                <w:bCs/>
                <w:iCs/>
                <w:sz w:val="16"/>
                <w:szCs w:val="16"/>
              </w:rPr>
              <w:t>C2 = $81.5M</w:t>
            </w:r>
          </w:p>
          <w:p w14:paraId="528D7575" w14:textId="644454D6" w:rsidR="003A522C" w:rsidRPr="00997AE6" w:rsidRDefault="003A522C" w:rsidP="003A522C">
            <w:pPr>
              <w:rPr>
                <w:rFonts w:asciiTheme="minorHAnsi" w:hAnsiTheme="minorHAnsi" w:cstheme="minorHAnsi"/>
                <w:b/>
                <w:bCs/>
                <w:iCs/>
                <w:sz w:val="16"/>
                <w:szCs w:val="16"/>
              </w:rPr>
            </w:pPr>
            <w:r w:rsidRPr="00997AE6">
              <w:rPr>
                <w:rFonts w:asciiTheme="minorHAnsi" w:hAnsiTheme="minorHAnsi" w:cstheme="minorHAnsi"/>
                <w:b/>
                <w:bCs/>
                <w:iCs/>
                <w:sz w:val="16"/>
                <w:szCs w:val="16"/>
              </w:rPr>
              <w:t>C3 = $16.5M</w:t>
            </w:r>
          </w:p>
          <w:p w14:paraId="17DFDD80" w14:textId="77777777" w:rsidR="003A522C" w:rsidRPr="00997AE6" w:rsidRDefault="003A522C" w:rsidP="003A522C">
            <w:pPr>
              <w:rPr>
                <w:rFonts w:asciiTheme="minorHAnsi" w:hAnsiTheme="minorHAnsi" w:cstheme="minorHAnsi"/>
                <w:b/>
                <w:bCs/>
                <w:iCs/>
                <w:sz w:val="16"/>
                <w:szCs w:val="16"/>
              </w:rPr>
            </w:pPr>
            <w:r w:rsidRPr="00997AE6">
              <w:rPr>
                <w:rFonts w:asciiTheme="minorHAnsi" w:hAnsiTheme="minorHAnsi" w:cstheme="minorHAnsi"/>
                <w:b/>
                <w:bCs/>
                <w:iCs/>
                <w:sz w:val="16"/>
                <w:szCs w:val="16"/>
              </w:rPr>
              <w:t>---------------</w:t>
            </w:r>
          </w:p>
          <w:p w14:paraId="024142BB" w14:textId="784D6AB5" w:rsidR="003A522C" w:rsidRPr="000A1BE0" w:rsidRDefault="003A522C" w:rsidP="003A522C">
            <w:pPr>
              <w:rPr>
                <w:rFonts w:asciiTheme="minorHAnsi" w:hAnsiTheme="minorHAnsi" w:cstheme="minorHAnsi"/>
                <w:b/>
                <w:bCs/>
                <w:iCs/>
                <w:color w:val="FF0000"/>
                <w:sz w:val="16"/>
                <w:szCs w:val="16"/>
              </w:rPr>
            </w:pPr>
            <w:r w:rsidRPr="00997AE6">
              <w:rPr>
                <w:rFonts w:asciiTheme="minorHAnsi" w:hAnsiTheme="minorHAnsi" w:cstheme="minorHAnsi"/>
                <w:b/>
                <w:bCs/>
                <w:iCs/>
                <w:sz w:val="16"/>
                <w:szCs w:val="16"/>
              </w:rPr>
              <w:t>Total = $122.</w:t>
            </w:r>
            <w:r w:rsidR="7FA7A2EC" w:rsidRPr="300502CC">
              <w:rPr>
                <w:rFonts w:asciiTheme="minorHAnsi" w:hAnsiTheme="minorHAnsi" w:cstheme="minorBidi"/>
                <w:b/>
                <w:bCs/>
                <w:sz w:val="16"/>
                <w:szCs w:val="16"/>
              </w:rPr>
              <w:t>8</w:t>
            </w:r>
            <w:r w:rsidRPr="00997AE6">
              <w:rPr>
                <w:rFonts w:asciiTheme="minorHAnsi" w:hAnsiTheme="minorHAnsi" w:cstheme="minorHAnsi"/>
                <w:b/>
                <w:bCs/>
                <w:iCs/>
                <w:sz w:val="16"/>
                <w:szCs w:val="16"/>
              </w:rPr>
              <w:t xml:space="preserve"> M</w:t>
            </w:r>
          </w:p>
        </w:tc>
        <w:tc>
          <w:tcPr>
            <w:tcW w:w="4394" w:type="dxa"/>
            <w:tcBorders>
              <w:top w:val="single" w:sz="8" w:space="0" w:color="auto"/>
              <w:left w:val="single" w:sz="8" w:space="0" w:color="auto"/>
              <w:bottom w:val="single" w:sz="8" w:space="0" w:color="auto"/>
              <w:right w:val="single" w:sz="8" w:space="0" w:color="auto"/>
            </w:tcBorders>
            <w:shd w:val="clear" w:color="auto" w:fill="C5E0B3" w:themeFill="accent6" w:themeFillTint="66"/>
          </w:tcPr>
          <w:p w14:paraId="3770FC82" w14:textId="045586CE" w:rsidR="003A522C" w:rsidRPr="00997AE6" w:rsidRDefault="003A522C" w:rsidP="003A522C">
            <w:pPr>
              <w:rPr>
                <w:rFonts w:asciiTheme="minorHAnsi" w:hAnsiTheme="minorHAnsi" w:cstheme="minorHAnsi"/>
                <w:b/>
                <w:bCs/>
                <w:iCs/>
                <w:sz w:val="16"/>
                <w:szCs w:val="16"/>
                <w:u w:val="single"/>
              </w:rPr>
            </w:pPr>
            <w:r w:rsidRPr="00997AE6">
              <w:rPr>
                <w:rFonts w:asciiTheme="minorHAnsi" w:hAnsiTheme="minorHAnsi" w:cstheme="minorHAnsi"/>
                <w:b/>
                <w:bCs/>
                <w:iCs/>
                <w:sz w:val="16"/>
                <w:szCs w:val="16"/>
                <w:u w:val="single"/>
              </w:rPr>
              <w:lastRenderedPageBreak/>
              <w:t>CO-FINANCING = $34.5 M, as follows:</w:t>
            </w:r>
          </w:p>
          <w:p w14:paraId="0493C9C4" w14:textId="243E491A" w:rsidR="003A522C" w:rsidRPr="00726992" w:rsidRDefault="003A522C" w:rsidP="003A522C">
            <w:pPr>
              <w:rPr>
                <w:rFonts w:asciiTheme="minorHAnsi" w:hAnsiTheme="minorHAnsi" w:cstheme="minorBidi"/>
                <w:b/>
                <w:sz w:val="16"/>
                <w:szCs w:val="16"/>
              </w:rPr>
            </w:pPr>
            <w:r w:rsidRPr="61AF15D2">
              <w:rPr>
                <w:rFonts w:asciiTheme="minorHAnsi" w:hAnsiTheme="minorHAnsi" w:cstheme="minorBidi"/>
                <w:b/>
                <w:sz w:val="16"/>
                <w:szCs w:val="16"/>
              </w:rPr>
              <w:lastRenderedPageBreak/>
              <w:t>C1 = $</w:t>
            </w:r>
            <w:r w:rsidR="005C6319" w:rsidRPr="61AF15D2">
              <w:rPr>
                <w:rFonts w:asciiTheme="minorHAnsi" w:hAnsiTheme="minorHAnsi" w:cstheme="minorBidi"/>
                <w:b/>
                <w:sz w:val="16"/>
                <w:szCs w:val="16"/>
              </w:rPr>
              <w:t>8</w:t>
            </w:r>
            <w:r w:rsidR="00800AFF" w:rsidRPr="61AF15D2">
              <w:rPr>
                <w:rFonts w:asciiTheme="minorHAnsi" w:hAnsiTheme="minorHAnsi" w:cstheme="minorBidi"/>
                <w:b/>
                <w:sz w:val="16"/>
                <w:szCs w:val="16"/>
              </w:rPr>
              <w:t>.</w:t>
            </w:r>
            <w:r w:rsidR="75255DCB" w:rsidRPr="61AF15D2">
              <w:rPr>
                <w:rFonts w:asciiTheme="minorHAnsi" w:hAnsiTheme="minorHAnsi" w:cstheme="minorBidi"/>
                <w:b/>
                <w:bCs/>
                <w:sz w:val="16"/>
                <w:szCs w:val="16"/>
              </w:rPr>
              <w:t>4486</w:t>
            </w:r>
            <w:r w:rsidRPr="61AF15D2">
              <w:rPr>
                <w:rFonts w:asciiTheme="minorHAnsi" w:hAnsiTheme="minorHAnsi" w:cstheme="minorBidi"/>
                <w:b/>
                <w:sz w:val="16"/>
                <w:szCs w:val="16"/>
              </w:rPr>
              <w:t xml:space="preserve"> M</w:t>
            </w:r>
          </w:p>
          <w:p w14:paraId="34B02312" w14:textId="1946CF34" w:rsidR="003A522C" w:rsidRPr="00726992" w:rsidRDefault="003A522C" w:rsidP="003A522C">
            <w:pPr>
              <w:rPr>
                <w:rFonts w:asciiTheme="minorHAnsi" w:hAnsiTheme="minorHAnsi" w:cstheme="minorBidi"/>
                <w:b/>
                <w:sz w:val="16"/>
                <w:szCs w:val="16"/>
              </w:rPr>
            </w:pPr>
            <w:r w:rsidRPr="7AA1FC72">
              <w:rPr>
                <w:rFonts w:asciiTheme="minorHAnsi" w:hAnsiTheme="minorHAnsi" w:cstheme="minorBidi"/>
                <w:b/>
                <w:sz w:val="16"/>
                <w:szCs w:val="16"/>
              </w:rPr>
              <w:t>C2 = $</w:t>
            </w:r>
            <w:r w:rsidR="24E40090" w:rsidRPr="7AA1FC72">
              <w:rPr>
                <w:rFonts w:asciiTheme="minorHAnsi" w:hAnsiTheme="minorHAnsi" w:cstheme="minorBidi"/>
                <w:b/>
                <w:bCs/>
                <w:sz w:val="16"/>
                <w:szCs w:val="16"/>
              </w:rPr>
              <w:t>17.760</w:t>
            </w:r>
            <w:r w:rsidRPr="7AA1FC72">
              <w:rPr>
                <w:rFonts w:asciiTheme="minorHAnsi" w:hAnsiTheme="minorHAnsi" w:cstheme="minorBidi"/>
                <w:b/>
                <w:sz w:val="16"/>
                <w:szCs w:val="16"/>
              </w:rPr>
              <w:t xml:space="preserve"> M</w:t>
            </w:r>
          </w:p>
          <w:p w14:paraId="6EEB37DE" w14:textId="4C87BCD4" w:rsidR="003A522C" w:rsidRPr="000A1BE0" w:rsidRDefault="003A522C" w:rsidP="67842AC0">
            <w:pPr>
              <w:rPr>
                <w:rFonts w:asciiTheme="minorHAnsi" w:hAnsiTheme="minorHAnsi" w:cstheme="minorBidi"/>
                <w:b/>
                <w:bCs/>
                <w:color w:val="FF0000"/>
                <w:sz w:val="16"/>
                <w:szCs w:val="16"/>
                <w:u w:val="single"/>
              </w:rPr>
            </w:pPr>
            <w:r w:rsidRPr="67842AC0">
              <w:rPr>
                <w:rFonts w:asciiTheme="minorHAnsi" w:hAnsiTheme="minorHAnsi" w:cstheme="minorBidi"/>
                <w:b/>
                <w:sz w:val="16"/>
                <w:szCs w:val="16"/>
              </w:rPr>
              <w:t>C3 = $</w:t>
            </w:r>
            <w:r w:rsidR="00726992" w:rsidRPr="67842AC0">
              <w:rPr>
                <w:rFonts w:asciiTheme="minorHAnsi" w:hAnsiTheme="minorHAnsi" w:cstheme="minorBidi"/>
                <w:b/>
                <w:sz w:val="16"/>
                <w:szCs w:val="16"/>
              </w:rPr>
              <w:t>7</w:t>
            </w:r>
            <w:r w:rsidRPr="67842AC0">
              <w:rPr>
                <w:rFonts w:asciiTheme="minorHAnsi" w:hAnsiTheme="minorHAnsi" w:cstheme="minorBidi"/>
                <w:b/>
                <w:sz w:val="16"/>
                <w:szCs w:val="16"/>
              </w:rPr>
              <w:t>.</w:t>
            </w:r>
            <w:r w:rsidR="6855C83A" w:rsidRPr="7AA1FC72">
              <w:rPr>
                <w:rFonts w:asciiTheme="minorHAnsi" w:hAnsiTheme="minorHAnsi" w:cstheme="minorBidi"/>
                <w:b/>
                <w:bCs/>
                <w:sz w:val="16"/>
                <w:szCs w:val="16"/>
              </w:rPr>
              <w:t>1486</w:t>
            </w:r>
            <w:r w:rsidRPr="67842AC0">
              <w:rPr>
                <w:rFonts w:asciiTheme="minorHAnsi" w:hAnsiTheme="minorHAnsi" w:cstheme="minorBidi"/>
                <w:b/>
                <w:sz w:val="16"/>
                <w:szCs w:val="16"/>
              </w:rPr>
              <w:t xml:space="preserve"> M</w:t>
            </w:r>
          </w:p>
          <w:p w14:paraId="643E2C39" w14:textId="53E2CCB1" w:rsidR="003A522C" w:rsidRPr="000A1BE0" w:rsidRDefault="2E2D1F7F" w:rsidP="003A522C">
            <w:pPr>
              <w:rPr>
                <w:b/>
                <w:sz w:val="16"/>
                <w:szCs w:val="16"/>
              </w:rPr>
            </w:pPr>
            <w:r w:rsidRPr="67842AC0">
              <w:rPr>
                <w:rFonts w:asciiTheme="minorHAnsi" w:hAnsiTheme="minorHAnsi" w:cstheme="minorBidi"/>
                <w:b/>
                <w:bCs/>
                <w:sz w:val="16"/>
                <w:szCs w:val="16"/>
              </w:rPr>
              <w:t>PMC : $</w:t>
            </w:r>
            <w:r w:rsidRPr="1ACBB451">
              <w:rPr>
                <w:rFonts w:asciiTheme="minorHAnsi" w:hAnsiTheme="minorHAnsi" w:cstheme="minorBidi"/>
                <w:b/>
                <w:bCs/>
                <w:sz w:val="16"/>
                <w:szCs w:val="16"/>
              </w:rPr>
              <w:t>1.1428M</w:t>
            </w:r>
          </w:p>
        </w:tc>
      </w:tr>
    </w:tbl>
    <w:p w14:paraId="11D740D2" w14:textId="77777777" w:rsidR="00EB22CD" w:rsidRPr="00E46893" w:rsidRDefault="00EB22CD" w:rsidP="00EB22CD">
      <w:pPr>
        <w:rPr>
          <w:rFonts w:ascii="Calibri" w:hAnsi="Calibri" w:cs="Calibri"/>
          <w:b/>
          <w:bCs/>
          <w:iCs/>
          <w:sz w:val="16"/>
          <w:szCs w:val="16"/>
        </w:rPr>
      </w:pPr>
      <w:r w:rsidRPr="00E46893">
        <w:rPr>
          <w:rFonts w:ascii="Calibri" w:hAnsi="Calibri" w:cs="Calibri"/>
          <w:b/>
          <w:bCs/>
          <w:iCs/>
          <w:sz w:val="16"/>
          <w:szCs w:val="16"/>
        </w:rPr>
        <w:lastRenderedPageBreak/>
        <w:t xml:space="preserve">Table Notes:  </w:t>
      </w:r>
    </w:p>
    <w:p w14:paraId="09DE85D8" w14:textId="6DA30192" w:rsidR="00EB22CD" w:rsidRPr="0082305A" w:rsidRDefault="00EB22CD" w:rsidP="00EB22CD">
      <w:pPr>
        <w:ind w:left="284" w:right="-59" w:hanging="284"/>
        <w:rPr>
          <w:rFonts w:ascii="Calibri" w:hAnsi="Calibri" w:cs="Calibri"/>
          <w:sz w:val="16"/>
          <w:szCs w:val="16"/>
        </w:rPr>
      </w:pPr>
      <w:r>
        <w:rPr>
          <w:rFonts w:ascii="Calibri" w:hAnsi="Calibri" w:cs="Calibri"/>
          <w:sz w:val="16"/>
          <w:szCs w:val="16"/>
        </w:rPr>
        <w:t>[a]</w:t>
      </w:r>
      <w:r>
        <w:rPr>
          <w:rFonts w:ascii="Calibri" w:hAnsi="Calibri" w:cs="Calibri"/>
          <w:sz w:val="16"/>
          <w:szCs w:val="16"/>
        </w:rPr>
        <w:tab/>
      </w:r>
      <w:r w:rsidRPr="0082305A">
        <w:rPr>
          <w:rFonts w:ascii="Calibri" w:hAnsi="Calibri" w:cs="Calibri"/>
          <w:sz w:val="16"/>
          <w:szCs w:val="16"/>
        </w:rPr>
        <w:t>A se</w:t>
      </w:r>
      <w:r>
        <w:rPr>
          <w:rFonts w:ascii="Calibri" w:hAnsi="Calibri" w:cs="Calibri"/>
          <w:sz w:val="16"/>
          <w:szCs w:val="16"/>
        </w:rPr>
        <w:t>t</w:t>
      </w:r>
      <w:r w:rsidRPr="0082305A">
        <w:rPr>
          <w:rFonts w:ascii="Calibri" w:hAnsi="Calibri" w:cs="Calibri"/>
          <w:sz w:val="16"/>
          <w:szCs w:val="16"/>
        </w:rPr>
        <w:t xml:space="preserve"> of relevant </w:t>
      </w:r>
      <w:r>
        <w:rPr>
          <w:rFonts w:ascii="Calibri" w:hAnsi="Calibri" w:cs="Calibri"/>
          <w:sz w:val="16"/>
          <w:szCs w:val="16"/>
        </w:rPr>
        <w:t>p</w:t>
      </w:r>
      <w:r w:rsidRPr="0082305A">
        <w:rPr>
          <w:rFonts w:ascii="Calibri" w:hAnsi="Calibri" w:cs="Calibri"/>
          <w:sz w:val="16"/>
          <w:szCs w:val="16"/>
        </w:rPr>
        <w:t>rogram</w:t>
      </w:r>
      <w:r>
        <w:rPr>
          <w:rFonts w:ascii="Calibri" w:hAnsi="Calibri" w:cs="Calibri"/>
          <w:sz w:val="16"/>
          <w:szCs w:val="16"/>
        </w:rPr>
        <w:t>s</w:t>
      </w:r>
      <w:r w:rsidRPr="0082305A">
        <w:rPr>
          <w:rFonts w:ascii="Calibri" w:hAnsi="Calibri" w:cs="Calibri"/>
          <w:sz w:val="16"/>
          <w:szCs w:val="16"/>
        </w:rPr>
        <w:t xml:space="preserve"> from the National Development Program (2018-2022) w</w:t>
      </w:r>
      <w:r>
        <w:rPr>
          <w:rFonts w:ascii="Calibri" w:hAnsi="Calibri" w:cs="Calibri"/>
          <w:sz w:val="16"/>
          <w:szCs w:val="16"/>
        </w:rPr>
        <w:t>as</w:t>
      </w:r>
      <w:r w:rsidRPr="0082305A">
        <w:rPr>
          <w:rFonts w:ascii="Calibri" w:hAnsi="Calibri" w:cs="Calibri"/>
          <w:sz w:val="16"/>
          <w:szCs w:val="16"/>
        </w:rPr>
        <w:t xml:space="preserve"> selected along with the policies to which they are linked. The break-down of investments in AO</w:t>
      </w:r>
      <w:r w:rsidRPr="23356FAB">
        <w:rPr>
          <w:rFonts w:ascii="Calibri" w:hAnsi="Calibri" w:cs="Calibri"/>
          <w:sz w:val="16"/>
          <w:szCs w:val="16"/>
        </w:rPr>
        <w:t>A</w:t>
      </w:r>
      <w:r w:rsidRPr="0082305A">
        <w:rPr>
          <w:rFonts w:ascii="Calibri" w:hAnsi="Calibri" w:cs="Calibri"/>
          <w:sz w:val="16"/>
          <w:szCs w:val="16"/>
        </w:rPr>
        <w:t xml:space="preserve"> per program was published </w:t>
      </w:r>
      <w:r>
        <w:rPr>
          <w:rFonts w:ascii="Calibri" w:hAnsi="Calibri" w:cs="Calibri"/>
          <w:sz w:val="16"/>
          <w:szCs w:val="16"/>
        </w:rPr>
        <w:t xml:space="preserve">in the </w:t>
      </w:r>
      <w:r w:rsidRPr="0082305A">
        <w:rPr>
          <w:rFonts w:ascii="Calibri" w:hAnsi="Calibri" w:cs="Calibri"/>
          <w:sz w:val="16"/>
          <w:szCs w:val="16"/>
        </w:rPr>
        <w:t>General State Budget (OGE) for 2019 and the amount served as the base year for the extrapolation calculus in order to estimate baseline and co-financing amounts for the duration of the Child Project. The ‘Programmatic relevance’ of the different PND program vis-à-vis the Project is expressed through a percentage that varies according to selected public investment programs. The same applies to the ‘fit with components’, and whose pro-rata break-down was used to assess the proposed co-financing per Component</w:t>
      </w:r>
      <w:r w:rsidRPr="00BF3F79">
        <w:rPr>
          <w:rFonts w:ascii="Calibri" w:hAnsi="Calibri" w:cs="Calibri"/>
          <w:sz w:val="16"/>
          <w:szCs w:val="16"/>
        </w:rPr>
        <w:t>. The analysis of relevance and ‘component fit’ was validated by the GoA and FAO.</w:t>
      </w:r>
    </w:p>
    <w:p w14:paraId="38C162DF" w14:textId="60A9D262" w:rsidR="00EB22CD" w:rsidRPr="0082305A" w:rsidRDefault="00EB22CD" w:rsidP="00EB22CD">
      <w:pPr>
        <w:ind w:left="284" w:right="-59" w:hanging="284"/>
        <w:rPr>
          <w:rFonts w:ascii="Calibri" w:hAnsi="Calibri" w:cs="Calibri"/>
          <w:sz w:val="16"/>
          <w:szCs w:val="16"/>
        </w:rPr>
      </w:pPr>
      <w:r w:rsidRPr="0082305A">
        <w:rPr>
          <w:rFonts w:ascii="Calibri" w:hAnsi="Calibri" w:cs="Calibri"/>
          <w:sz w:val="16"/>
          <w:szCs w:val="16"/>
        </w:rPr>
        <w:t>[</w:t>
      </w:r>
      <w:r>
        <w:rPr>
          <w:rFonts w:ascii="Calibri" w:hAnsi="Calibri" w:cs="Calibri"/>
          <w:sz w:val="16"/>
          <w:szCs w:val="16"/>
        </w:rPr>
        <w:t>b</w:t>
      </w:r>
      <w:r w:rsidRPr="0082305A">
        <w:rPr>
          <w:rFonts w:ascii="Calibri" w:hAnsi="Calibri" w:cs="Calibri"/>
          <w:sz w:val="16"/>
          <w:szCs w:val="16"/>
        </w:rPr>
        <w:t>]</w:t>
      </w:r>
      <w:r w:rsidRPr="0082305A">
        <w:rPr>
          <w:rFonts w:ascii="Calibri" w:hAnsi="Calibri" w:cs="Calibri"/>
          <w:sz w:val="16"/>
          <w:szCs w:val="16"/>
        </w:rPr>
        <w:tab/>
        <w:t>The PND investment was extrapolated from the base year 20</w:t>
      </w:r>
      <w:r w:rsidR="009F0CD6">
        <w:rPr>
          <w:rFonts w:ascii="Calibri" w:hAnsi="Calibri" w:cs="Calibri"/>
          <w:sz w:val="16"/>
          <w:szCs w:val="16"/>
        </w:rPr>
        <w:t>20</w:t>
      </w:r>
      <w:r w:rsidRPr="0082305A">
        <w:rPr>
          <w:rFonts w:ascii="Calibri" w:hAnsi="Calibri" w:cs="Calibri"/>
          <w:sz w:val="16"/>
          <w:szCs w:val="16"/>
        </w:rPr>
        <w:t xml:space="preserve"> and converted to USD at </w:t>
      </w:r>
      <w:r w:rsidR="00172C9D">
        <w:rPr>
          <w:rFonts w:ascii="Calibri" w:hAnsi="Calibri" w:cs="Calibri"/>
          <w:sz w:val="16"/>
          <w:szCs w:val="16"/>
        </w:rPr>
        <w:t>614</w:t>
      </w:r>
      <w:r w:rsidRPr="0082305A">
        <w:rPr>
          <w:rFonts w:ascii="Calibri" w:hAnsi="Calibri" w:cs="Calibri"/>
          <w:sz w:val="16"/>
          <w:szCs w:val="16"/>
        </w:rPr>
        <w:t xml:space="preserve"> AO</w:t>
      </w:r>
      <w:r w:rsidRPr="23356FAB">
        <w:rPr>
          <w:rFonts w:ascii="Calibri" w:hAnsi="Calibri" w:cs="Calibri"/>
          <w:sz w:val="16"/>
          <w:szCs w:val="16"/>
        </w:rPr>
        <w:t>A</w:t>
      </w:r>
      <w:r w:rsidRPr="0082305A">
        <w:rPr>
          <w:rFonts w:ascii="Calibri" w:hAnsi="Calibri" w:cs="Calibri"/>
          <w:sz w:val="16"/>
          <w:szCs w:val="16"/>
        </w:rPr>
        <w:t>/USD (</w:t>
      </w:r>
      <w:r w:rsidR="00DD50B2">
        <w:rPr>
          <w:rFonts w:ascii="Calibri" w:hAnsi="Calibri" w:cs="Calibri"/>
          <w:sz w:val="16"/>
          <w:szCs w:val="16"/>
        </w:rPr>
        <w:t xml:space="preserve">2020 </w:t>
      </w:r>
      <w:r w:rsidR="009F0CD6">
        <w:rPr>
          <w:rFonts w:ascii="Calibri" w:hAnsi="Calibri" w:cs="Calibri"/>
          <w:sz w:val="16"/>
          <w:szCs w:val="16"/>
        </w:rPr>
        <w:t>september</w:t>
      </w:r>
      <w:r w:rsidRPr="0082305A">
        <w:rPr>
          <w:rFonts w:ascii="Calibri" w:hAnsi="Calibri" w:cs="Calibri"/>
          <w:sz w:val="16"/>
          <w:szCs w:val="16"/>
        </w:rPr>
        <w:t xml:space="preserve"> average rate). The extrapolation was for a </w:t>
      </w:r>
      <w:r w:rsidR="008347BF">
        <w:rPr>
          <w:rFonts w:ascii="Calibri" w:hAnsi="Calibri" w:cs="Calibri"/>
          <w:sz w:val="16"/>
          <w:szCs w:val="16"/>
        </w:rPr>
        <w:t>5</w:t>
      </w:r>
      <w:r w:rsidRPr="0082305A">
        <w:rPr>
          <w:rFonts w:ascii="Calibri" w:hAnsi="Calibri" w:cs="Calibri"/>
          <w:sz w:val="16"/>
          <w:szCs w:val="16"/>
        </w:rPr>
        <w:t xml:space="preserve"> year period and discounting future values and exchange rate uncertainties at a 70% rate. For the ease of calculations, this implied multiplying the base year amount by 2.8 (4 x 70%). </w:t>
      </w:r>
    </w:p>
    <w:p w14:paraId="12C65178" w14:textId="77777777" w:rsidR="00A9648F" w:rsidRDefault="00A9648F" w:rsidP="009563B4">
      <w:pPr>
        <w:rPr>
          <w:rFonts w:ascii="Arial Narrow" w:hAnsi="Arial Narrow"/>
          <w:color w:val="808080" w:themeColor="background1" w:themeShade="80"/>
        </w:rPr>
        <w:sectPr w:rsidR="00A9648F" w:rsidSect="00A9648F">
          <w:headerReference w:type="even" r:id="rId106"/>
          <w:headerReference w:type="default" r:id="rId107"/>
          <w:headerReference w:type="first" r:id="rId108"/>
          <w:pgSz w:w="16838" w:h="11906" w:orient="landscape" w:code="9"/>
          <w:pgMar w:top="720" w:right="720" w:bottom="720" w:left="720" w:header="720" w:footer="720" w:gutter="0"/>
          <w:cols w:space="720"/>
          <w:docGrid w:linePitch="360"/>
        </w:sectPr>
      </w:pPr>
    </w:p>
    <w:p w14:paraId="476E1E3F" w14:textId="77777777" w:rsidR="009563B4" w:rsidRPr="004C5C80" w:rsidRDefault="009563B4" w:rsidP="00734F4D">
      <w:pPr>
        <w:pStyle w:val="Heading2"/>
        <w:rPr>
          <w:lang w:val="en-US"/>
        </w:rPr>
      </w:pPr>
      <w:bookmarkStart w:id="365" w:name="_Toc12612959"/>
      <w:bookmarkStart w:id="366" w:name="_Toc42027156"/>
      <w:bookmarkStart w:id="367" w:name="_Toc42262664"/>
      <w:bookmarkStart w:id="368" w:name="_Toc58398606"/>
      <w:r w:rsidRPr="004C5C80">
        <w:rPr>
          <w:lang w:val="en-US"/>
        </w:rPr>
        <w:lastRenderedPageBreak/>
        <w:t>Annex B: Response to Project Reviews</w:t>
      </w:r>
      <w:bookmarkEnd w:id="365"/>
      <w:bookmarkEnd w:id="366"/>
      <w:bookmarkEnd w:id="367"/>
      <w:bookmarkEnd w:id="368"/>
      <w:r w:rsidRPr="004C5C80">
        <w:rPr>
          <w:lang w:val="en-US"/>
        </w:rPr>
        <w:t xml:space="preserve"> </w:t>
      </w:r>
    </w:p>
    <w:p w14:paraId="02274049" w14:textId="77777777" w:rsidR="009563B4" w:rsidRPr="0044787F" w:rsidRDefault="009563B4" w:rsidP="009563B4">
      <w:pPr>
        <w:rPr>
          <w:i/>
          <w:iCs/>
          <w:sz w:val="18"/>
          <w:szCs w:val="18"/>
        </w:rPr>
      </w:pPr>
    </w:p>
    <w:p w14:paraId="36D9DB28" w14:textId="4346A9B9" w:rsidR="009563B4" w:rsidRDefault="005423B0" w:rsidP="009563B4">
      <w:pPr>
        <w:rPr>
          <w:rFonts w:asciiTheme="minorHAnsi" w:hAnsiTheme="minorHAnsi" w:cstheme="minorHAnsi"/>
          <w:bCs/>
          <w:color w:val="000000"/>
          <w:sz w:val="21"/>
          <w:szCs w:val="21"/>
        </w:rPr>
      </w:pPr>
      <w:r w:rsidRPr="008A55AD">
        <w:rPr>
          <w:rFonts w:asciiTheme="minorHAnsi" w:hAnsiTheme="minorHAnsi" w:cstheme="minorHAnsi"/>
          <w:bCs/>
          <w:color w:val="000000"/>
          <w:sz w:val="21"/>
          <w:szCs w:val="21"/>
        </w:rPr>
        <w:t xml:space="preserve">No comments were provided </w:t>
      </w:r>
      <w:r w:rsidR="001F18B7">
        <w:rPr>
          <w:rFonts w:asciiTheme="minorHAnsi" w:hAnsiTheme="minorHAnsi" w:cstheme="minorHAnsi"/>
          <w:bCs/>
          <w:color w:val="000000"/>
          <w:sz w:val="21"/>
          <w:szCs w:val="21"/>
        </w:rPr>
        <w:t>specifically for this project</w:t>
      </w:r>
      <w:r w:rsidRPr="008A55AD">
        <w:rPr>
          <w:rFonts w:asciiTheme="minorHAnsi" w:hAnsiTheme="minorHAnsi" w:cstheme="minorHAnsi"/>
          <w:bCs/>
          <w:color w:val="000000"/>
          <w:sz w:val="21"/>
          <w:szCs w:val="21"/>
        </w:rPr>
        <w:t xml:space="preserve"> at PIF stage. Please </w:t>
      </w:r>
      <w:r w:rsidR="00443520">
        <w:rPr>
          <w:rFonts w:asciiTheme="minorHAnsi" w:hAnsiTheme="minorHAnsi" w:cstheme="minorHAnsi"/>
          <w:bCs/>
          <w:color w:val="000000"/>
          <w:sz w:val="21"/>
          <w:szCs w:val="21"/>
        </w:rPr>
        <w:t>r</w:t>
      </w:r>
      <w:r w:rsidR="00351FBE" w:rsidRPr="008A55AD">
        <w:rPr>
          <w:rFonts w:asciiTheme="minorHAnsi" w:hAnsiTheme="minorHAnsi" w:cstheme="minorHAnsi"/>
          <w:bCs/>
          <w:color w:val="000000"/>
          <w:sz w:val="21"/>
          <w:szCs w:val="21"/>
        </w:rPr>
        <w:t>efer to</w:t>
      </w:r>
      <w:r w:rsidR="00443520">
        <w:rPr>
          <w:rFonts w:asciiTheme="minorHAnsi" w:hAnsiTheme="minorHAnsi" w:cstheme="minorHAnsi"/>
          <w:bCs/>
          <w:color w:val="000000"/>
          <w:sz w:val="21"/>
          <w:szCs w:val="21"/>
        </w:rPr>
        <w:t xml:space="preserve"> Annex B in the </w:t>
      </w:r>
      <w:r w:rsidR="001238BA">
        <w:rPr>
          <w:rFonts w:asciiTheme="minorHAnsi" w:hAnsiTheme="minorHAnsi" w:cstheme="minorHAnsi"/>
          <w:bCs/>
          <w:color w:val="000000"/>
          <w:sz w:val="21"/>
          <w:szCs w:val="21"/>
        </w:rPr>
        <w:t>p</w:t>
      </w:r>
      <w:r w:rsidR="00443520">
        <w:rPr>
          <w:rFonts w:asciiTheme="minorHAnsi" w:hAnsiTheme="minorHAnsi" w:cstheme="minorHAnsi"/>
          <w:bCs/>
          <w:color w:val="000000"/>
          <w:sz w:val="21"/>
          <w:szCs w:val="21"/>
        </w:rPr>
        <w:t xml:space="preserve">roject </w:t>
      </w:r>
      <w:r w:rsidR="001238BA">
        <w:rPr>
          <w:rFonts w:asciiTheme="minorHAnsi" w:hAnsiTheme="minorHAnsi" w:cstheme="minorHAnsi"/>
          <w:bCs/>
          <w:color w:val="000000"/>
          <w:sz w:val="21"/>
          <w:szCs w:val="21"/>
        </w:rPr>
        <w:t>d</w:t>
      </w:r>
      <w:r w:rsidR="00443520">
        <w:rPr>
          <w:rFonts w:asciiTheme="minorHAnsi" w:hAnsiTheme="minorHAnsi" w:cstheme="minorHAnsi"/>
          <w:bCs/>
          <w:color w:val="000000"/>
          <w:sz w:val="21"/>
          <w:szCs w:val="21"/>
        </w:rPr>
        <w:t>ocument</w:t>
      </w:r>
      <w:r w:rsidR="001238BA">
        <w:rPr>
          <w:rFonts w:asciiTheme="minorHAnsi" w:hAnsiTheme="minorHAnsi" w:cstheme="minorHAnsi"/>
          <w:bCs/>
          <w:color w:val="000000"/>
          <w:sz w:val="21"/>
          <w:szCs w:val="21"/>
        </w:rPr>
        <w:t xml:space="preserve"> for the </w:t>
      </w:r>
      <w:r w:rsidRPr="008A55AD">
        <w:rPr>
          <w:rFonts w:asciiTheme="minorHAnsi" w:hAnsiTheme="minorHAnsi" w:cstheme="minorHAnsi"/>
          <w:bCs/>
          <w:color w:val="000000"/>
          <w:sz w:val="21"/>
          <w:szCs w:val="21"/>
        </w:rPr>
        <w:t>GCP</w:t>
      </w:r>
      <w:r w:rsidR="001238BA">
        <w:rPr>
          <w:rFonts w:asciiTheme="minorHAnsi" w:hAnsiTheme="minorHAnsi" w:cstheme="minorHAnsi"/>
          <w:bCs/>
          <w:color w:val="000000"/>
          <w:sz w:val="21"/>
          <w:szCs w:val="21"/>
        </w:rPr>
        <w:t>,</w:t>
      </w:r>
      <w:r w:rsidRPr="008A55AD">
        <w:rPr>
          <w:rFonts w:asciiTheme="minorHAnsi" w:hAnsiTheme="minorHAnsi" w:cstheme="minorHAnsi"/>
          <w:bCs/>
          <w:color w:val="000000"/>
          <w:sz w:val="21"/>
          <w:szCs w:val="21"/>
        </w:rPr>
        <w:t xml:space="preserve"> which </w:t>
      </w:r>
      <w:r w:rsidR="008A55AD" w:rsidRPr="008A55AD">
        <w:rPr>
          <w:rFonts w:asciiTheme="minorHAnsi" w:hAnsiTheme="minorHAnsi" w:cstheme="minorHAnsi"/>
          <w:bCs/>
          <w:color w:val="000000"/>
          <w:sz w:val="21"/>
          <w:szCs w:val="21"/>
        </w:rPr>
        <w:t xml:space="preserve">addresses the response to </w:t>
      </w:r>
      <w:r w:rsidR="0008578F">
        <w:rPr>
          <w:rFonts w:asciiTheme="minorHAnsi" w:hAnsiTheme="minorHAnsi" w:cstheme="minorHAnsi"/>
          <w:bCs/>
          <w:color w:val="000000"/>
          <w:sz w:val="21"/>
          <w:szCs w:val="21"/>
        </w:rPr>
        <w:t xml:space="preserve">the overall program and </w:t>
      </w:r>
      <w:r w:rsidR="008A55AD" w:rsidRPr="008A55AD">
        <w:rPr>
          <w:rFonts w:asciiTheme="minorHAnsi" w:hAnsiTheme="minorHAnsi" w:cstheme="minorHAnsi"/>
          <w:bCs/>
          <w:color w:val="000000"/>
          <w:sz w:val="21"/>
          <w:szCs w:val="21"/>
        </w:rPr>
        <w:t xml:space="preserve">projects. </w:t>
      </w:r>
      <w:r w:rsidR="00E06772">
        <w:rPr>
          <w:rFonts w:asciiTheme="minorHAnsi" w:hAnsiTheme="minorHAnsi" w:cstheme="minorHAnsi"/>
          <w:bCs/>
          <w:color w:val="000000"/>
          <w:sz w:val="21"/>
          <w:szCs w:val="21"/>
        </w:rPr>
        <w:t xml:space="preserve">File </w:t>
      </w:r>
      <w:r w:rsidR="0047426E">
        <w:rPr>
          <w:rFonts w:asciiTheme="minorHAnsi" w:hAnsiTheme="minorHAnsi" w:cstheme="minorHAnsi"/>
          <w:bCs/>
          <w:color w:val="000000"/>
          <w:sz w:val="21"/>
          <w:szCs w:val="21"/>
        </w:rPr>
        <w:t>available upon request.</w:t>
      </w:r>
    </w:p>
    <w:p w14:paraId="06081AFF" w14:textId="77777777" w:rsidR="009563B4" w:rsidRPr="00CE1EA7" w:rsidRDefault="009563B4" w:rsidP="009563B4">
      <w:pPr>
        <w:rPr>
          <w:color w:val="000000"/>
          <w:sz w:val="16"/>
          <w:szCs w:val="16"/>
        </w:rPr>
      </w:pPr>
    </w:p>
    <w:p w14:paraId="000067F5" w14:textId="77777777" w:rsidR="009563B4" w:rsidRPr="005E50C8" w:rsidRDefault="009563B4" w:rsidP="009563B4">
      <w:pPr>
        <w:pStyle w:val="Heading3"/>
        <w:rPr>
          <w:rFonts w:asciiTheme="minorHAnsi" w:hAnsiTheme="minorHAnsi" w:cstheme="minorHAnsi"/>
          <w:sz w:val="21"/>
          <w:szCs w:val="21"/>
        </w:rPr>
      </w:pPr>
      <w:bookmarkStart w:id="369" w:name="_Toc42027157"/>
      <w:bookmarkStart w:id="370" w:name="_Toc42262665"/>
      <w:r w:rsidRPr="005E50C8">
        <w:rPr>
          <w:rFonts w:asciiTheme="minorHAnsi" w:hAnsiTheme="minorHAnsi" w:cstheme="minorHAnsi"/>
          <w:sz w:val="21"/>
          <w:szCs w:val="21"/>
        </w:rPr>
        <w:t>B1) Comments at IP Approval Stage</w:t>
      </w:r>
      <w:bookmarkEnd w:id="369"/>
      <w:bookmarkEnd w:id="370"/>
      <w:r w:rsidRPr="005E50C8">
        <w:rPr>
          <w:rFonts w:asciiTheme="minorHAnsi" w:hAnsiTheme="minorHAnsi" w:cstheme="minorHAnsi"/>
          <w:sz w:val="21"/>
          <w:szCs w:val="21"/>
        </w:rPr>
        <w:t xml:space="preserve"> </w:t>
      </w:r>
    </w:p>
    <w:p w14:paraId="7436A35E" w14:textId="77777777" w:rsidR="009563B4" w:rsidRPr="005E50C8" w:rsidRDefault="009563B4" w:rsidP="009563B4">
      <w:pPr>
        <w:pStyle w:val="Heading4"/>
        <w:rPr>
          <w:rFonts w:asciiTheme="minorHAnsi" w:hAnsiTheme="minorHAnsi" w:cstheme="minorHAnsi"/>
          <w:sz w:val="21"/>
          <w:szCs w:val="21"/>
        </w:rPr>
      </w:pPr>
      <w:bookmarkStart w:id="371" w:name="_Toc42027158"/>
      <w:bookmarkStart w:id="372" w:name="_Toc42262666"/>
      <w:r w:rsidRPr="005E50C8">
        <w:rPr>
          <w:rFonts w:asciiTheme="minorHAnsi" w:hAnsiTheme="minorHAnsi" w:cstheme="minorHAnsi"/>
          <w:sz w:val="21"/>
          <w:szCs w:val="21"/>
        </w:rPr>
        <w:t>1a) Applicable STAP Comments at the IP Approval Stage and FAO’s response</w:t>
      </w:r>
      <w:bookmarkEnd w:id="371"/>
      <w:bookmarkEnd w:id="372"/>
    </w:p>
    <w:tbl>
      <w:tblPr>
        <w:tblW w:w="12929" w:type="dxa"/>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2929"/>
      </w:tblGrid>
      <w:tr w:rsidR="00DA42EB" w:rsidRPr="005E50C8" w14:paraId="29250208" w14:textId="77777777" w:rsidTr="00481CA4">
        <w:tc>
          <w:tcPr>
            <w:tcW w:w="12929" w:type="dxa"/>
            <w:tcBorders>
              <w:top w:val="single" w:sz="4" w:space="0" w:color="auto"/>
              <w:left w:val="single" w:sz="4" w:space="0" w:color="auto"/>
              <w:bottom w:val="single" w:sz="4" w:space="0" w:color="auto"/>
              <w:right w:val="single" w:sz="4" w:space="0" w:color="auto"/>
            </w:tcBorders>
            <w:shd w:val="clear" w:color="auto" w:fill="D9D9D9"/>
          </w:tcPr>
          <w:p w14:paraId="6F263DFD" w14:textId="26AAAFBE" w:rsidR="009563B4" w:rsidRPr="005E50C8" w:rsidRDefault="009563B4" w:rsidP="00607A77">
            <w:pPr>
              <w:keepNext/>
              <w:tabs>
                <w:tab w:val="center" w:pos="5421"/>
                <w:tab w:val="left" w:pos="8020"/>
              </w:tabs>
              <w:rPr>
                <w:rFonts w:asciiTheme="minorHAnsi" w:hAnsiTheme="minorHAnsi" w:cstheme="minorHAnsi"/>
                <w:b/>
                <w:bCs/>
                <w:i/>
                <w:sz w:val="21"/>
                <w:szCs w:val="21"/>
              </w:rPr>
            </w:pPr>
            <w:r w:rsidRPr="005E50C8">
              <w:rPr>
                <w:rFonts w:asciiTheme="minorHAnsi" w:hAnsiTheme="minorHAnsi" w:cstheme="minorHAnsi"/>
                <w:b/>
                <w:bCs/>
                <w:i/>
                <w:sz w:val="21"/>
                <w:szCs w:val="21"/>
              </w:rPr>
              <w:t>STAP Scientific and Technical screening of the Child Project</w:t>
            </w:r>
          </w:p>
        </w:tc>
      </w:tr>
    </w:tbl>
    <w:p w14:paraId="0BCBAEC6" w14:textId="77777777" w:rsidR="009563B4" w:rsidRPr="005E50C8" w:rsidRDefault="009563B4" w:rsidP="009563B4">
      <w:pPr>
        <w:keepNext/>
        <w:rPr>
          <w:rFonts w:asciiTheme="minorHAnsi" w:hAnsiTheme="minorHAnsi" w:cstheme="minorHAnsi"/>
          <w:sz w:val="21"/>
          <w:szCs w:val="21"/>
        </w:rPr>
      </w:pPr>
    </w:p>
    <w:tbl>
      <w:tblPr>
        <w:tblW w:w="12929" w:type="dxa"/>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2929"/>
      </w:tblGrid>
      <w:tr w:rsidR="003228B0" w:rsidRPr="005E50C8" w14:paraId="360B3ED4" w14:textId="77777777" w:rsidTr="00481CA4">
        <w:trPr>
          <w:trHeight w:val="128"/>
        </w:trPr>
        <w:tc>
          <w:tcPr>
            <w:tcW w:w="12929" w:type="dxa"/>
            <w:tcBorders>
              <w:top w:val="single" w:sz="4" w:space="0" w:color="auto"/>
            </w:tcBorders>
            <w:shd w:val="clear" w:color="auto" w:fill="auto"/>
          </w:tcPr>
          <w:p w14:paraId="1FFC8872" w14:textId="66AC66A1" w:rsidR="009563B4" w:rsidRPr="005E50C8" w:rsidRDefault="009563B4" w:rsidP="00481CA4">
            <w:pPr>
              <w:keepNext/>
              <w:rPr>
                <w:rFonts w:asciiTheme="minorHAnsi" w:hAnsiTheme="minorHAnsi" w:cstheme="minorHAnsi"/>
                <w:color w:val="FF0000"/>
                <w:sz w:val="21"/>
                <w:szCs w:val="21"/>
              </w:rPr>
            </w:pPr>
            <w:r w:rsidRPr="005E50C8">
              <w:rPr>
                <w:rFonts w:asciiTheme="minorHAnsi" w:hAnsiTheme="minorHAnsi" w:cstheme="minorHAnsi"/>
                <w:b/>
                <w:sz w:val="21"/>
                <w:szCs w:val="21"/>
              </w:rPr>
              <w:t>Overall STAP assessment:</w:t>
            </w:r>
          </w:p>
        </w:tc>
      </w:tr>
    </w:tbl>
    <w:p w14:paraId="68761471" w14:textId="77777777" w:rsidR="009563B4" w:rsidRPr="005E50C8" w:rsidRDefault="009563B4" w:rsidP="009563B4">
      <w:pPr>
        <w:keepNext/>
        <w:rPr>
          <w:rFonts w:asciiTheme="minorHAnsi" w:hAnsiTheme="minorHAnsi" w:cstheme="minorHAnsi"/>
          <w:sz w:val="21"/>
          <w:szCs w:val="21"/>
        </w:rPr>
      </w:pPr>
    </w:p>
    <w:tbl>
      <w:tblPr>
        <w:tblW w:w="12929" w:type="dxa"/>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444"/>
        <w:gridCol w:w="5995"/>
        <w:gridCol w:w="2490"/>
      </w:tblGrid>
      <w:tr w:rsidR="00871AA1" w:rsidRPr="005E50C8" w14:paraId="56E444AE" w14:textId="77777777" w:rsidTr="00481CA4">
        <w:trPr>
          <w:trHeight w:val="254"/>
        </w:trPr>
        <w:tc>
          <w:tcPr>
            <w:tcW w:w="4444" w:type="dxa"/>
            <w:tcBorders>
              <w:top w:val="single" w:sz="4" w:space="0" w:color="auto"/>
              <w:bottom w:val="single" w:sz="4" w:space="0" w:color="auto"/>
            </w:tcBorders>
            <w:shd w:val="clear" w:color="auto" w:fill="E7E6E6" w:themeFill="background2"/>
          </w:tcPr>
          <w:p w14:paraId="14FB338E" w14:textId="77777777" w:rsidR="009563B4" w:rsidRPr="005E50C8" w:rsidRDefault="009563B4" w:rsidP="00481CA4">
            <w:pPr>
              <w:keepNext/>
              <w:rPr>
                <w:rFonts w:asciiTheme="minorHAnsi" w:hAnsiTheme="minorHAnsi" w:cstheme="minorHAnsi"/>
                <w:b/>
                <w:bCs/>
                <w:sz w:val="21"/>
                <w:szCs w:val="21"/>
              </w:rPr>
            </w:pPr>
            <w:r w:rsidRPr="005E50C8">
              <w:rPr>
                <w:rFonts w:asciiTheme="minorHAnsi" w:hAnsiTheme="minorHAnsi" w:cstheme="minorHAnsi"/>
                <w:b/>
                <w:bCs/>
                <w:sz w:val="21"/>
                <w:szCs w:val="21"/>
              </w:rPr>
              <w:t>STAP Comments</w:t>
            </w:r>
          </w:p>
        </w:tc>
        <w:tc>
          <w:tcPr>
            <w:tcW w:w="5995" w:type="dxa"/>
            <w:tcBorders>
              <w:top w:val="single" w:sz="4" w:space="0" w:color="auto"/>
              <w:bottom w:val="single" w:sz="4" w:space="0" w:color="auto"/>
            </w:tcBorders>
            <w:shd w:val="clear" w:color="auto" w:fill="E7E6E6" w:themeFill="background2"/>
          </w:tcPr>
          <w:p w14:paraId="03F595C6" w14:textId="77777777" w:rsidR="009563B4" w:rsidRPr="005E50C8" w:rsidRDefault="009563B4" w:rsidP="00481CA4">
            <w:pPr>
              <w:keepNext/>
              <w:rPr>
                <w:rFonts w:asciiTheme="minorHAnsi" w:hAnsiTheme="minorHAnsi" w:cstheme="minorHAnsi"/>
                <w:b/>
                <w:bCs/>
                <w:iCs/>
                <w:sz w:val="21"/>
                <w:szCs w:val="21"/>
              </w:rPr>
            </w:pPr>
            <w:r w:rsidRPr="005E50C8">
              <w:rPr>
                <w:rFonts w:asciiTheme="minorHAnsi" w:hAnsiTheme="minorHAnsi" w:cstheme="minorHAnsi"/>
                <w:b/>
                <w:bCs/>
                <w:sz w:val="21"/>
                <w:szCs w:val="21"/>
              </w:rPr>
              <w:t>Responses</w:t>
            </w:r>
          </w:p>
        </w:tc>
        <w:tc>
          <w:tcPr>
            <w:tcW w:w="2490" w:type="dxa"/>
            <w:tcBorders>
              <w:top w:val="single" w:sz="4" w:space="0" w:color="auto"/>
              <w:bottom w:val="single" w:sz="4" w:space="0" w:color="auto"/>
            </w:tcBorders>
            <w:shd w:val="clear" w:color="auto" w:fill="E7E6E6" w:themeFill="background2"/>
          </w:tcPr>
          <w:p w14:paraId="7F7F6F78" w14:textId="77777777" w:rsidR="009563B4" w:rsidRPr="005E50C8" w:rsidRDefault="009563B4" w:rsidP="00481CA4">
            <w:pPr>
              <w:keepNext/>
              <w:rPr>
                <w:rFonts w:asciiTheme="minorHAnsi" w:hAnsiTheme="minorHAnsi" w:cstheme="minorHAnsi"/>
                <w:b/>
                <w:bCs/>
                <w:iCs/>
                <w:sz w:val="21"/>
                <w:szCs w:val="21"/>
              </w:rPr>
            </w:pPr>
            <w:r w:rsidRPr="005E50C8">
              <w:rPr>
                <w:rFonts w:asciiTheme="minorHAnsi" w:hAnsiTheme="minorHAnsi" w:cstheme="minorHAnsi"/>
                <w:b/>
                <w:bCs/>
                <w:sz w:val="21"/>
                <w:szCs w:val="21"/>
              </w:rPr>
              <w:t>Document reference</w:t>
            </w:r>
          </w:p>
        </w:tc>
      </w:tr>
      <w:tr w:rsidR="00871AA1" w:rsidRPr="005E50C8" w14:paraId="25516F7F" w14:textId="77777777" w:rsidTr="00351FBE">
        <w:trPr>
          <w:trHeight w:val="134"/>
        </w:trPr>
        <w:tc>
          <w:tcPr>
            <w:tcW w:w="4444" w:type="dxa"/>
            <w:tcBorders>
              <w:top w:val="single" w:sz="4" w:space="0" w:color="auto"/>
              <w:bottom w:val="single" w:sz="4" w:space="0" w:color="auto"/>
            </w:tcBorders>
            <w:shd w:val="clear" w:color="auto" w:fill="auto"/>
          </w:tcPr>
          <w:p w14:paraId="3C552FCF" w14:textId="77777777" w:rsidR="009563B4" w:rsidRPr="005E50C8" w:rsidRDefault="009563B4" w:rsidP="00481CA4">
            <w:pPr>
              <w:rPr>
                <w:rFonts w:asciiTheme="minorHAnsi" w:hAnsiTheme="minorHAnsi" w:cstheme="minorHAnsi"/>
                <w:sz w:val="21"/>
                <w:szCs w:val="21"/>
              </w:rPr>
            </w:pPr>
          </w:p>
        </w:tc>
        <w:tc>
          <w:tcPr>
            <w:tcW w:w="5995" w:type="dxa"/>
            <w:tcBorders>
              <w:top w:val="single" w:sz="4" w:space="0" w:color="auto"/>
              <w:bottom w:val="single" w:sz="4" w:space="0" w:color="auto"/>
            </w:tcBorders>
            <w:shd w:val="clear" w:color="auto" w:fill="auto"/>
          </w:tcPr>
          <w:p w14:paraId="2B17DA36" w14:textId="19DC72BE" w:rsidR="009563B4" w:rsidRPr="005E50C8" w:rsidRDefault="009563B4" w:rsidP="00481CA4">
            <w:pPr>
              <w:pStyle w:val="ParagraphOED"/>
              <w:numPr>
                <w:ilvl w:val="0"/>
                <w:numId w:val="0"/>
              </w:numPr>
              <w:rPr>
                <w:rFonts w:asciiTheme="minorHAnsi" w:hAnsiTheme="minorHAnsi" w:cstheme="minorHAnsi"/>
                <w:szCs w:val="21"/>
              </w:rPr>
            </w:pPr>
          </w:p>
        </w:tc>
        <w:tc>
          <w:tcPr>
            <w:tcW w:w="2490" w:type="dxa"/>
            <w:tcBorders>
              <w:top w:val="single" w:sz="4" w:space="0" w:color="auto"/>
              <w:bottom w:val="single" w:sz="4" w:space="0" w:color="auto"/>
            </w:tcBorders>
            <w:shd w:val="clear" w:color="auto" w:fill="auto"/>
          </w:tcPr>
          <w:p w14:paraId="4D1B246E" w14:textId="5C112C46" w:rsidR="009563B4" w:rsidRPr="005E50C8" w:rsidRDefault="009563B4" w:rsidP="00481CA4">
            <w:pPr>
              <w:rPr>
                <w:rFonts w:asciiTheme="minorHAnsi" w:hAnsiTheme="minorHAnsi" w:cstheme="minorHAnsi"/>
                <w:iCs/>
                <w:sz w:val="21"/>
                <w:szCs w:val="21"/>
              </w:rPr>
            </w:pPr>
          </w:p>
        </w:tc>
      </w:tr>
    </w:tbl>
    <w:p w14:paraId="6BB76785" w14:textId="77777777" w:rsidR="009563B4" w:rsidRPr="005E50C8" w:rsidRDefault="009563B4" w:rsidP="009563B4">
      <w:pPr>
        <w:pStyle w:val="Heading4"/>
        <w:rPr>
          <w:rFonts w:asciiTheme="minorHAnsi" w:hAnsiTheme="minorHAnsi" w:cstheme="minorHAnsi"/>
          <w:sz w:val="21"/>
          <w:szCs w:val="21"/>
        </w:rPr>
      </w:pPr>
      <w:bookmarkStart w:id="373" w:name="_Toc42027159"/>
      <w:bookmarkStart w:id="374" w:name="_Toc42262667"/>
      <w:r w:rsidRPr="005E50C8">
        <w:rPr>
          <w:rFonts w:asciiTheme="minorHAnsi" w:hAnsiTheme="minorHAnsi" w:cstheme="minorHAnsi"/>
          <w:sz w:val="21"/>
          <w:szCs w:val="21"/>
        </w:rPr>
        <w:t>1b) GEF Council Comments at PIF Stage and FAO’s response</w:t>
      </w:r>
      <w:bookmarkEnd w:id="373"/>
      <w:bookmarkEnd w:id="374"/>
    </w:p>
    <w:tbl>
      <w:tblPr>
        <w:tblW w:w="12929" w:type="dxa"/>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707"/>
        <w:gridCol w:w="5670"/>
        <w:gridCol w:w="2552"/>
      </w:tblGrid>
      <w:tr w:rsidR="00871AA1" w:rsidRPr="005E50C8" w14:paraId="5469D8E0" w14:textId="77777777" w:rsidTr="00481CA4">
        <w:trPr>
          <w:tblHeader/>
        </w:trPr>
        <w:tc>
          <w:tcPr>
            <w:tcW w:w="4707" w:type="dxa"/>
            <w:tcBorders>
              <w:top w:val="single" w:sz="4" w:space="0" w:color="auto"/>
              <w:bottom w:val="single" w:sz="4" w:space="0" w:color="auto"/>
            </w:tcBorders>
            <w:shd w:val="clear" w:color="auto" w:fill="E7E6E6" w:themeFill="background2"/>
          </w:tcPr>
          <w:p w14:paraId="760B4403" w14:textId="77777777" w:rsidR="009563B4" w:rsidRPr="005E50C8" w:rsidRDefault="009563B4" w:rsidP="00481CA4">
            <w:pPr>
              <w:keepNext/>
              <w:rPr>
                <w:rFonts w:asciiTheme="minorHAnsi" w:hAnsiTheme="minorHAnsi" w:cstheme="minorHAnsi"/>
                <w:b/>
                <w:bCs/>
                <w:sz w:val="21"/>
                <w:szCs w:val="21"/>
              </w:rPr>
            </w:pPr>
            <w:r w:rsidRPr="005E50C8">
              <w:rPr>
                <w:rFonts w:asciiTheme="minorHAnsi" w:hAnsiTheme="minorHAnsi" w:cstheme="minorHAnsi"/>
                <w:b/>
                <w:bCs/>
                <w:sz w:val="21"/>
                <w:szCs w:val="21"/>
              </w:rPr>
              <w:t>GEF Secretariat Comments</w:t>
            </w:r>
          </w:p>
        </w:tc>
        <w:tc>
          <w:tcPr>
            <w:tcW w:w="5670" w:type="dxa"/>
            <w:tcBorders>
              <w:top w:val="single" w:sz="4" w:space="0" w:color="auto"/>
              <w:bottom w:val="single" w:sz="4" w:space="0" w:color="auto"/>
            </w:tcBorders>
            <w:shd w:val="clear" w:color="auto" w:fill="E7E6E6" w:themeFill="background2"/>
          </w:tcPr>
          <w:p w14:paraId="293D1A1B" w14:textId="77777777" w:rsidR="009563B4" w:rsidRPr="005E50C8" w:rsidRDefault="009563B4" w:rsidP="00481CA4">
            <w:pPr>
              <w:keepNext/>
              <w:rPr>
                <w:rFonts w:asciiTheme="minorHAnsi" w:hAnsiTheme="minorHAnsi" w:cstheme="minorHAnsi"/>
                <w:b/>
                <w:bCs/>
                <w:iCs/>
                <w:sz w:val="21"/>
                <w:szCs w:val="21"/>
              </w:rPr>
            </w:pPr>
            <w:r w:rsidRPr="005E50C8">
              <w:rPr>
                <w:rFonts w:asciiTheme="minorHAnsi" w:hAnsiTheme="minorHAnsi" w:cstheme="minorHAnsi"/>
                <w:b/>
                <w:bCs/>
                <w:sz w:val="21"/>
                <w:szCs w:val="21"/>
              </w:rPr>
              <w:t>Responses</w:t>
            </w:r>
          </w:p>
        </w:tc>
        <w:tc>
          <w:tcPr>
            <w:tcW w:w="2552" w:type="dxa"/>
            <w:tcBorders>
              <w:top w:val="single" w:sz="4" w:space="0" w:color="auto"/>
              <w:bottom w:val="single" w:sz="4" w:space="0" w:color="auto"/>
            </w:tcBorders>
            <w:shd w:val="clear" w:color="auto" w:fill="E7E6E6" w:themeFill="background2"/>
          </w:tcPr>
          <w:p w14:paraId="281F50C2" w14:textId="77777777" w:rsidR="009563B4" w:rsidRPr="005E50C8" w:rsidRDefault="009563B4" w:rsidP="00481CA4">
            <w:pPr>
              <w:keepNext/>
              <w:rPr>
                <w:rFonts w:asciiTheme="minorHAnsi" w:hAnsiTheme="minorHAnsi" w:cstheme="minorHAnsi"/>
                <w:b/>
                <w:bCs/>
                <w:iCs/>
                <w:sz w:val="21"/>
                <w:szCs w:val="21"/>
              </w:rPr>
            </w:pPr>
            <w:r w:rsidRPr="005E50C8">
              <w:rPr>
                <w:rFonts w:asciiTheme="minorHAnsi" w:hAnsiTheme="minorHAnsi" w:cstheme="minorHAnsi"/>
                <w:b/>
                <w:bCs/>
                <w:sz w:val="21"/>
                <w:szCs w:val="21"/>
              </w:rPr>
              <w:t>Document reference</w:t>
            </w:r>
          </w:p>
        </w:tc>
      </w:tr>
      <w:tr w:rsidR="00871AA1" w:rsidRPr="005E50C8" w14:paraId="23E54932" w14:textId="77777777" w:rsidTr="00351FBE">
        <w:trPr>
          <w:trHeight w:val="80"/>
        </w:trPr>
        <w:tc>
          <w:tcPr>
            <w:tcW w:w="4707" w:type="dxa"/>
            <w:tcBorders>
              <w:top w:val="single" w:sz="4" w:space="0" w:color="auto"/>
              <w:bottom w:val="single" w:sz="4" w:space="0" w:color="auto"/>
            </w:tcBorders>
            <w:shd w:val="clear" w:color="auto" w:fill="auto"/>
          </w:tcPr>
          <w:p w14:paraId="71A8CF2F" w14:textId="77777777" w:rsidR="009563B4" w:rsidRPr="005E50C8" w:rsidRDefault="009563B4" w:rsidP="00481CA4">
            <w:pPr>
              <w:rPr>
                <w:rFonts w:asciiTheme="minorHAnsi" w:hAnsiTheme="minorHAnsi" w:cstheme="minorHAnsi"/>
                <w:sz w:val="21"/>
                <w:szCs w:val="21"/>
              </w:rPr>
            </w:pPr>
          </w:p>
        </w:tc>
        <w:tc>
          <w:tcPr>
            <w:tcW w:w="5670" w:type="dxa"/>
            <w:tcBorders>
              <w:top w:val="single" w:sz="4" w:space="0" w:color="auto"/>
              <w:bottom w:val="single" w:sz="4" w:space="0" w:color="auto"/>
            </w:tcBorders>
            <w:shd w:val="clear" w:color="auto" w:fill="auto"/>
          </w:tcPr>
          <w:p w14:paraId="74214145" w14:textId="02F20300" w:rsidR="009563B4" w:rsidRPr="005E50C8" w:rsidRDefault="009563B4" w:rsidP="00481CA4">
            <w:pPr>
              <w:pStyle w:val="ParagraphOED"/>
              <w:numPr>
                <w:ilvl w:val="0"/>
                <w:numId w:val="0"/>
              </w:numPr>
              <w:rPr>
                <w:rFonts w:asciiTheme="minorHAnsi" w:hAnsiTheme="minorHAnsi" w:cstheme="minorHAnsi"/>
                <w:szCs w:val="21"/>
              </w:rPr>
            </w:pPr>
          </w:p>
        </w:tc>
        <w:tc>
          <w:tcPr>
            <w:tcW w:w="2552" w:type="dxa"/>
            <w:tcBorders>
              <w:top w:val="single" w:sz="4" w:space="0" w:color="auto"/>
              <w:bottom w:val="single" w:sz="4" w:space="0" w:color="auto"/>
            </w:tcBorders>
            <w:shd w:val="clear" w:color="auto" w:fill="auto"/>
          </w:tcPr>
          <w:p w14:paraId="3AD1F65E" w14:textId="70F1AFCB" w:rsidR="009563B4" w:rsidRPr="005E50C8" w:rsidRDefault="009563B4" w:rsidP="00481CA4">
            <w:pPr>
              <w:rPr>
                <w:rFonts w:asciiTheme="minorHAnsi" w:hAnsiTheme="minorHAnsi" w:cstheme="minorHAnsi"/>
                <w:iCs/>
                <w:sz w:val="21"/>
                <w:szCs w:val="21"/>
              </w:rPr>
            </w:pPr>
          </w:p>
        </w:tc>
      </w:tr>
    </w:tbl>
    <w:p w14:paraId="5E9B1884" w14:textId="77777777" w:rsidR="009563B4" w:rsidRPr="005E50C8" w:rsidRDefault="009563B4" w:rsidP="009563B4">
      <w:pPr>
        <w:pStyle w:val="Heading3"/>
        <w:rPr>
          <w:rFonts w:asciiTheme="minorHAnsi" w:hAnsiTheme="minorHAnsi" w:cstheme="minorHAnsi"/>
          <w:sz w:val="21"/>
          <w:szCs w:val="21"/>
        </w:rPr>
      </w:pPr>
      <w:bookmarkStart w:id="375" w:name="_Toc42027160"/>
      <w:bookmarkStart w:id="376" w:name="_Toc42262668"/>
      <w:r w:rsidRPr="005E50C8">
        <w:rPr>
          <w:rFonts w:asciiTheme="minorHAnsi" w:hAnsiTheme="minorHAnsi" w:cstheme="minorHAnsi"/>
          <w:sz w:val="21"/>
          <w:szCs w:val="21"/>
        </w:rPr>
        <w:t>B2) Comments at PRODOC for CEO Endorsement Stage</w:t>
      </w:r>
      <w:bookmarkEnd w:id="375"/>
      <w:bookmarkEnd w:id="376"/>
    </w:p>
    <w:p w14:paraId="23503A4B" w14:textId="3188C2F8" w:rsidR="009563B4" w:rsidRPr="005E50C8" w:rsidRDefault="009563B4" w:rsidP="009563B4">
      <w:pPr>
        <w:rPr>
          <w:rFonts w:asciiTheme="minorHAnsi" w:hAnsiTheme="minorHAnsi" w:cstheme="minorHAnsi"/>
          <w:color w:val="000000"/>
          <w:sz w:val="21"/>
          <w:szCs w:val="21"/>
        </w:rPr>
        <w:sectPr w:rsidR="009563B4" w:rsidRPr="005E50C8" w:rsidSect="00903274">
          <w:headerReference w:type="even" r:id="rId109"/>
          <w:headerReference w:type="default" r:id="rId110"/>
          <w:headerReference w:type="first" r:id="rId111"/>
          <w:pgSz w:w="16838" w:h="11906" w:orient="landscape" w:code="9"/>
          <w:pgMar w:top="1440" w:right="1440" w:bottom="1440" w:left="1440" w:header="720" w:footer="720" w:gutter="0"/>
          <w:cols w:space="720"/>
          <w:docGrid w:linePitch="360"/>
        </w:sectPr>
      </w:pPr>
      <w:r w:rsidRPr="005E50C8">
        <w:rPr>
          <w:rFonts w:asciiTheme="minorHAnsi" w:hAnsiTheme="minorHAnsi" w:cstheme="minorHAnsi"/>
          <w:sz w:val="21"/>
          <w:szCs w:val="21"/>
        </w:rPr>
        <w:t xml:space="preserve"> </w:t>
      </w:r>
      <w:r w:rsidRPr="005E50C8">
        <w:rPr>
          <w:rFonts w:asciiTheme="minorHAnsi" w:hAnsiTheme="minorHAnsi" w:cstheme="minorHAnsi"/>
          <w:color w:val="000000"/>
          <w:sz w:val="21"/>
          <w:szCs w:val="21"/>
        </w:rPr>
        <w:t>Not applicable</w:t>
      </w:r>
    </w:p>
    <w:p w14:paraId="57D90C03" w14:textId="77777777" w:rsidR="009563B4" w:rsidRPr="00C42A4D" w:rsidRDefault="009563B4" w:rsidP="00B30DC3">
      <w:pPr>
        <w:pStyle w:val="Heading2"/>
        <w:rPr>
          <w:lang w:val="en-US"/>
        </w:rPr>
      </w:pPr>
      <w:bookmarkStart w:id="377" w:name="_Toc12612960"/>
      <w:bookmarkStart w:id="378" w:name="_Toc42027161"/>
      <w:bookmarkStart w:id="379" w:name="_Toc42262669"/>
      <w:bookmarkStart w:id="380" w:name="_Toc58398607"/>
      <w:r w:rsidRPr="00C42A4D">
        <w:rPr>
          <w:rStyle w:val="Heading2Char"/>
          <w:rFonts w:ascii="Calibri" w:hAnsi="Calibri"/>
          <w:b/>
          <w:bCs/>
          <w:iCs/>
          <w:smallCaps/>
          <w:lang w:val="en-US"/>
        </w:rPr>
        <w:lastRenderedPageBreak/>
        <w:t>Annex C</w:t>
      </w:r>
      <w:r w:rsidRPr="00C42A4D">
        <w:rPr>
          <w:lang w:val="en-US"/>
        </w:rPr>
        <w:t>: Status of Utilization of Project Preparation Grant (PPG)</w:t>
      </w:r>
      <w:bookmarkEnd w:id="377"/>
      <w:bookmarkEnd w:id="378"/>
      <w:bookmarkEnd w:id="379"/>
      <w:bookmarkEnd w:id="380"/>
      <w:r w:rsidRPr="00C42A4D">
        <w:rPr>
          <w:lang w:val="en-US"/>
        </w:rPr>
        <w:t xml:space="preserve"> </w:t>
      </w:r>
    </w:p>
    <w:tbl>
      <w:tblPr>
        <w:tblW w:w="4909" w:type="pct"/>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852"/>
      </w:tblGrid>
      <w:tr w:rsidR="009563B4" w:rsidRPr="008A3B62" w14:paraId="6A20487C" w14:textId="77777777" w:rsidTr="00481CA4">
        <w:trPr>
          <w:trHeight w:val="233"/>
        </w:trPr>
        <w:tc>
          <w:tcPr>
            <w:tcW w:w="5000" w:type="pct"/>
          </w:tcPr>
          <w:p w14:paraId="1AFCAA5C" w14:textId="569B8C1E" w:rsidR="009563B4" w:rsidRPr="008A3B62" w:rsidRDefault="009563B4" w:rsidP="00481CA4">
            <w:pPr>
              <w:rPr>
                <w:rFonts w:asciiTheme="minorHAnsi" w:hAnsiTheme="minorHAnsi" w:cstheme="minorHAnsi"/>
                <w:sz w:val="21"/>
                <w:szCs w:val="21"/>
              </w:rPr>
            </w:pPr>
            <w:r w:rsidRPr="008A3B62">
              <w:rPr>
                <w:rFonts w:asciiTheme="minorHAnsi" w:hAnsiTheme="minorHAnsi" w:cstheme="minorHAnsi"/>
                <w:smallCaps/>
                <w:color w:val="000000"/>
                <w:sz w:val="21"/>
                <w:szCs w:val="21"/>
              </w:rPr>
              <w:br/>
              <w:t xml:space="preserve">        </w:t>
            </w:r>
            <w:r w:rsidRPr="008A3B62">
              <w:rPr>
                <w:rFonts w:asciiTheme="minorHAnsi" w:hAnsiTheme="minorHAnsi" w:cstheme="minorHAnsi"/>
                <w:sz w:val="21"/>
                <w:szCs w:val="21"/>
              </w:rPr>
              <w:t xml:space="preserve">PPG Grant Approved at PIF:  </w:t>
            </w:r>
            <w:r w:rsidR="00C90C8E">
              <w:rPr>
                <w:rFonts w:asciiTheme="minorHAnsi" w:hAnsiTheme="minorHAnsi" w:cstheme="minorHAnsi"/>
                <w:sz w:val="21"/>
                <w:szCs w:val="21"/>
              </w:rPr>
              <w:t>200,000 USD</w:t>
            </w:r>
          </w:p>
        </w:tc>
      </w:tr>
    </w:tbl>
    <w:p w14:paraId="7389BEAC" w14:textId="77777777" w:rsidR="009563B4" w:rsidRPr="008A3B62" w:rsidRDefault="009563B4" w:rsidP="009563B4">
      <w:pPr>
        <w:rPr>
          <w:rFonts w:asciiTheme="minorHAnsi" w:hAnsiTheme="minorHAnsi" w:cstheme="minorHAnsi"/>
          <w:sz w:val="21"/>
          <w:szCs w:val="21"/>
        </w:rPr>
      </w:pPr>
    </w:p>
    <w:tbl>
      <w:tblPr>
        <w:tblW w:w="4909" w:type="pct"/>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933"/>
        <w:gridCol w:w="1475"/>
        <w:gridCol w:w="1723"/>
        <w:gridCol w:w="1721"/>
      </w:tblGrid>
      <w:tr w:rsidR="009563B4" w:rsidRPr="008A3B62" w14:paraId="6E24C192" w14:textId="77777777" w:rsidTr="52E9CA4B">
        <w:trPr>
          <w:trHeight w:val="233"/>
        </w:trPr>
        <w:tc>
          <w:tcPr>
            <w:tcW w:w="2222" w:type="pct"/>
            <w:vMerge w:val="restart"/>
            <w:vAlign w:val="center"/>
          </w:tcPr>
          <w:p w14:paraId="0664AF78" w14:textId="77777777" w:rsidR="009563B4" w:rsidRPr="008A3B62" w:rsidRDefault="009563B4" w:rsidP="00481CA4">
            <w:pPr>
              <w:rPr>
                <w:rFonts w:asciiTheme="minorHAnsi" w:hAnsiTheme="minorHAnsi" w:cstheme="minorHAnsi"/>
                <w:b/>
                <w:sz w:val="21"/>
                <w:szCs w:val="21"/>
              </w:rPr>
            </w:pPr>
            <w:r w:rsidRPr="008A3B62">
              <w:rPr>
                <w:rFonts w:asciiTheme="minorHAnsi" w:hAnsiTheme="minorHAnsi" w:cstheme="minorHAnsi"/>
                <w:b/>
                <w:i/>
                <w:sz w:val="21"/>
                <w:szCs w:val="21"/>
              </w:rPr>
              <w:t>Project Preparation Activities Implemented</w:t>
            </w:r>
          </w:p>
        </w:tc>
        <w:tc>
          <w:tcPr>
            <w:tcW w:w="2778" w:type="pct"/>
            <w:gridSpan w:val="3"/>
          </w:tcPr>
          <w:p w14:paraId="5FAC401F" w14:textId="77777777" w:rsidR="009563B4" w:rsidRPr="008A3B62" w:rsidRDefault="009563B4" w:rsidP="00481CA4">
            <w:pPr>
              <w:rPr>
                <w:rFonts w:asciiTheme="minorHAnsi" w:hAnsiTheme="minorHAnsi" w:cstheme="minorHAnsi"/>
                <w:b/>
                <w:i/>
                <w:sz w:val="21"/>
                <w:szCs w:val="21"/>
              </w:rPr>
            </w:pPr>
            <w:r w:rsidRPr="008A3B62">
              <w:rPr>
                <w:rFonts w:asciiTheme="minorHAnsi" w:hAnsiTheme="minorHAnsi" w:cstheme="minorHAnsi"/>
                <w:b/>
                <w:i/>
                <w:sz w:val="21"/>
                <w:szCs w:val="21"/>
              </w:rPr>
              <w:t>GETF/LDCF/SCCF Amount ($)</w:t>
            </w:r>
          </w:p>
        </w:tc>
      </w:tr>
      <w:tr w:rsidR="009563B4" w:rsidRPr="008A3B62" w14:paraId="27DEE831" w14:textId="77777777" w:rsidTr="52E9CA4B">
        <w:trPr>
          <w:trHeight w:val="232"/>
        </w:trPr>
        <w:tc>
          <w:tcPr>
            <w:tcW w:w="2222" w:type="pct"/>
            <w:vMerge/>
          </w:tcPr>
          <w:p w14:paraId="1322F5DA" w14:textId="77777777" w:rsidR="009563B4" w:rsidRPr="008A3B62" w:rsidRDefault="009563B4" w:rsidP="00481CA4">
            <w:pPr>
              <w:rPr>
                <w:rFonts w:asciiTheme="minorHAnsi" w:hAnsiTheme="minorHAnsi" w:cstheme="minorHAnsi"/>
                <w:b/>
                <w:sz w:val="21"/>
                <w:szCs w:val="21"/>
              </w:rPr>
            </w:pPr>
          </w:p>
        </w:tc>
        <w:tc>
          <w:tcPr>
            <w:tcW w:w="833" w:type="pct"/>
          </w:tcPr>
          <w:p w14:paraId="3F3E70C1" w14:textId="77777777" w:rsidR="009563B4" w:rsidRPr="008A3B62" w:rsidRDefault="009563B4" w:rsidP="00481CA4">
            <w:pPr>
              <w:rPr>
                <w:rFonts w:asciiTheme="minorHAnsi" w:hAnsiTheme="minorHAnsi" w:cstheme="minorHAnsi"/>
                <w:b/>
                <w:i/>
                <w:sz w:val="21"/>
                <w:szCs w:val="21"/>
              </w:rPr>
            </w:pPr>
            <w:r w:rsidRPr="008A3B62">
              <w:rPr>
                <w:rFonts w:asciiTheme="minorHAnsi" w:hAnsiTheme="minorHAnsi" w:cstheme="minorHAnsi"/>
                <w:b/>
                <w:i/>
                <w:sz w:val="21"/>
                <w:szCs w:val="21"/>
              </w:rPr>
              <w:t>Budgeted Amount</w:t>
            </w:r>
          </w:p>
        </w:tc>
        <w:tc>
          <w:tcPr>
            <w:tcW w:w="973" w:type="pct"/>
          </w:tcPr>
          <w:p w14:paraId="59787DAB" w14:textId="56513DEB" w:rsidR="009563B4" w:rsidRPr="008A3B62" w:rsidRDefault="009563B4" w:rsidP="00481CA4">
            <w:pPr>
              <w:rPr>
                <w:rFonts w:asciiTheme="minorHAnsi" w:hAnsiTheme="minorHAnsi" w:cstheme="minorHAnsi"/>
                <w:i/>
                <w:sz w:val="21"/>
                <w:szCs w:val="21"/>
              </w:rPr>
            </w:pPr>
            <w:r w:rsidRPr="008A3B62">
              <w:rPr>
                <w:rFonts w:asciiTheme="minorHAnsi" w:hAnsiTheme="minorHAnsi" w:cstheme="minorHAnsi"/>
                <w:b/>
                <w:i/>
                <w:sz w:val="21"/>
                <w:szCs w:val="21"/>
              </w:rPr>
              <w:t>Amount Spent To</w:t>
            </w:r>
            <w:r w:rsidR="008A3B62" w:rsidRPr="008A3B62">
              <w:rPr>
                <w:rFonts w:asciiTheme="minorHAnsi" w:hAnsiTheme="minorHAnsi" w:cstheme="minorHAnsi"/>
                <w:b/>
                <w:i/>
                <w:sz w:val="21"/>
                <w:szCs w:val="21"/>
              </w:rPr>
              <w:t xml:space="preserve"> </w:t>
            </w:r>
            <w:r w:rsidRPr="008A3B62">
              <w:rPr>
                <w:rFonts w:asciiTheme="minorHAnsi" w:hAnsiTheme="minorHAnsi" w:cstheme="minorHAnsi"/>
                <w:b/>
                <w:i/>
                <w:sz w:val="21"/>
                <w:szCs w:val="21"/>
              </w:rPr>
              <w:t>date</w:t>
            </w:r>
          </w:p>
        </w:tc>
        <w:tc>
          <w:tcPr>
            <w:tcW w:w="972" w:type="pct"/>
            <w:shd w:val="clear" w:color="auto" w:fill="auto"/>
          </w:tcPr>
          <w:p w14:paraId="7E79F5FD" w14:textId="77777777" w:rsidR="009563B4" w:rsidRPr="008A3B62" w:rsidRDefault="009563B4" w:rsidP="00481CA4">
            <w:pPr>
              <w:rPr>
                <w:rFonts w:asciiTheme="minorHAnsi" w:hAnsiTheme="minorHAnsi" w:cstheme="minorHAnsi"/>
                <w:i/>
                <w:sz w:val="21"/>
                <w:szCs w:val="21"/>
              </w:rPr>
            </w:pPr>
            <w:r w:rsidRPr="008A3B62">
              <w:rPr>
                <w:rFonts w:asciiTheme="minorHAnsi" w:hAnsiTheme="minorHAnsi" w:cstheme="minorHAnsi"/>
                <w:b/>
                <w:i/>
                <w:sz w:val="21"/>
                <w:szCs w:val="21"/>
              </w:rPr>
              <w:t>Amount Committed</w:t>
            </w:r>
          </w:p>
        </w:tc>
      </w:tr>
      <w:tr w:rsidR="00961D91" w:rsidRPr="008A3B62" w14:paraId="1E86B981" w14:textId="77777777" w:rsidTr="52E9CA4B">
        <w:tc>
          <w:tcPr>
            <w:tcW w:w="2222" w:type="pct"/>
          </w:tcPr>
          <w:p w14:paraId="2D7E6E41" w14:textId="67449230" w:rsidR="00961D91" w:rsidRPr="003D62DD" w:rsidRDefault="00961D91" w:rsidP="00961D91">
            <w:pPr>
              <w:rPr>
                <w:rFonts w:asciiTheme="minorHAnsi" w:hAnsiTheme="minorHAnsi" w:cstheme="minorHAnsi"/>
                <w:b/>
                <w:sz w:val="21"/>
                <w:szCs w:val="21"/>
                <w:u w:val="single"/>
              </w:rPr>
            </w:pPr>
            <w:r w:rsidRPr="003D62DD">
              <w:rPr>
                <w:rFonts w:asciiTheme="minorHAnsi" w:hAnsiTheme="minorHAnsi" w:cstheme="minorHAnsi"/>
                <w:color w:val="000000"/>
                <w:sz w:val="21"/>
                <w:szCs w:val="21"/>
              </w:rPr>
              <w:t>5011 Salaries Professional</w:t>
            </w:r>
          </w:p>
        </w:tc>
        <w:tc>
          <w:tcPr>
            <w:tcW w:w="833" w:type="pct"/>
            <w:vAlign w:val="bottom"/>
          </w:tcPr>
          <w:p w14:paraId="66586DE8" w14:textId="5C8F5CA8" w:rsidR="00961D91" w:rsidRPr="00C90C8E" w:rsidRDefault="00E54DC3" w:rsidP="52E9CA4B">
            <w:pPr>
              <w:spacing w:line="259" w:lineRule="auto"/>
              <w:jc w:val="right"/>
            </w:pPr>
            <w:r w:rsidRPr="52E9CA4B">
              <w:rPr>
                <w:rFonts w:asciiTheme="minorHAnsi" w:hAnsiTheme="minorHAnsi" w:cstheme="minorBidi"/>
                <w:color w:val="000000" w:themeColor="text1"/>
                <w:sz w:val="21"/>
                <w:szCs w:val="21"/>
              </w:rPr>
              <w:t>8,491</w:t>
            </w:r>
          </w:p>
        </w:tc>
        <w:tc>
          <w:tcPr>
            <w:tcW w:w="973" w:type="pct"/>
          </w:tcPr>
          <w:p w14:paraId="697D4342" w14:textId="0CBB254B" w:rsidR="00961D91" w:rsidRPr="00C90C8E" w:rsidRDefault="1C1088BF" w:rsidP="52E9CA4B">
            <w:pPr>
              <w:jc w:val="right"/>
              <w:rPr>
                <w:rFonts w:asciiTheme="minorHAnsi" w:hAnsiTheme="minorHAnsi" w:cstheme="minorBidi"/>
                <w:color w:val="000000" w:themeColor="text1"/>
                <w:sz w:val="21"/>
                <w:szCs w:val="21"/>
              </w:rPr>
            </w:pPr>
            <w:r w:rsidRPr="52E9CA4B">
              <w:rPr>
                <w:rFonts w:asciiTheme="minorHAnsi" w:hAnsiTheme="minorHAnsi" w:cstheme="minorBidi"/>
                <w:color w:val="000000" w:themeColor="text1"/>
                <w:sz w:val="21"/>
                <w:szCs w:val="21"/>
              </w:rPr>
              <w:t>-</w:t>
            </w:r>
          </w:p>
        </w:tc>
        <w:tc>
          <w:tcPr>
            <w:tcW w:w="972" w:type="pct"/>
            <w:shd w:val="clear" w:color="auto" w:fill="auto"/>
            <w:vAlign w:val="bottom"/>
          </w:tcPr>
          <w:p w14:paraId="058A1CFD" w14:textId="20817413" w:rsidR="00961D91" w:rsidRPr="00C90C8E" w:rsidRDefault="4ABC1283" w:rsidP="52E9CA4B">
            <w:pPr>
              <w:jc w:val="right"/>
              <w:rPr>
                <w:rFonts w:ascii="Calibri" w:hAnsi="Calibri" w:cs="Calibri"/>
                <w:color w:val="000000" w:themeColor="text1"/>
                <w:sz w:val="21"/>
                <w:szCs w:val="21"/>
              </w:rPr>
            </w:pPr>
            <w:r w:rsidRPr="52E9CA4B">
              <w:rPr>
                <w:rFonts w:ascii="Calibri" w:hAnsi="Calibri" w:cs="Calibri"/>
                <w:color w:val="000000" w:themeColor="text1"/>
                <w:sz w:val="21"/>
                <w:szCs w:val="21"/>
              </w:rPr>
              <w:t>8,491</w:t>
            </w:r>
          </w:p>
        </w:tc>
      </w:tr>
      <w:tr w:rsidR="00961D91" w:rsidRPr="008A3B62" w14:paraId="12F6A067" w14:textId="77777777" w:rsidTr="52E9CA4B">
        <w:tc>
          <w:tcPr>
            <w:tcW w:w="2222" w:type="pct"/>
          </w:tcPr>
          <w:p w14:paraId="755F9F30" w14:textId="16607142" w:rsidR="00961D91" w:rsidRPr="003D62DD" w:rsidRDefault="00961D91" w:rsidP="00961D91">
            <w:pPr>
              <w:rPr>
                <w:rFonts w:asciiTheme="minorHAnsi" w:hAnsiTheme="minorHAnsi" w:cstheme="minorHAnsi"/>
                <w:sz w:val="21"/>
                <w:szCs w:val="21"/>
              </w:rPr>
            </w:pPr>
            <w:r w:rsidRPr="003D62DD">
              <w:rPr>
                <w:rFonts w:asciiTheme="minorHAnsi" w:hAnsiTheme="minorHAnsi" w:cstheme="minorHAnsi"/>
                <w:color w:val="000000"/>
                <w:sz w:val="21"/>
                <w:szCs w:val="21"/>
              </w:rPr>
              <w:t>5013 Consultants</w:t>
            </w:r>
          </w:p>
        </w:tc>
        <w:tc>
          <w:tcPr>
            <w:tcW w:w="833" w:type="pct"/>
            <w:vAlign w:val="bottom"/>
          </w:tcPr>
          <w:p w14:paraId="706AF024" w14:textId="2C455C1B" w:rsidR="00961D91" w:rsidRPr="00C90C8E" w:rsidRDefault="00961D91" w:rsidP="52E9CA4B">
            <w:pPr>
              <w:jc w:val="right"/>
              <w:rPr>
                <w:rFonts w:asciiTheme="minorHAnsi" w:hAnsiTheme="minorHAnsi" w:cstheme="minorBidi"/>
                <w:sz w:val="21"/>
                <w:szCs w:val="21"/>
              </w:rPr>
            </w:pPr>
            <w:r w:rsidRPr="52E9CA4B">
              <w:rPr>
                <w:rFonts w:asciiTheme="minorHAnsi" w:hAnsiTheme="minorHAnsi" w:cstheme="minorBidi"/>
                <w:color w:val="000000" w:themeColor="text1"/>
                <w:sz w:val="21"/>
                <w:szCs w:val="21"/>
              </w:rPr>
              <w:t>9</w:t>
            </w:r>
            <w:r w:rsidR="7AEE6984" w:rsidRPr="52E9CA4B">
              <w:rPr>
                <w:rFonts w:asciiTheme="minorHAnsi" w:hAnsiTheme="minorHAnsi" w:cstheme="minorBidi"/>
                <w:color w:val="000000" w:themeColor="text1"/>
                <w:sz w:val="21"/>
                <w:szCs w:val="21"/>
              </w:rPr>
              <w:t>0,450</w:t>
            </w:r>
          </w:p>
        </w:tc>
        <w:tc>
          <w:tcPr>
            <w:tcW w:w="973" w:type="pct"/>
            <w:vAlign w:val="bottom"/>
          </w:tcPr>
          <w:p w14:paraId="518B9115" w14:textId="3B8C906A" w:rsidR="00961D91" w:rsidRPr="00C90C8E" w:rsidRDefault="00D696F0" w:rsidP="52E9CA4B">
            <w:pPr>
              <w:spacing w:line="259" w:lineRule="auto"/>
              <w:jc w:val="right"/>
            </w:pPr>
            <w:r w:rsidRPr="52E9CA4B">
              <w:rPr>
                <w:rFonts w:ascii="Calibri" w:hAnsi="Calibri" w:cs="Calibri"/>
                <w:color w:val="000000" w:themeColor="text1"/>
                <w:sz w:val="21"/>
                <w:szCs w:val="21"/>
              </w:rPr>
              <w:t>118,555</w:t>
            </w:r>
          </w:p>
        </w:tc>
        <w:tc>
          <w:tcPr>
            <w:tcW w:w="972" w:type="pct"/>
            <w:shd w:val="clear" w:color="auto" w:fill="auto"/>
            <w:vAlign w:val="bottom"/>
          </w:tcPr>
          <w:p w14:paraId="7249C424" w14:textId="4D7D1C7F" w:rsidR="00961D91" w:rsidRPr="00C90C8E" w:rsidRDefault="2D134AB5" w:rsidP="52E9CA4B">
            <w:pPr>
              <w:spacing w:line="259" w:lineRule="auto"/>
              <w:jc w:val="right"/>
            </w:pPr>
            <w:r w:rsidRPr="52E9CA4B">
              <w:rPr>
                <w:rFonts w:ascii="Calibri" w:hAnsi="Calibri" w:cs="Calibri"/>
                <w:color w:val="000000" w:themeColor="text1"/>
                <w:sz w:val="21"/>
                <w:szCs w:val="21"/>
              </w:rPr>
              <w:t>(28,105)</w:t>
            </w:r>
          </w:p>
        </w:tc>
      </w:tr>
      <w:tr w:rsidR="52E9CA4B" w14:paraId="27918225" w14:textId="77777777" w:rsidTr="52E9CA4B">
        <w:tc>
          <w:tcPr>
            <w:tcW w:w="3933" w:type="dxa"/>
          </w:tcPr>
          <w:p w14:paraId="4FBFFE31" w14:textId="17F5AE87" w:rsidR="4C323004" w:rsidRDefault="4C323004" w:rsidP="52E9CA4B">
            <w:pPr>
              <w:rPr>
                <w:rFonts w:asciiTheme="minorHAnsi" w:hAnsiTheme="minorHAnsi" w:cstheme="minorBidi"/>
                <w:color w:val="000000" w:themeColor="text1"/>
                <w:sz w:val="21"/>
                <w:szCs w:val="21"/>
              </w:rPr>
            </w:pPr>
            <w:r w:rsidRPr="52E9CA4B">
              <w:rPr>
                <w:rFonts w:asciiTheme="minorHAnsi" w:hAnsiTheme="minorHAnsi" w:cstheme="minorBidi"/>
                <w:color w:val="000000" w:themeColor="text1"/>
                <w:sz w:val="21"/>
                <w:szCs w:val="21"/>
              </w:rPr>
              <w:t>5014 Contracts</w:t>
            </w:r>
          </w:p>
        </w:tc>
        <w:tc>
          <w:tcPr>
            <w:tcW w:w="1475" w:type="dxa"/>
            <w:vAlign w:val="bottom"/>
          </w:tcPr>
          <w:p w14:paraId="3E567860" w14:textId="77827DA7" w:rsidR="443C2C37" w:rsidRDefault="443C2C37" w:rsidP="52E9CA4B">
            <w:pPr>
              <w:jc w:val="right"/>
              <w:rPr>
                <w:rFonts w:asciiTheme="minorHAnsi" w:hAnsiTheme="minorHAnsi" w:cstheme="minorBidi"/>
                <w:color w:val="000000" w:themeColor="text1"/>
                <w:sz w:val="21"/>
                <w:szCs w:val="21"/>
              </w:rPr>
            </w:pPr>
            <w:r w:rsidRPr="52E9CA4B">
              <w:rPr>
                <w:rFonts w:asciiTheme="minorHAnsi" w:hAnsiTheme="minorHAnsi" w:cstheme="minorBidi"/>
                <w:color w:val="000000" w:themeColor="text1"/>
                <w:sz w:val="21"/>
                <w:szCs w:val="21"/>
              </w:rPr>
              <w:t>5,250</w:t>
            </w:r>
          </w:p>
        </w:tc>
        <w:tc>
          <w:tcPr>
            <w:tcW w:w="1723" w:type="dxa"/>
            <w:vAlign w:val="bottom"/>
          </w:tcPr>
          <w:p w14:paraId="30DFC8AB" w14:textId="4ABA7881" w:rsidR="443C2C37" w:rsidRDefault="443C2C37" w:rsidP="52E9CA4B">
            <w:pPr>
              <w:jc w:val="right"/>
              <w:rPr>
                <w:rFonts w:ascii="Calibri" w:hAnsi="Calibri" w:cs="Calibri"/>
                <w:color w:val="000000" w:themeColor="text1"/>
                <w:sz w:val="21"/>
                <w:szCs w:val="21"/>
              </w:rPr>
            </w:pPr>
            <w:r w:rsidRPr="52E9CA4B">
              <w:rPr>
                <w:rFonts w:ascii="Calibri" w:hAnsi="Calibri" w:cs="Calibri"/>
                <w:color w:val="000000" w:themeColor="text1"/>
                <w:sz w:val="21"/>
                <w:szCs w:val="21"/>
              </w:rPr>
              <w:t>-</w:t>
            </w:r>
          </w:p>
        </w:tc>
        <w:tc>
          <w:tcPr>
            <w:tcW w:w="1721" w:type="dxa"/>
            <w:shd w:val="clear" w:color="auto" w:fill="auto"/>
            <w:vAlign w:val="bottom"/>
          </w:tcPr>
          <w:p w14:paraId="6389154A" w14:textId="089C30A8" w:rsidR="651BE268" w:rsidRDefault="651BE268" w:rsidP="52E9CA4B">
            <w:pPr>
              <w:jc w:val="right"/>
              <w:rPr>
                <w:rFonts w:ascii="Calibri" w:hAnsi="Calibri" w:cs="Calibri"/>
                <w:color w:val="000000" w:themeColor="text1"/>
                <w:sz w:val="21"/>
                <w:szCs w:val="21"/>
              </w:rPr>
            </w:pPr>
            <w:r w:rsidRPr="52E9CA4B">
              <w:rPr>
                <w:rFonts w:ascii="Calibri" w:hAnsi="Calibri" w:cs="Calibri"/>
                <w:color w:val="000000" w:themeColor="text1"/>
                <w:sz w:val="21"/>
                <w:szCs w:val="21"/>
              </w:rPr>
              <w:t>5,250</w:t>
            </w:r>
          </w:p>
        </w:tc>
      </w:tr>
      <w:tr w:rsidR="52E9CA4B" w14:paraId="29B13DD3" w14:textId="77777777" w:rsidTr="52E9CA4B">
        <w:tc>
          <w:tcPr>
            <w:tcW w:w="3933" w:type="dxa"/>
          </w:tcPr>
          <w:p w14:paraId="000F2111" w14:textId="0392C183" w:rsidR="3076300B" w:rsidRDefault="3076300B" w:rsidP="52E9CA4B">
            <w:pPr>
              <w:rPr>
                <w:rFonts w:asciiTheme="minorHAnsi" w:hAnsiTheme="minorHAnsi" w:cstheme="minorBidi"/>
                <w:color w:val="000000" w:themeColor="text1"/>
                <w:sz w:val="21"/>
                <w:szCs w:val="21"/>
              </w:rPr>
            </w:pPr>
            <w:r w:rsidRPr="52E9CA4B">
              <w:rPr>
                <w:rFonts w:asciiTheme="minorHAnsi" w:hAnsiTheme="minorHAnsi" w:cstheme="minorBidi"/>
                <w:color w:val="000000" w:themeColor="text1"/>
                <w:sz w:val="21"/>
                <w:szCs w:val="21"/>
              </w:rPr>
              <w:t>5020 Locally Contracted Labour</w:t>
            </w:r>
          </w:p>
        </w:tc>
        <w:tc>
          <w:tcPr>
            <w:tcW w:w="1475" w:type="dxa"/>
            <w:vAlign w:val="bottom"/>
          </w:tcPr>
          <w:p w14:paraId="6AEF2764" w14:textId="04AB023B" w:rsidR="45345E2E" w:rsidRDefault="45345E2E" w:rsidP="52E9CA4B">
            <w:pPr>
              <w:jc w:val="right"/>
              <w:rPr>
                <w:rFonts w:asciiTheme="minorHAnsi" w:hAnsiTheme="minorHAnsi" w:cstheme="minorBidi"/>
                <w:color w:val="000000" w:themeColor="text1"/>
                <w:sz w:val="21"/>
                <w:szCs w:val="21"/>
              </w:rPr>
            </w:pPr>
            <w:r w:rsidRPr="52E9CA4B">
              <w:rPr>
                <w:rFonts w:asciiTheme="minorHAnsi" w:hAnsiTheme="minorHAnsi" w:cstheme="minorBidi"/>
                <w:color w:val="000000" w:themeColor="text1"/>
                <w:sz w:val="21"/>
                <w:szCs w:val="21"/>
              </w:rPr>
              <w:t>12,600</w:t>
            </w:r>
          </w:p>
        </w:tc>
        <w:tc>
          <w:tcPr>
            <w:tcW w:w="1723" w:type="dxa"/>
            <w:vAlign w:val="bottom"/>
          </w:tcPr>
          <w:p w14:paraId="1A43E9A1" w14:textId="33954607" w:rsidR="64CDE073" w:rsidRDefault="64CDE073" w:rsidP="52E9CA4B">
            <w:pPr>
              <w:jc w:val="right"/>
              <w:rPr>
                <w:rFonts w:ascii="Calibri" w:hAnsi="Calibri" w:cs="Calibri"/>
                <w:color w:val="000000" w:themeColor="text1"/>
                <w:sz w:val="21"/>
                <w:szCs w:val="21"/>
              </w:rPr>
            </w:pPr>
            <w:r w:rsidRPr="52E9CA4B">
              <w:rPr>
                <w:rFonts w:ascii="Calibri" w:hAnsi="Calibri" w:cs="Calibri"/>
                <w:color w:val="000000" w:themeColor="text1"/>
                <w:sz w:val="21"/>
                <w:szCs w:val="21"/>
              </w:rPr>
              <w:t>-</w:t>
            </w:r>
          </w:p>
        </w:tc>
        <w:tc>
          <w:tcPr>
            <w:tcW w:w="1721" w:type="dxa"/>
            <w:shd w:val="clear" w:color="auto" w:fill="auto"/>
            <w:vAlign w:val="bottom"/>
          </w:tcPr>
          <w:p w14:paraId="44D1F005" w14:textId="05F1F3AE" w:rsidR="7D5F5CAC" w:rsidRDefault="7D5F5CAC" w:rsidP="52E9CA4B">
            <w:pPr>
              <w:jc w:val="right"/>
              <w:rPr>
                <w:rFonts w:ascii="Calibri" w:hAnsi="Calibri" w:cs="Calibri"/>
                <w:color w:val="000000" w:themeColor="text1"/>
                <w:sz w:val="21"/>
                <w:szCs w:val="21"/>
              </w:rPr>
            </w:pPr>
            <w:r w:rsidRPr="52E9CA4B">
              <w:rPr>
                <w:rFonts w:ascii="Calibri" w:hAnsi="Calibri" w:cs="Calibri"/>
                <w:color w:val="000000" w:themeColor="text1"/>
                <w:sz w:val="21"/>
                <w:szCs w:val="21"/>
              </w:rPr>
              <w:t>12,600</w:t>
            </w:r>
          </w:p>
        </w:tc>
      </w:tr>
      <w:tr w:rsidR="00961D91" w:rsidRPr="008A3B62" w14:paraId="3752DC80" w14:textId="77777777" w:rsidTr="52E9CA4B">
        <w:tc>
          <w:tcPr>
            <w:tcW w:w="2222" w:type="pct"/>
          </w:tcPr>
          <w:p w14:paraId="66601F61" w14:textId="55AD2F10" w:rsidR="00961D91" w:rsidRPr="003D62DD" w:rsidRDefault="00961D91" w:rsidP="00961D91">
            <w:pPr>
              <w:rPr>
                <w:rFonts w:asciiTheme="minorHAnsi" w:hAnsiTheme="minorHAnsi" w:cstheme="minorHAnsi"/>
                <w:sz w:val="21"/>
                <w:szCs w:val="21"/>
              </w:rPr>
            </w:pPr>
            <w:r w:rsidRPr="003D62DD">
              <w:rPr>
                <w:rFonts w:asciiTheme="minorHAnsi" w:hAnsiTheme="minorHAnsi" w:cstheme="minorHAnsi"/>
                <w:color w:val="000000"/>
                <w:sz w:val="21"/>
                <w:szCs w:val="21"/>
              </w:rPr>
              <w:t>5021 Travel</w:t>
            </w:r>
          </w:p>
        </w:tc>
        <w:tc>
          <w:tcPr>
            <w:tcW w:w="833" w:type="pct"/>
            <w:vAlign w:val="bottom"/>
          </w:tcPr>
          <w:p w14:paraId="10A0BEA8" w14:textId="2DDB3D36" w:rsidR="00961D91" w:rsidRPr="00C90C8E" w:rsidRDefault="0FA0A849" w:rsidP="52E9CA4B">
            <w:pPr>
              <w:jc w:val="right"/>
              <w:rPr>
                <w:rFonts w:asciiTheme="minorHAnsi" w:hAnsiTheme="minorHAnsi" w:cstheme="minorBidi"/>
                <w:color w:val="000000" w:themeColor="text1"/>
                <w:sz w:val="21"/>
                <w:szCs w:val="21"/>
              </w:rPr>
            </w:pPr>
            <w:r w:rsidRPr="52E9CA4B">
              <w:rPr>
                <w:rFonts w:asciiTheme="minorHAnsi" w:hAnsiTheme="minorHAnsi" w:cstheme="minorBidi"/>
                <w:color w:val="000000" w:themeColor="text1"/>
                <w:sz w:val="21"/>
                <w:szCs w:val="21"/>
              </w:rPr>
              <w:t>44,510</w:t>
            </w:r>
          </w:p>
        </w:tc>
        <w:tc>
          <w:tcPr>
            <w:tcW w:w="973" w:type="pct"/>
            <w:vAlign w:val="bottom"/>
          </w:tcPr>
          <w:p w14:paraId="01BEF486" w14:textId="34318CC8" w:rsidR="00961D91" w:rsidRPr="00C90C8E" w:rsidRDefault="0E3D8B2C" w:rsidP="52E9CA4B">
            <w:pPr>
              <w:spacing w:line="259" w:lineRule="auto"/>
              <w:jc w:val="right"/>
            </w:pPr>
            <w:r w:rsidRPr="52E9CA4B">
              <w:rPr>
                <w:rFonts w:ascii="Calibri" w:hAnsi="Calibri" w:cs="Calibri"/>
                <w:color w:val="000000" w:themeColor="text1"/>
                <w:sz w:val="21"/>
                <w:szCs w:val="21"/>
              </w:rPr>
              <w:t>36,911</w:t>
            </w:r>
          </w:p>
        </w:tc>
        <w:tc>
          <w:tcPr>
            <w:tcW w:w="972" w:type="pct"/>
            <w:shd w:val="clear" w:color="auto" w:fill="auto"/>
            <w:vAlign w:val="bottom"/>
          </w:tcPr>
          <w:p w14:paraId="15B762B8" w14:textId="58B02820" w:rsidR="00961D91" w:rsidRPr="00C90C8E" w:rsidRDefault="69EED48C" w:rsidP="52E9CA4B">
            <w:pPr>
              <w:jc w:val="right"/>
              <w:rPr>
                <w:rFonts w:ascii="Calibri" w:hAnsi="Calibri" w:cs="Calibri"/>
                <w:color w:val="000000" w:themeColor="text1"/>
                <w:sz w:val="21"/>
                <w:szCs w:val="21"/>
              </w:rPr>
            </w:pPr>
            <w:r w:rsidRPr="52E9CA4B">
              <w:rPr>
                <w:rFonts w:ascii="Calibri" w:hAnsi="Calibri" w:cs="Calibri"/>
                <w:color w:val="000000" w:themeColor="text1"/>
                <w:sz w:val="21"/>
                <w:szCs w:val="21"/>
              </w:rPr>
              <w:t>7,599</w:t>
            </w:r>
          </w:p>
        </w:tc>
      </w:tr>
      <w:tr w:rsidR="00961D91" w:rsidRPr="008A3B62" w14:paraId="30925B3C" w14:textId="77777777" w:rsidTr="52E9CA4B">
        <w:tc>
          <w:tcPr>
            <w:tcW w:w="2222" w:type="pct"/>
          </w:tcPr>
          <w:p w14:paraId="43CB7721" w14:textId="1FCE6DF8" w:rsidR="00961D91" w:rsidRPr="003D62DD" w:rsidRDefault="00961D91" w:rsidP="00961D91">
            <w:pPr>
              <w:rPr>
                <w:rFonts w:asciiTheme="minorHAnsi" w:hAnsiTheme="minorHAnsi" w:cstheme="minorHAnsi"/>
                <w:sz w:val="21"/>
                <w:szCs w:val="21"/>
              </w:rPr>
            </w:pPr>
            <w:r w:rsidRPr="003D62DD">
              <w:rPr>
                <w:rFonts w:asciiTheme="minorHAnsi" w:hAnsiTheme="minorHAnsi" w:cstheme="minorHAnsi"/>
                <w:color w:val="000000"/>
                <w:sz w:val="21"/>
                <w:szCs w:val="21"/>
              </w:rPr>
              <w:t>5023 Training</w:t>
            </w:r>
          </w:p>
        </w:tc>
        <w:tc>
          <w:tcPr>
            <w:tcW w:w="833" w:type="pct"/>
            <w:vAlign w:val="bottom"/>
          </w:tcPr>
          <w:p w14:paraId="6FA617AF" w14:textId="4927834E" w:rsidR="00961D91" w:rsidRPr="00C90C8E" w:rsidRDefault="060D9292" w:rsidP="52E9CA4B">
            <w:pPr>
              <w:jc w:val="right"/>
              <w:rPr>
                <w:rFonts w:asciiTheme="minorHAnsi" w:hAnsiTheme="minorHAnsi" w:cstheme="minorBidi"/>
                <w:color w:val="000000" w:themeColor="text1"/>
                <w:sz w:val="21"/>
                <w:szCs w:val="21"/>
              </w:rPr>
            </w:pPr>
            <w:r w:rsidRPr="52E9CA4B">
              <w:rPr>
                <w:rFonts w:asciiTheme="minorHAnsi" w:hAnsiTheme="minorHAnsi" w:cstheme="minorBidi"/>
                <w:color w:val="000000" w:themeColor="text1"/>
                <w:sz w:val="21"/>
                <w:szCs w:val="21"/>
              </w:rPr>
              <w:t>27,000</w:t>
            </w:r>
          </w:p>
        </w:tc>
        <w:tc>
          <w:tcPr>
            <w:tcW w:w="973" w:type="pct"/>
            <w:vAlign w:val="bottom"/>
          </w:tcPr>
          <w:p w14:paraId="51E78797" w14:textId="1F1917C0" w:rsidR="00961D91" w:rsidRPr="00C90C8E" w:rsidRDefault="4EE9750E" w:rsidP="52E9CA4B">
            <w:pPr>
              <w:jc w:val="right"/>
              <w:rPr>
                <w:rFonts w:ascii="Calibri" w:hAnsi="Calibri" w:cs="Calibri"/>
                <w:color w:val="000000" w:themeColor="text1"/>
                <w:sz w:val="21"/>
                <w:szCs w:val="21"/>
              </w:rPr>
            </w:pPr>
            <w:r w:rsidRPr="52E9CA4B">
              <w:rPr>
                <w:rFonts w:ascii="Calibri" w:hAnsi="Calibri" w:cs="Calibri"/>
                <w:color w:val="000000" w:themeColor="text1"/>
                <w:sz w:val="21"/>
                <w:szCs w:val="21"/>
              </w:rPr>
              <w:t>16,579</w:t>
            </w:r>
          </w:p>
        </w:tc>
        <w:tc>
          <w:tcPr>
            <w:tcW w:w="972" w:type="pct"/>
            <w:shd w:val="clear" w:color="auto" w:fill="auto"/>
            <w:vAlign w:val="bottom"/>
          </w:tcPr>
          <w:p w14:paraId="3A497ECD" w14:textId="2E5C28D1" w:rsidR="00961D91" w:rsidRPr="00C90C8E" w:rsidRDefault="00961D91" w:rsidP="52E9CA4B">
            <w:pPr>
              <w:jc w:val="right"/>
              <w:rPr>
                <w:rFonts w:ascii="Calibri" w:hAnsi="Calibri" w:cs="Calibri"/>
                <w:color w:val="000000" w:themeColor="text1"/>
                <w:sz w:val="21"/>
                <w:szCs w:val="21"/>
              </w:rPr>
            </w:pPr>
            <w:r w:rsidRPr="52E9CA4B">
              <w:rPr>
                <w:rFonts w:ascii="Calibri" w:hAnsi="Calibri" w:cs="Calibri"/>
                <w:color w:val="000000" w:themeColor="text1"/>
                <w:sz w:val="21"/>
                <w:szCs w:val="21"/>
              </w:rPr>
              <w:t>1</w:t>
            </w:r>
            <w:r w:rsidR="60E00586" w:rsidRPr="52E9CA4B">
              <w:rPr>
                <w:rFonts w:ascii="Calibri" w:hAnsi="Calibri" w:cs="Calibri"/>
                <w:color w:val="000000" w:themeColor="text1"/>
                <w:sz w:val="21"/>
                <w:szCs w:val="21"/>
              </w:rPr>
              <w:t>0,421</w:t>
            </w:r>
          </w:p>
        </w:tc>
      </w:tr>
      <w:tr w:rsidR="00961D91" w:rsidRPr="008A3B62" w14:paraId="17EF1A48" w14:textId="77777777" w:rsidTr="52E9CA4B">
        <w:tc>
          <w:tcPr>
            <w:tcW w:w="2222" w:type="pct"/>
          </w:tcPr>
          <w:p w14:paraId="2BA6A86B" w14:textId="4CF19A09" w:rsidR="00961D91" w:rsidRPr="003D62DD" w:rsidRDefault="00961D91" w:rsidP="00961D91">
            <w:pPr>
              <w:rPr>
                <w:rFonts w:asciiTheme="minorHAnsi" w:hAnsiTheme="minorHAnsi" w:cstheme="minorHAnsi"/>
                <w:sz w:val="21"/>
                <w:szCs w:val="21"/>
              </w:rPr>
            </w:pPr>
            <w:r w:rsidRPr="003D62DD">
              <w:rPr>
                <w:rFonts w:asciiTheme="minorHAnsi" w:hAnsiTheme="minorHAnsi" w:cstheme="minorHAnsi"/>
                <w:color w:val="000000"/>
                <w:sz w:val="21"/>
                <w:szCs w:val="21"/>
              </w:rPr>
              <w:t>5024 Expendable Procurement</w:t>
            </w:r>
          </w:p>
        </w:tc>
        <w:tc>
          <w:tcPr>
            <w:tcW w:w="833" w:type="pct"/>
            <w:vAlign w:val="bottom"/>
          </w:tcPr>
          <w:p w14:paraId="3397EE15" w14:textId="008FF1CC" w:rsidR="00961D91" w:rsidRPr="00C90C8E" w:rsidRDefault="04BADC2C" w:rsidP="52E9CA4B">
            <w:pPr>
              <w:spacing w:line="259" w:lineRule="auto"/>
              <w:jc w:val="right"/>
            </w:pPr>
            <w:r w:rsidRPr="52E9CA4B">
              <w:rPr>
                <w:rFonts w:asciiTheme="minorHAnsi" w:hAnsiTheme="minorHAnsi" w:cstheme="minorBidi"/>
                <w:color w:val="000000" w:themeColor="text1"/>
                <w:sz w:val="21"/>
                <w:szCs w:val="21"/>
              </w:rPr>
              <w:t>7,500</w:t>
            </w:r>
          </w:p>
        </w:tc>
        <w:tc>
          <w:tcPr>
            <w:tcW w:w="973" w:type="pct"/>
          </w:tcPr>
          <w:p w14:paraId="669573F8" w14:textId="7F8559F8" w:rsidR="00961D91" w:rsidRPr="00C90C8E" w:rsidRDefault="01E89DB1" w:rsidP="52E9CA4B">
            <w:pPr>
              <w:jc w:val="right"/>
              <w:rPr>
                <w:rFonts w:asciiTheme="minorHAnsi" w:hAnsiTheme="minorHAnsi" w:cstheme="minorBidi"/>
                <w:color w:val="000000" w:themeColor="text1"/>
                <w:sz w:val="21"/>
                <w:szCs w:val="21"/>
              </w:rPr>
            </w:pPr>
            <w:r w:rsidRPr="52E9CA4B">
              <w:rPr>
                <w:rFonts w:asciiTheme="minorHAnsi" w:hAnsiTheme="minorHAnsi" w:cstheme="minorBidi"/>
                <w:color w:val="000000" w:themeColor="text1"/>
                <w:sz w:val="21"/>
                <w:szCs w:val="21"/>
              </w:rPr>
              <w:t>2,305</w:t>
            </w:r>
          </w:p>
        </w:tc>
        <w:tc>
          <w:tcPr>
            <w:tcW w:w="972" w:type="pct"/>
            <w:shd w:val="clear" w:color="auto" w:fill="auto"/>
            <w:vAlign w:val="bottom"/>
          </w:tcPr>
          <w:p w14:paraId="0E8ED0DB" w14:textId="4E8BDD9F" w:rsidR="00961D91" w:rsidRPr="00C90C8E" w:rsidRDefault="00961D91" w:rsidP="52E9CA4B">
            <w:pPr>
              <w:jc w:val="right"/>
              <w:rPr>
                <w:rFonts w:asciiTheme="minorHAnsi" w:hAnsiTheme="minorHAnsi" w:cstheme="minorBidi"/>
                <w:sz w:val="21"/>
                <w:szCs w:val="21"/>
              </w:rPr>
            </w:pPr>
            <w:r w:rsidRPr="52E9CA4B">
              <w:rPr>
                <w:rFonts w:ascii="Calibri" w:hAnsi="Calibri" w:cs="Calibri"/>
                <w:color w:val="000000" w:themeColor="text1"/>
                <w:sz w:val="21"/>
                <w:szCs w:val="21"/>
              </w:rPr>
              <w:t>5,</w:t>
            </w:r>
            <w:r w:rsidR="6A7C058F" w:rsidRPr="52E9CA4B">
              <w:rPr>
                <w:rFonts w:ascii="Calibri" w:hAnsi="Calibri" w:cs="Calibri"/>
                <w:color w:val="000000" w:themeColor="text1"/>
                <w:sz w:val="21"/>
                <w:szCs w:val="21"/>
              </w:rPr>
              <w:t>195</w:t>
            </w:r>
          </w:p>
        </w:tc>
      </w:tr>
      <w:tr w:rsidR="00961D91" w:rsidRPr="008A3B62" w14:paraId="3DDC453D" w14:textId="77777777" w:rsidTr="52E9CA4B">
        <w:tc>
          <w:tcPr>
            <w:tcW w:w="2222" w:type="pct"/>
          </w:tcPr>
          <w:p w14:paraId="7A3955C9" w14:textId="5A4F171A" w:rsidR="00961D91" w:rsidRPr="003D62DD" w:rsidRDefault="00961D91" w:rsidP="00961D91">
            <w:pPr>
              <w:rPr>
                <w:rFonts w:asciiTheme="minorHAnsi" w:hAnsiTheme="minorHAnsi" w:cstheme="minorHAnsi"/>
                <w:sz w:val="21"/>
                <w:szCs w:val="21"/>
              </w:rPr>
            </w:pPr>
            <w:r w:rsidRPr="003D62DD">
              <w:rPr>
                <w:rFonts w:asciiTheme="minorHAnsi" w:hAnsiTheme="minorHAnsi" w:cstheme="minorHAnsi"/>
                <w:color w:val="000000"/>
                <w:sz w:val="21"/>
                <w:szCs w:val="21"/>
              </w:rPr>
              <w:t>5028 General Operating Expenses</w:t>
            </w:r>
          </w:p>
        </w:tc>
        <w:tc>
          <w:tcPr>
            <w:tcW w:w="833" w:type="pct"/>
            <w:vAlign w:val="bottom"/>
          </w:tcPr>
          <w:p w14:paraId="049CF0F1" w14:textId="6BABFAFA" w:rsidR="00961D91" w:rsidRPr="00C90C8E" w:rsidRDefault="698C7703" w:rsidP="52E9CA4B">
            <w:pPr>
              <w:jc w:val="right"/>
              <w:rPr>
                <w:rFonts w:asciiTheme="minorHAnsi" w:hAnsiTheme="minorHAnsi" w:cstheme="minorBidi"/>
                <w:color w:val="000000" w:themeColor="text1"/>
                <w:sz w:val="21"/>
                <w:szCs w:val="21"/>
              </w:rPr>
            </w:pPr>
            <w:r w:rsidRPr="52E9CA4B">
              <w:rPr>
                <w:rFonts w:asciiTheme="minorHAnsi" w:hAnsiTheme="minorHAnsi" w:cstheme="minorBidi"/>
                <w:color w:val="000000" w:themeColor="text1"/>
                <w:sz w:val="21"/>
                <w:szCs w:val="21"/>
              </w:rPr>
              <w:t>4,199</w:t>
            </w:r>
          </w:p>
        </w:tc>
        <w:tc>
          <w:tcPr>
            <w:tcW w:w="973" w:type="pct"/>
          </w:tcPr>
          <w:p w14:paraId="13D3F6D7" w14:textId="0D8AA11D" w:rsidR="00961D91" w:rsidRPr="00C90C8E" w:rsidRDefault="609C0DD5" w:rsidP="52E9CA4B">
            <w:pPr>
              <w:jc w:val="right"/>
              <w:rPr>
                <w:rFonts w:asciiTheme="minorHAnsi" w:hAnsiTheme="minorHAnsi" w:cstheme="minorBidi"/>
                <w:color w:val="000000" w:themeColor="text1"/>
                <w:sz w:val="21"/>
                <w:szCs w:val="21"/>
              </w:rPr>
            </w:pPr>
            <w:r w:rsidRPr="52E9CA4B">
              <w:rPr>
                <w:rFonts w:asciiTheme="minorHAnsi" w:hAnsiTheme="minorHAnsi" w:cstheme="minorBidi"/>
                <w:color w:val="000000" w:themeColor="text1"/>
                <w:sz w:val="21"/>
                <w:szCs w:val="21"/>
              </w:rPr>
              <w:t>1,283</w:t>
            </w:r>
          </w:p>
        </w:tc>
        <w:tc>
          <w:tcPr>
            <w:tcW w:w="972" w:type="pct"/>
            <w:shd w:val="clear" w:color="auto" w:fill="auto"/>
            <w:vAlign w:val="bottom"/>
          </w:tcPr>
          <w:p w14:paraId="45B14CCE" w14:textId="6AFFAAA6" w:rsidR="00961D91" w:rsidRPr="00C90C8E" w:rsidRDefault="57127EE5" w:rsidP="52E9CA4B">
            <w:pPr>
              <w:jc w:val="right"/>
              <w:rPr>
                <w:rFonts w:ascii="Calibri" w:hAnsi="Calibri" w:cs="Calibri"/>
                <w:color w:val="000000" w:themeColor="text1"/>
                <w:sz w:val="21"/>
                <w:szCs w:val="21"/>
              </w:rPr>
            </w:pPr>
            <w:r w:rsidRPr="52E9CA4B">
              <w:rPr>
                <w:rFonts w:ascii="Calibri" w:hAnsi="Calibri" w:cs="Calibri"/>
                <w:color w:val="000000" w:themeColor="text1"/>
                <w:sz w:val="21"/>
                <w:szCs w:val="21"/>
              </w:rPr>
              <w:t>2,916</w:t>
            </w:r>
          </w:p>
        </w:tc>
      </w:tr>
      <w:tr w:rsidR="009563B4" w:rsidRPr="008A3B62" w14:paraId="2BA3B17E" w14:textId="77777777" w:rsidTr="52E9CA4B">
        <w:tc>
          <w:tcPr>
            <w:tcW w:w="2222" w:type="pct"/>
            <w:tcBorders>
              <w:top w:val="double" w:sz="4" w:space="0" w:color="auto"/>
            </w:tcBorders>
          </w:tcPr>
          <w:p w14:paraId="3187480E" w14:textId="77777777" w:rsidR="009563B4" w:rsidRPr="003D62DD" w:rsidRDefault="009563B4" w:rsidP="00481CA4">
            <w:pPr>
              <w:rPr>
                <w:rFonts w:asciiTheme="minorHAnsi" w:hAnsiTheme="minorHAnsi" w:cstheme="minorHAnsi"/>
                <w:b/>
                <w:sz w:val="21"/>
                <w:szCs w:val="21"/>
              </w:rPr>
            </w:pPr>
            <w:r w:rsidRPr="003D62DD">
              <w:rPr>
                <w:rFonts w:asciiTheme="minorHAnsi" w:hAnsiTheme="minorHAnsi" w:cstheme="minorHAnsi"/>
                <w:b/>
                <w:sz w:val="21"/>
                <w:szCs w:val="21"/>
              </w:rPr>
              <w:t>Total</w:t>
            </w:r>
          </w:p>
        </w:tc>
        <w:tc>
          <w:tcPr>
            <w:tcW w:w="833" w:type="pct"/>
            <w:tcBorders>
              <w:top w:val="double" w:sz="4" w:space="0" w:color="auto"/>
            </w:tcBorders>
          </w:tcPr>
          <w:p w14:paraId="2DE411C9" w14:textId="0D7C819B" w:rsidR="009563B4" w:rsidRPr="00C90C8E" w:rsidRDefault="00484556" w:rsidP="52E9CA4B">
            <w:pPr>
              <w:jc w:val="right"/>
              <w:rPr>
                <w:rFonts w:asciiTheme="minorHAnsi" w:hAnsiTheme="minorHAnsi" w:cstheme="minorBidi"/>
                <w:b/>
                <w:bCs/>
                <w:sz w:val="21"/>
                <w:szCs w:val="21"/>
                <w:u w:val="single"/>
              </w:rPr>
            </w:pPr>
            <w:r w:rsidRPr="52E9CA4B">
              <w:rPr>
                <w:rFonts w:asciiTheme="minorHAnsi" w:hAnsiTheme="minorHAnsi" w:cstheme="minorBidi"/>
                <w:sz w:val="21"/>
                <w:szCs w:val="21"/>
              </w:rPr>
              <w:t>200,000</w:t>
            </w:r>
          </w:p>
        </w:tc>
        <w:tc>
          <w:tcPr>
            <w:tcW w:w="973" w:type="pct"/>
            <w:tcBorders>
              <w:top w:val="double" w:sz="4" w:space="0" w:color="auto"/>
            </w:tcBorders>
          </w:tcPr>
          <w:p w14:paraId="218B178D" w14:textId="794EEEFC" w:rsidR="009563B4" w:rsidRPr="00C90C8E" w:rsidRDefault="3EA4F595" w:rsidP="52E9CA4B">
            <w:pPr>
              <w:jc w:val="right"/>
              <w:rPr>
                <w:rFonts w:asciiTheme="minorHAnsi" w:hAnsiTheme="minorHAnsi" w:cstheme="minorBidi"/>
                <w:sz w:val="21"/>
                <w:szCs w:val="21"/>
              </w:rPr>
            </w:pPr>
            <w:r w:rsidRPr="52E9CA4B">
              <w:rPr>
                <w:rFonts w:asciiTheme="minorHAnsi" w:hAnsiTheme="minorHAnsi" w:cstheme="minorBidi"/>
                <w:sz w:val="21"/>
                <w:szCs w:val="21"/>
              </w:rPr>
              <w:t>175,633</w:t>
            </w:r>
          </w:p>
        </w:tc>
        <w:tc>
          <w:tcPr>
            <w:tcW w:w="972" w:type="pct"/>
            <w:tcBorders>
              <w:top w:val="double" w:sz="4" w:space="0" w:color="auto"/>
            </w:tcBorders>
            <w:shd w:val="clear" w:color="auto" w:fill="auto"/>
          </w:tcPr>
          <w:p w14:paraId="7013334B" w14:textId="550083BD" w:rsidR="009563B4" w:rsidRPr="00C90C8E" w:rsidRDefault="3CF00C4C" w:rsidP="52E9CA4B">
            <w:pPr>
              <w:jc w:val="right"/>
              <w:rPr>
                <w:rFonts w:asciiTheme="minorHAnsi" w:hAnsiTheme="minorHAnsi" w:cstheme="minorBidi"/>
                <w:sz w:val="21"/>
                <w:szCs w:val="21"/>
              </w:rPr>
            </w:pPr>
            <w:r w:rsidRPr="52E9CA4B">
              <w:rPr>
                <w:rFonts w:asciiTheme="minorHAnsi" w:hAnsiTheme="minorHAnsi" w:cstheme="minorBidi"/>
                <w:sz w:val="21"/>
                <w:szCs w:val="21"/>
              </w:rPr>
              <w:t>24,367</w:t>
            </w:r>
          </w:p>
        </w:tc>
      </w:tr>
    </w:tbl>
    <w:p w14:paraId="41DD0252" w14:textId="77777777" w:rsidR="009563B4" w:rsidRPr="008A3B62" w:rsidRDefault="009563B4" w:rsidP="009563B4">
      <w:pPr>
        <w:spacing w:after="120"/>
        <w:ind w:left="284"/>
        <w:rPr>
          <w:rFonts w:asciiTheme="minorHAnsi" w:hAnsiTheme="minorHAnsi" w:cstheme="minorHAnsi"/>
          <w:color w:val="BFBFBF" w:themeColor="background1" w:themeShade="BF"/>
          <w:sz w:val="21"/>
          <w:szCs w:val="21"/>
        </w:rPr>
      </w:pPr>
      <w:r w:rsidRPr="008A3B62">
        <w:rPr>
          <w:rFonts w:asciiTheme="minorHAnsi" w:hAnsiTheme="minorHAnsi" w:cstheme="minorHAnsi"/>
          <w:color w:val="BFBFBF" w:themeColor="background1" w:themeShade="BF"/>
          <w:sz w:val="21"/>
          <w:szCs w:val="21"/>
        </w:rPr>
        <w:t>If at CEO Endorsement, the PPG activities have not been completed and there is a balance of unspent fund, Agencies can continue to undertake exclusively preparation activities (including workshops and finalization of baseline, when needed) up to one year of CEO Endorsement/approval date.  No later than one year from CEO endorsement/approval date.  Agencies should report closing of PPG to Trustee in its Quarterly Report.</w:t>
      </w:r>
    </w:p>
    <w:p w14:paraId="56AECB92" w14:textId="77777777" w:rsidR="009563B4" w:rsidRPr="00473500" w:rsidRDefault="009563B4" w:rsidP="00B30DC3">
      <w:pPr>
        <w:pStyle w:val="Heading2"/>
        <w:rPr>
          <w:lang w:val="en-US"/>
        </w:rPr>
      </w:pPr>
      <w:bookmarkStart w:id="381" w:name="_Toc12612961"/>
      <w:bookmarkStart w:id="382" w:name="_Toc42027162"/>
      <w:bookmarkStart w:id="383" w:name="_Toc42262670"/>
      <w:bookmarkStart w:id="384" w:name="_Toc58398608"/>
      <w:r w:rsidRPr="00473500">
        <w:rPr>
          <w:lang w:val="en-US"/>
        </w:rPr>
        <w:t>Annex D: Calendar of Expected Reflows (if non-grant instrument is used)</w:t>
      </w:r>
      <w:bookmarkEnd w:id="381"/>
      <w:bookmarkEnd w:id="382"/>
      <w:bookmarkEnd w:id="383"/>
      <w:bookmarkEnd w:id="384"/>
    </w:p>
    <w:p w14:paraId="0AC47A55" w14:textId="77777777" w:rsidR="009563B4" w:rsidRPr="00CE1EA7" w:rsidRDefault="009563B4" w:rsidP="009563B4">
      <w:pPr>
        <w:rPr>
          <w:color w:val="BFBFBF" w:themeColor="background1" w:themeShade="BF"/>
          <w:sz w:val="18"/>
          <w:szCs w:val="18"/>
        </w:rPr>
      </w:pPr>
      <w:r w:rsidRPr="00CE1EA7">
        <w:rPr>
          <w:color w:val="BFBFBF" w:themeColor="background1" w:themeShade="BF"/>
          <w:sz w:val="18"/>
          <w:szCs w:val="18"/>
        </w:rPr>
        <w:t>Provide a calendar of expected reflows to the GEF/LDCF/SCCF Trust Funds or to your Agency (and/or revolving fund that will be set up)</w:t>
      </w:r>
    </w:p>
    <w:p w14:paraId="2E95BDA3" w14:textId="77777777" w:rsidR="009563B4" w:rsidRPr="00CE1EA7" w:rsidRDefault="009563B4" w:rsidP="009563B4">
      <w:pPr>
        <w:rPr>
          <w:color w:val="000000"/>
          <w:szCs w:val="20"/>
        </w:rPr>
      </w:pPr>
    </w:p>
    <w:p w14:paraId="4198D6E1" w14:textId="0CE02605" w:rsidR="009563B4" w:rsidRDefault="009563B4" w:rsidP="009563B4">
      <w:pPr>
        <w:rPr>
          <w:color w:val="000000"/>
          <w:szCs w:val="20"/>
        </w:rPr>
      </w:pPr>
      <w:r w:rsidRPr="00CE1EA7">
        <w:rPr>
          <w:color w:val="000000"/>
          <w:szCs w:val="20"/>
        </w:rPr>
        <w:t xml:space="preserve"> Not applicabl</w:t>
      </w:r>
      <w:r w:rsidR="006827CA">
        <w:rPr>
          <w:color w:val="000000"/>
          <w:szCs w:val="20"/>
        </w:rPr>
        <w:t>e</w:t>
      </w:r>
    </w:p>
    <w:p w14:paraId="1F784637" w14:textId="77777777" w:rsidR="009563B4" w:rsidRDefault="009563B4" w:rsidP="009563B4">
      <w:pPr>
        <w:spacing w:after="160" w:line="259" w:lineRule="auto"/>
        <w:rPr>
          <w:color w:val="000000"/>
          <w:szCs w:val="20"/>
        </w:rPr>
      </w:pPr>
      <w:r>
        <w:rPr>
          <w:color w:val="000000"/>
          <w:szCs w:val="20"/>
        </w:rPr>
        <w:br w:type="page"/>
      </w:r>
    </w:p>
    <w:p w14:paraId="642A629A" w14:textId="77777777" w:rsidR="009563B4" w:rsidRDefault="009563B4" w:rsidP="009563B4">
      <w:pPr>
        <w:pStyle w:val="Heading2"/>
        <w:rPr>
          <w:lang w:val="en-US"/>
        </w:rPr>
      </w:pPr>
      <w:bookmarkStart w:id="385" w:name="_Annex_E:_Project"/>
      <w:bookmarkStart w:id="386" w:name="_Toc12612962"/>
      <w:bookmarkStart w:id="387" w:name="_Toc42027163"/>
      <w:bookmarkStart w:id="388" w:name="_Toc42262671"/>
      <w:bookmarkStart w:id="389" w:name="_Toc58398609"/>
      <w:bookmarkEnd w:id="385"/>
      <w:r w:rsidRPr="001167CB">
        <w:rPr>
          <w:lang w:val="en-US"/>
        </w:rPr>
        <w:lastRenderedPageBreak/>
        <w:t>Annex E: Project Map(s) and Coordinates</w:t>
      </w:r>
      <w:bookmarkEnd w:id="386"/>
      <w:bookmarkEnd w:id="387"/>
      <w:bookmarkEnd w:id="388"/>
      <w:bookmarkEnd w:id="389"/>
    </w:p>
    <w:tbl>
      <w:tblPr>
        <w:tblStyle w:val="TableGrid"/>
        <w:tblW w:w="0" w:type="auto"/>
        <w:tblLook w:val="04A0" w:firstRow="1" w:lastRow="0" w:firstColumn="1" w:lastColumn="0" w:noHBand="0" w:noVBand="1"/>
      </w:tblPr>
      <w:tblGrid>
        <w:gridCol w:w="4508"/>
        <w:gridCol w:w="4508"/>
      </w:tblGrid>
      <w:tr w:rsidR="00CB2958" w:rsidRPr="00A03A90" w14:paraId="53473F9B" w14:textId="77777777" w:rsidTr="78C544BE">
        <w:tc>
          <w:tcPr>
            <w:tcW w:w="9016" w:type="dxa"/>
            <w:gridSpan w:val="2"/>
          </w:tcPr>
          <w:p w14:paraId="7ABA2465" w14:textId="15A86990" w:rsidR="00A03A90" w:rsidRPr="00A03A90" w:rsidRDefault="00A03A90" w:rsidP="00A03A90">
            <w:pPr>
              <w:spacing w:after="240"/>
              <w:rPr>
                <w:rFonts w:asciiTheme="minorHAnsi" w:hAnsiTheme="minorHAnsi" w:cstheme="minorHAnsi"/>
                <w:b/>
                <w:bCs/>
                <w:sz w:val="21"/>
                <w:szCs w:val="21"/>
                <w:lang w:val="en-US" w:eastAsia="x-none"/>
              </w:rPr>
            </w:pPr>
            <w:r w:rsidRPr="00A03A90">
              <w:rPr>
                <w:rFonts w:asciiTheme="minorHAnsi" w:hAnsiTheme="minorHAnsi" w:cstheme="minorHAnsi"/>
                <w:b/>
                <w:bCs/>
                <w:sz w:val="21"/>
                <w:szCs w:val="21"/>
                <w:lang w:val="en-US" w:eastAsia="x-none"/>
              </w:rPr>
              <w:t>Project location</w:t>
            </w:r>
          </w:p>
          <w:p w14:paraId="4EB00F49" w14:textId="1FFAFC9F" w:rsidR="00CB2958" w:rsidRPr="00A03A90" w:rsidRDefault="3B0684F4" w:rsidP="00FA6E1F">
            <w:pPr>
              <w:rPr>
                <w:rFonts w:asciiTheme="minorHAnsi" w:hAnsiTheme="minorHAnsi" w:cstheme="minorHAnsi"/>
                <w:sz w:val="21"/>
                <w:szCs w:val="21"/>
                <w:lang w:val="en-US" w:eastAsia="x-none"/>
              </w:rPr>
            </w:pPr>
            <w:r>
              <w:rPr>
                <w:noProof/>
              </w:rPr>
              <w:drawing>
                <wp:inline distT="0" distB="0" distL="0" distR="0" wp14:anchorId="09C846A3" wp14:editId="7B32C95E">
                  <wp:extent cx="5583024" cy="4297680"/>
                  <wp:effectExtent l="0" t="0" r="0" b="762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pic:nvPicPr>
                        <pic:blipFill>
                          <a:blip r:embed="rId112">
                            <a:extLst>
                              <a:ext uri="{28A0092B-C50C-407E-A947-70E740481C1C}">
                                <a14:useLocalDpi xmlns:a14="http://schemas.microsoft.com/office/drawing/2010/main" val="0"/>
                              </a:ext>
                            </a:extLst>
                          </a:blip>
                          <a:stretch>
                            <a:fillRect/>
                          </a:stretch>
                        </pic:blipFill>
                        <pic:spPr>
                          <a:xfrm>
                            <a:off x="0" y="0"/>
                            <a:ext cx="5583024" cy="4297680"/>
                          </a:xfrm>
                          <a:prstGeom prst="rect">
                            <a:avLst/>
                          </a:prstGeom>
                        </pic:spPr>
                      </pic:pic>
                    </a:graphicData>
                  </a:graphic>
                </wp:inline>
              </w:drawing>
            </w:r>
          </w:p>
        </w:tc>
      </w:tr>
      <w:tr w:rsidR="00CB2958" w:rsidRPr="00A03A90" w14:paraId="6446B48E" w14:textId="77777777" w:rsidTr="78C544BE">
        <w:tc>
          <w:tcPr>
            <w:tcW w:w="4508" w:type="dxa"/>
          </w:tcPr>
          <w:p w14:paraId="76937171" w14:textId="0E887019" w:rsidR="00E5210C" w:rsidRPr="004324BC" w:rsidRDefault="00A03A90" w:rsidP="00E5210C">
            <w:pPr>
              <w:jc w:val="center"/>
              <w:rPr>
                <w:rFonts w:asciiTheme="minorHAnsi" w:hAnsiTheme="minorHAnsi" w:cstheme="minorHAnsi"/>
                <w:b/>
                <w:bCs/>
                <w:sz w:val="21"/>
                <w:szCs w:val="21"/>
                <w:lang w:val="it-IT" w:eastAsia="x-none"/>
              </w:rPr>
            </w:pPr>
            <w:r w:rsidRPr="004324BC">
              <w:rPr>
                <w:rFonts w:asciiTheme="minorHAnsi" w:hAnsiTheme="minorHAnsi" w:cstheme="minorHAnsi"/>
                <w:b/>
                <w:bCs/>
                <w:sz w:val="21"/>
                <w:szCs w:val="21"/>
                <w:lang w:val="it-IT" w:eastAsia="x-none"/>
              </w:rPr>
              <w:t>Sub-basin 1 – Cuchi-Okavango</w:t>
            </w:r>
          </w:p>
          <w:p w14:paraId="6F600036" w14:textId="44CD8431" w:rsidR="00CB2958" w:rsidRPr="004324BC" w:rsidRDefault="2EC344F1" w:rsidP="00E5210C">
            <w:pPr>
              <w:jc w:val="center"/>
              <w:rPr>
                <w:rFonts w:asciiTheme="minorHAnsi" w:hAnsiTheme="minorHAnsi" w:cstheme="minorBidi"/>
                <w:sz w:val="21"/>
                <w:szCs w:val="21"/>
                <w:lang w:val="it-IT"/>
              </w:rPr>
            </w:pPr>
            <w:r w:rsidRPr="78C544BE">
              <w:rPr>
                <w:rFonts w:asciiTheme="minorHAnsi" w:hAnsiTheme="minorHAnsi" w:cstheme="minorBidi"/>
                <w:b/>
                <w:bCs/>
                <w:sz w:val="21"/>
                <w:szCs w:val="21"/>
                <w:lang w:val="it-IT"/>
              </w:rPr>
              <w:t xml:space="preserve">Coordinates: </w:t>
            </w:r>
            <w:r w:rsidRPr="78C544BE">
              <w:rPr>
                <w:rFonts w:asciiTheme="minorHAnsi" w:hAnsiTheme="minorHAnsi" w:cstheme="minorBidi"/>
                <w:sz w:val="21"/>
                <w:szCs w:val="21"/>
                <w:lang w:val="it-IT"/>
              </w:rPr>
              <w:t>-14.72064, 16.88853</w:t>
            </w:r>
            <w:r w:rsidR="728B1176">
              <w:rPr>
                <w:noProof/>
              </w:rPr>
              <w:drawing>
                <wp:inline distT="0" distB="0" distL="0" distR="0" wp14:anchorId="3C6EA275" wp14:editId="4EFE3FEF">
                  <wp:extent cx="2643826" cy="2011680"/>
                  <wp:effectExtent l="0" t="0" r="4445" b="7620"/>
                  <wp:docPr id="43" name="Picture 43"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pic:nvPicPr>
                        <pic:blipFill>
                          <a:blip r:embed="rId85">
                            <a:extLst>
                              <a:ext uri="{28A0092B-C50C-407E-A947-70E740481C1C}">
                                <a14:useLocalDpi xmlns:a14="http://schemas.microsoft.com/office/drawing/2010/main" val="0"/>
                              </a:ext>
                            </a:extLst>
                          </a:blip>
                          <a:stretch>
                            <a:fillRect/>
                          </a:stretch>
                        </pic:blipFill>
                        <pic:spPr>
                          <a:xfrm>
                            <a:off x="0" y="0"/>
                            <a:ext cx="2643826" cy="2011680"/>
                          </a:xfrm>
                          <a:prstGeom prst="rect">
                            <a:avLst/>
                          </a:prstGeom>
                        </pic:spPr>
                      </pic:pic>
                    </a:graphicData>
                  </a:graphic>
                </wp:inline>
              </w:drawing>
            </w:r>
          </w:p>
        </w:tc>
        <w:tc>
          <w:tcPr>
            <w:tcW w:w="4508" w:type="dxa"/>
          </w:tcPr>
          <w:p w14:paraId="00478AF5" w14:textId="2BBA6594" w:rsidR="00A03A90" w:rsidRDefault="00A03A90" w:rsidP="00A03A90">
            <w:pPr>
              <w:jc w:val="center"/>
              <w:rPr>
                <w:rFonts w:asciiTheme="minorHAnsi" w:hAnsiTheme="minorHAnsi" w:cstheme="minorHAnsi"/>
                <w:b/>
                <w:bCs/>
                <w:sz w:val="21"/>
                <w:szCs w:val="21"/>
                <w:lang w:val="en-US" w:eastAsia="x-none"/>
              </w:rPr>
            </w:pPr>
            <w:r w:rsidRPr="00A03A90">
              <w:rPr>
                <w:rFonts w:asciiTheme="minorHAnsi" w:hAnsiTheme="minorHAnsi" w:cstheme="minorHAnsi"/>
                <w:b/>
                <w:bCs/>
                <w:sz w:val="21"/>
                <w:szCs w:val="21"/>
                <w:lang w:val="en-US" w:eastAsia="x-none"/>
              </w:rPr>
              <w:t>Sub-basin 2 – Cahama-Cunene</w:t>
            </w:r>
          </w:p>
          <w:p w14:paraId="50F50ED4" w14:textId="2E5788DC" w:rsidR="00CB2958" w:rsidRPr="00A03A90" w:rsidRDefault="2EC344F1" w:rsidP="00E5210C">
            <w:pPr>
              <w:jc w:val="center"/>
              <w:rPr>
                <w:rFonts w:asciiTheme="minorHAnsi" w:hAnsiTheme="minorHAnsi" w:cstheme="minorHAnsi"/>
                <w:sz w:val="21"/>
                <w:szCs w:val="21"/>
                <w:lang w:val="en-US" w:eastAsia="x-none"/>
              </w:rPr>
            </w:pPr>
            <w:r w:rsidRPr="78C544BE">
              <w:rPr>
                <w:rFonts w:asciiTheme="minorHAnsi" w:hAnsiTheme="minorHAnsi" w:cstheme="minorBidi"/>
                <w:b/>
                <w:bCs/>
                <w:sz w:val="21"/>
                <w:szCs w:val="21"/>
                <w:lang w:val="en-US"/>
              </w:rPr>
              <w:t xml:space="preserve">Coordinates: </w:t>
            </w:r>
            <w:r w:rsidRPr="78C544BE">
              <w:rPr>
                <w:rFonts w:asciiTheme="minorHAnsi" w:hAnsiTheme="minorHAnsi" w:cstheme="minorBidi"/>
                <w:sz w:val="21"/>
                <w:szCs w:val="21"/>
                <w:lang w:val="en-US"/>
              </w:rPr>
              <w:t>-16.31316, 14.31777</w:t>
            </w:r>
            <w:r w:rsidR="728B1176">
              <w:rPr>
                <w:noProof/>
              </w:rPr>
              <w:drawing>
                <wp:inline distT="0" distB="0" distL="0" distR="0" wp14:anchorId="70E42D1F" wp14:editId="4E5956F9">
                  <wp:extent cx="2643826" cy="2011680"/>
                  <wp:effectExtent l="0" t="0" r="4445" b="7620"/>
                  <wp:docPr id="42" name="Picture 42"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pic:nvPicPr>
                        <pic:blipFill>
                          <a:blip r:embed="rId86">
                            <a:extLst>
                              <a:ext uri="{28A0092B-C50C-407E-A947-70E740481C1C}">
                                <a14:useLocalDpi xmlns:a14="http://schemas.microsoft.com/office/drawing/2010/main" val="0"/>
                              </a:ext>
                            </a:extLst>
                          </a:blip>
                          <a:stretch>
                            <a:fillRect/>
                          </a:stretch>
                        </pic:blipFill>
                        <pic:spPr>
                          <a:xfrm>
                            <a:off x="0" y="0"/>
                            <a:ext cx="2643826" cy="2011680"/>
                          </a:xfrm>
                          <a:prstGeom prst="rect">
                            <a:avLst/>
                          </a:prstGeom>
                        </pic:spPr>
                      </pic:pic>
                    </a:graphicData>
                  </a:graphic>
                </wp:inline>
              </w:drawing>
            </w:r>
          </w:p>
        </w:tc>
      </w:tr>
    </w:tbl>
    <w:p w14:paraId="1881AA56" w14:textId="77777777" w:rsidR="00FA6E1F" w:rsidRDefault="00FA6E1F" w:rsidP="00FA6E1F">
      <w:pPr>
        <w:rPr>
          <w:lang w:val="en-US" w:eastAsia="x-none"/>
        </w:rPr>
      </w:pPr>
    </w:p>
    <w:p w14:paraId="0D33A617" w14:textId="6FE20794" w:rsidR="00FA6E1F" w:rsidRPr="00A03A90" w:rsidRDefault="00A03A90" w:rsidP="00FA6E1F">
      <w:pPr>
        <w:rPr>
          <w:rFonts w:asciiTheme="minorHAnsi" w:hAnsiTheme="minorHAnsi" w:cstheme="minorHAnsi"/>
          <w:sz w:val="21"/>
          <w:szCs w:val="21"/>
          <w:lang w:val="en-US" w:eastAsia="x-none"/>
        </w:rPr>
      </w:pPr>
      <w:r w:rsidRPr="00A03A90">
        <w:rPr>
          <w:rFonts w:asciiTheme="minorHAnsi" w:hAnsiTheme="minorHAnsi" w:cstheme="minorHAnsi"/>
          <w:sz w:val="21"/>
          <w:szCs w:val="21"/>
          <w:lang w:val="en-US" w:eastAsia="x-none"/>
        </w:rPr>
        <w:t>For additional information</w:t>
      </w:r>
      <w:r w:rsidR="00854BD2">
        <w:rPr>
          <w:rFonts w:asciiTheme="minorHAnsi" w:hAnsiTheme="minorHAnsi" w:cstheme="minorHAnsi"/>
          <w:sz w:val="21"/>
          <w:szCs w:val="21"/>
          <w:lang w:val="en-US" w:eastAsia="x-none"/>
        </w:rPr>
        <w:t xml:space="preserve"> and a detailed description of the</w:t>
      </w:r>
      <w:r w:rsidRPr="00A03A90">
        <w:rPr>
          <w:rFonts w:asciiTheme="minorHAnsi" w:hAnsiTheme="minorHAnsi" w:cstheme="minorHAnsi"/>
          <w:sz w:val="21"/>
          <w:szCs w:val="21"/>
          <w:lang w:val="en-US" w:eastAsia="x-none"/>
        </w:rPr>
        <w:t xml:space="preserve"> of the sites, please refer to Annex X-2.1: Results from the Remote Sensing (RS) Assessment.</w:t>
      </w:r>
    </w:p>
    <w:p w14:paraId="20B1E96D" w14:textId="1E6A0525" w:rsidR="00580893" w:rsidRDefault="00580893" w:rsidP="00FA6E1F">
      <w:pPr>
        <w:rPr>
          <w:lang w:val="en-US" w:eastAsia="x-none"/>
        </w:rPr>
      </w:pPr>
    </w:p>
    <w:p w14:paraId="72AB3E22" w14:textId="77777777" w:rsidR="00540770" w:rsidRPr="00FA6E1F" w:rsidRDefault="00540770" w:rsidP="00FA6E1F">
      <w:pPr>
        <w:rPr>
          <w:lang w:val="en-US" w:eastAsia="x-none"/>
        </w:rPr>
      </w:pPr>
    </w:p>
    <w:p w14:paraId="20B33F7B" w14:textId="77777777" w:rsidR="009563B4" w:rsidRPr="003D2AA2" w:rsidRDefault="009563B4" w:rsidP="009563B4">
      <w:pPr>
        <w:rPr>
          <w:color w:val="000000"/>
          <w:szCs w:val="20"/>
        </w:rPr>
      </w:pPr>
    </w:p>
    <w:p w14:paraId="1797072F" w14:textId="77777777" w:rsidR="009563B4" w:rsidRPr="003D2AA2" w:rsidRDefault="009563B4" w:rsidP="009563B4">
      <w:pPr>
        <w:rPr>
          <w:color w:val="000000"/>
          <w:szCs w:val="20"/>
        </w:rPr>
      </w:pPr>
    </w:p>
    <w:p w14:paraId="17FB6414" w14:textId="77777777" w:rsidR="009563B4" w:rsidRPr="003D2AA2" w:rsidRDefault="009563B4" w:rsidP="009563B4">
      <w:pPr>
        <w:rPr>
          <w:color w:val="000000"/>
          <w:szCs w:val="20"/>
        </w:rPr>
        <w:sectPr w:rsidR="009563B4" w:rsidRPr="003D2AA2" w:rsidSect="00903274">
          <w:headerReference w:type="even" r:id="rId113"/>
          <w:headerReference w:type="default" r:id="rId114"/>
          <w:headerReference w:type="first" r:id="rId115"/>
          <w:pgSz w:w="11906" w:h="16838" w:code="9"/>
          <w:pgMar w:top="1440" w:right="1440" w:bottom="1440" w:left="1440" w:header="720" w:footer="720" w:gutter="0"/>
          <w:cols w:space="720"/>
          <w:docGrid w:linePitch="360"/>
        </w:sectPr>
      </w:pPr>
    </w:p>
    <w:p w14:paraId="03411D6D" w14:textId="0359B623" w:rsidR="009563B4" w:rsidRPr="00CA3D1F" w:rsidRDefault="009563B4" w:rsidP="009563B4">
      <w:pPr>
        <w:pStyle w:val="Heading2"/>
        <w:rPr>
          <w:lang w:val="en-US"/>
        </w:rPr>
      </w:pPr>
      <w:bookmarkStart w:id="390" w:name="_Annex_F:_GEF"/>
      <w:bookmarkStart w:id="391" w:name="_Toc12612963"/>
      <w:bookmarkStart w:id="392" w:name="_Toc42027164"/>
      <w:bookmarkStart w:id="393" w:name="_Toc42262672"/>
      <w:bookmarkStart w:id="394" w:name="_Toc58398610"/>
      <w:bookmarkEnd w:id="390"/>
      <w:r w:rsidRPr="00CA3D1F">
        <w:rPr>
          <w:lang w:val="en-US"/>
        </w:rPr>
        <w:lastRenderedPageBreak/>
        <w:t>Annex F: GEF TF / LDCF/ SCCF Core Indicator Worksheet</w:t>
      </w:r>
      <w:bookmarkEnd w:id="391"/>
      <w:bookmarkEnd w:id="392"/>
      <w:bookmarkEnd w:id="393"/>
      <w:bookmarkEnd w:id="394"/>
    </w:p>
    <w:tbl>
      <w:tblPr>
        <w:tblStyle w:val="TableGrid"/>
        <w:tblW w:w="0" w:type="auto"/>
        <w:tblLook w:val="04A0" w:firstRow="1" w:lastRow="0" w:firstColumn="1" w:lastColumn="0" w:noHBand="0" w:noVBand="1"/>
      </w:tblPr>
      <w:tblGrid>
        <w:gridCol w:w="1298"/>
        <w:gridCol w:w="933"/>
        <w:gridCol w:w="1726"/>
        <w:gridCol w:w="906"/>
        <w:gridCol w:w="1876"/>
        <w:gridCol w:w="1324"/>
        <w:gridCol w:w="153"/>
        <w:gridCol w:w="8"/>
        <w:gridCol w:w="1298"/>
        <w:gridCol w:w="26"/>
        <w:gridCol w:w="1287"/>
      </w:tblGrid>
      <w:tr w:rsidR="007520C1" w:rsidRPr="004244E0" w14:paraId="53DC54D4" w14:textId="77777777" w:rsidTr="00DB02C4">
        <w:tc>
          <w:tcPr>
            <w:tcW w:w="1298" w:type="dxa"/>
            <w:shd w:val="clear" w:color="auto" w:fill="D9D9D9" w:themeFill="background1" w:themeFillShade="D9"/>
          </w:tcPr>
          <w:p w14:paraId="44C037E4" w14:textId="77777777" w:rsidR="007520C1" w:rsidRPr="00CA3D1F" w:rsidRDefault="007520C1" w:rsidP="00E049DB">
            <w:pPr>
              <w:rPr>
                <w:b/>
                <w:sz w:val="18"/>
                <w:szCs w:val="18"/>
              </w:rPr>
            </w:pPr>
            <w:r w:rsidRPr="00CA3D1F">
              <w:rPr>
                <w:b/>
                <w:sz w:val="18"/>
                <w:szCs w:val="18"/>
              </w:rPr>
              <w:t>Core Indicator 1</w:t>
            </w:r>
          </w:p>
        </w:tc>
        <w:tc>
          <w:tcPr>
            <w:tcW w:w="6765" w:type="dxa"/>
            <w:gridSpan w:val="5"/>
            <w:shd w:val="clear" w:color="auto" w:fill="D9D9D9" w:themeFill="background1" w:themeFillShade="D9"/>
          </w:tcPr>
          <w:p w14:paraId="1D2CEE10" w14:textId="77777777" w:rsidR="007520C1" w:rsidRPr="00CA3D1F" w:rsidRDefault="007520C1" w:rsidP="00E049DB">
            <w:pPr>
              <w:rPr>
                <w:b/>
                <w:sz w:val="18"/>
                <w:szCs w:val="18"/>
              </w:rPr>
            </w:pPr>
            <w:r w:rsidRPr="00CA3D1F">
              <w:rPr>
                <w:b/>
                <w:sz w:val="18"/>
                <w:szCs w:val="18"/>
              </w:rPr>
              <w:t>Terrestrial protected areas created or under improved management for conservation and sustainable use</w:t>
            </w:r>
          </w:p>
        </w:tc>
        <w:tc>
          <w:tcPr>
            <w:tcW w:w="2772" w:type="dxa"/>
            <w:gridSpan w:val="5"/>
            <w:shd w:val="clear" w:color="auto" w:fill="D9D9D9" w:themeFill="background1" w:themeFillShade="D9"/>
          </w:tcPr>
          <w:p w14:paraId="5FB5932F" w14:textId="77777777" w:rsidR="007520C1" w:rsidRPr="00CA3D1F" w:rsidRDefault="007520C1" w:rsidP="00E049DB">
            <w:pPr>
              <w:jc w:val="right"/>
              <w:rPr>
                <w:b/>
                <w:sz w:val="18"/>
                <w:szCs w:val="18"/>
              </w:rPr>
            </w:pPr>
            <w:r w:rsidRPr="00CA3D1F">
              <w:rPr>
                <w:b/>
                <w:i/>
                <w:color w:val="000000"/>
                <w:sz w:val="18"/>
                <w:szCs w:val="18"/>
              </w:rPr>
              <w:fldChar w:fldCharType="begin">
                <w:ffData>
                  <w:name w:val="F_GEB_BD_target"/>
                  <w:enabled/>
                  <w:calcOnExit w:val="0"/>
                  <w:textInput>
                    <w:default w:val="(Hectares)"/>
                  </w:textInput>
                </w:ffData>
              </w:fldChar>
            </w:r>
            <w:bookmarkStart w:id="395" w:name="F_GEB_BD_target"/>
            <w:r w:rsidRPr="00CA3D1F">
              <w:rPr>
                <w:b/>
                <w:i/>
                <w:color w:val="000000"/>
                <w:sz w:val="18"/>
                <w:szCs w:val="18"/>
              </w:rPr>
              <w:instrText xml:space="preserve"> FORMTEXT </w:instrText>
            </w:r>
            <w:r w:rsidRPr="00CA3D1F">
              <w:rPr>
                <w:b/>
                <w:i/>
                <w:color w:val="000000"/>
                <w:sz w:val="18"/>
                <w:szCs w:val="18"/>
              </w:rPr>
            </w:r>
            <w:r w:rsidRPr="00CA3D1F">
              <w:rPr>
                <w:b/>
                <w:i/>
                <w:color w:val="000000"/>
                <w:sz w:val="18"/>
                <w:szCs w:val="18"/>
              </w:rPr>
              <w:fldChar w:fldCharType="separate"/>
            </w:r>
            <w:r w:rsidRPr="00CA3D1F">
              <w:rPr>
                <w:b/>
                <w:i/>
                <w:color w:val="000000"/>
                <w:sz w:val="18"/>
                <w:szCs w:val="18"/>
              </w:rPr>
              <w:t>(Hectares)</w:t>
            </w:r>
            <w:r w:rsidRPr="00CA3D1F">
              <w:rPr>
                <w:b/>
                <w:i/>
                <w:color w:val="000000"/>
                <w:sz w:val="18"/>
                <w:szCs w:val="18"/>
              </w:rPr>
              <w:fldChar w:fldCharType="end"/>
            </w:r>
            <w:bookmarkEnd w:id="395"/>
          </w:p>
        </w:tc>
      </w:tr>
      <w:tr w:rsidR="007520C1" w:rsidRPr="004244E0" w14:paraId="30BD8BA6" w14:textId="77777777" w:rsidTr="00DB02C4">
        <w:tc>
          <w:tcPr>
            <w:tcW w:w="1298" w:type="dxa"/>
            <w:shd w:val="clear" w:color="auto" w:fill="auto"/>
          </w:tcPr>
          <w:p w14:paraId="46AF324A" w14:textId="77777777" w:rsidR="007520C1" w:rsidRPr="00CA3D1F" w:rsidRDefault="007520C1" w:rsidP="00E049DB">
            <w:pPr>
              <w:rPr>
                <w:sz w:val="18"/>
                <w:szCs w:val="18"/>
              </w:rPr>
            </w:pPr>
          </w:p>
        </w:tc>
        <w:tc>
          <w:tcPr>
            <w:tcW w:w="2659" w:type="dxa"/>
            <w:gridSpan w:val="2"/>
            <w:shd w:val="clear" w:color="auto" w:fill="auto"/>
          </w:tcPr>
          <w:p w14:paraId="4A292297" w14:textId="77777777" w:rsidR="007520C1" w:rsidRPr="00CA3D1F" w:rsidRDefault="007520C1" w:rsidP="00E049DB">
            <w:pPr>
              <w:rPr>
                <w:sz w:val="18"/>
                <w:szCs w:val="18"/>
              </w:rPr>
            </w:pPr>
          </w:p>
        </w:tc>
        <w:tc>
          <w:tcPr>
            <w:tcW w:w="6878" w:type="dxa"/>
            <w:gridSpan w:val="8"/>
            <w:shd w:val="clear" w:color="auto" w:fill="F2F2F2" w:themeFill="background1" w:themeFillShade="F2"/>
          </w:tcPr>
          <w:p w14:paraId="2720CF4D" w14:textId="77777777" w:rsidR="007520C1" w:rsidRPr="00CA3D1F" w:rsidRDefault="007520C1" w:rsidP="00E049DB">
            <w:pPr>
              <w:jc w:val="center"/>
              <w:rPr>
                <w:i/>
                <w:color w:val="000000"/>
                <w:sz w:val="18"/>
                <w:szCs w:val="18"/>
              </w:rPr>
            </w:pPr>
            <w:r w:rsidRPr="00CA3D1F">
              <w:rPr>
                <w:i/>
                <w:color w:val="000000"/>
                <w:sz w:val="18"/>
                <w:szCs w:val="18"/>
              </w:rPr>
              <w:t>Hectares (1.1+1.2)</w:t>
            </w:r>
          </w:p>
        </w:tc>
      </w:tr>
      <w:tr w:rsidR="007520C1" w:rsidRPr="004244E0" w14:paraId="657F4260" w14:textId="77777777" w:rsidTr="00DB02C4">
        <w:tc>
          <w:tcPr>
            <w:tcW w:w="1298" w:type="dxa"/>
            <w:shd w:val="clear" w:color="auto" w:fill="auto"/>
          </w:tcPr>
          <w:p w14:paraId="72A32E80" w14:textId="77777777" w:rsidR="007520C1" w:rsidRPr="00CA3D1F" w:rsidRDefault="007520C1" w:rsidP="00E049DB">
            <w:pPr>
              <w:rPr>
                <w:sz w:val="18"/>
                <w:szCs w:val="18"/>
              </w:rPr>
            </w:pPr>
          </w:p>
        </w:tc>
        <w:tc>
          <w:tcPr>
            <w:tcW w:w="2659" w:type="dxa"/>
            <w:gridSpan w:val="2"/>
            <w:shd w:val="clear" w:color="auto" w:fill="auto"/>
          </w:tcPr>
          <w:p w14:paraId="793BE479" w14:textId="77777777" w:rsidR="007520C1" w:rsidRPr="00CA3D1F" w:rsidRDefault="007520C1" w:rsidP="00E049DB">
            <w:pPr>
              <w:rPr>
                <w:sz w:val="18"/>
                <w:szCs w:val="18"/>
              </w:rPr>
            </w:pPr>
          </w:p>
        </w:tc>
        <w:tc>
          <w:tcPr>
            <w:tcW w:w="4106" w:type="dxa"/>
            <w:gridSpan w:val="3"/>
            <w:shd w:val="clear" w:color="auto" w:fill="F2F2F2" w:themeFill="background1" w:themeFillShade="F2"/>
          </w:tcPr>
          <w:p w14:paraId="09B8FF74" w14:textId="77777777" w:rsidR="007520C1" w:rsidRPr="00CA3D1F" w:rsidRDefault="007520C1" w:rsidP="00E049DB">
            <w:pPr>
              <w:jc w:val="center"/>
              <w:rPr>
                <w:i/>
                <w:color w:val="000000"/>
                <w:sz w:val="18"/>
                <w:szCs w:val="18"/>
              </w:rPr>
            </w:pPr>
            <w:r w:rsidRPr="00CA3D1F">
              <w:rPr>
                <w:i/>
                <w:color w:val="000000"/>
                <w:sz w:val="18"/>
                <w:szCs w:val="18"/>
              </w:rPr>
              <w:t>Expected</w:t>
            </w:r>
          </w:p>
        </w:tc>
        <w:tc>
          <w:tcPr>
            <w:tcW w:w="2772" w:type="dxa"/>
            <w:gridSpan w:val="5"/>
            <w:shd w:val="clear" w:color="auto" w:fill="F2F2F2" w:themeFill="background1" w:themeFillShade="F2"/>
          </w:tcPr>
          <w:p w14:paraId="192CC49C" w14:textId="77777777" w:rsidR="007520C1" w:rsidRPr="00CA3D1F" w:rsidRDefault="007520C1" w:rsidP="00E049DB">
            <w:pPr>
              <w:jc w:val="center"/>
              <w:rPr>
                <w:i/>
                <w:color w:val="000000"/>
                <w:sz w:val="18"/>
                <w:szCs w:val="18"/>
              </w:rPr>
            </w:pPr>
            <w:r w:rsidRPr="00CA3D1F">
              <w:rPr>
                <w:sz w:val="18"/>
                <w:szCs w:val="18"/>
              </w:rPr>
              <w:t>Achieved</w:t>
            </w:r>
          </w:p>
        </w:tc>
      </w:tr>
      <w:tr w:rsidR="007520C1" w:rsidRPr="004244E0" w14:paraId="09EDCF73" w14:textId="77777777" w:rsidTr="00DB02C4">
        <w:tc>
          <w:tcPr>
            <w:tcW w:w="1298" w:type="dxa"/>
            <w:shd w:val="clear" w:color="auto" w:fill="auto"/>
          </w:tcPr>
          <w:p w14:paraId="5E22556F" w14:textId="77777777" w:rsidR="007520C1" w:rsidRPr="00CA3D1F" w:rsidRDefault="007520C1" w:rsidP="00E049DB">
            <w:pPr>
              <w:rPr>
                <w:sz w:val="18"/>
                <w:szCs w:val="18"/>
              </w:rPr>
            </w:pPr>
          </w:p>
        </w:tc>
        <w:tc>
          <w:tcPr>
            <w:tcW w:w="2659" w:type="dxa"/>
            <w:gridSpan w:val="2"/>
            <w:shd w:val="clear" w:color="auto" w:fill="auto"/>
          </w:tcPr>
          <w:p w14:paraId="66346720" w14:textId="77777777" w:rsidR="007520C1" w:rsidRPr="00CA3D1F" w:rsidRDefault="007520C1" w:rsidP="00E049DB">
            <w:pPr>
              <w:rPr>
                <w:sz w:val="18"/>
                <w:szCs w:val="18"/>
              </w:rPr>
            </w:pPr>
          </w:p>
        </w:tc>
        <w:tc>
          <w:tcPr>
            <w:tcW w:w="2782" w:type="dxa"/>
            <w:gridSpan w:val="2"/>
            <w:shd w:val="clear" w:color="auto" w:fill="F2F2F2" w:themeFill="background1" w:themeFillShade="F2"/>
          </w:tcPr>
          <w:p w14:paraId="036534BC" w14:textId="77777777" w:rsidR="007520C1" w:rsidRPr="00CA3D1F" w:rsidRDefault="007520C1" w:rsidP="00E049DB">
            <w:pPr>
              <w:jc w:val="center"/>
              <w:rPr>
                <w:sz w:val="18"/>
                <w:szCs w:val="18"/>
              </w:rPr>
            </w:pPr>
            <w:r w:rsidRPr="00CA3D1F">
              <w:rPr>
                <w:sz w:val="18"/>
                <w:szCs w:val="18"/>
              </w:rPr>
              <w:t>PIF stage</w:t>
            </w:r>
          </w:p>
        </w:tc>
        <w:tc>
          <w:tcPr>
            <w:tcW w:w="1485" w:type="dxa"/>
            <w:gridSpan w:val="3"/>
            <w:shd w:val="clear" w:color="auto" w:fill="F2F2F2" w:themeFill="background1" w:themeFillShade="F2"/>
          </w:tcPr>
          <w:p w14:paraId="5CA4B84F" w14:textId="77777777" w:rsidR="007520C1" w:rsidRPr="00CA3D1F" w:rsidRDefault="007520C1" w:rsidP="00E049DB">
            <w:pPr>
              <w:jc w:val="center"/>
              <w:rPr>
                <w:sz w:val="18"/>
                <w:szCs w:val="18"/>
              </w:rPr>
            </w:pPr>
            <w:r w:rsidRPr="00CA3D1F">
              <w:rPr>
                <w:sz w:val="18"/>
                <w:szCs w:val="18"/>
              </w:rPr>
              <w:t>Endorsement</w:t>
            </w:r>
          </w:p>
        </w:tc>
        <w:tc>
          <w:tcPr>
            <w:tcW w:w="1324" w:type="dxa"/>
            <w:gridSpan w:val="2"/>
            <w:shd w:val="clear" w:color="auto" w:fill="F2F2F2" w:themeFill="background1" w:themeFillShade="F2"/>
          </w:tcPr>
          <w:p w14:paraId="363F8864" w14:textId="77777777" w:rsidR="007520C1" w:rsidRPr="00CA3D1F" w:rsidRDefault="007520C1" w:rsidP="00E049DB">
            <w:pPr>
              <w:jc w:val="center"/>
              <w:rPr>
                <w:sz w:val="18"/>
                <w:szCs w:val="18"/>
              </w:rPr>
            </w:pPr>
            <w:r w:rsidRPr="00CA3D1F">
              <w:rPr>
                <w:sz w:val="18"/>
                <w:szCs w:val="18"/>
              </w:rPr>
              <w:t>MTR</w:t>
            </w:r>
          </w:p>
        </w:tc>
        <w:tc>
          <w:tcPr>
            <w:tcW w:w="1287" w:type="dxa"/>
            <w:shd w:val="clear" w:color="auto" w:fill="F2F2F2" w:themeFill="background1" w:themeFillShade="F2"/>
          </w:tcPr>
          <w:p w14:paraId="3E602810" w14:textId="77777777" w:rsidR="007520C1" w:rsidRPr="00CA3D1F" w:rsidRDefault="007520C1" w:rsidP="00E049DB">
            <w:pPr>
              <w:jc w:val="center"/>
              <w:rPr>
                <w:i/>
                <w:color w:val="000000"/>
                <w:sz w:val="18"/>
                <w:szCs w:val="18"/>
              </w:rPr>
            </w:pPr>
            <w:r w:rsidRPr="00CA3D1F">
              <w:rPr>
                <w:sz w:val="18"/>
                <w:szCs w:val="18"/>
              </w:rPr>
              <w:t>TE</w:t>
            </w:r>
          </w:p>
        </w:tc>
      </w:tr>
      <w:tr w:rsidR="007520C1" w:rsidRPr="004244E0" w14:paraId="1070855C" w14:textId="77777777" w:rsidTr="00DB02C4">
        <w:tc>
          <w:tcPr>
            <w:tcW w:w="1298" w:type="dxa"/>
            <w:shd w:val="clear" w:color="auto" w:fill="auto"/>
          </w:tcPr>
          <w:p w14:paraId="033C15E5" w14:textId="77777777" w:rsidR="007520C1" w:rsidRPr="00CA3D1F" w:rsidRDefault="007520C1" w:rsidP="00E049DB">
            <w:pPr>
              <w:rPr>
                <w:sz w:val="18"/>
                <w:szCs w:val="18"/>
              </w:rPr>
            </w:pPr>
          </w:p>
        </w:tc>
        <w:tc>
          <w:tcPr>
            <w:tcW w:w="2659" w:type="dxa"/>
            <w:gridSpan w:val="2"/>
            <w:shd w:val="clear" w:color="auto" w:fill="auto"/>
          </w:tcPr>
          <w:p w14:paraId="33209EA0" w14:textId="77777777" w:rsidR="007520C1" w:rsidRPr="00CA3D1F" w:rsidRDefault="007520C1" w:rsidP="00E049DB">
            <w:pPr>
              <w:rPr>
                <w:sz w:val="18"/>
                <w:szCs w:val="18"/>
              </w:rPr>
            </w:pPr>
          </w:p>
        </w:tc>
        <w:tc>
          <w:tcPr>
            <w:tcW w:w="2782" w:type="dxa"/>
            <w:gridSpan w:val="2"/>
            <w:shd w:val="clear" w:color="auto" w:fill="F2F2F2" w:themeFill="background1" w:themeFillShade="F2"/>
          </w:tcPr>
          <w:p w14:paraId="05722EF5" w14:textId="77777777" w:rsidR="007520C1" w:rsidRPr="00CA3D1F" w:rsidRDefault="007520C1" w:rsidP="00E049DB">
            <w:pPr>
              <w:jc w:val="right"/>
              <w:rPr>
                <w:sz w:val="18"/>
                <w:szCs w:val="18"/>
              </w:rPr>
            </w:pPr>
            <w:r w:rsidRPr="00CA3D1F">
              <w:rPr>
                <w:i/>
                <w:color w:val="000000"/>
                <w:sz w:val="18"/>
                <w:szCs w:val="18"/>
              </w:rPr>
              <w:fldChar w:fldCharType="begin">
                <w:ffData>
                  <w:name w:val="F_GEB_BD_target"/>
                  <w:enabled/>
                  <w:calcOnExit w:val="0"/>
                  <w:textInput/>
                </w:ffData>
              </w:fldChar>
            </w:r>
            <w:r w:rsidRPr="00CA3D1F">
              <w:rPr>
                <w:i/>
                <w:color w:val="000000"/>
                <w:sz w:val="18"/>
                <w:szCs w:val="18"/>
              </w:rPr>
              <w:instrText xml:space="preserve"> FORMTEXT </w:instrText>
            </w:r>
            <w:r w:rsidRPr="00CA3D1F">
              <w:rPr>
                <w:i/>
                <w:color w:val="000000"/>
                <w:sz w:val="18"/>
                <w:szCs w:val="18"/>
              </w:rPr>
            </w:r>
            <w:r w:rsidRPr="00CA3D1F">
              <w:rPr>
                <w:i/>
                <w:color w:val="000000"/>
                <w:sz w:val="18"/>
                <w:szCs w:val="18"/>
              </w:rPr>
              <w:fldChar w:fldCharType="separate"/>
            </w:r>
            <w:r w:rsidRPr="00CA3D1F">
              <w:rPr>
                <w:i/>
                <w:color w:val="000000"/>
                <w:sz w:val="18"/>
                <w:szCs w:val="18"/>
              </w:rPr>
              <w:t> </w:t>
            </w:r>
            <w:r w:rsidRPr="00CA3D1F">
              <w:rPr>
                <w:i/>
                <w:color w:val="000000"/>
                <w:sz w:val="18"/>
                <w:szCs w:val="18"/>
              </w:rPr>
              <w:t> </w:t>
            </w:r>
            <w:r w:rsidRPr="00CA3D1F">
              <w:rPr>
                <w:i/>
                <w:color w:val="000000"/>
                <w:sz w:val="18"/>
                <w:szCs w:val="18"/>
              </w:rPr>
              <w:t> </w:t>
            </w:r>
            <w:r w:rsidRPr="00CA3D1F">
              <w:rPr>
                <w:i/>
                <w:color w:val="000000"/>
                <w:sz w:val="18"/>
                <w:szCs w:val="18"/>
              </w:rPr>
              <w:t> </w:t>
            </w:r>
            <w:r w:rsidRPr="00CA3D1F">
              <w:rPr>
                <w:i/>
                <w:color w:val="000000"/>
                <w:sz w:val="18"/>
                <w:szCs w:val="18"/>
              </w:rPr>
              <w:t> </w:t>
            </w:r>
            <w:r w:rsidRPr="00CA3D1F">
              <w:rPr>
                <w:i/>
                <w:color w:val="000000"/>
                <w:sz w:val="18"/>
                <w:szCs w:val="18"/>
              </w:rPr>
              <w:fldChar w:fldCharType="end"/>
            </w:r>
          </w:p>
        </w:tc>
        <w:tc>
          <w:tcPr>
            <w:tcW w:w="1485" w:type="dxa"/>
            <w:gridSpan w:val="3"/>
            <w:shd w:val="clear" w:color="auto" w:fill="F2F2F2" w:themeFill="background1" w:themeFillShade="F2"/>
          </w:tcPr>
          <w:p w14:paraId="0880146B" w14:textId="77777777" w:rsidR="007520C1" w:rsidRPr="00CA3D1F" w:rsidRDefault="007520C1" w:rsidP="00E049DB">
            <w:pPr>
              <w:jc w:val="right"/>
              <w:rPr>
                <w:sz w:val="18"/>
                <w:szCs w:val="18"/>
              </w:rPr>
            </w:pPr>
            <w:r w:rsidRPr="00CA3D1F">
              <w:rPr>
                <w:i/>
                <w:color w:val="000000"/>
                <w:sz w:val="18"/>
                <w:szCs w:val="18"/>
              </w:rPr>
              <w:fldChar w:fldCharType="begin">
                <w:ffData>
                  <w:name w:val="F_GEB_BD_target"/>
                  <w:enabled/>
                  <w:calcOnExit w:val="0"/>
                  <w:textInput/>
                </w:ffData>
              </w:fldChar>
            </w:r>
            <w:r w:rsidRPr="00CA3D1F">
              <w:rPr>
                <w:i/>
                <w:color w:val="000000"/>
                <w:sz w:val="18"/>
                <w:szCs w:val="18"/>
              </w:rPr>
              <w:instrText xml:space="preserve"> FORMTEXT </w:instrText>
            </w:r>
            <w:r w:rsidRPr="00CA3D1F">
              <w:rPr>
                <w:i/>
                <w:color w:val="000000"/>
                <w:sz w:val="18"/>
                <w:szCs w:val="18"/>
              </w:rPr>
            </w:r>
            <w:r w:rsidRPr="00CA3D1F">
              <w:rPr>
                <w:i/>
                <w:color w:val="000000"/>
                <w:sz w:val="18"/>
                <w:szCs w:val="18"/>
              </w:rPr>
              <w:fldChar w:fldCharType="separate"/>
            </w:r>
            <w:r w:rsidRPr="00CA3D1F">
              <w:rPr>
                <w:i/>
                <w:color w:val="000000"/>
                <w:sz w:val="18"/>
                <w:szCs w:val="18"/>
              </w:rPr>
              <w:t> </w:t>
            </w:r>
            <w:r w:rsidRPr="00CA3D1F">
              <w:rPr>
                <w:i/>
                <w:color w:val="000000"/>
                <w:sz w:val="18"/>
                <w:szCs w:val="18"/>
              </w:rPr>
              <w:t> </w:t>
            </w:r>
            <w:r w:rsidRPr="00CA3D1F">
              <w:rPr>
                <w:i/>
                <w:color w:val="000000"/>
                <w:sz w:val="18"/>
                <w:szCs w:val="18"/>
              </w:rPr>
              <w:t> </w:t>
            </w:r>
            <w:r w:rsidRPr="00CA3D1F">
              <w:rPr>
                <w:i/>
                <w:color w:val="000000"/>
                <w:sz w:val="18"/>
                <w:szCs w:val="18"/>
              </w:rPr>
              <w:t> </w:t>
            </w:r>
            <w:r w:rsidRPr="00CA3D1F">
              <w:rPr>
                <w:i/>
                <w:color w:val="000000"/>
                <w:sz w:val="18"/>
                <w:szCs w:val="18"/>
              </w:rPr>
              <w:t> </w:t>
            </w:r>
            <w:r w:rsidRPr="00CA3D1F">
              <w:rPr>
                <w:i/>
                <w:color w:val="000000"/>
                <w:sz w:val="18"/>
                <w:szCs w:val="18"/>
              </w:rPr>
              <w:fldChar w:fldCharType="end"/>
            </w:r>
          </w:p>
        </w:tc>
        <w:tc>
          <w:tcPr>
            <w:tcW w:w="1324" w:type="dxa"/>
            <w:gridSpan w:val="2"/>
            <w:shd w:val="clear" w:color="auto" w:fill="F2F2F2" w:themeFill="background1" w:themeFillShade="F2"/>
          </w:tcPr>
          <w:p w14:paraId="349C152E" w14:textId="77777777" w:rsidR="007520C1" w:rsidRPr="00CA3D1F" w:rsidRDefault="007520C1" w:rsidP="00E049DB">
            <w:pPr>
              <w:jc w:val="right"/>
              <w:rPr>
                <w:sz w:val="18"/>
                <w:szCs w:val="18"/>
              </w:rPr>
            </w:pPr>
            <w:r w:rsidRPr="00CA3D1F">
              <w:rPr>
                <w:i/>
                <w:color w:val="000000"/>
                <w:sz w:val="18"/>
                <w:szCs w:val="18"/>
              </w:rPr>
              <w:fldChar w:fldCharType="begin">
                <w:ffData>
                  <w:name w:val="F_GEB_BD_target"/>
                  <w:enabled/>
                  <w:calcOnExit w:val="0"/>
                  <w:textInput/>
                </w:ffData>
              </w:fldChar>
            </w:r>
            <w:r w:rsidRPr="00CA3D1F">
              <w:rPr>
                <w:i/>
                <w:color w:val="000000"/>
                <w:sz w:val="18"/>
                <w:szCs w:val="18"/>
              </w:rPr>
              <w:instrText xml:space="preserve"> FORMTEXT </w:instrText>
            </w:r>
            <w:r w:rsidRPr="00CA3D1F">
              <w:rPr>
                <w:i/>
                <w:color w:val="000000"/>
                <w:sz w:val="18"/>
                <w:szCs w:val="18"/>
              </w:rPr>
            </w:r>
            <w:r w:rsidRPr="00CA3D1F">
              <w:rPr>
                <w:i/>
                <w:color w:val="000000"/>
                <w:sz w:val="18"/>
                <w:szCs w:val="18"/>
              </w:rPr>
              <w:fldChar w:fldCharType="separate"/>
            </w:r>
            <w:r w:rsidRPr="00CA3D1F">
              <w:rPr>
                <w:i/>
                <w:color w:val="000000"/>
                <w:sz w:val="18"/>
                <w:szCs w:val="18"/>
              </w:rPr>
              <w:t> </w:t>
            </w:r>
            <w:r w:rsidRPr="00CA3D1F">
              <w:rPr>
                <w:i/>
                <w:color w:val="000000"/>
                <w:sz w:val="18"/>
                <w:szCs w:val="18"/>
              </w:rPr>
              <w:t> </w:t>
            </w:r>
            <w:r w:rsidRPr="00CA3D1F">
              <w:rPr>
                <w:i/>
                <w:color w:val="000000"/>
                <w:sz w:val="18"/>
                <w:szCs w:val="18"/>
              </w:rPr>
              <w:t> </w:t>
            </w:r>
            <w:r w:rsidRPr="00CA3D1F">
              <w:rPr>
                <w:i/>
                <w:color w:val="000000"/>
                <w:sz w:val="18"/>
                <w:szCs w:val="18"/>
              </w:rPr>
              <w:t> </w:t>
            </w:r>
            <w:r w:rsidRPr="00CA3D1F">
              <w:rPr>
                <w:i/>
                <w:color w:val="000000"/>
                <w:sz w:val="18"/>
                <w:szCs w:val="18"/>
              </w:rPr>
              <w:t> </w:t>
            </w:r>
            <w:r w:rsidRPr="00CA3D1F">
              <w:rPr>
                <w:i/>
                <w:color w:val="000000"/>
                <w:sz w:val="18"/>
                <w:szCs w:val="18"/>
              </w:rPr>
              <w:fldChar w:fldCharType="end"/>
            </w:r>
          </w:p>
        </w:tc>
        <w:tc>
          <w:tcPr>
            <w:tcW w:w="1287" w:type="dxa"/>
            <w:shd w:val="clear" w:color="auto" w:fill="F2F2F2" w:themeFill="background1" w:themeFillShade="F2"/>
          </w:tcPr>
          <w:p w14:paraId="62E5440D" w14:textId="77777777" w:rsidR="007520C1" w:rsidRPr="00CA3D1F" w:rsidRDefault="007520C1" w:rsidP="00E049DB">
            <w:pPr>
              <w:jc w:val="right"/>
              <w:rPr>
                <w:i/>
                <w:color w:val="000000"/>
                <w:sz w:val="18"/>
                <w:szCs w:val="18"/>
              </w:rPr>
            </w:pPr>
            <w:r w:rsidRPr="00CA3D1F">
              <w:rPr>
                <w:i/>
                <w:color w:val="000000"/>
                <w:sz w:val="18"/>
                <w:szCs w:val="18"/>
              </w:rPr>
              <w:fldChar w:fldCharType="begin">
                <w:ffData>
                  <w:name w:val="F_GEB_BD_target"/>
                  <w:enabled/>
                  <w:calcOnExit w:val="0"/>
                  <w:textInput/>
                </w:ffData>
              </w:fldChar>
            </w:r>
            <w:r w:rsidRPr="00CA3D1F">
              <w:rPr>
                <w:i/>
                <w:color w:val="000000"/>
                <w:sz w:val="18"/>
                <w:szCs w:val="18"/>
              </w:rPr>
              <w:instrText xml:space="preserve"> FORMTEXT </w:instrText>
            </w:r>
            <w:r w:rsidRPr="00CA3D1F">
              <w:rPr>
                <w:i/>
                <w:color w:val="000000"/>
                <w:sz w:val="18"/>
                <w:szCs w:val="18"/>
              </w:rPr>
            </w:r>
            <w:r w:rsidRPr="00CA3D1F">
              <w:rPr>
                <w:i/>
                <w:color w:val="000000"/>
                <w:sz w:val="18"/>
                <w:szCs w:val="18"/>
              </w:rPr>
              <w:fldChar w:fldCharType="separate"/>
            </w:r>
            <w:r w:rsidRPr="00CA3D1F">
              <w:rPr>
                <w:i/>
                <w:color w:val="000000"/>
                <w:sz w:val="18"/>
                <w:szCs w:val="18"/>
              </w:rPr>
              <w:t> </w:t>
            </w:r>
            <w:r w:rsidRPr="00CA3D1F">
              <w:rPr>
                <w:i/>
                <w:color w:val="000000"/>
                <w:sz w:val="18"/>
                <w:szCs w:val="18"/>
              </w:rPr>
              <w:t> </w:t>
            </w:r>
            <w:r w:rsidRPr="00CA3D1F">
              <w:rPr>
                <w:i/>
                <w:color w:val="000000"/>
                <w:sz w:val="18"/>
                <w:szCs w:val="18"/>
              </w:rPr>
              <w:t> </w:t>
            </w:r>
            <w:r w:rsidRPr="00CA3D1F">
              <w:rPr>
                <w:i/>
                <w:color w:val="000000"/>
                <w:sz w:val="18"/>
                <w:szCs w:val="18"/>
              </w:rPr>
              <w:t> </w:t>
            </w:r>
            <w:r w:rsidRPr="00CA3D1F">
              <w:rPr>
                <w:i/>
                <w:color w:val="000000"/>
                <w:sz w:val="18"/>
                <w:szCs w:val="18"/>
              </w:rPr>
              <w:t> </w:t>
            </w:r>
            <w:r w:rsidRPr="00CA3D1F">
              <w:rPr>
                <w:i/>
                <w:color w:val="000000"/>
                <w:sz w:val="18"/>
                <w:szCs w:val="18"/>
              </w:rPr>
              <w:fldChar w:fldCharType="end"/>
            </w:r>
          </w:p>
        </w:tc>
      </w:tr>
      <w:tr w:rsidR="007520C1" w:rsidRPr="004244E0" w14:paraId="521D0BE0" w14:textId="77777777" w:rsidTr="00DB02C4">
        <w:tc>
          <w:tcPr>
            <w:tcW w:w="1298" w:type="dxa"/>
            <w:shd w:val="clear" w:color="auto" w:fill="BFBFBF" w:themeFill="background1" w:themeFillShade="BF"/>
          </w:tcPr>
          <w:p w14:paraId="47B8DDB5" w14:textId="77777777" w:rsidR="007520C1" w:rsidRPr="00CA3D1F" w:rsidRDefault="007520C1" w:rsidP="00E049DB">
            <w:pPr>
              <w:rPr>
                <w:sz w:val="18"/>
                <w:szCs w:val="18"/>
              </w:rPr>
            </w:pPr>
            <w:r w:rsidRPr="00CA3D1F">
              <w:rPr>
                <w:sz w:val="18"/>
                <w:szCs w:val="18"/>
              </w:rPr>
              <w:t>Indicator 1.1</w:t>
            </w:r>
          </w:p>
        </w:tc>
        <w:tc>
          <w:tcPr>
            <w:tcW w:w="6765" w:type="dxa"/>
            <w:gridSpan w:val="5"/>
            <w:shd w:val="clear" w:color="auto" w:fill="BFBFBF" w:themeFill="background1" w:themeFillShade="BF"/>
          </w:tcPr>
          <w:p w14:paraId="1A1E46F1" w14:textId="77777777" w:rsidR="007520C1" w:rsidRPr="00CA3D1F" w:rsidRDefault="007520C1" w:rsidP="00E049DB">
            <w:pPr>
              <w:rPr>
                <w:sz w:val="18"/>
                <w:szCs w:val="18"/>
              </w:rPr>
            </w:pPr>
            <w:r w:rsidRPr="00CA3D1F">
              <w:rPr>
                <w:sz w:val="18"/>
                <w:szCs w:val="18"/>
              </w:rPr>
              <w:t>Terrestrial protected areas newly created</w:t>
            </w:r>
          </w:p>
        </w:tc>
        <w:tc>
          <w:tcPr>
            <w:tcW w:w="2772" w:type="dxa"/>
            <w:gridSpan w:val="5"/>
            <w:shd w:val="clear" w:color="auto" w:fill="BFBFBF" w:themeFill="background1" w:themeFillShade="BF"/>
          </w:tcPr>
          <w:p w14:paraId="16944B64" w14:textId="77777777" w:rsidR="007520C1" w:rsidRPr="00CA3D1F" w:rsidRDefault="007520C1" w:rsidP="00E049DB">
            <w:pPr>
              <w:jc w:val="right"/>
              <w:rPr>
                <w:sz w:val="18"/>
                <w:szCs w:val="18"/>
              </w:rPr>
            </w:pPr>
            <w:r w:rsidRPr="00CA3D1F">
              <w:rPr>
                <w:i/>
                <w:color w:val="000000"/>
                <w:sz w:val="18"/>
                <w:szCs w:val="18"/>
              </w:rPr>
              <w:fldChar w:fldCharType="begin">
                <w:ffData>
                  <w:name w:val="F_GEB_BD_target"/>
                  <w:enabled/>
                  <w:calcOnExit w:val="0"/>
                  <w:textInput/>
                </w:ffData>
              </w:fldChar>
            </w:r>
            <w:r w:rsidRPr="00CA3D1F">
              <w:rPr>
                <w:i/>
                <w:color w:val="000000"/>
                <w:sz w:val="18"/>
                <w:szCs w:val="18"/>
              </w:rPr>
              <w:instrText xml:space="preserve"> FORMTEXT </w:instrText>
            </w:r>
            <w:r w:rsidRPr="00CA3D1F">
              <w:rPr>
                <w:i/>
                <w:color w:val="000000"/>
                <w:sz w:val="18"/>
                <w:szCs w:val="18"/>
              </w:rPr>
            </w:r>
            <w:r w:rsidRPr="00CA3D1F">
              <w:rPr>
                <w:i/>
                <w:color w:val="000000"/>
                <w:sz w:val="18"/>
                <w:szCs w:val="18"/>
              </w:rPr>
              <w:fldChar w:fldCharType="separate"/>
            </w:r>
            <w:r w:rsidRPr="00CA3D1F">
              <w:rPr>
                <w:i/>
                <w:color w:val="000000"/>
                <w:sz w:val="18"/>
                <w:szCs w:val="18"/>
              </w:rPr>
              <w:t> </w:t>
            </w:r>
            <w:r w:rsidRPr="00CA3D1F">
              <w:rPr>
                <w:i/>
                <w:color w:val="000000"/>
                <w:sz w:val="18"/>
                <w:szCs w:val="18"/>
              </w:rPr>
              <w:t> </w:t>
            </w:r>
            <w:r w:rsidRPr="00CA3D1F">
              <w:rPr>
                <w:i/>
                <w:color w:val="000000"/>
                <w:sz w:val="18"/>
                <w:szCs w:val="18"/>
              </w:rPr>
              <w:t> </w:t>
            </w:r>
            <w:r w:rsidRPr="00CA3D1F">
              <w:rPr>
                <w:i/>
                <w:color w:val="000000"/>
                <w:sz w:val="18"/>
                <w:szCs w:val="18"/>
              </w:rPr>
              <w:t> </w:t>
            </w:r>
            <w:r w:rsidRPr="00CA3D1F">
              <w:rPr>
                <w:i/>
                <w:color w:val="000000"/>
                <w:sz w:val="18"/>
                <w:szCs w:val="18"/>
              </w:rPr>
              <w:t> </w:t>
            </w:r>
            <w:r w:rsidRPr="00CA3D1F">
              <w:rPr>
                <w:i/>
                <w:color w:val="000000"/>
                <w:sz w:val="18"/>
                <w:szCs w:val="18"/>
              </w:rPr>
              <w:fldChar w:fldCharType="end"/>
            </w:r>
          </w:p>
        </w:tc>
      </w:tr>
      <w:tr w:rsidR="007520C1" w:rsidRPr="004244E0" w14:paraId="7A85B969" w14:textId="77777777" w:rsidTr="00DB02C4">
        <w:trPr>
          <w:trHeight w:val="125"/>
        </w:trPr>
        <w:tc>
          <w:tcPr>
            <w:tcW w:w="1298" w:type="dxa"/>
            <w:vMerge w:val="restart"/>
            <w:vAlign w:val="center"/>
          </w:tcPr>
          <w:p w14:paraId="3F5D7454" w14:textId="77777777" w:rsidR="007520C1" w:rsidRPr="00CA3D1F" w:rsidRDefault="007520C1" w:rsidP="00E049DB">
            <w:pPr>
              <w:rPr>
                <w:sz w:val="18"/>
                <w:szCs w:val="18"/>
              </w:rPr>
            </w:pPr>
            <w:r w:rsidRPr="00CA3D1F">
              <w:rPr>
                <w:sz w:val="18"/>
                <w:szCs w:val="18"/>
              </w:rPr>
              <w:t>Name of Protected Area</w:t>
            </w:r>
          </w:p>
        </w:tc>
        <w:tc>
          <w:tcPr>
            <w:tcW w:w="933" w:type="dxa"/>
            <w:vMerge w:val="restart"/>
            <w:vAlign w:val="center"/>
          </w:tcPr>
          <w:p w14:paraId="7F44A031" w14:textId="77777777" w:rsidR="007520C1" w:rsidRPr="00CA3D1F" w:rsidRDefault="007520C1" w:rsidP="00E049DB">
            <w:pPr>
              <w:rPr>
                <w:sz w:val="18"/>
                <w:szCs w:val="18"/>
              </w:rPr>
            </w:pPr>
            <w:r w:rsidRPr="00CA3D1F">
              <w:rPr>
                <w:sz w:val="18"/>
                <w:szCs w:val="18"/>
              </w:rPr>
              <w:t>WDPA ID</w:t>
            </w:r>
          </w:p>
        </w:tc>
        <w:tc>
          <w:tcPr>
            <w:tcW w:w="1726" w:type="dxa"/>
            <w:vMerge w:val="restart"/>
            <w:vAlign w:val="center"/>
          </w:tcPr>
          <w:p w14:paraId="06C2644D" w14:textId="77777777" w:rsidR="007520C1" w:rsidRPr="00CA3D1F" w:rsidRDefault="007520C1" w:rsidP="00E049DB">
            <w:pPr>
              <w:rPr>
                <w:sz w:val="18"/>
                <w:szCs w:val="18"/>
              </w:rPr>
            </w:pPr>
            <w:r w:rsidRPr="00CA3D1F">
              <w:rPr>
                <w:sz w:val="18"/>
                <w:szCs w:val="18"/>
              </w:rPr>
              <w:t>IUCN category</w:t>
            </w:r>
          </w:p>
        </w:tc>
        <w:tc>
          <w:tcPr>
            <w:tcW w:w="6878" w:type="dxa"/>
            <w:gridSpan w:val="8"/>
          </w:tcPr>
          <w:p w14:paraId="6A8E920C" w14:textId="77777777" w:rsidR="007520C1" w:rsidRPr="00CA3D1F" w:rsidRDefault="007520C1" w:rsidP="00E049DB">
            <w:pPr>
              <w:jc w:val="center"/>
              <w:rPr>
                <w:sz w:val="18"/>
                <w:szCs w:val="18"/>
              </w:rPr>
            </w:pPr>
            <w:r w:rsidRPr="00CA3D1F">
              <w:rPr>
                <w:sz w:val="18"/>
                <w:szCs w:val="18"/>
              </w:rPr>
              <w:t>Hectares</w:t>
            </w:r>
          </w:p>
        </w:tc>
      </w:tr>
      <w:tr w:rsidR="007520C1" w:rsidRPr="004244E0" w14:paraId="1D6F27E0" w14:textId="77777777" w:rsidTr="00DB02C4">
        <w:trPr>
          <w:trHeight w:val="58"/>
        </w:trPr>
        <w:tc>
          <w:tcPr>
            <w:tcW w:w="1298" w:type="dxa"/>
            <w:vMerge/>
          </w:tcPr>
          <w:p w14:paraId="7726F64A" w14:textId="77777777" w:rsidR="007520C1" w:rsidRPr="00CA3D1F" w:rsidRDefault="007520C1" w:rsidP="00E049DB">
            <w:pPr>
              <w:rPr>
                <w:sz w:val="18"/>
                <w:szCs w:val="18"/>
              </w:rPr>
            </w:pPr>
          </w:p>
        </w:tc>
        <w:tc>
          <w:tcPr>
            <w:tcW w:w="933" w:type="dxa"/>
            <w:vMerge/>
          </w:tcPr>
          <w:p w14:paraId="2CC36C8B" w14:textId="77777777" w:rsidR="007520C1" w:rsidRPr="00CA3D1F" w:rsidRDefault="007520C1" w:rsidP="00E049DB">
            <w:pPr>
              <w:rPr>
                <w:sz w:val="18"/>
                <w:szCs w:val="18"/>
              </w:rPr>
            </w:pPr>
          </w:p>
        </w:tc>
        <w:tc>
          <w:tcPr>
            <w:tcW w:w="1726" w:type="dxa"/>
            <w:vMerge/>
          </w:tcPr>
          <w:p w14:paraId="6027ED7B" w14:textId="77777777" w:rsidR="007520C1" w:rsidRPr="00CA3D1F" w:rsidRDefault="007520C1" w:rsidP="00E049DB">
            <w:pPr>
              <w:rPr>
                <w:sz w:val="18"/>
                <w:szCs w:val="18"/>
              </w:rPr>
            </w:pPr>
          </w:p>
        </w:tc>
        <w:tc>
          <w:tcPr>
            <w:tcW w:w="4106" w:type="dxa"/>
            <w:gridSpan w:val="3"/>
          </w:tcPr>
          <w:p w14:paraId="76CE717B" w14:textId="77777777" w:rsidR="007520C1" w:rsidRPr="00CA3D1F" w:rsidRDefault="007520C1" w:rsidP="00E049DB">
            <w:pPr>
              <w:jc w:val="center"/>
              <w:rPr>
                <w:sz w:val="18"/>
                <w:szCs w:val="18"/>
              </w:rPr>
            </w:pPr>
            <w:r w:rsidRPr="00CA3D1F">
              <w:rPr>
                <w:sz w:val="18"/>
                <w:szCs w:val="18"/>
              </w:rPr>
              <w:t>Expected</w:t>
            </w:r>
          </w:p>
        </w:tc>
        <w:tc>
          <w:tcPr>
            <w:tcW w:w="2772" w:type="dxa"/>
            <w:gridSpan w:val="5"/>
          </w:tcPr>
          <w:p w14:paraId="68E467CE" w14:textId="77777777" w:rsidR="007520C1" w:rsidRPr="00CA3D1F" w:rsidRDefault="007520C1" w:rsidP="00E049DB">
            <w:pPr>
              <w:jc w:val="center"/>
              <w:rPr>
                <w:sz w:val="18"/>
                <w:szCs w:val="18"/>
              </w:rPr>
            </w:pPr>
            <w:r w:rsidRPr="00CA3D1F">
              <w:rPr>
                <w:sz w:val="18"/>
                <w:szCs w:val="18"/>
              </w:rPr>
              <w:t>Achieved</w:t>
            </w:r>
          </w:p>
        </w:tc>
      </w:tr>
      <w:tr w:rsidR="007520C1" w:rsidRPr="004244E0" w14:paraId="68CDC11B" w14:textId="77777777" w:rsidTr="00DB02C4">
        <w:trPr>
          <w:trHeight w:val="58"/>
        </w:trPr>
        <w:tc>
          <w:tcPr>
            <w:tcW w:w="1298" w:type="dxa"/>
            <w:vMerge/>
          </w:tcPr>
          <w:p w14:paraId="4C596E47" w14:textId="77777777" w:rsidR="007520C1" w:rsidRPr="00CA3D1F" w:rsidRDefault="007520C1" w:rsidP="00E049DB">
            <w:pPr>
              <w:rPr>
                <w:sz w:val="18"/>
                <w:szCs w:val="18"/>
              </w:rPr>
            </w:pPr>
          </w:p>
        </w:tc>
        <w:tc>
          <w:tcPr>
            <w:tcW w:w="933" w:type="dxa"/>
            <w:vMerge/>
          </w:tcPr>
          <w:p w14:paraId="1DE87296" w14:textId="77777777" w:rsidR="007520C1" w:rsidRPr="00CA3D1F" w:rsidRDefault="007520C1" w:rsidP="00E049DB">
            <w:pPr>
              <w:rPr>
                <w:sz w:val="18"/>
                <w:szCs w:val="18"/>
              </w:rPr>
            </w:pPr>
          </w:p>
        </w:tc>
        <w:tc>
          <w:tcPr>
            <w:tcW w:w="1726" w:type="dxa"/>
            <w:vMerge/>
          </w:tcPr>
          <w:p w14:paraId="7980A155" w14:textId="77777777" w:rsidR="007520C1" w:rsidRPr="00CA3D1F" w:rsidRDefault="007520C1" w:rsidP="00E049DB">
            <w:pPr>
              <w:rPr>
                <w:sz w:val="18"/>
                <w:szCs w:val="18"/>
              </w:rPr>
            </w:pPr>
          </w:p>
        </w:tc>
        <w:tc>
          <w:tcPr>
            <w:tcW w:w="2782" w:type="dxa"/>
            <w:gridSpan w:val="2"/>
          </w:tcPr>
          <w:p w14:paraId="56BA2699" w14:textId="77777777" w:rsidR="007520C1" w:rsidRPr="00CA3D1F" w:rsidRDefault="007520C1" w:rsidP="00E049DB">
            <w:pPr>
              <w:jc w:val="center"/>
              <w:rPr>
                <w:sz w:val="18"/>
                <w:szCs w:val="18"/>
              </w:rPr>
            </w:pPr>
            <w:r w:rsidRPr="00CA3D1F">
              <w:rPr>
                <w:sz w:val="18"/>
                <w:szCs w:val="18"/>
              </w:rPr>
              <w:t>PIF stage</w:t>
            </w:r>
          </w:p>
        </w:tc>
        <w:tc>
          <w:tcPr>
            <w:tcW w:w="1485" w:type="dxa"/>
            <w:gridSpan w:val="3"/>
          </w:tcPr>
          <w:p w14:paraId="3E67AB00" w14:textId="77777777" w:rsidR="007520C1" w:rsidRPr="00CA3D1F" w:rsidRDefault="007520C1" w:rsidP="00E049DB">
            <w:pPr>
              <w:jc w:val="center"/>
              <w:rPr>
                <w:sz w:val="18"/>
                <w:szCs w:val="18"/>
              </w:rPr>
            </w:pPr>
            <w:r w:rsidRPr="00CA3D1F">
              <w:rPr>
                <w:sz w:val="18"/>
                <w:szCs w:val="18"/>
              </w:rPr>
              <w:t>Endorsement</w:t>
            </w:r>
          </w:p>
        </w:tc>
        <w:tc>
          <w:tcPr>
            <w:tcW w:w="1324" w:type="dxa"/>
            <w:gridSpan w:val="2"/>
          </w:tcPr>
          <w:p w14:paraId="2A17FCA9" w14:textId="77777777" w:rsidR="007520C1" w:rsidRPr="00CA3D1F" w:rsidRDefault="007520C1" w:rsidP="00E049DB">
            <w:pPr>
              <w:jc w:val="center"/>
              <w:rPr>
                <w:sz w:val="18"/>
                <w:szCs w:val="18"/>
              </w:rPr>
            </w:pPr>
            <w:r w:rsidRPr="00CA3D1F">
              <w:rPr>
                <w:sz w:val="18"/>
                <w:szCs w:val="18"/>
              </w:rPr>
              <w:t>MTR</w:t>
            </w:r>
          </w:p>
        </w:tc>
        <w:tc>
          <w:tcPr>
            <w:tcW w:w="1287" w:type="dxa"/>
          </w:tcPr>
          <w:p w14:paraId="7544BB2E" w14:textId="77777777" w:rsidR="007520C1" w:rsidRPr="00CA3D1F" w:rsidRDefault="007520C1" w:rsidP="00E049DB">
            <w:pPr>
              <w:jc w:val="center"/>
              <w:rPr>
                <w:sz w:val="18"/>
                <w:szCs w:val="18"/>
              </w:rPr>
            </w:pPr>
            <w:r w:rsidRPr="00CA3D1F">
              <w:rPr>
                <w:sz w:val="18"/>
                <w:szCs w:val="18"/>
              </w:rPr>
              <w:t>TE</w:t>
            </w:r>
          </w:p>
        </w:tc>
      </w:tr>
      <w:tr w:rsidR="007520C1" w:rsidRPr="004244E0" w14:paraId="218F4254" w14:textId="77777777" w:rsidTr="00DB02C4">
        <w:trPr>
          <w:trHeight w:val="125"/>
        </w:trPr>
        <w:tc>
          <w:tcPr>
            <w:tcW w:w="1298" w:type="dxa"/>
          </w:tcPr>
          <w:p w14:paraId="38760A24" w14:textId="77777777" w:rsidR="007520C1" w:rsidRPr="00CA3D1F" w:rsidRDefault="007520C1" w:rsidP="00E049DB">
            <w:pPr>
              <w:jc w:val="right"/>
              <w:rPr>
                <w:sz w:val="18"/>
                <w:szCs w:val="18"/>
              </w:rPr>
            </w:pPr>
            <w:r w:rsidRPr="00CA3D1F">
              <w:rPr>
                <w:i/>
                <w:color w:val="000000"/>
                <w:sz w:val="18"/>
                <w:szCs w:val="18"/>
              </w:rPr>
              <w:fldChar w:fldCharType="begin">
                <w:ffData>
                  <w:name w:val="F_GEB_BD_target"/>
                  <w:enabled/>
                  <w:calcOnExit w:val="0"/>
                  <w:textInput/>
                </w:ffData>
              </w:fldChar>
            </w:r>
            <w:r w:rsidRPr="00CA3D1F">
              <w:rPr>
                <w:i/>
                <w:color w:val="000000"/>
                <w:sz w:val="18"/>
                <w:szCs w:val="18"/>
              </w:rPr>
              <w:instrText xml:space="preserve"> FORMTEXT </w:instrText>
            </w:r>
            <w:r w:rsidRPr="00CA3D1F">
              <w:rPr>
                <w:i/>
                <w:color w:val="000000"/>
                <w:sz w:val="18"/>
                <w:szCs w:val="18"/>
              </w:rPr>
            </w:r>
            <w:r w:rsidRPr="00CA3D1F">
              <w:rPr>
                <w:i/>
                <w:color w:val="000000"/>
                <w:sz w:val="18"/>
                <w:szCs w:val="18"/>
              </w:rPr>
              <w:fldChar w:fldCharType="separate"/>
            </w:r>
            <w:r w:rsidRPr="00CA3D1F">
              <w:rPr>
                <w:i/>
                <w:color w:val="000000"/>
                <w:sz w:val="18"/>
                <w:szCs w:val="18"/>
              </w:rPr>
              <w:t> </w:t>
            </w:r>
            <w:r w:rsidRPr="00CA3D1F">
              <w:rPr>
                <w:i/>
                <w:color w:val="000000"/>
                <w:sz w:val="18"/>
                <w:szCs w:val="18"/>
              </w:rPr>
              <w:t> </w:t>
            </w:r>
            <w:r w:rsidRPr="00CA3D1F">
              <w:rPr>
                <w:i/>
                <w:color w:val="000000"/>
                <w:sz w:val="18"/>
                <w:szCs w:val="18"/>
              </w:rPr>
              <w:t> </w:t>
            </w:r>
            <w:r w:rsidRPr="00CA3D1F">
              <w:rPr>
                <w:i/>
                <w:color w:val="000000"/>
                <w:sz w:val="18"/>
                <w:szCs w:val="18"/>
              </w:rPr>
              <w:t> </w:t>
            </w:r>
            <w:r w:rsidRPr="00CA3D1F">
              <w:rPr>
                <w:i/>
                <w:color w:val="000000"/>
                <w:sz w:val="18"/>
                <w:szCs w:val="18"/>
              </w:rPr>
              <w:t> </w:t>
            </w:r>
            <w:r w:rsidRPr="00CA3D1F">
              <w:rPr>
                <w:i/>
                <w:color w:val="000000"/>
                <w:sz w:val="18"/>
                <w:szCs w:val="18"/>
              </w:rPr>
              <w:fldChar w:fldCharType="end"/>
            </w:r>
          </w:p>
        </w:tc>
        <w:tc>
          <w:tcPr>
            <w:tcW w:w="933" w:type="dxa"/>
          </w:tcPr>
          <w:p w14:paraId="236FDF0C" w14:textId="77777777" w:rsidR="007520C1" w:rsidRPr="00CA3D1F" w:rsidRDefault="007520C1" w:rsidP="00E049DB">
            <w:pPr>
              <w:jc w:val="right"/>
              <w:rPr>
                <w:sz w:val="18"/>
                <w:szCs w:val="18"/>
              </w:rPr>
            </w:pPr>
            <w:r w:rsidRPr="00CA3D1F">
              <w:rPr>
                <w:i/>
                <w:color w:val="000000"/>
                <w:sz w:val="18"/>
                <w:szCs w:val="18"/>
              </w:rPr>
              <w:fldChar w:fldCharType="begin">
                <w:ffData>
                  <w:name w:val="F_GEB_BD_target"/>
                  <w:enabled/>
                  <w:calcOnExit w:val="0"/>
                  <w:textInput/>
                </w:ffData>
              </w:fldChar>
            </w:r>
            <w:r w:rsidRPr="00CA3D1F">
              <w:rPr>
                <w:i/>
                <w:color w:val="000000"/>
                <w:sz w:val="18"/>
                <w:szCs w:val="18"/>
              </w:rPr>
              <w:instrText xml:space="preserve"> FORMTEXT </w:instrText>
            </w:r>
            <w:r w:rsidRPr="00CA3D1F">
              <w:rPr>
                <w:i/>
                <w:color w:val="000000"/>
                <w:sz w:val="18"/>
                <w:szCs w:val="18"/>
              </w:rPr>
            </w:r>
            <w:r w:rsidRPr="00CA3D1F">
              <w:rPr>
                <w:i/>
                <w:color w:val="000000"/>
                <w:sz w:val="18"/>
                <w:szCs w:val="18"/>
              </w:rPr>
              <w:fldChar w:fldCharType="separate"/>
            </w:r>
            <w:r w:rsidRPr="00CA3D1F">
              <w:rPr>
                <w:i/>
                <w:color w:val="000000"/>
                <w:sz w:val="18"/>
                <w:szCs w:val="18"/>
              </w:rPr>
              <w:t> </w:t>
            </w:r>
            <w:r w:rsidRPr="00CA3D1F">
              <w:rPr>
                <w:i/>
                <w:color w:val="000000"/>
                <w:sz w:val="18"/>
                <w:szCs w:val="18"/>
              </w:rPr>
              <w:t> </w:t>
            </w:r>
            <w:r w:rsidRPr="00CA3D1F">
              <w:rPr>
                <w:i/>
                <w:color w:val="000000"/>
                <w:sz w:val="18"/>
                <w:szCs w:val="18"/>
              </w:rPr>
              <w:t> </w:t>
            </w:r>
            <w:r w:rsidRPr="00CA3D1F">
              <w:rPr>
                <w:i/>
                <w:color w:val="000000"/>
                <w:sz w:val="18"/>
                <w:szCs w:val="18"/>
              </w:rPr>
              <w:t> </w:t>
            </w:r>
            <w:r w:rsidRPr="00CA3D1F">
              <w:rPr>
                <w:i/>
                <w:color w:val="000000"/>
                <w:sz w:val="18"/>
                <w:szCs w:val="18"/>
              </w:rPr>
              <w:t> </w:t>
            </w:r>
            <w:r w:rsidRPr="00CA3D1F">
              <w:rPr>
                <w:i/>
                <w:color w:val="000000"/>
                <w:sz w:val="18"/>
                <w:szCs w:val="18"/>
              </w:rPr>
              <w:fldChar w:fldCharType="end"/>
            </w:r>
          </w:p>
        </w:tc>
        <w:tc>
          <w:tcPr>
            <w:tcW w:w="1726" w:type="dxa"/>
          </w:tcPr>
          <w:p w14:paraId="15CC8C47" w14:textId="77777777" w:rsidR="007520C1" w:rsidRPr="00CA3D1F" w:rsidRDefault="007520C1" w:rsidP="00E049DB">
            <w:pPr>
              <w:jc w:val="right"/>
              <w:rPr>
                <w:sz w:val="18"/>
                <w:szCs w:val="18"/>
              </w:rPr>
            </w:pPr>
            <w:r w:rsidRPr="00CA3D1F">
              <w:rPr>
                <w:color w:val="000000"/>
                <w:sz w:val="18"/>
                <w:szCs w:val="18"/>
              </w:rPr>
              <w:fldChar w:fldCharType="begin">
                <w:ffData>
                  <w:name w:val="PPG_fa_01"/>
                  <w:enabled/>
                  <w:calcOnExit w:val="0"/>
                  <w:ddList>
                    <w:listEntry w:val="(select)"/>
                    <w:listEntry w:val="Ia Strict Nature Reserve"/>
                    <w:listEntry w:val="Ib Wilderness Area"/>
                    <w:listEntry w:val="II National Park"/>
                    <w:listEntry w:val="III Natural Monument or Feature"/>
                    <w:listEntry w:val="IV Habitat/Species Management Area"/>
                    <w:listEntry w:val="V Protected Landscape/Seascape"/>
                    <w:listEntry w:val="VI PA with sustainable use of natural resources"/>
                  </w:ddList>
                </w:ffData>
              </w:fldChar>
            </w:r>
            <w:bookmarkStart w:id="396" w:name="PPG_fa_01"/>
            <w:r w:rsidRPr="00CA3D1F">
              <w:rPr>
                <w:color w:val="000000"/>
                <w:sz w:val="18"/>
                <w:szCs w:val="18"/>
              </w:rPr>
              <w:instrText xml:space="preserve"> FORMDROPDOWN </w:instrText>
            </w:r>
            <w:r w:rsidR="000C73F8">
              <w:rPr>
                <w:color w:val="000000"/>
                <w:sz w:val="18"/>
                <w:szCs w:val="18"/>
              </w:rPr>
            </w:r>
            <w:r w:rsidR="000C73F8">
              <w:rPr>
                <w:color w:val="000000"/>
                <w:sz w:val="18"/>
                <w:szCs w:val="18"/>
              </w:rPr>
              <w:fldChar w:fldCharType="separate"/>
            </w:r>
            <w:r w:rsidRPr="00CA3D1F">
              <w:rPr>
                <w:color w:val="000000"/>
                <w:sz w:val="18"/>
                <w:szCs w:val="18"/>
              </w:rPr>
              <w:fldChar w:fldCharType="end"/>
            </w:r>
            <w:bookmarkEnd w:id="396"/>
            <w:r w:rsidRPr="00CA3D1F">
              <w:rPr>
                <w:color w:val="000000"/>
                <w:sz w:val="18"/>
                <w:szCs w:val="18"/>
              </w:rPr>
              <w:t xml:space="preserve">  </w:t>
            </w:r>
          </w:p>
        </w:tc>
        <w:tc>
          <w:tcPr>
            <w:tcW w:w="2782" w:type="dxa"/>
            <w:gridSpan w:val="2"/>
          </w:tcPr>
          <w:p w14:paraId="632E4D1E" w14:textId="77777777" w:rsidR="007520C1" w:rsidRPr="00CA3D1F" w:rsidRDefault="007520C1" w:rsidP="00E049DB">
            <w:pPr>
              <w:jc w:val="right"/>
              <w:rPr>
                <w:sz w:val="18"/>
                <w:szCs w:val="18"/>
              </w:rPr>
            </w:pPr>
            <w:r w:rsidRPr="00CA3D1F">
              <w:rPr>
                <w:i/>
                <w:color w:val="000000"/>
                <w:sz w:val="18"/>
                <w:szCs w:val="18"/>
              </w:rPr>
              <w:fldChar w:fldCharType="begin">
                <w:ffData>
                  <w:name w:val="F_GEB_BD_target"/>
                  <w:enabled/>
                  <w:calcOnExit w:val="0"/>
                  <w:textInput/>
                </w:ffData>
              </w:fldChar>
            </w:r>
            <w:r w:rsidRPr="00CA3D1F">
              <w:rPr>
                <w:i/>
                <w:color w:val="000000"/>
                <w:sz w:val="18"/>
                <w:szCs w:val="18"/>
              </w:rPr>
              <w:instrText xml:space="preserve"> FORMTEXT </w:instrText>
            </w:r>
            <w:r w:rsidRPr="00CA3D1F">
              <w:rPr>
                <w:i/>
                <w:color w:val="000000"/>
                <w:sz w:val="18"/>
                <w:szCs w:val="18"/>
              </w:rPr>
            </w:r>
            <w:r w:rsidRPr="00CA3D1F">
              <w:rPr>
                <w:i/>
                <w:color w:val="000000"/>
                <w:sz w:val="18"/>
                <w:szCs w:val="18"/>
              </w:rPr>
              <w:fldChar w:fldCharType="separate"/>
            </w:r>
            <w:r w:rsidRPr="00CA3D1F">
              <w:rPr>
                <w:i/>
                <w:color w:val="000000"/>
                <w:sz w:val="18"/>
                <w:szCs w:val="18"/>
              </w:rPr>
              <w:t> </w:t>
            </w:r>
            <w:r w:rsidRPr="00CA3D1F">
              <w:rPr>
                <w:i/>
                <w:color w:val="000000"/>
                <w:sz w:val="18"/>
                <w:szCs w:val="18"/>
              </w:rPr>
              <w:t> </w:t>
            </w:r>
            <w:r w:rsidRPr="00CA3D1F">
              <w:rPr>
                <w:i/>
                <w:color w:val="000000"/>
                <w:sz w:val="18"/>
                <w:szCs w:val="18"/>
              </w:rPr>
              <w:t> </w:t>
            </w:r>
            <w:r w:rsidRPr="00CA3D1F">
              <w:rPr>
                <w:i/>
                <w:color w:val="000000"/>
                <w:sz w:val="18"/>
                <w:szCs w:val="18"/>
              </w:rPr>
              <w:t> </w:t>
            </w:r>
            <w:r w:rsidRPr="00CA3D1F">
              <w:rPr>
                <w:i/>
                <w:color w:val="000000"/>
                <w:sz w:val="18"/>
                <w:szCs w:val="18"/>
              </w:rPr>
              <w:t> </w:t>
            </w:r>
            <w:r w:rsidRPr="00CA3D1F">
              <w:rPr>
                <w:i/>
                <w:color w:val="000000"/>
                <w:sz w:val="18"/>
                <w:szCs w:val="18"/>
              </w:rPr>
              <w:fldChar w:fldCharType="end"/>
            </w:r>
          </w:p>
        </w:tc>
        <w:tc>
          <w:tcPr>
            <w:tcW w:w="1485" w:type="dxa"/>
            <w:gridSpan w:val="3"/>
          </w:tcPr>
          <w:p w14:paraId="02516320" w14:textId="77777777" w:rsidR="007520C1" w:rsidRPr="00CA3D1F" w:rsidRDefault="007520C1" w:rsidP="00E049DB">
            <w:pPr>
              <w:jc w:val="right"/>
              <w:rPr>
                <w:sz w:val="18"/>
                <w:szCs w:val="18"/>
              </w:rPr>
            </w:pPr>
            <w:r w:rsidRPr="00CA3D1F">
              <w:rPr>
                <w:i/>
                <w:color w:val="000000"/>
                <w:sz w:val="18"/>
                <w:szCs w:val="18"/>
              </w:rPr>
              <w:fldChar w:fldCharType="begin">
                <w:ffData>
                  <w:name w:val="F_GEB_BD_target"/>
                  <w:enabled/>
                  <w:calcOnExit w:val="0"/>
                  <w:textInput/>
                </w:ffData>
              </w:fldChar>
            </w:r>
            <w:r w:rsidRPr="00CA3D1F">
              <w:rPr>
                <w:i/>
                <w:color w:val="000000"/>
                <w:sz w:val="18"/>
                <w:szCs w:val="18"/>
              </w:rPr>
              <w:instrText xml:space="preserve"> FORMTEXT </w:instrText>
            </w:r>
            <w:r w:rsidRPr="00CA3D1F">
              <w:rPr>
                <w:i/>
                <w:color w:val="000000"/>
                <w:sz w:val="18"/>
                <w:szCs w:val="18"/>
              </w:rPr>
            </w:r>
            <w:r w:rsidRPr="00CA3D1F">
              <w:rPr>
                <w:i/>
                <w:color w:val="000000"/>
                <w:sz w:val="18"/>
                <w:szCs w:val="18"/>
              </w:rPr>
              <w:fldChar w:fldCharType="separate"/>
            </w:r>
            <w:r w:rsidRPr="00CA3D1F">
              <w:rPr>
                <w:i/>
                <w:color w:val="000000"/>
                <w:sz w:val="18"/>
                <w:szCs w:val="18"/>
              </w:rPr>
              <w:t> </w:t>
            </w:r>
            <w:r w:rsidRPr="00CA3D1F">
              <w:rPr>
                <w:i/>
                <w:color w:val="000000"/>
                <w:sz w:val="18"/>
                <w:szCs w:val="18"/>
              </w:rPr>
              <w:t> </w:t>
            </w:r>
            <w:r w:rsidRPr="00CA3D1F">
              <w:rPr>
                <w:i/>
                <w:color w:val="000000"/>
                <w:sz w:val="18"/>
                <w:szCs w:val="18"/>
              </w:rPr>
              <w:t> </w:t>
            </w:r>
            <w:r w:rsidRPr="00CA3D1F">
              <w:rPr>
                <w:i/>
                <w:color w:val="000000"/>
                <w:sz w:val="18"/>
                <w:szCs w:val="18"/>
              </w:rPr>
              <w:t> </w:t>
            </w:r>
            <w:r w:rsidRPr="00CA3D1F">
              <w:rPr>
                <w:i/>
                <w:color w:val="000000"/>
                <w:sz w:val="18"/>
                <w:szCs w:val="18"/>
              </w:rPr>
              <w:t> </w:t>
            </w:r>
            <w:r w:rsidRPr="00CA3D1F">
              <w:rPr>
                <w:i/>
                <w:color w:val="000000"/>
                <w:sz w:val="18"/>
                <w:szCs w:val="18"/>
              </w:rPr>
              <w:fldChar w:fldCharType="end"/>
            </w:r>
          </w:p>
        </w:tc>
        <w:tc>
          <w:tcPr>
            <w:tcW w:w="1324" w:type="dxa"/>
            <w:gridSpan w:val="2"/>
          </w:tcPr>
          <w:p w14:paraId="07547355" w14:textId="77777777" w:rsidR="007520C1" w:rsidRPr="00CA3D1F" w:rsidRDefault="007520C1" w:rsidP="00E049DB">
            <w:pPr>
              <w:jc w:val="right"/>
              <w:rPr>
                <w:sz w:val="18"/>
                <w:szCs w:val="18"/>
              </w:rPr>
            </w:pPr>
            <w:r w:rsidRPr="00CA3D1F">
              <w:rPr>
                <w:i/>
                <w:color w:val="000000"/>
                <w:sz w:val="18"/>
                <w:szCs w:val="18"/>
              </w:rPr>
              <w:fldChar w:fldCharType="begin">
                <w:ffData>
                  <w:name w:val="F_GEB_BD_target"/>
                  <w:enabled/>
                  <w:calcOnExit w:val="0"/>
                  <w:textInput/>
                </w:ffData>
              </w:fldChar>
            </w:r>
            <w:r w:rsidRPr="00CA3D1F">
              <w:rPr>
                <w:i/>
                <w:color w:val="000000"/>
                <w:sz w:val="18"/>
                <w:szCs w:val="18"/>
              </w:rPr>
              <w:instrText xml:space="preserve"> FORMTEXT </w:instrText>
            </w:r>
            <w:r w:rsidRPr="00CA3D1F">
              <w:rPr>
                <w:i/>
                <w:color w:val="000000"/>
                <w:sz w:val="18"/>
                <w:szCs w:val="18"/>
              </w:rPr>
            </w:r>
            <w:r w:rsidRPr="00CA3D1F">
              <w:rPr>
                <w:i/>
                <w:color w:val="000000"/>
                <w:sz w:val="18"/>
                <w:szCs w:val="18"/>
              </w:rPr>
              <w:fldChar w:fldCharType="separate"/>
            </w:r>
            <w:r w:rsidRPr="00CA3D1F">
              <w:rPr>
                <w:i/>
                <w:color w:val="000000"/>
                <w:sz w:val="18"/>
                <w:szCs w:val="18"/>
              </w:rPr>
              <w:t> </w:t>
            </w:r>
            <w:r w:rsidRPr="00CA3D1F">
              <w:rPr>
                <w:i/>
                <w:color w:val="000000"/>
                <w:sz w:val="18"/>
                <w:szCs w:val="18"/>
              </w:rPr>
              <w:t> </w:t>
            </w:r>
            <w:r w:rsidRPr="00CA3D1F">
              <w:rPr>
                <w:i/>
                <w:color w:val="000000"/>
                <w:sz w:val="18"/>
                <w:szCs w:val="18"/>
              </w:rPr>
              <w:t> </w:t>
            </w:r>
            <w:r w:rsidRPr="00CA3D1F">
              <w:rPr>
                <w:i/>
                <w:color w:val="000000"/>
                <w:sz w:val="18"/>
                <w:szCs w:val="18"/>
              </w:rPr>
              <w:t> </w:t>
            </w:r>
            <w:r w:rsidRPr="00CA3D1F">
              <w:rPr>
                <w:i/>
                <w:color w:val="000000"/>
                <w:sz w:val="18"/>
                <w:szCs w:val="18"/>
              </w:rPr>
              <w:t> </w:t>
            </w:r>
            <w:r w:rsidRPr="00CA3D1F">
              <w:rPr>
                <w:i/>
                <w:color w:val="000000"/>
                <w:sz w:val="18"/>
                <w:szCs w:val="18"/>
              </w:rPr>
              <w:fldChar w:fldCharType="end"/>
            </w:r>
          </w:p>
        </w:tc>
        <w:tc>
          <w:tcPr>
            <w:tcW w:w="1287" w:type="dxa"/>
          </w:tcPr>
          <w:p w14:paraId="4DD939E7" w14:textId="77777777" w:rsidR="007520C1" w:rsidRPr="00CA3D1F" w:rsidRDefault="007520C1" w:rsidP="00E049DB">
            <w:pPr>
              <w:jc w:val="right"/>
              <w:rPr>
                <w:sz w:val="18"/>
                <w:szCs w:val="18"/>
              </w:rPr>
            </w:pPr>
            <w:r w:rsidRPr="00CA3D1F">
              <w:rPr>
                <w:i/>
                <w:color w:val="000000"/>
                <w:sz w:val="18"/>
                <w:szCs w:val="18"/>
              </w:rPr>
              <w:fldChar w:fldCharType="begin">
                <w:ffData>
                  <w:name w:val="F_GEB_BD_target"/>
                  <w:enabled/>
                  <w:calcOnExit w:val="0"/>
                  <w:textInput/>
                </w:ffData>
              </w:fldChar>
            </w:r>
            <w:r w:rsidRPr="00CA3D1F">
              <w:rPr>
                <w:i/>
                <w:color w:val="000000"/>
                <w:sz w:val="18"/>
                <w:szCs w:val="18"/>
              </w:rPr>
              <w:instrText xml:space="preserve"> FORMTEXT </w:instrText>
            </w:r>
            <w:r w:rsidRPr="00CA3D1F">
              <w:rPr>
                <w:i/>
                <w:color w:val="000000"/>
                <w:sz w:val="18"/>
                <w:szCs w:val="18"/>
              </w:rPr>
            </w:r>
            <w:r w:rsidRPr="00CA3D1F">
              <w:rPr>
                <w:i/>
                <w:color w:val="000000"/>
                <w:sz w:val="18"/>
                <w:szCs w:val="18"/>
              </w:rPr>
              <w:fldChar w:fldCharType="separate"/>
            </w:r>
            <w:r w:rsidRPr="00CA3D1F">
              <w:rPr>
                <w:i/>
                <w:color w:val="000000"/>
                <w:sz w:val="18"/>
                <w:szCs w:val="18"/>
              </w:rPr>
              <w:t> </w:t>
            </w:r>
            <w:r w:rsidRPr="00CA3D1F">
              <w:rPr>
                <w:i/>
                <w:color w:val="000000"/>
                <w:sz w:val="18"/>
                <w:szCs w:val="18"/>
              </w:rPr>
              <w:t> </w:t>
            </w:r>
            <w:r w:rsidRPr="00CA3D1F">
              <w:rPr>
                <w:i/>
                <w:color w:val="000000"/>
                <w:sz w:val="18"/>
                <w:szCs w:val="18"/>
              </w:rPr>
              <w:t> </w:t>
            </w:r>
            <w:r w:rsidRPr="00CA3D1F">
              <w:rPr>
                <w:i/>
                <w:color w:val="000000"/>
                <w:sz w:val="18"/>
                <w:szCs w:val="18"/>
              </w:rPr>
              <w:t> </w:t>
            </w:r>
            <w:r w:rsidRPr="00CA3D1F">
              <w:rPr>
                <w:i/>
                <w:color w:val="000000"/>
                <w:sz w:val="18"/>
                <w:szCs w:val="18"/>
              </w:rPr>
              <w:t> </w:t>
            </w:r>
            <w:r w:rsidRPr="00CA3D1F">
              <w:rPr>
                <w:i/>
                <w:color w:val="000000"/>
                <w:sz w:val="18"/>
                <w:szCs w:val="18"/>
              </w:rPr>
              <w:fldChar w:fldCharType="end"/>
            </w:r>
          </w:p>
        </w:tc>
      </w:tr>
      <w:tr w:rsidR="007520C1" w:rsidRPr="004244E0" w14:paraId="1A29766B" w14:textId="77777777" w:rsidTr="00DB02C4">
        <w:tc>
          <w:tcPr>
            <w:tcW w:w="1298" w:type="dxa"/>
          </w:tcPr>
          <w:p w14:paraId="0FF05EE5" w14:textId="77777777" w:rsidR="007520C1" w:rsidRPr="00CA3D1F" w:rsidRDefault="007520C1" w:rsidP="00E049DB">
            <w:pPr>
              <w:jc w:val="right"/>
              <w:rPr>
                <w:sz w:val="18"/>
                <w:szCs w:val="18"/>
              </w:rPr>
            </w:pPr>
            <w:r w:rsidRPr="00CA3D1F">
              <w:rPr>
                <w:i/>
                <w:color w:val="000000"/>
                <w:sz w:val="18"/>
                <w:szCs w:val="18"/>
              </w:rPr>
              <w:fldChar w:fldCharType="begin">
                <w:ffData>
                  <w:name w:val="F_GEB_BD_target"/>
                  <w:enabled/>
                  <w:calcOnExit w:val="0"/>
                  <w:textInput/>
                </w:ffData>
              </w:fldChar>
            </w:r>
            <w:r w:rsidRPr="00CA3D1F">
              <w:rPr>
                <w:i/>
                <w:color w:val="000000"/>
                <w:sz w:val="18"/>
                <w:szCs w:val="18"/>
              </w:rPr>
              <w:instrText xml:space="preserve"> FORMTEXT </w:instrText>
            </w:r>
            <w:r w:rsidRPr="00CA3D1F">
              <w:rPr>
                <w:i/>
                <w:color w:val="000000"/>
                <w:sz w:val="18"/>
                <w:szCs w:val="18"/>
              </w:rPr>
            </w:r>
            <w:r w:rsidRPr="00CA3D1F">
              <w:rPr>
                <w:i/>
                <w:color w:val="000000"/>
                <w:sz w:val="18"/>
                <w:szCs w:val="18"/>
              </w:rPr>
              <w:fldChar w:fldCharType="separate"/>
            </w:r>
            <w:r w:rsidRPr="00CA3D1F">
              <w:rPr>
                <w:i/>
                <w:color w:val="000000"/>
                <w:sz w:val="18"/>
                <w:szCs w:val="18"/>
              </w:rPr>
              <w:t> </w:t>
            </w:r>
            <w:r w:rsidRPr="00CA3D1F">
              <w:rPr>
                <w:i/>
                <w:color w:val="000000"/>
                <w:sz w:val="18"/>
                <w:szCs w:val="18"/>
              </w:rPr>
              <w:t> </w:t>
            </w:r>
            <w:r w:rsidRPr="00CA3D1F">
              <w:rPr>
                <w:i/>
                <w:color w:val="000000"/>
                <w:sz w:val="18"/>
                <w:szCs w:val="18"/>
              </w:rPr>
              <w:t> </w:t>
            </w:r>
            <w:r w:rsidRPr="00CA3D1F">
              <w:rPr>
                <w:i/>
                <w:color w:val="000000"/>
                <w:sz w:val="18"/>
                <w:szCs w:val="18"/>
              </w:rPr>
              <w:t> </w:t>
            </w:r>
            <w:r w:rsidRPr="00CA3D1F">
              <w:rPr>
                <w:i/>
                <w:color w:val="000000"/>
                <w:sz w:val="18"/>
                <w:szCs w:val="18"/>
              </w:rPr>
              <w:t> </w:t>
            </w:r>
            <w:r w:rsidRPr="00CA3D1F">
              <w:rPr>
                <w:i/>
                <w:color w:val="000000"/>
                <w:sz w:val="18"/>
                <w:szCs w:val="18"/>
              </w:rPr>
              <w:fldChar w:fldCharType="end"/>
            </w:r>
          </w:p>
        </w:tc>
        <w:tc>
          <w:tcPr>
            <w:tcW w:w="933" w:type="dxa"/>
          </w:tcPr>
          <w:p w14:paraId="13752A85" w14:textId="77777777" w:rsidR="007520C1" w:rsidRPr="00CA3D1F" w:rsidRDefault="007520C1" w:rsidP="00E049DB">
            <w:pPr>
              <w:jc w:val="right"/>
              <w:rPr>
                <w:sz w:val="18"/>
                <w:szCs w:val="18"/>
              </w:rPr>
            </w:pPr>
            <w:r w:rsidRPr="00CA3D1F">
              <w:rPr>
                <w:i/>
                <w:color w:val="000000"/>
                <w:sz w:val="18"/>
                <w:szCs w:val="18"/>
              </w:rPr>
              <w:fldChar w:fldCharType="begin">
                <w:ffData>
                  <w:name w:val="F_GEB_BD_target"/>
                  <w:enabled/>
                  <w:calcOnExit w:val="0"/>
                  <w:textInput/>
                </w:ffData>
              </w:fldChar>
            </w:r>
            <w:r w:rsidRPr="00CA3D1F">
              <w:rPr>
                <w:i/>
                <w:color w:val="000000"/>
                <w:sz w:val="18"/>
                <w:szCs w:val="18"/>
              </w:rPr>
              <w:instrText xml:space="preserve"> FORMTEXT </w:instrText>
            </w:r>
            <w:r w:rsidRPr="00CA3D1F">
              <w:rPr>
                <w:i/>
                <w:color w:val="000000"/>
                <w:sz w:val="18"/>
                <w:szCs w:val="18"/>
              </w:rPr>
            </w:r>
            <w:r w:rsidRPr="00CA3D1F">
              <w:rPr>
                <w:i/>
                <w:color w:val="000000"/>
                <w:sz w:val="18"/>
                <w:szCs w:val="18"/>
              </w:rPr>
              <w:fldChar w:fldCharType="separate"/>
            </w:r>
            <w:r w:rsidRPr="00CA3D1F">
              <w:rPr>
                <w:i/>
                <w:color w:val="000000"/>
                <w:sz w:val="18"/>
                <w:szCs w:val="18"/>
              </w:rPr>
              <w:t> </w:t>
            </w:r>
            <w:r w:rsidRPr="00CA3D1F">
              <w:rPr>
                <w:i/>
                <w:color w:val="000000"/>
                <w:sz w:val="18"/>
                <w:szCs w:val="18"/>
              </w:rPr>
              <w:t> </w:t>
            </w:r>
            <w:r w:rsidRPr="00CA3D1F">
              <w:rPr>
                <w:i/>
                <w:color w:val="000000"/>
                <w:sz w:val="18"/>
                <w:szCs w:val="18"/>
              </w:rPr>
              <w:t> </w:t>
            </w:r>
            <w:r w:rsidRPr="00CA3D1F">
              <w:rPr>
                <w:i/>
                <w:color w:val="000000"/>
                <w:sz w:val="18"/>
                <w:szCs w:val="18"/>
              </w:rPr>
              <w:t> </w:t>
            </w:r>
            <w:r w:rsidRPr="00CA3D1F">
              <w:rPr>
                <w:i/>
                <w:color w:val="000000"/>
                <w:sz w:val="18"/>
                <w:szCs w:val="18"/>
              </w:rPr>
              <w:t> </w:t>
            </w:r>
            <w:r w:rsidRPr="00CA3D1F">
              <w:rPr>
                <w:i/>
                <w:color w:val="000000"/>
                <w:sz w:val="18"/>
                <w:szCs w:val="18"/>
              </w:rPr>
              <w:fldChar w:fldCharType="end"/>
            </w:r>
          </w:p>
        </w:tc>
        <w:tc>
          <w:tcPr>
            <w:tcW w:w="1726" w:type="dxa"/>
          </w:tcPr>
          <w:p w14:paraId="10ECF40E" w14:textId="77777777" w:rsidR="007520C1" w:rsidRPr="00CA3D1F" w:rsidRDefault="007520C1" w:rsidP="00E049DB">
            <w:pPr>
              <w:jc w:val="right"/>
              <w:rPr>
                <w:sz w:val="18"/>
                <w:szCs w:val="18"/>
              </w:rPr>
            </w:pPr>
            <w:r w:rsidRPr="00CA3D1F">
              <w:rPr>
                <w:color w:val="000000"/>
                <w:sz w:val="18"/>
                <w:szCs w:val="18"/>
              </w:rPr>
              <w:fldChar w:fldCharType="begin">
                <w:ffData>
                  <w:name w:val="PPG_fa_01"/>
                  <w:enabled/>
                  <w:calcOnExit w:val="0"/>
                  <w:ddList>
                    <w:listEntry w:val="(select)"/>
                    <w:listEntry w:val="Ia Strict Nature Reserve"/>
                    <w:listEntry w:val="Ib Wilderness Area"/>
                    <w:listEntry w:val="II National Park"/>
                    <w:listEntry w:val="III Natural Monument or Feature"/>
                    <w:listEntry w:val="IV Habitat/Species Management Area"/>
                    <w:listEntry w:val="V Protected Landscape/Seascape"/>
                    <w:listEntry w:val="VI PA with sustainable use of natural resources"/>
                  </w:ddList>
                </w:ffData>
              </w:fldChar>
            </w:r>
            <w:r w:rsidRPr="00CA3D1F">
              <w:rPr>
                <w:color w:val="000000"/>
                <w:sz w:val="18"/>
                <w:szCs w:val="18"/>
              </w:rPr>
              <w:instrText xml:space="preserve"> FORMDROPDOWN </w:instrText>
            </w:r>
            <w:r w:rsidR="000C73F8">
              <w:rPr>
                <w:color w:val="000000"/>
                <w:sz w:val="18"/>
                <w:szCs w:val="18"/>
              </w:rPr>
            </w:r>
            <w:r w:rsidR="000C73F8">
              <w:rPr>
                <w:color w:val="000000"/>
                <w:sz w:val="18"/>
                <w:szCs w:val="18"/>
              </w:rPr>
              <w:fldChar w:fldCharType="separate"/>
            </w:r>
            <w:r w:rsidRPr="00CA3D1F">
              <w:rPr>
                <w:color w:val="000000"/>
                <w:sz w:val="18"/>
                <w:szCs w:val="18"/>
              </w:rPr>
              <w:fldChar w:fldCharType="end"/>
            </w:r>
            <w:r w:rsidRPr="00CA3D1F">
              <w:rPr>
                <w:color w:val="000000"/>
                <w:sz w:val="18"/>
                <w:szCs w:val="18"/>
              </w:rPr>
              <w:t xml:space="preserve">  </w:t>
            </w:r>
          </w:p>
        </w:tc>
        <w:tc>
          <w:tcPr>
            <w:tcW w:w="2782" w:type="dxa"/>
            <w:gridSpan w:val="2"/>
          </w:tcPr>
          <w:p w14:paraId="6D5B785A" w14:textId="77777777" w:rsidR="007520C1" w:rsidRPr="00CA3D1F" w:rsidRDefault="007520C1" w:rsidP="00E049DB">
            <w:pPr>
              <w:jc w:val="right"/>
              <w:rPr>
                <w:sz w:val="18"/>
                <w:szCs w:val="18"/>
              </w:rPr>
            </w:pPr>
            <w:r w:rsidRPr="00CA3D1F">
              <w:rPr>
                <w:i/>
                <w:color w:val="000000"/>
                <w:sz w:val="18"/>
                <w:szCs w:val="18"/>
              </w:rPr>
              <w:fldChar w:fldCharType="begin">
                <w:ffData>
                  <w:name w:val="F_GEB_BD_target"/>
                  <w:enabled/>
                  <w:calcOnExit w:val="0"/>
                  <w:textInput/>
                </w:ffData>
              </w:fldChar>
            </w:r>
            <w:r w:rsidRPr="00CA3D1F">
              <w:rPr>
                <w:i/>
                <w:color w:val="000000"/>
                <w:sz w:val="18"/>
                <w:szCs w:val="18"/>
              </w:rPr>
              <w:instrText xml:space="preserve"> FORMTEXT </w:instrText>
            </w:r>
            <w:r w:rsidRPr="00CA3D1F">
              <w:rPr>
                <w:i/>
                <w:color w:val="000000"/>
                <w:sz w:val="18"/>
                <w:szCs w:val="18"/>
              </w:rPr>
            </w:r>
            <w:r w:rsidRPr="00CA3D1F">
              <w:rPr>
                <w:i/>
                <w:color w:val="000000"/>
                <w:sz w:val="18"/>
                <w:szCs w:val="18"/>
              </w:rPr>
              <w:fldChar w:fldCharType="separate"/>
            </w:r>
            <w:r w:rsidRPr="00CA3D1F">
              <w:rPr>
                <w:i/>
                <w:color w:val="000000"/>
                <w:sz w:val="18"/>
                <w:szCs w:val="18"/>
              </w:rPr>
              <w:t> </w:t>
            </w:r>
            <w:r w:rsidRPr="00CA3D1F">
              <w:rPr>
                <w:i/>
                <w:color w:val="000000"/>
                <w:sz w:val="18"/>
                <w:szCs w:val="18"/>
              </w:rPr>
              <w:t> </w:t>
            </w:r>
            <w:r w:rsidRPr="00CA3D1F">
              <w:rPr>
                <w:i/>
                <w:color w:val="000000"/>
                <w:sz w:val="18"/>
                <w:szCs w:val="18"/>
              </w:rPr>
              <w:t> </w:t>
            </w:r>
            <w:r w:rsidRPr="00CA3D1F">
              <w:rPr>
                <w:i/>
                <w:color w:val="000000"/>
                <w:sz w:val="18"/>
                <w:szCs w:val="18"/>
              </w:rPr>
              <w:t> </w:t>
            </w:r>
            <w:r w:rsidRPr="00CA3D1F">
              <w:rPr>
                <w:i/>
                <w:color w:val="000000"/>
                <w:sz w:val="18"/>
                <w:szCs w:val="18"/>
              </w:rPr>
              <w:t> </w:t>
            </w:r>
            <w:r w:rsidRPr="00CA3D1F">
              <w:rPr>
                <w:i/>
                <w:color w:val="000000"/>
                <w:sz w:val="18"/>
                <w:szCs w:val="18"/>
              </w:rPr>
              <w:fldChar w:fldCharType="end"/>
            </w:r>
          </w:p>
        </w:tc>
        <w:tc>
          <w:tcPr>
            <w:tcW w:w="1485" w:type="dxa"/>
            <w:gridSpan w:val="3"/>
          </w:tcPr>
          <w:p w14:paraId="69250888" w14:textId="77777777" w:rsidR="007520C1" w:rsidRPr="00CA3D1F" w:rsidRDefault="007520C1" w:rsidP="00E049DB">
            <w:pPr>
              <w:jc w:val="right"/>
              <w:rPr>
                <w:sz w:val="18"/>
                <w:szCs w:val="18"/>
              </w:rPr>
            </w:pPr>
            <w:r w:rsidRPr="00CA3D1F">
              <w:rPr>
                <w:i/>
                <w:color w:val="000000"/>
                <w:sz w:val="18"/>
                <w:szCs w:val="18"/>
              </w:rPr>
              <w:fldChar w:fldCharType="begin">
                <w:ffData>
                  <w:name w:val="F_GEB_BD_target"/>
                  <w:enabled/>
                  <w:calcOnExit w:val="0"/>
                  <w:textInput/>
                </w:ffData>
              </w:fldChar>
            </w:r>
            <w:r w:rsidRPr="00CA3D1F">
              <w:rPr>
                <w:i/>
                <w:color w:val="000000"/>
                <w:sz w:val="18"/>
                <w:szCs w:val="18"/>
              </w:rPr>
              <w:instrText xml:space="preserve"> FORMTEXT </w:instrText>
            </w:r>
            <w:r w:rsidRPr="00CA3D1F">
              <w:rPr>
                <w:i/>
                <w:color w:val="000000"/>
                <w:sz w:val="18"/>
                <w:szCs w:val="18"/>
              </w:rPr>
            </w:r>
            <w:r w:rsidRPr="00CA3D1F">
              <w:rPr>
                <w:i/>
                <w:color w:val="000000"/>
                <w:sz w:val="18"/>
                <w:szCs w:val="18"/>
              </w:rPr>
              <w:fldChar w:fldCharType="separate"/>
            </w:r>
            <w:r w:rsidRPr="00CA3D1F">
              <w:rPr>
                <w:i/>
                <w:color w:val="000000"/>
                <w:sz w:val="18"/>
                <w:szCs w:val="18"/>
              </w:rPr>
              <w:t> </w:t>
            </w:r>
            <w:r w:rsidRPr="00CA3D1F">
              <w:rPr>
                <w:i/>
                <w:color w:val="000000"/>
                <w:sz w:val="18"/>
                <w:szCs w:val="18"/>
              </w:rPr>
              <w:t> </w:t>
            </w:r>
            <w:r w:rsidRPr="00CA3D1F">
              <w:rPr>
                <w:i/>
                <w:color w:val="000000"/>
                <w:sz w:val="18"/>
                <w:szCs w:val="18"/>
              </w:rPr>
              <w:t> </w:t>
            </w:r>
            <w:r w:rsidRPr="00CA3D1F">
              <w:rPr>
                <w:i/>
                <w:color w:val="000000"/>
                <w:sz w:val="18"/>
                <w:szCs w:val="18"/>
              </w:rPr>
              <w:t> </w:t>
            </w:r>
            <w:r w:rsidRPr="00CA3D1F">
              <w:rPr>
                <w:i/>
                <w:color w:val="000000"/>
                <w:sz w:val="18"/>
                <w:szCs w:val="18"/>
              </w:rPr>
              <w:t> </w:t>
            </w:r>
            <w:r w:rsidRPr="00CA3D1F">
              <w:rPr>
                <w:i/>
                <w:color w:val="000000"/>
                <w:sz w:val="18"/>
                <w:szCs w:val="18"/>
              </w:rPr>
              <w:fldChar w:fldCharType="end"/>
            </w:r>
          </w:p>
        </w:tc>
        <w:tc>
          <w:tcPr>
            <w:tcW w:w="1324" w:type="dxa"/>
            <w:gridSpan w:val="2"/>
          </w:tcPr>
          <w:p w14:paraId="4CC542B7" w14:textId="77777777" w:rsidR="007520C1" w:rsidRPr="00CA3D1F" w:rsidRDefault="007520C1" w:rsidP="00E049DB">
            <w:pPr>
              <w:jc w:val="right"/>
              <w:rPr>
                <w:sz w:val="18"/>
                <w:szCs w:val="18"/>
              </w:rPr>
            </w:pPr>
            <w:r w:rsidRPr="00CA3D1F">
              <w:rPr>
                <w:i/>
                <w:color w:val="000000"/>
                <w:sz w:val="18"/>
                <w:szCs w:val="18"/>
              </w:rPr>
              <w:fldChar w:fldCharType="begin">
                <w:ffData>
                  <w:name w:val="F_GEB_BD_target"/>
                  <w:enabled/>
                  <w:calcOnExit w:val="0"/>
                  <w:textInput/>
                </w:ffData>
              </w:fldChar>
            </w:r>
            <w:r w:rsidRPr="00CA3D1F">
              <w:rPr>
                <w:i/>
                <w:color w:val="000000"/>
                <w:sz w:val="18"/>
                <w:szCs w:val="18"/>
              </w:rPr>
              <w:instrText xml:space="preserve"> FORMTEXT </w:instrText>
            </w:r>
            <w:r w:rsidRPr="00CA3D1F">
              <w:rPr>
                <w:i/>
                <w:color w:val="000000"/>
                <w:sz w:val="18"/>
                <w:szCs w:val="18"/>
              </w:rPr>
            </w:r>
            <w:r w:rsidRPr="00CA3D1F">
              <w:rPr>
                <w:i/>
                <w:color w:val="000000"/>
                <w:sz w:val="18"/>
                <w:szCs w:val="18"/>
              </w:rPr>
              <w:fldChar w:fldCharType="separate"/>
            </w:r>
            <w:r w:rsidRPr="00CA3D1F">
              <w:rPr>
                <w:i/>
                <w:color w:val="000000"/>
                <w:sz w:val="18"/>
                <w:szCs w:val="18"/>
              </w:rPr>
              <w:t> </w:t>
            </w:r>
            <w:r w:rsidRPr="00CA3D1F">
              <w:rPr>
                <w:i/>
                <w:color w:val="000000"/>
                <w:sz w:val="18"/>
                <w:szCs w:val="18"/>
              </w:rPr>
              <w:t> </w:t>
            </w:r>
            <w:r w:rsidRPr="00CA3D1F">
              <w:rPr>
                <w:i/>
                <w:color w:val="000000"/>
                <w:sz w:val="18"/>
                <w:szCs w:val="18"/>
              </w:rPr>
              <w:t> </w:t>
            </w:r>
            <w:r w:rsidRPr="00CA3D1F">
              <w:rPr>
                <w:i/>
                <w:color w:val="000000"/>
                <w:sz w:val="18"/>
                <w:szCs w:val="18"/>
              </w:rPr>
              <w:t> </w:t>
            </w:r>
            <w:r w:rsidRPr="00CA3D1F">
              <w:rPr>
                <w:i/>
                <w:color w:val="000000"/>
                <w:sz w:val="18"/>
                <w:szCs w:val="18"/>
              </w:rPr>
              <w:t> </w:t>
            </w:r>
            <w:r w:rsidRPr="00CA3D1F">
              <w:rPr>
                <w:i/>
                <w:color w:val="000000"/>
                <w:sz w:val="18"/>
                <w:szCs w:val="18"/>
              </w:rPr>
              <w:fldChar w:fldCharType="end"/>
            </w:r>
          </w:p>
        </w:tc>
        <w:tc>
          <w:tcPr>
            <w:tcW w:w="1287" w:type="dxa"/>
          </w:tcPr>
          <w:p w14:paraId="469D433E" w14:textId="77777777" w:rsidR="007520C1" w:rsidRPr="00CA3D1F" w:rsidRDefault="007520C1" w:rsidP="00E049DB">
            <w:pPr>
              <w:jc w:val="right"/>
              <w:rPr>
                <w:sz w:val="18"/>
                <w:szCs w:val="18"/>
              </w:rPr>
            </w:pPr>
            <w:r w:rsidRPr="00CA3D1F">
              <w:rPr>
                <w:i/>
                <w:color w:val="000000"/>
                <w:sz w:val="18"/>
                <w:szCs w:val="18"/>
              </w:rPr>
              <w:fldChar w:fldCharType="begin">
                <w:ffData>
                  <w:name w:val="F_GEB_BD_target"/>
                  <w:enabled/>
                  <w:calcOnExit w:val="0"/>
                  <w:textInput/>
                </w:ffData>
              </w:fldChar>
            </w:r>
            <w:r w:rsidRPr="00CA3D1F">
              <w:rPr>
                <w:i/>
                <w:color w:val="000000"/>
                <w:sz w:val="18"/>
                <w:szCs w:val="18"/>
              </w:rPr>
              <w:instrText xml:space="preserve"> FORMTEXT </w:instrText>
            </w:r>
            <w:r w:rsidRPr="00CA3D1F">
              <w:rPr>
                <w:i/>
                <w:color w:val="000000"/>
                <w:sz w:val="18"/>
                <w:szCs w:val="18"/>
              </w:rPr>
            </w:r>
            <w:r w:rsidRPr="00CA3D1F">
              <w:rPr>
                <w:i/>
                <w:color w:val="000000"/>
                <w:sz w:val="18"/>
                <w:szCs w:val="18"/>
              </w:rPr>
              <w:fldChar w:fldCharType="separate"/>
            </w:r>
            <w:r w:rsidRPr="00CA3D1F">
              <w:rPr>
                <w:i/>
                <w:color w:val="000000"/>
                <w:sz w:val="18"/>
                <w:szCs w:val="18"/>
              </w:rPr>
              <w:t> </w:t>
            </w:r>
            <w:r w:rsidRPr="00CA3D1F">
              <w:rPr>
                <w:i/>
                <w:color w:val="000000"/>
                <w:sz w:val="18"/>
                <w:szCs w:val="18"/>
              </w:rPr>
              <w:t> </w:t>
            </w:r>
            <w:r w:rsidRPr="00CA3D1F">
              <w:rPr>
                <w:i/>
                <w:color w:val="000000"/>
                <w:sz w:val="18"/>
                <w:szCs w:val="18"/>
              </w:rPr>
              <w:t> </w:t>
            </w:r>
            <w:r w:rsidRPr="00CA3D1F">
              <w:rPr>
                <w:i/>
                <w:color w:val="000000"/>
                <w:sz w:val="18"/>
                <w:szCs w:val="18"/>
              </w:rPr>
              <w:t> </w:t>
            </w:r>
            <w:r w:rsidRPr="00CA3D1F">
              <w:rPr>
                <w:i/>
                <w:color w:val="000000"/>
                <w:sz w:val="18"/>
                <w:szCs w:val="18"/>
              </w:rPr>
              <w:t> </w:t>
            </w:r>
            <w:r w:rsidRPr="00CA3D1F">
              <w:rPr>
                <w:i/>
                <w:color w:val="000000"/>
                <w:sz w:val="18"/>
                <w:szCs w:val="18"/>
              </w:rPr>
              <w:fldChar w:fldCharType="end"/>
            </w:r>
          </w:p>
        </w:tc>
      </w:tr>
      <w:tr w:rsidR="007520C1" w:rsidRPr="004244E0" w14:paraId="51279232" w14:textId="77777777" w:rsidTr="00DB02C4">
        <w:tc>
          <w:tcPr>
            <w:tcW w:w="1298" w:type="dxa"/>
          </w:tcPr>
          <w:p w14:paraId="43B0B8FE" w14:textId="77777777" w:rsidR="007520C1" w:rsidRPr="00CA3D1F" w:rsidRDefault="007520C1" w:rsidP="00E049DB">
            <w:pPr>
              <w:rPr>
                <w:sz w:val="18"/>
                <w:szCs w:val="18"/>
              </w:rPr>
            </w:pPr>
          </w:p>
        </w:tc>
        <w:tc>
          <w:tcPr>
            <w:tcW w:w="933" w:type="dxa"/>
          </w:tcPr>
          <w:p w14:paraId="6DB5C51B" w14:textId="77777777" w:rsidR="007520C1" w:rsidRPr="00CA3D1F" w:rsidRDefault="007520C1" w:rsidP="00E049DB">
            <w:pPr>
              <w:rPr>
                <w:sz w:val="18"/>
                <w:szCs w:val="18"/>
              </w:rPr>
            </w:pPr>
          </w:p>
        </w:tc>
        <w:tc>
          <w:tcPr>
            <w:tcW w:w="1726" w:type="dxa"/>
          </w:tcPr>
          <w:p w14:paraId="71579F08" w14:textId="77777777" w:rsidR="007520C1" w:rsidRPr="00CA3D1F" w:rsidRDefault="007520C1" w:rsidP="00E049DB">
            <w:pPr>
              <w:jc w:val="right"/>
              <w:rPr>
                <w:sz w:val="18"/>
                <w:szCs w:val="18"/>
              </w:rPr>
            </w:pPr>
            <w:r w:rsidRPr="00CA3D1F">
              <w:rPr>
                <w:sz w:val="18"/>
                <w:szCs w:val="18"/>
              </w:rPr>
              <w:t>Sum</w:t>
            </w:r>
          </w:p>
        </w:tc>
        <w:tc>
          <w:tcPr>
            <w:tcW w:w="2782" w:type="dxa"/>
            <w:gridSpan w:val="2"/>
          </w:tcPr>
          <w:p w14:paraId="497CEA6B" w14:textId="77777777" w:rsidR="007520C1" w:rsidRPr="00CA3D1F" w:rsidRDefault="007520C1" w:rsidP="00E049DB">
            <w:pPr>
              <w:jc w:val="right"/>
              <w:rPr>
                <w:sz w:val="18"/>
                <w:szCs w:val="18"/>
              </w:rPr>
            </w:pPr>
            <w:r w:rsidRPr="00CA3D1F">
              <w:rPr>
                <w:i/>
                <w:color w:val="000000"/>
                <w:sz w:val="18"/>
                <w:szCs w:val="18"/>
              </w:rPr>
              <w:fldChar w:fldCharType="begin">
                <w:ffData>
                  <w:name w:val="F_GEB_BD_target"/>
                  <w:enabled/>
                  <w:calcOnExit w:val="0"/>
                  <w:textInput/>
                </w:ffData>
              </w:fldChar>
            </w:r>
            <w:r w:rsidRPr="00CA3D1F">
              <w:rPr>
                <w:i/>
                <w:color w:val="000000"/>
                <w:sz w:val="18"/>
                <w:szCs w:val="18"/>
              </w:rPr>
              <w:instrText xml:space="preserve"> FORMTEXT </w:instrText>
            </w:r>
            <w:r w:rsidRPr="00CA3D1F">
              <w:rPr>
                <w:i/>
                <w:color w:val="000000"/>
                <w:sz w:val="18"/>
                <w:szCs w:val="18"/>
              </w:rPr>
            </w:r>
            <w:r w:rsidRPr="00CA3D1F">
              <w:rPr>
                <w:i/>
                <w:color w:val="000000"/>
                <w:sz w:val="18"/>
                <w:szCs w:val="18"/>
              </w:rPr>
              <w:fldChar w:fldCharType="separate"/>
            </w:r>
            <w:r w:rsidRPr="00CA3D1F">
              <w:rPr>
                <w:i/>
                <w:color w:val="000000"/>
                <w:sz w:val="18"/>
                <w:szCs w:val="18"/>
              </w:rPr>
              <w:t> </w:t>
            </w:r>
            <w:r w:rsidRPr="00CA3D1F">
              <w:rPr>
                <w:i/>
                <w:color w:val="000000"/>
                <w:sz w:val="18"/>
                <w:szCs w:val="18"/>
              </w:rPr>
              <w:t> </w:t>
            </w:r>
            <w:r w:rsidRPr="00CA3D1F">
              <w:rPr>
                <w:i/>
                <w:color w:val="000000"/>
                <w:sz w:val="18"/>
                <w:szCs w:val="18"/>
              </w:rPr>
              <w:t> </w:t>
            </w:r>
            <w:r w:rsidRPr="00CA3D1F">
              <w:rPr>
                <w:i/>
                <w:color w:val="000000"/>
                <w:sz w:val="18"/>
                <w:szCs w:val="18"/>
              </w:rPr>
              <w:t> </w:t>
            </w:r>
            <w:r w:rsidRPr="00CA3D1F">
              <w:rPr>
                <w:i/>
                <w:color w:val="000000"/>
                <w:sz w:val="18"/>
                <w:szCs w:val="18"/>
              </w:rPr>
              <w:t> </w:t>
            </w:r>
            <w:r w:rsidRPr="00CA3D1F">
              <w:rPr>
                <w:i/>
                <w:color w:val="000000"/>
                <w:sz w:val="18"/>
                <w:szCs w:val="18"/>
              </w:rPr>
              <w:fldChar w:fldCharType="end"/>
            </w:r>
          </w:p>
        </w:tc>
        <w:tc>
          <w:tcPr>
            <w:tcW w:w="1485" w:type="dxa"/>
            <w:gridSpan w:val="3"/>
          </w:tcPr>
          <w:p w14:paraId="5839F618" w14:textId="77777777" w:rsidR="007520C1" w:rsidRPr="00CA3D1F" w:rsidRDefault="007520C1" w:rsidP="00E049DB">
            <w:pPr>
              <w:jc w:val="right"/>
              <w:rPr>
                <w:sz w:val="18"/>
                <w:szCs w:val="18"/>
              </w:rPr>
            </w:pPr>
            <w:r w:rsidRPr="00CA3D1F">
              <w:rPr>
                <w:i/>
                <w:color w:val="000000"/>
                <w:sz w:val="18"/>
                <w:szCs w:val="18"/>
              </w:rPr>
              <w:fldChar w:fldCharType="begin">
                <w:ffData>
                  <w:name w:val="F_GEB_BD_target"/>
                  <w:enabled/>
                  <w:calcOnExit w:val="0"/>
                  <w:textInput/>
                </w:ffData>
              </w:fldChar>
            </w:r>
            <w:r w:rsidRPr="00CA3D1F">
              <w:rPr>
                <w:i/>
                <w:color w:val="000000"/>
                <w:sz w:val="18"/>
                <w:szCs w:val="18"/>
              </w:rPr>
              <w:instrText xml:space="preserve"> FORMTEXT </w:instrText>
            </w:r>
            <w:r w:rsidRPr="00CA3D1F">
              <w:rPr>
                <w:i/>
                <w:color w:val="000000"/>
                <w:sz w:val="18"/>
                <w:szCs w:val="18"/>
              </w:rPr>
            </w:r>
            <w:r w:rsidRPr="00CA3D1F">
              <w:rPr>
                <w:i/>
                <w:color w:val="000000"/>
                <w:sz w:val="18"/>
                <w:szCs w:val="18"/>
              </w:rPr>
              <w:fldChar w:fldCharType="separate"/>
            </w:r>
            <w:r w:rsidRPr="00CA3D1F">
              <w:rPr>
                <w:i/>
                <w:color w:val="000000"/>
                <w:sz w:val="18"/>
                <w:szCs w:val="18"/>
              </w:rPr>
              <w:t> </w:t>
            </w:r>
            <w:r w:rsidRPr="00CA3D1F">
              <w:rPr>
                <w:i/>
                <w:color w:val="000000"/>
                <w:sz w:val="18"/>
                <w:szCs w:val="18"/>
              </w:rPr>
              <w:t> </w:t>
            </w:r>
            <w:r w:rsidRPr="00CA3D1F">
              <w:rPr>
                <w:i/>
                <w:color w:val="000000"/>
                <w:sz w:val="18"/>
                <w:szCs w:val="18"/>
              </w:rPr>
              <w:t> </w:t>
            </w:r>
            <w:r w:rsidRPr="00CA3D1F">
              <w:rPr>
                <w:i/>
                <w:color w:val="000000"/>
                <w:sz w:val="18"/>
                <w:szCs w:val="18"/>
              </w:rPr>
              <w:t> </w:t>
            </w:r>
            <w:r w:rsidRPr="00CA3D1F">
              <w:rPr>
                <w:i/>
                <w:color w:val="000000"/>
                <w:sz w:val="18"/>
                <w:szCs w:val="18"/>
              </w:rPr>
              <w:t> </w:t>
            </w:r>
            <w:r w:rsidRPr="00CA3D1F">
              <w:rPr>
                <w:i/>
                <w:color w:val="000000"/>
                <w:sz w:val="18"/>
                <w:szCs w:val="18"/>
              </w:rPr>
              <w:fldChar w:fldCharType="end"/>
            </w:r>
          </w:p>
        </w:tc>
        <w:tc>
          <w:tcPr>
            <w:tcW w:w="1324" w:type="dxa"/>
            <w:gridSpan w:val="2"/>
          </w:tcPr>
          <w:p w14:paraId="42A2CDC9" w14:textId="77777777" w:rsidR="007520C1" w:rsidRPr="00CA3D1F" w:rsidRDefault="007520C1" w:rsidP="00E049DB">
            <w:pPr>
              <w:jc w:val="right"/>
              <w:rPr>
                <w:sz w:val="18"/>
                <w:szCs w:val="18"/>
              </w:rPr>
            </w:pPr>
            <w:r w:rsidRPr="00CA3D1F">
              <w:rPr>
                <w:i/>
                <w:color w:val="000000"/>
                <w:sz w:val="18"/>
                <w:szCs w:val="18"/>
              </w:rPr>
              <w:fldChar w:fldCharType="begin">
                <w:ffData>
                  <w:name w:val="F_GEB_BD_target"/>
                  <w:enabled/>
                  <w:calcOnExit w:val="0"/>
                  <w:textInput/>
                </w:ffData>
              </w:fldChar>
            </w:r>
            <w:r w:rsidRPr="00CA3D1F">
              <w:rPr>
                <w:i/>
                <w:color w:val="000000"/>
                <w:sz w:val="18"/>
                <w:szCs w:val="18"/>
              </w:rPr>
              <w:instrText xml:space="preserve"> FORMTEXT </w:instrText>
            </w:r>
            <w:r w:rsidRPr="00CA3D1F">
              <w:rPr>
                <w:i/>
                <w:color w:val="000000"/>
                <w:sz w:val="18"/>
                <w:szCs w:val="18"/>
              </w:rPr>
            </w:r>
            <w:r w:rsidRPr="00CA3D1F">
              <w:rPr>
                <w:i/>
                <w:color w:val="000000"/>
                <w:sz w:val="18"/>
                <w:szCs w:val="18"/>
              </w:rPr>
              <w:fldChar w:fldCharType="separate"/>
            </w:r>
            <w:r w:rsidRPr="00CA3D1F">
              <w:rPr>
                <w:i/>
                <w:color w:val="000000"/>
                <w:sz w:val="18"/>
                <w:szCs w:val="18"/>
              </w:rPr>
              <w:t> </w:t>
            </w:r>
            <w:r w:rsidRPr="00CA3D1F">
              <w:rPr>
                <w:i/>
                <w:color w:val="000000"/>
                <w:sz w:val="18"/>
                <w:szCs w:val="18"/>
              </w:rPr>
              <w:t> </w:t>
            </w:r>
            <w:r w:rsidRPr="00CA3D1F">
              <w:rPr>
                <w:i/>
                <w:color w:val="000000"/>
                <w:sz w:val="18"/>
                <w:szCs w:val="18"/>
              </w:rPr>
              <w:t> </w:t>
            </w:r>
            <w:r w:rsidRPr="00CA3D1F">
              <w:rPr>
                <w:i/>
                <w:color w:val="000000"/>
                <w:sz w:val="18"/>
                <w:szCs w:val="18"/>
              </w:rPr>
              <w:t> </w:t>
            </w:r>
            <w:r w:rsidRPr="00CA3D1F">
              <w:rPr>
                <w:i/>
                <w:color w:val="000000"/>
                <w:sz w:val="18"/>
                <w:szCs w:val="18"/>
              </w:rPr>
              <w:t> </w:t>
            </w:r>
            <w:r w:rsidRPr="00CA3D1F">
              <w:rPr>
                <w:i/>
                <w:color w:val="000000"/>
                <w:sz w:val="18"/>
                <w:szCs w:val="18"/>
              </w:rPr>
              <w:fldChar w:fldCharType="end"/>
            </w:r>
          </w:p>
        </w:tc>
        <w:tc>
          <w:tcPr>
            <w:tcW w:w="1287" w:type="dxa"/>
          </w:tcPr>
          <w:p w14:paraId="7ABD7467" w14:textId="77777777" w:rsidR="007520C1" w:rsidRPr="00CA3D1F" w:rsidRDefault="007520C1" w:rsidP="00E049DB">
            <w:pPr>
              <w:jc w:val="right"/>
              <w:rPr>
                <w:sz w:val="18"/>
                <w:szCs w:val="18"/>
              </w:rPr>
            </w:pPr>
            <w:r w:rsidRPr="00CA3D1F">
              <w:rPr>
                <w:i/>
                <w:color w:val="000000"/>
                <w:sz w:val="18"/>
                <w:szCs w:val="18"/>
              </w:rPr>
              <w:fldChar w:fldCharType="begin">
                <w:ffData>
                  <w:name w:val="F_GEB_BD_target"/>
                  <w:enabled/>
                  <w:calcOnExit w:val="0"/>
                  <w:textInput/>
                </w:ffData>
              </w:fldChar>
            </w:r>
            <w:r w:rsidRPr="00CA3D1F">
              <w:rPr>
                <w:i/>
                <w:color w:val="000000"/>
                <w:sz w:val="18"/>
                <w:szCs w:val="18"/>
              </w:rPr>
              <w:instrText xml:space="preserve"> FORMTEXT </w:instrText>
            </w:r>
            <w:r w:rsidRPr="00CA3D1F">
              <w:rPr>
                <w:i/>
                <w:color w:val="000000"/>
                <w:sz w:val="18"/>
                <w:szCs w:val="18"/>
              </w:rPr>
            </w:r>
            <w:r w:rsidRPr="00CA3D1F">
              <w:rPr>
                <w:i/>
                <w:color w:val="000000"/>
                <w:sz w:val="18"/>
                <w:szCs w:val="18"/>
              </w:rPr>
              <w:fldChar w:fldCharType="separate"/>
            </w:r>
            <w:r w:rsidRPr="00CA3D1F">
              <w:rPr>
                <w:i/>
                <w:color w:val="000000"/>
                <w:sz w:val="18"/>
                <w:szCs w:val="18"/>
              </w:rPr>
              <w:t> </w:t>
            </w:r>
            <w:r w:rsidRPr="00CA3D1F">
              <w:rPr>
                <w:i/>
                <w:color w:val="000000"/>
                <w:sz w:val="18"/>
                <w:szCs w:val="18"/>
              </w:rPr>
              <w:t> </w:t>
            </w:r>
            <w:r w:rsidRPr="00CA3D1F">
              <w:rPr>
                <w:i/>
                <w:color w:val="000000"/>
                <w:sz w:val="18"/>
                <w:szCs w:val="18"/>
              </w:rPr>
              <w:t> </w:t>
            </w:r>
            <w:r w:rsidRPr="00CA3D1F">
              <w:rPr>
                <w:i/>
                <w:color w:val="000000"/>
                <w:sz w:val="18"/>
                <w:szCs w:val="18"/>
              </w:rPr>
              <w:t> </w:t>
            </w:r>
            <w:r w:rsidRPr="00CA3D1F">
              <w:rPr>
                <w:i/>
                <w:color w:val="000000"/>
                <w:sz w:val="18"/>
                <w:szCs w:val="18"/>
              </w:rPr>
              <w:t> </w:t>
            </w:r>
            <w:r w:rsidRPr="00CA3D1F">
              <w:rPr>
                <w:i/>
                <w:color w:val="000000"/>
                <w:sz w:val="18"/>
                <w:szCs w:val="18"/>
              </w:rPr>
              <w:fldChar w:fldCharType="end"/>
            </w:r>
          </w:p>
        </w:tc>
      </w:tr>
      <w:tr w:rsidR="007520C1" w:rsidRPr="004244E0" w14:paraId="7B7E903C" w14:textId="77777777" w:rsidTr="00DB02C4">
        <w:tc>
          <w:tcPr>
            <w:tcW w:w="1298" w:type="dxa"/>
            <w:shd w:val="clear" w:color="auto" w:fill="BFBFBF" w:themeFill="background1" w:themeFillShade="BF"/>
          </w:tcPr>
          <w:p w14:paraId="76206EE3" w14:textId="77777777" w:rsidR="007520C1" w:rsidRPr="00CA3D1F" w:rsidRDefault="007520C1" w:rsidP="00E049DB">
            <w:pPr>
              <w:rPr>
                <w:sz w:val="18"/>
                <w:szCs w:val="18"/>
              </w:rPr>
            </w:pPr>
            <w:r w:rsidRPr="00CA3D1F">
              <w:rPr>
                <w:sz w:val="18"/>
                <w:szCs w:val="18"/>
              </w:rPr>
              <w:t>Indicator 1.2</w:t>
            </w:r>
          </w:p>
        </w:tc>
        <w:tc>
          <w:tcPr>
            <w:tcW w:w="6765" w:type="dxa"/>
            <w:gridSpan w:val="5"/>
            <w:shd w:val="clear" w:color="auto" w:fill="BFBFBF" w:themeFill="background1" w:themeFillShade="BF"/>
          </w:tcPr>
          <w:p w14:paraId="554AFBCA" w14:textId="77777777" w:rsidR="007520C1" w:rsidRPr="00CA3D1F" w:rsidRDefault="007520C1" w:rsidP="00E049DB">
            <w:pPr>
              <w:rPr>
                <w:sz w:val="18"/>
                <w:szCs w:val="18"/>
              </w:rPr>
            </w:pPr>
            <w:r w:rsidRPr="00CA3D1F">
              <w:rPr>
                <w:sz w:val="18"/>
                <w:szCs w:val="18"/>
              </w:rPr>
              <w:t>Terrestrial protected areas under improved management effectiveness</w:t>
            </w:r>
          </w:p>
        </w:tc>
        <w:tc>
          <w:tcPr>
            <w:tcW w:w="2772" w:type="dxa"/>
            <w:gridSpan w:val="5"/>
            <w:shd w:val="clear" w:color="auto" w:fill="BFBFBF" w:themeFill="background1" w:themeFillShade="BF"/>
          </w:tcPr>
          <w:p w14:paraId="38AA6201" w14:textId="77777777" w:rsidR="007520C1" w:rsidRPr="00CA3D1F" w:rsidRDefault="007520C1" w:rsidP="00E049DB">
            <w:pPr>
              <w:jc w:val="right"/>
              <w:rPr>
                <w:sz w:val="18"/>
                <w:szCs w:val="18"/>
              </w:rPr>
            </w:pPr>
            <w:r w:rsidRPr="00CA3D1F">
              <w:rPr>
                <w:i/>
                <w:color w:val="000000"/>
                <w:sz w:val="18"/>
                <w:szCs w:val="18"/>
              </w:rPr>
              <w:fldChar w:fldCharType="begin">
                <w:ffData>
                  <w:name w:val="F_GEB_BD_target"/>
                  <w:enabled/>
                  <w:calcOnExit w:val="0"/>
                  <w:textInput/>
                </w:ffData>
              </w:fldChar>
            </w:r>
            <w:r w:rsidRPr="00CA3D1F">
              <w:rPr>
                <w:i/>
                <w:color w:val="000000"/>
                <w:sz w:val="18"/>
                <w:szCs w:val="18"/>
              </w:rPr>
              <w:instrText xml:space="preserve"> FORMTEXT </w:instrText>
            </w:r>
            <w:r w:rsidRPr="00CA3D1F">
              <w:rPr>
                <w:i/>
                <w:color w:val="000000"/>
                <w:sz w:val="18"/>
                <w:szCs w:val="18"/>
              </w:rPr>
            </w:r>
            <w:r w:rsidRPr="00CA3D1F">
              <w:rPr>
                <w:i/>
                <w:color w:val="000000"/>
                <w:sz w:val="18"/>
                <w:szCs w:val="18"/>
              </w:rPr>
              <w:fldChar w:fldCharType="separate"/>
            </w:r>
            <w:r w:rsidRPr="00CA3D1F">
              <w:rPr>
                <w:i/>
                <w:color w:val="000000"/>
                <w:sz w:val="18"/>
                <w:szCs w:val="18"/>
              </w:rPr>
              <w:t> </w:t>
            </w:r>
            <w:r w:rsidRPr="00CA3D1F">
              <w:rPr>
                <w:i/>
                <w:color w:val="000000"/>
                <w:sz w:val="18"/>
                <w:szCs w:val="18"/>
              </w:rPr>
              <w:t> </w:t>
            </w:r>
            <w:r w:rsidRPr="00CA3D1F">
              <w:rPr>
                <w:i/>
                <w:color w:val="000000"/>
                <w:sz w:val="18"/>
                <w:szCs w:val="18"/>
              </w:rPr>
              <w:t> </w:t>
            </w:r>
            <w:r w:rsidRPr="00CA3D1F">
              <w:rPr>
                <w:i/>
                <w:color w:val="000000"/>
                <w:sz w:val="18"/>
                <w:szCs w:val="18"/>
              </w:rPr>
              <w:t> </w:t>
            </w:r>
            <w:r w:rsidRPr="00CA3D1F">
              <w:rPr>
                <w:i/>
                <w:color w:val="000000"/>
                <w:sz w:val="18"/>
                <w:szCs w:val="18"/>
              </w:rPr>
              <w:t> </w:t>
            </w:r>
            <w:r w:rsidRPr="00CA3D1F">
              <w:rPr>
                <w:i/>
                <w:color w:val="000000"/>
                <w:sz w:val="18"/>
                <w:szCs w:val="18"/>
              </w:rPr>
              <w:fldChar w:fldCharType="end"/>
            </w:r>
          </w:p>
        </w:tc>
      </w:tr>
      <w:tr w:rsidR="007520C1" w:rsidRPr="004244E0" w14:paraId="3A5A3A05" w14:textId="77777777" w:rsidTr="00DB02C4">
        <w:trPr>
          <w:trHeight w:val="125"/>
        </w:trPr>
        <w:tc>
          <w:tcPr>
            <w:tcW w:w="1298" w:type="dxa"/>
            <w:vMerge w:val="restart"/>
            <w:vAlign w:val="center"/>
          </w:tcPr>
          <w:p w14:paraId="41703FC3" w14:textId="77777777" w:rsidR="007520C1" w:rsidRPr="00CA3D1F" w:rsidRDefault="007520C1" w:rsidP="00E049DB">
            <w:pPr>
              <w:rPr>
                <w:sz w:val="18"/>
                <w:szCs w:val="18"/>
              </w:rPr>
            </w:pPr>
            <w:r w:rsidRPr="00CA3D1F">
              <w:rPr>
                <w:sz w:val="18"/>
                <w:szCs w:val="18"/>
              </w:rPr>
              <w:t>Name of Protected Area</w:t>
            </w:r>
          </w:p>
        </w:tc>
        <w:tc>
          <w:tcPr>
            <w:tcW w:w="933" w:type="dxa"/>
            <w:vMerge w:val="restart"/>
            <w:vAlign w:val="center"/>
          </w:tcPr>
          <w:p w14:paraId="0A4B0053" w14:textId="77777777" w:rsidR="007520C1" w:rsidRPr="00CA3D1F" w:rsidRDefault="007520C1" w:rsidP="00E049DB">
            <w:pPr>
              <w:rPr>
                <w:sz w:val="18"/>
                <w:szCs w:val="18"/>
              </w:rPr>
            </w:pPr>
            <w:r w:rsidRPr="00CA3D1F">
              <w:rPr>
                <w:sz w:val="18"/>
                <w:szCs w:val="18"/>
              </w:rPr>
              <w:t>WDPA ID</w:t>
            </w:r>
          </w:p>
        </w:tc>
        <w:tc>
          <w:tcPr>
            <w:tcW w:w="1726" w:type="dxa"/>
            <w:vMerge w:val="restart"/>
            <w:vAlign w:val="center"/>
          </w:tcPr>
          <w:p w14:paraId="7A581384" w14:textId="77777777" w:rsidR="007520C1" w:rsidRPr="00CA3D1F" w:rsidRDefault="007520C1" w:rsidP="00E049DB">
            <w:pPr>
              <w:rPr>
                <w:sz w:val="18"/>
                <w:szCs w:val="18"/>
              </w:rPr>
            </w:pPr>
            <w:r w:rsidRPr="00CA3D1F">
              <w:rPr>
                <w:sz w:val="18"/>
                <w:szCs w:val="18"/>
              </w:rPr>
              <w:t>IUCN category</w:t>
            </w:r>
          </w:p>
        </w:tc>
        <w:tc>
          <w:tcPr>
            <w:tcW w:w="906" w:type="dxa"/>
            <w:vMerge w:val="restart"/>
            <w:vAlign w:val="center"/>
          </w:tcPr>
          <w:p w14:paraId="1FF1A4F8" w14:textId="77777777" w:rsidR="007520C1" w:rsidRPr="00CA3D1F" w:rsidRDefault="007520C1" w:rsidP="00E049DB">
            <w:pPr>
              <w:rPr>
                <w:sz w:val="18"/>
                <w:szCs w:val="18"/>
              </w:rPr>
            </w:pPr>
            <w:r w:rsidRPr="00CA3D1F">
              <w:rPr>
                <w:sz w:val="18"/>
                <w:szCs w:val="18"/>
              </w:rPr>
              <w:t>Hectares</w:t>
            </w:r>
          </w:p>
        </w:tc>
        <w:tc>
          <w:tcPr>
            <w:tcW w:w="5972" w:type="dxa"/>
            <w:gridSpan w:val="7"/>
          </w:tcPr>
          <w:p w14:paraId="145274DF" w14:textId="77777777" w:rsidR="007520C1" w:rsidRPr="00CA3D1F" w:rsidRDefault="007520C1" w:rsidP="00E049DB">
            <w:pPr>
              <w:jc w:val="center"/>
              <w:rPr>
                <w:sz w:val="18"/>
                <w:szCs w:val="18"/>
              </w:rPr>
            </w:pPr>
            <w:r w:rsidRPr="00CA3D1F">
              <w:rPr>
                <w:sz w:val="18"/>
                <w:szCs w:val="18"/>
              </w:rPr>
              <w:t xml:space="preserve">METT Score </w:t>
            </w:r>
          </w:p>
        </w:tc>
      </w:tr>
      <w:tr w:rsidR="007520C1" w:rsidRPr="004244E0" w14:paraId="1F73C039" w14:textId="77777777" w:rsidTr="00DB02C4">
        <w:trPr>
          <w:trHeight w:val="58"/>
        </w:trPr>
        <w:tc>
          <w:tcPr>
            <w:tcW w:w="1298" w:type="dxa"/>
            <w:vMerge/>
          </w:tcPr>
          <w:p w14:paraId="3270B5B2" w14:textId="77777777" w:rsidR="007520C1" w:rsidRPr="00CA3D1F" w:rsidRDefault="007520C1" w:rsidP="00E049DB">
            <w:pPr>
              <w:rPr>
                <w:sz w:val="18"/>
                <w:szCs w:val="18"/>
              </w:rPr>
            </w:pPr>
          </w:p>
        </w:tc>
        <w:tc>
          <w:tcPr>
            <w:tcW w:w="933" w:type="dxa"/>
            <w:vMerge/>
          </w:tcPr>
          <w:p w14:paraId="28F74C60" w14:textId="77777777" w:rsidR="007520C1" w:rsidRPr="00CA3D1F" w:rsidRDefault="007520C1" w:rsidP="00E049DB">
            <w:pPr>
              <w:rPr>
                <w:sz w:val="18"/>
                <w:szCs w:val="18"/>
              </w:rPr>
            </w:pPr>
          </w:p>
        </w:tc>
        <w:tc>
          <w:tcPr>
            <w:tcW w:w="1726" w:type="dxa"/>
            <w:vMerge/>
          </w:tcPr>
          <w:p w14:paraId="3239C921" w14:textId="77777777" w:rsidR="007520C1" w:rsidRPr="00CA3D1F" w:rsidRDefault="007520C1" w:rsidP="00E049DB">
            <w:pPr>
              <w:rPr>
                <w:sz w:val="18"/>
                <w:szCs w:val="18"/>
              </w:rPr>
            </w:pPr>
          </w:p>
        </w:tc>
        <w:tc>
          <w:tcPr>
            <w:tcW w:w="906" w:type="dxa"/>
            <w:vMerge/>
          </w:tcPr>
          <w:p w14:paraId="6DE5D10D" w14:textId="77777777" w:rsidR="007520C1" w:rsidRPr="00CA3D1F" w:rsidRDefault="007520C1" w:rsidP="00E049DB">
            <w:pPr>
              <w:rPr>
                <w:sz w:val="18"/>
                <w:szCs w:val="18"/>
              </w:rPr>
            </w:pPr>
          </w:p>
        </w:tc>
        <w:tc>
          <w:tcPr>
            <w:tcW w:w="3200" w:type="dxa"/>
            <w:gridSpan w:val="2"/>
          </w:tcPr>
          <w:p w14:paraId="2491C64D" w14:textId="77777777" w:rsidR="007520C1" w:rsidRPr="00CA3D1F" w:rsidRDefault="007520C1" w:rsidP="00E049DB">
            <w:pPr>
              <w:jc w:val="center"/>
              <w:rPr>
                <w:sz w:val="18"/>
                <w:szCs w:val="18"/>
              </w:rPr>
            </w:pPr>
            <w:r w:rsidRPr="00CA3D1F">
              <w:rPr>
                <w:sz w:val="18"/>
                <w:szCs w:val="18"/>
              </w:rPr>
              <w:t>Baseline</w:t>
            </w:r>
          </w:p>
        </w:tc>
        <w:tc>
          <w:tcPr>
            <w:tcW w:w="2772" w:type="dxa"/>
            <w:gridSpan w:val="5"/>
          </w:tcPr>
          <w:p w14:paraId="07714514" w14:textId="77777777" w:rsidR="007520C1" w:rsidRPr="00CA3D1F" w:rsidRDefault="007520C1" w:rsidP="00E049DB">
            <w:pPr>
              <w:jc w:val="center"/>
              <w:rPr>
                <w:sz w:val="18"/>
                <w:szCs w:val="18"/>
              </w:rPr>
            </w:pPr>
            <w:r w:rsidRPr="00CA3D1F">
              <w:rPr>
                <w:sz w:val="18"/>
                <w:szCs w:val="18"/>
              </w:rPr>
              <w:t>Achieved</w:t>
            </w:r>
          </w:p>
        </w:tc>
      </w:tr>
      <w:tr w:rsidR="007520C1" w:rsidRPr="004244E0" w14:paraId="4DD14D21" w14:textId="77777777" w:rsidTr="00DB02C4">
        <w:trPr>
          <w:trHeight w:val="58"/>
        </w:trPr>
        <w:tc>
          <w:tcPr>
            <w:tcW w:w="1298" w:type="dxa"/>
            <w:vMerge/>
          </w:tcPr>
          <w:p w14:paraId="36A207C6" w14:textId="77777777" w:rsidR="007520C1" w:rsidRPr="00CA3D1F" w:rsidRDefault="007520C1" w:rsidP="00E049DB">
            <w:pPr>
              <w:rPr>
                <w:sz w:val="18"/>
                <w:szCs w:val="18"/>
              </w:rPr>
            </w:pPr>
          </w:p>
        </w:tc>
        <w:tc>
          <w:tcPr>
            <w:tcW w:w="933" w:type="dxa"/>
            <w:vMerge/>
          </w:tcPr>
          <w:p w14:paraId="01111232" w14:textId="77777777" w:rsidR="007520C1" w:rsidRPr="00CA3D1F" w:rsidRDefault="007520C1" w:rsidP="00E049DB">
            <w:pPr>
              <w:rPr>
                <w:sz w:val="18"/>
                <w:szCs w:val="18"/>
              </w:rPr>
            </w:pPr>
          </w:p>
        </w:tc>
        <w:tc>
          <w:tcPr>
            <w:tcW w:w="1726" w:type="dxa"/>
            <w:vMerge/>
          </w:tcPr>
          <w:p w14:paraId="06F3C4C9" w14:textId="77777777" w:rsidR="007520C1" w:rsidRPr="00CA3D1F" w:rsidRDefault="007520C1" w:rsidP="00E049DB">
            <w:pPr>
              <w:rPr>
                <w:sz w:val="18"/>
                <w:szCs w:val="18"/>
              </w:rPr>
            </w:pPr>
          </w:p>
        </w:tc>
        <w:tc>
          <w:tcPr>
            <w:tcW w:w="906" w:type="dxa"/>
            <w:vMerge/>
          </w:tcPr>
          <w:p w14:paraId="50D10479" w14:textId="77777777" w:rsidR="007520C1" w:rsidRPr="00CA3D1F" w:rsidRDefault="007520C1" w:rsidP="00E049DB">
            <w:pPr>
              <w:rPr>
                <w:sz w:val="18"/>
                <w:szCs w:val="18"/>
              </w:rPr>
            </w:pPr>
          </w:p>
        </w:tc>
        <w:tc>
          <w:tcPr>
            <w:tcW w:w="1876" w:type="dxa"/>
          </w:tcPr>
          <w:p w14:paraId="7DA576CC" w14:textId="77777777" w:rsidR="007520C1" w:rsidRPr="00CA3D1F" w:rsidRDefault="007520C1" w:rsidP="00E049DB">
            <w:pPr>
              <w:jc w:val="center"/>
              <w:rPr>
                <w:sz w:val="18"/>
                <w:szCs w:val="18"/>
              </w:rPr>
            </w:pPr>
          </w:p>
        </w:tc>
        <w:tc>
          <w:tcPr>
            <w:tcW w:w="1485" w:type="dxa"/>
            <w:gridSpan w:val="3"/>
          </w:tcPr>
          <w:p w14:paraId="4FCB7ABA" w14:textId="77777777" w:rsidR="007520C1" w:rsidRPr="00CA3D1F" w:rsidRDefault="007520C1" w:rsidP="00E049DB">
            <w:pPr>
              <w:jc w:val="center"/>
              <w:rPr>
                <w:sz w:val="18"/>
                <w:szCs w:val="18"/>
              </w:rPr>
            </w:pPr>
            <w:r w:rsidRPr="00CA3D1F">
              <w:rPr>
                <w:sz w:val="18"/>
                <w:szCs w:val="18"/>
              </w:rPr>
              <w:t>Endorsement</w:t>
            </w:r>
          </w:p>
        </w:tc>
        <w:tc>
          <w:tcPr>
            <w:tcW w:w="1324" w:type="dxa"/>
            <w:gridSpan w:val="2"/>
          </w:tcPr>
          <w:p w14:paraId="4C300CE8" w14:textId="77777777" w:rsidR="007520C1" w:rsidRPr="00CA3D1F" w:rsidRDefault="007520C1" w:rsidP="00E049DB">
            <w:pPr>
              <w:jc w:val="center"/>
              <w:rPr>
                <w:sz w:val="18"/>
                <w:szCs w:val="18"/>
              </w:rPr>
            </w:pPr>
            <w:r w:rsidRPr="00CA3D1F">
              <w:rPr>
                <w:sz w:val="18"/>
                <w:szCs w:val="18"/>
              </w:rPr>
              <w:t>MTR</w:t>
            </w:r>
          </w:p>
        </w:tc>
        <w:tc>
          <w:tcPr>
            <w:tcW w:w="1287" w:type="dxa"/>
          </w:tcPr>
          <w:p w14:paraId="6A6C0A3A" w14:textId="77777777" w:rsidR="007520C1" w:rsidRPr="00CA3D1F" w:rsidRDefault="007520C1" w:rsidP="00E049DB">
            <w:pPr>
              <w:jc w:val="center"/>
              <w:rPr>
                <w:sz w:val="18"/>
                <w:szCs w:val="18"/>
              </w:rPr>
            </w:pPr>
            <w:r w:rsidRPr="00CA3D1F">
              <w:rPr>
                <w:sz w:val="18"/>
                <w:szCs w:val="18"/>
              </w:rPr>
              <w:t>TE</w:t>
            </w:r>
          </w:p>
        </w:tc>
      </w:tr>
      <w:tr w:rsidR="007520C1" w:rsidRPr="004244E0" w14:paraId="13F7AEE6" w14:textId="77777777" w:rsidTr="00DB02C4">
        <w:tc>
          <w:tcPr>
            <w:tcW w:w="1298" w:type="dxa"/>
          </w:tcPr>
          <w:p w14:paraId="7188C0B4" w14:textId="77777777" w:rsidR="007520C1" w:rsidRPr="00CA3D1F" w:rsidRDefault="007520C1" w:rsidP="00E049DB">
            <w:pPr>
              <w:jc w:val="right"/>
              <w:rPr>
                <w:sz w:val="18"/>
                <w:szCs w:val="18"/>
              </w:rPr>
            </w:pPr>
            <w:r w:rsidRPr="00CA3D1F">
              <w:rPr>
                <w:i/>
                <w:color w:val="000000"/>
                <w:sz w:val="18"/>
                <w:szCs w:val="18"/>
              </w:rPr>
              <w:fldChar w:fldCharType="begin">
                <w:ffData>
                  <w:name w:val="F_GEB_BD_target"/>
                  <w:enabled/>
                  <w:calcOnExit w:val="0"/>
                  <w:textInput/>
                </w:ffData>
              </w:fldChar>
            </w:r>
            <w:r w:rsidRPr="00CA3D1F">
              <w:rPr>
                <w:i/>
                <w:color w:val="000000"/>
                <w:sz w:val="18"/>
                <w:szCs w:val="18"/>
              </w:rPr>
              <w:instrText xml:space="preserve"> FORMTEXT </w:instrText>
            </w:r>
            <w:r w:rsidRPr="00CA3D1F">
              <w:rPr>
                <w:i/>
                <w:color w:val="000000"/>
                <w:sz w:val="18"/>
                <w:szCs w:val="18"/>
              </w:rPr>
            </w:r>
            <w:r w:rsidRPr="00CA3D1F">
              <w:rPr>
                <w:i/>
                <w:color w:val="000000"/>
                <w:sz w:val="18"/>
                <w:szCs w:val="18"/>
              </w:rPr>
              <w:fldChar w:fldCharType="separate"/>
            </w:r>
            <w:r w:rsidRPr="00CA3D1F">
              <w:rPr>
                <w:i/>
                <w:color w:val="000000"/>
                <w:sz w:val="18"/>
                <w:szCs w:val="18"/>
              </w:rPr>
              <w:t> </w:t>
            </w:r>
            <w:r w:rsidRPr="00CA3D1F">
              <w:rPr>
                <w:i/>
                <w:color w:val="000000"/>
                <w:sz w:val="18"/>
                <w:szCs w:val="18"/>
              </w:rPr>
              <w:t> </w:t>
            </w:r>
            <w:r w:rsidRPr="00CA3D1F">
              <w:rPr>
                <w:i/>
                <w:color w:val="000000"/>
                <w:sz w:val="18"/>
                <w:szCs w:val="18"/>
              </w:rPr>
              <w:t> </w:t>
            </w:r>
            <w:r w:rsidRPr="00CA3D1F">
              <w:rPr>
                <w:i/>
                <w:color w:val="000000"/>
                <w:sz w:val="18"/>
                <w:szCs w:val="18"/>
              </w:rPr>
              <w:t> </w:t>
            </w:r>
            <w:r w:rsidRPr="00CA3D1F">
              <w:rPr>
                <w:i/>
                <w:color w:val="000000"/>
                <w:sz w:val="18"/>
                <w:szCs w:val="18"/>
              </w:rPr>
              <w:t> </w:t>
            </w:r>
            <w:r w:rsidRPr="00CA3D1F">
              <w:rPr>
                <w:i/>
                <w:color w:val="000000"/>
                <w:sz w:val="18"/>
                <w:szCs w:val="18"/>
              </w:rPr>
              <w:fldChar w:fldCharType="end"/>
            </w:r>
          </w:p>
        </w:tc>
        <w:tc>
          <w:tcPr>
            <w:tcW w:w="933" w:type="dxa"/>
          </w:tcPr>
          <w:p w14:paraId="2655B1CD" w14:textId="77777777" w:rsidR="007520C1" w:rsidRPr="00CA3D1F" w:rsidRDefault="007520C1" w:rsidP="00E049DB">
            <w:pPr>
              <w:jc w:val="right"/>
              <w:rPr>
                <w:sz w:val="18"/>
                <w:szCs w:val="18"/>
              </w:rPr>
            </w:pPr>
            <w:r w:rsidRPr="00CA3D1F">
              <w:rPr>
                <w:i/>
                <w:color w:val="000000"/>
                <w:sz w:val="18"/>
                <w:szCs w:val="18"/>
              </w:rPr>
              <w:fldChar w:fldCharType="begin">
                <w:ffData>
                  <w:name w:val="F_GEB_BD_target"/>
                  <w:enabled/>
                  <w:calcOnExit w:val="0"/>
                  <w:textInput/>
                </w:ffData>
              </w:fldChar>
            </w:r>
            <w:r w:rsidRPr="00CA3D1F">
              <w:rPr>
                <w:i/>
                <w:color w:val="000000"/>
                <w:sz w:val="18"/>
                <w:szCs w:val="18"/>
              </w:rPr>
              <w:instrText xml:space="preserve"> FORMTEXT </w:instrText>
            </w:r>
            <w:r w:rsidRPr="00CA3D1F">
              <w:rPr>
                <w:i/>
                <w:color w:val="000000"/>
                <w:sz w:val="18"/>
                <w:szCs w:val="18"/>
              </w:rPr>
            </w:r>
            <w:r w:rsidRPr="00CA3D1F">
              <w:rPr>
                <w:i/>
                <w:color w:val="000000"/>
                <w:sz w:val="18"/>
                <w:szCs w:val="18"/>
              </w:rPr>
              <w:fldChar w:fldCharType="separate"/>
            </w:r>
            <w:r w:rsidRPr="00CA3D1F">
              <w:rPr>
                <w:i/>
                <w:color w:val="000000"/>
                <w:sz w:val="18"/>
                <w:szCs w:val="18"/>
              </w:rPr>
              <w:t> </w:t>
            </w:r>
            <w:r w:rsidRPr="00CA3D1F">
              <w:rPr>
                <w:i/>
                <w:color w:val="000000"/>
                <w:sz w:val="18"/>
                <w:szCs w:val="18"/>
              </w:rPr>
              <w:t> </w:t>
            </w:r>
            <w:r w:rsidRPr="00CA3D1F">
              <w:rPr>
                <w:i/>
                <w:color w:val="000000"/>
                <w:sz w:val="18"/>
                <w:szCs w:val="18"/>
              </w:rPr>
              <w:t> </w:t>
            </w:r>
            <w:r w:rsidRPr="00CA3D1F">
              <w:rPr>
                <w:i/>
                <w:color w:val="000000"/>
                <w:sz w:val="18"/>
                <w:szCs w:val="18"/>
              </w:rPr>
              <w:t> </w:t>
            </w:r>
            <w:r w:rsidRPr="00CA3D1F">
              <w:rPr>
                <w:i/>
                <w:color w:val="000000"/>
                <w:sz w:val="18"/>
                <w:szCs w:val="18"/>
              </w:rPr>
              <w:t> </w:t>
            </w:r>
            <w:r w:rsidRPr="00CA3D1F">
              <w:rPr>
                <w:i/>
                <w:color w:val="000000"/>
                <w:sz w:val="18"/>
                <w:szCs w:val="18"/>
              </w:rPr>
              <w:fldChar w:fldCharType="end"/>
            </w:r>
          </w:p>
        </w:tc>
        <w:tc>
          <w:tcPr>
            <w:tcW w:w="1726" w:type="dxa"/>
          </w:tcPr>
          <w:p w14:paraId="4092DB6A" w14:textId="77777777" w:rsidR="007520C1" w:rsidRPr="00CA3D1F" w:rsidRDefault="007520C1" w:rsidP="00E049DB">
            <w:pPr>
              <w:jc w:val="right"/>
              <w:rPr>
                <w:sz w:val="18"/>
                <w:szCs w:val="18"/>
              </w:rPr>
            </w:pPr>
            <w:r w:rsidRPr="00CA3D1F">
              <w:rPr>
                <w:color w:val="000000"/>
                <w:sz w:val="18"/>
                <w:szCs w:val="18"/>
              </w:rPr>
              <w:fldChar w:fldCharType="begin">
                <w:ffData>
                  <w:name w:val=""/>
                  <w:enabled/>
                  <w:calcOnExit w:val="0"/>
                  <w:ddList>
                    <w:listEntry w:val="(select)"/>
                    <w:listEntry w:val="Ia Strict Nature Reserve"/>
                    <w:listEntry w:val="Ib Wilderness Area"/>
                    <w:listEntry w:val="II National Park"/>
                    <w:listEntry w:val="III Natural Monument or Feature"/>
                    <w:listEntry w:val="IV Habitat/Species Management Area"/>
                    <w:listEntry w:val="V Protected Landscape/Seascape"/>
                    <w:listEntry w:val="VI PA with sustainable use of natural resources"/>
                    <w:listEntry w:val="Other"/>
                  </w:ddList>
                </w:ffData>
              </w:fldChar>
            </w:r>
            <w:r w:rsidRPr="00CA3D1F">
              <w:rPr>
                <w:color w:val="000000"/>
                <w:sz w:val="18"/>
                <w:szCs w:val="18"/>
              </w:rPr>
              <w:instrText xml:space="preserve"> FORMDROPDOWN </w:instrText>
            </w:r>
            <w:r w:rsidR="000C73F8">
              <w:rPr>
                <w:color w:val="000000"/>
                <w:sz w:val="18"/>
                <w:szCs w:val="18"/>
              </w:rPr>
            </w:r>
            <w:r w:rsidR="000C73F8">
              <w:rPr>
                <w:color w:val="000000"/>
                <w:sz w:val="18"/>
                <w:szCs w:val="18"/>
              </w:rPr>
              <w:fldChar w:fldCharType="separate"/>
            </w:r>
            <w:r w:rsidRPr="00CA3D1F">
              <w:rPr>
                <w:color w:val="000000"/>
                <w:sz w:val="18"/>
                <w:szCs w:val="18"/>
              </w:rPr>
              <w:fldChar w:fldCharType="end"/>
            </w:r>
            <w:r w:rsidRPr="00CA3D1F">
              <w:rPr>
                <w:color w:val="000000"/>
                <w:sz w:val="18"/>
                <w:szCs w:val="18"/>
              </w:rPr>
              <w:t xml:space="preserve">  </w:t>
            </w:r>
          </w:p>
        </w:tc>
        <w:tc>
          <w:tcPr>
            <w:tcW w:w="906" w:type="dxa"/>
          </w:tcPr>
          <w:p w14:paraId="5CF85875" w14:textId="77777777" w:rsidR="007520C1" w:rsidRPr="00CA3D1F" w:rsidRDefault="007520C1" w:rsidP="00E049DB">
            <w:pPr>
              <w:jc w:val="right"/>
              <w:rPr>
                <w:sz w:val="18"/>
                <w:szCs w:val="18"/>
              </w:rPr>
            </w:pPr>
            <w:r w:rsidRPr="00CA3D1F">
              <w:rPr>
                <w:i/>
                <w:color w:val="000000"/>
                <w:sz w:val="18"/>
                <w:szCs w:val="18"/>
              </w:rPr>
              <w:fldChar w:fldCharType="begin">
                <w:ffData>
                  <w:name w:val="F_GEB_BD_target"/>
                  <w:enabled/>
                  <w:calcOnExit w:val="0"/>
                  <w:textInput/>
                </w:ffData>
              </w:fldChar>
            </w:r>
            <w:r w:rsidRPr="00CA3D1F">
              <w:rPr>
                <w:i/>
                <w:color w:val="000000"/>
                <w:sz w:val="18"/>
                <w:szCs w:val="18"/>
              </w:rPr>
              <w:instrText xml:space="preserve"> FORMTEXT </w:instrText>
            </w:r>
            <w:r w:rsidRPr="00CA3D1F">
              <w:rPr>
                <w:i/>
                <w:color w:val="000000"/>
                <w:sz w:val="18"/>
                <w:szCs w:val="18"/>
              </w:rPr>
            </w:r>
            <w:r w:rsidRPr="00CA3D1F">
              <w:rPr>
                <w:i/>
                <w:color w:val="000000"/>
                <w:sz w:val="18"/>
                <w:szCs w:val="18"/>
              </w:rPr>
              <w:fldChar w:fldCharType="separate"/>
            </w:r>
            <w:r w:rsidRPr="00CA3D1F">
              <w:rPr>
                <w:i/>
                <w:color w:val="000000"/>
                <w:sz w:val="18"/>
                <w:szCs w:val="18"/>
              </w:rPr>
              <w:t> </w:t>
            </w:r>
            <w:r w:rsidRPr="00CA3D1F">
              <w:rPr>
                <w:i/>
                <w:color w:val="000000"/>
                <w:sz w:val="18"/>
                <w:szCs w:val="18"/>
              </w:rPr>
              <w:t> </w:t>
            </w:r>
            <w:r w:rsidRPr="00CA3D1F">
              <w:rPr>
                <w:i/>
                <w:color w:val="000000"/>
                <w:sz w:val="18"/>
                <w:szCs w:val="18"/>
              </w:rPr>
              <w:t> </w:t>
            </w:r>
            <w:r w:rsidRPr="00CA3D1F">
              <w:rPr>
                <w:i/>
                <w:color w:val="000000"/>
                <w:sz w:val="18"/>
                <w:szCs w:val="18"/>
              </w:rPr>
              <w:t> </w:t>
            </w:r>
            <w:r w:rsidRPr="00CA3D1F">
              <w:rPr>
                <w:i/>
                <w:color w:val="000000"/>
                <w:sz w:val="18"/>
                <w:szCs w:val="18"/>
              </w:rPr>
              <w:t> </w:t>
            </w:r>
            <w:r w:rsidRPr="00CA3D1F">
              <w:rPr>
                <w:i/>
                <w:color w:val="000000"/>
                <w:sz w:val="18"/>
                <w:szCs w:val="18"/>
              </w:rPr>
              <w:fldChar w:fldCharType="end"/>
            </w:r>
          </w:p>
        </w:tc>
        <w:tc>
          <w:tcPr>
            <w:tcW w:w="1876" w:type="dxa"/>
          </w:tcPr>
          <w:p w14:paraId="3E66705F" w14:textId="77777777" w:rsidR="007520C1" w:rsidRPr="00CA3D1F" w:rsidRDefault="007520C1" w:rsidP="00E049DB">
            <w:pPr>
              <w:jc w:val="right"/>
              <w:rPr>
                <w:sz w:val="18"/>
                <w:szCs w:val="18"/>
              </w:rPr>
            </w:pPr>
          </w:p>
        </w:tc>
        <w:tc>
          <w:tcPr>
            <w:tcW w:w="1485" w:type="dxa"/>
            <w:gridSpan w:val="3"/>
          </w:tcPr>
          <w:p w14:paraId="7AF1CD9E" w14:textId="77777777" w:rsidR="007520C1" w:rsidRPr="00CA3D1F" w:rsidRDefault="007520C1" w:rsidP="00E049DB">
            <w:pPr>
              <w:jc w:val="right"/>
              <w:rPr>
                <w:sz w:val="18"/>
                <w:szCs w:val="18"/>
              </w:rPr>
            </w:pPr>
            <w:r w:rsidRPr="00CA3D1F">
              <w:rPr>
                <w:i/>
                <w:color w:val="000000"/>
                <w:sz w:val="18"/>
                <w:szCs w:val="18"/>
              </w:rPr>
              <w:fldChar w:fldCharType="begin">
                <w:ffData>
                  <w:name w:val="F_GEB_BD_target"/>
                  <w:enabled/>
                  <w:calcOnExit w:val="0"/>
                  <w:textInput/>
                </w:ffData>
              </w:fldChar>
            </w:r>
            <w:r w:rsidRPr="00CA3D1F">
              <w:rPr>
                <w:i/>
                <w:color w:val="000000"/>
                <w:sz w:val="18"/>
                <w:szCs w:val="18"/>
              </w:rPr>
              <w:instrText xml:space="preserve"> FORMTEXT </w:instrText>
            </w:r>
            <w:r w:rsidRPr="00CA3D1F">
              <w:rPr>
                <w:i/>
                <w:color w:val="000000"/>
                <w:sz w:val="18"/>
                <w:szCs w:val="18"/>
              </w:rPr>
            </w:r>
            <w:r w:rsidRPr="00CA3D1F">
              <w:rPr>
                <w:i/>
                <w:color w:val="000000"/>
                <w:sz w:val="18"/>
                <w:szCs w:val="18"/>
              </w:rPr>
              <w:fldChar w:fldCharType="separate"/>
            </w:r>
            <w:r w:rsidRPr="00CA3D1F">
              <w:rPr>
                <w:i/>
                <w:color w:val="000000"/>
                <w:sz w:val="18"/>
                <w:szCs w:val="18"/>
              </w:rPr>
              <w:t> </w:t>
            </w:r>
            <w:r w:rsidRPr="00CA3D1F">
              <w:rPr>
                <w:i/>
                <w:color w:val="000000"/>
                <w:sz w:val="18"/>
                <w:szCs w:val="18"/>
              </w:rPr>
              <w:t> </w:t>
            </w:r>
            <w:r w:rsidRPr="00CA3D1F">
              <w:rPr>
                <w:i/>
                <w:color w:val="000000"/>
                <w:sz w:val="18"/>
                <w:szCs w:val="18"/>
              </w:rPr>
              <w:t> </w:t>
            </w:r>
            <w:r w:rsidRPr="00CA3D1F">
              <w:rPr>
                <w:i/>
                <w:color w:val="000000"/>
                <w:sz w:val="18"/>
                <w:szCs w:val="18"/>
              </w:rPr>
              <w:t> </w:t>
            </w:r>
            <w:r w:rsidRPr="00CA3D1F">
              <w:rPr>
                <w:i/>
                <w:color w:val="000000"/>
                <w:sz w:val="18"/>
                <w:szCs w:val="18"/>
              </w:rPr>
              <w:t> </w:t>
            </w:r>
            <w:r w:rsidRPr="00CA3D1F">
              <w:rPr>
                <w:i/>
                <w:color w:val="000000"/>
                <w:sz w:val="18"/>
                <w:szCs w:val="18"/>
              </w:rPr>
              <w:fldChar w:fldCharType="end"/>
            </w:r>
          </w:p>
        </w:tc>
        <w:tc>
          <w:tcPr>
            <w:tcW w:w="1324" w:type="dxa"/>
            <w:gridSpan w:val="2"/>
          </w:tcPr>
          <w:p w14:paraId="296A0FD3" w14:textId="77777777" w:rsidR="007520C1" w:rsidRPr="00CA3D1F" w:rsidRDefault="007520C1" w:rsidP="00E049DB">
            <w:pPr>
              <w:jc w:val="right"/>
              <w:rPr>
                <w:sz w:val="18"/>
                <w:szCs w:val="18"/>
              </w:rPr>
            </w:pPr>
            <w:r w:rsidRPr="00CA3D1F">
              <w:rPr>
                <w:i/>
                <w:color w:val="000000"/>
                <w:sz w:val="18"/>
                <w:szCs w:val="18"/>
              </w:rPr>
              <w:fldChar w:fldCharType="begin">
                <w:ffData>
                  <w:name w:val="F_GEB_BD_target"/>
                  <w:enabled/>
                  <w:calcOnExit w:val="0"/>
                  <w:textInput/>
                </w:ffData>
              </w:fldChar>
            </w:r>
            <w:r w:rsidRPr="00CA3D1F">
              <w:rPr>
                <w:i/>
                <w:color w:val="000000"/>
                <w:sz w:val="18"/>
                <w:szCs w:val="18"/>
              </w:rPr>
              <w:instrText xml:space="preserve"> FORMTEXT </w:instrText>
            </w:r>
            <w:r w:rsidRPr="00CA3D1F">
              <w:rPr>
                <w:i/>
                <w:color w:val="000000"/>
                <w:sz w:val="18"/>
                <w:szCs w:val="18"/>
              </w:rPr>
            </w:r>
            <w:r w:rsidRPr="00CA3D1F">
              <w:rPr>
                <w:i/>
                <w:color w:val="000000"/>
                <w:sz w:val="18"/>
                <w:szCs w:val="18"/>
              </w:rPr>
              <w:fldChar w:fldCharType="separate"/>
            </w:r>
            <w:r w:rsidRPr="00CA3D1F">
              <w:rPr>
                <w:i/>
                <w:color w:val="000000"/>
                <w:sz w:val="18"/>
                <w:szCs w:val="18"/>
              </w:rPr>
              <w:t> </w:t>
            </w:r>
            <w:r w:rsidRPr="00CA3D1F">
              <w:rPr>
                <w:i/>
                <w:color w:val="000000"/>
                <w:sz w:val="18"/>
                <w:szCs w:val="18"/>
              </w:rPr>
              <w:t> </w:t>
            </w:r>
            <w:r w:rsidRPr="00CA3D1F">
              <w:rPr>
                <w:i/>
                <w:color w:val="000000"/>
                <w:sz w:val="18"/>
                <w:szCs w:val="18"/>
              </w:rPr>
              <w:t> </w:t>
            </w:r>
            <w:r w:rsidRPr="00CA3D1F">
              <w:rPr>
                <w:i/>
                <w:color w:val="000000"/>
                <w:sz w:val="18"/>
                <w:szCs w:val="18"/>
              </w:rPr>
              <w:t> </w:t>
            </w:r>
            <w:r w:rsidRPr="00CA3D1F">
              <w:rPr>
                <w:i/>
                <w:color w:val="000000"/>
                <w:sz w:val="18"/>
                <w:szCs w:val="18"/>
              </w:rPr>
              <w:t> </w:t>
            </w:r>
            <w:r w:rsidRPr="00CA3D1F">
              <w:rPr>
                <w:i/>
                <w:color w:val="000000"/>
                <w:sz w:val="18"/>
                <w:szCs w:val="18"/>
              </w:rPr>
              <w:fldChar w:fldCharType="end"/>
            </w:r>
          </w:p>
        </w:tc>
        <w:tc>
          <w:tcPr>
            <w:tcW w:w="1287" w:type="dxa"/>
          </w:tcPr>
          <w:p w14:paraId="64EDDB01" w14:textId="77777777" w:rsidR="007520C1" w:rsidRPr="00CA3D1F" w:rsidRDefault="007520C1" w:rsidP="00E049DB">
            <w:pPr>
              <w:jc w:val="right"/>
              <w:rPr>
                <w:sz w:val="18"/>
                <w:szCs w:val="18"/>
              </w:rPr>
            </w:pPr>
            <w:r w:rsidRPr="00CA3D1F">
              <w:rPr>
                <w:i/>
                <w:color w:val="000000"/>
                <w:sz w:val="18"/>
                <w:szCs w:val="18"/>
              </w:rPr>
              <w:fldChar w:fldCharType="begin">
                <w:ffData>
                  <w:name w:val="F_GEB_BD_target"/>
                  <w:enabled/>
                  <w:calcOnExit w:val="0"/>
                  <w:textInput/>
                </w:ffData>
              </w:fldChar>
            </w:r>
            <w:r w:rsidRPr="00CA3D1F">
              <w:rPr>
                <w:i/>
                <w:color w:val="000000"/>
                <w:sz w:val="18"/>
                <w:szCs w:val="18"/>
              </w:rPr>
              <w:instrText xml:space="preserve"> FORMTEXT </w:instrText>
            </w:r>
            <w:r w:rsidRPr="00CA3D1F">
              <w:rPr>
                <w:i/>
                <w:color w:val="000000"/>
                <w:sz w:val="18"/>
                <w:szCs w:val="18"/>
              </w:rPr>
            </w:r>
            <w:r w:rsidRPr="00CA3D1F">
              <w:rPr>
                <w:i/>
                <w:color w:val="000000"/>
                <w:sz w:val="18"/>
                <w:szCs w:val="18"/>
              </w:rPr>
              <w:fldChar w:fldCharType="separate"/>
            </w:r>
            <w:r w:rsidRPr="00CA3D1F">
              <w:rPr>
                <w:i/>
                <w:color w:val="000000"/>
                <w:sz w:val="18"/>
                <w:szCs w:val="18"/>
              </w:rPr>
              <w:t> </w:t>
            </w:r>
            <w:r w:rsidRPr="00CA3D1F">
              <w:rPr>
                <w:i/>
                <w:color w:val="000000"/>
                <w:sz w:val="18"/>
                <w:szCs w:val="18"/>
              </w:rPr>
              <w:t> </w:t>
            </w:r>
            <w:r w:rsidRPr="00CA3D1F">
              <w:rPr>
                <w:i/>
                <w:color w:val="000000"/>
                <w:sz w:val="18"/>
                <w:szCs w:val="18"/>
              </w:rPr>
              <w:t> </w:t>
            </w:r>
            <w:r w:rsidRPr="00CA3D1F">
              <w:rPr>
                <w:i/>
                <w:color w:val="000000"/>
                <w:sz w:val="18"/>
                <w:szCs w:val="18"/>
              </w:rPr>
              <w:t> </w:t>
            </w:r>
            <w:r w:rsidRPr="00CA3D1F">
              <w:rPr>
                <w:i/>
                <w:color w:val="000000"/>
                <w:sz w:val="18"/>
                <w:szCs w:val="18"/>
              </w:rPr>
              <w:t> </w:t>
            </w:r>
            <w:r w:rsidRPr="00CA3D1F">
              <w:rPr>
                <w:i/>
                <w:color w:val="000000"/>
                <w:sz w:val="18"/>
                <w:szCs w:val="18"/>
              </w:rPr>
              <w:fldChar w:fldCharType="end"/>
            </w:r>
          </w:p>
        </w:tc>
      </w:tr>
      <w:tr w:rsidR="007520C1" w:rsidRPr="004244E0" w14:paraId="4D73DE09" w14:textId="77777777" w:rsidTr="00DB02C4">
        <w:tc>
          <w:tcPr>
            <w:tcW w:w="1298" w:type="dxa"/>
          </w:tcPr>
          <w:p w14:paraId="1FFD78DC" w14:textId="77777777" w:rsidR="007520C1" w:rsidRPr="00CA3D1F" w:rsidRDefault="007520C1" w:rsidP="00E049DB">
            <w:pPr>
              <w:jc w:val="right"/>
              <w:rPr>
                <w:sz w:val="18"/>
                <w:szCs w:val="18"/>
              </w:rPr>
            </w:pPr>
            <w:r w:rsidRPr="00CA3D1F">
              <w:rPr>
                <w:i/>
                <w:color w:val="000000"/>
                <w:sz w:val="18"/>
                <w:szCs w:val="18"/>
              </w:rPr>
              <w:fldChar w:fldCharType="begin">
                <w:ffData>
                  <w:name w:val="F_GEB_BD_target"/>
                  <w:enabled/>
                  <w:calcOnExit w:val="0"/>
                  <w:textInput/>
                </w:ffData>
              </w:fldChar>
            </w:r>
            <w:r w:rsidRPr="00CA3D1F">
              <w:rPr>
                <w:i/>
                <w:color w:val="000000"/>
                <w:sz w:val="18"/>
                <w:szCs w:val="18"/>
              </w:rPr>
              <w:instrText xml:space="preserve"> FORMTEXT </w:instrText>
            </w:r>
            <w:r w:rsidRPr="00CA3D1F">
              <w:rPr>
                <w:i/>
                <w:color w:val="000000"/>
                <w:sz w:val="18"/>
                <w:szCs w:val="18"/>
              </w:rPr>
            </w:r>
            <w:r w:rsidRPr="00CA3D1F">
              <w:rPr>
                <w:i/>
                <w:color w:val="000000"/>
                <w:sz w:val="18"/>
                <w:szCs w:val="18"/>
              </w:rPr>
              <w:fldChar w:fldCharType="separate"/>
            </w:r>
            <w:r w:rsidRPr="00CA3D1F">
              <w:rPr>
                <w:i/>
                <w:color w:val="000000"/>
                <w:sz w:val="18"/>
                <w:szCs w:val="18"/>
              </w:rPr>
              <w:t> </w:t>
            </w:r>
            <w:r w:rsidRPr="00CA3D1F">
              <w:rPr>
                <w:i/>
                <w:color w:val="000000"/>
                <w:sz w:val="18"/>
                <w:szCs w:val="18"/>
              </w:rPr>
              <w:t> </w:t>
            </w:r>
            <w:r w:rsidRPr="00CA3D1F">
              <w:rPr>
                <w:i/>
                <w:color w:val="000000"/>
                <w:sz w:val="18"/>
                <w:szCs w:val="18"/>
              </w:rPr>
              <w:t> </w:t>
            </w:r>
            <w:r w:rsidRPr="00CA3D1F">
              <w:rPr>
                <w:i/>
                <w:color w:val="000000"/>
                <w:sz w:val="18"/>
                <w:szCs w:val="18"/>
              </w:rPr>
              <w:t> </w:t>
            </w:r>
            <w:r w:rsidRPr="00CA3D1F">
              <w:rPr>
                <w:i/>
                <w:color w:val="000000"/>
                <w:sz w:val="18"/>
                <w:szCs w:val="18"/>
              </w:rPr>
              <w:t> </w:t>
            </w:r>
            <w:r w:rsidRPr="00CA3D1F">
              <w:rPr>
                <w:i/>
                <w:color w:val="000000"/>
                <w:sz w:val="18"/>
                <w:szCs w:val="18"/>
              </w:rPr>
              <w:fldChar w:fldCharType="end"/>
            </w:r>
          </w:p>
        </w:tc>
        <w:tc>
          <w:tcPr>
            <w:tcW w:w="933" w:type="dxa"/>
          </w:tcPr>
          <w:p w14:paraId="5A125874" w14:textId="77777777" w:rsidR="007520C1" w:rsidRPr="00CA3D1F" w:rsidRDefault="007520C1" w:rsidP="00E049DB">
            <w:pPr>
              <w:jc w:val="right"/>
              <w:rPr>
                <w:sz w:val="18"/>
                <w:szCs w:val="18"/>
              </w:rPr>
            </w:pPr>
            <w:r w:rsidRPr="00CA3D1F">
              <w:rPr>
                <w:i/>
                <w:color w:val="000000"/>
                <w:sz w:val="18"/>
                <w:szCs w:val="18"/>
              </w:rPr>
              <w:fldChar w:fldCharType="begin">
                <w:ffData>
                  <w:name w:val="F_GEB_BD_target"/>
                  <w:enabled/>
                  <w:calcOnExit w:val="0"/>
                  <w:textInput/>
                </w:ffData>
              </w:fldChar>
            </w:r>
            <w:r w:rsidRPr="00CA3D1F">
              <w:rPr>
                <w:i/>
                <w:color w:val="000000"/>
                <w:sz w:val="18"/>
                <w:szCs w:val="18"/>
              </w:rPr>
              <w:instrText xml:space="preserve"> FORMTEXT </w:instrText>
            </w:r>
            <w:r w:rsidRPr="00CA3D1F">
              <w:rPr>
                <w:i/>
                <w:color w:val="000000"/>
                <w:sz w:val="18"/>
                <w:szCs w:val="18"/>
              </w:rPr>
            </w:r>
            <w:r w:rsidRPr="00CA3D1F">
              <w:rPr>
                <w:i/>
                <w:color w:val="000000"/>
                <w:sz w:val="18"/>
                <w:szCs w:val="18"/>
              </w:rPr>
              <w:fldChar w:fldCharType="separate"/>
            </w:r>
            <w:r w:rsidRPr="00CA3D1F">
              <w:rPr>
                <w:i/>
                <w:color w:val="000000"/>
                <w:sz w:val="18"/>
                <w:szCs w:val="18"/>
              </w:rPr>
              <w:t> </w:t>
            </w:r>
            <w:r w:rsidRPr="00CA3D1F">
              <w:rPr>
                <w:i/>
                <w:color w:val="000000"/>
                <w:sz w:val="18"/>
                <w:szCs w:val="18"/>
              </w:rPr>
              <w:t> </w:t>
            </w:r>
            <w:r w:rsidRPr="00CA3D1F">
              <w:rPr>
                <w:i/>
                <w:color w:val="000000"/>
                <w:sz w:val="18"/>
                <w:szCs w:val="18"/>
              </w:rPr>
              <w:t> </w:t>
            </w:r>
            <w:r w:rsidRPr="00CA3D1F">
              <w:rPr>
                <w:i/>
                <w:color w:val="000000"/>
                <w:sz w:val="18"/>
                <w:szCs w:val="18"/>
              </w:rPr>
              <w:t> </w:t>
            </w:r>
            <w:r w:rsidRPr="00CA3D1F">
              <w:rPr>
                <w:i/>
                <w:color w:val="000000"/>
                <w:sz w:val="18"/>
                <w:szCs w:val="18"/>
              </w:rPr>
              <w:t> </w:t>
            </w:r>
            <w:r w:rsidRPr="00CA3D1F">
              <w:rPr>
                <w:i/>
                <w:color w:val="000000"/>
                <w:sz w:val="18"/>
                <w:szCs w:val="18"/>
              </w:rPr>
              <w:fldChar w:fldCharType="end"/>
            </w:r>
          </w:p>
        </w:tc>
        <w:tc>
          <w:tcPr>
            <w:tcW w:w="1726" w:type="dxa"/>
          </w:tcPr>
          <w:p w14:paraId="0CD82D64" w14:textId="77777777" w:rsidR="007520C1" w:rsidRPr="00CA3D1F" w:rsidRDefault="007520C1" w:rsidP="00E049DB">
            <w:pPr>
              <w:jc w:val="right"/>
              <w:rPr>
                <w:sz w:val="18"/>
                <w:szCs w:val="18"/>
              </w:rPr>
            </w:pPr>
            <w:r w:rsidRPr="00CA3D1F">
              <w:rPr>
                <w:color w:val="000000"/>
                <w:sz w:val="18"/>
                <w:szCs w:val="18"/>
              </w:rPr>
              <w:fldChar w:fldCharType="begin">
                <w:ffData>
                  <w:name w:val=""/>
                  <w:enabled/>
                  <w:calcOnExit w:val="0"/>
                  <w:ddList>
                    <w:listEntry w:val="(select)"/>
                    <w:listEntry w:val="Ia Strict Nature Reserve"/>
                    <w:listEntry w:val="Ib Wilderness Area"/>
                    <w:listEntry w:val="II National Park"/>
                    <w:listEntry w:val="III Natural Monument or Feature"/>
                    <w:listEntry w:val="IV Habitat/Species Management Area"/>
                    <w:listEntry w:val="V Protected Landscape/Seascape"/>
                    <w:listEntry w:val="VI PA with sustainable use of natural resources"/>
                    <w:listEntry w:val="Other"/>
                  </w:ddList>
                </w:ffData>
              </w:fldChar>
            </w:r>
            <w:r w:rsidRPr="00CA3D1F">
              <w:rPr>
                <w:color w:val="000000"/>
                <w:sz w:val="18"/>
                <w:szCs w:val="18"/>
              </w:rPr>
              <w:instrText xml:space="preserve"> FORMDROPDOWN </w:instrText>
            </w:r>
            <w:r w:rsidR="000C73F8">
              <w:rPr>
                <w:color w:val="000000"/>
                <w:sz w:val="18"/>
                <w:szCs w:val="18"/>
              </w:rPr>
            </w:r>
            <w:r w:rsidR="000C73F8">
              <w:rPr>
                <w:color w:val="000000"/>
                <w:sz w:val="18"/>
                <w:szCs w:val="18"/>
              </w:rPr>
              <w:fldChar w:fldCharType="separate"/>
            </w:r>
            <w:r w:rsidRPr="00CA3D1F">
              <w:rPr>
                <w:color w:val="000000"/>
                <w:sz w:val="18"/>
                <w:szCs w:val="18"/>
              </w:rPr>
              <w:fldChar w:fldCharType="end"/>
            </w:r>
            <w:r w:rsidRPr="00CA3D1F">
              <w:rPr>
                <w:color w:val="000000"/>
                <w:sz w:val="18"/>
                <w:szCs w:val="18"/>
              </w:rPr>
              <w:t xml:space="preserve">  </w:t>
            </w:r>
          </w:p>
        </w:tc>
        <w:tc>
          <w:tcPr>
            <w:tcW w:w="906" w:type="dxa"/>
          </w:tcPr>
          <w:p w14:paraId="5C52013C" w14:textId="77777777" w:rsidR="007520C1" w:rsidRPr="00CA3D1F" w:rsidRDefault="007520C1" w:rsidP="00E049DB">
            <w:pPr>
              <w:jc w:val="right"/>
              <w:rPr>
                <w:sz w:val="18"/>
                <w:szCs w:val="18"/>
              </w:rPr>
            </w:pPr>
            <w:r w:rsidRPr="00CA3D1F">
              <w:rPr>
                <w:i/>
                <w:color w:val="000000"/>
                <w:sz w:val="18"/>
                <w:szCs w:val="18"/>
              </w:rPr>
              <w:fldChar w:fldCharType="begin">
                <w:ffData>
                  <w:name w:val="F_GEB_BD_target"/>
                  <w:enabled/>
                  <w:calcOnExit w:val="0"/>
                  <w:textInput/>
                </w:ffData>
              </w:fldChar>
            </w:r>
            <w:r w:rsidRPr="00CA3D1F">
              <w:rPr>
                <w:i/>
                <w:color w:val="000000"/>
                <w:sz w:val="18"/>
                <w:szCs w:val="18"/>
              </w:rPr>
              <w:instrText xml:space="preserve"> FORMTEXT </w:instrText>
            </w:r>
            <w:r w:rsidRPr="00CA3D1F">
              <w:rPr>
                <w:i/>
                <w:color w:val="000000"/>
                <w:sz w:val="18"/>
                <w:szCs w:val="18"/>
              </w:rPr>
            </w:r>
            <w:r w:rsidRPr="00CA3D1F">
              <w:rPr>
                <w:i/>
                <w:color w:val="000000"/>
                <w:sz w:val="18"/>
                <w:szCs w:val="18"/>
              </w:rPr>
              <w:fldChar w:fldCharType="separate"/>
            </w:r>
            <w:r w:rsidRPr="00CA3D1F">
              <w:rPr>
                <w:i/>
                <w:color w:val="000000"/>
                <w:sz w:val="18"/>
                <w:szCs w:val="18"/>
              </w:rPr>
              <w:t> </w:t>
            </w:r>
            <w:r w:rsidRPr="00CA3D1F">
              <w:rPr>
                <w:i/>
                <w:color w:val="000000"/>
                <w:sz w:val="18"/>
                <w:szCs w:val="18"/>
              </w:rPr>
              <w:t> </w:t>
            </w:r>
            <w:r w:rsidRPr="00CA3D1F">
              <w:rPr>
                <w:i/>
                <w:color w:val="000000"/>
                <w:sz w:val="18"/>
                <w:szCs w:val="18"/>
              </w:rPr>
              <w:t> </w:t>
            </w:r>
            <w:r w:rsidRPr="00CA3D1F">
              <w:rPr>
                <w:i/>
                <w:color w:val="000000"/>
                <w:sz w:val="18"/>
                <w:szCs w:val="18"/>
              </w:rPr>
              <w:t> </w:t>
            </w:r>
            <w:r w:rsidRPr="00CA3D1F">
              <w:rPr>
                <w:i/>
                <w:color w:val="000000"/>
                <w:sz w:val="18"/>
                <w:szCs w:val="18"/>
              </w:rPr>
              <w:t> </w:t>
            </w:r>
            <w:r w:rsidRPr="00CA3D1F">
              <w:rPr>
                <w:i/>
                <w:color w:val="000000"/>
                <w:sz w:val="18"/>
                <w:szCs w:val="18"/>
              </w:rPr>
              <w:fldChar w:fldCharType="end"/>
            </w:r>
          </w:p>
        </w:tc>
        <w:tc>
          <w:tcPr>
            <w:tcW w:w="1876" w:type="dxa"/>
          </w:tcPr>
          <w:p w14:paraId="51064592" w14:textId="77777777" w:rsidR="007520C1" w:rsidRPr="00CA3D1F" w:rsidRDefault="007520C1" w:rsidP="00E049DB">
            <w:pPr>
              <w:jc w:val="right"/>
              <w:rPr>
                <w:sz w:val="18"/>
                <w:szCs w:val="18"/>
              </w:rPr>
            </w:pPr>
          </w:p>
        </w:tc>
        <w:tc>
          <w:tcPr>
            <w:tcW w:w="1485" w:type="dxa"/>
            <w:gridSpan w:val="3"/>
          </w:tcPr>
          <w:p w14:paraId="78A7C5A8" w14:textId="77777777" w:rsidR="007520C1" w:rsidRPr="00CA3D1F" w:rsidRDefault="007520C1" w:rsidP="00E049DB">
            <w:pPr>
              <w:jc w:val="right"/>
              <w:rPr>
                <w:sz w:val="18"/>
                <w:szCs w:val="18"/>
              </w:rPr>
            </w:pPr>
            <w:r w:rsidRPr="00CA3D1F">
              <w:rPr>
                <w:i/>
                <w:color w:val="000000"/>
                <w:sz w:val="18"/>
                <w:szCs w:val="18"/>
              </w:rPr>
              <w:fldChar w:fldCharType="begin">
                <w:ffData>
                  <w:name w:val="F_GEB_BD_target"/>
                  <w:enabled/>
                  <w:calcOnExit w:val="0"/>
                  <w:textInput/>
                </w:ffData>
              </w:fldChar>
            </w:r>
            <w:r w:rsidRPr="00CA3D1F">
              <w:rPr>
                <w:i/>
                <w:color w:val="000000"/>
                <w:sz w:val="18"/>
                <w:szCs w:val="18"/>
              </w:rPr>
              <w:instrText xml:space="preserve"> FORMTEXT </w:instrText>
            </w:r>
            <w:r w:rsidRPr="00CA3D1F">
              <w:rPr>
                <w:i/>
                <w:color w:val="000000"/>
                <w:sz w:val="18"/>
                <w:szCs w:val="18"/>
              </w:rPr>
            </w:r>
            <w:r w:rsidRPr="00CA3D1F">
              <w:rPr>
                <w:i/>
                <w:color w:val="000000"/>
                <w:sz w:val="18"/>
                <w:szCs w:val="18"/>
              </w:rPr>
              <w:fldChar w:fldCharType="separate"/>
            </w:r>
            <w:r w:rsidRPr="00CA3D1F">
              <w:rPr>
                <w:i/>
                <w:color w:val="000000"/>
                <w:sz w:val="18"/>
                <w:szCs w:val="18"/>
              </w:rPr>
              <w:t> </w:t>
            </w:r>
            <w:r w:rsidRPr="00CA3D1F">
              <w:rPr>
                <w:i/>
                <w:color w:val="000000"/>
                <w:sz w:val="18"/>
                <w:szCs w:val="18"/>
              </w:rPr>
              <w:t> </w:t>
            </w:r>
            <w:r w:rsidRPr="00CA3D1F">
              <w:rPr>
                <w:i/>
                <w:color w:val="000000"/>
                <w:sz w:val="18"/>
                <w:szCs w:val="18"/>
              </w:rPr>
              <w:t> </w:t>
            </w:r>
            <w:r w:rsidRPr="00CA3D1F">
              <w:rPr>
                <w:i/>
                <w:color w:val="000000"/>
                <w:sz w:val="18"/>
                <w:szCs w:val="18"/>
              </w:rPr>
              <w:t> </w:t>
            </w:r>
            <w:r w:rsidRPr="00CA3D1F">
              <w:rPr>
                <w:i/>
                <w:color w:val="000000"/>
                <w:sz w:val="18"/>
                <w:szCs w:val="18"/>
              </w:rPr>
              <w:t> </w:t>
            </w:r>
            <w:r w:rsidRPr="00CA3D1F">
              <w:rPr>
                <w:i/>
                <w:color w:val="000000"/>
                <w:sz w:val="18"/>
                <w:szCs w:val="18"/>
              </w:rPr>
              <w:fldChar w:fldCharType="end"/>
            </w:r>
          </w:p>
        </w:tc>
        <w:tc>
          <w:tcPr>
            <w:tcW w:w="1324" w:type="dxa"/>
            <w:gridSpan w:val="2"/>
          </w:tcPr>
          <w:p w14:paraId="5756B325" w14:textId="77777777" w:rsidR="007520C1" w:rsidRPr="00CA3D1F" w:rsidRDefault="007520C1" w:rsidP="00E049DB">
            <w:pPr>
              <w:jc w:val="right"/>
              <w:rPr>
                <w:sz w:val="18"/>
                <w:szCs w:val="18"/>
              </w:rPr>
            </w:pPr>
            <w:r w:rsidRPr="00CA3D1F">
              <w:rPr>
                <w:i/>
                <w:color w:val="000000"/>
                <w:sz w:val="18"/>
                <w:szCs w:val="18"/>
              </w:rPr>
              <w:fldChar w:fldCharType="begin">
                <w:ffData>
                  <w:name w:val="F_GEB_BD_target"/>
                  <w:enabled/>
                  <w:calcOnExit w:val="0"/>
                  <w:textInput/>
                </w:ffData>
              </w:fldChar>
            </w:r>
            <w:r w:rsidRPr="00CA3D1F">
              <w:rPr>
                <w:i/>
                <w:color w:val="000000"/>
                <w:sz w:val="18"/>
                <w:szCs w:val="18"/>
              </w:rPr>
              <w:instrText xml:space="preserve"> FORMTEXT </w:instrText>
            </w:r>
            <w:r w:rsidRPr="00CA3D1F">
              <w:rPr>
                <w:i/>
                <w:color w:val="000000"/>
                <w:sz w:val="18"/>
                <w:szCs w:val="18"/>
              </w:rPr>
            </w:r>
            <w:r w:rsidRPr="00CA3D1F">
              <w:rPr>
                <w:i/>
                <w:color w:val="000000"/>
                <w:sz w:val="18"/>
                <w:szCs w:val="18"/>
              </w:rPr>
              <w:fldChar w:fldCharType="separate"/>
            </w:r>
            <w:r w:rsidRPr="00CA3D1F">
              <w:rPr>
                <w:i/>
                <w:color w:val="000000"/>
                <w:sz w:val="18"/>
                <w:szCs w:val="18"/>
              </w:rPr>
              <w:t> </w:t>
            </w:r>
            <w:r w:rsidRPr="00CA3D1F">
              <w:rPr>
                <w:i/>
                <w:color w:val="000000"/>
                <w:sz w:val="18"/>
                <w:szCs w:val="18"/>
              </w:rPr>
              <w:t> </w:t>
            </w:r>
            <w:r w:rsidRPr="00CA3D1F">
              <w:rPr>
                <w:i/>
                <w:color w:val="000000"/>
                <w:sz w:val="18"/>
                <w:szCs w:val="18"/>
              </w:rPr>
              <w:t> </w:t>
            </w:r>
            <w:r w:rsidRPr="00CA3D1F">
              <w:rPr>
                <w:i/>
                <w:color w:val="000000"/>
                <w:sz w:val="18"/>
                <w:szCs w:val="18"/>
              </w:rPr>
              <w:t> </w:t>
            </w:r>
            <w:r w:rsidRPr="00CA3D1F">
              <w:rPr>
                <w:i/>
                <w:color w:val="000000"/>
                <w:sz w:val="18"/>
                <w:szCs w:val="18"/>
              </w:rPr>
              <w:t> </w:t>
            </w:r>
            <w:r w:rsidRPr="00CA3D1F">
              <w:rPr>
                <w:i/>
                <w:color w:val="000000"/>
                <w:sz w:val="18"/>
                <w:szCs w:val="18"/>
              </w:rPr>
              <w:fldChar w:fldCharType="end"/>
            </w:r>
          </w:p>
        </w:tc>
        <w:tc>
          <w:tcPr>
            <w:tcW w:w="1287" w:type="dxa"/>
          </w:tcPr>
          <w:p w14:paraId="342368AF" w14:textId="77777777" w:rsidR="007520C1" w:rsidRPr="00CA3D1F" w:rsidRDefault="007520C1" w:rsidP="00E049DB">
            <w:pPr>
              <w:jc w:val="right"/>
              <w:rPr>
                <w:sz w:val="18"/>
                <w:szCs w:val="18"/>
              </w:rPr>
            </w:pPr>
            <w:r w:rsidRPr="00CA3D1F">
              <w:rPr>
                <w:i/>
                <w:color w:val="000000"/>
                <w:sz w:val="18"/>
                <w:szCs w:val="18"/>
              </w:rPr>
              <w:fldChar w:fldCharType="begin">
                <w:ffData>
                  <w:name w:val="F_GEB_BD_target"/>
                  <w:enabled/>
                  <w:calcOnExit w:val="0"/>
                  <w:textInput/>
                </w:ffData>
              </w:fldChar>
            </w:r>
            <w:r w:rsidRPr="00CA3D1F">
              <w:rPr>
                <w:i/>
                <w:color w:val="000000"/>
                <w:sz w:val="18"/>
                <w:szCs w:val="18"/>
              </w:rPr>
              <w:instrText xml:space="preserve"> FORMTEXT </w:instrText>
            </w:r>
            <w:r w:rsidRPr="00CA3D1F">
              <w:rPr>
                <w:i/>
                <w:color w:val="000000"/>
                <w:sz w:val="18"/>
                <w:szCs w:val="18"/>
              </w:rPr>
            </w:r>
            <w:r w:rsidRPr="00CA3D1F">
              <w:rPr>
                <w:i/>
                <w:color w:val="000000"/>
                <w:sz w:val="18"/>
                <w:szCs w:val="18"/>
              </w:rPr>
              <w:fldChar w:fldCharType="separate"/>
            </w:r>
            <w:r w:rsidRPr="00CA3D1F">
              <w:rPr>
                <w:i/>
                <w:color w:val="000000"/>
                <w:sz w:val="18"/>
                <w:szCs w:val="18"/>
              </w:rPr>
              <w:t> </w:t>
            </w:r>
            <w:r w:rsidRPr="00CA3D1F">
              <w:rPr>
                <w:i/>
                <w:color w:val="000000"/>
                <w:sz w:val="18"/>
                <w:szCs w:val="18"/>
              </w:rPr>
              <w:t> </w:t>
            </w:r>
            <w:r w:rsidRPr="00CA3D1F">
              <w:rPr>
                <w:i/>
                <w:color w:val="000000"/>
                <w:sz w:val="18"/>
                <w:szCs w:val="18"/>
              </w:rPr>
              <w:t> </w:t>
            </w:r>
            <w:r w:rsidRPr="00CA3D1F">
              <w:rPr>
                <w:i/>
                <w:color w:val="000000"/>
                <w:sz w:val="18"/>
                <w:szCs w:val="18"/>
              </w:rPr>
              <w:t> </w:t>
            </w:r>
            <w:r w:rsidRPr="00CA3D1F">
              <w:rPr>
                <w:i/>
                <w:color w:val="000000"/>
                <w:sz w:val="18"/>
                <w:szCs w:val="18"/>
              </w:rPr>
              <w:t> </w:t>
            </w:r>
            <w:r w:rsidRPr="00CA3D1F">
              <w:rPr>
                <w:i/>
                <w:color w:val="000000"/>
                <w:sz w:val="18"/>
                <w:szCs w:val="18"/>
              </w:rPr>
              <w:fldChar w:fldCharType="end"/>
            </w:r>
          </w:p>
        </w:tc>
      </w:tr>
      <w:tr w:rsidR="007520C1" w:rsidRPr="004244E0" w14:paraId="4B5EAC46" w14:textId="77777777" w:rsidTr="00DB02C4">
        <w:tc>
          <w:tcPr>
            <w:tcW w:w="1298" w:type="dxa"/>
          </w:tcPr>
          <w:p w14:paraId="7119DEA7" w14:textId="77777777" w:rsidR="007520C1" w:rsidRPr="00CA3D1F" w:rsidRDefault="007520C1" w:rsidP="00E049DB">
            <w:pPr>
              <w:rPr>
                <w:sz w:val="18"/>
                <w:szCs w:val="18"/>
              </w:rPr>
            </w:pPr>
          </w:p>
        </w:tc>
        <w:tc>
          <w:tcPr>
            <w:tcW w:w="933" w:type="dxa"/>
          </w:tcPr>
          <w:p w14:paraId="087F8F47" w14:textId="77777777" w:rsidR="007520C1" w:rsidRPr="00CA3D1F" w:rsidRDefault="007520C1" w:rsidP="00E049DB">
            <w:pPr>
              <w:rPr>
                <w:sz w:val="18"/>
                <w:szCs w:val="18"/>
              </w:rPr>
            </w:pPr>
          </w:p>
        </w:tc>
        <w:tc>
          <w:tcPr>
            <w:tcW w:w="1726" w:type="dxa"/>
          </w:tcPr>
          <w:p w14:paraId="20A84BC5" w14:textId="77777777" w:rsidR="007520C1" w:rsidRPr="00CA3D1F" w:rsidRDefault="007520C1" w:rsidP="00E049DB">
            <w:pPr>
              <w:rPr>
                <w:sz w:val="18"/>
                <w:szCs w:val="18"/>
              </w:rPr>
            </w:pPr>
            <w:r w:rsidRPr="00CA3D1F">
              <w:rPr>
                <w:sz w:val="18"/>
                <w:szCs w:val="18"/>
              </w:rPr>
              <w:t>Sum</w:t>
            </w:r>
          </w:p>
        </w:tc>
        <w:tc>
          <w:tcPr>
            <w:tcW w:w="906" w:type="dxa"/>
          </w:tcPr>
          <w:p w14:paraId="736F8826" w14:textId="77777777" w:rsidR="007520C1" w:rsidRPr="00CA3D1F" w:rsidRDefault="007520C1" w:rsidP="00E049DB">
            <w:pPr>
              <w:jc w:val="right"/>
              <w:rPr>
                <w:sz w:val="18"/>
                <w:szCs w:val="18"/>
              </w:rPr>
            </w:pPr>
            <w:r w:rsidRPr="00CA3D1F">
              <w:rPr>
                <w:i/>
                <w:color w:val="000000"/>
                <w:sz w:val="18"/>
                <w:szCs w:val="18"/>
              </w:rPr>
              <w:fldChar w:fldCharType="begin">
                <w:ffData>
                  <w:name w:val="F_GEB_BD_target"/>
                  <w:enabled/>
                  <w:calcOnExit w:val="0"/>
                  <w:textInput/>
                </w:ffData>
              </w:fldChar>
            </w:r>
            <w:r w:rsidRPr="00CA3D1F">
              <w:rPr>
                <w:i/>
                <w:color w:val="000000"/>
                <w:sz w:val="18"/>
                <w:szCs w:val="18"/>
              </w:rPr>
              <w:instrText xml:space="preserve"> FORMTEXT </w:instrText>
            </w:r>
            <w:r w:rsidRPr="00CA3D1F">
              <w:rPr>
                <w:i/>
                <w:color w:val="000000"/>
                <w:sz w:val="18"/>
                <w:szCs w:val="18"/>
              </w:rPr>
            </w:r>
            <w:r w:rsidRPr="00CA3D1F">
              <w:rPr>
                <w:i/>
                <w:color w:val="000000"/>
                <w:sz w:val="18"/>
                <w:szCs w:val="18"/>
              </w:rPr>
              <w:fldChar w:fldCharType="separate"/>
            </w:r>
            <w:r w:rsidRPr="00CA3D1F">
              <w:rPr>
                <w:i/>
                <w:color w:val="000000"/>
                <w:sz w:val="18"/>
                <w:szCs w:val="18"/>
              </w:rPr>
              <w:t> </w:t>
            </w:r>
            <w:r w:rsidRPr="00CA3D1F">
              <w:rPr>
                <w:i/>
                <w:color w:val="000000"/>
                <w:sz w:val="18"/>
                <w:szCs w:val="18"/>
              </w:rPr>
              <w:t> </w:t>
            </w:r>
            <w:r w:rsidRPr="00CA3D1F">
              <w:rPr>
                <w:i/>
                <w:color w:val="000000"/>
                <w:sz w:val="18"/>
                <w:szCs w:val="18"/>
              </w:rPr>
              <w:t> </w:t>
            </w:r>
            <w:r w:rsidRPr="00CA3D1F">
              <w:rPr>
                <w:i/>
                <w:color w:val="000000"/>
                <w:sz w:val="18"/>
                <w:szCs w:val="18"/>
              </w:rPr>
              <w:t> </w:t>
            </w:r>
            <w:r w:rsidRPr="00CA3D1F">
              <w:rPr>
                <w:i/>
                <w:color w:val="000000"/>
                <w:sz w:val="18"/>
                <w:szCs w:val="18"/>
              </w:rPr>
              <w:t> </w:t>
            </w:r>
            <w:r w:rsidRPr="00CA3D1F">
              <w:rPr>
                <w:i/>
                <w:color w:val="000000"/>
                <w:sz w:val="18"/>
                <w:szCs w:val="18"/>
              </w:rPr>
              <w:fldChar w:fldCharType="end"/>
            </w:r>
          </w:p>
        </w:tc>
        <w:tc>
          <w:tcPr>
            <w:tcW w:w="1876" w:type="dxa"/>
          </w:tcPr>
          <w:p w14:paraId="18C713DE" w14:textId="77777777" w:rsidR="007520C1" w:rsidRPr="00CA3D1F" w:rsidRDefault="007520C1" w:rsidP="00E049DB">
            <w:pPr>
              <w:jc w:val="right"/>
              <w:rPr>
                <w:sz w:val="18"/>
                <w:szCs w:val="18"/>
              </w:rPr>
            </w:pPr>
          </w:p>
        </w:tc>
        <w:tc>
          <w:tcPr>
            <w:tcW w:w="1485" w:type="dxa"/>
            <w:gridSpan w:val="3"/>
          </w:tcPr>
          <w:p w14:paraId="2851DB14" w14:textId="77777777" w:rsidR="007520C1" w:rsidRPr="00CA3D1F" w:rsidRDefault="007520C1" w:rsidP="00E049DB">
            <w:pPr>
              <w:jc w:val="right"/>
              <w:rPr>
                <w:sz w:val="18"/>
                <w:szCs w:val="18"/>
              </w:rPr>
            </w:pPr>
          </w:p>
        </w:tc>
        <w:tc>
          <w:tcPr>
            <w:tcW w:w="1324" w:type="dxa"/>
            <w:gridSpan w:val="2"/>
          </w:tcPr>
          <w:p w14:paraId="674E6747" w14:textId="77777777" w:rsidR="007520C1" w:rsidRPr="00CA3D1F" w:rsidRDefault="007520C1" w:rsidP="00E049DB">
            <w:pPr>
              <w:jc w:val="right"/>
              <w:rPr>
                <w:sz w:val="18"/>
                <w:szCs w:val="18"/>
              </w:rPr>
            </w:pPr>
          </w:p>
        </w:tc>
        <w:tc>
          <w:tcPr>
            <w:tcW w:w="1287" w:type="dxa"/>
          </w:tcPr>
          <w:p w14:paraId="45DD06E7" w14:textId="77777777" w:rsidR="007520C1" w:rsidRPr="00CA3D1F" w:rsidRDefault="007520C1" w:rsidP="00E049DB">
            <w:pPr>
              <w:jc w:val="right"/>
              <w:rPr>
                <w:sz w:val="18"/>
                <w:szCs w:val="18"/>
              </w:rPr>
            </w:pPr>
          </w:p>
        </w:tc>
      </w:tr>
      <w:tr w:rsidR="007520C1" w:rsidRPr="004244E0" w14:paraId="4733E12F" w14:textId="77777777" w:rsidTr="00DB02C4">
        <w:tc>
          <w:tcPr>
            <w:tcW w:w="1298" w:type="dxa"/>
            <w:shd w:val="clear" w:color="auto" w:fill="D9D9D9" w:themeFill="background1" w:themeFillShade="D9"/>
          </w:tcPr>
          <w:p w14:paraId="0A03E9E7" w14:textId="77777777" w:rsidR="007520C1" w:rsidRPr="00CA3D1F" w:rsidRDefault="007520C1" w:rsidP="00E049DB">
            <w:pPr>
              <w:rPr>
                <w:b/>
                <w:sz w:val="18"/>
                <w:szCs w:val="18"/>
              </w:rPr>
            </w:pPr>
            <w:r w:rsidRPr="00CA3D1F">
              <w:rPr>
                <w:b/>
                <w:sz w:val="18"/>
                <w:szCs w:val="18"/>
              </w:rPr>
              <w:t>Core Indicator 2</w:t>
            </w:r>
          </w:p>
        </w:tc>
        <w:tc>
          <w:tcPr>
            <w:tcW w:w="6765" w:type="dxa"/>
            <w:gridSpan w:val="5"/>
            <w:shd w:val="clear" w:color="auto" w:fill="D9D9D9" w:themeFill="background1" w:themeFillShade="D9"/>
          </w:tcPr>
          <w:p w14:paraId="5330E8AE" w14:textId="77777777" w:rsidR="007520C1" w:rsidRPr="00CA3D1F" w:rsidRDefault="007520C1" w:rsidP="00E049DB">
            <w:pPr>
              <w:rPr>
                <w:b/>
                <w:sz w:val="18"/>
                <w:szCs w:val="18"/>
              </w:rPr>
            </w:pPr>
            <w:r w:rsidRPr="00CA3D1F">
              <w:rPr>
                <w:b/>
                <w:sz w:val="18"/>
                <w:szCs w:val="18"/>
              </w:rPr>
              <w:t>Marine protected areas created or under improved management for conservation and sustainable use</w:t>
            </w:r>
          </w:p>
        </w:tc>
        <w:tc>
          <w:tcPr>
            <w:tcW w:w="2772" w:type="dxa"/>
            <w:gridSpan w:val="5"/>
            <w:shd w:val="clear" w:color="auto" w:fill="D9D9D9" w:themeFill="background1" w:themeFillShade="D9"/>
          </w:tcPr>
          <w:p w14:paraId="165B4A08" w14:textId="77777777" w:rsidR="007520C1" w:rsidRPr="00CA3D1F" w:rsidRDefault="007520C1" w:rsidP="00E049DB">
            <w:pPr>
              <w:jc w:val="right"/>
              <w:rPr>
                <w:b/>
                <w:sz w:val="18"/>
                <w:szCs w:val="18"/>
              </w:rPr>
            </w:pPr>
            <w:r w:rsidRPr="00CA3D1F">
              <w:rPr>
                <w:b/>
                <w:i/>
                <w:color w:val="000000"/>
                <w:sz w:val="18"/>
                <w:szCs w:val="18"/>
              </w:rPr>
              <w:fldChar w:fldCharType="begin">
                <w:ffData>
                  <w:name w:val="F_GEB_BD_target"/>
                  <w:enabled/>
                  <w:calcOnExit w:val="0"/>
                  <w:textInput>
                    <w:default w:val="(Hectares)"/>
                  </w:textInput>
                </w:ffData>
              </w:fldChar>
            </w:r>
            <w:r w:rsidRPr="00CA3D1F">
              <w:rPr>
                <w:b/>
                <w:i/>
                <w:color w:val="000000"/>
                <w:sz w:val="18"/>
                <w:szCs w:val="18"/>
              </w:rPr>
              <w:instrText xml:space="preserve"> FORMTEXT </w:instrText>
            </w:r>
            <w:r w:rsidRPr="00CA3D1F">
              <w:rPr>
                <w:b/>
                <w:i/>
                <w:color w:val="000000"/>
                <w:sz w:val="18"/>
                <w:szCs w:val="18"/>
              </w:rPr>
            </w:r>
            <w:r w:rsidRPr="00CA3D1F">
              <w:rPr>
                <w:b/>
                <w:i/>
                <w:color w:val="000000"/>
                <w:sz w:val="18"/>
                <w:szCs w:val="18"/>
              </w:rPr>
              <w:fldChar w:fldCharType="separate"/>
            </w:r>
            <w:r w:rsidRPr="00CA3D1F">
              <w:rPr>
                <w:b/>
                <w:i/>
                <w:color w:val="000000"/>
                <w:sz w:val="18"/>
                <w:szCs w:val="18"/>
              </w:rPr>
              <w:t>(Hectares)</w:t>
            </w:r>
            <w:r w:rsidRPr="00CA3D1F">
              <w:rPr>
                <w:b/>
                <w:i/>
                <w:color w:val="000000"/>
                <w:sz w:val="18"/>
                <w:szCs w:val="18"/>
              </w:rPr>
              <w:fldChar w:fldCharType="end"/>
            </w:r>
          </w:p>
        </w:tc>
      </w:tr>
      <w:tr w:rsidR="007520C1" w:rsidRPr="004244E0" w14:paraId="1670CBEC" w14:textId="77777777" w:rsidTr="00DB02C4">
        <w:tc>
          <w:tcPr>
            <w:tcW w:w="1298" w:type="dxa"/>
            <w:shd w:val="clear" w:color="auto" w:fill="auto"/>
          </w:tcPr>
          <w:p w14:paraId="2C529E78" w14:textId="77777777" w:rsidR="007520C1" w:rsidRPr="00CA3D1F" w:rsidRDefault="007520C1" w:rsidP="00E049DB">
            <w:pPr>
              <w:rPr>
                <w:sz w:val="18"/>
                <w:szCs w:val="18"/>
              </w:rPr>
            </w:pPr>
          </w:p>
        </w:tc>
        <w:tc>
          <w:tcPr>
            <w:tcW w:w="2659" w:type="dxa"/>
            <w:gridSpan w:val="2"/>
            <w:shd w:val="clear" w:color="auto" w:fill="auto"/>
          </w:tcPr>
          <w:p w14:paraId="789625A0" w14:textId="77777777" w:rsidR="007520C1" w:rsidRPr="00CA3D1F" w:rsidRDefault="007520C1" w:rsidP="00E049DB">
            <w:pPr>
              <w:rPr>
                <w:sz w:val="18"/>
                <w:szCs w:val="18"/>
              </w:rPr>
            </w:pPr>
          </w:p>
        </w:tc>
        <w:tc>
          <w:tcPr>
            <w:tcW w:w="6878" w:type="dxa"/>
            <w:gridSpan w:val="8"/>
            <w:shd w:val="clear" w:color="auto" w:fill="F2F2F2" w:themeFill="background1" w:themeFillShade="F2"/>
          </w:tcPr>
          <w:p w14:paraId="332E68A2" w14:textId="77777777" w:rsidR="007520C1" w:rsidRPr="00CA3D1F" w:rsidRDefault="007520C1" w:rsidP="00E049DB">
            <w:pPr>
              <w:jc w:val="center"/>
              <w:rPr>
                <w:color w:val="000000"/>
                <w:sz w:val="18"/>
                <w:szCs w:val="18"/>
              </w:rPr>
            </w:pPr>
            <w:r w:rsidRPr="00CA3D1F">
              <w:rPr>
                <w:color w:val="000000"/>
                <w:sz w:val="18"/>
                <w:szCs w:val="18"/>
              </w:rPr>
              <w:t>Hectares (2.1+2.2)</w:t>
            </w:r>
          </w:p>
        </w:tc>
      </w:tr>
      <w:tr w:rsidR="007520C1" w:rsidRPr="004244E0" w14:paraId="10D6E7F8" w14:textId="77777777" w:rsidTr="00DB02C4">
        <w:tc>
          <w:tcPr>
            <w:tcW w:w="1298" w:type="dxa"/>
            <w:shd w:val="clear" w:color="auto" w:fill="auto"/>
          </w:tcPr>
          <w:p w14:paraId="004BD1A3" w14:textId="77777777" w:rsidR="007520C1" w:rsidRPr="00CA3D1F" w:rsidRDefault="007520C1" w:rsidP="00E049DB">
            <w:pPr>
              <w:rPr>
                <w:sz w:val="18"/>
                <w:szCs w:val="18"/>
              </w:rPr>
            </w:pPr>
          </w:p>
        </w:tc>
        <w:tc>
          <w:tcPr>
            <w:tcW w:w="2659" w:type="dxa"/>
            <w:gridSpan w:val="2"/>
            <w:shd w:val="clear" w:color="auto" w:fill="auto"/>
          </w:tcPr>
          <w:p w14:paraId="77B616D4" w14:textId="77777777" w:rsidR="007520C1" w:rsidRPr="00CA3D1F" w:rsidRDefault="007520C1" w:rsidP="00E049DB">
            <w:pPr>
              <w:rPr>
                <w:sz w:val="18"/>
                <w:szCs w:val="18"/>
              </w:rPr>
            </w:pPr>
          </w:p>
        </w:tc>
        <w:tc>
          <w:tcPr>
            <w:tcW w:w="4106" w:type="dxa"/>
            <w:gridSpan w:val="3"/>
            <w:shd w:val="clear" w:color="auto" w:fill="F2F2F2" w:themeFill="background1" w:themeFillShade="F2"/>
          </w:tcPr>
          <w:p w14:paraId="1F96C133" w14:textId="77777777" w:rsidR="007520C1" w:rsidRPr="00CA3D1F" w:rsidRDefault="007520C1" w:rsidP="00E049DB">
            <w:pPr>
              <w:jc w:val="center"/>
              <w:rPr>
                <w:sz w:val="18"/>
                <w:szCs w:val="18"/>
              </w:rPr>
            </w:pPr>
            <w:r w:rsidRPr="00CA3D1F">
              <w:rPr>
                <w:color w:val="000000"/>
                <w:sz w:val="18"/>
                <w:szCs w:val="18"/>
              </w:rPr>
              <w:t>Expected</w:t>
            </w:r>
          </w:p>
        </w:tc>
        <w:tc>
          <w:tcPr>
            <w:tcW w:w="2772" w:type="dxa"/>
            <w:gridSpan w:val="5"/>
            <w:shd w:val="clear" w:color="auto" w:fill="F2F2F2" w:themeFill="background1" w:themeFillShade="F2"/>
          </w:tcPr>
          <w:p w14:paraId="757E7EE4" w14:textId="77777777" w:rsidR="007520C1" w:rsidRPr="00CA3D1F" w:rsidRDefault="007520C1" w:rsidP="00E049DB">
            <w:pPr>
              <w:jc w:val="center"/>
              <w:rPr>
                <w:color w:val="000000"/>
                <w:sz w:val="18"/>
                <w:szCs w:val="18"/>
              </w:rPr>
            </w:pPr>
            <w:r w:rsidRPr="00CA3D1F">
              <w:rPr>
                <w:color w:val="000000"/>
                <w:sz w:val="18"/>
                <w:szCs w:val="18"/>
              </w:rPr>
              <w:t>Achieved</w:t>
            </w:r>
          </w:p>
        </w:tc>
      </w:tr>
      <w:tr w:rsidR="007520C1" w:rsidRPr="004244E0" w14:paraId="57B42FD3" w14:textId="77777777" w:rsidTr="00DB02C4">
        <w:tc>
          <w:tcPr>
            <w:tcW w:w="1298" w:type="dxa"/>
            <w:shd w:val="clear" w:color="auto" w:fill="auto"/>
          </w:tcPr>
          <w:p w14:paraId="1F8DC161" w14:textId="77777777" w:rsidR="007520C1" w:rsidRPr="00CA3D1F" w:rsidRDefault="007520C1" w:rsidP="00E049DB">
            <w:pPr>
              <w:rPr>
                <w:sz w:val="18"/>
                <w:szCs w:val="18"/>
              </w:rPr>
            </w:pPr>
          </w:p>
        </w:tc>
        <w:tc>
          <w:tcPr>
            <w:tcW w:w="2659" w:type="dxa"/>
            <w:gridSpan w:val="2"/>
            <w:shd w:val="clear" w:color="auto" w:fill="auto"/>
          </w:tcPr>
          <w:p w14:paraId="1C406721" w14:textId="77777777" w:rsidR="007520C1" w:rsidRPr="00CA3D1F" w:rsidRDefault="007520C1" w:rsidP="00E049DB">
            <w:pPr>
              <w:rPr>
                <w:sz w:val="18"/>
                <w:szCs w:val="18"/>
              </w:rPr>
            </w:pPr>
          </w:p>
        </w:tc>
        <w:tc>
          <w:tcPr>
            <w:tcW w:w="2782" w:type="dxa"/>
            <w:gridSpan w:val="2"/>
            <w:shd w:val="clear" w:color="auto" w:fill="F2F2F2" w:themeFill="background1" w:themeFillShade="F2"/>
          </w:tcPr>
          <w:p w14:paraId="6DC11C00" w14:textId="77777777" w:rsidR="007520C1" w:rsidRPr="00CA3D1F" w:rsidRDefault="007520C1" w:rsidP="00E049DB">
            <w:pPr>
              <w:jc w:val="center"/>
              <w:rPr>
                <w:sz w:val="18"/>
                <w:szCs w:val="18"/>
              </w:rPr>
            </w:pPr>
            <w:r w:rsidRPr="00CA3D1F">
              <w:rPr>
                <w:sz w:val="18"/>
                <w:szCs w:val="18"/>
              </w:rPr>
              <w:t>PIF stage</w:t>
            </w:r>
          </w:p>
        </w:tc>
        <w:tc>
          <w:tcPr>
            <w:tcW w:w="1485" w:type="dxa"/>
            <w:gridSpan w:val="3"/>
            <w:shd w:val="clear" w:color="auto" w:fill="F2F2F2" w:themeFill="background1" w:themeFillShade="F2"/>
          </w:tcPr>
          <w:p w14:paraId="245C22FD" w14:textId="77777777" w:rsidR="007520C1" w:rsidRPr="00CA3D1F" w:rsidRDefault="007520C1" w:rsidP="00E049DB">
            <w:pPr>
              <w:jc w:val="center"/>
              <w:rPr>
                <w:sz w:val="18"/>
                <w:szCs w:val="18"/>
              </w:rPr>
            </w:pPr>
            <w:r w:rsidRPr="00CA3D1F">
              <w:rPr>
                <w:sz w:val="18"/>
                <w:szCs w:val="18"/>
              </w:rPr>
              <w:t xml:space="preserve">Endorsement </w:t>
            </w:r>
          </w:p>
        </w:tc>
        <w:tc>
          <w:tcPr>
            <w:tcW w:w="1324" w:type="dxa"/>
            <w:gridSpan w:val="2"/>
            <w:shd w:val="clear" w:color="auto" w:fill="F2F2F2" w:themeFill="background1" w:themeFillShade="F2"/>
          </w:tcPr>
          <w:p w14:paraId="7DB70877" w14:textId="77777777" w:rsidR="007520C1" w:rsidRPr="00CA3D1F" w:rsidRDefault="007520C1" w:rsidP="00E049DB">
            <w:pPr>
              <w:jc w:val="center"/>
              <w:rPr>
                <w:sz w:val="18"/>
                <w:szCs w:val="18"/>
              </w:rPr>
            </w:pPr>
            <w:r w:rsidRPr="00CA3D1F">
              <w:rPr>
                <w:sz w:val="18"/>
                <w:szCs w:val="18"/>
              </w:rPr>
              <w:t>MTR</w:t>
            </w:r>
          </w:p>
        </w:tc>
        <w:tc>
          <w:tcPr>
            <w:tcW w:w="1287" w:type="dxa"/>
            <w:shd w:val="clear" w:color="auto" w:fill="F2F2F2" w:themeFill="background1" w:themeFillShade="F2"/>
          </w:tcPr>
          <w:p w14:paraId="71CCC526" w14:textId="77777777" w:rsidR="007520C1" w:rsidRPr="00CA3D1F" w:rsidRDefault="007520C1" w:rsidP="00E049DB">
            <w:pPr>
              <w:jc w:val="center"/>
              <w:rPr>
                <w:i/>
                <w:color w:val="000000"/>
                <w:sz w:val="18"/>
                <w:szCs w:val="18"/>
              </w:rPr>
            </w:pPr>
            <w:r w:rsidRPr="00CA3D1F">
              <w:rPr>
                <w:i/>
                <w:color w:val="000000"/>
                <w:sz w:val="18"/>
                <w:szCs w:val="18"/>
              </w:rPr>
              <w:t>TE</w:t>
            </w:r>
          </w:p>
        </w:tc>
      </w:tr>
      <w:tr w:rsidR="007520C1" w:rsidRPr="004244E0" w14:paraId="6ACF1E68" w14:textId="77777777" w:rsidTr="00DB02C4">
        <w:tc>
          <w:tcPr>
            <w:tcW w:w="1298" w:type="dxa"/>
            <w:shd w:val="clear" w:color="auto" w:fill="auto"/>
          </w:tcPr>
          <w:p w14:paraId="369B9695" w14:textId="77777777" w:rsidR="007520C1" w:rsidRPr="00CA3D1F" w:rsidRDefault="007520C1" w:rsidP="00E049DB">
            <w:pPr>
              <w:rPr>
                <w:sz w:val="18"/>
                <w:szCs w:val="18"/>
              </w:rPr>
            </w:pPr>
          </w:p>
        </w:tc>
        <w:tc>
          <w:tcPr>
            <w:tcW w:w="2659" w:type="dxa"/>
            <w:gridSpan w:val="2"/>
            <w:shd w:val="clear" w:color="auto" w:fill="auto"/>
          </w:tcPr>
          <w:p w14:paraId="09EC9F4F" w14:textId="77777777" w:rsidR="007520C1" w:rsidRPr="00CA3D1F" w:rsidRDefault="007520C1" w:rsidP="00E049DB">
            <w:pPr>
              <w:rPr>
                <w:sz w:val="18"/>
                <w:szCs w:val="18"/>
              </w:rPr>
            </w:pPr>
          </w:p>
        </w:tc>
        <w:tc>
          <w:tcPr>
            <w:tcW w:w="2782" w:type="dxa"/>
            <w:gridSpan w:val="2"/>
            <w:shd w:val="clear" w:color="auto" w:fill="F2F2F2" w:themeFill="background1" w:themeFillShade="F2"/>
          </w:tcPr>
          <w:p w14:paraId="55A8509F" w14:textId="77777777" w:rsidR="007520C1" w:rsidRPr="00CA3D1F" w:rsidRDefault="007520C1" w:rsidP="00E049DB">
            <w:pPr>
              <w:jc w:val="right"/>
              <w:rPr>
                <w:sz w:val="18"/>
                <w:szCs w:val="18"/>
              </w:rPr>
            </w:pPr>
            <w:r w:rsidRPr="00CA3D1F">
              <w:rPr>
                <w:i/>
                <w:color w:val="000000"/>
                <w:sz w:val="18"/>
                <w:szCs w:val="18"/>
              </w:rPr>
              <w:fldChar w:fldCharType="begin">
                <w:ffData>
                  <w:name w:val="F_GEB_BD_target"/>
                  <w:enabled/>
                  <w:calcOnExit w:val="0"/>
                  <w:textInput/>
                </w:ffData>
              </w:fldChar>
            </w:r>
            <w:r w:rsidRPr="00CA3D1F">
              <w:rPr>
                <w:i/>
                <w:color w:val="000000"/>
                <w:sz w:val="18"/>
                <w:szCs w:val="18"/>
              </w:rPr>
              <w:instrText xml:space="preserve"> FORMTEXT </w:instrText>
            </w:r>
            <w:r w:rsidRPr="00CA3D1F">
              <w:rPr>
                <w:i/>
                <w:color w:val="000000"/>
                <w:sz w:val="18"/>
                <w:szCs w:val="18"/>
              </w:rPr>
            </w:r>
            <w:r w:rsidRPr="00CA3D1F">
              <w:rPr>
                <w:i/>
                <w:color w:val="000000"/>
                <w:sz w:val="18"/>
                <w:szCs w:val="18"/>
              </w:rPr>
              <w:fldChar w:fldCharType="separate"/>
            </w:r>
            <w:r w:rsidRPr="00CA3D1F">
              <w:rPr>
                <w:i/>
                <w:color w:val="000000"/>
                <w:sz w:val="18"/>
                <w:szCs w:val="18"/>
              </w:rPr>
              <w:t> </w:t>
            </w:r>
            <w:r w:rsidRPr="00CA3D1F">
              <w:rPr>
                <w:i/>
                <w:color w:val="000000"/>
                <w:sz w:val="18"/>
                <w:szCs w:val="18"/>
              </w:rPr>
              <w:t> </w:t>
            </w:r>
            <w:r w:rsidRPr="00CA3D1F">
              <w:rPr>
                <w:i/>
                <w:color w:val="000000"/>
                <w:sz w:val="18"/>
                <w:szCs w:val="18"/>
              </w:rPr>
              <w:t> </w:t>
            </w:r>
            <w:r w:rsidRPr="00CA3D1F">
              <w:rPr>
                <w:i/>
                <w:color w:val="000000"/>
                <w:sz w:val="18"/>
                <w:szCs w:val="18"/>
              </w:rPr>
              <w:t> </w:t>
            </w:r>
            <w:r w:rsidRPr="00CA3D1F">
              <w:rPr>
                <w:i/>
                <w:color w:val="000000"/>
                <w:sz w:val="18"/>
                <w:szCs w:val="18"/>
              </w:rPr>
              <w:t> </w:t>
            </w:r>
            <w:r w:rsidRPr="00CA3D1F">
              <w:rPr>
                <w:i/>
                <w:color w:val="000000"/>
                <w:sz w:val="18"/>
                <w:szCs w:val="18"/>
              </w:rPr>
              <w:fldChar w:fldCharType="end"/>
            </w:r>
          </w:p>
        </w:tc>
        <w:tc>
          <w:tcPr>
            <w:tcW w:w="1485" w:type="dxa"/>
            <w:gridSpan w:val="3"/>
            <w:shd w:val="clear" w:color="auto" w:fill="F2F2F2" w:themeFill="background1" w:themeFillShade="F2"/>
          </w:tcPr>
          <w:p w14:paraId="3529C312" w14:textId="77777777" w:rsidR="007520C1" w:rsidRPr="00CA3D1F" w:rsidRDefault="007520C1" w:rsidP="00E049DB">
            <w:pPr>
              <w:jc w:val="right"/>
              <w:rPr>
                <w:sz w:val="18"/>
                <w:szCs w:val="18"/>
              </w:rPr>
            </w:pPr>
            <w:r w:rsidRPr="00CA3D1F">
              <w:rPr>
                <w:i/>
                <w:color w:val="000000"/>
                <w:sz w:val="18"/>
                <w:szCs w:val="18"/>
              </w:rPr>
              <w:fldChar w:fldCharType="begin">
                <w:ffData>
                  <w:name w:val="F_GEB_BD_target"/>
                  <w:enabled/>
                  <w:calcOnExit w:val="0"/>
                  <w:textInput/>
                </w:ffData>
              </w:fldChar>
            </w:r>
            <w:r w:rsidRPr="00CA3D1F">
              <w:rPr>
                <w:i/>
                <w:color w:val="000000"/>
                <w:sz w:val="18"/>
                <w:szCs w:val="18"/>
              </w:rPr>
              <w:instrText xml:space="preserve"> FORMTEXT </w:instrText>
            </w:r>
            <w:r w:rsidRPr="00CA3D1F">
              <w:rPr>
                <w:i/>
                <w:color w:val="000000"/>
                <w:sz w:val="18"/>
                <w:szCs w:val="18"/>
              </w:rPr>
            </w:r>
            <w:r w:rsidRPr="00CA3D1F">
              <w:rPr>
                <w:i/>
                <w:color w:val="000000"/>
                <w:sz w:val="18"/>
                <w:szCs w:val="18"/>
              </w:rPr>
              <w:fldChar w:fldCharType="separate"/>
            </w:r>
            <w:r w:rsidRPr="00CA3D1F">
              <w:rPr>
                <w:i/>
                <w:color w:val="000000"/>
                <w:sz w:val="18"/>
                <w:szCs w:val="18"/>
              </w:rPr>
              <w:t> </w:t>
            </w:r>
            <w:r w:rsidRPr="00CA3D1F">
              <w:rPr>
                <w:i/>
                <w:color w:val="000000"/>
                <w:sz w:val="18"/>
                <w:szCs w:val="18"/>
              </w:rPr>
              <w:t> </w:t>
            </w:r>
            <w:r w:rsidRPr="00CA3D1F">
              <w:rPr>
                <w:i/>
                <w:color w:val="000000"/>
                <w:sz w:val="18"/>
                <w:szCs w:val="18"/>
              </w:rPr>
              <w:t> </w:t>
            </w:r>
            <w:r w:rsidRPr="00CA3D1F">
              <w:rPr>
                <w:i/>
                <w:color w:val="000000"/>
                <w:sz w:val="18"/>
                <w:szCs w:val="18"/>
              </w:rPr>
              <w:t> </w:t>
            </w:r>
            <w:r w:rsidRPr="00CA3D1F">
              <w:rPr>
                <w:i/>
                <w:color w:val="000000"/>
                <w:sz w:val="18"/>
                <w:szCs w:val="18"/>
              </w:rPr>
              <w:t> </w:t>
            </w:r>
            <w:r w:rsidRPr="00CA3D1F">
              <w:rPr>
                <w:i/>
                <w:color w:val="000000"/>
                <w:sz w:val="18"/>
                <w:szCs w:val="18"/>
              </w:rPr>
              <w:fldChar w:fldCharType="end"/>
            </w:r>
          </w:p>
        </w:tc>
        <w:tc>
          <w:tcPr>
            <w:tcW w:w="1324" w:type="dxa"/>
            <w:gridSpan w:val="2"/>
            <w:shd w:val="clear" w:color="auto" w:fill="F2F2F2" w:themeFill="background1" w:themeFillShade="F2"/>
          </w:tcPr>
          <w:p w14:paraId="1E2D652E" w14:textId="77777777" w:rsidR="007520C1" w:rsidRPr="00CA3D1F" w:rsidRDefault="007520C1" w:rsidP="00E049DB">
            <w:pPr>
              <w:jc w:val="right"/>
              <w:rPr>
                <w:sz w:val="18"/>
                <w:szCs w:val="18"/>
              </w:rPr>
            </w:pPr>
            <w:r w:rsidRPr="00CA3D1F">
              <w:rPr>
                <w:i/>
                <w:color w:val="000000"/>
                <w:sz w:val="18"/>
                <w:szCs w:val="18"/>
              </w:rPr>
              <w:fldChar w:fldCharType="begin">
                <w:ffData>
                  <w:name w:val="F_GEB_BD_target"/>
                  <w:enabled/>
                  <w:calcOnExit w:val="0"/>
                  <w:textInput/>
                </w:ffData>
              </w:fldChar>
            </w:r>
            <w:r w:rsidRPr="00CA3D1F">
              <w:rPr>
                <w:i/>
                <w:color w:val="000000"/>
                <w:sz w:val="18"/>
                <w:szCs w:val="18"/>
              </w:rPr>
              <w:instrText xml:space="preserve"> FORMTEXT </w:instrText>
            </w:r>
            <w:r w:rsidRPr="00CA3D1F">
              <w:rPr>
                <w:i/>
                <w:color w:val="000000"/>
                <w:sz w:val="18"/>
                <w:szCs w:val="18"/>
              </w:rPr>
            </w:r>
            <w:r w:rsidRPr="00CA3D1F">
              <w:rPr>
                <w:i/>
                <w:color w:val="000000"/>
                <w:sz w:val="18"/>
                <w:szCs w:val="18"/>
              </w:rPr>
              <w:fldChar w:fldCharType="separate"/>
            </w:r>
            <w:r w:rsidRPr="00CA3D1F">
              <w:rPr>
                <w:i/>
                <w:color w:val="000000"/>
                <w:sz w:val="18"/>
                <w:szCs w:val="18"/>
              </w:rPr>
              <w:t> </w:t>
            </w:r>
            <w:r w:rsidRPr="00CA3D1F">
              <w:rPr>
                <w:i/>
                <w:color w:val="000000"/>
                <w:sz w:val="18"/>
                <w:szCs w:val="18"/>
              </w:rPr>
              <w:t> </w:t>
            </w:r>
            <w:r w:rsidRPr="00CA3D1F">
              <w:rPr>
                <w:i/>
                <w:color w:val="000000"/>
                <w:sz w:val="18"/>
                <w:szCs w:val="18"/>
              </w:rPr>
              <w:t> </w:t>
            </w:r>
            <w:r w:rsidRPr="00CA3D1F">
              <w:rPr>
                <w:i/>
                <w:color w:val="000000"/>
                <w:sz w:val="18"/>
                <w:szCs w:val="18"/>
              </w:rPr>
              <w:t> </w:t>
            </w:r>
            <w:r w:rsidRPr="00CA3D1F">
              <w:rPr>
                <w:i/>
                <w:color w:val="000000"/>
                <w:sz w:val="18"/>
                <w:szCs w:val="18"/>
              </w:rPr>
              <w:t> </w:t>
            </w:r>
            <w:r w:rsidRPr="00CA3D1F">
              <w:rPr>
                <w:i/>
                <w:color w:val="000000"/>
                <w:sz w:val="18"/>
                <w:szCs w:val="18"/>
              </w:rPr>
              <w:fldChar w:fldCharType="end"/>
            </w:r>
          </w:p>
        </w:tc>
        <w:tc>
          <w:tcPr>
            <w:tcW w:w="1287" w:type="dxa"/>
            <w:shd w:val="clear" w:color="auto" w:fill="F2F2F2" w:themeFill="background1" w:themeFillShade="F2"/>
          </w:tcPr>
          <w:p w14:paraId="4E8F4ECE" w14:textId="77777777" w:rsidR="007520C1" w:rsidRPr="00CA3D1F" w:rsidRDefault="007520C1" w:rsidP="00E049DB">
            <w:pPr>
              <w:jc w:val="right"/>
              <w:rPr>
                <w:i/>
                <w:color w:val="000000"/>
                <w:sz w:val="18"/>
                <w:szCs w:val="18"/>
              </w:rPr>
            </w:pPr>
            <w:r w:rsidRPr="00CA3D1F">
              <w:rPr>
                <w:i/>
                <w:color w:val="000000"/>
                <w:sz w:val="18"/>
                <w:szCs w:val="18"/>
              </w:rPr>
              <w:fldChar w:fldCharType="begin">
                <w:ffData>
                  <w:name w:val="F_GEB_BD_target"/>
                  <w:enabled/>
                  <w:calcOnExit w:val="0"/>
                  <w:textInput/>
                </w:ffData>
              </w:fldChar>
            </w:r>
            <w:r w:rsidRPr="00CA3D1F">
              <w:rPr>
                <w:i/>
                <w:color w:val="000000"/>
                <w:sz w:val="18"/>
                <w:szCs w:val="18"/>
              </w:rPr>
              <w:instrText xml:space="preserve"> FORMTEXT </w:instrText>
            </w:r>
            <w:r w:rsidRPr="00CA3D1F">
              <w:rPr>
                <w:i/>
                <w:color w:val="000000"/>
                <w:sz w:val="18"/>
                <w:szCs w:val="18"/>
              </w:rPr>
            </w:r>
            <w:r w:rsidRPr="00CA3D1F">
              <w:rPr>
                <w:i/>
                <w:color w:val="000000"/>
                <w:sz w:val="18"/>
                <w:szCs w:val="18"/>
              </w:rPr>
              <w:fldChar w:fldCharType="separate"/>
            </w:r>
            <w:r w:rsidRPr="00CA3D1F">
              <w:rPr>
                <w:i/>
                <w:color w:val="000000"/>
                <w:sz w:val="18"/>
                <w:szCs w:val="18"/>
              </w:rPr>
              <w:t> </w:t>
            </w:r>
            <w:r w:rsidRPr="00CA3D1F">
              <w:rPr>
                <w:i/>
                <w:color w:val="000000"/>
                <w:sz w:val="18"/>
                <w:szCs w:val="18"/>
              </w:rPr>
              <w:t> </w:t>
            </w:r>
            <w:r w:rsidRPr="00CA3D1F">
              <w:rPr>
                <w:i/>
                <w:color w:val="000000"/>
                <w:sz w:val="18"/>
                <w:szCs w:val="18"/>
              </w:rPr>
              <w:t> </w:t>
            </w:r>
            <w:r w:rsidRPr="00CA3D1F">
              <w:rPr>
                <w:i/>
                <w:color w:val="000000"/>
                <w:sz w:val="18"/>
                <w:szCs w:val="18"/>
              </w:rPr>
              <w:t> </w:t>
            </w:r>
            <w:r w:rsidRPr="00CA3D1F">
              <w:rPr>
                <w:i/>
                <w:color w:val="000000"/>
                <w:sz w:val="18"/>
                <w:szCs w:val="18"/>
              </w:rPr>
              <w:t> </w:t>
            </w:r>
            <w:r w:rsidRPr="00CA3D1F">
              <w:rPr>
                <w:i/>
                <w:color w:val="000000"/>
                <w:sz w:val="18"/>
                <w:szCs w:val="18"/>
              </w:rPr>
              <w:fldChar w:fldCharType="end"/>
            </w:r>
          </w:p>
        </w:tc>
      </w:tr>
      <w:tr w:rsidR="007520C1" w:rsidRPr="004244E0" w14:paraId="7657906C" w14:textId="77777777" w:rsidTr="00DB02C4">
        <w:tc>
          <w:tcPr>
            <w:tcW w:w="1298" w:type="dxa"/>
            <w:shd w:val="clear" w:color="auto" w:fill="BFBFBF" w:themeFill="background1" w:themeFillShade="BF"/>
          </w:tcPr>
          <w:p w14:paraId="26CE795D" w14:textId="77777777" w:rsidR="007520C1" w:rsidRPr="00CA3D1F" w:rsidRDefault="007520C1" w:rsidP="00E049DB">
            <w:pPr>
              <w:rPr>
                <w:sz w:val="18"/>
                <w:szCs w:val="18"/>
              </w:rPr>
            </w:pPr>
            <w:r w:rsidRPr="00CA3D1F">
              <w:rPr>
                <w:sz w:val="18"/>
                <w:szCs w:val="18"/>
              </w:rPr>
              <w:t>Indicator 2.1</w:t>
            </w:r>
          </w:p>
        </w:tc>
        <w:tc>
          <w:tcPr>
            <w:tcW w:w="6765" w:type="dxa"/>
            <w:gridSpan w:val="5"/>
            <w:shd w:val="clear" w:color="auto" w:fill="BFBFBF" w:themeFill="background1" w:themeFillShade="BF"/>
          </w:tcPr>
          <w:p w14:paraId="5A12A8BE" w14:textId="77777777" w:rsidR="007520C1" w:rsidRPr="00CA3D1F" w:rsidRDefault="007520C1" w:rsidP="00E049DB">
            <w:pPr>
              <w:rPr>
                <w:sz w:val="18"/>
                <w:szCs w:val="18"/>
              </w:rPr>
            </w:pPr>
            <w:r w:rsidRPr="00CA3D1F">
              <w:rPr>
                <w:sz w:val="18"/>
                <w:szCs w:val="18"/>
              </w:rPr>
              <w:t>Marine protected areas newly created</w:t>
            </w:r>
          </w:p>
        </w:tc>
        <w:tc>
          <w:tcPr>
            <w:tcW w:w="2772" w:type="dxa"/>
            <w:gridSpan w:val="5"/>
            <w:shd w:val="clear" w:color="auto" w:fill="BFBFBF" w:themeFill="background1" w:themeFillShade="BF"/>
          </w:tcPr>
          <w:p w14:paraId="18E07790" w14:textId="77777777" w:rsidR="007520C1" w:rsidRPr="00CA3D1F" w:rsidRDefault="007520C1" w:rsidP="00E049DB">
            <w:pPr>
              <w:jc w:val="right"/>
              <w:rPr>
                <w:sz w:val="18"/>
                <w:szCs w:val="18"/>
              </w:rPr>
            </w:pPr>
            <w:r w:rsidRPr="00CA3D1F">
              <w:rPr>
                <w:i/>
                <w:color w:val="000000"/>
                <w:sz w:val="18"/>
                <w:szCs w:val="18"/>
              </w:rPr>
              <w:fldChar w:fldCharType="begin">
                <w:ffData>
                  <w:name w:val="F_GEB_BD_target"/>
                  <w:enabled/>
                  <w:calcOnExit w:val="0"/>
                  <w:textInput/>
                </w:ffData>
              </w:fldChar>
            </w:r>
            <w:r w:rsidRPr="00CA3D1F">
              <w:rPr>
                <w:i/>
                <w:color w:val="000000"/>
                <w:sz w:val="18"/>
                <w:szCs w:val="18"/>
              </w:rPr>
              <w:instrText xml:space="preserve"> FORMTEXT </w:instrText>
            </w:r>
            <w:r w:rsidRPr="00CA3D1F">
              <w:rPr>
                <w:i/>
                <w:color w:val="000000"/>
                <w:sz w:val="18"/>
                <w:szCs w:val="18"/>
              </w:rPr>
            </w:r>
            <w:r w:rsidRPr="00CA3D1F">
              <w:rPr>
                <w:i/>
                <w:color w:val="000000"/>
                <w:sz w:val="18"/>
                <w:szCs w:val="18"/>
              </w:rPr>
              <w:fldChar w:fldCharType="separate"/>
            </w:r>
            <w:r w:rsidRPr="00CA3D1F">
              <w:rPr>
                <w:i/>
                <w:color w:val="000000"/>
                <w:sz w:val="18"/>
                <w:szCs w:val="18"/>
              </w:rPr>
              <w:t> </w:t>
            </w:r>
            <w:r w:rsidRPr="00CA3D1F">
              <w:rPr>
                <w:i/>
                <w:color w:val="000000"/>
                <w:sz w:val="18"/>
                <w:szCs w:val="18"/>
              </w:rPr>
              <w:t> </w:t>
            </w:r>
            <w:r w:rsidRPr="00CA3D1F">
              <w:rPr>
                <w:i/>
                <w:color w:val="000000"/>
                <w:sz w:val="18"/>
                <w:szCs w:val="18"/>
              </w:rPr>
              <w:t> </w:t>
            </w:r>
            <w:r w:rsidRPr="00CA3D1F">
              <w:rPr>
                <w:i/>
                <w:color w:val="000000"/>
                <w:sz w:val="18"/>
                <w:szCs w:val="18"/>
              </w:rPr>
              <w:t> </w:t>
            </w:r>
            <w:r w:rsidRPr="00CA3D1F">
              <w:rPr>
                <w:i/>
                <w:color w:val="000000"/>
                <w:sz w:val="18"/>
                <w:szCs w:val="18"/>
              </w:rPr>
              <w:t> </w:t>
            </w:r>
            <w:r w:rsidRPr="00CA3D1F">
              <w:rPr>
                <w:i/>
                <w:color w:val="000000"/>
                <w:sz w:val="18"/>
                <w:szCs w:val="18"/>
              </w:rPr>
              <w:fldChar w:fldCharType="end"/>
            </w:r>
          </w:p>
        </w:tc>
      </w:tr>
      <w:tr w:rsidR="007520C1" w:rsidRPr="004244E0" w14:paraId="586BF2FC" w14:textId="77777777" w:rsidTr="00DB02C4">
        <w:trPr>
          <w:trHeight w:val="125"/>
        </w:trPr>
        <w:tc>
          <w:tcPr>
            <w:tcW w:w="1298" w:type="dxa"/>
            <w:vMerge w:val="restart"/>
            <w:vAlign w:val="center"/>
          </w:tcPr>
          <w:p w14:paraId="184C7985" w14:textId="77777777" w:rsidR="007520C1" w:rsidRPr="00CA3D1F" w:rsidRDefault="007520C1" w:rsidP="00E049DB">
            <w:pPr>
              <w:rPr>
                <w:sz w:val="18"/>
                <w:szCs w:val="18"/>
              </w:rPr>
            </w:pPr>
            <w:r w:rsidRPr="00CA3D1F">
              <w:rPr>
                <w:sz w:val="18"/>
                <w:szCs w:val="18"/>
              </w:rPr>
              <w:t>Name of Protected Area</w:t>
            </w:r>
          </w:p>
        </w:tc>
        <w:tc>
          <w:tcPr>
            <w:tcW w:w="933" w:type="dxa"/>
            <w:vMerge w:val="restart"/>
            <w:vAlign w:val="center"/>
          </w:tcPr>
          <w:p w14:paraId="48DEA793" w14:textId="77777777" w:rsidR="007520C1" w:rsidRPr="00CA3D1F" w:rsidRDefault="007520C1" w:rsidP="00E049DB">
            <w:pPr>
              <w:rPr>
                <w:sz w:val="18"/>
                <w:szCs w:val="18"/>
              </w:rPr>
            </w:pPr>
            <w:r w:rsidRPr="00CA3D1F">
              <w:rPr>
                <w:sz w:val="18"/>
                <w:szCs w:val="18"/>
              </w:rPr>
              <w:t>WDPA ID</w:t>
            </w:r>
          </w:p>
        </w:tc>
        <w:tc>
          <w:tcPr>
            <w:tcW w:w="1726" w:type="dxa"/>
            <w:vMerge w:val="restart"/>
            <w:vAlign w:val="center"/>
          </w:tcPr>
          <w:p w14:paraId="20CF9E73" w14:textId="77777777" w:rsidR="007520C1" w:rsidRPr="00CA3D1F" w:rsidRDefault="007520C1" w:rsidP="00E049DB">
            <w:pPr>
              <w:rPr>
                <w:sz w:val="18"/>
                <w:szCs w:val="18"/>
              </w:rPr>
            </w:pPr>
            <w:r w:rsidRPr="00CA3D1F">
              <w:rPr>
                <w:sz w:val="18"/>
                <w:szCs w:val="18"/>
              </w:rPr>
              <w:t>IUCN category</w:t>
            </w:r>
          </w:p>
        </w:tc>
        <w:tc>
          <w:tcPr>
            <w:tcW w:w="6878" w:type="dxa"/>
            <w:gridSpan w:val="8"/>
          </w:tcPr>
          <w:p w14:paraId="57FE78C5" w14:textId="77777777" w:rsidR="007520C1" w:rsidRPr="00CA3D1F" w:rsidRDefault="007520C1" w:rsidP="00E049DB">
            <w:pPr>
              <w:jc w:val="center"/>
              <w:rPr>
                <w:sz w:val="18"/>
                <w:szCs w:val="18"/>
              </w:rPr>
            </w:pPr>
            <w:r w:rsidRPr="00CA3D1F">
              <w:rPr>
                <w:sz w:val="18"/>
                <w:szCs w:val="18"/>
              </w:rPr>
              <w:t>Hectares</w:t>
            </w:r>
          </w:p>
        </w:tc>
      </w:tr>
      <w:tr w:rsidR="007520C1" w:rsidRPr="004244E0" w14:paraId="12A2684B" w14:textId="77777777" w:rsidTr="00DB02C4">
        <w:trPr>
          <w:trHeight w:val="58"/>
        </w:trPr>
        <w:tc>
          <w:tcPr>
            <w:tcW w:w="1298" w:type="dxa"/>
            <w:vMerge/>
          </w:tcPr>
          <w:p w14:paraId="40558A15" w14:textId="77777777" w:rsidR="007520C1" w:rsidRPr="00CA3D1F" w:rsidRDefault="007520C1" w:rsidP="00E049DB">
            <w:pPr>
              <w:rPr>
                <w:sz w:val="18"/>
                <w:szCs w:val="18"/>
              </w:rPr>
            </w:pPr>
          </w:p>
        </w:tc>
        <w:tc>
          <w:tcPr>
            <w:tcW w:w="933" w:type="dxa"/>
            <w:vMerge/>
          </w:tcPr>
          <w:p w14:paraId="2C9F2DFC" w14:textId="77777777" w:rsidR="007520C1" w:rsidRPr="00CA3D1F" w:rsidRDefault="007520C1" w:rsidP="00E049DB">
            <w:pPr>
              <w:rPr>
                <w:sz w:val="18"/>
                <w:szCs w:val="18"/>
              </w:rPr>
            </w:pPr>
          </w:p>
        </w:tc>
        <w:tc>
          <w:tcPr>
            <w:tcW w:w="1726" w:type="dxa"/>
            <w:vMerge/>
          </w:tcPr>
          <w:p w14:paraId="71B3D4AA" w14:textId="77777777" w:rsidR="007520C1" w:rsidRPr="00CA3D1F" w:rsidRDefault="007520C1" w:rsidP="00E049DB">
            <w:pPr>
              <w:rPr>
                <w:sz w:val="18"/>
                <w:szCs w:val="18"/>
              </w:rPr>
            </w:pPr>
          </w:p>
        </w:tc>
        <w:tc>
          <w:tcPr>
            <w:tcW w:w="4106" w:type="dxa"/>
            <w:gridSpan w:val="3"/>
          </w:tcPr>
          <w:p w14:paraId="1AF27FD6" w14:textId="77777777" w:rsidR="007520C1" w:rsidRPr="00CA3D1F" w:rsidRDefault="007520C1" w:rsidP="00E049DB">
            <w:pPr>
              <w:jc w:val="center"/>
              <w:rPr>
                <w:sz w:val="18"/>
                <w:szCs w:val="18"/>
              </w:rPr>
            </w:pPr>
            <w:r w:rsidRPr="00CA3D1F">
              <w:rPr>
                <w:sz w:val="18"/>
                <w:szCs w:val="18"/>
              </w:rPr>
              <w:t>Expected</w:t>
            </w:r>
          </w:p>
        </w:tc>
        <w:tc>
          <w:tcPr>
            <w:tcW w:w="2772" w:type="dxa"/>
            <w:gridSpan w:val="5"/>
          </w:tcPr>
          <w:p w14:paraId="641EF4CE" w14:textId="77777777" w:rsidR="007520C1" w:rsidRPr="00CA3D1F" w:rsidRDefault="007520C1" w:rsidP="00E049DB">
            <w:pPr>
              <w:jc w:val="center"/>
              <w:rPr>
                <w:sz w:val="18"/>
                <w:szCs w:val="18"/>
              </w:rPr>
            </w:pPr>
            <w:r w:rsidRPr="00CA3D1F">
              <w:rPr>
                <w:sz w:val="18"/>
                <w:szCs w:val="18"/>
              </w:rPr>
              <w:t>Achieved</w:t>
            </w:r>
          </w:p>
        </w:tc>
      </w:tr>
      <w:tr w:rsidR="007520C1" w:rsidRPr="004244E0" w14:paraId="0FBD27F7" w14:textId="77777777" w:rsidTr="00DB02C4">
        <w:trPr>
          <w:trHeight w:val="71"/>
        </w:trPr>
        <w:tc>
          <w:tcPr>
            <w:tcW w:w="1298" w:type="dxa"/>
            <w:vMerge/>
          </w:tcPr>
          <w:p w14:paraId="7B87B678" w14:textId="77777777" w:rsidR="007520C1" w:rsidRPr="00CA3D1F" w:rsidRDefault="007520C1" w:rsidP="00E049DB">
            <w:pPr>
              <w:rPr>
                <w:sz w:val="18"/>
                <w:szCs w:val="18"/>
              </w:rPr>
            </w:pPr>
          </w:p>
        </w:tc>
        <w:tc>
          <w:tcPr>
            <w:tcW w:w="933" w:type="dxa"/>
            <w:vMerge/>
          </w:tcPr>
          <w:p w14:paraId="207026C3" w14:textId="77777777" w:rsidR="007520C1" w:rsidRPr="00CA3D1F" w:rsidRDefault="007520C1" w:rsidP="00E049DB">
            <w:pPr>
              <w:rPr>
                <w:sz w:val="18"/>
                <w:szCs w:val="18"/>
              </w:rPr>
            </w:pPr>
          </w:p>
        </w:tc>
        <w:tc>
          <w:tcPr>
            <w:tcW w:w="1726" w:type="dxa"/>
            <w:vMerge/>
          </w:tcPr>
          <w:p w14:paraId="098BC269" w14:textId="77777777" w:rsidR="007520C1" w:rsidRPr="00CA3D1F" w:rsidRDefault="007520C1" w:rsidP="00E049DB">
            <w:pPr>
              <w:rPr>
                <w:sz w:val="18"/>
                <w:szCs w:val="18"/>
              </w:rPr>
            </w:pPr>
          </w:p>
        </w:tc>
        <w:tc>
          <w:tcPr>
            <w:tcW w:w="2782" w:type="dxa"/>
            <w:gridSpan w:val="2"/>
          </w:tcPr>
          <w:p w14:paraId="51ADF921" w14:textId="77777777" w:rsidR="007520C1" w:rsidRPr="00CA3D1F" w:rsidRDefault="007520C1" w:rsidP="00E049DB">
            <w:pPr>
              <w:jc w:val="center"/>
              <w:rPr>
                <w:sz w:val="18"/>
                <w:szCs w:val="18"/>
              </w:rPr>
            </w:pPr>
            <w:r w:rsidRPr="00CA3D1F">
              <w:rPr>
                <w:sz w:val="18"/>
                <w:szCs w:val="18"/>
              </w:rPr>
              <w:t>PIF stage</w:t>
            </w:r>
          </w:p>
        </w:tc>
        <w:tc>
          <w:tcPr>
            <w:tcW w:w="1485" w:type="dxa"/>
            <w:gridSpan w:val="3"/>
          </w:tcPr>
          <w:p w14:paraId="1A3B4FAA" w14:textId="77777777" w:rsidR="007520C1" w:rsidRPr="00CA3D1F" w:rsidRDefault="007520C1" w:rsidP="00E049DB">
            <w:pPr>
              <w:jc w:val="center"/>
              <w:rPr>
                <w:sz w:val="18"/>
                <w:szCs w:val="18"/>
              </w:rPr>
            </w:pPr>
            <w:r w:rsidRPr="00CA3D1F">
              <w:rPr>
                <w:sz w:val="18"/>
                <w:szCs w:val="18"/>
              </w:rPr>
              <w:t>Endorsement</w:t>
            </w:r>
          </w:p>
        </w:tc>
        <w:tc>
          <w:tcPr>
            <w:tcW w:w="1324" w:type="dxa"/>
            <w:gridSpan w:val="2"/>
          </w:tcPr>
          <w:p w14:paraId="706BFD14" w14:textId="77777777" w:rsidR="007520C1" w:rsidRPr="00CA3D1F" w:rsidRDefault="007520C1" w:rsidP="00E049DB">
            <w:pPr>
              <w:jc w:val="center"/>
              <w:rPr>
                <w:sz w:val="18"/>
                <w:szCs w:val="18"/>
              </w:rPr>
            </w:pPr>
            <w:r w:rsidRPr="00CA3D1F">
              <w:rPr>
                <w:sz w:val="18"/>
                <w:szCs w:val="18"/>
              </w:rPr>
              <w:t>MTR</w:t>
            </w:r>
          </w:p>
        </w:tc>
        <w:tc>
          <w:tcPr>
            <w:tcW w:w="1287" w:type="dxa"/>
          </w:tcPr>
          <w:p w14:paraId="79D8DDAD" w14:textId="77777777" w:rsidR="007520C1" w:rsidRPr="00CA3D1F" w:rsidRDefault="007520C1" w:rsidP="00E049DB">
            <w:pPr>
              <w:jc w:val="center"/>
              <w:rPr>
                <w:sz w:val="18"/>
                <w:szCs w:val="18"/>
              </w:rPr>
            </w:pPr>
            <w:r w:rsidRPr="00CA3D1F">
              <w:rPr>
                <w:sz w:val="18"/>
                <w:szCs w:val="18"/>
              </w:rPr>
              <w:t>TE</w:t>
            </w:r>
          </w:p>
        </w:tc>
      </w:tr>
      <w:tr w:rsidR="007520C1" w:rsidRPr="004244E0" w14:paraId="44A17CE7" w14:textId="77777777" w:rsidTr="00DB02C4">
        <w:tc>
          <w:tcPr>
            <w:tcW w:w="1298" w:type="dxa"/>
          </w:tcPr>
          <w:p w14:paraId="66B2FAC8" w14:textId="77777777" w:rsidR="007520C1" w:rsidRPr="00CA3D1F" w:rsidRDefault="007520C1" w:rsidP="00E049DB">
            <w:pPr>
              <w:jc w:val="right"/>
              <w:rPr>
                <w:sz w:val="18"/>
                <w:szCs w:val="18"/>
              </w:rPr>
            </w:pPr>
            <w:r w:rsidRPr="00CA3D1F">
              <w:rPr>
                <w:i/>
                <w:color w:val="000000"/>
                <w:sz w:val="18"/>
                <w:szCs w:val="18"/>
              </w:rPr>
              <w:fldChar w:fldCharType="begin">
                <w:ffData>
                  <w:name w:val="F_GEB_BD_target"/>
                  <w:enabled/>
                  <w:calcOnExit w:val="0"/>
                  <w:textInput/>
                </w:ffData>
              </w:fldChar>
            </w:r>
            <w:r w:rsidRPr="00CA3D1F">
              <w:rPr>
                <w:i/>
                <w:color w:val="000000"/>
                <w:sz w:val="18"/>
                <w:szCs w:val="18"/>
              </w:rPr>
              <w:instrText xml:space="preserve"> FORMTEXT </w:instrText>
            </w:r>
            <w:r w:rsidRPr="00CA3D1F">
              <w:rPr>
                <w:i/>
                <w:color w:val="000000"/>
                <w:sz w:val="18"/>
                <w:szCs w:val="18"/>
              </w:rPr>
            </w:r>
            <w:r w:rsidRPr="00CA3D1F">
              <w:rPr>
                <w:i/>
                <w:color w:val="000000"/>
                <w:sz w:val="18"/>
                <w:szCs w:val="18"/>
              </w:rPr>
              <w:fldChar w:fldCharType="separate"/>
            </w:r>
            <w:r w:rsidRPr="00CA3D1F">
              <w:rPr>
                <w:i/>
                <w:color w:val="000000"/>
                <w:sz w:val="18"/>
                <w:szCs w:val="18"/>
              </w:rPr>
              <w:t> </w:t>
            </w:r>
            <w:r w:rsidRPr="00CA3D1F">
              <w:rPr>
                <w:i/>
                <w:color w:val="000000"/>
                <w:sz w:val="18"/>
                <w:szCs w:val="18"/>
              </w:rPr>
              <w:t> </w:t>
            </w:r>
            <w:r w:rsidRPr="00CA3D1F">
              <w:rPr>
                <w:i/>
                <w:color w:val="000000"/>
                <w:sz w:val="18"/>
                <w:szCs w:val="18"/>
              </w:rPr>
              <w:t> </w:t>
            </w:r>
            <w:r w:rsidRPr="00CA3D1F">
              <w:rPr>
                <w:i/>
                <w:color w:val="000000"/>
                <w:sz w:val="18"/>
                <w:szCs w:val="18"/>
              </w:rPr>
              <w:t> </w:t>
            </w:r>
            <w:r w:rsidRPr="00CA3D1F">
              <w:rPr>
                <w:i/>
                <w:color w:val="000000"/>
                <w:sz w:val="18"/>
                <w:szCs w:val="18"/>
              </w:rPr>
              <w:t> </w:t>
            </w:r>
            <w:r w:rsidRPr="00CA3D1F">
              <w:rPr>
                <w:i/>
                <w:color w:val="000000"/>
                <w:sz w:val="18"/>
                <w:szCs w:val="18"/>
              </w:rPr>
              <w:fldChar w:fldCharType="end"/>
            </w:r>
          </w:p>
        </w:tc>
        <w:tc>
          <w:tcPr>
            <w:tcW w:w="933" w:type="dxa"/>
          </w:tcPr>
          <w:p w14:paraId="7B4BB281" w14:textId="77777777" w:rsidR="007520C1" w:rsidRPr="00CA3D1F" w:rsidRDefault="007520C1" w:rsidP="00E049DB">
            <w:pPr>
              <w:jc w:val="right"/>
              <w:rPr>
                <w:sz w:val="18"/>
                <w:szCs w:val="18"/>
              </w:rPr>
            </w:pPr>
            <w:r w:rsidRPr="00CA3D1F">
              <w:rPr>
                <w:i/>
                <w:color w:val="000000"/>
                <w:sz w:val="18"/>
                <w:szCs w:val="18"/>
              </w:rPr>
              <w:fldChar w:fldCharType="begin">
                <w:ffData>
                  <w:name w:val="F_GEB_BD_target"/>
                  <w:enabled/>
                  <w:calcOnExit w:val="0"/>
                  <w:textInput/>
                </w:ffData>
              </w:fldChar>
            </w:r>
            <w:r w:rsidRPr="00CA3D1F">
              <w:rPr>
                <w:i/>
                <w:color w:val="000000"/>
                <w:sz w:val="18"/>
                <w:szCs w:val="18"/>
              </w:rPr>
              <w:instrText xml:space="preserve"> FORMTEXT </w:instrText>
            </w:r>
            <w:r w:rsidRPr="00CA3D1F">
              <w:rPr>
                <w:i/>
                <w:color w:val="000000"/>
                <w:sz w:val="18"/>
                <w:szCs w:val="18"/>
              </w:rPr>
            </w:r>
            <w:r w:rsidRPr="00CA3D1F">
              <w:rPr>
                <w:i/>
                <w:color w:val="000000"/>
                <w:sz w:val="18"/>
                <w:szCs w:val="18"/>
              </w:rPr>
              <w:fldChar w:fldCharType="separate"/>
            </w:r>
            <w:r w:rsidRPr="00CA3D1F">
              <w:rPr>
                <w:i/>
                <w:color w:val="000000"/>
                <w:sz w:val="18"/>
                <w:szCs w:val="18"/>
              </w:rPr>
              <w:t> </w:t>
            </w:r>
            <w:r w:rsidRPr="00CA3D1F">
              <w:rPr>
                <w:i/>
                <w:color w:val="000000"/>
                <w:sz w:val="18"/>
                <w:szCs w:val="18"/>
              </w:rPr>
              <w:t> </w:t>
            </w:r>
            <w:r w:rsidRPr="00CA3D1F">
              <w:rPr>
                <w:i/>
                <w:color w:val="000000"/>
                <w:sz w:val="18"/>
                <w:szCs w:val="18"/>
              </w:rPr>
              <w:t> </w:t>
            </w:r>
            <w:r w:rsidRPr="00CA3D1F">
              <w:rPr>
                <w:i/>
                <w:color w:val="000000"/>
                <w:sz w:val="18"/>
                <w:szCs w:val="18"/>
              </w:rPr>
              <w:t> </w:t>
            </w:r>
            <w:r w:rsidRPr="00CA3D1F">
              <w:rPr>
                <w:i/>
                <w:color w:val="000000"/>
                <w:sz w:val="18"/>
                <w:szCs w:val="18"/>
              </w:rPr>
              <w:t> </w:t>
            </w:r>
            <w:r w:rsidRPr="00CA3D1F">
              <w:rPr>
                <w:i/>
                <w:color w:val="000000"/>
                <w:sz w:val="18"/>
                <w:szCs w:val="18"/>
              </w:rPr>
              <w:fldChar w:fldCharType="end"/>
            </w:r>
          </w:p>
        </w:tc>
        <w:tc>
          <w:tcPr>
            <w:tcW w:w="1726" w:type="dxa"/>
          </w:tcPr>
          <w:p w14:paraId="220BF5A0" w14:textId="77777777" w:rsidR="007520C1" w:rsidRPr="00CA3D1F" w:rsidRDefault="007520C1" w:rsidP="00E049DB">
            <w:pPr>
              <w:jc w:val="right"/>
              <w:rPr>
                <w:sz w:val="18"/>
                <w:szCs w:val="18"/>
              </w:rPr>
            </w:pPr>
            <w:r w:rsidRPr="00CA3D1F">
              <w:rPr>
                <w:color w:val="000000"/>
                <w:sz w:val="18"/>
                <w:szCs w:val="18"/>
              </w:rPr>
              <w:fldChar w:fldCharType="begin">
                <w:ffData>
                  <w:name w:val=""/>
                  <w:enabled/>
                  <w:calcOnExit w:val="0"/>
                  <w:ddList>
                    <w:listEntry w:val="(select)"/>
                    <w:listEntry w:val="Ia Strict Nature Reserve"/>
                    <w:listEntry w:val="Ib Wilderness Area"/>
                    <w:listEntry w:val="II National Park"/>
                    <w:listEntry w:val="III Natural Monument or Feature"/>
                    <w:listEntry w:val="IV Habitat/Species Management Area"/>
                    <w:listEntry w:val="V Protected Landscape/Seascape"/>
                    <w:listEntry w:val="VI PA with sustainable use of natural resources"/>
                    <w:listEntry w:val="Other"/>
                  </w:ddList>
                </w:ffData>
              </w:fldChar>
            </w:r>
            <w:r w:rsidRPr="00CA3D1F">
              <w:rPr>
                <w:color w:val="000000"/>
                <w:sz w:val="18"/>
                <w:szCs w:val="18"/>
              </w:rPr>
              <w:instrText xml:space="preserve"> FORMDROPDOWN </w:instrText>
            </w:r>
            <w:r w:rsidR="000C73F8">
              <w:rPr>
                <w:color w:val="000000"/>
                <w:sz w:val="18"/>
                <w:szCs w:val="18"/>
              </w:rPr>
            </w:r>
            <w:r w:rsidR="000C73F8">
              <w:rPr>
                <w:color w:val="000000"/>
                <w:sz w:val="18"/>
                <w:szCs w:val="18"/>
              </w:rPr>
              <w:fldChar w:fldCharType="separate"/>
            </w:r>
            <w:r w:rsidRPr="00CA3D1F">
              <w:rPr>
                <w:color w:val="000000"/>
                <w:sz w:val="18"/>
                <w:szCs w:val="18"/>
              </w:rPr>
              <w:fldChar w:fldCharType="end"/>
            </w:r>
            <w:r w:rsidRPr="00CA3D1F">
              <w:rPr>
                <w:color w:val="000000"/>
                <w:sz w:val="18"/>
                <w:szCs w:val="18"/>
              </w:rPr>
              <w:t xml:space="preserve">  </w:t>
            </w:r>
          </w:p>
        </w:tc>
        <w:tc>
          <w:tcPr>
            <w:tcW w:w="2782" w:type="dxa"/>
            <w:gridSpan w:val="2"/>
          </w:tcPr>
          <w:p w14:paraId="3FDAD138" w14:textId="77777777" w:rsidR="007520C1" w:rsidRPr="00CA3D1F" w:rsidRDefault="007520C1" w:rsidP="00E049DB">
            <w:pPr>
              <w:jc w:val="right"/>
              <w:rPr>
                <w:sz w:val="18"/>
                <w:szCs w:val="18"/>
              </w:rPr>
            </w:pPr>
            <w:r w:rsidRPr="00CA3D1F">
              <w:rPr>
                <w:i/>
                <w:color w:val="000000"/>
                <w:sz w:val="18"/>
                <w:szCs w:val="18"/>
              </w:rPr>
              <w:fldChar w:fldCharType="begin">
                <w:ffData>
                  <w:name w:val="F_GEB_BD_target"/>
                  <w:enabled/>
                  <w:calcOnExit w:val="0"/>
                  <w:textInput/>
                </w:ffData>
              </w:fldChar>
            </w:r>
            <w:r w:rsidRPr="00CA3D1F">
              <w:rPr>
                <w:i/>
                <w:color w:val="000000"/>
                <w:sz w:val="18"/>
                <w:szCs w:val="18"/>
              </w:rPr>
              <w:instrText xml:space="preserve"> FORMTEXT </w:instrText>
            </w:r>
            <w:r w:rsidRPr="00CA3D1F">
              <w:rPr>
                <w:i/>
                <w:color w:val="000000"/>
                <w:sz w:val="18"/>
                <w:szCs w:val="18"/>
              </w:rPr>
            </w:r>
            <w:r w:rsidRPr="00CA3D1F">
              <w:rPr>
                <w:i/>
                <w:color w:val="000000"/>
                <w:sz w:val="18"/>
                <w:szCs w:val="18"/>
              </w:rPr>
              <w:fldChar w:fldCharType="separate"/>
            </w:r>
            <w:r w:rsidRPr="00CA3D1F">
              <w:rPr>
                <w:i/>
                <w:color w:val="000000"/>
                <w:sz w:val="18"/>
                <w:szCs w:val="18"/>
              </w:rPr>
              <w:t> </w:t>
            </w:r>
            <w:r w:rsidRPr="00CA3D1F">
              <w:rPr>
                <w:i/>
                <w:color w:val="000000"/>
                <w:sz w:val="18"/>
                <w:szCs w:val="18"/>
              </w:rPr>
              <w:t> </w:t>
            </w:r>
            <w:r w:rsidRPr="00CA3D1F">
              <w:rPr>
                <w:i/>
                <w:color w:val="000000"/>
                <w:sz w:val="18"/>
                <w:szCs w:val="18"/>
              </w:rPr>
              <w:t> </w:t>
            </w:r>
            <w:r w:rsidRPr="00CA3D1F">
              <w:rPr>
                <w:i/>
                <w:color w:val="000000"/>
                <w:sz w:val="18"/>
                <w:szCs w:val="18"/>
              </w:rPr>
              <w:t> </w:t>
            </w:r>
            <w:r w:rsidRPr="00CA3D1F">
              <w:rPr>
                <w:i/>
                <w:color w:val="000000"/>
                <w:sz w:val="18"/>
                <w:szCs w:val="18"/>
              </w:rPr>
              <w:t> </w:t>
            </w:r>
            <w:r w:rsidRPr="00CA3D1F">
              <w:rPr>
                <w:i/>
                <w:color w:val="000000"/>
                <w:sz w:val="18"/>
                <w:szCs w:val="18"/>
              </w:rPr>
              <w:fldChar w:fldCharType="end"/>
            </w:r>
          </w:p>
        </w:tc>
        <w:tc>
          <w:tcPr>
            <w:tcW w:w="1485" w:type="dxa"/>
            <w:gridSpan w:val="3"/>
          </w:tcPr>
          <w:p w14:paraId="48991FDE" w14:textId="77777777" w:rsidR="007520C1" w:rsidRPr="00CA3D1F" w:rsidRDefault="007520C1" w:rsidP="00E049DB">
            <w:pPr>
              <w:jc w:val="right"/>
              <w:rPr>
                <w:sz w:val="18"/>
                <w:szCs w:val="18"/>
              </w:rPr>
            </w:pPr>
            <w:r w:rsidRPr="00CA3D1F">
              <w:rPr>
                <w:i/>
                <w:color w:val="000000"/>
                <w:sz w:val="18"/>
                <w:szCs w:val="18"/>
              </w:rPr>
              <w:fldChar w:fldCharType="begin">
                <w:ffData>
                  <w:name w:val="F_GEB_BD_target"/>
                  <w:enabled/>
                  <w:calcOnExit w:val="0"/>
                  <w:textInput/>
                </w:ffData>
              </w:fldChar>
            </w:r>
            <w:r w:rsidRPr="00CA3D1F">
              <w:rPr>
                <w:i/>
                <w:color w:val="000000"/>
                <w:sz w:val="18"/>
                <w:szCs w:val="18"/>
              </w:rPr>
              <w:instrText xml:space="preserve"> FORMTEXT </w:instrText>
            </w:r>
            <w:r w:rsidRPr="00CA3D1F">
              <w:rPr>
                <w:i/>
                <w:color w:val="000000"/>
                <w:sz w:val="18"/>
                <w:szCs w:val="18"/>
              </w:rPr>
            </w:r>
            <w:r w:rsidRPr="00CA3D1F">
              <w:rPr>
                <w:i/>
                <w:color w:val="000000"/>
                <w:sz w:val="18"/>
                <w:szCs w:val="18"/>
              </w:rPr>
              <w:fldChar w:fldCharType="separate"/>
            </w:r>
            <w:r w:rsidRPr="00CA3D1F">
              <w:rPr>
                <w:i/>
                <w:color w:val="000000"/>
                <w:sz w:val="18"/>
                <w:szCs w:val="18"/>
              </w:rPr>
              <w:t> </w:t>
            </w:r>
            <w:r w:rsidRPr="00CA3D1F">
              <w:rPr>
                <w:i/>
                <w:color w:val="000000"/>
                <w:sz w:val="18"/>
                <w:szCs w:val="18"/>
              </w:rPr>
              <w:t> </w:t>
            </w:r>
            <w:r w:rsidRPr="00CA3D1F">
              <w:rPr>
                <w:i/>
                <w:color w:val="000000"/>
                <w:sz w:val="18"/>
                <w:szCs w:val="18"/>
              </w:rPr>
              <w:t> </w:t>
            </w:r>
            <w:r w:rsidRPr="00CA3D1F">
              <w:rPr>
                <w:i/>
                <w:color w:val="000000"/>
                <w:sz w:val="18"/>
                <w:szCs w:val="18"/>
              </w:rPr>
              <w:t> </w:t>
            </w:r>
            <w:r w:rsidRPr="00CA3D1F">
              <w:rPr>
                <w:i/>
                <w:color w:val="000000"/>
                <w:sz w:val="18"/>
                <w:szCs w:val="18"/>
              </w:rPr>
              <w:t> </w:t>
            </w:r>
            <w:r w:rsidRPr="00CA3D1F">
              <w:rPr>
                <w:i/>
                <w:color w:val="000000"/>
                <w:sz w:val="18"/>
                <w:szCs w:val="18"/>
              </w:rPr>
              <w:fldChar w:fldCharType="end"/>
            </w:r>
          </w:p>
        </w:tc>
        <w:tc>
          <w:tcPr>
            <w:tcW w:w="1324" w:type="dxa"/>
            <w:gridSpan w:val="2"/>
          </w:tcPr>
          <w:p w14:paraId="35686F46" w14:textId="77777777" w:rsidR="007520C1" w:rsidRPr="00CA3D1F" w:rsidRDefault="007520C1" w:rsidP="00E049DB">
            <w:pPr>
              <w:jc w:val="right"/>
              <w:rPr>
                <w:sz w:val="18"/>
                <w:szCs w:val="18"/>
              </w:rPr>
            </w:pPr>
            <w:r w:rsidRPr="00CA3D1F">
              <w:rPr>
                <w:i/>
                <w:color w:val="000000"/>
                <w:sz w:val="18"/>
                <w:szCs w:val="18"/>
              </w:rPr>
              <w:fldChar w:fldCharType="begin">
                <w:ffData>
                  <w:name w:val="F_GEB_BD_target"/>
                  <w:enabled/>
                  <w:calcOnExit w:val="0"/>
                  <w:textInput/>
                </w:ffData>
              </w:fldChar>
            </w:r>
            <w:r w:rsidRPr="00CA3D1F">
              <w:rPr>
                <w:i/>
                <w:color w:val="000000"/>
                <w:sz w:val="18"/>
                <w:szCs w:val="18"/>
              </w:rPr>
              <w:instrText xml:space="preserve"> FORMTEXT </w:instrText>
            </w:r>
            <w:r w:rsidRPr="00CA3D1F">
              <w:rPr>
                <w:i/>
                <w:color w:val="000000"/>
                <w:sz w:val="18"/>
                <w:szCs w:val="18"/>
              </w:rPr>
            </w:r>
            <w:r w:rsidRPr="00CA3D1F">
              <w:rPr>
                <w:i/>
                <w:color w:val="000000"/>
                <w:sz w:val="18"/>
                <w:szCs w:val="18"/>
              </w:rPr>
              <w:fldChar w:fldCharType="separate"/>
            </w:r>
            <w:r w:rsidRPr="00CA3D1F">
              <w:rPr>
                <w:i/>
                <w:color w:val="000000"/>
                <w:sz w:val="18"/>
                <w:szCs w:val="18"/>
              </w:rPr>
              <w:t> </w:t>
            </w:r>
            <w:r w:rsidRPr="00CA3D1F">
              <w:rPr>
                <w:i/>
                <w:color w:val="000000"/>
                <w:sz w:val="18"/>
                <w:szCs w:val="18"/>
              </w:rPr>
              <w:t> </w:t>
            </w:r>
            <w:r w:rsidRPr="00CA3D1F">
              <w:rPr>
                <w:i/>
                <w:color w:val="000000"/>
                <w:sz w:val="18"/>
                <w:szCs w:val="18"/>
              </w:rPr>
              <w:t> </w:t>
            </w:r>
            <w:r w:rsidRPr="00CA3D1F">
              <w:rPr>
                <w:i/>
                <w:color w:val="000000"/>
                <w:sz w:val="18"/>
                <w:szCs w:val="18"/>
              </w:rPr>
              <w:t> </w:t>
            </w:r>
            <w:r w:rsidRPr="00CA3D1F">
              <w:rPr>
                <w:i/>
                <w:color w:val="000000"/>
                <w:sz w:val="18"/>
                <w:szCs w:val="18"/>
              </w:rPr>
              <w:t> </w:t>
            </w:r>
            <w:r w:rsidRPr="00CA3D1F">
              <w:rPr>
                <w:i/>
                <w:color w:val="000000"/>
                <w:sz w:val="18"/>
                <w:szCs w:val="18"/>
              </w:rPr>
              <w:fldChar w:fldCharType="end"/>
            </w:r>
          </w:p>
        </w:tc>
        <w:tc>
          <w:tcPr>
            <w:tcW w:w="1287" w:type="dxa"/>
          </w:tcPr>
          <w:p w14:paraId="0281B24A" w14:textId="77777777" w:rsidR="007520C1" w:rsidRPr="00CA3D1F" w:rsidRDefault="007520C1" w:rsidP="00E049DB">
            <w:pPr>
              <w:jc w:val="right"/>
              <w:rPr>
                <w:sz w:val="18"/>
                <w:szCs w:val="18"/>
              </w:rPr>
            </w:pPr>
            <w:r w:rsidRPr="00CA3D1F">
              <w:rPr>
                <w:i/>
                <w:color w:val="000000"/>
                <w:sz w:val="18"/>
                <w:szCs w:val="18"/>
              </w:rPr>
              <w:fldChar w:fldCharType="begin">
                <w:ffData>
                  <w:name w:val="F_GEB_BD_target"/>
                  <w:enabled/>
                  <w:calcOnExit w:val="0"/>
                  <w:textInput/>
                </w:ffData>
              </w:fldChar>
            </w:r>
            <w:r w:rsidRPr="00CA3D1F">
              <w:rPr>
                <w:i/>
                <w:color w:val="000000"/>
                <w:sz w:val="18"/>
                <w:szCs w:val="18"/>
              </w:rPr>
              <w:instrText xml:space="preserve"> FORMTEXT </w:instrText>
            </w:r>
            <w:r w:rsidRPr="00CA3D1F">
              <w:rPr>
                <w:i/>
                <w:color w:val="000000"/>
                <w:sz w:val="18"/>
                <w:szCs w:val="18"/>
              </w:rPr>
            </w:r>
            <w:r w:rsidRPr="00CA3D1F">
              <w:rPr>
                <w:i/>
                <w:color w:val="000000"/>
                <w:sz w:val="18"/>
                <w:szCs w:val="18"/>
              </w:rPr>
              <w:fldChar w:fldCharType="separate"/>
            </w:r>
            <w:r w:rsidRPr="00CA3D1F">
              <w:rPr>
                <w:i/>
                <w:color w:val="000000"/>
                <w:sz w:val="18"/>
                <w:szCs w:val="18"/>
              </w:rPr>
              <w:t> </w:t>
            </w:r>
            <w:r w:rsidRPr="00CA3D1F">
              <w:rPr>
                <w:i/>
                <w:color w:val="000000"/>
                <w:sz w:val="18"/>
                <w:szCs w:val="18"/>
              </w:rPr>
              <w:t> </w:t>
            </w:r>
            <w:r w:rsidRPr="00CA3D1F">
              <w:rPr>
                <w:i/>
                <w:color w:val="000000"/>
                <w:sz w:val="18"/>
                <w:szCs w:val="18"/>
              </w:rPr>
              <w:t> </w:t>
            </w:r>
            <w:r w:rsidRPr="00CA3D1F">
              <w:rPr>
                <w:i/>
                <w:color w:val="000000"/>
                <w:sz w:val="18"/>
                <w:szCs w:val="18"/>
              </w:rPr>
              <w:t> </w:t>
            </w:r>
            <w:r w:rsidRPr="00CA3D1F">
              <w:rPr>
                <w:i/>
                <w:color w:val="000000"/>
                <w:sz w:val="18"/>
                <w:szCs w:val="18"/>
              </w:rPr>
              <w:t> </w:t>
            </w:r>
            <w:r w:rsidRPr="00CA3D1F">
              <w:rPr>
                <w:i/>
                <w:color w:val="000000"/>
                <w:sz w:val="18"/>
                <w:szCs w:val="18"/>
              </w:rPr>
              <w:fldChar w:fldCharType="end"/>
            </w:r>
          </w:p>
        </w:tc>
      </w:tr>
      <w:tr w:rsidR="007520C1" w:rsidRPr="004244E0" w14:paraId="4FE19CEF" w14:textId="77777777" w:rsidTr="00DB02C4">
        <w:tc>
          <w:tcPr>
            <w:tcW w:w="1298" w:type="dxa"/>
          </w:tcPr>
          <w:p w14:paraId="0241705B" w14:textId="77777777" w:rsidR="007520C1" w:rsidRPr="00CA3D1F" w:rsidRDefault="007520C1" w:rsidP="00E049DB">
            <w:pPr>
              <w:jc w:val="right"/>
              <w:rPr>
                <w:sz w:val="18"/>
                <w:szCs w:val="18"/>
              </w:rPr>
            </w:pPr>
            <w:r w:rsidRPr="00CA3D1F">
              <w:rPr>
                <w:i/>
                <w:color w:val="000000"/>
                <w:sz w:val="18"/>
                <w:szCs w:val="18"/>
              </w:rPr>
              <w:fldChar w:fldCharType="begin">
                <w:ffData>
                  <w:name w:val="F_GEB_BD_target"/>
                  <w:enabled/>
                  <w:calcOnExit w:val="0"/>
                  <w:textInput/>
                </w:ffData>
              </w:fldChar>
            </w:r>
            <w:r w:rsidRPr="00CA3D1F">
              <w:rPr>
                <w:i/>
                <w:color w:val="000000"/>
                <w:sz w:val="18"/>
                <w:szCs w:val="18"/>
              </w:rPr>
              <w:instrText xml:space="preserve"> FORMTEXT </w:instrText>
            </w:r>
            <w:r w:rsidRPr="00CA3D1F">
              <w:rPr>
                <w:i/>
                <w:color w:val="000000"/>
                <w:sz w:val="18"/>
                <w:szCs w:val="18"/>
              </w:rPr>
            </w:r>
            <w:r w:rsidRPr="00CA3D1F">
              <w:rPr>
                <w:i/>
                <w:color w:val="000000"/>
                <w:sz w:val="18"/>
                <w:szCs w:val="18"/>
              </w:rPr>
              <w:fldChar w:fldCharType="separate"/>
            </w:r>
            <w:r w:rsidRPr="00CA3D1F">
              <w:rPr>
                <w:i/>
                <w:color w:val="000000"/>
                <w:sz w:val="18"/>
                <w:szCs w:val="18"/>
              </w:rPr>
              <w:t> </w:t>
            </w:r>
            <w:r w:rsidRPr="00CA3D1F">
              <w:rPr>
                <w:i/>
                <w:color w:val="000000"/>
                <w:sz w:val="18"/>
                <w:szCs w:val="18"/>
              </w:rPr>
              <w:t> </w:t>
            </w:r>
            <w:r w:rsidRPr="00CA3D1F">
              <w:rPr>
                <w:i/>
                <w:color w:val="000000"/>
                <w:sz w:val="18"/>
                <w:szCs w:val="18"/>
              </w:rPr>
              <w:t> </w:t>
            </w:r>
            <w:r w:rsidRPr="00CA3D1F">
              <w:rPr>
                <w:i/>
                <w:color w:val="000000"/>
                <w:sz w:val="18"/>
                <w:szCs w:val="18"/>
              </w:rPr>
              <w:t> </w:t>
            </w:r>
            <w:r w:rsidRPr="00CA3D1F">
              <w:rPr>
                <w:i/>
                <w:color w:val="000000"/>
                <w:sz w:val="18"/>
                <w:szCs w:val="18"/>
              </w:rPr>
              <w:t> </w:t>
            </w:r>
            <w:r w:rsidRPr="00CA3D1F">
              <w:rPr>
                <w:i/>
                <w:color w:val="000000"/>
                <w:sz w:val="18"/>
                <w:szCs w:val="18"/>
              </w:rPr>
              <w:fldChar w:fldCharType="end"/>
            </w:r>
          </w:p>
        </w:tc>
        <w:tc>
          <w:tcPr>
            <w:tcW w:w="933" w:type="dxa"/>
          </w:tcPr>
          <w:p w14:paraId="238013A6" w14:textId="77777777" w:rsidR="007520C1" w:rsidRPr="00CA3D1F" w:rsidRDefault="007520C1" w:rsidP="00E049DB">
            <w:pPr>
              <w:jc w:val="right"/>
              <w:rPr>
                <w:sz w:val="18"/>
                <w:szCs w:val="18"/>
              </w:rPr>
            </w:pPr>
            <w:r w:rsidRPr="00CA3D1F">
              <w:rPr>
                <w:i/>
                <w:color w:val="000000"/>
                <w:sz w:val="18"/>
                <w:szCs w:val="18"/>
              </w:rPr>
              <w:fldChar w:fldCharType="begin">
                <w:ffData>
                  <w:name w:val="F_GEB_BD_target"/>
                  <w:enabled/>
                  <w:calcOnExit w:val="0"/>
                  <w:textInput/>
                </w:ffData>
              </w:fldChar>
            </w:r>
            <w:r w:rsidRPr="00CA3D1F">
              <w:rPr>
                <w:i/>
                <w:color w:val="000000"/>
                <w:sz w:val="18"/>
                <w:szCs w:val="18"/>
              </w:rPr>
              <w:instrText xml:space="preserve"> FORMTEXT </w:instrText>
            </w:r>
            <w:r w:rsidRPr="00CA3D1F">
              <w:rPr>
                <w:i/>
                <w:color w:val="000000"/>
                <w:sz w:val="18"/>
                <w:szCs w:val="18"/>
              </w:rPr>
            </w:r>
            <w:r w:rsidRPr="00CA3D1F">
              <w:rPr>
                <w:i/>
                <w:color w:val="000000"/>
                <w:sz w:val="18"/>
                <w:szCs w:val="18"/>
              </w:rPr>
              <w:fldChar w:fldCharType="separate"/>
            </w:r>
            <w:r w:rsidRPr="00CA3D1F">
              <w:rPr>
                <w:i/>
                <w:color w:val="000000"/>
                <w:sz w:val="18"/>
                <w:szCs w:val="18"/>
              </w:rPr>
              <w:t> </w:t>
            </w:r>
            <w:r w:rsidRPr="00CA3D1F">
              <w:rPr>
                <w:i/>
                <w:color w:val="000000"/>
                <w:sz w:val="18"/>
                <w:szCs w:val="18"/>
              </w:rPr>
              <w:t> </w:t>
            </w:r>
            <w:r w:rsidRPr="00CA3D1F">
              <w:rPr>
                <w:i/>
                <w:color w:val="000000"/>
                <w:sz w:val="18"/>
                <w:szCs w:val="18"/>
              </w:rPr>
              <w:t> </w:t>
            </w:r>
            <w:r w:rsidRPr="00CA3D1F">
              <w:rPr>
                <w:i/>
                <w:color w:val="000000"/>
                <w:sz w:val="18"/>
                <w:szCs w:val="18"/>
              </w:rPr>
              <w:t> </w:t>
            </w:r>
            <w:r w:rsidRPr="00CA3D1F">
              <w:rPr>
                <w:i/>
                <w:color w:val="000000"/>
                <w:sz w:val="18"/>
                <w:szCs w:val="18"/>
              </w:rPr>
              <w:t> </w:t>
            </w:r>
            <w:r w:rsidRPr="00CA3D1F">
              <w:rPr>
                <w:i/>
                <w:color w:val="000000"/>
                <w:sz w:val="18"/>
                <w:szCs w:val="18"/>
              </w:rPr>
              <w:fldChar w:fldCharType="end"/>
            </w:r>
          </w:p>
        </w:tc>
        <w:tc>
          <w:tcPr>
            <w:tcW w:w="1726" w:type="dxa"/>
          </w:tcPr>
          <w:p w14:paraId="037E90D1" w14:textId="77777777" w:rsidR="007520C1" w:rsidRPr="00CA3D1F" w:rsidRDefault="007520C1" w:rsidP="00E049DB">
            <w:pPr>
              <w:jc w:val="right"/>
              <w:rPr>
                <w:sz w:val="18"/>
                <w:szCs w:val="18"/>
              </w:rPr>
            </w:pPr>
            <w:r w:rsidRPr="00CA3D1F">
              <w:rPr>
                <w:color w:val="000000"/>
                <w:sz w:val="18"/>
                <w:szCs w:val="18"/>
              </w:rPr>
              <w:fldChar w:fldCharType="begin">
                <w:ffData>
                  <w:name w:val=""/>
                  <w:enabled/>
                  <w:calcOnExit w:val="0"/>
                  <w:ddList>
                    <w:listEntry w:val="(select)"/>
                    <w:listEntry w:val="Ia Strict Nature Reserve"/>
                    <w:listEntry w:val="Ib Wilderness Area"/>
                    <w:listEntry w:val="II National Park"/>
                    <w:listEntry w:val="III Natural Monument or Feature"/>
                    <w:listEntry w:val="IV Habitat/Species Management Area"/>
                    <w:listEntry w:val="V Protected Landscape/Seascape"/>
                    <w:listEntry w:val="VI PA with sustainable use of natural resources"/>
                    <w:listEntry w:val="Other"/>
                  </w:ddList>
                </w:ffData>
              </w:fldChar>
            </w:r>
            <w:r w:rsidRPr="00CA3D1F">
              <w:rPr>
                <w:color w:val="000000"/>
                <w:sz w:val="18"/>
                <w:szCs w:val="18"/>
              </w:rPr>
              <w:instrText xml:space="preserve"> FORMDROPDOWN </w:instrText>
            </w:r>
            <w:r w:rsidR="000C73F8">
              <w:rPr>
                <w:color w:val="000000"/>
                <w:sz w:val="18"/>
                <w:szCs w:val="18"/>
              </w:rPr>
            </w:r>
            <w:r w:rsidR="000C73F8">
              <w:rPr>
                <w:color w:val="000000"/>
                <w:sz w:val="18"/>
                <w:szCs w:val="18"/>
              </w:rPr>
              <w:fldChar w:fldCharType="separate"/>
            </w:r>
            <w:r w:rsidRPr="00CA3D1F">
              <w:rPr>
                <w:color w:val="000000"/>
                <w:sz w:val="18"/>
                <w:szCs w:val="18"/>
              </w:rPr>
              <w:fldChar w:fldCharType="end"/>
            </w:r>
            <w:r w:rsidRPr="00CA3D1F">
              <w:rPr>
                <w:color w:val="000000"/>
                <w:sz w:val="18"/>
                <w:szCs w:val="18"/>
              </w:rPr>
              <w:t xml:space="preserve">  </w:t>
            </w:r>
          </w:p>
        </w:tc>
        <w:tc>
          <w:tcPr>
            <w:tcW w:w="2782" w:type="dxa"/>
            <w:gridSpan w:val="2"/>
          </w:tcPr>
          <w:p w14:paraId="29864D50" w14:textId="77777777" w:rsidR="007520C1" w:rsidRPr="00CA3D1F" w:rsidRDefault="007520C1" w:rsidP="00E049DB">
            <w:pPr>
              <w:jc w:val="right"/>
              <w:rPr>
                <w:sz w:val="18"/>
                <w:szCs w:val="18"/>
              </w:rPr>
            </w:pPr>
            <w:r w:rsidRPr="00CA3D1F">
              <w:rPr>
                <w:i/>
                <w:color w:val="000000"/>
                <w:sz w:val="18"/>
                <w:szCs w:val="18"/>
              </w:rPr>
              <w:fldChar w:fldCharType="begin">
                <w:ffData>
                  <w:name w:val="F_GEB_BD_target"/>
                  <w:enabled/>
                  <w:calcOnExit w:val="0"/>
                  <w:textInput/>
                </w:ffData>
              </w:fldChar>
            </w:r>
            <w:r w:rsidRPr="00CA3D1F">
              <w:rPr>
                <w:i/>
                <w:color w:val="000000"/>
                <w:sz w:val="18"/>
                <w:szCs w:val="18"/>
              </w:rPr>
              <w:instrText xml:space="preserve"> FORMTEXT </w:instrText>
            </w:r>
            <w:r w:rsidRPr="00CA3D1F">
              <w:rPr>
                <w:i/>
                <w:color w:val="000000"/>
                <w:sz w:val="18"/>
                <w:szCs w:val="18"/>
              </w:rPr>
            </w:r>
            <w:r w:rsidRPr="00CA3D1F">
              <w:rPr>
                <w:i/>
                <w:color w:val="000000"/>
                <w:sz w:val="18"/>
                <w:szCs w:val="18"/>
              </w:rPr>
              <w:fldChar w:fldCharType="separate"/>
            </w:r>
            <w:r w:rsidRPr="00CA3D1F">
              <w:rPr>
                <w:i/>
                <w:color w:val="000000"/>
                <w:sz w:val="18"/>
                <w:szCs w:val="18"/>
              </w:rPr>
              <w:t> </w:t>
            </w:r>
            <w:r w:rsidRPr="00CA3D1F">
              <w:rPr>
                <w:i/>
                <w:color w:val="000000"/>
                <w:sz w:val="18"/>
                <w:szCs w:val="18"/>
              </w:rPr>
              <w:t> </w:t>
            </w:r>
            <w:r w:rsidRPr="00CA3D1F">
              <w:rPr>
                <w:i/>
                <w:color w:val="000000"/>
                <w:sz w:val="18"/>
                <w:szCs w:val="18"/>
              </w:rPr>
              <w:t> </w:t>
            </w:r>
            <w:r w:rsidRPr="00CA3D1F">
              <w:rPr>
                <w:i/>
                <w:color w:val="000000"/>
                <w:sz w:val="18"/>
                <w:szCs w:val="18"/>
              </w:rPr>
              <w:t> </w:t>
            </w:r>
            <w:r w:rsidRPr="00CA3D1F">
              <w:rPr>
                <w:i/>
                <w:color w:val="000000"/>
                <w:sz w:val="18"/>
                <w:szCs w:val="18"/>
              </w:rPr>
              <w:t> </w:t>
            </w:r>
            <w:r w:rsidRPr="00CA3D1F">
              <w:rPr>
                <w:i/>
                <w:color w:val="000000"/>
                <w:sz w:val="18"/>
                <w:szCs w:val="18"/>
              </w:rPr>
              <w:fldChar w:fldCharType="end"/>
            </w:r>
          </w:p>
        </w:tc>
        <w:tc>
          <w:tcPr>
            <w:tcW w:w="1485" w:type="dxa"/>
            <w:gridSpan w:val="3"/>
          </w:tcPr>
          <w:p w14:paraId="2050B00F" w14:textId="77777777" w:rsidR="007520C1" w:rsidRPr="00CA3D1F" w:rsidRDefault="007520C1" w:rsidP="00E049DB">
            <w:pPr>
              <w:jc w:val="right"/>
              <w:rPr>
                <w:sz w:val="18"/>
                <w:szCs w:val="18"/>
              </w:rPr>
            </w:pPr>
            <w:r w:rsidRPr="00CA3D1F">
              <w:rPr>
                <w:i/>
                <w:color w:val="000000"/>
                <w:sz w:val="18"/>
                <w:szCs w:val="18"/>
              </w:rPr>
              <w:fldChar w:fldCharType="begin">
                <w:ffData>
                  <w:name w:val="F_GEB_BD_target"/>
                  <w:enabled/>
                  <w:calcOnExit w:val="0"/>
                  <w:textInput/>
                </w:ffData>
              </w:fldChar>
            </w:r>
            <w:r w:rsidRPr="00CA3D1F">
              <w:rPr>
                <w:i/>
                <w:color w:val="000000"/>
                <w:sz w:val="18"/>
                <w:szCs w:val="18"/>
              </w:rPr>
              <w:instrText xml:space="preserve"> FORMTEXT </w:instrText>
            </w:r>
            <w:r w:rsidRPr="00CA3D1F">
              <w:rPr>
                <w:i/>
                <w:color w:val="000000"/>
                <w:sz w:val="18"/>
                <w:szCs w:val="18"/>
              </w:rPr>
            </w:r>
            <w:r w:rsidRPr="00CA3D1F">
              <w:rPr>
                <w:i/>
                <w:color w:val="000000"/>
                <w:sz w:val="18"/>
                <w:szCs w:val="18"/>
              </w:rPr>
              <w:fldChar w:fldCharType="separate"/>
            </w:r>
            <w:r w:rsidRPr="00CA3D1F">
              <w:rPr>
                <w:i/>
                <w:color w:val="000000"/>
                <w:sz w:val="18"/>
                <w:szCs w:val="18"/>
              </w:rPr>
              <w:t> </w:t>
            </w:r>
            <w:r w:rsidRPr="00CA3D1F">
              <w:rPr>
                <w:i/>
                <w:color w:val="000000"/>
                <w:sz w:val="18"/>
                <w:szCs w:val="18"/>
              </w:rPr>
              <w:t> </w:t>
            </w:r>
            <w:r w:rsidRPr="00CA3D1F">
              <w:rPr>
                <w:i/>
                <w:color w:val="000000"/>
                <w:sz w:val="18"/>
                <w:szCs w:val="18"/>
              </w:rPr>
              <w:t> </w:t>
            </w:r>
            <w:r w:rsidRPr="00CA3D1F">
              <w:rPr>
                <w:i/>
                <w:color w:val="000000"/>
                <w:sz w:val="18"/>
                <w:szCs w:val="18"/>
              </w:rPr>
              <w:t> </w:t>
            </w:r>
            <w:r w:rsidRPr="00CA3D1F">
              <w:rPr>
                <w:i/>
                <w:color w:val="000000"/>
                <w:sz w:val="18"/>
                <w:szCs w:val="18"/>
              </w:rPr>
              <w:t> </w:t>
            </w:r>
            <w:r w:rsidRPr="00CA3D1F">
              <w:rPr>
                <w:i/>
                <w:color w:val="000000"/>
                <w:sz w:val="18"/>
                <w:szCs w:val="18"/>
              </w:rPr>
              <w:fldChar w:fldCharType="end"/>
            </w:r>
          </w:p>
        </w:tc>
        <w:tc>
          <w:tcPr>
            <w:tcW w:w="1324" w:type="dxa"/>
            <w:gridSpan w:val="2"/>
          </w:tcPr>
          <w:p w14:paraId="527EF98D" w14:textId="77777777" w:rsidR="007520C1" w:rsidRPr="00CA3D1F" w:rsidRDefault="007520C1" w:rsidP="00E049DB">
            <w:pPr>
              <w:jc w:val="right"/>
              <w:rPr>
                <w:sz w:val="18"/>
                <w:szCs w:val="18"/>
              </w:rPr>
            </w:pPr>
            <w:r w:rsidRPr="00CA3D1F">
              <w:rPr>
                <w:i/>
                <w:color w:val="000000"/>
                <w:sz w:val="18"/>
                <w:szCs w:val="18"/>
              </w:rPr>
              <w:fldChar w:fldCharType="begin">
                <w:ffData>
                  <w:name w:val="F_GEB_BD_target"/>
                  <w:enabled/>
                  <w:calcOnExit w:val="0"/>
                  <w:textInput/>
                </w:ffData>
              </w:fldChar>
            </w:r>
            <w:r w:rsidRPr="00CA3D1F">
              <w:rPr>
                <w:i/>
                <w:color w:val="000000"/>
                <w:sz w:val="18"/>
                <w:szCs w:val="18"/>
              </w:rPr>
              <w:instrText xml:space="preserve"> FORMTEXT </w:instrText>
            </w:r>
            <w:r w:rsidRPr="00CA3D1F">
              <w:rPr>
                <w:i/>
                <w:color w:val="000000"/>
                <w:sz w:val="18"/>
                <w:szCs w:val="18"/>
              </w:rPr>
            </w:r>
            <w:r w:rsidRPr="00CA3D1F">
              <w:rPr>
                <w:i/>
                <w:color w:val="000000"/>
                <w:sz w:val="18"/>
                <w:szCs w:val="18"/>
              </w:rPr>
              <w:fldChar w:fldCharType="separate"/>
            </w:r>
            <w:r w:rsidRPr="00CA3D1F">
              <w:rPr>
                <w:i/>
                <w:color w:val="000000"/>
                <w:sz w:val="18"/>
                <w:szCs w:val="18"/>
              </w:rPr>
              <w:t> </w:t>
            </w:r>
            <w:r w:rsidRPr="00CA3D1F">
              <w:rPr>
                <w:i/>
                <w:color w:val="000000"/>
                <w:sz w:val="18"/>
                <w:szCs w:val="18"/>
              </w:rPr>
              <w:t> </w:t>
            </w:r>
            <w:r w:rsidRPr="00CA3D1F">
              <w:rPr>
                <w:i/>
                <w:color w:val="000000"/>
                <w:sz w:val="18"/>
                <w:szCs w:val="18"/>
              </w:rPr>
              <w:t> </w:t>
            </w:r>
            <w:r w:rsidRPr="00CA3D1F">
              <w:rPr>
                <w:i/>
                <w:color w:val="000000"/>
                <w:sz w:val="18"/>
                <w:szCs w:val="18"/>
              </w:rPr>
              <w:t> </w:t>
            </w:r>
            <w:r w:rsidRPr="00CA3D1F">
              <w:rPr>
                <w:i/>
                <w:color w:val="000000"/>
                <w:sz w:val="18"/>
                <w:szCs w:val="18"/>
              </w:rPr>
              <w:t> </w:t>
            </w:r>
            <w:r w:rsidRPr="00CA3D1F">
              <w:rPr>
                <w:i/>
                <w:color w:val="000000"/>
                <w:sz w:val="18"/>
                <w:szCs w:val="18"/>
              </w:rPr>
              <w:fldChar w:fldCharType="end"/>
            </w:r>
          </w:p>
        </w:tc>
        <w:tc>
          <w:tcPr>
            <w:tcW w:w="1287" w:type="dxa"/>
          </w:tcPr>
          <w:p w14:paraId="6C3888B6" w14:textId="77777777" w:rsidR="007520C1" w:rsidRPr="00CA3D1F" w:rsidRDefault="007520C1" w:rsidP="00E049DB">
            <w:pPr>
              <w:jc w:val="right"/>
              <w:rPr>
                <w:sz w:val="18"/>
                <w:szCs w:val="18"/>
              </w:rPr>
            </w:pPr>
            <w:r w:rsidRPr="00CA3D1F">
              <w:rPr>
                <w:i/>
                <w:color w:val="000000"/>
                <w:sz w:val="18"/>
                <w:szCs w:val="18"/>
              </w:rPr>
              <w:fldChar w:fldCharType="begin">
                <w:ffData>
                  <w:name w:val="F_GEB_BD_target"/>
                  <w:enabled/>
                  <w:calcOnExit w:val="0"/>
                  <w:textInput/>
                </w:ffData>
              </w:fldChar>
            </w:r>
            <w:r w:rsidRPr="00CA3D1F">
              <w:rPr>
                <w:i/>
                <w:color w:val="000000"/>
                <w:sz w:val="18"/>
                <w:szCs w:val="18"/>
              </w:rPr>
              <w:instrText xml:space="preserve"> FORMTEXT </w:instrText>
            </w:r>
            <w:r w:rsidRPr="00CA3D1F">
              <w:rPr>
                <w:i/>
                <w:color w:val="000000"/>
                <w:sz w:val="18"/>
                <w:szCs w:val="18"/>
              </w:rPr>
            </w:r>
            <w:r w:rsidRPr="00CA3D1F">
              <w:rPr>
                <w:i/>
                <w:color w:val="000000"/>
                <w:sz w:val="18"/>
                <w:szCs w:val="18"/>
              </w:rPr>
              <w:fldChar w:fldCharType="separate"/>
            </w:r>
            <w:r w:rsidRPr="00CA3D1F">
              <w:rPr>
                <w:i/>
                <w:color w:val="000000"/>
                <w:sz w:val="18"/>
                <w:szCs w:val="18"/>
              </w:rPr>
              <w:t> </w:t>
            </w:r>
            <w:r w:rsidRPr="00CA3D1F">
              <w:rPr>
                <w:i/>
                <w:color w:val="000000"/>
                <w:sz w:val="18"/>
                <w:szCs w:val="18"/>
              </w:rPr>
              <w:t> </w:t>
            </w:r>
            <w:r w:rsidRPr="00CA3D1F">
              <w:rPr>
                <w:i/>
                <w:color w:val="000000"/>
                <w:sz w:val="18"/>
                <w:szCs w:val="18"/>
              </w:rPr>
              <w:t> </w:t>
            </w:r>
            <w:r w:rsidRPr="00CA3D1F">
              <w:rPr>
                <w:i/>
                <w:color w:val="000000"/>
                <w:sz w:val="18"/>
                <w:szCs w:val="18"/>
              </w:rPr>
              <w:t> </w:t>
            </w:r>
            <w:r w:rsidRPr="00CA3D1F">
              <w:rPr>
                <w:i/>
                <w:color w:val="000000"/>
                <w:sz w:val="18"/>
                <w:szCs w:val="18"/>
              </w:rPr>
              <w:t> </w:t>
            </w:r>
            <w:r w:rsidRPr="00CA3D1F">
              <w:rPr>
                <w:i/>
                <w:color w:val="000000"/>
                <w:sz w:val="18"/>
                <w:szCs w:val="18"/>
              </w:rPr>
              <w:fldChar w:fldCharType="end"/>
            </w:r>
          </w:p>
        </w:tc>
      </w:tr>
      <w:tr w:rsidR="007520C1" w:rsidRPr="004244E0" w14:paraId="557001E5" w14:textId="77777777" w:rsidTr="00DB02C4">
        <w:tc>
          <w:tcPr>
            <w:tcW w:w="1298" w:type="dxa"/>
          </w:tcPr>
          <w:p w14:paraId="1D4E6F8B" w14:textId="77777777" w:rsidR="007520C1" w:rsidRPr="00CA3D1F" w:rsidRDefault="007520C1" w:rsidP="00E049DB">
            <w:pPr>
              <w:jc w:val="right"/>
              <w:rPr>
                <w:sz w:val="18"/>
                <w:szCs w:val="18"/>
              </w:rPr>
            </w:pPr>
          </w:p>
        </w:tc>
        <w:tc>
          <w:tcPr>
            <w:tcW w:w="933" w:type="dxa"/>
          </w:tcPr>
          <w:p w14:paraId="6519DE7E" w14:textId="77777777" w:rsidR="007520C1" w:rsidRPr="00CA3D1F" w:rsidRDefault="007520C1" w:rsidP="00E049DB">
            <w:pPr>
              <w:jc w:val="right"/>
              <w:rPr>
                <w:sz w:val="18"/>
                <w:szCs w:val="18"/>
              </w:rPr>
            </w:pPr>
          </w:p>
        </w:tc>
        <w:tc>
          <w:tcPr>
            <w:tcW w:w="1726" w:type="dxa"/>
          </w:tcPr>
          <w:p w14:paraId="2C796E0D" w14:textId="77777777" w:rsidR="007520C1" w:rsidRPr="00CA3D1F" w:rsidRDefault="007520C1" w:rsidP="00E049DB">
            <w:pPr>
              <w:jc w:val="right"/>
              <w:rPr>
                <w:sz w:val="18"/>
                <w:szCs w:val="18"/>
              </w:rPr>
            </w:pPr>
            <w:r w:rsidRPr="00CA3D1F">
              <w:rPr>
                <w:color w:val="000000"/>
                <w:sz w:val="18"/>
                <w:szCs w:val="18"/>
              </w:rPr>
              <w:t xml:space="preserve">Sum  </w:t>
            </w:r>
          </w:p>
        </w:tc>
        <w:tc>
          <w:tcPr>
            <w:tcW w:w="2782" w:type="dxa"/>
            <w:gridSpan w:val="2"/>
          </w:tcPr>
          <w:p w14:paraId="497FC03D" w14:textId="77777777" w:rsidR="007520C1" w:rsidRPr="00CA3D1F" w:rsidRDefault="007520C1" w:rsidP="00E049DB">
            <w:pPr>
              <w:jc w:val="right"/>
              <w:rPr>
                <w:sz w:val="18"/>
                <w:szCs w:val="18"/>
              </w:rPr>
            </w:pPr>
            <w:r w:rsidRPr="00CA3D1F">
              <w:rPr>
                <w:i/>
                <w:color w:val="000000"/>
                <w:sz w:val="18"/>
                <w:szCs w:val="18"/>
              </w:rPr>
              <w:fldChar w:fldCharType="begin">
                <w:ffData>
                  <w:name w:val="F_GEB_BD_target"/>
                  <w:enabled/>
                  <w:calcOnExit w:val="0"/>
                  <w:textInput/>
                </w:ffData>
              </w:fldChar>
            </w:r>
            <w:r w:rsidRPr="00CA3D1F">
              <w:rPr>
                <w:i/>
                <w:color w:val="000000"/>
                <w:sz w:val="18"/>
                <w:szCs w:val="18"/>
              </w:rPr>
              <w:instrText xml:space="preserve"> FORMTEXT </w:instrText>
            </w:r>
            <w:r w:rsidRPr="00CA3D1F">
              <w:rPr>
                <w:i/>
                <w:color w:val="000000"/>
                <w:sz w:val="18"/>
                <w:szCs w:val="18"/>
              </w:rPr>
            </w:r>
            <w:r w:rsidRPr="00CA3D1F">
              <w:rPr>
                <w:i/>
                <w:color w:val="000000"/>
                <w:sz w:val="18"/>
                <w:szCs w:val="18"/>
              </w:rPr>
              <w:fldChar w:fldCharType="separate"/>
            </w:r>
            <w:r w:rsidRPr="00CA3D1F">
              <w:rPr>
                <w:i/>
                <w:color w:val="000000"/>
                <w:sz w:val="18"/>
                <w:szCs w:val="18"/>
              </w:rPr>
              <w:t> </w:t>
            </w:r>
            <w:r w:rsidRPr="00CA3D1F">
              <w:rPr>
                <w:i/>
                <w:color w:val="000000"/>
                <w:sz w:val="18"/>
                <w:szCs w:val="18"/>
              </w:rPr>
              <w:t> </w:t>
            </w:r>
            <w:r w:rsidRPr="00CA3D1F">
              <w:rPr>
                <w:i/>
                <w:color w:val="000000"/>
                <w:sz w:val="18"/>
                <w:szCs w:val="18"/>
              </w:rPr>
              <w:t> </w:t>
            </w:r>
            <w:r w:rsidRPr="00CA3D1F">
              <w:rPr>
                <w:i/>
                <w:color w:val="000000"/>
                <w:sz w:val="18"/>
                <w:szCs w:val="18"/>
              </w:rPr>
              <w:t> </w:t>
            </w:r>
            <w:r w:rsidRPr="00CA3D1F">
              <w:rPr>
                <w:i/>
                <w:color w:val="000000"/>
                <w:sz w:val="18"/>
                <w:szCs w:val="18"/>
              </w:rPr>
              <w:t> </w:t>
            </w:r>
            <w:r w:rsidRPr="00CA3D1F">
              <w:rPr>
                <w:i/>
                <w:color w:val="000000"/>
                <w:sz w:val="18"/>
                <w:szCs w:val="18"/>
              </w:rPr>
              <w:fldChar w:fldCharType="end"/>
            </w:r>
          </w:p>
        </w:tc>
        <w:tc>
          <w:tcPr>
            <w:tcW w:w="1485" w:type="dxa"/>
            <w:gridSpan w:val="3"/>
          </w:tcPr>
          <w:p w14:paraId="44FEC3FE" w14:textId="77777777" w:rsidR="007520C1" w:rsidRPr="00CA3D1F" w:rsidRDefault="007520C1" w:rsidP="00E049DB">
            <w:pPr>
              <w:jc w:val="right"/>
              <w:rPr>
                <w:sz w:val="18"/>
                <w:szCs w:val="18"/>
              </w:rPr>
            </w:pPr>
            <w:r w:rsidRPr="00CA3D1F">
              <w:rPr>
                <w:i/>
                <w:color w:val="000000"/>
                <w:sz w:val="18"/>
                <w:szCs w:val="18"/>
              </w:rPr>
              <w:fldChar w:fldCharType="begin">
                <w:ffData>
                  <w:name w:val="F_GEB_BD_target"/>
                  <w:enabled/>
                  <w:calcOnExit w:val="0"/>
                  <w:textInput/>
                </w:ffData>
              </w:fldChar>
            </w:r>
            <w:r w:rsidRPr="00CA3D1F">
              <w:rPr>
                <w:i/>
                <w:color w:val="000000"/>
                <w:sz w:val="18"/>
                <w:szCs w:val="18"/>
              </w:rPr>
              <w:instrText xml:space="preserve"> FORMTEXT </w:instrText>
            </w:r>
            <w:r w:rsidRPr="00CA3D1F">
              <w:rPr>
                <w:i/>
                <w:color w:val="000000"/>
                <w:sz w:val="18"/>
                <w:szCs w:val="18"/>
              </w:rPr>
            </w:r>
            <w:r w:rsidRPr="00CA3D1F">
              <w:rPr>
                <w:i/>
                <w:color w:val="000000"/>
                <w:sz w:val="18"/>
                <w:szCs w:val="18"/>
              </w:rPr>
              <w:fldChar w:fldCharType="separate"/>
            </w:r>
            <w:r w:rsidRPr="00CA3D1F">
              <w:rPr>
                <w:i/>
                <w:color w:val="000000"/>
                <w:sz w:val="18"/>
                <w:szCs w:val="18"/>
              </w:rPr>
              <w:t> </w:t>
            </w:r>
            <w:r w:rsidRPr="00CA3D1F">
              <w:rPr>
                <w:i/>
                <w:color w:val="000000"/>
                <w:sz w:val="18"/>
                <w:szCs w:val="18"/>
              </w:rPr>
              <w:t> </w:t>
            </w:r>
            <w:r w:rsidRPr="00CA3D1F">
              <w:rPr>
                <w:i/>
                <w:color w:val="000000"/>
                <w:sz w:val="18"/>
                <w:szCs w:val="18"/>
              </w:rPr>
              <w:t> </w:t>
            </w:r>
            <w:r w:rsidRPr="00CA3D1F">
              <w:rPr>
                <w:i/>
                <w:color w:val="000000"/>
                <w:sz w:val="18"/>
                <w:szCs w:val="18"/>
              </w:rPr>
              <w:t> </w:t>
            </w:r>
            <w:r w:rsidRPr="00CA3D1F">
              <w:rPr>
                <w:i/>
                <w:color w:val="000000"/>
                <w:sz w:val="18"/>
                <w:szCs w:val="18"/>
              </w:rPr>
              <w:t> </w:t>
            </w:r>
            <w:r w:rsidRPr="00CA3D1F">
              <w:rPr>
                <w:i/>
                <w:color w:val="000000"/>
                <w:sz w:val="18"/>
                <w:szCs w:val="18"/>
              </w:rPr>
              <w:fldChar w:fldCharType="end"/>
            </w:r>
          </w:p>
        </w:tc>
        <w:tc>
          <w:tcPr>
            <w:tcW w:w="1324" w:type="dxa"/>
            <w:gridSpan w:val="2"/>
          </w:tcPr>
          <w:p w14:paraId="7CB1CD53" w14:textId="77777777" w:rsidR="007520C1" w:rsidRPr="00CA3D1F" w:rsidRDefault="007520C1" w:rsidP="00E049DB">
            <w:pPr>
              <w:jc w:val="right"/>
              <w:rPr>
                <w:sz w:val="18"/>
                <w:szCs w:val="18"/>
              </w:rPr>
            </w:pPr>
            <w:r w:rsidRPr="00CA3D1F">
              <w:rPr>
                <w:i/>
                <w:color w:val="000000"/>
                <w:sz w:val="18"/>
                <w:szCs w:val="18"/>
              </w:rPr>
              <w:fldChar w:fldCharType="begin">
                <w:ffData>
                  <w:name w:val="F_GEB_BD_target"/>
                  <w:enabled/>
                  <w:calcOnExit w:val="0"/>
                  <w:textInput/>
                </w:ffData>
              </w:fldChar>
            </w:r>
            <w:r w:rsidRPr="00CA3D1F">
              <w:rPr>
                <w:i/>
                <w:color w:val="000000"/>
                <w:sz w:val="18"/>
                <w:szCs w:val="18"/>
              </w:rPr>
              <w:instrText xml:space="preserve"> FORMTEXT </w:instrText>
            </w:r>
            <w:r w:rsidRPr="00CA3D1F">
              <w:rPr>
                <w:i/>
                <w:color w:val="000000"/>
                <w:sz w:val="18"/>
                <w:szCs w:val="18"/>
              </w:rPr>
            </w:r>
            <w:r w:rsidRPr="00CA3D1F">
              <w:rPr>
                <w:i/>
                <w:color w:val="000000"/>
                <w:sz w:val="18"/>
                <w:szCs w:val="18"/>
              </w:rPr>
              <w:fldChar w:fldCharType="separate"/>
            </w:r>
            <w:r w:rsidRPr="00CA3D1F">
              <w:rPr>
                <w:i/>
                <w:color w:val="000000"/>
                <w:sz w:val="18"/>
                <w:szCs w:val="18"/>
              </w:rPr>
              <w:t> </w:t>
            </w:r>
            <w:r w:rsidRPr="00CA3D1F">
              <w:rPr>
                <w:i/>
                <w:color w:val="000000"/>
                <w:sz w:val="18"/>
                <w:szCs w:val="18"/>
              </w:rPr>
              <w:t> </w:t>
            </w:r>
            <w:r w:rsidRPr="00CA3D1F">
              <w:rPr>
                <w:i/>
                <w:color w:val="000000"/>
                <w:sz w:val="18"/>
                <w:szCs w:val="18"/>
              </w:rPr>
              <w:t> </w:t>
            </w:r>
            <w:r w:rsidRPr="00CA3D1F">
              <w:rPr>
                <w:i/>
                <w:color w:val="000000"/>
                <w:sz w:val="18"/>
                <w:szCs w:val="18"/>
              </w:rPr>
              <w:t> </w:t>
            </w:r>
            <w:r w:rsidRPr="00CA3D1F">
              <w:rPr>
                <w:i/>
                <w:color w:val="000000"/>
                <w:sz w:val="18"/>
                <w:szCs w:val="18"/>
              </w:rPr>
              <w:t> </w:t>
            </w:r>
            <w:r w:rsidRPr="00CA3D1F">
              <w:rPr>
                <w:i/>
                <w:color w:val="000000"/>
                <w:sz w:val="18"/>
                <w:szCs w:val="18"/>
              </w:rPr>
              <w:fldChar w:fldCharType="end"/>
            </w:r>
          </w:p>
        </w:tc>
        <w:tc>
          <w:tcPr>
            <w:tcW w:w="1287" w:type="dxa"/>
          </w:tcPr>
          <w:p w14:paraId="4C1ED220" w14:textId="77777777" w:rsidR="007520C1" w:rsidRPr="00CA3D1F" w:rsidRDefault="007520C1" w:rsidP="00E049DB">
            <w:pPr>
              <w:jc w:val="right"/>
              <w:rPr>
                <w:sz w:val="18"/>
                <w:szCs w:val="18"/>
              </w:rPr>
            </w:pPr>
            <w:r w:rsidRPr="00CA3D1F">
              <w:rPr>
                <w:i/>
                <w:color w:val="000000"/>
                <w:sz w:val="18"/>
                <w:szCs w:val="18"/>
              </w:rPr>
              <w:fldChar w:fldCharType="begin">
                <w:ffData>
                  <w:name w:val="F_GEB_BD_target"/>
                  <w:enabled/>
                  <w:calcOnExit w:val="0"/>
                  <w:textInput/>
                </w:ffData>
              </w:fldChar>
            </w:r>
            <w:r w:rsidRPr="00CA3D1F">
              <w:rPr>
                <w:i/>
                <w:color w:val="000000"/>
                <w:sz w:val="18"/>
                <w:szCs w:val="18"/>
              </w:rPr>
              <w:instrText xml:space="preserve"> FORMTEXT </w:instrText>
            </w:r>
            <w:r w:rsidRPr="00CA3D1F">
              <w:rPr>
                <w:i/>
                <w:color w:val="000000"/>
                <w:sz w:val="18"/>
                <w:szCs w:val="18"/>
              </w:rPr>
            </w:r>
            <w:r w:rsidRPr="00CA3D1F">
              <w:rPr>
                <w:i/>
                <w:color w:val="000000"/>
                <w:sz w:val="18"/>
                <w:szCs w:val="18"/>
              </w:rPr>
              <w:fldChar w:fldCharType="separate"/>
            </w:r>
            <w:r w:rsidRPr="00CA3D1F">
              <w:rPr>
                <w:i/>
                <w:color w:val="000000"/>
                <w:sz w:val="18"/>
                <w:szCs w:val="18"/>
              </w:rPr>
              <w:t> </w:t>
            </w:r>
            <w:r w:rsidRPr="00CA3D1F">
              <w:rPr>
                <w:i/>
                <w:color w:val="000000"/>
                <w:sz w:val="18"/>
                <w:szCs w:val="18"/>
              </w:rPr>
              <w:t> </w:t>
            </w:r>
            <w:r w:rsidRPr="00CA3D1F">
              <w:rPr>
                <w:i/>
                <w:color w:val="000000"/>
                <w:sz w:val="18"/>
                <w:szCs w:val="18"/>
              </w:rPr>
              <w:t> </w:t>
            </w:r>
            <w:r w:rsidRPr="00CA3D1F">
              <w:rPr>
                <w:i/>
                <w:color w:val="000000"/>
                <w:sz w:val="18"/>
                <w:szCs w:val="18"/>
              </w:rPr>
              <w:t> </w:t>
            </w:r>
            <w:r w:rsidRPr="00CA3D1F">
              <w:rPr>
                <w:i/>
                <w:color w:val="000000"/>
                <w:sz w:val="18"/>
                <w:szCs w:val="18"/>
              </w:rPr>
              <w:t> </w:t>
            </w:r>
            <w:r w:rsidRPr="00CA3D1F">
              <w:rPr>
                <w:i/>
                <w:color w:val="000000"/>
                <w:sz w:val="18"/>
                <w:szCs w:val="18"/>
              </w:rPr>
              <w:fldChar w:fldCharType="end"/>
            </w:r>
          </w:p>
        </w:tc>
      </w:tr>
      <w:tr w:rsidR="007520C1" w:rsidRPr="004244E0" w14:paraId="1AFEA4A1" w14:textId="77777777" w:rsidTr="00DB02C4">
        <w:tc>
          <w:tcPr>
            <w:tcW w:w="1298" w:type="dxa"/>
            <w:shd w:val="clear" w:color="auto" w:fill="BFBFBF" w:themeFill="background1" w:themeFillShade="BF"/>
          </w:tcPr>
          <w:p w14:paraId="45059A17" w14:textId="77777777" w:rsidR="007520C1" w:rsidRPr="00CA3D1F" w:rsidRDefault="007520C1" w:rsidP="00E049DB">
            <w:pPr>
              <w:rPr>
                <w:sz w:val="18"/>
                <w:szCs w:val="18"/>
              </w:rPr>
            </w:pPr>
            <w:r w:rsidRPr="00CA3D1F">
              <w:rPr>
                <w:sz w:val="18"/>
                <w:szCs w:val="18"/>
              </w:rPr>
              <w:t>Indicator 2.2</w:t>
            </w:r>
          </w:p>
        </w:tc>
        <w:tc>
          <w:tcPr>
            <w:tcW w:w="6765" w:type="dxa"/>
            <w:gridSpan w:val="5"/>
            <w:shd w:val="clear" w:color="auto" w:fill="BFBFBF" w:themeFill="background1" w:themeFillShade="BF"/>
          </w:tcPr>
          <w:p w14:paraId="02F52D6A" w14:textId="77777777" w:rsidR="007520C1" w:rsidRPr="00CA3D1F" w:rsidRDefault="007520C1" w:rsidP="00E049DB">
            <w:pPr>
              <w:rPr>
                <w:sz w:val="18"/>
                <w:szCs w:val="18"/>
              </w:rPr>
            </w:pPr>
            <w:r w:rsidRPr="00CA3D1F">
              <w:rPr>
                <w:sz w:val="18"/>
                <w:szCs w:val="18"/>
              </w:rPr>
              <w:t>Marine protected areas under improved management effectiveness</w:t>
            </w:r>
          </w:p>
        </w:tc>
        <w:tc>
          <w:tcPr>
            <w:tcW w:w="2772" w:type="dxa"/>
            <w:gridSpan w:val="5"/>
            <w:shd w:val="clear" w:color="auto" w:fill="BFBFBF" w:themeFill="background1" w:themeFillShade="BF"/>
          </w:tcPr>
          <w:p w14:paraId="12DBF2CF" w14:textId="77777777" w:rsidR="007520C1" w:rsidRPr="00CA3D1F" w:rsidRDefault="007520C1" w:rsidP="00E049DB">
            <w:pPr>
              <w:jc w:val="right"/>
              <w:rPr>
                <w:sz w:val="18"/>
                <w:szCs w:val="18"/>
              </w:rPr>
            </w:pPr>
            <w:r w:rsidRPr="00CA3D1F">
              <w:rPr>
                <w:i/>
                <w:color w:val="000000"/>
                <w:sz w:val="18"/>
                <w:szCs w:val="18"/>
              </w:rPr>
              <w:fldChar w:fldCharType="begin">
                <w:ffData>
                  <w:name w:val="F_GEB_BD_target"/>
                  <w:enabled/>
                  <w:calcOnExit w:val="0"/>
                  <w:textInput/>
                </w:ffData>
              </w:fldChar>
            </w:r>
            <w:r w:rsidRPr="00CA3D1F">
              <w:rPr>
                <w:i/>
                <w:color w:val="000000"/>
                <w:sz w:val="18"/>
                <w:szCs w:val="18"/>
              </w:rPr>
              <w:instrText xml:space="preserve"> FORMTEXT </w:instrText>
            </w:r>
            <w:r w:rsidRPr="00CA3D1F">
              <w:rPr>
                <w:i/>
                <w:color w:val="000000"/>
                <w:sz w:val="18"/>
                <w:szCs w:val="18"/>
              </w:rPr>
            </w:r>
            <w:r w:rsidRPr="00CA3D1F">
              <w:rPr>
                <w:i/>
                <w:color w:val="000000"/>
                <w:sz w:val="18"/>
                <w:szCs w:val="18"/>
              </w:rPr>
              <w:fldChar w:fldCharType="separate"/>
            </w:r>
            <w:r w:rsidRPr="00CA3D1F">
              <w:rPr>
                <w:i/>
                <w:color w:val="000000"/>
                <w:sz w:val="18"/>
                <w:szCs w:val="18"/>
              </w:rPr>
              <w:t> </w:t>
            </w:r>
            <w:r w:rsidRPr="00CA3D1F">
              <w:rPr>
                <w:i/>
                <w:color w:val="000000"/>
                <w:sz w:val="18"/>
                <w:szCs w:val="18"/>
              </w:rPr>
              <w:t> </w:t>
            </w:r>
            <w:r w:rsidRPr="00CA3D1F">
              <w:rPr>
                <w:i/>
                <w:color w:val="000000"/>
                <w:sz w:val="18"/>
                <w:szCs w:val="18"/>
              </w:rPr>
              <w:t> </w:t>
            </w:r>
            <w:r w:rsidRPr="00CA3D1F">
              <w:rPr>
                <w:i/>
                <w:color w:val="000000"/>
                <w:sz w:val="18"/>
                <w:szCs w:val="18"/>
              </w:rPr>
              <w:t> </w:t>
            </w:r>
            <w:r w:rsidRPr="00CA3D1F">
              <w:rPr>
                <w:i/>
                <w:color w:val="000000"/>
                <w:sz w:val="18"/>
                <w:szCs w:val="18"/>
              </w:rPr>
              <w:t> </w:t>
            </w:r>
            <w:r w:rsidRPr="00CA3D1F">
              <w:rPr>
                <w:i/>
                <w:color w:val="000000"/>
                <w:sz w:val="18"/>
                <w:szCs w:val="18"/>
              </w:rPr>
              <w:fldChar w:fldCharType="end"/>
            </w:r>
          </w:p>
        </w:tc>
      </w:tr>
      <w:tr w:rsidR="007520C1" w:rsidRPr="004244E0" w14:paraId="53C2A553" w14:textId="77777777" w:rsidTr="00DB02C4">
        <w:trPr>
          <w:trHeight w:val="125"/>
        </w:trPr>
        <w:tc>
          <w:tcPr>
            <w:tcW w:w="1298" w:type="dxa"/>
            <w:vMerge w:val="restart"/>
            <w:vAlign w:val="center"/>
          </w:tcPr>
          <w:p w14:paraId="35FE6C29" w14:textId="77777777" w:rsidR="007520C1" w:rsidRPr="00CA3D1F" w:rsidRDefault="007520C1" w:rsidP="00E049DB">
            <w:pPr>
              <w:rPr>
                <w:sz w:val="18"/>
                <w:szCs w:val="18"/>
              </w:rPr>
            </w:pPr>
            <w:r w:rsidRPr="00CA3D1F">
              <w:rPr>
                <w:sz w:val="18"/>
                <w:szCs w:val="18"/>
              </w:rPr>
              <w:t>Name of Protected Area</w:t>
            </w:r>
          </w:p>
        </w:tc>
        <w:tc>
          <w:tcPr>
            <w:tcW w:w="933" w:type="dxa"/>
            <w:vMerge w:val="restart"/>
            <w:vAlign w:val="center"/>
          </w:tcPr>
          <w:p w14:paraId="7C883928" w14:textId="77777777" w:rsidR="007520C1" w:rsidRPr="00CA3D1F" w:rsidRDefault="007520C1" w:rsidP="00E049DB">
            <w:pPr>
              <w:rPr>
                <w:sz w:val="18"/>
                <w:szCs w:val="18"/>
              </w:rPr>
            </w:pPr>
            <w:r w:rsidRPr="00CA3D1F">
              <w:rPr>
                <w:sz w:val="18"/>
                <w:szCs w:val="18"/>
              </w:rPr>
              <w:t>WDPA ID</w:t>
            </w:r>
          </w:p>
        </w:tc>
        <w:tc>
          <w:tcPr>
            <w:tcW w:w="1726" w:type="dxa"/>
            <w:vMerge w:val="restart"/>
            <w:vAlign w:val="center"/>
          </w:tcPr>
          <w:p w14:paraId="1105B2B0" w14:textId="77777777" w:rsidR="007520C1" w:rsidRPr="00CA3D1F" w:rsidRDefault="007520C1" w:rsidP="00E049DB">
            <w:pPr>
              <w:rPr>
                <w:sz w:val="18"/>
                <w:szCs w:val="18"/>
              </w:rPr>
            </w:pPr>
            <w:r w:rsidRPr="00CA3D1F">
              <w:rPr>
                <w:sz w:val="18"/>
                <w:szCs w:val="18"/>
              </w:rPr>
              <w:t>IUCN category</w:t>
            </w:r>
          </w:p>
        </w:tc>
        <w:tc>
          <w:tcPr>
            <w:tcW w:w="906" w:type="dxa"/>
            <w:vMerge w:val="restart"/>
            <w:vAlign w:val="center"/>
          </w:tcPr>
          <w:p w14:paraId="22A4C6DB" w14:textId="77777777" w:rsidR="007520C1" w:rsidRPr="00CA3D1F" w:rsidRDefault="007520C1" w:rsidP="00E049DB">
            <w:pPr>
              <w:rPr>
                <w:sz w:val="18"/>
                <w:szCs w:val="18"/>
              </w:rPr>
            </w:pPr>
            <w:r w:rsidRPr="00CA3D1F">
              <w:rPr>
                <w:sz w:val="18"/>
                <w:szCs w:val="18"/>
              </w:rPr>
              <w:t>Hectares</w:t>
            </w:r>
          </w:p>
        </w:tc>
        <w:tc>
          <w:tcPr>
            <w:tcW w:w="5972" w:type="dxa"/>
            <w:gridSpan w:val="7"/>
          </w:tcPr>
          <w:p w14:paraId="266D8CE3" w14:textId="77777777" w:rsidR="007520C1" w:rsidRPr="00CA3D1F" w:rsidRDefault="007520C1" w:rsidP="00E049DB">
            <w:pPr>
              <w:jc w:val="center"/>
              <w:rPr>
                <w:sz w:val="18"/>
                <w:szCs w:val="18"/>
              </w:rPr>
            </w:pPr>
            <w:r w:rsidRPr="00CA3D1F">
              <w:rPr>
                <w:sz w:val="18"/>
                <w:szCs w:val="18"/>
              </w:rPr>
              <w:t xml:space="preserve">METT Score </w:t>
            </w:r>
          </w:p>
        </w:tc>
      </w:tr>
      <w:tr w:rsidR="007520C1" w:rsidRPr="004244E0" w14:paraId="62E33CB4" w14:textId="77777777" w:rsidTr="00DB02C4">
        <w:trPr>
          <w:trHeight w:val="58"/>
        </w:trPr>
        <w:tc>
          <w:tcPr>
            <w:tcW w:w="1298" w:type="dxa"/>
            <w:vMerge/>
          </w:tcPr>
          <w:p w14:paraId="6D4D3837" w14:textId="77777777" w:rsidR="007520C1" w:rsidRPr="00CA3D1F" w:rsidRDefault="007520C1" w:rsidP="00E049DB">
            <w:pPr>
              <w:rPr>
                <w:sz w:val="18"/>
                <w:szCs w:val="18"/>
              </w:rPr>
            </w:pPr>
          </w:p>
        </w:tc>
        <w:tc>
          <w:tcPr>
            <w:tcW w:w="933" w:type="dxa"/>
            <w:vMerge/>
          </w:tcPr>
          <w:p w14:paraId="467298BB" w14:textId="77777777" w:rsidR="007520C1" w:rsidRPr="00CA3D1F" w:rsidRDefault="007520C1" w:rsidP="00E049DB">
            <w:pPr>
              <w:rPr>
                <w:sz w:val="18"/>
                <w:szCs w:val="18"/>
              </w:rPr>
            </w:pPr>
          </w:p>
        </w:tc>
        <w:tc>
          <w:tcPr>
            <w:tcW w:w="1726" w:type="dxa"/>
            <w:vMerge/>
          </w:tcPr>
          <w:p w14:paraId="355A166D" w14:textId="77777777" w:rsidR="007520C1" w:rsidRPr="00CA3D1F" w:rsidRDefault="007520C1" w:rsidP="00E049DB">
            <w:pPr>
              <w:rPr>
                <w:sz w:val="18"/>
                <w:szCs w:val="18"/>
              </w:rPr>
            </w:pPr>
          </w:p>
        </w:tc>
        <w:tc>
          <w:tcPr>
            <w:tcW w:w="906" w:type="dxa"/>
            <w:vMerge/>
          </w:tcPr>
          <w:p w14:paraId="5C1B1AEE" w14:textId="77777777" w:rsidR="007520C1" w:rsidRPr="00CA3D1F" w:rsidRDefault="007520C1" w:rsidP="00E049DB">
            <w:pPr>
              <w:rPr>
                <w:sz w:val="18"/>
                <w:szCs w:val="18"/>
              </w:rPr>
            </w:pPr>
          </w:p>
        </w:tc>
        <w:tc>
          <w:tcPr>
            <w:tcW w:w="3200" w:type="dxa"/>
            <w:gridSpan w:val="2"/>
          </w:tcPr>
          <w:p w14:paraId="16E4F34E" w14:textId="77777777" w:rsidR="007520C1" w:rsidRPr="00CA3D1F" w:rsidRDefault="007520C1" w:rsidP="00E049DB">
            <w:pPr>
              <w:jc w:val="center"/>
              <w:rPr>
                <w:sz w:val="18"/>
                <w:szCs w:val="18"/>
              </w:rPr>
            </w:pPr>
            <w:r w:rsidRPr="00CA3D1F">
              <w:rPr>
                <w:sz w:val="18"/>
                <w:szCs w:val="18"/>
              </w:rPr>
              <w:t>Baseline</w:t>
            </w:r>
          </w:p>
        </w:tc>
        <w:tc>
          <w:tcPr>
            <w:tcW w:w="2772" w:type="dxa"/>
            <w:gridSpan w:val="5"/>
          </w:tcPr>
          <w:p w14:paraId="6856BED1" w14:textId="77777777" w:rsidR="007520C1" w:rsidRPr="00CA3D1F" w:rsidRDefault="007520C1" w:rsidP="00E049DB">
            <w:pPr>
              <w:jc w:val="center"/>
              <w:rPr>
                <w:sz w:val="18"/>
                <w:szCs w:val="18"/>
              </w:rPr>
            </w:pPr>
            <w:r w:rsidRPr="00CA3D1F">
              <w:rPr>
                <w:sz w:val="18"/>
                <w:szCs w:val="18"/>
              </w:rPr>
              <w:t>Achieved</w:t>
            </w:r>
          </w:p>
        </w:tc>
      </w:tr>
      <w:tr w:rsidR="007520C1" w:rsidRPr="004244E0" w14:paraId="6A609EC9" w14:textId="77777777" w:rsidTr="00DB02C4">
        <w:trPr>
          <w:trHeight w:val="188"/>
        </w:trPr>
        <w:tc>
          <w:tcPr>
            <w:tcW w:w="1298" w:type="dxa"/>
            <w:vMerge/>
          </w:tcPr>
          <w:p w14:paraId="429CAAFE" w14:textId="77777777" w:rsidR="007520C1" w:rsidRPr="00CA3D1F" w:rsidRDefault="007520C1" w:rsidP="00E049DB">
            <w:pPr>
              <w:rPr>
                <w:sz w:val="18"/>
                <w:szCs w:val="18"/>
              </w:rPr>
            </w:pPr>
          </w:p>
        </w:tc>
        <w:tc>
          <w:tcPr>
            <w:tcW w:w="933" w:type="dxa"/>
            <w:vMerge/>
          </w:tcPr>
          <w:p w14:paraId="0F58B7CE" w14:textId="77777777" w:rsidR="007520C1" w:rsidRPr="00CA3D1F" w:rsidRDefault="007520C1" w:rsidP="00E049DB">
            <w:pPr>
              <w:rPr>
                <w:sz w:val="18"/>
                <w:szCs w:val="18"/>
              </w:rPr>
            </w:pPr>
          </w:p>
        </w:tc>
        <w:tc>
          <w:tcPr>
            <w:tcW w:w="1726" w:type="dxa"/>
            <w:vMerge/>
          </w:tcPr>
          <w:p w14:paraId="59901208" w14:textId="77777777" w:rsidR="007520C1" w:rsidRPr="00CA3D1F" w:rsidRDefault="007520C1" w:rsidP="00E049DB">
            <w:pPr>
              <w:rPr>
                <w:sz w:val="18"/>
                <w:szCs w:val="18"/>
              </w:rPr>
            </w:pPr>
          </w:p>
        </w:tc>
        <w:tc>
          <w:tcPr>
            <w:tcW w:w="906" w:type="dxa"/>
            <w:vMerge/>
          </w:tcPr>
          <w:p w14:paraId="07109F97" w14:textId="77777777" w:rsidR="007520C1" w:rsidRPr="00CA3D1F" w:rsidRDefault="007520C1" w:rsidP="00E049DB">
            <w:pPr>
              <w:rPr>
                <w:sz w:val="18"/>
                <w:szCs w:val="18"/>
              </w:rPr>
            </w:pPr>
          </w:p>
        </w:tc>
        <w:tc>
          <w:tcPr>
            <w:tcW w:w="1876" w:type="dxa"/>
          </w:tcPr>
          <w:p w14:paraId="23C71FCD" w14:textId="77777777" w:rsidR="007520C1" w:rsidRPr="00CA3D1F" w:rsidRDefault="007520C1" w:rsidP="00E049DB">
            <w:pPr>
              <w:jc w:val="center"/>
              <w:rPr>
                <w:sz w:val="18"/>
                <w:szCs w:val="18"/>
              </w:rPr>
            </w:pPr>
            <w:r w:rsidRPr="00CA3D1F">
              <w:rPr>
                <w:sz w:val="18"/>
                <w:szCs w:val="18"/>
              </w:rPr>
              <w:t>PIF stage</w:t>
            </w:r>
          </w:p>
        </w:tc>
        <w:tc>
          <w:tcPr>
            <w:tcW w:w="1485" w:type="dxa"/>
            <w:gridSpan w:val="3"/>
          </w:tcPr>
          <w:p w14:paraId="291BBAF0" w14:textId="77777777" w:rsidR="007520C1" w:rsidRPr="00CA3D1F" w:rsidRDefault="007520C1" w:rsidP="00E049DB">
            <w:pPr>
              <w:jc w:val="center"/>
              <w:rPr>
                <w:sz w:val="18"/>
                <w:szCs w:val="18"/>
              </w:rPr>
            </w:pPr>
            <w:r w:rsidRPr="00CA3D1F">
              <w:rPr>
                <w:sz w:val="18"/>
                <w:szCs w:val="18"/>
              </w:rPr>
              <w:t>Endorsement</w:t>
            </w:r>
          </w:p>
        </w:tc>
        <w:tc>
          <w:tcPr>
            <w:tcW w:w="1324" w:type="dxa"/>
            <w:gridSpan w:val="2"/>
          </w:tcPr>
          <w:p w14:paraId="27DF5D42" w14:textId="77777777" w:rsidR="007520C1" w:rsidRPr="00CA3D1F" w:rsidRDefault="007520C1" w:rsidP="00E049DB">
            <w:pPr>
              <w:jc w:val="center"/>
              <w:rPr>
                <w:sz w:val="18"/>
                <w:szCs w:val="18"/>
              </w:rPr>
            </w:pPr>
            <w:r w:rsidRPr="00CA3D1F">
              <w:rPr>
                <w:sz w:val="18"/>
                <w:szCs w:val="18"/>
              </w:rPr>
              <w:t>MTR</w:t>
            </w:r>
          </w:p>
        </w:tc>
        <w:tc>
          <w:tcPr>
            <w:tcW w:w="1287" w:type="dxa"/>
          </w:tcPr>
          <w:p w14:paraId="3F097F2C" w14:textId="77777777" w:rsidR="007520C1" w:rsidRPr="00CA3D1F" w:rsidRDefault="007520C1" w:rsidP="00E049DB">
            <w:pPr>
              <w:jc w:val="center"/>
              <w:rPr>
                <w:sz w:val="18"/>
                <w:szCs w:val="18"/>
              </w:rPr>
            </w:pPr>
            <w:r w:rsidRPr="00CA3D1F">
              <w:rPr>
                <w:sz w:val="18"/>
                <w:szCs w:val="18"/>
              </w:rPr>
              <w:t>TE</w:t>
            </w:r>
          </w:p>
        </w:tc>
      </w:tr>
      <w:tr w:rsidR="007520C1" w:rsidRPr="004244E0" w14:paraId="172962CE" w14:textId="77777777" w:rsidTr="00DB02C4">
        <w:tc>
          <w:tcPr>
            <w:tcW w:w="1298" w:type="dxa"/>
          </w:tcPr>
          <w:p w14:paraId="17B88320" w14:textId="77777777" w:rsidR="007520C1" w:rsidRPr="00CA3D1F" w:rsidRDefault="007520C1" w:rsidP="00E049DB">
            <w:pPr>
              <w:jc w:val="right"/>
              <w:rPr>
                <w:sz w:val="18"/>
                <w:szCs w:val="18"/>
              </w:rPr>
            </w:pPr>
            <w:r w:rsidRPr="00CA3D1F">
              <w:rPr>
                <w:i/>
                <w:color w:val="000000"/>
                <w:sz w:val="18"/>
                <w:szCs w:val="18"/>
              </w:rPr>
              <w:fldChar w:fldCharType="begin">
                <w:ffData>
                  <w:name w:val="F_GEB_BD_target"/>
                  <w:enabled/>
                  <w:calcOnExit w:val="0"/>
                  <w:textInput/>
                </w:ffData>
              </w:fldChar>
            </w:r>
            <w:r w:rsidRPr="00CA3D1F">
              <w:rPr>
                <w:i/>
                <w:color w:val="000000"/>
                <w:sz w:val="18"/>
                <w:szCs w:val="18"/>
              </w:rPr>
              <w:instrText xml:space="preserve"> FORMTEXT </w:instrText>
            </w:r>
            <w:r w:rsidRPr="00CA3D1F">
              <w:rPr>
                <w:i/>
                <w:color w:val="000000"/>
                <w:sz w:val="18"/>
                <w:szCs w:val="18"/>
              </w:rPr>
            </w:r>
            <w:r w:rsidRPr="00CA3D1F">
              <w:rPr>
                <w:i/>
                <w:color w:val="000000"/>
                <w:sz w:val="18"/>
                <w:szCs w:val="18"/>
              </w:rPr>
              <w:fldChar w:fldCharType="separate"/>
            </w:r>
            <w:r w:rsidRPr="00CA3D1F">
              <w:rPr>
                <w:i/>
                <w:color w:val="000000"/>
                <w:sz w:val="18"/>
                <w:szCs w:val="18"/>
              </w:rPr>
              <w:t> </w:t>
            </w:r>
            <w:r w:rsidRPr="00CA3D1F">
              <w:rPr>
                <w:i/>
                <w:color w:val="000000"/>
                <w:sz w:val="18"/>
                <w:szCs w:val="18"/>
              </w:rPr>
              <w:t> </w:t>
            </w:r>
            <w:r w:rsidRPr="00CA3D1F">
              <w:rPr>
                <w:i/>
                <w:color w:val="000000"/>
                <w:sz w:val="18"/>
                <w:szCs w:val="18"/>
              </w:rPr>
              <w:t> </w:t>
            </w:r>
            <w:r w:rsidRPr="00CA3D1F">
              <w:rPr>
                <w:i/>
                <w:color w:val="000000"/>
                <w:sz w:val="18"/>
                <w:szCs w:val="18"/>
              </w:rPr>
              <w:t> </w:t>
            </w:r>
            <w:r w:rsidRPr="00CA3D1F">
              <w:rPr>
                <w:i/>
                <w:color w:val="000000"/>
                <w:sz w:val="18"/>
                <w:szCs w:val="18"/>
              </w:rPr>
              <w:t> </w:t>
            </w:r>
            <w:r w:rsidRPr="00CA3D1F">
              <w:rPr>
                <w:i/>
                <w:color w:val="000000"/>
                <w:sz w:val="18"/>
                <w:szCs w:val="18"/>
              </w:rPr>
              <w:fldChar w:fldCharType="end"/>
            </w:r>
          </w:p>
        </w:tc>
        <w:tc>
          <w:tcPr>
            <w:tcW w:w="933" w:type="dxa"/>
          </w:tcPr>
          <w:p w14:paraId="1C8B3101" w14:textId="77777777" w:rsidR="007520C1" w:rsidRPr="00CA3D1F" w:rsidRDefault="007520C1" w:rsidP="00E049DB">
            <w:pPr>
              <w:jc w:val="right"/>
              <w:rPr>
                <w:sz w:val="18"/>
                <w:szCs w:val="18"/>
              </w:rPr>
            </w:pPr>
            <w:r w:rsidRPr="00CA3D1F">
              <w:rPr>
                <w:i/>
                <w:color w:val="000000"/>
                <w:sz w:val="18"/>
                <w:szCs w:val="18"/>
              </w:rPr>
              <w:fldChar w:fldCharType="begin">
                <w:ffData>
                  <w:name w:val="F_GEB_BD_target"/>
                  <w:enabled/>
                  <w:calcOnExit w:val="0"/>
                  <w:textInput/>
                </w:ffData>
              </w:fldChar>
            </w:r>
            <w:r w:rsidRPr="00CA3D1F">
              <w:rPr>
                <w:i/>
                <w:color w:val="000000"/>
                <w:sz w:val="18"/>
                <w:szCs w:val="18"/>
              </w:rPr>
              <w:instrText xml:space="preserve"> FORMTEXT </w:instrText>
            </w:r>
            <w:r w:rsidRPr="00CA3D1F">
              <w:rPr>
                <w:i/>
                <w:color w:val="000000"/>
                <w:sz w:val="18"/>
                <w:szCs w:val="18"/>
              </w:rPr>
            </w:r>
            <w:r w:rsidRPr="00CA3D1F">
              <w:rPr>
                <w:i/>
                <w:color w:val="000000"/>
                <w:sz w:val="18"/>
                <w:szCs w:val="18"/>
              </w:rPr>
              <w:fldChar w:fldCharType="separate"/>
            </w:r>
            <w:r w:rsidRPr="00CA3D1F">
              <w:rPr>
                <w:i/>
                <w:color w:val="000000"/>
                <w:sz w:val="18"/>
                <w:szCs w:val="18"/>
              </w:rPr>
              <w:t> </w:t>
            </w:r>
            <w:r w:rsidRPr="00CA3D1F">
              <w:rPr>
                <w:i/>
                <w:color w:val="000000"/>
                <w:sz w:val="18"/>
                <w:szCs w:val="18"/>
              </w:rPr>
              <w:t> </w:t>
            </w:r>
            <w:r w:rsidRPr="00CA3D1F">
              <w:rPr>
                <w:i/>
                <w:color w:val="000000"/>
                <w:sz w:val="18"/>
                <w:szCs w:val="18"/>
              </w:rPr>
              <w:t> </w:t>
            </w:r>
            <w:r w:rsidRPr="00CA3D1F">
              <w:rPr>
                <w:i/>
                <w:color w:val="000000"/>
                <w:sz w:val="18"/>
                <w:szCs w:val="18"/>
              </w:rPr>
              <w:t> </w:t>
            </w:r>
            <w:r w:rsidRPr="00CA3D1F">
              <w:rPr>
                <w:i/>
                <w:color w:val="000000"/>
                <w:sz w:val="18"/>
                <w:szCs w:val="18"/>
              </w:rPr>
              <w:t> </w:t>
            </w:r>
            <w:r w:rsidRPr="00CA3D1F">
              <w:rPr>
                <w:i/>
                <w:color w:val="000000"/>
                <w:sz w:val="18"/>
                <w:szCs w:val="18"/>
              </w:rPr>
              <w:fldChar w:fldCharType="end"/>
            </w:r>
          </w:p>
        </w:tc>
        <w:tc>
          <w:tcPr>
            <w:tcW w:w="1726" w:type="dxa"/>
          </w:tcPr>
          <w:p w14:paraId="22E3A6B1" w14:textId="77777777" w:rsidR="007520C1" w:rsidRPr="00CA3D1F" w:rsidRDefault="007520C1" w:rsidP="00E049DB">
            <w:pPr>
              <w:jc w:val="right"/>
              <w:rPr>
                <w:sz w:val="18"/>
                <w:szCs w:val="18"/>
              </w:rPr>
            </w:pPr>
            <w:r w:rsidRPr="00CA3D1F">
              <w:rPr>
                <w:color w:val="000000"/>
                <w:sz w:val="18"/>
                <w:szCs w:val="18"/>
              </w:rPr>
              <w:fldChar w:fldCharType="begin">
                <w:ffData>
                  <w:name w:val=""/>
                  <w:enabled/>
                  <w:calcOnExit w:val="0"/>
                  <w:ddList>
                    <w:listEntry w:val="(select)"/>
                    <w:listEntry w:val="Ia Strict Nature Reserve"/>
                    <w:listEntry w:val="Ib Wilderness Area"/>
                    <w:listEntry w:val="II National Park"/>
                    <w:listEntry w:val="III Natural Monument or Feature"/>
                    <w:listEntry w:val="IV Habitat/Species Management Area"/>
                    <w:listEntry w:val="V Protected Landscape/Seascape"/>
                    <w:listEntry w:val="VI PA with sustainable use of natural resources"/>
                    <w:listEntry w:val="Other"/>
                  </w:ddList>
                </w:ffData>
              </w:fldChar>
            </w:r>
            <w:r w:rsidRPr="00CA3D1F">
              <w:rPr>
                <w:color w:val="000000"/>
                <w:sz w:val="18"/>
                <w:szCs w:val="18"/>
              </w:rPr>
              <w:instrText xml:space="preserve"> FORMDROPDOWN </w:instrText>
            </w:r>
            <w:r w:rsidR="000C73F8">
              <w:rPr>
                <w:color w:val="000000"/>
                <w:sz w:val="18"/>
                <w:szCs w:val="18"/>
              </w:rPr>
            </w:r>
            <w:r w:rsidR="000C73F8">
              <w:rPr>
                <w:color w:val="000000"/>
                <w:sz w:val="18"/>
                <w:szCs w:val="18"/>
              </w:rPr>
              <w:fldChar w:fldCharType="separate"/>
            </w:r>
            <w:r w:rsidRPr="00CA3D1F">
              <w:rPr>
                <w:color w:val="000000"/>
                <w:sz w:val="18"/>
                <w:szCs w:val="18"/>
              </w:rPr>
              <w:fldChar w:fldCharType="end"/>
            </w:r>
            <w:r w:rsidRPr="00CA3D1F">
              <w:rPr>
                <w:color w:val="000000"/>
                <w:sz w:val="18"/>
                <w:szCs w:val="18"/>
              </w:rPr>
              <w:t xml:space="preserve">  </w:t>
            </w:r>
          </w:p>
        </w:tc>
        <w:tc>
          <w:tcPr>
            <w:tcW w:w="906" w:type="dxa"/>
          </w:tcPr>
          <w:p w14:paraId="127E980A" w14:textId="77777777" w:rsidR="007520C1" w:rsidRPr="00CA3D1F" w:rsidRDefault="007520C1" w:rsidP="00E049DB">
            <w:pPr>
              <w:jc w:val="right"/>
              <w:rPr>
                <w:sz w:val="18"/>
                <w:szCs w:val="18"/>
              </w:rPr>
            </w:pPr>
            <w:r w:rsidRPr="00CA3D1F">
              <w:rPr>
                <w:i/>
                <w:color w:val="000000"/>
                <w:sz w:val="18"/>
                <w:szCs w:val="18"/>
              </w:rPr>
              <w:fldChar w:fldCharType="begin">
                <w:ffData>
                  <w:name w:val="F_GEB_BD_target"/>
                  <w:enabled/>
                  <w:calcOnExit w:val="0"/>
                  <w:textInput/>
                </w:ffData>
              </w:fldChar>
            </w:r>
            <w:r w:rsidRPr="00CA3D1F">
              <w:rPr>
                <w:i/>
                <w:color w:val="000000"/>
                <w:sz w:val="18"/>
                <w:szCs w:val="18"/>
              </w:rPr>
              <w:instrText xml:space="preserve"> FORMTEXT </w:instrText>
            </w:r>
            <w:r w:rsidRPr="00CA3D1F">
              <w:rPr>
                <w:i/>
                <w:color w:val="000000"/>
                <w:sz w:val="18"/>
                <w:szCs w:val="18"/>
              </w:rPr>
            </w:r>
            <w:r w:rsidRPr="00CA3D1F">
              <w:rPr>
                <w:i/>
                <w:color w:val="000000"/>
                <w:sz w:val="18"/>
                <w:szCs w:val="18"/>
              </w:rPr>
              <w:fldChar w:fldCharType="separate"/>
            </w:r>
            <w:r w:rsidRPr="00CA3D1F">
              <w:rPr>
                <w:i/>
                <w:color w:val="000000"/>
                <w:sz w:val="18"/>
                <w:szCs w:val="18"/>
              </w:rPr>
              <w:t> </w:t>
            </w:r>
            <w:r w:rsidRPr="00CA3D1F">
              <w:rPr>
                <w:i/>
                <w:color w:val="000000"/>
                <w:sz w:val="18"/>
                <w:szCs w:val="18"/>
              </w:rPr>
              <w:t> </w:t>
            </w:r>
            <w:r w:rsidRPr="00CA3D1F">
              <w:rPr>
                <w:i/>
                <w:color w:val="000000"/>
                <w:sz w:val="18"/>
                <w:szCs w:val="18"/>
              </w:rPr>
              <w:t> </w:t>
            </w:r>
            <w:r w:rsidRPr="00CA3D1F">
              <w:rPr>
                <w:i/>
                <w:color w:val="000000"/>
                <w:sz w:val="18"/>
                <w:szCs w:val="18"/>
              </w:rPr>
              <w:t> </w:t>
            </w:r>
            <w:r w:rsidRPr="00CA3D1F">
              <w:rPr>
                <w:i/>
                <w:color w:val="000000"/>
                <w:sz w:val="18"/>
                <w:szCs w:val="18"/>
              </w:rPr>
              <w:t> </w:t>
            </w:r>
            <w:r w:rsidRPr="00CA3D1F">
              <w:rPr>
                <w:i/>
                <w:color w:val="000000"/>
                <w:sz w:val="18"/>
                <w:szCs w:val="18"/>
              </w:rPr>
              <w:fldChar w:fldCharType="end"/>
            </w:r>
          </w:p>
        </w:tc>
        <w:tc>
          <w:tcPr>
            <w:tcW w:w="1876" w:type="dxa"/>
          </w:tcPr>
          <w:p w14:paraId="1D9B72E7" w14:textId="77777777" w:rsidR="007520C1" w:rsidRPr="00CA3D1F" w:rsidRDefault="007520C1" w:rsidP="00E049DB">
            <w:pPr>
              <w:jc w:val="right"/>
              <w:rPr>
                <w:sz w:val="18"/>
                <w:szCs w:val="18"/>
              </w:rPr>
            </w:pPr>
          </w:p>
        </w:tc>
        <w:tc>
          <w:tcPr>
            <w:tcW w:w="1485" w:type="dxa"/>
            <w:gridSpan w:val="3"/>
          </w:tcPr>
          <w:p w14:paraId="6F93D564" w14:textId="77777777" w:rsidR="007520C1" w:rsidRPr="00CA3D1F" w:rsidRDefault="007520C1" w:rsidP="00E049DB">
            <w:pPr>
              <w:jc w:val="right"/>
              <w:rPr>
                <w:sz w:val="18"/>
                <w:szCs w:val="18"/>
              </w:rPr>
            </w:pPr>
            <w:r w:rsidRPr="00CA3D1F">
              <w:rPr>
                <w:i/>
                <w:color w:val="000000"/>
                <w:sz w:val="18"/>
                <w:szCs w:val="18"/>
              </w:rPr>
              <w:fldChar w:fldCharType="begin">
                <w:ffData>
                  <w:name w:val="F_GEB_BD_target"/>
                  <w:enabled/>
                  <w:calcOnExit w:val="0"/>
                  <w:textInput/>
                </w:ffData>
              </w:fldChar>
            </w:r>
            <w:r w:rsidRPr="00CA3D1F">
              <w:rPr>
                <w:i/>
                <w:color w:val="000000"/>
                <w:sz w:val="18"/>
                <w:szCs w:val="18"/>
              </w:rPr>
              <w:instrText xml:space="preserve"> FORMTEXT </w:instrText>
            </w:r>
            <w:r w:rsidRPr="00CA3D1F">
              <w:rPr>
                <w:i/>
                <w:color w:val="000000"/>
                <w:sz w:val="18"/>
                <w:szCs w:val="18"/>
              </w:rPr>
            </w:r>
            <w:r w:rsidRPr="00CA3D1F">
              <w:rPr>
                <w:i/>
                <w:color w:val="000000"/>
                <w:sz w:val="18"/>
                <w:szCs w:val="18"/>
              </w:rPr>
              <w:fldChar w:fldCharType="separate"/>
            </w:r>
            <w:r w:rsidRPr="00CA3D1F">
              <w:rPr>
                <w:i/>
                <w:color w:val="000000"/>
                <w:sz w:val="18"/>
                <w:szCs w:val="18"/>
              </w:rPr>
              <w:t> </w:t>
            </w:r>
            <w:r w:rsidRPr="00CA3D1F">
              <w:rPr>
                <w:i/>
                <w:color w:val="000000"/>
                <w:sz w:val="18"/>
                <w:szCs w:val="18"/>
              </w:rPr>
              <w:t> </w:t>
            </w:r>
            <w:r w:rsidRPr="00CA3D1F">
              <w:rPr>
                <w:i/>
                <w:color w:val="000000"/>
                <w:sz w:val="18"/>
                <w:szCs w:val="18"/>
              </w:rPr>
              <w:t> </w:t>
            </w:r>
            <w:r w:rsidRPr="00CA3D1F">
              <w:rPr>
                <w:i/>
                <w:color w:val="000000"/>
                <w:sz w:val="18"/>
                <w:szCs w:val="18"/>
              </w:rPr>
              <w:t> </w:t>
            </w:r>
            <w:r w:rsidRPr="00CA3D1F">
              <w:rPr>
                <w:i/>
                <w:color w:val="000000"/>
                <w:sz w:val="18"/>
                <w:szCs w:val="18"/>
              </w:rPr>
              <w:t> </w:t>
            </w:r>
            <w:r w:rsidRPr="00CA3D1F">
              <w:rPr>
                <w:i/>
                <w:color w:val="000000"/>
                <w:sz w:val="18"/>
                <w:szCs w:val="18"/>
              </w:rPr>
              <w:fldChar w:fldCharType="end"/>
            </w:r>
          </w:p>
        </w:tc>
        <w:tc>
          <w:tcPr>
            <w:tcW w:w="1324" w:type="dxa"/>
            <w:gridSpan w:val="2"/>
          </w:tcPr>
          <w:p w14:paraId="156E567D" w14:textId="77777777" w:rsidR="007520C1" w:rsidRPr="00CA3D1F" w:rsidRDefault="007520C1" w:rsidP="00E049DB">
            <w:pPr>
              <w:jc w:val="right"/>
              <w:rPr>
                <w:sz w:val="18"/>
                <w:szCs w:val="18"/>
              </w:rPr>
            </w:pPr>
            <w:r w:rsidRPr="00CA3D1F">
              <w:rPr>
                <w:i/>
                <w:color w:val="000000"/>
                <w:sz w:val="18"/>
                <w:szCs w:val="18"/>
              </w:rPr>
              <w:fldChar w:fldCharType="begin">
                <w:ffData>
                  <w:name w:val="F_GEB_BD_target"/>
                  <w:enabled/>
                  <w:calcOnExit w:val="0"/>
                  <w:textInput/>
                </w:ffData>
              </w:fldChar>
            </w:r>
            <w:r w:rsidRPr="00CA3D1F">
              <w:rPr>
                <w:i/>
                <w:color w:val="000000"/>
                <w:sz w:val="18"/>
                <w:szCs w:val="18"/>
              </w:rPr>
              <w:instrText xml:space="preserve"> FORMTEXT </w:instrText>
            </w:r>
            <w:r w:rsidRPr="00CA3D1F">
              <w:rPr>
                <w:i/>
                <w:color w:val="000000"/>
                <w:sz w:val="18"/>
                <w:szCs w:val="18"/>
              </w:rPr>
            </w:r>
            <w:r w:rsidRPr="00CA3D1F">
              <w:rPr>
                <w:i/>
                <w:color w:val="000000"/>
                <w:sz w:val="18"/>
                <w:szCs w:val="18"/>
              </w:rPr>
              <w:fldChar w:fldCharType="separate"/>
            </w:r>
            <w:r w:rsidRPr="00CA3D1F">
              <w:rPr>
                <w:i/>
                <w:color w:val="000000"/>
                <w:sz w:val="18"/>
                <w:szCs w:val="18"/>
              </w:rPr>
              <w:t> </w:t>
            </w:r>
            <w:r w:rsidRPr="00CA3D1F">
              <w:rPr>
                <w:i/>
                <w:color w:val="000000"/>
                <w:sz w:val="18"/>
                <w:szCs w:val="18"/>
              </w:rPr>
              <w:t> </w:t>
            </w:r>
            <w:r w:rsidRPr="00CA3D1F">
              <w:rPr>
                <w:i/>
                <w:color w:val="000000"/>
                <w:sz w:val="18"/>
                <w:szCs w:val="18"/>
              </w:rPr>
              <w:t> </w:t>
            </w:r>
            <w:r w:rsidRPr="00CA3D1F">
              <w:rPr>
                <w:i/>
                <w:color w:val="000000"/>
                <w:sz w:val="18"/>
                <w:szCs w:val="18"/>
              </w:rPr>
              <w:t> </w:t>
            </w:r>
            <w:r w:rsidRPr="00CA3D1F">
              <w:rPr>
                <w:i/>
                <w:color w:val="000000"/>
                <w:sz w:val="18"/>
                <w:szCs w:val="18"/>
              </w:rPr>
              <w:t> </w:t>
            </w:r>
            <w:r w:rsidRPr="00CA3D1F">
              <w:rPr>
                <w:i/>
                <w:color w:val="000000"/>
                <w:sz w:val="18"/>
                <w:szCs w:val="18"/>
              </w:rPr>
              <w:fldChar w:fldCharType="end"/>
            </w:r>
          </w:p>
        </w:tc>
        <w:tc>
          <w:tcPr>
            <w:tcW w:w="1287" w:type="dxa"/>
          </w:tcPr>
          <w:p w14:paraId="44F8C84F" w14:textId="77777777" w:rsidR="007520C1" w:rsidRPr="00CA3D1F" w:rsidRDefault="007520C1" w:rsidP="00E049DB">
            <w:pPr>
              <w:jc w:val="right"/>
              <w:rPr>
                <w:sz w:val="18"/>
                <w:szCs w:val="18"/>
              </w:rPr>
            </w:pPr>
            <w:r w:rsidRPr="00CA3D1F">
              <w:rPr>
                <w:i/>
                <w:color w:val="000000"/>
                <w:sz w:val="18"/>
                <w:szCs w:val="18"/>
              </w:rPr>
              <w:fldChar w:fldCharType="begin">
                <w:ffData>
                  <w:name w:val="F_GEB_BD_target"/>
                  <w:enabled/>
                  <w:calcOnExit w:val="0"/>
                  <w:textInput/>
                </w:ffData>
              </w:fldChar>
            </w:r>
            <w:r w:rsidRPr="00CA3D1F">
              <w:rPr>
                <w:i/>
                <w:color w:val="000000"/>
                <w:sz w:val="18"/>
                <w:szCs w:val="18"/>
              </w:rPr>
              <w:instrText xml:space="preserve"> FORMTEXT </w:instrText>
            </w:r>
            <w:r w:rsidRPr="00CA3D1F">
              <w:rPr>
                <w:i/>
                <w:color w:val="000000"/>
                <w:sz w:val="18"/>
                <w:szCs w:val="18"/>
              </w:rPr>
            </w:r>
            <w:r w:rsidRPr="00CA3D1F">
              <w:rPr>
                <w:i/>
                <w:color w:val="000000"/>
                <w:sz w:val="18"/>
                <w:szCs w:val="18"/>
              </w:rPr>
              <w:fldChar w:fldCharType="separate"/>
            </w:r>
            <w:r w:rsidRPr="00CA3D1F">
              <w:rPr>
                <w:i/>
                <w:color w:val="000000"/>
                <w:sz w:val="18"/>
                <w:szCs w:val="18"/>
              </w:rPr>
              <w:t> </w:t>
            </w:r>
            <w:r w:rsidRPr="00CA3D1F">
              <w:rPr>
                <w:i/>
                <w:color w:val="000000"/>
                <w:sz w:val="18"/>
                <w:szCs w:val="18"/>
              </w:rPr>
              <w:t> </w:t>
            </w:r>
            <w:r w:rsidRPr="00CA3D1F">
              <w:rPr>
                <w:i/>
                <w:color w:val="000000"/>
                <w:sz w:val="18"/>
                <w:szCs w:val="18"/>
              </w:rPr>
              <w:t> </w:t>
            </w:r>
            <w:r w:rsidRPr="00CA3D1F">
              <w:rPr>
                <w:i/>
                <w:color w:val="000000"/>
                <w:sz w:val="18"/>
                <w:szCs w:val="18"/>
              </w:rPr>
              <w:t> </w:t>
            </w:r>
            <w:r w:rsidRPr="00CA3D1F">
              <w:rPr>
                <w:i/>
                <w:color w:val="000000"/>
                <w:sz w:val="18"/>
                <w:szCs w:val="18"/>
              </w:rPr>
              <w:t> </w:t>
            </w:r>
            <w:r w:rsidRPr="00CA3D1F">
              <w:rPr>
                <w:i/>
                <w:color w:val="000000"/>
                <w:sz w:val="18"/>
                <w:szCs w:val="18"/>
              </w:rPr>
              <w:fldChar w:fldCharType="end"/>
            </w:r>
          </w:p>
        </w:tc>
      </w:tr>
      <w:tr w:rsidR="007520C1" w:rsidRPr="004244E0" w14:paraId="2D3B3D65" w14:textId="77777777" w:rsidTr="00DB02C4">
        <w:tc>
          <w:tcPr>
            <w:tcW w:w="1298" w:type="dxa"/>
          </w:tcPr>
          <w:p w14:paraId="29C04617" w14:textId="77777777" w:rsidR="007520C1" w:rsidRPr="00CA3D1F" w:rsidRDefault="007520C1" w:rsidP="00E049DB">
            <w:pPr>
              <w:jc w:val="right"/>
              <w:rPr>
                <w:sz w:val="18"/>
                <w:szCs w:val="18"/>
              </w:rPr>
            </w:pPr>
            <w:r w:rsidRPr="00CA3D1F">
              <w:rPr>
                <w:i/>
                <w:color w:val="000000"/>
                <w:sz w:val="18"/>
                <w:szCs w:val="18"/>
              </w:rPr>
              <w:fldChar w:fldCharType="begin">
                <w:ffData>
                  <w:name w:val="F_GEB_BD_target"/>
                  <w:enabled/>
                  <w:calcOnExit w:val="0"/>
                  <w:textInput/>
                </w:ffData>
              </w:fldChar>
            </w:r>
            <w:r w:rsidRPr="00CA3D1F">
              <w:rPr>
                <w:i/>
                <w:color w:val="000000"/>
                <w:sz w:val="18"/>
                <w:szCs w:val="18"/>
              </w:rPr>
              <w:instrText xml:space="preserve"> FORMTEXT </w:instrText>
            </w:r>
            <w:r w:rsidRPr="00CA3D1F">
              <w:rPr>
                <w:i/>
                <w:color w:val="000000"/>
                <w:sz w:val="18"/>
                <w:szCs w:val="18"/>
              </w:rPr>
            </w:r>
            <w:r w:rsidRPr="00CA3D1F">
              <w:rPr>
                <w:i/>
                <w:color w:val="000000"/>
                <w:sz w:val="18"/>
                <w:szCs w:val="18"/>
              </w:rPr>
              <w:fldChar w:fldCharType="separate"/>
            </w:r>
            <w:r w:rsidRPr="00CA3D1F">
              <w:rPr>
                <w:i/>
                <w:color w:val="000000"/>
                <w:sz w:val="18"/>
                <w:szCs w:val="18"/>
              </w:rPr>
              <w:t> </w:t>
            </w:r>
            <w:r w:rsidRPr="00CA3D1F">
              <w:rPr>
                <w:i/>
                <w:color w:val="000000"/>
                <w:sz w:val="18"/>
                <w:szCs w:val="18"/>
              </w:rPr>
              <w:t> </w:t>
            </w:r>
            <w:r w:rsidRPr="00CA3D1F">
              <w:rPr>
                <w:i/>
                <w:color w:val="000000"/>
                <w:sz w:val="18"/>
                <w:szCs w:val="18"/>
              </w:rPr>
              <w:t> </w:t>
            </w:r>
            <w:r w:rsidRPr="00CA3D1F">
              <w:rPr>
                <w:i/>
                <w:color w:val="000000"/>
                <w:sz w:val="18"/>
                <w:szCs w:val="18"/>
              </w:rPr>
              <w:t> </w:t>
            </w:r>
            <w:r w:rsidRPr="00CA3D1F">
              <w:rPr>
                <w:i/>
                <w:color w:val="000000"/>
                <w:sz w:val="18"/>
                <w:szCs w:val="18"/>
              </w:rPr>
              <w:t> </w:t>
            </w:r>
            <w:r w:rsidRPr="00CA3D1F">
              <w:rPr>
                <w:i/>
                <w:color w:val="000000"/>
                <w:sz w:val="18"/>
                <w:szCs w:val="18"/>
              </w:rPr>
              <w:fldChar w:fldCharType="end"/>
            </w:r>
          </w:p>
        </w:tc>
        <w:tc>
          <w:tcPr>
            <w:tcW w:w="933" w:type="dxa"/>
          </w:tcPr>
          <w:p w14:paraId="504D9E3F" w14:textId="77777777" w:rsidR="007520C1" w:rsidRPr="00CA3D1F" w:rsidRDefault="007520C1" w:rsidP="00E049DB">
            <w:pPr>
              <w:jc w:val="right"/>
              <w:rPr>
                <w:sz w:val="18"/>
                <w:szCs w:val="18"/>
              </w:rPr>
            </w:pPr>
            <w:r w:rsidRPr="00CA3D1F">
              <w:rPr>
                <w:i/>
                <w:color w:val="000000"/>
                <w:sz w:val="18"/>
                <w:szCs w:val="18"/>
              </w:rPr>
              <w:fldChar w:fldCharType="begin">
                <w:ffData>
                  <w:name w:val="F_GEB_BD_target"/>
                  <w:enabled/>
                  <w:calcOnExit w:val="0"/>
                  <w:textInput/>
                </w:ffData>
              </w:fldChar>
            </w:r>
            <w:r w:rsidRPr="00CA3D1F">
              <w:rPr>
                <w:i/>
                <w:color w:val="000000"/>
                <w:sz w:val="18"/>
                <w:szCs w:val="18"/>
              </w:rPr>
              <w:instrText xml:space="preserve"> FORMTEXT </w:instrText>
            </w:r>
            <w:r w:rsidRPr="00CA3D1F">
              <w:rPr>
                <w:i/>
                <w:color w:val="000000"/>
                <w:sz w:val="18"/>
                <w:szCs w:val="18"/>
              </w:rPr>
            </w:r>
            <w:r w:rsidRPr="00CA3D1F">
              <w:rPr>
                <w:i/>
                <w:color w:val="000000"/>
                <w:sz w:val="18"/>
                <w:szCs w:val="18"/>
              </w:rPr>
              <w:fldChar w:fldCharType="separate"/>
            </w:r>
            <w:r w:rsidRPr="00CA3D1F">
              <w:rPr>
                <w:i/>
                <w:color w:val="000000"/>
                <w:sz w:val="18"/>
                <w:szCs w:val="18"/>
              </w:rPr>
              <w:t> </w:t>
            </w:r>
            <w:r w:rsidRPr="00CA3D1F">
              <w:rPr>
                <w:i/>
                <w:color w:val="000000"/>
                <w:sz w:val="18"/>
                <w:szCs w:val="18"/>
              </w:rPr>
              <w:t> </w:t>
            </w:r>
            <w:r w:rsidRPr="00CA3D1F">
              <w:rPr>
                <w:i/>
                <w:color w:val="000000"/>
                <w:sz w:val="18"/>
                <w:szCs w:val="18"/>
              </w:rPr>
              <w:t> </w:t>
            </w:r>
            <w:r w:rsidRPr="00CA3D1F">
              <w:rPr>
                <w:i/>
                <w:color w:val="000000"/>
                <w:sz w:val="18"/>
                <w:szCs w:val="18"/>
              </w:rPr>
              <w:t> </w:t>
            </w:r>
            <w:r w:rsidRPr="00CA3D1F">
              <w:rPr>
                <w:i/>
                <w:color w:val="000000"/>
                <w:sz w:val="18"/>
                <w:szCs w:val="18"/>
              </w:rPr>
              <w:t> </w:t>
            </w:r>
            <w:r w:rsidRPr="00CA3D1F">
              <w:rPr>
                <w:i/>
                <w:color w:val="000000"/>
                <w:sz w:val="18"/>
                <w:szCs w:val="18"/>
              </w:rPr>
              <w:fldChar w:fldCharType="end"/>
            </w:r>
          </w:p>
        </w:tc>
        <w:tc>
          <w:tcPr>
            <w:tcW w:w="1726" w:type="dxa"/>
          </w:tcPr>
          <w:p w14:paraId="4CBCB213" w14:textId="77777777" w:rsidR="007520C1" w:rsidRPr="00CA3D1F" w:rsidRDefault="007520C1" w:rsidP="00E049DB">
            <w:pPr>
              <w:jc w:val="right"/>
              <w:rPr>
                <w:sz w:val="18"/>
                <w:szCs w:val="18"/>
              </w:rPr>
            </w:pPr>
            <w:r w:rsidRPr="00CA3D1F">
              <w:rPr>
                <w:color w:val="000000"/>
                <w:sz w:val="18"/>
                <w:szCs w:val="18"/>
              </w:rPr>
              <w:fldChar w:fldCharType="begin">
                <w:ffData>
                  <w:name w:val=""/>
                  <w:enabled/>
                  <w:calcOnExit w:val="0"/>
                  <w:ddList>
                    <w:listEntry w:val="(select)"/>
                    <w:listEntry w:val="Ia Strict Nature Reserve"/>
                    <w:listEntry w:val="Ib Wilderness Area"/>
                    <w:listEntry w:val="II National Park"/>
                    <w:listEntry w:val="III Natural Monument or Feature"/>
                    <w:listEntry w:val="IV Habitat/Species Management Area"/>
                    <w:listEntry w:val="V Protected Landscape/Seascape"/>
                    <w:listEntry w:val="VI PA with sustainable use of natural resources"/>
                    <w:listEntry w:val="Other"/>
                  </w:ddList>
                </w:ffData>
              </w:fldChar>
            </w:r>
            <w:r w:rsidRPr="00CA3D1F">
              <w:rPr>
                <w:color w:val="000000"/>
                <w:sz w:val="18"/>
                <w:szCs w:val="18"/>
              </w:rPr>
              <w:instrText xml:space="preserve"> FORMDROPDOWN </w:instrText>
            </w:r>
            <w:r w:rsidR="000C73F8">
              <w:rPr>
                <w:color w:val="000000"/>
                <w:sz w:val="18"/>
                <w:szCs w:val="18"/>
              </w:rPr>
            </w:r>
            <w:r w:rsidR="000C73F8">
              <w:rPr>
                <w:color w:val="000000"/>
                <w:sz w:val="18"/>
                <w:szCs w:val="18"/>
              </w:rPr>
              <w:fldChar w:fldCharType="separate"/>
            </w:r>
            <w:r w:rsidRPr="00CA3D1F">
              <w:rPr>
                <w:color w:val="000000"/>
                <w:sz w:val="18"/>
                <w:szCs w:val="18"/>
              </w:rPr>
              <w:fldChar w:fldCharType="end"/>
            </w:r>
            <w:r w:rsidRPr="00CA3D1F">
              <w:rPr>
                <w:color w:val="000000"/>
                <w:sz w:val="18"/>
                <w:szCs w:val="18"/>
              </w:rPr>
              <w:t xml:space="preserve">  </w:t>
            </w:r>
          </w:p>
        </w:tc>
        <w:tc>
          <w:tcPr>
            <w:tcW w:w="906" w:type="dxa"/>
          </w:tcPr>
          <w:p w14:paraId="7E085EE9" w14:textId="77777777" w:rsidR="007520C1" w:rsidRPr="00CA3D1F" w:rsidRDefault="007520C1" w:rsidP="00E049DB">
            <w:pPr>
              <w:jc w:val="right"/>
              <w:rPr>
                <w:sz w:val="18"/>
                <w:szCs w:val="18"/>
              </w:rPr>
            </w:pPr>
            <w:r w:rsidRPr="00CA3D1F">
              <w:rPr>
                <w:i/>
                <w:color w:val="000000"/>
                <w:sz w:val="18"/>
                <w:szCs w:val="18"/>
              </w:rPr>
              <w:fldChar w:fldCharType="begin">
                <w:ffData>
                  <w:name w:val="F_GEB_BD_target"/>
                  <w:enabled/>
                  <w:calcOnExit w:val="0"/>
                  <w:textInput/>
                </w:ffData>
              </w:fldChar>
            </w:r>
            <w:r w:rsidRPr="00CA3D1F">
              <w:rPr>
                <w:i/>
                <w:color w:val="000000"/>
                <w:sz w:val="18"/>
                <w:szCs w:val="18"/>
              </w:rPr>
              <w:instrText xml:space="preserve"> FORMTEXT </w:instrText>
            </w:r>
            <w:r w:rsidRPr="00CA3D1F">
              <w:rPr>
                <w:i/>
                <w:color w:val="000000"/>
                <w:sz w:val="18"/>
                <w:szCs w:val="18"/>
              </w:rPr>
            </w:r>
            <w:r w:rsidRPr="00CA3D1F">
              <w:rPr>
                <w:i/>
                <w:color w:val="000000"/>
                <w:sz w:val="18"/>
                <w:szCs w:val="18"/>
              </w:rPr>
              <w:fldChar w:fldCharType="separate"/>
            </w:r>
            <w:r w:rsidRPr="00CA3D1F">
              <w:rPr>
                <w:i/>
                <w:color w:val="000000"/>
                <w:sz w:val="18"/>
                <w:szCs w:val="18"/>
              </w:rPr>
              <w:t> </w:t>
            </w:r>
            <w:r w:rsidRPr="00CA3D1F">
              <w:rPr>
                <w:i/>
                <w:color w:val="000000"/>
                <w:sz w:val="18"/>
                <w:szCs w:val="18"/>
              </w:rPr>
              <w:t> </w:t>
            </w:r>
            <w:r w:rsidRPr="00CA3D1F">
              <w:rPr>
                <w:i/>
                <w:color w:val="000000"/>
                <w:sz w:val="18"/>
                <w:szCs w:val="18"/>
              </w:rPr>
              <w:t> </w:t>
            </w:r>
            <w:r w:rsidRPr="00CA3D1F">
              <w:rPr>
                <w:i/>
                <w:color w:val="000000"/>
                <w:sz w:val="18"/>
                <w:szCs w:val="18"/>
              </w:rPr>
              <w:t> </w:t>
            </w:r>
            <w:r w:rsidRPr="00CA3D1F">
              <w:rPr>
                <w:i/>
                <w:color w:val="000000"/>
                <w:sz w:val="18"/>
                <w:szCs w:val="18"/>
              </w:rPr>
              <w:t> </w:t>
            </w:r>
            <w:r w:rsidRPr="00CA3D1F">
              <w:rPr>
                <w:i/>
                <w:color w:val="000000"/>
                <w:sz w:val="18"/>
                <w:szCs w:val="18"/>
              </w:rPr>
              <w:fldChar w:fldCharType="end"/>
            </w:r>
          </w:p>
        </w:tc>
        <w:tc>
          <w:tcPr>
            <w:tcW w:w="1876" w:type="dxa"/>
          </w:tcPr>
          <w:p w14:paraId="222E12F2" w14:textId="77777777" w:rsidR="007520C1" w:rsidRPr="00CA3D1F" w:rsidRDefault="007520C1" w:rsidP="00E049DB">
            <w:pPr>
              <w:jc w:val="right"/>
              <w:rPr>
                <w:sz w:val="18"/>
                <w:szCs w:val="18"/>
              </w:rPr>
            </w:pPr>
          </w:p>
        </w:tc>
        <w:tc>
          <w:tcPr>
            <w:tcW w:w="1485" w:type="dxa"/>
            <w:gridSpan w:val="3"/>
          </w:tcPr>
          <w:p w14:paraId="5C99A2F5" w14:textId="77777777" w:rsidR="007520C1" w:rsidRPr="00CA3D1F" w:rsidRDefault="007520C1" w:rsidP="00E049DB">
            <w:pPr>
              <w:jc w:val="right"/>
              <w:rPr>
                <w:sz w:val="18"/>
                <w:szCs w:val="18"/>
              </w:rPr>
            </w:pPr>
            <w:r w:rsidRPr="00CA3D1F">
              <w:rPr>
                <w:i/>
                <w:color w:val="000000"/>
                <w:sz w:val="18"/>
                <w:szCs w:val="18"/>
              </w:rPr>
              <w:fldChar w:fldCharType="begin">
                <w:ffData>
                  <w:name w:val="F_GEB_BD_target"/>
                  <w:enabled/>
                  <w:calcOnExit w:val="0"/>
                  <w:textInput/>
                </w:ffData>
              </w:fldChar>
            </w:r>
            <w:r w:rsidRPr="00CA3D1F">
              <w:rPr>
                <w:i/>
                <w:color w:val="000000"/>
                <w:sz w:val="18"/>
                <w:szCs w:val="18"/>
              </w:rPr>
              <w:instrText xml:space="preserve"> FORMTEXT </w:instrText>
            </w:r>
            <w:r w:rsidRPr="00CA3D1F">
              <w:rPr>
                <w:i/>
                <w:color w:val="000000"/>
                <w:sz w:val="18"/>
                <w:szCs w:val="18"/>
              </w:rPr>
            </w:r>
            <w:r w:rsidRPr="00CA3D1F">
              <w:rPr>
                <w:i/>
                <w:color w:val="000000"/>
                <w:sz w:val="18"/>
                <w:szCs w:val="18"/>
              </w:rPr>
              <w:fldChar w:fldCharType="separate"/>
            </w:r>
            <w:r w:rsidRPr="00CA3D1F">
              <w:rPr>
                <w:i/>
                <w:color w:val="000000"/>
                <w:sz w:val="18"/>
                <w:szCs w:val="18"/>
              </w:rPr>
              <w:t> </w:t>
            </w:r>
            <w:r w:rsidRPr="00CA3D1F">
              <w:rPr>
                <w:i/>
                <w:color w:val="000000"/>
                <w:sz w:val="18"/>
                <w:szCs w:val="18"/>
              </w:rPr>
              <w:t> </w:t>
            </w:r>
            <w:r w:rsidRPr="00CA3D1F">
              <w:rPr>
                <w:i/>
                <w:color w:val="000000"/>
                <w:sz w:val="18"/>
                <w:szCs w:val="18"/>
              </w:rPr>
              <w:t> </w:t>
            </w:r>
            <w:r w:rsidRPr="00CA3D1F">
              <w:rPr>
                <w:i/>
                <w:color w:val="000000"/>
                <w:sz w:val="18"/>
                <w:szCs w:val="18"/>
              </w:rPr>
              <w:t> </w:t>
            </w:r>
            <w:r w:rsidRPr="00CA3D1F">
              <w:rPr>
                <w:i/>
                <w:color w:val="000000"/>
                <w:sz w:val="18"/>
                <w:szCs w:val="18"/>
              </w:rPr>
              <w:t> </w:t>
            </w:r>
            <w:r w:rsidRPr="00CA3D1F">
              <w:rPr>
                <w:i/>
                <w:color w:val="000000"/>
                <w:sz w:val="18"/>
                <w:szCs w:val="18"/>
              </w:rPr>
              <w:fldChar w:fldCharType="end"/>
            </w:r>
          </w:p>
        </w:tc>
        <w:tc>
          <w:tcPr>
            <w:tcW w:w="1324" w:type="dxa"/>
            <w:gridSpan w:val="2"/>
          </w:tcPr>
          <w:p w14:paraId="0D0D7111" w14:textId="77777777" w:rsidR="007520C1" w:rsidRPr="00CA3D1F" w:rsidRDefault="007520C1" w:rsidP="00E049DB">
            <w:pPr>
              <w:jc w:val="right"/>
              <w:rPr>
                <w:sz w:val="18"/>
                <w:szCs w:val="18"/>
              </w:rPr>
            </w:pPr>
            <w:r w:rsidRPr="00CA3D1F">
              <w:rPr>
                <w:i/>
                <w:color w:val="000000"/>
                <w:sz w:val="18"/>
                <w:szCs w:val="18"/>
              </w:rPr>
              <w:fldChar w:fldCharType="begin">
                <w:ffData>
                  <w:name w:val="F_GEB_BD_target"/>
                  <w:enabled/>
                  <w:calcOnExit w:val="0"/>
                  <w:textInput/>
                </w:ffData>
              </w:fldChar>
            </w:r>
            <w:r w:rsidRPr="00CA3D1F">
              <w:rPr>
                <w:i/>
                <w:color w:val="000000"/>
                <w:sz w:val="18"/>
                <w:szCs w:val="18"/>
              </w:rPr>
              <w:instrText xml:space="preserve"> FORMTEXT </w:instrText>
            </w:r>
            <w:r w:rsidRPr="00CA3D1F">
              <w:rPr>
                <w:i/>
                <w:color w:val="000000"/>
                <w:sz w:val="18"/>
                <w:szCs w:val="18"/>
              </w:rPr>
            </w:r>
            <w:r w:rsidRPr="00CA3D1F">
              <w:rPr>
                <w:i/>
                <w:color w:val="000000"/>
                <w:sz w:val="18"/>
                <w:szCs w:val="18"/>
              </w:rPr>
              <w:fldChar w:fldCharType="separate"/>
            </w:r>
            <w:r w:rsidRPr="00CA3D1F">
              <w:rPr>
                <w:i/>
                <w:color w:val="000000"/>
                <w:sz w:val="18"/>
                <w:szCs w:val="18"/>
              </w:rPr>
              <w:t> </w:t>
            </w:r>
            <w:r w:rsidRPr="00CA3D1F">
              <w:rPr>
                <w:i/>
                <w:color w:val="000000"/>
                <w:sz w:val="18"/>
                <w:szCs w:val="18"/>
              </w:rPr>
              <w:t> </w:t>
            </w:r>
            <w:r w:rsidRPr="00CA3D1F">
              <w:rPr>
                <w:i/>
                <w:color w:val="000000"/>
                <w:sz w:val="18"/>
                <w:szCs w:val="18"/>
              </w:rPr>
              <w:t> </w:t>
            </w:r>
            <w:r w:rsidRPr="00CA3D1F">
              <w:rPr>
                <w:i/>
                <w:color w:val="000000"/>
                <w:sz w:val="18"/>
                <w:szCs w:val="18"/>
              </w:rPr>
              <w:t> </w:t>
            </w:r>
            <w:r w:rsidRPr="00CA3D1F">
              <w:rPr>
                <w:i/>
                <w:color w:val="000000"/>
                <w:sz w:val="18"/>
                <w:szCs w:val="18"/>
              </w:rPr>
              <w:t> </w:t>
            </w:r>
            <w:r w:rsidRPr="00CA3D1F">
              <w:rPr>
                <w:i/>
                <w:color w:val="000000"/>
                <w:sz w:val="18"/>
                <w:szCs w:val="18"/>
              </w:rPr>
              <w:fldChar w:fldCharType="end"/>
            </w:r>
          </w:p>
        </w:tc>
        <w:tc>
          <w:tcPr>
            <w:tcW w:w="1287" w:type="dxa"/>
          </w:tcPr>
          <w:p w14:paraId="57B74768" w14:textId="77777777" w:rsidR="007520C1" w:rsidRPr="00CA3D1F" w:rsidRDefault="007520C1" w:rsidP="00E049DB">
            <w:pPr>
              <w:jc w:val="right"/>
              <w:rPr>
                <w:sz w:val="18"/>
                <w:szCs w:val="18"/>
              </w:rPr>
            </w:pPr>
            <w:r w:rsidRPr="00CA3D1F">
              <w:rPr>
                <w:i/>
                <w:color w:val="000000"/>
                <w:sz w:val="18"/>
                <w:szCs w:val="18"/>
              </w:rPr>
              <w:fldChar w:fldCharType="begin">
                <w:ffData>
                  <w:name w:val="F_GEB_BD_target"/>
                  <w:enabled/>
                  <w:calcOnExit w:val="0"/>
                  <w:textInput/>
                </w:ffData>
              </w:fldChar>
            </w:r>
            <w:r w:rsidRPr="00CA3D1F">
              <w:rPr>
                <w:i/>
                <w:color w:val="000000"/>
                <w:sz w:val="18"/>
                <w:szCs w:val="18"/>
              </w:rPr>
              <w:instrText xml:space="preserve"> FORMTEXT </w:instrText>
            </w:r>
            <w:r w:rsidRPr="00CA3D1F">
              <w:rPr>
                <w:i/>
                <w:color w:val="000000"/>
                <w:sz w:val="18"/>
                <w:szCs w:val="18"/>
              </w:rPr>
            </w:r>
            <w:r w:rsidRPr="00CA3D1F">
              <w:rPr>
                <w:i/>
                <w:color w:val="000000"/>
                <w:sz w:val="18"/>
                <w:szCs w:val="18"/>
              </w:rPr>
              <w:fldChar w:fldCharType="separate"/>
            </w:r>
            <w:r w:rsidRPr="00CA3D1F">
              <w:rPr>
                <w:i/>
                <w:color w:val="000000"/>
                <w:sz w:val="18"/>
                <w:szCs w:val="18"/>
              </w:rPr>
              <w:t> </w:t>
            </w:r>
            <w:r w:rsidRPr="00CA3D1F">
              <w:rPr>
                <w:i/>
                <w:color w:val="000000"/>
                <w:sz w:val="18"/>
                <w:szCs w:val="18"/>
              </w:rPr>
              <w:t> </w:t>
            </w:r>
            <w:r w:rsidRPr="00CA3D1F">
              <w:rPr>
                <w:i/>
                <w:color w:val="000000"/>
                <w:sz w:val="18"/>
                <w:szCs w:val="18"/>
              </w:rPr>
              <w:t> </w:t>
            </w:r>
            <w:r w:rsidRPr="00CA3D1F">
              <w:rPr>
                <w:i/>
                <w:color w:val="000000"/>
                <w:sz w:val="18"/>
                <w:szCs w:val="18"/>
              </w:rPr>
              <w:t> </w:t>
            </w:r>
            <w:r w:rsidRPr="00CA3D1F">
              <w:rPr>
                <w:i/>
                <w:color w:val="000000"/>
                <w:sz w:val="18"/>
                <w:szCs w:val="18"/>
              </w:rPr>
              <w:t> </w:t>
            </w:r>
            <w:r w:rsidRPr="00CA3D1F">
              <w:rPr>
                <w:i/>
                <w:color w:val="000000"/>
                <w:sz w:val="18"/>
                <w:szCs w:val="18"/>
              </w:rPr>
              <w:fldChar w:fldCharType="end"/>
            </w:r>
          </w:p>
        </w:tc>
      </w:tr>
      <w:tr w:rsidR="007520C1" w:rsidRPr="004244E0" w14:paraId="00B1E9E8" w14:textId="77777777" w:rsidTr="00DB02C4">
        <w:tc>
          <w:tcPr>
            <w:tcW w:w="1298" w:type="dxa"/>
          </w:tcPr>
          <w:p w14:paraId="54AF12A6" w14:textId="77777777" w:rsidR="007520C1" w:rsidRPr="00CA3D1F" w:rsidRDefault="007520C1" w:rsidP="00E049DB">
            <w:pPr>
              <w:jc w:val="right"/>
              <w:rPr>
                <w:i/>
                <w:color w:val="000000"/>
                <w:sz w:val="18"/>
                <w:szCs w:val="18"/>
              </w:rPr>
            </w:pPr>
          </w:p>
        </w:tc>
        <w:tc>
          <w:tcPr>
            <w:tcW w:w="933" w:type="dxa"/>
          </w:tcPr>
          <w:p w14:paraId="5B6B44AB" w14:textId="77777777" w:rsidR="007520C1" w:rsidRPr="00CA3D1F" w:rsidRDefault="007520C1" w:rsidP="00E049DB">
            <w:pPr>
              <w:jc w:val="right"/>
              <w:rPr>
                <w:i/>
                <w:color w:val="000000"/>
                <w:sz w:val="18"/>
                <w:szCs w:val="18"/>
              </w:rPr>
            </w:pPr>
          </w:p>
        </w:tc>
        <w:tc>
          <w:tcPr>
            <w:tcW w:w="1726" w:type="dxa"/>
          </w:tcPr>
          <w:p w14:paraId="3D363035" w14:textId="77777777" w:rsidR="007520C1" w:rsidRPr="00CA3D1F" w:rsidRDefault="007520C1" w:rsidP="00E049DB">
            <w:pPr>
              <w:jc w:val="right"/>
              <w:rPr>
                <w:color w:val="000000"/>
                <w:sz w:val="18"/>
                <w:szCs w:val="18"/>
              </w:rPr>
            </w:pPr>
            <w:r w:rsidRPr="00CA3D1F">
              <w:rPr>
                <w:color w:val="000000"/>
                <w:sz w:val="18"/>
                <w:szCs w:val="18"/>
              </w:rPr>
              <w:t>Sum</w:t>
            </w:r>
          </w:p>
        </w:tc>
        <w:tc>
          <w:tcPr>
            <w:tcW w:w="906" w:type="dxa"/>
          </w:tcPr>
          <w:p w14:paraId="62E44428" w14:textId="77777777" w:rsidR="007520C1" w:rsidRPr="00CA3D1F" w:rsidRDefault="007520C1" w:rsidP="00E049DB">
            <w:pPr>
              <w:jc w:val="right"/>
              <w:rPr>
                <w:color w:val="000000"/>
                <w:sz w:val="18"/>
                <w:szCs w:val="18"/>
              </w:rPr>
            </w:pPr>
            <w:r w:rsidRPr="00CA3D1F">
              <w:rPr>
                <w:i/>
                <w:color w:val="000000"/>
                <w:sz w:val="18"/>
                <w:szCs w:val="18"/>
              </w:rPr>
              <w:fldChar w:fldCharType="begin">
                <w:ffData>
                  <w:name w:val="F_GEB_BD_target"/>
                  <w:enabled/>
                  <w:calcOnExit w:val="0"/>
                  <w:textInput/>
                </w:ffData>
              </w:fldChar>
            </w:r>
            <w:r w:rsidRPr="00CA3D1F">
              <w:rPr>
                <w:i/>
                <w:color w:val="000000"/>
                <w:sz w:val="18"/>
                <w:szCs w:val="18"/>
              </w:rPr>
              <w:instrText xml:space="preserve"> FORMTEXT </w:instrText>
            </w:r>
            <w:r w:rsidRPr="00CA3D1F">
              <w:rPr>
                <w:i/>
                <w:color w:val="000000"/>
                <w:sz w:val="18"/>
                <w:szCs w:val="18"/>
              </w:rPr>
            </w:r>
            <w:r w:rsidRPr="00CA3D1F">
              <w:rPr>
                <w:i/>
                <w:color w:val="000000"/>
                <w:sz w:val="18"/>
                <w:szCs w:val="18"/>
              </w:rPr>
              <w:fldChar w:fldCharType="separate"/>
            </w:r>
            <w:r w:rsidRPr="00CA3D1F">
              <w:rPr>
                <w:i/>
                <w:color w:val="000000"/>
                <w:sz w:val="18"/>
                <w:szCs w:val="18"/>
              </w:rPr>
              <w:t> </w:t>
            </w:r>
            <w:r w:rsidRPr="00CA3D1F">
              <w:rPr>
                <w:i/>
                <w:color w:val="000000"/>
                <w:sz w:val="18"/>
                <w:szCs w:val="18"/>
              </w:rPr>
              <w:t> </w:t>
            </w:r>
            <w:r w:rsidRPr="00CA3D1F">
              <w:rPr>
                <w:i/>
                <w:color w:val="000000"/>
                <w:sz w:val="18"/>
                <w:szCs w:val="18"/>
              </w:rPr>
              <w:t> </w:t>
            </w:r>
            <w:r w:rsidRPr="00CA3D1F">
              <w:rPr>
                <w:i/>
                <w:color w:val="000000"/>
                <w:sz w:val="18"/>
                <w:szCs w:val="18"/>
              </w:rPr>
              <w:t> </w:t>
            </w:r>
            <w:r w:rsidRPr="00CA3D1F">
              <w:rPr>
                <w:i/>
                <w:color w:val="000000"/>
                <w:sz w:val="18"/>
                <w:szCs w:val="18"/>
              </w:rPr>
              <w:t> </w:t>
            </w:r>
            <w:r w:rsidRPr="00CA3D1F">
              <w:rPr>
                <w:i/>
                <w:color w:val="000000"/>
                <w:sz w:val="18"/>
                <w:szCs w:val="18"/>
              </w:rPr>
              <w:fldChar w:fldCharType="end"/>
            </w:r>
          </w:p>
        </w:tc>
        <w:tc>
          <w:tcPr>
            <w:tcW w:w="1876" w:type="dxa"/>
          </w:tcPr>
          <w:p w14:paraId="6A17A9BD" w14:textId="77777777" w:rsidR="007520C1" w:rsidRPr="00CA3D1F" w:rsidRDefault="007520C1" w:rsidP="00E049DB">
            <w:pPr>
              <w:jc w:val="right"/>
              <w:rPr>
                <w:i/>
                <w:color w:val="000000"/>
                <w:sz w:val="18"/>
                <w:szCs w:val="18"/>
              </w:rPr>
            </w:pPr>
          </w:p>
        </w:tc>
        <w:tc>
          <w:tcPr>
            <w:tcW w:w="1485" w:type="dxa"/>
            <w:gridSpan w:val="3"/>
          </w:tcPr>
          <w:p w14:paraId="28D7B77D" w14:textId="77777777" w:rsidR="007520C1" w:rsidRPr="00CA3D1F" w:rsidRDefault="007520C1" w:rsidP="00E049DB">
            <w:pPr>
              <w:jc w:val="right"/>
              <w:rPr>
                <w:i/>
                <w:color w:val="000000"/>
                <w:sz w:val="18"/>
                <w:szCs w:val="18"/>
              </w:rPr>
            </w:pPr>
          </w:p>
        </w:tc>
        <w:tc>
          <w:tcPr>
            <w:tcW w:w="1324" w:type="dxa"/>
            <w:gridSpan w:val="2"/>
          </w:tcPr>
          <w:p w14:paraId="76A70B9A" w14:textId="77777777" w:rsidR="007520C1" w:rsidRPr="00CA3D1F" w:rsidRDefault="007520C1" w:rsidP="00E049DB">
            <w:pPr>
              <w:jc w:val="right"/>
              <w:rPr>
                <w:i/>
                <w:color w:val="000000"/>
                <w:sz w:val="18"/>
                <w:szCs w:val="18"/>
              </w:rPr>
            </w:pPr>
          </w:p>
        </w:tc>
        <w:tc>
          <w:tcPr>
            <w:tcW w:w="1287" w:type="dxa"/>
          </w:tcPr>
          <w:p w14:paraId="017500F2" w14:textId="77777777" w:rsidR="007520C1" w:rsidRPr="00CA3D1F" w:rsidRDefault="007520C1" w:rsidP="00E049DB">
            <w:pPr>
              <w:jc w:val="right"/>
              <w:rPr>
                <w:i/>
                <w:color w:val="000000"/>
                <w:sz w:val="18"/>
                <w:szCs w:val="18"/>
              </w:rPr>
            </w:pPr>
          </w:p>
        </w:tc>
      </w:tr>
      <w:tr w:rsidR="007520C1" w:rsidRPr="004244E0" w14:paraId="3D588AC6" w14:textId="77777777" w:rsidTr="00DB02C4">
        <w:tc>
          <w:tcPr>
            <w:tcW w:w="1298" w:type="dxa"/>
            <w:shd w:val="clear" w:color="auto" w:fill="D9D9D9" w:themeFill="background1" w:themeFillShade="D9"/>
          </w:tcPr>
          <w:p w14:paraId="44672048" w14:textId="77777777" w:rsidR="007520C1" w:rsidRPr="00CA64DB" w:rsidRDefault="007520C1" w:rsidP="00E049DB">
            <w:pPr>
              <w:rPr>
                <w:b/>
                <w:sz w:val="18"/>
                <w:szCs w:val="18"/>
              </w:rPr>
            </w:pPr>
            <w:r w:rsidRPr="00CA64DB">
              <w:rPr>
                <w:b/>
                <w:sz w:val="18"/>
                <w:szCs w:val="18"/>
              </w:rPr>
              <w:t>Core Indicator 3</w:t>
            </w:r>
          </w:p>
        </w:tc>
        <w:tc>
          <w:tcPr>
            <w:tcW w:w="6765" w:type="dxa"/>
            <w:gridSpan w:val="5"/>
            <w:shd w:val="clear" w:color="auto" w:fill="D9D9D9" w:themeFill="background1" w:themeFillShade="D9"/>
          </w:tcPr>
          <w:p w14:paraId="434E3592" w14:textId="77777777" w:rsidR="007520C1" w:rsidRPr="00CA64DB" w:rsidRDefault="007520C1" w:rsidP="00E049DB">
            <w:pPr>
              <w:rPr>
                <w:b/>
                <w:sz w:val="18"/>
                <w:szCs w:val="18"/>
              </w:rPr>
            </w:pPr>
            <w:r w:rsidRPr="00CA64DB">
              <w:rPr>
                <w:b/>
                <w:sz w:val="18"/>
                <w:szCs w:val="18"/>
              </w:rPr>
              <w:t>Area of land restored</w:t>
            </w:r>
          </w:p>
        </w:tc>
        <w:tc>
          <w:tcPr>
            <w:tcW w:w="2772" w:type="dxa"/>
            <w:gridSpan w:val="5"/>
            <w:shd w:val="clear" w:color="auto" w:fill="D9D9D9" w:themeFill="background1" w:themeFillShade="D9"/>
          </w:tcPr>
          <w:p w14:paraId="2A69F13D" w14:textId="77777777" w:rsidR="007520C1" w:rsidRPr="00CA64DB" w:rsidRDefault="007520C1" w:rsidP="00E049DB">
            <w:pPr>
              <w:jc w:val="right"/>
              <w:rPr>
                <w:b/>
                <w:sz w:val="18"/>
                <w:szCs w:val="18"/>
              </w:rPr>
            </w:pPr>
            <w:r w:rsidRPr="00CA64DB">
              <w:rPr>
                <w:b/>
                <w:i/>
                <w:color w:val="000000"/>
                <w:sz w:val="18"/>
                <w:szCs w:val="18"/>
              </w:rPr>
              <w:fldChar w:fldCharType="begin">
                <w:ffData>
                  <w:name w:val="F_GEB_BD_target"/>
                  <w:enabled/>
                  <w:calcOnExit w:val="0"/>
                  <w:textInput>
                    <w:default w:val="(Hectares)"/>
                  </w:textInput>
                </w:ffData>
              </w:fldChar>
            </w:r>
            <w:r w:rsidRPr="00CA64DB">
              <w:rPr>
                <w:b/>
                <w:i/>
                <w:color w:val="000000"/>
                <w:sz w:val="18"/>
                <w:szCs w:val="18"/>
              </w:rPr>
              <w:instrText xml:space="preserve"> FORMTEXT </w:instrText>
            </w:r>
            <w:r w:rsidRPr="00CA64DB">
              <w:rPr>
                <w:b/>
                <w:i/>
                <w:color w:val="000000"/>
                <w:sz w:val="18"/>
                <w:szCs w:val="18"/>
              </w:rPr>
            </w:r>
            <w:r w:rsidRPr="00CA64DB">
              <w:rPr>
                <w:b/>
                <w:i/>
                <w:color w:val="000000"/>
                <w:sz w:val="18"/>
                <w:szCs w:val="18"/>
              </w:rPr>
              <w:fldChar w:fldCharType="separate"/>
            </w:r>
            <w:r w:rsidRPr="00CA64DB">
              <w:rPr>
                <w:b/>
                <w:i/>
                <w:color w:val="000000"/>
                <w:sz w:val="18"/>
                <w:szCs w:val="18"/>
              </w:rPr>
              <w:t>(Hectares)</w:t>
            </w:r>
            <w:r w:rsidRPr="00CA64DB">
              <w:rPr>
                <w:b/>
                <w:i/>
                <w:color w:val="000000"/>
                <w:sz w:val="18"/>
                <w:szCs w:val="18"/>
              </w:rPr>
              <w:fldChar w:fldCharType="end"/>
            </w:r>
          </w:p>
        </w:tc>
      </w:tr>
      <w:tr w:rsidR="007520C1" w:rsidRPr="004244E0" w14:paraId="21A84398" w14:textId="77777777" w:rsidTr="00DB02C4">
        <w:tc>
          <w:tcPr>
            <w:tcW w:w="1298" w:type="dxa"/>
            <w:shd w:val="clear" w:color="auto" w:fill="auto"/>
          </w:tcPr>
          <w:p w14:paraId="08D0B110" w14:textId="77777777" w:rsidR="007520C1" w:rsidRPr="00CA64DB" w:rsidRDefault="007520C1" w:rsidP="00E049DB">
            <w:pPr>
              <w:rPr>
                <w:sz w:val="18"/>
                <w:szCs w:val="18"/>
              </w:rPr>
            </w:pPr>
          </w:p>
        </w:tc>
        <w:tc>
          <w:tcPr>
            <w:tcW w:w="2659" w:type="dxa"/>
            <w:gridSpan w:val="2"/>
            <w:shd w:val="clear" w:color="auto" w:fill="auto"/>
          </w:tcPr>
          <w:p w14:paraId="49257234" w14:textId="77777777" w:rsidR="007520C1" w:rsidRPr="00CA64DB" w:rsidRDefault="007520C1" w:rsidP="00E049DB">
            <w:pPr>
              <w:rPr>
                <w:sz w:val="18"/>
                <w:szCs w:val="18"/>
              </w:rPr>
            </w:pPr>
          </w:p>
        </w:tc>
        <w:tc>
          <w:tcPr>
            <w:tcW w:w="6878" w:type="dxa"/>
            <w:gridSpan w:val="8"/>
            <w:shd w:val="clear" w:color="auto" w:fill="F2F2F2" w:themeFill="background1" w:themeFillShade="F2"/>
          </w:tcPr>
          <w:p w14:paraId="3C9B01FE" w14:textId="77777777" w:rsidR="007520C1" w:rsidRPr="00CA64DB" w:rsidRDefault="007520C1" w:rsidP="00E049DB">
            <w:pPr>
              <w:jc w:val="center"/>
              <w:rPr>
                <w:color w:val="000000"/>
                <w:sz w:val="18"/>
                <w:szCs w:val="18"/>
              </w:rPr>
            </w:pPr>
            <w:r w:rsidRPr="00CA64DB">
              <w:rPr>
                <w:color w:val="000000"/>
                <w:sz w:val="18"/>
                <w:szCs w:val="18"/>
              </w:rPr>
              <w:t>Hectares (3.1+3.2+3.3+3.4)</w:t>
            </w:r>
          </w:p>
        </w:tc>
      </w:tr>
      <w:tr w:rsidR="007520C1" w:rsidRPr="004244E0" w14:paraId="024ECE41" w14:textId="77777777" w:rsidTr="00DB02C4">
        <w:tc>
          <w:tcPr>
            <w:tcW w:w="1298" w:type="dxa"/>
            <w:shd w:val="clear" w:color="auto" w:fill="auto"/>
          </w:tcPr>
          <w:p w14:paraId="4F35DB49" w14:textId="77777777" w:rsidR="007520C1" w:rsidRPr="00CA64DB" w:rsidRDefault="007520C1" w:rsidP="00E049DB">
            <w:pPr>
              <w:rPr>
                <w:sz w:val="18"/>
                <w:szCs w:val="18"/>
              </w:rPr>
            </w:pPr>
          </w:p>
        </w:tc>
        <w:tc>
          <w:tcPr>
            <w:tcW w:w="2659" w:type="dxa"/>
            <w:gridSpan w:val="2"/>
            <w:shd w:val="clear" w:color="auto" w:fill="auto"/>
          </w:tcPr>
          <w:p w14:paraId="602A5AC8" w14:textId="77777777" w:rsidR="007520C1" w:rsidRPr="00CA64DB" w:rsidRDefault="007520C1" w:rsidP="00E049DB">
            <w:pPr>
              <w:rPr>
                <w:sz w:val="18"/>
                <w:szCs w:val="18"/>
              </w:rPr>
            </w:pPr>
          </w:p>
        </w:tc>
        <w:tc>
          <w:tcPr>
            <w:tcW w:w="4106" w:type="dxa"/>
            <w:gridSpan w:val="3"/>
            <w:shd w:val="clear" w:color="auto" w:fill="F2F2F2" w:themeFill="background1" w:themeFillShade="F2"/>
          </w:tcPr>
          <w:p w14:paraId="53E98DA3" w14:textId="77777777" w:rsidR="007520C1" w:rsidRPr="00CA64DB" w:rsidRDefault="007520C1" w:rsidP="00E049DB">
            <w:pPr>
              <w:jc w:val="center"/>
              <w:rPr>
                <w:sz w:val="18"/>
                <w:szCs w:val="18"/>
              </w:rPr>
            </w:pPr>
            <w:r w:rsidRPr="00CA64DB">
              <w:rPr>
                <w:color w:val="000000"/>
                <w:sz w:val="18"/>
                <w:szCs w:val="18"/>
              </w:rPr>
              <w:t>Expected</w:t>
            </w:r>
          </w:p>
        </w:tc>
        <w:tc>
          <w:tcPr>
            <w:tcW w:w="2772" w:type="dxa"/>
            <w:gridSpan w:val="5"/>
            <w:shd w:val="clear" w:color="auto" w:fill="F2F2F2" w:themeFill="background1" w:themeFillShade="F2"/>
          </w:tcPr>
          <w:p w14:paraId="41EB7E08" w14:textId="77777777" w:rsidR="007520C1" w:rsidRPr="00CA64DB" w:rsidRDefault="007520C1" w:rsidP="00E049DB">
            <w:pPr>
              <w:jc w:val="center"/>
              <w:rPr>
                <w:color w:val="000000"/>
                <w:sz w:val="18"/>
                <w:szCs w:val="18"/>
              </w:rPr>
            </w:pPr>
            <w:r w:rsidRPr="00CA64DB">
              <w:rPr>
                <w:color w:val="000000"/>
                <w:sz w:val="18"/>
                <w:szCs w:val="18"/>
              </w:rPr>
              <w:t>Achieved</w:t>
            </w:r>
          </w:p>
        </w:tc>
      </w:tr>
      <w:tr w:rsidR="007520C1" w:rsidRPr="004244E0" w14:paraId="3272772C" w14:textId="77777777" w:rsidTr="00DB02C4">
        <w:tc>
          <w:tcPr>
            <w:tcW w:w="1298" w:type="dxa"/>
            <w:shd w:val="clear" w:color="auto" w:fill="auto"/>
          </w:tcPr>
          <w:p w14:paraId="244B42D2" w14:textId="77777777" w:rsidR="007520C1" w:rsidRPr="00CA64DB" w:rsidRDefault="007520C1" w:rsidP="00E049DB">
            <w:pPr>
              <w:rPr>
                <w:sz w:val="18"/>
                <w:szCs w:val="18"/>
              </w:rPr>
            </w:pPr>
          </w:p>
        </w:tc>
        <w:tc>
          <w:tcPr>
            <w:tcW w:w="2659" w:type="dxa"/>
            <w:gridSpan w:val="2"/>
            <w:shd w:val="clear" w:color="auto" w:fill="auto"/>
          </w:tcPr>
          <w:p w14:paraId="764F3666" w14:textId="77777777" w:rsidR="007520C1" w:rsidRPr="00CA64DB" w:rsidRDefault="007520C1" w:rsidP="00E049DB">
            <w:pPr>
              <w:rPr>
                <w:sz w:val="18"/>
                <w:szCs w:val="18"/>
              </w:rPr>
            </w:pPr>
          </w:p>
        </w:tc>
        <w:tc>
          <w:tcPr>
            <w:tcW w:w="2782" w:type="dxa"/>
            <w:gridSpan w:val="2"/>
            <w:shd w:val="clear" w:color="auto" w:fill="F2F2F2" w:themeFill="background1" w:themeFillShade="F2"/>
          </w:tcPr>
          <w:p w14:paraId="57E6DC2B" w14:textId="77777777" w:rsidR="007520C1" w:rsidRPr="00CA64DB" w:rsidRDefault="007520C1" w:rsidP="00E049DB">
            <w:pPr>
              <w:jc w:val="center"/>
              <w:rPr>
                <w:sz w:val="18"/>
                <w:szCs w:val="18"/>
              </w:rPr>
            </w:pPr>
            <w:r w:rsidRPr="00CA64DB">
              <w:rPr>
                <w:sz w:val="18"/>
                <w:szCs w:val="18"/>
              </w:rPr>
              <w:t>PIF stage</w:t>
            </w:r>
          </w:p>
        </w:tc>
        <w:tc>
          <w:tcPr>
            <w:tcW w:w="1485" w:type="dxa"/>
            <w:gridSpan w:val="3"/>
            <w:shd w:val="clear" w:color="auto" w:fill="F2F2F2" w:themeFill="background1" w:themeFillShade="F2"/>
          </w:tcPr>
          <w:p w14:paraId="4E9933DD" w14:textId="77777777" w:rsidR="007520C1" w:rsidRPr="00CA64DB" w:rsidRDefault="007520C1" w:rsidP="00E049DB">
            <w:pPr>
              <w:jc w:val="center"/>
              <w:rPr>
                <w:sz w:val="18"/>
                <w:szCs w:val="18"/>
              </w:rPr>
            </w:pPr>
            <w:r w:rsidRPr="00CA64DB">
              <w:rPr>
                <w:sz w:val="18"/>
                <w:szCs w:val="18"/>
              </w:rPr>
              <w:t>Endorsement</w:t>
            </w:r>
          </w:p>
        </w:tc>
        <w:tc>
          <w:tcPr>
            <w:tcW w:w="1324" w:type="dxa"/>
            <w:gridSpan w:val="2"/>
            <w:shd w:val="clear" w:color="auto" w:fill="F2F2F2" w:themeFill="background1" w:themeFillShade="F2"/>
          </w:tcPr>
          <w:p w14:paraId="666781BF" w14:textId="77777777" w:rsidR="007520C1" w:rsidRPr="00CA64DB" w:rsidRDefault="007520C1" w:rsidP="00E049DB">
            <w:pPr>
              <w:jc w:val="center"/>
              <w:rPr>
                <w:sz w:val="18"/>
                <w:szCs w:val="18"/>
              </w:rPr>
            </w:pPr>
            <w:r w:rsidRPr="00CA64DB">
              <w:rPr>
                <w:sz w:val="18"/>
                <w:szCs w:val="18"/>
              </w:rPr>
              <w:t>MTR</w:t>
            </w:r>
          </w:p>
        </w:tc>
        <w:tc>
          <w:tcPr>
            <w:tcW w:w="1287" w:type="dxa"/>
            <w:shd w:val="clear" w:color="auto" w:fill="F2F2F2" w:themeFill="background1" w:themeFillShade="F2"/>
          </w:tcPr>
          <w:p w14:paraId="2BE95BC6" w14:textId="77777777" w:rsidR="007520C1" w:rsidRPr="00CA64DB" w:rsidRDefault="007520C1" w:rsidP="00E049DB">
            <w:pPr>
              <w:jc w:val="center"/>
              <w:rPr>
                <w:i/>
                <w:color w:val="000000"/>
                <w:sz w:val="18"/>
                <w:szCs w:val="18"/>
              </w:rPr>
            </w:pPr>
            <w:r w:rsidRPr="00CA64DB">
              <w:rPr>
                <w:sz w:val="18"/>
                <w:szCs w:val="18"/>
              </w:rPr>
              <w:t>TE</w:t>
            </w:r>
          </w:p>
        </w:tc>
      </w:tr>
      <w:tr w:rsidR="007520C1" w:rsidRPr="004244E0" w14:paraId="04D10AAF" w14:textId="77777777" w:rsidTr="00DB02C4">
        <w:tc>
          <w:tcPr>
            <w:tcW w:w="1298" w:type="dxa"/>
            <w:shd w:val="clear" w:color="auto" w:fill="auto"/>
          </w:tcPr>
          <w:p w14:paraId="6C52AE52" w14:textId="77777777" w:rsidR="007520C1" w:rsidRPr="00CA64DB" w:rsidRDefault="007520C1" w:rsidP="00E049DB">
            <w:pPr>
              <w:rPr>
                <w:sz w:val="18"/>
                <w:szCs w:val="18"/>
              </w:rPr>
            </w:pPr>
          </w:p>
        </w:tc>
        <w:tc>
          <w:tcPr>
            <w:tcW w:w="2659" w:type="dxa"/>
            <w:gridSpan w:val="2"/>
            <w:shd w:val="clear" w:color="auto" w:fill="auto"/>
          </w:tcPr>
          <w:p w14:paraId="3AF669BD" w14:textId="77777777" w:rsidR="007520C1" w:rsidRPr="00CA64DB" w:rsidRDefault="007520C1" w:rsidP="00E049DB">
            <w:pPr>
              <w:rPr>
                <w:sz w:val="18"/>
                <w:szCs w:val="18"/>
              </w:rPr>
            </w:pPr>
          </w:p>
        </w:tc>
        <w:tc>
          <w:tcPr>
            <w:tcW w:w="2782" w:type="dxa"/>
            <w:gridSpan w:val="2"/>
            <w:shd w:val="clear" w:color="auto" w:fill="F2F2F2" w:themeFill="background1" w:themeFillShade="F2"/>
          </w:tcPr>
          <w:p w14:paraId="1A434B82" w14:textId="77777777" w:rsidR="007520C1" w:rsidRPr="00CA64DB" w:rsidRDefault="007520C1" w:rsidP="00E049DB">
            <w:pPr>
              <w:jc w:val="right"/>
              <w:rPr>
                <w:sz w:val="18"/>
                <w:szCs w:val="18"/>
              </w:rPr>
            </w:pPr>
            <w:r w:rsidRPr="00CA64DB">
              <w:rPr>
                <w:i/>
                <w:color w:val="000000"/>
                <w:sz w:val="18"/>
                <w:szCs w:val="18"/>
              </w:rPr>
              <w:fldChar w:fldCharType="begin">
                <w:ffData>
                  <w:name w:val="F_GEB_BD_target"/>
                  <w:enabled/>
                  <w:calcOnExit w:val="0"/>
                  <w:textInput/>
                </w:ffData>
              </w:fldChar>
            </w:r>
            <w:r w:rsidRPr="00CA64DB">
              <w:rPr>
                <w:i/>
                <w:color w:val="000000"/>
                <w:sz w:val="18"/>
                <w:szCs w:val="18"/>
              </w:rPr>
              <w:instrText xml:space="preserve"> FORMTEXT </w:instrText>
            </w:r>
            <w:r w:rsidRPr="00CA64DB">
              <w:rPr>
                <w:i/>
                <w:color w:val="000000"/>
                <w:sz w:val="18"/>
                <w:szCs w:val="18"/>
              </w:rPr>
            </w:r>
            <w:r w:rsidRPr="00CA64DB">
              <w:rPr>
                <w:i/>
                <w:color w:val="000000"/>
                <w:sz w:val="18"/>
                <w:szCs w:val="18"/>
              </w:rPr>
              <w:fldChar w:fldCharType="separate"/>
            </w:r>
            <w:r w:rsidRPr="00CA64DB">
              <w:rPr>
                <w:i/>
                <w:color w:val="000000"/>
                <w:sz w:val="18"/>
                <w:szCs w:val="18"/>
              </w:rPr>
              <w:t>9,500</w:t>
            </w:r>
            <w:r w:rsidRPr="00CA64DB">
              <w:rPr>
                <w:i/>
                <w:color w:val="000000"/>
                <w:sz w:val="18"/>
                <w:szCs w:val="18"/>
              </w:rPr>
              <w:fldChar w:fldCharType="end"/>
            </w:r>
          </w:p>
        </w:tc>
        <w:tc>
          <w:tcPr>
            <w:tcW w:w="1485" w:type="dxa"/>
            <w:gridSpan w:val="3"/>
            <w:shd w:val="clear" w:color="auto" w:fill="F2F2F2" w:themeFill="background1" w:themeFillShade="F2"/>
          </w:tcPr>
          <w:p w14:paraId="22B47785" w14:textId="77777777" w:rsidR="007520C1" w:rsidRPr="00CA64DB" w:rsidRDefault="007520C1" w:rsidP="00E049DB">
            <w:pPr>
              <w:jc w:val="right"/>
              <w:rPr>
                <w:sz w:val="18"/>
                <w:szCs w:val="18"/>
              </w:rPr>
            </w:pPr>
            <w:r w:rsidRPr="00CA64DB">
              <w:rPr>
                <w:i/>
                <w:color w:val="000000"/>
                <w:sz w:val="18"/>
                <w:szCs w:val="18"/>
              </w:rPr>
              <w:fldChar w:fldCharType="begin">
                <w:ffData>
                  <w:name w:val="F_GEB_BD_target"/>
                  <w:enabled/>
                  <w:calcOnExit w:val="0"/>
                  <w:textInput/>
                </w:ffData>
              </w:fldChar>
            </w:r>
            <w:r w:rsidRPr="00CA64DB">
              <w:rPr>
                <w:i/>
                <w:color w:val="000000"/>
                <w:sz w:val="18"/>
                <w:szCs w:val="18"/>
              </w:rPr>
              <w:instrText xml:space="preserve"> FORMTEXT </w:instrText>
            </w:r>
            <w:r w:rsidRPr="00CA64DB">
              <w:rPr>
                <w:i/>
                <w:color w:val="000000"/>
                <w:sz w:val="18"/>
                <w:szCs w:val="18"/>
              </w:rPr>
            </w:r>
            <w:r w:rsidRPr="00CA64DB">
              <w:rPr>
                <w:i/>
                <w:color w:val="000000"/>
                <w:sz w:val="18"/>
                <w:szCs w:val="18"/>
              </w:rPr>
              <w:fldChar w:fldCharType="separate"/>
            </w:r>
            <w:r w:rsidRPr="00CA64DB">
              <w:rPr>
                <w:i/>
                <w:color w:val="000000"/>
                <w:sz w:val="18"/>
                <w:szCs w:val="18"/>
              </w:rPr>
              <w:t>9,288</w:t>
            </w:r>
            <w:r w:rsidRPr="00CA64DB">
              <w:rPr>
                <w:i/>
                <w:color w:val="000000"/>
                <w:sz w:val="18"/>
                <w:szCs w:val="18"/>
              </w:rPr>
              <w:fldChar w:fldCharType="end"/>
            </w:r>
          </w:p>
        </w:tc>
        <w:tc>
          <w:tcPr>
            <w:tcW w:w="1324" w:type="dxa"/>
            <w:gridSpan w:val="2"/>
            <w:shd w:val="clear" w:color="auto" w:fill="F2F2F2" w:themeFill="background1" w:themeFillShade="F2"/>
          </w:tcPr>
          <w:p w14:paraId="0059F320" w14:textId="77777777" w:rsidR="007520C1" w:rsidRPr="00CA64DB" w:rsidRDefault="007520C1" w:rsidP="00E049DB">
            <w:pPr>
              <w:jc w:val="right"/>
              <w:rPr>
                <w:sz w:val="18"/>
                <w:szCs w:val="18"/>
              </w:rPr>
            </w:pPr>
            <w:r w:rsidRPr="00CA64DB">
              <w:rPr>
                <w:i/>
                <w:color w:val="000000"/>
                <w:sz w:val="18"/>
                <w:szCs w:val="18"/>
              </w:rPr>
              <w:fldChar w:fldCharType="begin">
                <w:ffData>
                  <w:name w:val="F_GEB_BD_target"/>
                  <w:enabled/>
                  <w:calcOnExit w:val="0"/>
                  <w:textInput/>
                </w:ffData>
              </w:fldChar>
            </w:r>
            <w:r w:rsidRPr="00CA64DB">
              <w:rPr>
                <w:i/>
                <w:color w:val="000000"/>
                <w:sz w:val="18"/>
                <w:szCs w:val="18"/>
              </w:rPr>
              <w:instrText xml:space="preserve"> FORMTEXT </w:instrText>
            </w:r>
            <w:r w:rsidRPr="00CA64DB">
              <w:rPr>
                <w:i/>
                <w:color w:val="000000"/>
                <w:sz w:val="18"/>
                <w:szCs w:val="18"/>
              </w:rPr>
            </w:r>
            <w:r w:rsidRPr="00CA64DB">
              <w:rPr>
                <w:i/>
                <w:color w:val="000000"/>
                <w:sz w:val="18"/>
                <w:szCs w:val="18"/>
              </w:rPr>
              <w:fldChar w:fldCharType="separate"/>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fldChar w:fldCharType="end"/>
            </w:r>
          </w:p>
        </w:tc>
        <w:tc>
          <w:tcPr>
            <w:tcW w:w="1287" w:type="dxa"/>
            <w:shd w:val="clear" w:color="auto" w:fill="F2F2F2" w:themeFill="background1" w:themeFillShade="F2"/>
          </w:tcPr>
          <w:p w14:paraId="15D0C2E2" w14:textId="77777777" w:rsidR="007520C1" w:rsidRPr="00CA64DB" w:rsidRDefault="007520C1" w:rsidP="00E049DB">
            <w:pPr>
              <w:jc w:val="right"/>
              <w:rPr>
                <w:i/>
                <w:color w:val="000000"/>
                <w:sz w:val="18"/>
                <w:szCs w:val="18"/>
              </w:rPr>
            </w:pPr>
            <w:r w:rsidRPr="00CA64DB">
              <w:rPr>
                <w:i/>
                <w:color w:val="000000"/>
                <w:sz w:val="18"/>
                <w:szCs w:val="18"/>
              </w:rPr>
              <w:fldChar w:fldCharType="begin">
                <w:ffData>
                  <w:name w:val="F_GEB_BD_target"/>
                  <w:enabled/>
                  <w:calcOnExit w:val="0"/>
                  <w:textInput/>
                </w:ffData>
              </w:fldChar>
            </w:r>
            <w:r w:rsidRPr="00CA64DB">
              <w:rPr>
                <w:i/>
                <w:color w:val="000000"/>
                <w:sz w:val="18"/>
                <w:szCs w:val="18"/>
              </w:rPr>
              <w:instrText xml:space="preserve"> FORMTEXT </w:instrText>
            </w:r>
            <w:r w:rsidRPr="00CA64DB">
              <w:rPr>
                <w:i/>
                <w:color w:val="000000"/>
                <w:sz w:val="18"/>
                <w:szCs w:val="18"/>
              </w:rPr>
            </w:r>
            <w:r w:rsidRPr="00CA64DB">
              <w:rPr>
                <w:i/>
                <w:color w:val="000000"/>
                <w:sz w:val="18"/>
                <w:szCs w:val="18"/>
              </w:rPr>
              <w:fldChar w:fldCharType="separate"/>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fldChar w:fldCharType="end"/>
            </w:r>
          </w:p>
        </w:tc>
      </w:tr>
      <w:tr w:rsidR="007520C1" w:rsidRPr="004244E0" w14:paraId="500700F2" w14:textId="77777777" w:rsidTr="00DB02C4">
        <w:tc>
          <w:tcPr>
            <w:tcW w:w="1298" w:type="dxa"/>
            <w:shd w:val="clear" w:color="auto" w:fill="BFBFBF" w:themeFill="background1" w:themeFillShade="BF"/>
          </w:tcPr>
          <w:p w14:paraId="62938E5B" w14:textId="77777777" w:rsidR="007520C1" w:rsidRPr="00CA64DB" w:rsidRDefault="007520C1" w:rsidP="00E049DB">
            <w:pPr>
              <w:rPr>
                <w:sz w:val="18"/>
                <w:szCs w:val="18"/>
              </w:rPr>
            </w:pPr>
            <w:r w:rsidRPr="00CA64DB">
              <w:rPr>
                <w:sz w:val="18"/>
                <w:szCs w:val="18"/>
              </w:rPr>
              <w:t>Indicator 3.1</w:t>
            </w:r>
          </w:p>
        </w:tc>
        <w:tc>
          <w:tcPr>
            <w:tcW w:w="6765" w:type="dxa"/>
            <w:gridSpan w:val="5"/>
            <w:shd w:val="clear" w:color="auto" w:fill="BFBFBF" w:themeFill="background1" w:themeFillShade="BF"/>
          </w:tcPr>
          <w:p w14:paraId="51C92097" w14:textId="77777777" w:rsidR="007520C1" w:rsidRPr="00CA64DB" w:rsidRDefault="007520C1" w:rsidP="00E049DB">
            <w:pPr>
              <w:rPr>
                <w:sz w:val="18"/>
                <w:szCs w:val="18"/>
              </w:rPr>
            </w:pPr>
            <w:r w:rsidRPr="00CA64DB">
              <w:rPr>
                <w:sz w:val="18"/>
                <w:szCs w:val="18"/>
              </w:rPr>
              <w:t>Area of degraded agricultural land restored</w:t>
            </w:r>
          </w:p>
        </w:tc>
        <w:tc>
          <w:tcPr>
            <w:tcW w:w="2772" w:type="dxa"/>
            <w:gridSpan w:val="5"/>
            <w:shd w:val="clear" w:color="auto" w:fill="BFBFBF" w:themeFill="background1" w:themeFillShade="BF"/>
          </w:tcPr>
          <w:p w14:paraId="2BF4239D" w14:textId="77777777" w:rsidR="007520C1" w:rsidRPr="00CA64DB" w:rsidRDefault="007520C1" w:rsidP="00E049DB">
            <w:pPr>
              <w:jc w:val="right"/>
              <w:rPr>
                <w:sz w:val="18"/>
                <w:szCs w:val="18"/>
              </w:rPr>
            </w:pPr>
            <w:r w:rsidRPr="00CA64DB">
              <w:rPr>
                <w:i/>
                <w:color w:val="000000"/>
                <w:sz w:val="18"/>
                <w:szCs w:val="18"/>
              </w:rPr>
              <w:fldChar w:fldCharType="begin">
                <w:ffData>
                  <w:name w:val="F_GEB_BD_target"/>
                  <w:enabled/>
                  <w:calcOnExit w:val="0"/>
                  <w:textInput/>
                </w:ffData>
              </w:fldChar>
            </w:r>
            <w:r w:rsidRPr="00CA64DB">
              <w:rPr>
                <w:i/>
                <w:color w:val="000000"/>
                <w:sz w:val="18"/>
                <w:szCs w:val="18"/>
              </w:rPr>
              <w:instrText xml:space="preserve"> FORMTEXT </w:instrText>
            </w:r>
            <w:r w:rsidRPr="00CA64DB">
              <w:rPr>
                <w:i/>
                <w:color w:val="000000"/>
                <w:sz w:val="18"/>
                <w:szCs w:val="18"/>
              </w:rPr>
            </w:r>
            <w:r w:rsidRPr="00CA64DB">
              <w:rPr>
                <w:i/>
                <w:color w:val="000000"/>
                <w:sz w:val="18"/>
                <w:szCs w:val="18"/>
              </w:rPr>
              <w:fldChar w:fldCharType="separate"/>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fldChar w:fldCharType="end"/>
            </w:r>
          </w:p>
        </w:tc>
      </w:tr>
      <w:tr w:rsidR="007520C1" w:rsidRPr="004244E0" w14:paraId="39799602" w14:textId="77777777" w:rsidTr="00DB02C4">
        <w:trPr>
          <w:trHeight w:val="125"/>
        </w:trPr>
        <w:tc>
          <w:tcPr>
            <w:tcW w:w="1298" w:type="dxa"/>
            <w:vMerge w:val="restart"/>
          </w:tcPr>
          <w:p w14:paraId="37BC259F" w14:textId="77777777" w:rsidR="007520C1" w:rsidRPr="00CA64DB" w:rsidRDefault="007520C1" w:rsidP="00E049DB">
            <w:pPr>
              <w:rPr>
                <w:sz w:val="18"/>
                <w:szCs w:val="18"/>
              </w:rPr>
            </w:pPr>
          </w:p>
        </w:tc>
        <w:tc>
          <w:tcPr>
            <w:tcW w:w="933" w:type="dxa"/>
            <w:vMerge w:val="restart"/>
          </w:tcPr>
          <w:p w14:paraId="47FC1935" w14:textId="77777777" w:rsidR="007520C1" w:rsidRPr="00CA64DB" w:rsidRDefault="007520C1" w:rsidP="00E049DB">
            <w:pPr>
              <w:rPr>
                <w:sz w:val="18"/>
                <w:szCs w:val="18"/>
              </w:rPr>
            </w:pPr>
          </w:p>
        </w:tc>
        <w:tc>
          <w:tcPr>
            <w:tcW w:w="1726" w:type="dxa"/>
            <w:vMerge w:val="restart"/>
          </w:tcPr>
          <w:p w14:paraId="2D5FD4EE" w14:textId="77777777" w:rsidR="007520C1" w:rsidRPr="00CA64DB" w:rsidRDefault="007520C1" w:rsidP="00E049DB">
            <w:pPr>
              <w:rPr>
                <w:sz w:val="18"/>
                <w:szCs w:val="18"/>
              </w:rPr>
            </w:pPr>
          </w:p>
        </w:tc>
        <w:tc>
          <w:tcPr>
            <w:tcW w:w="6878" w:type="dxa"/>
            <w:gridSpan w:val="8"/>
          </w:tcPr>
          <w:p w14:paraId="50787DA9" w14:textId="77777777" w:rsidR="007520C1" w:rsidRPr="00CA64DB" w:rsidRDefault="007520C1" w:rsidP="00E049DB">
            <w:pPr>
              <w:jc w:val="center"/>
              <w:rPr>
                <w:sz w:val="18"/>
                <w:szCs w:val="18"/>
              </w:rPr>
            </w:pPr>
            <w:r w:rsidRPr="00CA64DB">
              <w:rPr>
                <w:sz w:val="18"/>
                <w:szCs w:val="18"/>
              </w:rPr>
              <w:t>Hectares</w:t>
            </w:r>
          </w:p>
        </w:tc>
      </w:tr>
      <w:tr w:rsidR="007520C1" w:rsidRPr="004244E0" w14:paraId="7EB133A3" w14:textId="77777777" w:rsidTr="00DB02C4">
        <w:trPr>
          <w:trHeight w:val="58"/>
        </w:trPr>
        <w:tc>
          <w:tcPr>
            <w:tcW w:w="1298" w:type="dxa"/>
            <w:vMerge/>
          </w:tcPr>
          <w:p w14:paraId="087CADDC" w14:textId="77777777" w:rsidR="007520C1" w:rsidRPr="00CA64DB" w:rsidRDefault="007520C1" w:rsidP="00E049DB">
            <w:pPr>
              <w:rPr>
                <w:sz w:val="18"/>
                <w:szCs w:val="18"/>
              </w:rPr>
            </w:pPr>
          </w:p>
        </w:tc>
        <w:tc>
          <w:tcPr>
            <w:tcW w:w="933" w:type="dxa"/>
            <w:vMerge/>
          </w:tcPr>
          <w:p w14:paraId="32269050" w14:textId="77777777" w:rsidR="007520C1" w:rsidRPr="00CA64DB" w:rsidRDefault="007520C1" w:rsidP="00E049DB">
            <w:pPr>
              <w:rPr>
                <w:sz w:val="18"/>
                <w:szCs w:val="18"/>
              </w:rPr>
            </w:pPr>
          </w:p>
        </w:tc>
        <w:tc>
          <w:tcPr>
            <w:tcW w:w="1726" w:type="dxa"/>
            <w:vMerge/>
          </w:tcPr>
          <w:p w14:paraId="0C7B1A2B" w14:textId="77777777" w:rsidR="007520C1" w:rsidRPr="00CA64DB" w:rsidRDefault="007520C1" w:rsidP="00E049DB">
            <w:pPr>
              <w:rPr>
                <w:sz w:val="18"/>
                <w:szCs w:val="18"/>
              </w:rPr>
            </w:pPr>
          </w:p>
        </w:tc>
        <w:tc>
          <w:tcPr>
            <w:tcW w:w="4106" w:type="dxa"/>
            <w:gridSpan w:val="3"/>
          </w:tcPr>
          <w:p w14:paraId="69A79393" w14:textId="77777777" w:rsidR="007520C1" w:rsidRPr="00CA64DB" w:rsidRDefault="007520C1" w:rsidP="00E049DB">
            <w:pPr>
              <w:jc w:val="center"/>
              <w:rPr>
                <w:sz w:val="18"/>
                <w:szCs w:val="18"/>
              </w:rPr>
            </w:pPr>
            <w:r w:rsidRPr="00CA64DB">
              <w:rPr>
                <w:sz w:val="18"/>
                <w:szCs w:val="18"/>
              </w:rPr>
              <w:t>Expected</w:t>
            </w:r>
          </w:p>
        </w:tc>
        <w:tc>
          <w:tcPr>
            <w:tcW w:w="2772" w:type="dxa"/>
            <w:gridSpan w:val="5"/>
          </w:tcPr>
          <w:p w14:paraId="5CD551D5" w14:textId="77777777" w:rsidR="007520C1" w:rsidRPr="00CA64DB" w:rsidRDefault="007520C1" w:rsidP="00E049DB">
            <w:pPr>
              <w:jc w:val="center"/>
              <w:rPr>
                <w:sz w:val="18"/>
                <w:szCs w:val="18"/>
              </w:rPr>
            </w:pPr>
            <w:r w:rsidRPr="00CA64DB">
              <w:rPr>
                <w:sz w:val="18"/>
                <w:szCs w:val="18"/>
              </w:rPr>
              <w:t>Achieved</w:t>
            </w:r>
          </w:p>
        </w:tc>
      </w:tr>
      <w:tr w:rsidR="007520C1" w:rsidRPr="004244E0" w14:paraId="2C26872B" w14:textId="77777777" w:rsidTr="00DB02C4">
        <w:trPr>
          <w:trHeight w:val="143"/>
        </w:trPr>
        <w:tc>
          <w:tcPr>
            <w:tcW w:w="1298" w:type="dxa"/>
            <w:vMerge/>
          </w:tcPr>
          <w:p w14:paraId="6F16FD8E" w14:textId="77777777" w:rsidR="007520C1" w:rsidRPr="00CA64DB" w:rsidRDefault="007520C1" w:rsidP="00E049DB">
            <w:pPr>
              <w:rPr>
                <w:sz w:val="18"/>
                <w:szCs w:val="18"/>
              </w:rPr>
            </w:pPr>
          </w:p>
        </w:tc>
        <w:tc>
          <w:tcPr>
            <w:tcW w:w="933" w:type="dxa"/>
            <w:vMerge/>
          </w:tcPr>
          <w:p w14:paraId="600A2ED7" w14:textId="77777777" w:rsidR="007520C1" w:rsidRPr="00CA64DB" w:rsidRDefault="007520C1" w:rsidP="00E049DB">
            <w:pPr>
              <w:rPr>
                <w:sz w:val="18"/>
                <w:szCs w:val="18"/>
              </w:rPr>
            </w:pPr>
          </w:p>
        </w:tc>
        <w:tc>
          <w:tcPr>
            <w:tcW w:w="1726" w:type="dxa"/>
            <w:vMerge/>
          </w:tcPr>
          <w:p w14:paraId="01B3CA7F" w14:textId="77777777" w:rsidR="007520C1" w:rsidRPr="00CA64DB" w:rsidRDefault="007520C1" w:rsidP="00E049DB">
            <w:pPr>
              <w:rPr>
                <w:sz w:val="18"/>
                <w:szCs w:val="18"/>
              </w:rPr>
            </w:pPr>
          </w:p>
        </w:tc>
        <w:tc>
          <w:tcPr>
            <w:tcW w:w="2782" w:type="dxa"/>
            <w:gridSpan w:val="2"/>
          </w:tcPr>
          <w:p w14:paraId="696C1C30" w14:textId="77777777" w:rsidR="007520C1" w:rsidRPr="00CA64DB" w:rsidRDefault="007520C1" w:rsidP="00E049DB">
            <w:pPr>
              <w:jc w:val="center"/>
              <w:rPr>
                <w:sz w:val="18"/>
                <w:szCs w:val="18"/>
              </w:rPr>
            </w:pPr>
            <w:r w:rsidRPr="00CA64DB">
              <w:rPr>
                <w:sz w:val="18"/>
                <w:szCs w:val="18"/>
              </w:rPr>
              <w:t>PIF stage</w:t>
            </w:r>
          </w:p>
        </w:tc>
        <w:tc>
          <w:tcPr>
            <w:tcW w:w="1485" w:type="dxa"/>
            <w:gridSpan w:val="3"/>
          </w:tcPr>
          <w:p w14:paraId="7382442A" w14:textId="77777777" w:rsidR="007520C1" w:rsidRPr="00CA64DB" w:rsidRDefault="007520C1" w:rsidP="00E049DB">
            <w:pPr>
              <w:jc w:val="center"/>
              <w:rPr>
                <w:sz w:val="18"/>
                <w:szCs w:val="18"/>
              </w:rPr>
            </w:pPr>
            <w:r w:rsidRPr="00CA64DB">
              <w:rPr>
                <w:sz w:val="18"/>
                <w:szCs w:val="18"/>
              </w:rPr>
              <w:t>Endorsement</w:t>
            </w:r>
          </w:p>
        </w:tc>
        <w:tc>
          <w:tcPr>
            <w:tcW w:w="1324" w:type="dxa"/>
            <w:gridSpan w:val="2"/>
          </w:tcPr>
          <w:p w14:paraId="677DF139" w14:textId="77777777" w:rsidR="007520C1" w:rsidRPr="00CA64DB" w:rsidRDefault="007520C1" w:rsidP="00E049DB">
            <w:pPr>
              <w:jc w:val="center"/>
              <w:rPr>
                <w:sz w:val="18"/>
                <w:szCs w:val="18"/>
              </w:rPr>
            </w:pPr>
            <w:r w:rsidRPr="00CA64DB">
              <w:rPr>
                <w:sz w:val="18"/>
                <w:szCs w:val="18"/>
              </w:rPr>
              <w:t>MTR</w:t>
            </w:r>
          </w:p>
        </w:tc>
        <w:tc>
          <w:tcPr>
            <w:tcW w:w="1287" w:type="dxa"/>
          </w:tcPr>
          <w:p w14:paraId="659BFC2F" w14:textId="77777777" w:rsidR="007520C1" w:rsidRPr="00CA64DB" w:rsidRDefault="007520C1" w:rsidP="00E049DB">
            <w:pPr>
              <w:jc w:val="center"/>
              <w:rPr>
                <w:sz w:val="18"/>
                <w:szCs w:val="18"/>
              </w:rPr>
            </w:pPr>
            <w:r w:rsidRPr="00CA64DB">
              <w:rPr>
                <w:sz w:val="18"/>
                <w:szCs w:val="18"/>
              </w:rPr>
              <w:t>TE</w:t>
            </w:r>
          </w:p>
        </w:tc>
      </w:tr>
      <w:tr w:rsidR="007520C1" w:rsidRPr="004244E0" w14:paraId="7C9DD18A" w14:textId="77777777" w:rsidTr="00DB02C4">
        <w:tc>
          <w:tcPr>
            <w:tcW w:w="1298" w:type="dxa"/>
          </w:tcPr>
          <w:p w14:paraId="5D1C4C45" w14:textId="77777777" w:rsidR="007520C1" w:rsidRPr="00CA64DB" w:rsidRDefault="007520C1" w:rsidP="00E049DB">
            <w:pPr>
              <w:jc w:val="right"/>
              <w:rPr>
                <w:sz w:val="18"/>
                <w:szCs w:val="18"/>
              </w:rPr>
            </w:pPr>
          </w:p>
        </w:tc>
        <w:tc>
          <w:tcPr>
            <w:tcW w:w="933" w:type="dxa"/>
          </w:tcPr>
          <w:p w14:paraId="21A6D021" w14:textId="77777777" w:rsidR="007520C1" w:rsidRPr="00CA64DB" w:rsidRDefault="007520C1" w:rsidP="00E049DB">
            <w:pPr>
              <w:jc w:val="right"/>
              <w:rPr>
                <w:sz w:val="18"/>
                <w:szCs w:val="18"/>
              </w:rPr>
            </w:pPr>
          </w:p>
        </w:tc>
        <w:tc>
          <w:tcPr>
            <w:tcW w:w="1726" w:type="dxa"/>
          </w:tcPr>
          <w:p w14:paraId="178B4C65" w14:textId="77777777" w:rsidR="007520C1" w:rsidRPr="00CA64DB" w:rsidRDefault="007520C1" w:rsidP="00E049DB">
            <w:pPr>
              <w:jc w:val="right"/>
              <w:rPr>
                <w:sz w:val="18"/>
                <w:szCs w:val="18"/>
              </w:rPr>
            </w:pPr>
          </w:p>
        </w:tc>
        <w:tc>
          <w:tcPr>
            <w:tcW w:w="2782" w:type="dxa"/>
            <w:gridSpan w:val="2"/>
          </w:tcPr>
          <w:p w14:paraId="55FE8054" w14:textId="77777777" w:rsidR="007520C1" w:rsidRPr="00CA64DB" w:rsidRDefault="007520C1" w:rsidP="00E049DB">
            <w:pPr>
              <w:jc w:val="right"/>
              <w:rPr>
                <w:sz w:val="18"/>
                <w:szCs w:val="18"/>
              </w:rPr>
            </w:pPr>
            <w:r w:rsidRPr="00CA64DB">
              <w:rPr>
                <w:i/>
                <w:color w:val="000000"/>
                <w:sz w:val="18"/>
                <w:szCs w:val="18"/>
              </w:rPr>
              <w:fldChar w:fldCharType="begin">
                <w:ffData>
                  <w:name w:val="F_GEB_BD_target"/>
                  <w:enabled/>
                  <w:calcOnExit w:val="0"/>
                  <w:textInput/>
                </w:ffData>
              </w:fldChar>
            </w:r>
            <w:r w:rsidRPr="00CA64DB">
              <w:rPr>
                <w:i/>
                <w:color w:val="000000"/>
                <w:sz w:val="18"/>
                <w:szCs w:val="18"/>
              </w:rPr>
              <w:instrText xml:space="preserve"> FORMTEXT </w:instrText>
            </w:r>
            <w:r w:rsidRPr="00CA64DB">
              <w:rPr>
                <w:i/>
                <w:color w:val="000000"/>
                <w:sz w:val="18"/>
                <w:szCs w:val="18"/>
              </w:rPr>
            </w:r>
            <w:r w:rsidRPr="00CA64DB">
              <w:rPr>
                <w:i/>
                <w:color w:val="000000"/>
                <w:sz w:val="18"/>
                <w:szCs w:val="18"/>
              </w:rPr>
              <w:fldChar w:fldCharType="separate"/>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fldChar w:fldCharType="end"/>
            </w:r>
          </w:p>
        </w:tc>
        <w:tc>
          <w:tcPr>
            <w:tcW w:w="1485" w:type="dxa"/>
            <w:gridSpan w:val="3"/>
          </w:tcPr>
          <w:p w14:paraId="1F8DF4DA" w14:textId="77777777" w:rsidR="007520C1" w:rsidRPr="00CA64DB" w:rsidRDefault="007520C1" w:rsidP="00E049DB">
            <w:pPr>
              <w:jc w:val="right"/>
              <w:rPr>
                <w:sz w:val="18"/>
                <w:szCs w:val="18"/>
              </w:rPr>
            </w:pPr>
            <w:r w:rsidRPr="00CA64DB">
              <w:rPr>
                <w:i/>
                <w:color w:val="000000"/>
                <w:sz w:val="18"/>
                <w:szCs w:val="18"/>
              </w:rPr>
              <w:fldChar w:fldCharType="begin">
                <w:ffData>
                  <w:name w:val="F_GEB_BD_target"/>
                  <w:enabled/>
                  <w:calcOnExit w:val="0"/>
                  <w:textInput/>
                </w:ffData>
              </w:fldChar>
            </w:r>
            <w:r w:rsidRPr="00CA64DB">
              <w:rPr>
                <w:i/>
                <w:color w:val="000000"/>
                <w:sz w:val="18"/>
                <w:szCs w:val="18"/>
              </w:rPr>
              <w:instrText xml:space="preserve"> FORMTEXT </w:instrText>
            </w:r>
            <w:r w:rsidRPr="00CA64DB">
              <w:rPr>
                <w:i/>
                <w:color w:val="000000"/>
                <w:sz w:val="18"/>
                <w:szCs w:val="18"/>
              </w:rPr>
            </w:r>
            <w:r w:rsidRPr="00CA64DB">
              <w:rPr>
                <w:i/>
                <w:color w:val="000000"/>
                <w:sz w:val="18"/>
                <w:szCs w:val="18"/>
              </w:rPr>
              <w:fldChar w:fldCharType="separate"/>
            </w:r>
            <w:r w:rsidRPr="00CA64DB">
              <w:rPr>
                <w:i/>
                <w:color w:val="000000"/>
                <w:sz w:val="18"/>
                <w:szCs w:val="18"/>
              </w:rPr>
              <w:t>4,900</w:t>
            </w:r>
            <w:r w:rsidRPr="00CA64DB">
              <w:rPr>
                <w:i/>
                <w:color w:val="000000"/>
                <w:sz w:val="18"/>
                <w:szCs w:val="18"/>
              </w:rPr>
              <w:fldChar w:fldCharType="end"/>
            </w:r>
          </w:p>
        </w:tc>
        <w:tc>
          <w:tcPr>
            <w:tcW w:w="1324" w:type="dxa"/>
            <w:gridSpan w:val="2"/>
          </w:tcPr>
          <w:p w14:paraId="23F71CF9" w14:textId="77777777" w:rsidR="007520C1" w:rsidRPr="00CA64DB" w:rsidRDefault="007520C1" w:rsidP="00E049DB">
            <w:pPr>
              <w:jc w:val="right"/>
              <w:rPr>
                <w:sz w:val="18"/>
                <w:szCs w:val="18"/>
              </w:rPr>
            </w:pPr>
            <w:r w:rsidRPr="00CA64DB">
              <w:rPr>
                <w:i/>
                <w:color w:val="000000"/>
                <w:sz w:val="18"/>
                <w:szCs w:val="18"/>
              </w:rPr>
              <w:fldChar w:fldCharType="begin">
                <w:ffData>
                  <w:name w:val="F_GEB_BD_target"/>
                  <w:enabled/>
                  <w:calcOnExit w:val="0"/>
                  <w:textInput/>
                </w:ffData>
              </w:fldChar>
            </w:r>
            <w:r w:rsidRPr="00CA64DB">
              <w:rPr>
                <w:i/>
                <w:color w:val="000000"/>
                <w:sz w:val="18"/>
                <w:szCs w:val="18"/>
              </w:rPr>
              <w:instrText xml:space="preserve"> FORMTEXT </w:instrText>
            </w:r>
            <w:r w:rsidRPr="00CA64DB">
              <w:rPr>
                <w:i/>
                <w:color w:val="000000"/>
                <w:sz w:val="18"/>
                <w:szCs w:val="18"/>
              </w:rPr>
            </w:r>
            <w:r w:rsidRPr="00CA64DB">
              <w:rPr>
                <w:i/>
                <w:color w:val="000000"/>
                <w:sz w:val="18"/>
                <w:szCs w:val="18"/>
              </w:rPr>
              <w:fldChar w:fldCharType="separate"/>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fldChar w:fldCharType="end"/>
            </w:r>
          </w:p>
        </w:tc>
        <w:tc>
          <w:tcPr>
            <w:tcW w:w="1287" w:type="dxa"/>
          </w:tcPr>
          <w:p w14:paraId="5A1F44C3" w14:textId="77777777" w:rsidR="007520C1" w:rsidRPr="00CA64DB" w:rsidRDefault="007520C1" w:rsidP="00E049DB">
            <w:pPr>
              <w:jc w:val="right"/>
              <w:rPr>
                <w:sz w:val="18"/>
                <w:szCs w:val="18"/>
              </w:rPr>
            </w:pPr>
            <w:r w:rsidRPr="00CA64DB">
              <w:rPr>
                <w:i/>
                <w:color w:val="000000"/>
                <w:sz w:val="18"/>
                <w:szCs w:val="18"/>
              </w:rPr>
              <w:fldChar w:fldCharType="begin">
                <w:ffData>
                  <w:name w:val="F_GEB_BD_target"/>
                  <w:enabled/>
                  <w:calcOnExit w:val="0"/>
                  <w:textInput/>
                </w:ffData>
              </w:fldChar>
            </w:r>
            <w:r w:rsidRPr="00CA64DB">
              <w:rPr>
                <w:i/>
                <w:color w:val="000000"/>
                <w:sz w:val="18"/>
                <w:szCs w:val="18"/>
              </w:rPr>
              <w:instrText xml:space="preserve"> FORMTEXT </w:instrText>
            </w:r>
            <w:r w:rsidRPr="00CA64DB">
              <w:rPr>
                <w:i/>
                <w:color w:val="000000"/>
                <w:sz w:val="18"/>
                <w:szCs w:val="18"/>
              </w:rPr>
            </w:r>
            <w:r w:rsidRPr="00CA64DB">
              <w:rPr>
                <w:i/>
                <w:color w:val="000000"/>
                <w:sz w:val="18"/>
                <w:szCs w:val="18"/>
              </w:rPr>
              <w:fldChar w:fldCharType="separate"/>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fldChar w:fldCharType="end"/>
            </w:r>
          </w:p>
        </w:tc>
      </w:tr>
      <w:tr w:rsidR="007520C1" w:rsidRPr="004244E0" w14:paraId="591870B1" w14:textId="77777777" w:rsidTr="00DB02C4">
        <w:tc>
          <w:tcPr>
            <w:tcW w:w="1298" w:type="dxa"/>
          </w:tcPr>
          <w:p w14:paraId="4D7CA021" w14:textId="77777777" w:rsidR="007520C1" w:rsidRPr="00CA64DB" w:rsidRDefault="007520C1" w:rsidP="00E049DB">
            <w:pPr>
              <w:jc w:val="right"/>
              <w:rPr>
                <w:sz w:val="18"/>
                <w:szCs w:val="18"/>
              </w:rPr>
            </w:pPr>
          </w:p>
        </w:tc>
        <w:tc>
          <w:tcPr>
            <w:tcW w:w="933" w:type="dxa"/>
          </w:tcPr>
          <w:p w14:paraId="4117FBB6" w14:textId="77777777" w:rsidR="007520C1" w:rsidRPr="00CA64DB" w:rsidRDefault="007520C1" w:rsidP="00E049DB">
            <w:pPr>
              <w:jc w:val="right"/>
              <w:rPr>
                <w:sz w:val="18"/>
                <w:szCs w:val="18"/>
              </w:rPr>
            </w:pPr>
          </w:p>
        </w:tc>
        <w:tc>
          <w:tcPr>
            <w:tcW w:w="1726" w:type="dxa"/>
          </w:tcPr>
          <w:p w14:paraId="50205A45" w14:textId="77777777" w:rsidR="007520C1" w:rsidRPr="00CA64DB" w:rsidRDefault="007520C1" w:rsidP="00E049DB">
            <w:pPr>
              <w:jc w:val="right"/>
              <w:rPr>
                <w:sz w:val="18"/>
                <w:szCs w:val="18"/>
              </w:rPr>
            </w:pPr>
          </w:p>
        </w:tc>
        <w:tc>
          <w:tcPr>
            <w:tcW w:w="2782" w:type="dxa"/>
            <w:gridSpan w:val="2"/>
          </w:tcPr>
          <w:p w14:paraId="0433EB27" w14:textId="77777777" w:rsidR="007520C1" w:rsidRPr="00CA64DB" w:rsidRDefault="007520C1" w:rsidP="00E049DB">
            <w:pPr>
              <w:jc w:val="right"/>
              <w:rPr>
                <w:sz w:val="18"/>
                <w:szCs w:val="18"/>
              </w:rPr>
            </w:pPr>
            <w:r w:rsidRPr="00CA64DB">
              <w:rPr>
                <w:i/>
                <w:color w:val="000000"/>
                <w:sz w:val="18"/>
                <w:szCs w:val="18"/>
              </w:rPr>
              <w:fldChar w:fldCharType="begin">
                <w:ffData>
                  <w:name w:val="F_GEB_BD_target"/>
                  <w:enabled/>
                  <w:calcOnExit w:val="0"/>
                  <w:textInput/>
                </w:ffData>
              </w:fldChar>
            </w:r>
            <w:r w:rsidRPr="00CA64DB">
              <w:rPr>
                <w:i/>
                <w:color w:val="000000"/>
                <w:sz w:val="18"/>
                <w:szCs w:val="18"/>
              </w:rPr>
              <w:instrText xml:space="preserve"> FORMTEXT </w:instrText>
            </w:r>
            <w:r w:rsidRPr="00CA64DB">
              <w:rPr>
                <w:i/>
                <w:color w:val="000000"/>
                <w:sz w:val="18"/>
                <w:szCs w:val="18"/>
              </w:rPr>
            </w:r>
            <w:r w:rsidRPr="00CA64DB">
              <w:rPr>
                <w:i/>
                <w:color w:val="000000"/>
                <w:sz w:val="18"/>
                <w:szCs w:val="18"/>
              </w:rPr>
              <w:fldChar w:fldCharType="separate"/>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fldChar w:fldCharType="end"/>
            </w:r>
          </w:p>
        </w:tc>
        <w:tc>
          <w:tcPr>
            <w:tcW w:w="1485" w:type="dxa"/>
            <w:gridSpan w:val="3"/>
          </w:tcPr>
          <w:p w14:paraId="56D0E1BA" w14:textId="77777777" w:rsidR="007520C1" w:rsidRPr="00CA64DB" w:rsidRDefault="007520C1" w:rsidP="00E049DB">
            <w:pPr>
              <w:jc w:val="right"/>
              <w:rPr>
                <w:sz w:val="18"/>
                <w:szCs w:val="18"/>
              </w:rPr>
            </w:pPr>
            <w:r w:rsidRPr="00CA64DB">
              <w:rPr>
                <w:i/>
                <w:color w:val="000000"/>
                <w:sz w:val="18"/>
                <w:szCs w:val="18"/>
              </w:rPr>
              <w:fldChar w:fldCharType="begin">
                <w:ffData>
                  <w:name w:val="F_GEB_BD_target"/>
                  <w:enabled/>
                  <w:calcOnExit w:val="0"/>
                  <w:textInput/>
                </w:ffData>
              </w:fldChar>
            </w:r>
            <w:r w:rsidRPr="00CA64DB">
              <w:rPr>
                <w:i/>
                <w:color w:val="000000"/>
                <w:sz w:val="18"/>
                <w:szCs w:val="18"/>
              </w:rPr>
              <w:instrText xml:space="preserve"> FORMTEXT </w:instrText>
            </w:r>
            <w:r w:rsidRPr="00CA64DB">
              <w:rPr>
                <w:i/>
                <w:color w:val="000000"/>
                <w:sz w:val="18"/>
                <w:szCs w:val="18"/>
              </w:rPr>
            </w:r>
            <w:r w:rsidRPr="00CA64DB">
              <w:rPr>
                <w:i/>
                <w:color w:val="000000"/>
                <w:sz w:val="18"/>
                <w:szCs w:val="18"/>
              </w:rPr>
              <w:fldChar w:fldCharType="separate"/>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fldChar w:fldCharType="end"/>
            </w:r>
          </w:p>
        </w:tc>
        <w:tc>
          <w:tcPr>
            <w:tcW w:w="1324" w:type="dxa"/>
            <w:gridSpan w:val="2"/>
          </w:tcPr>
          <w:p w14:paraId="26707D01" w14:textId="77777777" w:rsidR="007520C1" w:rsidRPr="00CA64DB" w:rsidRDefault="007520C1" w:rsidP="00E049DB">
            <w:pPr>
              <w:jc w:val="right"/>
              <w:rPr>
                <w:sz w:val="18"/>
                <w:szCs w:val="18"/>
              </w:rPr>
            </w:pPr>
            <w:r w:rsidRPr="00CA64DB">
              <w:rPr>
                <w:i/>
                <w:color w:val="000000"/>
                <w:sz w:val="18"/>
                <w:szCs w:val="18"/>
              </w:rPr>
              <w:fldChar w:fldCharType="begin">
                <w:ffData>
                  <w:name w:val="F_GEB_BD_target"/>
                  <w:enabled/>
                  <w:calcOnExit w:val="0"/>
                  <w:textInput/>
                </w:ffData>
              </w:fldChar>
            </w:r>
            <w:r w:rsidRPr="00CA64DB">
              <w:rPr>
                <w:i/>
                <w:color w:val="000000"/>
                <w:sz w:val="18"/>
                <w:szCs w:val="18"/>
              </w:rPr>
              <w:instrText xml:space="preserve"> FORMTEXT </w:instrText>
            </w:r>
            <w:r w:rsidRPr="00CA64DB">
              <w:rPr>
                <w:i/>
                <w:color w:val="000000"/>
                <w:sz w:val="18"/>
                <w:szCs w:val="18"/>
              </w:rPr>
            </w:r>
            <w:r w:rsidRPr="00CA64DB">
              <w:rPr>
                <w:i/>
                <w:color w:val="000000"/>
                <w:sz w:val="18"/>
                <w:szCs w:val="18"/>
              </w:rPr>
              <w:fldChar w:fldCharType="separate"/>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fldChar w:fldCharType="end"/>
            </w:r>
          </w:p>
        </w:tc>
        <w:tc>
          <w:tcPr>
            <w:tcW w:w="1287" w:type="dxa"/>
          </w:tcPr>
          <w:p w14:paraId="44786070" w14:textId="77777777" w:rsidR="007520C1" w:rsidRPr="00CA64DB" w:rsidRDefault="007520C1" w:rsidP="00E049DB">
            <w:pPr>
              <w:jc w:val="right"/>
              <w:rPr>
                <w:sz w:val="18"/>
                <w:szCs w:val="18"/>
              </w:rPr>
            </w:pPr>
            <w:r w:rsidRPr="00CA64DB">
              <w:rPr>
                <w:i/>
                <w:color w:val="000000"/>
                <w:sz w:val="18"/>
                <w:szCs w:val="18"/>
              </w:rPr>
              <w:fldChar w:fldCharType="begin">
                <w:ffData>
                  <w:name w:val="F_GEB_BD_target"/>
                  <w:enabled/>
                  <w:calcOnExit w:val="0"/>
                  <w:textInput/>
                </w:ffData>
              </w:fldChar>
            </w:r>
            <w:r w:rsidRPr="00CA64DB">
              <w:rPr>
                <w:i/>
                <w:color w:val="000000"/>
                <w:sz w:val="18"/>
                <w:szCs w:val="18"/>
              </w:rPr>
              <w:instrText xml:space="preserve"> FORMTEXT </w:instrText>
            </w:r>
            <w:r w:rsidRPr="00CA64DB">
              <w:rPr>
                <w:i/>
                <w:color w:val="000000"/>
                <w:sz w:val="18"/>
                <w:szCs w:val="18"/>
              </w:rPr>
            </w:r>
            <w:r w:rsidRPr="00CA64DB">
              <w:rPr>
                <w:i/>
                <w:color w:val="000000"/>
                <w:sz w:val="18"/>
                <w:szCs w:val="18"/>
              </w:rPr>
              <w:fldChar w:fldCharType="separate"/>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fldChar w:fldCharType="end"/>
            </w:r>
          </w:p>
        </w:tc>
      </w:tr>
      <w:tr w:rsidR="007520C1" w:rsidRPr="004244E0" w14:paraId="4CB2F617" w14:textId="77777777" w:rsidTr="00DB02C4">
        <w:tc>
          <w:tcPr>
            <w:tcW w:w="1298" w:type="dxa"/>
            <w:shd w:val="clear" w:color="auto" w:fill="BFBFBF" w:themeFill="background1" w:themeFillShade="BF"/>
          </w:tcPr>
          <w:p w14:paraId="19A8257F" w14:textId="77777777" w:rsidR="007520C1" w:rsidRPr="00CA64DB" w:rsidRDefault="007520C1" w:rsidP="00E049DB">
            <w:pPr>
              <w:rPr>
                <w:sz w:val="18"/>
                <w:szCs w:val="18"/>
              </w:rPr>
            </w:pPr>
            <w:r w:rsidRPr="00CA64DB">
              <w:rPr>
                <w:sz w:val="18"/>
                <w:szCs w:val="18"/>
              </w:rPr>
              <w:t>Indicator 3.2</w:t>
            </w:r>
          </w:p>
        </w:tc>
        <w:tc>
          <w:tcPr>
            <w:tcW w:w="6765" w:type="dxa"/>
            <w:gridSpan w:val="5"/>
            <w:shd w:val="clear" w:color="auto" w:fill="BFBFBF" w:themeFill="background1" w:themeFillShade="BF"/>
          </w:tcPr>
          <w:p w14:paraId="62B341E4" w14:textId="77777777" w:rsidR="007520C1" w:rsidRPr="00CA64DB" w:rsidRDefault="007520C1" w:rsidP="00E049DB">
            <w:pPr>
              <w:rPr>
                <w:sz w:val="18"/>
                <w:szCs w:val="18"/>
              </w:rPr>
            </w:pPr>
            <w:r w:rsidRPr="00CA64DB">
              <w:rPr>
                <w:sz w:val="18"/>
                <w:szCs w:val="18"/>
              </w:rPr>
              <w:t>Area of forest and forest land restored</w:t>
            </w:r>
          </w:p>
        </w:tc>
        <w:tc>
          <w:tcPr>
            <w:tcW w:w="2772" w:type="dxa"/>
            <w:gridSpan w:val="5"/>
            <w:shd w:val="clear" w:color="auto" w:fill="BFBFBF" w:themeFill="background1" w:themeFillShade="BF"/>
          </w:tcPr>
          <w:p w14:paraId="11F3AFFB" w14:textId="77777777" w:rsidR="007520C1" w:rsidRPr="00CA64DB" w:rsidRDefault="007520C1" w:rsidP="00E049DB">
            <w:pPr>
              <w:jc w:val="right"/>
              <w:rPr>
                <w:sz w:val="18"/>
                <w:szCs w:val="18"/>
              </w:rPr>
            </w:pPr>
            <w:r w:rsidRPr="00CA64DB">
              <w:rPr>
                <w:i/>
                <w:color w:val="000000"/>
                <w:sz w:val="18"/>
                <w:szCs w:val="18"/>
              </w:rPr>
              <w:fldChar w:fldCharType="begin">
                <w:ffData>
                  <w:name w:val="F_GEB_BD_target"/>
                  <w:enabled/>
                  <w:calcOnExit w:val="0"/>
                  <w:textInput/>
                </w:ffData>
              </w:fldChar>
            </w:r>
            <w:r w:rsidRPr="00CA64DB">
              <w:rPr>
                <w:i/>
                <w:color w:val="000000"/>
                <w:sz w:val="18"/>
                <w:szCs w:val="18"/>
              </w:rPr>
              <w:instrText xml:space="preserve"> FORMTEXT </w:instrText>
            </w:r>
            <w:r w:rsidRPr="00CA64DB">
              <w:rPr>
                <w:i/>
                <w:color w:val="000000"/>
                <w:sz w:val="18"/>
                <w:szCs w:val="18"/>
              </w:rPr>
            </w:r>
            <w:r w:rsidRPr="00CA64DB">
              <w:rPr>
                <w:i/>
                <w:color w:val="000000"/>
                <w:sz w:val="18"/>
                <w:szCs w:val="18"/>
              </w:rPr>
              <w:fldChar w:fldCharType="separate"/>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fldChar w:fldCharType="end"/>
            </w:r>
          </w:p>
        </w:tc>
      </w:tr>
      <w:tr w:rsidR="007520C1" w:rsidRPr="004244E0" w14:paraId="764B1F71" w14:textId="77777777" w:rsidTr="00DB02C4">
        <w:trPr>
          <w:trHeight w:val="125"/>
        </w:trPr>
        <w:tc>
          <w:tcPr>
            <w:tcW w:w="1298" w:type="dxa"/>
            <w:vMerge w:val="restart"/>
          </w:tcPr>
          <w:p w14:paraId="0897BC42" w14:textId="77777777" w:rsidR="007520C1" w:rsidRPr="00CA64DB" w:rsidRDefault="007520C1" w:rsidP="00E049DB">
            <w:pPr>
              <w:rPr>
                <w:sz w:val="18"/>
                <w:szCs w:val="18"/>
              </w:rPr>
            </w:pPr>
          </w:p>
        </w:tc>
        <w:tc>
          <w:tcPr>
            <w:tcW w:w="933" w:type="dxa"/>
            <w:vMerge w:val="restart"/>
          </w:tcPr>
          <w:p w14:paraId="401DD2AB" w14:textId="77777777" w:rsidR="007520C1" w:rsidRPr="00CA64DB" w:rsidRDefault="007520C1" w:rsidP="00E049DB">
            <w:pPr>
              <w:rPr>
                <w:sz w:val="18"/>
                <w:szCs w:val="18"/>
              </w:rPr>
            </w:pPr>
          </w:p>
        </w:tc>
        <w:tc>
          <w:tcPr>
            <w:tcW w:w="1726" w:type="dxa"/>
            <w:vMerge w:val="restart"/>
          </w:tcPr>
          <w:p w14:paraId="5327C7C8" w14:textId="77777777" w:rsidR="007520C1" w:rsidRPr="00CA64DB" w:rsidRDefault="007520C1" w:rsidP="00E049DB">
            <w:pPr>
              <w:rPr>
                <w:sz w:val="18"/>
                <w:szCs w:val="18"/>
              </w:rPr>
            </w:pPr>
          </w:p>
        </w:tc>
        <w:tc>
          <w:tcPr>
            <w:tcW w:w="6878" w:type="dxa"/>
            <w:gridSpan w:val="8"/>
          </w:tcPr>
          <w:p w14:paraId="38281F72" w14:textId="77777777" w:rsidR="007520C1" w:rsidRPr="00CA64DB" w:rsidRDefault="007520C1" w:rsidP="00E049DB">
            <w:pPr>
              <w:jc w:val="center"/>
              <w:rPr>
                <w:sz w:val="18"/>
                <w:szCs w:val="18"/>
              </w:rPr>
            </w:pPr>
            <w:r w:rsidRPr="00CA64DB">
              <w:rPr>
                <w:sz w:val="18"/>
                <w:szCs w:val="18"/>
              </w:rPr>
              <w:t>Hectares</w:t>
            </w:r>
          </w:p>
        </w:tc>
      </w:tr>
      <w:tr w:rsidR="007520C1" w:rsidRPr="004244E0" w14:paraId="130D3132" w14:textId="77777777" w:rsidTr="00DB02C4">
        <w:trPr>
          <w:trHeight w:val="58"/>
        </w:trPr>
        <w:tc>
          <w:tcPr>
            <w:tcW w:w="1298" w:type="dxa"/>
            <w:vMerge/>
          </w:tcPr>
          <w:p w14:paraId="3B0239BF" w14:textId="77777777" w:rsidR="007520C1" w:rsidRPr="00CA64DB" w:rsidRDefault="007520C1" w:rsidP="00E049DB">
            <w:pPr>
              <w:rPr>
                <w:sz w:val="18"/>
                <w:szCs w:val="18"/>
              </w:rPr>
            </w:pPr>
          </w:p>
        </w:tc>
        <w:tc>
          <w:tcPr>
            <w:tcW w:w="933" w:type="dxa"/>
            <w:vMerge/>
          </w:tcPr>
          <w:p w14:paraId="5F6E2C6D" w14:textId="77777777" w:rsidR="007520C1" w:rsidRPr="00CA64DB" w:rsidRDefault="007520C1" w:rsidP="00E049DB">
            <w:pPr>
              <w:rPr>
                <w:sz w:val="18"/>
                <w:szCs w:val="18"/>
              </w:rPr>
            </w:pPr>
          </w:p>
        </w:tc>
        <w:tc>
          <w:tcPr>
            <w:tcW w:w="1726" w:type="dxa"/>
            <w:vMerge/>
          </w:tcPr>
          <w:p w14:paraId="20AB3BD9" w14:textId="77777777" w:rsidR="007520C1" w:rsidRPr="00CA64DB" w:rsidRDefault="007520C1" w:rsidP="00E049DB">
            <w:pPr>
              <w:rPr>
                <w:sz w:val="18"/>
                <w:szCs w:val="18"/>
              </w:rPr>
            </w:pPr>
          </w:p>
        </w:tc>
        <w:tc>
          <w:tcPr>
            <w:tcW w:w="4106" w:type="dxa"/>
            <w:gridSpan w:val="3"/>
          </w:tcPr>
          <w:p w14:paraId="6423BD09" w14:textId="77777777" w:rsidR="007520C1" w:rsidRPr="00CA64DB" w:rsidRDefault="007520C1" w:rsidP="00E049DB">
            <w:pPr>
              <w:jc w:val="center"/>
              <w:rPr>
                <w:sz w:val="18"/>
                <w:szCs w:val="18"/>
              </w:rPr>
            </w:pPr>
            <w:r w:rsidRPr="00CA64DB">
              <w:rPr>
                <w:sz w:val="18"/>
                <w:szCs w:val="18"/>
              </w:rPr>
              <w:t>Expected</w:t>
            </w:r>
          </w:p>
        </w:tc>
        <w:tc>
          <w:tcPr>
            <w:tcW w:w="2772" w:type="dxa"/>
            <w:gridSpan w:val="5"/>
          </w:tcPr>
          <w:p w14:paraId="4A17EDDE" w14:textId="77777777" w:rsidR="007520C1" w:rsidRPr="00CA64DB" w:rsidRDefault="007520C1" w:rsidP="00E049DB">
            <w:pPr>
              <w:jc w:val="center"/>
              <w:rPr>
                <w:sz w:val="18"/>
                <w:szCs w:val="18"/>
              </w:rPr>
            </w:pPr>
            <w:r w:rsidRPr="00CA64DB">
              <w:rPr>
                <w:sz w:val="18"/>
                <w:szCs w:val="18"/>
              </w:rPr>
              <w:t>Achieved</w:t>
            </w:r>
          </w:p>
        </w:tc>
      </w:tr>
      <w:tr w:rsidR="007520C1" w:rsidRPr="004244E0" w14:paraId="478BFDED" w14:textId="77777777" w:rsidTr="00DB02C4">
        <w:trPr>
          <w:trHeight w:val="215"/>
        </w:trPr>
        <w:tc>
          <w:tcPr>
            <w:tcW w:w="1298" w:type="dxa"/>
            <w:vMerge/>
          </w:tcPr>
          <w:p w14:paraId="7C2512F1" w14:textId="77777777" w:rsidR="007520C1" w:rsidRPr="00CA64DB" w:rsidRDefault="007520C1" w:rsidP="00E049DB">
            <w:pPr>
              <w:rPr>
                <w:sz w:val="18"/>
                <w:szCs w:val="18"/>
              </w:rPr>
            </w:pPr>
          </w:p>
        </w:tc>
        <w:tc>
          <w:tcPr>
            <w:tcW w:w="933" w:type="dxa"/>
            <w:vMerge/>
          </w:tcPr>
          <w:p w14:paraId="3554A834" w14:textId="77777777" w:rsidR="007520C1" w:rsidRPr="00CA64DB" w:rsidRDefault="007520C1" w:rsidP="00E049DB">
            <w:pPr>
              <w:rPr>
                <w:sz w:val="18"/>
                <w:szCs w:val="18"/>
              </w:rPr>
            </w:pPr>
          </w:p>
        </w:tc>
        <w:tc>
          <w:tcPr>
            <w:tcW w:w="1726" w:type="dxa"/>
            <w:vMerge/>
          </w:tcPr>
          <w:p w14:paraId="0BC5A816" w14:textId="77777777" w:rsidR="007520C1" w:rsidRPr="00CA64DB" w:rsidRDefault="007520C1" w:rsidP="00E049DB">
            <w:pPr>
              <w:rPr>
                <w:sz w:val="18"/>
                <w:szCs w:val="18"/>
              </w:rPr>
            </w:pPr>
          </w:p>
        </w:tc>
        <w:tc>
          <w:tcPr>
            <w:tcW w:w="2782" w:type="dxa"/>
            <w:gridSpan w:val="2"/>
          </w:tcPr>
          <w:p w14:paraId="38CE1BA0" w14:textId="77777777" w:rsidR="007520C1" w:rsidRPr="00CA64DB" w:rsidRDefault="007520C1" w:rsidP="00E049DB">
            <w:pPr>
              <w:jc w:val="center"/>
              <w:rPr>
                <w:sz w:val="18"/>
                <w:szCs w:val="18"/>
              </w:rPr>
            </w:pPr>
            <w:r w:rsidRPr="00CA64DB">
              <w:rPr>
                <w:sz w:val="18"/>
                <w:szCs w:val="18"/>
              </w:rPr>
              <w:t>PIF stage</w:t>
            </w:r>
          </w:p>
        </w:tc>
        <w:tc>
          <w:tcPr>
            <w:tcW w:w="1485" w:type="dxa"/>
            <w:gridSpan w:val="3"/>
          </w:tcPr>
          <w:p w14:paraId="5606957A" w14:textId="77777777" w:rsidR="007520C1" w:rsidRPr="00CA64DB" w:rsidRDefault="007520C1" w:rsidP="00E049DB">
            <w:pPr>
              <w:jc w:val="center"/>
              <w:rPr>
                <w:sz w:val="18"/>
                <w:szCs w:val="18"/>
              </w:rPr>
            </w:pPr>
            <w:r w:rsidRPr="00CA64DB">
              <w:rPr>
                <w:sz w:val="18"/>
                <w:szCs w:val="18"/>
              </w:rPr>
              <w:t>Endorsement</w:t>
            </w:r>
          </w:p>
        </w:tc>
        <w:tc>
          <w:tcPr>
            <w:tcW w:w="1324" w:type="dxa"/>
            <w:gridSpan w:val="2"/>
          </w:tcPr>
          <w:p w14:paraId="55A146AE" w14:textId="77777777" w:rsidR="007520C1" w:rsidRPr="00CA64DB" w:rsidRDefault="007520C1" w:rsidP="00E049DB">
            <w:pPr>
              <w:jc w:val="center"/>
              <w:rPr>
                <w:sz w:val="18"/>
                <w:szCs w:val="18"/>
              </w:rPr>
            </w:pPr>
            <w:r w:rsidRPr="00CA64DB">
              <w:rPr>
                <w:sz w:val="18"/>
                <w:szCs w:val="18"/>
              </w:rPr>
              <w:t>MTR</w:t>
            </w:r>
          </w:p>
        </w:tc>
        <w:tc>
          <w:tcPr>
            <w:tcW w:w="1287" w:type="dxa"/>
          </w:tcPr>
          <w:p w14:paraId="2721677D" w14:textId="77777777" w:rsidR="007520C1" w:rsidRPr="00CA64DB" w:rsidRDefault="007520C1" w:rsidP="00E049DB">
            <w:pPr>
              <w:jc w:val="center"/>
              <w:rPr>
                <w:sz w:val="18"/>
                <w:szCs w:val="18"/>
              </w:rPr>
            </w:pPr>
            <w:r w:rsidRPr="00CA64DB">
              <w:rPr>
                <w:sz w:val="18"/>
                <w:szCs w:val="18"/>
              </w:rPr>
              <w:t>TE</w:t>
            </w:r>
          </w:p>
        </w:tc>
      </w:tr>
      <w:tr w:rsidR="007520C1" w:rsidRPr="004244E0" w14:paraId="76EDF04F" w14:textId="77777777" w:rsidTr="00DB02C4">
        <w:tc>
          <w:tcPr>
            <w:tcW w:w="1298" w:type="dxa"/>
          </w:tcPr>
          <w:p w14:paraId="60994CEE" w14:textId="77777777" w:rsidR="007520C1" w:rsidRPr="00CA64DB" w:rsidRDefault="007520C1" w:rsidP="00E049DB">
            <w:pPr>
              <w:jc w:val="right"/>
              <w:rPr>
                <w:sz w:val="18"/>
                <w:szCs w:val="18"/>
              </w:rPr>
            </w:pPr>
          </w:p>
        </w:tc>
        <w:tc>
          <w:tcPr>
            <w:tcW w:w="933" w:type="dxa"/>
          </w:tcPr>
          <w:p w14:paraId="74292C83" w14:textId="77777777" w:rsidR="007520C1" w:rsidRPr="00CA64DB" w:rsidRDefault="007520C1" w:rsidP="00E049DB">
            <w:pPr>
              <w:jc w:val="right"/>
              <w:rPr>
                <w:sz w:val="18"/>
                <w:szCs w:val="18"/>
              </w:rPr>
            </w:pPr>
          </w:p>
        </w:tc>
        <w:tc>
          <w:tcPr>
            <w:tcW w:w="1726" w:type="dxa"/>
          </w:tcPr>
          <w:p w14:paraId="6A9D8690" w14:textId="77777777" w:rsidR="007520C1" w:rsidRPr="00CA64DB" w:rsidRDefault="007520C1" w:rsidP="00E049DB">
            <w:pPr>
              <w:jc w:val="right"/>
              <w:rPr>
                <w:sz w:val="18"/>
                <w:szCs w:val="18"/>
              </w:rPr>
            </w:pPr>
          </w:p>
        </w:tc>
        <w:tc>
          <w:tcPr>
            <w:tcW w:w="2782" w:type="dxa"/>
            <w:gridSpan w:val="2"/>
          </w:tcPr>
          <w:p w14:paraId="38402E96" w14:textId="77777777" w:rsidR="007520C1" w:rsidRPr="00CA64DB" w:rsidRDefault="007520C1" w:rsidP="00E049DB">
            <w:pPr>
              <w:jc w:val="right"/>
              <w:rPr>
                <w:sz w:val="18"/>
                <w:szCs w:val="18"/>
              </w:rPr>
            </w:pPr>
            <w:r w:rsidRPr="00CA64DB">
              <w:rPr>
                <w:i/>
                <w:color w:val="000000"/>
                <w:sz w:val="18"/>
                <w:szCs w:val="18"/>
              </w:rPr>
              <w:fldChar w:fldCharType="begin">
                <w:ffData>
                  <w:name w:val="F_GEB_BD_target"/>
                  <w:enabled/>
                  <w:calcOnExit w:val="0"/>
                  <w:textInput/>
                </w:ffData>
              </w:fldChar>
            </w:r>
            <w:r w:rsidRPr="00CA64DB">
              <w:rPr>
                <w:i/>
                <w:color w:val="000000"/>
                <w:sz w:val="18"/>
                <w:szCs w:val="18"/>
              </w:rPr>
              <w:instrText xml:space="preserve"> FORMTEXT </w:instrText>
            </w:r>
            <w:r w:rsidRPr="00CA64DB">
              <w:rPr>
                <w:i/>
                <w:color w:val="000000"/>
                <w:sz w:val="18"/>
                <w:szCs w:val="18"/>
              </w:rPr>
            </w:r>
            <w:r w:rsidRPr="00CA64DB">
              <w:rPr>
                <w:i/>
                <w:color w:val="000000"/>
                <w:sz w:val="18"/>
                <w:szCs w:val="18"/>
              </w:rPr>
              <w:fldChar w:fldCharType="separate"/>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fldChar w:fldCharType="end"/>
            </w:r>
          </w:p>
        </w:tc>
        <w:tc>
          <w:tcPr>
            <w:tcW w:w="1485" w:type="dxa"/>
            <w:gridSpan w:val="3"/>
          </w:tcPr>
          <w:p w14:paraId="1147F607" w14:textId="77777777" w:rsidR="007520C1" w:rsidRPr="00CA64DB" w:rsidRDefault="007520C1" w:rsidP="00E049DB">
            <w:pPr>
              <w:jc w:val="right"/>
              <w:rPr>
                <w:sz w:val="18"/>
                <w:szCs w:val="18"/>
              </w:rPr>
            </w:pPr>
            <w:r w:rsidRPr="00CA64DB">
              <w:rPr>
                <w:i/>
                <w:color w:val="000000"/>
                <w:sz w:val="18"/>
                <w:szCs w:val="18"/>
              </w:rPr>
              <w:fldChar w:fldCharType="begin">
                <w:ffData>
                  <w:name w:val="F_GEB_BD_target"/>
                  <w:enabled/>
                  <w:calcOnExit w:val="0"/>
                  <w:textInput/>
                </w:ffData>
              </w:fldChar>
            </w:r>
            <w:r w:rsidRPr="00CA64DB">
              <w:rPr>
                <w:i/>
                <w:color w:val="000000"/>
                <w:sz w:val="18"/>
                <w:szCs w:val="18"/>
              </w:rPr>
              <w:instrText xml:space="preserve"> FORMTEXT </w:instrText>
            </w:r>
            <w:r w:rsidRPr="00CA64DB">
              <w:rPr>
                <w:i/>
                <w:color w:val="000000"/>
                <w:sz w:val="18"/>
                <w:szCs w:val="18"/>
              </w:rPr>
            </w:r>
            <w:r w:rsidRPr="00CA64DB">
              <w:rPr>
                <w:i/>
                <w:color w:val="000000"/>
                <w:sz w:val="18"/>
                <w:szCs w:val="18"/>
              </w:rPr>
              <w:fldChar w:fldCharType="separate"/>
            </w:r>
            <w:r w:rsidRPr="00CA64DB">
              <w:rPr>
                <w:i/>
                <w:color w:val="000000"/>
                <w:sz w:val="18"/>
                <w:szCs w:val="18"/>
              </w:rPr>
              <w:t>4,388</w:t>
            </w:r>
            <w:r w:rsidRPr="00CA64DB">
              <w:rPr>
                <w:i/>
                <w:color w:val="000000"/>
                <w:sz w:val="18"/>
                <w:szCs w:val="18"/>
              </w:rPr>
              <w:fldChar w:fldCharType="end"/>
            </w:r>
          </w:p>
        </w:tc>
        <w:tc>
          <w:tcPr>
            <w:tcW w:w="1324" w:type="dxa"/>
            <w:gridSpan w:val="2"/>
          </w:tcPr>
          <w:p w14:paraId="10B6339A" w14:textId="77777777" w:rsidR="007520C1" w:rsidRPr="00CA64DB" w:rsidRDefault="007520C1" w:rsidP="00E049DB">
            <w:pPr>
              <w:jc w:val="right"/>
              <w:rPr>
                <w:sz w:val="18"/>
                <w:szCs w:val="18"/>
              </w:rPr>
            </w:pPr>
            <w:r w:rsidRPr="00CA64DB">
              <w:rPr>
                <w:i/>
                <w:color w:val="000000"/>
                <w:sz w:val="18"/>
                <w:szCs w:val="18"/>
              </w:rPr>
              <w:fldChar w:fldCharType="begin">
                <w:ffData>
                  <w:name w:val="F_GEB_BD_target"/>
                  <w:enabled/>
                  <w:calcOnExit w:val="0"/>
                  <w:textInput/>
                </w:ffData>
              </w:fldChar>
            </w:r>
            <w:r w:rsidRPr="00CA64DB">
              <w:rPr>
                <w:i/>
                <w:color w:val="000000"/>
                <w:sz w:val="18"/>
                <w:szCs w:val="18"/>
              </w:rPr>
              <w:instrText xml:space="preserve"> FORMTEXT </w:instrText>
            </w:r>
            <w:r w:rsidRPr="00CA64DB">
              <w:rPr>
                <w:i/>
                <w:color w:val="000000"/>
                <w:sz w:val="18"/>
                <w:szCs w:val="18"/>
              </w:rPr>
            </w:r>
            <w:r w:rsidRPr="00CA64DB">
              <w:rPr>
                <w:i/>
                <w:color w:val="000000"/>
                <w:sz w:val="18"/>
                <w:szCs w:val="18"/>
              </w:rPr>
              <w:fldChar w:fldCharType="separate"/>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fldChar w:fldCharType="end"/>
            </w:r>
          </w:p>
        </w:tc>
        <w:tc>
          <w:tcPr>
            <w:tcW w:w="1287" w:type="dxa"/>
          </w:tcPr>
          <w:p w14:paraId="38E6523E" w14:textId="77777777" w:rsidR="007520C1" w:rsidRPr="00CA64DB" w:rsidRDefault="007520C1" w:rsidP="00E049DB">
            <w:pPr>
              <w:jc w:val="right"/>
              <w:rPr>
                <w:sz w:val="18"/>
                <w:szCs w:val="18"/>
              </w:rPr>
            </w:pPr>
            <w:r w:rsidRPr="00CA64DB">
              <w:rPr>
                <w:i/>
                <w:color w:val="000000"/>
                <w:sz w:val="18"/>
                <w:szCs w:val="18"/>
              </w:rPr>
              <w:fldChar w:fldCharType="begin">
                <w:ffData>
                  <w:name w:val="F_GEB_BD_target"/>
                  <w:enabled/>
                  <w:calcOnExit w:val="0"/>
                  <w:textInput/>
                </w:ffData>
              </w:fldChar>
            </w:r>
            <w:r w:rsidRPr="00CA64DB">
              <w:rPr>
                <w:i/>
                <w:color w:val="000000"/>
                <w:sz w:val="18"/>
                <w:szCs w:val="18"/>
              </w:rPr>
              <w:instrText xml:space="preserve"> FORMTEXT </w:instrText>
            </w:r>
            <w:r w:rsidRPr="00CA64DB">
              <w:rPr>
                <w:i/>
                <w:color w:val="000000"/>
                <w:sz w:val="18"/>
                <w:szCs w:val="18"/>
              </w:rPr>
            </w:r>
            <w:r w:rsidRPr="00CA64DB">
              <w:rPr>
                <w:i/>
                <w:color w:val="000000"/>
                <w:sz w:val="18"/>
                <w:szCs w:val="18"/>
              </w:rPr>
              <w:fldChar w:fldCharType="separate"/>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fldChar w:fldCharType="end"/>
            </w:r>
          </w:p>
        </w:tc>
      </w:tr>
      <w:tr w:rsidR="007520C1" w:rsidRPr="004244E0" w14:paraId="15907BA9" w14:textId="77777777" w:rsidTr="00DB02C4">
        <w:tc>
          <w:tcPr>
            <w:tcW w:w="1298" w:type="dxa"/>
          </w:tcPr>
          <w:p w14:paraId="2128F419" w14:textId="77777777" w:rsidR="007520C1" w:rsidRPr="00CA64DB" w:rsidRDefault="007520C1" w:rsidP="00E049DB">
            <w:pPr>
              <w:jc w:val="right"/>
              <w:rPr>
                <w:sz w:val="18"/>
                <w:szCs w:val="18"/>
              </w:rPr>
            </w:pPr>
          </w:p>
        </w:tc>
        <w:tc>
          <w:tcPr>
            <w:tcW w:w="933" w:type="dxa"/>
          </w:tcPr>
          <w:p w14:paraId="3B291E0D" w14:textId="77777777" w:rsidR="007520C1" w:rsidRPr="00CA64DB" w:rsidRDefault="007520C1" w:rsidP="00E049DB">
            <w:pPr>
              <w:jc w:val="right"/>
              <w:rPr>
                <w:sz w:val="18"/>
                <w:szCs w:val="18"/>
              </w:rPr>
            </w:pPr>
          </w:p>
        </w:tc>
        <w:tc>
          <w:tcPr>
            <w:tcW w:w="1726" w:type="dxa"/>
          </w:tcPr>
          <w:p w14:paraId="3372B0B1" w14:textId="77777777" w:rsidR="007520C1" w:rsidRPr="00CA64DB" w:rsidRDefault="007520C1" w:rsidP="00E049DB">
            <w:pPr>
              <w:jc w:val="right"/>
              <w:rPr>
                <w:sz w:val="18"/>
                <w:szCs w:val="18"/>
              </w:rPr>
            </w:pPr>
          </w:p>
        </w:tc>
        <w:tc>
          <w:tcPr>
            <w:tcW w:w="2782" w:type="dxa"/>
            <w:gridSpan w:val="2"/>
          </w:tcPr>
          <w:p w14:paraId="51F13337" w14:textId="77777777" w:rsidR="007520C1" w:rsidRPr="00CA64DB" w:rsidRDefault="007520C1" w:rsidP="00E049DB">
            <w:pPr>
              <w:jc w:val="right"/>
              <w:rPr>
                <w:sz w:val="18"/>
                <w:szCs w:val="18"/>
              </w:rPr>
            </w:pPr>
            <w:r w:rsidRPr="00CA64DB">
              <w:rPr>
                <w:i/>
                <w:color w:val="000000"/>
                <w:sz w:val="18"/>
                <w:szCs w:val="18"/>
              </w:rPr>
              <w:fldChar w:fldCharType="begin">
                <w:ffData>
                  <w:name w:val="F_GEB_BD_target"/>
                  <w:enabled/>
                  <w:calcOnExit w:val="0"/>
                  <w:textInput/>
                </w:ffData>
              </w:fldChar>
            </w:r>
            <w:r w:rsidRPr="00CA64DB">
              <w:rPr>
                <w:i/>
                <w:color w:val="000000"/>
                <w:sz w:val="18"/>
                <w:szCs w:val="18"/>
              </w:rPr>
              <w:instrText xml:space="preserve"> FORMTEXT </w:instrText>
            </w:r>
            <w:r w:rsidRPr="00CA64DB">
              <w:rPr>
                <w:i/>
                <w:color w:val="000000"/>
                <w:sz w:val="18"/>
                <w:szCs w:val="18"/>
              </w:rPr>
            </w:r>
            <w:r w:rsidRPr="00CA64DB">
              <w:rPr>
                <w:i/>
                <w:color w:val="000000"/>
                <w:sz w:val="18"/>
                <w:szCs w:val="18"/>
              </w:rPr>
              <w:fldChar w:fldCharType="separate"/>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fldChar w:fldCharType="end"/>
            </w:r>
          </w:p>
        </w:tc>
        <w:tc>
          <w:tcPr>
            <w:tcW w:w="1485" w:type="dxa"/>
            <w:gridSpan w:val="3"/>
          </w:tcPr>
          <w:p w14:paraId="2D46B8AC" w14:textId="77777777" w:rsidR="007520C1" w:rsidRPr="00CA64DB" w:rsidRDefault="007520C1" w:rsidP="00E049DB">
            <w:pPr>
              <w:jc w:val="right"/>
              <w:rPr>
                <w:sz w:val="18"/>
                <w:szCs w:val="18"/>
              </w:rPr>
            </w:pPr>
            <w:r w:rsidRPr="00CA64DB">
              <w:rPr>
                <w:i/>
                <w:color w:val="000000"/>
                <w:sz w:val="18"/>
                <w:szCs w:val="18"/>
              </w:rPr>
              <w:fldChar w:fldCharType="begin">
                <w:ffData>
                  <w:name w:val="F_GEB_BD_target"/>
                  <w:enabled/>
                  <w:calcOnExit w:val="0"/>
                  <w:textInput/>
                </w:ffData>
              </w:fldChar>
            </w:r>
            <w:r w:rsidRPr="00CA64DB">
              <w:rPr>
                <w:i/>
                <w:color w:val="000000"/>
                <w:sz w:val="18"/>
                <w:szCs w:val="18"/>
              </w:rPr>
              <w:instrText xml:space="preserve"> FORMTEXT </w:instrText>
            </w:r>
            <w:r w:rsidRPr="00CA64DB">
              <w:rPr>
                <w:i/>
                <w:color w:val="000000"/>
                <w:sz w:val="18"/>
                <w:szCs w:val="18"/>
              </w:rPr>
            </w:r>
            <w:r w:rsidRPr="00CA64DB">
              <w:rPr>
                <w:i/>
                <w:color w:val="000000"/>
                <w:sz w:val="18"/>
                <w:szCs w:val="18"/>
              </w:rPr>
              <w:fldChar w:fldCharType="separate"/>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fldChar w:fldCharType="end"/>
            </w:r>
          </w:p>
        </w:tc>
        <w:tc>
          <w:tcPr>
            <w:tcW w:w="1324" w:type="dxa"/>
            <w:gridSpan w:val="2"/>
          </w:tcPr>
          <w:p w14:paraId="0D276359" w14:textId="77777777" w:rsidR="007520C1" w:rsidRPr="00CA64DB" w:rsidRDefault="007520C1" w:rsidP="00E049DB">
            <w:pPr>
              <w:jc w:val="right"/>
              <w:rPr>
                <w:sz w:val="18"/>
                <w:szCs w:val="18"/>
              </w:rPr>
            </w:pPr>
            <w:r w:rsidRPr="00CA64DB">
              <w:rPr>
                <w:i/>
                <w:color w:val="000000"/>
                <w:sz w:val="18"/>
                <w:szCs w:val="18"/>
              </w:rPr>
              <w:fldChar w:fldCharType="begin">
                <w:ffData>
                  <w:name w:val="F_GEB_BD_target"/>
                  <w:enabled/>
                  <w:calcOnExit w:val="0"/>
                  <w:textInput/>
                </w:ffData>
              </w:fldChar>
            </w:r>
            <w:r w:rsidRPr="00CA64DB">
              <w:rPr>
                <w:i/>
                <w:color w:val="000000"/>
                <w:sz w:val="18"/>
                <w:szCs w:val="18"/>
              </w:rPr>
              <w:instrText xml:space="preserve"> FORMTEXT </w:instrText>
            </w:r>
            <w:r w:rsidRPr="00CA64DB">
              <w:rPr>
                <w:i/>
                <w:color w:val="000000"/>
                <w:sz w:val="18"/>
                <w:szCs w:val="18"/>
              </w:rPr>
            </w:r>
            <w:r w:rsidRPr="00CA64DB">
              <w:rPr>
                <w:i/>
                <w:color w:val="000000"/>
                <w:sz w:val="18"/>
                <w:szCs w:val="18"/>
              </w:rPr>
              <w:fldChar w:fldCharType="separate"/>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fldChar w:fldCharType="end"/>
            </w:r>
          </w:p>
        </w:tc>
        <w:tc>
          <w:tcPr>
            <w:tcW w:w="1287" w:type="dxa"/>
          </w:tcPr>
          <w:p w14:paraId="3B1AFE09" w14:textId="77777777" w:rsidR="007520C1" w:rsidRPr="00CA64DB" w:rsidRDefault="007520C1" w:rsidP="00E049DB">
            <w:pPr>
              <w:jc w:val="right"/>
              <w:rPr>
                <w:sz w:val="18"/>
                <w:szCs w:val="18"/>
              </w:rPr>
            </w:pPr>
            <w:r w:rsidRPr="00CA64DB">
              <w:rPr>
                <w:i/>
                <w:color w:val="000000"/>
                <w:sz w:val="18"/>
                <w:szCs w:val="18"/>
              </w:rPr>
              <w:fldChar w:fldCharType="begin">
                <w:ffData>
                  <w:name w:val="F_GEB_BD_target"/>
                  <w:enabled/>
                  <w:calcOnExit w:val="0"/>
                  <w:textInput/>
                </w:ffData>
              </w:fldChar>
            </w:r>
            <w:r w:rsidRPr="00CA64DB">
              <w:rPr>
                <w:i/>
                <w:color w:val="000000"/>
                <w:sz w:val="18"/>
                <w:szCs w:val="18"/>
              </w:rPr>
              <w:instrText xml:space="preserve"> FORMTEXT </w:instrText>
            </w:r>
            <w:r w:rsidRPr="00CA64DB">
              <w:rPr>
                <w:i/>
                <w:color w:val="000000"/>
                <w:sz w:val="18"/>
                <w:szCs w:val="18"/>
              </w:rPr>
            </w:r>
            <w:r w:rsidRPr="00CA64DB">
              <w:rPr>
                <w:i/>
                <w:color w:val="000000"/>
                <w:sz w:val="18"/>
                <w:szCs w:val="18"/>
              </w:rPr>
              <w:fldChar w:fldCharType="separate"/>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fldChar w:fldCharType="end"/>
            </w:r>
          </w:p>
        </w:tc>
      </w:tr>
      <w:tr w:rsidR="007520C1" w:rsidRPr="004244E0" w14:paraId="0EDE0D42" w14:textId="77777777" w:rsidTr="00DB02C4">
        <w:tc>
          <w:tcPr>
            <w:tcW w:w="1298" w:type="dxa"/>
            <w:shd w:val="clear" w:color="auto" w:fill="BFBFBF" w:themeFill="background1" w:themeFillShade="BF"/>
          </w:tcPr>
          <w:p w14:paraId="62E4B472" w14:textId="77777777" w:rsidR="007520C1" w:rsidRPr="00CA64DB" w:rsidRDefault="007520C1" w:rsidP="00E049DB">
            <w:pPr>
              <w:rPr>
                <w:sz w:val="18"/>
                <w:szCs w:val="18"/>
              </w:rPr>
            </w:pPr>
            <w:r w:rsidRPr="00CA64DB">
              <w:rPr>
                <w:sz w:val="18"/>
                <w:szCs w:val="18"/>
              </w:rPr>
              <w:t>Indicator 3.3</w:t>
            </w:r>
          </w:p>
        </w:tc>
        <w:tc>
          <w:tcPr>
            <w:tcW w:w="6765" w:type="dxa"/>
            <w:gridSpan w:val="5"/>
            <w:shd w:val="clear" w:color="auto" w:fill="BFBFBF" w:themeFill="background1" w:themeFillShade="BF"/>
          </w:tcPr>
          <w:p w14:paraId="7AEB6023" w14:textId="77777777" w:rsidR="007520C1" w:rsidRPr="00CA64DB" w:rsidRDefault="007520C1" w:rsidP="00E049DB">
            <w:pPr>
              <w:rPr>
                <w:sz w:val="18"/>
                <w:szCs w:val="18"/>
              </w:rPr>
            </w:pPr>
            <w:r w:rsidRPr="00CA64DB">
              <w:rPr>
                <w:sz w:val="18"/>
                <w:szCs w:val="18"/>
              </w:rPr>
              <w:t>Area of natural grass and shrublands restored</w:t>
            </w:r>
          </w:p>
        </w:tc>
        <w:tc>
          <w:tcPr>
            <w:tcW w:w="2772" w:type="dxa"/>
            <w:gridSpan w:val="5"/>
            <w:shd w:val="clear" w:color="auto" w:fill="BFBFBF" w:themeFill="background1" w:themeFillShade="BF"/>
          </w:tcPr>
          <w:p w14:paraId="32D4200B" w14:textId="77777777" w:rsidR="007520C1" w:rsidRPr="00CA64DB" w:rsidRDefault="007520C1" w:rsidP="00E049DB">
            <w:pPr>
              <w:jc w:val="right"/>
              <w:rPr>
                <w:sz w:val="18"/>
                <w:szCs w:val="18"/>
              </w:rPr>
            </w:pPr>
            <w:r w:rsidRPr="00CA64DB">
              <w:rPr>
                <w:i/>
                <w:color w:val="000000"/>
                <w:sz w:val="18"/>
                <w:szCs w:val="18"/>
              </w:rPr>
              <w:fldChar w:fldCharType="begin">
                <w:ffData>
                  <w:name w:val="F_GEB_BD_target"/>
                  <w:enabled/>
                  <w:calcOnExit w:val="0"/>
                  <w:textInput/>
                </w:ffData>
              </w:fldChar>
            </w:r>
            <w:r w:rsidRPr="00CA64DB">
              <w:rPr>
                <w:i/>
                <w:color w:val="000000"/>
                <w:sz w:val="18"/>
                <w:szCs w:val="18"/>
              </w:rPr>
              <w:instrText xml:space="preserve"> FORMTEXT </w:instrText>
            </w:r>
            <w:r w:rsidRPr="00CA64DB">
              <w:rPr>
                <w:i/>
                <w:color w:val="000000"/>
                <w:sz w:val="18"/>
                <w:szCs w:val="18"/>
              </w:rPr>
            </w:r>
            <w:r w:rsidRPr="00CA64DB">
              <w:rPr>
                <w:i/>
                <w:color w:val="000000"/>
                <w:sz w:val="18"/>
                <w:szCs w:val="18"/>
              </w:rPr>
              <w:fldChar w:fldCharType="separate"/>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fldChar w:fldCharType="end"/>
            </w:r>
          </w:p>
        </w:tc>
      </w:tr>
      <w:tr w:rsidR="007520C1" w:rsidRPr="004244E0" w14:paraId="050A2F38" w14:textId="77777777" w:rsidTr="00DB02C4">
        <w:trPr>
          <w:trHeight w:val="125"/>
        </w:trPr>
        <w:tc>
          <w:tcPr>
            <w:tcW w:w="1298" w:type="dxa"/>
            <w:vMerge w:val="restart"/>
          </w:tcPr>
          <w:p w14:paraId="77AF467C" w14:textId="77777777" w:rsidR="007520C1" w:rsidRPr="00CA64DB" w:rsidRDefault="007520C1" w:rsidP="00E049DB">
            <w:pPr>
              <w:rPr>
                <w:sz w:val="18"/>
                <w:szCs w:val="18"/>
              </w:rPr>
            </w:pPr>
          </w:p>
        </w:tc>
        <w:tc>
          <w:tcPr>
            <w:tcW w:w="933" w:type="dxa"/>
            <w:vMerge w:val="restart"/>
          </w:tcPr>
          <w:p w14:paraId="1A2FF504" w14:textId="77777777" w:rsidR="007520C1" w:rsidRPr="00CA64DB" w:rsidRDefault="007520C1" w:rsidP="00E049DB">
            <w:pPr>
              <w:rPr>
                <w:sz w:val="18"/>
                <w:szCs w:val="18"/>
              </w:rPr>
            </w:pPr>
          </w:p>
        </w:tc>
        <w:tc>
          <w:tcPr>
            <w:tcW w:w="1726" w:type="dxa"/>
            <w:vMerge w:val="restart"/>
          </w:tcPr>
          <w:p w14:paraId="3CD75892" w14:textId="77777777" w:rsidR="007520C1" w:rsidRPr="00CA64DB" w:rsidRDefault="007520C1" w:rsidP="00E049DB">
            <w:pPr>
              <w:rPr>
                <w:sz w:val="18"/>
                <w:szCs w:val="18"/>
              </w:rPr>
            </w:pPr>
          </w:p>
        </w:tc>
        <w:tc>
          <w:tcPr>
            <w:tcW w:w="6878" w:type="dxa"/>
            <w:gridSpan w:val="8"/>
          </w:tcPr>
          <w:p w14:paraId="2C6DA2C5" w14:textId="77777777" w:rsidR="007520C1" w:rsidRPr="00CA64DB" w:rsidRDefault="007520C1" w:rsidP="00E049DB">
            <w:pPr>
              <w:jc w:val="center"/>
              <w:rPr>
                <w:sz w:val="18"/>
                <w:szCs w:val="18"/>
              </w:rPr>
            </w:pPr>
            <w:r w:rsidRPr="00CA64DB">
              <w:rPr>
                <w:sz w:val="18"/>
                <w:szCs w:val="18"/>
              </w:rPr>
              <w:t>Hectares</w:t>
            </w:r>
          </w:p>
        </w:tc>
      </w:tr>
      <w:tr w:rsidR="007520C1" w:rsidRPr="004244E0" w14:paraId="4BC55EAC" w14:textId="77777777" w:rsidTr="00DB02C4">
        <w:trPr>
          <w:trHeight w:val="58"/>
        </w:trPr>
        <w:tc>
          <w:tcPr>
            <w:tcW w:w="1298" w:type="dxa"/>
            <w:vMerge/>
          </w:tcPr>
          <w:p w14:paraId="72C22E0A" w14:textId="77777777" w:rsidR="007520C1" w:rsidRPr="00CA64DB" w:rsidRDefault="007520C1" w:rsidP="00E049DB">
            <w:pPr>
              <w:rPr>
                <w:sz w:val="18"/>
                <w:szCs w:val="18"/>
              </w:rPr>
            </w:pPr>
          </w:p>
        </w:tc>
        <w:tc>
          <w:tcPr>
            <w:tcW w:w="933" w:type="dxa"/>
            <w:vMerge/>
          </w:tcPr>
          <w:p w14:paraId="1E6D2667" w14:textId="77777777" w:rsidR="007520C1" w:rsidRPr="00CA64DB" w:rsidRDefault="007520C1" w:rsidP="00E049DB">
            <w:pPr>
              <w:rPr>
                <w:sz w:val="18"/>
                <w:szCs w:val="18"/>
              </w:rPr>
            </w:pPr>
          </w:p>
        </w:tc>
        <w:tc>
          <w:tcPr>
            <w:tcW w:w="1726" w:type="dxa"/>
            <w:vMerge/>
          </w:tcPr>
          <w:p w14:paraId="5C66FF21" w14:textId="77777777" w:rsidR="007520C1" w:rsidRPr="00CA64DB" w:rsidRDefault="007520C1" w:rsidP="00E049DB">
            <w:pPr>
              <w:rPr>
                <w:sz w:val="18"/>
                <w:szCs w:val="18"/>
              </w:rPr>
            </w:pPr>
          </w:p>
        </w:tc>
        <w:tc>
          <w:tcPr>
            <w:tcW w:w="4106" w:type="dxa"/>
            <w:gridSpan w:val="3"/>
          </w:tcPr>
          <w:p w14:paraId="76567A4A" w14:textId="77777777" w:rsidR="007520C1" w:rsidRPr="00CA64DB" w:rsidRDefault="007520C1" w:rsidP="00E049DB">
            <w:pPr>
              <w:jc w:val="center"/>
              <w:rPr>
                <w:sz w:val="18"/>
                <w:szCs w:val="18"/>
              </w:rPr>
            </w:pPr>
            <w:r w:rsidRPr="00CA64DB">
              <w:rPr>
                <w:sz w:val="18"/>
                <w:szCs w:val="18"/>
              </w:rPr>
              <w:t>Expected</w:t>
            </w:r>
          </w:p>
        </w:tc>
        <w:tc>
          <w:tcPr>
            <w:tcW w:w="2772" w:type="dxa"/>
            <w:gridSpan w:val="5"/>
          </w:tcPr>
          <w:p w14:paraId="6E9E58E6" w14:textId="77777777" w:rsidR="007520C1" w:rsidRPr="00CA64DB" w:rsidRDefault="007520C1" w:rsidP="00E049DB">
            <w:pPr>
              <w:jc w:val="center"/>
              <w:rPr>
                <w:sz w:val="18"/>
                <w:szCs w:val="18"/>
              </w:rPr>
            </w:pPr>
            <w:r w:rsidRPr="00CA64DB">
              <w:rPr>
                <w:sz w:val="18"/>
                <w:szCs w:val="18"/>
              </w:rPr>
              <w:t>Achieved</w:t>
            </w:r>
          </w:p>
        </w:tc>
      </w:tr>
      <w:tr w:rsidR="007520C1" w:rsidRPr="004244E0" w14:paraId="2D134644" w14:textId="77777777" w:rsidTr="00DB02C4">
        <w:trPr>
          <w:trHeight w:val="107"/>
        </w:trPr>
        <w:tc>
          <w:tcPr>
            <w:tcW w:w="1298" w:type="dxa"/>
            <w:vMerge/>
          </w:tcPr>
          <w:p w14:paraId="6DCDD4B5" w14:textId="77777777" w:rsidR="007520C1" w:rsidRPr="00CA64DB" w:rsidRDefault="007520C1" w:rsidP="00E049DB">
            <w:pPr>
              <w:rPr>
                <w:sz w:val="18"/>
                <w:szCs w:val="18"/>
              </w:rPr>
            </w:pPr>
          </w:p>
        </w:tc>
        <w:tc>
          <w:tcPr>
            <w:tcW w:w="933" w:type="dxa"/>
            <w:vMerge/>
          </w:tcPr>
          <w:p w14:paraId="0C6616FF" w14:textId="77777777" w:rsidR="007520C1" w:rsidRPr="00CA64DB" w:rsidRDefault="007520C1" w:rsidP="00E049DB">
            <w:pPr>
              <w:rPr>
                <w:sz w:val="18"/>
                <w:szCs w:val="18"/>
              </w:rPr>
            </w:pPr>
          </w:p>
        </w:tc>
        <w:tc>
          <w:tcPr>
            <w:tcW w:w="1726" w:type="dxa"/>
            <w:vMerge/>
          </w:tcPr>
          <w:p w14:paraId="438CF633" w14:textId="77777777" w:rsidR="007520C1" w:rsidRPr="00CA64DB" w:rsidRDefault="007520C1" w:rsidP="00E049DB">
            <w:pPr>
              <w:rPr>
                <w:sz w:val="18"/>
                <w:szCs w:val="18"/>
              </w:rPr>
            </w:pPr>
          </w:p>
        </w:tc>
        <w:tc>
          <w:tcPr>
            <w:tcW w:w="2782" w:type="dxa"/>
            <w:gridSpan w:val="2"/>
          </w:tcPr>
          <w:p w14:paraId="11CDD9E6" w14:textId="77777777" w:rsidR="007520C1" w:rsidRPr="00CA64DB" w:rsidRDefault="007520C1" w:rsidP="00E049DB">
            <w:pPr>
              <w:jc w:val="center"/>
              <w:rPr>
                <w:sz w:val="18"/>
                <w:szCs w:val="18"/>
              </w:rPr>
            </w:pPr>
            <w:r w:rsidRPr="00CA64DB">
              <w:rPr>
                <w:sz w:val="18"/>
                <w:szCs w:val="18"/>
              </w:rPr>
              <w:t>PIF stage</w:t>
            </w:r>
          </w:p>
        </w:tc>
        <w:tc>
          <w:tcPr>
            <w:tcW w:w="1485" w:type="dxa"/>
            <w:gridSpan w:val="3"/>
          </w:tcPr>
          <w:p w14:paraId="212CF817" w14:textId="77777777" w:rsidR="007520C1" w:rsidRPr="00CA64DB" w:rsidRDefault="007520C1" w:rsidP="00E049DB">
            <w:pPr>
              <w:jc w:val="center"/>
              <w:rPr>
                <w:sz w:val="18"/>
                <w:szCs w:val="18"/>
              </w:rPr>
            </w:pPr>
            <w:r w:rsidRPr="00CA64DB">
              <w:rPr>
                <w:sz w:val="18"/>
                <w:szCs w:val="18"/>
              </w:rPr>
              <w:t>Endorsement</w:t>
            </w:r>
          </w:p>
        </w:tc>
        <w:tc>
          <w:tcPr>
            <w:tcW w:w="1324" w:type="dxa"/>
            <w:gridSpan w:val="2"/>
          </w:tcPr>
          <w:p w14:paraId="55365249" w14:textId="77777777" w:rsidR="007520C1" w:rsidRPr="00CA64DB" w:rsidRDefault="007520C1" w:rsidP="00E049DB">
            <w:pPr>
              <w:jc w:val="center"/>
              <w:rPr>
                <w:sz w:val="18"/>
                <w:szCs w:val="18"/>
              </w:rPr>
            </w:pPr>
            <w:r w:rsidRPr="00CA64DB">
              <w:rPr>
                <w:sz w:val="18"/>
                <w:szCs w:val="18"/>
              </w:rPr>
              <w:t>MTR</w:t>
            </w:r>
          </w:p>
        </w:tc>
        <w:tc>
          <w:tcPr>
            <w:tcW w:w="1287" w:type="dxa"/>
          </w:tcPr>
          <w:p w14:paraId="1FFFA2BF" w14:textId="77777777" w:rsidR="007520C1" w:rsidRPr="00CA64DB" w:rsidRDefault="007520C1" w:rsidP="00E049DB">
            <w:pPr>
              <w:jc w:val="center"/>
              <w:rPr>
                <w:sz w:val="18"/>
                <w:szCs w:val="18"/>
              </w:rPr>
            </w:pPr>
            <w:r w:rsidRPr="00CA64DB">
              <w:rPr>
                <w:sz w:val="18"/>
                <w:szCs w:val="18"/>
              </w:rPr>
              <w:t>TE</w:t>
            </w:r>
          </w:p>
        </w:tc>
      </w:tr>
      <w:tr w:rsidR="007520C1" w:rsidRPr="004244E0" w14:paraId="13CDC0E1" w14:textId="77777777" w:rsidTr="00DB02C4">
        <w:tc>
          <w:tcPr>
            <w:tcW w:w="1298" w:type="dxa"/>
          </w:tcPr>
          <w:p w14:paraId="577B601D" w14:textId="77777777" w:rsidR="007520C1" w:rsidRPr="00CA64DB" w:rsidRDefault="007520C1" w:rsidP="00E049DB">
            <w:pPr>
              <w:jc w:val="right"/>
              <w:rPr>
                <w:sz w:val="18"/>
                <w:szCs w:val="18"/>
              </w:rPr>
            </w:pPr>
          </w:p>
        </w:tc>
        <w:tc>
          <w:tcPr>
            <w:tcW w:w="933" w:type="dxa"/>
          </w:tcPr>
          <w:p w14:paraId="33232854" w14:textId="77777777" w:rsidR="007520C1" w:rsidRPr="00CA64DB" w:rsidRDefault="007520C1" w:rsidP="00E049DB">
            <w:pPr>
              <w:jc w:val="right"/>
              <w:rPr>
                <w:sz w:val="18"/>
                <w:szCs w:val="18"/>
              </w:rPr>
            </w:pPr>
          </w:p>
        </w:tc>
        <w:tc>
          <w:tcPr>
            <w:tcW w:w="1726" w:type="dxa"/>
          </w:tcPr>
          <w:p w14:paraId="66CEF8A7" w14:textId="77777777" w:rsidR="007520C1" w:rsidRPr="00CA64DB" w:rsidRDefault="007520C1" w:rsidP="00E049DB">
            <w:pPr>
              <w:jc w:val="right"/>
              <w:rPr>
                <w:sz w:val="18"/>
                <w:szCs w:val="18"/>
              </w:rPr>
            </w:pPr>
          </w:p>
        </w:tc>
        <w:tc>
          <w:tcPr>
            <w:tcW w:w="2782" w:type="dxa"/>
            <w:gridSpan w:val="2"/>
          </w:tcPr>
          <w:p w14:paraId="2D260C37" w14:textId="77777777" w:rsidR="007520C1" w:rsidRPr="00CA64DB" w:rsidRDefault="007520C1" w:rsidP="00E049DB">
            <w:pPr>
              <w:jc w:val="right"/>
              <w:rPr>
                <w:sz w:val="18"/>
                <w:szCs w:val="18"/>
              </w:rPr>
            </w:pPr>
            <w:r w:rsidRPr="00CA64DB">
              <w:rPr>
                <w:i/>
                <w:color w:val="000000"/>
                <w:sz w:val="18"/>
                <w:szCs w:val="18"/>
              </w:rPr>
              <w:fldChar w:fldCharType="begin">
                <w:ffData>
                  <w:name w:val="F_GEB_BD_target"/>
                  <w:enabled/>
                  <w:calcOnExit w:val="0"/>
                  <w:textInput/>
                </w:ffData>
              </w:fldChar>
            </w:r>
            <w:r w:rsidRPr="00CA64DB">
              <w:rPr>
                <w:i/>
                <w:color w:val="000000"/>
                <w:sz w:val="18"/>
                <w:szCs w:val="18"/>
              </w:rPr>
              <w:instrText xml:space="preserve"> FORMTEXT </w:instrText>
            </w:r>
            <w:r w:rsidRPr="00CA64DB">
              <w:rPr>
                <w:i/>
                <w:color w:val="000000"/>
                <w:sz w:val="18"/>
                <w:szCs w:val="18"/>
              </w:rPr>
            </w:r>
            <w:r w:rsidRPr="00CA64DB">
              <w:rPr>
                <w:i/>
                <w:color w:val="000000"/>
                <w:sz w:val="18"/>
                <w:szCs w:val="18"/>
              </w:rPr>
              <w:fldChar w:fldCharType="separate"/>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fldChar w:fldCharType="end"/>
            </w:r>
          </w:p>
        </w:tc>
        <w:tc>
          <w:tcPr>
            <w:tcW w:w="1485" w:type="dxa"/>
            <w:gridSpan w:val="3"/>
          </w:tcPr>
          <w:p w14:paraId="27AF62E3" w14:textId="77777777" w:rsidR="007520C1" w:rsidRPr="00CA64DB" w:rsidRDefault="007520C1" w:rsidP="00E049DB">
            <w:pPr>
              <w:jc w:val="right"/>
              <w:rPr>
                <w:sz w:val="18"/>
                <w:szCs w:val="18"/>
              </w:rPr>
            </w:pPr>
            <w:r w:rsidRPr="00CA64DB">
              <w:rPr>
                <w:i/>
                <w:color w:val="000000"/>
                <w:sz w:val="18"/>
                <w:szCs w:val="18"/>
              </w:rPr>
              <w:fldChar w:fldCharType="begin">
                <w:ffData>
                  <w:name w:val="F_GEB_BD_target"/>
                  <w:enabled/>
                  <w:calcOnExit w:val="0"/>
                  <w:textInput/>
                </w:ffData>
              </w:fldChar>
            </w:r>
            <w:r w:rsidRPr="00CA64DB">
              <w:rPr>
                <w:i/>
                <w:color w:val="000000"/>
                <w:sz w:val="18"/>
                <w:szCs w:val="18"/>
              </w:rPr>
              <w:instrText xml:space="preserve"> FORMTEXT </w:instrText>
            </w:r>
            <w:r w:rsidRPr="00CA64DB">
              <w:rPr>
                <w:i/>
                <w:color w:val="000000"/>
                <w:sz w:val="18"/>
                <w:szCs w:val="18"/>
              </w:rPr>
            </w:r>
            <w:r w:rsidRPr="00CA64DB">
              <w:rPr>
                <w:i/>
                <w:color w:val="000000"/>
                <w:sz w:val="18"/>
                <w:szCs w:val="18"/>
              </w:rPr>
              <w:fldChar w:fldCharType="separate"/>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fldChar w:fldCharType="end"/>
            </w:r>
          </w:p>
        </w:tc>
        <w:tc>
          <w:tcPr>
            <w:tcW w:w="1324" w:type="dxa"/>
            <w:gridSpan w:val="2"/>
          </w:tcPr>
          <w:p w14:paraId="0E716E31" w14:textId="77777777" w:rsidR="007520C1" w:rsidRPr="00CA64DB" w:rsidRDefault="007520C1" w:rsidP="00E049DB">
            <w:pPr>
              <w:jc w:val="right"/>
              <w:rPr>
                <w:sz w:val="18"/>
                <w:szCs w:val="18"/>
              </w:rPr>
            </w:pPr>
            <w:r w:rsidRPr="00CA64DB">
              <w:rPr>
                <w:i/>
                <w:color w:val="000000"/>
                <w:sz w:val="18"/>
                <w:szCs w:val="18"/>
              </w:rPr>
              <w:fldChar w:fldCharType="begin">
                <w:ffData>
                  <w:name w:val="F_GEB_BD_target"/>
                  <w:enabled/>
                  <w:calcOnExit w:val="0"/>
                  <w:textInput/>
                </w:ffData>
              </w:fldChar>
            </w:r>
            <w:r w:rsidRPr="00CA64DB">
              <w:rPr>
                <w:i/>
                <w:color w:val="000000"/>
                <w:sz w:val="18"/>
                <w:szCs w:val="18"/>
              </w:rPr>
              <w:instrText xml:space="preserve"> FORMTEXT </w:instrText>
            </w:r>
            <w:r w:rsidRPr="00CA64DB">
              <w:rPr>
                <w:i/>
                <w:color w:val="000000"/>
                <w:sz w:val="18"/>
                <w:szCs w:val="18"/>
              </w:rPr>
            </w:r>
            <w:r w:rsidRPr="00CA64DB">
              <w:rPr>
                <w:i/>
                <w:color w:val="000000"/>
                <w:sz w:val="18"/>
                <w:szCs w:val="18"/>
              </w:rPr>
              <w:fldChar w:fldCharType="separate"/>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fldChar w:fldCharType="end"/>
            </w:r>
          </w:p>
        </w:tc>
        <w:tc>
          <w:tcPr>
            <w:tcW w:w="1287" w:type="dxa"/>
          </w:tcPr>
          <w:p w14:paraId="309D0B78" w14:textId="77777777" w:rsidR="007520C1" w:rsidRPr="00CA64DB" w:rsidRDefault="007520C1" w:rsidP="00E049DB">
            <w:pPr>
              <w:jc w:val="right"/>
              <w:rPr>
                <w:sz w:val="18"/>
                <w:szCs w:val="18"/>
              </w:rPr>
            </w:pPr>
            <w:r w:rsidRPr="00CA64DB">
              <w:rPr>
                <w:i/>
                <w:color w:val="000000"/>
                <w:sz w:val="18"/>
                <w:szCs w:val="18"/>
              </w:rPr>
              <w:fldChar w:fldCharType="begin">
                <w:ffData>
                  <w:name w:val="F_GEB_BD_target"/>
                  <w:enabled/>
                  <w:calcOnExit w:val="0"/>
                  <w:textInput/>
                </w:ffData>
              </w:fldChar>
            </w:r>
            <w:r w:rsidRPr="00CA64DB">
              <w:rPr>
                <w:i/>
                <w:color w:val="000000"/>
                <w:sz w:val="18"/>
                <w:szCs w:val="18"/>
              </w:rPr>
              <w:instrText xml:space="preserve"> FORMTEXT </w:instrText>
            </w:r>
            <w:r w:rsidRPr="00CA64DB">
              <w:rPr>
                <w:i/>
                <w:color w:val="000000"/>
                <w:sz w:val="18"/>
                <w:szCs w:val="18"/>
              </w:rPr>
            </w:r>
            <w:r w:rsidRPr="00CA64DB">
              <w:rPr>
                <w:i/>
                <w:color w:val="000000"/>
                <w:sz w:val="18"/>
                <w:szCs w:val="18"/>
              </w:rPr>
              <w:fldChar w:fldCharType="separate"/>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fldChar w:fldCharType="end"/>
            </w:r>
          </w:p>
        </w:tc>
      </w:tr>
      <w:tr w:rsidR="007520C1" w:rsidRPr="004244E0" w14:paraId="09345D69" w14:textId="77777777" w:rsidTr="00DB02C4">
        <w:tc>
          <w:tcPr>
            <w:tcW w:w="1298" w:type="dxa"/>
          </w:tcPr>
          <w:p w14:paraId="576D39C0" w14:textId="77777777" w:rsidR="007520C1" w:rsidRPr="00CA64DB" w:rsidRDefault="007520C1" w:rsidP="00E049DB">
            <w:pPr>
              <w:jc w:val="right"/>
              <w:rPr>
                <w:sz w:val="18"/>
                <w:szCs w:val="18"/>
              </w:rPr>
            </w:pPr>
          </w:p>
        </w:tc>
        <w:tc>
          <w:tcPr>
            <w:tcW w:w="933" w:type="dxa"/>
          </w:tcPr>
          <w:p w14:paraId="144D5591" w14:textId="77777777" w:rsidR="007520C1" w:rsidRPr="00CA64DB" w:rsidRDefault="007520C1" w:rsidP="00E049DB">
            <w:pPr>
              <w:jc w:val="right"/>
              <w:rPr>
                <w:sz w:val="18"/>
                <w:szCs w:val="18"/>
              </w:rPr>
            </w:pPr>
          </w:p>
        </w:tc>
        <w:tc>
          <w:tcPr>
            <w:tcW w:w="1726" w:type="dxa"/>
          </w:tcPr>
          <w:p w14:paraId="75D854D8" w14:textId="77777777" w:rsidR="007520C1" w:rsidRPr="00CA64DB" w:rsidRDefault="007520C1" w:rsidP="00E049DB">
            <w:pPr>
              <w:jc w:val="right"/>
              <w:rPr>
                <w:sz w:val="18"/>
                <w:szCs w:val="18"/>
              </w:rPr>
            </w:pPr>
          </w:p>
        </w:tc>
        <w:tc>
          <w:tcPr>
            <w:tcW w:w="2782" w:type="dxa"/>
            <w:gridSpan w:val="2"/>
          </w:tcPr>
          <w:p w14:paraId="073BD304" w14:textId="77777777" w:rsidR="007520C1" w:rsidRPr="00CA64DB" w:rsidRDefault="007520C1" w:rsidP="00E049DB">
            <w:pPr>
              <w:jc w:val="right"/>
              <w:rPr>
                <w:sz w:val="18"/>
                <w:szCs w:val="18"/>
              </w:rPr>
            </w:pPr>
            <w:r w:rsidRPr="00CA64DB">
              <w:rPr>
                <w:i/>
                <w:color w:val="000000"/>
                <w:sz w:val="18"/>
                <w:szCs w:val="18"/>
              </w:rPr>
              <w:fldChar w:fldCharType="begin">
                <w:ffData>
                  <w:name w:val="F_GEB_BD_target"/>
                  <w:enabled/>
                  <w:calcOnExit w:val="0"/>
                  <w:textInput/>
                </w:ffData>
              </w:fldChar>
            </w:r>
            <w:r w:rsidRPr="00CA64DB">
              <w:rPr>
                <w:i/>
                <w:color w:val="000000"/>
                <w:sz w:val="18"/>
                <w:szCs w:val="18"/>
              </w:rPr>
              <w:instrText xml:space="preserve"> FORMTEXT </w:instrText>
            </w:r>
            <w:r w:rsidRPr="00CA64DB">
              <w:rPr>
                <w:i/>
                <w:color w:val="000000"/>
                <w:sz w:val="18"/>
                <w:szCs w:val="18"/>
              </w:rPr>
            </w:r>
            <w:r w:rsidRPr="00CA64DB">
              <w:rPr>
                <w:i/>
                <w:color w:val="000000"/>
                <w:sz w:val="18"/>
                <w:szCs w:val="18"/>
              </w:rPr>
              <w:fldChar w:fldCharType="separate"/>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fldChar w:fldCharType="end"/>
            </w:r>
          </w:p>
        </w:tc>
        <w:tc>
          <w:tcPr>
            <w:tcW w:w="1485" w:type="dxa"/>
            <w:gridSpan w:val="3"/>
          </w:tcPr>
          <w:p w14:paraId="1D1AED56" w14:textId="77777777" w:rsidR="007520C1" w:rsidRPr="00CA64DB" w:rsidRDefault="007520C1" w:rsidP="00E049DB">
            <w:pPr>
              <w:jc w:val="right"/>
              <w:rPr>
                <w:sz w:val="18"/>
                <w:szCs w:val="18"/>
              </w:rPr>
            </w:pPr>
            <w:r w:rsidRPr="00CA64DB">
              <w:rPr>
                <w:i/>
                <w:color w:val="000000"/>
                <w:sz w:val="18"/>
                <w:szCs w:val="18"/>
              </w:rPr>
              <w:fldChar w:fldCharType="begin">
                <w:ffData>
                  <w:name w:val="F_GEB_BD_target"/>
                  <w:enabled/>
                  <w:calcOnExit w:val="0"/>
                  <w:textInput/>
                </w:ffData>
              </w:fldChar>
            </w:r>
            <w:r w:rsidRPr="00CA64DB">
              <w:rPr>
                <w:i/>
                <w:color w:val="000000"/>
                <w:sz w:val="18"/>
                <w:szCs w:val="18"/>
              </w:rPr>
              <w:instrText xml:space="preserve"> FORMTEXT </w:instrText>
            </w:r>
            <w:r w:rsidRPr="00CA64DB">
              <w:rPr>
                <w:i/>
                <w:color w:val="000000"/>
                <w:sz w:val="18"/>
                <w:szCs w:val="18"/>
              </w:rPr>
            </w:r>
            <w:r w:rsidRPr="00CA64DB">
              <w:rPr>
                <w:i/>
                <w:color w:val="000000"/>
                <w:sz w:val="18"/>
                <w:szCs w:val="18"/>
              </w:rPr>
              <w:fldChar w:fldCharType="separate"/>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fldChar w:fldCharType="end"/>
            </w:r>
          </w:p>
        </w:tc>
        <w:tc>
          <w:tcPr>
            <w:tcW w:w="1324" w:type="dxa"/>
            <w:gridSpan w:val="2"/>
          </w:tcPr>
          <w:p w14:paraId="2D0FCE84" w14:textId="77777777" w:rsidR="007520C1" w:rsidRPr="00CA64DB" w:rsidRDefault="007520C1" w:rsidP="00E049DB">
            <w:pPr>
              <w:jc w:val="right"/>
              <w:rPr>
                <w:sz w:val="18"/>
                <w:szCs w:val="18"/>
              </w:rPr>
            </w:pPr>
            <w:r w:rsidRPr="00CA64DB">
              <w:rPr>
                <w:i/>
                <w:color w:val="000000"/>
                <w:sz w:val="18"/>
                <w:szCs w:val="18"/>
              </w:rPr>
              <w:fldChar w:fldCharType="begin">
                <w:ffData>
                  <w:name w:val="F_GEB_BD_target"/>
                  <w:enabled/>
                  <w:calcOnExit w:val="0"/>
                  <w:textInput/>
                </w:ffData>
              </w:fldChar>
            </w:r>
            <w:r w:rsidRPr="00CA64DB">
              <w:rPr>
                <w:i/>
                <w:color w:val="000000"/>
                <w:sz w:val="18"/>
                <w:szCs w:val="18"/>
              </w:rPr>
              <w:instrText xml:space="preserve"> FORMTEXT </w:instrText>
            </w:r>
            <w:r w:rsidRPr="00CA64DB">
              <w:rPr>
                <w:i/>
                <w:color w:val="000000"/>
                <w:sz w:val="18"/>
                <w:szCs w:val="18"/>
              </w:rPr>
            </w:r>
            <w:r w:rsidRPr="00CA64DB">
              <w:rPr>
                <w:i/>
                <w:color w:val="000000"/>
                <w:sz w:val="18"/>
                <w:szCs w:val="18"/>
              </w:rPr>
              <w:fldChar w:fldCharType="separate"/>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fldChar w:fldCharType="end"/>
            </w:r>
          </w:p>
        </w:tc>
        <w:tc>
          <w:tcPr>
            <w:tcW w:w="1287" w:type="dxa"/>
          </w:tcPr>
          <w:p w14:paraId="5272625D" w14:textId="77777777" w:rsidR="007520C1" w:rsidRPr="00CA64DB" w:rsidRDefault="007520C1" w:rsidP="00E049DB">
            <w:pPr>
              <w:jc w:val="right"/>
              <w:rPr>
                <w:sz w:val="18"/>
                <w:szCs w:val="18"/>
              </w:rPr>
            </w:pPr>
            <w:r w:rsidRPr="00CA64DB">
              <w:rPr>
                <w:i/>
                <w:color w:val="000000"/>
                <w:sz w:val="18"/>
                <w:szCs w:val="18"/>
              </w:rPr>
              <w:fldChar w:fldCharType="begin">
                <w:ffData>
                  <w:name w:val="F_GEB_BD_target"/>
                  <w:enabled/>
                  <w:calcOnExit w:val="0"/>
                  <w:textInput/>
                </w:ffData>
              </w:fldChar>
            </w:r>
            <w:r w:rsidRPr="00CA64DB">
              <w:rPr>
                <w:i/>
                <w:color w:val="000000"/>
                <w:sz w:val="18"/>
                <w:szCs w:val="18"/>
              </w:rPr>
              <w:instrText xml:space="preserve"> FORMTEXT </w:instrText>
            </w:r>
            <w:r w:rsidRPr="00CA64DB">
              <w:rPr>
                <w:i/>
                <w:color w:val="000000"/>
                <w:sz w:val="18"/>
                <w:szCs w:val="18"/>
              </w:rPr>
            </w:r>
            <w:r w:rsidRPr="00CA64DB">
              <w:rPr>
                <w:i/>
                <w:color w:val="000000"/>
                <w:sz w:val="18"/>
                <w:szCs w:val="18"/>
              </w:rPr>
              <w:fldChar w:fldCharType="separate"/>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fldChar w:fldCharType="end"/>
            </w:r>
          </w:p>
        </w:tc>
      </w:tr>
      <w:tr w:rsidR="007520C1" w:rsidRPr="004244E0" w14:paraId="560930C5" w14:textId="77777777" w:rsidTr="00DB02C4">
        <w:tc>
          <w:tcPr>
            <w:tcW w:w="1298" w:type="dxa"/>
            <w:shd w:val="clear" w:color="auto" w:fill="BFBFBF" w:themeFill="background1" w:themeFillShade="BF"/>
          </w:tcPr>
          <w:p w14:paraId="38F02D88" w14:textId="77777777" w:rsidR="007520C1" w:rsidRPr="00CA64DB" w:rsidRDefault="007520C1" w:rsidP="00E049DB">
            <w:pPr>
              <w:rPr>
                <w:sz w:val="18"/>
                <w:szCs w:val="18"/>
              </w:rPr>
            </w:pPr>
            <w:r w:rsidRPr="00CA64DB">
              <w:rPr>
                <w:sz w:val="18"/>
                <w:szCs w:val="18"/>
              </w:rPr>
              <w:t>Indicator 3.4</w:t>
            </w:r>
          </w:p>
        </w:tc>
        <w:tc>
          <w:tcPr>
            <w:tcW w:w="6765" w:type="dxa"/>
            <w:gridSpan w:val="5"/>
            <w:shd w:val="clear" w:color="auto" w:fill="BFBFBF" w:themeFill="background1" w:themeFillShade="BF"/>
          </w:tcPr>
          <w:p w14:paraId="710F9092" w14:textId="77777777" w:rsidR="007520C1" w:rsidRPr="00CA64DB" w:rsidRDefault="007520C1" w:rsidP="00E049DB">
            <w:pPr>
              <w:rPr>
                <w:sz w:val="18"/>
                <w:szCs w:val="18"/>
              </w:rPr>
            </w:pPr>
            <w:r w:rsidRPr="00CA64DB">
              <w:rPr>
                <w:sz w:val="18"/>
                <w:szCs w:val="18"/>
              </w:rPr>
              <w:t>Area of wetlands (including estuaries, mangroves) restored</w:t>
            </w:r>
          </w:p>
        </w:tc>
        <w:tc>
          <w:tcPr>
            <w:tcW w:w="2772" w:type="dxa"/>
            <w:gridSpan w:val="5"/>
            <w:shd w:val="clear" w:color="auto" w:fill="BFBFBF" w:themeFill="background1" w:themeFillShade="BF"/>
          </w:tcPr>
          <w:p w14:paraId="7D2A2CE4" w14:textId="77777777" w:rsidR="007520C1" w:rsidRPr="00CA64DB" w:rsidRDefault="007520C1" w:rsidP="00E049DB">
            <w:pPr>
              <w:jc w:val="right"/>
              <w:rPr>
                <w:sz w:val="18"/>
                <w:szCs w:val="18"/>
              </w:rPr>
            </w:pPr>
            <w:r w:rsidRPr="00CA64DB">
              <w:rPr>
                <w:i/>
                <w:color w:val="000000"/>
                <w:sz w:val="18"/>
                <w:szCs w:val="18"/>
              </w:rPr>
              <w:fldChar w:fldCharType="begin">
                <w:ffData>
                  <w:name w:val="F_GEB_BD_target"/>
                  <w:enabled/>
                  <w:calcOnExit w:val="0"/>
                  <w:textInput/>
                </w:ffData>
              </w:fldChar>
            </w:r>
            <w:r w:rsidRPr="00CA64DB">
              <w:rPr>
                <w:i/>
                <w:color w:val="000000"/>
                <w:sz w:val="18"/>
                <w:szCs w:val="18"/>
              </w:rPr>
              <w:instrText xml:space="preserve"> FORMTEXT </w:instrText>
            </w:r>
            <w:r w:rsidRPr="00CA64DB">
              <w:rPr>
                <w:i/>
                <w:color w:val="000000"/>
                <w:sz w:val="18"/>
                <w:szCs w:val="18"/>
              </w:rPr>
            </w:r>
            <w:r w:rsidRPr="00CA64DB">
              <w:rPr>
                <w:i/>
                <w:color w:val="000000"/>
                <w:sz w:val="18"/>
                <w:szCs w:val="18"/>
              </w:rPr>
              <w:fldChar w:fldCharType="separate"/>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fldChar w:fldCharType="end"/>
            </w:r>
          </w:p>
        </w:tc>
      </w:tr>
      <w:tr w:rsidR="007520C1" w:rsidRPr="004244E0" w14:paraId="1680A87E" w14:textId="77777777" w:rsidTr="00DB02C4">
        <w:trPr>
          <w:trHeight w:val="125"/>
        </w:trPr>
        <w:tc>
          <w:tcPr>
            <w:tcW w:w="1298" w:type="dxa"/>
            <w:vMerge w:val="restart"/>
          </w:tcPr>
          <w:p w14:paraId="39A0DED7" w14:textId="77777777" w:rsidR="007520C1" w:rsidRPr="00CA64DB" w:rsidRDefault="007520C1" w:rsidP="00E049DB">
            <w:pPr>
              <w:rPr>
                <w:sz w:val="18"/>
                <w:szCs w:val="18"/>
              </w:rPr>
            </w:pPr>
          </w:p>
        </w:tc>
        <w:tc>
          <w:tcPr>
            <w:tcW w:w="933" w:type="dxa"/>
            <w:vMerge w:val="restart"/>
          </w:tcPr>
          <w:p w14:paraId="6B91BFCF" w14:textId="77777777" w:rsidR="007520C1" w:rsidRPr="00CA64DB" w:rsidRDefault="007520C1" w:rsidP="00E049DB">
            <w:pPr>
              <w:rPr>
                <w:sz w:val="18"/>
                <w:szCs w:val="18"/>
              </w:rPr>
            </w:pPr>
          </w:p>
        </w:tc>
        <w:tc>
          <w:tcPr>
            <w:tcW w:w="1726" w:type="dxa"/>
            <w:vMerge w:val="restart"/>
          </w:tcPr>
          <w:p w14:paraId="51786302" w14:textId="77777777" w:rsidR="007520C1" w:rsidRPr="00CA64DB" w:rsidRDefault="007520C1" w:rsidP="00E049DB">
            <w:pPr>
              <w:rPr>
                <w:sz w:val="18"/>
                <w:szCs w:val="18"/>
              </w:rPr>
            </w:pPr>
          </w:p>
        </w:tc>
        <w:tc>
          <w:tcPr>
            <w:tcW w:w="6878" w:type="dxa"/>
            <w:gridSpan w:val="8"/>
          </w:tcPr>
          <w:p w14:paraId="127B127B" w14:textId="77777777" w:rsidR="007520C1" w:rsidRPr="00CA64DB" w:rsidRDefault="007520C1" w:rsidP="00E049DB">
            <w:pPr>
              <w:jc w:val="center"/>
              <w:rPr>
                <w:sz w:val="18"/>
                <w:szCs w:val="18"/>
              </w:rPr>
            </w:pPr>
            <w:r w:rsidRPr="00CA64DB">
              <w:rPr>
                <w:sz w:val="18"/>
                <w:szCs w:val="18"/>
              </w:rPr>
              <w:t>Hectares</w:t>
            </w:r>
          </w:p>
        </w:tc>
      </w:tr>
      <w:tr w:rsidR="007520C1" w:rsidRPr="004244E0" w14:paraId="789F207F" w14:textId="77777777" w:rsidTr="00DB02C4">
        <w:trPr>
          <w:trHeight w:val="58"/>
        </w:trPr>
        <w:tc>
          <w:tcPr>
            <w:tcW w:w="1298" w:type="dxa"/>
            <w:vMerge/>
          </w:tcPr>
          <w:p w14:paraId="60CC98E7" w14:textId="77777777" w:rsidR="007520C1" w:rsidRPr="00CA64DB" w:rsidRDefault="007520C1" w:rsidP="00E049DB">
            <w:pPr>
              <w:rPr>
                <w:sz w:val="18"/>
                <w:szCs w:val="18"/>
              </w:rPr>
            </w:pPr>
          </w:p>
        </w:tc>
        <w:tc>
          <w:tcPr>
            <w:tcW w:w="933" w:type="dxa"/>
            <w:vMerge/>
          </w:tcPr>
          <w:p w14:paraId="2412B96D" w14:textId="77777777" w:rsidR="007520C1" w:rsidRPr="00CA64DB" w:rsidRDefault="007520C1" w:rsidP="00E049DB">
            <w:pPr>
              <w:rPr>
                <w:sz w:val="18"/>
                <w:szCs w:val="18"/>
              </w:rPr>
            </w:pPr>
          </w:p>
        </w:tc>
        <w:tc>
          <w:tcPr>
            <w:tcW w:w="1726" w:type="dxa"/>
            <w:vMerge/>
          </w:tcPr>
          <w:p w14:paraId="7D604676" w14:textId="77777777" w:rsidR="007520C1" w:rsidRPr="00CA64DB" w:rsidRDefault="007520C1" w:rsidP="00E049DB">
            <w:pPr>
              <w:rPr>
                <w:sz w:val="18"/>
                <w:szCs w:val="18"/>
              </w:rPr>
            </w:pPr>
          </w:p>
        </w:tc>
        <w:tc>
          <w:tcPr>
            <w:tcW w:w="4106" w:type="dxa"/>
            <w:gridSpan w:val="3"/>
          </w:tcPr>
          <w:p w14:paraId="717C2216" w14:textId="77777777" w:rsidR="007520C1" w:rsidRPr="00CA64DB" w:rsidRDefault="007520C1" w:rsidP="00E049DB">
            <w:pPr>
              <w:jc w:val="center"/>
              <w:rPr>
                <w:sz w:val="18"/>
                <w:szCs w:val="18"/>
              </w:rPr>
            </w:pPr>
            <w:r w:rsidRPr="00CA64DB">
              <w:rPr>
                <w:sz w:val="18"/>
                <w:szCs w:val="18"/>
              </w:rPr>
              <w:t>Expected</w:t>
            </w:r>
          </w:p>
        </w:tc>
        <w:tc>
          <w:tcPr>
            <w:tcW w:w="2772" w:type="dxa"/>
            <w:gridSpan w:val="5"/>
          </w:tcPr>
          <w:p w14:paraId="4234A4B2" w14:textId="77777777" w:rsidR="007520C1" w:rsidRPr="00CA64DB" w:rsidRDefault="007520C1" w:rsidP="00E049DB">
            <w:pPr>
              <w:jc w:val="center"/>
              <w:rPr>
                <w:sz w:val="18"/>
                <w:szCs w:val="18"/>
              </w:rPr>
            </w:pPr>
            <w:r w:rsidRPr="00CA64DB">
              <w:rPr>
                <w:sz w:val="18"/>
                <w:szCs w:val="18"/>
              </w:rPr>
              <w:t>Achieved</w:t>
            </w:r>
          </w:p>
        </w:tc>
      </w:tr>
      <w:tr w:rsidR="007520C1" w:rsidRPr="004244E0" w14:paraId="718197B0" w14:textId="77777777" w:rsidTr="00DB02C4">
        <w:trPr>
          <w:trHeight w:val="197"/>
        </w:trPr>
        <w:tc>
          <w:tcPr>
            <w:tcW w:w="1298" w:type="dxa"/>
            <w:vMerge/>
          </w:tcPr>
          <w:p w14:paraId="0BAE8E31" w14:textId="77777777" w:rsidR="007520C1" w:rsidRPr="00CA64DB" w:rsidRDefault="007520C1" w:rsidP="00E049DB">
            <w:pPr>
              <w:rPr>
                <w:sz w:val="18"/>
                <w:szCs w:val="18"/>
              </w:rPr>
            </w:pPr>
          </w:p>
        </w:tc>
        <w:tc>
          <w:tcPr>
            <w:tcW w:w="933" w:type="dxa"/>
            <w:vMerge/>
          </w:tcPr>
          <w:p w14:paraId="4291B090" w14:textId="77777777" w:rsidR="007520C1" w:rsidRPr="00CA64DB" w:rsidRDefault="007520C1" w:rsidP="00E049DB">
            <w:pPr>
              <w:rPr>
                <w:sz w:val="18"/>
                <w:szCs w:val="18"/>
              </w:rPr>
            </w:pPr>
          </w:p>
        </w:tc>
        <w:tc>
          <w:tcPr>
            <w:tcW w:w="1726" w:type="dxa"/>
            <w:vMerge/>
          </w:tcPr>
          <w:p w14:paraId="6A2F5815" w14:textId="77777777" w:rsidR="007520C1" w:rsidRPr="00CA64DB" w:rsidRDefault="007520C1" w:rsidP="00E049DB">
            <w:pPr>
              <w:rPr>
                <w:sz w:val="18"/>
                <w:szCs w:val="18"/>
              </w:rPr>
            </w:pPr>
          </w:p>
        </w:tc>
        <w:tc>
          <w:tcPr>
            <w:tcW w:w="2782" w:type="dxa"/>
            <w:gridSpan w:val="2"/>
          </w:tcPr>
          <w:p w14:paraId="3552FA51" w14:textId="77777777" w:rsidR="007520C1" w:rsidRPr="00CA64DB" w:rsidRDefault="007520C1" w:rsidP="00E049DB">
            <w:pPr>
              <w:jc w:val="center"/>
              <w:rPr>
                <w:sz w:val="18"/>
                <w:szCs w:val="18"/>
              </w:rPr>
            </w:pPr>
            <w:r w:rsidRPr="00CA64DB">
              <w:rPr>
                <w:sz w:val="18"/>
                <w:szCs w:val="18"/>
              </w:rPr>
              <w:t>PIF stage</w:t>
            </w:r>
          </w:p>
        </w:tc>
        <w:tc>
          <w:tcPr>
            <w:tcW w:w="1485" w:type="dxa"/>
            <w:gridSpan w:val="3"/>
          </w:tcPr>
          <w:p w14:paraId="4B59C35A" w14:textId="77777777" w:rsidR="007520C1" w:rsidRPr="00CA64DB" w:rsidRDefault="007520C1" w:rsidP="00E049DB">
            <w:pPr>
              <w:jc w:val="center"/>
              <w:rPr>
                <w:sz w:val="18"/>
                <w:szCs w:val="18"/>
              </w:rPr>
            </w:pPr>
            <w:r w:rsidRPr="00CA64DB">
              <w:rPr>
                <w:sz w:val="18"/>
                <w:szCs w:val="18"/>
              </w:rPr>
              <w:t>Endorsement</w:t>
            </w:r>
          </w:p>
        </w:tc>
        <w:tc>
          <w:tcPr>
            <w:tcW w:w="1324" w:type="dxa"/>
            <w:gridSpan w:val="2"/>
          </w:tcPr>
          <w:p w14:paraId="4DA829F0" w14:textId="77777777" w:rsidR="007520C1" w:rsidRPr="00CA64DB" w:rsidRDefault="007520C1" w:rsidP="00E049DB">
            <w:pPr>
              <w:jc w:val="center"/>
              <w:rPr>
                <w:sz w:val="18"/>
                <w:szCs w:val="18"/>
              </w:rPr>
            </w:pPr>
            <w:r w:rsidRPr="00CA64DB">
              <w:rPr>
                <w:sz w:val="18"/>
                <w:szCs w:val="18"/>
              </w:rPr>
              <w:t>MTR</w:t>
            </w:r>
          </w:p>
        </w:tc>
        <w:tc>
          <w:tcPr>
            <w:tcW w:w="1287" w:type="dxa"/>
          </w:tcPr>
          <w:p w14:paraId="475DB8A6" w14:textId="77777777" w:rsidR="007520C1" w:rsidRPr="00CA64DB" w:rsidRDefault="007520C1" w:rsidP="00E049DB">
            <w:pPr>
              <w:jc w:val="center"/>
              <w:rPr>
                <w:sz w:val="18"/>
                <w:szCs w:val="18"/>
              </w:rPr>
            </w:pPr>
            <w:r w:rsidRPr="00CA64DB">
              <w:rPr>
                <w:sz w:val="18"/>
                <w:szCs w:val="18"/>
              </w:rPr>
              <w:t>TE</w:t>
            </w:r>
          </w:p>
        </w:tc>
      </w:tr>
      <w:tr w:rsidR="007520C1" w:rsidRPr="004244E0" w14:paraId="7BDAA2EF" w14:textId="77777777" w:rsidTr="00DB02C4">
        <w:tc>
          <w:tcPr>
            <w:tcW w:w="1298" w:type="dxa"/>
          </w:tcPr>
          <w:p w14:paraId="13A51D8C" w14:textId="77777777" w:rsidR="007520C1" w:rsidRPr="00CA64DB" w:rsidRDefault="007520C1" w:rsidP="00E049DB">
            <w:pPr>
              <w:jc w:val="right"/>
              <w:rPr>
                <w:sz w:val="18"/>
                <w:szCs w:val="18"/>
              </w:rPr>
            </w:pPr>
          </w:p>
        </w:tc>
        <w:tc>
          <w:tcPr>
            <w:tcW w:w="933" w:type="dxa"/>
          </w:tcPr>
          <w:p w14:paraId="406B38D5" w14:textId="77777777" w:rsidR="007520C1" w:rsidRPr="00CA64DB" w:rsidRDefault="007520C1" w:rsidP="00E049DB">
            <w:pPr>
              <w:jc w:val="right"/>
              <w:rPr>
                <w:sz w:val="18"/>
                <w:szCs w:val="18"/>
              </w:rPr>
            </w:pPr>
          </w:p>
        </w:tc>
        <w:tc>
          <w:tcPr>
            <w:tcW w:w="1726" w:type="dxa"/>
          </w:tcPr>
          <w:p w14:paraId="6C702D53" w14:textId="77777777" w:rsidR="007520C1" w:rsidRPr="00CA64DB" w:rsidRDefault="007520C1" w:rsidP="00E049DB">
            <w:pPr>
              <w:jc w:val="right"/>
              <w:rPr>
                <w:sz w:val="18"/>
                <w:szCs w:val="18"/>
              </w:rPr>
            </w:pPr>
          </w:p>
        </w:tc>
        <w:tc>
          <w:tcPr>
            <w:tcW w:w="2782" w:type="dxa"/>
            <w:gridSpan w:val="2"/>
          </w:tcPr>
          <w:p w14:paraId="2687C336" w14:textId="77777777" w:rsidR="007520C1" w:rsidRPr="00CA64DB" w:rsidRDefault="007520C1" w:rsidP="00E049DB">
            <w:pPr>
              <w:jc w:val="right"/>
              <w:rPr>
                <w:sz w:val="18"/>
                <w:szCs w:val="18"/>
              </w:rPr>
            </w:pPr>
            <w:r w:rsidRPr="00CA64DB">
              <w:rPr>
                <w:i/>
                <w:color w:val="000000"/>
                <w:sz w:val="18"/>
                <w:szCs w:val="18"/>
              </w:rPr>
              <w:fldChar w:fldCharType="begin">
                <w:ffData>
                  <w:name w:val="F_GEB_BD_target"/>
                  <w:enabled/>
                  <w:calcOnExit w:val="0"/>
                  <w:textInput/>
                </w:ffData>
              </w:fldChar>
            </w:r>
            <w:r w:rsidRPr="00CA64DB">
              <w:rPr>
                <w:i/>
                <w:color w:val="000000"/>
                <w:sz w:val="18"/>
                <w:szCs w:val="18"/>
              </w:rPr>
              <w:instrText xml:space="preserve"> FORMTEXT </w:instrText>
            </w:r>
            <w:r w:rsidRPr="00CA64DB">
              <w:rPr>
                <w:i/>
                <w:color w:val="000000"/>
                <w:sz w:val="18"/>
                <w:szCs w:val="18"/>
              </w:rPr>
            </w:r>
            <w:r w:rsidRPr="00CA64DB">
              <w:rPr>
                <w:i/>
                <w:color w:val="000000"/>
                <w:sz w:val="18"/>
                <w:szCs w:val="18"/>
              </w:rPr>
              <w:fldChar w:fldCharType="separate"/>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fldChar w:fldCharType="end"/>
            </w:r>
          </w:p>
        </w:tc>
        <w:tc>
          <w:tcPr>
            <w:tcW w:w="1485" w:type="dxa"/>
            <w:gridSpan w:val="3"/>
          </w:tcPr>
          <w:p w14:paraId="4158C469" w14:textId="77777777" w:rsidR="007520C1" w:rsidRPr="00CA64DB" w:rsidRDefault="007520C1" w:rsidP="00E049DB">
            <w:pPr>
              <w:jc w:val="right"/>
              <w:rPr>
                <w:sz w:val="18"/>
                <w:szCs w:val="18"/>
              </w:rPr>
            </w:pPr>
            <w:r w:rsidRPr="00CA64DB">
              <w:rPr>
                <w:i/>
                <w:color w:val="000000"/>
                <w:sz w:val="18"/>
                <w:szCs w:val="18"/>
              </w:rPr>
              <w:fldChar w:fldCharType="begin">
                <w:ffData>
                  <w:name w:val="F_GEB_BD_target"/>
                  <w:enabled/>
                  <w:calcOnExit w:val="0"/>
                  <w:textInput/>
                </w:ffData>
              </w:fldChar>
            </w:r>
            <w:r w:rsidRPr="00CA64DB">
              <w:rPr>
                <w:i/>
                <w:color w:val="000000"/>
                <w:sz w:val="18"/>
                <w:szCs w:val="18"/>
              </w:rPr>
              <w:instrText xml:space="preserve"> FORMTEXT </w:instrText>
            </w:r>
            <w:r w:rsidRPr="00CA64DB">
              <w:rPr>
                <w:i/>
                <w:color w:val="000000"/>
                <w:sz w:val="18"/>
                <w:szCs w:val="18"/>
              </w:rPr>
            </w:r>
            <w:r w:rsidRPr="00CA64DB">
              <w:rPr>
                <w:i/>
                <w:color w:val="000000"/>
                <w:sz w:val="18"/>
                <w:szCs w:val="18"/>
              </w:rPr>
              <w:fldChar w:fldCharType="separate"/>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fldChar w:fldCharType="end"/>
            </w:r>
          </w:p>
        </w:tc>
        <w:tc>
          <w:tcPr>
            <w:tcW w:w="1324" w:type="dxa"/>
            <w:gridSpan w:val="2"/>
          </w:tcPr>
          <w:p w14:paraId="0573C92A" w14:textId="77777777" w:rsidR="007520C1" w:rsidRPr="00CA64DB" w:rsidRDefault="007520C1" w:rsidP="00E049DB">
            <w:pPr>
              <w:jc w:val="right"/>
              <w:rPr>
                <w:sz w:val="18"/>
                <w:szCs w:val="18"/>
              </w:rPr>
            </w:pPr>
            <w:r w:rsidRPr="00CA64DB">
              <w:rPr>
                <w:i/>
                <w:color w:val="000000"/>
                <w:sz w:val="18"/>
                <w:szCs w:val="18"/>
              </w:rPr>
              <w:fldChar w:fldCharType="begin">
                <w:ffData>
                  <w:name w:val="F_GEB_BD_target"/>
                  <w:enabled/>
                  <w:calcOnExit w:val="0"/>
                  <w:textInput/>
                </w:ffData>
              </w:fldChar>
            </w:r>
            <w:r w:rsidRPr="00CA64DB">
              <w:rPr>
                <w:i/>
                <w:color w:val="000000"/>
                <w:sz w:val="18"/>
                <w:szCs w:val="18"/>
              </w:rPr>
              <w:instrText xml:space="preserve"> FORMTEXT </w:instrText>
            </w:r>
            <w:r w:rsidRPr="00CA64DB">
              <w:rPr>
                <w:i/>
                <w:color w:val="000000"/>
                <w:sz w:val="18"/>
                <w:szCs w:val="18"/>
              </w:rPr>
            </w:r>
            <w:r w:rsidRPr="00CA64DB">
              <w:rPr>
                <w:i/>
                <w:color w:val="000000"/>
                <w:sz w:val="18"/>
                <w:szCs w:val="18"/>
              </w:rPr>
              <w:fldChar w:fldCharType="separate"/>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fldChar w:fldCharType="end"/>
            </w:r>
          </w:p>
        </w:tc>
        <w:tc>
          <w:tcPr>
            <w:tcW w:w="1287" w:type="dxa"/>
          </w:tcPr>
          <w:p w14:paraId="45F8FBA4" w14:textId="77777777" w:rsidR="007520C1" w:rsidRPr="00CA64DB" w:rsidRDefault="007520C1" w:rsidP="00E049DB">
            <w:pPr>
              <w:jc w:val="right"/>
              <w:rPr>
                <w:sz w:val="18"/>
                <w:szCs w:val="18"/>
              </w:rPr>
            </w:pPr>
            <w:r w:rsidRPr="00CA64DB">
              <w:rPr>
                <w:i/>
                <w:color w:val="000000"/>
                <w:sz w:val="18"/>
                <w:szCs w:val="18"/>
              </w:rPr>
              <w:fldChar w:fldCharType="begin">
                <w:ffData>
                  <w:name w:val="F_GEB_BD_target"/>
                  <w:enabled/>
                  <w:calcOnExit w:val="0"/>
                  <w:textInput/>
                </w:ffData>
              </w:fldChar>
            </w:r>
            <w:r w:rsidRPr="00CA64DB">
              <w:rPr>
                <w:i/>
                <w:color w:val="000000"/>
                <w:sz w:val="18"/>
                <w:szCs w:val="18"/>
              </w:rPr>
              <w:instrText xml:space="preserve"> FORMTEXT </w:instrText>
            </w:r>
            <w:r w:rsidRPr="00CA64DB">
              <w:rPr>
                <w:i/>
                <w:color w:val="000000"/>
                <w:sz w:val="18"/>
                <w:szCs w:val="18"/>
              </w:rPr>
            </w:r>
            <w:r w:rsidRPr="00CA64DB">
              <w:rPr>
                <w:i/>
                <w:color w:val="000000"/>
                <w:sz w:val="18"/>
                <w:szCs w:val="18"/>
              </w:rPr>
              <w:fldChar w:fldCharType="separate"/>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fldChar w:fldCharType="end"/>
            </w:r>
          </w:p>
        </w:tc>
      </w:tr>
      <w:tr w:rsidR="007520C1" w:rsidRPr="004244E0" w14:paraId="5F5B4448" w14:textId="77777777" w:rsidTr="00DB02C4">
        <w:tc>
          <w:tcPr>
            <w:tcW w:w="1298" w:type="dxa"/>
          </w:tcPr>
          <w:p w14:paraId="0DA99B4C" w14:textId="77777777" w:rsidR="007520C1" w:rsidRPr="00CA64DB" w:rsidRDefault="007520C1" w:rsidP="00E049DB">
            <w:pPr>
              <w:jc w:val="right"/>
              <w:rPr>
                <w:sz w:val="18"/>
                <w:szCs w:val="18"/>
              </w:rPr>
            </w:pPr>
          </w:p>
        </w:tc>
        <w:tc>
          <w:tcPr>
            <w:tcW w:w="933" w:type="dxa"/>
          </w:tcPr>
          <w:p w14:paraId="3EB75873" w14:textId="77777777" w:rsidR="007520C1" w:rsidRPr="00CA64DB" w:rsidRDefault="007520C1" w:rsidP="00E049DB">
            <w:pPr>
              <w:jc w:val="right"/>
              <w:rPr>
                <w:sz w:val="18"/>
                <w:szCs w:val="18"/>
              </w:rPr>
            </w:pPr>
          </w:p>
        </w:tc>
        <w:tc>
          <w:tcPr>
            <w:tcW w:w="1726" w:type="dxa"/>
          </w:tcPr>
          <w:p w14:paraId="1AC90334" w14:textId="77777777" w:rsidR="007520C1" w:rsidRPr="00CA64DB" w:rsidRDefault="007520C1" w:rsidP="00E049DB">
            <w:pPr>
              <w:jc w:val="right"/>
              <w:rPr>
                <w:sz w:val="18"/>
                <w:szCs w:val="18"/>
              </w:rPr>
            </w:pPr>
          </w:p>
        </w:tc>
        <w:tc>
          <w:tcPr>
            <w:tcW w:w="2782" w:type="dxa"/>
            <w:gridSpan w:val="2"/>
          </w:tcPr>
          <w:p w14:paraId="2C8CAA0C" w14:textId="77777777" w:rsidR="007520C1" w:rsidRPr="00CA64DB" w:rsidRDefault="007520C1" w:rsidP="00E049DB">
            <w:pPr>
              <w:jc w:val="right"/>
              <w:rPr>
                <w:sz w:val="18"/>
                <w:szCs w:val="18"/>
              </w:rPr>
            </w:pPr>
            <w:r w:rsidRPr="00CA64DB">
              <w:rPr>
                <w:i/>
                <w:color w:val="000000"/>
                <w:sz w:val="18"/>
                <w:szCs w:val="18"/>
              </w:rPr>
              <w:fldChar w:fldCharType="begin">
                <w:ffData>
                  <w:name w:val="F_GEB_BD_target"/>
                  <w:enabled/>
                  <w:calcOnExit w:val="0"/>
                  <w:textInput/>
                </w:ffData>
              </w:fldChar>
            </w:r>
            <w:r w:rsidRPr="00CA64DB">
              <w:rPr>
                <w:i/>
                <w:color w:val="000000"/>
                <w:sz w:val="18"/>
                <w:szCs w:val="18"/>
              </w:rPr>
              <w:instrText xml:space="preserve"> FORMTEXT </w:instrText>
            </w:r>
            <w:r w:rsidRPr="00CA64DB">
              <w:rPr>
                <w:i/>
                <w:color w:val="000000"/>
                <w:sz w:val="18"/>
                <w:szCs w:val="18"/>
              </w:rPr>
            </w:r>
            <w:r w:rsidRPr="00CA64DB">
              <w:rPr>
                <w:i/>
                <w:color w:val="000000"/>
                <w:sz w:val="18"/>
                <w:szCs w:val="18"/>
              </w:rPr>
              <w:fldChar w:fldCharType="separate"/>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fldChar w:fldCharType="end"/>
            </w:r>
          </w:p>
        </w:tc>
        <w:tc>
          <w:tcPr>
            <w:tcW w:w="1485" w:type="dxa"/>
            <w:gridSpan w:val="3"/>
          </w:tcPr>
          <w:p w14:paraId="2B646521" w14:textId="77777777" w:rsidR="007520C1" w:rsidRPr="00CA64DB" w:rsidRDefault="007520C1" w:rsidP="00E049DB">
            <w:pPr>
              <w:jc w:val="right"/>
              <w:rPr>
                <w:sz w:val="18"/>
                <w:szCs w:val="18"/>
              </w:rPr>
            </w:pPr>
            <w:r w:rsidRPr="00CA64DB">
              <w:rPr>
                <w:i/>
                <w:color w:val="000000"/>
                <w:sz w:val="18"/>
                <w:szCs w:val="18"/>
              </w:rPr>
              <w:fldChar w:fldCharType="begin">
                <w:ffData>
                  <w:name w:val="F_GEB_BD_target"/>
                  <w:enabled/>
                  <w:calcOnExit w:val="0"/>
                  <w:textInput/>
                </w:ffData>
              </w:fldChar>
            </w:r>
            <w:r w:rsidRPr="00CA64DB">
              <w:rPr>
                <w:i/>
                <w:color w:val="000000"/>
                <w:sz w:val="18"/>
                <w:szCs w:val="18"/>
              </w:rPr>
              <w:instrText xml:space="preserve"> FORMTEXT </w:instrText>
            </w:r>
            <w:r w:rsidRPr="00CA64DB">
              <w:rPr>
                <w:i/>
                <w:color w:val="000000"/>
                <w:sz w:val="18"/>
                <w:szCs w:val="18"/>
              </w:rPr>
            </w:r>
            <w:r w:rsidRPr="00CA64DB">
              <w:rPr>
                <w:i/>
                <w:color w:val="000000"/>
                <w:sz w:val="18"/>
                <w:szCs w:val="18"/>
              </w:rPr>
              <w:fldChar w:fldCharType="separate"/>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fldChar w:fldCharType="end"/>
            </w:r>
          </w:p>
        </w:tc>
        <w:tc>
          <w:tcPr>
            <w:tcW w:w="1324" w:type="dxa"/>
            <w:gridSpan w:val="2"/>
          </w:tcPr>
          <w:p w14:paraId="45886380" w14:textId="77777777" w:rsidR="007520C1" w:rsidRPr="00CA64DB" w:rsidRDefault="007520C1" w:rsidP="00E049DB">
            <w:pPr>
              <w:jc w:val="right"/>
              <w:rPr>
                <w:sz w:val="18"/>
                <w:szCs w:val="18"/>
              </w:rPr>
            </w:pPr>
            <w:r w:rsidRPr="00CA64DB">
              <w:rPr>
                <w:i/>
                <w:color w:val="000000"/>
                <w:sz w:val="18"/>
                <w:szCs w:val="18"/>
              </w:rPr>
              <w:fldChar w:fldCharType="begin">
                <w:ffData>
                  <w:name w:val="F_GEB_BD_target"/>
                  <w:enabled/>
                  <w:calcOnExit w:val="0"/>
                  <w:textInput/>
                </w:ffData>
              </w:fldChar>
            </w:r>
            <w:r w:rsidRPr="00CA64DB">
              <w:rPr>
                <w:i/>
                <w:color w:val="000000"/>
                <w:sz w:val="18"/>
                <w:szCs w:val="18"/>
              </w:rPr>
              <w:instrText xml:space="preserve"> FORMTEXT </w:instrText>
            </w:r>
            <w:r w:rsidRPr="00CA64DB">
              <w:rPr>
                <w:i/>
                <w:color w:val="000000"/>
                <w:sz w:val="18"/>
                <w:szCs w:val="18"/>
              </w:rPr>
            </w:r>
            <w:r w:rsidRPr="00CA64DB">
              <w:rPr>
                <w:i/>
                <w:color w:val="000000"/>
                <w:sz w:val="18"/>
                <w:szCs w:val="18"/>
              </w:rPr>
              <w:fldChar w:fldCharType="separate"/>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fldChar w:fldCharType="end"/>
            </w:r>
          </w:p>
        </w:tc>
        <w:tc>
          <w:tcPr>
            <w:tcW w:w="1287" w:type="dxa"/>
          </w:tcPr>
          <w:p w14:paraId="1C5E0E67" w14:textId="77777777" w:rsidR="007520C1" w:rsidRPr="00CA64DB" w:rsidRDefault="007520C1" w:rsidP="00E049DB">
            <w:pPr>
              <w:jc w:val="right"/>
              <w:rPr>
                <w:sz w:val="18"/>
                <w:szCs w:val="18"/>
              </w:rPr>
            </w:pPr>
            <w:r w:rsidRPr="00CA64DB">
              <w:rPr>
                <w:i/>
                <w:color w:val="000000"/>
                <w:sz w:val="18"/>
                <w:szCs w:val="18"/>
              </w:rPr>
              <w:fldChar w:fldCharType="begin">
                <w:ffData>
                  <w:name w:val="F_GEB_BD_target"/>
                  <w:enabled/>
                  <w:calcOnExit w:val="0"/>
                  <w:textInput/>
                </w:ffData>
              </w:fldChar>
            </w:r>
            <w:r w:rsidRPr="00CA64DB">
              <w:rPr>
                <w:i/>
                <w:color w:val="000000"/>
                <w:sz w:val="18"/>
                <w:szCs w:val="18"/>
              </w:rPr>
              <w:instrText xml:space="preserve"> FORMTEXT </w:instrText>
            </w:r>
            <w:r w:rsidRPr="00CA64DB">
              <w:rPr>
                <w:i/>
                <w:color w:val="000000"/>
                <w:sz w:val="18"/>
                <w:szCs w:val="18"/>
              </w:rPr>
            </w:r>
            <w:r w:rsidRPr="00CA64DB">
              <w:rPr>
                <w:i/>
                <w:color w:val="000000"/>
                <w:sz w:val="18"/>
                <w:szCs w:val="18"/>
              </w:rPr>
              <w:fldChar w:fldCharType="separate"/>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fldChar w:fldCharType="end"/>
            </w:r>
          </w:p>
        </w:tc>
      </w:tr>
      <w:tr w:rsidR="007520C1" w:rsidRPr="004244E0" w14:paraId="2451C4BF" w14:textId="77777777" w:rsidTr="00DB02C4">
        <w:tc>
          <w:tcPr>
            <w:tcW w:w="1298" w:type="dxa"/>
            <w:shd w:val="clear" w:color="auto" w:fill="D9D9D9" w:themeFill="background1" w:themeFillShade="D9"/>
          </w:tcPr>
          <w:p w14:paraId="4B576735" w14:textId="77777777" w:rsidR="007520C1" w:rsidRPr="00CA64DB" w:rsidRDefault="007520C1" w:rsidP="00E049DB">
            <w:pPr>
              <w:rPr>
                <w:b/>
                <w:sz w:val="18"/>
                <w:szCs w:val="18"/>
              </w:rPr>
            </w:pPr>
            <w:r w:rsidRPr="00CA64DB">
              <w:rPr>
                <w:b/>
                <w:sz w:val="18"/>
                <w:szCs w:val="18"/>
              </w:rPr>
              <w:t>Core Indicator 4</w:t>
            </w:r>
          </w:p>
        </w:tc>
        <w:tc>
          <w:tcPr>
            <w:tcW w:w="6765" w:type="dxa"/>
            <w:gridSpan w:val="5"/>
            <w:shd w:val="clear" w:color="auto" w:fill="D9D9D9" w:themeFill="background1" w:themeFillShade="D9"/>
          </w:tcPr>
          <w:p w14:paraId="731F290D" w14:textId="77777777" w:rsidR="007520C1" w:rsidRPr="00CA64DB" w:rsidRDefault="007520C1" w:rsidP="00E049DB">
            <w:pPr>
              <w:rPr>
                <w:b/>
                <w:sz w:val="18"/>
                <w:szCs w:val="18"/>
              </w:rPr>
            </w:pPr>
            <w:r w:rsidRPr="00CA64DB">
              <w:rPr>
                <w:b/>
                <w:sz w:val="18"/>
                <w:szCs w:val="18"/>
              </w:rPr>
              <w:t>Area of landscapes under improved practices (hectares; excluding protected areas)</w:t>
            </w:r>
          </w:p>
        </w:tc>
        <w:tc>
          <w:tcPr>
            <w:tcW w:w="2772" w:type="dxa"/>
            <w:gridSpan w:val="5"/>
            <w:shd w:val="clear" w:color="auto" w:fill="D9D9D9" w:themeFill="background1" w:themeFillShade="D9"/>
          </w:tcPr>
          <w:p w14:paraId="0D76DEE6" w14:textId="77777777" w:rsidR="007520C1" w:rsidRPr="00CA64DB" w:rsidRDefault="007520C1" w:rsidP="00E049DB">
            <w:pPr>
              <w:jc w:val="right"/>
              <w:rPr>
                <w:b/>
                <w:sz w:val="18"/>
                <w:szCs w:val="18"/>
              </w:rPr>
            </w:pPr>
            <w:r w:rsidRPr="00CA64DB">
              <w:rPr>
                <w:b/>
                <w:i/>
                <w:color w:val="000000"/>
                <w:sz w:val="18"/>
                <w:szCs w:val="18"/>
              </w:rPr>
              <w:fldChar w:fldCharType="begin">
                <w:ffData>
                  <w:name w:val="F_GEB_BD_target"/>
                  <w:enabled/>
                  <w:calcOnExit w:val="0"/>
                  <w:textInput>
                    <w:default w:val="(Hectares)"/>
                  </w:textInput>
                </w:ffData>
              </w:fldChar>
            </w:r>
            <w:r w:rsidRPr="00CA64DB">
              <w:rPr>
                <w:b/>
                <w:i/>
                <w:color w:val="000000"/>
                <w:sz w:val="18"/>
                <w:szCs w:val="18"/>
              </w:rPr>
              <w:instrText xml:space="preserve"> FORMTEXT </w:instrText>
            </w:r>
            <w:r w:rsidRPr="00CA64DB">
              <w:rPr>
                <w:b/>
                <w:i/>
                <w:color w:val="000000"/>
                <w:sz w:val="18"/>
                <w:szCs w:val="18"/>
              </w:rPr>
            </w:r>
            <w:r w:rsidRPr="00CA64DB">
              <w:rPr>
                <w:b/>
                <w:i/>
                <w:color w:val="000000"/>
                <w:sz w:val="18"/>
                <w:szCs w:val="18"/>
              </w:rPr>
              <w:fldChar w:fldCharType="separate"/>
            </w:r>
            <w:r w:rsidRPr="00CA64DB">
              <w:rPr>
                <w:b/>
                <w:i/>
                <w:color w:val="000000"/>
                <w:sz w:val="18"/>
                <w:szCs w:val="18"/>
              </w:rPr>
              <w:t>(Hectares)</w:t>
            </w:r>
            <w:r w:rsidRPr="00CA64DB">
              <w:rPr>
                <w:b/>
                <w:i/>
                <w:color w:val="000000"/>
                <w:sz w:val="18"/>
                <w:szCs w:val="18"/>
              </w:rPr>
              <w:fldChar w:fldCharType="end"/>
            </w:r>
          </w:p>
        </w:tc>
      </w:tr>
      <w:tr w:rsidR="007520C1" w:rsidRPr="004244E0" w14:paraId="58331595" w14:textId="77777777" w:rsidTr="00DB02C4">
        <w:tc>
          <w:tcPr>
            <w:tcW w:w="1298" w:type="dxa"/>
            <w:shd w:val="clear" w:color="auto" w:fill="auto"/>
          </w:tcPr>
          <w:p w14:paraId="6FF586C9" w14:textId="77777777" w:rsidR="007520C1" w:rsidRPr="00CA64DB" w:rsidRDefault="007520C1" w:rsidP="00E049DB">
            <w:pPr>
              <w:rPr>
                <w:sz w:val="18"/>
                <w:szCs w:val="18"/>
              </w:rPr>
            </w:pPr>
          </w:p>
        </w:tc>
        <w:tc>
          <w:tcPr>
            <w:tcW w:w="2659" w:type="dxa"/>
            <w:gridSpan w:val="2"/>
            <w:shd w:val="clear" w:color="auto" w:fill="auto"/>
          </w:tcPr>
          <w:p w14:paraId="3940BE16" w14:textId="77777777" w:rsidR="007520C1" w:rsidRPr="00CA64DB" w:rsidRDefault="007520C1" w:rsidP="00E049DB">
            <w:pPr>
              <w:rPr>
                <w:sz w:val="18"/>
                <w:szCs w:val="18"/>
              </w:rPr>
            </w:pPr>
          </w:p>
        </w:tc>
        <w:tc>
          <w:tcPr>
            <w:tcW w:w="6878" w:type="dxa"/>
            <w:gridSpan w:val="8"/>
            <w:shd w:val="clear" w:color="auto" w:fill="F2F2F2" w:themeFill="background1" w:themeFillShade="F2"/>
          </w:tcPr>
          <w:p w14:paraId="03C92F95" w14:textId="77777777" w:rsidR="007520C1" w:rsidRPr="00CA64DB" w:rsidRDefault="007520C1" w:rsidP="00E049DB">
            <w:pPr>
              <w:jc w:val="center"/>
              <w:rPr>
                <w:color w:val="000000"/>
                <w:sz w:val="18"/>
                <w:szCs w:val="18"/>
              </w:rPr>
            </w:pPr>
            <w:r w:rsidRPr="00CA64DB">
              <w:rPr>
                <w:color w:val="000000"/>
                <w:sz w:val="18"/>
                <w:szCs w:val="18"/>
              </w:rPr>
              <w:t>Hectares (4.1+4.2+4.3+4.4)</w:t>
            </w:r>
          </w:p>
        </w:tc>
      </w:tr>
      <w:tr w:rsidR="007520C1" w:rsidRPr="004244E0" w14:paraId="09CBE7C6" w14:textId="77777777" w:rsidTr="00DB02C4">
        <w:tc>
          <w:tcPr>
            <w:tcW w:w="1298" w:type="dxa"/>
            <w:shd w:val="clear" w:color="auto" w:fill="auto"/>
          </w:tcPr>
          <w:p w14:paraId="3ACFE6A5" w14:textId="77777777" w:rsidR="007520C1" w:rsidRPr="00CA64DB" w:rsidRDefault="007520C1" w:rsidP="00E049DB">
            <w:pPr>
              <w:rPr>
                <w:sz w:val="18"/>
                <w:szCs w:val="18"/>
              </w:rPr>
            </w:pPr>
          </w:p>
        </w:tc>
        <w:tc>
          <w:tcPr>
            <w:tcW w:w="2659" w:type="dxa"/>
            <w:gridSpan w:val="2"/>
            <w:shd w:val="clear" w:color="auto" w:fill="auto"/>
          </w:tcPr>
          <w:p w14:paraId="54D028E6" w14:textId="77777777" w:rsidR="007520C1" w:rsidRPr="00CA64DB" w:rsidRDefault="007520C1" w:rsidP="00E049DB">
            <w:pPr>
              <w:rPr>
                <w:sz w:val="18"/>
                <w:szCs w:val="18"/>
              </w:rPr>
            </w:pPr>
          </w:p>
        </w:tc>
        <w:tc>
          <w:tcPr>
            <w:tcW w:w="4106" w:type="dxa"/>
            <w:gridSpan w:val="3"/>
            <w:shd w:val="clear" w:color="auto" w:fill="F2F2F2" w:themeFill="background1" w:themeFillShade="F2"/>
          </w:tcPr>
          <w:p w14:paraId="50BDDB0B" w14:textId="77777777" w:rsidR="007520C1" w:rsidRPr="00CA64DB" w:rsidRDefault="007520C1" w:rsidP="00E049DB">
            <w:pPr>
              <w:jc w:val="center"/>
              <w:rPr>
                <w:sz w:val="18"/>
                <w:szCs w:val="18"/>
              </w:rPr>
            </w:pPr>
            <w:r w:rsidRPr="00CA64DB">
              <w:rPr>
                <w:color w:val="000000"/>
                <w:sz w:val="18"/>
                <w:szCs w:val="18"/>
              </w:rPr>
              <w:t>Expected</w:t>
            </w:r>
          </w:p>
        </w:tc>
        <w:tc>
          <w:tcPr>
            <w:tcW w:w="2772" w:type="dxa"/>
            <w:gridSpan w:val="5"/>
            <w:shd w:val="clear" w:color="auto" w:fill="F2F2F2" w:themeFill="background1" w:themeFillShade="F2"/>
          </w:tcPr>
          <w:p w14:paraId="1E890685" w14:textId="77777777" w:rsidR="007520C1" w:rsidRPr="00CA64DB" w:rsidRDefault="007520C1" w:rsidP="00E049DB">
            <w:pPr>
              <w:jc w:val="center"/>
              <w:rPr>
                <w:color w:val="000000"/>
                <w:sz w:val="18"/>
                <w:szCs w:val="18"/>
              </w:rPr>
            </w:pPr>
            <w:r w:rsidRPr="00CA64DB">
              <w:rPr>
                <w:color w:val="000000"/>
                <w:sz w:val="18"/>
                <w:szCs w:val="18"/>
              </w:rPr>
              <w:t>Expected</w:t>
            </w:r>
          </w:p>
        </w:tc>
      </w:tr>
      <w:tr w:rsidR="007520C1" w:rsidRPr="004244E0" w14:paraId="4F80DCD2" w14:textId="77777777" w:rsidTr="00DB02C4">
        <w:tc>
          <w:tcPr>
            <w:tcW w:w="1298" w:type="dxa"/>
            <w:shd w:val="clear" w:color="auto" w:fill="auto"/>
          </w:tcPr>
          <w:p w14:paraId="6E874708" w14:textId="77777777" w:rsidR="007520C1" w:rsidRPr="00CA64DB" w:rsidRDefault="007520C1" w:rsidP="00E049DB">
            <w:pPr>
              <w:rPr>
                <w:sz w:val="18"/>
                <w:szCs w:val="18"/>
              </w:rPr>
            </w:pPr>
          </w:p>
        </w:tc>
        <w:tc>
          <w:tcPr>
            <w:tcW w:w="2659" w:type="dxa"/>
            <w:gridSpan w:val="2"/>
            <w:shd w:val="clear" w:color="auto" w:fill="auto"/>
          </w:tcPr>
          <w:p w14:paraId="56BCEF46" w14:textId="77777777" w:rsidR="007520C1" w:rsidRPr="00CA64DB" w:rsidRDefault="007520C1" w:rsidP="00E049DB">
            <w:pPr>
              <w:rPr>
                <w:sz w:val="18"/>
                <w:szCs w:val="18"/>
              </w:rPr>
            </w:pPr>
          </w:p>
        </w:tc>
        <w:tc>
          <w:tcPr>
            <w:tcW w:w="2782" w:type="dxa"/>
            <w:gridSpan w:val="2"/>
            <w:shd w:val="clear" w:color="auto" w:fill="F2F2F2" w:themeFill="background1" w:themeFillShade="F2"/>
          </w:tcPr>
          <w:p w14:paraId="29342387" w14:textId="77777777" w:rsidR="007520C1" w:rsidRPr="00CA64DB" w:rsidRDefault="007520C1" w:rsidP="00E049DB">
            <w:pPr>
              <w:jc w:val="center"/>
              <w:rPr>
                <w:sz w:val="18"/>
                <w:szCs w:val="18"/>
              </w:rPr>
            </w:pPr>
            <w:r w:rsidRPr="00CA64DB">
              <w:rPr>
                <w:sz w:val="18"/>
                <w:szCs w:val="18"/>
              </w:rPr>
              <w:t>PIF stage</w:t>
            </w:r>
          </w:p>
        </w:tc>
        <w:tc>
          <w:tcPr>
            <w:tcW w:w="1485" w:type="dxa"/>
            <w:gridSpan w:val="3"/>
            <w:shd w:val="clear" w:color="auto" w:fill="F2F2F2" w:themeFill="background1" w:themeFillShade="F2"/>
          </w:tcPr>
          <w:p w14:paraId="5043B660" w14:textId="77777777" w:rsidR="007520C1" w:rsidRPr="00CA64DB" w:rsidRDefault="007520C1" w:rsidP="00E049DB">
            <w:pPr>
              <w:jc w:val="center"/>
              <w:rPr>
                <w:sz w:val="18"/>
                <w:szCs w:val="18"/>
              </w:rPr>
            </w:pPr>
            <w:r w:rsidRPr="00CA64DB">
              <w:rPr>
                <w:sz w:val="18"/>
                <w:szCs w:val="18"/>
              </w:rPr>
              <w:t>Endorsement</w:t>
            </w:r>
          </w:p>
        </w:tc>
        <w:tc>
          <w:tcPr>
            <w:tcW w:w="1324" w:type="dxa"/>
            <w:gridSpan w:val="2"/>
            <w:shd w:val="clear" w:color="auto" w:fill="F2F2F2" w:themeFill="background1" w:themeFillShade="F2"/>
          </w:tcPr>
          <w:p w14:paraId="50B873E4" w14:textId="77777777" w:rsidR="007520C1" w:rsidRPr="00CA64DB" w:rsidRDefault="007520C1" w:rsidP="00E049DB">
            <w:pPr>
              <w:jc w:val="center"/>
              <w:rPr>
                <w:sz w:val="18"/>
                <w:szCs w:val="18"/>
              </w:rPr>
            </w:pPr>
            <w:r w:rsidRPr="00CA64DB">
              <w:rPr>
                <w:sz w:val="18"/>
                <w:szCs w:val="18"/>
              </w:rPr>
              <w:t>MTR</w:t>
            </w:r>
          </w:p>
        </w:tc>
        <w:tc>
          <w:tcPr>
            <w:tcW w:w="1287" w:type="dxa"/>
            <w:shd w:val="clear" w:color="auto" w:fill="F2F2F2" w:themeFill="background1" w:themeFillShade="F2"/>
          </w:tcPr>
          <w:p w14:paraId="4F42C4B3" w14:textId="77777777" w:rsidR="007520C1" w:rsidRPr="00CA64DB" w:rsidRDefault="007520C1" w:rsidP="00E049DB">
            <w:pPr>
              <w:jc w:val="center"/>
              <w:rPr>
                <w:i/>
                <w:color w:val="000000"/>
                <w:sz w:val="18"/>
                <w:szCs w:val="18"/>
              </w:rPr>
            </w:pPr>
            <w:r w:rsidRPr="00CA64DB">
              <w:rPr>
                <w:sz w:val="18"/>
                <w:szCs w:val="18"/>
              </w:rPr>
              <w:t>TE</w:t>
            </w:r>
          </w:p>
        </w:tc>
      </w:tr>
      <w:tr w:rsidR="007520C1" w:rsidRPr="004244E0" w14:paraId="4C98A7C5" w14:textId="77777777" w:rsidTr="00DB02C4">
        <w:tc>
          <w:tcPr>
            <w:tcW w:w="1298" w:type="dxa"/>
            <w:shd w:val="clear" w:color="auto" w:fill="auto"/>
          </w:tcPr>
          <w:p w14:paraId="1DA43D4E" w14:textId="77777777" w:rsidR="007520C1" w:rsidRPr="00CA64DB" w:rsidRDefault="007520C1" w:rsidP="00E049DB">
            <w:pPr>
              <w:rPr>
                <w:sz w:val="18"/>
                <w:szCs w:val="18"/>
              </w:rPr>
            </w:pPr>
          </w:p>
        </w:tc>
        <w:tc>
          <w:tcPr>
            <w:tcW w:w="2659" w:type="dxa"/>
            <w:gridSpan w:val="2"/>
            <w:shd w:val="clear" w:color="auto" w:fill="auto"/>
          </w:tcPr>
          <w:p w14:paraId="40D0AB15" w14:textId="77777777" w:rsidR="007520C1" w:rsidRPr="00CA64DB" w:rsidRDefault="007520C1" w:rsidP="00E049DB">
            <w:pPr>
              <w:rPr>
                <w:sz w:val="18"/>
                <w:szCs w:val="18"/>
              </w:rPr>
            </w:pPr>
          </w:p>
        </w:tc>
        <w:tc>
          <w:tcPr>
            <w:tcW w:w="2782" w:type="dxa"/>
            <w:gridSpan w:val="2"/>
            <w:shd w:val="clear" w:color="auto" w:fill="F2F2F2" w:themeFill="background1" w:themeFillShade="F2"/>
          </w:tcPr>
          <w:p w14:paraId="204024FD" w14:textId="77777777" w:rsidR="007520C1" w:rsidRPr="00CA64DB" w:rsidRDefault="007520C1" w:rsidP="00E049DB">
            <w:pPr>
              <w:jc w:val="right"/>
              <w:rPr>
                <w:sz w:val="18"/>
                <w:szCs w:val="18"/>
              </w:rPr>
            </w:pPr>
            <w:r w:rsidRPr="00CA64DB">
              <w:rPr>
                <w:i/>
                <w:color w:val="000000"/>
                <w:sz w:val="18"/>
                <w:szCs w:val="18"/>
              </w:rPr>
              <w:fldChar w:fldCharType="begin">
                <w:ffData>
                  <w:name w:val="F_GEB_BD_target"/>
                  <w:enabled/>
                  <w:calcOnExit w:val="0"/>
                  <w:textInput/>
                </w:ffData>
              </w:fldChar>
            </w:r>
            <w:r w:rsidRPr="00CA64DB">
              <w:rPr>
                <w:i/>
                <w:color w:val="000000"/>
                <w:sz w:val="18"/>
                <w:szCs w:val="18"/>
              </w:rPr>
              <w:instrText xml:space="preserve"> FORMTEXT </w:instrText>
            </w:r>
            <w:r w:rsidRPr="00CA64DB">
              <w:rPr>
                <w:i/>
                <w:color w:val="000000"/>
                <w:sz w:val="18"/>
                <w:szCs w:val="18"/>
              </w:rPr>
            </w:r>
            <w:r w:rsidRPr="00CA64DB">
              <w:rPr>
                <w:i/>
                <w:color w:val="000000"/>
                <w:sz w:val="18"/>
                <w:szCs w:val="18"/>
              </w:rPr>
              <w:fldChar w:fldCharType="separate"/>
            </w:r>
            <w:r w:rsidRPr="00CA64DB">
              <w:rPr>
                <w:i/>
                <w:color w:val="000000"/>
                <w:sz w:val="18"/>
                <w:szCs w:val="18"/>
              </w:rPr>
              <w:t>537,000</w:t>
            </w:r>
            <w:r w:rsidRPr="00CA64DB">
              <w:rPr>
                <w:i/>
                <w:color w:val="000000"/>
                <w:sz w:val="18"/>
                <w:szCs w:val="18"/>
              </w:rPr>
              <w:fldChar w:fldCharType="end"/>
            </w:r>
          </w:p>
        </w:tc>
        <w:tc>
          <w:tcPr>
            <w:tcW w:w="1485" w:type="dxa"/>
            <w:gridSpan w:val="3"/>
            <w:shd w:val="clear" w:color="auto" w:fill="F2F2F2" w:themeFill="background1" w:themeFillShade="F2"/>
          </w:tcPr>
          <w:p w14:paraId="57D7C803" w14:textId="77777777" w:rsidR="007520C1" w:rsidRPr="00CA64DB" w:rsidRDefault="007520C1" w:rsidP="00E049DB">
            <w:pPr>
              <w:jc w:val="right"/>
              <w:rPr>
                <w:sz w:val="18"/>
                <w:szCs w:val="18"/>
              </w:rPr>
            </w:pPr>
            <w:r w:rsidRPr="00CA64DB">
              <w:rPr>
                <w:i/>
                <w:color w:val="000000"/>
                <w:sz w:val="18"/>
                <w:szCs w:val="18"/>
              </w:rPr>
              <w:fldChar w:fldCharType="begin">
                <w:ffData>
                  <w:name w:val="F_GEB_BD_target"/>
                  <w:enabled/>
                  <w:calcOnExit w:val="0"/>
                  <w:textInput/>
                </w:ffData>
              </w:fldChar>
            </w:r>
            <w:r w:rsidRPr="00CA64DB">
              <w:rPr>
                <w:i/>
                <w:color w:val="000000"/>
                <w:sz w:val="18"/>
                <w:szCs w:val="18"/>
              </w:rPr>
              <w:instrText xml:space="preserve"> FORMTEXT </w:instrText>
            </w:r>
            <w:r w:rsidRPr="00CA64DB">
              <w:rPr>
                <w:i/>
                <w:color w:val="000000"/>
                <w:sz w:val="18"/>
                <w:szCs w:val="18"/>
              </w:rPr>
            </w:r>
            <w:r w:rsidRPr="00CA64DB">
              <w:rPr>
                <w:i/>
                <w:color w:val="000000"/>
                <w:sz w:val="18"/>
                <w:szCs w:val="18"/>
              </w:rPr>
              <w:fldChar w:fldCharType="separate"/>
            </w:r>
            <w:r w:rsidRPr="00CA64DB">
              <w:rPr>
                <w:i/>
                <w:color w:val="000000"/>
                <w:sz w:val="18"/>
                <w:szCs w:val="18"/>
              </w:rPr>
              <w:t>623,990</w:t>
            </w:r>
            <w:r w:rsidRPr="00CA64DB">
              <w:rPr>
                <w:i/>
                <w:color w:val="000000"/>
                <w:sz w:val="18"/>
                <w:szCs w:val="18"/>
              </w:rPr>
              <w:fldChar w:fldCharType="end"/>
            </w:r>
          </w:p>
        </w:tc>
        <w:tc>
          <w:tcPr>
            <w:tcW w:w="1324" w:type="dxa"/>
            <w:gridSpan w:val="2"/>
            <w:shd w:val="clear" w:color="auto" w:fill="F2F2F2" w:themeFill="background1" w:themeFillShade="F2"/>
          </w:tcPr>
          <w:p w14:paraId="0C210D95" w14:textId="77777777" w:rsidR="007520C1" w:rsidRPr="00CA64DB" w:rsidRDefault="007520C1" w:rsidP="00E049DB">
            <w:pPr>
              <w:jc w:val="right"/>
              <w:rPr>
                <w:sz w:val="18"/>
                <w:szCs w:val="18"/>
              </w:rPr>
            </w:pPr>
            <w:r w:rsidRPr="00CA64DB">
              <w:rPr>
                <w:i/>
                <w:color w:val="000000"/>
                <w:sz w:val="18"/>
                <w:szCs w:val="18"/>
              </w:rPr>
              <w:fldChar w:fldCharType="begin">
                <w:ffData>
                  <w:name w:val="F_GEB_BD_target"/>
                  <w:enabled/>
                  <w:calcOnExit w:val="0"/>
                  <w:textInput/>
                </w:ffData>
              </w:fldChar>
            </w:r>
            <w:r w:rsidRPr="00CA64DB">
              <w:rPr>
                <w:i/>
                <w:color w:val="000000"/>
                <w:sz w:val="18"/>
                <w:szCs w:val="18"/>
              </w:rPr>
              <w:instrText xml:space="preserve"> FORMTEXT </w:instrText>
            </w:r>
            <w:r w:rsidRPr="00CA64DB">
              <w:rPr>
                <w:i/>
                <w:color w:val="000000"/>
                <w:sz w:val="18"/>
                <w:szCs w:val="18"/>
              </w:rPr>
            </w:r>
            <w:r w:rsidRPr="00CA64DB">
              <w:rPr>
                <w:i/>
                <w:color w:val="000000"/>
                <w:sz w:val="18"/>
                <w:szCs w:val="18"/>
              </w:rPr>
              <w:fldChar w:fldCharType="separate"/>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fldChar w:fldCharType="end"/>
            </w:r>
          </w:p>
        </w:tc>
        <w:tc>
          <w:tcPr>
            <w:tcW w:w="1287" w:type="dxa"/>
            <w:shd w:val="clear" w:color="auto" w:fill="F2F2F2" w:themeFill="background1" w:themeFillShade="F2"/>
          </w:tcPr>
          <w:p w14:paraId="6B12D595" w14:textId="77777777" w:rsidR="007520C1" w:rsidRPr="00CA64DB" w:rsidRDefault="007520C1" w:rsidP="00E049DB">
            <w:pPr>
              <w:jc w:val="right"/>
              <w:rPr>
                <w:i/>
                <w:color w:val="000000"/>
                <w:sz w:val="18"/>
                <w:szCs w:val="18"/>
              </w:rPr>
            </w:pPr>
            <w:r w:rsidRPr="00CA64DB">
              <w:rPr>
                <w:i/>
                <w:color w:val="000000"/>
                <w:sz w:val="18"/>
                <w:szCs w:val="18"/>
              </w:rPr>
              <w:fldChar w:fldCharType="begin">
                <w:ffData>
                  <w:name w:val="F_GEB_BD_target"/>
                  <w:enabled/>
                  <w:calcOnExit w:val="0"/>
                  <w:textInput/>
                </w:ffData>
              </w:fldChar>
            </w:r>
            <w:r w:rsidRPr="00CA64DB">
              <w:rPr>
                <w:i/>
                <w:color w:val="000000"/>
                <w:sz w:val="18"/>
                <w:szCs w:val="18"/>
              </w:rPr>
              <w:instrText xml:space="preserve"> FORMTEXT </w:instrText>
            </w:r>
            <w:r w:rsidRPr="00CA64DB">
              <w:rPr>
                <w:i/>
                <w:color w:val="000000"/>
                <w:sz w:val="18"/>
                <w:szCs w:val="18"/>
              </w:rPr>
            </w:r>
            <w:r w:rsidRPr="00CA64DB">
              <w:rPr>
                <w:i/>
                <w:color w:val="000000"/>
                <w:sz w:val="18"/>
                <w:szCs w:val="18"/>
              </w:rPr>
              <w:fldChar w:fldCharType="separate"/>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fldChar w:fldCharType="end"/>
            </w:r>
          </w:p>
        </w:tc>
      </w:tr>
      <w:tr w:rsidR="007520C1" w:rsidRPr="004244E0" w14:paraId="3DF5E6B6" w14:textId="77777777" w:rsidTr="00746B99">
        <w:tc>
          <w:tcPr>
            <w:tcW w:w="1298" w:type="dxa"/>
            <w:shd w:val="clear" w:color="auto" w:fill="FFFF00"/>
          </w:tcPr>
          <w:p w14:paraId="1769071D" w14:textId="77777777" w:rsidR="007520C1" w:rsidRPr="00CA64DB" w:rsidRDefault="007520C1" w:rsidP="00E049DB">
            <w:pPr>
              <w:rPr>
                <w:sz w:val="18"/>
                <w:szCs w:val="18"/>
              </w:rPr>
            </w:pPr>
            <w:r w:rsidRPr="00CA64DB">
              <w:rPr>
                <w:sz w:val="18"/>
                <w:szCs w:val="18"/>
              </w:rPr>
              <w:t>Indicator 4.1</w:t>
            </w:r>
          </w:p>
        </w:tc>
        <w:tc>
          <w:tcPr>
            <w:tcW w:w="6765" w:type="dxa"/>
            <w:gridSpan w:val="5"/>
            <w:shd w:val="clear" w:color="auto" w:fill="FFFF00"/>
          </w:tcPr>
          <w:p w14:paraId="33428F25" w14:textId="77777777" w:rsidR="007520C1" w:rsidRPr="00CA64DB" w:rsidRDefault="007520C1" w:rsidP="00E049DB">
            <w:pPr>
              <w:rPr>
                <w:sz w:val="18"/>
                <w:szCs w:val="18"/>
              </w:rPr>
            </w:pPr>
            <w:r w:rsidRPr="00CA64DB">
              <w:rPr>
                <w:sz w:val="18"/>
                <w:szCs w:val="18"/>
              </w:rPr>
              <w:t>Area of landscapes under improved management to benefit biodiversity</w:t>
            </w:r>
          </w:p>
        </w:tc>
        <w:tc>
          <w:tcPr>
            <w:tcW w:w="2772" w:type="dxa"/>
            <w:gridSpan w:val="5"/>
            <w:shd w:val="clear" w:color="auto" w:fill="FFFF00"/>
          </w:tcPr>
          <w:p w14:paraId="1B7A4D58" w14:textId="77777777" w:rsidR="007520C1" w:rsidRPr="00CA64DB" w:rsidRDefault="007520C1" w:rsidP="00E049DB">
            <w:pPr>
              <w:jc w:val="right"/>
              <w:rPr>
                <w:sz w:val="18"/>
                <w:szCs w:val="18"/>
              </w:rPr>
            </w:pPr>
            <w:r w:rsidRPr="00CA64DB">
              <w:rPr>
                <w:i/>
                <w:color w:val="000000"/>
                <w:sz w:val="18"/>
                <w:szCs w:val="18"/>
              </w:rPr>
              <w:fldChar w:fldCharType="begin">
                <w:ffData>
                  <w:name w:val="F_GEB_BD_target"/>
                  <w:enabled/>
                  <w:calcOnExit w:val="0"/>
                  <w:textInput/>
                </w:ffData>
              </w:fldChar>
            </w:r>
            <w:r w:rsidRPr="00CA64DB">
              <w:rPr>
                <w:i/>
                <w:color w:val="000000"/>
                <w:sz w:val="18"/>
                <w:szCs w:val="18"/>
              </w:rPr>
              <w:instrText xml:space="preserve"> FORMTEXT </w:instrText>
            </w:r>
            <w:r w:rsidRPr="00CA64DB">
              <w:rPr>
                <w:i/>
                <w:color w:val="000000"/>
                <w:sz w:val="18"/>
                <w:szCs w:val="18"/>
              </w:rPr>
            </w:r>
            <w:r w:rsidRPr="00CA64DB">
              <w:rPr>
                <w:i/>
                <w:color w:val="000000"/>
                <w:sz w:val="18"/>
                <w:szCs w:val="18"/>
              </w:rPr>
              <w:fldChar w:fldCharType="separate"/>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fldChar w:fldCharType="end"/>
            </w:r>
          </w:p>
        </w:tc>
      </w:tr>
      <w:tr w:rsidR="007520C1" w:rsidRPr="004244E0" w14:paraId="4E1290BA" w14:textId="77777777" w:rsidTr="00746B99">
        <w:trPr>
          <w:trHeight w:val="125"/>
        </w:trPr>
        <w:tc>
          <w:tcPr>
            <w:tcW w:w="1298" w:type="dxa"/>
            <w:vMerge w:val="restart"/>
            <w:shd w:val="clear" w:color="auto" w:fill="FFFF00"/>
          </w:tcPr>
          <w:p w14:paraId="1DA0A15F" w14:textId="77777777" w:rsidR="007520C1" w:rsidRPr="00CA64DB" w:rsidRDefault="007520C1" w:rsidP="00E049DB">
            <w:pPr>
              <w:rPr>
                <w:sz w:val="18"/>
                <w:szCs w:val="18"/>
              </w:rPr>
            </w:pPr>
          </w:p>
        </w:tc>
        <w:tc>
          <w:tcPr>
            <w:tcW w:w="933" w:type="dxa"/>
            <w:vMerge w:val="restart"/>
            <w:shd w:val="clear" w:color="auto" w:fill="FFFF00"/>
          </w:tcPr>
          <w:p w14:paraId="365B7767" w14:textId="77777777" w:rsidR="007520C1" w:rsidRPr="00CA64DB" w:rsidRDefault="007520C1" w:rsidP="00E049DB">
            <w:pPr>
              <w:rPr>
                <w:sz w:val="18"/>
                <w:szCs w:val="18"/>
              </w:rPr>
            </w:pPr>
          </w:p>
        </w:tc>
        <w:tc>
          <w:tcPr>
            <w:tcW w:w="1726" w:type="dxa"/>
            <w:vMerge w:val="restart"/>
            <w:shd w:val="clear" w:color="auto" w:fill="FFFF00"/>
          </w:tcPr>
          <w:p w14:paraId="6E00859A" w14:textId="77777777" w:rsidR="007520C1" w:rsidRPr="00CA64DB" w:rsidRDefault="007520C1" w:rsidP="00E049DB">
            <w:pPr>
              <w:rPr>
                <w:sz w:val="18"/>
                <w:szCs w:val="18"/>
              </w:rPr>
            </w:pPr>
          </w:p>
        </w:tc>
        <w:tc>
          <w:tcPr>
            <w:tcW w:w="6878" w:type="dxa"/>
            <w:gridSpan w:val="8"/>
            <w:shd w:val="clear" w:color="auto" w:fill="FFFF00"/>
          </w:tcPr>
          <w:p w14:paraId="25126753" w14:textId="77777777" w:rsidR="007520C1" w:rsidRPr="00CA64DB" w:rsidRDefault="007520C1" w:rsidP="00E049DB">
            <w:pPr>
              <w:jc w:val="center"/>
              <w:rPr>
                <w:sz w:val="18"/>
                <w:szCs w:val="18"/>
              </w:rPr>
            </w:pPr>
            <w:r w:rsidRPr="00CA64DB">
              <w:rPr>
                <w:sz w:val="18"/>
                <w:szCs w:val="18"/>
              </w:rPr>
              <w:t>Hectares</w:t>
            </w:r>
          </w:p>
        </w:tc>
      </w:tr>
      <w:tr w:rsidR="007520C1" w:rsidRPr="004244E0" w14:paraId="3B6FCA4B" w14:textId="77777777" w:rsidTr="00746B99">
        <w:trPr>
          <w:trHeight w:val="125"/>
        </w:trPr>
        <w:tc>
          <w:tcPr>
            <w:tcW w:w="1298" w:type="dxa"/>
            <w:vMerge/>
            <w:shd w:val="clear" w:color="auto" w:fill="FFFF00"/>
          </w:tcPr>
          <w:p w14:paraId="3947048A" w14:textId="77777777" w:rsidR="007520C1" w:rsidRPr="00CA64DB" w:rsidRDefault="007520C1" w:rsidP="00E049DB">
            <w:pPr>
              <w:rPr>
                <w:sz w:val="18"/>
                <w:szCs w:val="18"/>
              </w:rPr>
            </w:pPr>
          </w:p>
        </w:tc>
        <w:tc>
          <w:tcPr>
            <w:tcW w:w="933" w:type="dxa"/>
            <w:vMerge/>
            <w:shd w:val="clear" w:color="auto" w:fill="FFFF00"/>
          </w:tcPr>
          <w:p w14:paraId="7485FB38" w14:textId="77777777" w:rsidR="007520C1" w:rsidRPr="00CA64DB" w:rsidRDefault="007520C1" w:rsidP="00E049DB">
            <w:pPr>
              <w:rPr>
                <w:sz w:val="18"/>
                <w:szCs w:val="18"/>
              </w:rPr>
            </w:pPr>
          </w:p>
        </w:tc>
        <w:tc>
          <w:tcPr>
            <w:tcW w:w="1726" w:type="dxa"/>
            <w:vMerge/>
            <w:shd w:val="clear" w:color="auto" w:fill="FFFF00"/>
          </w:tcPr>
          <w:p w14:paraId="5303926C" w14:textId="77777777" w:rsidR="007520C1" w:rsidRPr="00CA64DB" w:rsidRDefault="007520C1" w:rsidP="00E049DB">
            <w:pPr>
              <w:rPr>
                <w:sz w:val="18"/>
                <w:szCs w:val="18"/>
              </w:rPr>
            </w:pPr>
          </w:p>
        </w:tc>
        <w:tc>
          <w:tcPr>
            <w:tcW w:w="4106" w:type="dxa"/>
            <w:gridSpan w:val="3"/>
            <w:shd w:val="clear" w:color="auto" w:fill="FFFF00"/>
          </w:tcPr>
          <w:p w14:paraId="4B151579" w14:textId="77777777" w:rsidR="007520C1" w:rsidRPr="00CA64DB" w:rsidRDefault="007520C1" w:rsidP="00E049DB">
            <w:pPr>
              <w:jc w:val="center"/>
              <w:rPr>
                <w:sz w:val="18"/>
                <w:szCs w:val="18"/>
              </w:rPr>
            </w:pPr>
            <w:r w:rsidRPr="00CA64DB">
              <w:rPr>
                <w:sz w:val="18"/>
                <w:szCs w:val="18"/>
              </w:rPr>
              <w:t>Expected</w:t>
            </w:r>
          </w:p>
        </w:tc>
        <w:tc>
          <w:tcPr>
            <w:tcW w:w="2772" w:type="dxa"/>
            <w:gridSpan w:val="5"/>
            <w:shd w:val="clear" w:color="auto" w:fill="FFFF00"/>
          </w:tcPr>
          <w:p w14:paraId="02E58D71" w14:textId="77777777" w:rsidR="007520C1" w:rsidRPr="00CA64DB" w:rsidRDefault="007520C1" w:rsidP="00E049DB">
            <w:pPr>
              <w:jc w:val="center"/>
              <w:rPr>
                <w:sz w:val="18"/>
                <w:szCs w:val="18"/>
              </w:rPr>
            </w:pPr>
            <w:r w:rsidRPr="00CA64DB">
              <w:rPr>
                <w:sz w:val="18"/>
                <w:szCs w:val="18"/>
              </w:rPr>
              <w:t>Achieved</w:t>
            </w:r>
          </w:p>
        </w:tc>
      </w:tr>
      <w:tr w:rsidR="007520C1" w:rsidRPr="004244E0" w14:paraId="189C6D7D" w14:textId="77777777" w:rsidTr="00746B99">
        <w:trPr>
          <w:trHeight w:val="80"/>
        </w:trPr>
        <w:tc>
          <w:tcPr>
            <w:tcW w:w="1298" w:type="dxa"/>
            <w:vMerge/>
            <w:shd w:val="clear" w:color="auto" w:fill="FFFF00"/>
          </w:tcPr>
          <w:p w14:paraId="4AB07976" w14:textId="77777777" w:rsidR="007520C1" w:rsidRPr="00CA64DB" w:rsidRDefault="007520C1" w:rsidP="00E049DB">
            <w:pPr>
              <w:rPr>
                <w:sz w:val="18"/>
                <w:szCs w:val="18"/>
              </w:rPr>
            </w:pPr>
          </w:p>
        </w:tc>
        <w:tc>
          <w:tcPr>
            <w:tcW w:w="933" w:type="dxa"/>
            <w:vMerge/>
            <w:shd w:val="clear" w:color="auto" w:fill="FFFF00"/>
          </w:tcPr>
          <w:p w14:paraId="6F308905" w14:textId="77777777" w:rsidR="007520C1" w:rsidRPr="00CA64DB" w:rsidRDefault="007520C1" w:rsidP="00E049DB">
            <w:pPr>
              <w:rPr>
                <w:sz w:val="18"/>
                <w:szCs w:val="18"/>
              </w:rPr>
            </w:pPr>
          </w:p>
        </w:tc>
        <w:tc>
          <w:tcPr>
            <w:tcW w:w="1726" w:type="dxa"/>
            <w:vMerge/>
            <w:shd w:val="clear" w:color="auto" w:fill="FFFF00"/>
          </w:tcPr>
          <w:p w14:paraId="340566E6" w14:textId="77777777" w:rsidR="007520C1" w:rsidRPr="00CA64DB" w:rsidRDefault="007520C1" w:rsidP="00E049DB">
            <w:pPr>
              <w:rPr>
                <w:sz w:val="18"/>
                <w:szCs w:val="18"/>
              </w:rPr>
            </w:pPr>
          </w:p>
        </w:tc>
        <w:tc>
          <w:tcPr>
            <w:tcW w:w="2782" w:type="dxa"/>
            <w:gridSpan w:val="2"/>
            <w:shd w:val="clear" w:color="auto" w:fill="FFFF00"/>
          </w:tcPr>
          <w:p w14:paraId="4E49568D" w14:textId="77777777" w:rsidR="007520C1" w:rsidRPr="00CA64DB" w:rsidRDefault="007520C1" w:rsidP="00E049DB">
            <w:pPr>
              <w:jc w:val="center"/>
              <w:rPr>
                <w:sz w:val="18"/>
                <w:szCs w:val="18"/>
              </w:rPr>
            </w:pPr>
            <w:r w:rsidRPr="00CA64DB">
              <w:rPr>
                <w:sz w:val="18"/>
                <w:szCs w:val="18"/>
              </w:rPr>
              <w:t>PIF stage</w:t>
            </w:r>
          </w:p>
        </w:tc>
        <w:tc>
          <w:tcPr>
            <w:tcW w:w="1485" w:type="dxa"/>
            <w:gridSpan w:val="3"/>
            <w:shd w:val="clear" w:color="auto" w:fill="FFFF00"/>
          </w:tcPr>
          <w:p w14:paraId="6E8A469F" w14:textId="77777777" w:rsidR="007520C1" w:rsidRPr="00CA64DB" w:rsidRDefault="007520C1" w:rsidP="00E049DB">
            <w:pPr>
              <w:jc w:val="center"/>
              <w:rPr>
                <w:sz w:val="18"/>
                <w:szCs w:val="18"/>
              </w:rPr>
            </w:pPr>
            <w:r w:rsidRPr="00CA64DB">
              <w:rPr>
                <w:sz w:val="18"/>
                <w:szCs w:val="18"/>
              </w:rPr>
              <w:t>Endorsement</w:t>
            </w:r>
          </w:p>
        </w:tc>
        <w:tc>
          <w:tcPr>
            <w:tcW w:w="1324" w:type="dxa"/>
            <w:gridSpan w:val="2"/>
            <w:shd w:val="clear" w:color="auto" w:fill="FFFF00"/>
          </w:tcPr>
          <w:p w14:paraId="49C43513" w14:textId="77777777" w:rsidR="007520C1" w:rsidRPr="00CA64DB" w:rsidRDefault="007520C1" w:rsidP="00E049DB">
            <w:pPr>
              <w:jc w:val="center"/>
              <w:rPr>
                <w:sz w:val="18"/>
                <w:szCs w:val="18"/>
              </w:rPr>
            </w:pPr>
            <w:r w:rsidRPr="00CA64DB">
              <w:rPr>
                <w:sz w:val="18"/>
                <w:szCs w:val="18"/>
              </w:rPr>
              <w:t>MTR</w:t>
            </w:r>
          </w:p>
        </w:tc>
        <w:tc>
          <w:tcPr>
            <w:tcW w:w="1287" w:type="dxa"/>
            <w:shd w:val="clear" w:color="auto" w:fill="FFFF00"/>
          </w:tcPr>
          <w:p w14:paraId="073508BA" w14:textId="77777777" w:rsidR="007520C1" w:rsidRPr="00CA64DB" w:rsidRDefault="007520C1" w:rsidP="00E049DB">
            <w:pPr>
              <w:jc w:val="center"/>
              <w:rPr>
                <w:sz w:val="18"/>
                <w:szCs w:val="18"/>
              </w:rPr>
            </w:pPr>
            <w:r w:rsidRPr="00CA64DB">
              <w:rPr>
                <w:sz w:val="18"/>
                <w:szCs w:val="18"/>
              </w:rPr>
              <w:t>TE</w:t>
            </w:r>
          </w:p>
        </w:tc>
      </w:tr>
      <w:tr w:rsidR="007520C1" w:rsidRPr="004244E0" w14:paraId="71C3CD90" w14:textId="77777777" w:rsidTr="00746B99">
        <w:tc>
          <w:tcPr>
            <w:tcW w:w="1298" w:type="dxa"/>
            <w:shd w:val="clear" w:color="auto" w:fill="FFFF00"/>
          </w:tcPr>
          <w:p w14:paraId="44210470" w14:textId="77777777" w:rsidR="007520C1" w:rsidRPr="00CA64DB" w:rsidRDefault="007520C1" w:rsidP="00E049DB">
            <w:pPr>
              <w:jc w:val="right"/>
              <w:rPr>
                <w:sz w:val="18"/>
                <w:szCs w:val="18"/>
              </w:rPr>
            </w:pPr>
          </w:p>
        </w:tc>
        <w:tc>
          <w:tcPr>
            <w:tcW w:w="933" w:type="dxa"/>
            <w:shd w:val="clear" w:color="auto" w:fill="FFFF00"/>
          </w:tcPr>
          <w:p w14:paraId="41B42716" w14:textId="77777777" w:rsidR="007520C1" w:rsidRPr="00CA64DB" w:rsidRDefault="007520C1" w:rsidP="00E049DB">
            <w:pPr>
              <w:jc w:val="right"/>
              <w:rPr>
                <w:sz w:val="18"/>
                <w:szCs w:val="18"/>
              </w:rPr>
            </w:pPr>
          </w:p>
        </w:tc>
        <w:tc>
          <w:tcPr>
            <w:tcW w:w="1726" w:type="dxa"/>
            <w:shd w:val="clear" w:color="auto" w:fill="FFFF00"/>
          </w:tcPr>
          <w:p w14:paraId="374C4E22" w14:textId="77777777" w:rsidR="007520C1" w:rsidRPr="00CA64DB" w:rsidRDefault="007520C1" w:rsidP="00E049DB">
            <w:pPr>
              <w:jc w:val="right"/>
              <w:rPr>
                <w:sz w:val="18"/>
                <w:szCs w:val="18"/>
              </w:rPr>
            </w:pPr>
          </w:p>
        </w:tc>
        <w:tc>
          <w:tcPr>
            <w:tcW w:w="2782" w:type="dxa"/>
            <w:gridSpan w:val="2"/>
            <w:shd w:val="clear" w:color="auto" w:fill="FFFF00"/>
          </w:tcPr>
          <w:p w14:paraId="055E51B6" w14:textId="77777777" w:rsidR="007520C1" w:rsidRPr="00CA64DB" w:rsidRDefault="007520C1" w:rsidP="00E049DB">
            <w:pPr>
              <w:jc w:val="right"/>
              <w:rPr>
                <w:sz w:val="18"/>
                <w:szCs w:val="18"/>
              </w:rPr>
            </w:pPr>
            <w:r w:rsidRPr="00CA64DB">
              <w:rPr>
                <w:i/>
                <w:color w:val="000000"/>
                <w:sz w:val="18"/>
                <w:szCs w:val="18"/>
              </w:rPr>
              <w:fldChar w:fldCharType="begin">
                <w:ffData>
                  <w:name w:val="F_GEB_BD_target"/>
                  <w:enabled/>
                  <w:calcOnExit w:val="0"/>
                  <w:textInput/>
                </w:ffData>
              </w:fldChar>
            </w:r>
            <w:r w:rsidRPr="00CA64DB">
              <w:rPr>
                <w:i/>
                <w:color w:val="000000"/>
                <w:sz w:val="18"/>
                <w:szCs w:val="18"/>
              </w:rPr>
              <w:instrText xml:space="preserve"> FORMTEXT </w:instrText>
            </w:r>
            <w:r w:rsidRPr="00CA64DB">
              <w:rPr>
                <w:i/>
                <w:color w:val="000000"/>
                <w:sz w:val="18"/>
                <w:szCs w:val="18"/>
              </w:rPr>
            </w:r>
            <w:r w:rsidRPr="00CA64DB">
              <w:rPr>
                <w:i/>
                <w:color w:val="000000"/>
                <w:sz w:val="18"/>
                <w:szCs w:val="18"/>
              </w:rPr>
              <w:fldChar w:fldCharType="separate"/>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fldChar w:fldCharType="end"/>
            </w:r>
          </w:p>
        </w:tc>
        <w:tc>
          <w:tcPr>
            <w:tcW w:w="1485" w:type="dxa"/>
            <w:gridSpan w:val="3"/>
            <w:shd w:val="clear" w:color="auto" w:fill="FFFF00"/>
          </w:tcPr>
          <w:p w14:paraId="0E71610D" w14:textId="77777777" w:rsidR="007520C1" w:rsidRPr="00CA64DB" w:rsidRDefault="007520C1" w:rsidP="00E049DB">
            <w:pPr>
              <w:jc w:val="right"/>
              <w:rPr>
                <w:sz w:val="18"/>
                <w:szCs w:val="18"/>
              </w:rPr>
            </w:pPr>
            <w:r w:rsidRPr="00CA64DB">
              <w:rPr>
                <w:i/>
                <w:color w:val="000000"/>
                <w:sz w:val="18"/>
                <w:szCs w:val="18"/>
              </w:rPr>
              <w:fldChar w:fldCharType="begin">
                <w:ffData>
                  <w:name w:val="F_GEB_BD_target"/>
                  <w:enabled/>
                  <w:calcOnExit w:val="0"/>
                  <w:textInput/>
                </w:ffData>
              </w:fldChar>
            </w:r>
            <w:r w:rsidRPr="00CA64DB">
              <w:rPr>
                <w:i/>
                <w:color w:val="000000"/>
                <w:sz w:val="18"/>
                <w:szCs w:val="18"/>
              </w:rPr>
              <w:instrText xml:space="preserve"> FORMTEXT </w:instrText>
            </w:r>
            <w:r w:rsidRPr="00CA64DB">
              <w:rPr>
                <w:i/>
                <w:color w:val="000000"/>
                <w:sz w:val="18"/>
                <w:szCs w:val="18"/>
              </w:rPr>
            </w:r>
            <w:r w:rsidRPr="00CA64DB">
              <w:rPr>
                <w:i/>
                <w:color w:val="000000"/>
                <w:sz w:val="18"/>
                <w:szCs w:val="18"/>
              </w:rPr>
              <w:fldChar w:fldCharType="separate"/>
            </w:r>
            <w:r w:rsidRPr="00CA64DB">
              <w:rPr>
                <w:i/>
                <w:color w:val="000000"/>
                <w:sz w:val="18"/>
                <w:szCs w:val="18"/>
              </w:rPr>
              <w:t>52,000</w:t>
            </w:r>
            <w:r w:rsidRPr="00CA64DB">
              <w:rPr>
                <w:i/>
                <w:color w:val="000000"/>
                <w:sz w:val="18"/>
                <w:szCs w:val="18"/>
              </w:rPr>
              <w:fldChar w:fldCharType="end"/>
            </w:r>
          </w:p>
        </w:tc>
        <w:tc>
          <w:tcPr>
            <w:tcW w:w="1324" w:type="dxa"/>
            <w:gridSpan w:val="2"/>
            <w:shd w:val="clear" w:color="auto" w:fill="FFFF00"/>
          </w:tcPr>
          <w:p w14:paraId="2EA4F076" w14:textId="77777777" w:rsidR="007520C1" w:rsidRPr="00CA64DB" w:rsidRDefault="007520C1" w:rsidP="00E049DB">
            <w:pPr>
              <w:jc w:val="right"/>
              <w:rPr>
                <w:sz w:val="18"/>
                <w:szCs w:val="18"/>
              </w:rPr>
            </w:pPr>
            <w:r w:rsidRPr="00CA64DB">
              <w:rPr>
                <w:i/>
                <w:color w:val="000000"/>
                <w:sz w:val="18"/>
                <w:szCs w:val="18"/>
              </w:rPr>
              <w:fldChar w:fldCharType="begin">
                <w:ffData>
                  <w:name w:val="F_GEB_BD_target"/>
                  <w:enabled/>
                  <w:calcOnExit w:val="0"/>
                  <w:textInput/>
                </w:ffData>
              </w:fldChar>
            </w:r>
            <w:r w:rsidRPr="00CA64DB">
              <w:rPr>
                <w:i/>
                <w:color w:val="000000"/>
                <w:sz w:val="18"/>
                <w:szCs w:val="18"/>
              </w:rPr>
              <w:instrText xml:space="preserve"> FORMTEXT </w:instrText>
            </w:r>
            <w:r w:rsidRPr="00CA64DB">
              <w:rPr>
                <w:i/>
                <w:color w:val="000000"/>
                <w:sz w:val="18"/>
                <w:szCs w:val="18"/>
              </w:rPr>
            </w:r>
            <w:r w:rsidRPr="00CA64DB">
              <w:rPr>
                <w:i/>
                <w:color w:val="000000"/>
                <w:sz w:val="18"/>
                <w:szCs w:val="18"/>
              </w:rPr>
              <w:fldChar w:fldCharType="separate"/>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fldChar w:fldCharType="end"/>
            </w:r>
          </w:p>
        </w:tc>
        <w:tc>
          <w:tcPr>
            <w:tcW w:w="1287" w:type="dxa"/>
            <w:shd w:val="clear" w:color="auto" w:fill="FFFF00"/>
          </w:tcPr>
          <w:p w14:paraId="08A9B650" w14:textId="77777777" w:rsidR="007520C1" w:rsidRPr="00CA64DB" w:rsidRDefault="007520C1" w:rsidP="00E049DB">
            <w:pPr>
              <w:jc w:val="right"/>
              <w:rPr>
                <w:sz w:val="18"/>
                <w:szCs w:val="18"/>
              </w:rPr>
            </w:pPr>
            <w:r w:rsidRPr="00CA64DB">
              <w:rPr>
                <w:i/>
                <w:color w:val="000000"/>
                <w:sz w:val="18"/>
                <w:szCs w:val="18"/>
              </w:rPr>
              <w:fldChar w:fldCharType="begin">
                <w:ffData>
                  <w:name w:val="F_GEB_BD_target"/>
                  <w:enabled/>
                  <w:calcOnExit w:val="0"/>
                  <w:textInput/>
                </w:ffData>
              </w:fldChar>
            </w:r>
            <w:r w:rsidRPr="00CA64DB">
              <w:rPr>
                <w:i/>
                <w:color w:val="000000"/>
                <w:sz w:val="18"/>
                <w:szCs w:val="18"/>
              </w:rPr>
              <w:instrText xml:space="preserve"> FORMTEXT </w:instrText>
            </w:r>
            <w:r w:rsidRPr="00CA64DB">
              <w:rPr>
                <w:i/>
                <w:color w:val="000000"/>
                <w:sz w:val="18"/>
                <w:szCs w:val="18"/>
              </w:rPr>
            </w:r>
            <w:r w:rsidRPr="00CA64DB">
              <w:rPr>
                <w:i/>
                <w:color w:val="000000"/>
                <w:sz w:val="18"/>
                <w:szCs w:val="18"/>
              </w:rPr>
              <w:fldChar w:fldCharType="separate"/>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fldChar w:fldCharType="end"/>
            </w:r>
          </w:p>
        </w:tc>
      </w:tr>
      <w:tr w:rsidR="007520C1" w:rsidRPr="004244E0" w14:paraId="3B3170FA" w14:textId="77777777" w:rsidTr="00746B99">
        <w:tc>
          <w:tcPr>
            <w:tcW w:w="1298" w:type="dxa"/>
            <w:shd w:val="clear" w:color="auto" w:fill="FFFF00"/>
          </w:tcPr>
          <w:p w14:paraId="7FB1F77B" w14:textId="77777777" w:rsidR="007520C1" w:rsidRPr="00CA64DB" w:rsidRDefault="007520C1" w:rsidP="00E049DB">
            <w:pPr>
              <w:jc w:val="right"/>
              <w:rPr>
                <w:sz w:val="18"/>
                <w:szCs w:val="18"/>
              </w:rPr>
            </w:pPr>
          </w:p>
        </w:tc>
        <w:tc>
          <w:tcPr>
            <w:tcW w:w="933" w:type="dxa"/>
            <w:shd w:val="clear" w:color="auto" w:fill="FFFF00"/>
          </w:tcPr>
          <w:p w14:paraId="697038B8" w14:textId="77777777" w:rsidR="007520C1" w:rsidRPr="00CA64DB" w:rsidRDefault="007520C1" w:rsidP="00E049DB">
            <w:pPr>
              <w:jc w:val="right"/>
              <w:rPr>
                <w:sz w:val="18"/>
                <w:szCs w:val="18"/>
              </w:rPr>
            </w:pPr>
          </w:p>
        </w:tc>
        <w:tc>
          <w:tcPr>
            <w:tcW w:w="1726" w:type="dxa"/>
            <w:shd w:val="clear" w:color="auto" w:fill="FFFF00"/>
          </w:tcPr>
          <w:p w14:paraId="113CE19C" w14:textId="77777777" w:rsidR="007520C1" w:rsidRPr="00CA64DB" w:rsidRDefault="007520C1" w:rsidP="00E049DB">
            <w:pPr>
              <w:jc w:val="right"/>
              <w:rPr>
                <w:sz w:val="18"/>
                <w:szCs w:val="18"/>
              </w:rPr>
            </w:pPr>
          </w:p>
        </w:tc>
        <w:tc>
          <w:tcPr>
            <w:tcW w:w="2782" w:type="dxa"/>
            <w:gridSpan w:val="2"/>
            <w:shd w:val="clear" w:color="auto" w:fill="FFFF00"/>
          </w:tcPr>
          <w:p w14:paraId="67A7CD53" w14:textId="77777777" w:rsidR="007520C1" w:rsidRPr="00CA64DB" w:rsidRDefault="007520C1" w:rsidP="00E049DB">
            <w:pPr>
              <w:jc w:val="right"/>
              <w:rPr>
                <w:sz w:val="18"/>
                <w:szCs w:val="18"/>
              </w:rPr>
            </w:pPr>
            <w:r w:rsidRPr="00CA64DB">
              <w:rPr>
                <w:i/>
                <w:color w:val="000000"/>
                <w:sz w:val="18"/>
                <w:szCs w:val="18"/>
              </w:rPr>
              <w:fldChar w:fldCharType="begin">
                <w:ffData>
                  <w:name w:val="F_GEB_BD_target"/>
                  <w:enabled/>
                  <w:calcOnExit w:val="0"/>
                  <w:textInput/>
                </w:ffData>
              </w:fldChar>
            </w:r>
            <w:r w:rsidRPr="00CA64DB">
              <w:rPr>
                <w:i/>
                <w:color w:val="000000"/>
                <w:sz w:val="18"/>
                <w:szCs w:val="18"/>
              </w:rPr>
              <w:instrText xml:space="preserve"> FORMTEXT </w:instrText>
            </w:r>
            <w:r w:rsidRPr="00CA64DB">
              <w:rPr>
                <w:i/>
                <w:color w:val="000000"/>
                <w:sz w:val="18"/>
                <w:szCs w:val="18"/>
              </w:rPr>
            </w:r>
            <w:r w:rsidRPr="00CA64DB">
              <w:rPr>
                <w:i/>
                <w:color w:val="000000"/>
                <w:sz w:val="18"/>
                <w:szCs w:val="18"/>
              </w:rPr>
              <w:fldChar w:fldCharType="separate"/>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fldChar w:fldCharType="end"/>
            </w:r>
          </w:p>
        </w:tc>
        <w:tc>
          <w:tcPr>
            <w:tcW w:w="1485" w:type="dxa"/>
            <w:gridSpan w:val="3"/>
            <w:shd w:val="clear" w:color="auto" w:fill="FFFF00"/>
          </w:tcPr>
          <w:p w14:paraId="2B7CD713" w14:textId="77777777" w:rsidR="007520C1" w:rsidRPr="00CA64DB" w:rsidRDefault="007520C1" w:rsidP="00E049DB">
            <w:pPr>
              <w:jc w:val="right"/>
              <w:rPr>
                <w:sz w:val="18"/>
                <w:szCs w:val="18"/>
              </w:rPr>
            </w:pPr>
            <w:r w:rsidRPr="00CA64DB">
              <w:rPr>
                <w:i/>
                <w:color w:val="000000"/>
                <w:sz w:val="18"/>
                <w:szCs w:val="18"/>
              </w:rPr>
              <w:fldChar w:fldCharType="begin">
                <w:ffData>
                  <w:name w:val="F_GEB_BD_target"/>
                  <w:enabled/>
                  <w:calcOnExit w:val="0"/>
                  <w:textInput/>
                </w:ffData>
              </w:fldChar>
            </w:r>
            <w:r w:rsidRPr="00CA64DB">
              <w:rPr>
                <w:i/>
                <w:color w:val="000000"/>
                <w:sz w:val="18"/>
                <w:szCs w:val="18"/>
              </w:rPr>
              <w:instrText xml:space="preserve"> FORMTEXT </w:instrText>
            </w:r>
            <w:r w:rsidRPr="00CA64DB">
              <w:rPr>
                <w:i/>
                <w:color w:val="000000"/>
                <w:sz w:val="18"/>
                <w:szCs w:val="18"/>
              </w:rPr>
            </w:r>
            <w:r w:rsidRPr="00CA64DB">
              <w:rPr>
                <w:i/>
                <w:color w:val="000000"/>
                <w:sz w:val="18"/>
                <w:szCs w:val="18"/>
              </w:rPr>
              <w:fldChar w:fldCharType="separate"/>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fldChar w:fldCharType="end"/>
            </w:r>
          </w:p>
        </w:tc>
        <w:tc>
          <w:tcPr>
            <w:tcW w:w="1324" w:type="dxa"/>
            <w:gridSpan w:val="2"/>
            <w:shd w:val="clear" w:color="auto" w:fill="FFFF00"/>
          </w:tcPr>
          <w:p w14:paraId="6F53B949" w14:textId="77777777" w:rsidR="007520C1" w:rsidRPr="00CA64DB" w:rsidRDefault="007520C1" w:rsidP="00E049DB">
            <w:pPr>
              <w:jc w:val="right"/>
              <w:rPr>
                <w:sz w:val="18"/>
                <w:szCs w:val="18"/>
              </w:rPr>
            </w:pPr>
            <w:r w:rsidRPr="00CA64DB">
              <w:rPr>
                <w:i/>
                <w:color w:val="000000"/>
                <w:sz w:val="18"/>
                <w:szCs w:val="18"/>
              </w:rPr>
              <w:fldChar w:fldCharType="begin">
                <w:ffData>
                  <w:name w:val="F_GEB_BD_target"/>
                  <w:enabled/>
                  <w:calcOnExit w:val="0"/>
                  <w:textInput/>
                </w:ffData>
              </w:fldChar>
            </w:r>
            <w:r w:rsidRPr="00CA64DB">
              <w:rPr>
                <w:i/>
                <w:color w:val="000000"/>
                <w:sz w:val="18"/>
                <w:szCs w:val="18"/>
              </w:rPr>
              <w:instrText xml:space="preserve"> FORMTEXT </w:instrText>
            </w:r>
            <w:r w:rsidRPr="00CA64DB">
              <w:rPr>
                <w:i/>
                <w:color w:val="000000"/>
                <w:sz w:val="18"/>
                <w:szCs w:val="18"/>
              </w:rPr>
            </w:r>
            <w:r w:rsidRPr="00CA64DB">
              <w:rPr>
                <w:i/>
                <w:color w:val="000000"/>
                <w:sz w:val="18"/>
                <w:szCs w:val="18"/>
              </w:rPr>
              <w:fldChar w:fldCharType="separate"/>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fldChar w:fldCharType="end"/>
            </w:r>
          </w:p>
        </w:tc>
        <w:tc>
          <w:tcPr>
            <w:tcW w:w="1287" w:type="dxa"/>
            <w:shd w:val="clear" w:color="auto" w:fill="FFFF00"/>
          </w:tcPr>
          <w:p w14:paraId="79F806FF" w14:textId="77777777" w:rsidR="007520C1" w:rsidRPr="00CA64DB" w:rsidRDefault="007520C1" w:rsidP="00E049DB">
            <w:pPr>
              <w:jc w:val="right"/>
              <w:rPr>
                <w:sz w:val="18"/>
                <w:szCs w:val="18"/>
              </w:rPr>
            </w:pPr>
            <w:r w:rsidRPr="00CA64DB">
              <w:rPr>
                <w:i/>
                <w:color w:val="000000"/>
                <w:sz w:val="18"/>
                <w:szCs w:val="18"/>
              </w:rPr>
              <w:fldChar w:fldCharType="begin">
                <w:ffData>
                  <w:name w:val="F_GEB_BD_target"/>
                  <w:enabled/>
                  <w:calcOnExit w:val="0"/>
                  <w:textInput/>
                </w:ffData>
              </w:fldChar>
            </w:r>
            <w:r w:rsidRPr="00CA64DB">
              <w:rPr>
                <w:i/>
                <w:color w:val="000000"/>
                <w:sz w:val="18"/>
                <w:szCs w:val="18"/>
              </w:rPr>
              <w:instrText xml:space="preserve"> FORMTEXT </w:instrText>
            </w:r>
            <w:r w:rsidRPr="00CA64DB">
              <w:rPr>
                <w:i/>
                <w:color w:val="000000"/>
                <w:sz w:val="18"/>
                <w:szCs w:val="18"/>
              </w:rPr>
            </w:r>
            <w:r w:rsidRPr="00CA64DB">
              <w:rPr>
                <w:i/>
                <w:color w:val="000000"/>
                <w:sz w:val="18"/>
                <w:szCs w:val="18"/>
              </w:rPr>
              <w:fldChar w:fldCharType="separate"/>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fldChar w:fldCharType="end"/>
            </w:r>
          </w:p>
        </w:tc>
      </w:tr>
      <w:tr w:rsidR="007520C1" w:rsidRPr="004244E0" w14:paraId="36AEBD48" w14:textId="77777777" w:rsidTr="00DB02C4">
        <w:tc>
          <w:tcPr>
            <w:tcW w:w="1298" w:type="dxa"/>
            <w:shd w:val="clear" w:color="auto" w:fill="BFBFBF" w:themeFill="background1" w:themeFillShade="BF"/>
          </w:tcPr>
          <w:p w14:paraId="72C808E6" w14:textId="77777777" w:rsidR="007520C1" w:rsidRPr="00CA64DB" w:rsidRDefault="007520C1" w:rsidP="00E049DB">
            <w:pPr>
              <w:rPr>
                <w:sz w:val="18"/>
                <w:szCs w:val="18"/>
              </w:rPr>
            </w:pPr>
            <w:r w:rsidRPr="00CA64DB">
              <w:rPr>
                <w:sz w:val="18"/>
                <w:szCs w:val="18"/>
              </w:rPr>
              <w:lastRenderedPageBreak/>
              <w:t>Indicator 4.2</w:t>
            </w:r>
          </w:p>
        </w:tc>
        <w:tc>
          <w:tcPr>
            <w:tcW w:w="6765" w:type="dxa"/>
            <w:gridSpan w:val="5"/>
            <w:shd w:val="clear" w:color="auto" w:fill="BFBFBF" w:themeFill="background1" w:themeFillShade="BF"/>
          </w:tcPr>
          <w:p w14:paraId="7F0A56D6" w14:textId="77777777" w:rsidR="007520C1" w:rsidRPr="00CA64DB" w:rsidRDefault="007520C1" w:rsidP="00E049DB">
            <w:pPr>
              <w:rPr>
                <w:sz w:val="18"/>
                <w:szCs w:val="18"/>
              </w:rPr>
            </w:pPr>
            <w:r w:rsidRPr="00CA64DB">
              <w:rPr>
                <w:sz w:val="18"/>
                <w:szCs w:val="18"/>
              </w:rPr>
              <w:t>Area of landscapes that meet national or international third-party certification that incorporates biodiversity considerations</w:t>
            </w:r>
          </w:p>
        </w:tc>
        <w:tc>
          <w:tcPr>
            <w:tcW w:w="2772" w:type="dxa"/>
            <w:gridSpan w:val="5"/>
            <w:shd w:val="clear" w:color="auto" w:fill="BFBFBF" w:themeFill="background1" w:themeFillShade="BF"/>
          </w:tcPr>
          <w:p w14:paraId="4AB2568A" w14:textId="77777777" w:rsidR="007520C1" w:rsidRPr="00CA64DB" w:rsidRDefault="007520C1" w:rsidP="00E049DB">
            <w:pPr>
              <w:jc w:val="right"/>
              <w:rPr>
                <w:sz w:val="18"/>
                <w:szCs w:val="18"/>
              </w:rPr>
            </w:pPr>
            <w:r w:rsidRPr="00CA64DB">
              <w:rPr>
                <w:i/>
                <w:color w:val="000000"/>
                <w:sz w:val="18"/>
                <w:szCs w:val="18"/>
              </w:rPr>
              <w:fldChar w:fldCharType="begin">
                <w:ffData>
                  <w:name w:val="F_GEB_BD_target"/>
                  <w:enabled/>
                  <w:calcOnExit w:val="0"/>
                  <w:textInput/>
                </w:ffData>
              </w:fldChar>
            </w:r>
            <w:r w:rsidRPr="00CA64DB">
              <w:rPr>
                <w:i/>
                <w:color w:val="000000"/>
                <w:sz w:val="18"/>
                <w:szCs w:val="18"/>
              </w:rPr>
              <w:instrText xml:space="preserve"> FORMTEXT </w:instrText>
            </w:r>
            <w:r w:rsidRPr="00CA64DB">
              <w:rPr>
                <w:i/>
                <w:color w:val="000000"/>
                <w:sz w:val="18"/>
                <w:szCs w:val="18"/>
              </w:rPr>
            </w:r>
            <w:r w:rsidRPr="00CA64DB">
              <w:rPr>
                <w:i/>
                <w:color w:val="000000"/>
                <w:sz w:val="18"/>
                <w:szCs w:val="18"/>
              </w:rPr>
              <w:fldChar w:fldCharType="separate"/>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fldChar w:fldCharType="end"/>
            </w:r>
          </w:p>
        </w:tc>
      </w:tr>
      <w:tr w:rsidR="007520C1" w:rsidRPr="004244E0" w14:paraId="39783D79" w14:textId="77777777" w:rsidTr="00DB02C4">
        <w:trPr>
          <w:trHeight w:val="125"/>
        </w:trPr>
        <w:tc>
          <w:tcPr>
            <w:tcW w:w="3957" w:type="dxa"/>
            <w:gridSpan w:val="3"/>
            <w:vMerge w:val="restart"/>
          </w:tcPr>
          <w:p w14:paraId="68A04221" w14:textId="77777777" w:rsidR="007520C1" w:rsidRPr="00CA64DB" w:rsidRDefault="007520C1" w:rsidP="00E049DB">
            <w:pPr>
              <w:rPr>
                <w:i/>
                <w:color w:val="000000"/>
                <w:sz w:val="18"/>
                <w:szCs w:val="18"/>
              </w:rPr>
            </w:pPr>
            <w:r w:rsidRPr="00CA64DB">
              <w:rPr>
                <w:sz w:val="18"/>
                <w:szCs w:val="18"/>
              </w:rPr>
              <w:t xml:space="preserve">Third party certification(s):    </w:t>
            </w:r>
            <w:r w:rsidRPr="00CA64DB">
              <w:rPr>
                <w:i/>
                <w:color w:val="000000"/>
                <w:sz w:val="18"/>
                <w:szCs w:val="18"/>
              </w:rPr>
              <w:fldChar w:fldCharType="begin">
                <w:ffData>
                  <w:name w:val="F_GEB_BD_target"/>
                  <w:enabled/>
                  <w:calcOnExit w:val="0"/>
                  <w:textInput/>
                </w:ffData>
              </w:fldChar>
            </w:r>
            <w:r w:rsidRPr="00CA64DB">
              <w:rPr>
                <w:i/>
                <w:color w:val="000000"/>
                <w:sz w:val="18"/>
                <w:szCs w:val="18"/>
              </w:rPr>
              <w:instrText xml:space="preserve"> FORMTEXT </w:instrText>
            </w:r>
            <w:r w:rsidRPr="00CA64DB">
              <w:rPr>
                <w:i/>
                <w:color w:val="000000"/>
                <w:sz w:val="18"/>
                <w:szCs w:val="18"/>
              </w:rPr>
            </w:r>
            <w:r w:rsidRPr="00CA64DB">
              <w:rPr>
                <w:i/>
                <w:color w:val="000000"/>
                <w:sz w:val="18"/>
                <w:szCs w:val="18"/>
              </w:rPr>
              <w:fldChar w:fldCharType="separate"/>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fldChar w:fldCharType="end"/>
            </w:r>
          </w:p>
          <w:p w14:paraId="6715D70F" w14:textId="77777777" w:rsidR="007520C1" w:rsidRPr="00CA64DB" w:rsidRDefault="007520C1" w:rsidP="00E049DB">
            <w:pPr>
              <w:rPr>
                <w:i/>
                <w:color w:val="000000"/>
                <w:sz w:val="18"/>
                <w:szCs w:val="18"/>
              </w:rPr>
            </w:pPr>
            <w:r w:rsidRPr="00CA64DB">
              <w:rPr>
                <w:i/>
                <w:color w:val="000000"/>
                <w:sz w:val="18"/>
                <w:szCs w:val="18"/>
              </w:rPr>
              <w:t xml:space="preserve"> </w:t>
            </w:r>
          </w:p>
          <w:p w14:paraId="4BE849F1" w14:textId="77777777" w:rsidR="007520C1" w:rsidRPr="00CA64DB" w:rsidRDefault="007520C1" w:rsidP="00E049DB">
            <w:pPr>
              <w:ind w:left="1782" w:firstLine="378"/>
              <w:rPr>
                <w:i/>
                <w:color w:val="000000"/>
                <w:sz w:val="18"/>
                <w:szCs w:val="18"/>
              </w:rPr>
            </w:pPr>
            <w:r w:rsidRPr="00CA64DB">
              <w:rPr>
                <w:i/>
                <w:color w:val="000000"/>
                <w:sz w:val="18"/>
                <w:szCs w:val="18"/>
              </w:rPr>
              <w:fldChar w:fldCharType="begin">
                <w:ffData>
                  <w:name w:val="F_GEB_BD_target"/>
                  <w:enabled/>
                  <w:calcOnExit w:val="0"/>
                  <w:textInput/>
                </w:ffData>
              </w:fldChar>
            </w:r>
            <w:r w:rsidRPr="00CA64DB">
              <w:rPr>
                <w:i/>
                <w:color w:val="000000"/>
                <w:sz w:val="18"/>
                <w:szCs w:val="18"/>
              </w:rPr>
              <w:instrText xml:space="preserve"> FORMTEXT </w:instrText>
            </w:r>
            <w:r w:rsidRPr="00CA64DB">
              <w:rPr>
                <w:i/>
                <w:color w:val="000000"/>
                <w:sz w:val="18"/>
                <w:szCs w:val="18"/>
              </w:rPr>
            </w:r>
            <w:r w:rsidRPr="00CA64DB">
              <w:rPr>
                <w:i/>
                <w:color w:val="000000"/>
                <w:sz w:val="18"/>
                <w:szCs w:val="18"/>
              </w:rPr>
              <w:fldChar w:fldCharType="separate"/>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fldChar w:fldCharType="end"/>
            </w:r>
            <w:r w:rsidRPr="00CA64DB">
              <w:rPr>
                <w:i/>
                <w:color w:val="000000"/>
                <w:sz w:val="18"/>
                <w:szCs w:val="18"/>
              </w:rPr>
              <w:t xml:space="preserve"> </w:t>
            </w:r>
          </w:p>
          <w:p w14:paraId="2969872E" w14:textId="77777777" w:rsidR="007520C1" w:rsidRPr="00CA64DB" w:rsidRDefault="007520C1" w:rsidP="00E049DB">
            <w:pPr>
              <w:ind w:left="1782" w:firstLine="378"/>
              <w:rPr>
                <w:i/>
                <w:color w:val="000000"/>
                <w:sz w:val="18"/>
                <w:szCs w:val="18"/>
              </w:rPr>
            </w:pPr>
          </w:p>
          <w:p w14:paraId="5073C760" w14:textId="77777777" w:rsidR="007520C1" w:rsidRPr="00CA64DB" w:rsidRDefault="007520C1" w:rsidP="00E049DB">
            <w:pPr>
              <w:ind w:left="1782" w:firstLine="378"/>
              <w:rPr>
                <w:i/>
                <w:color w:val="000000"/>
                <w:sz w:val="18"/>
                <w:szCs w:val="18"/>
              </w:rPr>
            </w:pPr>
            <w:r w:rsidRPr="00CA64DB">
              <w:rPr>
                <w:i/>
                <w:color w:val="000000"/>
                <w:sz w:val="18"/>
                <w:szCs w:val="18"/>
              </w:rPr>
              <w:fldChar w:fldCharType="begin">
                <w:ffData>
                  <w:name w:val="F_GEB_BD_target"/>
                  <w:enabled/>
                  <w:calcOnExit w:val="0"/>
                  <w:textInput/>
                </w:ffData>
              </w:fldChar>
            </w:r>
            <w:r w:rsidRPr="00CA64DB">
              <w:rPr>
                <w:i/>
                <w:color w:val="000000"/>
                <w:sz w:val="18"/>
                <w:szCs w:val="18"/>
              </w:rPr>
              <w:instrText xml:space="preserve"> FORMTEXT </w:instrText>
            </w:r>
            <w:r w:rsidRPr="00CA64DB">
              <w:rPr>
                <w:i/>
                <w:color w:val="000000"/>
                <w:sz w:val="18"/>
                <w:szCs w:val="18"/>
              </w:rPr>
            </w:r>
            <w:r w:rsidRPr="00CA64DB">
              <w:rPr>
                <w:i/>
                <w:color w:val="000000"/>
                <w:sz w:val="18"/>
                <w:szCs w:val="18"/>
              </w:rPr>
              <w:fldChar w:fldCharType="separate"/>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fldChar w:fldCharType="end"/>
            </w:r>
          </w:p>
          <w:p w14:paraId="04B49BA6" w14:textId="77777777" w:rsidR="007520C1" w:rsidRPr="00CA64DB" w:rsidRDefault="007520C1" w:rsidP="00E049DB">
            <w:pPr>
              <w:rPr>
                <w:sz w:val="18"/>
                <w:szCs w:val="18"/>
              </w:rPr>
            </w:pPr>
          </w:p>
        </w:tc>
        <w:tc>
          <w:tcPr>
            <w:tcW w:w="6878" w:type="dxa"/>
            <w:gridSpan w:val="8"/>
          </w:tcPr>
          <w:p w14:paraId="1FC3E6C1" w14:textId="77777777" w:rsidR="007520C1" w:rsidRPr="00CA64DB" w:rsidRDefault="007520C1" w:rsidP="00E049DB">
            <w:pPr>
              <w:jc w:val="center"/>
              <w:rPr>
                <w:sz w:val="18"/>
                <w:szCs w:val="18"/>
              </w:rPr>
            </w:pPr>
            <w:r w:rsidRPr="00CA64DB">
              <w:rPr>
                <w:sz w:val="18"/>
                <w:szCs w:val="18"/>
              </w:rPr>
              <w:t>Hectares</w:t>
            </w:r>
          </w:p>
        </w:tc>
      </w:tr>
      <w:tr w:rsidR="007520C1" w:rsidRPr="004244E0" w14:paraId="095BA235" w14:textId="77777777" w:rsidTr="00DB02C4">
        <w:trPr>
          <w:trHeight w:val="58"/>
        </w:trPr>
        <w:tc>
          <w:tcPr>
            <w:tcW w:w="3957" w:type="dxa"/>
            <w:gridSpan w:val="3"/>
            <w:vMerge/>
          </w:tcPr>
          <w:p w14:paraId="54DB301C" w14:textId="77777777" w:rsidR="007520C1" w:rsidRPr="00CA64DB" w:rsidRDefault="007520C1" w:rsidP="00E049DB">
            <w:pPr>
              <w:rPr>
                <w:sz w:val="18"/>
                <w:szCs w:val="18"/>
              </w:rPr>
            </w:pPr>
          </w:p>
        </w:tc>
        <w:tc>
          <w:tcPr>
            <w:tcW w:w="4106" w:type="dxa"/>
            <w:gridSpan w:val="3"/>
          </w:tcPr>
          <w:p w14:paraId="77D18440" w14:textId="77777777" w:rsidR="007520C1" w:rsidRPr="00CA64DB" w:rsidRDefault="007520C1" w:rsidP="00E049DB">
            <w:pPr>
              <w:jc w:val="center"/>
              <w:rPr>
                <w:sz w:val="18"/>
                <w:szCs w:val="18"/>
              </w:rPr>
            </w:pPr>
            <w:r w:rsidRPr="00CA64DB">
              <w:rPr>
                <w:sz w:val="18"/>
                <w:szCs w:val="18"/>
              </w:rPr>
              <w:t>Expected</w:t>
            </w:r>
          </w:p>
        </w:tc>
        <w:tc>
          <w:tcPr>
            <w:tcW w:w="2772" w:type="dxa"/>
            <w:gridSpan w:val="5"/>
          </w:tcPr>
          <w:p w14:paraId="3BCB8289" w14:textId="77777777" w:rsidR="007520C1" w:rsidRPr="00CA64DB" w:rsidRDefault="007520C1" w:rsidP="00E049DB">
            <w:pPr>
              <w:jc w:val="center"/>
              <w:rPr>
                <w:sz w:val="18"/>
                <w:szCs w:val="18"/>
              </w:rPr>
            </w:pPr>
            <w:r w:rsidRPr="00CA64DB">
              <w:rPr>
                <w:sz w:val="18"/>
                <w:szCs w:val="18"/>
              </w:rPr>
              <w:t>Achieved</w:t>
            </w:r>
          </w:p>
        </w:tc>
      </w:tr>
      <w:tr w:rsidR="007520C1" w:rsidRPr="004244E0" w14:paraId="7B620812" w14:textId="77777777" w:rsidTr="00DB02C4">
        <w:trPr>
          <w:trHeight w:val="197"/>
        </w:trPr>
        <w:tc>
          <w:tcPr>
            <w:tcW w:w="3957" w:type="dxa"/>
            <w:gridSpan w:val="3"/>
            <w:vMerge/>
          </w:tcPr>
          <w:p w14:paraId="1B6A75F7" w14:textId="77777777" w:rsidR="007520C1" w:rsidRPr="00CA64DB" w:rsidRDefault="007520C1" w:rsidP="00E049DB">
            <w:pPr>
              <w:rPr>
                <w:sz w:val="18"/>
                <w:szCs w:val="18"/>
              </w:rPr>
            </w:pPr>
          </w:p>
        </w:tc>
        <w:tc>
          <w:tcPr>
            <w:tcW w:w="2782" w:type="dxa"/>
            <w:gridSpan w:val="2"/>
          </w:tcPr>
          <w:p w14:paraId="5E3C4CBC" w14:textId="77777777" w:rsidR="007520C1" w:rsidRPr="00CA64DB" w:rsidRDefault="007520C1" w:rsidP="00E049DB">
            <w:pPr>
              <w:jc w:val="center"/>
              <w:rPr>
                <w:sz w:val="18"/>
                <w:szCs w:val="18"/>
              </w:rPr>
            </w:pPr>
            <w:r w:rsidRPr="00CA64DB">
              <w:rPr>
                <w:sz w:val="18"/>
                <w:szCs w:val="18"/>
              </w:rPr>
              <w:t>PIF stage</w:t>
            </w:r>
          </w:p>
        </w:tc>
        <w:tc>
          <w:tcPr>
            <w:tcW w:w="1477" w:type="dxa"/>
            <w:gridSpan w:val="2"/>
          </w:tcPr>
          <w:p w14:paraId="4A58B77D" w14:textId="77777777" w:rsidR="007520C1" w:rsidRPr="00CA64DB" w:rsidRDefault="007520C1" w:rsidP="00E049DB">
            <w:pPr>
              <w:jc w:val="center"/>
              <w:rPr>
                <w:sz w:val="18"/>
                <w:szCs w:val="18"/>
              </w:rPr>
            </w:pPr>
            <w:r w:rsidRPr="00CA64DB">
              <w:rPr>
                <w:sz w:val="18"/>
                <w:szCs w:val="18"/>
              </w:rPr>
              <w:t>Endorsement</w:t>
            </w:r>
          </w:p>
        </w:tc>
        <w:tc>
          <w:tcPr>
            <w:tcW w:w="1306" w:type="dxa"/>
            <w:gridSpan w:val="2"/>
          </w:tcPr>
          <w:p w14:paraId="48842587" w14:textId="77777777" w:rsidR="007520C1" w:rsidRPr="00CA64DB" w:rsidRDefault="007520C1" w:rsidP="00E049DB">
            <w:pPr>
              <w:jc w:val="center"/>
              <w:rPr>
                <w:sz w:val="18"/>
                <w:szCs w:val="18"/>
              </w:rPr>
            </w:pPr>
            <w:r w:rsidRPr="00CA64DB">
              <w:rPr>
                <w:sz w:val="18"/>
                <w:szCs w:val="18"/>
              </w:rPr>
              <w:t>MTR</w:t>
            </w:r>
          </w:p>
        </w:tc>
        <w:tc>
          <w:tcPr>
            <w:tcW w:w="1313" w:type="dxa"/>
            <w:gridSpan w:val="2"/>
          </w:tcPr>
          <w:p w14:paraId="10A09432" w14:textId="77777777" w:rsidR="007520C1" w:rsidRPr="00CA64DB" w:rsidRDefault="007520C1" w:rsidP="00E049DB">
            <w:pPr>
              <w:jc w:val="center"/>
              <w:rPr>
                <w:sz w:val="18"/>
                <w:szCs w:val="18"/>
              </w:rPr>
            </w:pPr>
            <w:r w:rsidRPr="00CA64DB">
              <w:rPr>
                <w:sz w:val="18"/>
                <w:szCs w:val="18"/>
              </w:rPr>
              <w:t>TE</w:t>
            </w:r>
          </w:p>
        </w:tc>
      </w:tr>
      <w:tr w:rsidR="007520C1" w:rsidRPr="004244E0" w14:paraId="55B0A55A" w14:textId="77777777" w:rsidTr="00DB02C4">
        <w:tc>
          <w:tcPr>
            <w:tcW w:w="3957" w:type="dxa"/>
            <w:gridSpan w:val="3"/>
            <w:vMerge/>
          </w:tcPr>
          <w:p w14:paraId="7ADC866F" w14:textId="77777777" w:rsidR="007520C1" w:rsidRPr="00CA64DB" w:rsidRDefault="007520C1" w:rsidP="00E049DB">
            <w:pPr>
              <w:jc w:val="right"/>
              <w:rPr>
                <w:sz w:val="18"/>
                <w:szCs w:val="18"/>
              </w:rPr>
            </w:pPr>
          </w:p>
        </w:tc>
        <w:tc>
          <w:tcPr>
            <w:tcW w:w="2782" w:type="dxa"/>
            <w:gridSpan w:val="2"/>
          </w:tcPr>
          <w:p w14:paraId="791E3FBD" w14:textId="77777777" w:rsidR="007520C1" w:rsidRPr="00CA64DB" w:rsidRDefault="007520C1" w:rsidP="00E049DB">
            <w:pPr>
              <w:jc w:val="right"/>
              <w:rPr>
                <w:sz w:val="18"/>
                <w:szCs w:val="18"/>
              </w:rPr>
            </w:pPr>
            <w:r w:rsidRPr="00CA64DB">
              <w:rPr>
                <w:i/>
                <w:color w:val="000000"/>
                <w:sz w:val="18"/>
                <w:szCs w:val="18"/>
              </w:rPr>
              <w:fldChar w:fldCharType="begin">
                <w:ffData>
                  <w:name w:val="F_GEB_BD_target"/>
                  <w:enabled/>
                  <w:calcOnExit w:val="0"/>
                  <w:textInput/>
                </w:ffData>
              </w:fldChar>
            </w:r>
            <w:r w:rsidRPr="00CA64DB">
              <w:rPr>
                <w:i/>
                <w:color w:val="000000"/>
                <w:sz w:val="18"/>
                <w:szCs w:val="18"/>
              </w:rPr>
              <w:instrText xml:space="preserve"> FORMTEXT </w:instrText>
            </w:r>
            <w:r w:rsidRPr="00CA64DB">
              <w:rPr>
                <w:i/>
                <w:color w:val="000000"/>
                <w:sz w:val="18"/>
                <w:szCs w:val="18"/>
              </w:rPr>
            </w:r>
            <w:r w:rsidRPr="00CA64DB">
              <w:rPr>
                <w:i/>
                <w:color w:val="000000"/>
                <w:sz w:val="18"/>
                <w:szCs w:val="18"/>
              </w:rPr>
              <w:fldChar w:fldCharType="separate"/>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fldChar w:fldCharType="end"/>
            </w:r>
          </w:p>
        </w:tc>
        <w:tc>
          <w:tcPr>
            <w:tcW w:w="1477" w:type="dxa"/>
            <w:gridSpan w:val="2"/>
          </w:tcPr>
          <w:p w14:paraId="188039C3" w14:textId="77777777" w:rsidR="007520C1" w:rsidRPr="00CA64DB" w:rsidRDefault="007520C1" w:rsidP="00E049DB">
            <w:pPr>
              <w:jc w:val="right"/>
              <w:rPr>
                <w:sz w:val="18"/>
                <w:szCs w:val="18"/>
              </w:rPr>
            </w:pPr>
            <w:r w:rsidRPr="00CA64DB">
              <w:rPr>
                <w:i/>
                <w:color w:val="000000"/>
                <w:sz w:val="18"/>
                <w:szCs w:val="18"/>
              </w:rPr>
              <w:fldChar w:fldCharType="begin">
                <w:ffData>
                  <w:name w:val="F_GEB_BD_target"/>
                  <w:enabled/>
                  <w:calcOnExit w:val="0"/>
                  <w:textInput/>
                </w:ffData>
              </w:fldChar>
            </w:r>
            <w:r w:rsidRPr="00CA64DB">
              <w:rPr>
                <w:i/>
                <w:color w:val="000000"/>
                <w:sz w:val="18"/>
                <w:szCs w:val="18"/>
              </w:rPr>
              <w:instrText xml:space="preserve"> FORMTEXT </w:instrText>
            </w:r>
            <w:r w:rsidRPr="00CA64DB">
              <w:rPr>
                <w:i/>
                <w:color w:val="000000"/>
                <w:sz w:val="18"/>
                <w:szCs w:val="18"/>
              </w:rPr>
            </w:r>
            <w:r w:rsidRPr="00CA64DB">
              <w:rPr>
                <w:i/>
                <w:color w:val="000000"/>
                <w:sz w:val="18"/>
                <w:szCs w:val="18"/>
              </w:rPr>
              <w:fldChar w:fldCharType="separate"/>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fldChar w:fldCharType="end"/>
            </w:r>
          </w:p>
        </w:tc>
        <w:tc>
          <w:tcPr>
            <w:tcW w:w="1306" w:type="dxa"/>
            <w:gridSpan w:val="2"/>
          </w:tcPr>
          <w:p w14:paraId="0A34AA50" w14:textId="77777777" w:rsidR="007520C1" w:rsidRPr="00CA64DB" w:rsidRDefault="007520C1" w:rsidP="00E049DB">
            <w:pPr>
              <w:jc w:val="right"/>
              <w:rPr>
                <w:sz w:val="18"/>
                <w:szCs w:val="18"/>
              </w:rPr>
            </w:pPr>
            <w:r w:rsidRPr="00CA64DB">
              <w:rPr>
                <w:i/>
                <w:color w:val="000000"/>
                <w:sz w:val="18"/>
                <w:szCs w:val="18"/>
              </w:rPr>
              <w:fldChar w:fldCharType="begin">
                <w:ffData>
                  <w:name w:val="F_GEB_BD_target"/>
                  <w:enabled/>
                  <w:calcOnExit w:val="0"/>
                  <w:textInput/>
                </w:ffData>
              </w:fldChar>
            </w:r>
            <w:r w:rsidRPr="00CA64DB">
              <w:rPr>
                <w:i/>
                <w:color w:val="000000"/>
                <w:sz w:val="18"/>
                <w:szCs w:val="18"/>
              </w:rPr>
              <w:instrText xml:space="preserve"> FORMTEXT </w:instrText>
            </w:r>
            <w:r w:rsidRPr="00CA64DB">
              <w:rPr>
                <w:i/>
                <w:color w:val="000000"/>
                <w:sz w:val="18"/>
                <w:szCs w:val="18"/>
              </w:rPr>
            </w:r>
            <w:r w:rsidRPr="00CA64DB">
              <w:rPr>
                <w:i/>
                <w:color w:val="000000"/>
                <w:sz w:val="18"/>
                <w:szCs w:val="18"/>
              </w:rPr>
              <w:fldChar w:fldCharType="separate"/>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fldChar w:fldCharType="end"/>
            </w:r>
          </w:p>
        </w:tc>
        <w:tc>
          <w:tcPr>
            <w:tcW w:w="1313" w:type="dxa"/>
            <w:gridSpan w:val="2"/>
          </w:tcPr>
          <w:p w14:paraId="21766295" w14:textId="77777777" w:rsidR="007520C1" w:rsidRPr="00CA64DB" w:rsidRDefault="007520C1" w:rsidP="00E049DB">
            <w:pPr>
              <w:jc w:val="right"/>
              <w:rPr>
                <w:sz w:val="18"/>
                <w:szCs w:val="18"/>
              </w:rPr>
            </w:pPr>
            <w:r w:rsidRPr="00CA64DB">
              <w:rPr>
                <w:i/>
                <w:color w:val="000000"/>
                <w:sz w:val="18"/>
                <w:szCs w:val="18"/>
              </w:rPr>
              <w:fldChar w:fldCharType="begin">
                <w:ffData>
                  <w:name w:val="F_GEB_BD_target"/>
                  <w:enabled/>
                  <w:calcOnExit w:val="0"/>
                  <w:textInput/>
                </w:ffData>
              </w:fldChar>
            </w:r>
            <w:r w:rsidRPr="00CA64DB">
              <w:rPr>
                <w:i/>
                <w:color w:val="000000"/>
                <w:sz w:val="18"/>
                <w:szCs w:val="18"/>
              </w:rPr>
              <w:instrText xml:space="preserve"> FORMTEXT </w:instrText>
            </w:r>
            <w:r w:rsidRPr="00CA64DB">
              <w:rPr>
                <w:i/>
                <w:color w:val="000000"/>
                <w:sz w:val="18"/>
                <w:szCs w:val="18"/>
              </w:rPr>
            </w:r>
            <w:r w:rsidRPr="00CA64DB">
              <w:rPr>
                <w:i/>
                <w:color w:val="000000"/>
                <w:sz w:val="18"/>
                <w:szCs w:val="18"/>
              </w:rPr>
              <w:fldChar w:fldCharType="separate"/>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fldChar w:fldCharType="end"/>
            </w:r>
          </w:p>
        </w:tc>
      </w:tr>
      <w:tr w:rsidR="007520C1" w:rsidRPr="004244E0" w14:paraId="14419863" w14:textId="77777777" w:rsidTr="00DB02C4">
        <w:trPr>
          <w:trHeight w:val="215"/>
        </w:trPr>
        <w:tc>
          <w:tcPr>
            <w:tcW w:w="3957" w:type="dxa"/>
            <w:gridSpan w:val="3"/>
            <w:vMerge/>
          </w:tcPr>
          <w:p w14:paraId="74C44283" w14:textId="77777777" w:rsidR="007520C1" w:rsidRPr="00CA64DB" w:rsidRDefault="007520C1" w:rsidP="00E049DB">
            <w:pPr>
              <w:jc w:val="right"/>
              <w:rPr>
                <w:sz w:val="18"/>
                <w:szCs w:val="18"/>
              </w:rPr>
            </w:pPr>
          </w:p>
        </w:tc>
        <w:tc>
          <w:tcPr>
            <w:tcW w:w="2782" w:type="dxa"/>
            <w:gridSpan w:val="2"/>
          </w:tcPr>
          <w:p w14:paraId="28388D1C" w14:textId="77777777" w:rsidR="007520C1" w:rsidRPr="00CA64DB" w:rsidRDefault="007520C1" w:rsidP="00E049DB">
            <w:pPr>
              <w:jc w:val="right"/>
              <w:rPr>
                <w:sz w:val="18"/>
                <w:szCs w:val="18"/>
              </w:rPr>
            </w:pPr>
            <w:r w:rsidRPr="00CA64DB">
              <w:rPr>
                <w:i/>
                <w:color w:val="000000"/>
                <w:sz w:val="18"/>
                <w:szCs w:val="18"/>
              </w:rPr>
              <w:fldChar w:fldCharType="begin">
                <w:ffData>
                  <w:name w:val="F_GEB_BD_target"/>
                  <w:enabled/>
                  <w:calcOnExit w:val="0"/>
                  <w:textInput/>
                </w:ffData>
              </w:fldChar>
            </w:r>
            <w:r w:rsidRPr="00CA64DB">
              <w:rPr>
                <w:i/>
                <w:color w:val="000000"/>
                <w:sz w:val="18"/>
                <w:szCs w:val="18"/>
              </w:rPr>
              <w:instrText xml:space="preserve"> FORMTEXT </w:instrText>
            </w:r>
            <w:r w:rsidRPr="00CA64DB">
              <w:rPr>
                <w:i/>
                <w:color w:val="000000"/>
                <w:sz w:val="18"/>
                <w:szCs w:val="18"/>
              </w:rPr>
            </w:r>
            <w:r w:rsidRPr="00CA64DB">
              <w:rPr>
                <w:i/>
                <w:color w:val="000000"/>
                <w:sz w:val="18"/>
                <w:szCs w:val="18"/>
              </w:rPr>
              <w:fldChar w:fldCharType="separate"/>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fldChar w:fldCharType="end"/>
            </w:r>
          </w:p>
        </w:tc>
        <w:tc>
          <w:tcPr>
            <w:tcW w:w="1477" w:type="dxa"/>
            <w:gridSpan w:val="2"/>
          </w:tcPr>
          <w:p w14:paraId="1C8A25D8" w14:textId="77777777" w:rsidR="007520C1" w:rsidRPr="00CA64DB" w:rsidRDefault="007520C1" w:rsidP="00E049DB">
            <w:pPr>
              <w:jc w:val="right"/>
              <w:rPr>
                <w:sz w:val="18"/>
                <w:szCs w:val="18"/>
              </w:rPr>
            </w:pPr>
            <w:r w:rsidRPr="00CA64DB">
              <w:rPr>
                <w:i/>
                <w:color w:val="000000"/>
                <w:sz w:val="18"/>
                <w:szCs w:val="18"/>
              </w:rPr>
              <w:fldChar w:fldCharType="begin">
                <w:ffData>
                  <w:name w:val="F_GEB_BD_target"/>
                  <w:enabled/>
                  <w:calcOnExit w:val="0"/>
                  <w:textInput/>
                </w:ffData>
              </w:fldChar>
            </w:r>
            <w:r w:rsidRPr="00CA64DB">
              <w:rPr>
                <w:i/>
                <w:color w:val="000000"/>
                <w:sz w:val="18"/>
                <w:szCs w:val="18"/>
              </w:rPr>
              <w:instrText xml:space="preserve"> FORMTEXT </w:instrText>
            </w:r>
            <w:r w:rsidRPr="00CA64DB">
              <w:rPr>
                <w:i/>
                <w:color w:val="000000"/>
                <w:sz w:val="18"/>
                <w:szCs w:val="18"/>
              </w:rPr>
            </w:r>
            <w:r w:rsidRPr="00CA64DB">
              <w:rPr>
                <w:i/>
                <w:color w:val="000000"/>
                <w:sz w:val="18"/>
                <w:szCs w:val="18"/>
              </w:rPr>
              <w:fldChar w:fldCharType="separate"/>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fldChar w:fldCharType="end"/>
            </w:r>
          </w:p>
        </w:tc>
        <w:tc>
          <w:tcPr>
            <w:tcW w:w="1306" w:type="dxa"/>
            <w:gridSpan w:val="2"/>
          </w:tcPr>
          <w:p w14:paraId="7ADA8B8F" w14:textId="77777777" w:rsidR="007520C1" w:rsidRPr="00CA64DB" w:rsidRDefault="007520C1" w:rsidP="00E049DB">
            <w:pPr>
              <w:jc w:val="right"/>
              <w:rPr>
                <w:sz w:val="18"/>
                <w:szCs w:val="18"/>
              </w:rPr>
            </w:pPr>
            <w:r w:rsidRPr="00CA64DB">
              <w:rPr>
                <w:i/>
                <w:color w:val="000000"/>
                <w:sz w:val="18"/>
                <w:szCs w:val="18"/>
              </w:rPr>
              <w:fldChar w:fldCharType="begin">
                <w:ffData>
                  <w:name w:val="F_GEB_BD_target"/>
                  <w:enabled/>
                  <w:calcOnExit w:val="0"/>
                  <w:textInput/>
                </w:ffData>
              </w:fldChar>
            </w:r>
            <w:r w:rsidRPr="00CA64DB">
              <w:rPr>
                <w:i/>
                <w:color w:val="000000"/>
                <w:sz w:val="18"/>
                <w:szCs w:val="18"/>
              </w:rPr>
              <w:instrText xml:space="preserve"> FORMTEXT </w:instrText>
            </w:r>
            <w:r w:rsidRPr="00CA64DB">
              <w:rPr>
                <w:i/>
                <w:color w:val="000000"/>
                <w:sz w:val="18"/>
                <w:szCs w:val="18"/>
              </w:rPr>
            </w:r>
            <w:r w:rsidRPr="00CA64DB">
              <w:rPr>
                <w:i/>
                <w:color w:val="000000"/>
                <w:sz w:val="18"/>
                <w:szCs w:val="18"/>
              </w:rPr>
              <w:fldChar w:fldCharType="separate"/>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fldChar w:fldCharType="end"/>
            </w:r>
          </w:p>
        </w:tc>
        <w:tc>
          <w:tcPr>
            <w:tcW w:w="1313" w:type="dxa"/>
            <w:gridSpan w:val="2"/>
          </w:tcPr>
          <w:p w14:paraId="2D28E0B7" w14:textId="77777777" w:rsidR="007520C1" w:rsidRPr="00CA64DB" w:rsidRDefault="007520C1" w:rsidP="00E049DB">
            <w:pPr>
              <w:jc w:val="right"/>
              <w:rPr>
                <w:sz w:val="18"/>
                <w:szCs w:val="18"/>
              </w:rPr>
            </w:pPr>
            <w:r w:rsidRPr="00CA64DB">
              <w:rPr>
                <w:i/>
                <w:color w:val="000000"/>
                <w:sz w:val="18"/>
                <w:szCs w:val="18"/>
              </w:rPr>
              <w:fldChar w:fldCharType="begin">
                <w:ffData>
                  <w:name w:val="F_GEB_BD_target"/>
                  <w:enabled/>
                  <w:calcOnExit w:val="0"/>
                  <w:textInput/>
                </w:ffData>
              </w:fldChar>
            </w:r>
            <w:r w:rsidRPr="00CA64DB">
              <w:rPr>
                <w:i/>
                <w:color w:val="000000"/>
                <w:sz w:val="18"/>
                <w:szCs w:val="18"/>
              </w:rPr>
              <w:instrText xml:space="preserve"> FORMTEXT </w:instrText>
            </w:r>
            <w:r w:rsidRPr="00CA64DB">
              <w:rPr>
                <w:i/>
                <w:color w:val="000000"/>
                <w:sz w:val="18"/>
                <w:szCs w:val="18"/>
              </w:rPr>
            </w:r>
            <w:r w:rsidRPr="00CA64DB">
              <w:rPr>
                <w:i/>
                <w:color w:val="000000"/>
                <w:sz w:val="18"/>
                <w:szCs w:val="18"/>
              </w:rPr>
              <w:fldChar w:fldCharType="separate"/>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fldChar w:fldCharType="end"/>
            </w:r>
          </w:p>
        </w:tc>
      </w:tr>
      <w:tr w:rsidR="007520C1" w:rsidRPr="004244E0" w14:paraId="663B9B02" w14:textId="77777777" w:rsidTr="00746B99">
        <w:tc>
          <w:tcPr>
            <w:tcW w:w="1298" w:type="dxa"/>
            <w:shd w:val="clear" w:color="auto" w:fill="FFFF00"/>
          </w:tcPr>
          <w:p w14:paraId="337FC184" w14:textId="77777777" w:rsidR="007520C1" w:rsidRPr="00CA64DB" w:rsidRDefault="007520C1" w:rsidP="00E049DB">
            <w:pPr>
              <w:rPr>
                <w:sz w:val="18"/>
                <w:szCs w:val="18"/>
              </w:rPr>
            </w:pPr>
            <w:r w:rsidRPr="00CA64DB">
              <w:rPr>
                <w:sz w:val="18"/>
                <w:szCs w:val="18"/>
              </w:rPr>
              <w:t>Indicator 4.3</w:t>
            </w:r>
          </w:p>
        </w:tc>
        <w:tc>
          <w:tcPr>
            <w:tcW w:w="6765" w:type="dxa"/>
            <w:gridSpan w:val="5"/>
            <w:shd w:val="clear" w:color="auto" w:fill="FFFF00"/>
          </w:tcPr>
          <w:p w14:paraId="472FBD98" w14:textId="77777777" w:rsidR="007520C1" w:rsidRPr="00CA64DB" w:rsidRDefault="007520C1" w:rsidP="00E049DB">
            <w:pPr>
              <w:rPr>
                <w:sz w:val="18"/>
                <w:szCs w:val="18"/>
              </w:rPr>
            </w:pPr>
            <w:r w:rsidRPr="00CA64DB">
              <w:rPr>
                <w:sz w:val="18"/>
                <w:szCs w:val="18"/>
              </w:rPr>
              <w:t>Area of landscapes under sustainable land management in production systems</w:t>
            </w:r>
          </w:p>
        </w:tc>
        <w:tc>
          <w:tcPr>
            <w:tcW w:w="2772" w:type="dxa"/>
            <w:gridSpan w:val="5"/>
            <w:shd w:val="clear" w:color="auto" w:fill="FFFF00"/>
          </w:tcPr>
          <w:p w14:paraId="0D89457E" w14:textId="77777777" w:rsidR="007520C1" w:rsidRPr="00CA64DB" w:rsidRDefault="007520C1" w:rsidP="00E049DB">
            <w:pPr>
              <w:jc w:val="right"/>
              <w:rPr>
                <w:sz w:val="18"/>
                <w:szCs w:val="18"/>
              </w:rPr>
            </w:pPr>
            <w:r w:rsidRPr="00CA64DB">
              <w:rPr>
                <w:i/>
                <w:color w:val="000000"/>
                <w:sz w:val="18"/>
                <w:szCs w:val="18"/>
              </w:rPr>
              <w:fldChar w:fldCharType="begin">
                <w:ffData>
                  <w:name w:val="F_GEB_BD_target"/>
                  <w:enabled/>
                  <w:calcOnExit w:val="0"/>
                  <w:textInput/>
                </w:ffData>
              </w:fldChar>
            </w:r>
            <w:r w:rsidRPr="00CA64DB">
              <w:rPr>
                <w:i/>
                <w:color w:val="000000"/>
                <w:sz w:val="18"/>
                <w:szCs w:val="18"/>
              </w:rPr>
              <w:instrText xml:space="preserve"> FORMTEXT </w:instrText>
            </w:r>
            <w:r w:rsidRPr="00CA64DB">
              <w:rPr>
                <w:i/>
                <w:color w:val="000000"/>
                <w:sz w:val="18"/>
                <w:szCs w:val="18"/>
              </w:rPr>
            </w:r>
            <w:r w:rsidRPr="00CA64DB">
              <w:rPr>
                <w:i/>
                <w:color w:val="000000"/>
                <w:sz w:val="18"/>
                <w:szCs w:val="18"/>
              </w:rPr>
              <w:fldChar w:fldCharType="separate"/>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fldChar w:fldCharType="end"/>
            </w:r>
          </w:p>
        </w:tc>
      </w:tr>
      <w:tr w:rsidR="007520C1" w:rsidRPr="004244E0" w14:paraId="2440AA4A" w14:textId="77777777" w:rsidTr="00746B99">
        <w:trPr>
          <w:trHeight w:val="125"/>
        </w:trPr>
        <w:tc>
          <w:tcPr>
            <w:tcW w:w="1298" w:type="dxa"/>
            <w:vMerge w:val="restart"/>
            <w:shd w:val="clear" w:color="auto" w:fill="FFFF00"/>
          </w:tcPr>
          <w:p w14:paraId="17B68A53" w14:textId="77777777" w:rsidR="007520C1" w:rsidRPr="00CA64DB" w:rsidRDefault="007520C1" w:rsidP="00E049DB">
            <w:pPr>
              <w:rPr>
                <w:sz w:val="18"/>
                <w:szCs w:val="18"/>
              </w:rPr>
            </w:pPr>
          </w:p>
        </w:tc>
        <w:tc>
          <w:tcPr>
            <w:tcW w:w="933" w:type="dxa"/>
            <w:vMerge w:val="restart"/>
            <w:shd w:val="clear" w:color="auto" w:fill="FFFF00"/>
          </w:tcPr>
          <w:p w14:paraId="50E54986" w14:textId="77777777" w:rsidR="007520C1" w:rsidRPr="00CA64DB" w:rsidRDefault="007520C1" w:rsidP="00E049DB">
            <w:pPr>
              <w:rPr>
                <w:sz w:val="18"/>
                <w:szCs w:val="18"/>
              </w:rPr>
            </w:pPr>
          </w:p>
        </w:tc>
        <w:tc>
          <w:tcPr>
            <w:tcW w:w="1726" w:type="dxa"/>
            <w:vMerge w:val="restart"/>
            <w:shd w:val="clear" w:color="auto" w:fill="FFFF00"/>
          </w:tcPr>
          <w:p w14:paraId="07427C70" w14:textId="77777777" w:rsidR="007520C1" w:rsidRPr="00CA64DB" w:rsidRDefault="007520C1" w:rsidP="00E049DB">
            <w:pPr>
              <w:rPr>
                <w:sz w:val="18"/>
                <w:szCs w:val="18"/>
              </w:rPr>
            </w:pPr>
          </w:p>
        </w:tc>
        <w:tc>
          <w:tcPr>
            <w:tcW w:w="6878" w:type="dxa"/>
            <w:gridSpan w:val="8"/>
            <w:shd w:val="clear" w:color="auto" w:fill="FFFF00"/>
          </w:tcPr>
          <w:p w14:paraId="1CAC979A" w14:textId="77777777" w:rsidR="007520C1" w:rsidRPr="00CA64DB" w:rsidRDefault="007520C1" w:rsidP="00E049DB">
            <w:pPr>
              <w:jc w:val="center"/>
              <w:rPr>
                <w:sz w:val="18"/>
                <w:szCs w:val="18"/>
              </w:rPr>
            </w:pPr>
            <w:r w:rsidRPr="00CA64DB">
              <w:rPr>
                <w:sz w:val="18"/>
                <w:szCs w:val="18"/>
              </w:rPr>
              <w:t>Hectares</w:t>
            </w:r>
          </w:p>
        </w:tc>
      </w:tr>
      <w:tr w:rsidR="007520C1" w:rsidRPr="004244E0" w14:paraId="27B97503" w14:textId="77777777" w:rsidTr="00746B99">
        <w:trPr>
          <w:trHeight w:val="58"/>
        </w:trPr>
        <w:tc>
          <w:tcPr>
            <w:tcW w:w="1298" w:type="dxa"/>
            <w:vMerge/>
            <w:shd w:val="clear" w:color="auto" w:fill="FFFF00"/>
          </w:tcPr>
          <w:p w14:paraId="5FD1AD53" w14:textId="77777777" w:rsidR="007520C1" w:rsidRPr="00CA64DB" w:rsidRDefault="007520C1" w:rsidP="00E049DB">
            <w:pPr>
              <w:rPr>
                <w:sz w:val="18"/>
                <w:szCs w:val="18"/>
              </w:rPr>
            </w:pPr>
          </w:p>
        </w:tc>
        <w:tc>
          <w:tcPr>
            <w:tcW w:w="933" w:type="dxa"/>
            <w:vMerge/>
            <w:shd w:val="clear" w:color="auto" w:fill="FFFF00"/>
          </w:tcPr>
          <w:p w14:paraId="09F33E32" w14:textId="77777777" w:rsidR="007520C1" w:rsidRPr="00CA64DB" w:rsidRDefault="007520C1" w:rsidP="00E049DB">
            <w:pPr>
              <w:rPr>
                <w:sz w:val="18"/>
                <w:szCs w:val="18"/>
              </w:rPr>
            </w:pPr>
          </w:p>
        </w:tc>
        <w:tc>
          <w:tcPr>
            <w:tcW w:w="1726" w:type="dxa"/>
            <w:vMerge/>
            <w:shd w:val="clear" w:color="auto" w:fill="FFFF00"/>
          </w:tcPr>
          <w:p w14:paraId="53A5AD00" w14:textId="77777777" w:rsidR="007520C1" w:rsidRPr="00CA64DB" w:rsidRDefault="007520C1" w:rsidP="00E049DB">
            <w:pPr>
              <w:rPr>
                <w:sz w:val="18"/>
                <w:szCs w:val="18"/>
              </w:rPr>
            </w:pPr>
          </w:p>
        </w:tc>
        <w:tc>
          <w:tcPr>
            <w:tcW w:w="4106" w:type="dxa"/>
            <w:gridSpan w:val="3"/>
            <w:shd w:val="clear" w:color="auto" w:fill="FFFF00"/>
          </w:tcPr>
          <w:p w14:paraId="15EAB29E" w14:textId="77777777" w:rsidR="007520C1" w:rsidRPr="00CA64DB" w:rsidRDefault="007520C1" w:rsidP="00E049DB">
            <w:pPr>
              <w:jc w:val="center"/>
              <w:rPr>
                <w:sz w:val="18"/>
                <w:szCs w:val="18"/>
              </w:rPr>
            </w:pPr>
            <w:r w:rsidRPr="00CA64DB">
              <w:rPr>
                <w:sz w:val="18"/>
                <w:szCs w:val="18"/>
              </w:rPr>
              <w:t>Expected</w:t>
            </w:r>
          </w:p>
        </w:tc>
        <w:tc>
          <w:tcPr>
            <w:tcW w:w="2772" w:type="dxa"/>
            <w:gridSpan w:val="5"/>
            <w:shd w:val="clear" w:color="auto" w:fill="FFFF00"/>
          </w:tcPr>
          <w:p w14:paraId="67D3142A" w14:textId="77777777" w:rsidR="007520C1" w:rsidRPr="00CA64DB" w:rsidRDefault="007520C1" w:rsidP="00E049DB">
            <w:pPr>
              <w:jc w:val="center"/>
              <w:rPr>
                <w:sz w:val="18"/>
                <w:szCs w:val="18"/>
              </w:rPr>
            </w:pPr>
            <w:r w:rsidRPr="00CA64DB">
              <w:rPr>
                <w:sz w:val="18"/>
                <w:szCs w:val="18"/>
              </w:rPr>
              <w:t>Achieved</w:t>
            </w:r>
          </w:p>
        </w:tc>
      </w:tr>
      <w:tr w:rsidR="007520C1" w:rsidRPr="004244E0" w14:paraId="0CB6AF01" w14:textId="77777777" w:rsidTr="00746B99">
        <w:trPr>
          <w:trHeight w:val="58"/>
        </w:trPr>
        <w:tc>
          <w:tcPr>
            <w:tcW w:w="1298" w:type="dxa"/>
            <w:vMerge/>
            <w:shd w:val="clear" w:color="auto" w:fill="FFFF00"/>
          </w:tcPr>
          <w:p w14:paraId="10CAC132" w14:textId="77777777" w:rsidR="007520C1" w:rsidRPr="00CA64DB" w:rsidRDefault="007520C1" w:rsidP="00E049DB">
            <w:pPr>
              <w:rPr>
                <w:sz w:val="18"/>
                <w:szCs w:val="18"/>
              </w:rPr>
            </w:pPr>
          </w:p>
        </w:tc>
        <w:tc>
          <w:tcPr>
            <w:tcW w:w="933" w:type="dxa"/>
            <w:vMerge/>
            <w:shd w:val="clear" w:color="auto" w:fill="FFFF00"/>
          </w:tcPr>
          <w:p w14:paraId="4D624B1E" w14:textId="77777777" w:rsidR="007520C1" w:rsidRPr="00CA64DB" w:rsidRDefault="007520C1" w:rsidP="00E049DB">
            <w:pPr>
              <w:rPr>
                <w:sz w:val="18"/>
                <w:szCs w:val="18"/>
              </w:rPr>
            </w:pPr>
          </w:p>
        </w:tc>
        <w:tc>
          <w:tcPr>
            <w:tcW w:w="1726" w:type="dxa"/>
            <w:vMerge/>
            <w:shd w:val="clear" w:color="auto" w:fill="FFFF00"/>
          </w:tcPr>
          <w:p w14:paraId="4EE8A154" w14:textId="77777777" w:rsidR="007520C1" w:rsidRPr="00CA64DB" w:rsidRDefault="007520C1" w:rsidP="00E049DB">
            <w:pPr>
              <w:rPr>
                <w:sz w:val="18"/>
                <w:szCs w:val="18"/>
              </w:rPr>
            </w:pPr>
          </w:p>
        </w:tc>
        <w:tc>
          <w:tcPr>
            <w:tcW w:w="2782" w:type="dxa"/>
            <w:gridSpan w:val="2"/>
            <w:shd w:val="clear" w:color="auto" w:fill="FFFF00"/>
          </w:tcPr>
          <w:p w14:paraId="4D81EEC7" w14:textId="77777777" w:rsidR="007520C1" w:rsidRPr="00CA64DB" w:rsidRDefault="007520C1" w:rsidP="00E049DB">
            <w:pPr>
              <w:jc w:val="center"/>
              <w:rPr>
                <w:sz w:val="18"/>
                <w:szCs w:val="18"/>
              </w:rPr>
            </w:pPr>
            <w:r w:rsidRPr="00CA64DB">
              <w:rPr>
                <w:sz w:val="18"/>
                <w:szCs w:val="18"/>
              </w:rPr>
              <w:t>PIF stage</w:t>
            </w:r>
          </w:p>
        </w:tc>
        <w:tc>
          <w:tcPr>
            <w:tcW w:w="1485" w:type="dxa"/>
            <w:gridSpan w:val="3"/>
            <w:shd w:val="clear" w:color="auto" w:fill="FFFF00"/>
          </w:tcPr>
          <w:p w14:paraId="0CB22B47" w14:textId="77777777" w:rsidR="007520C1" w:rsidRPr="00CA64DB" w:rsidRDefault="007520C1" w:rsidP="00E049DB">
            <w:pPr>
              <w:jc w:val="center"/>
              <w:rPr>
                <w:sz w:val="18"/>
                <w:szCs w:val="18"/>
              </w:rPr>
            </w:pPr>
            <w:r w:rsidRPr="00CA64DB">
              <w:rPr>
                <w:sz w:val="18"/>
                <w:szCs w:val="18"/>
              </w:rPr>
              <w:t>Endorsement</w:t>
            </w:r>
          </w:p>
        </w:tc>
        <w:tc>
          <w:tcPr>
            <w:tcW w:w="1324" w:type="dxa"/>
            <w:gridSpan w:val="2"/>
            <w:shd w:val="clear" w:color="auto" w:fill="FFFF00"/>
          </w:tcPr>
          <w:p w14:paraId="2A32F43F" w14:textId="77777777" w:rsidR="007520C1" w:rsidRPr="00CA64DB" w:rsidRDefault="007520C1" w:rsidP="00E049DB">
            <w:pPr>
              <w:jc w:val="center"/>
              <w:rPr>
                <w:sz w:val="18"/>
                <w:szCs w:val="18"/>
              </w:rPr>
            </w:pPr>
            <w:r w:rsidRPr="00CA64DB">
              <w:rPr>
                <w:sz w:val="18"/>
                <w:szCs w:val="18"/>
              </w:rPr>
              <w:t>MTR</w:t>
            </w:r>
          </w:p>
        </w:tc>
        <w:tc>
          <w:tcPr>
            <w:tcW w:w="1287" w:type="dxa"/>
            <w:shd w:val="clear" w:color="auto" w:fill="FFFF00"/>
          </w:tcPr>
          <w:p w14:paraId="7FD0EA3A" w14:textId="77777777" w:rsidR="007520C1" w:rsidRPr="00CA64DB" w:rsidRDefault="007520C1" w:rsidP="00E049DB">
            <w:pPr>
              <w:jc w:val="center"/>
              <w:rPr>
                <w:sz w:val="18"/>
                <w:szCs w:val="18"/>
              </w:rPr>
            </w:pPr>
            <w:r w:rsidRPr="00CA64DB">
              <w:rPr>
                <w:sz w:val="18"/>
                <w:szCs w:val="18"/>
              </w:rPr>
              <w:t>TE</w:t>
            </w:r>
          </w:p>
        </w:tc>
      </w:tr>
      <w:tr w:rsidR="007520C1" w:rsidRPr="004244E0" w14:paraId="0AFAC2E5" w14:textId="77777777" w:rsidTr="00746B99">
        <w:tc>
          <w:tcPr>
            <w:tcW w:w="1298" w:type="dxa"/>
            <w:shd w:val="clear" w:color="auto" w:fill="FFFF00"/>
          </w:tcPr>
          <w:p w14:paraId="57647D9F" w14:textId="77777777" w:rsidR="007520C1" w:rsidRPr="00CA64DB" w:rsidRDefault="007520C1" w:rsidP="00E049DB">
            <w:pPr>
              <w:jc w:val="right"/>
              <w:rPr>
                <w:sz w:val="18"/>
                <w:szCs w:val="18"/>
              </w:rPr>
            </w:pPr>
          </w:p>
        </w:tc>
        <w:tc>
          <w:tcPr>
            <w:tcW w:w="933" w:type="dxa"/>
            <w:shd w:val="clear" w:color="auto" w:fill="FFFF00"/>
          </w:tcPr>
          <w:p w14:paraId="453428CF" w14:textId="77777777" w:rsidR="007520C1" w:rsidRPr="00CA64DB" w:rsidRDefault="007520C1" w:rsidP="00E049DB">
            <w:pPr>
              <w:jc w:val="right"/>
              <w:rPr>
                <w:sz w:val="18"/>
                <w:szCs w:val="18"/>
              </w:rPr>
            </w:pPr>
          </w:p>
        </w:tc>
        <w:tc>
          <w:tcPr>
            <w:tcW w:w="1726" w:type="dxa"/>
            <w:shd w:val="clear" w:color="auto" w:fill="FFFF00"/>
          </w:tcPr>
          <w:p w14:paraId="7D0E6430" w14:textId="77777777" w:rsidR="007520C1" w:rsidRPr="00CA64DB" w:rsidRDefault="007520C1" w:rsidP="00E049DB">
            <w:pPr>
              <w:jc w:val="right"/>
              <w:rPr>
                <w:sz w:val="18"/>
                <w:szCs w:val="18"/>
              </w:rPr>
            </w:pPr>
          </w:p>
        </w:tc>
        <w:tc>
          <w:tcPr>
            <w:tcW w:w="2782" w:type="dxa"/>
            <w:gridSpan w:val="2"/>
            <w:shd w:val="clear" w:color="auto" w:fill="FFFF00"/>
          </w:tcPr>
          <w:p w14:paraId="2C268138" w14:textId="77777777" w:rsidR="007520C1" w:rsidRPr="00CA64DB" w:rsidRDefault="007520C1" w:rsidP="00E049DB">
            <w:pPr>
              <w:jc w:val="right"/>
              <w:rPr>
                <w:sz w:val="18"/>
                <w:szCs w:val="18"/>
              </w:rPr>
            </w:pPr>
            <w:r w:rsidRPr="00CA64DB">
              <w:rPr>
                <w:i/>
                <w:color w:val="000000"/>
                <w:sz w:val="18"/>
                <w:szCs w:val="18"/>
              </w:rPr>
              <w:fldChar w:fldCharType="begin">
                <w:ffData>
                  <w:name w:val="F_GEB_BD_target"/>
                  <w:enabled/>
                  <w:calcOnExit w:val="0"/>
                  <w:textInput/>
                </w:ffData>
              </w:fldChar>
            </w:r>
            <w:r w:rsidRPr="00CA64DB">
              <w:rPr>
                <w:i/>
                <w:color w:val="000000"/>
                <w:sz w:val="18"/>
                <w:szCs w:val="18"/>
              </w:rPr>
              <w:instrText xml:space="preserve"> FORMTEXT </w:instrText>
            </w:r>
            <w:r w:rsidRPr="00CA64DB">
              <w:rPr>
                <w:i/>
                <w:color w:val="000000"/>
                <w:sz w:val="18"/>
                <w:szCs w:val="18"/>
              </w:rPr>
            </w:r>
            <w:r w:rsidRPr="00CA64DB">
              <w:rPr>
                <w:i/>
                <w:color w:val="000000"/>
                <w:sz w:val="18"/>
                <w:szCs w:val="18"/>
              </w:rPr>
              <w:fldChar w:fldCharType="separate"/>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fldChar w:fldCharType="end"/>
            </w:r>
          </w:p>
        </w:tc>
        <w:tc>
          <w:tcPr>
            <w:tcW w:w="1485" w:type="dxa"/>
            <w:gridSpan w:val="3"/>
            <w:shd w:val="clear" w:color="auto" w:fill="FFFF00"/>
          </w:tcPr>
          <w:p w14:paraId="5C381DE1" w14:textId="77777777" w:rsidR="007520C1" w:rsidRPr="00CA64DB" w:rsidRDefault="007520C1" w:rsidP="00E049DB">
            <w:pPr>
              <w:jc w:val="right"/>
              <w:rPr>
                <w:sz w:val="18"/>
                <w:szCs w:val="18"/>
              </w:rPr>
            </w:pPr>
            <w:r w:rsidRPr="00CA64DB">
              <w:rPr>
                <w:i/>
                <w:color w:val="000000"/>
                <w:sz w:val="18"/>
                <w:szCs w:val="18"/>
              </w:rPr>
              <w:fldChar w:fldCharType="begin">
                <w:ffData>
                  <w:name w:val="F_GEB_BD_target"/>
                  <w:enabled/>
                  <w:calcOnExit w:val="0"/>
                  <w:textInput/>
                </w:ffData>
              </w:fldChar>
            </w:r>
            <w:r w:rsidRPr="00CA64DB">
              <w:rPr>
                <w:i/>
                <w:color w:val="000000"/>
                <w:sz w:val="18"/>
                <w:szCs w:val="18"/>
              </w:rPr>
              <w:instrText xml:space="preserve"> FORMTEXT </w:instrText>
            </w:r>
            <w:r w:rsidRPr="00CA64DB">
              <w:rPr>
                <w:i/>
                <w:color w:val="000000"/>
                <w:sz w:val="18"/>
                <w:szCs w:val="18"/>
              </w:rPr>
            </w:r>
            <w:r w:rsidRPr="00CA64DB">
              <w:rPr>
                <w:i/>
                <w:color w:val="000000"/>
                <w:sz w:val="18"/>
                <w:szCs w:val="18"/>
              </w:rPr>
              <w:fldChar w:fldCharType="separate"/>
            </w:r>
            <w:r w:rsidRPr="00CA64DB">
              <w:rPr>
                <w:i/>
                <w:color w:val="000000"/>
                <w:sz w:val="18"/>
                <w:szCs w:val="18"/>
              </w:rPr>
              <w:t>569,900</w:t>
            </w:r>
            <w:r w:rsidRPr="00CA64DB">
              <w:rPr>
                <w:i/>
                <w:color w:val="000000"/>
                <w:sz w:val="18"/>
                <w:szCs w:val="18"/>
              </w:rPr>
              <w:fldChar w:fldCharType="end"/>
            </w:r>
          </w:p>
        </w:tc>
        <w:tc>
          <w:tcPr>
            <w:tcW w:w="1324" w:type="dxa"/>
            <w:gridSpan w:val="2"/>
            <w:shd w:val="clear" w:color="auto" w:fill="FFFF00"/>
          </w:tcPr>
          <w:p w14:paraId="6FDF2716" w14:textId="77777777" w:rsidR="007520C1" w:rsidRPr="00CA64DB" w:rsidRDefault="007520C1" w:rsidP="00E049DB">
            <w:pPr>
              <w:jc w:val="right"/>
              <w:rPr>
                <w:sz w:val="18"/>
                <w:szCs w:val="18"/>
              </w:rPr>
            </w:pPr>
            <w:r w:rsidRPr="00CA64DB">
              <w:rPr>
                <w:i/>
                <w:color w:val="000000"/>
                <w:sz w:val="18"/>
                <w:szCs w:val="18"/>
              </w:rPr>
              <w:fldChar w:fldCharType="begin">
                <w:ffData>
                  <w:name w:val="F_GEB_BD_target"/>
                  <w:enabled/>
                  <w:calcOnExit w:val="0"/>
                  <w:textInput/>
                </w:ffData>
              </w:fldChar>
            </w:r>
            <w:r w:rsidRPr="00CA64DB">
              <w:rPr>
                <w:i/>
                <w:color w:val="000000"/>
                <w:sz w:val="18"/>
                <w:szCs w:val="18"/>
              </w:rPr>
              <w:instrText xml:space="preserve"> FORMTEXT </w:instrText>
            </w:r>
            <w:r w:rsidRPr="00CA64DB">
              <w:rPr>
                <w:i/>
                <w:color w:val="000000"/>
                <w:sz w:val="18"/>
                <w:szCs w:val="18"/>
              </w:rPr>
            </w:r>
            <w:r w:rsidRPr="00CA64DB">
              <w:rPr>
                <w:i/>
                <w:color w:val="000000"/>
                <w:sz w:val="18"/>
                <w:szCs w:val="18"/>
              </w:rPr>
              <w:fldChar w:fldCharType="separate"/>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fldChar w:fldCharType="end"/>
            </w:r>
          </w:p>
        </w:tc>
        <w:tc>
          <w:tcPr>
            <w:tcW w:w="1287" w:type="dxa"/>
            <w:shd w:val="clear" w:color="auto" w:fill="FFFF00"/>
          </w:tcPr>
          <w:p w14:paraId="5EEB7BD7" w14:textId="77777777" w:rsidR="007520C1" w:rsidRPr="00CA64DB" w:rsidRDefault="007520C1" w:rsidP="00E049DB">
            <w:pPr>
              <w:jc w:val="right"/>
              <w:rPr>
                <w:sz w:val="18"/>
                <w:szCs w:val="18"/>
              </w:rPr>
            </w:pPr>
            <w:r w:rsidRPr="00CA64DB">
              <w:rPr>
                <w:i/>
                <w:color w:val="000000"/>
                <w:sz w:val="18"/>
                <w:szCs w:val="18"/>
              </w:rPr>
              <w:fldChar w:fldCharType="begin">
                <w:ffData>
                  <w:name w:val="F_GEB_BD_target"/>
                  <w:enabled/>
                  <w:calcOnExit w:val="0"/>
                  <w:textInput/>
                </w:ffData>
              </w:fldChar>
            </w:r>
            <w:r w:rsidRPr="00CA64DB">
              <w:rPr>
                <w:i/>
                <w:color w:val="000000"/>
                <w:sz w:val="18"/>
                <w:szCs w:val="18"/>
              </w:rPr>
              <w:instrText xml:space="preserve"> FORMTEXT </w:instrText>
            </w:r>
            <w:r w:rsidRPr="00CA64DB">
              <w:rPr>
                <w:i/>
                <w:color w:val="000000"/>
                <w:sz w:val="18"/>
                <w:szCs w:val="18"/>
              </w:rPr>
            </w:r>
            <w:r w:rsidRPr="00CA64DB">
              <w:rPr>
                <w:i/>
                <w:color w:val="000000"/>
                <w:sz w:val="18"/>
                <w:szCs w:val="18"/>
              </w:rPr>
              <w:fldChar w:fldCharType="separate"/>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fldChar w:fldCharType="end"/>
            </w:r>
          </w:p>
        </w:tc>
      </w:tr>
      <w:tr w:rsidR="007520C1" w:rsidRPr="004244E0" w14:paraId="2DEA2609" w14:textId="77777777" w:rsidTr="00746B99">
        <w:tc>
          <w:tcPr>
            <w:tcW w:w="1298" w:type="dxa"/>
            <w:shd w:val="clear" w:color="auto" w:fill="FFFF00"/>
          </w:tcPr>
          <w:p w14:paraId="51139239" w14:textId="77777777" w:rsidR="007520C1" w:rsidRPr="00CA64DB" w:rsidRDefault="007520C1" w:rsidP="00E049DB">
            <w:pPr>
              <w:jc w:val="right"/>
              <w:rPr>
                <w:sz w:val="18"/>
                <w:szCs w:val="18"/>
              </w:rPr>
            </w:pPr>
          </w:p>
        </w:tc>
        <w:tc>
          <w:tcPr>
            <w:tcW w:w="933" w:type="dxa"/>
            <w:shd w:val="clear" w:color="auto" w:fill="FFFF00"/>
          </w:tcPr>
          <w:p w14:paraId="76DD7609" w14:textId="77777777" w:rsidR="007520C1" w:rsidRPr="00CA64DB" w:rsidRDefault="007520C1" w:rsidP="00E049DB">
            <w:pPr>
              <w:jc w:val="right"/>
              <w:rPr>
                <w:sz w:val="18"/>
                <w:szCs w:val="18"/>
              </w:rPr>
            </w:pPr>
          </w:p>
        </w:tc>
        <w:tc>
          <w:tcPr>
            <w:tcW w:w="1726" w:type="dxa"/>
            <w:shd w:val="clear" w:color="auto" w:fill="FFFF00"/>
          </w:tcPr>
          <w:p w14:paraId="2906359A" w14:textId="77777777" w:rsidR="007520C1" w:rsidRPr="00CA64DB" w:rsidRDefault="007520C1" w:rsidP="00E049DB">
            <w:pPr>
              <w:jc w:val="right"/>
              <w:rPr>
                <w:sz w:val="18"/>
                <w:szCs w:val="18"/>
              </w:rPr>
            </w:pPr>
          </w:p>
        </w:tc>
        <w:tc>
          <w:tcPr>
            <w:tcW w:w="2782" w:type="dxa"/>
            <w:gridSpan w:val="2"/>
            <w:shd w:val="clear" w:color="auto" w:fill="FFFF00"/>
          </w:tcPr>
          <w:p w14:paraId="6E431202" w14:textId="77777777" w:rsidR="007520C1" w:rsidRPr="00CA64DB" w:rsidRDefault="007520C1" w:rsidP="00E049DB">
            <w:pPr>
              <w:jc w:val="right"/>
              <w:rPr>
                <w:sz w:val="18"/>
                <w:szCs w:val="18"/>
              </w:rPr>
            </w:pPr>
            <w:r w:rsidRPr="00CA64DB">
              <w:rPr>
                <w:i/>
                <w:color w:val="000000"/>
                <w:sz w:val="18"/>
                <w:szCs w:val="18"/>
              </w:rPr>
              <w:fldChar w:fldCharType="begin">
                <w:ffData>
                  <w:name w:val="F_GEB_BD_target"/>
                  <w:enabled/>
                  <w:calcOnExit w:val="0"/>
                  <w:textInput/>
                </w:ffData>
              </w:fldChar>
            </w:r>
            <w:r w:rsidRPr="00CA64DB">
              <w:rPr>
                <w:i/>
                <w:color w:val="000000"/>
                <w:sz w:val="18"/>
                <w:szCs w:val="18"/>
              </w:rPr>
              <w:instrText xml:space="preserve"> FORMTEXT </w:instrText>
            </w:r>
            <w:r w:rsidRPr="00CA64DB">
              <w:rPr>
                <w:i/>
                <w:color w:val="000000"/>
                <w:sz w:val="18"/>
                <w:szCs w:val="18"/>
              </w:rPr>
            </w:r>
            <w:r w:rsidRPr="00CA64DB">
              <w:rPr>
                <w:i/>
                <w:color w:val="000000"/>
                <w:sz w:val="18"/>
                <w:szCs w:val="18"/>
              </w:rPr>
              <w:fldChar w:fldCharType="separate"/>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fldChar w:fldCharType="end"/>
            </w:r>
          </w:p>
        </w:tc>
        <w:tc>
          <w:tcPr>
            <w:tcW w:w="1485" w:type="dxa"/>
            <w:gridSpan w:val="3"/>
            <w:shd w:val="clear" w:color="auto" w:fill="FFFF00"/>
          </w:tcPr>
          <w:p w14:paraId="1E16D85B" w14:textId="77777777" w:rsidR="007520C1" w:rsidRPr="00CA64DB" w:rsidRDefault="007520C1" w:rsidP="00E049DB">
            <w:pPr>
              <w:jc w:val="right"/>
              <w:rPr>
                <w:sz w:val="18"/>
                <w:szCs w:val="18"/>
              </w:rPr>
            </w:pPr>
            <w:r w:rsidRPr="00CA64DB">
              <w:rPr>
                <w:i/>
                <w:color w:val="000000"/>
                <w:sz w:val="18"/>
                <w:szCs w:val="18"/>
              </w:rPr>
              <w:fldChar w:fldCharType="begin">
                <w:ffData>
                  <w:name w:val="F_GEB_BD_target"/>
                  <w:enabled/>
                  <w:calcOnExit w:val="0"/>
                  <w:textInput/>
                </w:ffData>
              </w:fldChar>
            </w:r>
            <w:r w:rsidRPr="00CA64DB">
              <w:rPr>
                <w:i/>
                <w:color w:val="000000"/>
                <w:sz w:val="18"/>
                <w:szCs w:val="18"/>
              </w:rPr>
              <w:instrText xml:space="preserve"> FORMTEXT </w:instrText>
            </w:r>
            <w:r w:rsidRPr="00CA64DB">
              <w:rPr>
                <w:i/>
                <w:color w:val="000000"/>
                <w:sz w:val="18"/>
                <w:szCs w:val="18"/>
              </w:rPr>
            </w:r>
            <w:r w:rsidRPr="00CA64DB">
              <w:rPr>
                <w:i/>
                <w:color w:val="000000"/>
                <w:sz w:val="18"/>
                <w:szCs w:val="18"/>
              </w:rPr>
              <w:fldChar w:fldCharType="separate"/>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fldChar w:fldCharType="end"/>
            </w:r>
          </w:p>
        </w:tc>
        <w:tc>
          <w:tcPr>
            <w:tcW w:w="1324" w:type="dxa"/>
            <w:gridSpan w:val="2"/>
            <w:shd w:val="clear" w:color="auto" w:fill="FFFF00"/>
          </w:tcPr>
          <w:p w14:paraId="6D76D7D3" w14:textId="77777777" w:rsidR="007520C1" w:rsidRPr="00CA64DB" w:rsidRDefault="007520C1" w:rsidP="00E049DB">
            <w:pPr>
              <w:jc w:val="right"/>
              <w:rPr>
                <w:sz w:val="18"/>
                <w:szCs w:val="18"/>
              </w:rPr>
            </w:pPr>
            <w:r w:rsidRPr="00CA64DB">
              <w:rPr>
                <w:i/>
                <w:color w:val="000000"/>
                <w:sz w:val="18"/>
                <w:szCs w:val="18"/>
              </w:rPr>
              <w:fldChar w:fldCharType="begin">
                <w:ffData>
                  <w:name w:val="F_GEB_BD_target"/>
                  <w:enabled/>
                  <w:calcOnExit w:val="0"/>
                  <w:textInput/>
                </w:ffData>
              </w:fldChar>
            </w:r>
            <w:r w:rsidRPr="00CA64DB">
              <w:rPr>
                <w:i/>
                <w:color w:val="000000"/>
                <w:sz w:val="18"/>
                <w:szCs w:val="18"/>
              </w:rPr>
              <w:instrText xml:space="preserve"> FORMTEXT </w:instrText>
            </w:r>
            <w:r w:rsidRPr="00CA64DB">
              <w:rPr>
                <w:i/>
                <w:color w:val="000000"/>
                <w:sz w:val="18"/>
                <w:szCs w:val="18"/>
              </w:rPr>
            </w:r>
            <w:r w:rsidRPr="00CA64DB">
              <w:rPr>
                <w:i/>
                <w:color w:val="000000"/>
                <w:sz w:val="18"/>
                <w:szCs w:val="18"/>
              </w:rPr>
              <w:fldChar w:fldCharType="separate"/>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fldChar w:fldCharType="end"/>
            </w:r>
          </w:p>
        </w:tc>
        <w:tc>
          <w:tcPr>
            <w:tcW w:w="1287" w:type="dxa"/>
            <w:shd w:val="clear" w:color="auto" w:fill="FFFF00"/>
          </w:tcPr>
          <w:p w14:paraId="03429F69" w14:textId="77777777" w:rsidR="007520C1" w:rsidRPr="00CA64DB" w:rsidRDefault="007520C1" w:rsidP="00E049DB">
            <w:pPr>
              <w:jc w:val="right"/>
              <w:rPr>
                <w:sz w:val="18"/>
                <w:szCs w:val="18"/>
              </w:rPr>
            </w:pPr>
            <w:r w:rsidRPr="00CA64DB">
              <w:rPr>
                <w:i/>
                <w:color w:val="000000"/>
                <w:sz w:val="18"/>
                <w:szCs w:val="18"/>
              </w:rPr>
              <w:fldChar w:fldCharType="begin">
                <w:ffData>
                  <w:name w:val="F_GEB_BD_target"/>
                  <w:enabled/>
                  <w:calcOnExit w:val="0"/>
                  <w:textInput/>
                </w:ffData>
              </w:fldChar>
            </w:r>
            <w:r w:rsidRPr="00CA64DB">
              <w:rPr>
                <w:i/>
                <w:color w:val="000000"/>
                <w:sz w:val="18"/>
                <w:szCs w:val="18"/>
              </w:rPr>
              <w:instrText xml:space="preserve"> FORMTEXT </w:instrText>
            </w:r>
            <w:r w:rsidRPr="00CA64DB">
              <w:rPr>
                <w:i/>
                <w:color w:val="000000"/>
                <w:sz w:val="18"/>
                <w:szCs w:val="18"/>
              </w:rPr>
            </w:r>
            <w:r w:rsidRPr="00CA64DB">
              <w:rPr>
                <w:i/>
                <w:color w:val="000000"/>
                <w:sz w:val="18"/>
                <w:szCs w:val="18"/>
              </w:rPr>
              <w:fldChar w:fldCharType="separate"/>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fldChar w:fldCharType="end"/>
            </w:r>
          </w:p>
        </w:tc>
      </w:tr>
      <w:tr w:rsidR="007520C1" w:rsidRPr="004244E0" w14:paraId="472941F3" w14:textId="77777777" w:rsidTr="00DB02C4">
        <w:tc>
          <w:tcPr>
            <w:tcW w:w="1298" w:type="dxa"/>
            <w:shd w:val="clear" w:color="auto" w:fill="BFBFBF" w:themeFill="background1" w:themeFillShade="BF"/>
          </w:tcPr>
          <w:p w14:paraId="0AC1E52B" w14:textId="77777777" w:rsidR="007520C1" w:rsidRPr="00CA64DB" w:rsidRDefault="007520C1" w:rsidP="00E049DB">
            <w:pPr>
              <w:rPr>
                <w:sz w:val="18"/>
                <w:szCs w:val="18"/>
              </w:rPr>
            </w:pPr>
            <w:r w:rsidRPr="00CA64DB">
              <w:rPr>
                <w:sz w:val="18"/>
                <w:szCs w:val="18"/>
              </w:rPr>
              <w:t>Indicator 4.4</w:t>
            </w:r>
          </w:p>
        </w:tc>
        <w:tc>
          <w:tcPr>
            <w:tcW w:w="6765" w:type="dxa"/>
            <w:gridSpan w:val="5"/>
            <w:shd w:val="clear" w:color="auto" w:fill="BFBFBF" w:themeFill="background1" w:themeFillShade="BF"/>
          </w:tcPr>
          <w:p w14:paraId="4B814816" w14:textId="77777777" w:rsidR="007520C1" w:rsidRPr="00CA64DB" w:rsidRDefault="007520C1" w:rsidP="00E049DB">
            <w:pPr>
              <w:rPr>
                <w:sz w:val="18"/>
                <w:szCs w:val="18"/>
              </w:rPr>
            </w:pPr>
            <w:r w:rsidRPr="00CA64DB">
              <w:rPr>
                <w:sz w:val="18"/>
                <w:szCs w:val="18"/>
              </w:rPr>
              <w:t>Area of High Conservation Value Forest (HCVF) loss avoided</w:t>
            </w:r>
          </w:p>
        </w:tc>
        <w:tc>
          <w:tcPr>
            <w:tcW w:w="2772" w:type="dxa"/>
            <w:gridSpan w:val="5"/>
            <w:shd w:val="clear" w:color="auto" w:fill="BFBFBF" w:themeFill="background1" w:themeFillShade="BF"/>
          </w:tcPr>
          <w:p w14:paraId="39B746F0" w14:textId="77777777" w:rsidR="007520C1" w:rsidRPr="00CA64DB" w:rsidRDefault="007520C1" w:rsidP="00E049DB">
            <w:pPr>
              <w:jc w:val="right"/>
              <w:rPr>
                <w:sz w:val="18"/>
                <w:szCs w:val="18"/>
              </w:rPr>
            </w:pPr>
            <w:r w:rsidRPr="00CA64DB">
              <w:rPr>
                <w:i/>
                <w:color w:val="000000"/>
                <w:sz w:val="18"/>
                <w:szCs w:val="18"/>
              </w:rPr>
              <w:fldChar w:fldCharType="begin">
                <w:ffData>
                  <w:name w:val="F_GEB_BD_target"/>
                  <w:enabled/>
                  <w:calcOnExit w:val="0"/>
                  <w:textInput/>
                </w:ffData>
              </w:fldChar>
            </w:r>
            <w:r w:rsidRPr="00CA64DB">
              <w:rPr>
                <w:i/>
                <w:color w:val="000000"/>
                <w:sz w:val="18"/>
                <w:szCs w:val="18"/>
              </w:rPr>
              <w:instrText xml:space="preserve"> FORMTEXT </w:instrText>
            </w:r>
            <w:r w:rsidRPr="00CA64DB">
              <w:rPr>
                <w:i/>
                <w:color w:val="000000"/>
                <w:sz w:val="18"/>
                <w:szCs w:val="18"/>
              </w:rPr>
            </w:r>
            <w:r w:rsidRPr="00CA64DB">
              <w:rPr>
                <w:i/>
                <w:color w:val="000000"/>
                <w:sz w:val="18"/>
                <w:szCs w:val="18"/>
              </w:rPr>
              <w:fldChar w:fldCharType="separate"/>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fldChar w:fldCharType="end"/>
            </w:r>
          </w:p>
        </w:tc>
      </w:tr>
      <w:tr w:rsidR="007520C1" w:rsidRPr="004244E0" w14:paraId="603D63CD" w14:textId="77777777" w:rsidTr="00746B99">
        <w:trPr>
          <w:trHeight w:val="125"/>
        </w:trPr>
        <w:tc>
          <w:tcPr>
            <w:tcW w:w="3957" w:type="dxa"/>
            <w:gridSpan w:val="3"/>
            <w:vMerge w:val="restart"/>
            <w:shd w:val="clear" w:color="auto" w:fill="FFFF00"/>
          </w:tcPr>
          <w:p w14:paraId="14D3DC2D" w14:textId="77777777" w:rsidR="007520C1" w:rsidRPr="00CA64DB" w:rsidRDefault="007520C1" w:rsidP="00E049DB">
            <w:pPr>
              <w:rPr>
                <w:sz w:val="18"/>
                <w:szCs w:val="18"/>
              </w:rPr>
            </w:pPr>
            <w:r w:rsidRPr="00CA64DB">
              <w:rPr>
                <w:sz w:val="18"/>
                <w:szCs w:val="18"/>
              </w:rPr>
              <w:t>Include documentation that justifies HCVF</w:t>
            </w:r>
          </w:p>
          <w:p w14:paraId="1EB2561C" w14:textId="77777777" w:rsidR="007520C1" w:rsidRPr="00CA64DB" w:rsidRDefault="007520C1" w:rsidP="00E049DB">
            <w:pPr>
              <w:rPr>
                <w:sz w:val="18"/>
                <w:szCs w:val="18"/>
              </w:rPr>
            </w:pPr>
            <w:r w:rsidRPr="00CA64DB">
              <w:rPr>
                <w:i/>
                <w:color w:val="000000"/>
                <w:sz w:val="18"/>
                <w:szCs w:val="18"/>
              </w:rPr>
              <w:fldChar w:fldCharType="begin">
                <w:ffData>
                  <w:name w:val="F_GEB_BD_target"/>
                  <w:enabled/>
                  <w:calcOnExit w:val="0"/>
                  <w:textInput/>
                </w:ffData>
              </w:fldChar>
            </w:r>
            <w:r w:rsidRPr="00CA64DB">
              <w:rPr>
                <w:i/>
                <w:color w:val="000000"/>
                <w:sz w:val="18"/>
                <w:szCs w:val="18"/>
              </w:rPr>
              <w:instrText xml:space="preserve"> FORMTEXT </w:instrText>
            </w:r>
            <w:r w:rsidRPr="00CA64DB">
              <w:rPr>
                <w:i/>
                <w:color w:val="000000"/>
                <w:sz w:val="18"/>
                <w:szCs w:val="18"/>
              </w:rPr>
            </w:r>
            <w:r w:rsidRPr="00CA64DB">
              <w:rPr>
                <w:i/>
                <w:color w:val="000000"/>
                <w:sz w:val="18"/>
                <w:szCs w:val="18"/>
              </w:rPr>
              <w:fldChar w:fldCharType="separate"/>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fldChar w:fldCharType="end"/>
            </w:r>
          </w:p>
        </w:tc>
        <w:tc>
          <w:tcPr>
            <w:tcW w:w="6878" w:type="dxa"/>
            <w:gridSpan w:val="8"/>
            <w:shd w:val="clear" w:color="auto" w:fill="FFFF00"/>
          </w:tcPr>
          <w:p w14:paraId="3A9E26A5" w14:textId="77777777" w:rsidR="007520C1" w:rsidRPr="00CA64DB" w:rsidRDefault="007520C1" w:rsidP="00E049DB">
            <w:pPr>
              <w:jc w:val="center"/>
              <w:rPr>
                <w:sz w:val="18"/>
                <w:szCs w:val="18"/>
              </w:rPr>
            </w:pPr>
            <w:r w:rsidRPr="00CA64DB">
              <w:rPr>
                <w:sz w:val="18"/>
                <w:szCs w:val="18"/>
              </w:rPr>
              <w:t>Hectares</w:t>
            </w:r>
          </w:p>
        </w:tc>
      </w:tr>
      <w:tr w:rsidR="007520C1" w:rsidRPr="004244E0" w14:paraId="74BF51F0" w14:textId="77777777" w:rsidTr="00746B99">
        <w:trPr>
          <w:trHeight w:val="58"/>
        </w:trPr>
        <w:tc>
          <w:tcPr>
            <w:tcW w:w="3957" w:type="dxa"/>
            <w:gridSpan w:val="3"/>
            <w:vMerge/>
            <w:shd w:val="clear" w:color="auto" w:fill="FFFF00"/>
          </w:tcPr>
          <w:p w14:paraId="2E2AA3D6" w14:textId="77777777" w:rsidR="007520C1" w:rsidRPr="00CA64DB" w:rsidRDefault="007520C1" w:rsidP="00E049DB">
            <w:pPr>
              <w:rPr>
                <w:sz w:val="18"/>
                <w:szCs w:val="18"/>
              </w:rPr>
            </w:pPr>
          </w:p>
        </w:tc>
        <w:tc>
          <w:tcPr>
            <w:tcW w:w="4106" w:type="dxa"/>
            <w:gridSpan w:val="3"/>
            <w:shd w:val="clear" w:color="auto" w:fill="FFFF00"/>
          </w:tcPr>
          <w:p w14:paraId="34DC25F4" w14:textId="77777777" w:rsidR="007520C1" w:rsidRPr="00CA64DB" w:rsidRDefault="007520C1" w:rsidP="00E049DB">
            <w:pPr>
              <w:jc w:val="center"/>
              <w:rPr>
                <w:sz w:val="18"/>
                <w:szCs w:val="18"/>
              </w:rPr>
            </w:pPr>
            <w:r w:rsidRPr="00CA64DB">
              <w:rPr>
                <w:sz w:val="18"/>
                <w:szCs w:val="18"/>
              </w:rPr>
              <w:t>Expected</w:t>
            </w:r>
          </w:p>
        </w:tc>
        <w:tc>
          <w:tcPr>
            <w:tcW w:w="2772" w:type="dxa"/>
            <w:gridSpan w:val="5"/>
            <w:shd w:val="clear" w:color="auto" w:fill="FFFF00"/>
          </w:tcPr>
          <w:p w14:paraId="7CA8D9FA" w14:textId="77777777" w:rsidR="007520C1" w:rsidRPr="00CA64DB" w:rsidRDefault="007520C1" w:rsidP="00E049DB">
            <w:pPr>
              <w:jc w:val="center"/>
              <w:rPr>
                <w:sz w:val="18"/>
                <w:szCs w:val="18"/>
              </w:rPr>
            </w:pPr>
            <w:r w:rsidRPr="00CA64DB">
              <w:rPr>
                <w:sz w:val="18"/>
                <w:szCs w:val="18"/>
              </w:rPr>
              <w:t>Achieved</w:t>
            </w:r>
          </w:p>
        </w:tc>
      </w:tr>
      <w:tr w:rsidR="007520C1" w:rsidRPr="004244E0" w14:paraId="5A38FE37" w14:textId="77777777" w:rsidTr="00746B99">
        <w:trPr>
          <w:trHeight w:val="80"/>
        </w:trPr>
        <w:tc>
          <w:tcPr>
            <w:tcW w:w="3957" w:type="dxa"/>
            <w:gridSpan w:val="3"/>
            <w:vMerge/>
            <w:shd w:val="clear" w:color="auto" w:fill="FFFF00"/>
          </w:tcPr>
          <w:p w14:paraId="6AB769C8" w14:textId="77777777" w:rsidR="007520C1" w:rsidRPr="00CA64DB" w:rsidRDefault="007520C1" w:rsidP="00E049DB">
            <w:pPr>
              <w:rPr>
                <w:sz w:val="18"/>
                <w:szCs w:val="18"/>
              </w:rPr>
            </w:pPr>
          </w:p>
        </w:tc>
        <w:tc>
          <w:tcPr>
            <w:tcW w:w="2782" w:type="dxa"/>
            <w:gridSpan w:val="2"/>
            <w:shd w:val="clear" w:color="auto" w:fill="FFFF00"/>
          </w:tcPr>
          <w:p w14:paraId="196218C4" w14:textId="77777777" w:rsidR="007520C1" w:rsidRPr="00CA64DB" w:rsidRDefault="007520C1" w:rsidP="00E049DB">
            <w:pPr>
              <w:jc w:val="center"/>
              <w:rPr>
                <w:sz w:val="18"/>
                <w:szCs w:val="18"/>
              </w:rPr>
            </w:pPr>
            <w:r w:rsidRPr="00CA64DB">
              <w:rPr>
                <w:sz w:val="18"/>
                <w:szCs w:val="18"/>
              </w:rPr>
              <w:t>PIF stage</w:t>
            </w:r>
          </w:p>
        </w:tc>
        <w:tc>
          <w:tcPr>
            <w:tcW w:w="1477" w:type="dxa"/>
            <w:gridSpan w:val="2"/>
            <w:shd w:val="clear" w:color="auto" w:fill="FFFF00"/>
          </w:tcPr>
          <w:p w14:paraId="635CDB63" w14:textId="77777777" w:rsidR="007520C1" w:rsidRPr="00CA64DB" w:rsidRDefault="007520C1" w:rsidP="00E049DB">
            <w:pPr>
              <w:jc w:val="center"/>
              <w:rPr>
                <w:sz w:val="18"/>
                <w:szCs w:val="18"/>
              </w:rPr>
            </w:pPr>
            <w:r w:rsidRPr="00CA64DB">
              <w:rPr>
                <w:sz w:val="18"/>
                <w:szCs w:val="18"/>
              </w:rPr>
              <w:t>Endorsement</w:t>
            </w:r>
          </w:p>
        </w:tc>
        <w:tc>
          <w:tcPr>
            <w:tcW w:w="1306" w:type="dxa"/>
            <w:gridSpan w:val="2"/>
            <w:shd w:val="clear" w:color="auto" w:fill="FFFF00"/>
          </w:tcPr>
          <w:p w14:paraId="7C594A0A" w14:textId="77777777" w:rsidR="007520C1" w:rsidRPr="00CA64DB" w:rsidRDefault="007520C1" w:rsidP="00E049DB">
            <w:pPr>
              <w:jc w:val="center"/>
              <w:rPr>
                <w:sz w:val="18"/>
                <w:szCs w:val="18"/>
              </w:rPr>
            </w:pPr>
            <w:r w:rsidRPr="00CA64DB">
              <w:rPr>
                <w:sz w:val="18"/>
                <w:szCs w:val="18"/>
              </w:rPr>
              <w:t>MTR</w:t>
            </w:r>
          </w:p>
        </w:tc>
        <w:tc>
          <w:tcPr>
            <w:tcW w:w="1313" w:type="dxa"/>
            <w:gridSpan w:val="2"/>
            <w:shd w:val="clear" w:color="auto" w:fill="FFFF00"/>
          </w:tcPr>
          <w:p w14:paraId="087A631D" w14:textId="77777777" w:rsidR="007520C1" w:rsidRPr="00CA64DB" w:rsidRDefault="007520C1" w:rsidP="00E049DB">
            <w:pPr>
              <w:jc w:val="center"/>
              <w:rPr>
                <w:sz w:val="18"/>
                <w:szCs w:val="18"/>
              </w:rPr>
            </w:pPr>
            <w:r w:rsidRPr="00CA64DB">
              <w:rPr>
                <w:sz w:val="18"/>
                <w:szCs w:val="18"/>
              </w:rPr>
              <w:t>TE</w:t>
            </w:r>
          </w:p>
        </w:tc>
      </w:tr>
      <w:tr w:rsidR="007520C1" w:rsidRPr="004244E0" w14:paraId="7EF3459B" w14:textId="77777777" w:rsidTr="00746B99">
        <w:tc>
          <w:tcPr>
            <w:tcW w:w="3957" w:type="dxa"/>
            <w:gridSpan w:val="3"/>
            <w:vMerge/>
            <w:shd w:val="clear" w:color="auto" w:fill="FFFF00"/>
          </w:tcPr>
          <w:p w14:paraId="577D640A" w14:textId="77777777" w:rsidR="007520C1" w:rsidRPr="00CA64DB" w:rsidRDefault="007520C1" w:rsidP="00E049DB">
            <w:pPr>
              <w:jc w:val="right"/>
              <w:rPr>
                <w:sz w:val="18"/>
                <w:szCs w:val="18"/>
              </w:rPr>
            </w:pPr>
          </w:p>
        </w:tc>
        <w:tc>
          <w:tcPr>
            <w:tcW w:w="2782" w:type="dxa"/>
            <w:gridSpan w:val="2"/>
            <w:shd w:val="clear" w:color="auto" w:fill="FFFF00"/>
          </w:tcPr>
          <w:p w14:paraId="0073A83B" w14:textId="77777777" w:rsidR="007520C1" w:rsidRPr="00CA64DB" w:rsidRDefault="007520C1" w:rsidP="00E049DB">
            <w:pPr>
              <w:jc w:val="right"/>
              <w:rPr>
                <w:sz w:val="18"/>
                <w:szCs w:val="18"/>
              </w:rPr>
            </w:pPr>
            <w:r w:rsidRPr="00CA64DB">
              <w:rPr>
                <w:i/>
                <w:color w:val="000000"/>
                <w:sz w:val="18"/>
                <w:szCs w:val="18"/>
              </w:rPr>
              <w:fldChar w:fldCharType="begin">
                <w:ffData>
                  <w:name w:val="F_GEB_BD_target"/>
                  <w:enabled/>
                  <w:calcOnExit w:val="0"/>
                  <w:textInput/>
                </w:ffData>
              </w:fldChar>
            </w:r>
            <w:r w:rsidRPr="00CA64DB">
              <w:rPr>
                <w:i/>
                <w:color w:val="000000"/>
                <w:sz w:val="18"/>
                <w:szCs w:val="18"/>
              </w:rPr>
              <w:instrText xml:space="preserve"> FORMTEXT </w:instrText>
            </w:r>
            <w:r w:rsidRPr="00CA64DB">
              <w:rPr>
                <w:i/>
                <w:color w:val="000000"/>
                <w:sz w:val="18"/>
                <w:szCs w:val="18"/>
              </w:rPr>
            </w:r>
            <w:r w:rsidRPr="00CA64DB">
              <w:rPr>
                <w:i/>
                <w:color w:val="000000"/>
                <w:sz w:val="18"/>
                <w:szCs w:val="18"/>
              </w:rPr>
              <w:fldChar w:fldCharType="separate"/>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fldChar w:fldCharType="end"/>
            </w:r>
          </w:p>
        </w:tc>
        <w:tc>
          <w:tcPr>
            <w:tcW w:w="1477" w:type="dxa"/>
            <w:gridSpan w:val="2"/>
            <w:shd w:val="clear" w:color="auto" w:fill="FFFF00"/>
          </w:tcPr>
          <w:p w14:paraId="700995AE" w14:textId="6F35C774" w:rsidR="007520C1" w:rsidRPr="00CA64DB" w:rsidRDefault="007520C1" w:rsidP="00E049DB">
            <w:pPr>
              <w:jc w:val="right"/>
              <w:rPr>
                <w:sz w:val="18"/>
                <w:szCs w:val="18"/>
              </w:rPr>
            </w:pPr>
            <w:r w:rsidRPr="00CA64DB">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CA64DB">
              <w:rPr>
                <w:i/>
                <w:color w:val="000000"/>
                <w:sz w:val="18"/>
                <w:szCs w:val="18"/>
              </w:rPr>
            </w:r>
            <w:r w:rsidRPr="00CA64DB">
              <w:rPr>
                <w:i/>
                <w:color w:val="000000"/>
                <w:sz w:val="18"/>
                <w:szCs w:val="18"/>
              </w:rPr>
              <w:fldChar w:fldCharType="separate"/>
            </w:r>
            <w:r w:rsidRPr="00CA64DB">
              <w:rPr>
                <w:i/>
                <w:color w:val="000000"/>
                <w:sz w:val="18"/>
                <w:szCs w:val="18"/>
              </w:rPr>
              <w:t>2</w:t>
            </w:r>
            <w:r w:rsidR="004F05B0" w:rsidRPr="00CA64DB">
              <w:rPr>
                <w:i/>
                <w:color w:val="000000"/>
                <w:sz w:val="18"/>
                <w:szCs w:val="18"/>
              </w:rPr>
              <w:t>,</w:t>
            </w:r>
            <w:r w:rsidRPr="00CA64DB">
              <w:rPr>
                <w:i/>
                <w:color w:val="000000"/>
                <w:sz w:val="18"/>
                <w:szCs w:val="18"/>
              </w:rPr>
              <w:t>000</w:t>
            </w:r>
            <w:r w:rsidRPr="00CA64DB">
              <w:rPr>
                <w:i/>
                <w:color w:val="000000"/>
                <w:sz w:val="18"/>
                <w:szCs w:val="18"/>
              </w:rPr>
              <w:fldChar w:fldCharType="end"/>
            </w:r>
          </w:p>
        </w:tc>
        <w:tc>
          <w:tcPr>
            <w:tcW w:w="1306" w:type="dxa"/>
            <w:gridSpan w:val="2"/>
            <w:shd w:val="clear" w:color="auto" w:fill="FFFF00"/>
          </w:tcPr>
          <w:p w14:paraId="3AC02188" w14:textId="77777777" w:rsidR="007520C1" w:rsidRPr="00CA64DB" w:rsidRDefault="007520C1" w:rsidP="00E049DB">
            <w:pPr>
              <w:jc w:val="right"/>
              <w:rPr>
                <w:sz w:val="18"/>
                <w:szCs w:val="18"/>
              </w:rPr>
            </w:pPr>
            <w:r w:rsidRPr="00CA64DB">
              <w:rPr>
                <w:i/>
                <w:color w:val="000000"/>
                <w:sz w:val="18"/>
                <w:szCs w:val="18"/>
              </w:rPr>
              <w:fldChar w:fldCharType="begin">
                <w:ffData>
                  <w:name w:val="F_GEB_BD_target"/>
                  <w:enabled/>
                  <w:calcOnExit w:val="0"/>
                  <w:textInput/>
                </w:ffData>
              </w:fldChar>
            </w:r>
            <w:r w:rsidRPr="00CA64DB">
              <w:rPr>
                <w:i/>
                <w:color w:val="000000"/>
                <w:sz w:val="18"/>
                <w:szCs w:val="18"/>
              </w:rPr>
              <w:instrText xml:space="preserve"> FORMTEXT </w:instrText>
            </w:r>
            <w:r w:rsidRPr="00CA64DB">
              <w:rPr>
                <w:i/>
                <w:color w:val="000000"/>
                <w:sz w:val="18"/>
                <w:szCs w:val="18"/>
              </w:rPr>
            </w:r>
            <w:r w:rsidRPr="00CA64DB">
              <w:rPr>
                <w:i/>
                <w:color w:val="000000"/>
                <w:sz w:val="18"/>
                <w:szCs w:val="18"/>
              </w:rPr>
              <w:fldChar w:fldCharType="separate"/>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fldChar w:fldCharType="end"/>
            </w:r>
          </w:p>
        </w:tc>
        <w:tc>
          <w:tcPr>
            <w:tcW w:w="1313" w:type="dxa"/>
            <w:gridSpan w:val="2"/>
            <w:shd w:val="clear" w:color="auto" w:fill="FFFF00"/>
          </w:tcPr>
          <w:p w14:paraId="77D34461" w14:textId="77777777" w:rsidR="007520C1" w:rsidRPr="00CA64DB" w:rsidRDefault="007520C1" w:rsidP="00E049DB">
            <w:pPr>
              <w:jc w:val="right"/>
              <w:rPr>
                <w:sz w:val="18"/>
                <w:szCs w:val="18"/>
              </w:rPr>
            </w:pPr>
            <w:r w:rsidRPr="00CA64DB">
              <w:rPr>
                <w:i/>
                <w:color w:val="000000"/>
                <w:sz w:val="18"/>
                <w:szCs w:val="18"/>
              </w:rPr>
              <w:fldChar w:fldCharType="begin">
                <w:ffData>
                  <w:name w:val="F_GEB_BD_target"/>
                  <w:enabled/>
                  <w:calcOnExit w:val="0"/>
                  <w:textInput/>
                </w:ffData>
              </w:fldChar>
            </w:r>
            <w:r w:rsidRPr="00CA64DB">
              <w:rPr>
                <w:i/>
                <w:color w:val="000000"/>
                <w:sz w:val="18"/>
                <w:szCs w:val="18"/>
              </w:rPr>
              <w:instrText xml:space="preserve"> FORMTEXT </w:instrText>
            </w:r>
            <w:r w:rsidRPr="00CA64DB">
              <w:rPr>
                <w:i/>
                <w:color w:val="000000"/>
                <w:sz w:val="18"/>
                <w:szCs w:val="18"/>
              </w:rPr>
            </w:r>
            <w:r w:rsidRPr="00CA64DB">
              <w:rPr>
                <w:i/>
                <w:color w:val="000000"/>
                <w:sz w:val="18"/>
                <w:szCs w:val="18"/>
              </w:rPr>
              <w:fldChar w:fldCharType="separate"/>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fldChar w:fldCharType="end"/>
            </w:r>
          </w:p>
        </w:tc>
      </w:tr>
      <w:tr w:rsidR="007520C1" w:rsidRPr="004244E0" w14:paraId="19AB807D" w14:textId="77777777" w:rsidTr="00746B99">
        <w:tc>
          <w:tcPr>
            <w:tcW w:w="3957" w:type="dxa"/>
            <w:gridSpan w:val="3"/>
            <w:vMerge/>
            <w:shd w:val="clear" w:color="auto" w:fill="FFFF00"/>
          </w:tcPr>
          <w:p w14:paraId="55C23BA0" w14:textId="77777777" w:rsidR="007520C1" w:rsidRPr="00CA64DB" w:rsidRDefault="007520C1" w:rsidP="00E049DB">
            <w:pPr>
              <w:jc w:val="right"/>
              <w:rPr>
                <w:sz w:val="18"/>
                <w:szCs w:val="18"/>
              </w:rPr>
            </w:pPr>
          </w:p>
        </w:tc>
        <w:tc>
          <w:tcPr>
            <w:tcW w:w="2782" w:type="dxa"/>
            <w:gridSpan w:val="2"/>
            <w:shd w:val="clear" w:color="auto" w:fill="FFFF00"/>
          </w:tcPr>
          <w:p w14:paraId="17764DC2" w14:textId="77777777" w:rsidR="007520C1" w:rsidRPr="00CA64DB" w:rsidRDefault="007520C1" w:rsidP="00E049DB">
            <w:pPr>
              <w:jc w:val="right"/>
              <w:rPr>
                <w:sz w:val="18"/>
                <w:szCs w:val="18"/>
              </w:rPr>
            </w:pPr>
            <w:r w:rsidRPr="00CA64DB">
              <w:rPr>
                <w:i/>
                <w:color w:val="000000"/>
                <w:sz w:val="18"/>
                <w:szCs w:val="18"/>
              </w:rPr>
              <w:fldChar w:fldCharType="begin">
                <w:ffData>
                  <w:name w:val="F_GEB_BD_target"/>
                  <w:enabled/>
                  <w:calcOnExit w:val="0"/>
                  <w:textInput/>
                </w:ffData>
              </w:fldChar>
            </w:r>
            <w:r w:rsidRPr="00CA64DB">
              <w:rPr>
                <w:i/>
                <w:color w:val="000000"/>
                <w:sz w:val="18"/>
                <w:szCs w:val="18"/>
              </w:rPr>
              <w:instrText xml:space="preserve"> FORMTEXT </w:instrText>
            </w:r>
            <w:r w:rsidRPr="00CA64DB">
              <w:rPr>
                <w:i/>
                <w:color w:val="000000"/>
                <w:sz w:val="18"/>
                <w:szCs w:val="18"/>
              </w:rPr>
            </w:r>
            <w:r w:rsidRPr="00CA64DB">
              <w:rPr>
                <w:i/>
                <w:color w:val="000000"/>
                <w:sz w:val="18"/>
                <w:szCs w:val="18"/>
              </w:rPr>
              <w:fldChar w:fldCharType="separate"/>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fldChar w:fldCharType="end"/>
            </w:r>
          </w:p>
        </w:tc>
        <w:tc>
          <w:tcPr>
            <w:tcW w:w="1477" w:type="dxa"/>
            <w:gridSpan w:val="2"/>
            <w:shd w:val="clear" w:color="auto" w:fill="FFFF00"/>
          </w:tcPr>
          <w:p w14:paraId="3091BCC8" w14:textId="77777777" w:rsidR="007520C1" w:rsidRPr="00CA64DB" w:rsidRDefault="007520C1" w:rsidP="00E049DB">
            <w:pPr>
              <w:jc w:val="right"/>
              <w:rPr>
                <w:sz w:val="18"/>
                <w:szCs w:val="18"/>
              </w:rPr>
            </w:pPr>
            <w:r w:rsidRPr="00CA64DB">
              <w:rPr>
                <w:i/>
                <w:color w:val="000000"/>
                <w:sz w:val="18"/>
                <w:szCs w:val="18"/>
              </w:rPr>
              <w:fldChar w:fldCharType="begin">
                <w:ffData>
                  <w:name w:val="F_GEB_BD_target"/>
                  <w:enabled/>
                  <w:calcOnExit w:val="0"/>
                  <w:textInput/>
                </w:ffData>
              </w:fldChar>
            </w:r>
            <w:r w:rsidRPr="00CA64DB">
              <w:rPr>
                <w:i/>
                <w:color w:val="000000"/>
                <w:sz w:val="18"/>
                <w:szCs w:val="18"/>
              </w:rPr>
              <w:instrText xml:space="preserve"> FORMTEXT </w:instrText>
            </w:r>
            <w:r w:rsidRPr="00CA64DB">
              <w:rPr>
                <w:i/>
                <w:color w:val="000000"/>
                <w:sz w:val="18"/>
                <w:szCs w:val="18"/>
              </w:rPr>
            </w:r>
            <w:r w:rsidRPr="00CA64DB">
              <w:rPr>
                <w:i/>
                <w:color w:val="000000"/>
                <w:sz w:val="18"/>
                <w:szCs w:val="18"/>
              </w:rPr>
              <w:fldChar w:fldCharType="separate"/>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fldChar w:fldCharType="end"/>
            </w:r>
          </w:p>
        </w:tc>
        <w:tc>
          <w:tcPr>
            <w:tcW w:w="1306" w:type="dxa"/>
            <w:gridSpan w:val="2"/>
            <w:shd w:val="clear" w:color="auto" w:fill="FFFF00"/>
          </w:tcPr>
          <w:p w14:paraId="62040C10" w14:textId="77777777" w:rsidR="007520C1" w:rsidRPr="00CA64DB" w:rsidRDefault="007520C1" w:rsidP="00E049DB">
            <w:pPr>
              <w:jc w:val="right"/>
              <w:rPr>
                <w:sz w:val="18"/>
                <w:szCs w:val="18"/>
              </w:rPr>
            </w:pPr>
            <w:r w:rsidRPr="00CA64DB">
              <w:rPr>
                <w:i/>
                <w:color w:val="000000"/>
                <w:sz w:val="18"/>
                <w:szCs w:val="18"/>
              </w:rPr>
              <w:fldChar w:fldCharType="begin">
                <w:ffData>
                  <w:name w:val="F_GEB_BD_target"/>
                  <w:enabled/>
                  <w:calcOnExit w:val="0"/>
                  <w:textInput/>
                </w:ffData>
              </w:fldChar>
            </w:r>
            <w:r w:rsidRPr="00CA64DB">
              <w:rPr>
                <w:i/>
                <w:color w:val="000000"/>
                <w:sz w:val="18"/>
                <w:szCs w:val="18"/>
              </w:rPr>
              <w:instrText xml:space="preserve"> FORMTEXT </w:instrText>
            </w:r>
            <w:r w:rsidRPr="00CA64DB">
              <w:rPr>
                <w:i/>
                <w:color w:val="000000"/>
                <w:sz w:val="18"/>
                <w:szCs w:val="18"/>
              </w:rPr>
            </w:r>
            <w:r w:rsidRPr="00CA64DB">
              <w:rPr>
                <w:i/>
                <w:color w:val="000000"/>
                <w:sz w:val="18"/>
                <w:szCs w:val="18"/>
              </w:rPr>
              <w:fldChar w:fldCharType="separate"/>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fldChar w:fldCharType="end"/>
            </w:r>
          </w:p>
        </w:tc>
        <w:tc>
          <w:tcPr>
            <w:tcW w:w="1313" w:type="dxa"/>
            <w:gridSpan w:val="2"/>
            <w:shd w:val="clear" w:color="auto" w:fill="FFFF00"/>
          </w:tcPr>
          <w:p w14:paraId="504F9F9F" w14:textId="77777777" w:rsidR="007520C1" w:rsidRPr="00CA64DB" w:rsidRDefault="007520C1" w:rsidP="00E049DB">
            <w:pPr>
              <w:jc w:val="right"/>
              <w:rPr>
                <w:sz w:val="18"/>
                <w:szCs w:val="18"/>
              </w:rPr>
            </w:pPr>
            <w:r w:rsidRPr="00CA64DB">
              <w:rPr>
                <w:i/>
                <w:color w:val="000000"/>
                <w:sz w:val="18"/>
                <w:szCs w:val="18"/>
              </w:rPr>
              <w:fldChar w:fldCharType="begin">
                <w:ffData>
                  <w:name w:val="F_GEB_BD_target"/>
                  <w:enabled/>
                  <w:calcOnExit w:val="0"/>
                  <w:textInput/>
                </w:ffData>
              </w:fldChar>
            </w:r>
            <w:r w:rsidRPr="00CA64DB">
              <w:rPr>
                <w:i/>
                <w:color w:val="000000"/>
                <w:sz w:val="18"/>
                <w:szCs w:val="18"/>
              </w:rPr>
              <w:instrText xml:space="preserve"> FORMTEXT </w:instrText>
            </w:r>
            <w:r w:rsidRPr="00CA64DB">
              <w:rPr>
                <w:i/>
                <w:color w:val="000000"/>
                <w:sz w:val="18"/>
                <w:szCs w:val="18"/>
              </w:rPr>
            </w:r>
            <w:r w:rsidRPr="00CA64DB">
              <w:rPr>
                <w:i/>
                <w:color w:val="000000"/>
                <w:sz w:val="18"/>
                <w:szCs w:val="18"/>
              </w:rPr>
              <w:fldChar w:fldCharType="separate"/>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fldChar w:fldCharType="end"/>
            </w:r>
          </w:p>
        </w:tc>
      </w:tr>
      <w:tr w:rsidR="007520C1" w:rsidRPr="004244E0" w14:paraId="5D0B8CA6" w14:textId="77777777" w:rsidTr="00DB02C4">
        <w:tc>
          <w:tcPr>
            <w:tcW w:w="1298" w:type="dxa"/>
            <w:shd w:val="clear" w:color="auto" w:fill="D9D9D9" w:themeFill="background1" w:themeFillShade="D9"/>
          </w:tcPr>
          <w:p w14:paraId="636CFA33" w14:textId="77777777" w:rsidR="007520C1" w:rsidRPr="00CA64DB" w:rsidRDefault="007520C1" w:rsidP="00E049DB">
            <w:pPr>
              <w:rPr>
                <w:b/>
                <w:sz w:val="18"/>
                <w:szCs w:val="18"/>
              </w:rPr>
            </w:pPr>
            <w:r w:rsidRPr="00CA64DB">
              <w:rPr>
                <w:b/>
                <w:sz w:val="18"/>
                <w:szCs w:val="18"/>
              </w:rPr>
              <w:t>Core Indicator 5</w:t>
            </w:r>
          </w:p>
        </w:tc>
        <w:tc>
          <w:tcPr>
            <w:tcW w:w="6765" w:type="dxa"/>
            <w:gridSpan w:val="5"/>
            <w:shd w:val="clear" w:color="auto" w:fill="D9D9D9" w:themeFill="background1" w:themeFillShade="D9"/>
          </w:tcPr>
          <w:p w14:paraId="66C7589B" w14:textId="77777777" w:rsidR="007520C1" w:rsidRPr="00CA64DB" w:rsidRDefault="007520C1" w:rsidP="00E049DB">
            <w:pPr>
              <w:rPr>
                <w:b/>
                <w:sz w:val="18"/>
                <w:szCs w:val="18"/>
              </w:rPr>
            </w:pPr>
            <w:r w:rsidRPr="00CA64DB">
              <w:rPr>
                <w:b/>
                <w:sz w:val="18"/>
                <w:szCs w:val="18"/>
              </w:rPr>
              <w:t>Area of marine habitat under improved practices to benefit biodiversity</w:t>
            </w:r>
          </w:p>
        </w:tc>
        <w:tc>
          <w:tcPr>
            <w:tcW w:w="2772" w:type="dxa"/>
            <w:gridSpan w:val="5"/>
            <w:shd w:val="clear" w:color="auto" w:fill="D9D9D9" w:themeFill="background1" w:themeFillShade="D9"/>
          </w:tcPr>
          <w:p w14:paraId="089F2999" w14:textId="77777777" w:rsidR="007520C1" w:rsidRPr="00CA64DB" w:rsidRDefault="007520C1" w:rsidP="00E049DB">
            <w:pPr>
              <w:jc w:val="right"/>
              <w:rPr>
                <w:b/>
                <w:sz w:val="18"/>
                <w:szCs w:val="18"/>
              </w:rPr>
            </w:pPr>
            <w:r w:rsidRPr="00CA64DB">
              <w:rPr>
                <w:b/>
                <w:i/>
                <w:color w:val="000000"/>
                <w:sz w:val="18"/>
                <w:szCs w:val="18"/>
              </w:rPr>
              <w:fldChar w:fldCharType="begin">
                <w:ffData>
                  <w:name w:val="F_GEB_BD_target"/>
                  <w:enabled/>
                  <w:calcOnExit w:val="0"/>
                  <w:textInput>
                    <w:default w:val="(Hectares)"/>
                  </w:textInput>
                </w:ffData>
              </w:fldChar>
            </w:r>
            <w:r w:rsidRPr="00CA64DB">
              <w:rPr>
                <w:b/>
                <w:i/>
                <w:color w:val="000000"/>
                <w:sz w:val="18"/>
                <w:szCs w:val="18"/>
              </w:rPr>
              <w:instrText xml:space="preserve"> FORMTEXT </w:instrText>
            </w:r>
            <w:r w:rsidRPr="00CA64DB">
              <w:rPr>
                <w:b/>
                <w:i/>
                <w:color w:val="000000"/>
                <w:sz w:val="18"/>
                <w:szCs w:val="18"/>
              </w:rPr>
            </w:r>
            <w:r w:rsidRPr="00CA64DB">
              <w:rPr>
                <w:b/>
                <w:i/>
                <w:color w:val="000000"/>
                <w:sz w:val="18"/>
                <w:szCs w:val="18"/>
              </w:rPr>
              <w:fldChar w:fldCharType="separate"/>
            </w:r>
            <w:r w:rsidRPr="00CA64DB">
              <w:rPr>
                <w:b/>
                <w:i/>
                <w:color w:val="000000"/>
                <w:sz w:val="18"/>
                <w:szCs w:val="18"/>
              </w:rPr>
              <w:t>(Hectares)</w:t>
            </w:r>
            <w:r w:rsidRPr="00CA64DB">
              <w:rPr>
                <w:b/>
                <w:i/>
                <w:color w:val="000000"/>
                <w:sz w:val="18"/>
                <w:szCs w:val="18"/>
              </w:rPr>
              <w:fldChar w:fldCharType="end"/>
            </w:r>
          </w:p>
        </w:tc>
      </w:tr>
      <w:tr w:rsidR="007520C1" w:rsidRPr="004244E0" w14:paraId="3256D26B" w14:textId="77777777" w:rsidTr="00DB02C4">
        <w:tc>
          <w:tcPr>
            <w:tcW w:w="1298" w:type="dxa"/>
            <w:shd w:val="clear" w:color="auto" w:fill="BFBFBF" w:themeFill="background1" w:themeFillShade="BF"/>
          </w:tcPr>
          <w:p w14:paraId="1F1FB3BE" w14:textId="77777777" w:rsidR="007520C1" w:rsidRPr="00CA64DB" w:rsidRDefault="007520C1" w:rsidP="00E049DB">
            <w:pPr>
              <w:rPr>
                <w:sz w:val="18"/>
                <w:szCs w:val="18"/>
              </w:rPr>
            </w:pPr>
            <w:r w:rsidRPr="00CA64DB">
              <w:rPr>
                <w:sz w:val="18"/>
                <w:szCs w:val="18"/>
              </w:rPr>
              <w:t>Indicator 5.1</w:t>
            </w:r>
          </w:p>
        </w:tc>
        <w:tc>
          <w:tcPr>
            <w:tcW w:w="6765" w:type="dxa"/>
            <w:gridSpan w:val="5"/>
            <w:shd w:val="clear" w:color="auto" w:fill="BFBFBF" w:themeFill="background1" w:themeFillShade="BF"/>
          </w:tcPr>
          <w:p w14:paraId="1E3F4808" w14:textId="77777777" w:rsidR="007520C1" w:rsidRPr="00CA64DB" w:rsidRDefault="007520C1" w:rsidP="00E049DB">
            <w:pPr>
              <w:rPr>
                <w:sz w:val="18"/>
                <w:szCs w:val="18"/>
              </w:rPr>
            </w:pPr>
            <w:r w:rsidRPr="00CA64DB">
              <w:rPr>
                <w:sz w:val="18"/>
                <w:szCs w:val="18"/>
              </w:rPr>
              <w:t>Number of fisheries that meet national or international third-party certification that incorporates biodiversity considerations</w:t>
            </w:r>
          </w:p>
        </w:tc>
        <w:tc>
          <w:tcPr>
            <w:tcW w:w="2772" w:type="dxa"/>
            <w:gridSpan w:val="5"/>
            <w:shd w:val="clear" w:color="auto" w:fill="BFBFBF" w:themeFill="background1" w:themeFillShade="BF"/>
          </w:tcPr>
          <w:p w14:paraId="7CBB23BC" w14:textId="77777777" w:rsidR="007520C1" w:rsidRPr="00CA64DB" w:rsidRDefault="007520C1" w:rsidP="00E049DB">
            <w:pPr>
              <w:jc w:val="right"/>
              <w:rPr>
                <w:sz w:val="18"/>
                <w:szCs w:val="18"/>
              </w:rPr>
            </w:pPr>
            <w:r w:rsidRPr="00CA64DB">
              <w:rPr>
                <w:i/>
                <w:color w:val="000000"/>
                <w:sz w:val="18"/>
                <w:szCs w:val="18"/>
              </w:rPr>
              <w:fldChar w:fldCharType="begin">
                <w:ffData>
                  <w:name w:val="F_GEB_BD_target"/>
                  <w:enabled/>
                  <w:calcOnExit w:val="0"/>
                  <w:textInput/>
                </w:ffData>
              </w:fldChar>
            </w:r>
            <w:r w:rsidRPr="00CA64DB">
              <w:rPr>
                <w:i/>
                <w:color w:val="000000"/>
                <w:sz w:val="18"/>
                <w:szCs w:val="18"/>
              </w:rPr>
              <w:instrText xml:space="preserve"> FORMTEXT </w:instrText>
            </w:r>
            <w:r w:rsidRPr="00CA64DB">
              <w:rPr>
                <w:i/>
                <w:color w:val="000000"/>
                <w:sz w:val="18"/>
                <w:szCs w:val="18"/>
              </w:rPr>
            </w:r>
            <w:r w:rsidRPr="00CA64DB">
              <w:rPr>
                <w:i/>
                <w:color w:val="000000"/>
                <w:sz w:val="18"/>
                <w:szCs w:val="18"/>
              </w:rPr>
              <w:fldChar w:fldCharType="separate"/>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fldChar w:fldCharType="end"/>
            </w:r>
          </w:p>
        </w:tc>
      </w:tr>
      <w:tr w:rsidR="007520C1" w:rsidRPr="004244E0" w14:paraId="2C66F48A" w14:textId="77777777" w:rsidTr="00DB02C4">
        <w:trPr>
          <w:trHeight w:val="125"/>
        </w:trPr>
        <w:tc>
          <w:tcPr>
            <w:tcW w:w="3957" w:type="dxa"/>
            <w:gridSpan w:val="3"/>
            <w:vMerge w:val="restart"/>
          </w:tcPr>
          <w:p w14:paraId="47D314BC" w14:textId="77777777" w:rsidR="007520C1" w:rsidRPr="00CA64DB" w:rsidRDefault="007520C1" w:rsidP="00E049DB">
            <w:pPr>
              <w:rPr>
                <w:i/>
                <w:color w:val="000000"/>
                <w:sz w:val="18"/>
                <w:szCs w:val="18"/>
              </w:rPr>
            </w:pPr>
            <w:r w:rsidRPr="00CA64DB">
              <w:rPr>
                <w:sz w:val="18"/>
                <w:szCs w:val="18"/>
              </w:rPr>
              <w:t xml:space="preserve">Third party certification(s):    </w:t>
            </w:r>
            <w:r w:rsidRPr="00CA64DB">
              <w:rPr>
                <w:i/>
                <w:color w:val="000000"/>
                <w:sz w:val="18"/>
                <w:szCs w:val="18"/>
              </w:rPr>
              <w:fldChar w:fldCharType="begin">
                <w:ffData>
                  <w:name w:val="F_GEB_BD_target"/>
                  <w:enabled/>
                  <w:calcOnExit w:val="0"/>
                  <w:textInput/>
                </w:ffData>
              </w:fldChar>
            </w:r>
            <w:r w:rsidRPr="00CA64DB">
              <w:rPr>
                <w:i/>
                <w:color w:val="000000"/>
                <w:sz w:val="18"/>
                <w:szCs w:val="18"/>
              </w:rPr>
              <w:instrText xml:space="preserve"> FORMTEXT </w:instrText>
            </w:r>
            <w:r w:rsidRPr="00CA64DB">
              <w:rPr>
                <w:i/>
                <w:color w:val="000000"/>
                <w:sz w:val="18"/>
                <w:szCs w:val="18"/>
              </w:rPr>
            </w:r>
            <w:r w:rsidRPr="00CA64DB">
              <w:rPr>
                <w:i/>
                <w:color w:val="000000"/>
                <w:sz w:val="18"/>
                <w:szCs w:val="18"/>
              </w:rPr>
              <w:fldChar w:fldCharType="separate"/>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fldChar w:fldCharType="end"/>
            </w:r>
          </w:p>
          <w:p w14:paraId="07CF3D2D" w14:textId="77777777" w:rsidR="007520C1" w:rsidRPr="00CA64DB" w:rsidRDefault="007520C1" w:rsidP="00E049DB">
            <w:pPr>
              <w:rPr>
                <w:i/>
                <w:color w:val="000000"/>
                <w:sz w:val="18"/>
                <w:szCs w:val="18"/>
              </w:rPr>
            </w:pPr>
          </w:p>
          <w:p w14:paraId="346AA8C3" w14:textId="77777777" w:rsidR="007520C1" w:rsidRPr="00CA64DB" w:rsidRDefault="007520C1" w:rsidP="00E049DB">
            <w:pPr>
              <w:ind w:left="2160"/>
              <w:rPr>
                <w:i/>
                <w:color w:val="000000"/>
                <w:sz w:val="18"/>
                <w:szCs w:val="18"/>
              </w:rPr>
            </w:pPr>
            <w:r w:rsidRPr="00CA64DB">
              <w:rPr>
                <w:i/>
                <w:color w:val="000000"/>
                <w:sz w:val="18"/>
                <w:szCs w:val="18"/>
              </w:rPr>
              <w:fldChar w:fldCharType="begin">
                <w:ffData>
                  <w:name w:val="F_GEB_BD_target"/>
                  <w:enabled/>
                  <w:calcOnExit w:val="0"/>
                  <w:textInput/>
                </w:ffData>
              </w:fldChar>
            </w:r>
            <w:r w:rsidRPr="00CA64DB">
              <w:rPr>
                <w:i/>
                <w:color w:val="000000"/>
                <w:sz w:val="18"/>
                <w:szCs w:val="18"/>
              </w:rPr>
              <w:instrText xml:space="preserve"> FORMTEXT </w:instrText>
            </w:r>
            <w:r w:rsidRPr="00CA64DB">
              <w:rPr>
                <w:i/>
                <w:color w:val="000000"/>
                <w:sz w:val="18"/>
                <w:szCs w:val="18"/>
              </w:rPr>
            </w:r>
            <w:r w:rsidRPr="00CA64DB">
              <w:rPr>
                <w:i/>
                <w:color w:val="000000"/>
                <w:sz w:val="18"/>
                <w:szCs w:val="18"/>
              </w:rPr>
              <w:fldChar w:fldCharType="separate"/>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fldChar w:fldCharType="end"/>
            </w:r>
          </w:p>
          <w:p w14:paraId="7AD90A44" w14:textId="77777777" w:rsidR="007520C1" w:rsidRPr="00CA64DB" w:rsidRDefault="007520C1" w:rsidP="00E049DB">
            <w:pPr>
              <w:ind w:left="2160"/>
              <w:rPr>
                <w:i/>
                <w:color w:val="000000"/>
                <w:sz w:val="18"/>
                <w:szCs w:val="18"/>
              </w:rPr>
            </w:pPr>
          </w:p>
          <w:p w14:paraId="736BD334" w14:textId="77777777" w:rsidR="007520C1" w:rsidRPr="00CA64DB" w:rsidRDefault="007520C1" w:rsidP="00E049DB">
            <w:pPr>
              <w:ind w:left="2160"/>
              <w:rPr>
                <w:sz w:val="18"/>
                <w:szCs w:val="18"/>
              </w:rPr>
            </w:pPr>
            <w:r w:rsidRPr="00CA64DB">
              <w:rPr>
                <w:i/>
                <w:color w:val="000000"/>
                <w:sz w:val="18"/>
                <w:szCs w:val="18"/>
              </w:rPr>
              <w:fldChar w:fldCharType="begin">
                <w:ffData>
                  <w:name w:val="F_GEB_BD_target"/>
                  <w:enabled/>
                  <w:calcOnExit w:val="0"/>
                  <w:textInput/>
                </w:ffData>
              </w:fldChar>
            </w:r>
            <w:r w:rsidRPr="00CA64DB">
              <w:rPr>
                <w:i/>
                <w:color w:val="000000"/>
                <w:sz w:val="18"/>
                <w:szCs w:val="18"/>
              </w:rPr>
              <w:instrText xml:space="preserve"> FORMTEXT </w:instrText>
            </w:r>
            <w:r w:rsidRPr="00CA64DB">
              <w:rPr>
                <w:i/>
                <w:color w:val="000000"/>
                <w:sz w:val="18"/>
                <w:szCs w:val="18"/>
              </w:rPr>
            </w:r>
            <w:r w:rsidRPr="00CA64DB">
              <w:rPr>
                <w:i/>
                <w:color w:val="000000"/>
                <w:sz w:val="18"/>
                <w:szCs w:val="18"/>
              </w:rPr>
              <w:fldChar w:fldCharType="separate"/>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fldChar w:fldCharType="end"/>
            </w:r>
          </w:p>
        </w:tc>
        <w:tc>
          <w:tcPr>
            <w:tcW w:w="6878" w:type="dxa"/>
            <w:gridSpan w:val="8"/>
          </w:tcPr>
          <w:p w14:paraId="0A925F84" w14:textId="77777777" w:rsidR="007520C1" w:rsidRPr="00CA64DB" w:rsidRDefault="007520C1" w:rsidP="00E049DB">
            <w:pPr>
              <w:jc w:val="center"/>
              <w:rPr>
                <w:sz w:val="18"/>
                <w:szCs w:val="18"/>
              </w:rPr>
            </w:pPr>
            <w:r w:rsidRPr="00CA64DB">
              <w:rPr>
                <w:sz w:val="18"/>
                <w:szCs w:val="18"/>
              </w:rPr>
              <w:t>Number</w:t>
            </w:r>
          </w:p>
        </w:tc>
      </w:tr>
      <w:tr w:rsidR="007520C1" w:rsidRPr="004244E0" w14:paraId="3A993BCC" w14:textId="77777777" w:rsidTr="00DB02C4">
        <w:trPr>
          <w:trHeight w:val="58"/>
        </w:trPr>
        <w:tc>
          <w:tcPr>
            <w:tcW w:w="3957" w:type="dxa"/>
            <w:gridSpan w:val="3"/>
            <w:vMerge/>
          </w:tcPr>
          <w:p w14:paraId="04C024B5" w14:textId="77777777" w:rsidR="007520C1" w:rsidRPr="00CA64DB" w:rsidRDefault="007520C1" w:rsidP="00E049DB">
            <w:pPr>
              <w:rPr>
                <w:sz w:val="18"/>
                <w:szCs w:val="18"/>
              </w:rPr>
            </w:pPr>
          </w:p>
        </w:tc>
        <w:tc>
          <w:tcPr>
            <w:tcW w:w="4106" w:type="dxa"/>
            <w:gridSpan w:val="3"/>
          </w:tcPr>
          <w:p w14:paraId="5A4CEDAC" w14:textId="77777777" w:rsidR="007520C1" w:rsidRPr="00CA64DB" w:rsidRDefault="007520C1" w:rsidP="00E049DB">
            <w:pPr>
              <w:jc w:val="center"/>
              <w:rPr>
                <w:sz w:val="18"/>
                <w:szCs w:val="18"/>
              </w:rPr>
            </w:pPr>
            <w:r w:rsidRPr="00CA64DB">
              <w:rPr>
                <w:sz w:val="18"/>
                <w:szCs w:val="18"/>
              </w:rPr>
              <w:t>Expected</w:t>
            </w:r>
          </w:p>
        </w:tc>
        <w:tc>
          <w:tcPr>
            <w:tcW w:w="2772" w:type="dxa"/>
            <w:gridSpan w:val="5"/>
          </w:tcPr>
          <w:p w14:paraId="5446C8FC" w14:textId="77777777" w:rsidR="007520C1" w:rsidRPr="00CA64DB" w:rsidRDefault="007520C1" w:rsidP="00E049DB">
            <w:pPr>
              <w:jc w:val="center"/>
              <w:rPr>
                <w:sz w:val="18"/>
                <w:szCs w:val="18"/>
              </w:rPr>
            </w:pPr>
            <w:r w:rsidRPr="00CA64DB">
              <w:rPr>
                <w:sz w:val="18"/>
                <w:szCs w:val="18"/>
              </w:rPr>
              <w:t>Achieved</w:t>
            </w:r>
          </w:p>
        </w:tc>
      </w:tr>
      <w:tr w:rsidR="007520C1" w:rsidRPr="004244E0" w14:paraId="533A2B4B" w14:textId="77777777" w:rsidTr="00DB02C4">
        <w:trPr>
          <w:trHeight w:val="71"/>
        </w:trPr>
        <w:tc>
          <w:tcPr>
            <w:tcW w:w="3957" w:type="dxa"/>
            <w:gridSpan w:val="3"/>
            <w:vMerge/>
          </w:tcPr>
          <w:p w14:paraId="2397C931" w14:textId="77777777" w:rsidR="007520C1" w:rsidRPr="00CA64DB" w:rsidRDefault="007520C1" w:rsidP="00E049DB">
            <w:pPr>
              <w:rPr>
                <w:sz w:val="18"/>
                <w:szCs w:val="18"/>
              </w:rPr>
            </w:pPr>
          </w:p>
        </w:tc>
        <w:tc>
          <w:tcPr>
            <w:tcW w:w="2782" w:type="dxa"/>
            <w:gridSpan w:val="2"/>
          </w:tcPr>
          <w:p w14:paraId="110E2C9A" w14:textId="77777777" w:rsidR="007520C1" w:rsidRPr="00CA64DB" w:rsidRDefault="007520C1" w:rsidP="00E049DB">
            <w:pPr>
              <w:jc w:val="center"/>
              <w:rPr>
                <w:sz w:val="18"/>
                <w:szCs w:val="18"/>
              </w:rPr>
            </w:pPr>
            <w:r w:rsidRPr="00CA64DB">
              <w:rPr>
                <w:sz w:val="18"/>
                <w:szCs w:val="18"/>
              </w:rPr>
              <w:t>PIF stage</w:t>
            </w:r>
          </w:p>
        </w:tc>
        <w:tc>
          <w:tcPr>
            <w:tcW w:w="1477" w:type="dxa"/>
            <w:gridSpan w:val="2"/>
          </w:tcPr>
          <w:p w14:paraId="67D1D494" w14:textId="77777777" w:rsidR="007520C1" w:rsidRPr="00CA64DB" w:rsidRDefault="007520C1" w:rsidP="00E049DB">
            <w:pPr>
              <w:jc w:val="center"/>
              <w:rPr>
                <w:sz w:val="18"/>
                <w:szCs w:val="18"/>
              </w:rPr>
            </w:pPr>
            <w:r w:rsidRPr="00CA64DB">
              <w:rPr>
                <w:sz w:val="18"/>
                <w:szCs w:val="18"/>
              </w:rPr>
              <w:t>Endorsement</w:t>
            </w:r>
          </w:p>
        </w:tc>
        <w:tc>
          <w:tcPr>
            <w:tcW w:w="1306" w:type="dxa"/>
            <w:gridSpan w:val="2"/>
          </w:tcPr>
          <w:p w14:paraId="77D51A4A" w14:textId="77777777" w:rsidR="007520C1" w:rsidRPr="00CA64DB" w:rsidRDefault="007520C1" w:rsidP="00E049DB">
            <w:pPr>
              <w:jc w:val="center"/>
              <w:rPr>
                <w:sz w:val="18"/>
                <w:szCs w:val="18"/>
              </w:rPr>
            </w:pPr>
            <w:r w:rsidRPr="00CA64DB">
              <w:rPr>
                <w:sz w:val="18"/>
                <w:szCs w:val="18"/>
              </w:rPr>
              <w:t>MTR</w:t>
            </w:r>
          </w:p>
        </w:tc>
        <w:tc>
          <w:tcPr>
            <w:tcW w:w="1313" w:type="dxa"/>
            <w:gridSpan w:val="2"/>
          </w:tcPr>
          <w:p w14:paraId="455E71A2" w14:textId="77777777" w:rsidR="007520C1" w:rsidRPr="00CA64DB" w:rsidRDefault="007520C1" w:rsidP="00E049DB">
            <w:pPr>
              <w:jc w:val="center"/>
              <w:rPr>
                <w:sz w:val="18"/>
                <w:szCs w:val="18"/>
              </w:rPr>
            </w:pPr>
            <w:r w:rsidRPr="00CA64DB">
              <w:rPr>
                <w:sz w:val="18"/>
                <w:szCs w:val="18"/>
              </w:rPr>
              <w:t>TE</w:t>
            </w:r>
          </w:p>
        </w:tc>
      </w:tr>
      <w:tr w:rsidR="007520C1" w:rsidRPr="004244E0" w14:paraId="7B4A99CA" w14:textId="77777777" w:rsidTr="00DB02C4">
        <w:tc>
          <w:tcPr>
            <w:tcW w:w="3957" w:type="dxa"/>
            <w:gridSpan w:val="3"/>
            <w:vMerge/>
          </w:tcPr>
          <w:p w14:paraId="799BB51C" w14:textId="77777777" w:rsidR="007520C1" w:rsidRPr="00CA64DB" w:rsidRDefault="007520C1" w:rsidP="00E049DB">
            <w:pPr>
              <w:jc w:val="right"/>
              <w:rPr>
                <w:sz w:val="18"/>
                <w:szCs w:val="18"/>
              </w:rPr>
            </w:pPr>
          </w:p>
        </w:tc>
        <w:tc>
          <w:tcPr>
            <w:tcW w:w="2782" w:type="dxa"/>
            <w:gridSpan w:val="2"/>
          </w:tcPr>
          <w:p w14:paraId="657FDD58" w14:textId="77777777" w:rsidR="007520C1" w:rsidRPr="00CA64DB" w:rsidRDefault="007520C1" w:rsidP="00E049DB">
            <w:pPr>
              <w:jc w:val="right"/>
              <w:rPr>
                <w:sz w:val="18"/>
                <w:szCs w:val="18"/>
              </w:rPr>
            </w:pPr>
            <w:r w:rsidRPr="00CA64DB">
              <w:rPr>
                <w:i/>
                <w:color w:val="000000"/>
                <w:sz w:val="18"/>
                <w:szCs w:val="18"/>
              </w:rPr>
              <w:fldChar w:fldCharType="begin">
                <w:ffData>
                  <w:name w:val="F_GEB_BD_target"/>
                  <w:enabled/>
                  <w:calcOnExit w:val="0"/>
                  <w:textInput/>
                </w:ffData>
              </w:fldChar>
            </w:r>
            <w:r w:rsidRPr="00CA64DB">
              <w:rPr>
                <w:i/>
                <w:color w:val="000000"/>
                <w:sz w:val="18"/>
                <w:szCs w:val="18"/>
              </w:rPr>
              <w:instrText xml:space="preserve"> FORMTEXT </w:instrText>
            </w:r>
            <w:r w:rsidRPr="00CA64DB">
              <w:rPr>
                <w:i/>
                <w:color w:val="000000"/>
                <w:sz w:val="18"/>
                <w:szCs w:val="18"/>
              </w:rPr>
            </w:r>
            <w:r w:rsidRPr="00CA64DB">
              <w:rPr>
                <w:i/>
                <w:color w:val="000000"/>
                <w:sz w:val="18"/>
                <w:szCs w:val="18"/>
              </w:rPr>
              <w:fldChar w:fldCharType="separate"/>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fldChar w:fldCharType="end"/>
            </w:r>
          </w:p>
        </w:tc>
        <w:tc>
          <w:tcPr>
            <w:tcW w:w="1477" w:type="dxa"/>
            <w:gridSpan w:val="2"/>
          </w:tcPr>
          <w:p w14:paraId="755B61A4" w14:textId="77777777" w:rsidR="007520C1" w:rsidRPr="00CA64DB" w:rsidRDefault="007520C1" w:rsidP="00E049DB">
            <w:pPr>
              <w:jc w:val="right"/>
              <w:rPr>
                <w:sz w:val="18"/>
                <w:szCs w:val="18"/>
              </w:rPr>
            </w:pPr>
            <w:r w:rsidRPr="00CA64DB">
              <w:rPr>
                <w:i/>
                <w:color w:val="000000"/>
                <w:sz w:val="18"/>
                <w:szCs w:val="18"/>
              </w:rPr>
              <w:fldChar w:fldCharType="begin">
                <w:ffData>
                  <w:name w:val="F_GEB_BD_target"/>
                  <w:enabled/>
                  <w:calcOnExit w:val="0"/>
                  <w:textInput/>
                </w:ffData>
              </w:fldChar>
            </w:r>
            <w:r w:rsidRPr="00CA64DB">
              <w:rPr>
                <w:i/>
                <w:color w:val="000000"/>
                <w:sz w:val="18"/>
                <w:szCs w:val="18"/>
              </w:rPr>
              <w:instrText xml:space="preserve"> FORMTEXT </w:instrText>
            </w:r>
            <w:r w:rsidRPr="00CA64DB">
              <w:rPr>
                <w:i/>
                <w:color w:val="000000"/>
                <w:sz w:val="18"/>
                <w:szCs w:val="18"/>
              </w:rPr>
            </w:r>
            <w:r w:rsidRPr="00CA64DB">
              <w:rPr>
                <w:i/>
                <w:color w:val="000000"/>
                <w:sz w:val="18"/>
                <w:szCs w:val="18"/>
              </w:rPr>
              <w:fldChar w:fldCharType="separate"/>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fldChar w:fldCharType="end"/>
            </w:r>
          </w:p>
        </w:tc>
        <w:tc>
          <w:tcPr>
            <w:tcW w:w="1306" w:type="dxa"/>
            <w:gridSpan w:val="2"/>
          </w:tcPr>
          <w:p w14:paraId="4DBDC744" w14:textId="77777777" w:rsidR="007520C1" w:rsidRPr="00CA64DB" w:rsidRDefault="007520C1" w:rsidP="00E049DB">
            <w:pPr>
              <w:jc w:val="right"/>
              <w:rPr>
                <w:sz w:val="18"/>
                <w:szCs w:val="18"/>
              </w:rPr>
            </w:pPr>
            <w:r w:rsidRPr="00CA64DB">
              <w:rPr>
                <w:i/>
                <w:color w:val="000000"/>
                <w:sz w:val="18"/>
                <w:szCs w:val="18"/>
              </w:rPr>
              <w:fldChar w:fldCharType="begin">
                <w:ffData>
                  <w:name w:val="F_GEB_BD_target"/>
                  <w:enabled/>
                  <w:calcOnExit w:val="0"/>
                  <w:textInput/>
                </w:ffData>
              </w:fldChar>
            </w:r>
            <w:r w:rsidRPr="00CA64DB">
              <w:rPr>
                <w:i/>
                <w:color w:val="000000"/>
                <w:sz w:val="18"/>
                <w:szCs w:val="18"/>
              </w:rPr>
              <w:instrText xml:space="preserve"> FORMTEXT </w:instrText>
            </w:r>
            <w:r w:rsidRPr="00CA64DB">
              <w:rPr>
                <w:i/>
                <w:color w:val="000000"/>
                <w:sz w:val="18"/>
                <w:szCs w:val="18"/>
              </w:rPr>
            </w:r>
            <w:r w:rsidRPr="00CA64DB">
              <w:rPr>
                <w:i/>
                <w:color w:val="000000"/>
                <w:sz w:val="18"/>
                <w:szCs w:val="18"/>
              </w:rPr>
              <w:fldChar w:fldCharType="separate"/>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fldChar w:fldCharType="end"/>
            </w:r>
          </w:p>
        </w:tc>
        <w:tc>
          <w:tcPr>
            <w:tcW w:w="1313" w:type="dxa"/>
            <w:gridSpan w:val="2"/>
          </w:tcPr>
          <w:p w14:paraId="04924AC2" w14:textId="77777777" w:rsidR="007520C1" w:rsidRPr="00CA64DB" w:rsidRDefault="007520C1" w:rsidP="00E049DB">
            <w:pPr>
              <w:jc w:val="right"/>
              <w:rPr>
                <w:sz w:val="18"/>
                <w:szCs w:val="18"/>
              </w:rPr>
            </w:pPr>
            <w:r w:rsidRPr="00CA64DB">
              <w:rPr>
                <w:i/>
                <w:color w:val="000000"/>
                <w:sz w:val="18"/>
                <w:szCs w:val="18"/>
              </w:rPr>
              <w:fldChar w:fldCharType="begin">
                <w:ffData>
                  <w:name w:val="F_GEB_BD_target"/>
                  <w:enabled/>
                  <w:calcOnExit w:val="0"/>
                  <w:textInput/>
                </w:ffData>
              </w:fldChar>
            </w:r>
            <w:r w:rsidRPr="00CA64DB">
              <w:rPr>
                <w:i/>
                <w:color w:val="000000"/>
                <w:sz w:val="18"/>
                <w:szCs w:val="18"/>
              </w:rPr>
              <w:instrText xml:space="preserve"> FORMTEXT </w:instrText>
            </w:r>
            <w:r w:rsidRPr="00CA64DB">
              <w:rPr>
                <w:i/>
                <w:color w:val="000000"/>
                <w:sz w:val="18"/>
                <w:szCs w:val="18"/>
              </w:rPr>
            </w:r>
            <w:r w:rsidRPr="00CA64DB">
              <w:rPr>
                <w:i/>
                <w:color w:val="000000"/>
                <w:sz w:val="18"/>
                <w:szCs w:val="18"/>
              </w:rPr>
              <w:fldChar w:fldCharType="separate"/>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fldChar w:fldCharType="end"/>
            </w:r>
          </w:p>
        </w:tc>
      </w:tr>
      <w:tr w:rsidR="007520C1" w:rsidRPr="004244E0" w14:paraId="3BF304F5" w14:textId="77777777" w:rsidTr="00DB02C4">
        <w:tc>
          <w:tcPr>
            <w:tcW w:w="3957" w:type="dxa"/>
            <w:gridSpan w:val="3"/>
            <w:vMerge/>
          </w:tcPr>
          <w:p w14:paraId="77FAC5C1" w14:textId="77777777" w:rsidR="007520C1" w:rsidRPr="00CA64DB" w:rsidRDefault="007520C1" w:rsidP="00E049DB">
            <w:pPr>
              <w:jc w:val="right"/>
              <w:rPr>
                <w:sz w:val="18"/>
                <w:szCs w:val="18"/>
              </w:rPr>
            </w:pPr>
          </w:p>
        </w:tc>
        <w:tc>
          <w:tcPr>
            <w:tcW w:w="2782" w:type="dxa"/>
            <w:gridSpan w:val="2"/>
          </w:tcPr>
          <w:p w14:paraId="6A816230" w14:textId="77777777" w:rsidR="007520C1" w:rsidRPr="00CA64DB" w:rsidRDefault="007520C1" w:rsidP="00E049DB">
            <w:pPr>
              <w:jc w:val="right"/>
              <w:rPr>
                <w:sz w:val="18"/>
                <w:szCs w:val="18"/>
              </w:rPr>
            </w:pPr>
            <w:r w:rsidRPr="00CA64DB">
              <w:rPr>
                <w:i/>
                <w:color w:val="000000"/>
                <w:sz w:val="18"/>
                <w:szCs w:val="18"/>
              </w:rPr>
              <w:fldChar w:fldCharType="begin">
                <w:ffData>
                  <w:name w:val="F_GEB_BD_target"/>
                  <w:enabled/>
                  <w:calcOnExit w:val="0"/>
                  <w:textInput/>
                </w:ffData>
              </w:fldChar>
            </w:r>
            <w:r w:rsidRPr="00CA64DB">
              <w:rPr>
                <w:i/>
                <w:color w:val="000000"/>
                <w:sz w:val="18"/>
                <w:szCs w:val="18"/>
              </w:rPr>
              <w:instrText xml:space="preserve"> FORMTEXT </w:instrText>
            </w:r>
            <w:r w:rsidRPr="00CA64DB">
              <w:rPr>
                <w:i/>
                <w:color w:val="000000"/>
                <w:sz w:val="18"/>
                <w:szCs w:val="18"/>
              </w:rPr>
            </w:r>
            <w:r w:rsidRPr="00CA64DB">
              <w:rPr>
                <w:i/>
                <w:color w:val="000000"/>
                <w:sz w:val="18"/>
                <w:szCs w:val="18"/>
              </w:rPr>
              <w:fldChar w:fldCharType="separate"/>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fldChar w:fldCharType="end"/>
            </w:r>
          </w:p>
        </w:tc>
        <w:tc>
          <w:tcPr>
            <w:tcW w:w="1477" w:type="dxa"/>
            <w:gridSpan w:val="2"/>
          </w:tcPr>
          <w:p w14:paraId="00A0CCFE" w14:textId="77777777" w:rsidR="007520C1" w:rsidRPr="00CA64DB" w:rsidRDefault="007520C1" w:rsidP="00E049DB">
            <w:pPr>
              <w:jc w:val="right"/>
              <w:rPr>
                <w:sz w:val="18"/>
                <w:szCs w:val="18"/>
              </w:rPr>
            </w:pPr>
            <w:r w:rsidRPr="00CA64DB">
              <w:rPr>
                <w:i/>
                <w:color w:val="000000"/>
                <w:sz w:val="18"/>
                <w:szCs w:val="18"/>
              </w:rPr>
              <w:fldChar w:fldCharType="begin">
                <w:ffData>
                  <w:name w:val="F_GEB_BD_target"/>
                  <w:enabled/>
                  <w:calcOnExit w:val="0"/>
                  <w:textInput/>
                </w:ffData>
              </w:fldChar>
            </w:r>
            <w:r w:rsidRPr="00CA64DB">
              <w:rPr>
                <w:i/>
                <w:color w:val="000000"/>
                <w:sz w:val="18"/>
                <w:szCs w:val="18"/>
              </w:rPr>
              <w:instrText xml:space="preserve"> FORMTEXT </w:instrText>
            </w:r>
            <w:r w:rsidRPr="00CA64DB">
              <w:rPr>
                <w:i/>
                <w:color w:val="000000"/>
                <w:sz w:val="18"/>
                <w:szCs w:val="18"/>
              </w:rPr>
            </w:r>
            <w:r w:rsidRPr="00CA64DB">
              <w:rPr>
                <w:i/>
                <w:color w:val="000000"/>
                <w:sz w:val="18"/>
                <w:szCs w:val="18"/>
              </w:rPr>
              <w:fldChar w:fldCharType="separate"/>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fldChar w:fldCharType="end"/>
            </w:r>
          </w:p>
        </w:tc>
        <w:tc>
          <w:tcPr>
            <w:tcW w:w="1306" w:type="dxa"/>
            <w:gridSpan w:val="2"/>
          </w:tcPr>
          <w:p w14:paraId="33E4E1EC" w14:textId="77777777" w:rsidR="007520C1" w:rsidRPr="00CA64DB" w:rsidRDefault="007520C1" w:rsidP="00E049DB">
            <w:pPr>
              <w:jc w:val="right"/>
              <w:rPr>
                <w:sz w:val="18"/>
                <w:szCs w:val="18"/>
              </w:rPr>
            </w:pPr>
            <w:r w:rsidRPr="00CA64DB">
              <w:rPr>
                <w:i/>
                <w:color w:val="000000"/>
                <w:sz w:val="18"/>
                <w:szCs w:val="18"/>
              </w:rPr>
              <w:fldChar w:fldCharType="begin">
                <w:ffData>
                  <w:name w:val="F_GEB_BD_target"/>
                  <w:enabled/>
                  <w:calcOnExit w:val="0"/>
                  <w:textInput/>
                </w:ffData>
              </w:fldChar>
            </w:r>
            <w:r w:rsidRPr="00CA64DB">
              <w:rPr>
                <w:i/>
                <w:color w:val="000000"/>
                <w:sz w:val="18"/>
                <w:szCs w:val="18"/>
              </w:rPr>
              <w:instrText xml:space="preserve"> FORMTEXT </w:instrText>
            </w:r>
            <w:r w:rsidRPr="00CA64DB">
              <w:rPr>
                <w:i/>
                <w:color w:val="000000"/>
                <w:sz w:val="18"/>
                <w:szCs w:val="18"/>
              </w:rPr>
            </w:r>
            <w:r w:rsidRPr="00CA64DB">
              <w:rPr>
                <w:i/>
                <w:color w:val="000000"/>
                <w:sz w:val="18"/>
                <w:szCs w:val="18"/>
              </w:rPr>
              <w:fldChar w:fldCharType="separate"/>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fldChar w:fldCharType="end"/>
            </w:r>
          </w:p>
        </w:tc>
        <w:tc>
          <w:tcPr>
            <w:tcW w:w="1313" w:type="dxa"/>
            <w:gridSpan w:val="2"/>
          </w:tcPr>
          <w:p w14:paraId="6EBBF6AC" w14:textId="77777777" w:rsidR="007520C1" w:rsidRPr="00CA64DB" w:rsidRDefault="007520C1" w:rsidP="00E049DB">
            <w:pPr>
              <w:jc w:val="right"/>
              <w:rPr>
                <w:sz w:val="18"/>
                <w:szCs w:val="18"/>
              </w:rPr>
            </w:pPr>
            <w:r w:rsidRPr="00CA64DB">
              <w:rPr>
                <w:i/>
                <w:color w:val="000000"/>
                <w:sz w:val="18"/>
                <w:szCs w:val="18"/>
              </w:rPr>
              <w:fldChar w:fldCharType="begin">
                <w:ffData>
                  <w:name w:val="F_GEB_BD_target"/>
                  <w:enabled/>
                  <w:calcOnExit w:val="0"/>
                  <w:textInput/>
                </w:ffData>
              </w:fldChar>
            </w:r>
            <w:r w:rsidRPr="00CA64DB">
              <w:rPr>
                <w:i/>
                <w:color w:val="000000"/>
                <w:sz w:val="18"/>
                <w:szCs w:val="18"/>
              </w:rPr>
              <w:instrText xml:space="preserve"> FORMTEXT </w:instrText>
            </w:r>
            <w:r w:rsidRPr="00CA64DB">
              <w:rPr>
                <w:i/>
                <w:color w:val="000000"/>
                <w:sz w:val="18"/>
                <w:szCs w:val="18"/>
              </w:rPr>
            </w:r>
            <w:r w:rsidRPr="00CA64DB">
              <w:rPr>
                <w:i/>
                <w:color w:val="000000"/>
                <w:sz w:val="18"/>
                <w:szCs w:val="18"/>
              </w:rPr>
              <w:fldChar w:fldCharType="separate"/>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fldChar w:fldCharType="end"/>
            </w:r>
          </w:p>
        </w:tc>
      </w:tr>
      <w:tr w:rsidR="007520C1" w:rsidRPr="004244E0" w14:paraId="1E29F1B8" w14:textId="77777777" w:rsidTr="00DB02C4">
        <w:tc>
          <w:tcPr>
            <w:tcW w:w="1298" w:type="dxa"/>
            <w:shd w:val="clear" w:color="auto" w:fill="BFBFBF" w:themeFill="background1" w:themeFillShade="BF"/>
          </w:tcPr>
          <w:p w14:paraId="7511EC6A" w14:textId="77777777" w:rsidR="007520C1" w:rsidRPr="00CA64DB" w:rsidRDefault="007520C1" w:rsidP="00E049DB">
            <w:pPr>
              <w:rPr>
                <w:sz w:val="18"/>
                <w:szCs w:val="18"/>
              </w:rPr>
            </w:pPr>
            <w:r w:rsidRPr="00CA64DB">
              <w:rPr>
                <w:sz w:val="18"/>
                <w:szCs w:val="18"/>
              </w:rPr>
              <w:t>Indicator 5.2</w:t>
            </w:r>
          </w:p>
        </w:tc>
        <w:tc>
          <w:tcPr>
            <w:tcW w:w="6765" w:type="dxa"/>
            <w:gridSpan w:val="5"/>
            <w:shd w:val="clear" w:color="auto" w:fill="BFBFBF" w:themeFill="background1" w:themeFillShade="BF"/>
          </w:tcPr>
          <w:p w14:paraId="4BA78E4D" w14:textId="77777777" w:rsidR="007520C1" w:rsidRPr="00CA64DB" w:rsidRDefault="007520C1" w:rsidP="00E049DB">
            <w:pPr>
              <w:rPr>
                <w:sz w:val="18"/>
                <w:szCs w:val="18"/>
              </w:rPr>
            </w:pPr>
            <w:r w:rsidRPr="00CA64DB">
              <w:rPr>
                <w:sz w:val="18"/>
                <w:szCs w:val="18"/>
              </w:rPr>
              <w:t>Number of large marine ecosystems (LMEs) with reduced pollution and hypoxial</w:t>
            </w:r>
          </w:p>
        </w:tc>
        <w:tc>
          <w:tcPr>
            <w:tcW w:w="2772" w:type="dxa"/>
            <w:gridSpan w:val="5"/>
            <w:shd w:val="clear" w:color="auto" w:fill="BFBFBF" w:themeFill="background1" w:themeFillShade="BF"/>
          </w:tcPr>
          <w:p w14:paraId="760AFA1C" w14:textId="77777777" w:rsidR="007520C1" w:rsidRPr="00CA64DB" w:rsidRDefault="007520C1" w:rsidP="00E049DB">
            <w:pPr>
              <w:jc w:val="right"/>
              <w:rPr>
                <w:sz w:val="18"/>
                <w:szCs w:val="18"/>
              </w:rPr>
            </w:pPr>
            <w:r w:rsidRPr="00CA64DB">
              <w:rPr>
                <w:i/>
                <w:color w:val="000000"/>
                <w:sz w:val="18"/>
                <w:szCs w:val="18"/>
              </w:rPr>
              <w:fldChar w:fldCharType="begin">
                <w:ffData>
                  <w:name w:val="F_GEB_BD_target"/>
                  <w:enabled/>
                  <w:calcOnExit w:val="0"/>
                  <w:textInput/>
                </w:ffData>
              </w:fldChar>
            </w:r>
            <w:r w:rsidRPr="00CA64DB">
              <w:rPr>
                <w:i/>
                <w:color w:val="000000"/>
                <w:sz w:val="18"/>
                <w:szCs w:val="18"/>
              </w:rPr>
              <w:instrText xml:space="preserve"> FORMTEXT </w:instrText>
            </w:r>
            <w:r w:rsidRPr="00CA64DB">
              <w:rPr>
                <w:i/>
                <w:color w:val="000000"/>
                <w:sz w:val="18"/>
                <w:szCs w:val="18"/>
              </w:rPr>
            </w:r>
            <w:r w:rsidRPr="00CA64DB">
              <w:rPr>
                <w:i/>
                <w:color w:val="000000"/>
                <w:sz w:val="18"/>
                <w:szCs w:val="18"/>
              </w:rPr>
              <w:fldChar w:fldCharType="separate"/>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fldChar w:fldCharType="end"/>
            </w:r>
          </w:p>
        </w:tc>
      </w:tr>
      <w:tr w:rsidR="007520C1" w:rsidRPr="004244E0" w14:paraId="2085FCCA" w14:textId="77777777" w:rsidTr="00DB02C4">
        <w:trPr>
          <w:trHeight w:val="125"/>
        </w:trPr>
        <w:tc>
          <w:tcPr>
            <w:tcW w:w="1298" w:type="dxa"/>
            <w:vMerge w:val="restart"/>
          </w:tcPr>
          <w:p w14:paraId="4A2AE8E6" w14:textId="77777777" w:rsidR="007520C1" w:rsidRPr="00CA64DB" w:rsidRDefault="007520C1" w:rsidP="00E049DB">
            <w:pPr>
              <w:rPr>
                <w:sz w:val="18"/>
                <w:szCs w:val="18"/>
              </w:rPr>
            </w:pPr>
          </w:p>
        </w:tc>
        <w:tc>
          <w:tcPr>
            <w:tcW w:w="933" w:type="dxa"/>
            <w:vMerge w:val="restart"/>
          </w:tcPr>
          <w:p w14:paraId="6B359D36" w14:textId="77777777" w:rsidR="007520C1" w:rsidRPr="00CA64DB" w:rsidRDefault="007520C1" w:rsidP="00E049DB">
            <w:pPr>
              <w:rPr>
                <w:sz w:val="18"/>
                <w:szCs w:val="18"/>
              </w:rPr>
            </w:pPr>
          </w:p>
        </w:tc>
        <w:tc>
          <w:tcPr>
            <w:tcW w:w="1726" w:type="dxa"/>
            <w:vMerge w:val="restart"/>
          </w:tcPr>
          <w:p w14:paraId="02DD22C6" w14:textId="77777777" w:rsidR="007520C1" w:rsidRPr="00CA64DB" w:rsidRDefault="007520C1" w:rsidP="00E049DB">
            <w:pPr>
              <w:rPr>
                <w:sz w:val="18"/>
                <w:szCs w:val="18"/>
              </w:rPr>
            </w:pPr>
          </w:p>
        </w:tc>
        <w:tc>
          <w:tcPr>
            <w:tcW w:w="6878" w:type="dxa"/>
            <w:gridSpan w:val="8"/>
          </w:tcPr>
          <w:p w14:paraId="788BA6AC" w14:textId="77777777" w:rsidR="007520C1" w:rsidRPr="00CA64DB" w:rsidRDefault="007520C1" w:rsidP="00E049DB">
            <w:pPr>
              <w:jc w:val="center"/>
              <w:rPr>
                <w:sz w:val="18"/>
                <w:szCs w:val="18"/>
              </w:rPr>
            </w:pPr>
            <w:r w:rsidRPr="00CA64DB">
              <w:rPr>
                <w:sz w:val="18"/>
                <w:szCs w:val="18"/>
              </w:rPr>
              <w:t>Number</w:t>
            </w:r>
          </w:p>
        </w:tc>
      </w:tr>
      <w:tr w:rsidR="007520C1" w:rsidRPr="004244E0" w14:paraId="05571B59" w14:textId="77777777" w:rsidTr="00DB02C4">
        <w:trPr>
          <w:trHeight w:val="58"/>
        </w:trPr>
        <w:tc>
          <w:tcPr>
            <w:tcW w:w="1298" w:type="dxa"/>
            <w:vMerge/>
          </w:tcPr>
          <w:p w14:paraId="4F3F95F1" w14:textId="77777777" w:rsidR="007520C1" w:rsidRPr="00CA64DB" w:rsidRDefault="007520C1" w:rsidP="00E049DB">
            <w:pPr>
              <w:rPr>
                <w:sz w:val="18"/>
                <w:szCs w:val="18"/>
              </w:rPr>
            </w:pPr>
          </w:p>
        </w:tc>
        <w:tc>
          <w:tcPr>
            <w:tcW w:w="933" w:type="dxa"/>
            <w:vMerge/>
          </w:tcPr>
          <w:p w14:paraId="5568201B" w14:textId="77777777" w:rsidR="007520C1" w:rsidRPr="00CA64DB" w:rsidRDefault="007520C1" w:rsidP="00E049DB">
            <w:pPr>
              <w:rPr>
                <w:sz w:val="18"/>
                <w:szCs w:val="18"/>
              </w:rPr>
            </w:pPr>
          </w:p>
        </w:tc>
        <w:tc>
          <w:tcPr>
            <w:tcW w:w="1726" w:type="dxa"/>
            <w:vMerge/>
          </w:tcPr>
          <w:p w14:paraId="16A498AF" w14:textId="77777777" w:rsidR="007520C1" w:rsidRPr="00CA64DB" w:rsidRDefault="007520C1" w:rsidP="00E049DB">
            <w:pPr>
              <w:rPr>
                <w:sz w:val="18"/>
                <w:szCs w:val="18"/>
              </w:rPr>
            </w:pPr>
          </w:p>
        </w:tc>
        <w:tc>
          <w:tcPr>
            <w:tcW w:w="4106" w:type="dxa"/>
            <w:gridSpan w:val="3"/>
          </w:tcPr>
          <w:p w14:paraId="43822221" w14:textId="77777777" w:rsidR="007520C1" w:rsidRPr="00CA64DB" w:rsidRDefault="007520C1" w:rsidP="00E049DB">
            <w:pPr>
              <w:jc w:val="center"/>
              <w:rPr>
                <w:sz w:val="18"/>
                <w:szCs w:val="18"/>
              </w:rPr>
            </w:pPr>
            <w:r w:rsidRPr="00CA64DB">
              <w:rPr>
                <w:sz w:val="18"/>
                <w:szCs w:val="18"/>
              </w:rPr>
              <w:t>Expected</w:t>
            </w:r>
          </w:p>
        </w:tc>
        <w:tc>
          <w:tcPr>
            <w:tcW w:w="2772" w:type="dxa"/>
            <w:gridSpan w:val="5"/>
          </w:tcPr>
          <w:p w14:paraId="72641A6F" w14:textId="77777777" w:rsidR="007520C1" w:rsidRPr="00CA64DB" w:rsidRDefault="007520C1" w:rsidP="00E049DB">
            <w:pPr>
              <w:jc w:val="center"/>
              <w:rPr>
                <w:sz w:val="18"/>
                <w:szCs w:val="18"/>
              </w:rPr>
            </w:pPr>
            <w:r w:rsidRPr="00CA64DB">
              <w:rPr>
                <w:sz w:val="18"/>
                <w:szCs w:val="18"/>
              </w:rPr>
              <w:t>Achieved</w:t>
            </w:r>
          </w:p>
        </w:tc>
      </w:tr>
      <w:tr w:rsidR="007520C1" w:rsidRPr="004244E0" w14:paraId="15A1FBF6" w14:textId="77777777" w:rsidTr="00DB02C4">
        <w:trPr>
          <w:trHeight w:val="107"/>
        </w:trPr>
        <w:tc>
          <w:tcPr>
            <w:tcW w:w="1298" w:type="dxa"/>
            <w:vMerge/>
          </w:tcPr>
          <w:p w14:paraId="79C0E518" w14:textId="77777777" w:rsidR="007520C1" w:rsidRPr="00CA64DB" w:rsidRDefault="007520C1" w:rsidP="00E049DB">
            <w:pPr>
              <w:rPr>
                <w:sz w:val="18"/>
                <w:szCs w:val="18"/>
              </w:rPr>
            </w:pPr>
          </w:p>
        </w:tc>
        <w:tc>
          <w:tcPr>
            <w:tcW w:w="933" w:type="dxa"/>
            <w:vMerge/>
          </w:tcPr>
          <w:p w14:paraId="7821B9A9" w14:textId="77777777" w:rsidR="007520C1" w:rsidRPr="00CA64DB" w:rsidRDefault="007520C1" w:rsidP="00E049DB">
            <w:pPr>
              <w:rPr>
                <w:sz w:val="18"/>
                <w:szCs w:val="18"/>
              </w:rPr>
            </w:pPr>
          </w:p>
        </w:tc>
        <w:tc>
          <w:tcPr>
            <w:tcW w:w="1726" w:type="dxa"/>
            <w:vMerge/>
          </w:tcPr>
          <w:p w14:paraId="40DC709F" w14:textId="77777777" w:rsidR="007520C1" w:rsidRPr="00CA64DB" w:rsidRDefault="007520C1" w:rsidP="00E049DB">
            <w:pPr>
              <w:rPr>
                <w:sz w:val="18"/>
                <w:szCs w:val="18"/>
              </w:rPr>
            </w:pPr>
          </w:p>
        </w:tc>
        <w:tc>
          <w:tcPr>
            <w:tcW w:w="2782" w:type="dxa"/>
            <w:gridSpan w:val="2"/>
          </w:tcPr>
          <w:p w14:paraId="63D950B6" w14:textId="77777777" w:rsidR="007520C1" w:rsidRPr="00CA64DB" w:rsidRDefault="007520C1" w:rsidP="00E049DB">
            <w:pPr>
              <w:jc w:val="center"/>
              <w:rPr>
                <w:sz w:val="18"/>
                <w:szCs w:val="18"/>
              </w:rPr>
            </w:pPr>
            <w:r w:rsidRPr="00CA64DB">
              <w:rPr>
                <w:sz w:val="18"/>
                <w:szCs w:val="18"/>
              </w:rPr>
              <w:t>PIF stage</w:t>
            </w:r>
          </w:p>
        </w:tc>
        <w:tc>
          <w:tcPr>
            <w:tcW w:w="1485" w:type="dxa"/>
            <w:gridSpan w:val="3"/>
          </w:tcPr>
          <w:p w14:paraId="22FA44DD" w14:textId="77777777" w:rsidR="007520C1" w:rsidRPr="00CA64DB" w:rsidRDefault="007520C1" w:rsidP="00E049DB">
            <w:pPr>
              <w:jc w:val="center"/>
              <w:rPr>
                <w:sz w:val="18"/>
                <w:szCs w:val="18"/>
              </w:rPr>
            </w:pPr>
            <w:r w:rsidRPr="00CA64DB">
              <w:rPr>
                <w:sz w:val="18"/>
                <w:szCs w:val="18"/>
              </w:rPr>
              <w:t>Endorsement</w:t>
            </w:r>
          </w:p>
        </w:tc>
        <w:tc>
          <w:tcPr>
            <w:tcW w:w="1324" w:type="dxa"/>
            <w:gridSpan w:val="2"/>
          </w:tcPr>
          <w:p w14:paraId="76309797" w14:textId="77777777" w:rsidR="007520C1" w:rsidRPr="00CA64DB" w:rsidRDefault="007520C1" w:rsidP="00E049DB">
            <w:pPr>
              <w:jc w:val="center"/>
              <w:rPr>
                <w:sz w:val="18"/>
                <w:szCs w:val="18"/>
              </w:rPr>
            </w:pPr>
            <w:r w:rsidRPr="00CA64DB">
              <w:rPr>
                <w:sz w:val="18"/>
                <w:szCs w:val="18"/>
              </w:rPr>
              <w:t>MTR</w:t>
            </w:r>
          </w:p>
        </w:tc>
        <w:tc>
          <w:tcPr>
            <w:tcW w:w="1287" w:type="dxa"/>
          </w:tcPr>
          <w:p w14:paraId="41347CBB" w14:textId="77777777" w:rsidR="007520C1" w:rsidRPr="00CA64DB" w:rsidRDefault="007520C1" w:rsidP="00E049DB">
            <w:pPr>
              <w:jc w:val="center"/>
              <w:rPr>
                <w:sz w:val="18"/>
                <w:szCs w:val="18"/>
              </w:rPr>
            </w:pPr>
            <w:r w:rsidRPr="00CA64DB">
              <w:rPr>
                <w:sz w:val="18"/>
                <w:szCs w:val="18"/>
              </w:rPr>
              <w:t>TE</w:t>
            </w:r>
          </w:p>
        </w:tc>
      </w:tr>
      <w:tr w:rsidR="007520C1" w:rsidRPr="004244E0" w14:paraId="09329053" w14:textId="77777777" w:rsidTr="00DB02C4">
        <w:tc>
          <w:tcPr>
            <w:tcW w:w="1298" w:type="dxa"/>
          </w:tcPr>
          <w:p w14:paraId="024BC0AC" w14:textId="77777777" w:rsidR="007520C1" w:rsidRPr="00CA64DB" w:rsidRDefault="007520C1" w:rsidP="00E049DB">
            <w:pPr>
              <w:jc w:val="right"/>
              <w:rPr>
                <w:sz w:val="18"/>
                <w:szCs w:val="18"/>
              </w:rPr>
            </w:pPr>
          </w:p>
        </w:tc>
        <w:tc>
          <w:tcPr>
            <w:tcW w:w="933" w:type="dxa"/>
          </w:tcPr>
          <w:p w14:paraId="2F2B31B8" w14:textId="77777777" w:rsidR="007520C1" w:rsidRPr="00CA64DB" w:rsidRDefault="007520C1" w:rsidP="00E049DB">
            <w:pPr>
              <w:jc w:val="right"/>
              <w:rPr>
                <w:sz w:val="18"/>
                <w:szCs w:val="18"/>
              </w:rPr>
            </w:pPr>
          </w:p>
        </w:tc>
        <w:tc>
          <w:tcPr>
            <w:tcW w:w="1726" w:type="dxa"/>
          </w:tcPr>
          <w:p w14:paraId="271F3245" w14:textId="77777777" w:rsidR="007520C1" w:rsidRPr="00CA64DB" w:rsidRDefault="007520C1" w:rsidP="00E049DB">
            <w:pPr>
              <w:jc w:val="right"/>
              <w:rPr>
                <w:sz w:val="18"/>
                <w:szCs w:val="18"/>
              </w:rPr>
            </w:pPr>
          </w:p>
        </w:tc>
        <w:tc>
          <w:tcPr>
            <w:tcW w:w="2782" w:type="dxa"/>
            <w:gridSpan w:val="2"/>
          </w:tcPr>
          <w:p w14:paraId="72D8440D" w14:textId="77777777" w:rsidR="007520C1" w:rsidRPr="00CA64DB" w:rsidRDefault="007520C1" w:rsidP="00E049DB">
            <w:pPr>
              <w:jc w:val="right"/>
              <w:rPr>
                <w:sz w:val="18"/>
                <w:szCs w:val="18"/>
              </w:rPr>
            </w:pPr>
            <w:r w:rsidRPr="00CA64DB">
              <w:rPr>
                <w:i/>
                <w:color w:val="000000"/>
                <w:sz w:val="18"/>
                <w:szCs w:val="18"/>
              </w:rPr>
              <w:fldChar w:fldCharType="begin">
                <w:ffData>
                  <w:name w:val="F_GEB_BD_target"/>
                  <w:enabled/>
                  <w:calcOnExit w:val="0"/>
                  <w:textInput/>
                </w:ffData>
              </w:fldChar>
            </w:r>
            <w:r w:rsidRPr="00CA64DB">
              <w:rPr>
                <w:i/>
                <w:color w:val="000000"/>
                <w:sz w:val="18"/>
                <w:szCs w:val="18"/>
              </w:rPr>
              <w:instrText xml:space="preserve"> FORMTEXT </w:instrText>
            </w:r>
            <w:r w:rsidRPr="00CA64DB">
              <w:rPr>
                <w:i/>
                <w:color w:val="000000"/>
                <w:sz w:val="18"/>
                <w:szCs w:val="18"/>
              </w:rPr>
            </w:r>
            <w:r w:rsidRPr="00CA64DB">
              <w:rPr>
                <w:i/>
                <w:color w:val="000000"/>
                <w:sz w:val="18"/>
                <w:szCs w:val="18"/>
              </w:rPr>
              <w:fldChar w:fldCharType="separate"/>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fldChar w:fldCharType="end"/>
            </w:r>
          </w:p>
        </w:tc>
        <w:tc>
          <w:tcPr>
            <w:tcW w:w="1485" w:type="dxa"/>
            <w:gridSpan w:val="3"/>
          </w:tcPr>
          <w:p w14:paraId="6DB78F65" w14:textId="77777777" w:rsidR="007520C1" w:rsidRPr="00CA64DB" w:rsidRDefault="007520C1" w:rsidP="00E049DB">
            <w:pPr>
              <w:jc w:val="right"/>
              <w:rPr>
                <w:sz w:val="18"/>
                <w:szCs w:val="18"/>
              </w:rPr>
            </w:pPr>
            <w:r w:rsidRPr="00CA64DB">
              <w:rPr>
                <w:i/>
                <w:color w:val="000000"/>
                <w:sz w:val="18"/>
                <w:szCs w:val="18"/>
              </w:rPr>
              <w:fldChar w:fldCharType="begin">
                <w:ffData>
                  <w:name w:val="F_GEB_BD_target"/>
                  <w:enabled/>
                  <w:calcOnExit w:val="0"/>
                  <w:textInput/>
                </w:ffData>
              </w:fldChar>
            </w:r>
            <w:r w:rsidRPr="00CA64DB">
              <w:rPr>
                <w:i/>
                <w:color w:val="000000"/>
                <w:sz w:val="18"/>
                <w:szCs w:val="18"/>
              </w:rPr>
              <w:instrText xml:space="preserve"> FORMTEXT </w:instrText>
            </w:r>
            <w:r w:rsidRPr="00CA64DB">
              <w:rPr>
                <w:i/>
                <w:color w:val="000000"/>
                <w:sz w:val="18"/>
                <w:szCs w:val="18"/>
              </w:rPr>
            </w:r>
            <w:r w:rsidRPr="00CA64DB">
              <w:rPr>
                <w:i/>
                <w:color w:val="000000"/>
                <w:sz w:val="18"/>
                <w:szCs w:val="18"/>
              </w:rPr>
              <w:fldChar w:fldCharType="separate"/>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fldChar w:fldCharType="end"/>
            </w:r>
          </w:p>
        </w:tc>
        <w:tc>
          <w:tcPr>
            <w:tcW w:w="1324" w:type="dxa"/>
            <w:gridSpan w:val="2"/>
          </w:tcPr>
          <w:p w14:paraId="36050C74" w14:textId="77777777" w:rsidR="007520C1" w:rsidRPr="00CA64DB" w:rsidRDefault="007520C1" w:rsidP="00E049DB">
            <w:pPr>
              <w:jc w:val="right"/>
              <w:rPr>
                <w:sz w:val="18"/>
                <w:szCs w:val="18"/>
              </w:rPr>
            </w:pPr>
            <w:r w:rsidRPr="00CA64DB">
              <w:rPr>
                <w:i/>
                <w:color w:val="000000"/>
                <w:sz w:val="18"/>
                <w:szCs w:val="18"/>
              </w:rPr>
              <w:fldChar w:fldCharType="begin">
                <w:ffData>
                  <w:name w:val="F_GEB_BD_target"/>
                  <w:enabled/>
                  <w:calcOnExit w:val="0"/>
                  <w:textInput/>
                </w:ffData>
              </w:fldChar>
            </w:r>
            <w:r w:rsidRPr="00CA64DB">
              <w:rPr>
                <w:i/>
                <w:color w:val="000000"/>
                <w:sz w:val="18"/>
                <w:szCs w:val="18"/>
              </w:rPr>
              <w:instrText xml:space="preserve"> FORMTEXT </w:instrText>
            </w:r>
            <w:r w:rsidRPr="00CA64DB">
              <w:rPr>
                <w:i/>
                <w:color w:val="000000"/>
                <w:sz w:val="18"/>
                <w:szCs w:val="18"/>
              </w:rPr>
            </w:r>
            <w:r w:rsidRPr="00CA64DB">
              <w:rPr>
                <w:i/>
                <w:color w:val="000000"/>
                <w:sz w:val="18"/>
                <w:szCs w:val="18"/>
              </w:rPr>
              <w:fldChar w:fldCharType="separate"/>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fldChar w:fldCharType="end"/>
            </w:r>
          </w:p>
        </w:tc>
        <w:tc>
          <w:tcPr>
            <w:tcW w:w="1287" w:type="dxa"/>
          </w:tcPr>
          <w:p w14:paraId="7ABB943B" w14:textId="77777777" w:rsidR="007520C1" w:rsidRPr="00CA64DB" w:rsidRDefault="007520C1" w:rsidP="00E049DB">
            <w:pPr>
              <w:jc w:val="right"/>
              <w:rPr>
                <w:sz w:val="18"/>
                <w:szCs w:val="18"/>
              </w:rPr>
            </w:pPr>
            <w:r w:rsidRPr="00CA64DB">
              <w:rPr>
                <w:i/>
                <w:color w:val="000000"/>
                <w:sz w:val="18"/>
                <w:szCs w:val="18"/>
              </w:rPr>
              <w:fldChar w:fldCharType="begin">
                <w:ffData>
                  <w:name w:val="F_GEB_BD_target"/>
                  <w:enabled/>
                  <w:calcOnExit w:val="0"/>
                  <w:textInput/>
                </w:ffData>
              </w:fldChar>
            </w:r>
            <w:r w:rsidRPr="00CA64DB">
              <w:rPr>
                <w:i/>
                <w:color w:val="000000"/>
                <w:sz w:val="18"/>
                <w:szCs w:val="18"/>
              </w:rPr>
              <w:instrText xml:space="preserve"> FORMTEXT </w:instrText>
            </w:r>
            <w:r w:rsidRPr="00CA64DB">
              <w:rPr>
                <w:i/>
                <w:color w:val="000000"/>
                <w:sz w:val="18"/>
                <w:szCs w:val="18"/>
              </w:rPr>
            </w:r>
            <w:r w:rsidRPr="00CA64DB">
              <w:rPr>
                <w:i/>
                <w:color w:val="000000"/>
                <w:sz w:val="18"/>
                <w:szCs w:val="18"/>
              </w:rPr>
              <w:fldChar w:fldCharType="separate"/>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fldChar w:fldCharType="end"/>
            </w:r>
          </w:p>
        </w:tc>
      </w:tr>
      <w:tr w:rsidR="007520C1" w:rsidRPr="004244E0" w14:paraId="74DC2846" w14:textId="77777777" w:rsidTr="00DB02C4">
        <w:tc>
          <w:tcPr>
            <w:tcW w:w="1298" w:type="dxa"/>
          </w:tcPr>
          <w:p w14:paraId="73D78169" w14:textId="77777777" w:rsidR="007520C1" w:rsidRPr="00CA64DB" w:rsidRDefault="007520C1" w:rsidP="00E049DB">
            <w:pPr>
              <w:jc w:val="right"/>
              <w:rPr>
                <w:sz w:val="18"/>
                <w:szCs w:val="18"/>
              </w:rPr>
            </w:pPr>
          </w:p>
        </w:tc>
        <w:tc>
          <w:tcPr>
            <w:tcW w:w="933" w:type="dxa"/>
          </w:tcPr>
          <w:p w14:paraId="2D8CA15E" w14:textId="77777777" w:rsidR="007520C1" w:rsidRPr="00CA64DB" w:rsidRDefault="007520C1" w:rsidP="00E049DB">
            <w:pPr>
              <w:jc w:val="right"/>
              <w:rPr>
                <w:sz w:val="18"/>
                <w:szCs w:val="18"/>
              </w:rPr>
            </w:pPr>
          </w:p>
        </w:tc>
        <w:tc>
          <w:tcPr>
            <w:tcW w:w="1726" w:type="dxa"/>
          </w:tcPr>
          <w:p w14:paraId="07174F52" w14:textId="77777777" w:rsidR="007520C1" w:rsidRPr="00CA64DB" w:rsidRDefault="007520C1" w:rsidP="00E049DB">
            <w:pPr>
              <w:jc w:val="right"/>
              <w:rPr>
                <w:sz w:val="18"/>
                <w:szCs w:val="18"/>
              </w:rPr>
            </w:pPr>
          </w:p>
        </w:tc>
        <w:tc>
          <w:tcPr>
            <w:tcW w:w="2782" w:type="dxa"/>
            <w:gridSpan w:val="2"/>
          </w:tcPr>
          <w:p w14:paraId="244AAACC" w14:textId="77777777" w:rsidR="007520C1" w:rsidRPr="00CA64DB" w:rsidRDefault="007520C1" w:rsidP="00E049DB">
            <w:pPr>
              <w:jc w:val="right"/>
              <w:rPr>
                <w:sz w:val="18"/>
                <w:szCs w:val="18"/>
              </w:rPr>
            </w:pPr>
            <w:r w:rsidRPr="00CA64DB">
              <w:rPr>
                <w:i/>
                <w:color w:val="000000"/>
                <w:sz w:val="18"/>
                <w:szCs w:val="18"/>
              </w:rPr>
              <w:fldChar w:fldCharType="begin">
                <w:ffData>
                  <w:name w:val="F_GEB_BD_target"/>
                  <w:enabled/>
                  <w:calcOnExit w:val="0"/>
                  <w:textInput/>
                </w:ffData>
              </w:fldChar>
            </w:r>
            <w:r w:rsidRPr="00CA64DB">
              <w:rPr>
                <w:i/>
                <w:color w:val="000000"/>
                <w:sz w:val="18"/>
                <w:szCs w:val="18"/>
              </w:rPr>
              <w:instrText xml:space="preserve"> FORMTEXT </w:instrText>
            </w:r>
            <w:r w:rsidRPr="00CA64DB">
              <w:rPr>
                <w:i/>
                <w:color w:val="000000"/>
                <w:sz w:val="18"/>
                <w:szCs w:val="18"/>
              </w:rPr>
            </w:r>
            <w:r w:rsidRPr="00CA64DB">
              <w:rPr>
                <w:i/>
                <w:color w:val="000000"/>
                <w:sz w:val="18"/>
                <w:szCs w:val="18"/>
              </w:rPr>
              <w:fldChar w:fldCharType="separate"/>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fldChar w:fldCharType="end"/>
            </w:r>
          </w:p>
        </w:tc>
        <w:tc>
          <w:tcPr>
            <w:tcW w:w="1485" w:type="dxa"/>
            <w:gridSpan w:val="3"/>
          </w:tcPr>
          <w:p w14:paraId="5F871BD0" w14:textId="77777777" w:rsidR="007520C1" w:rsidRPr="00CA64DB" w:rsidRDefault="007520C1" w:rsidP="00E049DB">
            <w:pPr>
              <w:jc w:val="right"/>
              <w:rPr>
                <w:sz w:val="18"/>
                <w:szCs w:val="18"/>
              </w:rPr>
            </w:pPr>
            <w:r w:rsidRPr="00CA64DB">
              <w:rPr>
                <w:i/>
                <w:color w:val="000000"/>
                <w:sz w:val="18"/>
                <w:szCs w:val="18"/>
              </w:rPr>
              <w:fldChar w:fldCharType="begin">
                <w:ffData>
                  <w:name w:val="F_GEB_BD_target"/>
                  <w:enabled/>
                  <w:calcOnExit w:val="0"/>
                  <w:textInput/>
                </w:ffData>
              </w:fldChar>
            </w:r>
            <w:r w:rsidRPr="00CA64DB">
              <w:rPr>
                <w:i/>
                <w:color w:val="000000"/>
                <w:sz w:val="18"/>
                <w:szCs w:val="18"/>
              </w:rPr>
              <w:instrText xml:space="preserve"> FORMTEXT </w:instrText>
            </w:r>
            <w:r w:rsidRPr="00CA64DB">
              <w:rPr>
                <w:i/>
                <w:color w:val="000000"/>
                <w:sz w:val="18"/>
                <w:szCs w:val="18"/>
              </w:rPr>
            </w:r>
            <w:r w:rsidRPr="00CA64DB">
              <w:rPr>
                <w:i/>
                <w:color w:val="000000"/>
                <w:sz w:val="18"/>
                <w:szCs w:val="18"/>
              </w:rPr>
              <w:fldChar w:fldCharType="separate"/>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fldChar w:fldCharType="end"/>
            </w:r>
          </w:p>
        </w:tc>
        <w:tc>
          <w:tcPr>
            <w:tcW w:w="1324" w:type="dxa"/>
            <w:gridSpan w:val="2"/>
          </w:tcPr>
          <w:p w14:paraId="5D42F43F" w14:textId="77777777" w:rsidR="007520C1" w:rsidRPr="00CA64DB" w:rsidRDefault="007520C1" w:rsidP="00E049DB">
            <w:pPr>
              <w:jc w:val="right"/>
              <w:rPr>
                <w:sz w:val="18"/>
                <w:szCs w:val="18"/>
              </w:rPr>
            </w:pPr>
            <w:r w:rsidRPr="00CA64DB">
              <w:rPr>
                <w:i/>
                <w:color w:val="000000"/>
                <w:sz w:val="18"/>
                <w:szCs w:val="18"/>
              </w:rPr>
              <w:fldChar w:fldCharType="begin">
                <w:ffData>
                  <w:name w:val="F_GEB_BD_target"/>
                  <w:enabled/>
                  <w:calcOnExit w:val="0"/>
                  <w:textInput/>
                </w:ffData>
              </w:fldChar>
            </w:r>
            <w:r w:rsidRPr="00CA64DB">
              <w:rPr>
                <w:i/>
                <w:color w:val="000000"/>
                <w:sz w:val="18"/>
                <w:szCs w:val="18"/>
              </w:rPr>
              <w:instrText xml:space="preserve"> FORMTEXT </w:instrText>
            </w:r>
            <w:r w:rsidRPr="00CA64DB">
              <w:rPr>
                <w:i/>
                <w:color w:val="000000"/>
                <w:sz w:val="18"/>
                <w:szCs w:val="18"/>
              </w:rPr>
            </w:r>
            <w:r w:rsidRPr="00CA64DB">
              <w:rPr>
                <w:i/>
                <w:color w:val="000000"/>
                <w:sz w:val="18"/>
                <w:szCs w:val="18"/>
              </w:rPr>
              <w:fldChar w:fldCharType="separate"/>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fldChar w:fldCharType="end"/>
            </w:r>
          </w:p>
        </w:tc>
        <w:tc>
          <w:tcPr>
            <w:tcW w:w="1287" w:type="dxa"/>
          </w:tcPr>
          <w:p w14:paraId="6CA0EE20" w14:textId="77777777" w:rsidR="007520C1" w:rsidRPr="00CA64DB" w:rsidRDefault="007520C1" w:rsidP="00E049DB">
            <w:pPr>
              <w:jc w:val="right"/>
              <w:rPr>
                <w:sz w:val="18"/>
                <w:szCs w:val="18"/>
              </w:rPr>
            </w:pPr>
            <w:r w:rsidRPr="00CA64DB">
              <w:rPr>
                <w:i/>
                <w:color w:val="000000"/>
                <w:sz w:val="18"/>
                <w:szCs w:val="18"/>
              </w:rPr>
              <w:fldChar w:fldCharType="begin">
                <w:ffData>
                  <w:name w:val="F_GEB_BD_target"/>
                  <w:enabled/>
                  <w:calcOnExit w:val="0"/>
                  <w:textInput/>
                </w:ffData>
              </w:fldChar>
            </w:r>
            <w:r w:rsidRPr="00CA64DB">
              <w:rPr>
                <w:i/>
                <w:color w:val="000000"/>
                <w:sz w:val="18"/>
                <w:szCs w:val="18"/>
              </w:rPr>
              <w:instrText xml:space="preserve"> FORMTEXT </w:instrText>
            </w:r>
            <w:r w:rsidRPr="00CA64DB">
              <w:rPr>
                <w:i/>
                <w:color w:val="000000"/>
                <w:sz w:val="18"/>
                <w:szCs w:val="18"/>
              </w:rPr>
            </w:r>
            <w:r w:rsidRPr="00CA64DB">
              <w:rPr>
                <w:i/>
                <w:color w:val="000000"/>
                <w:sz w:val="18"/>
                <w:szCs w:val="18"/>
              </w:rPr>
              <w:fldChar w:fldCharType="separate"/>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fldChar w:fldCharType="end"/>
            </w:r>
          </w:p>
        </w:tc>
      </w:tr>
      <w:tr w:rsidR="007520C1" w:rsidRPr="004244E0" w14:paraId="5B8D0340" w14:textId="77777777" w:rsidTr="00DB02C4">
        <w:tc>
          <w:tcPr>
            <w:tcW w:w="1298" w:type="dxa"/>
            <w:shd w:val="clear" w:color="auto" w:fill="A6A6A6" w:themeFill="background1" w:themeFillShade="A6"/>
          </w:tcPr>
          <w:p w14:paraId="3D01FFF0" w14:textId="77777777" w:rsidR="007520C1" w:rsidRPr="00CA64DB" w:rsidRDefault="007520C1" w:rsidP="00E049DB">
            <w:pPr>
              <w:jc w:val="right"/>
              <w:rPr>
                <w:sz w:val="18"/>
                <w:szCs w:val="18"/>
              </w:rPr>
            </w:pPr>
            <w:r w:rsidRPr="00CA64DB">
              <w:rPr>
                <w:sz w:val="18"/>
                <w:szCs w:val="18"/>
              </w:rPr>
              <w:t>Indicator 5.3</w:t>
            </w:r>
          </w:p>
        </w:tc>
        <w:tc>
          <w:tcPr>
            <w:tcW w:w="9537" w:type="dxa"/>
            <w:gridSpan w:val="10"/>
            <w:shd w:val="clear" w:color="auto" w:fill="BFBFBF" w:themeFill="background1" w:themeFillShade="BF"/>
          </w:tcPr>
          <w:p w14:paraId="10C4736E" w14:textId="77777777" w:rsidR="007520C1" w:rsidRPr="00CA64DB" w:rsidRDefault="007520C1" w:rsidP="00E049DB">
            <w:pPr>
              <w:rPr>
                <w:sz w:val="18"/>
                <w:szCs w:val="18"/>
              </w:rPr>
            </w:pPr>
            <w:r w:rsidRPr="00CA64DB">
              <w:rPr>
                <w:sz w:val="18"/>
                <w:szCs w:val="18"/>
              </w:rPr>
              <w:t>Amount of Marine Litter Avoided</w:t>
            </w:r>
          </w:p>
        </w:tc>
      </w:tr>
      <w:tr w:rsidR="007520C1" w:rsidRPr="004244E0" w14:paraId="70451954" w14:textId="77777777" w:rsidTr="00DB02C4">
        <w:tc>
          <w:tcPr>
            <w:tcW w:w="1298" w:type="dxa"/>
            <w:vMerge w:val="restart"/>
          </w:tcPr>
          <w:p w14:paraId="4BC2823F" w14:textId="77777777" w:rsidR="007520C1" w:rsidRPr="00CA64DB" w:rsidRDefault="007520C1" w:rsidP="00E049DB">
            <w:pPr>
              <w:jc w:val="right"/>
              <w:rPr>
                <w:sz w:val="18"/>
                <w:szCs w:val="18"/>
              </w:rPr>
            </w:pPr>
          </w:p>
        </w:tc>
        <w:tc>
          <w:tcPr>
            <w:tcW w:w="933" w:type="dxa"/>
            <w:vMerge w:val="restart"/>
          </w:tcPr>
          <w:p w14:paraId="000B761E" w14:textId="77777777" w:rsidR="007520C1" w:rsidRPr="00CA64DB" w:rsidRDefault="007520C1" w:rsidP="00E049DB">
            <w:pPr>
              <w:jc w:val="right"/>
              <w:rPr>
                <w:sz w:val="18"/>
                <w:szCs w:val="18"/>
              </w:rPr>
            </w:pPr>
          </w:p>
        </w:tc>
        <w:tc>
          <w:tcPr>
            <w:tcW w:w="1726" w:type="dxa"/>
            <w:vMerge w:val="restart"/>
          </w:tcPr>
          <w:p w14:paraId="52BF1E76" w14:textId="77777777" w:rsidR="007520C1" w:rsidRPr="00CA64DB" w:rsidRDefault="007520C1" w:rsidP="00E049DB">
            <w:pPr>
              <w:jc w:val="right"/>
              <w:rPr>
                <w:sz w:val="18"/>
                <w:szCs w:val="18"/>
              </w:rPr>
            </w:pPr>
          </w:p>
        </w:tc>
        <w:tc>
          <w:tcPr>
            <w:tcW w:w="6878" w:type="dxa"/>
            <w:gridSpan w:val="8"/>
          </w:tcPr>
          <w:p w14:paraId="09006C3D" w14:textId="77777777" w:rsidR="007520C1" w:rsidRPr="00CA64DB" w:rsidRDefault="007520C1" w:rsidP="00E049DB">
            <w:pPr>
              <w:jc w:val="center"/>
              <w:rPr>
                <w:color w:val="000000"/>
                <w:sz w:val="18"/>
                <w:szCs w:val="18"/>
              </w:rPr>
            </w:pPr>
            <w:r w:rsidRPr="00CA64DB">
              <w:rPr>
                <w:color w:val="000000"/>
                <w:sz w:val="18"/>
                <w:szCs w:val="18"/>
              </w:rPr>
              <w:t>Metric Tons</w:t>
            </w:r>
          </w:p>
        </w:tc>
      </w:tr>
      <w:tr w:rsidR="007520C1" w:rsidRPr="004244E0" w14:paraId="71A01DA3" w14:textId="77777777" w:rsidTr="00DB02C4">
        <w:tc>
          <w:tcPr>
            <w:tcW w:w="1298" w:type="dxa"/>
            <w:vMerge/>
          </w:tcPr>
          <w:p w14:paraId="25E99C0F" w14:textId="77777777" w:rsidR="007520C1" w:rsidRPr="00CA64DB" w:rsidRDefault="007520C1" w:rsidP="00E049DB">
            <w:pPr>
              <w:jc w:val="right"/>
              <w:rPr>
                <w:sz w:val="18"/>
                <w:szCs w:val="18"/>
              </w:rPr>
            </w:pPr>
          </w:p>
        </w:tc>
        <w:tc>
          <w:tcPr>
            <w:tcW w:w="933" w:type="dxa"/>
            <w:vMerge/>
          </w:tcPr>
          <w:p w14:paraId="0E14BEB3" w14:textId="77777777" w:rsidR="007520C1" w:rsidRPr="00CA64DB" w:rsidRDefault="007520C1" w:rsidP="00E049DB">
            <w:pPr>
              <w:jc w:val="right"/>
              <w:rPr>
                <w:sz w:val="18"/>
                <w:szCs w:val="18"/>
              </w:rPr>
            </w:pPr>
          </w:p>
        </w:tc>
        <w:tc>
          <w:tcPr>
            <w:tcW w:w="1726" w:type="dxa"/>
            <w:vMerge/>
          </w:tcPr>
          <w:p w14:paraId="4CE484EF" w14:textId="77777777" w:rsidR="007520C1" w:rsidRPr="00CA64DB" w:rsidRDefault="007520C1" w:rsidP="00E049DB">
            <w:pPr>
              <w:jc w:val="right"/>
              <w:rPr>
                <w:sz w:val="18"/>
                <w:szCs w:val="18"/>
              </w:rPr>
            </w:pPr>
          </w:p>
        </w:tc>
        <w:tc>
          <w:tcPr>
            <w:tcW w:w="4106" w:type="dxa"/>
            <w:gridSpan w:val="3"/>
          </w:tcPr>
          <w:p w14:paraId="75CCAF98" w14:textId="77777777" w:rsidR="007520C1" w:rsidRPr="00CA64DB" w:rsidRDefault="007520C1" w:rsidP="00E049DB">
            <w:pPr>
              <w:jc w:val="center"/>
              <w:rPr>
                <w:color w:val="000000"/>
                <w:sz w:val="18"/>
                <w:szCs w:val="18"/>
              </w:rPr>
            </w:pPr>
            <w:r w:rsidRPr="00CA64DB">
              <w:rPr>
                <w:color w:val="000000"/>
                <w:sz w:val="18"/>
                <w:szCs w:val="18"/>
              </w:rPr>
              <w:t>Expected</w:t>
            </w:r>
          </w:p>
        </w:tc>
        <w:tc>
          <w:tcPr>
            <w:tcW w:w="2772" w:type="dxa"/>
            <w:gridSpan w:val="5"/>
          </w:tcPr>
          <w:p w14:paraId="48795434" w14:textId="77777777" w:rsidR="007520C1" w:rsidRPr="00CA64DB" w:rsidRDefault="007520C1" w:rsidP="00E049DB">
            <w:pPr>
              <w:jc w:val="center"/>
              <w:rPr>
                <w:color w:val="000000"/>
                <w:sz w:val="18"/>
                <w:szCs w:val="18"/>
              </w:rPr>
            </w:pPr>
            <w:r w:rsidRPr="00CA64DB">
              <w:rPr>
                <w:color w:val="000000"/>
                <w:sz w:val="18"/>
                <w:szCs w:val="18"/>
              </w:rPr>
              <w:t>Achieved</w:t>
            </w:r>
          </w:p>
        </w:tc>
      </w:tr>
      <w:tr w:rsidR="007520C1" w:rsidRPr="004244E0" w14:paraId="3499E757" w14:textId="77777777" w:rsidTr="00DB02C4">
        <w:tc>
          <w:tcPr>
            <w:tcW w:w="1298" w:type="dxa"/>
            <w:vMerge/>
          </w:tcPr>
          <w:p w14:paraId="269DF2BF" w14:textId="77777777" w:rsidR="007520C1" w:rsidRPr="00CA64DB" w:rsidRDefault="007520C1" w:rsidP="00E049DB">
            <w:pPr>
              <w:jc w:val="right"/>
              <w:rPr>
                <w:sz w:val="18"/>
                <w:szCs w:val="18"/>
              </w:rPr>
            </w:pPr>
          </w:p>
        </w:tc>
        <w:tc>
          <w:tcPr>
            <w:tcW w:w="933" w:type="dxa"/>
            <w:vMerge/>
          </w:tcPr>
          <w:p w14:paraId="14765F08" w14:textId="77777777" w:rsidR="007520C1" w:rsidRPr="00CA64DB" w:rsidRDefault="007520C1" w:rsidP="00E049DB">
            <w:pPr>
              <w:jc w:val="right"/>
              <w:rPr>
                <w:sz w:val="18"/>
                <w:szCs w:val="18"/>
              </w:rPr>
            </w:pPr>
          </w:p>
        </w:tc>
        <w:tc>
          <w:tcPr>
            <w:tcW w:w="1726" w:type="dxa"/>
            <w:vMerge/>
          </w:tcPr>
          <w:p w14:paraId="1C2880FD" w14:textId="77777777" w:rsidR="007520C1" w:rsidRPr="00CA64DB" w:rsidRDefault="007520C1" w:rsidP="00E049DB">
            <w:pPr>
              <w:jc w:val="right"/>
              <w:rPr>
                <w:sz w:val="18"/>
                <w:szCs w:val="18"/>
              </w:rPr>
            </w:pPr>
          </w:p>
        </w:tc>
        <w:tc>
          <w:tcPr>
            <w:tcW w:w="2782" w:type="dxa"/>
            <w:gridSpan w:val="2"/>
          </w:tcPr>
          <w:p w14:paraId="58E91D89" w14:textId="77777777" w:rsidR="007520C1" w:rsidRPr="00CA64DB" w:rsidRDefault="007520C1" w:rsidP="00E049DB">
            <w:pPr>
              <w:jc w:val="right"/>
              <w:rPr>
                <w:i/>
                <w:color w:val="000000"/>
                <w:sz w:val="18"/>
                <w:szCs w:val="18"/>
              </w:rPr>
            </w:pPr>
            <w:r w:rsidRPr="00CA64DB">
              <w:rPr>
                <w:sz w:val="18"/>
                <w:szCs w:val="18"/>
              </w:rPr>
              <w:t>PIF stage</w:t>
            </w:r>
          </w:p>
        </w:tc>
        <w:tc>
          <w:tcPr>
            <w:tcW w:w="1485" w:type="dxa"/>
            <w:gridSpan w:val="3"/>
          </w:tcPr>
          <w:p w14:paraId="021EF062" w14:textId="77777777" w:rsidR="007520C1" w:rsidRPr="00CA64DB" w:rsidRDefault="007520C1" w:rsidP="00E049DB">
            <w:pPr>
              <w:jc w:val="right"/>
              <w:rPr>
                <w:i/>
                <w:color w:val="000000"/>
                <w:sz w:val="18"/>
                <w:szCs w:val="18"/>
              </w:rPr>
            </w:pPr>
            <w:r w:rsidRPr="00CA64DB">
              <w:rPr>
                <w:sz w:val="18"/>
                <w:szCs w:val="18"/>
              </w:rPr>
              <w:t>Endorsement</w:t>
            </w:r>
          </w:p>
        </w:tc>
        <w:tc>
          <w:tcPr>
            <w:tcW w:w="1324" w:type="dxa"/>
            <w:gridSpan w:val="2"/>
          </w:tcPr>
          <w:p w14:paraId="77F88A62" w14:textId="77777777" w:rsidR="007520C1" w:rsidRPr="00CA64DB" w:rsidRDefault="007520C1" w:rsidP="00E049DB">
            <w:pPr>
              <w:jc w:val="right"/>
              <w:rPr>
                <w:i/>
                <w:color w:val="000000"/>
                <w:sz w:val="18"/>
                <w:szCs w:val="18"/>
              </w:rPr>
            </w:pPr>
            <w:r w:rsidRPr="00CA64DB">
              <w:rPr>
                <w:sz w:val="18"/>
                <w:szCs w:val="18"/>
              </w:rPr>
              <w:t>MTR</w:t>
            </w:r>
          </w:p>
        </w:tc>
        <w:tc>
          <w:tcPr>
            <w:tcW w:w="1287" w:type="dxa"/>
          </w:tcPr>
          <w:p w14:paraId="14E1C6F2" w14:textId="77777777" w:rsidR="007520C1" w:rsidRPr="00CA64DB" w:rsidRDefault="007520C1" w:rsidP="00E049DB">
            <w:pPr>
              <w:jc w:val="right"/>
              <w:rPr>
                <w:i/>
                <w:color w:val="000000"/>
                <w:sz w:val="18"/>
                <w:szCs w:val="18"/>
              </w:rPr>
            </w:pPr>
            <w:r w:rsidRPr="00CA64DB">
              <w:rPr>
                <w:sz w:val="18"/>
                <w:szCs w:val="18"/>
              </w:rPr>
              <w:t>TE</w:t>
            </w:r>
          </w:p>
        </w:tc>
      </w:tr>
      <w:tr w:rsidR="007520C1" w:rsidRPr="004244E0" w14:paraId="3193BF0F" w14:textId="77777777" w:rsidTr="00DB02C4">
        <w:tc>
          <w:tcPr>
            <w:tcW w:w="1298" w:type="dxa"/>
          </w:tcPr>
          <w:p w14:paraId="0F4CBBA4" w14:textId="77777777" w:rsidR="007520C1" w:rsidRPr="00CA64DB" w:rsidRDefault="007520C1" w:rsidP="00E049DB">
            <w:pPr>
              <w:jc w:val="right"/>
              <w:rPr>
                <w:sz w:val="18"/>
                <w:szCs w:val="18"/>
              </w:rPr>
            </w:pPr>
          </w:p>
        </w:tc>
        <w:tc>
          <w:tcPr>
            <w:tcW w:w="933" w:type="dxa"/>
          </w:tcPr>
          <w:p w14:paraId="0DC73D8D" w14:textId="77777777" w:rsidR="007520C1" w:rsidRPr="00CA64DB" w:rsidRDefault="007520C1" w:rsidP="00E049DB">
            <w:pPr>
              <w:jc w:val="right"/>
              <w:rPr>
                <w:sz w:val="18"/>
                <w:szCs w:val="18"/>
              </w:rPr>
            </w:pPr>
          </w:p>
        </w:tc>
        <w:tc>
          <w:tcPr>
            <w:tcW w:w="1726" w:type="dxa"/>
          </w:tcPr>
          <w:p w14:paraId="2F90FBD4" w14:textId="77777777" w:rsidR="007520C1" w:rsidRPr="00CA64DB" w:rsidRDefault="007520C1" w:rsidP="00E049DB">
            <w:pPr>
              <w:jc w:val="right"/>
              <w:rPr>
                <w:sz w:val="18"/>
                <w:szCs w:val="18"/>
              </w:rPr>
            </w:pPr>
          </w:p>
        </w:tc>
        <w:tc>
          <w:tcPr>
            <w:tcW w:w="2782" w:type="dxa"/>
            <w:gridSpan w:val="2"/>
          </w:tcPr>
          <w:p w14:paraId="6819B0EE" w14:textId="77777777" w:rsidR="007520C1" w:rsidRPr="00CA64DB" w:rsidRDefault="007520C1" w:rsidP="00E049DB">
            <w:pPr>
              <w:jc w:val="right"/>
              <w:rPr>
                <w:i/>
                <w:color w:val="000000"/>
                <w:sz w:val="18"/>
                <w:szCs w:val="18"/>
              </w:rPr>
            </w:pPr>
            <w:r w:rsidRPr="00CA64DB">
              <w:rPr>
                <w:i/>
                <w:color w:val="000000"/>
                <w:sz w:val="18"/>
                <w:szCs w:val="18"/>
              </w:rPr>
              <w:fldChar w:fldCharType="begin">
                <w:ffData>
                  <w:name w:val="F_GEB_BD_target"/>
                  <w:enabled/>
                  <w:calcOnExit w:val="0"/>
                  <w:textInput/>
                </w:ffData>
              </w:fldChar>
            </w:r>
            <w:r w:rsidRPr="00CA64DB">
              <w:rPr>
                <w:i/>
                <w:color w:val="000000"/>
                <w:sz w:val="18"/>
                <w:szCs w:val="18"/>
              </w:rPr>
              <w:instrText xml:space="preserve"> FORMTEXT </w:instrText>
            </w:r>
            <w:r w:rsidRPr="00CA64DB">
              <w:rPr>
                <w:i/>
                <w:color w:val="000000"/>
                <w:sz w:val="18"/>
                <w:szCs w:val="18"/>
              </w:rPr>
            </w:r>
            <w:r w:rsidRPr="00CA64DB">
              <w:rPr>
                <w:i/>
                <w:color w:val="000000"/>
                <w:sz w:val="18"/>
                <w:szCs w:val="18"/>
              </w:rPr>
              <w:fldChar w:fldCharType="separate"/>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fldChar w:fldCharType="end"/>
            </w:r>
          </w:p>
        </w:tc>
        <w:tc>
          <w:tcPr>
            <w:tcW w:w="1485" w:type="dxa"/>
            <w:gridSpan w:val="3"/>
          </w:tcPr>
          <w:p w14:paraId="3CA58E27" w14:textId="77777777" w:rsidR="007520C1" w:rsidRPr="00CA64DB" w:rsidRDefault="007520C1" w:rsidP="00E049DB">
            <w:pPr>
              <w:jc w:val="right"/>
              <w:rPr>
                <w:i/>
                <w:color w:val="000000"/>
                <w:sz w:val="18"/>
                <w:szCs w:val="18"/>
              </w:rPr>
            </w:pPr>
            <w:r w:rsidRPr="00CA64DB">
              <w:rPr>
                <w:i/>
                <w:color w:val="000000"/>
                <w:sz w:val="18"/>
                <w:szCs w:val="18"/>
              </w:rPr>
              <w:fldChar w:fldCharType="begin">
                <w:ffData>
                  <w:name w:val="F_GEB_BD_target"/>
                  <w:enabled/>
                  <w:calcOnExit w:val="0"/>
                  <w:textInput/>
                </w:ffData>
              </w:fldChar>
            </w:r>
            <w:r w:rsidRPr="00CA64DB">
              <w:rPr>
                <w:i/>
                <w:color w:val="000000"/>
                <w:sz w:val="18"/>
                <w:szCs w:val="18"/>
              </w:rPr>
              <w:instrText xml:space="preserve"> FORMTEXT </w:instrText>
            </w:r>
            <w:r w:rsidRPr="00CA64DB">
              <w:rPr>
                <w:i/>
                <w:color w:val="000000"/>
                <w:sz w:val="18"/>
                <w:szCs w:val="18"/>
              </w:rPr>
            </w:r>
            <w:r w:rsidRPr="00CA64DB">
              <w:rPr>
                <w:i/>
                <w:color w:val="000000"/>
                <w:sz w:val="18"/>
                <w:szCs w:val="18"/>
              </w:rPr>
              <w:fldChar w:fldCharType="separate"/>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fldChar w:fldCharType="end"/>
            </w:r>
          </w:p>
        </w:tc>
        <w:tc>
          <w:tcPr>
            <w:tcW w:w="1324" w:type="dxa"/>
            <w:gridSpan w:val="2"/>
          </w:tcPr>
          <w:p w14:paraId="364B3307" w14:textId="77777777" w:rsidR="007520C1" w:rsidRPr="00CA64DB" w:rsidRDefault="007520C1" w:rsidP="00E049DB">
            <w:pPr>
              <w:jc w:val="right"/>
              <w:rPr>
                <w:i/>
                <w:color w:val="000000"/>
                <w:sz w:val="18"/>
                <w:szCs w:val="18"/>
              </w:rPr>
            </w:pPr>
            <w:r w:rsidRPr="00CA64DB">
              <w:rPr>
                <w:i/>
                <w:color w:val="000000"/>
                <w:sz w:val="18"/>
                <w:szCs w:val="18"/>
              </w:rPr>
              <w:fldChar w:fldCharType="begin">
                <w:ffData>
                  <w:name w:val="F_GEB_BD_target"/>
                  <w:enabled/>
                  <w:calcOnExit w:val="0"/>
                  <w:textInput/>
                </w:ffData>
              </w:fldChar>
            </w:r>
            <w:r w:rsidRPr="00CA64DB">
              <w:rPr>
                <w:i/>
                <w:color w:val="000000"/>
                <w:sz w:val="18"/>
                <w:szCs w:val="18"/>
              </w:rPr>
              <w:instrText xml:space="preserve"> FORMTEXT </w:instrText>
            </w:r>
            <w:r w:rsidRPr="00CA64DB">
              <w:rPr>
                <w:i/>
                <w:color w:val="000000"/>
                <w:sz w:val="18"/>
                <w:szCs w:val="18"/>
              </w:rPr>
            </w:r>
            <w:r w:rsidRPr="00CA64DB">
              <w:rPr>
                <w:i/>
                <w:color w:val="000000"/>
                <w:sz w:val="18"/>
                <w:szCs w:val="18"/>
              </w:rPr>
              <w:fldChar w:fldCharType="separate"/>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fldChar w:fldCharType="end"/>
            </w:r>
          </w:p>
        </w:tc>
        <w:tc>
          <w:tcPr>
            <w:tcW w:w="1287" w:type="dxa"/>
          </w:tcPr>
          <w:p w14:paraId="7DF16A9B" w14:textId="77777777" w:rsidR="007520C1" w:rsidRPr="00CA64DB" w:rsidRDefault="007520C1" w:rsidP="00E049DB">
            <w:pPr>
              <w:jc w:val="right"/>
              <w:rPr>
                <w:i/>
                <w:color w:val="000000"/>
                <w:sz w:val="18"/>
                <w:szCs w:val="18"/>
              </w:rPr>
            </w:pPr>
            <w:r w:rsidRPr="00CA64DB">
              <w:rPr>
                <w:i/>
                <w:color w:val="000000"/>
                <w:sz w:val="18"/>
                <w:szCs w:val="18"/>
              </w:rPr>
              <w:fldChar w:fldCharType="begin">
                <w:ffData>
                  <w:name w:val="F_GEB_BD_target"/>
                  <w:enabled/>
                  <w:calcOnExit w:val="0"/>
                  <w:textInput/>
                </w:ffData>
              </w:fldChar>
            </w:r>
            <w:r w:rsidRPr="00CA64DB">
              <w:rPr>
                <w:i/>
                <w:color w:val="000000"/>
                <w:sz w:val="18"/>
                <w:szCs w:val="18"/>
              </w:rPr>
              <w:instrText xml:space="preserve"> FORMTEXT </w:instrText>
            </w:r>
            <w:r w:rsidRPr="00CA64DB">
              <w:rPr>
                <w:i/>
                <w:color w:val="000000"/>
                <w:sz w:val="18"/>
                <w:szCs w:val="18"/>
              </w:rPr>
            </w:r>
            <w:r w:rsidRPr="00CA64DB">
              <w:rPr>
                <w:i/>
                <w:color w:val="000000"/>
                <w:sz w:val="18"/>
                <w:szCs w:val="18"/>
              </w:rPr>
              <w:fldChar w:fldCharType="separate"/>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fldChar w:fldCharType="end"/>
            </w:r>
          </w:p>
        </w:tc>
      </w:tr>
      <w:tr w:rsidR="007520C1" w:rsidRPr="004244E0" w14:paraId="30F40CDD" w14:textId="77777777" w:rsidTr="00DB02C4">
        <w:tc>
          <w:tcPr>
            <w:tcW w:w="1298" w:type="dxa"/>
          </w:tcPr>
          <w:p w14:paraId="0C157AF1" w14:textId="77777777" w:rsidR="007520C1" w:rsidRPr="00CA64DB" w:rsidRDefault="007520C1" w:rsidP="00E049DB">
            <w:pPr>
              <w:jc w:val="right"/>
              <w:rPr>
                <w:sz w:val="18"/>
                <w:szCs w:val="18"/>
              </w:rPr>
            </w:pPr>
          </w:p>
        </w:tc>
        <w:tc>
          <w:tcPr>
            <w:tcW w:w="933" w:type="dxa"/>
          </w:tcPr>
          <w:p w14:paraId="2F1A36E2" w14:textId="77777777" w:rsidR="007520C1" w:rsidRPr="00CA64DB" w:rsidRDefault="007520C1" w:rsidP="00E049DB">
            <w:pPr>
              <w:jc w:val="right"/>
              <w:rPr>
                <w:sz w:val="18"/>
                <w:szCs w:val="18"/>
              </w:rPr>
            </w:pPr>
          </w:p>
        </w:tc>
        <w:tc>
          <w:tcPr>
            <w:tcW w:w="1726" w:type="dxa"/>
          </w:tcPr>
          <w:p w14:paraId="1BB852F2" w14:textId="77777777" w:rsidR="007520C1" w:rsidRPr="00CA64DB" w:rsidRDefault="007520C1" w:rsidP="00E049DB">
            <w:pPr>
              <w:jc w:val="right"/>
              <w:rPr>
                <w:sz w:val="18"/>
                <w:szCs w:val="18"/>
              </w:rPr>
            </w:pPr>
          </w:p>
        </w:tc>
        <w:tc>
          <w:tcPr>
            <w:tcW w:w="2782" w:type="dxa"/>
            <w:gridSpan w:val="2"/>
          </w:tcPr>
          <w:p w14:paraId="0952D566" w14:textId="77777777" w:rsidR="007520C1" w:rsidRPr="00CA64DB" w:rsidRDefault="007520C1" w:rsidP="00E049DB">
            <w:pPr>
              <w:jc w:val="right"/>
              <w:rPr>
                <w:i/>
                <w:color w:val="000000"/>
                <w:sz w:val="18"/>
                <w:szCs w:val="18"/>
              </w:rPr>
            </w:pPr>
            <w:r w:rsidRPr="00CA64DB">
              <w:rPr>
                <w:i/>
                <w:color w:val="000000"/>
                <w:sz w:val="18"/>
                <w:szCs w:val="18"/>
              </w:rPr>
              <w:fldChar w:fldCharType="begin">
                <w:ffData>
                  <w:name w:val="F_GEB_BD_target"/>
                  <w:enabled/>
                  <w:calcOnExit w:val="0"/>
                  <w:textInput/>
                </w:ffData>
              </w:fldChar>
            </w:r>
            <w:r w:rsidRPr="00CA64DB">
              <w:rPr>
                <w:i/>
                <w:color w:val="000000"/>
                <w:sz w:val="18"/>
                <w:szCs w:val="18"/>
              </w:rPr>
              <w:instrText xml:space="preserve"> FORMTEXT </w:instrText>
            </w:r>
            <w:r w:rsidRPr="00CA64DB">
              <w:rPr>
                <w:i/>
                <w:color w:val="000000"/>
                <w:sz w:val="18"/>
                <w:szCs w:val="18"/>
              </w:rPr>
            </w:r>
            <w:r w:rsidRPr="00CA64DB">
              <w:rPr>
                <w:i/>
                <w:color w:val="000000"/>
                <w:sz w:val="18"/>
                <w:szCs w:val="18"/>
              </w:rPr>
              <w:fldChar w:fldCharType="separate"/>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fldChar w:fldCharType="end"/>
            </w:r>
          </w:p>
        </w:tc>
        <w:tc>
          <w:tcPr>
            <w:tcW w:w="1485" w:type="dxa"/>
            <w:gridSpan w:val="3"/>
          </w:tcPr>
          <w:p w14:paraId="49D16878" w14:textId="77777777" w:rsidR="007520C1" w:rsidRPr="00CA64DB" w:rsidRDefault="007520C1" w:rsidP="00E049DB">
            <w:pPr>
              <w:jc w:val="right"/>
              <w:rPr>
                <w:i/>
                <w:color w:val="000000"/>
                <w:sz w:val="18"/>
                <w:szCs w:val="18"/>
              </w:rPr>
            </w:pPr>
            <w:r w:rsidRPr="00CA64DB">
              <w:rPr>
                <w:i/>
                <w:color w:val="000000"/>
                <w:sz w:val="18"/>
                <w:szCs w:val="18"/>
              </w:rPr>
              <w:fldChar w:fldCharType="begin">
                <w:ffData>
                  <w:name w:val="F_GEB_BD_target"/>
                  <w:enabled/>
                  <w:calcOnExit w:val="0"/>
                  <w:textInput/>
                </w:ffData>
              </w:fldChar>
            </w:r>
            <w:r w:rsidRPr="00CA64DB">
              <w:rPr>
                <w:i/>
                <w:color w:val="000000"/>
                <w:sz w:val="18"/>
                <w:szCs w:val="18"/>
              </w:rPr>
              <w:instrText xml:space="preserve"> FORMTEXT </w:instrText>
            </w:r>
            <w:r w:rsidRPr="00CA64DB">
              <w:rPr>
                <w:i/>
                <w:color w:val="000000"/>
                <w:sz w:val="18"/>
                <w:szCs w:val="18"/>
              </w:rPr>
            </w:r>
            <w:r w:rsidRPr="00CA64DB">
              <w:rPr>
                <w:i/>
                <w:color w:val="000000"/>
                <w:sz w:val="18"/>
                <w:szCs w:val="18"/>
              </w:rPr>
              <w:fldChar w:fldCharType="separate"/>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fldChar w:fldCharType="end"/>
            </w:r>
          </w:p>
        </w:tc>
        <w:tc>
          <w:tcPr>
            <w:tcW w:w="1324" w:type="dxa"/>
            <w:gridSpan w:val="2"/>
          </w:tcPr>
          <w:p w14:paraId="01A1A933" w14:textId="77777777" w:rsidR="007520C1" w:rsidRPr="00CA64DB" w:rsidRDefault="007520C1" w:rsidP="00E049DB">
            <w:pPr>
              <w:jc w:val="right"/>
              <w:rPr>
                <w:i/>
                <w:color w:val="000000"/>
                <w:sz w:val="18"/>
                <w:szCs w:val="18"/>
              </w:rPr>
            </w:pPr>
            <w:r w:rsidRPr="00CA64DB">
              <w:rPr>
                <w:i/>
                <w:color w:val="000000"/>
                <w:sz w:val="18"/>
                <w:szCs w:val="18"/>
              </w:rPr>
              <w:fldChar w:fldCharType="begin">
                <w:ffData>
                  <w:name w:val="F_GEB_BD_target"/>
                  <w:enabled/>
                  <w:calcOnExit w:val="0"/>
                  <w:textInput/>
                </w:ffData>
              </w:fldChar>
            </w:r>
            <w:r w:rsidRPr="00CA64DB">
              <w:rPr>
                <w:i/>
                <w:color w:val="000000"/>
                <w:sz w:val="18"/>
                <w:szCs w:val="18"/>
              </w:rPr>
              <w:instrText xml:space="preserve"> FORMTEXT </w:instrText>
            </w:r>
            <w:r w:rsidRPr="00CA64DB">
              <w:rPr>
                <w:i/>
                <w:color w:val="000000"/>
                <w:sz w:val="18"/>
                <w:szCs w:val="18"/>
              </w:rPr>
            </w:r>
            <w:r w:rsidRPr="00CA64DB">
              <w:rPr>
                <w:i/>
                <w:color w:val="000000"/>
                <w:sz w:val="18"/>
                <w:szCs w:val="18"/>
              </w:rPr>
              <w:fldChar w:fldCharType="separate"/>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fldChar w:fldCharType="end"/>
            </w:r>
          </w:p>
        </w:tc>
        <w:tc>
          <w:tcPr>
            <w:tcW w:w="1287" w:type="dxa"/>
          </w:tcPr>
          <w:p w14:paraId="31E4C8B1" w14:textId="77777777" w:rsidR="007520C1" w:rsidRPr="00CA64DB" w:rsidRDefault="007520C1" w:rsidP="00E049DB">
            <w:pPr>
              <w:jc w:val="right"/>
              <w:rPr>
                <w:i/>
                <w:color w:val="000000"/>
                <w:sz w:val="18"/>
                <w:szCs w:val="18"/>
              </w:rPr>
            </w:pPr>
            <w:r w:rsidRPr="00CA64DB">
              <w:rPr>
                <w:i/>
                <w:color w:val="000000"/>
                <w:sz w:val="18"/>
                <w:szCs w:val="18"/>
              </w:rPr>
              <w:fldChar w:fldCharType="begin">
                <w:ffData>
                  <w:name w:val="F_GEB_BD_target"/>
                  <w:enabled/>
                  <w:calcOnExit w:val="0"/>
                  <w:textInput/>
                </w:ffData>
              </w:fldChar>
            </w:r>
            <w:r w:rsidRPr="00CA64DB">
              <w:rPr>
                <w:i/>
                <w:color w:val="000000"/>
                <w:sz w:val="18"/>
                <w:szCs w:val="18"/>
              </w:rPr>
              <w:instrText xml:space="preserve"> FORMTEXT </w:instrText>
            </w:r>
            <w:r w:rsidRPr="00CA64DB">
              <w:rPr>
                <w:i/>
                <w:color w:val="000000"/>
                <w:sz w:val="18"/>
                <w:szCs w:val="18"/>
              </w:rPr>
            </w:r>
            <w:r w:rsidRPr="00CA64DB">
              <w:rPr>
                <w:i/>
                <w:color w:val="000000"/>
                <w:sz w:val="18"/>
                <w:szCs w:val="18"/>
              </w:rPr>
              <w:fldChar w:fldCharType="separate"/>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t> </w:t>
            </w:r>
            <w:r w:rsidRPr="00CA64DB">
              <w:rPr>
                <w:i/>
                <w:color w:val="000000"/>
                <w:sz w:val="18"/>
                <w:szCs w:val="18"/>
              </w:rPr>
              <w:fldChar w:fldCharType="end"/>
            </w:r>
          </w:p>
        </w:tc>
      </w:tr>
      <w:tr w:rsidR="007520C1" w:rsidRPr="004244E0" w14:paraId="192C8780" w14:textId="77777777" w:rsidTr="00DB02C4">
        <w:tc>
          <w:tcPr>
            <w:tcW w:w="1298" w:type="dxa"/>
            <w:shd w:val="clear" w:color="auto" w:fill="D9D9D9" w:themeFill="background1" w:themeFillShade="D9"/>
          </w:tcPr>
          <w:p w14:paraId="1D9E421B" w14:textId="77777777" w:rsidR="007520C1" w:rsidRPr="00E30B5B" w:rsidRDefault="007520C1" w:rsidP="00E049DB">
            <w:pPr>
              <w:rPr>
                <w:b/>
                <w:sz w:val="18"/>
                <w:szCs w:val="18"/>
                <w:highlight w:val="yellow"/>
              </w:rPr>
            </w:pPr>
            <w:r w:rsidRPr="00E30B5B">
              <w:rPr>
                <w:b/>
                <w:sz w:val="18"/>
                <w:szCs w:val="18"/>
                <w:highlight w:val="yellow"/>
              </w:rPr>
              <w:t>Core Indicator 6</w:t>
            </w:r>
          </w:p>
        </w:tc>
        <w:tc>
          <w:tcPr>
            <w:tcW w:w="6765" w:type="dxa"/>
            <w:gridSpan w:val="5"/>
            <w:shd w:val="clear" w:color="auto" w:fill="D9D9D9" w:themeFill="background1" w:themeFillShade="D9"/>
          </w:tcPr>
          <w:p w14:paraId="5B5AD066" w14:textId="77777777" w:rsidR="007520C1" w:rsidRPr="00E30B5B" w:rsidRDefault="007520C1" w:rsidP="00E049DB">
            <w:pPr>
              <w:rPr>
                <w:b/>
                <w:sz w:val="18"/>
                <w:szCs w:val="18"/>
                <w:highlight w:val="yellow"/>
              </w:rPr>
            </w:pPr>
            <w:r w:rsidRPr="00E30B5B">
              <w:rPr>
                <w:b/>
                <w:sz w:val="18"/>
                <w:szCs w:val="18"/>
                <w:highlight w:val="yellow"/>
              </w:rPr>
              <w:t>Greenhouse gas emission mitigated</w:t>
            </w:r>
          </w:p>
        </w:tc>
        <w:tc>
          <w:tcPr>
            <w:tcW w:w="2772" w:type="dxa"/>
            <w:gridSpan w:val="5"/>
            <w:shd w:val="clear" w:color="auto" w:fill="D9D9D9" w:themeFill="background1" w:themeFillShade="D9"/>
          </w:tcPr>
          <w:p w14:paraId="45F9BF4B" w14:textId="77777777" w:rsidR="007520C1" w:rsidRPr="00E30B5B" w:rsidRDefault="007520C1" w:rsidP="00E049DB">
            <w:pPr>
              <w:jc w:val="right"/>
              <w:rPr>
                <w:b/>
                <w:sz w:val="18"/>
                <w:szCs w:val="18"/>
                <w:highlight w:val="yellow"/>
              </w:rPr>
            </w:pPr>
            <w:r w:rsidRPr="00E30B5B">
              <w:rPr>
                <w:b/>
                <w:i/>
                <w:color w:val="000000"/>
                <w:sz w:val="18"/>
                <w:szCs w:val="18"/>
                <w:highlight w:val="yellow"/>
              </w:rPr>
              <w:fldChar w:fldCharType="begin">
                <w:ffData>
                  <w:name w:val=""/>
                  <w:enabled/>
                  <w:calcOnExit w:val="0"/>
                  <w:textInput>
                    <w:default w:val="(Tons)"/>
                  </w:textInput>
                </w:ffData>
              </w:fldChar>
            </w:r>
            <w:r w:rsidRPr="00E30B5B">
              <w:rPr>
                <w:b/>
                <w:i/>
                <w:color w:val="000000"/>
                <w:sz w:val="18"/>
                <w:szCs w:val="18"/>
                <w:highlight w:val="yellow"/>
              </w:rPr>
              <w:instrText xml:space="preserve"> FORMTEXT </w:instrText>
            </w:r>
            <w:r w:rsidRPr="00E30B5B">
              <w:rPr>
                <w:b/>
                <w:i/>
                <w:color w:val="000000"/>
                <w:sz w:val="18"/>
                <w:szCs w:val="18"/>
                <w:highlight w:val="yellow"/>
              </w:rPr>
            </w:r>
            <w:r w:rsidRPr="00E30B5B">
              <w:rPr>
                <w:b/>
                <w:i/>
                <w:color w:val="000000"/>
                <w:sz w:val="18"/>
                <w:szCs w:val="18"/>
                <w:highlight w:val="yellow"/>
              </w:rPr>
              <w:fldChar w:fldCharType="separate"/>
            </w:r>
            <w:r w:rsidRPr="00E30B5B">
              <w:rPr>
                <w:b/>
                <w:i/>
                <w:color w:val="000000"/>
                <w:sz w:val="18"/>
                <w:szCs w:val="18"/>
                <w:highlight w:val="yellow"/>
              </w:rPr>
              <w:t>(Metric tons of CO₂e )</w:t>
            </w:r>
            <w:r w:rsidRPr="00E30B5B">
              <w:rPr>
                <w:b/>
                <w:i/>
                <w:color w:val="000000"/>
                <w:sz w:val="18"/>
                <w:szCs w:val="18"/>
                <w:highlight w:val="yellow"/>
              </w:rPr>
              <w:fldChar w:fldCharType="end"/>
            </w:r>
          </w:p>
        </w:tc>
      </w:tr>
      <w:tr w:rsidR="007520C1" w:rsidRPr="004244E0" w14:paraId="12F96BB6" w14:textId="77777777" w:rsidTr="00DB02C4">
        <w:tc>
          <w:tcPr>
            <w:tcW w:w="1298" w:type="dxa"/>
            <w:shd w:val="clear" w:color="auto" w:fill="auto"/>
          </w:tcPr>
          <w:p w14:paraId="5C56F883" w14:textId="77777777" w:rsidR="007520C1" w:rsidRPr="00E30B5B" w:rsidRDefault="007520C1" w:rsidP="00E049DB">
            <w:pPr>
              <w:rPr>
                <w:sz w:val="18"/>
                <w:szCs w:val="18"/>
                <w:highlight w:val="yellow"/>
              </w:rPr>
            </w:pPr>
          </w:p>
        </w:tc>
        <w:tc>
          <w:tcPr>
            <w:tcW w:w="2659" w:type="dxa"/>
            <w:gridSpan w:val="2"/>
            <w:shd w:val="clear" w:color="auto" w:fill="F2F2F2" w:themeFill="background1" w:themeFillShade="F2"/>
          </w:tcPr>
          <w:p w14:paraId="0F88B094" w14:textId="77777777" w:rsidR="007520C1" w:rsidRPr="00E30B5B" w:rsidRDefault="007520C1" w:rsidP="00E049DB">
            <w:pPr>
              <w:jc w:val="right"/>
              <w:rPr>
                <w:sz w:val="18"/>
                <w:szCs w:val="18"/>
                <w:highlight w:val="yellow"/>
              </w:rPr>
            </w:pPr>
          </w:p>
        </w:tc>
        <w:tc>
          <w:tcPr>
            <w:tcW w:w="6878" w:type="dxa"/>
            <w:gridSpan w:val="8"/>
            <w:shd w:val="clear" w:color="auto" w:fill="F2F2F2" w:themeFill="background1" w:themeFillShade="F2"/>
          </w:tcPr>
          <w:p w14:paraId="09EAE254" w14:textId="77777777" w:rsidR="007520C1" w:rsidRPr="00E30B5B" w:rsidRDefault="007520C1" w:rsidP="00E049DB">
            <w:pPr>
              <w:jc w:val="center"/>
              <w:rPr>
                <w:i/>
                <w:color w:val="000000"/>
                <w:sz w:val="18"/>
                <w:szCs w:val="18"/>
                <w:highlight w:val="yellow"/>
              </w:rPr>
            </w:pPr>
            <w:r w:rsidRPr="00E30B5B">
              <w:rPr>
                <w:sz w:val="18"/>
                <w:szCs w:val="18"/>
                <w:highlight w:val="yellow"/>
              </w:rPr>
              <w:t>Expected metric tons of CO₂e (6.1+6.2)</w:t>
            </w:r>
          </w:p>
        </w:tc>
      </w:tr>
      <w:tr w:rsidR="007520C1" w:rsidRPr="004244E0" w14:paraId="3E923631" w14:textId="77777777" w:rsidTr="00DB02C4">
        <w:tc>
          <w:tcPr>
            <w:tcW w:w="1298" w:type="dxa"/>
            <w:shd w:val="clear" w:color="auto" w:fill="auto"/>
          </w:tcPr>
          <w:p w14:paraId="05A5EBA1" w14:textId="77777777" w:rsidR="007520C1" w:rsidRPr="00E30B5B" w:rsidRDefault="007520C1" w:rsidP="00E049DB">
            <w:pPr>
              <w:rPr>
                <w:sz w:val="18"/>
                <w:szCs w:val="18"/>
                <w:highlight w:val="yellow"/>
              </w:rPr>
            </w:pPr>
          </w:p>
        </w:tc>
        <w:tc>
          <w:tcPr>
            <w:tcW w:w="2659" w:type="dxa"/>
            <w:gridSpan w:val="2"/>
            <w:shd w:val="clear" w:color="auto" w:fill="F2F2F2" w:themeFill="background1" w:themeFillShade="F2"/>
          </w:tcPr>
          <w:p w14:paraId="494D300B" w14:textId="77777777" w:rsidR="007520C1" w:rsidRPr="00E30B5B" w:rsidRDefault="007520C1" w:rsidP="00E049DB">
            <w:pPr>
              <w:jc w:val="right"/>
              <w:rPr>
                <w:sz w:val="18"/>
                <w:szCs w:val="18"/>
                <w:highlight w:val="yellow"/>
              </w:rPr>
            </w:pPr>
          </w:p>
        </w:tc>
        <w:tc>
          <w:tcPr>
            <w:tcW w:w="2782" w:type="dxa"/>
            <w:gridSpan w:val="2"/>
            <w:shd w:val="clear" w:color="auto" w:fill="F2F2F2" w:themeFill="background1" w:themeFillShade="F2"/>
          </w:tcPr>
          <w:p w14:paraId="3138E472" w14:textId="77777777" w:rsidR="007520C1" w:rsidRPr="00E30B5B" w:rsidRDefault="007520C1" w:rsidP="00E049DB">
            <w:pPr>
              <w:jc w:val="center"/>
              <w:rPr>
                <w:sz w:val="18"/>
                <w:szCs w:val="18"/>
                <w:highlight w:val="yellow"/>
              </w:rPr>
            </w:pPr>
            <w:r w:rsidRPr="00E30B5B">
              <w:rPr>
                <w:sz w:val="18"/>
                <w:szCs w:val="18"/>
                <w:highlight w:val="yellow"/>
              </w:rPr>
              <w:t>PIF stage</w:t>
            </w:r>
          </w:p>
        </w:tc>
        <w:tc>
          <w:tcPr>
            <w:tcW w:w="1485" w:type="dxa"/>
            <w:gridSpan w:val="3"/>
            <w:shd w:val="clear" w:color="auto" w:fill="F2F2F2" w:themeFill="background1" w:themeFillShade="F2"/>
          </w:tcPr>
          <w:p w14:paraId="6EA0CA12" w14:textId="77777777" w:rsidR="007520C1" w:rsidRPr="00E30B5B" w:rsidRDefault="007520C1" w:rsidP="00E049DB">
            <w:pPr>
              <w:jc w:val="center"/>
              <w:rPr>
                <w:sz w:val="18"/>
                <w:szCs w:val="18"/>
                <w:highlight w:val="yellow"/>
              </w:rPr>
            </w:pPr>
            <w:r w:rsidRPr="00E30B5B">
              <w:rPr>
                <w:sz w:val="18"/>
                <w:szCs w:val="18"/>
                <w:highlight w:val="yellow"/>
              </w:rPr>
              <w:t>Endorsement</w:t>
            </w:r>
          </w:p>
        </w:tc>
        <w:tc>
          <w:tcPr>
            <w:tcW w:w="1324" w:type="dxa"/>
            <w:gridSpan w:val="2"/>
            <w:shd w:val="clear" w:color="auto" w:fill="F2F2F2" w:themeFill="background1" w:themeFillShade="F2"/>
          </w:tcPr>
          <w:p w14:paraId="2974FA85" w14:textId="77777777" w:rsidR="007520C1" w:rsidRPr="00E30B5B" w:rsidRDefault="007520C1" w:rsidP="00E049DB">
            <w:pPr>
              <w:jc w:val="center"/>
              <w:rPr>
                <w:sz w:val="18"/>
                <w:szCs w:val="18"/>
                <w:highlight w:val="yellow"/>
              </w:rPr>
            </w:pPr>
            <w:r w:rsidRPr="00E30B5B">
              <w:rPr>
                <w:sz w:val="18"/>
                <w:szCs w:val="18"/>
                <w:highlight w:val="yellow"/>
              </w:rPr>
              <w:t>MTR</w:t>
            </w:r>
          </w:p>
        </w:tc>
        <w:tc>
          <w:tcPr>
            <w:tcW w:w="1287" w:type="dxa"/>
            <w:shd w:val="clear" w:color="auto" w:fill="F2F2F2" w:themeFill="background1" w:themeFillShade="F2"/>
          </w:tcPr>
          <w:p w14:paraId="07BB7C0A" w14:textId="77777777" w:rsidR="007520C1" w:rsidRPr="00E30B5B" w:rsidRDefault="007520C1" w:rsidP="00E049DB">
            <w:pPr>
              <w:jc w:val="center"/>
              <w:rPr>
                <w:i/>
                <w:color w:val="000000"/>
                <w:sz w:val="18"/>
                <w:szCs w:val="18"/>
                <w:highlight w:val="yellow"/>
              </w:rPr>
            </w:pPr>
            <w:r w:rsidRPr="00E30B5B">
              <w:rPr>
                <w:sz w:val="18"/>
                <w:szCs w:val="18"/>
                <w:highlight w:val="yellow"/>
              </w:rPr>
              <w:t>TE</w:t>
            </w:r>
          </w:p>
        </w:tc>
      </w:tr>
      <w:tr w:rsidR="007520C1" w:rsidRPr="004244E0" w14:paraId="431F9CDB" w14:textId="77777777" w:rsidTr="00DB02C4">
        <w:tc>
          <w:tcPr>
            <w:tcW w:w="1298" w:type="dxa"/>
            <w:shd w:val="clear" w:color="auto" w:fill="auto"/>
          </w:tcPr>
          <w:p w14:paraId="0A35D63D" w14:textId="77777777" w:rsidR="007520C1" w:rsidRPr="00E30B5B" w:rsidRDefault="007520C1" w:rsidP="00E049DB">
            <w:pPr>
              <w:rPr>
                <w:sz w:val="18"/>
                <w:szCs w:val="18"/>
                <w:highlight w:val="yellow"/>
              </w:rPr>
            </w:pPr>
          </w:p>
        </w:tc>
        <w:tc>
          <w:tcPr>
            <w:tcW w:w="2659" w:type="dxa"/>
            <w:gridSpan w:val="2"/>
            <w:shd w:val="clear" w:color="auto" w:fill="F2F2F2" w:themeFill="background1" w:themeFillShade="F2"/>
          </w:tcPr>
          <w:p w14:paraId="4E688CDE" w14:textId="77777777" w:rsidR="007520C1" w:rsidRPr="00E30B5B" w:rsidRDefault="007520C1" w:rsidP="00E049DB">
            <w:pPr>
              <w:jc w:val="right"/>
              <w:rPr>
                <w:sz w:val="18"/>
                <w:szCs w:val="18"/>
                <w:highlight w:val="yellow"/>
              </w:rPr>
            </w:pPr>
            <w:r w:rsidRPr="00E30B5B">
              <w:rPr>
                <w:sz w:val="18"/>
                <w:szCs w:val="18"/>
                <w:highlight w:val="yellow"/>
              </w:rPr>
              <w:t>Expected CO2e (direct)</w:t>
            </w:r>
          </w:p>
        </w:tc>
        <w:tc>
          <w:tcPr>
            <w:tcW w:w="2782" w:type="dxa"/>
            <w:gridSpan w:val="2"/>
            <w:shd w:val="clear" w:color="auto" w:fill="F2F2F2" w:themeFill="background1" w:themeFillShade="F2"/>
          </w:tcPr>
          <w:p w14:paraId="1BF10F05" w14:textId="77777777" w:rsidR="007520C1" w:rsidRPr="00E30B5B" w:rsidRDefault="007520C1" w:rsidP="00E049DB">
            <w:pPr>
              <w:rPr>
                <w:sz w:val="18"/>
                <w:szCs w:val="18"/>
                <w:highlight w:val="yellow"/>
              </w:rPr>
            </w:pPr>
            <w:r w:rsidRPr="00E30B5B">
              <w:rPr>
                <w:i/>
                <w:color w:val="000000"/>
                <w:sz w:val="18"/>
                <w:szCs w:val="18"/>
                <w:highlight w:val="yellow"/>
              </w:rPr>
              <w:fldChar w:fldCharType="begin">
                <w:ffData>
                  <w:name w:val="F_GEB_BD_target"/>
                  <w:enabled/>
                  <w:calcOnExit w:val="0"/>
                  <w:textInput/>
                </w:ffData>
              </w:fldChar>
            </w:r>
            <w:r w:rsidRPr="00E30B5B">
              <w:rPr>
                <w:i/>
                <w:color w:val="000000"/>
                <w:sz w:val="18"/>
                <w:szCs w:val="18"/>
                <w:highlight w:val="yellow"/>
              </w:rPr>
              <w:instrText xml:space="preserve"> FORMTEXT </w:instrText>
            </w:r>
            <w:r w:rsidRPr="00E30B5B">
              <w:rPr>
                <w:i/>
                <w:color w:val="000000"/>
                <w:sz w:val="18"/>
                <w:szCs w:val="18"/>
                <w:highlight w:val="yellow"/>
              </w:rPr>
            </w:r>
            <w:r w:rsidRPr="00E30B5B">
              <w:rPr>
                <w:i/>
                <w:color w:val="000000"/>
                <w:sz w:val="18"/>
                <w:szCs w:val="18"/>
                <w:highlight w:val="yellow"/>
              </w:rPr>
              <w:fldChar w:fldCharType="separate"/>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fldChar w:fldCharType="end"/>
            </w:r>
          </w:p>
        </w:tc>
        <w:tc>
          <w:tcPr>
            <w:tcW w:w="1485" w:type="dxa"/>
            <w:gridSpan w:val="3"/>
            <w:shd w:val="clear" w:color="auto" w:fill="F2F2F2" w:themeFill="background1" w:themeFillShade="F2"/>
          </w:tcPr>
          <w:p w14:paraId="09D9FBA6" w14:textId="77777777" w:rsidR="007520C1" w:rsidRPr="00E30B5B" w:rsidRDefault="007520C1" w:rsidP="00E049DB">
            <w:pPr>
              <w:rPr>
                <w:sz w:val="18"/>
                <w:szCs w:val="18"/>
                <w:highlight w:val="yellow"/>
              </w:rPr>
            </w:pPr>
            <w:r w:rsidRPr="00E30B5B">
              <w:rPr>
                <w:i/>
                <w:color w:val="000000"/>
                <w:sz w:val="18"/>
                <w:szCs w:val="18"/>
                <w:highlight w:val="yellow"/>
              </w:rPr>
              <w:fldChar w:fldCharType="begin">
                <w:ffData>
                  <w:name w:val="F_GEB_BD_target"/>
                  <w:enabled/>
                  <w:calcOnExit w:val="0"/>
                  <w:textInput/>
                </w:ffData>
              </w:fldChar>
            </w:r>
            <w:r w:rsidRPr="00E30B5B">
              <w:rPr>
                <w:i/>
                <w:color w:val="000000"/>
                <w:sz w:val="18"/>
                <w:szCs w:val="18"/>
                <w:highlight w:val="yellow"/>
              </w:rPr>
              <w:instrText xml:space="preserve"> FORMTEXT </w:instrText>
            </w:r>
            <w:r w:rsidRPr="00E30B5B">
              <w:rPr>
                <w:i/>
                <w:color w:val="000000"/>
                <w:sz w:val="18"/>
                <w:szCs w:val="18"/>
                <w:highlight w:val="yellow"/>
              </w:rPr>
            </w:r>
            <w:r w:rsidRPr="00E30B5B">
              <w:rPr>
                <w:i/>
                <w:color w:val="000000"/>
                <w:sz w:val="18"/>
                <w:szCs w:val="18"/>
                <w:highlight w:val="yellow"/>
              </w:rPr>
              <w:fldChar w:fldCharType="separate"/>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fldChar w:fldCharType="end"/>
            </w:r>
          </w:p>
        </w:tc>
        <w:tc>
          <w:tcPr>
            <w:tcW w:w="1324" w:type="dxa"/>
            <w:gridSpan w:val="2"/>
            <w:shd w:val="clear" w:color="auto" w:fill="F2F2F2" w:themeFill="background1" w:themeFillShade="F2"/>
          </w:tcPr>
          <w:p w14:paraId="0A97D810" w14:textId="77777777" w:rsidR="007520C1" w:rsidRPr="00E30B5B" w:rsidRDefault="007520C1" w:rsidP="00E049DB">
            <w:pPr>
              <w:rPr>
                <w:sz w:val="18"/>
                <w:szCs w:val="18"/>
                <w:highlight w:val="yellow"/>
              </w:rPr>
            </w:pPr>
            <w:r w:rsidRPr="00E30B5B">
              <w:rPr>
                <w:i/>
                <w:color w:val="000000"/>
                <w:sz w:val="18"/>
                <w:szCs w:val="18"/>
                <w:highlight w:val="yellow"/>
              </w:rPr>
              <w:fldChar w:fldCharType="begin">
                <w:ffData>
                  <w:name w:val="F_GEB_BD_target"/>
                  <w:enabled/>
                  <w:calcOnExit w:val="0"/>
                  <w:textInput/>
                </w:ffData>
              </w:fldChar>
            </w:r>
            <w:r w:rsidRPr="00E30B5B">
              <w:rPr>
                <w:i/>
                <w:color w:val="000000"/>
                <w:sz w:val="18"/>
                <w:szCs w:val="18"/>
                <w:highlight w:val="yellow"/>
              </w:rPr>
              <w:instrText xml:space="preserve"> FORMTEXT </w:instrText>
            </w:r>
            <w:r w:rsidRPr="00E30B5B">
              <w:rPr>
                <w:i/>
                <w:color w:val="000000"/>
                <w:sz w:val="18"/>
                <w:szCs w:val="18"/>
                <w:highlight w:val="yellow"/>
              </w:rPr>
            </w:r>
            <w:r w:rsidRPr="00E30B5B">
              <w:rPr>
                <w:i/>
                <w:color w:val="000000"/>
                <w:sz w:val="18"/>
                <w:szCs w:val="18"/>
                <w:highlight w:val="yellow"/>
              </w:rPr>
              <w:fldChar w:fldCharType="separate"/>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fldChar w:fldCharType="end"/>
            </w:r>
          </w:p>
        </w:tc>
        <w:tc>
          <w:tcPr>
            <w:tcW w:w="1287" w:type="dxa"/>
            <w:shd w:val="clear" w:color="auto" w:fill="F2F2F2" w:themeFill="background1" w:themeFillShade="F2"/>
          </w:tcPr>
          <w:p w14:paraId="7E489F99" w14:textId="77777777" w:rsidR="007520C1" w:rsidRPr="00E30B5B" w:rsidRDefault="007520C1" w:rsidP="00E049DB">
            <w:pPr>
              <w:jc w:val="right"/>
              <w:rPr>
                <w:i/>
                <w:color w:val="000000"/>
                <w:sz w:val="18"/>
                <w:szCs w:val="18"/>
                <w:highlight w:val="yellow"/>
              </w:rPr>
            </w:pPr>
            <w:r w:rsidRPr="00E30B5B">
              <w:rPr>
                <w:i/>
                <w:color w:val="000000"/>
                <w:sz w:val="18"/>
                <w:szCs w:val="18"/>
                <w:highlight w:val="yellow"/>
              </w:rPr>
              <w:fldChar w:fldCharType="begin">
                <w:ffData>
                  <w:name w:val="F_GEB_BD_target"/>
                  <w:enabled/>
                  <w:calcOnExit w:val="0"/>
                  <w:textInput/>
                </w:ffData>
              </w:fldChar>
            </w:r>
            <w:r w:rsidRPr="00E30B5B">
              <w:rPr>
                <w:i/>
                <w:color w:val="000000"/>
                <w:sz w:val="18"/>
                <w:szCs w:val="18"/>
                <w:highlight w:val="yellow"/>
              </w:rPr>
              <w:instrText xml:space="preserve"> FORMTEXT </w:instrText>
            </w:r>
            <w:r w:rsidRPr="00E30B5B">
              <w:rPr>
                <w:i/>
                <w:color w:val="000000"/>
                <w:sz w:val="18"/>
                <w:szCs w:val="18"/>
                <w:highlight w:val="yellow"/>
              </w:rPr>
            </w:r>
            <w:r w:rsidRPr="00E30B5B">
              <w:rPr>
                <w:i/>
                <w:color w:val="000000"/>
                <w:sz w:val="18"/>
                <w:szCs w:val="18"/>
                <w:highlight w:val="yellow"/>
              </w:rPr>
              <w:fldChar w:fldCharType="separate"/>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fldChar w:fldCharType="end"/>
            </w:r>
          </w:p>
        </w:tc>
      </w:tr>
      <w:tr w:rsidR="007520C1" w:rsidRPr="004244E0" w14:paraId="3562C781" w14:textId="77777777" w:rsidTr="00DB02C4">
        <w:tc>
          <w:tcPr>
            <w:tcW w:w="1298" w:type="dxa"/>
            <w:shd w:val="clear" w:color="auto" w:fill="auto"/>
          </w:tcPr>
          <w:p w14:paraId="2ED1432B" w14:textId="77777777" w:rsidR="007520C1" w:rsidRPr="00E30B5B" w:rsidRDefault="007520C1" w:rsidP="00E049DB">
            <w:pPr>
              <w:rPr>
                <w:sz w:val="18"/>
                <w:szCs w:val="18"/>
                <w:highlight w:val="yellow"/>
              </w:rPr>
            </w:pPr>
          </w:p>
        </w:tc>
        <w:tc>
          <w:tcPr>
            <w:tcW w:w="2659" w:type="dxa"/>
            <w:gridSpan w:val="2"/>
            <w:shd w:val="clear" w:color="auto" w:fill="F2F2F2" w:themeFill="background1" w:themeFillShade="F2"/>
          </w:tcPr>
          <w:p w14:paraId="2D0A98A5" w14:textId="77777777" w:rsidR="007520C1" w:rsidRPr="00E30B5B" w:rsidRDefault="007520C1" w:rsidP="00E049DB">
            <w:pPr>
              <w:jc w:val="right"/>
              <w:rPr>
                <w:sz w:val="18"/>
                <w:szCs w:val="18"/>
                <w:highlight w:val="yellow"/>
              </w:rPr>
            </w:pPr>
            <w:r w:rsidRPr="00E30B5B">
              <w:rPr>
                <w:sz w:val="18"/>
                <w:szCs w:val="18"/>
                <w:highlight w:val="yellow"/>
              </w:rPr>
              <w:t>Expected CO2e (indirect)</w:t>
            </w:r>
          </w:p>
        </w:tc>
        <w:tc>
          <w:tcPr>
            <w:tcW w:w="2782" w:type="dxa"/>
            <w:gridSpan w:val="2"/>
            <w:shd w:val="clear" w:color="auto" w:fill="F2F2F2" w:themeFill="background1" w:themeFillShade="F2"/>
          </w:tcPr>
          <w:p w14:paraId="0A8ECB7C" w14:textId="77777777" w:rsidR="007520C1" w:rsidRPr="00E30B5B" w:rsidRDefault="007520C1" w:rsidP="00E049DB">
            <w:pPr>
              <w:rPr>
                <w:sz w:val="18"/>
                <w:szCs w:val="18"/>
                <w:highlight w:val="yellow"/>
              </w:rPr>
            </w:pPr>
            <w:r w:rsidRPr="00E30B5B">
              <w:rPr>
                <w:i/>
                <w:color w:val="000000"/>
                <w:sz w:val="18"/>
                <w:szCs w:val="18"/>
                <w:highlight w:val="yellow"/>
              </w:rPr>
              <w:fldChar w:fldCharType="begin">
                <w:ffData>
                  <w:name w:val="F_GEB_BD_target"/>
                  <w:enabled/>
                  <w:calcOnExit w:val="0"/>
                  <w:textInput/>
                </w:ffData>
              </w:fldChar>
            </w:r>
            <w:r w:rsidRPr="00E30B5B">
              <w:rPr>
                <w:i/>
                <w:color w:val="000000"/>
                <w:sz w:val="18"/>
                <w:szCs w:val="18"/>
                <w:highlight w:val="yellow"/>
              </w:rPr>
              <w:instrText xml:space="preserve"> FORMTEXT </w:instrText>
            </w:r>
            <w:r w:rsidRPr="00E30B5B">
              <w:rPr>
                <w:i/>
                <w:color w:val="000000"/>
                <w:sz w:val="18"/>
                <w:szCs w:val="18"/>
                <w:highlight w:val="yellow"/>
              </w:rPr>
            </w:r>
            <w:r w:rsidRPr="00E30B5B">
              <w:rPr>
                <w:i/>
                <w:color w:val="000000"/>
                <w:sz w:val="18"/>
                <w:szCs w:val="18"/>
                <w:highlight w:val="yellow"/>
              </w:rPr>
              <w:fldChar w:fldCharType="separate"/>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fldChar w:fldCharType="end"/>
            </w:r>
          </w:p>
        </w:tc>
        <w:tc>
          <w:tcPr>
            <w:tcW w:w="1485" w:type="dxa"/>
            <w:gridSpan w:val="3"/>
            <w:shd w:val="clear" w:color="auto" w:fill="F2F2F2" w:themeFill="background1" w:themeFillShade="F2"/>
          </w:tcPr>
          <w:p w14:paraId="232109D9" w14:textId="77777777" w:rsidR="007520C1" w:rsidRPr="00E30B5B" w:rsidRDefault="007520C1" w:rsidP="00E049DB">
            <w:pPr>
              <w:rPr>
                <w:sz w:val="18"/>
                <w:szCs w:val="18"/>
                <w:highlight w:val="yellow"/>
              </w:rPr>
            </w:pPr>
            <w:r w:rsidRPr="00E30B5B">
              <w:rPr>
                <w:i/>
                <w:color w:val="000000"/>
                <w:sz w:val="18"/>
                <w:szCs w:val="18"/>
                <w:highlight w:val="yellow"/>
              </w:rPr>
              <w:fldChar w:fldCharType="begin">
                <w:ffData>
                  <w:name w:val="F_GEB_BD_target"/>
                  <w:enabled/>
                  <w:calcOnExit w:val="0"/>
                  <w:textInput/>
                </w:ffData>
              </w:fldChar>
            </w:r>
            <w:r w:rsidRPr="00E30B5B">
              <w:rPr>
                <w:i/>
                <w:color w:val="000000"/>
                <w:sz w:val="18"/>
                <w:szCs w:val="18"/>
                <w:highlight w:val="yellow"/>
              </w:rPr>
              <w:instrText xml:space="preserve"> FORMTEXT </w:instrText>
            </w:r>
            <w:r w:rsidRPr="00E30B5B">
              <w:rPr>
                <w:i/>
                <w:color w:val="000000"/>
                <w:sz w:val="18"/>
                <w:szCs w:val="18"/>
                <w:highlight w:val="yellow"/>
              </w:rPr>
            </w:r>
            <w:r w:rsidRPr="00E30B5B">
              <w:rPr>
                <w:i/>
                <w:color w:val="000000"/>
                <w:sz w:val="18"/>
                <w:szCs w:val="18"/>
                <w:highlight w:val="yellow"/>
              </w:rPr>
              <w:fldChar w:fldCharType="separate"/>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fldChar w:fldCharType="end"/>
            </w:r>
          </w:p>
        </w:tc>
        <w:tc>
          <w:tcPr>
            <w:tcW w:w="1324" w:type="dxa"/>
            <w:gridSpan w:val="2"/>
            <w:shd w:val="clear" w:color="auto" w:fill="F2F2F2" w:themeFill="background1" w:themeFillShade="F2"/>
          </w:tcPr>
          <w:p w14:paraId="45838D58" w14:textId="77777777" w:rsidR="007520C1" w:rsidRPr="00E30B5B" w:rsidRDefault="007520C1" w:rsidP="00E049DB">
            <w:pPr>
              <w:rPr>
                <w:sz w:val="18"/>
                <w:szCs w:val="18"/>
                <w:highlight w:val="yellow"/>
              </w:rPr>
            </w:pPr>
            <w:r w:rsidRPr="00E30B5B">
              <w:rPr>
                <w:i/>
                <w:color w:val="000000"/>
                <w:sz w:val="18"/>
                <w:szCs w:val="18"/>
                <w:highlight w:val="yellow"/>
              </w:rPr>
              <w:fldChar w:fldCharType="begin">
                <w:ffData>
                  <w:name w:val="F_GEB_BD_target"/>
                  <w:enabled/>
                  <w:calcOnExit w:val="0"/>
                  <w:textInput/>
                </w:ffData>
              </w:fldChar>
            </w:r>
            <w:r w:rsidRPr="00E30B5B">
              <w:rPr>
                <w:i/>
                <w:color w:val="000000"/>
                <w:sz w:val="18"/>
                <w:szCs w:val="18"/>
                <w:highlight w:val="yellow"/>
              </w:rPr>
              <w:instrText xml:space="preserve"> FORMTEXT </w:instrText>
            </w:r>
            <w:r w:rsidRPr="00E30B5B">
              <w:rPr>
                <w:i/>
                <w:color w:val="000000"/>
                <w:sz w:val="18"/>
                <w:szCs w:val="18"/>
                <w:highlight w:val="yellow"/>
              </w:rPr>
            </w:r>
            <w:r w:rsidRPr="00E30B5B">
              <w:rPr>
                <w:i/>
                <w:color w:val="000000"/>
                <w:sz w:val="18"/>
                <w:szCs w:val="18"/>
                <w:highlight w:val="yellow"/>
              </w:rPr>
              <w:fldChar w:fldCharType="separate"/>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fldChar w:fldCharType="end"/>
            </w:r>
          </w:p>
        </w:tc>
        <w:tc>
          <w:tcPr>
            <w:tcW w:w="1287" w:type="dxa"/>
            <w:shd w:val="clear" w:color="auto" w:fill="F2F2F2" w:themeFill="background1" w:themeFillShade="F2"/>
          </w:tcPr>
          <w:p w14:paraId="62D235B2" w14:textId="77777777" w:rsidR="007520C1" w:rsidRPr="00E30B5B" w:rsidRDefault="007520C1" w:rsidP="00E049DB">
            <w:pPr>
              <w:jc w:val="right"/>
              <w:rPr>
                <w:i/>
                <w:color w:val="000000"/>
                <w:sz w:val="18"/>
                <w:szCs w:val="18"/>
                <w:highlight w:val="yellow"/>
              </w:rPr>
            </w:pPr>
            <w:r w:rsidRPr="00E30B5B">
              <w:rPr>
                <w:i/>
                <w:color w:val="000000"/>
                <w:sz w:val="18"/>
                <w:szCs w:val="18"/>
                <w:highlight w:val="yellow"/>
              </w:rPr>
              <w:fldChar w:fldCharType="begin">
                <w:ffData>
                  <w:name w:val="F_GEB_BD_target"/>
                  <w:enabled/>
                  <w:calcOnExit w:val="0"/>
                  <w:textInput/>
                </w:ffData>
              </w:fldChar>
            </w:r>
            <w:r w:rsidRPr="00E30B5B">
              <w:rPr>
                <w:i/>
                <w:color w:val="000000"/>
                <w:sz w:val="18"/>
                <w:szCs w:val="18"/>
                <w:highlight w:val="yellow"/>
              </w:rPr>
              <w:instrText xml:space="preserve"> FORMTEXT </w:instrText>
            </w:r>
            <w:r w:rsidRPr="00E30B5B">
              <w:rPr>
                <w:i/>
                <w:color w:val="000000"/>
                <w:sz w:val="18"/>
                <w:szCs w:val="18"/>
                <w:highlight w:val="yellow"/>
              </w:rPr>
            </w:r>
            <w:r w:rsidRPr="00E30B5B">
              <w:rPr>
                <w:i/>
                <w:color w:val="000000"/>
                <w:sz w:val="18"/>
                <w:szCs w:val="18"/>
                <w:highlight w:val="yellow"/>
              </w:rPr>
              <w:fldChar w:fldCharType="separate"/>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fldChar w:fldCharType="end"/>
            </w:r>
          </w:p>
        </w:tc>
      </w:tr>
      <w:tr w:rsidR="007520C1" w:rsidRPr="004244E0" w14:paraId="2EFF636F" w14:textId="77777777" w:rsidTr="00DB02C4">
        <w:tc>
          <w:tcPr>
            <w:tcW w:w="1298" w:type="dxa"/>
            <w:shd w:val="clear" w:color="auto" w:fill="BFBFBF" w:themeFill="background1" w:themeFillShade="BF"/>
          </w:tcPr>
          <w:p w14:paraId="298C7189" w14:textId="77777777" w:rsidR="007520C1" w:rsidRPr="00E30B5B" w:rsidRDefault="007520C1" w:rsidP="00E049DB">
            <w:pPr>
              <w:rPr>
                <w:sz w:val="18"/>
                <w:szCs w:val="18"/>
                <w:highlight w:val="yellow"/>
              </w:rPr>
            </w:pPr>
            <w:r w:rsidRPr="00E30B5B">
              <w:rPr>
                <w:sz w:val="18"/>
                <w:szCs w:val="18"/>
                <w:highlight w:val="yellow"/>
              </w:rPr>
              <w:t>Indicator 6.1</w:t>
            </w:r>
          </w:p>
        </w:tc>
        <w:tc>
          <w:tcPr>
            <w:tcW w:w="5441" w:type="dxa"/>
            <w:gridSpan w:val="4"/>
            <w:shd w:val="clear" w:color="auto" w:fill="BFBFBF" w:themeFill="background1" w:themeFillShade="BF"/>
          </w:tcPr>
          <w:p w14:paraId="0BEC6E2A" w14:textId="77777777" w:rsidR="007520C1" w:rsidRPr="00E30B5B" w:rsidRDefault="007520C1" w:rsidP="00E049DB">
            <w:pPr>
              <w:rPr>
                <w:sz w:val="18"/>
                <w:szCs w:val="18"/>
                <w:highlight w:val="yellow"/>
              </w:rPr>
            </w:pPr>
            <w:r w:rsidRPr="00E30B5B">
              <w:rPr>
                <w:sz w:val="18"/>
                <w:szCs w:val="18"/>
                <w:highlight w:val="yellow"/>
              </w:rPr>
              <w:t>Carbon sequestered or emissions avoided in the AFOLU sector</w:t>
            </w:r>
          </w:p>
        </w:tc>
        <w:tc>
          <w:tcPr>
            <w:tcW w:w="1485" w:type="dxa"/>
            <w:gridSpan w:val="3"/>
            <w:shd w:val="clear" w:color="auto" w:fill="BFBFBF" w:themeFill="background1" w:themeFillShade="BF"/>
          </w:tcPr>
          <w:p w14:paraId="084AE920" w14:textId="77777777" w:rsidR="007520C1" w:rsidRPr="00E30B5B" w:rsidRDefault="007520C1" w:rsidP="00E049DB">
            <w:pPr>
              <w:rPr>
                <w:sz w:val="18"/>
                <w:szCs w:val="18"/>
                <w:highlight w:val="yellow"/>
              </w:rPr>
            </w:pPr>
          </w:p>
        </w:tc>
        <w:tc>
          <w:tcPr>
            <w:tcW w:w="2611" w:type="dxa"/>
            <w:gridSpan w:val="3"/>
            <w:shd w:val="clear" w:color="auto" w:fill="BFBFBF" w:themeFill="background1" w:themeFillShade="BF"/>
          </w:tcPr>
          <w:p w14:paraId="3CDE1604" w14:textId="77777777" w:rsidR="007520C1" w:rsidRPr="00E30B5B" w:rsidRDefault="007520C1" w:rsidP="00E049DB">
            <w:pPr>
              <w:jc w:val="right"/>
              <w:rPr>
                <w:sz w:val="18"/>
                <w:szCs w:val="18"/>
                <w:highlight w:val="yellow"/>
              </w:rPr>
            </w:pPr>
            <w:r w:rsidRPr="00E30B5B">
              <w:rPr>
                <w:i/>
                <w:color w:val="000000"/>
                <w:sz w:val="18"/>
                <w:szCs w:val="18"/>
                <w:highlight w:val="yellow"/>
              </w:rPr>
              <w:fldChar w:fldCharType="begin">
                <w:ffData>
                  <w:name w:val="F_GEB_BD_target"/>
                  <w:enabled/>
                  <w:calcOnExit w:val="0"/>
                  <w:textInput/>
                </w:ffData>
              </w:fldChar>
            </w:r>
            <w:r w:rsidRPr="00E30B5B">
              <w:rPr>
                <w:i/>
                <w:color w:val="000000"/>
                <w:sz w:val="18"/>
                <w:szCs w:val="18"/>
                <w:highlight w:val="yellow"/>
              </w:rPr>
              <w:instrText xml:space="preserve"> FORMTEXT </w:instrText>
            </w:r>
            <w:r w:rsidRPr="00E30B5B">
              <w:rPr>
                <w:i/>
                <w:color w:val="000000"/>
                <w:sz w:val="18"/>
                <w:szCs w:val="18"/>
                <w:highlight w:val="yellow"/>
              </w:rPr>
            </w:r>
            <w:r w:rsidRPr="00E30B5B">
              <w:rPr>
                <w:i/>
                <w:color w:val="000000"/>
                <w:sz w:val="18"/>
                <w:szCs w:val="18"/>
                <w:highlight w:val="yellow"/>
              </w:rPr>
              <w:fldChar w:fldCharType="separate"/>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fldChar w:fldCharType="end"/>
            </w:r>
          </w:p>
        </w:tc>
      </w:tr>
      <w:tr w:rsidR="007520C1" w:rsidRPr="004244E0" w14:paraId="311E91BF" w14:textId="77777777" w:rsidTr="00DB02C4">
        <w:trPr>
          <w:trHeight w:val="125"/>
        </w:trPr>
        <w:tc>
          <w:tcPr>
            <w:tcW w:w="1298" w:type="dxa"/>
            <w:vMerge w:val="restart"/>
          </w:tcPr>
          <w:p w14:paraId="169653D9" w14:textId="77777777" w:rsidR="007520C1" w:rsidRPr="00E30B5B" w:rsidRDefault="007520C1" w:rsidP="00E049DB">
            <w:pPr>
              <w:rPr>
                <w:sz w:val="18"/>
                <w:szCs w:val="18"/>
                <w:highlight w:val="yellow"/>
              </w:rPr>
            </w:pPr>
          </w:p>
        </w:tc>
        <w:tc>
          <w:tcPr>
            <w:tcW w:w="933" w:type="dxa"/>
            <w:vMerge w:val="restart"/>
          </w:tcPr>
          <w:p w14:paraId="201B59FD" w14:textId="77777777" w:rsidR="007520C1" w:rsidRPr="00E30B5B" w:rsidRDefault="007520C1" w:rsidP="00E049DB">
            <w:pPr>
              <w:rPr>
                <w:sz w:val="18"/>
                <w:szCs w:val="18"/>
                <w:highlight w:val="yellow"/>
              </w:rPr>
            </w:pPr>
          </w:p>
        </w:tc>
        <w:tc>
          <w:tcPr>
            <w:tcW w:w="1726" w:type="dxa"/>
            <w:vMerge w:val="restart"/>
          </w:tcPr>
          <w:p w14:paraId="5458148D" w14:textId="77777777" w:rsidR="007520C1" w:rsidRPr="00E30B5B" w:rsidRDefault="007520C1" w:rsidP="00E049DB">
            <w:pPr>
              <w:rPr>
                <w:sz w:val="18"/>
                <w:szCs w:val="18"/>
                <w:highlight w:val="yellow"/>
              </w:rPr>
            </w:pPr>
          </w:p>
        </w:tc>
        <w:tc>
          <w:tcPr>
            <w:tcW w:w="6878" w:type="dxa"/>
            <w:gridSpan w:val="8"/>
          </w:tcPr>
          <w:p w14:paraId="521956AA" w14:textId="77777777" w:rsidR="007520C1" w:rsidRPr="00E30B5B" w:rsidRDefault="007520C1" w:rsidP="00E049DB">
            <w:pPr>
              <w:jc w:val="center"/>
              <w:rPr>
                <w:sz w:val="18"/>
                <w:szCs w:val="18"/>
                <w:highlight w:val="yellow"/>
              </w:rPr>
            </w:pPr>
            <w:r w:rsidRPr="00E30B5B">
              <w:rPr>
                <w:sz w:val="18"/>
                <w:szCs w:val="18"/>
                <w:highlight w:val="yellow"/>
              </w:rPr>
              <w:t xml:space="preserve"> Expected metric tons of CO₂e</w:t>
            </w:r>
          </w:p>
        </w:tc>
      </w:tr>
      <w:tr w:rsidR="007520C1" w:rsidRPr="004244E0" w14:paraId="1E9C274D" w14:textId="77777777" w:rsidTr="00DB02C4">
        <w:trPr>
          <w:trHeight w:val="89"/>
        </w:trPr>
        <w:tc>
          <w:tcPr>
            <w:tcW w:w="1298" w:type="dxa"/>
            <w:vMerge/>
          </w:tcPr>
          <w:p w14:paraId="7CCA2BFE" w14:textId="77777777" w:rsidR="007520C1" w:rsidRPr="00E30B5B" w:rsidRDefault="007520C1" w:rsidP="00E049DB">
            <w:pPr>
              <w:rPr>
                <w:sz w:val="18"/>
                <w:szCs w:val="18"/>
                <w:highlight w:val="yellow"/>
              </w:rPr>
            </w:pPr>
          </w:p>
        </w:tc>
        <w:tc>
          <w:tcPr>
            <w:tcW w:w="933" w:type="dxa"/>
            <w:vMerge/>
          </w:tcPr>
          <w:p w14:paraId="7306A6C8" w14:textId="77777777" w:rsidR="007520C1" w:rsidRPr="00E30B5B" w:rsidRDefault="007520C1" w:rsidP="00E049DB">
            <w:pPr>
              <w:rPr>
                <w:sz w:val="18"/>
                <w:szCs w:val="18"/>
                <w:highlight w:val="yellow"/>
              </w:rPr>
            </w:pPr>
          </w:p>
        </w:tc>
        <w:tc>
          <w:tcPr>
            <w:tcW w:w="1726" w:type="dxa"/>
            <w:vMerge/>
          </w:tcPr>
          <w:p w14:paraId="61393C11" w14:textId="77777777" w:rsidR="007520C1" w:rsidRPr="00E30B5B" w:rsidRDefault="007520C1" w:rsidP="00E049DB">
            <w:pPr>
              <w:rPr>
                <w:sz w:val="18"/>
                <w:szCs w:val="18"/>
                <w:highlight w:val="yellow"/>
              </w:rPr>
            </w:pPr>
          </w:p>
        </w:tc>
        <w:tc>
          <w:tcPr>
            <w:tcW w:w="2782" w:type="dxa"/>
            <w:gridSpan w:val="2"/>
          </w:tcPr>
          <w:p w14:paraId="6BC24A4A" w14:textId="77777777" w:rsidR="007520C1" w:rsidRPr="00E30B5B" w:rsidRDefault="007520C1" w:rsidP="00E049DB">
            <w:pPr>
              <w:jc w:val="center"/>
              <w:rPr>
                <w:sz w:val="18"/>
                <w:szCs w:val="18"/>
                <w:highlight w:val="yellow"/>
              </w:rPr>
            </w:pPr>
            <w:r w:rsidRPr="00E30B5B">
              <w:rPr>
                <w:sz w:val="18"/>
                <w:szCs w:val="18"/>
                <w:highlight w:val="yellow"/>
              </w:rPr>
              <w:t>PIF stage</w:t>
            </w:r>
          </w:p>
        </w:tc>
        <w:tc>
          <w:tcPr>
            <w:tcW w:w="1485" w:type="dxa"/>
            <w:gridSpan w:val="3"/>
          </w:tcPr>
          <w:p w14:paraId="17A8EB3A" w14:textId="77777777" w:rsidR="007520C1" w:rsidRPr="00E30B5B" w:rsidRDefault="007520C1" w:rsidP="00E049DB">
            <w:pPr>
              <w:jc w:val="center"/>
              <w:rPr>
                <w:sz w:val="18"/>
                <w:szCs w:val="18"/>
                <w:highlight w:val="yellow"/>
              </w:rPr>
            </w:pPr>
            <w:r w:rsidRPr="00E30B5B">
              <w:rPr>
                <w:sz w:val="18"/>
                <w:szCs w:val="18"/>
                <w:highlight w:val="yellow"/>
              </w:rPr>
              <w:t>Endorsement</w:t>
            </w:r>
          </w:p>
        </w:tc>
        <w:tc>
          <w:tcPr>
            <w:tcW w:w="1324" w:type="dxa"/>
            <w:gridSpan w:val="2"/>
          </w:tcPr>
          <w:p w14:paraId="4654CABD" w14:textId="77777777" w:rsidR="007520C1" w:rsidRPr="00E30B5B" w:rsidRDefault="007520C1" w:rsidP="00E049DB">
            <w:pPr>
              <w:jc w:val="center"/>
              <w:rPr>
                <w:sz w:val="18"/>
                <w:szCs w:val="18"/>
                <w:highlight w:val="yellow"/>
              </w:rPr>
            </w:pPr>
            <w:r w:rsidRPr="00E30B5B">
              <w:rPr>
                <w:sz w:val="18"/>
                <w:szCs w:val="18"/>
                <w:highlight w:val="yellow"/>
              </w:rPr>
              <w:t>MTR</w:t>
            </w:r>
          </w:p>
        </w:tc>
        <w:tc>
          <w:tcPr>
            <w:tcW w:w="1287" w:type="dxa"/>
          </w:tcPr>
          <w:p w14:paraId="3DF2971E" w14:textId="77777777" w:rsidR="007520C1" w:rsidRPr="00E30B5B" w:rsidRDefault="007520C1" w:rsidP="00E049DB">
            <w:pPr>
              <w:jc w:val="center"/>
              <w:rPr>
                <w:sz w:val="18"/>
                <w:szCs w:val="18"/>
                <w:highlight w:val="yellow"/>
              </w:rPr>
            </w:pPr>
            <w:r w:rsidRPr="00E30B5B">
              <w:rPr>
                <w:sz w:val="18"/>
                <w:szCs w:val="18"/>
                <w:highlight w:val="yellow"/>
              </w:rPr>
              <w:t>TE</w:t>
            </w:r>
          </w:p>
        </w:tc>
      </w:tr>
      <w:tr w:rsidR="007520C1" w:rsidRPr="004244E0" w14:paraId="0EA63E15" w14:textId="77777777" w:rsidTr="00DB02C4">
        <w:tc>
          <w:tcPr>
            <w:tcW w:w="1298" w:type="dxa"/>
          </w:tcPr>
          <w:p w14:paraId="679C80CC" w14:textId="77777777" w:rsidR="007520C1" w:rsidRPr="00E30B5B" w:rsidRDefault="007520C1" w:rsidP="00E049DB">
            <w:pPr>
              <w:jc w:val="right"/>
              <w:rPr>
                <w:sz w:val="18"/>
                <w:szCs w:val="18"/>
                <w:highlight w:val="yellow"/>
              </w:rPr>
            </w:pPr>
          </w:p>
        </w:tc>
        <w:tc>
          <w:tcPr>
            <w:tcW w:w="2659" w:type="dxa"/>
            <w:gridSpan w:val="2"/>
          </w:tcPr>
          <w:p w14:paraId="7A060B6A" w14:textId="77777777" w:rsidR="007520C1" w:rsidRPr="00E30B5B" w:rsidRDefault="007520C1" w:rsidP="00E049DB">
            <w:pPr>
              <w:jc w:val="right"/>
              <w:rPr>
                <w:sz w:val="18"/>
                <w:szCs w:val="18"/>
                <w:highlight w:val="yellow"/>
              </w:rPr>
            </w:pPr>
            <w:r w:rsidRPr="00E30B5B">
              <w:rPr>
                <w:sz w:val="18"/>
                <w:szCs w:val="18"/>
                <w:highlight w:val="yellow"/>
              </w:rPr>
              <w:t>Expected CO2e (direct)</w:t>
            </w:r>
          </w:p>
        </w:tc>
        <w:tc>
          <w:tcPr>
            <w:tcW w:w="2782" w:type="dxa"/>
            <w:gridSpan w:val="2"/>
          </w:tcPr>
          <w:p w14:paraId="54F0E4A2" w14:textId="77777777" w:rsidR="007520C1" w:rsidRPr="00E30B5B" w:rsidRDefault="007520C1" w:rsidP="00E049DB">
            <w:pPr>
              <w:jc w:val="right"/>
              <w:rPr>
                <w:sz w:val="18"/>
                <w:szCs w:val="18"/>
                <w:highlight w:val="yellow"/>
              </w:rPr>
            </w:pPr>
            <w:r w:rsidRPr="00E30B5B">
              <w:rPr>
                <w:i/>
                <w:color w:val="000000"/>
                <w:sz w:val="18"/>
                <w:szCs w:val="18"/>
                <w:highlight w:val="yellow"/>
              </w:rPr>
              <w:fldChar w:fldCharType="begin">
                <w:ffData>
                  <w:name w:val="F_GEB_BD_target"/>
                  <w:enabled/>
                  <w:calcOnExit w:val="0"/>
                  <w:textInput/>
                </w:ffData>
              </w:fldChar>
            </w:r>
            <w:r w:rsidRPr="00E30B5B">
              <w:rPr>
                <w:i/>
                <w:color w:val="000000"/>
                <w:sz w:val="18"/>
                <w:szCs w:val="18"/>
                <w:highlight w:val="yellow"/>
              </w:rPr>
              <w:instrText xml:space="preserve"> FORMTEXT </w:instrText>
            </w:r>
            <w:r w:rsidRPr="00E30B5B">
              <w:rPr>
                <w:i/>
                <w:color w:val="000000"/>
                <w:sz w:val="18"/>
                <w:szCs w:val="18"/>
                <w:highlight w:val="yellow"/>
              </w:rPr>
            </w:r>
            <w:r w:rsidRPr="00E30B5B">
              <w:rPr>
                <w:i/>
                <w:color w:val="000000"/>
                <w:sz w:val="18"/>
                <w:szCs w:val="18"/>
                <w:highlight w:val="yellow"/>
              </w:rPr>
              <w:fldChar w:fldCharType="separate"/>
            </w:r>
            <w:r w:rsidRPr="00E30B5B">
              <w:rPr>
                <w:i/>
                <w:color w:val="000000"/>
                <w:sz w:val="18"/>
                <w:szCs w:val="18"/>
                <w:highlight w:val="yellow"/>
              </w:rPr>
              <w:t>8,460,000 tCO2-eq</w:t>
            </w:r>
            <w:r w:rsidRPr="00E30B5B">
              <w:rPr>
                <w:i/>
                <w:color w:val="000000"/>
                <w:sz w:val="18"/>
                <w:szCs w:val="18"/>
                <w:highlight w:val="yellow"/>
              </w:rPr>
              <w:fldChar w:fldCharType="end"/>
            </w:r>
          </w:p>
        </w:tc>
        <w:tc>
          <w:tcPr>
            <w:tcW w:w="1485" w:type="dxa"/>
            <w:gridSpan w:val="3"/>
          </w:tcPr>
          <w:p w14:paraId="387FEFE5" w14:textId="77777777" w:rsidR="007520C1" w:rsidRPr="00E30B5B" w:rsidRDefault="007520C1" w:rsidP="00E049DB">
            <w:pPr>
              <w:jc w:val="right"/>
              <w:rPr>
                <w:sz w:val="18"/>
                <w:szCs w:val="18"/>
                <w:highlight w:val="yellow"/>
              </w:rPr>
            </w:pPr>
            <w:r w:rsidRPr="00E30B5B">
              <w:rPr>
                <w:i/>
                <w:color w:val="000000"/>
                <w:sz w:val="18"/>
                <w:szCs w:val="18"/>
                <w:highlight w:val="yellow"/>
              </w:rPr>
              <w:fldChar w:fldCharType="begin">
                <w:ffData>
                  <w:name w:val="F_GEB_BD_target"/>
                  <w:enabled/>
                  <w:calcOnExit w:val="0"/>
                  <w:textInput/>
                </w:ffData>
              </w:fldChar>
            </w:r>
            <w:r w:rsidRPr="00E30B5B">
              <w:rPr>
                <w:i/>
                <w:color w:val="000000"/>
                <w:sz w:val="18"/>
                <w:szCs w:val="18"/>
                <w:highlight w:val="yellow"/>
              </w:rPr>
              <w:instrText xml:space="preserve"> FORMTEXT </w:instrText>
            </w:r>
            <w:r w:rsidRPr="00E30B5B">
              <w:rPr>
                <w:i/>
                <w:color w:val="000000"/>
                <w:sz w:val="18"/>
                <w:szCs w:val="18"/>
                <w:highlight w:val="yellow"/>
              </w:rPr>
            </w:r>
            <w:r w:rsidRPr="00E30B5B">
              <w:rPr>
                <w:i/>
                <w:color w:val="000000"/>
                <w:sz w:val="18"/>
                <w:szCs w:val="18"/>
                <w:highlight w:val="yellow"/>
              </w:rPr>
              <w:fldChar w:fldCharType="separate"/>
            </w:r>
            <w:r w:rsidRPr="00E30B5B">
              <w:rPr>
                <w:i/>
                <w:color w:val="000000"/>
                <w:sz w:val="18"/>
                <w:szCs w:val="18"/>
                <w:highlight w:val="yellow"/>
              </w:rPr>
              <w:t xml:space="preserve">1,047,911 tCO2-eq     </w:t>
            </w:r>
            <w:r w:rsidRPr="00E30B5B">
              <w:rPr>
                <w:i/>
                <w:color w:val="000000"/>
                <w:sz w:val="18"/>
                <w:szCs w:val="18"/>
                <w:highlight w:val="yellow"/>
              </w:rPr>
              <w:fldChar w:fldCharType="end"/>
            </w:r>
          </w:p>
        </w:tc>
        <w:tc>
          <w:tcPr>
            <w:tcW w:w="1324" w:type="dxa"/>
            <w:gridSpan w:val="2"/>
          </w:tcPr>
          <w:p w14:paraId="1F230440" w14:textId="77777777" w:rsidR="007520C1" w:rsidRPr="00E30B5B" w:rsidRDefault="007520C1" w:rsidP="00E049DB">
            <w:pPr>
              <w:jc w:val="right"/>
              <w:rPr>
                <w:sz w:val="18"/>
                <w:szCs w:val="18"/>
                <w:highlight w:val="yellow"/>
              </w:rPr>
            </w:pPr>
            <w:r w:rsidRPr="00E30B5B">
              <w:rPr>
                <w:i/>
                <w:color w:val="000000"/>
                <w:sz w:val="18"/>
                <w:szCs w:val="18"/>
                <w:highlight w:val="yellow"/>
              </w:rPr>
              <w:fldChar w:fldCharType="begin">
                <w:ffData>
                  <w:name w:val="F_GEB_BD_target"/>
                  <w:enabled/>
                  <w:calcOnExit w:val="0"/>
                  <w:textInput/>
                </w:ffData>
              </w:fldChar>
            </w:r>
            <w:r w:rsidRPr="00E30B5B">
              <w:rPr>
                <w:i/>
                <w:color w:val="000000"/>
                <w:sz w:val="18"/>
                <w:szCs w:val="18"/>
                <w:highlight w:val="yellow"/>
              </w:rPr>
              <w:instrText xml:space="preserve"> FORMTEXT </w:instrText>
            </w:r>
            <w:r w:rsidRPr="00E30B5B">
              <w:rPr>
                <w:i/>
                <w:color w:val="000000"/>
                <w:sz w:val="18"/>
                <w:szCs w:val="18"/>
                <w:highlight w:val="yellow"/>
              </w:rPr>
            </w:r>
            <w:r w:rsidRPr="00E30B5B">
              <w:rPr>
                <w:i/>
                <w:color w:val="000000"/>
                <w:sz w:val="18"/>
                <w:szCs w:val="18"/>
                <w:highlight w:val="yellow"/>
              </w:rPr>
              <w:fldChar w:fldCharType="separate"/>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fldChar w:fldCharType="end"/>
            </w:r>
          </w:p>
        </w:tc>
        <w:tc>
          <w:tcPr>
            <w:tcW w:w="1287" w:type="dxa"/>
          </w:tcPr>
          <w:p w14:paraId="1D66DFD9" w14:textId="77777777" w:rsidR="007520C1" w:rsidRPr="00E30B5B" w:rsidRDefault="007520C1" w:rsidP="00E049DB">
            <w:pPr>
              <w:jc w:val="right"/>
              <w:rPr>
                <w:sz w:val="18"/>
                <w:szCs w:val="18"/>
                <w:highlight w:val="yellow"/>
              </w:rPr>
            </w:pPr>
            <w:r w:rsidRPr="00E30B5B">
              <w:rPr>
                <w:i/>
                <w:color w:val="000000"/>
                <w:sz w:val="18"/>
                <w:szCs w:val="18"/>
                <w:highlight w:val="yellow"/>
              </w:rPr>
              <w:fldChar w:fldCharType="begin">
                <w:ffData>
                  <w:name w:val="F_GEB_BD_target"/>
                  <w:enabled/>
                  <w:calcOnExit w:val="0"/>
                  <w:textInput/>
                </w:ffData>
              </w:fldChar>
            </w:r>
            <w:r w:rsidRPr="00E30B5B">
              <w:rPr>
                <w:i/>
                <w:color w:val="000000"/>
                <w:sz w:val="18"/>
                <w:szCs w:val="18"/>
                <w:highlight w:val="yellow"/>
              </w:rPr>
              <w:instrText xml:space="preserve"> FORMTEXT </w:instrText>
            </w:r>
            <w:r w:rsidRPr="00E30B5B">
              <w:rPr>
                <w:i/>
                <w:color w:val="000000"/>
                <w:sz w:val="18"/>
                <w:szCs w:val="18"/>
                <w:highlight w:val="yellow"/>
              </w:rPr>
            </w:r>
            <w:r w:rsidRPr="00E30B5B">
              <w:rPr>
                <w:i/>
                <w:color w:val="000000"/>
                <w:sz w:val="18"/>
                <w:szCs w:val="18"/>
                <w:highlight w:val="yellow"/>
              </w:rPr>
              <w:fldChar w:fldCharType="separate"/>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fldChar w:fldCharType="end"/>
            </w:r>
          </w:p>
        </w:tc>
      </w:tr>
      <w:tr w:rsidR="007520C1" w:rsidRPr="004244E0" w14:paraId="01A46A0C" w14:textId="77777777" w:rsidTr="00DB02C4">
        <w:tc>
          <w:tcPr>
            <w:tcW w:w="1298" w:type="dxa"/>
          </w:tcPr>
          <w:p w14:paraId="1AA87297" w14:textId="77777777" w:rsidR="007520C1" w:rsidRPr="00E30B5B" w:rsidRDefault="007520C1" w:rsidP="00E049DB">
            <w:pPr>
              <w:jc w:val="right"/>
              <w:rPr>
                <w:sz w:val="18"/>
                <w:szCs w:val="18"/>
                <w:highlight w:val="yellow"/>
              </w:rPr>
            </w:pPr>
          </w:p>
        </w:tc>
        <w:tc>
          <w:tcPr>
            <w:tcW w:w="2659" w:type="dxa"/>
            <w:gridSpan w:val="2"/>
          </w:tcPr>
          <w:p w14:paraId="4B40BEDB" w14:textId="77777777" w:rsidR="007520C1" w:rsidRPr="00E30B5B" w:rsidRDefault="007520C1" w:rsidP="00E049DB">
            <w:pPr>
              <w:jc w:val="right"/>
              <w:rPr>
                <w:sz w:val="18"/>
                <w:szCs w:val="18"/>
                <w:highlight w:val="yellow"/>
              </w:rPr>
            </w:pPr>
            <w:r w:rsidRPr="00E30B5B">
              <w:rPr>
                <w:sz w:val="18"/>
                <w:szCs w:val="18"/>
                <w:highlight w:val="yellow"/>
              </w:rPr>
              <w:t>Expected CO2e (indirect)</w:t>
            </w:r>
          </w:p>
        </w:tc>
        <w:tc>
          <w:tcPr>
            <w:tcW w:w="2782" w:type="dxa"/>
            <w:gridSpan w:val="2"/>
          </w:tcPr>
          <w:p w14:paraId="0DE6B3A6" w14:textId="77777777" w:rsidR="007520C1" w:rsidRPr="00E30B5B" w:rsidRDefault="007520C1" w:rsidP="00E049DB">
            <w:pPr>
              <w:jc w:val="right"/>
              <w:rPr>
                <w:sz w:val="18"/>
                <w:szCs w:val="18"/>
                <w:highlight w:val="yellow"/>
              </w:rPr>
            </w:pPr>
            <w:r w:rsidRPr="00E30B5B">
              <w:rPr>
                <w:i/>
                <w:color w:val="000000"/>
                <w:sz w:val="18"/>
                <w:szCs w:val="18"/>
                <w:highlight w:val="yellow"/>
              </w:rPr>
              <w:fldChar w:fldCharType="begin">
                <w:ffData>
                  <w:name w:val="F_GEB_BD_target"/>
                  <w:enabled/>
                  <w:calcOnExit w:val="0"/>
                  <w:textInput/>
                </w:ffData>
              </w:fldChar>
            </w:r>
            <w:r w:rsidRPr="00E30B5B">
              <w:rPr>
                <w:i/>
                <w:color w:val="000000"/>
                <w:sz w:val="18"/>
                <w:szCs w:val="18"/>
                <w:highlight w:val="yellow"/>
              </w:rPr>
              <w:instrText xml:space="preserve"> FORMTEXT </w:instrText>
            </w:r>
            <w:r w:rsidRPr="00E30B5B">
              <w:rPr>
                <w:i/>
                <w:color w:val="000000"/>
                <w:sz w:val="18"/>
                <w:szCs w:val="18"/>
                <w:highlight w:val="yellow"/>
              </w:rPr>
            </w:r>
            <w:r w:rsidRPr="00E30B5B">
              <w:rPr>
                <w:i/>
                <w:color w:val="000000"/>
                <w:sz w:val="18"/>
                <w:szCs w:val="18"/>
                <w:highlight w:val="yellow"/>
              </w:rPr>
              <w:fldChar w:fldCharType="separate"/>
            </w:r>
            <w:r w:rsidRPr="00E30B5B">
              <w:rPr>
                <w:i/>
                <w:color w:val="000000"/>
                <w:sz w:val="18"/>
                <w:szCs w:val="18"/>
                <w:highlight w:val="yellow"/>
              </w:rPr>
              <w:t>0 tCO2-eq</w:t>
            </w:r>
            <w:r w:rsidRPr="00E30B5B">
              <w:rPr>
                <w:i/>
                <w:color w:val="000000"/>
                <w:sz w:val="18"/>
                <w:szCs w:val="18"/>
                <w:highlight w:val="yellow"/>
              </w:rPr>
              <w:fldChar w:fldCharType="end"/>
            </w:r>
          </w:p>
        </w:tc>
        <w:tc>
          <w:tcPr>
            <w:tcW w:w="1485" w:type="dxa"/>
            <w:gridSpan w:val="3"/>
          </w:tcPr>
          <w:p w14:paraId="6686A3D8" w14:textId="77777777" w:rsidR="007520C1" w:rsidRPr="00E30B5B" w:rsidRDefault="007520C1" w:rsidP="00E049DB">
            <w:pPr>
              <w:jc w:val="right"/>
              <w:rPr>
                <w:sz w:val="18"/>
                <w:szCs w:val="18"/>
                <w:highlight w:val="yellow"/>
              </w:rPr>
            </w:pPr>
            <w:r w:rsidRPr="00E30B5B">
              <w:rPr>
                <w:i/>
                <w:color w:val="000000"/>
                <w:sz w:val="18"/>
                <w:szCs w:val="18"/>
                <w:highlight w:val="yellow"/>
              </w:rPr>
              <w:fldChar w:fldCharType="begin">
                <w:ffData>
                  <w:name w:val="F_GEB_BD_target"/>
                  <w:enabled/>
                  <w:calcOnExit w:val="0"/>
                  <w:textInput/>
                </w:ffData>
              </w:fldChar>
            </w:r>
            <w:r w:rsidRPr="00E30B5B">
              <w:rPr>
                <w:i/>
                <w:color w:val="000000"/>
                <w:sz w:val="18"/>
                <w:szCs w:val="18"/>
                <w:highlight w:val="yellow"/>
              </w:rPr>
              <w:instrText xml:space="preserve"> FORMTEXT </w:instrText>
            </w:r>
            <w:r w:rsidRPr="00E30B5B">
              <w:rPr>
                <w:i/>
                <w:color w:val="000000"/>
                <w:sz w:val="18"/>
                <w:szCs w:val="18"/>
                <w:highlight w:val="yellow"/>
              </w:rPr>
            </w:r>
            <w:r w:rsidRPr="00E30B5B">
              <w:rPr>
                <w:i/>
                <w:color w:val="000000"/>
                <w:sz w:val="18"/>
                <w:szCs w:val="18"/>
                <w:highlight w:val="yellow"/>
              </w:rPr>
              <w:fldChar w:fldCharType="separate"/>
            </w:r>
            <w:r w:rsidRPr="00E30B5B">
              <w:rPr>
                <w:i/>
                <w:color w:val="000000"/>
                <w:sz w:val="18"/>
                <w:szCs w:val="18"/>
                <w:highlight w:val="yellow"/>
              </w:rPr>
              <w:t xml:space="preserve">209,582 tCO2-eq     </w:t>
            </w:r>
            <w:r w:rsidRPr="00E30B5B">
              <w:rPr>
                <w:i/>
                <w:color w:val="000000"/>
                <w:sz w:val="18"/>
                <w:szCs w:val="18"/>
                <w:highlight w:val="yellow"/>
              </w:rPr>
              <w:fldChar w:fldCharType="end"/>
            </w:r>
          </w:p>
        </w:tc>
        <w:tc>
          <w:tcPr>
            <w:tcW w:w="1324" w:type="dxa"/>
            <w:gridSpan w:val="2"/>
          </w:tcPr>
          <w:p w14:paraId="56488CAE" w14:textId="77777777" w:rsidR="007520C1" w:rsidRPr="00E30B5B" w:rsidRDefault="007520C1" w:rsidP="00E049DB">
            <w:pPr>
              <w:jc w:val="right"/>
              <w:rPr>
                <w:sz w:val="18"/>
                <w:szCs w:val="18"/>
                <w:highlight w:val="yellow"/>
              </w:rPr>
            </w:pPr>
            <w:r w:rsidRPr="00E30B5B">
              <w:rPr>
                <w:i/>
                <w:color w:val="000000"/>
                <w:sz w:val="18"/>
                <w:szCs w:val="18"/>
                <w:highlight w:val="yellow"/>
              </w:rPr>
              <w:fldChar w:fldCharType="begin">
                <w:ffData>
                  <w:name w:val="F_GEB_BD_target"/>
                  <w:enabled/>
                  <w:calcOnExit w:val="0"/>
                  <w:textInput/>
                </w:ffData>
              </w:fldChar>
            </w:r>
            <w:r w:rsidRPr="00E30B5B">
              <w:rPr>
                <w:i/>
                <w:color w:val="000000"/>
                <w:sz w:val="18"/>
                <w:szCs w:val="18"/>
                <w:highlight w:val="yellow"/>
              </w:rPr>
              <w:instrText xml:space="preserve"> FORMTEXT </w:instrText>
            </w:r>
            <w:r w:rsidRPr="00E30B5B">
              <w:rPr>
                <w:i/>
                <w:color w:val="000000"/>
                <w:sz w:val="18"/>
                <w:szCs w:val="18"/>
                <w:highlight w:val="yellow"/>
              </w:rPr>
            </w:r>
            <w:r w:rsidRPr="00E30B5B">
              <w:rPr>
                <w:i/>
                <w:color w:val="000000"/>
                <w:sz w:val="18"/>
                <w:szCs w:val="18"/>
                <w:highlight w:val="yellow"/>
              </w:rPr>
              <w:fldChar w:fldCharType="separate"/>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fldChar w:fldCharType="end"/>
            </w:r>
          </w:p>
        </w:tc>
        <w:tc>
          <w:tcPr>
            <w:tcW w:w="1287" w:type="dxa"/>
          </w:tcPr>
          <w:p w14:paraId="3849C8AD" w14:textId="77777777" w:rsidR="007520C1" w:rsidRPr="00E30B5B" w:rsidRDefault="007520C1" w:rsidP="00E049DB">
            <w:pPr>
              <w:jc w:val="right"/>
              <w:rPr>
                <w:sz w:val="18"/>
                <w:szCs w:val="18"/>
                <w:highlight w:val="yellow"/>
              </w:rPr>
            </w:pPr>
            <w:r w:rsidRPr="00E30B5B">
              <w:rPr>
                <w:i/>
                <w:color w:val="000000"/>
                <w:sz w:val="18"/>
                <w:szCs w:val="18"/>
                <w:highlight w:val="yellow"/>
              </w:rPr>
              <w:fldChar w:fldCharType="begin">
                <w:ffData>
                  <w:name w:val="F_GEB_BD_target"/>
                  <w:enabled/>
                  <w:calcOnExit w:val="0"/>
                  <w:textInput/>
                </w:ffData>
              </w:fldChar>
            </w:r>
            <w:r w:rsidRPr="00E30B5B">
              <w:rPr>
                <w:i/>
                <w:color w:val="000000"/>
                <w:sz w:val="18"/>
                <w:szCs w:val="18"/>
                <w:highlight w:val="yellow"/>
              </w:rPr>
              <w:instrText xml:space="preserve"> FORMTEXT </w:instrText>
            </w:r>
            <w:r w:rsidRPr="00E30B5B">
              <w:rPr>
                <w:i/>
                <w:color w:val="000000"/>
                <w:sz w:val="18"/>
                <w:szCs w:val="18"/>
                <w:highlight w:val="yellow"/>
              </w:rPr>
            </w:r>
            <w:r w:rsidRPr="00E30B5B">
              <w:rPr>
                <w:i/>
                <w:color w:val="000000"/>
                <w:sz w:val="18"/>
                <w:szCs w:val="18"/>
                <w:highlight w:val="yellow"/>
              </w:rPr>
              <w:fldChar w:fldCharType="separate"/>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fldChar w:fldCharType="end"/>
            </w:r>
          </w:p>
        </w:tc>
      </w:tr>
      <w:tr w:rsidR="007520C1" w:rsidRPr="004244E0" w14:paraId="4C94ABA6" w14:textId="77777777" w:rsidTr="00DB02C4">
        <w:tc>
          <w:tcPr>
            <w:tcW w:w="1298" w:type="dxa"/>
          </w:tcPr>
          <w:p w14:paraId="1B84EFA1" w14:textId="77777777" w:rsidR="007520C1" w:rsidRPr="00E30B5B" w:rsidRDefault="007520C1" w:rsidP="00E049DB">
            <w:pPr>
              <w:jc w:val="right"/>
              <w:rPr>
                <w:sz w:val="18"/>
                <w:szCs w:val="18"/>
                <w:highlight w:val="yellow"/>
              </w:rPr>
            </w:pPr>
          </w:p>
        </w:tc>
        <w:tc>
          <w:tcPr>
            <w:tcW w:w="2659" w:type="dxa"/>
            <w:gridSpan w:val="2"/>
          </w:tcPr>
          <w:p w14:paraId="55E9BFD7" w14:textId="77777777" w:rsidR="007520C1" w:rsidRPr="00E30B5B" w:rsidRDefault="007520C1" w:rsidP="00E049DB">
            <w:pPr>
              <w:jc w:val="right"/>
              <w:rPr>
                <w:sz w:val="18"/>
                <w:szCs w:val="18"/>
                <w:highlight w:val="yellow"/>
              </w:rPr>
            </w:pPr>
            <w:r w:rsidRPr="00E30B5B">
              <w:rPr>
                <w:sz w:val="18"/>
                <w:szCs w:val="18"/>
                <w:highlight w:val="yellow"/>
              </w:rPr>
              <w:t>Anticipated start year of accounting</w:t>
            </w:r>
          </w:p>
        </w:tc>
        <w:tc>
          <w:tcPr>
            <w:tcW w:w="2782" w:type="dxa"/>
            <w:gridSpan w:val="2"/>
          </w:tcPr>
          <w:p w14:paraId="037183F9" w14:textId="77777777" w:rsidR="007520C1" w:rsidRPr="00E30B5B" w:rsidRDefault="007520C1" w:rsidP="00E049DB">
            <w:pPr>
              <w:jc w:val="right"/>
              <w:rPr>
                <w:i/>
                <w:color w:val="000000"/>
                <w:sz w:val="18"/>
                <w:szCs w:val="18"/>
                <w:highlight w:val="yellow"/>
              </w:rPr>
            </w:pPr>
            <w:r w:rsidRPr="00E30B5B">
              <w:rPr>
                <w:i/>
                <w:color w:val="000000"/>
                <w:sz w:val="18"/>
                <w:szCs w:val="18"/>
                <w:highlight w:val="yellow"/>
              </w:rPr>
              <w:fldChar w:fldCharType="begin">
                <w:ffData>
                  <w:name w:val="F_GEB_BD_target"/>
                  <w:enabled/>
                  <w:calcOnExit w:val="0"/>
                  <w:textInput/>
                </w:ffData>
              </w:fldChar>
            </w:r>
            <w:r w:rsidRPr="00E30B5B">
              <w:rPr>
                <w:i/>
                <w:color w:val="000000"/>
                <w:sz w:val="18"/>
                <w:szCs w:val="18"/>
                <w:highlight w:val="yellow"/>
              </w:rPr>
              <w:instrText xml:space="preserve"> FORMTEXT </w:instrText>
            </w:r>
            <w:r w:rsidRPr="00E30B5B">
              <w:rPr>
                <w:i/>
                <w:color w:val="000000"/>
                <w:sz w:val="18"/>
                <w:szCs w:val="18"/>
                <w:highlight w:val="yellow"/>
              </w:rPr>
            </w:r>
            <w:r w:rsidRPr="00E30B5B">
              <w:rPr>
                <w:i/>
                <w:color w:val="000000"/>
                <w:sz w:val="18"/>
                <w:szCs w:val="18"/>
                <w:highlight w:val="yellow"/>
              </w:rPr>
              <w:fldChar w:fldCharType="separate"/>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fldChar w:fldCharType="end"/>
            </w:r>
          </w:p>
        </w:tc>
        <w:tc>
          <w:tcPr>
            <w:tcW w:w="1485" w:type="dxa"/>
            <w:gridSpan w:val="3"/>
          </w:tcPr>
          <w:p w14:paraId="34E08F9F" w14:textId="77777777" w:rsidR="007520C1" w:rsidRPr="00E30B5B" w:rsidRDefault="007520C1" w:rsidP="00E049DB">
            <w:pPr>
              <w:jc w:val="right"/>
              <w:rPr>
                <w:i/>
                <w:color w:val="000000"/>
                <w:sz w:val="18"/>
                <w:szCs w:val="18"/>
                <w:highlight w:val="yellow"/>
              </w:rPr>
            </w:pPr>
            <w:r w:rsidRPr="00E30B5B">
              <w:rPr>
                <w:i/>
                <w:color w:val="000000"/>
                <w:sz w:val="18"/>
                <w:szCs w:val="18"/>
                <w:highlight w:val="yellow"/>
              </w:rPr>
              <w:fldChar w:fldCharType="begin">
                <w:ffData>
                  <w:name w:val="F_GEB_BD_target"/>
                  <w:enabled/>
                  <w:calcOnExit w:val="0"/>
                  <w:textInput/>
                </w:ffData>
              </w:fldChar>
            </w:r>
            <w:r w:rsidRPr="00E30B5B">
              <w:rPr>
                <w:i/>
                <w:color w:val="000000"/>
                <w:sz w:val="18"/>
                <w:szCs w:val="18"/>
                <w:highlight w:val="yellow"/>
              </w:rPr>
              <w:instrText xml:space="preserve"> FORMTEXT </w:instrText>
            </w:r>
            <w:r w:rsidRPr="00E30B5B">
              <w:rPr>
                <w:i/>
                <w:color w:val="000000"/>
                <w:sz w:val="18"/>
                <w:szCs w:val="18"/>
                <w:highlight w:val="yellow"/>
              </w:rPr>
            </w:r>
            <w:r w:rsidRPr="00E30B5B">
              <w:rPr>
                <w:i/>
                <w:color w:val="000000"/>
                <w:sz w:val="18"/>
                <w:szCs w:val="18"/>
                <w:highlight w:val="yellow"/>
              </w:rPr>
              <w:fldChar w:fldCharType="separate"/>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fldChar w:fldCharType="end"/>
            </w:r>
          </w:p>
        </w:tc>
        <w:tc>
          <w:tcPr>
            <w:tcW w:w="1324" w:type="dxa"/>
            <w:gridSpan w:val="2"/>
          </w:tcPr>
          <w:p w14:paraId="25F28807" w14:textId="77777777" w:rsidR="007520C1" w:rsidRPr="00E30B5B" w:rsidRDefault="007520C1" w:rsidP="00E049DB">
            <w:pPr>
              <w:jc w:val="right"/>
              <w:rPr>
                <w:i/>
                <w:color w:val="000000"/>
                <w:sz w:val="18"/>
                <w:szCs w:val="18"/>
                <w:highlight w:val="yellow"/>
              </w:rPr>
            </w:pPr>
            <w:r w:rsidRPr="00E30B5B">
              <w:rPr>
                <w:i/>
                <w:color w:val="000000"/>
                <w:sz w:val="18"/>
                <w:szCs w:val="18"/>
                <w:highlight w:val="yellow"/>
              </w:rPr>
              <w:fldChar w:fldCharType="begin">
                <w:ffData>
                  <w:name w:val="F_GEB_BD_target"/>
                  <w:enabled/>
                  <w:calcOnExit w:val="0"/>
                  <w:textInput/>
                </w:ffData>
              </w:fldChar>
            </w:r>
            <w:r w:rsidRPr="00E30B5B">
              <w:rPr>
                <w:i/>
                <w:color w:val="000000"/>
                <w:sz w:val="18"/>
                <w:szCs w:val="18"/>
                <w:highlight w:val="yellow"/>
              </w:rPr>
              <w:instrText xml:space="preserve"> FORMTEXT </w:instrText>
            </w:r>
            <w:r w:rsidRPr="00E30B5B">
              <w:rPr>
                <w:i/>
                <w:color w:val="000000"/>
                <w:sz w:val="18"/>
                <w:szCs w:val="18"/>
                <w:highlight w:val="yellow"/>
              </w:rPr>
            </w:r>
            <w:r w:rsidRPr="00E30B5B">
              <w:rPr>
                <w:i/>
                <w:color w:val="000000"/>
                <w:sz w:val="18"/>
                <w:szCs w:val="18"/>
                <w:highlight w:val="yellow"/>
              </w:rPr>
              <w:fldChar w:fldCharType="separate"/>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fldChar w:fldCharType="end"/>
            </w:r>
          </w:p>
        </w:tc>
        <w:tc>
          <w:tcPr>
            <w:tcW w:w="1287" w:type="dxa"/>
          </w:tcPr>
          <w:p w14:paraId="64593009" w14:textId="77777777" w:rsidR="007520C1" w:rsidRPr="00E30B5B" w:rsidRDefault="007520C1" w:rsidP="00E049DB">
            <w:pPr>
              <w:jc w:val="right"/>
              <w:rPr>
                <w:i/>
                <w:color w:val="000000"/>
                <w:sz w:val="18"/>
                <w:szCs w:val="18"/>
                <w:highlight w:val="yellow"/>
              </w:rPr>
            </w:pPr>
            <w:r w:rsidRPr="00E30B5B">
              <w:rPr>
                <w:i/>
                <w:color w:val="000000"/>
                <w:sz w:val="18"/>
                <w:szCs w:val="18"/>
                <w:highlight w:val="yellow"/>
              </w:rPr>
              <w:fldChar w:fldCharType="begin">
                <w:ffData>
                  <w:name w:val="F_GEB_BD_target"/>
                  <w:enabled/>
                  <w:calcOnExit w:val="0"/>
                  <w:textInput/>
                </w:ffData>
              </w:fldChar>
            </w:r>
            <w:r w:rsidRPr="00E30B5B">
              <w:rPr>
                <w:i/>
                <w:color w:val="000000"/>
                <w:sz w:val="18"/>
                <w:szCs w:val="18"/>
                <w:highlight w:val="yellow"/>
              </w:rPr>
              <w:instrText xml:space="preserve"> FORMTEXT </w:instrText>
            </w:r>
            <w:r w:rsidRPr="00E30B5B">
              <w:rPr>
                <w:i/>
                <w:color w:val="000000"/>
                <w:sz w:val="18"/>
                <w:szCs w:val="18"/>
                <w:highlight w:val="yellow"/>
              </w:rPr>
            </w:r>
            <w:r w:rsidRPr="00E30B5B">
              <w:rPr>
                <w:i/>
                <w:color w:val="000000"/>
                <w:sz w:val="18"/>
                <w:szCs w:val="18"/>
                <w:highlight w:val="yellow"/>
              </w:rPr>
              <w:fldChar w:fldCharType="separate"/>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fldChar w:fldCharType="end"/>
            </w:r>
          </w:p>
        </w:tc>
      </w:tr>
      <w:tr w:rsidR="007520C1" w:rsidRPr="004244E0" w14:paraId="7E15EB2C" w14:textId="77777777" w:rsidTr="00DB02C4">
        <w:tc>
          <w:tcPr>
            <w:tcW w:w="1298" w:type="dxa"/>
          </w:tcPr>
          <w:p w14:paraId="7E89EC19" w14:textId="77777777" w:rsidR="007520C1" w:rsidRPr="00E30B5B" w:rsidRDefault="007520C1" w:rsidP="00E049DB">
            <w:pPr>
              <w:jc w:val="right"/>
              <w:rPr>
                <w:sz w:val="18"/>
                <w:szCs w:val="18"/>
                <w:highlight w:val="yellow"/>
              </w:rPr>
            </w:pPr>
          </w:p>
        </w:tc>
        <w:tc>
          <w:tcPr>
            <w:tcW w:w="2659" w:type="dxa"/>
            <w:gridSpan w:val="2"/>
          </w:tcPr>
          <w:p w14:paraId="0C337166" w14:textId="77777777" w:rsidR="007520C1" w:rsidRPr="00E30B5B" w:rsidRDefault="007520C1" w:rsidP="00E049DB">
            <w:pPr>
              <w:jc w:val="right"/>
              <w:rPr>
                <w:sz w:val="18"/>
                <w:szCs w:val="18"/>
                <w:highlight w:val="yellow"/>
              </w:rPr>
            </w:pPr>
            <w:r w:rsidRPr="00E30B5B">
              <w:rPr>
                <w:sz w:val="18"/>
                <w:szCs w:val="18"/>
                <w:highlight w:val="yellow"/>
              </w:rPr>
              <w:t>Duration of accounting</w:t>
            </w:r>
          </w:p>
        </w:tc>
        <w:tc>
          <w:tcPr>
            <w:tcW w:w="2782" w:type="dxa"/>
            <w:gridSpan w:val="2"/>
          </w:tcPr>
          <w:p w14:paraId="2C920257" w14:textId="77777777" w:rsidR="007520C1" w:rsidRPr="00E30B5B" w:rsidRDefault="007520C1" w:rsidP="00E049DB">
            <w:pPr>
              <w:jc w:val="right"/>
              <w:rPr>
                <w:i/>
                <w:color w:val="000000"/>
                <w:sz w:val="18"/>
                <w:szCs w:val="18"/>
                <w:highlight w:val="yellow"/>
              </w:rPr>
            </w:pPr>
            <w:r w:rsidRPr="00E30B5B">
              <w:rPr>
                <w:i/>
                <w:color w:val="000000"/>
                <w:sz w:val="18"/>
                <w:szCs w:val="18"/>
                <w:highlight w:val="yellow"/>
              </w:rPr>
              <w:fldChar w:fldCharType="begin">
                <w:ffData>
                  <w:name w:val="F_GEB_BD_target"/>
                  <w:enabled/>
                  <w:calcOnExit w:val="0"/>
                  <w:textInput/>
                </w:ffData>
              </w:fldChar>
            </w:r>
            <w:r w:rsidRPr="00E30B5B">
              <w:rPr>
                <w:i/>
                <w:color w:val="000000"/>
                <w:sz w:val="18"/>
                <w:szCs w:val="18"/>
                <w:highlight w:val="yellow"/>
              </w:rPr>
              <w:instrText xml:space="preserve"> FORMTEXT </w:instrText>
            </w:r>
            <w:r w:rsidRPr="00E30B5B">
              <w:rPr>
                <w:i/>
                <w:color w:val="000000"/>
                <w:sz w:val="18"/>
                <w:szCs w:val="18"/>
                <w:highlight w:val="yellow"/>
              </w:rPr>
            </w:r>
            <w:r w:rsidRPr="00E30B5B">
              <w:rPr>
                <w:i/>
                <w:color w:val="000000"/>
                <w:sz w:val="18"/>
                <w:szCs w:val="18"/>
                <w:highlight w:val="yellow"/>
              </w:rPr>
              <w:fldChar w:fldCharType="separate"/>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fldChar w:fldCharType="end"/>
            </w:r>
          </w:p>
        </w:tc>
        <w:tc>
          <w:tcPr>
            <w:tcW w:w="1485" w:type="dxa"/>
            <w:gridSpan w:val="3"/>
          </w:tcPr>
          <w:p w14:paraId="7870847E" w14:textId="77777777" w:rsidR="007520C1" w:rsidRPr="00E30B5B" w:rsidRDefault="007520C1" w:rsidP="00E049DB">
            <w:pPr>
              <w:jc w:val="right"/>
              <w:rPr>
                <w:i/>
                <w:color w:val="000000"/>
                <w:sz w:val="18"/>
                <w:szCs w:val="18"/>
                <w:highlight w:val="yellow"/>
              </w:rPr>
            </w:pPr>
            <w:r w:rsidRPr="00E30B5B">
              <w:rPr>
                <w:i/>
                <w:color w:val="000000"/>
                <w:sz w:val="18"/>
                <w:szCs w:val="18"/>
                <w:highlight w:val="yellow"/>
              </w:rPr>
              <w:fldChar w:fldCharType="begin">
                <w:ffData>
                  <w:name w:val="F_GEB_BD_target"/>
                  <w:enabled/>
                  <w:calcOnExit w:val="0"/>
                  <w:textInput/>
                </w:ffData>
              </w:fldChar>
            </w:r>
            <w:r w:rsidRPr="00E30B5B">
              <w:rPr>
                <w:i/>
                <w:color w:val="000000"/>
                <w:sz w:val="18"/>
                <w:szCs w:val="18"/>
                <w:highlight w:val="yellow"/>
              </w:rPr>
              <w:instrText xml:space="preserve"> FORMTEXT </w:instrText>
            </w:r>
            <w:r w:rsidRPr="00E30B5B">
              <w:rPr>
                <w:i/>
                <w:color w:val="000000"/>
                <w:sz w:val="18"/>
                <w:szCs w:val="18"/>
                <w:highlight w:val="yellow"/>
              </w:rPr>
            </w:r>
            <w:r w:rsidRPr="00E30B5B">
              <w:rPr>
                <w:i/>
                <w:color w:val="000000"/>
                <w:sz w:val="18"/>
                <w:szCs w:val="18"/>
                <w:highlight w:val="yellow"/>
              </w:rPr>
              <w:fldChar w:fldCharType="separate"/>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fldChar w:fldCharType="end"/>
            </w:r>
          </w:p>
        </w:tc>
        <w:tc>
          <w:tcPr>
            <w:tcW w:w="1324" w:type="dxa"/>
            <w:gridSpan w:val="2"/>
          </w:tcPr>
          <w:p w14:paraId="0F97BB28" w14:textId="77777777" w:rsidR="007520C1" w:rsidRPr="00E30B5B" w:rsidRDefault="007520C1" w:rsidP="00E049DB">
            <w:pPr>
              <w:jc w:val="right"/>
              <w:rPr>
                <w:i/>
                <w:color w:val="000000"/>
                <w:sz w:val="18"/>
                <w:szCs w:val="18"/>
                <w:highlight w:val="yellow"/>
              </w:rPr>
            </w:pPr>
            <w:r w:rsidRPr="00E30B5B">
              <w:rPr>
                <w:i/>
                <w:color w:val="000000"/>
                <w:sz w:val="18"/>
                <w:szCs w:val="18"/>
                <w:highlight w:val="yellow"/>
              </w:rPr>
              <w:fldChar w:fldCharType="begin">
                <w:ffData>
                  <w:name w:val="F_GEB_BD_target"/>
                  <w:enabled/>
                  <w:calcOnExit w:val="0"/>
                  <w:textInput/>
                </w:ffData>
              </w:fldChar>
            </w:r>
            <w:r w:rsidRPr="00E30B5B">
              <w:rPr>
                <w:i/>
                <w:color w:val="000000"/>
                <w:sz w:val="18"/>
                <w:szCs w:val="18"/>
                <w:highlight w:val="yellow"/>
              </w:rPr>
              <w:instrText xml:space="preserve"> FORMTEXT </w:instrText>
            </w:r>
            <w:r w:rsidRPr="00E30B5B">
              <w:rPr>
                <w:i/>
                <w:color w:val="000000"/>
                <w:sz w:val="18"/>
                <w:szCs w:val="18"/>
                <w:highlight w:val="yellow"/>
              </w:rPr>
            </w:r>
            <w:r w:rsidRPr="00E30B5B">
              <w:rPr>
                <w:i/>
                <w:color w:val="000000"/>
                <w:sz w:val="18"/>
                <w:szCs w:val="18"/>
                <w:highlight w:val="yellow"/>
              </w:rPr>
              <w:fldChar w:fldCharType="separate"/>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fldChar w:fldCharType="end"/>
            </w:r>
          </w:p>
        </w:tc>
        <w:tc>
          <w:tcPr>
            <w:tcW w:w="1287" w:type="dxa"/>
          </w:tcPr>
          <w:p w14:paraId="4AF397DE" w14:textId="77777777" w:rsidR="007520C1" w:rsidRPr="00E30B5B" w:rsidRDefault="007520C1" w:rsidP="00E049DB">
            <w:pPr>
              <w:jc w:val="right"/>
              <w:rPr>
                <w:i/>
                <w:color w:val="000000"/>
                <w:sz w:val="18"/>
                <w:szCs w:val="18"/>
                <w:highlight w:val="yellow"/>
              </w:rPr>
            </w:pPr>
            <w:r w:rsidRPr="00E30B5B">
              <w:rPr>
                <w:i/>
                <w:color w:val="000000"/>
                <w:sz w:val="18"/>
                <w:szCs w:val="18"/>
                <w:highlight w:val="yellow"/>
              </w:rPr>
              <w:fldChar w:fldCharType="begin">
                <w:ffData>
                  <w:name w:val="F_GEB_BD_target"/>
                  <w:enabled/>
                  <w:calcOnExit w:val="0"/>
                  <w:textInput/>
                </w:ffData>
              </w:fldChar>
            </w:r>
            <w:r w:rsidRPr="00E30B5B">
              <w:rPr>
                <w:i/>
                <w:color w:val="000000"/>
                <w:sz w:val="18"/>
                <w:szCs w:val="18"/>
                <w:highlight w:val="yellow"/>
              </w:rPr>
              <w:instrText xml:space="preserve"> FORMTEXT </w:instrText>
            </w:r>
            <w:r w:rsidRPr="00E30B5B">
              <w:rPr>
                <w:i/>
                <w:color w:val="000000"/>
                <w:sz w:val="18"/>
                <w:szCs w:val="18"/>
                <w:highlight w:val="yellow"/>
              </w:rPr>
            </w:r>
            <w:r w:rsidRPr="00E30B5B">
              <w:rPr>
                <w:i/>
                <w:color w:val="000000"/>
                <w:sz w:val="18"/>
                <w:szCs w:val="18"/>
                <w:highlight w:val="yellow"/>
              </w:rPr>
              <w:fldChar w:fldCharType="separate"/>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fldChar w:fldCharType="end"/>
            </w:r>
          </w:p>
        </w:tc>
      </w:tr>
      <w:tr w:rsidR="007520C1" w:rsidRPr="004244E0" w14:paraId="0A0C032A" w14:textId="77777777" w:rsidTr="00DB02C4">
        <w:tc>
          <w:tcPr>
            <w:tcW w:w="1298" w:type="dxa"/>
            <w:shd w:val="clear" w:color="auto" w:fill="BFBFBF" w:themeFill="background1" w:themeFillShade="BF"/>
          </w:tcPr>
          <w:p w14:paraId="29EBFAC9" w14:textId="77777777" w:rsidR="007520C1" w:rsidRPr="00E30B5B" w:rsidRDefault="007520C1" w:rsidP="00E049DB">
            <w:pPr>
              <w:rPr>
                <w:sz w:val="18"/>
                <w:szCs w:val="18"/>
                <w:highlight w:val="yellow"/>
              </w:rPr>
            </w:pPr>
            <w:r w:rsidRPr="00E30B5B">
              <w:rPr>
                <w:sz w:val="18"/>
                <w:szCs w:val="18"/>
                <w:highlight w:val="yellow"/>
              </w:rPr>
              <w:t>Indicator 6.2</w:t>
            </w:r>
          </w:p>
        </w:tc>
        <w:tc>
          <w:tcPr>
            <w:tcW w:w="6765" w:type="dxa"/>
            <w:gridSpan w:val="5"/>
            <w:shd w:val="clear" w:color="auto" w:fill="BFBFBF" w:themeFill="background1" w:themeFillShade="BF"/>
          </w:tcPr>
          <w:p w14:paraId="5D00B7FA" w14:textId="77777777" w:rsidR="007520C1" w:rsidRPr="00E30B5B" w:rsidRDefault="007520C1" w:rsidP="00E049DB">
            <w:pPr>
              <w:rPr>
                <w:sz w:val="18"/>
                <w:szCs w:val="18"/>
                <w:highlight w:val="yellow"/>
              </w:rPr>
            </w:pPr>
            <w:r w:rsidRPr="00E30B5B">
              <w:rPr>
                <w:sz w:val="18"/>
                <w:szCs w:val="18"/>
                <w:highlight w:val="yellow"/>
              </w:rPr>
              <w:t>Emissions avoided Outside AFOLU </w:t>
            </w:r>
          </w:p>
        </w:tc>
        <w:tc>
          <w:tcPr>
            <w:tcW w:w="2772" w:type="dxa"/>
            <w:gridSpan w:val="5"/>
            <w:shd w:val="clear" w:color="auto" w:fill="BFBFBF" w:themeFill="background1" w:themeFillShade="BF"/>
          </w:tcPr>
          <w:p w14:paraId="7F9ECC2E" w14:textId="77777777" w:rsidR="007520C1" w:rsidRPr="00E30B5B" w:rsidRDefault="007520C1" w:rsidP="00E049DB">
            <w:pPr>
              <w:jc w:val="right"/>
              <w:rPr>
                <w:sz w:val="18"/>
                <w:szCs w:val="18"/>
                <w:highlight w:val="yellow"/>
              </w:rPr>
            </w:pPr>
            <w:r w:rsidRPr="00E30B5B">
              <w:rPr>
                <w:i/>
                <w:color w:val="000000"/>
                <w:sz w:val="18"/>
                <w:szCs w:val="18"/>
                <w:highlight w:val="yellow"/>
              </w:rPr>
              <w:fldChar w:fldCharType="begin">
                <w:ffData>
                  <w:name w:val="F_GEB_BD_target"/>
                  <w:enabled/>
                  <w:calcOnExit w:val="0"/>
                  <w:textInput/>
                </w:ffData>
              </w:fldChar>
            </w:r>
            <w:r w:rsidRPr="00E30B5B">
              <w:rPr>
                <w:i/>
                <w:color w:val="000000"/>
                <w:sz w:val="18"/>
                <w:szCs w:val="18"/>
                <w:highlight w:val="yellow"/>
              </w:rPr>
              <w:instrText xml:space="preserve"> FORMTEXT </w:instrText>
            </w:r>
            <w:r w:rsidRPr="00E30B5B">
              <w:rPr>
                <w:i/>
                <w:color w:val="000000"/>
                <w:sz w:val="18"/>
                <w:szCs w:val="18"/>
                <w:highlight w:val="yellow"/>
              </w:rPr>
            </w:r>
            <w:r w:rsidRPr="00E30B5B">
              <w:rPr>
                <w:i/>
                <w:color w:val="000000"/>
                <w:sz w:val="18"/>
                <w:szCs w:val="18"/>
                <w:highlight w:val="yellow"/>
              </w:rPr>
              <w:fldChar w:fldCharType="separate"/>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fldChar w:fldCharType="end"/>
            </w:r>
          </w:p>
        </w:tc>
      </w:tr>
      <w:tr w:rsidR="007520C1" w:rsidRPr="004244E0" w14:paraId="06CD545A" w14:textId="77777777" w:rsidTr="00DB02C4">
        <w:trPr>
          <w:trHeight w:val="125"/>
        </w:trPr>
        <w:tc>
          <w:tcPr>
            <w:tcW w:w="1298" w:type="dxa"/>
            <w:vMerge w:val="restart"/>
          </w:tcPr>
          <w:p w14:paraId="09E21EE1" w14:textId="77777777" w:rsidR="007520C1" w:rsidRPr="00E30B5B" w:rsidRDefault="007520C1" w:rsidP="00E049DB">
            <w:pPr>
              <w:rPr>
                <w:sz w:val="18"/>
                <w:szCs w:val="18"/>
                <w:highlight w:val="yellow"/>
              </w:rPr>
            </w:pPr>
          </w:p>
        </w:tc>
        <w:tc>
          <w:tcPr>
            <w:tcW w:w="933" w:type="dxa"/>
            <w:vMerge w:val="restart"/>
          </w:tcPr>
          <w:p w14:paraId="42C74F31" w14:textId="77777777" w:rsidR="007520C1" w:rsidRPr="00E30B5B" w:rsidRDefault="007520C1" w:rsidP="00E049DB">
            <w:pPr>
              <w:rPr>
                <w:sz w:val="18"/>
                <w:szCs w:val="18"/>
                <w:highlight w:val="yellow"/>
              </w:rPr>
            </w:pPr>
          </w:p>
        </w:tc>
        <w:tc>
          <w:tcPr>
            <w:tcW w:w="1726" w:type="dxa"/>
            <w:vMerge w:val="restart"/>
          </w:tcPr>
          <w:p w14:paraId="7335E024" w14:textId="77777777" w:rsidR="007520C1" w:rsidRPr="00E30B5B" w:rsidRDefault="007520C1" w:rsidP="00E049DB">
            <w:pPr>
              <w:rPr>
                <w:sz w:val="18"/>
                <w:szCs w:val="18"/>
                <w:highlight w:val="yellow"/>
              </w:rPr>
            </w:pPr>
          </w:p>
        </w:tc>
        <w:tc>
          <w:tcPr>
            <w:tcW w:w="6878" w:type="dxa"/>
            <w:gridSpan w:val="8"/>
          </w:tcPr>
          <w:p w14:paraId="74E4C102" w14:textId="77777777" w:rsidR="007520C1" w:rsidRPr="00E30B5B" w:rsidRDefault="007520C1" w:rsidP="00E049DB">
            <w:pPr>
              <w:jc w:val="center"/>
              <w:rPr>
                <w:sz w:val="18"/>
                <w:szCs w:val="18"/>
                <w:highlight w:val="yellow"/>
              </w:rPr>
            </w:pPr>
            <w:r w:rsidRPr="00E30B5B">
              <w:rPr>
                <w:sz w:val="18"/>
                <w:szCs w:val="18"/>
                <w:highlight w:val="yellow"/>
              </w:rPr>
              <w:t>Expected metric tons of CO₂e</w:t>
            </w:r>
          </w:p>
        </w:tc>
      </w:tr>
      <w:tr w:rsidR="007520C1" w:rsidRPr="004244E0" w14:paraId="2BEE40CE" w14:textId="77777777" w:rsidTr="00DB02C4">
        <w:trPr>
          <w:trHeight w:val="58"/>
        </w:trPr>
        <w:tc>
          <w:tcPr>
            <w:tcW w:w="1298" w:type="dxa"/>
            <w:vMerge/>
          </w:tcPr>
          <w:p w14:paraId="0E29C675" w14:textId="77777777" w:rsidR="007520C1" w:rsidRPr="00E30B5B" w:rsidRDefault="007520C1" w:rsidP="00E049DB">
            <w:pPr>
              <w:rPr>
                <w:sz w:val="18"/>
                <w:szCs w:val="18"/>
                <w:highlight w:val="yellow"/>
              </w:rPr>
            </w:pPr>
          </w:p>
        </w:tc>
        <w:tc>
          <w:tcPr>
            <w:tcW w:w="933" w:type="dxa"/>
            <w:vMerge/>
          </w:tcPr>
          <w:p w14:paraId="73AF2E19" w14:textId="77777777" w:rsidR="007520C1" w:rsidRPr="00E30B5B" w:rsidRDefault="007520C1" w:rsidP="00E049DB">
            <w:pPr>
              <w:rPr>
                <w:sz w:val="18"/>
                <w:szCs w:val="18"/>
                <w:highlight w:val="yellow"/>
              </w:rPr>
            </w:pPr>
          </w:p>
        </w:tc>
        <w:tc>
          <w:tcPr>
            <w:tcW w:w="1726" w:type="dxa"/>
            <w:vMerge/>
          </w:tcPr>
          <w:p w14:paraId="22886CBF" w14:textId="77777777" w:rsidR="007520C1" w:rsidRPr="00E30B5B" w:rsidRDefault="007520C1" w:rsidP="00E049DB">
            <w:pPr>
              <w:rPr>
                <w:sz w:val="18"/>
                <w:szCs w:val="18"/>
                <w:highlight w:val="yellow"/>
              </w:rPr>
            </w:pPr>
          </w:p>
        </w:tc>
        <w:tc>
          <w:tcPr>
            <w:tcW w:w="4106" w:type="dxa"/>
            <w:gridSpan w:val="3"/>
          </w:tcPr>
          <w:p w14:paraId="66C09202" w14:textId="77777777" w:rsidR="007520C1" w:rsidRPr="00E30B5B" w:rsidRDefault="007520C1" w:rsidP="00E049DB">
            <w:pPr>
              <w:jc w:val="center"/>
              <w:rPr>
                <w:sz w:val="18"/>
                <w:szCs w:val="18"/>
                <w:highlight w:val="yellow"/>
              </w:rPr>
            </w:pPr>
            <w:r w:rsidRPr="00E30B5B">
              <w:rPr>
                <w:sz w:val="18"/>
                <w:szCs w:val="18"/>
                <w:highlight w:val="yellow"/>
              </w:rPr>
              <w:t>Expected</w:t>
            </w:r>
          </w:p>
        </w:tc>
        <w:tc>
          <w:tcPr>
            <w:tcW w:w="2772" w:type="dxa"/>
            <w:gridSpan w:val="5"/>
          </w:tcPr>
          <w:p w14:paraId="04AE4087" w14:textId="77777777" w:rsidR="007520C1" w:rsidRPr="00E30B5B" w:rsidRDefault="007520C1" w:rsidP="00E049DB">
            <w:pPr>
              <w:jc w:val="center"/>
              <w:rPr>
                <w:sz w:val="18"/>
                <w:szCs w:val="18"/>
                <w:highlight w:val="yellow"/>
              </w:rPr>
            </w:pPr>
            <w:r w:rsidRPr="00E30B5B">
              <w:rPr>
                <w:sz w:val="18"/>
                <w:szCs w:val="18"/>
                <w:highlight w:val="yellow"/>
              </w:rPr>
              <w:t>Achieved</w:t>
            </w:r>
          </w:p>
        </w:tc>
      </w:tr>
      <w:tr w:rsidR="007520C1" w:rsidRPr="004244E0" w14:paraId="4E4487B8" w14:textId="77777777" w:rsidTr="00DB02C4">
        <w:trPr>
          <w:trHeight w:val="206"/>
        </w:trPr>
        <w:tc>
          <w:tcPr>
            <w:tcW w:w="1298" w:type="dxa"/>
            <w:vMerge/>
          </w:tcPr>
          <w:p w14:paraId="6E38D66E" w14:textId="77777777" w:rsidR="007520C1" w:rsidRPr="00E30B5B" w:rsidRDefault="007520C1" w:rsidP="00E049DB">
            <w:pPr>
              <w:rPr>
                <w:sz w:val="18"/>
                <w:szCs w:val="18"/>
                <w:highlight w:val="yellow"/>
              </w:rPr>
            </w:pPr>
          </w:p>
        </w:tc>
        <w:tc>
          <w:tcPr>
            <w:tcW w:w="933" w:type="dxa"/>
            <w:vMerge/>
          </w:tcPr>
          <w:p w14:paraId="158731A0" w14:textId="77777777" w:rsidR="007520C1" w:rsidRPr="00E30B5B" w:rsidRDefault="007520C1" w:rsidP="00E049DB">
            <w:pPr>
              <w:rPr>
                <w:sz w:val="18"/>
                <w:szCs w:val="18"/>
                <w:highlight w:val="yellow"/>
              </w:rPr>
            </w:pPr>
          </w:p>
        </w:tc>
        <w:tc>
          <w:tcPr>
            <w:tcW w:w="1726" w:type="dxa"/>
            <w:vMerge/>
          </w:tcPr>
          <w:p w14:paraId="7E877DBF" w14:textId="77777777" w:rsidR="007520C1" w:rsidRPr="00E30B5B" w:rsidRDefault="007520C1" w:rsidP="00E049DB">
            <w:pPr>
              <w:rPr>
                <w:sz w:val="18"/>
                <w:szCs w:val="18"/>
                <w:highlight w:val="yellow"/>
              </w:rPr>
            </w:pPr>
          </w:p>
        </w:tc>
        <w:tc>
          <w:tcPr>
            <w:tcW w:w="2782" w:type="dxa"/>
            <w:gridSpan w:val="2"/>
          </w:tcPr>
          <w:p w14:paraId="2EEFF230" w14:textId="77777777" w:rsidR="007520C1" w:rsidRPr="00E30B5B" w:rsidRDefault="007520C1" w:rsidP="00E049DB">
            <w:pPr>
              <w:jc w:val="center"/>
              <w:rPr>
                <w:sz w:val="18"/>
                <w:szCs w:val="18"/>
                <w:highlight w:val="yellow"/>
              </w:rPr>
            </w:pPr>
            <w:r w:rsidRPr="00E30B5B">
              <w:rPr>
                <w:sz w:val="18"/>
                <w:szCs w:val="18"/>
                <w:highlight w:val="yellow"/>
              </w:rPr>
              <w:t>PIF stage</w:t>
            </w:r>
          </w:p>
        </w:tc>
        <w:tc>
          <w:tcPr>
            <w:tcW w:w="1485" w:type="dxa"/>
            <w:gridSpan w:val="3"/>
          </w:tcPr>
          <w:p w14:paraId="462AE132" w14:textId="77777777" w:rsidR="007520C1" w:rsidRPr="00E30B5B" w:rsidRDefault="007520C1" w:rsidP="00E049DB">
            <w:pPr>
              <w:jc w:val="center"/>
              <w:rPr>
                <w:sz w:val="18"/>
                <w:szCs w:val="18"/>
                <w:highlight w:val="yellow"/>
              </w:rPr>
            </w:pPr>
            <w:r w:rsidRPr="00E30B5B">
              <w:rPr>
                <w:sz w:val="18"/>
                <w:szCs w:val="18"/>
                <w:highlight w:val="yellow"/>
              </w:rPr>
              <w:t>Endorsement</w:t>
            </w:r>
          </w:p>
        </w:tc>
        <w:tc>
          <w:tcPr>
            <w:tcW w:w="1324" w:type="dxa"/>
            <w:gridSpan w:val="2"/>
          </w:tcPr>
          <w:p w14:paraId="760E191F" w14:textId="77777777" w:rsidR="007520C1" w:rsidRPr="00E30B5B" w:rsidRDefault="007520C1" w:rsidP="00E049DB">
            <w:pPr>
              <w:jc w:val="center"/>
              <w:rPr>
                <w:sz w:val="18"/>
                <w:szCs w:val="18"/>
                <w:highlight w:val="yellow"/>
              </w:rPr>
            </w:pPr>
            <w:r w:rsidRPr="00E30B5B">
              <w:rPr>
                <w:sz w:val="18"/>
                <w:szCs w:val="18"/>
                <w:highlight w:val="yellow"/>
              </w:rPr>
              <w:t>MTR</w:t>
            </w:r>
          </w:p>
        </w:tc>
        <w:tc>
          <w:tcPr>
            <w:tcW w:w="1287" w:type="dxa"/>
          </w:tcPr>
          <w:p w14:paraId="15E6B1ED" w14:textId="77777777" w:rsidR="007520C1" w:rsidRPr="00E30B5B" w:rsidRDefault="007520C1" w:rsidP="00E049DB">
            <w:pPr>
              <w:jc w:val="center"/>
              <w:rPr>
                <w:sz w:val="18"/>
                <w:szCs w:val="18"/>
                <w:highlight w:val="yellow"/>
              </w:rPr>
            </w:pPr>
            <w:r w:rsidRPr="00E30B5B">
              <w:rPr>
                <w:sz w:val="18"/>
                <w:szCs w:val="18"/>
                <w:highlight w:val="yellow"/>
              </w:rPr>
              <w:t>TE</w:t>
            </w:r>
          </w:p>
        </w:tc>
      </w:tr>
      <w:tr w:rsidR="007520C1" w:rsidRPr="004244E0" w14:paraId="0F8AC950" w14:textId="77777777" w:rsidTr="00DB02C4">
        <w:tc>
          <w:tcPr>
            <w:tcW w:w="1298" w:type="dxa"/>
          </w:tcPr>
          <w:p w14:paraId="361787A5" w14:textId="77777777" w:rsidR="007520C1" w:rsidRPr="00E30B5B" w:rsidRDefault="007520C1" w:rsidP="00E049DB">
            <w:pPr>
              <w:jc w:val="right"/>
              <w:rPr>
                <w:sz w:val="18"/>
                <w:szCs w:val="18"/>
                <w:highlight w:val="yellow"/>
              </w:rPr>
            </w:pPr>
          </w:p>
        </w:tc>
        <w:tc>
          <w:tcPr>
            <w:tcW w:w="2659" w:type="dxa"/>
            <w:gridSpan w:val="2"/>
          </w:tcPr>
          <w:p w14:paraId="3FBB8AB3" w14:textId="77777777" w:rsidR="007520C1" w:rsidRPr="00E30B5B" w:rsidRDefault="007520C1" w:rsidP="00E049DB">
            <w:pPr>
              <w:jc w:val="right"/>
              <w:rPr>
                <w:sz w:val="18"/>
                <w:szCs w:val="18"/>
                <w:highlight w:val="yellow"/>
              </w:rPr>
            </w:pPr>
            <w:r w:rsidRPr="00E30B5B">
              <w:rPr>
                <w:sz w:val="18"/>
                <w:szCs w:val="18"/>
                <w:highlight w:val="yellow"/>
              </w:rPr>
              <w:t>Expected CO2e (direct)</w:t>
            </w:r>
          </w:p>
        </w:tc>
        <w:tc>
          <w:tcPr>
            <w:tcW w:w="2782" w:type="dxa"/>
            <w:gridSpan w:val="2"/>
          </w:tcPr>
          <w:p w14:paraId="18C4D2FD" w14:textId="77777777" w:rsidR="007520C1" w:rsidRPr="00E30B5B" w:rsidRDefault="007520C1" w:rsidP="00E049DB">
            <w:pPr>
              <w:jc w:val="right"/>
              <w:rPr>
                <w:sz w:val="18"/>
                <w:szCs w:val="18"/>
                <w:highlight w:val="yellow"/>
              </w:rPr>
            </w:pPr>
            <w:r w:rsidRPr="00E30B5B">
              <w:rPr>
                <w:i/>
                <w:color w:val="000000"/>
                <w:sz w:val="18"/>
                <w:szCs w:val="18"/>
                <w:highlight w:val="yellow"/>
              </w:rPr>
              <w:fldChar w:fldCharType="begin">
                <w:ffData>
                  <w:name w:val="F_GEB_BD_target"/>
                  <w:enabled/>
                  <w:calcOnExit w:val="0"/>
                  <w:textInput/>
                </w:ffData>
              </w:fldChar>
            </w:r>
            <w:r w:rsidRPr="00E30B5B">
              <w:rPr>
                <w:i/>
                <w:color w:val="000000"/>
                <w:sz w:val="18"/>
                <w:szCs w:val="18"/>
                <w:highlight w:val="yellow"/>
              </w:rPr>
              <w:instrText xml:space="preserve"> FORMTEXT </w:instrText>
            </w:r>
            <w:r w:rsidRPr="00E30B5B">
              <w:rPr>
                <w:i/>
                <w:color w:val="000000"/>
                <w:sz w:val="18"/>
                <w:szCs w:val="18"/>
                <w:highlight w:val="yellow"/>
              </w:rPr>
            </w:r>
            <w:r w:rsidRPr="00E30B5B">
              <w:rPr>
                <w:i/>
                <w:color w:val="000000"/>
                <w:sz w:val="18"/>
                <w:szCs w:val="18"/>
                <w:highlight w:val="yellow"/>
              </w:rPr>
              <w:fldChar w:fldCharType="separate"/>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fldChar w:fldCharType="end"/>
            </w:r>
          </w:p>
        </w:tc>
        <w:tc>
          <w:tcPr>
            <w:tcW w:w="1485" w:type="dxa"/>
            <w:gridSpan w:val="3"/>
          </w:tcPr>
          <w:p w14:paraId="51DF0535" w14:textId="77777777" w:rsidR="007520C1" w:rsidRPr="00E30B5B" w:rsidRDefault="007520C1" w:rsidP="00E049DB">
            <w:pPr>
              <w:jc w:val="right"/>
              <w:rPr>
                <w:sz w:val="18"/>
                <w:szCs w:val="18"/>
                <w:highlight w:val="yellow"/>
              </w:rPr>
            </w:pPr>
            <w:r w:rsidRPr="00E30B5B">
              <w:rPr>
                <w:i/>
                <w:color w:val="000000"/>
                <w:sz w:val="18"/>
                <w:szCs w:val="18"/>
                <w:highlight w:val="yellow"/>
              </w:rPr>
              <w:fldChar w:fldCharType="begin">
                <w:ffData>
                  <w:name w:val="F_GEB_BD_target"/>
                  <w:enabled/>
                  <w:calcOnExit w:val="0"/>
                  <w:textInput/>
                </w:ffData>
              </w:fldChar>
            </w:r>
            <w:r w:rsidRPr="00E30B5B">
              <w:rPr>
                <w:i/>
                <w:color w:val="000000"/>
                <w:sz w:val="18"/>
                <w:szCs w:val="18"/>
                <w:highlight w:val="yellow"/>
              </w:rPr>
              <w:instrText xml:space="preserve"> FORMTEXT </w:instrText>
            </w:r>
            <w:r w:rsidRPr="00E30B5B">
              <w:rPr>
                <w:i/>
                <w:color w:val="000000"/>
                <w:sz w:val="18"/>
                <w:szCs w:val="18"/>
                <w:highlight w:val="yellow"/>
              </w:rPr>
            </w:r>
            <w:r w:rsidRPr="00E30B5B">
              <w:rPr>
                <w:i/>
                <w:color w:val="000000"/>
                <w:sz w:val="18"/>
                <w:szCs w:val="18"/>
                <w:highlight w:val="yellow"/>
              </w:rPr>
              <w:fldChar w:fldCharType="separate"/>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fldChar w:fldCharType="end"/>
            </w:r>
          </w:p>
        </w:tc>
        <w:tc>
          <w:tcPr>
            <w:tcW w:w="1324" w:type="dxa"/>
            <w:gridSpan w:val="2"/>
          </w:tcPr>
          <w:p w14:paraId="73D79F2A" w14:textId="77777777" w:rsidR="007520C1" w:rsidRPr="00E30B5B" w:rsidRDefault="007520C1" w:rsidP="00E049DB">
            <w:pPr>
              <w:jc w:val="right"/>
              <w:rPr>
                <w:sz w:val="18"/>
                <w:szCs w:val="18"/>
                <w:highlight w:val="yellow"/>
              </w:rPr>
            </w:pPr>
            <w:r w:rsidRPr="00E30B5B">
              <w:rPr>
                <w:i/>
                <w:color w:val="000000"/>
                <w:sz w:val="18"/>
                <w:szCs w:val="18"/>
                <w:highlight w:val="yellow"/>
              </w:rPr>
              <w:fldChar w:fldCharType="begin">
                <w:ffData>
                  <w:name w:val="F_GEB_BD_target"/>
                  <w:enabled/>
                  <w:calcOnExit w:val="0"/>
                  <w:textInput/>
                </w:ffData>
              </w:fldChar>
            </w:r>
            <w:r w:rsidRPr="00E30B5B">
              <w:rPr>
                <w:i/>
                <w:color w:val="000000"/>
                <w:sz w:val="18"/>
                <w:szCs w:val="18"/>
                <w:highlight w:val="yellow"/>
              </w:rPr>
              <w:instrText xml:space="preserve"> FORMTEXT </w:instrText>
            </w:r>
            <w:r w:rsidRPr="00E30B5B">
              <w:rPr>
                <w:i/>
                <w:color w:val="000000"/>
                <w:sz w:val="18"/>
                <w:szCs w:val="18"/>
                <w:highlight w:val="yellow"/>
              </w:rPr>
            </w:r>
            <w:r w:rsidRPr="00E30B5B">
              <w:rPr>
                <w:i/>
                <w:color w:val="000000"/>
                <w:sz w:val="18"/>
                <w:szCs w:val="18"/>
                <w:highlight w:val="yellow"/>
              </w:rPr>
              <w:fldChar w:fldCharType="separate"/>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fldChar w:fldCharType="end"/>
            </w:r>
          </w:p>
        </w:tc>
        <w:tc>
          <w:tcPr>
            <w:tcW w:w="1287" w:type="dxa"/>
          </w:tcPr>
          <w:p w14:paraId="3201F117" w14:textId="77777777" w:rsidR="007520C1" w:rsidRPr="00E30B5B" w:rsidRDefault="007520C1" w:rsidP="00E049DB">
            <w:pPr>
              <w:jc w:val="right"/>
              <w:rPr>
                <w:sz w:val="18"/>
                <w:szCs w:val="18"/>
                <w:highlight w:val="yellow"/>
              </w:rPr>
            </w:pPr>
            <w:r w:rsidRPr="00E30B5B">
              <w:rPr>
                <w:i/>
                <w:color w:val="000000"/>
                <w:sz w:val="18"/>
                <w:szCs w:val="18"/>
                <w:highlight w:val="yellow"/>
              </w:rPr>
              <w:fldChar w:fldCharType="begin">
                <w:ffData>
                  <w:name w:val="F_GEB_BD_target"/>
                  <w:enabled/>
                  <w:calcOnExit w:val="0"/>
                  <w:textInput/>
                </w:ffData>
              </w:fldChar>
            </w:r>
            <w:r w:rsidRPr="00E30B5B">
              <w:rPr>
                <w:i/>
                <w:color w:val="000000"/>
                <w:sz w:val="18"/>
                <w:szCs w:val="18"/>
                <w:highlight w:val="yellow"/>
              </w:rPr>
              <w:instrText xml:space="preserve"> FORMTEXT </w:instrText>
            </w:r>
            <w:r w:rsidRPr="00E30B5B">
              <w:rPr>
                <w:i/>
                <w:color w:val="000000"/>
                <w:sz w:val="18"/>
                <w:szCs w:val="18"/>
                <w:highlight w:val="yellow"/>
              </w:rPr>
            </w:r>
            <w:r w:rsidRPr="00E30B5B">
              <w:rPr>
                <w:i/>
                <w:color w:val="000000"/>
                <w:sz w:val="18"/>
                <w:szCs w:val="18"/>
                <w:highlight w:val="yellow"/>
              </w:rPr>
              <w:fldChar w:fldCharType="separate"/>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fldChar w:fldCharType="end"/>
            </w:r>
          </w:p>
        </w:tc>
      </w:tr>
      <w:tr w:rsidR="007520C1" w:rsidRPr="004244E0" w14:paraId="6B5F38CF" w14:textId="77777777" w:rsidTr="00DB02C4">
        <w:tc>
          <w:tcPr>
            <w:tcW w:w="1298" w:type="dxa"/>
          </w:tcPr>
          <w:p w14:paraId="5A59C040" w14:textId="77777777" w:rsidR="007520C1" w:rsidRPr="00E30B5B" w:rsidRDefault="007520C1" w:rsidP="00E049DB">
            <w:pPr>
              <w:jc w:val="right"/>
              <w:rPr>
                <w:sz w:val="18"/>
                <w:szCs w:val="18"/>
                <w:highlight w:val="yellow"/>
              </w:rPr>
            </w:pPr>
          </w:p>
        </w:tc>
        <w:tc>
          <w:tcPr>
            <w:tcW w:w="2659" w:type="dxa"/>
            <w:gridSpan w:val="2"/>
          </w:tcPr>
          <w:p w14:paraId="40314E50" w14:textId="77777777" w:rsidR="007520C1" w:rsidRPr="00E30B5B" w:rsidRDefault="007520C1" w:rsidP="00E049DB">
            <w:pPr>
              <w:jc w:val="right"/>
              <w:rPr>
                <w:sz w:val="18"/>
                <w:szCs w:val="18"/>
                <w:highlight w:val="yellow"/>
              </w:rPr>
            </w:pPr>
            <w:r w:rsidRPr="00E30B5B">
              <w:rPr>
                <w:sz w:val="18"/>
                <w:szCs w:val="18"/>
                <w:highlight w:val="yellow"/>
              </w:rPr>
              <w:t>Expected CO2e (indirect)</w:t>
            </w:r>
          </w:p>
        </w:tc>
        <w:tc>
          <w:tcPr>
            <w:tcW w:w="2782" w:type="dxa"/>
            <w:gridSpan w:val="2"/>
          </w:tcPr>
          <w:p w14:paraId="3E961E97" w14:textId="77777777" w:rsidR="007520C1" w:rsidRPr="00E30B5B" w:rsidRDefault="007520C1" w:rsidP="00E049DB">
            <w:pPr>
              <w:jc w:val="right"/>
              <w:rPr>
                <w:sz w:val="18"/>
                <w:szCs w:val="18"/>
                <w:highlight w:val="yellow"/>
              </w:rPr>
            </w:pPr>
            <w:r w:rsidRPr="00E30B5B">
              <w:rPr>
                <w:i/>
                <w:color w:val="000000"/>
                <w:sz w:val="18"/>
                <w:szCs w:val="18"/>
                <w:highlight w:val="yellow"/>
              </w:rPr>
              <w:fldChar w:fldCharType="begin">
                <w:ffData>
                  <w:name w:val="F_GEB_BD_target"/>
                  <w:enabled/>
                  <w:calcOnExit w:val="0"/>
                  <w:textInput/>
                </w:ffData>
              </w:fldChar>
            </w:r>
            <w:r w:rsidRPr="00E30B5B">
              <w:rPr>
                <w:i/>
                <w:color w:val="000000"/>
                <w:sz w:val="18"/>
                <w:szCs w:val="18"/>
                <w:highlight w:val="yellow"/>
              </w:rPr>
              <w:instrText xml:space="preserve"> FORMTEXT </w:instrText>
            </w:r>
            <w:r w:rsidRPr="00E30B5B">
              <w:rPr>
                <w:i/>
                <w:color w:val="000000"/>
                <w:sz w:val="18"/>
                <w:szCs w:val="18"/>
                <w:highlight w:val="yellow"/>
              </w:rPr>
            </w:r>
            <w:r w:rsidRPr="00E30B5B">
              <w:rPr>
                <w:i/>
                <w:color w:val="000000"/>
                <w:sz w:val="18"/>
                <w:szCs w:val="18"/>
                <w:highlight w:val="yellow"/>
              </w:rPr>
              <w:fldChar w:fldCharType="separate"/>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fldChar w:fldCharType="end"/>
            </w:r>
          </w:p>
        </w:tc>
        <w:tc>
          <w:tcPr>
            <w:tcW w:w="1485" w:type="dxa"/>
            <w:gridSpan w:val="3"/>
          </w:tcPr>
          <w:p w14:paraId="2020644B" w14:textId="77777777" w:rsidR="007520C1" w:rsidRPr="00E30B5B" w:rsidRDefault="007520C1" w:rsidP="00E049DB">
            <w:pPr>
              <w:jc w:val="right"/>
              <w:rPr>
                <w:sz w:val="18"/>
                <w:szCs w:val="18"/>
                <w:highlight w:val="yellow"/>
              </w:rPr>
            </w:pPr>
            <w:r w:rsidRPr="00E30B5B">
              <w:rPr>
                <w:i/>
                <w:color w:val="000000"/>
                <w:sz w:val="18"/>
                <w:szCs w:val="18"/>
                <w:highlight w:val="yellow"/>
              </w:rPr>
              <w:fldChar w:fldCharType="begin">
                <w:ffData>
                  <w:name w:val="F_GEB_BD_target"/>
                  <w:enabled/>
                  <w:calcOnExit w:val="0"/>
                  <w:textInput/>
                </w:ffData>
              </w:fldChar>
            </w:r>
            <w:r w:rsidRPr="00E30B5B">
              <w:rPr>
                <w:i/>
                <w:color w:val="000000"/>
                <w:sz w:val="18"/>
                <w:szCs w:val="18"/>
                <w:highlight w:val="yellow"/>
              </w:rPr>
              <w:instrText xml:space="preserve"> FORMTEXT </w:instrText>
            </w:r>
            <w:r w:rsidRPr="00E30B5B">
              <w:rPr>
                <w:i/>
                <w:color w:val="000000"/>
                <w:sz w:val="18"/>
                <w:szCs w:val="18"/>
                <w:highlight w:val="yellow"/>
              </w:rPr>
            </w:r>
            <w:r w:rsidRPr="00E30B5B">
              <w:rPr>
                <w:i/>
                <w:color w:val="000000"/>
                <w:sz w:val="18"/>
                <w:szCs w:val="18"/>
                <w:highlight w:val="yellow"/>
              </w:rPr>
              <w:fldChar w:fldCharType="separate"/>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fldChar w:fldCharType="end"/>
            </w:r>
          </w:p>
        </w:tc>
        <w:tc>
          <w:tcPr>
            <w:tcW w:w="1324" w:type="dxa"/>
            <w:gridSpan w:val="2"/>
          </w:tcPr>
          <w:p w14:paraId="15B45822" w14:textId="77777777" w:rsidR="007520C1" w:rsidRPr="00E30B5B" w:rsidRDefault="007520C1" w:rsidP="00E049DB">
            <w:pPr>
              <w:jc w:val="right"/>
              <w:rPr>
                <w:sz w:val="18"/>
                <w:szCs w:val="18"/>
                <w:highlight w:val="yellow"/>
              </w:rPr>
            </w:pPr>
            <w:r w:rsidRPr="00E30B5B">
              <w:rPr>
                <w:i/>
                <w:color w:val="000000"/>
                <w:sz w:val="18"/>
                <w:szCs w:val="18"/>
                <w:highlight w:val="yellow"/>
              </w:rPr>
              <w:fldChar w:fldCharType="begin">
                <w:ffData>
                  <w:name w:val="F_GEB_BD_target"/>
                  <w:enabled/>
                  <w:calcOnExit w:val="0"/>
                  <w:textInput/>
                </w:ffData>
              </w:fldChar>
            </w:r>
            <w:r w:rsidRPr="00E30B5B">
              <w:rPr>
                <w:i/>
                <w:color w:val="000000"/>
                <w:sz w:val="18"/>
                <w:szCs w:val="18"/>
                <w:highlight w:val="yellow"/>
              </w:rPr>
              <w:instrText xml:space="preserve"> FORMTEXT </w:instrText>
            </w:r>
            <w:r w:rsidRPr="00E30B5B">
              <w:rPr>
                <w:i/>
                <w:color w:val="000000"/>
                <w:sz w:val="18"/>
                <w:szCs w:val="18"/>
                <w:highlight w:val="yellow"/>
              </w:rPr>
            </w:r>
            <w:r w:rsidRPr="00E30B5B">
              <w:rPr>
                <w:i/>
                <w:color w:val="000000"/>
                <w:sz w:val="18"/>
                <w:szCs w:val="18"/>
                <w:highlight w:val="yellow"/>
              </w:rPr>
              <w:fldChar w:fldCharType="separate"/>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fldChar w:fldCharType="end"/>
            </w:r>
          </w:p>
        </w:tc>
        <w:tc>
          <w:tcPr>
            <w:tcW w:w="1287" w:type="dxa"/>
          </w:tcPr>
          <w:p w14:paraId="42A5BD62" w14:textId="77777777" w:rsidR="007520C1" w:rsidRPr="00E30B5B" w:rsidRDefault="007520C1" w:rsidP="00E049DB">
            <w:pPr>
              <w:jc w:val="right"/>
              <w:rPr>
                <w:sz w:val="18"/>
                <w:szCs w:val="18"/>
                <w:highlight w:val="yellow"/>
              </w:rPr>
            </w:pPr>
            <w:r w:rsidRPr="00E30B5B">
              <w:rPr>
                <w:i/>
                <w:color w:val="000000"/>
                <w:sz w:val="18"/>
                <w:szCs w:val="18"/>
                <w:highlight w:val="yellow"/>
              </w:rPr>
              <w:fldChar w:fldCharType="begin">
                <w:ffData>
                  <w:name w:val="F_GEB_BD_target"/>
                  <w:enabled/>
                  <w:calcOnExit w:val="0"/>
                  <w:textInput/>
                </w:ffData>
              </w:fldChar>
            </w:r>
            <w:r w:rsidRPr="00E30B5B">
              <w:rPr>
                <w:i/>
                <w:color w:val="000000"/>
                <w:sz w:val="18"/>
                <w:szCs w:val="18"/>
                <w:highlight w:val="yellow"/>
              </w:rPr>
              <w:instrText xml:space="preserve"> FORMTEXT </w:instrText>
            </w:r>
            <w:r w:rsidRPr="00E30B5B">
              <w:rPr>
                <w:i/>
                <w:color w:val="000000"/>
                <w:sz w:val="18"/>
                <w:szCs w:val="18"/>
                <w:highlight w:val="yellow"/>
              </w:rPr>
            </w:r>
            <w:r w:rsidRPr="00E30B5B">
              <w:rPr>
                <w:i/>
                <w:color w:val="000000"/>
                <w:sz w:val="18"/>
                <w:szCs w:val="18"/>
                <w:highlight w:val="yellow"/>
              </w:rPr>
              <w:fldChar w:fldCharType="separate"/>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fldChar w:fldCharType="end"/>
            </w:r>
          </w:p>
        </w:tc>
      </w:tr>
      <w:tr w:rsidR="007520C1" w:rsidRPr="004244E0" w14:paraId="0F6ADD0D" w14:textId="77777777" w:rsidTr="00DB02C4">
        <w:tc>
          <w:tcPr>
            <w:tcW w:w="1298" w:type="dxa"/>
          </w:tcPr>
          <w:p w14:paraId="3F133FBB" w14:textId="77777777" w:rsidR="007520C1" w:rsidRPr="00E30B5B" w:rsidRDefault="007520C1" w:rsidP="00E049DB">
            <w:pPr>
              <w:jc w:val="right"/>
              <w:rPr>
                <w:sz w:val="18"/>
                <w:szCs w:val="18"/>
                <w:highlight w:val="yellow"/>
              </w:rPr>
            </w:pPr>
          </w:p>
        </w:tc>
        <w:tc>
          <w:tcPr>
            <w:tcW w:w="2659" w:type="dxa"/>
            <w:gridSpan w:val="2"/>
          </w:tcPr>
          <w:p w14:paraId="6080BD60" w14:textId="77777777" w:rsidR="007520C1" w:rsidRPr="00E30B5B" w:rsidRDefault="007520C1" w:rsidP="00E049DB">
            <w:pPr>
              <w:jc w:val="right"/>
              <w:rPr>
                <w:sz w:val="18"/>
                <w:szCs w:val="18"/>
                <w:highlight w:val="yellow"/>
              </w:rPr>
            </w:pPr>
            <w:r w:rsidRPr="00E30B5B">
              <w:rPr>
                <w:sz w:val="18"/>
                <w:szCs w:val="18"/>
                <w:highlight w:val="yellow"/>
              </w:rPr>
              <w:t>Anticipated start year of accounting</w:t>
            </w:r>
          </w:p>
        </w:tc>
        <w:tc>
          <w:tcPr>
            <w:tcW w:w="2782" w:type="dxa"/>
            <w:gridSpan w:val="2"/>
          </w:tcPr>
          <w:p w14:paraId="45EE00EA" w14:textId="77777777" w:rsidR="007520C1" w:rsidRPr="00E30B5B" w:rsidRDefault="007520C1" w:rsidP="00E049DB">
            <w:pPr>
              <w:jc w:val="right"/>
              <w:rPr>
                <w:i/>
                <w:color w:val="000000"/>
                <w:sz w:val="18"/>
                <w:szCs w:val="18"/>
                <w:highlight w:val="yellow"/>
              </w:rPr>
            </w:pPr>
            <w:r w:rsidRPr="00E30B5B">
              <w:rPr>
                <w:i/>
                <w:color w:val="000000"/>
                <w:sz w:val="18"/>
                <w:szCs w:val="18"/>
                <w:highlight w:val="yellow"/>
              </w:rPr>
              <w:fldChar w:fldCharType="begin">
                <w:ffData>
                  <w:name w:val="F_GEB_BD_target"/>
                  <w:enabled/>
                  <w:calcOnExit w:val="0"/>
                  <w:textInput/>
                </w:ffData>
              </w:fldChar>
            </w:r>
            <w:r w:rsidRPr="00E30B5B">
              <w:rPr>
                <w:i/>
                <w:color w:val="000000"/>
                <w:sz w:val="18"/>
                <w:szCs w:val="18"/>
                <w:highlight w:val="yellow"/>
              </w:rPr>
              <w:instrText xml:space="preserve"> FORMTEXT </w:instrText>
            </w:r>
            <w:r w:rsidRPr="00E30B5B">
              <w:rPr>
                <w:i/>
                <w:color w:val="000000"/>
                <w:sz w:val="18"/>
                <w:szCs w:val="18"/>
                <w:highlight w:val="yellow"/>
              </w:rPr>
            </w:r>
            <w:r w:rsidRPr="00E30B5B">
              <w:rPr>
                <w:i/>
                <w:color w:val="000000"/>
                <w:sz w:val="18"/>
                <w:szCs w:val="18"/>
                <w:highlight w:val="yellow"/>
              </w:rPr>
              <w:fldChar w:fldCharType="separate"/>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fldChar w:fldCharType="end"/>
            </w:r>
          </w:p>
        </w:tc>
        <w:tc>
          <w:tcPr>
            <w:tcW w:w="1485" w:type="dxa"/>
            <w:gridSpan w:val="3"/>
          </w:tcPr>
          <w:p w14:paraId="56A5E035" w14:textId="77777777" w:rsidR="007520C1" w:rsidRPr="00E30B5B" w:rsidRDefault="007520C1" w:rsidP="00E049DB">
            <w:pPr>
              <w:jc w:val="right"/>
              <w:rPr>
                <w:i/>
                <w:color w:val="000000"/>
                <w:sz w:val="18"/>
                <w:szCs w:val="18"/>
                <w:highlight w:val="yellow"/>
              </w:rPr>
            </w:pPr>
            <w:r w:rsidRPr="00E30B5B">
              <w:rPr>
                <w:i/>
                <w:color w:val="000000"/>
                <w:sz w:val="18"/>
                <w:szCs w:val="18"/>
                <w:highlight w:val="yellow"/>
              </w:rPr>
              <w:fldChar w:fldCharType="begin">
                <w:ffData>
                  <w:name w:val="F_GEB_BD_target"/>
                  <w:enabled/>
                  <w:calcOnExit w:val="0"/>
                  <w:textInput/>
                </w:ffData>
              </w:fldChar>
            </w:r>
            <w:r w:rsidRPr="00E30B5B">
              <w:rPr>
                <w:i/>
                <w:color w:val="000000"/>
                <w:sz w:val="18"/>
                <w:szCs w:val="18"/>
                <w:highlight w:val="yellow"/>
              </w:rPr>
              <w:instrText xml:space="preserve"> FORMTEXT </w:instrText>
            </w:r>
            <w:r w:rsidRPr="00E30B5B">
              <w:rPr>
                <w:i/>
                <w:color w:val="000000"/>
                <w:sz w:val="18"/>
                <w:szCs w:val="18"/>
                <w:highlight w:val="yellow"/>
              </w:rPr>
            </w:r>
            <w:r w:rsidRPr="00E30B5B">
              <w:rPr>
                <w:i/>
                <w:color w:val="000000"/>
                <w:sz w:val="18"/>
                <w:szCs w:val="18"/>
                <w:highlight w:val="yellow"/>
              </w:rPr>
              <w:fldChar w:fldCharType="separate"/>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fldChar w:fldCharType="end"/>
            </w:r>
          </w:p>
        </w:tc>
        <w:tc>
          <w:tcPr>
            <w:tcW w:w="1324" w:type="dxa"/>
            <w:gridSpan w:val="2"/>
          </w:tcPr>
          <w:p w14:paraId="34972ADF" w14:textId="77777777" w:rsidR="007520C1" w:rsidRPr="00E30B5B" w:rsidRDefault="007520C1" w:rsidP="00E049DB">
            <w:pPr>
              <w:jc w:val="right"/>
              <w:rPr>
                <w:i/>
                <w:color w:val="000000"/>
                <w:sz w:val="18"/>
                <w:szCs w:val="18"/>
                <w:highlight w:val="yellow"/>
              </w:rPr>
            </w:pPr>
            <w:r w:rsidRPr="00E30B5B">
              <w:rPr>
                <w:i/>
                <w:color w:val="000000"/>
                <w:sz w:val="18"/>
                <w:szCs w:val="18"/>
                <w:highlight w:val="yellow"/>
              </w:rPr>
              <w:fldChar w:fldCharType="begin">
                <w:ffData>
                  <w:name w:val="F_GEB_BD_target"/>
                  <w:enabled/>
                  <w:calcOnExit w:val="0"/>
                  <w:textInput/>
                </w:ffData>
              </w:fldChar>
            </w:r>
            <w:r w:rsidRPr="00E30B5B">
              <w:rPr>
                <w:i/>
                <w:color w:val="000000"/>
                <w:sz w:val="18"/>
                <w:szCs w:val="18"/>
                <w:highlight w:val="yellow"/>
              </w:rPr>
              <w:instrText xml:space="preserve"> FORMTEXT </w:instrText>
            </w:r>
            <w:r w:rsidRPr="00E30B5B">
              <w:rPr>
                <w:i/>
                <w:color w:val="000000"/>
                <w:sz w:val="18"/>
                <w:szCs w:val="18"/>
                <w:highlight w:val="yellow"/>
              </w:rPr>
            </w:r>
            <w:r w:rsidRPr="00E30B5B">
              <w:rPr>
                <w:i/>
                <w:color w:val="000000"/>
                <w:sz w:val="18"/>
                <w:szCs w:val="18"/>
                <w:highlight w:val="yellow"/>
              </w:rPr>
              <w:fldChar w:fldCharType="separate"/>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fldChar w:fldCharType="end"/>
            </w:r>
          </w:p>
        </w:tc>
        <w:tc>
          <w:tcPr>
            <w:tcW w:w="1287" w:type="dxa"/>
          </w:tcPr>
          <w:p w14:paraId="265469C8" w14:textId="77777777" w:rsidR="007520C1" w:rsidRPr="00E30B5B" w:rsidRDefault="007520C1" w:rsidP="00E049DB">
            <w:pPr>
              <w:jc w:val="right"/>
              <w:rPr>
                <w:i/>
                <w:color w:val="000000"/>
                <w:sz w:val="18"/>
                <w:szCs w:val="18"/>
                <w:highlight w:val="yellow"/>
              </w:rPr>
            </w:pPr>
            <w:r w:rsidRPr="00E30B5B">
              <w:rPr>
                <w:i/>
                <w:color w:val="000000"/>
                <w:sz w:val="18"/>
                <w:szCs w:val="18"/>
                <w:highlight w:val="yellow"/>
              </w:rPr>
              <w:fldChar w:fldCharType="begin">
                <w:ffData>
                  <w:name w:val="F_GEB_BD_target"/>
                  <w:enabled/>
                  <w:calcOnExit w:val="0"/>
                  <w:textInput/>
                </w:ffData>
              </w:fldChar>
            </w:r>
            <w:r w:rsidRPr="00E30B5B">
              <w:rPr>
                <w:i/>
                <w:color w:val="000000"/>
                <w:sz w:val="18"/>
                <w:szCs w:val="18"/>
                <w:highlight w:val="yellow"/>
              </w:rPr>
              <w:instrText xml:space="preserve"> FORMTEXT </w:instrText>
            </w:r>
            <w:r w:rsidRPr="00E30B5B">
              <w:rPr>
                <w:i/>
                <w:color w:val="000000"/>
                <w:sz w:val="18"/>
                <w:szCs w:val="18"/>
                <w:highlight w:val="yellow"/>
              </w:rPr>
            </w:r>
            <w:r w:rsidRPr="00E30B5B">
              <w:rPr>
                <w:i/>
                <w:color w:val="000000"/>
                <w:sz w:val="18"/>
                <w:szCs w:val="18"/>
                <w:highlight w:val="yellow"/>
              </w:rPr>
              <w:fldChar w:fldCharType="separate"/>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fldChar w:fldCharType="end"/>
            </w:r>
          </w:p>
        </w:tc>
      </w:tr>
      <w:tr w:rsidR="007520C1" w:rsidRPr="004244E0" w14:paraId="39458A2C" w14:textId="77777777" w:rsidTr="00DB02C4">
        <w:tc>
          <w:tcPr>
            <w:tcW w:w="1298" w:type="dxa"/>
          </w:tcPr>
          <w:p w14:paraId="11AEE277" w14:textId="77777777" w:rsidR="007520C1" w:rsidRPr="00E30B5B" w:rsidRDefault="007520C1" w:rsidP="00E049DB">
            <w:pPr>
              <w:jc w:val="right"/>
              <w:rPr>
                <w:sz w:val="18"/>
                <w:szCs w:val="18"/>
                <w:highlight w:val="yellow"/>
              </w:rPr>
            </w:pPr>
          </w:p>
        </w:tc>
        <w:tc>
          <w:tcPr>
            <w:tcW w:w="2659" w:type="dxa"/>
            <w:gridSpan w:val="2"/>
          </w:tcPr>
          <w:p w14:paraId="7D329F2E" w14:textId="77777777" w:rsidR="007520C1" w:rsidRPr="00E30B5B" w:rsidRDefault="007520C1" w:rsidP="00E049DB">
            <w:pPr>
              <w:jc w:val="right"/>
              <w:rPr>
                <w:sz w:val="18"/>
                <w:szCs w:val="18"/>
                <w:highlight w:val="yellow"/>
              </w:rPr>
            </w:pPr>
            <w:r w:rsidRPr="00E30B5B">
              <w:rPr>
                <w:sz w:val="18"/>
                <w:szCs w:val="18"/>
                <w:highlight w:val="yellow"/>
              </w:rPr>
              <w:t>Duration of accounting</w:t>
            </w:r>
          </w:p>
        </w:tc>
        <w:tc>
          <w:tcPr>
            <w:tcW w:w="2782" w:type="dxa"/>
            <w:gridSpan w:val="2"/>
          </w:tcPr>
          <w:p w14:paraId="1A11B182" w14:textId="77777777" w:rsidR="007520C1" w:rsidRPr="00E30B5B" w:rsidRDefault="007520C1" w:rsidP="00E049DB">
            <w:pPr>
              <w:jc w:val="right"/>
              <w:rPr>
                <w:i/>
                <w:color w:val="000000"/>
                <w:sz w:val="18"/>
                <w:szCs w:val="18"/>
                <w:highlight w:val="yellow"/>
              </w:rPr>
            </w:pPr>
            <w:r w:rsidRPr="00E30B5B">
              <w:rPr>
                <w:i/>
                <w:color w:val="000000"/>
                <w:sz w:val="18"/>
                <w:szCs w:val="18"/>
                <w:highlight w:val="yellow"/>
              </w:rPr>
              <w:fldChar w:fldCharType="begin">
                <w:ffData>
                  <w:name w:val="F_GEB_BD_target"/>
                  <w:enabled/>
                  <w:calcOnExit w:val="0"/>
                  <w:textInput/>
                </w:ffData>
              </w:fldChar>
            </w:r>
            <w:r w:rsidRPr="00E30B5B">
              <w:rPr>
                <w:i/>
                <w:color w:val="000000"/>
                <w:sz w:val="18"/>
                <w:szCs w:val="18"/>
                <w:highlight w:val="yellow"/>
              </w:rPr>
              <w:instrText xml:space="preserve"> FORMTEXT </w:instrText>
            </w:r>
            <w:r w:rsidRPr="00E30B5B">
              <w:rPr>
                <w:i/>
                <w:color w:val="000000"/>
                <w:sz w:val="18"/>
                <w:szCs w:val="18"/>
                <w:highlight w:val="yellow"/>
              </w:rPr>
            </w:r>
            <w:r w:rsidRPr="00E30B5B">
              <w:rPr>
                <w:i/>
                <w:color w:val="000000"/>
                <w:sz w:val="18"/>
                <w:szCs w:val="18"/>
                <w:highlight w:val="yellow"/>
              </w:rPr>
              <w:fldChar w:fldCharType="separate"/>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fldChar w:fldCharType="end"/>
            </w:r>
          </w:p>
        </w:tc>
        <w:tc>
          <w:tcPr>
            <w:tcW w:w="1485" w:type="dxa"/>
            <w:gridSpan w:val="3"/>
          </w:tcPr>
          <w:p w14:paraId="33D37D34" w14:textId="77777777" w:rsidR="007520C1" w:rsidRPr="00E30B5B" w:rsidRDefault="007520C1" w:rsidP="00E049DB">
            <w:pPr>
              <w:jc w:val="right"/>
              <w:rPr>
                <w:i/>
                <w:color w:val="000000"/>
                <w:sz w:val="18"/>
                <w:szCs w:val="18"/>
                <w:highlight w:val="yellow"/>
              </w:rPr>
            </w:pPr>
            <w:r w:rsidRPr="00E30B5B">
              <w:rPr>
                <w:i/>
                <w:color w:val="000000"/>
                <w:sz w:val="18"/>
                <w:szCs w:val="18"/>
                <w:highlight w:val="yellow"/>
              </w:rPr>
              <w:fldChar w:fldCharType="begin">
                <w:ffData>
                  <w:name w:val="F_GEB_BD_target"/>
                  <w:enabled/>
                  <w:calcOnExit w:val="0"/>
                  <w:textInput/>
                </w:ffData>
              </w:fldChar>
            </w:r>
            <w:r w:rsidRPr="00E30B5B">
              <w:rPr>
                <w:i/>
                <w:color w:val="000000"/>
                <w:sz w:val="18"/>
                <w:szCs w:val="18"/>
                <w:highlight w:val="yellow"/>
              </w:rPr>
              <w:instrText xml:space="preserve"> FORMTEXT </w:instrText>
            </w:r>
            <w:r w:rsidRPr="00E30B5B">
              <w:rPr>
                <w:i/>
                <w:color w:val="000000"/>
                <w:sz w:val="18"/>
                <w:szCs w:val="18"/>
                <w:highlight w:val="yellow"/>
              </w:rPr>
            </w:r>
            <w:r w:rsidRPr="00E30B5B">
              <w:rPr>
                <w:i/>
                <w:color w:val="000000"/>
                <w:sz w:val="18"/>
                <w:szCs w:val="18"/>
                <w:highlight w:val="yellow"/>
              </w:rPr>
              <w:fldChar w:fldCharType="separate"/>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fldChar w:fldCharType="end"/>
            </w:r>
          </w:p>
        </w:tc>
        <w:tc>
          <w:tcPr>
            <w:tcW w:w="1324" w:type="dxa"/>
            <w:gridSpan w:val="2"/>
          </w:tcPr>
          <w:p w14:paraId="5376F77A" w14:textId="77777777" w:rsidR="007520C1" w:rsidRPr="00E30B5B" w:rsidRDefault="007520C1" w:rsidP="00E049DB">
            <w:pPr>
              <w:jc w:val="right"/>
              <w:rPr>
                <w:i/>
                <w:color w:val="000000"/>
                <w:sz w:val="18"/>
                <w:szCs w:val="18"/>
                <w:highlight w:val="yellow"/>
              </w:rPr>
            </w:pPr>
            <w:r w:rsidRPr="00E30B5B">
              <w:rPr>
                <w:i/>
                <w:color w:val="000000"/>
                <w:sz w:val="18"/>
                <w:szCs w:val="18"/>
                <w:highlight w:val="yellow"/>
              </w:rPr>
              <w:fldChar w:fldCharType="begin">
                <w:ffData>
                  <w:name w:val="F_GEB_BD_target"/>
                  <w:enabled/>
                  <w:calcOnExit w:val="0"/>
                  <w:textInput/>
                </w:ffData>
              </w:fldChar>
            </w:r>
            <w:r w:rsidRPr="00E30B5B">
              <w:rPr>
                <w:i/>
                <w:color w:val="000000"/>
                <w:sz w:val="18"/>
                <w:szCs w:val="18"/>
                <w:highlight w:val="yellow"/>
              </w:rPr>
              <w:instrText xml:space="preserve"> FORMTEXT </w:instrText>
            </w:r>
            <w:r w:rsidRPr="00E30B5B">
              <w:rPr>
                <w:i/>
                <w:color w:val="000000"/>
                <w:sz w:val="18"/>
                <w:szCs w:val="18"/>
                <w:highlight w:val="yellow"/>
              </w:rPr>
            </w:r>
            <w:r w:rsidRPr="00E30B5B">
              <w:rPr>
                <w:i/>
                <w:color w:val="000000"/>
                <w:sz w:val="18"/>
                <w:szCs w:val="18"/>
                <w:highlight w:val="yellow"/>
              </w:rPr>
              <w:fldChar w:fldCharType="separate"/>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fldChar w:fldCharType="end"/>
            </w:r>
          </w:p>
        </w:tc>
        <w:tc>
          <w:tcPr>
            <w:tcW w:w="1287" w:type="dxa"/>
          </w:tcPr>
          <w:p w14:paraId="1600D705" w14:textId="77777777" w:rsidR="007520C1" w:rsidRPr="00E30B5B" w:rsidRDefault="007520C1" w:rsidP="00E049DB">
            <w:pPr>
              <w:jc w:val="right"/>
              <w:rPr>
                <w:i/>
                <w:color w:val="000000"/>
                <w:sz w:val="18"/>
                <w:szCs w:val="18"/>
                <w:highlight w:val="yellow"/>
              </w:rPr>
            </w:pPr>
            <w:r w:rsidRPr="00E30B5B">
              <w:rPr>
                <w:i/>
                <w:color w:val="000000"/>
                <w:sz w:val="18"/>
                <w:szCs w:val="18"/>
                <w:highlight w:val="yellow"/>
              </w:rPr>
              <w:fldChar w:fldCharType="begin">
                <w:ffData>
                  <w:name w:val="F_GEB_BD_target"/>
                  <w:enabled/>
                  <w:calcOnExit w:val="0"/>
                  <w:textInput/>
                </w:ffData>
              </w:fldChar>
            </w:r>
            <w:r w:rsidRPr="00E30B5B">
              <w:rPr>
                <w:i/>
                <w:color w:val="000000"/>
                <w:sz w:val="18"/>
                <w:szCs w:val="18"/>
                <w:highlight w:val="yellow"/>
              </w:rPr>
              <w:instrText xml:space="preserve"> FORMTEXT </w:instrText>
            </w:r>
            <w:r w:rsidRPr="00E30B5B">
              <w:rPr>
                <w:i/>
                <w:color w:val="000000"/>
                <w:sz w:val="18"/>
                <w:szCs w:val="18"/>
                <w:highlight w:val="yellow"/>
              </w:rPr>
            </w:r>
            <w:r w:rsidRPr="00E30B5B">
              <w:rPr>
                <w:i/>
                <w:color w:val="000000"/>
                <w:sz w:val="18"/>
                <w:szCs w:val="18"/>
                <w:highlight w:val="yellow"/>
              </w:rPr>
              <w:fldChar w:fldCharType="separate"/>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fldChar w:fldCharType="end"/>
            </w:r>
          </w:p>
        </w:tc>
      </w:tr>
      <w:tr w:rsidR="007520C1" w:rsidRPr="004244E0" w14:paraId="68AF61A2" w14:textId="77777777" w:rsidTr="00DB02C4">
        <w:tc>
          <w:tcPr>
            <w:tcW w:w="1298" w:type="dxa"/>
            <w:shd w:val="clear" w:color="auto" w:fill="BFBFBF" w:themeFill="background1" w:themeFillShade="BF"/>
          </w:tcPr>
          <w:p w14:paraId="3BD28C08" w14:textId="77777777" w:rsidR="007520C1" w:rsidRPr="00E30B5B" w:rsidRDefault="007520C1" w:rsidP="00E049DB">
            <w:pPr>
              <w:rPr>
                <w:sz w:val="18"/>
                <w:szCs w:val="18"/>
                <w:highlight w:val="yellow"/>
              </w:rPr>
            </w:pPr>
            <w:r w:rsidRPr="00E30B5B">
              <w:rPr>
                <w:sz w:val="18"/>
                <w:szCs w:val="18"/>
                <w:highlight w:val="yellow"/>
              </w:rPr>
              <w:t>Indicator 6.3</w:t>
            </w:r>
          </w:p>
        </w:tc>
        <w:tc>
          <w:tcPr>
            <w:tcW w:w="6765" w:type="dxa"/>
            <w:gridSpan w:val="5"/>
            <w:shd w:val="clear" w:color="auto" w:fill="BFBFBF" w:themeFill="background1" w:themeFillShade="BF"/>
          </w:tcPr>
          <w:p w14:paraId="1752E4C7" w14:textId="77777777" w:rsidR="007520C1" w:rsidRPr="00E30B5B" w:rsidRDefault="007520C1" w:rsidP="00E049DB">
            <w:pPr>
              <w:rPr>
                <w:sz w:val="18"/>
                <w:szCs w:val="18"/>
                <w:highlight w:val="yellow"/>
              </w:rPr>
            </w:pPr>
            <w:r w:rsidRPr="00E30B5B">
              <w:rPr>
                <w:sz w:val="18"/>
                <w:szCs w:val="18"/>
                <w:highlight w:val="yellow"/>
              </w:rPr>
              <w:t>Energy saved</w:t>
            </w:r>
          </w:p>
        </w:tc>
        <w:tc>
          <w:tcPr>
            <w:tcW w:w="2772" w:type="dxa"/>
            <w:gridSpan w:val="5"/>
            <w:shd w:val="clear" w:color="auto" w:fill="BFBFBF" w:themeFill="background1" w:themeFillShade="BF"/>
          </w:tcPr>
          <w:p w14:paraId="621F5FE9" w14:textId="77777777" w:rsidR="007520C1" w:rsidRPr="00E30B5B" w:rsidRDefault="007520C1" w:rsidP="00E049DB">
            <w:pPr>
              <w:jc w:val="right"/>
              <w:rPr>
                <w:sz w:val="18"/>
                <w:szCs w:val="18"/>
                <w:highlight w:val="yellow"/>
              </w:rPr>
            </w:pPr>
            <w:r w:rsidRPr="00E30B5B">
              <w:rPr>
                <w:i/>
                <w:color w:val="000000"/>
                <w:sz w:val="18"/>
                <w:szCs w:val="18"/>
                <w:highlight w:val="yellow"/>
              </w:rPr>
              <w:fldChar w:fldCharType="begin">
                <w:ffData>
                  <w:name w:val="F_GEB_BD_target"/>
                  <w:enabled/>
                  <w:calcOnExit w:val="0"/>
                  <w:textInput/>
                </w:ffData>
              </w:fldChar>
            </w:r>
            <w:r w:rsidRPr="00E30B5B">
              <w:rPr>
                <w:i/>
                <w:color w:val="000000"/>
                <w:sz w:val="18"/>
                <w:szCs w:val="18"/>
                <w:highlight w:val="yellow"/>
              </w:rPr>
              <w:instrText xml:space="preserve"> FORMTEXT </w:instrText>
            </w:r>
            <w:r w:rsidRPr="00E30B5B">
              <w:rPr>
                <w:i/>
                <w:color w:val="000000"/>
                <w:sz w:val="18"/>
                <w:szCs w:val="18"/>
                <w:highlight w:val="yellow"/>
              </w:rPr>
            </w:r>
            <w:r w:rsidRPr="00E30B5B">
              <w:rPr>
                <w:i/>
                <w:color w:val="000000"/>
                <w:sz w:val="18"/>
                <w:szCs w:val="18"/>
                <w:highlight w:val="yellow"/>
              </w:rPr>
              <w:fldChar w:fldCharType="separate"/>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fldChar w:fldCharType="end"/>
            </w:r>
          </w:p>
        </w:tc>
      </w:tr>
      <w:tr w:rsidR="007520C1" w:rsidRPr="004244E0" w14:paraId="45D16926" w14:textId="77777777" w:rsidTr="00DB02C4">
        <w:trPr>
          <w:trHeight w:val="125"/>
        </w:trPr>
        <w:tc>
          <w:tcPr>
            <w:tcW w:w="1298" w:type="dxa"/>
            <w:vMerge w:val="restart"/>
          </w:tcPr>
          <w:p w14:paraId="2B416496" w14:textId="77777777" w:rsidR="007520C1" w:rsidRPr="00E30B5B" w:rsidRDefault="007520C1" w:rsidP="00E049DB">
            <w:pPr>
              <w:rPr>
                <w:sz w:val="18"/>
                <w:szCs w:val="18"/>
                <w:highlight w:val="yellow"/>
              </w:rPr>
            </w:pPr>
          </w:p>
        </w:tc>
        <w:tc>
          <w:tcPr>
            <w:tcW w:w="933" w:type="dxa"/>
            <w:vMerge w:val="restart"/>
          </w:tcPr>
          <w:p w14:paraId="06BC9514" w14:textId="77777777" w:rsidR="007520C1" w:rsidRPr="00E30B5B" w:rsidRDefault="007520C1" w:rsidP="00E049DB">
            <w:pPr>
              <w:rPr>
                <w:sz w:val="18"/>
                <w:szCs w:val="18"/>
                <w:highlight w:val="yellow"/>
              </w:rPr>
            </w:pPr>
          </w:p>
        </w:tc>
        <w:tc>
          <w:tcPr>
            <w:tcW w:w="1726" w:type="dxa"/>
            <w:vMerge w:val="restart"/>
          </w:tcPr>
          <w:p w14:paraId="0BAFD7CA" w14:textId="77777777" w:rsidR="007520C1" w:rsidRPr="00E30B5B" w:rsidRDefault="007520C1" w:rsidP="00E049DB">
            <w:pPr>
              <w:rPr>
                <w:sz w:val="18"/>
                <w:szCs w:val="18"/>
                <w:highlight w:val="yellow"/>
              </w:rPr>
            </w:pPr>
          </w:p>
        </w:tc>
        <w:tc>
          <w:tcPr>
            <w:tcW w:w="6878" w:type="dxa"/>
            <w:gridSpan w:val="8"/>
          </w:tcPr>
          <w:p w14:paraId="73F62AB5" w14:textId="77777777" w:rsidR="007520C1" w:rsidRPr="00E30B5B" w:rsidRDefault="007520C1" w:rsidP="00E049DB">
            <w:pPr>
              <w:jc w:val="center"/>
              <w:rPr>
                <w:sz w:val="18"/>
                <w:szCs w:val="18"/>
                <w:highlight w:val="yellow"/>
              </w:rPr>
            </w:pPr>
            <w:r w:rsidRPr="00E30B5B">
              <w:rPr>
                <w:sz w:val="18"/>
                <w:szCs w:val="18"/>
                <w:highlight w:val="yellow"/>
              </w:rPr>
              <w:t>MJ</w:t>
            </w:r>
          </w:p>
        </w:tc>
      </w:tr>
      <w:tr w:rsidR="007520C1" w:rsidRPr="004244E0" w14:paraId="1B9A64CD" w14:textId="77777777" w:rsidTr="00DB02C4">
        <w:trPr>
          <w:trHeight w:val="58"/>
        </w:trPr>
        <w:tc>
          <w:tcPr>
            <w:tcW w:w="1298" w:type="dxa"/>
            <w:vMerge/>
          </w:tcPr>
          <w:p w14:paraId="0DBBB957" w14:textId="77777777" w:rsidR="007520C1" w:rsidRPr="00E30B5B" w:rsidRDefault="007520C1" w:rsidP="00E049DB">
            <w:pPr>
              <w:rPr>
                <w:sz w:val="18"/>
                <w:szCs w:val="18"/>
                <w:highlight w:val="yellow"/>
              </w:rPr>
            </w:pPr>
          </w:p>
        </w:tc>
        <w:tc>
          <w:tcPr>
            <w:tcW w:w="933" w:type="dxa"/>
            <w:vMerge/>
          </w:tcPr>
          <w:p w14:paraId="75C1EC9C" w14:textId="77777777" w:rsidR="007520C1" w:rsidRPr="00E30B5B" w:rsidRDefault="007520C1" w:rsidP="00E049DB">
            <w:pPr>
              <w:rPr>
                <w:sz w:val="18"/>
                <w:szCs w:val="18"/>
                <w:highlight w:val="yellow"/>
              </w:rPr>
            </w:pPr>
          </w:p>
        </w:tc>
        <w:tc>
          <w:tcPr>
            <w:tcW w:w="1726" w:type="dxa"/>
            <w:vMerge/>
          </w:tcPr>
          <w:p w14:paraId="2B9F0ABE" w14:textId="77777777" w:rsidR="007520C1" w:rsidRPr="00E30B5B" w:rsidRDefault="007520C1" w:rsidP="00E049DB">
            <w:pPr>
              <w:rPr>
                <w:sz w:val="18"/>
                <w:szCs w:val="18"/>
                <w:highlight w:val="yellow"/>
              </w:rPr>
            </w:pPr>
          </w:p>
        </w:tc>
        <w:tc>
          <w:tcPr>
            <w:tcW w:w="4106" w:type="dxa"/>
            <w:gridSpan w:val="3"/>
          </w:tcPr>
          <w:p w14:paraId="0F6BEE6C" w14:textId="77777777" w:rsidR="007520C1" w:rsidRPr="00E30B5B" w:rsidRDefault="007520C1" w:rsidP="00E049DB">
            <w:pPr>
              <w:jc w:val="center"/>
              <w:rPr>
                <w:sz w:val="18"/>
                <w:szCs w:val="18"/>
                <w:highlight w:val="yellow"/>
              </w:rPr>
            </w:pPr>
            <w:r w:rsidRPr="00E30B5B">
              <w:rPr>
                <w:sz w:val="18"/>
                <w:szCs w:val="18"/>
                <w:highlight w:val="yellow"/>
              </w:rPr>
              <w:t>Expected</w:t>
            </w:r>
          </w:p>
        </w:tc>
        <w:tc>
          <w:tcPr>
            <w:tcW w:w="2772" w:type="dxa"/>
            <w:gridSpan w:val="5"/>
          </w:tcPr>
          <w:p w14:paraId="3AA65F14" w14:textId="77777777" w:rsidR="007520C1" w:rsidRPr="00E30B5B" w:rsidRDefault="007520C1" w:rsidP="00E049DB">
            <w:pPr>
              <w:jc w:val="center"/>
              <w:rPr>
                <w:sz w:val="18"/>
                <w:szCs w:val="18"/>
                <w:highlight w:val="yellow"/>
              </w:rPr>
            </w:pPr>
            <w:r w:rsidRPr="00E30B5B">
              <w:rPr>
                <w:sz w:val="18"/>
                <w:szCs w:val="18"/>
                <w:highlight w:val="yellow"/>
              </w:rPr>
              <w:t>Achieved</w:t>
            </w:r>
          </w:p>
        </w:tc>
      </w:tr>
      <w:tr w:rsidR="007520C1" w:rsidRPr="004244E0" w14:paraId="5C5099F4" w14:textId="77777777" w:rsidTr="00DB02C4">
        <w:trPr>
          <w:trHeight w:val="98"/>
        </w:trPr>
        <w:tc>
          <w:tcPr>
            <w:tcW w:w="1298" w:type="dxa"/>
            <w:vMerge/>
          </w:tcPr>
          <w:p w14:paraId="0D19BA7B" w14:textId="77777777" w:rsidR="007520C1" w:rsidRPr="00E30B5B" w:rsidRDefault="007520C1" w:rsidP="00E049DB">
            <w:pPr>
              <w:rPr>
                <w:sz w:val="18"/>
                <w:szCs w:val="18"/>
                <w:highlight w:val="yellow"/>
              </w:rPr>
            </w:pPr>
          </w:p>
        </w:tc>
        <w:tc>
          <w:tcPr>
            <w:tcW w:w="933" w:type="dxa"/>
            <w:vMerge/>
          </w:tcPr>
          <w:p w14:paraId="2F13C864" w14:textId="77777777" w:rsidR="007520C1" w:rsidRPr="00E30B5B" w:rsidRDefault="007520C1" w:rsidP="00E049DB">
            <w:pPr>
              <w:rPr>
                <w:sz w:val="18"/>
                <w:szCs w:val="18"/>
                <w:highlight w:val="yellow"/>
              </w:rPr>
            </w:pPr>
          </w:p>
        </w:tc>
        <w:tc>
          <w:tcPr>
            <w:tcW w:w="1726" w:type="dxa"/>
            <w:vMerge/>
          </w:tcPr>
          <w:p w14:paraId="24FB77A6" w14:textId="77777777" w:rsidR="007520C1" w:rsidRPr="00E30B5B" w:rsidRDefault="007520C1" w:rsidP="00E049DB">
            <w:pPr>
              <w:rPr>
                <w:sz w:val="18"/>
                <w:szCs w:val="18"/>
                <w:highlight w:val="yellow"/>
              </w:rPr>
            </w:pPr>
          </w:p>
        </w:tc>
        <w:tc>
          <w:tcPr>
            <w:tcW w:w="2782" w:type="dxa"/>
            <w:gridSpan w:val="2"/>
          </w:tcPr>
          <w:p w14:paraId="5E29F48B" w14:textId="77777777" w:rsidR="007520C1" w:rsidRPr="00E30B5B" w:rsidRDefault="007520C1" w:rsidP="00E049DB">
            <w:pPr>
              <w:jc w:val="center"/>
              <w:rPr>
                <w:sz w:val="18"/>
                <w:szCs w:val="18"/>
                <w:highlight w:val="yellow"/>
              </w:rPr>
            </w:pPr>
            <w:r w:rsidRPr="00E30B5B">
              <w:rPr>
                <w:sz w:val="18"/>
                <w:szCs w:val="18"/>
                <w:highlight w:val="yellow"/>
              </w:rPr>
              <w:t>PIF stage</w:t>
            </w:r>
          </w:p>
        </w:tc>
        <w:tc>
          <w:tcPr>
            <w:tcW w:w="1485" w:type="dxa"/>
            <w:gridSpan w:val="3"/>
          </w:tcPr>
          <w:p w14:paraId="0A975F27" w14:textId="77777777" w:rsidR="007520C1" w:rsidRPr="00E30B5B" w:rsidRDefault="007520C1" w:rsidP="00E049DB">
            <w:pPr>
              <w:jc w:val="center"/>
              <w:rPr>
                <w:sz w:val="18"/>
                <w:szCs w:val="18"/>
                <w:highlight w:val="yellow"/>
              </w:rPr>
            </w:pPr>
            <w:r w:rsidRPr="00E30B5B">
              <w:rPr>
                <w:sz w:val="18"/>
                <w:szCs w:val="18"/>
                <w:highlight w:val="yellow"/>
              </w:rPr>
              <w:t>Endorsement</w:t>
            </w:r>
          </w:p>
        </w:tc>
        <w:tc>
          <w:tcPr>
            <w:tcW w:w="1324" w:type="dxa"/>
            <w:gridSpan w:val="2"/>
          </w:tcPr>
          <w:p w14:paraId="6C2A08CC" w14:textId="77777777" w:rsidR="007520C1" w:rsidRPr="00E30B5B" w:rsidRDefault="007520C1" w:rsidP="00E049DB">
            <w:pPr>
              <w:jc w:val="center"/>
              <w:rPr>
                <w:sz w:val="18"/>
                <w:szCs w:val="18"/>
                <w:highlight w:val="yellow"/>
              </w:rPr>
            </w:pPr>
            <w:r w:rsidRPr="00E30B5B">
              <w:rPr>
                <w:sz w:val="18"/>
                <w:szCs w:val="18"/>
                <w:highlight w:val="yellow"/>
              </w:rPr>
              <w:t>MTR</w:t>
            </w:r>
          </w:p>
        </w:tc>
        <w:tc>
          <w:tcPr>
            <w:tcW w:w="1287" w:type="dxa"/>
          </w:tcPr>
          <w:p w14:paraId="23A06BB4" w14:textId="77777777" w:rsidR="007520C1" w:rsidRPr="00E30B5B" w:rsidRDefault="007520C1" w:rsidP="00E049DB">
            <w:pPr>
              <w:jc w:val="center"/>
              <w:rPr>
                <w:sz w:val="18"/>
                <w:szCs w:val="18"/>
                <w:highlight w:val="yellow"/>
              </w:rPr>
            </w:pPr>
            <w:r w:rsidRPr="00E30B5B">
              <w:rPr>
                <w:sz w:val="18"/>
                <w:szCs w:val="18"/>
                <w:highlight w:val="yellow"/>
              </w:rPr>
              <w:t>TE</w:t>
            </w:r>
          </w:p>
        </w:tc>
      </w:tr>
      <w:tr w:rsidR="007520C1" w:rsidRPr="004244E0" w14:paraId="35A9A0D1" w14:textId="77777777" w:rsidTr="00DB02C4">
        <w:tc>
          <w:tcPr>
            <w:tcW w:w="1298" w:type="dxa"/>
          </w:tcPr>
          <w:p w14:paraId="1B2EFD02" w14:textId="77777777" w:rsidR="007520C1" w:rsidRPr="00E30B5B" w:rsidRDefault="007520C1" w:rsidP="00E049DB">
            <w:pPr>
              <w:jc w:val="right"/>
              <w:rPr>
                <w:sz w:val="18"/>
                <w:szCs w:val="18"/>
                <w:highlight w:val="yellow"/>
              </w:rPr>
            </w:pPr>
          </w:p>
        </w:tc>
        <w:tc>
          <w:tcPr>
            <w:tcW w:w="933" w:type="dxa"/>
          </w:tcPr>
          <w:p w14:paraId="74AD079F" w14:textId="77777777" w:rsidR="007520C1" w:rsidRPr="00E30B5B" w:rsidRDefault="007520C1" w:rsidP="00E049DB">
            <w:pPr>
              <w:jc w:val="right"/>
              <w:rPr>
                <w:sz w:val="18"/>
                <w:szCs w:val="18"/>
                <w:highlight w:val="yellow"/>
              </w:rPr>
            </w:pPr>
          </w:p>
        </w:tc>
        <w:tc>
          <w:tcPr>
            <w:tcW w:w="1726" w:type="dxa"/>
          </w:tcPr>
          <w:p w14:paraId="2D0A4D0F" w14:textId="77777777" w:rsidR="007520C1" w:rsidRPr="00E30B5B" w:rsidRDefault="007520C1" w:rsidP="00E049DB">
            <w:pPr>
              <w:jc w:val="right"/>
              <w:rPr>
                <w:sz w:val="18"/>
                <w:szCs w:val="18"/>
                <w:highlight w:val="yellow"/>
              </w:rPr>
            </w:pPr>
          </w:p>
        </w:tc>
        <w:tc>
          <w:tcPr>
            <w:tcW w:w="2782" w:type="dxa"/>
            <w:gridSpan w:val="2"/>
          </w:tcPr>
          <w:p w14:paraId="7F3AFA4F" w14:textId="77777777" w:rsidR="007520C1" w:rsidRPr="00E30B5B" w:rsidRDefault="007520C1" w:rsidP="00E049DB">
            <w:pPr>
              <w:jc w:val="right"/>
              <w:rPr>
                <w:sz w:val="18"/>
                <w:szCs w:val="18"/>
                <w:highlight w:val="yellow"/>
              </w:rPr>
            </w:pPr>
            <w:r w:rsidRPr="00E30B5B">
              <w:rPr>
                <w:i/>
                <w:color w:val="000000"/>
                <w:sz w:val="18"/>
                <w:szCs w:val="18"/>
                <w:highlight w:val="yellow"/>
              </w:rPr>
              <w:fldChar w:fldCharType="begin">
                <w:ffData>
                  <w:name w:val="F_GEB_BD_target"/>
                  <w:enabled/>
                  <w:calcOnExit w:val="0"/>
                  <w:textInput/>
                </w:ffData>
              </w:fldChar>
            </w:r>
            <w:r w:rsidRPr="00E30B5B">
              <w:rPr>
                <w:i/>
                <w:color w:val="000000"/>
                <w:sz w:val="18"/>
                <w:szCs w:val="18"/>
                <w:highlight w:val="yellow"/>
              </w:rPr>
              <w:instrText xml:space="preserve"> FORMTEXT </w:instrText>
            </w:r>
            <w:r w:rsidRPr="00E30B5B">
              <w:rPr>
                <w:i/>
                <w:color w:val="000000"/>
                <w:sz w:val="18"/>
                <w:szCs w:val="18"/>
                <w:highlight w:val="yellow"/>
              </w:rPr>
            </w:r>
            <w:r w:rsidRPr="00E30B5B">
              <w:rPr>
                <w:i/>
                <w:color w:val="000000"/>
                <w:sz w:val="18"/>
                <w:szCs w:val="18"/>
                <w:highlight w:val="yellow"/>
              </w:rPr>
              <w:fldChar w:fldCharType="separate"/>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fldChar w:fldCharType="end"/>
            </w:r>
          </w:p>
        </w:tc>
        <w:tc>
          <w:tcPr>
            <w:tcW w:w="1485" w:type="dxa"/>
            <w:gridSpan w:val="3"/>
          </w:tcPr>
          <w:p w14:paraId="14A19BF1" w14:textId="77777777" w:rsidR="007520C1" w:rsidRPr="00E30B5B" w:rsidRDefault="007520C1" w:rsidP="00E049DB">
            <w:pPr>
              <w:jc w:val="right"/>
              <w:rPr>
                <w:sz w:val="18"/>
                <w:szCs w:val="18"/>
                <w:highlight w:val="yellow"/>
              </w:rPr>
            </w:pPr>
            <w:r w:rsidRPr="00E30B5B">
              <w:rPr>
                <w:i/>
                <w:color w:val="000000"/>
                <w:sz w:val="18"/>
                <w:szCs w:val="18"/>
                <w:highlight w:val="yellow"/>
              </w:rPr>
              <w:fldChar w:fldCharType="begin">
                <w:ffData>
                  <w:name w:val="F_GEB_BD_target"/>
                  <w:enabled/>
                  <w:calcOnExit w:val="0"/>
                  <w:textInput/>
                </w:ffData>
              </w:fldChar>
            </w:r>
            <w:r w:rsidRPr="00E30B5B">
              <w:rPr>
                <w:i/>
                <w:color w:val="000000"/>
                <w:sz w:val="18"/>
                <w:szCs w:val="18"/>
                <w:highlight w:val="yellow"/>
              </w:rPr>
              <w:instrText xml:space="preserve"> FORMTEXT </w:instrText>
            </w:r>
            <w:r w:rsidRPr="00E30B5B">
              <w:rPr>
                <w:i/>
                <w:color w:val="000000"/>
                <w:sz w:val="18"/>
                <w:szCs w:val="18"/>
                <w:highlight w:val="yellow"/>
              </w:rPr>
            </w:r>
            <w:r w:rsidRPr="00E30B5B">
              <w:rPr>
                <w:i/>
                <w:color w:val="000000"/>
                <w:sz w:val="18"/>
                <w:szCs w:val="18"/>
                <w:highlight w:val="yellow"/>
              </w:rPr>
              <w:fldChar w:fldCharType="separate"/>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fldChar w:fldCharType="end"/>
            </w:r>
          </w:p>
        </w:tc>
        <w:tc>
          <w:tcPr>
            <w:tcW w:w="1324" w:type="dxa"/>
            <w:gridSpan w:val="2"/>
          </w:tcPr>
          <w:p w14:paraId="16E82E1E" w14:textId="77777777" w:rsidR="007520C1" w:rsidRPr="00E30B5B" w:rsidRDefault="007520C1" w:rsidP="00E049DB">
            <w:pPr>
              <w:jc w:val="right"/>
              <w:rPr>
                <w:sz w:val="18"/>
                <w:szCs w:val="18"/>
                <w:highlight w:val="yellow"/>
              </w:rPr>
            </w:pPr>
            <w:r w:rsidRPr="00E30B5B">
              <w:rPr>
                <w:i/>
                <w:color w:val="000000"/>
                <w:sz w:val="18"/>
                <w:szCs w:val="18"/>
                <w:highlight w:val="yellow"/>
              </w:rPr>
              <w:fldChar w:fldCharType="begin">
                <w:ffData>
                  <w:name w:val="F_GEB_BD_target"/>
                  <w:enabled/>
                  <w:calcOnExit w:val="0"/>
                  <w:textInput/>
                </w:ffData>
              </w:fldChar>
            </w:r>
            <w:r w:rsidRPr="00E30B5B">
              <w:rPr>
                <w:i/>
                <w:color w:val="000000"/>
                <w:sz w:val="18"/>
                <w:szCs w:val="18"/>
                <w:highlight w:val="yellow"/>
              </w:rPr>
              <w:instrText xml:space="preserve"> FORMTEXT </w:instrText>
            </w:r>
            <w:r w:rsidRPr="00E30B5B">
              <w:rPr>
                <w:i/>
                <w:color w:val="000000"/>
                <w:sz w:val="18"/>
                <w:szCs w:val="18"/>
                <w:highlight w:val="yellow"/>
              </w:rPr>
            </w:r>
            <w:r w:rsidRPr="00E30B5B">
              <w:rPr>
                <w:i/>
                <w:color w:val="000000"/>
                <w:sz w:val="18"/>
                <w:szCs w:val="18"/>
                <w:highlight w:val="yellow"/>
              </w:rPr>
              <w:fldChar w:fldCharType="separate"/>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fldChar w:fldCharType="end"/>
            </w:r>
          </w:p>
        </w:tc>
        <w:tc>
          <w:tcPr>
            <w:tcW w:w="1287" w:type="dxa"/>
          </w:tcPr>
          <w:p w14:paraId="643DE5E6" w14:textId="77777777" w:rsidR="007520C1" w:rsidRPr="00E30B5B" w:rsidRDefault="007520C1" w:rsidP="00E049DB">
            <w:pPr>
              <w:jc w:val="right"/>
              <w:rPr>
                <w:sz w:val="18"/>
                <w:szCs w:val="18"/>
                <w:highlight w:val="yellow"/>
              </w:rPr>
            </w:pPr>
            <w:r w:rsidRPr="00E30B5B">
              <w:rPr>
                <w:i/>
                <w:color w:val="000000"/>
                <w:sz w:val="18"/>
                <w:szCs w:val="18"/>
                <w:highlight w:val="yellow"/>
              </w:rPr>
              <w:fldChar w:fldCharType="begin">
                <w:ffData>
                  <w:name w:val="F_GEB_BD_target"/>
                  <w:enabled/>
                  <w:calcOnExit w:val="0"/>
                  <w:textInput/>
                </w:ffData>
              </w:fldChar>
            </w:r>
            <w:r w:rsidRPr="00E30B5B">
              <w:rPr>
                <w:i/>
                <w:color w:val="000000"/>
                <w:sz w:val="18"/>
                <w:szCs w:val="18"/>
                <w:highlight w:val="yellow"/>
              </w:rPr>
              <w:instrText xml:space="preserve"> FORMTEXT </w:instrText>
            </w:r>
            <w:r w:rsidRPr="00E30B5B">
              <w:rPr>
                <w:i/>
                <w:color w:val="000000"/>
                <w:sz w:val="18"/>
                <w:szCs w:val="18"/>
                <w:highlight w:val="yellow"/>
              </w:rPr>
            </w:r>
            <w:r w:rsidRPr="00E30B5B">
              <w:rPr>
                <w:i/>
                <w:color w:val="000000"/>
                <w:sz w:val="18"/>
                <w:szCs w:val="18"/>
                <w:highlight w:val="yellow"/>
              </w:rPr>
              <w:fldChar w:fldCharType="separate"/>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fldChar w:fldCharType="end"/>
            </w:r>
          </w:p>
        </w:tc>
      </w:tr>
      <w:tr w:rsidR="007520C1" w:rsidRPr="004244E0" w14:paraId="671C6FDC" w14:textId="77777777" w:rsidTr="00DB02C4">
        <w:tc>
          <w:tcPr>
            <w:tcW w:w="1298" w:type="dxa"/>
          </w:tcPr>
          <w:p w14:paraId="478B39DB" w14:textId="77777777" w:rsidR="007520C1" w:rsidRPr="00E30B5B" w:rsidRDefault="007520C1" w:rsidP="00E049DB">
            <w:pPr>
              <w:jc w:val="right"/>
              <w:rPr>
                <w:sz w:val="18"/>
                <w:szCs w:val="18"/>
                <w:highlight w:val="yellow"/>
              </w:rPr>
            </w:pPr>
          </w:p>
        </w:tc>
        <w:tc>
          <w:tcPr>
            <w:tcW w:w="933" w:type="dxa"/>
          </w:tcPr>
          <w:p w14:paraId="43376EC9" w14:textId="77777777" w:rsidR="007520C1" w:rsidRPr="00E30B5B" w:rsidRDefault="007520C1" w:rsidP="00E049DB">
            <w:pPr>
              <w:jc w:val="right"/>
              <w:rPr>
                <w:sz w:val="18"/>
                <w:szCs w:val="18"/>
                <w:highlight w:val="yellow"/>
              </w:rPr>
            </w:pPr>
          </w:p>
        </w:tc>
        <w:tc>
          <w:tcPr>
            <w:tcW w:w="1726" w:type="dxa"/>
          </w:tcPr>
          <w:p w14:paraId="40A1E1E5" w14:textId="77777777" w:rsidR="007520C1" w:rsidRPr="00E30B5B" w:rsidRDefault="007520C1" w:rsidP="00E049DB">
            <w:pPr>
              <w:jc w:val="right"/>
              <w:rPr>
                <w:sz w:val="18"/>
                <w:szCs w:val="18"/>
                <w:highlight w:val="yellow"/>
              </w:rPr>
            </w:pPr>
          </w:p>
        </w:tc>
        <w:tc>
          <w:tcPr>
            <w:tcW w:w="2782" w:type="dxa"/>
            <w:gridSpan w:val="2"/>
          </w:tcPr>
          <w:p w14:paraId="1D63F5F8" w14:textId="77777777" w:rsidR="007520C1" w:rsidRPr="00E30B5B" w:rsidRDefault="007520C1" w:rsidP="00E049DB">
            <w:pPr>
              <w:jc w:val="right"/>
              <w:rPr>
                <w:sz w:val="18"/>
                <w:szCs w:val="18"/>
                <w:highlight w:val="yellow"/>
              </w:rPr>
            </w:pPr>
            <w:r w:rsidRPr="00E30B5B">
              <w:rPr>
                <w:i/>
                <w:color w:val="000000"/>
                <w:sz w:val="18"/>
                <w:szCs w:val="18"/>
                <w:highlight w:val="yellow"/>
              </w:rPr>
              <w:fldChar w:fldCharType="begin">
                <w:ffData>
                  <w:name w:val="F_GEB_BD_target"/>
                  <w:enabled/>
                  <w:calcOnExit w:val="0"/>
                  <w:textInput/>
                </w:ffData>
              </w:fldChar>
            </w:r>
            <w:r w:rsidRPr="00E30B5B">
              <w:rPr>
                <w:i/>
                <w:color w:val="000000"/>
                <w:sz w:val="18"/>
                <w:szCs w:val="18"/>
                <w:highlight w:val="yellow"/>
              </w:rPr>
              <w:instrText xml:space="preserve"> FORMTEXT </w:instrText>
            </w:r>
            <w:r w:rsidRPr="00E30B5B">
              <w:rPr>
                <w:i/>
                <w:color w:val="000000"/>
                <w:sz w:val="18"/>
                <w:szCs w:val="18"/>
                <w:highlight w:val="yellow"/>
              </w:rPr>
            </w:r>
            <w:r w:rsidRPr="00E30B5B">
              <w:rPr>
                <w:i/>
                <w:color w:val="000000"/>
                <w:sz w:val="18"/>
                <w:szCs w:val="18"/>
                <w:highlight w:val="yellow"/>
              </w:rPr>
              <w:fldChar w:fldCharType="separate"/>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fldChar w:fldCharType="end"/>
            </w:r>
          </w:p>
        </w:tc>
        <w:tc>
          <w:tcPr>
            <w:tcW w:w="1485" w:type="dxa"/>
            <w:gridSpan w:val="3"/>
          </w:tcPr>
          <w:p w14:paraId="1EDFF487" w14:textId="77777777" w:rsidR="007520C1" w:rsidRPr="00E30B5B" w:rsidRDefault="007520C1" w:rsidP="00E049DB">
            <w:pPr>
              <w:jc w:val="right"/>
              <w:rPr>
                <w:sz w:val="18"/>
                <w:szCs w:val="18"/>
                <w:highlight w:val="yellow"/>
              </w:rPr>
            </w:pPr>
            <w:r w:rsidRPr="00E30B5B">
              <w:rPr>
                <w:i/>
                <w:color w:val="000000"/>
                <w:sz w:val="18"/>
                <w:szCs w:val="18"/>
                <w:highlight w:val="yellow"/>
              </w:rPr>
              <w:fldChar w:fldCharType="begin">
                <w:ffData>
                  <w:name w:val="F_GEB_BD_target"/>
                  <w:enabled/>
                  <w:calcOnExit w:val="0"/>
                  <w:textInput/>
                </w:ffData>
              </w:fldChar>
            </w:r>
            <w:r w:rsidRPr="00E30B5B">
              <w:rPr>
                <w:i/>
                <w:color w:val="000000"/>
                <w:sz w:val="18"/>
                <w:szCs w:val="18"/>
                <w:highlight w:val="yellow"/>
              </w:rPr>
              <w:instrText xml:space="preserve"> FORMTEXT </w:instrText>
            </w:r>
            <w:r w:rsidRPr="00E30B5B">
              <w:rPr>
                <w:i/>
                <w:color w:val="000000"/>
                <w:sz w:val="18"/>
                <w:szCs w:val="18"/>
                <w:highlight w:val="yellow"/>
              </w:rPr>
            </w:r>
            <w:r w:rsidRPr="00E30B5B">
              <w:rPr>
                <w:i/>
                <w:color w:val="000000"/>
                <w:sz w:val="18"/>
                <w:szCs w:val="18"/>
                <w:highlight w:val="yellow"/>
              </w:rPr>
              <w:fldChar w:fldCharType="separate"/>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fldChar w:fldCharType="end"/>
            </w:r>
          </w:p>
        </w:tc>
        <w:tc>
          <w:tcPr>
            <w:tcW w:w="1324" w:type="dxa"/>
            <w:gridSpan w:val="2"/>
          </w:tcPr>
          <w:p w14:paraId="10B492D2" w14:textId="77777777" w:rsidR="007520C1" w:rsidRPr="00E30B5B" w:rsidRDefault="007520C1" w:rsidP="00E049DB">
            <w:pPr>
              <w:jc w:val="right"/>
              <w:rPr>
                <w:sz w:val="18"/>
                <w:szCs w:val="18"/>
                <w:highlight w:val="yellow"/>
              </w:rPr>
            </w:pPr>
            <w:r w:rsidRPr="00E30B5B">
              <w:rPr>
                <w:i/>
                <w:color w:val="000000"/>
                <w:sz w:val="18"/>
                <w:szCs w:val="18"/>
                <w:highlight w:val="yellow"/>
              </w:rPr>
              <w:fldChar w:fldCharType="begin">
                <w:ffData>
                  <w:name w:val="F_GEB_BD_target"/>
                  <w:enabled/>
                  <w:calcOnExit w:val="0"/>
                  <w:textInput/>
                </w:ffData>
              </w:fldChar>
            </w:r>
            <w:r w:rsidRPr="00E30B5B">
              <w:rPr>
                <w:i/>
                <w:color w:val="000000"/>
                <w:sz w:val="18"/>
                <w:szCs w:val="18"/>
                <w:highlight w:val="yellow"/>
              </w:rPr>
              <w:instrText xml:space="preserve"> FORMTEXT </w:instrText>
            </w:r>
            <w:r w:rsidRPr="00E30B5B">
              <w:rPr>
                <w:i/>
                <w:color w:val="000000"/>
                <w:sz w:val="18"/>
                <w:szCs w:val="18"/>
                <w:highlight w:val="yellow"/>
              </w:rPr>
            </w:r>
            <w:r w:rsidRPr="00E30B5B">
              <w:rPr>
                <w:i/>
                <w:color w:val="000000"/>
                <w:sz w:val="18"/>
                <w:szCs w:val="18"/>
                <w:highlight w:val="yellow"/>
              </w:rPr>
              <w:fldChar w:fldCharType="separate"/>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fldChar w:fldCharType="end"/>
            </w:r>
          </w:p>
        </w:tc>
        <w:tc>
          <w:tcPr>
            <w:tcW w:w="1287" w:type="dxa"/>
          </w:tcPr>
          <w:p w14:paraId="7A714978" w14:textId="77777777" w:rsidR="007520C1" w:rsidRPr="00E30B5B" w:rsidRDefault="007520C1" w:rsidP="00E049DB">
            <w:pPr>
              <w:jc w:val="right"/>
              <w:rPr>
                <w:sz w:val="18"/>
                <w:szCs w:val="18"/>
                <w:highlight w:val="yellow"/>
              </w:rPr>
            </w:pPr>
            <w:r w:rsidRPr="00E30B5B">
              <w:rPr>
                <w:i/>
                <w:color w:val="000000"/>
                <w:sz w:val="18"/>
                <w:szCs w:val="18"/>
                <w:highlight w:val="yellow"/>
              </w:rPr>
              <w:fldChar w:fldCharType="begin">
                <w:ffData>
                  <w:name w:val="F_GEB_BD_target"/>
                  <w:enabled/>
                  <w:calcOnExit w:val="0"/>
                  <w:textInput/>
                </w:ffData>
              </w:fldChar>
            </w:r>
            <w:r w:rsidRPr="00E30B5B">
              <w:rPr>
                <w:i/>
                <w:color w:val="000000"/>
                <w:sz w:val="18"/>
                <w:szCs w:val="18"/>
                <w:highlight w:val="yellow"/>
              </w:rPr>
              <w:instrText xml:space="preserve"> FORMTEXT </w:instrText>
            </w:r>
            <w:r w:rsidRPr="00E30B5B">
              <w:rPr>
                <w:i/>
                <w:color w:val="000000"/>
                <w:sz w:val="18"/>
                <w:szCs w:val="18"/>
                <w:highlight w:val="yellow"/>
              </w:rPr>
            </w:r>
            <w:r w:rsidRPr="00E30B5B">
              <w:rPr>
                <w:i/>
                <w:color w:val="000000"/>
                <w:sz w:val="18"/>
                <w:szCs w:val="18"/>
                <w:highlight w:val="yellow"/>
              </w:rPr>
              <w:fldChar w:fldCharType="separate"/>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fldChar w:fldCharType="end"/>
            </w:r>
          </w:p>
        </w:tc>
      </w:tr>
      <w:tr w:rsidR="007520C1" w:rsidRPr="004244E0" w14:paraId="0F39B80F" w14:textId="77777777" w:rsidTr="00DB02C4">
        <w:tc>
          <w:tcPr>
            <w:tcW w:w="1298" w:type="dxa"/>
            <w:shd w:val="clear" w:color="auto" w:fill="BFBFBF" w:themeFill="background1" w:themeFillShade="BF"/>
          </w:tcPr>
          <w:p w14:paraId="48FC4115" w14:textId="77777777" w:rsidR="007520C1" w:rsidRPr="00E30B5B" w:rsidRDefault="007520C1" w:rsidP="00E049DB">
            <w:pPr>
              <w:rPr>
                <w:sz w:val="18"/>
                <w:szCs w:val="18"/>
                <w:highlight w:val="yellow"/>
              </w:rPr>
            </w:pPr>
            <w:r w:rsidRPr="00E30B5B">
              <w:rPr>
                <w:sz w:val="18"/>
                <w:szCs w:val="18"/>
                <w:highlight w:val="yellow"/>
              </w:rPr>
              <w:t>Indicator 6.4</w:t>
            </w:r>
          </w:p>
        </w:tc>
        <w:tc>
          <w:tcPr>
            <w:tcW w:w="6765" w:type="dxa"/>
            <w:gridSpan w:val="5"/>
            <w:shd w:val="clear" w:color="auto" w:fill="BFBFBF" w:themeFill="background1" w:themeFillShade="BF"/>
          </w:tcPr>
          <w:p w14:paraId="1059ADA1" w14:textId="77777777" w:rsidR="007520C1" w:rsidRPr="00E30B5B" w:rsidRDefault="007520C1" w:rsidP="00E049DB">
            <w:pPr>
              <w:rPr>
                <w:sz w:val="18"/>
                <w:szCs w:val="18"/>
                <w:highlight w:val="yellow"/>
              </w:rPr>
            </w:pPr>
            <w:r w:rsidRPr="00E30B5B">
              <w:rPr>
                <w:sz w:val="18"/>
                <w:szCs w:val="18"/>
                <w:highlight w:val="yellow"/>
              </w:rPr>
              <w:t>Increase in installed renewable energy capacity per technology</w:t>
            </w:r>
          </w:p>
        </w:tc>
        <w:tc>
          <w:tcPr>
            <w:tcW w:w="2772" w:type="dxa"/>
            <w:gridSpan w:val="5"/>
            <w:shd w:val="clear" w:color="auto" w:fill="BFBFBF" w:themeFill="background1" w:themeFillShade="BF"/>
          </w:tcPr>
          <w:p w14:paraId="5B66BBA6" w14:textId="77777777" w:rsidR="007520C1" w:rsidRPr="00E30B5B" w:rsidRDefault="007520C1" w:rsidP="00E049DB">
            <w:pPr>
              <w:jc w:val="right"/>
              <w:rPr>
                <w:sz w:val="18"/>
                <w:szCs w:val="18"/>
                <w:highlight w:val="yellow"/>
              </w:rPr>
            </w:pPr>
            <w:r w:rsidRPr="00E30B5B">
              <w:rPr>
                <w:i/>
                <w:color w:val="000000"/>
                <w:sz w:val="18"/>
                <w:szCs w:val="18"/>
                <w:highlight w:val="yellow"/>
              </w:rPr>
              <w:fldChar w:fldCharType="begin">
                <w:ffData>
                  <w:name w:val="F_GEB_BD_target"/>
                  <w:enabled/>
                  <w:calcOnExit w:val="0"/>
                  <w:textInput/>
                </w:ffData>
              </w:fldChar>
            </w:r>
            <w:r w:rsidRPr="00E30B5B">
              <w:rPr>
                <w:i/>
                <w:color w:val="000000"/>
                <w:sz w:val="18"/>
                <w:szCs w:val="18"/>
                <w:highlight w:val="yellow"/>
              </w:rPr>
              <w:instrText xml:space="preserve"> FORMTEXT </w:instrText>
            </w:r>
            <w:r w:rsidRPr="00E30B5B">
              <w:rPr>
                <w:i/>
                <w:color w:val="000000"/>
                <w:sz w:val="18"/>
                <w:szCs w:val="18"/>
                <w:highlight w:val="yellow"/>
              </w:rPr>
            </w:r>
            <w:r w:rsidRPr="00E30B5B">
              <w:rPr>
                <w:i/>
                <w:color w:val="000000"/>
                <w:sz w:val="18"/>
                <w:szCs w:val="18"/>
                <w:highlight w:val="yellow"/>
              </w:rPr>
              <w:fldChar w:fldCharType="separate"/>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fldChar w:fldCharType="end"/>
            </w:r>
          </w:p>
        </w:tc>
      </w:tr>
      <w:tr w:rsidR="007520C1" w:rsidRPr="004244E0" w14:paraId="7198C906" w14:textId="77777777" w:rsidTr="00DB02C4">
        <w:trPr>
          <w:trHeight w:val="125"/>
        </w:trPr>
        <w:tc>
          <w:tcPr>
            <w:tcW w:w="1298" w:type="dxa"/>
            <w:vMerge w:val="restart"/>
          </w:tcPr>
          <w:p w14:paraId="3456C861" w14:textId="77777777" w:rsidR="007520C1" w:rsidRPr="00E30B5B" w:rsidRDefault="007520C1" w:rsidP="00E049DB">
            <w:pPr>
              <w:rPr>
                <w:sz w:val="18"/>
                <w:szCs w:val="18"/>
                <w:highlight w:val="yellow"/>
              </w:rPr>
            </w:pPr>
          </w:p>
        </w:tc>
        <w:tc>
          <w:tcPr>
            <w:tcW w:w="933" w:type="dxa"/>
            <w:vMerge w:val="restart"/>
          </w:tcPr>
          <w:p w14:paraId="0051FC2C" w14:textId="77777777" w:rsidR="007520C1" w:rsidRPr="00E30B5B" w:rsidRDefault="007520C1" w:rsidP="00E049DB">
            <w:pPr>
              <w:rPr>
                <w:sz w:val="18"/>
                <w:szCs w:val="18"/>
                <w:highlight w:val="yellow"/>
              </w:rPr>
            </w:pPr>
          </w:p>
        </w:tc>
        <w:tc>
          <w:tcPr>
            <w:tcW w:w="1726" w:type="dxa"/>
            <w:vMerge w:val="restart"/>
            <w:vAlign w:val="center"/>
          </w:tcPr>
          <w:p w14:paraId="6443C9AC" w14:textId="77777777" w:rsidR="007520C1" w:rsidRPr="00E30B5B" w:rsidRDefault="007520C1" w:rsidP="00E049DB">
            <w:pPr>
              <w:rPr>
                <w:sz w:val="18"/>
                <w:szCs w:val="18"/>
                <w:highlight w:val="yellow"/>
              </w:rPr>
            </w:pPr>
            <w:r w:rsidRPr="00E30B5B">
              <w:rPr>
                <w:sz w:val="18"/>
                <w:szCs w:val="18"/>
                <w:highlight w:val="yellow"/>
              </w:rPr>
              <w:t>Technology</w:t>
            </w:r>
          </w:p>
        </w:tc>
        <w:tc>
          <w:tcPr>
            <w:tcW w:w="6878" w:type="dxa"/>
            <w:gridSpan w:val="8"/>
          </w:tcPr>
          <w:p w14:paraId="179CB357" w14:textId="77777777" w:rsidR="007520C1" w:rsidRPr="00E30B5B" w:rsidRDefault="007520C1" w:rsidP="00E049DB">
            <w:pPr>
              <w:jc w:val="center"/>
              <w:rPr>
                <w:sz w:val="18"/>
                <w:szCs w:val="18"/>
                <w:highlight w:val="yellow"/>
              </w:rPr>
            </w:pPr>
            <w:r w:rsidRPr="00E30B5B">
              <w:rPr>
                <w:sz w:val="18"/>
                <w:szCs w:val="18"/>
                <w:highlight w:val="yellow"/>
              </w:rPr>
              <w:t>Capacity (MW)</w:t>
            </w:r>
          </w:p>
        </w:tc>
      </w:tr>
      <w:tr w:rsidR="007520C1" w:rsidRPr="004244E0" w14:paraId="15DE9C46" w14:textId="77777777" w:rsidTr="00DB02C4">
        <w:trPr>
          <w:trHeight w:val="58"/>
        </w:trPr>
        <w:tc>
          <w:tcPr>
            <w:tcW w:w="1298" w:type="dxa"/>
            <w:vMerge/>
          </w:tcPr>
          <w:p w14:paraId="0D64E2C5" w14:textId="77777777" w:rsidR="007520C1" w:rsidRPr="00E30B5B" w:rsidRDefault="007520C1" w:rsidP="00E049DB">
            <w:pPr>
              <w:rPr>
                <w:sz w:val="18"/>
                <w:szCs w:val="18"/>
                <w:highlight w:val="yellow"/>
              </w:rPr>
            </w:pPr>
          </w:p>
        </w:tc>
        <w:tc>
          <w:tcPr>
            <w:tcW w:w="933" w:type="dxa"/>
            <w:vMerge/>
          </w:tcPr>
          <w:p w14:paraId="725C4F25" w14:textId="77777777" w:rsidR="007520C1" w:rsidRPr="00E30B5B" w:rsidRDefault="007520C1" w:rsidP="00E049DB">
            <w:pPr>
              <w:rPr>
                <w:sz w:val="18"/>
                <w:szCs w:val="18"/>
                <w:highlight w:val="yellow"/>
              </w:rPr>
            </w:pPr>
          </w:p>
        </w:tc>
        <w:tc>
          <w:tcPr>
            <w:tcW w:w="1726" w:type="dxa"/>
            <w:vMerge/>
          </w:tcPr>
          <w:p w14:paraId="5A552564" w14:textId="77777777" w:rsidR="007520C1" w:rsidRPr="00E30B5B" w:rsidRDefault="007520C1" w:rsidP="00E049DB">
            <w:pPr>
              <w:rPr>
                <w:sz w:val="18"/>
                <w:szCs w:val="18"/>
                <w:highlight w:val="yellow"/>
              </w:rPr>
            </w:pPr>
          </w:p>
        </w:tc>
        <w:tc>
          <w:tcPr>
            <w:tcW w:w="4106" w:type="dxa"/>
            <w:gridSpan w:val="3"/>
          </w:tcPr>
          <w:p w14:paraId="0F885D59" w14:textId="77777777" w:rsidR="007520C1" w:rsidRPr="00E30B5B" w:rsidRDefault="007520C1" w:rsidP="00E049DB">
            <w:pPr>
              <w:jc w:val="center"/>
              <w:rPr>
                <w:sz w:val="18"/>
                <w:szCs w:val="18"/>
                <w:highlight w:val="yellow"/>
              </w:rPr>
            </w:pPr>
            <w:r w:rsidRPr="00E30B5B">
              <w:rPr>
                <w:sz w:val="18"/>
                <w:szCs w:val="18"/>
                <w:highlight w:val="yellow"/>
              </w:rPr>
              <w:t>Expected</w:t>
            </w:r>
          </w:p>
        </w:tc>
        <w:tc>
          <w:tcPr>
            <w:tcW w:w="2772" w:type="dxa"/>
            <w:gridSpan w:val="5"/>
          </w:tcPr>
          <w:p w14:paraId="7D71E802" w14:textId="77777777" w:rsidR="007520C1" w:rsidRPr="00E30B5B" w:rsidRDefault="007520C1" w:rsidP="00E049DB">
            <w:pPr>
              <w:jc w:val="center"/>
              <w:rPr>
                <w:sz w:val="18"/>
                <w:szCs w:val="18"/>
                <w:highlight w:val="yellow"/>
              </w:rPr>
            </w:pPr>
            <w:r w:rsidRPr="00E30B5B">
              <w:rPr>
                <w:sz w:val="18"/>
                <w:szCs w:val="18"/>
                <w:highlight w:val="yellow"/>
              </w:rPr>
              <w:t>Achieved</w:t>
            </w:r>
          </w:p>
        </w:tc>
      </w:tr>
      <w:tr w:rsidR="007520C1" w:rsidRPr="004244E0" w14:paraId="22562CFA" w14:textId="77777777" w:rsidTr="00DB02C4">
        <w:trPr>
          <w:trHeight w:val="89"/>
        </w:trPr>
        <w:tc>
          <w:tcPr>
            <w:tcW w:w="1298" w:type="dxa"/>
            <w:vMerge/>
          </w:tcPr>
          <w:p w14:paraId="181DF389" w14:textId="77777777" w:rsidR="007520C1" w:rsidRPr="00E30B5B" w:rsidRDefault="007520C1" w:rsidP="00E049DB">
            <w:pPr>
              <w:rPr>
                <w:sz w:val="18"/>
                <w:szCs w:val="18"/>
                <w:highlight w:val="yellow"/>
              </w:rPr>
            </w:pPr>
          </w:p>
        </w:tc>
        <w:tc>
          <w:tcPr>
            <w:tcW w:w="933" w:type="dxa"/>
            <w:vMerge/>
          </w:tcPr>
          <w:p w14:paraId="50149AE5" w14:textId="77777777" w:rsidR="007520C1" w:rsidRPr="00E30B5B" w:rsidRDefault="007520C1" w:rsidP="00E049DB">
            <w:pPr>
              <w:rPr>
                <w:sz w:val="18"/>
                <w:szCs w:val="18"/>
                <w:highlight w:val="yellow"/>
              </w:rPr>
            </w:pPr>
          </w:p>
        </w:tc>
        <w:tc>
          <w:tcPr>
            <w:tcW w:w="1726" w:type="dxa"/>
            <w:vMerge/>
          </w:tcPr>
          <w:p w14:paraId="41873203" w14:textId="77777777" w:rsidR="007520C1" w:rsidRPr="00E30B5B" w:rsidRDefault="007520C1" w:rsidP="00E049DB">
            <w:pPr>
              <w:rPr>
                <w:sz w:val="18"/>
                <w:szCs w:val="18"/>
                <w:highlight w:val="yellow"/>
              </w:rPr>
            </w:pPr>
          </w:p>
        </w:tc>
        <w:tc>
          <w:tcPr>
            <w:tcW w:w="2782" w:type="dxa"/>
            <w:gridSpan w:val="2"/>
          </w:tcPr>
          <w:p w14:paraId="7A96695D" w14:textId="77777777" w:rsidR="007520C1" w:rsidRPr="00E30B5B" w:rsidRDefault="007520C1" w:rsidP="00E049DB">
            <w:pPr>
              <w:jc w:val="center"/>
              <w:rPr>
                <w:sz w:val="18"/>
                <w:szCs w:val="18"/>
                <w:highlight w:val="yellow"/>
              </w:rPr>
            </w:pPr>
            <w:r w:rsidRPr="00E30B5B">
              <w:rPr>
                <w:sz w:val="18"/>
                <w:szCs w:val="18"/>
                <w:highlight w:val="yellow"/>
              </w:rPr>
              <w:t>PIF stage</w:t>
            </w:r>
          </w:p>
        </w:tc>
        <w:tc>
          <w:tcPr>
            <w:tcW w:w="1485" w:type="dxa"/>
            <w:gridSpan w:val="3"/>
          </w:tcPr>
          <w:p w14:paraId="7755118A" w14:textId="77777777" w:rsidR="007520C1" w:rsidRPr="00E30B5B" w:rsidRDefault="007520C1" w:rsidP="00E049DB">
            <w:pPr>
              <w:jc w:val="center"/>
              <w:rPr>
                <w:sz w:val="18"/>
                <w:szCs w:val="18"/>
                <w:highlight w:val="yellow"/>
              </w:rPr>
            </w:pPr>
            <w:r w:rsidRPr="00E30B5B">
              <w:rPr>
                <w:sz w:val="18"/>
                <w:szCs w:val="18"/>
                <w:highlight w:val="yellow"/>
              </w:rPr>
              <w:t>Endorsement</w:t>
            </w:r>
          </w:p>
        </w:tc>
        <w:tc>
          <w:tcPr>
            <w:tcW w:w="1324" w:type="dxa"/>
            <w:gridSpan w:val="2"/>
          </w:tcPr>
          <w:p w14:paraId="158EC59C" w14:textId="77777777" w:rsidR="007520C1" w:rsidRPr="00E30B5B" w:rsidRDefault="007520C1" w:rsidP="00E049DB">
            <w:pPr>
              <w:jc w:val="center"/>
              <w:rPr>
                <w:sz w:val="18"/>
                <w:szCs w:val="18"/>
                <w:highlight w:val="yellow"/>
              </w:rPr>
            </w:pPr>
            <w:r w:rsidRPr="00E30B5B">
              <w:rPr>
                <w:sz w:val="18"/>
                <w:szCs w:val="18"/>
                <w:highlight w:val="yellow"/>
              </w:rPr>
              <w:t>MTR</w:t>
            </w:r>
          </w:p>
        </w:tc>
        <w:tc>
          <w:tcPr>
            <w:tcW w:w="1287" w:type="dxa"/>
          </w:tcPr>
          <w:p w14:paraId="213FA97F" w14:textId="77777777" w:rsidR="007520C1" w:rsidRPr="00E30B5B" w:rsidRDefault="007520C1" w:rsidP="00E049DB">
            <w:pPr>
              <w:jc w:val="center"/>
              <w:rPr>
                <w:sz w:val="18"/>
                <w:szCs w:val="18"/>
                <w:highlight w:val="yellow"/>
              </w:rPr>
            </w:pPr>
            <w:r w:rsidRPr="00E30B5B">
              <w:rPr>
                <w:sz w:val="18"/>
                <w:szCs w:val="18"/>
                <w:highlight w:val="yellow"/>
              </w:rPr>
              <w:t>TE</w:t>
            </w:r>
          </w:p>
        </w:tc>
      </w:tr>
      <w:tr w:rsidR="007520C1" w:rsidRPr="004244E0" w14:paraId="3F2EDBCE" w14:textId="77777777" w:rsidTr="00DB02C4">
        <w:tc>
          <w:tcPr>
            <w:tcW w:w="1298" w:type="dxa"/>
          </w:tcPr>
          <w:p w14:paraId="5F08435E" w14:textId="77777777" w:rsidR="007520C1" w:rsidRPr="00E30B5B" w:rsidRDefault="007520C1" w:rsidP="00E049DB">
            <w:pPr>
              <w:jc w:val="right"/>
              <w:rPr>
                <w:sz w:val="18"/>
                <w:szCs w:val="18"/>
                <w:highlight w:val="yellow"/>
              </w:rPr>
            </w:pPr>
          </w:p>
        </w:tc>
        <w:tc>
          <w:tcPr>
            <w:tcW w:w="933" w:type="dxa"/>
          </w:tcPr>
          <w:p w14:paraId="5B0D511A" w14:textId="77777777" w:rsidR="007520C1" w:rsidRPr="00E30B5B" w:rsidRDefault="007520C1" w:rsidP="00E049DB">
            <w:pPr>
              <w:jc w:val="right"/>
              <w:rPr>
                <w:sz w:val="18"/>
                <w:szCs w:val="18"/>
                <w:highlight w:val="yellow"/>
              </w:rPr>
            </w:pPr>
          </w:p>
        </w:tc>
        <w:tc>
          <w:tcPr>
            <w:tcW w:w="1726" w:type="dxa"/>
          </w:tcPr>
          <w:p w14:paraId="28ED3820" w14:textId="77777777" w:rsidR="007520C1" w:rsidRPr="00E30B5B" w:rsidRDefault="007520C1" w:rsidP="00E049DB">
            <w:pPr>
              <w:jc w:val="right"/>
              <w:rPr>
                <w:sz w:val="18"/>
                <w:szCs w:val="18"/>
                <w:highlight w:val="yellow"/>
              </w:rPr>
            </w:pPr>
            <w:r w:rsidRPr="00E30B5B">
              <w:rPr>
                <w:color w:val="000000"/>
                <w:sz w:val="18"/>
                <w:szCs w:val="18"/>
                <w:highlight w:val="yellow"/>
              </w:rPr>
              <w:fldChar w:fldCharType="begin">
                <w:ffData>
                  <w:name w:val=""/>
                  <w:enabled/>
                  <w:calcOnExit w:val="0"/>
                  <w:ddList>
                    <w:listEntry w:val="(select)"/>
                    <w:listEntry w:val="Biomass"/>
                    <w:listEntry w:val="Geothermal"/>
                    <w:listEntry w:val="Ocean energy"/>
                    <w:listEntry w:val="Small Hydropower"/>
                    <w:listEntry w:val="Solar Photovoltaic"/>
                    <w:listEntry w:val="Solar Thermal"/>
                    <w:listEntry w:val="Wind Power"/>
                    <w:listEntry w:val="Energy Storage"/>
                  </w:ddList>
                </w:ffData>
              </w:fldChar>
            </w:r>
            <w:r w:rsidRPr="00E30B5B">
              <w:rPr>
                <w:color w:val="000000"/>
                <w:sz w:val="18"/>
                <w:szCs w:val="18"/>
                <w:highlight w:val="yellow"/>
              </w:rPr>
              <w:instrText xml:space="preserve"> FORMDROPDOWN </w:instrText>
            </w:r>
            <w:r w:rsidR="000C73F8">
              <w:rPr>
                <w:color w:val="000000"/>
                <w:sz w:val="18"/>
                <w:szCs w:val="18"/>
                <w:highlight w:val="yellow"/>
              </w:rPr>
            </w:r>
            <w:r w:rsidR="000C73F8">
              <w:rPr>
                <w:color w:val="000000"/>
                <w:sz w:val="18"/>
                <w:szCs w:val="18"/>
                <w:highlight w:val="yellow"/>
              </w:rPr>
              <w:fldChar w:fldCharType="separate"/>
            </w:r>
            <w:r w:rsidRPr="00E30B5B">
              <w:rPr>
                <w:color w:val="000000"/>
                <w:sz w:val="18"/>
                <w:szCs w:val="18"/>
                <w:highlight w:val="yellow"/>
              </w:rPr>
              <w:fldChar w:fldCharType="end"/>
            </w:r>
            <w:r w:rsidRPr="00E30B5B">
              <w:rPr>
                <w:color w:val="000000"/>
                <w:sz w:val="18"/>
                <w:szCs w:val="18"/>
                <w:highlight w:val="yellow"/>
              </w:rPr>
              <w:t xml:space="preserve"> </w:t>
            </w:r>
          </w:p>
        </w:tc>
        <w:tc>
          <w:tcPr>
            <w:tcW w:w="2782" w:type="dxa"/>
            <w:gridSpan w:val="2"/>
          </w:tcPr>
          <w:p w14:paraId="2F8EE9C2" w14:textId="77777777" w:rsidR="007520C1" w:rsidRPr="00E30B5B" w:rsidRDefault="007520C1" w:rsidP="00E049DB">
            <w:pPr>
              <w:jc w:val="right"/>
              <w:rPr>
                <w:sz w:val="18"/>
                <w:szCs w:val="18"/>
                <w:highlight w:val="yellow"/>
              </w:rPr>
            </w:pPr>
            <w:r w:rsidRPr="00E30B5B">
              <w:rPr>
                <w:i/>
                <w:color w:val="000000"/>
                <w:sz w:val="18"/>
                <w:szCs w:val="18"/>
                <w:highlight w:val="yellow"/>
              </w:rPr>
              <w:fldChar w:fldCharType="begin">
                <w:ffData>
                  <w:name w:val="F_GEB_BD_target"/>
                  <w:enabled/>
                  <w:calcOnExit w:val="0"/>
                  <w:textInput/>
                </w:ffData>
              </w:fldChar>
            </w:r>
            <w:r w:rsidRPr="00E30B5B">
              <w:rPr>
                <w:i/>
                <w:color w:val="000000"/>
                <w:sz w:val="18"/>
                <w:szCs w:val="18"/>
                <w:highlight w:val="yellow"/>
              </w:rPr>
              <w:instrText xml:space="preserve"> FORMTEXT </w:instrText>
            </w:r>
            <w:r w:rsidRPr="00E30B5B">
              <w:rPr>
                <w:i/>
                <w:color w:val="000000"/>
                <w:sz w:val="18"/>
                <w:szCs w:val="18"/>
                <w:highlight w:val="yellow"/>
              </w:rPr>
            </w:r>
            <w:r w:rsidRPr="00E30B5B">
              <w:rPr>
                <w:i/>
                <w:color w:val="000000"/>
                <w:sz w:val="18"/>
                <w:szCs w:val="18"/>
                <w:highlight w:val="yellow"/>
              </w:rPr>
              <w:fldChar w:fldCharType="separate"/>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fldChar w:fldCharType="end"/>
            </w:r>
          </w:p>
        </w:tc>
        <w:tc>
          <w:tcPr>
            <w:tcW w:w="1485" w:type="dxa"/>
            <w:gridSpan w:val="3"/>
          </w:tcPr>
          <w:p w14:paraId="18AA91EB" w14:textId="77777777" w:rsidR="007520C1" w:rsidRPr="00E30B5B" w:rsidRDefault="007520C1" w:rsidP="00E049DB">
            <w:pPr>
              <w:jc w:val="right"/>
              <w:rPr>
                <w:sz w:val="18"/>
                <w:szCs w:val="18"/>
                <w:highlight w:val="yellow"/>
              </w:rPr>
            </w:pPr>
            <w:r w:rsidRPr="00E30B5B">
              <w:rPr>
                <w:i/>
                <w:color w:val="000000"/>
                <w:sz w:val="18"/>
                <w:szCs w:val="18"/>
                <w:highlight w:val="yellow"/>
              </w:rPr>
              <w:fldChar w:fldCharType="begin">
                <w:ffData>
                  <w:name w:val="F_GEB_BD_target"/>
                  <w:enabled/>
                  <w:calcOnExit w:val="0"/>
                  <w:textInput/>
                </w:ffData>
              </w:fldChar>
            </w:r>
            <w:r w:rsidRPr="00E30B5B">
              <w:rPr>
                <w:i/>
                <w:color w:val="000000"/>
                <w:sz w:val="18"/>
                <w:szCs w:val="18"/>
                <w:highlight w:val="yellow"/>
              </w:rPr>
              <w:instrText xml:space="preserve"> FORMTEXT </w:instrText>
            </w:r>
            <w:r w:rsidRPr="00E30B5B">
              <w:rPr>
                <w:i/>
                <w:color w:val="000000"/>
                <w:sz w:val="18"/>
                <w:szCs w:val="18"/>
                <w:highlight w:val="yellow"/>
              </w:rPr>
            </w:r>
            <w:r w:rsidRPr="00E30B5B">
              <w:rPr>
                <w:i/>
                <w:color w:val="000000"/>
                <w:sz w:val="18"/>
                <w:szCs w:val="18"/>
                <w:highlight w:val="yellow"/>
              </w:rPr>
              <w:fldChar w:fldCharType="separate"/>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fldChar w:fldCharType="end"/>
            </w:r>
          </w:p>
        </w:tc>
        <w:tc>
          <w:tcPr>
            <w:tcW w:w="1324" w:type="dxa"/>
            <w:gridSpan w:val="2"/>
          </w:tcPr>
          <w:p w14:paraId="62ACA110" w14:textId="77777777" w:rsidR="007520C1" w:rsidRPr="00E30B5B" w:rsidRDefault="007520C1" w:rsidP="00E049DB">
            <w:pPr>
              <w:jc w:val="right"/>
              <w:rPr>
                <w:sz w:val="18"/>
                <w:szCs w:val="18"/>
                <w:highlight w:val="yellow"/>
              </w:rPr>
            </w:pPr>
            <w:r w:rsidRPr="00E30B5B">
              <w:rPr>
                <w:i/>
                <w:color w:val="000000"/>
                <w:sz w:val="18"/>
                <w:szCs w:val="18"/>
                <w:highlight w:val="yellow"/>
              </w:rPr>
              <w:fldChar w:fldCharType="begin">
                <w:ffData>
                  <w:name w:val="F_GEB_BD_target"/>
                  <w:enabled/>
                  <w:calcOnExit w:val="0"/>
                  <w:textInput/>
                </w:ffData>
              </w:fldChar>
            </w:r>
            <w:r w:rsidRPr="00E30B5B">
              <w:rPr>
                <w:i/>
                <w:color w:val="000000"/>
                <w:sz w:val="18"/>
                <w:szCs w:val="18"/>
                <w:highlight w:val="yellow"/>
              </w:rPr>
              <w:instrText xml:space="preserve"> FORMTEXT </w:instrText>
            </w:r>
            <w:r w:rsidRPr="00E30B5B">
              <w:rPr>
                <w:i/>
                <w:color w:val="000000"/>
                <w:sz w:val="18"/>
                <w:szCs w:val="18"/>
                <w:highlight w:val="yellow"/>
              </w:rPr>
            </w:r>
            <w:r w:rsidRPr="00E30B5B">
              <w:rPr>
                <w:i/>
                <w:color w:val="000000"/>
                <w:sz w:val="18"/>
                <w:szCs w:val="18"/>
                <w:highlight w:val="yellow"/>
              </w:rPr>
              <w:fldChar w:fldCharType="separate"/>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fldChar w:fldCharType="end"/>
            </w:r>
          </w:p>
        </w:tc>
        <w:tc>
          <w:tcPr>
            <w:tcW w:w="1287" w:type="dxa"/>
          </w:tcPr>
          <w:p w14:paraId="13ABC19A" w14:textId="77777777" w:rsidR="007520C1" w:rsidRPr="00E30B5B" w:rsidRDefault="007520C1" w:rsidP="00E049DB">
            <w:pPr>
              <w:jc w:val="right"/>
              <w:rPr>
                <w:sz w:val="18"/>
                <w:szCs w:val="18"/>
                <w:highlight w:val="yellow"/>
              </w:rPr>
            </w:pPr>
            <w:r w:rsidRPr="00E30B5B">
              <w:rPr>
                <w:i/>
                <w:color w:val="000000"/>
                <w:sz w:val="18"/>
                <w:szCs w:val="18"/>
                <w:highlight w:val="yellow"/>
              </w:rPr>
              <w:fldChar w:fldCharType="begin">
                <w:ffData>
                  <w:name w:val="F_GEB_BD_target"/>
                  <w:enabled/>
                  <w:calcOnExit w:val="0"/>
                  <w:textInput/>
                </w:ffData>
              </w:fldChar>
            </w:r>
            <w:r w:rsidRPr="00E30B5B">
              <w:rPr>
                <w:i/>
                <w:color w:val="000000"/>
                <w:sz w:val="18"/>
                <w:szCs w:val="18"/>
                <w:highlight w:val="yellow"/>
              </w:rPr>
              <w:instrText xml:space="preserve"> FORMTEXT </w:instrText>
            </w:r>
            <w:r w:rsidRPr="00E30B5B">
              <w:rPr>
                <w:i/>
                <w:color w:val="000000"/>
                <w:sz w:val="18"/>
                <w:szCs w:val="18"/>
                <w:highlight w:val="yellow"/>
              </w:rPr>
            </w:r>
            <w:r w:rsidRPr="00E30B5B">
              <w:rPr>
                <w:i/>
                <w:color w:val="000000"/>
                <w:sz w:val="18"/>
                <w:szCs w:val="18"/>
                <w:highlight w:val="yellow"/>
              </w:rPr>
              <w:fldChar w:fldCharType="separate"/>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fldChar w:fldCharType="end"/>
            </w:r>
          </w:p>
        </w:tc>
      </w:tr>
      <w:tr w:rsidR="007520C1" w:rsidRPr="004244E0" w14:paraId="355D9B5C" w14:textId="77777777" w:rsidTr="00DB02C4">
        <w:tc>
          <w:tcPr>
            <w:tcW w:w="1298" w:type="dxa"/>
          </w:tcPr>
          <w:p w14:paraId="03B343C8" w14:textId="77777777" w:rsidR="007520C1" w:rsidRPr="00E30B5B" w:rsidRDefault="007520C1" w:rsidP="00E049DB">
            <w:pPr>
              <w:jc w:val="right"/>
              <w:rPr>
                <w:sz w:val="18"/>
                <w:szCs w:val="18"/>
                <w:highlight w:val="yellow"/>
              </w:rPr>
            </w:pPr>
          </w:p>
        </w:tc>
        <w:tc>
          <w:tcPr>
            <w:tcW w:w="933" w:type="dxa"/>
          </w:tcPr>
          <w:p w14:paraId="0F3C103F" w14:textId="77777777" w:rsidR="007520C1" w:rsidRPr="00E30B5B" w:rsidRDefault="007520C1" w:rsidP="00E049DB">
            <w:pPr>
              <w:jc w:val="right"/>
              <w:rPr>
                <w:sz w:val="18"/>
                <w:szCs w:val="18"/>
                <w:highlight w:val="yellow"/>
              </w:rPr>
            </w:pPr>
          </w:p>
        </w:tc>
        <w:tc>
          <w:tcPr>
            <w:tcW w:w="1726" w:type="dxa"/>
          </w:tcPr>
          <w:p w14:paraId="0E480A65" w14:textId="77777777" w:rsidR="007520C1" w:rsidRPr="00E30B5B" w:rsidRDefault="007520C1" w:rsidP="00E049DB">
            <w:pPr>
              <w:jc w:val="right"/>
              <w:rPr>
                <w:sz w:val="18"/>
                <w:szCs w:val="18"/>
                <w:highlight w:val="yellow"/>
              </w:rPr>
            </w:pPr>
            <w:r w:rsidRPr="00E30B5B">
              <w:rPr>
                <w:color w:val="000000"/>
                <w:sz w:val="18"/>
                <w:szCs w:val="18"/>
                <w:highlight w:val="yellow"/>
              </w:rPr>
              <w:fldChar w:fldCharType="begin">
                <w:ffData>
                  <w:name w:val=""/>
                  <w:enabled/>
                  <w:calcOnExit w:val="0"/>
                  <w:ddList>
                    <w:listEntry w:val="(select)"/>
                    <w:listEntry w:val="Biomass"/>
                    <w:listEntry w:val="Geothermal"/>
                    <w:listEntry w:val="Ocean energy"/>
                    <w:listEntry w:val="Small Hydropower"/>
                    <w:listEntry w:val="Solar Photovoltaic"/>
                    <w:listEntry w:val="Solar Thermal"/>
                    <w:listEntry w:val="Wind Power"/>
                    <w:listEntry w:val="Energy Storage"/>
                  </w:ddList>
                </w:ffData>
              </w:fldChar>
            </w:r>
            <w:r w:rsidRPr="00E30B5B">
              <w:rPr>
                <w:color w:val="000000"/>
                <w:sz w:val="18"/>
                <w:szCs w:val="18"/>
                <w:highlight w:val="yellow"/>
              </w:rPr>
              <w:instrText xml:space="preserve"> FORMDROPDOWN </w:instrText>
            </w:r>
            <w:r w:rsidR="000C73F8">
              <w:rPr>
                <w:color w:val="000000"/>
                <w:sz w:val="18"/>
                <w:szCs w:val="18"/>
                <w:highlight w:val="yellow"/>
              </w:rPr>
            </w:r>
            <w:r w:rsidR="000C73F8">
              <w:rPr>
                <w:color w:val="000000"/>
                <w:sz w:val="18"/>
                <w:szCs w:val="18"/>
                <w:highlight w:val="yellow"/>
              </w:rPr>
              <w:fldChar w:fldCharType="separate"/>
            </w:r>
            <w:r w:rsidRPr="00E30B5B">
              <w:rPr>
                <w:color w:val="000000"/>
                <w:sz w:val="18"/>
                <w:szCs w:val="18"/>
                <w:highlight w:val="yellow"/>
              </w:rPr>
              <w:fldChar w:fldCharType="end"/>
            </w:r>
          </w:p>
        </w:tc>
        <w:tc>
          <w:tcPr>
            <w:tcW w:w="2782" w:type="dxa"/>
            <w:gridSpan w:val="2"/>
          </w:tcPr>
          <w:p w14:paraId="7CC37F6F" w14:textId="77777777" w:rsidR="007520C1" w:rsidRPr="00E30B5B" w:rsidRDefault="007520C1" w:rsidP="00E049DB">
            <w:pPr>
              <w:jc w:val="right"/>
              <w:rPr>
                <w:sz w:val="18"/>
                <w:szCs w:val="18"/>
                <w:highlight w:val="yellow"/>
              </w:rPr>
            </w:pPr>
            <w:r w:rsidRPr="00E30B5B">
              <w:rPr>
                <w:i/>
                <w:color w:val="000000"/>
                <w:sz w:val="18"/>
                <w:szCs w:val="18"/>
                <w:highlight w:val="yellow"/>
              </w:rPr>
              <w:fldChar w:fldCharType="begin">
                <w:ffData>
                  <w:name w:val="F_GEB_BD_target"/>
                  <w:enabled/>
                  <w:calcOnExit w:val="0"/>
                  <w:textInput/>
                </w:ffData>
              </w:fldChar>
            </w:r>
            <w:r w:rsidRPr="00E30B5B">
              <w:rPr>
                <w:i/>
                <w:color w:val="000000"/>
                <w:sz w:val="18"/>
                <w:szCs w:val="18"/>
                <w:highlight w:val="yellow"/>
              </w:rPr>
              <w:instrText xml:space="preserve"> FORMTEXT </w:instrText>
            </w:r>
            <w:r w:rsidRPr="00E30B5B">
              <w:rPr>
                <w:i/>
                <w:color w:val="000000"/>
                <w:sz w:val="18"/>
                <w:szCs w:val="18"/>
                <w:highlight w:val="yellow"/>
              </w:rPr>
            </w:r>
            <w:r w:rsidRPr="00E30B5B">
              <w:rPr>
                <w:i/>
                <w:color w:val="000000"/>
                <w:sz w:val="18"/>
                <w:szCs w:val="18"/>
                <w:highlight w:val="yellow"/>
              </w:rPr>
              <w:fldChar w:fldCharType="separate"/>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fldChar w:fldCharType="end"/>
            </w:r>
          </w:p>
        </w:tc>
        <w:tc>
          <w:tcPr>
            <w:tcW w:w="1485" w:type="dxa"/>
            <w:gridSpan w:val="3"/>
          </w:tcPr>
          <w:p w14:paraId="72FCAEBF" w14:textId="77777777" w:rsidR="007520C1" w:rsidRPr="00E30B5B" w:rsidRDefault="007520C1" w:rsidP="00E049DB">
            <w:pPr>
              <w:jc w:val="right"/>
              <w:rPr>
                <w:sz w:val="18"/>
                <w:szCs w:val="18"/>
                <w:highlight w:val="yellow"/>
              </w:rPr>
            </w:pPr>
            <w:r w:rsidRPr="00E30B5B">
              <w:rPr>
                <w:i/>
                <w:color w:val="000000"/>
                <w:sz w:val="18"/>
                <w:szCs w:val="18"/>
                <w:highlight w:val="yellow"/>
              </w:rPr>
              <w:fldChar w:fldCharType="begin">
                <w:ffData>
                  <w:name w:val="F_GEB_BD_target"/>
                  <w:enabled/>
                  <w:calcOnExit w:val="0"/>
                  <w:textInput/>
                </w:ffData>
              </w:fldChar>
            </w:r>
            <w:r w:rsidRPr="00E30B5B">
              <w:rPr>
                <w:i/>
                <w:color w:val="000000"/>
                <w:sz w:val="18"/>
                <w:szCs w:val="18"/>
                <w:highlight w:val="yellow"/>
              </w:rPr>
              <w:instrText xml:space="preserve"> FORMTEXT </w:instrText>
            </w:r>
            <w:r w:rsidRPr="00E30B5B">
              <w:rPr>
                <w:i/>
                <w:color w:val="000000"/>
                <w:sz w:val="18"/>
                <w:szCs w:val="18"/>
                <w:highlight w:val="yellow"/>
              </w:rPr>
            </w:r>
            <w:r w:rsidRPr="00E30B5B">
              <w:rPr>
                <w:i/>
                <w:color w:val="000000"/>
                <w:sz w:val="18"/>
                <w:szCs w:val="18"/>
                <w:highlight w:val="yellow"/>
              </w:rPr>
              <w:fldChar w:fldCharType="separate"/>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fldChar w:fldCharType="end"/>
            </w:r>
          </w:p>
        </w:tc>
        <w:tc>
          <w:tcPr>
            <w:tcW w:w="1324" w:type="dxa"/>
            <w:gridSpan w:val="2"/>
          </w:tcPr>
          <w:p w14:paraId="62C8C51A" w14:textId="77777777" w:rsidR="007520C1" w:rsidRPr="00E30B5B" w:rsidRDefault="007520C1" w:rsidP="00E049DB">
            <w:pPr>
              <w:jc w:val="right"/>
              <w:rPr>
                <w:sz w:val="18"/>
                <w:szCs w:val="18"/>
                <w:highlight w:val="yellow"/>
              </w:rPr>
            </w:pPr>
            <w:r w:rsidRPr="00E30B5B">
              <w:rPr>
                <w:i/>
                <w:color w:val="000000"/>
                <w:sz w:val="18"/>
                <w:szCs w:val="18"/>
                <w:highlight w:val="yellow"/>
              </w:rPr>
              <w:fldChar w:fldCharType="begin">
                <w:ffData>
                  <w:name w:val="F_GEB_BD_target"/>
                  <w:enabled/>
                  <w:calcOnExit w:val="0"/>
                  <w:textInput/>
                </w:ffData>
              </w:fldChar>
            </w:r>
            <w:r w:rsidRPr="00E30B5B">
              <w:rPr>
                <w:i/>
                <w:color w:val="000000"/>
                <w:sz w:val="18"/>
                <w:szCs w:val="18"/>
                <w:highlight w:val="yellow"/>
              </w:rPr>
              <w:instrText xml:space="preserve"> FORMTEXT </w:instrText>
            </w:r>
            <w:r w:rsidRPr="00E30B5B">
              <w:rPr>
                <w:i/>
                <w:color w:val="000000"/>
                <w:sz w:val="18"/>
                <w:szCs w:val="18"/>
                <w:highlight w:val="yellow"/>
              </w:rPr>
            </w:r>
            <w:r w:rsidRPr="00E30B5B">
              <w:rPr>
                <w:i/>
                <w:color w:val="000000"/>
                <w:sz w:val="18"/>
                <w:szCs w:val="18"/>
                <w:highlight w:val="yellow"/>
              </w:rPr>
              <w:fldChar w:fldCharType="separate"/>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fldChar w:fldCharType="end"/>
            </w:r>
          </w:p>
        </w:tc>
        <w:tc>
          <w:tcPr>
            <w:tcW w:w="1287" w:type="dxa"/>
          </w:tcPr>
          <w:p w14:paraId="4B3E700E" w14:textId="77777777" w:rsidR="007520C1" w:rsidRPr="00E30B5B" w:rsidRDefault="007520C1" w:rsidP="00E049DB">
            <w:pPr>
              <w:jc w:val="right"/>
              <w:rPr>
                <w:sz w:val="18"/>
                <w:szCs w:val="18"/>
                <w:highlight w:val="yellow"/>
              </w:rPr>
            </w:pPr>
            <w:r w:rsidRPr="00E30B5B">
              <w:rPr>
                <w:i/>
                <w:color w:val="000000"/>
                <w:sz w:val="18"/>
                <w:szCs w:val="18"/>
                <w:highlight w:val="yellow"/>
              </w:rPr>
              <w:fldChar w:fldCharType="begin">
                <w:ffData>
                  <w:name w:val="F_GEB_BD_target"/>
                  <w:enabled/>
                  <w:calcOnExit w:val="0"/>
                  <w:textInput/>
                </w:ffData>
              </w:fldChar>
            </w:r>
            <w:r w:rsidRPr="00E30B5B">
              <w:rPr>
                <w:i/>
                <w:color w:val="000000"/>
                <w:sz w:val="18"/>
                <w:szCs w:val="18"/>
                <w:highlight w:val="yellow"/>
              </w:rPr>
              <w:instrText xml:space="preserve"> FORMTEXT </w:instrText>
            </w:r>
            <w:r w:rsidRPr="00E30B5B">
              <w:rPr>
                <w:i/>
                <w:color w:val="000000"/>
                <w:sz w:val="18"/>
                <w:szCs w:val="18"/>
                <w:highlight w:val="yellow"/>
              </w:rPr>
            </w:r>
            <w:r w:rsidRPr="00E30B5B">
              <w:rPr>
                <w:i/>
                <w:color w:val="000000"/>
                <w:sz w:val="18"/>
                <w:szCs w:val="18"/>
                <w:highlight w:val="yellow"/>
              </w:rPr>
              <w:fldChar w:fldCharType="separate"/>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fldChar w:fldCharType="end"/>
            </w:r>
          </w:p>
        </w:tc>
      </w:tr>
      <w:tr w:rsidR="007520C1" w:rsidRPr="004244E0" w14:paraId="4CFEB4EB" w14:textId="77777777" w:rsidTr="00DB02C4">
        <w:tc>
          <w:tcPr>
            <w:tcW w:w="1298" w:type="dxa"/>
            <w:shd w:val="clear" w:color="auto" w:fill="D9D9D9" w:themeFill="background1" w:themeFillShade="D9"/>
          </w:tcPr>
          <w:p w14:paraId="631DDCD4" w14:textId="77777777" w:rsidR="007520C1" w:rsidRPr="00E30B5B" w:rsidRDefault="007520C1" w:rsidP="00E049DB">
            <w:pPr>
              <w:rPr>
                <w:b/>
                <w:sz w:val="18"/>
                <w:szCs w:val="18"/>
                <w:highlight w:val="yellow"/>
              </w:rPr>
            </w:pPr>
            <w:r w:rsidRPr="00E30B5B">
              <w:rPr>
                <w:b/>
                <w:sz w:val="18"/>
                <w:szCs w:val="18"/>
                <w:highlight w:val="yellow"/>
              </w:rPr>
              <w:t>Core Indicator 7</w:t>
            </w:r>
          </w:p>
        </w:tc>
        <w:tc>
          <w:tcPr>
            <w:tcW w:w="6765" w:type="dxa"/>
            <w:gridSpan w:val="5"/>
            <w:shd w:val="clear" w:color="auto" w:fill="D9D9D9" w:themeFill="background1" w:themeFillShade="D9"/>
          </w:tcPr>
          <w:p w14:paraId="0BADAB01" w14:textId="77777777" w:rsidR="007520C1" w:rsidRPr="00E30B5B" w:rsidRDefault="007520C1" w:rsidP="00E049DB">
            <w:pPr>
              <w:rPr>
                <w:b/>
                <w:sz w:val="18"/>
                <w:szCs w:val="18"/>
                <w:highlight w:val="yellow"/>
              </w:rPr>
            </w:pPr>
            <w:r w:rsidRPr="00E30B5B">
              <w:rPr>
                <w:b/>
                <w:sz w:val="18"/>
                <w:szCs w:val="18"/>
                <w:highlight w:val="yellow"/>
              </w:rPr>
              <w:t>Number of shared water ecosystems (fresh or marine) under new or improved cooperative management</w:t>
            </w:r>
          </w:p>
        </w:tc>
        <w:tc>
          <w:tcPr>
            <w:tcW w:w="2772" w:type="dxa"/>
            <w:gridSpan w:val="5"/>
            <w:shd w:val="clear" w:color="auto" w:fill="D9D9D9" w:themeFill="background1" w:themeFillShade="D9"/>
          </w:tcPr>
          <w:p w14:paraId="2085EDC0" w14:textId="77777777" w:rsidR="007520C1" w:rsidRPr="00E30B5B" w:rsidRDefault="007520C1" w:rsidP="00E049DB">
            <w:pPr>
              <w:jc w:val="right"/>
              <w:rPr>
                <w:b/>
                <w:sz w:val="18"/>
                <w:szCs w:val="18"/>
                <w:highlight w:val="yellow"/>
              </w:rPr>
            </w:pPr>
            <w:r w:rsidRPr="00E30B5B">
              <w:rPr>
                <w:b/>
                <w:i/>
                <w:color w:val="000000"/>
                <w:sz w:val="18"/>
                <w:szCs w:val="18"/>
                <w:highlight w:val="yellow"/>
              </w:rPr>
              <w:fldChar w:fldCharType="begin">
                <w:ffData>
                  <w:name w:val=""/>
                  <w:enabled/>
                  <w:calcOnExit w:val="0"/>
                  <w:textInput>
                    <w:default w:val="(Number)"/>
                  </w:textInput>
                </w:ffData>
              </w:fldChar>
            </w:r>
            <w:r w:rsidRPr="00E30B5B">
              <w:rPr>
                <w:b/>
                <w:i/>
                <w:color w:val="000000"/>
                <w:sz w:val="18"/>
                <w:szCs w:val="18"/>
                <w:highlight w:val="yellow"/>
              </w:rPr>
              <w:instrText xml:space="preserve"> FORMTEXT </w:instrText>
            </w:r>
            <w:r w:rsidRPr="00E30B5B">
              <w:rPr>
                <w:b/>
                <w:i/>
                <w:color w:val="000000"/>
                <w:sz w:val="18"/>
                <w:szCs w:val="18"/>
                <w:highlight w:val="yellow"/>
              </w:rPr>
            </w:r>
            <w:r w:rsidRPr="00E30B5B">
              <w:rPr>
                <w:b/>
                <w:i/>
                <w:color w:val="000000"/>
                <w:sz w:val="18"/>
                <w:szCs w:val="18"/>
                <w:highlight w:val="yellow"/>
              </w:rPr>
              <w:fldChar w:fldCharType="separate"/>
            </w:r>
            <w:r w:rsidRPr="00E30B5B">
              <w:rPr>
                <w:b/>
                <w:i/>
                <w:color w:val="000000"/>
                <w:sz w:val="18"/>
                <w:szCs w:val="18"/>
                <w:highlight w:val="yellow"/>
              </w:rPr>
              <w:t>(Number)</w:t>
            </w:r>
            <w:r w:rsidRPr="00E30B5B">
              <w:rPr>
                <w:b/>
                <w:i/>
                <w:color w:val="000000"/>
                <w:sz w:val="18"/>
                <w:szCs w:val="18"/>
                <w:highlight w:val="yellow"/>
              </w:rPr>
              <w:fldChar w:fldCharType="end"/>
            </w:r>
          </w:p>
        </w:tc>
      </w:tr>
      <w:tr w:rsidR="007520C1" w:rsidRPr="004244E0" w14:paraId="3A2489E5" w14:textId="77777777" w:rsidTr="00DB02C4">
        <w:tc>
          <w:tcPr>
            <w:tcW w:w="1298" w:type="dxa"/>
            <w:shd w:val="clear" w:color="auto" w:fill="BFBFBF" w:themeFill="background1" w:themeFillShade="BF"/>
          </w:tcPr>
          <w:p w14:paraId="626F70DD" w14:textId="77777777" w:rsidR="007520C1" w:rsidRPr="00E30B5B" w:rsidRDefault="007520C1" w:rsidP="00E049DB">
            <w:pPr>
              <w:rPr>
                <w:sz w:val="18"/>
                <w:szCs w:val="18"/>
                <w:highlight w:val="yellow"/>
              </w:rPr>
            </w:pPr>
            <w:r w:rsidRPr="00E30B5B">
              <w:rPr>
                <w:sz w:val="18"/>
                <w:szCs w:val="18"/>
                <w:highlight w:val="yellow"/>
              </w:rPr>
              <w:t>Indicator 7.1</w:t>
            </w:r>
          </w:p>
        </w:tc>
        <w:tc>
          <w:tcPr>
            <w:tcW w:w="6765" w:type="dxa"/>
            <w:gridSpan w:val="5"/>
            <w:shd w:val="clear" w:color="auto" w:fill="BFBFBF" w:themeFill="background1" w:themeFillShade="BF"/>
          </w:tcPr>
          <w:p w14:paraId="6849B1CA" w14:textId="77777777" w:rsidR="007520C1" w:rsidRPr="00E30B5B" w:rsidRDefault="007520C1" w:rsidP="00E049DB">
            <w:pPr>
              <w:rPr>
                <w:sz w:val="18"/>
                <w:szCs w:val="18"/>
                <w:highlight w:val="yellow"/>
              </w:rPr>
            </w:pPr>
            <w:r w:rsidRPr="00E30B5B">
              <w:rPr>
                <w:sz w:val="18"/>
                <w:szCs w:val="18"/>
                <w:highlight w:val="yellow"/>
              </w:rPr>
              <w:t>Level of Transboundary Diagnostic Analysis and Strategic Action Program (TDA/SAP) formulation and implementation</w:t>
            </w:r>
          </w:p>
        </w:tc>
        <w:tc>
          <w:tcPr>
            <w:tcW w:w="2772" w:type="dxa"/>
            <w:gridSpan w:val="5"/>
            <w:shd w:val="clear" w:color="auto" w:fill="BFBFBF" w:themeFill="background1" w:themeFillShade="BF"/>
          </w:tcPr>
          <w:p w14:paraId="6E36749C" w14:textId="77777777" w:rsidR="007520C1" w:rsidRPr="00E30B5B" w:rsidRDefault="007520C1" w:rsidP="00E049DB">
            <w:pPr>
              <w:jc w:val="right"/>
              <w:rPr>
                <w:sz w:val="18"/>
                <w:szCs w:val="18"/>
                <w:highlight w:val="yellow"/>
              </w:rPr>
            </w:pPr>
            <w:r w:rsidRPr="00E30B5B">
              <w:rPr>
                <w:i/>
                <w:color w:val="000000"/>
                <w:sz w:val="18"/>
                <w:szCs w:val="18"/>
                <w:highlight w:val="yellow"/>
              </w:rPr>
              <w:fldChar w:fldCharType="begin">
                <w:ffData>
                  <w:name w:val="F_GEB_BD_target"/>
                  <w:enabled/>
                  <w:calcOnExit w:val="0"/>
                  <w:textInput/>
                </w:ffData>
              </w:fldChar>
            </w:r>
            <w:r w:rsidRPr="00E30B5B">
              <w:rPr>
                <w:i/>
                <w:color w:val="000000"/>
                <w:sz w:val="18"/>
                <w:szCs w:val="18"/>
                <w:highlight w:val="yellow"/>
              </w:rPr>
              <w:instrText xml:space="preserve"> FORMTEXT </w:instrText>
            </w:r>
            <w:r w:rsidRPr="00E30B5B">
              <w:rPr>
                <w:i/>
                <w:color w:val="000000"/>
                <w:sz w:val="18"/>
                <w:szCs w:val="18"/>
                <w:highlight w:val="yellow"/>
              </w:rPr>
            </w:r>
            <w:r w:rsidRPr="00E30B5B">
              <w:rPr>
                <w:i/>
                <w:color w:val="000000"/>
                <w:sz w:val="18"/>
                <w:szCs w:val="18"/>
                <w:highlight w:val="yellow"/>
              </w:rPr>
              <w:fldChar w:fldCharType="separate"/>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fldChar w:fldCharType="end"/>
            </w:r>
          </w:p>
        </w:tc>
      </w:tr>
      <w:tr w:rsidR="007520C1" w:rsidRPr="004244E0" w14:paraId="3304A9DA" w14:textId="77777777" w:rsidTr="00DB02C4">
        <w:trPr>
          <w:trHeight w:val="233"/>
        </w:trPr>
        <w:tc>
          <w:tcPr>
            <w:tcW w:w="1298" w:type="dxa"/>
            <w:vMerge w:val="restart"/>
          </w:tcPr>
          <w:p w14:paraId="26CAEE89" w14:textId="77777777" w:rsidR="007520C1" w:rsidRPr="00E30B5B" w:rsidRDefault="007520C1" w:rsidP="00E049DB">
            <w:pPr>
              <w:rPr>
                <w:sz w:val="18"/>
                <w:szCs w:val="18"/>
                <w:highlight w:val="yellow"/>
              </w:rPr>
            </w:pPr>
          </w:p>
        </w:tc>
        <w:tc>
          <w:tcPr>
            <w:tcW w:w="933" w:type="dxa"/>
            <w:vMerge w:val="restart"/>
          </w:tcPr>
          <w:p w14:paraId="522DB72A" w14:textId="77777777" w:rsidR="007520C1" w:rsidRPr="00E30B5B" w:rsidRDefault="007520C1" w:rsidP="00E049DB">
            <w:pPr>
              <w:rPr>
                <w:sz w:val="18"/>
                <w:szCs w:val="18"/>
                <w:highlight w:val="yellow"/>
              </w:rPr>
            </w:pPr>
          </w:p>
        </w:tc>
        <w:tc>
          <w:tcPr>
            <w:tcW w:w="1726" w:type="dxa"/>
            <w:vMerge w:val="restart"/>
          </w:tcPr>
          <w:p w14:paraId="3ED8A558" w14:textId="77777777" w:rsidR="007520C1" w:rsidRPr="00E30B5B" w:rsidRDefault="007520C1" w:rsidP="00E049DB">
            <w:pPr>
              <w:rPr>
                <w:sz w:val="18"/>
                <w:szCs w:val="18"/>
                <w:highlight w:val="yellow"/>
              </w:rPr>
            </w:pPr>
            <w:r w:rsidRPr="00E30B5B">
              <w:rPr>
                <w:sz w:val="18"/>
                <w:szCs w:val="18"/>
                <w:highlight w:val="yellow"/>
              </w:rPr>
              <w:t>Shared water ecosystem</w:t>
            </w:r>
          </w:p>
        </w:tc>
        <w:tc>
          <w:tcPr>
            <w:tcW w:w="6878" w:type="dxa"/>
            <w:gridSpan w:val="8"/>
          </w:tcPr>
          <w:p w14:paraId="184BE7B4" w14:textId="77777777" w:rsidR="007520C1" w:rsidRPr="00E30B5B" w:rsidRDefault="007520C1" w:rsidP="00E049DB">
            <w:pPr>
              <w:jc w:val="center"/>
              <w:rPr>
                <w:sz w:val="18"/>
                <w:szCs w:val="18"/>
                <w:highlight w:val="yellow"/>
              </w:rPr>
            </w:pPr>
            <w:r w:rsidRPr="00E30B5B">
              <w:rPr>
                <w:sz w:val="18"/>
                <w:szCs w:val="18"/>
                <w:highlight w:val="yellow"/>
              </w:rPr>
              <w:t>Rating (scale 1-4)</w:t>
            </w:r>
          </w:p>
        </w:tc>
      </w:tr>
      <w:tr w:rsidR="007520C1" w:rsidRPr="004244E0" w14:paraId="6959E664" w14:textId="77777777" w:rsidTr="00DB02C4">
        <w:trPr>
          <w:trHeight w:val="197"/>
        </w:trPr>
        <w:tc>
          <w:tcPr>
            <w:tcW w:w="1298" w:type="dxa"/>
            <w:vMerge/>
          </w:tcPr>
          <w:p w14:paraId="54F4D248" w14:textId="77777777" w:rsidR="007520C1" w:rsidRPr="00E30B5B" w:rsidRDefault="007520C1" w:rsidP="00E049DB">
            <w:pPr>
              <w:rPr>
                <w:sz w:val="18"/>
                <w:szCs w:val="18"/>
                <w:highlight w:val="yellow"/>
              </w:rPr>
            </w:pPr>
          </w:p>
        </w:tc>
        <w:tc>
          <w:tcPr>
            <w:tcW w:w="933" w:type="dxa"/>
            <w:vMerge/>
          </w:tcPr>
          <w:p w14:paraId="4F33F5F0" w14:textId="77777777" w:rsidR="007520C1" w:rsidRPr="00E30B5B" w:rsidRDefault="007520C1" w:rsidP="00E049DB">
            <w:pPr>
              <w:rPr>
                <w:sz w:val="18"/>
                <w:szCs w:val="18"/>
                <w:highlight w:val="yellow"/>
              </w:rPr>
            </w:pPr>
          </w:p>
        </w:tc>
        <w:tc>
          <w:tcPr>
            <w:tcW w:w="1726" w:type="dxa"/>
            <w:vMerge/>
          </w:tcPr>
          <w:p w14:paraId="176ED39A" w14:textId="77777777" w:rsidR="007520C1" w:rsidRPr="00E30B5B" w:rsidRDefault="007520C1" w:rsidP="00E049DB">
            <w:pPr>
              <w:rPr>
                <w:sz w:val="18"/>
                <w:szCs w:val="18"/>
                <w:highlight w:val="yellow"/>
              </w:rPr>
            </w:pPr>
          </w:p>
        </w:tc>
        <w:tc>
          <w:tcPr>
            <w:tcW w:w="2782" w:type="dxa"/>
            <w:gridSpan w:val="2"/>
          </w:tcPr>
          <w:p w14:paraId="11B88581" w14:textId="77777777" w:rsidR="007520C1" w:rsidRPr="00E30B5B" w:rsidRDefault="007520C1" w:rsidP="00E049DB">
            <w:pPr>
              <w:jc w:val="center"/>
              <w:rPr>
                <w:sz w:val="18"/>
                <w:szCs w:val="18"/>
                <w:highlight w:val="yellow"/>
              </w:rPr>
            </w:pPr>
            <w:r w:rsidRPr="00E30B5B">
              <w:rPr>
                <w:sz w:val="18"/>
                <w:szCs w:val="18"/>
                <w:highlight w:val="yellow"/>
              </w:rPr>
              <w:t>PIF stage</w:t>
            </w:r>
          </w:p>
        </w:tc>
        <w:tc>
          <w:tcPr>
            <w:tcW w:w="1485" w:type="dxa"/>
            <w:gridSpan w:val="3"/>
          </w:tcPr>
          <w:p w14:paraId="6EE64F12" w14:textId="77777777" w:rsidR="007520C1" w:rsidRPr="00E30B5B" w:rsidRDefault="007520C1" w:rsidP="00E049DB">
            <w:pPr>
              <w:jc w:val="center"/>
              <w:rPr>
                <w:sz w:val="18"/>
                <w:szCs w:val="18"/>
                <w:highlight w:val="yellow"/>
              </w:rPr>
            </w:pPr>
            <w:r w:rsidRPr="00E30B5B">
              <w:rPr>
                <w:sz w:val="18"/>
                <w:szCs w:val="18"/>
                <w:highlight w:val="yellow"/>
              </w:rPr>
              <w:t>Endorsement</w:t>
            </w:r>
          </w:p>
        </w:tc>
        <w:tc>
          <w:tcPr>
            <w:tcW w:w="1324" w:type="dxa"/>
            <w:gridSpan w:val="2"/>
          </w:tcPr>
          <w:p w14:paraId="147461FF" w14:textId="77777777" w:rsidR="007520C1" w:rsidRPr="00E30B5B" w:rsidRDefault="007520C1" w:rsidP="00E049DB">
            <w:pPr>
              <w:jc w:val="center"/>
              <w:rPr>
                <w:sz w:val="18"/>
                <w:szCs w:val="18"/>
                <w:highlight w:val="yellow"/>
              </w:rPr>
            </w:pPr>
            <w:r w:rsidRPr="00E30B5B">
              <w:rPr>
                <w:sz w:val="18"/>
                <w:szCs w:val="18"/>
                <w:highlight w:val="yellow"/>
              </w:rPr>
              <w:t>MTR</w:t>
            </w:r>
          </w:p>
        </w:tc>
        <w:tc>
          <w:tcPr>
            <w:tcW w:w="1287" w:type="dxa"/>
          </w:tcPr>
          <w:p w14:paraId="4FE0423C" w14:textId="77777777" w:rsidR="007520C1" w:rsidRPr="00E30B5B" w:rsidRDefault="007520C1" w:rsidP="00E049DB">
            <w:pPr>
              <w:jc w:val="center"/>
              <w:rPr>
                <w:sz w:val="18"/>
                <w:szCs w:val="18"/>
                <w:highlight w:val="yellow"/>
              </w:rPr>
            </w:pPr>
            <w:r w:rsidRPr="00E30B5B">
              <w:rPr>
                <w:sz w:val="18"/>
                <w:szCs w:val="18"/>
                <w:highlight w:val="yellow"/>
              </w:rPr>
              <w:t>TE</w:t>
            </w:r>
          </w:p>
        </w:tc>
      </w:tr>
      <w:tr w:rsidR="007520C1" w:rsidRPr="004244E0" w14:paraId="7398CA02" w14:textId="77777777" w:rsidTr="00DB02C4">
        <w:tc>
          <w:tcPr>
            <w:tcW w:w="1298" w:type="dxa"/>
          </w:tcPr>
          <w:p w14:paraId="38E86810" w14:textId="77777777" w:rsidR="007520C1" w:rsidRPr="00E30B5B" w:rsidRDefault="007520C1" w:rsidP="00E049DB">
            <w:pPr>
              <w:jc w:val="right"/>
              <w:rPr>
                <w:sz w:val="18"/>
                <w:szCs w:val="18"/>
                <w:highlight w:val="yellow"/>
              </w:rPr>
            </w:pPr>
          </w:p>
        </w:tc>
        <w:tc>
          <w:tcPr>
            <w:tcW w:w="933" w:type="dxa"/>
          </w:tcPr>
          <w:p w14:paraId="46ED1091" w14:textId="77777777" w:rsidR="007520C1" w:rsidRPr="00E30B5B" w:rsidRDefault="007520C1" w:rsidP="00E049DB">
            <w:pPr>
              <w:jc w:val="right"/>
              <w:rPr>
                <w:sz w:val="18"/>
                <w:szCs w:val="18"/>
                <w:highlight w:val="yellow"/>
              </w:rPr>
            </w:pPr>
          </w:p>
        </w:tc>
        <w:tc>
          <w:tcPr>
            <w:tcW w:w="1726" w:type="dxa"/>
          </w:tcPr>
          <w:p w14:paraId="0FA173F4" w14:textId="77777777" w:rsidR="007520C1" w:rsidRPr="00E30B5B" w:rsidRDefault="007520C1" w:rsidP="00E049DB">
            <w:pPr>
              <w:jc w:val="right"/>
              <w:rPr>
                <w:sz w:val="18"/>
                <w:szCs w:val="18"/>
                <w:highlight w:val="yellow"/>
              </w:rPr>
            </w:pPr>
            <w:r w:rsidRPr="00E30B5B">
              <w:rPr>
                <w:i/>
                <w:color w:val="000000"/>
                <w:sz w:val="18"/>
                <w:szCs w:val="18"/>
                <w:highlight w:val="yellow"/>
              </w:rPr>
              <w:fldChar w:fldCharType="begin">
                <w:ffData>
                  <w:name w:val=""/>
                  <w:enabled/>
                  <w:calcOnExit w:val="0"/>
                  <w:textInput/>
                </w:ffData>
              </w:fldChar>
            </w:r>
            <w:r w:rsidRPr="00E30B5B">
              <w:rPr>
                <w:i/>
                <w:color w:val="000000"/>
                <w:sz w:val="18"/>
                <w:szCs w:val="18"/>
                <w:highlight w:val="yellow"/>
              </w:rPr>
              <w:instrText xml:space="preserve"> FORMTEXT </w:instrText>
            </w:r>
            <w:r w:rsidRPr="00E30B5B">
              <w:rPr>
                <w:i/>
                <w:color w:val="000000"/>
                <w:sz w:val="18"/>
                <w:szCs w:val="18"/>
                <w:highlight w:val="yellow"/>
              </w:rPr>
            </w:r>
            <w:r w:rsidRPr="00E30B5B">
              <w:rPr>
                <w:i/>
                <w:color w:val="000000"/>
                <w:sz w:val="18"/>
                <w:szCs w:val="18"/>
                <w:highlight w:val="yellow"/>
              </w:rPr>
              <w:fldChar w:fldCharType="separate"/>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fldChar w:fldCharType="end"/>
            </w:r>
          </w:p>
        </w:tc>
        <w:tc>
          <w:tcPr>
            <w:tcW w:w="2782" w:type="dxa"/>
            <w:gridSpan w:val="2"/>
          </w:tcPr>
          <w:p w14:paraId="3FEA12FC" w14:textId="77777777" w:rsidR="007520C1" w:rsidRPr="00E30B5B" w:rsidRDefault="007520C1" w:rsidP="00E049DB">
            <w:pPr>
              <w:jc w:val="right"/>
              <w:rPr>
                <w:sz w:val="18"/>
                <w:szCs w:val="18"/>
                <w:highlight w:val="yellow"/>
              </w:rPr>
            </w:pPr>
            <w:r w:rsidRPr="00E30B5B">
              <w:rPr>
                <w:i/>
                <w:color w:val="000000"/>
                <w:sz w:val="18"/>
                <w:szCs w:val="18"/>
                <w:highlight w:val="yellow"/>
              </w:rPr>
              <w:fldChar w:fldCharType="begin">
                <w:ffData>
                  <w:name w:val="F_GEB_BD_target"/>
                  <w:enabled/>
                  <w:calcOnExit w:val="0"/>
                  <w:textInput/>
                </w:ffData>
              </w:fldChar>
            </w:r>
            <w:r w:rsidRPr="00E30B5B">
              <w:rPr>
                <w:i/>
                <w:color w:val="000000"/>
                <w:sz w:val="18"/>
                <w:szCs w:val="18"/>
                <w:highlight w:val="yellow"/>
              </w:rPr>
              <w:instrText xml:space="preserve"> FORMTEXT </w:instrText>
            </w:r>
            <w:r w:rsidRPr="00E30B5B">
              <w:rPr>
                <w:i/>
                <w:color w:val="000000"/>
                <w:sz w:val="18"/>
                <w:szCs w:val="18"/>
                <w:highlight w:val="yellow"/>
              </w:rPr>
            </w:r>
            <w:r w:rsidRPr="00E30B5B">
              <w:rPr>
                <w:i/>
                <w:color w:val="000000"/>
                <w:sz w:val="18"/>
                <w:szCs w:val="18"/>
                <w:highlight w:val="yellow"/>
              </w:rPr>
              <w:fldChar w:fldCharType="separate"/>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fldChar w:fldCharType="end"/>
            </w:r>
          </w:p>
        </w:tc>
        <w:tc>
          <w:tcPr>
            <w:tcW w:w="1485" w:type="dxa"/>
            <w:gridSpan w:val="3"/>
          </w:tcPr>
          <w:p w14:paraId="11E721FF" w14:textId="77777777" w:rsidR="007520C1" w:rsidRPr="00E30B5B" w:rsidRDefault="007520C1" w:rsidP="00E049DB">
            <w:pPr>
              <w:jc w:val="right"/>
              <w:rPr>
                <w:sz w:val="18"/>
                <w:szCs w:val="18"/>
                <w:highlight w:val="yellow"/>
              </w:rPr>
            </w:pPr>
            <w:r w:rsidRPr="00E30B5B">
              <w:rPr>
                <w:i/>
                <w:color w:val="000000"/>
                <w:sz w:val="18"/>
                <w:szCs w:val="18"/>
                <w:highlight w:val="yellow"/>
              </w:rPr>
              <w:fldChar w:fldCharType="begin">
                <w:ffData>
                  <w:name w:val="F_GEB_BD_target"/>
                  <w:enabled/>
                  <w:calcOnExit w:val="0"/>
                  <w:textInput/>
                </w:ffData>
              </w:fldChar>
            </w:r>
            <w:r w:rsidRPr="00E30B5B">
              <w:rPr>
                <w:i/>
                <w:color w:val="000000"/>
                <w:sz w:val="18"/>
                <w:szCs w:val="18"/>
                <w:highlight w:val="yellow"/>
              </w:rPr>
              <w:instrText xml:space="preserve"> FORMTEXT </w:instrText>
            </w:r>
            <w:r w:rsidRPr="00E30B5B">
              <w:rPr>
                <w:i/>
                <w:color w:val="000000"/>
                <w:sz w:val="18"/>
                <w:szCs w:val="18"/>
                <w:highlight w:val="yellow"/>
              </w:rPr>
            </w:r>
            <w:r w:rsidRPr="00E30B5B">
              <w:rPr>
                <w:i/>
                <w:color w:val="000000"/>
                <w:sz w:val="18"/>
                <w:szCs w:val="18"/>
                <w:highlight w:val="yellow"/>
              </w:rPr>
              <w:fldChar w:fldCharType="separate"/>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fldChar w:fldCharType="end"/>
            </w:r>
          </w:p>
        </w:tc>
        <w:tc>
          <w:tcPr>
            <w:tcW w:w="1324" w:type="dxa"/>
            <w:gridSpan w:val="2"/>
          </w:tcPr>
          <w:p w14:paraId="6B0FDBF2" w14:textId="77777777" w:rsidR="007520C1" w:rsidRPr="00E30B5B" w:rsidRDefault="007520C1" w:rsidP="00E049DB">
            <w:pPr>
              <w:jc w:val="right"/>
              <w:rPr>
                <w:sz w:val="18"/>
                <w:szCs w:val="18"/>
                <w:highlight w:val="yellow"/>
              </w:rPr>
            </w:pPr>
            <w:r w:rsidRPr="00E30B5B">
              <w:rPr>
                <w:i/>
                <w:color w:val="000000"/>
                <w:sz w:val="18"/>
                <w:szCs w:val="18"/>
                <w:highlight w:val="yellow"/>
              </w:rPr>
              <w:fldChar w:fldCharType="begin">
                <w:ffData>
                  <w:name w:val="F_GEB_BD_target"/>
                  <w:enabled/>
                  <w:calcOnExit w:val="0"/>
                  <w:textInput/>
                </w:ffData>
              </w:fldChar>
            </w:r>
            <w:r w:rsidRPr="00E30B5B">
              <w:rPr>
                <w:i/>
                <w:color w:val="000000"/>
                <w:sz w:val="18"/>
                <w:szCs w:val="18"/>
                <w:highlight w:val="yellow"/>
              </w:rPr>
              <w:instrText xml:space="preserve"> FORMTEXT </w:instrText>
            </w:r>
            <w:r w:rsidRPr="00E30B5B">
              <w:rPr>
                <w:i/>
                <w:color w:val="000000"/>
                <w:sz w:val="18"/>
                <w:szCs w:val="18"/>
                <w:highlight w:val="yellow"/>
              </w:rPr>
            </w:r>
            <w:r w:rsidRPr="00E30B5B">
              <w:rPr>
                <w:i/>
                <w:color w:val="000000"/>
                <w:sz w:val="18"/>
                <w:szCs w:val="18"/>
                <w:highlight w:val="yellow"/>
              </w:rPr>
              <w:fldChar w:fldCharType="separate"/>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fldChar w:fldCharType="end"/>
            </w:r>
          </w:p>
        </w:tc>
        <w:tc>
          <w:tcPr>
            <w:tcW w:w="1287" w:type="dxa"/>
          </w:tcPr>
          <w:p w14:paraId="5A75C87A" w14:textId="77777777" w:rsidR="007520C1" w:rsidRPr="00E30B5B" w:rsidRDefault="007520C1" w:rsidP="00E049DB">
            <w:pPr>
              <w:jc w:val="right"/>
              <w:rPr>
                <w:sz w:val="18"/>
                <w:szCs w:val="18"/>
                <w:highlight w:val="yellow"/>
              </w:rPr>
            </w:pPr>
            <w:r w:rsidRPr="00E30B5B">
              <w:rPr>
                <w:i/>
                <w:color w:val="000000"/>
                <w:sz w:val="18"/>
                <w:szCs w:val="18"/>
                <w:highlight w:val="yellow"/>
              </w:rPr>
              <w:fldChar w:fldCharType="begin">
                <w:ffData>
                  <w:name w:val="F_GEB_BD_target"/>
                  <w:enabled/>
                  <w:calcOnExit w:val="0"/>
                  <w:textInput/>
                </w:ffData>
              </w:fldChar>
            </w:r>
            <w:r w:rsidRPr="00E30B5B">
              <w:rPr>
                <w:i/>
                <w:color w:val="000000"/>
                <w:sz w:val="18"/>
                <w:szCs w:val="18"/>
                <w:highlight w:val="yellow"/>
              </w:rPr>
              <w:instrText xml:space="preserve"> FORMTEXT </w:instrText>
            </w:r>
            <w:r w:rsidRPr="00E30B5B">
              <w:rPr>
                <w:i/>
                <w:color w:val="000000"/>
                <w:sz w:val="18"/>
                <w:szCs w:val="18"/>
                <w:highlight w:val="yellow"/>
              </w:rPr>
            </w:r>
            <w:r w:rsidRPr="00E30B5B">
              <w:rPr>
                <w:i/>
                <w:color w:val="000000"/>
                <w:sz w:val="18"/>
                <w:szCs w:val="18"/>
                <w:highlight w:val="yellow"/>
              </w:rPr>
              <w:fldChar w:fldCharType="separate"/>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fldChar w:fldCharType="end"/>
            </w:r>
          </w:p>
        </w:tc>
      </w:tr>
      <w:tr w:rsidR="007520C1" w:rsidRPr="004244E0" w14:paraId="1D8804D2" w14:textId="77777777" w:rsidTr="00DB02C4">
        <w:tc>
          <w:tcPr>
            <w:tcW w:w="1298" w:type="dxa"/>
          </w:tcPr>
          <w:p w14:paraId="478A98D3" w14:textId="77777777" w:rsidR="007520C1" w:rsidRPr="00E30B5B" w:rsidRDefault="007520C1" w:rsidP="00E049DB">
            <w:pPr>
              <w:jc w:val="right"/>
              <w:rPr>
                <w:sz w:val="18"/>
                <w:szCs w:val="18"/>
                <w:highlight w:val="yellow"/>
              </w:rPr>
            </w:pPr>
          </w:p>
        </w:tc>
        <w:tc>
          <w:tcPr>
            <w:tcW w:w="933" w:type="dxa"/>
          </w:tcPr>
          <w:p w14:paraId="2B15B849" w14:textId="77777777" w:rsidR="007520C1" w:rsidRPr="00E30B5B" w:rsidRDefault="007520C1" w:rsidP="00E049DB">
            <w:pPr>
              <w:jc w:val="right"/>
              <w:rPr>
                <w:sz w:val="18"/>
                <w:szCs w:val="18"/>
                <w:highlight w:val="yellow"/>
              </w:rPr>
            </w:pPr>
          </w:p>
        </w:tc>
        <w:tc>
          <w:tcPr>
            <w:tcW w:w="1726" w:type="dxa"/>
          </w:tcPr>
          <w:p w14:paraId="7B4B95FE" w14:textId="77777777" w:rsidR="007520C1" w:rsidRPr="00E30B5B" w:rsidRDefault="007520C1" w:rsidP="00E049DB">
            <w:pPr>
              <w:jc w:val="right"/>
              <w:rPr>
                <w:sz w:val="18"/>
                <w:szCs w:val="18"/>
                <w:highlight w:val="yellow"/>
              </w:rPr>
            </w:pPr>
            <w:r w:rsidRPr="00E30B5B">
              <w:rPr>
                <w:i/>
                <w:color w:val="000000"/>
                <w:sz w:val="18"/>
                <w:szCs w:val="18"/>
                <w:highlight w:val="yellow"/>
              </w:rPr>
              <w:fldChar w:fldCharType="begin">
                <w:ffData>
                  <w:name w:val="F_GEB_BD_target"/>
                  <w:enabled/>
                  <w:calcOnExit w:val="0"/>
                  <w:textInput/>
                </w:ffData>
              </w:fldChar>
            </w:r>
            <w:r w:rsidRPr="00E30B5B">
              <w:rPr>
                <w:i/>
                <w:color w:val="000000"/>
                <w:sz w:val="18"/>
                <w:szCs w:val="18"/>
                <w:highlight w:val="yellow"/>
              </w:rPr>
              <w:instrText xml:space="preserve"> FORMTEXT </w:instrText>
            </w:r>
            <w:r w:rsidRPr="00E30B5B">
              <w:rPr>
                <w:i/>
                <w:color w:val="000000"/>
                <w:sz w:val="18"/>
                <w:szCs w:val="18"/>
                <w:highlight w:val="yellow"/>
              </w:rPr>
            </w:r>
            <w:r w:rsidRPr="00E30B5B">
              <w:rPr>
                <w:i/>
                <w:color w:val="000000"/>
                <w:sz w:val="18"/>
                <w:szCs w:val="18"/>
                <w:highlight w:val="yellow"/>
              </w:rPr>
              <w:fldChar w:fldCharType="separate"/>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fldChar w:fldCharType="end"/>
            </w:r>
          </w:p>
        </w:tc>
        <w:tc>
          <w:tcPr>
            <w:tcW w:w="2782" w:type="dxa"/>
            <w:gridSpan w:val="2"/>
          </w:tcPr>
          <w:p w14:paraId="1DC62A6F" w14:textId="77777777" w:rsidR="007520C1" w:rsidRPr="00E30B5B" w:rsidRDefault="007520C1" w:rsidP="00E049DB">
            <w:pPr>
              <w:jc w:val="right"/>
              <w:rPr>
                <w:sz w:val="18"/>
                <w:szCs w:val="18"/>
                <w:highlight w:val="yellow"/>
              </w:rPr>
            </w:pPr>
            <w:r w:rsidRPr="00E30B5B">
              <w:rPr>
                <w:i/>
                <w:color w:val="000000"/>
                <w:sz w:val="18"/>
                <w:szCs w:val="18"/>
                <w:highlight w:val="yellow"/>
              </w:rPr>
              <w:fldChar w:fldCharType="begin">
                <w:ffData>
                  <w:name w:val="F_GEB_BD_target"/>
                  <w:enabled/>
                  <w:calcOnExit w:val="0"/>
                  <w:textInput/>
                </w:ffData>
              </w:fldChar>
            </w:r>
            <w:r w:rsidRPr="00E30B5B">
              <w:rPr>
                <w:i/>
                <w:color w:val="000000"/>
                <w:sz w:val="18"/>
                <w:szCs w:val="18"/>
                <w:highlight w:val="yellow"/>
              </w:rPr>
              <w:instrText xml:space="preserve"> FORMTEXT </w:instrText>
            </w:r>
            <w:r w:rsidRPr="00E30B5B">
              <w:rPr>
                <w:i/>
                <w:color w:val="000000"/>
                <w:sz w:val="18"/>
                <w:szCs w:val="18"/>
                <w:highlight w:val="yellow"/>
              </w:rPr>
            </w:r>
            <w:r w:rsidRPr="00E30B5B">
              <w:rPr>
                <w:i/>
                <w:color w:val="000000"/>
                <w:sz w:val="18"/>
                <w:szCs w:val="18"/>
                <w:highlight w:val="yellow"/>
              </w:rPr>
              <w:fldChar w:fldCharType="separate"/>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fldChar w:fldCharType="end"/>
            </w:r>
          </w:p>
        </w:tc>
        <w:tc>
          <w:tcPr>
            <w:tcW w:w="1485" w:type="dxa"/>
            <w:gridSpan w:val="3"/>
          </w:tcPr>
          <w:p w14:paraId="5656B339" w14:textId="77777777" w:rsidR="007520C1" w:rsidRPr="00E30B5B" w:rsidRDefault="007520C1" w:rsidP="00E049DB">
            <w:pPr>
              <w:jc w:val="right"/>
              <w:rPr>
                <w:sz w:val="18"/>
                <w:szCs w:val="18"/>
                <w:highlight w:val="yellow"/>
              </w:rPr>
            </w:pPr>
            <w:r w:rsidRPr="00E30B5B">
              <w:rPr>
                <w:i/>
                <w:color w:val="000000"/>
                <w:sz w:val="18"/>
                <w:szCs w:val="18"/>
                <w:highlight w:val="yellow"/>
              </w:rPr>
              <w:fldChar w:fldCharType="begin">
                <w:ffData>
                  <w:name w:val="F_GEB_BD_target"/>
                  <w:enabled/>
                  <w:calcOnExit w:val="0"/>
                  <w:textInput/>
                </w:ffData>
              </w:fldChar>
            </w:r>
            <w:r w:rsidRPr="00E30B5B">
              <w:rPr>
                <w:i/>
                <w:color w:val="000000"/>
                <w:sz w:val="18"/>
                <w:szCs w:val="18"/>
                <w:highlight w:val="yellow"/>
              </w:rPr>
              <w:instrText xml:space="preserve"> FORMTEXT </w:instrText>
            </w:r>
            <w:r w:rsidRPr="00E30B5B">
              <w:rPr>
                <w:i/>
                <w:color w:val="000000"/>
                <w:sz w:val="18"/>
                <w:szCs w:val="18"/>
                <w:highlight w:val="yellow"/>
              </w:rPr>
            </w:r>
            <w:r w:rsidRPr="00E30B5B">
              <w:rPr>
                <w:i/>
                <w:color w:val="000000"/>
                <w:sz w:val="18"/>
                <w:szCs w:val="18"/>
                <w:highlight w:val="yellow"/>
              </w:rPr>
              <w:fldChar w:fldCharType="separate"/>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fldChar w:fldCharType="end"/>
            </w:r>
          </w:p>
        </w:tc>
        <w:tc>
          <w:tcPr>
            <w:tcW w:w="1324" w:type="dxa"/>
            <w:gridSpan w:val="2"/>
          </w:tcPr>
          <w:p w14:paraId="572675CF" w14:textId="77777777" w:rsidR="007520C1" w:rsidRPr="00E30B5B" w:rsidRDefault="007520C1" w:rsidP="00E049DB">
            <w:pPr>
              <w:jc w:val="right"/>
              <w:rPr>
                <w:sz w:val="18"/>
                <w:szCs w:val="18"/>
                <w:highlight w:val="yellow"/>
              </w:rPr>
            </w:pPr>
            <w:r w:rsidRPr="00E30B5B">
              <w:rPr>
                <w:i/>
                <w:color w:val="000000"/>
                <w:sz w:val="18"/>
                <w:szCs w:val="18"/>
                <w:highlight w:val="yellow"/>
              </w:rPr>
              <w:fldChar w:fldCharType="begin">
                <w:ffData>
                  <w:name w:val="F_GEB_BD_target"/>
                  <w:enabled/>
                  <w:calcOnExit w:val="0"/>
                  <w:textInput/>
                </w:ffData>
              </w:fldChar>
            </w:r>
            <w:r w:rsidRPr="00E30B5B">
              <w:rPr>
                <w:i/>
                <w:color w:val="000000"/>
                <w:sz w:val="18"/>
                <w:szCs w:val="18"/>
                <w:highlight w:val="yellow"/>
              </w:rPr>
              <w:instrText xml:space="preserve"> FORMTEXT </w:instrText>
            </w:r>
            <w:r w:rsidRPr="00E30B5B">
              <w:rPr>
                <w:i/>
                <w:color w:val="000000"/>
                <w:sz w:val="18"/>
                <w:szCs w:val="18"/>
                <w:highlight w:val="yellow"/>
              </w:rPr>
            </w:r>
            <w:r w:rsidRPr="00E30B5B">
              <w:rPr>
                <w:i/>
                <w:color w:val="000000"/>
                <w:sz w:val="18"/>
                <w:szCs w:val="18"/>
                <w:highlight w:val="yellow"/>
              </w:rPr>
              <w:fldChar w:fldCharType="separate"/>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fldChar w:fldCharType="end"/>
            </w:r>
          </w:p>
        </w:tc>
        <w:tc>
          <w:tcPr>
            <w:tcW w:w="1287" w:type="dxa"/>
          </w:tcPr>
          <w:p w14:paraId="798279CF" w14:textId="77777777" w:rsidR="007520C1" w:rsidRPr="00E30B5B" w:rsidRDefault="007520C1" w:rsidP="00E049DB">
            <w:pPr>
              <w:jc w:val="right"/>
              <w:rPr>
                <w:sz w:val="18"/>
                <w:szCs w:val="18"/>
                <w:highlight w:val="yellow"/>
              </w:rPr>
            </w:pPr>
            <w:r w:rsidRPr="00E30B5B">
              <w:rPr>
                <w:i/>
                <w:color w:val="000000"/>
                <w:sz w:val="18"/>
                <w:szCs w:val="18"/>
                <w:highlight w:val="yellow"/>
              </w:rPr>
              <w:fldChar w:fldCharType="begin">
                <w:ffData>
                  <w:name w:val="F_GEB_BD_target"/>
                  <w:enabled/>
                  <w:calcOnExit w:val="0"/>
                  <w:textInput/>
                </w:ffData>
              </w:fldChar>
            </w:r>
            <w:r w:rsidRPr="00E30B5B">
              <w:rPr>
                <w:i/>
                <w:color w:val="000000"/>
                <w:sz w:val="18"/>
                <w:szCs w:val="18"/>
                <w:highlight w:val="yellow"/>
              </w:rPr>
              <w:instrText xml:space="preserve"> FORMTEXT </w:instrText>
            </w:r>
            <w:r w:rsidRPr="00E30B5B">
              <w:rPr>
                <w:i/>
                <w:color w:val="000000"/>
                <w:sz w:val="18"/>
                <w:szCs w:val="18"/>
                <w:highlight w:val="yellow"/>
              </w:rPr>
            </w:r>
            <w:r w:rsidRPr="00E30B5B">
              <w:rPr>
                <w:i/>
                <w:color w:val="000000"/>
                <w:sz w:val="18"/>
                <w:szCs w:val="18"/>
                <w:highlight w:val="yellow"/>
              </w:rPr>
              <w:fldChar w:fldCharType="separate"/>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fldChar w:fldCharType="end"/>
            </w:r>
          </w:p>
        </w:tc>
      </w:tr>
      <w:tr w:rsidR="007520C1" w:rsidRPr="004244E0" w14:paraId="3A64BE7C" w14:textId="77777777" w:rsidTr="00DB02C4">
        <w:tc>
          <w:tcPr>
            <w:tcW w:w="1298" w:type="dxa"/>
            <w:shd w:val="clear" w:color="auto" w:fill="BFBFBF" w:themeFill="background1" w:themeFillShade="BF"/>
          </w:tcPr>
          <w:p w14:paraId="062DA144" w14:textId="77777777" w:rsidR="007520C1" w:rsidRPr="00E30B5B" w:rsidRDefault="007520C1" w:rsidP="00E049DB">
            <w:pPr>
              <w:rPr>
                <w:sz w:val="18"/>
                <w:szCs w:val="18"/>
                <w:highlight w:val="yellow"/>
              </w:rPr>
            </w:pPr>
            <w:r w:rsidRPr="00E30B5B">
              <w:rPr>
                <w:sz w:val="18"/>
                <w:szCs w:val="18"/>
                <w:highlight w:val="yellow"/>
              </w:rPr>
              <w:lastRenderedPageBreak/>
              <w:t>Indicator 7.2</w:t>
            </w:r>
          </w:p>
        </w:tc>
        <w:tc>
          <w:tcPr>
            <w:tcW w:w="6765" w:type="dxa"/>
            <w:gridSpan w:val="5"/>
            <w:shd w:val="clear" w:color="auto" w:fill="BFBFBF" w:themeFill="background1" w:themeFillShade="BF"/>
          </w:tcPr>
          <w:p w14:paraId="1F90714A" w14:textId="77777777" w:rsidR="007520C1" w:rsidRPr="00E30B5B" w:rsidRDefault="007520C1" w:rsidP="00E049DB">
            <w:pPr>
              <w:rPr>
                <w:sz w:val="18"/>
                <w:szCs w:val="18"/>
                <w:highlight w:val="yellow"/>
              </w:rPr>
            </w:pPr>
            <w:r w:rsidRPr="00E30B5B">
              <w:rPr>
                <w:sz w:val="18"/>
                <w:szCs w:val="18"/>
                <w:highlight w:val="yellow"/>
              </w:rPr>
              <w:t>Level of Regional Legal Agreements and Regional Management Institutions to support its implementation</w:t>
            </w:r>
          </w:p>
        </w:tc>
        <w:tc>
          <w:tcPr>
            <w:tcW w:w="2772" w:type="dxa"/>
            <w:gridSpan w:val="5"/>
            <w:shd w:val="clear" w:color="auto" w:fill="BFBFBF" w:themeFill="background1" w:themeFillShade="BF"/>
          </w:tcPr>
          <w:p w14:paraId="0356F795" w14:textId="77777777" w:rsidR="007520C1" w:rsidRPr="00E30B5B" w:rsidRDefault="007520C1" w:rsidP="00E049DB">
            <w:pPr>
              <w:jc w:val="right"/>
              <w:rPr>
                <w:sz w:val="18"/>
                <w:szCs w:val="18"/>
                <w:highlight w:val="yellow"/>
              </w:rPr>
            </w:pPr>
            <w:r w:rsidRPr="00E30B5B">
              <w:rPr>
                <w:i/>
                <w:color w:val="000000"/>
                <w:sz w:val="18"/>
                <w:szCs w:val="18"/>
                <w:highlight w:val="yellow"/>
              </w:rPr>
              <w:fldChar w:fldCharType="begin">
                <w:ffData>
                  <w:name w:val="F_GEB_BD_target"/>
                  <w:enabled/>
                  <w:calcOnExit w:val="0"/>
                  <w:textInput/>
                </w:ffData>
              </w:fldChar>
            </w:r>
            <w:r w:rsidRPr="00E30B5B">
              <w:rPr>
                <w:i/>
                <w:color w:val="000000"/>
                <w:sz w:val="18"/>
                <w:szCs w:val="18"/>
                <w:highlight w:val="yellow"/>
              </w:rPr>
              <w:instrText xml:space="preserve"> FORMTEXT </w:instrText>
            </w:r>
            <w:r w:rsidRPr="00E30B5B">
              <w:rPr>
                <w:i/>
                <w:color w:val="000000"/>
                <w:sz w:val="18"/>
                <w:szCs w:val="18"/>
                <w:highlight w:val="yellow"/>
              </w:rPr>
            </w:r>
            <w:r w:rsidRPr="00E30B5B">
              <w:rPr>
                <w:i/>
                <w:color w:val="000000"/>
                <w:sz w:val="18"/>
                <w:szCs w:val="18"/>
                <w:highlight w:val="yellow"/>
              </w:rPr>
              <w:fldChar w:fldCharType="separate"/>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fldChar w:fldCharType="end"/>
            </w:r>
          </w:p>
        </w:tc>
      </w:tr>
      <w:tr w:rsidR="007520C1" w:rsidRPr="004244E0" w14:paraId="7DEF92A5" w14:textId="77777777" w:rsidTr="00DB02C4">
        <w:trPr>
          <w:trHeight w:val="125"/>
        </w:trPr>
        <w:tc>
          <w:tcPr>
            <w:tcW w:w="1298" w:type="dxa"/>
            <w:vMerge w:val="restart"/>
          </w:tcPr>
          <w:p w14:paraId="45EC6D18" w14:textId="77777777" w:rsidR="007520C1" w:rsidRPr="00E30B5B" w:rsidRDefault="007520C1" w:rsidP="00E049DB">
            <w:pPr>
              <w:rPr>
                <w:sz w:val="18"/>
                <w:szCs w:val="18"/>
                <w:highlight w:val="yellow"/>
              </w:rPr>
            </w:pPr>
          </w:p>
        </w:tc>
        <w:tc>
          <w:tcPr>
            <w:tcW w:w="933" w:type="dxa"/>
            <w:vMerge w:val="restart"/>
          </w:tcPr>
          <w:p w14:paraId="1A220797" w14:textId="77777777" w:rsidR="007520C1" w:rsidRPr="00E30B5B" w:rsidRDefault="007520C1" w:rsidP="00E049DB">
            <w:pPr>
              <w:rPr>
                <w:sz w:val="18"/>
                <w:szCs w:val="18"/>
                <w:highlight w:val="yellow"/>
              </w:rPr>
            </w:pPr>
          </w:p>
        </w:tc>
        <w:tc>
          <w:tcPr>
            <w:tcW w:w="1726" w:type="dxa"/>
            <w:vMerge w:val="restart"/>
          </w:tcPr>
          <w:p w14:paraId="2689E57A" w14:textId="77777777" w:rsidR="007520C1" w:rsidRPr="00E30B5B" w:rsidRDefault="007520C1" w:rsidP="00E049DB">
            <w:pPr>
              <w:rPr>
                <w:sz w:val="18"/>
                <w:szCs w:val="18"/>
                <w:highlight w:val="yellow"/>
              </w:rPr>
            </w:pPr>
            <w:r w:rsidRPr="00E30B5B">
              <w:rPr>
                <w:sz w:val="18"/>
                <w:szCs w:val="18"/>
                <w:highlight w:val="yellow"/>
              </w:rPr>
              <w:t>Shared water ecosystem</w:t>
            </w:r>
          </w:p>
        </w:tc>
        <w:tc>
          <w:tcPr>
            <w:tcW w:w="6878" w:type="dxa"/>
            <w:gridSpan w:val="8"/>
          </w:tcPr>
          <w:p w14:paraId="133546F3" w14:textId="77777777" w:rsidR="007520C1" w:rsidRPr="00E30B5B" w:rsidRDefault="007520C1" w:rsidP="00E049DB">
            <w:pPr>
              <w:jc w:val="center"/>
              <w:rPr>
                <w:sz w:val="18"/>
                <w:szCs w:val="18"/>
                <w:highlight w:val="yellow"/>
              </w:rPr>
            </w:pPr>
            <w:r w:rsidRPr="00E30B5B">
              <w:rPr>
                <w:sz w:val="18"/>
                <w:szCs w:val="18"/>
                <w:highlight w:val="yellow"/>
              </w:rPr>
              <w:t>Rating (scale 1-4)</w:t>
            </w:r>
          </w:p>
        </w:tc>
      </w:tr>
      <w:tr w:rsidR="007520C1" w:rsidRPr="004244E0" w14:paraId="365FA5A2" w14:textId="77777777" w:rsidTr="00DB02C4">
        <w:trPr>
          <w:trHeight w:val="134"/>
        </w:trPr>
        <w:tc>
          <w:tcPr>
            <w:tcW w:w="1298" w:type="dxa"/>
            <w:vMerge/>
          </w:tcPr>
          <w:p w14:paraId="6AD9B0E3" w14:textId="77777777" w:rsidR="007520C1" w:rsidRPr="00E30B5B" w:rsidRDefault="007520C1" w:rsidP="00E049DB">
            <w:pPr>
              <w:rPr>
                <w:sz w:val="18"/>
                <w:szCs w:val="18"/>
                <w:highlight w:val="yellow"/>
              </w:rPr>
            </w:pPr>
          </w:p>
        </w:tc>
        <w:tc>
          <w:tcPr>
            <w:tcW w:w="933" w:type="dxa"/>
            <w:vMerge/>
          </w:tcPr>
          <w:p w14:paraId="3C63D280" w14:textId="77777777" w:rsidR="007520C1" w:rsidRPr="00E30B5B" w:rsidRDefault="007520C1" w:rsidP="00E049DB">
            <w:pPr>
              <w:rPr>
                <w:sz w:val="18"/>
                <w:szCs w:val="18"/>
                <w:highlight w:val="yellow"/>
              </w:rPr>
            </w:pPr>
          </w:p>
        </w:tc>
        <w:tc>
          <w:tcPr>
            <w:tcW w:w="1726" w:type="dxa"/>
            <w:vMerge/>
          </w:tcPr>
          <w:p w14:paraId="5C8F50D7" w14:textId="77777777" w:rsidR="007520C1" w:rsidRPr="00E30B5B" w:rsidRDefault="007520C1" w:rsidP="00E049DB">
            <w:pPr>
              <w:rPr>
                <w:sz w:val="18"/>
                <w:szCs w:val="18"/>
                <w:highlight w:val="yellow"/>
              </w:rPr>
            </w:pPr>
          </w:p>
        </w:tc>
        <w:tc>
          <w:tcPr>
            <w:tcW w:w="2782" w:type="dxa"/>
            <w:gridSpan w:val="2"/>
          </w:tcPr>
          <w:p w14:paraId="011D27DE" w14:textId="77777777" w:rsidR="007520C1" w:rsidRPr="00E30B5B" w:rsidRDefault="007520C1" w:rsidP="00E049DB">
            <w:pPr>
              <w:jc w:val="center"/>
              <w:rPr>
                <w:sz w:val="18"/>
                <w:szCs w:val="18"/>
                <w:highlight w:val="yellow"/>
              </w:rPr>
            </w:pPr>
            <w:r w:rsidRPr="00E30B5B">
              <w:rPr>
                <w:sz w:val="18"/>
                <w:szCs w:val="18"/>
                <w:highlight w:val="yellow"/>
              </w:rPr>
              <w:t>PIF stage</w:t>
            </w:r>
          </w:p>
        </w:tc>
        <w:tc>
          <w:tcPr>
            <w:tcW w:w="1485" w:type="dxa"/>
            <w:gridSpan w:val="3"/>
          </w:tcPr>
          <w:p w14:paraId="568F285E" w14:textId="77777777" w:rsidR="007520C1" w:rsidRPr="00E30B5B" w:rsidRDefault="007520C1" w:rsidP="00E049DB">
            <w:pPr>
              <w:jc w:val="center"/>
              <w:rPr>
                <w:sz w:val="18"/>
                <w:szCs w:val="18"/>
                <w:highlight w:val="yellow"/>
              </w:rPr>
            </w:pPr>
            <w:r w:rsidRPr="00E30B5B">
              <w:rPr>
                <w:sz w:val="18"/>
                <w:szCs w:val="18"/>
                <w:highlight w:val="yellow"/>
              </w:rPr>
              <w:t>Endorsement</w:t>
            </w:r>
          </w:p>
        </w:tc>
        <w:tc>
          <w:tcPr>
            <w:tcW w:w="1324" w:type="dxa"/>
            <w:gridSpan w:val="2"/>
          </w:tcPr>
          <w:p w14:paraId="4D0C8B3F" w14:textId="77777777" w:rsidR="007520C1" w:rsidRPr="00E30B5B" w:rsidRDefault="007520C1" w:rsidP="00E049DB">
            <w:pPr>
              <w:jc w:val="center"/>
              <w:rPr>
                <w:sz w:val="18"/>
                <w:szCs w:val="18"/>
                <w:highlight w:val="yellow"/>
              </w:rPr>
            </w:pPr>
            <w:r w:rsidRPr="00E30B5B">
              <w:rPr>
                <w:sz w:val="18"/>
                <w:szCs w:val="18"/>
                <w:highlight w:val="yellow"/>
              </w:rPr>
              <w:t>MTR</w:t>
            </w:r>
          </w:p>
        </w:tc>
        <w:tc>
          <w:tcPr>
            <w:tcW w:w="1287" w:type="dxa"/>
          </w:tcPr>
          <w:p w14:paraId="7546C0CE" w14:textId="77777777" w:rsidR="007520C1" w:rsidRPr="00E30B5B" w:rsidRDefault="007520C1" w:rsidP="00E049DB">
            <w:pPr>
              <w:jc w:val="center"/>
              <w:rPr>
                <w:sz w:val="18"/>
                <w:szCs w:val="18"/>
                <w:highlight w:val="yellow"/>
              </w:rPr>
            </w:pPr>
            <w:r w:rsidRPr="00E30B5B">
              <w:rPr>
                <w:sz w:val="18"/>
                <w:szCs w:val="18"/>
                <w:highlight w:val="yellow"/>
              </w:rPr>
              <w:t>TE</w:t>
            </w:r>
          </w:p>
        </w:tc>
      </w:tr>
      <w:tr w:rsidR="007520C1" w:rsidRPr="004244E0" w14:paraId="79DCA495" w14:textId="77777777" w:rsidTr="00DB02C4">
        <w:tc>
          <w:tcPr>
            <w:tcW w:w="1298" w:type="dxa"/>
          </w:tcPr>
          <w:p w14:paraId="0E620901" w14:textId="77777777" w:rsidR="007520C1" w:rsidRPr="00E30B5B" w:rsidRDefault="007520C1" w:rsidP="00E049DB">
            <w:pPr>
              <w:jc w:val="right"/>
              <w:rPr>
                <w:sz w:val="18"/>
                <w:szCs w:val="18"/>
                <w:highlight w:val="yellow"/>
              </w:rPr>
            </w:pPr>
          </w:p>
        </w:tc>
        <w:tc>
          <w:tcPr>
            <w:tcW w:w="933" w:type="dxa"/>
          </w:tcPr>
          <w:p w14:paraId="620013F9" w14:textId="77777777" w:rsidR="007520C1" w:rsidRPr="00E30B5B" w:rsidRDefault="007520C1" w:rsidP="00E049DB">
            <w:pPr>
              <w:jc w:val="right"/>
              <w:rPr>
                <w:sz w:val="18"/>
                <w:szCs w:val="18"/>
                <w:highlight w:val="yellow"/>
              </w:rPr>
            </w:pPr>
          </w:p>
        </w:tc>
        <w:tc>
          <w:tcPr>
            <w:tcW w:w="1726" w:type="dxa"/>
          </w:tcPr>
          <w:p w14:paraId="380B2288" w14:textId="77777777" w:rsidR="007520C1" w:rsidRPr="00E30B5B" w:rsidRDefault="007520C1" w:rsidP="00E049DB">
            <w:pPr>
              <w:jc w:val="right"/>
              <w:rPr>
                <w:sz w:val="18"/>
                <w:szCs w:val="18"/>
                <w:highlight w:val="yellow"/>
              </w:rPr>
            </w:pPr>
            <w:r w:rsidRPr="00E30B5B">
              <w:rPr>
                <w:i/>
                <w:color w:val="000000"/>
                <w:sz w:val="18"/>
                <w:szCs w:val="18"/>
                <w:highlight w:val="yellow"/>
              </w:rPr>
              <w:fldChar w:fldCharType="begin">
                <w:ffData>
                  <w:name w:val="F_GEB_BD_target"/>
                  <w:enabled/>
                  <w:calcOnExit w:val="0"/>
                  <w:textInput/>
                </w:ffData>
              </w:fldChar>
            </w:r>
            <w:r w:rsidRPr="00E30B5B">
              <w:rPr>
                <w:i/>
                <w:color w:val="000000"/>
                <w:sz w:val="18"/>
                <w:szCs w:val="18"/>
                <w:highlight w:val="yellow"/>
              </w:rPr>
              <w:instrText xml:space="preserve"> FORMTEXT </w:instrText>
            </w:r>
            <w:r w:rsidRPr="00E30B5B">
              <w:rPr>
                <w:i/>
                <w:color w:val="000000"/>
                <w:sz w:val="18"/>
                <w:szCs w:val="18"/>
                <w:highlight w:val="yellow"/>
              </w:rPr>
            </w:r>
            <w:r w:rsidRPr="00E30B5B">
              <w:rPr>
                <w:i/>
                <w:color w:val="000000"/>
                <w:sz w:val="18"/>
                <w:szCs w:val="18"/>
                <w:highlight w:val="yellow"/>
              </w:rPr>
              <w:fldChar w:fldCharType="separate"/>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fldChar w:fldCharType="end"/>
            </w:r>
          </w:p>
        </w:tc>
        <w:tc>
          <w:tcPr>
            <w:tcW w:w="2782" w:type="dxa"/>
            <w:gridSpan w:val="2"/>
          </w:tcPr>
          <w:p w14:paraId="1E38848A" w14:textId="77777777" w:rsidR="007520C1" w:rsidRPr="00E30B5B" w:rsidRDefault="007520C1" w:rsidP="00E049DB">
            <w:pPr>
              <w:jc w:val="right"/>
              <w:rPr>
                <w:sz w:val="18"/>
                <w:szCs w:val="18"/>
                <w:highlight w:val="yellow"/>
              </w:rPr>
            </w:pPr>
            <w:r w:rsidRPr="00E30B5B">
              <w:rPr>
                <w:i/>
                <w:color w:val="000000"/>
                <w:sz w:val="18"/>
                <w:szCs w:val="18"/>
                <w:highlight w:val="yellow"/>
              </w:rPr>
              <w:fldChar w:fldCharType="begin">
                <w:ffData>
                  <w:name w:val="F_GEB_BD_target"/>
                  <w:enabled/>
                  <w:calcOnExit w:val="0"/>
                  <w:textInput/>
                </w:ffData>
              </w:fldChar>
            </w:r>
            <w:r w:rsidRPr="00E30B5B">
              <w:rPr>
                <w:i/>
                <w:color w:val="000000"/>
                <w:sz w:val="18"/>
                <w:szCs w:val="18"/>
                <w:highlight w:val="yellow"/>
              </w:rPr>
              <w:instrText xml:space="preserve"> FORMTEXT </w:instrText>
            </w:r>
            <w:r w:rsidRPr="00E30B5B">
              <w:rPr>
                <w:i/>
                <w:color w:val="000000"/>
                <w:sz w:val="18"/>
                <w:szCs w:val="18"/>
                <w:highlight w:val="yellow"/>
              </w:rPr>
            </w:r>
            <w:r w:rsidRPr="00E30B5B">
              <w:rPr>
                <w:i/>
                <w:color w:val="000000"/>
                <w:sz w:val="18"/>
                <w:szCs w:val="18"/>
                <w:highlight w:val="yellow"/>
              </w:rPr>
              <w:fldChar w:fldCharType="separate"/>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fldChar w:fldCharType="end"/>
            </w:r>
          </w:p>
        </w:tc>
        <w:tc>
          <w:tcPr>
            <w:tcW w:w="1485" w:type="dxa"/>
            <w:gridSpan w:val="3"/>
          </w:tcPr>
          <w:p w14:paraId="79416065" w14:textId="77777777" w:rsidR="007520C1" w:rsidRPr="00E30B5B" w:rsidRDefault="007520C1" w:rsidP="00E049DB">
            <w:pPr>
              <w:jc w:val="right"/>
              <w:rPr>
                <w:sz w:val="18"/>
                <w:szCs w:val="18"/>
                <w:highlight w:val="yellow"/>
              </w:rPr>
            </w:pPr>
            <w:r w:rsidRPr="00E30B5B">
              <w:rPr>
                <w:i/>
                <w:color w:val="000000"/>
                <w:sz w:val="18"/>
                <w:szCs w:val="18"/>
                <w:highlight w:val="yellow"/>
              </w:rPr>
              <w:fldChar w:fldCharType="begin">
                <w:ffData>
                  <w:name w:val="F_GEB_BD_target"/>
                  <w:enabled/>
                  <w:calcOnExit w:val="0"/>
                  <w:textInput/>
                </w:ffData>
              </w:fldChar>
            </w:r>
            <w:r w:rsidRPr="00E30B5B">
              <w:rPr>
                <w:i/>
                <w:color w:val="000000"/>
                <w:sz w:val="18"/>
                <w:szCs w:val="18"/>
                <w:highlight w:val="yellow"/>
              </w:rPr>
              <w:instrText xml:space="preserve"> FORMTEXT </w:instrText>
            </w:r>
            <w:r w:rsidRPr="00E30B5B">
              <w:rPr>
                <w:i/>
                <w:color w:val="000000"/>
                <w:sz w:val="18"/>
                <w:szCs w:val="18"/>
                <w:highlight w:val="yellow"/>
              </w:rPr>
            </w:r>
            <w:r w:rsidRPr="00E30B5B">
              <w:rPr>
                <w:i/>
                <w:color w:val="000000"/>
                <w:sz w:val="18"/>
                <w:szCs w:val="18"/>
                <w:highlight w:val="yellow"/>
              </w:rPr>
              <w:fldChar w:fldCharType="separate"/>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fldChar w:fldCharType="end"/>
            </w:r>
          </w:p>
        </w:tc>
        <w:tc>
          <w:tcPr>
            <w:tcW w:w="1324" w:type="dxa"/>
            <w:gridSpan w:val="2"/>
          </w:tcPr>
          <w:p w14:paraId="5C1C00B8" w14:textId="77777777" w:rsidR="007520C1" w:rsidRPr="00E30B5B" w:rsidRDefault="007520C1" w:rsidP="00E049DB">
            <w:pPr>
              <w:jc w:val="right"/>
              <w:rPr>
                <w:sz w:val="18"/>
                <w:szCs w:val="18"/>
                <w:highlight w:val="yellow"/>
              </w:rPr>
            </w:pPr>
            <w:r w:rsidRPr="00E30B5B">
              <w:rPr>
                <w:i/>
                <w:color w:val="000000"/>
                <w:sz w:val="18"/>
                <w:szCs w:val="18"/>
                <w:highlight w:val="yellow"/>
              </w:rPr>
              <w:fldChar w:fldCharType="begin">
                <w:ffData>
                  <w:name w:val="F_GEB_BD_target"/>
                  <w:enabled/>
                  <w:calcOnExit w:val="0"/>
                  <w:textInput/>
                </w:ffData>
              </w:fldChar>
            </w:r>
            <w:r w:rsidRPr="00E30B5B">
              <w:rPr>
                <w:i/>
                <w:color w:val="000000"/>
                <w:sz w:val="18"/>
                <w:szCs w:val="18"/>
                <w:highlight w:val="yellow"/>
              </w:rPr>
              <w:instrText xml:space="preserve"> FORMTEXT </w:instrText>
            </w:r>
            <w:r w:rsidRPr="00E30B5B">
              <w:rPr>
                <w:i/>
                <w:color w:val="000000"/>
                <w:sz w:val="18"/>
                <w:szCs w:val="18"/>
                <w:highlight w:val="yellow"/>
              </w:rPr>
            </w:r>
            <w:r w:rsidRPr="00E30B5B">
              <w:rPr>
                <w:i/>
                <w:color w:val="000000"/>
                <w:sz w:val="18"/>
                <w:szCs w:val="18"/>
                <w:highlight w:val="yellow"/>
              </w:rPr>
              <w:fldChar w:fldCharType="separate"/>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fldChar w:fldCharType="end"/>
            </w:r>
          </w:p>
        </w:tc>
        <w:tc>
          <w:tcPr>
            <w:tcW w:w="1287" w:type="dxa"/>
          </w:tcPr>
          <w:p w14:paraId="395480C4" w14:textId="77777777" w:rsidR="007520C1" w:rsidRPr="00E30B5B" w:rsidRDefault="007520C1" w:rsidP="00E049DB">
            <w:pPr>
              <w:jc w:val="right"/>
              <w:rPr>
                <w:sz w:val="18"/>
                <w:szCs w:val="18"/>
                <w:highlight w:val="yellow"/>
              </w:rPr>
            </w:pPr>
            <w:r w:rsidRPr="00E30B5B">
              <w:rPr>
                <w:i/>
                <w:color w:val="000000"/>
                <w:sz w:val="18"/>
                <w:szCs w:val="18"/>
                <w:highlight w:val="yellow"/>
              </w:rPr>
              <w:fldChar w:fldCharType="begin">
                <w:ffData>
                  <w:name w:val="F_GEB_BD_target"/>
                  <w:enabled/>
                  <w:calcOnExit w:val="0"/>
                  <w:textInput/>
                </w:ffData>
              </w:fldChar>
            </w:r>
            <w:r w:rsidRPr="00E30B5B">
              <w:rPr>
                <w:i/>
                <w:color w:val="000000"/>
                <w:sz w:val="18"/>
                <w:szCs w:val="18"/>
                <w:highlight w:val="yellow"/>
              </w:rPr>
              <w:instrText xml:space="preserve"> FORMTEXT </w:instrText>
            </w:r>
            <w:r w:rsidRPr="00E30B5B">
              <w:rPr>
                <w:i/>
                <w:color w:val="000000"/>
                <w:sz w:val="18"/>
                <w:szCs w:val="18"/>
                <w:highlight w:val="yellow"/>
              </w:rPr>
            </w:r>
            <w:r w:rsidRPr="00E30B5B">
              <w:rPr>
                <w:i/>
                <w:color w:val="000000"/>
                <w:sz w:val="18"/>
                <w:szCs w:val="18"/>
                <w:highlight w:val="yellow"/>
              </w:rPr>
              <w:fldChar w:fldCharType="separate"/>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fldChar w:fldCharType="end"/>
            </w:r>
          </w:p>
        </w:tc>
      </w:tr>
      <w:tr w:rsidR="007520C1" w:rsidRPr="004244E0" w14:paraId="545FF178" w14:textId="77777777" w:rsidTr="00DB02C4">
        <w:tc>
          <w:tcPr>
            <w:tcW w:w="1298" w:type="dxa"/>
          </w:tcPr>
          <w:p w14:paraId="20A2EFFA" w14:textId="77777777" w:rsidR="007520C1" w:rsidRPr="00E30B5B" w:rsidRDefault="007520C1" w:rsidP="00E049DB">
            <w:pPr>
              <w:jc w:val="right"/>
              <w:rPr>
                <w:sz w:val="18"/>
                <w:szCs w:val="18"/>
                <w:highlight w:val="yellow"/>
              </w:rPr>
            </w:pPr>
          </w:p>
        </w:tc>
        <w:tc>
          <w:tcPr>
            <w:tcW w:w="933" w:type="dxa"/>
          </w:tcPr>
          <w:p w14:paraId="25DD0970" w14:textId="77777777" w:rsidR="007520C1" w:rsidRPr="00E30B5B" w:rsidRDefault="007520C1" w:rsidP="00E049DB">
            <w:pPr>
              <w:jc w:val="right"/>
              <w:rPr>
                <w:sz w:val="18"/>
                <w:szCs w:val="18"/>
                <w:highlight w:val="yellow"/>
              </w:rPr>
            </w:pPr>
          </w:p>
        </w:tc>
        <w:tc>
          <w:tcPr>
            <w:tcW w:w="1726" w:type="dxa"/>
          </w:tcPr>
          <w:p w14:paraId="2BBFC955" w14:textId="77777777" w:rsidR="007520C1" w:rsidRPr="00E30B5B" w:rsidRDefault="007520C1" w:rsidP="00E049DB">
            <w:pPr>
              <w:jc w:val="right"/>
              <w:rPr>
                <w:sz w:val="18"/>
                <w:szCs w:val="18"/>
                <w:highlight w:val="yellow"/>
              </w:rPr>
            </w:pPr>
            <w:r w:rsidRPr="00E30B5B">
              <w:rPr>
                <w:i/>
                <w:color w:val="000000"/>
                <w:sz w:val="18"/>
                <w:szCs w:val="18"/>
                <w:highlight w:val="yellow"/>
              </w:rPr>
              <w:fldChar w:fldCharType="begin">
                <w:ffData>
                  <w:name w:val="F_GEB_BD_target"/>
                  <w:enabled/>
                  <w:calcOnExit w:val="0"/>
                  <w:textInput/>
                </w:ffData>
              </w:fldChar>
            </w:r>
            <w:r w:rsidRPr="00E30B5B">
              <w:rPr>
                <w:i/>
                <w:color w:val="000000"/>
                <w:sz w:val="18"/>
                <w:szCs w:val="18"/>
                <w:highlight w:val="yellow"/>
              </w:rPr>
              <w:instrText xml:space="preserve"> FORMTEXT </w:instrText>
            </w:r>
            <w:r w:rsidRPr="00E30B5B">
              <w:rPr>
                <w:i/>
                <w:color w:val="000000"/>
                <w:sz w:val="18"/>
                <w:szCs w:val="18"/>
                <w:highlight w:val="yellow"/>
              </w:rPr>
            </w:r>
            <w:r w:rsidRPr="00E30B5B">
              <w:rPr>
                <w:i/>
                <w:color w:val="000000"/>
                <w:sz w:val="18"/>
                <w:szCs w:val="18"/>
                <w:highlight w:val="yellow"/>
              </w:rPr>
              <w:fldChar w:fldCharType="separate"/>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fldChar w:fldCharType="end"/>
            </w:r>
          </w:p>
        </w:tc>
        <w:tc>
          <w:tcPr>
            <w:tcW w:w="2782" w:type="dxa"/>
            <w:gridSpan w:val="2"/>
          </w:tcPr>
          <w:p w14:paraId="779B8BD4" w14:textId="77777777" w:rsidR="007520C1" w:rsidRPr="00E30B5B" w:rsidRDefault="007520C1" w:rsidP="00E049DB">
            <w:pPr>
              <w:jc w:val="right"/>
              <w:rPr>
                <w:sz w:val="18"/>
                <w:szCs w:val="18"/>
                <w:highlight w:val="yellow"/>
              </w:rPr>
            </w:pPr>
            <w:r w:rsidRPr="00E30B5B">
              <w:rPr>
                <w:i/>
                <w:color w:val="000000"/>
                <w:sz w:val="18"/>
                <w:szCs w:val="18"/>
                <w:highlight w:val="yellow"/>
              </w:rPr>
              <w:fldChar w:fldCharType="begin">
                <w:ffData>
                  <w:name w:val="F_GEB_BD_target"/>
                  <w:enabled/>
                  <w:calcOnExit w:val="0"/>
                  <w:textInput/>
                </w:ffData>
              </w:fldChar>
            </w:r>
            <w:r w:rsidRPr="00E30B5B">
              <w:rPr>
                <w:i/>
                <w:color w:val="000000"/>
                <w:sz w:val="18"/>
                <w:szCs w:val="18"/>
                <w:highlight w:val="yellow"/>
              </w:rPr>
              <w:instrText xml:space="preserve"> FORMTEXT </w:instrText>
            </w:r>
            <w:r w:rsidRPr="00E30B5B">
              <w:rPr>
                <w:i/>
                <w:color w:val="000000"/>
                <w:sz w:val="18"/>
                <w:szCs w:val="18"/>
                <w:highlight w:val="yellow"/>
              </w:rPr>
            </w:r>
            <w:r w:rsidRPr="00E30B5B">
              <w:rPr>
                <w:i/>
                <w:color w:val="000000"/>
                <w:sz w:val="18"/>
                <w:szCs w:val="18"/>
                <w:highlight w:val="yellow"/>
              </w:rPr>
              <w:fldChar w:fldCharType="separate"/>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fldChar w:fldCharType="end"/>
            </w:r>
          </w:p>
        </w:tc>
        <w:tc>
          <w:tcPr>
            <w:tcW w:w="1485" w:type="dxa"/>
            <w:gridSpan w:val="3"/>
          </w:tcPr>
          <w:p w14:paraId="25504EEF" w14:textId="77777777" w:rsidR="007520C1" w:rsidRPr="00E30B5B" w:rsidRDefault="007520C1" w:rsidP="00E049DB">
            <w:pPr>
              <w:jc w:val="right"/>
              <w:rPr>
                <w:sz w:val="18"/>
                <w:szCs w:val="18"/>
                <w:highlight w:val="yellow"/>
              </w:rPr>
            </w:pPr>
            <w:r w:rsidRPr="00E30B5B">
              <w:rPr>
                <w:i/>
                <w:color w:val="000000"/>
                <w:sz w:val="18"/>
                <w:szCs w:val="18"/>
                <w:highlight w:val="yellow"/>
              </w:rPr>
              <w:fldChar w:fldCharType="begin">
                <w:ffData>
                  <w:name w:val="F_GEB_BD_target"/>
                  <w:enabled/>
                  <w:calcOnExit w:val="0"/>
                  <w:textInput/>
                </w:ffData>
              </w:fldChar>
            </w:r>
            <w:r w:rsidRPr="00E30B5B">
              <w:rPr>
                <w:i/>
                <w:color w:val="000000"/>
                <w:sz w:val="18"/>
                <w:szCs w:val="18"/>
                <w:highlight w:val="yellow"/>
              </w:rPr>
              <w:instrText xml:space="preserve"> FORMTEXT </w:instrText>
            </w:r>
            <w:r w:rsidRPr="00E30B5B">
              <w:rPr>
                <w:i/>
                <w:color w:val="000000"/>
                <w:sz w:val="18"/>
                <w:szCs w:val="18"/>
                <w:highlight w:val="yellow"/>
              </w:rPr>
            </w:r>
            <w:r w:rsidRPr="00E30B5B">
              <w:rPr>
                <w:i/>
                <w:color w:val="000000"/>
                <w:sz w:val="18"/>
                <w:szCs w:val="18"/>
                <w:highlight w:val="yellow"/>
              </w:rPr>
              <w:fldChar w:fldCharType="separate"/>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fldChar w:fldCharType="end"/>
            </w:r>
          </w:p>
        </w:tc>
        <w:tc>
          <w:tcPr>
            <w:tcW w:w="1324" w:type="dxa"/>
            <w:gridSpan w:val="2"/>
          </w:tcPr>
          <w:p w14:paraId="14F0F7AD" w14:textId="77777777" w:rsidR="007520C1" w:rsidRPr="00E30B5B" w:rsidRDefault="007520C1" w:rsidP="00E049DB">
            <w:pPr>
              <w:jc w:val="right"/>
              <w:rPr>
                <w:sz w:val="18"/>
                <w:szCs w:val="18"/>
                <w:highlight w:val="yellow"/>
              </w:rPr>
            </w:pPr>
            <w:r w:rsidRPr="00E30B5B">
              <w:rPr>
                <w:i/>
                <w:color w:val="000000"/>
                <w:sz w:val="18"/>
                <w:szCs w:val="18"/>
                <w:highlight w:val="yellow"/>
              </w:rPr>
              <w:fldChar w:fldCharType="begin">
                <w:ffData>
                  <w:name w:val="F_GEB_BD_target"/>
                  <w:enabled/>
                  <w:calcOnExit w:val="0"/>
                  <w:textInput/>
                </w:ffData>
              </w:fldChar>
            </w:r>
            <w:r w:rsidRPr="00E30B5B">
              <w:rPr>
                <w:i/>
                <w:color w:val="000000"/>
                <w:sz w:val="18"/>
                <w:szCs w:val="18"/>
                <w:highlight w:val="yellow"/>
              </w:rPr>
              <w:instrText xml:space="preserve"> FORMTEXT </w:instrText>
            </w:r>
            <w:r w:rsidRPr="00E30B5B">
              <w:rPr>
                <w:i/>
                <w:color w:val="000000"/>
                <w:sz w:val="18"/>
                <w:szCs w:val="18"/>
                <w:highlight w:val="yellow"/>
              </w:rPr>
            </w:r>
            <w:r w:rsidRPr="00E30B5B">
              <w:rPr>
                <w:i/>
                <w:color w:val="000000"/>
                <w:sz w:val="18"/>
                <w:szCs w:val="18"/>
                <w:highlight w:val="yellow"/>
              </w:rPr>
              <w:fldChar w:fldCharType="separate"/>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fldChar w:fldCharType="end"/>
            </w:r>
          </w:p>
        </w:tc>
        <w:tc>
          <w:tcPr>
            <w:tcW w:w="1287" w:type="dxa"/>
          </w:tcPr>
          <w:p w14:paraId="7B5A5AF2" w14:textId="77777777" w:rsidR="007520C1" w:rsidRPr="00E30B5B" w:rsidRDefault="007520C1" w:rsidP="00E049DB">
            <w:pPr>
              <w:jc w:val="right"/>
              <w:rPr>
                <w:sz w:val="18"/>
                <w:szCs w:val="18"/>
                <w:highlight w:val="yellow"/>
              </w:rPr>
            </w:pPr>
            <w:r w:rsidRPr="00E30B5B">
              <w:rPr>
                <w:i/>
                <w:color w:val="000000"/>
                <w:sz w:val="18"/>
                <w:szCs w:val="18"/>
                <w:highlight w:val="yellow"/>
              </w:rPr>
              <w:fldChar w:fldCharType="begin">
                <w:ffData>
                  <w:name w:val="F_GEB_BD_target"/>
                  <w:enabled/>
                  <w:calcOnExit w:val="0"/>
                  <w:textInput/>
                </w:ffData>
              </w:fldChar>
            </w:r>
            <w:r w:rsidRPr="00E30B5B">
              <w:rPr>
                <w:i/>
                <w:color w:val="000000"/>
                <w:sz w:val="18"/>
                <w:szCs w:val="18"/>
                <w:highlight w:val="yellow"/>
              </w:rPr>
              <w:instrText xml:space="preserve"> FORMTEXT </w:instrText>
            </w:r>
            <w:r w:rsidRPr="00E30B5B">
              <w:rPr>
                <w:i/>
                <w:color w:val="000000"/>
                <w:sz w:val="18"/>
                <w:szCs w:val="18"/>
                <w:highlight w:val="yellow"/>
              </w:rPr>
            </w:r>
            <w:r w:rsidRPr="00E30B5B">
              <w:rPr>
                <w:i/>
                <w:color w:val="000000"/>
                <w:sz w:val="18"/>
                <w:szCs w:val="18"/>
                <w:highlight w:val="yellow"/>
              </w:rPr>
              <w:fldChar w:fldCharType="separate"/>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fldChar w:fldCharType="end"/>
            </w:r>
          </w:p>
        </w:tc>
      </w:tr>
      <w:tr w:rsidR="007520C1" w:rsidRPr="004244E0" w14:paraId="29CA7697" w14:textId="77777777" w:rsidTr="00DB02C4">
        <w:tc>
          <w:tcPr>
            <w:tcW w:w="1298" w:type="dxa"/>
            <w:shd w:val="clear" w:color="auto" w:fill="BFBFBF" w:themeFill="background1" w:themeFillShade="BF"/>
          </w:tcPr>
          <w:p w14:paraId="7FBF76A9" w14:textId="77777777" w:rsidR="007520C1" w:rsidRPr="00E30B5B" w:rsidRDefault="007520C1" w:rsidP="00E049DB">
            <w:pPr>
              <w:rPr>
                <w:sz w:val="18"/>
                <w:szCs w:val="18"/>
                <w:highlight w:val="yellow"/>
              </w:rPr>
            </w:pPr>
            <w:r w:rsidRPr="00E30B5B">
              <w:rPr>
                <w:sz w:val="18"/>
                <w:szCs w:val="18"/>
                <w:highlight w:val="yellow"/>
              </w:rPr>
              <w:t>Indicator 7.3</w:t>
            </w:r>
          </w:p>
        </w:tc>
        <w:tc>
          <w:tcPr>
            <w:tcW w:w="6765" w:type="dxa"/>
            <w:gridSpan w:val="5"/>
            <w:shd w:val="clear" w:color="auto" w:fill="BFBFBF" w:themeFill="background1" w:themeFillShade="BF"/>
          </w:tcPr>
          <w:p w14:paraId="6F382B13" w14:textId="77777777" w:rsidR="007520C1" w:rsidRPr="00E30B5B" w:rsidRDefault="007520C1" w:rsidP="00E049DB">
            <w:pPr>
              <w:rPr>
                <w:sz w:val="18"/>
                <w:szCs w:val="18"/>
                <w:highlight w:val="yellow"/>
              </w:rPr>
            </w:pPr>
            <w:r w:rsidRPr="00E30B5B">
              <w:rPr>
                <w:sz w:val="18"/>
                <w:szCs w:val="18"/>
                <w:highlight w:val="yellow"/>
              </w:rPr>
              <w:t>Level of National/Local reforms and active participation of Inter-Ministerial Committees</w:t>
            </w:r>
          </w:p>
        </w:tc>
        <w:tc>
          <w:tcPr>
            <w:tcW w:w="2772" w:type="dxa"/>
            <w:gridSpan w:val="5"/>
            <w:shd w:val="clear" w:color="auto" w:fill="BFBFBF" w:themeFill="background1" w:themeFillShade="BF"/>
          </w:tcPr>
          <w:p w14:paraId="58D97781" w14:textId="77777777" w:rsidR="007520C1" w:rsidRPr="00E30B5B" w:rsidRDefault="007520C1" w:rsidP="00E049DB">
            <w:pPr>
              <w:jc w:val="right"/>
              <w:rPr>
                <w:sz w:val="18"/>
                <w:szCs w:val="18"/>
                <w:highlight w:val="yellow"/>
              </w:rPr>
            </w:pPr>
            <w:r w:rsidRPr="00E30B5B">
              <w:rPr>
                <w:i/>
                <w:color w:val="000000"/>
                <w:sz w:val="18"/>
                <w:szCs w:val="18"/>
                <w:highlight w:val="yellow"/>
              </w:rPr>
              <w:fldChar w:fldCharType="begin">
                <w:ffData>
                  <w:name w:val="F_GEB_BD_target"/>
                  <w:enabled/>
                  <w:calcOnExit w:val="0"/>
                  <w:textInput/>
                </w:ffData>
              </w:fldChar>
            </w:r>
            <w:r w:rsidRPr="00E30B5B">
              <w:rPr>
                <w:i/>
                <w:color w:val="000000"/>
                <w:sz w:val="18"/>
                <w:szCs w:val="18"/>
                <w:highlight w:val="yellow"/>
              </w:rPr>
              <w:instrText xml:space="preserve"> FORMTEXT </w:instrText>
            </w:r>
            <w:r w:rsidRPr="00E30B5B">
              <w:rPr>
                <w:i/>
                <w:color w:val="000000"/>
                <w:sz w:val="18"/>
                <w:szCs w:val="18"/>
                <w:highlight w:val="yellow"/>
              </w:rPr>
            </w:r>
            <w:r w:rsidRPr="00E30B5B">
              <w:rPr>
                <w:i/>
                <w:color w:val="000000"/>
                <w:sz w:val="18"/>
                <w:szCs w:val="18"/>
                <w:highlight w:val="yellow"/>
              </w:rPr>
              <w:fldChar w:fldCharType="separate"/>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fldChar w:fldCharType="end"/>
            </w:r>
          </w:p>
        </w:tc>
      </w:tr>
      <w:tr w:rsidR="007520C1" w:rsidRPr="004244E0" w14:paraId="646CF48D" w14:textId="77777777" w:rsidTr="00DB02C4">
        <w:trPr>
          <w:trHeight w:val="179"/>
        </w:trPr>
        <w:tc>
          <w:tcPr>
            <w:tcW w:w="1298" w:type="dxa"/>
            <w:vMerge w:val="restart"/>
          </w:tcPr>
          <w:p w14:paraId="573459D1" w14:textId="77777777" w:rsidR="007520C1" w:rsidRPr="00E30B5B" w:rsidRDefault="007520C1" w:rsidP="00E049DB">
            <w:pPr>
              <w:rPr>
                <w:sz w:val="18"/>
                <w:szCs w:val="18"/>
                <w:highlight w:val="yellow"/>
              </w:rPr>
            </w:pPr>
          </w:p>
        </w:tc>
        <w:tc>
          <w:tcPr>
            <w:tcW w:w="933" w:type="dxa"/>
            <w:vMerge w:val="restart"/>
          </w:tcPr>
          <w:p w14:paraId="0E669466" w14:textId="77777777" w:rsidR="007520C1" w:rsidRPr="00E30B5B" w:rsidRDefault="007520C1" w:rsidP="00E049DB">
            <w:pPr>
              <w:rPr>
                <w:sz w:val="18"/>
                <w:szCs w:val="18"/>
                <w:highlight w:val="yellow"/>
              </w:rPr>
            </w:pPr>
          </w:p>
        </w:tc>
        <w:tc>
          <w:tcPr>
            <w:tcW w:w="1726" w:type="dxa"/>
            <w:vMerge w:val="restart"/>
          </w:tcPr>
          <w:p w14:paraId="1057CEFF" w14:textId="77777777" w:rsidR="007520C1" w:rsidRPr="00E30B5B" w:rsidRDefault="007520C1" w:rsidP="00E049DB">
            <w:pPr>
              <w:rPr>
                <w:sz w:val="18"/>
                <w:szCs w:val="18"/>
                <w:highlight w:val="yellow"/>
              </w:rPr>
            </w:pPr>
            <w:r w:rsidRPr="00E30B5B">
              <w:rPr>
                <w:sz w:val="18"/>
                <w:szCs w:val="18"/>
                <w:highlight w:val="yellow"/>
              </w:rPr>
              <w:t>Shared water ecosystem</w:t>
            </w:r>
          </w:p>
        </w:tc>
        <w:tc>
          <w:tcPr>
            <w:tcW w:w="6878" w:type="dxa"/>
            <w:gridSpan w:val="8"/>
          </w:tcPr>
          <w:p w14:paraId="13ACBA1F" w14:textId="77777777" w:rsidR="007520C1" w:rsidRPr="00E30B5B" w:rsidRDefault="007520C1" w:rsidP="00E049DB">
            <w:pPr>
              <w:jc w:val="center"/>
              <w:rPr>
                <w:sz w:val="18"/>
                <w:szCs w:val="18"/>
                <w:highlight w:val="yellow"/>
              </w:rPr>
            </w:pPr>
            <w:r w:rsidRPr="00E30B5B">
              <w:rPr>
                <w:sz w:val="18"/>
                <w:szCs w:val="18"/>
                <w:highlight w:val="yellow"/>
              </w:rPr>
              <w:t>Rating (scale 1-4)</w:t>
            </w:r>
          </w:p>
        </w:tc>
      </w:tr>
      <w:tr w:rsidR="007520C1" w:rsidRPr="004244E0" w14:paraId="72D874CD" w14:textId="77777777" w:rsidTr="00DB02C4">
        <w:trPr>
          <w:trHeight w:val="62"/>
        </w:trPr>
        <w:tc>
          <w:tcPr>
            <w:tcW w:w="1298" w:type="dxa"/>
            <w:vMerge/>
          </w:tcPr>
          <w:p w14:paraId="42EEB564" w14:textId="77777777" w:rsidR="007520C1" w:rsidRPr="00E30B5B" w:rsidRDefault="007520C1" w:rsidP="00E049DB">
            <w:pPr>
              <w:rPr>
                <w:sz w:val="18"/>
                <w:szCs w:val="18"/>
                <w:highlight w:val="yellow"/>
              </w:rPr>
            </w:pPr>
          </w:p>
        </w:tc>
        <w:tc>
          <w:tcPr>
            <w:tcW w:w="933" w:type="dxa"/>
            <w:vMerge/>
          </w:tcPr>
          <w:p w14:paraId="5AB193F2" w14:textId="77777777" w:rsidR="007520C1" w:rsidRPr="00E30B5B" w:rsidRDefault="007520C1" w:rsidP="00E049DB">
            <w:pPr>
              <w:rPr>
                <w:sz w:val="18"/>
                <w:szCs w:val="18"/>
                <w:highlight w:val="yellow"/>
              </w:rPr>
            </w:pPr>
          </w:p>
        </w:tc>
        <w:tc>
          <w:tcPr>
            <w:tcW w:w="1726" w:type="dxa"/>
            <w:vMerge/>
          </w:tcPr>
          <w:p w14:paraId="698583DA" w14:textId="77777777" w:rsidR="007520C1" w:rsidRPr="00E30B5B" w:rsidRDefault="007520C1" w:rsidP="00E049DB">
            <w:pPr>
              <w:rPr>
                <w:sz w:val="18"/>
                <w:szCs w:val="18"/>
                <w:highlight w:val="yellow"/>
              </w:rPr>
            </w:pPr>
          </w:p>
        </w:tc>
        <w:tc>
          <w:tcPr>
            <w:tcW w:w="2782" w:type="dxa"/>
            <w:gridSpan w:val="2"/>
          </w:tcPr>
          <w:p w14:paraId="42203356" w14:textId="77777777" w:rsidR="007520C1" w:rsidRPr="00E30B5B" w:rsidRDefault="007520C1" w:rsidP="00E049DB">
            <w:pPr>
              <w:jc w:val="center"/>
              <w:rPr>
                <w:sz w:val="18"/>
                <w:szCs w:val="18"/>
                <w:highlight w:val="yellow"/>
              </w:rPr>
            </w:pPr>
            <w:r w:rsidRPr="00E30B5B">
              <w:rPr>
                <w:sz w:val="18"/>
                <w:szCs w:val="18"/>
                <w:highlight w:val="yellow"/>
              </w:rPr>
              <w:t>PIF stage</w:t>
            </w:r>
          </w:p>
        </w:tc>
        <w:tc>
          <w:tcPr>
            <w:tcW w:w="1485" w:type="dxa"/>
            <w:gridSpan w:val="3"/>
          </w:tcPr>
          <w:p w14:paraId="685E4EB8" w14:textId="77777777" w:rsidR="007520C1" w:rsidRPr="00E30B5B" w:rsidRDefault="007520C1" w:rsidP="00E049DB">
            <w:pPr>
              <w:jc w:val="center"/>
              <w:rPr>
                <w:sz w:val="18"/>
                <w:szCs w:val="18"/>
                <w:highlight w:val="yellow"/>
              </w:rPr>
            </w:pPr>
            <w:r w:rsidRPr="00E30B5B">
              <w:rPr>
                <w:sz w:val="18"/>
                <w:szCs w:val="18"/>
                <w:highlight w:val="yellow"/>
              </w:rPr>
              <w:t>Endorsement</w:t>
            </w:r>
          </w:p>
        </w:tc>
        <w:tc>
          <w:tcPr>
            <w:tcW w:w="1324" w:type="dxa"/>
            <w:gridSpan w:val="2"/>
          </w:tcPr>
          <w:p w14:paraId="04FED8F1" w14:textId="77777777" w:rsidR="007520C1" w:rsidRPr="00E30B5B" w:rsidRDefault="007520C1" w:rsidP="00E049DB">
            <w:pPr>
              <w:jc w:val="center"/>
              <w:rPr>
                <w:sz w:val="18"/>
                <w:szCs w:val="18"/>
                <w:highlight w:val="yellow"/>
              </w:rPr>
            </w:pPr>
            <w:r w:rsidRPr="00E30B5B">
              <w:rPr>
                <w:sz w:val="18"/>
                <w:szCs w:val="18"/>
                <w:highlight w:val="yellow"/>
              </w:rPr>
              <w:t>MTR</w:t>
            </w:r>
          </w:p>
        </w:tc>
        <w:tc>
          <w:tcPr>
            <w:tcW w:w="1287" w:type="dxa"/>
          </w:tcPr>
          <w:p w14:paraId="3FD53ED6" w14:textId="77777777" w:rsidR="007520C1" w:rsidRPr="00E30B5B" w:rsidRDefault="007520C1" w:rsidP="00E049DB">
            <w:pPr>
              <w:jc w:val="center"/>
              <w:rPr>
                <w:sz w:val="18"/>
                <w:szCs w:val="18"/>
                <w:highlight w:val="yellow"/>
              </w:rPr>
            </w:pPr>
            <w:r w:rsidRPr="00E30B5B">
              <w:rPr>
                <w:sz w:val="18"/>
                <w:szCs w:val="18"/>
                <w:highlight w:val="yellow"/>
              </w:rPr>
              <w:t>TE</w:t>
            </w:r>
          </w:p>
        </w:tc>
      </w:tr>
      <w:tr w:rsidR="007520C1" w:rsidRPr="004244E0" w14:paraId="31835EDE" w14:textId="77777777" w:rsidTr="00DB02C4">
        <w:tc>
          <w:tcPr>
            <w:tcW w:w="1298" w:type="dxa"/>
          </w:tcPr>
          <w:p w14:paraId="7505CD3D" w14:textId="77777777" w:rsidR="007520C1" w:rsidRPr="00E30B5B" w:rsidRDefault="007520C1" w:rsidP="00E049DB">
            <w:pPr>
              <w:jc w:val="right"/>
              <w:rPr>
                <w:sz w:val="18"/>
                <w:szCs w:val="18"/>
                <w:highlight w:val="yellow"/>
              </w:rPr>
            </w:pPr>
          </w:p>
        </w:tc>
        <w:tc>
          <w:tcPr>
            <w:tcW w:w="933" w:type="dxa"/>
          </w:tcPr>
          <w:p w14:paraId="7A9F853B" w14:textId="77777777" w:rsidR="007520C1" w:rsidRPr="00E30B5B" w:rsidRDefault="007520C1" w:rsidP="00E049DB">
            <w:pPr>
              <w:jc w:val="right"/>
              <w:rPr>
                <w:sz w:val="18"/>
                <w:szCs w:val="18"/>
                <w:highlight w:val="yellow"/>
              </w:rPr>
            </w:pPr>
          </w:p>
        </w:tc>
        <w:tc>
          <w:tcPr>
            <w:tcW w:w="1726" w:type="dxa"/>
          </w:tcPr>
          <w:p w14:paraId="54C7342D" w14:textId="77777777" w:rsidR="007520C1" w:rsidRPr="00E30B5B" w:rsidRDefault="007520C1" w:rsidP="00E049DB">
            <w:pPr>
              <w:jc w:val="right"/>
              <w:rPr>
                <w:sz w:val="18"/>
                <w:szCs w:val="18"/>
                <w:highlight w:val="yellow"/>
              </w:rPr>
            </w:pPr>
          </w:p>
        </w:tc>
        <w:tc>
          <w:tcPr>
            <w:tcW w:w="2782" w:type="dxa"/>
            <w:gridSpan w:val="2"/>
          </w:tcPr>
          <w:p w14:paraId="7929730B" w14:textId="77777777" w:rsidR="007520C1" w:rsidRPr="00E30B5B" w:rsidRDefault="007520C1" w:rsidP="00E049DB">
            <w:pPr>
              <w:jc w:val="right"/>
              <w:rPr>
                <w:sz w:val="18"/>
                <w:szCs w:val="18"/>
                <w:highlight w:val="yellow"/>
              </w:rPr>
            </w:pPr>
            <w:r w:rsidRPr="00E30B5B">
              <w:rPr>
                <w:i/>
                <w:color w:val="000000"/>
                <w:sz w:val="18"/>
                <w:szCs w:val="18"/>
                <w:highlight w:val="yellow"/>
              </w:rPr>
              <w:fldChar w:fldCharType="begin">
                <w:ffData>
                  <w:name w:val="F_GEB_BD_target"/>
                  <w:enabled/>
                  <w:calcOnExit w:val="0"/>
                  <w:textInput/>
                </w:ffData>
              </w:fldChar>
            </w:r>
            <w:r w:rsidRPr="00E30B5B">
              <w:rPr>
                <w:i/>
                <w:color w:val="000000"/>
                <w:sz w:val="18"/>
                <w:szCs w:val="18"/>
                <w:highlight w:val="yellow"/>
              </w:rPr>
              <w:instrText xml:space="preserve"> FORMTEXT </w:instrText>
            </w:r>
            <w:r w:rsidRPr="00E30B5B">
              <w:rPr>
                <w:i/>
                <w:color w:val="000000"/>
                <w:sz w:val="18"/>
                <w:szCs w:val="18"/>
                <w:highlight w:val="yellow"/>
              </w:rPr>
            </w:r>
            <w:r w:rsidRPr="00E30B5B">
              <w:rPr>
                <w:i/>
                <w:color w:val="000000"/>
                <w:sz w:val="18"/>
                <w:szCs w:val="18"/>
                <w:highlight w:val="yellow"/>
              </w:rPr>
              <w:fldChar w:fldCharType="separate"/>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fldChar w:fldCharType="end"/>
            </w:r>
          </w:p>
        </w:tc>
        <w:tc>
          <w:tcPr>
            <w:tcW w:w="1485" w:type="dxa"/>
            <w:gridSpan w:val="3"/>
          </w:tcPr>
          <w:p w14:paraId="462F5EE3" w14:textId="77777777" w:rsidR="007520C1" w:rsidRPr="00E30B5B" w:rsidRDefault="007520C1" w:rsidP="00E049DB">
            <w:pPr>
              <w:jc w:val="right"/>
              <w:rPr>
                <w:sz w:val="18"/>
                <w:szCs w:val="18"/>
                <w:highlight w:val="yellow"/>
              </w:rPr>
            </w:pPr>
            <w:r w:rsidRPr="00E30B5B">
              <w:rPr>
                <w:i/>
                <w:color w:val="000000"/>
                <w:sz w:val="18"/>
                <w:szCs w:val="18"/>
                <w:highlight w:val="yellow"/>
              </w:rPr>
              <w:fldChar w:fldCharType="begin">
                <w:ffData>
                  <w:name w:val="F_GEB_BD_target"/>
                  <w:enabled/>
                  <w:calcOnExit w:val="0"/>
                  <w:textInput/>
                </w:ffData>
              </w:fldChar>
            </w:r>
            <w:r w:rsidRPr="00E30B5B">
              <w:rPr>
                <w:i/>
                <w:color w:val="000000"/>
                <w:sz w:val="18"/>
                <w:szCs w:val="18"/>
                <w:highlight w:val="yellow"/>
              </w:rPr>
              <w:instrText xml:space="preserve"> FORMTEXT </w:instrText>
            </w:r>
            <w:r w:rsidRPr="00E30B5B">
              <w:rPr>
                <w:i/>
                <w:color w:val="000000"/>
                <w:sz w:val="18"/>
                <w:szCs w:val="18"/>
                <w:highlight w:val="yellow"/>
              </w:rPr>
            </w:r>
            <w:r w:rsidRPr="00E30B5B">
              <w:rPr>
                <w:i/>
                <w:color w:val="000000"/>
                <w:sz w:val="18"/>
                <w:szCs w:val="18"/>
                <w:highlight w:val="yellow"/>
              </w:rPr>
              <w:fldChar w:fldCharType="separate"/>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fldChar w:fldCharType="end"/>
            </w:r>
          </w:p>
        </w:tc>
        <w:tc>
          <w:tcPr>
            <w:tcW w:w="1324" w:type="dxa"/>
            <w:gridSpan w:val="2"/>
          </w:tcPr>
          <w:p w14:paraId="225807E7" w14:textId="77777777" w:rsidR="007520C1" w:rsidRPr="00E30B5B" w:rsidRDefault="007520C1" w:rsidP="00E049DB">
            <w:pPr>
              <w:jc w:val="right"/>
              <w:rPr>
                <w:sz w:val="18"/>
                <w:szCs w:val="18"/>
                <w:highlight w:val="yellow"/>
              </w:rPr>
            </w:pPr>
            <w:r w:rsidRPr="00E30B5B">
              <w:rPr>
                <w:i/>
                <w:color w:val="000000"/>
                <w:sz w:val="18"/>
                <w:szCs w:val="18"/>
                <w:highlight w:val="yellow"/>
              </w:rPr>
              <w:fldChar w:fldCharType="begin">
                <w:ffData>
                  <w:name w:val="F_GEB_BD_target"/>
                  <w:enabled/>
                  <w:calcOnExit w:val="0"/>
                  <w:textInput/>
                </w:ffData>
              </w:fldChar>
            </w:r>
            <w:r w:rsidRPr="00E30B5B">
              <w:rPr>
                <w:i/>
                <w:color w:val="000000"/>
                <w:sz w:val="18"/>
                <w:szCs w:val="18"/>
                <w:highlight w:val="yellow"/>
              </w:rPr>
              <w:instrText xml:space="preserve"> FORMTEXT </w:instrText>
            </w:r>
            <w:r w:rsidRPr="00E30B5B">
              <w:rPr>
                <w:i/>
                <w:color w:val="000000"/>
                <w:sz w:val="18"/>
                <w:szCs w:val="18"/>
                <w:highlight w:val="yellow"/>
              </w:rPr>
            </w:r>
            <w:r w:rsidRPr="00E30B5B">
              <w:rPr>
                <w:i/>
                <w:color w:val="000000"/>
                <w:sz w:val="18"/>
                <w:szCs w:val="18"/>
                <w:highlight w:val="yellow"/>
              </w:rPr>
              <w:fldChar w:fldCharType="separate"/>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fldChar w:fldCharType="end"/>
            </w:r>
          </w:p>
        </w:tc>
        <w:tc>
          <w:tcPr>
            <w:tcW w:w="1287" w:type="dxa"/>
          </w:tcPr>
          <w:p w14:paraId="2633EFCD" w14:textId="77777777" w:rsidR="007520C1" w:rsidRPr="00E30B5B" w:rsidRDefault="007520C1" w:rsidP="00E049DB">
            <w:pPr>
              <w:jc w:val="right"/>
              <w:rPr>
                <w:sz w:val="18"/>
                <w:szCs w:val="18"/>
                <w:highlight w:val="yellow"/>
              </w:rPr>
            </w:pPr>
            <w:r w:rsidRPr="00E30B5B">
              <w:rPr>
                <w:i/>
                <w:color w:val="000000"/>
                <w:sz w:val="18"/>
                <w:szCs w:val="18"/>
                <w:highlight w:val="yellow"/>
              </w:rPr>
              <w:fldChar w:fldCharType="begin">
                <w:ffData>
                  <w:name w:val="F_GEB_BD_target"/>
                  <w:enabled/>
                  <w:calcOnExit w:val="0"/>
                  <w:textInput/>
                </w:ffData>
              </w:fldChar>
            </w:r>
            <w:r w:rsidRPr="00E30B5B">
              <w:rPr>
                <w:i/>
                <w:color w:val="000000"/>
                <w:sz w:val="18"/>
                <w:szCs w:val="18"/>
                <w:highlight w:val="yellow"/>
              </w:rPr>
              <w:instrText xml:space="preserve"> FORMTEXT </w:instrText>
            </w:r>
            <w:r w:rsidRPr="00E30B5B">
              <w:rPr>
                <w:i/>
                <w:color w:val="000000"/>
                <w:sz w:val="18"/>
                <w:szCs w:val="18"/>
                <w:highlight w:val="yellow"/>
              </w:rPr>
            </w:r>
            <w:r w:rsidRPr="00E30B5B">
              <w:rPr>
                <w:i/>
                <w:color w:val="000000"/>
                <w:sz w:val="18"/>
                <w:szCs w:val="18"/>
                <w:highlight w:val="yellow"/>
              </w:rPr>
              <w:fldChar w:fldCharType="separate"/>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fldChar w:fldCharType="end"/>
            </w:r>
          </w:p>
        </w:tc>
      </w:tr>
      <w:tr w:rsidR="007520C1" w:rsidRPr="004244E0" w14:paraId="2C35E569" w14:textId="77777777" w:rsidTr="00DB02C4">
        <w:tc>
          <w:tcPr>
            <w:tcW w:w="1298" w:type="dxa"/>
          </w:tcPr>
          <w:p w14:paraId="17DB4ADC" w14:textId="77777777" w:rsidR="007520C1" w:rsidRPr="00E30B5B" w:rsidRDefault="007520C1" w:rsidP="00E049DB">
            <w:pPr>
              <w:jc w:val="right"/>
              <w:rPr>
                <w:sz w:val="18"/>
                <w:szCs w:val="18"/>
                <w:highlight w:val="yellow"/>
              </w:rPr>
            </w:pPr>
          </w:p>
        </w:tc>
        <w:tc>
          <w:tcPr>
            <w:tcW w:w="933" w:type="dxa"/>
          </w:tcPr>
          <w:p w14:paraId="52D39617" w14:textId="77777777" w:rsidR="007520C1" w:rsidRPr="00E30B5B" w:rsidRDefault="007520C1" w:rsidP="00E049DB">
            <w:pPr>
              <w:jc w:val="right"/>
              <w:rPr>
                <w:sz w:val="18"/>
                <w:szCs w:val="18"/>
                <w:highlight w:val="yellow"/>
              </w:rPr>
            </w:pPr>
          </w:p>
        </w:tc>
        <w:tc>
          <w:tcPr>
            <w:tcW w:w="1726" w:type="dxa"/>
          </w:tcPr>
          <w:p w14:paraId="1A31C4BA" w14:textId="77777777" w:rsidR="007520C1" w:rsidRPr="00E30B5B" w:rsidRDefault="007520C1" w:rsidP="00E049DB">
            <w:pPr>
              <w:jc w:val="right"/>
              <w:rPr>
                <w:sz w:val="18"/>
                <w:szCs w:val="18"/>
                <w:highlight w:val="yellow"/>
              </w:rPr>
            </w:pPr>
          </w:p>
        </w:tc>
        <w:tc>
          <w:tcPr>
            <w:tcW w:w="2782" w:type="dxa"/>
            <w:gridSpan w:val="2"/>
          </w:tcPr>
          <w:p w14:paraId="0254DB48" w14:textId="77777777" w:rsidR="007520C1" w:rsidRPr="00E30B5B" w:rsidRDefault="007520C1" w:rsidP="00E049DB">
            <w:pPr>
              <w:jc w:val="right"/>
              <w:rPr>
                <w:sz w:val="18"/>
                <w:szCs w:val="18"/>
                <w:highlight w:val="yellow"/>
              </w:rPr>
            </w:pPr>
            <w:r w:rsidRPr="00E30B5B">
              <w:rPr>
                <w:i/>
                <w:color w:val="000000"/>
                <w:sz w:val="18"/>
                <w:szCs w:val="18"/>
                <w:highlight w:val="yellow"/>
              </w:rPr>
              <w:fldChar w:fldCharType="begin">
                <w:ffData>
                  <w:name w:val="F_GEB_BD_target"/>
                  <w:enabled/>
                  <w:calcOnExit w:val="0"/>
                  <w:textInput/>
                </w:ffData>
              </w:fldChar>
            </w:r>
            <w:r w:rsidRPr="00E30B5B">
              <w:rPr>
                <w:i/>
                <w:color w:val="000000"/>
                <w:sz w:val="18"/>
                <w:szCs w:val="18"/>
                <w:highlight w:val="yellow"/>
              </w:rPr>
              <w:instrText xml:space="preserve"> FORMTEXT </w:instrText>
            </w:r>
            <w:r w:rsidRPr="00E30B5B">
              <w:rPr>
                <w:i/>
                <w:color w:val="000000"/>
                <w:sz w:val="18"/>
                <w:szCs w:val="18"/>
                <w:highlight w:val="yellow"/>
              </w:rPr>
            </w:r>
            <w:r w:rsidRPr="00E30B5B">
              <w:rPr>
                <w:i/>
                <w:color w:val="000000"/>
                <w:sz w:val="18"/>
                <w:szCs w:val="18"/>
                <w:highlight w:val="yellow"/>
              </w:rPr>
              <w:fldChar w:fldCharType="separate"/>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fldChar w:fldCharType="end"/>
            </w:r>
          </w:p>
        </w:tc>
        <w:tc>
          <w:tcPr>
            <w:tcW w:w="1485" w:type="dxa"/>
            <w:gridSpan w:val="3"/>
          </w:tcPr>
          <w:p w14:paraId="0C6D061E" w14:textId="77777777" w:rsidR="007520C1" w:rsidRPr="00E30B5B" w:rsidRDefault="007520C1" w:rsidP="00E049DB">
            <w:pPr>
              <w:jc w:val="right"/>
              <w:rPr>
                <w:sz w:val="18"/>
                <w:szCs w:val="18"/>
                <w:highlight w:val="yellow"/>
              </w:rPr>
            </w:pPr>
            <w:r w:rsidRPr="00E30B5B">
              <w:rPr>
                <w:i/>
                <w:color w:val="000000"/>
                <w:sz w:val="18"/>
                <w:szCs w:val="18"/>
                <w:highlight w:val="yellow"/>
              </w:rPr>
              <w:fldChar w:fldCharType="begin">
                <w:ffData>
                  <w:name w:val="F_GEB_BD_target"/>
                  <w:enabled/>
                  <w:calcOnExit w:val="0"/>
                  <w:textInput/>
                </w:ffData>
              </w:fldChar>
            </w:r>
            <w:r w:rsidRPr="00E30B5B">
              <w:rPr>
                <w:i/>
                <w:color w:val="000000"/>
                <w:sz w:val="18"/>
                <w:szCs w:val="18"/>
                <w:highlight w:val="yellow"/>
              </w:rPr>
              <w:instrText xml:space="preserve"> FORMTEXT </w:instrText>
            </w:r>
            <w:r w:rsidRPr="00E30B5B">
              <w:rPr>
                <w:i/>
                <w:color w:val="000000"/>
                <w:sz w:val="18"/>
                <w:szCs w:val="18"/>
                <w:highlight w:val="yellow"/>
              </w:rPr>
            </w:r>
            <w:r w:rsidRPr="00E30B5B">
              <w:rPr>
                <w:i/>
                <w:color w:val="000000"/>
                <w:sz w:val="18"/>
                <w:szCs w:val="18"/>
                <w:highlight w:val="yellow"/>
              </w:rPr>
              <w:fldChar w:fldCharType="separate"/>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fldChar w:fldCharType="end"/>
            </w:r>
          </w:p>
        </w:tc>
        <w:tc>
          <w:tcPr>
            <w:tcW w:w="1324" w:type="dxa"/>
            <w:gridSpan w:val="2"/>
          </w:tcPr>
          <w:p w14:paraId="4D905FC7" w14:textId="77777777" w:rsidR="007520C1" w:rsidRPr="00E30B5B" w:rsidRDefault="007520C1" w:rsidP="00E049DB">
            <w:pPr>
              <w:jc w:val="right"/>
              <w:rPr>
                <w:sz w:val="18"/>
                <w:szCs w:val="18"/>
                <w:highlight w:val="yellow"/>
              </w:rPr>
            </w:pPr>
            <w:r w:rsidRPr="00E30B5B">
              <w:rPr>
                <w:i/>
                <w:color w:val="000000"/>
                <w:sz w:val="18"/>
                <w:szCs w:val="18"/>
                <w:highlight w:val="yellow"/>
              </w:rPr>
              <w:fldChar w:fldCharType="begin">
                <w:ffData>
                  <w:name w:val="F_GEB_BD_target"/>
                  <w:enabled/>
                  <w:calcOnExit w:val="0"/>
                  <w:textInput/>
                </w:ffData>
              </w:fldChar>
            </w:r>
            <w:r w:rsidRPr="00E30B5B">
              <w:rPr>
                <w:i/>
                <w:color w:val="000000"/>
                <w:sz w:val="18"/>
                <w:szCs w:val="18"/>
                <w:highlight w:val="yellow"/>
              </w:rPr>
              <w:instrText xml:space="preserve"> FORMTEXT </w:instrText>
            </w:r>
            <w:r w:rsidRPr="00E30B5B">
              <w:rPr>
                <w:i/>
                <w:color w:val="000000"/>
                <w:sz w:val="18"/>
                <w:szCs w:val="18"/>
                <w:highlight w:val="yellow"/>
              </w:rPr>
            </w:r>
            <w:r w:rsidRPr="00E30B5B">
              <w:rPr>
                <w:i/>
                <w:color w:val="000000"/>
                <w:sz w:val="18"/>
                <w:szCs w:val="18"/>
                <w:highlight w:val="yellow"/>
              </w:rPr>
              <w:fldChar w:fldCharType="separate"/>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fldChar w:fldCharType="end"/>
            </w:r>
          </w:p>
        </w:tc>
        <w:tc>
          <w:tcPr>
            <w:tcW w:w="1287" w:type="dxa"/>
          </w:tcPr>
          <w:p w14:paraId="36B72C93" w14:textId="77777777" w:rsidR="007520C1" w:rsidRPr="00E30B5B" w:rsidRDefault="007520C1" w:rsidP="00E049DB">
            <w:pPr>
              <w:jc w:val="right"/>
              <w:rPr>
                <w:sz w:val="18"/>
                <w:szCs w:val="18"/>
                <w:highlight w:val="yellow"/>
              </w:rPr>
            </w:pPr>
            <w:r w:rsidRPr="00E30B5B">
              <w:rPr>
                <w:i/>
                <w:color w:val="000000"/>
                <w:sz w:val="18"/>
                <w:szCs w:val="18"/>
                <w:highlight w:val="yellow"/>
              </w:rPr>
              <w:fldChar w:fldCharType="begin">
                <w:ffData>
                  <w:name w:val="F_GEB_BD_target"/>
                  <w:enabled/>
                  <w:calcOnExit w:val="0"/>
                  <w:textInput/>
                </w:ffData>
              </w:fldChar>
            </w:r>
            <w:r w:rsidRPr="00E30B5B">
              <w:rPr>
                <w:i/>
                <w:color w:val="000000"/>
                <w:sz w:val="18"/>
                <w:szCs w:val="18"/>
                <w:highlight w:val="yellow"/>
              </w:rPr>
              <w:instrText xml:space="preserve"> FORMTEXT </w:instrText>
            </w:r>
            <w:r w:rsidRPr="00E30B5B">
              <w:rPr>
                <w:i/>
                <w:color w:val="000000"/>
                <w:sz w:val="18"/>
                <w:szCs w:val="18"/>
                <w:highlight w:val="yellow"/>
              </w:rPr>
            </w:r>
            <w:r w:rsidRPr="00E30B5B">
              <w:rPr>
                <w:i/>
                <w:color w:val="000000"/>
                <w:sz w:val="18"/>
                <w:szCs w:val="18"/>
                <w:highlight w:val="yellow"/>
              </w:rPr>
              <w:fldChar w:fldCharType="separate"/>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fldChar w:fldCharType="end"/>
            </w:r>
          </w:p>
        </w:tc>
      </w:tr>
      <w:tr w:rsidR="007520C1" w:rsidRPr="004244E0" w14:paraId="4D8D9389" w14:textId="77777777" w:rsidTr="00DB02C4">
        <w:tc>
          <w:tcPr>
            <w:tcW w:w="1298" w:type="dxa"/>
            <w:shd w:val="clear" w:color="auto" w:fill="BFBFBF" w:themeFill="background1" w:themeFillShade="BF"/>
          </w:tcPr>
          <w:p w14:paraId="2AAEB71A" w14:textId="77777777" w:rsidR="007520C1" w:rsidRPr="00E30B5B" w:rsidRDefault="007520C1" w:rsidP="00E049DB">
            <w:pPr>
              <w:rPr>
                <w:sz w:val="18"/>
                <w:szCs w:val="18"/>
                <w:highlight w:val="yellow"/>
              </w:rPr>
            </w:pPr>
            <w:r w:rsidRPr="00E30B5B">
              <w:rPr>
                <w:sz w:val="18"/>
                <w:szCs w:val="18"/>
                <w:highlight w:val="yellow"/>
              </w:rPr>
              <w:t>Indicator 7.4</w:t>
            </w:r>
          </w:p>
        </w:tc>
        <w:tc>
          <w:tcPr>
            <w:tcW w:w="6765" w:type="dxa"/>
            <w:gridSpan w:val="5"/>
            <w:shd w:val="clear" w:color="auto" w:fill="BFBFBF" w:themeFill="background1" w:themeFillShade="BF"/>
          </w:tcPr>
          <w:p w14:paraId="0BB31EA4" w14:textId="77777777" w:rsidR="007520C1" w:rsidRPr="00E30B5B" w:rsidRDefault="007520C1" w:rsidP="00E049DB">
            <w:pPr>
              <w:rPr>
                <w:sz w:val="18"/>
                <w:szCs w:val="18"/>
                <w:highlight w:val="yellow"/>
              </w:rPr>
            </w:pPr>
            <w:r w:rsidRPr="00E30B5B">
              <w:rPr>
                <w:sz w:val="18"/>
                <w:szCs w:val="18"/>
                <w:highlight w:val="yellow"/>
              </w:rPr>
              <w:t>Level of engagement in IWLEARN through participation and delivery of key products</w:t>
            </w:r>
          </w:p>
        </w:tc>
        <w:tc>
          <w:tcPr>
            <w:tcW w:w="2772" w:type="dxa"/>
            <w:gridSpan w:val="5"/>
            <w:shd w:val="clear" w:color="auto" w:fill="BFBFBF" w:themeFill="background1" w:themeFillShade="BF"/>
          </w:tcPr>
          <w:p w14:paraId="71AB23E9" w14:textId="77777777" w:rsidR="007520C1" w:rsidRPr="00E30B5B" w:rsidRDefault="007520C1" w:rsidP="00E049DB">
            <w:pPr>
              <w:jc w:val="right"/>
              <w:rPr>
                <w:sz w:val="18"/>
                <w:szCs w:val="18"/>
                <w:highlight w:val="yellow"/>
              </w:rPr>
            </w:pPr>
            <w:r w:rsidRPr="00E30B5B">
              <w:rPr>
                <w:i/>
                <w:color w:val="000000"/>
                <w:sz w:val="18"/>
                <w:szCs w:val="18"/>
                <w:highlight w:val="yellow"/>
              </w:rPr>
              <w:fldChar w:fldCharType="begin">
                <w:ffData>
                  <w:name w:val="F_GEB_BD_target"/>
                  <w:enabled/>
                  <w:calcOnExit w:val="0"/>
                  <w:textInput/>
                </w:ffData>
              </w:fldChar>
            </w:r>
            <w:r w:rsidRPr="00E30B5B">
              <w:rPr>
                <w:i/>
                <w:color w:val="000000"/>
                <w:sz w:val="18"/>
                <w:szCs w:val="18"/>
                <w:highlight w:val="yellow"/>
              </w:rPr>
              <w:instrText xml:space="preserve"> FORMTEXT </w:instrText>
            </w:r>
            <w:r w:rsidRPr="00E30B5B">
              <w:rPr>
                <w:i/>
                <w:color w:val="000000"/>
                <w:sz w:val="18"/>
                <w:szCs w:val="18"/>
                <w:highlight w:val="yellow"/>
              </w:rPr>
            </w:r>
            <w:r w:rsidRPr="00E30B5B">
              <w:rPr>
                <w:i/>
                <w:color w:val="000000"/>
                <w:sz w:val="18"/>
                <w:szCs w:val="18"/>
                <w:highlight w:val="yellow"/>
              </w:rPr>
              <w:fldChar w:fldCharType="separate"/>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fldChar w:fldCharType="end"/>
            </w:r>
          </w:p>
        </w:tc>
      </w:tr>
      <w:tr w:rsidR="007520C1" w:rsidRPr="004244E0" w14:paraId="428852C6" w14:textId="77777777" w:rsidTr="00DB02C4">
        <w:trPr>
          <w:trHeight w:val="125"/>
        </w:trPr>
        <w:tc>
          <w:tcPr>
            <w:tcW w:w="1298" w:type="dxa"/>
            <w:vMerge w:val="restart"/>
          </w:tcPr>
          <w:p w14:paraId="4B61CC34" w14:textId="77777777" w:rsidR="007520C1" w:rsidRPr="00E30B5B" w:rsidRDefault="007520C1" w:rsidP="00E049DB">
            <w:pPr>
              <w:rPr>
                <w:sz w:val="18"/>
                <w:szCs w:val="18"/>
                <w:highlight w:val="yellow"/>
              </w:rPr>
            </w:pPr>
          </w:p>
        </w:tc>
        <w:tc>
          <w:tcPr>
            <w:tcW w:w="933" w:type="dxa"/>
            <w:vMerge w:val="restart"/>
          </w:tcPr>
          <w:p w14:paraId="01E3D424" w14:textId="77777777" w:rsidR="007520C1" w:rsidRPr="00E30B5B" w:rsidRDefault="007520C1" w:rsidP="00E049DB">
            <w:pPr>
              <w:rPr>
                <w:sz w:val="18"/>
                <w:szCs w:val="18"/>
                <w:highlight w:val="yellow"/>
              </w:rPr>
            </w:pPr>
          </w:p>
        </w:tc>
        <w:tc>
          <w:tcPr>
            <w:tcW w:w="1726" w:type="dxa"/>
            <w:vMerge w:val="restart"/>
            <w:vAlign w:val="center"/>
          </w:tcPr>
          <w:p w14:paraId="1C4E161D" w14:textId="77777777" w:rsidR="007520C1" w:rsidRPr="00E30B5B" w:rsidRDefault="007520C1" w:rsidP="00E049DB">
            <w:pPr>
              <w:rPr>
                <w:sz w:val="18"/>
                <w:szCs w:val="18"/>
                <w:highlight w:val="yellow"/>
              </w:rPr>
            </w:pPr>
            <w:r w:rsidRPr="00E30B5B">
              <w:rPr>
                <w:sz w:val="18"/>
                <w:szCs w:val="18"/>
                <w:highlight w:val="yellow"/>
              </w:rPr>
              <w:t>Shared water ecosystem</w:t>
            </w:r>
          </w:p>
        </w:tc>
        <w:tc>
          <w:tcPr>
            <w:tcW w:w="6878" w:type="dxa"/>
            <w:gridSpan w:val="8"/>
          </w:tcPr>
          <w:p w14:paraId="7AB31061" w14:textId="77777777" w:rsidR="007520C1" w:rsidRPr="00E30B5B" w:rsidRDefault="007520C1" w:rsidP="00E049DB">
            <w:pPr>
              <w:jc w:val="center"/>
              <w:rPr>
                <w:sz w:val="18"/>
                <w:szCs w:val="18"/>
                <w:highlight w:val="yellow"/>
              </w:rPr>
            </w:pPr>
            <w:r w:rsidRPr="00E30B5B">
              <w:rPr>
                <w:sz w:val="18"/>
                <w:szCs w:val="18"/>
                <w:highlight w:val="yellow"/>
              </w:rPr>
              <w:t>Rating (scale 1-4)</w:t>
            </w:r>
          </w:p>
        </w:tc>
      </w:tr>
      <w:tr w:rsidR="007520C1" w:rsidRPr="004244E0" w14:paraId="7C8B48C7" w14:textId="77777777" w:rsidTr="00DB02C4">
        <w:trPr>
          <w:trHeight w:val="58"/>
        </w:trPr>
        <w:tc>
          <w:tcPr>
            <w:tcW w:w="1298" w:type="dxa"/>
            <w:vMerge/>
          </w:tcPr>
          <w:p w14:paraId="02DC4163" w14:textId="77777777" w:rsidR="007520C1" w:rsidRPr="00E30B5B" w:rsidRDefault="007520C1" w:rsidP="00E049DB">
            <w:pPr>
              <w:rPr>
                <w:sz w:val="18"/>
                <w:szCs w:val="18"/>
                <w:highlight w:val="yellow"/>
              </w:rPr>
            </w:pPr>
          </w:p>
        </w:tc>
        <w:tc>
          <w:tcPr>
            <w:tcW w:w="933" w:type="dxa"/>
            <w:vMerge/>
          </w:tcPr>
          <w:p w14:paraId="56C52311" w14:textId="77777777" w:rsidR="007520C1" w:rsidRPr="00E30B5B" w:rsidRDefault="007520C1" w:rsidP="00E049DB">
            <w:pPr>
              <w:rPr>
                <w:sz w:val="18"/>
                <w:szCs w:val="18"/>
                <w:highlight w:val="yellow"/>
              </w:rPr>
            </w:pPr>
          </w:p>
        </w:tc>
        <w:tc>
          <w:tcPr>
            <w:tcW w:w="1726" w:type="dxa"/>
            <w:vMerge/>
          </w:tcPr>
          <w:p w14:paraId="63DF348B" w14:textId="77777777" w:rsidR="007520C1" w:rsidRPr="00E30B5B" w:rsidRDefault="007520C1" w:rsidP="00E049DB">
            <w:pPr>
              <w:rPr>
                <w:sz w:val="18"/>
                <w:szCs w:val="18"/>
                <w:highlight w:val="yellow"/>
              </w:rPr>
            </w:pPr>
          </w:p>
        </w:tc>
        <w:tc>
          <w:tcPr>
            <w:tcW w:w="4106" w:type="dxa"/>
            <w:gridSpan w:val="3"/>
          </w:tcPr>
          <w:p w14:paraId="04EFA286" w14:textId="77777777" w:rsidR="007520C1" w:rsidRPr="00E30B5B" w:rsidRDefault="007520C1" w:rsidP="00E049DB">
            <w:pPr>
              <w:jc w:val="center"/>
              <w:rPr>
                <w:sz w:val="18"/>
                <w:szCs w:val="18"/>
                <w:highlight w:val="yellow"/>
              </w:rPr>
            </w:pPr>
            <w:r w:rsidRPr="00E30B5B">
              <w:rPr>
                <w:sz w:val="18"/>
                <w:szCs w:val="18"/>
                <w:highlight w:val="yellow"/>
              </w:rPr>
              <w:t>Rating</w:t>
            </w:r>
          </w:p>
        </w:tc>
        <w:tc>
          <w:tcPr>
            <w:tcW w:w="2772" w:type="dxa"/>
            <w:gridSpan w:val="5"/>
          </w:tcPr>
          <w:p w14:paraId="783AA2FA" w14:textId="77777777" w:rsidR="007520C1" w:rsidRPr="00E30B5B" w:rsidRDefault="007520C1" w:rsidP="00E049DB">
            <w:pPr>
              <w:jc w:val="center"/>
              <w:rPr>
                <w:sz w:val="18"/>
                <w:szCs w:val="18"/>
                <w:highlight w:val="yellow"/>
              </w:rPr>
            </w:pPr>
            <w:r w:rsidRPr="00E30B5B">
              <w:rPr>
                <w:sz w:val="18"/>
                <w:szCs w:val="18"/>
                <w:highlight w:val="yellow"/>
              </w:rPr>
              <w:t>Rating</w:t>
            </w:r>
          </w:p>
        </w:tc>
      </w:tr>
      <w:tr w:rsidR="007520C1" w:rsidRPr="004244E0" w14:paraId="01585864" w14:textId="77777777" w:rsidTr="00DB02C4">
        <w:trPr>
          <w:trHeight w:val="197"/>
        </w:trPr>
        <w:tc>
          <w:tcPr>
            <w:tcW w:w="1298" w:type="dxa"/>
            <w:vMerge/>
          </w:tcPr>
          <w:p w14:paraId="0673F328" w14:textId="77777777" w:rsidR="007520C1" w:rsidRPr="00E30B5B" w:rsidRDefault="007520C1" w:rsidP="00E049DB">
            <w:pPr>
              <w:rPr>
                <w:sz w:val="18"/>
                <w:szCs w:val="18"/>
                <w:highlight w:val="yellow"/>
              </w:rPr>
            </w:pPr>
          </w:p>
        </w:tc>
        <w:tc>
          <w:tcPr>
            <w:tcW w:w="933" w:type="dxa"/>
            <w:vMerge/>
          </w:tcPr>
          <w:p w14:paraId="2943F88F" w14:textId="77777777" w:rsidR="007520C1" w:rsidRPr="00E30B5B" w:rsidRDefault="007520C1" w:rsidP="00E049DB">
            <w:pPr>
              <w:rPr>
                <w:sz w:val="18"/>
                <w:szCs w:val="18"/>
                <w:highlight w:val="yellow"/>
              </w:rPr>
            </w:pPr>
          </w:p>
        </w:tc>
        <w:tc>
          <w:tcPr>
            <w:tcW w:w="1726" w:type="dxa"/>
            <w:vMerge/>
          </w:tcPr>
          <w:p w14:paraId="2FA3542D" w14:textId="77777777" w:rsidR="007520C1" w:rsidRPr="00E30B5B" w:rsidRDefault="007520C1" w:rsidP="00E049DB">
            <w:pPr>
              <w:rPr>
                <w:sz w:val="18"/>
                <w:szCs w:val="18"/>
                <w:highlight w:val="yellow"/>
              </w:rPr>
            </w:pPr>
          </w:p>
        </w:tc>
        <w:tc>
          <w:tcPr>
            <w:tcW w:w="2782" w:type="dxa"/>
            <w:gridSpan w:val="2"/>
          </w:tcPr>
          <w:p w14:paraId="27E10E1A" w14:textId="77777777" w:rsidR="007520C1" w:rsidRPr="00E30B5B" w:rsidRDefault="007520C1" w:rsidP="00E049DB">
            <w:pPr>
              <w:jc w:val="center"/>
              <w:rPr>
                <w:sz w:val="18"/>
                <w:szCs w:val="18"/>
                <w:highlight w:val="yellow"/>
              </w:rPr>
            </w:pPr>
            <w:r w:rsidRPr="00E30B5B">
              <w:rPr>
                <w:sz w:val="18"/>
                <w:szCs w:val="18"/>
                <w:highlight w:val="yellow"/>
              </w:rPr>
              <w:t>PIF stage</w:t>
            </w:r>
          </w:p>
        </w:tc>
        <w:tc>
          <w:tcPr>
            <w:tcW w:w="1485" w:type="dxa"/>
            <w:gridSpan w:val="3"/>
          </w:tcPr>
          <w:p w14:paraId="7FE6C76B" w14:textId="77777777" w:rsidR="007520C1" w:rsidRPr="00E30B5B" w:rsidRDefault="007520C1" w:rsidP="00E049DB">
            <w:pPr>
              <w:jc w:val="center"/>
              <w:rPr>
                <w:sz w:val="18"/>
                <w:szCs w:val="18"/>
                <w:highlight w:val="yellow"/>
              </w:rPr>
            </w:pPr>
            <w:r w:rsidRPr="00E30B5B">
              <w:rPr>
                <w:sz w:val="18"/>
                <w:szCs w:val="18"/>
                <w:highlight w:val="yellow"/>
              </w:rPr>
              <w:t>Endorsement</w:t>
            </w:r>
          </w:p>
        </w:tc>
        <w:tc>
          <w:tcPr>
            <w:tcW w:w="1324" w:type="dxa"/>
            <w:gridSpan w:val="2"/>
          </w:tcPr>
          <w:p w14:paraId="537D5B1E" w14:textId="77777777" w:rsidR="007520C1" w:rsidRPr="00E30B5B" w:rsidRDefault="007520C1" w:rsidP="00E049DB">
            <w:pPr>
              <w:jc w:val="center"/>
              <w:rPr>
                <w:sz w:val="18"/>
                <w:szCs w:val="18"/>
                <w:highlight w:val="yellow"/>
              </w:rPr>
            </w:pPr>
            <w:r w:rsidRPr="00E30B5B">
              <w:rPr>
                <w:sz w:val="18"/>
                <w:szCs w:val="18"/>
                <w:highlight w:val="yellow"/>
              </w:rPr>
              <w:t>MTR</w:t>
            </w:r>
          </w:p>
        </w:tc>
        <w:tc>
          <w:tcPr>
            <w:tcW w:w="1287" w:type="dxa"/>
          </w:tcPr>
          <w:p w14:paraId="0B1D627F" w14:textId="77777777" w:rsidR="007520C1" w:rsidRPr="00E30B5B" w:rsidRDefault="007520C1" w:rsidP="00E049DB">
            <w:pPr>
              <w:jc w:val="center"/>
              <w:rPr>
                <w:sz w:val="18"/>
                <w:szCs w:val="18"/>
                <w:highlight w:val="yellow"/>
              </w:rPr>
            </w:pPr>
            <w:r w:rsidRPr="00E30B5B">
              <w:rPr>
                <w:sz w:val="18"/>
                <w:szCs w:val="18"/>
                <w:highlight w:val="yellow"/>
              </w:rPr>
              <w:t>TE</w:t>
            </w:r>
          </w:p>
        </w:tc>
      </w:tr>
      <w:tr w:rsidR="007520C1" w:rsidRPr="004244E0" w14:paraId="0E19ABE1" w14:textId="77777777" w:rsidTr="00DB02C4">
        <w:tc>
          <w:tcPr>
            <w:tcW w:w="1298" w:type="dxa"/>
          </w:tcPr>
          <w:p w14:paraId="354394EC" w14:textId="77777777" w:rsidR="007520C1" w:rsidRPr="00E30B5B" w:rsidRDefault="007520C1" w:rsidP="00E049DB">
            <w:pPr>
              <w:jc w:val="right"/>
              <w:rPr>
                <w:sz w:val="18"/>
                <w:szCs w:val="18"/>
                <w:highlight w:val="yellow"/>
              </w:rPr>
            </w:pPr>
          </w:p>
        </w:tc>
        <w:tc>
          <w:tcPr>
            <w:tcW w:w="933" w:type="dxa"/>
          </w:tcPr>
          <w:p w14:paraId="7CB4FC18" w14:textId="77777777" w:rsidR="007520C1" w:rsidRPr="00E30B5B" w:rsidRDefault="007520C1" w:rsidP="00E049DB">
            <w:pPr>
              <w:jc w:val="right"/>
              <w:rPr>
                <w:sz w:val="18"/>
                <w:szCs w:val="18"/>
                <w:highlight w:val="yellow"/>
              </w:rPr>
            </w:pPr>
          </w:p>
        </w:tc>
        <w:tc>
          <w:tcPr>
            <w:tcW w:w="1726" w:type="dxa"/>
          </w:tcPr>
          <w:p w14:paraId="463832AC" w14:textId="77777777" w:rsidR="007520C1" w:rsidRPr="00E30B5B" w:rsidRDefault="007520C1" w:rsidP="00E049DB">
            <w:pPr>
              <w:jc w:val="right"/>
              <w:rPr>
                <w:sz w:val="18"/>
                <w:szCs w:val="18"/>
                <w:highlight w:val="yellow"/>
              </w:rPr>
            </w:pPr>
            <w:r w:rsidRPr="00E30B5B">
              <w:rPr>
                <w:i/>
                <w:color w:val="000000"/>
                <w:sz w:val="18"/>
                <w:szCs w:val="18"/>
                <w:highlight w:val="yellow"/>
              </w:rPr>
              <w:fldChar w:fldCharType="begin">
                <w:ffData>
                  <w:name w:val="F_GEB_BD_target"/>
                  <w:enabled/>
                  <w:calcOnExit w:val="0"/>
                  <w:textInput/>
                </w:ffData>
              </w:fldChar>
            </w:r>
            <w:r w:rsidRPr="00E30B5B">
              <w:rPr>
                <w:i/>
                <w:color w:val="000000"/>
                <w:sz w:val="18"/>
                <w:szCs w:val="18"/>
                <w:highlight w:val="yellow"/>
              </w:rPr>
              <w:instrText xml:space="preserve"> FORMTEXT </w:instrText>
            </w:r>
            <w:r w:rsidRPr="00E30B5B">
              <w:rPr>
                <w:i/>
                <w:color w:val="000000"/>
                <w:sz w:val="18"/>
                <w:szCs w:val="18"/>
                <w:highlight w:val="yellow"/>
              </w:rPr>
            </w:r>
            <w:r w:rsidRPr="00E30B5B">
              <w:rPr>
                <w:i/>
                <w:color w:val="000000"/>
                <w:sz w:val="18"/>
                <w:szCs w:val="18"/>
                <w:highlight w:val="yellow"/>
              </w:rPr>
              <w:fldChar w:fldCharType="separate"/>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fldChar w:fldCharType="end"/>
            </w:r>
          </w:p>
        </w:tc>
        <w:tc>
          <w:tcPr>
            <w:tcW w:w="2782" w:type="dxa"/>
            <w:gridSpan w:val="2"/>
          </w:tcPr>
          <w:p w14:paraId="74FCBBC9" w14:textId="77777777" w:rsidR="007520C1" w:rsidRPr="00E30B5B" w:rsidRDefault="007520C1" w:rsidP="00E049DB">
            <w:pPr>
              <w:jc w:val="right"/>
              <w:rPr>
                <w:sz w:val="18"/>
                <w:szCs w:val="18"/>
                <w:highlight w:val="yellow"/>
              </w:rPr>
            </w:pPr>
            <w:r w:rsidRPr="00E30B5B">
              <w:rPr>
                <w:i/>
                <w:color w:val="000000"/>
                <w:sz w:val="18"/>
                <w:szCs w:val="18"/>
                <w:highlight w:val="yellow"/>
              </w:rPr>
              <w:fldChar w:fldCharType="begin">
                <w:ffData>
                  <w:name w:val="F_GEB_BD_target"/>
                  <w:enabled/>
                  <w:calcOnExit w:val="0"/>
                  <w:textInput/>
                </w:ffData>
              </w:fldChar>
            </w:r>
            <w:r w:rsidRPr="00E30B5B">
              <w:rPr>
                <w:i/>
                <w:color w:val="000000"/>
                <w:sz w:val="18"/>
                <w:szCs w:val="18"/>
                <w:highlight w:val="yellow"/>
              </w:rPr>
              <w:instrText xml:space="preserve"> FORMTEXT </w:instrText>
            </w:r>
            <w:r w:rsidRPr="00E30B5B">
              <w:rPr>
                <w:i/>
                <w:color w:val="000000"/>
                <w:sz w:val="18"/>
                <w:szCs w:val="18"/>
                <w:highlight w:val="yellow"/>
              </w:rPr>
            </w:r>
            <w:r w:rsidRPr="00E30B5B">
              <w:rPr>
                <w:i/>
                <w:color w:val="000000"/>
                <w:sz w:val="18"/>
                <w:szCs w:val="18"/>
                <w:highlight w:val="yellow"/>
              </w:rPr>
              <w:fldChar w:fldCharType="separate"/>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fldChar w:fldCharType="end"/>
            </w:r>
          </w:p>
        </w:tc>
        <w:tc>
          <w:tcPr>
            <w:tcW w:w="1485" w:type="dxa"/>
            <w:gridSpan w:val="3"/>
          </w:tcPr>
          <w:p w14:paraId="1EBCFCEA" w14:textId="77777777" w:rsidR="007520C1" w:rsidRPr="00E30B5B" w:rsidRDefault="007520C1" w:rsidP="00E049DB">
            <w:pPr>
              <w:jc w:val="right"/>
              <w:rPr>
                <w:sz w:val="18"/>
                <w:szCs w:val="18"/>
                <w:highlight w:val="yellow"/>
              </w:rPr>
            </w:pPr>
            <w:r w:rsidRPr="00E30B5B">
              <w:rPr>
                <w:i/>
                <w:color w:val="000000"/>
                <w:sz w:val="18"/>
                <w:szCs w:val="18"/>
                <w:highlight w:val="yellow"/>
              </w:rPr>
              <w:fldChar w:fldCharType="begin">
                <w:ffData>
                  <w:name w:val="F_GEB_BD_target"/>
                  <w:enabled/>
                  <w:calcOnExit w:val="0"/>
                  <w:textInput/>
                </w:ffData>
              </w:fldChar>
            </w:r>
            <w:r w:rsidRPr="00E30B5B">
              <w:rPr>
                <w:i/>
                <w:color w:val="000000"/>
                <w:sz w:val="18"/>
                <w:szCs w:val="18"/>
                <w:highlight w:val="yellow"/>
              </w:rPr>
              <w:instrText xml:space="preserve"> FORMTEXT </w:instrText>
            </w:r>
            <w:r w:rsidRPr="00E30B5B">
              <w:rPr>
                <w:i/>
                <w:color w:val="000000"/>
                <w:sz w:val="18"/>
                <w:szCs w:val="18"/>
                <w:highlight w:val="yellow"/>
              </w:rPr>
            </w:r>
            <w:r w:rsidRPr="00E30B5B">
              <w:rPr>
                <w:i/>
                <w:color w:val="000000"/>
                <w:sz w:val="18"/>
                <w:szCs w:val="18"/>
                <w:highlight w:val="yellow"/>
              </w:rPr>
              <w:fldChar w:fldCharType="separate"/>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fldChar w:fldCharType="end"/>
            </w:r>
          </w:p>
        </w:tc>
        <w:tc>
          <w:tcPr>
            <w:tcW w:w="1324" w:type="dxa"/>
            <w:gridSpan w:val="2"/>
          </w:tcPr>
          <w:p w14:paraId="533F7041" w14:textId="77777777" w:rsidR="007520C1" w:rsidRPr="00E30B5B" w:rsidRDefault="007520C1" w:rsidP="00E049DB">
            <w:pPr>
              <w:jc w:val="right"/>
              <w:rPr>
                <w:sz w:val="18"/>
                <w:szCs w:val="18"/>
                <w:highlight w:val="yellow"/>
              </w:rPr>
            </w:pPr>
            <w:r w:rsidRPr="00E30B5B">
              <w:rPr>
                <w:i/>
                <w:color w:val="000000"/>
                <w:sz w:val="18"/>
                <w:szCs w:val="18"/>
                <w:highlight w:val="yellow"/>
              </w:rPr>
              <w:fldChar w:fldCharType="begin">
                <w:ffData>
                  <w:name w:val="F_GEB_BD_target"/>
                  <w:enabled/>
                  <w:calcOnExit w:val="0"/>
                  <w:textInput/>
                </w:ffData>
              </w:fldChar>
            </w:r>
            <w:r w:rsidRPr="00E30B5B">
              <w:rPr>
                <w:i/>
                <w:color w:val="000000"/>
                <w:sz w:val="18"/>
                <w:szCs w:val="18"/>
                <w:highlight w:val="yellow"/>
              </w:rPr>
              <w:instrText xml:space="preserve"> FORMTEXT </w:instrText>
            </w:r>
            <w:r w:rsidRPr="00E30B5B">
              <w:rPr>
                <w:i/>
                <w:color w:val="000000"/>
                <w:sz w:val="18"/>
                <w:szCs w:val="18"/>
                <w:highlight w:val="yellow"/>
              </w:rPr>
            </w:r>
            <w:r w:rsidRPr="00E30B5B">
              <w:rPr>
                <w:i/>
                <w:color w:val="000000"/>
                <w:sz w:val="18"/>
                <w:szCs w:val="18"/>
                <w:highlight w:val="yellow"/>
              </w:rPr>
              <w:fldChar w:fldCharType="separate"/>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fldChar w:fldCharType="end"/>
            </w:r>
          </w:p>
        </w:tc>
        <w:tc>
          <w:tcPr>
            <w:tcW w:w="1287" w:type="dxa"/>
          </w:tcPr>
          <w:p w14:paraId="43C23FE2" w14:textId="77777777" w:rsidR="007520C1" w:rsidRPr="00E30B5B" w:rsidRDefault="007520C1" w:rsidP="00E049DB">
            <w:pPr>
              <w:jc w:val="right"/>
              <w:rPr>
                <w:sz w:val="18"/>
                <w:szCs w:val="18"/>
                <w:highlight w:val="yellow"/>
              </w:rPr>
            </w:pPr>
            <w:r w:rsidRPr="00E30B5B">
              <w:rPr>
                <w:i/>
                <w:color w:val="000000"/>
                <w:sz w:val="18"/>
                <w:szCs w:val="18"/>
                <w:highlight w:val="yellow"/>
              </w:rPr>
              <w:fldChar w:fldCharType="begin">
                <w:ffData>
                  <w:name w:val="F_GEB_BD_target"/>
                  <w:enabled/>
                  <w:calcOnExit w:val="0"/>
                  <w:textInput/>
                </w:ffData>
              </w:fldChar>
            </w:r>
            <w:r w:rsidRPr="00E30B5B">
              <w:rPr>
                <w:i/>
                <w:color w:val="000000"/>
                <w:sz w:val="18"/>
                <w:szCs w:val="18"/>
                <w:highlight w:val="yellow"/>
              </w:rPr>
              <w:instrText xml:space="preserve"> FORMTEXT </w:instrText>
            </w:r>
            <w:r w:rsidRPr="00E30B5B">
              <w:rPr>
                <w:i/>
                <w:color w:val="000000"/>
                <w:sz w:val="18"/>
                <w:szCs w:val="18"/>
                <w:highlight w:val="yellow"/>
              </w:rPr>
            </w:r>
            <w:r w:rsidRPr="00E30B5B">
              <w:rPr>
                <w:i/>
                <w:color w:val="000000"/>
                <w:sz w:val="18"/>
                <w:szCs w:val="18"/>
                <w:highlight w:val="yellow"/>
              </w:rPr>
              <w:fldChar w:fldCharType="separate"/>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fldChar w:fldCharType="end"/>
            </w:r>
          </w:p>
        </w:tc>
      </w:tr>
      <w:tr w:rsidR="007520C1" w:rsidRPr="004244E0" w14:paraId="02EE1B0B" w14:textId="77777777" w:rsidTr="00DB02C4">
        <w:tc>
          <w:tcPr>
            <w:tcW w:w="1298" w:type="dxa"/>
          </w:tcPr>
          <w:p w14:paraId="09E38400" w14:textId="77777777" w:rsidR="007520C1" w:rsidRPr="00E30B5B" w:rsidRDefault="007520C1" w:rsidP="00E049DB">
            <w:pPr>
              <w:jc w:val="right"/>
              <w:rPr>
                <w:sz w:val="18"/>
                <w:szCs w:val="18"/>
                <w:highlight w:val="yellow"/>
              </w:rPr>
            </w:pPr>
          </w:p>
        </w:tc>
        <w:tc>
          <w:tcPr>
            <w:tcW w:w="933" w:type="dxa"/>
          </w:tcPr>
          <w:p w14:paraId="784B9C62" w14:textId="77777777" w:rsidR="007520C1" w:rsidRPr="00E30B5B" w:rsidRDefault="007520C1" w:rsidP="00E049DB">
            <w:pPr>
              <w:jc w:val="right"/>
              <w:rPr>
                <w:sz w:val="18"/>
                <w:szCs w:val="18"/>
                <w:highlight w:val="yellow"/>
              </w:rPr>
            </w:pPr>
          </w:p>
        </w:tc>
        <w:tc>
          <w:tcPr>
            <w:tcW w:w="1726" w:type="dxa"/>
          </w:tcPr>
          <w:p w14:paraId="07BB5823" w14:textId="77777777" w:rsidR="007520C1" w:rsidRPr="00E30B5B" w:rsidRDefault="007520C1" w:rsidP="00E049DB">
            <w:pPr>
              <w:jc w:val="right"/>
              <w:rPr>
                <w:sz w:val="18"/>
                <w:szCs w:val="18"/>
                <w:highlight w:val="yellow"/>
              </w:rPr>
            </w:pPr>
            <w:r w:rsidRPr="00E30B5B">
              <w:rPr>
                <w:i/>
                <w:color w:val="000000"/>
                <w:sz w:val="18"/>
                <w:szCs w:val="18"/>
                <w:highlight w:val="yellow"/>
              </w:rPr>
              <w:fldChar w:fldCharType="begin">
                <w:ffData>
                  <w:name w:val="F_GEB_BD_target"/>
                  <w:enabled/>
                  <w:calcOnExit w:val="0"/>
                  <w:textInput/>
                </w:ffData>
              </w:fldChar>
            </w:r>
            <w:r w:rsidRPr="00E30B5B">
              <w:rPr>
                <w:i/>
                <w:color w:val="000000"/>
                <w:sz w:val="18"/>
                <w:szCs w:val="18"/>
                <w:highlight w:val="yellow"/>
              </w:rPr>
              <w:instrText xml:space="preserve"> FORMTEXT </w:instrText>
            </w:r>
            <w:r w:rsidRPr="00E30B5B">
              <w:rPr>
                <w:i/>
                <w:color w:val="000000"/>
                <w:sz w:val="18"/>
                <w:szCs w:val="18"/>
                <w:highlight w:val="yellow"/>
              </w:rPr>
            </w:r>
            <w:r w:rsidRPr="00E30B5B">
              <w:rPr>
                <w:i/>
                <w:color w:val="000000"/>
                <w:sz w:val="18"/>
                <w:szCs w:val="18"/>
                <w:highlight w:val="yellow"/>
              </w:rPr>
              <w:fldChar w:fldCharType="separate"/>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fldChar w:fldCharType="end"/>
            </w:r>
          </w:p>
        </w:tc>
        <w:tc>
          <w:tcPr>
            <w:tcW w:w="2782" w:type="dxa"/>
            <w:gridSpan w:val="2"/>
          </w:tcPr>
          <w:p w14:paraId="3930E5FF" w14:textId="77777777" w:rsidR="007520C1" w:rsidRPr="00E30B5B" w:rsidRDefault="007520C1" w:rsidP="00E049DB">
            <w:pPr>
              <w:jc w:val="right"/>
              <w:rPr>
                <w:sz w:val="18"/>
                <w:szCs w:val="18"/>
                <w:highlight w:val="yellow"/>
              </w:rPr>
            </w:pPr>
            <w:r w:rsidRPr="00E30B5B">
              <w:rPr>
                <w:i/>
                <w:color w:val="000000"/>
                <w:sz w:val="18"/>
                <w:szCs w:val="18"/>
                <w:highlight w:val="yellow"/>
              </w:rPr>
              <w:fldChar w:fldCharType="begin">
                <w:ffData>
                  <w:name w:val="F_GEB_BD_target"/>
                  <w:enabled/>
                  <w:calcOnExit w:val="0"/>
                  <w:textInput/>
                </w:ffData>
              </w:fldChar>
            </w:r>
            <w:r w:rsidRPr="00E30B5B">
              <w:rPr>
                <w:i/>
                <w:color w:val="000000"/>
                <w:sz w:val="18"/>
                <w:szCs w:val="18"/>
                <w:highlight w:val="yellow"/>
              </w:rPr>
              <w:instrText xml:space="preserve"> FORMTEXT </w:instrText>
            </w:r>
            <w:r w:rsidRPr="00E30B5B">
              <w:rPr>
                <w:i/>
                <w:color w:val="000000"/>
                <w:sz w:val="18"/>
                <w:szCs w:val="18"/>
                <w:highlight w:val="yellow"/>
              </w:rPr>
            </w:r>
            <w:r w:rsidRPr="00E30B5B">
              <w:rPr>
                <w:i/>
                <w:color w:val="000000"/>
                <w:sz w:val="18"/>
                <w:szCs w:val="18"/>
                <w:highlight w:val="yellow"/>
              </w:rPr>
              <w:fldChar w:fldCharType="separate"/>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fldChar w:fldCharType="end"/>
            </w:r>
          </w:p>
        </w:tc>
        <w:tc>
          <w:tcPr>
            <w:tcW w:w="1485" w:type="dxa"/>
            <w:gridSpan w:val="3"/>
          </w:tcPr>
          <w:p w14:paraId="23F432B8" w14:textId="77777777" w:rsidR="007520C1" w:rsidRPr="00E30B5B" w:rsidRDefault="007520C1" w:rsidP="00E049DB">
            <w:pPr>
              <w:jc w:val="right"/>
              <w:rPr>
                <w:sz w:val="18"/>
                <w:szCs w:val="18"/>
                <w:highlight w:val="yellow"/>
              </w:rPr>
            </w:pPr>
            <w:r w:rsidRPr="00E30B5B">
              <w:rPr>
                <w:i/>
                <w:color w:val="000000"/>
                <w:sz w:val="18"/>
                <w:szCs w:val="18"/>
                <w:highlight w:val="yellow"/>
              </w:rPr>
              <w:fldChar w:fldCharType="begin">
                <w:ffData>
                  <w:name w:val="F_GEB_BD_target"/>
                  <w:enabled/>
                  <w:calcOnExit w:val="0"/>
                  <w:textInput/>
                </w:ffData>
              </w:fldChar>
            </w:r>
            <w:r w:rsidRPr="00E30B5B">
              <w:rPr>
                <w:i/>
                <w:color w:val="000000"/>
                <w:sz w:val="18"/>
                <w:szCs w:val="18"/>
                <w:highlight w:val="yellow"/>
              </w:rPr>
              <w:instrText xml:space="preserve"> FORMTEXT </w:instrText>
            </w:r>
            <w:r w:rsidRPr="00E30B5B">
              <w:rPr>
                <w:i/>
                <w:color w:val="000000"/>
                <w:sz w:val="18"/>
                <w:szCs w:val="18"/>
                <w:highlight w:val="yellow"/>
              </w:rPr>
            </w:r>
            <w:r w:rsidRPr="00E30B5B">
              <w:rPr>
                <w:i/>
                <w:color w:val="000000"/>
                <w:sz w:val="18"/>
                <w:szCs w:val="18"/>
                <w:highlight w:val="yellow"/>
              </w:rPr>
              <w:fldChar w:fldCharType="separate"/>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fldChar w:fldCharType="end"/>
            </w:r>
          </w:p>
        </w:tc>
        <w:tc>
          <w:tcPr>
            <w:tcW w:w="1324" w:type="dxa"/>
            <w:gridSpan w:val="2"/>
          </w:tcPr>
          <w:p w14:paraId="6A4A7078" w14:textId="77777777" w:rsidR="007520C1" w:rsidRPr="00E30B5B" w:rsidRDefault="007520C1" w:rsidP="00E049DB">
            <w:pPr>
              <w:jc w:val="right"/>
              <w:rPr>
                <w:sz w:val="18"/>
                <w:szCs w:val="18"/>
                <w:highlight w:val="yellow"/>
              </w:rPr>
            </w:pPr>
            <w:r w:rsidRPr="00E30B5B">
              <w:rPr>
                <w:i/>
                <w:color w:val="000000"/>
                <w:sz w:val="18"/>
                <w:szCs w:val="18"/>
                <w:highlight w:val="yellow"/>
              </w:rPr>
              <w:fldChar w:fldCharType="begin">
                <w:ffData>
                  <w:name w:val="F_GEB_BD_target"/>
                  <w:enabled/>
                  <w:calcOnExit w:val="0"/>
                  <w:textInput/>
                </w:ffData>
              </w:fldChar>
            </w:r>
            <w:r w:rsidRPr="00E30B5B">
              <w:rPr>
                <w:i/>
                <w:color w:val="000000"/>
                <w:sz w:val="18"/>
                <w:szCs w:val="18"/>
                <w:highlight w:val="yellow"/>
              </w:rPr>
              <w:instrText xml:space="preserve"> FORMTEXT </w:instrText>
            </w:r>
            <w:r w:rsidRPr="00E30B5B">
              <w:rPr>
                <w:i/>
                <w:color w:val="000000"/>
                <w:sz w:val="18"/>
                <w:szCs w:val="18"/>
                <w:highlight w:val="yellow"/>
              </w:rPr>
            </w:r>
            <w:r w:rsidRPr="00E30B5B">
              <w:rPr>
                <w:i/>
                <w:color w:val="000000"/>
                <w:sz w:val="18"/>
                <w:szCs w:val="18"/>
                <w:highlight w:val="yellow"/>
              </w:rPr>
              <w:fldChar w:fldCharType="separate"/>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fldChar w:fldCharType="end"/>
            </w:r>
          </w:p>
        </w:tc>
        <w:tc>
          <w:tcPr>
            <w:tcW w:w="1287" w:type="dxa"/>
          </w:tcPr>
          <w:p w14:paraId="44C98B34" w14:textId="77777777" w:rsidR="007520C1" w:rsidRPr="00E30B5B" w:rsidRDefault="007520C1" w:rsidP="00E049DB">
            <w:pPr>
              <w:jc w:val="right"/>
              <w:rPr>
                <w:sz w:val="18"/>
                <w:szCs w:val="18"/>
                <w:highlight w:val="yellow"/>
              </w:rPr>
            </w:pPr>
            <w:r w:rsidRPr="00E30B5B">
              <w:rPr>
                <w:i/>
                <w:color w:val="000000"/>
                <w:sz w:val="18"/>
                <w:szCs w:val="18"/>
                <w:highlight w:val="yellow"/>
              </w:rPr>
              <w:fldChar w:fldCharType="begin">
                <w:ffData>
                  <w:name w:val="F_GEB_BD_target"/>
                  <w:enabled/>
                  <w:calcOnExit w:val="0"/>
                  <w:textInput/>
                </w:ffData>
              </w:fldChar>
            </w:r>
            <w:r w:rsidRPr="00E30B5B">
              <w:rPr>
                <w:i/>
                <w:color w:val="000000"/>
                <w:sz w:val="18"/>
                <w:szCs w:val="18"/>
                <w:highlight w:val="yellow"/>
              </w:rPr>
              <w:instrText xml:space="preserve"> FORMTEXT </w:instrText>
            </w:r>
            <w:r w:rsidRPr="00E30B5B">
              <w:rPr>
                <w:i/>
                <w:color w:val="000000"/>
                <w:sz w:val="18"/>
                <w:szCs w:val="18"/>
                <w:highlight w:val="yellow"/>
              </w:rPr>
            </w:r>
            <w:r w:rsidRPr="00E30B5B">
              <w:rPr>
                <w:i/>
                <w:color w:val="000000"/>
                <w:sz w:val="18"/>
                <w:szCs w:val="18"/>
                <w:highlight w:val="yellow"/>
              </w:rPr>
              <w:fldChar w:fldCharType="separate"/>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fldChar w:fldCharType="end"/>
            </w:r>
          </w:p>
        </w:tc>
      </w:tr>
      <w:tr w:rsidR="007520C1" w:rsidRPr="004244E0" w14:paraId="34903CD9" w14:textId="77777777" w:rsidTr="00DB02C4">
        <w:tc>
          <w:tcPr>
            <w:tcW w:w="1298" w:type="dxa"/>
            <w:shd w:val="clear" w:color="auto" w:fill="D9D9D9" w:themeFill="background1" w:themeFillShade="D9"/>
          </w:tcPr>
          <w:p w14:paraId="03901D9C" w14:textId="77777777" w:rsidR="007520C1" w:rsidRPr="00E30B5B" w:rsidRDefault="007520C1" w:rsidP="00E049DB">
            <w:pPr>
              <w:rPr>
                <w:b/>
                <w:sz w:val="18"/>
                <w:szCs w:val="18"/>
                <w:highlight w:val="yellow"/>
              </w:rPr>
            </w:pPr>
            <w:r w:rsidRPr="00E30B5B">
              <w:rPr>
                <w:b/>
                <w:sz w:val="18"/>
                <w:szCs w:val="18"/>
                <w:highlight w:val="yellow"/>
              </w:rPr>
              <w:t>Core Indicator 8</w:t>
            </w:r>
          </w:p>
        </w:tc>
        <w:tc>
          <w:tcPr>
            <w:tcW w:w="6765" w:type="dxa"/>
            <w:gridSpan w:val="5"/>
            <w:shd w:val="clear" w:color="auto" w:fill="D9D9D9" w:themeFill="background1" w:themeFillShade="D9"/>
          </w:tcPr>
          <w:p w14:paraId="4ACCAE62" w14:textId="77777777" w:rsidR="007520C1" w:rsidRPr="00E30B5B" w:rsidRDefault="007520C1" w:rsidP="00E049DB">
            <w:pPr>
              <w:rPr>
                <w:b/>
                <w:sz w:val="18"/>
                <w:szCs w:val="18"/>
                <w:highlight w:val="yellow"/>
              </w:rPr>
            </w:pPr>
            <w:r w:rsidRPr="00E30B5B">
              <w:rPr>
                <w:b/>
                <w:sz w:val="18"/>
                <w:szCs w:val="18"/>
                <w:highlight w:val="yellow"/>
              </w:rPr>
              <w:t>Globally over-exploited fisheries Moved to more sustainable levels</w:t>
            </w:r>
          </w:p>
        </w:tc>
        <w:tc>
          <w:tcPr>
            <w:tcW w:w="2772" w:type="dxa"/>
            <w:gridSpan w:val="5"/>
            <w:shd w:val="clear" w:color="auto" w:fill="D9D9D9" w:themeFill="background1" w:themeFillShade="D9"/>
          </w:tcPr>
          <w:p w14:paraId="294AC5BA" w14:textId="77777777" w:rsidR="007520C1" w:rsidRPr="00E30B5B" w:rsidRDefault="007520C1" w:rsidP="00E049DB">
            <w:pPr>
              <w:jc w:val="right"/>
              <w:rPr>
                <w:b/>
                <w:sz w:val="18"/>
                <w:szCs w:val="18"/>
                <w:highlight w:val="yellow"/>
              </w:rPr>
            </w:pPr>
            <w:r w:rsidRPr="00E30B5B">
              <w:rPr>
                <w:b/>
                <w:i/>
                <w:color w:val="000000"/>
                <w:sz w:val="18"/>
                <w:szCs w:val="18"/>
                <w:highlight w:val="yellow"/>
              </w:rPr>
              <w:fldChar w:fldCharType="begin">
                <w:ffData>
                  <w:name w:val=""/>
                  <w:enabled/>
                  <w:calcOnExit w:val="0"/>
                  <w:textInput>
                    <w:default w:val="(Tons)"/>
                  </w:textInput>
                </w:ffData>
              </w:fldChar>
            </w:r>
            <w:r w:rsidRPr="00E30B5B">
              <w:rPr>
                <w:b/>
                <w:i/>
                <w:color w:val="000000"/>
                <w:sz w:val="18"/>
                <w:szCs w:val="18"/>
                <w:highlight w:val="yellow"/>
              </w:rPr>
              <w:instrText xml:space="preserve"> FORMTEXT </w:instrText>
            </w:r>
            <w:r w:rsidRPr="00E30B5B">
              <w:rPr>
                <w:b/>
                <w:i/>
                <w:color w:val="000000"/>
                <w:sz w:val="18"/>
                <w:szCs w:val="18"/>
                <w:highlight w:val="yellow"/>
              </w:rPr>
            </w:r>
            <w:r w:rsidRPr="00E30B5B">
              <w:rPr>
                <w:b/>
                <w:i/>
                <w:color w:val="000000"/>
                <w:sz w:val="18"/>
                <w:szCs w:val="18"/>
                <w:highlight w:val="yellow"/>
              </w:rPr>
              <w:fldChar w:fldCharType="separate"/>
            </w:r>
            <w:r w:rsidRPr="00E30B5B">
              <w:rPr>
                <w:b/>
                <w:i/>
                <w:color w:val="000000"/>
                <w:sz w:val="18"/>
                <w:szCs w:val="18"/>
                <w:highlight w:val="yellow"/>
              </w:rPr>
              <w:t>(Metric Tons)</w:t>
            </w:r>
            <w:r w:rsidRPr="00E30B5B">
              <w:rPr>
                <w:b/>
                <w:i/>
                <w:color w:val="000000"/>
                <w:sz w:val="18"/>
                <w:szCs w:val="18"/>
                <w:highlight w:val="yellow"/>
              </w:rPr>
              <w:fldChar w:fldCharType="end"/>
            </w:r>
          </w:p>
        </w:tc>
      </w:tr>
      <w:tr w:rsidR="007520C1" w:rsidRPr="004244E0" w14:paraId="41F907A2" w14:textId="77777777" w:rsidTr="00DB02C4">
        <w:trPr>
          <w:trHeight w:val="197"/>
        </w:trPr>
        <w:tc>
          <w:tcPr>
            <w:tcW w:w="3957" w:type="dxa"/>
            <w:gridSpan w:val="3"/>
            <w:vMerge w:val="restart"/>
          </w:tcPr>
          <w:p w14:paraId="1C7B273A" w14:textId="77777777" w:rsidR="007520C1" w:rsidRPr="00E30B5B" w:rsidRDefault="007520C1" w:rsidP="00E049DB">
            <w:pPr>
              <w:rPr>
                <w:sz w:val="18"/>
                <w:szCs w:val="18"/>
                <w:highlight w:val="yellow"/>
              </w:rPr>
            </w:pPr>
            <w:r w:rsidRPr="00E30B5B">
              <w:rPr>
                <w:sz w:val="18"/>
                <w:szCs w:val="18"/>
                <w:highlight w:val="yellow"/>
              </w:rPr>
              <w:t>Fishery Details</w:t>
            </w:r>
          </w:p>
          <w:p w14:paraId="3B9CA01B" w14:textId="77777777" w:rsidR="007520C1" w:rsidRPr="00E30B5B" w:rsidRDefault="007520C1" w:rsidP="00E049DB">
            <w:pPr>
              <w:rPr>
                <w:sz w:val="18"/>
                <w:szCs w:val="18"/>
                <w:highlight w:val="yellow"/>
              </w:rPr>
            </w:pPr>
            <w:r w:rsidRPr="00E30B5B">
              <w:rPr>
                <w:i/>
                <w:color w:val="000000"/>
                <w:sz w:val="18"/>
                <w:szCs w:val="18"/>
                <w:highlight w:val="yellow"/>
              </w:rPr>
              <w:fldChar w:fldCharType="begin">
                <w:ffData>
                  <w:name w:val="F_GEB_BD_target"/>
                  <w:enabled/>
                  <w:calcOnExit w:val="0"/>
                  <w:textInput/>
                </w:ffData>
              </w:fldChar>
            </w:r>
            <w:r w:rsidRPr="00E30B5B">
              <w:rPr>
                <w:i/>
                <w:color w:val="000000"/>
                <w:sz w:val="18"/>
                <w:szCs w:val="18"/>
                <w:highlight w:val="yellow"/>
              </w:rPr>
              <w:instrText xml:space="preserve"> FORMTEXT </w:instrText>
            </w:r>
            <w:r w:rsidRPr="00E30B5B">
              <w:rPr>
                <w:i/>
                <w:color w:val="000000"/>
                <w:sz w:val="18"/>
                <w:szCs w:val="18"/>
                <w:highlight w:val="yellow"/>
              </w:rPr>
            </w:r>
            <w:r w:rsidRPr="00E30B5B">
              <w:rPr>
                <w:i/>
                <w:color w:val="000000"/>
                <w:sz w:val="18"/>
                <w:szCs w:val="18"/>
                <w:highlight w:val="yellow"/>
              </w:rPr>
              <w:fldChar w:fldCharType="separate"/>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fldChar w:fldCharType="end"/>
            </w:r>
          </w:p>
        </w:tc>
        <w:tc>
          <w:tcPr>
            <w:tcW w:w="6878" w:type="dxa"/>
            <w:gridSpan w:val="8"/>
          </w:tcPr>
          <w:p w14:paraId="02B702F4" w14:textId="77777777" w:rsidR="007520C1" w:rsidRPr="00E30B5B" w:rsidRDefault="007520C1" w:rsidP="00E049DB">
            <w:pPr>
              <w:jc w:val="center"/>
              <w:rPr>
                <w:sz w:val="18"/>
                <w:szCs w:val="18"/>
                <w:highlight w:val="yellow"/>
              </w:rPr>
            </w:pPr>
            <w:r w:rsidRPr="00E30B5B">
              <w:rPr>
                <w:sz w:val="18"/>
                <w:szCs w:val="18"/>
                <w:highlight w:val="yellow"/>
              </w:rPr>
              <w:t>Metric Tons</w:t>
            </w:r>
          </w:p>
        </w:tc>
      </w:tr>
      <w:tr w:rsidR="007520C1" w:rsidRPr="004244E0" w14:paraId="5B5FD312" w14:textId="77777777" w:rsidTr="00DB02C4">
        <w:trPr>
          <w:trHeight w:val="188"/>
        </w:trPr>
        <w:tc>
          <w:tcPr>
            <w:tcW w:w="3957" w:type="dxa"/>
            <w:gridSpan w:val="3"/>
            <w:vMerge/>
          </w:tcPr>
          <w:p w14:paraId="09A6A627" w14:textId="77777777" w:rsidR="007520C1" w:rsidRPr="00E30B5B" w:rsidRDefault="007520C1" w:rsidP="00E049DB">
            <w:pPr>
              <w:rPr>
                <w:sz w:val="18"/>
                <w:szCs w:val="18"/>
                <w:highlight w:val="yellow"/>
              </w:rPr>
            </w:pPr>
          </w:p>
        </w:tc>
        <w:tc>
          <w:tcPr>
            <w:tcW w:w="2782" w:type="dxa"/>
            <w:gridSpan w:val="2"/>
          </w:tcPr>
          <w:p w14:paraId="5940D78B" w14:textId="77777777" w:rsidR="007520C1" w:rsidRPr="00E30B5B" w:rsidRDefault="007520C1" w:rsidP="00E049DB">
            <w:pPr>
              <w:rPr>
                <w:sz w:val="18"/>
                <w:szCs w:val="18"/>
                <w:highlight w:val="yellow"/>
              </w:rPr>
            </w:pPr>
            <w:r w:rsidRPr="00E30B5B">
              <w:rPr>
                <w:sz w:val="18"/>
                <w:szCs w:val="18"/>
                <w:highlight w:val="yellow"/>
              </w:rPr>
              <w:t>PIF stage</w:t>
            </w:r>
          </w:p>
        </w:tc>
        <w:tc>
          <w:tcPr>
            <w:tcW w:w="1477" w:type="dxa"/>
            <w:gridSpan w:val="2"/>
          </w:tcPr>
          <w:p w14:paraId="2799E43C" w14:textId="77777777" w:rsidR="007520C1" w:rsidRPr="00E30B5B" w:rsidRDefault="007520C1" w:rsidP="00E049DB">
            <w:pPr>
              <w:rPr>
                <w:sz w:val="18"/>
                <w:szCs w:val="18"/>
                <w:highlight w:val="yellow"/>
              </w:rPr>
            </w:pPr>
            <w:r w:rsidRPr="00E30B5B">
              <w:rPr>
                <w:sz w:val="18"/>
                <w:szCs w:val="18"/>
                <w:highlight w:val="yellow"/>
              </w:rPr>
              <w:t>Endorsement</w:t>
            </w:r>
          </w:p>
        </w:tc>
        <w:tc>
          <w:tcPr>
            <w:tcW w:w="1306" w:type="dxa"/>
            <w:gridSpan w:val="2"/>
          </w:tcPr>
          <w:p w14:paraId="55D5AB7C" w14:textId="77777777" w:rsidR="007520C1" w:rsidRPr="00E30B5B" w:rsidRDefault="007520C1" w:rsidP="00E049DB">
            <w:pPr>
              <w:rPr>
                <w:sz w:val="18"/>
                <w:szCs w:val="18"/>
                <w:highlight w:val="yellow"/>
              </w:rPr>
            </w:pPr>
            <w:r w:rsidRPr="00E30B5B">
              <w:rPr>
                <w:sz w:val="18"/>
                <w:szCs w:val="18"/>
                <w:highlight w:val="yellow"/>
              </w:rPr>
              <w:t>MTR</w:t>
            </w:r>
          </w:p>
        </w:tc>
        <w:tc>
          <w:tcPr>
            <w:tcW w:w="1313" w:type="dxa"/>
            <w:gridSpan w:val="2"/>
          </w:tcPr>
          <w:p w14:paraId="01209E26" w14:textId="77777777" w:rsidR="007520C1" w:rsidRPr="00E30B5B" w:rsidRDefault="007520C1" w:rsidP="00E049DB">
            <w:pPr>
              <w:rPr>
                <w:sz w:val="18"/>
                <w:szCs w:val="18"/>
                <w:highlight w:val="yellow"/>
              </w:rPr>
            </w:pPr>
            <w:r w:rsidRPr="00E30B5B">
              <w:rPr>
                <w:sz w:val="18"/>
                <w:szCs w:val="18"/>
                <w:highlight w:val="yellow"/>
              </w:rPr>
              <w:t>TE</w:t>
            </w:r>
          </w:p>
        </w:tc>
      </w:tr>
      <w:tr w:rsidR="007520C1" w:rsidRPr="004244E0" w14:paraId="604F29CC" w14:textId="77777777" w:rsidTr="00DB02C4">
        <w:tc>
          <w:tcPr>
            <w:tcW w:w="3957" w:type="dxa"/>
            <w:gridSpan w:val="3"/>
            <w:vMerge/>
          </w:tcPr>
          <w:p w14:paraId="06314D62" w14:textId="77777777" w:rsidR="007520C1" w:rsidRPr="00E30B5B" w:rsidRDefault="007520C1" w:rsidP="00E049DB">
            <w:pPr>
              <w:jc w:val="right"/>
              <w:rPr>
                <w:sz w:val="18"/>
                <w:szCs w:val="18"/>
                <w:highlight w:val="yellow"/>
              </w:rPr>
            </w:pPr>
          </w:p>
        </w:tc>
        <w:tc>
          <w:tcPr>
            <w:tcW w:w="2782" w:type="dxa"/>
            <w:gridSpan w:val="2"/>
          </w:tcPr>
          <w:p w14:paraId="2C726080" w14:textId="77777777" w:rsidR="007520C1" w:rsidRPr="00E30B5B" w:rsidRDefault="007520C1" w:rsidP="00E049DB">
            <w:pPr>
              <w:jc w:val="right"/>
              <w:rPr>
                <w:sz w:val="18"/>
                <w:szCs w:val="18"/>
                <w:highlight w:val="yellow"/>
              </w:rPr>
            </w:pPr>
            <w:r w:rsidRPr="00E30B5B">
              <w:rPr>
                <w:i/>
                <w:color w:val="000000"/>
                <w:sz w:val="18"/>
                <w:szCs w:val="18"/>
                <w:highlight w:val="yellow"/>
              </w:rPr>
              <w:fldChar w:fldCharType="begin">
                <w:ffData>
                  <w:name w:val="F_GEB_BD_target"/>
                  <w:enabled/>
                  <w:calcOnExit w:val="0"/>
                  <w:textInput/>
                </w:ffData>
              </w:fldChar>
            </w:r>
            <w:r w:rsidRPr="00E30B5B">
              <w:rPr>
                <w:i/>
                <w:color w:val="000000"/>
                <w:sz w:val="18"/>
                <w:szCs w:val="18"/>
                <w:highlight w:val="yellow"/>
              </w:rPr>
              <w:instrText xml:space="preserve"> FORMTEXT </w:instrText>
            </w:r>
            <w:r w:rsidRPr="00E30B5B">
              <w:rPr>
                <w:i/>
                <w:color w:val="000000"/>
                <w:sz w:val="18"/>
                <w:szCs w:val="18"/>
                <w:highlight w:val="yellow"/>
              </w:rPr>
            </w:r>
            <w:r w:rsidRPr="00E30B5B">
              <w:rPr>
                <w:i/>
                <w:color w:val="000000"/>
                <w:sz w:val="18"/>
                <w:szCs w:val="18"/>
                <w:highlight w:val="yellow"/>
              </w:rPr>
              <w:fldChar w:fldCharType="separate"/>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fldChar w:fldCharType="end"/>
            </w:r>
          </w:p>
        </w:tc>
        <w:tc>
          <w:tcPr>
            <w:tcW w:w="1477" w:type="dxa"/>
            <w:gridSpan w:val="2"/>
          </w:tcPr>
          <w:p w14:paraId="3AECD54F" w14:textId="77777777" w:rsidR="007520C1" w:rsidRPr="00E30B5B" w:rsidRDefault="007520C1" w:rsidP="00E049DB">
            <w:pPr>
              <w:jc w:val="right"/>
              <w:rPr>
                <w:sz w:val="18"/>
                <w:szCs w:val="18"/>
                <w:highlight w:val="yellow"/>
              </w:rPr>
            </w:pPr>
            <w:r w:rsidRPr="00E30B5B">
              <w:rPr>
                <w:i/>
                <w:color w:val="000000"/>
                <w:sz w:val="18"/>
                <w:szCs w:val="18"/>
                <w:highlight w:val="yellow"/>
              </w:rPr>
              <w:fldChar w:fldCharType="begin">
                <w:ffData>
                  <w:name w:val="F_GEB_BD_target"/>
                  <w:enabled/>
                  <w:calcOnExit w:val="0"/>
                  <w:textInput/>
                </w:ffData>
              </w:fldChar>
            </w:r>
            <w:r w:rsidRPr="00E30B5B">
              <w:rPr>
                <w:i/>
                <w:color w:val="000000"/>
                <w:sz w:val="18"/>
                <w:szCs w:val="18"/>
                <w:highlight w:val="yellow"/>
              </w:rPr>
              <w:instrText xml:space="preserve"> FORMTEXT </w:instrText>
            </w:r>
            <w:r w:rsidRPr="00E30B5B">
              <w:rPr>
                <w:i/>
                <w:color w:val="000000"/>
                <w:sz w:val="18"/>
                <w:szCs w:val="18"/>
                <w:highlight w:val="yellow"/>
              </w:rPr>
            </w:r>
            <w:r w:rsidRPr="00E30B5B">
              <w:rPr>
                <w:i/>
                <w:color w:val="000000"/>
                <w:sz w:val="18"/>
                <w:szCs w:val="18"/>
                <w:highlight w:val="yellow"/>
              </w:rPr>
              <w:fldChar w:fldCharType="separate"/>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fldChar w:fldCharType="end"/>
            </w:r>
          </w:p>
        </w:tc>
        <w:tc>
          <w:tcPr>
            <w:tcW w:w="1306" w:type="dxa"/>
            <w:gridSpan w:val="2"/>
          </w:tcPr>
          <w:p w14:paraId="2AC00421" w14:textId="77777777" w:rsidR="007520C1" w:rsidRPr="00E30B5B" w:rsidRDefault="007520C1" w:rsidP="00E049DB">
            <w:pPr>
              <w:jc w:val="right"/>
              <w:rPr>
                <w:sz w:val="18"/>
                <w:szCs w:val="18"/>
                <w:highlight w:val="yellow"/>
              </w:rPr>
            </w:pPr>
            <w:r w:rsidRPr="00E30B5B">
              <w:rPr>
                <w:i/>
                <w:color w:val="000000"/>
                <w:sz w:val="18"/>
                <w:szCs w:val="18"/>
                <w:highlight w:val="yellow"/>
              </w:rPr>
              <w:fldChar w:fldCharType="begin">
                <w:ffData>
                  <w:name w:val="F_GEB_BD_target"/>
                  <w:enabled/>
                  <w:calcOnExit w:val="0"/>
                  <w:textInput/>
                </w:ffData>
              </w:fldChar>
            </w:r>
            <w:r w:rsidRPr="00E30B5B">
              <w:rPr>
                <w:i/>
                <w:color w:val="000000"/>
                <w:sz w:val="18"/>
                <w:szCs w:val="18"/>
                <w:highlight w:val="yellow"/>
              </w:rPr>
              <w:instrText xml:space="preserve"> FORMTEXT </w:instrText>
            </w:r>
            <w:r w:rsidRPr="00E30B5B">
              <w:rPr>
                <w:i/>
                <w:color w:val="000000"/>
                <w:sz w:val="18"/>
                <w:szCs w:val="18"/>
                <w:highlight w:val="yellow"/>
              </w:rPr>
            </w:r>
            <w:r w:rsidRPr="00E30B5B">
              <w:rPr>
                <w:i/>
                <w:color w:val="000000"/>
                <w:sz w:val="18"/>
                <w:szCs w:val="18"/>
                <w:highlight w:val="yellow"/>
              </w:rPr>
              <w:fldChar w:fldCharType="separate"/>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fldChar w:fldCharType="end"/>
            </w:r>
          </w:p>
        </w:tc>
        <w:tc>
          <w:tcPr>
            <w:tcW w:w="1313" w:type="dxa"/>
            <w:gridSpan w:val="2"/>
          </w:tcPr>
          <w:p w14:paraId="236B23F5" w14:textId="77777777" w:rsidR="007520C1" w:rsidRPr="00E30B5B" w:rsidRDefault="007520C1" w:rsidP="00E049DB">
            <w:pPr>
              <w:jc w:val="right"/>
              <w:rPr>
                <w:sz w:val="18"/>
                <w:szCs w:val="18"/>
                <w:highlight w:val="yellow"/>
              </w:rPr>
            </w:pPr>
            <w:r w:rsidRPr="00E30B5B">
              <w:rPr>
                <w:i/>
                <w:color w:val="000000"/>
                <w:sz w:val="18"/>
                <w:szCs w:val="18"/>
                <w:highlight w:val="yellow"/>
              </w:rPr>
              <w:fldChar w:fldCharType="begin">
                <w:ffData>
                  <w:name w:val="F_GEB_BD_target"/>
                  <w:enabled/>
                  <w:calcOnExit w:val="0"/>
                  <w:textInput/>
                </w:ffData>
              </w:fldChar>
            </w:r>
            <w:r w:rsidRPr="00E30B5B">
              <w:rPr>
                <w:i/>
                <w:color w:val="000000"/>
                <w:sz w:val="18"/>
                <w:szCs w:val="18"/>
                <w:highlight w:val="yellow"/>
              </w:rPr>
              <w:instrText xml:space="preserve"> FORMTEXT </w:instrText>
            </w:r>
            <w:r w:rsidRPr="00E30B5B">
              <w:rPr>
                <w:i/>
                <w:color w:val="000000"/>
                <w:sz w:val="18"/>
                <w:szCs w:val="18"/>
                <w:highlight w:val="yellow"/>
              </w:rPr>
            </w:r>
            <w:r w:rsidRPr="00E30B5B">
              <w:rPr>
                <w:i/>
                <w:color w:val="000000"/>
                <w:sz w:val="18"/>
                <w:szCs w:val="18"/>
                <w:highlight w:val="yellow"/>
              </w:rPr>
              <w:fldChar w:fldCharType="separate"/>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fldChar w:fldCharType="end"/>
            </w:r>
          </w:p>
        </w:tc>
      </w:tr>
      <w:tr w:rsidR="007520C1" w:rsidRPr="004244E0" w14:paraId="6C048312" w14:textId="77777777" w:rsidTr="00DB02C4">
        <w:tc>
          <w:tcPr>
            <w:tcW w:w="1298" w:type="dxa"/>
            <w:shd w:val="clear" w:color="auto" w:fill="D9D9D9" w:themeFill="background1" w:themeFillShade="D9"/>
          </w:tcPr>
          <w:p w14:paraId="58034F00" w14:textId="77777777" w:rsidR="007520C1" w:rsidRPr="00E30B5B" w:rsidRDefault="007520C1" w:rsidP="00E049DB">
            <w:pPr>
              <w:rPr>
                <w:b/>
                <w:sz w:val="18"/>
                <w:szCs w:val="18"/>
                <w:highlight w:val="yellow"/>
              </w:rPr>
            </w:pPr>
            <w:r w:rsidRPr="00E30B5B">
              <w:rPr>
                <w:b/>
                <w:sz w:val="18"/>
                <w:szCs w:val="18"/>
                <w:highlight w:val="yellow"/>
              </w:rPr>
              <w:t>Core Indicator 9</w:t>
            </w:r>
          </w:p>
        </w:tc>
        <w:tc>
          <w:tcPr>
            <w:tcW w:w="6765" w:type="dxa"/>
            <w:gridSpan w:val="5"/>
            <w:shd w:val="clear" w:color="auto" w:fill="D9D9D9" w:themeFill="background1" w:themeFillShade="D9"/>
          </w:tcPr>
          <w:p w14:paraId="11FA8F51" w14:textId="77777777" w:rsidR="007520C1" w:rsidRPr="00E30B5B" w:rsidRDefault="007520C1" w:rsidP="00E049DB">
            <w:pPr>
              <w:rPr>
                <w:b/>
                <w:sz w:val="18"/>
                <w:szCs w:val="18"/>
                <w:highlight w:val="yellow"/>
              </w:rPr>
            </w:pPr>
            <w:r w:rsidRPr="00E30B5B">
              <w:rPr>
                <w:b/>
                <w:sz w:val="18"/>
                <w:szCs w:val="18"/>
                <w:highlight w:val="yellow"/>
              </w:rPr>
              <w:t>Reduction, disposal/destruction, phase out, elimination and avoidance of chemicals of global concern and their waste in the environment and in processes, materials and products</w:t>
            </w:r>
          </w:p>
        </w:tc>
        <w:tc>
          <w:tcPr>
            <w:tcW w:w="2772" w:type="dxa"/>
            <w:gridSpan w:val="5"/>
            <w:shd w:val="clear" w:color="auto" w:fill="D9D9D9" w:themeFill="background1" w:themeFillShade="D9"/>
          </w:tcPr>
          <w:p w14:paraId="5458C182" w14:textId="77777777" w:rsidR="007520C1" w:rsidRPr="00E30B5B" w:rsidRDefault="007520C1" w:rsidP="00E049DB">
            <w:pPr>
              <w:jc w:val="right"/>
              <w:rPr>
                <w:b/>
                <w:sz w:val="18"/>
                <w:szCs w:val="18"/>
                <w:highlight w:val="yellow"/>
              </w:rPr>
            </w:pPr>
            <w:r w:rsidRPr="00E30B5B">
              <w:rPr>
                <w:b/>
                <w:i/>
                <w:color w:val="000000"/>
                <w:sz w:val="18"/>
                <w:szCs w:val="18"/>
                <w:highlight w:val="yellow"/>
              </w:rPr>
              <w:fldChar w:fldCharType="begin">
                <w:ffData>
                  <w:name w:val=""/>
                  <w:enabled/>
                  <w:calcOnExit w:val="0"/>
                  <w:textInput>
                    <w:default w:val="(Tons)"/>
                  </w:textInput>
                </w:ffData>
              </w:fldChar>
            </w:r>
            <w:r w:rsidRPr="00E30B5B">
              <w:rPr>
                <w:b/>
                <w:i/>
                <w:color w:val="000000"/>
                <w:sz w:val="18"/>
                <w:szCs w:val="18"/>
                <w:highlight w:val="yellow"/>
              </w:rPr>
              <w:instrText xml:space="preserve"> FORMTEXT </w:instrText>
            </w:r>
            <w:r w:rsidRPr="00E30B5B">
              <w:rPr>
                <w:b/>
                <w:i/>
                <w:color w:val="000000"/>
                <w:sz w:val="18"/>
                <w:szCs w:val="18"/>
                <w:highlight w:val="yellow"/>
              </w:rPr>
            </w:r>
            <w:r w:rsidRPr="00E30B5B">
              <w:rPr>
                <w:b/>
                <w:i/>
                <w:color w:val="000000"/>
                <w:sz w:val="18"/>
                <w:szCs w:val="18"/>
                <w:highlight w:val="yellow"/>
              </w:rPr>
              <w:fldChar w:fldCharType="separate"/>
            </w:r>
            <w:r w:rsidRPr="00E30B5B">
              <w:rPr>
                <w:b/>
                <w:i/>
                <w:color w:val="000000"/>
                <w:sz w:val="18"/>
                <w:szCs w:val="18"/>
                <w:highlight w:val="yellow"/>
              </w:rPr>
              <w:t>(Metric Tons)</w:t>
            </w:r>
            <w:r w:rsidRPr="00E30B5B">
              <w:rPr>
                <w:b/>
                <w:i/>
                <w:color w:val="000000"/>
                <w:sz w:val="18"/>
                <w:szCs w:val="18"/>
                <w:highlight w:val="yellow"/>
              </w:rPr>
              <w:fldChar w:fldCharType="end"/>
            </w:r>
          </w:p>
        </w:tc>
      </w:tr>
      <w:tr w:rsidR="007520C1" w:rsidRPr="004244E0" w14:paraId="4B5FA83B" w14:textId="77777777" w:rsidTr="00DB02C4">
        <w:tc>
          <w:tcPr>
            <w:tcW w:w="1298" w:type="dxa"/>
            <w:shd w:val="clear" w:color="auto" w:fill="auto"/>
          </w:tcPr>
          <w:p w14:paraId="04254A7F" w14:textId="77777777" w:rsidR="007520C1" w:rsidRPr="00E30B5B" w:rsidRDefault="007520C1" w:rsidP="00E049DB">
            <w:pPr>
              <w:rPr>
                <w:sz w:val="18"/>
                <w:szCs w:val="18"/>
                <w:highlight w:val="yellow"/>
              </w:rPr>
            </w:pPr>
          </w:p>
        </w:tc>
        <w:tc>
          <w:tcPr>
            <w:tcW w:w="2659" w:type="dxa"/>
            <w:gridSpan w:val="2"/>
            <w:shd w:val="clear" w:color="auto" w:fill="auto"/>
          </w:tcPr>
          <w:p w14:paraId="25A78E7B" w14:textId="77777777" w:rsidR="007520C1" w:rsidRPr="00E30B5B" w:rsidRDefault="007520C1" w:rsidP="00E049DB">
            <w:pPr>
              <w:rPr>
                <w:sz w:val="18"/>
                <w:szCs w:val="18"/>
                <w:highlight w:val="yellow"/>
              </w:rPr>
            </w:pPr>
          </w:p>
        </w:tc>
        <w:tc>
          <w:tcPr>
            <w:tcW w:w="6878" w:type="dxa"/>
            <w:gridSpan w:val="8"/>
            <w:shd w:val="clear" w:color="auto" w:fill="F2F2F2" w:themeFill="background1" w:themeFillShade="F2"/>
          </w:tcPr>
          <w:p w14:paraId="2811BBD5" w14:textId="77777777" w:rsidR="007520C1" w:rsidRPr="00E30B5B" w:rsidRDefault="007520C1" w:rsidP="00E049DB">
            <w:pPr>
              <w:jc w:val="center"/>
              <w:rPr>
                <w:i/>
                <w:color w:val="000000"/>
                <w:sz w:val="18"/>
                <w:szCs w:val="18"/>
                <w:highlight w:val="yellow"/>
              </w:rPr>
            </w:pPr>
            <w:r w:rsidRPr="00E30B5B">
              <w:rPr>
                <w:sz w:val="18"/>
                <w:szCs w:val="18"/>
                <w:highlight w:val="yellow"/>
              </w:rPr>
              <w:t>Metric Tons (9.1+9.2+9.3)</w:t>
            </w:r>
          </w:p>
        </w:tc>
      </w:tr>
      <w:tr w:rsidR="007520C1" w:rsidRPr="004244E0" w14:paraId="63751BD1" w14:textId="77777777" w:rsidTr="00DB02C4">
        <w:tc>
          <w:tcPr>
            <w:tcW w:w="1298" w:type="dxa"/>
            <w:shd w:val="clear" w:color="auto" w:fill="auto"/>
          </w:tcPr>
          <w:p w14:paraId="2FC5AEB6" w14:textId="77777777" w:rsidR="007520C1" w:rsidRPr="00E30B5B" w:rsidRDefault="007520C1" w:rsidP="00E049DB">
            <w:pPr>
              <w:rPr>
                <w:sz w:val="18"/>
                <w:szCs w:val="18"/>
                <w:highlight w:val="yellow"/>
              </w:rPr>
            </w:pPr>
          </w:p>
        </w:tc>
        <w:tc>
          <w:tcPr>
            <w:tcW w:w="2659" w:type="dxa"/>
            <w:gridSpan w:val="2"/>
            <w:shd w:val="clear" w:color="auto" w:fill="auto"/>
          </w:tcPr>
          <w:p w14:paraId="4DCC3656" w14:textId="77777777" w:rsidR="007520C1" w:rsidRPr="00E30B5B" w:rsidRDefault="007520C1" w:rsidP="00E049DB">
            <w:pPr>
              <w:rPr>
                <w:sz w:val="18"/>
                <w:szCs w:val="18"/>
                <w:highlight w:val="yellow"/>
              </w:rPr>
            </w:pPr>
          </w:p>
        </w:tc>
        <w:tc>
          <w:tcPr>
            <w:tcW w:w="4106" w:type="dxa"/>
            <w:gridSpan w:val="3"/>
            <w:shd w:val="clear" w:color="auto" w:fill="F2F2F2" w:themeFill="background1" w:themeFillShade="F2"/>
          </w:tcPr>
          <w:p w14:paraId="2E4D6041" w14:textId="77777777" w:rsidR="007520C1" w:rsidRPr="00E30B5B" w:rsidRDefault="007520C1" w:rsidP="00E049DB">
            <w:pPr>
              <w:jc w:val="center"/>
              <w:rPr>
                <w:sz w:val="18"/>
                <w:szCs w:val="18"/>
                <w:highlight w:val="yellow"/>
              </w:rPr>
            </w:pPr>
            <w:r w:rsidRPr="00E30B5B">
              <w:rPr>
                <w:sz w:val="18"/>
                <w:szCs w:val="18"/>
                <w:highlight w:val="yellow"/>
              </w:rPr>
              <w:t>Expected</w:t>
            </w:r>
          </w:p>
        </w:tc>
        <w:tc>
          <w:tcPr>
            <w:tcW w:w="2772" w:type="dxa"/>
            <w:gridSpan w:val="5"/>
            <w:shd w:val="clear" w:color="auto" w:fill="F2F2F2" w:themeFill="background1" w:themeFillShade="F2"/>
          </w:tcPr>
          <w:p w14:paraId="69725D60" w14:textId="77777777" w:rsidR="007520C1" w:rsidRPr="00E30B5B" w:rsidRDefault="007520C1" w:rsidP="00E049DB">
            <w:pPr>
              <w:jc w:val="center"/>
              <w:rPr>
                <w:i/>
                <w:color w:val="000000"/>
                <w:sz w:val="18"/>
                <w:szCs w:val="18"/>
                <w:highlight w:val="yellow"/>
              </w:rPr>
            </w:pPr>
            <w:r w:rsidRPr="00E30B5B">
              <w:rPr>
                <w:sz w:val="18"/>
                <w:szCs w:val="18"/>
                <w:highlight w:val="yellow"/>
              </w:rPr>
              <w:t>Achieved</w:t>
            </w:r>
          </w:p>
        </w:tc>
      </w:tr>
      <w:tr w:rsidR="007520C1" w:rsidRPr="004244E0" w14:paraId="48DD62BC" w14:textId="77777777" w:rsidTr="00DB02C4">
        <w:tc>
          <w:tcPr>
            <w:tcW w:w="1298" w:type="dxa"/>
            <w:shd w:val="clear" w:color="auto" w:fill="auto"/>
          </w:tcPr>
          <w:p w14:paraId="1EB90901" w14:textId="77777777" w:rsidR="007520C1" w:rsidRPr="00E30B5B" w:rsidRDefault="007520C1" w:rsidP="00E049DB">
            <w:pPr>
              <w:rPr>
                <w:sz w:val="18"/>
                <w:szCs w:val="18"/>
                <w:highlight w:val="yellow"/>
              </w:rPr>
            </w:pPr>
          </w:p>
        </w:tc>
        <w:tc>
          <w:tcPr>
            <w:tcW w:w="2659" w:type="dxa"/>
            <w:gridSpan w:val="2"/>
            <w:shd w:val="clear" w:color="auto" w:fill="auto"/>
          </w:tcPr>
          <w:p w14:paraId="3B9B2A4E" w14:textId="77777777" w:rsidR="007520C1" w:rsidRPr="00E30B5B" w:rsidRDefault="007520C1" w:rsidP="00E049DB">
            <w:pPr>
              <w:rPr>
                <w:sz w:val="18"/>
                <w:szCs w:val="18"/>
                <w:highlight w:val="yellow"/>
              </w:rPr>
            </w:pPr>
          </w:p>
        </w:tc>
        <w:tc>
          <w:tcPr>
            <w:tcW w:w="2782" w:type="dxa"/>
            <w:gridSpan w:val="2"/>
            <w:shd w:val="clear" w:color="auto" w:fill="F2F2F2" w:themeFill="background1" w:themeFillShade="F2"/>
          </w:tcPr>
          <w:p w14:paraId="4AB2BBFD" w14:textId="77777777" w:rsidR="007520C1" w:rsidRPr="00E30B5B" w:rsidRDefault="007520C1" w:rsidP="00E049DB">
            <w:pPr>
              <w:jc w:val="center"/>
              <w:rPr>
                <w:sz w:val="18"/>
                <w:szCs w:val="18"/>
                <w:highlight w:val="yellow"/>
              </w:rPr>
            </w:pPr>
            <w:r w:rsidRPr="00E30B5B">
              <w:rPr>
                <w:sz w:val="18"/>
                <w:szCs w:val="18"/>
                <w:highlight w:val="yellow"/>
              </w:rPr>
              <w:t>PIF stage</w:t>
            </w:r>
          </w:p>
        </w:tc>
        <w:tc>
          <w:tcPr>
            <w:tcW w:w="1485" w:type="dxa"/>
            <w:gridSpan w:val="3"/>
            <w:shd w:val="clear" w:color="auto" w:fill="F2F2F2" w:themeFill="background1" w:themeFillShade="F2"/>
          </w:tcPr>
          <w:p w14:paraId="45E2C7F4" w14:textId="77777777" w:rsidR="007520C1" w:rsidRPr="00E30B5B" w:rsidRDefault="007520C1" w:rsidP="00E049DB">
            <w:pPr>
              <w:jc w:val="center"/>
              <w:rPr>
                <w:sz w:val="18"/>
                <w:szCs w:val="18"/>
                <w:highlight w:val="yellow"/>
              </w:rPr>
            </w:pPr>
            <w:r w:rsidRPr="00E30B5B">
              <w:rPr>
                <w:sz w:val="18"/>
                <w:szCs w:val="18"/>
                <w:highlight w:val="yellow"/>
              </w:rPr>
              <w:t>PIF stage</w:t>
            </w:r>
          </w:p>
        </w:tc>
        <w:tc>
          <w:tcPr>
            <w:tcW w:w="1324" w:type="dxa"/>
            <w:gridSpan w:val="2"/>
            <w:shd w:val="clear" w:color="auto" w:fill="F2F2F2" w:themeFill="background1" w:themeFillShade="F2"/>
          </w:tcPr>
          <w:p w14:paraId="281DBCD3" w14:textId="77777777" w:rsidR="007520C1" w:rsidRPr="00E30B5B" w:rsidRDefault="007520C1" w:rsidP="00E049DB">
            <w:pPr>
              <w:jc w:val="center"/>
              <w:rPr>
                <w:sz w:val="18"/>
                <w:szCs w:val="18"/>
                <w:highlight w:val="yellow"/>
              </w:rPr>
            </w:pPr>
            <w:r w:rsidRPr="00E30B5B">
              <w:rPr>
                <w:sz w:val="18"/>
                <w:szCs w:val="18"/>
                <w:highlight w:val="yellow"/>
              </w:rPr>
              <w:t>MTR</w:t>
            </w:r>
          </w:p>
        </w:tc>
        <w:tc>
          <w:tcPr>
            <w:tcW w:w="1287" w:type="dxa"/>
            <w:shd w:val="clear" w:color="auto" w:fill="F2F2F2" w:themeFill="background1" w:themeFillShade="F2"/>
          </w:tcPr>
          <w:p w14:paraId="17E1B4AF" w14:textId="77777777" w:rsidR="007520C1" w:rsidRPr="00E30B5B" w:rsidRDefault="007520C1" w:rsidP="00E049DB">
            <w:pPr>
              <w:jc w:val="center"/>
              <w:rPr>
                <w:i/>
                <w:color w:val="000000"/>
                <w:sz w:val="18"/>
                <w:szCs w:val="18"/>
                <w:highlight w:val="yellow"/>
              </w:rPr>
            </w:pPr>
            <w:r w:rsidRPr="00E30B5B">
              <w:rPr>
                <w:sz w:val="18"/>
                <w:szCs w:val="18"/>
                <w:highlight w:val="yellow"/>
              </w:rPr>
              <w:t>TE</w:t>
            </w:r>
          </w:p>
        </w:tc>
      </w:tr>
      <w:tr w:rsidR="007520C1" w:rsidRPr="004244E0" w14:paraId="74AF17B1" w14:textId="77777777" w:rsidTr="00DB02C4">
        <w:tc>
          <w:tcPr>
            <w:tcW w:w="1298" w:type="dxa"/>
            <w:shd w:val="clear" w:color="auto" w:fill="auto"/>
          </w:tcPr>
          <w:p w14:paraId="702192DF" w14:textId="77777777" w:rsidR="007520C1" w:rsidRPr="00E30B5B" w:rsidRDefault="007520C1" w:rsidP="00E049DB">
            <w:pPr>
              <w:rPr>
                <w:sz w:val="18"/>
                <w:szCs w:val="18"/>
                <w:highlight w:val="yellow"/>
              </w:rPr>
            </w:pPr>
          </w:p>
        </w:tc>
        <w:tc>
          <w:tcPr>
            <w:tcW w:w="2659" w:type="dxa"/>
            <w:gridSpan w:val="2"/>
            <w:shd w:val="clear" w:color="auto" w:fill="auto"/>
          </w:tcPr>
          <w:p w14:paraId="530C6747" w14:textId="77777777" w:rsidR="007520C1" w:rsidRPr="00E30B5B" w:rsidRDefault="007520C1" w:rsidP="00E049DB">
            <w:pPr>
              <w:rPr>
                <w:sz w:val="18"/>
                <w:szCs w:val="18"/>
                <w:highlight w:val="yellow"/>
              </w:rPr>
            </w:pPr>
          </w:p>
        </w:tc>
        <w:tc>
          <w:tcPr>
            <w:tcW w:w="2782" w:type="dxa"/>
            <w:gridSpan w:val="2"/>
            <w:shd w:val="clear" w:color="auto" w:fill="F2F2F2" w:themeFill="background1" w:themeFillShade="F2"/>
          </w:tcPr>
          <w:p w14:paraId="1DE2E8C9" w14:textId="77777777" w:rsidR="007520C1" w:rsidRPr="00E30B5B" w:rsidRDefault="007520C1" w:rsidP="00E049DB">
            <w:pPr>
              <w:rPr>
                <w:sz w:val="18"/>
                <w:szCs w:val="18"/>
                <w:highlight w:val="yellow"/>
              </w:rPr>
            </w:pPr>
            <w:r w:rsidRPr="00E30B5B">
              <w:rPr>
                <w:i/>
                <w:color w:val="000000"/>
                <w:sz w:val="18"/>
                <w:szCs w:val="18"/>
                <w:highlight w:val="yellow"/>
              </w:rPr>
              <w:fldChar w:fldCharType="begin">
                <w:ffData>
                  <w:name w:val="F_GEB_BD_target"/>
                  <w:enabled/>
                  <w:calcOnExit w:val="0"/>
                  <w:textInput/>
                </w:ffData>
              </w:fldChar>
            </w:r>
            <w:r w:rsidRPr="00E30B5B">
              <w:rPr>
                <w:i/>
                <w:color w:val="000000"/>
                <w:sz w:val="18"/>
                <w:szCs w:val="18"/>
                <w:highlight w:val="yellow"/>
              </w:rPr>
              <w:instrText xml:space="preserve"> FORMTEXT </w:instrText>
            </w:r>
            <w:r w:rsidRPr="00E30B5B">
              <w:rPr>
                <w:i/>
                <w:color w:val="000000"/>
                <w:sz w:val="18"/>
                <w:szCs w:val="18"/>
                <w:highlight w:val="yellow"/>
              </w:rPr>
            </w:r>
            <w:r w:rsidRPr="00E30B5B">
              <w:rPr>
                <w:i/>
                <w:color w:val="000000"/>
                <w:sz w:val="18"/>
                <w:szCs w:val="18"/>
                <w:highlight w:val="yellow"/>
              </w:rPr>
              <w:fldChar w:fldCharType="separate"/>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fldChar w:fldCharType="end"/>
            </w:r>
          </w:p>
        </w:tc>
        <w:tc>
          <w:tcPr>
            <w:tcW w:w="1485" w:type="dxa"/>
            <w:gridSpan w:val="3"/>
            <w:shd w:val="clear" w:color="auto" w:fill="F2F2F2" w:themeFill="background1" w:themeFillShade="F2"/>
          </w:tcPr>
          <w:p w14:paraId="25092044" w14:textId="77777777" w:rsidR="007520C1" w:rsidRPr="00E30B5B" w:rsidRDefault="007520C1" w:rsidP="00E049DB">
            <w:pPr>
              <w:rPr>
                <w:sz w:val="18"/>
                <w:szCs w:val="18"/>
                <w:highlight w:val="yellow"/>
              </w:rPr>
            </w:pPr>
            <w:r w:rsidRPr="00E30B5B">
              <w:rPr>
                <w:i/>
                <w:color w:val="000000"/>
                <w:sz w:val="18"/>
                <w:szCs w:val="18"/>
                <w:highlight w:val="yellow"/>
              </w:rPr>
              <w:fldChar w:fldCharType="begin">
                <w:ffData>
                  <w:name w:val="F_GEB_BD_target"/>
                  <w:enabled/>
                  <w:calcOnExit w:val="0"/>
                  <w:textInput/>
                </w:ffData>
              </w:fldChar>
            </w:r>
            <w:r w:rsidRPr="00E30B5B">
              <w:rPr>
                <w:i/>
                <w:color w:val="000000"/>
                <w:sz w:val="18"/>
                <w:szCs w:val="18"/>
                <w:highlight w:val="yellow"/>
              </w:rPr>
              <w:instrText xml:space="preserve"> FORMTEXT </w:instrText>
            </w:r>
            <w:r w:rsidRPr="00E30B5B">
              <w:rPr>
                <w:i/>
                <w:color w:val="000000"/>
                <w:sz w:val="18"/>
                <w:szCs w:val="18"/>
                <w:highlight w:val="yellow"/>
              </w:rPr>
            </w:r>
            <w:r w:rsidRPr="00E30B5B">
              <w:rPr>
                <w:i/>
                <w:color w:val="000000"/>
                <w:sz w:val="18"/>
                <w:szCs w:val="18"/>
                <w:highlight w:val="yellow"/>
              </w:rPr>
              <w:fldChar w:fldCharType="separate"/>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fldChar w:fldCharType="end"/>
            </w:r>
          </w:p>
        </w:tc>
        <w:tc>
          <w:tcPr>
            <w:tcW w:w="1324" w:type="dxa"/>
            <w:gridSpan w:val="2"/>
            <w:shd w:val="clear" w:color="auto" w:fill="F2F2F2" w:themeFill="background1" w:themeFillShade="F2"/>
          </w:tcPr>
          <w:p w14:paraId="6A27A1D9" w14:textId="77777777" w:rsidR="007520C1" w:rsidRPr="00E30B5B" w:rsidRDefault="007520C1" w:rsidP="00E049DB">
            <w:pPr>
              <w:rPr>
                <w:sz w:val="18"/>
                <w:szCs w:val="18"/>
                <w:highlight w:val="yellow"/>
              </w:rPr>
            </w:pPr>
            <w:r w:rsidRPr="00E30B5B">
              <w:rPr>
                <w:i/>
                <w:color w:val="000000"/>
                <w:sz w:val="18"/>
                <w:szCs w:val="18"/>
                <w:highlight w:val="yellow"/>
              </w:rPr>
              <w:fldChar w:fldCharType="begin">
                <w:ffData>
                  <w:name w:val="F_GEB_BD_target"/>
                  <w:enabled/>
                  <w:calcOnExit w:val="0"/>
                  <w:textInput/>
                </w:ffData>
              </w:fldChar>
            </w:r>
            <w:r w:rsidRPr="00E30B5B">
              <w:rPr>
                <w:i/>
                <w:color w:val="000000"/>
                <w:sz w:val="18"/>
                <w:szCs w:val="18"/>
                <w:highlight w:val="yellow"/>
              </w:rPr>
              <w:instrText xml:space="preserve"> FORMTEXT </w:instrText>
            </w:r>
            <w:r w:rsidRPr="00E30B5B">
              <w:rPr>
                <w:i/>
                <w:color w:val="000000"/>
                <w:sz w:val="18"/>
                <w:szCs w:val="18"/>
                <w:highlight w:val="yellow"/>
              </w:rPr>
            </w:r>
            <w:r w:rsidRPr="00E30B5B">
              <w:rPr>
                <w:i/>
                <w:color w:val="000000"/>
                <w:sz w:val="18"/>
                <w:szCs w:val="18"/>
                <w:highlight w:val="yellow"/>
              </w:rPr>
              <w:fldChar w:fldCharType="separate"/>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fldChar w:fldCharType="end"/>
            </w:r>
          </w:p>
        </w:tc>
        <w:tc>
          <w:tcPr>
            <w:tcW w:w="1287" w:type="dxa"/>
            <w:shd w:val="clear" w:color="auto" w:fill="F2F2F2" w:themeFill="background1" w:themeFillShade="F2"/>
          </w:tcPr>
          <w:p w14:paraId="0D78F72C" w14:textId="77777777" w:rsidR="007520C1" w:rsidRPr="00E30B5B" w:rsidRDefault="007520C1" w:rsidP="00E049DB">
            <w:pPr>
              <w:jc w:val="right"/>
              <w:rPr>
                <w:i/>
                <w:color w:val="000000"/>
                <w:sz w:val="18"/>
                <w:szCs w:val="18"/>
                <w:highlight w:val="yellow"/>
              </w:rPr>
            </w:pPr>
            <w:r w:rsidRPr="00E30B5B">
              <w:rPr>
                <w:i/>
                <w:color w:val="000000"/>
                <w:sz w:val="18"/>
                <w:szCs w:val="18"/>
                <w:highlight w:val="yellow"/>
              </w:rPr>
              <w:fldChar w:fldCharType="begin">
                <w:ffData>
                  <w:name w:val="F_GEB_BD_target"/>
                  <w:enabled/>
                  <w:calcOnExit w:val="0"/>
                  <w:textInput/>
                </w:ffData>
              </w:fldChar>
            </w:r>
            <w:r w:rsidRPr="00E30B5B">
              <w:rPr>
                <w:i/>
                <w:color w:val="000000"/>
                <w:sz w:val="18"/>
                <w:szCs w:val="18"/>
                <w:highlight w:val="yellow"/>
              </w:rPr>
              <w:instrText xml:space="preserve"> FORMTEXT </w:instrText>
            </w:r>
            <w:r w:rsidRPr="00E30B5B">
              <w:rPr>
                <w:i/>
                <w:color w:val="000000"/>
                <w:sz w:val="18"/>
                <w:szCs w:val="18"/>
                <w:highlight w:val="yellow"/>
              </w:rPr>
            </w:r>
            <w:r w:rsidRPr="00E30B5B">
              <w:rPr>
                <w:i/>
                <w:color w:val="000000"/>
                <w:sz w:val="18"/>
                <w:szCs w:val="18"/>
                <w:highlight w:val="yellow"/>
              </w:rPr>
              <w:fldChar w:fldCharType="separate"/>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fldChar w:fldCharType="end"/>
            </w:r>
          </w:p>
        </w:tc>
      </w:tr>
      <w:tr w:rsidR="007520C1" w:rsidRPr="004244E0" w14:paraId="5D166DC6" w14:textId="77777777" w:rsidTr="00DB02C4">
        <w:tc>
          <w:tcPr>
            <w:tcW w:w="1298" w:type="dxa"/>
            <w:shd w:val="clear" w:color="auto" w:fill="BFBFBF" w:themeFill="background1" w:themeFillShade="BF"/>
          </w:tcPr>
          <w:p w14:paraId="7C2CD0CA" w14:textId="77777777" w:rsidR="007520C1" w:rsidRPr="00E30B5B" w:rsidRDefault="007520C1" w:rsidP="00E049DB">
            <w:pPr>
              <w:rPr>
                <w:sz w:val="18"/>
                <w:szCs w:val="18"/>
                <w:highlight w:val="yellow"/>
              </w:rPr>
            </w:pPr>
            <w:r w:rsidRPr="00E30B5B">
              <w:rPr>
                <w:sz w:val="18"/>
                <w:szCs w:val="18"/>
                <w:highlight w:val="yellow"/>
              </w:rPr>
              <w:t>Indicator 9.1</w:t>
            </w:r>
          </w:p>
        </w:tc>
        <w:tc>
          <w:tcPr>
            <w:tcW w:w="6765" w:type="dxa"/>
            <w:gridSpan w:val="5"/>
            <w:shd w:val="clear" w:color="auto" w:fill="BFBFBF" w:themeFill="background1" w:themeFillShade="BF"/>
          </w:tcPr>
          <w:p w14:paraId="5E52E060" w14:textId="77777777" w:rsidR="007520C1" w:rsidRPr="00E30B5B" w:rsidRDefault="007520C1" w:rsidP="00E049DB">
            <w:pPr>
              <w:rPr>
                <w:sz w:val="18"/>
                <w:szCs w:val="18"/>
                <w:highlight w:val="yellow"/>
              </w:rPr>
            </w:pPr>
            <w:r w:rsidRPr="00E30B5B">
              <w:rPr>
                <w:sz w:val="18"/>
                <w:szCs w:val="18"/>
                <w:highlight w:val="yellow"/>
              </w:rPr>
              <w:t>Solid and liquid Persistent Organic Pollutants (POPs) removed or disposed (POPs type)</w:t>
            </w:r>
          </w:p>
        </w:tc>
        <w:tc>
          <w:tcPr>
            <w:tcW w:w="2772" w:type="dxa"/>
            <w:gridSpan w:val="5"/>
            <w:shd w:val="clear" w:color="auto" w:fill="BFBFBF" w:themeFill="background1" w:themeFillShade="BF"/>
          </w:tcPr>
          <w:p w14:paraId="2C769A9E" w14:textId="77777777" w:rsidR="007520C1" w:rsidRPr="00E30B5B" w:rsidRDefault="007520C1" w:rsidP="00E049DB">
            <w:pPr>
              <w:jc w:val="right"/>
              <w:rPr>
                <w:sz w:val="18"/>
                <w:szCs w:val="18"/>
                <w:highlight w:val="yellow"/>
              </w:rPr>
            </w:pPr>
            <w:r w:rsidRPr="00E30B5B">
              <w:rPr>
                <w:i/>
                <w:color w:val="000000"/>
                <w:sz w:val="18"/>
                <w:szCs w:val="18"/>
                <w:highlight w:val="yellow"/>
              </w:rPr>
              <w:fldChar w:fldCharType="begin">
                <w:ffData>
                  <w:name w:val="F_GEB_BD_target"/>
                  <w:enabled/>
                  <w:calcOnExit w:val="0"/>
                  <w:textInput/>
                </w:ffData>
              </w:fldChar>
            </w:r>
            <w:r w:rsidRPr="00E30B5B">
              <w:rPr>
                <w:i/>
                <w:color w:val="000000"/>
                <w:sz w:val="18"/>
                <w:szCs w:val="18"/>
                <w:highlight w:val="yellow"/>
              </w:rPr>
              <w:instrText xml:space="preserve"> FORMTEXT </w:instrText>
            </w:r>
            <w:r w:rsidRPr="00E30B5B">
              <w:rPr>
                <w:i/>
                <w:color w:val="000000"/>
                <w:sz w:val="18"/>
                <w:szCs w:val="18"/>
                <w:highlight w:val="yellow"/>
              </w:rPr>
            </w:r>
            <w:r w:rsidRPr="00E30B5B">
              <w:rPr>
                <w:i/>
                <w:color w:val="000000"/>
                <w:sz w:val="18"/>
                <w:szCs w:val="18"/>
                <w:highlight w:val="yellow"/>
              </w:rPr>
              <w:fldChar w:fldCharType="separate"/>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fldChar w:fldCharType="end"/>
            </w:r>
          </w:p>
        </w:tc>
      </w:tr>
      <w:tr w:rsidR="007520C1" w:rsidRPr="004244E0" w14:paraId="070052C6" w14:textId="77777777" w:rsidTr="00DB02C4">
        <w:trPr>
          <w:trHeight w:val="125"/>
        </w:trPr>
        <w:tc>
          <w:tcPr>
            <w:tcW w:w="3957" w:type="dxa"/>
            <w:gridSpan w:val="3"/>
            <w:vMerge w:val="restart"/>
            <w:vAlign w:val="center"/>
          </w:tcPr>
          <w:p w14:paraId="407E1E9F" w14:textId="77777777" w:rsidR="007520C1" w:rsidRPr="00E30B5B" w:rsidRDefault="007520C1" w:rsidP="00E049DB">
            <w:pPr>
              <w:jc w:val="center"/>
              <w:rPr>
                <w:sz w:val="18"/>
                <w:szCs w:val="18"/>
                <w:highlight w:val="yellow"/>
              </w:rPr>
            </w:pPr>
            <w:r w:rsidRPr="00E30B5B">
              <w:rPr>
                <w:sz w:val="18"/>
                <w:szCs w:val="18"/>
                <w:highlight w:val="yellow"/>
              </w:rPr>
              <w:t>POPs type</w:t>
            </w:r>
          </w:p>
        </w:tc>
        <w:tc>
          <w:tcPr>
            <w:tcW w:w="6878" w:type="dxa"/>
            <w:gridSpan w:val="8"/>
          </w:tcPr>
          <w:p w14:paraId="41697D7F" w14:textId="77777777" w:rsidR="007520C1" w:rsidRPr="00E30B5B" w:rsidRDefault="007520C1" w:rsidP="00E049DB">
            <w:pPr>
              <w:jc w:val="center"/>
              <w:rPr>
                <w:sz w:val="18"/>
                <w:szCs w:val="18"/>
                <w:highlight w:val="yellow"/>
              </w:rPr>
            </w:pPr>
            <w:r w:rsidRPr="00E30B5B">
              <w:rPr>
                <w:sz w:val="18"/>
                <w:szCs w:val="18"/>
                <w:highlight w:val="yellow"/>
              </w:rPr>
              <w:t>Metric Tons</w:t>
            </w:r>
          </w:p>
        </w:tc>
      </w:tr>
      <w:tr w:rsidR="007520C1" w:rsidRPr="004244E0" w14:paraId="7353992C" w14:textId="77777777" w:rsidTr="00DB02C4">
        <w:trPr>
          <w:trHeight w:val="58"/>
        </w:trPr>
        <w:tc>
          <w:tcPr>
            <w:tcW w:w="3957" w:type="dxa"/>
            <w:gridSpan w:val="3"/>
            <w:vMerge/>
          </w:tcPr>
          <w:p w14:paraId="32741D0B" w14:textId="77777777" w:rsidR="007520C1" w:rsidRPr="00E30B5B" w:rsidRDefault="007520C1" w:rsidP="00E049DB">
            <w:pPr>
              <w:rPr>
                <w:sz w:val="18"/>
                <w:szCs w:val="18"/>
                <w:highlight w:val="yellow"/>
              </w:rPr>
            </w:pPr>
          </w:p>
        </w:tc>
        <w:tc>
          <w:tcPr>
            <w:tcW w:w="4106" w:type="dxa"/>
            <w:gridSpan w:val="3"/>
          </w:tcPr>
          <w:p w14:paraId="2B8B01CB" w14:textId="77777777" w:rsidR="007520C1" w:rsidRPr="00E30B5B" w:rsidRDefault="007520C1" w:rsidP="00E049DB">
            <w:pPr>
              <w:jc w:val="center"/>
              <w:rPr>
                <w:sz w:val="18"/>
                <w:szCs w:val="18"/>
                <w:highlight w:val="yellow"/>
              </w:rPr>
            </w:pPr>
            <w:r w:rsidRPr="00E30B5B">
              <w:rPr>
                <w:sz w:val="18"/>
                <w:szCs w:val="18"/>
                <w:highlight w:val="yellow"/>
              </w:rPr>
              <w:t>Expected</w:t>
            </w:r>
          </w:p>
        </w:tc>
        <w:tc>
          <w:tcPr>
            <w:tcW w:w="2772" w:type="dxa"/>
            <w:gridSpan w:val="5"/>
          </w:tcPr>
          <w:p w14:paraId="0ED09793" w14:textId="77777777" w:rsidR="007520C1" w:rsidRPr="00E30B5B" w:rsidRDefault="007520C1" w:rsidP="00E049DB">
            <w:pPr>
              <w:jc w:val="center"/>
              <w:rPr>
                <w:sz w:val="18"/>
                <w:szCs w:val="18"/>
                <w:highlight w:val="yellow"/>
              </w:rPr>
            </w:pPr>
            <w:r w:rsidRPr="00E30B5B">
              <w:rPr>
                <w:sz w:val="18"/>
                <w:szCs w:val="18"/>
                <w:highlight w:val="yellow"/>
              </w:rPr>
              <w:t>Achieved</w:t>
            </w:r>
          </w:p>
        </w:tc>
      </w:tr>
      <w:tr w:rsidR="007520C1" w:rsidRPr="004244E0" w14:paraId="377B30C1" w14:textId="77777777" w:rsidTr="00DB02C4">
        <w:trPr>
          <w:trHeight w:val="179"/>
        </w:trPr>
        <w:tc>
          <w:tcPr>
            <w:tcW w:w="3957" w:type="dxa"/>
            <w:gridSpan w:val="3"/>
            <w:vMerge/>
          </w:tcPr>
          <w:p w14:paraId="692824B8" w14:textId="77777777" w:rsidR="007520C1" w:rsidRPr="00E30B5B" w:rsidRDefault="007520C1" w:rsidP="00E049DB">
            <w:pPr>
              <w:rPr>
                <w:sz w:val="18"/>
                <w:szCs w:val="18"/>
                <w:highlight w:val="yellow"/>
              </w:rPr>
            </w:pPr>
          </w:p>
        </w:tc>
        <w:tc>
          <w:tcPr>
            <w:tcW w:w="2782" w:type="dxa"/>
            <w:gridSpan w:val="2"/>
          </w:tcPr>
          <w:p w14:paraId="44158AE0" w14:textId="77777777" w:rsidR="007520C1" w:rsidRPr="00E30B5B" w:rsidRDefault="007520C1" w:rsidP="00E049DB">
            <w:pPr>
              <w:jc w:val="center"/>
              <w:rPr>
                <w:sz w:val="18"/>
                <w:szCs w:val="18"/>
                <w:highlight w:val="yellow"/>
              </w:rPr>
            </w:pPr>
            <w:r w:rsidRPr="00E30B5B">
              <w:rPr>
                <w:sz w:val="18"/>
                <w:szCs w:val="18"/>
                <w:highlight w:val="yellow"/>
              </w:rPr>
              <w:t>PIF stage</w:t>
            </w:r>
          </w:p>
        </w:tc>
        <w:tc>
          <w:tcPr>
            <w:tcW w:w="1477" w:type="dxa"/>
            <w:gridSpan w:val="2"/>
          </w:tcPr>
          <w:p w14:paraId="097D79A9" w14:textId="77777777" w:rsidR="007520C1" w:rsidRPr="00E30B5B" w:rsidRDefault="007520C1" w:rsidP="00E049DB">
            <w:pPr>
              <w:jc w:val="center"/>
              <w:rPr>
                <w:sz w:val="18"/>
                <w:szCs w:val="18"/>
                <w:highlight w:val="yellow"/>
              </w:rPr>
            </w:pPr>
            <w:r w:rsidRPr="00E30B5B">
              <w:rPr>
                <w:sz w:val="18"/>
                <w:szCs w:val="18"/>
                <w:highlight w:val="yellow"/>
              </w:rPr>
              <w:t>Endorsement</w:t>
            </w:r>
          </w:p>
        </w:tc>
        <w:tc>
          <w:tcPr>
            <w:tcW w:w="1306" w:type="dxa"/>
            <w:gridSpan w:val="2"/>
          </w:tcPr>
          <w:p w14:paraId="2DB10A68" w14:textId="77777777" w:rsidR="007520C1" w:rsidRPr="00E30B5B" w:rsidRDefault="007520C1" w:rsidP="00E049DB">
            <w:pPr>
              <w:jc w:val="center"/>
              <w:rPr>
                <w:sz w:val="18"/>
                <w:szCs w:val="18"/>
                <w:highlight w:val="yellow"/>
              </w:rPr>
            </w:pPr>
            <w:r w:rsidRPr="00E30B5B">
              <w:rPr>
                <w:sz w:val="18"/>
                <w:szCs w:val="18"/>
                <w:highlight w:val="yellow"/>
              </w:rPr>
              <w:t>MTR</w:t>
            </w:r>
          </w:p>
        </w:tc>
        <w:tc>
          <w:tcPr>
            <w:tcW w:w="1313" w:type="dxa"/>
            <w:gridSpan w:val="2"/>
          </w:tcPr>
          <w:p w14:paraId="7BE91297" w14:textId="77777777" w:rsidR="007520C1" w:rsidRPr="00E30B5B" w:rsidRDefault="007520C1" w:rsidP="00E049DB">
            <w:pPr>
              <w:jc w:val="center"/>
              <w:rPr>
                <w:sz w:val="18"/>
                <w:szCs w:val="18"/>
                <w:highlight w:val="yellow"/>
              </w:rPr>
            </w:pPr>
            <w:r w:rsidRPr="00E30B5B">
              <w:rPr>
                <w:sz w:val="18"/>
                <w:szCs w:val="18"/>
                <w:highlight w:val="yellow"/>
              </w:rPr>
              <w:t>TE</w:t>
            </w:r>
          </w:p>
        </w:tc>
      </w:tr>
      <w:tr w:rsidR="007520C1" w:rsidRPr="004244E0" w14:paraId="15513DCA" w14:textId="77777777" w:rsidTr="00DB02C4">
        <w:tc>
          <w:tcPr>
            <w:tcW w:w="1298" w:type="dxa"/>
          </w:tcPr>
          <w:p w14:paraId="0C0A265F" w14:textId="77777777" w:rsidR="007520C1" w:rsidRPr="00E30B5B" w:rsidRDefault="007520C1" w:rsidP="00E049DB">
            <w:pPr>
              <w:jc w:val="right"/>
              <w:rPr>
                <w:sz w:val="18"/>
                <w:szCs w:val="18"/>
                <w:highlight w:val="yellow"/>
              </w:rPr>
            </w:pPr>
            <w:r w:rsidRPr="00E30B5B">
              <w:rPr>
                <w:color w:val="000000"/>
                <w:sz w:val="20"/>
                <w:szCs w:val="20"/>
                <w:highlight w:val="yellow"/>
              </w:rPr>
              <w:fldChar w:fldCharType="begin">
                <w:ffData>
                  <w:name w:val="GEF_IA_01"/>
                  <w:enabled/>
                  <w:calcOnExit w:val="0"/>
                  <w:helpText w:type="text" w:val="GEF Agency(ies):  In the dropdown menu, select the GEF Agency.  For multi-agency projects, select the other agency(ies) from the other pull down menu that is also provided"/>
                  <w:ddList>
                    <w:listEntry w:val="(select)"/>
                    <w:listEntry w:val="Aldrin"/>
                    <w:listEntry w:val="Alpha hexachlorocyclohexane"/>
                    <w:listEntry w:val="Beta hexachlorocyclohexane"/>
                    <w:listEntry w:val="Chlordane"/>
                    <w:listEntry w:val="DDT"/>
                    <w:listEntry w:val="Dieldrin"/>
                    <w:listEntry w:val="Endosulfan and isomers"/>
                    <w:listEntry w:val="Endrin"/>
                    <w:listEntry w:val="Heptachlor"/>
                  </w:ddList>
                </w:ffData>
              </w:fldChar>
            </w:r>
            <w:bookmarkStart w:id="397" w:name="GEF_IA_01"/>
            <w:r w:rsidRPr="00E30B5B">
              <w:rPr>
                <w:color w:val="000000"/>
                <w:sz w:val="20"/>
                <w:szCs w:val="20"/>
                <w:highlight w:val="yellow"/>
              </w:rPr>
              <w:instrText xml:space="preserve"> FORMDROPDOWN </w:instrText>
            </w:r>
            <w:r w:rsidR="000C73F8">
              <w:rPr>
                <w:color w:val="000000"/>
                <w:sz w:val="20"/>
                <w:szCs w:val="20"/>
                <w:highlight w:val="yellow"/>
              </w:rPr>
            </w:r>
            <w:r w:rsidR="000C73F8">
              <w:rPr>
                <w:color w:val="000000"/>
                <w:sz w:val="20"/>
                <w:szCs w:val="20"/>
                <w:highlight w:val="yellow"/>
              </w:rPr>
              <w:fldChar w:fldCharType="separate"/>
            </w:r>
            <w:r w:rsidRPr="00E30B5B">
              <w:rPr>
                <w:color w:val="000000"/>
                <w:sz w:val="20"/>
                <w:szCs w:val="20"/>
                <w:highlight w:val="yellow"/>
              </w:rPr>
              <w:fldChar w:fldCharType="end"/>
            </w:r>
            <w:bookmarkEnd w:id="397"/>
            <w:r w:rsidRPr="00E30B5B">
              <w:rPr>
                <w:color w:val="000000"/>
                <w:sz w:val="20"/>
                <w:szCs w:val="20"/>
                <w:highlight w:val="yellow"/>
              </w:rPr>
              <w:t xml:space="preserve">  </w:t>
            </w:r>
          </w:p>
        </w:tc>
        <w:tc>
          <w:tcPr>
            <w:tcW w:w="933" w:type="dxa"/>
          </w:tcPr>
          <w:p w14:paraId="7C6EBE35" w14:textId="77777777" w:rsidR="007520C1" w:rsidRPr="00E30B5B" w:rsidRDefault="007520C1" w:rsidP="00E049DB">
            <w:pPr>
              <w:jc w:val="right"/>
              <w:rPr>
                <w:sz w:val="18"/>
                <w:szCs w:val="18"/>
                <w:highlight w:val="yellow"/>
              </w:rPr>
            </w:pPr>
            <w:r w:rsidRPr="00E30B5B">
              <w:rPr>
                <w:color w:val="000000"/>
                <w:sz w:val="20"/>
                <w:szCs w:val="20"/>
                <w:highlight w:val="yellow"/>
              </w:rPr>
              <w:fldChar w:fldCharType="begin">
                <w:ffData>
                  <w:name w:val=""/>
                  <w:enabled/>
                  <w:calcOnExit w:val="0"/>
                  <w:helpText w:type="text" w:val="GEF Agency(ies):  In the dropdown menu, select the GEF Agency.  For multi-agency projects, select the other agency(ies) from the other pull down menu that is also provided"/>
                  <w:ddList>
                    <w:listEntry w:val="(select)"/>
                    <w:listEntry w:val="Hexabromobiphenyl"/>
                    <w:listEntry w:val="Hexabromocyclododecane (HBDC)"/>
                    <w:listEntry w:val="Hexa-Heptabromodiphenyl ether"/>
                    <w:listEntry w:val="Hexachlorobenzene (HCB)"/>
                    <w:listEntry w:val="Hexachlorobutadiene"/>
                    <w:listEntry w:val="Lindane"/>
                    <w:listEntry w:val="Mirex"/>
                    <w:listEntry w:val="Pentachlorophenol/salts/esters"/>
                    <w:listEntry w:val="Perfluorooctane sulfunic acid/salts/PFOS"/>
                  </w:ddList>
                </w:ffData>
              </w:fldChar>
            </w:r>
            <w:r w:rsidRPr="00E30B5B">
              <w:rPr>
                <w:color w:val="000000"/>
                <w:sz w:val="20"/>
                <w:szCs w:val="20"/>
                <w:highlight w:val="yellow"/>
              </w:rPr>
              <w:instrText xml:space="preserve"> FORMDROPDOWN </w:instrText>
            </w:r>
            <w:r w:rsidR="000C73F8">
              <w:rPr>
                <w:color w:val="000000"/>
                <w:sz w:val="20"/>
                <w:szCs w:val="20"/>
                <w:highlight w:val="yellow"/>
              </w:rPr>
            </w:r>
            <w:r w:rsidR="000C73F8">
              <w:rPr>
                <w:color w:val="000000"/>
                <w:sz w:val="20"/>
                <w:szCs w:val="20"/>
                <w:highlight w:val="yellow"/>
              </w:rPr>
              <w:fldChar w:fldCharType="separate"/>
            </w:r>
            <w:r w:rsidRPr="00E30B5B">
              <w:rPr>
                <w:color w:val="000000"/>
                <w:sz w:val="20"/>
                <w:szCs w:val="20"/>
                <w:highlight w:val="yellow"/>
              </w:rPr>
              <w:fldChar w:fldCharType="end"/>
            </w:r>
            <w:r w:rsidRPr="00E30B5B">
              <w:rPr>
                <w:color w:val="000000"/>
                <w:sz w:val="20"/>
                <w:szCs w:val="20"/>
                <w:highlight w:val="yellow"/>
              </w:rPr>
              <w:t xml:space="preserve">    </w:t>
            </w:r>
          </w:p>
        </w:tc>
        <w:tc>
          <w:tcPr>
            <w:tcW w:w="1726" w:type="dxa"/>
          </w:tcPr>
          <w:p w14:paraId="3F840432" w14:textId="77777777" w:rsidR="007520C1" w:rsidRPr="00E30B5B" w:rsidRDefault="007520C1" w:rsidP="00E049DB">
            <w:pPr>
              <w:jc w:val="right"/>
              <w:rPr>
                <w:sz w:val="18"/>
                <w:szCs w:val="18"/>
                <w:highlight w:val="yellow"/>
              </w:rPr>
            </w:pPr>
            <w:r w:rsidRPr="00E30B5B">
              <w:rPr>
                <w:color w:val="000000"/>
                <w:sz w:val="20"/>
                <w:szCs w:val="20"/>
                <w:highlight w:val="yellow"/>
              </w:rPr>
              <w:fldChar w:fldCharType="begin">
                <w:ffData>
                  <w:name w:val=""/>
                  <w:enabled/>
                  <w:calcOnExit w:val="0"/>
                  <w:helpText w:type="text" w:val="GEF Agency(ies):  In the dropdown menu, select the GEF Agency.  For multi-agency projects, select the other agency(ies) from the other pull down menu that is also provided"/>
                  <w:ddList>
                    <w:listEntry w:val="(select)"/>
                    <w:listEntry w:val="Polychlorinated biphenyls (PCB)"/>
                    <w:listEntry w:val="Polychlorinated Dibenzofurans (PCDF)"/>
                    <w:listEntry w:val="Polychlorinated Dibenzo-p-dioxins (PCDD)"/>
                    <w:listEntry w:val="Polychlorinated naphthalenes (PCN)"/>
                    <w:listEntry w:val="Tetrabromodiphenyl ether/Pentabromodiphenyl ether"/>
                    <w:listEntry w:val="Toxaphene"/>
                  </w:ddList>
                </w:ffData>
              </w:fldChar>
            </w:r>
            <w:r w:rsidRPr="00E30B5B">
              <w:rPr>
                <w:color w:val="000000"/>
                <w:sz w:val="20"/>
                <w:szCs w:val="20"/>
                <w:highlight w:val="yellow"/>
              </w:rPr>
              <w:instrText xml:space="preserve"> FORMDROPDOWN </w:instrText>
            </w:r>
            <w:r w:rsidR="000C73F8">
              <w:rPr>
                <w:color w:val="000000"/>
                <w:sz w:val="20"/>
                <w:szCs w:val="20"/>
                <w:highlight w:val="yellow"/>
              </w:rPr>
            </w:r>
            <w:r w:rsidR="000C73F8">
              <w:rPr>
                <w:color w:val="000000"/>
                <w:sz w:val="20"/>
                <w:szCs w:val="20"/>
                <w:highlight w:val="yellow"/>
              </w:rPr>
              <w:fldChar w:fldCharType="separate"/>
            </w:r>
            <w:r w:rsidRPr="00E30B5B">
              <w:rPr>
                <w:color w:val="000000"/>
                <w:sz w:val="20"/>
                <w:szCs w:val="20"/>
                <w:highlight w:val="yellow"/>
              </w:rPr>
              <w:fldChar w:fldCharType="end"/>
            </w:r>
          </w:p>
        </w:tc>
        <w:tc>
          <w:tcPr>
            <w:tcW w:w="2782" w:type="dxa"/>
            <w:gridSpan w:val="2"/>
          </w:tcPr>
          <w:p w14:paraId="46A1BF44" w14:textId="77777777" w:rsidR="007520C1" w:rsidRPr="00E30B5B" w:rsidRDefault="007520C1" w:rsidP="00E049DB">
            <w:pPr>
              <w:jc w:val="right"/>
              <w:rPr>
                <w:sz w:val="18"/>
                <w:szCs w:val="18"/>
                <w:highlight w:val="yellow"/>
              </w:rPr>
            </w:pPr>
            <w:r w:rsidRPr="00E30B5B">
              <w:rPr>
                <w:i/>
                <w:color w:val="000000"/>
                <w:sz w:val="18"/>
                <w:szCs w:val="18"/>
                <w:highlight w:val="yellow"/>
              </w:rPr>
              <w:fldChar w:fldCharType="begin">
                <w:ffData>
                  <w:name w:val="F_GEB_BD_target"/>
                  <w:enabled/>
                  <w:calcOnExit w:val="0"/>
                  <w:textInput/>
                </w:ffData>
              </w:fldChar>
            </w:r>
            <w:r w:rsidRPr="00E30B5B">
              <w:rPr>
                <w:i/>
                <w:color w:val="000000"/>
                <w:sz w:val="18"/>
                <w:szCs w:val="18"/>
                <w:highlight w:val="yellow"/>
              </w:rPr>
              <w:instrText xml:space="preserve"> FORMTEXT </w:instrText>
            </w:r>
            <w:r w:rsidRPr="00E30B5B">
              <w:rPr>
                <w:i/>
                <w:color w:val="000000"/>
                <w:sz w:val="18"/>
                <w:szCs w:val="18"/>
                <w:highlight w:val="yellow"/>
              </w:rPr>
            </w:r>
            <w:r w:rsidRPr="00E30B5B">
              <w:rPr>
                <w:i/>
                <w:color w:val="000000"/>
                <w:sz w:val="18"/>
                <w:szCs w:val="18"/>
                <w:highlight w:val="yellow"/>
              </w:rPr>
              <w:fldChar w:fldCharType="separate"/>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fldChar w:fldCharType="end"/>
            </w:r>
          </w:p>
        </w:tc>
        <w:tc>
          <w:tcPr>
            <w:tcW w:w="1485" w:type="dxa"/>
            <w:gridSpan w:val="3"/>
          </w:tcPr>
          <w:p w14:paraId="46336A05" w14:textId="77777777" w:rsidR="007520C1" w:rsidRPr="00E30B5B" w:rsidRDefault="007520C1" w:rsidP="00E049DB">
            <w:pPr>
              <w:jc w:val="right"/>
              <w:rPr>
                <w:sz w:val="18"/>
                <w:szCs w:val="18"/>
                <w:highlight w:val="yellow"/>
              </w:rPr>
            </w:pPr>
            <w:r w:rsidRPr="00E30B5B">
              <w:rPr>
                <w:i/>
                <w:color w:val="000000"/>
                <w:sz w:val="18"/>
                <w:szCs w:val="18"/>
                <w:highlight w:val="yellow"/>
              </w:rPr>
              <w:fldChar w:fldCharType="begin">
                <w:ffData>
                  <w:name w:val="F_GEB_BD_target"/>
                  <w:enabled/>
                  <w:calcOnExit w:val="0"/>
                  <w:textInput/>
                </w:ffData>
              </w:fldChar>
            </w:r>
            <w:r w:rsidRPr="00E30B5B">
              <w:rPr>
                <w:i/>
                <w:color w:val="000000"/>
                <w:sz w:val="18"/>
                <w:szCs w:val="18"/>
                <w:highlight w:val="yellow"/>
              </w:rPr>
              <w:instrText xml:space="preserve"> FORMTEXT </w:instrText>
            </w:r>
            <w:r w:rsidRPr="00E30B5B">
              <w:rPr>
                <w:i/>
                <w:color w:val="000000"/>
                <w:sz w:val="18"/>
                <w:szCs w:val="18"/>
                <w:highlight w:val="yellow"/>
              </w:rPr>
            </w:r>
            <w:r w:rsidRPr="00E30B5B">
              <w:rPr>
                <w:i/>
                <w:color w:val="000000"/>
                <w:sz w:val="18"/>
                <w:szCs w:val="18"/>
                <w:highlight w:val="yellow"/>
              </w:rPr>
              <w:fldChar w:fldCharType="separate"/>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fldChar w:fldCharType="end"/>
            </w:r>
          </w:p>
        </w:tc>
        <w:tc>
          <w:tcPr>
            <w:tcW w:w="1324" w:type="dxa"/>
            <w:gridSpan w:val="2"/>
          </w:tcPr>
          <w:p w14:paraId="3D77253F" w14:textId="77777777" w:rsidR="007520C1" w:rsidRPr="00E30B5B" w:rsidRDefault="007520C1" w:rsidP="00E049DB">
            <w:pPr>
              <w:jc w:val="right"/>
              <w:rPr>
                <w:sz w:val="18"/>
                <w:szCs w:val="18"/>
                <w:highlight w:val="yellow"/>
              </w:rPr>
            </w:pPr>
            <w:r w:rsidRPr="00E30B5B">
              <w:rPr>
                <w:i/>
                <w:color w:val="000000"/>
                <w:sz w:val="18"/>
                <w:szCs w:val="18"/>
                <w:highlight w:val="yellow"/>
              </w:rPr>
              <w:fldChar w:fldCharType="begin">
                <w:ffData>
                  <w:name w:val="F_GEB_BD_target"/>
                  <w:enabled/>
                  <w:calcOnExit w:val="0"/>
                  <w:textInput/>
                </w:ffData>
              </w:fldChar>
            </w:r>
            <w:r w:rsidRPr="00E30B5B">
              <w:rPr>
                <w:i/>
                <w:color w:val="000000"/>
                <w:sz w:val="18"/>
                <w:szCs w:val="18"/>
                <w:highlight w:val="yellow"/>
              </w:rPr>
              <w:instrText xml:space="preserve"> FORMTEXT </w:instrText>
            </w:r>
            <w:r w:rsidRPr="00E30B5B">
              <w:rPr>
                <w:i/>
                <w:color w:val="000000"/>
                <w:sz w:val="18"/>
                <w:szCs w:val="18"/>
                <w:highlight w:val="yellow"/>
              </w:rPr>
            </w:r>
            <w:r w:rsidRPr="00E30B5B">
              <w:rPr>
                <w:i/>
                <w:color w:val="000000"/>
                <w:sz w:val="18"/>
                <w:szCs w:val="18"/>
                <w:highlight w:val="yellow"/>
              </w:rPr>
              <w:fldChar w:fldCharType="separate"/>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fldChar w:fldCharType="end"/>
            </w:r>
          </w:p>
        </w:tc>
        <w:tc>
          <w:tcPr>
            <w:tcW w:w="1287" w:type="dxa"/>
          </w:tcPr>
          <w:p w14:paraId="1EDCBD27" w14:textId="77777777" w:rsidR="007520C1" w:rsidRPr="00E30B5B" w:rsidRDefault="007520C1" w:rsidP="00E049DB">
            <w:pPr>
              <w:jc w:val="right"/>
              <w:rPr>
                <w:sz w:val="18"/>
                <w:szCs w:val="18"/>
                <w:highlight w:val="yellow"/>
              </w:rPr>
            </w:pPr>
            <w:r w:rsidRPr="00E30B5B">
              <w:rPr>
                <w:i/>
                <w:color w:val="000000"/>
                <w:sz w:val="18"/>
                <w:szCs w:val="18"/>
                <w:highlight w:val="yellow"/>
              </w:rPr>
              <w:fldChar w:fldCharType="begin">
                <w:ffData>
                  <w:name w:val="F_GEB_BD_target"/>
                  <w:enabled/>
                  <w:calcOnExit w:val="0"/>
                  <w:textInput/>
                </w:ffData>
              </w:fldChar>
            </w:r>
            <w:r w:rsidRPr="00E30B5B">
              <w:rPr>
                <w:i/>
                <w:color w:val="000000"/>
                <w:sz w:val="18"/>
                <w:szCs w:val="18"/>
                <w:highlight w:val="yellow"/>
              </w:rPr>
              <w:instrText xml:space="preserve"> FORMTEXT </w:instrText>
            </w:r>
            <w:r w:rsidRPr="00E30B5B">
              <w:rPr>
                <w:i/>
                <w:color w:val="000000"/>
                <w:sz w:val="18"/>
                <w:szCs w:val="18"/>
                <w:highlight w:val="yellow"/>
              </w:rPr>
            </w:r>
            <w:r w:rsidRPr="00E30B5B">
              <w:rPr>
                <w:i/>
                <w:color w:val="000000"/>
                <w:sz w:val="18"/>
                <w:szCs w:val="18"/>
                <w:highlight w:val="yellow"/>
              </w:rPr>
              <w:fldChar w:fldCharType="separate"/>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fldChar w:fldCharType="end"/>
            </w:r>
          </w:p>
        </w:tc>
      </w:tr>
      <w:tr w:rsidR="007520C1" w:rsidRPr="004244E0" w14:paraId="3F2A9B87" w14:textId="77777777" w:rsidTr="00DB02C4">
        <w:tc>
          <w:tcPr>
            <w:tcW w:w="1298" w:type="dxa"/>
          </w:tcPr>
          <w:p w14:paraId="68BC1FD5" w14:textId="77777777" w:rsidR="007520C1" w:rsidRPr="00E30B5B" w:rsidRDefault="007520C1" w:rsidP="00E049DB">
            <w:pPr>
              <w:jc w:val="right"/>
              <w:rPr>
                <w:sz w:val="18"/>
                <w:szCs w:val="18"/>
                <w:highlight w:val="yellow"/>
              </w:rPr>
            </w:pPr>
            <w:r w:rsidRPr="00E30B5B">
              <w:rPr>
                <w:color w:val="000000"/>
                <w:sz w:val="20"/>
                <w:szCs w:val="20"/>
                <w:highlight w:val="yellow"/>
              </w:rPr>
              <w:fldChar w:fldCharType="begin">
                <w:ffData>
                  <w:name w:val="GEF_IA_01"/>
                  <w:enabled/>
                  <w:calcOnExit w:val="0"/>
                  <w:helpText w:type="text" w:val="GEF Agency(ies):  In the dropdown menu, select the GEF Agency.  For multi-agency projects, select the other agency(ies) from the other pull down menu that is also provided"/>
                  <w:ddList>
                    <w:listEntry w:val="(select)"/>
                    <w:listEntry w:val="Aldrin"/>
                    <w:listEntry w:val="Alpha hexachlorocyclohexane"/>
                    <w:listEntry w:val="Beta hexachlorocyclohexane"/>
                    <w:listEntry w:val="Chlordane"/>
                    <w:listEntry w:val="DDT"/>
                    <w:listEntry w:val="Dieldrin"/>
                    <w:listEntry w:val="Endosulfan and isomers"/>
                    <w:listEntry w:val="Endrin"/>
                    <w:listEntry w:val="Heptachlor"/>
                  </w:ddList>
                </w:ffData>
              </w:fldChar>
            </w:r>
            <w:r w:rsidRPr="00E30B5B">
              <w:rPr>
                <w:color w:val="000000"/>
                <w:sz w:val="20"/>
                <w:szCs w:val="20"/>
                <w:highlight w:val="yellow"/>
              </w:rPr>
              <w:instrText xml:space="preserve"> FORMDROPDOWN </w:instrText>
            </w:r>
            <w:r w:rsidR="000C73F8">
              <w:rPr>
                <w:color w:val="000000"/>
                <w:sz w:val="20"/>
                <w:szCs w:val="20"/>
                <w:highlight w:val="yellow"/>
              </w:rPr>
            </w:r>
            <w:r w:rsidR="000C73F8">
              <w:rPr>
                <w:color w:val="000000"/>
                <w:sz w:val="20"/>
                <w:szCs w:val="20"/>
                <w:highlight w:val="yellow"/>
              </w:rPr>
              <w:fldChar w:fldCharType="separate"/>
            </w:r>
            <w:r w:rsidRPr="00E30B5B">
              <w:rPr>
                <w:color w:val="000000"/>
                <w:sz w:val="20"/>
                <w:szCs w:val="20"/>
                <w:highlight w:val="yellow"/>
              </w:rPr>
              <w:fldChar w:fldCharType="end"/>
            </w:r>
            <w:r w:rsidRPr="00E30B5B">
              <w:rPr>
                <w:color w:val="000000"/>
                <w:sz w:val="20"/>
                <w:szCs w:val="20"/>
                <w:highlight w:val="yellow"/>
              </w:rPr>
              <w:t xml:space="preserve">  </w:t>
            </w:r>
          </w:p>
        </w:tc>
        <w:tc>
          <w:tcPr>
            <w:tcW w:w="933" w:type="dxa"/>
          </w:tcPr>
          <w:p w14:paraId="141E2A17" w14:textId="77777777" w:rsidR="007520C1" w:rsidRPr="00E30B5B" w:rsidRDefault="007520C1" w:rsidP="00E049DB">
            <w:pPr>
              <w:jc w:val="right"/>
              <w:rPr>
                <w:sz w:val="18"/>
                <w:szCs w:val="18"/>
                <w:highlight w:val="yellow"/>
              </w:rPr>
            </w:pPr>
            <w:r w:rsidRPr="00E30B5B">
              <w:rPr>
                <w:color w:val="000000"/>
                <w:sz w:val="20"/>
                <w:szCs w:val="20"/>
                <w:highlight w:val="yellow"/>
              </w:rPr>
              <w:fldChar w:fldCharType="begin">
                <w:ffData>
                  <w:name w:val=""/>
                  <w:enabled/>
                  <w:calcOnExit w:val="0"/>
                  <w:helpText w:type="text" w:val="GEF Agency(ies):  In the dropdown menu, select the GEF Agency.  For multi-agency projects, select the other agency(ies) from the other pull down menu that is also provided"/>
                  <w:ddList>
                    <w:listEntry w:val="(select)"/>
                    <w:listEntry w:val="Hexabromobiphenyl"/>
                    <w:listEntry w:val="Hexabromocyclododecane (HBDC)"/>
                    <w:listEntry w:val="Hexa-Heptabromodiphenyl ether"/>
                    <w:listEntry w:val="Hexachlorobenzene (HCB)"/>
                    <w:listEntry w:val="Hexachlorobutadiene"/>
                    <w:listEntry w:val="Lindane"/>
                    <w:listEntry w:val="Mirex"/>
                    <w:listEntry w:val="Pentachlorophenol/salts/esters"/>
                    <w:listEntry w:val="Perfluorooctane sulfunic acid/salts/PFOS"/>
                  </w:ddList>
                </w:ffData>
              </w:fldChar>
            </w:r>
            <w:r w:rsidRPr="00E30B5B">
              <w:rPr>
                <w:color w:val="000000"/>
                <w:sz w:val="20"/>
                <w:szCs w:val="20"/>
                <w:highlight w:val="yellow"/>
              </w:rPr>
              <w:instrText xml:space="preserve"> FORMDROPDOWN </w:instrText>
            </w:r>
            <w:r w:rsidR="000C73F8">
              <w:rPr>
                <w:color w:val="000000"/>
                <w:sz w:val="20"/>
                <w:szCs w:val="20"/>
                <w:highlight w:val="yellow"/>
              </w:rPr>
            </w:r>
            <w:r w:rsidR="000C73F8">
              <w:rPr>
                <w:color w:val="000000"/>
                <w:sz w:val="20"/>
                <w:szCs w:val="20"/>
                <w:highlight w:val="yellow"/>
              </w:rPr>
              <w:fldChar w:fldCharType="separate"/>
            </w:r>
            <w:r w:rsidRPr="00E30B5B">
              <w:rPr>
                <w:color w:val="000000"/>
                <w:sz w:val="20"/>
                <w:szCs w:val="20"/>
                <w:highlight w:val="yellow"/>
              </w:rPr>
              <w:fldChar w:fldCharType="end"/>
            </w:r>
            <w:r w:rsidRPr="00E30B5B">
              <w:rPr>
                <w:color w:val="000000"/>
                <w:sz w:val="20"/>
                <w:szCs w:val="20"/>
                <w:highlight w:val="yellow"/>
              </w:rPr>
              <w:t xml:space="preserve">    </w:t>
            </w:r>
          </w:p>
        </w:tc>
        <w:tc>
          <w:tcPr>
            <w:tcW w:w="1726" w:type="dxa"/>
          </w:tcPr>
          <w:p w14:paraId="6441638F" w14:textId="77777777" w:rsidR="007520C1" w:rsidRPr="00E30B5B" w:rsidRDefault="007520C1" w:rsidP="00E049DB">
            <w:pPr>
              <w:jc w:val="right"/>
              <w:rPr>
                <w:sz w:val="18"/>
                <w:szCs w:val="18"/>
                <w:highlight w:val="yellow"/>
              </w:rPr>
            </w:pPr>
            <w:r w:rsidRPr="00E30B5B">
              <w:rPr>
                <w:color w:val="000000"/>
                <w:sz w:val="20"/>
                <w:szCs w:val="20"/>
                <w:highlight w:val="yellow"/>
              </w:rPr>
              <w:fldChar w:fldCharType="begin">
                <w:ffData>
                  <w:name w:val=""/>
                  <w:enabled/>
                  <w:calcOnExit w:val="0"/>
                  <w:helpText w:type="text" w:val="GEF Agency(ies):  In the dropdown menu, select the GEF Agency.  For multi-agency projects, select the other agency(ies) from the other pull down menu that is also provided"/>
                  <w:ddList>
                    <w:listEntry w:val="(select)"/>
                    <w:listEntry w:val="Polychlorinated biphenyls (PCB)"/>
                    <w:listEntry w:val="Polychlorinated Dibenzofurans (PCDF)"/>
                    <w:listEntry w:val="Polychlorinated Dibenzo-p-dioxins (PCDD)"/>
                    <w:listEntry w:val="Polychlorinated naphthalenes (PCN)"/>
                    <w:listEntry w:val="Tetrabromodiphenyl ether/Pentabromodiphenyl ether"/>
                    <w:listEntry w:val="Toxaphene"/>
                  </w:ddList>
                </w:ffData>
              </w:fldChar>
            </w:r>
            <w:r w:rsidRPr="00E30B5B">
              <w:rPr>
                <w:color w:val="000000"/>
                <w:sz w:val="20"/>
                <w:szCs w:val="20"/>
                <w:highlight w:val="yellow"/>
              </w:rPr>
              <w:instrText xml:space="preserve"> FORMDROPDOWN </w:instrText>
            </w:r>
            <w:r w:rsidR="000C73F8">
              <w:rPr>
                <w:color w:val="000000"/>
                <w:sz w:val="20"/>
                <w:szCs w:val="20"/>
                <w:highlight w:val="yellow"/>
              </w:rPr>
            </w:r>
            <w:r w:rsidR="000C73F8">
              <w:rPr>
                <w:color w:val="000000"/>
                <w:sz w:val="20"/>
                <w:szCs w:val="20"/>
                <w:highlight w:val="yellow"/>
              </w:rPr>
              <w:fldChar w:fldCharType="separate"/>
            </w:r>
            <w:r w:rsidRPr="00E30B5B">
              <w:rPr>
                <w:color w:val="000000"/>
                <w:sz w:val="20"/>
                <w:szCs w:val="20"/>
                <w:highlight w:val="yellow"/>
              </w:rPr>
              <w:fldChar w:fldCharType="end"/>
            </w:r>
          </w:p>
        </w:tc>
        <w:tc>
          <w:tcPr>
            <w:tcW w:w="2782" w:type="dxa"/>
            <w:gridSpan w:val="2"/>
          </w:tcPr>
          <w:p w14:paraId="3B954F6C" w14:textId="77777777" w:rsidR="007520C1" w:rsidRPr="00E30B5B" w:rsidRDefault="007520C1" w:rsidP="00E049DB">
            <w:pPr>
              <w:jc w:val="right"/>
              <w:rPr>
                <w:sz w:val="18"/>
                <w:szCs w:val="18"/>
                <w:highlight w:val="yellow"/>
              </w:rPr>
            </w:pPr>
            <w:r w:rsidRPr="00E30B5B">
              <w:rPr>
                <w:i/>
                <w:color w:val="000000"/>
                <w:sz w:val="18"/>
                <w:szCs w:val="18"/>
                <w:highlight w:val="yellow"/>
              </w:rPr>
              <w:fldChar w:fldCharType="begin">
                <w:ffData>
                  <w:name w:val="F_GEB_BD_target"/>
                  <w:enabled/>
                  <w:calcOnExit w:val="0"/>
                  <w:textInput/>
                </w:ffData>
              </w:fldChar>
            </w:r>
            <w:r w:rsidRPr="00E30B5B">
              <w:rPr>
                <w:i/>
                <w:color w:val="000000"/>
                <w:sz w:val="18"/>
                <w:szCs w:val="18"/>
                <w:highlight w:val="yellow"/>
              </w:rPr>
              <w:instrText xml:space="preserve"> FORMTEXT </w:instrText>
            </w:r>
            <w:r w:rsidRPr="00E30B5B">
              <w:rPr>
                <w:i/>
                <w:color w:val="000000"/>
                <w:sz w:val="18"/>
                <w:szCs w:val="18"/>
                <w:highlight w:val="yellow"/>
              </w:rPr>
            </w:r>
            <w:r w:rsidRPr="00E30B5B">
              <w:rPr>
                <w:i/>
                <w:color w:val="000000"/>
                <w:sz w:val="18"/>
                <w:szCs w:val="18"/>
                <w:highlight w:val="yellow"/>
              </w:rPr>
              <w:fldChar w:fldCharType="separate"/>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fldChar w:fldCharType="end"/>
            </w:r>
          </w:p>
        </w:tc>
        <w:tc>
          <w:tcPr>
            <w:tcW w:w="1485" w:type="dxa"/>
            <w:gridSpan w:val="3"/>
          </w:tcPr>
          <w:p w14:paraId="6A14C058" w14:textId="77777777" w:rsidR="007520C1" w:rsidRPr="00E30B5B" w:rsidRDefault="007520C1" w:rsidP="00E049DB">
            <w:pPr>
              <w:jc w:val="right"/>
              <w:rPr>
                <w:sz w:val="18"/>
                <w:szCs w:val="18"/>
                <w:highlight w:val="yellow"/>
              </w:rPr>
            </w:pPr>
            <w:r w:rsidRPr="00E30B5B">
              <w:rPr>
                <w:i/>
                <w:color w:val="000000"/>
                <w:sz w:val="18"/>
                <w:szCs w:val="18"/>
                <w:highlight w:val="yellow"/>
              </w:rPr>
              <w:fldChar w:fldCharType="begin">
                <w:ffData>
                  <w:name w:val="F_GEB_BD_target"/>
                  <w:enabled/>
                  <w:calcOnExit w:val="0"/>
                  <w:textInput/>
                </w:ffData>
              </w:fldChar>
            </w:r>
            <w:r w:rsidRPr="00E30B5B">
              <w:rPr>
                <w:i/>
                <w:color w:val="000000"/>
                <w:sz w:val="18"/>
                <w:szCs w:val="18"/>
                <w:highlight w:val="yellow"/>
              </w:rPr>
              <w:instrText xml:space="preserve"> FORMTEXT </w:instrText>
            </w:r>
            <w:r w:rsidRPr="00E30B5B">
              <w:rPr>
                <w:i/>
                <w:color w:val="000000"/>
                <w:sz w:val="18"/>
                <w:szCs w:val="18"/>
                <w:highlight w:val="yellow"/>
              </w:rPr>
            </w:r>
            <w:r w:rsidRPr="00E30B5B">
              <w:rPr>
                <w:i/>
                <w:color w:val="000000"/>
                <w:sz w:val="18"/>
                <w:szCs w:val="18"/>
                <w:highlight w:val="yellow"/>
              </w:rPr>
              <w:fldChar w:fldCharType="separate"/>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fldChar w:fldCharType="end"/>
            </w:r>
          </w:p>
        </w:tc>
        <w:tc>
          <w:tcPr>
            <w:tcW w:w="1324" w:type="dxa"/>
            <w:gridSpan w:val="2"/>
          </w:tcPr>
          <w:p w14:paraId="3923CF34" w14:textId="77777777" w:rsidR="007520C1" w:rsidRPr="00E30B5B" w:rsidRDefault="007520C1" w:rsidP="00E049DB">
            <w:pPr>
              <w:jc w:val="right"/>
              <w:rPr>
                <w:sz w:val="18"/>
                <w:szCs w:val="18"/>
                <w:highlight w:val="yellow"/>
              </w:rPr>
            </w:pPr>
            <w:r w:rsidRPr="00E30B5B">
              <w:rPr>
                <w:i/>
                <w:color w:val="000000"/>
                <w:sz w:val="18"/>
                <w:szCs w:val="18"/>
                <w:highlight w:val="yellow"/>
              </w:rPr>
              <w:fldChar w:fldCharType="begin">
                <w:ffData>
                  <w:name w:val="F_GEB_BD_target"/>
                  <w:enabled/>
                  <w:calcOnExit w:val="0"/>
                  <w:textInput/>
                </w:ffData>
              </w:fldChar>
            </w:r>
            <w:r w:rsidRPr="00E30B5B">
              <w:rPr>
                <w:i/>
                <w:color w:val="000000"/>
                <w:sz w:val="18"/>
                <w:szCs w:val="18"/>
                <w:highlight w:val="yellow"/>
              </w:rPr>
              <w:instrText xml:space="preserve"> FORMTEXT </w:instrText>
            </w:r>
            <w:r w:rsidRPr="00E30B5B">
              <w:rPr>
                <w:i/>
                <w:color w:val="000000"/>
                <w:sz w:val="18"/>
                <w:szCs w:val="18"/>
                <w:highlight w:val="yellow"/>
              </w:rPr>
            </w:r>
            <w:r w:rsidRPr="00E30B5B">
              <w:rPr>
                <w:i/>
                <w:color w:val="000000"/>
                <w:sz w:val="18"/>
                <w:szCs w:val="18"/>
                <w:highlight w:val="yellow"/>
              </w:rPr>
              <w:fldChar w:fldCharType="separate"/>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fldChar w:fldCharType="end"/>
            </w:r>
          </w:p>
        </w:tc>
        <w:tc>
          <w:tcPr>
            <w:tcW w:w="1287" w:type="dxa"/>
          </w:tcPr>
          <w:p w14:paraId="2DD0D290" w14:textId="77777777" w:rsidR="007520C1" w:rsidRPr="00E30B5B" w:rsidRDefault="007520C1" w:rsidP="00E049DB">
            <w:pPr>
              <w:jc w:val="right"/>
              <w:rPr>
                <w:sz w:val="18"/>
                <w:szCs w:val="18"/>
                <w:highlight w:val="yellow"/>
              </w:rPr>
            </w:pPr>
            <w:r w:rsidRPr="00E30B5B">
              <w:rPr>
                <w:i/>
                <w:color w:val="000000"/>
                <w:sz w:val="18"/>
                <w:szCs w:val="18"/>
                <w:highlight w:val="yellow"/>
              </w:rPr>
              <w:fldChar w:fldCharType="begin">
                <w:ffData>
                  <w:name w:val="F_GEB_BD_target"/>
                  <w:enabled/>
                  <w:calcOnExit w:val="0"/>
                  <w:textInput/>
                </w:ffData>
              </w:fldChar>
            </w:r>
            <w:r w:rsidRPr="00E30B5B">
              <w:rPr>
                <w:i/>
                <w:color w:val="000000"/>
                <w:sz w:val="18"/>
                <w:szCs w:val="18"/>
                <w:highlight w:val="yellow"/>
              </w:rPr>
              <w:instrText xml:space="preserve"> FORMTEXT </w:instrText>
            </w:r>
            <w:r w:rsidRPr="00E30B5B">
              <w:rPr>
                <w:i/>
                <w:color w:val="000000"/>
                <w:sz w:val="18"/>
                <w:szCs w:val="18"/>
                <w:highlight w:val="yellow"/>
              </w:rPr>
            </w:r>
            <w:r w:rsidRPr="00E30B5B">
              <w:rPr>
                <w:i/>
                <w:color w:val="000000"/>
                <w:sz w:val="18"/>
                <w:szCs w:val="18"/>
                <w:highlight w:val="yellow"/>
              </w:rPr>
              <w:fldChar w:fldCharType="separate"/>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fldChar w:fldCharType="end"/>
            </w:r>
          </w:p>
        </w:tc>
      </w:tr>
      <w:tr w:rsidR="007520C1" w:rsidRPr="004244E0" w14:paraId="1739962F" w14:textId="77777777" w:rsidTr="00DB02C4">
        <w:tc>
          <w:tcPr>
            <w:tcW w:w="1298" w:type="dxa"/>
          </w:tcPr>
          <w:p w14:paraId="609D733E" w14:textId="77777777" w:rsidR="007520C1" w:rsidRPr="00E30B5B" w:rsidRDefault="007520C1" w:rsidP="00E049DB">
            <w:pPr>
              <w:jc w:val="right"/>
              <w:rPr>
                <w:sz w:val="18"/>
                <w:szCs w:val="18"/>
                <w:highlight w:val="yellow"/>
              </w:rPr>
            </w:pPr>
            <w:r w:rsidRPr="00E30B5B">
              <w:rPr>
                <w:color w:val="000000"/>
                <w:sz w:val="20"/>
                <w:szCs w:val="20"/>
                <w:highlight w:val="yellow"/>
              </w:rPr>
              <w:fldChar w:fldCharType="begin">
                <w:ffData>
                  <w:name w:val="GEF_IA_01"/>
                  <w:enabled/>
                  <w:calcOnExit w:val="0"/>
                  <w:helpText w:type="text" w:val="GEF Agency(ies):  In the dropdown menu, select the GEF Agency.  For multi-agency projects, select the other agency(ies) from the other pull down menu that is also provided"/>
                  <w:ddList>
                    <w:listEntry w:val="(select)"/>
                    <w:listEntry w:val="Aldrin"/>
                    <w:listEntry w:val="Alpha hexachlorocyclohexane"/>
                    <w:listEntry w:val="Beta hexachlorocyclohexane"/>
                    <w:listEntry w:val="Chlordane"/>
                    <w:listEntry w:val="DDT"/>
                    <w:listEntry w:val="Dieldrin"/>
                    <w:listEntry w:val="Endosulfan and isomers"/>
                    <w:listEntry w:val="Endrin"/>
                    <w:listEntry w:val="Heptachlor"/>
                  </w:ddList>
                </w:ffData>
              </w:fldChar>
            </w:r>
            <w:r w:rsidRPr="00E30B5B">
              <w:rPr>
                <w:color w:val="000000"/>
                <w:sz w:val="20"/>
                <w:szCs w:val="20"/>
                <w:highlight w:val="yellow"/>
              </w:rPr>
              <w:instrText xml:space="preserve"> FORMDROPDOWN </w:instrText>
            </w:r>
            <w:r w:rsidR="000C73F8">
              <w:rPr>
                <w:color w:val="000000"/>
                <w:sz w:val="20"/>
                <w:szCs w:val="20"/>
                <w:highlight w:val="yellow"/>
              </w:rPr>
            </w:r>
            <w:r w:rsidR="000C73F8">
              <w:rPr>
                <w:color w:val="000000"/>
                <w:sz w:val="20"/>
                <w:szCs w:val="20"/>
                <w:highlight w:val="yellow"/>
              </w:rPr>
              <w:fldChar w:fldCharType="separate"/>
            </w:r>
            <w:r w:rsidRPr="00E30B5B">
              <w:rPr>
                <w:color w:val="000000"/>
                <w:sz w:val="20"/>
                <w:szCs w:val="20"/>
                <w:highlight w:val="yellow"/>
              </w:rPr>
              <w:fldChar w:fldCharType="end"/>
            </w:r>
            <w:r w:rsidRPr="00E30B5B">
              <w:rPr>
                <w:color w:val="000000"/>
                <w:sz w:val="20"/>
                <w:szCs w:val="20"/>
                <w:highlight w:val="yellow"/>
              </w:rPr>
              <w:t xml:space="preserve">  </w:t>
            </w:r>
          </w:p>
        </w:tc>
        <w:tc>
          <w:tcPr>
            <w:tcW w:w="933" w:type="dxa"/>
          </w:tcPr>
          <w:p w14:paraId="135AEC44" w14:textId="77777777" w:rsidR="007520C1" w:rsidRPr="00E30B5B" w:rsidRDefault="007520C1" w:rsidP="00E049DB">
            <w:pPr>
              <w:jc w:val="right"/>
              <w:rPr>
                <w:sz w:val="18"/>
                <w:szCs w:val="18"/>
                <w:highlight w:val="yellow"/>
              </w:rPr>
            </w:pPr>
            <w:r w:rsidRPr="00E30B5B">
              <w:rPr>
                <w:color w:val="000000"/>
                <w:sz w:val="20"/>
                <w:szCs w:val="20"/>
                <w:highlight w:val="yellow"/>
              </w:rPr>
              <w:fldChar w:fldCharType="begin">
                <w:ffData>
                  <w:name w:val=""/>
                  <w:enabled/>
                  <w:calcOnExit w:val="0"/>
                  <w:helpText w:type="text" w:val="GEF Agency(ies):  In the dropdown menu, select the GEF Agency.  For multi-agency projects, select the other agency(ies) from the other pull down menu that is also provided"/>
                  <w:ddList>
                    <w:listEntry w:val="(select)"/>
                    <w:listEntry w:val="Hexabromobiphenyl"/>
                    <w:listEntry w:val="Hexabromocyclododecane (HBDC)"/>
                    <w:listEntry w:val="Hexa-Heptabromodiphenyl ether"/>
                    <w:listEntry w:val="Hexachlorobenzene (HCB)"/>
                    <w:listEntry w:val="Hexachlorobutadiene"/>
                    <w:listEntry w:val="Lindane"/>
                    <w:listEntry w:val="Mirex"/>
                    <w:listEntry w:val="Pentachlorophenol/salts/esters"/>
                    <w:listEntry w:val="Perfluorooctane sulfunic acid/salts/PFOS"/>
                  </w:ddList>
                </w:ffData>
              </w:fldChar>
            </w:r>
            <w:r w:rsidRPr="00E30B5B">
              <w:rPr>
                <w:color w:val="000000"/>
                <w:sz w:val="20"/>
                <w:szCs w:val="20"/>
                <w:highlight w:val="yellow"/>
              </w:rPr>
              <w:instrText xml:space="preserve"> FORMDROPDOWN </w:instrText>
            </w:r>
            <w:r w:rsidR="000C73F8">
              <w:rPr>
                <w:color w:val="000000"/>
                <w:sz w:val="20"/>
                <w:szCs w:val="20"/>
                <w:highlight w:val="yellow"/>
              </w:rPr>
            </w:r>
            <w:r w:rsidR="000C73F8">
              <w:rPr>
                <w:color w:val="000000"/>
                <w:sz w:val="20"/>
                <w:szCs w:val="20"/>
                <w:highlight w:val="yellow"/>
              </w:rPr>
              <w:fldChar w:fldCharType="separate"/>
            </w:r>
            <w:r w:rsidRPr="00E30B5B">
              <w:rPr>
                <w:color w:val="000000"/>
                <w:sz w:val="20"/>
                <w:szCs w:val="20"/>
                <w:highlight w:val="yellow"/>
              </w:rPr>
              <w:fldChar w:fldCharType="end"/>
            </w:r>
            <w:r w:rsidRPr="00E30B5B">
              <w:rPr>
                <w:color w:val="000000"/>
                <w:sz w:val="20"/>
                <w:szCs w:val="20"/>
                <w:highlight w:val="yellow"/>
              </w:rPr>
              <w:t xml:space="preserve">    </w:t>
            </w:r>
          </w:p>
        </w:tc>
        <w:tc>
          <w:tcPr>
            <w:tcW w:w="1726" w:type="dxa"/>
          </w:tcPr>
          <w:p w14:paraId="22269EE8" w14:textId="77777777" w:rsidR="007520C1" w:rsidRPr="00E30B5B" w:rsidRDefault="007520C1" w:rsidP="00E049DB">
            <w:pPr>
              <w:jc w:val="right"/>
              <w:rPr>
                <w:sz w:val="18"/>
                <w:szCs w:val="18"/>
                <w:highlight w:val="yellow"/>
              </w:rPr>
            </w:pPr>
            <w:r w:rsidRPr="00E30B5B">
              <w:rPr>
                <w:color w:val="000000"/>
                <w:sz w:val="20"/>
                <w:szCs w:val="20"/>
                <w:highlight w:val="yellow"/>
              </w:rPr>
              <w:fldChar w:fldCharType="begin">
                <w:ffData>
                  <w:name w:val=""/>
                  <w:enabled/>
                  <w:calcOnExit w:val="0"/>
                  <w:helpText w:type="text" w:val="GEF Agency(ies):  In the dropdown menu, select the GEF Agency.  For multi-agency projects, select the other agency(ies) from the other pull down menu that is also provided"/>
                  <w:ddList>
                    <w:listEntry w:val="(select)"/>
                    <w:listEntry w:val="Polychlorinated biphenyls (PCB)"/>
                    <w:listEntry w:val="Polychlorinated Dibenzofurans (PCDF)"/>
                    <w:listEntry w:val="Polychlorinated Dibenzo-p-dioxins (PCDD)"/>
                    <w:listEntry w:val="Polychlorinated naphthalenes (PCN)"/>
                    <w:listEntry w:val="Tetrabromodiphenyl ether/Pentabromodiphenyl ether"/>
                    <w:listEntry w:val="Toxaphene"/>
                  </w:ddList>
                </w:ffData>
              </w:fldChar>
            </w:r>
            <w:r w:rsidRPr="00E30B5B">
              <w:rPr>
                <w:color w:val="000000"/>
                <w:sz w:val="20"/>
                <w:szCs w:val="20"/>
                <w:highlight w:val="yellow"/>
              </w:rPr>
              <w:instrText xml:space="preserve"> FORMDROPDOWN </w:instrText>
            </w:r>
            <w:r w:rsidR="000C73F8">
              <w:rPr>
                <w:color w:val="000000"/>
                <w:sz w:val="20"/>
                <w:szCs w:val="20"/>
                <w:highlight w:val="yellow"/>
              </w:rPr>
            </w:r>
            <w:r w:rsidR="000C73F8">
              <w:rPr>
                <w:color w:val="000000"/>
                <w:sz w:val="20"/>
                <w:szCs w:val="20"/>
                <w:highlight w:val="yellow"/>
              </w:rPr>
              <w:fldChar w:fldCharType="separate"/>
            </w:r>
            <w:r w:rsidRPr="00E30B5B">
              <w:rPr>
                <w:color w:val="000000"/>
                <w:sz w:val="20"/>
                <w:szCs w:val="20"/>
                <w:highlight w:val="yellow"/>
              </w:rPr>
              <w:fldChar w:fldCharType="end"/>
            </w:r>
          </w:p>
        </w:tc>
        <w:tc>
          <w:tcPr>
            <w:tcW w:w="2782" w:type="dxa"/>
            <w:gridSpan w:val="2"/>
          </w:tcPr>
          <w:p w14:paraId="3EAAF895" w14:textId="77777777" w:rsidR="007520C1" w:rsidRPr="00E30B5B" w:rsidRDefault="007520C1" w:rsidP="00E049DB">
            <w:pPr>
              <w:jc w:val="right"/>
              <w:rPr>
                <w:i/>
                <w:color w:val="000000"/>
                <w:sz w:val="18"/>
                <w:szCs w:val="18"/>
                <w:highlight w:val="yellow"/>
              </w:rPr>
            </w:pPr>
            <w:r w:rsidRPr="00E30B5B">
              <w:rPr>
                <w:i/>
                <w:color w:val="000000"/>
                <w:sz w:val="18"/>
                <w:szCs w:val="18"/>
                <w:highlight w:val="yellow"/>
              </w:rPr>
              <w:fldChar w:fldCharType="begin">
                <w:ffData>
                  <w:name w:val="F_GEB_BD_target"/>
                  <w:enabled/>
                  <w:calcOnExit w:val="0"/>
                  <w:textInput/>
                </w:ffData>
              </w:fldChar>
            </w:r>
            <w:r w:rsidRPr="00E30B5B">
              <w:rPr>
                <w:i/>
                <w:color w:val="000000"/>
                <w:sz w:val="18"/>
                <w:szCs w:val="18"/>
                <w:highlight w:val="yellow"/>
              </w:rPr>
              <w:instrText xml:space="preserve"> FORMTEXT </w:instrText>
            </w:r>
            <w:r w:rsidRPr="00E30B5B">
              <w:rPr>
                <w:i/>
                <w:color w:val="000000"/>
                <w:sz w:val="18"/>
                <w:szCs w:val="18"/>
                <w:highlight w:val="yellow"/>
              </w:rPr>
            </w:r>
            <w:r w:rsidRPr="00E30B5B">
              <w:rPr>
                <w:i/>
                <w:color w:val="000000"/>
                <w:sz w:val="18"/>
                <w:szCs w:val="18"/>
                <w:highlight w:val="yellow"/>
              </w:rPr>
              <w:fldChar w:fldCharType="separate"/>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fldChar w:fldCharType="end"/>
            </w:r>
          </w:p>
        </w:tc>
        <w:tc>
          <w:tcPr>
            <w:tcW w:w="1485" w:type="dxa"/>
            <w:gridSpan w:val="3"/>
          </w:tcPr>
          <w:p w14:paraId="400F3EDA" w14:textId="77777777" w:rsidR="007520C1" w:rsidRPr="00E30B5B" w:rsidRDefault="007520C1" w:rsidP="00E049DB">
            <w:pPr>
              <w:jc w:val="right"/>
              <w:rPr>
                <w:i/>
                <w:color w:val="000000"/>
                <w:sz w:val="18"/>
                <w:szCs w:val="18"/>
                <w:highlight w:val="yellow"/>
              </w:rPr>
            </w:pPr>
            <w:r w:rsidRPr="00E30B5B">
              <w:rPr>
                <w:i/>
                <w:color w:val="000000"/>
                <w:sz w:val="18"/>
                <w:szCs w:val="18"/>
                <w:highlight w:val="yellow"/>
              </w:rPr>
              <w:fldChar w:fldCharType="begin">
                <w:ffData>
                  <w:name w:val="F_GEB_BD_target"/>
                  <w:enabled/>
                  <w:calcOnExit w:val="0"/>
                  <w:textInput/>
                </w:ffData>
              </w:fldChar>
            </w:r>
            <w:r w:rsidRPr="00E30B5B">
              <w:rPr>
                <w:i/>
                <w:color w:val="000000"/>
                <w:sz w:val="18"/>
                <w:szCs w:val="18"/>
                <w:highlight w:val="yellow"/>
              </w:rPr>
              <w:instrText xml:space="preserve"> FORMTEXT </w:instrText>
            </w:r>
            <w:r w:rsidRPr="00E30B5B">
              <w:rPr>
                <w:i/>
                <w:color w:val="000000"/>
                <w:sz w:val="18"/>
                <w:szCs w:val="18"/>
                <w:highlight w:val="yellow"/>
              </w:rPr>
            </w:r>
            <w:r w:rsidRPr="00E30B5B">
              <w:rPr>
                <w:i/>
                <w:color w:val="000000"/>
                <w:sz w:val="18"/>
                <w:szCs w:val="18"/>
                <w:highlight w:val="yellow"/>
              </w:rPr>
              <w:fldChar w:fldCharType="separate"/>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fldChar w:fldCharType="end"/>
            </w:r>
          </w:p>
        </w:tc>
        <w:tc>
          <w:tcPr>
            <w:tcW w:w="1324" w:type="dxa"/>
            <w:gridSpan w:val="2"/>
          </w:tcPr>
          <w:p w14:paraId="23EAF90E" w14:textId="77777777" w:rsidR="007520C1" w:rsidRPr="00E30B5B" w:rsidRDefault="007520C1" w:rsidP="00E049DB">
            <w:pPr>
              <w:jc w:val="right"/>
              <w:rPr>
                <w:i/>
                <w:color w:val="000000"/>
                <w:sz w:val="18"/>
                <w:szCs w:val="18"/>
                <w:highlight w:val="yellow"/>
              </w:rPr>
            </w:pPr>
            <w:r w:rsidRPr="00E30B5B">
              <w:rPr>
                <w:i/>
                <w:color w:val="000000"/>
                <w:sz w:val="18"/>
                <w:szCs w:val="18"/>
                <w:highlight w:val="yellow"/>
              </w:rPr>
              <w:fldChar w:fldCharType="begin">
                <w:ffData>
                  <w:name w:val="F_GEB_BD_target"/>
                  <w:enabled/>
                  <w:calcOnExit w:val="0"/>
                  <w:textInput/>
                </w:ffData>
              </w:fldChar>
            </w:r>
            <w:r w:rsidRPr="00E30B5B">
              <w:rPr>
                <w:i/>
                <w:color w:val="000000"/>
                <w:sz w:val="18"/>
                <w:szCs w:val="18"/>
                <w:highlight w:val="yellow"/>
              </w:rPr>
              <w:instrText xml:space="preserve"> FORMTEXT </w:instrText>
            </w:r>
            <w:r w:rsidRPr="00E30B5B">
              <w:rPr>
                <w:i/>
                <w:color w:val="000000"/>
                <w:sz w:val="18"/>
                <w:szCs w:val="18"/>
                <w:highlight w:val="yellow"/>
              </w:rPr>
            </w:r>
            <w:r w:rsidRPr="00E30B5B">
              <w:rPr>
                <w:i/>
                <w:color w:val="000000"/>
                <w:sz w:val="18"/>
                <w:szCs w:val="18"/>
                <w:highlight w:val="yellow"/>
              </w:rPr>
              <w:fldChar w:fldCharType="separate"/>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fldChar w:fldCharType="end"/>
            </w:r>
          </w:p>
        </w:tc>
        <w:tc>
          <w:tcPr>
            <w:tcW w:w="1287" w:type="dxa"/>
          </w:tcPr>
          <w:p w14:paraId="086148FC" w14:textId="77777777" w:rsidR="007520C1" w:rsidRPr="00E30B5B" w:rsidRDefault="007520C1" w:rsidP="00E049DB">
            <w:pPr>
              <w:jc w:val="right"/>
              <w:rPr>
                <w:i/>
                <w:color w:val="000000"/>
                <w:sz w:val="18"/>
                <w:szCs w:val="18"/>
                <w:highlight w:val="yellow"/>
              </w:rPr>
            </w:pPr>
            <w:r w:rsidRPr="00E30B5B">
              <w:rPr>
                <w:i/>
                <w:color w:val="000000"/>
                <w:sz w:val="18"/>
                <w:szCs w:val="18"/>
                <w:highlight w:val="yellow"/>
              </w:rPr>
              <w:fldChar w:fldCharType="begin">
                <w:ffData>
                  <w:name w:val="F_GEB_BD_target"/>
                  <w:enabled/>
                  <w:calcOnExit w:val="0"/>
                  <w:textInput/>
                </w:ffData>
              </w:fldChar>
            </w:r>
            <w:r w:rsidRPr="00E30B5B">
              <w:rPr>
                <w:i/>
                <w:color w:val="000000"/>
                <w:sz w:val="18"/>
                <w:szCs w:val="18"/>
                <w:highlight w:val="yellow"/>
              </w:rPr>
              <w:instrText xml:space="preserve"> FORMTEXT </w:instrText>
            </w:r>
            <w:r w:rsidRPr="00E30B5B">
              <w:rPr>
                <w:i/>
                <w:color w:val="000000"/>
                <w:sz w:val="18"/>
                <w:szCs w:val="18"/>
                <w:highlight w:val="yellow"/>
              </w:rPr>
            </w:r>
            <w:r w:rsidRPr="00E30B5B">
              <w:rPr>
                <w:i/>
                <w:color w:val="000000"/>
                <w:sz w:val="18"/>
                <w:szCs w:val="18"/>
                <w:highlight w:val="yellow"/>
              </w:rPr>
              <w:fldChar w:fldCharType="separate"/>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fldChar w:fldCharType="end"/>
            </w:r>
          </w:p>
        </w:tc>
      </w:tr>
      <w:tr w:rsidR="007520C1" w:rsidRPr="004244E0" w14:paraId="2AF7470E" w14:textId="77777777" w:rsidTr="00DB02C4">
        <w:tc>
          <w:tcPr>
            <w:tcW w:w="1298" w:type="dxa"/>
            <w:shd w:val="clear" w:color="auto" w:fill="BFBFBF" w:themeFill="background1" w:themeFillShade="BF"/>
          </w:tcPr>
          <w:p w14:paraId="17434A1D" w14:textId="77777777" w:rsidR="007520C1" w:rsidRPr="00E30B5B" w:rsidRDefault="007520C1" w:rsidP="00E049DB">
            <w:pPr>
              <w:rPr>
                <w:sz w:val="18"/>
                <w:szCs w:val="18"/>
                <w:highlight w:val="yellow"/>
              </w:rPr>
            </w:pPr>
            <w:r w:rsidRPr="00E30B5B">
              <w:rPr>
                <w:sz w:val="18"/>
                <w:szCs w:val="18"/>
                <w:highlight w:val="yellow"/>
              </w:rPr>
              <w:t>Indicator 9.2</w:t>
            </w:r>
          </w:p>
        </w:tc>
        <w:tc>
          <w:tcPr>
            <w:tcW w:w="6765" w:type="dxa"/>
            <w:gridSpan w:val="5"/>
            <w:shd w:val="clear" w:color="auto" w:fill="BFBFBF" w:themeFill="background1" w:themeFillShade="BF"/>
          </w:tcPr>
          <w:p w14:paraId="0B7F077D" w14:textId="77777777" w:rsidR="007520C1" w:rsidRPr="00E30B5B" w:rsidRDefault="007520C1" w:rsidP="00E049DB">
            <w:pPr>
              <w:rPr>
                <w:sz w:val="18"/>
                <w:szCs w:val="18"/>
                <w:highlight w:val="yellow"/>
              </w:rPr>
            </w:pPr>
            <w:r w:rsidRPr="00E30B5B">
              <w:rPr>
                <w:sz w:val="18"/>
                <w:szCs w:val="18"/>
                <w:highlight w:val="yellow"/>
              </w:rPr>
              <w:t>Quantity of mercury reduced</w:t>
            </w:r>
          </w:p>
        </w:tc>
        <w:tc>
          <w:tcPr>
            <w:tcW w:w="2772" w:type="dxa"/>
            <w:gridSpan w:val="5"/>
            <w:shd w:val="clear" w:color="auto" w:fill="BFBFBF" w:themeFill="background1" w:themeFillShade="BF"/>
          </w:tcPr>
          <w:p w14:paraId="234F0ECB" w14:textId="77777777" w:rsidR="007520C1" w:rsidRPr="00E30B5B" w:rsidRDefault="007520C1" w:rsidP="00E049DB">
            <w:pPr>
              <w:jc w:val="right"/>
              <w:rPr>
                <w:sz w:val="18"/>
                <w:szCs w:val="18"/>
                <w:highlight w:val="yellow"/>
              </w:rPr>
            </w:pPr>
            <w:r w:rsidRPr="00E30B5B">
              <w:rPr>
                <w:i/>
                <w:color w:val="000000"/>
                <w:sz w:val="18"/>
                <w:szCs w:val="18"/>
                <w:highlight w:val="yellow"/>
              </w:rPr>
              <w:fldChar w:fldCharType="begin">
                <w:ffData>
                  <w:name w:val="F_GEB_BD_target"/>
                  <w:enabled/>
                  <w:calcOnExit w:val="0"/>
                  <w:textInput/>
                </w:ffData>
              </w:fldChar>
            </w:r>
            <w:r w:rsidRPr="00E30B5B">
              <w:rPr>
                <w:i/>
                <w:color w:val="000000"/>
                <w:sz w:val="18"/>
                <w:szCs w:val="18"/>
                <w:highlight w:val="yellow"/>
              </w:rPr>
              <w:instrText xml:space="preserve"> FORMTEXT </w:instrText>
            </w:r>
            <w:r w:rsidRPr="00E30B5B">
              <w:rPr>
                <w:i/>
                <w:color w:val="000000"/>
                <w:sz w:val="18"/>
                <w:szCs w:val="18"/>
                <w:highlight w:val="yellow"/>
              </w:rPr>
            </w:r>
            <w:r w:rsidRPr="00E30B5B">
              <w:rPr>
                <w:i/>
                <w:color w:val="000000"/>
                <w:sz w:val="18"/>
                <w:szCs w:val="18"/>
                <w:highlight w:val="yellow"/>
              </w:rPr>
              <w:fldChar w:fldCharType="separate"/>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fldChar w:fldCharType="end"/>
            </w:r>
          </w:p>
        </w:tc>
      </w:tr>
      <w:tr w:rsidR="007520C1" w:rsidRPr="004244E0" w14:paraId="12679446" w14:textId="77777777" w:rsidTr="00DB02C4">
        <w:trPr>
          <w:trHeight w:val="125"/>
        </w:trPr>
        <w:tc>
          <w:tcPr>
            <w:tcW w:w="1298" w:type="dxa"/>
            <w:vMerge w:val="restart"/>
          </w:tcPr>
          <w:p w14:paraId="6B6DBE99" w14:textId="77777777" w:rsidR="007520C1" w:rsidRPr="00E30B5B" w:rsidRDefault="007520C1" w:rsidP="00E049DB">
            <w:pPr>
              <w:rPr>
                <w:sz w:val="18"/>
                <w:szCs w:val="18"/>
                <w:highlight w:val="yellow"/>
              </w:rPr>
            </w:pPr>
          </w:p>
        </w:tc>
        <w:tc>
          <w:tcPr>
            <w:tcW w:w="933" w:type="dxa"/>
            <w:vMerge w:val="restart"/>
          </w:tcPr>
          <w:p w14:paraId="6C35DD9A" w14:textId="77777777" w:rsidR="007520C1" w:rsidRPr="00E30B5B" w:rsidRDefault="007520C1" w:rsidP="00E049DB">
            <w:pPr>
              <w:rPr>
                <w:sz w:val="18"/>
                <w:szCs w:val="18"/>
                <w:highlight w:val="yellow"/>
              </w:rPr>
            </w:pPr>
          </w:p>
        </w:tc>
        <w:tc>
          <w:tcPr>
            <w:tcW w:w="1726" w:type="dxa"/>
            <w:vMerge w:val="restart"/>
          </w:tcPr>
          <w:p w14:paraId="69835E0B" w14:textId="77777777" w:rsidR="007520C1" w:rsidRPr="00E30B5B" w:rsidRDefault="007520C1" w:rsidP="00E049DB">
            <w:pPr>
              <w:rPr>
                <w:sz w:val="18"/>
                <w:szCs w:val="18"/>
                <w:highlight w:val="yellow"/>
              </w:rPr>
            </w:pPr>
          </w:p>
        </w:tc>
        <w:tc>
          <w:tcPr>
            <w:tcW w:w="6878" w:type="dxa"/>
            <w:gridSpan w:val="8"/>
          </w:tcPr>
          <w:p w14:paraId="6FBBCAFF" w14:textId="77777777" w:rsidR="007520C1" w:rsidRPr="00E30B5B" w:rsidRDefault="007520C1" w:rsidP="00E049DB">
            <w:pPr>
              <w:jc w:val="center"/>
              <w:rPr>
                <w:sz w:val="18"/>
                <w:szCs w:val="18"/>
                <w:highlight w:val="yellow"/>
              </w:rPr>
            </w:pPr>
            <w:r w:rsidRPr="00E30B5B">
              <w:rPr>
                <w:sz w:val="18"/>
                <w:szCs w:val="18"/>
                <w:highlight w:val="yellow"/>
              </w:rPr>
              <w:t>Metric Tons</w:t>
            </w:r>
          </w:p>
        </w:tc>
      </w:tr>
      <w:tr w:rsidR="007520C1" w:rsidRPr="004244E0" w14:paraId="1CAD61B6" w14:textId="77777777" w:rsidTr="00DB02C4">
        <w:trPr>
          <w:trHeight w:val="58"/>
        </w:trPr>
        <w:tc>
          <w:tcPr>
            <w:tcW w:w="1298" w:type="dxa"/>
            <w:vMerge/>
          </w:tcPr>
          <w:p w14:paraId="2AAFE9D1" w14:textId="77777777" w:rsidR="007520C1" w:rsidRPr="00E30B5B" w:rsidRDefault="007520C1" w:rsidP="00E049DB">
            <w:pPr>
              <w:rPr>
                <w:sz w:val="18"/>
                <w:szCs w:val="18"/>
                <w:highlight w:val="yellow"/>
              </w:rPr>
            </w:pPr>
          </w:p>
        </w:tc>
        <w:tc>
          <w:tcPr>
            <w:tcW w:w="933" w:type="dxa"/>
            <w:vMerge/>
          </w:tcPr>
          <w:p w14:paraId="39A9CD18" w14:textId="77777777" w:rsidR="007520C1" w:rsidRPr="00E30B5B" w:rsidRDefault="007520C1" w:rsidP="00E049DB">
            <w:pPr>
              <w:rPr>
                <w:sz w:val="18"/>
                <w:szCs w:val="18"/>
                <w:highlight w:val="yellow"/>
              </w:rPr>
            </w:pPr>
          </w:p>
        </w:tc>
        <w:tc>
          <w:tcPr>
            <w:tcW w:w="1726" w:type="dxa"/>
            <w:vMerge/>
          </w:tcPr>
          <w:p w14:paraId="422DE736" w14:textId="77777777" w:rsidR="007520C1" w:rsidRPr="00E30B5B" w:rsidRDefault="007520C1" w:rsidP="00E049DB">
            <w:pPr>
              <w:rPr>
                <w:sz w:val="18"/>
                <w:szCs w:val="18"/>
                <w:highlight w:val="yellow"/>
              </w:rPr>
            </w:pPr>
          </w:p>
        </w:tc>
        <w:tc>
          <w:tcPr>
            <w:tcW w:w="4106" w:type="dxa"/>
            <w:gridSpan w:val="3"/>
          </w:tcPr>
          <w:p w14:paraId="760BE61E" w14:textId="77777777" w:rsidR="007520C1" w:rsidRPr="00E30B5B" w:rsidRDefault="007520C1" w:rsidP="00E049DB">
            <w:pPr>
              <w:jc w:val="center"/>
              <w:rPr>
                <w:sz w:val="18"/>
                <w:szCs w:val="18"/>
                <w:highlight w:val="yellow"/>
              </w:rPr>
            </w:pPr>
            <w:r w:rsidRPr="00E30B5B">
              <w:rPr>
                <w:sz w:val="18"/>
                <w:szCs w:val="18"/>
                <w:highlight w:val="yellow"/>
              </w:rPr>
              <w:t>Expected</w:t>
            </w:r>
          </w:p>
        </w:tc>
        <w:tc>
          <w:tcPr>
            <w:tcW w:w="2772" w:type="dxa"/>
            <w:gridSpan w:val="5"/>
          </w:tcPr>
          <w:p w14:paraId="4188157E" w14:textId="77777777" w:rsidR="007520C1" w:rsidRPr="00E30B5B" w:rsidRDefault="007520C1" w:rsidP="00E049DB">
            <w:pPr>
              <w:jc w:val="center"/>
              <w:rPr>
                <w:sz w:val="18"/>
                <w:szCs w:val="18"/>
                <w:highlight w:val="yellow"/>
              </w:rPr>
            </w:pPr>
            <w:r w:rsidRPr="00E30B5B">
              <w:rPr>
                <w:sz w:val="18"/>
                <w:szCs w:val="18"/>
                <w:highlight w:val="yellow"/>
              </w:rPr>
              <w:t>Achieved</w:t>
            </w:r>
          </w:p>
        </w:tc>
      </w:tr>
      <w:tr w:rsidR="007520C1" w:rsidRPr="004244E0" w14:paraId="6B78856A" w14:textId="77777777" w:rsidTr="00DB02C4">
        <w:trPr>
          <w:trHeight w:val="206"/>
        </w:trPr>
        <w:tc>
          <w:tcPr>
            <w:tcW w:w="1298" w:type="dxa"/>
            <w:vMerge/>
          </w:tcPr>
          <w:p w14:paraId="428A3BEA" w14:textId="77777777" w:rsidR="007520C1" w:rsidRPr="00E30B5B" w:rsidRDefault="007520C1" w:rsidP="00E049DB">
            <w:pPr>
              <w:rPr>
                <w:sz w:val="18"/>
                <w:szCs w:val="18"/>
                <w:highlight w:val="yellow"/>
              </w:rPr>
            </w:pPr>
          </w:p>
        </w:tc>
        <w:tc>
          <w:tcPr>
            <w:tcW w:w="933" w:type="dxa"/>
            <w:vMerge/>
          </w:tcPr>
          <w:p w14:paraId="4C294DB5" w14:textId="77777777" w:rsidR="007520C1" w:rsidRPr="00E30B5B" w:rsidRDefault="007520C1" w:rsidP="00E049DB">
            <w:pPr>
              <w:rPr>
                <w:sz w:val="18"/>
                <w:szCs w:val="18"/>
                <w:highlight w:val="yellow"/>
              </w:rPr>
            </w:pPr>
          </w:p>
        </w:tc>
        <w:tc>
          <w:tcPr>
            <w:tcW w:w="1726" w:type="dxa"/>
            <w:vMerge/>
          </w:tcPr>
          <w:p w14:paraId="67970074" w14:textId="77777777" w:rsidR="007520C1" w:rsidRPr="00E30B5B" w:rsidRDefault="007520C1" w:rsidP="00E049DB">
            <w:pPr>
              <w:rPr>
                <w:sz w:val="18"/>
                <w:szCs w:val="18"/>
                <w:highlight w:val="yellow"/>
              </w:rPr>
            </w:pPr>
          </w:p>
        </w:tc>
        <w:tc>
          <w:tcPr>
            <w:tcW w:w="2782" w:type="dxa"/>
            <w:gridSpan w:val="2"/>
          </w:tcPr>
          <w:p w14:paraId="26F94AF8" w14:textId="77777777" w:rsidR="007520C1" w:rsidRPr="00E30B5B" w:rsidRDefault="007520C1" w:rsidP="00E049DB">
            <w:pPr>
              <w:jc w:val="center"/>
              <w:rPr>
                <w:sz w:val="18"/>
                <w:szCs w:val="18"/>
                <w:highlight w:val="yellow"/>
              </w:rPr>
            </w:pPr>
            <w:r w:rsidRPr="00E30B5B">
              <w:rPr>
                <w:sz w:val="18"/>
                <w:szCs w:val="18"/>
                <w:highlight w:val="yellow"/>
              </w:rPr>
              <w:t>PIF stage</w:t>
            </w:r>
          </w:p>
        </w:tc>
        <w:tc>
          <w:tcPr>
            <w:tcW w:w="1485" w:type="dxa"/>
            <w:gridSpan w:val="3"/>
          </w:tcPr>
          <w:p w14:paraId="44BDC3FE" w14:textId="77777777" w:rsidR="007520C1" w:rsidRPr="00E30B5B" w:rsidRDefault="007520C1" w:rsidP="00E049DB">
            <w:pPr>
              <w:jc w:val="center"/>
              <w:rPr>
                <w:sz w:val="18"/>
                <w:szCs w:val="18"/>
                <w:highlight w:val="yellow"/>
              </w:rPr>
            </w:pPr>
            <w:r w:rsidRPr="00E30B5B">
              <w:rPr>
                <w:sz w:val="18"/>
                <w:szCs w:val="18"/>
                <w:highlight w:val="yellow"/>
              </w:rPr>
              <w:t>Endorsement</w:t>
            </w:r>
          </w:p>
        </w:tc>
        <w:tc>
          <w:tcPr>
            <w:tcW w:w="1324" w:type="dxa"/>
            <w:gridSpan w:val="2"/>
          </w:tcPr>
          <w:p w14:paraId="3F14AE15" w14:textId="77777777" w:rsidR="007520C1" w:rsidRPr="00E30B5B" w:rsidRDefault="007520C1" w:rsidP="00E049DB">
            <w:pPr>
              <w:jc w:val="center"/>
              <w:rPr>
                <w:sz w:val="18"/>
                <w:szCs w:val="18"/>
                <w:highlight w:val="yellow"/>
              </w:rPr>
            </w:pPr>
            <w:r w:rsidRPr="00E30B5B">
              <w:rPr>
                <w:sz w:val="18"/>
                <w:szCs w:val="18"/>
                <w:highlight w:val="yellow"/>
              </w:rPr>
              <w:t>MTR</w:t>
            </w:r>
          </w:p>
        </w:tc>
        <w:tc>
          <w:tcPr>
            <w:tcW w:w="1287" w:type="dxa"/>
          </w:tcPr>
          <w:p w14:paraId="1767280F" w14:textId="77777777" w:rsidR="007520C1" w:rsidRPr="00E30B5B" w:rsidRDefault="007520C1" w:rsidP="00E049DB">
            <w:pPr>
              <w:jc w:val="center"/>
              <w:rPr>
                <w:sz w:val="18"/>
                <w:szCs w:val="18"/>
                <w:highlight w:val="yellow"/>
              </w:rPr>
            </w:pPr>
            <w:r w:rsidRPr="00E30B5B">
              <w:rPr>
                <w:sz w:val="18"/>
                <w:szCs w:val="18"/>
                <w:highlight w:val="yellow"/>
              </w:rPr>
              <w:t>TE</w:t>
            </w:r>
          </w:p>
        </w:tc>
      </w:tr>
      <w:tr w:rsidR="007520C1" w:rsidRPr="004244E0" w14:paraId="61A07CE5" w14:textId="77777777" w:rsidTr="00DB02C4">
        <w:tc>
          <w:tcPr>
            <w:tcW w:w="1298" w:type="dxa"/>
          </w:tcPr>
          <w:p w14:paraId="09A315AB" w14:textId="77777777" w:rsidR="007520C1" w:rsidRPr="00E30B5B" w:rsidRDefault="007520C1" w:rsidP="00E049DB">
            <w:pPr>
              <w:jc w:val="right"/>
              <w:rPr>
                <w:sz w:val="18"/>
                <w:szCs w:val="18"/>
                <w:highlight w:val="yellow"/>
              </w:rPr>
            </w:pPr>
          </w:p>
        </w:tc>
        <w:tc>
          <w:tcPr>
            <w:tcW w:w="2659" w:type="dxa"/>
            <w:gridSpan w:val="2"/>
          </w:tcPr>
          <w:p w14:paraId="5082F2CC" w14:textId="77777777" w:rsidR="007520C1" w:rsidRPr="00E30B5B" w:rsidRDefault="007520C1" w:rsidP="00E049DB">
            <w:pPr>
              <w:jc w:val="right"/>
              <w:rPr>
                <w:sz w:val="18"/>
                <w:szCs w:val="18"/>
                <w:highlight w:val="yellow"/>
              </w:rPr>
            </w:pPr>
          </w:p>
        </w:tc>
        <w:tc>
          <w:tcPr>
            <w:tcW w:w="2782" w:type="dxa"/>
            <w:gridSpan w:val="2"/>
          </w:tcPr>
          <w:p w14:paraId="4AA9665B" w14:textId="77777777" w:rsidR="007520C1" w:rsidRPr="00E30B5B" w:rsidRDefault="007520C1" w:rsidP="00E049DB">
            <w:pPr>
              <w:jc w:val="right"/>
              <w:rPr>
                <w:sz w:val="18"/>
                <w:szCs w:val="18"/>
                <w:highlight w:val="yellow"/>
              </w:rPr>
            </w:pPr>
            <w:r w:rsidRPr="00E30B5B">
              <w:rPr>
                <w:i/>
                <w:color w:val="000000"/>
                <w:sz w:val="18"/>
                <w:szCs w:val="18"/>
                <w:highlight w:val="yellow"/>
              </w:rPr>
              <w:fldChar w:fldCharType="begin">
                <w:ffData>
                  <w:name w:val="F_GEB_BD_target"/>
                  <w:enabled/>
                  <w:calcOnExit w:val="0"/>
                  <w:textInput/>
                </w:ffData>
              </w:fldChar>
            </w:r>
            <w:r w:rsidRPr="00E30B5B">
              <w:rPr>
                <w:i/>
                <w:color w:val="000000"/>
                <w:sz w:val="18"/>
                <w:szCs w:val="18"/>
                <w:highlight w:val="yellow"/>
              </w:rPr>
              <w:instrText xml:space="preserve"> FORMTEXT </w:instrText>
            </w:r>
            <w:r w:rsidRPr="00E30B5B">
              <w:rPr>
                <w:i/>
                <w:color w:val="000000"/>
                <w:sz w:val="18"/>
                <w:szCs w:val="18"/>
                <w:highlight w:val="yellow"/>
              </w:rPr>
            </w:r>
            <w:r w:rsidRPr="00E30B5B">
              <w:rPr>
                <w:i/>
                <w:color w:val="000000"/>
                <w:sz w:val="18"/>
                <w:szCs w:val="18"/>
                <w:highlight w:val="yellow"/>
              </w:rPr>
              <w:fldChar w:fldCharType="separate"/>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fldChar w:fldCharType="end"/>
            </w:r>
          </w:p>
        </w:tc>
        <w:tc>
          <w:tcPr>
            <w:tcW w:w="1485" w:type="dxa"/>
            <w:gridSpan w:val="3"/>
          </w:tcPr>
          <w:p w14:paraId="5FC8A0A0" w14:textId="77777777" w:rsidR="007520C1" w:rsidRPr="00E30B5B" w:rsidRDefault="007520C1" w:rsidP="00E049DB">
            <w:pPr>
              <w:jc w:val="right"/>
              <w:rPr>
                <w:sz w:val="18"/>
                <w:szCs w:val="18"/>
                <w:highlight w:val="yellow"/>
              </w:rPr>
            </w:pPr>
            <w:r w:rsidRPr="00E30B5B">
              <w:rPr>
                <w:i/>
                <w:color w:val="000000"/>
                <w:sz w:val="18"/>
                <w:szCs w:val="18"/>
                <w:highlight w:val="yellow"/>
              </w:rPr>
              <w:fldChar w:fldCharType="begin">
                <w:ffData>
                  <w:name w:val="F_GEB_BD_target"/>
                  <w:enabled/>
                  <w:calcOnExit w:val="0"/>
                  <w:textInput/>
                </w:ffData>
              </w:fldChar>
            </w:r>
            <w:r w:rsidRPr="00E30B5B">
              <w:rPr>
                <w:i/>
                <w:color w:val="000000"/>
                <w:sz w:val="18"/>
                <w:szCs w:val="18"/>
                <w:highlight w:val="yellow"/>
              </w:rPr>
              <w:instrText xml:space="preserve"> FORMTEXT </w:instrText>
            </w:r>
            <w:r w:rsidRPr="00E30B5B">
              <w:rPr>
                <w:i/>
                <w:color w:val="000000"/>
                <w:sz w:val="18"/>
                <w:szCs w:val="18"/>
                <w:highlight w:val="yellow"/>
              </w:rPr>
            </w:r>
            <w:r w:rsidRPr="00E30B5B">
              <w:rPr>
                <w:i/>
                <w:color w:val="000000"/>
                <w:sz w:val="18"/>
                <w:szCs w:val="18"/>
                <w:highlight w:val="yellow"/>
              </w:rPr>
              <w:fldChar w:fldCharType="separate"/>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fldChar w:fldCharType="end"/>
            </w:r>
          </w:p>
        </w:tc>
        <w:tc>
          <w:tcPr>
            <w:tcW w:w="1324" w:type="dxa"/>
            <w:gridSpan w:val="2"/>
          </w:tcPr>
          <w:p w14:paraId="2EC705B9" w14:textId="77777777" w:rsidR="007520C1" w:rsidRPr="00E30B5B" w:rsidRDefault="007520C1" w:rsidP="00E049DB">
            <w:pPr>
              <w:jc w:val="right"/>
              <w:rPr>
                <w:sz w:val="18"/>
                <w:szCs w:val="18"/>
                <w:highlight w:val="yellow"/>
              </w:rPr>
            </w:pPr>
            <w:r w:rsidRPr="00E30B5B">
              <w:rPr>
                <w:i/>
                <w:color w:val="000000"/>
                <w:sz w:val="18"/>
                <w:szCs w:val="18"/>
                <w:highlight w:val="yellow"/>
              </w:rPr>
              <w:fldChar w:fldCharType="begin">
                <w:ffData>
                  <w:name w:val="F_GEB_BD_target"/>
                  <w:enabled/>
                  <w:calcOnExit w:val="0"/>
                  <w:textInput/>
                </w:ffData>
              </w:fldChar>
            </w:r>
            <w:r w:rsidRPr="00E30B5B">
              <w:rPr>
                <w:i/>
                <w:color w:val="000000"/>
                <w:sz w:val="18"/>
                <w:szCs w:val="18"/>
                <w:highlight w:val="yellow"/>
              </w:rPr>
              <w:instrText xml:space="preserve"> FORMTEXT </w:instrText>
            </w:r>
            <w:r w:rsidRPr="00E30B5B">
              <w:rPr>
                <w:i/>
                <w:color w:val="000000"/>
                <w:sz w:val="18"/>
                <w:szCs w:val="18"/>
                <w:highlight w:val="yellow"/>
              </w:rPr>
            </w:r>
            <w:r w:rsidRPr="00E30B5B">
              <w:rPr>
                <w:i/>
                <w:color w:val="000000"/>
                <w:sz w:val="18"/>
                <w:szCs w:val="18"/>
                <w:highlight w:val="yellow"/>
              </w:rPr>
              <w:fldChar w:fldCharType="separate"/>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fldChar w:fldCharType="end"/>
            </w:r>
          </w:p>
        </w:tc>
        <w:tc>
          <w:tcPr>
            <w:tcW w:w="1287" w:type="dxa"/>
          </w:tcPr>
          <w:p w14:paraId="24335DC1" w14:textId="77777777" w:rsidR="007520C1" w:rsidRPr="00E30B5B" w:rsidRDefault="007520C1" w:rsidP="00E049DB">
            <w:pPr>
              <w:jc w:val="right"/>
              <w:rPr>
                <w:sz w:val="18"/>
                <w:szCs w:val="18"/>
                <w:highlight w:val="yellow"/>
              </w:rPr>
            </w:pPr>
            <w:r w:rsidRPr="00E30B5B">
              <w:rPr>
                <w:i/>
                <w:color w:val="000000"/>
                <w:sz w:val="18"/>
                <w:szCs w:val="18"/>
                <w:highlight w:val="yellow"/>
              </w:rPr>
              <w:fldChar w:fldCharType="begin">
                <w:ffData>
                  <w:name w:val="F_GEB_BD_target"/>
                  <w:enabled/>
                  <w:calcOnExit w:val="0"/>
                  <w:textInput/>
                </w:ffData>
              </w:fldChar>
            </w:r>
            <w:r w:rsidRPr="00E30B5B">
              <w:rPr>
                <w:i/>
                <w:color w:val="000000"/>
                <w:sz w:val="18"/>
                <w:szCs w:val="18"/>
                <w:highlight w:val="yellow"/>
              </w:rPr>
              <w:instrText xml:space="preserve"> FORMTEXT </w:instrText>
            </w:r>
            <w:r w:rsidRPr="00E30B5B">
              <w:rPr>
                <w:i/>
                <w:color w:val="000000"/>
                <w:sz w:val="18"/>
                <w:szCs w:val="18"/>
                <w:highlight w:val="yellow"/>
              </w:rPr>
            </w:r>
            <w:r w:rsidRPr="00E30B5B">
              <w:rPr>
                <w:i/>
                <w:color w:val="000000"/>
                <w:sz w:val="18"/>
                <w:szCs w:val="18"/>
                <w:highlight w:val="yellow"/>
              </w:rPr>
              <w:fldChar w:fldCharType="separate"/>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fldChar w:fldCharType="end"/>
            </w:r>
          </w:p>
        </w:tc>
      </w:tr>
      <w:tr w:rsidR="007520C1" w:rsidRPr="004244E0" w14:paraId="5643257F" w14:textId="77777777" w:rsidTr="00DB02C4">
        <w:tc>
          <w:tcPr>
            <w:tcW w:w="1298" w:type="dxa"/>
            <w:shd w:val="clear" w:color="auto" w:fill="BFBFBF" w:themeFill="background1" w:themeFillShade="BF"/>
          </w:tcPr>
          <w:p w14:paraId="64E4377A" w14:textId="77777777" w:rsidR="007520C1" w:rsidRPr="00E30B5B" w:rsidRDefault="007520C1" w:rsidP="00E049DB">
            <w:pPr>
              <w:rPr>
                <w:sz w:val="18"/>
                <w:szCs w:val="18"/>
                <w:highlight w:val="yellow"/>
              </w:rPr>
            </w:pPr>
            <w:r w:rsidRPr="00E30B5B">
              <w:rPr>
                <w:color w:val="000000"/>
                <w:sz w:val="18"/>
                <w:szCs w:val="18"/>
                <w:highlight w:val="yellow"/>
              </w:rPr>
              <w:t>Indicator 9.3</w:t>
            </w:r>
          </w:p>
        </w:tc>
        <w:tc>
          <w:tcPr>
            <w:tcW w:w="9537" w:type="dxa"/>
            <w:gridSpan w:val="10"/>
            <w:shd w:val="clear" w:color="auto" w:fill="BFBFBF" w:themeFill="background1" w:themeFillShade="BF"/>
          </w:tcPr>
          <w:p w14:paraId="22313ECE" w14:textId="77777777" w:rsidR="007520C1" w:rsidRPr="00E30B5B" w:rsidRDefault="007520C1" w:rsidP="00E049DB">
            <w:pPr>
              <w:rPr>
                <w:color w:val="000000"/>
                <w:sz w:val="18"/>
                <w:szCs w:val="18"/>
                <w:highlight w:val="yellow"/>
              </w:rPr>
            </w:pPr>
            <w:r w:rsidRPr="00E30B5B">
              <w:rPr>
                <w:color w:val="000000"/>
                <w:sz w:val="18"/>
                <w:szCs w:val="18"/>
                <w:highlight w:val="yellow"/>
              </w:rPr>
              <w:t xml:space="preserve">Hydrochloroflurocarbons (HCFC) Reduced/Phased out </w:t>
            </w:r>
          </w:p>
        </w:tc>
      </w:tr>
      <w:tr w:rsidR="007520C1" w:rsidRPr="004244E0" w14:paraId="4C7768F4" w14:textId="77777777" w:rsidTr="00DB02C4">
        <w:tc>
          <w:tcPr>
            <w:tcW w:w="1298" w:type="dxa"/>
          </w:tcPr>
          <w:p w14:paraId="69026FF9" w14:textId="77777777" w:rsidR="007520C1" w:rsidRPr="00E30B5B" w:rsidRDefault="007520C1" w:rsidP="00E049DB">
            <w:pPr>
              <w:jc w:val="right"/>
              <w:rPr>
                <w:sz w:val="18"/>
                <w:szCs w:val="18"/>
                <w:highlight w:val="yellow"/>
              </w:rPr>
            </w:pPr>
          </w:p>
        </w:tc>
        <w:tc>
          <w:tcPr>
            <w:tcW w:w="2659" w:type="dxa"/>
            <w:gridSpan w:val="2"/>
          </w:tcPr>
          <w:p w14:paraId="1D8E8072" w14:textId="77777777" w:rsidR="007520C1" w:rsidRPr="00E30B5B" w:rsidRDefault="007520C1" w:rsidP="00E049DB">
            <w:pPr>
              <w:jc w:val="right"/>
              <w:rPr>
                <w:sz w:val="18"/>
                <w:szCs w:val="18"/>
                <w:highlight w:val="yellow"/>
              </w:rPr>
            </w:pPr>
          </w:p>
        </w:tc>
        <w:tc>
          <w:tcPr>
            <w:tcW w:w="6878" w:type="dxa"/>
            <w:gridSpan w:val="8"/>
          </w:tcPr>
          <w:p w14:paraId="7EE258D9" w14:textId="77777777" w:rsidR="007520C1" w:rsidRPr="00E30B5B" w:rsidRDefault="007520C1" w:rsidP="00E049DB">
            <w:pPr>
              <w:jc w:val="center"/>
              <w:rPr>
                <w:i/>
                <w:color w:val="000000"/>
                <w:sz w:val="18"/>
                <w:szCs w:val="18"/>
                <w:highlight w:val="yellow"/>
              </w:rPr>
            </w:pPr>
            <w:r w:rsidRPr="00E30B5B">
              <w:rPr>
                <w:sz w:val="18"/>
                <w:szCs w:val="18"/>
                <w:highlight w:val="yellow"/>
              </w:rPr>
              <w:t>Metric Tons</w:t>
            </w:r>
          </w:p>
        </w:tc>
      </w:tr>
      <w:tr w:rsidR="007520C1" w:rsidRPr="004244E0" w14:paraId="687E1EC7" w14:textId="77777777" w:rsidTr="00DB02C4">
        <w:tc>
          <w:tcPr>
            <w:tcW w:w="1298" w:type="dxa"/>
          </w:tcPr>
          <w:p w14:paraId="1C0236AE" w14:textId="77777777" w:rsidR="007520C1" w:rsidRPr="00E30B5B" w:rsidRDefault="007520C1" w:rsidP="00E049DB">
            <w:pPr>
              <w:jc w:val="right"/>
              <w:rPr>
                <w:sz w:val="18"/>
                <w:szCs w:val="18"/>
                <w:highlight w:val="yellow"/>
              </w:rPr>
            </w:pPr>
          </w:p>
        </w:tc>
        <w:tc>
          <w:tcPr>
            <w:tcW w:w="2659" w:type="dxa"/>
            <w:gridSpan w:val="2"/>
          </w:tcPr>
          <w:p w14:paraId="1BF8631E" w14:textId="77777777" w:rsidR="007520C1" w:rsidRPr="00E30B5B" w:rsidRDefault="007520C1" w:rsidP="00E049DB">
            <w:pPr>
              <w:jc w:val="right"/>
              <w:rPr>
                <w:sz w:val="18"/>
                <w:szCs w:val="18"/>
                <w:highlight w:val="yellow"/>
              </w:rPr>
            </w:pPr>
          </w:p>
        </w:tc>
        <w:tc>
          <w:tcPr>
            <w:tcW w:w="4106" w:type="dxa"/>
            <w:gridSpan w:val="3"/>
          </w:tcPr>
          <w:p w14:paraId="22FF2854" w14:textId="77777777" w:rsidR="007520C1" w:rsidRPr="00E30B5B" w:rsidRDefault="007520C1" w:rsidP="00E049DB">
            <w:pPr>
              <w:jc w:val="center"/>
              <w:rPr>
                <w:color w:val="000000"/>
                <w:sz w:val="18"/>
                <w:szCs w:val="18"/>
                <w:highlight w:val="yellow"/>
              </w:rPr>
            </w:pPr>
            <w:r w:rsidRPr="00E30B5B">
              <w:rPr>
                <w:color w:val="000000"/>
                <w:sz w:val="18"/>
                <w:szCs w:val="18"/>
                <w:highlight w:val="yellow"/>
              </w:rPr>
              <w:t>Expected</w:t>
            </w:r>
          </w:p>
        </w:tc>
        <w:tc>
          <w:tcPr>
            <w:tcW w:w="2772" w:type="dxa"/>
            <w:gridSpan w:val="5"/>
          </w:tcPr>
          <w:p w14:paraId="31BADB5C" w14:textId="77777777" w:rsidR="007520C1" w:rsidRPr="00E30B5B" w:rsidRDefault="007520C1" w:rsidP="00E049DB">
            <w:pPr>
              <w:jc w:val="center"/>
              <w:rPr>
                <w:color w:val="000000"/>
                <w:sz w:val="18"/>
                <w:szCs w:val="18"/>
                <w:highlight w:val="yellow"/>
              </w:rPr>
            </w:pPr>
            <w:r w:rsidRPr="00E30B5B">
              <w:rPr>
                <w:color w:val="000000"/>
                <w:sz w:val="18"/>
                <w:szCs w:val="18"/>
                <w:highlight w:val="yellow"/>
              </w:rPr>
              <w:t>Achieved</w:t>
            </w:r>
          </w:p>
        </w:tc>
      </w:tr>
      <w:tr w:rsidR="007520C1" w:rsidRPr="004244E0" w14:paraId="7E6159F7" w14:textId="77777777" w:rsidTr="00DB02C4">
        <w:tc>
          <w:tcPr>
            <w:tcW w:w="1298" w:type="dxa"/>
          </w:tcPr>
          <w:p w14:paraId="496FA7A3" w14:textId="77777777" w:rsidR="007520C1" w:rsidRPr="00E30B5B" w:rsidRDefault="007520C1" w:rsidP="00E049DB">
            <w:pPr>
              <w:jc w:val="right"/>
              <w:rPr>
                <w:sz w:val="18"/>
                <w:szCs w:val="18"/>
                <w:highlight w:val="yellow"/>
              </w:rPr>
            </w:pPr>
          </w:p>
        </w:tc>
        <w:tc>
          <w:tcPr>
            <w:tcW w:w="2659" w:type="dxa"/>
            <w:gridSpan w:val="2"/>
          </w:tcPr>
          <w:p w14:paraId="5B7EEEE8" w14:textId="77777777" w:rsidR="007520C1" w:rsidRPr="00E30B5B" w:rsidRDefault="007520C1" w:rsidP="00E049DB">
            <w:pPr>
              <w:jc w:val="right"/>
              <w:rPr>
                <w:sz w:val="18"/>
                <w:szCs w:val="18"/>
                <w:highlight w:val="yellow"/>
              </w:rPr>
            </w:pPr>
          </w:p>
        </w:tc>
        <w:tc>
          <w:tcPr>
            <w:tcW w:w="2782" w:type="dxa"/>
            <w:gridSpan w:val="2"/>
          </w:tcPr>
          <w:p w14:paraId="2FA01A31" w14:textId="77777777" w:rsidR="007520C1" w:rsidRPr="00E30B5B" w:rsidRDefault="007520C1" w:rsidP="00E049DB">
            <w:pPr>
              <w:jc w:val="right"/>
              <w:rPr>
                <w:i/>
                <w:color w:val="000000"/>
                <w:sz w:val="18"/>
                <w:szCs w:val="18"/>
                <w:highlight w:val="yellow"/>
              </w:rPr>
            </w:pPr>
            <w:r w:rsidRPr="00E30B5B">
              <w:rPr>
                <w:sz w:val="18"/>
                <w:szCs w:val="18"/>
                <w:highlight w:val="yellow"/>
              </w:rPr>
              <w:t>PIF stage</w:t>
            </w:r>
          </w:p>
        </w:tc>
        <w:tc>
          <w:tcPr>
            <w:tcW w:w="1485" w:type="dxa"/>
            <w:gridSpan w:val="3"/>
          </w:tcPr>
          <w:p w14:paraId="2C199076" w14:textId="77777777" w:rsidR="007520C1" w:rsidRPr="00E30B5B" w:rsidRDefault="007520C1" w:rsidP="00E049DB">
            <w:pPr>
              <w:jc w:val="right"/>
              <w:rPr>
                <w:i/>
                <w:color w:val="000000"/>
                <w:sz w:val="18"/>
                <w:szCs w:val="18"/>
                <w:highlight w:val="yellow"/>
              </w:rPr>
            </w:pPr>
            <w:r w:rsidRPr="00E30B5B">
              <w:rPr>
                <w:sz w:val="18"/>
                <w:szCs w:val="18"/>
                <w:highlight w:val="yellow"/>
              </w:rPr>
              <w:t>Endorsement</w:t>
            </w:r>
          </w:p>
        </w:tc>
        <w:tc>
          <w:tcPr>
            <w:tcW w:w="1324" w:type="dxa"/>
            <w:gridSpan w:val="2"/>
          </w:tcPr>
          <w:p w14:paraId="6BC7BD5B" w14:textId="77777777" w:rsidR="007520C1" w:rsidRPr="00E30B5B" w:rsidRDefault="007520C1" w:rsidP="00E049DB">
            <w:pPr>
              <w:jc w:val="right"/>
              <w:rPr>
                <w:i/>
                <w:color w:val="000000"/>
                <w:sz w:val="18"/>
                <w:szCs w:val="18"/>
                <w:highlight w:val="yellow"/>
              </w:rPr>
            </w:pPr>
            <w:r w:rsidRPr="00E30B5B">
              <w:rPr>
                <w:sz w:val="18"/>
                <w:szCs w:val="18"/>
                <w:highlight w:val="yellow"/>
              </w:rPr>
              <w:t>MTR</w:t>
            </w:r>
          </w:p>
        </w:tc>
        <w:tc>
          <w:tcPr>
            <w:tcW w:w="1287" w:type="dxa"/>
          </w:tcPr>
          <w:p w14:paraId="68B838A1" w14:textId="77777777" w:rsidR="007520C1" w:rsidRPr="00E30B5B" w:rsidRDefault="007520C1" w:rsidP="00E049DB">
            <w:pPr>
              <w:jc w:val="right"/>
              <w:rPr>
                <w:i/>
                <w:color w:val="000000"/>
                <w:sz w:val="18"/>
                <w:szCs w:val="18"/>
                <w:highlight w:val="yellow"/>
              </w:rPr>
            </w:pPr>
            <w:r w:rsidRPr="00E30B5B">
              <w:rPr>
                <w:sz w:val="18"/>
                <w:szCs w:val="18"/>
                <w:highlight w:val="yellow"/>
              </w:rPr>
              <w:t>TE</w:t>
            </w:r>
          </w:p>
        </w:tc>
      </w:tr>
      <w:tr w:rsidR="007520C1" w:rsidRPr="004244E0" w14:paraId="29C34B7A" w14:textId="77777777" w:rsidTr="00DB02C4">
        <w:tc>
          <w:tcPr>
            <w:tcW w:w="1298" w:type="dxa"/>
          </w:tcPr>
          <w:p w14:paraId="77C564FE" w14:textId="77777777" w:rsidR="007520C1" w:rsidRPr="00E30B5B" w:rsidRDefault="007520C1" w:rsidP="00E049DB">
            <w:pPr>
              <w:jc w:val="right"/>
              <w:rPr>
                <w:sz w:val="18"/>
                <w:szCs w:val="18"/>
                <w:highlight w:val="yellow"/>
              </w:rPr>
            </w:pPr>
          </w:p>
        </w:tc>
        <w:tc>
          <w:tcPr>
            <w:tcW w:w="2659" w:type="dxa"/>
            <w:gridSpan w:val="2"/>
          </w:tcPr>
          <w:p w14:paraId="6AC065AC" w14:textId="77777777" w:rsidR="007520C1" w:rsidRPr="00E30B5B" w:rsidRDefault="007520C1" w:rsidP="00E049DB">
            <w:pPr>
              <w:jc w:val="right"/>
              <w:rPr>
                <w:sz w:val="18"/>
                <w:szCs w:val="18"/>
                <w:highlight w:val="yellow"/>
              </w:rPr>
            </w:pPr>
          </w:p>
        </w:tc>
        <w:tc>
          <w:tcPr>
            <w:tcW w:w="2782" w:type="dxa"/>
            <w:gridSpan w:val="2"/>
          </w:tcPr>
          <w:p w14:paraId="72096BFF" w14:textId="77777777" w:rsidR="007520C1" w:rsidRPr="00E30B5B" w:rsidRDefault="007520C1" w:rsidP="00E049DB">
            <w:pPr>
              <w:jc w:val="right"/>
              <w:rPr>
                <w:i/>
                <w:color w:val="000000"/>
                <w:sz w:val="18"/>
                <w:szCs w:val="18"/>
                <w:highlight w:val="yellow"/>
              </w:rPr>
            </w:pPr>
            <w:r w:rsidRPr="00E30B5B">
              <w:rPr>
                <w:i/>
                <w:color w:val="000000"/>
                <w:sz w:val="18"/>
                <w:szCs w:val="18"/>
                <w:highlight w:val="yellow"/>
              </w:rPr>
              <w:fldChar w:fldCharType="begin">
                <w:ffData>
                  <w:name w:val="F_GEB_BD_target"/>
                  <w:enabled/>
                  <w:calcOnExit w:val="0"/>
                  <w:textInput/>
                </w:ffData>
              </w:fldChar>
            </w:r>
            <w:r w:rsidRPr="00E30B5B">
              <w:rPr>
                <w:i/>
                <w:color w:val="000000"/>
                <w:sz w:val="18"/>
                <w:szCs w:val="18"/>
                <w:highlight w:val="yellow"/>
              </w:rPr>
              <w:instrText xml:space="preserve"> FORMTEXT </w:instrText>
            </w:r>
            <w:r w:rsidRPr="00E30B5B">
              <w:rPr>
                <w:i/>
                <w:color w:val="000000"/>
                <w:sz w:val="18"/>
                <w:szCs w:val="18"/>
                <w:highlight w:val="yellow"/>
              </w:rPr>
            </w:r>
            <w:r w:rsidRPr="00E30B5B">
              <w:rPr>
                <w:i/>
                <w:color w:val="000000"/>
                <w:sz w:val="18"/>
                <w:szCs w:val="18"/>
                <w:highlight w:val="yellow"/>
              </w:rPr>
              <w:fldChar w:fldCharType="separate"/>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fldChar w:fldCharType="end"/>
            </w:r>
          </w:p>
        </w:tc>
        <w:tc>
          <w:tcPr>
            <w:tcW w:w="1485" w:type="dxa"/>
            <w:gridSpan w:val="3"/>
          </w:tcPr>
          <w:p w14:paraId="6E8100C8" w14:textId="77777777" w:rsidR="007520C1" w:rsidRPr="00E30B5B" w:rsidRDefault="007520C1" w:rsidP="00E049DB">
            <w:pPr>
              <w:jc w:val="right"/>
              <w:rPr>
                <w:i/>
                <w:color w:val="000000"/>
                <w:sz w:val="18"/>
                <w:szCs w:val="18"/>
                <w:highlight w:val="yellow"/>
              </w:rPr>
            </w:pPr>
            <w:r w:rsidRPr="00E30B5B">
              <w:rPr>
                <w:i/>
                <w:color w:val="000000"/>
                <w:sz w:val="18"/>
                <w:szCs w:val="18"/>
                <w:highlight w:val="yellow"/>
              </w:rPr>
              <w:fldChar w:fldCharType="begin">
                <w:ffData>
                  <w:name w:val="F_GEB_BD_target"/>
                  <w:enabled/>
                  <w:calcOnExit w:val="0"/>
                  <w:textInput/>
                </w:ffData>
              </w:fldChar>
            </w:r>
            <w:r w:rsidRPr="00E30B5B">
              <w:rPr>
                <w:i/>
                <w:color w:val="000000"/>
                <w:sz w:val="18"/>
                <w:szCs w:val="18"/>
                <w:highlight w:val="yellow"/>
              </w:rPr>
              <w:instrText xml:space="preserve"> FORMTEXT </w:instrText>
            </w:r>
            <w:r w:rsidRPr="00E30B5B">
              <w:rPr>
                <w:i/>
                <w:color w:val="000000"/>
                <w:sz w:val="18"/>
                <w:szCs w:val="18"/>
                <w:highlight w:val="yellow"/>
              </w:rPr>
            </w:r>
            <w:r w:rsidRPr="00E30B5B">
              <w:rPr>
                <w:i/>
                <w:color w:val="000000"/>
                <w:sz w:val="18"/>
                <w:szCs w:val="18"/>
                <w:highlight w:val="yellow"/>
              </w:rPr>
              <w:fldChar w:fldCharType="separate"/>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fldChar w:fldCharType="end"/>
            </w:r>
          </w:p>
        </w:tc>
        <w:tc>
          <w:tcPr>
            <w:tcW w:w="1324" w:type="dxa"/>
            <w:gridSpan w:val="2"/>
          </w:tcPr>
          <w:p w14:paraId="6607EF44" w14:textId="77777777" w:rsidR="007520C1" w:rsidRPr="00E30B5B" w:rsidRDefault="007520C1" w:rsidP="00E049DB">
            <w:pPr>
              <w:jc w:val="right"/>
              <w:rPr>
                <w:i/>
                <w:color w:val="000000"/>
                <w:sz w:val="18"/>
                <w:szCs w:val="18"/>
                <w:highlight w:val="yellow"/>
              </w:rPr>
            </w:pPr>
            <w:r w:rsidRPr="00E30B5B">
              <w:rPr>
                <w:i/>
                <w:color w:val="000000"/>
                <w:sz w:val="18"/>
                <w:szCs w:val="18"/>
                <w:highlight w:val="yellow"/>
              </w:rPr>
              <w:fldChar w:fldCharType="begin">
                <w:ffData>
                  <w:name w:val="F_GEB_BD_target"/>
                  <w:enabled/>
                  <w:calcOnExit w:val="0"/>
                  <w:textInput/>
                </w:ffData>
              </w:fldChar>
            </w:r>
            <w:r w:rsidRPr="00E30B5B">
              <w:rPr>
                <w:i/>
                <w:color w:val="000000"/>
                <w:sz w:val="18"/>
                <w:szCs w:val="18"/>
                <w:highlight w:val="yellow"/>
              </w:rPr>
              <w:instrText xml:space="preserve"> FORMTEXT </w:instrText>
            </w:r>
            <w:r w:rsidRPr="00E30B5B">
              <w:rPr>
                <w:i/>
                <w:color w:val="000000"/>
                <w:sz w:val="18"/>
                <w:szCs w:val="18"/>
                <w:highlight w:val="yellow"/>
              </w:rPr>
            </w:r>
            <w:r w:rsidRPr="00E30B5B">
              <w:rPr>
                <w:i/>
                <w:color w:val="000000"/>
                <w:sz w:val="18"/>
                <w:szCs w:val="18"/>
                <w:highlight w:val="yellow"/>
              </w:rPr>
              <w:fldChar w:fldCharType="separate"/>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fldChar w:fldCharType="end"/>
            </w:r>
          </w:p>
        </w:tc>
        <w:tc>
          <w:tcPr>
            <w:tcW w:w="1287" w:type="dxa"/>
          </w:tcPr>
          <w:p w14:paraId="5972F239" w14:textId="77777777" w:rsidR="007520C1" w:rsidRPr="00E30B5B" w:rsidRDefault="007520C1" w:rsidP="00E049DB">
            <w:pPr>
              <w:jc w:val="right"/>
              <w:rPr>
                <w:i/>
                <w:color w:val="000000"/>
                <w:sz w:val="18"/>
                <w:szCs w:val="18"/>
                <w:highlight w:val="yellow"/>
              </w:rPr>
            </w:pPr>
            <w:r w:rsidRPr="00E30B5B">
              <w:rPr>
                <w:i/>
                <w:color w:val="000000"/>
                <w:sz w:val="18"/>
                <w:szCs w:val="18"/>
                <w:highlight w:val="yellow"/>
              </w:rPr>
              <w:fldChar w:fldCharType="begin">
                <w:ffData>
                  <w:name w:val="F_GEB_BD_target"/>
                  <w:enabled/>
                  <w:calcOnExit w:val="0"/>
                  <w:textInput/>
                </w:ffData>
              </w:fldChar>
            </w:r>
            <w:r w:rsidRPr="00E30B5B">
              <w:rPr>
                <w:i/>
                <w:color w:val="000000"/>
                <w:sz w:val="18"/>
                <w:szCs w:val="18"/>
                <w:highlight w:val="yellow"/>
              </w:rPr>
              <w:instrText xml:space="preserve"> FORMTEXT </w:instrText>
            </w:r>
            <w:r w:rsidRPr="00E30B5B">
              <w:rPr>
                <w:i/>
                <w:color w:val="000000"/>
                <w:sz w:val="18"/>
                <w:szCs w:val="18"/>
                <w:highlight w:val="yellow"/>
              </w:rPr>
            </w:r>
            <w:r w:rsidRPr="00E30B5B">
              <w:rPr>
                <w:i/>
                <w:color w:val="000000"/>
                <w:sz w:val="18"/>
                <w:szCs w:val="18"/>
                <w:highlight w:val="yellow"/>
              </w:rPr>
              <w:fldChar w:fldCharType="separate"/>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fldChar w:fldCharType="end"/>
            </w:r>
          </w:p>
        </w:tc>
      </w:tr>
      <w:tr w:rsidR="007520C1" w:rsidRPr="004244E0" w14:paraId="751F44F0" w14:textId="77777777" w:rsidTr="00DB02C4">
        <w:tc>
          <w:tcPr>
            <w:tcW w:w="1298" w:type="dxa"/>
            <w:shd w:val="clear" w:color="auto" w:fill="BFBFBF" w:themeFill="background1" w:themeFillShade="BF"/>
          </w:tcPr>
          <w:p w14:paraId="443347D5" w14:textId="77777777" w:rsidR="007520C1" w:rsidRPr="00E30B5B" w:rsidRDefault="007520C1" w:rsidP="00E049DB">
            <w:pPr>
              <w:rPr>
                <w:sz w:val="18"/>
                <w:szCs w:val="18"/>
                <w:highlight w:val="yellow"/>
              </w:rPr>
            </w:pPr>
            <w:r w:rsidRPr="00E30B5B">
              <w:rPr>
                <w:sz w:val="18"/>
                <w:szCs w:val="18"/>
                <w:highlight w:val="yellow"/>
              </w:rPr>
              <w:t>Indicator 9.4</w:t>
            </w:r>
          </w:p>
        </w:tc>
        <w:tc>
          <w:tcPr>
            <w:tcW w:w="6765" w:type="dxa"/>
            <w:gridSpan w:val="5"/>
            <w:shd w:val="clear" w:color="auto" w:fill="BFBFBF" w:themeFill="background1" w:themeFillShade="BF"/>
          </w:tcPr>
          <w:p w14:paraId="7E579F46" w14:textId="77777777" w:rsidR="007520C1" w:rsidRPr="00E30B5B" w:rsidRDefault="007520C1" w:rsidP="00E049DB">
            <w:pPr>
              <w:rPr>
                <w:sz w:val="18"/>
                <w:szCs w:val="18"/>
                <w:highlight w:val="yellow"/>
              </w:rPr>
            </w:pPr>
            <w:r w:rsidRPr="00E30B5B">
              <w:rPr>
                <w:sz w:val="18"/>
                <w:szCs w:val="18"/>
                <w:highlight w:val="yellow"/>
              </w:rPr>
              <w:t>Number of countries with legislation and policy implemented to control chemicals and waste</w:t>
            </w:r>
          </w:p>
        </w:tc>
        <w:tc>
          <w:tcPr>
            <w:tcW w:w="2772" w:type="dxa"/>
            <w:gridSpan w:val="5"/>
            <w:shd w:val="clear" w:color="auto" w:fill="BFBFBF" w:themeFill="background1" w:themeFillShade="BF"/>
          </w:tcPr>
          <w:p w14:paraId="02864C06" w14:textId="77777777" w:rsidR="007520C1" w:rsidRPr="00E30B5B" w:rsidRDefault="007520C1" w:rsidP="00E049DB">
            <w:pPr>
              <w:jc w:val="right"/>
              <w:rPr>
                <w:sz w:val="18"/>
                <w:szCs w:val="18"/>
                <w:highlight w:val="yellow"/>
              </w:rPr>
            </w:pPr>
            <w:r w:rsidRPr="00E30B5B">
              <w:rPr>
                <w:i/>
                <w:color w:val="000000"/>
                <w:sz w:val="18"/>
                <w:szCs w:val="18"/>
                <w:highlight w:val="yellow"/>
              </w:rPr>
              <w:fldChar w:fldCharType="begin">
                <w:ffData>
                  <w:name w:val="F_GEB_BD_target"/>
                  <w:enabled/>
                  <w:calcOnExit w:val="0"/>
                  <w:textInput/>
                </w:ffData>
              </w:fldChar>
            </w:r>
            <w:r w:rsidRPr="00E30B5B">
              <w:rPr>
                <w:i/>
                <w:color w:val="000000"/>
                <w:sz w:val="18"/>
                <w:szCs w:val="18"/>
                <w:highlight w:val="yellow"/>
              </w:rPr>
              <w:instrText xml:space="preserve"> FORMTEXT </w:instrText>
            </w:r>
            <w:r w:rsidRPr="00E30B5B">
              <w:rPr>
                <w:i/>
                <w:color w:val="000000"/>
                <w:sz w:val="18"/>
                <w:szCs w:val="18"/>
                <w:highlight w:val="yellow"/>
              </w:rPr>
            </w:r>
            <w:r w:rsidRPr="00E30B5B">
              <w:rPr>
                <w:i/>
                <w:color w:val="000000"/>
                <w:sz w:val="18"/>
                <w:szCs w:val="18"/>
                <w:highlight w:val="yellow"/>
              </w:rPr>
              <w:fldChar w:fldCharType="separate"/>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fldChar w:fldCharType="end"/>
            </w:r>
          </w:p>
        </w:tc>
      </w:tr>
      <w:tr w:rsidR="007520C1" w:rsidRPr="004244E0" w14:paraId="0025D0E8" w14:textId="77777777" w:rsidTr="00DB02C4">
        <w:trPr>
          <w:trHeight w:val="125"/>
        </w:trPr>
        <w:tc>
          <w:tcPr>
            <w:tcW w:w="1298" w:type="dxa"/>
            <w:vMerge w:val="restart"/>
          </w:tcPr>
          <w:p w14:paraId="4BA4A553" w14:textId="77777777" w:rsidR="007520C1" w:rsidRPr="00E30B5B" w:rsidRDefault="007520C1" w:rsidP="00E049DB">
            <w:pPr>
              <w:rPr>
                <w:sz w:val="18"/>
                <w:szCs w:val="18"/>
                <w:highlight w:val="yellow"/>
              </w:rPr>
            </w:pPr>
          </w:p>
        </w:tc>
        <w:tc>
          <w:tcPr>
            <w:tcW w:w="933" w:type="dxa"/>
            <w:vMerge w:val="restart"/>
          </w:tcPr>
          <w:p w14:paraId="06672E8F" w14:textId="77777777" w:rsidR="007520C1" w:rsidRPr="00E30B5B" w:rsidRDefault="007520C1" w:rsidP="00E049DB">
            <w:pPr>
              <w:rPr>
                <w:sz w:val="18"/>
                <w:szCs w:val="18"/>
                <w:highlight w:val="yellow"/>
              </w:rPr>
            </w:pPr>
          </w:p>
        </w:tc>
        <w:tc>
          <w:tcPr>
            <w:tcW w:w="1726" w:type="dxa"/>
            <w:vMerge w:val="restart"/>
          </w:tcPr>
          <w:p w14:paraId="3F71C96A" w14:textId="77777777" w:rsidR="007520C1" w:rsidRPr="00E30B5B" w:rsidRDefault="007520C1" w:rsidP="00E049DB">
            <w:pPr>
              <w:rPr>
                <w:sz w:val="18"/>
                <w:szCs w:val="18"/>
                <w:highlight w:val="yellow"/>
              </w:rPr>
            </w:pPr>
          </w:p>
        </w:tc>
        <w:tc>
          <w:tcPr>
            <w:tcW w:w="6878" w:type="dxa"/>
            <w:gridSpan w:val="8"/>
          </w:tcPr>
          <w:p w14:paraId="0B48BA75" w14:textId="77777777" w:rsidR="007520C1" w:rsidRPr="00E30B5B" w:rsidRDefault="007520C1" w:rsidP="00E049DB">
            <w:pPr>
              <w:jc w:val="center"/>
              <w:rPr>
                <w:sz w:val="18"/>
                <w:szCs w:val="18"/>
                <w:highlight w:val="yellow"/>
              </w:rPr>
            </w:pPr>
            <w:r w:rsidRPr="00E30B5B">
              <w:rPr>
                <w:sz w:val="18"/>
                <w:szCs w:val="18"/>
                <w:highlight w:val="yellow"/>
              </w:rPr>
              <w:t>Number of Countries</w:t>
            </w:r>
          </w:p>
        </w:tc>
      </w:tr>
      <w:tr w:rsidR="007520C1" w:rsidRPr="004244E0" w14:paraId="27AC82B7" w14:textId="77777777" w:rsidTr="00DB02C4">
        <w:trPr>
          <w:trHeight w:val="58"/>
        </w:trPr>
        <w:tc>
          <w:tcPr>
            <w:tcW w:w="1298" w:type="dxa"/>
            <w:vMerge/>
          </w:tcPr>
          <w:p w14:paraId="45CC02D0" w14:textId="77777777" w:rsidR="007520C1" w:rsidRPr="00E30B5B" w:rsidRDefault="007520C1" w:rsidP="00E049DB">
            <w:pPr>
              <w:rPr>
                <w:sz w:val="18"/>
                <w:szCs w:val="18"/>
                <w:highlight w:val="yellow"/>
              </w:rPr>
            </w:pPr>
          </w:p>
        </w:tc>
        <w:tc>
          <w:tcPr>
            <w:tcW w:w="933" w:type="dxa"/>
            <w:vMerge/>
          </w:tcPr>
          <w:p w14:paraId="3E94B7B0" w14:textId="77777777" w:rsidR="007520C1" w:rsidRPr="00E30B5B" w:rsidRDefault="007520C1" w:rsidP="00E049DB">
            <w:pPr>
              <w:rPr>
                <w:sz w:val="18"/>
                <w:szCs w:val="18"/>
                <w:highlight w:val="yellow"/>
              </w:rPr>
            </w:pPr>
          </w:p>
        </w:tc>
        <w:tc>
          <w:tcPr>
            <w:tcW w:w="1726" w:type="dxa"/>
            <w:vMerge/>
          </w:tcPr>
          <w:p w14:paraId="6A579FCB" w14:textId="77777777" w:rsidR="007520C1" w:rsidRPr="00E30B5B" w:rsidRDefault="007520C1" w:rsidP="00E049DB">
            <w:pPr>
              <w:rPr>
                <w:sz w:val="18"/>
                <w:szCs w:val="18"/>
                <w:highlight w:val="yellow"/>
              </w:rPr>
            </w:pPr>
          </w:p>
        </w:tc>
        <w:tc>
          <w:tcPr>
            <w:tcW w:w="4106" w:type="dxa"/>
            <w:gridSpan w:val="3"/>
          </w:tcPr>
          <w:p w14:paraId="3E9A2C2D" w14:textId="77777777" w:rsidR="007520C1" w:rsidRPr="00E30B5B" w:rsidRDefault="007520C1" w:rsidP="00E049DB">
            <w:pPr>
              <w:jc w:val="center"/>
              <w:rPr>
                <w:sz w:val="18"/>
                <w:szCs w:val="18"/>
                <w:highlight w:val="yellow"/>
              </w:rPr>
            </w:pPr>
            <w:r w:rsidRPr="00E30B5B">
              <w:rPr>
                <w:sz w:val="18"/>
                <w:szCs w:val="18"/>
                <w:highlight w:val="yellow"/>
              </w:rPr>
              <w:t>Expected</w:t>
            </w:r>
          </w:p>
        </w:tc>
        <w:tc>
          <w:tcPr>
            <w:tcW w:w="2772" w:type="dxa"/>
            <w:gridSpan w:val="5"/>
          </w:tcPr>
          <w:p w14:paraId="3B9D96BC" w14:textId="77777777" w:rsidR="007520C1" w:rsidRPr="00E30B5B" w:rsidRDefault="007520C1" w:rsidP="00E049DB">
            <w:pPr>
              <w:jc w:val="center"/>
              <w:rPr>
                <w:sz w:val="18"/>
                <w:szCs w:val="18"/>
                <w:highlight w:val="yellow"/>
              </w:rPr>
            </w:pPr>
            <w:r w:rsidRPr="00E30B5B">
              <w:rPr>
                <w:sz w:val="18"/>
                <w:szCs w:val="18"/>
                <w:highlight w:val="yellow"/>
              </w:rPr>
              <w:t>Achieved</w:t>
            </w:r>
          </w:p>
        </w:tc>
      </w:tr>
      <w:tr w:rsidR="007520C1" w:rsidRPr="004244E0" w14:paraId="55EE2FA5" w14:textId="77777777" w:rsidTr="00DB02C4">
        <w:trPr>
          <w:trHeight w:val="206"/>
        </w:trPr>
        <w:tc>
          <w:tcPr>
            <w:tcW w:w="1298" w:type="dxa"/>
            <w:vMerge/>
          </w:tcPr>
          <w:p w14:paraId="201F66D9" w14:textId="77777777" w:rsidR="007520C1" w:rsidRPr="00E30B5B" w:rsidRDefault="007520C1" w:rsidP="00E049DB">
            <w:pPr>
              <w:rPr>
                <w:sz w:val="18"/>
                <w:szCs w:val="18"/>
                <w:highlight w:val="yellow"/>
              </w:rPr>
            </w:pPr>
          </w:p>
        </w:tc>
        <w:tc>
          <w:tcPr>
            <w:tcW w:w="933" w:type="dxa"/>
            <w:vMerge/>
          </w:tcPr>
          <w:p w14:paraId="6FB9476E" w14:textId="77777777" w:rsidR="007520C1" w:rsidRPr="00E30B5B" w:rsidRDefault="007520C1" w:rsidP="00E049DB">
            <w:pPr>
              <w:rPr>
                <w:sz w:val="18"/>
                <w:szCs w:val="18"/>
                <w:highlight w:val="yellow"/>
              </w:rPr>
            </w:pPr>
          </w:p>
        </w:tc>
        <w:tc>
          <w:tcPr>
            <w:tcW w:w="1726" w:type="dxa"/>
            <w:vMerge/>
          </w:tcPr>
          <w:p w14:paraId="31F6346F" w14:textId="77777777" w:rsidR="007520C1" w:rsidRPr="00E30B5B" w:rsidRDefault="007520C1" w:rsidP="00E049DB">
            <w:pPr>
              <w:rPr>
                <w:sz w:val="18"/>
                <w:szCs w:val="18"/>
                <w:highlight w:val="yellow"/>
              </w:rPr>
            </w:pPr>
          </w:p>
        </w:tc>
        <w:tc>
          <w:tcPr>
            <w:tcW w:w="2782" w:type="dxa"/>
            <w:gridSpan w:val="2"/>
          </w:tcPr>
          <w:p w14:paraId="4D464856" w14:textId="77777777" w:rsidR="007520C1" w:rsidRPr="00E30B5B" w:rsidRDefault="007520C1" w:rsidP="00E049DB">
            <w:pPr>
              <w:jc w:val="center"/>
              <w:rPr>
                <w:sz w:val="18"/>
                <w:szCs w:val="18"/>
                <w:highlight w:val="yellow"/>
              </w:rPr>
            </w:pPr>
            <w:r w:rsidRPr="00E30B5B">
              <w:rPr>
                <w:sz w:val="18"/>
                <w:szCs w:val="18"/>
                <w:highlight w:val="yellow"/>
              </w:rPr>
              <w:t>PIF stage</w:t>
            </w:r>
          </w:p>
        </w:tc>
        <w:tc>
          <w:tcPr>
            <w:tcW w:w="1485" w:type="dxa"/>
            <w:gridSpan w:val="3"/>
          </w:tcPr>
          <w:p w14:paraId="1C51E60F" w14:textId="77777777" w:rsidR="007520C1" w:rsidRPr="00E30B5B" w:rsidRDefault="007520C1" w:rsidP="00E049DB">
            <w:pPr>
              <w:jc w:val="center"/>
              <w:rPr>
                <w:sz w:val="18"/>
                <w:szCs w:val="18"/>
                <w:highlight w:val="yellow"/>
              </w:rPr>
            </w:pPr>
            <w:r w:rsidRPr="00E30B5B">
              <w:rPr>
                <w:sz w:val="18"/>
                <w:szCs w:val="18"/>
                <w:highlight w:val="yellow"/>
              </w:rPr>
              <w:t>Endorsement</w:t>
            </w:r>
          </w:p>
        </w:tc>
        <w:tc>
          <w:tcPr>
            <w:tcW w:w="1324" w:type="dxa"/>
            <w:gridSpan w:val="2"/>
          </w:tcPr>
          <w:p w14:paraId="0CF3869F" w14:textId="77777777" w:rsidR="007520C1" w:rsidRPr="00E30B5B" w:rsidRDefault="007520C1" w:rsidP="00E049DB">
            <w:pPr>
              <w:jc w:val="center"/>
              <w:rPr>
                <w:sz w:val="18"/>
                <w:szCs w:val="18"/>
                <w:highlight w:val="yellow"/>
              </w:rPr>
            </w:pPr>
            <w:r w:rsidRPr="00E30B5B">
              <w:rPr>
                <w:sz w:val="18"/>
                <w:szCs w:val="18"/>
                <w:highlight w:val="yellow"/>
              </w:rPr>
              <w:t>MTR</w:t>
            </w:r>
          </w:p>
        </w:tc>
        <w:tc>
          <w:tcPr>
            <w:tcW w:w="1287" w:type="dxa"/>
          </w:tcPr>
          <w:p w14:paraId="75804BF0" w14:textId="77777777" w:rsidR="007520C1" w:rsidRPr="00E30B5B" w:rsidRDefault="007520C1" w:rsidP="00E049DB">
            <w:pPr>
              <w:jc w:val="center"/>
              <w:rPr>
                <w:sz w:val="18"/>
                <w:szCs w:val="18"/>
                <w:highlight w:val="yellow"/>
              </w:rPr>
            </w:pPr>
            <w:r w:rsidRPr="00E30B5B">
              <w:rPr>
                <w:sz w:val="18"/>
                <w:szCs w:val="18"/>
                <w:highlight w:val="yellow"/>
              </w:rPr>
              <w:t>TE</w:t>
            </w:r>
          </w:p>
        </w:tc>
      </w:tr>
      <w:tr w:rsidR="007520C1" w:rsidRPr="004244E0" w14:paraId="3C8B13CE" w14:textId="77777777" w:rsidTr="00DB02C4">
        <w:tc>
          <w:tcPr>
            <w:tcW w:w="1298" w:type="dxa"/>
          </w:tcPr>
          <w:p w14:paraId="2DA6B7B7" w14:textId="77777777" w:rsidR="007520C1" w:rsidRPr="00E30B5B" w:rsidRDefault="007520C1" w:rsidP="00E049DB">
            <w:pPr>
              <w:jc w:val="right"/>
              <w:rPr>
                <w:sz w:val="18"/>
                <w:szCs w:val="18"/>
                <w:highlight w:val="yellow"/>
              </w:rPr>
            </w:pPr>
          </w:p>
        </w:tc>
        <w:tc>
          <w:tcPr>
            <w:tcW w:w="933" w:type="dxa"/>
          </w:tcPr>
          <w:p w14:paraId="6FE2BB19" w14:textId="77777777" w:rsidR="007520C1" w:rsidRPr="00E30B5B" w:rsidRDefault="007520C1" w:rsidP="00E049DB">
            <w:pPr>
              <w:jc w:val="right"/>
              <w:rPr>
                <w:sz w:val="18"/>
                <w:szCs w:val="18"/>
                <w:highlight w:val="yellow"/>
              </w:rPr>
            </w:pPr>
          </w:p>
        </w:tc>
        <w:tc>
          <w:tcPr>
            <w:tcW w:w="1726" w:type="dxa"/>
          </w:tcPr>
          <w:p w14:paraId="6830A331" w14:textId="77777777" w:rsidR="007520C1" w:rsidRPr="00E30B5B" w:rsidRDefault="007520C1" w:rsidP="00E049DB">
            <w:pPr>
              <w:jc w:val="right"/>
              <w:rPr>
                <w:sz w:val="18"/>
                <w:szCs w:val="18"/>
                <w:highlight w:val="yellow"/>
              </w:rPr>
            </w:pPr>
          </w:p>
        </w:tc>
        <w:tc>
          <w:tcPr>
            <w:tcW w:w="2782" w:type="dxa"/>
            <w:gridSpan w:val="2"/>
          </w:tcPr>
          <w:p w14:paraId="2CF18B68" w14:textId="77777777" w:rsidR="007520C1" w:rsidRPr="00E30B5B" w:rsidRDefault="007520C1" w:rsidP="00E049DB">
            <w:pPr>
              <w:jc w:val="center"/>
              <w:rPr>
                <w:sz w:val="18"/>
                <w:szCs w:val="18"/>
                <w:highlight w:val="yellow"/>
              </w:rPr>
            </w:pPr>
            <w:r w:rsidRPr="00E30B5B">
              <w:rPr>
                <w:i/>
                <w:color w:val="000000"/>
                <w:sz w:val="18"/>
                <w:szCs w:val="18"/>
                <w:highlight w:val="yellow"/>
              </w:rPr>
              <w:fldChar w:fldCharType="begin">
                <w:ffData>
                  <w:name w:val="F_GEB_BD_target"/>
                  <w:enabled/>
                  <w:calcOnExit w:val="0"/>
                  <w:textInput/>
                </w:ffData>
              </w:fldChar>
            </w:r>
            <w:r w:rsidRPr="00E30B5B">
              <w:rPr>
                <w:i/>
                <w:color w:val="000000"/>
                <w:sz w:val="18"/>
                <w:szCs w:val="18"/>
                <w:highlight w:val="yellow"/>
              </w:rPr>
              <w:instrText xml:space="preserve"> FORMTEXT </w:instrText>
            </w:r>
            <w:r w:rsidRPr="00E30B5B">
              <w:rPr>
                <w:i/>
                <w:color w:val="000000"/>
                <w:sz w:val="18"/>
                <w:szCs w:val="18"/>
                <w:highlight w:val="yellow"/>
              </w:rPr>
            </w:r>
            <w:r w:rsidRPr="00E30B5B">
              <w:rPr>
                <w:i/>
                <w:color w:val="000000"/>
                <w:sz w:val="18"/>
                <w:szCs w:val="18"/>
                <w:highlight w:val="yellow"/>
              </w:rPr>
              <w:fldChar w:fldCharType="separate"/>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fldChar w:fldCharType="end"/>
            </w:r>
          </w:p>
        </w:tc>
        <w:tc>
          <w:tcPr>
            <w:tcW w:w="1485" w:type="dxa"/>
            <w:gridSpan w:val="3"/>
          </w:tcPr>
          <w:p w14:paraId="497DF13E" w14:textId="77777777" w:rsidR="007520C1" w:rsidRPr="00E30B5B" w:rsidRDefault="007520C1" w:rsidP="00E049DB">
            <w:pPr>
              <w:jc w:val="center"/>
              <w:rPr>
                <w:sz w:val="18"/>
                <w:szCs w:val="18"/>
                <w:highlight w:val="yellow"/>
              </w:rPr>
            </w:pPr>
            <w:r w:rsidRPr="00E30B5B">
              <w:rPr>
                <w:i/>
                <w:color w:val="000000"/>
                <w:sz w:val="18"/>
                <w:szCs w:val="18"/>
                <w:highlight w:val="yellow"/>
              </w:rPr>
              <w:fldChar w:fldCharType="begin">
                <w:ffData>
                  <w:name w:val="F_GEB_BD_target"/>
                  <w:enabled/>
                  <w:calcOnExit w:val="0"/>
                  <w:textInput/>
                </w:ffData>
              </w:fldChar>
            </w:r>
            <w:r w:rsidRPr="00E30B5B">
              <w:rPr>
                <w:i/>
                <w:color w:val="000000"/>
                <w:sz w:val="18"/>
                <w:szCs w:val="18"/>
                <w:highlight w:val="yellow"/>
              </w:rPr>
              <w:instrText xml:space="preserve"> FORMTEXT </w:instrText>
            </w:r>
            <w:r w:rsidRPr="00E30B5B">
              <w:rPr>
                <w:i/>
                <w:color w:val="000000"/>
                <w:sz w:val="18"/>
                <w:szCs w:val="18"/>
                <w:highlight w:val="yellow"/>
              </w:rPr>
            </w:r>
            <w:r w:rsidRPr="00E30B5B">
              <w:rPr>
                <w:i/>
                <w:color w:val="000000"/>
                <w:sz w:val="18"/>
                <w:szCs w:val="18"/>
                <w:highlight w:val="yellow"/>
              </w:rPr>
              <w:fldChar w:fldCharType="separate"/>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fldChar w:fldCharType="end"/>
            </w:r>
          </w:p>
        </w:tc>
        <w:tc>
          <w:tcPr>
            <w:tcW w:w="1324" w:type="dxa"/>
            <w:gridSpan w:val="2"/>
          </w:tcPr>
          <w:p w14:paraId="7F9CB6E7" w14:textId="77777777" w:rsidR="007520C1" w:rsidRPr="00E30B5B" w:rsidRDefault="007520C1" w:rsidP="00E049DB">
            <w:pPr>
              <w:jc w:val="center"/>
              <w:rPr>
                <w:sz w:val="18"/>
                <w:szCs w:val="18"/>
                <w:highlight w:val="yellow"/>
              </w:rPr>
            </w:pPr>
            <w:r w:rsidRPr="00E30B5B">
              <w:rPr>
                <w:i/>
                <w:color w:val="000000"/>
                <w:sz w:val="18"/>
                <w:szCs w:val="18"/>
                <w:highlight w:val="yellow"/>
              </w:rPr>
              <w:fldChar w:fldCharType="begin">
                <w:ffData>
                  <w:name w:val="F_GEB_BD_target"/>
                  <w:enabled/>
                  <w:calcOnExit w:val="0"/>
                  <w:textInput/>
                </w:ffData>
              </w:fldChar>
            </w:r>
            <w:r w:rsidRPr="00E30B5B">
              <w:rPr>
                <w:i/>
                <w:color w:val="000000"/>
                <w:sz w:val="18"/>
                <w:szCs w:val="18"/>
                <w:highlight w:val="yellow"/>
              </w:rPr>
              <w:instrText xml:space="preserve"> FORMTEXT </w:instrText>
            </w:r>
            <w:r w:rsidRPr="00E30B5B">
              <w:rPr>
                <w:i/>
                <w:color w:val="000000"/>
                <w:sz w:val="18"/>
                <w:szCs w:val="18"/>
                <w:highlight w:val="yellow"/>
              </w:rPr>
            </w:r>
            <w:r w:rsidRPr="00E30B5B">
              <w:rPr>
                <w:i/>
                <w:color w:val="000000"/>
                <w:sz w:val="18"/>
                <w:szCs w:val="18"/>
                <w:highlight w:val="yellow"/>
              </w:rPr>
              <w:fldChar w:fldCharType="separate"/>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fldChar w:fldCharType="end"/>
            </w:r>
          </w:p>
        </w:tc>
        <w:tc>
          <w:tcPr>
            <w:tcW w:w="1287" w:type="dxa"/>
          </w:tcPr>
          <w:p w14:paraId="3A21C4E3" w14:textId="77777777" w:rsidR="007520C1" w:rsidRPr="00E30B5B" w:rsidRDefault="007520C1" w:rsidP="00E049DB">
            <w:pPr>
              <w:jc w:val="center"/>
              <w:rPr>
                <w:sz w:val="18"/>
                <w:szCs w:val="18"/>
                <w:highlight w:val="yellow"/>
              </w:rPr>
            </w:pPr>
            <w:r w:rsidRPr="00E30B5B">
              <w:rPr>
                <w:i/>
                <w:color w:val="000000"/>
                <w:sz w:val="18"/>
                <w:szCs w:val="18"/>
                <w:highlight w:val="yellow"/>
              </w:rPr>
              <w:fldChar w:fldCharType="begin">
                <w:ffData>
                  <w:name w:val="F_GEB_BD_target"/>
                  <w:enabled/>
                  <w:calcOnExit w:val="0"/>
                  <w:textInput/>
                </w:ffData>
              </w:fldChar>
            </w:r>
            <w:r w:rsidRPr="00E30B5B">
              <w:rPr>
                <w:i/>
                <w:color w:val="000000"/>
                <w:sz w:val="18"/>
                <w:szCs w:val="18"/>
                <w:highlight w:val="yellow"/>
              </w:rPr>
              <w:instrText xml:space="preserve"> FORMTEXT </w:instrText>
            </w:r>
            <w:r w:rsidRPr="00E30B5B">
              <w:rPr>
                <w:i/>
                <w:color w:val="000000"/>
                <w:sz w:val="18"/>
                <w:szCs w:val="18"/>
                <w:highlight w:val="yellow"/>
              </w:rPr>
            </w:r>
            <w:r w:rsidRPr="00E30B5B">
              <w:rPr>
                <w:i/>
                <w:color w:val="000000"/>
                <w:sz w:val="18"/>
                <w:szCs w:val="18"/>
                <w:highlight w:val="yellow"/>
              </w:rPr>
              <w:fldChar w:fldCharType="separate"/>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fldChar w:fldCharType="end"/>
            </w:r>
          </w:p>
        </w:tc>
      </w:tr>
      <w:tr w:rsidR="007520C1" w:rsidRPr="004244E0" w14:paraId="478C75C2" w14:textId="77777777" w:rsidTr="00DB02C4">
        <w:tc>
          <w:tcPr>
            <w:tcW w:w="1298" w:type="dxa"/>
            <w:shd w:val="clear" w:color="auto" w:fill="BFBFBF" w:themeFill="background1" w:themeFillShade="BF"/>
          </w:tcPr>
          <w:p w14:paraId="3E83896C" w14:textId="77777777" w:rsidR="007520C1" w:rsidRPr="00E30B5B" w:rsidRDefault="007520C1" w:rsidP="00E049DB">
            <w:pPr>
              <w:rPr>
                <w:sz w:val="18"/>
                <w:szCs w:val="18"/>
                <w:highlight w:val="yellow"/>
              </w:rPr>
            </w:pPr>
            <w:r w:rsidRPr="00E30B5B">
              <w:rPr>
                <w:sz w:val="18"/>
                <w:szCs w:val="18"/>
                <w:highlight w:val="yellow"/>
              </w:rPr>
              <w:t>Indicator 9.5</w:t>
            </w:r>
          </w:p>
        </w:tc>
        <w:tc>
          <w:tcPr>
            <w:tcW w:w="6765" w:type="dxa"/>
            <w:gridSpan w:val="5"/>
            <w:shd w:val="clear" w:color="auto" w:fill="BFBFBF" w:themeFill="background1" w:themeFillShade="BF"/>
          </w:tcPr>
          <w:p w14:paraId="573BC7EE" w14:textId="77777777" w:rsidR="007520C1" w:rsidRPr="00E30B5B" w:rsidRDefault="007520C1" w:rsidP="00E049DB">
            <w:pPr>
              <w:rPr>
                <w:sz w:val="18"/>
                <w:szCs w:val="18"/>
                <w:highlight w:val="yellow"/>
              </w:rPr>
            </w:pPr>
            <w:r w:rsidRPr="00E30B5B">
              <w:rPr>
                <w:sz w:val="18"/>
                <w:szCs w:val="18"/>
                <w:highlight w:val="yellow"/>
              </w:rPr>
              <w:t>Number of low-chemical/non-chemical systems implemented particularly in food production, manufacturing and cities</w:t>
            </w:r>
          </w:p>
        </w:tc>
        <w:tc>
          <w:tcPr>
            <w:tcW w:w="2772" w:type="dxa"/>
            <w:gridSpan w:val="5"/>
            <w:shd w:val="clear" w:color="auto" w:fill="BFBFBF" w:themeFill="background1" w:themeFillShade="BF"/>
          </w:tcPr>
          <w:p w14:paraId="2B71CB2E" w14:textId="77777777" w:rsidR="007520C1" w:rsidRPr="00E30B5B" w:rsidRDefault="007520C1" w:rsidP="00E049DB">
            <w:pPr>
              <w:jc w:val="right"/>
              <w:rPr>
                <w:sz w:val="18"/>
                <w:szCs w:val="18"/>
                <w:highlight w:val="yellow"/>
              </w:rPr>
            </w:pPr>
            <w:r w:rsidRPr="00E30B5B">
              <w:rPr>
                <w:i/>
                <w:color w:val="000000"/>
                <w:sz w:val="18"/>
                <w:szCs w:val="18"/>
                <w:highlight w:val="yellow"/>
              </w:rPr>
              <w:fldChar w:fldCharType="begin">
                <w:ffData>
                  <w:name w:val="F_GEB_BD_target"/>
                  <w:enabled/>
                  <w:calcOnExit w:val="0"/>
                  <w:textInput/>
                </w:ffData>
              </w:fldChar>
            </w:r>
            <w:r w:rsidRPr="00E30B5B">
              <w:rPr>
                <w:i/>
                <w:color w:val="000000"/>
                <w:sz w:val="18"/>
                <w:szCs w:val="18"/>
                <w:highlight w:val="yellow"/>
              </w:rPr>
              <w:instrText xml:space="preserve"> FORMTEXT </w:instrText>
            </w:r>
            <w:r w:rsidRPr="00E30B5B">
              <w:rPr>
                <w:i/>
                <w:color w:val="000000"/>
                <w:sz w:val="18"/>
                <w:szCs w:val="18"/>
                <w:highlight w:val="yellow"/>
              </w:rPr>
            </w:r>
            <w:r w:rsidRPr="00E30B5B">
              <w:rPr>
                <w:i/>
                <w:color w:val="000000"/>
                <w:sz w:val="18"/>
                <w:szCs w:val="18"/>
                <w:highlight w:val="yellow"/>
              </w:rPr>
              <w:fldChar w:fldCharType="separate"/>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fldChar w:fldCharType="end"/>
            </w:r>
          </w:p>
        </w:tc>
      </w:tr>
      <w:tr w:rsidR="007520C1" w:rsidRPr="004244E0" w14:paraId="6E30F828" w14:textId="77777777" w:rsidTr="00DB02C4">
        <w:trPr>
          <w:trHeight w:val="125"/>
        </w:trPr>
        <w:tc>
          <w:tcPr>
            <w:tcW w:w="1298" w:type="dxa"/>
            <w:vMerge w:val="restart"/>
          </w:tcPr>
          <w:p w14:paraId="728E6957" w14:textId="77777777" w:rsidR="007520C1" w:rsidRPr="00E30B5B" w:rsidRDefault="007520C1" w:rsidP="00E049DB">
            <w:pPr>
              <w:rPr>
                <w:sz w:val="18"/>
                <w:szCs w:val="18"/>
                <w:highlight w:val="yellow"/>
              </w:rPr>
            </w:pPr>
          </w:p>
        </w:tc>
        <w:tc>
          <w:tcPr>
            <w:tcW w:w="933" w:type="dxa"/>
            <w:vMerge w:val="restart"/>
          </w:tcPr>
          <w:p w14:paraId="5C6C34F3" w14:textId="77777777" w:rsidR="007520C1" w:rsidRPr="00E30B5B" w:rsidRDefault="007520C1" w:rsidP="00E049DB">
            <w:pPr>
              <w:rPr>
                <w:sz w:val="18"/>
                <w:szCs w:val="18"/>
                <w:highlight w:val="yellow"/>
              </w:rPr>
            </w:pPr>
          </w:p>
        </w:tc>
        <w:tc>
          <w:tcPr>
            <w:tcW w:w="1726" w:type="dxa"/>
            <w:vMerge w:val="restart"/>
            <w:vAlign w:val="center"/>
          </w:tcPr>
          <w:p w14:paraId="3E384257" w14:textId="77777777" w:rsidR="007520C1" w:rsidRPr="00E30B5B" w:rsidRDefault="007520C1" w:rsidP="00E049DB">
            <w:pPr>
              <w:rPr>
                <w:sz w:val="18"/>
                <w:szCs w:val="18"/>
                <w:highlight w:val="yellow"/>
              </w:rPr>
            </w:pPr>
            <w:r w:rsidRPr="00E30B5B">
              <w:rPr>
                <w:sz w:val="18"/>
                <w:szCs w:val="18"/>
                <w:highlight w:val="yellow"/>
              </w:rPr>
              <w:t>Technology</w:t>
            </w:r>
          </w:p>
        </w:tc>
        <w:tc>
          <w:tcPr>
            <w:tcW w:w="6878" w:type="dxa"/>
            <w:gridSpan w:val="8"/>
          </w:tcPr>
          <w:p w14:paraId="0F55EB4F" w14:textId="77777777" w:rsidR="007520C1" w:rsidRPr="00E30B5B" w:rsidRDefault="007520C1" w:rsidP="00E049DB">
            <w:pPr>
              <w:jc w:val="center"/>
              <w:rPr>
                <w:sz w:val="18"/>
                <w:szCs w:val="18"/>
                <w:highlight w:val="yellow"/>
              </w:rPr>
            </w:pPr>
            <w:r w:rsidRPr="00E30B5B">
              <w:rPr>
                <w:sz w:val="18"/>
                <w:szCs w:val="18"/>
                <w:highlight w:val="yellow"/>
              </w:rPr>
              <w:t>Number</w:t>
            </w:r>
          </w:p>
        </w:tc>
      </w:tr>
      <w:tr w:rsidR="007520C1" w:rsidRPr="004244E0" w14:paraId="3E73FF0D" w14:textId="77777777" w:rsidTr="00DB02C4">
        <w:trPr>
          <w:trHeight w:val="58"/>
        </w:trPr>
        <w:tc>
          <w:tcPr>
            <w:tcW w:w="1298" w:type="dxa"/>
            <w:vMerge/>
          </w:tcPr>
          <w:p w14:paraId="67AD1B27" w14:textId="77777777" w:rsidR="007520C1" w:rsidRPr="00E30B5B" w:rsidRDefault="007520C1" w:rsidP="00E049DB">
            <w:pPr>
              <w:rPr>
                <w:sz w:val="18"/>
                <w:szCs w:val="18"/>
                <w:highlight w:val="yellow"/>
              </w:rPr>
            </w:pPr>
          </w:p>
        </w:tc>
        <w:tc>
          <w:tcPr>
            <w:tcW w:w="933" w:type="dxa"/>
            <w:vMerge/>
          </w:tcPr>
          <w:p w14:paraId="76F7947C" w14:textId="77777777" w:rsidR="007520C1" w:rsidRPr="00E30B5B" w:rsidRDefault="007520C1" w:rsidP="00E049DB">
            <w:pPr>
              <w:rPr>
                <w:sz w:val="18"/>
                <w:szCs w:val="18"/>
                <w:highlight w:val="yellow"/>
              </w:rPr>
            </w:pPr>
          </w:p>
        </w:tc>
        <w:tc>
          <w:tcPr>
            <w:tcW w:w="1726" w:type="dxa"/>
            <w:vMerge/>
          </w:tcPr>
          <w:p w14:paraId="130859C7" w14:textId="77777777" w:rsidR="007520C1" w:rsidRPr="00E30B5B" w:rsidRDefault="007520C1" w:rsidP="00E049DB">
            <w:pPr>
              <w:rPr>
                <w:sz w:val="18"/>
                <w:szCs w:val="18"/>
                <w:highlight w:val="yellow"/>
              </w:rPr>
            </w:pPr>
          </w:p>
        </w:tc>
        <w:tc>
          <w:tcPr>
            <w:tcW w:w="4106" w:type="dxa"/>
            <w:gridSpan w:val="3"/>
          </w:tcPr>
          <w:p w14:paraId="4268DD2B" w14:textId="77777777" w:rsidR="007520C1" w:rsidRPr="00E30B5B" w:rsidRDefault="007520C1" w:rsidP="00E049DB">
            <w:pPr>
              <w:jc w:val="center"/>
              <w:rPr>
                <w:sz w:val="18"/>
                <w:szCs w:val="18"/>
                <w:highlight w:val="yellow"/>
              </w:rPr>
            </w:pPr>
            <w:r w:rsidRPr="00E30B5B">
              <w:rPr>
                <w:sz w:val="18"/>
                <w:szCs w:val="18"/>
                <w:highlight w:val="yellow"/>
              </w:rPr>
              <w:t>Expected</w:t>
            </w:r>
          </w:p>
        </w:tc>
        <w:tc>
          <w:tcPr>
            <w:tcW w:w="2772" w:type="dxa"/>
            <w:gridSpan w:val="5"/>
          </w:tcPr>
          <w:p w14:paraId="4BF98519" w14:textId="77777777" w:rsidR="007520C1" w:rsidRPr="00E30B5B" w:rsidRDefault="007520C1" w:rsidP="00E049DB">
            <w:pPr>
              <w:jc w:val="center"/>
              <w:rPr>
                <w:sz w:val="18"/>
                <w:szCs w:val="18"/>
                <w:highlight w:val="yellow"/>
              </w:rPr>
            </w:pPr>
            <w:r w:rsidRPr="00E30B5B">
              <w:rPr>
                <w:sz w:val="18"/>
                <w:szCs w:val="18"/>
                <w:highlight w:val="yellow"/>
              </w:rPr>
              <w:t>Achieved</w:t>
            </w:r>
          </w:p>
        </w:tc>
      </w:tr>
      <w:tr w:rsidR="007520C1" w:rsidRPr="004244E0" w14:paraId="32992ADC" w14:textId="77777777" w:rsidTr="00DB02C4">
        <w:trPr>
          <w:trHeight w:val="58"/>
        </w:trPr>
        <w:tc>
          <w:tcPr>
            <w:tcW w:w="1298" w:type="dxa"/>
            <w:vMerge/>
          </w:tcPr>
          <w:p w14:paraId="030C6FF1" w14:textId="77777777" w:rsidR="007520C1" w:rsidRPr="00E30B5B" w:rsidRDefault="007520C1" w:rsidP="00E049DB">
            <w:pPr>
              <w:rPr>
                <w:sz w:val="18"/>
                <w:szCs w:val="18"/>
                <w:highlight w:val="yellow"/>
              </w:rPr>
            </w:pPr>
          </w:p>
        </w:tc>
        <w:tc>
          <w:tcPr>
            <w:tcW w:w="933" w:type="dxa"/>
            <w:vMerge/>
          </w:tcPr>
          <w:p w14:paraId="0F2F1857" w14:textId="77777777" w:rsidR="007520C1" w:rsidRPr="00E30B5B" w:rsidRDefault="007520C1" w:rsidP="00E049DB">
            <w:pPr>
              <w:rPr>
                <w:sz w:val="18"/>
                <w:szCs w:val="18"/>
                <w:highlight w:val="yellow"/>
              </w:rPr>
            </w:pPr>
          </w:p>
        </w:tc>
        <w:tc>
          <w:tcPr>
            <w:tcW w:w="1726" w:type="dxa"/>
            <w:vMerge/>
          </w:tcPr>
          <w:p w14:paraId="1CC58665" w14:textId="77777777" w:rsidR="007520C1" w:rsidRPr="00E30B5B" w:rsidRDefault="007520C1" w:rsidP="00E049DB">
            <w:pPr>
              <w:rPr>
                <w:sz w:val="18"/>
                <w:szCs w:val="18"/>
                <w:highlight w:val="yellow"/>
              </w:rPr>
            </w:pPr>
          </w:p>
        </w:tc>
        <w:tc>
          <w:tcPr>
            <w:tcW w:w="2782" w:type="dxa"/>
            <w:gridSpan w:val="2"/>
          </w:tcPr>
          <w:p w14:paraId="60C1916E" w14:textId="77777777" w:rsidR="007520C1" w:rsidRPr="00E30B5B" w:rsidRDefault="007520C1" w:rsidP="00E049DB">
            <w:pPr>
              <w:jc w:val="center"/>
              <w:rPr>
                <w:sz w:val="18"/>
                <w:szCs w:val="18"/>
                <w:highlight w:val="yellow"/>
              </w:rPr>
            </w:pPr>
            <w:r w:rsidRPr="00E30B5B">
              <w:rPr>
                <w:sz w:val="18"/>
                <w:szCs w:val="18"/>
                <w:highlight w:val="yellow"/>
              </w:rPr>
              <w:t>PIF stage</w:t>
            </w:r>
          </w:p>
        </w:tc>
        <w:tc>
          <w:tcPr>
            <w:tcW w:w="1485" w:type="dxa"/>
            <w:gridSpan w:val="3"/>
          </w:tcPr>
          <w:p w14:paraId="7CF50066" w14:textId="77777777" w:rsidR="007520C1" w:rsidRPr="00E30B5B" w:rsidRDefault="007520C1" w:rsidP="00E049DB">
            <w:pPr>
              <w:jc w:val="center"/>
              <w:rPr>
                <w:sz w:val="18"/>
                <w:szCs w:val="18"/>
                <w:highlight w:val="yellow"/>
              </w:rPr>
            </w:pPr>
            <w:r w:rsidRPr="00E30B5B">
              <w:rPr>
                <w:sz w:val="18"/>
                <w:szCs w:val="18"/>
                <w:highlight w:val="yellow"/>
              </w:rPr>
              <w:t>Endorsement</w:t>
            </w:r>
          </w:p>
        </w:tc>
        <w:tc>
          <w:tcPr>
            <w:tcW w:w="1324" w:type="dxa"/>
            <w:gridSpan w:val="2"/>
          </w:tcPr>
          <w:p w14:paraId="5E1D4848" w14:textId="77777777" w:rsidR="007520C1" w:rsidRPr="00E30B5B" w:rsidRDefault="007520C1" w:rsidP="00E049DB">
            <w:pPr>
              <w:jc w:val="center"/>
              <w:rPr>
                <w:sz w:val="18"/>
                <w:szCs w:val="18"/>
                <w:highlight w:val="yellow"/>
              </w:rPr>
            </w:pPr>
            <w:r w:rsidRPr="00E30B5B">
              <w:rPr>
                <w:sz w:val="18"/>
                <w:szCs w:val="18"/>
                <w:highlight w:val="yellow"/>
              </w:rPr>
              <w:t>MTR</w:t>
            </w:r>
          </w:p>
        </w:tc>
        <w:tc>
          <w:tcPr>
            <w:tcW w:w="1287" w:type="dxa"/>
          </w:tcPr>
          <w:p w14:paraId="246ADC7B" w14:textId="77777777" w:rsidR="007520C1" w:rsidRPr="00E30B5B" w:rsidRDefault="007520C1" w:rsidP="00E049DB">
            <w:pPr>
              <w:jc w:val="center"/>
              <w:rPr>
                <w:sz w:val="18"/>
                <w:szCs w:val="18"/>
                <w:highlight w:val="yellow"/>
              </w:rPr>
            </w:pPr>
            <w:r w:rsidRPr="00E30B5B">
              <w:rPr>
                <w:sz w:val="18"/>
                <w:szCs w:val="18"/>
                <w:highlight w:val="yellow"/>
              </w:rPr>
              <w:t>TE</w:t>
            </w:r>
          </w:p>
        </w:tc>
      </w:tr>
      <w:tr w:rsidR="007520C1" w:rsidRPr="004244E0" w14:paraId="411A70ED" w14:textId="77777777" w:rsidTr="00DB02C4">
        <w:tc>
          <w:tcPr>
            <w:tcW w:w="1298" w:type="dxa"/>
          </w:tcPr>
          <w:p w14:paraId="390DFB09" w14:textId="77777777" w:rsidR="007520C1" w:rsidRPr="00E30B5B" w:rsidRDefault="007520C1" w:rsidP="00E049DB">
            <w:pPr>
              <w:jc w:val="right"/>
              <w:rPr>
                <w:sz w:val="18"/>
                <w:szCs w:val="18"/>
                <w:highlight w:val="yellow"/>
              </w:rPr>
            </w:pPr>
          </w:p>
        </w:tc>
        <w:tc>
          <w:tcPr>
            <w:tcW w:w="933" w:type="dxa"/>
          </w:tcPr>
          <w:p w14:paraId="68645C30" w14:textId="77777777" w:rsidR="007520C1" w:rsidRPr="00E30B5B" w:rsidRDefault="007520C1" w:rsidP="00E049DB">
            <w:pPr>
              <w:jc w:val="right"/>
              <w:rPr>
                <w:sz w:val="18"/>
                <w:szCs w:val="18"/>
                <w:highlight w:val="yellow"/>
              </w:rPr>
            </w:pPr>
          </w:p>
        </w:tc>
        <w:tc>
          <w:tcPr>
            <w:tcW w:w="1726" w:type="dxa"/>
          </w:tcPr>
          <w:p w14:paraId="6D31880F" w14:textId="77777777" w:rsidR="007520C1" w:rsidRPr="00E30B5B" w:rsidRDefault="007520C1" w:rsidP="00E049DB">
            <w:pPr>
              <w:jc w:val="right"/>
              <w:rPr>
                <w:sz w:val="18"/>
                <w:szCs w:val="18"/>
                <w:highlight w:val="yellow"/>
              </w:rPr>
            </w:pPr>
            <w:r w:rsidRPr="00E30B5B">
              <w:rPr>
                <w:i/>
                <w:color w:val="000000"/>
                <w:sz w:val="18"/>
                <w:szCs w:val="18"/>
                <w:highlight w:val="yellow"/>
              </w:rPr>
              <w:fldChar w:fldCharType="begin">
                <w:ffData>
                  <w:name w:val="F_GEB_BD_target"/>
                  <w:enabled/>
                  <w:calcOnExit w:val="0"/>
                  <w:textInput/>
                </w:ffData>
              </w:fldChar>
            </w:r>
            <w:r w:rsidRPr="00E30B5B">
              <w:rPr>
                <w:i/>
                <w:color w:val="000000"/>
                <w:sz w:val="18"/>
                <w:szCs w:val="18"/>
                <w:highlight w:val="yellow"/>
              </w:rPr>
              <w:instrText xml:space="preserve"> FORMTEXT </w:instrText>
            </w:r>
            <w:r w:rsidRPr="00E30B5B">
              <w:rPr>
                <w:i/>
                <w:color w:val="000000"/>
                <w:sz w:val="18"/>
                <w:szCs w:val="18"/>
                <w:highlight w:val="yellow"/>
              </w:rPr>
            </w:r>
            <w:r w:rsidRPr="00E30B5B">
              <w:rPr>
                <w:i/>
                <w:color w:val="000000"/>
                <w:sz w:val="18"/>
                <w:szCs w:val="18"/>
                <w:highlight w:val="yellow"/>
              </w:rPr>
              <w:fldChar w:fldCharType="separate"/>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fldChar w:fldCharType="end"/>
            </w:r>
          </w:p>
        </w:tc>
        <w:tc>
          <w:tcPr>
            <w:tcW w:w="2782" w:type="dxa"/>
            <w:gridSpan w:val="2"/>
          </w:tcPr>
          <w:p w14:paraId="203D9380" w14:textId="77777777" w:rsidR="007520C1" w:rsidRPr="00E30B5B" w:rsidRDefault="007520C1" w:rsidP="00E049DB">
            <w:pPr>
              <w:jc w:val="right"/>
              <w:rPr>
                <w:sz w:val="18"/>
                <w:szCs w:val="18"/>
                <w:highlight w:val="yellow"/>
              </w:rPr>
            </w:pPr>
            <w:r w:rsidRPr="00E30B5B">
              <w:rPr>
                <w:i/>
                <w:color w:val="000000"/>
                <w:sz w:val="18"/>
                <w:szCs w:val="18"/>
                <w:highlight w:val="yellow"/>
              </w:rPr>
              <w:fldChar w:fldCharType="begin">
                <w:ffData>
                  <w:name w:val="F_GEB_BD_target"/>
                  <w:enabled/>
                  <w:calcOnExit w:val="0"/>
                  <w:textInput/>
                </w:ffData>
              </w:fldChar>
            </w:r>
            <w:r w:rsidRPr="00E30B5B">
              <w:rPr>
                <w:i/>
                <w:color w:val="000000"/>
                <w:sz w:val="18"/>
                <w:szCs w:val="18"/>
                <w:highlight w:val="yellow"/>
              </w:rPr>
              <w:instrText xml:space="preserve"> FORMTEXT </w:instrText>
            </w:r>
            <w:r w:rsidRPr="00E30B5B">
              <w:rPr>
                <w:i/>
                <w:color w:val="000000"/>
                <w:sz w:val="18"/>
                <w:szCs w:val="18"/>
                <w:highlight w:val="yellow"/>
              </w:rPr>
            </w:r>
            <w:r w:rsidRPr="00E30B5B">
              <w:rPr>
                <w:i/>
                <w:color w:val="000000"/>
                <w:sz w:val="18"/>
                <w:szCs w:val="18"/>
                <w:highlight w:val="yellow"/>
              </w:rPr>
              <w:fldChar w:fldCharType="separate"/>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fldChar w:fldCharType="end"/>
            </w:r>
          </w:p>
        </w:tc>
        <w:tc>
          <w:tcPr>
            <w:tcW w:w="1485" w:type="dxa"/>
            <w:gridSpan w:val="3"/>
          </w:tcPr>
          <w:p w14:paraId="75504647" w14:textId="77777777" w:rsidR="007520C1" w:rsidRPr="00E30B5B" w:rsidRDefault="007520C1" w:rsidP="00E049DB">
            <w:pPr>
              <w:jc w:val="right"/>
              <w:rPr>
                <w:sz w:val="18"/>
                <w:szCs w:val="18"/>
                <w:highlight w:val="yellow"/>
              </w:rPr>
            </w:pPr>
            <w:r w:rsidRPr="00E30B5B">
              <w:rPr>
                <w:i/>
                <w:color w:val="000000"/>
                <w:sz w:val="18"/>
                <w:szCs w:val="18"/>
                <w:highlight w:val="yellow"/>
              </w:rPr>
              <w:fldChar w:fldCharType="begin">
                <w:ffData>
                  <w:name w:val="F_GEB_BD_target"/>
                  <w:enabled/>
                  <w:calcOnExit w:val="0"/>
                  <w:textInput/>
                </w:ffData>
              </w:fldChar>
            </w:r>
            <w:r w:rsidRPr="00E30B5B">
              <w:rPr>
                <w:i/>
                <w:color w:val="000000"/>
                <w:sz w:val="18"/>
                <w:szCs w:val="18"/>
                <w:highlight w:val="yellow"/>
              </w:rPr>
              <w:instrText xml:space="preserve"> FORMTEXT </w:instrText>
            </w:r>
            <w:r w:rsidRPr="00E30B5B">
              <w:rPr>
                <w:i/>
                <w:color w:val="000000"/>
                <w:sz w:val="18"/>
                <w:szCs w:val="18"/>
                <w:highlight w:val="yellow"/>
              </w:rPr>
            </w:r>
            <w:r w:rsidRPr="00E30B5B">
              <w:rPr>
                <w:i/>
                <w:color w:val="000000"/>
                <w:sz w:val="18"/>
                <w:szCs w:val="18"/>
                <w:highlight w:val="yellow"/>
              </w:rPr>
              <w:fldChar w:fldCharType="separate"/>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fldChar w:fldCharType="end"/>
            </w:r>
          </w:p>
        </w:tc>
        <w:tc>
          <w:tcPr>
            <w:tcW w:w="1324" w:type="dxa"/>
            <w:gridSpan w:val="2"/>
          </w:tcPr>
          <w:p w14:paraId="23A4F526" w14:textId="77777777" w:rsidR="007520C1" w:rsidRPr="00E30B5B" w:rsidRDefault="007520C1" w:rsidP="00E049DB">
            <w:pPr>
              <w:jc w:val="right"/>
              <w:rPr>
                <w:sz w:val="18"/>
                <w:szCs w:val="18"/>
                <w:highlight w:val="yellow"/>
              </w:rPr>
            </w:pPr>
            <w:r w:rsidRPr="00E30B5B">
              <w:rPr>
                <w:i/>
                <w:color w:val="000000"/>
                <w:sz w:val="18"/>
                <w:szCs w:val="18"/>
                <w:highlight w:val="yellow"/>
              </w:rPr>
              <w:fldChar w:fldCharType="begin">
                <w:ffData>
                  <w:name w:val="F_GEB_BD_target"/>
                  <w:enabled/>
                  <w:calcOnExit w:val="0"/>
                  <w:textInput/>
                </w:ffData>
              </w:fldChar>
            </w:r>
            <w:r w:rsidRPr="00E30B5B">
              <w:rPr>
                <w:i/>
                <w:color w:val="000000"/>
                <w:sz w:val="18"/>
                <w:szCs w:val="18"/>
                <w:highlight w:val="yellow"/>
              </w:rPr>
              <w:instrText xml:space="preserve"> FORMTEXT </w:instrText>
            </w:r>
            <w:r w:rsidRPr="00E30B5B">
              <w:rPr>
                <w:i/>
                <w:color w:val="000000"/>
                <w:sz w:val="18"/>
                <w:szCs w:val="18"/>
                <w:highlight w:val="yellow"/>
              </w:rPr>
            </w:r>
            <w:r w:rsidRPr="00E30B5B">
              <w:rPr>
                <w:i/>
                <w:color w:val="000000"/>
                <w:sz w:val="18"/>
                <w:szCs w:val="18"/>
                <w:highlight w:val="yellow"/>
              </w:rPr>
              <w:fldChar w:fldCharType="separate"/>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fldChar w:fldCharType="end"/>
            </w:r>
          </w:p>
        </w:tc>
        <w:tc>
          <w:tcPr>
            <w:tcW w:w="1287" w:type="dxa"/>
          </w:tcPr>
          <w:p w14:paraId="0A5D8741" w14:textId="77777777" w:rsidR="007520C1" w:rsidRPr="00E30B5B" w:rsidRDefault="007520C1" w:rsidP="00E049DB">
            <w:pPr>
              <w:jc w:val="right"/>
              <w:rPr>
                <w:sz w:val="18"/>
                <w:szCs w:val="18"/>
                <w:highlight w:val="yellow"/>
              </w:rPr>
            </w:pPr>
            <w:r w:rsidRPr="00E30B5B">
              <w:rPr>
                <w:i/>
                <w:color w:val="000000"/>
                <w:sz w:val="18"/>
                <w:szCs w:val="18"/>
                <w:highlight w:val="yellow"/>
              </w:rPr>
              <w:fldChar w:fldCharType="begin">
                <w:ffData>
                  <w:name w:val="F_GEB_BD_target"/>
                  <w:enabled/>
                  <w:calcOnExit w:val="0"/>
                  <w:textInput/>
                </w:ffData>
              </w:fldChar>
            </w:r>
            <w:r w:rsidRPr="00E30B5B">
              <w:rPr>
                <w:i/>
                <w:color w:val="000000"/>
                <w:sz w:val="18"/>
                <w:szCs w:val="18"/>
                <w:highlight w:val="yellow"/>
              </w:rPr>
              <w:instrText xml:space="preserve"> FORMTEXT </w:instrText>
            </w:r>
            <w:r w:rsidRPr="00E30B5B">
              <w:rPr>
                <w:i/>
                <w:color w:val="000000"/>
                <w:sz w:val="18"/>
                <w:szCs w:val="18"/>
                <w:highlight w:val="yellow"/>
              </w:rPr>
            </w:r>
            <w:r w:rsidRPr="00E30B5B">
              <w:rPr>
                <w:i/>
                <w:color w:val="000000"/>
                <w:sz w:val="18"/>
                <w:szCs w:val="18"/>
                <w:highlight w:val="yellow"/>
              </w:rPr>
              <w:fldChar w:fldCharType="separate"/>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fldChar w:fldCharType="end"/>
            </w:r>
          </w:p>
        </w:tc>
      </w:tr>
      <w:tr w:rsidR="007520C1" w:rsidRPr="004244E0" w14:paraId="77537702" w14:textId="77777777" w:rsidTr="00DB02C4">
        <w:tc>
          <w:tcPr>
            <w:tcW w:w="1298" w:type="dxa"/>
          </w:tcPr>
          <w:p w14:paraId="2E6B034C" w14:textId="77777777" w:rsidR="007520C1" w:rsidRPr="00E30B5B" w:rsidRDefault="007520C1" w:rsidP="00E049DB">
            <w:pPr>
              <w:jc w:val="right"/>
              <w:rPr>
                <w:sz w:val="18"/>
                <w:szCs w:val="18"/>
                <w:highlight w:val="yellow"/>
              </w:rPr>
            </w:pPr>
          </w:p>
        </w:tc>
        <w:tc>
          <w:tcPr>
            <w:tcW w:w="933" w:type="dxa"/>
          </w:tcPr>
          <w:p w14:paraId="5A6A5439" w14:textId="77777777" w:rsidR="007520C1" w:rsidRPr="00E30B5B" w:rsidRDefault="007520C1" w:rsidP="00E049DB">
            <w:pPr>
              <w:jc w:val="right"/>
              <w:rPr>
                <w:sz w:val="18"/>
                <w:szCs w:val="18"/>
                <w:highlight w:val="yellow"/>
              </w:rPr>
            </w:pPr>
          </w:p>
        </w:tc>
        <w:tc>
          <w:tcPr>
            <w:tcW w:w="1726" w:type="dxa"/>
          </w:tcPr>
          <w:p w14:paraId="3C2DF1D6" w14:textId="77777777" w:rsidR="007520C1" w:rsidRPr="00E30B5B" w:rsidRDefault="007520C1" w:rsidP="00E049DB">
            <w:pPr>
              <w:jc w:val="right"/>
              <w:rPr>
                <w:sz w:val="18"/>
                <w:szCs w:val="18"/>
                <w:highlight w:val="yellow"/>
              </w:rPr>
            </w:pPr>
            <w:r w:rsidRPr="00E30B5B">
              <w:rPr>
                <w:i/>
                <w:color w:val="000000"/>
                <w:sz w:val="18"/>
                <w:szCs w:val="18"/>
                <w:highlight w:val="yellow"/>
              </w:rPr>
              <w:fldChar w:fldCharType="begin">
                <w:ffData>
                  <w:name w:val="F_GEB_BD_target"/>
                  <w:enabled/>
                  <w:calcOnExit w:val="0"/>
                  <w:textInput/>
                </w:ffData>
              </w:fldChar>
            </w:r>
            <w:r w:rsidRPr="00E30B5B">
              <w:rPr>
                <w:i/>
                <w:color w:val="000000"/>
                <w:sz w:val="18"/>
                <w:szCs w:val="18"/>
                <w:highlight w:val="yellow"/>
              </w:rPr>
              <w:instrText xml:space="preserve"> FORMTEXT </w:instrText>
            </w:r>
            <w:r w:rsidRPr="00E30B5B">
              <w:rPr>
                <w:i/>
                <w:color w:val="000000"/>
                <w:sz w:val="18"/>
                <w:szCs w:val="18"/>
                <w:highlight w:val="yellow"/>
              </w:rPr>
            </w:r>
            <w:r w:rsidRPr="00E30B5B">
              <w:rPr>
                <w:i/>
                <w:color w:val="000000"/>
                <w:sz w:val="18"/>
                <w:szCs w:val="18"/>
                <w:highlight w:val="yellow"/>
              </w:rPr>
              <w:fldChar w:fldCharType="separate"/>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fldChar w:fldCharType="end"/>
            </w:r>
          </w:p>
        </w:tc>
        <w:tc>
          <w:tcPr>
            <w:tcW w:w="2782" w:type="dxa"/>
            <w:gridSpan w:val="2"/>
          </w:tcPr>
          <w:p w14:paraId="49A3847F" w14:textId="77777777" w:rsidR="007520C1" w:rsidRPr="00E30B5B" w:rsidRDefault="007520C1" w:rsidP="00E049DB">
            <w:pPr>
              <w:jc w:val="right"/>
              <w:rPr>
                <w:sz w:val="18"/>
                <w:szCs w:val="18"/>
                <w:highlight w:val="yellow"/>
              </w:rPr>
            </w:pPr>
            <w:r w:rsidRPr="00E30B5B">
              <w:rPr>
                <w:i/>
                <w:color w:val="000000"/>
                <w:sz w:val="18"/>
                <w:szCs w:val="18"/>
                <w:highlight w:val="yellow"/>
              </w:rPr>
              <w:fldChar w:fldCharType="begin">
                <w:ffData>
                  <w:name w:val="F_GEB_BD_target"/>
                  <w:enabled/>
                  <w:calcOnExit w:val="0"/>
                  <w:textInput/>
                </w:ffData>
              </w:fldChar>
            </w:r>
            <w:r w:rsidRPr="00E30B5B">
              <w:rPr>
                <w:i/>
                <w:color w:val="000000"/>
                <w:sz w:val="18"/>
                <w:szCs w:val="18"/>
                <w:highlight w:val="yellow"/>
              </w:rPr>
              <w:instrText xml:space="preserve"> FORMTEXT </w:instrText>
            </w:r>
            <w:r w:rsidRPr="00E30B5B">
              <w:rPr>
                <w:i/>
                <w:color w:val="000000"/>
                <w:sz w:val="18"/>
                <w:szCs w:val="18"/>
                <w:highlight w:val="yellow"/>
              </w:rPr>
            </w:r>
            <w:r w:rsidRPr="00E30B5B">
              <w:rPr>
                <w:i/>
                <w:color w:val="000000"/>
                <w:sz w:val="18"/>
                <w:szCs w:val="18"/>
                <w:highlight w:val="yellow"/>
              </w:rPr>
              <w:fldChar w:fldCharType="separate"/>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fldChar w:fldCharType="end"/>
            </w:r>
          </w:p>
        </w:tc>
        <w:tc>
          <w:tcPr>
            <w:tcW w:w="1485" w:type="dxa"/>
            <w:gridSpan w:val="3"/>
          </w:tcPr>
          <w:p w14:paraId="211EC93D" w14:textId="77777777" w:rsidR="007520C1" w:rsidRPr="00E30B5B" w:rsidRDefault="007520C1" w:rsidP="00E049DB">
            <w:pPr>
              <w:jc w:val="right"/>
              <w:rPr>
                <w:sz w:val="18"/>
                <w:szCs w:val="18"/>
                <w:highlight w:val="yellow"/>
              </w:rPr>
            </w:pPr>
            <w:r w:rsidRPr="00E30B5B">
              <w:rPr>
                <w:i/>
                <w:color w:val="000000"/>
                <w:sz w:val="18"/>
                <w:szCs w:val="18"/>
                <w:highlight w:val="yellow"/>
              </w:rPr>
              <w:fldChar w:fldCharType="begin">
                <w:ffData>
                  <w:name w:val="F_GEB_BD_target"/>
                  <w:enabled/>
                  <w:calcOnExit w:val="0"/>
                  <w:textInput/>
                </w:ffData>
              </w:fldChar>
            </w:r>
            <w:r w:rsidRPr="00E30B5B">
              <w:rPr>
                <w:i/>
                <w:color w:val="000000"/>
                <w:sz w:val="18"/>
                <w:szCs w:val="18"/>
                <w:highlight w:val="yellow"/>
              </w:rPr>
              <w:instrText xml:space="preserve"> FORMTEXT </w:instrText>
            </w:r>
            <w:r w:rsidRPr="00E30B5B">
              <w:rPr>
                <w:i/>
                <w:color w:val="000000"/>
                <w:sz w:val="18"/>
                <w:szCs w:val="18"/>
                <w:highlight w:val="yellow"/>
              </w:rPr>
            </w:r>
            <w:r w:rsidRPr="00E30B5B">
              <w:rPr>
                <w:i/>
                <w:color w:val="000000"/>
                <w:sz w:val="18"/>
                <w:szCs w:val="18"/>
                <w:highlight w:val="yellow"/>
              </w:rPr>
              <w:fldChar w:fldCharType="separate"/>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fldChar w:fldCharType="end"/>
            </w:r>
          </w:p>
        </w:tc>
        <w:tc>
          <w:tcPr>
            <w:tcW w:w="1324" w:type="dxa"/>
            <w:gridSpan w:val="2"/>
          </w:tcPr>
          <w:p w14:paraId="351AFF7B" w14:textId="77777777" w:rsidR="007520C1" w:rsidRPr="00E30B5B" w:rsidRDefault="007520C1" w:rsidP="00E049DB">
            <w:pPr>
              <w:jc w:val="right"/>
              <w:rPr>
                <w:sz w:val="18"/>
                <w:szCs w:val="18"/>
                <w:highlight w:val="yellow"/>
              </w:rPr>
            </w:pPr>
            <w:r w:rsidRPr="00E30B5B">
              <w:rPr>
                <w:i/>
                <w:color w:val="000000"/>
                <w:sz w:val="18"/>
                <w:szCs w:val="18"/>
                <w:highlight w:val="yellow"/>
              </w:rPr>
              <w:fldChar w:fldCharType="begin">
                <w:ffData>
                  <w:name w:val="F_GEB_BD_target"/>
                  <w:enabled/>
                  <w:calcOnExit w:val="0"/>
                  <w:textInput/>
                </w:ffData>
              </w:fldChar>
            </w:r>
            <w:r w:rsidRPr="00E30B5B">
              <w:rPr>
                <w:i/>
                <w:color w:val="000000"/>
                <w:sz w:val="18"/>
                <w:szCs w:val="18"/>
                <w:highlight w:val="yellow"/>
              </w:rPr>
              <w:instrText xml:space="preserve"> FORMTEXT </w:instrText>
            </w:r>
            <w:r w:rsidRPr="00E30B5B">
              <w:rPr>
                <w:i/>
                <w:color w:val="000000"/>
                <w:sz w:val="18"/>
                <w:szCs w:val="18"/>
                <w:highlight w:val="yellow"/>
              </w:rPr>
            </w:r>
            <w:r w:rsidRPr="00E30B5B">
              <w:rPr>
                <w:i/>
                <w:color w:val="000000"/>
                <w:sz w:val="18"/>
                <w:szCs w:val="18"/>
                <w:highlight w:val="yellow"/>
              </w:rPr>
              <w:fldChar w:fldCharType="separate"/>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fldChar w:fldCharType="end"/>
            </w:r>
          </w:p>
        </w:tc>
        <w:tc>
          <w:tcPr>
            <w:tcW w:w="1287" w:type="dxa"/>
          </w:tcPr>
          <w:p w14:paraId="67C7CEC0" w14:textId="77777777" w:rsidR="007520C1" w:rsidRPr="00E30B5B" w:rsidRDefault="007520C1" w:rsidP="00E049DB">
            <w:pPr>
              <w:jc w:val="right"/>
              <w:rPr>
                <w:sz w:val="18"/>
                <w:szCs w:val="18"/>
                <w:highlight w:val="yellow"/>
              </w:rPr>
            </w:pPr>
            <w:r w:rsidRPr="00E30B5B">
              <w:rPr>
                <w:i/>
                <w:color w:val="000000"/>
                <w:sz w:val="18"/>
                <w:szCs w:val="18"/>
                <w:highlight w:val="yellow"/>
              </w:rPr>
              <w:fldChar w:fldCharType="begin">
                <w:ffData>
                  <w:name w:val="F_GEB_BD_target"/>
                  <w:enabled/>
                  <w:calcOnExit w:val="0"/>
                  <w:textInput/>
                </w:ffData>
              </w:fldChar>
            </w:r>
            <w:r w:rsidRPr="00E30B5B">
              <w:rPr>
                <w:i/>
                <w:color w:val="000000"/>
                <w:sz w:val="18"/>
                <w:szCs w:val="18"/>
                <w:highlight w:val="yellow"/>
              </w:rPr>
              <w:instrText xml:space="preserve"> FORMTEXT </w:instrText>
            </w:r>
            <w:r w:rsidRPr="00E30B5B">
              <w:rPr>
                <w:i/>
                <w:color w:val="000000"/>
                <w:sz w:val="18"/>
                <w:szCs w:val="18"/>
                <w:highlight w:val="yellow"/>
              </w:rPr>
            </w:r>
            <w:r w:rsidRPr="00E30B5B">
              <w:rPr>
                <w:i/>
                <w:color w:val="000000"/>
                <w:sz w:val="18"/>
                <w:szCs w:val="18"/>
                <w:highlight w:val="yellow"/>
              </w:rPr>
              <w:fldChar w:fldCharType="separate"/>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fldChar w:fldCharType="end"/>
            </w:r>
          </w:p>
        </w:tc>
      </w:tr>
      <w:tr w:rsidR="007520C1" w:rsidRPr="004244E0" w14:paraId="1CCE5346" w14:textId="77777777" w:rsidTr="00DB02C4">
        <w:tc>
          <w:tcPr>
            <w:tcW w:w="1298" w:type="dxa"/>
            <w:shd w:val="clear" w:color="auto" w:fill="BFBFBF" w:themeFill="background1" w:themeFillShade="BF"/>
          </w:tcPr>
          <w:p w14:paraId="58099112" w14:textId="77777777" w:rsidR="007520C1" w:rsidRPr="00E30B5B" w:rsidRDefault="007520C1" w:rsidP="00E049DB">
            <w:pPr>
              <w:rPr>
                <w:sz w:val="18"/>
                <w:szCs w:val="18"/>
                <w:highlight w:val="yellow"/>
              </w:rPr>
            </w:pPr>
            <w:r w:rsidRPr="00E30B5B">
              <w:rPr>
                <w:sz w:val="18"/>
                <w:szCs w:val="18"/>
                <w:highlight w:val="yellow"/>
              </w:rPr>
              <w:t>Indicator 9.6</w:t>
            </w:r>
          </w:p>
        </w:tc>
        <w:tc>
          <w:tcPr>
            <w:tcW w:w="9537" w:type="dxa"/>
            <w:gridSpan w:val="10"/>
            <w:shd w:val="clear" w:color="auto" w:fill="BFBFBF" w:themeFill="background1" w:themeFillShade="BF"/>
          </w:tcPr>
          <w:p w14:paraId="020F376F" w14:textId="77777777" w:rsidR="007520C1" w:rsidRPr="00E30B5B" w:rsidRDefault="007520C1" w:rsidP="00E049DB">
            <w:pPr>
              <w:rPr>
                <w:color w:val="000000"/>
                <w:sz w:val="18"/>
                <w:szCs w:val="18"/>
                <w:highlight w:val="yellow"/>
              </w:rPr>
            </w:pPr>
            <w:r w:rsidRPr="00E30B5B">
              <w:rPr>
                <w:color w:val="000000"/>
                <w:sz w:val="18"/>
                <w:szCs w:val="18"/>
                <w:highlight w:val="yellow"/>
              </w:rPr>
              <w:t>Quantity of POPs/Mercury containing materials and products directly avoided</w:t>
            </w:r>
          </w:p>
        </w:tc>
      </w:tr>
      <w:tr w:rsidR="007520C1" w:rsidRPr="004244E0" w14:paraId="4DBC1CF3" w14:textId="77777777" w:rsidTr="00DB02C4">
        <w:tc>
          <w:tcPr>
            <w:tcW w:w="1298" w:type="dxa"/>
          </w:tcPr>
          <w:p w14:paraId="325D75E1" w14:textId="77777777" w:rsidR="007520C1" w:rsidRPr="00E30B5B" w:rsidRDefault="007520C1" w:rsidP="00E049DB">
            <w:pPr>
              <w:jc w:val="right"/>
              <w:rPr>
                <w:sz w:val="18"/>
                <w:szCs w:val="18"/>
                <w:highlight w:val="yellow"/>
              </w:rPr>
            </w:pPr>
          </w:p>
        </w:tc>
        <w:tc>
          <w:tcPr>
            <w:tcW w:w="933" w:type="dxa"/>
          </w:tcPr>
          <w:p w14:paraId="4680143A" w14:textId="77777777" w:rsidR="007520C1" w:rsidRPr="00E30B5B" w:rsidRDefault="007520C1" w:rsidP="00E049DB">
            <w:pPr>
              <w:jc w:val="right"/>
              <w:rPr>
                <w:sz w:val="18"/>
                <w:szCs w:val="18"/>
                <w:highlight w:val="yellow"/>
              </w:rPr>
            </w:pPr>
          </w:p>
        </w:tc>
        <w:tc>
          <w:tcPr>
            <w:tcW w:w="1726" w:type="dxa"/>
          </w:tcPr>
          <w:p w14:paraId="3A94C698" w14:textId="77777777" w:rsidR="007520C1" w:rsidRPr="00E30B5B" w:rsidRDefault="007520C1" w:rsidP="00E049DB">
            <w:pPr>
              <w:jc w:val="right"/>
              <w:rPr>
                <w:i/>
                <w:color w:val="000000"/>
                <w:sz w:val="18"/>
                <w:szCs w:val="18"/>
                <w:highlight w:val="yellow"/>
              </w:rPr>
            </w:pPr>
          </w:p>
        </w:tc>
        <w:tc>
          <w:tcPr>
            <w:tcW w:w="6878" w:type="dxa"/>
            <w:gridSpan w:val="8"/>
          </w:tcPr>
          <w:p w14:paraId="789380AB" w14:textId="77777777" w:rsidR="007520C1" w:rsidRPr="00E30B5B" w:rsidRDefault="007520C1" w:rsidP="00E049DB">
            <w:pPr>
              <w:jc w:val="center"/>
              <w:rPr>
                <w:color w:val="000000"/>
                <w:sz w:val="18"/>
                <w:szCs w:val="18"/>
                <w:highlight w:val="yellow"/>
              </w:rPr>
            </w:pPr>
            <w:r w:rsidRPr="00E30B5B">
              <w:rPr>
                <w:color w:val="000000"/>
                <w:sz w:val="18"/>
                <w:szCs w:val="18"/>
                <w:highlight w:val="yellow"/>
              </w:rPr>
              <w:t>Metric Tons</w:t>
            </w:r>
          </w:p>
        </w:tc>
      </w:tr>
      <w:tr w:rsidR="007520C1" w:rsidRPr="004244E0" w14:paraId="7ABB5F36" w14:textId="77777777" w:rsidTr="00DB02C4">
        <w:tc>
          <w:tcPr>
            <w:tcW w:w="1298" w:type="dxa"/>
          </w:tcPr>
          <w:p w14:paraId="44AF87CB" w14:textId="77777777" w:rsidR="007520C1" w:rsidRPr="00E30B5B" w:rsidRDefault="007520C1" w:rsidP="00E049DB">
            <w:pPr>
              <w:jc w:val="right"/>
              <w:rPr>
                <w:sz w:val="18"/>
                <w:szCs w:val="18"/>
                <w:highlight w:val="yellow"/>
              </w:rPr>
            </w:pPr>
          </w:p>
        </w:tc>
        <w:tc>
          <w:tcPr>
            <w:tcW w:w="933" w:type="dxa"/>
          </w:tcPr>
          <w:p w14:paraId="1CF957B5" w14:textId="77777777" w:rsidR="007520C1" w:rsidRPr="00E30B5B" w:rsidRDefault="007520C1" w:rsidP="00E049DB">
            <w:pPr>
              <w:jc w:val="right"/>
              <w:rPr>
                <w:sz w:val="18"/>
                <w:szCs w:val="18"/>
                <w:highlight w:val="yellow"/>
              </w:rPr>
            </w:pPr>
          </w:p>
        </w:tc>
        <w:tc>
          <w:tcPr>
            <w:tcW w:w="1726" w:type="dxa"/>
          </w:tcPr>
          <w:p w14:paraId="24A66FE1" w14:textId="77777777" w:rsidR="007520C1" w:rsidRPr="00E30B5B" w:rsidRDefault="007520C1" w:rsidP="00E049DB">
            <w:pPr>
              <w:jc w:val="right"/>
              <w:rPr>
                <w:i/>
                <w:color w:val="000000"/>
                <w:sz w:val="18"/>
                <w:szCs w:val="18"/>
                <w:highlight w:val="yellow"/>
              </w:rPr>
            </w:pPr>
          </w:p>
        </w:tc>
        <w:tc>
          <w:tcPr>
            <w:tcW w:w="4106" w:type="dxa"/>
            <w:gridSpan w:val="3"/>
          </w:tcPr>
          <w:p w14:paraId="201EDC43" w14:textId="77777777" w:rsidR="007520C1" w:rsidRPr="00E30B5B" w:rsidRDefault="007520C1" w:rsidP="00E049DB">
            <w:pPr>
              <w:jc w:val="right"/>
              <w:rPr>
                <w:i/>
                <w:color w:val="000000"/>
                <w:sz w:val="18"/>
                <w:szCs w:val="18"/>
                <w:highlight w:val="yellow"/>
              </w:rPr>
            </w:pPr>
            <w:r w:rsidRPr="00E30B5B">
              <w:rPr>
                <w:sz w:val="18"/>
                <w:szCs w:val="18"/>
                <w:highlight w:val="yellow"/>
              </w:rPr>
              <w:t>Expected</w:t>
            </w:r>
          </w:p>
        </w:tc>
        <w:tc>
          <w:tcPr>
            <w:tcW w:w="2772" w:type="dxa"/>
            <w:gridSpan w:val="5"/>
          </w:tcPr>
          <w:p w14:paraId="5AF4C1CB" w14:textId="77777777" w:rsidR="007520C1" w:rsidRPr="00E30B5B" w:rsidRDefault="007520C1" w:rsidP="00E049DB">
            <w:pPr>
              <w:jc w:val="right"/>
              <w:rPr>
                <w:i/>
                <w:color w:val="000000"/>
                <w:sz w:val="18"/>
                <w:szCs w:val="18"/>
                <w:highlight w:val="yellow"/>
              </w:rPr>
            </w:pPr>
            <w:r w:rsidRPr="00E30B5B">
              <w:rPr>
                <w:sz w:val="18"/>
                <w:szCs w:val="18"/>
                <w:highlight w:val="yellow"/>
              </w:rPr>
              <w:t>Achieved</w:t>
            </w:r>
          </w:p>
        </w:tc>
      </w:tr>
      <w:tr w:rsidR="007520C1" w:rsidRPr="004244E0" w14:paraId="1712DB21" w14:textId="77777777" w:rsidTr="00DB02C4">
        <w:tc>
          <w:tcPr>
            <w:tcW w:w="1298" w:type="dxa"/>
          </w:tcPr>
          <w:p w14:paraId="01408BFD" w14:textId="77777777" w:rsidR="007520C1" w:rsidRPr="00E30B5B" w:rsidRDefault="007520C1" w:rsidP="00E049DB">
            <w:pPr>
              <w:jc w:val="right"/>
              <w:rPr>
                <w:sz w:val="18"/>
                <w:szCs w:val="18"/>
                <w:highlight w:val="yellow"/>
              </w:rPr>
            </w:pPr>
          </w:p>
        </w:tc>
        <w:tc>
          <w:tcPr>
            <w:tcW w:w="933" w:type="dxa"/>
          </w:tcPr>
          <w:p w14:paraId="244715A5" w14:textId="77777777" w:rsidR="007520C1" w:rsidRPr="00E30B5B" w:rsidRDefault="007520C1" w:rsidP="00E049DB">
            <w:pPr>
              <w:jc w:val="right"/>
              <w:rPr>
                <w:sz w:val="18"/>
                <w:szCs w:val="18"/>
                <w:highlight w:val="yellow"/>
              </w:rPr>
            </w:pPr>
          </w:p>
        </w:tc>
        <w:tc>
          <w:tcPr>
            <w:tcW w:w="1726" w:type="dxa"/>
          </w:tcPr>
          <w:p w14:paraId="56161F47" w14:textId="77777777" w:rsidR="007520C1" w:rsidRPr="00E30B5B" w:rsidRDefault="007520C1" w:rsidP="00E049DB">
            <w:pPr>
              <w:jc w:val="right"/>
              <w:rPr>
                <w:i/>
                <w:color w:val="000000"/>
                <w:sz w:val="18"/>
                <w:szCs w:val="18"/>
                <w:highlight w:val="yellow"/>
              </w:rPr>
            </w:pPr>
          </w:p>
        </w:tc>
        <w:tc>
          <w:tcPr>
            <w:tcW w:w="2782" w:type="dxa"/>
            <w:gridSpan w:val="2"/>
          </w:tcPr>
          <w:p w14:paraId="29BABEF3" w14:textId="77777777" w:rsidR="007520C1" w:rsidRPr="00E30B5B" w:rsidRDefault="007520C1" w:rsidP="00E049DB">
            <w:pPr>
              <w:jc w:val="right"/>
              <w:rPr>
                <w:i/>
                <w:color w:val="000000"/>
                <w:sz w:val="18"/>
                <w:szCs w:val="18"/>
                <w:highlight w:val="yellow"/>
              </w:rPr>
            </w:pPr>
            <w:r w:rsidRPr="00E30B5B">
              <w:rPr>
                <w:sz w:val="18"/>
                <w:szCs w:val="18"/>
                <w:highlight w:val="yellow"/>
              </w:rPr>
              <w:t>PIF stage</w:t>
            </w:r>
          </w:p>
        </w:tc>
        <w:tc>
          <w:tcPr>
            <w:tcW w:w="1485" w:type="dxa"/>
            <w:gridSpan w:val="3"/>
          </w:tcPr>
          <w:p w14:paraId="7C3C2B78" w14:textId="77777777" w:rsidR="007520C1" w:rsidRPr="00E30B5B" w:rsidRDefault="007520C1" w:rsidP="00E049DB">
            <w:pPr>
              <w:jc w:val="right"/>
              <w:rPr>
                <w:i/>
                <w:color w:val="000000"/>
                <w:sz w:val="18"/>
                <w:szCs w:val="18"/>
                <w:highlight w:val="yellow"/>
              </w:rPr>
            </w:pPr>
            <w:r w:rsidRPr="00E30B5B">
              <w:rPr>
                <w:sz w:val="18"/>
                <w:szCs w:val="18"/>
                <w:highlight w:val="yellow"/>
              </w:rPr>
              <w:t>Endorsement</w:t>
            </w:r>
          </w:p>
        </w:tc>
        <w:tc>
          <w:tcPr>
            <w:tcW w:w="1324" w:type="dxa"/>
            <w:gridSpan w:val="2"/>
          </w:tcPr>
          <w:p w14:paraId="2B5C8777" w14:textId="77777777" w:rsidR="007520C1" w:rsidRPr="00E30B5B" w:rsidRDefault="007520C1" w:rsidP="00E049DB">
            <w:pPr>
              <w:jc w:val="right"/>
              <w:rPr>
                <w:i/>
                <w:color w:val="000000"/>
                <w:sz w:val="18"/>
                <w:szCs w:val="18"/>
                <w:highlight w:val="yellow"/>
              </w:rPr>
            </w:pPr>
            <w:r w:rsidRPr="00E30B5B">
              <w:rPr>
                <w:sz w:val="18"/>
                <w:szCs w:val="18"/>
                <w:highlight w:val="yellow"/>
              </w:rPr>
              <w:t>PIF stage</w:t>
            </w:r>
          </w:p>
        </w:tc>
        <w:tc>
          <w:tcPr>
            <w:tcW w:w="1287" w:type="dxa"/>
          </w:tcPr>
          <w:p w14:paraId="17C5B73A" w14:textId="77777777" w:rsidR="007520C1" w:rsidRPr="00E30B5B" w:rsidRDefault="007520C1" w:rsidP="00E049DB">
            <w:pPr>
              <w:jc w:val="right"/>
              <w:rPr>
                <w:i/>
                <w:color w:val="000000"/>
                <w:sz w:val="18"/>
                <w:szCs w:val="18"/>
                <w:highlight w:val="yellow"/>
              </w:rPr>
            </w:pPr>
            <w:r w:rsidRPr="00E30B5B">
              <w:rPr>
                <w:sz w:val="18"/>
                <w:szCs w:val="18"/>
                <w:highlight w:val="yellow"/>
              </w:rPr>
              <w:t>Endorsement</w:t>
            </w:r>
          </w:p>
        </w:tc>
      </w:tr>
      <w:tr w:rsidR="007520C1" w:rsidRPr="004244E0" w14:paraId="726B5CC4" w14:textId="77777777" w:rsidTr="00DB02C4">
        <w:tc>
          <w:tcPr>
            <w:tcW w:w="1298" w:type="dxa"/>
          </w:tcPr>
          <w:p w14:paraId="496D3729" w14:textId="77777777" w:rsidR="007520C1" w:rsidRPr="00E30B5B" w:rsidRDefault="007520C1" w:rsidP="00E049DB">
            <w:pPr>
              <w:jc w:val="right"/>
              <w:rPr>
                <w:sz w:val="18"/>
                <w:szCs w:val="18"/>
                <w:highlight w:val="yellow"/>
              </w:rPr>
            </w:pPr>
          </w:p>
        </w:tc>
        <w:tc>
          <w:tcPr>
            <w:tcW w:w="933" w:type="dxa"/>
          </w:tcPr>
          <w:p w14:paraId="7DEA063E" w14:textId="77777777" w:rsidR="007520C1" w:rsidRPr="00E30B5B" w:rsidRDefault="007520C1" w:rsidP="00E049DB">
            <w:pPr>
              <w:jc w:val="right"/>
              <w:rPr>
                <w:sz w:val="18"/>
                <w:szCs w:val="18"/>
                <w:highlight w:val="yellow"/>
              </w:rPr>
            </w:pPr>
          </w:p>
        </w:tc>
        <w:tc>
          <w:tcPr>
            <w:tcW w:w="1726" w:type="dxa"/>
          </w:tcPr>
          <w:p w14:paraId="15FE7D60" w14:textId="77777777" w:rsidR="007520C1" w:rsidRPr="00E30B5B" w:rsidRDefault="007520C1" w:rsidP="00E049DB">
            <w:pPr>
              <w:jc w:val="right"/>
              <w:rPr>
                <w:i/>
                <w:color w:val="000000"/>
                <w:sz w:val="18"/>
                <w:szCs w:val="18"/>
                <w:highlight w:val="yellow"/>
              </w:rPr>
            </w:pPr>
          </w:p>
        </w:tc>
        <w:tc>
          <w:tcPr>
            <w:tcW w:w="2782" w:type="dxa"/>
            <w:gridSpan w:val="2"/>
          </w:tcPr>
          <w:p w14:paraId="5F1C814C" w14:textId="77777777" w:rsidR="007520C1" w:rsidRPr="00E30B5B" w:rsidRDefault="007520C1" w:rsidP="00E049DB">
            <w:pPr>
              <w:jc w:val="right"/>
              <w:rPr>
                <w:i/>
                <w:color w:val="000000"/>
                <w:sz w:val="18"/>
                <w:szCs w:val="18"/>
                <w:highlight w:val="yellow"/>
              </w:rPr>
            </w:pPr>
            <w:r w:rsidRPr="00E30B5B">
              <w:rPr>
                <w:i/>
                <w:color w:val="000000"/>
                <w:sz w:val="18"/>
                <w:szCs w:val="18"/>
                <w:highlight w:val="yellow"/>
              </w:rPr>
              <w:fldChar w:fldCharType="begin">
                <w:ffData>
                  <w:name w:val="F_GEB_BD_target"/>
                  <w:enabled/>
                  <w:calcOnExit w:val="0"/>
                  <w:textInput/>
                </w:ffData>
              </w:fldChar>
            </w:r>
            <w:r w:rsidRPr="00E30B5B">
              <w:rPr>
                <w:i/>
                <w:color w:val="000000"/>
                <w:sz w:val="18"/>
                <w:szCs w:val="18"/>
                <w:highlight w:val="yellow"/>
              </w:rPr>
              <w:instrText xml:space="preserve"> FORMTEXT </w:instrText>
            </w:r>
            <w:r w:rsidRPr="00E30B5B">
              <w:rPr>
                <w:i/>
                <w:color w:val="000000"/>
                <w:sz w:val="18"/>
                <w:szCs w:val="18"/>
                <w:highlight w:val="yellow"/>
              </w:rPr>
            </w:r>
            <w:r w:rsidRPr="00E30B5B">
              <w:rPr>
                <w:i/>
                <w:color w:val="000000"/>
                <w:sz w:val="18"/>
                <w:szCs w:val="18"/>
                <w:highlight w:val="yellow"/>
              </w:rPr>
              <w:fldChar w:fldCharType="separate"/>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fldChar w:fldCharType="end"/>
            </w:r>
          </w:p>
        </w:tc>
        <w:tc>
          <w:tcPr>
            <w:tcW w:w="1485" w:type="dxa"/>
            <w:gridSpan w:val="3"/>
          </w:tcPr>
          <w:p w14:paraId="63992E01" w14:textId="77777777" w:rsidR="007520C1" w:rsidRPr="00E30B5B" w:rsidRDefault="007520C1" w:rsidP="00E049DB">
            <w:pPr>
              <w:jc w:val="right"/>
              <w:rPr>
                <w:i/>
                <w:color w:val="000000"/>
                <w:sz w:val="18"/>
                <w:szCs w:val="18"/>
                <w:highlight w:val="yellow"/>
              </w:rPr>
            </w:pPr>
            <w:r w:rsidRPr="00E30B5B">
              <w:rPr>
                <w:i/>
                <w:color w:val="000000"/>
                <w:sz w:val="18"/>
                <w:szCs w:val="18"/>
                <w:highlight w:val="yellow"/>
              </w:rPr>
              <w:fldChar w:fldCharType="begin">
                <w:ffData>
                  <w:name w:val="F_GEB_BD_target"/>
                  <w:enabled/>
                  <w:calcOnExit w:val="0"/>
                  <w:textInput/>
                </w:ffData>
              </w:fldChar>
            </w:r>
            <w:r w:rsidRPr="00E30B5B">
              <w:rPr>
                <w:i/>
                <w:color w:val="000000"/>
                <w:sz w:val="18"/>
                <w:szCs w:val="18"/>
                <w:highlight w:val="yellow"/>
              </w:rPr>
              <w:instrText xml:space="preserve"> FORMTEXT </w:instrText>
            </w:r>
            <w:r w:rsidRPr="00E30B5B">
              <w:rPr>
                <w:i/>
                <w:color w:val="000000"/>
                <w:sz w:val="18"/>
                <w:szCs w:val="18"/>
                <w:highlight w:val="yellow"/>
              </w:rPr>
            </w:r>
            <w:r w:rsidRPr="00E30B5B">
              <w:rPr>
                <w:i/>
                <w:color w:val="000000"/>
                <w:sz w:val="18"/>
                <w:szCs w:val="18"/>
                <w:highlight w:val="yellow"/>
              </w:rPr>
              <w:fldChar w:fldCharType="separate"/>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fldChar w:fldCharType="end"/>
            </w:r>
          </w:p>
        </w:tc>
        <w:tc>
          <w:tcPr>
            <w:tcW w:w="1324" w:type="dxa"/>
            <w:gridSpan w:val="2"/>
          </w:tcPr>
          <w:p w14:paraId="0686BDB3" w14:textId="77777777" w:rsidR="007520C1" w:rsidRPr="00E30B5B" w:rsidRDefault="007520C1" w:rsidP="00E049DB">
            <w:pPr>
              <w:jc w:val="right"/>
              <w:rPr>
                <w:i/>
                <w:color w:val="000000"/>
                <w:sz w:val="18"/>
                <w:szCs w:val="18"/>
                <w:highlight w:val="yellow"/>
              </w:rPr>
            </w:pPr>
            <w:r w:rsidRPr="00E30B5B">
              <w:rPr>
                <w:i/>
                <w:color w:val="000000"/>
                <w:sz w:val="18"/>
                <w:szCs w:val="18"/>
                <w:highlight w:val="yellow"/>
              </w:rPr>
              <w:fldChar w:fldCharType="begin">
                <w:ffData>
                  <w:name w:val="F_GEB_BD_target"/>
                  <w:enabled/>
                  <w:calcOnExit w:val="0"/>
                  <w:textInput/>
                </w:ffData>
              </w:fldChar>
            </w:r>
            <w:r w:rsidRPr="00E30B5B">
              <w:rPr>
                <w:i/>
                <w:color w:val="000000"/>
                <w:sz w:val="18"/>
                <w:szCs w:val="18"/>
                <w:highlight w:val="yellow"/>
              </w:rPr>
              <w:instrText xml:space="preserve"> FORMTEXT </w:instrText>
            </w:r>
            <w:r w:rsidRPr="00E30B5B">
              <w:rPr>
                <w:i/>
                <w:color w:val="000000"/>
                <w:sz w:val="18"/>
                <w:szCs w:val="18"/>
                <w:highlight w:val="yellow"/>
              </w:rPr>
            </w:r>
            <w:r w:rsidRPr="00E30B5B">
              <w:rPr>
                <w:i/>
                <w:color w:val="000000"/>
                <w:sz w:val="18"/>
                <w:szCs w:val="18"/>
                <w:highlight w:val="yellow"/>
              </w:rPr>
              <w:fldChar w:fldCharType="separate"/>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fldChar w:fldCharType="end"/>
            </w:r>
          </w:p>
        </w:tc>
        <w:tc>
          <w:tcPr>
            <w:tcW w:w="1287" w:type="dxa"/>
          </w:tcPr>
          <w:p w14:paraId="7A282DA0" w14:textId="77777777" w:rsidR="007520C1" w:rsidRPr="00E30B5B" w:rsidRDefault="007520C1" w:rsidP="00E049DB">
            <w:pPr>
              <w:jc w:val="right"/>
              <w:rPr>
                <w:i/>
                <w:color w:val="000000"/>
                <w:sz w:val="18"/>
                <w:szCs w:val="18"/>
                <w:highlight w:val="yellow"/>
              </w:rPr>
            </w:pPr>
            <w:r w:rsidRPr="00E30B5B">
              <w:rPr>
                <w:i/>
                <w:color w:val="000000"/>
                <w:sz w:val="18"/>
                <w:szCs w:val="18"/>
                <w:highlight w:val="yellow"/>
              </w:rPr>
              <w:fldChar w:fldCharType="begin">
                <w:ffData>
                  <w:name w:val="F_GEB_BD_target"/>
                  <w:enabled/>
                  <w:calcOnExit w:val="0"/>
                  <w:textInput/>
                </w:ffData>
              </w:fldChar>
            </w:r>
            <w:r w:rsidRPr="00E30B5B">
              <w:rPr>
                <w:i/>
                <w:color w:val="000000"/>
                <w:sz w:val="18"/>
                <w:szCs w:val="18"/>
                <w:highlight w:val="yellow"/>
              </w:rPr>
              <w:instrText xml:space="preserve"> FORMTEXT </w:instrText>
            </w:r>
            <w:r w:rsidRPr="00E30B5B">
              <w:rPr>
                <w:i/>
                <w:color w:val="000000"/>
                <w:sz w:val="18"/>
                <w:szCs w:val="18"/>
                <w:highlight w:val="yellow"/>
              </w:rPr>
            </w:r>
            <w:r w:rsidRPr="00E30B5B">
              <w:rPr>
                <w:i/>
                <w:color w:val="000000"/>
                <w:sz w:val="18"/>
                <w:szCs w:val="18"/>
                <w:highlight w:val="yellow"/>
              </w:rPr>
              <w:fldChar w:fldCharType="separate"/>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fldChar w:fldCharType="end"/>
            </w:r>
          </w:p>
        </w:tc>
      </w:tr>
      <w:tr w:rsidR="007520C1" w:rsidRPr="004244E0" w14:paraId="59EA93DB" w14:textId="77777777" w:rsidTr="00DB02C4">
        <w:tc>
          <w:tcPr>
            <w:tcW w:w="1298" w:type="dxa"/>
          </w:tcPr>
          <w:p w14:paraId="1BD2BEF8" w14:textId="77777777" w:rsidR="007520C1" w:rsidRPr="00E30B5B" w:rsidRDefault="007520C1" w:rsidP="00E049DB">
            <w:pPr>
              <w:jc w:val="right"/>
              <w:rPr>
                <w:sz w:val="18"/>
                <w:szCs w:val="18"/>
                <w:highlight w:val="yellow"/>
              </w:rPr>
            </w:pPr>
          </w:p>
        </w:tc>
        <w:tc>
          <w:tcPr>
            <w:tcW w:w="933" w:type="dxa"/>
          </w:tcPr>
          <w:p w14:paraId="7EF4FBFE" w14:textId="77777777" w:rsidR="007520C1" w:rsidRPr="00E30B5B" w:rsidRDefault="007520C1" w:rsidP="00E049DB">
            <w:pPr>
              <w:jc w:val="right"/>
              <w:rPr>
                <w:sz w:val="18"/>
                <w:szCs w:val="18"/>
                <w:highlight w:val="yellow"/>
              </w:rPr>
            </w:pPr>
          </w:p>
        </w:tc>
        <w:tc>
          <w:tcPr>
            <w:tcW w:w="1726" w:type="dxa"/>
          </w:tcPr>
          <w:p w14:paraId="17743F8E" w14:textId="77777777" w:rsidR="007520C1" w:rsidRPr="00E30B5B" w:rsidRDefault="007520C1" w:rsidP="00E049DB">
            <w:pPr>
              <w:jc w:val="right"/>
              <w:rPr>
                <w:i/>
                <w:color w:val="000000"/>
                <w:sz w:val="18"/>
                <w:szCs w:val="18"/>
                <w:highlight w:val="yellow"/>
              </w:rPr>
            </w:pPr>
          </w:p>
        </w:tc>
        <w:tc>
          <w:tcPr>
            <w:tcW w:w="2782" w:type="dxa"/>
            <w:gridSpan w:val="2"/>
          </w:tcPr>
          <w:p w14:paraId="61B6DCDC" w14:textId="77777777" w:rsidR="007520C1" w:rsidRPr="00E30B5B" w:rsidRDefault="007520C1" w:rsidP="00E049DB">
            <w:pPr>
              <w:jc w:val="right"/>
              <w:rPr>
                <w:i/>
                <w:color w:val="000000"/>
                <w:sz w:val="18"/>
                <w:szCs w:val="18"/>
                <w:highlight w:val="yellow"/>
              </w:rPr>
            </w:pPr>
            <w:r w:rsidRPr="00E30B5B">
              <w:rPr>
                <w:i/>
                <w:color w:val="000000"/>
                <w:sz w:val="18"/>
                <w:szCs w:val="18"/>
                <w:highlight w:val="yellow"/>
              </w:rPr>
              <w:fldChar w:fldCharType="begin">
                <w:ffData>
                  <w:name w:val="F_GEB_BD_target"/>
                  <w:enabled/>
                  <w:calcOnExit w:val="0"/>
                  <w:textInput/>
                </w:ffData>
              </w:fldChar>
            </w:r>
            <w:r w:rsidRPr="00E30B5B">
              <w:rPr>
                <w:i/>
                <w:color w:val="000000"/>
                <w:sz w:val="18"/>
                <w:szCs w:val="18"/>
                <w:highlight w:val="yellow"/>
              </w:rPr>
              <w:instrText xml:space="preserve"> FORMTEXT </w:instrText>
            </w:r>
            <w:r w:rsidRPr="00E30B5B">
              <w:rPr>
                <w:i/>
                <w:color w:val="000000"/>
                <w:sz w:val="18"/>
                <w:szCs w:val="18"/>
                <w:highlight w:val="yellow"/>
              </w:rPr>
            </w:r>
            <w:r w:rsidRPr="00E30B5B">
              <w:rPr>
                <w:i/>
                <w:color w:val="000000"/>
                <w:sz w:val="18"/>
                <w:szCs w:val="18"/>
                <w:highlight w:val="yellow"/>
              </w:rPr>
              <w:fldChar w:fldCharType="separate"/>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fldChar w:fldCharType="end"/>
            </w:r>
          </w:p>
        </w:tc>
        <w:tc>
          <w:tcPr>
            <w:tcW w:w="1485" w:type="dxa"/>
            <w:gridSpan w:val="3"/>
          </w:tcPr>
          <w:p w14:paraId="3F43DF8E" w14:textId="77777777" w:rsidR="007520C1" w:rsidRPr="00E30B5B" w:rsidRDefault="007520C1" w:rsidP="00E049DB">
            <w:pPr>
              <w:jc w:val="right"/>
              <w:rPr>
                <w:i/>
                <w:color w:val="000000"/>
                <w:sz w:val="18"/>
                <w:szCs w:val="18"/>
                <w:highlight w:val="yellow"/>
              </w:rPr>
            </w:pPr>
            <w:r w:rsidRPr="00E30B5B">
              <w:rPr>
                <w:i/>
                <w:color w:val="000000"/>
                <w:sz w:val="18"/>
                <w:szCs w:val="18"/>
                <w:highlight w:val="yellow"/>
              </w:rPr>
              <w:fldChar w:fldCharType="begin">
                <w:ffData>
                  <w:name w:val="F_GEB_BD_target"/>
                  <w:enabled/>
                  <w:calcOnExit w:val="0"/>
                  <w:textInput/>
                </w:ffData>
              </w:fldChar>
            </w:r>
            <w:r w:rsidRPr="00E30B5B">
              <w:rPr>
                <w:i/>
                <w:color w:val="000000"/>
                <w:sz w:val="18"/>
                <w:szCs w:val="18"/>
                <w:highlight w:val="yellow"/>
              </w:rPr>
              <w:instrText xml:space="preserve"> FORMTEXT </w:instrText>
            </w:r>
            <w:r w:rsidRPr="00E30B5B">
              <w:rPr>
                <w:i/>
                <w:color w:val="000000"/>
                <w:sz w:val="18"/>
                <w:szCs w:val="18"/>
                <w:highlight w:val="yellow"/>
              </w:rPr>
            </w:r>
            <w:r w:rsidRPr="00E30B5B">
              <w:rPr>
                <w:i/>
                <w:color w:val="000000"/>
                <w:sz w:val="18"/>
                <w:szCs w:val="18"/>
                <w:highlight w:val="yellow"/>
              </w:rPr>
              <w:fldChar w:fldCharType="separate"/>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fldChar w:fldCharType="end"/>
            </w:r>
          </w:p>
        </w:tc>
        <w:tc>
          <w:tcPr>
            <w:tcW w:w="1324" w:type="dxa"/>
            <w:gridSpan w:val="2"/>
          </w:tcPr>
          <w:p w14:paraId="29E41930" w14:textId="77777777" w:rsidR="007520C1" w:rsidRPr="00E30B5B" w:rsidRDefault="007520C1" w:rsidP="00E049DB">
            <w:pPr>
              <w:jc w:val="right"/>
              <w:rPr>
                <w:i/>
                <w:color w:val="000000"/>
                <w:sz w:val="18"/>
                <w:szCs w:val="18"/>
                <w:highlight w:val="yellow"/>
              </w:rPr>
            </w:pPr>
            <w:r w:rsidRPr="00E30B5B">
              <w:rPr>
                <w:i/>
                <w:color w:val="000000"/>
                <w:sz w:val="18"/>
                <w:szCs w:val="18"/>
                <w:highlight w:val="yellow"/>
              </w:rPr>
              <w:fldChar w:fldCharType="begin">
                <w:ffData>
                  <w:name w:val="F_GEB_BD_target"/>
                  <w:enabled/>
                  <w:calcOnExit w:val="0"/>
                  <w:textInput/>
                </w:ffData>
              </w:fldChar>
            </w:r>
            <w:r w:rsidRPr="00E30B5B">
              <w:rPr>
                <w:i/>
                <w:color w:val="000000"/>
                <w:sz w:val="18"/>
                <w:szCs w:val="18"/>
                <w:highlight w:val="yellow"/>
              </w:rPr>
              <w:instrText xml:space="preserve"> FORMTEXT </w:instrText>
            </w:r>
            <w:r w:rsidRPr="00E30B5B">
              <w:rPr>
                <w:i/>
                <w:color w:val="000000"/>
                <w:sz w:val="18"/>
                <w:szCs w:val="18"/>
                <w:highlight w:val="yellow"/>
              </w:rPr>
            </w:r>
            <w:r w:rsidRPr="00E30B5B">
              <w:rPr>
                <w:i/>
                <w:color w:val="000000"/>
                <w:sz w:val="18"/>
                <w:szCs w:val="18"/>
                <w:highlight w:val="yellow"/>
              </w:rPr>
              <w:fldChar w:fldCharType="separate"/>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fldChar w:fldCharType="end"/>
            </w:r>
          </w:p>
        </w:tc>
        <w:tc>
          <w:tcPr>
            <w:tcW w:w="1287" w:type="dxa"/>
          </w:tcPr>
          <w:p w14:paraId="2EA70EAB" w14:textId="77777777" w:rsidR="007520C1" w:rsidRPr="00E30B5B" w:rsidRDefault="007520C1" w:rsidP="00E049DB">
            <w:pPr>
              <w:jc w:val="right"/>
              <w:rPr>
                <w:i/>
                <w:color w:val="000000"/>
                <w:sz w:val="18"/>
                <w:szCs w:val="18"/>
                <w:highlight w:val="yellow"/>
              </w:rPr>
            </w:pPr>
            <w:r w:rsidRPr="00E30B5B">
              <w:rPr>
                <w:i/>
                <w:color w:val="000000"/>
                <w:sz w:val="18"/>
                <w:szCs w:val="18"/>
                <w:highlight w:val="yellow"/>
              </w:rPr>
              <w:fldChar w:fldCharType="begin">
                <w:ffData>
                  <w:name w:val="F_GEB_BD_target"/>
                  <w:enabled/>
                  <w:calcOnExit w:val="0"/>
                  <w:textInput/>
                </w:ffData>
              </w:fldChar>
            </w:r>
            <w:r w:rsidRPr="00E30B5B">
              <w:rPr>
                <w:i/>
                <w:color w:val="000000"/>
                <w:sz w:val="18"/>
                <w:szCs w:val="18"/>
                <w:highlight w:val="yellow"/>
              </w:rPr>
              <w:instrText xml:space="preserve"> FORMTEXT </w:instrText>
            </w:r>
            <w:r w:rsidRPr="00E30B5B">
              <w:rPr>
                <w:i/>
                <w:color w:val="000000"/>
                <w:sz w:val="18"/>
                <w:szCs w:val="18"/>
                <w:highlight w:val="yellow"/>
              </w:rPr>
            </w:r>
            <w:r w:rsidRPr="00E30B5B">
              <w:rPr>
                <w:i/>
                <w:color w:val="000000"/>
                <w:sz w:val="18"/>
                <w:szCs w:val="18"/>
                <w:highlight w:val="yellow"/>
              </w:rPr>
              <w:fldChar w:fldCharType="separate"/>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fldChar w:fldCharType="end"/>
            </w:r>
          </w:p>
        </w:tc>
      </w:tr>
      <w:tr w:rsidR="007520C1" w:rsidRPr="004244E0" w14:paraId="4B2B8FB9" w14:textId="77777777" w:rsidTr="00DB02C4">
        <w:tc>
          <w:tcPr>
            <w:tcW w:w="1298" w:type="dxa"/>
            <w:shd w:val="clear" w:color="auto" w:fill="D9D9D9" w:themeFill="background1" w:themeFillShade="D9"/>
          </w:tcPr>
          <w:p w14:paraId="17371B51" w14:textId="77777777" w:rsidR="007520C1" w:rsidRPr="00E30B5B" w:rsidRDefault="007520C1" w:rsidP="00E049DB">
            <w:pPr>
              <w:rPr>
                <w:b/>
                <w:sz w:val="18"/>
                <w:szCs w:val="18"/>
                <w:highlight w:val="yellow"/>
              </w:rPr>
            </w:pPr>
            <w:r w:rsidRPr="00E30B5B">
              <w:rPr>
                <w:b/>
                <w:sz w:val="18"/>
                <w:szCs w:val="18"/>
                <w:highlight w:val="yellow"/>
              </w:rPr>
              <w:t>Core Indicator 10</w:t>
            </w:r>
          </w:p>
        </w:tc>
        <w:tc>
          <w:tcPr>
            <w:tcW w:w="6765" w:type="dxa"/>
            <w:gridSpan w:val="5"/>
            <w:shd w:val="clear" w:color="auto" w:fill="D9D9D9" w:themeFill="background1" w:themeFillShade="D9"/>
          </w:tcPr>
          <w:p w14:paraId="381FB556" w14:textId="77777777" w:rsidR="007520C1" w:rsidRPr="00E30B5B" w:rsidRDefault="007520C1" w:rsidP="00E049DB">
            <w:pPr>
              <w:rPr>
                <w:b/>
                <w:sz w:val="18"/>
                <w:szCs w:val="18"/>
                <w:highlight w:val="yellow"/>
              </w:rPr>
            </w:pPr>
            <w:r w:rsidRPr="00E30B5B">
              <w:rPr>
                <w:b/>
                <w:sz w:val="18"/>
                <w:szCs w:val="18"/>
                <w:highlight w:val="yellow"/>
              </w:rPr>
              <w:t xml:space="preserve">Reduction, avoidance of emissions of POPs to air from point and non-point sources </w:t>
            </w:r>
          </w:p>
        </w:tc>
        <w:tc>
          <w:tcPr>
            <w:tcW w:w="2772" w:type="dxa"/>
            <w:gridSpan w:val="5"/>
            <w:shd w:val="clear" w:color="auto" w:fill="D9D9D9" w:themeFill="background1" w:themeFillShade="D9"/>
          </w:tcPr>
          <w:p w14:paraId="337C85F3" w14:textId="77777777" w:rsidR="007520C1" w:rsidRPr="00E30B5B" w:rsidRDefault="007520C1" w:rsidP="00E049DB">
            <w:pPr>
              <w:jc w:val="right"/>
              <w:rPr>
                <w:b/>
                <w:sz w:val="18"/>
                <w:szCs w:val="18"/>
                <w:highlight w:val="yellow"/>
              </w:rPr>
            </w:pPr>
            <w:r w:rsidRPr="00E30B5B">
              <w:rPr>
                <w:b/>
                <w:i/>
                <w:color w:val="000000"/>
                <w:sz w:val="18"/>
                <w:szCs w:val="18"/>
                <w:highlight w:val="yellow"/>
              </w:rPr>
              <w:fldChar w:fldCharType="begin">
                <w:ffData>
                  <w:name w:val=""/>
                  <w:enabled/>
                  <w:calcOnExit w:val="0"/>
                  <w:textInput>
                    <w:default w:val="(Grams)"/>
                  </w:textInput>
                </w:ffData>
              </w:fldChar>
            </w:r>
            <w:r w:rsidRPr="00E30B5B">
              <w:rPr>
                <w:b/>
                <w:i/>
                <w:color w:val="000000"/>
                <w:sz w:val="18"/>
                <w:szCs w:val="18"/>
                <w:highlight w:val="yellow"/>
              </w:rPr>
              <w:instrText xml:space="preserve"> FORMTEXT </w:instrText>
            </w:r>
            <w:r w:rsidRPr="00E30B5B">
              <w:rPr>
                <w:b/>
                <w:i/>
                <w:color w:val="000000"/>
                <w:sz w:val="18"/>
                <w:szCs w:val="18"/>
                <w:highlight w:val="yellow"/>
              </w:rPr>
            </w:r>
            <w:r w:rsidRPr="00E30B5B">
              <w:rPr>
                <w:b/>
                <w:i/>
                <w:color w:val="000000"/>
                <w:sz w:val="18"/>
                <w:szCs w:val="18"/>
                <w:highlight w:val="yellow"/>
              </w:rPr>
              <w:fldChar w:fldCharType="separate"/>
            </w:r>
            <w:r w:rsidRPr="00E30B5B">
              <w:rPr>
                <w:b/>
                <w:i/>
                <w:color w:val="000000"/>
                <w:sz w:val="18"/>
                <w:szCs w:val="18"/>
                <w:highlight w:val="yellow"/>
              </w:rPr>
              <w:t>(grams of toxic equivalent gTEQ)</w:t>
            </w:r>
            <w:r w:rsidRPr="00E30B5B">
              <w:rPr>
                <w:b/>
                <w:i/>
                <w:color w:val="000000"/>
                <w:sz w:val="18"/>
                <w:szCs w:val="18"/>
                <w:highlight w:val="yellow"/>
              </w:rPr>
              <w:fldChar w:fldCharType="end"/>
            </w:r>
          </w:p>
        </w:tc>
      </w:tr>
      <w:tr w:rsidR="007520C1" w:rsidRPr="004244E0" w14:paraId="2D6B8BA0" w14:textId="77777777" w:rsidTr="00DB02C4">
        <w:tc>
          <w:tcPr>
            <w:tcW w:w="1298" w:type="dxa"/>
            <w:shd w:val="clear" w:color="auto" w:fill="BFBFBF" w:themeFill="background1" w:themeFillShade="BF"/>
          </w:tcPr>
          <w:p w14:paraId="61357AE1" w14:textId="77777777" w:rsidR="007520C1" w:rsidRPr="00E30B5B" w:rsidRDefault="007520C1" w:rsidP="00E049DB">
            <w:pPr>
              <w:rPr>
                <w:sz w:val="18"/>
                <w:szCs w:val="18"/>
                <w:highlight w:val="yellow"/>
              </w:rPr>
            </w:pPr>
            <w:r w:rsidRPr="00E30B5B">
              <w:rPr>
                <w:sz w:val="18"/>
                <w:szCs w:val="18"/>
                <w:highlight w:val="yellow"/>
              </w:rPr>
              <w:t>Indicator 10.1</w:t>
            </w:r>
          </w:p>
        </w:tc>
        <w:tc>
          <w:tcPr>
            <w:tcW w:w="6765" w:type="dxa"/>
            <w:gridSpan w:val="5"/>
            <w:shd w:val="clear" w:color="auto" w:fill="BFBFBF" w:themeFill="background1" w:themeFillShade="BF"/>
          </w:tcPr>
          <w:p w14:paraId="5BB7FF4D" w14:textId="77777777" w:rsidR="007520C1" w:rsidRPr="00E30B5B" w:rsidRDefault="007520C1" w:rsidP="00E049DB">
            <w:pPr>
              <w:rPr>
                <w:sz w:val="18"/>
                <w:szCs w:val="18"/>
                <w:highlight w:val="yellow"/>
              </w:rPr>
            </w:pPr>
            <w:r w:rsidRPr="00E30B5B">
              <w:rPr>
                <w:sz w:val="18"/>
                <w:szCs w:val="18"/>
                <w:highlight w:val="yellow"/>
              </w:rPr>
              <w:t>Number of countries with legislation and policy implemented to control emissions of POPs to air</w:t>
            </w:r>
          </w:p>
        </w:tc>
        <w:tc>
          <w:tcPr>
            <w:tcW w:w="2772" w:type="dxa"/>
            <w:gridSpan w:val="5"/>
            <w:shd w:val="clear" w:color="auto" w:fill="BFBFBF" w:themeFill="background1" w:themeFillShade="BF"/>
          </w:tcPr>
          <w:p w14:paraId="3CCA0696" w14:textId="77777777" w:rsidR="007520C1" w:rsidRPr="00E30B5B" w:rsidRDefault="007520C1" w:rsidP="00E049DB">
            <w:pPr>
              <w:jc w:val="right"/>
              <w:rPr>
                <w:sz w:val="18"/>
                <w:szCs w:val="18"/>
                <w:highlight w:val="yellow"/>
              </w:rPr>
            </w:pPr>
            <w:r w:rsidRPr="00E30B5B">
              <w:rPr>
                <w:i/>
                <w:color w:val="000000"/>
                <w:sz w:val="18"/>
                <w:szCs w:val="18"/>
                <w:highlight w:val="yellow"/>
              </w:rPr>
              <w:fldChar w:fldCharType="begin">
                <w:ffData>
                  <w:name w:val="F_GEB_BD_target"/>
                  <w:enabled/>
                  <w:calcOnExit w:val="0"/>
                  <w:textInput/>
                </w:ffData>
              </w:fldChar>
            </w:r>
            <w:r w:rsidRPr="00E30B5B">
              <w:rPr>
                <w:i/>
                <w:color w:val="000000"/>
                <w:sz w:val="18"/>
                <w:szCs w:val="18"/>
                <w:highlight w:val="yellow"/>
              </w:rPr>
              <w:instrText xml:space="preserve"> FORMTEXT </w:instrText>
            </w:r>
            <w:r w:rsidRPr="00E30B5B">
              <w:rPr>
                <w:i/>
                <w:color w:val="000000"/>
                <w:sz w:val="18"/>
                <w:szCs w:val="18"/>
                <w:highlight w:val="yellow"/>
              </w:rPr>
            </w:r>
            <w:r w:rsidRPr="00E30B5B">
              <w:rPr>
                <w:i/>
                <w:color w:val="000000"/>
                <w:sz w:val="18"/>
                <w:szCs w:val="18"/>
                <w:highlight w:val="yellow"/>
              </w:rPr>
              <w:fldChar w:fldCharType="separate"/>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fldChar w:fldCharType="end"/>
            </w:r>
          </w:p>
        </w:tc>
      </w:tr>
      <w:tr w:rsidR="007520C1" w:rsidRPr="004244E0" w14:paraId="19E87219" w14:textId="77777777" w:rsidTr="00DB02C4">
        <w:trPr>
          <w:trHeight w:val="125"/>
        </w:trPr>
        <w:tc>
          <w:tcPr>
            <w:tcW w:w="1298" w:type="dxa"/>
            <w:vMerge w:val="restart"/>
          </w:tcPr>
          <w:p w14:paraId="11D83884" w14:textId="77777777" w:rsidR="007520C1" w:rsidRPr="00E30B5B" w:rsidRDefault="007520C1" w:rsidP="00E049DB">
            <w:pPr>
              <w:rPr>
                <w:sz w:val="18"/>
                <w:szCs w:val="18"/>
                <w:highlight w:val="yellow"/>
              </w:rPr>
            </w:pPr>
          </w:p>
        </w:tc>
        <w:tc>
          <w:tcPr>
            <w:tcW w:w="933" w:type="dxa"/>
            <w:vMerge w:val="restart"/>
          </w:tcPr>
          <w:p w14:paraId="2EFCED0E" w14:textId="77777777" w:rsidR="007520C1" w:rsidRPr="00E30B5B" w:rsidRDefault="007520C1" w:rsidP="00E049DB">
            <w:pPr>
              <w:rPr>
                <w:sz w:val="18"/>
                <w:szCs w:val="18"/>
                <w:highlight w:val="yellow"/>
              </w:rPr>
            </w:pPr>
          </w:p>
        </w:tc>
        <w:tc>
          <w:tcPr>
            <w:tcW w:w="1726" w:type="dxa"/>
            <w:vMerge w:val="restart"/>
          </w:tcPr>
          <w:p w14:paraId="381F0867" w14:textId="77777777" w:rsidR="007520C1" w:rsidRPr="00E30B5B" w:rsidRDefault="007520C1" w:rsidP="00E049DB">
            <w:pPr>
              <w:rPr>
                <w:sz w:val="18"/>
                <w:szCs w:val="18"/>
                <w:highlight w:val="yellow"/>
              </w:rPr>
            </w:pPr>
          </w:p>
        </w:tc>
        <w:tc>
          <w:tcPr>
            <w:tcW w:w="6878" w:type="dxa"/>
            <w:gridSpan w:val="8"/>
          </w:tcPr>
          <w:p w14:paraId="19923ADA" w14:textId="77777777" w:rsidR="007520C1" w:rsidRPr="00E30B5B" w:rsidRDefault="007520C1" w:rsidP="00E049DB">
            <w:pPr>
              <w:jc w:val="center"/>
              <w:rPr>
                <w:sz w:val="18"/>
                <w:szCs w:val="18"/>
                <w:highlight w:val="yellow"/>
              </w:rPr>
            </w:pPr>
            <w:r w:rsidRPr="00E30B5B">
              <w:rPr>
                <w:sz w:val="18"/>
                <w:szCs w:val="18"/>
                <w:highlight w:val="yellow"/>
              </w:rPr>
              <w:t>Number of Countries</w:t>
            </w:r>
          </w:p>
        </w:tc>
      </w:tr>
      <w:tr w:rsidR="007520C1" w:rsidRPr="004244E0" w14:paraId="4AF80BFA" w14:textId="77777777" w:rsidTr="00DB02C4">
        <w:trPr>
          <w:trHeight w:val="58"/>
        </w:trPr>
        <w:tc>
          <w:tcPr>
            <w:tcW w:w="1298" w:type="dxa"/>
            <w:vMerge/>
          </w:tcPr>
          <w:p w14:paraId="056DE5B4" w14:textId="77777777" w:rsidR="007520C1" w:rsidRPr="00E30B5B" w:rsidRDefault="007520C1" w:rsidP="00E049DB">
            <w:pPr>
              <w:rPr>
                <w:sz w:val="18"/>
                <w:szCs w:val="18"/>
                <w:highlight w:val="yellow"/>
              </w:rPr>
            </w:pPr>
          </w:p>
        </w:tc>
        <w:tc>
          <w:tcPr>
            <w:tcW w:w="933" w:type="dxa"/>
            <w:vMerge/>
          </w:tcPr>
          <w:p w14:paraId="6411DBD7" w14:textId="77777777" w:rsidR="007520C1" w:rsidRPr="00E30B5B" w:rsidRDefault="007520C1" w:rsidP="00E049DB">
            <w:pPr>
              <w:rPr>
                <w:sz w:val="18"/>
                <w:szCs w:val="18"/>
                <w:highlight w:val="yellow"/>
              </w:rPr>
            </w:pPr>
          </w:p>
        </w:tc>
        <w:tc>
          <w:tcPr>
            <w:tcW w:w="1726" w:type="dxa"/>
            <w:vMerge/>
          </w:tcPr>
          <w:p w14:paraId="1C2BC2D1" w14:textId="77777777" w:rsidR="007520C1" w:rsidRPr="00E30B5B" w:rsidRDefault="007520C1" w:rsidP="00E049DB">
            <w:pPr>
              <w:rPr>
                <w:sz w:val="18"/>
                <w:szCs w:val="18"/>
                <w:highlight w:val="yellow"/>
              </w:rPr>
            </w:pPr>
          </w:p>
        </w:tc>
        <w:tc>
          <w:tcPr>
            <w:tcW w:w="4106" w:type="dxa"/>
            <w:gridSpan w:val="3"/>
          </w:tcPr>
          <w:p w14:paraId="55DD7B21" w14:textId="77777777" w:rsidR="007520C1" w:rsidRPr="00E30B5B" w:rsidRDefault="007520C1" w:rsidP="00E049DB">
            <w:pPr>
              <w:jc w:val="center"/>
              <w:rPr>
                <w:sz w:val="18"/>
                <w:szCs w:val="18"/>
                <w:highlight w:val="yellow"/>
              </w:rPr>
            </w:pPr>
            <w:r w:rsidRPr="00E30B5B">
              <w:rPr>
                <w:sz w:val="18"/>
                <w:szCs w:val="18"/>
                <w:highlight w:val="yellow"/>
              </w:rPr>
              <w:t>Expected</w:t>
            </w:r>
          </w:p>
        </w:tc>
        <w:tc>
          <w:tcPr>
            <w:tcW w:w="2772" w:type="dxa"/>
            <w:gridSpan w:val="5"/>
          </w:tcPr>
          <w:p w14:paraId="2CC98B76" w14:textId="77777777" w:rsidR="007520C1" w:rsidRPr="00E30B5B" w:rsidRDefault="007520C1" w:rsidP="00E049DB">
            <w:pPr>
              <w:jc w:val="center"/>
              <w:rPr>
                <w:sz w:val="18"/>
                <w:szCs w:val="18"/>
                <w:highlight w:val="yellow"/>
              </w:rPr>
            </w:pPr>
            <w:r w:rsidRPr="00E30B5B">
              <w:rPr>
                <w:sz w:val="18"/>
                <w:szCs w:val="18"/>
                <w:highlight w:val="yellow"/>
              </w:rPr>
              <w:t>Achieved</w:t>
            </w:r>
          </w:p>
        </w:tc>
      </w:tr>
      <w:tr w:rsidR="007520C1" w:rsidRPr="004244E0" w14:paraId="60247FBB" w14:textId="77777777" w:rsidTr="00DB02C4">
        <w:trPr>
          <w:trHeight w:val="125"/>
        </w:trPr>
        <w:tc>
          <w:tcPr>
            <w:tcW w:w="1298" w:type="dxa"/>
            <w:vMerge/>
          </w:tcPr>
          <w:p w14:paraId="28F0550E" w14:textId="77777777" w:rsidR="007520C1" w:rsidRPr="00E30B5B" w:rsidRDefault="007520C1" w:rsidP="00E049DB">
            <w:pPr>
              <w:rPr>
                <w:sz w:val="18"/>
                <w:szCs w:val="18"/>
                <w:highlight w:val="yellow"/>
              </w:rPr>
            </w:pPr>
          </w:p>
        </w:tc>
        <w:tc>
          <w:tcPr>
            <w:tcW w:w="933" w:type="dxa"/>
            <w:vMerge/>
          </w:tcPr>
          <w:p w14:paraId="26FBCEC2" w14:textId="77777777" w:rsidR="007520C1" w:rsidRPr="00E30B5B" w:rsidRDefault="007520C1" w:rsidP="00E049DB">
            <w:pPr>
              <w:rPr>
                <w:sz w:val="18"/>
                <w:szCs w:val="18"/>
                <w:highlight w:val="yellow"/>
              </w:rPr>
            </w:pPr>
          </w:p>
        </w:tc>
        <w:tc>
          <w:tcPr>
            <w:tcW w:w="1726" w:type="dxa"/>
            <w:vMerge/>
          </w:tcPr>
          <w:p w14:paraId="2537A5B2" w14:textId="77777777" w:rsidR="007520C1" w:rsidRPr="00E30B5B" w:rsidRDefault="007520C1" w:rsidP="00E049DB">
            <w:pPr>
              <w:rPr>
                <w:sz w:val="18"/>
                <w:szCs w:val="18"/>
                <w:highlight w:val="yellow"/>
              </w:rPr>
            </w:pPr>
          </w:p>
        </w:tc>
        <w:tc>
          <w:tcPr>
            <w:tcW w:w="2782" w:type="dxa"/>
            <w:gridSpan w:val="2"/>
          </w:tcPr>
          <w:p w14:paraId="62DC6080" w14:textId="77777777" w:rsidR="007520C1" w:rsidRPr="00E30B5B" w:rsidRDefault="007520C1" w:rsidP="00E049DB">
            <w:pPr>
              <w:jc w:val="center"/>
              <w:rPr>
                <w:sz w:val="18"/>
                <w:szCs w:val="18"/>
                <w:highlight w:val="yellow"/>
              </w:rPr>
            </w:pPr>
            <w:r w:rsidRPr="00E30B5B">
              <w:rPr>
                <w:sz w:val="18"/>
                <w:szCs w:val="18"/>
                <w:highlight w:val="yellow"/>
              </w:rPr>
              <w:t>PIF stage</w:t>
            </w:r>
          </w:p>
        </w:tc>
        <w:tc>
          <w:tcPr>
            <w:tcW w:w="1485" w:type="dxa"/>
            <w:gridSpan w:val="3"/>
          </w:tcPr>
          <w:p w14:paraId="3B6EE93D" w14:textId="77777777" w:rsidR="007520C1" w:rsidRPr="00E30B5B" w:rsidRDefault="007520C1" w:rsidP="00E049DB">
            <w:pPr>
              <w:jc w:val="center"/>
              <w:rPr>
                <w:sz w:val="18"/>
                <w:szCs w:val="18"/>
                <w:highlight w:val="yellow"/>
              </w:rPr>
            </w:pPr>
            <w:r w:rsidRPr="00E30B5B">
              <w:rPr>
                <w:sz w:val="18"/>
                <w:szCs w:val="18"/>
                <w:highlight w:val="yellow"/>
              </w:rPr>
              <w:t>Endorsement</w:t>
            </w:r>
          </w:p>
        </w:tc>
        <w:tc>
          <w:tcPr>
            <w:tcW w:w="1324" w:type="dxa"/>
            <w:gridSpan w:val="2"/>
          </w:tcPr>
          <w:p w14:paraId="28F6A1BA" w14:textId="77777777" w:rsidR="007520C1" w:rsidRPr="00E30B5B" w:rsidRDefault="007520C1" w:rsidP="00E049DB">
            <w:pPr>
              <w:jc w:val="center"/>
              <w:rPr>
                <w:sz w:val="18"/>
                <w:szCs w:val="18"/>
                <w:highlight w:val="yellow"/>
              </w:rPr>
            </w:pPr>
            <w:r w:rsidRPr="00E30B5B">
              <w:rPr>
                <w:sz w:val="18"/>
                <w:szCs w:val="18"/>
                <w:highlight w:val="yellow"/>
              </w:rPr>
              <w:t>MTR</w:t>
            </w:r>
          </w:p>
        </w:tc>
        <w:tc>
          <w:tcPr>
            <w:tcW w:w="1287" w:type="dxa"/>
          </w:tcPr>
          <w:p w14:paraId="18A72AE0" w14:textId="77777777" w:rsidR="007520C1" w:rsidRPr="00E30B5B" w:rsidRDefault="007520C1" w:rsidP="00E049DB">
            <w:pPr>
              <w:jc w:val="center"/>
              <w:rPr>
                <w:sz w:val="18"/>
                <w:szCs w:val="18"/>
                <w:highlight w:val="yellow"/>
              </w:rPr>
            </w:pPr>
            <w:r w:rsidRPr="00E30B5B">
              <w:rPr>
                <w:sz w:val="18"/>
                <w:szCs w:val="18"/>
                <w:highlight w:val="yellow"/>
              </w:rPr>
              <w:t>TE</w:t>
            </w:r>
          </w:p>
        </w:tc>
      </w:tr>
      <w:tr w:rsidR="007520C1" w:rsidRPr="004244E0" w14:paraId="04E8C28D" w14:textId="77777777" w:rsidTr="00DB02C4">
        <w:tc>
          <w:tcPr>
            <w:tcW w:w="1298" w:type="dxa"/>
          </w:tcPr>
          <w:p w14:paraId="73451726" w14:textId="77777777" w:rsidR="007520C1" w:rsidRPr="00E30B5B" w:rsidRDefault="007520C1" w:rsidP="00E049DB">
            <w:pPr>
              <w:jc w:val="right"/>
              <w:rPr>
                <w:sz w:val="18"/>
                <w:szCs w:val="18"/>
                <w:highlight w:val="yellow"/>
              </w:rPr>
            </w:pPr>
          </w:p>
        </w:tc>
        <w:tc>
          <w:tcPr>
            <w:tcW w:w="933" w:type="dxa"/>
          </w:tcPr>
          <w:p w14:paraId="3C96146D" w14:textId="77777777" w:rsidR="007520C1" w:rsidRPr="00E30B5B" w:rsidRDefault="007520C1" w:rsidP="00E049DB">
            <w:pPr>
              <w:jc w:val="right"/>
              <w:rPr>
                <w:sz w:val="18"/>
                <w:szCs w:val="18"/>
                <w:highlight w:val="yellow"/>
              </w:rPr>
            </w:pPr>
          </w:p>
        </w:tc>
        <w:tc>
          <w:tcPr>
            <w:tcW w:w="1726" w:type="dxa"/>
          </w:tcPr>
          <w:p w14:paraId="649A6ABE" w14:textId="77777777" w:rsidR="007520C1" w:rsidRPr="00E30B5B" w:rsidRDefault="007520C1" w:rsidP="00E049DB">
            <w:pPr>
              <w:jc w:val="right"/>
              <w:rPr>
                <w:sz w:val="18"/>
                <w:szCs w:val="18"/>
                <w:highlight w:val="yellow"/>
              </w:rPr>
            </w:pPr>
          </w:p>
        </w:tc>
        <w:tc>
          <w:tcPr>
            <w:tcW w:w="2782" w:type="dxa"/>
            <w:gridSpan w:val="2"/>
          </w:tcPr>
          <w:p w14:paraId="12FDF05D" w14:textId="77777777" w:rsidR="007520C1" w:rsidRPr="00E30B5B" w:rsidRDefault="007520C1" w:rsidP="00E049DB">
            <w:pPr>
              <w:jc w:val="center"/>
              <w:rPr>
                <w:sz w:val="18"/>
                <w:szCs w:val="18"/>
                <w:highlight w:val="yellow"/>
              </w:rPr>
            </w:pPr>
            <w:r w:rsidRPr="00E30B5B">
              <w:rPr>
                <w:i/>
                <w:color w:val="000000"/>
                <w:sz w:val="18"/>
                <w:szCs w:val="18"/>
                <w:highlight w:val="yellow"/>
              </w:rPr>
              <w:fldChar w:fldCharType="begin">
                <w:ffData>
                  <w:name w:val="F_GEB_BD_target"/>
                  <w:enabled/>
                  <w:calcOnExit w:val="0"/>
                  <w:textInput/>
                </w:ffData>
              </w:fldChar>
            </w:r>
            <w:r w:rsidRPr="00E30B5B">
              <w:rPr>
                <w:i/>
                <w:color w:val="000000"/>
                <w:sz w:val="18"/>
                <w:szCs w:val="18"/>
                <w:highlight w:val="yellow"/>
              </w:rPr>
              <w:instrText xml:space="preserve"> FORMTEXT </w:instrText>
            </w:r>
            <w:r w:rsidRPr="00E30B5B">
              <w:rPr>
                <w:i/>
                <w:color w:val="000000"/>
                <w:sz w:val="18"/>
                <w:szCs w:val="18"/>
                <w:highlight w:val="yellow"/>
              </w:rPr>
            </w:r>
            <w:r w:rsidRPr="00E30B5B">
              <w:rPr>
                <w:i/>
                <w:color w:val="000000"/>
                <w:sz w:val="18"/>
                <w:szCs w:val="18"/>
                <w:highlight w:val="yellow"/>
              </w:rPr>
              <w:fldChar w:fldCharType="separate"/>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fldChar w:fldCharType="end"/>
            </w:r>
          </w:p>
        </w:tc>
        <w:tc>
          <w:tcPr>
            <w:tcW w:w="1485" w:type="dxa"/>
            <w:gridSpan w:val="3"/>
          </w:tcPr>
          <w:p w14:paraId="32FAE47F" w14:textId="77777777" w:rsidR="007520C1" w:rsidRPr="00E30B5B" w:rsidRDefault="007520C1" w:rsidP="00E049DB">
            <w:pPr>
              <w:jc w:val="center"/>
              <w:rPr>
                <w:sz w:val="18"/>
                <w:szCs w:val="18"/>
                <w:highlight w:val="yellow"/>
              </w:rPr>
            </w:pPr>
            <w:r w:rsidRPr="00E30B5B">
              <w:rPr>
                <w:i/>
                <w:color w:val="000000"/>
                <w:sz w:val="18"/>
                <w:szCs w:val="18"/>
                <w:highlight w:val="yellow"/>
              </w:rPr>
              <w:fldChar w:fldCharType="begin">
                <w:ffData>
                  <w:name w:val="F_GEB_BD_target"/>
                  <w:enabled/>
                  <w:calcOnExit w:val="0"/>
                  <w:textInput/>
                </w:ffData>
              </w:fldChar>
            </w:r>
            <w:r w:rsidRPr="00E30B5B">
              <w:rPr>
                <w:i/>
                <w:color w:val="000000"/>
                <w:sz w:val="18"/>
                <w:szCs w:val="18"/>
                <w:highlight w:val="yellow"/>
              </w:rPr>
              <w:instrText xml:space="preserve"> FORMTEXT </w:instrText>
            </w:r>
            <w:r w:rsidRPr="00E30B5B">
              <w:rPr>
                <w:i/>
                <w:color w:val="000000"/>
                <w:sz w:val="18"/>
                <w:szCs w:val="18"/>
                <w:highlight w:val="yellow"/>
              </w:rPr>
            </w:r>
            <w:r w:rsidRPr="00E30B5B">
              <w:rPr>
                <w:i/>
                <w:color w:val="000000"/>
                <w:sz w:val="18"/>
                <w:szCs w:val="18"/>
                <w:highlight w:val="yellow"/>
              </w:rPr>
              <w:fldChar w:fldCharType="separate"/>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fldChar w:fldCharType="end"/>
            </w:r>
          </w:p>
        </w:tc>
        <w:tc>
          <w:tcPr>
            <w:tcW w:w="1324" w:type="dxa"/>
            <w:gridSpan w:val="2"/>
          </w:tcPr>
          <w:p w14:paraId="5E1CA544" w14:textId="77777777" w:rsidR="007520C1" w:rsidRPr="00E30B5B" w:rsidRDefault="007520C1" w:rsidP="00E049DB">
            <w:pPr>
              <w:jc w:val="center"/>
              <w:rPr>
                <w:sz w:val="18"/>
                <w:szCs w:val="18"/>
                <w:highlight w:val="yellow"/>
              </w:rPr>
            </w:pPr>
            <w:r w:rsidRPr="00E30B5B">
              <w:rPr>
                <w:i/>
                <w:color w:val="000000"/>
                <w:sz w:val="18"/>
                <w:szCs w:val="18"/>
                <w:highlight w:val="yellow"/>
              </w:rPr>
              <w:fldChar w:fldCharType="begin">
                <w:ffData>
                  <w:name w:val="F_GEB_BD_target"/>
                  <w:enabled/>
                  <w:calcOnExit w:val="0"/>
                  <w:textInput/>
                </w:ffData>
              </w:fldChar>
            </w:r>
            <w:r w:rsidRPr="00E30B5B">
              <w:rPr>
                <w:i/>
                <w:color w:val="000000"/>
                <w:sz w:val="18"/>
                <w:szCs w:val="18"/>
                <w:highlight w:val="yellow"/>
              </w:rPr>
              <w:instrText xml:space="preserve"> FORMTEXT </w:instrText>
            </w:r>
            <w:r w:rsidRPr="00E30B5B">
              <w:rPr>
                <w:i/>
                <w:color w:val="000000"/>
                <w:sz w:val="18"/>
                <w:szCs w:val="18"/>
                <w:highlight w:val="yellow"/>
              </w:rPr>
            </w:r>
            <w:r w:rsidRPr="00E30B5B">
              <w:rPr>
                <w:i/>
                <w:color w:val="000000"/>
                <w:sz w:val="18"/>
                <w:szCs w:val="18"/>
                <w:highlight w:val="yellow"/>
              </w:rPr>
              <w:fldChar w:fldCharType="separate"/>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fldChar w:fldCharType="end"/>
            </w:r>
          </w:p>
        </w:tc>
        <w:tc>
          <w:tcPr>
            <w:tcW w:w="1287" w:type="dxa"/>
          </w:tcPr>
          <w:p w14:paraId="0BFD0656" w14:textId="77777777" w:rsidR="007520C1" w:rsidRPr="00E30B5B" w:rsidRDefault="007520C1" w:rsidP="00E049DB">
            <w:pPr>
              <w:jc w:val="center"/>
              <w:rPr>
                <w:sz w:val="18"/>
                <w:szCs w:val="18"/>
                <w:highlight w:val="yellow"/>
              </w:rPr>
            </w:pPr>
            <w:r w:rsidRPr="00E30B5B">
              <w:rPr>
                <w:i/>
                <w:color w:val="000000"/>
                <w:sz w:val="18"/>
                <w:szCs w:val="18"/>
                <w:highlight w:val="yellow"/>
              </w:rPr>
              <w:fldChar w:fldCharType="begin">
                <w:ffData>
                  <w:name w:val="F_GEB_BD_target"/>
                  <w:enabled/>
                  <w:calcOnExit w:val="0"/>
                  <w:textInput/>
                </w:ffData>
              </w:fldChar>
            </w:r>
            <w:r w:rsidRPr="00E30B5B">
              <w:rPr>
                <w:i/>
                <w:color w:val="000000"/>
                <w:sz w:val="18"/>
                <w:szCs w:val="18"/>
                <w:highlight w:val="yellow"/>
              </w:rPr>
              <w:instrText xml:space="preserve"> FORMTEXT </w:instrText>
            </w:r>
            <w:r w:rsidRPr="00E30B5B">
              <w:rPr>
                <w:i/>
                <w:color w:val="000000"/>
                <w:sz w:val="18"/>
                <w:szCs w:val="18"/>
                <w:highlight w:val="yellow"/>
              </w:rPr>
            </w:r>
            <w:r w:rsidRPr="00E30B5B">
              <w:rPr>
                <w:i/>
                <w:color w:val="000000"/>
                <w:sz w:val="18"/>
                <w:szCs w:val="18"/>
                <w:highlight w:val="yellow"/>
              </w:rPr>
              <w:fldChar w:fldCharType="separate"/>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fldChar w:fldCharType="end"/>
            </w:r>
          </w:p>
        </w:tc>
      </w:tr>
      <w:tr w:rsidR="007520C1" w:rsidRPr="004244E0" w14:paraId="3C4A8B37" w14:textId="77777777" w:rsidTr="00DB02C4">
        <w:tc>
          <w:tcPr>
            <w:tcW w:w="1298" w:type="dxa"/>
            <w:shd w:val="clear" w:color="auto" w:fill="BFBFBF" w:themeFill="background1" w:themeFillShade="BF"/>
          </w:tcPr>
          <w:p w14:paraId="707C3C43" w14:textId="77777777" w:rsidR="007520C1" w:rsidRPr="00E30B5B" w:rsidRDefault="007520C1" w:rsidP="00E049DB">
            <w:pPr>
              <w:rPr>
                <w:sz w:val="18"/>
                <w:szCs w:val="18"/>
                <w:highlight w:val="yellow"/>
              </w:rPr>
            </w:pPr>
            <w:r w:rsidRPr="00E30B5B">
              <w:rPr>
                <w:sz w:val="18"/>
                <w:szCs w:val="18"/>
                <w:highlight w:val="yellow"/>
              </w:rPr>
              <w:t>Indicator 10.2</w:t>
            </w:r>
          </w:p>
        </w:tc>
        <w:tc>
          <w:tcPr>
            <w:tcW w:w="6765" w:type="dxa"/>
            <w:gridSpan w:val="5"/>
            <w:shd w:val="clear" w:color="auto" w:fill="BFBFBF" w:themeFill="background1" w:themeFillShade="BF"/>
          </w:tcPr>
          <w:p w14:paraId="6920DA83" w14:textId="77777777" w:rsidR="007520C1" w:rsidRPr="00E30B5B" w:rsidRDefault="007520C1" w:rsidP="00E049DB">
            <w:pPr>
              <w:rPr>
                <w:sz w:val="18"/>
                <w:szCs w:val="18"/>
                <w:highlight w:val="yellow"/>
              </w:rPr>
            </w:pPr>
            <w:r w:rsidRPr="00E30B5B">
              <w:rPr>
                <w:sz w:val="18"/>
                <w:szCs w:val="18"/>
                <w:highlight w:val="yellow"/>
              </w:rPr>
              <w:t>Number of emission control technologies/practices implemented</w:t>
            </w:r>
          </w:p>
        </w:tc>
        <w:tc>
          <w:tcPr>
            <w:tcW w:w="2772" w:type="dxa"/>
            <w:gridSpan w:val="5"/>
            <w:shd w:val="clear" w:color="auto" w:fill="BFBFBF" w:themeFill="background1" w:themeFillShade="BF"/>
          </w:tcPr>
          <w:p w14:paraId="2C6BBD51" w14:textId="77777777" w:rsidR="007520C1" w:rsidRPr="00E30B5B" w:rsidRDefault="007520C1" w:rsidP="00E049DB">
            <w:pPr>
              <w:jc w:val="right"/>
              <w:rPr>
                <w:sz w:val="18"/>
                <w:szCs w:val="18"/>
                <w:highlight w:val="yellow"/>
              </w:rPr>
            </w:pPr>
            <w:r w:rsidRPr="00E30B5B">
              <w:rPr>
                <w:i/>
                <w:color w:val="000000"/>
                <w:sz w:val="18"/>
                <w:szCs w:val="18"/>
                <w:highlight w:val="yellow"/>
              </w:rPr>
              <w:fldChar w:fldCharType="begin">
                <w:ffData>
                  <w:name w:val="F_GEB_BD_target"/>
                  <w:enabled/>
                  <w:calcOnExit w:val="0"/>
                  <w:textInput/>
                </w:ffData>
              </w:fldChar>
            </w:r>
            <w:r w:rsidRPr="00E30B5B">
              <w:rPr>
                <w:i/>
                <w:color w:val="000000"/>
                <w:sz w:val="18"/>
                <w:szCs w:val="18"/>
                <w:highlight w:val="yellow"/>
              </w:rPr>
              <w:instrText xml:space="preserve"> FORMTEXT </w:instrText>
            </w:r>
            <w:r w:rsidRPr="00E30B5B">
              <w:rPr>
                <w:i/>
                <w:color w:val="000000"/>
                <w:sz w:val="18"/>
                <w:szCs w:val="18"/>
                <w:highlight w:val="yellow"/>
              </w:rPr>
            </w:r>
            <w:r w:rsidRPr="00E30B5B">
              <w:rPr>
                <w:i/>
                <w:color w:val="000000"/>
                <w:sz w:val="18"/>
                <w:szCs w:val="18"/>
                <w:highlight w:val="yellow"/>
              </w:rPr>
              <w:fldChar w:fldCharType="separate"/>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fldChar w:fldCharType="end"/>
            </w:r>
          </w:p>
        </w:tc>
      </w:tr>
      <w:tr w:rsidR="007520C1" w:rsidRPr="004244E0" w14:paraId="2E9578BC" w14:textId="77777777" w:rsidTr="00DB02C4">
        <w:trPr>
          <w:trHeight w:val="125"/>
        </w:trPr>
        <w:tc>
          <w:tcPr>
            <w:tcW w:w="1298" w:type="dxa"/>
            <w:vMerge w:val="restart"/>
          </w:tcPr>
          <w:p w14:paraId="12CB9F11" w14:textId="77777777" w:rsidR="007520C1" w:rsidRPr="00E30B5B" w:rsidRDefault="007520C1" w:rsidP="00E049DB">
            <w:pPr>
              <w:rPr>
                <w:sz w:val="18"/>
                <w:szCs w:val="18"/>
                <w:highlight w:val="yellow"/>
              </w:rPr>
            </w:pPr>
          </w:p>
        </w:tc>
        <w:tc>
          <w:tcPr>
            <w:tcW w:w="933" w:type="dxa"/>
            <w:vMerge w:val="restart"/>
          </w:tcPr>
          <w:p w14:paraId="28A1F9BD" w14:textId="77777777" w:rsidR="007520C1" w:rsidRPr="00E30B5B" w:rsidRDefault="007520C1" w:rsidP="00E049DB">
            <w:pPr>
              <w:rPr>
                <w:sz w:val="18"/>
                <w:szCs w:val="18"/>
                <w:highlight w:val="yellow"/>
              </w:rPr>
            </w:pPr>
          </w:p>
        </w:tc>
        <w:tc>
          <w:tcPr>
            <w:tcW w:w="1726" w:type="dxa"/>
            <w:vMerge w:val="restart"/>
          </w:tcPr>
          <w:p w14:paraId="68F681BA" w14:textId="77777777" w:rsidR="007520C1" w:rsidRPr="00E30B5B" w:rsidRDefault="007520C1" w:rsidP="00E049DB">
            <w:pPr>
              <w:rPr>
                <w:sz w:val="18"/>
                <w:szCs w:val="18"/>
                <w:highlight w:val="yellow"/>
              </w:rPr>
            </w:pPr>
          </w:p>
        </w:tc>
        <w:tc>
          <w:tcPr>
            <w:tcW w:w="6878" w:type="dxa"/>
            <w:gridSpan w:val="8"/>
          </w:tcPr>
          <w:p w14:paraId="53DBB401" w14:textId="77777777" w:rsidR="007520C1" w:rsidRPr="00E30B5B" w:rsidRDefault="007520C1" w:rsidP="00E049DB">
            <w:pPr>
              <w:jc w:val="center"/>
              <w:rPr>
                <w:sz w:val="18"/>
                <w:szCs w:val="18"/>
                <w:highlight w:val="yellow"/>
              </w:rPr>
            </w:pPr>
            <w:r w:rsidRPr="00E30B5B">
              <w:rPr>
                <w:sz w:val="18"/>
                <w:szCs w:val="18"/>
                <w:highlight w:val="yellow"/>
              </w:rPr>
              <w:t>Number</w:t>
            </w:r>
          </w:p>
        </w:tc>
      </w:tr>
      <w:tr w:rsidR="007520C1" w:rsidRPr="004244E0" w14:paraId="587FD7EE" w14:textId="77777777" w:rsidTr="00DB02C4">
        <w:trPr>
          <w:trHeight w:val="58"/>
        </w:trPr>
        <w:tc>
          <w:tcPr>
            <w:tcW w:w="1298" w:type="dxa"/>
            <w:vMerge/>
          </w:tcPr>
          <w:p w14:paraId="37458D21" w14:textId="77777777" w:rsidR="007520C1" w:rsidRPr="00E30B5B" w:rsidRDefault="007520C1" w:rsidP="00E049DB">
            <w:pPr>
              <w:rPr>
                <w:sz w:val="18"/>
                <w:szCs w:val="18"/>
                <w:highlight w:val="yellow"/>
              </w:rPr>
            </w:pPr>
          </w:p>
        </w:tc>
        <w:tc>
          <w:tcPr>
            <w:tcW w:w="933" w:type="dxa"/>
            <w:vMerge/>
          </w:tcPr>
          <w:p w14:paraId="0243F3BF" w14:textId="77777777" w:rsidR="007520C1" w:rsidRPr="00E30B5B" w:rsidRDefault="007520C1" w:rsidP="00E049DB">
            <w:pPr>
              <w:rPr>
                <w:sz w:val="18"/>
                <w:szCs w:val="18"/>
                <w:highlight w:val="yellow"/>
              </w:rPr>
            </w:pPr>
          </w:p>
        </w:tc>
        <w:tc>
          <w:tcPr>
            <w:tcW w:w="1726" w:type="dxa"/>
            <w:vMerge/>
          </w:tcPr>
          <w:p w14:paraId="03EAA82E" w14:textId="77777777" w:rsidR="007520C1" w:rsidRPr="00E30B5B" w:rsidRDefault="007520C1" w:rsidP="00E049DB">
            <w:pPr>
              <w:rPr>
                <w:sz w:val="18"/>
                <w:szCs w:val="18"/>
                <w:highlight w:val="yellow"/>
              </w:rPr>
            </w:pPr>
          </w:p>
        </w:tc>
        <w:tc>
          <w:tcPr>
            <w:tcW w:w="4106" w:type="dxa"/>
            <w:gridSpan w:val="3"/>
          </w:tcPr>
          <w:p w14:paraId="5C428C42" w14:textId="77777777" w:rsidR="007520C1" w:rsidRPr="00E30B5B" w:rsidRDefault="007520C1" w:rsidP="00E049DB">
            <w:pPr>
              <w:jc w:val="center"/>
              <w:rPr>
                <w:sz w:val="18"/>
                <w:szCs w:val="18"/>
                <w:highlight w:val="yellow"/>
              </w:rPr>
            </w:pPr>
            <w:r w:rsidRPr="00E30B5B">
              <w:rPr>
                <w:sz w:val="18"/>
                <w:szCs w:val="18"/>
                <w:highlight w:val="yellow"/>
              </w:rPr>
              <w:t>Expected</w:t>
            </w:r>
          </w:p>
        </w:tc>
        <w:tc>
          <w:tcPr>
            <w:tcW w:w="2772" w:type="dxa"/>
            <w:gridSpan w:val="5"/>
          </w:tcPr>
          <w:p w14:paraId="000B9C82" w14:textId="77777777" w:rsidR="007520C1" w:rsidRPr="00E30B5B" w:rsidRDefault="007520C1" w:rsidP="00E049DB">
            <w:pPr>
              <w:jc w:val="center"/>
              <w:rPr>
                <w:sz w:val="18"/>
                <w:szCs w:val="18"/>
                <w:highlight w:val="yellow"/>
              </w:rPr>
            </w:pPr>
            <w:r w:rsidRPr="00E30B5B">
              <w:rPr>
                <w:sz w:val="18"/>
                <w:szCs w:val="18"/>
                <w:highlight w:val="yellow"/>
              </w:rPr>
              <w:t>Achieved</w:t>
            </w:r>
          </w:p>
        </w:tc>
      </w:tr>
      <w:tr w:rsidR="007520C1" w:rsidRPr="004244E0" w14:paraId="4D864C75" w14:textId="77777777" w:rsidTr="00DB02C4">
        <w:trPr>
          <w:trHeight w:val="206"/>
        </w:trPr>
        <w:tc>
          <w:tcPr>
            <w:tcW w:w="1298" w:type="dxa"/>
            <w:vMerge/>
          </w:tcPr>
          <w:p w14:paraId="3B8BA1D9" w14:textId="77777777" w:rsidR="007520C1" w:rsidRPr="00E30B5B" w:rsidRDefault="007520C1" w:rsidP="00E049DB">
            <w:pPr>
              <w:rPr>
                <w:sz w:val="18"/>
                <w:szCs w:val="18"/>
                <w:highlight w:val="yellow"/>
              </w:rPr>
            </w:pPr>
          </w:p>
        </w:tc>
        <w:tc>
          <w:tcPr>
            <w:tcW w:w="933" w:type="dxa"/>
            <w:vMerge/>
          </w:tcPr>
          <w:p w14:paraId="76CCE7E2" w14:textId="77777777" w:rsidR="007520C1" w:rsidRPr="00E30B5B" w:rsidRDefault="007520C1" w:rsidP="00E049DB">
            <w:pPr>
              <w:rPr>
                <w:sz w:val="18"/>
                <w:szCs w:val="18"/>
                <w:highlight w:val="yellow"/>
              </w:rPr>
            </w:pPr>
          </w:p>
        </w:tc>
        <w:tc>
          <w:tcPr>
            <w:tcW w:w="1726" w:type="dxa"/>
            <w:vMerge/>
          </w:tcPr>
          <w:p w14:paraId="2DE8B214" w14:textId="77777777" w:rsidR="007520C1" w:rsidRPr="00E30B5B" w:rsidRDefault="007520C1" w:rsidP="00E049DB">
            <w:pPr>
              <w:rPr>
                <w:sz w:val="18"/>
                <w:szCs w:val="18"/>
                <w:highlight w:val="yellow"/>
              </w:rPr>
            </w:pPr>
          </w:p>
        </w:tc>
        <w:tc>
          <w:tcPr>
            <w:tcW w:w="2782" w:type="dxa"/>
            <w:gridSpan w:val="2"/>
          </w:tcPr>
          <w:p w14:paraId="53046F2C" w14:textId="77777777" w:rsidR="007520C1" w:rsidRPr="00E30B5B" w:rsidRDefault="007520C1" w:rsidP="00E049DB">
            <w:pPr>
              <w:jc w:val="center"/>
              <w:rPr>
                <w:sz w:val="18"/>
                <w:szCs w:val="18"/>
                <w:highlight w:val="yellow"/>
              </w:rPr>
            </w:pPr>
            <w:r w:rsidRPr="00E30B5B">
              <w:rPr>
                <w:sz w:val="18"/>
                <w:szCs w:val="18"/>
                <w:highlight w:val="yellow"/>
              </w:rPr>
              <w:t>PIF stage</w:t>
            </w:r>
          </w:p>
        </w:tc>
        <w:tc>
          <w:tcPr>
            <w:tcW w:w="1485" w:type="dxa"/>
            <w:gridSpan w:val="3"/>
          </w:tcPr>
          <w:p w14:paraId="6C29D6E1" w14:textId="77777777" w:rsidR="007520C1" w:rsidRPr="00E30B5B" w:rsidRDefault="007520C1" w:rsidP="00E049DB">
            <w:pPr>
              <w:jc w:val="center"/>
              <w:rPr>
                <w:sz w:val="18"/>
                <w:szCs w:val="18"/>
                <w:highlight w:val="yellow"/>
              </w:rPr>
            </w:pPr>
            <w:r w:rsidRPr="00E30B5B">
              <w:rPr>
                <w:sz w:val="18"/>
                <w:szCs w:val="18"/>
                <w:highlight w:val="yellow"/>
              </w:rPr>
              <w:t>Endorsement</w:t>
            </w:r>
          </w:p>
        </w:tc>
        <w:tc>
          <w:tcPr>
            <w:tcW w:w="1324" w:type="dxa"/>
            <w:gridSpan w:val="2"/>
          </w:tcPr>
          <w:p w14:paraId="1C256529" w14:textId="77777777" w:rsidR="007520C1" w:rsidRPr="00E30B5B" w:rsidRDefault="007520C1" w:rsidP="00E049DB">
            <w:pPr>
              <w:jc w:val="center"/>
              <w:rPr>
                <w:sz w:val="18"/>
                <w:szCs w:val="18"/>
                <w:highlight w:val="yellow"/>
              </w:rPr>
            </w:pPr>
            <w:r w:rsidRPr="00E30B5B">
              <w:rPr>
                <w:sz w:val="18"/>
                <w:szCs w:val="18"/>
                <w:highlight w:val="yellow"/>
              </w:rPr>
              <w:t>MTR</w:t>
            </w:r>
          </w:p>
        </w:tc>
        <w:tc>
          <w:tcPr>
            <w:tcW w:w="1287" w:type="dxa"/>
          </w:tcPr>
          <w:p w14:paraId="61A68D44" w14:textId="77777777" w:rsidR="007520C1" w:rsidRPr="00E30B5B" w:rsidRDefault="007520C1" w:rsidP="00E049DB">
            <w:pPr>
              <w:jc w:val="center"/>
              <w:rPr>
                <w:sz w:val="18"/>
                <w:szCs w:val="18"/>
                <w:highlight w:val="yellow"/>
              </w:rPr>
            </w:pPr>
            <w:r w:rsidRPr="00E30B5B">
              <w:rPr>
                <w:sz w:val="18"/>
                <w:szCs w:val="18"/>
                <w:highlight w:val="yellow"/>
              </w:rPr>
              <w:t>TE</w:t>
            </w:r>
          </w:p>
        </w:tc>
      </w:tr>
      <w:tr w:rsidR="007520C1" w:rsidRPr="004244E0" w14:paraId="6E21D270" w14:textId="77777777" w:rsidTr="00DB02C4">
        <w:tc>
          <w:tcPr>
            <w:tcW w:w="1298" w:type="dxa"/>
          </w:tcPr>
          <w:p w14:paraId="34300DC7" w14:textId="77777777" w:rsidR="007520C1" w:rsidRPr="00E30B5B" w:rsidRDefault="007520C1" w:rsidP="00E049DB">
            <w:pPr>
              <w:jc w:val="right"/>
              <w:rPr>
                <w:sz w:val="18"/>
                <w:szCs w:val="18"/>
                <w:highlight w:val="yellow"/>
              </w:rPr>
            </w:pPr>
          </w:p>
        </w:tc>
        <w:tc>
          <w:tcPr>
            <w:tcW w:w="2659" w:type="dxa"/>
            <w:gridSpan w:val="2"/>
          </w:tcPr>
          <w:p w14:paraId="328D6D00" w14:textId="77777777" w:rsidR="007520C1" w:rsidRPr="00E30B5B" w:rsidRDefault="007520C1" w:rsidP="00E049DB">
            <w:pPr>
              <w:jc w:val="right"/>
              <w:rPr>
                <w:sz w:val="18"/>
                <w:szCs w:val="18"/>
                <w:highlight w:val="yellow"/>
              </w:rPr>
            </w:pPr>
          </w:p>
        </w:tc>
        <w:tc>
          <w:tcPr>
            <w:tcW w:w="2782" w:type="dxa"/>
            <w:gridSpan w:val="2"/>
          </w:tcPr>
          <w:p w14:paraId="769B6D71" w14:textId="77777777" w:rsidR="007520C1" w:rsidRPr="00E30B5B" w:rsidRDefault="007520C1" w:rsidP="00E049DB">
            <w:pPr>
              <w:jc w:val="right"/>
              <w:rPr>
                <w:sz w:val="18"/>
                <w:szCs w:val="18"/>
                <w:highlight w:val="yellow"/>
              </w:rPr>
            </w:pPr>
            <w:r w:rsidRPr="00E30B5B">
              <w:rPr>
                <w:i/>
                <w:color w:val="000000"/>
                <w:sz w:val="18"/>
                <w:szCs w:val="18"/>
                <w:highlight w:val="yellow"/>
              </w:rPr>
              <w:fldChar w:fldCharType="begin">
                <w:ffData>
                  <w:name w:val="F_GEB_BD_target"/>
                  <w:enabled/>
                  <w:calcOnExit w:val="0"/>
                  <w:textInput/>
                </w:ffData>
              </w:fldChar>
            </w:r>
            <w:r w:rsidRPr="00E30B5B">
              <w:rPr>
                <w:i/>
                <w:color w:val="000000"/>
                <w:sz w:val="18"/>
                <w:szCs w:val="18"/>
                <w:highlight w:val="yellow"/>
              </w:rPr>
              <w:instrText xml:space="preserve"> FORMTEXT </w:instrText>
            </w:r>
            <w:r w:rsidRPr="00E30B5B">
              <w:rPr>
                <w:i/>
                <w:color w:val="000000"/>
                <w:sz w:val="18"/>
                <w:szCs w:val="18"/>
                <w:highlight w:val="yellow"/>
              </w:rPr>
            </w:r>
            <w:r w:rsidRPr="00E30B5B">
              <w:rPr>
                <w:i/>
                <w:color w:val="000000"/>
                <w:sz w:val="18"/>
                <w:szCs w:val="18"/>
                <w:highlight w:val="yellow"/>
              </w:rPr>
              <w:fldChar w:fldCharType="separate"/>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fldChar w:fldCharType="end"/>
            </w:r>
          </w:p>
        </w:tc>
        <w:tc>
          <w:tcPr>
            <w:tcW w:w="1485" w:type="dxa"/>
            <w:gridSpan w:val="3"/>
          </w:tcPr>
          <w:p w14:paraId="43C27D17" w14:textId="77777777" w:rsidR="007520C1" w:rsidRPr="00E30B5B" w:rsidRDefault="007520C1" w:rsidP="00E049DB">
            <w:pPr>
              <w:jc w:val="right"/>
              <w:rPr>
                <w:sz w:val="18"/>
                <w:szCs w:val="18"/>
                <w:highlight w:val="yellow"/>
              </w:rPr>
            </w:pPr>
            <w:r w:rsidRPr="00E30B5B">
              <w:rPr>
                <w:i/>
                <w:color w:val="000000"/>
                <w:sz w:val="18"/>
                <w:szCs w:val="18"/>
                <w:highlight w:val="yellow"/>
              </w:rPr>
              <w:fldChar w:fldCharType="begin">
                <w:ffData>
                  <w:name w:val="F_GEB_BD_target"/>
                  <w:enabled/>
                  <w:calcOnExit w:val="0"/>
                  <w:textInput/>
                </w:ffData>
              </w:fldChar>
            </w:r>
            <w:r w:rsidRPr="00E30B5B">
              <w:rPr>
                <w:i/>
                <w:color w:val="000000"/>
                <w:sz w:val="18"/>
                <w:szCs w:val="18"/>
                <w:highlight w:val="yellow"/>
              </w:rPr>
              <w:instrText xml:space="preserve"> FORMTEXT </w:instrText>
            </w:r>
            <w:r w:rsidRPr="00E30B5B">
              <w:rPr>
                <w:i/>
                <w:color w:val="000000"/>
                <w:sz w:val="18"/>
                <w:szCs w:val="18"/>
                <w:highlight w:val="yellow"/>
              </w:rPr>
            </w:r>
            <w:r w:rsidRPr="00E30B5B">
              <w:rPr>
                <w:i/>
                <w:color w:val="000000"/>
                <w:sz w:val="18"/>
                <w:szCs w:val="18"/>
                <w:highlight w:val="yellow"/>
              </w:rPr>
              <w:fldChar w:fldCharType="separate"/>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fldChar w:fldCharType="end"/>
            </w:r>
          </w:p>
        </w:tc>
        <w:tc>
          <w:tcPr>
            <w:tcW w:w="1324" w:type="dxa"/>
            <w:gridSpan w:val="2"/>
          </w:tcPr>
          <w:p w14:paraId="1745AAB5" w14:textId="77777777" w:rsidR="007520C1" w:rsidRPr="00E30B5B" w:rsidRDefault="007520C1" w:rsidP="00E049DB">
            <w:pPr>
              <w:jc w:val="right"/>
              <w:rPr>
                <w:sz w:val="18"/>
                <w:szCs w:val="18"/>
                <w:highlight w:val="yellow"/>
              </w:rPr>
            </w:pPr>
            <w:r w:rsidRPr="00E30B5B">
              <w:rPr>
                <w:i/>
                <w:color w:val="000000"/>
                <w:sz w:val="18"/>
                <w:szCs w:val="18"/>
                <w:highlight w:val="yellow"/>
              </w:rPr>
              <w:fldChar w:fldCharType="begin">
                <w:ffData>
                  <w:name w:val="F_GEB_BD_target"/>
                  <w:enabled/>
                  <w:calcOnExit w:val="0"/>
                  <w:textInput/>
                </w:ffData>
              </w:fldChar>
            </w:r>
            <w:r w:rsidRPr="00E30B5B">
              <w:rPr>
                <w:i/>
                <w:color w:val="000000"/>
                <w:sz w:val="18"/>
                <w:szCs w:val="18"/>
                <w:highlight w:val="yellow"/>
              </w:rPr>
              <w:instrText xml:space="preserve"> FORMTEXT </w:instrText>
            </w:r>
            <w:r w:rsidRPr="00E30B5B">
              <w:rPr>
                <w:i/>
                <w:color w:val="000000"/>
                <w:sz w:val="18"/>
                <w:szCs w:val="18"/>
                <w:highlight w:val="yellow"/>
              </w:rPr>
            </w:r>
            <w:r w:rsidRPr="00E30B5B">
              <w:rPr>
                <w:i/>
                <w:color w:val="000000"/>
                <w:sz w:val="18"/>
                <w:szCs w:val="18"/>
                <w:highlight w:val="yellow"/>
              </w:rPr>
              <w:fldChar w:fldCharType="separate"/>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fldChar w:fldCharType="end"/>
            </w:r>
          </w:p>
        </w:tc>
        <w:tc>
          <w:tcPr>
            <w:tcW w:w="1287" w:type="dxa"/>
          </w:tcPr>
          <w:p w14:paraId="66B2A2F1" w14:textId="77777777" w:rsidR="007520C1" w:rsidRPr="00E30B5B" w:rsidRDefault="007520C1" w:rsidP="00E049DB">
            <w:pPr>
              <w:jc w:val="right"/>
              <w:rPr>
                <w:sz w:val="18"/>
                <w:szCs w:val="18"/>
                <w:highlight w:val="yellow"/>
              </w:rPr>
            </w:pPr>
            <w:r w:rsidRPr="00E30B5B">
              <w:rPr>
                <w:i/>
                <w:color w:val="000000"/>
                <w:sz w:val="18"/>
                <w:szCs w:val="18"/>
                <w:highlight w:val="yellow"/>
              </w:rPr>
              <w:fldChar w:fldCharType="begin">
                <w:ffData>
                  <w:name w:val="F_GEB_BD_target"/>
                  <w:enabled/>
                  <w:calcOnExit w:val="0"/>
                  <w:textInput/>
                </w:ffData>
              </w:fldChar>
            </w:r>
            <w:r w:rsidRPr="00E30B5B">
              <w:rPr>
                <w:i/>
                <w:color w:val="000000"/>
                <w:sz w:val="18"/>
                <w:szCs w:val="18"/>
                <w:highlight w:val="yellow"/>
              </w:rPr>
              <w:instrText xml:space="preserve"> FORMTEXT </w:instrText>
            </w:r>
            <w:r w:rsidRPr="00E30B5B">
              <w:rPr>
                <w:i/>
                <w:color w:val="000000"/>
                <w:sz w:val="18"/>
                <w:szCs w:val="18"/>
                <w:highlight w:val="yellow"/>
              </w:rPr>
            </w:r>
            <w:r w:rsidRPr="00E30B5B">
              <w:rPr>
                <w:i/>
                <w:color w:val="000000"/>
                <w:sz w:val="18"/>
                <w:szCs w:val="18"/>
                <w:highlight w:val="yellow"/>
              </w:rPr>
              <w:fldChar w:fldCharType="separate"/>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fldChar w:fldCharType="end"/>
            </w:r>
          </w:p>
        </w:tc>
      </w:tr>
      <w:tr w:rsidR="007520C1" w:rsidRPr="004244E0" w14:paraId="407B44A8" w14:textId="77777777" w:rsidTr="00DB02C4">
        <w:tc>
          <w:tcPr>
            <w:tcW w:w="1298" w:type="dxa"/>
            <w:shd w:val="clear" w:color="auto" w:fill="D9D9D9" w:themeFill="background1" w:themeFillShade="D9"/>
          </w:tcPr>
          <w:p w14:paraId="2292F931" w14:textId="77777777" w:rsidR="007520C1" w:rsidRPr="00E30B5B" w:rsidRDefault="007520C1" w:rsidP="00E049DB">
            <w:pPr>
              <w:rPr>
                <w:b/>
                <w:sz w:val="18"/>
                <w:szCs w:val="18"/>
                <w:highlight w:val="yellow"/>
              </w:rPr>
            </w:pPr>
            <w:r w:rsidRPr="00E30B5B">
              <w:rPr>
                <w:b/>
                <w:sz w:val="18"/>
                <w:szCs w:val="18"/>
                <w:highlight w:val="yellow"/>
              </w:rPr>
              <w:t>Core Indicator 11</w:t>
            </w:r>
          </w:p>
        </w:tc>
        <w:tc>
          <w:tcPr>
            <w:tcW w:w="6765" w:type="dxa"/>
            <w:gridSpan w:val="5"/>
            <w:shd w:val="clear" w:color="auto" w:fill="D9D9D9" w:themeFill="background1" w:themeFillShade="D9"/>
          </w:tcPr>
          <w:p w14:paraId="7B6E92DB" w14:textId="77777777" w:rsidR="007520C1" w:rsidRPr="00E30B5B" w:rsidRDefault="007520C1" w:rsidP="00E049DB">
            <w:pPr>
              <w:rPr>
                <w:b/>
                <w:sz w:val="18"/>
                <w:szCs w:val="18"/>
                <w:highlight w:val="yellow"/>
              </w:rPr>
            </w:pPr>
            <w:r w:rsidRPr="00E30B5B">
              <w:rPr>
                <w:b/>
                <w:sz w:val="18"/>
                <w:szCs w:val="18"/>
                <w:highlight w:val="yellow"/>
              </w:rPr>
              <w:t>Number of direct beneficiaries disaggregated by gender as co-benefit of GEF investment</w:t>
            </w:r>
          </w:p>
        </w:tc>
        <w:tc>
          <w:tcPr>
            <w:tcW w:w="2772" w:type="dxa"/>
            <w:gridSpan w:val="5"/>
            <w:shd w:val="clear" w:color="auto" w:fill="D9D9D9" w:themeFill="background1" w:themeFillShade="D9"/>
          </w:tcPr>
          <w:p w14:paraId="5C04D564" w14:textId="77777777" w:rsidR="007520C1" w:rsidRPr="00E30B5B" w:rsidRDefault="007520C1" w:rsidP="00E049DB">
            <w:pPr>
              <w:jc w:val="right"/>
              <w:rPr>
                <w:b/>
                <w:sz w:val="18"/>
                <w:szCs w:val="18"/>
                <w:highlight w:val="yellow"/>
              </w:rPr>
            </w:pPr>
            <w:r w:rsidRPr="00E30B5B">
              <w:rPr>
                <w:b/>
                <w:i/>
                <w:color w:val="000000"/>
                <w:sz w:val="18"/>
                <w:szCs w:val="18"/>
                <w:highlight w:val="yellow"/>
              </w:rPr>
              <w:fldChar w:fldCharType="begin">
                <w:ffData>
                  <w:name w:val=""/>
                  <w:enabled/>
                  <w:calcOnExit w:val="0"/>
                  <w:textInput>
                    <w:default w:val="(Number)"/>
                  </w:textInput>
                </w:ffData>
              </w:fldChar>
            </w:r>
            <w:r w:rsidRPr="00E30B5B">
              <w:rPr>
                <w:b/>
                <w:i/>
                <w:color w:val="000000"/>
                <w:sz w:val="18"/>
                <w:szCs w:val="18"/>
                <w:highlight w:val="yellow"/>
              </w:rPr>
              <w:instrText xml:space="preserve"> FORMTEXT </w:instrText>
            </w:r>
            <w:r w:rsidRPr="00E30B5B">
              <w:rPr>
                <w:b/>
                <w:i/>
                <w:color w:val="000000"/>
                <w:sz w:val="18"/>
                <w:szCs w:val="18"/>
                <w:highlight w:val="yellow"/>
              </w:rPr>
            </w:r>
            <w:r w:rsidRPr="00E30B5B">
              <w:rPr>
                <w:b/>
                <w:i/>
                <w:color w:val="000000"/>
                <w:sz w:val="18"/>
                <w:szCs w:val="18"/>
                <w:highlight w:val="yellow"/>
              </w:rPr>
              <w:fldChar w:fldCharType="separate"/>
            </w:r>
            <w:r w:rsidRPr="00E30B5B">
              <w:rPr>
                <w:b/>
                <w:i/>
                <w:color w:val="000000"/>
                <w:sz w:val="18"/>
                <w:szCs w:val="18"/>
                <w:highlight w:val="yellow"/>
              </w:rPr>
              <w:t>(Number)</w:t>
            </w:r>
            <w:r w:rsidRPr="00E30B5B">
              <w:rPr>
                <w:b/>
                <w:i/>
                <w:color w:val="000000"/>
                <w:sz w:val="18"/>
                <w:szCs w:val="18"/>
                <w:highlight w:val="yellow"/>
              </w:rPr>
              <w:fldChar w:fldCharType="end"/>
            </w:r>
          </w:p>
        </w:tc>
      </w:tr>
      <w:tr w:rsidR="007520C1" w:rsidRPr="004244E0" w14:paraId="5E12A6F9" w14:textId="77777777" w:rsidTr="00DB02C4">
        <w:trPr>
          <w:trHeight w:val="58"/>
        </w:trPr>
        <w:tc>
          <w:tcPr>
            <w:tcW w:w="1298" w:type="dxa"/>
            <w:vMerge w:val="restart"/>
          </w:tcPr>
          <w:p w14:paraId="5405A703" w14:textId="77777777" w:rsidR="007520C1" w:rsidRPr="00E30B5B" w:rsidRDefault="007520C1" w:rsidP="00E049DB">
            <w:pPr>
              <w:rPr>
                <w:sz w:val="18"/>
                <w:szCs w:val="18"/>
                <w:highlight w:val="yellow"/>
              </w:rPr>
            </w:pPr>
          </w:p>
        </w:tc>
        <w:tc>
          <w:tcPr>
            <w:tcW w:w="933" w:type="dxa"/>
            <w:vMerge w:val="restart"/>
          </w:tcPr>
          <w:p w14:paraId="77E510F4" w14:textId="77777777" w:rsidR="007520C1" w:rsidRPr="00E30B5B" w:rsidRDefault="007520C1" w:rsidP="00E049DB">
            <w:pPr>
              <w:rPr>
                <w:sz w:val="18"/>
                <w:szCs w:val="18"/>
                <w:highlight w:val="yellow"/>
              </w:rPr>
            </w:pPr>
          </w:p>
        </w:tc>
        <w:tc>
          <w:tcPr>
            <w:tcW w:w="1726" w:type="dxa"/>
            <w:vMerge w:val="restart"/>
          </w:tcPr>
          <w:p w14:paraId="29C84BF1" w14:textId="77777777" w:rsidR="007520C1" w:rsidRPr="00E30B5B" w:rsidRDefault="007520C1" w:rsidP="00E049DB">
            <w:pPr>
              <w:rPr>
                <w:sz w:val="18"/>
                <w:szCs w:val="18"/>
                <w:highlight w:val="yellow"/>
              </w:rPr>
            </w:pPr>
          </w:p>
        </w:tc>
        <w:tc>
          <w:tcPr>
            <w:tcW w:w="6878" w:type="dxa"/>
            <w:gridSpan w:val="8"/>
          </w:tcPr>
          <w:p w14:paraId="0416143A" w14:textId="77777777" w:rsidR="007520C1" w:rsidRPr="00E30B5B" w:rsidRDefault="007520C1" w:rsidP="00E049DB">
            <w:pPr>
              <w:jc w:val="center"/>
              <w:rPr>
                <w:sz w:val="18"/>
                <w:szCs w:val="18"/>
                <w:highlight w:val="yellow"/>
              </w:rPr>
            </w:pPr>
            <w:r w:rsidRPr="00E30B5B">
              <w:rPr>
                <w:sz w:val="18"/>
                <w:szCs w:val="18"/>
                <w:highlight w:val="yellow"/>
              </w:rPr>
              <w:t xml:space="preserve">Number </w:t>
            </w:r>
          </w:p>
        </w:tc>
      </w:tr>
      <w:tr w:rsidR="007520C1" w:rsidRPr="004244E0" w14:paraId="0CA53A6B" w14:textId="77777777" w:rsidTr="00DB02C4">
        <w:trPr>
          <w:trHeight w:val="161"/>
        </w:trPr>
        <w:tc>
          <w:tcPr>
            <w:tcW w:w="1298" w:type="dxa"/>
            <w:vMerge/>
          </w:tcPr>
          <w:p w14:paraId="0C9C7740" w14:textId="77777777" w:rsidR="007520C1" w:rsidRPr="00E30B5B" w:rsidRDefault="007520C1" w:rsidP="00E049DB">
            <w:pPr>
              <w:rPr>
                <w:sz w:val="18"/>
                <w:szCs w:val="18"/>
                <w:highlight w:val="yellow"/>
              </w:rPr>
            </w:pPr>
          </w:p>
        </w:tc>
        <w:tc>
          <w:tcPr>
            <w:tcW w:w="933" w:type="dxa"/>
            <w:vMerge/>
          </w:tcPr>
          <w:p w14:paraId="69978F17" w14:textId="77777777" w:rsidR="007520C1" w:rsidRPr="00E30B5B" w:rsidRDefault="007520C1" w:rsidP="00E049DB">
            <w:pPr>
              <w:rPr>
                <w:sz w:val="18"/>
                <w:szCs w:val="18"/>
                <w:highlight w:val="yellow"/>
              </w:rPr>
            </w:pPr>
          </w:p>
        </w:tc>
        <w:tc>
          <w:tcPr>
            <w:tcW w:w="1726" w:type="dxa"/>
            <w:vMerge/>
          </w:tcPr>
          <w:p w14:paraId="76595213" w14:textId="77777777" w:rsidR="007520C1" w:rsidRPr="00E30B5B" w:rsidRDefault="007520C1" w:rsidP="00E049DB">
            <w:pPr>
              <w:rPr>
                <w:sz w:val="18"/>
                <w:szCs w:val="18"/>
                <w:highlight w:val="yellow"/>
              </w:rPr>
            </w:pPr>
          </w:p>
        </w:tc>
        <w:tc>
          <w:tcPr>
            <w:tcW w:w="4106" w:type="dxa"/>
            <w:gridSpan w:val="3"/>
          </w:tcPr>
          <w:p w14:paraId="5BAE923F" w14:textId="77777777" w:rsidR="007520C1" w:rsidRPr="00E30B5B" w:rsidRDefault="007520C1" w:rsidP="00E049DB">
            <w:pPr>
              <w:jc w:val="center"/>
              <w:rPr>
                <w:sz w:val="18"/>
                <w:szCs w:val="18"/>
                <w:highlight w:val="yellow"/>
              </w:rPr>
            </w:pPr>
            <w:r w:rsidRPr="00E30B5B">
              <w:rPr>
                <w:sz w:val="18"/>
                <w:szCs w:val="18"/>
                <w:highlight w:val="yellow"/>
              </w:rPr>
              <w:t>Expected</w:t>
            </w:r>
          </w:p>
        </w:tc>
        <w:tc>
          <w:tcPr>
            <w:tcW w:w="2772" w:type="dxa"/>
            <w:gridSpan w:val="5"/>
          </w:tcPr>
          <w:p w14:paraId="532D51BA" w14:textId="77777777" w:rsidR="007520C1" w:rsidRPr="00E30B5B" w:rsidRDefault="007520C1" w:rsidP="00E049DB">
            <w:pPr>
              <w:jc w:val="center"/>
              <w:rPr>
                <w:sz w:val="18"/>
                <w:szCs w:val="18"/>
                <w:highlight w:val="yellow"/>
              </w:rPr>
            </w:pPr>
            <w:r w:rsidRPr="00E30B5B">
              <w:rPr>
                <w:sz w:val="18"/>
                <w:szCs w:val="18"/>
                <w:highlight w:val="yellow"/>
              </w:rPr>
              <w:t>Achieved</w:t>
            </w:r>
          </w:p>
        </w:tc>
      </w:tr>
      <w:tr w:rsidR="007520C1" w:rsidRPr="004244E0" w14:paraId="34B5307B" w14:textId="77777777" w:rsidTr="00DB02C4">
        <w:tc>
          <w:tcPr>
            <w:tcW w:w="1298" w:type="dxa"/>
          </w:tcPr>
          <w:p w14:paraId="39BED949" w14:textId="77777777" w:rsidR="007520C1" w:rsidRPr="00E30B5B" w:rsidRDefault="007520C1" w:rsidP="00E049DB">
            <w:pPr>
              <w:jc w:val="right"/>
              <w:rPr>
                <w:sz w:val="18"/>
                <w:szCs w:val="18"/>
                <w:highlight w:val="yellow"/>
              </w:rPr>
            </w:pPr>
          </w:p>
        </w:tc>
        <w:tc>
          <w:tcPr>
            <w:tcW w:w="933" w:type="dxa"/>
          </w:tcPr>
          <w:p w14:paraId="69A2AB1F" w14:textId="77777777" w:rsidR="007520C1" w:rsidRPr="00E30B5B" w:rsidRDefault="007520C1" w:rsidP="00E049DB">
            <w:pPr>
              <w:jc w:val="right"/>
              <w:rPr>
                <w:sz w:val="18"/>
                <w:szCs w:val="18"/>
                <w:highlight w:val="yellow"/>
              </w:rPr>
            </w:pPr>
          </w:p>
        </w:tc>
        <w:tc>
          <w:tcPr>
            <w:tcW w:w="1726" w:type="dxa"/>
          </w:tcPr>
          <w:p w14:paraId="208BA9CB" w14:textId="77777777" w:rsidR="007520C1" w:rsidRPr="00E30B5B" w:rsidRDefault="007520C1" w:rsidP="00E049DB">
            <w:pPr>
              <w:jc w:val="right"/>
              <w:rPr>
                <w:sz w:val="18"/>
                <w:szCs w:val="18"/>
                <w:highlight w:val="yellow"/>
              </w:rPr>
            </w:pPr>
          </w:p>
        </w:tc>
        <w:tc>
          <w:tcPr>
            <w:tcW w:w="2782" w:type="dxa"/>
            <w:gridSpan w:val="2"/>
          </w:tcPr>
          <w:p w14:paraId="28FD88F2" w14:textId="77777777" w:rsidR="007520C1" w:rsidRPr="00E30B5B" w:rsidRDefault="007520C1" w:rsidP="00E049DB">
            <w:pPr>
              <w:jc w:val="right"/>
              <w:rPr>
                <w:sz w:val="18"/>
                <w:szCs w:val="18"/>
                <w:highlight w:val="yellow"/>
              </w:rPr>
            </w:pPr>
            <w:r w:rsidRPr="00E30B5B">
              <w:rPr>
                <w:sz w:val="18"/>
                <w:szCs w:val="18"/>
                <w:highlight w:val="yellow"/>
              </w:rPr>
              <w:t>PIF stage</w:t>
            </w:r>
          </w:p>
        </w:tc>
        <w:tc>
          <w:tcPr>
            <w:tcW w:w="1485" w:type="dxa"/>
            <w:gridSpan w:val="3"/>
          </w:tcPr>
          <w:p w14:paraId="217B683C" w14:textId="77777777" w:rsidR="007520C1" w:rsidRPr="00E30B5B" w:rsidRDefault="007520C1" w:rsidP="00E049DB">
            <w:pPr>
              <w:jc w:val="right"/>
              <w:rPr>
                <w:sz w:val="18"/>
                <w:szCs w:val="18"/>
                <w:highlight w:val="yellow"/>
              </w:rPr>
            </w:pPr>
            <w:r w:rsidRPr="00E30B5B">
              <w:rPr>
                <w:sz w:val="18"/>
                <w:szCs w:val="18"/>
                <w:highlight w:val="yellow"/>
              </w:rPr>
              <w:t>Endorsement</w:t>
            </w:r>
          </w:p>
        </w:tc>
        <w:tc>
          <w:tcPr>
            <w:tcW w:w="1324" w:type="dxa"/>
            <w:gridSpan w:val="2"/>
          </w:tcPr>
          <w:p w14:paraId="165A81BE" w14:textId="77777777" w:rsidR="007520C1" w:rsidRPr="00E30B5B" w:rsidRDefault="007520C1" w:rsidP="00E049DB">
            <w:pPr>
              <w:jc w:val="right"/>
              <w:rPr>
                <w:sz w:val="18"/>
                <w:szCs w:val="18"/>
                <w:highlight w:val="yellow"/>
              </w:rPr>
            </w:pPr>
            <w:r w:rsidRPr="00E30B5B">
              <w:rPr>
                <w:sz w:val="18"/>
                <w:szCs w:val="18"/>
                <w:highlight w:val="yellow"/>
              </w:rPr>
              <w:t>MTR</w:t>
            </w:r>
          </w:p>
        </w:tc>
        <w:tc>
          <w:tcPr>
            <w:tcW w:w="1287" w:type="dxa"/>
          </w:tcPr>
          <w:p w14:paraId="2930157D" w14:textId="77777777" w:rsidR="007520C1" w:rsidRPr="00E30B5B" w:rsidRDefault="007520C1" w:rsidP="00E049DB">
            <w:pPr>
              <w:jc w:val="right"/>
              <w:rPr>
                <w:sz w:val="18"/>
                <w:szCs w:val="18"/>
                <w:highlight w:val="yellow"/>
              </w:rPr>
            </w:pPr>
            <w:r w:rsidRPr="00E30B5B">
              <w:rPr>
                <w:sz w:val="18"/>
                <w:szCs w:val="18"/>
                <w:highlight w:val="yellow"/>
              </w:rPr>
              <w:t>TE</w:t>
            </w:r>
          </w:p>
        </w:tc>
      </w:tr>
      <w:tr w:rsidR="007520C1" w:rsidRPr="004244E0" w14:paraId="305D2E22" w14:textId="77777777" w:rsidTr="00DB02C4">
        <w:tc>
          <w:tcPr>
            <w:tcW w:w="1298" w:type="dxa"/>
          </w:tcPr>
          <w:p w14:paraId="2611B0E2" w14:textId="77777777" w:rsidR="007520C1" w:rsidRPr="00E30B5B" w:rsidRDefault="007520C1" w:rsidP="00E049DB">
            <w:pPr>
              <w:jc w:val="right"/>
              <w:rPr>
                <w:sz w:val="18"/>
                <w:szCs w:val="18"/>
                <w:highlight w:val="yellow"/>
              </w:rPr>
            </w:pPr>
          </w:p>
        </w:tc>
        <w:tc>
          <w:tcPr>
            <w:tcW w:w="933" w:type="dxa"/>
          </w:tcPr>
          <w:p w14:paraId="0FBB8B8C" w14:textId="77777777" w:rsidR="007520C1" w:rsidRPr="00E30B5B" w:rsidRDefault="007520C1" w:rsidP="00E049DB">
            <w:pPr>
              <w:jc w:val="right"/>
              <w:rPr>
                <w:sz w:val="18"/>
                <w:szCs w:val="18"/>
                <w:highlight w:val="yellow"/>
              </w:rPr>
            </w:pPr>
          </w:p>
        </w:tc>
        <w:tc>
          <w:tcPr>
            <w:tcW w:w="1726" w:type="dxa"/>
          </w:tcPr>
          <w:p w14:paraId="28E52B3D" w14:textId="77777777" w:rsidR="007520C1" w:rsidRPr="00E30B5B" w:rsidRDefault="007520C1" w:rsidP="00E049DB">
            <w:pPr>
              <w:jc w:val="right"/>
              <w:rPr>
                <w:sz w:val="18"/>
                <w:szCs w:val="18"/>
                <w:highlight w:val="yellow"/>
              </w:rPr>
            </w:pPr>
            <w:r w:rsidRPr="00E30B5B">
              <w:rPr>
                <w:sz w:val="18"/>
                <w:szCs w:val="18"/>
                <w:highlight w:val="yellow"/>
              </w:rPr>
              <w:t>Female</w:t>
            </w:r>
          </w:p>
        </w:tc>
        <w:tc>
          <w:tcPr>
            <w:tcW w:w="2782" w:type="dxa"/>
            <w:gridSpan w:val="2"/>
          </w:tcPr>
          <w:p w14:paraId="7AB89188" w14:textId="77777777" w:rsidR="007520C1" w:rsidRPr="00E30B5B" w:rsidRDefault="007520C1" w:rsidP="00E049DB">
            <w:pPr>
              <w:jc w:val="right"/>
              <w:rPr>
                <w:sz w:val="18"/>
                <w:szCs w:val="18"/>
                <w:highlight w:val="yellow"/>
              </w:rPr>
            </w:pPr>
            <w:r w:rsidRPr="00E30B5B">
              <w:rPr>
                <w:i/>
                <w:color w:val="000000"/>
                <w:sz w:val="18"/>
                <w:szCs w:val="18"/>
                <w:highlight w:val="yellow"/>
              </w:rPr>
              <w:fldChar w:fldCharType="begin">
                <w:ffData>
                  <w:name w:val="F_GEB_BD_target"/>
                  <w:enabled/>
                  <w:calcOnExit w:val="0"/>
                  <w:textInput/>
                </w:ffData>
              </w:fldChar>
            </w:r>
            <w:r w:rsidRPr="00E30B5B">
              <w:rPr>
                <w:i/>
                <w:color w:val="000000"/>
                <w:sz w:val="18"/>
                <w:szCs w:val="18"/>
                <w:highlight w:val="yellow"/>
              </w:rPr>
              <w:instrText xml:space="preserve"> FORMTEXT </w:instrText>
            </w:r>
            <w:r w:rsidRPr="00E30B5B">
              <w:rPr>
                <w:i/>
                <w:color w:val="000000"/>
                <w:sz w:val="18"/>
                <w:szCs w:val="18"/>
                <w:highlight w:val="yellow"/>
              </w:rPr>
            </w:r>
            <w:r w:rsidRPr="00E30B5B">
              <w:rPr>
                <w:i/>
                <w:color w:val="000000"/>
                <w:sz w:val="18"/>
                <w:szCs w:val="18"/>
                <w:highlight w:val="yellow"/>
              </w:rPr>
              <w:fldChar w:fldCharType="separate"/>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fldChar w:fldCharType="end"/>
            </w:r>
          </w:p>
        </w:tc>
        <w:tc>
          <w:tcPr>
            <w:tcW w:w="1485" w:type="dxa"/>
            <w:gridSpan w:val="3"/>
          </w:tcPr>
          <w:p w14:paraId="15B40E76" w14:textId="77777777" w:rsidR="007520C1" w:rsidRPr="00E30B5B" w:rsidRDefault="007520C1" w:rsidP="00E049DB">
            <w:pPr>
              <w:jc w:val="right"/>
              <w:rPr>
                <w:sz w:val="18"/>
                <w:szCs w:val="18"/>
                <w:highlight w:val="yellow"/>
              </w:rPr>
            </w:pPr>
            <w:r w:rsidRPr="00E30B5B">
              <w:rPr>
                <w:i/>
                <w:color w:val="000000"/>
                <w:sz w:val="18"/>
                <w:szCs w:val="18"/>
                <w:highlight w:val="yellow"/>
              </w:rPr>
              <w:fldChar w:fldCharType="begin">
                <w:ffData>
                  <w:name w:val="F_GEB_BD_target"/>
                  <w:enabled/>
                  <w:calcOnExit w:val="0"/>
                  <w:textInput/>
                </w:ffData>
              </w:fldChar>
            </w:r>
            <w:r w:rsidRPr="00E30B5B">
              <w:rPr>
                <w:i/>
                <w:color w:val="000000"/>
                <w:sz w:val="18"/>
                <w:szCs w:val="18"/>
                <w:highlight w:val="yellow"/>
              </w:rPr>
              <w:instrText xml:space="preserve"> FORMTEXT </w:instrText>
            </w:r>
            <w:r w:rsidRPr="00E30B5B">
              <w:rPr>
                <w:i/>
                <w:color w:val="000000"/>
                <w:sz w:val="18"/>
                <w:szCs w:val="18"/>
                <w:highlight w:val="yellow"/>
              </w:rPr>
            </w:r>
            <w:r w:rsidRPr="00E30B5B">
              <w:rPr>
                <w:i/>
                <w:color w:val="000000"/>
                <w:sz w:val="18"/>
                <w:szCs w:val="18"/>
                <w:highlight w:val="yellow"/>
              </w:rPr>
              <w:fldChar w:fldCharType="separate"/>
            </w:r>
            <w:r w:rsidRPr="00E30B5B">
              <w:rPr>
                <w:i/>
                <w:color w:val="000000"/>
                <w:sz w:val="18"/>
                <w:szCs w:val="18"/>
                <w:highlight w:val="yellow"/>
              </w:rPr>
              <w:t xml:space="preserve">6,500 </w:t>
            </w:r>
            <w:r w:rsidRPr="00E30B5B">
              <w:rPr>
                <w:i/>
                <w:color w:val="000000"/>
                <w:sz w:val="18"/>
                <w:szCs w:val="18"/>
                <w:highlight w:val="yellow"/>
              </w:rPr>
              <w:fldChar w:fldCharType="end"/>
            </w:r>
          </w:p>
        </w:tc>
        <w:tc>
          <w:tcPr>
            <w:tcW w:w="1324" w:type="dxa"/>
            <w:gridSpan w:val="2"/>
          </w:tcPr>
          <w:p w14:paraId="379B88AE" w14:textId="77777777" w:rsidR="007520C1" w:rsidRPr="00E30B5B" w:rsidRDefault="007520C1" w:rsidP="00E049DB">
            <w:pPr>
              <w:jc w:val="right"/>
              <w:rPr>
                <w:sz w:val="18"/>
                <w:szCs w:val="18"/>
                <w:highlight w:val="yellow"/>
              </w:rPr>
            </w:pPr>
            <w:r w:rsidRPr="00E30B5B">
              <w:rPr>
                <w:i/>
                <w:color w:val="000000"/>
                <w:sz w:val="18"/>
                <w:szCs w:val="18"/>
                <w:highlight w:val="yellow"/>
              </w:rPr>
              <w:fldChar w:fldCharType="begin">
                <w:ffData>
                  <w:name w:val="F_GEB_BD_target"/>
                  <w:enabled/>
                  <w:calcOnExit w:val="0"/>
                  <w:textInput/>
                </w:ffData>
              </w:fldChar>
            </w:r>
            <w:r w:rsidRPr="00E30B5B">
              <w:rPr>
                <w:i/>
                <w:color w:val="000000"/>
                <w:sz w:val="18"/>
                <w:szCs w:val="18"/>
                <w:highlight w:val="yellow"/>
              </w:rPr>
              <w:instrText xml:space="preserve"> FORMTEXT </w:instrText>
            </w:r>
            <w:r w:rsidRPr="00E30B5B">
              <w:rPr>
                <w:i/>
                <w:color w:val="000000"/>
                <w:sz w:val="18"/>
                <w:szCs w:val="18"/>
                <w:highlight w:val="yellow"/>
              </w:rPr>
            </w:r>
            <w:r w:rsidRPr="00E30B5B">
              <w:rPr>
                <w:i/>
                <w:color w:val="000000"/>
                <w:sz w:val="18"/>
                <w:szCs w:val="18"/>
                <w:highlight w:val="yellow"/>
              </w:rPr>
              <w:fldChar w:fldCharType="separate"/>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fldChar w:fldCharType="end"/>
            </w:r>
          </w:p>
        </w:tc>
        <w:tc>
          <w:tcPr>
            <w:tcW w:w="1287" w:type="dxa"/>
          </w:tcPr>
          <w:p w14:paraId="64D73D72" w14:textId="77777777" w:rsidR="007520C1" w:rsidRPr="00E30B5B" w:rsidRDefault="007520C1" w:rsidP="00E049DB">
            <w:pPr>
              <w:jc w:val="right"/>
              <w:rPr>
                <w:sz w:val="18"/>
                <w:szCs w:val="18"/>
                <w:highlight w:val="yellow"/>
              </w:rPr>
            </w:pPr>
            <w:r w:rsidRPr="00E30B5B">
              <w:rPr>
                <w:i/>
                <w:color w:val="000000"/>
                <w:sz w:val="18"/>
                <w:szCs w:val="18"/>
                <w:highlight w:val="yellow"/>
              </w:rPr>
              <w:fldChar w:fldCharType="begin">
                <w:ffData>
                  <w:name w:val="F_GEB_BD_target"/>
                  <w:enabled/>
                  <w:calcOnExit w:val="0"/>
                  <w:textInput/>
                </w:ffData>
              </w:fldChar>
            </w:r>
            <w:r w:rsidRPr="00E30B5B">
              <w:rPr>
                <w:i/>
                <w:color w:val="000000"/>
                <w:sz w:val="18"/>
                <w:szCs w:val="18"/>
                <w:highlight w:val="yellow"/>
              </w:rPr>
              <w:instrText xml:space="preserve"> FORMTEXT </w:instrText>
            </w:r>
            <w:r w:rsidRPr="00E30B5B">
              <w:rPr>
                <w:i/>
                <w:color w:val="000000"/>
                <w:sz w:val="18"/>
                <w:szCs w:val="18"/>
                <w:highlight w:val="yellow"/>
              </w:rPr>
            </w:r>
            <w:r w:rsidRPr="00E30B5B">
              <w:rPr>
                <w:i/>
                <w:color w:val="000000"/>
                <w:sz w:val="18"/>
                <w:szCs w:val="18"/>
                <w:highlight w:val="yellow"/>
              </w:rPr>
              <w:fldChar w:fldCharType="separate"/>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fldChar w:fldCharType="end"/>
            </w:r>
          </w:p>
        </w:tc>
      </w:tr>
      <w:tr w:rsidR="007520C1" w:rsidRPr="004244E0" w14:paraId="6F7F408C" w14:textId="77777777" w:rsidTr="00DB02C4">
        <w:tc>
          <w:tcPr>
            <w:tcW w:w="1298" w:type="dxa"/>
          </w:tcPr>
          <w:p w14:paraId="01BFA187" w14:textId="77777777" w:rsidR="007520C1" w:rsidRPr="00E30B5B" w:rsidRDefault="007520C1" w:rsidP="00E049DB">
            <w:pPr>
              <w:jc w:val="right"/>
              <w:rPr>
                <w:sz w:val="18"/>
                <w:szCs w:val="18"/>
                <w:highlight w:val="yellow"/>
              </w:rPr>
            </w:pPr>
          </w:p>
        </w:tc>
        <w:tc>
          <w:tcPr>
            <w:tcW w:w="933" w:type="dxa"/>
          </w:tcPr>
          <w:p w14:paraId="2FA45CFC" w14:textId="77777777" w:rsidR="007520C1" w:rsidRPr="00E30B5B" w:rsidRDefault="007520C1" w:rsidP="00E049DB">
            <w:pPr>
              <w:jc w:val="right"/>
              <w:rPr>
                <w:sz w:val="18"/>
                <w:szCs w:val="18"/>
                <w:highlight w:val="yellow"/>
              </w:rPr>
            </w:pPr>
          </w:p>
        </w:tc>
        <w:tc>
          <w:tcPr>
            <w:tcW w:w="1726" w:type="dxa"/>
          </w:tcPr>
          <w:p w14:paraId="4F8FF814" w14:textId="77777777" w:rsidR="007520C1" w:rsidRPr="00E30B5B" w:rsidRDefault="007520C1" w:rsidP="00E049DB">
            <w:pPr>
              <w:jc w:val="right"/>
              <w:rPr>
                <w:sz w:val="18"/>
                <w:szCs w:val="18"/>
                <w:highlight w:val="yellow"/>
              </w:rPr>
            </w:pPr>
            <w:r w:rsidRPr="00E30B5B">
              <w:rPr>
                <w:sz w:val="18"/>
                <w:szCs w:val="18"/>
                <w:highlight w:val="yellow"/>
              </w:rPr>
              <w:t>Male</w:t>
            </w:r>
          </w:p>
        </w:tc>
        <w:tc>
          <w:tcPr>
            <w:tcW w:w="2782" w:type="dxa"/>
            <w:gridSpan w:val="2"/>
          </w:tcPr>
          <w:p w14:paraId="612D0183" w14:textId="77777777" w:rsidR="007520C1" w:rsidRPr="00E30B5B" w:rsidRDefault="007520C1" w:rsidP="00E049DB">
            <w:pPr>
              <w:jc w:val="right"/>
              <w:rPr>
                <w:i/>
                <w:color w:val="000000"/>
                <w:sz w:val="18"/>
                <w:szCs w:val="18"/>
                <w:highlight w:val="yellow"/>
              </w:rPr>
            </w:pPr>
            <w:r w:rsidRPr="00E30B5B">
              <w:rPr>
                <w:i/>
                <w:color w:val="000000"/>
                <w:sz w:val="18"/>
                <w:szCs w:val="18"/>
                <w:highlight w:val="yellow"/>
              </w:rPr>
              <w:fldChar w:fldCharType="begin">
                <w:ffData>
                  <w:name w:val="F_GEB_BD_target"/>
                  <w:enabled/>
                  <w:calcOnExit w:val="0"/>
                  <w:textInput/>
                </w:ffData>
              </w:fldChar>
            </w:r>
            <w:r w:rsidRPr="00E30B5B">
              <w:rPr>
                <w:i/>
                <w:color w:val="000000"/>
                <w:sz w:val="18"/>
                <w:szCs w:val="18"/>
                <w:highlight w:val="yellow"/>
              </w:rPr>
              <w:instrText xml:space="preserve"> FORMTEXT </w:instrText>
            </w:r>
            <w:r w:rsidRPr="00E30B5B">
              <w:rPr>
                <w:i/>
                <w:color w:val="000000"/>
                <w:sz w:val="18"/>
                <w:szCs w:val="18"/>
                <w:highlight w:val="yellow"/>
              </w:rPr>
            </w:r>
            <w:r w:rsidRPr="00E30B5B">
              <w:rPr>
                <w:i/>
                <w:color w:val="000000"/>
                <w:sz w:val="18"/>
                <w:szCs w:val="18"/>
                <w:highlight w:val="yellow"/>
              </w:rPr>
              <w:fldChar w:fldCharType="separate"/>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fldChar w:fldCharType="end"/>
            </w:r>
          </w:p>
        </w:tc>
        <w:tc>
          <w:tcPr>
            <w:tcW w:w="1485" w:type="dxa"/>
            <w:gridSpan w:val="3"/>
          </w:tcPr>
          <w:p w14:paraId="169FEE29" w14:textId="77777777" w:rsidR="007520C1" w:rsidRPr="00E30B5B" w:rsidRDefault="007520C1" w:rsidP="00E049DB">
            <w:pPr>
              <w:jc w:val="right"/>
              <w:rPr>
                <w:i/>
                <w:color w:val="000000"/>
                <w:sz w:val="18"/>
                <w:szCs w:val="18"/>
                <w:highlight w:val="yellow"/>
              </w:rPr>
            </w:pPr>
            <w:r w:rsidRPr="00E30B5B">
              <w:rPr>
                <w:i/>
                <w:color w:val="000000"/>
                <w:sz w:val="18"/>
                <w:szCs w:val="18"/>
                <w:highlight w:val="yellow"/>
              </w:rPr>
              <w:fldChar w:fldCharType="begin">
                <w:ffData>
                  <w:name w:val="F_GEB_BD_target"/>
                  <w:enabled/>
                  <w:calcOnExit w:val="0"/>
                  <w:textInput/>
                </w:ffData>
              </w:fldChar>
            </w:r>
            <w:r w:rsidRPr="00E30B5B">
              <w:rPr>
                <w:i/>
                <w:color w:val="000000"/>
                <w:sz w:val="18"/>
                <w:szCs w:val="18"/>
                <w:highlight w:val="yellow"/>
              </w:rPr>
              <w:instrText xml:space="preserve"> FORMTEXT </w:instrText>
            </w:r>
            <w:r w:rsidRPr="00E30B5B">
              <w:rPr>
                <w:i/>
                <w:color w:val="000000"/>
                <w:sz w:val="18"/>
                <w:szCs w:val="18"/>
                <w:highlight w:val="yellow"/>
              </w:rPr>
            </w:r>
            <w:r w:rsidRPr="00E30B5B">
              <w:rPr>
                <w:i/>
                <w:color w:val="000000"/>
                <w:sz w:val="18"/>
                <w:szCs w:val="18"/>
                <w:highlight w:val="yellow"/>
              </w:rPr>
              <w:fldChar w:fldCharType="separate"/>
            </w:r>
            <w:r w:rsidRPr="00E30B5B">
              <w:rPr>
                <w:i/>
                <w:color w:val="000000"/>
                <w:sz w:val="18"/>
                <w:szCs w:val="18"/>
                <w:highlight w:val="yellow"/>
              </w:rPr>
              <w:t>3,500</w:t>
            </w:r>
            <w:r w:rsidRPr="00E30B5B">
              <w:rPr>
                <w:i/>
                <w:color w:val="000000"/>
                <w:sz w:val="18"/>
                <w:szCs w:val="18"/>
                <w:highlight w:val="yellow"/>
              </w:rPr>
              <w:fldChar w:fldCharType="end"/>
            </w:r>
          </w:p>
        </w:tc>
        <w:tc>
          <w:tcPr>
            <w:tcW w:w="1324" w:type="dxa"/>
            <w:gridSpan w:val="2"/>
          </w:tcPr>
          <w:p w14:paraId="10806022" w14:textId="77777777" w:rsidR="007520C1" w:rsidRPr="00E30B5B" w:rsidRDefault="007520C1" w:rsidP="00E049DB">
            <w:pPr>
              <w:jc w:val="right"/>
              <w:rPr>
                <w:i/>
                <w:color w:val="000000"/>
                <w:sz w:val="18"/>
                <w:szCs w:val="18"/>
                <w:highlight w:val="yellow"/>
              </w:rPr>
            </w:pPr>
            <w:r w:rsidRPr="00E30B5B">
              <w:rPr>
                <w:i/>
                <w:color w:val="000000"/>
                <w:sz w:val="18"/>
                <w:szCs w:val="18"/>
                <w:highlight w:val="yellow"/>
              </w:rPr>
              <w:fldChar w:fldCharType="begin">
                <w:ffData>
                  <w:name w:val="F_GEB_BD_target"/>
                  <w:enabled/>
                  <w:calcOnExit w:val="0"/>
                  <w:textInput/>
                </w:ffData>
              </w:fldChar>
            </w:r>
            <w:r w:rsidRPr="00E30B5B">
              <w:rPr>
                <w:i/>
                <w:color w:val="000000"/>
                <w:sz w:val="18"/>
                <w:szCs w:val="18"/>
                <w:highlight w:val="yellow"/>
              </w:rPr>
              <w:instrText xml:space="preserve"> FORMTEXT </w:instrText>
            </w:r>
            <w:r w:rsidRPr="00E30B5B">
              <w:rPr>
                <w:i/>
                <w:color w:val="000000"/>
                <w:sz w:val="18"/>
                <w:szCs w:val="18"/>
                <w:highlight w:val="yellow"/>
              </w:rPr>
            </w:r>
            <w:r w:rsidRPr="00E30B5B">
              <w:rPr>
                <w:i/>
                <w:color w:val="000000"/>
                <w:sz w:val="18"/>
                <w:szCs w:val="18"/>
                <w:highlight w:val="yellow"/>
              </w:rPr>
              <w:fldChar w:fldCharType="separate"/>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fldChar w:fldCharType="end"/>
            </w:r>
          </w:p>
        </w:tc>
        <w:tc>
          <w:tcPr>
            <w:tcW w:w="1287" w:type="dxa"/>
          </w:tcPr>
          <w:p w14:paraId="27F4A589" w14:textId="77777777" w:rsidR="007520C1" w:rsidRPr="00E30B5B" w:rsidRDefault="007520C1" w:rsidP="00E049DB">
            <w:pPr>
              <w:jc w:val="right"/>
              <w:rPr>
                <w:i/>
                <w:color w:val="000000"/>
                <w:sz w:val="18"/>
                <w:szCs w:val="18"/>
                <w:highlight w:val="yellow"/>
              </w:rPr>
            </w:pPr>
            <w:r w:rsidRPr="00E30B5B">
              <w:rPr>
                <w:i/>
                <w:color w:val="000000"/>
                <w:sz w:val="18"/>
                <w:szCs w:val="18"/>
                <w:highlight w:val="yellow"/>
              </w:rPr>
              <w:fldChar w:fldCharType="begin">
                <w:ffData>
                  <w:name w:val="F_GEB_BD_target"/>
                  <w:enabled/>
                  <w:calcOnExit w:val="0"/>
                  <w:textInput/>
                </w:ffData>
              </w:fldChar>
            </w:r>
            <w:r w:rsidRPr="00E30B5B">
              <w:rPr>
                <w:i/>
                <w:color w:val="000000"/>
                <w:sz w:val="18"/>
                <w:szCs w:val="18"/>
                <w:highlight w:val="yellow"/>
              </w:rPr>
              <w:instrText xml:space="preserve"> FORMTEXT </w:instrText>
            </w:r>
            <w:r w:rsidRPr="00E30B5B">
              <w:rPr>
                <w:i/>
                <w:color w:val="000000"/>
                <w:sz w:val="18"/>
                <w:szCs w:val="18"/>
                <w:highlight w:val="yellow"/>
              </w:rPr>
            </w:r>
            <w:r w:rsidRPr="00E30B5B">
              <w:rPr>
                <w:i/>
                <w:color w:val="000000"/>
                <w:sz w:val="18"/>
                <w:szCs w:val="18"/>
                <w:highlight w:val="yellow"/>
              </w:rPr>
              <w:fldChar w:fldCharType="separate"/>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fldChar w:fldCharType="end"/>
            </w:r>
          </w:p>
        </w:tc>
      </w:tr>
      <w:tr w:rsidR="007520C1" w:rsidRPr="004244E0" w14:paraId="6B140651" w14:textId="77777777" w:rsidTr="00DB02C4">
        <w:tc>
          <w:tcPr>
            <w:tcW w:w="1298" w:type="dxa"/>
          </w:tcPr>
          <w:p w14:paraId="7FDC3B82" w14:textId="77777777" w:rsidR="007520C1" w:rsidRPr="00E30B5B" w:rsidRDefault="007520C1" w:rsidP="00E049DB">
            <w:pPr>
              <w:jc w:val="right"/>
              <w:rPr>
                <w:sz w:val="18"/>
                <w:szCs w:val="18"/>
                <w:highlight w:val="yellow"/>
              </w:rPr>
            </w:pPr>
          </w:p>
        </w:tc>
        <w:tc>
          <w:tcPr>
            <w:tcW w:w="933" w:type="dxa"/>
          </w:tcPr>
          <w:p w14:paraId="3EE3E5C9" w14:textId="77777777" w:rsidR="007520C1" w:rsidRPr="00E30B5B" w:rsidRDefault="007520C1" w:rsidP="00E049DB">
            <w:pPr>
              <w:jc w:val="right"/>
              <w:rPr>
                <w:sz w:val="18"/>
                <w:szCs w:val="18"/>
                <w:highlight w:val="yellow"/>
              </w:rPr>
            </w:pPr>
          </w:p>
        </w:tc>
        <w:tc>
          <w:tcPr>
            <w:tcW w:w="1726" w:type="dxa"/>
          </w:tcPr>
          <w:p w14:paraId="47F317BA" w14:textId="77777777" w:rsidR="007520C1" w:rsidRPr="00E30B5B" w:rsidRDefault="007520C1" w:rsidP="00E049DB">
            <w:pPr>
              <w:jc w:val="right"/>
              <w:rPr>
                <w:sz w:val="18"/>
                <w:szCs w:val="18"/>
                <w:highlight w:val="yellow"/>
              </w:rPr>
            </w:pPr>
            <w:r w:rsidRPr="00E30B5B">
              <w:rPr>
                <w:i/>
                <w:color w:val="000000"/>
                <w:sz w:val="18"/>
                <w:szCs w:val="18"/>
                <w:highlight w:val="yellow"/>
              </w:rPr>
              <w:t>Total</w:t>
            </w:r>
          </w:p>
        </w:tc>
        <w:tc>
          <w:tcPr>
            <w:tcW w:w="2782" w:type="dxa"/>
            <w:gridSpan w:val="2"/>
          </w:tcPr>
          <w:p w14:paraId="53E20DE4" w14:textId="77777777" w:rsidR="007520C1" w:rsidRPr="00E30B5B" w:rsidRDefault="007520C1" w:rsidP="00E049DB">
            <w:pPr>
              <w:jc w:val="right"/>
              <w:rPr>
                <w:i/>
                <w:color w:val="000000"/>
                <w:sz w:val="18"/>
                <w:szCs w:val="18"/>
                <w:highlight w:val="yellow"/>
              </w:rPr>
            </w:pPr>
            <w:r w:rsidRPr="00E30B5B">
              <w:rPr>
                <w:i/>
                <w:color w:val="000000"/>
                <w:sz w:val="18"/>
                <w:szCs w:val="18"/>
                <w:highlight w:val="yellow"/>
              </w:rPr>
              <w:fldChar w:fldCharType="begin">
                <w:ffData>
                  <w:name w:val="F_GEB_BD_target"/>
                  <w:enabled/>
                  <w:calcOnExit w:val="0"/>
                  <w:textInput/>
                </w:ffData>
              </w:fldChar>
            </w:r>
            <w:r w:rsidRPr="00E30B5B">
              <w:rPr>
                <w:i/>
                <w:color w:val="000000"/>
                <w:sz w:val="18"/>
                <w:szCs w:val="18"/>
                <w:highlight w:val="yellow"/>
              </w:rPr>
              <w:instrText xml:space="preserve"> FORMTEXT </w:instrText>
            </w:r>
            <w:r w:rsidRPr="00E30B5B">
              <w:rPr>
                <w:i/>
                <w:color w:val="000000"/>
                <w:sz w:val="18"/>
                <w:szCs w:val="18"/>
                <w:highlight w:val="yellow"/>
              </w:rPr>
            </w:r>
            <w:r w:rsidRPr="00E30B5B">
              <w:rPr>
                <w:i/>
                <w:color w:val="000000"/>
                <w:sz w:val="18"/>
                <w:szCs w:val="18"/>
                <w:highlight w:val="yellow"/>
              </w:rPr>
              <w:fldChar w:fldCharType="separate"/>
            </w:r>
            <w:r w:rsidRPr="00E30B5B">
              <w:rPr>
                <w:i/>
                <w:color w:val="000000"/>
                <w:sz w:val="18"/>
                <w:szCs w:val="18"/>
                <w:highlight w:val="yellow"/>
              </w:rPr>
              <w:t>18,000</w:t>
            </w:r>
            <w:r w:rsidRPr="00E30B5B">
              <w:rPr>
                <w:i/>
                <w:color w:val="000000"/>
                <w:sz w:val="18"/>
                <w:szCs w:val="18"/>
                <w:highlight w:val="yellow"/>
              </w:rPr>
              <w:fldChar w:fldCharType="end"/>
            </w:r>
          </w:p>
        </w:tc>
        <w:tc>
          <w:tcPr>
            <w:tcW w:w="1485" w:type="dxa"/>
            <w:gridSpan w:val="3"/>
          </w:tcPr>
          <w:p w14:paraId="223BBD12" w14:textId="77777777" w:rsidR="007520C1" w:rsidRPr="00E30B5B" w:rsidRDefault="007520C1" w:rsidP="00E049DB">
            <w:pPr>
              <w:jc w:val="right"/>
              <w:rPr>
                <w:i/>
                <w:color w:val="000000"/>
                <w:sz w:val="18"/>
                <w:szCs w:val="18"/>
                <w:highlight w:val="yellow"/>
              </w:rPr>
            </w:pPr>
            <w:r w:rsidRPr="00E30B5B">
              <w:rPr>
                <w:i/>
                <w:color w:val="000000"/>
                <w:sz w:val="18"/>
                <w:szCs w:val="18"/>
                <w:highlight w:val="yellow"/>
              </w:rPr>
              <w:fldChar w:fldCharType="begin">
                <w:ffData>
                  <w:name w:val="F_GEB_BD_target"/>
                  <w:enabled/>
                  <w:calcOnExit w:val="0"/>
                  <w:textInput/>
                </w:ffData>
              </w:fldChar>
            </w:r>
            <w:r w:rsidRPr="00E30B5B">
              <w:rPr>
                <w:i/>
                <w:color w:val="000000"/>
                <w:sz w:val="18"/>
                <w:szCs w:val="18"/>
                <w:highlight w:val="yellow"/>
              </w:rPr>
              <w:instrText xml:space="preserve"> FORMTEXT </w:instrText>
            </w:r>
            <w:r w:rsidRPr="00E30B5B">
              <w:rPr>
                <w:i/>
                <w:color w:val="000000"/>
                <w:sz w:val="18"/>
                <w:szCs w:val="18"/>
                <w:highlight w:val="yellow"/>
              </w:rPr>
            </w:r>
            <w:r w:rsidRPr="00E30B5B">
              <w:rPr>
                <w:i/>
                <w:color w:val="000000"/>
                <w:sz w:val="18"/>
                <w:szCs w:val="18"/>
                <w:highlight w:val="yellow"/>
              </w:rPr>
              <w:fldChar w:fldCharType="separate"/>
            </w:r>
            <w:r w:rsidRPr="00E30B5B">
              <w:rPr>
                <w:i/>
                <w:color w:val="000000"/>
                <w:sz w:val="18"/>
                <w:szCs w:val="18"/>
                <w:highlight w:val="yellow"/>
              </w:rPr>
              <w:t>10,000</w:t>
            </w:r>
            <w:r w:rsidRPr="00E30B5B">
              <w:rPr>
                <w:i/>
                <w:color w:val="000000"/>
                <w:sz w:val="18"/>
                <w:szCs w:val="18"/>
                <w:highlight w:val="yellow"/>
              </w:rPr>
              <w:fldChar w:fldCharType="end"/>
            </w:r>
          </w:p>
        </w:tc>
        <w:tc>
          <w:tcPr>
            <w:tcW w:w="1324" w:type="dxa"/>
            <w:gridSpan w:val="2"/>
          </w:tcPr>
          <w:p w14:paraId="68D11BD3" w14:textId="77777777" w:rsidR="007520C1" w:rsidRPr="00E30B5B" w:rsidRDefault="007520C1" w:rsidP="00E049DB">
            <w:pPr>
              <w:jc w:val="right"/>
              <w:rPr>
                <w:i/>
                <w:color w:val="000000"/>
                <w:sz w:val="18"/>
                <w:szCs w:val="18"/>
                <w:highlight w:val="yellow"/>
              </w:rPr>
            </w:pPr>
            <w:r w:rsidRPr="00E30B5B">
              <w:rPr>
                <w:i/>
                <w:color w:val="000000"/>
                <w:sz w:val="18"/>
                <w:szCs w:val="18"/>
                <w:highlight w:val="yellow"/>
              </w:rPr>
              <w:fldChar w:fldCharType="begin">
                <w:ffData>
                  <w:name w:val="F_GEB_BD_target"/>
                  <w:enabled/>
                  <w:calcOnExit w:val="0"/>
                  <w:textInput/>
                </w:ffData>
              </w:fldChar>
            </w:r>
            <w:r w:rsidRPr="00E30B5B">
              <w:rPr>
                <w:i/>
                <w:color w:val="000000"/>
                <w:sz w:val="18"/>
                <w:szCs w:val="18"/>
                <w:highlight w:val="yellow"/>
              </w:rPr>
              <w:instrText xml:space="preserve"> FORMTEXT </w:instrText>
            </w:r>
            <w:r w:rsidRPr="00E30B5B">
              <w:rPr>
                <w:i/>
                <w:color w:val="000000"/>
                <w:sz w:val="18"/>
                <w:szCs w:val="18"/>
                <w:highlight w:val="yellow"/>
              </w:rPr>
            </w:r>
            <w:r w:rsidRPr="00E30B5B">
              <w:rPr>
                <w:i/>
                <w:color w:val="000000"/>
                <w:sz w:val="18"/>
                <w:szCs w:val="18"/>
                <w:highlight w:val="yellow"/>
              </w:rPr>
              <w:fldChar w:fldCharType="separate"/>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fldChar w:fldCharType="end"/>
            </w:r>
          </w:p>
        </w:tc>
        <w:tc>
          <w:tcPr>
            <w:tcW w:w="1287" w:type="dxa"/>
          </w:tcPr>
          <w:p w14:paraId="39256803" w14:textId="77777777" w:rsidR="007520C1" w:rsidRPr="004244E0" w:rsidRDefault="007520C1" w:rsidP="00E049DB">
            <w:pPr>
              <w:jc w:val="right"/>
              <w:rPr>
                <w:i/>
                <w:color w:val="000000"/>
                <w:sz w:val="18"/>
                <w:szCs w:val="18"/>
              </w:rPr>
            </w:pPr>
            <w:r w:rsidRPr="00E30B5B">
              <w:rPr>
                <w:i/>
                <w:color w:val="000000"/>
                <w:sz w:val="18"/>
                <w:szCs w:val="18"/>
                <w:highlight w:val="yellow"/>
              </w:rPr>
              <w:fldChar w:fldCharType="begin">
                <w:ffData>
                  <w:name w:val="F_GEB_BD_target"/>
                  <w:enabled/>
                  <w:calcOnExit w:val="0"/>
                  <w:textInput/>
                </w:ffData>
              </w:fldChar>
            </w:r>
            <w:r w:rsidRPr="00E30B5B">
              <w:rPr>
                <w:i/>
                <w:color w:val="000000"/>
                <w:sz w:val="18"/>
                <w:szCs w:val="18"/>
                <w:highlight w:val="yellow"/>
              </w:rPr>
              <w:instrText xml:space="preserve"> FORMTEXT </w:instrText>
            </w:r>
            <w:r w:rsidRPr="00E30B5B">
              <w:rPr>
                <w:i/>
                <w:color w:val="000000"/>
                <w:sz w:val="18"/>
                <w:szCs w:val="18"/>
                <w:highlight w:val="yellow"/>
              </w:rPr>
            </w:r>
            <w:r w:rsidRPr="00E30B5B">
              <w:rPr>
                <w:i/>
                <w:color w:val="000000"/>
                <w:sz w:val="18"/>
                <w:szCs w:val="18"/>
                <w:highlight w:val="yellow"/>
              </w:rPr>
              <w:fldChar w:fldCharType="separate"/>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t> </w:t>
            </w:r>
            <w:r w:rsidRPr="00E30B5B">
              <w:rPr>
                <w:i/>
                <w:color w:val="000000"/>
                <w:sz w:val="18"/>
                <w:szCs w:val="18"/>
                <w:highlight w:val="yellow"/>
              </w:rPr>
              <w:fldChar w:fldCharType="end"/>
            </w:r>
          </w:p>
        </w:tc>
      </w:tr>
    </w:tbl>
    <w:p w14:paraId="52A2A5D2" w14:textId="77777777" w:rsidR="007520C1" w:rsidRDefault="007520C1" w:rsidP="009563B4">
      <w:pPr>
        <w:pStyle w:val="Heading2"/>
        <w:rPr>
          <w:lang w:val="en-US"/>
        </w:rPr>
      </w:pPr>
      <w:bookmarkStart w:id="398" w:name="_Toc42027165"/>
      <w:bookmarkStart w:id="399" w:name="_Toc42262673"/>
      <w:bookmarkStart w:id="400" w:name="_Toc58398611"/>
    </w:p>
    <w:p w14:paraId="5A2918D9" w14:textId="0A574FF2" w:rsidR="009563B4" w:rsidRPr="00104FE6" w:rsidRDefault="009563B4" w:rsidP="009563B4">
      <w:pPr>
        <w:pStyle w:val="Heading2"/>
        <w:rPr>
          <w:lang w:val="en-US"/>
        </w:rPr>
      </w:pPr>
      <w:r w:rsidRPr="00104FE6">
        <w:rPr>
          <w:lang w:val="en-US"/>
        </w:rPr>
        <w:t>Annex G: GEF Project Taxonomy Worksheet</w:t>
      </w:r>
      <w:bookmarkEnd w:id="398"/>
      <w:bookmarkEnd w:id="399"/>
      <w:bookmarkEnd w:id="400"/>
    </w:p>
    <w:bookmarkStart w:id="401" w:name="_Toc12612964"/>
    <w:bookmarkStart w:id="402" w:name="_Toc42027166"/>
    <w:bookmarkStart w:id="403" w:name="_Toc42262674"/>
    <w:p w14:paraId="4B63D347" w14:textId="3AAEE67F" w:rsidR="008D4DDC" w:rsidRPr="00850CCF" w:rsidRDefault="008D4DDC" w:rsidP="00850CCF">
      <w:pPr>
        <w:rPr>
          <w:rFonts w:asciiTheme="minorHAnsi" w:hAnsiTheme="minorHAnsi"/>
          <w:b/>
          <w:bCs/>
          <w:iCs/>
          <w:smallCaps/>
          <w:sz w:val="21"/>
          <w:szCs w:val="21"/>
        </w:rPr>
      </w:pPr>
      <w:r w:rsidRPr="00850CCF">
        <w:rPr>
          <w:rFonts w:asciiTheme="minorHAnsi" w:hAnsiTheme="minorHAnsi"/>
          <w:b/>
          <w:bCs/>
          <w:iCs/>
          <w:smallCaps/>
          <w:sz w:val="21"/>
          <w:szCs w:val="21"/>
        </w:rPr>
        <w:fldChar w:fldCharType="begin"/>
      </w:r>
      <w:r w:rsidRPr="00850CCF">
        <w:rPr>
          <w:rFonts w:asciiTheme="minorHAnsi" w:hAnsiTheme="minorHAnsi"/>
          <w:b/>
          <w:bCs/>
          <w:iCs/>
          <w:smallCaps/>
          <w:sz w:val="21"/>
          <w:szCs w:val="21"/>
        </w:rPr>
        <w:instrText xml:space="preserve"> HYPERLINK "</w:instrText>
      </w:r>
      <w:r w:rsidRPr="00850CCF">
        <w:rPr>
          <w:rFonts w:asciiTheme="minorHAnsi" w:hAnsiTheme="minorHAnsi"/>
          <w:sz w:val="21"/>
          <w:szCs w:val="21"/>
        </w:rPr>
        <w:instrText>https://drive.google.com/file/d/1xteD1R_9teiCc-5yKV77G0xtIejEM9qw/view?usp=sharing</w:instrText>
      </w:r>
      <w:r w:rsidRPr="00850CCF">
        <w:rPr>
          <w:rFonts w:asciiTheme="minorHAnsi" w:hAnsiTheme="minorHAnsi"/>
          <w:b/>
          <w:bCs/>
          <w:iCs/>
          <w:smallCaps/>
          <w:sz w:val="21"/>
          <w:szCs w:val="21"/>
        </w:rPr>
        <w:instrText xml:space="preserve">" </w:instrText>
      </w:r>
      <w:r w:rsidRPr="00850CCF">
        <w:rPr>
          <w:rFonts w:asciiTheme="minorHAnsi" w:hAnsiTheme="minorHAnsi"/>
          <w:b/>
          <w:bCs/>
          <w:iCs/>
          <w:smallCaps/>
          <w:sz w:val="21"/>
          <w:szCs w:val="21"/>
        </w:rPr>
        <w:fldChar w:fldCharType="separate"/>
      </w:r>
      <w:r w:rsidRPr="00850CCF">
        <w:rPr>
          <w:rStyle w:val="Hyperlink"/>
          <w:rFonts w:asciiTheme="minorHAnsi" w:hAnsiTheme="minorHAnsi"/>
          <w:sz w:val="21"/>
          <w:szCs w:val="21"/>
        </w:rPr>
        <w:t>https://drive.google.com/file/d/1xteD1R_9teiCc-5yKV77G0xtIejEM9qw/view?usp=sharing</w:t>
      </w:r>
      <w:r w:rsidRPr="00850CCF">
        <w:rPr>
          <w:rFonts w:asciiTheme="minorHAnsi" w:hAnsiTheme="minorHAnsi"/>
          <w:b/>
          <w:bCs/>
          <w:iCs/>
          <w:smallCaps/>
          <w:sz w:val="21"/>
          <w:szCs w:val="21"/>
        </w:rPr>
        <w:fldChar w:fldCharType="end"/>
      </w:r>
    </w:p>
    <w:p w14:paraId="1826AF9B" w14:textId="425C3FAD" w:rsidR="009563B4" w:rsidRDefault="009563B4" w:rsidP="009563B4">
      <w:pPr>
        <w:pStyle w:val="Heading2"/>
        <w:rPr>
          <w:lang w:val="en-US"/>
        </w:rPr>
      </w:pPr>
      <w:bookmarkStart w:id="404" w:name="_Toc58398612"/>
      <w:r w:rsidRPr="00104FE6">
        <w:rPr>
          <w:lang w:val="en-US"/>
        </w:rPr>
        <w:t>Annex H: Work Plan (indicative)</w:t>
      </w:r>
      <w:bookmarkEnd w:id="401"/>
      <w:bookmarkEnd w:id="402"/>
      <w:bookmarkEnd w:id="403"/>
      <w:bookmarkEnd w:id="404"/>
    </w:p>
    <w:bookmarkStart w:id="405" w:name="_Annex_I1:_Environmental"/>
    <w:bookmarkStart w:id="406" w:name="_Toc10550570"/>
    <w:bookmarkStart w:id="407" w:name="_Toc10550658"/>
    <w:bookmarkStart w:id="408" w:name="_Toc10553001"/>
    <w:bookmarkStart w:id="409" w:name="_Toc10554547"/>
    <w:bookmarkStart w:id="410" w:name="_Toc10554615"/>
    <w:bookmarkStart w:id="411" w:name="_Toc12612965"/>
    <w:bookmarkStart w:id="412" w:name="_Toc42027167"/>
    <w:bookmarkStart w:id="413" w:name="_Toc42262675"/>
    <w:bookmarkEnd w:id="405"/>
    <w:p w14:paraId="193CCF86" w14:textId="197F346B" w:rsidR="00850CCF" w:rsidRPr="00850CCF" w:rsidRDefault="00850CCF" w:rsidP="00850CCF">
      <w:pPr>
        <w:rPr>
          <w:rFonts w:asciiTheme="minorHAnsi" w:hAnsiTheme="minorHAnsi"/>
          <w:b/>
          <w:bCs/>
          <w:sz w:val="21"/>
          <w:szCs w:val="21"/>
        </w:rPr>
      </w:pPr>
      <w:r w:rsidRPr="00850CCF">
        <w:rPr>
          <w:rFonts w:asciiTheme="minorHAnsi" w:hAnsiTheme="minorHAnsi"/>
          <w:b/>
          <w:bCs/>
          <w:sz w:val="21"/>
          <w:szCs w:val="21"/>
        </w:rPr>
        <w:fldChar w:fldCharType="begin"/>
      </w:r>
      <w:r w:rsidRPr="00850CCF">
        <w:rPr>
          <w:rFonts w:asciiTheme="minorHAnsi" w:hAnsiTheme="minorHAnsi"/>
          <w:b/>
          <w:bCs/>
          <w:sz w:val="21"/>
          <w:szCs w:val="21"/>
        </w:rPr>
        <w:instrText xml:space="preserve"> HYPERLINK "</w:instrText>
      </w:r>
      <w:r w:rsidRPr="00850CCF">
        <w:rPr>
          <w:rFonts w:asciiTheme="minorHAnsi" w:hAnsiTheme="minorHAnsi"/>
          <w:sz w:val="21"/>
          <w:szCs w:val="21"/>
        </w:rPr>
        <w:instrText>https://drive.google.com/file/d/1rlaqo_YSXSOkS0F3021wU3s_hJNf3dcV/view?usp=sharing</w:instrText>
      </w:r>
      <w:r w:rsidRPr="00850CCF">
        <w:rPr>
          <w:rFonts w:asciiTheme="minorHAnsi" w:hAnsiTheme="minorHAnsi"/>
          <w:b/>
          <w:bCs/>
          <w:sz w:val="21"/>
          <w:szCs w:val="21"/>
        </w:rPr>
        <w:instrText xml:space="preserve">" </w:instrText>
      </w:r>
      <w:r w:rsidRPr="00850CCF">
        <w:rPr>
          <w:rFonts w:asciiTheme="minorHAnsi" w:hAnsiTheme="minorHAnsi"/>
          <w:b/>
          <w:bCs/>
          <w:sz w:val="21"/>
          <w:szCs w:val="21"/>
        </w:rPr>
        <w:fldChar w:fldCharType="separate"/>
      </w:r>
      <w:r w:rsidRPr="00850CCF">
        <w:rPr>
          <w:rStyle w:val="Hyperlink"/>
          <w:rFonts w:asciiTheme="minorHAnsi" w:hAnsiTheme="minorHAnsi" w:cstheme="minorHAnsi"/>
          <w:sz w:val="21"/>
          <w:szCs w:val="21"/>
        </w:rPr>
        <w:t>https://drive.google.com/file/d/1rlaqo_YSXSOkS0F3021wU3s_hJNf3dcV/view?usp=sharing</w:t>
      </w:r>
      <w:r w:rsidRPr="00850CCF">
        <w:rPr>
          <w:rFonts w:asciiTheme="minorHAnsi" w:hAnsiTheme="minorHAnsi"/>
          <w:b/>
          <w:bCs/>
          <w:sz w:val="21"/>
          <w:szCs w:val="21"/>
        </w:rPr>
        <w:fldChar w:fldCharType="end"/>
      </w:r>
    </w:p>
    <w:p w14:paraId="126448C6" w14:textId="7BDFA6A5" w:rsidR="00120A12" w:rsidRDefault="009563B4" w:rsidP="009563B4">
      <w:pPr>
        <w:pStyle w:val="Heading2"/>
        <w:rPr>
          <w:lang w:val="en-US"/>
        </w:rPr>
      </w:pPr>
      <w:bookmarkStart w:id="414" w:name="_Toc58398613"/>
      <w:r w:rsidRPr="00104FE6">
        <w:rPr>
          <w:lang w:val="en-US"/>
        </w:rPr>
        <w:t xml:space="preserve">Annex I1: Environmental and </w:t>
      </w:r>
      <w:bookmarkEnd w:id="406"/>
      <w:bookmarkEnd w:id="407"/>
      <w:bookmarkEnd w:id="408"/>
      <w:bookmarkEnd w:id="409"/>
      <w:bookmarkEnd w:id="410"/>
      <w:bookmarkEnd w:id="411"/>
      <w:r w:rsidRPr="00104FE6">
        <w:rPr>
          <w:lang w:val="en-US"/>
        </w:rPr>
        <w:t>Social Risk Certification</w:t>
      </w:r>
      <w:bookmarkStart w:id="415" w:name="_Annex_I2:_"/>
      <w:bookmarkStart w:id="416" w:name="_Toc10550571"/>
      <w:bookmarkStart w:id="417" w:name="_Toc10550659"/>
      <w:bookmarkStart w:id="418" w:name="_Toc10553002"/>
      <w:bookmarkStart w:id="419" w:name="_Toc10554548"/>
      <w:bookmarkStart w:id="420" w:name="_Toc10554616"/>
      <w:bookmarkStart w:id="421" w:name="_Toc12612966"/>
      <w:bookmarkStart w:id="422" w:name="_Ref40618886"/>
      <w:bookmarkStart w:id="423" w:name="_Toc42027168"/>
      <w:bookmarkStart w:id="424" w:name="_Toc42262676"/>
      <w:bookmarkEnd w:id="412"/>
      <w:bookmarkEnd w:id="413"/>
      <w:bookmarkEnd w:id="414"/>
      <w:bookmarkEnd w:id="415"/>
    </w:p>
    <w:p w14:paraId="49066228" w14:textId="570EB4D2" w:rsidR="00120A12" w:rsidRPr="00120A12" w:rsidRDefault="00120A12" w:rsidP="00120A12">
      <w:pPr>
        <w:rPr>
          <w:rStyle w:val="Hyperlink"/>
          <w:rFonts w:asciiTheme="minorHAnsi" w:hAnsiTheme="minorHAnsi" w:cstheme="minorHAnsi"/>
          <w:sz w:val="21"/>
          <w:szCs w:val="21"/>
        </w:rPr>
      </w:pPr>
      <w:r w:rsidRPr="00120A12">
        <w:rPr>
          <w:rStyle w:val="Hyperlink"/>
          <w:rFonts w:asciiTheme="minorHAnsi" w:hAnsiTheme="minorHAnsi" w:cstheme="minorHAnsi"/>
          <w:sz w:val="21"/>
          <w:szCs w:val="21"/>
        </w:rPr>
        <w:t>https://drive.google.com/file/d/16223Nqlpq-zILiB-OsqK7qHjPU_X-9Gs/view?usp=sharing</w:t>
      </w:r>
    </w:p>
    <w:p w14:paraId="49F6D5BB" w14:textId="0FC4F7D4" w:rsidR="009563B4" w:rsidRPr="00104FE6" w:rsidRDefault="009563B4" w:rsidP="009563B4">
      <w:pPr>
        <w:pStyle w:val="Heading2"/>
        <w:rPr>
          <w:lang w:val="en-US"/>
        </w:rPr>
      </w:pPr>
      <w:bookmarkStart w:id="425" w:name="_Toc58398614"/>
      <w:r w:rsidRPr="00607A77">
        <w:rPr>
          <w:lang w:val="en-US"/>
        </w:rPr>
        <w:t>Annex I2:  Stakeholder Engagement Matrix and Grievance Redress Mechanism</w:t>
      </w:r>
      <w:bookmarkEnd w:id="416"/>
      <w:bookmarkEnd w:id="417"/>
      <w:bookmarkEnd w:id="418"/>
      <w:bookmarkEnd w:id="419"/>
      <w:bookmarkEnd w:id="420"/>
      <w:bookmarkEnd w:id="421"/>
      <w:bookmarkEnd w:id="422"/>
      <w:bookmarkEnd w:id="423"/>
      <w:bookmarkEnd w:id="424"/>
      <w:bookmarkEnd w:id="425"/>
    </w:p>
    <w:p w14:paraId="1D72305E" w14:textId="77777777" w:rsidR="009563B4" w:rsidRPr="00CE1EA7" w:rsidRDefault="009563B4" w:rsidP="009563B4">
      <w:pPr>
        <w:keepNext/>
        <w:rPr>
          <w:b/>
          <w:bCs/>
          <w:i/>
          <w:iCs/>
        </w:rPr>
      </w:pPr>
      <w:r w:rsidRPr="36822015">
        <w:rPr>
          <w:b/>
          <w:bCs/>
          <w:i/>
          <w:iCs/>
        </w:rPr>
        <w:t>1) Stakeholder Consultation in project formulation</w:t>
      </w:r>
      <w:r w:rsidRPr="00CE1EA7">
        <w:rPr>
          <w:rStyle w:val="FootnoteReference"/>
        </w:rPr>
        <w:footnoteReference w:id="113"/>
      </w:r>
    </w:p>
    <w:p w14:paraId="40B639ED" w14:textId="77777777" w:rsidR="009563B4" w:rsidRPr="00CE1EA7" w:rsidRDefault="009563B4" w:rsidP="009563B4"/>
    <w:tbl>
      <w:tblPr>
        <w:tblW w:w="13516" w:type="dxa"/>
        <w:tblLook w:val="04A0" w:firstRow="1" w:lastRow="0" w:firstColumn="1" w:lastColumn="0" w:noHBand="0" w:noVBand="1"/>
      </w:tblPr>
      <w:tblGrid>
        <w:gridCol w:w="1870"/>
        <w:gridCol w:w="1870"/>
        <w:gridCol w:w="1870"/>
        <w:gridCol w:w="1870"/>
        <w:gridCol w:w="2296"/>
        <w:gridCol w:w="1870"/>
        <w:gridCol w:w="1870"/>
      </w:tblGrid>
      <w:tr w:rsidR="009563B4" w:rsidRPr="004A3071" w14:paraId="69C895AC" w14:textId="77777777" w:rsidTr="002B5FBB">
        <w:trPr>
          <w:cantSplit/>
          <w:tblHeader/>
        </w:trPr>
        <w:tc>
          <w:tcPr>
            <w:tcW w:w="1870" w:type="dxa"/>
            <w:tcBorders>
              <w:top w:val="single" w:sz="4" w:space="0" w:color="000000" w:themeColor="text1"/>
              <w:left w:val="single" w:sz="4" w:space="0" w:color="000000" w:themeColor="text1"/>
              <w:bottom w:val="single" w:sz="4" w:space="0" w:color="auto"/>
              <w:right w:val="single" w:sz="4" w:space="0" w:color="000000" w:themeColor="text1"/>
            </w:tcBorders>
            <w:shd w:val="clear" w:color="auto" w:fill="D9D9D9" w:themeFill="background1" w:themeFillShade="D9"/>
            <w:vAlign w:val="center"/>
          </w:tcPr>
          <w:p w14:paraId="29D90048" w14:textId="77777777" w:rsidR="009563B4" w:rsidRPr="004A3071" w:rsidRDefault="009563B4" w:rsidP="00481CA4">
            <w:pPr>
              <w:rPr>
                <w:rFonts w:asciiTheme="minorHAnsi" w:hAnsiTheme="minorHAnsi" w:cstheme="minorHAnsi"/>
                <w:b/>
                <w:bCs/>
                <w:color w:val="000000"/>
                <w:sz w:val="16"/>
                <w:szCs w:val="16"/>
              </w:rPr>
            </w:pPr>
            <w:r w:rsidRPr="004A3071">
              <w:rPr>
                <w:rFonts w:asciiTheme="minorHAnsi" w:hAnsiTheme="minorHAnsi" w:cstheme="minorHAnsi"/>
                <w:b/>
                <w:bCs/>
                <w:color w:val="000000"/>
                <w:sz w:val="16"/>
                <w:szCs w:val="16"/>
              </w:rPr>
              <w:t>Stakeholder Name</w:t>
            </w:r>
          </w:p>
        </w:tc>
        <w:tc>
          <w:tcPr>
            <w:tcW w:w="1870" w:type="dxa"/>
            <w:tcBorders>
              <w:top w:val="single" w:sz="4" w:space="0" w:color="000000" w:themeColor="text1"/>
              <w:left w:val="single" w:sz="4" w:space="0" w:color="000000" w:themeColor="text1"/>
              <w:bottom w:val="single" w:sz="4" w:space="0" w:color="auto"/>
              <w:right w:val="single" w:sz="4" w:space="0" w:color="000000" w:themeColor="text1"/>
            </w:tcBorders>
            <w:shd w:val="clear" w:color="auto" w:fill="D9D9D9" w:themeFill="background1" w:themeFillShade="D9"/>
            <w:vAlign w:val="center"/>
          </w:tcPr>
          <w:p w14:paraId="04EC9311" w14:textId="77777777" w:rsidR="009563B4" w:rsidRPr="004A3071" w:rsidRDefault="009563B4" w:rsidP="00481CA4">
            <w:pPr>
              <w:jc w:val="center"/>
              <w:rPr>
                <w:rFonts w:asciiTheme="minorHAnsi" w:hAnsiTheme="minorHAnsi" w:cstheme="minorHAnsi"/>
                <w:b/>
                <w:bCs/>
                <w:color w:val="000000"/>
                <w:sz w:val="16"/>
                <w:szCs w:val="16"/>
              </w:rPr>
            </w:pPr>
            <w:r w:rsidRPr="004A3071">
              <w:rPr>
                <w:rFonts w:asciiTheme="minorHAnsi" w:hAnsiTheme="minorHAnsi" w:cstheme="minorHAnsi"/>
                <w:b/>
                <w:bCs/>
                <w:sz w:val="16"/>
                <w:szCs w:val="16"/>
              </w:rPr>
              <w:t>Stakeholder Type</w:t>
            </w:r>
          </w:p>
        </w:tc>
        <w:tc>
          <w:tcPr>
            <w:tcW w:w="1870" w:type="dxa"/>
            <w:tcBorders>
              <w:top w:val="single" w:sz="4" w:space="0" w:color="000000" w:themeColor="text1"/>
              <w:left w:val="single" w:sz="4" w:space="0" w:color="000000" w:themeColor="text1"/>
              <w:bottom w:val="single" w:sz="4" w:space="0" w:color="auto"/>
              <w:right w:val="single" w:sz="4" w:space="0" w:color="000000" w:themeColor="text1"/>
            </w:tcBorders>
            <w:shd w:val="clear" w:color="auto" w:fill="D9D9D9" w:themeFill="background1" w:themeFillShade="D9"/>
            <w:vAlign w:val="center"/>
          </w:tcPr>
          <w:p w14:paraId="02D29C8A" w14:textId="77777777" w:rsidR="009563B4" w:rsidRPr="004A3071" w:rsidRDefault="009563B4" w:rsidP="00481CA4">
            <w:pPr>
              <w:jc w:val="center"/>
              <w:rPr>
                <w:rFonts w:asciiTheme="minorHAnsi" w:hAnsiTheme="minorHAnsi" w:cstheme="minorHAnsi"/>
                <w:b/>
                <w:bCs/>
                <w:color w:val="000000"/>
                <w:sz w:val="16"/>
                <w:szCs w:val="16"/>
              </w:rPr>
            </w:pPr>
            <w:r w:rsidRPr="004A3071">
              <w:rPr>
                <w:rFonts w:asciiTheme="minorHAnsi" w:hAnsiTheme="minorHAnsi" w:cstheme="minorHAnsi"/>
                <w:b/>
                <w:bCs/>
                <w:sz w:val="16"/>
                <w:szCs w:val="16"/>
              </w:rPr>
              <w:t>Stakeholder profile</w:t>
            </w:r>
          </w:p>
        </w:tc>
        <w:tc>
          <w:tcPr>
            <w:tcW w:w="1870" w:type="dxa"/>
            <w:tcBorders>
              <w:top w:val="single" w:sz="4" w:space="0" w:color="000000" w:themeColor="text1"/>
              <w:left w:val="single" w:sz="4" w:space="0" w:color="000000" w:themeColor="text1"/>
              <w:bottom w:val="single" w:sz="4" w:space="0" w:color="auto"/>
              <w:right w:val="single" w:sz="4" w:space="0" w:color="000000" w:themeColor="text1"/>
            </w:tcBorders>
            <w:shd w:val="clear" w:color="auto" w:fill="D9D9D9" w:themeFill="background1" w:themeFillShade="D9"/>
            <w:vAlign w:val="center"/>
          </w:tcPr>
          <w:p w14:paraId="64CC17CC" w14:textId="77777777" w:rsidR="009563B4" w:rsidRPr="004A3071" w:rsidRDefault="009563B4" w:rsidP="00481CA4">
            <w:pPr>
              <w:jc w:val="center"/>
              <w:rPr>
                <w:rFonts w:asciiTheme="minorHAnsi" w:hAnsiTheme="minorHAnsi" w:cstheme="minorHAnsi"/>
                <w:b/>
                <w:bCs/>
                <w:color w:val="000000"/>
                <w:sz w:val="16"/>
                <w:szCs w:val="16"/>
              </w:rPr>
            </w:pPr>
            <w:r w:rsidRPr="004A3071">
              <w:rPr>
                <w:rFonts w:asciiTheme="minorHAnsi" w:hAnsiTheme="minorHAnsi" w:cstheme="minorHAnsi"/>
                <w:b/>
                <w:bCs/>
                <w:sz w:val="16"/>
                <w:szCs w:val="16"/>
              </w:rPr>
              <w:t>Consultation Methodology</w:t>
            </w:r>
          </w:p>
        </w:tc>
        <w:tc>
          <w:tcPr>
            <w:tcW w:w="2296" w:type="dxa"/>
            <w:tcBorders>
              <w:top w:val="single" w:sz="4" w:space="0" w:color="000000" w:themeColor="text1"/>
              <w:left w:val="single" w:sz="4" w:space="0" w:color="000000" w:themeColor="text1"/>
              <w:bottom w:val="nil"/>
              <w:right w:val="single" w:sz="4" w:space="0" w:color="000000" w:themeColor="text1"/>
            </w:tcBorders>
            <w:shd w:val="clear" w:color="auto" w:fill="D9D9D9" w:themeFill="background1" w:themeFillShade="D9"/>
            <w:vAlign w:val="center"/>
          </w:tcPr>
          <w:p w14:paraId="04B9D9C3" w14:textId="77777777" w:rsidR="009563B4" w:rsidRPr="004A3071" w:rsidRDefault="009563B4" w:rsidP="00481CA4">
            <w:pPr>
              <w:jc w:val="center"/>
              <w:rPr>
                <w:rFonts w:asciiTheme="minorHAnsi" w:hAnsiTheme="minorHAnsi" w:cstheme="minorHAnsi"/>
                <w:b/>
                <w:bCs/>
                <w:color w:val="000000"/>
                <w:sz w:val="16"/>
                <w:szCs w:val="16"/>
              </w:rPr>
            </w:pPr>
            <w:r w:rsidRPr="004A3071">
              <w:rPr>
                <w:rFonts w:asciiTheme="minorHAnsi" w:hAnsiTheme="minorHAnsi" w:cstheme="minorHAnsi"/>
                <w:b/>
                <w:bCs/>
                <w:sz w:val="16"/>
                <w:szCs w:val="16"/>
              </w:rPr>
              <w:t>Consultation Findings</w:t>
            </w:r>
          </w:p>
        </w:tc>
        <w:tc>
          <w:tcPr>
            <w:tcW w:w="1870" w:type="dxa"/>
            <w:tcBorders>
              <w:top w:val="single" w:sz="4" w:space="0" w:color="000000" w:themeColor="text1"/>
              <w:left w:val="single" w:sz="4" w:space="0" w:color="000000" w:themeColor="text1"/>
              <w:bottom w:val="nil"/>
              <w:right w:val="single" w:sz="4" w:space="0" w:color="000000" w:themeColor="text1"/>
            </w:tcBorders>
            <w:shd w:val="clear" w:color="auto" w:fill="D9D9D9" w:themeFill="background1" w:themeFillShade="D9"/>
            <w:vAlign w:val="center"/>
          </w:tcPr>
          <w:p w14:paraId="68E3C07D" w14:textId="77777777" w:rsidR="009563B4" w:rsidRPr="004A3071" w:rsidRDefault="009563B4" w:rsidP="00481CA4">
            <w:pPr>
              <w:jc w:val="center"/>
              <w:rPr>
                <w:rFonts w:asciiTheme="minorHAnsi" w:hAnsiTheme="minorHAnsi" w:cstheme="minorHAnsi"/>
                <w:b/>
                <w:bCs/>
                <w:color w:val="000000"/>
                <w:sz w:val="16"/>
                <w:szCs w:val="16"/>
              </w:rPr>
            </w:pPr>
            <w:r w:rsidRPr="004A3071">
              <w:rPr>
                <w:rFonts w:asciiTheme="minorHAnsi" w:hAnsiTheme="minorHAnsi" w:cstheme="minorHAnsi"/>
                <w:b/>
                <w:bCs/>
                <w:sz w:val="16"/>
                <w:szCs w:val="16"/>
              </w:rPr>
              <w:t>Expected timing (for Stakeholder Engagement Plans Only)</w:t>
            </w:r>
          </w:p>
        </w:tc>
        <w:tc>
          <w:tcPr>
            <w:tcW w:w="1870" w:type="dxa"/>
            <w:tcBorders>
              <w:top w:val="single" w:sz="4" w:space="0" w:color="000000" w:themeColor="text1"/>
              <w:left w:val="single" w:sz="4" w:space="0" w:color="000000" w:themeColor="text1"/>
              <w:bottom w:val="nil"/>
              <w:right w:val="single" w:sz="4" w:space="0" w:color="000000" w:themeColor="text1"/>
            </w:tcBorders>
            <w:shd w:val="clear" w:color="auto" w:fill="D9D9D9" w:themeFill="background1" w:themeFillShade="D9"/>
            <w:vAlign w:val="center"/>
          </w:tcPr>
          <w:p w14:paraId="045C7386" w14:textId="77777777" w:rsidR="009563B4" w:rsidRPr="004A3071" w:rsidRDefault="009563B4" w:rsidP="00481CA4">
            <w:pPr>
              <w:jc w:val="center"/>
              <w:rPr>
                <w:rFonts w:asciiTheme="minorHAnsi" w:hAnsiTheme="minorHAnsi" w:cstheme="minorHAnsi"/>
                <w:b/>
                <w:bCs/>
                <w:color w:val="000000"/>
                <w:sz w:val="16"/>
                <w:szCs w:val="16"/>
              </w:rPr>
            </w:pPr>
            <w:r w:rsidRPr="004A3071">
              <w:rPr>
                <w:rFonts w:asciiTheme="minorHAnsi" w:hAnsiTheme="minorHAnsi" w:cstheme="minorHAnsi"/>
                <w:b/>
                <w:bCs/>
                <w:sz w:val="16"/>
                <w:szCs w:val="16"/>
              </w:rPr>
              <w:t>Comments</w:t>
            </w:r>
          </w:p>
        </w:tc>
      </w:tr>
      <w:tr w:rsidR="000D7C84" w:rsidRPr="004A3071" w14:paraId="06767892" w14:textId="77777777" w:rsidTr="002B5FBB">
        <w:trPr>
          <w:cantSplit/>
        </w:trPr>
        <w:tc>
          <w:tcPr>
            <w:tcW w:w="1870" w:type="dxa"/>
            <w:vMerge w:val="restart"/>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F22D7F3" w14:textId="164EF275" w:rsidR="000D7C84" w:rsidRPr="004A3071" w:rsidRDefault="000D7C84" w:rsidP="00481CA4">
            <w:pPr>
              <w:rPr>
                <w:rFonts w:asciiTheme="minorHAnsi" w:hAnsiTheme="minorHAnsi" w:cstheme="minorHAnsi"/>
                <w:color w:val="000000"/>
                <w:sz w:val="16"/>
                <w:szCs w:val="16"/>
              </w:rPr>
            </w:pPr>
            <w:r w:rsidRPr="004A3071">
              <w:rPr>
                <w:rFonts w:asciiTheme="minorHAnsi" w:hAnsiTheme="minorHAnsi" w:cstheme="minorHAnsi"/>
                <w:color w:val="000000" w:themeColor="text1"/>
                <w:sz w:val="16"/>
                <w:szCs w:val="16"/>
              </w:rPr>
              <w:t xml:space="preserve"> Ministry of Culture, Tourism and Environment (MCTA)</w:t>
            </w:r>
          </w:p>
          <w:p w14:paraId="06C377C6" w14:textId="77777777" w:rsidR="000D7C84" w:rsidRPr="004A3071" w:rsidRDefault="000D7C84" w:rsidP="00481CA4">
            <w:pPr>
              <w:rPr>
                <w:rFonts w:asciiTheme="minorHAnsi" w:hAnsiTheme="minorHAnsi" w:cstheme="minorHAnsi"/>
                <w:color w:val="000000"/>
                <w:sz w:val="16"/>
                <w:szCs w:val="16"/>
              </w:rPr>
            </w:pPr>
            <w:r w:rsidRPr="004A3071">
              <w:rPr>
                <w:rFonts w:asciiTheme="minorHAnsi" w:hAnsiTheme="minorHAnsi" w:cstheme="minorHAnsi"/>
                <w:color w:val="000000"/>
                <w:sz w:val="16"/>
                <w:szCs w:val="16"/>
              </w:rPr>
              <w:t> </w:t>
            </w:r>
          </w:p>
        </w:tc>
        <w:tc>
          <w:tcPr>
            <w:tcW w:w="1870" w:type="dxa"/>
            <w:vMerge w:val="restart"/>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369117B" w14:textId="77777777" w:rsidR="000D7C84" w:rsidRPr="004A3071" w:rsidRDefault="000D7C84" w:rsidP="00481CA4">
            <w:pPr>
              <w:jc w:val="center"/>
              <w:rPr>
                <w:rFonts w:asciiTheme="minorHAnsi" w:hAnsiTheme="minorHAnsi" w:cstheme="minorHAnsi"/>
                <w:color w:val="000000"/>
                <w:sz w:val="16"/>
                <w:szCs w:val="16"/>
              </w:rPr>
            </w:pPr>
            <w:r w:rsidRPr="004A3071">
              <w:rPr>
                <w:rFonts w:asciiTheme="minorHAnsi" w:hAnsiTheme="minorHAnsi" w:cstheme="minorHAnsi"/>
                <w:color w:val="000000"/>
                <w:sz w:val="16"/>
                <w:szCs w:val="16"/>
              </w:rPr>
              <w:t>Key Stakeholder and Direct Beneficiary</w:t>
            </w:r>
          </w:p>
          <w:p w14:paraId="13D68906" w14:textId="50D077C5" w:rsidR="000D7C84" w:rsidRPr="004A3071" w:rsidRDefault="000D7C84" w:rsidP="00481CA4">
            <w:pPr>
              <w:jc w:val="center"/>
              <w:rPr>
                <w:rFonts w:asciiTheme="minorHAnsi" w:hAnsiTheme="minorHAnsi" w:cstheme="minorHAnsi"/>
                <w:color w:val="000000"/>
                <w:sz w:val="16"/>
                <w:szCs w:val="16"/>
              </w:rPr>
            </w:pPr>
            <w:r w:rsidRPr="004A3071">
              <w:rPr>
                <w:rFonts w:asciiTheme="minorHAnsi" w:hAnsiTheme="minorHAnsi" w:cstheme="minorHAnsi"/>
                <w:color w:val="000000"/>
                <w:sz w:val="16"/>
                <w:szCs w:val="16"/>
              </w:rPr>
              <w:t> </w:t>
            </w:r>
          </w:p>
        </w:tc>
        <w:tc>
          <w:tcPr>
            <w:tcW w:w="1870" w:type="dxa"/>
            <w:vMerge w:val="restart"/>
            <w:tcBorders>
              <w:top w:val="single" w:sz="4" w:space="0" w:color="auto"/>
              <w:left w:val="single" w:sz="4" w:space="0" w:color="auto"/>
              <w:bottom w:val="single" w:sz="4" w:space="0" w:color="auto"/>
              <w:right w:val="single" w:sz="4" w:space="0" w:color="auto"/>
            </w:tcBorders>
            <w:shd w:val="clear" w:color="auto" w:fill="DDEBF7"/>
            <w:vAlign w:val="center"/>
          </w:tcPr>
          <w:p w14:paraId="75CD00E3" w14:textId="77777777" w:rsidR="000D7C84" w:rsidRPr="004A3071" w:rsidRDefault="000D7C84" w:rsidP="00481CA4">
            <w:pPr>
              <w:jc w:val="center"/>
              <w:rPr>
                <w:rFonts w:asciiTheme="minorHAnsi" w:hAnsiTheme="minorHAnsi" w:cstheme="minorHAnsi"/>
                <w:b/>
                <w:bCs/>
                <w:color w:val="000000"/>
                <w:sz w:val="16"/>
                <w:szCs w:val="16"/>
              </w:rPr>
            </w:pPr>
            <w:r w:rsidRPr="004A3071">
              <w:rPr>
                <w:rFonts w:asciiTheme="minorHAnsi" w:hAnsiTheme="minorHAnsi" w:cstheme="minorHAnsi"/>
                <w:b/>
                <w:bCs/>
                <w:sz w:val="16"/>
                <w:szCs w:val="16"/>
              </w:rPr>
              <w:t xml:space="preserve">Implementation Partner  and </w:t>
            </w:r>
            <w:r w:rsidRPr="004A3071">
              <w:rPr>
                <w:rFonts w:asciiTheme="minorHAnsi" w:hAnsiTheme="minorHAnsi" w:cstheme="minorHAnsi"/>
                <w:b/>
                <w:bCs/>
                <w:color w:val="000000"/>
                <w:sz w:val="16"/>
                <w:szCs w:val="16"/>
              </w:rPr>
              <w:t>National Government Institution body</w:t>
            </w:r>
          </w:p>
          <w:p w14:paraId="28537775" w14:textId="54A8093D" w:rsidR="000D7C84" w:rsidRPr="004A3071" w:rsidRDefault="000D7C84" w:rsidP="00481CA4">
            <w:pPr>
              <w:jc w:val="center"/>
              <w:rPr>
                <w:rFonts w:asciiTheme="minorHAnsi" w:hAnsiTheme="minorHAnsi" w:cstheme="minorHAnsi"/>
                <w:b/>
                <w:bCs/>
                <w:color w:val="000000"/>
                <w:sz w:val="16"/>
                <w:szCs w:val="16"/>
              </w:rPr>
            </w:pPr>
            <w:r w:rsidRPr="004A3071">
              <w:rPr>
                <w:rFonts w:asciiTheme="minorHAnsi" w:hAnsiTheme="minorHAnsi" w:cstheme="minorHAnsi"/>
                <w:b/>
                <w:bCs/>
                <w:color w:val="000000"/>
                <w:sz w:val="16"/>
                <w:szCs w:val="16"/>
              </w:rPr>
              <w:t> </w:t>
            </w:r>
          </w:p>
        </w:tc>
        <w:tc>
          <w:tcPr>
            <w:tcW w:w="1870" w:type="dxa"/>
            <w:vMerge w:val="restart"/>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51A99E6" w14:textId="3D00F41D" w:rsidR="000D7C84" w:rsidRPr="004A3071" w:rsidRDefault="000D7C84" w:rsidP="00481CA4">
            <w:pPr>
              <w:jc w:val="center"/>
              <w:rPr>
                <w:rFonts w:asciiTheme="minorHAnsi" w:hAnsiTheme="minorHAnsi" w:cstheme="minorHAnsi"/>
                <w:color w:val="000000"/>
                <w:sz w:val="16"/>
                <w:szCs w:val="16"/>
              </w:rPr>
            </w:pPr>
            <w:r w:rsidRPr="004A3071">
              <w:rPr>
                <w:rFonts w:asciiTheme="minorHAnsi" w:hAnsiTheme="minorHAnsi" w:cstheme="minorHAnsi"/>
                <w:color w:val="000000"/>
                <w:sz w:val="16"/>
                <w:szCs w:val="16"/>
              </w:rPr>
              <w:t>Face-to-face meetings and PGG inception</w:t>
            </w:r>
          </w:p>
        </w:tc>
        <w:tc>
          <w:tcPr>
            <w:tcW w:w="2296" w:type="dxa"/>
            <w:tcBorders>
              <w:top w:val="single" w:sz="4" w:space="0" w:color="auto"/>
              <w:left w:val="single" w:sz="4" w:space="0" w:color="auto"/>
              <w:bottom w:val="nil"/>
              <w:right w:val="single" w:sz="4" w:space="0" w:color="000000" w:themeColor="text1"/>
            </w:tcBorders>
            <w:shd w:val="clear" w:color="auto" w:fill="FFFFFF" w:themeFill="background1"/>
            <w:vAlign w:val="center"/>
          </w:tcPr>
          <w:p w14:paraId="088ED098" w14:textId="7609B7EA" w:rsidR="000D7C84" w:rsidRPr="004A3071" w:rsidRDefault="000D7C84" w:rsidP="00481CA4">
            <w:pPr>
              <w:jc w:val="center"/>
              <w:rPr>
                <w:rFonts w:asciiTheme="minorHAnsi" w:hAnsiTheme="minorHAnsi" w:cstheme="minorHAnsi"/>
                <w:color w:val="000000"/>
                <w:sz w:val="16"/>
                <w:szCs w:val="16"/>
              </w:rPr>
            </w:pPr>
            <w:r w:rsidRPr="004A3071">
              <w:rPr>
                <w:rFonts w:asciiTheme="minorHAnsi" w:hAnsiTheme="minorHAnsi" w:cstheme="minorHAnsi"/>
                <w:sz w:val="16"/>
                <w:szCs w:val="16"/>
              </w:rPr>
              <w:t xml:space="preserve">MCTA as the project proponent and the leading institution vis-à-vis the project, housing the PMU and ensuring the project’s alignment with governmental policies and priorities </w:t>
            </w:r>
          </w:p>
        </w:tc>
        <w:tc>
          <w:tcPr>
            <w:tcW w:w="1870" w:type="dxa"/>
            <w:tcBorders>
              <w:top w:val="single" w:sz="4" w:space="0" w:color="auto"/>
              <w:left w:val="single" w:sz="4" w:space="0" w:color="000000" w:themeColor="text1"/>
              <w:bottom w:val="nil"/>
              <w:right w:val="single" w:sz="4" w:space="0" w:color="000000" w:themeColor="text1"/>
            </w:tcBorders>
            <w:shd w:val="clear" w:color="auto" w:fill="FFFFFF" w:themeFill="background1"/>
            <w:vAlign w:val="center"/>
          </w:tcPr>
          <w:p w14:paraId="69E507FF" w14:textId="61CBA8B4" w:rsidR="000D7C84" w:rsidRPr="004A3071" w:rsidRDefault="000D7C84" w:rsidP="00481CA4">
            <w:pPr>
              <w:jc w:val="center"/>
              <w:rPr>
                <w:rFonts w:asciiTheme="minorHAnsi" w:hAnsiTheme="minorHAnsi" w:cstheme="minorHAnsi"/>
                <w:color w:val="000000"/>
                <w:sz w:val="16"/>
                <w:szCs w:val="16"/>
              </w:rPr>
            </w:pPr>
            <w:r w:rsidRPr="004A3071">
              <w:rPr>
                <w:rFonts w:asciiTheme="minorHAnsi" w:hAnsiTheme="minorHAnsi" w:cstheme="minorHAnsi"/>
                <w:color w:val="000000"/>
                <w:sz w:val="16"/>
                <w:szCs w:val="16"/>
              </w:rPr>
              <w:t xml:space="preserve">Chairs the PCS from the outset, leading consultations with governmental stakeholders, including the validation in times of COVID-19. </w:t>
            </w:r>
          </w:p>
        </w:tc>
        <w:tc>
          <w:tcPr>
            <w:tcW w:w="1870" w:type="dxa"/>
            <w:tcBorders>
              <w:top w:val="single" w:sz="4" w:space="0" w:color="auto"/>
              <w:left w:val="single" w:sz="4" w:space="0" w:color="000000" w:themeColor="text1"/>
              <w:bottom w:val="nil"/>
              <w:right w:val="single" w:sz="4" w:space="0" w:color="auto"/>
            </w:tcBorders>
            <w:shd w:val="clear" w:color="auto" w:fill="FFFFFF" w:themeFill="background1"/>
            <w:vAlign w:val="center"/>
          </w:tcPr>
          <w:p w14:paraId="1270A4FF" w14:textId="77777777" w:rsidR="000D7C84" w:rsidRPr="004A3071" w:rsidRDefault="000D7C84" w:rsidP="00481CA4">
            <w:pPr>
              <w:jc w:val="center"/>
              <w:rPr>
                <w:rFonts w:asciiTheme="minorHAnsi" w:hAnsiTheme="minorHAnsi" w:cstheme="minorHAnsi"/>
                <w:color w:val="000000"/>
                <w:sz w:val="16"/>
                <w:szCs w:val="16"/>
              </w:rPr>
            </w:pPr>
            <w:r w:rsidRPr="004A3071">
              <w:rPr>
                <w:rFonts w:asciiTheme="minorHAnsi" w:hAnsiTheme="minorHAnsi" w:cstheme="minorHAnsi"/>
                <w:color w:val="000000"/>
                <w:sz w:val="16"/>
                <w:szCs w:val="16"/>
              </w:rPr>
              <w:t>Participation of all directorates</w:t>
            </w:r>
          </w:p>
        </w:tc>
      </w:tr>
      <w:tr w:rsidR="000D7C84" w:rsidRPr="004A3071" w14:paraId="49331F9F" w14:textId="77777777" w:rsidTr="002B5FBB">
        <w:trPr>
          <w:cantSplit/>
        </w:trPr>
        <w:tc>
          <w:tcPr>
            <w:tcW w:w="1870" w:type="dxa"/>
            <w:vMerge/>
            <w:tcBorders>
              <w:top w:val="single" w:sz="4" w:space="0" w:color="auto"/>
              <w:left w:val="single" w:sz="4" w:space="0" w:color="auto"/>
              <w:bottom w:val="single" w:sz="4" w:space="0" w:color="auto"/>
              <w:right w:val="single" w:sz="4" w:space="0" w:color="auto"/>
            </w:tcBorders>
            <w:vAlign w:val="center"/>
          </w:tcPr>
          <w:p w14:paraId="09FC39C8" w14:textId="77777777" w:rsidR="000D7C84" w:rsidRPr="004A3071" w:rsidRDefault="000D7C84" w:rsidP="00481CA4">
            <w:pPr>
              <w:rPr>
                <w:rFonts w:asciiTheme="minorHAnsi" w:hAnsiTheme="minorHAnsi" w:cstheme="minorHAnsi"/>
                <w:color w:val="000000"/>
                <w:sz w:val="16"/>
                <w:szCs w:val="16"/>
              </w:rPr>
            </w:pPr>
          </w:p>
        </w:tc>
        <w:tc>
          <w:tcPr>
            <w:tcW w:w="1870" w:type="dxa"/>
            <w:vMerge/>
            <w:tcBorders>
              <w:left w:val="single" w:sz="4" w:space="0" w:color="auto"/>
              <w:bottom w:val="single" w:sz="4" w:space="0" w:color="auto"/>
              <w:right w:val="single" w:sz="4" w:space="0" w:color="auto"/>
            </w:tcBorders>
            <w:vAlign w:val="center"/>
          </w:tcPr>
          <w:p w14:paraId="2C415EBC" w14:textId="4F9389F8" w:rsidR="000D7C84" w:rsidRPr="004A3071" w:rsidRDefault="000D7C84" w:rsidP="00481CA4">
            <w:pPr>
              <w:jc w:val="center"/>
              <w:rPr>
                <w:rFonts w:asciiTheme="minorHAnsi" w:hAnsiTheme="minorHAnsi" w:cstheme="minorHAnsi"/>
                <w:color w:val="000000"/>
                <w:sz w:val="16"/>
                <w:szCs w:val="16"/>
              </w:rPr>
            </w:pPr>
          </w:p>
        </w:tc>
        <w:tc>
          <w:tcPr>
            <w:tcW w:w="1870" w:type="dxa"/>
            <w:vMerge/>
            <w:tcBorders>
              <w:left w:val="single" w:sz="4" w:space="0" w:color="auto"/>
              <w:bottom w:val="single" w:sz="4" w:space="0" w:color="auto"/>
              <w:right w:val="single" w:sz="4" w:space="0" w:color="auto"/>
            </w:tcBorders>
            <w:vAlign w:val="center"/>
          </w:tcPr>
          <w:p w14:paraId="62DC2B29" w14:textId="5265A077" w:rsidR="000D7C84" w:rsidRPr="004A3071" w:rsidRDefault="000D7C84" w:rsidP="00481CA4">
            <w:pPr>
              <w:jc w:val="center"/>
              <w:rPr>
                <w:rFonts w:asciiTheme="minorHAnsi" w:hAnsiTheme="minorHAnsi" w:cstheme="minorHAnsi"/>
                <w:b/>
                <w:bCs/>
                <w:color w:val="000000"/>
                <w:sz w:val="16"/>
                <w:szCs w:val="16"/>
              </w:rPr>
            </w:pPr>
          </w:p>
        </w:tc>
        <w:tc>
          <w:tcPr>
            <w:tcW w:w="1870" w:type="dxa"/>
            <w:vMerge/>
            <w:tcBorders>
              <w:left w:val="single" w:sz="4" w:space="0" w:color="auto"/>
              <w:bottom w:val="single" w:sz="4" w:space="0" w:color="auto"/>
              <w:right w:val="single" w:sz="4" w:space="0" w:color="auto"/>
            </w:tcBorders>
            <w:vAlign w:val="center"/>
          </w:tcPr>
          <w:p w14:paraId="3370AE12" w14:textId="4B3C3C1D" w:rsidR="000D7C84" w:rsidRPr="004A3071" w:rsidRDefault="000D7C84" w:rsidP="00481CA4">
            <w:pPr>
              <w:jc w:val="center"/>
              <w:rPr>
                <w:rFonts w:asciiTheme="minorHAnsi" w:hAnsiTheme="minorHAnsi" w:cstheme="minorHAnsi"/>
                <w:color w:val="000000"/>
                <w:sz w:val="16"/>
                <w:szCs w:val="16"/>
              </w:rPr>
            </w:pPr>
          </w:p>
        </w:tc>
        <w:tc>
          <w:tcPr>
            <w:tcW w:w="2296" w:type="dxa"/>
            <w:tcBorders>
              <w:top w:val="nil"/>
              <w:left w:val="single" w:sz="4" w:space="0" w:color="auto"/>
              <w:bottom w:val="single" w:sz="4" w:space="0" w:color="auto"/>
              <w:right w:val="single" w:sz="4" w:space="0" w:color="000000" w:themeColor="text1"/>
            </w:tcBorders>
            <w:shd w:val="clear" w:color="auto" w:fill="FFFFFF" w:themeFill="background1"/>
            <w:vAlign w:val="center"/>
          </w:tcPr>
          <w:p w14:paraId="04D2AAC8" w14:textId="0A292662" w:rsidR="000D7C84" w:rsidRPr="004A3071" w:rsidRDefault="000D7C84" w:rsidP="00481CA4">
            <w:pPr>
              <w:jc w:val="center"/>
              <w:rPr>
                <w:rFonts w:asciiTheme="minorHAnsi" w:hAnsiTheme="minorHAnsi" w:cstheme="minorHAnsi"/>
                <w:color w:val="000000"/>
                <w:sz w:val="16"/>
                <w:szCs w:val="16"/>
              </w:rPr>
            </w:pPr>
            <w:r w:rsidRPr="004A3071">
              <w:rPr>
                <w:rFonts w:asciiTheme="minorHAnsi" w:hAnsiTheme="minorHAnsi" w:cstheme="minorHAnsi"/>
                <w:color w:val="000000" w:themeColor="text1"/>
                <w:sz w:val="16"/>
                <w:szCs w:val="16"/>
              </w:rPr>
              <w:t xml:space="preserve"> Under MCTA, The  National Directorate for Environment and Climate Action (DNAAC) will be the focal point for the project </w:t>
            </w:r>
          </w:p>
        </w:tc>
        <w:tc>
          <w:tcPr>
            <w:tcW w:w="1870" w:type="dxa"/>
            <w:tcBorders>
              <w:top w:val="nil"/>
              <w:left w:val="single" w:sz="4" w:space="0" w:color="000000" w:themeColor="text1"/>
              <w:bottom w:val="single" w:sz="4" w:space="0" w:color="auto"/>
              <w:right w:val="single" w:sz="4" w:space="0" w:color="000000" w:themeColor="text1"/>
            </w:tcBorders>
            <w:shd w:val="clear" w:color="auto" w:fill="FFFFFF" w:themeFill="background1"/>
            <w:vAlign w:val="center"/>
          </w:tcPr>
          <w:p w14:paraId="20EE5DA6" w14:textId="77777777" w:rsidR="000D7C84" w:rsidRPr="004A3071" w:rsidRDefault="000D7C84" w:rsidP="00481CA4">
            <w:pPr>
              <w:jc w:val="center"/>
              <w:rPr>
                <w:rFonts w:asciiTheme="minorHAnsi" w:hAnsiTheme="minorHAnsi" w:cstheme="minorHAnsi"/>
                <w:color w:val="000000"/>
                <w:sz w:val="16"/>
                <w:szCs w:val="16"/>
              </w:rPr>
            </w:pPr>
            <w:r w:rsidRPr="004A3071">
              <w:rPr>
                <w:rFonts w:asciiTheme="minorHAnsi" w:hAnsiTheme="minorHAnsi" w:cstheme="minorHAnsi"/>
                <w:color w:val="000000"/>
                <w:sz w:val="16"/>
                <w:szCs w:val="16"/>
              </w:rPr>
              <w:t> </w:t>
            </w:r>
          </w:p>
        </w:tc>
        <w:tc>
          <w:tcPr>
            <w:tcW w:w="1870" w:type="dxa"/>
            <w:tcBorders>
              <w:top w:val="nil"/>
              <w:left w:val="single" w:sz="4" w:space="0" w:color="000000" w:themeColor="text1"/>
              <w:bottom w:val="single" w:sz="4" w:space="0" w:color="auto"/>
              <w:right w:val="single" w:sz="4" w:space="0" w:color="auto"/>
            </w:tcBorders>
            <w:shd w:val="clear" w:color="auto" w:fill="FFFFFF" w:themeFill="background1"/>
            <w:vAlign w:val="center"/>
          </w:tcPr>
          <w:p w14:paraId="738B7C79" w14:textId="77777777" w:rsidR="000D7C84" w:rsidRPr="004A3071" w:rsidRDefault="000D7C84" w:rsidP="00481CA4">
            <w:pPr>
              <w:jc w:val="center"/>
              <w:rPr>
                <w:rFonts w:asciiTheme="minorHAnsi" w:hAnsiTheme="minorHAnsi" w:cstheme="minorHAnsi"/>
                <w:color w:val="000000"/>
                <w:sz w:val="16"/>
                <w:szCs w:val="16"/>
              </w:rPr>
            </w:pPr>
            <w:r w:rsidRPr="004A3071">
              <w:rPr>
                <w:rFonts w:asciiTheme="minorHAnsi" w:hAnsiTheme="minorHAnsi" w:cstheme="minorHAnsi"/>
                <w:color w:val="000000"/>
                <w:sz w:val="16"/>
                <w:szCs w:val="16"/>
              </w:rPr>
              <w:t> </w:t>
            </w:r>
          </w:p>
        </w:tc>
      </w:tr>
      <w:tr w:rsidR="000D7C84" w:rsidRPr="004A3071" w14:paraId="76D32843" w14:textId="77777777" w:rsidTr="002B5FBB">
        <w:trPr>
          <w:cantSplit/>
        </w:trPr>
        <w:tc>
          <w:tcPr>
            <w:tcW w:w="1870" w:type="dxa"/>
            <w:vMerge w:val="restart"/>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95105BB" w14:textId="7E9528C1" w:rsidR="000D7C84" w:rsidRPr="004A3071" w:rsidRDefault="000D7C84" w:rsidP="4D10DE74">
            <w:pPr>
              <w:rPr>
                <w:rFonts w:asciiTheme="minorHAnsi" w:hAnsiTheme="minorHAnsi" w:cstheme="minorHAnsi"/>
                <w:color w:val="000000"/>
                <w:sz w:val="16"/>
                <w:szCs w:val="16"/>
              </w:rPr>
            </w:pPr>
            <w:r w:rsidRPr="004A3071">
              <w:rPr>
                <w:rFonts w:asciiTheme="minorHAnsi" w:hAnsiTheme="minorHAnsi" w:cstheme="minorHAnsi"/>
                <w:color w:val="000000" w:themeColor="text1"/>
                <w:sz w:val="16"/>
                <w:szCs w:val="16"/>
              </w:rPr>
              <w:lastRenderedPageBreak/>
              <w:t>Under Ministry of Culture, Tourism and Environment (MCTA), including DNAAC and INBAC and other directorates of  former Ministry of Environment and bodies (DNA, DNB)</w:t>
            </w:r>
          </w:p>
          <w:p w14:paraId="4455B126" w14:textId="77777777" w:rsidR="000D7C84" w:rsidRPr="004A3071" w:rsidRDefault="000D7C84" w:rsidP="00481CA4">
            <w:pPr>
              <w:rPr>
                <w:rFonts w:asciiTheme="minorHAnsi" w:hAnsiTheme="minorHAnsi" w:cstheme="minorHAnsi"/>
                <w:color w:val="000000"/>
                <w:sz w:val="16"/>
                <w:szCs w:val="16"/>
              </w:rPr>
            </w:pPr>
            <w:r w:rsidRPr="004A3071">
              <w:rPr>
                <w:rFonts w:asciiTheme="minorHAnsi" w:hAnsiTheme="minorHAnsi" w:cstheme="minorHAnsi"/>
                <w:color w:val="000000"/>
                <w:sz w:val="16"/>
                <w:szCs w:val="16"/>
              </w:rPr>
              <w:t> </w:t>
            </w:r>
          </w:p>
        </w:tc>
        <w:tc>
          <w:tcPr>
            <w:tcW w:w="1870" w:type="dxa"/>
            <w:vMerge w:val="restart"/>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2F2DF7B" w14:textId="77777777" w:rsidR="000D7C84" w:rsidRPr="004A3071" w:rsidRDefault="000D7C84" w:rsidP="00481CA4">
            <w:pPr>
              <w:jc w:val="center"/>
              <w:rPr>
                <w:rFonts w:asciiTheme="minorHAnsi" w:hAnsiTheme="minorHAnsi" w:cstheme="minorHAnsi"/>
                <w:color w:val="000000"/>
                <w:sz w:val="16"/>
                <w:szCs w:val="16"/>
              </w:rPr>
            </w:pPr>
            <w:r w:rsidRPr="004A3071">
              <w:rPr>
                <w:rFonts w:asciiTheme="minorHAnsi" w:hAnsiTheme="minorHAnsi" w:cstheme="minorHAnsi"/>
                <w:color w:val="000000"/>
                <w:sz w:val="16"/>
                <w:szCs w:val="16"/>
              </w:rPr>
              <w:t>Key Stakeholder and Direct Beneficiary</w:t>
            </w:r>
          </w:p>
          <w:p w14:paraId="2679CCF5" w14:textId="5A7425AF" w:rsidR="000D7C84" w:rsidRPr="004A3071" w:rsidRDefault="000D7C84" w:rsidP="00481CA4">
            <w:pPr>
              <w:jc w:val="center"/>
              <w:rPr>
                <w:rFonts w:asciiTheme="minorHAnsi" w:hAnsiTheme="minorHAnsi" w:cstheme="minorHAnsi"/>
                <w:color w:val="000000"/>
                <w:sz w:val="16"/>
                <w:szCs w:val="16"/>
              </w:rPr>
            </w:pPr>
            <w:r w:rsidRPr="004A3071">
              <w:rPr>
                <w:rFonts w:asciiTheme="minorHAnsi" w:hAnsiTheme="minorHAnsi" w:cstheme="minorHAnsi"/>
                <w:color w:val="000000"/>
                <w:sz w:val="16"/>
                <w:szCs w:val="16"/>
              </w:rPr>
              <w:t> </w:t>
            </w:r>
          </w:p>
        </w:tc>
        <w:tc>
          <w:tcPr>
            <w:tcW w:w="1870" w:type="dxa"/>
            <w:tcBorders>
              <w:top w:val="single" w:sz="4" w:space="0" w:color="auto"/>
              <w:left w:val="single" w:sz="4" w:space="0" w:color="auto"/>
              <w:bottom w:val="nil"/>
              <w:right w:val="single" w:sz="4" w:space="0" w:color="000000" w:themeColor="text1"/>
            </w:tcBorders>
            <w:shd w:val="clear" w:color="auto" w:fill="DDEBF7"/>
            <w:vAlign w:val="center"/>
          </w:tcPr>
          <w:p w14:paraId="29B897CA" w14:textId="77777777" w:rsidR="000D7C84" w:rsidRPr="004A3071" w:rsidRDefault="000D7C84" w:rsidP="00481CA4">
            <w:pPr>
              <w:jc w:val="center"/>
              <w:rPr>
                <w:rFonts w:asciiTheme="minorHAnsi" w:hAnsiTheme="minorHAnsi" w:cstheme="minorHAnsi"/>
                <w:b/>
                <w:bCs/>
                <w:color w:val="000000"/>
                <w:sz w:val="16"/>
                <w:szCs w:val="16"/>
              </w:rPr>
            </w:pPr>
            <w:r w:rsidRPr="004A3071">
              <w:rPr>
                <w:rFonts w:asciiTheme="minorHAnsi" w:hAnsiTheme="minorHAnsi" w:cstheme="minorHAnsi"/>
                <w:b/>
                <w:bCs/>
                <w:color w:val="000000"/>
                <w:sz w:val="16"/>
                <w:szCs w:val="16"/>
              </w:rPr>
              <w:t>National Government Institution body</w:t>
            </w:r>
          </w:p>
        </w:tc>
        <w:tc>
          <w:tcPr>
            <w:tcW w:w="1870" w:type="dxa"/>
            <w:tcBorders>
              <w:top w:val="single" w:sz="4" w:space="0" w:color="auto"/>
              <w:left w:val="single" w:sz="4" w:space="0" w:color="000000" w:themeColor="text1"/>
              <w:bottom w:val="nil"/>
              <w:right w:val="single" w:sz="4" w:space="0" w:color="000000" w:themeColor="text1"/>
            </w:tcBorders>
            <w:shd w:val="clear" w:color="auto" w:fill="FFFFFF" w:themeFill="background1"/>
            <w:vAlign w:val="center"/>
          </w:tcPr>
          <w:p w14:paraId="29A3F07C" w14:textId="77777777" w:rsidR="000D7C84" w:rsidRPr="004A3071" w:rsidRDefault="000D7C84" w:rsidP="00481CA4">
            <w:pPr>
              <w:jc w:val="center"/>
              <w:rPr>
                <w:rFonts w:asciiTheme="minorHAnsi" w:hAnsiTheme="minorHAnsi" w:cstheme="minorHAnsi"/>
                <w:color w:val="000000"/>
                <w:sz w:val="16"/>
                <w:szCs w:val="16"/>
              </w:rPr>
            </w:pPr>
            <w:r w:rsidRPr="004A3071">
              <w:rPr>
                <w:rFonts w:asciiTheme="minorHAnsi" w:hAnsiTheme="minorHAnsi" w:cstheme="minorHAnsi"/>
                <w:color w:val="000000"/>
                <w:sz w:val="16"/>
                <w:szCs w:val="16"/>
              </w:rPr>
              <w:t>Face-to-face meetings</w:t>
            </w:r>
          </w:p>
        </w:tc>
        <w:tc>
          <w:tcPr>
            <w:tcW w:w="2296" w:type="dxa"/>
            <w:tcBorders>
              <w:top w:val="nil"/>
              <w:left w:val="single" w:sz="4" w:space="0" w:color="000000" w:themeColor="text1"/>
              <w:bottom w:val="nil"/>
              <w:right w:val="single" w:sz="4" w:space="0" w:color="000000" w:themeColor="text1"/>
            </w:tcBorders>
            <w:shd w:val="clear" w:color="auto" w:fill="FFFFFF" w:themeFill="background1"/>
            <w:vAlign w:val="center"/>
          </w:tcPr>
          <w:p w14:paraId="114D7F32" w14:textId="77777777" w:rsidR="000D7C84" w:rsidRPr="004A3071" w:rsidRDefault="000D7C84" w:rsidP="00481CA4">
            <w:pPr>
              <w:jc w:val="center"/>
              <w:rPr>
                <w:rFonts w:asciiTheme="minorHAnsi" w:hAnsiTheme="minorHAnsi" w:cstheme="minorHAnsi"/>
                <w:color w:val="000000"/>
                <w:sz w:val="16"/>
                <w:szCs w:val="16"/>
              </w:rPr>
            </w:pPr>
            <w:r w:rsidRPr="004A3071">
              <w:rPr>
                <w:rFonts w:asciiTheme="minorHAnsi" w:hAnsiTheme="minorHAnsi" w:cstheme="minorHAnsi"/>
                <w:color w:val="000000"/>
                <w:sz w:val="16"/>
                <w:szCs w:val="16"/>
              </w:rPr>
              <w:t>Interested in the project and supportive of its agenda. </w:t>
            </w:r>
          </w:p>
        </w:tc>
        <w:tc>
          <w:tcPr>
            <w:tcW w:w="1870" w:type="dxa"/>
            <w:tcBorders>
              <w:top w:val="nil"/>
              <w:left w:val="single" w:sz="4" w:space="0" w:color="000000" w:themeColor="text1"/>
              <w:bottom w:val="nil"/>
              <w:right w:val="single" w:sz="4" w:space="0" w:color="000000" w:themeColor="text1"/>
            </w:tcBorders>
            <w:shd w:val="clear" w:color="auto" w:fill="FFFFFF" w:themeFill="background1"/>
            <w:vAlign w:val="center"/>
          </w:tcPr>
          <w:p w14:paraId="651552D7" w14:textId="77777777" w:rsidR="000D7C84" w:rsidRPr="004A3071" w:rsidRDefault="000D7C84" w:rsidP="00481CA4">
            <w:pPr>
              <w:jc w:val="center"/>
              <w:rPr>
                <w:rFonts w:asciiTheme="minorHAnsi" w:hAnsiTheme="minorHAnsi" w:cstheme="minorHAnsi"/>
                <w:color w:val="000000"/>
                <w:sz w:val="16"/>
                <w:szCs w:val="16"/>
              </w:rPr>
            </w:pPr>
            <w:r w:rsidRPr="004A3071">
              <w:rPr>
                <w:rFonts w:asciiTheme="minorHAnsi" w:hAnsiTheme="minorHAnsi" w:cstheme="minorHAnsi"/>
                <w:color w:val="000000"/>
                <w:sz w:val="16"/>
                <w:szCs w:val="16"/>
              </w:rPr>
              <w:t>Participate in the validation </w:t>
            </w:r>
          </w:p>
        </w:tc>
        <w:tc>
          <w:tcPr>
            <w:tcW w:w="1870" w:type="dxa"/>
            <w:tcBorders>
              <w:top w:val="nil"/>
              <w:left w:val="single" w:sz="4" w:space="0" w:color="000000" w:themeColor="text1"/>
              <w:bottom w:val="nil"/>
              <w:right w:val="single" w:sz="4" w:space="0" w:color="auto"/>
            </w:tcBorders>
            <w:shd w:val="clear" w:color="auto" w:fill="FFFFFF" w:themeFill="background1"/>
            <w:vAlign w:val="center"/>
          </w:tcPr>
          <w:p w14:paraId="7E17EC5A" w14:textId="77777777" w:rsidR="000D7C84" w:rsidRPr="004A3071" w:rsidRDefault="000D7C84" w:rsidP="00481CA4">
            <w:pPr>
              <w:jc w:val="center"/>
              <w:rPr>
                <w:rFonts w:asciiTheme="minorHAnsi" w:hAnsiTheme="minorHAnsi" w:cstheme="minorHAnsi"/>
                <w:color w:val="000000"/>
                <w:sz w:val="16"/>
                <w:szCs w:val="16"/>
              </w:rPr>
            </w:pPr>
            <w:r w:rsidRPr="004A3071">
              <w:rPr>
                <w:rFonts w:asciiTheme="minorHAnsi" w:hAnsiTheme="minorHAnsi" w:cstheme="minorHAnsi"/>
                <w:color w:val="000000"/>
                <w:sz w:val="16"/>
                <w:szCs w:val="16"/>
              </w:rPr>
              <w:t> </w:t>
            </w:r>
          </w:p>
        </w:tc>
      </w:tr>
      <w:tr w:rsidR="000D7C84" w:rsidRPr="004A3071" w14:paraId="1A017D21" w14:textId="77777777" w:rsidTr="002B5FBB">
        <w:trPr>
          <w:cantSplit/>
        </w:trPr>
        <w:tc>
          <w:tcPr>
            <w:tcW w:w="1870" w:type="dxa"/>
            <w:vMerge/>
            <w:tcBorders>
              <w:top w:val="single" w:sz="4" w:space="0" w:color="auto"/>
              <w:left w:val="single" w:sz="4" w:space="0" w:color="auto"/>
              <w:bottom w:val="single" w:sz="4" w:space="0" w:color="auto"/>
              <w:right w:val="single" w:sz="4" w:space="0" w:color="auto"/>
            </w:tcBorders>
            <w:vAlign w:val="center"/>
          </w:tcPr>
          <w:p w14:paraId="1DBC7E04" w14:textId="77777777" w:rsidR="000D7C84" w:rsidRPr="004A3071" w:rsidRDefault="000D7C84" w:rsidP="00481CA4">
            <w:pPr>
              <w:rPr>
                <w:rFonts w:asciiTheme="minorHAnsi" w:hAnsiTheme="minorHAnsi" w:cstheme="minorHAnsi"/>
                <w:color w:val="000000"/>
                <w:sz w:val="16"/>
                <w:szCs w:val="16"/>
              </w:rPr>
            </w:pPr>
          </w:p>
        </w:tc>
        <w:tc>
          <w:tcPr>
            <w:tcW w:w="1870" w:type="dxa"/>
            <w:vMerge/>
            <w:tcBorders>
              <w:left w:val="single" w:sz="4" w:space="0" w:color="auto"/>
              <w:bottom w:val="single" w:sz="4" w:space="0" w:color="auto"/>
            </w:tcBorders>
            <w:vAlign w:val="center"/>
          </w:tcPr>
          <w:p w14:paraId="633B13AD" w14:textId="53FEC6D4" w:rsidR="000D7C84" w:rsidRPr="004A3071" w:rsidRDefault="000D7C84" w:rsidP="00481CA4">
            <w:pPr>
              <w:jc w:val="center"/>
              <w:rPr>
                <w:rFonts w:asciiTheme="minorHAnsi" w:hAnsiTheme="minorHAnsi" w:cstheme="minorHAnsi"/>
                <w:color w:val="000000"/>
                <w:sz w:val="16"/>
                <w:szCs w:val="16"/>
              </w:rPr>
            </w:pPr>
          </w:p>
        </w:tc>
        <w:tc>
          <w:tcPr>
            <w:tcW w:w="1870" w:type="dxa"/>
            <w:tcBorders>
              <w:top w:val="nil"/>
              <w:left w:val="single" w:sz="4" w:space="0" w:color="auto"/>
              <w:bottom w:val="single" w:sz="4" w:space="0" w:color="auto"/>
              <w:right w:val="single" w:sz="4" w:space="0" w:color="000000" w:themeColor="text1"/>
            </w:tcBorders>
            <w:shd w:val="clear" w:color="auto" w:fill="DDEBF7"/>
            <w:vAlign w:val="center"/>
          </w:tcPr>
          <w:p w14:paraId="6C6EC4D6" w14:textId="77777777" w:rsidR="000D7C84" w:rsidRPr="004A3071" w:rsidRDefault="000D7C84" w:rsidP="00481CA4">
            <w:pPr>
              <w:jc w:val="center"/>
              <w:rPr>
                <w:rFonts w:asciiTheme="minorHAnsi" w:hAnsiTheme="minorHAnsi" w:cstheme="minorHAnsi"/>
                <w:b/>
                <w:bCs/>
                <w:color w:val="000000"/>
                <w:sz w:val="16"/>
                <w:szCs w:val="16"/>
              </w:rPr>
            </w:pPr>
            <w:r w:rsidRPr="004A3071">
              <w:rPr>
                <w:rFonts w:asciiTheme="minorHAnsi" w:hAnsiTheme="minorHAnsi" w:cstheme="minorHAnsi"/>
                <w:b/>
                <w:bCs/>
                <w:color w:val="000000"/>
                <w:sz w:val="16"/>
                <w:szCs w:val="16"/>
              </w:rPr>
              <w:t> </w:t>
            </w:r>
          </w:p>
        </w:tc>
        <w:tc>
          <w:tcPr>
            <w:tcW w:w="1870" w:type="dxa"/>
            <w:tcBorders>
              <w:top w:val="nil"/>
              <w:left w:val="single" w:sz="4" w:space="0" w:color="000000" w:themeColor="text1"/>
              <w:bottom w:val="single" w:sz="4" w:space="0" w:color="auto"/>
              <w:right w:val="single" w:sz="4" w:space="0" w:color="000000" w:themeColor="text1"/>
            </w:tcBorders>
            <w:shd w:val="clear" w:color="auto" w:fill="FFFFFF" w:themeFill="background1"/>
            <w:vAlign w:val="center"/>
          </w:tcPr>
          <w:p w14:paraId="708242A5" w14:textId="77777777" w:rsidR="000D7C84" w:rsidRPr="004A3071" w:rsidRDefault="000D7C84" w:rsidP="00481CA4">
            <w:pPr>
              <w:jc w:val="center"/>
              <w:rPr>
                <w:rFonts w:asciiTheme="minorHAnsi" w:hAnsiTheme="minorHAnsi" w:cstheme="minorHAnsi"/>
                <w:color w:val="000000"/>
                <w:sz w:val="16"/>
                <w:szCs w:val="16"/>
              </w:rPr>
            </w:pPr>
            <w:r w:rsidRPr="004A3071">
              <w:rPr>
                <w:rFonts w:asciiTheme="minorHAnsi" w:hAnsiTheme="minorHAnsi" w:cstheme="minorHAnsi"/>
                <w:color w:val="000000"/>
                <w:sz w:val="16"/>
                <w:szCs w:val="16"/>
              </w:rPr>
              <w:t>PGG inception and validation workshops</w:t>
            </w:r>
          </w:p>
        </w:tc>
        <w:tc>
          <w:tcPr>
            <w:tcW w:w="2296" w:type="dxa"/>
            <w:tcBorders>
              <w:top w:val="nil"/>
              <w:left w:val="single" w:sz="4" w:space="0" w:color="000000" w:themeColor="text1"/>
              <w:bottom w:val="single" w:sz="4" w:space="0" w:color="auto"/>
              <w:right w:val="single" w:sz="4" w:space="0" w:color="000000" w:themeColor="text1"/>
            </w:tcBorders>
            <w:shd w:val="clear" w:color="auto" w:fill="FFFFFF" w:themeFill="background1"/>
            <w:vAlign w:val="center"/>
          </w:tcPr>
          <w:p w14:paraId="5043AC5A" w14:textId="3B496601" w:rsidR="000D7C84" w:rsidRPr="004A3071" w:rsidRDefault="000D7C84" w:rsidP="00481CA4">
            <w:pPr>
              <w:jc w:val="center"/>
              <w:rPr>
                <w:rFonts w:asciiTheme="minorHAnsi" w:hAnsiTheme="minorHAnsi" w:cstheme="minorHAnsi"/>
                <w:color w:val="000000"/>
                <w:sz w:val="16"/>
                <w:szCs w:val="16"/>
              </w:rPr>
            </w:pPr>
            <w:r w:rsidRPr="004A3071">
              <w:rPr>
                <w:rFonts w:asciiTheme="minorHAnsi" w:hAnsiTheme="minorHAnsi" w:cstheme="minorHAnsi"/>
                <w:color w:val="000000" w:themeColor="text1"/>
                <w:sz w:val="16"/>
                <w:szCs w:val="16"/>
              </w:rPr>
              <w:t> Will act providing, inputs and support, in consultation with DNAAC and the Minister’s Office.</w:t>
            </w:r>
          </w:p>
        </w:tc>
        <w:tc>
          <w:tcPr>
            <w:tcW w:w="1870" w:type="dxa"/>
            <w:tcBorders>
              <w:top w:val="nil"/>
              <w:left w:val="single" w:sz="4" w:space="0" w:color="000000" w:themeColor="text1"/>
              <w:bottom w:val="single" w:sz="4" w:space="0" w:color="auto"/>
              <w:right w:val="single" w:sz="4" w:space="0" w:color="000000" w:themeColor="text1"/>
            </w:tcBorders>
            <w:shd w:val="clear" w:color="auto" w:fill="FFFFFF" w:themeFill="background1"/>
            <w:vAlign w:val="center"/>
          </w:tcPr>
          <w:p w14:paraId="4F37CEA3" w14:textId="77777777" w:rsidR="000D7C84" w:rsidRPr="004A3071" w:rsidRDefault="000D7C84" w:rsidP="00481CA4">
            <w:pPr>
              <w:jc w:val="center"/>
              <w:rPr>
                <w:rFonts w:asciiTheme="minorHAnsi" w:hAnsiTheme="minorHAnsi" w:cstheme="minorHAnsi"/>
                <w:color w:val="000000"/>
                <w:sz w:val="16"/>
                <w:szCs w:val="16"/>
              </w:rPr>
            </w:pPr>
            <w:r w:rsidRPr="004A3071">
              <w:rPr>
                <w:rFonts w:asciiTheme="minorHAnsi" w:hAnsiTheme="minorHAnsi" w:cstheme="minorHAnsi"/>
                <w:color w:val="000000"/>
                <w:sz w:val="16"/>
                <w:szCs w:val="16"/>
              </w:rPr>
              <w:t> </w:t>
            </w:r>
          </w:p>
        </w:tc>
        <w:tc>
          <w:tcPr>
            <w:tcW w:w="1870" w:type="dxa"/>
            <w:tcBorders>
              <w:top w:val="nil"/>
              <w:left w:val="single" w:sz="4" w:space="0" w:color="000000" w:themeColor="text1"/>
              <w:bottom w:val="single" w:sz="4" w:space="0" w:color="auto"/>
              <w:right w:val="single" w:sz="4" w:space="0" w:color="auto"/>
            </w:tcBorders>
            <w:shd w:val="clear" w:color="auto" w:fill="FFFFFF" w:themeFill="background1"/>
            <w:vAlign w:val="center"/>
          </w:tcPr>
          <w:p w14:paraId="2AFF2A2B" w14:textId="77777777" w:rsidR="000D7C84" w:rsidRPr="004A3071" w:rsidRDefault="000D7C84" w:rsidP="00481CA4">
            <w:pPr>
              <w:jc w:val="center"/>
              <w:rPr>
                <w:rFonts w:asciiTheme="minorHAnsi" w:hAnsiTheme="minorHAnsi" w:cstheme="minorHAnsi"/>
                <w:color w:val="000000"/>
                <w:sz w:val="16"/>
                <w:szCs w:val="16"/>
              </w:rPr>
            </w:pPr>
            <w:r w:rsidRPr="004A3071">
              <w:rPr>
                <w:rFonts w:asciiTheme="minorHAnsi" w:hAnsiTheme="minorHAnsi" w:cstheme="minorHAnsi"/>
                <w:color w:val="000000"/>
                <w:sz w:val="16"/>
                <w:szCs w:val="16"/>
              </w:rPr>
              <w:t> </w:t>
            </w:r>
          </w:p>
        </w:tc>
      </w:tr>
      <w:tr w:rsidR="000A20A1" w:rsidRPr="004A3071" w14:paraId="76E386E5" w14:textId="77777777" w:rsidTr="002B5FBB">
        <w:trPr>
          <w:cantSplit/>
        </w:trPr>
        <w:tc>
          <w:tcPr>
            <w:tcW w:w="1870" w:type="dxa"/>
            <w:vMerge w:val="restart"/>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62A15BB" w14:textId="6DB82C59" w:rsidR="000A20A1" w:rsidRPr="004A3071" w:rsidRDefault="000A20A1" w:rsidP="00481CA4">
            <w:pPr>
              <w:rPr>
                <w:rFonts w:asciiTheme="minorHAnsi" w:hAnsiTheme="minorHAnsi" w:cstheme="minorHAnsi"/>
                <w:color w:val="000000"/>
                <w:sz w:val="16"/>
                <w:szCs w:val="16"/>
              </w:rPr>
            </w:pPr>
            <w:r w:rsidRPr="004A3071">
              <w:rPr>
                <w:rFonts w:asciiTheme="minorHAnsi" w:hAnsiTheme="minorHAnsi" w:cstheme="minorHAnsi"/>
                <w:sz w:val="16"/>
                <w:szCs w:val="16"/>
              </w:rPr>
              <w:t>Ministry of Agriculture and  Fishery (MINAGRIP)</w:t>
            </w:r>
          </w:p>
          <w:p w14:paraId="5790905B" w14:textId="77777777" w:rsidR="000A20A1" w:rsidRPr="004A3071" w:rsidRDefault="000A20A1" w:rsidP="00481CA4">
            <w:pPr>
              <w:rPr>
                <w:rFonts w:asciiTheme="minorHAnsi" w:hAnsiTheme="minorHAnsi" w:cstheme="minorHAnsi"/>
                <w:color w:val="000000"/>
                <w:sz w:val="16"/>
                <w:szCs w:val="16"/>
              </w:rPr>
            </w:pPr>
            <w:r w:rsidRPr="004A3071">
              <w:rPr>
                <w:rFonts w:asciiTheme="minorHAnsi" w:hAnsiTheme="minorHAnsi" w:cstheme="minorHAnsi"/>
                <w:color w:val="000000"/>
                <w:sz w:val="16"/>
                <w:szCs w:val="16"/>
              </w:rPr>
              <w:t> </w:t>
            </w:r>
          </w:p>
          <w:p w14:paraId="5FFEE2B3" w14:textId="77777777" w:rsidR="000A20A1" w:rsidRPr="004A3071" w:rsidRDefault="000A20A1" w:rsidP="00481CA4">
            <w:pPr>
              <w:rPr>
                <w:rFonts w:asciiTheme="minorHAnsi" w:hAnsiTheme="minorHAnsi" w:cstheme="minorHAnsi"/>
                <w:color w:val="000000"/>
                <w:sz w:val="16"/>
                <w:szCs w:val="16"/>
              </w:rPr>
            </w:pPr>
            <w:r w:rsidRPr="004A3071">
              <w:rPr>
                <w:rFonts w:asciiTheme="minorHAnsi" w:hAnsiTheme="minorHAnsi" w:cstheme="minorHAnsi"/>
                <w:color w:val="000000"/>
                <w:sz w:val="16"/>
                <w:szCs w:val="16"/>
              </w:rPr>
              <w:t> </w:t>
            </w:r>
          </w:p>
        </w:tc>
        <w:tc>
          <w:tcPr>
            <w:tcW w:w="1870" w:type="dxa"/>
            <w:vMerge w:val="restart"/>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FE86B36" w14:textId="77777777" w:rsidR="000A20A1" w:rsidRPr="004A3071" w:rsidRDefault="000A20A1" w:rsidP="00481CA4">
            <w:pPr>
              <w:jc w:val="center"/>
              <w:rPr>
                <w:rFonts w:asciiTheme="minorHAnsi" w:hAnsiTheme="minorHAnsi" w:cstheme="minorHAnsi"/>
                <w:color w:val="000000"/>
                <w:sz w:val="16"/>
                <w:szCs w:val="16"/>
              </w:rPr>
            </w:pPr>
            <w:r w:rsidRPr="004A3071">
              <w:rPr>
                <w:rFonts w:asciiTheme="minorHAnsi" w:hAnsiTheme="minorHAnsi" w:cstheme="minorHAnsi"/>
                <w:color w:val="000000"/>
                <w:sz w:val="16"/>
                <w:szCs w:val="16"/>
              </w:rPr>
              <w:t>Key Stakeholder and Direct Beneficiary</w:t>
            </w:r>
          </w:p>
          <w:p w14:paraId="0265BE8D" w14:textId="77777777" w:rsidR="000A20A1" w:rsidRPr="004A3071" w:rsidRDefault="000A20A1" w:rsidP="00481CA4">
            <w:pPr>
              <w:jc w:val="center"/>
              <w:rPr>
                <w:rFonts w:asciiTheme="minorHAnsi" w:hAnsiTheme="minorHAnsi" w:cstheme="minorHAnsi"/>
                <w:color w:val="000000"/>
                <w:sz w:val="16"/>
                <w:szCs w:val="16"/>
              </w:rPr>
            </w:pPr>
            <w:r w:rsidRPr="004A3071">
              <w:rPr>
                <w:rFonts w:asciiTheme="minorHAnsi" w:hAnsiTheme="minorHAnsi" w:cstheme="minorHAnsi"/>
                <w:color w:val="000000"/>
                <w:sz w:val="16"/>
                <w:szCs w:val="16"/>
              </w:rPr>
              <w:t> </w:t>
            </w:r>
          </w:p>
          <w:p w14:paraId="504BDF98" w14:textId="144BE916" w:rsidR="000A20A1" w:rsidRPr="004A3071" w:rsidRDefault="000A20A1" w:rsidP="00481CA4">
            <w:pPr>
              <w:jc w:val="center"/>
              <w:rPr>
                <w:rFonts w:asciiTheme="minorHAnsi" w:hAnsiTheme="minorHAnsi" w:cstheme="minorHAnsi"/>
                <w:color w:val="000000"/>
                <w:sz w:val="16"/>
                <w:szCs w:val="16"/>
              </w:rPr>
            </w:pPr>
            <w:r w:rsidRPr="004A3071">
              <w:rPr>
                <w:rFonts w:asciiTheme="minorHAnsi" w:hAnsiTheme="minorHAnsi" w:cstheme="minorHAnsi"/>
                <w:color w:val="000000"/>
                <w:sz w:val="16"/>
                <w:szCs w:val="16"/>
              </w:rPr>
              <w:t> </w:t>
            </w:r>
          </w:p>
        </w:tc>
        <w:tc>
          <w:tcPr>
            <w:tcW w:w="1870" w:type="dxa"/>
            <w:vMerge w:val="restart"/>
            <w:tcBorders>
              <w:top w:val="single" w:sz="4" w:space="0" w:color="auto"/>
              <w:left w:val="single" w:sz="4" w:space="0" w:color="auto"/>
              <w:bottom w:val="single" w:sz="4" w:space="0" w:color="auto"/>
              <w:right w:val="single" w:sz="4" w:space="0" w:color="auto"/>
            </w:tcBorders>
            <w:shd w:val="clear" w:color="auto" w:fill="DDEBF7"/>
            <w:vAlign w:val="center"/>
          </w:tcPr>
          <w:p w14:paraId="13B09770" w14:textId="77777777" w:rsidR="000A20A1" w:rsidRPr="004A3071" w:rsidRDefault="000A20A1" w:rsidP="00481CA4">
            <w:pPr>
              <w:jc w:val="center"/>
              <w:rPr>
                <w:rFonts w:asciiTheme="minorHAnsi" w:hAnsiTheme="minorHAnsi" w:cstheme="minorHAnsi"/>
                <w:b/>
                <w:bCs/>
                <w:color w:val="000000"/>
                <w:sz w:val="16"/>
                <w:szCs w:val="16"/>
              </w:rPr>
            </w:pPr>
            <w:r w:rsidRPr="004A3071">
              <w:rPr>
                <w:rFonts w:asciiTheme="minorHAnsi" w:hAnsiTheme="minorHAnsi" w:cstheme="minorHAnsi"/>
                <w:b/>
                <w:bCs/>
                <w:sz w:val="16"/>
                <w:szCs w:val="16"/>
              </w:rPr>
              <w:t xml:space="preserve">Implementation Partner and </w:t>
            </w:r>
            <w:r w:rsidRPr="004A3071">
              <w:rPr>
                <w:rFonts w:asciiTheme="minorHAnsi" w:hAnsiTheme="minorHAnsi" w:cstheme="minorHAnsi"/>
                <w:b/>
                <w:bCs/>
                <w:color w:val="000000"/>
                <w:sz w:val="16"/>
                <w:szCs w:val="16"/>
              </w:rPr>
              <w:t>National Government Institution body </w:t>
            </w:r>
          </w:p>
          <w:p w14:paraId="09CD99A5" w14:textId="78AE5B6E" w:rsidR="000A20A1" w:rsidRPr="004A3071" w:rsidRDefault="000A20A1" w:rsidP="00481CA4">
            <w:pPr>
              <w:jc w:val="center"/>
              <w:rPr>
                <w:rFonts w:asciiTheme="minorHAnsi" w:hAnsiTheme="minorHAnsi" w:cstheme="minorHAnsi"/>
                <w:b/>
                <w:bCs/>
                <w:color w:val="000000"/>
                <w:sz w:val="16"/>
                <w:szCs w:val="16"/>
              </w:rPr>
            </w:pPr>
            <w:r w:rsidRPr="004A3071">
              <w:rPr>
                <w:rFonts w:asciiTheme="minorHAnsi" w:hAnsiTheme="minorHAnsi" w:cstheme="minorHAnsi"/>
                <w:b/>
                <w:bCs/>
                <w:color w:val="000000"/>
                <w:sz w:val="16"/>
                <w:szCs w:val="16"/>
              </w:rPr>
              <w:t> </w:t>
            </w:r>
          </w:p>
        </w:tc>
        <w:tc>
          <w:tcPr>
            <w:tcW w:w="1870" w:type="dxa"/>
            <w:tcBorders>
              <w:top w:val="nil"/>
              <w:left w:val="single" w:sz="4" w:space="0" w:color="auto"/>
              <w:bottom w:val="nil"/>
              <w:right w:val="single" w:sz="4" w:space="0" w:color="000000" w:themeColor="text1"/>
            </w:tcBorders>
            <w:shd w:val="clear" w:color="auto" w:fill="FFFFFF" w:themeFill="background1"/>
            <w:vAlign w:val="center"/>
          </w:tcPr>
          <w:p w14:paraId="2F8C1719" w14:textId="77777777" w:rsidR="000A20A1" w:rsidRPr="004A3071" w:rsidRDefault="000A20A1" w:rsidP="00481CA4">
            <w:pPr>
              <w:jc w:val="center"/>
              <w:rPr>
                <w:rFonts w:asciiTheme="minorHAnsi" w:hAnsiTheme="minorHAnsi" w:cstheme="minorHAnsi"/>
                <w:color w:val="000000"/>
                <w:sz w:val="16"/>
                <w:szCs w:val="16"/>
              </w:rPr>
            </w:pPr>
            <w:r w:rsidRPr="004A3071">
              <w:rPr>
                <w:rFonts w:asciiTheme="minorHAnsi" w:hAnsiTheme="minorHAnsi" w:cstheme="minorHAnsi"/>
                <w:color w:val="000000"/>
                <w:sz w:val="16"/>
                <w:szCs w:val="16"/>
              </w:rPr>
              <w:t>Face-to-face meetings</w:t>
            </w:r>
          </w:p>
        </w:tc>
        <w:tc>
          <w:tcPr>
            <w:tcW w:w="2296" w:type="dxa"/>
            <w:tcBorders>
              <w:top w:val="nil"/>
              <w:left w:val="single" w:sz="4" w:space="0" w:color="000000" w:themeColor="text1"/>
              <w:bottom w:val="nil"/>
              <w:right w:val="single" w:sz="4" w:space="0" w:color="000000" w:themeColor="text1"/>
            </w:tcBorders>
            <w:shd w:val="clear" w:color="auto" w:fill="FFFFFF" w:themeFill="background1"/>
            <w:vAlign w:val="center"/>
          </w:tcPr>
          <w:p w14:paraId="2C5EF0DA" w14:textId="7A82F87D" w:rsidR="000A20A1" w:rsidRPr="004A3071" w:rsidRDefault="000A20A1" w:rsidP="00481CA4">
            <w:pPr>
              <w:jc w:val="center"/>
              <w:rPr>
                <w:rFonts w:asciiTheme="minorHAnsi" w:hAnsiTheme="minorHAnsi" w:cstheme="minorHAnsi"/>
                <w:color w:val="000000"/>
                <w:sz w:val="16"/>
                <w:szCs w:val="16"/>
              </w:rPr>
            </w:pPr>
            <w:r w:rsidRPr="004A3071">
              <w:rPr>
                <w:rFonts w:asciiTheme="minorHAnsi" w:hAnsiTheme="minorHAnsi" w:cstheme="minorHAnsi"/>
                <w:sz w:val="16"/>
                <w:szCs w:val="16"/>
              </w:rPr>
              <w:t>MINAGRIP recognizes that the project will be very useful tool to concretize its programs</w:t>
            </w:r>
          </w:p>
        </w:tc>
        <w:tc>
          <w:tcPr>
            <w:tcW w:w="1870" w:type="dxa"/>
            <w:tcBorders>
              <w:top w:val="nil"/>
              <w:left w:val="single" w:sz="4" w:space="0" w:color="000000" w:themeColor="text1"/>
              <w:bottom w:val="nil"/>
              <w:right w:val="single" w:sz="4" w:space="0" w:color="000000" w:themeColor="text1"/>
            </w:tcBorders>
            <w:shd w:val="clear" w:color="auto" w:fill="FFFFFF" w:themeFill="background1"/>
            <w:vAlign w:val="center"/>
          </w:tcPr>
          <w:p w14:paraId="514A9BB5" w14:textId="77777777" w:rsidR="000A20A1" w:rsidRPr="004A3071" w:rsidRDefault="000A20A1" w:rsidP="00481CA4">
            <w:pPr>
              <w:jc w:val="center"/>
              <w:rPr>
                <w:rFonts w:asciiTheme="minorHAnsi" w:hAnsiTheme="minorHAnsi" w:cstheme="minorHAnsi"/>
                <w:color w:val="000000"/>
                <w:sz w:val="16"/>
                <w:szCs w:val="16"/>
              </w:rPr>
            </w:pPr>
            <w:r w:rsidRPr="004A3071">
              <w:rPr>
                <w:rFonts w:asciiTheme="minorHAnsi" w:hAnsiTheme="minorHAnsi" w:cstheme="minorHAnsi"/>
                <w:color w:val="000000"/>
                <w:sz w:val="16"/>
                <w:szCs w:val="16"/>
              </w:rPr>
              <w:t>Co-chairs of the PCS from the outset</w:t>
            </w:r>
          </w:p>
        </w:tc>
        <w:tc>
          <w:tcPr>
            <w:tcW w:w="1870" w:type="dxa"/>
            <w:tcBorders>
              <w:top w:val="nil"/>
              <w:left w:val="single" w:sz="4" w:space="0" w:color="000000" w:themeColor="text1"/>
              <w:bottom w:val="nil"/>
              <w:right w:val="single" w:sz="4" w:space="0" w:color="auto"/>
            </w:tcBorders>
            <w:shd w:val="clear" w:color="auto" w:fill="FFFFFF" w:themeFill="background1"/>
            <w:vAlign w:val="center"/>
          </w:tcPr>
          <w:p w14:paraId="364457A8" w14:textId="77777777" w:rsidR="000A20A1" w:rsidRPr="004A3071" w:rsidRDefault="000A20A1" w:rsidP="00481CA4">
            <w:pPr>
              <w:jc w:val="center"/>
              <w:rPr>
                <w:rFonts w:asciiTheme="minorHAnsi" w:hAnsiTheme="minorHAnsi" w:cstheme="minorHAnsi"/>
                <w:color w:val="000000"/>
                <w:sz w:val="16"/>
                <w:szCs w:val="16"/>
              </w:rPr>
            </w:pPr>
            <w:r w:rsidRPr="004A3071">
              <w:rPr>
                <w:rFonts w:asciiTheme="minorHAnsi" w:hAnsiTheme="minorHAnsi" w:cstheme="minorHAnsi"/>
                <w:color w:val="000000"/>
                <w:sz w:val="16"/>
                <w:szCs w:val="16"/>
              </w:rPr>
              <w:t> </w:t>
            </w:r>
          </w:p>
        </w:tc>
      </w:tr>
      <w:tr w:rsidR="000A20A1" w:rsidRPr="004A3071" w14:paraId="3ED7F2A2" w14:textId="77777777" w:rsidTr="002B5FBB">
        <w:trPr>
          <w:cantSplit/>
        </w:trPr>
        <w:tc>
          <w:tcPr>
            <w:tcW w:w="1870" w:type="dxa"/>
            <w:vMerge/>
            <w:tcBorders>
              <w:left w:val="single" w:sz="4" w:space="0" w:color="auto"/>
              <w:bottom w:val="single" w:sz="4" w:space="0" w:color="auto"/>
              <w:right w:val="single" w:sz="4" w:space="0" w:color="auto"/>
            </w:tcBorders>
            <w:vAlign w:val="center"/>
          </w:tcPr>
          <w:p w14:paraId="11BAE83E" w14:textId="77777777" w:rsidR="000A20A1" w:rsidRPr="004A3071" w:rsidRDefault="000A20A1" w:rsidP="00481CA4">
            <w:pPr>
              <w:rPr>
                <w:rFonts w:asciiTheme="minorHAnsi" w:hAnsiTheme="minorHAnsi" w:cstheme="minorHAnsi"/>
                <w:color w:val="000000"/>
                <w:sz w:val="16"/>
                <w:szCs w:val="16"/>
              </w:rPr>
            </w:pPr>
          </w:p>
        </w:tc>
        <w:tc>
          <w:tcPr>
            <w:tcW w:w="1870" w:type="dxa"/>
            <w:vMerge/>
            <w:tcBorders>
              <w:left w:val="single" w:sz="4" w:space="0" w:color="auto"/>
              <w:bottom w:val="single" w:sz="4" w:space="0" w:color="auto"/>
              <w:right w:val="single" w:sz="4" w:space="0" w:color="auto"/>
            </w:tcBorders>
            <w:vAlign w:val="center"/>
          </w:tcPr>
          <w:p w14:paraId="4A6C5F79" w14:textId="3B8402D2" w:rsidR="000A20A1" w:rsidRPr="004A3071" w:rsidRDefault="000A20A1" w:rsidP="00481CA4">
            <w:pPr>
              <w:jc w:val="center"/>
              <w:rPr>
                <w:rFonts w:asciiTheme="minorHAnsi" w:hAnsiTheme="minorHAnsi" w:cstheme="minorHAnsi"/>
                <w:color w:val="000000"/>
                <w:sz w:val="16"/>
                <w:szCs w:val="16"/>
              </w:rPr>
            </w:pPr>
          </w:p>
        </w:tc>
        <w:tc>
          <w:tcPr>
            <w:tcW w:w="1870" w:type="dxa"/>
            <w:vMerge/>
            <w:tcBorders>
              <w:left w:val="single" w:sz="4" w:space="0" w:color="auto"/>
              <w:bottom w:val="single" w:sz="4" w:space="0" w:color="auto"/>
              <w:right w:val="single" w:sz="4" w:space="0" w:color="auto"/>
            </w:tcBorders>
            <w:vAlign w:val="center"/>
          </w:tcPr>
          <w:p w14:paraId="3A9793B4" w14:textId="367A163D" w:rsidR="000A20A1" w:rsidRPr="004A3071" w:rsidRDefault="000A20A1" w:rsidP="00481CA4">
            <w:pPr>
              <w:jc w:val="center"/>
              <w:rPr>
                <w:rFonts w:asciiTheme="minorHAnsi" w:hAnsiTheme="minorHAnsi" w:cstheme="minorHAnsi"/>
                <w:b/>
                <w:bCs/>
                <w:color w:val="000000"/>
                <w:sz w:val="16"/>
                <w:szCs w:val="16"/>
              </w:rPr>
            </w:pPr>
          </w:p>
        </w:tc>
        <w:tc>
          <w:tcPr>
            <w:tcW w:w="1870" w:type="dxa"/>
            <w:tcBorders>
              <w:top w:val="nil"/>
              <w:left w:val="single" w:sz="4" w:space="0" w:color="auto"/>
              <w:bottom w:val="nil"/>
              <w:right w:val="single" w:sz="4" w:space="0" w:color="000000" w:themeColor="text1"/>
            </w:tcBorders>
            <w:shd w:val="clear" w:color="auto" w:fill="FFFFFF" w:themeFill="background1"/>
            <w:vAlign w:val="center"/>
          </w:tcPr>
          <w:p w14:paraId="640A25B3" w14:textId="77777777" w:rsidR="000A20A1" w:rsidRPr="004A3071" w:rsidRDefault="000A20A1" w:rsidP="00481CA4">
            <w:pPr>
              <w:jc w:val="center"/>
              <w:rPr>
                <w:rFonts w:asciiTheme="minorHAnsi" w:hAnsiTheme="minorHAnsi" w:cstheme="minorHAnsi"/>
                <w:color w:val="000000"/>
                <w:sz w:val="16"/>
                <w:szCs w:val="16"/>
              </w:rPr>
            </w:pPr>
            <w:r w:rsidRPr="004A3071">
              <w:rPr>
                <w:rFonts w:asciiTheme="minorHAnsi" w:hAnsiTheme="minorHAnsi" w:cstheme="minorHAnsi"/>
                <w:color w:val="000000"/>
                <w:sz w:val="16"/>
                <w:szCs w:val="16"/>
              </w:rPr>
              <w:t xml:space="preserve">PGG inception </w:t>
            </w:r>
          </w:p>
        </w:tc>
        <w:tc>
          <w:tcPr>
            <w:tcW w:w="2296" w:type="dxa"/>
            <w:tcBorders>
              <w:top w:val="nil"/>
              <w:left w:val="single" w:sz="4" w:space="0" w:color="000000" w:themeColor="text1"/>
              <w:bottom w:val="nil"/>
              <w:right w:val="single" w:sz="4" w:space="0" w:color="000000" w:themeColor="text1"/>
            </w:tcBorders>
            <w:shd w:val="clear" w:color="auto" w:fill="FFFFFF" w:themeFill="background1"/>
            <w:vAlign w:val="center"/>
          </w:tcPr>
          <w:p w14:paraId="74551E8A" w14:textId="77777777" w:rsidR="000A20A1" w:rsidRPr="004A3071" w:rsidRDefault="000A20A1" w:rsidP="00481CA4">
            <w:pPr>
              <w:jc w:val="center"/>
              <w:rPr>
                <w:rFonts w:asciiTheme="minorHAnsi" w:hAnsiTheme="minorHAnsi" w:cstheme="minorHAnsi"/>
                <w:color w:val="000000"/>
                <w:sz w:val="16"/>
                <w:szCs w:val="16"/>
              </w:rPr>
            </w:pPr>
            <w:r w:rsidRPr="004A3071">
              <w:rPr>
                <w:rFonts w:asciiTheme="minorHAnsi" w:hAnsiTheme="minorHAnsi" w:cstheme="minorHAnsi"/>
                <w:color w:val="000000"/>
                <w:sz w:val="16"/>
                <w:szCs w:val="16"/>
              </w:rPr>
              <w:t> </w:t>
            </w:r>
            <w:r w:rsidRPr="004A3071">
              <w:rPr>
                <w:rFonts w:asciiTheme="minorHAnsi" w:hAnsiTheme="minorHAnsi" w:cstheme="minorHAnsi"/>
                <w:sz w:val="16"/>
                <w:szCs w:val="16"/>
              </w:rPr>
              <w:t>Proposed partnership with IDA and IDF</w:t>
            </w:r>
          </w:p>
        </w:tc>
        <w:tc>
          <w:tcPr>
            <w:tcW w:w="1870" w:type="dxa"/>
            <w:tcBorders>
              <w:top w:val="nil"/>
              <w:left w:val="single" w:sz="4" w:space="0" w:color="000000" w:themeColor="text1"/>
              <w:bottom w:val="nil"/>
              <w:right w:val="single" w:sz="4" w:space="0" w:color="000000" w:themeColor="text1"/>
            </w:tcBorders>
            <w:shd w:val="clear" w:color="auto" w:fill="FFFFFF" w:themeFill="background1"/>
            <w:vAlign w:val="center"/>
          </w:tcPr>
          <w:p w14:paraId="00817E29" w14:textId="77777777" w:rsidR="000A20A1" w:rsidRPr="004A3071" w:rsidRDefault="000A20A1" w:rsidP="00481CA4">
            <w:pPr>
              <w:jc w:val="center"/>
              <w:rPr>
                <w:rFonts w:asciiTheme="minorHAnsi" w:hAnsiTheme="minorHAnsi" w:cstheme="minorHAnsi"/>
                <w:color w:val="000000"/>
                <w:sz w:val="16"/>
                <w:szCs w:val="16"/>
              </w:rPr>
            </w:pPr>
          </w:p>
        </w:tc>
        <w:tc>
          <w:tcPr>
            <w:tcW w:w="1870" w:type="dxa"/>
            <w:tcBorders>
              <w:top w:val="nil"/>
              <w:left w:val="single" w:sz="4" w:space="0" w:color="000000" w:themeColor="text1"/>
              <w:bottom w:val="nil"/>
              <w:right w:val="single" w:sz="4" w:space="0" w:color="auto"/>
            </w:tcBorders>
            <w:shd w:val="clear" w:color="auto" w:fill="FFFFFF" w:themeFill="background1"/>
            <w:vAlign w:val="center"/>
          </w:tcPr>
          <w:p w14:paraId="02D19F46" w14:textId="77777777" w:rsidR="000A20A1" w:rsidRPr="004A3071" w:rsidRDefault="000A20A1" w:rsidP="00481CA4">
            <w:pPr>
              <w:jc w:val="center"/>
              <w:rPr>
                <w:rFonts w:asciiTheme="minorHAnsi" w:hAnsiTheme="minorHAnsi" w:cstheme="minorHAnsi"/>
                <w:color w:val="000000"/>
                <w:sz w:val="16"/>
                <w:szCs w:val="16"/>
              </w:rPr>
            </w:pPr>
            <w:r w:rsidRPr="004A3071">
              <w:rPr>
                <w:rFonts w:asciiTheme="minorHAnsi" w:hAnsiTheme="minorHAnsi" w:cstheme="minorHAnsi"/>
                <w:color w:val="000000"/>
                <w:sz w:val="16"/>
                <w:szCs w:val="16"/>
              </w:rPr>
              <w:t> </w:t>
            </w:r>
          </w:p>
        </w:tc>
      </w:tr>
      <w:tr w:rsidR="000A20A1" w:rsidRPr="004A3071" w14:paraId="1D180A08" w14:textId="77777777" w:rsidTr="004A3071">
        <w:trPr>
          <w:cantSplit/>
        </w:trPr>
        <w:tc>
          <w:tcPr>
            <w:tcW w:w="1870" w:type="dxa"/>
            <w:vMerge/>
            <w:tcBorders>
              <w:left w:val="single" w:sz="4" w:space="0" w:color="auto"/>
              <w:bottom w:val="single" w:sz="4" w:space="0" w:color="auto"/>
              <w:right w:val="single" w:sz="4" w:space="0" w:color="auto"/>
            </w:tcBorders>
            <w:vAlign w:val="center"/>
          </w:tcPr>
          <w:p w14:paraId="7D840AA6" w14:textId="77777777" w:rsidR="000A20A1" w:rsidRPr="004A3071" w:rsidRDefault="000A20A1" w:rsidP="00481CA4">
            <w:pPr>
              <w:rPr>
                <w:rFonts w:asciiTheme="minorHAnsi" w:hAnsiTheme="minorHAnsi" w:cstheme="minorHAnsi"/>
                <w:color w:val="000000"/>
                <w:sz w:val="16"/>
                <w:szCs w:val="16"/>
              </w:rPr>
            </w:pPr>
          </w:p>
        </w:tc>
        <w:tc>
          <w:tcPr>
            <w:tcW w:w="1870" w:type="dxa"/>
            <w:vMerge/>
            <w:tcBorders>
              <w:left w:val="single" w:sz="4" w:space="0" w:color="auto"/>
              <w:bottom w:val="single" w:sz="4" w:space="0" w:color="auto"/>
              <w:right w:val="single" w:sz="4" w:space="0" w:color="auto"/>
            </w:tcBorders>
            <w:vAlign w:val="center"/>
          </w:tcPr>
          <w:p w14:paraId="4D997312" w14:textId="72F867F6" w:rsidR="000A20A1" w:rsidRPr="004A3071" w:rsidRDefault="000A20A1" w:rsidP="00481CA4">
            <w:pPr>
              <w:jc w:val="center"/>
              <w:rPr>
                <w:rFonts w:asciiTheme="minorHAnsi" w:hAnsiTheme="minorHAnsi" w:cstheme="minorHAnsi"/>
                <w:color w:val="000000"/>
                <w:sz w:val="16"/>
                <w:szCs w:val="16"/>
              </w:rPr>
            </w:pPr>
          </w:p>
        </w:tc>
        <w:tc>
          <w:tcPr>
            <w:tcW w:w="1870" w:type="dxa"/>
            <w:vMerge/>
            <w:tcBorders>
              <w:left w:val="single" w:sz="4" w:space="0" w:color="auto"/>
              <w:bottom w:val="single" w:sz="4" w:space="0" w:color="auto"/>
              <w:right w:val="single" w:sz="4" w:space="0" w:color="auto"/>
            </w:tcBorders>
            <w:vAlign w:val="center"/>
          </w:tcPr>
          <w:p w14:paraId="12E0619E" w14:textId="0EECCEB2" w:rsidR="000A20A1" w:rsidRPr="004A3071" w:rsidRDefault="000A20A1" w:rsidP="00481CA4">
            <w:pPr>
              <w:jc w:val="center"/>
              <w:rPr>
                <w:rFonts w:asciiTheme="minorHAnsi" w:hAnsiTheme="minorHAnsi" w:cstheme="minorHAnsi"/>
                <w:b/>
                <w:bCs/>
                <w:color w:val="000000"/>
                <w:sz w:val="16"/>
                <w:szCs w:val="16"/>
              </w:rPr>
            </w:pPr>
          </w:p>
        </w:tc>
        <w:tc>
          <w:tcPr>
            <w:tcW w:w="1870" w:type="dxa"/>
            <w:tcBorders>
              <w:top w:val="nil"/>
              <w:left w:val="single" w:sz="4" w:space="0" w:color="auto"/>
              <w:bottom w:val="single" w:sz="4" w:space="0" w:color="auto"/>
              <w:right w:val="single" w:sz="4" w:space="0" w:color="000000" w:themeColor="text1"/>
            </w:tcBorders>
            <w:shd w:val="clear" w:color="auto" w:fill="FFFFFF" w:themeFill="background1"/>
            <w:vAlign w:val="center"/>
          </w:tcPr>
          <w:p w14:paraId="450DA957" w14:textId="77777777" w:rsidR="000A20A1" w:rsidRPr="004A3071" w:rsidRDefault="000A20A1" w:rsidP="00481CA4">
            <w:pPr>
              <w:rPr>
                <w:rFonts w:asciiTheme="minorHAnsi" w:hAnsiTheme="minorHAnsi" w:cstheme="minorHAnsi"/>
                <w:color w:val="000000"/>
                <w:sz w:val="16"/>
                <w:szCs w:val="16"/>
              </w:rPr>
            </w:pPr>
            <w:r w:rsidRPr="004A3071">
              <w:rPr>
                <w:rFonts w:asciiTheme="minorHAnsi" w:hAnsiTheme="minorHAnsi" w:cstheme="minorHAnsi"/>
                <w:color w:val="000000"/>
                <w:sz w:val="16"/>
                <w:szCs w:val="16"/>
              </w:rPr>
              <w:t> </w:t>
            </w:r>
          </w:p>
        </w:tc>
        <w:tc>
          <w:tcPr>
            <w:tcW w:w="2296" w:type="dxa"/>
            <w:tcBorders>
              <w:top w:val="nil"/>
              <w:left w:val="single" w:sz="4" w:space="0" w:color="000000" w:themeColor="text1"/>
              <w:bottom w:val="single" w:sz="4" w:space="0" w:color="auto"/>
              <w:right w:val="single" w:sz="4" w:space="0" w:color="000000" w:themeColor="text1"/>
            </w:tcBorders>
            <w:shd w:val="clear" w:color="auto" w:fill="FFFFFF" w:themeFill="background1"/>
            <w:vAlign w:val="center"/>
          </w:tcPr>
          <w:p w14:paraId="38263843" w14:textId="77777777" w:rsidR="000A20A1" w:rsidRPr="004A3071" w:rsidRDefault="000A20A1" w:rsidP="00481CA4">
            <w:pPr>
              <w:jc w:val="center"/>
              <w:rPr>
                <w:rFonts w:asciiTheme="minorHAnsi" w:hAnsiTheme="minorHAnsi" w:cstheme="minorHAnsi"/>
                <w:color w:val="000000"/>
                <w:sz w:val="16"/>
                <w:szCs w:val="16"/>
              </w:rPr>
            </w:pPr>
            <w:r w:rsidRPr="004A3071">
              <w:rPr>
                <w:rFonts w:asciiTheme="minorHAnsi" w:hAnsiTheme="minorHAnsi" w:cstheme="minorHAnsi"/>
                <w:color w:val="000000"/>
                <w:sz w:val="16"/>
                <w:szCs w:val="16"/>
              </w:rPr>
              <w:t> </w:t>
            </w:r>
          </w:p>
        </w:tc>
        <w:tc>
          <w:tcPr>
            <w:tcW w:w="1870" w:type="dxa"/>
            <w:tcBorders>
              <w:top w:val="nil"/>
              <w:left w:val="single" w:sz="4" w:space="0" w:color="000000" w:themeColor="text1"/>
              <w:bottom w:val="single" w:sz="4" w:space="0" w:color="auto"/>
              <w:right w:val="single" w:sz="4" w:space="0" w:color="000000" w:themeColor="text1"/>
            </w:tcBorders>
            <w:shd w:val="clear" w:color="auto" w:fill="FFFFFF" w:themeFill="background1"/>
            <w:vAlign w:val="center"/>
          </w:tcPr>
          <w:p w14:paraId="2D492B06" w14:textId="77777777" w:rsidR="000A20A1" w:rsidRPr="004A3071" w:rsidRDefault="000A20A1" w:rsidP="00481CA4">
            <w:pPr>
              <w:jc w:val="center"/>
              <w:rPr>
                <w:rFonts w:asciiTheme="minorHAnsi" w:hAnsiTheme="minorHAnsi" w:cstheme="minorHAnsi"/>
                <w:color w:val="000000"/>
                <w:sz w:val="16"/>
                <w:szCs w:val="16"/>
              </w:rPr>
            </w:pPr>
            <w:r w:rsidRPr="004A3071">
              <w:rPr>
                <w:rFonts w:asciiTheme="minorHAnsi" w:hAnsiTheme="minorHAnsi" w:cstheme="minorHAnsi"/>
                <w:color w:val="000000"/>
                <w:sz w:val="16"/>
                <w:szCs w:val="16"/>
              </w:rPr>
              <w:t> </w:t>
            </w:r>
          </w:p>
        </w:tc>
        <w:tc>
          <w:tcPr>
            <w:tcW w:w="1870" w:type="dxa"/>
            <w:tcBorders>
              <w:top w:val="nil"/>
              <w:left w:val="single" w:sz="4" w:space="0" w:color="000000" w:themeColor="text1"/>
              <w:bottom w:val="single" w:sz="4" w:space="0" w:color="auto"/>
              <w:right w:val="single" w:sz="4" w:space="0" w:color="auto"/>
            </w:tcBorders>
            <w:shd w:val="clear" w:color="auto" w:fill="FFFFFF" w:themeFill="background1"/>
            <w:vAlign w:val="center"/>
          </w:tcPr>
          <w:p w14:paraId="6B043FFF" w14:textId="77777777" w:rsidR="000A20A1" w:rsidRPr="004A3071" w:rsidRDefault="000A20A1" w:rsidP="00481CA4">
            <w:pPr>
              <w:jc w:val="center"/>
              <w:rPr>
                <w:rFonts w:asciiTheme="minorHAnsi" w:hAnsiTheme="minorHAnsi" w:cstheme="minorHAnsi"/>
                <w:color w:val="000000"/>
                <w:sz w:val="16"/>
                <w:szCs w:val="16"/>
              </w:rPr>
            </w:pPr>
            <w:r w:rsidRPr="004A3071">
              <w:rPr>
                <w:rFonts w:asciiTheme="minorHAnsi" w:hAnsiTheme="minorHAnsi" w:cstheme="minorHAnsi"/>
                <w:color w:val="000000"/>
                <w:sz w:val="16"/>
                <w:szCs w:val="16"/>
              </w:rPr>
              <w:t> </w:t>
            </w:r>
          </w:p>
        </w:tc>
      </w:tr>
      <w:tr w:rsidR="000D7C84" w:rsidRPr="004A3071" w14:paraId="7220CC6F" w14:textId="77777777" w:rsidTr="002B5FBB">
        <w:trPr>
          <w:cantSplit/>
        </w:trPr>
        <w:tc>
          <w:tcPr>
            <w:tcW w:w="1870" w:type="dxa"/>
            <w:vMerge w:val="restart"/>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E459A11" w14:textId="02AC929D" w:rsidR="000D7C84" w:rsidRPr="004A3071" w:rsidRDefault="000D7C84" w:rsidP="00481CA4">
            <w:pPr>
              <w:rPr>
                <w:rFonts w:asciiTheme="minorHAnsi" w:hAnsiTheme="minorHAnsi" w:cstheme="minorHAnsi"/>
                <w:color w:val="000000"/>
                <w:sz w:val="16"/>
                <w:szCs w:val="16"/>
              </w:rPr>
            </w:pPr>
            <w:r w:rsidRPr="004A3071">
              <w:rPr>
                <w:rFonts w:asciiTheme="minorHAnsi" w:hAnsiTheme="minorHAnsi" w:cstheme="minorHAnsi"/>
                <w:color w:val="000000" w:themeColor="text1"/>
                <w:sz w:val="16"/>
                <w:szCs w:val="16"/>
              </w:rPr>
              <w:t>Under Ministry of Agriculture and  Fishery (DNF, DNAP, )</w:t>
            </w:r>
          </w:p>
          <w:p w14:paraId="0F344AC1" w14:textId="77777777" w:rsidR="000D7C84" w:rsidRPr="004A3071" w:rsidRDefault="000D7C84" w:rsidP="00481CA4">
            <w:pPr>
              <w:rPr>
                <w:rFonts w:asciiTheme="minorHAnsi" w:hAnsiTheme="minorHAnsi" w:cstheme="minorHAnsi"/>
                <w:color w:val="000000"/>
                <w:sz w:val="16"/>
                <w:szCs w:val="16"/>
              </w:rPr>
            </w:pPr>
            <w:r w:rsidRPr="004A3071">
              <w:rPr>
                <w:rFonts w:asciiTheme="minorHAnsi" w:hAnsiTheme="minorHAnsi" w:cstheme="minorHAnsi"/>
                <w:color w:val="000000"/>
                <w:sz w:val="16"/>
                <w:szCs w:val="16"/>
              </w:rPr>
              <w:t> </w:t>
            </w:r>
          </w:p>
        </w:tc>
        <w:tc>
          <w:tcPr>
            <w:tcW w:w="1870" w:type="dxa"/>
            <w:vMerge w:val="restart"/>
            <w:tcBorders>
              <w:top w:val="single" w:sz="4" w:space="0" w:color="auto"/>
              <w:left w:val="single" w:sz="4" w:space="0" w:color="auto"/>
              <w:right w:val="single" w:sz="4" w:space="0" w:color="auto"/>
            </w:tcBorders>
            <w:shd w:val="clear" w:color="auto" w:fill="FFFFFF" w:themeFill="background1"/>
            <w:vAlign w:val="center"/>
          </w:tcPr>
          <w:p w14:paraId="77282C22" w14:textId="77777777" w:rsidR="000D7C84" w:rsidRPr="004A3071" w:rsidRDefault="000D7C84" w:rsidP="00481CA4">
            <w:pPr>
              <w:jc w:val="center"/>
              <w:rPr>
                <w:rFonts w:asciiTheme="minorHAnsi" w:hAnsiTheme="minorHAnsi" w:cstheme="minorHAnsi"/>
                <w:color w:val="000000"/>
                <w:sz w:val="16"/>
                <w:szCs w:val="16"/>
              </w:rPr>
            </w:pPr>
            <w:r w:rsidRPr="004A3071">
              <w:rPr>
                <w:rFonts w:asciiTheme="minorHAnsi" w:hAnsiTheme="minorHAnsi" w:cstheme="minorHAnsi"/>
                <w:color w:val="000000"/>
                <w:sz w:val="16"/>
                <w:szCs w:val="16"/>
              </w:rPr>
              <w:t>Direct Beneficiary</w:t>
            </w:r>
          </w:p>
          <w:p w14:paraId="64249A04" w14:textId="5B31F8D4" w:rsidR="000D7C84" w:rsidRPr="004A3071" w:rsidRDefault="000D7C84" w:rsidP="00481CA4">
            <w:pPr>
              <w:jc w:val="center"/>
              <w:rPr>
                <w:rFonts w:asciiTheme="minorHAnsi" w:hAnsiTheme="minorHAnsi" w:cstheme="minorHAnsi"/>
                <w:color w:val="000000"/>
                <w:sz w:val="16"/>
                <w:szCs w:val="16"/>
              </w:rPr>
            </w:pPr>
            <w:r w:rsidRPr="004A3071">
              <w:rPr>
                <w:rFonts w:asciiTheme="minorHAnsi" w:hAnsiTheme="minorHAnsi" w:cstheme="minorHAnsi"/>
                <w:color w:val="000000"/>
                <w:sz w:val="16"/>
                <w:szCs w:val="16"/>
              </w:rPr>
              <w:t> </w:t>
            </w:r>
          </w:p>
        </w:tc>
        <w:tc>
          <w:tcPr>
            <w:tcW w:w="1870" w:type="dxa"/>
            <w:tcBorders>
              <w:top w:val="single" w:sz="4" w:space="0" w:color="auto"/>
              <w:left w:val="single" w:sz="4" w:space="0" w:color="auto"/>
              <w:bottom w:val="nil"/>
              <w:right w:val="single" w:sz="4" w:space="0" w:color="000000" w:themeColor="text1"/>
            </w:tcBorders>
            <w:shd w:val="clear" w:color="auto" w:fill="DDEBF7"/>
            <w:vAlign w:val="center"/>
          </w:tcPr>
          <w:p w14:paraId="6B35655D" w14:textId="77777777" w:rsidR="000D7C84" w:rsidRPr="004A3071" w:rsidRDefault="000D7C84" w:rsidP="00481CA4">
            <w:pPr>
              <w:jc w:val="center"/>
              <w:rPr>
                <w:rFonts w:asciiTheme="minorHAnsi" w:hAnsiTheme="minorHAnsi" w:cstheme="minorHAnsi"/>
                <w:b/>
                <w:bCs/>
                <w:color w:val="000000"/>
                <w:sz w:val="16"/>
                <w:szCs w:val="16"/>
              </w:rPr>
            </w:pPr>
            <w:r w:rsidRPr="004A3071">
              <w:rPr>
                <w:rFonts w:asciiTheme="minorHAnsi" w:hAnsiTheme="minorHAnsi" w:cstheme="minorHAnsi"/>
                <w:b/>
                <w:bCs/>
                <w:color w:val="000000"/>
                <w:sz w:val="16"/>
                <w:szCs w:val="16"/>
              </w:rPr>
              <w:t>National Government Institution body</w:t>
            </w:r>
          </w:p>
        </w:tc>
        <w:tc>
          <w:tcPr>
            <w:tcW w:w="1870" w:type="dxa"/>
            <w:tcBorders>
              <w:top w:val="nil"/>
              <w:left w:val="single" w:sz="4" w:space="0" w:color="000000" w:themeColor="text1"/>
              <w:bottom w:val="nil"/>
              <w:right w:val="single" w:sz="4" w:space="0" w:color="000000" w:themeColor="text1"/>
            </w:tcBorders>
            <w:shd w:val="clear" w:color="auto" w:fill="FFFFFF" w:themeFill="background1"/>
            <w:vAlign w:val="center"/>
          </w:tcPr>
          <w:p w14:paraId="7A7E9FC9" w14:textId="77777777" w:rsidR="000D7C84" w:rsidRPr="004A3071" w:rsidRDefault="000D7C84" w:rsidP="00481CA4">
            <w:pPr>
              <w:jc w:val="center"/>
              <w:rPr>
                <w:rFonts w:asciiTheme="minorHAnsi" w:hAnsiTheme="minorHAnsi" w:cstheme="minorHAnsi"/>
                <w:color w:val="000000"/>
                <w:sz w:val="16"/>
                <w:szCs w:val="16"/>
              </w:rPr>
            </w:pPr>
            <w:r w:rsidRPr="004A3071">
              <w:rPr>
                <w:rFonts w:asciiTheme="minorHAnsi" w:hAnsiTheme="minorHAnsi" w:cstheme="minorHAnsi"/>
                <w:color w:val="000000"/>
                <w:sz w:val="16"/>
                <w:szCs w:val="16"/>
              </w:rPr>
              <w:t>Face-to-face meetings</w:t>
            </w:r>
          </w:p>
        </w:tc>
        <w:tc>
          <w:tcPr>
            <w:tcW w:w="2296" w:type="dxa"/>
            <w:tcBorders>
              <w:top w:val="nil"/>
              <w:left w:val="single" w:sz="4" w:space="0" w:color="000000" w:themeColor="text1"/>
              <w:bottom w:val="nil"/>
              <w:right w:val="single" w:sz="4" w:space="0" w:color="000000" w:themeColor="text1"/>
            </w:tcBorders>
            <w:shd w:val="clear" w:color="auto" w:fill="FFFFFF" w:themeFill="background1"/>
            <w:vAlign w:val="center"/>
          </w:tcPr>
          <w:p w14:paraId="66C4DDB9" w14:textId="77777777" w:rsidR="000D7C84" w:rsidRPr="004A3071" w:rsidRDefault="000D7C84" w:rsidP="00481CA4">
            <w:pPr>
              <w:jc w:val="center"/>
              <w:rPr>
                <w:rFonts w:asciiTheme="minorHAnsi" w:hAnsiTheme="minorHAnsi" w:cstheme="minorHAnsi"/>
                <w:color w:val="000000"/>
                <w:sz w:val="16"/>
                <w:szCs w:val="16"/>
              </w:rPr>
            </w:pPr>
            <w:r w:rsidRPr="004A3071">
              <w:rPr>
                <w:rFonts w:asciiTheme="minorHAnsi" w:hAnsiTheme="minorHAnsi" w:cstheme="minorHAnsi"/>
                <w:color w:val="000000"/>
                <w:sz w:val="16"/>
                <w:szCs w:val="16"/>
              </w:rPr>
              <w:t>Interested in the project and supportive of its agenda. </w:t>
            </w:r>
          </w:p>
        </w:tc>
        <w:tc>
          <w:tcPr>
            <w:tcW w:w="1870" w:type="dxa"/>
            <w:tcBorders>
              <w:top w:val="nil"/>
              <w:left w:val="single" w:sz="4" w:space="0" w:color="000000" w:themeColor="text1"/>
              <w:bottom w:val="nil"/>
              <w:right w:val="single" w:sz="4" w:space="0" w:color="000000" w:themeColor="text1"/>
            </w:tcBorders>
            <w:shd w:val="clear" w:color="auto" w:fill="FFFFFF" w:themeFill="background1"/>
            <w:vAlign w:val="center"/>
          </w:tcPr>
          <w:p w14:paraId="297AFE37" w14:textId="77777777" w:rsidR="000D7C84" w:rsidRPr="004A3071" w:rsidRDefault="000D7C84" w:rsidP="00481CA4">
            <w:pPr>
              <w:jc w:val="center"/>
              <w:rPr>
                <w:rFonts w:asciiTheme="minorHAnsi" w:hAnsiTheme="minorHAnsi" w:cstheme="minorHAnsi"/>
                <w:color w:val="000000"/>
                <w:sz w:val="16"/>
                <w:szCs w:val="16"/>
              </w:rPr>
            </w:pPr>
            <w:r w:rsidRPr="004A3071">
              <w:rPr>
                <w:rFonts w:asciiTheme="minorHAnsi" w:hAnsiTheme="minorHAnsi" w:cstheme="minorHAnsi"/>
                <w:color w:val="000000"/>
                <w:sz w:val="16"/>
                <w:szCs w:val="16"/>
              </w:rPr>
              <w:t> </w:t>
            </w:r>
          </w:p>
        </w:tc>
        <w:tc>
          <w:tcPr>
            <w:tcW w:w="1870" w:type="dxa"/>
            <w:tcBorders>
              <w:top w:val="nil"/>
              <w:left w:val="single" w:sz="4" w:space="0" w:color="000000" w:themeColor="text1"/>
              <w:bottom w:val="nil"/>
              <w:right w:val="single" w:sz="4" w:space="0" w:color="auto"/>
            </w:tcBorders>
            <w:shd w:val="clear" w:color="auto" w:fill="FFFFFF" w:themeFill="background1"/>
            <w:vAlign w:val="center"/>
          </w:tcPr>
          <w:p w14:paraId="6E774F0E" w14:textId="77777777" w:rsidR="000D7C84" w:rsidRPr="004A3071" w:rsidRDefault="000D7C84" w:rsidP="00481CA4">
            <w:pPr>
              <w:jc w:val="center"/>
              <w:rPr>
                <w:rFonts w:asciiTheme="minorHAnsi" w:hAnsiTheme="minorHAnsi" w:cstheme="minorHAnsi"/>
                <w:color w:val="000000"/>
                <w:sz w:val="16"/>
                <w:szCs w:val="16"/>
              </w:rPr>
            </w:pPr>
            <w:r w:rsidRPr="004A3071">
              <w:rPr>
                <w:rFonts w:asciiTheme="minorHAnsi" w:hAnsiTheme="minorHAnsi" w:cstheme="minorHAnsi"/>
                <w:color w:val="000000"/>
                <w:sz w:val="16"/>
                <w:szCs w:val="16"/>
              </w:rPr>
              <w:t> </w:t>
            </w:r>
          </w:p>
        </w:tc>
      </w:tr>
      <w:tr w:rsidR="000D7C84" w:rsidRPr="004A3071" w14:paraId="1C082A8C" w14:textId="77777777" w:rsidTr="004A3071">
        <w:trPr>
          <w:cantSplit/>
        </w:trPr>
        <w:tc>
          <w:tcPr>
            <w:tcW w:w="1870" w:type="dxa"/>
            <w:vMerge/>
            <w:tcBorders>
              <w:top w:val="single" w:sz="4" w:space="0" w:color="auto"/>
              <w:left w:val="single" w:sz="4" w:space="0" w:color="auto"/>
              <w:bottom w:val="single" w:sz="4" w:space="0" w:color="auto"/>
              <w:right w:val="single" w:sz="4" w:space="0" w:color="auto"/>
            </w:tcBorders>
            <w:vAlign w:val="center"/>
          </w:tcPr>
          <w:p w14:paraId="6F4FC45E" w14:textId="77777777" w:rsidR="000D7C84" w:rsidRPr="004A3071" w:rsidRDefault="000D7C84" w:rsidP="00481CA4">
            <w:pPr>
              <w:rPr>
                <w:rFonts w:asciiTheme="minorHAnsi" w:hAnsiTheme="minorHAnsi" w:cstheme="minorHAnsi"/>
                <w:color w:val="000000"/>
                <w:sz w:val="16"/>
                <w:szCs w:val="16"/>
              </w:rPr>
            </w:pPr>
          </w:p>
        </w:tc>
        <w:tc>
          <w:tcPr>
            <w:tcW w:w="1870" w:type="dxa"/>
            <w:vMerge/>
            <w:tcBorders>
              <w:left w:val="single" w:sz="4" w:space="0" w:color="auto"/>
              <w:bottom w:val="single" w:sz="4" w:space="0" w:color="auto"/>
            </w:tcBorders>
            <w:vAlign w:val="center"/>
          </w:tcPr>
          <w:p w14:paraId="622D48B3" w14:textId="509920C0" w:rsidR="000D7C84" w:rsidRPr="004A3071" w:rsidRDefault="000D7C84" w:rsidP="00481CA4">
            <w:pPr>
              <w:jc w:val="center"/>
              <w:rPr>
                <w:rFonts w:asciiTheme="minorHAnsi" w:hAnsiTheme="minorHAnsi" w:cstheme="minorHAnsi"/>
                <w:color w:val="000000"/>
                <w:sz w:val="16"/>
                <w:szCs w:val="16"/>
              </w:rPr>
            </w:pPr>
          </w:p>
        </w:tc>
        <w:tc>
          <w:tcPr>
            <w:tcW w:w="1870" w:type="dxa"/>
            <w:tcBorders>
              <w:top w:val="nil"/>
              <w:left w:val="single" w:sz="4" w:space="0" w:color="auto"/>
              <w:bottom w:val="single" w:sz="4" w:space="0" w:color="auto"/>
              <w:right w:val="single" w:sz="4" w:space="0" w:color="000000" w:themeColor="text1"/>
            </w:tcBorders>
            <w:shd w:val="clear" w:color="auto" w:fill="DDEBF7"/>
            <w:vAlign w:val="center"/>
          </w:tcPr>
          <w:p w14:paraId="7E4AF349" w14:textId="77777777" w:rsidR="000D7C84" w:rsidRPr="004A3071" w:rsidRDefault="000D7C84" w:rsidP="00481CA4">
            <w:pPr>
              <w:jc w:val="center"/>
              <w:rPr>
                <w:rFonts w:asciiTheme="minorHAnsi" w:hAnsiTheme="minorHAnsi" w:cstheme="minorHAnsi"/>
                <w:b/>
                <w:bCs/>
                <w:color w:val="000000"/>
                <w:sz w:val="16"/>
                <w:szCs w:val="16"/>
              </w:rPr>
            </w:pPr>
            <w:r w:rsidRPr="004A3071">
              <w:rPr>
                <w:rFonts w:asciiTheme="minorHAnsi" w:hAnsiTheme="minorHAnsi" w:cstheme="minorHAnsi"/>
                <w:b/>
                <w:bCs/>
                <w:color w:val="000000"/>
                <w:sz w:val="16"/>
                <w:szCs w:val="16"/>
              </w:rPr>
              <w:t> </w:t>
            </w:r>
          </w:p>
        </w:tc>
        <w:tc>
          <w:tcPr>
            <w:tcW w:w="1870" w:type="dxa"/>
            <w:tcBorders>
              <w:top w:val="nil"/>
              <w:left w:val="single" w:sz="4" w:space="0" w:color="000000" w:themeColor="text1"/>
              <w:bottom w:val="single" w:sz="4" w:space="0" w:color="auto"/>
              <w:right w:val="single" w:sz="4" w:space="0" w:color="000000" w:themeColor="text1"/>
            </w:tcBorders>
            <w:shd w:val="clear" w:color="auto" w:fill="FFFFFF" w:themeFill="background1"/>
            <w:vAlign w:val="center"/>
          </w:tcPr>
          <w:p w14:paraId="1C6425D1" w14:textId="77777777" w:rsidR="000D7C84" w:rsidRPr="004A3071" w:rsidRDefault="000D7C84" w:rsidP="00481CA4">
            <w:pPr>
              <w:jc w:val="center"/>
              <w:rPr>
                <w:rFonts w:asciiTheme="minorHAnsi" w:hAnsiTheme="minorHAnsi" w:cstheme="minorHAnsi"/>
                <w:color w:val="000000"/>
                <w:sz w:val="16"/>
                <w:szCs w:val="16"/>
              </w:rPr>
            </w:pPr>
            <w:r w:rsidRPr="004A3071">
              <w:rPr>
                <w:rFonts w:asciiTheme="minorHAnsi" w:hAnsiTheme="minorHAnsi" w:cstheme="minorHAnsi"/>
                <w:color w:val="000000"/>
                <w:sz w:val="16"/>
                <w:szCs w:val="16"/>
              </w:rPr>
              <w:t>PGG inception and validation workshops</w:t>
            </w:r>
          </w:p>
        </w:tc>
        <w:tc>
          <w:tcPr>
            <w:tcW w:w="2296" w:type="dxa"/>
            <w:tcBorders>
              <w:top w:val="nil"/>
              <w:left w:val="single" w:sz="4" w:space="0" w:color="000000" w:themeColor="text1"/>
              <w:bottom w:val="single" w:sz="4" w:space="0" w:color="auto"/>
              <w:right w:val="single" w:sz="4" w:space="0" w:color="000000" w:themeColor="text1"/>
            </w:tcBorders>
            <w:shd w:val="clear" w:color="auto" w:fill="FFFFFF" w:themeFill="background1"/>
            <w:vAlign w:val="center"/>
          </w:tcPr>
          <w:p w14:paraId="490B84CA" w14:textId="77777777" w:rsidR="000D7C84" w:rsidRPr="004A3071" w:rsidRDefault="000D7C84" w:rsidP="00481CA4">
            <w:pPr>
              <w:jc w:val="center"/>
              <w:rPr>
                <w:rFonts w:asciiTheme="minorHAnsi" w:hAnsiTheme="minorHAnsi" w:cstheme="minorHAnsi"/>
                <w:color w:val="000000"/>
                <w:sz w:val="16"/>
                <w:szCs w:val="16"/>
              </w:rPr>
            </w:pPr>
            <w:r w:rsidRPr="004A3071">
              <w:rPr>
                <w:rFonts w:asciiTheme="minorHAnsi" w:hAnsiTheme="minorHAnsi" w:cstheme="minorHAnsi"/>
                <w:color w:val="000000"/>
                <w:sz w:val="16"/>
                <w:szCs w:val="16"/>
              </w:rPr>
              <w:t> </w:t>
            </w:r>
          </w:p>
        </w:tc>
        <w:tc>
          <w:tcPr>
            <w:tcW w:w="1870" w:type="dxa"/>
            <w:tcBorders>
              <w:top w:val="nil"/>
              <w:left w:val="single" w:sz="4" w:space="0" w:color="000000" w:themeColor="text1"/>
              <w:bottom w:val="single" w:sz="4" w:space="0" w:color="auto"/>
              <w:right w:val="single" w:sz="4" w:space="0" w:color="000000" w:themeColor="text1"/>
            </w:tcBorders>
            <w:shd w:val="clear" w:color="auto" w:fill="FFFFFF" w:themeFill="background1"/>
            <w:vAlign w:val="center"/>
          </w:tcPr>
          <w:p w14:paraId="59F20642" w14:textId="77777777" w:rsidR="000D7C84" w:rsidRPr="004A3071" w:rsidRDefault="000D7C84" w:rsidP="00481CA4">
            <w:pPr>
              <w:jc w:val="center"/>
              <w:rPr>
                <w:rFonts w:asciiTheme="minorHAnsi" w:hAnsiTheme="minorHAnsi" w:cstheme="minorHAnsi"/>
                <w:color w:val="000000"/>
                <w:sz w:val="16"/>
                <w:szCs w:val="16"/>
              </w:rPr>
            </w:pPr>
            <w:r w:rsidRPr="004A3071">
              <w:rPr>
                <w:rFonts w:asciiTheme="minorHAnsi" w:hAnsiTheme="minorHAnsi" w:cstheme="minorHAnsi"/>
                <w:color w:val="000000"/>
                <w:sz w:val="16"/>
                <w:szCs w:val="16"/>
              </w:rPr>
              <w:t> </w:t>
            </w:r>
          </w:p>
        </w:tc>
        <w:tc>
          <w:tcPr>
            <w:tcW w:w="1870" w:type="dxa"/>
            <w:tcBorders>
              <w:top w:val="nil"/>
              <w:left w:val="single" w:sz="4" w:space="0" w:color="000000" w:themeColor="text1"/>
              <w:bottom w:val="single" w:sz="4" w:space="0" w:color="auto"/>
              <w:right w:val="single" w:sz="4" w:space="0" w:color="auto"/>
            </w:tcBorders>
            <w:shd w:val="clear" w:color="auto" w:fill="FFFFFF" w:themeFill="background1"/>
            <w:vAlign w:val="center"/>
          </w:tcPr>
          <w:p w14:paraId="34E6F9C1" w14:textId="77777777" w:rsidR="000D7C84" w:rsidRPr="004A3071" w:rsidRDefault="000D7C84" w:rsidP="00481CA4">
            <w:pPr>
              <w:jc w:val="center"/>
              <w:rPr>
                <w:rFonts w:asciiTheme="minorHAnsi" w:hAnsiTheme="minorHAnsi" w:cstheme="minorHAnsi"/>
                <w:color w:val="000000"/>
                <w:sz w:val="16"/>
                <w:szCs w:val="16"/>
              </w:rPr>
            </w:pPr>
            <w:r w:rsidRPr="004A3071">
              <w:rPr>
                <w:rFonts w:asciiTheme="minorHAnsi" w:hAnsiTheme="minorHAnsi" w:cstheme="minorHAnsi"/>
                <w:color w:val="000000"/>
                <w:sz w:val="16"/>
                <w:szCs w:val="16"/>
              </w:rPr>
              <w:t> </w:t>
            </w:r>
          </w:p>
        </w:tc>
      </w:tr>
      <w:tr w:rsidR="000D7C84" w:rsidRPr="004A3071" w14:paraId="44358038" w14:textId="77777777" w:rsidTr="002B5FBB">
        <w:trPr>
          <w:cantSplit/>
        </w:trPr>
        <w:tc>
          <w:tcPr>
            <w:tcW w:w="1870" w:type="dxa"/>
            <w:vMerge w:val="restart"/>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054F0A4" w14:textId="77777777" w:rsidR="000D7C84" w:rsidRPr="004A3071" w:rsidRDefault="000D7C84" w:rsidP="00481CA4">
            <w:pPr>
              <w:rPr>
                <w:rFonts w:asciiTheme="minorHAnsi" w:hAnsiTheme="minorHAnsi" w:cstheme="minorHAnsi"/>
                <w:color w:val="000000"/>
                <w:sz w:val="16"/>
                <w:szCs w:val="16"/>
              </w:rPr>
            </w:pPr>
            <w:r w:rsidRPr="004A3071">
              <w:rPr>
                <w:rFonts w:asciiTheme="minorHAnsi" w:hAnsiTheme="minorHAnsi" w:cstheme="minorHAnsi"/>
                <w:color w:val="000000"/>
                <w:sz w:val="16"/>
                <w:szCs w:val="16"/>
              </w:rPr>
              <w:t>Forest Development institute (IDF)</w:t>
            </w:r>
          </w:p>
          <w:p w14:paraId="55A06465" w14:textId="77777777" w:rsidR="000D7C84" w:rsidRPr="004A3071" w:rsidRDefault="000D7C84" w:rsidP="00481CA4">
            <w:pPr>
              <w:rPr>
                <w:rFonts w:asciiTheme="minorHAnsi" w:hAnsiTheme="minorHAnsi" w:cstheme="minorHAnsi"/>
                <w:color w:val="000000"/>
                <w:sz w:val="16"/>
                <w:szCs w:val="16"/>
              </w:rPr>
            </w:pPr>
            <w:r w:rsidRPr="004A3071">
              <w:rPr>
                <w:rFonts w:asciiTheme="minorHAnsi" w:hAnsiTheme="minorHAnsi" w:cstheme="minorHAnsi"/>
                <w:color w:val="000000"/>
                <w:sz w:val="16"/>
                <w:szCs w:val="16"/>
              </w:rPr>
              <w:t> </w:t>
            </w:r>
          </w:p>
          <w:p w14:paraId="053865F7" w14:textId="77777777" w:rsidR="000D7C84" w:rsidRPr="004A3071" w:rsidRDefault="000D7C84" w:rsidP="00481CA4">
            <w:pPr>
              <w:rPr>
                <w:rFonts w:asciiTheme="minorHAnsi" w:hAnsiTheme="minorHAnsi" w:cstheme="minorHAnsi"/>
                <w:color w:val="000000"/>
                <w:sz w:val="16"/>
                <w:szCs w:val="16"/>
              </w:rPr>
            </w:pPr>
            <w:r w:rsidRPr="004A3071">
              <w:rPr>
                <w:rFonts w:asciiTheme="minorHAnsi" w:hAnsiTheme="minorHAnsi" w:cstheme="minorHAnsi"/>
                <w:color w:val="000000"/>
                <w:sz w:val="16"/>
                <w:szCs w:val="16"/>
              </w:rPr>
              <w:t> </w:t>
            </w:r>
          </w:p>
          <w:p w14:paraId="5FAC6C7A" w14:textId="77777777" w:rsidR="000D7C84" w:rsidRPr="004A3071" w:rsidRDefault="000D7C84" w:rsidP="00481CA4">
            <w:pPr>
              <w:rPr>
                <w:rFonts w:asciiTheme="minorHAnsi" w:hAnsiTheme="minorHAnsi" w:cstheme="minorHAnsi"/>
                <w:color w:val="000000"/>
                <w:sz w:val="16"/>
                <w:szCs w:val="16"/>
              </w:rPr>
            </w:pPr>
            <w:r w:rsidRPr="004A3071">
              <w:rPr>
                <w:rFonts w:asciiTheme="minorHAnsi" w:hAnsiTheme="minorHAnsi" w:cstheme="minorHAnsi"/>
                <w:color w:val="000000"/>
                <w:sz w:val="16"/>
                <w:szCs w:val="16"/>
              </w:rPr>
              <w:t> </w:t>
            </w:r>
          </w:p>
        </w:tc>
        <w:tc>
          <w:tcPr>
            <w:tcW w:w="1870" w:type="dxa"/>
            <w:vMerge w:val="restart"/>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DF17D47" w14:textId="77777777" w:rsidR="000D7C84" w:rsidRPr="004A3071" w:rsidRDefault="000D7C84" w:rsidP="00481CA4">
            <w:pPr>
              <w:jc w:val="center"/>
              <w:rPr>
                <w:rFonts w:asciiTheme="minorHAnsi" w:hAnsiTheme="minorHAnsi" w:cstheme="minorHAnsi"/>
                <w:color w:val="000000"/>
                <w:sz w:val="16"/>
                <w:szCs w:val="16"/>
              </w:rPr>
            </w:pPr>
            <w:r w:rsidRPr="004A3071">
              <w:rPr>
                <w:rFonts w:asciiTheme="minorHAnsi" w:hAnsiTheme="minorHAnsi" w:cstheme="minorHAnsi"/>
                <w:color w:val="000000"/>
                <w:sz w:val="16"/>
                <w:szCs w:val="16"/>
              </w:rPr>
              <w:t>Direct Beneficiary</w:t>
            </w:r>
          </w:p>
          <w:p w14:paraId="34600F18" w14:textId="77777777" w:rsidR="000D7C84" w:rsidRPr="004A3071" w:rsidRDefault="000D7C84" w:rsidP="00481CA4">
            <w:pPr>
              <w:jc w:val="center"/>
              <w:rPr>
                <w:rFonts w:asciiTheme="minorHAnsi" w:hAnsiTheme="minorHAnsi" w:cstheme="minorHAnsi"/>
                <w:color w:val="000000"/>
                <w:sz w:val="16"/>
                <w:szCs w:val="16"/>
              </w:rPr>
            </w:pPr>
            <w:r w:rsidRPr="004A3071">
              <w:rPr>
                <w:rFonts w:asciiTheme="minorHAnsi" w:hAnsiTheme="minorHAnsi" w:cstheme="minorHAnsi"/>
                <w:color w:val="000000"/>
                <w:sz w:val="16"/>
                <w:szCs w:val="16"/>
              </w:rPr>
              <w:t> </w:t>
            </w:r>
          </w:p>
          <w:p w14:paraId="642FE0C3" w14:textId="77777777" w:rsidR="000D7C84" w:rsidRPr="004A3071" w:rsidRDefault="000D7C84" w:rsidP="00481CA4">
            <w:pPr>
              <w:jc w:val="center"/>
              <w:rPr>
                <w:rFonts w:asciiTheme="minorHAnsi" w:hAnsiTheme="minorHAnsi" w:cstheme="minorHAnsi"/>
                <w:color w:val="000000"/>
                <w:sz w:val="16"/>
                <w:szCs w:val="16"/>
              </w:rPr>
            </w:pPr>
            <w:r w:rsidRPr="004A3071">
              <w:rPr>
                <w:rFonts w:asciiTheme="minorHAnsi" w:hAnsiTheme="minorHAnsi" w:cstheme="minorHAnsi"/>
                <w:color w:val="000000"/>
                <w:sz w:val="16"/>
                <w:szCs w:val="16"/>
              </w:rPr>
              <w:t> </w:t>
            </w:r>
          </w:p>
          <w:p w14:paraId="74CA638D" w14:textId="1BCE78E7" w:rsidR="000D7C84" w:rsidRPr="004A3071" w:rsidRDefault="000D7C84" w:rsidP="00481CA4">
            <w:pPr>
              <w:jc w:val="center"/>
              <w:rPr>
                <w:rFonts w:asciiTheme="minorHAnsi" w:hAnsiTheme="minorHAnsi" w:cstheme="minorHAnsi"/>
                <w:color w:val="000000"/>
                <w:sz w:val="16"/>
                <w:szCs w:val="16"/>
              </w:rPr>
            </w:pPr>
            <w:r w:rsidRPr="004A3071">
              <w:rPr>
                <w:rFonts w:asciiTheme="minorHAnsi" w:hAnsiTheme="minorHAnsi" w:cstheme="minorHAnsi"/>
                <w:color w:val="000000"/>
                <w:sz w:val="16"/>
                <w:szCs w:val="16"/>
              </w:rPr>
              <w:t> </w:t>
            </w:r>
          </w:p>
        </w:tc>
        <w:tc>
          <w:tcPr>
            <w:tcW w:w="1870" w:type="dxa"/>
            <w:tcBorders>
              <w:top w:val="nil"/>
              <w:left w:val="single" w:sz="4" w:space="0" w:color="auto"/>
              <w:bottom w:val="nil"/>
              <w:right w:val="single" w:sz="4" w:space="0" w:color="000000" w:themeColor="text1"/>
            </w:tcBorders>
            <w:shd w:val="clear" w:color="auto" w:fill="DDEBF7"/>
            <w:vAlign w:val="center"/>
          </w:tcPr>
          <w:p w14:paraId="135A1342" w14:textId="77777777" w:rsidR="000D7C84" w:rsidRPr="004A3071" w:rsidRDefault="000D7C84" w:rsidP="00481CA4">
            <w:pPr>
              <w:jc w:val="center"/>
              <w:rPr>
                <w:rFonts w:asciiTheme="minorHAnsi" w:hAnsiTheme="minorHAnsi" w:cstheme="minorHAnsi"/>
                <w:b/>
                <w:bCs/>
                <w:color w:val="000000"/>
                <w:sz w:val="16"/>
                <w:szCs w:val="16"/>
              </w:rPr>
            </w:pPr>
            <w:r w:rsidRPr="004A3071">
              <w:rPr>
                <w:rFonts w:asciiTheme="minorHAnsi" w:hAnsiTheme="minorHAnsi" w:cstheme="minorHAnsi"/>
                <w:b/>
                <w:bCs/>
                <w:color w:val="000000"/>
                <w:sz w:val="16"/>
                <w:szCs w:val="16"/>
              </w:rPr>
              <w:t>National Government Institution body</w:t>
            </w:r>
          </w:p>
        </w:tc>
        <w:tc>
          <w:tcPr>
            <w:tcW w:w="1870" w:type="dxa"/>
            <w:tcBorders>
              <w:top w:val="nil"/>
              <w:left w:val="single" w:sz="4" w:space="0" w:color="000000" w:themeColor="text1"/>
              <w:bottom w:val="nil"/>
              <w:right w:val="single" w:sz="4" w:space="0" w:color="000000" w:themeColor="text1"/>
            </w:tcBorders>
            <w:shd w:val="clear" w:color="auto" w:fill="FFFFFF" w:themeFill="background1"/>
            <w:vAlign w:val="center"/>
          </w:tcPr>
          <w:p w14:paraId="01A18859" w14:textId="77777777" w:rsidR="000D7C84" w:rsidRPr="004A3071" w:rsidRDefault="000D7C84" w:rsidP="00481CA4">
            <w:pPr>
              <w:jc w:val="center"/>
              <w:rPr>
                <w:rFonts w:asciiTheme="minorHAnsi" w:hAnsiTheme="minorHAnsi" w:cstheme="minorHAnsi"/>
                <w:color w:val="000000"/>
                <w:sz w:val="16"/>
                <w:szCs w:val="16"/>
              </w:rPr>
            </w:pPr>
            <w:r w:rsidRPr="004A3071">
              <w:rPr>
                <w:rFonts w:asciiTheme="minorHAnsi" w:hAnsiTheme="minorHAnsi" w:cstheme="minorHAnsi"/>
                <w:color w:val="000000"/>
                <w:sz w:val="16"/>
                <w:szCs w:val="16"/>
              </w:rPr>
              <w:t>Face-to-face meetings</w:t>
            </w:r>
          </w:p>
        </w:tc>
        <w:tc>
          <w:tcPr>
            <w:tcW w:w="2296" w:type="dxa"/>
            <w:tcBorders>
              <w:top w:val="nil"/>
              <w:left w:val="single" w:sz="4" w:space="0" w:color="000000" w:themeColor="text1"/>
              <w:bottom w:val="nil"/>
              <w:right w:val="single" w:sz="4" w:space="0" w:color="000000" w:themeColor="text1"/>
            </w:tcBorders>
            <w:shd w:val="clear" w:color="auto" w:fill="FFFFFF" w:themeFill="background1"/>
            <w:vAlign w:val="center"/>
          </w:tcPr>
          <w:p w14:paraId="2CF868BE" w14:textId="77777777" w:rsidR="000D7C84" w:rsidRPr="004A3071" w:rsidRDefault="000D7C84" w:rsidP="00481CA4">
            <w:pPr>
              <w:jc w:val="center"/>
              <w:rPr>
                <w:rFonts w:asciiTheme="minorHAnsi" w:hAnsiTheme="minorHAnsi" w:cstheme="minorHAnsi"/>
                <w:color w:val="000000"/>
                <w:sz w:val="16"/>
                <w:szCs w:val="16"/>
              </w:rPr>
            </w:pPr>
            <w:r w:rsidRPr="004A3071">
              <w:rPr>
                <w:rFonts w:asciiTheme="minorHAnsi" w:hAnsiTheme="minorHAnsi" w:cstheme="minorHAnsi"/>
                <w:sz w:val="16"/>
                <w:szCs w:val="16"/>
              </w:rPr>
              <w:t>The IDF identified several activities that project could support like, trainings and the promotion of non-timber forest products, etc.</w:t>
            </w:r>
          </w:p>
        </w:tc>
        <w:tc>
          <w:tcPr>
            <w:tcW w:w="1870" w:type="dxa"/>
            <w:tcBorders>
              <w:top w:val="nil"/>
              <w:left w:val="single" w:sz="4" w:space="0" w:color="000000" w:themeColor="text1"/>
              <w:bottom w:val="nil"/>
              <w:right w:val="single" w:sz="4" w:space="0" w:color="000000" w:themeColor="text1"/>
            </w:tcBorders>
            <w:shd w:val="clear" w:color="auto" w:fill="FFFFFF" w:themeFill="background1"/>
            <w:vAlign w:val="center"/>
          </w:tcPr>
          <w:p w14:paraId="50D71385" w14:textId="77777777" w:rsidR="000D7C84" w:rsidRPr="004A3071" w:rsidRDefault="000D7C84" w:rsidP="00481CA4">
            <w:pPr>
              <w:jc w:val="center"/>
              <w:rPr>
                <w:rFonts w:asciiTheme="minorHAnsi" w:hAnsiTheme="minorHAnsi" w:cstheme="minorHAnsi"/>
                <w:color w:val="000000"/>
                <w:sz w:val="16"/>
                <w:szCs w:val="16"/>
              </w:rPr>
            </w:pPr>
            <w:r w:rsidRPr="004A3071">
              <w:rPr>
                <w:rFonts w:asciiTheme="minorHAnsi" w:hAnsiTheme="minorHAnsi" w:cstheme="minorHAnsi"/>
                <w:color w:val="000000"/>
                <w:sz w:val="16"/>
                <w:szCs w:val="16"/>
              </w:rPr>
              <w:t>From the onset as key hosting institution and partner to implement the activities</w:t>
            </w:r>
          </w:p>
        </w:tc>
        <w:tc>
          <w:tcPr>
            <w:tcW w:w="1870" w:type="dxa"/>
            <w:tcBorders>
              <w:top w:val="nil"/>
              <w:left w:val="single" w:sz="4" w:space="0" w:color="000000" w:themeColor="text1"/>
              <w:bottom w:val="nil"/>
              <w:right w:val="single" w:sz="4" w:space="0" w:color="auto"/>
            </w:tcBorders>
            <w:shd w:val="clear" w:color="auto" w:fill="FFFFFF" w:themeFill="background1"/>
            <w:vAlign w:val="center"/>
          </w:tcPr>
          <w:p w14:paraId="6614BA21" w14:textId="77777777" w:rsidR="000D7C84" w:rsidRPr="004A3071" w:rsidRDefault="000D7C84" w:rsidP="00481CA4">
            <w:pPr>
              <w:jc w:val="center"/>
              <w:rPr>
                <w:rFonts w:asciiTheme="minorHAnsi" w:hAnsiTheme="minorHAnsi" w:cstheme="minorHAnsi"/>
                <w:color w:val="000000"/>
                <w:sz w:val="16"/>
                <w:szCs w:val="16"/>
              </w:rPr>
            </w:pPr>
            <w:r w:rsidRPr="004A3071">
              <w:rPr>
                <w:rFonts w:asciiTheme="minorHAnsi" w:hAnsiTheme="minorHAnsi" w:cstheme="minorHAnsi"/>
                <w:color w:val="000000"/>
                <w:sz w:val="16"/>
                <w:szCs w:val="16"/>
              </w:rPr>
              <w:t> </w:t>
            </w:r>
          </w:p>
        </w:tc>
      </w:tr>
      <w:tr w:rsidR="000D7C84" w:rsidRPr="004A3071" w14:paraId="5409ABF4" w14:textId="77777777" w:rsidTr="002B5FBB">
        <w:trPr>
          <w:cantSplit/>
        </w:trPr>
        <w:tc>
          <w:tcPr>
            <w:tcW w:w="1870" w:type="dxa"/>
            <w:vMerge/>
            <w:tcBorders>
              <w:left w:val="single" w:sz="4" w:space="0" w:color="auto"/>
              <w:bottom w:val="single" w:sz="4" w:space="0" w:color="auto"/>
              <w:right w:val="single" w:sz="4" w:space="0" w:color="auto"/>
            </w:tcBorders>
            <w:vAlign w:val="center"/>
          </w:tcPr>
          <w:p w14:paraId="5384C453" w14:textId="77777777" w:rsidR="000D7C84" w:rsidRPr="004A3071" w:rsidRDefault="000D7C84" w:rsidP="00481CA4">
            <w:pPr>
              <w:rPr>
                <w:rFonts w:asciiTheme="minorHAnsi" w:hAnsiTheme="minorHAnsi" w:cstheme="minorHAnsi"/>
                <w:color w:val="000000"/>
                <w:sz w:val="16"/>
                <w:szCs w:val="16"/>
              </w:rPr>
            </w:pPr>
          </w:p>
        </w:tc>
        <w:tc>
          <w:tcPr>
            <w:tcW w:w="1870" w:type="dxa"/>
            <w:vMerge/>
            <w:tcBorders>
              <w:left w:val="single" w:sz="4" w:space="0" w:color="auto"/>
              <w:bottom w:val="single" w:sz="4" w:space="0" w:color="auto"/>
              <w:right w:val="single" w:sz="4" w:space="0" w:color="auto"/>
            </w:tcBorders>
            <w:vAlign w:val="center"/>
          </w:tcPr>
          <w:p w14:paraId="276C9825" w14:textId="129D6E7B" w:rsidR="000D7C84" w:rsidRPr="004A3071" w:rsidRDefault="000D7C84" w:rsidP="00481CA4">
            <w:pPr>
              <w:jc w:val="center"/>
              <w:rPr>
                <w:rFonts w:asciiTheme="minorHAnsi" w:hAnsiTheme="minorHAnsi" w:cstheme="minorHAnsi"/>
                <w:color w:val="000000"/>
                <w:sz w:val="16"/>
                <w:szCs w:val="16"/>
              </w:rPr>
            </w:pPr>
          </w:p>
        </w:tc>
        <w:tc>
          <w:tcPr>
            <w:tcW w:w="1870" w:type="dxa"/>
            <w:tcBorders>
              <w:top w:val="nil"/>
              <w:left w:val="single" w:sz="4" w:space="0" w:color="auto"/>
              <w:bottom w:val="nil"/>
              <w:right w:val="single" w:sz="4" w:space="0" w:color="000000" w:themeColor="text1"/>
            </w:tcBorders>
            <w:shd w:val="clear" w:color="auto" w:fill="DDEBF7"/>
            <w:vAlign w:val="center"/>
          </w:tcPr>
          <w:p w14:paraId="0C157DD0" w14:textId="77777777" w:rsidR="000D7C84" w:rsidRPr="004A3071" w:rsidRDefault="000D7C84" w:rsidP="00481CA4">
            <w:pPr>
              <w:jc w:val="center"/>
              <w:rPr>
                <w:rFonts w:asciiTheme="minorHAnsi" w:hAnsiTheme="minorHAnsi" w:cstheme="minorHAnsi"/>
                <w:b/>
                <w:bCs/>
                <w:color w:val="000000"/>
                <w:sz w:val="16"/>
                <w:szCs w:val="16"/>
              </w:rPr>
            </w:pPr>
            <w:r w:rsidRPr="004A3071">
              <w:rPr>
                <w:rFonts w:asciiTheme="minorHAnsi" w:hAnsiTheme="minorHAnsi" w:cstheme="minorHAnsi"/>
                <w:b/>
                <w:bCs/>
                <w:color w:val="000000"/>
                <w:sz w:val="16"/>
                <w:szCs w:val="16"/>
              </w:rPr>
              <w:t> </w:t>
            </w:r>
          </w:p>
        </w:tc>
        <w:tc>
          <w:tcPr>
            <w:tcW w:w="1870" w:type="dxa"/>
            <w:tcBorders>
              <w:top w:val="nil"/>
              <w:left w:val="single" w:sz="4" w:space="0" w:color="000000" w:themeColor="text1"/>
              <w:bottom w:val="nil"/>
              <w:right w:val="single" w:sz="4" w:space="0" w:color="000000" w:themeColor="text1"/>
            </w:tcBorders>
            <w:shd w:val="clear" w:color="auto" w:fill="FFFFFF" w:themeFill="background1"/>
            <w:vAlign w:val="center"/>
          </w:tcPr>
          <w:p w14:paraId="2F885B25" w14:textId="77777777" w:rsidR="000D7C84" w:rsidRPr="004A3071" w:rsidRDefault="000D7C84" w:rsidP="00481CA4">
            <w:pPr>
              <w:jc w:val="center"/>
              <w:rPr>
                <w:rFonts w:asciiTheme="minorHAnsi" w:hAnsiTheme="minorHAnsi" w:cstheme="minorHAnsi"/>
                <w:color w:val="000000"/>
                <w:sz w:val="16"/>
                <w:szCs w:val="16"/>
              </w:rPr>
            </w:pPr>
            <w:r w:rsidRPr="004A3071">
              <w:rPr>
                <w:rFonts w:asciiTheme="minorHAnsi" w:hAnsiTheme="minorHAnsi" w:cstheme="minorHAnsi"/>
                <w:color w:val="000000"/>
                <w:sz w:val="16"/>
                <w:szCs w:val="16"/>
              </w:rPr>
              <w:t>PGG inception</w:t>
            </w:r>
          </w:p>
        </w:tc>
        <w:tc>
          <w:tcPr>
            <w:tcW w:w="2296" w:type="dxa"/>
            <w:tcBorders>
              <w:top w:val="nil"/>
              <w:left w:val="single" w:sz="4" w:space="0" w:color="000000" w:themeColor="text1"/>
              <w:bottom w:val="nil"/>
              <w:right w:val="single" w:sz="4" w:space="0" w:color="000000" w:themeColor="text1"/>
            </w:tcBorders>
            <w:shd w:val="clear" w:color="auto" w:fill="FFFFFF" w:themeFill="background1"/>
            <w:vAlign w:val="center"/>
          </w:tcPr>
          <w:p w14:paraId="1D1D7854" w14:textId="77777777" w:rsidR="000D7C84" w:rsidRPr="004A3071" w:rsidRDefault="000D7C84" w:rsidP="00481CA4">
            <w:pPr>
              <w:jc w:val="center"/>
              <w:rPr>
                <w:rFonts w:asciiTheme="minorHAnsi" w:hAnsiTheme="minorHAnsi" w:cstheme="minorHAnsi"/>
                <w:color w:val="000000"/>
                <w:sz w:val="16"/>
                <w:szCs w:val="16"/>
              </w:rPr>
            </w:pPr>
            <w:r w:rsidRPr="004A3071">
              <w:rPr>
                <w:rFonts w:asciiTheme="minorHAnsi" w:hAnsiTheme="minorHAnsi" w:cstheme="minorHAnsi"/>
                <w:color w:val="000000"/>
                <w:sz w:val="16"/>
                <w:szCs w:val="16"/>
              </w:rPr>
              <w:t> </w:t>
            </w:r>
          </w:p>
        </w:tc>
        <w:tc>
          <w:tcPr>
            <w:tcW w:w="1870" w:type="dxa"/>
            <w:tcBorders>
              <w:top w:val="nil"/>
              <w:left w:val="single" w:sz="4" w:space="0" w:color="000000" w:themeColor="text1"/>
              <w:bottom w:val="nil"/>
              <w:right w:val="single" w:sz="4" w:space="0" w:color="000000" w:themeColor="text1"/>
            </w:tcBorders>
            <w:shd w:val="clear" w:color="auto" w:fill="FFFFFF" w:themeFill="background1"/>
            <w:vAlign w:val="center"/>
          </w:tcPr>
          <w:p w14:paraId="0E9DF8D9" w14:textId="77777777" w:rsidR="000D7C84" w:rsidRPr="004A3071" w:rsidRDefault="000D7C84" w:rsidP="00481CA4">
            <w:pPr>
              <w:jc w:val="center"/>
              <w:rPr>
                <w:rFonts w:asciiTheme="minorHAnsi" w:hAnsiTheme="minorHAnsi" w:cstheme="minorHAnsi"/>
                <w:color w:val="000000"/>
                <w:sz w:val="16"/>
                <w:szCs w:val="16"/>
              </w:rPr>
            </w:pPr>
            <w:r w:rsidRPr="004A3071">
              <w:rPr>
                <w:rFonts w:asciiTheme="minorHAnsi" w:hAnsiTheme="minorHAnsi" w:cstheme="minorHAnsi"/>
                <w:color w:val="000000"/>
                <w:sz w:val="16"/>
                <w:szCs w:val="16"/>
              </w:rPr>
              <w:t> </w:t>
            </w:r>
          </w:p>
        </w:tc>
        <w:tc>
          <w:tcPr>
            <w:tcW w:w="1870" w:type="dxa"/>
            <w:tcBorders>
              <w:top w:val="nil"/>
              <w:left w:val="single" w:sz="4" w:space="0" w:color="000000" w:themeColor="text1"/>
              <w:bottom w:val="nil"/>
              <w:right w:val="single" w:sz="4" w:space="0" w:color="auto"/>
            </w:tcBorders>
            <w:shd w:val="clear" w:color="auto" w:fill="FFFFFF" w:themeFill="background1"/>
            <w:vAlign w:val="center"/>
          </w:tcPr>
          <w:p w14:paraId="5D605780" w14:textId="77777777" w:rsidR="000D7C84" w:rsidRPr="004A3071" w:rsidRDefault="000D7C84" w:rsidP="00481CA4">
            <w:pPr>
              <w:jc w:val="center"/>
              <w:rPr>
                <w:rFonts w:asciiTheme="minorHAnsi" w:hAnsiTheme="minorHAnsi" w:cstheme="minorHAnsi"/>
                <w:color w:val="000000"/>
                <w:sz w:val="16"/>
                <w:szCs w:val="16"/>
              </w:rPr>
            </w:pPr>
            <w:r w:rsidRPr="004A3071">
              <w:rPr>
                <w:rFonts w:asciiTheme="minorHAnsi" w:hAnsiTheme="minorHAnsi" w:cstheme="minorHAnsi"/>
                <w:color w:val="000000"/>
                <w:sz w:val="16"/>
                <w:szCs w:val="16"/>
              </w:rPr>
              <w:t> </w:t>
            </w:r>
          </w:p>
        </w:tc>
      </w:tr>
      <w:tr w:rsidR="000D7C84" w:rsidRPr="004A3071" w14:paraId="2DE620E4" w14:textId="77777777" w:rsidTr="002B5FBB">
        <w:trPr>
          <w:cantSplit/>
        </w:trPr>
        <w:tc>
          <w:tcPr>
            <w:tcW w:w="1870" w:type="dxa"/>
            <w:vMerge/>
            <w:tcBorders>
              <w:left w:val="single" w:sz="4" w:space="0" w:color="auto"/>
              <w:bottom w:val="single" w:sz="4" w:space="0" w:color="auto"/>
              <w:right w:val="single" w:sz="4" w:space="0" w:color="auto"/>
            </w:tcBorders>
            <w:vAlign w:val="center"/>
          </w:tcPr>
          <w:p w14:paraId="1216A368" w14:textId="77777777" w:rsidR="000D7C84" w:rsidRPr="004A3071" w:rsidRDefault="000D7C84" w:rsidP="00481CA4">
            <w:pPr>
              <w:rPr>
                <w:rFonts w:asciiTheme="minorHAnsi" w:hAnsiTheme="minorHAnsi" w:cstheme="minorHAnsi"/>
                <w:color w:val="000000"/>
                <w:sz w:val="16"/>
                <w:szCs w:val="16"/>
              </w:rPr>
            </w:pPr>
          </w:p>
        </w:tc>
        <w:tc>
          <w:tcPr>
            <w:tcW w:w="1870" w:type="dxa"/>
            <w:vMerge/>
            <w:tcBorders>
              <w:left w:val="single" w:sz="4" w:space="0" w:color="auto"/>
              <w:bottom w:val="single" w:sz="4" w:space="0" w:color="auto"/>
              <w:right w:val="single" w:sz="4" w:space="0" w:color="auto"/>
            </w:tcBorders>
            <w:vAlign w:val="center"/>
          </w:tcPr>
          <w:p w14:paraId="0987989D" w14:textId="44B73167" w:rsidR="000D7C84" w:rsidRPr="004A3071" w:rsidRDefault="000D7C84" w:rsidP="00481CA4">
            <w:pPr>
              <w:jc w:val="center"/>
              <w:rPr>
                <w:rFonts w:asciiTheme="minorHAnsi" w:hAnsiTheme="minorHAnsi" w:cstheme="minorHAnsi"/>
                <w:color w:val="000000"/>
                <w:sz w:val="16"/>
                <w:szCs w:val="16"/>
              </w:rPr>
            </w:pPr>
          </w:p>
        </w:tc>
        <w:tc>
          <w:tcPr>
            <w:tcW w:w="1870" w:type="dxa"/>
            <w:tcBorders>
              <w:top w:val="nil"/>
              <w:left w:val="single" w:sz="4" w:space="0" w:color="auto"/>
              <w:bottom w:val="nil"/>
              <w:right w:val="single" w:sz="4" w:space="0" w:color="000000" w:themeColor="text1"/>
            </w:tcBorders>
            <w:shd w:val="clear" w:color="auto" w:fill="DDEBF7"/>
            <w:vAlign w:val="center"/>
          </w:tcPr>
          <w:p w14:paraId="31F66B9E" w14:textId="77777777" w:rsidR="000D7C84" w:rsidRPr="004A3071" w:rsidRDefault="000D7C84" w:rsidP="00481CA4">
            <w:pPr>
              <w:jc w:val="center"/>
              <w:rPr>
                <w:rFonts w:asciiTheme="minorHAnsi" w:hAnsiTheme="minorHAnsi" w:cstheme="minorHAnsi"/>
                <w:b/>
                <w:bCs/>
                <w:color w:val="000000"/>
                <w:sz w:val="16"/>
                <w:szCs w:val="16"/>
              </w:rPr>
            </w:pPr>
            <w:r w:rsidRPr="004A3071">
              <w:rPr>
                <w:rFonts w:asciiTheme="minorHAnsi" w:hAnsiTheme="minorHAnsi" w:cstheme="minorHAnsi"/>
                <w:b/>
                <w:bCs/>
                <w:color w:val="000000"/>
                <w:sz w:val="16"/>
                <w:szCs w:val="16"/>
              </w:rPr>
              <w:t> </w:t>
            </w:r>
          </w:p>
        </w:tc>
        <w:tc>
          <w:tcPr>
            <w:tcW w:w="1870" w:type="dxa"/>
            <w:tcBorders>
              <w:top w:val="nil"/>
              <w:left w:val="single" w:sz="4" w:space="0" w:color="000000" w:themeColor="text1"/>
              <w:bottom w:val="nil"/>
              <w:right w:val="single" w:sz="4" w:space="0" w:color="000000" w:themeColor="text1"/>
            </w:tcBorders>
            <w:shd w:val="clear" w:color="auto" w:fill="FFFFFF" w:themeFill="background1"/>
            <w:vAlign w:val="center"/>
          </w:tcPr>
          <w:p w14:paraId="558B6929" w14:textId="77777777" w:rsidR="000D7C84" w:rsidRPr="004A3071" w:rsidRDefault="000D7C84" w:rsidP="00481CA4">
            <w:pPr>
              <w:jc w:val="center"/>
              <w:rPr>
                <w:rFonts w:asciiTheme="minorHAnsi" w:hAnsiTheme="minorHAnsi" w:cstheme="minorHAnsi"/>
                <w:color w:val="000000"/>
                <w:sz w:val="16"/>
                <w:szCs w:val="16"/>
              </w:rPr>
            </w:pPr>
            <w:r w:rsidRPr="004A3071">
              <w:rPr>
                <w:rFonts w:asciiTheme="minorHAnsi" w:hAnsiTheme="minorHAnsi" w:cstheme="minorHAnsi"/>
                <w:color w:val="000000"/>
                <w:sz w:val="16"/>
                <w:szCs w:val="16"/>
              </w:rPr>
              <w:t>Face-to-face meetings</w:t>
            </w:r>
          </w:p>
        </w:tc>
        <w:tc>
          <w:tcPr>
            <w:tcW w:w="2296" w:type="dxa"/>
            <w:tcBorders>
              <w:top w:val="nil"/>
              <w:left w:val="single" w:sz="4" w:space="0" w:color="000000" w:themeColor="text1"/>
              <w:bottom w:val="nil"/>
              <w:right w:val="single" w:sz="4" w:space="0" w:color="000000" w:themeColor="text1"/>
            </w:tcBorders>
            <w:shd w:val="clear" w:color="auto" w:fill="FFFFFF" w:themeFill="background1"/>
            <w:vAlign w:val="center"/>
          </w:tcPr>
          <w:p w14:paraId="604E1EC9" w14:textId="77777777" w:rsidR="000D7C84" w:rsidRPr="004A3071" w:rsidRDefault="000D7C84" w:rsidP="00481CA4">
            <w:pPr>
              <w:jc w:val="center"/>
              <w:rPr>
                <w:rFonts w:asciiTheme="minorHAnsi" w:hAnsiTheme="minorHAnsi" w:cstheme="minorHAnsi"/>
                <w:color w:val="000000"/>
                <w:sz w:val="16"/>
                <w:szCs w:val="16"/>
              </w:rPr>
            </w:pPr>
            <w:r w:rsidRPr="004A3071">
              <w:rPr>
                <w:rFonts w:asciiTheme="minorHAnsi" w:hAnsiTheme="minorHAnsi" w:cstheme="minorHAnsi"/>
                <w:color w:val="000000"/>
                <w:sz w:val="16"/>
                <w:szCs w:val="16"/>
              </w:rPr>
              <w:t> </w:t>
            </w:r>
          </w:p>
        </w:tc>
        <w:tc>
          <w:tcPr>
            <w:tcW w:w="1870" w:type="dxa"/>
            <w:tcBorders>
              <w:top w:val="nil"/>
              <w:left w:val="single" w:sz="4" w:space="0" w:color="000000" w:themeColor="text1"/>
              <w:bottom w:val="nil"/>
              <w:right w:val="single" w:sz="4" w:space="0" w:color="000000" w:themeColor="text1"/>
            </w:tcBorders>
            <w:shd w:val="clear" w:color="auto" w:fill="FFFFFF" w:themeFill="background1"/>
            <w:vAlign w:val="center"/>
          </w:tcPr>
          <w:p w14:paraId="2FFFFD81" w14:textId="77777777" w:rsidR="000D7C84" w:rsidRPr="004A3071" w:rsidRDefault="000D7C84" w:rsidP="00481CA4">
            <w:pPr>
              <w:jc w:val="center"/>
              <w:rPr>
                <w:rFonts w:asciiTheme="minorHAnsi" w:hAnsiTheme="minorHAnsi" w:cstheme="minorHAnsi"/>
                <w:color w:val="000000"/>
                <w:sz w:val="16"/>
                <w:szCs w:val="16"/>
              </w:rPr>
            </w:pPr>
            <w:r w:rsidRPr="004A3071">
              <w:rPr>
                <w:rFonts w:asciiTheme="minorHAnsi" w:hAnsiTheme="minorHAnsi" w:cstheme="minorHAnsi"/>
                <w:color w:val="000000"/>
                <w:sz w:val="16"/>
                <w:szCs w:val="16"/>
              </w:rPr>
              <w:t> </w:t>
            </w:r>
          </w:p>
        </w:tc>
        <w:tc>
          <w:tcPr>
            <w:tcW w:w="1870" w:type="dxa"/>
            <w:tcBorders>
              <w:top w:val="nil"/>
              <w:left w:val="single" w:sz="4" w:space="0" w:color="000000" w:themeColor="text1"/>
              <w:bottom w:val="nil"/>
              <w:right w:val="single" w:sz="4" w:space="0" w:color="auto"/>
            </w:tcBorders>
            <w:shd w:val="clear" w:color="auto" w:fill="FFFFFF" w:themeFill="background1"/>
            <w:vAlign w:val="center"/>
          </w:tcPr>
          <w:p w14:paraId="0AAD1AB4" w14:textId="77777777" w:rsidR="000D7C84" w:rsidRPr="004A3071" w:rsidRDefault="000D7C84" w:rsidP="00481CA4">
            <w:pPr>
              <w:jc w:val="center"/>
              <w:rPr>
                <w:rFonts w:asciiTheme="minorHAnsi" w:hAnsiTheme="minorHAnsi" w:cstheme="minorHAnsi"/>
                <w:color w:val="000000"/>
                <w:sz w:val="16"/>
                <w:szCs w:val="16"/>
              </w:rPr>
            </w:pPr>
            <w:r w:rsidRPr="004A3071">
              <w:rPr>
                <w:rFonts w:asciiTheme="minorHAnsi" w:hAnsiTheme="minorHAnsi" w:cstheme="minorHAnsi"/>
                <w:color w:val="000000"/>
                <w:sz w:val="16"/>
                <w:szCs w:val="16"/>
              </w:rPr>
              <w:t> </w:t>
            </w:r>
          </w:p>
        </w:tc>
      </w:tr>
      <w:tr w:rsidR="000D7C84" w:rsidRPr="004A3071" w14:paraId="1310247A" w14:textId="77777777" w:rsidTr="002B5FBB">
        <w:trPr>
          <w:cantSplit/>
        </w:trPr>
        <w:tc>
          <w:tcPr>
            <w:tcW w:w="1870" w:type="dxa"/>
            <w:vMerge/>
            <w:tcBorders>
              <w:left w:val="single" w:sz="4" w:space="0" w:color="auto"/>
              <w:bottom w:val="single" w:sz="4" w:space="0" w:color="auto"/>
              <w:right w:val="single" w:sz="4" w:space="0" w:color="auto"/>
            </w:tcBorders>
            <w:vAlign w:val="center"/>
          </w:tcPr>
          <w:p w14:paraId="708898D3" w14:textId="77777777" w:rsidR="000D7C84" w:rsidRPr="004A3071" w:rsidRDefault="000D7C84" w:rsidP="00481CA4">
            <w:pPr>
              <w:rPr>
                <w:rFonts w:asciiTheme="minorHAnsi" w:hAnsiTheme="minorHAnsi" w:cstheme="minorHAnsi"/>
                <w:color w:val="000000"/>
                <w:sz w:val="16"/>
                <w:szCs w:val="16"/>
              </w:rPr>
            </w:pPr>
          </w:p>
        </w:tc>
        <w:tc>
          <w:tcPr>
            <w:tcW w:w="1870" w:type="dxa"/>
            <w:vMerge/>
            <w:tcBorders>
              <w:left w:val="single" w:sz="4" w:space="0" w:color="auto"/>
              <w:bottom w:val="single" w:sz="4" w:space="0" w:color="auto"/>
              <w:right w:val="single" w:sz="4" w:space="0" w:color="auto"/>
            </w:tcBorders>
            <w:vAlign w:val="center"/>
          </w:tcPr>
          <w:p w14:paraId="435BDA3A" w14:textId="07F544B2" w:rsidR="000D7C84" w:rsidRPr="004A3071" w:rsidRDefault="000D7C84" w:rsidP="00481CA4">
            <w:pPr>
              <w:jc w:val="center"/>
              <w:rPr>
                <w:rFonts w:asciiTheme="minorHAnsi" w:hAnsiTheme="minorHAnsi" w:cstheme="minorHAnsi"/>
                <w:color w:val="000000"/>
                <w:sz w:val="16"/>
                <w:szCs w:val="16"/>
              </w:rPr>
            </w:pPr>
          </w:p>
        </w:tc>
        <w:tc>
          <w:tcPr>
            <w:tcW w:w="1870" w:type="dxa"/>
            <w:tcBorders>
              <w:top w:val="nil"/>
              <w:left w:val="single" w:sz="4" w:space="0" w:color="auto"/>
              <w:bottom w:val="single" w:sz="4" w:space="0" w:color="auto"/>
              <w:right w:val="single" w:sz="4" w:space="0" w:color="000000" w:themeColor="text1"/>
            </w:tcBorders>
            <w:shd w:val="clear" w:color="auto" w:fill="DDEBF7"/>
            <w:vAlign w:val="center"/>
          </w:tcPr>
          <w:p w14:paraId="35CFBB69" w14:textId="77777777" w:rsidR="000D7C84" w:rsidRPr="004A3071" w:rsidRDefault="000D7C84" w:rsidP="00481CA4">
            <w:pPr>
              <w:jc w:val="center"/>
              <w:rPr>
                <w:rFonts w:asciiTheme="minorHAnsi" w:hAnsiTheme="minorHAnsi" w:cstheme="minorHAnsi"/>
                <w:b/>
                <w:bCs/>
                <w:color w:val="000000"/>
                <w:sz w:val="16"/>
                <w:szCs w:val="16"/>
              </w:rPr>
            </w:pPr>
            <w:r w:rsidRPr="004A3071">
              <w:rPr>
                <w:rFonts w:asciiTheme="minorHAnsi" w:hAnsiTheme="minorHAnsi" w:cstheme="minorHAnsi"/>
                <w:b/>
                <w:bCs/>
                <w:color w:val="000000"/>
                <w:sz w:val="16"/>
                <w:szCs w:val="16"/>
              </w:rPr>
              <w:t> </w:t>
            </w:r>
          </w:p>
        </w:tc>
        <w:tc>
          <w:tcPr>
            <w:tcW w:w="1870" w:type="dxa"/>
            <w:tcBorders>
              <w:top w:val="nil"/>
              <w:left w:val="single" w:sz="4" w:space="0" w:color="000000" w:themeColor="text1"/>
              <w:bottom w:val="single" w:sz="4" w:space="0" w:color="auto"/>
              <w:right w:val="single" w:sz="4" w:space="0" w:color="000000" w:themeColor="text1"/>
            </w:tcBorders>
            <w:shd w:val="clear" w:color="auto" w:fill="FFFFFF" w:themeFill="background1"/>
            <w:vAlign w:val="center"/>
          </w:tcPr>
          <w:p w14:paraId="7D558AE6" w14:textId="77777777" w:rsidR="000D7C84" w:rsidRPr="004A3071" w:rsidRDefault="000D7C84" w:rsidP="00481CA4">
            <w:pPr>
              <w:jc w:val="center"/>
              <w:rPr>
                <w:rFonts w:asciiTheme="minorHAnsi" w:hAnsiTheme="minorHAnsi" w:cstheme="minorHAnsi"/>
                <w:color w:val="000000"/>
                <w:sz w:val="16"/>
                <w:szCs w:val="16"/>
              </w:rPr>
            </w:pPr>
            <w:r w:rsidRPr="004A3071">
              <w:rPr>
                <w:rFonts w:asciiTheme="minorHAnsi" w:hAnsiTheme="minorHAnsi" w:cstheme="minorHAnsi"/>
                <w:color w:val="000000"/>
                <w:sz w:val="16"/>
                <w:szCs w:val="16"/>
              </w:rPr>
              <w:t>PGG inception and validation workshops</w:t>
            </w:r>
          </w:p>
        </w:tc>
        <w:tc>
          <w:tcPr>
            <w:tcW w:w="2296" w:type="dxa"/>
            <w:tcBorders>
              <w:top w:val="nil"/>
              <w:left w:val="single" w:sz="4" w:space="0" w:color="000000" w:themeColor="text1"/>
              <w:bottom w:val="single" w:sz="4" w:space="0" w:color="auto"/>
              <w:right w:val="single" w:sz="4" w:space="0" w:color="000000" w:themeColor="text1"/>
            </w:tcBorders>
            <w:shd w:val="clear" w:color="auto" w:fill="FFFFFF" w:themeFill="background1"/>
            <w:vAlign w:val="center"/>
          </w:tcPr>
          <w:p w14:paraId="55BE9F00" w14:textId="77777777" w:rsidR="000D7C84" w:rsidRPr="004A3071" w:rsidRDefault="000D7C84" w:rsidP="00481CA4">
            <w:pPr>
              <w:jc w:val="center"/>
              <w:rPr>
                <w:rFonts w:asciiTheme="minorHAnsi" w:hAnsiTheme="minorHAnsi" w:cstheme="minorHAnsi"/>
                <w:color w:val="000000"/>
                <w:sz w:val="16"/>
                <w:szCs w:val="16"/>
              </w:rPr>
            </w:pPr>
            <w:r w:rsidRPr="004A3071">
              <w:rPr>
                <w:rFonts w:asciiTheme="minorHAnsi" w:hAnsiTheme="minorHAnsi" w:cstheme="minorHAnsi"/>
                <w:color w:val="000000"/>
                <w:sz w:val="16"/>
                <w:szCs w:val="16"/>
              </w:rPr>
              <w:t> </w:t>
            </w:r>
          </w:p>
        </w:tc>
        <w:tc>
          <w:tcPr>
            <w:tcW w:w="1870" w:type="dxa"/>
            <w:tcBorders>
              <w:top w:val="nil"/>
              <w:left w:val="single" w:sz="4" w:space="0" w:color="000000" w:themeColor="text1"/>
              <w:bottom w:val="single" w:sz="4" w:space="0" w:color="auto"/>
              <w:right w:val="single" w:sz="4" w:space="0" w:color="000000" w:themeColor="text1"/>
            </w:tcBorders>
            <w:shd w:val="clear" w:color="auto" w:fill="FFFFFF" w:themeFill="background1"/>
            <w:vAlign w:val="center"/>
          </w:tcPr>
          <w:p w14:paraId="0CE6B02D" w14:textId="77777777" w:rsidR="000D7C84" w:rsidRPr="004A3071" w:rsidRDefault="000D7C84" w:rsidP="00481CA4">
            <w:pPr>
              <w:jc w:val="center"/>
              <w:rPr>
                <w:rFonts w:asciiTheme="minorHAnsi" w:hAnsiTheme="minorHAnsi" w:cstheme="minorHAnsi"/>
                <w:color w:val="000000"/>
                <w:sz w:val="16"/>
                <w:szCs w:val="16"/>
              </w:rPr>
            </w:pPr>
            <w:r w:rsidRPr="004A3071">
              <w:rPr>
                <w:rFonts w:asciiTheme="minorHAnsi" w:hAnsiTheme="minorHAnsi" w:cstheme="minorHAnsi"/>
                <w:color w:val="000000"/>
                <w:sz w:val="16"/>
                <w:szCs w:val="16"/>
              </w:rPr>
              <w:t> </w:t>
            </w:r>
          </w:p>
        </w:tc>
        <w:tc>
          <w:tcPr>
            <w:tcW w:w="1870" w:type="dxa"/>
            <w:tcBorders>
              <w:top w:val="nil"/>
              <w:left w:val="single" w:sz="4" w:space="0" w:color="000000" w:themeColor="text1"/>
              <w:bottom w:val="single" w:sz="4" w:space="0" w:color="auto"/>
              <w:right w:val="single" w:sz="4" w:space="0" w:color="auto"/>
            </w:tcBorders>
            <w:shd w:val="clear" w:color="auto" w:fill="FFFFFF" w:themeFill="background1"/>
            <w:vAlign w:val="center"/>
          </w:tcPr>
          <w:p w14:paraId="0901546A" w14:textId="77777777" w:rsidR="000D7C84" w:rsidRPr="004A3071" w:rsidRDefault="000D7C84" w:rsidP="00481CA4">
            <w:pPr>
              <w:jc w:val="center"/>
              <w:rPr>
                <w:rFonts w:asciiTheme="minorHAnsi" w:hAnsiTheme="minorHAnsi" w:cstheme="minorHAnsi"/>
                <w:color w:val="000000"/>
                <w:sz w:val="16"/>
                <w:szCs w:val="16"/>
              </w:rPr>
            </w:pPr>
            <w:r w:rsidRPr="004A3071">
              <w:rPr>
                <w:rFonts w:asciiTheme="minorHAnsi" w:hAnsiTheme="minorHAnsi" w:cstheme="minorHAnsi"/>
                <w:color w:val="000000"/>
                <w:sz w:val="16"/>
                <w:szCs w:val="16"/>
              </w:rPr>
              <w:t> </w:t>
            </w:r>
          </w:p>
        </w:tc>
      </w:tr>
      <w:tr w:rsidR="000D7C84" w:rsidRPr="004A3071" w14:paraId="4061153D" w14:textId="77777777" w:rsidTr="002B5FBB">
        <w:trPr>
          <w:cantSplit/>
        </w:trPr>
        <w:tc>
          <w:tcPr>
            <w:tcW w:w="1870" w:type="dxa"/>
            <w:vMerge w:val="restart"/>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D54181C" w14:textId="77777777" w:rsidR="000D7C84" w:rsidRPr="004A3071" w:rsidRDefault="000D7C84" w:rsidP="00481CA4">
            <w:pPr>
              <w:rPr>
                <w:rFonts w:asciiTheme="minorHAnsi" w:hAnsiTheme="minorHAnsi" w:cstheme="minorHAnsi"/>
                <w:color w:val="000000"/>
                <w:sz w:val="16"/>
                <w:szCs w:val="16"/>
              </w:rPr>
            </w:pPr>
            <w:r w:rsidRPr="004A3071">
              <w:rPr>
                <w:rFonts w:asciiTheme="minorHAnsi" w:hAnsiTheme="minorHAnsi" w:cstheme="minorHAnsi"/>
                <w:color w:val="000000"/>
                <w:sz w:val="16"/>
                <w:szCs w:val="16"/>
              </w:rPr>
              <w:t>Agrarian Development Institute (IDA)</w:t>
            </w:r>
          </w:p>
          <w:p w14:paraId="4E2DE86D" w14:textId="77777777" w:rsidR="000D7C84" w:rsidRPr="004A3071" w:rsidRDefault="000D7C84" w:rsidP="00481CA4">
            <w:pPr>
              <w:rPr>
                <w:rFonts w:asciiTheme="minorHAnsi" w:hAnsiTheme="minorHAnsi" w:cstheme="minorHAnsi"/>
                <w:color w:val="000000"/>
                <w:sz w:val="16"/>
                <w:szCs w:val="16"/>
              </w:rPr>
            </w:pPr>
            <w:r w:rsidRPr="004A3071">
              <w:rPr>
                <w:rFonts w:asciiTheme="minorHAnsi" w:hAnsiTheme="minorHAnsi" w:cstheme="minorHAnsi"/>
                <w:color w:val="000000"/>
                <w:sz w:val="16"/>
                <w:szCs w:val="16"/>
              </w:rPr>
              <w:t> </w:t>
            </w:r>
          </w:p>
          <w:p w14:paraId="523A79FC" w14:textId="77777777" w:rsidR="000D7C84" w:rsidRPr="004A3071" w:rsidRDefault="000D7C84" w:rsidP="00481CA4">
            <w:pPr>
              <w:rPr>
                <w:rFonts w:asciiTheme="minorHAnsi" w:hAnsiTheme="minorHAnsi" w:cstheme="minorHAnsi"/>
                <w:color w:val="000000"/>
                <w:sz w:val="16"/>
                <w:szCs w:val="16"/>
              </w:rPr>
            </w:pPr>
            <w:r w:rsidRPr="004A3071">
              <w:rPr>
                <w:rFonts w:asciiTheme="minorHAnsi" w:hAnsiTheme="minorHAnsi" w:cstheme="minorHAnsi"/>
                <w:color w:val="000000"/>
                <w:sz w:val="16"/>
                <w:szCs w:val="16"/>
              </w:rPr>
              <w:t> </w:t>
            </w:r>
          </w:p>
          <w:p w14:paraId="286690F7" w14:textId="77777777" w:rsidR="000D7C84" w:rsidRPr="004A3071" w:rsidRDefault="000D7C84" w:rsidP="00481CA4">
            <w:pPr>
              <w:rPr>
                <w:rFonts w:asciiTheme="minorHAnsi" w:hAnsiTheme="minorHAnsi" w:cstheme="minorHAnsi"/>
                <w:color w:val="000000"/>
                <w:sz w:val="16"/>
                <w:szCs w:val="16"/>
              </w:rPr>
            </w:pPr>
            <w:r w:rsidRPr="004A3071">
              <w:rPr>
                <w:rFonts w:asciiTheme="minorHAnsi" w:hAnsiTheme="minorHAnsi" w:cstheme="minorHAnsi"/>
                <w:color w:val="000000"/>
                <w:sz w:val="16"/>
                <w:szCs w:val="16"/>
              </w:rPr>
              <w:t> </w:t>
            </w:r>
          </w:p>
        </w:tc>
        <w:tc>
          <w:tcPr>
            <w:tcW w:w="1870" w:type="dxa"/>
            <w:vMerge w:val="restart"/>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CD1EB99" w14:textId="77777777" w:rsidR="000D7C84" w:rsidRPr="004A3071" w:rsidRDefault="000D7C84" w:rsidP="00481CA4">
            <w:pPr>
              <w:jc w:val="center"/>
              <w:rPr>
                <w:rFonts w:asciiTheme="minorHAnsi" w:hAnsiTheme="minorHAnsi" w:cstheme="minorHAnsi"/>
                <w:color w:val="000000"/>
                <w:sz w:val="16"/>
                <w:szCs w:val="16"/>
              </w:rPr>
            </w:pPr>
            <w:r w:rsidRPr="004A3071">
              <w:rPr>
                <w:rFonts w:asciiTheme="minorHAnsi" w:hAnsiTheme="minorHAnsi" w:cstheme="minorHAnsi"/>
                <w:color w:val="000000"/>
                <w:sz w:val="16"/>
                <w:szCs w:val="16"/>
              </w:rPr>
              <w:t>Direct Beneficiary</w:t>
            </w:r>
          </w:p>
          <w:p w14:paraId="7C48330B" w14:textId="77777777" w:rsidR="000D7C84" w:rsidRPr="004A3071" w:rsidRDefault="000D7C84" w:rsidP="00481CA4">
            <w:pPr>
              <w:jc w:val="center"/>
              <w:rPr>
                <w:rFonts w:asciiTheme="minorHAnsi" w:hAnsiTheme="minorHAnsi" w:cstheme="minorHAnsi"/>
                <w:color w:val="000000"/>
                <w:sz w:val="16"/>
                <w:szCs w:val="16"/>
              </w:rPr>
            </w:pPr>
            <w:r w:rsidRPr="004A3071">
              <w:rPr>
                <w:rFonts w:asciiTheme="minorHAnsi" w:hAnsiTheme="minorHAnsi" w:cstheme="minorHAnsi"/>
                <w:color w:val="000000"/>
                <w:sz w:val="16"/>
                <w:szCs w:val="16"/>
              </w:rPr>
              <w:t> </w:t>
            </w:r>
          </w:p>
          <w:p w14:paraId="78DB2913" w14:textId="77777777" w:rsidR="000D7C84" w:rsidRPr="004A3071" w:rsidRDefault="000D7C84" w:rsidP="00481CA4">
            <w:pPr>
              <w:jc w:val="center"/>
              <w:rPr>
                <w:rFonts w:asciiTheme="minorHAnsi" w:hAnsiTheme="minorHAnsi" w:cstheme="minorHAnsi"/>
                <w:color w:val="000000"/>
                <w:sz w:val="16"/>
                <w:szCs w:val="16"/>
              </w:rPr>
            </w:pPr>
            <w:r w:rsidRPr="004A3071">
              <w:rPr>
                <w:rFonts w:asciiTheme="minorHAnsi" w:hAnsiTheme="minorHAnsi" w:cstheme="minorHAnsi"/>
                <w:color w:val="000000"/>
                <w:sz w:val="16"/>
                <w:szCs w:val="16"/>
              </w:rPr>
              <w:t> </w:t>
            </w:r>
          </w:p>
          <w:p w14:paraId="01D41419" w14:textId="0AC3B651" w:rsidR="000D7C84" w:rsidRPr="004A3071" w:rsidRDefault="000D7C84" w:rsidP="00481CA4">
            <w:pPr>
              <w:jc w:val="center"/>
              <w:rPr>
                <w:rFonts w:asciiTheme="minorHAnsi" w:hAnsiTheme="minorHAnsi" w:cstheme="minorHAnsi"/>
                <w:color w:val="000000"/>
                <w:sz w:val="16"/>
                <w:szCs w:val="16"/>
              </w:rPr>
            </w:pPr>
            <w:r w:rsidRPr="004A3071">
              <w:rPr>
                <w:rFonts w:asciiTheme="minorHAnsi" w:hAnsiTheme="minorHAnsi" w:cstheme="minorHAnsi"/>
                <w:color w:val="000000"/>
                <w:sz w:val="16"/>
                <w:szCs w:val="16"/>
              </w:rPr>
              <w:t> </w:t>
            </w:r>
          </w:p>
        </w:tc>
        <w:tc>
          <w:tcPr>
            <w:tcW w:w="1870" w:type="dxa"/>
            <w:tcBorders>
              <w:top w:val="nil"/>
              <w:left w:val="single" w:sz="4" w:space="0" w:color="auto"/>
              <w:bottom w:val="nil"/>
              <w:right w:val="single" w:sz="4" w:space="0" w:color="000000" w:themeColor="text1"/>
            </w:tcBorders>
            <w:shd w:val="clear" w:color="auto" w:fill="DDEBF7"/>
            <w:vAlign w:val="center"/>
          </w:tcPr>
          <w:p w14:paraId="4013B7AF" w14:textId="77777777" w:rsidR="000D7C84" w:rsidRPr="004A3071" w:rsidRDefault="000D7C84" w:rsidP="00481CA4">
            <w:pPr>
              <w:jc w:val="center"/>
              <w:rPr>
                <w:rFonts w:asciiTheme="minorHAnsi" w:hAnsiTheme="minorHAnsi" w:cstheme="minorHAnsi"/>
                <w:b/>
                <w:bCs/>
                <w:color w:val="000000"/>
                <w:sz w:val="16"/>
                <w:szCs w:val="16"/>
              </w:rPr>
            </w:pPr>
            <w:r w:rsidRPr="004A3071">
              <w:rPr>
                <w:rFonts w:asciiTheme="minorHAnsi" w:hAnsiTheme="minorHAnsi" w:cstheme="minorHAnsi"/>
                <w:b/>
                <w:bCs/>
                <w:color w:val="000000"/>
                <w:sz w:val="16"/>
                <w:szCs w:val="16"/>
              </w:rPr>
              <w:t>National Government Institution body</w:t>
            </w:r>
          </w:p>
        </w:tc>
        <w:tc>
          <w:tcPr>
            <w:tcW w:w="1870" w:type="dxa"/>
            <w:tcBorders>
              <w:top w:val="nil"/>
              <w:left w:val="single" w:sz="4" w:space="0" w:color="000000" w:themeColor="text1"/>
              <w:bottom w:val="nil"/>
              <w:right w:val="single" w:sz="4" w:space="0" w:color="000000" w:themeColor="text1"/>
            </w:tcBorders>
            <w:shd w:val="clear" w:color="auto" w:fill="FFFFFF" w:themeFill="background1"/>
            <w:vAlign w:val="center"/>
          </w:tcPr>
          <w:p w14:paraId="4F7A7BAF" w14:textId="77777777" w:rsidR="000D7C84" w:rsidRPr="004A3071" w:rsidRDefault="000D7C84" w:rsidP="00481CA4">
            <w:pPr>
              <w:jc w:val="center"/>
              <w:rPr>
                <w:rFonts w:asciiTheme="minorHAnsi" w:hAnsiTheme="minorHAnsi" w:cstheme="minorHAnsi"/>
                <w:color w:val="000000"/>
                <w:sz w:val="16"/>
                <w:szCs w:val="16"/>
              </w:rPr>
            </w:pPr>
            <w:r w:rsidRPr="004A3071">
              <w:rPr>
                <w:rFonts w:asciiTheme="minorHAnsi" w:hAnsiTheme="minorHAnsi" w:cstheme="minorHAnsi"/>
                <w:color w:val="000000"/>
                <w:sz w:val="16"/>
                <w:szCs w:val="16"/>
              </w:rPr>
              <w:t>Face-to-face meetings</w:t>
            </w:r>
          </w:p>
        </w:tc>
        <w:tc>
          <w:tcPr>
            <w:tcW w:w="2296" w:type="dxa"/>
            <w:tcBorders>
              <w:top w:val="nil"/>
              <w:left w:val="single" w:sz="4" w:space="0" w:color="000000" w:themeColor="text1"/>
              <w:bottom w:val="nil"/>
              <w:right w:val="single" w:sz="4" w:space="0" w:color="000000" w:themeColor="text1"/>
            </w:tcBorders>
            <w:shd w:val="clear" w:color="auto" w:fill="FFFFFF" w:themeFill="background1"/>
            <w:vAlign w:val="center"/>
          </w:tcPr>
          <w:p w14:paraId="28E7C184" w14:textId="77777777" w:rsidR="000D7C84" w:rsidRPr="004A3071" w:rsidRDefault="000D7C84" w:rsidP="00481CA4">
            <w:pPr>
              <w:jc w:val="center"/>
              <w:rPr>
                <w:rFonts w:asciiTheme="minorHAnsi" w:hAnsiTheme="minorHAnsi" w:cstheme="minorHAnsi"/>
                <w:color w:val="000000"/>
                <w:sz w:val="16"/>
                <w:szCs w:val="16"/>
              </w:rPr>
            </w:pPr>
            <w:r w:rsidRPr="004A3071">
              <w:rPr>
                <w:rFonts w:asciiTheme="minorHAnsi" w:hAnsiTheme="minorHAnsi" w:cstheme="minorHAnsi"/>
                <w:sz w:val="16"/>
                <w:szCs w:val="16"/>
              </w:rPr>
              <w:t>The IDA will be the hosting institution to carry out climate change adaptation practices like smart agriculture, resilient seeds, etc</w:t>
            </w:r>
          </w:p>
        </w:tc>
        <w:tc>
          <w:tcPr>
            <w:tcW w:w="1870" w:type="dxa"/>
            <w:tcBorders>
              <w:top w:val="nil"/>
              <w:left w:val="single" w:sz="4" w:space="0" w:color="000000" w:themeColor="text1"/>
              <w:bottom w:val="nil"/>
              <w:right w:val="single" w:sz="4" w:space="0" w:color="000000" w:themeColor="text1"/>
            </w:tcBorders>
            <w:shd w:val="clear" w:color="auto" w:fill="FFFFFF" w:themeFill="background1"/>
            <w:vAlign w:val="center"/>
          </w:tcPr>
          <w:p w14:paraId="5DF7AFBB" w14:textId="77777777" w:rsidR="000D7C84" w:rsidRPr="004A3071" w:rsidRDefault="000D7C84" w:rsidP="00481CA4">
            <w:pPr>
              <w:jc w:val="center"/>
              <w:rPr>
                <w:rFonts w:asciiTheme="minorHAnsi" w:hAnsiTheme="minorHAnsi" w:cstheme="minorHAnsi"/>
                <w:color w:val="000000"/>
                <w:sz w:val="16"/>
                <w:szCs w:val="16"/>
              </w:rPr>
            </w:pPr>
            <w:r w:rsidRPr="004A3071">
              <w:rPr>
                <w:rFonts w:asciiTheme="minorHAnsi" w:hAnsiTheme="minorHAnsi" w:cstheme="minorHAnsi"/>
                <w:color w:val="000000"/>
                <w:sz w:val="16"/>
                <w:szCs w:val="16"/>
              </w:rPr>
              <w:t>From the onset as key hosting institution and partner to implement the activities</w:t>
            </w:r>
          </w:p>
        </w:tc>
        <w:tc>
          <w:tcPr>
            <w:tcW w:w="1870" w:type="dxa"/>
            <w:tcBorders>
              <w:top w:val="nil"/>
              <w:left w:val="single" w:sz="4" w:space="0" w:color="000000" w:themeColor="text1"/>
              <w:bottom w:val="nil"/>
              <w:right w:val="single" w:sz="4" w:space="0" w:color="auto"/>
            </w:tcBorders>
            <w:shd w:val="clear" w:color="auto" w:fill="FFFFFF" w:themeFill="background1"/>
            <w:vAlign w:val="center"/>
          </w:tcPr>
          <w:p w14:paraId="021D7D6B" w14:textId="77777777" w:rsidR="000D7C84" w:rsidRPr="004A3071" w:rsidRDefault="000D7C84" w:rsidP="00481CA4">
            <w:pPr>
              <w:jc w:val="center"/>
              <w:rPr>
                <w:rFonts w:asciiTheme="minorHAnsi" w:hAnsiTheme="minorHAnsi" w:cstheme="minorHAnsi"/>
                <w:color w:val="000000"/>
                <w:sz w:val="16"/>
                <w:szCs w:val="16"/>
              </w:rPr>
            </w:pPr>
            <w:r w:rsidRPr="004A3071">
              <w:rPr>
                <w:rFonts w:asciiTheme="minorHAnsi" w:hAnsiTheme="minorHAnsi" w:cstheme="minorHAnsi"/>
                <w:color w:val="000000"/>
                <w:sz w:val="16"/>
                <w:szCs w:val="16"/>
              </w:rPr>
              <w:t> </w:t>
            </w:r>
          </w:p>
        </w:tc>
      </w:tr>
      <w:tr w:rsidR="000D7C84" w:rsidRPr="004A3071" w14:paraId="4977AA27" w14:textId="77777777" w:rsidTr="002B5FBB">
        <w:trPr>
          <w:cantSplit/>
        </w:trPr>
        <w:tc>
          <w:tcPr>
            <w:tcW w:w="1870" w:type="dxa"/>
            <w:vMerge/>
            <w:tcBorders>
              <w:left w:val="single" w:sz="4" w:space="0" w:color="auto"/>
              <w:bottom w:val="single" w:sz="4" w:space="0" w:color="auto"/>
              <w:right w:val="single" w:sz="4" w:space="0" w:color="auto"/>
            </w:tcBorders>
            <w:vAlign w:val="center"/>
          </w:tcPr>
          <w:p w14:paraId="677894CF" w14:textId="77777777" w:rsidR="000D7C84" w:rsidRPr="004A3071" w:rsidRDefault="000D7C84" w:rsidP="00481CA4">
            <w:pPr>
              <w:rPr>
                <w:rFonts w:asciiTheme="minorHAnsi" w:hAnsiTheme="minorHAnsi" w:cstheme="minorHAnsi"/>
                <w:color w:val="000000"/>
                <w:sz w:val="16"/>
                <w:szCs w:val="16"/>
              </w:rPr>
            </w:pPr>
          </w:p>
        </w:tc>
        <w:tc>
          <w:tcPr>
            <w:tcW w:w="1870" w:type="dxa"/>
            <w:vMerge/>
            <w:tcBorders>
              <w:left w:val="single" w:sz="4" w:space="0" w:color="auto"/>
              <w:bottom w:val="single" w:sz="4" w:space="0" w:color="auto"/>
              <w:right w:val="single" w:sz="4" w:space="0" w:color="auto"/>
            </w:tcBorders>
            <w:vAlign w:val="center"/>
          </w:tcPr>
          <w:p w14:paraId="17F1BD44" w14:textId="18333EBB" w:rsidR="000D7C84" w:rsidRPr="004A3071" w:rsidRDefault="000D7C84" w:rsidP="00481CA4">
            <w:pPr>
              <w:jc w:val="center"/>
              <w:rPr>
                <w:rFonts w:asciiTheme="minorHAnsi" w:hAnsiTheme="minorHAnsi" w:cstheme="minorHAnsi"/>
                <w:color w:val="000000"/>
                <w:sz w:val="16"/>
                <w:szCs w:val="16"/>
              </w:rPr>
            </w:pPr>
          </w:p>
        </w:tc>
        <w:tc>
          <w:tcPr>
            <w:tcW w:w="1870" w:type="dxa"/>
            <w:tcBorders>
              <w:top w:val="nil"/>
              <w:left w:val="single" w:sz="4" w:space="0" w:color="auto"/>
              <w:bottom w:val="nil"/>
              <w:right w:val="single" w:sz="4" w:space="0" w:color="000000" w:themeColor="text1"/>
            </w:tcBorders>
            <w:shd w:val="clear" w:color="auto" w:fill="DDEBF7"/>
            <w:vAlign w:val="center"/>
          </w:tcPr>
          <w:p w14:paraId="2FF69B0B" w14:textId="77777777" w:rsidR="000D7C84" w:rsidRPr="004A3071" w:rsidRDefault="000D7C84" w:rsidP="00481CA4">
            <w:pPr>
              <w:jc w:val="center"/>
              <w:rPr>
                <w:rFonts w:asciiTheme="minorHAnsi" w:hAnsiTheme="minorHAnsi" w:cstheme="minorHAnsi"/>
                <w:b/>
                <w:bCs/>
                <w:color w:val="000000"/>
                <w:sz w:val="16"/>
                <w:szCs w:val="16"/>
              </w:rPr>
            </w:pPr>
            <w:r w:rsidRPr="004A3071">
              <w:rPr>
                <w:rFonts w:asciiTheme="minorHAnsi" w:hAnsiTheme="minorHAnsi" w:cstheme="minorHAnsi"/>
                <w:b/>
                <w:bCs/>
                <w:color w:val="000000"/>
                <w:sz w:val="16"/>
                <w:szCs w:val="16"/>
              </w:rPr>
              <w:t> </w:t>
            </w:r>
          </w:p>
        </w:tc>
        <w:tc>
          <w:tcPr>
            <w:tcW w:w="1870" w:type="dxa"/>
            <w:tcBorders>
              <w:top w:val="nil"/>
              <w:left w:val="single" w:sz="4" w:space="0" w:color="000000" w:themeColor="text1"/>
              <w:bottom w:val="nil"/>
              <w:right w:val="single" w:sz="4" w:space="0" w:color="000000" w:themeColor="text1"/>
            </w:tcBorders>
            <w:shd w:val="clear" w:color="auto" w:fill="FFFFFF" w:themeFill="background1"/>
            <w:vAlign w:val="center"/>
          </w:tcPr>
          <w:p w14:paraId="22A6B776" w14:textId="77777777" w:rsidR="000D7C84" w:rsidRPr="004A3071" w:rsidRDefault="000D7C84" w:rsidP="00481CA4">
            <w:pPr>
              <w:jc w:val="center"/>
              <w:rPr>
                <w:rFonts w:asciiTheme="minorHAnsi" w:hAnsiTheme="minorHAnsi" w:cstheme="minorHAnsi"/>
                <w:color w:val="000000"/>
                <w:sz w:val="16"/>
                <w:szCs w:val="16"/>
              </w:rPr>
            </w:pPr>
            <w:r w:rsidRPr="004A3071">
              <w:rPr>
                <w:rFonts w:asciiTheme="minorHAnsi" w:hAnsiTheme="minorHAnsi" w:cstheme="minorHAnsi"/>
                <w:color w:val="000000"/>
                <w:sz w:val="16"/>
                <w:szCs w:val="16"/>
              </w:rPr>
              <w:t>PGG inception</w:t>
            </w:r>
          </w:p>
        </w:tc>
        <w:tc>
          <w:tcPr>
            <w:tcW w:w="2296" w:type="dxa"/>
            <w:tcBorders>
              <w:top w:val="nil"/>
              <w:left w:val="single" w:sz="4" w:space="0" w:color="000000" w:themeColor="text1"/>
              <w:bottom w:val="nil"/>
              <w:right w:val="single" w:sz="4" w:space="0" w:color="000000" w:themeColor="text1"/>
            </w:tcBorders>
            <w:shd w:val="clear" w:color="auto" w:fill="FFFFFF" w:themeFill="background1"/>
            <w:vAlign w:val="center"/>
          </w:tcPr>
          <w:p w14:paraId="70D8E1C3" w14:textId="77777777" w:rsidR="000D7C84" w:rsidRPr="004A3071" w:rsidRDefault="000D7C84" w:rsidP="00481CA4">
            <w:pPr>
              <w:jc w:val="center"/>
              <w:rPr>
                <w:rFonts w:asciiTheme="minorHAnsi" w:hAnsiTheme="minorHAnsi" w:cstheme="minorHAnsi"/>
                <w:color w:val="000000"/>
                <w:sz w:val="16"/>
                <w:szCs w:val="16"/>
              </w:rPr>
            </w:pPr>
            <w:r w:rsidRPr="004A3071">
              <w:rPr>
                <w:rFonts w:asciiTheme="minorHAnsi" w:hAnsiTheme="minorHAnsi" w:cstheme="minorHAnsi"/>
                <w:color w:val="000000"/>
                <w:sz w:val="16"/>
                <w:szCs w:val="16"/>
              </w:rPr>
              <w:t> </w:t>
            </w:r>
          </w:p>
        </w:tc>
        <w:tc>
          <w:tcPr>
            <w:tcW w:w="1870" w:type="dxa"/>
            <w:tcBorders>
              <w:top w:val="nil"/>
              <w:left w:val="single" w:sz="4" w:space="0" w:color="000000" w:themeColor="text1"/>
              <w:bottom w:val="nil"/>
              <w:right w:val="single" w:sz="4" w:space="0" w:color="000000" w:themeColor="text1"/>
            </w:tcBorders>
            <w:shd w:val="clear" w:color="auto" w:fill="FFFFFF" w:themeFill="background1"/>
            <w:vAlign w:val="center"/>
          </w:tcPr>
          <w:p w14:paraId="4B59E303" w14:textId="77777777" w:rsidR="000D7C84" w:rsidRPr="004A3071" w:rsidRDefault="000D7C84" w:rsidP="00481CA4">
            <w:pPr>
              <w:jc w:val="center"/>
              <w:rPr>
                <w:rFonts w:asciiTheme="minorHAnsi" w:hAnsiTheme="minorHAnsi" w:cstheme="minorHAnsi"/>
                <w:color w:val="000000"/>
                <w:sz w:val="16"/>
                <w:szCs w:val="16"/>
              </w:rPr>
            </w:pPr>
            <w:r w:rsidRPr="004A3071">
              <w:rPr>
                <w:rFonts w:asciiTheme="minorHAnsi" w:hAnsiTheme="minorHAnsi" w:cstheme="minorHAnsi"/>
                <w:color w:val="000000"/>
                <w:sz w:val="16"/>
                <w:szCs w:val="16"/>
              </w:rPr>
              <w:t> </w:t>
            </w:r>
          </w:p>
        </w:tc>
        <w:tc>
          <w:tcPr>
            <w:tcW w:w="1870" w:type="dxa"/>
            <w:tcBorders>
              <w:top w:val="nil"/>
              <w:left w:val="single" w:sz="4" w:space="0" w:color="000000" w:themeColor="text1"/>
              <w:bottom w:val="nil"/>
              <w:right w:val="single" w:sz="4" w:space="0" w:color="auto"/>
            </w:tcBorders>
            <w:shd w:val="clear" w:color="auto" w:fill="FFFFFF" w:themeFill="background1"/>
            <w:vAlign w:val="center"/>
          </w:tcPr>
          <w:p w14:paraId="5266B697" w14:textId="77777777" w:rsidR="000D7C84" w:rsidRPr="004A3071" w:rsidRDefault="000D7C84" w:rsidP="00481CA4">
            <w:pPr>
              <w:jc w:val="center"/>
              <w:rPr>
                <w:rFonts w:asciiTheme="minorHAnsi" w:hAnsiTheme="minorHAnsi" w:cstheme="minorHAnsi"/>
                <w:color w:val="000000"/>
                <w:sz w:val="16"/>
                <w:szCs w:val="16"/>
              </w:rPr>
            </w:pPr>
            <w:r w:rsidRPr="004A3071">
              <w:rPr>
                <w:rFonts w:asciiTheme="minorHAnsi" w:hAnsiTheme="minorHAnsi" w:cstheme="minorHAnsi"/>
                <w:color w:val="000000"/>
                <w:sz w:val="16"/>
                <w:szCs w:val="16"/>
              </w:rPr>
              <w:t> </w:t>
            </w:r>
          </w:p>
        </w:tc>
      </w:tr>
      <w:tr w:rsidR="000D7C84" w:rsidRPr="004A3071" w14:paraId="5B872343" w14:textId="77777777" w:rsidTr="002B5FBB">
        <w:trPr>
          <w:cantSplit/>
        </w:trPr>
        <w:tc>
          <w:tcPr>
            <w:tcW w:w="1870" w:type="dxa"/>
            <w:vMerge/>
            <w:tcBorders>
              <w:left w:val="single" w:sz="4" w:space="0" w:color="auto"/>
              <w:bottom w:val="single" w:sz="4" w:space="0" w:color="auto"/>
              <w:right w:val="single" w:sz="4" w:space="0" w:color="auto"/>
            </w:tcBorders>
            <w:vAlign w:val="center"/>
          </w:tcPr>
          <w:p w14:paraId="0EC77835" w14:textId="77777777" w:rsidR="000D7C84" w:rsidRPr="004A3071" w:rsidRDefault="000D7C84" w:rsidP="00481CA4">
            <w:pPr>
              <w:rPr>
                <w:rFonts w:asciiTheme="minorHAnsi" w:hAnsiTheme="minorHAnsi" w:cstheme="minorHAnsi"/>
                <w:color w:val="000000"/>
                <w:sz w:val="16"/>
                <w:szCs w:val="16"/>
              </w:rPr>
            </w:pPr>
          </w:p>
        </w:tc>
        <w:tc>
          <w:tcPr>
            <w:tcW w:w="1870" w:type="dxa"/>
            <w:vMerge/>
            <w:tcBorders>
              <w:left w:val="single" w:sz="4" w:space="0" w:color="auto"/>
              <w:bottom w:val="single" w:sz="4" w:space="0" w:color="auto"/>
              <w:right w:val="single" w:sz="4" w:space="0" w:color="auto"/>
            </w:tcBorders>
            <w:vAlign w:val="center"/>
          </w:tcPr>
          <w:p w14:paraId="155B3B29" w14:textId="012A25A0" w:rsidR="000D7C84" w:rsidRPr="004A3071" w:rsidRDefault="000D7C84" w:rsidP="00481CA4">
            <w:pPr>
              <w:jc w:val="center"/>
              <w:rPr>
                <w:rFonts w:asciiTheme="minorHAnsi" w:hAnsiTheme="minorHAnsi" w:cstheme="minorHAnsi"/>
                <w:color w:val="000000"/>
                <w:sz w:val="16"/>
                <w:szCs w:val="16"/>
              </w:rPr>
            </w:pPr>
          </w:p>
        </w:tc>
        <w:tc>
          <w:tcPr>
            <w:tcW w:w="1870" w:type="dxa"/>
            <w:tcBorders>
              <w:top w:val="nil"/>
              <w:left w:val="single" w:sz="4" w:space="0" w:color="auto"/>
              <w:bottom w:val="nil"/>
              <w:right w:val="single" w:sz="4" w:space="0" w:color="000000" w:themeColor="text1"/>
            </w:tcBorders>
            <w:shd w:val="clear" w:color="auto" w:fill="DDEBF7"/>
            <w:vAlign w:val="center"/>
          </w:tcPr>
          <w:p w14:paraId="67F94652" w14:textId="77777777" w:rsidR="000D7C84" w:rsidRPr="004A3071" w:rsidRDefault="000D7C84" w:rsidP="00481CA4">
            <w:pPr>
              <w:jc w:val="center"/>
              <w:rPr>
                <w:rFonts w:asciiTheme="minorHAnsi" w:hAnsiTheme="minorHAnsi" w:cstheme="minorHAnsi"/>
                <w:b/>
                <w:bCs/>
                <w:color w:val="000000"/>
                <w:sz w:val="16"/>
                <w:szCs w:val="16"/>
              </w:rPr>
            </w:pPr>
            <w:r w:rsidRPr="004A3071">
              <w:rPr>
                <w:rFonts w:asciiTheme="minorHAnsi" w:hAnsiTheme="minorHAnsi" w:cstheme="minorHAnsi"/>
                <w:b/>
                <w:bCs/>
                <w:color w:val="000000"/>
                <w:sz w:val="16"/>
                <w:szCs w:val="16"/>
              </w:rPr>
              <w:t> </w:t>
            </w:r>
          </w:p>
        </w:tc>
        <w:tc>
          <w:tcPr>
            <w:tcW w:w="1870" w:type="dxa"/>
            <w:tcBorders>
              <w:top w:val="nil"/>
              <w:left w:val="single" w:sz="4" w:space="0" w:color="000000" w:themeColor="text1"/>
              <w:bottom w:val="nil"/>
              <w:right w:val="single" w:sz="4" w:space="0" w:color="000000" w:themeColor="text1"/>
            </w:tcBorders>
            <w:shd w:val="clear" w:color="auto" w:fill="FFFFFF" w:themeFill="background1"/>
            <w:vAlign w:val="center"/>
          </w:tcPr>
          <w:p w14:paraId="610B9AFE" w14:textId="77777777" w:rsidR="000D7C84" w:rsidRPr="004A3071" w:rsidRDefault="000D7C84" w:rsidP="00481CA4">
            <w:pPr>
              <w:jc w:val="center"/>
              <w:rPr>
                <w:rFonts w:asciiTheme="minorHAnsi" w:hAnsiTheme="minorHAnsi" w:cstheme="minorHAnsi"/>
                <w:color w:val="000000"/>
                <w:sz w:val="16"/>
                <w:szCs w:val="16"/>
              </w:rPr>
            </w:pPr>
            <w:r w:rsidRPr="004A3071">
              <w:rPr>
                <w:rFonts w:asciiTheme="minorHAnsi" w:hAnsiTheme="minorHAnsi" w:cstheme="minorHAnsi"/>
                <w:color w:val="000000"/>
                <w:sz w:val="16"/>
                <w:szCs w:val="16"/>
              </w:rPr>
              <w:t>Face-to-face meetings</w:t>
            </w:r>
          </w:p>
        </w:tc>
        <w:tc>
          <w:tcPr>
            <w:tcW w:w="2296" w:type="dxa"/>
            <w:tcBorders>
              <w:top w:val="nil"/>
              <w:left w:val="single" w:sz="4" w:space="0" w:color="000000" w:themeColor="text1"/>
              <w:bottom w:val="nil"/>
              <w:right w:val="single" w:sz="4" w:space="0" w:color="000000" w:themeColor="text1"/>
            </w:tcBorders>
            <w:shd w:val="clear" w:color="auto" w:fill="FFFFFF" w:themeFill="background1"/>
            <w:vAlign w:val="center"/>
          </w:tcPr>
          <w:p w14:paraId="1545EEFF" w14:textId="77777777" w:rsidR="000D7C84" w:rsidRPr="004A3071" w:rsidRDefault="000D7C84" w:rsidP="00481CA4">
            <w:pPr>
              <w:jc w:val="center"/>
              <w:rPr>
                <w:rFonts w:asciiTheme="minorHAnsi" w:hAnsiTheme="minorHAnsi" w:cstheme="minorHAnsi"/>
                <w:color w:val="000000"/>
                <w:sz w:val="16"/>
                <w:szCs w:val="16"/>
              </w:rPr>
            </w:pPr>
            <w:r w:rsidRPr="004A3071">
              <w:rPr>
                <w:rFonts w:asciiTheme="minorHAnsi" w:hAnsiTheme="minorHAnsi" w:cstheme="minorHAnsi"/>
                <w:color w:val="000000"/>
                <w:sz w:val="16"/>
                <w:szCs w:val="16"/>
              </w:rPr>
              <w:t> </w:t>
            </w:r>
          </w:p>
        </w:tc>
        <w:tc>
          <w:tcPr>
            <w:tcW w:w="1870" w:type="dxa"/>
            <w:tcBorders>
              <w:top w:val="nil"/>
              <w:left w:val="single" w:sz="4" w:space="0" w:color="000000" w:themeColor="text1"/>
              <w:bottom w:val="nil"/>
              <w:right w:val="single" w:sz="4" w:space="0" w:color="000000" w:themeColor="text1"/>
            </w:tcBorders>
            <w:shd w:val="clear" w:color="auto" w:fill="FFFFFF" w:themeFill="background1"/>
            <w:vAlign w:val="center"/>
          </w:tcPr>
          <w:p w14:paraId="36EE759E" w14:textId="77777777" w:rsidR="000D7C84" w:rsidRPr="004A3071" w:rsidRDefault="000D7C84" w:rsidP="00481CA4">
            <w:pPr>
              <w:jc w:val="center"/>
              <w:rPr>
                <w:rFonts w:asciiTheme="minorHAnsi" w:hAnsiTheme="minorHAnsi" w:cstheme="minorHAnsi"/>
                <w:color w:val="000000"/>
                <w:sz w:val="16"/>
                <w:szCs w:val="16"/>
              </w:rPr>
            </w:pPr>
            <w:r w:rsidRPr="004A3071">
              <w:rPr>
                <w:rFonts w:asciiTheme="minorHAnsi" w:hAnsiTheme="minorHAnsi" w:cstheme="minorHAnsi"/>
                <w:color w:val="000000"/>
                <w:sz w:val="16"/>
                <w:szCs w:val="16"/>
              </w:rPr>
              <w:t> </w:t>
            </w:r>
          </w:p>
        </w:tc>
        <w:tc>
          <w:tcPr>
            <w:tcW w:w="1870" w:type="dxa"/>
            <w:tcBorders>
              <w:top w:val="nil"/>
              <w:left w:val="single" w:sz="4" w:space="0" w:color="000000" w:themeColor="text1"/>
              <w:bottom w:val="nil"/>
              <w:right w:val="single" w:sz="4" w:space="0" w:color="auto"/>
            </w:tcBorders>
            <w:shd w:val="clear" w:color="auto" w:fill="FFFFFF" w:themeFill="background1"/>
            <w:vAlign w:val="center"/>
          </w:tcPr>
          <w:p w14:paraId="75230516" w14:textId="77777777" w:rsidR="000D7C84" w:rsidRPr="004A3071" w:rsidRDefault="000D7C84" w:rsidP="00481CA4">
            <w:pPr>
              <w:jc w:val="center"/>
              <w:rPr>
                <w:rFonts w:asciiTheme="minorHAnsi" w:hAnsiTheme="minorHAnsi" w:cstheme="minorHAnsi"/>
                <w:color w:val="000000"/>
                <w:sz w:val="16"/>
                <w:szCs w:val="16"/>
              </w:rPr>
            </w:pPr>
            <w:r w:rsidRPr="004A3071">
              <w:rPr>
                <w:rFonts w:asciiTheme="minorHAnsi" w:hAnsiTheme="minorHAnsi" w:cstheme="minorHAnsi"/>
                <w:color w:val="000000"/>
                <w:sz w:val="16"/>
                <w:szCs w:val="16"/>
              </w:rPr>
              <w:t> </w:t>
            </w:r>
          </w:p>
        </w:tc>
      </w:tr>
      <w:tr w:rsidR="000D7C84" w:rsidRPr="004A3071" w14:paraId="686D067E" w14:textId="77777777" w:rsidTr="002B5FBB">
        <w:trPr>
          <w:cantSplit/>
        </w:trPr>
        <w:tc>
          <w:tcPr>
            <w:tcW w:w="1870" w:type="dxa"/>
            <w:vMerge/>
            <w:tcBorders>
              <w:left w:val="single" w:sz="4" w:space="0" w:color="auto"/>
              <w:bottom w:val="single" w:sz="4" w:space="0" w:color="auto"/>
              <w:right w:val="single" w:sz="4" w:space="0" w:color="auto"/>
            </w:tcBorders>
            <w:vAlign w:val="center"/>
          </w:tcPr>
          <w:p w14:paraId="6A60AE5C" w14:textId="77777777" w:rsidR="000D7C84" w:rsidRPr="004A3071" w:rsidRDefault="000D7C84" w:rsidP="00481CA4">
            <w:pPr>
              <w:rPr>
                <w:rFonts w:asciiTheme="minorHAnsi" w:hAnsiTheme="minorHAnsi" w:cstheme="minorHAnsi"/>
                <w:color w:val="000000"/>
                <w:sz w:val="16"/>
                <w:szCs w:val="16"/>
              </w:rPr>
            </w:pPr>
          </w:p>
        </w:tc>
        <w:tc>
          <w:tcPr>
            <w:tcW w:w="1870" w:type="dxa"/>
            <w:vMerge/>
            <w:tcBorders>
              <w:left w:val="single" w:sz="4" w:space="0" w:color="auto"/>
              <w:bottom w:val="single" w:sz="4" w:space="0" w:color="auto"/>
              <w:right w:val="single" w:sz="4" w:space="0" w:color="auto"/>
            </w:tcBorders>
            <w:vAlign w:val="center"/>
          </w:tcPr>
          <w:p w14:paraId="1A0DE447" w14:textId="2440EF19" w:rsidR="000D7C84" w:rsidRPr="004A3071" w:rsidRDefault="000D7C84" w:rsidP="00481CA4">
            <w:pPr>
              <w:jc w:val="center"/>
              <w:rPr>
                <w:rFonts w:asciiTheme="minorHAnsi" w:hAnsiTheme="minorHAnsi" w:cstheme="minorHAnsi"/>
                <w:color w:val="000000"/>
                <w:sz w:val="16"/>
                <w:szCs w:val="16"/>
              </w:rPr>
            </w:pPr>
          </w:p>
        </w:tc>
        <w:tc>
          <w:tcPr>
            <w:tcW w:w="1870" w:type="dxa"/>
            <w:tcBorders>
              <w:top w:val="nil"/>
              <w:left w:val="single" w:sz="4" w:space="0" w:color="auto"/>
              <w:bottom w:val="single" w:sz="4" w:space="0" w:color="auto"/>
              <w:right w:val="single" w:sz="4" w:space="0" w:color="000000" w:themeColor="text1"/>
            </w:tcBorders>
            <w:shd w:val="clear" w:color="auto" w:fill="DDEBF7"/>
            <w:vAlign w:val="center"/>
          </w:tcPr>
          <w:p w14:paraId="21FB3E01" w14:textId="77777777" w:rsidR="000D7C84" w:rsidRPr="004A3071" w:rsidRDefault="000D7C84" w:rsidP="00481CA4">
            <w:pPr>
              <w:jc w:val="center"/>
              <w:rPr>
                <w:rFonts w:asciiTheme="minorHAnsi" w:hAnsiTheme="minorHAnsi" w:cstheme="minorHAnsi"/>
                <w:b/>
                <w:bCs/>
                <w:color w:val="000000"/>
                <w:sz w:val="16"/>
                <w:szCs w:val="16"/>
              </w:rPr>
            </w:pPr>
            <w:r w:rsidRPr="004A3071">
              <w:rPr>
                <w:rFonts w:asciiTheme="minorHAnsi" w:hAnsiTheme="minorHAnsi" w:cstheme="minorHAnsi"/>
                <w:b/>
                <w:bCs/>
                <w:color w:val="000000"/>
                <w:sz w:val="16"/>
                <w:szCs w:val="16"/>
              </w:rPr>
              <w:t> </w:t>
            </w:r>
          </w:p>
        </w:tc>
        <w:tc>
          <w:tcPr>
            <w:tcW w:w="1870" w:type="dxa"/>
            <w:tcBorders>
              <w:top w:val="nil"/>
              <w:left w:val="single" w:sz="4" w:space="0" w:color="000000" w:themeColor="text1"/>
              <w:bottom w:val="single" w:sz="4" w:space="0" w:color="auto"/>
              <w:right w:val="single" w:sz="4" w:space="0" w:color="000000" w:themeColor="text1"/>
            </w:tcBorders>
            <w:shd w:val="clear" w:color="auto" w:fill="FFFFFF" w:themeFill="background1"/>
            <w:vAlign w:val="center"/>
          </w:tcPr>
          <w:p w14:paraId="3E866768" w14:textId="77777777" w:rsidR="000D7C84" w:rsidRPr="004A3071" w:rsidRDefault="000D7C84" w:rsidP="00481CA4">
            <w:pPr>
              <w:jc w:val="center"/>
              <w:rPr>
                <w:rFonts w:asciiTheme="minorHAnsi" w:hAnsiTheme="minorHAnsi" w:cstheme="minorHAnsi"/>
                <w:color w:val="000000"/>
                <w:sz w:val="16"/>
                <w:szCs w:val="16"/>
              </w:rPr>
            </w:pPr>
            <w:r w:rsidRPr="004A3071">
              <w:rPr>
                <w:rFonts w:asciiTheme="minorHAnsi" w:hAnsiTheme="minorHAnsi" w:cstheme="minorHAnsi"/>
                <w:color w:val="000000"/>
                <w:sz w:val="16"/>
                <w:szCs w:val="16"/>
              </w:rPr>
              <w:t>PGG inception and validation workshops</w:t>
            </w:r>
          </w:p>
        </w:tc>
        <w:tc>
          <w:tcPr>
            <w:tcW w:w="2296" w:type="dxa"/>
            <w:tcBorders>
              <w:top w:val="nil"/>
              <w:left w:val="single" w:sz="4" w:space="0" w:color="000000" w:themeColor="text1"/>
              <w:bottom w:val="single" w:sz="4" w:space="0" w:color="auto"/>
              <w:right w:val="single" w:sz="4" w:space="0" w:color="000000" w:themeColor="text1"/>
            </w:tcBorders>
            <w:shd w:val="clear" w:color="auto" w:fill="FFFFFF" w:themeFill="background1"/>
            <w:vAlign w:val="center"/>
          </w:tcPr>
          <w:p w14:paraId="4539DFB7" w14:textId="77777777" w:rsidR="000D7C84" w:rsidRPr="004A3071" w:rsidRDefault="000D7C84" w:rsidP="00481CA4">
            <w:pPr>
              <w:jc w:val="center"/>
              <w:rPr>
                <w:rFonts w:asciiTheme="minorHAnsi" w:hAnsiTheme="minorHAnsi" w:cstheme="minorHAnsi"/>
                <w:color w:val="000000"/>
                <w:sz w:val="16"/>
                <w:szCs w:val="16"/>
              </w:rPr>
            </w:pPr>
            <w:r w:rsidRPr="004A3071">
              <w:rPr>
                <w:rFonts w:asciiTheme="minorHAnsi" w:hAnsiTheme="minorHAnsi" w:cstheme="minorHAnsi"/>
                <w:color w:val="000000"/>
                <w:sz w:val="16"/>
                <w:szCs w:val="16"/>
              </w:rPr>
              <w:t> </w:t>
            </w:r>
          </w:p>
        </w:tc>
        <w:tc>
          <w:tcPr>
            <w:tcW w:w="1870" w:type="dxa"/>
            <w:tcBorders>
              <w:top w:val="nil"/>
              <w:left w:val="single" w:sz="4" w:space="0" w:color="000000" w:themeColor="text1"/>
              <w:bottom w:val="single" w:sz="4" w:space="0" w:color="auto"/>
              <w:right w:val="single" w:sz="4" w:space="0" w:color="000000" w:themeColor="text1"/>
            </w:tcBorders>
            <w:shd w:val="clear" w:color="auto" w:fill="FFFFFF" w:themeFill="background1"/>
            <w:vAlign w:val="center"/>
          </w:tcPr>
          <w:p w14:paraId="58484EA3" w14:textId="77777777" w:rsidR="000D7C84" w:rsidRPr="004A3071" w:rsidRDefault="000D7C84" w:rsidP="00481CA4">
            <w:pPr>
              <w:jc w:val="center"/>
              <w:rPr>
                <w:rFonts w:asciiTheme="minorHAnsi" w:hAnsiTheme="minorHAnsi" w:cstheme="minorHAnsi"/>
                <w:color w:val="000000"/>
                <w:sz w:val="16"/>
                <w:szCs w:val="16"/>
              </w:rPr>
            </w:pPr>
            <w:r w:rsidRPr="004A3071">
              <w:rPr>
                <w:rFonts w:asciiTheme="minorHAnsi" w:hAnsiTheme="minorHAnsi" w:cstheme="minorHAnsi"/>
                <w:color w:val="000000"/>
                <w:sz w:val="16"/>
                <w:szCs w:val="16"/>
              </w:rPr>
              <w:t> </w:t>
            </w:r>
          </w:p>
        </w:tc>
        <w:tc>
          <w:tcPr>
            <w:tcW w:w="1870" w:type="dxa"/>
            <w:tcBorders>
              <w:top w:val="nil"/>
              <w:left w:val="single" w:sz="4" w:space="0" w:color="000000" w:themeColor="text1"/>
              <w:bottom w:val="single" w:sz="4" w:space="0" w:color="auto"/>
              <w:right w:val="single" w:sz="4" w:space="0" w:color="auto"/>
            </w:tcBorders>
            <w:shd w:val="clear" w:color="auto" w:fill="FFFFFF" w:themeFill="background1"/>
            <w:vAlign w:val="center"/>
          </w:tcPr>
          <w:p w14:paraId="68FDB747" w14:textId="77777777" w:rsidR="000D7C84" w:rsidRPr="004A3071" w:rsidRDefault="000D7C84" w:rsidP="00481CA4">
            <w:pPr>
              <w:jc w:val="center"/>
              <w:rPr>
                <w:rFonts w:asciiTheme="minorHAnsi" w:hAnsiTheme="minorHAnsi" w:cstheme="minorHAnsi"/>
                <w:color w:val="000000"/>
                <w:sz w:val="16"/>
                <w:szCs w:val="16"/>
              </w:rPr>
            </w:pPr>
            <w:r w:rsidRPr="004A3071">
              <w:rPr>
                <w:rFonts w:asciiTheme="minorHAnsi" w:hAnsiTheme="minorHAnsi" w:cstheme="minorHAnsi"/>
                <w:color w:val="000000"/>
                <w:sz w:val="16"/>
                <w:szCs w:val="16"/>
              </w:rPr>
              <w:t> </w:t>
            </w:r>
          </w:p>
        </w:tc>
      </w:tr>
      <w:tr w:rsidR="000D7C84" w:rsidRPr="004A3071" w14:paraId="06B32807" w14:textId="77777777" w:rsidTr="002B5FBB">
        <w:trPr>
          <w:cantSplit/>
        </w:trPr>
        <w:tc>
          <w:tcPr>
            <w:tcW w:w="1870" w:type="dxa"/>
            <w:vMerge w:val="restart"/>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99EF899" w14:textId="77777777" w:rsidR="000D7C84" w:rsidRPr="004A3071" w:rsidRDefault="000D7C84" w:rsidP="00481CA4">
            <w:pPr>
              <w:rPr>
                <w:rFonts w:asciiTheme="minorHAnsi" w:hAnsiTheme="minorHAnsi" w:cstheme="minorHAnsi"/>
                <w:color w:val="000000"/>
                <w:sz w:val="16"/>
                <w:szCs w:val="16"/>
              </w:rPr>
            </w:pPr>
            <w:r w:rsidRPr="004A3071">
              <w:rPr>
                <w:rFonts w:asciiTheme="minorHAnsi" w:hAnsiTheme="minorHAnsi" w:cstheme="minorHAnsi"/>
                <w:sz w:val="16"/>
                <w:szCs w:val="16"/>
              </w:rPr>
              <w:t>Minister of Water and Energy (MINEA)</w:t>
            </w:r>
          </w:p>
          <w:p w14:paraId="22B3E3D8" w14:textId="77777777" w:rsidR="000D7C84" w:rsidRPr="004A3071" w:rsidRDefault="000D7C84" w:rsidP="00481CA4">
            <w:pPr>
              <w:rPr>
                <w:rFonts w:asciiTheme="minorHAnsi" w:hAnsiTheme="minorHAnsi" w:cstheme="minorHAnsi"/>
                <w:color w:val="000000"/>
                <w:sz w:val="16"/>
                <w:szCs w:val="16"/>
              </w:rPr>
            </w:pPr>
            <w:r w:rsidRPr="004A3071">
              <w:rPr>
                <w:rFonts w:asciiTheme="minorHAnsi" w:hAnsiTheme="minorHAnsi" w:cstheme="minorHAnsi"/>
                <w:color w:val="000000"/>
                <w:sz w:val="16"/>
                <w:szCs w:val="16"/>
              </w:rPr>
              <w:t> </w:t>
            </w:r>
          </w:p>
        </w:tc>
        <w:tc>
          <w:tcPr>
            <w:tcW w:w="1870" w:type="dxa"/>
            <w:vMerge w:val="restart"/>
            <w:tcBorders>
              <w:top w:val="single" w:sz="4" w:space="0" w:color="auto"/>
              <w:left w:val="single" w:sz="4" w:space="0" w:color="auto"/>
              <w:right w:val="single" w:sz="4" w:space="0" w:color="auto"/>
            </w:tcBorders>
            <w:shd w:val="clear" w:color="auto" w:fill="FFFFFF" w:themeFill="background1"/>
            <w:vAlign w:val="center"/>
          </w:tcPr>
          <w:p w14:paraId="32FC5778" w14:textId="77777777" w:rsidR="000D7C84" w:rsidRPr="004A3071" w:rsidRDefault="000D7C84" w:rsidP="00481CA4">
            <w:pPr>
              <w:jc w:val="center"/>
              <w:rPr>
                <w:rFonts w:asciiTheme="minorHAnsi" w:hAnsiTheme="minorHAnsi" w:cstheme="minorHAnsi"/>
                <w:color w:val="000000"/>
                <w:sz w:val="16"/>
                <w:szCs w:val="16"/>
              </w:rPr>
            </w:pPr>
            <w:r w:rsidRPr="004A3071">
              <w:rPr>
                <w:rFonts w:asciiTheme="minorHAnsi" w:hAnsiTheme="minorHAnsi" w:cstheme="minorHAnsi"/>
                <w:color w:val="000000"/>
                <w:sz w:val="16"/>
                <w:szCs w:val="16"/>
              </w:rPr>
              <w:t>indirect Beneficiary</w:t>
            </w:r>
          </w:p>
          <w:p w14:paraId="6A389C46" w14:textId="15B45A55" w:rsidR="000D7C84" w:rsidRPr="004A3071" w:rsidRDefault="000D7C84" w:rsidP="00481CA4">
            <w:pPr>
              <w:jc w:val="center"/>
              <w:rPr>
                <w:rFonts w:asciiTheme="minorHAnsi" w:hAnsiTheme="minorHAnsi" w:cstheme="minorHAnsi"/>
                <w:color w:val="000000"/>
                <w:sz w:val="16"/>
                <w:szCs w:val="16"/>
              </w:rPr>
            </w:pPr>
            <w:r w:rsidRPr="004A3071">
              <w:rPr>
                <w:rFonts w:asciiTheme="minorHAnsi" w:hAnsiTheme="minorHAnsi" w:cstheme="minorHAnsi"/>
                <w:color w:val="000000"/>
                <w:sz w:val="16"/>
                <w:szCs w:val="16"/>
              </w:rPr>
              <w:t> </w:t>
            </w:r>
          </w:p>
        </w:tc>
        <w:tc>
          <w:tcPr>
            <w:tcW w:w="1870" w:type="dxa"/>
            <w:tcBorders>
              <w:top w:val="nil"/>
              <w:left w:val="single" w:sz="4" w:space="0" w:color="auto"/>
              <w:bottom w:val="nil"/>
              <w:right w:val="single" w:sz="4" w:space="0" w:color="000000" w:themeColor="text1"/>
            </w:tcBorders>
            <w:shd w:val="clear" w:color="auto" w:fill="DDEBF7"/>
            <w:vAlign w:val="center"/>
          </w:tcPr>
          <w:p w14:paraId="18D01C39" w14:textId="77777777" w:rsidR="000D7C84" w:rsidRPr="004A3071" w:rsidRDefault="000D7C84" w:rsidP="00481CA4">
            <w:pPr>
              <w:jc w:val="center"/>
              <w:rPr>
                <w:rFonts w:asciiTheme="minorHAnsi" w:hAnsiTheme="minorHAnsi" w:cstheme="minorHAnsi"/>
                <w:b/>
                <w:bCs/>
                <w:color w:val="000000"/>
                <w:sz w:val="16"/>
                <w:szCs w:val="16"/>
              </w:rPr>
            </w:pPr>
            <w:r w:rsidRPr="004A3071">
              <w:rPr>
                <w:rFonts w:asciiTheme="minorHAnsi" w:hAnsiTheme="minorHAnsi" w:cstheme="minorHAnsi"/>
                <w:b/>
                <w:bCs/>
                <w:color w:val="000000"/>
                <w:sz w:val="16"/>
                <w:szCs w:val="16"/>
              </w:rPr>
              <w:t>National Government Institution body</w:t>
            </w:r>
          </w:p>
        </w:tc>
        <w:tc>
          <w:tcPr>
            <w:tcW w:w="1870" w:type="dxa"/>
            <w:tcBorders>
              <w:top w:val="nil"/>
              <w:left w:val="single" w:sz="4" w:space="0" w:color="000000" w:themeColor="text1"/>
              <w:bottom w:val="nil"/>
              <w:right w:val="single" w:sz="4" w:space="0" w:color="000000" w:themeColor="text1"/>
            </w:tcBorders>
            <w:shd w:val="clear" w:color="auto" w:fill="FFFFFF" w:themeFill="background1"/>
            <w:vAlign w:val="center"/>
          </w:tcPr>
          <w:p w14:paraId="02D774AD" w14:textId="77777777" w:rsidR="000D7C84" w:rsidRPr="004A3071" w:rsidRDefault="000D7C84" w:rsidP="00481CA4">
            <w:pPr>
              <w:jc w:val="center"/>
              <w:rPr>
                <w:rFonts w:asciiTheme="minorHAnsi" w:hAnsiTheme="minorHAnsi" w:cstheme="minorHAnsi"/>
                <w:color w:val="000000"/>
                <w:sz w:val="16"/>
                <w:szCs w:val="16"/>
              </w:rPr>
            </w:pPr>
            <w:r w:rsidRPr="004A3071">
              <w:rPr>
                <w:rFonts w:asciiTheme="minorHAnsi" w:hAnsiTheme="minorHAnsi" w:cstheme="minorHAnsi"/>
                <w:color w:val="000000"/>
                <w:sz w:val="16"/>
                <w:szCs w:val="16"/>
              </w:rPr>
              <w:t>Face-to-face meetings</w:t>
            </w:r>
          </w:p>
        </w:tc>
        <w:tc>
          <w:tcPr>
            <w:tcW w:w="2296" w:type="dxa"/>
            <w:tcBorders>
              <w:top w:val="nil"/>
              <w:left w:val="single" w:sz="4" w:space="0" w:color="000000" w:themeColor="text1"/>
              <w:bottom w:val="nil"/>
              <w:right w:val="single" w:sz="4" w:space="0" w:color="000000" w:themeColor="text1"/>
            </w:tcBorders>
            <w:shd w:val="clear" w:color="auto" w:fill="FFFFFF" w:themeFill="background1"/>
            <w:vAlign w:val="center"/>
          </w:tcPr>
          <w:p w14:paraId="1EA3CCA5" w14:textId="77777777" w:rsidR="000D7C84" w:rsidRPr="004A3071" w:rsidRDefault="000D7C84" w:rsidP="00481CA4">
            <w:pPr>
              <w:jc w:val="center"/>
              <w:rPr>
                <w:rFonts w:asciiTheme="minorHAnsi" w:hAnsiTheme="minorHAnsi" w:cstheme="minorHAnsi"/>
                <w:color w:val="000000"/>
                <w:sz w:val="16"/>
                <w:szCs w:val="16"/>
              </w:rPr>
            </w:pPr>
            <w:r w:rsidRPr="004A3071">
              <w:rPr>
                <w:rFonts w:asciiTheme="minorHAnsi" w:hAnsiTheme="minorHAnsi" w:cstheme="minorHAnsi"/>
                <w:sz w:val="16"/>
                <w:szCs w:val="16"/>
              </w:rPr>
              <w:t>The INRH under the MINEA is building several water infrastructure in project's sites</w:t>
            </w:r>
          </w:p>
        </w:tc>
        <w:tc>
          <w:tcPr>
            <w:tcW w:w="1870" w:type="dxa"/>
            <w:tcBorders>
              <w:top w:val="nil"/>
              <w:left w:val="single" w:sz="4" w:space="0" w:color="000000" w:themeColor="text1"/>
              <w:bottom w:val="nil"/>
              <w:right w:val="single" w:sz="4" w:space="0" w:color="000000" w:themeColor="text1"/>
            </w:tcBorders>
            <w:shd w:val="clear" w:color="auto" w:fill="FFFFFF" w:themeFill="background1"/>
            <w:vAlign w:val="center"/>
          </w:tcPr>
          <w:p w14:paraId="0CEE877A" w14:textId="77777777" w:rsidR="000D7C84" w:rsidRPr="004A3071" w:rsidRDefault="000D7C84" w:rsidP="00481CA4">
            <w:pPr>
              <w:jc w:val="center"/>
              <w:rPr>
                <w:rFonts w:asciiTheme="minorHAnsi" w:hAnsiTheme="minorHAnsi" w:cstheme="minorHAnsi"/>
                <w:color w:val="000000"/>
                <w:sz w:val="16"/>
                <w:szCs w:val="16"/>
              </w:rPr>
            </w:pPr>
            <w:r w:rsidRPr="004A3071">
              <w:rPr>
                <w:rFonts w:asciiTheme="minorHAnsi" w:hAnsiTheme="minorHAnsi" w:cstheme="minorHAnsi"/>
                <w:color w:val="000000"/>
                <w:sz w:val="16"/>
                <w:szCs w:val="16"/>
              </w:rPr>
              <w:t>During the implementation phase</w:t>
            </w:r>
          </w:p>
        </w:tc>
        <w:tc>
          <w:tcPr>
            <w:tcW w:w="1870" w:type="dxa"/>
            <w:tcBorders>
              <w:top w:val="nil"/>
              <w:left w:val="single" w:sz="4" w:space="0" w:color="000000" w:themeColor="text1"/>
              <w:bottom w:val="nil"/>
              <w:right w:val="single" w:sz="4" w:space="0" w:color="auto"/>
            </w:tcBorders>
            <w:shd w:val="clear" w:color="auto" w:fill="FFFFFF" w:themeFill="background1"/>
            <w:vAlign w:val="center"/>
          </w:tcPr>
          <w:p w14:paraId="35CFF9E9" w14:textId="77777777" w:rsidR="000D7C84" w:rsidRPr="004A3071" w:rsidRDefault="000D7C84" w:rsidP="00481CA4">
            <w:pPr>
              <w:jc w:val="center"/>
              <w:rPr>
                <w:rFonts w:asciiTheme="minorHAnsi" w:hAnsiTheme="minorHAnsi" w:cstheme="minorHAnsi"/>
                <w:color w:val="000000"/>
                <w:sz w:val="16"/>
                <w:szCs w:val="16"/>
              </w:rPr>
            </w:pPr>
            <w:r w:rsidRPr="004A3071">
              <w:rPr>
                <w:rFonts w:asciiTheme="minorHAnsi" w:hAnsiTheme="minorHAnsi" w:cstheme="minorHAnsi"/>
                <w:color w:val="000000"/>
                <w:sz w:val="16"/>
                <w:szCs w:val="16"/>
              </w:rPr>
              <w:t> </w:t>
            </w:r>
          </w:p>
        </w:tc>
      </w:tr>
      <w:tr w:rsidR="000D7C84" w:rsidRPr="004A3071" w14:paraId="30D16484" w14:textId="77777777" w:rsidTr="002B5FBB">
        <w:trPr>
          <w:cantSplit/>
        </w:trPr>
        <w:tc>
          <w:tcPr>
            <w:tcW w:w="1870" w:type="dxa"/>
            <w:vMerge/>
            <w:tcBorders>
              <w:bottom w:val="single" w:sz="4" w:space="0" w:color="auto"/>
            </w:tcBorders>
            <w:vAlign w:val="center"/>
          </w:tcPr>
          <w:p w14:paraId="221359DB" w14:textId="77777777" w:rsidR="000D7C84" w:rsidRPr="004A3071" w:rsidRDefault="000D7C84" w:rsidP="00481CA4">
            <w:pPr>
              <w:rPr>
                <w:rFonts w:asciiTheme="minorHAnsi" w:hAnsiTheme="minorHAnsi" w:cstheme="minorHAnsi"/>
                <w:color w:val="000000"/>
                <w:sz w:val="16"/>
                <w:szCs w:val="16"/>
              </w:rPr>
            </w:pPr>
          </w:p>
        </w:tc>
        <w:tc>
          <w:tcPr>
            <w:tcW w:w="1870" w:type="dxa"/>
            <w:vMerge/>
            <w:tcBorders>
              <w:bottom w:val="single" w:sz="4" w:space="0" w:color="auto"/>
            </w:tcBorders>
            <w:vAlign w:val="center"/>
          </w:tcPr>
          <w:p w14:paraId="5B6ADAB5" w14:textId="720D0437" w:rsidR="000D7C84" w:rsidRPr="004A3071" w:rsidRDefault="000D7C84" w:rsidP="00481CA4">
            <w:pPr>
              <w:jc w:val="center"/>
              <w:rPr>
                <w:rFonts w:asciiTheme="minorHAnsi" w:hAnsiTheme="minorHAnsi" w:cstheme="minorHAnsi"/>
                <w:color w:val="000000"/>
                <w:sz w:val="16"/>
                <w:szCs w:val="16"/>
              </w:rPr>
            </w:pPr>
          </w:p>
        </w:tc>
        <w:tc>
          <w:tcPr>
            <w:tcW w:w="1870" w:type="dxa"/>
            <w:tcBorders>
              <w:top w:val="nil"/>
              <w:left w:val="single" w:sz="4" w:space="0" w:color="auto"/>
              <w:bottom w:val="single" w:sz="4" w:space="0" w:color="auto"/>
              <w:right w:val="single" w:sz="4" w:space="0" w:color="000000" w:themeColor="text1"/>
            </w:tcBorders>
            <w:shd w:val="clear" w:color="auto" w:fill="DDEBF7"/>
            <w:vAlign w:val="center"/>
          </w:tcPr>
          <w:p w14:paraId="2D553BC7" w14:textId="77777777" w:rsidR="000D7C84" w:rsidRPr="004A3071" w:rsidRDefault="000D7C84" w:rsidP="00481CA4">
            <w:pPr>
              <w:jc w:val="center"/>
              <w:rPr>
                <w:rFonts w:asciiTheme="minorHAnsi" w:hAnsiTheme="minorHAnsi" w:cstheme="minorHAnsi"/>
                <w:b/>
                <w:bCs/>
                <w:color w:val="000000"/>
                <w:sz w:val="16"/>
                <w:szCs w:val="16"/>
              </w:rPr>
            </w:pPr>
            <w:r w:rsidRPr="004A3071">
              <w:rPr>
                <w:rFonts w:asciiTheme="minorHAnsi" w:hAnsiTheme="minorHAnsi" w:cstheme="minorHAnsi"/>
                <w:b/>
                <w:bCs/>
                <w:color w:val="000000"/>
                <w:sz w:val="16"/>
                <w:szCs w:val="16"/>
              </w:rPr>
              <w:t> </w:t>
            </w:r>
          </w:p>
        </w:tc>
        <w:tc>
          <w:tcPr>
            <w:tcW w:w="1870" w:type="dxa"/>
            <w:tcBorders>
              <w:top w:val="nil"/>
              <w:left w:val="single" w:sz="4" w:space="0" w:color="000000" w:themeColor="text1"/>
              <w:bottom w:val="single" w:sz="4" w:space="0" w:color="auto"/>
              <w:right w:val="single" w:sz="4" w:space="0" w:color="000000" w:themeColor="text1"/>
            </w:tcBorders>
            <w:shd w:val="clear" w:color="auto" w:fill="FFFFFF" w:themeFill="background1"/>
            <w:vAlign w:val="center"/>
          </w:tcPr>
          <w:p w14:paraId="39E31BF5" w14:textId="77777777" w:rsidR="000D7C84" w:rsidRPr="004A3071" w:rsidRDefault="000D7C84" w:rsidP="00481CA4">
            <w:pPr>
              <w:jc w:val="center"/>
              <w:rPr>
                <w:rFonts w:asciiTheme="minorHAnsi" w:hAnsiTheme="minorHAnsi" w:cstheme="minorHAnsi"/>
                <w:color w:val="000000"/>
                <w:sz w:val="16"/>
                <w:szCs w:val="16"/>
              </w:rPr>
            </w:pPr>
            <w:r w:rsidRPr="004A3071">
              <w:rPr>
                <w:rFonts w:asciiTheme="minorHAnsi" w:hAnsiTheme="minorHAnsi" w:cstheme="minorHAnsi"/>
                <w:color w:val="000000"/>
                <w:sz w:val="16"/>
                <w:szCs w:val="16"/>
              </w:rPr>
              <w:t>PGG inception</w:t>
            </w:r>
          </w:p>
        </w:tc>
        <w:tc>
          <w:tcPr>
            <w:tcW w:w="2296" w:type="dxa"/>
            <w:tcBorders>
              <w:top w:val="nil"/>
              <w:left w:val="single" w:sz="4" w:space="0" w:color="000000" w:themeColor="text1"/>
              <w:bottom w:val="single" w:sz="4" w:space="0" w:color="auto"/>
              <w:right w:val="single" w:sz="4" w:space="0" w:color="000000" w:themeColor="text1"/>
            </w:tcBorders>
            <w:shd w:val="clear" w:color="auto" w:fill="FFFFFF" w:themeFill="background1"/>
            <w:vAlign w:val="center"/>
          </w:tcPr>
          <w:p w14:paraId="58B4579A" w14:textId="77777777" w:rsidR="000D7C84" w:rsidRPr="004A3071" w:rsidRDefault="000D7C84" w:rsidP="00481CA4">
            <w:pPr>
              <w:jc w:val="center"/>
              <w:rPr>
                <w:rFonts w:asciiTheme="minorHAnsi" w:hAnsiTheme="minorHAnsi" w:cstheme="minorHAnsi"/>
                <w:color w:val="000000"/>
                <w:sz w:val="16"/>
                <w:szCs w:val="16"/>
              </w:rPr>
            </w:pPr>
            <w:r w:rsidRPr="004A3071">
              <w:rPr>
                <w:rFonts w:asciiTheme="minorHAnsi" w:hAnsiTheme="minorHAnsi" w:cstheme="minorHAnsi"/>
                <w:color w:val="000000"/>
                <w:sz w:val="16"/>
                <w:szCs w:val="16"/>
              </w:rPr>
              <w:t> </w:t>
            </w:r>
          </w:p>
        </w:tc>
        <w:tc>
          <w:tcPr>
            <w:tcW w:w="1870" w:type="dxa"/>
            <w:tcBorders>
              <w:top w:val="nil"/>
              <w:left w:val="single" w:sz="4" w:space="0" w:color="000000" w:themeColor="text1"/>
              <w:bottom w:val="single" w:sz="4" w:space="0" w:color="auto"/>
              <w:right w:val="single" w:sz="4" w:space="0" w:color="000000" w:themeColor="text1"/>
            </w:tcBorders>
            <w:shd w:val="clear" w:color="auto" w:fill="FFFFFF" w:themeFill="background1"/>
            <w:vAlign w:val="center"/>
          </w:tcPr>
          <w:p w14:paraId="1991815E" w14:textId="77777777" w:rsidR="000D7C84" w:rsidRPr="004A3071" w:rsidRDefault="000D7C84" w:rsidP="00481CA4">
            <w:pPr>
              <w:jc w:val="center"/>
              <w:rPr>
                <w:rFonts w:asciiTheme="minorHAnsi" w:hAnsiTheme="minorHAnsi" w:cstheme="minorHAnsi"/>
                <w:color w:val="000000"/>
                <w:sz w:val="16"/>
                <w:szCs w:val="16"/>
              </w:rPr>
            </w:pPr>
            <w:r w:rsidRPr="004A3071">
              <w:rPr>
                <w:rFonts w:asciiTheme="minorHAnsi" w:hAnsiTheme="minorHAnsi" w:cstheme="minorHAnsi"/>
                <w:color w:val="000000"/>
                <w:sz w:val="16"/>
                <w:szCs w:val="16"/>
              </w:rPr>
              <w:t> </w:t>
            </w:r>
          </w:p>
        </w:tc>
        <w:tc>
          <w:tcPr>
            <w:tcW w:w="1870" w:type="dxa"/>
            <w:tcBorders>
              <w:top w:val="nil"/>
              <w:left w:val="single" w:sz="4" w:space="0" w:color="000000" w:themeColor="text1"/>
              <w:bottom w:val="single" w:sz="4" w:space="0" w:color="auto"/>
              <w:right w:val="single" w:sz="4" w:space="0" w:color="auto"/>
            </w:tcBorders>
            <w:shd w:val="clear" w:color="auto" w:fill="FFFFFF" w:themeFill="background1"/>
            <w:vAlign w:val="center"/>
          </w:tcPr>
          <w:p w14:paraId="7E1CC57E" w14:textId="77777777" w:rsidR="000D7C84" w:rsidRPr="004A3071" w:rsidRDefault="000D7C84" w:rsidP="00481CA4">
            <w:pPr>
              <w:jc w:val="center"/>
              <w:rPr>
                <w:rFonts w:asciiTheme="minorHAnsi" w:hAnsiTheme="minorHAnsi" w:cstheme="minorHAnsi"/>
                <w:color w:val="000000"/>
                <w:sz w:val="16"/>
                <w:szCs w:val="16"/>
              </w:rPr>
            </w:pPr>
            <w:r w:rsidRPr="004A3071">
              <w:rPr>
                <w:rFonts w:asciiTheme="minorHAnsi" w:hAnsiTheme="minorHAnsi" w:cstheme="minorHAnsi"/>
                <w:color w:val="000000"/>
                <w:sz w:val="16"/>
                <w:szCs w:val="16"/>
              </w:rPr>
              <w:t> </w:t>
            </w:r>
          </w:p>
        </w:tc>
      </w:tr>
      <w:tr w:rsidR="001E042F" w:rsidRPr="004A3071" w14:paraId="689022A3" w14:textId="77777777" w:rsidTr="002B5FBB">
        <w:trPr>
          <w:cantSplit/>
        </w:trPr>
        <w:tc>
          <w:tcPr>
            <w:tcW w:w="1870" w:type="dxa"/>
            <w:vMerge w:val="restart"/>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C09EB99" w14:textId="77777777" w:rsidR="001E042F" w:rsidRPr="004A3071" w:rsidRDefault="001E042F" w:rsidP="00481CA4">
            <w:pPr>
              <w:rPr>
                <w:rFonts w:asciiTheme="minorHAnsi" w:hAnsiTheme="minorHAnsi" w:cstheme="minorHAnsi"/>
                <w:color w:val="000000"/>
                <w:sz w:val="16"/>
                <w:szCs w:val="16"/>
              </w:rPr>
            </w:pPr>
            <w:r w:rsidRPr="004A3071">
              <w:rPr>
                <w:rFonts w:asciiTheme="minorHAnsi" w:hAnsiTheme="minorHAnsi" w:cstheme="minorHAnsi"/>
                <w:color w:val="000000"/>
                <w:sz w:val="16"/>
                <w:szCs w:val="16"/>
              </w:rPr>
              <w:lastRenderedPageBreak/>
              <w:t>Office for Administration of watersheds of Cunene, Cuvelai and Cubango (GABHIC), under the Ministry of Energy and Water (MINEA)</w:t>
            </w:r>
          </w:p>
          <w:p w14:paraId="53A05001" w14:textId="77777777" w:rsidR="001E042F" w:rsidRPr="004A3071" w:rsidRDefault="001E042F" w:rsidP="00481CA4">
            <w:pPr>
              <w:rPr>
                <w:rFonts w:asciiTheme="minorHAnsi" w:hAnsiTheme="minorHAnsi" w:cstheme="minorHAnsi"/>
                <w:color w:val="000000"/>
                <w:sz w:val="16"/>
                <w:szCs w:val="16"/>
              </w:rPr>
            </w:pPr>
            <w:r w:rsidRPr="004A3071">
              <w:rPr>
                <w:rFonts w:asciiTheme="minorHAnsi" w:hAnsiTheme="minorHAnsi" w:cstheme="minorHAnsi"/>
                <w:color w:val="000000"/>
                <w:sz w:val="16"/>
                <w:szCs w:val="16"/>
              </w:rPr>
              <w:t> </w:t>
            </w:r>
          </w:p>
          <w:p w14:paraId="482A2748" w14:textId="77777777" w:rsidR="001E042F" w:rsidRPr="004A3071" w:rsidRDefault="001E042F" w:rsidP="00481CA4">
            <w:pPr>
              <w:rPr>
                <w:rFonts w:asciiTheme="minorHAnsi" w:hAnsiTheme="minorHAnsi" w:cstheme="minorHAnsi"/>
                <w:color w:val="000000"/>
                <w:sz w:val="16"/>
                <w:szCs w:val="16"/>
              </w:rPr>
            </w:pPr>
            <w:r w:rsidRPr="004A3071">
              <w:rPr>
                <w:rFonts w:asciiTheme="minorHAnsi" w:hAnsiTheme="minorHAnsi" w:cstheme="minorHAnsi"/>
                <w:color w:val="000000"/>
                <w:sz w:val="16"/>
                <w:szCs w:val="16"/>
              </w:rPr>
              <w:t> </w:t>
            </w:r>
          </w:p>
          <w:p w14:paraId="1431C4BC" w14:textId="77777777" w:rsidR="001E042F" w:rsidRPr="004A3071" w:rsidRDefault="001E042F" w:rsidP="00481CA4">
            <w:pPr>
              <w:rPr>
                <w:rFonts w:asciiTheme="minorHAnsi" w:hAnsiTheme="minorHAnsi" w:cstheme="minorHAnsi"/>
                <w:color w:val="000000"/>
                <w:sz w:val="16"/>
                <w:szCs w:val="16"/>
              </w:rPr>
            </w:pPr>
            <w:r w:rsidRPr="004A3071">
              <w:rPr>
                <w:rFonts w:asciiTheme="minorHAnsi" w:hAnsiTheme="minorHAnsi" w:cstheme="minorHAnsi"/>
                <w:color w:val="000000"/>
                <w:sz w:val="16"/>
                <w:szCs w:val="16"/>
              </w:rPr>
              <w:t> </w:t>
            </w:r>
          </w:p>
        </w:tc>
        <w:tc>
          <w:tcPr>
            <w:tcW w:w="1870" w:type="dxa"/>
            <w:vMerge w:val="restart"/>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CEB5F00" w14:textId="77777777" w:rsidR="001E042F" w:rsidRPr="004A3071" w:rsidRDefault="001E042F" w:rsidP="00481CA4">
            <w:pPr>
              <w:jc w:val="center"/>
              <w:rPr>
                <w:rFonts w:asciiTheme="minorHAnsi" w:hAnsiTheme="minorHAnsi" w:cstheme="minorHAnsi"/>
                <w:color w:val="000000"/>
                <w:sz w:val="16"/>
                <w:szCs w:val="16"/>
              </w:rPr>
            </w:pPr>
            <w:r w:rsidRPr="004A3071">
              <w:rPr>
                <w:rFonts w:asciiTheme="minorHAnsi" w:hAnsiTheme="minorHAnsi" w:cstheme="minorHAnsi"/>
                <w:color w:val="000000"/>
                <w:sz w:val="16"/>
                <w:szCs w:val="16"/>
              </w:rPr>
              <w:t>Direct Beneficiary</w:t>
            </w:r>
          </w:p>
          <w:p w14:paraId="1CA8847B" w14:textId="77777777" w:rsidR="001E042F" w:rsidRPr="004A3071" w:rsidRDefault="001E042F" w:rsidP="00481CA4">
            <w:pPr>
              <w:jc w:val="center"/>
              <w:rPr>
                <w:rFonts w:asciiTheme="minorHAnsi" w:hAnsiTheme="minorHAnsi" w:cstheme="minorHAnsi"/>
                <w:color w:val="000000"/>
                <w:sz w:val="16"/>
                <w:szCs w:val="16"/>
              </w:rPr>
            </w:pPr>
            <w:r w:rsidRPr="004A3071">
              <w:rPr>
                <w:rFonts w:asciiTheme="minorHAnsi" w:hAnsiTheme="minorHAnsi" w:cstheme="minorHAnsi"/>
                <w:color w:val="000000"/>
                <w:sz w:val="16"/>
                <w:szCs w:val="16"/>
              </w:rPr>
              <w:t> </w:t>
            </w:r>
          </w:p>
          <w:p w14:paraId="54551006" w14:textId="07EF115E" w:rsidR="001E042F" w:rsidRPr="004A3071" w:rsidRDefault="001E042F" w:rsidP="00481CA4">
            <w:pPr>
              <w:jc w:val="center"/>
              <w:rPr>
                <w:rFonts w:asciiTheme="minorHAnsi" w:hAnsiTheme="minorHAnsi" w:cstheme="minorHAnsi"/>
                <w:color w:val="000000"/>
                <w:sz w:val="16"/>
                <w:szCs w:val="16"/>
              </w:rPr>
            </w:pPr>
            <w:r w:rsidRPr="004A3071">
              <w:rPr>
                <w:rFonts w:asciiTheme="minorHAnsi" w:hAnsiTheme="minorHAnsi" w:cstheme="minorHAnsi"/>
                <w:color w:val="000000"/>
                <w:sz w:val="16"/>
                <w:szCs w:val="16"/>
              </w:rPr>
              <w:t> </w:t>
            </w:r>
          </w:p>
        </w:tc>
        <w:tc>
          <w:tcPr>
            <w:tcW w:w="1870" w:type="dxa"/>
            <w:vMerge w:val="restart"/>
            <w:tcBorders>
              <w:top w:val="nil"/>
              <w:left w:val="single" w:sz="4" w:space="0" w:color="auto"/>
              <w:right w:val="single" w:sz="4" w:space="0" w:color="000000" w:themeColor="text1"/>
            </w:tcBorders>
            <w:shd w:val="clear" w:color="auto" w:fill="DDEBF7"/>
            <w:vAlign w:val="center"/>
          </w:tcPr>
          <w:p w14:paraId="36C5AD5D" w14:textId="77777777" w:rsidR="001E042F" w:rsidRPr="004A3071" w:rsidRDefault="001E042F" w:rsidP="00481CA4">
            <w:pPr>
              <w:jc w:val="center"/>
              <w:rPr>
                <w:rFonts w:asciiTheme="minorHAnsi" w:hAnsiTheme="minorHAnsi" w:cstheme="minorHAnsi"/>
                <w:b/>
                <w:bCs/>
                <w:color w:val="000000"/>
                <w:sz w:val="16"/>
                <w:szCs w:val="16"/>
              </w:rPr>
            </w:pPr>
            <w:r w:rsidRPr="004A3071">
              <w:rPr>
                <w:rFonts w:asciiTheme="minorHAnsi" w:hAnsiTheme="minorHAnsi" w:cstheme="minorHAnsi"/>
                <w:b/>
                <w:bCs/>
                <w:color w:val="000000"/>
                <w:sz w:val="16"/>
                <w:szCs w:val="16"/>
              </w:rPr>
              <w:t>National Government Institution body</w:t>
            </w:r>
          </w:p>
          <w:p w14:paraId="5E54AB11" w14:textId="5898A47F" w:rsidR="001E042F" w:rsidRPr="004A3071" w:rsidRDefault="001E042F" w:rsidP="00481CA4">
            <w:pPr>
              <w:jc w:val="center"/>
              <w:rPr>
                <w:rFonts w:asciiTheme="minorHAnsi" w:hAnsiTheme="minorHAnsi" w:cstheme="minorHAnsi"/>
                <w:b/>
                <w:bCs/>
                <w:color w:val="000000"/>
                <w:sz w:val="16"/>
                <w:szCs w:val="16"/>
              </w:rPr>
            </w:pPr>
            <w:r w:rsidRPr="004A3071">
              <w:rPr>
                <w:rFonts w:asciiTheme="minorHAnsi" w:hAnsiTheme="minorHAnsi" w:cstheme="minorHAnsi"/>
                <w:b/>
                <w:bCs/>
                <w:color w:val="000000"/>
                <w:sz w:val="16"/>
                <w:szCs w:val="16"/>
              </w:rPr>
              <w:t> </w:t>
            </w:r>
          </w:p>
        </w:tc>
        <w:tc>
          <w:tcPr>
            <w:tcW w:w="1870" w:type="dxa"/>
            <w:tcBorders>
              <w:top w:val="nil"/>
              <w:left w:val="single" w:sz="4" w:space="0" w:color="000000" w:themeColor="text1"/>
              <w:bottom w:val="nil"/>
              <w:right w:val="single" w:sz="4" w:space="0" w:color="000000" w:themeColor="text1"/>
            </w:tcBorders>
            <w:shd w:val="clear" w:color="auto" w:fill="FFFFFF" w:themeFill="background1"/>
            <w:vAlign w:val="center"/>
          </w:tcPr>
          <w:p w14:paraId="713392CD" w14:textId="77777777" w:rsidR="001E042F" w:rsidRPr="004A3071" w:rsidRDefault="001E042F" w:rsidP="00481CA4">
            <w:pPr>
              <w:jc w:val="center"/>
              <w:rPr>
                <w:rFonts w:asciiTheme="minorHAnsi" w:hAnsiTheme="minorHAnsi" w:cstheme="minorHAnsi"/>
                <w:color w:val="000000"/>
                <w:sz w:val="16"/>
                <w:szCs w:val="16"/>
              </w:rPr>
            </w:pPr>
            <w:r w:rsidRPr="004A3071">
              <w:rPr>
                <w:rFonts w:asciiTheme="minorHAnsi" w:hAnsiTheme="minorHAnsi" w:cstheme="minorHAnsi"/>
                <w:color w:val="000000"/>
                <w:sz w:val="16"/>
                <w:szCs w:val="16"/>
              </w:rPr>
              <w:t>Face-to-face meetings</w:t>
            </w:r>
          </w:p>
        </w:tc>
        <w:tc>
          <w:tcPr>
            <w:tcW w:w="2296" w:type="dxa"/>
            <w:tcBorders>
              <w:top w:val="nil"/>
              <w:left w:val="single" w:sz="4" w:space="0" w:color="000000" w:themeColor="text1"/>
              <w:bottom w:val="nil"/>
              <w:right w:val="single" w:sz="4" w:space="0" w:color="000000" w:themeColor="text1"/>
            </w:tcBorders>
            <w:shd w:val="clear" w:color="auto" w:fill="FFFFFF" w:themeFill="background1"/>
            <w:vAlign w:val="center"/>
          </w:tcPr>
          <w:p w14:paraId="6293A454" w14:textId="77777777" w:rsidR="001E042F" w:rsidRPr="004A3071" w:rsidRDefault="001E042F" w:rsidP="00481CA4">
            <w:pPr>
              <w:jc w:val="center"/>
              <w:rPr>
                <w:rFonts w:asciiTheme="minorHAnsi" w:hAnsiTheme="minorHAnsi" w:cstheme="minorHAnsi"/>
                <w:color w:val="000000"/>
                <w:sz w:val="16"/>
                <w:szCs w:val="16"/>
              </w:rPr>
            </w:pPr>
            <w:r w:rsidRPr="004A3071">
              <w:rPr>
                <w:rFonts w:asciiTheme="minorHAnsi" w:hAnsiTheme="minorHAnsi" w:cstheme="minorHAnsi"/>
                <w:sz w:val="16"/>
                <w:szCs w:val="16"/>
              </w:rPr>
              <w:t>The GABHIC host several projects financed by different donors and has a lot possibility to make activities in coordination with the project</w:t>
            </w:r>
          </w:p>
        </w:tc>
        <w:tc>
          <w:tcPr>
            <w:tcW w:w="1870" w:type="dxa"/>
            <w:tcBorders>
              <w:top w:val="nil"/>
              <w:left w:val="single" w:sz="4" w:space="0" w:color="000000" w:themeColor="text1"/>
              <w:bottom w:val="nil"/>
              <w:right w:val="single" w:sz="4" w:space="0" w:color="000000" w:themeColor="text1"/>
            </w:tcBorders>
            <w:shd w:val="clear" w:color="auto" w:fill="FFFFFF" w:themeFill="background1"/>
            <w:vAlign w:val="center"/>
          </w:tcPr>
          <w:p w14:paraId="55140D0C" w14:textId="77777777" w:rsidR="001E042F" w:rsidRPr="004A3071" w:rsidRDefault="001E042F" w:rsidP="00481CA4">
            <w:pPr>
              <w:jc w:val="center"/>
              <w:rPr>
                <w:rFonts w:asciiTheme="minorHAnsi" w:hAnsiTheme="minorHAnsi" w:cstheme="minorHAnsi"/>
                <w:color w:val="000000"/>
                <w:sz w:val="16"/>
                <w:szCs w:val="16"/>
              </w:rPr>
            </w:pPr>
            <w:r w:rsidRPr="004A3071">
              <w:rPr>
                <w:rFonts w:asciiTheme="minorHAnsi" w:hAnsiTheme="minorHAnsi" w:cstheme="minorHAnsi"/>
                <w:color w:val="000000"/>
                <w:sz w:val="16"/>
                <w:szCs w:val="16"/>
              </w:rPr>
              <w:t>From the onset as key hosting institution and partner to implement the activities</w:t>
            </w:r>
          </w:p>
        </w:tc>
        <w:tc>
          <w:tcPr>
            <w:tcW w:w="1870" w:type="dxa"/>
            <w:tcBorders>
              <w:top w:val="nil"/>
              <w:left w:val="single" w:sz="4" w:space="0" w:color="000000" w:themeColor="text1"/>
              <w:bottom w:val="nil"/>
              <w:right w:val="single" w:sz="4" w:space="0" w:color="auto"/>
            </w:tcBorders>
            <w:shd w:val="clear" w:color="auto" w:fill="FFFFFF" w:themeFill="background1"/>
            <w:vAlign w:val="center"/>
          </w:tcPr>
          <w:p w14:paraId="7D4559BA" w14:textId="77777777" w:rsidR="001E042F" w:rsidRPr="004A3071" w:rsidRDefault="001E042F" w:rsidP="00481CA4">
            <w:pPr>
              <w:jc w:val="center"/>
              <w:rPr>
                <w:rFonts w:asciiTheme="minorHAnsi" w:hAnsiTheme="minorHAnsi" w:cstheme="minorHAnsi"/>
                <w:color w:val="000000"/>
                <w:sz w:val="16"/>
                <w:szCs w:val="16"/>
              </w:rPr>
            </w:pPr>
            <w:r w:rsidRPr="004A3071">
              <w:rPr>
                <w:rFonts w:asciiTheme="minorHAnsi" w:hAnsiTheme="minorHAnsi" w:cstheme="minorHAnsi"/>
                <w:color w:val="000000"/>
                <w:sz w:val="16"/>
                <w:szCs w:val="16"/>
              </w:rPr>
              <w:t> </w:t>
            </w:r>
          </w:p>
        </w:tc>
      </w:tr>
      <w:tr w:rsidR="001E042F" w:rsidRPr="004A3071" w14:paraId="735776CB" w14:textId="77777777" w:rsidTr="002B5FBB">
        <w:trPr>
          <w:cantSplit/>
        </w:trPr>
        <w:tc>
          <w:tcPr>
            <w:tcW w:w="1870" w:type="dxa"/>
            <w:vMerge/>
            <w:tcBorders>
              <w:left w:val="single" w:sz="4" w:space="0" w:color="auto"/>
              <w:bottom w:val="single" w:sz="4" w:space="0" w:color="auto"/>
              <w:right w:val="single" w:sz="4" w:space="0" w:color="auto"/>
            </w:tcBorders>
            <w:vAlign w:val="center"/>
          </w:tcPr>
          <w:p w14:paraId="7C8DC0F8" w14:textId="77777777" w:rsidR="001E042F" w:rsidRPr="004A3071" w:rsidRDefault="001E042F" w:rsidP="00481CA4">
            <w:pPr>
              <w:rPr>
                <w:rFonts w:asciiTheme="minorHAnsi" w:hAnsiTheme="minorHAnsi" w:cstheme="minorHAnsi"/>
                <w:color w:val="000000"/>
                <w:sz w:val="16"/>
                <w:szCs w:val="16"/>
              </w:rPr>
            </w:pPr>
          </w:p>
        </w:tc>
        <w:tc>
          <w:tcPr>
            <w:tcW w:w="1870" w:type="dxa"/>
            <w:vMerge/>
            <w:tcBorders>
              <w:left w:val="single" w:sz="4" w:space="0" w:color="auto"/>
              <w:bottom w:val="single" w:sz="4" w:space="0" w:color="auto"/>
              <w:right w:val="single" w:sz="4" w:space="0" w:color="auto"/>
            </w:tcBorders>
            <w:vAlign w:val="center"/>
          </w:tcPr>
          <w:p w14:paraId="6530F0AA" w14:textId="22348AC7" w:rsidR="001E042F" w:rsidRPr="004A3071" w:rsidRDefault="001E042F" w:rsidP="00481CA4">
            <w:pPr>
              <w:jc w:val="center"/>
              <w:rPr>
                <w:rFonts w:asciiTheme="minorHAnsi" w:hAnsiTheme="minorHAnsi" w:cstheme="minorHAnsi"/>
                <w:color w:val="000000"/>
                <w:sz w:val="16"/>
                <w:szCs w:val="16"/>
                <w:highlight w:val="green"/>
              </w:rPr>
            </w:pPr>
          </w:p>
        </w:tc>
        <w:tc>
          <w:tcPr>
            <w:tcW w:w="1870" w:type="dxa"/>
            <w:vMerge/>
            <w:tcBorders>
              <w:left w:val="single" w:sz="4" w:space="0" w:color="auto"/>
            </w:tcBorders>
            <w:vAlign w:val="center"/>
          </w:tcPr>
          <w:p w14:paraId="218D8C4A" w14:textId="4ED0C186" w:rsidR="001E042F" w:rsidRPr="004A3071" w:rsidRDefault="001E042F" w:rsidP="00481CA4">
            <w:pPr>
              <w:jc w:val="center"/>
              <w:rPr>
                <w:rFonts w:asciiTheme="minorHAnsi" w:hAnsiTheme="minorHAnsi" w:cstheme="minorHAnsi"/>
                <w:b/>
                <w:bCs/>
                <w:color w:val="000000"/>
                <w:sz w:val="16"/>
                <w:szCs w:val="16"/>
              </w:rPr>
            </w:pPr>
          </w:p>
        </w:tc>
        <w:tc>
          <w:tcPr>
            <w:tcW w:w="1870" w:type="dxa"/>
            <w:tcBorders>
              <w:top w:val="nil"/>
              <w:left w:val="single" w:sz="4" w:space="0" w:color="000000" w:themeColor="text1"/>
              <w:bottom w:val="nil"/>
              <w:right w:val="single" w:sz="4" w:space="0" w:color="000000" w:themeColor="text1"/>
            </w:tcBorders>
            <w:shd w:val="clear" w:color="auto" w:fill="FFFFFF" w:themeFill="background1"/>
            <w:vAlign w:val="center"/>
          </w:tcPr>
          <w:p w14:paraId="4E4BC740" w14:textId="77777777" w:rsidR="001E042F" w:rsidRPr="004A3071" w:rsidRDefault="001E042F" w:rsidP="00481CA4">
            <w:pPr>
              <w:jc w:val="center"/>
              <w:rPr>
                <w:rFonts w:asciiTheme="minorHAnsi" w:hAnsiTheme="minorHAnsi" w:cstheme="minorHAnsi"/>
                <w:color w:val="000000"/>
                <w:sz w:val="16"/>
                <w:szCs w:val="16"/>
              </w:rPr>
            </w:pPr>
            <w:r w:rsidRPr="004A3071">
              <w:rPr>
                <w:rFonts w:asciiTheme="minorHAnsi" w:hAnsiTheme="minorHAnsi" w:cstheme="minorHAnsi"/>
                <w:color w:val="000000"/>
                <w:sz w:val="16"/>
                <w:szCs w:val="16"/>
              </w:rPr>
              <w:t>PGG inception</w:t>
            </w:r>
          </w:p>
        </w:tc>
        <w:tc>
          <w:tcPr>
            <w:tcW w:w="2296" w:type="dxa"/>
            <w:tcBorders>
              <w:top w:val="nil"/>
              <w:left w:val="single" w:sz="4" w:space="0" w:color="000000" w:themeColor="text1"/>
              <w:bottom w:val="nil"/>
              <w:right w:val="single" w:sz="4" w:space="0" w:color="000000" w:themeColor="text1"/>
            </w:tcBorders>
            <w:shd w:val="clear" w:color="auto" w:fill="FFFFFF" w:themeFill="background1"/>
            <w:vAlign w:val="center"/>
          </w:tcPr>
          <w:p w14:paraId="4C27D052" w14:textId="77777777" w:rsidR="001E042F" w:rsidRPr="004A3071" w:rsidRDefault="001E042F" w:rsidP="00481CA4">
            <w:pPr>
              <w:jc w:val="center"/>
              <w:rPr>
                <w:rFonts w:asciiTheme="minorHAnsi" w:hAnsiTheme="minorHAnsi" w:cstheme="minorHAnsi"/>
                <w:color w:val="000000"/>
                <w:sz w:val="16"/>
                <w:szCs w:val="16"/>
              </w:rPr>
            </w:pPr>
            <w:r w:rsidRPr="004A3071">
              <w:rPr>
                <w:rFonts w:asciiTheme="minorHAnsi" w:hAnsiTheme="minorHAnsi" w:cstheme="minorHAnsi"/>
                <w:color w:val="000000"/>
                <w:sz w:val="16"/>
                <w:szCs w:val="16"/>
              </w:rPr>
              <w:t> </w:t>
            </w:r>
          </w:p>
        </w:tc>
        <w:tc>
          <w:tcPr>
            <w:tcW w:w="1870" w:type="dxa"/>
            <w:tcBorders>
              <w:top w:val="nil"/>
              <w:left w:val="single" w:sz="4" w:space="0" w:color="000000" w:themeColor="text1"/>
              <w:bottom w:val="nil"/>
              <w:right w:val="single" w:sz="4" w:space="0" w:color="000000" w:themeColor="text1"/>
            </w:tcBorders>
            <w:shd w:val="clear" w:color="auto" w:fill="FFFFFF" w:themeFill="background1"/>
            <w:vAlign w:val="center"/>
          </w:tcPr>
          <w:p w14:paraId="2E6FAD1C" w14:textId="77777777" w:rsidR="001E042F" w:rsidRPr="004A3071" w:rsidRDefault="001E042F" w:rsidP="00481CA4">
            <w:pPr>
              <w:jc w:val="center"/>
              <w:rPr>
                <w:rFonts w:asciiTheme="minorHAnsi" w:hAnsiTheme="minorHAnsi" w:cstheme="minorHAnsi"/>
                <w:color w:val="000000"/>
                <w:sz w:val="16"/>
                <w:szCs w:val="16"/>
              </w:rPr>
            </w:pPr>
            <w:r w:rsidRPr="004A3071">
              <w:rPr>
                <w:rFonts w:asciiTheme="minorHAnsi" w:hAnsiTheme="minorHAnsi" w:cstheme="minorHAnsi"/>
                <w:color w:val="000000"/>
                <w:sz w:val="16"/>
                <w:szCs w:val="16"/>
              </w:rPr>
              <w:t> </w:t>
            </w:r>
          </w:p>
        </w:tc>
        <w:tc>
          <w:tcPr>
            <w:tcW w:w="1870" w:type="dxa"/>
            <w:tcBorders>
              <w:top w:val="nil"/>
              <w:left w:val="single" w:sz="4" w:space="0" w:color="000000" w:themeColor="text1"/>
              <w:bottom w:val="nil"/>
              <w:right w:val="single" w:sz="4" w:space="0" w:color="auto"/>
            </w:tcBorders>
            <w:shd w:val="clear" w:color="auto" w:fill="FFFFFF" w:themeFill="background1"/>
            <w:vAlign w:val="center"/>
          </w:tcPr>
          <w:p w14:paraId="0D50E46A" w14:textId="77777777" w:rsidR="001E042F" w:rsidRPr="004A3071" w:rsidRDefault="001E042F" w:rsidP="00481CA4">
            <w:pPr>
              <w:jc w:val="center"/>
              <w:rPr>
                <w:rFonts w:asciiTheme="minorHAnsi" w:hAnsiTheme="minorHAnsi" w:cstheme="minorHAnsi"/>
                <w:color w:val="000000"/>
                <w:sz w:val="16"/>
                <w:szCs w:val="16"/>
              </w:rPr>
            </w:pPr>
            <w:r w:rsidRPr="004A3071">
              <w:rPr>
                <w:rFonts w:asciiTheme="minorHAnsi" w:hAnsiTheme="minorHAnsi" w:cstheme="minorHAnsi"/>
                <w:color w:val="000000"/>
                <w:sz w:val="16"/>
                <w:szCs w:val="16"/>
              </w:rPr>
              <w:t> </w:t>
            </w:r>
          </w:p>
        </w:tc>
      </w:tr>
      <w:tr w:rsidR="001E042F" w:rsidRPr="004A3071" w14:paraId="1F958E67" w14:textId="77777777" w:rsidTr="002B5FBB">
        <w:trPr>
          <w:cantSplit/>
        </w:trPr>
        <w:tc>
          <w:tcPr>
            <w:tcW w:w="1870" w:type="dxa"/>
            <w:vMerge/>
            <w:tcBorders>
              <w:left w:val="single" w:sz="4" w:space="0" w:color="auto"/>
              <w:bottom w:val="single" w:sz="4" w:space="0" w:color="auto"/>
              <w:right w:val="single" w:sz="4" w:space="0" w:color="auto"/>
            </w:tcBorders>
            <w:vAlign w:val="center"/>
          </w:tcPr>
          <w:p w14:paraId="7D75441A" w14:textId="77777777" w:rsidR="001E042F" w:rsidRPr="004A3071" w:rsidRDefault="001E042F" w:rsidP="00481CA4">
            <w:pPr>
              <w:rPr>
                <w:rFonts w:asciiTheme="minorHAnsi" w:hAnsiTheme="minorHAnsi" w:cstheme="minorHAnsi"/>
                <w:color w:val="000000"/>
                <w:sz w:val="16"/>
                <w:szCs w:val="16"/>
              </w:rPr>
            </w:pPr>
          </w:p>
        </w:tc>
        <w:tc>
          <w:tcPr>
            <w:tcW w:w="1870" w:type="dxa"/>
            <w:vMerge/>
            <w:tcBorders>
              <w:left w:val="single" w:sz="4" w:space="0" w:color="auto"/>
              <w:bottom w:val="single" w:sz="4" w:space="0" w:color="auto"/>
              <w:right w:val="single" w:sz="4" w:space="0" w:color="auto"/>
            </w:tcBorders>
            <w:vAlign w:val="center"/>
          </w:tcPr>
          <w:p w14:paraId="16C28B1D" w14:textId="7B9FE2DE" w:rsidR="001E042F" w:rsidRPr="004A3071" w:rsidRDefault="001E042F" w:rsidP="00481CA4">
            <w:pPr>
              <w:jc w:val="center"/>
              <w:rPr>
                <w:rFonts w:asciiTheme="minorHAnsi" w:hAnsiTheme="minorHAnsi" w:cstheme="minorHAnsi"/>
                <w:color w:val="000000"/>
                <w:sz w:val="16"/>
                <w:szCs w:val="16"/>
              </w:rPr>
            </w:pPr>
          </w:p>
        </w:tc>
        <w:tc>
          <w:tcPr>
            <w:tcW w:w="1870" w:type="dxa"/>
            <w:vMerge/>
            <w:tcBorders>
              <w:left w:val="single" w:sz="4" w:space="0" w:color="auto"/>
            </w:tcBorders>
            <w:vAlign w:val="center"/>
          </w:tcPr>
          <w:p w14:paraId="405FA024" w14:textId="6319E8BC" w:rsidR="001E042F" w:rsidRPr="004A3071" w:rsidRDefault="001E042F" w:rsidP="00481CA4">
            <w:pPr>
              <w:jc w:val="center"/>
              <w:rPr>
                <w:rFonts w:asciiTheme="minorHAnsi" w:hAnsiTheme="minorHAnsi" w:cstheme="minorHAnsi"/>
                <w:b/>
                <w:bCs/>
                <w:color w:val="000000"/>
                <w:sz w:val="16"/>
                <w:szCs w:val="16"/>
              </w:rPr>
            </w:pPr>
          </w:p>
        </w:tc>
        <w:tc>
          <w:tcPr>
            <w:tcW w:w="1870" w:type="dxa"/>
            <w:tcBorders>
              <w:top w:val="nil"/>
              <w:left w:val="single" w:sz="4" w:space="0" w:color="000000" w:themeColor="text1"/>
              <w:bottom w:val="nil"/>
              <w:right w:val="single" w:sz="4" w:space="0" w:color="000000" w:themeColor="text1"/>
            </w:tcBorders>
            <w:shd w:val="clear" w:color="auto" w:fill="FFFFFF" w:themeFill="background1"/>
            <w:vAlign w:val="center"/>
          </w:tcPr>
          <w:p w14:paraId="2F8F5F4B" w14:textId="77777777" w:rsidR="001E042F" w:rsidRPr="004A3071" w:rsidRDefault="001E042F" w:rsidP="00481CA4">
            <w:pPr>
              <w:jc w:val="center"/>
              <w:rPr>
                <w:rFonts w:asciiTheme="minorHAnsi" w:hAnsiTheme="minorHAnsi" w:cstheme="minorHAnsi"/>
                <w:color w:val="000000"/>
                <w:sz w:val="16"/>
                <w:szCs w:val="16"/>
              </w:rPr>
            </w:pPr>
            <w:r w:rsidRPr="004A3071">
              <w:rPr>
                <w:rFonts w:asciiTheme="minorHAnsi" w:hAnsiTheme="minorHAnsi" w:cstheme="minorHAnsi"/>
                <w:color w:val="000000"/>
                <w:sz w:val="16"/>
                <w:szCs w:val="16"/>
              </w:rPr>
              <w:t>Face-to-face meetings</w:t>
            </w:r>
          </w:p>
        </w:tc>
        <w:tc>
          <w:tcPr>
            <w:tcW w:w="2296" w:type="dxa"/>
            <w:tcBorders>
              <w:top w:val="nil"/>
              <w:left w:val="single" w:sz="4" w:space="0" w:color="000000" w:themeColor="text1"/>
              <w:bottom w:val="nil"/>
              <w:right w:val="single" w:sz="4" w:space="0" w:color="000000" w:themeColor="text1"/>
            </w:tcBorders>
            <w:shd w:val="clear" w:color="auto" w:fill="FFFFFF" w:themeFill="background1"/>
            <w:vAlign w:val="center"/>
          </w:tcPr>
          <w:p w14:paraId="2A478E66" w14:textId="77777777" w:rsidR="001E042F" w:rsidRPr="004A3071" w:rsidRDefault="001E042F" w:rsidP="00481CA4">
            <w:pPr>
              <w:jc w:val="center"/>
              <w:rPr>
                <w:rFonts w:asciiTheme="minorHAnsi" w:hAnsiTheme="minorHAnsi" w:cstheme="minorHAnsi"/>
                <w:color w:val="000000"/>
                <w:sz w:val="16"/>
                <w:szCs w:val="16"/>
              </w:rPr>
            </w:pPr>
            <w:r w:rsidRPr="004A3071">
              <w:rPr>
                <w:rFonts w:asciiTheme="minorHAnsi" w:hAnsiTheme="minorHAnsi" w:cstheme="minorHAnsi"/>
                <w:color w:val="000000"/>
                <w:sz w:val="16"/>
                <w:szCs w:val="16"/>
              </w:rPr>
              <w:t> </w:t>
            </w:r>
          </w:p>
        </w:tc>
        <w:tc>
          <w:tcPr>
            <w:tcW w:w="1870" w:type="dxa"/>
            <w:tcBorders>
              <w:top w:val="nil"/>
              <w:left w:val="single" w:sz="4" w:space="0" w:color="000000" w:themeColor="text1"/>
              <w:bottom w:val="nil"/>
              <w:right w:val="single" w:sz="4" w:space="0" w:color="000000" w:themeColor="text1"/>
            </w:tcBorders>
            <w:shd w:val="clear" w:color="auto" w:fill="FFFFFF" w:themeFill="background1"/>
            <w:vAlign w:val="center"/>
          </w:tcPr>
          <w:p w14:paraId="162EA3D7" w14:textId="77777777" w:rsidR="001E042F" w:rsidRPr="004A3071" w:rsidRDefault="001E042F" w:rsidP="00481CA4">
            <w:pPr>
              <w:jc w:val="center"/>
              <w:rPr>
                <w:rFonts w:asciiTheme="minorHAnsi" w:hAnsiTheme="minorHAnsi" w:cstheme="minorHAnsi"/>
                <w:color w:val="000000"/>
                <w:sz w:val="16"/>
                <w:szCs w:val="16"/>
              </w:rPr>
            </w:pPr>
            <w:r w:rsidRPr="004A3071">
              <w:rPr>
                <w:rFonts w:asciiTheme="minorHAnsi" w:hAnsiTheme="minorHAnsi" w:cstheme="minorHAnsi"/>
                <w:color w:val="000000"/>
                <w:sz w:val="16"/>
                <w:szCs w:val="16"/>
              </w:rPr>
              <w:t> </w:t>
            </w:r>
          </w:p>
        </w:tc>
        <w:tc>
          <w:tcPr>
            <w:tcW w:w="1870" w:type="dxa"/>
            <w:tcBorders>
              <w:top w:val="nil"/>
              <w:left w:val="single" w:sz="4" w:space="0" w:color="000000" w:themeColor="text1"/>
              <w:bottom w:val="nil"/>
              <w:right w:val="single" w:sz="4" w:space="0" w:color="auto"/>
            </w:tcBorders>
            <w:shd w:val="clear" w:color="auto" w:fill="FFFFFF" w:themeFill="background1"/>
            <w:vAlign w:val="center"/>
          </w:tcPr>
          <w:p w14:paraId="16503F35" w14:textId="77777777" w:rsidR="001E042F" w:rsidRPr="004A3071" w:rsidRDefault="001E042F" w:rsidP="00481CA4">
            <w:pPr>
              <w:jc w:val="center"/>
              <w:rPr>
                <w:rFonts w:asciiTheme="minorHAnsi" w:hAnsiTheme="minorHAnsi" w:cstheme="minorHAnsi"/>
                <w:color w:val="000000"/>
                <w:sz w:val="16"/>
                <w:szCs w:val="16"/>
              </w:rPr>
            </w:pPr>
            <w:r w:rsidRPr="004A3071">
              <w:rPr>
                <w:rFonts w:asciiTheme="minorHAnsi" w:hAnsiTheme="minorHAnsi" w:cstheme="minorHAnsi"/>
                <w:color w:val="000000"/>
                <w:sz w:val="16"/>
                <w:szCs w:val="16"/>
              </w:rPr>
              <w:t> </w:t>
            </w:r>
          </w:p>
        </w:tc>
      </w:tr>
      <w:tr w:rsidR="001E042F" w:rsidRPr="004A3071" w14:paraId="42E9CD09" w14:textId="77777777" w:rsidTr="002B5FBB">
        <w:trPr>
          <w:cantSplit/>
        </w:trPr>
        <w:tc>
          <w:tcPr>
            <w:tcW w:w="1870" w:type="dxa"/>
            <w:vMerge/>
            <w:tcBorders>
              <w:left w:val="single" w:sz="4" w:space="0" w:color="auto"/>
              <w:bottom w:val="single" w:sz="4" w:space="0" w:color="auto"/>
              <w:right w:val="single" w:sz="4" w:space="0" w:color="auto"/>
            </w:tcBorders>
            <w:vAlign w:val="center"/>
          </w:tcPr>
          <w:p w14:paraId="4784B718" w14:textId="77777777" w:rsidR="001E042F" w:rsidRPr="004A3071" w:rsidRDefault="001E042F" w:rsidP="00481CA4">
            <w:pPr>
              <w:rPr>
                <w:rFonts w:asciiTheme="minorHAnsi" w:hAnsiTheme="minorHAnsi" w:cstheme="minorHAnsi"/>
                <w:color w:val="000000"/>
                <w:sz w:val="16"/>
                <w:szCs w:val="16"/>
              </w:rPr>
            </w:pPr>
          </w:p>
        </w:tc>
        <w:tc>
          <w:tcPr>
            <w:tcW w:w="1870" w:type="dxa"/>
            <w:vMerge/>
            <w:tcBorders>
              <w:left w:val="single" w:sz="4" w:space="0" w:color="auto"/>
              <w:bottom w:val="single" w:sz="4" w:space="0" w:color="auto"/>
              <w:right w:val="single" w:sz="4" w:space="0" w:color="auto"/>
            </w:tcBorders>
            <w:vAlign w:val="center"/>
          </w:tcPr>
          <w:p w14:paraId="4970FDF8" w14:textId="5C48DFB3" w:rsidR="001E042F" w:rsidRPr="004A3071" w:rsidRDefault="001E042F" w:rsidP="00481CA4">
            <w:pPr>
              <w:jc w:val="center"/>
              <w:rPr>
                <w:rFonts w:asciiTheme="minorHAnsi" w:hAnsiTheme="minorHAnsi" w:cstheme="minorHAnsi"/>
                <w:color w:val="000000"/>
                <w:sz w:val="16"/>
                <w:szCs w:val="16"/>
              </w:rPr>
            </w:pPr>
          </w:p>
        </w:tc>
        <w:tc>
          <w:tcPr>
            <w:tcW w:w="1870" w:type="dxa"/>
            <w:vMerge/>
            <w:tcBorders>
              <w:left w:val="single" w:sz="4" w:space="0" w:color="auto"/>
            </w:tcBorders>
            <w:vAlign w:val="center"/>
          </w:tcPr>
          <w:p w14:paraId="0ECBDC4D" w14:textId="7D5FF10C" w:rsidR="001E042F" w:rsidRPr="004A3071" w:rsidRDefault="001E042F" w:rsidP="00481CA4">
            <w:pPr>
              <w:jc w:val="center"/>
              <w:rPr>
                <w:rFonts w:asciiTheme="minorHAnsi" w:hAnsiTheme="minorHAnsi" w:cstheme="minorHAnsi"/>
                <w:b/>
                <w:bCs/>
                <w:color w:val="000000"/>
                <w:sz w:val="16"/>
                <w:szCs w:val="16"/>
              </w:rPr>
            </w:pPr>
          </w:p>
        </w:tc>
        <w:tc>
          <w:tcPr>
            <w:tcW w:w="1870" w:type="dxa"/>
            <w:tcBorders>
              <w:top w:val="nil"/>
              <w:left w:val="single" w:sz="4" w:space="0" w:color="000000" w:themeColor="text1"/>
              <w:bottom w:val="single" w:sz="4" w:space="0" w:color="auto"/>
              <w:right w:val="single" w:sz="4" w:space="0" w:color="000000" w:themeColor="text1"/>
            </w:tcBorders>
            <w:shd w:val="clear" w:color="auto" w:fill="FFFFFF" w:themeFill="background1"/>
            <w:vAlign w:val="center"/>
          </w:tcPr>
          <w:p w14:paraId="3DCF3B35" w14:textId="77777777" w:rsidR="001E042F" w:rsidRPr="004A3071" w:rsidRDefault="001E042F" w:rsidP="00481CA4">
            <w:pPr>
              <w:jc w:val="center"/>
              <w:rPr>
                <w:rFonts w:asciiTheme="minorHAnsi" w:hAnsiTheme="minorHAnsi" w:cstheme="minorHAnsi"/>
                <w:color w:val="000000"/>
                <w:sz w:val="16"/>
                <w:szCs w:val="16"/>
              </w:rPr>
            </w:pPr>
            <w:r w:rsidRPr="004A3071">
              <w:rPr>
                <w:rFonts w:asciiTheme="minorHAnsi" w:hAnsiTheme="minorHAnsi" w:cstheme="minorHAnsi"/>
                <w:color w:val="000000"/>
                <w:sz w:val="16"/>
                <w:szCs w:val="16"/>
              </w:rPr>
              <w:t>PGG inception and validation workshops</w:t>
            </w:r>
          </w:p>
        </w:tc>
        <w:tc>
          <w:tcPr>
            <w:tcW w:w="2296" w:type="dxa"/>
            <w:tcBorders>
              <w:top w:val="nil"/>
              <w:left w:val="single" w:sz="4" w:space="0" w:color="000000" w:themeColor="text1"/>
              <w:bottom w:val="single" w:sz="4" w:space="0" w:color="auto"/>
              <w:right w:val="single" w:sz="4" w:space="0" w:color="000000" w:themeColor="text1"/>
            </w:tcBorders>
            <w:shd w:val="clear" w:color="auto" w:fill="FFFFFF" w:themeFill="background1"/>
            <w:vAlign w:val="center"/>
          </w:tcPr>
          <w:p w14:paraId="521F33CC" w14:textId="77777777" w:rsidR="001E042F" w:rsidRPr="004A3071" w:rsidRDefault="001E042F" w:rsidP="00481CA4">
            <w:pPr>
              <w:jc w:val="center"/>
              <w:rPr>
                <w:rFonts w:asciiTheme="minorHAnsi" w:hAnsiTheme="minorHAnsi" w:cstheme="minorHAnsi"/>
                <w:color w:val="000000"/>
                <w:sz w:val="16"/>
                <w:szCs w:val="16"/>
              </w:rPr>
            </w:pPr>
            <w:r w:rsidRPr="004A3071">
              <w:rPr>
                <w:rFonts w:asciiTheme="minorHAnsi" w:hAnsiTheme="minorHAnsi" w:cstheme="minorHAnsi"/>
                <w:color w:val="000000"/>
                <w:sz w:val="16"/>
                <w:szCs w:val="16"/>
              </w:rPr>
              <w:t> </w:t>
            </w:r>
          </w:p>
        </w:tc>
        <w:tc>
          <w:tcPr>
            <w:tcW w:w="1870" w:type="dxa"/>
            <w:tcBorders>
              <w:top w:val="nil"/>
              <w:left w:val="single" w:sz="4" w:space="0" w:color="000000" w:themeColor="text1"/>
              <w:bottom w:val="single" w:sz="4" w:space="0" w:color="auto"/>
              <w:right w:val="single" w:sz="4" w:space="0" w:color="000000" w:themeColor="text1"/>
            </w:tcBorders>
            <w:shd w:val="clear" w:color="auto" w:fill="FFFFFF" w:themeFill="background1"/>
            <w:vAlign w:val="center"/>
          </w:tcPr>
          <w:p w14:paraId="12130742" w14:textId="77777777" w:rsidR="001E042F" w:rsidRPr="004A3071" w:rsidRDefault="001E042F" w:rsidP="00481CA4">
            <w:pPr>
              <w:jc w:val="center"/>
              <w:rPr>
                <w:rFonts w:asciiTheme="minorHAnsi" w:hAnsiTheme="minorHAnsi" w:cstheme="minorHAnsi"/>
                <w:color w:val="000000"/>
                <w:sz w:val="16"/>
                <w:szCs w:val="16"/>
              </w:rPr>
            </w:pPr>
            <w:r w:rsidRPr="004A3071">
              <w:rPr>
                <w:rFonts w:asciiTheme="minorHAnsi" w:hAnsiTheme="minorHAnsi" w:cstheme="minorHAnsi"/>
                <w:color w:val="000000"/>
                <w:sz w:val="16"/>
                <w:szCs w:val="16"/>
              </w:rPr>
              <w:t> </w:t>
            </w:r>
          </w:p>
        </w:tc>
        <w:tc>
          <w:tcPr>
            <w:tcW w:w="1870" w:type="dxa"/>
            <w:tcBorders>
              <w:top w:val="nil"/>
              <w:left w:val="single" w:sz="4" w:space="0" w:color="000000" w:themeColor="text1"/>
              <w:bottom w:val="single" w:sz="4" w:space="0" w:color="auto"/>
              <w:right w:val="single" w:sz="4" w:space="0" w:color="auto"/>
            </w:tcBorders>
            <w:shd w:val="clear" w:color="auto" w:fill="FFFFFF" w:themeFill="background1"/>
            <w:vAlign w:val="center"/>
          </w:tcPr>
          <w:p w14:paraId="7F0A22E6" w14:textId="77777777" w:rsidR="001E042F" w:rsidRPr="004A3071" w:rsidRDefault="001E042F" w:rsidP="00481CA4">
            <w:pPr>
              <w:jc w:val="center"/>
              <w:rPr>
                <w:rFonts w:asciiTheme="minorHAnsi" w:hAnsiTheme="minorHAnsi" w:cstheme="minorHAnsi"/>
                <w:color w:val="000000"/>
                <w:sz w:val="16"/>
                <w:szCs w:val="16"/>
              </w:rPr>
            </w:pPr>
            <w:r w:rsidRPr="004A3071">
              <w:rPr>
                <w:rFonts w:asciiTheme="minorHAnsi" w:hAnsiTheme="minorHAnsi" w:cstheme="minorHAnsi"/>
                <w:color w:val="000000"/>
                <w:sz w:val="16"/>
                <w:szCs w:val="16"/>
              </w:rPr>
              <w:t> </w:t>
            </w:r>
          </w:p>
        </w:tc>
      </w:tr>
      <w:tr w:rsidR="009563B4" w:rsidRPr="004A3071" w14:paraId="25EF3C36" w14:textId="77777777" w:rsidTr="002B5FBB">
        <w:trPr>
          <w:cantSplit/>
        </w:trPr>
        <w:tc>
          <w:tcPr>
            <w:tcW w:w="187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E6BB94C" w14:textId="77777777" w:rsidR="009563B4" w:rsidRPr="004A3071" w:rsidRDefault="009563B4" w:rsidP="00481CA4">
            <w:pPr>
              <w:rPr>
                <w:rFonts w:asciiTheme="minorHAnsi" w:hAnsiTheme="minorHAnsi" w:cstheme="minorHAnsi"/>
                <w:color w:val="000000"/>
                <w:sz w:val="16"/>
                <w:szCs w:val="16"/>
              </w:rPr>
            </w:pPr>
            <w:r w:rsidRPr="004A3071">
              <w:rPr>
                <w:rFonts w:asciiTheme="minorHAnsi" w:hAnsiTheme="minorHAnsi" w:cstheme="minorHAnsi"/>
                <w:sz w:val="16"/>
                <w:szCs w:val="16"/>
              </w:rPr>
              <w:t xml:space="preserve">Ministry of Urban and Housing Affairs </w:t>
            </w:r>
          </w:p>
        </w:tc>
        <w:tc>
          <w:tcPr>
            <w:tcW w:w="187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5B06916" w14:textId="77777777" w:rsidR="009563B4" w:rsidRPr="004A3071" w:rsidRDefault="009563B4" w:rsidP="00481CA4">
            <w:pPr>
              <w:jc w:val="center"/>
              <w:rPr>
                <w:rFonts w:asciiTheme="minorHAnsi" w:hAnsiTheme="minorHAnsi" w:cstheme="minorHAnsi"/>
                <w:color w:val="000000"/>
                <w:sz w:val="16"/>
                <w:szCs w:val="16"/>
              </w:rPr>
            </w:pPr>
            <w:r w:rsidRPr="004A3071">
              <w:rPr>
                <w:rFonts w:asciiTheme="minorHAnsi" w:hAnsiTheme="minorHAnsi" w:cstheme="minorHAnsi"/>
                <w:color w:val="000000"/>
                <w:sz w:val="16"/>
                <w:szCs w:val="16"/>
              </w:rPr>
              <w:t>Indirect Beneficiary</w:t>
            </w:r>
          </w:p>
        </w:tc>
        <w:tc>
          <w:tcPr>
            <w:tcW w:w="1870" w:type="dxa"/>
            <w:tcBorders>
              <w:top w:val="nil"/>
              <w:left w:val="single" w:sz="4" w:space="0" w:color="auto"/>
              <w:bottom w:val="single" w:sz="4" w:space="0" w:color="auto"/>
              <w:right w:val="single" w:sz="4" w:space="0" w:color="000000" w:themeColor="text1"/>
            </w:tcBorders>
            <w:shd w:val="clear" w:color="auto" w:fill="DDEBF7"/>
            <w:vAlign w:val="center"/>
          </w:tcPr>
          <w:p w14:paraId="7BBC279D" w14:textId="77777777" w:rsidR="009563B4" w:rsidRPr="004A3071" w:rsidRDefault="009563B4" w:rsidP="00481CA4">
            <w:pPr>
              <w:jc w:val="center"/>
              <w:rPr>
                <w:rFonts w:asciiTheme="minorHAnsi" w:hAnsiTheme="minorHAnsi" w:cstheme="minorHAnsi"/>
                <w:b/>
                <w:bCs/>
                <w:color w:val="000000"/>
                <w:sz w:val="16"/>
                <w:szCs w:val="16"/>
              </w:rPr>
            </w:pPr>
            <w:r w:rsidRPr="004A3071">
              <w:rPr>
                <w:rFonts w:asciiTheme="minorHAnsi" w:hAnsiTheme="minorHAnsi" w:cstheme="minorHAnsi"/>
                <w:b/>
                <w:bCs/>
                <w:sz w:val="16"/>
                <w:szCs w:val="16"/>
              </w:rPr>
              <w:t>National Government Institution body</w:t>
            </w:r>
          </w:p>
        </w:tc>
        <w:tc>
          <w:tcPr>
            <w:tcW w:w="1870" w:type="dxa"/>
            <w:tcBorders>
              <w:top w:val="nil"/>
              <w:left w:val="single" w:sz="4" w:space="0" w:color="000000" w:themeColor="text1"/>
              <w:bottom w:val="single" w:sz="4" w:space="0" w:color="auto"/>
              <w:right w:val="single" w:sz="4" w:space="0" w:color="000000" w:themeColor="text1"/>
            </w:tcBorders>
            <w:shd w:val="clear" w:color="auto" w:fill="FFFFFF" w:themeFill="background1"/>
            <w:vAlign w:val="center"/>
          </w:tcPr>
          <w:p w14:paraId="7DCC4D25" w14:textId="1C6778EA" w:rsidR="009563B4" w:rsidRPr="004A3071" w:rsidRDefault="009563B4" w:rsidP="655B59E9">
            <w:pPr>
              <w:jc w:val="center"/>
              <w:rPr>
                <w:rFonts w:asciiTheme="minorHAnsi" w:hAnsiTheme="minorHAnsi" w:cstheme="minorHAnsi"/>
                <w:color w:val="000000" w:themeColor="text1"/>
                <w:sz w:val="16"/>
                <w:szCs w:val="16"/>
              </w:rPr>
            </w:pPr>
            <w:r w:rsidRPr="004A3071">
              <w:rPr>
                <w:rFonts w:asciiTheme="minorHAnsi" w:hAnsiTheme="minorHAnsi" w:cstheme="minorHAnsi"/>
                <w:color w:val="000000" w:themeColor="text1"/>
                <w:sz w:val="16"/>
                <w:szCs w:val="16"/>
              </w:rPr>
              <w:t>Face-to-face meetings</w:t>
            </w:r>
          </w:p>
          <w:p w14:paraId="7C489BD5" w14:textId="48FEE511" w:rsidR="009563B4" w:rsidRPr="004A3071" w:rsidRDefault="6C29BC3B" w:rsidP="00481CA4">
            <w:pPr>
              <w:jc w:val="center"/>
              <w:rPr>
                <w:rFonts w:asciiTheme="minorHAnsi" w:hAnsiTheme="minorHAnsi" w:cstheme="minorHAnsi"/>
                <w:color w:val="000000"/>
                <w:sz w:val="16"/>
                <w:szCs w:val="16"/>
              </w:rPr>
            </w:pPr>
            <w:r w:rsidRPr="004A3071">
              <w:rPr>
                <w:rFonts w:asciiTheme="minorHAnsi" w:hAnsiTheme="minorHAnsi" w:cstheme="minorHAnsi"/>
                <w:color w:val="000000" w:themeColor="text1"/>
                <w:sz w:val="16"/>
                <w:szCs w:val="16"/>
              </w:rPr>
              <w:t>PGG inception and validation workshops</w:t>
            </w:r>
          </w:p>
        </w:tc>
        <w:tc>
          <w:tcPr>
            <w:tcW w:w="2296" w:type="dxa"/>
            <w:tcBorders>
              <w:top w:val="nil"/>
              <w:left w:val="single" w:sz="4" w:space="0" w:color="000000" w:themeColor="text1"/>
              <w:bottom w:val="single" w:sz="4" w:space="0" w:color="auto"/>
              <w:right w:val="single" w:sz="4" w:space="0" w:color="000000" w:themeColor="text1"/>
            </w:tcBorders>
            <w:shd w:val="clear" w:color="auto" w:fill="FFFFFF" w:themeFill="background1"/>
            <w:vAlign w:val="center"/>
          </w:tcPr>
          <w:p w14:paraId="088F2681" w14:textId="77777777" w:rsidR="009563B4" w:rsidRPr="004A3071" w:rsidRDefault="009563B4" w:rsidP="00481CA4">
            <w:pPr>
              <w:jc w:val="center"/>
              <w:rPr>
                <w:rFonts w:asciiTheme="minorHAnsi" w:hAnsiTheme="minorHAnsi" w:cstheme="minorHAnsi"/>
                <w:color w:val="000000"/>
                <w:sz w:val="16"/>
                <w:szCs w:val="16"/>
              </w:rPr>
            </w:pPr>
            <w:r w:rsidRPr="004A3071">
              <w:rPr>
                <w:rFonts w:asciiTheme="minorHAnsi" w:hAnsiTheme="minorHAnsi" w:cstheme="minorHAnsi"/>
                <w:sz w:val="16"/>
                <w:szCs w:val="16"/>
              </w:rPr>
              <w:t>IGCA recognize the importance of cadaster of land tenure issues and are receptive to establishing partnerships for this purpose.</w:t>
            </w:r>
          </w:p>
        </w:tc>
        <w:tc>
          <w:tcPr>
            <w:tcW w:w="1870" w:type="dxa"/>
            <w:tcBorders>
              <w:top w:val="nil"/>
              <w:left w:val="single" w:sz="4" w:space="0" w:color="000000" w:themeColor="text1"/>
              <w:bottom w:val="single" w:sz="4" w:space="0" w:color="auto"/>
              <w:right w:val="single" w:sz="4" w:space="0" w:color="000000" w:themeColor="text1"/>
            </w:tcBorders>
            <w:shd w:val="clear" w:color="auto" w:fill="FFFFFF" w:themeFill="background1"/>
            <w:vAlign w:val="center"/>
          </w:tcPr>
          <w:p w14:paraId="76C4DA88" w14:textId="77777777" w:rsidR="009563B4" w:rsidRPr="004A3071" w:rsidRDefault="009563B4" w:rsidP="00481CA4">
            <w:pPr>
              <w:jc w:val="center"/>
              <w:rPr>
                <w:rFonts w:asciiTheme="minorHAnsi" w:hAnsiTheme="minorHAnsi" w:cstheme="minorHAnsi"/>
                <w:color w:val="000000"/>
                <w:sz w:val="16"/>
                <w:szCs w:val="16"/>
              </w:rPr>
            </w:pPr>
            <w:r w:rsidRPr="004A3071">
              <w:rPr>
                <w:rFonts w:asciiTheme="minorHAnsi" w:hAnsiTheme="minorHAnsi" w:cstheme="minorHAnsi"/>
                <w:color w:val="000000"/>
                <w:sz w:val="16"/>
                <w:szCs w:val="16"/>
              </w:rPr>
              <w:t>During the implementation phase</w:t>
            </w:r>
          </w:p>
        </w:tc>
        <w:tc>
          <w:tcPr>
            <w:tcW w:w="1870" w:type="dxa"/>
            <w:tcBorders>
              <w:top w:val="nil"/>
              <w:left w:val="single" w:sz="4" w:space="0" w:color="000000" w:themeColor="text1"/>
              <w:bottom w:val="single" w:sz="4" w:space="0" w:color="auto"/>
              <w:right w:val="single" w:sz="4" w:space="0" w:color="auto"/>
            </w:tcBorders>
            <w:shd w:val="clear" w:color="auto" w:fill="FFFFFF" w:themeFill="background1"/>
            <w:vAlign w:val="center"/>
          </w:tcPr>
          <w:p w14:paraId="79009208" w14:textId="77777777" w:rsidR="009563B4" w:rsidRPr="004A3071" w:rsidRDefault="009563B4" w:rsidP="00481CA4">
            <w:pPr>
              <w:jc w:val="center"/>
              <w:rPr>
                <w:rFonts w:asciiTheme="minorHAnsi" w:hAnsiTheme="minorHAnsi" w:cstheme="minorHAnsi"/>
                <w:color w:val="000000"/>
                <w:sz w:val="16"/>
                <w:szCs w:val="16"/>
              </w:rPr>
            </w:pPr>
            <w:r w:rsidRPr="004A3071">
              <w:rPr>
                <w:rFonts w:asciiTheme="minorHAnsi" w:hAnsiTheme="minorHAnsi" w:cstheme="minorHAnsi"/>
                <w:color w:val="000000"/>
                <w:sz w:val="16"/>
                <w:szCs w:val="16"/>
              </w:rPr>
              <w:t> </w:t>
            </w:r>
          </w:p>
        </w:tc>
      </w:tr>
      <w:tr w:rsidR="000D7C84" w:rsidRPr="004A3071" w14:paraId="48531434" w14:textId="77777777" w:rsidTr="002B5FBB">
        <w:trPr>
          <w:cantSplit/>
        </w:trPr>
        <w:tc>
          <w:tcPr>
            <w:tcW w:w="1870" w:type="dxa"/>
            <w:vMerge w:val="restart"/>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5E5AE78" w14:textId="77777777" w:rsidR="000D7C84" w:rsidRPr="004A3071" w:rsidRDefault="000D7C84" w:rsidP="00481CA4">
            <w:pPr>
              <w:rPr>
                <w:rFonts w:asciiTheme="minorHAnsi" w:hAnsiTheme="minorHAnsi" w:cstheme="minorHAnsi"/>
                <w:color w:val="000000"/>
                <w:sz w:val="16"/>
                <w:szCs w:val="16"/>
              </w:rPr>
            </w:pPr>
            <w:r w:rsidRPr="004A3071">
              <w:rPr>
                <w:rFonts w:asciiTheme="minorHAnsi" w:hAnsiTheme="minorHAnsi" w:cstheme="minorHAnsi"/>
                <w:sz w:val="16"/>
                <w:szCs w:val="16"/>
              </w:rPr>
              <w:t>Provincial Governments / Provincial Authorities</w:t>
            </w:r>
          </w:p>
          <w:p w14:paraId="37631D0B" w14:textId="77777777" w:rsidR="000D7C84" w:rsidRPr="004A3071" w:rsidRDefault="000D7C84" w:rsidP="00481CA4">
            <w:pPr>
              <w:rPr>
                <w:rFonts w:asciiTheme="minorHAnsi" w:hAnsiTheme="minorHAnsi" w:cstheme="minorHAnsi"/>
                <w:color w:val="000000"/>
                <w:sz w:val="16"/>
                <w:szCs w:val="16"/>
              </w:rPr>
            </w:pPr>
            <w:r w:rsidRPr="004A3071">
              <w:rPr>
                <w:rFonts w:asciiTheme="minorHAnsi" w:hAnsiTheme="minorHAnsi" w:cstheme="minorHAnsi"/>
                <w:color w:val="000000"/>
                <w:sz w:val="16"/>
                <w:szCs w:val="16"/>
              </w:rPr>
              <w:t> </w:t>
            </w:r>
          </w:p>
          <w:p w14:paraId="705DF49A" w14:textId="77777777" w:rsidR="000D7C84" w:rsidRPr="004A3071" w:rsidRDefault="000D7C84" w:rsidP="00481CA4">
            <w:pPr>
              <w:rPr>
                <w:rFonts w:asciiTheme="minorHAnsi" w:hAnsiTheme="minorHAnsi" w:cstheme="minorHAnsi"/>
                <w:color w:val="000000"/>
                <w:sz w:val="16"/>
                <w:szCs w:val="16"/>
              </w:rPr>
            </w:pPr>
            <w:r w:rsidRPr="004A3071">
              <w:rPr>
                <w:rFonts w:asciiTheme="minorHAnsi" w:hAnsiTheme="minorHAnsi" w:cstheme="minorHAnsi"/>
                <w:color w:val="000000"/>
                <w:sz w:val="16"/>
                <w:szCs w:val="16"/>
              </w:rPr>
              <w:t> </w:t>
            </w:r>
          </w:p>
          <w:p w14:paraId="5F7DAE55" w14:textId="77777777" w:rsidR="000D7C84" w:rsidRPr="004A3071" w:rsidRDefault="000D7C84" w:rsidP="00481CA4">
            <w:pPr>
              <w:rPr>
                <w:rFonts w:asciiTheme="minorHAnsi" w:hAnsiTheme="minorHAnsi" w:cstheme="minorHAnsi"/>
                <w:color w:val="000000"/>
                <w:sz w:val="16"/>
                <w:szCs w:val="16"/>
              </w:rPr>
            </w:pPr>
            <w:r w:rsidRPr="004A3071">
              <w:rPr>
                <w:rFonts w:asciiTheme="minorHAnsi" w:hAnsiTheme="minorHAnsi" w:cstheme="minorHAnsi"/>
                <w:color w:val="000000"/>
                <w:sz w:val="16"/>
                <w:szCs w:val="16"/>
              </w:rPr>
              <w:t> </w:t>
            </w:r>
          </w:p>
        </w:tc>
        <w:tc>
          <w:tcPr>
            <w:tcW w:w="1870" w:type="dxa"/>
            <w:vMerge w:val="restart"/>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B3E81A8" w14:textId="77777777" w:rsidR="000D7C84" w:rsidRPr="004A3071" w:rsidRDefault="000D7C84" w:rsidP="00481CA4">
            <w:pPr>
              <w:jc w:val="center"/>
              <w:rPr>
                <w:rFonts w:asciiTheme="minorHAnsi" w:hAnsiTheme="minorHAnsi" w:cstheme="minorHAnsi"/>
                <w:color w:val="000000"/>
                <w:sz w:val="16"/>
                <w:szCs w:val="16"/>
              </w:rPr>
            </w:pPr>
            <w:r w:rsidRPr="004A3071">
              <w:rPr>
                <w:rFonts w:asciiTheme="minorHAnsi" w:hAnsiTheme="minorHAnsi" w:cstheme="minorHAnsi"/>
                <w:color w:val="000000"/>
                <w:sz w:val="16"/>
                <w:szCs w:val="16"/>
              </w:rPr>
              <w:t>Indirect Beneficiary</w:t>
            </w:r>
          </w:p>
          <w:p w14:paraId="7800B39E" w14:textId="77777777" w:rsidR="000D7C84" w:rsidRPr="004A3071" w:rsidRDefault="000D7C84" w:rsidP="00481CA4">
            <w:pPr>
              <w:jc w:val="center"/>
              <w:rPr>
                <w:rFonts w:asciiTheme="minorHAnsi" w:hAnsiTheme="minorHAnsi" w:cstheme="minorHAnsi"/>
                <w:color w:val="000000"/>
                <w:sz w:val="16"/>
                <w:szCs w:val="16"/>
              </w:rPr>
            </w:pPr>
            <w:r w:rsidRPr="004A3071">
              <w:rPr>
                <w:rFonts w:asciiTheme="minorHAnsi" w:hAnsiTheme="minorHAnsi" w:cstheme="minorHAnsi"/>
                <w:color w:val="000000"/>
                <w:sz w:val="16"/>
                <w:szCs w:val="16"/>
              </w:rPr>
              <w:t> </w:t>
            </w:r>
          </w:p>
          <w:p w14:paraId="4DF79DF6" w14:textId="77777777" w:rsidR="000D7C84" w:rsidRPr="004A3071" w:rsidRDefault="000D7C84" w:rsidP="00481CA4">
            <w:pPr>
              <w:jc w:val="center"/>
              <w:rPr>
                <w:rFonts w:asciiTheme="minorHAnsi" w:hAnsiTheme="minorHAnsi" w:cstheme="minorHAnsi"/>
                <w:color w:val="000000"/>
                <w:sz w:val="16"/>
                <w:szCs w:val="16"/>
              </w:rPr>
            </w:pPr>
            <w:r w:rsidRPr="004A3071">
              <w:rPr>
                <w:rFonts w:asciiTheme="minorHAnsi" w:hAnsiTheme="minorHAnsi" w:cstheme="minorHAnsi"/>
                <w:color w:val="000000"/>
                <w:sz w:val="16"/>
                <w:szCs w:val="16"/>
              </w:rPr>
              <w:t> </w:t>
            </w:r>
          </w:p>
          <w:p w14:paraId="7395CC6A" w14:textId="2F73D4BD" w:rsidR="000D7C84" w:rsidRPr="004A3071" w:rsidRDefault="000D7C84" w:rsidP="00481CA4">
            <w:pPr>
              <w:jc w:val="center"/>
              <w:rPr>
                <w:rFonts w:asciiTheme="minorHAnsi" w:hAnsiTheme="minorHAnsi" w:cstheme="minorHAnsi"/>
                <w:color w:val="000000"/>
                <w:sz w:val="16"/>
                <w:szCs w:val="16"/>
              </w:rPr>
            </w:pPr>
            <w:r w:rsidRPr="004A3071">
              <w:rPr>
                <w:rFonts w:asciiTheme="minorHAnsi" w:hAnsiTheme="minorHAnsi" w:cstheme="minorHAnsi"/>
                <w:color w:val="000000"/>
                <w:sz w:val="16"/>
                <w:szCs w:val="16"/>
              </w:rPr>
              <w:t> </w:t>
            </w:r>
          </w:p>
        </w:tc>
        <w:tc>
          <w:tcPr>
            <w:tcW w:w="1870" w:type="dxa"/>
            <w:tcBorders>
              <w:top w:val="nil"/>
              <w:left w:val="single" w:sz="4" w:space="0" w:color="auto"/>
              <w:bottom w:val="nil"/>
              <w:right w:val="single" w:sz="4" w:space="0" w:color="000000" w:themeColor="text1"/>
            </w:tcBorders>
            <w:shd w:val="clear" w:color="auto" w:fill="DDEBF7"/>
            <w:vAlign w:val="center"/>
          </w:tcPr>
          <w:p w14:paraId="54D00108" w14:textId="77777777" w:rsidR="000D7C84" w:rsidRPr="004A3071" w:rsidRDefault="000D7C84" w:rsidP="00481CA4">
            <w:pPr>
              <w:jc w:val="center"/>
              <w:rPr>
                <w:rFonts w:asciiTheme="minorHAnsi" w:hAnsiTheme="minorHAnsi" w:cstheme="minorHAnsi"/>
                <w:b/>
                <w:bCs/>
                <w:color w:val="000000"/>
                <w:sz w:val="16"/>
                <w:szCs w:val="16"/>
              </w:rPr>
            </w:pPr>
            <w:r w:rsidRPr="004A3071">
              <w:rPr>
                <w:rFonts w:asciiTheme="minorHAnsi" w:hAnsiTheme="minorHAnsi" w:cstheme="minorHAnsi"/>
                <w:b/>
                <w:bCs/>
                <w:color w:val="000000"/>
                <w:sz w:val="16"/>
                <w:szCs w:val="16"/>
              </w:rPr>
              <w:t> </w:t>
            </w:r>
          </w:p>
        </w:tc>
        <w:tc>
          <w:tcPr>
            <w:tcW w:w="1870" w:type="dxa"/>
            <w:tcBorders>
              <w:top w:val="nil"/>
              <w:left w:val="single" w:sz="4" w:space="0" w:color="000000" w:themeColor="text1"/>
              <w:bottom w:val="nil"/>
              <w:right w:val="single" w:sz="4" w:space="0" w:color="000000" w:themeColor="text1"/>
            </w:tcBorders>
            <w:shd w:val="clear" w:color="auto" w:fill="FFFFFF" w:themeFill="background1"/>
            <w:vAlign w:val="center"/>
          </w:tcPr>
          <w:p w14:paraId="4AC479EE" w14:textId="77777777" w:rsidR="000D7C84" w:rsidRPr="004A3071" w:rsidRDefault="000D7C84" w:rsidP="00481CA4">
            <w:pPr>
              <w:jc w:val="center"/>
              <w:rPr>
                <w:rFonts w:asciiTheme="minorHAnsi" w:hAnsiTheme="minorHAnsi" w:cstheme="minorHAnsi"/>
                <w:color w:val="000000"/>
                <w:sz w:val="16"/>
                <w:szCs w:val="16"/>
              </w:rPr>
            </w:pPr>
            <w:r w:rsidRPr="004A3071">
              <w:rPr>
                <w:rFonts w:asciiTheme="minorHAnsi" w:hAnsiTheme="minorHAnsi" w:cstheme="minorHAnsi"/>
                <w:color w:val="000000"/>
                <w:sz w:val="16"/>
                <w:szCs w:val="16"/>
              </w:rPr>
              <w:t xml:space="preserve">PGG inception and </w:t>
            </w:r>
          </w:p>
        </w:tc>
        <w:tc>
          <w:tcPr>
            <w:tcW w:w="2296" w:type="dxa"/>
            <w:tcBorders>
              <w:top w:val="nil"/>
              <w:left w:val="single" w:sz="4" w:space="0" w:color="000000" w:themeColor="text1"/>
              <w:bottom w:val="nil"/>
              <w:right w:val="single" w:sz="4" w:space="0" w:color="000000" w:themeColor="text1"/>
            </w:tcBorders>
            <w:shd w:val="clear" w:color="auto" w:fill="FFFFFF" w:themeFill="background1"/>
            <w:vAlign w:val="center"/>
          </w:tcPr>
          <w:p w14:paraId="6E867A1F" w14:textId="77777777" w:rsidR="000D7C84" w:rsidRPr="004A3071" w:rsidRDefault="000D7C84" w:rsidP="00481CA4">
            <w:pPr>
              <w:jc w:val="center"/>
              <w:rPr>
                <w:rFonts w:asciiTheme="minorHAnsi" w:hAnsiTheme="minorHAnsi" w:cstheme="minorHAnsi"/>
                <w:color w:val="000000"/>
                <w:sz w:val="16"/>
                <w:szCs w:val="16"/>
              </w:rPr>
            </w:pPr>
            <w:r w:rsidRPr="004A3071">
              <w:rPr>
                <w:rFonts w:asciiTheme="minorHAnsi" w:hAnsiTheme="minorHAnsi" w:cstheme="minorHAnsi"/>
                <w:color w:val="000000"/>
                <w:sz w:val="16"/>
                <w:szCs w:val="16"/>
              </w:rPr>
              <w:t> </w:t>
            </w:r>
          </w:p>
        </w:tc>
        <w:tc>
          <w:tcPr>
            <w:tcW w:w="1870" w:type="dxa"/>
            <w:tcBorders>
              <w:top w:val="nil"/>
              <w:left w:val="single" w:sz="4" w:space="0" w:color="000000" w:themeColor="text1"/>
              <w:bottom w:val="nil"/>
              <w:right w:val="single" w:sz="4" w:space="0" w:color="000000" w:themeColor="text1"/>
            </w:tcBorders>
            <w:shd w:val="clear" w:color="auto" w:fill="FFFFFF" w:themeFill="background1"/>
            <w:vAlign w:val="center"/>
          </w:tcPr>
          <w:p w14:paraId="3807EF39" w14:textId="77777777" w:rsidR="000D7C84" w:rsidRPr="004A3071" w:rsidRDefault="000D7C84" w:rsidP="00481CA4">
            <w:pPr>
              <w:jc w:val="center"/>
              <w:rPr>
                <w:rFonts w:asciiTheme="minorHAnsi" w:hAnsiTheme="minorHAnsi" w:cstheme="minorHAnsi"/>
                <w:color w:val="000000"/>
                <w:sz w:val="16"/>
                <w:szCs w:val="16"/>
              </w:rPr>
            </w:pPr>
            <w:r w:rsidRPr="004A3071">
              <w:rPr>
                <w:rFonts w:asciiTheme="minorHAnsi" w:hAnsiTheme="minorHAnsi" w:cstheme="minorHAnsi"/>
                <w:color w:val="000000"/>
                <w:sz w:val="16"/>
                <w:szCs w:val="16"/>
              </w:rPr>
              <w:t> </w:t>
            </w:r>
          </w:p>
        </w:tc>
        <w:tc>
          <w:tcPr>
            <w:tcW w:w="1870" w:type="dxa"/>
            <w:tcBorders>
              <w:top w:val="nil"/>
              <w:left w:val="single" w:sz="4" w:space="0" w:color="000000" w:themeColor="text1"/>
              <w:bottom w:val="nil"/>
              <w:right w:val="single" w:sz="4" w:space="0" w:color="auto"/>
            </w:tcBorders>
            <w:shd w:val="clear" w:color="auto" w:fill="FFFFFF" w:themeFill="background1"/>
            <w:vAlign w:val="center"/>
          </w:tcPr>
          <w:p w14:paraId="23713035" w14:textId="77777777" w:rsidR="000D7C84" w:rsidRPr="004A3071" w:rsidRDefault="000D7C84" w:rsidP="00481CA4">
            <w:pPr>
              <w:jc w:val="center"/>
              <w:rPr>
                <w:rFonts w:asciiTheme="minorHAnsi" w:hAnsiTheme="minorHAnsi" w:cstheme="minorHAnsi"/>
                <w:color w:val="000000"/>
                <w:sz w:val="16"/>
                <w:szCs w:val="16"/>
              </w:rPr>
            </w:pPr>
            <w:r w:rsidRPr="004A3071">
              <w:rPr>
                <w:rFonts w:asciiTheme="minorHAnsi" w:hAnsiTheme="minorHAnsi" w:cstheme="minorHAnsi"/>
                <w:color w:val="000000"/>
                <w:sz w:val="16"/>
                <w:szCs w:val="16"/>
              </w:rPr>
              <w:t> </w:t>
            </w:r>
          </w:p>
        </w:tc>
      </w:tr>
      <w:tr w:rsidR="000D7C84" w:rsidRPr="004A3071" w14:paraId="33470D30" w14:textId="77777777" w:rsidTr="002B5FBB">
        <w:trPr>
          <w:cantSplit/>
        </w:trPr>
        <w:tc>
          <w:tcPr>
            <w:tcW w:w="1870" w:type="dxa"/>
            <w:vMerge/>
            <w:tcBorders>
              <w:left w:val="single" w:sz="4" w:space="0" w:color="auto"/>
              <w:bottom w:val="single" w:sz="4" w:space="0" w:color="auto"/>
              <w:right w:val="single" w:sz="4" w:space="0" w:color="auto"/>
            </w:tcBorders>
            <w:vAlign w:val="center"/>
          </w:tcPr>
          <w:p w14:paraId="363AFC83" w14:textId="77777777" w:rsidR="000D7C84" w:rsidRPr="004A3071" w:rsidRDefault="000D7C84" w:rsidP="00481CA4">
            <w:pPr>
              <w:rPr>
                <w:rFonts w:asciiTheme="minorHAnsi" w:hAnsiTheme="minorHAnsi" w:cstheme="minorHAnsi"/>
                <w:color w:val="000000"/>
                <w:sz w:val="16"/>
                <w:szCs w:val="16"/>
              </w:rPr>
            </w:pPr>
          </w:p>
        </w:tc>
        <w:tc>
          <w:tcPr>
            <w:tcW w:w="1870" w:type="dxa"/>
            <w:vMerge/>
            <w:tcBorders>
              <w:left w:val="single" w:sz="4" w:space="0" w:color="auto"/>
              <w:bottom w:val="single" w:sz="4" w:space="0" w:color="auto"/>
            </w:tcBorders>
            <w:vAlign w:val="center"/>
          </w:tcPr>
          <w:p w14:paraId="0FF5FD77" w14:textId="35CA3F1C" w:rsidR="000D7C84" w:rsidRPr="004A3071" w:rsidRDefault="000D7C84" w:rsidP="00481CA4">
            <w:pPr>
              <w:jc w:val="center"/>
              <w:rPr>
                <w:rFonts w:asciiTheme="minorHAnsi" w:hAnsiTheme="minorHAnsi" w:cstheme="minorHAnsi"/>
                <w:color w:val="000000"/>
                <w:sz w:val="16"/>
                <w:szCs w:val="16"/>
              </w:rPr>
            </w:pPr>
          </w:p>
        </w:tc>
        <w:tc>
          <w:tcPr>
            <w:tcW w:w="1870" w:type="dxa"/>
            <w:tcBorders>
              <w:top w:val="nil"/>
              <w:left w:val="single" w:sz="4" w:space="0" w:color="auto"/>
              <w:bottom w:val="nil"/>
              <w:right w:val="single" w:sz="4" w:space="0" w:color="000000" w:themeColor="text1"/>
            </w:tcBorders>
            <w:shd w:val="clear" w:color="auto" w:fill="DDEBF7"/>
            <w:vAlign w:val="center"/>
          </w:tcPr>
          <w:p w14:paraId="6B0989D5" w14:textId="77777777" w:rsidR="000D7C84" w:rsidRPr="004A3071" w:rsidRDefault="000D7C84" w:rsidP="00481CA4">
            <w:pPr>
              <w:jc w:val="center"/>
              <w:rPr>
                <w:rFonts w:asciiTheme="minorHAnsi" w:hAnsiTheme="minorHAnsi" w:cstheme="minorHAnsi"/>
                <w:b/>
                <w:bCs/>
                <w:color w:val="000000"/>
                <w:sz w:val="16"/>
                <w:szCs w:val="16"/>
              </w:rPr>
            </w:pPr>
            <w:r w:rsidRPr="004A3071">
              <w:rPr>
                <w:rFonts w:asciiTheme="minorHAnsi" w:hAnsiTheme="minorHAnsi" w:cstheme="minorHAnsi"/>
                <w:b/>
                <w:bCs/>
                <w:color w:val="000000"/>
                <w:sz w:val="16"/>
                <w:szCs w:val="16"/>
              </w:rPr>
              <w:t>National Government Institution/body</w:t>
            </w:r>
          </w:p>
        </w:tc>
        <w:tc>
          <w:tcPr>
            <w:tcW w:w="1870" w:type="dxa"/>
            <w:tcBorders>
              <w:top w:val="nil"/>
              <w:left w:val="single" w:sz="4" w:space="0" w:color="000000" w:themeColor="text1"/>
              <w:bottom w:val="nil"/>
              <w:right w:val="single" w:sz="4" w:space="0" w:color="000000" w:themeColor="text1"/>
            </w:tcBorders>
            <w:shd w:val="clear" w:color="auto" w:fill="FFFFFF" w:themeFill="background1"/>
            <w:vAlign w:val="center"/>
          </w:tcPr>
          <w:p w14:paraId="67F994C8" w14:textId="77777777" w:rsidR="000D7C84" w:rsidRPr="004A3071" w:rsidRDefault="000D7C84" w:rsidP="00481CA4">
            <w:pPr>
              <w:jc w:val="center"/>
              <w:rPr>
                <w:rFonts w:asciiTheme="minorHAnsi" w:hAnsiTheme="minorHAnsi" w:cstheme="minorHAnsi"/>
                <w:color w:val="000000"/>
                <w:sz w:val="16"/>
                <w:szCs w:val="16"/>
              </w:rPr>
            </w:pPr>
            <w:r w:rsidRPr="004A3071">
              <w:rPr>
                <w:rFonts w:asciiTheme="minorHAnsi" w:hAnsiTheme="minorHAnsi" w:cstheme="minorHAnsi"/>
                <w:color w:val="000000"/>
                <w:sz w:val="16"/>
                <w:szCs w:val="16"/>
              </w:rPr>
              <w:t>Face-to-face meetings</w:t>
            </w:r>
          </w:p>
        </w:tc>
        <w:tc>
          <w:tcPr>
            <w:tcW w:w="2296" w:type="dxa"/>
            <w:tcBorders>
              <w:top w:val="nil"/>
              <w:left w:val="single" w:sz="4" w:space="0" w:color="000000" w:themeColor="text1"/>
              <w:bottom w:val="nil"/>
              <w:right w:val="single" w:sz="4" w:space="0" w:color="000000" w:themeColor="text1"/>
            </w:tcBorders>
            <w:shd w:val="clear" w:color="auto" w:fill="FFFFFF" w:themeFill="background1"/>
            <w:vAlign w:val="center"/>
          </w:tcPr>
          <w:p w14:paraId="6CCDA5C7" w14:textId="77777777" w:rsidR="000D7C84" w:rsidRPr="004A3071" w:rsidRDefault="000D7C84" w:rsidP="00481CA4">
            <w:pPr>
              <w:jc w:val="center"/>
              <w:rPr>
                <w:rFonts w:asciiTheme="minorHAnsi" w:hAnsiTheme="minorHAnsi" w:cstheme="minorHAnsi"/>
                <w:color w:val="000000"/>
                <w:sz w:val="16"/>
                <w:szCs w:val="16"/>
              </w:rPr>
            </w:pPr>
            <w:r w:rsidRPr="004A3071">
              <w:rPr>
                <w:rFonts w:asciiTheme="minorHAnsi" w:hAnsiTheme="minorHAnsi" w:cstheme="minorHAnsi"/>
                <w:sz w:val="16"/>
                <w:szCs w:val="16"/>
              </w:rPr>
              <w:t>The provincial governments of Cunene and Cuando Cubango are committed to support the project, as local point through Provincial directorate of environment</w:t>
            </w:r>
          </w:p>
        </w:tc>
        <w:tc>
          <w:tcPr>
            <w:tcW w:w="1870" w:type="dxa"/>
            <w:tcBorders>
              <w:top w:val="nil"/>
              <w:left w:val="single" w:sz="4" w:space="0" w:color="000000" w:themeColor="text1"/>
              <w:bottom w:val="nil"/>
              <w:right w:val="single" w:sz="4" w:space="0" w:color="000000" w:themeColor="text1"/>
            </w:tcBorders>
            <w:shd w:val="clear" w:color="auto" w:fill="FFFFFF" w:themeFill="background1"/>
            <w:vAlign w:val="center"/>
          </w:tcPr>
          <w:p w14:paraId="285DBD6E" w14:textId="77777777" w:rsidR="000D7C84" w:rsidRPr="004A3071" w:rsidRDefault="000D7C84" w:rsidP="00481CA4">
            <w:pPr>
              <w:jc w:val="center"/>
              <w:rPr>
                <w:rFonts w:asciiTheme="minorHAnsi" w:hAnsiTheme="minorHAnsi" w:cstheme="minorHAnsi"/>
                <w:color w:val="000000"/>
                <w:sz w:val="16"/>
                <w:szCs w:val="16"/>
              </w:rPr>
            </w:pPr>
            <w:r w:rsidRPr="004A3071">
              <w:rPr>
                <w:rFonts w:asciiTheme="minorHAnsi" w:hAnsiTheme="minorHAnsi" w:cstheme="minorHAnsi"/>
                <w:color w:val="000000"/>
                <w:sz w:val="16"/>
                <w:szCs w:val="16"/>
              </w:rPr>
              <w:t>During the implementation phase</w:t>
            </w:r>
          </w:p>
        </w:tc>
        <w:tc>
          <w:tcPr>
            <w:tcW w:w="1870" w:type="dxa"/>
            <w:tcBorders>
              <w:top w:val="nil"/>
              <w:left w:val="single" w:sz="4" w:space="0" w:color="000000" w:themeColor="text1"/>
              <w:bottom w:val="nil"/>
              <w:right w:val="single" w:sz="4" w:space="0" w:color="auto"/>
            </w:tcBorders>
            <w:shd w:val="clear" w:color="auto" w:fill="FFFFFF" w:themeFill="background1"/>
            <w:vAlign w:val="center"/>
          </w:tcPr>
          <w:p w14:paraId="2F38DB6F" w14:textId="77777777" w:rsidR="000D7C84" w:rsidRPr="004A3071" w:rsidRDefault="000D7C84" w:rsidP="00481CA4">
            <w:pPr>
              <w:jc w:val="center"/>
              <w:rPr>
                <w:rFonts w:asciiTheme="minorHAnsi" w:hAnsiTheme="minorHAnsi" w:cstheme="minorHAnsi"/>
                <w:color w:val="000000"/>
                <w:sz w:val="16"/>
                <w:szCs w:val="16"/>
              </w:rPr>
            </w:pPr>
            <w:r w:rsidRPr="004A3071">
              <w:rPr>
                <w:rFonts w:asciiTheme="minorHAnsi" w:hAnsiTheme="minorHAnsi" w:cstheme="minorHAnsi"/>
                <w:color w:val="000000"/>
                <w:sz w:val="16"/>
                <w:szCs w:val="16"/>
              </w:rPr>
              <w:t> </w:t>
            </w:r>
          </w:p>
        </w:tc>
      </w:tr>
      <w:tr w:rsidR="000D7C84" w:rsidRPr="004A3071" w14:paraId="288A7662" w14:textId="77777777" w:rsidTr="002B5FBB">
        <w:trPr>
          <w:cantSplit/>
        </w:trPr>
        <w:tc>
          <w:tcPr>
            <w:tcW w:w="1870" w:type="dxa"/>
            <w:vMerge/>
            <w:tcBorders>
              <w:left w:val="single" w:sz="4" w:space="0" w:color="auto"/>
              <w:bottom w:val="single" w:sz="4" w:space="0" w:color="auto"/>
              <w:right w:val="single" w:sz="4" w:space="0" w:color="auto"/>
            </w:tcBorders>
            <w:vAlign w:val="center"/>
          </w:tcPr>
          <w:p w14:paraId="47D1B870" w14:textId="77777777" w:rsidR="000D7C84" w:rsidRPr="004A3071" w:rsidRDefault="000D7C84" w:rsidP="00481CA4">
            <w:pPr>
              <w:rPr>
                <w:rFonts w:asciiTheme="minorHAnsi" w:hAnsiTheme="minorHAnsi" w:cstheme="minorHAnsi"/>
                <w:color w:val="000000"/>
                <w:sz w:val="16"/>
                <w:szCs w:val="16"/>
              </w:rPr>
            </w:pPr>
          </w:p>
        </w:tc>
        <w:tc>
          <w:tcPr>
            <w:tcW w:w="1870" w:type="dxa"/>
            <w:vMerge/>
            <w:tcBorders>
              <w:left w:val="single" w:sz="4" w:space="0" w:color="auto"/>
              <w:bottom w:val="single" w:sz="4" w:space="0" w:color="auto"/>
            </w:tcBorders>
            <w:vAlign w:val="center"/>
          </w:tcPr>
          <w:p w14:paraId="539D7DE6" w14:textId="144AFEFE" w:rsidR="000D7C84" w:rsidRPr="004A3071" w:rsidRDefault="000D7C84" w:rsidP="00481CA4">
            <w:pPr>
              <w:jc w:val="center"/>
              <w:rPr>
                <w:rFonts w:asciiTheme="minorHAnsi" w:hAnsiTheme="minorHAnsi" w:cstheme="minorHAnsi"/>
                <w:color w:val="000000"/>
                <w:sz w:val="16"/>
                <w:szCs w:val="16"/>
              </w:rPr>
            </w:pPr>
          </w:p>
        </w:tc>
        <w:tc>
          <w:tcPr>
            <w:tcW w:w="1870" w:type="dxa"/>
            <w:tcBorders>
              <w:top w:val="nil"/>
              <w:left w:val="single" w:sz="4" w:space="0" w:color="auto"/>
              <w:bottom w:val="nil"/>
              <w:right w:val="single" w:sz="4" w:space="0" w:color="000000" w:themeColor="text1"/>
            </w:tcBorders>
            <w:shd w:val="clear" w:color="auto" w:fill="DDEBF7"/>
            <w:vAlign w:val="center"/>
          </w:tcPr>
          <w:p w14:paraId="5BF3B8E5" w14:textId="77777777" w:rsidR="000D7C84" w:rsidRPr="004A3071" w:rsidRDefault="000D7C84" w:rsidP="00481CA4">
            <w:pPr>
              <w:jc w:val="center"/>
              <w:rPr>
                <w:rFonts w:asciiTheme="minorHAnsi" w:hAnsiTheme="minorHAnsi" w:cstheme="minorHAnsi"/>
                <w:b/>
                <w:bCs/>
                <w:color w:val="000000"/>
                <w:sz w:val="16"/>
                <w:szCs w:val="16"/>
              </w:rPr>
            </w:pPr>
            <w:r w:rsidRPr="004A3071">
              <w:rPr>
                <w:rFonts w:asciiTheme="minorHAnsi" w:hAnsiTheme="minorHAnsi" w:cstheme="minorHAnsi"/>
                <w:b/>
                <w:bCs/>
                <w:color w:val="000000"/>
                <w:sz w:val="16"/>
                <w:szCs w:val="16"/>
              </w:rPr>
              <w:t> </w:t>
            </w:r>
          </w:p>
        </w:tc>
        <w:tc>
          <w:tcPr>
            <w:tcW w:w="1870" w:type="dxa"/>
            <w:tcBorders>
              <w:top w:val="nil"/>
              <w:left w:val="single" w:sz="4" w:space="0" w:color="000000" w:themeColor="text1"/>
              <w:bottom w:val="nil"/>
              <w:right w:val="single" w:sz="4" w:space="0" w:color="000000" w:themeColor="text1"/>
            </w:tcBorders>
            <w:shd w:val="clear" w:color="auto" w:fill="FFFFFF" w:themeFill="background1"/>
            <w:vAlign w:val="center"/>
          </w:tcPr>
          <w:p w14:paraId="300908F3" w14:textId="77777777" w:rsidR="000D7C84" w:rsidRPr="004A3071" w:rsidRDefault="000D7C84" w:rsidP="00481CA4">
            <w:pPr>
              <w:jc w:val="center"/>
              <w:rPr>
                <w:rFonts w:asciiTheme="minorHAnsi" w:hAnsiTheme="minorHAnsi" w:cstheme="minorHAnsi"/>
                <w:color w:val="000000"/>
                <w:sz w:val="16"/>
                <w:szCs w:val="16"/>
              </w:rPr>
            </w:pPr>
            <w:r w:rsidRPr="004A3071">
              <w:rPr>
                <w:rFonts w:asciiTheme="minorHAnsi" w:hAnsiTheme="minorHAnsi" w:cstheme="minorHAnsi"/>
                <w:sz w:val="16"/>
                <w:szCs w:val="16"/>
              </w:rPr>
              <w:t>Consultation workshop</w:t>
            </w:r>
          </w:p>
        </w:tc>
        <w:tc>
          <w:tcPr>
            <w:tcW w:w="2296" w:type="dxa"/>
            <w:tcBorders>
              <w:top w:val="nil"/>
              <w:left w:val="single" w:sz="4" w:space="0" w:color="000000" w:themeColor="text1"/>
              <w:bottom w:val="nil"/>
              <w:right w:val="single" w:sz="4" w:space="0" w:color="000000" w:themeColor="text1"/>
            </w:tcBorders>
            <w:shd w:val="clear" w:color="auto" w:fill="FFFFFF" w:themeFill="background1"/>
            <w:vAlign w:val="center"/>
          </w:tcPr>
          <w:p w14:paraId="65A9315C" w14:textId="77777777" w:rsidR="000D7C84" w:rsidRPr="004A3071" w:rsidRDefault="000D7C84" w:rsidP="00481CA4">
            <w:pPr>
              <w:jc w:val="center"/>
              <w:rPr>
                <w:rFonts w:asciiTheme="minorHAnsi" w:hAnsiTheme="minorHAnsi" w:cstheme="minorHAnsi"/>
                <w:color w:val="000000"/>
                <w:sz w:val="16"/>
                <w:szCs w:val="16"/>
              </w:rPr>
            </w:pPr>
            <w:r w:rsidRPr="004A3071">
              <w:rPr>
                <w:rFonts w:asciiTheme="minorHAnsi" w:hAnsiTheme="minorHAnsi" w:cstheme="minorHAnsi"/>
                <w:color w:val="000000"/>
                <w:sz w:val="16"/>
                <w:szCs w:val="16"/>
              </w:rPr>
              <w:t> </w:t>
            </w:r>
          </w:p>
        </w:tc>
        <w:tc>
          <w:tcPr>
            <w:tcW w:w="1870" w:type="dxa"/>
            <w:tcBorders>
              <w:top w:val="nil"/>
              <w:left w:val="single" w:sz="4" w:space="0" w:color="000000" w:themeColor="text1"/>
              <w:bottom w:val="nil"/>
              <w:right w:val="single" w:sz="4" w:space="0" w:color="000000" w:themeColor="text1"/>
            </w:tcBorders>
            <w:shd w:val="clear" w:color="auto" w:fill="FFFFFF" w:themeFill="background1"/>
            <w:vAlign w:val="center"/>
          </w:tcPr>
          <w:p w14:paraId="26D78385" w14:textId="77777777" w:rsidR="000D7C84" w:rsidRPr="004A3071" w:rsidRDefault="000D7C84" w:rsidP="00481CA4">
            <w:pPr>
              <w:jc w:val="center"/>
              <w:rPr>
                <w:rFonts w:asciiTheme="minorHAnsi" w:hAnsiTheme="minorHAnsi" w:cstheme="minorHAnsi"/>
                <w:color w:val="000000"/>
                <w:sz w:val="16"/>
                <w:szCs w:val="16"/>
              </w:rPr>
            </w:pPr>
            <w:r w:rsidRPr="004A3071">
              <w:rPr>
                <w:rFonts w:asciiTheme="minorHAnsi" w:hAnsiTheme="minorHAnsi" w:cstheme="minorHAnsi"/>
                <w:color w:val="000000"/>
                <w:sz w:val="16"/>
                <w:szCs w:val="16"/>
              </w:rPr>
              <w:t> </w:t>
            </w:r>
          </w:p>
        </w:tc>
        <w:tc>
          <w:tcPr>
            <w:tcW w:w="1870" w:type="dxa"/>
            <w:tcBorders>
              <w:top w:val="nil"/>
              <w:left w:val="single" w:sz="4" w:space="0" w:color="000000" w:themeColor="text1"/>
              <w:bottom w:val="nil"/>
              <w:right w:val="single" w:sz="4" w:space="0" w:color="auto"/>
            </w:tcBorders>
            <w:shd w:val="clear" w:color="auto" w:fill="FFFFFF" w:themeFill="background1"/>
            <w:vAlign w:val="center"/>
          </w:tcPr>
          <w:p w14:paraId="34DD4AC7" w14:textId="77777777" w:rsidR="000D7C84" w:rsidRPr="004A3071" w:rsidRDefault="000D7C84" w:rsidP="00481CA4">
            <w:pPr>
              <w:jc w:val="center"/>
              <w:rPr>
                <w:rFonts w:asciiTheme="minorHAnsi" w:hAnsiTheme="minorHAnsi" w:cstheme="minorHAnsi"/>
                <w:color w:val="000000"/>
                <w:sz w:val="16"/>
                <w:szCs w:val="16"/>
              </w:rPr>
            </w:pPr>
            <w:r w:rsidRPr="004A3071">
              <w:rPr>
                <w:rFonts w:asciiTheme="minorHAnsi" w:hAnsiTheme="minorHAnsi" w:cstheme="minorHAnsi"/>
                <w:color w:val="000000"/>
                <w:sz w:val="16"/>
                <w:szCs w:val="16"/>
              </w:rPr>
              <w:t> </w:t>
            </w:r>
          </w:p>
        </w:tc>
      </w:tr>
      <w:tr w:rsidR="000D7C84" w:rsidRPr="004A3071" w14:paraId="31E449E6" w14:textId="77777777" w:rsidTr="004A3071">
        <w:trPr>
          <w:cantSplit/>
        </w:trPr>
        <w:tc>
          <w:tcPr>
            <w:tcW w:w="1870" w:type="dxa"/>
            <w:vMerge/>
            <w:tcBorders>
              <w:left w:val="single" w:sz="4" w:space="0" w:color="auto"/>
              <w:bottom w:val="single" w:sz="4" w:space="0" w:color="auto"/>
              <w:right w:val="single" w:sz="4" w:space="0" w:color="auto"/>
            </w:tcBorders>
            <w:vAlign w:val="center"/>
          </w:tcPr>
          <w:p w14:paraId="62EC4905" w14:textId="77777777" w:rsidR="000D7C84" w:rsidRPr="004A3071" w:rsidRDefault="000D7C84" w:rsidP="00481CA4">
            <w:pPr>
              <w:rPr>
                <w:rFonts w:asciiTheme="minorHAnsi" w:hAnsiTheme="minorHAnsi" w:cstheme="minorHAnsi"/>
                <w:color w:val="000000"/>
                <w:sz w:val="16"/>
                <w:szCs w:val="16"/>
              </w:rPr>
            </w:pPr>
          </w:p>
        </w:tc>
        <w:tc>
          <w:tcPr>
            <w:tcW w:w="1870" w:type="dxa"/>
            <w:vMerge/>
            <w:tcBorders>
              <w:left w:val="single" w:sz="4" w:space="0" w:color="auto"/>
              <w:bottom w:val="single" w:sz="4" w:space="0" w:color="auto"/>
            </w:tcBorders>
            <w:vAlign w:val="center"/>
          </w:tcPr>
          <w:p w14:paraId="1DBA203B" w14:textId="3AA9206D" w:rsidR="000D7C84" w:rsidRPr="004A3071" w:rsidRDefault="000D7C84" w:rsidP="00481CA4">
            <w:pPr>
              <w:jc w:val="center"/>
              <w:rPr>
                <w:rFonts w:asciiTheme="minorHAnsi" w:hAnsiTheme="minorHAnsi" w:cstheme="minorHAnsi"/>
                <w:color w:val="000000"/>
                <w:sz w:val="16"/>
                <w:szCs w:val="16"/>
              </w:rPr>
            </w:pPr>
          </w:p>
        </w:tc>
        <w:tc>
          <w:tcPr>
            <w:tcW w:w="1870" w:type="dxa"/>
            <w:tcBorders>
              <w:top w:val="nil"/>
              <w:left w:val="single" w:sz="4" w:space="0" w:color="auto"/>
              <w:bottom w:val="single" w:sz="4" w:space="0" w:color="auto"/>
              <w:right w:val="single" w:sz="4" w:space="0" w:color="000000" w:themeColor="text1"/>
            </w:tcBorders>
            <w:shd w:val="clear" w:color="auto" w:fill="DDEBF7"/>
            <w:vAlign w:val="center"/>
          </w:tcPr>
          <w:p w14:paraId="087341FE" w14:textId="77777777" w:rsidR="000D7C84" w:rsidRPr="004A3071" w:rsidRDefault="000D7C84" w:rsidP="00481CA4">
            <w:pPr>
              <w:jc w:val="center"/>
              <w:rPr>
                <w:rFonts w:asciiTheme="minorHAnsi" w:hAnsiTheme="minorHAnsi" w:cstheme="minorHAnsi"/>
                <w:b/>
                <w:bCs/>
                <w:color w:val="000000"/>
                <w:sz w:val="16"/>
                <w:szCs w:val="16"/>
              </w:rPr>
            </w:pPr>
            <w:r w:rsidRPr="004A3071">
              <w:rPr>
                <w:rFonts w:asciiTheme="minorHAnsi" w:hAnsiTheme="minorHAnsi" w:cstheme="minorHAnsi"/>
                <w:b/>
                <w:bCs/>
                <w:color w:val="000000"/>
                <w:sz w:val="16"/>
                <w:szCs w:val="16"/>
              </w:rPr>
              <w:t> </w:t>
            </w:r>
          </w:p>
        </w:tc>
        <w:tc>
          <w:tcPr>
            <w:tcW w:w="1870" w:type="dxa"/>
            <w:tcBorders>
              <w:top w:val="nil"/>
              <w:left w:val="single" w:sz="4" w:space="0" w:color="000000" w:themeColor="text1"/>
              <w:bottom w:val="single" w:sz="4" w:space="0" w:color="auto"/>
              <w:right w:val="single" w:sz="4" w:space="0" w:color="000000" w:themeColor="text1"/>
            </w:tcBorders>
            <w:shd w:val="clear" w:color="auto" w:fill="FFFFFF" w:themeFill="background1"/>
            <w:vAlign w:val="center"/>
          </w:tcPr>
          <w:p w14:paraId="48B7567C" w14:textId="77777777" w:rsidR="000D7C84" w:rsidRPr="004A3071" w:rsidRDefault="000D7C84" w:rsidP="00481CA4">
            <w:pPr>
              <w:jc w:val="center"/>
              <w:rPr>
                <w:rFonts w:asciiTheme="minorHAnsi" w:hAnsiTheme="minorHAnsi" w:cstheme="minorHAnsi"/>
                <w:color w:val="000000"/>
                <w:sz w:val="16"/>
                <w:szCs w:val="16"/>
              </w:rPr>
            </w:pPr>
            <w:r w:rsidRPr="004A3071">
              <w:rPr>
                <w:rFonts w:asciiTheme="minorHAnsi" w:hAnsiTheme="minorHAnsi" w:cstheme="minorHAnsi"/>
                <w:color w:val="000000"/>
                <w:sz w:val="16"/>
                <w:szCs w:val="16"/>
              </w:rPr>
              <w:t>Face-to-face meetings</w:t>
            </w:r>
          </w:p>
        </w:tc>
        <w:tc>
          <w:tcPr>
            <w:tcW w:w="2296" w:type="dxa"/>
            <w:tcBorders>
              <w:top w:val="nil"/>
              <w:left w:val="single" w:sz="4" w:space="0" w:color="000000" w:themeColor="text1"/>
              <w:bottom w:val="single" w:sz="4" w:space="0" w:color="auto"/>
              <w:right w:val="single" w:sz="4" w:space="0" w:color="000000" w:themeColor="text1"/>
            </w:tcBorders>
            <w:shd w:val="clear" w:color="auto" w:fill="FFFFFF" w:themeFill="background1"/>
            <w:vAlign w:val="center"/>
          </w:tcPr>
          <w:p w14:paraId="3C7DA924" w14:textId="77777777" w:rsidR="000D7C84" w:rsidRPr="004A3071" w:rsidRDefault="000D7C84" w:rsidP="00481CA4">
            <w:pPr>
              <w:jc w:val="center"/>
              <w:rPr>
                <w:rFonts w:asciiTheme="minorHAnsi" w:hAnsiTheme="minorHAnsi" w:cstheme="minorHAnsi"/>
                <w:color w:val="000000"/>
                <w:sz w:val="16"/>
                <w:szCs w:val="16"/>
              </w:rPr>
            </w:pPr>
            <w:r w:rsidRPr="004A3071">
              <w:rPr>
                <w:rFonts w:asciiTheme="minorHAnsi" w:hAnsiTheme="minorHAnsi" w:cstheme="minorHAnsi"/>
                <w:color w:val="000000"/>
                <w:sz w:val="16"/>
                <w:szCs w:val="16"/>
              </w:rPr>
              <w:t> </w:t>
            </w:r>
          </w:p>
        </w:tc>
        <w:tc>
          <w:tcPr>
            <w:tcW w:w="1870" w:type="dxa"/>
            <w:tcBorders>
              <w:top w:val="nil"/>
              <w:left w:val="single" w:sz="4" w:space="0" w:color="000000" w:themeColor="text1"/>
              <w:bottom w:val="single" w:sz="4" w:space="0" w:color="auto"/>
              <w:right w:val="single" w:sz="4" w:space="0" w:color="000000" w:themeColor="text1"/>
            </w:tcBorders>
            <w:shd w:val="clear" w:color="auto" w:fill="FFFFFF" w:themeFill="background1"/>
            <w:vAlign w:val="center"/>
          </w:tcPr>
          <w:p w14:paraId="3BCE989B" w14:textId="77777777" w:rsidR="000D7C84" w:rsidRPr="004A3071" w:rsidRDefault="000D7C84" w:rsidP="00481CA4">
            <w:pPr>
              <w:jc w:val="center"/>
              <w:rPr>
                <w:rFonts w:asciiTheme="minorHAnsi" w:hAnsiTheme="minorHAnsi" w:cstheme="minorHAnsi"/>
                <w:color w:val="000000"/>
                <w:sz w:val="16"/>
                <w:szCs w:val="16"/>
              </w:rPr>
            </w:pPr>
            <w:r w:rsidRPr="004A3071">
              <w:rPr>
                <w:rFonts w:asciiTheme="minorHAnsi" w:hAnsiTheme="minorHAnsi" w:cstheme="minorHAnsi"/>
                <w:color w:val="000000"/>
                <w:sz w:val="16"/>
                <w:szCs w:val="16"/>
              </w:rPr>
              <w:t> </w:t>
            </w:r>
          </w:p>
        </w:tc>
        <w:tc>
          <w:tcPr>
            <w:tcW w:w="1870" w:type="dxa"/>
            <w:tcBorders>
              <w:top w:val="nil"/>
              <w:left w:val="single" w:sz="4" w:space="0" w:color="000000" w:themeColor="text1"/>
              <w:bottom w:val="single" w:sz="4" w:space="0" w:color="auto"/>
              <w:right w:val="single" w:sz="4" w:space="0" w:color="auto"/>
            </w:tcBorders>
            <w:shd w:val="clear" w:color="auto" w:fill="FFFFFF" w:themeFill="background1"/>
            <w:vAlign w:val="center"/>
          </w:tcPr>
          <w:p w14:paraId="7FC13391" w14:textId="77777777" w:rsidR="000D7C84" w:rsidRPr="004A3071" w:rsidRDefault="000D7C84" w:rsidP="00481CA4">
            <w:pPr>
              <w:jc w:val="center"/>
              <w:rPr>
                <w:rFonts w:asciiTheme="minorHAnsi" w:hAnsiTheme="minorHAnsi" w:cstheme="minorHAnsi"/>
                <w:color w:val="000000"/>
                <w:sz w:val="16"/>
                <w:szCs w:val="16"/>
              </w:rPr>
            </w:pPr>
            <w:r w:rsidRPr="004A3071">
              <w:rPr>
                <w:rFonts w:asciiTheme="minorHAnsi" w:hAnsiTheme="minorHAnsi" w:cstheme="minorHAnsi"/>
                <w:color w:val="000000"/>
                <w:sz w:val="16"/>
                <w:szCs w:val="16"/>
              </w:rPr>
              <w:t> </w:t>
            </w:r>
          </w:p>
        </w:tc>
      </w:tr>
      <w:tr w:rsidR="009563B4" w:rsidRPr="004A3071" w14:paraId="1C90AFBB" w14:textId="77777777" w:rsidTr="002B5FBB">
        <w:trPr>
          <w:cantSplit/>
        </w:trPr>
        <w:tc>
          <w:tcPr>
            <w:tcW w:w="1870" w:type="dxa"/>
            <w:vMerge w:val="restart"/>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DF3B8B9" w14:textId="77777777" w:rsidR="009563B4" w:rsidRPr="004A3071" w:rsidRDefault="009563B4" w:rsidP="00481CA4">
            <w:pPr>
              <w:rPr>
                <w:rFonts w:asciiTheme="minorHAnsi" w:hAnsiTheme="minorHAnsi" w:cstheme="minorHAnsi"/>
                <w:color w:val="000000"/>
                <w:sz w:val="16"/>
                <w:szCs w:val="16"/>
              </w:rPr>
            </w:pPr>
            <w:r w:rsidRPr="004A3071">
              <w:rPr>
                <w:rFonts w:asciiTheme="minorHAnsi" w:hAnsiTheme="minorHAnsi" w:cstheme="minorHAnsi"/>
                <w:sz w:val="16"/>
                <w:szCs w:val="16"/>
              </w:rPr>
              <w:t>Municipal Authorities</w:t>
            </w:r>
          </w:p>
          <w:p w14:paraId="2A026594" w14:textId="77777777" w:rsidR="009563B4" w:rsidRPr="004A3071" w:rsidRDefault="009563B4" w:rsidP="00481CA4">
            <w:pPr>
              <w:rPr>
                <w:rFonts w:asciiTheme="minorHAnsi" w:hAnsiTheme="minorHAnsi" w:cstheme="minorHAnsi"/>
                <w:color w:val="000000"/>
                <w:sz w:val="16"/>
                <w:szCs w:val="16"/>
              </w:rPr>
            </w:pPr>
            <w:r w:rsidRPr="004A3071">
              <w:rPr>
                <w:rFonts w:asciiTheme="minorHAnsi" w:hAnsiTheme="minorHAnsi" w:cstheme="minorHAnsi"/>
                <w:color w:val="000000"/>
                <w:sz w:val="16"/>
                <w:szCs w:val="16"/>
              </w:rPr>
              <w:t> </w:t>
            </w:r>
          </w:p>
          <w:p w14:paraId="38FFA679" w14:textId="77777777" w:rsidR="009563B4" w:rsidRPr="004A3071" w:rsidRDefault="009563B4" w:rsidP="00481CA4">
            <w:pPr>
              <w:rPr>
                <w:rFonts w:asciiTheme="minorHAnsi" w:hAnsiTheme="minorHAnsi" w:cstheme="minorHAnsi"/>
                <w:color w:val="000000"/>
                <w:sz w:val="16"/>
                <w:szCs w:val="16"/>
              </w:rPr>
            </w:pPr>
            <w:r w:rsidRPr="004A3071">
              <w:rPr>
                <w:rFonts w:asciiTheme="minorHAnsi" w:hAnsiTheme="minorHAnsi" w:cstheme="minorHAnsi"/>
                <w:color w:val="000000"/>
                <w:sz w:val="16"/>
                <w:szCs w:val="16"/>
              </w:rPr>
              <w:t> </w:t>
            </w:r>
          </w:p>
        </w:tc>
        <w:tc>
          <w:tcPr>
            <w:tcW w:w="1870" w:type="dxa"/>
            <w:tcBorders>
              <w:top w:val="single" w:sz="4" w:space="0" w:color="auto"/>
              <w:left w:val="single" w:sz="4" w:space="0" w:color="auto"/>
              <w:bottom w:val="nil"/>
              <w:right w:val="single" w:sz="4" w:space="0" w:color="000000" w:themeColor="text1"/>
            </w:tcBorders>
            <w:shd w:val="clear" w:color="auto" w:fill="FFFFFF" w:themeFill="background1"/>
            <w:vAlign w:val="center"/>
          </w:tcPr>
          <w:p w14:paraId="42A24347" w14:textId="77777777" w:rsidR="009563B4" w:rsidRPr="004A3071" w:rsidRDefault="009563B4" w:rsidP="00481CA4">
            <w:pPr>
              <w:jc w:val="center"/>
              <w:rPr>
                <w:rFonts w:asciiTheme="minorHAnsi" w:hAnsiTheme="minorHAnsi" w:cstheme="minorHAnsi"/>
                <w:color w:val="000000"/>
                <w:sz w:val="16"/>
                <w:szCs w:val="16"/>
              </w:rPr>
            </w:pPr>
            <w:r w:rsidRPr="004A3071">
              <w:rPr>
                <w:rFonts w:asciiTheme="minorHAnsi" w:hAnsiTheme="minorHAnsi" w:cstheme="minorHAnsi"/>
                <w:color w:val="000000"/>
                <w:sz w:val="16"/>
                <w:szCs w:val="16"/>
              </w:rPr>
              <w:t>Direct Beneficiary</w:t>
            </w:r>
          </w:p>
        </w:tc>
        <w:tc>
          <w:tcPr>
            <w:tcW w:w="1870" w:type="dxa"/>
            <w:tcBorders>
              <w:top w:val="nil"/>
              <w:left w:val="single" w:sz="4" w:space="0" w:color="000000" w:themeColor="text1"/>
              <w:bottom w:val="nil"/>
              <w:right w:val="single" w:sz="4" w:space="0" w:color="000000" w:themeColor="text1"/>
            </w:tcBorders>
            <w:shd w:val="clear" w:color="auto" w:fill="DDEBF7"/>
            <w:vAlign w:val="center"/>
          </w:tcPr>
          <w:p w14:paraId="65FBD408" w14:textId="261F3988" w:rsidR="009563B4" w:rsidRPr="004A3071" w:rsidRDefault="009563B4" w:rsidP="00481CA4">
            <w:pPr>
              <w:jc w:val="center"/>
              <w:rPr>
                <w:rFonts w:asciiTheme="minorHAnsi" w:hAnsiTheme="minorHAnsi" w:cstheme="minorHAnsi"/>
                <w:b/>
                <w:bCs/>
                <w:color w:val="000000"/>
                <w:sz w:val="16"/>
                <w:szCs w:val="16"/>
              </w:rPr>
            </w:pPr>
            <w:r w:rsidRPr="004A3071">
              <w:rPr>
                <w:rFonts w:asciiTheme="minorHAnsi" w:hAnsiTheme="minorHAnsi" w:cstheme="minorHAnsi"/>
                <w:b/>
                <w:bCs/>
                <w:color w:val="000000"/>
                <w:sz w:val="16"/>
                <w:szCs w:val="16"/>
              </w:rPr>
              <w:t>Local Government Institution/body</w:t>
            </w:r>
            <w:r w:rsidR="00D11EEF" w:rsidRPr="004A3071">
              <w:rPr>
                <w:rFonts w:asciiTheme="minorHAnsi" w:hAnsiTheme="minorHAnsi" w:cstheme="minorHAnsi"/>
                <w:b/>
                <w:bCs/>
                <w:color w:val="000000"/>
                <w:sz w:val="16"/>
                <w:szCs w:val="16"/>
              </w:rPr>
              <w:t xml:space="preserve"> and Beneficiary</w:t>
            </w:r>
          </w:p>
        </w:tc>
        <w:tc>
          <w:tcPr>
            <w:tcW w:w="1870" w:type="dxa"/>
            <w:tcBorders>
              <w:top w:val="nil"/>
              <w:left w:val="single" w:sz="4" w:space="0" w:color="000000" w:themeColor="text1"/>
              <w:bottom w:val="nil"/>
              <w:right w:val="single" w:sz="4" w:space="0" w:color="000000" w:themeColor="text1"/>
            </w:tcBorders>
            <w:shd w:val="clear" w:color="auto" w:fill="FFFFFF" w:themeFill="background1"/>
            <w:vAlign w:val="center"/>
          </w:tcPr>
          <w:p w14:paraId="09021D90" w14:textId="77777777" w:rsidR="009563B4" w:rsidRPr="004A3071" w:rsidRDefault="009563B4" w:rsidP="00481CA4">
            <w:pPr>
              <w:jc w:val="center"/>
              <w:rPr>
                <w:rFonts w:asciiTheme="minorHAnsi" w:hAnsiTheme="minorHAnsi" w:cstheme="minorHAnsi"/>
                <w:color w:val="000000"/>
                <w:sz w:val="16"/>
                <w:szCs w:val="16"/>
              </w:rPr>
            </w:pPr>
            <w:r w:rsidRPr="004A3071">
              <w:rPr>
                <w:rFonts w:asciiTheme="minorHAnsi" w:hAnsiTheme="minorHAnsi" w:cstheme="minorHAnsi"/>
                <w:color w:val="000000"/>
                <w:sz w:val="16"/>
                <w:szCs w:val="16"/>
              </w:rPr>
              <w:t>Face-to-face meetings</w:t>
            </w:r>
          </w:p>
        </w:tc>
        <w:tc>
          <w:tcPr>
            <w:tcW w:w="2296" w:type="dxa"/>
            <w:tcBorders>
              <w:top w:val="nil"/>
              <w:left w:val="single" w:sz="4" w:space="0" w:color="000000" w:themeColor="text1"/>
              <w:bottom w:val="nil"/>
              <w:right w:val="single" w:sz="4" w:space="0" w:color="000000" w:themeColor="text1"/>
            </w:tcBorders>
            <w:shd w:val="clear" w:color="auto" w:fill="FFFFFF" w:themeFill="background1"/>
            <w:vAlign w:val="center"/>
          </w:tcPr>
          <w:p w14:paraId="3134CAF2" w14:textId="77777777" w:rsidR="009563B4" w:rsidRPr="004A3071" w:rsidRDefault="009563B4" w:rsidP="00481CA4">
            <w:pPr>
              <w:jc w:val="center"/>
              <w:rPr>
                <w:rFonts w:asciiTheme="minorHAnsi" w:hAnsiTheme="minorHAnsi" w:cstheme="minorHAnsi"/>
                <w:color w:val="000000"/>
                <w:sz w:val="16"/>
                <w:szCs w:val="16"/>
              </w:rPr>
            </w:pPr>
            <w:r w:rsidRPr="004A3071">
              <w:rPr>
                <w:rFonts w:asciiTheme="minorHAnsi" w:hAnsiTheme="minorHAnsi" w:cstheme="minorHAnsi"/>
                <w:color w:val="000000"/>
                <w:sz w:val="16"/>
                <w:szCs w:val="16"/>
              </w:rPr>
              <w:t>The Administration of Cuchi and Cahama helped to identify the places of land degradation and deforestation and the causes</w:t>
            </w:r>
          </w:p>
        </w:tc>
        <w:tc>
          <w:tcPr>
            <w:tcW w:w="1870" w:type="dxa"/>
            <w:tcBorders>
              <w:top w:val="nil"/>
              <w:left w:val="single" w:sz="4" w:space="0" w:color="000000" w:themeColor="text1"/>
              <w:bottom w:val="nil"/>
              <w:right w:val="single" w:sz="4" w:space="0" w:color="000000" w:themeColor="text1"/>
            </w:tcBorders>
            <w:shd w:val="clear" w:color="auto" w:fill="FFFFFF" w:themeFill="background1"/>
            <w:vAlign w:val="center"/>
          </w:tcPr>
          <w:p w14:paraId="515A7124" w14:textId="77777777" w:rsidR="009563B4" w:rsidRPr="004A3071" w:rsidRDefault="009563B4" w:rsidP="00481CA4">
            <w:pPr>
              <w:jc w:val="center"/>
              <w:rPr>
                <w:rFonts w:asciiTheme="minorHAnsi" w:hAnsiTheme="minorHAnsi" w:cstheme="minorHAnsi"/>
                <w:color w:val="000000"/>
                <w:sz w:val="16"/>
                <w:szCs w:val="16"/>
              </w:rPr>
            </w:pPr>
            <w:r w:rsidRPr="004A3071">
              <w:rPr>
                <w:rFonts w:asciiTheme="minorHAnsi" w:hAnsiTheme="minorHAnsi" w:cstheme="minorHAnsi"/>
                <w:color w:val="000000"/>
                <w:sz w:val="16"/>
                <w:szCs w:val="16"/>
              </w:rPr>
              <w:t>During the implementation phase</w:t>
            </w:r>
          </w:p>
        </w:tc>
        <w:tc>
          <w:tcPr>
            <w:tcW w:w="1870" w:type="dxa"/>
            <w:tcBorders>
              <w:top w:val="nil"/>
              <w:left w:val="single" w:sz="4" w:space="0" w:color="000000" w:themeColor="text1"/>
              <w:bottom w:val="nil"/>
              <w:right w:val="single" w:sz="4" w:space="0" w:color="auto"/>
            </w:tcBorders>
            <w:shd w:val="clear" w:color="auto" w:fill="FFFFFF" w:themeFill="background1"/>
            <w:vAlign w:val="center"/>
          </w:tcPr>
          <w:p w14:paraId="15B35A02" w14:textId="77777777" w:rsidR="009563B4" w:rsidRPr="004A3071" w:rsidRDefault="009563B4" w:rsidP="00481CA4">
            <w:pPr>
              <w:jc w:val="center"/>
              <w:rPr>
                <w:rFonts w:asciiTheme="minorHAnsi" w:hAnsiTheme="minorHAnsi" w:cstheme="minorHAnsi"/>
                <w:color w:val="000000"/>
                <w:sz w:val="16"/>
                <w:szCs w:val="16"/>
              </w:rPr>
            </w:pPr>
            <w:r w:rsidRPr="004A3071">
              <w:rPr>
                <w:rFonts w:asciiTheme="minorHAnsi" w:hAnsiTheme="minorHAnsi" w:cstheme="minorHAnsi"/>
                <w:color w:val="000000"/>
                <w:sz w:val="16"/>
                <w:szCs w:val="16"/>
              </w:rPr>
              <w:t>.</w:t>
            </w:r>
          </w:p>
        </w:tc>
      </w:tr>
      <w:tr w:rsidR="009563B4" w:rsidRPr="004A3071" w14:paraId="178117CD" w14:textId="77777777" w:rsidTr="004A3071">
        <w:trPr>
          <w:cantSplit/>
        </w:trPr>
        <w:tc>
          <w:tcPr>
            <w:tcW w:w="1870" w:type="dxa"/>
            <w:vMerge/>
            <w:tcBorders>
              <w:left w:val="single" w:sz="4" w:space="0" w:color="auto"/>
              <w:bottom w:val="single" w:sz="4" w:space="0" w:color="auto"/>
            </w:tcBorders>
            <w:vAlign w:val="center"/>
          </w:tcPr>
          <w:p w14:paraId="75B26AD4" w14:textId="77777777" w:rsidR="009563B4" w:rsidRPr="004A3071" w:rsidRDefault="009563B4" w:rsidP="00481CA4">
            <w:pPr>
              <w:rPr>
                <w:rFonts w:asciiTheme="minorHAnsi" w:hAnsiTheme="minorHAnsi" w:cstheme="minorHAnsi"/>
                <w:color w:val="000000"/>
                <w:sz w:val="16"/>
                <w:szCs w:val="16"/>
              </w:rPr>
            </w:pPr>
          </w:p>
        </w:tc>
        <w:tc>
          <w:tcPr>
            <w:tcW w:w="1870" w:type="dxa"/>
            <w:tcBorders>
              <w:top w:val="nil"/>
              <w:left w:val="single" w:sz="4" w:space="0" w:color="auto"/>
              <w:bottom w:val="nil"/>
              <w:right w:val="single" w:sz="4" w:space="0" w:color="000000" w:themeColor="text1"/>
            </w:tcBorders>
            <w:shd w:val="clear" w:color="auto" w:fill="FFFFFF" w:themeFill="background1"/>
            <w:vAlign w:val="center"/>
          </w:tcPr>
          <w:p w14:paraId="58B9354F" w14:textId="77777777" w:rsidR="009563B4" w:rsidRPr="004A3071" w:rsidRDefault="009563B4" w:rsidP="00481CA4">
            <w:pPr>
              <w:jc w:val="center"/>
              <w:rPr>
                <w:rFonts w:asciiTheme="minorHAnsi" w:hAnsiTheme="minorHAnsi" w:cstheme="minorHAnsi"/>
                <w:color w:val="000000"/>
                <w:sz w:val="16"/>
                <w:szCs w:val="16"/>
              </w:rPr>
            </w:pPr>
            <w:r w:rsidRPr="004A3071">
              <w:rPr>
                <w:rFonts w:asciiTheme="minorHAnsi" w:hAnsiTheme="minorHAnsi" w:cstheme="minorHAnsi"/>
                <w:color w:val="000000"/>
                <w:sz w:val="16"/>
                <w:szCs w:val="16"/>
              </w:rPr>
              <w:t> </w:t>
            </w:r>
          </w:p>
        </w:tc>
        <w:tc>
          <w:tcPr>
            <w:tcW w:w="1870" w:type="dxa"/>
            <w:tcBorders>
              <w:top w:val="nil"/>
              <w:left w:val="single" w:sz="4" w:space="0" w:color="000000" w:themeColor="text1"/>
              <w:bottom w:val="nil"/>
              <w:right w:val="single" w:sz="4" w:space="0" w:color="000000" w:themeColor="text1"/>
            </w:tcBorders>
            <w:shd w:val="clear" w:color="auto" w:fill="DDEBF7"/>
            <w:vAlign w:val="center"/>
          </w:tcPr>
          <w:p w14:paraId="543EFFEC" w14:textId="77777777" w:rsidR="009563B4" w:rsidRPr="004A3071" w:rsidRDefault="009563B4" w:rsidP="00481CA4">
            <w:pPr>
              <w:jc w:val="center"/>
              <w:rPr>
                <w:rFonts w:asciiTheme="minorHAnsi" w:hAnsiTheme="minorHAnsi" w:cstheme="minorHAnsi"/>
                <w:b/>
                <w:bCs/>
                <w:color w:val="000000"/>
                <w:sz w:val="16"/>
                <w:szCs w:val="16"/>
              </w:rPr>
            </w:pPr>
            <w:r w:rsidRPr="004A3071">
              <w:rPr>
                <w:rFonts w:asciiTheme="minorHAnsi" w:hAnsiTheme="minorHAnsi" w:cstheme="minorHAnsi"/>
                <w:b/>
                <w:bCs/>
                <w:color w:val="000000"/>
                <w:sz w:val="16"/>
                <w:szCs w:val="16"/>
              </w:rPr>
              <w:t> </w:t>
            </w:r>
          </w:p>
        </w:tc>
        <w:tc>
          <w:tcPr>
            <w:tcW w:w="1870" w:type="dxa"/>
            <w:tcBorders>
              <w:top w:val="nil"/>
              <w:left w:val="single" w:sz="4" w:space="0" w:color="000000" w:themeColor="text1"/>
              <w:bottom w:val="nil"/>
              <w:right w:val="single" w:sz="4" w:space="0" w:color="000000" w:themeColor="text1"/>
            </w:tcBorders>
            <w:shd w:val="clear" w:color="auto" w:fill="FFFFFF" w:themeFill="background1"/>
            <w:vAlign w:val="center"/>
          </w:tcPr>
          <w:p w14:paraId="0FECF3FA" w14:textId="77777777" w:rsidR="009563B4" w:rsidRPr="004A3071" w:rsidRDefault="009563B4" w:rsidP="00481CA4">
            <w:pPr>
              <w:jc w:val="center"/>
              <w:rPr>
                <w:rFonts w:asciiTheme="minorHAnsi" w:hAnsiTheme="minorHAnsi" w:cstheme="minorHAnsi"/>
                <w:color w:val="000000"/>
                <w:sz w:val="16"/>
                <w:szCs w:val="16"/>
              </w:rPr>
            </w:pPr>
            <w:r w:rsidRPr="004A3071">
              <w:rPr>
                <w:rFonts w:asciiTheme="minorHAnsi" w:hAnsiTheme="minorHAnsi" w:cstheme="minorHAnsi"/>
                <w:sz w:val="16"/>
                <w:szCs w:val="16"/>
              </w:rPr>
              <w:t>Consultation workshop</w:t>
            </w:r>
          </w:p>
        </w:tc>
        <w:tc>
          <w:tcPr>
            <w:tcW w:w="2296" w:type="dxa"/>
            <w:tcBorders>
              <w:top w:val="nil"/>
              <w:left w:val="single" w:sz="4" w:space="0" w:color="000000" w:themeColor="text1"/>
              <w:bottom w:val="nil"/>
              <w:right w:val="single" w:sz="4" w:space="0" w:color="000000" w:themeColor="text1"/>
            </w:tcBorders>
            <w:shd w:val="clear" w:color="auto" w:fill="FFFFFF" w:themeFill="background1"/>
            <w:vAlign w:val="center"/>
          </w:tcPr>
          <w:p w14:paraId="10587F3C" w14:textId="77777777" w:rsidR="009563B4" w:rsidRPr="004A3071" w:rsidRDefault="009563B4" w:rsidP="00481CA4">
            <w:pPr>
              <w:jc w:val="center"/>
              <w:rPr>
                <w:rFonts w:asciiTheme="minorHAnsi" w:hAnsiTheme="minorHAnsi" w:cstheme="minorHAnsi"/>
                <w:color w:val="000000"/>
                <w:sz w:val="16"/>
                <w:szCs w:val="16"/>
              </w:rPr>
            </w:pPr>
            <w:r w:rsidRPr="004A3071">
              <w:rPr>
                <w:rFonts w:asciiTheme="minorHAnsi" w:hAnsiTheme="minorHAnsi" w:cstheme="minorHAnsi"/>
                <w:color w:val="000000"/>
                <w:sz w:val="16"/>
                <w:szCs w:val="16"/>
              </w:rPr>
              <w:t> </w:t>
            </w:r>
          </w:p>
        </w:tc>
        <w:tc>
          <w:tcPr>
            <w:tcW w:w="1870" w:type="dxa"/>
            <w:tcBorders>
              <w:top w:val="nil"/>
              <w:left w:val="single" w:sz="4" w:space="0" w:color="000000" w:themeColor="text1"/>
              <w:bottom w:val="nil"/>
              <w:right w:val="single" w:sz="4" w:space="0" w:color="000000" w:themeColor="text1"/>
            </w:tcBorders>
            <w:shd w:val="clear" w:color="auto" w:fill="FFFFFF" w:themeFill="background1"/>
            <w:vAlign w:val="center"/>
          </w:tcPr>
          <w:p w14:paraId="2E15EA3A" w14:textId="77777777" w:rsidR="009563B4" w:rsidRPr="004A3071" w:rsidRDefault="009563B4" w:rsidP="00481CA4">
            <w:pPr>
              <w:jc w:val="center"/>
              <w:rPr>
                <w:rFonts w:asciiTheme="minorHAnsi" w:hAnsiTheme="minorHAnsi" w:cstheme="minorHAnsi"/>
                <w:color w:val="000000"/>
                <w:sz w:val="16"/>
                <w:szCs w:val="16"/>
              </w:rPr>
            </w:pPr>
            <w:r w:rsidRPr="004A3071">
              <w:rPr>
                <w:rFonts w:asciiTheme="minorHAnsi" w:hAnsiTheme="minorHAnsi" w:cstheme="minorHAnsi"/>
                <w:color w:val="000000"/>
                <w:sz w:val="16"/>
                <w:szCs w:val="16"/>
              </w:rPr>
              <w:t> </w:t>
            </w:r>
          </w:p>
        </w:tc>
        <w:tc>
          <w:tcPr>
            <w:tcW w:w="1870" w:type="dxa"/>
            <w:tcBorders>
              <w:top w:val="nil"/>
              <w:left w:val="single" w:sz="4" w:space="0" w:color="000000" w:themeColor="text1"/>
              <w:bottom w:val="nil"/>
              <w:right w:val="single" w:sz="4" w:space="0" w:color="auto"/>
            </w:tcBorders>
            <w:shd w:val="clear" w:color="auto" w:fill="FFFFFF" w:themeFill="background1"/>
            <w:vAlign w:val="center"/>
          </w:tcPr>
          <w:p w14:paraId="19C78D36" w14:textId="77777777" w:rsidR="009563B4" w:rsidRPr="004A3071" w:rsidRDefault="009563B4" w:rsidP="00481CA4">
            <w:pPr>
              <w:jc w:val="center"/>
              <w:rPr>
                <w:rFonts w:asciiTheme="minorHAnsi" w:hAnsiTheme="minorHAnsi" w:cstheme="minorHAnsi"/>
                <w:color w:val="000000"/>
                <w:sz w:val="16"/>
                <w:szCs w:val="16"/>
              </w:rPr>
            </w:pPr>
            <w:r w:rsidRPr="004A3071">
              <w:rPr>
                <w:rFonts w:asciiTheme="minorHAnsi" w:hAnsiTheme="minorHAnsi" w:cstheme="minorHAnsi"/>
                <w:color w:val="000000"/>
                <w:sz w:val="16"/>
                <w:szCs w:val="16"/>
              </w:rPr>
              <w:t> </w:t>
            </w:r>
          </w:p>
        </w:tc>
      </w:tr>
      <w:tr w:rsidR="009563B4" w:rsidRPr="004A3071" w14:paraId="74034CD3" w14:textId="77777777" w:rsidTr="004A3071">
        <w:trPr>
          <w:cantSplit/>
        </w:trPr>
        <w:tc>
          <w:tcPr>
            <w:tcW w:w="1870" w:type="dxa"/>
            <w:vMerge/>
            <w:tcBorders>
              <w:left w:val="single" w:sz="4" w:space="0" w:color="auto"/>
              <w:bottom w:val="single" w:sz="4" w:space="0" w:color="auto"/>
            </w:tcBorders>
            <w:vAlign w:val="center"/>
          </w:tcPr>
          <w:p w14:paraId="4E7ADC61" w14:textId="77777777" w:rsidR="009563B4" w:rsidRPr="004A3071" w:rsidRDefault="009563B4" w:rsidP="00481CA4">
            <w:pPr>
              <w:rPr>
                <w:rFonts w:asciiTheme="minorHAnsi" w:hAnsiTheme="minorHAnsi" w:cstheme="minorHAnsi"/>
                <w:color w:val="000000"/>
                <w:sz w:val="16"/>
                <w:szCs w:val="16"/>
              </w:rPr>
            </w:pPr>
          </w:p>
        </w:tc>
        <w:tc>
          <w:tcPr>
            <w:tcW w:w="1870" w:type="dxa"/>
            <w:tcBorders>
              <w:top w:val="nil"/>
              <w:left w:val="single" w:sz="4" w:space="0" w:color="auto"/>
              <w:bottom w:val="single" w:sz="4" w:space="0" w:color="auto"/>
              <w:right w:val="single" w:sz="4" w:space="0" w:color="000000" w:themeColor="text1"/>
            </w:tcBorders>
            <w:shd w:val="clear" w:color="auto" w:fill="FFFFFF" w:themeFill="background1"/>
            <w:vAlign w:val="center"/>
          </w:tcPr>
          <w:p w14:paraId="5A6544F6" w14:textId="77777777" w:rsidR="009563B4" w:rsidRPr="004A3071" w:rsidRDefault="009563B4" w:rsidP="00481CA4">
            <w:pPr>
              <w:jc w:val="center"/>
              <w:rPr>
                <w:rFonts w:asciiTheme="minorHAnsi" w:hAnsiTheme="minorHAnsi" w:cstheme="minorHAnsi"/>
                <w:color w:val="000000"/>
                <w:sz w:val="16"/>
                <w:szCs w:val="16"/>
              </w:rPr>
            </w:pPr>
            <w:r w:rsidRPr="004A3071">
              <w:rPr>
                <w:rFonts w:asciiTheme="minorHAnsi" w:hAnsiTheme="minorHAnsi" w:cstheme="minorHAnsi"/>
                <w:color w:val="000000"/>
                <w:sz w:val="16"/>
                <w:szCs w:val="16"/>
              </w:rPr>
              <w:t> </w:t>
            </w:r>
          </w:p>
        </w:tc>
        <w:tc>
          <w:tcPr>
            <w:tcW w:w="1870" w:type="dxa"/>
            <w:tcBorders>
              <w:top w:val="nil"/>
              <w:left w:val="single" w:sz="4" w:space="0" w:color="000000" w:themeColor="text1"/>
              <w:bottom w:val="single" w:sz="4" w:space="0" w:color="auto"/>
              <w:right w:val="single" w:sz="4" w:space="0" w:color="000000" w:themeColor="text1"/>
            </w:tcBorders>
            <w:shd w:val="clear" w:color="auto" w:fill="DDEBF7"/>
            <w:vAlign w:val="center"/>
          </w:tcPr>
          <w:p w14:paraId="7A137565" w14:textId="77777777" w:rsidR="009563B4" w:rsidRPr="004A3071" w:rsidRDefault="009563B4" w:rsidP="00481CA4">
            <w:pPr>
              <w:jc w:val="center"/>
              <w:rPr>
                <w:rFonts w:asciiTheme="minorHAnsi" w:hAnsiTheme="minorHAnsi" w:cstheme="minorHAnsi"/>
                <w:b/>
                <w:bCs/>
                <w:color w:val="000000"/>
                <w:sz w:val="16"/>
                <w:szCs w:val="16"/>
              </w:rPr>
            </w:pPr>
            <w:r w:rsidRPr="004A3071">
              <w:rPr>
                <w:rFonts w:asciiTheme="minorHAnsi" w:hAnsiTheme="minorHAnsi" w:cstheme="minorHAnsi"/>
                <w:b/>
                <w:bCs/>
                <w:color w:val="000000"/>
                <w:sz w:val="16"/>
                <w:szCs w:val="16"/>
              </w:rPr>
              <w:t> </w:t>
            </w:r>
          </w:p>
        </w:tc>
        <w:tc>
          <w:tcPr>
            <w:tcW w:w="1870" w:type="dxa"/>
            <w:tcBorders>
              <w:top w:val="nil"/>
              <w:left w:val="single" w:sz="4" w:space="0" w:color="000000" w:themeColor="text1"/>
              <w:bottom w:val="single" w:sz="4" w:space="0" w:color="auto"/>
              <w:right w:val="single" w:sz="4" w:space="0" w:color="000000" w:themeColor="text1"/>
            </w:tcBorders>
            <w:shd w:val="clear" w:color="auto" w:fill="FFFFFF" w:themeFill="background1"/>
            <w:vAlign w:val="center"/>
          </w:tcPr>
          <w:p w14:paraId="578B9056" w14:textId="77777777" w:rsidR="009563B4" w:rsidRPr="004A3071" w:rsidRDefault="009563B4" w:rsidP="00481CA4">
            <w:pPr>
              <w:jc w:val="center"/>
              <w:rPr>
                <w:rFonts w:asciiTheme="minorHAnsi" w:hAnsiTheme="minorHAnsi" w:cstheme="minorHAnsi"/>
                <w:color w:val="000000"/>
                <w:sz w:val="16"/>
                <w:szCs w:val="16"/>
              </w:rPr>
            </w:pPr>
            <w:r w:rsidRPr="004A3071">
              <w:rPr>
                <w:rFonts w:asciiTheme="minorHAnsi" w:hAnsiTheme="minorHAnsi" w:cstheme="minorHAnsi"/>
                <w:color w:val="000000"/>
                <w:sz w:val="16"/>
                <w:szCs w:val="16"/>
              </w:rPr>
              <w:t>Face-to-face meetings</w:t>
            </w:r>
          </w:p>
        </w:tc>
        <w:tc>
          <w:tcPr>
            <w:tcW w:w="2296" w:type="dxa"/>
            <w:tcBorders>
              <w:top w:val="nil"/>
              <w:left w:val="single" w:sz="4" w:space="0" w:color="000000" w:themeColor="text1"/>
              <w:bottom w:val="single" w:sz="4" w:space="0" w:color="auto"/>
              <w:right w:val="single" w:sz="4" w:space="0" w:color="000000" w:themeColor="text1"/>
            </w:tcBorders>
            <w:shd w:val="clear" w:color="auto" w:fill="FFFFFF" w:themeFill="background1"/>
            <w:vAlign w:val="center"/>
          </w:tcPr>
          <w:p w14:paraId="202D1BC5" w14:textId="77777777" w:rsidR="009563B4" w:rsidRPr="004A3071" w:rsidRDefault="009563B4" w:rsidP="00481CA4">
            <w:pPr>
              <w:jc w:val="center"/>
              <w:rPr>
                <w:rFonts w:asciiTheme="minorHAnsi" w:hAnsiTheme="minorHAnsi" w:cstheme="minorHAnsi"/>
                <w:color w:val="000000"/>
                <w:sz w:val="16"/>
                <w:szCs w:val="16"/>
              </w:rPr>
            </w:pPr>
            <w:r w:rsidRPr="004A3071">
              <w:rPr>
                <w:rFonts w:asciiTheme="minorHAnsi" w:hAnsiTheme="minorHAnsi" w:cstheme="minorHAnsi"/>
                <w:color w:val="000000"/>
                <w:sz w:val="16"/>
                <w:szCs w:val="16"/>
              </w:rPr>
              <w:t> </w:t>
            </w:r>
          </w:p>
        </w:tc>
        <w:tc>
          <w:tcPr>
            <w:tcW w:w="1870" w:type="dxa"/>
            <w:tcBorders>
              <w:top w:val="nil"/>
              <w:left w:val="single" w:sz="4" w:space="0" w:color="000000" w:themeColor="text1"/>
              <w:bottom w:val="single" w:sz="4" w:space="0" w:color="auto"/>
              <w:right w:val="single" w:sz="4" w:space="0" w:color="000000" w:themeColor="text1"/>
            </w:tcBorders>
            <w:shd w:val="clear" w:color="auto" w:fill="FFFFFF" w:themeFill="background1"/>
            <w:vAlign w:val="center"/>
          </w:tcPr>
          <w:p w14:paraId="7D8F16F3" w14:textId="77777777" w:rsidR="009563B4" w:rsidRPr="004A3071" w:rsidRDefault="009563B4" w:rsidP="00481CA4">
            <w:pPr>
              <w:jc w:val="center"/>
              <w:rPr>
                <w:rFonts w:asciiTheme="minorHAnsi" w:hAnsiTheme="minorHAnsi" w:cstheme="minorHAnsi"/>
                <w:color w:val="000000"/>
                <w:sz w:val="16"/>
                <w:szCs w:val="16"/>
              </w:rPr>
            </w:pPr>
            <w:r w:rsidRPr="004A3071">
              <w:rPr>
                <w:rFonts w:asciiTheme="minorHAnsi" w:hAnsiTheme="minorHAnsi" w:cstheme="minorHAnsi"/>
                <w:color w:val="000000"/>
                <w:sz w:val="16"/>
                <w:szCs w:val="16"/>
              </w:rPr>
              <w:t> </w:t>
            </w:r>
          </w:p>
        </w:tc>
        <w:tc>
          <w:tcPr>
            <w:tcW w:w="1870" w:type="dxa"/>
            <w:tcBorders>
              <w:top w:val="nil"/>
              <w:left w:val="single" w:sz="4" w:space="0" w:color="000000" w:themeColor="text1"/>
              <w:bottom w:val="single" w:sz="4" w:space="0" w:color="auto"/>
              <w:right w:val="single" w:sz="4" w:space="0" w:color="auto"/>
            </w:tcBorders>
            <w:shd w:val="clear" w:color="auto" w:fill="FFFFFF" w:themeFill="background1"/>
            <w:vAlign w:val="center"/>
          </w:tcPr>
          <w:p w14:paraId="757065EE" w14:textId="77777777" w:rsidR="009563B4" w:rsidRPr="004A3071" w:rsidRDefault="009563B4" w:rsidP="00481CA4">
            <w:pPr>
              <w:jc w:val="center"/>
              <w:rPr>
                <w:rFonts w:asciiTheme="minorHAnsi" w:hAnsiTheme="minorHAnsi" w:cstheme="minorHAnsi"/>
                <w:color w:val="000000"/>
                <w:sz w:val="16"/>
                <w:szCs w:val="16"/>
              </w:rPr>
            </w:pPr>
            <w:r w:rsidRPr="004A3071">
              <w:rPr>
                <w:rFonts w:asciiTheme="minorHAnsi" w:hAnsiTheme="minorHAnsi" w:cstheme="minorHAnsi"/>
                <w:color w:val="000000"/>
                <w:sz w:val="16"/>
                <w:szCs w:val="16"/>
              </w:rPr>
              <w:t> </w:t>
            </w:r>
          </w:p>
        </w:tc>
      </w:tr>
      <w:tr w:rsidR="00D11EEF" w:rsidRPr="004A3071" w14:paraId="7F781C9E" w14:textId="77777777" w:rsidTr="004A3071">
        <w:trPr>
          <w:cantSplit/>
        </w:trPr>
        <w:tc>
          <w:tcPr>
            <w:tcW w:w="1870" w:type="dxa"/>
            <w:vMerge w:val="restart"/>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DA7341D" w14:textId="77777777" w:rsidR="00D11EEF" w:rsidRPr="004A3071" w:rsidRDefault="00D11EEF" w:rsidP="00481CA4">
            <w:pPr>
              <w:rPr>
                <w:rFonts w:asciiTheme="minorHAnsi" w:hAnsiTheme="minorHAnsi" w:cstheme="minorHAnsi"/>
                <w:color w:val="000000"/>
                <w:sz w:val="16"/>
                <w:szCs w:val="16"/>
              </w:rPr>
            </w:pPr>
            <w:r w:rsidRPr="004A3071">
              <w:rPr>
                <w:rFonts w:asciiTheme="minorHAnsi" w:hAnsiTheme="minorHAnsi" w:cstheme="minorHAnsi"/>
                <w:sz w:val="16"/>
                <w:szCs w:val="16"/>
              </w:rPr>
              <w:t>Traditional Authorities</w:t>
            </w:r>
          </w:p>
          <w:p w14:paraId="528700F2" w14:textId="77777777" w:rsidR="00D11EEF" w:rsidRPr="004A3071" w:rsidRDefault="00D11EEF" w:rsidP="00481CA4">
            <w:pPr>
              <w:rPr>
                <w:rFonts w:asciiTheme="minorHAnsi" w:hAnsiTheme="minorHAnsi" w:cstheme="minorHAnsi"/>
                <w:color w:val="000000"/>
                <w:sz w:val="16"/>
                <w:szCs w:val="16"/>
              </w:rPr>
            </w:pPr>
            <w:r w:rsidRPr="004A3071">
              <w:rPr>
                <w:rFonts w:asciiTheme="minorHAnsi" w:hAnsiTheme="minorHAnsi" w:cstheme="minorHAnsi"/>
                <w:color w:val="000000"/>
                <w:sz w:val="16"/>
                <w:szCs w:val="16"/>
              </w:rPr>
              <w:t> </w:t>
            </w:r>
          </w:p>
          <w:p w14:paraId="203C1789" w14:textId="77777777" w:rsidR="00D11EEF" w:rsidRPr="004A3071" w:rsidRDefault="00D11EEF" w:rsidP="00481CA4">
            <w:pPr>
              <w:rPr>
                <w:rFonts w:asciiTheme="minorHAnsi" w:hAnsiTheme="minorHAnsi" w:cstheme="minorHAnsi"/>
                <w:color w:val="000000"/>
                <w:sz w:val="16"/>
                <w:szCs w:val="16"/>
              </w:rPr>
            </w:pPr>
            <w:r w:rsidRPr="004A3071">
              <w:rPr>
                <w:rFonts w:asciiTheme="minorHAnsi" w:hAnsiTheme="minorHAnsi" w:cstheme="minorHAnsi"/>
                <w:color w:val="000000"/>
                <w:sz w:val="16"/>
                <w:szCs w:val="16"/>
              </w:rPr>
              <w:t> </w:t>
            </w:r>
          </w:p>
        </w:tc>
        <w:tc>
          <w:tcPr>
            <w:tcW w:w="1870" w:type="dxa"/>
            <w:tcBorders>
              <w:top w:val="nil"/>
              <w:left w:val="single" w:sz="4" w:space="0" w:color="auto"/>
              <w:bottom w:val="nil"/>
              <w:right w:val="single" w:sz="4" w:space="0" w:color="000000" w:themeColor="text1"/>
            </w:tcBorders>
            <w:shd w:val="clear" w:color="auto" w:fill="FFFFFF" w:themeFill="background1"/>
            <w:vAlign w:val="center"/>
          </w:tcPr>
          <w:p w14:paraId="3C5FB185" w14:textId="77777777" w:rsidR="00D11EEF" w:rsidRPr="004A3071" w:rsidRDefault="00D11EEF" w:rsidP="00481CA4">
            <w:pPr>
              <w:jc w:val="center"/>
              <w:rPr>
                <w:rFonts w:asciiTheme="minorHAnsi" w:hAnsiTheme="minorHAnsi" w:cstheme="minorHAnsi"/>
                <w:color w:val="000000"/>
                <w:sz w:val="16"/>
                <w:szCs w:val="16"/>
              </w:rPr>
            </w:pPr>
            <w:r w:rsidRPr="004A3071">
              <w:rPr>
                <w:rFonts w:asciiTheme="minorHAnsi" w:hAnsiTheme="minorHAnsi" w:cstheme="minorHAnsi"/>
                <w:color w:val="000000"/>
                <w:sz w:val="16"/>
                <w:szCs w:val="16"/>
              </w:rPr>
              <w:t>Direct Beneficiary</w:t>
            </w:r>
          </w:p>
        </w:tc>
        <w:tc>
          <w:tcPr>
            <w:tcW w:w="1870" w:type="dxa"/>
            <w:vMerge w:val="restart"/>
            <w:tcBorders>
              <w:top w:val="nil"/>
              <w:left w:val="single" w:sz="4" w:space="0" w:color="000000" w:themeColor="text1"/>
              <w:right w:val="single" w:sz="4" w:space="0" w:color="000000" w:themeColor="text1"/>
            </w:tcBorders>
            <w:shd w:val="clear" w:color="auto" w:fill="DDEBF7"/>
            <w:vAlign w:val="center"/>
          </w:tcPr>
          <w:p w14:paraId="2F2E3841" w14:textId="77777777" w:rsidR="00D11EEF" w:rsidRPr="004A3071" w:rsidRDefault="00D11EEF" w:rsidP="00481CA4">
            <w:pPr>
              <w:jc w:val="center"/>
              <w:rPr>
                <w:rFonts w:asciiTheme="minorHAnsi" w:hAnsiTheme="minorHAnsi" w:cstheme="minorHAnsi"/>
                <w:b/>
                <w:bCs/>
                <w:color w:val="000000"/>
                <w:sz w:val="16"/>
                <w:szCs w:val="16"/>
              </w:rPr>
            </w:pPr>
            <w:r w:rsidRPr="004A3071">
              <w:rPr>
                <w:rFonts w:asciiTheme="minorHAnsi" w:hAnsiTheme="minorHAnsi" w:cstheme="minorHAnsi"/>
                <w:b/>
                <w:bCs/>
                <w:sz w:val="16"/>
                <w:szCs w:val="16"/>
              </w:rPr>
              <w:t>Local Communities</w:t>
            </w:r>
          </w:p>
          <w:p w14:paraId="3E2A117C" w14:textId="1B30EEB5" w:rsidR="00D11EEF" w:rsidRPr="004A3071" w:rsidRDefault="00D11EEF" w:rsidP="00481CA4">
            <w:pPr>
              <w:jc w:val="center"/>
              <w:rPr>
                <w:rFonts w:asciiTheme="minorHAnsi" w:hAnsiTheme="minorHAnsi" w:cstheme="minorHAnsi"/>
                <w:b/>
                <w:bCs/>
                <w:color w:val="000000"/>
                <w:sz w:val="16"/>
                <w:szCs w:val="16"/>
              </w:rPr>
            </w:pPr>
            <w:r w:rsidRPr="004A3071">
              <w:rPr>
                <w:rFonts w:asciiTheme="minorHAnsi" w:hAnsiTheme="minorHAnsi" w:cstheme="minorHAnsi"/>
                <w:b/>
                <w:bCs/>
                <w:color w:val="000000"/>
                <w:sz w:val="16"/>
                <w:szCs w:val="16"/>
              </w:rPr>
              <w:t> </w:t>
            </w:r>
          </w:p>
        </w:tc>
        <w:tc>
          <w:tcPr>
            <w:tcW w:w="1870" w:type="dxa"/>
            <w:tcBorders>
              <w:top w:val="nil"/>
              <w:left w:val="single" w:sz="4" w:space="0" w:color="000000" w:themeColor="text1"/>
              <w:bottom w:val="nil"/>
              <w:right w:val="single" w:sz="4" w:space="0" w:color="000000" w:themeColor="text1"/>
            </w:tcBorders>
            <w:shd w:val="clear" w:color="auto" w:fill="FFFFFF" w:themeFill="background1"/>
            <w:vAlign w:val="center"/>
          </w:tcPr>
          <w:p w14:paraId="6EED978A" w14:textId="77777777" w:rsidR="00D11EEF" w:rsidRPr="004A3071" w:rsidRDefault="00D11EEF" w:rsidP="00481CA4">
            <w:pPr>
              <w:jc w:val="center"/>
              <w:rPr>
                <w:rFonts w:asciiTheme="minorHAnsi" w:hAnsiTheme="minorHAnsi" w:cstheme="minorHAnsi"/>
                <w:color w:val="000000"/>
                <w:sz w:val="16"/>
                <w:szCs w:val="16"/>
              </w:rPr>
            </w:pPr>
            <w:r w:rsidRPr="004A3071">
              <w:rPr>
                <w:rFonts w:asciiTheme="minorHAnsi" w:hAnsiTheme="minorHAnsi" w:cstheme="minorHAnsi"/>
                <w:color w:val="000000"/>
                <w:sz w:val="16"/>
                <w:szCs w:val="16"/>
              </w:rPr>
              <w:t>Face-to-face meetings</w:t>
            </w:r>
          </w:p>
        </w:tc>
        <w:tc>
          <w:tcPr>
            <w:tcW w:w="2296" w:type="dxa"/>
            <w:tcBorders>
              <w:top w:val="nil"/>
              <w:left w:val="single" w:sz="4" w:space="0" w:color="000000" w:themeColor="text1"/>
              <w:bottom w:val="nil"/>
              <w:right w:val="single" w:sz="4" w:space="0" w:color="000000" w:themeColor="text1"/>
            </w:tcBorders>
            <w:shd w:val="clear" w:color="auto" w:fill="FFFFFF" w:themeFill="background1"/>
            <w:vAlign w:val="center"/>
          </w:tcPr>
          <w:p w14:paraId="2BDB6CA4" w14:textId="77777777" w:rsidR="00D11EEF" w:rsidRPr="004A3071" w:rsidRDefault="00D11EEF" w:rsidP="00481CA4">
            <w:pPr>
              <w:jc w:val="center"/>
              <w:rPr>
                <w:rFonts w:asciiTheme="minorHAnsi" w:hAnsiTheme="minorHAnsi" w:cstheme="minorHAnsi"/>
                <w:color w:val="000000"/>
                <w:sz w:val="16"/>
                <w:szCs w:val="16"/>
              </w:rPr>
            </w:pPr>
            <w:r w:rsidRPr="004A3071">
              <w:rPr>
                <w:rFonts w:asciiTheme="minorHAnsi" w:hAnsiTheme="minorHAnsi" w:cstheme="minorHAnsi"/>
                <w:sz w:val="16"/>
                <w:szCs w:val="16"/>
              </w:rPr>
              <w:t>In Tchipelongo and Canona village, the traditional authorities (soba) reported the main problems in the villages and the solution in their perspective</w:t>
            </w:r>
          </w:p>
        </w:tc>
        <w:tc>
          <w:tcPr>
            <w:tcW w:w="1870" w:type="dxa"/>
            <w:tcBorders>
              <w:top w:val="nil"/>
              <w:left w:val="single" w:sz="4" w:space="0" w:color="000000" w:themeColor="text1"/>
              <w:bottom w:val="nil"/>
              <w:right w:val="single" w:sz="4" w:space="0" w:color="000000" w:themeColor="text1"/>
            </w:tcBorders>
            <w:shd w:val="clear" w:color="auto" w:fill="FFFFFF" w:themeFill="background1"/>
            <w:vAlign w:val="center"/>
          </w:tcPr>
          <w:p w14:paraId="1BE38B73" w14:textId="77777777" w:rsidR="00D11EEF" w:rsidRPr="004A3071" w:rsidRDefault="00D11EEF" w:rsidP="00481CA4">
            <w:pPr>
              <w:jc w:val="center"/>
              <w:rPr>
                <w:rFonts w:asciiTheme="minorHAnsi" w:hAnsiTheme="minorHAnsi" w:cstheme="minorHAnsi"/>
                <w:color w:val="000000"/>
                <w:sz w:val="16"/>
                <w:szCs w:val="16"/>
              </w:rPr>
            </w:pPr>
            <w:r w:rsidRPr="004A3071">
              <w:rPr>
                <w:rFonts w:asciiTheme="minorHAnsi" w:hAnsiTheme="minorHAnsi" w:cstheme="minorHAnsi"/>
                <w:color w:val="000000"/>
                <w:sz w:val="16"/>
                <w:szCs w:val="16"/>
              </w:rPr>
              <w:t>During the implementation phase</w:t>
            </w:r>
          </w:p>
        </w:tc>
        <w:tc>
          <w:tcPr>
            <w:tcW w:w="1870" w:type="dxa"/>
            <w:tcBorders>
              <w:top w:val="nil"/>
              <w:left w:val="single" w:sz="4" w:space="0" w:color="000000" w:themeColor="text1"/>
              <w:bottom w:val="nil"/>
              <w:right w:val="single" w:sz="4" w:space="0" w:color="auto"/>
            </w:tcBorders>
            <w:shd w:val="clear" w:color="auto" w:fill="FFFFFF" w:themeFill="background1"/>
            <w:vAlign w:val="center"/>
          </w:tcPr>
          <w:p w14:paraId="03697347" w14:textId="77777777" w:rsidR="00D11EEF" w:rsidRPr="004A3071" w:rsidRDefault="00D11EEF" w:rsidP="00481CA4">
            <w:pPr>
              <w:jc w:val="center"/>
              <w:rPr>
                <w:rFonts w:asciiTheme="minorHAnsi" w:hAnsiTheme="minorHAnsi" w:cstheme="minorHAnsi"/>
                <w:color w:val="000000"/>
                <w:sz w:val="16"/>
                <w:szCs w:val="16"/>
              </w:rPr>
            </w:pPr>
            <w:r w:rsidRPr="004A3071">
              <w:rPr>
                <w:rFonts w:asciiTheme="minorHAnsi" w:hAnsiTheme="minorHAnsi" w:cstheme="minorHAnsi"/>
                <w:color w:val="000000"/>
                <w:sz w:val="16"/>
                <w:szCs w:val="16"/>
              </w:rPr>
              <w:t> </w:t>
            </w:r>
          </w:p>
        </w:tc>
      </w:tr>
      <w:tr w:rsidR="00D11EEF" w:rsidRPr="004A3071" w14:paraId="3B242623" w14:textId="77777777" w:rsidTr="004A3071">
        <w:trPr>
          <w:cantSplit/>
        </w:trPr>
        <w:tc>
          <w:tcPr>
            <w:tcW w:w="1870" w:type="dxa"/>
            <w:vMerge/>
            <w:tcBorders>
              <w:left w:val="single" w:sz="4" w:space="0" w:color="auto"/>
              <w:bottom w:val="single" w:sz="4" w:space="0" w:color="auto"/>
            </w:tcBorders>
            <w:vAlign w:val="center"/>
          </w:tcPr>
          <w:p w14:paraId="3DEED195" w14:textId="77777777" w:rsidR="00D11EEF" w:rsidRPr="004A3071" w:rsidRDefault="00D11EEF" w:rsidP="00481CA4">
            <w:pPr>
              <w:rPr>
                <w:rFonts w:asciiTheme="minorHAnsi" w:hAnsiTheme="minorHAnsi" w:cstheme="minorHAnsi"/>
                <w:color w:val="000000"/>
                <w:sz w:val="16"/>
                <w:szCs w:val="16"/>
              </w:rPr>
            </w:pPr>
          </w:p>
        </w:tc>
        <w:tc>
          <w:tcPr>
            <w:tcW w:w="1870" w:type="dxa"/>
            <w:tcBorders>
              <w:top w:val="nil"/>
              <w:left w:val="single" w:sz="4" w:space="0" w:color="auto"/>
              <w:bottom w:val="nil"/>
              <w:right w:val="single" w:sz="4" w:space="0" w:color="000000" w:themeColor="text1"/>
            </w:tcBorders>
            <w:shd w:val="clear" w:color="auto" w:fill="FFFFFF" w:themeFill="background1"/>
            <w:vAlign w:val="center"/>
          </w:tcPr>
          <w:p w14:paraId="0DEB2875" w14:textId="77777777" w:rsidR="00D11EEF" w:rsidRPr="004A3071" w:rsidRDefault="00D11EEF" w:rsidP="00481CA4">
            <w:pPr>
              <w:jc w:val="center"/>
              <w:rPr>
                <w:rFonts w:asciiTheme="minorHAnsi" w:hAnsiTheme="minorHAnsi" w:cstheme="minorHAnsi"/>
                <w:color w:val="000000"/>
                <w:sz w:val="16"/>
                <w:szCs w:val="16"/>
              </w:rPr>
            </w:pPr>
            <w:r w:rsidRPr="004A3071">
              <w:rPr>
                <w:rFonts w:asciiTheme="minorHAnsi" w:hAnsiTheme="minorHAnsi" w:cstheme="minorHAnsi"/>
                <w:color w:val="000000"/>
                <w:sz w:val="16"/>
                <w:szCs w:val="16"/>
              </w:rPr>
              <w:t> </w:t>
            </w:r>
          </w:p>
        </w:tc>
        <w:tc>
          <w:tcPr>
            <w:tcW w:w="1870" w:type="dxa"/>
            <w:vMerge/>
            <w:vAlign w:val="center"/>
          </w:tcPr>
          <w:p w14:paraId="117BD67D" w14:textId="15E81C90" w:rsidR="00D11EEF" w:rsidRPr="004A3071" w:rsidRDefault="00D11EEF" w:rsidP="00481CA4">
            <w:pPr>
              <w:jc w:val="center"/>
              <w:rPr>
                <w:rFonts w:asciiTheme="minorHAnsi" w:hAnsiTheme="minorHAnsi" w:cstheme="minorHAnsi"/>
                <w:b/>
                <w:bCs/>
                <w:color w:val="000000"/>
                <w:sz w:val="16"/>
                <w:szCs w:val="16"/>
              </w:rPr>
            </w:pPr>
          </w:p>
        </w:tc>
        <w:tc>
          <w:tcPr>
            <w:tcW w:w="1870" w:type="dxa"/>
            <w:tcBorders>
              <w:top w:val="nil"/>
              <w:left w:val="single" w:sz="4" w:space="0" w:color="000000" w:themeColor="text1"/>
              <w:bottom w:val="nil"/>
              <w:right w:val="single" w:sz="4" w:space="0" w:color="000000" w:themeColor="text1"/>
            </w:tcBorders>
            <w:shd w:val="clear" w:color="auto" w:fill="FFFFFF" w:themeFill="background1"/>
            <w:vAlign w:val="center"/>
          </w:tcPr>
          <w:p w14:paraId="56E045E9" w14:textId="77777777" w:rsidR="00D11EEF" w:rsidRPr="004A3071" w:rsidRDefault="00D11EEF" w:rsidP="00481CA4">
            <w:pPr>
              <w:jc w:val="center"/>
              <w:rPr>
                <w:rFonts w:asciiTheme="minorHAnsi" w:hAnsiTheme="minorHAnsi" w:cstheme="minorHAnsi"/>
                <w:color w:val="000000"/>
                <w:sz w:val="16"/>
                <w:szCs w:val="16"/>
              </w:rPr>
            </w:pPr>
            <w:r w:rsidRPr="004A3071">
              <w:rPr>
                <w:rFonts w:asciiTheme="minorHAnsi" w:hAnsiTheme="minorHAnsi" w:cstheme="minorHAnsi"/>
                <w:sz w:val="16"/>
                <w:szCs w:val="16"/>
              </w:rPr>
              <w:t>Consultation workshop</w:t>
            </w:r>
          </w:p>
        </w:tc>
        <w:tc>
          <w:tcPr>
            <w:tcW w:w="2296" w:type="dxa"/>
            <w:tcBorders>
              <w:top w:val="nil"/>
              <w:left w:val="single" w:sz="4" w:space="0" w:color="000000" w:themeColor="text1"/>
              <w:bottom w:val="nil"/>
              <w:right w:val="single" w:sz="4" w:space="0" w:color="000000" w:themeColor="text1"/>
            </w:tcBorders>
            <w:shd w:val="clear" w:color="auto" w:fill="FFFFFF" w:themeFill="background1"/>
            <w:vAlign w:val="center"/>
          </w:tcPr>
          <w:p w14:paraId="74E6E6F0" w14:textId="77777777" w:rsidR="00D11EEF" w:rsidRPr="004A3071" w:rsidRDefault="00D11EEF" w:rsidP="00481CA4">
            <w:pPr>
              <w:jc w:val="center"/>
              <w:rPr>
                <w:rFonts w:asciiTheme="minorHAnsi" w:hAnsiTheme="minorHAnsi" w:cstheme="minorHAnsi"/>
                <w:color w:val="000000"/>
                <w:sz w:val="16"/>
                <w:szCs w:val="16"/>
              </w:rPr>
            </w:pPr>
            <w:r w:rsidRPr="004A3071">
              <w:rPr>
                <w:rFonts w:asciiTheme="minorHAnsi" w:hAnsiTheme="minorHAnsi" w:cstheme="minorHAnsi"/>
                <w:color w:val="000000"/>
                <w:sz w:val="16"/>
                <w:szCs w:val="16"/>
              </w:rPr>
              <w:t> </w:t>
            </w:r>
          </w:p>
        </w:tc>
        <w:tc>
          <w:tcPr>
            <w:tcW w:w="1870" w:type="dxa"/>
            <w:tcBorders>
              <w:top w:val="nil"/>
              <w:left w:val="single" w:sz="4" w:space="0" w:color="000000" w:themeColor="text1"/>
              <w:bottom w:val="nil"/>
              <w:right w:val="single" w:sz="4" w:space="0" w:color="000000" w:themeColor="text1"/>
            </w:tcBorders>
            <w:shd w:val="clear" w:color="auto" w:fill="FFFFFF" w:themeFill="background1"/>
            <w:vAlign w:val="center"/>
          </w:tcPr>
          <w:p w14:paraId="59368996" w14:textId="77777777" w:rsidR="00D11EEF" w:rsidRPr="004A3071" w:rsidRDefault="00D11EEF" w:rsidP="00481CA4">
            <w:pPr>
              <w:jc w:val="center"/>
              <w:rPr>
                <w:rFonts w:asciiTheme="minorHAnsi" w:hAnsiTheme="minorHAnsi" w:cstheme="minorHAnsi"/>
                <w:color w:val="000000"/>
                <w:sz w:val="16"/>
                <w:szCs w:val="16"/>
              </w:rPr>
            </w:pPr>
            <w:r w:rsidRPr="004A3071">
              <w:rPr>
                <w:rFonts w:asciiTheme="minorHAnsi" w:hAnsiTheme="minorHAnsi" w:cstheme="minorHAnsi"/>
                <w:color w:val="000000"/>
                <w:sz w:val="16"/>
                <w:szCs w:val="16"/>
              </w:rPr>
              <w:t> </w:t>
            </w:r>
          </w:p>
        </w:tc>
        <w:tc>
          <w:tcPr>
            <w:tcW w:w="1870" w:type="dxa"/>
            <w:tcBorders>
              <w:top w:val="nil"/>
              <w:left w:val="single" w:sz="4" w:space="0" w:color="000000" w:themeColor="text1"/>
              <w:bottom w:val="nil"/>
              <w:right w:val="single" w:sz="4" w:space="0" w:color="auto"/>
            </w:tcBorders>
            <w:shd w:val="clear" w:color="auto" w:fill="FFFFFF" w:themeFill="background1"/>
            <w:vAlign w:val="center"/>
          </w:tcPr>
          <w:p w14:paraId="1C4917D6" w14:textId="77777777" w:rsidR="00D11EEF" w:rsidRPr="004A3071" w:rsidRDefault="00D11EEF" w:rsidP="00481CA4">
            <w:pPr>
              <w:jc w:val="center"/>
              <w:rPr>
                <w:rFonts w:asciiTheme="minorHAnsi" w:hAnsiTheme="minorHAnsi" w:cstheme="minorHAnsi"/>
                <w:color w:val="000000"/>
                <w:sz w:val="16"/>
                <w:szCs w:val="16"/>
              </w:rPr>
            </w:pPr>
            <w:r w:rsidRPr="004A3071">
              <w:rPr>
                <w:rFonts w:asciiTheme="minorHAnsi" w:hAnsiTheme="minorHAnsi" w:cstheme="minorHAnsi"/>
                <w:color w:val="000000"/>
                <w:sz w:val="16"/>
                <w:szCs w:val="16"/>
              </w:rPr>
              <w:t> </w:t>
            </w:r>
          </w:p>
        </w:tc>
      </w:tr>
      <w:tr w:rsidR="009563B4" w:rsidRPr="004A3071" w14:paraId="1B1531AD" w14:textId="77777777" w:rsidTr="004A3071">
        <w:trPr>
          <w:cantSplit/>
        </w:trPr>
        <w:tc>
          <w:tcPr>
            <w:tcW w:w="1870" w:type="dxa"/>
            <w:vMerge/>
            <w:tcBorders>
              <w:left w:val="single" w:sz="4" w:space="0" w:color="auto"/>
              <w:bottom w:val="single" w:sz="4" w:space="0" w:color="auto"/>
            </w:tcBorders>
            <w:vAlign w:val="center"/>
          </w:tcPr>
          <w:p w14:paraId="74D7EBCC" w14:textId="77777777" w:rsidR="009563B4" w:rsidRPr="004A3071" w:rsidRDefault="009563B4" w:rsidP="00481CA4">
            <w:pPr>
              <w:rPr>
                <w:rFonts w:asciiTheme="minorHAnsi" w:hAnsiTheme="minorHAnsi" w:cstheme="minorHAnsi"/>
                <w:color w:val="000000"/>
                <w:sz w:val="16"/>
                <w:szCs w:val="16"/>
              </w:rPr>
            </w:pPr>
          </w:p>
        </w:tc>
        <w:tc>
          <w:tcPr>
            <w:tcW w:w="1870" w:type="dxa"/>
            <w:tcBorders>
              <w:top w:val="nil"/>
              <w:left w:val="single" w:sz="4" w:space="0" w:color="auto"/>
              <w:bottom w:val="single" w:sz="4" w:space="0" w:color="auto"/>
              <w:right w:val="single" w:sz="4" w:space="0" w:color="000000" w:themeColor="text1"/>
            </w:tcBorders>
            <w:shd w:val="clear" w:color="auto" w:fill="FFFFFF" w:themeFill="background1"/>
            <w:vAlign w:val="center"/>
          </w:tcPr>
          <w:p w14:paraId="1A7DDE35" w14:textId="77777777" w:rsidR="009563B4" w:rsidRPr="004A3071" w:rsidRDefault="009563B4" w:rsidP="00481CA4">
            <w:pPr>
              <w:jc w:val="center"/>
              <w:rPr>
                <w:rFonts w:asciiTheme="minorHAnsi" w:hAnsiTheme="minorHAnsi" w:cstheme="minorHAnsi"/>
                <w:color w:val="000000"/>
                <w:sz w:val="16"/>
                <w:szCs w:val="16"/>
              </w:rPr>
            </w:pPr>
            <w:r w:rsidRPr="004A3071">
              <w:rPr>
                <w:rFonts w:asciiTheme="minorHAnsi" w:hAnsiTheme="minorHAnsi" w:cstheme="minorHAnsi"/>
                <w:color w:val="000000"/>
                <w:sz w:val="16"/>
                <w:szCs w:val="16"/>
              </w:rPr>
              <w:t> </w:t>
            </w:r>
          </w:p>
        </w:tc>
        <w:tc>
          <w:tcPr>
            <w:tcW w:w="1870" w:type="dxa"/>
            <w:tcBorders>
              <w:top w:val="nil"/>
              <w:left w:val="single" w:sz="4" w:space="0" w:color="000000" w:themeColor="text1"/>
              <w:bottom w:val="single" w:sz="4" w:space="0" w:color="auto"/>
              <w:right w:val="single" w:sz="4" w:space="0" w:color="000000" w:themeColor="text1"/>
            </w:tcBorders>
            <w:shd w:val="clear" w:color="auto" w:fill="DDEBF7"/>
            <w:vAlign w:val="center"/>
          </w:tcPr>
          <w:p w14:paraId="69C25CB6" w14:textId="63870078" w:rsidR="009563B4" w:rsidRPr="004A3071" w:rsidRDefault="009563B4" w:rsidP="00481CA4">
            <w:pPr>
              <w:jc w:val="center"/>
              <w:rPr>
                <w:rFonts w:asciiTheme="minorHAnsi" w:hAnsiTheme="minorHAnsi" w:cstheme="minorHAnsi"/>
                <w:b/>
                <w:bCs/>
                <w:color w:val="000000"/>
                <w:sz w:val="16"/>
                <w:szCs w:val="16"/>
              </w:rPr>
            </w:pPr>
          </w:p>
        </w:tc>
        <w:tc>
          <w:tcPr>
            <w:tcW w:w="1870" w:type="dxa"/>
            <w:tcBorders>
              <w:top w:val="nil"/>
              <w:left w:val="single" w:sz="4" w:space="0" w:color="000000" w:themeColor="text1"/>
              <w:bottom w:val="single" w:sz="4" w:space="0" w:color="auto"/>
              <w:right w:val="single" w:sz="4" w:space="0" w:color="000000" w:themeColor="text1"/>
            </w:tcBorders>
            <w:shd w:val="clear" w:color="auto" w:fill="FFFFFF" w:themeFill="background1"/>
            <w:vAlign w:val="center"/>
          </w:tcPr>
          <w:p w14:paraId="606B9A91" w14:textId="77777777" w:rsidR="009563B4" w:rsidRPr="004A3071" w:rsidRDefault="009563B4" w:rsidP="00481CA4">
            <w:pPr>
              <w:jc w:val="center"/>
              <w:rPr>
                <w:rFonts w:asciiTheme="minorHAnsi" w:hAnsiTheme="minorHAnsi" w:cstheme="minorHAnsi"/>
                <w:color w:val="000000"/>
                <w:sz w:val="16"/>
                <w:szCs w:val="16"/>
              </w:rPr>
            </w:pPr>
            <w:r w:rsidRPr="004A3071">
              <w:rPr>
                <w:rFonts w:asciiTheme="minorHAnsi" w:hAnsiTheme="minorHAnsi" w:cstheme="minorHAnsi"/>
                <w:color w:val="000000"/>
                <w:sz w:val="16"/>
                <w:szCs w:val="16"/>
              </w:rPr>
              <w:t>Face-to-face meetings</w:t>
            </w:r>
          </w:p>
        </w:tc>
        <w:tc>
          <w:tcPr>
            <w:tcW w:w="2296" w:type="dxa"/>
            <w:tcBorders>
              <w:top w:val="nil"/>
              <w:left w:val="single" w:sz="4" w:space="0" w:color="000000" w:themeColor="text1"/>
              <w:bottom w:val="single" w:sz="4" w:space="0" w:color="auto"/>
              <w:right w:val="single" w:sz="4" w:space="0" w:color="000000" w:themeColor="text1"/>
            </w:tcBorders>
            <w:shd w:val="clear" w:color="auto" w:fill="FFFFFF" w:themeFill="background1"/>
            <w:vAlign w:val="center"/>
          </w:tcPr>
          <w:p w14:paraId="1B158E76" w14:textId="77777777" w:rsidR="009563B4" w:rsidRPr="004A3071" w:rsidRDefault="009563B4" w:rsidP="00481CA4">
            <w:pPr>
              <w:jc w:val="center"/>
              <w:rPr>
                <w:rFonts w:asciiTheme="minorHAnsi" w:hAnsiTheme="minorHAnsi" w:cstheme="minorHAnsi"/>
                <w:color w:val="000000"/>
                <w:sz w:val="16"/>
                <w:szCs w:val="16"/>
              </w:rPr>
            </w:pPr>
            <w:r w:rsidRPr="004A3071">
              <w:rPr>
                <w:rFonts w:asciiTheme="minorHAnsi" w:hAnsiTheme="minorHAnsi" w:cstheme="minorHAnsi"/>
                <w:color w:val="000000"/>
                <w:sz w:val="16"/>
                <w:szCs w:val="16"/>
              </w:rPr>
              <w:t> </w:t>
            </w:r>
          </w:p>
        </w:tc>
        <w:tc>
          <w:tcPr>
            <w:tcW w:w="1870" w:type="dxa"/>
            <w:tcBorders>
              <w:top w:val="nil"/>
              <w:left w:val="single" w:sz="4" w:space="0" w:color="000000" w:themeColor="text1"/>
              <w:bottom w:val="single" w:sz="4" w:space="0" w:color="auto"/>
              <w:right w:val="single" w:sz="4" w:space="0" w:color="000000" w:themeColor="text1"/>
            </w:tcBorders>
            <w:shd w:val="clear" w:color="auto" w:fill="FFFFFF" w:themeFill="background1"/>
            <w:vAlign w:val="center"/>
          </w:tcPr>
          <w:p w14:paraId="2506F9EB" w14:textId="77777777" w:rsidR="009563B4" w:rsidRPr="004A3071" w:rsidRDefault="009563B4" w:rsidP="00481CA4">
            <w:pPr>
              <w:jc w:val="center"/>
              <w:rPr>
                <w:rFonts w:asciiTheme="minorHAnsi" w:hAnsiTheme="minorHAnsi" w:cstheme="minorHAnsi"/>
                <w:color w:val="000000"/>
                <w:sz w:val="16"/>
                <w:szCs w:val="16"/>
              </w:rPr>
            </w:pPr>
            <w:r w:rsidRPr="004A3071">
              <w:rPr>
                <w:rFonts w:asciiTheme="minorHAnsi" w:hAnsiTheme="minorHAnsi" w:cstheme="minorHAnsi"/>
                <w:color w:val="000000"/>
                <w:sz w:val="16"/>
                <w:szCs w:val="16"/>
              </w:rPr>
              <w:t> </w:t>
            </w:r>
          </w:p>
        </w:tc>
        <w:tc>
          <w:tcPr>
            <w:tcW w:w="1870" w:type="dxa"/>
            <w:tcBorders>
              <w:top w:val="nil"/>
              <w:left w:val="single" w:sz="4" w:space="0" w:color="000000" w:themeColor="text1"/>
              <w:bottom w:val="single" w:sz="4" w:space="0" w:color="auto"/>
              <w:right w:val="single" w:sz="4" w:space="0" w:color="auto"/>
            </w:tcBorders>
            <w:shd w:val="clear" w:color="auto" w:fill="FFFFFF" w:themeFill="background1"/>
            <w:vAlign w:val="center"/>
          </w:tcPr>
          <w:p w14:paraId="17AE76ED" w14:textId="77777777" w:rsidR="009563B4" w:rsidRPr="004A3071" w:rsidRDefault="009563B4" w:rsidP="00481CA4">
            <w:pPr>
              <w:jc w:val="center"/>
              <w:rPr>
                <w:rFonts w:asciiTheme="minorHAnsi" w:hAnsiTheme="minorHAnsi" w:cstheme="minorHAnsi"/>
                <w:color w:val="000000"/>
                <w:sz w:val="16"/>
                <w:szCs w:val="16"/>
              </w:rPr>
            </w:pPr>
            <w:r w:rsidRPr="004A3071">
              <w:rPr>
                <w:rFonts w:asciiTheme="minorHAnsi" w:hAnsiTheme="minorHAnsi" w:cstheme="minorHAnsi"/>
                <w:color w:val="000000"/>
                <w:sz w:val="16"/>
                <w:szCs w:val="16"/>
              </w:rPr>
              <w:t> </w:t>
            </w:r>
          </w:p>
        </w:tc>
      </w:tr>
      <w:tr w:rsidR="000D7C84" w:rsidRPr="004A3071" w14:paraId="438D8893" w14:textId="77777777" w:rsidTr="004D2871">
        <w:trPr>
          <w:cantSplit/>
        </w:trPr>
        <w:tc>
          <w:tcPr>
            <w:tcW w:w="1870" w:type="dxa"/>
            <w:vMerge w:val="restart"/>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71F6994" w14:textId="77777777" w:rsidR="000D7C84" w:rsidRPr="004A3071" w:rsidRDefault="000D7C84" w:rsidP="00481CA4">
            <w:pPr>
              <w:rPr>
                <w:rFonts w:asciiTheme="minorHAnsi" w:hAnsiTheme="minorHAnsi" w:cstheme="minorHAnsi"/>
                <w:color w:val="000000"/>
                <w:sz w:val="16"/>
                <w:szCs w:val="16"/>
              </w:rPr>
            </w:pPr>
            <w:r w:rsidRPr="004A3071">
              <w:rPr>
                <w:rFonts w:asciiTheme="minorHAnsi" w:hAnsiTheme="minorHAnsi" w:cstheme="minorHAnsi"/>
                <w:sz w:val="16"/>
                <w:szCs w:val="16"/>
              </w:rPr>
              <w:t>Non-Governmental Organizations</w:t>
            </w:r>
          </w:p>
          <w:p w14:paraId="2B22214B" w14:textId="77777777" w:rsidR="000D7C84" w:rsidRPr="004A3071" w:rsidRDefault="000D7C84" w:rsidP="00481CA4">
            <w:pPr>
              <w:rPr>
                <w:rFonts w:asciiTheme="minorHAnsi" w:hAnsiTheme="minorHAnsi" w:cstheme="minorHAnsi"/>
                <w:color w:val="000000"/>
                <w:sz w:val="16"/>
                <w:szCs w:val="16"/>
              </w:rPr>
            </w:pPr>
            <w:r w:rsidRPr="004A3071">
              <w:rPr>
                <w:rFonts w:asciiTheme="minorHAnsi" w:hAnsiTheme="minorHAnsi" w:cstheme="minorHAnsi"/>
                <w:color w:val="000000"/>
                <w:sz w:val="16"/>
                <w:szCs w:val="16"/>
              </w:rPr>
              <w:t> </w:t>
            </w:r>
          </w:p>
          <w:p w14:paraId="5763FB82" w14:textId="77777777" w:rsidR="000D7C84" w:rsidRPr="004A3071" w:rsidRDefault="000D7C84" w:rsidP="00481CA4">
            <w:pPr>
              <w:rPr>
                <w:rFonts w:asciiTheme="minorHAnsi" w:hAnsiTheme="minorHAnsi" w:cstheme="minorHAnsi"/>
                <w:color w:val="000000"/>
                <w:sz w:val="16"/>
                <w:szCs w:val="16"/>
              </w:rPr>
            </w:pPr>
            <w:r w:rsidRPr="004A3071">
              <w:rPr>
                <w:rFonts w:asciiTheme="minorHAnsi" w:hAnsiTheme="minorHAnsi" w:cstheme="minorHAnsi"/>
                <w:color w:val="000000"/>
                <w:sz w:val="16"/>
                <w:szCs w:val="16"/>
              </w:rPr>
              <w:t> </w:t>
            </w:r>
          </w:p>
          <w:p w14:paraId="31B48C16" w14:textId="77777777" w:rsidR="000D7C84" w:rsidRPr="004A3071" w:rsidRDefault="000D7C84" w:rsidP="00481CA4">
            <w:pPr>
              <w:rPr>
                <w:rFonts w:asciiTheme="minorHAnsi" w:hAnsiTheme="minorHAnsi" w:cstheme="minorHAnsi"/>
                <w:color w:val="000000"/>
                <w:sz w:val="16"/>
                <w:szCs w:val="16"/>
              </w:rPr>
            </w:pPr>
            <w:r w:rsidRPr="004A3071">
              <w:rPr>
                <w:rFonts w:asciiTheme="minorHAnsi" w:hAnsiTheme="minorHAnsi" w:cstheme="minorHAnsi"/>
                <w:color w:val="000000"/>
                <w:sz w:val="16"/>
                <w:szCs w:val="16"/>
              </w:rPr>
              <w:t> </w:t>
            </w:r>
          </w:p>
        </w:tc>
        <w:tc>
          <w:tcPr>
            <w:tcW w:w="1870" w:type="dxa"/>
            <w:tcBorders>
              <w:top w:val="nil"/>
              <w:left w:val="single" w:sz="4" w:space="0" w:color="auto"/>
              <w:bottom w:val="nil"/>
              <w:right w:val="single" w:sz="4" w:space="0" w:color="000000" w:themeColor="text1"/>
            </w:tcBorders>
            <w:shd w:val="clear" w:color="auto" w:fill="FFFFFF" w:themeFill="background1"/>
            <w:vAlign w:val="center"/>
          </w:tcPr>
          <w:p w14:paraId="766EE402" w14:textId="77777777" w:rsidR="000D7C84" w:rsidRPr="004A3071" w:rsidRDefault="000D7C84" w:rsidP="00481CA4">
            <w:pPr>
              <w:jc w:val="center"/>
              <w:rPr>
                <w:rFonts w:asciiTheme="minorHAnsi" w:hAnsiTheme="minorHAnsi" w:cstheme="minorHAnsi"/>
                <w:color w:val="000000"/>
                <w:sz w:val="16"/>
                <w:szCs w:val="16"/>
              </w:rPr>
            </w:pPr>
            <w:r w:rsidRPr="004A3071">
              <w:rPr>
                <w:rFonts w:asciiTheme="minorHAnsi" w:hAnsiTheme="minorHAnsi" w:cstheme="minorHAnsi"/>
                <w:color w:val="000000"/>
                <w:sz w:val="16"/>
                <w:szCs w:val="16"/>
              </w:rPr>
              <w:t>Partner and Indirect Beneficiary</w:t>
            </w:r>
          </w:p>
        </w:tc>
        <w:tc>
          <w:tcPr>
            <w:tcW w:w="1870" w:type="dxa"/>
            <w:vMerge w:val="restart"/>
            <w:tcBorders>
              <w:top w:val="nil"/>
              <w:left w:val="single" w:sz="4" w:space="0" w:color="000000" w:themeColor="text1"/>
              <w:right w:val="single" w:sz="4" w:space="0" w:color="000000" w:themeColor="text1"/>
            </w:tcBorders>
            <w:shd w:val="clear" w:color="auto" w:fill="DDEBF7"/>
            <w:vAlign w:val="center"/>
          </w:tcPr>
          <w:p w14:paraId="42AF8273" w14:textId="77777777" w:rsidR="000D7C84" w:rsidRPr="004A3071" w:rsidRDefault="000D7C84" w:rsidP="00481CA4">
            <w:pPr>
              <w:jc w:val="center"/>
              <w:rPr>
                <w:rFonts w:asciiTheme="minorHAnsi" w:hAnsiTheme="minorHAnsi" w:cstheme="minorHAnsi"/>
                <w:b/>
                <w:bCs/>
                <w:color w:val="FF0000"/>
                <w:sz w:val="16"/>
                <w:szCs w:val="16"/>
              </w:rPr>
            </w:pPr>
            <w:r w:rsidRPr="004A3071">
              <w:rPr>
                <w:rFonts w:asciiTheme="minorHAnsi" w:hAnsiTheme="minorHAnsi" w:cstheme="minorHAnsi"/>
                <w:b/>
                <w:bCs/>
                <w:sz w:val="16"/>
                <w:szCs w:val="16"/>
              </w:rPr>
              <w:t>Implementation Partner</w:t>
            </w:r>
          </w:p>
          <w:p w14:paraId="622C4F77" w14:textId="77777777" w:rsidR="000D7C84" w:rsidRPr="004A3071" w:rsidRDefault="000D7C84" w:rsidP="00481CA4">
            <w:pPr>
              <w:jc w:val="center"/>
              <w:rPr>
                <w:rFonts w:asciiTheme="minorHAnsi" w:hAnsiTheme="minorHAnsi" w:cstheme="minorHAnsi"/>
                <w:b/>
                <w:bCs/>
                <w:color w:val="000000"/>
                <w:sz w:val="16"/>
                <w:szCs w:val="16"/>
              </w:rPr>
            </w:pPr>
            <w:r w:rsidRPr="004A3071">
              <w:rPr>
                <w:rFonts w:asciiTheme="minorHAnsi" w:hAnsiTheme="minorHAnsi" w:cstheme="minorHAnsi"/>
                <w:b/>
                <w:bCs/>
                <w:color w:val="000000"/>
                <w:sz w:val="16"/>
                <w:szCs w:val="16"/>
              </w:rPr>
              <w:t> </w:t>
            </w:r>
          </w:p>
          <w:p w14:paraId="172E0D86" w14:textId="58F17254" w:rsidR="000D7C84" w:rsidRPr="004A3071" w:rsidRDefault="000D7C84" w:rsidP="00481CA4">
            <w:pPr>
              <w:jc w:val="center"/>
              <w:rPr>
                <w:rFonts w:asciiTheme="minorHAnsi" w:hAnsiTheme="minorHAnsi" w:cstheme="minorHAnsi"/>
                <w:b/>
                <w:bCs/>
                <w:color w:val="FF0000"/>
                <w:sz w:val="16"/>
                <w:szCs w:val="16"/>
                <w:highlight w:val="cyan"/>
              </w:rPr>
            </w:pPr>
            <w:r w:rsidRPr="004A3071">
              <w:rPr>
                <w:rFonts w:asciiTheme="minorHAnsi" w:hAnsiTheme="minorHAnsi" w:cstheme="minorHAnsi"/>
                <w:b/>
                <w:bCs/>
                <w:color w:val="000000"/>
                <w:sz w:val="16"/>
                <w:szCs w:val="16"/>
              </w:rPr>
              <w:t> </w:t>
            </w:r>
          </w:p>
        </w:tc>
        <w:tc>
          <w:tcPr>
            <w:tcW w:w="1870" w:type="dxa"/>
            <w:tcBorders>
              <w:top w:val="nil"/>
              <w:left w:val="single" w:sz="4" w:space="0" w:color="000000" w:themeColor="text1"/>
              <w:bottom w:val="nil"/>
              <w:right w:val="single" w:sz="4" w:space="0" w:color="000000" w:themeColor="text1"/>
            </w:tcBorders>
            <w:shd w:val="clear" w:color="auto" w:fill="FFFFFF" w:themeFill="background1"/>
            <w:vAlign w:val="center"/>
          </w:tcPr>
          <w:p w14:paraId="5CC99DA0" w14:textId="77777777" w:rsidR="000D7C84" w:rsidRPr="004A3071" w:rsidRDefault="000D7C84" w:rsidP="00481CA4">
            <w:pPr>
              <w:jc w:val="center"/>
              <w:rPr>
                <w:rFonts w:asciiTheme="minorHAnsi" w:hAnsiTheme="minorHAnsi" w:cstheme="minorHAnsi"/>
                <w:color w:val="000000"/>
                <w:sz w:val="16"/>
                <w:szCs w:val="16"/>
              </w:rPr>
            </w:pPr>
            <w:r w:rsidRPr="004A3071">
              <w:rPr>
                <w:rFonts w:asciiTheme="minorHAnsi" w:hAnsiTheme="minorHAnsi" w:cstheme="minorHAnsi"/>
                <w:color w:val="000000"/>
                <w:sz w:val="16"/>
                <w:szCs w:val="16"/>
              </w:rPr>
              <w:t>Face-to-face meetings</w:t>
            </w:r>
          </w:p>
        </w:tc>
        <w:tc>
          <w:tcPr>
            <w:tcW w:w="2296" w:type="dxa"/>
            <w:tcBorders>
              <w:top w:val="nil"/>
              <w:left w:val="single" w:sz="4" w:space="0" w:color="000000" w:themeColor="text1"/>
              <w:bottom w:val="nil"/>
              <w:right w:val="single" w:sz="4" w:space="0" w:color="000000" w:themeColor="text1"/>
            </w:tcBorders>
            <w:shd w:val="clear" w:color="auto" w:fill="FFFFFF" w:themeFill="background1"/>
            <w:vAlign w:val="center"/>
          </w:tcPr>
          <w:p w14:paraId="3DB0FC0F" w14:textId="77777777" w:rsidR="000D7C84" w:rsidRPr="004A3071" w:rsidRDefault="000D7C84" w:rsidP="00481CA4">
            <w:pPr>
              <w:jc w:val="center"/>
              <w:rPr>
                <w:rFonts w:asciiTheme="minorHAnsi" w:hAnsiTheme="minorHAnsi" w:cstheme="minorHAnsi"/>
                <w:color w:val="000000"/>
                <w:sz w:val="16"/>
                <w:szCs w:val="16"/>
              </w:rPr>
            </w:pPr>
            <w:r w:rsidRPr="004A3071">
              <w:rPr>
                <w:rFonts w:asciiTheme="minorHAnsi" w:hAnsiTheme="minorHAnsi" w:cstheme="minorHAnsi"/>
                <w:sz w:val="16"/>
                <w:szCs w:val="16"/>
              </w:rPr>
              <w:t>The NGOs consulted already has activities in the project's sites, and has the possibility to be a implementation partner</w:t>
            </w:r>
          </w:p>
        </w:tc>
        <w:tc>
          <w:tcPr>
            <w:tcW w:w="1870" w:type="dxa"/>
            <w:tcBorders>
              <w:top w:val="nil"/>
              <w:left w:val="single" w:sz="4" w:space="0" w:color="000000" w:themeColor="text1"/>
              <w:bottom w:val="nil"/>
              <w:right w:val="single" w:sz="4" w:space="0" w:color="000000" w:themeColor="text1"/>
            </w:tcBorders>
            <w:shd w:val="clear" w:color="auto" w:fill="FFFFFF" w:themeFill="background1"/>
            <w:vAlign w:val="center"/>
          </w:tcPr>
          <w:p w14:paraId="49C2ABBB" w14:textId="77777777" w:rsidR="000D7C84" w:rsidRPr="004A3071" w:rsidRDefault="000D7C84" w:rsidP="00481CA4">
            <w:pPr>
              <w:jc w:val="center"/>
              <w:rPr>
                <w:rFonts w:asciiTheme="minorHAnsi" w:hAnsiTheme="minorHAnsi" w:cstheme="minorHAnsi"/>
                <w:color w:val="000000"/>
                <w:sz w:val="16"/>
                <w:szCs w:val="16"/>
              </w:rPr>
            </w:pPr>
            <w:r w:rsidRPr="004A3071">
              <w:rPr>
                <w:rFonts w:asciiTheme="minorHAnsi" w:hAnsiTheme="minorHAnsi" w:cstheme="minorHAnsi"/>
                <w:color w:val="000000"/>
                <w:sz w:val="16"/>
                <w:szCs w:val="16"/>
              </w:rPr>
              <w:t>During the implementation phase</w:t>
            </w:r>
          </w:p>
        </w:tc>
        <w:tc>
          <w:tcPr>
            <w:tcW w:w="1870" w:type="dxa"/>
            <w:tcBorders>
              <w:top w:val="nil"/>
              <w:left w:val="single" w:sz="4" w:space="0" w:color="000000" w:themeColor="text1"/>
              <w:bottom w:val="nil"/>
              <w:right w:val="single" w:sz="4" w:space="0" w:color="auto"/>
            </w:tcBorders>
            <w:shd w:val="clear" w:color="auto" w:fill="FFFFFF" w:themeFill="background1"/>
            <w:vAlign w:val="center"/>
          </w:tcPr>
          <w:p w14:paraId="4C430E6F" w14:textId="77777777" w:rsidR="000D7C84" w:rsidRPr="004A3071" w:rsidRDefault="000D7C84" w:rsidP="00481CA4">
            <w:pPr>
              <w:jc w:val="center"/>
              <w:rPr>
                <w:rFonts w:asciiTheme="minorHAnsi" w:hAnsiTheme="minorHAnsi" w:cstheme="minorHAnsi"/>
                <w:color w:val="000000"/>
                <w:sz w:val="16"/>
                <w:szCs w:val="16"/>
              </w:rPr>
            </w:pPr>
            <w:r w:rsidRPr="004A3071">
              <w:rPr>
                <w:rFonts w:asciiTheme="minorHAnsi" w:hAnsiTheme="minorHAnsi" w:cstheme="minorHAnsi"/>
                <w:sz w:val="16"/>
                <w:szCs w:val="16"/>
              </w:rPr>
              <w:t>ONG consulted:  ADRA, ADPP, World Vision, Association of Organics Products, COSPE</w:t>
            </w:r>
          </w:p>
        </w:tc>
      </w:tr>
      <w:tr w:rsidR="000D7C84" w:rsidRPr="004A3071" w14:paraId="158E3AB8" w14:textId="77777777" w:rsidTr="004A3071">
        <w:trPr>
          <w:cantSplit/>
        </w:trPr>
        <w:tc>
          <w:tcPr>
            <w:tcW w:w="1870" w:type="dxa"/>
            <w:vMerge/>
            <w:tcBorders>
              <w:left w:val="single" w:sz="4" w:space="0" w:color="auto"/>
              <w:bottom w:val="single" w:sz="4" w:space="0" w:color="auto"/>
            </w:tcBorders>
            <w:vAlign w:val="center"/>
          </w:tcPr>
          <w:p w14:paraId="27BD377C" w14:textId="77777777" w:rsidR="000D7C84" w:rsidRPr="004A3071" w:rsidRDefault="000D7C84" w:rsidP="00481CA4">
            <w:pPr>
              <w:rPr>
                <w:rFonts w:asciiTheme="minorHAnsi" w:hAnsiTheme="minorHAnsi" w:cstheme="minorHAnsi"/>
                <w:color w:val="000000"/>
                <w:sz w:val="16"/>
                <w:szCs w:val="16"/>
              </w:rPr>
            </w:pPr>
          </w:p>
        </w:tc>
        <w:tc>
          <w:tcPr>
            <w:tcW w:w="1870" w:type="dxa"/>
            <w:tcBorders>
              <w:top w:val="nil"/>
              <w:left w:val="single" w:sz="4" w:space="0" w:color="auto"/>
              <w:bottom w:val="nil"/>
              <w:right w:val="single" w:sz="4" w:space="0" w:color="000000" w:themeColor="text1"/>
            </w:tcBorders>
            <w:shd w:val="clear" w:color="auto" w:fill="FFFFFF" w:themeFill="background1"/>
            <w:vAlign w:val="center"/>
          </w:tcPr>
          <w:p w14:paraId="21065FD9" w14:textId="77777777" w:rsidR="000D7C84" w:rsidRPr="004A3071" w:rsidRDefault="000D7C84" w:rsidP="00481CA4">
            <w:pPr>
              <w:jc w:val="center"/>
              <w:rPr>
                <w:rFonts w:asciiTheme="minorHAnsi" w:hAnsiTheme="minorHAnsi" w:cstheme="minorHAnsi"/>
                <w:color w:val="000000"/>
                <w:sz w:val="16"/>
                <w:szCs w:val="16"/>
              </w:rPr>
            </w:pPr>
            <w:r w:rsidRPr="004A3071">
              <w:rPr>
                <w:rFonts w:asciiTheme="minorHAnsi" w:hAnsiTheme="minorHAnsi" w:cstheme="minorHAnsi"/>
                <w:color w:val="000000"/>
                <w:sz w:val="16"/>
                <w:szCs w:val="16"/>
              </w:rPr>
              <w:t> </w:t>
            </w:r>
          </w:p>
        </w:tc>
        <w:tc>
          <w:tcPr>
            <w:tcW w:w="1870" w:type="dxa"/>
            <w:vMerge/>
            <w:vAlign w:val="center"/>
          </w:tcPr>
          <w:p w14:paraId="0C97CC78" w14:textId="1AADC444" w:rsidR="000D7C84" w:rsidRPr="004A3071" w:rsidRDefault="000D7C84" w:rsidP="00481CA4">
            <w:pPr>
              <w:jc w:val="center"/>
              <w:rPr>
                <w:rFonts w:asciiTheme="minorHAnsi" w:hAnsiTheme="minorHAnsi" w:cstheme="minorHAnsi"/>
                <w:b/>
                <w:bCs/>
                <w:color w:val="000000"/>
                <w:sz w:val="16"/>
                <w:szCs w:val="16"/>
                <w:highlight w:val="cyan"/>
              </w:rPr>
            </w:pPr>
          </w:p>
        </w:tc>
        <w:tc>
          <w:tcPr>
            <w:tcW w:w="1870" w:type="dxa"/>
            <w:tcBorders>
              <w:top w:val="nil"/>
              <w:left w:val="single" w:sz="4" w:space="0" w:color="000000" w:themeColor="text1"/>
              <w:bottom w:val="nil"/>
              <w:right w:val="single" w:sz="4" w:space="0" w:color="000000" w:themeColor="text1"/>
            </w:tcBorders>
            <w:shd w:val="clear" w:color="auto" w:fill="FFFFFF" w:themeFill="background1"/>
            <w:vAlign w:val="center"/>
          </w:tcPr>
          <w:p w14:paraId="368BD9C2" w14:textId="77777777" w:rsidR="000D7C84" w:rsidRPr="004A3071" w:rsidRDefault="000D7C84" w:rsidP="655B59E9">
            <w:pPr>
              <w:jc w:val="center"/>
              <w:rPr>
                <w:rFonts w:asciiTheme="minorHAnsi" w:hAnsiTheme="minorHAnsi" w:cstheme="minorHAnsi"/>
                <w:color w:val="000000"/>
                <w:sz w:val="16"/>
                <w:szCs w:val="16"/>
              </w:rPr>
            </w:pPr>
            <w:r w:rsidRPr="004A3071">
              <w:rPr>
                <w:rFonts w:asciiTheme="minorHAnsi" w:hAnsiTheme="minorHAnsi" w:cstheme="minorHAnsi"/>
                <w:color w:val="000000" w:themeColor="text1"/>
                <w:sz w:val="16"/>
                <w:szCs w:val="16"/>
              </w:rPr>
              <w:t>PGG inception workshop</w:t>
            </w:r>
          </w:p>
        </w:tc>
        <w:tc>
          <w:tcPr>
            <w:tcW w:w="2296" w:type="dxa"/>
            <w:tcBorders>
              <w:top w:val="nil"/>
              <w:left w:val="single" w:sz="4" w:space="0" w:color="000000" w:themeColor="text1"/>
              <w:bottom w:val="nil"/>
              <w:right w:val="single" w:sz="4" w:space="0" w:color="000000" w:themeColor="text1"/>
            </w:tcBorders>
            <w:shd w:val="clear" w:color="auto" w:fill="FFFFFF" w:themeFill="background1"/>
            <w:vAlign w:val="center"/>
          </w:tcPr>
          <w:p w14:paraId="2E2DA9DD" w14:textId="77777777" w:rsidR="000D7C84" w:rsidRPr="004A3071" w:rsidRDefault="000D7C84" w:rsidP="00481CA4">
            <w:pPr>
              <w:jc w:val="center"/>
              <w:rPr>
                <w:rFonts w:asciiTheme="minorHAnsi" w:hAnsiTheme="minorHAnsi" w:cstheme="minorHAnsi"/>
                <w:color w:val="000000"/>
                <w:sz w:val="16"/>
                <w:szCs w:val="16"/>
              </w:rPr>
            </w:pPr>
            <w:r w:rsidRPr="004A3071">
              <w:rPr>
                <w:rFonts w:asciiTheme="minorHAnsi" w:hAnsiTheme="minorHAnsi" w:cstheme="minorHAnsi"/>
                <w:color w:val="000000"/>
                <w:sz w:val="16"/>
                <w:szCs w:val="16"/>
              </w:rPr>
              <w:t> </w:t>
            </w:r>
          </w:p>
        </w:tc>
        <w:tc>
          <w:tcPr>
            <w:tcW w:w="1870" w:type="dxa"/>
            <w:tcBorders>
              <w:top w:val="nil"/>
              <w:left w:val="single" w:sz="4" w:space="0" w:color="000000" w:themeColor="text1"/>
              <w:bottom w:val="nil"/>
              <w:right w:val="single" w:sz="4" w:space="0" w:color="000000" w:themeColor="text1"/>
            </w:tcBorders>
            <w:shd w:val="clear" w:color="auto" w:fill="FFFFFF" w:themeFill="background1"/>
            <w:vAlign w:val="center"/>
          </w:tcPr>
          <w:p w14:paraId="28DA5A94" w14:textId="77777777" w:rsidR="000D7C84" w:rsidRPr="004A3071" w:rsidRDefault="000D7C84" w:rsidP="00481CA4">
            <w:pPr>
              <w:jc w:val="center"/>
              <w:rPr>
                <w:rFonts w:asciiTheme="minorHAnsi" w:hAnsiTheme="minorHAnsi" w:cstheme="minorHAnsi"/>
                <w:color w:val="000000"/>
                <w:sz w:val="16"/>
                <w:szCs w:val="16"/>
              </w:rPr>
            </w:pPr>
            <w:r w:rsidRPr="004A3071">
              <w:rPr>
                <w:rFonts w:asciiTheme="minorHAnsi" w:hAnsiTheme="minorHAnsi" w:cstheme="minorHAnsi"/>
                <w:color w:val="000000"/>
                <w:sz w:val="16"/>
                <w:szCs w:val="16"/>
              </w:rPr>
              <w:t> </w:t>
            </w:r>
          </w:p>
        </w:tc>
        <w:tc>
          <w:tcPr>
            <w:tcW w:w="1870" w:type="dxa"/>
            <w:tcBorders>
              <w:top w:val="nil"/>
              <w:left w:val="single" w:sz="4" w:space="0" w:color="000000" w:themeColor="text1"/>
              <w:bottom w:val="nil"/>
              <w:right w:val="single" w:sz="4" w:space="0" w:color="auto"/>
            </w:tcBorders>
            <w:shd w:val="clear" w:color="auto" w:fill="FFFFFF" w:themeFill="background1"/>
            <w:vAlign w:val="center"/>
          </w:tcPr>
          <w:p w14:paraId="5BD1AAB1" w14:textId="77777777" w:rsidR="000D7C84" w:rsidRPr="004A3071" w:rsidRDefault="000D7C84" w:rsidP="00481CA4">
            <w:pPr>
              <w:jc w:val="center"/>
              <w:rPr>
                <w:rFonts w:asciiTheme="minorHAnsi" w:hAnsiTheme="minorHAnsi" w:cstheme="minorHAnsi"/>
                <w:color w:val="000000"/>
                <w:sz w:val="16"/>
                <w:szCs w:val="16"/>
              </w:rPr>
            </w:pPr>
            <w:r w:rsidRPr="004A3071">
              <w:rPr>
                <w:rFonts w:asciiTheme="minorHAnsi" w:hAnsiTheme="minorHAnsi" w:cstheme="minorHAnsi"/>
                <w:color w:val="000000"/>
                <w:sz w:val="16"/>
                <w:szCs w:val="16"/>
              </w:rPr>
              <w:t> </w:t>
            </w:r>
          </w:p>
        </w:tc>
      </w:tr>
      <w:tr w:rsidR="000D7C84" w:rsidRPr="004A3071" w14:paraId="5AC70AC0" w14:textId="77777777" w:rsidTr="004A3071">
        <w:trPr>
          <w:cantSplit/>
          <w:trHeight w:val="70"/>
        </w:trPr>
        <w:tc>
          <w:tcPr>
            <w:tcW w:w="1870" w:type="dxa"/>
            <w:vMerge/>
            <w:tcBorders>
              <w:left w:val="single" w:sz="4" w:space="0" w:color="auto"/>
              <w:bottom w:val="single" w:sz="4" w:space="0" w:color="auto"/>
            </w:tcBorders>
            <w:vAlign w:val="center"/>
          </w:tcPr>
          <w:p w14:paraId="0C6F6656" w14:textId="77777777" w:rsidR="000D7C84" w:rsidRPr="004A3071" w:rsidRDefault="000D7C84" w:rsidP="00481CA4">
            <w:pPr>
              <w:rPr>
                <w:rFonts w:asciiTheme="minorHAnsi" w:hAnsiTheme="minorHAnsi" w:cstheme="minorHAnsi"/>
                <w:color w:val="000000"/>
                <w:sz w:val="16"/>
                <w:szCs w:val="16"/>
              </w:rPr>
            </w:pPr>
          </w:p>
        </w:tc>
        <w:tc>
          <w:tcPr>
            <w:tcW w:w="1870" w:type="dxa"/>
            <w:tcBorders>
              <w:top w:val="nil"/>
              <w:left w:val="single" w:sz="4" w:space="0" w:color="auto"/>
              <w:bottom w:val="nil"/>
              <w:right w:val="single" w:sz="4" w:space="0" w:color="000000" w:themeColor="text1"/>
            </w:tcBorders>
            <w:shd w:val="clear" w:color="auto" w:fill="FFFFFF" w:themeFill="background1"/>
            <w:vAlign w:val="center"/>
          </w:tcPr>
          <w:p w14:paraId="28B59B47" w14:textId="77777777" w:rsidR="000D7C84" w:rsidRPr="004A3071" w:rsidRDefault="000D7C84" w:rsidP="00481CA4">
            <w:pPr>
              <w:jc w:val="center"/>
              <w:rPr>
                <w:rFonts w:asciiTheme="minorHAnsi" w:hAnsiTheme="minorHAnsi" w:cstheme="minorHAnsi"/>
                <w:color w:val="000000"/>
                <w:sz w:val="16"/>
                <w:szCs w:val="16"/>
              </w:rPr>
            </w:pPr>
            <w:r w:rsidRPr="004A3071">
              <w:rPr>
                <w:rFonts w:asciiTheme="minorHAnsi" w:hAnsiTheme="minorHAnsi" w:cstheme="minorHAnsi"/>
                <w:color w:val="000000"/>
                <w:sz w:val="16"/>
                <w:szCs w:val="16"/>
              </w:rPr>
              <w:t> </w:t>
            </w:r>
          </w:p>
        </w:tc>
        <w:tc>
          <w:tcPr>
            <w:tcW w:w="1870" w:type="dxa"/>
            <w:vMerge/>
            <w:vAlign w:val="center"/>
          </w:tcPr>
          <w:p w14:paraId="5A12C8CF" w14:textId="0F45AD4D" w:rsidR="000D7C84" w:rsidRPr="004A3071" w:rsidRDefault="000D7C84" w:rsidP="00481CA4">
            <w:pPr>
              <w:jc w:val="center"/>
              <w:rPr>
                <w:rFonts w:asciiTheme="minorHAnsi" w:hAnsiTheme="minorHAnsi" w:cstheme="minorHAnsi"/>
                <w:b/>
                <w:bCs/>
                <w:color w:val="FF0000"/>
                <w:sz w:val="16"/>
                <w:szCs w:val="16"/>
                <w:highlight w:val="cyan"/>
              </w:rPr>
            </w:pPr>
          </w:p>
        </w:tc>
        <w:tc>
          <w:tcPr>
            <w:tcW w:w="1870" w:type="dxa"/>
            <w:tcBorders>
              <w:top w:val="nil"/>
              <w:left w:val="single" w:sz="4" w:space="0" w:color="000000" w:themeColor="text1"/>
              <w:bottom w:val="nil"/>
              <w:right w:val="single" w:sz="4" w:space="0" w:color="000000" w:themeColor="text1"/>
            </w:tcBorders>
            <w:shd w:val="clear" w:color="auto" w:fill="FFFFFF" w:themeFill="background1"/>
            <w:vAlign w:val="center"/>
          </w:tcPr>
          <w:p w14:paraId="1DAE9B1F" w14:textId="77777777" w:rsidR="000D7C84" w:rsidRPr="004A3071" w:rsidRDefault="000D7C84" w:rsidP="00481CA4">
            <w:pPr>
              <w:jc w:val="center"/>
              <w:rPr>
                <w:rFonts w:asciiTheme="minorHAnsi" w:hAnsiTheme="minorHAnsi" w:cstheme="minorHAnsi"/>
                <w:color w:val="000000"/>
                <w:sz w:val="16"/>
                <w:szCs w:val="16"/>
              </w:rPr>
            </w:pPr>
            <w:r w:rsidRPr="004A3071">
              <w:rPr>
                <w:rFonts w:asciiTheme="minorHAnsi" w:hAnsiTheme="minorHAnsi" w:cstheme="minorHAnsi"/>
                <w:color w:val="000000"/>
                <w:sz w:val="16"/>
                <w:szCs w:val="16"/>
              </w:rPr>
              <w:t>Face-to-face meetings</w:t>
            </w:r>
          </w:p>
        </w:tc>
        <w:tc>
          <w:tcPr>
            <w:tcW w:w="2296" w:type="dxa"/>
            <w:tcBorders>
              <w:top w:val="nil"/>
              <w:left w:val="single" w:sz="4" w:space="0" w:color="000000" w:themeColor="text1"/>
              <w:bottom w:val="nil"/>
              <w:right w:val="single" w:sz="4" w:space="0" w:color="000000" w:themeColor="text1"/>
            </w:tcBorders>
            <w:shd w:val="clear" w:color="auto" w:fill="FFFFFF" w:themeFill="background1"/>
            <w:vAlign w:val="center"/>
          </w:tcPr>
          <w:p w14:paraId="4E81B9A5" w14:textId="77777777" w:rsidR="000D7C84" w:rsidRPr="004A3071" w:rsidRDefault="000D7C84" w:rsidP="00481CA4">
            <w:pPr>
              <w:jc w:val="center"/>
              <w:rPr>
                <w:rFonts w:asciiTheme="minorHAnsi" w:hAnsiTheme="minorHAnsi" w:cstheme="minorHAnsi"/>
                <w:color w:val="000000"/>
                <w:sz w:val="16"/>
                <w:szCs w:val="16"/>
              </w:rPr>
            </w:pPr>
            <w:r w:rsidRPr="004A3071">
              <w:rPr>
                <w:rFonts w:asciiTheme="minorHAnsi" w:hAnsiTheme="minorHAnsi" w:cstheme="minorHAnsi"/>
                <w:color w:val="000000"/>
                <w:sz w:val="16"/>
                <w:szCs w:val="16"/>
              </w:rPr>
              <w:t> </w:t>
            </w:r>
          </w:p>
        </w:tc>
        <w:tc>
          <w:tcPr>
            <w:tcW w:w="1870" w:type="dxa"/>
            <w:tcBorders>
              <w:top w:val="nil"/>
              <w:left w:val="single" w:sz="4" w:space="0" w:color="000000" w:themeColor="text1"/>
              <w:bottom w:val="nil"/>
              <w:right w:val="single" w:sz="4" w:space="0" w:color="000000" w:themeColor="text1"/>
            </w:tcBorders>
            <w:shd w:val="clear" w:color="auto" w:fill="FFFFFF" w:themeFill="background1"/>
            <w:vAlign w:val="center"/>
          </w:tcPr>
          <w:p w14:paraId="61BBD06C" w14:textId="77777777" w:rsidR="000D7C84" w:rsidRPr="004A3071" w:rsidRDefault="000D7C84" w:rsidP="00481CA4">
            <w:pPr>
              <w:jc w:val="center"/>
              <w:rPr>
                <w:rFonts w:asciiTheme="minorHAnsi" w:hAnsiTheme="minorHAnsi" w:cstheme="minorHAnsi"/>
                <w:color w:val="000000"/>
                <w:sz w:val="16"/>
                <w:szCs w:val="16"/>
              </w:rPr>
            </w:pPr>
            <w:r w:rsidRPr="004A3071">
              <w:rPr>
                <w:rFonts w:asciiTheme="minorHAnsi" w:hAnsiTheme="minorHAnsi" w:cstheme="minorHAnsi"/>
                <w:color w:val="000000"/>
                <w:sz w:val="16"/>
                <w:szCs w:val="16"/>
              </w:rPr>
              <w:t> </w:t>
            </w:r>
          </w:p>
        </w:tc>
        <w:tc>
          <w:tcPr>
            <w:tcW w:w="1870" w:type="dxa"/>
            <w:tcBorders>
              <w:top w:val="nil"/>
              <w:left w:val="single" w:sz="4" w:space="0" w:color="000000" w:themeColor="text1"/>
              <w:bottom w:val="nil"/>
              <w:right w:val="single" w:sz="4" w:space="0" w:color="auto"/>
            </w:tcBorders>
            <w:shd w:val="clear" w:color="auto" w:fill="FFFFFF" w:themeFill="background1"/>
            <w:vAlign w:val="center"/>
          </w:tcPr>
          <w:p w14:paraId="7D37A522" w14:textId="77777777" w:rsidR="000D7C84" w:rsidRPr="004A3071" w:rsidRDefault="000D7C84" w:rsidP="00481CA4">
            <w:pPr>
              <w:jc w:val="center"/>
              <w:rPr>
                <w:rFonts w:asciiTheme="minorHAnsi" w:hAnsiTheme="minorHAnsi" w:cstheme="minorHAnsi"/>
                <w:color w:val="000000"/>
                <w:sz w:val="16"/>
                <w:szCs w:val="16"/>
              </w:rPr>
            </w:pPr>
            <w:r w:rsidRPr="004A3071">
              <w:rPr>
                <w:rFonts w:asciiTheme="minorHAnsi" w:hAnsiTheme="minorHAnsi" w:cstheme="minorHAnsi"/>
                <w:color w:val="000000"/>
                <w:sz w:val="16"/>
                <w:szCs w:val="16"/>
              </w:rPr>
              <w:t> </w:t>
            </w:r>
          </w:p>
        </w:tc>
      </w:tr>
      <w:tr w:rsidR="000D7C84" w:rsidRPr="004A3071" w14:paraId="4A83A06B" w14:textId="77777777" w:rsidTr="004A3071">
        <w:trPr>
          <w:cantSplit/>
        </w:trPr>
        <w:tc>
          <w:tcPr>
            <w:tcW w:w="1870" w:type="dxa"/>
            <w:vMerge/>
            <w:tcBorders>
              <w:left w:val="single" w:sz="4" w:space="0" w:color="auto"/>
              <w:bottom w:val="single" w:sz="4" w:space="0" w:color="auto"/>
            </w:tcBorders>
            <w:vAlign w:val="center"/>
          </w:tcPr>
          <w:p w14:paraId="20F45C44" w14:textId="77777777" w:rsidR="000D7C84" w:rsidRPr="004A3071" w:rsidRDefault="000D7C84" w:rsidP="00481CA4">
            <w:pPr>
              <w:rPr>
                <w:rFonts w:asciiTheme="minorHAnsi" w:hAnsiTheme="minorHAnsi" w:cstheme="minorHAnsi"/>
                <w:color w:val="000000"/>
                <w:sz w:val="16"/>
                <w:szCs w:val="16"/>
              </w:rPr>
            </w:pPr>
          </w:p>
        </w:tc>
        <w:tc>
          <w:tcPr>
            <w:tcW w:w="1870" w:type="dxa"/>
            <w:tcBorders>
              <w:top w:val="nil"/>
              <w:left w:val="single" w:sz="4" w:space="0" w:color="auto"/>
              <w:bottom w:val="single" w:sz="4" w:space="0" w:color="auto"/>
              <w:right w:val="single" w:sz="4" w:space="0" w:color="000000" w:themeColor="text1"/>
            </w:tcBorders>
            <w:shd w:val="clear" w:color="auto" w:fill="FFFFFF" w:themeFill="background1"/>
            <w:vAlign w:val="center"/>
          </w:tcPr>
          <w:p w14:paraId="5984617C" w14:textId="77777777" w:rsidR="000D7C84" w:rsidRPr="004A3071" w:rsidRDefault="000D7C84" w:rsidP="00481CA4">
            <w:pPr>
              <w:jc w:val="center"/>
              <w:rPr>
                <w:rFonts w:asciiTheme="minorHAnsi" w:hAnsiTheme="minorHAnsi" w:cstheme="minorHAnsi"/>
                <w:color w:val="000000"/>
                <w:sz w:val="16"/>
                <w:szCs w:val="16"/>
              </w:rPr>
            </w:pPr>
            <w:r w:rsidRPr="004A3071">
              <w:rPr>
                <w:rFonts w:asciiTheme="minorHAnsi" w:hAnsiTheme="minorHAnsi" w:cstheme="minorHAnsi"/>
                <w:color w:val="000000"/>
                <w:sz w:val="16"/>
                <w:szCs w:val="16"/>
              </w:rPr>
              <w:t> </w:t>
            </w:r>
          </w:p>
        </w:tc>
        <w:tc>
          <w:tcPr>
            <w:tcW w:w="1870" w:type="dxa"/>
            <w:vMerge/>
            <w:vAlign w:val="center"/>
          </w:tcPr>
          <w:p w14:paraId="469CC882" w14:textId="0EC272EC" w:rsidR="000D7C84" w:rsidRPr="004A3071" w:rsidRDefault="000D7C84" w:rsidP="00481CA4">
            <w:pPr>
              <w:jc w:val="center"/>
              <w:rPr>
                <w:rFonts w:asciiTheme="minorHAnsi" w:hAnsiTheme="minorHAnsi" w:cstheme="minorHAnsi"/>
                <w:b/>
                <w:bCs/>
                <w:color w:val="000000"/>
                <w:sz w:val="16"/>
                <w:szCs w:val="16"/>
              </w:rPr>
            </w:pPr>
          </w:p>
        </w:tc>
        <w:tc>
          <w:tcPr>
            <w:tcW w:w="1870" w:type="dxa"/>
            <w:tcBorders>
              <w:top w:val="nil"/>
              <w:left w:val="single" w:sz="4" w:space="0" w:color="000000" w:themeColor="text1"/>
              <w:bottom w:val="single" w:sz="4" w:space="0" w:color="auto"/>
              <w:right w:val="single" w:sz="4" w:space="0" w:color="000000" w:themeColor="text1"/>
            </w:tcBorders>
            <w:shd w:val="clear" w:color="auto" w:fill="FFFFFF" w:themeFill="background1"/>
            <w:vAlign w:val="center"/>
          </w:tcPr>
          <w:p w14:paraId="07C503BD" w14:textId="40CC3B6E" w:rsidR="000D7C84" w:rsidRPr="004A3071" w:rsidRDefault="000D7C84" w:rsidP="00481CA4">
            <w:pPr>
              <w:jc w:val="center"/>
              <w:rPr>
                <w:rFonts w:asciiTheme="minorHAnsi" w:hAnsiTheme="minorHAnsi" w:cstheme="minorHAnsi"/>
                <w:color w:val="000000"/>
                <w:sz w:val="16"/>
                <w:szCs w:val="16"/>
              </w:rPr>
            </w:pPr>
          </w:p>
        </w:tc>
        <w:tc>
          <w:tcPr>
            <w:tcW w:w="2296" w:type="dxa"/>
            <w:tcBorders>
              <w:top w:val="nil"/>
              <w:left w:val="single" w:sz="4" w:space="0" w:color="000000" w:themeColor="text1"/>
              <w:bottom w:val="single" w:sz="4" w:space="0" w:color="auto"/>
              <w:right w:val="single" w:sz="4" w:space="0" w:color="000000" w:themeColor="text1"/>
            </w:tcBorders>
            <w:shd w:val="clear" w:color="auto" w:fill="FFFFFF" w:themeFill="background1"/>
            <w:vAlign w:val="center"/>
          </w:tcPr>
          <w:p w14:paraId="2C2D1B57" w14:textId="77777777" w:rsidR="000D7C84" w:rsidRPr="004A3071" w:rsidRDefault="000D7C84" w:rsidP="00481CA4">
            <w:pPr>
              <w:jc w:val="center"/>
              <w:rPr>
                <w:rFonts w:asciiTheme="minorHAnsi" w:hAnsiTheme="minorHAnsi" w:cstheme="minorHAnsi"/>
                <w:color w:val="000000"/>
                <w:sz w:val="16"/>
                <w:szCs w:val="16"/>
              </w:rPr>
            </w:pPr>
            <w:r w:rsidRPr="004A3071">
              <w:rPr>
                <w:rFonts w:asciiTheme="minorHAnsi" w:hAnsiTheme="minorHAnsi" w:cstheme="minorHAnsi"/>
                <w:color w:val="000000"/>
                <w:sz w:val="16"/>
                <w:szCs w:val="16"/>
              </w:rPr>
              <w:t> </w:t>
            </w:r>
          </w:p>
        </w:tc>
        <w:tc>
          <w:tcPr>
            <w:tcW w:w="1870" w:type="dxa"/>
            <w:tcBorders>
              <w:top w:val="nil"/>
              <w:left w:val="single" w:sz="4" w:space="0" w:color="000000" w:themeColor="text1"/>
              <w:bottom w:val="single" w:sz="4" w:space="0" w:color="auto"/>
              <w:right w:val="single" w:sz="4" w:space="0" w:color="000000" w:themeColor="text1"/>
            </w:tcBorders>
            <w:shd w:val="clear" w:color="auto" w:fill="FFFFFF" w:themeFill="background1"/>
            <w:vAlign w:val="center"/>
          </w:tcPr>
          <w:p w14:paraId="597E9C7D" w14:textId="77777777" w:rsidR="000D7C84" w:rsidRPr="004A3071" w:rsidRDefault="000D7C84" w:rsidP="00481CA4">
            <w:pPr>
              <w:jc w:val="center"/>
              <w:rPr>
                <w:rFonts w:asciiTheme="minorHAnsi" w:hAnsiTheme="minorHAnsi" w:cstheme="minorHAnsi"/>
                <w:color w:val="000000"/>
                <w:sz w:val="16"/>
                <w:szCs w:val="16"/>
              </w:rPr>
            </w:pPr>
            <w:r w:rsidRPr="004A3071">
              <w:rPr>
                <w:rFonts w:asciiTheme="minorHAnsi" w:hAnsiTheme="minorHAnsi" w:cstheme="minorHAnsi"/>
                <w:color w:val="000000"/>
                <w:sz w:val="16"/>
                <w:szCs w:val="16"/>
              </w:rPr>
              <w:t> </w:t>
            </w:r>
          </w:p>
        </w:tc>
        <w:tc>
          <w:tcPr>
            <w:tcW w:w="1870" w:type="dxa"/>
            <w:tcBorders>
              <w:top w:val="nil"/>
              <w:left w:val="single" w:sz="4" w:space="0" w:color="000000" w:themeColor="text1"/>
              <w:bottom w:val="single" w:sz="4" w:space="0" w:color="auto"/>
              <w:right w:val="single" w:sz="4" w:space="0" w:color="auto"/>
            </w:tcBorders>
            <w:shd w:val="clear" w:color="auto" w:fill="FFFFFF" w:themeFill="background1"/>
            <w:vAlign w:val="center"/>
          </w:tcPr>
          <w:p w14:paraId="694656FA" w14:textId="77777777" w:rsidR="000D7C84" w:rsidRPr="004A3071" w:rsidRDefault="000D7C84" w:rsidP="00481CA4">
            <w:pPr>
              <w:jc w:val="center"/>
              <w:rPr>
                <w:rFonts w:asciiTheme="minorHAnsi" w:hAnsiTheme="minorHAnsi" w:cstheme="minorHAnsi"/>
                <w:color w:val="000000"/>
                <w:sz w:val="16"/>
                <w:szCs w:val="16"/>
              </w:rPr>
            </w:pPr>
            <w:r w:rsidRPr="004A3071">
              <w:rPr>
                <w:rFonts w:asciiTheme="minorHAnsi" w:hAnsiTheme="minorHAnsi" w:cstheme="minorHAnsi"/>
                <w:color w:val="000000"/>
                <w:sz w:val="16"/>
                <w:szCs w:val="16"/>
              </w:rPr>
              <w:t> </w:t>
            </w:r>
          </w:p>
        </w:tc>
      </w:tr>
      <w:tr w:rsidR="009563B4" w:rsidRPr="004A3071" w14:paraId="68E7D2CB" w14:textId="77777777" w:rsidTr="004A3071">
        <w:trPr>
          <w:cantSplit/>
        </w:trPr>
        <w:tc>
          <w:tcPr>
            <w:tcW w:w="187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6ADFC6B" w14:textId="77777777" w:rsidR="009563B4" w:rsidRPr="004A3071" w:rsidRDefault="009563B4" w:rsidP="00481CA4">
            <w:pPr>
              <w:rPr>
                <w:rFonts w:asciiTheme="minorHAnsi" w:hAnsiTheme="minorHAnsi" w:cstheme="minorHAnsi"/>
                <w:color w:val="000000"/>
                <w:sz w:val="16"/>
                <w:szCs w:val="16"/>
              </w:rPr>
            </w:pPr>
            <w:r w:rsidRPr="004A3071">
              <w:rPr>
                <w:rFonts w:asciiTheme="minorHAnsi" w:hAnsiTheme="minorHAnsi" w:cstheme="minorHAnsi"/>
                <w:color w:val="000000"/>
                <w:sz w:val="16"/>
                <w:szCs w:val="16"/>
              </w:rPr>
              <w:t>Family Farmers and Farmer Associations</w:t>
            </w:r>
          </w:p>
        </w:tc>
        <w:tc>
          <w:tcPr>
            <w:tcW w:w="1870" w:type="dxa"/>
            <w:tcBorders>
              <w:top w:val="nil"/>
              <w:left w:val="single" w:sz="4" w:space="0" w:color="auto"/>
              <w:bottom w:val="single" w:sz="4" w:space="0" w:color="auto"/>
              <w:right w:val="single" w:sz="4" w:space="0" w:color="000000" w:themeColor="text1"/>
            </w:tcBorders>
            <w:shd w:val="clear" w:color="auto" w:fill="FFFFFF" w:themeFill="background1"/>
            <w:vAlign w:val="center"/>
          </w:tcPr>
          <w:p w14:paraId="4BB95CA7" w14:textId="77777777" w:rsidR="009563B4" w:rsidRPr="004A3071" w:rsidRDefault="009563B4" w:rsidP="00481CA4">
            <w:pPr>
              <w:jc w:val="center"/>
              <w:rPr>
                <w:rFonts w:asciiTheme="minorHAnsi" w:hAnsiTheme="minorHAnsi" w:cstheme="minorHAnsi"/>
                <w:color w:val="000000"/>
                <w:sz w:val="16"/>
                <w:szCs w:val="16"/>
              </w:rPr>
            </w:pPr>
            <w:r w:rsidRPr="004A3071">
              <w:rPr>
                <w:rFonts w:asciiTheme="minorHAnsi" w:hAnsiTheme="minorHAnsi" w:cstheme="minorHAnsi"/>
                <w:color w:val="000000"/>
                <w:sz w:val="16"/>
                <w:szCs w:val="16"/>
              </w:rPr>
              <w:t>Direct Beneficiary</w:t>
            </w:r>
          </w:p>
        </w:tc>
        <w:tc>
          <w:tcPr>
            <w:tcW w:w="1870" w:type="dxa"/>
            <w:tcBorders>
              <w:top w:val="nil"/>
              <w:left w:val="single" w:sz="4" w:space="0" w:color="000000" w:themeColor="text1"/>
              <w:bottom w:val="single" w:sz="4" w:space="0" w:color="auto"/>
              <w:right w:val="single" w:sz="4" w:space="0" w:color="000000" w:themeColor="text1"/>
            </w:tcBorders>
            <w:shd w:val="clear" w:color="auto" w:fill="DDEBF7"/>
            <w:vAlign w:val="center"/>
          </w:tcPr>
          <w:p w14:paraId="21244CF5" w14:textId="77777777" w:rsidR="009563B4" w:rsidRPr="004A3071" w:rsidRDefault="009563B4" w:rsidP="00481CA4">
            <w:pPr>
              <w:jc w:val="center"/>
              <w:rPr>
                <w:rFonts w:asciiTheme="minorHAnsi" w:hAnsiTheme="minorHAnsi" w:cstheme="minorHAnsi"/>
                <w:b/>
                <w:bCs/>
                <w:color w:val="000000"/>
                <w:sz w:val="16"/>
                <w:szCs w:val="16"/>
              </w:rPr>
            </w:pPr>
            <w:r w:rsidRPr="004A3071">
              <w:rPr>
                <w:rFonts w:asciiTheme="minorHAnsi" w:hAnsiTheme="minorHAnsi" w:cstheme="minorHAnsi"/>
                <w:b/>
                <w:bCs/>
                <w:color w:val="000000"/>
                <w:sz w:val="16"/>
                <w:szCs w:val="16"/>
              </w:rPr>
              <w:t>Local community</w:t>
            </w:r>
          </w:p>
        </w:tc>
        <w:tc>
          <w:tcPr>
            <w:tcW w:w="1870" w:type="dxa"/>
            <w:tcBorders>
              <w:top w:val="nil"/>
              <w:left w:val="single" w:sz="4" w:space="0" w:color="000000" w:themeColor="text1"/>
              <w:bottom w:val="single" w:sz="4" w:space="0" w:color="auto"/>
              <w:right w:val="single" w:sz="4" w:space="0" w:color="000000" w:themeColor="text1"/>
            </w:tcBorders>
            <w:shd w:val="clear" w:color="auto" w:fill="FFFFFF" w:themeFill="background1"/>
            <w:vAlign w:val="center"/>
          </w:tcPr>
          <w:p w14:paraId="79E9E780" w14:textId="3DA04415" w:rsidR="009563B4" w:rsidRPr="004A3071" w:rsidRDefault="009563B4" w:rsidP="655B59E9">
            <w:pPr>
              <w:jc w:val="center"/>
              <w:rPr>
                <w:rFonts w:asciiTheme="minorHAnsi" w:hAnsiTheme="minorHAnsi" w:cstheme="minorHAnsi"/>
                <w:color w:val="000000" w:themeColor="text1"/>
                <w:sz w:val="16"/>
                <w:szCs w:val="16"/>
              </w:rPr>
            </w:pPr>
            <w:r w:rsidRPr="004A3071">
              <w:rPr>
                <w:rFonts w:asciiTheme="minorHAnsi" w:hAnsiTheme="minorHAnsi" w:cstheme="minorHAnsi"/>
                <w:color w:val="000000" w:themeColor="text1"/>
                <w:sz w:val="16"/>
                <w:szCs w:val="16"/>
              </w:rPr>
              <w:t>Face-to-face meetings</w:t>
            </w:r>
          </w:p>
          <w:p w14:paraId="08A92820" w14:textId="0342EBA1" w:rsidR="009563B4" w:rsidRPr="004A3071" w:rsidRDefault="266FDA70" w:rsidP="00481CA4">
            <w:pPr>
              <w:jc w:val="center"/>
              <w:rPr>
                <w:rFonts w:asciiTheme="minorHAnsi" w:hAnsiTheme="minorHAnsi" w:cstheme="minorHAnsi"/>
                <w:color w:val="000000"/>
                <w:sz w:val="16"/>
                <w:szCs w:val="16"/>
              </w:rPr>
            </w:pPr>
            <w:r w:rsidRPr="004A3071">
              <w:rPr>
                <w:rFonts w:asciiTheme="minorHAnsi" w:hAnsiTheme="minorHAnsi" w:cstheme="minorHAnsi"/>
                <w:sz w:val="16"/>
                <w:szCs w:val="16"/>
              </w:rPr>
              <w:t>Consultation workshop</w:t>
            </w:r>
          </w:p>
        </w:tc>
        <w:tc>
          <w:tcPr>
            <w:tcW w:w="2296" w:type="dxa"/>
            <w:tcBorders>
              <w:top w:val="nil"/>
              <w:left w:val="single" w:sz="4" w:space="0" w:color="000000" w:themeColor="text1"/>
              <w:bottom w:val="single" w:sz="4" w:space="0" w:color="auto"/>
              <w:right w:val="single" w:sz="4" w:space="0" w:color="000000" w:themeColor="text1"/>
            </w:tcBorders>
            <w:shd w:val="clear" w:color="auto" w:fill="FFFFFF" w:themeFill="background1"/>
            <w:vAlign w:val="center"/>
          </w:tcPr>
          <w:p w14:paraId="5C751449" w14:textId="6990526B" w:rsidR="009563B4" w:rsidRPr="004A3071" w:rsidRDefault="64CBAC26" w:rsidP="00481CA4">
            <w:pPr>
              <w:jc w:val="center"/>
              <w:rPr>
                <w:rFonts w:asciiTheme="minorHAnsi" w:hAnsiTheme="minorHAnsi" w:cstheme="minorHAnsi"/>
                <w:sz w:val="16"/>
                <w:szCs w:val="16"/>
              </w:rPr>
            </w:pPr>
            <w:r w:rsidRPr="004A3071">
              <w:rPr>
                <w:rFonts w:asciiTheme="minorHAnsi" w:hAnsiTheme="minorHAnsi" w:cstheme="minorHAnsi"/>
                <w:sz w:val="16"/>
                <w:szCs w:val="16"/>
              </w:rPr>
              <w:t> </w:t>
            </w:r>
            <w:r w:rsidR="12140533" w:rsidRPr="004A3071">
              <w:rPr>
                <w:rFonts w:asciiTheme="minorHAnsi" w:hAnsiTheme="minorHAnsi" w:cstheme="minorHAnsi"/>
                <w:sz w:val="16"/>
                <w:szCs w:val="16"/>
              </w:rPr>
              <w:t xml:space="preserve"> The farmers recognized that the project will contribute to sustainable productions</w:t>
            </w:r>
          </w:p>
        </w:tc>
        <w:tc>
          <w:tcPr>
            <w:tcW w:w="1870" w:type="dxa"/>
            <w:tcBorders>
              <w:top w:val="nil"/>
              <w:left w:val="single" w:sz="4" w:space="0" w:color="000000" w:themeColor="text1"/>
              <w:bottom w:val="single" w:sz="4" w:space="0" w:color="auto"/>
              <w:right w:val="single" w:sz="4" w:space="0" w:color="000000" w:themeColor="text1"/>
            </w:tcBorders>
            <w:shd w:val="clear" w:color="auto" w:fill="FFFFFF" w:themeFill="background1"/>
            <w:vAlign w:val="center"/>
          </w:tcPr>
          <w:p w14:paraId="12982B5C" w14:textId="2F1722FB" w:rsidR="009563B4" w:rsidRPr="004A3071" w:rsidRDefault="41940CB0" w:rsidP="00481CA4">
            <w:pPr>
              <w:jc w:val="center"/>
              <w:rPr>
                <w:rFonts w:asciiTheme="minorHAnsi" w:hAnsiTheme="minorHAnsi" w:cstheme="minorHAnsi"/>
                <w:color w:val="000000"/>
                <w:sz w:val="16"/>
                <w:szCs w:val="16"/>
              </w:rPr>
            </w:pPr>
            <w:r w:rsidRPr="004A3071">
              <w:rPr>
                <w:rFonts w:asciiTheme="minorHAnsi" w:hAnsiTheme="minorHAnsi" w:cstheme="minorHAnsi"/>
                <w:color w:val="000000" w:themeColor="text1"/>
                <w:sz w:val="16"/>
                <w:szCs w:val="16"/>
              </w:rPr>
              <w:t xml:space="preserve">During the implementation phase </w:t>
            </w:r>
            <w:r w:rsidR="64CBAC26" w:rsidRPr="004A3071">
              <w:rPr>
                <w:rFonts w:asciiTheme="minorHAnsi" w:hAnsiTheme="minorHAnsi" w:cstheme="minorHAnsi"/>
                <w:color w:val="000000" w:themeColor="text1"/>
                <w:sz w:val="16"/>
                <w:szCs w:val="16"/>
              </w:rPr>
              <w:t> </w:t>
            </w:r>
          </w:p>
        </w:tc>
        <w:tc>
          <w:tcPr>
            <w:tcW w:w="1870" w:type="dxa"/>
            <w:tcBorders>
              <w:top w:val="nil"/>
              <w:left w:val="single" w:sz="4" w:space="0" w:color="000000" w:themeColor="text1"/>
              <w:bottom w:val="single" w:sz="4" w:space="0" w:color="auto"/>
              <w:right w:val="single" w:sz="4" w:space="0" w:color="auto"/>
            </w:tcBorders>
            <w:shd w:val="clear" w:color="auto" w:fill="FFFFFF" w:themeFill="background1"/>
            <w:vAlign w:val="center"/>
          </w:tcPr>
          <w:p w14:paraId="72C41F0B" w14:textId="77777777" w:rsidR="009563B4" w:rsidRPr="004A3071" w:rsidRDefault="009563B4" w:rsidP="00481CA4">
            <w:pPr>
              <w:jc w:val="center"/>
              <w:rPr>
                <w:rFonts w:asciiTheme="minorHAnsi" w:hAnsiTheme="minorHAnsi" w:cstheme="minorHAnsi"/>
                <w:color w:val="000000"/>
                <w:sz w:val="16"/>
                <w:szCs w:val="16"/>
              </w:rPr>
            </w:pPr>
            <w:r w:rsidRPr="004A3071">
              <w:rPr>
                <w:rFonts w:asciiTheme="minorHAnsi" w:hAnsiTheme="minorHAnsi" w:cstheme="minorHAnsi"/>
                <w:color w:val="000000"/>
                <w:sz w:val="16"/>
                <w:szCs w:val="16"/>
              </w:rPr>
              <w:t> </w:t>
            </w:r>
          </w:p>
        </w:tc>
      </w:tr>
      <w:tr w:rsidR="009563B4" w:rsidRPr="004A3071" w14:paraId="5FE20FF2" w14:textId="77777777" w:rsidTr="001D154F">
        <w:trPr>
          <w:cantSplit/>
        </w:trPr>
        <w:tc>
          <w:tcPr>
            <w:tcW w:w="187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08EA1DF" w14:textId="77777777" w:rsidR="009563B4" w:rsidRPr="004A3071" w:rsidRDefault="009563B4" w:rsidP="00481CA4">
            <w:pPr>
              <w:rPr>
                <w:rFonts w:asciiTheme="minorHAnsi" w:hAnsiTheme="minorHAnsi" w:cstheme="minorHAnsi"/>
                <w:color w:val="000000"/>
                <w:sz w:val="16"/>
                <w:szCs w:val="16"/>
                <w:lang w:val="pt-BR"/>
              </w:rPr>
            </w:pPr>
            <w:r w:rsidRPr="004A3071">
              <w:rPr>
                <w:rFonts w:asciiTheme="minorHAnsi" w:hAnsiTheme="minorHAnsi" w:cstheme="minorHAnsi"/>
                <w:color w:val="000000"/>
                <w:sz w:val="16"/>
                <w:szCs w:val="16"/>
                <w:lang w:val="pt-BR"/>
              </w:rPr>
              <w:t>Center Agro-Ecologic of Cuando Cubango</w:t>
            </w:r>
          </w:p>
        </w:tc>
        <w:tc>
          <w:tcPr>
            <w:tcW w:w="1870" w:type="dxa"/>
            <w:tcBorders>
              <w:top w:val="nil"/>
              <w:left w:val="single" w:sz="4" w:space="0" w:color="auto"/>
              <w:bottom w:val="single" w:sz="4" w:space="0" w:color="auto"/>
              <w:right w:val="single" w:sz="4" w:space="0" w:color="000000" w:themeColor="text1"/>
            </w:tcBorders>
            <w:shd w:val="clear" w:color="auto" w:fill="FFFFFF" w:themeFill="background1"/>
            <w:vAlign w:val="center"/>
          </w:tcPr>
          <w:p w14:paraId="1AE49F9C" w14:textId="77777777" w:rsidR="009563B4" w:rsidRPr="004A3071" w:rsidRDefault="009563B4" w:rsidP="00481CA4">
            <w:pPr>
              <w:jc w:val="center"/>
              <w:rPr>
                <w:rFonts w:asciiTheme="minorHAnsi" w:hAnsiTheme="minorHAnsi" w:cstheme="minorHAnsi"/>
                <w:color w:val="000000"/>
                <w:sz w:val="16"/>
                <w:szCs w:val="16"/>
              </w:rPr>
            </w:pPr>
            <w:r w:rsidRPr="004A3071">
              <w:rPr>
                <w:rFonts w:asciiTheme="minorHAnsi" w:hAnsiTheme="minorHAnsi" w:cstheme="minorHAnsi"/>
                <w:color w:val="000000"/>
                <w:sz w:val="16"/>
                <w:szCs w:val="16"/>
              </w:rPr>
              <w:t>Indirect Beneficiary</w:t>
            </w:r>
          </w:p>
        </w:tc>
        <w:tc>
          <w:tcPr>
            <w:tcW w:w="1870" w:type="dxa"/>
            <w:tcBorders>
              <w:top w:val="nil"/>
              <w:left w:val="single" w:sz="4" w:space="0" w:color="000000" w:themeColor="text1"/>
              <w:bottom w:val="single" w:sz="4" w:space="0" w:color="auto"/>
              <w:right w:val="single" w:sz="4" w:space="0" w:color="000000" w:themeColor="text1"/>
            </w:tcBorders>
            <w:shd w:val="clear" w:color="auto" w:fill="DDEBF7"/>
            <w:vAlign w:val="center"/>
          </w:tcPr>
          <w:p w14:paraId="4FCBF4F8" w14:textId="77777777" w:rsidR="009563B4" w:rsidRPr="004A3071" w:rsidRDefault="009563B4" w:rsidP="00481CA4">
            <w:pPr>
              <w:jc w:val="center"/>
              <w:rPr>
                <w:rFonts w:asciiTheme="minorHAnsi" w:hAnsiTheme="minorHAnsi" w:cstheme="minorHAnsi"/>
                <w:b/>
                <w:bCs/>
                <w:color w:val="000000"/>
                <w:sz w:val="16"/>
                <w:szCs w:val="16"/>
              </w:rPr>
            </w:pPr>
            <w:r w:rsidRPr="004A3071">
              <w:rPr>
                <w:rFonts w:asciiTheme="minorHAnsi" w:hAnsiTheme="minorHAnsi" w:cstheme="minorHAnsi"/>
                <w:b/>
                <w:bCs/>
                <w:color w:val="000000"/>
                <w:sz w:val="16"/>
                <w:szCs w:val="16"/>
              </w:rPr>
              <w:t>National Government Institution body</w:t>
            </w:r>
          </w:p>
        </w:tc>
        <w:tc>
          <w:tcPr>
            <w:tcW w:w="1870" w:type="dxa"/>
            <w:tcBorders>
              <w:top w:val="nil"/>
              <w:left w:val="single" w:sz="4" w:space="0" w:color="000000" w:themeColor="text1"/>
              <w:bottom w:val="single" w:sz="4" w:space="0" w:color="auto"/>
              <w:right w:val="single" w:sz="4" w:space="0" w:color="000000" w:themeColor="text1"/>
            </w:tcBorders>
            <w:shd w:val="clear" w:color="auto" w:fill="FFFFFF" w:themeFill="background1"/>
            <w:vAlign w:val="center"/>
          </w:tcPr>
          <w:p w14:paraId="25E3DA5C" w14:textId="3C14B0C5" w:rsidR="009563B4" w:rsidRPr="004A3071" w:rsidRDefault="009563B4" w:rsidP="655B59E9">
            <w:pPr>
              <w:jc w:val="center"/>
              <w:rPr>
                <w:rFonts w:asciiTheme="minorHAnsi" w:hAnsiTheme="minorHAnsi" w:cstheme="minorHAnsi"/>
                <w:color w:val="000000" w:themeColor="text1"/>
                <w:sz w:val="16"/>
                <w:szCs w:val="16"/>
              </w:rPr>
            </w:pPr>
            <w:r w:rsidRPr="004A3071">
              <w:rPr>
                <w:rFonts w:asciiTheme="minorHAnsi" w:hAnsiTheme="minorHAnsi" w:cstheme="minorHAnsi"/>
                <w:color w:val="000000" w:themeColor="text1"/>
                <w:sz w:val="16"/>
                <w:szCs w:val="16"/>
              </w:rPr>
              <w:t>Face-to-face meetings</w:t>
            </w:r>
            <w:r w:rsidR="5010BEB2" w:rsidRPr="004A3071">
              <w:rPr>
                <w:rFonts w:asciiTheme="minorHAnsi" w:hAnsiTheme="minorHAnsi" w:cstheme="minorHAnsi"/>
                <w:sz w:val="16"/>
                <w:szCs w:val="16"/>
              </w:rPr>
              <w:t xml:space="preserve"> Consultation workshop</w:t>
            </w:r>
          </w:p>
          <w:p w14:paraId="5E81AB01" w14:textId="4C8F16AE" w:rsidR="009563B4" w:rsidRPr="004A3071" w:rsidRDefault="3234A2F4" w:rsidP="00481CA4">
            <w:pPr>
              <w:jc w:val="center"/>
              <w:rPr>
                <w:rFonts w:asciiTheme="minorHAnsi" w:hAnsiTheme="minorHAnsi" w:cstheme="minorHAnsi"/>
                <w:color w:val="000000"/>
                <w:sz w:val="16"/>
                <w:szCs w:val="16"/>
              </w:rPr>
            </w:pPr>
            <w:r w:rsidRPr="004A3071">
              <w:rPr>
                <w:rFonts w:asciiTheme="minorHAnsi" w:hAnsiTheme="minorHAnsi" w:cstheme="minorHAnsi"/>
                <w:color w:val="000000" w:themeColor="text1"/>
                <w:sz w:val="16"/>
                <w:szCs w:val="16"/>
              </w:rPr>
              <w:t>PGG inception</w:t>
            </w:r>
          </w:p>
        </w:tc>
        <w:tc>
          <w:tcPr>
            <w:tcW w:w="2296" w:type="dxa"/>
            <w:tcBorders>
              <w:top w:val="nil"/>
              <w:left w:val="single" w:sz="4" w:space="0" w:color="000000" w:themeColor="text1"/>
              <w:bottom w:val="single" w:sz="4" w:space="0" w:color="auto"/>
              <w:right w:val="single" w:sz="4" w:space="0" w:color="000000" w:themeColor="text1"/>
            </w:tcBorders>
            <w:shd w:val="clear" w:color="auto" w:fill="FFFFFF" w:themeFill="background1"/>
            <w:vAlign w:val="center"/>
          </w:tcPr>
          <w:p w14:paraId="2F8A2832" w14:textId="239B8069" w:rsidR="009563B4" w:rsidRPr="004A3071" w:rsidRDefault="4009F863" w:rsidP="00481CA4">
            <w:pPr>
              <w:jc w:val="center"/>
              <w:rPr>
                <w:rFonts w:asciiTheme="minorHAnsi" w:hAnsiTheme="minorHAnsi" w:cstheme="minorHAnsi"/>
                <w:sz w:val="16"/>
                <w:szCs w:val="16"/>
              </w:rPr>
            </w:pPr>
            <w:r w:rsidRPr="004A3071">
              <w:rPr>
                <w:rFonts w:asciiTheme="minorHAnsi" w:hAnsiTheme="minorHAnsi" w:cstheme="minorHAnsi"/>
                <w:sz w:val="16"/>
                <w:szCs w:val="16"/>
              </w:rPr>
              <w:t xml:space="preserve">the project foresees the engagement of the academy and this institution can be one of them </w:t>
            </w:r>
            <w:r w:rsidR="64CBAC26" w:rsidRPr="004A3071">
              <w:rPr>
                <w:rFonts w:asciiTheme="minorHAnsi" w:hAnsiTheme="minorHAnsi" w:cstheme="minorHAnsi"/>
                <w:sz w:val="16"/>
                <w:szCs w:val="16"/>
              </w:rPr>
              <w:t> </w:t>
            </w:r>
          </w:p>
        </w:tc>
        <w:tc>
          <w:tcPr>
            <w:tcW w:w="1870" w:type="dxa"/>
            <w:tcBorders>
              <w:top w:val="nil"/>
              <w:left w:val="single" w:sz="4" w:space="0" w:color="000000" w:themeColor="text1"/>
              <w:bottom w:val="single" w:sz="4" w:space="0" w:color="auto"/>
              <w:right w:val="single" w:sz="4" w:space="0" w:color="000000" w:themeColor="text1"/>
            </w:tcBorders>
            <w:shd w:val="clear" w:color="auto" w:fill="FFFFFF" w:themeFill="background1"/>
            <w:vAlign w:val="center"/>
          </w:tcPr>
          <w:p w14:paraId="6234D00B" w14:textId="2AEB3DAA" w:rsidR="009563B4" w:rsidRPr="004A3071" w:rsidRDefault="3E8EA1BC" w:rsidP="00481CA4">
            <w:pPr>
              <w:jc w:val="center"/>
              <w:rPr>
                <w:rFonts w:asciiTheme="minorHAnsi" w:hAnsiTheme="minorHAnsi" w:cstheme="minorHAnsi"/>
                <w:color w:val="000000"/>
                <w:sz w:val="16"/>
                <w:szCs w:val="16"/>
              </w:rPr>
            </w:pPr>
            <w:r w:rsidRPr="004A3071">
              <w:rPr>
                <w:rFonts w:asciiTheme="minorHAnsi" w:hAnsiTheme="minorHAnsi" w:cstheme="minorHAnsi"/>
                <w:color w:val="000000" w:themeColor="text1"/>
                <w:sz w:val="16"/>
                <w:szCs w:val="16"/>
              </w:rPr>
              <w:t xml:space="preserve">During the implementation phase </w:t>
            </w:r>
            <w:r w:rsidR="64CBAC26" w:rsidRPr="004A3071">
              <w:rPr>
                <w:rFonts w:asciiTheme="minorHAnsi" w:hAnsiTheme="minorHAnsi" w:cstheme="minorHAnsi"/>
                <w:color w:val="000000" w:themeColor="text1"/>
                <w:sz w:val="16"/>
                <w:szCs w:val="16"/>
              </w:rPr>
              <w:t> </w:t>
            </w:r>
          </w:p>
        </w:tc>
        <w:tc>
          <w:tcPr>
            <w:tcW w:w="1870" w:type="dxa"/>
            <w:tcBorders>
              <w:top w:val="nil"/>
              <w:left w:val="single" w:sz="4" w:space="0" w:color="000000" w:themeColor="text1"/>
              <w:bottom w:val="single" w:sz="4" w:space="0" w:color="auto"/>
              <w:right w:val="single" w:sz="4" w:space="0" w:color="auto"/>
            </w:tcBorders>
            <w:shd w:val="clear" w:color="auto" w:fill="FFFFFF" w:themeFill="background1"/>
            <w:vAlign w:val="center"/>
          </w:tcPr>
          <w:p w14:paraId="1F1E1395" w14:textId="77777777" w:rsidR="009563B4" w:rsidRPr="004A3071" w:rsidRDefault="009563B4" w:rsidP="00481CA4">
            <w:pPr>
              <w:jc w:val="center"/>
              <w:rPr>
                <w:rFonts w:asciiTheme="minorHAnsi" w:hAnsiTheme="minorHAnsi" w:cstheme="minorHAnsi"/>
                <w:color w:val="000000"/>
                <w:sz w:val="16"/>
                <w:szCs w:val="16"/>
              </w:rPr>
            </w:pPr>
            <w:r w:rsidRPr="004A3071">
              <w:rPr>
                <w:rFonts w:asciiTheme="minorHAnsi" w:hAnsiTheme="minorHAnsi" w:cstheme="minorHAnsi"/>
                <w:color w:val="000000"/>
                <w:sz w:val="16"/>
                <w:szCs w:val="16"/>
              </w:rPr>
              <w:t> </w:t>
            </w:r>
          </w:p>
        </w:tc>
      </w:tr>
      <w:tr w:rsidR="009563B4" w:rsidRPr="004A3071" w14:paraId="6DE5FFA4" w14:textId="77777777" w:rsidTr="001D154F">
        <w:trPr>
          <w:cantSplit/>
        </w:trPr>
        <w:tc>
          <w:tcPr>
            <w:tcW w:w="187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E8AA86D" w14:textId="77777777" w:rsidR="009563B4" w:rsidRPr="004A3071" w:rsidRDefault="009563B4" w:rsidP="00481CA4">
            <w:pPr>
              <w:rPr>
                <w:rFonts w:asciiTheme="minorHAnsi" w:hAnsiTheme="minorHAnsi" w:cstheme="minorHAnsi"/>
                <w:color w:val="000000"/>
                <w:sz w:val="16"/>
                <w:szCs w:val="16"/>
              </w:rPr>
            </w:pPr>
            <w:r w:rsidRPr="004A3071">
              <w:rPr>
                <w:rFonts w:asciiTheme="minorHAnsi" w:hAnsiTheme="minorHAnsi" w:cstheme="minorHAnsi"/>
                <w:color w:val="000000"/>
                <w:sz w:val="16"/>
                <w:szCs w:val="16"/>
              </w:rPr>
              <w:t>Provincial Directorates for the Environment</w:t>
            </w:r>
          </w:p>
        </w:tc>
        <w:tc>
          <w:tcPr>
            <w:tcW w:w="1870" w:type="dxa"/>
            <w:tcBorders>
              <w:top w:val="nil"/>
              <w:left w:val="single" w:sz="4" w:space="0" w:color="auto"/>
              <w:bottom w:val="single" w:sz="4" w:space="0" w:color="auto"/>
              <w:right w:val="single" w:sz="4" w:space="0" w:color="000000" w:themeColor="text1"/>
            </w:tcBorders>
            <w:shd w:val="clear" w:color="auto" w:fill="FFFFFF" w:themeFill="background1"/>
            <w:vAlign w:val="center"/>
          </w:tcPr>
          <w:p w14:paraId="286C64EC" w14:textId="77777777" w:rsidR="009563B4" w:rsidRPr="004A3071" w:rsidRDefault="009563B4" w:rsidP="00481CA4">
            <w:pPr>
              <w:jc w:val="center"/>
              <w:rPr>
                <w:rFonts w:asciiTheme="minorHAnsi" w:hAnsiTheme="minorHAnsi" w:cstheme="minorHAnsi"/>
                <w:color w:val="000000"/>
                <w:sz w:val="16"/>
                <w:szCs w:val="16"/>
              </w:rPr>
            </w:pPr>
            <w:r w:rsidRPr="004A3071">
              <w:rPr>
                <w:rFonts w:asciiTheme="minorHAnsi" w:hAnsiTheme="minorHAnsi" w:cstheme="minorHAnsi"/>
                <w:color w:val="000000"/>
                <w:sz w:val="16"/>
                <w:szCs w:val="16"/>
              </w:rPr>
              <w:t>Indirect Beneficiary</w:t>
            </w:r>
          </w:p>
        </w:tc>
        <w:tc>
          <w:tcPr>
            <w:tcW w:w="1870" w:type="dxa"/>
            <w:tcBorders>
              <w:top w:val="nil"/>
              <w:left w:val="single" w:sz="4" w:space="0" w:color="000000" w:themeColor="text1"/>
              <w:bottom w:val="single" w:sz="4" w:space="0" w:color="auto"/>
              <w:right w:val="single" w:sz="4" w:space="0" w:color="000000" w:themeColor="text1"/>
            </w:tcBorders>
            <w:shd w:val="clear" w:color="auto" w:fill="DDEBF7"/>
            <w:vAlign w:val="center"/>
          </w:tcPr>
          <w:p w14:paraId="61686702" w14:textId="77777777" w:rsidR="009563B4" w:rsidRPr="004A3071" w:rsidRDefault="009563B4" w:rsidP="00481CA4">
            <w:pPr>
              <w:jc w:val="center"/>
              <w:rPr>
                <w:rFonts w:asciiTheme="minorHAnsi" w:hAnsiTheme="minorHAnsi" w:cstheme="minorHAnsi"/>
                <w:b/>
                <w:bCs/>
                <w:color w:val="000000"/>
                <w:sz w:val="16"/>
                <w:szCs w:val="16"/>
              </w:rPr>
            </w:pPr>
            <w:r w:rsidRPr="004A3071">
              <w:rPr>
                <w:rFonts w:asciiTheme="minorHAnsi" w:hAnsiTheme="minorHAnsi" w:cstheme="minorHAnsi"/>
                <w:b/>
                <w:bCs/>
                <w:color w:val="000000"/>
                <w:sz w:val="16"/>
                <w:szCs w:val="16"/>
              </w:rPr>
              <w:t>Provincial Government Institution body</w:t>
            </w:r>
          </w:p>
        </w:tc>
        <w:tc>
          <w:tcPr>
            <w:tcW w:w="1870" w:type="dxa"/>
            <w:tcBorders>
              <w:top w:val="nil"/>
              <w:left w:val="single" w:sz="4" w:space="0" w:color="000000" w:themeColor="text1"/>
              <w:bottom w:val="single" w:sz="4" w:space="0" w:color="auto"/>
              <w:right w:val="single" w:sz="4" w:space="0" w:color="000000" w:themeColor="text1"/>
            </w:tcBorders>
            <w:shd w:val="clear" w:color="auto" w:fill="FFFFFF" w:themeFill="background1"/>
            <w:vAlign w:val="center"/>
          </w:tcPr>
          <w:p w14:paraId="7C18C9AD" w14:textId="219D1BF2" w:rsidR="009563B4" w:rsidRPr="004A3071" w:rsidRDefault="009563B4" w:rsidP="655B59E9">
            <w:pPr>
              <w:jc w:val="center"/>
              <w:rPr>
                <w:rFonts w:asciiTheme="minorHAnsi" w:hAnsiTheme="minorHAnsi" w:cstheme="minorHAnsi"/>
                <w:color w:val="000000" w:themeColor="text1"/>
                <w:sz w:val="16"/>
                <w:szCs w:val="16"/>
              </w:rPr>
            </w:pPr>
            <w:r w:rsidRPr="004A3071">
              <w:rPr>
                <w:rFonts w:asciiTheme="minorHAnsi" w:hAnsiTheme="minorHAnsi" w:cstheme="minorHAnsi"/>
                <w:color w:val="000000" w:themeColor="text1"/>
                <w:sz w:val="16"/>
                <w:szCs w:val="16"/>
              </w:rPr>
              <w:t>Face-to-face meetings</w:t>
            </w:r>
          </w:p>
          <w:p w14:paraId="3E516CE6" w14:textId="034BFB86" w:rsidR="009563B4" w:rsidRPr="004A3071" w:rsidRDefault="2995E824" w:rsidP="655B59E9">
            <w:pPr>
              <w:jc w:val="center"/>
              <w:rPr>
                <w:rFonts w:asciiTheme="minorHAnsi" w:hAnsiTheme="minorHAnsi" w:cstheme="minorHAnsi"/>
                <w:color w:val="000000" w:themeColor="text1"/>
                <w:sz w:val="16"/>
                <w:szCs w:val="16"/>
              </w:rPr>
            </w:pPr>
            <w:r w:rsidRPr="004A3071">
              <w:rPr>
                <w:rFonts w:asciiTheme="minorHAnsi" w:hAnsiTheme="minorHAnsi" w:cstheme="minorHAnsi"/>
                <w:sz w:val="16"/>
                <w:szCs w:val="16"/>
              </w:rPr>
              <w:t>Consultation workshop</w:t>
            </w:r>
          </w:p>
          <w:p w14:paraId="7D44972F" w14:textId="741AFDEE" w:rsidR="009563B4" w:rsidRPr="004A3071" w:rsidRDefault="2995E824" w:rsidP="00481CA4">
            <w:pPr>
              <w:jc w:val="center"/>
              <w:rPr>
                <w:rFonts w:asciiTheme="minorHAnsi" w:hAnsiTheme="minorHAnsi" w:cstheme="minorHAnsi"/>
                <w:color w:val="000000"/>
                <w:sz w:val="16"/>
                <w:szCs w:val="16"/>
              </w:rPr>
            </w:pPr>
            <w:r w:rsidRPr="004A3071">
              <w:rPr>
                <w:rFonts w:asciiTheme="minorHAnsi" w:hAnsiTheme="minorHAnsi" w:cstheme="minorHAnsi"/>
                <w:color w:val="000000" w:themeColor="text1"/>
                <w:sz w:val="16"/>
                <w:szCs w:val="16"/>
              </w:rPr>
              <w:t>PGG inception</w:t>
            </w:r>
          </w:p>
        </w:tc>
        <w:tc>
          <w:tcPr>
            <w:tcW w:w="2296" w:type="dxa"/>
            <w:tcBorders>
              <w:top w:val="nil"/>
              <w:left w:val="single" w:sz="4" w:space="0" w:color="000000" w:themeColor="text1"/>
              <w:bottom w:val="single" w:sz="4" w:space="0" w:color="auto"/>
              <w:right w:val="single" w:sz="4" w:space="0" w:color="000000" w:themeColor="text1"/>
            </w:tcBorders>
            <w:shd w:val="clear" w:color="auto" w:fill="FFFFFF" w:themeFill="background1"/>
            <w:vAlign w:val="center"/>
          </w:tcPr>
          <w:p w14:paraId="4B68CFA6" w14:textId="4B2B31A1" w:rsidR="009563B4" w:rsidRPr="004A3071" w:rsidRDefault="477B5AD4" w:rsidP="00481CA4">
            <w:pPr>
              <w:jc w:val="center"/>
              <w:rPr>
                <w:rFonts w:asciiTheme="minorHAnsi" w:hAnsiTheme="minorHAnsi" w:cstheme="minorHAnsi"/>
                <w:color w:val="000000"/>
                <w:sz w:val="16"/>
                <w:szCs w:val="16"/>
              </w:rPr>
            </w:pPr>
            <w:r w:rsidRPr="004A3071">
              <w:rPr>
                <w:rFonts w:asciiTheme="minorHAnsi" w:hAnsiTheme="minorHAnsi" w:cstheme="minorHAnsi"/>
                <w:color w:val="000000" w:themeColor="text1"/>
                <w:sz w:val="16"/>
                <w:szCs w:val="16"/>
              </w:rPr>
              <w:t xml:space="preserve">The project will have the institutional support of the local government </w:t>
            </w:r>
            <w:r w:rsidR="64CBAC26" w:rsidRPr="004A3071">
              <w:rPr>
                <w:rFonts w:asciiTheme="minorHAnsi" w:hAnsiTheme="minorHAnsi" w:cstheme="minorHAnsi"/>
                <w:color w:val="000000" w:themeColor="text1"/>
                <w:sz w:val="16"/>
                <w:szCs w:val="16"/>
              </w:rPr>
              <w:t> </w:t>
            </w:r>
          </w:p>
        </w:tc>
        <w:tc>
          <w:tcPr>
            <w:tcW w:w="1870" w:type="dxa"/>
            <w:tcBorders>
              <w:top w:val="nil"/>
              <w:left w:val="single" w:sz="4" w:space="0" w:color="000000" w:themeColor="text1"/>
              <w:bottom w:val="single" w:sz="4" w:space="0" w:color="auto"/>
              <w:right w:val="single" w:sz="4" w:space="0" w:color="000000" w:themeColor="text1"/>
            </w:tcBorders>
            <w:shd w:val="clear" w:color="auto" w:fill="FFFFFF" w:themeFill="background1"/>
            <w:vAlign w:val="center"/>
          </w:tcPr>
          <w:p w14:paraId="0EF2EA99" w14:textId="67F9988E" w:rsidR="009563B4" w:rsidRPr="004A3071" w:rsidRDefault="6ED57148" w:rsidP="00481CA4">
            <w:pPr>
              <w:jc w:val="center"/>
              <w:rPr>
                <w:rFonts w:asciiTheme="minorHAnsi" w:hAnsiTheme="minorHAnsi" w:cstheme="minorHAnsi"/>
                <w:color w:val="000000"/>
                <w:sz w:val="16"/>
                <w:szCs w:val="16"/>
              </w:rPr>
            </w:pPr>
            <w:r w:rsidRPr="004A3071">
              <w:rPr>
                <w:rFonts w:asciiTheme="minorHAnsi" w:hAnsiTheme="minorHAnsi" w:cstheme="minorHAnsi"/>
                <w:color w:val="000000" w:themeColor="text1"/>
                <w:sz w:val="16"/>
                <w:szCs w:val="16"/>
              </w:rPr>
              <w:t xml:space="preserve">During the implementation phase </w:t>
            </w:r>
            <w:r w:rsidR="64CBAC26" w:rsidRPr="004A3071">
              <w:rPr>
                <w:rFonts w:asciiTheme="minorHAnsi" w:hAnsiTheme="minorHAnsi" w:cstheme="minorHAnsi"/>
                <w:color w:val="000000" w:themeColor="text1"/>
                <w:sz w:val="16"/>
                <w:szCs w:val="16"/>
              </w:rPr>
              <w:t> </w:t>
            </w:r>
          </w:p>
        </w:tc>
        <w:tc>
          <w:tcPr>
            <w:tcW w:w="1870" w:type="dxa"/>
            <w:tcBorders>
              <w:top w:val="nil"/>
              <w:left w:val="single" w:sz="4" w:space="0" w:color="000000" w:themeColor="text1"/>
              <w:bottom w:val="single" w:sz="4" w:space="0" w:color="auto"/>
              <w:right w:val="single" w:sz="4" w:space="0" w:color="auto"/>
            </w:tcBorders>
            <w:shd w:val="clear" w:color="auto" w:fill="FFFFFF" w:themeFill="background1"/>
            <w:vAlign w:val="center"/>
          </w:tcPr>
          <w:p w14:paraId="181EBA83" w14:textId="77777777" w:rsidR="009563B4" w:rsidRPr="004A3071" w:rsidRDefault="009563B4" w:rsidP="00481CA4">
            <w:pPr>
              <w:jc w:val="center"/>
              <w:rPr>
                <w:rFonts w:asciiTheme="minorHAnsi" w:hAnsiTheme="minorHAnsi" w:cstheme="minorHAnsi"/>
                <w:color w:val="000000"/>
                <w:sz w:val="16"/>
                <w:szCs w:val="16"/>
              </w:rPr>
            </w:pPr>
            <w:r w:rsidRPr="004A3071">
              <w:rPr>
                <w:rFonts w:asciiTheme="minorHAnsi" w:hAnsiTheme="minorHAnsi" w:cstheme="minorHAnsi"/>
                <w:color w:val="000000"/>
                <w:sz w:val="16"/>
                <w:szCs w:val="16"/>
              </w:rPr>
              <w:t> </w:t>
            </w:r>
          </w:p>
        </w:tc>
      </w:tr>
      <w:tr w:rsidR="009563B4" w:rsidRPr="004A3071" w14:paraId="17B05C1D" w14:textId="77777777" w:rsidTr="004A3071">
        <w:trPr>
          <w:cantSplit/>
        </w:trPr>
        <w:tc>
          <w:tcPr>
            <w:tcW w:w="187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B8D1E6E" w14:textId="318139DF" w:rsidR="009563B4" w:rsidRPr="004A3071" w:rsidRDefault="009563B4" w:rsidP="00481CA4">
            <w:pPr>
              <w:rPr>
                <w:rFonts w:asciiTheme="minorHAnsi" w:hAnsiTheme="minorHAnsi" w:cstheme="minorHAnsi"/>
                <w:color w:val="000000"/>
                <w:sz w:val="16"/>
                <w:szCs w:val="16"/>
              </w:rPr>
            </w:pPr>
            <w:r w:rsidRPr="004A3071">
              <w:rPr>
                <w:rFonts w:asciiTheme="minorHAnsi" w:hAnsiTheme="minorHAnsi" w:cstheme="minorHAnsi"/>
                <w:color w:val="000000" w:themeColor="text1"/>
                <w:sz w:val="16"/>
                <w:szCs w:val="16"/>
              </w:rPr>
              <w:t>Provincial Directorates for Agriculture</w:t>
            </w:r>
            <w:r w:rsidR="7C0C0821" w:rsidRPr="004A3071">
              <w:rPr>
                <w:rFonts w:asciiTheme="minorHAnsi" w:hAnsiTheme="minorHAnsi" w:cstheme="minorHAnsi"/>
                <w:color w:val="000000" w:themeColor="text1"/>
                <w:sz w:val="16"/>
                <w:szCs w:val="16"/>
              </w:rPr>
              <w:t>,</w:t>
            </w:r>
            <w:r w:rsidRPr="004A3071">
              <w:rPr>
                <w:rFonts w:asciiTheme="minorHAnsi" w:hAnsiTheme="minorHAnsi" w:cstheme="minorHAnsi"/>
                <w:color w:val="000000" w:themeColor="text1"/>
                <w:sz w:val="16"/>
                <w:szCs w:val="16"/>
              </w:rPr>
              <w:t xml:space="preserve"> </w:t>
            </w:r>
            <w:r w:rsidR="781F942D" w:rsidRPr="004A3071">
              <w:rPr>
                <w:rFonts w:asciiTheme="minorHAnsi" w:hAnsiTheme="minorHAnsi" w:cstheme="minorHAnsi"/>
                <w:color w:val="000000" w:themeColor="text1"/>
                <w:sz w:val="16"/>
                <w:szCs w:val="16"/>
              </w:rPr>
              <w:t>Livestock and Fishery</w:t>
            </w:r>
            <w:r w:rsidRPr="004A3071">
              <w:rPr>
                <w:rFonts w:asciiTheme="minorHAnsi" w:hAnsiTheme="minorHAnsi" w:cstheme="minorHAnsi"/>
                <w:color w:val="000000" w:themeColor="text1"/>
                <w:sz w:val="16"/>
                <w:szCs w:val="16"/>
              </w:rPr>
              <w:t xml:space="preserve"> </w:t>
            </w:r>
          </w:p>
        </w:tc>
        <w:tc>
          <w:tcPr>
            <w:tcW w:w="1870" w:type="dxa"/>
            <w:tcBorders>
              <w:top w:val="nil"/>
              <w:left w:val="single" w:sz="4" w:space="0" w:color="auto"/>
              <w:bottom w:val="single" w:sz="4" w:space="0" w:color="auto"/>
              <w:right w:val="single" w:sz="4" w:space="0" w:color="000000" w:themeColor="text1"/>
            </w:tcBorders>
            <w:shd w:val="clear" w:color="auto" w:fill="FFFFFF" w:themeFill="background1"/>
            <w:vAlign w:val="center"/>
          </w:tcPr>
          <w:p w14:paraId="5FD53282" w14:textId="77777777" w:rsidR="009563B4" w:rsidRPr="004A3071" w:rsidRDefault="009563B4" w:rsidP="00481CA4">
            <w:pPr>
              <w:jc w:val="center"/>
              <w:rPr>
                <w:rFonts w:asciiTheme="minorHAnsi" w:hAnsiTheme="minorHAnsi" w:cstheme="minorHAnsi"/>
                <w:color w:val="000000"/>
                <w:sz w:val="16"/>
                <w:szCs w:val="16"/>
              </w:rPr>
            </w:pPr>
            <w:r w:rsidRPr="004A3071">
              <w:rPr>
                <w:rFonts w:asciiTheme="minorHAnsi" w:hAnsiTheme="minorHAnsi" w:cstheme="minorHAnsi"/>
                <w:color w:val="000000"/>
                <w:sz w:val="16"/>
                <w:szCs w:val="16"/>
              </w:rPr>
              <w:t>Indirect Beneficiary</w:t>
            </w:r>
          </w:p>
        </w:tc>
        <w:tc>
          <w:tcPr>
            <w:tcW w:w="1870" w:type="dxa"/>
            <w:tcBorders>
              <w:top w:val="nil"/>
              <w:left w:val="single" w:sz="4" w:space="0" w:color="000000" w:themeColor="text1"/>
              <w:bottom w:val="single" w:sz="4" w:space="0" w:color="auto"/>
              <w:right w:val="single" w:sz="4" w:space="0" w:color="000000" w:themeColor="text1"/>
            </w:tcBorders>
            <w:shd w:val="clear" w:color="auto" w:fill="DDEBF7"/>
            <w:vAlign w:val="center"/>
          </w:tcPr>
          <w:p w14:paraId="10FF892F" w14:textId="77777777" w:rsidR="009563B4" w:rsidRPr="004A3071" w:rsidRDefault="009563B4" w:rsidP="00481CA4">
            <w:pPr>
              <w:jc w:val="center"/>
              <w:rPr>
                <w:rFonts w:asciiTheme="minorHAnsi" w:hAnsiTheme="minorHAnsi" w:cstheme="minorHAnsi"/>
                <w:b/>
                <w:bCs/>
                <w:color w:val="000000"/>
                <w:sz w:val="16"/>
                <w:szCs w:val="16"/>
              </w:rPr>
            </w:pPr>
            <w:r w:rsidRPr="004A3071">
              <w:rPr>
                <w:rFonts w:asciiTheme="minorHAnsi" w:hAnsiTheme="minorHAnsi" w:cstheme="minorHAnsi"/>
                <w:b/>
                <w:bCs/>
                <w:color w:val="000000"/>
                <w:sz w:val="16"/>
                <w:szCs w:val="16"/>
              </w:rPr>
              <w:t>Provincial Government Institution body</w:t>
            </w:r>
          </w:p>
        </w:tc>
        <w:tc>
          <w:tcPr>
            <w:tcW w:w="1870" w:type="dxa"/>
            <w:tcBorders>
              <w:top w:val="nil"/>
              <w:left w:val="single" w:sz="4" w:space="0" w:color="000000" w:themeColor="text1"/>
              <w:bottom w:val="single" w:sz="4" w:space="0" w:color="auto"/>
              <w:right w:val="single" w:sz="4" w:space="0" w:color="000000" w:themeColor="text1"/>
            </w:tcBorders>
            <w:shd w:val="clear" w:color="auto" w:fill="FFFFFF" w:themeFill="background1"/>
            <w:vAlign w:val="center"/>
          </w:tcPr>
          <w:p w14:paraId="5A6DE881" w14:textId="04D23897" w:rsidR="009563B4" w:rsidRPr="004A3071" w:rsidRDefault="009563B4" w:rsidP="655B59E9">
            <w:pPr>
              <w:jc w:val="center"/>
              <w:rPr>
                <w:rFonts w:asciiTheme="minorHAnsi" w:hAnsiTheme="minorHAnsi" w:cstheme="minorHAnsi"/>
                <w:color w:val="000000" w:themeColor="text1"/>
                <w:sz w:val="16"/>
                <w:szCs w:val="16"/>
              </w:rPr>
            </w:pPr>
            <w:r w:rsidRPr="004A3071">
              <w:rPr>
                <w:rFonts w:asciiTheme="minorHAnsi" w:hAnsiTheme="minorHAnsi" w:cstheme="minorHAnsi"/>
                <w:color w:val="000000" w:themeColor="text1"/>
                <w:sz w:val="16"/>
                <w:szCs w:val="16"/>
              </w:rPr>
              <w:t>Face-to-face meetings</w:t>
            </w:r>
          </w:p>
          <w:p w14:paraId="363E8F64" w14:textId="6648D93F" w:rsidR="009563B4" w:rsidRPr="004A3071" w:rsidRDefault="7052B970" w:rsidP="00481CA4">
            <w:pPr>
              <w:jc w:val="center"/>
              <w:rPr>
                <w:rFonts w:asciiTheme="minorHAnsi" w:hAnsiTheme="minorHAnsi" w:cstheme="minorHAnsi"/>
                <w:color w:val="000000"/>
                <w:sz w:val="16"/>
                <w:szCs w:val="16"/>
              </w:rPr>
            </w:pPr>
            <w:r w:rsidRPr="004A3071">
              <w:rPr>
                <w:rFonts w:asciiTheme="minorHAnsi" w:hAnsiTheme="minorHAnsi" w:cstheme="minorHAnsi"/>
                <w:sz w:val="16"/>
                <w:szCs w:val="16"/>
              </w:rPr>
              <w:t>Consultation workshop</w:t>
            </w:r>
          </w:p>
        </w:tc>
        <w:tc>
          <w:tcPr>
            <w:tcW w:w="2296" w:type="dxa"/>
            <w:tcBorders>
              <w:top w:val="nil"/>
              <w:left w:val="single" w:sz="4" w:space="0" w:color="000000" w:themeColor="text1"/>
              <w:bottom w:val="single" w:sz="4" w:space="0" w:color="auto"/>
              <w:right w:val="single" w:sz="4" w:space="0" w:color="000000" w:themeColor="text1"/>
            </w:tcBorders>
            <w:shd w:val="clear" w:color="auto" w:fill="FFFFFF" w:themeFill="background1"/>
            <w:vAlign w:val="center"/>
          </w:tcPr>
          <w:p w14:paraId="190FB577" w14:textId="44536F38" w:rsidR="009563B4" w:rsidRPr="004A3071" w:rsidRDefault="75579C92" w:rsidP="00481CA4">
            <w:pPr>
              <w:jc w:val="center"/>
              <w:rPr>
                <w:rFonts w:asciiTheme="minorHAnsi" w:hAnsiTheme="minorHAnsi" w:cstheme="minorHAnsi"/>
                <w:color w:val="000000"/>
                <w:sz w:val="16"/>
                <w:szCs w:val="16"/>
              </w:rPr>
            </w:pPr>
            <w:r w:rsidRPr="004A3071">
              <w:rPr>
                <w:rFonts w:asciiTheme="minorHAnsi" w:hAnsiTheme="minorHAnsi" w:cstheme="minorHAnsi"/>
                <w:color w:val="000000" w:themeColor="text1"/>
                <w:sz w:val="16"/>
                <w:szCs w:val="16"/>
              </w:rPr>
              <w:t xml:space="preserve">The project will have the institutional support of the local government </w:t>
            </w:r>
            <w:r w:rsidR="64CBAC26" w:rsidRPr="004A3071">
              <w:rPr>
                <w:rFonts w:asciiTheme="minorHAnsi" w:hAnsiTheme="minorHAnsi" w:cstheme="minorHAnsi"/>
                <w:color w:val="000000" w:themeColor="text1"/>
                <w:sz w:val="16"/>
                <w:szCs w:val="16"/>
              </w:rPr>
              <w:t> </w:t>
            </w:r>
          </w:p>
        </w:tc>
        <w:tc>
          <w:tcPr>
            <w:tcW w:w="1870" w:type="dxa"/>
            <w:tcBorders>
              <w:top w:val="nil"/>
              <w:left w:val="single" w:sz="4" w:space="0" w:color="000000" w:themeColor="text1"/>
              <w:bottom w:val="single" w:sz="4" w:space="0" w:color="auto"/>
              <w:right w:val="single" w:sz="4" w:space="0" w:color="000000" w:themeColor="text1"/>
            </w:tcBorders>
            <w:shd w:val="clear" w:color="auto" w:fill="FFFFFF" w:themeFill="background1"/>
            <w:vAlign w:val="center"/>
          </w:tcPr>
          <w:p w14:paraId="0AB14A4F" w14:textId="455D4B9E" w:rsidR="009563B4" w:rsidRPr="004A3071" w:rsidRDefault="5312C90F" w:rsidP="00481CA4">
            <w:pPr>
              <w:jc w:val="center"/>
              <w:rPr>
                <w:rFonts w:asciiTheme="minorHAnsi" w:hAnsiTheme="minorHAnsi" w:cstheme="minorHAnsi"/>
                <w:color w:val="000000"/>
                <w:sz w:val="16"/>
                <w:szCs w:val="16"/>
              </w:rPr>
            </w:pPr>
            <w:r w:rsidRPr="004A3071">
              <w:rPr>
                <w:rFonts w:asciiTheme="minorHAnsi" w:hAnsiTheme="minorHAnsi" w:cstheme="minorHAnsi"/>
                <w:color w:val="000000" w:themeColor="text1"/>
                <w:sz w:val="16"/>
                <w:szCs w:val="16"/>
              </w:rPr>
              <w:t xml:space="preserve">During the implementation phase </w:t>
            </w:r>
            <w:r w:rsidR="64CBAC26" w:rsidRPr="004A3071">
              <w:rPr>
                <w:rFonts w:asciiTheme="minorHAnsi" w:hAnsiTheme="minorHAnsi" w:cstheme="minorHAnsi"/>
                <w:color w:val="000000" w:themeColor="text1"/>
                <w:sz w:val="16"/>
                <w:szCs w:val="16"/>
              </w:rPr>
              <w:t> </w:t>
            </w:r>
          </w:p>
        </w:tc>
        <w:tc>
          <w:tcPr>
            <w:tcW w:w="1870" w:type="dxa"/>
            <w:tcBorders>
              <w:top w:val="nil"/>
              <w:left w:val="single" w:sz="4" w:space="0" w:color="000000" w:themeColor="text1"/>
              <w:bottom w:val="single" w:sz="4" w:space="0" w:color="auto"/>
              <w:right w:val="single" w:sz="4" w:space="0" w:color="auto"/>
            </w:tcBorders>
            <w:shd w:val="clear" w:color="auto" w:fill="FFFFFF" w:themeFill="background1"/>
            <w:vAlign w:val="center"/>
          </w:tcPr>
          <w:p w14:paraId="4E7C7564" w14:textId="77777777" w:rsidR="009563B4" w:rsidRPr="004A3071" w:rsidRDefault="009563B4" w:rsidP="00481CA4">
            <w:pPr>
              <w:jc w:val="center"/>
              <w:rPr>
                <w:rFonts w:asciiTheme="minorHAnsi" w:hAnsiTheme="minorHAnsi" w:cstheme="minorHAnsi"/>
                <w:color w:val="000000"/>
                <w:sz w:val="16"/>
                <w:szCs w:val="16"/>
              </w:rPr>
            </w:pPr>
            <w:r w:rsidRPr="004A3071">
              <w:rPr>
                <w:rFonts w:asciiTheme="minorHAnsi" w:hAnsiTheme="minorHAnsi" w:cstheme="minorHAnsi"/>
                <w:color w:val="000000"/>
                <w:sz w:val="16"/>
                <w:szCs w:val="16"/>
              </w:rPr>
              <w:t> </w:t>
            </w:r>
          </w:p>
        </w:tc>
      </w:tr>
      <w:tr w:rsidR="009563B4" w:rsidRPr="004A3071" w14:paraId="06A34F57" w14:textId="77777777" w:rsidTr="655B59E9">
        <w:trPr>
          <w:cantSplit/>
        </w:trPr>
        <w:tc>
          <w:tcPr>
            <w:tcW w:w="1870" w:type="dxa"/>
            <w:vMerge w:val="restart"/>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3CA95C1" w14:textId="25966943" w:rsidR="009563B4" w:rsidRPr="004A3071" w:rsidRDefault="009563B4" w:rsidP="00481CA4">
            <w:pPr>
              <w:rPr>
                <w:rFonts w:asciiTheme="minorHAnsi" w:hAnsiTheme="minorHAnsi" w:cstheme="minorHAnsi"/>
                <w:color w:val="000000"/>
                <w:sz w:val="16"/>
                <w:szCs w:val="16"/>
              </w:rPr>
            </w:pPr>
            <w:r w:rsidRPr="004A3071">
              <w:rPr>
                <w:rFonts w:asciiTheme="minorHAnsi" w:hAnsiTheme="minorHAnsi" w:cstheme="minorHAnsi"/>
                <w:color w:val="000000" w:themeColor="text1"/>
                <w:sz w:val="16"/>
                <w:szCs w:val="16"/>
              </w:rPr>
              <w:t xml:space="preserve">Ministry  </w:t>
            </w:r>
            <w:r w:rsidR="05500754" w:rsidRPr="004A3071">
              <w:rPr>
                <w:rFonts w:asciiTheme="minorHAnsi" w:hAnsiTheme="minorHAnsi" w:cstheme="minorHAnsi"/>
                <w:color w:val="000000" w:themeColor="text1"/>
                <w:sz w:val="16"/>
                <w:szCs w:val="16"/>
              </w:rPr>
              <w:t>Public Works and Spatial Planning</w:t>
            </w:r>
            <w:r w:rsidRPr="004A3071">
              <w:rPr>
                <w:rFonts w:asciiTheme="minorHAnsi" w:hAnsiTheme="minorHAnsi" w:cstheme="minorHAnsi"/>
                <w:color w:val="000000" w:themeColor="text1"/>
                <w:sz w:val="16"/>
                <w:szCs w:val="16"/>
              </w:rPr>
              <w:t xml:space="preserve"> (MINO</w:t>
            </w:r>
            <w:r w:rsidR="6FE59CFA" w:rsidRPr="004A3071">
              <w:rPr>
                <w:rFonts w:asciiTheme="minorHAnsi" w:hAnsiTheme="minorHAnsi" w:cstheme="minorHAnsi"/>
                <w:color w:val="000000" w:themeColor="text1"/>
                <w:sz w:val="16"/>
                <w:szCs w:val="16"/>
              </w:rPr>
              <w:t>PO</w:t>
            </w:r>
            <w:r w:rsidRPr="004A3071">
              <w:rPr>
                <w:rFonts w:asciiTheme="minorHAnsi" w:hAnsiTheme="minorHAnsi" w:cstheme="minorHAnsi"/>
                <w:color w:val="000000" w:themeColor="text1"/>
                <w:sz w:val="16"/>
                <w:szCs w:val="16"/>
              </w:rPr>
              <w:t>T – INOTU - IGCA)</w:t>
            </w:r>
          </w:p>
          <w:p w14:paraId="6DE0096B" w14:textId="77777777" w:rsidR="009563B4" w:rsidRPr="004A3071" w:rsidRDefault="009563B4" w:rsidP="00481CA4">
            <w:pPr>
              <w:rPr>
                <w:rFonts w:asciiTheme="minorHAnsi" w:hAnsiTheme="minorHAnsi" w:cstheme="minorHAnsi"/>
                <w:color w:val="000000"/>
                <w:sz w:val="16"/>
                <w:szCs w:val="16"/>
              </w:rPr>
            </w:pPr>
            <w:r w:rsidRPr="004A3071">
              <w:rPr>
                <w:rFonts w:asciiTheme="minorHAnsi" w:hAnsiTheme="minorHAnsi" w:cstheme="minorHAnsi"/>
                <w:color w:val="000000"/>
                <w:sz w:val="16"/>
                <w:szCs w:val="16"/>
              </w:rPr>
              <w:t> </w:t>
            </w:r>
          </w:p>
          <w:p w14:paraId="46D634D3" w14:textId="77777777" w:rsidR="009563B4" w:rsidRPr="004A3071" w:rsidRDefault="009563B4" w:rsidP="00481CA4">
            <w:pPr>
              <w:rPr>
                <w:rFonts w:asciiTheme="minorHAnsi" w:hAnsiTheme="minorHAnsi" w:cstheme="minorHAnsi"/>
                <w:color w:val="000000"/>
                <w:sz w:val="16"/>
                <w:szCs w:val="16"/>
              </w:rPr>
            </w:pPr>
            <w:r w:rsidRPr="004A3071">
              <w:rPr>
                <w:rFonts w:asciiTheme="minorHAnsi" w:hAnsiTheme="minorHAnsi" w:cstheme="minorHAnsi"/>
                <w:color w:val="000000"/>
                <w:sz w:val="16"/>
                <w:szCs w:val="16"/>
              </w:rPr>
              <w:t> </w:t>
            </w:r>
          </w:p>
        </w:tc>
        <w:tc>
          <w:tcPr>
            <w:tcW w:w="1870" w:type="dxa"/>
            <w:tcBorders>
              <w:top w:val="nil"/>
              <w:left w:val="single" w:sz="4" w:space="0" w:color="auto"/>
              <w:bottom w:val="nil"/>
              <w:right w:val="single" w:sz="4" w:space="0" w:color="000000" w:themeColor="text1"/>
            </w:tcBorders>
            <w:shd w:val="clear" w:color="auto" w:fill="FFFFFF" w:themeFill="background1"/>
            <w:vAlign w:val="center"/>
          </w:tcPr>
          <w:p w14:paraId="22B54C4F" w14:textId="0FCE7CFF" w:rsidR="009563B4" w:rsidRPr="004A3071" w:rsidRDefault="009563B4" w:rsidP="00481CA4">
            <w:pPr>
              <w:jc w:val="center"/>
              <w:rPr>
                <w:rFonts w:asciiTheme="minorHAnsi" w:hAnsiTheme="minorHAnsi" w:cstheme="minorHAnsi"/>
                <w:color w:val="000000"/>
                <w:sz w:val="16"/>
                <w:szCs w:val="16"/>
              </w:rPr>
            </w:pPr>
          </w:p>
        </w:tc>
        <w:tc>
          <w:tcPr>
            <w:tcW w:w="1870" w:type="dxa"/>
            <w:tcBorders>
              <w:top w:val="nil"/>
              <w:left w:val="single" w:sz="4" w:space="0" w:color="000000" w:themeColor="text1"/>
              <w:bottom w:val="nil"/>
              <w:right w:val="single" w:sz="4" w:space="0" w:color="000000" w:themeColor="text1"/>
            </w:tcBorders>
            <w:shd w:val="clear" w:color="auto" w:fill="DDEBF7"/>
            <w:vAlign w:val="center"/>
          </w:tcPr>
          <w:p w14:paraId="203D3B62" w14:textId="761F9B19" w:rsidR="009563B4" w:rsidRPr="004A3071" w:rsidRDefault="009563B4" w:rsidP="00481CA4">
            <w:pPr>
              <w:jc w:val="center"/>
              <w:rPr>
                <w:rFonts w:asciiTheme="minorHAnsi" w:hAnsiTheme="minorHAnsi" w:cstheme="minorHAnsi"/>
                <w:b/>
                <w:bCs/>
                <w:color w:val="000000"/>
                <w:sz w:val="16"/>
                <w:szCs w:val="16"/>
              </w:rPr>
            </w:pPr>
          </w:p>
        </w:tc>
        <w:tc>
          <w:tcPr>
            <w:tcW w:w="1870" w:type="dxa"/>
            <w:tcBorders>
              <w:top w:val="nil"/>
              <w:left w:val="single" w:sz="4" w:space="0" w:color="000000" w:themeColor="text1"/>
              <w:bottom w:val="nil"/>
              <w:right w:val="single" w:sz="4" w:space="0" w:color="000000" w:themeColor="text1"/>
            </w:tcBorders>
            <w:shd w:val="clear" w:color="auto" w:fill="FFFFFF" w:themeFill="background1"/>
            <w:vAlign w:val="center"/>
          </w:tcPr>
          <w:p w14:paraId="681BD96B" w14:textId="77777777" w:rsidR="009563B4" w:rsidRPr="004A3071" w:rsidRDefault="009563B4" w:rsidP="00481CA4">
            <w:pPr>
              <w:jc w:val="center"/>
              <w:rPr>
                <w:rFonts w:asciiTheme="minorHAnsi" w:hAnsiTheme="minorHAnsi" w:cstheme="minorHAnsi"/>
                <w:color w:val="000000"/>
                <w:sz w:val="16"/>
                <w:szCs w:val="16"/>
              </w:rPr>
            </w:pPr>
            <w:r w:rsidRPr="004A3071">
              <w:rPr>
                <w:rFonts w:asciiTheme="minorHAnsi" w:hAnsiTheme="minorHAnsi" w:cstheme="minorHAnsi"/>
                <w:color w:val="000000"/>
                <w:sz w:val="16"/>
                <w:szCs w:val="16"/>
              </w:rPr>
              <w:t>PGG inception and validation workshops</w:t>
            </w:r>
          </w:p>
        </w:tc>
        <w:tc>
          <w:tcPr>
            <w:tcW w:w="2296" w:type="dxa"/>
            <w:vMerge w:val="restart"/>
            <w:tcBorders>
              <w:top w:val="nil"/>
              <w:left w:val="single" w:sz="4" w:space="0" w:color="000000" w:themeColor="text1"/>
              <w:bottom w:val="nil"/>
              <w:right w:val="single" w:sz="4" w:space="0" w:color="000000" w:themeColor="text1"/>
            </w:tcBorders>
            <w:shd w:val="clear" w:color="auto" w:fill="FFFFFF" w:themeFill="background1"/>
            <w:vAlign w:val="center"/>
          </w:tcPr>
          <w:p w14:paraId="26574D1B" w14:textId="5BD34C02" w:rsidR="64CBAC26" w:rsidRPr="004A3071" w:rsidRDefault="64CBAC26" w:rsidP="655B59E9">
            <w:pPr>
              <w:jc w:val="center"/>
              <w:rPr>
                <w:rFonts w:asciiTheme="minorHAnsi" w:hAnsiTheme="minorHAnsi" w:cstheme="minorHAnsi"/>
                <w:color w:val="000000" w:themeColor="text1"/>
                <w:sz w:val="16"/>
                <w:szCs w:val="16"/>
              </w:rPr>
            </w:pPr>
            <w:r w:rsidRPr="004A3071">
              <w:rPr>
                <w:rFonts w:asciiTheme="minorHAnsi" w:hAnsiTheme="minorHAnsi" w:cstheme="minorHAnsi"/>
                <w:color w:val="000000" w:themeColor="text1"/>
                <w:sz w:val="16"/>
                <w:szCs w:val="16"/>
              </w:rPr>
              <w:t> </w:t>
            </w:r>
            <w:r w:rsidR="6649FB5F" w:rsidRPr="004A3071">
              <w:rPr>
                <w:rFonts w:asciiTheme="minorHAnsi" w:hAnsiTheme="minorHAnsi" w:cstheme="minorHAnsi"/>
                <w:color w:val="000000" w:themeColor="text1"/>
                <w:sz w:val="16"/>
                <w:szCs w:val="16"/>
              </w:rPr>
              <w:t xml:space="preserve">The Ministry recognizes the importance of land use planning and the receptive to establishing partnerships for this purpose. </w:t>
            </w:r>
            <w:r w:rsidRPr="004A3071">
              <w:rPr>
                <w:rFonts w:asciiTheme="minorHAnsi" w:hAnsiTheme="minorHAnsi" w:cstheme="minorHAnsi"/>
                <w:color w:val="000000" w:themeColor="text1"/>
                <w:sz w:val="16"/>
                <w:szCs w:val="16"/>
              </w:rPr>
              <w:t> </w:t>
            </w:r>
          </w:p>
        </w:tc>
        <w:tc>
          <w:tcPr>
            <w:tcW w:w="1870" w:type="dxa"/>
            <w:tcBorders>
              <w:top w:val="nil"/>
              <w:left w:val="single" w:sz="4" w:space="0" w:color="000000" w:themeColor="text1"/>
              <w:bottom w:val="nil"/>
              <w:right w:val="single" w:sz="4" w:space="0" w:color="000000" w:themeColor="text1"/>
            </w:tcBorders>
            <w:shd w:val="clear" w:color="auto" w:fill="FFFFFF" w:themeFill="background1"/>
            <w:vAlign w:val="center"/>
          </w:tcPr>
          <w:p w14:paraId="75A5CBDC" w14:textId="77777777" w:rsidR="009563B4" w:rsidRPr="004A3071" w:rsidRDefault="009563B4" w:rsidP="00481CA4">
            <w:pPr>
              <w:jc w:val="center"/>
              <w:rPr>
                <w:rFonts w:asciiTheme="minorHAnsi" w:hAnsiTheme="minorHAnsi" w:cstheme="minorHAnsi"/>
                <w:color w:val="000000"/>
                <w:sz w:val="16"/>
                <w:szCs w:val="16"/>
              </w:rPr>
            </w:pPr>
            <w:r w:rsidRPr="004A3071">
              <w:rPr>
                <w:rFonts w:asciiTheme="minorHAnsi" w:hAnsiTheme="minorHAnsi" w:cstheme="minorHAnsi"/>
                <w:color w:val="000000"/>
                <w:sz w:val="16"/>
                <w:szCs w:val="16"/>
              </w:rPr>
              <w:t> </w:t>
            </w:r>
          </w:p>
        </w:tc>
        <w:tc>
          <w:tcPr>
            <w:tcW w:w="1870" w:type="dxa"/>
            <w:tcBorders>
              <w:top w:val="nil"/>
              <w:left w:val="single" w:sz="4" w:space="0" w:color="000000" w:themeColor="text1"/>
              <w:bottom w:val="nil"/>
              <w:right w:val="single" w:sz="4" w:space="0" w:color="auto"/>
            </w:tcBorders>
            <w:shd w:val="clear" w:color="auto" w:fill="FFFFFF" w:themeFill="background1"/>
            <w:vAlign w:val="center"/>
          </w:tcPr>
          <w:p w14:paraId="748AA9DC" w14:textId="77777777" w:rsidR="009563B4" w:rsidRPr="004A3071" w:rsidRDefault="009563B4" w:rsidP="00481CA4">
            <w:pPr>
              <w:jc w:val="center"/>
              <w:rPr>
                <w:rFonts w:asciiTheme="minorHAnsi" w:hAnsiTheme="minorHAnsi" w:cstheme="minorHAnsi"/>
                <w:color w:val="000000"/>
                <w:sz w:val="16"/>
                <w:szCs w:val="16"/>
              </w:rPr>
            </w:pPr>
            <w:r w:rsidRPr="004A3071">
              <w:rPr>
                <w:rFonts w:asciiTheme="minorHAnsi" w:hAnsiTheme="minorHAnsi" w:cstheme="minorHAnsi"/>
                <w:color w:val="000000"/>
                <w:sz w:val="16"/>
                <w:szCs w:val="16"/>
              </w:rPr>
              <w:t> </w:t>
            </w:r>
          </w:p>
        </w:tc>
      </w:tr>
      <w:tr w:rsidR="009563B4" w:rsidRPr="004A3071" w14:paraId="7301FE9A" w14:textId="77777777" w:rsidTr="004A3071">
        <w:trPr>
          <w:cantSplit/>
        </w:trPr>
        <w:tc>
          <w:tcPr>
            <w:tcW w:w="1870" w:type="dxa"/>
            <w:vMerge/>
            <w:tcBorders>
              <w:left w:val="single" w:sz="4" w:space="0" w:color="auto"/>
              <w:bottom w:val="single" w:sz="4" w:space="0" w:color="auto"/>
            </w:tcBorders>
            <w:vAlign w:val="center"/>
          </w:tcPr>
          <w:p w14:paraId="42277E2B" w14:textId="77777777" w:rsidR="009563B4" w:rsidRPr="004A3071" w:rsidRDefault="009563B4" w:rsidP="00481CA4">
            <w:pPr>
              <w:rPr>
                <w:rFonts w:asciiTheme="minorHAnsi" w:hAnsiTheme="minorHAnsi" w:cstheme="minorHAnsi"/>
                <w:color w:val="000000"/>
                <w:sz w:val="16"/>
                <w:szCs w:val="16"/>
              </w:rPr>
            </w:pPr>
          </w:p>
        </w:tc>
        <w:tc>
          <w:tcPr>
            <w:tcW w:w="1870" w:type="dxa"/>
            <w:tcBorders>
              <w:top w:val="nil"/>
              <w:left w:val="single" w:sz="4" w:space="0" w:color="auto"/>
              <w:bottom w:val="nil"/>
              <w:right w:val="single" w:sz="4" w:space="0" w:color="000000" w:themeColor="text1"/>
            </w:tcBorders>
            <w:shd w:val="clear" w:color="auto" w:fill="FFFFFF" w:themeFill="background1"/>
            <w:vAlign w:val="center"/>
          </w:tcPr>
          <w:p w14:paraId="7A7E5F91" w14:textId="7EA35E6D" w:rsidR="009563B4" w:rsidRPr="004A3071" w:rsidRDefault="2ADAC280" w:rsidP="655B59E9">
            <w:pPr>
              <w:jc w:val="center"/>
              <w:rPr>
                <w:rFonts w:asciiTheme="minorHAnsi" w:hAnsiTheme="minorHAnsi" w:cstheme="minorHAnsi"/>
                <w:color w:val="000000" w:themeColor="text1"/>
                <w:sz w:val="16"/>
                <w:szCs w:val="16"/>
              </w:rPr>
            </w:pPr>
            <w:r w:rsidRPr="004A3071">
              <w:rPr>
                <w:rFonts w:asciiTheme="minorHAnsi" w:hAnsiTheme="minorHAnsi" w:cstheme="minorHAnsi"/>
                <w:color w:val="000000" w:themeColor="text1"/>
                <w:sz w:val="16"/>
                <w:szCs w:val="16"/>
              </w:rPr>
              <w:t xml:space="preserve">Indirect Beneficiary </w:t>
            </w:r>
          </w:p>
          <w:p w14:paraId="00200EFE" w14:textId="257455DC" w:rsidR="009563B4" w:rsidRPr="004A3071" w:rsidRDefault="009563B4" w:rsidP="00481CA4">
            <w:pPr>
              <w:jc w:val="center"/>
              <w:rPr>
                <w:rFonts w:asciiTheme="minorHAnsi" w:hAnsiTheme="minorHAnsi" w:cstheme="minorHAnsi"/>
                <w:color w:val="000000"/>
                <w:sz w:val="16"/>
                <w:szCs w:val="16"/>
              </w:rPr>
            </w:pPr>
            <w:r w:rsidRPr="004A3071">
              <w:rPr>
                <w:rFonts w:asciiTheme="minorHAnsi" w:hAnsiTheme="minorHAnsi" w:cstheme="minorHAnsi"/>
                <w:color w:val="000000" w:themeColor="text1"/>
                <w:sz w:val="16"/>
                <w:szCs w:val="16"/>
              </w:rPr>
              <w:t> </w:t>
            </w:r>
          </w:p>
        </w:tc>
        <w:tc>
          <w:tcPr>
            <w:tcW w:w="1870" w:type="dxa"/>
            <w:tcBorders>
              <w:top w:val="nil"/>
              <w:left w:val="single" w:sz="4" w:space="0" w:color="000000" w:themeColor="text1"/>
              <w:bottom w:val="nil"/>
              <w:right w:val="single" w:sz="4" w:space="0" w:color="000000" w:themeColor="text1"/>
            </w:tcBorders>
            <w:shd w:val="clear" w:color="auto" w:fill="DDEBF7"/>
            <w:vAlign w:val="center"/>
          </w:tcPr>
          <w:p w14:paraId="584F5803" w14:textId="19DE13CF" w:rsidR="009563B4" w:rsidRPr="004A3071" w:rsidRDefault="64CBAC26" w:rsidP="655B59E9">
            <w:pPr>
              <w:jc w:val="center"/>
              <w:rPr>
                <w:rFonts w:asciiTheme="minorHAnsi" w:hAnsiTheme="minorHAnsi" w:cstheme="minorHAnsi"/>
                <w:b/>
                <w:bCs/>
                <w:color w:val="000000" w:themeColor="text1"/>
                <w:sz w:val="16"/>
                <w:szCs w:val="16"/>
              </w:rPr>
            </w:pPr>
            <w:r w:rsidRPr="004A3071">
              <w:rPr>
                <w:rFonts w:asciiTheme="minorHAnsi" w:hAnsiTheme="minorHAnsi" w:cstheme="minorHAnsi"/>
                <w:b/>
                <w:bCs/>
                <w:color w:val="000000" w:themeColor="text1"/>
                <w:sz w:val="16"/>
                <w:szCs w:val="16"/>
              </w:rPr>
              <w:t> </w:t>
            </w:r>
            <w:r w:rsidR="6826A106" w:rsidRPr="004A3071">
              <w:rPr>
                <w:rFonts w:asciiTheme="minorHAnsi" w:hAnsiTheme="minorHAnsi" w:cstheme="minorHAnsi"/>
                <w:b/>
                <w:bCs/>
                <w:color w:val="000000" w:themeColor="text1"/>
                <w:sz w:val="16"/>
                <w:szCs w:val="16"/>
              </w:rPr>
              <w:t xml:space="preserve"> National Government Institution/body</w:t>
            </w:r>
          </w:p>
          <w:p w14:paraId="68EBD1CE" w14:textId="4B91FD87" w:rsidR="009563B4" w:rsidRPr="004A3071" w:rsidRDefault="009563B4" w:rsidP="00481CA4">
            <w:pPr>
              <w:jc w:val="center"/>
              <w:rPr>
                <w:rFonts w:asciiTheme="minorHAnsi" w:hAnsiTheme="minorHAnsi" w:cstheme="minorHAnsi"/>
                <w:b/>
                <w:bCs/>
                <w:color w:val="000000"/>
                <w:sz w:val="16"/>
                <w:szCs w:val="16"/>
              </w:rPr>
            </w:pPr>
          </w:p>
        </w:tc>
        <w:tc>
          <w:tcPr>
            <w:tcW w:w="1870" w:type="dxa"/>
            <w:tcBorders>
              <w:top w:val="nil"/>
              <w:left w:val="single" w:sz="4" w:space="0" w:color="000000" w:themeColor="text1"/>
              <w:bottom w:val="nil"/>
              <w:right w:val="single" w:sz="4" w:space="0" w:color="000000" w:themeColor="text1"/>
            </w:tcBorders>
            <w:shd w:val="clear" w:color="auto" w:fill="FFFFFF" w:themeFill="background1"/>
            <w:vAlign w:val="center"/>
          </w:tcPr>
          <w:p w14:paraId="39DCBA22" w14:textId="77777777" w:rsidR="009563B4" w:rsidRPr="004A3071" w:rsidRDefault="009563B4" w:rsidP="00481CA4">
            <w:pPr>
              <w:jc w:val="center"/>
              <w:rPr>
                <w:rFonts w:asciiTheme="minorHAnsi" w:hAnsiTheme="minorHAnsi" w:cstheme="minorHAnsi"/>
                <w:color w:val="000000"/>
                <w:sz w:val="16"/>
                <w:szCs w:val="16"/>
              </w:rPr>
            </w:pPr>
            <w:r w:rsidRPr="004A3071">
              <w:rPr>
                <w:rFonts w:asciiTheme="minorHAnsi" w:hAnsiTheme="minorHAnsi" w:cstheme="minorHAnsi"/>
                <w:color w:val="000000"/>
                <w:sz w:val="16"/>
                <w:szCs w:val="16"/>
              </w:rPr>
              <w:t>Face-to-face meetings</w:t>
            </w:r>
          </w:p>
        </w:tc>
        <w:tc>
          <w:tcPr>
            <w:tcW w:w="2296" w:type="dxa"/>
            <w:vMerge/>
            <w:tcBorders>
              <w:top w:val="nil"/>
              <w:left w:val="single" w:sz="4" w:space="0" w:color="000000" w:themeColor="text1"/>
              <w:bottom w:val="nil"/>
              <w:right w:val="single" w:sz="4" w:space="0" w:color="000000" w:themeColor="text1"/>
            </w:tcBorders>
            <w:shd w:val="clear" w:color="auto" w:fill="FFFFFF" w:themeFill="background1"/>
            <w:vAlign w:val="center"/>
          </w:tcPr>
          <w:p w14:paraId="63DD7A99" w14:textId="4ADA310E" w:rsidR="009563B4" w:rsidRPr="004A3071" w:rsidRDefault="009563B4" w:rsidP="00481CA4">
            <w:pPr>
              <w:jc w:val="center"/>
              <w:rPr>
                <w:rFonts w:asciiTheme="minorHAnsi" w:hAnsiTheme="minorHAnsi" w:cstheme="minorHAnsi"/>
                <w:color w:val="000000"/>
                <w:sz w:val="16"/>
                <w:szCs w:val="16"/>
              </w:rPr>
            </w:pPr>
          </w:p>
        </w:tc>
        <w:tc>
          <w:tcPr>
            <w:tcW w:w="1870" w:type="dxa"/>
            <w:tcBorders>
              <w:top w:val="nil"/>
              <w:left w:val="single" w:sz="4" w:space="0" w:color="000000" w:themeColor="text1"/>
              <w:bottom w:val="nil"/>
              <w:right w:val="single" w:sz="4" w:space="0" w:color="000000" w:themeColor="text1"/>
            </w:tcBorders>
            <w:shd w:val="clear" w:color="auto" w:fill="FFFFFF" w:themeFill="background1"/>
            <w:vAlign w:val="center"/>
          </w:tcPr>
          <w:p w14:paraId="42B52E07" w14:textId="3D6DB858" w:rsidR="009563B4" w:rsidRPr="004A3071" w:rsidRDefault="6D53B0D8" w:rsidP="00481CA4">
            <w:pPr>
              <w:jc w:val="center"/>
              <w:rPr>
                <w:rFonts w:asciiTheme="minorHAnsi" w:hAnsiTheme="minorHAnsi" w:cstheme="minorHAnsi"/>
                <w:color w:val="000000"/>
                <w:sz w:val="16"/>
                <w:szCs w:val="16"/>
              </w:rPr>
            </w:pPr>
            <w:r w:rsidRPr="004A3071">
              <w:rPr>
                <w:rFonts w:asciiTheme="minorHAnsi" w:hAnsiTheme="minorHAnsi" w:cstheme="minorHAnsi"/>
                <w:color w:val="000000" w:themeColor="text1"/>
                <w:sz w:val="16"/>
                <w:szCs w:val="16"/>
              </w:rPr>
              <w:t xml:space="preserve">During the implementation phase </w:t>
            </w:r>
            <w:r w:rsidR="64CBAC26" w:rsidRPr="004A3071">
              <w:rPr>
                <w:rFonts w:asciiTheme="minorHAnsi" w:hAnsiTheme="minorHAnsi" w:cstheme="minorHAnsi"/>
                <w:color w:val="000000" w:themeColor="text1"/>
                <w:sz w:val="16"/>
                <w:szCs w:val="16"/>
              </w:rPr>
              <w:t> </w:t>
            </w:r>
          </w:p>
        </w:tc>
        <w:tc>
          <w:tcPr>
            <w:tcW w:w="1870" w:type="dxa"/>
            <w:tcBorders>
              <w:top w:val="nil"/>
              <w:left w:val="single" w:sz="4" w:space="0" w:color="000000" w:themeColor="text1"/>
              <w:bottom w:val="nil"/>
              <w:right w:val="single" w:sz="4" w:space="0" w:color="auto"/>
            </w:tcBorders>
            <w:shd w:val="clear" w:color="auto" w:fill="FFFFFF" w:themeFill="background1"/>
            <w:vAlign w:val="center"/>
          </w:tcPr>
          <w:p w14:paraId="3BB39258" w14:textId="77777777" w:rsidR="009563B4" w:rsidRPr="004A3071" w:rsidRDefault="009563B4" w:rsidP="00481CA4">
            <w:pPr>
              <w:jc w:val="center"/>
              <w:rPr>
                <w:rFonts w:asciiTheme="minorHAnsi" w:hAnsiTheme="minorHAnsi" w:cstheme="minorHAnsi"/>
                <w:color w:val="000000"/>
                <w:sz w:val="16"/>
                <w:szCs w:val="16"/>
              </w:rPr>
            </w:pPr>
            <w:r w:rsidRPr="004A3071">
              <w:rPr>
                <w:rFonts w:asciiTheme="minorHAnsi" w:hAnsiTheme="minorHAnsi" w:cstheme="minorHAnsi"/>
                <w:color w:val="000000"/>
                <w:sz w:val="16"/>
                <w:szCs w:val="16"/>
              </w:rPr>
              <w:t> </w:t>
            </w:r>
          </w:p>
        </w:tc>
      </w:tr>
      <w:tr w:rsidR="009563B4" w:rsidRPr="004A3071" w14:paraId="036998FB" w14:textId="77777777" w:rsidTr="004A3071">
        <w:trPr>
          <w:cantSplit/>
        </w:trPr>
        <w:tc>
          <w:tcPr>
            <w:tcW w:w="1870" w:type="dxa"/>
            <w:vMerge/>
            <w:tcBorders>
              <w:left w:val="single" w:sz="4" w:space="0" w:color="auto"/>
              <w:bottom w:val="single" w:sz="4" w:space="0" w:color="auto"/>
            </w:tcBorders>
            <w:vAlign w:val="center"/>
          </w:tcPr>
          <w:p w14:paraId="2E914279" w14:textId="77777777" w:rsidR="009563B4" w:rsidRPr="004A3071" w:rsidRDefault="009563B4" w:rsidP="00481CA4">
            <w:pPr>
              <w:rPr>
                <w:rFonts w:asciiTheme="minorHAnsi" w:hAnsiTheme="minorHAnsi" w:cstheme="minorHAnsi"/>
                <w:color w:val="000000"/>
                <w:sz w:val="16"/>
                <w:szCs w:val="16"/>
              </w:rPr>
            </w:pPr>
          </w:p>
        </w:tc>
        <w:tc>
          <w:tcPr>
            <w:tcW w:w="1870" w:type="dxa"/>
            <w:tcBorders>
              <w:top w:val="nil"/>
              <w:left w:val="single" w:sz="4" w:space="0" w:color="auto"/>
              <w:bottom w:val="single" w:sz="4" w:space="0" w:color="auto"/>
              <w:right w:val="single" w:sz="4" w:space="0" w:color="000000" w:themeColor="text1"/>
            </w:tcBorders>
            <w:shd w:val="clear" w:color="auto" w:fill="FFFFFF" w:themeFill="background1"/>
            <w:vAlign w:val="center"/>
          </w:tcPr>
          <w:p w14:paraId="15AFDE6C" w14:textId="77777777" w:rsidR="009563B4" w:rsidRPr="004A3071" w:rsidRDefault="009563B4" w:rsidP="00481CA4">
            <w:pPr>
              <w:jc w:val="center"/>
              <w:rPr>
                <w:rFonts w:asciiTheme="minorHAnsi" w:hAnsiTheme="minorHAnsi" w:cstheme="minorHAnsi"/>
                <w:color w:val="000000"/>
                <w:sz w:val="16"/>
                <w:szCs w:val="16"/>
              </w:rPr>
            </w:pPr>
            <w:r w:rsidRPr="004A3071">
              <w:rPr>
                <w:rFonts w:asciiTheme="minorHAnsi" w:hAnsiTheme="minorHAnsi" w:cstheme="minorHAnsi"/>
                <w:color w:val="000000"/>
                <w:sz w:val="16"/>
                <w:szCs w:val="16"/>
              </w:rPr>
              <w:t> </w:t>
            </w:r>
          </w:p>
        </w:tc>
        <w:tc>
          <w:tcPr>
            <w:tcW w:w="1870" w:type="dxa"/>
            <w:tcBorders>
              <w:top w:val="nil"/>
              <w:left w:val="single" w:sz="4" w:space="0" w:color="000000" w:themeColor="text1"/>
              <w:bottom w:val="single" w:sz="4" w:space="0" w:color="auto"/>
              <w:right w:val="single" w:sz="4" w:space="0" w:color="000000" w:themeColor="text1"/>
            </w:tcBorders>
            <w:shd w:val="clear" w:color="auto" w:fill="DDEBF7"/>
            <w:vAlign w:val="center"/>
          </w:tcPr>
          <w:p w14:paraId="16F48D22" w14:textId="77777777" w:rsidR="009563B4" w:rsidRPr="004A3071" w:rsidRDefault="009563B4" w:rsidP="00481CA4">
            <w:pPr>
              <w:jc w:val="center"/>
              <w:rPr>
                <w:rFonts w:asciiTheme="minorHAnsi" w:hAnsiTheme="minorHAnsi" w:cstheme="minorHAnsi"/>
                <w:b/>
                <w:bCs/>
                <w:color w:val="000000"/>
                <w:sz w:val="16"/>
                <w:szCs w:val="16"/>
              </w:rPr>
            </w:pPr>
            <w:r w:rsidRPr="004A3071">
              <w:rPr>
                <w:rFonts w:asciiTheme="minorHAnsi" w:hAnsiTheme="minorHAnsi" w:cstheme="minorHAnsi"/>
                <w:b/>
                <w:bCs/>
                <w:color w:val="000000"/>
                <w:sz w:val="16"/>
                <w:szCs w:val="16"/>
              </w:rPr>
              <w:t> </w:t>
            </w:r>
          </w:p>
        </w:tc>
        <w:tc>
          <w:tcPr>
            <w:tcW w:w="1870" w:type="dxa"/>
            <w:tcBorders>
              <w:top w:val="nil"/>
              <w:left w:val="single" w:sz="4" w:space="0" w:color="000000" w:themeColor="text1"/>
              <w:bottom w:val="single" w:sz="4" w:space="0" w:color="auto"/>
              <w:right w:val="single" w:sz="4" w:space="0" w:color="000000" w:themeColor="text1"/>
            </w:tcBorders>
            <w:shd w:val="clear" w:color="auto" w:fill="FFFFFF" w:themeFill="background1"/>
            <w:vAlign w:val="center"/>
          </w:tcPr>
          <w:p w14:paraId="3ED71829" w14:textId="77777777" w:rsidR="009563B4" w:rsidRPr="004A3071" w:rsidRDefault="009563B4" w:rsidP="00481CA4">
            <w:pPr>
              <w:jc w:val="center"/>
              <w:rPr>
                <w:rFonts w:asciiTheme="minorHAnsi" w:hAnsiTheme="minorHAnsi" w:cstheme="minorHAnsi"/>
                <w:color w:val="000000"/>
                <w:sz w:val="16"/>
                <w:szCs w:val="16"/>
              </w:rPr>
            </w:pPr>
            <w:r w:rsidRPr="004A3071">
              <w:rPr>
                <w:rFonts w:asciiTheme="minorHAnsi" w:hAnsiTheme="minorHAnsi" w:cstheme="minorHAnsi"/>
                <w:color w:val="000000"/>
                <w:sz w:val="16"/>
                <w:szCs w:val="16"/>
              </w:rPr>
              <w:t>PGG inception and validation workshops</w:t>
            </w:r>
          </w:p>
        </w:tc>
        <w:tc>
          <w:tcPr>
            <w:tcW w:w="2296" w:type="dxa"/>
            <w:tcBorders>
              <w:top w:val="nil"/>
              <w:left w:val="single" w:sz="4" w:space="0" w:color="000000" w:themeColor="text1"/>
              <w:bottom w:val="single" w:sz="4" w:space="0" w:color="auto"/>
              <w:right w:val="single" w:sz="4" w:space="0" w:color="000000" w:themeColor="text1"/>
            </w:tcBorders>
            <w:shd w:val="clear" w:color="auto" w:fill="FFFFFF" w:themeFill="background1"/>
            <w:vAlign w:val="center"/>
          </w:tcPr>
          <w:p w14:paraId="5CC6A952" w14:textId="1D91D45A" w:rsidR="009563B4" w:rsidRPr="004A3071" w:rsidRDefault="009563B4" w:rsidP="00481CA4">
            <w:pPr>
              <w:jc w:val="center"/>
              <w:rPr>
                <w:rFonts w:asciiTheme="minorHAnsi" w:hAnsiTheme="minorHAnsi" w:cstheme="minorHAnsi"/>
                <w:color w:val="000000"/>
                <w:sz w:val="16"/>
                <w:szCs w:val="16"/>
              </w:rPr>
            </w:pPr>
          </w:p>
        </w:tc>
        <w:tc>
          <w:tcPr>
            <w:tcW w:w="1870" w:type="dxa"/>
            <w:tcBorders>
              <w:top w:val="nil"/>
              <w:left w:val="single" w:sz="4" w:space="0" w:color="000000" w:themeColor="text1"/>
              <w:bottom w:val="single" w:sz="4" w:space="0" w:color="auto"/>
              <w:right w:val="single" w:sz="4" w:space="0" w:color="000000" w:themeColor="text1"/>
            </w:tcBorders>
            <w:shd w:val="clear" w:color="auto" w:fill="FFFFFF" w:themeFill="background1"/>
            <w:vAlign w:val="center"/>
          </w:tcPr>
          <w:p w14:paraId="4C5A931E" w14:textId="77777777" w:rsidR="009563B4" w:rsidRPr="004A3071" w:rsidRDefault="009563B4" w:rsidP="00481CA4">
            <w:pPr>
              <w:jc w:val="center"/>
              <w:rPr>
                <w:rFonts w:asciiTheme="minorHAnsi" w:hAnsiTheme="minorHAnsi" w:cstheme="minorHAnsi"/>
                <w:color w:val="000000"/>
                <w:sz w:val="16"/>
                <w:szCs w:val="16"/>
              </w:rPr>
            </w:pPr>
            <w:r w:rsidRPr="004A3071">
              <w:rPr>
                <w:rFonts w:asciiTheme="minorHAnsi" w:hAnsiTheme="minorHAnsi" w:cstheme="minorHAnsi"/>
                <w:color w:val="000000"/>
                <w:sz w:val="16"/>
                <w:szCs w:val="16"/>
              </w:rPr>
              <w:t> </w:t>
            </w:r>
          </w:p>
        </w:tc>
        <w:tc>
          <w:tcPr>
            <w:tcW w:w="1870" w:type="dxa"/>
            <w:tcBorders>
              <w:top w:val="nil"/>
              <w:left w:val="single" w:sz="4" w:space="0" w:color="000000" w:themeColor="text1"/>
              <w:bottom w:val="single" w:sz="4" w:space="0" w:color="auto"/>
              <w:right w:val="single" w:sz="4" w:space="0" w:color="auto"/>
            </w:tcBorders>
            <w:shd w:val="clear" w:color="auto" w:fill="FFFFFF" w:themeFill="background1"/>
            <w:vAlign w:val="center"/>
          </w:tcPr>
          <w:p w14:paraId="49CAC80E" w14:textId="77777777" w:rsidR="009563B4" w:rsidRPr="004A3071" w:rsidRDefault="009563B4" w:rsidP="00481CA4">
            <w:pPr>
              <w:jc w:val="center"/>
              <w:rPr>
                <w:rFonts w:asciiTheme="minorHAnsi" w:hAnsiTheme="minorHAnsi" w:cstheme="minorHAnsi"/>
                <w:color w:val="000000"/>
                <w:sz w:val="16"/>
                <w:szCs w:val="16"/>
              </w:rPr>
            </w:pPr>
            <w:r w:rsidRPr="004A3071">
              <w:rPr>
                <w:rFonts w:asciiTheme="minorHAnsi" w:hAnsiTheme="minorHAnsi" w:cstheme="minorHAnsi"/>
                <w:color w:val="000000"/>
                <w:sz w:val="16"/>
                <w:szCs w:val="16"/>
              </w:rPr>
              <w:t> </w:t>
            </w:r>
          </w:p>
        </w:tc>
      </w:tr>
      <w:tr w:rsidR="009563B4" w:rsidRPr="004A3071" w14:paraId="51648378" w14:textId="77777777" w:rsidTr="004A3071">
        <w:trPr>
          <w:cantSplit/>
        </w:trPr>
        <w:tc>
          <w:tcPr>
            <w:tcW w:w="1870" w:type="dxa"/>
            <w:vMerge w:val="restart"/>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51E8B23" w14:textId="77777777" w:rsidR="009563B4" w:rsidRPr="004A3071" w:rsidRDefault="009563B4" w:rsidP="00481CA4">
            <w:pPr>
              <w:rPr>
                <w:rFonts w:asciiTheme="minorHAnsi" w:hAnsiTheme="minorHAnsi" w:cstheme="minorHAnsi"/>
                <w:color w:val="000000"/>
                <w:sz w:val="16"/>
                <w:szCs w:val="16"/>
              </w:rPr>
            </w:pPr>
            <w:r w:rsidRPr="004A3071">
              <w:rPr>
                <w:rFonts w:asciiTheme="minorHAnsi" w:hAnsiTheme="minorHAnsi" w:cstheme="minorHAnsi"/>
                <w:color w:val="000000"/>
                <w:sz w:val="16"/>
                <w:szCs w:val="16"/>
              </w:rPr>
              <w:t>Ministry of Territorial Administration (MAT)</w:t>
            </w:r>
          </w:p>
        </w:tc>
        <w:tc>
          <w:tcPr>
            <w:tcW w:w="1870" w:type="dxa"/>
            <w:tcBorders>
              <w:top w:val="nil"/>
              <w:left w:val="single" w:sz="4" w:space="0" w:color="auto"/>
              <w:bottom w:val="nil"/>
              <w:right w:val="single" w:sz="4" w:space="0" w:color="000000" w:themeColor="text1"/>
            </w:tcBorders>
            <w:shd w:val="clear" w:color="auto" w:fill="FFFFFF" w:themeFill="background1"/>
            <w:vAlign w:val="center"/>
          </w:tcPr>
          <w:p w14:paraId="7FCC68CC" w14:textId="77777777" w:rsidR="009563B4" w:rsidRPr="004A3071" w:rsidRDefault="009563B4" w:rsidP="00481CA4">
            <w:pPr>
              <w:jc w:val="center"/>
              <w:rPr>
                <w:rFonts w:asciiTheme="minorHAnsi" w:hAnsiTheme="minorHAnsi" w:cstheme="minorHAnsi"/>
                <w:color w:val="000000"/>
                <w:sz w:val="16"/>
                <w:szCs w:val="16"/>
              </w:rPr>
            </w:pPr>
            <w:r w:rsidRPr="004A3071">
              <w:rPr>
                <w:rFonts w:asciiTheme="minorHAnsi" w:hAnsiTheme="minorHAnsi" w:cstheme="minorHAnsi"/>
                <w:color w:val="000000"/>
                <w:sz w:val="16"/>
                <w:szCs w:val="16"/>
              </w:rPr>
              <w:t>Indirect Beneficiary</w:t>
            </w:r>
          </w:p>
        </w:tc>
        <w:tc>
          <w:tcPr>
            <w:tcW w:w="1870" w:type="dxa"/>
            <w:tcBorders>
              <w:top w:val="nil"/>
              <w:left w:val="single" w:sz="4" w:space="0" w:color="000000" w:themeColor="text1"/>
              <w:bottom w:val="nil"/>
              <w:right w:val="single" w:sz="4" w:space="0" w:color="000000" w:themeColor="text1"/>
            </w:tcBorders>
            <w:shd w:val="clear" w:color="auto" w:fill="DDEBF7"/>
            <w:vAlign w:val="center"/>
          </w:tcPr>
          <w:p w14:paraId="5FDD44F5" w14:textId="77777777" w:rsidR="009563B4" w:rsidRPr="004A3071" w:rsidRDefault="009563B4" w:rsidP="00481CA4">
            <w:pPr>
              <w:jc w:val="center"/>
              <w:rPr>
                <w:rFonts w:asciiTheme="minorHAnsi" w:hAnsiTheme="minorHAnsi" w:cstheme="minorHAnsi"/>
                <w:b/>
                <w:bCs/>
                <w:color w:val="000000"/>
                <w:sz w:val="16"/>
                <w:szCs w:val="16"/>
              </w:rPr>
            </w:pPr>
            <w:r w:rsidRPr="004A3071">
              <w:rPr>
                <w:rFonts w:asciiTheme="minorHAnsi" w:hAnsiTheme="minorHAnsi" w:cstheme="minorHAnsi"/>
                <w:b/>
                <w:bCs/>
                <w:color w:val="000000"/>
                <w:sz w:val="16"/>
                <w:szCs w:val="16"/>
              </w:rPr>
              <w:t>National Government Institution/body</w:t>
            </w:r>
          </w:p>
        </w:tc>
        <w:tc>
          <w:tcPr>
            <w:tcW w:w="1870" w:type="dxa"/>
            <w:tcBorders>
              <w:top w:val="nil"/>
              <w:left w:val="single" w:sz="4" w:space="0" w:color="000000" w:themeColor="text1"/>
              <w:bottom w:val="nil"/>
              <w:right w:val="single" w:sz="4" w:space="0" w:color="000000" w:themeColor="text1"/>
            </w:tcBorders>
            <w:shd w:val="clear" w:color="auto" w:fill="FFFFFF" w:themeFill="background1"/>
            <w:vAlign w:val="center"/>
          </w:tcPr>
          <w:p w14:paraId="46AB45BE" w14:textId="77777777" w:rsidR="009563B4" w:rsidRPr="004A3071" w:rsidRDefault="009563B4" w:rsidP="00481CA4">
            <w:pPr>
              <w:jc w:val="center"/>
              <w:rPr>
                <w:rFonts w:asciiTheme="minorHAnsi" w:hAnsiTheme="minorHAnsi" w:cstheme="minorHAnsi"/>
                <w:color w:val="000000"/>
                <w:sz w:val="16"/>
                <w:szCs w:val="16"/>
              </w:rPr>
            </w:pPr>
            <w:r w:rsidRPr="004A3071">
              <w:rPr>
                <w:rFonts w:asciiTheme="minorHAnsi" w:hAnsiTheme="minorHAnsi" w:cstheme="minorHAnsi"/>
                <w:color w:val="000000"/>
                <w:sz w:val="16"/>
                <w:szCs w:val="16"/>
              </w:rPr>
              <w:t>Face-to-face meetings</w:t>
            </w:r>
          </w:p>
        </w:tc>
        <w:tc>
          <w:tcPr>
            <w:tcW w:w="2296" w:type="dxa"/>
            <w:tcBorders>
              <w:top w:val="nil"/>
              <w:left w:val="single" w:sz="4" w:space="0" w:color="000000" w:themeColor="text1"/>
              <w:bottom w:val="nil"/>
              <w:right w:val="single" w:sz="4" w:space="0" w:color="000000" w:themeColor="text1"/>
            </w:tcBorders>
            <w:shd w:val="clear" w:color="auto" w:fill="FFFFFF" w:themeFill="background1"/>
            <w:vAlign w:val="center"/>
          </w:tcPr>
          <w:p w14:paraId="339F6297" w14:textId="677C3404" w:rsidR="009563B4" w:rsidRPr="004A3071" w:rsidRDefault="41503843" w:rsidP="00481CA4">
            <w:pPr>
              <w:jc w:val="center"/>
              <w:rPr>
                <w:rFonts w:asciiTheme="minorHAnsi" w:hAnsiTheme="minorHAnsi" w:cstheme="minorHAnsi"/>
                <w:color w:val="000000"/>
                <w:sz w:val="16"/>
                <w:szCs w:val="16"/>
              </w:rPr>
            </w:pPr>
            <w:r w:rsidRPr="004A3071">
              <w:rPr>
                <w:rFonts w:asciiTheme="minorHAnsi" w:hAnsiTheme="minorHAnsi" w:cstheme="minorHAnsi"/>
                <w:color w:val="000000" w:themeColor="text1"/>
                <w:sz w:val="16"/>
                <w:szCs w:val="16"/>
              </w:rPr>
              <w:t xml:space="preserve">MAT will give institutional support for the engagement of local government and traditional authorities that are under its tutelage </w:t>
            </w:r>
            <w:r w:rsidR="64CBAC26" w:rsidRPr="004A3071">
              <w:rPr>
                <w:rFonts w:asciiTheme="minorHAnsi" w:hAnsiTheme="minorHAnsi" w:cstheme="minorHAnsi"/>
                <w:color w:val="000000" w:themeColor="text1"/>
                <w:sz w:val="16"/>
                <w:szCs w:val="16"/>
              </w:rPr>
              <w:t> </w:t>
            </w:r>
          </w:p>
        </w:tc>
        <w:tc>
          <w:tcPr>
            <w:tcW w:w="1870" w:type="dxa"/>
            <w:tcBorders>
              <w:top w:val="nil"/>
              <w:left w:val="single" w:sz="4" w:space="0" w:color="000000" w:themeColor="text1"/>
              <w:bottom w:val="nil"/>
              <w:right w:val="single" w:sz="4" w:space="0" w:color="000000" w:themeColor="text1"/>
            </w:tcBorders>
            <w:shd w:val="clear" w:color="auto" w:fill="FFFFFF" w:themeFill="background1"/>
            <w:vAlign w:val="center"/>
          </w:tcPr>
          <w:p w14:paraId="04960929" w14:textId="0798C63F" w:rsidR="009563B4" w:rsidRPr="004A3071" w:rsidRDefault="0449C16A" w:rsidP="00481CA4">
            <w:pPr>
              <w:jc w:val="center"/>
              <w:rPr>
                <w:rFonts w:asciiTheme="minorHAnsi" w:hAnsiTheme="minorHAnsi" w:cstheme="minorHAnsi"/>
                <w:color w:val="000000"/>
                <w:sz w:val="16"/>
                <w:szCs w:val="16"/>
              </w:rPr>
            </w:pPr>
            <w:r w:rsidRPr="004A3071">
              <w:rPr>
                <w:rFonts w:asciiTheme="minorHAnsi" w:hAnsiTheme="minorHAnsi" w:cstheme="minorHAnsi"/>
                <w:color w:val="000000" w:themeColor="text1"/>
                <w:sz w:val="16"/>
                <w:szCs w:val="16"/>
              </w:rPr>
              <w:t>During the implementation phase</w:t>
            </w:r>
          </w:p>
        </w:tc>
        <w:tc>
          <w:tcPr>
            <w:tcW w:w="1870" w:type="dxa"/>
            <w:tcBorders>
              <w:top w:val="nil"/>
              <w:left w:val="single" w:sz="4" w:space="0" w:color="000000" w:themeColor="text1"/>
              <w:bottom w:val="nil"/>
              <w:right w:val="single" w:sz="4" w:space="0" w:color="auto"/>
            </w:tcBorders>
            <w:shd w:val="clear" w:color="auto" w:fill="FFFFFF" w:themeFill="background1"/>
            <w:vAlign w:val="center"/>
          </w:tcPr>
          <w:p w14:paraId="0AEA1641" w14:textId="77777777" w:rsidR="009563B4" w:rsidRPr="004A3071" w:rsidRDefault="009563B4" w:rsidP="00481CA4">
            <w:pPr>
              <w:jc w:val="center"/>
              <w:rPr>
                <w:rFonts w:asciiTheme="minorHAnsi" w:hAnsiTheme="minorHAnsi" w:cstheme="minorHAnsi"/>
                <w:color w:val="000000"/>
                <w:sz w:val="16"/>
                <w:szCs w:val="16"/>
              </w:rPr>
            </w:pPr>
            <w:r w:rsidRPr="004A3071">
              <w:rPr>
                <w:rFonts w:asciiTheme="minorHAnsi" w:hAnsiTheme="minorHAnsi" w:cstheme="minorHAnsi"/>
                <w:color w:val="000000"/>
                <w:sz w:val="16"/>
                <w:szCs w:val="16"/>
              </w:rPr>
              <w:t> </w:t>
            </w:r>
          </w:p>
        </w:tc>
      </w:tr>
      <w:tr w:rsidR="009563B4" w:rsidRPr="004A3071" w14:paraId="26A332E7" w14:textId="77777777" w:rsidTr="004A3071">
        <w:trPr>
          <w:cantSplit/>
        </w:trPr>
        <w:tc>
          <w:tcPr>
            <w:tcW w:w="1870" w:type="dxa"/>
            <w:vMerge/>
            <w:tcBorders>
              <w:top w:val="single" w:sz="4" w:space="0" w:color="auto"/>
              <w:left w:val="single" w:sz="4" w:space="0" w:color="auto"/>
              <w:bottom w:val="single" w:sz="4" w:space="0" w:color="auto"/>
            </w:tcBorders>
            <w:vAlign w:val="center"/>
          </w:tcPr>
          <w:p w14:paraId="181473DA" w14:textId="77777777" w:rsidR="009563B4" w:rsidRPr="004A3071" w:rsidRDefault="009563B4" w:rsidP="00481CA4">
            <w:pPr>
              <w:rPr>
                <w:rFonts w:asciiTheme="minorHAnsi" w:hAnsiTheme="minorHAnsi" w:cstheme="minorHAnsi"/>
                <w:color w:val="000000"/>
                <w:sz w:val="16"/>
                <w:szCs w:val="16"/>
              </w:rPr>
            </w:pPr>
          </w:p>
        </w:tc>
        <w:tc>
          <w:tcPr>
            <w:tcW w:w="1870" w:type="dxa"/>
            <w:tcBorders>
              <w:top w:val="nil"/>
              <w:left w:val="single" w:sz="4" w:space="0" w:color="auto"/>
              <w:bottom w:val="single" w:sz="4" w:space="0" w:color="auto"/>
              <w:right w:val="single" w:sz="4" w:space="0" w:color="000000" w:themeColor="text1"/>
            </w:tcBorders>
            <w:shd w:val="clear" w:color="auto" w:fill="FFFFFF" w:themeFill="background1"/>
            <w:vAlign w:val="center"/>
          </w:tcPr>
          <w:p w14:paraId="63AD4331" w14:textId="77777777" w:rsidR="009563B4" w:rsidRPr="004A3071" w:rsidRDefault="009563B4" w:rsidP="00481CA4">
            <w:pPr>
              <w:jc w:val="center"/>
              <w:rPr>
                <w:rFonts w:asciiTheme="minorHAnsi" w:hAnsiTheme="minorHAnsi" w:cstheme="minorHAnsi"/>
                <w:color w:val="000000"/>
                <w:sz w:val="16"/>
                <w:szCs w:val="16"/>
              </w:rPr>
            </w:pPr>
          </w:p>
        </w:tc>
        <w:tc>
          <w:tcPr>
            <w:tcW w:w="1870" w:type="dxa"/>
            <w:tcBorders>
              <w:top w:val="nil"/>
              <w:left w:val="single" w:sz="4" w:space="0" w:color="000000" w:themeColor="text1"/>
              <w:bottom w:val="single" w:sz="4" w:space="0" w:color="auto"/>
              <w:right w:val="single" w:sz="4" w:space="0" w:color="000000" w:themeColor="text1"/>
            </w:tcBorders>
            <w:shd w:val="clear" w:color="auto" w:fill="DDEBF7"/>
            <w:vAlign w:val="center"/>
          </w:tcPr>
          <w:p w14:paraId="08F79635" w14:textId="77777777" w:rsidR="009563B4" w:rsidRPr="004A3071" w:rsidRDefault="009563B4" w:rsidP="00481CA4">
            <w:pPr>
              <w:jc w:val="center"/>
              <w:rPr>
                <w:rFonts w:asciiTheme="minorHAnsi" w:hAnsiTheme="minorHAnsi" w:cstheme="minorHAnsi"/>
                <w:b/>
                <w:bCs/>
                <w:color w:val="000000"/>
                <w:sz w:val="16"/>
                <w:szCs w:val="16"/>
              </w:rPr>
            </w:pPr>
            <w:r w:rsidRPr="004A3071">
              <w:rPr>
                <w:rFonts w:asciiTheme="minorHAnsi" w:hAnsiTheme="minorHAnsi" w:cstheme="minorHAnsi"/>
                <w:b/>
                <w:bCs/>
                <w:color w:val="000000"/>
                <w:sz w:val="16"/>
                <w:szCs w:val="16"/>
              </w:rPr>
              <w:t> </w:t>
            </w:r>
          </w:p>
        </w:tc>
        <w:tc>
          <w:tcPr>
            <w:tcW w:w="1870" w:type="dxa"/>
            <w:tcBorders>
              <w:top w:val="nil"/>
              <w:left w:val="single" w:sz="4" w:space="0" w:color="000000" w:themeColor="text1"/>
              <w:bottom w:val="single" w:sz="4" w:space="0" w:color="auto"/>
              <w:right w:val="single" w:sz="4" w:space="0" w:color="000000" w:themeColor="text1"/>
            </w:tcBorders>
            <w:shd w:val="clear" w:color="auto" w:fill="FFFFFF" w:themeFill="background1"/>
            <w:vAlign w:val="center"/>
          </w:tcPr>
          <w:p w14:paraId="1D4A15D8" w14:textId="77777777" w:rsidR="009563B4" w:rsidRPr="004A3071" w:rsidRDefault="009563B4" w:rsidP="00481CA4">
            <w:pPr>
              <w:jc w:val="center"/>
              <w:rPr>
                <w:rFonts w:asciiTheme="minorHAnsi" w:hAnsiTheme="minorHAnsi" w:cstheme="minorHAnsi"/>
                <w:color w:val="000000"/>
                <w:sz w:val="16"/>
                <w:szCs w:val="16"/>
              </w:rPr>
            </w:pPr>
            <w:r w:rsidRPr="004A3071">
              <w:rPr>
                <w:rFonts w:asciiTheme="minorHAnsi" w:hAnsiTheme="minorHAnsi" w:cstheme="minorHAnsi"/>
                <w:color w:val="000000"/>
                <w:sz w:val="16"/>
                <w:szCs w:val="16"/>
              </w:rPr>
              <w:t>PGG inception and validation workshops</w:t>
            </w:r>
          </w:p>
        </w:tc>
        <w:tc>
          <w:tcPr>
            <w:tcW w:w="2296" w:type="dxa"/>
            <w:tcBorders>
              <w:top w:val="nil"/>
              <w:left w:val="single" w:sz="4" w:space="0" w:color="000000" w:themeColor="text1"/>
              <w:bottom w:val="single" w:sz="4" w:space="0" w:color="auto"/>
              <w:right w:val="single" w:sz="4" w:space="0" w:color="000000" w:themeColor="text1"/>
            </w:tcBorders>
            <w:shd w:val="clear" w:color="auto" w:fill="FFFFFF" w:themeFill="background1"/>
            <w:vAlign w:val="center"/>
          </w:tcPr>
          <w:p w14:paraId="3E34C7DA" w14:textId="77777777" w:rsidR="009563B4" w:rsidRPr="004A3071" w:rsidRDefault="009563B4" w:rsidP="00481CA4">
            <w:pPr>
              <w:jc w:val="center"/>
              <w:rPr>
                <w:rFonts w:asciiTheme="minorHAnsi" w:hAnsiTheme="minorHAnsi" w:cstheme="minorHAnsi"/>
                <w:color w:val="000000"/>
                <w:sz w:val="16"/>
                <w:szCs w:val="16"/>
              </w:rPr>
            </w:pPr>
            <w:r w:rsidRPr="004A3071">
              <w:rPr>
                <w:rFonts w:asciiTheme="minorHAnsi" w:hAnsiTheme="minorHAnsi" w:cstheme="minorHAnsi"/>
                <w:color w:val="000000"/>
                <w:sz w:val="16"/>
                <w:szCs w:val="16"/>
              </w:rPr>
              <w:t> </w:t>
            </w:r>
          </w:p>
        </w:tc>
        <w:tc>
          <w:tcPr>
            <w:tcW w:w="1870" w:type="dxa"/>
            <w:tcBorders>
              <w:top w:val="nil"/>
              <w:left w:val="single" w:sz="4" w:space="0" w:color="000000" w:themeColor="text1"/>
              <w:bottom w:val="single" w:sz="4" w:space="0" w:color="auto"/>
              <w:right w:val="single" w:sz="4" w:space="0" w:color="000000" w:themeColor="text1"/>
            </w:tcBorders>
            <w:shd w:val="clear" w:color="auto" w:fill="FFFFFF" w:themeFill="background1"/>
            <w:vAlign w:val="center"/>
          </w:tcPr>
          <w:p w14:paraId="09E3BB82" w14:textId="65BD8E2D" w:rsidR="009563B4" w:rsidRPr="004A3071" w:rsidRDefault="5253949C" w:rsidP="00481CA4">
            <w:pPr>
              <w:jc w:val="center"/>
              <w:rPr>
                <w:rFonts w:asciiTheme="minorHAnsi" w:hAnsiTheme="minorHAnsi" w:cstheme="minorHAnsi"/>
                <w:color w:val="000000"/>
                <w:sz w:val="16"/>
                <w:szCs w:val="16"/>
              </w:rPr>
            </w:pPr>
            <w:r w:rsidRPr="004A3071">
              <w:rPr>
                <w:rFonts w:asciiTheme="minorHAnsi" w:hAnsiTheme="minorHAnsi" w:cstheme="minorHAnsi"/>
                <w:color w:val="000000" w:themeColor="text1"/>
                <w:sz w:val="16"/>
                <w:szCs w:val="16"/>
              </w:rPr>
              <w:t xml:space="preserve"> </w:t>
            </w:r>
            <w:r w:rsidR="009563B4" w:rsidRPr="004A3071">
              <w:rPr>
                <w:rFonts w:asciiTheme="minorHAnsi" w:hAnsiTheme="minorHAnsi" w:cstheme="minorHAnsi"/>
                <w:color w:val="000000" w:themeColor="text1"/>
                <w:sz w:val="16"/>
                <w:szCs w:val="16"/>
              </w:rPr>
              <w:t> </w:t>
            </w:r>
          </w:p>
        </w:tc>
        <w:tc>
          <w:tcPr>
            <w:tcW w:w="1870" w:type="dxa"/>
            <w:tcBorders>
              <w:top w:val="nil"/>
              <w:left w:val="single" w:sz="4" w:space="0" w:color="000000" w:themeColor="text1"/>
              <w:bottom w:val="single" w:sz="4" w:space="0" w:color="auto"/>
              <w:right w:val="single" w:sz="4" w:space="0" w:color="auto"/>
            </w:tcBorders>
            <w:shd w:val="clear" w:color="auto" w:fill="FFFFFF" w:themeFill="background1"/>
            <w:vAlign w:val="center"/>
          </w:tcPr>
          <w:p w14:paraId="009D1E61" w14:textId="77777777" w:rsidR="009563B4" w:rsidRPr="004A3071" w:rsidRDefault="009563B4" w:rsidP="00481CA4">
            <w:pPr>
              <w:jc w:val="center"/>
              <w:rPr>
                <w:rFonts w:asciiTheme="minorHAnsi" w:hAnsiTheme="minorHAnsi" w:cstheme="minorHAnsi"/>
                <w:color w:val="000000"/>
                <w:sz w:val="16"/>
                <w:szCs w:val="16"/>
              </w:rPr>
            </w:pPr>
            <w:r w:rsidRPr="004A3071">
              <w:rPr>
                <w:rFonts w:asciiTheme="minorHAnsi" w:hAnsiTheme="minorHAnsi" w:cstheme="minorHAnsi"/>
                <w:color w:val="000000"/>
                <w:sz w:val="16"/>
                <w:szCs w:val="16"/>
              </w:rPr>
              <w:t> </w:t>
            </w:r>
          </w:p>
        </w:tc>
      </w:tr>
      <w:tr w:rsidR="009563B4" w:rsidRPr="004A3071" w14:paraId="1A133F03" w14:textId="77777777" w:rsidTr="004A3071">
        <w:trPr>
          <w:cantSplit/>
        </w:trPr>
        <w:tc>
          <w:tcPr>
            <w:tcW w:w="187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DE47C38" w14:textId="388778AF" w:rsidR="009563B4" w:rsidRPr="004A3071" w:rsidRDefault="009563B4" w:rsidP="00481CA4">
            <w:pPr>
              <w:rPr>
                <w:rFonts w:asciiTheme="minorHAnsi" w:hAnsiTheme="minorHAnsi" w:cstheme="minorHAnsi"/>
                <w:color w:val="000000"/>
                <w:sz w:val="16"/>
                <w:szCs w:val="16"/>
              </w:rPr>
            </w:pPr>
            <w:r w:rsidRPr="004A3071">
              <w:rPr>
                <w:rFonts w:asciiTheme="minorHAnsi" w:hAnsiTheme="minorHAnsi" w:cstheme="minorHAnsi"/>
                <w:color w:val="000000" w:themeColor="text1"/>
                <w:sz w:val="16"/>
                <w:szCs w:val="16"/>
              </w:rPr>
              <w:t xml:space="preserve">Ministry of </w:t>
            </w:r>
            <w:r w:rsidR="7F3C005D" w:rsidRPr="004A3071">
              <w:rPr>
                <w:rFonts w:asciiTheme="minorHAnsi" w:hAnsiTheme="minorHAnsi" w:cstheme="minorHAnsi"/>
                <w:color w:val="000000" w:themeColor="text1"/>
                <w:sz w:val="16"/>
                <w:szCs w:val="16"/>
              </w:rPr>
              <w:t xml:space="preserve">Social Action </w:t>
            </w:r>
            <w:r w:rsidRPr="004A3071">
              <w:rPr>
                <w:rFonts w:asciiTheme="minorHAnsi" w:hAnsiTheme="minorHAnsi" w:cstheme="minorHAnsi"/>
                <w:color w:val="000000" w:themeColor="text1"/>
                <w:sz w:val="16"/>
                <w:szCs w:val="16"/>
              </w:rPr>
              <w:t xml:space="preserve">, Family and </w:t>
            </w:r>
            <w:r w:rsidR="12DEFF64" w:rsidRPr="004A3071">
              <w:rPr>
                <w:rFonts w:asciiTheme="minorHAnsi" w:hAnsiTheme="minorHAnsi" w:cstheme="minorHAnsi"/>
                <w:color w:val="000000" w:themeColor="text1"/>
                <w:sz w:val="16"/>
                <w:szCs w:val="16"/>
              </w:rPr>
              <w:t xml:space="preserve">Women Promotion </w:t>
            </w:r>
            <w:r w:rsidRPr="004A3071">
              <w:rPr>
                <w:rFonts w:asciiTheme="minorHAnsi" w:hAnsiTheme="minorHAnsi" w:cstheme="minorHAnsi"/>
                <w:color w:val="000000" w:themeColor="text1"/>
                <w:sz w:val="16"/>
                <w:szCs w:val="16"/>
              </w:rPr>
              <w:t xml:space="preserve"> (MASFAMU)</w:t>
            </w:r>
          </w:p>
        </w:tc>
        <w:tc>
          <w:tcPr>
            <w:tcW w:w="1870" w:type="dxa"/>
            <w:tcBorders>
              <w:top w:val="nil"/>
              <w:left w:val="single" w:sz="4" w:space="0" w:color="auto"/>
              <w:bottom w:val="single" w:sz="4" w:space="0" w:color="auto"/>
              <w:right w:val="single" w:sz="4" w:space="0" w:color="000000" w:themeColor="text1"/>
            </w:tcBorders>
            <w:shd w:val="clear" w:color="auto" w:fill="FFFFFF" w:themeFill="background1"/>
            <w:vAlign w:val="center"/>
          </w:tcPr>
          <w:p w14:paraId="217E4D72" w14:textId="77777777" w:rsidR="009563B4" w:rsidRPr="004A3071" w:rsidRDefault="009563B4" w:rsidP="00481CA4">
            <w:pPr>
              <w:jc w:val="center"/>
              <w:rPr>
                <w:rFonts w:asciiTheme="minorHAnsi" w:hAnsiTheme="minorHAnsi" w:cstheme="minorHAnsi"/>
                <w:color w:val="000000"/>
                <w:sz w:val="16"/>
                <w:szCs w:val="16"/>
              </w:rPr>
            </w:pPr>
            <w:r w:rsidRPr="004A3071">
              <w:rPr>
                <w:rFonts w:asciiTheme="minorHAnsi" w:hAnsiTheme="minorHAnsi" w:cstheme="minorHAnsi"/>
                <w:color w:val="000000"/>
                <w:sz w:val="16"/>
                <w:szCs w:val="16"/>
              </w:rPr>
              <w:t>Indirect Beneficiary</w:t>
            </w:r>
          </w:p>
        </w:tc>
        <w:tc>
          <w:tcPr>
            <w:tcW w:w="1870" w:type="dxa"/>
            <w:tcBorders>
              <w:top w:val="nil"/>
              <w:left w:val="single" w:sz="4" w:space="0" w:color="000000" w:themeColor="text1"/>
              <w:bottom w:val="single" w:sz="4" w:space="0" w:color="auto"/>
              <w:right w:val="single" w:sz="4" w:space="0" w:color="000000" w:themeColor="text1"/>
            </w:tcBorders>
            <w:shd w:val="clear" w:color="auto" w:fill="DDEBF7"/>
            <w:vAlign w:val="center"/>
          </w:tcPr>
          <w:p w14:paraId="056DC929" w14:textId="77777777" w:rsidR="009563B4" w:rsidRPr="004A3071" w:rsidRDefault="009563B4" w:rsidP="00481CA4">
            <w:pPr>
              <w:jc w:val="center"/>
              <w:rPr>
                <w:rFonts w:asciiTheme="minorHAnsi" w:hAnsiTheme="minorHAnsi" w:cstheme="minorHAnsi"/>
                <w:b/>
                <w:bCs/>
                <w:color w:val="000000"/>
                <w:sz w:val="16"/>
                <w:szCs w:val="16"/>
              </w:rPr>
            </w:pPr>
            <w:r w:rsidRPr="004A3071">
              <w:rPr>
                <w:rFonts w:asciiTheme="minorHAnsi" w:hAnsiTheme="minorHAnsi" w:cstheme="minorHAnsi"/>
                <w:b/>
                <w:bCs/>
                <w:color w:val="000000"/>
                <w:sz w:val="16"/>
                <w:szCs w:val="16"/>
              </w:rPr>
              <w:t>National Government Institution/body</w:t>
            </w:r>
          </w:p>
        </w:tc>
        <w:tc>
          <w:tcPr>
            <w:tcW w:w="1870" w:type="dxa"/>
            <w:tcBorders>
              <w:top w:val="nil"/>
              <w:left w:val="single" w:sz="4" w:space="0" w:color="000000" w:themeColor="text1"/>
              <w:bottom w:val="single" w:sz="4" w:space="0" w:color="auto"/>
              <w:right w:val="single" w:sz="4" w:space="0" w:color="000000" w:themeColor="text1"/>
            </w:tcBorders>
            <w:shd w:val="clear" w:color="auto" w:fill="FFFFFF" w:themeFill="background1"/>
            <w:vAlign w:val="center"/>
          </w:tcPr>
          <w:p w14:paraId="5FCAECF4" w14:textId="77777777" w:rsidR="009563B4" w:rsidRPr="004A3071" w:rsidRDefault="009563B4" w:rsidP="00481CA4">
            <w:pPr>
              <w:jc w:val="center"/>
              <w:rPr>
                <w:rFonts w:asciiTheme="minorHAnsi" w:hAnsiTheme="minorHAnsi" w:cstheme="minorHAnsi"/>
                <w:color w:val="000000"/>
                <w:sz w:val="16"/>
                <w:szCs w:val="16"/>
              </w:rPr>
            </w:pPr>
            <w:r w:rsidRPr="004A3071">
              <w:rPr>
                <w:rFonts w:asciiTheme="minorHAnsi" w:hAnsiTheme="minorHAnsi" w:cstheme="minorHAnsi"/>
                <w:color w:val="000000"/>
                <w:sz w:val="16"/>
                <w:szCs w:val="16"/>
              </w:rPr>
              <w:t>Face-to-face meetings PGG inception and validation workshops</w:t>
            </w:r>
          </w:p>
        </w:tc>
        <w:tc>
          <w:tcPr>
            <w:tcW w:w="2296" w:type="dxa"/>
            <w:tcBorders>
              <w:top w:val="nil"/>
              <w:left w:val="single" w:sz="4" w:space="0" w:color="000000" w:themeColor="text1"/>
              <w:bottom w:val="single" w:sz="4" w:space="0" w:color="auto"/>
              <w:right w:val="single" w:sz="4" w:space="0" w:color="000000" w:themeColor="text1"/>
            </w:tcBorders>
            <w:shd w:val="clear" w:color="auto" w:fill="FFFFFF" w:themeFill="background1"/>
            <w:vAlign w:val="center"/>
          </w:tcPr>
          <w:p w14:paraId="06F13C4A" w14:textId="02268451" w:rsidR="009563B4" w:rsidRPr="004A3071" w:rsidRDefault="7454A3B0" w:rsidP="00481CA4">
            <w:pPr>
              <w:jc w:val="center"/>
              <w:rPr>
                <w:rFonts w:asciiTheme="minorHAnsi" w:hAnsiTheme="minorHAnsi" w:cstheme="minorHAnsi"/>
                <w:color w:val="000000"/>
                <w:sz w:val="16"/>
                <w:szCs w:val="16"/>
              </w:rPr>
            </w:pPr>
            <w:r w:rsidRPr="004A3071">
              <w:rPr>
                <w:rFonts w:asciiTheme="minorHAnsi" w:hAnsiTheme="minorHAnsi" w:cstheme="minorHAnsi"/>
                <w:color w:val="000000" w:themeColor="text1"/>
                <w:sz w:val="16"/>
                <w:szCs w:val="16"/>
              </w:rPr>
              <w:t xml:space="preserve">Gender engagement is a priority for the project </w:t>
            </w:r>
            <w:r w:rsidR="64CBAC26" w:rsidRPr="004A3071">
              <w:rPr>
                <w:rFonts w:asciiTheme="minorHAnsi" w:hAnsiTheme="minorHAnsi" w:cstheme="minorHAnsi"/>
                <w:color w:val="000000" w:themeColor="text1"/>
                <w:sz w:val="16"/>
                <w:szCs w:val="16"/>
              </w:rPr>
              <w:t> </w:t>
            </w:r>
          </w:p>
        </w:tc>
        <w:tc>
          <w:tcPr>
            <w:tcW w:w="1870" w:type="dxa"/>
            <w:tcBorders>
              <w:top w:val="nil"/>
              <w:left w:val="single" w:sz="4" w:space="0" w:color="000000" w:themeColor="text1"/>
              <w:bottom w:val="single" w:sz="4" w:space="0" w:color="auto"/>
              <w:right w:val="single" w:sz="4" w:space="0" w:color="000000" w:themeColor="text1"/>
            </w:tcBorders>
            <w:shd w:val="clear" w:color="auto" w:fill="FFFFFF" w:themeFill="background1"/>
            <w:vAlign w:val="center"/>
          </w:tcPr>
          <w:p w14:paraId="6FA288B8" w14:textId="5993D2FD" w:rsidR="009563B4" w:rsidRPr="004A3071" w:rsidRDefault="3DA67550" w:rsidP="00481CA4">
            <w:pPr>
              <w:jc w:val="center"/>
              <w:rPr>
                <w:rFonts w:asciiTheme="minorHAnsi" w:hAnsiTheme="minorHAnsi" w:cstheme="minorHAnsi"/>
                <w:color w:val="000000"/>
                <w:sz w:val="16"/>
                <w:szCs w:val="16"/>
              </w:rPr>
            </w:pPr>
            <w:r w:rsidRPr="004A3071">
              <w:rPr>
                <w:rFonts w:asciiTheme="minorHAnsi" w:hAnsiTheme="minorHAnsi" w:cstheme="minorHAnsi"/>
                <w:color w:val="000000" w:themeColor="text1"/>
                <w:sz w:val="16"/>
                <w:szCs w:val="16"/>
              </w:rPr>
              <w:t xml:space="preserve">During the implementation phase </w:t>
            </w:r>
            <w:r w:rsidR="64CBAC26" w:rsidRPr="004A3071">
              <w:rPr>
                <w:rFonts w:asciiTheme="minorHAnsi" w:hAnsiTheme="minorHAnsi" w:cstheme="minorHAnsi"/>
                <w:color w:val="000000" w:themeColor="text1"/>
                <w:sz w:val="16"/>
                <w:szCs w:val="16"/>
              </w:rPr>
              <w:t> </w:t>
            </w:r>
          </w:p>
        </w:tc>
        <w:tc>
          <w:tcPr>
            <w:tcW w:w="1870" w:type="dxa"/>
            <w:tcBorders>
              <w:top w:val="nil"/>
              <w:left w:val="single" w:sz="4" w:space="0" w:color="000000" w:themeColor="text1"/>
              <w:bottom w:val="single" w:sz="4" w:space="0" w:color="auto"/>
              <w:right w:val="single" w:sz="4" w:space="0" w:color="auto"/>
            </w:tcBorders>
            <w:shd w:val="clear" w:color="auto" w:fill="FFFFFF" w:themeFill="background1"/>
            <w:vAlign w:val="center"/>
          </w:tcPr>
          <w:p w14:paraId="4963F0A1" w14:textId="77777777" w:rsidR="009563B4" w:rsidRPr="004A3071" w:rsidRDefault="009563B4" w:rsidP="00481CA4">
            <w:pPr>
              <w:jc w:val="center"/>
              <w:rPr>
                <w:rFonts w:asciiTheme="minorHAnsi" w:hAnsiTheme="minorHAnsi" w:cstheme="minorHAnsi"/>
                <w:color w:val="000000"/>
                <w:sz w:val="16"/>
                <w:szCs w:val="16"/>
              </w:rPr>
            </w:pPr>
            <w:r w:rsidRPr="004A3071">
              <w:rPr>
                <w:rFonts w:asciiTheme="minorHAnsi" w:hAnsiTheme="minorHAnsi" w:cstheme="minorHAnsi"/>
                <w:color w:val="000000"/>
                <w:sz w:val="16"/>
                <w:szCs w:val="16"/>
              </w:rPr>
              <w:t> </w:t>
            </w:r>
          </w:p>
        </w:tc>
      </w:tr>
      <w:tr w:rsidR="009563B4" w:rsidRPr="004A3071" w14:paraId="6A424FBE" w14:textId="77777777" w:rsidTr="001D154F">
        <w:trPr>
          <w:cantSplit/>
        </w:trPr>
        <w:tc>
          <w:tcPr>
            <w:tcW w:w="1870" w:type="dxa"/>
            <w:vMerge w:val="restart"/>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3212748" w14:textId="7CFFF083" w:rsidR="009563B4" w:rsidRPr="004A3071" w:rsidRDefault="009563B4" w:rsidP="00481CA4">
            <w:pPr>
              <w:rPr>
                <w:rFonts w:asciiTheme="minorHAnsi" w:hAnsiTheme="minorHAnsi" w:cstheme="minorHAnsi"/>
                <w:color w:val="000000"/>
                <w:sz w:val="16"/>
                <w:szCs w:val="16"/>
              </w:rPr>
            </w:pPr>
            <w:r w:rsidRPr="004A3071">
              <w:rPr>
                <w:rFonts w:asciiTheme="minorHAnsi" w:hAnsiTheme="minorHAnsi" w:cstheme="minorHAnsi"/>
                <w:color w:val="000000" w:themeColor="text1"/>
                <w:sz w:val="16"/>
                <w:szCs w:val="16"/>
              </w:rPr>
              <w:t>Ministry of Telecommunications</w:t>
            </w:r>
            <w:r w:rsidR="607BEF03" w:rsidRPr="004A3071">
              <w:rPr>
                <w:rFonts w:asciiTheme="minorHAnsi" w:hAnsiTheme="minorHAnsi" w:cstheme="minorHAnsi"/>
                <w:color w:val="000000" w:themeColor="text1"/>
                <w:sz w:val="16"/>
                <w:szCs w:val="16"/>
              </w:rPr>
              <w:t>,</w:t>
            </w:r>
            <w:r w:rsidRPr="004A3071">
              <w:rPr>
                <w:rFonts w:asciiTheme="minorHAnsi" w:hAnsiTheme="minorHAnsi" w:cstheme="minorHAnsi"/>
                <w:color w:val="000000" w:themeColor="text1"/>
                <w:sz w:val="16"/>
                <w:szCs w:val="16"/>
              </w:rPr>
              <w:t xml:space="preserve"> Information Technologies </w:t>
            </w:r>
            <w:r w:rsidR="1336A1D5" w:rsidRPr="004A3071">
              <w:rPr>
                <w:rFonts w:asciiTheme="minorHAnsi" w:hAnsiTheme="minorHAnsi" w:cstheme="minorHAnsi"/>
                <w:color w:val="000000" w:themeColor="text1"/>
                <w:sz w:val="16"/>
                <w:szCs w:val="16"/>
              </w:rPr>
              <w:t>and Social Communication</w:t>
            </w:r>
            <w:r w:rsidRPr="004A3071">
              <w:rPr>
                <w:rFonts w:asciiTheme="minorHAnsi" w:hAnsiTheme="minorHAnsi" w:cstheme="minorHAnsi"/>
                <w:color w:val="000000" w:themeColor="text1"/>
                <w:sz w:val="16"/>
                <w:szCs w:val="16"/>
              </w:rPr>
              <w:t xml:space="preserve"> (MTTI</w:t>
            </w:r>
            <w:r w:rsidR="31AB33FB" w:rsidRPr="004A3071">
              <w:rPr>
                <w:rFonts w:asciiTheme="minorHAnsi" w:hAnsiTheme="minorHAnsi" w:cstheme="minorHAnsi"/>
                <w:color w:val="000000" w:themeColor="text1"/>
                <w:sz w:val="16"/>
                <w:szCs w:val="16"/>
              </w:rPr>
              <w:t>CS</w:t>
            </w:r>
            <w:r w:rsidRPr="004A3071">
              <w:rPr>
                <w:rFonts w:asciiTheme="minorHAnsi" w:hAnsiTheme="minorHAnsi" w:cstheme="minorHAnsi"/>
                <w:color w:val="000000" w:themeColor="text1"/>
                <w:sz w:val="16"/>
                <w:szCs w:val="16"/>
              </w:rPr>
              <w:t xml:space="preserve"> - INAMET)</w:t>
            </w:r>
          </w:p>
        </w:tc>
        <w:tc>
          <w:tcPr>
            <w:tcW w:w="1870" w:type="dxa"/>
            <w:tcBorders>
              <w:top w:val="nil"/>
              <w:left w:val="single" w:sz="4" w:space="0" w:color="auto"/>
              <w:bottom w:val="nil"/>
              <w:right w:val="single" w:sz="4" w:space="0" w:color="000000" w:themeColor="text1"/>
            </w:tcBorders>
            <w:shd w:val="clear" w:color="auto" w:fill="FFFFFF" w:themeFill="background1"/>
            <w:vAlign w:val="center"/>
          </w:tcPr>
          <w:p w14:paraId="19ECBAFE" w14:textId="77777777" w:rsidR="009563B4" w:rsidRPr="004A3071" w:rsidRDefault="009563B4" w:rsidP="00481CA4">
            <w:pPr>
              <w:jc w:val="center"/>
              <w:rPr>
                <w:rFonts w:asciiTheme="minorHAnsi" w:hAnsiTheme="minorHAnsi" w:cstheme="minorHAnsi"/>
                <w:color w:val="000000"/>
                <w:sz w:val="16"/>
                <w:szCs w:val="16"/>
              </w:rPr>
            </w:pPr>
            <w:r w:rsidRPr="004A3071">
              <w:rPr>
                <w:rFonts w:asciiTheme="minorHAnsi" w:hAnsiTheme="minorHAnsi" w:cstheme="minorHAnsi"/>
                <w:color w:val="000000"/>
                <w:sz w:val="16"/>
                <w:szCs w:val="16"/>
              </w:rPr>
              <w:t>Indirect Beneficiary</w:t>
            </w:r>
          </w:p>
        </w:tc>
        <w:tc>
          <w:tcPr>
            <w:tcW w:w="1870" w:type="dxa"/>
            <w:tcBorders>
              <w:top w:val="nil"/>
              <w:left w:val="single" w:sz="4" w:space="0" w:color="000000" w:themeColor="text1"/>
              <w:bottom w:val="nil"/>
              <w:right w:val="single" w:sz="4" w:space="0" w:color="000000" w:themeColor="text1"/>
            </w:tcBorders>
            <w:shd w:val="clear" w:color="auto" w:fill="DDEBF7"/>
            <w:vAlign w:val="center"/>
          </w:tcPr>
          <w:p w14:paraId="29CE60D7" w14:textId="77777777" w:rsidR="009563B4" w:rsidRPr="004A3071" w:rsidRDefault="009563B4" w:rsidP="00481CA4">
            <w:pPr>
              <w:jc w:val="center"/>
              <w:rPr>
                <w:rFonts w:asciiTheme="minorHAnsi" w:hAnsiTheme="minorHAnsi" w:cstheme="minorHAnsi"/>
                <w:b/>
                <w:bCs/>
                <w:color w:val="000000"/>
                <w:sz w:val="16"/>
                <w:szCs w:val="16"/>
              </w:rPr>
            </w:pPr>
            <w:r w:rsidRPr="004A3071">
              <w:rPr>
                <w:rFonts w:asciiTheme="minorHAnsi" w:hAnsiTheme="minorHAnsi" w:cstheme="minorHAnsi"/>
                <w:b/>
                <w:bCs/>
                <w:color w:val="000000"/>
                <w:sz w:val="16"/>
                <w:szCs w:val="16"/>
              </w:rPr>
              <w:t>National Government Institution/body</w:t>
            </w:r>
          </w:p>
        </w:tc>
        <w:tc>
          <w:tcPr>
            <w:tcW w:w="1870" w:type="dxa"/>
            <w:tcBorders>
              <w:top w:val="nil"/>
              <w:left w:val="single" w:sz="4" w:space="0" w:color="000000" w:themeColor="text1"/>
              <w:bottom w:val="nil"/>
              <w:right w:val="single" w:sz="4" w:space="0" w:color="000000" w:themeColor="text1"/>
            </w:tcBorders>
            <w:shd w:val="clear" w:color="auto" w:fill="FFFFFF" w:themeFill="background1"/>
            <w:vAlign w:val="center"/>
          </w:tcPr>
          <w:p w14:paraId="6D65E547" w14:textId="77777777" w:rsidR="009563B4" w:rsidRPr="004A3071" w:rsidRDefault="009563B4" w:rsidP="00481CA4">
            <w:pPr>
              <w:jc w:val="center"/>
              <w:rPr>
                <w:rFonts w:asciiTheme="minorHAnsi" w:hAnsiTheme="minorHAnsi" w:cstheme="minorHAnsi"/>
                <w:color w:val="000000"/>
                <w:sz w:val="16"/>
                <w:szCs w:val="16"/>
              </w:rPr>
            </w:pPr>
            <w:r w:rsidRPr="004A3071">
              <w:rPr>
                <w:rFonts w:asciiTheme="minorHAnsi" w:hAnsiTheme="minorHAnsi" w:cstheme="minorHAnsi"/>
                <w:color w:val="000000"/>
                <w:sz w:val="16"/>
                <w:szCs w:val="16"/>
              </w:rPr>
              <w:t>Face-to-face meetings</w:t>
            </w:r>
          </w:p>
        </w:tc>
        <w:tc>
          <w:tcPr>
            <w:tcW w:w="2296" w:type="dxa"/>
            <w:tcBorders>
              <w:top w:val="nil"/>
              <w:left w:val="single" w:sz="4" w:space="0" w:color="000000" w:themeColor="text1"/>
              <w:bottom w:val="nil"/>
              <w:right w:val="single" w:sz="4" w:space="0" w:color="000000" w:themeColor="text1"/>
            </w:tcBorders>
            <w:shd w:val="clear" w:color="auto" w:fill="FFFFFF" w:themeFill="background1"/>
            <w:vAlign w:val="center"/>
          </w:tcPr>
          <w:p w14:paraId="7919D870" w14:textId="0DB5CD31" w:rsidR="009563B4" w:rsidRPr="004A3071" w:rsidRDefault="66733401" w:rsidP="00481CA4">
            <w:pPr>
              <w:jc w:val="center"/>
              <w:rPr>
                <w:rFonts w:asciiTheme="minorHAnsi" w:hAnsiTheme="minorHAnsi" w:cstheme="minorHAnsi"/>
                <w:color w:val="000000"/>
                <w:sz w:val="16"/>
                <w:szCs w:val="16"/>
              </w:rPr>
            </w:pPr>
            <w:r w:rsidRPr="004A3071">
              <w:rPr>
                <w:rFonts w:asciiTheme="minorHAnsi" w:hAnsiTheme="minorHAnsi" w:cstheme="minorHAnsi"/>
                <w:color w:val="000000" w:themeColor="text1"/>
                <w:sz w:val="16"/>
                <w:szCs w:val="16"/>
              </w:rPr>
              <w:t xml:space="preserve">INAMET will support the project with the meteorological data needed. </w:t>
            </w:r>
            <w:r w:rsidR="64CBAC26" w:rsidRPr="004A3071">
              <w:rPr>
                <w:rFonts w:asciiTheme="minorHAnsi" w:hAnsiTheme="minorHAnsi" w:cstheme="minorHAnsi"/>
                <w:color w:val="000000" w:themeColor="text1"/>
                <w:sz w:val="16"/>
                <w:szCs w:val="16"/>
              </w:rPr>
              <w:t> </w:t>
            </w:r>
          </w:p>
        </w:tc>
        <w:tc>
          <w:tcPr>
            <w:tcW w:w="1870" w:type="dxa"/>
            <w:tcBorders>
              <w:top w:val="nil"/>
              <w:left w:val="single" w:sz="4" w:space="0" w:color="000000" w:themeColor="text1"/>
              <w:bottom w:val="nil"/>
              <w:right w:val="single" w:sz="4" w:space="0" w:color="000000" w:themeColor="text1"/>
            </w:tcBorders>
            <w:shd w:val="clear" w:color="auto" w:fill="FFFFFF" w:themeFill="background1"/>
            <w:vAlign w:val="center"/>
          </w:tcPr>
          <w:p w14:paraId="6F91466F" w14:textId="4D2F12DB" w:rsidR="009563B4" w:rsidRPr="004A3071" w:rsidRDefault="4308409F" w:rsidP="00481CA4">
            <w:pPr>
              <w:jc w:val="center"/>
              <w:rPr>
                <w:rFonts w:asciiTheme="minorHAnsi" w:hAnsiTheme="minorHAnsi" w:cstheme="minorHAnsi"/>
                <w:color w:val="000000"/>
                <w:sz w:val="16"/>
                <w:szCs w:val="16"/>
              </w:rPr>
            </w:pPr>
            <w:r w:rsidRPr="004A3071">
              <w:rPr>
                <w:rFonts w:asciiTheme="minorHAnsi" w:hAnsiTheme="minorHAnsi" w:cstheme="minorHAnsi"/>
                <w:color w:val="000000" w:themeColor="text1"/>
                <w:sz w:val="16"/>
                <w:szCs w:val="16"/>
              </w:rPr>
              <w:t xml:space="preserve">During the implementation phase </w:t>
            </w:r>
            <w:r w:rsidR="64CBAC26" w:rsidRPr="004A3071">
              <w:rPr>
                <w:rFonts w:asciiTheme="minorHAnsi" w:hAnsiTheme="minorHAnsi" w:cstheme="minorHAnsi"/>
                <w:color w:val="000000" w:themeColor="text1"/>
                <w:sz w:val="16"/>
                <w:szCs w:val="16"/>
              </w:rPr>
              <w:t> </w:t>
            </w:r>
          </w:p>
        </w:tc>
        <w:tc>
          <w:tcPr>
            <w:tcW w:w="1870" w:type="dxa"/>
            <w:tcBorders>
              <w:top w:val="nil"/>
              <w:left w:val="single" w:sz="4" w:space="0" w:color="000000" w:themeColor="text1"/>
              <w:bottom w:val="nil"/>
              <w:right w:val="single" w:sz="4" w:space="0" w:color="auto"/>
            </w:tcBorders>
            <w:shd w:val="clear" w:color="auto" w:fill="FFFFFF" w:themeFill="background1"/>
            <w:vAlign w:val="center"/>
          </w:tcPr>
          <w:p w14:paraId="3347F302" w14:textId="77777777" w:rsidR="009563B4" w:rsidRPr="004A3071" w:rsidRDefault="009563B4" w:rsidP="00481CA4">
            <w:pPr>
              <w:jc w:val="center"/>
              <w:rPr>
                <w:rFonts w:asciiTheme="minorHAnsi" w:hAnsiTheme="minorHAnsi" w:cstheme="minorHAnsi"/>
                <w:color w:val="000000"/>
                <w:sz w:val="16"/>
                <w:szCs w:val="16"/>
              </w:rPr>
            </w:pPr>
            <w:r w:rsidRPr="004A3071">
              <w:rPr>
                <w:rFonts w:asciiTheme="minorHAnsi" w:hAnsiTheme="minorHAnsi" w:cstheme="minorHAnsi"/>
                <w:color w:val="000000"/>
                <w:sz w:val="16"/>
                <w:szCs w:val="16"/>
              </w:rPr>
              <w:t> </w:t>
            </w:r>
          </w:p>
        </w:tc>
      </w:tr>
      <w:tr w:rsidR="009563B4" w:rsidRPr="004A3071" w14:paraId="21816FD2" w14:textId="77777777" w:rsidTr="004A3071">
        <w:trPr>
          <w:cantSplit/>
        </w:trPr>
        <w:tc>
          <w:tcPr>
            <w:tcW w:w="1870" w:type="dxa"/>
            <w:vMerge/>
            <w:tcBorders>
              <w:top w:val="single" w:sz="4" w:space="0" w:color="auto"/>
              <w:left w:val="single" w:sz="4" w:space="0" w:color="auto"/>
              <w:bottom w:val="single" w:sz="4" w:space="0" w:color="auto"/>
            </w:tcBorders>
            <w:vAlign w:val="center"/>
          </w:tcPr>
          <w:p w14:paraId="0CFA18D3" w14:textId="77777777" w:rsidR="009563B4" w:rsidRPr="004A3071" w:rsidRDefault="009563B4" w:rsidP="00481CA4">
            <w:pPr>
              <w:rPr>
                <w:rFonts w:asciiTheme="minorHAnsi" w:hAnsiTheme="minorHAnsi" w:cstheme="minorHAnsi"/>
                <w:color w:val="000000"/>
                <w:sz w:val="16"/>
                <w:szCs w:val="16"/>
              </w:rPr>
            </w:pPr>
          </w:p>
        </w:tc>
        <w:tc>
          <w:tcPr>
            <w:tcW w:w="1870" w:type="dxa"/>
            <w:tcBorders>
              <w:top w:val="nil"/>
              <w:left w:val="single" w:sz="4" w:space="0" w:color="auto"/>
              <w:bottom w:val="single" w:sz="4" w:space="0" w:color="auto"/>
              <w:right w:val="single" w:sz="4" w:space="0" w:color="000000" w:themeColor="text1"/>
            </w:tcBorders>
            <w:shd w:val="clear" w:color="auto" w:fill="FFFFFF" w:themeFill="background1"/>
            <w:vAlign w:val="center"/>
          </w:tcPr>
          <w:p w14:paraId="7197003C" w14:textId="77777777" w:rsidR="009563B4" w:rsidRPr="004A3071" w:rsidRDefault="009563B4" w:rsidP="00481CA4">
            <w:pPr>
              <w:jc w:val="center"/>
              <w:rPr>
                <w:rFonts w:asciiTheme="minorHAnsi" w:hAnsiTheme="minorHAnsi" w:cstheme="minorHAnsi"/>
                <w:color w:val="000000"/>
                <w:sz w:val="16"/>
                <w:szCs w:val="16"/>
              </w:rPr>
            </w:pPr>
            <w:r w:rsidRPr="004A3071">
              <w:rPr>
                <w:rFonts w:asciiTheme="minorHAnsi" w:hAnsiTheme="minorHAnsi" w:cstheme="minorHAnsi"/>
                <w:color w:val="000000"/>
                <w:sz w:val="16"/>
                <w:szCs w:val="16"/>
              </w:rPr>
              <w:t> </w:t>
            </w:r>
          </w:p>
        </w:tc>
        <w:tc>
          <w:tcPr>
            <w:tcW w:w="1870" w:type="dxa"/>
            <w:tcBorders>
              <w:top w:val="nil"/>
              <w:left w:val="single" w:sz="4" w:space="0" w:color="000000" w:themeColor="text1"/>
              <w:bottom w:val="single" w:sz="4" w:space="0" w:color="auto"/>
              <w:right w:val="single" w:sz="4" w:space="0" w:color="000000" w:themeColor="text1"/>
            </w:tcBorders>
            <w:shd w:val="clear" w:color="auto" w:fill="DDEBF7"/>
            <w:vAlign w:val="center"/>
          </w:tcPr>
          <w:p w14:paraId="48F0F6BB" w14:textId="77777777" w:rsidR="009563B4" w:rsidRPr="004A3071" w:rsidRDefault="009563B4" w:rsidP="00481CA4">
            <w:pPr>
              <w:jc w:val="center"/>
              <w:rPr>
                <w:rFonts w:asciiTheme="minorHAnsi" w:hAnsiTheme="minorHAnsi" w:cstheme="minorHAnsi"/>
                <w:b/>
                <w:bCs/>
                <w:color w:val="000000"/>
                <w:sz w:val="16"/>
                <w:szCs w:val="16"/>
              </w:rPr>
            </w:pPr>
            <w:r w:rsidRPr="004A3071">
              <w:rPr>
                <w:rFonts w:asciiTheme="minorHAnsi" w:hAnsiTheme="minorHAnsi" w:cstheme="minorHAnsi"/>
                <w:b/>
                <w:bCs/>
                <w:color w:val="000000"/>
                <w:sz w:val="16"/>
                <w:szCs w:val="16"/>
              </w:rPr>
              <w:t> </w:t>
            </w:r>
          </w:p>
        </w:tc>
        <w:tc>
          <w:tcPr>
            <w:tcW w:w="1870" w:type="dxa"/>
            <w:tcBorders>
              <w:top w:val="nil"/>
              <w:left w:val="single" w:sz="4" w:space="0" w:color="000000" w:themeColor="text1"/>
              <w:bottom w:val="single" w:sz="4" w:space="0" w:color="auto"/>
              <w:right w:val="single" w:sz="4" w:space="0" w:color="000000" w:themeColor="text1"/>
            </w:tcBorders>
            <w:shd w:val="clear" w:color="auto" w:fill="FFFFFF" w:themeFill="background1"/>
            <w:vAlign w:val="center"/>
          </w:tcPr>
          <w:p w14:paraId="5F36445D" w14:textId="77777777" w:rsidR="009563B4" w:rsidRPr="004A3071" w:rsidRDefault="009563B4" w:rsidP="00481CA4">
            <w:pPr>
              <w:jc w:val="center"/>
              <w:rPr>
                <w:rFonts w:asciiTheme="minorHAnsi" w:hAnsiTheme="minorHAnsi" w:cstheme="minorHAnsi"/>
                <w:color w:val="000000"/>
                <w:sz w:val="16"/>
                <w:szCs w:val="16"/>
              </w:rPr>
            </w:pPr>
            <w:r w:rsidRPr="004A3071">
              <w:rPr>
                <w:rFonts w:asciiTheme="minorHAnsi" w:hAnsiTheme="minorHAnsi" w:cstheme="minorHAnsi"/>
                <w:color w:val="000000"/>
                <w:sz w:val="16"/>
                <w:szCs w:val="16"/>
              </w:rPr>
              <w:t>PGG inception and validation workshops</w:t>
            </w:r>
          </w:p>
        </w:tc>
        <w:tc>
          <w:tcPr>
            <w:tcW w:w="2296" w:type="dxa"/>
            <w:tcBorders>
              <w:top w:val="nil"/>
              <w:left w:val="single" w:sz="4" w:space="0" w:color="000000" w:themeColor="text1"/>
              <w:bottom w:val="single" w:sz="4" w:space="0" w:color="auto"/>
              <w:right w:val="single" w:sz="4" w:space="0" w:color="000000" w:themeColor="text1"/>
            </w:tcBorders>
            <w:shd w:val="clear" w:color="auto" w:fill="FFFFFF" w:themeFill="background1"/>
            <w:vAlign w:val="center"/>
          </w:tcPr>
          <w:p w14:paraId="3FE99B39" w14:textId="25C1731D" w:rsidR="009563B4" w:rsidRPr="004A3071" w:rsidRDefault="009563B4" w:rsidP="00481CA4">
            <w:pPr>
              <w:jc w:val="center"/>
              <w:rPr>
                <w:rFonts w:asciiTheme="minorHAnsi" w:hAnsiTheme="minorHAnsi" w:cstheme="minorHAnsi"/>
                <w:color w:val="000000"/>
                <w:sz w:val="16"/>
                <w:szCs w:val="16"/>
              </w:rPr>
            </w:pPr>
          </w:p>
        </w:tc>
        <w:tc>
          <w:tcPr>
            <w:tcW w:w="1870" w:type="dxa"/>
            <w:tcBorders>
              <w:top w:val="nil"/>
              <w:left w:val="single" w:sz="4" w:space="0" w:color="000000" w:themeColor="text1"/>
              <w:bottom w:val="single" w:sz="4" w:space="0" w:color="auto"/>
              <w:right w:val="single" w:sz="4" w:space="0" w:color="000000" w:themeColor="text1"/>
            </w:tcBorders>
            <w:shd w:val="clear" w:color="auto" w:fill="FFFFFF" w:themeFill="background1"/>
            <w:vAlign w:val="center"/>
          </w:tcPr>
          <w:p w14:paraId="7FF4A1B6" w14:textId="77777777" w:rsidR="009563B4" w:rsidRPr="004A3071" w:rsidRDefault="009563B4" w:rsidP="00481CA4">
            <w:pPr>
              <w:jc w:val="center"/>
              <w:rPr>
                <w:rFonts w:asciiTheme="minorHAnsi" w:hAnsiTheme="minorHAnsi" w:cstheme="minorHAnsi"/>
                <w:color w:val="000000"/>
                <w:sz w:val="16"/>
                <w:szCs w:val="16"/>
              </w:rPr>
            </w:pPr>
            <w:r w:rsidRPr="004A3071">
              <w:rPr>
                <w:rFonts w:asciiTheme="minorHAnsi" w:hAnsiTheme="minorHAnsi" w:cstheme="minorHAnsi"/>
                <w:color w:val="000000"/>
                <w:sz w:val="16"/>
                <w:szCs w:val="16"/>
              </w:rPr>
              <w:t> </w:t>
            </w:r>
          </w:p>
        </w:tc>
        <w:tc>
          <w:tcPr>
            <w:tcW w:w="1870" w:type="dxa"/>
            <w:tcBorders>
              <w:top w:val="nil"/>
              <w:left w:val="single" w:sz="4" w:space="0" w:color="000000" w:themeColor="text1"/>
              <w:bottom w:val="single" w:sz="4" w:space="0" w:color="auto"/>
              <w:right w:val="single" w:sz="4" w:space="0" w:color="auto"/>
            </w:tcBorders>
            <w:shd w:val="clear" w:color="auto" w:fill="FFFFFF" w:themeFill="background1"/>
            <w:vAlign w:val="center"/>
          </w:tcPr>
          <w:p w14:paraId="66ECB24F" w14:textId="77777777" w:rsidR="009563B4" w:rsidRPr="004A3071" w:rsidRDefault="009563B4" w:rsidP="00481CA4">
            <w:pPr>
              <w:jc w:val="center"/>
              <w:rPr>
                <w:rFonts w:asciiTheme="minorHAnsi" w:hAnsiTheme="minorHAnsi" w:cstheme="minorHAnsi"/>
                <w:color w:val="000000"/>
                <w:sz w:val="16"/>
                <w:szCs w:val="16"/>
              </w:rPr>
            </w:pPr>
            <w:r w:rsidRPr="004A3071">
              <w:rPr>
                <w:rFonts w:asciiTheme="minorHAnsi" w:hAnsiTheme="minorHAnsi" w:cstheme="minorHAnsi"/>
                <w:color w:val="000000"/>
                <w:sz w:val="16"/>
                <w:szCs w:val="16"/>
              </w:rPr>
              <w:t> </w:t>
            </w:r>
          </w:p>
        </w:tc>
      </w:tr>
      <w:tr w:rsidR="009563B4" w:rsidRPr="004A3071" w14:paraId="2063113B" w14:textId="77777777" w:rsidTr="004A3071">
        <w:trPr>
          <w:cantSplit/>
        </w:trPr>
        <w:tc>
          <w:tcPr>
            <w:tcW w:w="1870" w:type="dxa"/>
            <w:vMerge w:val="restart"/>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DAB8D13" w14:textId="77777777" w:rsidR="009563B4" w:rsidRPr="004A3071" w:rsidRDefault="009563B4" w:rsidP="00481CA4">
            <w:pPr>
              <w:rPr>
                <w:rFonts w:asciiTheme="minorHAnsi" w:hAnsiTheme="minorHAnsi" w:cstheme="minorHAnsi"/>
                <w:color w:val="000000"/>
                <w:sz w:val="16"/>
                <w:szCs w:val="16"/>
              </w:rPr>
            </w:pPr>
            <w:r w:rsidRPr="004A3071">
              <w:rPr>
                <w:rFonts w:asciiTheme="minorHAnsi" w:hAnsiTheme="minorHAnsi" w:cstheme="minorHAnsi"/>
                <w:color w:val="000000"/>
                <w:sz w:val="16"/>
                <w:szCs w:val="16"/>
              </w:rPr>
              <w:t>Foreign Embassies</w:t>
            </w:r>
          </w:p>
          <w:p w14:paraId="394FFE2D" w14:textId="77777777" w:rsidR="009563B4" w:rsidRPr="004A3071" w:rsidRDefault="009563B4" w:rsidP="00481CA4">
            <w:pPr>
              <w:rPr>
                <w:rFonts w:asciiTheme="minorHAnsi" w:hAnsiTheme="minorHAnsi" w:cstheme="minorHAnsi"/>
                <w:color w:val="000000"/>
                <w:sz w:val="16"/>
                <w:szCs w:val="16"/>
              </w:rPr>
            </w:pPr>
            <w:r w:rsidRPr="004A3071">
              <w:rPr>
                <w:rFonts w:asciiTheme="minorHAnsi" w:hAnsiTheme="minorHAnsi" w:cstheme="minorHAnsi"/>
                <w:color w:val="000000"/>
                <w:sz w:val="16"/>
                <w:szCs w:val="16"/>
              </w:rPr>
              <w:t> </w:t>
            </w:r>
          </w:p>
        </w:tc>
        <w:tc>
          <w:tcPr>
            <w:tcW w:w="1870" w:type="dxa"/>
            <w:tcBorders>
              <w:top w:val="nil"/>
              <w:left w:val="single" w:sz="4" w:space="0" w:color="auto"/>
              <w:bottom w:val="nil"/>
              <w:right w:val="single" w:sz="4" w:space="0" w:color="000000" w:themeColor="text1"/>
            </w:tcBorders>
            <w:shd w:val="clear" w:color="auto" w:fill="FFFFFF" w:themeFill="background1"/>
            <w:vAlign w:val="center"/>
          </w:tcPr>
          <w:p w14:paraId="4CD6C9F5" w14:textId="77777777" w:rsidR="009563B4" w:rsidRPr="004A3071" w:rsidRDefault="009563B4" w:rsidP="00481CA4">
            <w:pPr>
              <w:jc w:val="center"/>
              <w:rPr>
                <w:rFonts w:asciiTheme="minorHAnsi" w:hAnsiTheme="minorHAnsi" w:cstheme="minorHAnsi"/>
                <w:color w:val="000000"/>
                <w:sz w:val="16"/>
                <w:szCs w:val="16"/>
              </w:rPr>
            </w:pPr>
            <w:r w:rsidRPr="004A3071">
              <w:rPr>
                <w:rFonts w:asciiTheme="minorHAnsi" w:hAnsiTheme="minorHAnsi" w:cstheme="minorHAnsi"/>
                <w:color w:val="000000"/>
                <w:sz w:val="16"/>
                <w:szCs w:val="16"/>
              </w:rPr>
              <w:t>Partner</w:t>
            </w:r>
          </w:p>
        </w:tc>
        <w:tc>
          <w:tcPr>
            <w:tcW w:w="1870" w:type="dxa"/>
            <w:tcBorders>
              <w:top w:val="nil"/>
              <w:left w:val="single" w:sz="4" w:space="0" w:color="000000" w:themeColor="text1"/>
              <w:bottom w:val="nil"/>
              <w:right w:val="single" w:sz="4" w:space="0" w:color="000000" w:themeColor="text1"/>
            </w:tcBorders>
            <w:shd w:val="clear" w:color="auto" w:fill="DDEBF7"/>
            <w:vAlign w:val="center"/>
          </w:tcPr>
          <w:p w14:paraId="670E8C06" w14:textId="77777777" w:rsidR="009563B4" w:rsidRPr="004A3071" w:rsidRDefault="009563B4" w:rsidP="00481CA4">
            <w:pPr>
              <w:jc w:val="center"/>
              <w:rPr>
                <w:rFonts w:asciiTheme="minorHAnsi" w:hAnsiTheme="minorHAnsi" w:cstheme="minorHAnsi"/>
                <w:b/>
                <w:bCs/>
                <w:color w:val="000000"/>
                <w:sz w:val="16"/>
                <w:szCs w:val="16"/>
              </w:rPr>
            </w:pPr>
            <w:r w:rsidRPr="004A3071">
              <w:rPr>
                <w:rFonts w:asciiTheme="minorHAnsi" w:hAnsiTheme="minorHAnsi" w:cstheme="minorHAnsi"/>
                <w:b/>
                <w:bCs/>
                <w:color w:val="000000"/>
                <w:sz w:val="16"/>
                <w:szCs w:val="16"/>
              </w:rPr>
              <w:t>Resource Partner/Donor</w:t>
            </w:r>
          </w:p>
        </w:tc>
        <w:tc>
          <w:tcPr>
            <w:tcW w:w="1870" w:type="dxa"/>
            <w:tcBorders>
              <w:top w:val="nil"/>
              <w:left w:val="single" w:sz="4" w:space="0" w:color="000000" w:themeColor="text1"/>
              <w:bottom w:val="nil"/>
              <w:right w:val="single" w:sz="4" w:space="0" w:color="000000" w:themeColor="text1"/>
            </w:tcBorders>
            <w:shd w:val="clear" w:color="auto" w:fill="FFFFFF" w:themeFill="background1"/>
            <w:vAlign w:val="center"/>
          </w:tcPr>
          <w:p w14:paraId="341EC215" w14:textId="77777777" w:rsidR="009563B4" w:rsidRPr="004A3071" w:rsidRDefault="009563B4" w:rsidP="00481CA4">
            <w:pPr>
              <w:jc w:val="center"/>
              <w:rPr>
                <w:rFonts w:asciiTheme="minorHAnsi" w:hAnsiTheme="minorHAnsi" w:cstheme="minorHAnsi"/>
                <w:color w:val="000000"/>
                <w:sz w:val="16"/>
                <w:szCs w:val="16"/>
              </w:rPr>
            </w:pPr>
            <w:r w:rsidRPr="004A3071">
              <w:rPr>
                <w:rFonts w:asciiTheme="minorHAnsi" w:hAnsiTheme="minorHAnsi" w:cstheme="minorHAnsi"/>
                <w:color w:val="000000"/>
                <w:sz w:val="16"/>
                <w:szCs w:val="16"/>
              </w:rPr>
              <w:t>Face-to-face meetings</w:t>
            </w:r>
          </w:p>
        </w:tc>
        <w:tc>
          <w:tcPr>
            <w:tcW w:w="2296" w:type="dxa"/>
            <w:tcBorders>
              <w:top w:val="nil"/>
              <w:left w:val="single" w:sz="4" w:space="0" w:color="000000" w:themeColor="text1"/>
              <w:bottom w:val="nil"/>
              <w:right w:val="single" w:sz="4" w:space="0" w:color="000000" w:themeColor="text1"/>
            </w:tcBorders>
            <w:shd w:val="clear" w:color="auto" w:fill="FFFFFF" w:themeFill="background1"/>
            <w:vAlign w:val="center"/>
          </w:tcPr>
          <w:p w14:paraId="1B087BCB" w14:textId="257D4BEC" w:rsidR="009563B4" w:rsidRPr="004A3071" w:rsidRDefault="4984ECA9" w:rsidP="00481CA4">
            <w:pPr>
              <w:jc w:val="center"/>
              <w:rPr>
                <w:rFonts w:asciiTheme="minorHAnsi" w:hAnsiTheme="minorHAnsi" w:cstheme="minorHAnsi"/>
                <w:color w:val="000000"/>
                <w:sz w:val="16"/>
                <w:szCs w:val="16"/>
              </w:rPr>
            </w:pPr>
            <w:r w:rsidRPr="004A3071">
              <w:rPr>
                <w:rFonts w:asciiTheme="minorHAnsi" w:hAnsiTheme="minorHAnsi" w:cstheme="minorHAnsi"/>
                <w:color w:val="000000" w:themeColor="text1"/>
                <w:sz w:val="16"/>
                <w:szCs w:val="16"/>
              </w:rPr>
              <w:t xml:space="preserve">Potential partnership with other projects funded by the embassies </w:t>
            </w:r>
            <w:r w:rsidR="64CBAC26" w:rsidRPr="004A3071">
              <w:rPr>
                <w:rFonts w:asciiTheme="minorHAnsi" w:hAnsiTheme="minorHAnsi" w:cstheme="minorHAnsi"/>
                <w:color w:val="000000" w:themeColor="text1"/>
                <w:sz w:val="16"/>
                <w:szCs w:val="16"/>
              </w:rPr>
              <w:t> </w:t>
            </w:r>
          </w:p>
        </w:tc>
        <w:tc>
          <w:tcPr>
            <w:tcW w:w="1870" w:type="dxa"/>
            <w:tcBorders>
              <w:top w:val="nil"/>
              <w:left w:val="single" w:sz="4" w:space="0" w:color="000000" w:themeColor="text1"/>
              <w:bottom w:val="nil"/>
              <w:right w:val="single" w:sz="4" w:space="0" w:color="000000" w:themeColor="text1"/>
            </w:tcBorders>
            <w:shd w:val="clear" w:color="auto" w:fill="FFFFFF" w:themeFill="background1"/>
            <w:vAlign w:val="center"/>
          </w:tcPr>
          <w:p w14:paraId="2F81DE42" w14:textId="102487E2" w:rsidR="009563B4" w:rsidRPr="004A3071" w:rsidRDefault="5F889A89" w:rsidP="00481CA4">
            <w:pPr>
              <w:jc w:val="center"/>
              <w:rPr>
                <w:rFonts w:asciiTheme="minorHAnsi" w:hAnsiTheme="minorHAnsi" w:cstheme="minorHAnsi"/>
                <w:color w:val="000000"/>
                <w:sz w:val="16"/>
                <w:szCs w:val="16"/>
              </w:rPr>
            </w:pPr>
            <w:r w:rsidRPr="004A3071">
              <w:rPr>
                <w:rFonts w:asciiTheme="minorHAnsi" w:hAnsiTheme="minorHAnsi" w:cstheme="minorHAnsi"/>
                <w:color w:val="000000" w:themeColor="text1"/>
                <w:sz w:val="16"/>
                <w:szCs w:val="16"/>
              </w:rPr>
              <w:t xml:space="preserve">During the implementation phase </w:t>
            </w:r>
            <w:r w:rsidR="64CBAC26" w:rsidRPr="004A3071">
              <w:rPr>
                <w:rFonts w:asciiTheme="minorHAnsi" w:hAnsiTheme="minorHAnsi" w:cstheme="minorHAnsi"/>
                <w:color w:val="000000" w:themeColor="text1"/>
                <w:sz w:val="16"/>
                <w:szCs w:val="16"/>
              </w:rPr>
              <w:t> </w:t>
            </w:r>
          </w:p>
        </w:tc>
        <w:tc>
          <w:tcPr>
            <w:tcW w:w="1870" w:type="dxa"/>
            <w:tcBorders>
              <w:top w:val="nil"/>
              <w:left w:val="single" w:sz="4" w:space="0" w:color="000000" w:themeColor="text1"/>
              <w:bottom w:val="nil"/>
              <w:right w:val="single" w:sz="4" w:space="0" w:color="auto"/>
            </w:tcBorders>
            <w:shd w:val="clear" w:color="auto" w:fill="FFFFFF" w:themeFill="background1"/>
            <w:vAlign w:val="center"/>
          </w:tcPr>
          <w:p w14:paraId="243856B5" w14:textId="77777777" w:rsidR="009563B4" w:rsidRPr="004A3071" w:rsidRDefault="009563B4" w:rsidP="00481CA4">
            <w:pPr>
              <w:jc w:val="center"/>
              <w:rPr>
                <w:rFonts w:asciiTheme="minorHAnsi" w:hAnsiTheme="minorHAnsi" w:cstheme="minorHAnsi"/>
                <w:color w:val="000000"/>
                <w:sz w:val="16"/>
                <w:szCs w:val="16"/>
              </w:rPr>
            </w:pPr>
            <w:r w:rsidRPr="004A3071">
              <w:rPr>
                <w:rFonts w:asciiTheme="minorHAnsi" w:hAnsiTheme="minorHAnsi" w:cstheme="minorHAnsi"/>
                <w:color w:val="000000"/>
                <w:sz w:val="16"/>
                <w:szCs w:val="16"/>
              </w:rPr>
              <w:t> </w:t>
            </w:r>
          </w:p>
        </w:tc>
      </w:tr>
      <w:tr w:rsidR="009563B4" w:rsidRPr="004A3071" w14:paraId="05656289" w14:textId="77777777" w:rsidTr="004A3071">
        <w:trPr>
          <w:cantSplit/>
        </w:trPr>
        <w:tc>
          <w:tcPr>
            <w:tcW w:w="1870" w:type="dxa"/>
            <w:vMerge/>
            <w:tcBorders>
              <w:top w:val="single" w:sz="4" w:space="0" w:color="auto"/>
              <w:left w:val="single" w:sz="4" w:space="0" w:color="auto"/>
              <w:bottom w:val="single" w:sz="4" w:space="0" w:color="auto"/>
            </w:tcBorders>
            <w:vAlign w:val="center"/>
          </w:tcPr>
          <w:p w14:paraId="1398D61C" w14:textId="77777777" w:rsidR="009563B4" w:rsidRPr="004A3071" w:rsidRDefault="009563B4" w:rsidP="00481CA4">
            <w:pPr>
              <w:rPr>
                <w:rFonts w:asciiTheme="minorHAnsi" w:hAnsiTheme="minorHAnsi" w:cstheme="minorHAnsi"/>
                <w:color w:val="000000"/>
                <w:sz w:val="16"/>
                <w:szCs w:val="16"/>
              </w:rPr>
            </w:pPr>
          </w:p>
        </w:tc>
        <w:tc>
          <w:tcPr>
            <w:tcW w:w="1870" w:type="dxa"/>
            <w:tcBorders>
              <w:top w:val="nil"/>
              <w:left w:val="single" w:sz="4" w:space="0" w:color="auto"/>
              <w:bottom w:val="single" w:sz="4" w:space="0" w:color="auto"/>
              <w:right w:val="single" w:sz="4" w:space="0" w:color="000000" w:themeColor="text1"/>
            </w:tcBorders>
            <w:shd w:val="clear" w:color="auto" w:fill="FFFFFF" w:themeFill="background1"/>
            <w:vAlign w:val="center"/>
          </w:tcPr>
          <w:p w14:paraId="695AA332" w14:textId="77777777" w:rsidR="009563B4" w:rsidRPr="004A3071" w:rsidRDefault="009563B4" w:rsidP="00481CA4">
            <w:pPr>
              <w:jc w:val="center"/>
              <w:rPr>
                <w:rFonts w:asciiTheme="minorHAnsi" w:hAnsiTheme="minorHAnsi" w:cstheme="minorHAnsi"/>
                <w:color w:val="000000"/>
                <w:sz w:val="16"/>
                <w:szCs w:val="16"/>
              </w:rPr>
            </w:pPr>
            <w:r w:rsidRPr="004A3071">
              <w:rPr>
                <w:rFonts w:asciiTheme="minorHAnsi" w:hAnsiTheme="minorHAnsi" w:cstheme="minorHAnsi"/>
                <w:color w:val="000000"/>
                <w:sz w:val="16"/>
                <w:szCs w:val="16"/>
              </w:rPr>
              <w:t> </w:t>
            </w:r>
          </w:p>
        </w:tc>
        <w:tc>
          <w:tcPr>
            <w:tcW w:w="1870" w:type="dxa"/>
            <w:tcBorders>
              <w:top w:val="nil"/>
              <w:left w:val="single" w:sz="4" w:space="0" w:color="000000" w:themeColor="text1"/>
              <w:bottom w:val="single" w:sz="4" w:space="0" w:color="auto"/>
              <w:right w:val="single" w:sz="4" w:space="0" w:color="000000" w:themeColor="text1"/>
            </w:tcBorders>
            <w:shd w:val="clear" w:color="auto" w:fill="DDEBF7"/>
            <w:vAlign w:val="center"/>
          </w:tcPr>
          <w:p w14:paraId="5533A9C0" w14:textId="77777777" w:rsidR="009563B4" w:rsidRPr="004A3071" w:rsidRDefault="009563B4" w:rsidP="00481CA4">
            <w:pPr>
              <w:jc w:val="center"/>
              <w:rPr>
                <w:rFonts w:asciiTheme="minorHAnsi" w:hAnsiTheme="minorHAnsi" w:cstheme="minorHAnsi"/>
                <w:b/>
                <w:bCs/>
                <w:color w:val="000000"/>
                <w:sz w:val="16"/>
                <w:szCs w:val="16"/>
              </w:rPr>
            </w:pPr>
            <w:r w:rsidRPr="004A3071">
              <w:rPr>
                <w:rFonts w:asciiTheme="minorHAnsi" w:hAnsiTheme="minorHAnsi" w:cstheme="minorHAnsi"/>
                <w:b/>
                <w:bCs/>
                <w:color w:val="000000"/>
                <w:sz w:val="16"/>
                <w:szCs w:val="16"/>
              </w:rPr>
              <w:t> </w:t>
            </w:r>
          </w:p>
        </w:tc>
        <w:tc>
          <w:tcPr>
            <w:tcW w:w="1870" w:type="dxa"/>
            <w:tcBorders>
              <w:top w:val="nil"/>
              <w:left w:val="single" w:sz="4" w:space="0" w:color="000000" w:themeColor="text1"/>
              <w:bottom w:val="single" w:sz="4" w:space="0" w:color="auto"/>
              <w:right w:val="single" w:sz="4" w:space="0" w:color="000000" w:themeColor="text1"/>
            </w:tcBorders>
            <w:shd w:val="clear" w:color="auto" w:fill="FFFFFF" w:themeFill="background1"/>
            <w:vAlign w:val="center"/>
          </w:tcPr>
          <w:p w14:paraId="3A041CDE" w14:textId="77777777" w:rsidR="009563B4" w:rsidRPr="004A3071" w:rsidRDefault="009563B4" w:rsidP="00481CA4">
            <w:pPr>
              <w:jc w:val="center"/>
              <w:rPr>
                <w:rFonts w:asciiTheme="minorHAnsi" w:hAnsiTheme="minorHAnsi" w:cstheme="minorHAnsi"/>
                <w:color w:val="000000"/>
                <w:sz w:val="16"/>
                <w:szCs w:val="16"/>
              </w:rPr>
            </w:pPr>
            <w:r w:rsidRPr="004A3071">
              <w:rPr>
                <w:rFonts w:asciiTheme="minorHAnsi" w:hAnsiTheme="minorHAnsi" w:cstheme="minorHAnsi"/>
                <w:color w:val="000000"/>
                <w:sz w:val="16"/>
                <w:szCs w:val="16"/>
              </w:rPr>
              <w:t>PGG inception workshops</w:t>
            </w:r>
          </w:p>
        </w:tc>
        <w:tc>
          <w:tcPr>
            <w:tcW w:w="2296" w:type="dxa"/>
            <w:tcBorders>
              <w:top w:val="nil"/>
              <w:left w:val="single" w:sz="4" w:space="0" w:color="000000" w:themeColor="text1"/>
              <w:bottom w:val="single" w:sz="4" w:space="0" w:color="auto"/>
              <w:right w:val="single" w:sz="4" w:space="0" w:color="000000" w:themeColor="text1"/>
            </w:tcBorders>
            <w:shd w:val="clear" w:color="auto" w:fill="FFFFFF" w:themeFill="background1"/>
            <w:vAlign w:val="center"/>
          </w:tcPr>
          <w:p w14:paraId="4AD43CA0" w14:textId="77777777" w:rsidR="009563B4" w:rsidRPr="004A3071" w:rsidRDefault="009563B4" w:rsidP="00481CA4">
            <w:pPr>
              <w:jc w:val="center"/>
              <w:rPr>
                <w:rFonts w:asciiTheme="minorHAnsi" w:hAnsiTheme="minorHAnsi" w:cstheme="minorHAnsi"/>
                <w:color w:val="000000"/>
                <w:sz w:val="16"/>
                <w:szCs w:val="16"/>
              </w:rPr>
            </w:pPr>
            <w:r w:rsidRPr="004A3071">
              <w:rPr>
                <w:rFonts w:asciiTheme="minorHAnsi" w:hAnsiTheme="minorHAnsi" w:cstheme="minorHAnsi"/>
                <w:color w:val="000000"/>
                <w:sz w:val="16"/>
                <w:szCs w:val="16"/>
              </w:rPr>
              <w:t> </w:t>
            </w:r>
          </w:p>
        </w:tc>
        <w:tc>
          <w:tcPr>
            <w:tcW w:w="1870" w:type="dxa"/>
            <w:tcBorders>
              <w:top w:val="nil"/>
              <w:left w:val="single" w:sz="4" w:space="0" w:color="000000" w:themeColor="text1"/>
              <w:bottom w:val="single" w:sz="4" w:space="0" w:color="auto"/>
              <w:right w:val="single" w:sz="4" w:space="0" w:color="000000" w:themeColor="text1"/>
            </w:tcBorders>
            <w:shd w:val="clear" w:color="auto" w:fill="FFFFFF" w:themeFill="background1"/>
            <w:vAlign w:val="center"/>
          </w:tcPr>
          <w:p w14:paraId="4B26A702" w14:textId="77777777" w:rsidR="009563B4" w:rsidRPr="004A3071" w:rsidRDefault="009563B4" w:rsidP="00481CA4">
            <w:pPr>
              <w:jc w:val="center"/>
              <w:rPr>
                <w:rFonts w:asciiTheme="minorHAnsi" w:hAnsiTheme="minorHAnsi" w:cstheme="minorHAnsi"/>
                <w:color w:val="000000"/>
                <w:sz w:val="16"/>
                <w:szCs w:val="16"/>
              </w:rPr>
            </w:pPr>
            <w:r w:rsidRPr="004A3071">
              <w:rPr>
                <w:rFonts w:asciiTheme="minorHAnsi" w:hAnsiTheme="minorHAnsi" w:cstheme="minorHAnsi"/>
                <w:color w:val="000000"/>
                <w:sz w:val="16"/>
                <w:szCs w:val="16"/>
              </w:rPr>
              <w:t> </w:t>
            </w:r>
          </w:p>
        </w:tc>
        <w:tc>
          <w:tcPr>
            <w:tcW w:w="1870" w:type="dxa"/>
            <w:tcBorders>
              <w:top w:val="nil"/>
              <w:left w:val="single" w:sz="4" w:space="0" w:color="000000" w:themeColor="text1"/>
              <w:bottom w:val="single" w:sz="4" w:space="0" w:color="auto"/>
              <w:right w:val="single" w:sz="4" w:space="0" w:color="auto"/>
            </w:tcBorders>
            <w:shd w:val="clear" w:color="auto" w:fill="FFFFFF" w:themeFill="background1"/>
            <w:vAlign w:val="center"/>
          </w:tcPr>
          <w:p w14:paraId="24E1CC3F" w14:textId="77777777" w:rsidR="009563B4" w:rsidRPr="004A3071" w:rsidRDefault="009563B4" w:rsidP="00481CA4">
            <w:pPr>
              <w:jc w:val="center"/>
              <w:rPr>
                <w:rFonts w:asciiTheme="minorHAnsi" w:hAnsiTheme="minorHAnsi" w:cstheme="minorHAnsi"/>
                <w:color w:val="000000"/>
                <w:sz w:val="16"/>
                <w:szCs w:val="16"/>
              </w:rPr>
            </w:pPr>
            <w:r w:rsidRPr="004A3071">
              <w:rPr>
                <w:rFonts w:asciiTheme="minorHAnsi" w:hAnsiTheme="minorHAnsi" w:cstheme="minorHAnsi"/>
                <w:color w:val="000000"/>
                <w:sz w:val="16"/>
                <w:szCs w:val="16"/>
              </w:rPr>
              <w:t> </w:t>
            </w:r>
          </w:p>
        </w:tc>
      </w:tr>
      <w:tr w:rsidR="009563B4" w:rsidRPr="004A3071" w14:paraId="0D0932E0" w14:textId="77777777" w:rsidTr="004A3071">
        <w:trPr>
          <w:cantSplit/>
        </w:trPr>
        <w:tc>
          <w:tcPr>
            <w:tcW w:w="1870" w:type="dxa"/>
            <w:vMerge w:val="restart"/>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D81C67D" w14:textId="77777777" w:rsidR="009563B4" w:rsidRPr="004A3071" w:rsidRDefault="009563B4" w:rsidP="00481CA4">
            <w:pPr>
              <w:rPr>
                <w:rFonts w:asciiTheme="minorHAnsi" w:hAnsiTheme="minorHAnsi" w:cstheme="minorHAnsi"/>
                <w:color w:val="000000"/>
                <w:sz w:val="16"/>
                <w:szCs w:val="16"/>
              </w:rPr>
            </w:pPr>
            <w:r w:rsidRPr="004A3071">
              <w:rPr>
                <w:rFonts w:asciiTheme="minorHAnsi" w:hAnsiTheme="minorHAnsi" w:cstheme="minorHAnsi"/>
                <w:color w:val="000000"/>
                <w:sz w:val="16"/>
                <w:szCs w:val="16"/>
              </w:rPr>
              <w:lastRenderedPageBreak/>
              <w:t>Private Sector</w:t>
            </w:r>
          </w:p>
          <w:p w14:paraId="16A85D0A" w14:textId="77777777" w:rsidR="009563B4" w:rsidRPr="004A3071" w:rsidRDefault="009563B4" w:rsidP="00481CA4">
            <w:pPr>
              <w:rPr>
                <w:rFonts w:asciiTheme="minorHAnsi" w:hAnsiTheme="minorHAnsi" w:cstheme="minorHAnsi"/>
                <w:color w:val="000000"/>
                <w:sz w:val="16"/>
                <w:szCs w:val="16"/>
              </w:rPr>
            </w:pPr>
            <w:r w:rsidRPr="004A3071">
              <w:rPr>
                <w:rFonts w:asciiTheme="minorHAnsi" w:hAnsiTheme="minorHAnsi" w:cstheme="minorHAnsi"/>
                <w:color w:val="000000"/>
                <w:sz w:val="16"/>
                <w:szCs w:val="16"/>
              </w:rPr>
              <w:t> </w:t>
            </w:r>
          </w:p>
        </w:tc>
        <w:tc>
          <w:tcPr>
            <w:tcW w:w="1870" w:type="dxa"/>
            <w:tcBorders>
              <w:top w:val="nil"/>
              <w:left w:val="single" w:sz="4" w:space="0" w:color="auto"/>
              <w:bottom w:val="nil"/>
              <w:right w:val="single" w:sz="4" w:space="0" w:color="000000" w:themeColor="text1"/>
            </w:tcBorders>
            <w:shd w:val="clear" w:color="auto" w:fill="FFFFFF" w:themeFill="background1"/>
            <w:vAlign w:val="center"/>
          </w:tcPr>
          <w:p w14:paraId="540601E1" w14:textId="77777777" w:rsidR="009563B4" w:rsidRPr="004A3071" w:rsidRDefault="009563B4" w:rsidP="00481CA4">
            <w:pPr>
              <w:jc w:val="center"/>
              <w:rPr>
                <w:rFonts w:asciiTheme="minorHAnsi" w:hAnsiTheme="minorHAnsi" w:cstheme="minorHAnsi"/>
                <w:color w:val="000000"/>
                <w:sz w:val="16"/>
                <w:szCs w:val="16"/>
              </w:rPr>
            </w:pPr>
            <w:r w:rsidRPr="004A3071">
              <w:rPr>
                <w:rFonts w:asciiTheme="minorHAnsi" w:hAnsiTheme="minorHAnsi" w:cstheme="minorHAnsi"/>
                <w:color w:val="000000"/>
                <w:sz w:val="16"/>
                <w:szCs w:val="16"/>
              </w:rPr>
              <w:t>Partner</w:t>
            </w:r>
          </w:p>
        </w:tc>
        <w:tc>
          <w:tcPr>
            <w:tcW w:w="1870" w:type="dxa"/>
            <w:tcBorders>
              <w:top w:val="nil"/>
              <w:left w:val="single" w:sz="4" w:space="0" w:color="000000" w:themeColor="text1"/>
              <w:bottom w:val="nil"/>
              <w:right w:val="single" w:sz="4" w:space="0" w:color="000000" w:themeColor="text1"/>
            </w:tcBorders>
            <w:shd w:val="clear" w:color="auto" w:fill="DDEBF7"/>
            <w:vAlign w:val="center"/>
          </w:tcPr>
          <w:p w14:paraId="0582E5E4" w14:textId="77777777" w:rsidR="009563B4" w:rsidRPr="004A3071" w:rsidRDefault="009563B4" w:rsidP="00481CA4">
            <w:pPr>
              <w:jc w:val="center"/>
              <w:rPr>
                <w:rFonts w:asciiTheme="minorHAnsi" w:hAnsiTheme="minorHAnsi" w:cstheme="minorHAnsi"/>
                <w:b/>
                <w:bCs/>
                <w:color w:val="000000"/>
                <w:sz w:val="16"/>
                <w:szCs w:val="16"/>
              </w:rPr>
            </w:pPr>
            <w:r w:rsidRPr="004A3071">
              <w:rPr>
                <w:rFonts w:asciiTheme="minorHAnsi" w:hAnsiTheme="minorHAnsi" w:cstheme="minorHAnsi"/>
                <w:b/>
                <w:bCs/>
                <w:color w:val="000000"/>
                <w:sz w:val="16"/>
                <w:szCs w:val="16"/>
              </w:rPr>
              <w:t>Resource Partner/Donor</w:t>
            </w:r>
          </w:p>
        </w:tc>
        <w:tc>
          <w:tcPr>
            <w:tcW w:w="1870" w:type="dxa"/>
            <w:tcBorders>
              <w:top w:val="nil"/>
              <w:left w:val="single" w:sz="4" w:space="0" w:color="000000" w:themeColor="text1"/>
              <w:bottom w:val="nil"/>
              <w:right w:val="single" w:sz="4" w:space="0" w:color="000000" w:themeColor="text1"/>
            </w:tcBorders>
            <w:shd w:val="clear" w:color="auto" w:fill="FFFFFF" w:themeFill="background1"/>
            <w:vAlign w:val="center"/>
          </w:tcPr>
          <w:p w14:paraId="09BA0471" w14:textId="77777777" w:rsidR="009563B4" w:rsidRPr="004A3071" w:rsidRDefault="009563B4" w:rsidP="00481CA4">
            <w:pPr>
              <w:jc w:val="center"/>
              <w:rPr>
                <w:rFonts w:asciiTheme="minorHAnsi" w:hAnsiTheme="minorHAnsi" w:cstheme="minorHAnsi"/>
                <w:color w:val="000000"/>
                <w:sz w:val="16"/>
                <w:szCs w:val="16"/>
              </w:rPr>
            </w:pPr>
            <w:r w:rsidRPr="004A3071">
              <w:rPr>
                <w:rFonts w:asciiTheme="minorHAnsi" w:hAnsiTheme="minorHAnsi" w:cstheme="minorHAnsi"/>
                <w:color w:val="000000"/>
                <w:sz w:val="16"/>
                <w:szCs w:val="16"/>
              </w:rPr>
              <w:t>Face-to-face meetings</w:t>
            </w:r>
          </w:p>
        </w:tc>
        <w:tc>
          <w:tcPr>
            <w:tcW w:w="2296" w:type="dxa"/>
            <w:tcBorders>
              <w:top w:val="nil"/>
              <w:left w:val="single" w:sz="4" w:space="0" w:color="000000" w:themeColor="text1"/>
              <w:bottom w:val="nil"/>
              <w:right w:val="single" w:sz="4" w:space="0" w:color="000000" w:themeColor="text1"/>
            </w:tcBorders>
            <w:shd w:val="clear" w:color="auto" w:fill="FFFFFF" w:themeFill="background1"/>
            <w:vAlign w:val="center"/>
          </w:tcPr>
          <w:p w14:paraId="404927C3" w14:textId="0CEE2E5D" w:rsidR="009563B4" w:rsidRPr="004A3071" w:rsidRDefault="3559D683" w:rsidP="00481CA4">
            <w:pPr>
              <w:jc w:val="center"/>
              <w:rPr>
                <w:rFonts w:asciiTheme="minorHAnsi" w:hAnsiTheme="minorHAnsi" w:cstheme="minorHAnsi"/>
                <w:color w:val="000000"/>
                <w:sz w:val="16"/>
                <w:szCs w:val="16"/>
              </w:rPr>
            </w:pPr>
            <w:r w:rsidRPr="004A3071">
              <w:rPr>
                <w:rFonts w:asciiTheme="minorHAnsi" w:hAnsiTheme="minorHAnsi" w:cstheme="minorHAnsi"/>
                <w:color w:val="000000" w:themeColor="text1"/>
                <w:sz w:val="16"/>
                <w:szCs w:val="16"/>
              </w:rPr>
              <w:t xml:space="preserve">The leverage of value chains will engage the private sector </w:t>
            </w:r>
            <w:r w:rsidR="64CBAC26" w:rsidRPr="004A3071">
              <w:rPr>
                <w:rFonts w:asciiTheme="minorHAnsi" w:hAnsiTheme="minorHAnsi" w:cstheme="minorHAnsi"/>
                <w:color w:val="000000" w:themeColor="text1"/>
                <w:sz w:val="16"/>
                <w:szCs w:val="16"/>
              </w:rPr>
              <w:t> </w:t>
            </w:r>
          </w:p>
        </w:tc>
        <w:tc>
          <w:tcPr>
            <w:tcW w:w="1870" w:type="dxa"/>
            <w:tcBorders>
              <w:top w:val="nil"/>
              <w:left w:val="single" w:sz="4" w:space="0" w:color="000000" w:themeColor="text1"/>
              <w:bottom w:val="nil"/>
              <w:right w:val="single" w:sz="4" w:space="0" w:color="000000" w:themeColor="text1"/>
            </w:tcBorders>
            <w:shd w:val="clear" w:color="auto" w:fill="FFFFFF" w:themeFill="background1"/>
            <w:vAlign w:val="center"/>
          </w:tcPr>
          <w:p w14:paraId="51872CF8" w14:textId="4AD4929B" w:rsidR="009563B4" w:rsidRPr="004A3071" w:rsidRDefault="6F8B9AAC" w:rsidP="00481CA4">
            <w:pPr>
              <w:jc w:val="center"/>
              <w:rPr>
                <w:rFonts w:asciiTheme="minorHAnsi" w:hAnsiTheme="minorHAnsi" w:cstheme="minorHAnsi"/>
                <w:color w:val="000000"/>
                <w:sz w:val="16"/>
                <w:szCs w:val="16"/>
              </w:rPr>
            </w:pPr>
            <w:r w:rsidRPr="004A3071">
              <w:rPr>
                <w:rFonts w:asciiTheme="minorHAnsi" w:hAnsiTheme="minorHAnsi" w:cstheme="minorHAnsi"/>
                <w:color w:val="000000" w:themeColor="text1"/>
                <w:sz w:val="16"/>
                <w:szCs w:val="16"/>
              </w:rPr>
              <w:t xml:space="preserve">During the implementation phase </w:t>
            </w:r>
            <w:r w:rsidR="64CBAC26" w:rsidRPr="004A3071">
              <w:rPr>
                <w:rFonts w:asciiTheme="minorHAnsi" w:hAnsiTheme="minorHAnsi" w:cstheme="minorHAnsi"/>
                <w:color w:val="000000" w:themeColor="text1"/>
                <w:sz w:val="16"/>
                <w:szCs w:val="16"/>
              </w:rPr>
              <w:t> </w:t>
            </w:r>
          </w:p>
        </w:tc>
        <w:tc>
          <w:tcPr>
            <w:tcW w:w="1870" w:type="dxa"/>
            <w:tcBorders>
              <w:top w:val="nil"/>
              <w:left w:val="single" w:sz="4" w:space="0" w:color="000000" w:themeColor="text1"/>
              <w:bottom w:val="nil"/>
              <w:right w:val="single" w:sz="4" w:space="0" w:color="auto"/>
            </w:tcBorders>
            <w:shd w:val="clear" w:color="auto" w:fill="FFFFFF" w:themeFill="background1"/>
            <w:vAlign w:val="center"/>
          </w:tcPr>
          <w:p w14:paraId="49D50AB9" w14:textId="77777777" w:rsidR="009563B4" w:rsidRPr="004A3071" w:rsidRDefault="009563B4" w:rsidP="00481CA4">
            <w:pPr>
              <w:jc w:val="center"/>
              <w:rPr>
                <w:rFonts w:asciiTheme="minorHAnsi" w:hAnsiTheme="minorHAnsi" w:cstheme="minorHAnsi"/>
                <w:color w:val="000000"/>
                <w:sz w:val="16"/>
                <w:szCs w:val="16"/>
              </w:rPr>
            </w:pPr>
            <w:r w:rsidRPr="004A3071">
              <w:rPr>
                <w:rFonts w:asciiTheme="minorHAnsi" w:hAnsiTheme="minorHAnsi" w:cstheme="minorHAnsi"/>
                <w:color w:val="000000"/>
                <w:sz w:val="16"/>
                <w:szCs w:val="16"/>
              </w:rPr>
              <w:t> </w:t>
            </w:r>
          </w:p>
        </w:tc>
      </w:tr>
      <w:tr w:rsidR="009563B4" w:rsidRPr="004A3071" w14:paraId="09F674FC" w14:textId="77777777" w:rsidTr="004A3071">
        <w:trPr>
          <w:cantSplit/>
        </w:trPr>
        <w:tc>
          <w:tcPr>
            <w:tcW w:w="1870" w:type="dxa"/>
            <w:vMerge/>
            <w:tcBorders>
              <w:top w:val="single" w:sz="4" w:space="0" w:color="auto"/>
              <w:left w:val="single" w:sz="4" w:space="0" w:color="auto"/>
              <w:bottom w:val="single" w:sz="4" w:space="0" w:color="auto"/>
            </w:tcBorders>
            <w:vAlign w:val="center"/>
          </w:tcPr>
          <w:p w14:paraId="34F182C8" w14:textId="77777777" w:rsidR="009563B4" w:rsidRPr="004A3071" w:rsidRDefault="009563B4" w:rsidP="00481CA4">
            <w:pPr>
              <w:rPr>
                <w:rFonts w:asciiTheme="minorHAnsi" w:hAnsiTheme="minorHAnsi" w:cstheme="minorHAnsi"/>
                <w:color w:val="000000"/>
                <w:sz w:val="16"/>
                <w:szCs w:val="16"/>
              </w:rPr>
            </w:pPr>
          </w:p>
        </w:tc>
        <w:tc>
          <w:tcPr>
            <w:tcW w:w="1870" w:type="dxa"/>
            <w:tcBorders>
              <w:top w:val="nil"/>
              <w:left w:val="single" w:sz="4" w:space="0" w:color="auto"/>
              <w:bottom w:val="single" w:sz="4" w:space="0" w:color="auto"/>
              <w:right w:val="single" w:sz="4" w:space="0" w:color="000000" w:themeColor="text1"/>
            </w:tcBorders>
            <w:shd w:val="clear" w:color="auto" w:fill="FFFFFF" w:themeFill="background1"/>
            <w:vAlign w:val="center"/>
          </w:tcPr>
          <w:p w14:paraId="30331078" w14:textId="77777777" w:rsidR="009563B4" w:rsidRPr="004A3071" w:rsidRDefault="009563B4" w:rsidP="00481CA4">
            <w:pPr>
              <w:jc w:val="center"/>
              <w:rPr>
                <w:rFonts w:asciiTheme="minorHAnsi" w:hAnsiTheme="minorHAnsi" w:cstheme="minorHAnsi"/>
                <w:color w:val="000000"/>
                <w:sz w:val="16"/>
                <w:szCs w:val="16"/>
              </w:rPr>
            </w:pPr>
            <w:r w:rsidRPr="004A3071">
              <w:rPr>
                <w:rFonts w:asciiTheme="minorHAnsi" w:hAnsiTheme="minorHAnsi" w:cstheme="minorHAnsi"/>
                <w:color w:val="000000"/>
                <w:sz w:val="16"/>
                <w:szCs w:val="16"/>
              </w:rPr>
              <w:t> </w:t>
            </w:r>
          </w:p>
        </w:tc>
        <w:tc>
          <w:tcPr>
            <w:tcW w:w="1870" w:type="dxa"/>
            <w:tcBorders>
              <w:top w:val="nil"/>
              <w:left w:val="single" w:sz="4" w:space="0" w:color="000000" w:themeColor="text1"/>
              <w:bottom w:val="single" w:sz="4" w:space="0" w:color="auto"/>
              <w:right w:val="single" w:sz="4" w:space="0" w:color="000000" w:themeColor="text1"/>
            </w:tcBorders>
            <w:shd w:val="clear" w:color="auto" w:fill="DDEBF7"/>
            <w:vAlign w:val="center"/>
          </w:tcPr>
          <w:p w14:paraId="320B8EF5" w14:textId="77777777" w:rsidR="009563B4" w:rsidRPr="004A3071" w:rsidRDefault="009563B4" w:rsidP="00481CA4">
            <w:pPr>
              <w:jc w:val="center"/>
              <w:rPr>
                <w:rFonts w:asciiTheme="minorHAnsi" w:hAnsiTheme="minorHAnsi" w:cstheme="minorHAnsi"/>
                <w:b/>
                <w:bCs/>
                <w:color w:val="000000"/>
                <w:sz w:val="16"/>
                <w:szCs w:val="16"/>
              </w:rPr>
            </w:pPr>
            <w:r w:rsidRPr="004A3071">
              <w:rPr>
                <w:rFonts w:asciiTheme="minorHAnsi" w:hAnsiTheme="minorHAnsi" w:cstheme="minorHAnsi"/>
                <w:b/>
                <w:bCs/>
                <w:color w:val="000000"/>
                <w:sz w:val="16"/>
                <w:szCs w:val="16"/>
              </w:rPr>
              <w:t> </w:t>
            </w:r>
          </w:p>
        </w:tc>
        <w:tc>
          <w:tcPr>
            <w:tcW w:w="1870" w:type="dxa"/>
            <w:tcBorders>
              <w:top w:val="nil"/>
              <w:left w:val="single" w:sz="4" w:space="0" w:color="000000" w:themeColor="text1"/>
              <w:bottom w:val="single" w:sz="4" w:space="0" w:color="auto"/>
              <w:right w:val="single" w:sz="4" w:space="0" w:color="000000" w:themeColor="text1"/>
            </w:tcBorders>
            <w:shd w:val="clear" w:color="auto" w:fill="FFFFFF" w:themeFill="background1"/>
            <w:vAlign w:val="center"/>
          </w:tcPr>
          <w:p w14:paraId="00780BCC" w14:textId="77777777" w:rsidR="009563B4" w:rsidRPr="004A3071" w:rsidRDefault="009563B4" w:rsidP="00481CA4">
            <w:pPr>
              <w:jc w:val="center"/>
              <w:rPr>
                <w:rFonts w:asciiTheme="minorHAnsi" w:hAnsiTheme="minorHAnsi" w:cstheme="minorHAnsi"/>
                <w:color w:val="000000"/>
                <w:sz w:val="16"/>
                <w:szCs w:val="16"/>
              </w:rPr>
            </w:pPr>
            <w:r w:rsidRPr="004A3071">
              <w:rPr>
                <w:rFonts w:asciiTheme="minorHAnsi" w:hAnsiTheme="minorHAnsi" w:cstheme="minorHAnsi"/>
                <w:color w:val="000000"/>
                <w:sz w:val="16"/>
                <w:szCs w:val="16"/>
              </w:rPr>
              <w:t>PGG inception workshops</w:t>
            </w:r>
          </w:p>
        </w:tc>
        <w:tc>
          <w:tcPr>
            <w:tcW w:w="2296" w:type="dxa"/>
            <w:tcBorders>
              <w:top w:val="nil"/>
              <w:left w:val="single" w:sz="4" w:space="0" w:color="000000" w:themeColor="text1"/>
              <w:bottom w:val="single" w:sz="4" w:space="0" w:color="auto"/>
              <w:right w:val="single" w:sz="4" w:space="0" w:color="000000" w:themeColor="text1"/>
            </w:tcBorders>
            <w:shd w:val="clear" w:color="auto" w:fill="FFFFFF" w:themeFill="background1"/>
            <w:vAlign w:val="center"/>
          </w:tcPr>
          <w:p w14:paraId="18694CD4" w14:textId="77777777" w:rsidR="009563B4" w:rsidRPr="004A3071" w:rsidRDefault="009563B4" w:rsidP="00481CA4">
            <w:pPr>
              <w:jc w:val="center"/>
              <w:rPr>
                <w:rFonts w:asciiTheme="minorHAnsi" w:hAnsiTheme="minorHAnsi" w:cstheme="minorHAnsi"/>
                <w:color w:val="000000"/>
                <w:sz w:val="16"/>
                <w:szCs w:val="16"/>
              </w:rPr>
            </w:pPr>
            <w:r w:rsidRPr="004A3071">
              <w:rPr>
                <w:rFonts w:asciiTheme="minorHAnsi" w:hAnsiTheme="minorHAnsi" w:cstheme="minorHAnsi"/>
                <w:color w:val="000000"/>
                <w:sz w:val="16"/>
                <w:szCs w:val="16"/>
              </w:rPr>
              <w:t> </w:t>
            </w:r>
          </w:p>
        </w:tc>
        <w:tc>
          <w:tcPr>
            <w:tcW w:w="1870" w:type="dxa"/>
            <w:tcBorders>
              <w:top w:val="nil"/>
              <w:left w:val="single" w:sz="4" w:space="0" w:color="000000" w:themeColor="text1"/>
              <w:bottom w:val="single" w:sz="4" w:space="0" w:color="auto"/>
              <w:right w:val="single" w:sz="4" w:space="0" w:color="000000" w:themeColor="text1"/>
            </w:tcBorders>
            <w:shd w:val="clear" w:color="auto" w:fill="FFFFFF" w:themeFill="background1"/>
            <w:vAlign w:val="center"/>
          </w:tcPr>
          <w:p w14:paraId="1AB531F1" w14:textId="77777777" w:rsidR="009563B4" w:rsidRPr="004A3071" w:rsidRDefault="009563B4" w:rsidP="00481CA4">
            <w:pPr>
              <w:jc w:val="center"/>
              <w:rPr>
                <w:rFonts w:asciiTheme="minorHAnsi" w:hAnsiTheme="minorHAnsi" w:cstheme="minorHAnsi"/>
                <w:color w:val="000000"/>
                <w:sz w:val="16"/>
                <w:szCs w:val="16"/>
              </w:rPr>
            </w:pPr>
            <w:r w:rsidRPr="004A3071">
              <w:rPr>
                <w:rFonts w:asciiTheme="minorHAnsi" w:hAnsiTheme="minorHAnsi" w:cstheme="minorHAnsi"/>
                <w:color w:val="000000"/>
                <w:sz w:val="16"/>
                <w:szCs w:val="16"/>
              </w:rPr>
              <w:t> </w:t>
            </w:r>
          </w:p>
        </w:tc>
        <w:tc>
          <w:tcPr>
            <w:tcW w:w="1870" w:type="dxa"/>
            <w:tcBorders>
              <w:top w:val="nil"/>
              <w:left w:val="single" w:sz="4" w:space="0" w:color="000000" w:themeColor="text1"/>
              <w:bottom w:val="single" w:sz="4" w:space="0" w:color="auto"/>
              <w:right w:val="single" w:sz="4" w:space="0" w:color="auto"/>
            </w:tcBorders>
            <w:shd w:val="clear" w:color="auto" w:fill="FFFFFF" w:themeFill="background1"/>
            <w:vAlign w:val="center"/>
          </w:tcPr>
          <w:p w14:paraId="3449B01F" w14:textId="77777777" w:rsidR="009563B4" w:rsidRPr="004A3071" w:rsidRDefault="009563B4" w:rsidP="00481CA4">
            <w:pPr>
              <w:jc w:val="center"/>
              <w:rPr>
                <w:rFonts w:asciiTheme="minorHAnsi" w:hAnsiTheme="minorHAnsi" w:cstheme="minorHAnsi"/>
                <w:color w:val="000000"/>
                <w:sz w:val="16"/>
                <w:szCs w:val="16"/>
              </w:rPr>
            </w:pPr>
            <w:r w:rsidRPr="004A3071">
              <w:rPr>
                <w:rFonts w:asciiTheme="minorHAnsi" w:hAnsiTheme="minorHAnsi" w:cstheme="minorHAnsi"/>
                <w:color w:val="000000"/>
                <w:sz w:val="16"/>
                <w:szCs w:val="16"/>
              </w:rPr>
              <w:t> </w:t>
            </w:r>
          </w:p>
        </w:tc>
      </w:tr>
      <w:tr w:rsidR="009563B4" w:rsidRPr="004A3071" w14:paraId="4263D79D" w14:textId="77777777" w:rsidTr="004A3071">
        <w:trPr>
          <w:cantSplit/>
        </w:trPr>
        <w:tc>
          <w:tcPr>
            <w:tcW w:w="1870" w:type="dxa"/>
            <w:vMerge w:val="restart"/>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EF2AFF7" w14:textId="77777777" w:rsidR="009563B4" w:rsidRPr="004A3071" w:rsidRDefault="009563B4" w:rsidP="00481CA4">
            <w:pPr>
              <w:rPr>
                <w:rFonts w:asciiTheme="minorHAnsi" w:hAnsiTheme="minorHAnsi" w:cstheme="minorHAnsi"/>
                <w:color w:val="000000"/>
                <w:sz w:val="16"/>
                <w:szCs w:val="16"/>
              </w:rPr>
            </w:pPr>
            <w:r w:rsidRPr="004A3071">
              <w:rPr>
                <w:rFonts w:asciiTheme="minorHAnsi" w:hAnsiTheme="minorHAnsi" w:cstheme="minorHAnsi"/>
                <w:color w:val="000000"/>
                <w:sz w:val="16"/>
                <w:szCs w:val="16"/>
              </w:rPr>
              <w:t>Academic and research institutes</w:t>
            </w:r>
          </w:p>
          <w:p w14:paraId="4F5572B4" w14:textId="77777777" w:rsidR="009563B4" w:rsidRPr="004A3071" w:rsidRDefault="009563B4" w:rsidP="00481CA4">
            <w:pPr>
              <w:rPr>
                <w:rFonts w:asciiTheme="minorHAnsi" w:hAnsiTheme="minorHAnsi" w:cstheme="minorHAnsi"/>
                <w:color w:val="000000"/>
                <w:sz w:val="16"/>
                <w:szCs w:val="16"/>
              </w:rPr>
            </w:pPr>
            <w:r w:rsidRPr="004A3071">
              <w:rPr>
                <w:rFonts w:asciiTheme="minorHAnsi" w:hAnsiTheme="minorHAnsi" w:cstheme="minorHAnsi"/>
                <w:color w:val="000000"/>
                <w:sz w:val="16"/>
                <w:szCs w:val="16"/>
              </w:rPr>
              <w:t> </w:t>
            </w:r>
          </w:p>
        </w:tc>
        <w:tc>
          <w:tcPr>
            <w:tcW w:w="1870" w:type="dxa"/>
            <w:tcBorders>
              <w:top w:val="nil"/>
              <w:left w:val="single" w:sz="4" w:space="0" w:color="auto"/>
              <w:bottom w:val="nil"/>
              <w:right w:val="single" w:sz="4" w:space="0" w:color="000000" w:themeColor="text1"/>
            </w:tcBorders>
            <w:shd w:val="clear" w:color="auto" w:fill="FFFFFF" w:themeFill="background1"/>
            <w:vAlign w:val="center"/>
          </w:tcPr>
          <w:p w14:paraId="1C1E4EFD" w14:textId="77777777" w:rsidR="009563B4" w:rsidRPr="004A3071" w:rsidRDefault="009563B4" w:rsidP="00481CA4">
            <w:pPr>
              <w:jc w:val="center"/>
              <w:rPr>
                <w:rFonts w:asciiTheme="minorHAnsi" w:hAnsiTheme="minorHAnsi" w:cstheme="minorHAnsi"/>
                <w:color w:val="000000"/>
                <w:sz w:val="16"/>
                <w:szCs w:val="16"/>
              </w:rPr>
            </w:pPr>
            <w:r w:rsidRPr="004A3071">
              <w:rPr>
                <w:rFonts w:asciiTheme="minorHAnsi" w:hAnsiTheme="minorHAnsi" w:cstheme="minorHAnsi"/>
                <w:color w:val="000000"/>
                <w:sz w:val="16"/>
                <w:szCs w:val="16"/>
              </w:rPr>
              <w:t>Partner</w:t>
            </w:r>
          </w:p>
        </w:tc>
        <w:tc>
          <w:tcPr>
            <w:tcW w:w="1870" w:type="dxa"/>
            <w:tcBorders>
              <w:top w:val="nil"/>
              <w:left w:val="single" w:sz="4" w:space="0" w:color="000000" w:themeColor="text1"/>
              <w:bottom w:val="nil"/>
              <w:right w:val="single" w:sz="4" w:space="0" w:color="000000" w:themeColor="text1"/>
            </w:tcBorders>
            <w:shd w:val="clear" w:color="auto" w:fill="DDEBF7"/>
            <w:vAlign w:val="center"/>
          </w:tcPr>
          <w:p w14:paraId="51C91374" w14:textId="77777777" w:rsidR="009563B4" w:rsidRPr="004A3071" w:rsidRDefault="009563B4" w:rsidP="00481CA4">
            <w:pPr>
              <w:jc w:val="center"/>
              <w:rPr>
                <w:rFonts w:asciiTheme="minorHAnsi" w:hAnsiTheme="minorHAnsi" w:cstheme="minorHAnsi"/>
                <w:b/>
                <w:bCs/>
                <w:color w:val="000000"/>
                <w:sz w:val="16"/>
                <w:szCs w:val="16"/>
              </w:rPr>
            </w:pPr>
            <w:r w:rsidRPr="004A3071">
              <w:rPr>
                <w:rFonts w:asciiTheme="minorHAnsi" w:hAnsiTheme="minorHAnsi" w:cstheme="minorHAnsi"/>
                <w:b/>
                <w:bCs/>
                <w:color w:val="000000"/>
                <w:sz w:val="16"/>
                <w:szCs w:val="16"/>
              </w:rPr>
              <w:t>Resource Partner/Donor</w:t>
            </w:r>
          </w:p>
        </w:tc>
        <w:tc>
          <w:tcPr>
            <w:tcW w:w="1870" w:type="dxa"/>
            <w:tcBorders>
              <w:top w:val="nil"/>
              <w:left w:val="single" w:sz="4" w:space="0" w:color="000000" w:themeColor="text1"/>
              <w:bottom w:val="nil"/>
              <w:right w:val="single" w:sz="4" w:space="0" w:color="000000" w:themeColor="text1"/>
            </w:tcBorders>
            <w:shd w:val="clear" w:color="auto" w:fill="FFFFFF" w:themeFill="background1"/>
            <w:vAlign w:val="center"/>
          </w:tcPr>
          <w:p w14:paraId="29FC3749" w14:textId="77777777" w:rsidR="009563B4" w:rsidRPr="004A3071" w:rsidRDefault="009563B4" w:rsidP="00481CA4">
            <w:pPr>
              <w:jc w:val="center"/>
              <w:rPr>
                <w:rFonts w:asciiTheme="minorHAnsi" w:hAnsiTheme="minorHAnsi" w:cstheme="minorHAnsi"/>
                <w:color w:val="000000"/>
                <w:sz w:val="16"/>
                <w:szCs w:val="16"/>
              </w:rPr>
            </w:pPr>
            <w:r w:rsidRPr="004A3071">
              <w:rPr>
                <w:rFonts w:asciiTheme="minorHAnsi" w:hAnsiTheme="minorHAnsi" w:cstheme="minorHAnsi"/>
                <w:color w:val="000000"/>
                <w:sz w:val="16"/>
                <w:szCs w:val="16"/>
              </w:rPr>
              <w:t>Face-to-face meetings</w:t>
            </w:r>
          </w:p>
        </w:tc>
        <w:tc>
          <w:tcPr>
            <w:tcW w:w="2296" w:type="dxa"/>
            <w:tcBorders>
              <w:top w:val="nil"/>
              <w:left w:val="single" w:sz="4" w:space="0" w:color="000000" w:themeColor="text1"/>
              <w:bottom w:val="nil"/>
              <w:right w:val="single" w:sz="4" w:space="0" w:color="000000" w:themeColor="text1"/>
            </w:tcBorders>
            <w:shd w:val="clear" w:color="auto" w:fill="FFFFFF" w:themeFill="background1"/>
            <w:vAlign w:val="center"/>
          </w:tcPr>
          <w:p w14:paraId="4BE1C5CF" w14:textId="1B05C785" w:rsidR="009563B4" w:rsidRPr="004A3071" w:rsidRDefault="64CBAC26" w:rsidP="00481CA4">
            <w:pPr>
              <w:jc w:val="center"/>
              <w:rPr>
                <w:rFonts w:asciiTheme="minorHAnsi" w:hAnsiTheme="minorHAnsi" w:cstheme="minorHAnsi"/>
                <w:color w:val="000000"/>
                <w:sz w:val="16"/>
                <w:szCs w:val="16"/>
              </w:rPr>
            </w:pPr>
            <w:r w:rsidRPr="004A3071">
              <w:rPr>
                <w:rFonts w:asciiTheme="minorHAnsi" w:hAnsiTheme="minorHAnsi" w:cstheme="minorHAnsi"/>
                <w:color w:val="000000" w:themeColor="text1"/>
                <w:sz w:val="16"/>
                <w:szCs w:val="16"/>
              </w:rPr>
              <w:t> </w:t>
            </w:r>
            <w:r w:rsidR="23B8169C" w:rsidRPr="004A3071">
              <w:rPr>
                <w:rFonts w:asciiTheme="minorHAnsi" w:hAnsiTheme="minorHAnsi" w:cstheme="minorHAnsi"/>
                <w:color w:val="000000" w:themeColor="text1"/>
                <w:sz w:val="16"/>
                <w:szCs w:val="16"/>
              </w:rPr>
              <w:t xml:space="preserve"> The academy will be engaged in project implementation</w:t>
            </w:r>
          </w:p>
        </w:tc>
        <w:tc>
          <w:tcPr>
            <w:tcW w:w="1870" w:type="dxa"/>
            <w:tcBorders>
              <w:top w:val="nil"/>
              <w:left w:val="single" w:sz="4" w:space="0" w:color="000000" w:themeColor="text1"/>
              <w:bottom w:val="nil"/>
              <w:right w:val="single" w:sz="4" w:space="0" w:color="000000" w:themeColor="text1"/>
            </w:tcBorders>
            <w:shd w:val="clear" w:color="auto" w:fill="FFFFFF" w:themeFill="background1"/>
            <w:vAlign w:val="center"/>
          </w:tcPr>
          <w:p w14:paraId="2F6E6B52" w14:textId="6DFC91BD" w:rsidR="009563B4" w:rsidRPr="004A3071" w:rsidRDefault="62C2AB98" w:rsidP="00481CA4">
            <w:pPr>
              <w:jc w:val="center"/>
              <w:rPr>
                <w:rFonts w:asciiTheme="minorHAnsi" w:hAnsiTheme="minorHAnsi" w:cstheme="minorHAnsi"/>
                <w:color w:val="000000"/>
                <w:sz w:val="16"/>
                <w:szCs w:val="16"/>
              </w:rPr>
            </w:pPr>
            <w:r w:rsidRPr="004A3071">
              <w:rPr>
                <w:rFonts w:asciiTheme="minorHAnsi" w:hAnsiTheme="minorHAnsi" w:cstheme="minorHAnsi"/>
                <w:color w:val="000000" w:themeColor="text1"/>
                <w:sz w:val="16"/>
                <w:szCs w:val="16"/>
              </w:rPr>
              <w:t xml:space="preserve">During the implementation phase </w:t>
            </w:r>
            <w:r w:rsidR="64CBAC26" w:rsidRPr="004A3071">
              <w:rPr>
                <w:rFonts w:asciiTheme="minorHAnsi" w:hAnsiTheme="minorHAnsi" w:cstheme="minorHAnsi"/>
                <w:color w:val="000000" w:themeColor="text1"/>
                <w:sz w:val="16"/>
                <w:szCs w:val="16"/>
              </w:rPr>
              <w:t> </w:t>
            </w:r>
          </w:p>
        </w:tc>
        <w:tc>
          <w:tcPr>
            <w:tcW w:w="1870" w:type="dxa"/>
            <w:tcBorders>
              <w:top w:val="nil"/>
              <w:left w:val="single" w:sz="4" w:space="0" w:color="000000" w:themeColor="text1"/>
              <w:bottom w:val="nil"/>
              <w:right w:val="single" w:sz="4" w:space="0" w:color="auto"/>
            </w:tcBorders>
            <w:shd w:val="clear" w:color="auto" w:fill="FFFFFF" w:themeFill="background1"/>
            <w:vAlign w:val="center"/>
          </w:tcPr>
          <w:p w14:paraId="3A17E974" w14:textId="77777777" w:rsidR="009563B4" w:rsidRPr="004A3071" w:rsidRDefault="009563B4" w:rsidP="00481CA4">
            <w:pPr>
              <w:jc w:val="center"/>
              <w:rPr>
                <w:rFonts w:asciiTheme="minorHAnsi" w:hAnsiTheme="minorHAnsi" w:cstheme="minorHAnsi"/>
                <w:color w:val="000000"/>
                <w:sz w:val="16"/>
                <w:szCs w:val="16"/>
              </w:rPr>
            </w:pPr>
            <w:r w:rsidRPr="004A3071">
              <w:rPr>
                <w:rFonts w:asciiTheme="minorHAnsi" w:hAnsiTheme="minorHAnsi" w:cstheme="minorHAnsi"/>
                <w:color w:val="000000"/>
                <w:sz w:val="16"/>
                <w:szCs w:val="16"/>
              </w:rPr>
              <w:t> </w:t>
            </w:r>
          </w:p>
        </w:tc>
      </w:tr>
      <w:tr w:rsidR="009563B4" w:rsidRPr="004A3071" w14:paraId="19DF1F51" w14:textId="77777777" w:rsidTr="004A3071">
        <w:trPr>
          <w:cantSplit/>
        </w:trPr>
        <w:tc>
          <w:tcPr>
            <w:tcW w:w="1870" w:type="dxa"/>
            <w:vMerge/>
            <w:tcBorders>
              <w:top w:val="single" w:sz="4" w:space="0" w:color="auto"/>
              <w:left w:val="single" w:sz="4" w:space="0" w:color="auto"/>
              <w:bottom w:val="single" w:sz="4" w:space="0" w:color="auto"/>
            </w:tcBorders>
            <w:vAlign w:val="center"/>
          </w:tcPr>
          <w:p w14:paraId="0B537F06" w14:textId="77777777" w:rsidR="009563B4" w:rsidRPr="004A3071" w:rsidRDefault="009563B4" w:rsidP="00481CA4">
            <w:pPr>
              <w:rPr>
                <w:rFonts w:asciiTheme="minorHAnsi" w:hAnsiTheme="minorHAnsi" w:cstheme="minorHAnsi"/>
                <w:color w:val="000000"/>
                <w:sz w:val="16"/>
                <w:szCs w:val="16"/>
              </w:rPr>
            </w:pPr>
          </w:p>
        </w:tc>
        <w:tc>
          <w:tcPr>
            <w:tcW w:w="1870" w:type="dxa"/>
            <w:tcBorders>
              <w:top w:val="nil"/>
              <w:left w:val="single" w:sz="4" w:space="0" w:color="auto"/>
              <w:bottom w:val="single" w:sz="4" w:space="0" w:color="auto"/>
              <w:right w:val="single" w:sz="4" w:space="0" w:color="000000" w:themeColor="text1"/>
            </w:tcBorders>
            <w:shd w:val="clear" w:color="auto" w:fill="FFFFFF" w:themeFill="background1"/>
            <w:vAlign w:val="center"/>
          </w:tcPr>
          <w:p w14:paraId="1D3CCC9E" w14:textId="77777777" w:rsidR="009563B4" w:rsidRPr="004A3071" w:rsidRDefault="009563B4" w:rsidP="00481CA4">
            <w:pPr>
              <w:jc w:val="center"/>
              <w:rPr>
                <w:rFonts w:asciiTheme="minorHAnsi" w:hAnsiTheme="minorHAnsi" w:cstheme="minorHAnsi"/>
                <w:color w:val="000000"/>
                <w:sz w:val="16"/>
                <w:szCs w:val="16"/>
              </w:rPr>
            </w:pPr>
            <w:r w:rsidRPr="004A3071">
              <w:rPr>
                <w:rFonts w:asciiTheme="minorHAnsi" w:hAnsiTheme="minorHAnsi" w:cstheme="minorHAnsi"/>
                <w:color w:val="000000"/>
                <w:sz w:val="16"/>
                <w:szCs w:val="16"/>
              </w:rPr>
              <w:t> </w:t>
            </w:r>
          </w:p>
        </w:tc>
        <w:tc>
          <w:tcPr>
            <w:tcW w:w="1870" w:type="dxa"/>
            <w:tcBorders>
              <w:top w:val="nil"/>
              <w:left w:val="single" w:sz="4" w:space="0" w:color="000000" w:themeColor="text1"/>
              <w:bottom w:val="single" w:sz="4" w:space="0" w:color="auto"/>
              <w:right w:val="single" w:sz="4" w:space="0" w:color="000000" w:themeColor="text1"/>
            </w:tcBorders>
            <w:shd w:val="clear" w:color="auto" w:fill="DDEBF7"/>
            <w:vAlign w:val="center"/>
          </w:tcPr>
          <w:p w14:paraId="40828F28" w14:textId="77777777" w:rsidR="009563B4" w:rsidRPr="004A3071" w:rsidRDefault="009563B4" w:rsidP="00481CA4">
            <w:pPr>
              <w:jc w:val="center"/>
              <w:rPr>
                <w:rFonts w:asciiTheme="minorHAnsi" w:hAnsiTheme="minorHAnsi" w:cstheme="minorHAnsi"/>
                <w:b/>
                <w:bCs/>
                <w:color w:val="000000"/>
                <w:sz w:val="16"/>
                <w:szCs w:val="16"/>
              </w:rPr>
            </w:pPr>
            <w:r w:rsidRPr="004A3071">
              <w:rPr>
                <w:rFonts w:asciiTheme="minorHAnsi" w:hAnsiTheme="minorHAnsi" w:cstheme="minorHAnsi"/>
                <w:b/>
                <w:bCs/>
                <w:color w:val="000000"/>
                <w:sz w:val="16"/>
                <w:szCs w:val="16"/>
              </w:rPr>
              <w:t> </w:t>
            </w:r>
          </w:p>
        </w:tc>
        <w:tc>
          <w:tcPr>
            <w:tcW w:w="1870" w:type="dxa"/>
            <w:tcBorders>
              <w:top w:val="nil"/>
              <w:left w:val="single" w:sz="4" w:space="0" w:color="000000" w:themeColor="text1"/>
              <w:bottom w:val="single" w:sz="4" w:space="0" w:color="auto"/>
              <w:right w:val="single" w:sz="4" w:space="0" w:color="000000" w:themeColor="text1"/>
            </w:tcBorders>
            <w:shd w:val="clear" w:color="auto" w:fill="FFFFFF" w:themeFill="background1"/>
            <w:vAlign w:val="center"/>
          </w:tcPr>
          <w:p w14:paraId="6BBACF7D" w14:textId="77777777" w:rsidR="009563B4" w:rsidRPr="004A3071" w:rsidRDefault="009563B4" w:rsidP="00481CA4">
            <w:pPr>
              <w:jc w:val="center"/>
              <w:rPr>
                <w:rFonts w:asciiTheme="minorHAnsi" w:hAnsiTheme="minorHAnsi" w:cstheme="minorHAnsi"/>
                <w:color w:val="000000"/>
                <w:sz w:val="16"/>
                <w:szCs w:val="16"/>
              </w:rPr>
            </w:pPr>
            <w:r w:rsidRPr="004A3071">
              <w:rPr>
                <w:rFonts w:asciiTheme="minorHAnsi" w:hAnsiTheme="minorHAnsi" w:cstheme="minorHAnsi"/>
                <w:color w:val="000000"/>
                <w:sz w:val="16"/>
                <w:szCs w:val="16"/>
              </w:rPr>
              <w:t>PGG inception and validation workshops</w:t>
            </w:r>
          </w:p>
        </w:tc>
        <w:tc>
          <w:tcPr>
            <w:tcW w:w="2296" w:type="dxa"/>
            <w:tcBorders>
              <w:top w:val="nil"/>
              <w:left w:val="single" w:sz="4" w:space="0" w:color="000000" w:themeColor="text1"/>
              <w:bottom w:val="single" w:sz="4" w:space="0" w:color="auto"/>
              <w:right w:val="single" w:sz="4" w:space="0" w:color="000000" w:themeColor="text1"/>
            </w:tcBorders>
            <w:shd w:val="clear" w:color="auto" w:fill="FFFFFF" w:themeFill="background1"/>
            <w:vAlign w:val="center"/>
          </w:tcPr>
          <w:p w14:paraId="78B6E611" w14:textId="77777777" w:rsidR="009563B4" w:rsidRPr="004A3071" w:rsidRDefault="009563B4" w:rsidP="00481CA4">
            <w:pPr>
              <w:jc w:val="center"/>
              <w:rPr>
                <w:rFonts w:asciiTheme="minorHAnsi" w:hAnsiTheme="minorHAnsi" w:cstheme="minorHAnsi"/>
                <w:color w:val="000000"/>
                <w:sz w:val="16"/>
                <w:szCs w:val="16"/>
              </w:rPr>
            </w:pPr>
            <w:r w:rsidRPr="004A3071">
              <w:rPr>
                <w:rFonts w:asciiTheme="minorHAnsi" w:hAnsiTheme="minorHAnsi" w:cstheme="minorHAnsi"/>
                <w:color w:val="000000"/>
                <w:sz w:val="16"/>
                <w:szCs w:val="16"/>
              </w:rPr>
              <w:t> </w:t>
            </w:r>
          </w:p>
        </w:tc>
        <w:tc>
          <w:tcPr>
            <w:tcW w:w="1870" w:type="dxa"/>
            <w:tcBorders>
              <w:top w:val="nil"/>
              <w:left w:val="single" w:sz="4" w:space="0" w:color="000000" w:themeColor="text1"/>
              <w:bottom w:val="single" w:sz="4" w:space="0" w:color="auto"/>
              <w:right w:val="single" w:sz="4" w:space="0" w:color="000000" w:themeColor="text1"/>
            </w:tcBorders>
            <w:shd w:val="clear" w:color="auto" w:fill="FFFFFF" w:themeFill="background1"/>
            <w:vAlign w:val="center"/>
          </w:tcPr>
          <w:p w14:paraId="1BA51D87" w14:textId="77777777" w:rsidR="009563B4" w:rsidRPr="004A3071" w:rsidRDefault="009563B4" w:rsidP="00481CA4">
            <w:pPr>
              <w:jc w:val="center"/>
              <w:rPr>
                <w:rFonts w:asciiTheme="minorHAnsi" w:hAnsiTheme="minorHAnsi" w:cstheme="minorHAnsi"/>
                <w:color w:val="000000"/>
                <w:sz w:val="16"/>
                <w:szCs w:val="16"/>
              </w:rPr>
            </w:pPr>
            <w:r w:rsidRPr="004A3071">
              <w:rPr>
                <w:rFonts w:asciiTheme="minorHAnsi" w:hAnsiTheme="minorHAnsi" w:cstheme="minorHAnsi"/>
                <w:color w:val="000000"/>
                <w:sz w:val="16"/>
                <w:szCs w:val="16"/>
              </w:rPr>
              <w:t> </w:t>
            </w:r>
          </w:p>
        </w:tc>
        <w:tc>
          <w:tcPr>
            <w:tcW w:w="1870" w:type="dxa"/>
            <w:tcBorders>
              <w:top w:val="nil"/>
              <w:left w:val="single" w:sz="4" w:space="0" w:color="000000" w:themeColor="text1"/>
              <w:bottom w:val="single" w:sz="4" w:space="0" w:color="auto"/>
              <w:right w:val="single" w:sz="4" w:space="0" w:color="auto"/>
            </w:tcBorders>
            <w:shd w:val="clear" w:color="auto" w:fill="FFFFFF" w:themeFill="background1"/>
            <w:vAlign w:val="center"/>
          </w:tcPr>
          <w:p w14:paraId="286A878E" w14:textId="77777777" w:rsidR="009563B4" w:rsidRPr="004A3071" w:rsidRDefault="009563B4" w:rsidP="00481CA4">
            <w:pPr>
              <w:jc w:val="center"/>
              <w:rPr>
                <w:rFonts w:asciiTheme="minorHAnsi" w:hAnsiTheme="minorHAnsi" w:cstheme="minorHAnsi"/>
                <w:color w:val="000000"/>
                <w:sz w:val="16"/>
                <w:szCs w:val="16"/>
              </w:rPr>
            </w:pPr>
            <w:r w:rsidRPr="004A3071">
              <w:rPr>
                <w:rFonts w:asciiTheme="minorHAnsi" w:hAnsiTheme="minorHAnsi" w:cstheme="minorHAnsi"/>
                <w:color w:val="000000"/>
                <w:sz w:val="16"/>
                <w:szCs w:val="16"/>
              </w:rPr>
              <w:t> </w:t>
            </w:r>
          </w:p>
        </w:tc>
      </w:tr>
      <w:tr w:rsidR="009563B4" w:rsidRPr="004A3071" w14:paraId="51F246E7" w14:textId="77777777" w:rsidTr="004A3071">
        <w:trPr>
          <w:cantSplit/>
        </w:trPr>
        <w:tc>
          <w:tcPr>
            <w:tcW w:w="1870" w:type="dxa"/>
            <w:vMerge w:val="restart"/>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FC119E7" w14:textId="77777777" w:rsidR="009563B4" w:rsidRPr="004A3071" w:rsidRDefault="009563B4" w:rsidP="00481CA4">
            <w:pPr>
              <w:rPr>
                <w:rFonts w:asciiTheme="minorHAnsi" w:hAnsiTheme="minorHAnsi" w:cstheme="minorHAnsi"/>
                <w:color w:val="000000"/>
                <w:sz w:val="16"/>
                <w:szCs w:val="16"/>
              </w:rPr>
            </w:pPr>
            <w:r w:rsidRPr="004A3071">
              <w:rPr>
                <w:rFonts w:asciiTheme="minorHAnsi" w:hAnsiTheme="minorHAnsi" w:cstheme="minorHAnsi"/>
                <w:color w:val="000000"/>
                <w:sz w:val="16"/>
                <w:szCs w:val="16"/>
              </w:rPr>
              <w:t>African Development Bank</w:t>
            </w:r>
          </w:p>
          <w:p w14:paraId="4E0B8497" w14:textId="77777777" w:rsidR="009563B4" w:rsidRPr="004A3071" w:rsidRDefault="009563B4" w:rsidP="00481CA4">
            <w:pPr>
              <w:rPr>
                <w:rFonts w:asciiTheme="minorHAnsi" w:hAnsiTheme="minorHAnsi" w:cstheme="minorHAnsi"/>
                <w:color w:val="000000"/>
                <w:sz w:val="16"/>
                <w:szCs w:val="16"/>
              </w:rPr>
            </w:pPr>
            <w:r w:rsidRPr="004A3071">
              <w:rPr>
                <w:rFonts w:asciiTheme="minorHAnsi" w:hAnsiTheme="minorHAnsi" w:cstheme="minorHAnsi"/>
                <w:color w:val="000000"/>
                <w:sz w:val="16"/>
                <w:szCs w:val="16"/>
              </w:rPr>
              <w:t> </w:t>
            </w:r>
          </w:p>
        </w:tc>
        <w:tc>
          <w:tcPr>
            <w:tcW w:w="1870" w:type="dxa"/>
            <w:tcBorders>
              <w:top w:val="nil"/>
              <w:left w:val="single" w:sz="4" w:space="0" w:color="auto"/>
              <w:bottom w:val="nil"/>
              <w:right w:val="single" w:sz="4" w:space="0" w:color="000000" w:themeColor="text1"/>
            </w:tcBorders>
            <w:shd w:val="clear" w:color="auto" w:fill="FFFFFF" w:themeFill="background1"/>
            <w:vAlign w:val="center"/>
          </w:tcPr>
          <w:p w14:paraId="2AEA6E3F" w14:textId="77777777" w:rsidR="009563B4" w:rsidRPr="004A3071" w:rsidRDefault="009563B4" w:rsidP="00481CA4">
            <w:pPr>
              <w:jc w:val="center"/>
              <w:rPr>
                <w:rFonts w:asciiTheme="minorHAnsi" w:hAnsiTheme="minorHAnsi" w:cstheme="minorHAnsi"/>
                <w:color w:val="000000"/>
                <w:sz w:val="16"/>
                <w:szCs w:val="16"/>
              </w:rPr>
            </w:pPr>
            <w:r w:rsidRPr="004A3071">
              <w:rPr>
                <w:rFonts w:asciiTheme="minorHAnsi" w:hAnsiTheme="minorHAnsi" w:cstheme="minorHAnsi"/>
                <w:color w:val="000000"/>
                <w:sz w:val="16"/>
                <w:szCs w:val="16"/>
              </w:rPr>
              <w:t>Partner</w:t>
            </w:r>
          </w:p>
        </w:tc>
        <w:tc>
          <w:tcPr>
            <w:tcW w:w="1870" w:type="dxa"/>
            <w:tcBorders>
              <w:top w:val="nil"/>
              <w:left w:val="single" w:sz="4" w:space="0" w:color="000000" w:themeColor="text1"/>
              <w:bottom w:val="nil"/>
              <w:right w:val="single" w:sz="4" w:space="0" w:color="000000" w:themeColor="text1"/>
            </w:tcBorders>
            <w:shd w:val="clear" w:color="auto" w:fill="DDEBF7"/>
            <w:vAlign w:val="center"/>
          </w:tcPr>
          <w:p w14:paraId="7E94351C" w14:textId="77777777" w:rsidR="009563B4" w:rsidRPr="004A3071" w:rsidRDefault="009563B4" w:rsidP="00481CA4">
            <w:pPr>
              <w:jc w:val="center"/>
              <w:rPr>
                <w:rFonts w:asciiTheme="minorHAnsi" w:hAnsiTheme="minorHAnsi" w:cstheme="minorHAnsi"/>
                <w:b/>
                <w:bCs/>
                <w:color w:val="000000"/>
                <w:sz w:val="16"/>
                <w:szCs w:val="16"/>
              </w:rPr>
            </w:pPr>
            <w:r w:rsidRPr="004A3071">
              <w:rPr>
                <w:rFonts w:asciiTheme="minorHAnsi" w:hAnsiTheme="minorHAnsi" w:cstheme="minorHAnsi"/>
                <w:b/>
                <w:bCs/>
                <w:color w:val="000000"/>
                <w:sz w:val="16"/>
                <w:szCs w:val="16"/>
              </w:rPr>
              <w:t>Resource Partner/Donor</w:t>
            </w:r>
          </w:p>
        </w:tc>
        <w:tc>
          <w:tcPr>
            <w:tcW w:w="1870" w:type="dxa"/>
            <w:tcBorders>
              <w:top w:val="nil"/>
              <w:left w:val="single" w:sz="4" w:space="0" w:color="000000" w:themeColor="text1"/>
              <w:bottom w:val="nil"/>
              <w:right w:val="single" w:sz="4" w:space="0" w:color="000000" w:themeColor="text1"/>
            </w:tcBorders>
            <w:shd w:val="clear" w:color="auto" w:fill="FFFFFF" w:themeFill="background1"/>
            <w:vAlign w:val="center"/>
          </w:tcPr>
          <w:p w14:paraId="16C6654A" w14:textId="77777777" w:rsidR="009563B4" w:rsidRPr="004A3071" w:rsidRDefault="009563B4" w:rsidP="00481CA4">
            <w:pPr>
              <w:jc w:val="center"/>
              <w:rPr>
                <w:rFonts w:asciiTheme="minorHAnsi" w:hAnsiTheme="minorHAnsi" w:cstheme="minorHAnsi"/>
                <w:color w:val="000000"/>
                <w:sz w:val="16"/>
                <w:szCs w:val="16"/>
              </w:rPr>
            </w:pPr>
            <w:r w:rsidRPr="004A3071">
              <w:rPr>
                <w:rFonts w:asciiTheme="minorHAnsi" w:hAnsiTheme="minorHAnsi" w:cstheme="minorHAnsi"/>
                <w:color w:val="000000"/>
                <w:sz w:val="16"/>
                <w:szCs w:val="16"/>
              </w:rPr>
              <w:t>Face-to-face meetings</w:t>
            </w:r>
          </w:p>
        </w:tc>
        <w:tc>
          <w:tcPr>
            <w:tcW w:w="2296" w:type="dxa"/>
            <w:tcBorders>
              <w:top w:val="nil"/>
              <w:left w:val="single" w:sz="4" w:space="0" w:color="000000" w:themeColor="text1"/>
              <w:bottom w:val="nil"/>
              <w:right w:val="single" w:sz="4" w:space="0" w:color="000000" w:themeColor="text1"/>
            </w:tcBorders>
            <w:shd w:val="clear" w:color="auto" w:fill="FFFFFF" w:themeFill="background1"/>
            <w:vAlign w:val="center"/>
          </w:tcPr>
          <w:p w14:paraId="542893EF" w14:textId="47893AA8" w:rsidR="009563B4" w:rsidRPr="004A3071" w:rsidRDefault="6B019BC8" w:rsidP="00481CA4">
            <w:pPr>
              <w:jc w:val="center"/>
              <w:rPr>
                <w:rFonts w:asciiTheme="minorHAnsi" w:hAnsiTheme="minorHAnsi" w:cstheme="minorHAnsi"/>
                <w:color w:val="000000"/>
                <w:sz w:val="16"/>
                <w:szCs w:val="16"/>
              </w:rPr>
            </w:pPr>
            <w:r w:rsidRPr="004A3071">
              <w:rPr>
                <w:rFonts w:asciiTheme="minorHAnsi" w:hAnsiTheme="minorHAnsi" w:cstheme="minorHAnsi"/>
                <w:color w:val="000000" w:themeColor="text1"/>
                <w:sz w:val="16"/>
                <w:szCs w:val="16"/>
              </w:rPr>
              <w:t>Potential partnership with other projects funded by the bank  </w:t>
            </w:r>
          </w:p>
        </w:tc>
        <w:tc>
          <w:tcPr>
            <w:tcW w:w="1870" w:type="dxa"/>
            <w:tcBorders>
              <w:top w:val="nil"/>
              <w:left w:val="single" w:sz="4" w:space="0" w:color="000000" w:themeColor="text1"/>
              <w:bottom w:val="nil"/>
              <w:right w:val="single" w:sz="4" w:space="0" w:color="000000" w:themeColor="text1"/>
            </w:tcBorders>
            <w:shd w:val="clear" w:color="auto" w:fill="FFFFFF" w:themeFill="background1"/>
            <w:vAlign w:val="center"/>
          </w:tcPr>
          <w:p w14:paraId="33C01FAD" w14:textId="1C607A13" w:rsidR="009563B4" w:rsidRPr="004A3071" w:rsidRDefault="3F36D3F1" w:rsidP="00481CA4">
            <w:pPr>
              <w:jc w:val="center"/>
              <w:rPr>
                <w:rFonts w:asciiTheme="minorHAnsi" w:hAnsiTheme="minorHAnsi" w:cstheme="minorHAnsi"/>
                <w:color w:val="000000"/>
                <w:sz w:val="16"/>
                <w:szCs w:val="16"/>
              </w:rPr>
            </w:pPr>
            <w:r w:rsidRPr="004A3071">
              <w:rPr>
                <w:rFonts w:asciiTheme="minorHAnsi" w:hAnsiTheme="minorHAnsi" w:cstheme="minorHAnsi"/>
                <w:color w:val="000000" w:themeColor="text1"/>
                <w:sz w:val="16"/>
                <w:szCs w:val="16"/>
              </w:rPr>
              <w:t xml:space="preserve">During the implementation phase </w:t>
            </w:r>
            <w:r w:rsidR="64CBAC26" w:rsidRPr="004A3071">
              <w:rPr>
                <w:rFonts w:asciiTheme="minorHAnsi" w:hAnsiTheme="minorHAnsi" w:cstheme="minorHAnsi"/>
                <w:color w:val="000000" w:themeColor="text1"/>
                <w:sz w:val="16"/>
                <w:szCs w:val="16"/>
              </w:rPr>
              <w:t> </w:t>
            </w:r>
          </w:p>
        </w:tc>
        <w:tc>
          <w:tcPr>
            <w:tcW w:w="1870" w:type="dxa"/>
            <w:tcBorders>
              <w:top w:val="nil"/>
              <w:left w:val="single" w:sz="4" w:space="0" w:color="000000" w:themeColor="text1"/>
              <w:bottom w:val="nil"/>
              <w:right w:val="single" w:sz="4" w:space="0" w:color="auto"/>
            </w:tcBorders>
            <w:shd w:val="clear" w:color="auto" w:fill="FFFFFF" w:themeFill="background1"/>
            <w:vAlign w:val="center"/>
          </w:tcPr>
          <w:p w14:paraId="6C8C003E" w14:textId="37ED5D64" w:rsidR="009563B4" w:rsidRPr="004A3071" w:rsidRDefault="009563B4" w:rsidP="00481CA4">
            <w:pPr>
              <w:jc w:val="center"/>
              <w:rPr>
                <w:rFonts w:asciiTheme="minorHAnsi" w:hAnsiTheme="minorHAnsi" w:cstheme="minorHAnsi"/>
                <w:color w:val="000000"/>
                <w:sz w:val="16"/>
                <w:szCs w:val="16"/>
              </w:rPr>
            </w:pPr>
            <w:r w:rsidRPr="004A3071">
              <w:rPr>
                <w:rFonts w:asciiTheme="minorHAnsi" w:hAnsiTheme="minorHAnsi" w:cstheme="minorHAnsi"/>
                <w:color w:val="000000"/>
                <w:sz w:val="16"/>
                <w:szCs w:val="16"/>
              </w:rPr>
              <w:t> </w:t>
            </w:r>
          </w:p>
        </w:tc>
      </w:tr>
      <w:tr w:rsidR="009563B4" w:rsidRPr="004A3071" w14:paraId="1341C33C" w14:textId="77777777" w:rsidTr="004A3071">
        <w:trPr>
          <w:cantSplit/>
        </w:trPr>
        <w:tc>
          <w:tcPr>
            <w:tcW w:w="1870" w:type="dxa"/>
            <w:vMerge/>
            <w:tcBorders>
              <w:top w:val="single" w:sz="4" w:space="0" w:color="auto"/>
              <w:left w:val="single" w:sz="4" w:space="0" w:color="auto"/>
              <w:bottom w:val="single" w:sz="4" w:space="0" w:color="auto"/>
            </w:tcBorders>
            <w:vAlign w:val="center"/>
          </w:tcPr>
          <w:p w14:paraId="5696F9D6" w14:textId="77777777" w:rsidR="009563B4" w:rsidRPr="004A3071" w:rsidRDefault="009563B4" w:rsidP="00481CA4">
            <w:pPr>
              <w:rPr>
                <w:rFonts w:asciiTheme="minorHAnsi" w:hAnsiTheme="minorHAnsi" w:cstheme="minorHAnsi"/>
                <w:color w:val="000000"/>
                <w:sz w:val="16"/>
                <w:szCs w:val="16"/>
              </w:rPr>
            </w:pPr>
          </w:p>
        </w:tc>
        <w:tc>
          <w:tcPr>
            <w:tcW w:w="1870" w:type="dxa"/>
            <w:tcBorders>
              <w:top w:val="nil"/>
              <w:left w:val="single" w:sz="4" w:space="0" w:color="auto"/>
              <w:bottom w:val="single" w:sz="4" w:space="0" w:color="auto"/>
              <w:right w:val="single" w:sz="4" w:space="0" w:color="000000" w:themeColor="text1"/>
            </w:tcBorders>
            <w:shd w:val="clear" w:color="auto" w:fill="FFFFFF" w:themeFill="background1"/>
            <w:vAlign w:val="center"/>
          </w:tcPr>
          <w:p w14:paraId="78FB727C" w14:textId="77777777" w:rsidR="009563B4" w:rsidRPr="004A3071" w:rsidRDefault="009563B4" w:rsidP="00481CA4">
            <w:pPr>
              <w:jc w:val="center"/>
              <w:rPr>
                <w:rFonts w:asciiTheme="minorHAnsi" w:hAnsiTheme="minorHAnsi" w:cstheme="minorHAnsi"/>
                <w:color w:val="000000"/>
                <w:sz w:val="16"/>
                <w:szCs w:val="16"/>
              </w:rPr>
            </w:pPr>
            <w:r w:rsidRPr="004A3071">
              <w:rPr>
                <w:rFonts w:asciiTheme="minorHAnsi" w:hAnsiTheme="minorHAnsi" w:cstheme="minorHAnsi"/>
                <w:color w:val="000000"/>
                <w:sz w:val="16"/>
                <w:szCs w:val="16"/>
              </w:rPr>
              <w:t> </w:t>
            </w:r>
          </w:p>
        </w:tc>
        <w:tc>
          <w:tcPr>
            <w:tcW w:w="1870" w:type="dxa"/>
            <w:tcBorders>
              <w:top w:val="nil"/>
              <w:left w:val="single" w:sz="4" w:space="0" w:color="000000" w:themeColor="text1"/>
              <w:bottom w:val="single" w:sz="4" w:space="0" w:color="auto"/>
              <w:right w:val="single" w:sz="4" w:space="0" w:color="000000" w:themeColor="text1"/>
            </w:tcBorders>
            <w:shd w:val="clear" w:color="auto" w:fill="DDEBF7"/>
            <w:vAlign w:val="center"/>
          </w:tcPr>
          <w:p w14:paraId="616406E4" w14:textId="77777777" w:rsidR="009563B4" w:rsidRPr="004A3071" w:rsidRDefault="009563B4" w:rsidP="00481CA4">
            <w:pPr>
              <w:jc w:val="center"/>
              <w:rPr>
                <w:rFonts w:asciiTheme="minorHAnsi" w:hAnsiTheme="minorHAnsi" w:cstheme="minorHAnsi"/>
                <w:b/>
                <w:bCs/>
                <w:color w:val="000000"/>
                <w:sz w:val="16"/>
                <w:szCs w:val="16"/>
              </w:rPr>
            </w:pPr>
            <w:r w:rsidRPr="004A3071">
              <w:rPr>
                <w:rFonts w:asciiTheme="minorHAnsi" w:hAnsiTheme="minorHAnsi" w:cstheme="minorHAnsi"/>
                <w:b/>
                <w:bCs/>
                <w:color w:val="000000"/>
                <w:sz w:val="16"/>
                <w:szCs w:val="16"/>
              </w:rPr>
              <w:t> </w:t>
            </w:r>
          </w:p>
        </w:tc>
        <w:tc>
          <w:tcPr>
            <w:tcW w:w="1870" w:type="dxa"/>
            <w:tcBorders>
              <w:top w:val="nil"/>
              <w:left w:val="single" w:sz="4" w:space="0" w:color="000000" w:themeColor="text1"/>
              <w:bottom w:val="single" w:sz="4" w:space="0" w:color="auto"/>
              <w:right w:val="single" w:sz="4" w:space="0" w:color="000000" w:themeColor="text1"/>
            </w:tcBorders>
            <w:shd w:val="clear" w:color="auto" w:fill="FFFFFF" w:themeFill="background1"/>
            <w:vAlign w:val="center"/>
          </w:tcPr>
          <w:p w14:paraId="55693ECE" w14:textId="77777777" w:rsidR="009563B4" w:rsidRPr="004A3071" w:rsidRDefault="009563B4" w:rsidP="00481CA4">
            <w:pPr>
              <w:jc w:val="center"/>
              <w:rPr>
                <w:rFonts w:asciiTheme="minorHAnsi" w:hAnsiTheme="minorHAnsi" w:cstheme="minorHAnsi"/>
                <w:color w:val="000000"/>
                <w:sz w:val="16"/>
                <w:szCs w:val="16"/>
              </w:rPr>
            </w:pPr>
            <w:r w:rsidRPr="004A3071">
              <w:rPr>
                <w:rFonts w:asciiTheme="minorHAnsi" w:hAnsiTheme="minorHAnsi" w:cstheme="minorHAnsi"/>
                <w:color w:val="000000"/>
                <w:sz w:val="16"/>
                <w:szCs w:val="16"/>
              </w:rPr>
              <w:t>PGG inception and validation workshops</w:t>
            </w:r>
          </w:p>
        </w:tc>
        <w:tc>
          <w:tcPr>
            <w:tcW w:w="2296" w:type="dxa"/>
            <w:tcBorders>
              <w:top w:val="nil"/>
              <w:left w:val="single" w:sz="4" w:space="0" w:color="000000" w:themeColor="text1"/>
              <w:bottom w:val="single" w:sz="4" w:space="0" w:color="auto"/>
              <w:right w:val="single" w:sz="4" w:space="0" w:color="000000" w:themeColor="text1"/>
            </w:tcBorders>
            <w:shd w:val="clear" w:color="auto" w:fill="FFFFFF" w:themeFill="background1"/>
            <w:vAlign w:val="center"/>
          </w:tcPr>
          <w:p w14:paraId="419B46D8" w14:textId="77777777" w:rsidR="009563B4" w:rsidRPr="004A3071" w:rsidRDefault="009563B4" w:rsidP="00481CA4">
            <w:pPr>
              <w:jc w:val="center"/>
              <w:rPr>
                <w:rFonts w:asciiTheme="minorHAnsi" w:hAnsiTheme="minorHAnsi" w:cstheme="minorHAnsi"/>
                <w:color w:val="000000"/>
                <w:sz w:val="16"/>
                <w:szCs w:val="16"/>
              </w:rPr>
            </w:pPr>
            <w:r w:rsidRPr="004A3071">
              <w:rPr>
                <w:rFonts w:asciiTheme="minorHAnsi" w:hAnsiTheme="minorHAnsi" w:cstheme="minorHAnsi"/>
                <w:color w:val="000000"/>
                <w:sz w:val="16"/>
                <w:szCs w:val="16"/>
              </w:rPr>
              <w:t> </w:t>
            </w:r>
          </w:p>
        </w:tc>
        <w:tc>
          <w:tcPr>
            <w:tcW w:w="1870" w:type="dxa"/>
            <w:tcBorders>
              <w:top w:val="nil"/>
              <w:left w:val="single" w:sz="4" w:space="0" w:color="000000" w:themeColor="text1"/>
              <w:bottom w:val="single" w:sz="4" w:space="0" w:color="auto"/>
              <w:right w:val="single" w:sz="4" w:space="0" w:color="000000" w:themeColor="text1"/>
            </w:tcBorders>
            <w:shd w:val="clear" w:color="auto" w:fill="FFFFFF" w:themeFill="background1"/>
            <w:vAlign w:val="center"/>
          </w:tcPr>
          <w:p w14:paraId="7CF9966B" w14:textId="77777777" w:rsidR="009563B4" w:rsidRPr="004A3071" w:rsidRDefault="009563B4" w:rsidP="00481CA4">
            <w:pPr>
              <w:jc w:val="center"/>
              <w:rPr>
                <w:rFonts w:asciiTheme="minorHAnsi" w:hAnsiTheme="minorHAnsi" w:cstheme="minorHAnsi"/>
                <w:color w:val="000000"/>
                <w:sz w:val="16"/>
                <w:szCs w:val="16"/>
              </w:rPr>
            </w:pPr>
            <w:r w:rsidRPr="004A3071">
              <w:rPr>
                <w:rFonts w:asciiTheme="minorHAnsi" w:hAnsiTheme="minorHAnsi" w:cstheme="minorHAnsi"/>
                <w:color w:val="000000"/>
                <w:sz w:val="16"/>
                <w:szCs w:val="16"/>
              </w:rPr>
              <w:t> </w:t>
            </w:r>
          </w:p>
        </w:tc>
        <w:tc>
          <w:tcPr>
            <w:tcW w:w="1870" w:type="dxa"/>
            <w:tcBorders>
              <w:top w:val="nil"/>
              <w:left w:val="single" w:sz="4" w:space="0" w:color="000000" w:themeColor="text1"/>
              <w:bottom w:val="single" w:sz="4" w:space="0" w:color="auto"/>
              <w:right w:val="single" w:sz="4" w:space="0" w:color="auto"/>
            </w:tcBorders>
            <w:shd w:val="clear" w:color="auto" w:fill="FFFFFF" w:themeFill="background1"/>
            <w:vAlign w:val="center"/>
          </w:tcPr>
          <w:p w14:paraId="0E0C91CB" w14:textId="77777777" w:rsidR="009563B4" w:rsidRPr="004A3071" w:rsidRDefault="009563B4" w:rsidP="00481CA4">
            <w:pPr>
              <w:jc w:val="center"/>
              <w:rPr>
                <w:rFonts w:asciiTheme="minorHAnsi" w:hAnsiTheme="minorHAnsi" w:cstheme="minorHAnsi"/>
                <w:color w:val="000000"/>
                <w:sz w:val="16"/>
                <w:szCs w:val="16"/>
              </w:rPr>
            </w:pPr>
            <w:r w:rsidRPr="004A3071">
              <w:rPr>
                <w:rFonts w:asciiTheme="minorHAnsi" w:hAnsiTheme="minorHAnsi" w:cstheme="minorHAnsi"/>
                <w:color w:val="000000"/>
                <w:sz w:val="16"/>
                <w:szCs w:val="16"/>
              </w:rPr>
              <w:t> </w:t>
            </w:r>
          </w:p>
        </w:tc>
      </w:tr>
    </w:tbl>
    <w:p w14:paraId="51DDD50C" w14:textId="77777777" w:rsidR="009563B4" w:rsidRPr="00CE1EA7" w:rsidRDefault="009563B4" w:rsidP="009563B4">
      <w:pPr>
        <w:sectPr w:rsidR="009563B4" w:rsidRPr="00CE1EA7" w:rsidSect="00903274">
          <w:headerReference w:type="even" r:id="rId116"/>
          <w:headerReference w:type="default" r:id="rId117"/>
          <w:headerReference w:type="first" r:id="rId118"/>
          <w:pgSz w:w="15840" w:h="12240" w:orient="landscape" w:code="1"/>
          <w:pgMar w:top="1440" w:right="1440" w:bottom="1440" w:left="1440" w:header="720" w:footer="720" w:gutter="0"/>
          <w:cols w:space="720"/>
          <w:docGrid w:linePitch="360"/>
        </w:sectPr>
      </w:pPr>
    </w:p>
    <w:p w14:paraId="464320F9" w14:textId="77777777" w:rsidR="009563B4" w:rsidRPr="00CE1EA7" w:rsidRDefault="009563B4" w:rsidP="009563B4">
      <w:pPr>
        <w:pStyle w:val="Heading3"/>
      </w:pPr>
      <w:bookmarkStart w:id="426" w:name="_Toc42027169"/>
      <w:bookmarkStart w:id="427" w:name="_Toc42262677"/>
      <w:r w:rsidRPr="00CE1EA7">
        <w:lastRenderedPageBreak/>
        <w:t>Grievance Redress Mechanism</w:t>
      </w:r>
      <w:bookmarkEnd w:id="426"/>
      <w:bookmarkEnd w:id="427"/>
      <w:r w:rsidRPr="00CE1EA7">
        <w:t xml:space="preserve"> </w:t>
      </w:r>
    </w:p>
    <w:p w14:paraId="1854D4B7" w14:textId="1D26A6E3" w:rsidR="009563B4" w:rsidRPr="00CE1EA7" w:rsidRDefault="009563B4" w:rsidP="009563B4">
      <w:pPr>
        <w:pStyle w:val="Heading4"/>
      </w:pPr>
      <w:bookmarkStart w:id="428" w:name="_Toc42027170"/>
      <w:bookmarkStart w:id="429" w:name="_Toc42262678"/>
      <w:r w:rsidRPr="00C8735A">
        <w:t>Grievance Mechanism</w:t>
      </w:r>
      <w:bookmarkEnd w:id="428"/>
      <w:bookmarkEnd w:id="429"/>
      <w:r w:rsidRPr="00CE1EA7">
        <w:t xml:space="preserve"> </w:t>
      </w:r>
    </w:p>
    <w:tbl>
      <w:tblPr>
        <w:tblW w:w="5000" w:type="pct"/>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3171"/>
        <w:gridCol w:w="6173"/>
      </w:tblGrid>
      <w:tr w:rsidR="009563B4" w:rsidRPr="00632BE6" w14:paraId="24F41B45" w14:textId="77777777" w:rsidTr="00481CA4">
        <w:trPr>
          <w:trHeight w:val="405"/>
        </w:trPr>
        <w:tc>
          <w:tcPr>
            <w:tcW w:w="1697" w:type="pct"/>
            <w:tcBorders>
              <w:top w:val="outset" w:sz="6" w:space="0" w:color="auto"/>
              <w:left w:val="outset" w:sz="6" w:space="0" w:color="auto"/>
              <w:bottom w:val="outset" w:sz="6" w:space="0" w:color="auto"/>
              <w:right w:val="outset" w:sz="6" w:space="0" w:color="auto"/>
            </w:tcBorders>
            <w:shd w:val="clear" w:color="auto" w:fill="D9D9D9"/>
            <w:vAlign w:val="center"/>
          </w:tcPr>
          <w:p w14:paraId="0971254F" w14:textId="77777777" w:rsidR="009563B4" w:rsidRPr="00C8735A" w:rsidRDefault="009563B4" w:rsidP="00481CA4">
            <w:pPr>
              <w:textAlignment w:val="baseline"/>
              <w:rPr>
                <w:rFonts w:asciiTheme="minorHAnsi" w:hAnsiTheme="minorHAnsi" w:cstheme="minorHAnsi"/>
                <w:sz w:val="21"/>
                <w:szCs w:val="21"/>
              </w:rPr>
            </w:pPr>
            <w:r w:rsidRPr="00C8735A">
              <w:rPr>
                <w:rFonts w:asciiTheme="minorHAnsi" w:hAnsiTheme="minorHAnsi" w:cstheme="minorHAnsi"/>
                <w:sz w:val="21"/>
                <w:szCs w:val="21"/>
              </w:rPr>
              <w:t>Focal Point Information </w:t>
            </w:r>
          </w:p>
        </w:tc>
        <w:tc>
          <w:tcPr>
            <w:tcW w:w="3303" w:type="pct"/>
            <w:tcBorders>
              <w:top w:val="single" w:sz="6" w:space="0" w:color="auto"/>
              <w:left w:val="outset" w:sz="6" w:space="0" w:color="auto"/>
              <w:bottom w:val="single" w:sz="6" w:space="0" w:color="auto"/>
              <w:right w:val="single" w:sz="6" w:space="0" w:color="auto"/>
            </w:tcBorders>
            <w:shd w:val="clear" w:color="auto" w:fill="FFFFFF"/>
          </w:tcPr>
          <w:p w14:paraId="54B0FD59" w14:textId="2FC6C5D1" w:rsidR="009563B4" w:rsidRPr="004324BC" w:rsidRDefault="009563B4" w:rsidP="00481CA4">
            <w:pPr>
              <w:textAlignment w:val="baseline"/>
              <w:rPr>
                <w:rFonts w:asciiTheme="minorHAnsi" w:hAnsiTheme="minorHAnsi" w:cstheme="minorHAnsi"/>
                <w:sz w:val="21"/>
                <w:szCs w:val="21"/>
                <w:lang w:val="it-IT"/>
              </w:rPr>
            </w:pPr>
            <w:r w:rsidRPr="004324BC">
              <w:rPr>
                <w:rFonts w:asciiTheme="minorHAnsi" w:hAnsiTheme="minorHAnsi" w:cstheme="minorHAnsi"/>
                <w:sz w:val="21"/>
                <w:szCs w:val="21"/>
                <w:lang w:val="it-IT"/>
              </w:rPr>
              <w:t> </w:t>
            </w:r>
            <w:r w:rsidR="00153BE2" w:rsidRPr="004324BC">
              <w:rPr>
                <w:rFonts w:asciiTheme="minorHAnsi" w:hAnsiTheme="minorHAnsi" w:cstheme="minorHAnsi"/>
                <w:sz w:val="21"/>
                <w:szCs w:val="21"/>
                <w:lang w:val="it-IT"/>
              </w:rPr>
              <w:t>Ms Gherda Barreto Cajina, FAO Representative in Angola</w:t>
            </w:r>
          </w:p>
        </w:tc>
      </w:tr>
      <w:tr w:rsidR="009563B4" w:rsidRPr="00C8735A" w14:paraId="6E38DF22" w14:textId="77777777" w:rsidTr="00481CA4">
        <w:tc>
          <w:tcPr>
            <w:tcW w:w="1697" w:type="pct"/>
            <w:tcBorders>
              <w:top w:val="outset" w:sz="6" w:space="0" w:color="auto"/>
              <w:left w:val="single" w:sz="6" w:space="0" w:color="auto"/>
              <w:bottom w:val="single" w:sz="6" w:space="0" w:color="auto"/>
              <w:right w:val="single" w:sz="6" w:space="0" w:color="auto"/>
            </w:tcBorders>
            <w:shd w:val="clear" w:color="auto" w:fill="D9D9D9"/>
            <w:vAlign w:val="center"/>
          </w:tcPr>
          <w:p w14:paraId="43C6FB09" w14:textId="77777777" w:rsidR="009563B4" w:rsidRPr="00C8735A" w:rsidRDefault="009563B4" w:rsidP="00481CA4">
            <w:pPr>
              <w:textAlignment w:val="baseline"/>
              <w:rPr>
                <w:rFonts w:asciiTheme="minorHAnsi" w:hAnsiTheme="minorHAnsi" w:cstheme="minorHAnsi"/>
                <w:sz w:val="21"/>
                <w:szCs w:val="21"/>
              </w:rPr>
            </w:pPr>
            <w:r w:rsidRPr="00C8735A">
              <w:rPr>
                <w:rFonts w:asciiTheme="minorHAnsi" w:hAnsiTheme="minorHAnsi" w:cstheme="minorHAnsi"/>
                <w:sz w:val="21"/>
                <w:szCs w:val="21"/>
              </w:rPr>
              <w:t>Contact Details </w:t>
            </w:r>
          </w:p>
        </w:tc>
        <w:tc>
          <w:tcPr>
            <w:tcW w:w="3303" w:type="pct"/>
            <w:tcBorders>
              <w:top w:val="outset" w:sz="6" w:space="0" w:color="auto"/>
              <w:left w:val="outset" w:sz="6" w:space="0" w:color="auto"/>
              <w:bottom w:val="single" w:sz="6" w:space="0" w:color="auto"/>
              <w:right w:val="single" w:sz="6" w:space="0" w:color="auto"/>
            </w:tcBorders>
            <w:shd w:val="clear" w:color="auto" w:fill="FFFFFF"/>
          </w:tcPr>
          <w:p w14:paraId="0266CAB2" w14:textId="77777777" w:rsidR="009563B4" w:rsidRPr="00C8735A" w:rsidRDefault="009563B4" w:rsidP="00481CA4">
            <w:pPr>
              <w:textAlignment w:val="baseline"/>
              <w:rPr>
                <w:rFonts w:asciiTheme="minorHAnsi" w:hAnsiTheme="minorHAnsi" w:cstheme="minorHAnsi"/>
                <w:sz w:val="21"/>
                <w:szCs w:val="21"/>
                <w:lang w:val="pt-PT"/>
              </w:rPr>
            </w:pPr>
            <w:r w:rsidRPr="00C8735A">
              <w:rPr>
                <w:rFonts w:asciiTheme="minorHAnsi" w:hAnsiTheme="minorHAnsi" w:cstheme="minorHAnsi"/>
                <w:sz w:val="21"/>
                <w:szCs w:val="21"/>
                <w:lang w:val="pt-PT"/>
              </w:rPr>
              <w:t> </w:t>
            </w:r>
            <w:r w:rsidR="00153BE2" w:rsidRPr="00C8735A">
              <w:rPr>
                <w:rFonts w:asciiTheme="minorHAnsi" w:hAnsiTheme="minorHAnsi" w:cstheme="minorHAnsi"/>
                <w:sz w:val="21"/>
                <w:szCs w:val="21"/>
                <w:lang w:val="pt-PT"/>
              </w:rPr>
              <w:t>Ministry of Agriculture Building Rua Comandante Gika, Largo Antonio Jacinto (Largo dos Ministerios), Edificio do MINAGRIF, 5th floor Luanda – Angola.</w:t>
            </w:r>
          </w:p>
          <w:p w14:paraId="4399615C" w14:textId="6C5AEFCA" w:rsidR="00C8735A" w:rsidRPr="00C8735A" w:rsidRDefault="000C73F8" w:rsidP="00481CA4">
            <w:pPr>
              <w:textAlignment w:val="baseline"/>
              <w:rPr>
                <w:rFonts w:asciiTheme="minorHAnsi" w:hAnsiTheme="minorHAnsi" w:cstheme="minorHAnsi"/>
                <w:sz w:val="21"/>
                <w:szCs w:val="21"/>
                <w:lang w:val="pt-PT"/>
              </w:rPr>
            </w:pPr>
            <w:hyperlink r:id="rId119" w:history="1">
              <w:r w:rsidR="00C8735A" w:rsidRPr="00F705F3">
                <w:rPr>
                  <w:rStyle w:val="Hyperlink"/>
                  <w:rFonts w:asciiTheme="minorHAnsi" w:hAnsiTheme="minorHAnsi" w:cstheme="minorHAnsi"/>
                  <w:sz w:val="21"/>
                  <w:szCs w:val="21"/>
                  <w:lang w:val="pt-PT"/>
                </w:rPr>
                <w:t>FAO-AO@fao.org</w:t>
              </w:r>
            </w:hyperlink>
          </w:p>
        </w:tc>
      </w:tr>
      <w:tr w:rsidR="009563B4" w:rsidRPr="00C8735A" w14:paraId="364121BD" w14:textId="77777777" w:rsidTr="00481CA4">
        <w:tc>
          <w:tcPr>
            <w:tcW w:w="1697" w:type="pct"/>
            <w:tcBorders>
              <w:top w:val="outset" w:sz="6" w:space="0" w:color="auto"/>
              <w:left w:val="single" w:sz="6" w:space="0" w:color="auto"/>
              <w:bottom w:val="single" w:sz="6" w:space="0" w:color="auto"/>
              <w:right w:val="single" w:sz="6" w:space="0" w:color="auto"/>
            </w:tcBorders>
            <w:shd w:val="clear" w:color="auto" w:fill="D9D9D9"/>
            <w:vAlign w:val="center"/>
          </w:tcPr>
          <w:p w14:paraId="16D51DF4" w14:textId="77777777" w:rsidR="009563B4" w:rsidRPr="00C8735A" w:rsidRDefault="009563B4" w:rsidP="00481CA4">
            <w:pPr>
              <w:textAlignment w:val="baseline"/>
              <w:rPr>
                <w:rFonts w:asciiTheme="minorHAnsi" w:hAnsiTheme="minorHAnsi" w:cstheme="minorHAnsi"/>
                <w:sz w:val="21"/>
                <w:szCs w:val="21"/>
              </w:rPr>
            </w:pPr>
            <w:r w:rsidRPr="00C8735A">
              <w:rPr>
                <w:rFonts w:asciiTheme="minorHAnsi" w:hAnsiTheme="minorHAnsi" w:cstheme="minorHAnsi"/>
                <w:sz w:val="21"/>
                <w:szCs w:val="21"/>
              </w:rPr>
              <w:t>Explain how the grievance mechanism will be/ has been communicated to stakeholders</w:t>
            </w:r>
          </w:p>
        </w:tc>
        <w:tc>
          <w:tcPr>
            <w:tcW w:w="3303" w:type="pct"/>
            <w:tcBorders>
              <w:top w:val="outset" w:sz="6" w:space="0" w:color="auto"/>
              <w:left w:val="outset" w:sz="6" w:space="0" w:color="auto"/>
              <w:bottom w:val="single" w:sz="6" w:space="0" w:color="auto"/>
              <w:right w:val="single" w:sz="6" w:space="0" w:color="auto"/>
            </w:tcBorders>
            <w:shd w:val="clear" w:color="auto" w:fill="FFFFFF"/>
          </w:tcPr>
          <w:p w14:paraId="2A4B8255" w14:textId="77777777" w:rsidR="00153BE2" w:rsidRPr="00C8735A" w:rsidRDefault="009563B4" w:rsidP="00153BE2">
            <w:pPr>
              <w:textAlignment w:val="baseline"/>
              <w:rPr>
                <w:rFonts w:asciiTheme="minorHAnsi" w:hAnsiTheme="minorHAnsi" w:cstheme="minorHAnsi"/>
                <w:sz w:val="21"/>
                <w:szCs w:val="21"/>
              </w:rPr>
            </w:pPr>
            <w:r w:rsidRPr="00C8735A">
              <w:rPr>
                <w:rFonts w:asciiTheme="minorHAnsi" w:hAnsiTheme="minorHAnsi" w:cstheme="minorHAnsi"/>
                <w:sz w:val="21"/>
                <w:szCs w:val="21"/>
              </w:rPr>
              <w:t> </w:t>
            </w:r>
            <w:r w:rsidR="00153BE2" w:rsidRPr="00C8735A">
              <w:rPr>
                <w:rFonts w:asciiTheme="minorHAnsi" w:hAnsiTheme="minorHAnsi" w:cstheme="minorHAnsi"/>
                <w:sz w:val="21"/>
                <w:szCs w:val="21"/>
              </w:rPr>
              <w:t>An information poster was developed and disseminated to all stakeholders and displayed around the office. The poster provides a general FAO email address, physical address and phone numbers through which stakeholders can reach FAO to report any grievance/s.</w:t>
            </w:r>
          </w:p>
          <w:p w14:paraId="2DD3BD63" w14:textId="77777777" w:rsidR="00153BE2" w:rsidRPr="00C8735A" w:rsidRDefault="00153BE2" w:rsidP="00153BE2">
            <w:pPr>
              <w:textAlignment w:val="baseline"/>
              <w:rPr>
                <w:rFonts w:asciiTheme="minorHAnsi" w:hAnsiTheme="minorHAnsi" w:cstheme="minorHAnsi"/>
                <w:sz w:val="21"/>
                <w:szCs w:val="21"/>
              </w:rPr>
            </w:pPr>
            <w:r w:rsidRPr="00C8735A">
              <w:rPr>
                <w:rFonts w:asciiTheme="minorHAnsi" w:hAnsiTheme="minorHAnsi" w:cstheme="minorHAnsi"/>
                <w:sz w:val="21"/>
                <w:szCs w:val="21"/>
              </w:rPr>
              <w:t xml:space="preserve"> </w:t>
            </w:r>
          </w:p>
          <w:p w14:paraId="08EAE433" w14:textId="2F1555E2" w:rsidR="009563B4" w:rsidRPr="00C8735A" w:rsidRDefault="00153BE2" w:rsidP="00153BE2">
            <w:pPr>
              <w:textAlignment w:val="baseline"/>
              <w:rPr>
                <w:rFonts w:asciiTheme="minorHAnsi" w:hAnsiTheme="minorHAnsi" w:cstheme="minorHAnsi"/>
                <w:sz w:val="21"/>
                <w:szCs w:val="21"/>
              </w:rPr>
            </w:pPr>
            <w:r w:rsidRPr="00C8735A">
              <w:rPr>
                <w:rFonts w:asciiTheme="minorHAnsi" w:hAnsiTheme="minorHAnsi" w:cstheme="minorHAnsi"/>
                <w:sz w:val="21"/>
                <w:szCs w:val="21"/>
              </w:rPr>
              <w:t>This has allowed all partners and districts where FAO activities are implemented to have contacts and help them understand procedures for grievance reporting.</w:t>
            </w:r>
          </w:p>
        </w:tc>
      </w:tr>
    </w:tbl>
    <w:p w14:paraId="628D2BA3" w14:textId="77777777" w:rsidR="009563B4" w:rsidRPr="00C8735A" w:rsidRDefault="009563B4" w:rsidP="009563B4">
      <w:pPr>
        <w:pStyle w:val="Heading4"/>
        <w:rPr>
          <w:rFonts w:asciiTheme="minorHAnsi" w:hAnsiTheme="minorHAnsi" w:cstheme="minorHAnsi"/>
          <w:sz w:val="21"/>
          <w:szCs w:val="21"/>
        </w:rPr>
      </w:pPr>
      <w:bookmarkStart w:id="430" w:name="_Toc42027171"/>
      <w:bookmarkStart w:id="431" w:name="_Toc42262679"/>
      <w:r w:rsidRPr="00C21B8C">
        <w:rPr>
          <w:rFonts w:asciiTheme="minorHAnsi" w:hAnsiTheme="minorHAnsi" w:cstheme="minorHAnsi"/>
          <w:sz w:val="21"/>
          <w:szCs w:val="21"/>
        </w:rPr>
        <w:t>Disclosure (only for Moderate or High Risk Projects)</w:t>
      </w:r>
      <w:bookmarkEnd w:id="430"/>
      <w:bookmarkEnd w:id="431"/>
    </w:p>
    <w:tbl>
      <w:tblPr>
        <w:tblW w:w="5000" w:type="pct"/>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3172"/>
        <w:gridCol w:w="3483"/>
        <w:gridCol w:w="2689"/>
      </w:tblGrid>
      <w:tr w:rsidR="009563B4" w:rsidRPr="00C8735A" w14:paraId="5EF69FBF" w14:textId="77777777" w:rsidTr="12F2ED18">
        <w:tc>
          <w:tcPr>
            <w:tcW w:w="1697" w:type="pct"/>
            <w:tcBorders>
              <w:top w:val="outset" w:sz="6" w:space="0" w:color="auto"/>
              <w:left w:val="single" w:sz="6" w:space="0" w:color="auto"/>
              <w:bottom w:val="single" w:sz="6" w:space="0" w:color="auto"/>
              <w:right w:val="single" w:sz="6" w:space="0" w:color="auto"/>
            </w:tcBorders>
            <w:shd w:val="clear" w:color="auto" w:fill="D9D9D9" w:themeFill="background1" w:themeFillShade="D9"/>
            <w:vAlign w:val="center"/>
          </w:tcPr>
          <w:p w14:paraId="5CCFF3D7" w14:textId="77777777" w:rsidR="009563B4" w:rsidRPr="00C8735A" w:rsidRDefault="009563B4" w:rsidP="00481CA4">
            <w:pPr>
              <w:textAlignment w:val="baseline"/>
              <w:rPr>
                <w:rFonts w:asciiTheme="minorHAnsi" w:hAnsiTheme="minorHAnsi" w:cstheme="minorHAnsi"/>
                <w:sz w:val="21"/>
                <w:szCs w:val="21"/>
              </w:rPr>
            </w:pPr>
            <w:r w:rsidRPr="00C8735A">
              <w:rPr>
                <w:rFonts w:asciiTheme="minorHAnsi" w:hAnsiTheme="minorHAnsi" w:cstheme="minorHAnsi"/>
                <w:sz w:val="21"/>
                <w:szCs w:val="21"/>
              </w:rPr>
              <w:t>Disclosure Means</w:t>
            </w:r>
          </w:p>
        </w:tc>
        <w:tc>
          <w:tcPr>
            <w:tcW w:w="3303" w:type="pct"/>
            <w:gridSpan w:val="2"/>
            <w:tcBorders>
              <w:top w:val="outset" w:sz="6" w:space="0" w:color="auto"/>
              <w:left w:val="outset" w:sz="6" w:space="0" w:color="auto"/>
              <w:bottom w:val="single" w:sz="6" w:space="0" w:color="auto"/>
              <w:right w:val="single" w:sz="6" w:space="0" w:color="auto"/>
            </w:tcBorders>
            <w:shd w:val="clear" w:color="auto" w:fill="FFFFFF" w:themeFill="background1"/>
          </w:tcPr>
          <w:p w14:paraId="30CA60F7" w14:textId="6639A3F5" w:rsidR="009563B4" w:rsidRPr="00C8735A" w:rsidRDefault="009563B4" w:rsidP="12F2ED18">
            <w:pPr>
              <w:textAlignment w:val="baseline"/>
              <w:rPr>
                <w:rFonts w:asciiTheme="minorHAnsi" w:hAnsiTheme="minorHAnsi" w:cstheme="minorBidi"/>
                <w:sz w:val="21"/>
                <w:szCs w:val="21"/>
              </w:rPr>
            </w:pPr>
            <w:r w:rsidRPr="12F2ED18">
              <w:rPr>
                <w:rFonts w:asciiTheme="minorHAnsi" w:hAnsiTheme="minorHAnsi" w:cstheme="minorBidi"/>
                <w:sz w:val="21"/>
                <w:szCs w:val="21"/>
              </w:rPr>
              <w:t> </w:t>
            </w:r>
            <w:r w:rsidR="631225E8" w:rsidRPr="12F2ED18">
              <w:rPr>
                <w:rFonts w:ascii="Calibri" w:eastAsia="Calibri" w:hAnsi="Calibri" w:cs="Calibri"/>
                <w:color w:val="000000" w:themeColor="text1"/>
                <w:sz w:val="22"/>
                <w:szCs w:val="22"/>
              </w:rPr>
              <w:t xml:space="preserve"> FAO Disclosure Portal</w:t>
            </w:r>
          </w:p>
        </w:tc>
      </w:tr>
      <w:tr w:rsidR="009563B4" w:rsidRPr="00C8735A" w14:paraId="6BCA4EC0" w14:textId="77777777" w:rsidTr="12F2ED18">
        <w:tc>
          <w:tcPr>
            <w:tcW w:w="1697" w:type="pct"/>
            <w:tcBorders>
              <w:top w:val="outset" w:sz="6" w:space="0" w:color="auto"/>
              <w:left w:val="single" w:sz="6" w:space="0" w:color="auto"/>
              <w:bottom w:val="single" w:sz="6" w:space="0" w:color="auto"/>
              <w:right w:val="single" w:sz="6" w:space="0" w:color="auto"/>
            </w:tcBorders>
            <w:shd w:val="clear" w:color="auto" w:fill="D9D9D9" w:themeFill="background1" w:themeFillShade="D9"/>
            <w:vAlign w:val="center"/>
          </w:tcPr>
          <w:p w14:paraId="365B4F2F" w14:textId="77777777" w:rsidR="009563B4" w:rsidRPr="00C8735A" w:rsidRDefault="009563B4" w:rsidP="00481CA4">
            <w:pPr>
              <w:textAlignment w:val="baseline"/>
              <w:rPr>
                <w:rFonts w:asciiTheme="minorHAnsi" w:hAnsiTheme="minorHAnsi" w:cstheme="minorHAnsi"/>
                <w:sz w:val="21"/>
                <w:szCs w:val="21"/>
              </w:rPr>
            </w:pPr>
            <w:r w:rsidRPr="00C8735A">
              <w:rPr>
                <w:rFonts w:asciiTheme="minorHAnsi" w:hAnsiTheme="minorHAnsi" w:cstheme="minorHAnsi"/>
                <w:sz w:val="21"/>
                <w:szCs w:val="21"/>
              </w:rPr>
              <w:t>Disclosure information/document shared</w:t>
            </w:r>
          </w:p>
        </w:tc>
        <w:tc>
          <w:tcPr>
            <w:tcW w:w="3303" w:type="pct"/>
            <w:gridSpan w:val="2"/>
            <w:tcBorders>
              <w:top w:val="outset" w:sz="6" w:space="0" w:color="auto"/>
              <w:left w:val="outset" w:sz="6" w:space="0" w:color="auto"/>
              <w:bottom w:val="single" w:sz="6" w:space="0" w:color="auto"/>
              <w:right w:val="single" w:sz="6" w:space="0" w:color="auto"/>
            </w:tcBorders>
            <w:shd w:val="clear" w:color="auto" w:fill="FFFFFF" w:themeFill="background1"/>
          </w:tcPr>
          <w:p w14:paraId="67F98E05" w14:textId="250F7684" w:rsidR="009563B4" w:rsidRPr="00C8735A" w:rsidRDefault="35DBCB3C" w:rsidP="12F2ED18">
            <w:pPr>
              <w:textAlignment w:val="baseline"/>
            </w:pPr>
            <w:r w:rsidRPr="12F2ED18">
              <w:rPr>
                <w:rFonts w:ascii="Calibri" w:eastAsia="Calibri" w:hAnsi="Calibri" w:cs="Calibri"/>
                <w:color w:val="000000" w:themeColor="text1"/>
                <w:sz w:val="22"/>
                <w:szCs w:val="22"/>
              </w:rPr>
              <w:t>Project Document with Annexes</w:t>
            </w:r>
          </w:p>
        </w:tc>
      </w:tr>
      <w:tr w:rsidR="009563B4" w:rsidRPr="00C8735A" w14:paraId="2F955AE1" w14:textId="77777777" w:rsidTr="12F2ED18">
        <w:trPr>
          <w:trHeight w:val="144"/>
        </w:trPr>
        <w:tc>
          <w:tcPr>
            <w:tcW w:w="1697" w:type="pct"/>
            <w:tcBorders>
              <w:top w:val="outset" w:sz="6" w:space="0" w:color="auto"/>
              <w:left w:val="single" w:sz="6" w:space="0" w:color="auto"/>
              <w:bottom w:val="single" w:sz="6" w:space="0" w:color="auto"/>
              <w:right w:val="single" w:sz="6" w:space="0" w:color="auto"/>
            </w:tcBorders>
            <w:shd w:val="clear" w:color="auto" w:fill="D9D9D9" w:themeFill="background1" w:themeFillShade="D9"/>
            <w:vAlign w:val="center"/>
          </w:tcPr>
          <w:p w14:paraId="4B3BFC08" w14:textId="77777777" w:rsidR="009563B4" w:rsidRPr="000740B5" w:rsidRDefault="009563B4" w:rsidP="00481CA4">
            <w:pPr>
              <w:textAlignment w:val="baseline"/>
              <w:rPr>
                <w:rFonts w:asciiTheme="minorHAnsi" w:hAnsiTheme="minorHAnsi" w:cstheme="minorHAnsi"/>
                <w:sz w:val="21"/>
                <w:szCs w:val="21"/>
              </w:rPr>
            </w:pPr>
            <w:r w:rsidRPr="000740B5">
              <w:rPr>
                <w:rFonts w:asciiTheme="minorHAnsi" w:hAnsiTheme="minorHAnsi" w:cstheme="minorHAnsi"/>
                <w:sz w:val="21"/>
                <w:szCs w:val="21"/>
              </w:rPr>
              <w:t>Disclosure dates </w:t>
            </w:r>
          </w:p>
        </w:tc>
        <w:tc>
          <w:tcPr>
            <w:tcW w:w="1864" w:type="pct"/>
            <w:tcBorders>
              <w:top w:val="outset" w:sz="6" w:space="0" w:color="auto"/>
              <w:left w:val="outset" w:sz="6" w:space="0" w:color="auto"/>
              <w:bottom w:val="single" w:sz="6" w:space="0" w:color="auto"/>
              <w:right w:val="single" w:sz="6" w:space="0" w:color="auto"/>
            </w:tcBorders>
            <w:shd w:val="clear" w:color="auto" w:fill="FFFFFF" w:themeFill="background1"/>
          </w:tcPr>
          <w:p w14:paraId="5740A87B" w14:textId="7647ACEB" w:rsidR="009563B4" w:rsidRPr="000740B5" w:rsidRDefault="009563B4" w:rsidP="12F2ED18">
            <w:pPr>
              <w:textAlignment w:val="baseline"/>
              <w:rPr>
                <w:rStyle w:val="PlaceholderText"/>
                <w:rFonts w:asciiTheme="minorHAnsi" w:hAnsiTheme="minorHAnsi" w:cstheme="minorHAnsi"/>
                <w:sz w:val="21"/>
                <w:szCs w:val="21"/>
              </w:rPr>
            </w:pPr>
            <w:r w:rsidRPr="000740B5">
              <w:rPr>
                <w:rFonts w:asciiTheme="minorHAnsi" w:hAnsiTheme="minorHAnsi" w:cstheme="minorHAnsi"/>
                <w:sz w:val="21"/>
                <w:szCs w:val="21"/>
              </w:rPr>
              <w:t xml:space="preserve"> From: </w:t>
            </w:r>
            <w:r w:rsidR="2A5E419B" w:rsidRPr="000740B5">
              <w:rPr>
                <w:rFonts w:asciiTheme="minorHAnsi" w:hAnsiTheme="minorHAnsi" w:cstheme="minorHAnsi"/>
                <w:sz w:val="21"/>
                <w:szCs w:val="21"/>
              </w:rPr>
              <w:t>01/12/2020</w:t>
            </w:r>
          </w:p>
        </w:tc>
        <w:tc>
          <w:tcPr>
            <w:tcW w:w="1439" w:type="pct"/>
            <w:tcBorders>
              <w:top w:val="outset" w:sz="6" w:space="0" w:color="auto"/>
              <w:left w:val="outset" w:sz="6" w:space="0" w:color="auto"/>
              <w:bottom w:val="single" w:sz="6" w:space="0" w:color="auto"/>
              <w:right w:val="single" w:sz="6" w:space="0" w:color="auto"/>
            </w:tcBorders>
            <w:shd w:val="clear" w:color="auto" w:fill="FFFFFF" w:themeFill="background1"/>
          </w:tcPr>
          <w:p w14:paraId="668C4DE6" w14:textId="13D92075" w:rsidR="009563B4" w:rsidRPr="00C8735A" w:rsidRDefault="009563B4" w:rsidP="12F2ED18">
            <w:pPr>
              <w:textAlignment w:val="baseline"/>
              <w:rPr>
                <w:rFonts w:asciiTheme="minorHAnsi" w:hAnsiTheme="minorHAnsi" w:cstheme="minorBidi"/>
                <w:sz w:val="21"/>
                <w:szCs w:val="21"/>
              </w:rPr>
            </w:pPr>
            <w:r w:rsidRPr="12F2ED18">
              <w:rPr>
                <w:rFonts w:asciiTheme="minorHAnsi" w:hAnsiTheme="minorHAnsi" w:cstheme="minorBidi"/>
                <w:sz w:val="21"/>
                <w:szCs w:val="21"/>
              </w:rPr>
              <w:t xml:space="preserve">To: </w:t>
            </w:r>
            <w:r w:rsidR="541A61E9" w:rsidRPr="12F2ED18">
              <w:rPr>
                <w:rFonts w:asciiTheme="minorHAnsi" w:hAnsiTheme="minorHAnsi" w:cstheme="minorBidi"/>
                <w:sz w:val="21"/>
                <w:szCs w:val="21"/>
              </w:rPr>
              <w:t>01/12/2025</w:t>
            </w:r>
          </w:p>
        </w:tc>
      </w:tr>
      <w:tr w:rsidR="009563B4" w:rsidRPr="00C8735A" w14:paraId="490A842E" w14:textId="77777777" w:rsidTr="12F2ED18">
        <w:tc>
          <w:tcPr>
            <w:tcW w:w="1697" w:type="pct"/>
            <w:tcBorders>
              <w:top w:val="outset" w:sz="6" w:space="0" w:color="auto"/>
              <w:left w:val="single" w:sz="6" w:space="0" w:color="auto"/>
              <w:bottom w:val="single" w:sz="6" w:space="0" w:color="auto"/>
              <w:right w:val="single" w:sz="6" w:space="0" w:color="auto"/>
            </w:tcBorders>
            <w:shd w:val="clear" w:color="auto" w:fill="D9D9D9" w:themeFill="background1" w:themeFillShade="D9"/>
            <w:vAlign w:val="center"/>
          </w:tcPr>
          <w:p w14:paraId="0FCC39EA" w14:textId="77777777" w:rsidR="009563B4" w:rsidRPr="00C8735A" w:rsidRDefault="009563B4" w:rsidP="00481CA4">
            <w:pPr>
              <w:textAlignment w:val="baseline"/>
              <w:rPr>
                <w:rFonts w:asciiTheme="minorHAnsi" w:hAnsiTheme="minorHAnsi" w:cstheme="minorHAnsi"/>
                <w:sz w:val="21"/>
                <w:szCs w:val="21"/>
              </w:rPr>
            </w:pPr>
            <w:r w:rsidRPr="00C8735A">
              <w:rPr>
                <w:rFonts w:asciiTheme="minorHAnsi" w:hAnsiTheme="minorHAnsi" w:cstheme="minorHAnsi"/>
                <w:sz w:val="21"/>
                <w:szCs w:val="21"/>
              </w:rPr>
              <w:t>Location  </w:t>
            </w:r>
          </w:p>
        </w:tc>
        <w:tc>
          <w:tcPr>
            <w:tcW w:w="3303" w:type="pct"/>
            <w:gridSpan w:val="2"/>
            <w:tcBorders>
              <w:top w:val="outset" w:sz="6" w:space="0" w:color="auto"/>
              <w:left w:val="outset" w:sz="6" w:space="0" w:color="auto"/>
              <w:bottom w:val="single" w:sz="6" w:space="0" w:color="auto"/>
              <w:right w:val="single" w:sz="6" w:space="0" w:color="auto"/>
            </w:tcBorders>
            <w:shd w:val="clear" w:color="auto" w:fill="FFFFFF" w:themeFill="background1"/>
          </w:tcPr>
          <w:p w14:paraId="28D6871F" w14:textId="5298DDAA" w:rsidR="009563B4" w:rsidRPr="00C8735A" w:rsidRDefault="009563B4" w:rsidP="12F2ED18">
            <w:pPr>
              <w:textAlignment w:val="baseline"/>
              <w:rPr>
                <w:rFonts w:asciiTheme="minorHAnsi" w:hAnsiTheme="minorHAnsi" w:cstheme="minorBidi"/>
                <w:sz w:val="21"/>
                <w:szCs w:val="21"/>
              </w:rPr>
            </w:pPr>
            <w:r w:rsidRPr="12F2ED18">
              <w:rPr>
                <w:rFonts w:asciiTheme="minorHAnsi" w:hAnsiTheme="minorHAnsi" w:cstheme="minorBidi"/>
                <w:sz w:val="21"/>
                <w:szCs w:val="21"/>
              </w:rPr>
              <w:t> </w:t>
            </w:r>
            <w:r w:rsidR="6D14D98F" w:rsidRPr="12F2ED18">
              <w:rPr>
                <w:rFonts w:ascii="Calibri" w:eastAsia="Calibri" w:hAnsi="Calibri" w:cs="Calibri"/>
                <w:color w:val="000000" w:themeColor="text1"/>
                <w:sz w:val="22"/>
                <w:szCs w:val="22"/>
              </w:rPr>
              <w:t xml:space="preserve"> Project Document with Annexes</w:t>
            </w:r>
          </w:p>
        </w:tc>
      </w:tr>
      <w:tr w:rsidR="009563B4" w:rsidRPr="00C8735A" w14:paraId="06277E18" w14:textId="77777777" w:rsidTr="12F2ED18">
        <w:tc>
          <w:tcPr>
            <w:tcW w:w="1697" w:type="pct"/>
            <w:tcBorders>
              <w:top w:val="outset" w:sz="6" w:space="0" w:color="auto"/>
              <w:left w:val="single" w:sz="6" w:space="0" w:color="auto"/>
              <w:bottom w:val="single" w:sz="6" w:space="0" w:color="auto"/>
              <w:right w:val="single" w:sz="6" w:space="0" w:color="auto"/>
            </w:tcBorders>
            <w:shd w:val="clear" w:color="auto" w:fill="D9D9D9" w:themeFill="background1" w:themeFillShade="D9"/>
            <w:vAlign w:val="center"/>
          </w:tcPr>
          <w:p w14:paraId="337DC356" w14:textId="77777777" w:rsidR="009563B4" w:rsidRPr="00C8735A" w:rsidRDefault="009563B4" w:rsidP="00481CA4">
            <w:pPr>
              <w:textAlignment w:val="baseline"/>
              <w:rPr>
                <w:rFonts w:asciiTheme="minorHAnsi" w:hAnsiTheme="minorHAnsi" w:cstheme="minorHAnsi"/>
                <w:sz w:val="21"/>
                <w:szCs w:val="21"/>
              </w:rPr>
            </w:pPr>
            <w:r w:rsidRPr="00C8735A">
              <w:rPr>
                <w:rFonts w:asciiTheme="minorHAnsi" w:hAnsiTheme="minorHAnsi" w:cstheme="minorHAnsi"/>
                <w:sz w:val="21"/>
                <w:szCs w:val="21"/>
              </w:rPr>
              <w:t>Language(s) </w:t>
            </w:r>
          </w:p>
        </w:tc>
        <w:tc>
          <w:tcPr>
            <w:tcW w:w="3303" w:type="pct"/>
            <w:gridSpan w:val="2"/>
            <w:tcBorders>
              <w:top w:val="outset" w:sz="6" w:space="0" w:color="auto"/>
              <w:left w:val="outset" w:sz="6" w:space="0" w:color="auto"/>
              <w:bottom w:val="single" w:sz="6" w:space="0" w:color="auto"/>
              <w:right w:val="single" w:sz="6" w:space="0" w:color="auto"/>
            </w:tcBorders>
            <w:shd w:val="clear" w:color="auto" w:fill="FFFFFF" w:themeFill="background1"/>
          </w:tcPr>
          <w:p w14:paraId="7ABB7FEC" w14:textId="5F94D764" w:rsidR="009563B4" w:rsidRPr="00C8735A" w:rsidRDefault="009563B4" w:rsidP="12F2ED18">
            <w:pPr>
              <w:textAlignment w:val="baseline"/>
              <w:rPr>
                <w:rFonts w:asciiTheme="minorHAnsi" w:hAnsiTheme="minorHAnsi" w:cstheme="minorBidi"/>
                <w:sz w:val="21"/>
                <w:szCs w:val="21"/>
              </w:rPr>
            </w:pPr>
            <w:r w:rsidRPr="12F2ED18">
              <w:rPr>
                <w:rFonts w:asciiTheme="minorHAnsi" w:hAnsiTheme="minorHAnsi" w:cstheme="minorBidi"/>
                <w:sz w:val="21"/>
                <w:szCs w:val="21"/>
              </w:rPr>
              <w:t> </w:t>
            </w:r>
            <w:r w:rsidR="3E654488" w:rsidRPr="12F2ED18">
              <w:rPr>
                <w:rFonts w:asciiTheme="minorHAnsi" w:hAnsiTheme="minorHAnsi" w:cstheme="minorBidi"/>
                <w:sz w:val="21"/>
                <w:szCs w:val="21"/>
              </w:rPr>
              <w:t>English</w:t>
            </w:r>
          </w:p>
        </w:tc>
      </w:tr>
      <w:tr w:rsidR="009563B4" w:rsidRPr="00C8735A" w14:paraId="4870C279" w14:textId="77777777" w:rsidTr="12F2ED18">
        <w:tc>
          <w:tcPr>
            <w:tcW w:w="1697" w:type="pct"/>
            <w:tcBorders>
              <w:top w:val="outset" w:sz="6" w:space="0" w:color="auto"/>
              <w:left w:val="single" w:sz="6" w:space="0" w:color="auto"/>
              <w:bottom w:val="single" w:sz="6" w:space="0" w:color="auto"/>
              <w:right w:val="single" w:sz="6" w:space="0" w:color="auto"/>
            </w:tcBorders>
            <w:shd w:val="clear" w:color="auto" w:fill="D9D9D9" w:themeFill="background1" w:themeFillShade="D9"/>
            <w:vAlign w:val="center"/>
          </w:tcPr>
          <w:p w14:paraId="341D0DDA" w14:textId="77777777" w:rsidR="009563B4" w:rsidRPr="00C8735A" w:rsidRDefault="009563B4" w:rsidP="00481CA4">
            <w:pPr>
              <w:textAlignment w:val="baseline"/>
              <w:rPr>
                <w:rFonts w:asciiTheme="minorHAnsi" w:hAnsiTheme="minorHAnsi" w:cstheme="minorHAnsi"/>
                <w:sz w:val="21"/>
                <w:szCs w:val="21"/>
              </w:rPr>
            </w:pPr>
            <w:r w:rsidRPr="00C8735A">
              <w:rPr>
                <w:rFonts w:asciiTheme="minorHAnsi" w:hAnsiTheme="minorHAnsi" w:cstheme="minorHAnsi"/>
                <w:sz w:val="21"/>
                <w:szCs w:val="21"/>
              </w:rPr>
              <w:t>Other Info </w:t>
            </w:r>
          </w:p>
        </w:tc>
        <w:tc>
          <w:tcPr>
            <w:tcW w:w="3303" w:type="pct"/>
            <w:gridSpan w:val="2"/>
            <w:tcBorders>
              <w:top w:val="outset" w:sz="6" w:space="0" w:color="auto"/>
              <w:left w:val="outset" w:sz="6" w:space="0" w:color="auto"/>
              <w:bottom w:val="single" w:sz="6" w:space="0" w:color="auto"/>
              <w:right w:val="single" w:sz="6" w:space="0" w:color="auto"/>
            </w:tcBorders>
            <w:shd w:val="clear" w:color="auto" w:fill="FFFFFF" w:themeFill="background1"/>
          </w:tcPr>
          <w:p w14:paraId="59A92156" w14:textId="77777777" w:rsidR="009563B4" w:rsidRPr="00C8735A" w:rsidRDefault="009563B4" w:rsidP="00481CA4">
            <w:pPr>
              <w:textAlignment w:val="baseline"/>
              <w:rPr>
                <w:rFonts w:asciiTheme="minorHAnsi" w:hAnsiTheme="minorHAnsi" w:cstheme="minorHAnsi"/>
                <w:sz w:val="21"/>
                <w:szCs w:val="21"/>
              </w:rPr>
            </w:pPr>
            <w:r w:rsidRPr="00C8735A">
              <w:rPr>
                <w:rFonts w:asciiTheme="minorHAnsi" w:hAnsiTheme="minorHAnsi" w:cstheme="minorHAnsi"/>
                <w:sz w:val="21"/>
                <w:szCs w:val="21"/>
              </w:rPr>
              <w:t> </w:t>
            </w:r>
          </w:p>
        </w:tc>
      </w:tr>
    </w:tbl>
    <w:p w14:paraId="28E17AD1" w14:textId="77777777" w:rsidR="009563B4" w:rsidRPr="00C8735A" w:rsidRDefault="009563B4" w:rsidP="009563B4">
      <w:pPr>
        <w:jc w:val="center"/>
        <w:textAlignment w:val="baseline"/>
        <w:rPr>
          <w:rFonts w:asciiTheme="minorHAnsi" w:hAnsiTheme="minorHAnsi" w:cstheme="minorHAnsi"/>
          <w:color w:val="FF0000"/>
          <w:sz w:val="21"/>
          <w:szCs w:val="21"/>
        </w:rPr>
      </w:pPr>
      <w:r w:rsidRPr="00C8735A">
        <w:rPr>
          <w:rFonts w:asciiTheme="minorHAnsi" w:hAnsiTheme="minorHAnsi" w:cstheme="minorHAnsi"/>
          <w:b/>
          <w:color w:val="FF0000"/>
          <w:sz w:val="21"/>
          <w:szCs w:val="21"/>
        </w:rPr>
        <w:t xml:space="preserve">(+) </w:t>
      </w:r>
      <w:r w:rsidRPr="00C8735A">
        <w:rPr>
          <w:rFonts w:asciiTheme="minorHAnsi" w:hAnsiTheme="minorHAnsi" w:cstheme="minorHAnsi"/>
          <w:color w:val="FF0000"/>
          <w:sz w:val="21"/>
          <w:szCs w:val="21"/>
          <w:highlight w:val="lightGray"/>
        </w:rPr>
        <w:t>Add disclosure as necessary</w:t>
      </w:r>
    </w:p>
    <w:p w14:paraId="6D317C1D" w14:textId="77777777" w:rsidR="009563B4" w:rsidRPr="00CE1EA7" w:rsidRDefault="009563B4" w:rsidP="009563B4">
      <w:pPr>
        <w:pStyle w:val="Default"/>
        <w:spacing w:after="120"/>
        <w:jc w:val="both"/>
        <w:rPr>
          <w:rFonts w:ascii="Calibri" w:hAnsi="Calibri" w:cs="Times New Roman"/>
          <w:b/>
          <w:sz w:val="22"/>
          <w:szCs w:val="22"/>
        </w:rPr>
      </w:pPr>
    </w:p>
    <w:p w14:paraId="1E735CB9" w14:textId="77777777" w:rsidR="009563B4" w:rsidRPr="00CE1EA7" w:rsidRDefault="009563B4" w:rsidP="001667C6">
      <w:pPr>
        <w:pStyle w:val="ParagraphOED"/>
        <w:numPr>
          <w:ilvl w:val="0"/>
          <w:numId w:val="102"/>
        </w:numPr>
        <w:spacing w:after="160"/>
      </w:pPr>
      <w:r>
        <w:t xml:space="preserve">FAO is committed to ensuring that its programs are implemented in accordance with the Organization’s environmental and social obligations. In order to better achieve these goals, and to ensure that beneficiaries of FAO programs have access to an effective and timely mechanism to address their concerns about non-compliance with these obligations, the Organization, in order to supplement measures for receiving, reviewing and acting as appropriate on these concerns at the program management level, has entrusted the Office of the Inspector-General with the mandate to independently review the complaints that cannot be resolved at that level. </w:t>
      </w:r>
    </w:p>
    <w:p w14:paraId="4AB8E62B" w14:textId="77777777" w:rsidR="009563B4" w:rsidRPr="00CE1EA7" w:rsidRDefault="009563B4" w:rsidP="001667C6">
      <w:pPr>
        <w:pStyle w:val="ParagraphOED"/>
        <w:numPr>
          <w:ilvl w:val="0"/>
          <w:numId w:val="102"/>
        </w:numPr>
        <w:spacing w:after="160"/>
      </w:pPr>
      <w:r w:rsidRPr="00CE1EA7">
        <w:t>FAO will facilitate the resolution of concerns of beneficiaries of FAO programs regarding alleged or potential violations of FAO’s social and environmental commitments. For this purpose, concerns may be communicated in accordance with the eligibility criteria of the Guidelines for Compliance Reviews Following Complaints Related to the Organization’s Environmental and Social Standards</w:t>
      </w:r>
      <w:r w:rsidRPr="00CE1EA7">
        <w:rPr>
          <w:rStyle w:val="FootnoteReference"/>
        </w:rPr>
        <w:footnoteReference w:id="114"/>
      </w:r>
      <w:r w:rsidRPr="00CE1EA7">
        <w:t xml:space="preserve">, which applies to all FAO programs and projects. </w:t>
      </w:r>
    </w:p>
    <w:p w14:paraId="3262EBF8" w14:textId="77777777" w:rsidR="009563B4" w:rsidRPr="00CE1EA7" w:rsidRDefault="009563B4" w:rsidP="001667C6">
      <w:pPr>
        <w:pStyle w:val="ParagraphOED"/>
        <w:numPr>
          <w:ilvl w:val="0"/>
          <w:numId w:val="102"/>
        </w:numPr>
        <w:spacing w:after="160"/>
      </w:pPr>
      <w:r>
        <w:lastRenderedPageBreak/>
        <w:t xml:space="preserve">Concerns must be addressed at the closest appropriate level, i.e. at the project management/technical level, and if necessary at the Regional Office level. If a concern or grievance cannot be resolved through consultations and measures at the project management level, a complaint requesting a Compliance Review may be filed with the Office of the Inspector-General (OIG) in accordance with the Guidelines. Program and project managers will have the responsibility to address concerns brought to the attention of the focal point. </w:t>
      </w:r>
    </w:p>
    <w:p w14:paraId="18035599" w14:textId="77777777" w:rsidR="009563B4" w:rsidRPr="00CE1EA7" w:rsidRDefault="009563B4" w:rsidP="001667C6">
      <w:pPr>
        <w:pStyle w:val="ParagraphOED"/>
        <w:numPr>
          <w:ilvl w:val="0"/>
          <w:numId w:val="102"/>
        </w:numPr>
        <w:spacing w:after="160"/>
        <w:rPr>
          <w:rFonts w:eastAsia="Times New Roman"/>
          <w:lang w:eastAsia="en-GB"/>
        </w:rPr>
      </w:pPr>
      <w:r>
        <w:t>The principles to be followed during the complaint resolution process include: impartiality, respect for human rights, including those pertaining to indigenous peoples, compliance of national norms, coherence with the norms, equality, transparency, honesty, and mutual respect.</w:t>
      </w:r>
      <w:r w:rsidRPr="1E65A5F7">
        <w:rPr>
          <w:rFonts w:eastAsia="Times New Roman"/>
          <w:lang w:eastAsia="en-GB"/>
        </w:rPr>
        <w:t>       </w:t>
      </w:r>
    </w:p>
    <w:p w14:paraId="52F79384" w14:textId="7955A024" w:rsidR="009563B4" w:rsidRPr="00CE1EA7" w:rsidRDefault="009563B4" w:rsidP="009563B4">
      <w:pPr>
        <w:pStyle w:val="Heading4"/>
      </w:pPr>
      <w:bookmarkStart w:id="432" w:name="_Toc42027172"/>
      <w:bookmarkStart w:id="433" w:name="_Toc42262680"/>
      <w:r w:rsidRPr="00CE1EA7">
        <w:t>Project-level grievance mechanism</w:t>
      </w:r>
      <w:bookmarkEnd w:id="432"/>
      <w:bookmarkEnd w:id="433"/>
      <w:r w:rsidRPr="00CE1EA7">
        <w:t xml:space="preserve"> </w:t>
      </w:r>
    </w:p>
    <w:p w14:paraId="7EE30CFC" w14:textId="77777777" w:rsidR="009563B4" w:rsidRPr="00153BE2" w:rsidRDefault="009563B4" w:rsidP="001667C6">
      <w:pPr>
        <w:pStyle w:val="ParagraphOED"/>
        <w:numPr>
          <w:ilvl w:val="0"/>
          <w:numId w:val="102"/>
        </w:numPr>
        <w:spacing w:after="160"/>
        <w:rPr>
          <w:rFonts w:asciiTheme="minorHAnsi" w:hAnsiTheme="minorHAnsi" w:cstheme="minorBidi"/>
        </w:rPr>
      </w:pPr>
      <w:r>
        <w:t xml:space="preserve">The project will establish a grievance mechanism at field level to file complaints during project inception </w:t>
      </w:r>
      <w:r w:rsidRPr="1E65A5F7">
        <w:rPr>
          <w:rFonts w:asciiTheme="minorHAnsi" w:hAnsiTheme="minorHAnsi" w:cstheme="minorBidi"/>
        </w:rPr>
        <w:t xml:space="preserve">phase. Contact information and information on the process to file a complaint will be disclosed in all meetings, workshops and other related events throughout the life of the project. In addition, it is expected that all awareness raising material to be distributed will include the necessary information regarding the contacts and the process for filing grievances. </w:t>
      </w:r>
    </w:p>
    <w:p w14:paraId="67761E2C" w14:textId="77777777" w:rsidR="009563B4" w:rsidRPr="00153BE2" w:rsidRDefault="009563B4" w:rsidP="001667C6">
      <w:pPr>
        <w:pStyle w:val="ParagraphOED"/>
        <w:numPr>
          <w:ilvl w:val="0"/>
          <w:numId w:val="102"/>
        </w:numPr>
        <w:spacing w:after="160"/>
        <w:rPr>
          <w:rFonts w:asciiTheme="minorHAnsi" w:hAnsiTheme="minorHAnsi" w:cstheme="minorBidi"/>
        </w:rPr>
      </w:pPr>
      <w:r w:rsidRPr="1E65A5F7">
        <w:rPr>
          <w:rFonts w:asciiTheme="minorHAnsi" w:hAnsiTheme="minorHAnsi" w:cstheme="minorBidi"/>
        </w:rPr>
        <w:t>The project will also be responsible for documenting and reporting as part of the safeguards performance monitoring on any grievances received and how they were addressed.</w:t>
      </w:r>
    </w:p>
    <w:p w14:paraId="39707D4A" w14:textId="77777777" w:rsidR="009563B4" w:rsidRPr="00153BE2" w:rsidRDefault="009563B4" w:rsidP="001667C6">
      <w:pPr>
        <w:pStyle w:val="ParagraphOED"/>
        <w:numPr>
          <w:ilvl w:val="0"/>
          <w:numId w:val="102"/>
        </w:numPr>
        <w:spacing w:after="160"/>
        <w:rPr>
          <w:rFonts w:asciiTheme="minorHAnsi" w:hAnsiTheme="minorHAnsi" w:cstheme="minorBidi"/>
        </w:rPr>
      </w:pPr>
      <w:r w:rsidRPr="1E65A5F7">
        <w:rPr>
          <w:rFonts w:asciiTheme="minorHAnsi" w:hAnsiTheme="minorHAnsi" w:cstheme="minorBidi"/>
        </w:rPr>
        <w:t xml:space="preserve">The mechanism includes the following stages: </w:t>
      </w:r>
    </w:p>
    <w:p w14:paraId="2B834AAA" w14:textId="77777777" w:rsidR="009563B4" w:rsidRPr="00153BE2" w:rsidRDefault="009563B4" w:rsidP="00C53A49">
      <w:pPr>
        <w:numPr>
          <w:ilvl w:val="0"/>
          <w:numId w:val="5"/>
        </w:numPr>
        <w:autoSpaceDE w:val="0"/>
        <w:autoSpaceDN w:val="0"/>
        <w:adjustRightInd w:val="0"/>
        <w:spacing w:after="120"/>
        <w:rPr>
          <w:rFonts w:asciiTheme="minorHAnsi" w:hAnsiTheme="minorHAnsi" w:cstheme="minorHAnsi"/>
          <w:color w:val="000000"/>
          <w:sz w:val="21"/>
          <w:szCs w:val="21"/>
        </w:rPr>
      </w:pPr>
      <w:r w:rsidRPr="00153BE2">
        <w:rPr>
          <w:rFonts w:asciiTheme="minorHAnsi" w:hAnsiTheme="minorHAnsi" w:cstheme="minorHAnsi"/>
          <w:color w:val="000000"/>
          <w:sz w:val="21"/>
          <w:szCs w:val="21"/>
        </w:rPr>
        <w:t xml:space="preserve">In the instance in which the claimant has the means to directly file the claim, he/she has the right to do so, presenting it directly to the Project Coordination Unit (PCU). The process of filing a complaint will duly consider anonymity as well as any existing traditional or indigenous dispute resolution mechanisms and it will not interfere with the community’s self-governance system. </w:t>
      </w:r>
    </w:p>
    <w:p w14:paraId="66D419DF" w14:textId="77777777" w:rsidR="009563B4" w:rsidRPr="00153BE2" w:rsidRDefault="009563B4" w:rsidP="00C53A49">
      <w:pPr>
        <w:numPr>
          <w:ilvl w:val="0"/>
          <w:numId w:val="5"/>
        </w:numPr>
        <w:autoSpaceDE w:val="0"/>
        <w:autoSpaceDN w:val="0"/>
        <w:adjustRightInd w:val="0"/>
        <w:spacing w:after="120"/>
        <w:rPr>
          <w:rFonts w:asciiTheme="minorHAnsi" w:hAnsiTheme="minorHAnsi" w:cstheme="minorHAnsi"/>
          <w:color w:val="000000"/>
          <w:sz w:val="21"/>
          <w:szCs w:val="21"/>
        </w:rPr>
      </w:pPr>
      <w:r w:rsidRPr="00153BE2">
        <w:rPr>
          <w:rFonts w:asciiTheme="minorHAnsi" w:hAnsiTheme="minorHAnsi" w:cstheme="minorHAnsi"/>
          <w:color w:val="000000"/>
          <w:sz w:val="21"/>
          <w:szCs w:val="21"/>
        </w:rPr>
        <w:t xml:space="preserve">The complainant files a complaint through one of the channels of the grievance mechanism. This will be sent to the Project Coordinator (PC) to assess whether the complaint is eligible. The confidentiality of the complaint must be preserved during the process. </w:t>
      </w:r>
    </w:p>
    <w:p w14:paraId="71F1701A" w14:textId="77777777" w:rsidR="009563B4" w:rsidRPr="00153BE2" w:rsidRDefault="009563B4" w:rsidP="00C53A49">
      <w:pPr>
        <w:numPr>
          <w:ilvl w:val="0"/>
          <w:numId w:val="5"/>
        </w:numPr>
        <w:autoSpaceDE w:val="0"/>
        <w:autoSpaceDN w:val="0"/>
        <w:adjustRightInd w:val="0"/>
        <w:spacing w:after="120"/>
        <w:rPr>
          <w:rFonts w:asciiTheme="minorHAnsi" w:hAnsiTheme="minorHAnsi" w:cstheme="minorHAnsi"/>
          <w:color w:val="000000"/>
          <w:sz w:val="21"/>
          <w:szCs w:val="21"/>
        </w:rPr>
      </w:pPr>
      <w:r w:rsidRPr="00153BE2">
        <w:rPr>
          <w:rFonts w:asciiTheme="minorHAnsi" w:hAnsiTheme="minorHAnsi" w:cstheme="minorHAnsi"/>
          <w:color w:val="000000"/>
          <w:sz w:val="21"/>
          <w:szCs w:val="21"/>
        </w:rPr>
        <w:t xml:space="preserve">The PGC will be responsible for recording the grievance and how it has been addressed if a resolution was agreed. </w:t>
      </w:r>
    </w:p>
    <w:p w14:paraId="56668B75" w14:textId="77777777" w:rsidR="009563B4" w:rsidRPr="00153BE2" w:rsidRDefault="009563B4" w:rsidP="00C53A49">
      <w:pPr>
        <w:numPr>
          <w:ilvl w:val="0"/>
          <w:numId w:val="5"/>
        </w:numPr>
        <w:autoSpaceDE w:val="0"/>
        <w:autoSpaceDN w:val="0"/>
        <w:adjustRightInd w:val="0"/>
        <w:spacing w:after="120"/>
        <w:rPr>
          <w:rFonts w:asciiTheme="minorHAnsi" w:hAnsiTheme="minorHAnsi" w:cstheme="minorHAnsi"/>
          <w:color w:val="000000"/>
          <w:sz w:val="21"/>
          <w:szCs w:val="21"/>
        </w:rPr>
      </w:pPr>
      <w:r w:rsidRPr="00153BE2">
        <w:rPr>
          <w:rFonts w:asciiTheme="minorHAnsi" w:hAnsiTheme="minorHAnsi" w:cstheme="minorHAnsi"/>
          <w:color w:val="000000"/>
          <w:sz w:val="21"/>
          <w:szCs w:val="21"/>
        </w:rPr>
        <w:t xml:space="preserve">If the situation is too complex, or the complainer does not accept the resolution, the complaint must be sent to a higher level, until a solution or acceptance is reached. </w:t>
      </w:r>
    </w:p>
    <w:p w14:paraId="3700E4A4" w14:textId="77777777" w:rsidR="009563B4" w:rsidRPr="00153BE2" w:rsidRDefault="009563B4" w:rsidP="00C53A49">
      <w:pPr>
        <w:numPr>
          <w:ilvl w:val="0"/>
          <w:numId w:val="5"/>
        </w:numPr>
        <w:autoSpaceDE w:val="0"/>
        <w:autoSpaceDN w:val="0"/>
        <w:adjustRightInd w:val="0"/>
        <w:spacing w:after="120"/>
        <w:rPr>
          <w:rFonts w:asciiTheme="minorHAnsi" w:hAnsiTheme="minorHAnsi" w:cstheme="minorHAnsi"/>
          <w:color w:val="000000"/>
          <w:sz w:val="21"/>
          <w:szCs w:val="21"/>
        </w:rPr>
      </w:pPr>
      <w:r w:rsidRPr="00153BE2">
        <w:rPr>
          <w:rFonts w:asciiTheme="minorHAnsi" w:hAnsiTheme="minorHAnsi" w:cstheme="minorHAnsi"/>
          <w:color w:val="000000"/>
          <w:sz w:val="21"/>
          <w:szCs w:val="21"/>
        </w:rPr>
        <w:t xml:space="preserve">For every complaint received, a written proof will be sent within ten (10) working days; afterwards, a resolution proposal will be made within thirty (30) working days. </w:t>
      </w:r>
    </w:p>
    <w:p w14:paraId="385038F3" w14:textId="77777777" w:rsidR="009563B4" w:rsidRPr="00153BE2" w:rsidRDefault="009563B4" w:rsidP="00C53A49">
      <w:pPr>
        <w:numPr>
          <w:ilvl w:val="0"/>
          <w:numId w:val="5"/>
        </w:numPr>
        <w:autoSpaceDE w:val="0"/>
        <w:autoSpaceDN w:val="0"/>
        <w:adjustRightInd w:val="0"/>
        <w:spacing w:after="120"/>
        <w:rPr>
          <w:rFonts w:asciiTheme="minorHAnsi" w:hAnsiTheme="minorHAnsi" w:cstheme="minorHAnsi"/>
          <w:color w:val="000000"/>
          <w:sz w:val="21"/>
          <w:szCs w:val="21"/>
        </w:rPr>
      </w:pPr>
      <w:r w:rsidRPr="00153BE2">
        <w:rPr>
          <w:rFonts w:asciiTheme="minorHAnsi" w:hAnsiTheme="minorHAnsi" w:cstheme="minorHAnsi"/>
          <w:color w:val="000000"/>
          <w:sz w:val="21"/>
          <w:szCs w:val="21"/>
        </w:rPr>
        <w:t xml:space="preserve">In compliance with the resolution, the person in charge of dealing with the complaint, may interact with the complainant, or may call for interviews and meetings, to better understand the reasons. </w:t>
      </w:r>
    </w:p>
    <w:p w14:paraId="78A5A627" w14:textId="77777777" w:rsidR="009563B4" w:rsidRPr="00153BE2" w:rsidRDefault="009563B4" w:rsidP="00C53A49">
      <w:pPr>
        <w:numPr>
          <w:ilvl w:val="0"/>
          <w:numId w:val="5"/>
        </w:numPr>
        <w:autoSpaceDE w:val="0"/>
        <w:autoSpaceDN w:val="0"/>
        <w:adjustRightInd w:val="0"/>
        <w:spacing w:after="120"/>
        <w:rPr>
          <w:rFonts w:asciiTheme="minorHAnsi" w:hAnsiTheme="minorHAnsi" w:cstheme="minorHAnsi"/>
          <w:color w:val="000000"/>
          <w:sz w:val="21"/>
          <w:szCs w:val="21"/>
        </w:rPr>
      </w:pPr>
      <w:r w:rsidRPr="00153BE2">
        <w:rPr>
          <w:rFonts w:asciiTheme="minorHAnsi" w:hAnsiTheme="minorHAnsi" w:cstheme="minorHAnsi"/>
          <w:color w:val="000000"/>
          <w:sz w:val="21"/>
          <w:szCs w:val="21"/>
        </w:rPr>
        <w:t xml:space="preserve">All complaint received, its response and resolutions, must be duly registered. </w:t>
      </w:r>
    </w:p>
    <w:p w14:paraId="05E42B3F" w14:textId="77777777" w:rsidR="009563B4" w:rsidRPr="00153BE2" w:rsidRDefault="009563B4" w:rsidP="009563B4">
      <w:pPr>
        <w:pStyle w:val="Heading4"/>
        <w:rPr>
          <w:rFonts w:asciiTheme="minorHAnsi" w:hAnsiTheme="minorHAnsi" w:cstheme="minorHAnsi"/>
          <w:sz w:val="21"/>
          <w:szCs w:val="21"/>
        </w:rPr>
      </w:pPr>
      <w:bookmarkStart w:id="434" w:name="_Toc42027173"/>
      <w:bookmarkStart w:id="435" w:name="_Toc42262681"/>
      <w:r w:rsidRPr="00153BE2">
        <w:rPr>
          <w:rFonts w:asciiTheme="minorHAnsi" w:hAnsiTheme="minorHAnsi" w:cstheme="minorHAnsi"/>
          <w:sz w:val="21"/>
          <w:szCs w:val="21"/>
        </w:rPr>
        <w:t>Internal process</w:t>
      </w:r>
      <w:bookmarkEnd w:id="434"/>
      <w:bookmarkEnd w:id="435"/>
      <w:r w:rsidRPr="00153BE2">
        <w:rPr>
          <w:rFonts w:asciiTheme="minorHAnsi" w:hAnsiTheme="minorHAnsi" w:cstheme="minorHAnsi"/>
          <w:sz w:val="21"/>
          <w:szCs w:val="21"/>
        </w:rPr>
        <w:t xml:space="preserve"> </w:t>
      </w:r>
    </w:p>
    <w:p w14:paraId="1D5BB3C8" w14:textId="77777777" w:rsidR="009563B4" w:rsidRPr="00153BE2" w:rsidRDefault="009563B4" w:rsidP="009563B4">
      <w:pPr>
        <w:pStyle w:val="ParagraphOED"/>
        <w:numPr>
          <w:ilvl w:val="0"/>
          <w:numId w:val="0"/>
        </w:numPr>
        <w:rPr>
          <w:rFonts w:asciiTheme="minorHAnsi" w:hAnsiTheme="minorHAnsi" w:cstheme="minorHAnsi"/>
          <w:szCs w:val="21"/>
        </w:rPr>
      </w:pPr>
      <w:r w:rsidRPr="00153BE2">
        <w:rPr>
          <w:rFonts w:asciiTheme="minorHAnsi" w:hAnsiTheme="minorHAnsi" w:cstheme="minorHAnsi"/>
          <w:szCs w:val="21"/>
        </w:rPr>
        <w:t xml:space="preserve">LEVEL1) Project Coordination Unit (PCU). The complaint could come in writing or orally to the PCU directly. At this level, received complaints will be registered, investigated and solved by the PCU. </w:t>
      </w:r>
    </w:p>
    <w:p w14:paraId="620CB35B" w14:textId="77777777" w:rsidR="009563B4" w:rsidRPr="00153BE2" w:rsidRDefault="009563B4" w:rsidP="009563B4">
      <w:pPr>
        <w:pStyle w:val="ParagraphOED"/>
        <w:numPr>
          <w:ilvl w:val="0"/>
          <w:numId w:val="0"/>
        </w:numPr>
        <w:rPr>
          <w:rFonts w:asciiTheme="minorHAnsi" w:hAnsiTheme="minorHAnsi" w:cstheme="minorHAnsi"/>
          <w:szCs w:val="21"/>
          <w:highlight w:val="cyan"/>
        </w:rPr>
      </w:pPr>
      <w:r w:rsidRPr="00153BE2">
        <w:rPr>
          <w:rFonts w:asciiTheme="minorHAnsi" w:hAnsiTheme="minorHAnsi" w:cstheme="minorHAnsi"/>
          <w:szCs w:val="21"/>
        </w:rPr>
        <w:t xml:space="preserve">LEVEL2) If the complaint has not been solved and could not be solve in level 1, then the Project Coordinator (PC) elevates it to the FAO Representative of Angola </w:t>
      </w:r>
    </w:p>
    <w:p w14:paraId="1C4990A3" w14:textId="77777777" w:rsidR="009563B4" w:rsidRPr="00153BE2" w:rsidRDefault="009563B4" w:rsidP="009563B4">
      <w:pPr>
        <w:pStyle w:val="ParagraphOED"/>
        <w:numPr>
          <w:ilvl w:val="0"/>
          <w:numId w:val="0"/>
        </w:numPr>
        <w:rPr>
          <w:rFonts w:asciiTheme="minorHAnsi" w:hAnsiTheme="minorHAnsi" w:cstheme="minorHAnsi"/>
          <w:szCs w:val="21"/>
        </w:rPr>
      </w:pPr>
      <w:r w:rsidRPr="00153BE2">
        <w:rPr>
          <w:rFonts w:asciiTheme="minorHAnsi" w:hAnsiTheme="minorHAnsi" w:cstheme="minorHAnsi"/>
          <w:szCs w:val="21"/>
        </w:rPr>
        <w:lastRenderedPageBreak/>
        <w:t xml:space="preserve">LEVEL3) Project Steering Committee (PSC). The assistance of the PSC is requested if a resolution was not agreed in levels 1 and 2. </w:t>
      </w:r>
    </w:p>
    <w:p w14:paraId="4D3E8A3E" w14:textId="77777777" w:rsidR="009563B4" w:rsidRPr="00153BE2" w:rsidRDefault="009563B4" w:rsidP="009563B4">
      <w:pPr>
        <w:pStyle w:val="ParagraphOED"/>
        <w:numPr>
          <w:ilvl w:val="0"/>
          <w:numId w:val="0"/>
        </w:numPr>
        <w:rPr>
          <w:rFonts w:asciiTheme="minorHAnsi" w:hAnsiTheme="minorHAnsi" w:cstheme="minorHAnsi"/>
          <w:szCs w:val="21"/>
        </w:rPr>
      </w:pPr>
      <w:r w:rsidRPr="00153BE2">
        <w:rPr>
          <w:rFonts w:asciiTheme="minorHAnsi" w:hAnsiTheme="minorHAnsi" w:cstheme="minorHAnsi"/>
          <w:szCs w:val="21"/>
        </w:rPr>
        <w:t xml:space="preserve">LEVEL4) FAO Regional Office for Southern Africa, FAO Representative will request if necessary the advice of the Regional Office to resolve a grievance, or will transfer the resolution of the grievance entirely to the regional office, if the problem is highly complex. </w:t>
      </w:r>
    </w:p>
    <w:p w14:paraId="734A3BDF" w14:textId="77777777" w:rsidR="009563B4" w:rsidRPr="00153BE2" w:rsidRDefault="009563B4" w:rsidP="009563B4">
      <w:pPr>
        <w:pStyle w:val="ParagraphOED"/>
        <w:numPr>
          <w:ilvl w:val="0"/>
          <w:numId w:val="0"/>
        </w:numPr>
        <w:rPr>
          <w:rFonts w:asciiTheme="minorHAnsi" w:hAnsiTheme="minorHAnsi" w:cstheme="minorHAnsi"/>
          <w:szCs w:val="21"/>
        </w:rPr>
      </w:pPr>
      <w:r w:rsidRPr="00153BE2">
        <w:rPr>
          <w:rFonts w:asciiTheme="minorHAnsi" w:hAnsiTheme="minorHAnsi" w:cstheme="minorHAnsi"/>
          <w:szCs w:val="21"/>
        </w:rPr>
        <w:t xml:space="preserve">LEVEL 5) The FAO Regional Representative will request only on very specific situations or complex problems the assistance on the FAO Inspector General who pursuits its own procedures to solve the problem. </w:t>
      </w:r>
    </w:p>
    <w:p w14:paraId="01E7C191" w14:textId="77777777" w:rsidR="009563B4" w:rsidRPr="00CE1EA7" w:rsidRDefault="009563B4" w:rsidP="009563B4">
      <w:pPr>
        <w:pStyle w:val="Heading4"/>
        <w:rPr>
          <w:rFonts w:asciiTheme="minorHAnsi" w:hAnsiTheme="minorHAnsi" w:cstheme="minorHAnsi"/>
        </w:rPr>
      </w:pPr>
      <w:bookmarkStart w:id="436" w:name="_Toc42027174"/>
      <w:bookmarkStart w:id="437" w:name="_Toc42262682"/>
      <w:r w:rsidRPr="00CE1EA7">
        <w:rPr>
          <w:rFonts w:asciiTheme="minorHAnsi" w:hAnsiTheme="minorHAnsi" w:cstheme="minorHAnsi"/>
        </w:rPr>
        <w:t>Resolution</w:t>
      </w:r>
      <w:bookmarkEnd w:id="436"/>
      <w:bookmarkEnd w:id="437"/>
      <w:r w:rsidRPr="00CE1EA7">
        <w:rPr>
          <w:rFonts w:asciiTheme="minorHAnsi" w:hAnsiTheme="minorHAnsi" w:cstheme="minorHAnsi"/>
        </w:rPr>
        <w:t xml:space="preserve"> </w:t>
      </w:r>
    </w:p>
    <w:p w14:paraId="32F98C5A" w14:textId="77777777" w:rsidR="009563B4" w:rsidRPr="00CE1EA7" w:rsidRDefault="009563B4" w:rsidP="009563B4">
      <w:pPr>
        <w:spacing w:after="120"/>
        <w:ind w:right="23"/>
        <w:rPr>
          <w:rFonts w:asciiTheme="minorHAnsi" w:hAnsiTheme="minorHAnsi" w:cstheme="minorHAnsi"/>
        </w:rPr>
      </w:pPr>
      <w:r w:rsidRPr="00CE1EA7">
        <w:rPr>
          <w:rFonts w:asciiTheme="minorHAnsi" w:hAnsiTheme="minorHAnsi" w:cstheme="minorHAnsi"/>
        </w:rPr>
        <w:t>Upon acceptance a solution by the complainer, a document with the agreement should be signed with the agreement.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09"/>
        <w:gridCol w:w="5299"/>
        <w:gridCol w:w="1842"/>
      </w:tblGrid>
      <w:tr w:rsidR="009563B4" w:rsidRPr="00CE1EA7" w14:paraId="6DEA0CDF" w14:textId="77777777" w:rsidTr="00481CA4">
        <w:tc>
          <w:tcPr>
            <w:tcW w:w="2209" w:type="dxa"/>
            <w:shd w:val="clear" w:color="auto" w:fill="auto"/>
          </w:tcPr>
          <w:p w14:paraId="2A8A26C6" w14:textId="77777777" w:rsidR="009563B4" w:rsidRPr="00CE1EA7" w:rsidRDefault="009563B4" w:rsidP="00481CA4">
            <w:pPr>
              <w:pStyle w:val="Default"/>
              <w:rPr>
                <w:rFonts w:asciiTheme="minorHAnsi" w:hAnsiTheme="minorHAnsi" w:cstheme="minorHAnsi"/>
                <w:color w:val="auto"/>
                <w:sz w:val="18"/>
                <w:szCs w:val="18"/>
              </w:rPr>
            </w:pPr>
            <w:r w:rsidRPr="00CE1EA7">
              <w:rPr>
                <w:rFonts w:asciiTheme="minorHAnsi" w:hAnsiTheme="minorHAnsi" w:cstheme="minorHAnsi"/>
                <w:color w:val="auto"/>
                <w:sz w:val="18"/>
                <w:szCs w:val="18"/>
              </w:rPr>
              <w:t>Project Coordination Unit (PCU)</w:t>
            </w:r>
          </w:p>
        </w:tc>
        <w:tc>
          <w:tcPr>
            <w:tcW w:w="5299" w:type="dxa"/>
            <w:shd w:val="clear" w:color="auto" w:fill="auto"/>
          </w:tcPr>
          <w:p w14:paraId="10FE4EC0" w14:textId="77777777" w:rsidR="009563B4" w:rsidRPr="00CE1EA7" w:rsidRDefault="009563B4" w:rsidP="00481CA4">
            <w:pPr>
              <w:pStyle w:val="Default"/>
              <w:rPr>
                <w:rFonts w:asciiTheme="minorHAnsi" w:hAnsiTheme="minorHAnsi" w:cstheme="minorHAnsi"/>
                <w:color w:val="auto"/>
                <w:sz w:val="18"/>
                <w:szCs w:val="18"/>
              </w:rPr>
            </w:pPr>
            <w:r w:rsidRPr="00CE1EA7">
              <w:rPr>
                <w:rFonts w:asciiTheme="minorHAnsi" w:hAnsiTheme="minorHAnsi" w:cstheme="minorHAnsi"/>
                <w:color w:val="auto"/>
                <w:sz w:val="18"/>
                <w:szCs w:val="18"/>
              </w:rPr>
              <w:t xml:space="preserve">Must respond within 5 working days. </w:t>
            </w:r>
          </w:p>
        </w:tc>
        <w:tc>
          <w:tcPr>
            <w:tcW w:w="1842" w:type="dxa"/>
          </w:tcPr>
          <w:p w14:paraId="071FE6E8" w14:textId="77777777" w:rsidR="009563B4" w:rsidRPr="00CE1EA7" w:rsidRDefault="009563B4" w:rsidP="00481CA4">
            <w:pPr>
              <w:pStyle w:val="Default"/>
              <w:rPr>
                <w:rFonts w:asciiTheme="minorHAnsi" w:hAnsiTheme="minorHAnsi" w:cstheme="minorHAnsi"/>
                <w:color w:val="auto"/>
                <w:sz w:val="18"/>
                <w:szCs w:val="18"/>
              </w:rPr>
            </w:pPr>
          </w:p>
        </w:tc>
      </w:tr>
      <w:tr w:rsidR="009563B4" w:rsidRPr="00CE1EA7" w14:paraId="2C20F2EC" w14:textId="77777777" w:rsidTr="00481CA4">
        <w:tc>
          <w:tcPr>
            <w:tcW w:w="2209" w:type="dxa"/>
            <w:shd w:val="clear" w:color="auto" w:fill="auto"/>
          </w:tcPr>
          <w:p w14:paraId="46FCC8DD" w14:textId="77777777" w:rsidR="009563B4" w:rsidRPr="00CE1EA7" w:rsidRDefault="009563B4" w:rsidP="00481CA4">
            <w:pPr>
              <w:pStyle w:val="Default"/>
              <w:rPr>
                <w:rFonts w:asciiTheme="minorHAnsi" w:hAnsiTheme="minorHAnsi" w:cstheme="minorHAnsi"/>
                <w:color w:val="auto"/>
                <w:sz w:val="18"/>
                <w:szCs w:val="18"/>
              </w:rPr>
            </w:pPr>
            <w:r w:rsidRPr="00CE1EA7">
              <w:rPr>
                <w:rFonts w:asciiTheme="minorHAnsi" w:hAnsiTheme="minorHAnsi" w:cstheme="minorHAnsi"/>
                <w:color w:val="auto"/>
                <w:sz w:val="18"/>
                <w:szCs w:val="18"/>
              </w:rPr>
              <w:t>FAO Representation in Angola</w:t>
            </w:r>
          </w:p>
        </w:tc>
        <w:tc>
          <w:tcPr>
            <w:tcW w:w="5299" w:type="dxa"/>
            <w:shd w:val="clear" w:color="auto" w:fill="auto"/>
          </w:tcPr>
          <w:p w14:paraId="6AB297E1" w14:textId="77777777" w:rsidR="009563B4" w:rsidRPr="00CE1EA7" w:rsidRDefault="009563B4" w:rsidP="00481CA4">
            <w:pPr>
              <w:pStyle w:val="Default"/>
              <w:rPr>
                <w:rFonts w:asciiTheme="minorHAnsi" w:hAnsiTheme="minorHAnsi" w:cstheme="minorHAnsi"/>
                <w:color w:val="auto"/>
                <w:sz w:val="18"/>
                <w:szCs w:val="18"/>
              </w:rPr>
            </w:pPr>
            <w:r w:rsidRPr="00CE1EA7">
              <w:rPr>
                <w:rFonts w:asciiTheme="minorHAnsi" w:hAnsiTheme="minorHAnsi" w:cstheme="minorHAnsi"/>
                <w:color w:val="auto"/>
                <w:sz w:val="18"/>
                <w:szCs w:val="18"/>
              </w:rPr>
              <w:t xml:space="preserve">Anyone in the FAO Representation may receive a complaint and must request proof of receipt. If the case is accepted, the FAO Representative must respond within 5 working days in consultation with FAO's Representation and Project Team. </w:t>
            </w:r>
          </w:p>
          <w:p w14:paraId="60798B85" w14:textId="77777777" w:rsidR="009563B4" w:rsidRPr="00CC2FAA" w:rsidRDefault="009563B4" w:rsidP="00481CA4">
            <w:pPr>
              <w:pStyle w:val="Default"/>
              <w:rPr>
                <w:rFonts w:asciiTheme="minorHAnsi" w:hAnsiTheme="minorHAnsi" w:cstheme="minorHAnsi"/>
                <w:color w:val="auto"/>
                <w:sz w:val="18"/>
                <w:szCs w:val="18"/>
                <w:lang w:val="pt-BR"/>
              </w:rPr>
            </w:pPr>
            <w:r w:rsidRPr="00CC2FAA">
              <w:rPr>
                <w:rFonts w:asciiTheme="minorHAnsi" w:hAnsiTheme="minorHAnsi" w:cstheme="minorHAnsi"/>
                <w:color w:val="auto"/>
                <w:sz w:val="18"/>
                <w:szCs w:val="18"/>
                <w:lang w:val="pt-BR"/>
              </w:rPr>
              <w:t>FAO Representative: Ms Gherda Barreto Cajina</w:t>
            </w:r>
          </w:p>
          <w:p w14:paraId="31EA6607" w14:textId="77777777" w:rsidR="009563B4" w:rsidRPr="00CC2FAA" w:rsidRDefault="009563B4" w:rsidP="00481CA4">
            <w:pPr>
              <w:pStyle w:val="Default"/>
              <w:rPr>
                <w:rFonts w:asciiTheme="majorHAnsi" w:hAnsiTheme="majorHAnsi" w:cstheme="majorHAnsi"/>
                <w:color w:val="auto"/>
                <w:sz w:val="18"/>
                <w:szCs w:val="18"/>
                <w:lang w:val="pt-BR"/>
              </w:rPr>
            </w:pPr>
            <w:r w:rsidRPr="00CC2FAA">
              <w:rPr>
                <w:rFonts w:asciiTheme="minorHAnsi" w:hAnsiTheme="minorHAnsi" w:cstheme="minorHAnsi"/>
                <w:color w:val="auto"/>
                <w:sz w:val="18"/>
                <w:szCs w:val="18"/>
                <w:lang w:val="pt-BR"/>
              </w:rPr>
              <w:t>e-mail</w:t>
            </w:r>
            <w:r w:rsidRPr="00CC2FAA">
              <w:rPr>
                <w:rFonts w:asciiTheme="majorHAnsi" w:hAnsiTheme="majorHAnsi" w:cstheme="majorHAnsi"/>
                <w:color w:val="auto"/>
                <w:sz w:val="18"/>
                <w:szCs w:val="18"/>
                <w:lang w:val="pt-BR"/>
              </w:rPr>
              <w:t>:</w:t>
            </w:r>
            <w:r w:rsidRPr="00CC2FAA">
              <w:rPr>
                <w:rFonts w:asciiTheme="majorHAnsi" w:hAnsiTheme="majorHAnsi" w:cstheme="majorHAnsi"/>
                <w:sz w:val="18"/>
                <w:szCs w:val="18"/>
                <w:lang w:val="pt-BR"/>
              </w:rPr>
              <w:t xml:space="preserve"> Gherda.Barreto@fao.org</w:t>
            </w:r>
          </w:p>
          <w:p w14:paraId="0858E5ED" w14:textId="77777777" w:rsidR="009563B4" w:rsidRPr="00CE1EA7" w:rsidRDefault="009563B4" w:rsidP="00481CA4">
            <w:pPr>
              <w:pStyle w:val="Default"/>
              <w:rPr>
                <w:rFonts w:asciiTheme="minorHAnsi" w:hAnsiTheme="minorHAnsi" w:cstheme="minorHAnsi"/>
                <w:color w:val="auto"/>
                <w:sz w:val="18"/>
                <w:szCs w:val="18"/>
              </w:rPr>
            </w:pPr>
            <w:r w:rsidRPr="00CE1EA7">
              <w:rPr>
                <w:rFonts w:asciiTheme="minorHAnsi" w:hAnsiTheme="minorHAnsi" w:cstheme="minorHAnsi"/>
                <w:color w:val="auto"/>
                <w:sz w:val="18"/>
                <w:szCs w:val="18"/>
              </w:rPr>
              <w:t>Tel: +244 222 327108</w:t>
            </w:r>
          </w:p>
        </w:tc>
        <w:tc>
          <w:tcPr>
            <w:tcW w:w="1842" w:type="dxa"/>
          </w:tcPr>
          <w:p w14:paraId="55795E3B" w14:textId="77777777" w:rsidR="009563B4" w:rsidRPr="00CE1EA7" w:rsidRDefault="009563B4" w:rsidP="00481CA4">
            <w:pPr>
              <w:pStyle w:val="Default"/>
              <w:rPr>
                <w:rFonts w:asciiTheme="minorHAnsi" w:hAnsiTheme="minorHAnsi" w:cstheme="minorHAnsi"/>
                <w:color w:val="auto"/>
                <w:sz w:val="18"/>
                <w:szCs w:val="18"/>
              </w:rPr>
            </w:pPr>
          </w:p>
        </w:tc>
      </w:tr>
      <w:tr w:rsidR="009563B4" w:rsidRPr="00CE1EA7" w14:paraId="0757A802" w14:textId="77777777" w:rsidTr="00481CA4">
        <w:tc>
          <w:tcPr>
            <w:tcW w:w="2209" w:type="dxa"/>
            <w:shd w:val="clear" w:color="auto" w:fill="auto"/>
          </w:tcPr>
          <w:p w14:paraId="07141A62" w14:textId="77777777" w:rsidR="009563B4" w:rsidRPr="00CE1EA7" w:rsidRDefault="009563B4" w:rsidP="00481CA4">
            <w:pPr>
              <w:pStyle w:val="Default"/>
              <w:rPr>
                <w:rFonts w:asciiTheme="minorHAnsi" w:hAnsiTheme="minorHAnsi" w:cstheme="minorHAnsi"/>
                <w:color w:val="auto"/>
                <w:sz w:val="18"/>
                <w:szCs w:val="18"/>
              </w:rPr>
            </w:pPr>
            <w:r w:rsidRPr="00CE1EA7">
              <w:rPr>
                <w:rFonts w:asciiTheme="minorHAnsi" w:hAnsiTheme="minorHAnsi" w:cstheme="minorHAnsi"/>
                <w:color w:val="auto"/>
                <w:sz w:val="18"/>
                <w:szCs w:val="18"/>
              </w:rPr>
              <w:t>Project Steering Committee (PSC)</w:t>
            </w:r>
          </w:p>
        </w:tc>
        <w:tc>
          <w:tcPr>
            <w:tcW w:w="5299" w:type="dxa"/>
            <w:shd w:val="clear" w:color="auto" w:fill="auto"/>
          </w:tcPr>
          <w:p w14:paraId="2944E27E" w14:textId="77777777" w:rsidR="009563B4" w:rsidRPr="00CE1EA7" w:rsidRDefault="009563B4" w:rsidP="00481CA4">
            <w:pPr>
              <w:pStyle w:val="Default"/>
              <w:rPr>
                <w:rFonts w:asciiTheme="minorHAnsi" w:hAnsiTheme="minorHAnsi" w:cstheme="minorHAnsi"/>
                <w:color w:val="auto"/>
                <w:sz w:val="18"/>
                <w:szCs w:val="18"/>
              </w:rPr>
            </w:pPr>
            <w:r w:rsidRPr="00CE1EA7">
              <w:rPr>
                <w:rFonts w:asciiTheme="minorHAnsi" w:hAnsiTheme="minorHAnsi" w:cstheme="minorHAnsi"/>
                <w:color w:val="auto"/>
                <w:sz w:val="18"/>
                <w:szCs w:val="18"/>
              </w:rPr>
              <w:t>If the case cannot be dealt by the FAO Representative, he/she must send the information to all PSC members and call for a meeting to find a solution. The response must be sent within 5 working days after the meeting of the PSC.</w:t>
            </w:r>
          </w:p>
        </w:tc>
        <w:tc>
          <w:tcPr>
            <w:tcW w:w="1842" w:type="dxa"/>
          </w:tcPr>
          <w:p w14:paraId="52B1BACA" w14:textId="77777777" w:rsidR="009563B4" w:rsidRPr="00CE1EA7" w:rsidRDefault="009563B4" w:rsidP="00481CA4">
            <w:pPr>
              <w:pStyle w:val="Default"/>
              <w:rPr>
                <w:rFonts w:asciiTheme="minorHAnsi" w:hAnsiTheme="minorHAnsi" w:cstheme="minorHAnsi"/>
                <w:color w:val="auto"/>
                <w:sz w:val="18"/>
                <w:szCs w:val="18"/>
              </w:rPr>
            </w:pPr>
          </w:p>
        </w:tc>
      </w:tr>
      <w:tr w:rsidR="009563B4" w:rsidRPr="00CE1EA7" w14:paraId="58E7E836" w14:textId="77777777" w:rsidTr="00481CA4">
        <w:tc>
          <w:tcPr>
            <w:tcW w:w="2209" w:type="dxa"/>
            <w:shd w:val="clear" w:color="auto" w:fill="auto"/>
          </w:tcPr>
          <w:p w14:paraId="48D51949" w14:textId="77777777" w:rsidR="009563B4" w:rsidRPr="00CE1EA7" w:rsidRDefault="009563B4" w:rsidP="00481CA4">
            <w:pPr>
              <w:pStyle w:val="Default"/>
              <w:rPr>
                <w:rFonts w:asciiTheme="minorHAnsi" w:hAnsiTheme="minorHAnsi" w:cstheme="minorHAnsi"/>
                <w:color w:val="auto"/>
                <w:sz w:val="18"/>
                <w:szCs w:val="18"/>
              </w:rPr>
            </w:pPr>
            <w:r w:rsidRPr="00CE1EA7">
              <w:rPr>
                <w:rFonts w:asciiTheme="minorHAnsi" w:hAnsiTheme="minorHAnsi" w:cstheme="minorHAnsi"/>
                <w:color w:val="auto"/>
                <w:sz w:val="18"/>
                <w:szCs w:val="18"/>
              </w:rPr>
              <w:t>FAO Regional Office for Africa</w:t>
            </w:r>
          </w:p>
          <w:p w14:paraId="3237E714" w14:textId="77777777" w:rsidR="009563B4" w:rsidRPr="00CE1EA7" w:rsidRDefault="009563B4" w:rsidP="00481CA4">
            <w:pPr>
              <w:spacing w:after="120"/>
              <w:ind w:right="23"/>
              <w:rPr>
                <w:rFonts w:asciiTheme="minorHAnsi" w:hAnsiTheme="minorHAnsi" w:cstheme="minorHAnsi"/>
                <w:sz w:val="18"/>
                <w:szCs w:val="18"/>
              </w:rPr>
            </w:pPr>
          </w:p>
        </w:tc>
        <w:tc>
          <w:tcPr>
            <w:tcW w:w="5299" w:type="dxa"/>
            <w:shd w:val="clear" w:color="auto" w:fill="auto"/>
          </w:tcPr>
          <w:p w14:paraId="25A8B0C6" w14:textId="77777777" w:rsidR="009563B4" w:rsidRPr="00CE1EA7" w:rsidRDefault="009563B4" w:rsidP="00481CA4">
            <w:pPr>
              <w:pStyle w:val="Default"/>
              <w:rPr>
                <w:rFonts w:asciiTheme="minorHAnsi" w:hAnsiTheme="minorHAnsi" w:cstheme="minorHAnsi"/>
                <w:color w:val="auto"/>
                <w:sz w:val="18"/>
                <w:szCs w:val="18"/>
              </w:rPr>
            </w:pPr>
            <w:r w:rsidRPr="00CE1EA7">
              <w:rPr>
                <w:rFonts w:asciiTheme="minorHAnsi" w:hAnsiTheme="minorHAnsi" w:cstheme="minorHAnsi"/>
                <w:color w:val="auto"/>
                <w:sz w:val="18"/>
                <w:szCs w:val="18"/>
              </w:rPr>
              <w:t xml:space="preserve">Must respond within 5 working days in consultation with FAO's Representation. </w:t>
            </w:r>
          </w:p>
          <w:p w14:paraId="539272D8" w14:textId="77777777" w:rsidR="009563B4" w:rsidRPr="00CE1EA7" w:rsidRDefault="009563B4" w:rsidP="00481CA4">
            <w:pPr>
              <w:pStyle w:val="Default"/>
              <w:rPr>
                <w:rFonts w:asciiTheme="minorHAnsi" w:hAnsiTheme="minorHAnsi" w:cstheme="minorHAnsi"/>
                <w:color w:val="auto"/>
                <w:sz w:val="18"/>
                <w:szCs w:val="18"/>
              </w:rPr>
            </w:pPr>
            <w:r w:rsidRPr="00CE1EA7">
              <w:rPr>
                <w:rFonts w:asciiTheme="minorHAnsi" w:hAnsiTheme="minorHAnsi" w:cstheme="minorHAnsi"/>
                <w:color w:val="auto"/>
                <w:sz w:val="18"/>
                <w:szCs w:val="18"/>
              </w:rPr>
              <w:t>FAO Regional Representative: Mr Abebe Haile Gabriel</w:t>
            </w:r>
          </w:p>
          <w:p w14:paraId="344CBD48" w14:textId="77777777" w:rsidR="009563B4" w:rsidRPr="00CC2FAA" w:rsidRDefault="009563B4" w:rsidP="00481CA4">
            <w:pPr>
              <w:pStyle w:val="Default"/>
              <w:rPr>
                <w:rFonts w:asciiTheme="minorHAnsi" w:hAnsiTheme="minorHAnsi" w:cstheme="minorHAnsi"/>
                <w:color w:val="auto"/>
                <w:sz w:val="18"/>
                <w:szCs w:val="18"/>
                <w:lang w:val="pt-BR"/>
              </w:rPr>
            </w:pPr>
            <w:r w:rsidRPr="00CC2FAA">
              <w:rPr>
                <w:rFonts w:asciiTheme="minorHAnsi" w:hAnsiTheme="minorHAnsi" w:cstheme="minorHAnsi"/>
                <w:color w:val="auto"/>
                <w:sz w:val="18"/>
                <w:szCs w:val="18"/>
                <w:lang w:val="pt-BR"/>
              </w:rPr>
              <w:t>e-mail:</w:t>
            </w:r>
            <w:r w:rsidRPr="00CC2FAA">
              <w:rPr>
                <w:lang w:val="pt-BR"/>
              </w:rPr>
              <w:t xml:space="preserve"> </w:t>
            </w:r>
            <w:r w:rsidRPr="00CC2FAA">
              <w:rPr>
                <w:rFonts w:asciiTheme="minorHAnsi" w:hAnsiTheme="minorHAnsi" w:cstheme="minorHAnsi"/>
                <w:color w:val="auto"/>
                <w:sz w:val="18"/>
                <w:szCs w:val="18"/>
                <w:lang w:val="pt-BR"/>
              </w:rPr>
              <w:t>Abebe.HaileGabriel@fao.org</w:t>
            </w:r>
          </w:p>
          <w:p w14:paraId="7F0653CF" w14:textId="77777777" w:rsidR="009563B4" w:rsidRPr="00CE1EA7" w:rsidRDefault="009563B4" w:rsidP="00481CA4">
            <w:pPr>
              <w:pStyle w:val="Default"/>
              <w:rPr>
                <w:rFonts w:asciiTheme="minorHAnsi" w:hAnsiTheme="minorHAnsi" w:cstheme="minorHAnsi"/>
                <w:color w:val="auto"/>
                <w:sz w:val="18"/>
                <w:szCs w:val="18"/>
              </w:rPr>
            </w:pPr>
            <w:r w:rsidRPr="00CE1EA7">
              <w:rPr>
                <w:rFonts w:asciiTheme="minorHAnsi" w:hAnsiTheme="minorHAnsi" w:cstheme="minorHAnsi"/>
                <w:color w:val="auto"/>
                <w:sz w:val="18"/>
                <w:szCs w:val="18"/>
              </w:rPr>
              <w:t xml:space="preserve">Tel: </w:t>
            </w:r>
            <w:r w:rsidRPr="00CE1EA7">
              <w:rPr>
                <w:rFonts w:ascii="Tahoma" w:hAnsi="Tahoma" w:cs="Tahoma"/>
                <w:color w:val="222222"/>
                <w:sz w:val="17"/>
                <w:szCs w:val="17"/>
                <w:shd w:val="clear" w:color="auto" w:fill="FFFFFF"/>
              </w:rPr>
              <w:t>+233 30 2 610930 </w:t>
            </w:r>
          </w:p>
        </w:tc>
        <w:tc>
          <w:tcPr>
            <w:tcW w:w="1842" w:type="dxa"/>
          </w:tcPr>
          <w:p w14:paraId="30CA388B" w14:textId="77777777" w:rsidR="009563B4" w:rsidRPr="00CE1EA7" w:rsidRDefault="009563B4" w:rsidP="00481CA4">
            <w:pPr>
              <w:pStyle w:val="Default"/>
              <w:rPr>
                <w:rFonts w:asciiTheme="minorHAnsi" w:hAnsiTheme="minorHAnsi" w:cstheme="minorHAnsi"/>
                <w:color w:val="auto"/>
                <w:sz w:val="18"/>
                <w:szCs w:val="18"/>
              </w:rPr>
            </w:pPr>
          </w:p>
        </w:tc>
      </w:tr>
      <w:tr w:rsidR="009563B4" w:rsidRPr="00CE1EA7" w14:paraId="795475EE" w14:textId="77777777" w:rsidTr="00481CA4">
        <w:tc>
          <w:tcPr>
            <w:tcW w:w="2209" w:type="dxa"/>
            <w:shd w:val="clear" w:color="auto" w:fill="auto"/>
          </w:tcPr>
          <w:p w14:paraId="53C456E7" w14:textId="77777777" w:rsidR="009563B4" w:rsidRPr="00CE1EA7" w:rsidRDefault="009563B4" w:rsidP="00481CA4">
            <w:pPr>
              <w:pStyle w:val="Default"/>
              <w:rPr>
                <w:rFonts w:asciiTheme="minorHAnsi" w:hAnsiTheme="minorHAnsi" w:cstheme="minorHAnsi"/>
                <w:color w:val="auto"/>
                <w:sz w:val="18"/>
                <w:szCs w:val="18"/>
              </w:rPr>
            </w:pPr>
            <w:r w:rsidRPr="00CE1EA7">
              <w:rPr>
                <w:rFonts w:asciiTheme="minorHAnsi" w:hAnsiTheme="minorHAnsi" w:cstheme="minorHAnsi"/>
                <w:color w:val="auto"/>
                <w:sz w:val="18"/>
                <w:szCs w:val="18"/>
              </w:rPr>
              <w:t xml:space="preserve">Office of the Inspector General (OIG) </w:t>
            </w:r>
          </w:p>
          <w:p w14:paraId="2E46BC5A" w14:textId="77777777" w:rsidR="009563B4" w:rsidRPr="00CE1EA7" w:rsidRDefault="009563B4" w:rsidP="00481CA4">
            <w:pPr>
              <w:pStyle w:val="Default"/>
              <w:rPr>
                <w:rFonts w:asciiTheme="minorHAnsi" w:hAnsiTheme="minorHAnsi" w:cstheme="minorHAnsi"/>
                <w:color w:val="auto"/>
                <w:sz w:val="18"/>
                <w:szCs w:val="18"/>
              </w:rPr>
            </w:pPr>
          </w:p>
        </w:tc>
        <w:tc>
          <w:tcPr>
            <w:tcW w:w="5299" w:type="dxa"/>
            <w:shd w:val="clear" w:color="auto" w:fill="auto"/>
          </w:tcPr>
          <w:p w14:paraId="6AB499C4" w14:textId="77777777" w:rsidR="009563B4" w:rsidRPr="00CE1EA7" w:rsidRDefault="009563B4" w:rsidP="00481CA4">
            <w:pPr>
              <w:pStyle w:val="Default"/>
              <w:rPr>
                <w:rFonts w:asciiTheme="minorHAnsi" w:hAnsiTheme="minorHAnsi" w:cstheme="minorHAnsi"/>
                <w:color w:val="auto"/>
                <w:sz w:val="18"/>
                <w:szCs w:val="18"/>
              </w:rPr>
            </w:pPr>
            <w:r w:rsidRPr="00CE1EA7">
              <w:rPr>
                <w:rFonts w:asciiTheme="minorHAnsi" w:hAnsiTheme="minorHAnsi" w:cstheme="minorHAnsi"/>
                <w:color w:val="auto"/>
                <w:sz w:val="18"/>
                <w:szCs w:val="18"/>
              </w:rPr>
              <w:t xml:space="preserve">To report possible fraud and bad behavior by fax, confidential: </w:t>
            </w:r>
          </w:p>
          <w:p w14:paraId="2D7BE293" w14:textId="77777777" w:rsidR="009563B4" w:rsidRPr="00CE1EA7" w:rsidRDefault="009563B4" w:rsidP="00481CA4">
            <w:pPr>
              <w:pStyle w:val="Default"/>
              <w:rPr>
                <w:rFonts w:asciiTheme="minorHAnsi" w:hAnsiTheme="minorHAnsi" w:cstheme="minorHAnsi"/>
                <w:color w:val="auto"/>
                <w:sz w:val="18"/>
                <w:szCs w:val="18"/>
              </w:rPr>
            </w:pPr>
            <w:r w:rsidRPr="00CE1EA7">
              <w:rPr>
                <w:rFonts w:asciiTheme="minorHAnsi" w:hAnsiTheme="minorHAnsi" w:cstheme="minorHAnsi"/>
                <w:color w:val="auto"/>
                <w:sz w:val="18"/>
                <w:szCs w:val="18"/>
              </w:rPr>
              <w:t xml:space="preserve">(+39) 06 570 55550 </w:t>
            </w:r>
          </w:p>
          <w:p w14:paraId="04AFEA3D" w14:textId="77777777" w:rsidR="009563B4" w:rsidRPr="00CE1EA7" w:rsidRDefault="009563B4" w:rsidP="00481CA4">
            <w:pPr>
              <w:pStyle w:val="Default"/>
              <w:rPr>
                <w:rFonts w:asciiTheme="minorHAnsi" w:hAnsiTheme="minorHAnsi" w:cstheme="minorHAnsi"/>
                <w:color w:val="auto"/>
                <w:sz w:val="18"/>
                <w:szCs w:val="18"/>
              </w:rPr>
            </w:pPr>
            <w:r w:rsidRPr="00CE1EA7">
              <w:rPr>
                <w:rFonts w:asciiTheme="minorHAnsi" w:hAnsiTheme="minorHAnsi" w:cstheme="minorHAnsi"/>
                <w:color w:val="auto"/>
                <w:sz w:val="18"/>
                <w:szCs w:val="18"/>
              </w:rPr>
              <w:t xml:space="preserve">By e-mail: Investigations-hotline@fao.org </w:t>
            </w:r>
          </w:p>
          <w:p w14:paraId="6BB9C88D" w14:textId="77777777" w:rsidR="009563B4" w:rsidRPr="00CE1EA7" w:rsidRDefault="009563B4" w:rsidP="00481CA4">
            <w:pPr>
              <w:spacing w:after="120"/>
              <w:ind w:right="23"/>
              <w:rPr>
                <w:rFonts w:asciiTheme="minorHAnsi" w:hAnsiTheme="minorHAnsi" w:cstheme="minorHAnsi"/>
                <w:sz w:val="18"/>
                <w:szCs w:val="18"/>
              </w:rPr>
            </w:pPr>
            <w:r w:rsidRPr="00CE1EA7">
              <w:rPr>
                <w:rFonts w:asciiTheme="minorHAnsi" w:hAnsiTheme="minorHAnsi" w:cstheme="minorHAnsi"/>
                <w:sz w:val="18"/>
                <w:szCs w:val="18"/>
              </w:rPr>
              <w:t xml:space="preserve">By confidential hotline: (+ 39) 06 570 52333 </w:t>
            </w:r>
          </w:p>
        </w:tc>
        <w:tc>
          <w:tcPr>
            <w:tcW w:w="1842" w:type="dxa"/>
          </w:tcPr>
          <w:p w14:paraId="514FB15F" w14:textId="77777777" w:rsidR="009563B4" w:rsidRPr="00CE1EA7" w:rsidRDefault="009563B4" w:rsidP="00481CA4">
            <w:pPr>
              <w:pStyle w:val="Default"/>
              <w:rPr>
                <w:rFonts w:asciiTheme="minorHAnsi" w:hAnsiTheme="minorHAnsi" w:cstheme="minorHAnsi"/>
                <w:color w:val="auto"/>
                <w:sz w:val="18"/>
                <w:szCs w:val="18"/>
              </w:rPr>
            </w:pPr>
          </w:p>
        </w:tc>
      </w:tr>
    </w:tbl>
    <w:p w14:paraId="383D254C" w14:textId="77777777" w:rsidR="009563B4" w:rsidRPr="00CE1EA7" w:rsidRDefault="009563B4" w:rsidP="009563B4"/>
    <w:p w14:paraId="1CCC9593" w14:textId="77777777" w:rsidR="009563B4" w:rsidRPr="00CE1EA7" w:rsidRDefault="009563B4" w:rsidP="009563B4"/>
    <w:p w14:paraId="6F92EE62" w14:textId="77777777" w:rsidR="009563B4" w:rsidRPr="00CE1EA7" w:rsidRDefault="009563B4" w:rsidP="009563B4">
      <w:pPr>
        <w:pStyle w:val="Heading2"/>
      </w:pPr>
      <w:bookmarkStart w:id="438" w:name="_Annex_J:_Indigenous"/>
      <w:bookmarkStart w:id="439" w:name="_Toc10550572"/>
      <w:bookmarkStart w:id="440" w:name="_Toc10550660"/>
      <w:bookmarkStart w:id="441" w:name="_Toc10553003"/>
      <w:bookmarkStart w:id="442" w:name="_Toc10554550"/>
      <w:bookmarkStart w:id="443" w:name="_Toc10554618"/>
      <w:bookmarkStart w:id="444" w:name="_Toc12612968"/>
      <w:bookmarkStart w:id="445" w:name="_Ref40619177"/>
      <w:bookmarkStart w:id="446" w:name="_Toc42027175"/>
      <w:bookmarkStart w:id="447" w:name="_Toc42262683"/>
      <w:bookmarkStart w:id="448" w:name="_Toc58398615"/>
      <w:bookmarkEnd w:id="438"/>
      <w:r w:rsidRPr="00607A77">
        <w:t>Annex J: Indigenous Peoples</w:t>
      </w:r>
      <w:bookmarkEnd w:id="439"/>
      <w:bookmarkEnd w:id="440"/>
      <w:bookmarkEnd w:id="441"/>
      <w:bookmarkEnd w:id="442"/>
      <w:bookmarkEnd w:id="443"/>
      <w:bookmarkEnd w:id="444"/>
      <w:bookmarkEnd w:id="445"/>
      <w:bookmarkEnd w:id="446"/>
      <w:bookmarkEnd w:id="447"/>
      <w:bookmarkEnd w:id="448"/>
    </w:p>
    <w:p w14:paraId="72D01877" w14:textId="150CDE7A" w:rsidR="009563B4" w:rsidRPr="00CE1EA7" w:rsidRDefault="009563B4" w:rsidP="009563B4">
      <w:pPr>
        <w:pStyle w:val="Caption"/>
        <w:rPr>
          <w:rFonts w:asciiTheme="minorHAnsi" w:hAnsiTheme="minorHAnsi"/>
          <w:sz w:val="18"/>
          <w:szCs w:val="18"/>
        </w:rPr>
      </w:pPr>
      <w:bookmarkStart w:id="449" w:name="_Ref530153815"/>
      <w:bookmarkStart w:id="450" w:name="_Toc21274250"/>
      <w:bookmarkStart w:id="451" w:name="_Toc6373028"/>
      <w:bookmarkStart w:id="452" w:name="_Ref533798484"/>
      <w:bookmarkStart w:id="453" w:name="_Toc42027228"/>
      <w:bookmarkStart w:id="454" w:name="_Toc42089602"/>
      <w:bookmarkStart w:id="455" w:name="_Toc58398643"/>
      <w:r w:rsidRPr="00CE1EA7">
        <w:rPr>
          <w:sz w:val="18"/>
          <w:szCs w:val="18"/>
        </w:rPr>
        <w:t xml:space="preserve">Table </w:t>
      </w:r>
      <w:r w:rsidRPr="00CE1EA7">
        <w:fldChar w:fldCharType="begin"/>
      </w:r>
      <w:r w:rsidRPr="00CE1EA7">
        <w:rPr>
          <w:sz w:val="18"/>
          <w:szCs w:val="18"/>
        </w:rPr>
        <w:instrText xml:space="preserve"> SEQ Table \* ARABIC </w:instrText>
      </w:r>
      <w:r w:rsidRPr="00CE1EA7">
        <w:fldChar w:fldCharType="separate"/>
      </w:r>
      <w:r w:rsidR="007D3608">
        <w:rPr>
          <w:noProof/>
          <w:sz w:val="18"/>
          <w:szCs w:val="18"/>
        </w:rPr>
        <w:t>13</w:t>
      </w:r>
      <w:r w:rsidRPr="00CE1EA7">
        <w:fldChar w:fldCharType="end"/>
      </w:r>
      <w:bookmarkEnd w:id="449"/>
      <w:r w:rsidRPr="00CE1EA7">
        <w:rPr>
          <w:sz w:val="18"/>
          <w:szCs w:val="18"/>
        </w:rPr>
        <w:t>. Screening for the need of FPIC during PPG and project implementation</w:t>
      </w:r>
      <w:bookmarkEnd w:id="450"/>
      <w:bookmarkEnd w:id="451"/>
      <w:bookmarkEnd w:id="452"/>
      <w:bookmarkEnd w:id="453"/>
      <w:bookmarkEnd w:id="454"/>
      <w:bookmarkEnd w:id="455"/>
      <w:r w:rsidRPr="00CE1EA7">
        <w:rPr>
          <w:sz w:val="18"/>
          <w:szCs w:val="18"/>
        </w:rPr>
        <w:t xml:space="preserve"> </w:t>
      </w:r>
    </w:p>
    <w:tbl>
      <w:tblPr>
        <w:tblW w:w="91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2"/>
        <w:gridCol w:w="2183"/>
        <w:gridCol w:w="6464"/>
      </w:tblGrid>
      <w:tr w:rsidR="009563B4" w:rsidRPr="00CE1EA7" w14:paraId="61F6084A" w14:textId="77777777" w:rsidTr="60130418">
        <w:trPr>
          <w:cantSplit/>
          <w:tblHeader/>
        </w:trPr>
        <w:tc>
          <w:tcPr>
            <w:tcW w:w="462" w:type="dxa"/>
            <w:tcBorders>
              <w:top w:val="single" w:sz="4" w:space="0" w:color="auto"/>
              <w:left w:val="single" w:sz="4" w:space="0" w:color="auto"/>
              <w:bottom w:val="single" w:sz="4" w:space="0" w:color="auto"/>
              <w:right w:val="single" w:sz="4" w:space="0" w:color="auto"/>
            </w:tcBorders>
            <w:shd w:val="clear" w:color="auto" w:fill="000000" w:themeFill="text1"/>
            <w:noWrap/>
          </w:tcPr>
          <w:p w14:paraId="3447789B" w14:textId="77777777" w:rsidR="009563B4" w:rsidRPr="00CE1EA7" w:rsidRDefault="009563B4" w:rsidP="00481CA4">
            <w:pPr>
              <w:spacing w:line="256" w:lineRule="auto"/>
              <w:rPr>
                <w:rFonts w:cs="Calibri"/>
                <w:b/>
                <w:color w:val="FFFFFF" w:themeColor="background1"/>
                <w:sz w:val="16"/>
                <w:szCs w:val="16"/>
              </w:rPr>
            </w:pPr>
            <w:r w:rsidRPr="00CE1EA7">
              <w:rPr>
                <w:rFonts w:cs="Calibri"/>
                <w:b/>
                <w:color w:val="FFFFFF" w:themeColor="background1"/>
                <w:sz w:val="16"/>
                <w:szCs w:val="16"/>
              </w:rPr>
              <w:t xml:space="preserve">#  </w:t>
            </w:r>
          </w:p>
        </w:tc>
        <w:tc>
          <w:tcPr>
            <w:tcW w:w="2183" w:type="dxa"/>
            <w:tcBorders>
              <w:top w:val="single" w:sz="4" w:space="0" w:color="auto"/>
              <w:left w:val="single" w:sz="4" w:space="0" w:color="auto"/>
              <w:bottom w:val="single" w:sz="4" w:space="0" w:color="auto"/>
              <w:right w:val="single" w:sz="4" w:space="0" w:color="auto"/>
            </w:tcBorders>
            <w:shd w:val="clear" w:color="auto" w:fill="000000" w:themeFill="text1"/>
          </w:tcPr>
          <w:p w14:paraId="34EA9106" w14:textId="77777777" w:rsidR="009563B4" w:rsidRPr="00CE1EA7" w:rsidRDefault="009563B4" w:rsidP="00481CA4">
            <w:pPr>
              <w:spacing w:line="256" w:lineRule="auto"/>
              <w:rPr>
                <w:rFonts w:cs="Calibri"/>
                <w:b/>
                <w:bCs/>
                <w:color w:val="FFFFFF"/>
                <w:sz w:val="16"/>
                <w:szCs w:val="16"/>
              </w:rPr>
            </w:pPr>
            <w:r w:rsidRPr="00CE1EA7">
              <w:rPr>
                <w:rFonts w:cs="Calibri"/>
                <w:b/>
                <w:bCs/>
                <w:color w:val="FFFFFF"/>
                <w:sz w:val="16"/>
                <w:szCs w:val="16"/>
              </w:rPr>
              <w:t>Modified screening questions concerning Indigenous People [*]</w:t>
            </w:r>
          </w:p>
        </w:tc>
        <w:tc>
          <w:tcPr>
            <w:tcW w:w="6464" w:type="dxa"/>
            <w:tcBorders>
              <w:top w:val="single" w:sz="4" w:space="0" w:color="auto"/>
              <w:left w:val="single" w:sz="4" w:space="0" w:color="auto"/>
              <w:bottom w:val="single" w:sz="4" w:space="0" w:color="auto"/>
              <w:right w:val="single" w:sz="4" w:space="0" w:color="auto"/>
            </w:tcBorders>
            <w:shd w:val="clear" w:color="auto" w:fill="000000" w:themeFill="text1"/>
          </w:tcPr>
          <w:p w14:paraId="25CA6E4B" w14:textId="77777777" w:rsidR="009563B4" w:rsidRPr="00CE1EA7" w:rsidRDefault="009563B4" w:rsidP="00481CA4">
            <w:pPr>
              <w:spacing w:line="256" w:lineRule="auto"/>
              <w:rPr>
                <w:rFonts w:cs="Calibri"/>
                <w:b/>
                <w:bCs/>
                <w:color w:val="FFFFFF"/>
                <w:sz w:val="16"/>
                <w:szCs w:val="16"/>
              </w:rPr>
            </w:pPr>
            <w:r w:rsidRPr="00CE1EA7">
              <w:rPr>
                <w:rFonts w:cs="Calibri"/>
                <w:b/>
                <w:bCs/>
                <w:color w:val="FFFFFF"/>
                <w:sz w:val="16"/>
                <w:szCs w:val="16"/>
              </w:rPr>
              <w:t xml:space="preserve">Screening </w:t>
            </w:r>
          </w:p>
        </w:tc>
      </w:tr>
      <w:tr w:rsidR="009563B4" w:rsidRPr="00CE1EA7" w14:paraId="36BD0561" w14:textId="77777777" w:rsidTr="00481CA4">
        <w:trPr>
          <w:cantSplit/>
        </w:trPr>
        <w:tc>
          <w:tcPr>
            <w:tcW w:w="462" w:type="dxa"/>
            <w:tcBorders>
              <w:top w:val="single" w:sz="4" w:space="0" w:color="auto"/>
              <w:left w:val="single" w:sz="4" w:space="0" w:color="auto"/>
              <w:bottom w:val="single" w:sz="4" w:space="0" w:color="auto"/>
              <w:right w:val="single" w:sz="4" w:space="0" w:color="auto"/>
            </w:tcBorders>
            <w:shd w:val="clear" w:color="auto" w:fill="E7E6E6" w:themeFill="background2"/>
            <w:noWrap/>
          </w:tcPr>
          <w:p w14:paraId="36A8DEF1" w14:textId="77777777" w:rsidR="009563B4" w:rsidRPr="00CE1EA7" w:rsidRDefault="009563B4" w:rsidP="00481CA4">
            <w:pPr>
              <w:spacing w:line="256" w:lineRule="auto"/>
              <w:rPr>
                <w:rFonts w:cs="Calibri"/>
                <w:b/>
                <w:i/>
                <w:sz w:val="16"/>
                <w:szCs w:val="16"/>
              </w:rPr>
            </w:pPr>
            <w:r w:rsidRPr="00CE1EA7">
              <w:rPr>
                <w:rFonts w:cs="Calibri"/>
                <w:b/>
                <w:i/>
                <w:sz w:val="16"/>
                <w:szCs w:val="16"/>
              </w:rPr>
              <w:t>1</w:t>
            </w:r>
          </w:p>
        </w:tc>
        <w:tc>
          <w:tcPr>
            <w:tcW w:w="2183" w:type="dxa"/>
            <w:tcBorders>
              <w:top w:val="single" w:sz="4" w:space="0" w:color="auto"/>
              <w:left w:val="single" w:sz="4" w:space="0" w:color="auto"/>
              <w:bottom w:val="single" w:sz="4" w:space="0" w:color="auto"/>
              <w:right w:val="single" w:sz="4" w:space="0" w:color="auto"/>
            </w:tcBorders>
            <w:shd w:val="clear" w:color="auto" w:fill="E7E6E6" w:themeFill="background2"/>
          </w:tcPr>
          <w:p w14:paraId="077D9826" w14:textId="77777777" w:rsidR="009563B4" w:rsidRPr="00CE1EA7" w:rsidRDefault="009563B4" w:rsidP="00481CA4">
            <w:pPr>
              <w:spacing w:line="256" w:lineRule="auto"/>
              <w:rPr>
                <w:rFonts w:cs="Calibri"/>
                <w:i/>
                <w:sz w:val="16"/>
                <w:szCs w:val="16"/>
              </w:rPr>
            </w:pPr>
            <w:r w:rsidRPr="00CE1EA7">
              <w:rPr>
                <w:rFonts w:cs="Calibri"/>
                <w:i/>
                <w:sz w:val="16"/>
                <w:szCs w:val="16"/>
              </w:rPr>
              <w:t xml:space="preserve">Are there indigenous peoples in the country? </w:t>
            </w:r>
            <w:r w:rsidRPr="00CE1EA7">
              <w:rPr>
                <w:rFonts w:cs="Calibri"/>
                <w:i/>
                <w:sz w:val="16"/>
                <w:szCs w:val="16"/>
                <w:shd w:val="clear" w:color="auto" w:fill="BFBFBF" w:themeFill="background1" w:themeFillShade="BF"/>
              </w:rPr>
              <w:t>[Note 1]</w:t>
            </w:r>
          </w:p>
        </w:tc>
        <w:tc>
          <w:tcPr>
            <w:tcW w:w="6464" w:type="dxa"/>
            <w:tcBorders>
              <w:top w:val="single" w:sz="4" w:space="0" w:color="auto"/>
              <w:left w:val="single" w:sz="4" w:space="0" w:color="auto"/>
              <w:bottom w:val="single" w:sz="4" w:space="0" w:color="auto"/>
              <w:right w:val="single" w:sz="4" w:space="0" w:color="auto"/>
            </w:tcBorders>
          </w:tcPr>
          <w:p w14:paraId="7842A00D" w14:textId="77777777" w:rsidR="009563B4" w:rsidRPr="00CE1EA7" w:rsidRDefault="009563B4" w:rsidP="00481CA4">
            <w:pPr>
              <w:spacing w:line="256" w:lineRule="auto"/>
              <w:rPr>
                <w:rFonts w:cs="Calibri"/>
                <w:sz w:val="16"/>
                <w:szCs w:val="16"/>
              </w:rPr>
            </w:pPr>
            <w:r w:rsidRPr="00CE1EA7">
              <w:rPr>
                <w:rFonts w:cs="Calibri"/>
                <w:sz w:val="16"/>
                <w:szCs w:val="16"/>
              </w:rPr>
              <w:t xml:space="preserve">In the country, yes. According to International Working Group for Indigenous Affairs (IWGIA), a well-recognized global organization that provides reports on indigenous people worldwide, the indigenous people in Angola include the San and the Himba, as well as other possible Khoe-San descendent groups. </w:t>
            </w:r>
          </w:p>
          <w:p w14:paraId="2F03000B" w14:textId="77777777" w:rsidR="009563B4" w:rsidRPr="00CE1EA7" w:rsidRDefault="009563B4" w:rsidP="00481CA4">
            <w:pPr>
              <w:spacing w:line="256" w:lineRule="auto"/>
              <w:rPr>
                <w:rFonts w:cs="Calibri"/>
                <w:sz w:val="16"/>
                <w:szCs w:val="16"/>
              </w:rPr>
            </w:pPr>
            <w:r w:rsidRPr="00CE1EA7">
              <w:rPr>
                <w:rFonts w:cs="Calibri"/>
                <w:sz w:val="16"/>
                <w:szCs w:val="16"/>
              </w:rPr>
              <w:t>These populations are situated in Angola’s southern and southwest provinces and represent 0.1% of the population. Else, authoritative information and analysis about indigenous peoples in Angola is generally scant and it may be at times biased.</w:t>
            </w:r>
          </w:p>
          <w:p w14:paraId="21258070" w14:textId="77777777" w:rsidR="009563B4" w:rsidRPr="00CE1EA7" w:rsidRDefault="009563B4" w:rsidP="00481CA4">
            <w:pPr>
              <w:spacing w:line="256" w:lineRule="auto"/>
              <w:rPr>
                <w:rFonts w:cs="Calibri"/>
                <w:color w:val="FF0000"/>
                <w:sz w:val="16"/>
                <w:szCs w:val="16"/>
              </w:rPr>
            </w:pPr>
            <w:r w:rsidRPr="00CE1EA7">
              <w:rPr>
                <w:rFonts w:cs="Calibri"/>
                <w:sz w:val="16"/>
                <w:szCs w:val="16"/>
              </w:rPr>
              <w:t>The publication of Angola’s latest demographic census from 2014 did not include data on the ethnic composition of the Angolan population.</w:t>
            </w:r>
          </w:p>
        </w:tc>
      </w:tr>
      <w:tr w:rsidR="009563B4" w:rsidRPr="00CE1EA7" w14:paraId="459215C1" w14:textId="77777777" w:rsidTr="00481CA4">
        <w:trPr>
          <w:cantSplit/>
        </w:trPr>
        <w:tc>
          <w:tcPr>
            <w:tcW w:w="462" w:type="dxa"/>
            <w:tcBorders>
              <w:top w:val="single" w:sz="4" w:space="0" w:color="auto"/>
              <w:left w:val="single" w:sz="4" w:space="0" w:color="auto"/>
              <w:bottom w:val="single" w:sz="4" w:space="0" w:color="auto"/>
              <w:right w:val="single" w:sz="4" w:space="0" w:color="auto"/>
            </w:tcBorders>
            <w:shd w:val="clear" w:color="auto" w:fill="E7E6E6" w:themeFill="background2"/>
            <w:noWrap/>
          </w:tcPr>
          <w:p w14:paraId="0C843907" w14:textId="77777777" w:rsidR="009563B4" w:rsidRPr="00CE1EA7" w:rsidRDefault="009563B4" w:rsidP="00481CA4">
            <w:pPr>
              <w:spacing w:line="256" w:lineRule="auto"/>
              <w:rPr>
                <w:rFonts w:cs="Calibri"/>
                <w:b/>
                <w:i/>
                <w:sz w:val="16"/>
                <w:szCs w:val="16"/>
              </w:rPr>
            </w:pPr>
            <w:r w:rsidRPr="00CE1EA7">
              <w:rPr>
                <w:rFonts w:cs="Calibri"/>
                <w:b/>
                <w:i/>
                <w:sz w:val="16"/>
                <w:szCs w:val="16"/>
              </w:rPr>
              <w:lastRenderedPageBreak/>
              <w:t>2</w:t>
            </w:r>
          </w:p>
        </w:tc>
        <w:tc>
          <w:tcPr>
            <w:tcW w:w="2183" w:type="dxa"/>
            <w:tcBorders>
              <w:top w:val="single" w:sz="4" w:space="0" w:color="auto"/>
              <w:left w:val="single" w:sz="4" w:space="0" w:color="auto"/>
              <w:bottom w:val="single" w:sz="4" w:space="0" w:color="auto"/>
              <w:right w:val="single" w:sz="4" w:space="0" w:color="auto"/>
            </w:tcBorders>
            <w:shd w:val="clear" w:color="auto" w:fill="E7E6E6" w:themeFill="background2"/>
          </w:tcPr>
          <w:p w14:paraId="478C6C67" w14:textId="77777777" w:rsidR="009563B4" w:rsidRPr="00607A77" w:rsidRDefault="009563B4" w:rsidP="00481CA4">
            <w:pPr>
              <w:spacing w:line="256" w:lineRule="auto"/>
              <w:rPr>
                <w:rFonts w:cs="Calibri"/>
                <w:i/>
                <w:sz w:val="16"/>
                <w:szCs w:val="16"/>
              </w:rPr>
            </w:pPr>
            <w:r w:rsidRPr="00607A77">
              <w:rPr>
                <w:rFonts w:cs="Calibri"/>
                <w:i/>
                <w:sz w:val="16"/>
                <w:szCs w:val="16"/>
              </w:rPr>
              <w:t xml:space="preserve">Based on the stakeholder analysis, and considering possible existing agreements acknowledging their presence: Do indigenous peoples inhabit the project area(s)? [Y / N] </w:t>
            </w:r>
          </w:p>
        </w:tc>
        <w:tc>
          <w:tcPr>
            <w:tcW w:w="6464" w:type="dxa"/>
            <w:tcBorders>
              <w:top w:val="single" w:sz="4" w:space="0" w:color="auto"/>
              <w:left w:val="single" w:sz="4" w:space="0" w:color="auto"/>
              <w:bottom w:val="single" w:sz="4" w:space="0" w:color="auto"/>
              <w:right w:val="single" w:sz="4" w:space="0" w:color="auto"/>
            </w:tcBorders>
          </w:tcPr>
          <w:p w14:paraId="4B7DD460" w14:textId="68AA048B" w:rsidR="009563B4" w:rsidRDefault="007B7915" w:rsidP="00481CA4">
            <w:pPr>
              <w:spacing w:line="256" w:lineRule="auto"/>
              <w:rPr>
                <w:rFonts w:cs="Calibri"/>
                <w:sz w:val="16"/>
                <w:szCs w:val="16"/>
              </w:rPr>
            </w:pPr>
            <w:r>
              <w:rPr>
                <w:rFonts w:cs="Calibri"/>
                <w:sz w:val="16"/>
                <w:szCs w:val="16"/>
              </w:rPr>
              <w:t>No.</w:t>
            </w:r>
          </w:p>
          <w:p w14:paraId="2A522D17" w14:textId="77777777" w:rsidR="007B7915" w:rsidRDefault="007B7915" w:rsidP="00481CA4">
            <w:pPr>
              <w:spacing w:line="256" w:lineRule="auto"/>
              <w:rPr>
                <w:rFonts w:cs="Calibri"/>
                <w:sz w:val="16"/>
                <w:szCs w:val="16"/>
              </w:rPr>
            </w:pPr>
          </w:p>
          <w:p w14:paraId="500F8E7D" w14:textId="2EB3E3F3" w:rsidR="007B7915" w:rsidRPr="00607A77" w:rsidRDefault="007B7915" w:rsidP="00481CA4">
            <w:pPr>
              <w:spacing w:line="256" w:lineRule="auto"/>
              <w:rPr>
                <w:rFonts w:cs="Calibri"/>
                <w:sz w:val="16"/>
                <w:szCs w:val="16"/>
              </w:rPr>
            </w:pPr>
            <w:r>
              <w:rPr>
                <w:rFonts w:cs="Calibri"/>
                <w:sz w:val="16"/>
                <w:szCs w:val="16"/>
              </w:rPr>
              <w:t>According to</w:t>
            </w:r>
            <w:r w:rsidR="009366C2">
              <w:rPr>
                <w:rFonts w:cs="Calibri"/>
                <w:sz w:val="16"/>
                <w:szCs w:val="16"/>
              </w:rPr>
              <w:t xml:space="preserve"> the</w:t>
            </w:r>
            <w:r w:rsidR="000B4048">
              <w:rPr>
                <w:rFonts w:cs="Calibri"/>
                <w:sz w:val="16"/>
                <w:szCs w:val="16"/>
              </w:rPr>
              <w:t xml:space="preserve"> FAO Country Office and</w:t>
            </w:r>
            <w:r w:rsidR="006254B3">
              <w:rPr>
                <w:rFonts w:cs="Calibri"/>
                <w:sz w:val="16"/>
                <w:szCs w:val="16"/>
              </w:rPr>
              <w:t xml:space="preserve"> census data of the regions assessed, there are no indigenous people among the sites</w:t>
            </w:r>
            <w:r w:rsidR="00CD64A6">
              <w:rPr>
                <w:rStyle w:val="FootnoteReference"/>
                <w:rFonts w:cs="Calibri"/>
                <w:sz w:val="16"/>
                <w:szCs w:val="16"/>
              </w:rPr>
              <w:footnoteReference w:id="115"/>
            </w:r>
            <w:r w:rsidR="00CD64A6">
              <w:rPr>
                <w:rFonts w:cs="Calibri"/>
                <w:sz w:val="16"/>
                <w:szCs w:val="16"/>
              </w:rPr>
              <w:t>.</w:t>
            </w:r>
          </w:p>
          <w:p w14:paraId="35495266" w14:textId="77777777" w:rsidR="009563B4" w:rsidRPr="00607A77" w:rsidRDefault="009563B4" w:rsidP="00481CA4">
            <w:pPr>
              <w:spacing w:line="256" w:lineRule="auto"/>
              <w:rPr>
                <w:rFonts w:cs="Calibri"/>
                <w:sz w:val="16"/>
                <w:szCs w:val="16"/>
              </w:rPr>
            </w:pPr>
          </w:p>
          <w:p w14:paraId="58EADFA1" w14:textId="77777777" w:rsidR="009563B4" w:rsidRPr="00607A77" w:rsidRDefault="009563B4" w:rsidP="00481CA4">
            <w:pPr>
              <w:spacing w:line="256" w:lineRule="auto"/>
              <w:rPr>
                <w:rFonts w:cs="Calibri"/>
                <w:sz w:val="16"/>
                <w:szCs w:val="16"/>
              </w:rPr>
            </w:pPr>
          </w:p>
        </w:tc>
      </w:tr>
      <w:tr w:rsidR="009563B4" w:rsidRPr="00CE1EA7" w14:paraId="5DF9B7CD" w14:textId="77777777" w:rsidTr="00481CA4">
        <w:trPr>
          <w:cantSplit/>
        </w:trPr>
        <w:tc>
          <w:tcPr>
            <w:tcW w:w="462" w:type="dxa"/>
            <w:tcBorders>
              <w:top w:val="single" w:sz="4" w:space="0" w:color="auto"/>
              <w:left w:val="single" w:sz="4" w:space="0" w:color="auto"/>
              <w:bottom w:val="single" w:sz="4" w:space="0" w:color="auto"/>
              <w:right w:val="single" w:sz="4" w:space="0" w:color="auto"/>
            </w:tcBorders>
            <w:shd w:val="clear" w:color="auto" w:fill="E7E6E6" w:themeFill="background2"/>
            <w:noWrap/>
          </w:tcPr>
          <w:p w14:paraId="10596708" w14:textId="77777777" w:rsidR="009563B4" w:rsidRPr="00CE1EA7" w:rsidRDefault="009563B4" w:rsidP="00481CA4">
            <w:pPr>
              <w:spacing w:line="256" w:lineRule="auto"/>
              <w:jc w:val="right"/>
              <w:rPr>
                <w:rFonts w:cs="Calibri"/>
                <w:sz w:val="16"/>
                <w:szCs w:val="16"/>
              </w:rPr>
            </w:pPr>
            <w:r w:rsidRPr="00CE1EA7">
              <w:rPr>
                <w:rFonts w:cs="Calibri"/>
                <w:sz w:val="16"/>
                <w:szCs w:val="16"/>
              </w:rPr>
              <w:t>2a</w:t>
            </w:r>
          </w:p>
        </w:tc>
        <w:tc>
          <w:tcPr>
            <w:tcW w:w="2183" w:type="dxa"/>
            <w:tcBorders>
              <w:top w:val="single" w:sz="4" w:space="0" w:color="auto"/>
              <w:left w:val="single" w:sz="4" w:space="0" w:color="auto"/>
              <w:bottom w:val="single" w:sz="4" w:space="0" w:color="auto"/>
              <w:right w:val="single" w:sz="4" w:space="0" w:color="auto"/>
            </w:tcBorders>
            <w:shd w:val="clear" w:color="auto" w:fill="E7E6E6" w:themeFill="background2"/>
          </w:tcPr>
          <w:p w14:paraId="50D2502F" w14:textId="77777777" w:rsidR="009563B4" w:rsidRPr="00CE1EA7" w:rsidRDefault="009563B4" w:rsidP="00481CA4">
            <w:pPr>
              <w:spacing w:line="256" w:lineRule="auto"/>
              <w:ind w:left="293"/>
              <w:rPr>
                <w:rFonts w:cs="Calibri"/>
                <w:i/>
                <w:sz w:val="16"/>
                <w:szCs w:val="16"/>
              </w:rPr>
            </w:pPr>
            <w:r w:rsidRPr="00CE1EA7">
              <w:rPr>
                <w:rFonts w:cs="Calibri"/>
                <w:i/>
                <w:sz w:val="16"/>
                <w:szCs w:val="16"/>
              </w:rPr>
              <w:t>. If yes, include disaggregated data by indigenous group and geographical location.</w:t>
            </w:r>
          </w:p>
        </w:tc>
        <w:tc>
          <w:tcPr>
            <w:tcW w:w="6464" w:type="dxa"/>
            <w:tcBorders>
              <w:top w:val="single" w:sz="4" w:space="0" w:color="auto"/>
              <w:left w:val="single" w:sz="4" w:space="0" w:color="auto"/>
              <w:bottom w:val="single" w:sz="4" w:space="0" w:color="auto"/>
              <w:right w:val="single" w:sz="4" w:space="0" w:color="auto"/>
            </w:tcBorders>
          </w:tcPr>
          <w:p w14:paraId="2F5AF058" w14:textId="77777777" w:rsidR="009563B4" w:rsidRPr="00CE1EA7" w:rsidRDefault="009563B4" w:rsidP="00481CA4">
            <w:pPr>
              <w:spacing w:line="256" w:lineRule="auto"/>
              <w:rPr>
                <w:rFonts w:cs="Calibri"/>
                <w:sz w:val="16"/>
                <w:szCs w:val="16"/>
              </w:rPr>
            </w:pPr>
            <w:r w:rsidRPr="00CE1EA7">
              <w:rPr>
                <w:rFonts w:cs="Calibri"/>
                <w:sz w:val="16"/>
                <w:szCs w:val="16"/>
              </w:rPr>
              <w:t>Angola’s latest demographic census from 2014 did not include data on ethnic composition of the Angolan population.</w:t>
            </w:r>
          </w:p>
          <w:p w14:paraId="4EC32E91" w14:textId="77777777" w:rsidR="009563B4" w:rsidRPr="00CE1EA7" w:rsidRDefault="009563B4" w:rsidP="00481CA4">
            <w:pPr>
              <w:spacing w:line="256" w:lineRule="auto"/>
              <w:rPr>
                <w:rFonts w:cs="Calibri"/>
                <w:sz w:val="16"/>
                <w:szCs w:val="16"/>
              </w:rPr>
            </w:pPr>
            <w:r w:rsidRPr="00CE1EA7">
              <w:rPr>
                <w:rFonts w:cs="Calibri"/>
                <w:sz w:val="16"/>
                <w:szCs w:val="16"/>
              </w:rPr>
              <w:t>Municipalities of the macro landscape areas targeted by the project (in Cunene and Cuando Cubango provinces) could not provide information on exact geographical location of indigenous people under their administration.</w:t>
            </w:r>
          </w:p>
          <w:p w14:paraId="30DE5F45" w14:textId="77777777" w:rsidR="009563B4" w:rsidRPr="00CE1EA7" w:rsidRDefault="009563B4" w:rsidP="00481CA4">
            <w:pPr>
              <w:spacing w:line="256" w:lineRule="auto"/>
              <w:rPr>
                <w:rFonts w:cs="Calibri"/>
                <w:sz w:val="16"/>
                <w:szCs w:val="16"/>
              </w:rPr>
            </w:pPr>
            <w:r w:rsidRPr="00CE1EA7">
              <w:rPr>
                <w:rFonts w:cs="Calibri"/>
                <w:sz w:val="16"/>
                <w:szCs w:val="16"/>
              </w:rPr>
              <w:t>Literature review, e.g. with reference to IWGIA reports and other sources did not yield exact data on the geographic location of indigenous communities.</w:t>
            </w:r>
          </w:p>
        </w:tc>
      </w:tr>
      <w:tr w:rsidR="009563B4" w:rsidRPr="00CE1EA7" w14:paraId="221B79EC" w14:textId="77777777" w:rsidTr="00481CA4">
        <w:trPr>
          <w:cantSplit/>
        </w:trPr>
        <w:tc>
          <w:tcPr>
            <w:tcW w:w="462" w:type="dxa"/>
            <w:tcBorders>
              <w:top w:val="single" w:sz="4" w:space="0" w:color="auto"/>
              <w:left w:val="single" w:sz="4" w:space="0" w:color="auto"/>
              <w:bottom w:val="single" w:sz="4" w:space="0" w:color="auto"/>
              <w:right w:val="single" w:sz="4" w:space="0" w:color="auto"/>
            </w:tcBorders>
            <w:shd w:val="clear" w:color="auto" w:fill="E7E6E6" w:themeFill="background2"/>
            <w:noWrap/>
          </w:tcPr>
          <w:p w14:paraId="500D163A" w14:textId="77777777" w:rsidR="009563B4" w:rsidRPr="00CE1EA7" w:rsidRDefault="009563B4" w:rsidP="00481CA4">
            <w:pPr>
              <w:spacing w:line="256" w:lineRule="auto"/>
              <w:jc w:val="right"/>
              <w:rPr>
                <w:rFonts w:cs="Calibri"/>
                <w:sz w:val="16"/>
                <w:szCs w:val="16"/>
              </w:rPr>
            </w:pPr>
            <w:r w:rsidRPr="00CE1EA7">
              <w:rPr>
                <w:rFonts w:cs="Calibri"/>
                <w:sz w:val="16"/>
                <w:szCs w:val="16"/>
              </w:rPr>
              <w:t>2b</w:t>
            </w:r>
          </w:p>
        </w:tc>
        <w:tc>
          <w:tcPr>
            <w:tcW w:w="2183" w:type="dxa"/>
            <w:tcBorders>
              <w:top w:val="single" w:sz="4" w:space="0" w:color="auto"/>
              <w:left w:val="single" w:sz="4" w:space="0" w:color="auto"/>
              <w:bottom w:val="single" w:sz="4" w:space="0" w:color="auto"/>
              <w:right w:val="single" w:sz="4" w:space="0" w:color="auto"/>
            </w:tcBorders>
            <w:shd w:val="clear" w:color="auto" w:fill="E7E6E6" w:themeFill="background2"/>
          </w:tcPr>
          <w:p w14:paraId="211A9859" w14:textId="77777777" w:rsidR="009563B4" w:rsidRPr="00CE1EA7" w:rsidRDefault="009563B4" w:rsidP="00481CA4">
            <w:pPr>
              <w:spacing w:line="256" w:lineRule="auto"/>
              <w:ind w:left="293"/>
              <w:rPr>
                <w:rFonts w:cs="Calibri"/>
                <w:i/>
                <w:sz w:val="16"/>
                <w:szCs w:val="16"/>
              </w:rPr>
            </w:pPr>
            <w:r w:rsidRPr="00CE1EA7">
              <w:rPr>
                <w:rFonts w:cs="Calibri"/>
                <w:i/>
                <w:sz w:val="16"/>
                <w:szCs w:val="16"/>
              </w:rPr>
              <w:t>. If not, explain whether project activities may impact (even indirectly) other territories inhabited by indigenous peoples.</w:t>
            </w:r>
          </w:p>
        </w:tc>
        <w:tc>
          <w:tcPr>
            <w:tcW w:w="6464" w:type="dxa"/>
            <w:tcBorders>
              <w:top w:val="single" w:sz="4" w:space="0" w:color="auto"/>
              <w:left w:val="single" w:sz="4" w:space="0" w:color="auto"/>
              <w:bottom w:val="single" w:sz="4" w:space="0" w:color="auto"/>
              <w:right w:val="single" w:sz="4" w:space="0" w:color="auto"/>
            </w:tcBorders>
          </w:tcPr>
          <w:p w14:paraId="145349AE" w14:textId="77777777" w:rsidR="009563B4" w:rsidRPr="00CE1EA7" w:rsidRDefault="009563B4" w:rsidP="00481CA4">
            <w:pPr>
              <w:spacing w:line="256" w:lineRule="auto"/>
              <w:rPr>
                <w:rFonts w:cs="Calibri"/>
                <w:sz w:val="16"/>
                <w:szCs w:val="16"/>
              </w:rPr>
            </w:pPr>
            <w:r w:rsidRPr="00CE1EA7">
              <w:rPr>
                <w:rFonts w:cs="Calibri"/>
                <w:sz w:val="16"/>
                <w:szCs w:val="16"/>
              </w:rPr>
              <w:t>There are no indications that project activities would directly or indirectly</w:t>
            </w:r>
            <w:r w:rsidRPr="00CE1EA7">
              <w:rPr>
                <w:rFonts w:cs="Calibri"/>
                <w:b/>
                <w:sz w:val="16"/>
                <w:szCs w:val="16"/>
                <w:u w:val="single"/>
              </w:rPr>
              <w:t xml:space="preserve"> negatively</w:t>
            </w:r>
            <w:r w:rsidRPr="00CE1EA7">
              <w:rPr>
                <w:rFonts w:cs="Calibri"/>
                <w:sz w:val="16"/>
                <w:szCs w:val="16"/>
              </w:rPr>
              <w:t xml:space="preserve"> impact on territories inhabited by indigenous peoples within the landscapes that the project proposes to manage. </w:t>
            </w:r>
          </w:p>
          <w:p w14:paraId="5A3E464A" w14:textId="77777777" w:rsidR="009563B4" w:rsidRPr="00CE1EA7" w:rsidRDefault="009563B4" w:rsidP="00481CA4">
            <w:pPr>
              <w:spacing w:line="256" w:lineRule="auto"/>
              <w:rPr>
                <w:rFonts w:cs="Calibri"/>
                <w:sz w:val="16"/>
                <w:szCs w:val="16"/>
              </w:rPr>
            </w:pPr>
            <w:r w:rsidRPr="00CE1EA7">
              <w:rPr>
                <w:rFonts w:cs="Calibri"/>
                <w:sz w:val="16"/>
                <w:szCs w:val="16"/>
              </w:rPr>
              <w:t>Yet, should new data prove otherwise during implementation, or should there be at least one grievance filed by an indigenous group regarding negative impacts, FAO will work with government to take measures, following the agency's and the GEF's guidance on the matter. Measures may include FAO experts advising the FAOAO Country Office and the project team for commending and conducting a specific impact analysis with focus on indigenous marginalized groups and their plight for territorial and other culturally bound rights vis-a-vis project planning, rolling stakeholder engagement, including gender and special groups, as well as specific socio-environmental risk assessment.</w:t>
            </w:r>
          </w:p>
        </w:tc>
      </w:tr>
      <w:tr w:rsidR="009563B4" w:rsidRPr="00CE1EA7" w14:paraId="54457A6B" w14:textId="77777777" w:rsidTr="00481CA4">
        <w:trPr>
          <w:cantSplit/>
        </w:trPr>
        <w:tc>
          <w:tcPr>
            <w:tcW w:w="462" w:type="dxa"/>
            <w:tcBorders>
              <w:top w:val="single" w:sz="4" w:space="0" w:color="auto"/>
              <w:left w:val="single" w:sz="4" w:space="0" w:color="auto"/>
              <w:bottom w:val="single" w:sz="4" w:space="0" w:color="auto"/>
              <w:right w:val="single" w:sz="4" w:space="0" w:color="auto"/>
            </w:tcBorders>
            <w:shd w:val="clear" w:color="auto" w:fill="E7E6E6" w:themeFill="background2"/>
            <w:noWrap/>
          </w:tcPr>
          <w:p w14:paraId="132121F0" w14:textId="77777777" w:rsidR="009563B4" w:rsidRPr="00CE1EA7" w:rsidRDefault="009563B4" w:rsidP="00481CA4">
            <w:pPr>
              <w:spacing w:line="256" w:lineRule="auto"/>
              <w:rPr>
                <w:rFonts w:cs="Calibri"/>
                <w:b/>
                <w:sz w:val="16"/>
                <w:szCs w:val="16"/>
              </w:rPr>
            </w:pPr>
            <w:r w:rsidRPr="00CE1EA7">
              <w:rPr>
                <w:rFonts w:cs="Calibri"/>
                <w:b/>
                <w:sz w:val="16"/>
                <w:szCs w:val="16"/>
              </w:rPr>
              <w:t>3</w:t>
            </w:r>
          </w:p>
        </w:tc>
        <w:tc>
          <w:tcPr>
            <w:tcW w:w="2183" w:type="dxa"/>
            <w:tcBorders>
              <w:top w:val="single" w:sz="4" w:space="0" w:color="auto"/>
              <w:left w:val="single" w:sz="4" w:space="0" w:color="auto"/>
              <w:bottom w:val="single" w:sz="4" w:space="0" w:color="auto"/>
              <w:right w:val="single" w:sz="4" w:space="0" w:color="auto"/>
            </w:tcBorders>
            <w:shd w:val="clear" w:color="auto" w:fill="E7E6E6" w:themeFill="background2"/>
          </w:tcPr>
          <w:p w14:paraId="791FA76F" w14:textId="77777777" w:rsidR="009563B4" w:rsidRPr="00CE1EA7" w:rsidRDefault="009563B4" w:rsidP="00481CA4">
            <w:pPr>
              <w:spacing w:line="256" w:lineRule="auto"/>
              <w:rPr>
                <w:rFonts w:cs="Calibri"/>
                <w:i/>
                <w:sz w:val="16"/>
                <w:szCs w:val="16"/>
              </w:rPr>
            </w:pPr>
            <w:r w:rsidRPr="00CE1EA7">
              <w:rPr>
                <w:rFonts w:cs="Calibri"/>
                <w:i/>
                <w:sz w:val="16"/>
                <w:szCs w:val="16"/>
              </w:rPr>
              <w:t>If applicable, has project design identified interventions which respond to the needs and priorities expressed by the indigenous communities involved and which build upon their knowledge, cultural systems and institutions.</w:t>
            </w:r>
          </w:p>
        </w:tc>
        <w:tc>
          <w:tcPr>
            <w:tcW w:w="6464" w:type="dxa"/>
            <w:tcBorders>
              <w:top w:val="single" w:sz="4" w:space="0" w:color="auto"/>
              <w:left w:val="single" w:sz="4" w:space="0" w:color="auto"/>
              <w:bottom w:val="single" w:sz="4" w:space="0" w:color="auto"/>
              <w:right w:val="single" w:sz="4" w:space="0" w:color="auto"/>
            </w:tcBorders>
          </w:tcPr>
          <w:p w14:paraId="4E6756D1" w14:textId="77777777" w:rsidR="009563B4" w:rsidRPr="00CE1EA7" w:rsidRDefault="009563B4" w:rsidP="00481CA4">
            <w:pPr>
              <w:spacing w:line="256" w:lineRule="auto"/>
              <w:rPr>
                <w:rFonts w:cs="Calibri"/>
                <w:sz w:val="16"/>
                <w:szCs w:val="16"/>
              </w:rPr>
            </w:pPr>
            <w:r w:rsidRPr="00CE1EA7">
              <w:rPr>
                <w:rFonts w:cs="Calibri"/>
                <w:sz w:val="16"/>
                <w:szCs w:val="16"/>
              </w:rPr>
              <w:t xml:space="preserve">Cultural heritage (and gender) sensitivity was applied in all events relating to stakeholder consultation during the PPG stage. </w:t>
            </w:r>
          </w:p>
          <w:p w14:paraId="0E044130" w14:textId="77777777" w:rsidR="009563B4" w:rsidRPr="00CE1EA7" w:rsidRDefault="009563B4" w:rsidP="00481CA4">
            <w:pPr>
              <w:spacing w:line="256" w:lineRule="auto"/>
              <w:rPr>
                <w:rFonts w:cs="Calibri"/>
                <w:sz w:val="16"/>
                <w:szCs w:val="16"/>
              </w:rPr>
            </w:pPr>
            <w:r w:rsidRPr="00CE1EA7">
              <w:rPr>
                <w:rFonts w:cs="Calibri"/>
                <w:sz w:val="16"/>
                <w:szCs w:val="16"/>
              </w:rPr>
              <w:t xml:space="preserve">Project activities at community level are open to all interested community members; they are designed to improve SLM and SFM by small scale farmers and livestock holders and access to forest resources (non-wood); thus activities – in general – meet interest of indigenous people, if present at intervention sites </w:t>
            </w:r>
          </w:p>
        </w:tc>
      </w:tr>
      <w:tr w:rsidR="009563B4" w:rsidRPr="00CE1EA7" w14:paraId="6FC463D6" w14:textId="77777777" w:rsidTr="00481CA4">
        <w:trPr>
          <w:cantSplit/>
        </w:trPr>
        <w:tc>
          <w:tcPr>
            <w:tcW w:w="462" w:type="dxa"/>
            <w:tcBorders>
              <w:top w:val="single" w:sz="4" w:space="0" w:color="auto"/>
              <w:left w:val="single" w:sz="4" w:space="0" w:color="auto"/>
              <w:bottom w:val="single" w:sz="4" w:space="0" w:color="auto"/>
              <w:right w:val="single" w:sz="4" w:space="0" w:color="auto"/>
            </w:tcBorders>
            <w:shd w:val="clear" w:color="auto" w:fill="E7E6E6" w:themeFill="background2"/>
            <w:noWrap/>
          </w:tcPr>
          <w:p w14:paraId="08764C9E" w14:textId="77777777" w:rsidR="009563B4" w:rsidRPr="00CE1EA7" w:rsidRDefault="009563B4" w:rsidP="00481CA4">
            <w:pPr>
              <w:spacing w:line="256" w:lineRule="auto"/>
              <w:rPr>
                <w:rFonts w:cs="Calibri"/>
                <w:b/>
                <w:sz w:val="16"/>
                <w:szCs w:val="16"/>
              </w:rPr>
            </w:pPr>
            <w:r w:rsidRPr="00CE1EA7">
              <w:rPr>
                <w:rFonts w:cs="Calibri"/>
                <w:b/>
                <w:sz w:val="16"/>
                <w:szCs w:val="16"/>
              </w:rPr>
              <w:t>4</w:t>
            </w:r>
          </w:p>
        </w:tc>
        <w:tc>
          <w:tcPr>
            <w:tcW w:w="2183" w:type="dxa"/>
            <w:tcBorders>
              <w:top w:val="single" w:sz="4" w:space="0" w:color="auto"/>
              <w:left w:val="single" w:sz="4" w:space="0" w:color="auto"/>
              <w:bottom w:val="single" w:sz="4" w:space="0" w:color="auto"/>
              <w:right w:val="single" w:sz="4" w:space="0" w:color="auto"/>
            </w:tcBorders>
            <w:shd w:val="clear" w:color="auto" w:fill="E7E6E6" w:themeFill="background2"/>
          </w:tcPr>
          <w:p w14:paraId="3D65F289" w14:textId="77777777" w:rsidR="009563B4" w:rsidRPr="00CE1EA7" w:rsidRDefault="009563B4" w:rsidP="00481CA4">
            <w:pPr>
              <w:spacing w:line="256" w:lineRule="auto"/>
              <w:rPr>
                <w:rFonts w:cs="Calibri"/>
                <w:i/>
                <w:sz w:val="16"/>
                <w:szCs w:val="16"/>
              </w:rPr>
            </w:pPr>
            <w:r w:rsidRPr="00CE1EA7">
              <w:rPr>
                <w:rFonts w:cs="Calibri"/>
                <w:i/>
                <w:sz w:val="16"/>
                <w:szCs w:val="16"/>
              </w:rPr>
              <w:t>Has a plan to include indigenous peoples in the consultative process has been developed to ensure representatives of indigenous communities are present at all stages of the project cycle (including participation in the implementation of the project)?</w:t>
            </w:r>
          </w:p>
        </w:tc>
        <w:tc>
          <w:tcPr>
            <w:tcW w:w="6464" w:type="dxa"/>
            <w:tcBorders>
              <w:top w:val="single" w:sz="4" w:space="0" w:color="auto"/>
              <w:left w:val="single" w:sz="4" w:space="0" w:color="auto"/>
              <w:bottom w:val="single" w:sz="4" w:space="0" w:color="auto"/>
              <w:right w:val="single" w:sz="4" w:space="0" w:color="auto"/>
            </w:tcBorders>
          </w:tcPr>
          <w:p w14:paraId="0B1640E6" w14:textId="41D4161C" w:rsidR="009563B4" w:rsidRPr="00CE1EA7" w:rsidRDefault="00B20D6D" w:rsidP="00481CA4">
            <w:pPr>
              <w:spacing w:line="256" w:lineRule="auto"/>
              <w:rPr>
                <w:rFonts w:cs="Calibri"/>
                <w:sz w:val="16"/>
                <w:szCs w:val="16"/>
              </w:rPr>
            </w:pPr>
            <w:r w:rsidRPr="00B20D6D">
              <w:rPr>
                <w:rFonts w:cs="Calibri"/>
                <w:sz w:val="16"/>
                <w:szCs w:val="16"/>
              </w:rPr>
              <w:t>Yes, a plan to include indigenous peoples in the consultative process was made, this plan was based in make the consultations from the national level through the villages level and include in the consultations the local authorities  and communities in the project sites.</w:t>
            </w:r>
          </w:p>
        </w:tc>
      </w:tr>
      <w:tr w:rsidR="009563B4" w:rsidRPr="00CE1EA7" w14:paraId="6BFBF896" w14:textId="77777777" w:rsidTr="00481CA4">
        <w:trPr>
          <w:cantSplit/>
        </w:trPr>
        <w:tc>
          <w:tcPr>
            <w:tcW w:w="462" w:type="dxa"/>
            <w:tcBorders>
              <w:top w:val="single" w:sz="4" w:space="0" w:color="auto"/>
              <w:left w:val="single" w:sz="4" w:space="0" w:color="auto"/>
              <w:bottom w:val="single" w:sz="4" w:space="0" w:color="auto"/>
              <w:right w:val="single" w:sz="4" w:space="0" w:color="auto"/>
            </w:tcBorders>
            <w:shd w:val="clear" w:color="auto" w:fill="E7E6E6" w:themeFill="background2"/>
            <w:noWrap/>
          </w:tcPr>
          <w:p w14:paraId="5C36EFFE" w14:textId="77777777" w:rsidR="009563B4" w:rsidRPr="00CE1EA7" w:rsidRDefault="009563B4" w:rsidP="00481CA4">
            <w:pPr>
              <w:spacing w:line="256" w:lineRule="auto"/>
              <w:rPr>
                <w:rFonts w:cs="Calibri"/>
                <w:b/>
                <w:sz w:val="16"/>
                <w:szCs w:val="16"/>
              </w:rPr>
            </w:pPr>
            <w:r w:rsidRPr="00CE1EA7">
              <w:rPr>
                <w:rFonts w:cs="Calibri"/>
                <w:b/>
                <w:sz w:val="16"/>
                <w:szCs w:val="16"/>
              </w:rPr>
              <w:t>5</w:t>
            </w:r>
          </w:p>
        </w:tc>
        <w:tc>
          <w:tcPr>
            <w:tcW w:w="2183" w:type="dxa"/>
            <w:tcBorders>
              <w:top w:val="single" w:sz="4" w:space="0" w:color="auto"/>
              <w:left w:val="single" w:sz="4" w:space="0" w:color="auto"/>
              <w:bottom w:val="single" w:sz="4" w:space="0" w:color="auto"/>
              <w:right w:val="single" w:sz="4" w:space="0" w:color="auto"/>
            </w:tcBorders>
            <w:shd w:val="clear" w:color="auto" w:fill="E7E6E6" w:themeFill="background2"/>
          </w:tcPr>
          <w:p w14:paraId="42A1C8CD" w14:textId="77777777" w:rsidR="009563B4" w:rsidRPr="00CE1EA7" w:rsidRDefault="009563B4" w:rsidP="00481CA4">
            <w:pPr>
              <w:spacing w:line="256" w:lineRule="auto"/>
              <w:rPr>
                <w:rFonts w:cs="Calibri"/>
                <w:i/>
                <w:sz w:val="16"/>
                <w:szCs w:val="16"/>
              </w:rPr>
            </w:pPr>
            <w:r w:rsidRPr="00CE1EA7">
              <w:rPr>
                <w:rFonts w:cs="Calibri"/>
                <w:i/>
                <w:sz w:val="16"/>
                <w:szCs w:val="16"/>
              </w:rPr>
              <w:t>How has the information related to the project been disclosed? Has been in accordance with Indigenous Peoples’ customs and traditions and whether material has been distributed in the local language?</w:t>
            </w:r>
          </w:p>
        </w:tc>
        <w:tc>
          <w:tcPr>
            <w:tcW w:w="6464" w:type="dxa"/>
            <w:tcBorders>
              <w:top w:val="single" w:sz="4" w:space="0" w:color="auto"/>
              <w:left w:val="single" w:sz="4" w:space="0" w:color="auto"/>
              <w:bottom w:val="single" w:sz="4" w:space="0" w:color="auto"/>
              <w:right w:val="single" w:sz="4" w:space="0" w:color="auto"/>
            </w:tcBorders>
          </w:tcPr>
          <w:p w14:paraId="53A13F08" w14:textId="661D40FA" w:rsidR="009563B4" w:rsidRPr="00CE1EA7" w:rsidRDefault="00345ACC" w:rsidP="00481CA4">
            <w:pPr>
              <w:spacing w:line="256" w:lineRule="auto"/>
              <w:rPr>
                <w:rFonts w:cs="Calibri"/>
                <w:sz w:val="16"/>
                <w:szCs w:val="16"/>
              </w:rPr>
            </w:pPr>
            <w:r w:rsidRPr="00345ACC">
              <w:rPr>
                <w:rFonts w:cs="Calibri"/>
                <w:sz w:val="16"/>
                <w:szCs w:val="16"/>
              </w:rPr>
              <w:t>The information of the project was disclosed through televisions news, newspaper, flyers and at the consultations, processes face to face in the local languages.</w:t>
            </w:r>
          </w:p>
        </w:tc>
      </w:tr>
      <w:tr w:rsidR="009563B4" w:rsidRPr="00CE1EA7" w14:paraId="29A2B265" w14:textId="77777777" w:rsidTr="00481CA4">
        <w:trPr>
          <w:cantSplit/>
        </w:trPr>
        <w:tc>
          <w:tcPr>
            <w:tcW w:w="462" w:type="dxa"/>
            <w:tcBorders>
              <w:top w:val="single" w:sz="4" w:space="0" w:color="auto"/>
              <w:left w:val="single" w:sz="4" w:space="0" w:color="auto"/>
              <w:bottom w:val="single" w:sz="4" w:space="0" w:color="auto"/>
              <w:right w:val="single" w:sz="4" w:space="0" w:color="auto"/>
            </w:tcBorders>
            <w:shd w:val="clear" w:color="auto" w:fill="E7E6E6" w:themeFill="background2"/>
            <w:noWrap/>
          </w:tcPr>
          <w:p w14:paraId="3C7C74CC" w14:textId="77777777" w:rsidR="009563B4" w:rsidRPr="00CE1EA7" w:rsidRDefault="009563B4" w:rsidP="00481CA4">
            <w:pPr>
              <w:spacing w:line="256" w:lineRule="auto"/>
              <w:rPr>
                <w:rFonts w:cs="Calibri"/>
                <w:b/>
                <w:sz w:val="16"/>
                <w:szCs w:val="16"/>
              </w:rPr>
            </w:pPr>
            <w:r w:rsidRPr="00CE1EA7">
              <w:rPr>
                <w:rFonts w:cs="Calibri"/>
                <w:b/>
                <w:sz w:val="16"/>
                <w:szCs w:val="16"/>
              </w:rPr>
              <w:lastRenderedPageBreak/>
              <w:t>6</w:t>
            </w:r>
          </w:p>
        </w:tc>
        <w:tc>
          <w:tcPr>
            <w:tcW w:w="2183" w:type="dxa"/>
            <w:tcBorders>
              <w:top w:val="single" w:sz="4" w:space="0" w:color="auto"/>
              <w:left w:val="single" w:sz="4" w:space="0" w:color="auto"/>
              <w:bottom w:val="single" w:sz="4" w:space="0" w:color="auto"/>
              <w:right w:val="single" w:sz="4" w:space="0" w:color="auto"/>
            </w:tcBorders>
            <w:shd w:val="clear" w:color="auto" w:fill="E7E6E6" w:themeFill="background2"/>
          </w:tcPr>
          <w:p w14:paraId="0D999BF1" w14:textId="77777777" w:rsidR="009563B4" w:rsidRPr="00CE1EA7" w:rsidRDefault="009563B4" w:rsidP="00481CA4">
            <w:pPr>
              <w:spacing w:line="256" w:lineRule="auto"/>
              <w:rPr>
                <w:rFonts w:cs="Calibri"/>
                <w:i/>
                <w:sz w:val="16"/>
                <w:szCs w:val="16"/>
              </w:rPr>
            </w:pPr>
            <w:r w:rsidRPr="00CE1EA7">
              <w:rPr>
                <w:rFonts w:cs="Calibri"/>
                <w:i/>
                <w:sz w:val="16"/>
                <w:szCs w:val="16"/>
              </w:rPr>
              <w:t xml:space="preserve"> As per international standards </w:t>
            </w:r>
            <w:r w:rsidRPr="00CE1EA7">
              <w:rPr>
                <w:rFonts w:cs="Calibri"/>
                <w:i/>
                <w:sz w:val="16"/>
                <w:szCs w:val="16"/>
                <w:shd w:val="clear" w:color="auto" w:fill="BFBFBF" w:themeFill="background1" w:themeFillShade="BF"/>
              </w:rPr>
              <w:t>[Note 2]</w:t>
            </w:r>
            <w:r w:rsidRPr="00CE1EA7">
              <w:rPr>
                <w:rFonts w:cs="Calibri"/>
                <w:i/>
                <w:sz w:val="16"/>
                <w:szCs w:val="16"/>
              </w:rPr>
              <w:t xml:space="preserve">, describe the process and current status of on-going/completed, legitimate consultations to obtain </w:t>
            </w:r>
            <w:r w:rsidRPr="00CE1EA7">
              <w:rPr>
                <w:rFonts w:cs="Calibri"/>
                <w:i/>
                <w:sz w:val="16"/>
                <w:szCs w:val="16"/>
                <w:shd w:val="clear" w:color="auto" w:fill="BFBFBF" w:themeFill="background1" w:themeFillShade="BF"/>
              </w:rPr>
              <w:t>[Note 3]</w:t>
            </w:r>
            <w:r w:rsidRPr="00CE1EA7">
              <w:rPr>
                <w:rFonts w:cs="Calibri"/>
                <w:i/>
                <w:sz w:val="16"/>
                <w:szCs w:val="16"/>
              </w:rPr>
              <w:t xml:space="preserve"> Free, Prior and Informed Consent (FPIC) with the indigenous communities </w:t>
            </w:r>
            <w:r w:rsidRPr="00CE1EA7">
              <w:rPr>
                <w:rFonts w:cs="Calibri"/>
                <w:i/>
                <w:sz w:val="16"/>
                <w:szCs w:val="16"/>
                <w:shd w:val="clear" w:color="auto" w:fill="BFBFBF" w:themeFill="background1" w:themeFillShade="BF"/>
              </w:rPr>
              <w:t>[Note 4]</w:t>
            </w:r>
            <w:r w:rsidRPr="00CE1EA7">
              <w:rPr>
                <w:rFonts w:cs="Calibri"/>
                <w:i/>
                <w:sz w:val="16"/>
                <w:szCs w:val="16"/>
              </w:rPr>
              <w:t>.</w:t>
            </w:r>
          </w:p>
        </w:tc>
        <w:tc>
          <w:tcPr>
            <w:tcW w:w="6464" w:type="dxa"/>
            <w:tcBorders>
              <w:top w:val="single" w:sz="4" w:space="0" w:color="auto"/>
              <w:left w:val="single" w:sz="4" w:space="0" w:color="auto"/>
              <w:bottom w:val="single" w:sz="4" w:space="0" w:color="auto"/>
              <w:right w:val="single" w:sz="4" w:space="0" w:color="auto"/>
            </w:tcBorders>
          </w:tcPr>
          <w:p w14:paraId="3F9DF3E7" w14:textId="75C73A4F" w:rsidR="009563B4" w:rsidRPr="00CE1EA7" w:rsidRDefault="00A8560C" w:rsidP="00481CA4">
            <w:pPr>
              <w:spacing w:line="256" w:lineRule="auto"/>
              <w:rPr>
                <w:rFonts w:cs="Calibri"/>
                <w:sz w:val="16"/>
                <w:szCs w:val="16"/>
                <w:highlight w:val="cyan"/>
              </w:rPr>
            </w:pPr>
            <w:r w:rsidRPr="00A8560C">
              <w:rPr>
                <w:rFonts w:cs="Calibri"/>
                <w:sz w:val="16"/>
                <w:szCs w:val="16"/>
              </w:rPr>
              <w:t>During a broad stakeholder consultation in the project that was carried out by the PPG Team, several stakeholders were consulted at the national level in the inceptions workshop on August 2019, and at the provincial and municipal level in project sites on November 2019, as well in the field at villages level with traditional authorities and communities. The stakeholders were informed about the project and they were unanimous to say that is in the project site there are no indigenous people.</w:t>
            </w:r>
            <w:r w:rsidRPr="00A8560C">
              <w:rPr>
                <w:rFonts w:cs="Calibri"/>
                <w:sz w:val="16"/>
                <w:szCs w:val="16"/>
                <w:highlight w:val="cyan"/>
              </w:rPr>
              <w:t xml:space="preserve"> </w:t>
            </w:r>
          </w:p>
        </w:tc>
      </w:tr>
    </w:tbl>
    <w:p w14:paraId="61A29F7C" w14:textId="77777777" w:rsidR="009563B4" w:rsidRPr="00CE1EA7" w:rsidRDefault="009563B4" w:rsidP="009563B4">
      <w:pPr>
        <w:rPr>
          <w:rFonts w:asciiTheme="minorHAnsi" w:hAnsiTheme="minorHAnsi" w:cstheme="minorHAnsi"/>
          <w:iCs/>
          <w:sz w:val="4"/>
          <w:szCs w:val="4"/>
        </w:rPr>
      </w:pPr>
    </w:p>
    <w:tbl>
      <w:tblPr>
        <w:tblW w:w="91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6"/>
        <w:gridCol w:w="8738"/>
      </w:tblGrid>
      <w:tr w:rsidR="009563B4" w:rsidRPr="00CE1EA7" w14:paraId="7D18D3EE" w14:textId="77777777" w:rsidTr="00481CA4">
        <w:trPr>
          <w:cantSplit/>
        </w:trPr>
        <w:tc>
          <w:tcPr>
            <w:tcW w:w="9164" w:type="dxa"/>
            <w:gridSpan w:val="2"/>
            <w:tcBorders>
              <w:top w:val="single" w:sz="4" w:space="0" w:color="auto"/>
              <w:left w:val="single" w:sz="4" w:space="0" w:color="auto"/>
              <w:bottom w:val="single" w:sz="4" w:space="0" w:color="auto"/>
              <w:right w:val="single" w:sz="4" w:space="0" w:color="auto"/>
            </w:tcBorders>
            <w:shd w:val="clear" w:color="auto" w:fill="000000" w:themeFill="text1"/>
            <w:noWrap/>
          </w:tcPr>
          <w:p w14:paraId="36CD4D3C" w14:textId="77777777" w:rsidR="009563B4" w:rsidRPr="00CE1EA7" w:rsidRDefault="009563B4" w:rsidP="00481CA4">
            <w:pPr>
              <w:keepNext/>
              <w:spacing w:line="256" w:lineRule="auto"/>
              <w:rPr>
                <w:rFonts w:cs="Calibri"/>
                <w:b/>
                <w:sz w:val="14"/>
                <w:szCs w:val="14"/>
              </w:rPr>
            </w:pPr>
            <w:r w:rsidRPr="00CE1EA7">
              <w:rPr>
                <w:rFonts w:cs="Calibri"/>
                <w:b/>
                <w:sz w:val="14"/>
                <w:szCs w:val="14"/>
              </w:rPr>
              <w:t xml:space="preserve">Table Notes </w:t>
            </w:r>
          </w:p>
        </w:tc>
      </w:tr>
      <w:tr w:rsidR="009563B4" w:rsidRPr="00CE1EA7" w14:paraId="56252F72" w14:textId="77777777" w:rsidTr="00481CA4">
        <w:trPr>
          <w:cantSplit/>
        </w:trPr>
        <w:tc>
          <w:tcPr>
            <w:tcW w:w="426" w:type="dxa"/>
            <w:tcBorders>
              <w:top w:val="single" w:sz="4" w:space="0" w:color="auto"/>
              <w:left w:val="single" w:sz="4" w:space="0" w:color="auto"/>
              <w:bottom w:val="single" w:sz="4" w:space="0" w:color="auto"/>
              <w:right w:val="single" w:sz="4" w:space="0" w:color="auto"/>
            </w:tcBorders>
            <w:noWrap/>
          </w:tcPr>
          <w:p w14:paraId="3C874932" w14:textId="77777777" w:rsidR="009563B4" w:rsidRPr="00CE1EA7" w:rsidRDefault="009563B4" w:rsidP="00481CA4">
            <w:pPr>
              <w:spacing w:line="256" w:lineRule="auto"/>
              <w:rPr>
                <w:rFonts w:cs="Calibri"/>
                <w:sz w:val="14"/>
                <w:szCs w:val="14"/>
              </w:rPr>
            </w:pPr>
            <w:r w:rsidRPr="00CE1EA7">
              <w:rPr>
                <w:rFonts w:cs="Calibri"/>
                <w:sz w:val="14"/>
                <w:szCs w:val="14"/>
              </w:rPr>
              <w:t>[*]</w:t>
            </w:r>
          </w:p>
        </w:tc>
        <w:tc>
          <w:tcPr>
            <w:tcW w:w="8738" w:type="dxa"/>
            <w:tcBorders>
              <w:top w:val="single" w:sz="4" w:space="0" w:color="auto"/>
              <w:left w:val="single" w:sz="4" w:space="0" w:color="auto"/>
              <w:bottom w:val="single" w:sz="4" w:space="0" w:color="auto"/>
              <w:right w:val="single" w:sz="4" w:space="0" w:color="auto"/>
            </w:tcBorders>
            <w:noWrap/>
          </w:tcPr>
          <w:p w14:paraId="2D0FE732" w14:textId="77777777" w:rsidR="009563B4" w:rsidRPr="00CE1EA7" w:rsidRDefault="009563B4" w:rsidP="00481CA4">
            <w:pPr>
              <w:spacing w:line="256" w:lineRule="auto"/>
              <w:rPr>
                <w:rFonts w:cs="Calibri"/>
                <w:sz w:val="14"/>
                <w:szCs w:val="14"/>
              </w:rPr>
            </w:pPr>
            <w:r w:rsidRPr="00CE1EA7">
              <w:rPr>
                <w:rFonts w:cs="Calibri"/>
                <w:sz w:val="14"/>
                <w:szCs w:val="14"/>
              </w:rPr>
              <w:t>The questions above were derived from FAO's PRODOC template.</w:t>
            </w:r>
          </w:p>
        </w:tc>
      </w:tr>
      <w:tr w:rsidR="009563B4" w:rsidRPr="00CE1EA7" w14:paraId="0A458DB4" w14:textId="77777777" w:rsidTr="00481CA4">
        <w:trPr>
          <w:cantSplit/>
        </w:trPr>
        <w:tc>
          <w:tcPr>
            <w:tcW w:w="426" w:type="dxa"/>
            <w:tcBorders>
              <w:top w:val="single" w:sz="4" w:space="0" w:color="auto"/>
              <w:left w:val="single" w:sz="4" w:space="0" w:color="auto"/>
              <w:bottom w:val="single" w:sz="4" w:space="0" w:color="auto"/>
              <w:right w:val="single" w:sz="4" w:space="0" w:color="auto"/>
            </w:tcBorders>
            <w:noWrap/>
          </w:tcPr>
          <w:p w14:paraId="6B9A10C9" w14:textId="77777777" w:rsidR="009563B4" w:rsidRPr="00CE1EA7" w:rsidRDefault="009563B4" w:rsidP="00481CA4">
            <w:pPr>
              <w:spacing w:line="256" w:lineRule="auto"/>
              <w:rPr>
                <w:rFonts w:cs="Calibri"/>
                <w:sz w:val="14"/>
                <w:szCs w:val="14"/>
              </w:rPr>
            </w:pPr>
            <w:r w:rsidRPr="00CE1EA7">
              <w:rPr>
                <w:rFonts w:cs="Calibri"/>
                <w:sz w:val="14"/>
                <w:szCs w:val="14"/>
              </w:rPr>
              <w:t xml:space="preserve">[1] </w:t>
            </w:r>
          </w:p>
        </w:tc>
        <w:tc>
          <w:tcPr>
            <w:tcW w:w="8738" w:type="dxa"/>
            <w:tcBorders>
              <w:top w:val="single" w:sz="4" w:space="0" w:color="auto"/>
              <w:left w:val="single" w:sz="4" w:space="0" w:color="auto"/>
              <w:bottom w:val="single" w:sz="4" w:space="0" w:color="auto"/>
              <w:right w:val="single" w:sz="4" w:space="0" w:color="auto"/>
            </w:tcBorders>
            <w:noWrap/>
          </w:tcPr>
          <w:p w14:paraId="1082F033" w14:textId="77777777" w:rsidR="009563B4" w:rsidRPr="00CE1EA7" w:rsidRDefault="009563B4" w:rsidP="00481CA4">
            <w:pPr>
              <w:spacing w:line="256" w:lineRule="auto"/>
              <w:rPr>
                <w:rFonts w:cs="Calibri"/>
                <w:sz w:val="14"/>
                <w:szCs w:val="14"/>
              </w:rPr>
            </w:pPr>
            <w:r w:rsidRPr="00CE1EA7">
              <w:rPr>
                <w:rFonts w:cs="Calibri"/>
                <w:sz w:val="14"/>
                <w:szCs w:val="14"/>
              </w:rPr>
              <w:t>Including ILO Convention 169 (Indigenous and Tribal Peoples Convention, 1989), the UN Declaration on the Rights of Indigenous Peoples (2007), UNDG Guidelines on Indigenous Peoples’ Issues, the UN Permanent Forum on Indigenous Issues and the Inter-Agency Support Group on Indigenous Issues.</w:t>
            </w:r>
          </w:p>
        </w:tc>
      </w:tr>
      <w:tr w:rsidR="009563B4" w:rsidRPr="00CE1EA7" w14:paraId="7B447B07" w14:textId="77777777" w:rsidTr="00481CA4">
        <w:trPr>
          <w:cantSplit/>
        </w:trPr>
        <w:tc>
          <w:tcPr>
            <w:tcW w:w="426" w:type="dxa"/>
            <w:tcBorders>
              <w:top w:val="single" w:sz="4" w:space="0" w:color="auto"/>
              <w:left w:val="single" w:sz="4" w:space="0" w:color="auto"/>
              <w:bottom w:val="single" w:sz="4" w:space="0" w:color="auto"/>
              <w:right w:val="single" w:sz="4" w:space="0" w:color="auto"/>
            </w:tcBorders>
            <w:noWrap/>
          </w:tcPr>
          <w:p w14:paraId="2959D635" w14:textId="77777777" w:rsidR="009563B4" w:rsidRPr="00CE1EA7" w:rsidRDefault="009563B4" w:rsidP="00481CA4">
            <w:pPr>
              <w:spacing w:line="256" w:lineRule="auto"/>
              <w:rPr>
                <w:rFonts w:cs="Calibri"/>
                <w:sz w:val="14"/>
                <w:szCs w:val="14"/>
              </w:rPr>
            </w:pPr>
            <w:r w:rsidRPr="00CE1EA7">
              <w:rPr>
                <w:rFonts w:cs="Calibri"/>
                <w:sz w:val="14"/>
                <w:szCs w:val="14"/>
              </w:rPr>
              <w:t xml:space="preserve">[2] </w:t>
            </w:r>
          </w:p>
        </w:tc>
        <w:tc>
          <w:tcPr>
            <w:tcW w:w="8738" w:type="dxa"/>
            <w:tcBorders>
              <w:top w:val="single" w:sz="4" w:space="0" w:color="auto"/>
              <w:left w:val="single" w:sz="4" w:space="0" w:color="auto"/>
              <w:bottom w:val="single" w:sz="4" w:space="0" w:color="auto"/>
              <w:right w:val="single" w:sz="4" w:space="0" w:color="auto"/>
            </w:tcBorders>
            <w:noWrap/>
          </w:tcPr>
          <w:p w14:paraId="767B8259" w14:textId="77777777" w:rsidR="009563B4" w:rsidRPr="00CE1EA7" w:rsidRDefault="009563B4" w:rsidP="00481CA4">
            <w:pPr>
              <w:spacing w:line="256" w:lineRule="auto"/>
              <w:rPr>
                <w:rFonts w:cs="Calibri"/>
                <w:sz w:val="14"/>
                <w:szCs w:val="14"/>
              </w:rPr>
            </w:pPr>
            <w:r w:rsidRPr="00CE1EA7">
              <w:rPr>
                <w:rFonts w:cs="Calibri"/>
                <w:sz w:val="14"/>
                <w:szCs w:val="14"/>
              </w:rPr>
              <w:t xml:space="preserve">ILO Convention 169 (Indigenous and Tribal Peoples Convention, 1989), the UN Declaration on the Rights of Indigenous Peoples (2007), FAO policy on Indigenous and tribal Peoples. </w:t>
            </w:r>
          </w:p>
        </w:tc>
      </w:tr>
      <w:tr w:rsidR="009563B4" w:rsidRPr="00CE1EA7" w14:paraId="29CF0BF4" w14:textId="77777777" w:rsidTr="00481CA4">
        <w:trPr>
          <w:cantSplit/>
        </w:trPr>
        <w:tc>
          <w:tcPr>
            <w:tcW w:w="426" w:type="dxa"/>
            <w:tcBorders>
              <w:top w:val="single" w:sz="4" w:space="0" w:color="auto"/>
              <w:left w:val="single" w:sz="4" w:space="0" w:color="auto"/>
              <w:bottom w:val="single" w:sz="4" w:space="0" w:color="auto"/>
              <w:right w:val="single" w:sz="4" w:space="0" w:color="auto"/>
            </w:tcBorders>
            <w:noWrap/>
          </w:tcPr>
          <w:p w14:paraId="0D30AE90" w14:textId="77777777" w:rsidR="009563B4" w:rsidRPr="00CE1EA7" w:rsidRDefault="009563B4" w:rsidP="00481CA4">
            <w:pPr>
              <w:spacing w:line="256" w:lineRule="auto"/>
              <w:rPr>
                <w:rFonts w:cs="Calibri"/>
                <w:sz w:val="14"/>
                <w:szCs w:val="14"/>
              </w:rPr>
            </w:pPr>
            <w:r w:rsidRPr="00CE1EA7">
              <w:rPr>
                <w:rFonts w:cs="Calibri"/>
                <w:sz w:val="14"/>
                <w:szCs w:val="14"/>
              </w:rPr>
              <w:t xml:space="preserve">[3] </w:t>
            </w:r>
          </w:p>
        </w:tc>
        <w:tc>
          <w:tcPr>
            <w:tcW w:w="8738" w:type="dxa"/>
            <w:tcBorders>
              <w:top w:val="single" w:sz="4" w:space="0" w:color="auto"/>
              <w:left w:val="single" w:sz="4" w:space="0" w:color="auto"/>
              <w:bottom w:val="single" w:sz="4" w:space="0" w:color="auto"/>
              <w:right w:val="single" w:sz="4" w:space="0" w:color="auto"/>
            </w:tcBorders>
            <w:noWrap/>
          </w:tcPr>
          <w:p w14:paraId="1FA576E6" w14:textId="77777777" w:rsidR="009563B4" w:rsidRPr="00CE1EA7" w:rsidRDefault="009563B4" w:rsidP="00481CA4">
            <w:pPr>
              <w:spacing w:line="256" w:lineRule="auto"/>
              <w:rPr>
                <w:rFonts w:cs="Calibri"/>
                <w:sz w:val="14"/>
                <w:szCs w:val="14"/>
              </w:rPr>
            </w:pPr>
            <w:r w:rsidRPr="00CE1EA7">
              <w:rPr>
                <w:rFonts w:cs="Calibri"/>
                <w:sz w:val="14"/>
                <w:szCs w:val="14"/>
              </w:rPr>
              <w:t xml:space="preserve">Art 6 ILO Convention 169. “Legitimate consultation measures ensure that activities or actions planned respond to indigenous peoples’ concerns and interests, thereby allowing a self-determined development process”, p 5 FAO Policy on Indigenous and Tribal Peoples. </w:t>
            </w:r>
          </w:p>
        </w:tc>
      </w:tr>
      <w:tr w:rsidR="009563B4" w:rsidRPr="00CE1EA7" w14:paraId="387EE0AA" w14:textId="77777777" w:rsidTr="00481CA4">
        <w:trPr>
          <w:cantSplit/>
        </w:trPr>
        <w:tc>
          <w:tcPr>
            <w:tcW w:w="426" w:type="dxa"/>
            <w:tcBorders>
              <w:top w:val="single" w:sz="4" w:space="0" w:color="auto"/>
              <w:left w:val="single" w:sz="4" w:space="0" w:color="auto"/>
              <w:bottom w:val="single" w:sz="4" w:space="0" w:color="auto"/>
              <w:right w:val="single" w:sz="4" w:space="0" w:color="auto"/>
            </w:tcBorders>
            <w:noWrap/>
          </w:tcPr>
          <w:p w14:paraId="070A648A" w14:textId="77777777" w:rsidR="009563B4" w:rsidRPr="00CE1EA7" w:rsidRDefault="009563B4" w:rsidP="00481CA4">
            <w:pPr>
              <w:spacing w:line="256" w:lineRule="auto"/>
              <w:rPr>
                <w:rFonts w:cs="Calibri"/>
                <w:sz w:val="14"/>
                <w:szCs w:val="14"/>
              </w:rPr>
            </w:pPr>
            <w:r w:rsidRPr="00CE1EA7">
              <w:rPr>
                <w:rFonts w:cs="Calibri"/>
                <w:sz w:val="14"/>
                <w:szCs w:val="14"/>
              </w:rPr>
              <w:t>[4]</w:t>
            </w:r>
          </w:p>
        </w:tc>
        <w:tc>
          <w:tcPr>
            <w:tcW w:w="8738" w:type="dxa"/>
            <w:tcBorders>
              <w:top w:val="single" w:sz="4" w:space="0" w:color="auto"/>
              <w:left w:val="single" w:sz="4" w:space="0" w:color="auto"/>
              <w:bottom w:val="single" w:sz="4" w:space="0" w:color="auto"/>
              <w:right w:val="single" w:sz="4" w:space="0" w:color="auto"/>
            </w:tcBorders>
            <w:noWrap/>
          </w:tcPr>
          <w:p w14:paraId="34BFADE4" w14:textId="77777777" w:rsidR="009563B4" w:rsidRPr="00CE1EA7" w:rsidRDefault="009563B4" w:rsidP="00481CA4">
            <w:pPr>
              <w:spacing w:line="256" w:lineRule="auto"/>
              <w:rPr>
                <w:rFonts w:cs="Calibri"/>
                <w:sz w:val="14"/>
                <w:szCs w:val="14"/>
              </w:rPr>
            </w:pPr>
            <w:r w:rsidRPr="00CE1EA7">
              <w:rPr>
                <w:rFonts w:cs="Calibri"/>
                <w:sz w:val="14"/>
                <w:szCs w:val="14"/>
              </w:rPr>
              <w:t>If and when needed, the FAO Officers supporting the project will guide the Project Implementation Team in the processes concerning FPIC. In the publication titled FAO (2016) mentioned further down, refer to its Annex I (“Suggested steps in the process of respecting FPIC”).</w:t>
            </w:r>
          </w:p>
        </w:tc>
      </w:tr>
    </w:tbl>
    <w:p w14:paraId="767DB59E" w14:textId="77777777" w:rsidR="009563B4" w:rsidRPr="00CE1EA7" w:rsidRDefault="009563B4" w:rsidP="009563B4">
      <w:pPr>
        <w:rPr>
          <w:rFonts w:asciiTheme="minorHAnsi" w:hAnsiTheme="minorHAnsi" w:cstheme="minorHAnsi"/>
          <w:iCs/>
          <w:color w:val="FF0000"/>
          <w:sz w:val="18"/>
          <w:szCs w:val="18"/>
        </w:rPr>
      </w:pPr>
    </w:p>
    <w:p w14:paraId="0797C8C3" w14:textId="36E04182" w:rsidR="009563B4" w:rsidRPr="006968DA" w:rsidRDefault="009563B4" w:rsidP="00BA762F">
      <w:pPr>
        <w:jc w:val="both"/>
        <w:rPr>
          <w:rFonts w:asciiTheme="minorHAnsi" w:hAnsiTheme="minorHAnsi" w:cstheme="minorHAnsi"/>
          <w:sz w:val="21"/>
          <w:szCs w:val="21"/>
        </w:rPr>
      </w:pPr>
      <w:r w:rsidRPr="006968DA">
        <w:rPr>
          <w:rFonts w:asciiTheme="minorHAnsi" w:hAnsiTheme="minorHAnsi" w:cstheme="minorHAnsi"/>
          <w:sz w:val="21"/>
          <w:szCs w:val="21"/>
        </w:rPr>
        <w:t xml:space="preserve">The project’s current geographical focus is on the Southern basins of Angola, and more precisely on certain areas of the Cunene and Cuando Cubango provinces, plus a small portion of Huila province. The project zone’s coverage is described in </w:t>
      </w:r>
      <w:hyperlink w:anchor="_D)_Project_Intervention" w:history="1">
        <w:r w:rsidRPr="006968DA">
          <w:rPr>
            <w:rStyle w:val="Hyperlink"/>
            <w:rFonts w:asciiTheme="minorHAnsi" w:hAnsiTheme="minorHAnsi" w:cstheme="minorHAnsi"/>
            <w:sz w:val="21"/>
            <w:szCs w:val="21"/>
          </w:rPr>
          <w:t>PRODOC Section 1(a).</w:t>
        </w:r>
        <w:r w:rsidR="00E55703" w:rsidRPr="006968DA">
          <w:rPr>
            <w:rStyle w:val="Hyperlink"/>
            <w:rFonts w:asciiTheme="minorHAnsi" w:hAnsiTheme="minorHAnsi" w:cstheme="minorHAnsi"/>
            <w:sz w:val="21"/>
            <w:szCs w:val="21"/>
          </w:rPr>
          <w:t>2D)</w:t>
        </w:r>
        <w:r w:rsidRPr="006968DA">
          <w:rPr>
            <w:rStyle w:val="Hyperlink"/>
            <w:rFonts w:asciiTheme="minorHAnsi" w:hAnsiTheme="minorHAnsi" w:cstheme="minorHAnsi"/>
            <w:sz w:val="21"/>
            <w:szCs w:val="21"/>
          </w:rPr>
          <w:t xml:space="preserve"> Project intervention areas</w:t>
        </w:r>
      </w:hyperlink>
      <w:r w:rsidRPr="006968DA">
        <w:rPr>
          <w:rFonts w:asciiTheme="minorHAnsi" w:hAnsiTheme="minorHAnsi" w:cstheme="minorHAnsi"/>
          <w:sz w:val="21"/>
          <w:szCs w:val="21"/>
        </w:rPr>
        <w:t xml:space="preserve">. They include Miombo and Mopane woodlands, including watersheds of the Okavango and Cunene rivers basins that are characterized by Central Zambezian Miombo woodlands. The Cunene river basin landscape in the south (Cunene Province) is mainly covered by Mopane woodlands and stretches into northern Namibia. Arid grassland is the dominant land cover, primarily used by agro-pastoralists for grazing. The selected project sites are located in the municipalities of Menongue and Cuchi in Cuando Cubango Province, and Cahama and </w:t>
      </w:r>
      <w:r w:rsidRPr="006968DA">
        <w:rPr>
          <w:rFonts w:asciiTheme="minorHAnsi" w:hAnsiTheme="minorHAnsi" w:cstheme="minorHAnsi"/>
          <w:color w:val="000000"/>
          <w:sz w:val="21"/>
          <w:szCs w:val="21"/>
        </w:rPr>
        <w:t>Ombadja</w:t>
      </w:r>
      <w:r w:rsidRPr="006968DA">
        <w:rPr>
          <w:rFonts w:asciiTheme="minorHAnsi" w:hAnsiTheme="minorHAnsi" w:cstheme="minorHAnsi"/>
          <w:b/>
          <w:bCs/>
          <w:color w:val="000000"/>
          <w:sz w:val="21"/>
          <w:szCs w:val="21"/>
        </w:rPr>
        <w:t xml:space="preserve"> </w:t>
      </w:r>
      <w:r w:rsidRPr="006968DA">
        <w:rPr>
          <w:rFonts w:asciiTheme="minorHAnsi" w:hAnsiTheme="minorHAnsi" w:cstheme="minorHAnsi"/>
          <w:sz w:val="21"/>
          <w:szCs w:val="21"/>
        </w:rPr>
        <w:t>in Cunene province.</w:t>
      </w:r>
    </w:p>
    <w:p w14:paraId="64FD8ADF" w14:textId="77777777" w:rsidR="009563B4" w:rsidRPr="006968DA" w:rsidRDefault="009563B4" w:rsidP="00BA762F">
      <w:pPr>
        <w:jc w:val="both"/>
        <w:rPr>
          <w:rFonts w:asciiTheme="minorHAnsi" w:hAnsiTheme="minorHAnsi" w:cstheme="minorHAnsi"/>
          <w:sz w:val="21"/>
          <w:szCs w:val="21"/>
        </w:rPr>
      </w:pPr>
    </w:p>
    <w:p w14:paraId="6DC58964" w14:textId="77777777" w:rsidR="009563B4" w:rsidRPr="006968DA" w:rsidRDefault="009563B4" w:rsidP="00BA762F">
      <w:pPr>
        <w:jc w:val="both"/>
        <w:rPr>
          <w:rFonts w:asciiTheme="minorHAnsi" w:hAnsiTheme="minorHAnsi" w:cstheme="minorHAnsi"/>
          <w:sz w:val="21"/>
          <w:szCs w:val="21"/>
        </w:rPr>
      </w:pPr>
      <w:r w:rsidRPr="60130418">
        <w:rPr>
          <w:rFonts w:asciiTheme="minorHAnsi" w:hAnsiTheme="minorHAnsi" w:cstheme="minorBidi"/>
          <w:sz w:val="21"/>
          <w:szCs w:val="21"/>
        </w:rPr>
        <w:t>Early desk review drew information and data from International Working Group for Indigenous Affairs (IWGIA), a global organization, well-recognized by indigenous people as being able to provide reliable and culturally sensitive information and reports on indigenous affairs worldwide.</w:t>
      </w:r>
      <w:r w:rsidRPr="60130418">
        <w:rPr>
          <w:rStyle w:val="FootnoteReference"/>
          <w:rFonts w:asciiTheme="minorHAnsi" w:hAnsiTheme="minorHAnsi" w:cstheme="minorBidi"/>
          <w:sz w:val="21"/>
          <w:szCs w:val="21"/>
        </w:rPr>
        <w:footnoteReference w:id="116"/>
      </w:r>
      <w:r w:rsidRPr="60130418">
        <w:rPr>
          <w:rFonts w:asciiTheme="minorHAnsi" w:hAnsiTheme="minorHAnsi" w:cstheme="minorBidi"/>
          <w:sz w:val="21"/>
          <w:szCs w:val="21"/>
        </w:rPr>
        <w:t xml:space="preserve"> IWGIA’s criteria for prioritizing and describing indigenous groups are in line with a broad international consensus on the matter, to which FAO adheres.</w:t>
      </w:r>
      <w:r w:rsidRPr="60130418">
        <w:rPr>
          <w:rFonts w:asciiTheme="minorHAnsi" w:hAnsiTheme="minorHAnsi" w:cstheme="minorBidi"/>
          <w:sz w:val="21"/>
          <w:szCs w:val="21"/>
          <w:vertAlign w:val="superscript"/>
        </w:rPr>
        <w:t xml:space="preserve"> </w:t>
      </w:r>
      <w:r w:rsidRPr="60130418">
        <w:rPr>
          <w:rFonts w:asciiTheme="minorHAnsi" w:hAnsiTheme="minorHAnsi" w:cstheme="minorBidi"/>
          <w:sz w:val="21"/>
          <w:szCs w:val="21"/>
          <w:vertAlign w:val="superscript"/>
        </w:rPr>
        <w:footnoteReference w:id="117"/>
      </w:r>
      <w:r w:rsidRPr="60130418">
        <w:rPr>
          <w:rFonts w:asciiTheme="minorHAnsi" w:hAnsiTheme="minorHAnsi" w:cstheme="minorBidi"/>
          <w:sz w:val="21"/>
          <w:szCs w:val="21"/>
        </w:rPr>
        <w:t xml:space="preserve"> Other recommended sources of information were equally consulted, such as the ILO Convention 169 and relevant FAO publications.</w:t>
      </w:r>
    </w:p>
    <w:p w14:paraId="4E34AF3F" w14:textId="77777777" w:rsidR="009563B4" w:rsidRPr="006968DA" w:rsidRDefault="009563B4" w:rsidP="009563B4">
      <w:pPr>
        <w:rPr>
          <w:rFonts w:asciiTheme="minorHAnsi" w:hAnsiTheme="minorHAnsi" w:cstheme="minorHAnsi"/>
          <w:sz w:val="21"/>
          <w:szCs w:val="21"/>
        </w:rPr>
      </w:pPr>
    </w:p>
    <w:p w14:paraId="5633EFB5" w14:textId="77777777" w:rsidR="009563B4" w:rsidRPr="006968DA" w:rsidRDefault="009563B4" w:rsidP="00BA762F">
      <w:pPr>
        <w:jc w:val="both"/>
        <w:rPr>
          <w:rFonts w:asciiTheme="minorHAnsi" w:hAnsiTheme="minorHAnsi" w:cstheme="minorHAnsi"/>
          <w:sz w:val="21"/>
          <w:szCs w:val="21"/>
        </w:rPr>
      </w:pPr>
      <w:r w:rsidRPr="60130418">
        <w:rPr>
          <w:rFonts w:asciiTheme="minorHAnsi" w:hAnsiTheme="minorHAnsi" w:cstheme="minorBidi"/>
          <w:sz w:val="21"/>
          <w:szCs w:val="21"/>
        </w:rPr>
        <w:t>According to IWGIA, the indigenous people in Angola include the San and the Himba, as well as other possible Khoe-San descendent groups.</w:t>
      </w:r>
      <w:r w:rsidRPr="60130418">
        <w:rPr>
          <w:rStyle w:val="FootnoteReference"/>
          <w:rFonts w:asciiTheme="minorHAnsi" w:hAnsiTheme="minorHAnsi" w:cstheme="minorBidi"/>
          <w:sz w:val="21"/>
          <w:szCs w:val="21"/>
        </w:rPr>
        <w:footnoteReference w:id="118"/>
      </w:r>
      <w:r w:rsidRPr="60130418">
        <w:rPr>
          <w:rFonts w:asciiTheme="minorHAnsi" w:hAnsiTheme="minorHAnsi" w:cstheme="minorBidi"/>
          <w:sz w:val="21"/>
          <w:szCs w:val="21"/>
        </w:rPr>
        <w:t xml:space="preserve"> These populations are situated in Angola’s southern and southwest provinces and represent, as an estimate, 0.1% of the Angolan population,</w:t>
      </w:r>
      <w:r w:rsidRPr="60130418">
        <w:rPr>
          <w:rStyle w:val="FootnoteReference"/>
          <w:rFonts w:asciiTheme="minorHAnsi" w:hAnsiTheme="minorHAnsi" w:cstheme="minorBidi"/>
          <w:sz w:val="21"/>
          <w:szCs w:val="21"/>
        </w:rPr>
        <w:footnoteReference w:id="119"/>
      </w:r>
      <w:r w:rsidRPr="60130418">
        <w:rPr>
          <w:rFonts w:asciiTheme="minorHAnsi" w:hAnsiTheme="minorHAnsi" w:cstheme="minorBidi"/>
          <w:sz w:val="21"/>
          <w:szCs w:val="21"/>
        </w:rPr>
        <w:t xml:space="preserve"> approximately 25,000 people. Also according to IWGIA, the San are found mainly in the southern provinces of Huila, Cunene, Cuando Cubango and Moxico. According to an Angolan NGO source, there are about 12,000 San people in the Cuando Cubango region, where some of them live in the most populated municipality, Menongue, which had a total of 320,914 residents in 2014.</w:t>
      </w:r>
      <w:r w:rsidRPr="60130418">
        <w:rPr>
          <w:rStyle w:val="FootnoteReference"/>
          <w:rFonts w:asciiTheme="minorHAnsi" w:hAnsiTheme="minorHAnsi" w:cstheme="minorBidi"/>
          <w:sz w:val="21"/>
          <w:szCs w:val="21"/>
        </w:rPr>
        <w:footnoteReference w:id="120"/>
      </w:r>
      <w:r w:rsidRPr="60130418">
        <w:rPr>
          <w:rFonts w:asciiTheme="minorHAnsi" w:hAnsiTheme="minorHAnsi" w:cstheme="minorBidi"/>
          <w:sz w:val="21"/>
          <w:szCs w:val="21"/>
        </w:rPr>
        <w:t xml:space="preserve"> </w:t>
      </w:r>
    </w:p>
    <w:p w14:paraId="217FDB35" w14:textId="77777777" w:rsidR="009563B4" w:rsidRPr="006968DA" w:rsidRDefault="009563B4" w:rsidP="00BA762F">
      <w:pPr>
        <w:jc w:val="both"/>
        <w:rPr>
          <w:rFonts w:asciiTheme="minorHAnsi" w:hAnsiTheme="minorHAnsi" w:cstheme="minorHAnsi"/>
          <w:sz w:val="21"/>
          <w:szCs w:val="21"/>
        </w:rPr>
      </w:pPr>
    </w:p>
    <w:p w14:paraId="41093BAC" w14:textId="77777777" w:rsidR="009563B4" w:rsidRPr="006968DA" w:rsidRDefault="009563B4" w:rsidP="00BA762F">
      <w:pPr>
        <w:jc w:val="both"/>
        <w:rPr>
          <w:rFonts w:asciiTheme="minorHAnsi" w:hAnsiTheme="minorHAnsi" w:cstheme="minorHAnsi"/>
          <w:sz w:val="21"/>
          <w:szCs w:val="21"/>
        </w:rPr>
      </w:pPr>
      <w:r w:rsidRPr="60130418">
        <w:rPr>
          <w:rFonts w:asciiTheme="minorHAnsi" w:hAnsiTheme="minorHAnsi" w:cstheme="minorBidi"/>
          <w:sz w:val="21"/>
          <w:szCs w:val="21"/>
        </w:rPr>
        <w:lastRenderedPageBreak/>
        <w:t>At PIF stage, it had been determined, on the basis of literature review containing authoritative data on indigenous people’s affairs, that there are indeed indigenous peoples within the Angolan territory (at the national level), and that these groups are a minority among the Angolan population -- especially to the extent that their cultural identity is distinct from the large majority of ethnic Bantu peoples, which comprise approximately 87% of the Angolan population.</w:t>
      </w:r>
      <w:r w:rsidRPr="60130418">
        <w:rPr>
          <w:rStyle w:val="FootnoteReference"/>
          <w:rFonts w:asciiTheme="minorHAnsi" w:hAnsiTheme="minorHAnsi" w:cstheme="minorBidi"/>
          <w:sz w:val="21"/>
          <w:szCs w:val="21"/>
        </w:rPr>
        <w:footnoteReference w:id="121"/>
      </w:r>
      <w:r w:rsidRPr="60130418">
        <w:rPr>
          <w:rFonts w:asciiTheme="minorHAnsi" w:hAnsiTheme="minorHAnsi" w:cstheme="minorBidi"/>
          <w:sz w:val="21"/>
          <w:szCs w:val="21"/>
        </w:rPr>
        <w:t xml:space="preserve"> </w:t>
      </w:r>
    </w:p>
    <w:p w14:paraId="1A4310E6" w14:textId="77777777" w:rsidR="009563B4" w:rsidRPr="006968DA" w:rsidRDefault="009563B4" w:rsidP="00BA762F">
      <w:pPr>
        <w:jc w:val="both"/>
        <w:rPr>
          <w:rFonts w:asciiTheme="minorHAnsi" w:hAnsiTheme="minorHAnsi" w:cstheme="minorHAnsi"/>
          <w:sz w:val="21"/>
          <w:szCs w:val="21"/>
        </w:rPr>
      </w:pPr>
    </w:p>
    <w:p w14:paraId="107F8BC0" w14:textId="1887B556" w:rsidR="009563B4" w:rsidRPr="006968DA" w:rsidRDefault="009563B4" w:rsidP="00BA762F">
      <w:pPr>
        <w:jc w:val="both"/>
        <w:rPr>
          <w:rFonts w:asciiTheme="minorHAnsi" w:hAnsiTheme="minorHAnsi" w:cstheme="minorHAnsi"/>
          <w:sz w:val="21"/>
          <w:szCs w:val="21"/>
        </w:rPr>
      </w:pPr>
      <w:r w:rsidRPr="60130418">
        <w:rPr>
          <w:rFonts w:asciiTheme="minorHAnsi" w:hAnsiTheme="minorHAnsi" w:cstheme="minorBidi"/>
          <w:sz w:val="21"/>
          <w:szCs w:val="21"/>
        </w:rPr>
        <w:t>Also according to IWGIA, the San groups may have been hunter-gatherers in the past, most now live from a combination of subsistence agriculture, informal manual work and food aid, although a number of significant traditional livelihood practices remain. These include gathering of bush foods and, in some cases, hunting and crafts.</w:t>
      </w:r>
      <w:r w:rsidRPr="60130418">
        <w:rPr>
          <w:rStyle w:val="FootnoteReference"/>
          <w:rFonts w:asciiTheme="minorHAnsi" w:hAnsiTheme="minorHAnsi" w:cstheme="minorBidi"/>
          <w:sz w:val="21"/>
          <w:szCs w:val="21"/>
        </w:rPr>
        <w:footnoteReference w:id="122"/>
      </w:r>
      <w:r w:rsidRPr="60130418">
        <w:rPr>
          <w:rFonts w:asciiTheme="minorHAnsi" w:hAnsiTheme="minorHAnsi" w:cstheme="minorBidi"/>
          <w:sz w:val="21"/>
          <w:szCs w:val="21"/>
        </w:rPr>
        <w:t xml:space="preserve">  The situation of San groups in Angola is described as the following: “(…) today’s San eschew the settled agricultural or industrial lifestyles of their fellow Angolans, choosing to live semi-nomadic lives alongside but apart from their Bantu neighbors, foraging deep into the forests. In Cuando-Cubango their natural habitat is being reduced to scorched earth”.</w:t>
      </w:r>
      <w:r w:rsidRPr="60130418">
        <w:rPr>
          <w:rStyle w:val="FootnoteReference"/>
          <w:rFonts w:asciiTheme="minorHAnsi" w:hAnsiTheme="minorHAnsi" w:cstheme="minorBidi"/>
          <w:sz w:val="21"/>
          <w:szCs w:val="21"/>
        </w:rPr>
        <w:footnoteReference w:id="123"/>
      </w:r>
      <w:r w:rsidRPr="60130418">
        <w:rPr>
          <w:rFonts w:asciiTheme="minorHAnsi" w:hAnsiTheme="minorHAnsi" w:cstheme="minorBidi"/>
          <w:sz w:val="21"/>
          <w:szCs w:val="21"/>
        </w:rPr>
        <w:t xml:space="preserve"> Main factors contributing to the decline of the San community in Cuando-Cubango are drought, slash-and-burn agricultural practices, restricted access to their former hunting grou</w:t>
      </w:r>
      <w:r w:rsidRPr="60130418">
        <w:rPr>
          <w:rFonts w:asciiTheme="minorHAnsi" w:hAnsiTheme="minorHAnsi" w:cstheme="minorBidi"/>
          <w:color w:val="111111"/>
          <w:sz w:val="21"/>
          <w:szCs w:val="21"/>
        </w:rPr>
        <w:t>nds due to the enclosure of forested land into private estates and clear-cutting of forests by lumber companies, often with foreign affiliation (President of the NGO Mbakita, Pascoal Baptistiny).</w:t>
      </w:r>
      <w:r w:rsidRPr="60130418">
        <w:rPr>
          <w:rStyle w:val="FootnoteReference"/>
          <w:rFonts w:asciiTheme="minorHAnsi" w:hAnsiTheme="minorHAnsi" w:cstheme="minorBidi"/>
          <w:color w:val="111111"/>
          <w:sz w:val="21"/>
          <w:szCs w:val="21"/>
        </w:rPr>
        <w:footnoteReference w:id="124"/>
      </w:r>
    </w:p>
    <w:p w14:paraId="0820F47C" w14:textId="77777777" w:rsidR="009563B4" w:rsidRPr="006968DA" w:rsidRDefault="009563B4" w:rsidP="00BA762F">
      <w:pPr>
        <w:jc w:val="both"/>
        <w:rPr>
          <w:rFonts w:asciiTheme="minorHAnsi" w:hAnsiTheme="minorHAnsi" w:cstheme="minorHAnsi"/>
          <w:sz w:val="21"/>
          <w:szCs w:val="21"/>
        </w:rPr>
      </w:pPr>
    </w:p>
    <w:p w14:paraId="734FE135" w14:textId="77777777" w:rsidR="009563B4" w:rsidRPr="006968DA" w:rsidRDefault="009563B4" w:rsidP="00BA762F">
      <w:pPr>
        <w:jc w:val="both"/>
        <w:rPr>
          <w:rFonts w:asciiTheme="minorHAnsi" w:hAnsiTheme="minorHAnsi" w:cstheme="minorHAnsi"/>
          <w:sz w:val="21"/>
          <w:szCs w:val="21"/>
        </w:rPr>
      </w:pPr>
      <w:r w:rsidRPr="60130418">
        <w:rPr>
          <w:rFonts w:asciiTheme="minorHAnsi" w:hAnsiTheme="minorHAnsi" w:cstheme="minorBidi"/>
          <w:sz w:val="21"/>
          <w:szCs w:val="21"/>
        </w:rPr>
        <w:t>It was also considered likely that indigenous population would be concentrated in the transborder region with Namibia, and eventually also with Botswana – though the latter area was clearly outside the project’s geographic scope. For Namibia, there are the Ovatjimba and Ovatue (Ovatwa), largely pastoral people, formerly also relying on hunting and gathering who reside in the semi-arid and mountainous north-west (Kunene Region) and across the border in southern Angola. The Ovatue are considered to have traditionally inhabited the more remote mountainous areas. The Ovahimba are a larger and locally dominant pastoralist group who reside over a greater area of Cunene province.</w:t>
      </w:r>
      <w:r w:rsidRPr="60130418">
        <w:rPr>
          <w:rStyle w:val="FootnoteReference"/>
          <w:rFonts w:asciiTheme="minorHAnsi" w:hAnsiTheme="minorHAnsi" w:cstheme="minorBidi"/>
          <w:sz w:val="21"/>
          <w:szCs w:val="21"/>
        </w:rPr>
        <w:footnoteReference w:id="125"/>
      </w:r>
      <w:r w:rsidRPr="60130418">
        <w:rPr>
          <w:rFonts w:asciiTheme="minorHAnsi" w:hAnsiTheme="minorHAnsi" w:cstheme="minorBidi"/>
          <w:sz w:val="21"/>
          <w:szCs w:val="21"/>
        </w:rPr>
        <w:t xml:space="preserve">  </w:t>
      </w:r>
    </w:p>
    <w:p w14:paraId="5A7F95E1" w14:textId="77777777" w:rsidR="009563B4" w:rsidRPr="006968DA" w:rsidRDefault="009563B4" w:rsidP="00BA762F">
      <w:pPr>
        <w:jc w:val="both"/>
        <w:rPr>
          <w:rFonts w:asciiTheme="minorHAnsi" w:hAnsiTheme="minorHAnsi" w:cstheme="minorHAnsi"/>
          <w:sz w:val="21"/>
          <w:szCs w:val="21"/>
        </w:rPr>
      </w:pPr>
    </w:p>
    <w:p w14:paraId="6BA5BAAB" w14:textId="77777777" w:rsidR="009563B4" w:rsidRPr="006968DA" w:rsidRDefault="009563B4" w:rsidP="00BA762F">
      <w:pPr>
        <w:jc w:val="both"/>
        <w:rPr>
          <w:rFonts w:asciiTheme="minorHAnsi" w:hAnsiTheme="minorHAnsi" w:cstheme="minorHAnsi"/>
          <w:sz w:val="21"/>
          <w:szCs w:val="21"/>
        </w:rPr>
      </w:pPr>
      <w:r w:rsidRPr="60130418">
        <w:rPr>
          <w:rFonts w:asciiTheme="minorHAnsi" w:hAnsiTheme="minorHAnsi" w:cstheme="minorBidi"/>
          <w:sz w:val="21"/>
          <w:szCs w:val="21"/>
        </w:rPr>
        <w:t>Further web-based research carried out early in the PPG stage did not yield significant information regarding the selected project landscapes. It did however yield the following: The ethnical map of Angola</w:t>
      </w:r>
      <w:r w:rsidRPr="60130418">
        <w:rPr>
          <w:rStyle w:val="FootnoteReference"/>
          <w:rFonts w:asciiTheme="minorHAnsi" w:hAnsiTheme="minorHAnsi" w:cstheme="minorBidi"/>
          <w:sz w:val="21"/>
          <w:szCs w:val="21"/>
        </w:rPr>
        <w:footnoteReference w:id="126"/>
      </w:r>
      <w:r w:rsidRPr="60130418">
        <w:rPr>
          <w:rFonts w:asciiTheme="minorHAnsi" w:hAnsiTheme="minorHAnsi" w:cstheme="minorBidi"/>
          <w:sz w:val="21"/>
          <w:szCs w:val="21"/>
        </w:rPr>
        <w:t xml:space="preserve">, originally elaborated by José Redinha and commonly used in several sources, is from 1960/ 1970 and relies mainly on Portuguese colonial sources. Facts about groups’ location should be carefully interpreted, since some ethnical traits are not clear anthropologically and ethnical lines may have shifted during and since the end of colonial period. </w:t>
      </w:r>
    </w:p>
    <w:p w14:paraId="26456C70" w14:textId="77777777" w:rsidR="00427720" w:rsidRDefault="00427720" w:rsidP="00BA762F">
      <w:pPr>
        <w:jc w:val="both"/>
        <w:rPr>
          <w:sz w:val="20"/>
          <w:szCs w:val="20"/>
        </w:rPr>
      </w:pPr>
    </w:p>
    <w:p w14:paraId="3B6E1B61" w14:textId="2D647631" w:rsidR="00427720" w:rsidRPr="005C2828" w:rsidRDefault="00427720" w:rsidP="00BA762F">
      <w:pPr>
        <w:jc w:val="both"/>
        <w:rPr>
          <w:sz w:val="20"/>
          <w:szCs w:val="20"/>
        </w:rPr>
      </w:pPr>
      <w:r w:rsidRPr="00427720">
        <w:rPr>
          <w:noProof/>
          <w:sz w:val="20"/>
          <w:szCs w:val="20"/>
          <w:lang w:val="en-US" w:eastAsia="en-US"/>
        </w:rPr>
        <mc:AlternateContent>
          <mc:Choice Requires="wps">
            <w:drawing>
              <wp:anchor distT="45720" distB="45720" distL="114300" distR="114300" simplePos="0" relativeHeight="251658247" behindDoc="0" locked="0" layoutInCell="1" allowOverlap="1" wp14:anchorId="0216FBB7" wp14:editId="57F50A00">
                <wp:simplePos x="0" y="0"/>
                <wp:positionH relativeFrom="margin">
                  <wp:align>left</wp:align>
                </wp:positionH>
                <wp:positionV relativeFrom="paragraph">
                  <wp:posOffset>180975</wp:posOffset>
                </wp:positionV>
                <wp:extent cx="5924550" cy="1404620"/>
                <wp:effectExtent l="0" t="0" r="19050" b="17780"/>
                <wp:wrapTopAndBottom/>
                <wp:docPr id="1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24550" cy="1404620"/>
                        </a:xfrm>
                        <a:prstGeom prst="rect">
                          <a:avLst/>
                        </a:prstGeom>
                        <a:solidFill>
                          <a:srgbClr val="FFFFFF"/>
                        </a:solidFill>
                        <a:ln w="9525">
                          <a:solidFill>
                            <a:srgbClr val="000000"/>
                          </a:solidFill>
                          <a:miter lim="800000"/>
                          <a:headEnd/>
                          <a:tailEnd/>
                        </a:ln>
                      </wps:spPr>
                      <wps:txbx>
                        <w:txbxContent>
                          <w:p w14:paraId="242B9D05" w14:textId="10BD9201" w:rsidR="004D2871" w:rsidRPr="00427720" w:rsidRDefault="004D2871">
                            <w:pPr>
                              <w:rPr>
                                <w:rFonts w:asciiTheme="minorHAnsi" w:hAnsiTheme="minorHAnsi" w:cstheme="minorHAnsi"/>
                                <w:b/>
                                <w:bCs/>
                                <w:sz w:val="21"/>
                                <w:szCs w:val="21"/>
                              </w:rPr>
                            </w:pPr>
                            <w:r w:rsidRPr="00427720">
                              <w:rPr>
                                <w:rFonts w:asciiTheme="minorHAnsi" w:hAnsiTheme="minorHAnsi" w:cstheme="minorHAnsi"/>
                                <w:b/>
                                <w:bCs/>
                                <w:sz w:val="21"/>
                                <w:szCs w:val="21"/>
                              </w:rPr>
                              <w:t>Considerations: The prioritized geographical focus for this project had favored the project strategy with respect to the potential for generating global environmental benefits. The guidance and standards currently adopted by FAO on matters of indigenous communities have been applied.</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0216FBB7" id="_x0000_s1030" type="#_x0000_t202" style="position:absolute;left:0;text-align:left;margin-left:0;margin-top:14.25pt;width:466.5pt;height:110.6pt;z-index:251658247;visibility:visible;mso-wrap-style:square;mso-width-percent:0;mso-height-percent:200;mso-wrap-distance-left:9pt;mso-wrap-distance-top:3.6pt;mso-wrap-distance-right:9pt;mso-wrap-distance-bottom:3.6pt;mso-position-horizontal:lef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">
                <v:textbox style="mso-fit-shape-to-text:t">
                  <w:txbxContent>
                    <w:p w14:paraId="242B9D05" w14:textId="10BD9201" w:rsidR="004D2871" w:rsidRPr="00427720" w:rsidRDefault="004D2871">
                      <w:pPr>
                        <w:rPr>
                          <w:rFonts w:asciiTheme="minorHAnsi" w:hAnsiTheme="minorHAnsi" w:cstheme="minorHAnsi"/>
                          <w:b/>
                          <w:bCs/>
                          <w:sz w:val="21"/>
                          <w:szCs w:val="21"/>
                        </w:rPr>
                      </w:pPr>
                      <w:r w:rsidRPr="00427720">
                        <w:rPr>
                          <w:rFonts w:asciiTheme="minorHAnsi" w:hAnsiTheme="minorHAnsi" w:cstheme="minorHAnsi"/>
                          <w:b/>
                          <w:bCs/>
                          <w:sz w:val="21"/>
                          <w:szCs w:val="21"/>
                        </w:rPr>
                        <w:t>Considerations: The prioritized geographical focus for this project had favored the project strategy with respect to the potential for generating global environmental benefits. The guidance and standards currently adopted by FAO on matters of indigenous communities have been applied.</w:t>
                      </w:r>
                    </w:p>
                  </w:txbxContent>
                </v:textbox>
                <w10:wrap type="topAndBottom" anchorx="margin"/>
              </v:shape>
            </w:pict>
          </mc:Fallback>
        </mc:AlternateContent>
      </w:r>
    </w:p>
    <w:p w14:paraId="55E5B36B" w14:textId="77777777" w:rsidR="009563B4" w:rsidRPr="005C2828" w:rsidRDefault="009563B4" w:rsidP="009563B4">
      <w:pPr>
        <w:rPr>
          <w:sz w:val="20"/>
          <w:szCs w:val="20"/>
        </w:rPr>
      </w:pPr>
    </w:p>
    <w:p w14:paraId="6820EE21" w14:textId="77777777" w:rsidR="009563B4" w:rsidRPr="006968DA" w:rsidRDefault="009563B4" w:rsidP="006968DA">
      <w:pPr>
        <w:jc w:val="both"/>
        <w:rPr>
          <w:rStyle w:val="Strong"/>
          <w:rFonts w:asciiTheme="minorHAnsi" w:hAnsiTheme="minorHAnsi" w:cstheme="minorHAnsi"/>
          <w:b w:val="0"/>
          <w:sz w:val="21"/>
          <w:szCs w:val="21"/>
        </w:rPr>
      </w:pPr>
      <w:r w:rsidRPr="006968DA">
        <w:rPr>
          <w:rStyle w:val="Strong"/>
          <w:rFonts w:asciiTheme="minorHAnsi" w:hAnsiTheme="minorHAnsi" w:cstheme="minorHAnsi"/>
          <w:b w:val="0"/>
          <w:bCs w:val="0"/>
          <w:sz w:val="21"/>
          <w:szCs w:val="21"/>
        </w:rPr>
        <w:t xml:space="preserve">Consultation and project design were conducted in the manner that was/is sensitive to the status of indigenous communities and their cultural heritage, as well as the application of adequate safeguards and risk mitigation measures. </w:t>
      </w:r>
    </w:p>
    <w:p w14:paraId="525C5528" w14:textId="77777777" w:rsidR="009563B4" w:rsidRPr="006968DA" w:rsidRDefault="009563B4" w:rsidP="006968DA">
      <w:pPr>
        <w:jc w:val="both"/>
        <w:rPr>
          <w:rStyle w:val="Strong"/>
          <w:rFonts w:asciiTheme="minorHAnsi" w:hAnsiTheme="minorHAnsi" w:cstheme="minorHAnsi"/>
          <w:b w:val="0"/>
          <w:sz w:val="21"/>
          <w:szCs w:val="21"/>
        </w:rPr>
      </w:pPr>
    </w:p>
    <w:p w14:paraId="3B3BD252" w14:textId="77777777" w:rsidR="009563B4" w:rsidRPr="006968DA" w:rsidRDefault="009563B4" w:rsidP="006968DA">
      <w:pPr>
        <w:jc w:val="both"/>
        <w:rPr>
          <w:rStyle w:val="Strong"/>
          <w:rFonts w:asciiTheme="minorHAnsi" w:hAnsiTheme="minorHAnsi" w:cstheme="minorHAnsi"/>
          <w:b w:val="0"/>
          <w:sz w:val="21"/>
          <w:szCs w:val="21"/>
        </w:rPr>
      </w:pPr>
      <w:r w:rsidRPr="006968DA">
        <w:rPr>
          <w:rStyle w:val="Strong"/>
          <w:rFonts w:asciiTheme="minorHAnsi" w:hAnsiTheme="minorHAnsi" w:cstheme="minorHAnsi"/>
          <w:b w:val="0"/>
          <w:bCs w:val="0"/>
          <w:sz w:val="21"/>
          <w:szCs w:val="21"/>
        </w:rPr>
        <w:lastRenderedPageBreak/>
        <w:t>Useful and recent tools for the purpose include the following (i) F</w:t>
      </w:r>
      <w:r w:rsidRPr="006968DA">
        <w:rPr>
          <w:rStyle w:val="Strong"/>
          <w:rFonts w:asciiTheme="minorHAnsi" w:hAnsiTheme="minorHAnsi" w:cstheme="minorHAnsi"/>
          <w:b w:val="0"/>
          <w:bCs w:val="0"/>
          <w:i/>
          <w:sz w:val="21"/>
          <w:szCs w:val="21"/>
        </w:rPr>
        <w:t>AO publications Governance of Tenure Technical Guide No. 3 FAO (2014)</w:t>
      </w:r>
      <w:r w:rsidRPr="006968DA">
        <w:rPr>
          <w:rStyle w:val="Strong"/>
          <w:rFonts w:asciiTheme="minorHAnsi" w:hAnsiTheme="minorHAnsi" w:cstheme="minorHAnsi"/>
          <w:b w:val="0"/>
          <w:bCs w:val="0"/>
          <w:sz w:val="21"/>
          <w:szCs w:val="21"/>
        </w:rPr>
        <w:t>;</w:t>
      </w:r>
      <w:r w:rsidRPr="006968DA">
        <w:rPr>
          <w:rStyle w:val="Strong"/>
          <w:rFonts w:asciiTheme="minorHAnsi" w:hAnsiTheme="minorHAnsi" w:cstheme="minorHAnsi"/>
          <w:b w:val="0"/>
          <w:bCs w:val="0"/>
          <w:i/>
          <w:sz w:val="21"/>
          <w:szCs w:val="21"/>
        </w:rPr>
        <w:t xml:space="preserve"> </w:t>
      </w:r>
      <w:r w:rsidRPr="006968DA">
        <w:rPr>
          <w:rStyle w:val="Strong"/>
          <w:rFonts w:asciiTheme="minorHAnsi" w:hAnsiTheme="minorHAnsi" w:cstheme="minorHAnsi"/>
          <w:b w:val="0"/>
          <w:bCs w:val="0"/>
          <w:sz w:val="21"/>
          <w:szCs w:val="21"/>
        </w:rPr>
        <w:t xml:space="preserve">and (ii) </w:t>
      </w:r>
      <w:r w:rsidRPr="006968DA">
        <w:rPr>
          <w:rStyle w:val="Strong"/>
          <w:rFonts w:asciiTheme="minorHAnsi" w:hAnsiTheme="minorHAnsi" w:cstheme="minorHAnsi"/>
          <w:b w:val="0"/>
          <w:bCs w:val="0"/>
          <w:i/>
          <w:sz w:val="21"/>
          <w:szCs w:val="21"/>
        </w:rPr>
        <w:t>Free Prior and Informed Consent. An indigenous peoples’ right and a good practice for local communities. Manual for Project Practitioners FAO (2016).</w:t>
      </w:r>
      <w:r w:rsidRPr="006968DA">
        <w:rPr>
          <w:rStyle w:val="Strong"/>
          <w:rFonts w:asciiTheme="minorHAnsi" w:hAnsiTheme="minorHAnsi" w:cstheme="minorHAnsi"/>
          <w:b w:val="0"/>
          <w:bCs w:val="0"/>
          <w:sz w:val="21"/>
          <w:szCs w:val="21"/>
        </w:rPr>
        <w:t xml:space="preserve"> The latter prescribed a screening of the project strategy summarized as follows:</w:t>
      </w:r>
    </w:p>
    <w:p w14:paraId="0100781F" w14:textId="77777777" w:rsidR="009563B4" w:rsidRPr="006968DA" w:rsidRDefault="009563B4" w:rsidP="006968DA">
      <w:pPr>
        <w:jc w:val="both"/>
        <w:rPr>
          <w:rStyle w:val="Strong"/>
          <w:rFonts w:asciiTheme="minorHAnsi" w:hAnsiTheme="minorHAnsi" w:cstheme="minorHAnsi"/>
          <w:b w:val="0"/>
          <w:sz w:val="21"/>
          <w:szCs w:val="21"/>
        </w:rPr>
      </w:pPr>
    </w:p>
    <w:p w14:paraId="0A0CF90F" w14:textId="77777777" w:rsidR="009563B4" w:rsidRPr="006968DA" w:rsidRDefault="009563B4" w:rsidP="006968DA">
      <w:pPr>
        <w:ind w:left="720"/>
        <w:jc w:val="both"/>
        <w:rPr>
          <w:rFonts w:asciiTheme="minorHAnsi" w:hAnsiTheme="minorHAnsi" w:cstheme="minorHAnsi"/>
          <w:sz w:val="21"/>
          <w:szCs w:val="21"/>
        </w:rPr>
      </w:pPr>
      <w:r w:rsidRPr="006968DA">
        <w:rPr>
          <w:rFonts w:asciiTheme="minorHAnsi" w:hAnsiTheme="minorHAnsi" w:cstheme="minorHAnsi"/>
          <w:sz w:val="21"/>
          <w:szCs w:val="21"/>
        </w:rPr>
        <w:t>&gt; During Project Identifi</w:t>
      </w:r>
      <w:r w:rsidRPr="006968DA">
        <w:rPr>
          <w:rFonts w:asciiTheme="minorHAnsi" w:hAnsiTheme="minorHAnsi" w:cstheme="minorHAnsi"/>
          <w:sz w:val="21"/>
          <w:szCs w:val="21"/>
        </w:rPr>
        <w:softHyphen/>
        <w:t>cation:</w:t>
      </w:r>
    </w:p>
    <w:p w14:paraId="2EBB65FB" w14:textId="77777777" w:rsidR="009563B4" w:rsidRPr="006968DA" w:rsidRDefault="009563B4" w:rsidP="006968DA">
      <w:pPr>
        <w:ind w:left="1428"/>
        <w:jc w:val="both"/>
        <w:rPr>
          <w:rFonts w:asciiTheme="minorHAnsi" w:hAnsiTheme="minorHAnsi" w:cstheme="minorHAnsi"/>
          <w:i/>
          <w:sz w:val="21"/>
          <w:szCs w:val="21"/>
        </w:rPr>
      </w:pPr>
      <w:r w:rsidRPr="006968DA">
        <w:rPr>
          <w:rFonts w:asciiTheme="minorHAnsi" w:hAnsiTheme="minorHAnsi" w:cstheme="minorHAnsi"/>
          <w:i/>
          <w:iCs/>
          <w:sz w:val="21"/>
          <w:szCs w:val="21"/>
        </w:rPr>
        <w:t>(1) Identify the Indigenous Peoples’ concerns and their representatives</w:t>
      </w:r>
    </w:p>
    <w:p w14:paraId="66440FA2" w14:textId="77777777" w:rsidR="009563B4" w:rsidRPr="006968DA" w:rsidRDefault="009563B4" w:rsidP="006968DA">
      <w:pPr>
        <w:ind w:left="1428"/>
        <w:jc w:val="both"/>
        <w:rPr>
          <w:rFonts w:asciiTheme="minorHAnsi" w:hAnsiTheme="minorHAnsi" w:cstheme="minorHAnsi"/>
          <w:i/>
          <w:iCs/>
          <w:sz w:val="21"/>
          <w:szCs w:val="21"/>
        </w:rPr>
      </w:pPr>
      <w:r w:rsidRPr="006968DA">
        <w:rPr>
          <w:rFonts w:asciiTheme="minorHAnsi" w:hAnsiTheme="minorHAnsi" w:cstheme="minorHAnsi"/>
          <w:i/>
          <w:iCs/>
          <w:sz w:val="21"/>
          <w:szCs w:val="21"/>
        </w:rPr>
        <w:t>(2) Document geographic and demographic information through participatory mapping</w:t>
      </w:r>
    </w:p>
    <w:p w14:paraId="5C1899F2" w14:textId="77777777" w:rsidR="009563B4" w:rsidRPr="006968DA" w:rsidRDefault="009563B4" w:rsidP="006968DA">
      <w:pPr>
        <w:ind w:left="720"/>
        <w:jc w:val="both"/>
        <w:rPr>
          <w:rFonts w:asciiTheme="minorHAnsi" w:hAnsiTheme="minorHAnsi" w:cstheme="minorHAnsi"/>
          <w:iCs/>
          <w:sz w:val="21"/>
          <w:szCs w:val="21"/>
        </w:rPr>
      </w:pPr>
      <w:r w:rsidRPr="006968DA">
        <w:rPr>
          <w:rFonts w:asciiTheme="minorHAnsi" w:hAnsiTheme="minorHAnsi" w:cstheme="minorHAnsi"/>
          <w:sz w:val="21"/>
          <w:szCs w:val="21"/>
        </w:rPr>
        <w:t>&gt; Project Formulation</w:t>
      </w:r>
    </w:p>
    <w:p w14:paraId="36D6C436" w14:textId="77777777" w:rsidR="009563B4" w:rsidRPr="006968DA" w:rsidRDefault="009563B4" w:rsidP="006968DA">
      <w:pPr>
        <w:ind w:left="1429"/>
        <w:jc w:val="both"/>
        <w:rPr>
          <w:rFonts w:asciiTheme="minorHAnsi" w:hAnsiTheme="minorHAnsi" w:cstheme="minorHAnsi"/>
          <w:i/>
          <w:sz w:val="21"/>
          <w:szCs w:val="21"/>
        </w:rPr>
      </w:pPr>
      <w:r w:rsidRPr="006968DA">
        <w:rPr>
          <w:rFonts w:asciiTheme="minorHAnsi" w:hAnsiTheme="minorHAnsi" w:cstheme="minorHAnsi"/>
          <w:i/>
          <w:iCs/>
          <w:sz w:val="21"/>
          <w:szCs w:val="21"/>
        </w:rPr>
        <w:t>(3) Design a participatory communication plan and carry out iterative discussions through which project information will be disclosed in a transparent way</w:t>
      </w:r>
    </w:p>
    <w:p w14:paraId="683229A6" w14:textId="77777777" w:rsidR="009563B4" w:rsidRPr="006968DA" w:rsidRDefault="009563B4" w:rsidP="006968DA">
      <w:pPr>
        <w:ind w:left="1429"/>
        <w:jc w:val="both"/>
        <w:rPr>
          <w:rFonts w:asciiTheme="minorHAnsi" w:hAnsiTheme="minorHAnsi" w:cstheme="minorHAnsi"/>
          <w:i/>
          <w:iCs/>
          <w:sz w:val="21"/>
          <w:szCs w:val="21"/>
        </w:rPr>
      </w:pPr>
      <w:r w:rsidRPr="006968DA">
        <w:rPr>
          <w:rFonts w:asciiTheme="minorHAnsi" w:hAnsiTheme="minorHAnsi" w:cstheme="minorHAnsi"/>
          <w:i/>
          <w:iCs/>
          <w:sz w:val="21"/>
          <w:szCs w:val="21"/>
        </w:rPr>
        <w:t>(4) Reach consent, document Indigenous Peoples’ needs that are to be included into the project, and agree on a feedback and complaints mechanism</w:t>
      </w:r>
    </w:p>
    <w:p w14:paraId="6774C3EE" w14:textId="77777777" w:rsidR="009563B4" w:rsidRPr="006968DA" w:rsidRDefault="009563B4" w:rsidP="006968DA">
      <w:pPr>
        <w:jc w:val="both"/>
        <w:rPr>
          <w:rFonts w:asciiTheme="minorHAnsi" w:hAnsiTheme="minorHAnsi" w:cstheme="minorHAnsi"/>
          <w:sz w:val="21"/>
          <w:szCs w:val="21"/>
        </w:rPr>
      </w:pPr>
    </w:p>
    <w:p w14:paraId="208BEA3E" w14:textId="359DB45B" w:rsidR="009563B4" w:rsidRPr="006968DA" w:rsidRDefault="006968DA" w:rsidP="006968DA">
      <w:pPr>
        <w:jc w:val="both"/>
        <w:rPr>
          <w:rFonts w:asciiTheme="minorHAnsi" w:hAnsiTheme="minorHAnsi" w:cstheme="minorHAnsi"/>
          <w:sz w:val="21"/>
          <w:szCs w:val="21"/>
        </w:rPr>
      </w:pPr>
      <w:r w:rsidRPr="006968DA">
        <w:rPr>
          <w:rFonts w:asciiTheme="minorHAnsi" w:hAnsiTheme="minorHAnsi" w:cstheme="minorHAnsi"/>
          <w:sz w:val="21"/>
          <w:szCs w:val="21"/>
        </w:rPr>
        <w:t>During the PPG stage, the wider landscapes were redrawn to include a smaller area (the current sub-basins proposed as targeted landscapes. Also, a “Self-Evaluation and Holistic Assessment of Climate Resilience of Farmers and Pastoralists” (or the SHARP+ Assessment) was conducted in the two project intervention areas of Cahama and Cuchi (Refer to PRODOC Annex X-3: Results From The Sharp Survey).</w:t>
      </w:r>
    </w:p>
    <w:p w14:paraId="7E1CE5B1" w14:textId="77777777" w:rsidR="006968DA" w:rsidRPr="006968DA" w:rsidRDefault="006968DA" w:rsidP="006968DA">
      <w:pPr>
        <w:jc w:val="both"/>
        <w:rPr>
          <w:rFonts w:asciiTheme="minorHAnsi" w:hAnsiTheme="minorHAnsi" w:cstheme="minorHAnsi"/>
          <w:sz w:val="21"/>
          <w:szCs w:val="21"/>
        </w:rPr>
      </w:pPr>
    </w:p>
    <w:p w14:paraId="32A612E2" w14:textId="6BEB237C" w:rsidR="009563B4" w:rsidRPr="006968DA" w:rsidRDefault="009563B4" w:rsidP="006968DA">
      <w:pPr>
        <w:jc w:val="both"/>
        <w:rPr>
          <w:rFonts w:asciiTheme="minorHAnsi" w:hAnsiTheme="minorHAnsi" w:cstheme="minorHAnsi"/>
          <w:sz w:val="21"/>
          <w:szCs w:val="21"/>
        </w:rPr>
      </w:pPr>
      <w:r w:rsidRPr="00A03A90">
        <w:rPr>
          <w:rFonts w:asciiTheme="minorHAnsi" w:hAnsiTheme="minorHAnsi" w:cstheme="minorHAnsi"/>
          <w:sz w:val="21"/>
          <w:szCs w:val="21"/>
        </w:rPr>
        <w:t xml:space="preserve">Results from the SHARP+ Assessment carried out in September and October 2010 pointed out that </w:t>
      </w:r>
      <w:r w:rsidR="00DD68DD" w:rsidRPr="00A03A90">
        <w:rPr>
          <w:rFonts w:asciiTheme="minorHAnsi" w:hAnsiTheme="minorHAnsi" w:cstheme="minorHAnsi"/>
          <w:sz w:val="21"/>
          <w:szCs w:val="21"/>
        </w:rPr>
        <w:t>no indigenous groups were present amongs the household interviewed. At first, due to an error</w:t>
      </w:r>
      <w:r w:rsidR="000B5E3A" w:rsidRPr="00A03A90">
        <w:rPr>
          <w:rFonts w:asciiTheme="minorHAnsi" w:hAnsiTheme="minorHAnsi" w:cstheme="minorHAnsi"/>
          <w:sz w:val="21"/>
          <w:szCs w:val="21"/>
        </w:rPr>
        <w:t xml:space="preserve"> in the software</w:t>
      </w:r>
      <w:r w:rsidR="00DD68DD" w:rsidRPr="00A03A90">
        <w:rPr>
          <w:rFonts w:asciiTheme="minorHAnsi" w:hAnsiTheme="minorHAnsi" w:cstheme="minorHAnsi"/>
          <w:sz w:val="21"/>
          <w:szCs w:val="21"/>
        </w:rPr>
        <w:t xml:space="preserve">, </w:t>
      </w:r>
      <w:r w:rsidR="000B5E3A" w:rsidRPr="00A03A90">
        <w:rPr>
          <w:rFonts w:asciiTheme="minorHAnsi" w:hAnsiTheme="minorHAnsi" w:cstheme="minorHAnsi"/>
          <w:sz w:val="21"/>
          <w:szCs w:val="21"/>
        </w:rPr>
        <w:t>it</w:t>
      </w:r>
      <w:r w:rsidR="00B134AF" w:rsidRPr="00A03A90">
        <w:rPr>
          <w:rFonts w:asciiTheme="minorHAnsi" w:hAnsiTheme="minorHAnsi" w:cstheme="minorHAnsi"/>
          <w:sz w:val="21"/>
          <w:szCs w:val="21"/>
        </w:rPr>
        <w:t xml:space="preserve"> was thought that indigenous people could be p</w:t>
      </w:r>
      <w:r w:rsidR="006968DA" w:rsidRPr="00A03A90">
        <w:rPr>
          <w:rFonts w:asciiTheme="minorHAnsi" w:hAnsiTheme="minorHAnsi" w:cstheme="minorHAnsi"/>
          <w:sz w:val="21"/>
          <w:szCs w:val="21"/>
        </w:rPr>
        <w:t>r</w:t>
      </w:r>
      <w:r w:rsidR="00B134AF" w:rsidRPr="00A03A90">
        <w:rPr>
          <w:rFonts w:asciiTheme="minorHAnsi" w:hAnsiTheme="minorHAnsi" w:cstheme="minorHAnsi"/>
          <w:sz w:val="21"/>
          <w:szCs w:val="21"/>
        </w:rPr>
        <w:t>esent. However, lately it was confirmed that these farmers</w:t>
      </w:r>
      <w:r w:rsidR="00B134AF" w:rsidRPr="006968DA">
        <w:rPr>
          <w:rFonts w:asciiTheme="minorHAnsi" w:hAnsiTheme="minorHAnsi" w:cstheme="minorHAnsi"/>
          <w:sz w:val="21"/>
          <w:szCs w:val="21"/>
        </w:rPr>
        <w:t xml:space="preserve"> belonged to other non-indigenous groups.</w:t>
      </w:r>
      <w:r w:rsidR="00AB4A52" w:rsidRPr="006968DA">
        <w:rPr>
          <w:rFonts w:asciiTheme="minorHAnsi" w:hAnsiTheme="minorHAnsi" w:cstheme="minorHAnsi"/>
          <w:sz w:val="21"/>
          <w:szCs w:val="21"/>
        </w:rPr>
        <w:t xml:space="preserve"> </w:t>
      </w:r>
      <w:r w:rsidRPr="006968DA">
        <w:rPr>
          <w:rFonts w:asciiTheme="minorHAnsi" w:hAnsiTheme="minorHAnsi" w:cstheme="minorHAnsi"/>
          <w:sz w:val="21"/>
          <w:szCs w:val="21"/>
        </w:rPr>
        <w:t xml:space="preserve"> </w:t>
      </w:r>
    </w:p>
    <w:p w14:paraId="1EFC661B" w14:textId="5EFB527C" w:rsidR="009563B4" w:rsidRDefault="009563B4" w:rsidP="009563B4">
      <w:pPr>
        <w:pStyle w:val="Heading4"/>
        <w:rPr>
          <w:color w:val="FF0000"/>
        </w:rPr>
      </w:pPr>
      <w:bookmarkStart w:id="456" w:name="_Toc42027177"/>
      <w:bookmarkStart w:id="457" w:name="_Toc42262685"/>
      <w:r w:rsidRPr="00CE1EA7">
        <w:t>Indigenous Peoples Plan Outline</w:t>
      </w:r>
      <w:r w:rsidRPr="00CE1EA7">
        <w:rPr>
          <w:color w:val="FF0000"/>
        </w:rPr>
        <w:t xml:space="preserve"> </w:t>
      </w:r>
      <w:bookmarkEnd w:id="456"/>
      <w:bookmarkEnd w:id="457"/>
    </w:p>
    <w:p w14:paraId="11F940C0" w14:textId="30112C9E" w:rsidR="009563B4" w:rsidRPr="00B134AF" w:rsidRDefault="00B134AF" w:rsidP="009563B4">
      <w:pPr>
        <w:rPr>
          <w:rFonts w:asciiTheme="minorHAnsi" w:hAnsiTheme="minorHAnsi" w:cstheme="minorHAnsi"/>
          <w:sz w:val="21"/>
          <w:szCs w:val="21"/>
        </w:rPr>
      </w:pPr>
      <w:r w:rsidRPr="00B134AF">
        <w:rPr>
          <w:rFonts w:asciiTheme="minorHAnsi" w:hAnsiTheme="minorHAnsi" w:cstheme="minorHAnsi"/>
          <w:sz w:val="21"/>
          <w:szCs w:val="21"/>
        </w:rPr>
        <w:t>Not applicable</w:t>
      </w:r>
    </w:p>
    <w:p w14:paraId="2235BF26" w14:textId="77777777" w:rsidR="009563B4" w:rsidRPr="00394999" w:rsidRDefault="009563B4" w:rsidP="009563B4">
      <w:pPr>
        <w:pStyle w:val="Heading2"/>
        <w:rPr>
          <w:rStyle w:val="Strong"/>
          <w:rFonts w:eastAsia="SimSun"/>
          <w:b/>
          <w:lang w:val="en-US"/>
        </w:rPr>
      </w:pPr>
      <w:bookmarkStart w:id="458" w:name="_Toc10550573"/>
      <w:bookmarkStart w:id="459" w:name="_Toc10550661"/>
      <w:bookmarkStart w:id="460" w:name="_Toc10553004"/>
      <w:bookmarkStart w:id="461" w:name="_Toc10554551"/>
      <w:bookmarkStart w:id="462" w:name="_Toc10554619"/>
      <w:bookmarkStart w:id="463" w:name="_Toc12612969"/>
      <w:bookmarkStart w:id="464" w:name="_Toc42027178"/>
      <w:bookmarkStart w:id="465" w:name="_Toc42262686"/>
      <w:bookmarkStart w:id="466" w:name="_Toc58398616"/>
      <w:r w:rsidRPr="00394999">
        <w:rPr>
          <w:rStyle w:val="Strong"/>
          <w:b/>
          <w:bCs/>
          <w:lang w:val="en-US"/>
        </w:rPr>
        <w:t xml:space="preserve">Annex K:  FAO’S Roles in </w:t>
      </w:r>
      <w:bookmarkEnd w:id="458"/>
      <w:bookmarkEnd w:id="459"/>
      <w:bookmarkEnd w:id="460"/>
      <w:bookmarkEnd w:id="461"/>
      <w:bookmarkEnd w:id="462"/>
      <w:bookmarkEnd w:id="463"/>
      <w:r w:rsidRPr="00394999">
        <w:rPr>
          <w:rStyle w:val="Strong"/>
          <w:b/>
          <w:bCs/>
          <w:lang w:val="en-US"/>
        </w:rPr>
        <w:t>Internal Organization</w:t>
      </w:r>
      <w:bookmarkEnd w:id="464"/>
      <w:bookmarkEnd w:id="465"/>
      <w:bookmarkEnd w:id="466"/>
    </w:p>
    <w:p w14:paraId="02F2CD88" w14:textId="77777777" w:rsidR="009563B4" w:rsidRPr="00322A75" w:rsidRDefault="009563B4" w:rsidP="008B01B1">
      <w:pPr>
        <w:jc w:val="both"/>
        <w:rPr>
          <w:rFonts w:asciiTheme="minorHAnsi" w:hAnsiTheme="minorHAnsi" w:cstheme="minorHAnsi"/>
          <w:sz w:val="21"/>
          <w:szCs w:val="21"/>
        </w:rPr>
      </w:pPr>
      <w:r w:rsidRPr="00322A75">
        <w:rPr>
          <w:rFonts w:asciiTheme="minorHAnsi" w:hAnsiTheme="minorHAnsi" w:cstheme="minorHAnsi"/>
          <w:sz w:val="21"/>
          <w:szCs w:val="21"/>
        </w:rPr>
        <w:t>FAO will be the GEF Implementing Agency of the project. As such, FAO has the project assurance role and will supervise and provide technical guidance for the overall implementation of the project, including:</w:t>
      </w:r>
      <w:r w:rsidRPr="00322A75">
        <w:rPr>
          <w:rFonts w:asciiTheme="minorHAnsi" w:hAnsiTheme="minorHAnsi" w:cstheme="minorHAnsi"/>
          <w:bCs/>
          <w:sz w:val="21"/>
          <w:szCs w:val="21"/>
        </w:rPr>
        <w:t xml:space="preserve"> </w:t>
      </w:r>
    </w:p>
    <w:p w14:paraId="37C37AC7" w14:textId="77777777" w:rsidR="009563B4" w:rsidRPr="00322A75" w:rsidRDefault="009563B4" w:rsidP="00C53A49">
      <w:pPr>
        <w:numPr>
          <w:ilvl w:val="0"/>
          <w:numId w:val="6"/>
        </w:numPr>
        <w:spacing w:before="120" w:after="120"/>
        <w:jc w:val="both"/>
        <w:rPr>
          <w:rFonts w:asciiTheme="minorHAnsi" w:hAnsiTheme="minorHAnsi" w:cstheme="minorHAnsi"/>
          <w:sz w:val="21"/>
          <w:szCs w:val="21"/>
        </w:rPr>
      </w:pPr>
      <w:r w:rsidRPr="00322A75">
        <w:rPr>
          <w:rFonts w:asciiTheme="minorHAnsi" w:hAnsiTheme="minorHAnsi" w:cstheme="minorHAnsi"/>
          <w:sz w:val="21"/>
          <w:szCs w:val="21"/>
          <w:lang w:bidi="en-GB"/>
        </w:rPr>
        <w:t>Monitor and oversee OP’s compliance with the OPA and project implementation in accordance with the project document, work plans, budgets, agreements with co-financiers and the rules and procedures of FAO and GEF;</w:t>
      </w:r>
    </w:p>
    <w:p w14:paraId="6149E9C1" w14:textId="77777777" w:rsidR="009563B4" w:rsidRPr="00322A75" w:rsidRDefault="009563B4" w:rsidP="00C53A49">
      <w:pPr>
        <w:numPr>
          <w:ilvl w:val="0"/>
          <w:numId w:val="6"/>
        </w:numPr>
        <w:spacing w:before="120" w:after="120"/>
        <w:jc w:val="both"/>
        <w:rPr>
          <w:rFonts w:asciiTheme="minorHAnsi" w:hAnsiTheme="minorHAnsi" w:cstheme="minorHAnsi"/>
          <w:bCs/>
          <w:sz w:val="21"/>
          <w:szCs w:val="21"/>
          <w:lang w:bidi="en-GB"/>
        </w:rPr>
      </w:pPr>
      <w:r w:rsidRPr="00322A75">
        <w:rPr>
          <w:rFonts w:asciiTheme="minorHAnsi" w:hAnsiTheme="minorHAnsi" w:cstheme="minorHAnsi"/>
          <w:bCs/>
          <w:sz w:val="21"/>
          <w:szCs w:val="21"/>
          <w:lang w:bidi="en-GB"/>
        </w:rPr>
        <w:t>Commence and completing the responsibilities allocated to it in the Project Document in a timely manner, provided that all necessary reports and other documents are available;</w:t>
      </w:r>
    </w:p>
    <w:p w14:paraId="6B996A33" w14:textId="77777777" w:rsidR="009563B4" w:rsidRPr="00322A75" w:rsidRDefault="009563B4" w:rsidP="00C53A49">
      <w:pPr>
        <w:numPr>
          <w:ilvl w:val="0"/>
          <w:numId w:val="6"/>
        </w:numPr>
        <w:spacing w:before="120" w:after="120"/>
        <w:jc w:val="both"/>
        <w:rPr>
          <w:rFonts w:asciiTheme="minorHAnsi" w:hAnsiTheme="minorHAnsi" w:cstheme="minorHAnsi"/>
          <w:sz w:val="21"/>
          <w:szCs w:val="21"/>
          <w:lang w:bidi="en-GB"/>
        </w:rPr>
      </w:pPr>
      <w:r w:rsidRPr="00322A75">
        <w:rPr>
          <w:rFonts w:asciiTheme="minorHAnsi" w:hAnsiTheme="minorHAnsi" w:cstheme="minorHAnsi"/>
          <w:bCs/>
          <w:sz w:val="21"/>
          <w:szCs w:val="21"/>
          <w:lang w:bidi="en-GB"/>
        </w:rPr>
        <w:t>Making transfers of funds, supplies and equipment, as applicable, in accordance with the provisions of the OPA;</w:t>
      </w:r>
    </w:p>
    <w:p w14:paraId="778C259A" w14:textId="77777777" w:rsidR="009563B4" w:rsidRPr="00322A75" w:rsidRDefault="009563B4" w:rsidP="00C53A49">
      <w:pPr>
        <w:numPr>
          <w:ilvl w:val="0"/>
          <w:numId w:val="6"/>
        </w:numPr>
        <w:spacing w:before="120" w:after="120"/>
        <w:jc w:val="both"/>
        <w:rPr>
          <w:rFonts w:asciiTheme="minorHAnsi" w:hAnsiTheme="minorHAnsi" w:cstheme="minorHAnsi"/>
          <w:sz w:val="21"/>
          <w:szCs w:val="21"/>
          <w:lang w:bidi="en-GB"/>
        </w:rPr>
      </w:pPr>
      <w:r w:rsidRPr="00322A75">
        <w:rPr>
          <w:rFonts w:asciiTheme="minorHAnsi" w:hAnsiTheme="minorHAnsi" w:cstheme="minorHAnsi"/>
          <w:sz w:val="21"/>
          <w:szCs w:val="21"/>
          <w:lang w:bidi="en-GB"/>
        </w:rPr>
        <w:t xml:space="preserve">Administrate the portion of project GEF funds that has been agreed with the OP to remain for FAO direct implementation. These funds will be managed in accordance with the rules and procedures of FAO; </w:t>
      </w:r>
    </w:p>
    <w:p w14:paraId="568B878B" w14:textId="77777777" w:rsidR="009563B4" w:rsidRPr="00322A75" w:rsidRDefault="009563B4" w:rsidP="00C53A49">
      <w:pPr>
        <w:numPr>
          <w:ilvl w:val="0"/>
          <w:numId w:val="6"/>
        </w:numPr>
        <w:spacing w:before="120" w:after="120"/>
        <w:jc w:val="both"/>
        <w:rPr>
          <w:rFonts w:asciiTheme="minorHAnsi" w:hAnsiTheme="minorHAnsi" w:cstheme="minorHAnsi"/>
          <w:sz w:val="21"/>
          <w:szCs w:val="21"/>
          <w:lang w:bidi="en-GB"/>
        </w:rPr>
      </w:pPr>
      <w:r w:rsidRPr="00322A75">
        <w:rPr>
          <w:rFonts w:asciiTheme="minorHAnsi" w:hAnsiTheme="minorHAnsi" w:cstheme="minorHAnsi"/>
          <w:sz w:val="21"/>
          <w:szCs w:val="21"/>
        </w:rPr>
        <w:t>organizing and completing monitoring, assessment, assurance activities and evaluation of the Project;</w:t>
      </w:r>
    </w:p>
    <w:p w14:paraId="41DBD06A" w14:textId="77777777" w:rsidR="009563B4" w:rsidRPr="00322A75" w:rsidRDefault="009563B4" w:rsidP="00C53A49">
      <w:pPr>
        <w:numPr>
          <w:ilvl w:val="0"/>
          <w:numId w:val="6"/>
        </w:numPr>
        <w:spacing w:before="120" w:after="120"/>
        <w:jc w:val="both"/>
        <w:rPr>
          <w:rFonts w:asciiTheme="minorHAnsi" w:hAnsiTheme="minorHAnsi" w:cstheme="minorHAnsi"/>
          <w:sz w:val="21"/>
          <w:szCs w:val="21"/>
          <w:lang w:bidi="en-GB"/>
        </w:rPr>
      </w:pPr>
      <w:r w:rsidRPr="00322A75">
        <w:rPr>
          <w:rFonts w:asciiTheme="minorHAnsi" w:hAnsiTheme="minorHAnsi" w:cstheme="minorHAnsi"/>
          <w:sz w:val="21"/>
          <w:szCs w:val="21"/>
          <w:lang w:bidi="en-GB"/>
        </w:rPr>
        <w:t xml:space="preserve">Review, discuss with the OP, and approve the project progress and financial reports, as detailed in the OPA and its annexes. </w:t>
      </w:r>
      <w:r w:rsidRPr="00322A75">
        <w:rPr>
          <w:rFonts w:asciiTheme="minorHAnsi" w:hAnsiTheme="minorHAnsi" w:cstheme="minorHAnsi"/>
          <w:bCs/>
          <w:sz w:val="21"/>
          <w:szCs w:val="21"/>
          <w:lang w:bidi="en-GB"/>
        </w:rPr>
        <w:t>undertaking and completing monitoring, assessment, assurance activities, evaluation and oversight of the project;</w:t>
      </w:r>
    </w:p>
    <w:p w14:paraId="28D74215" w14:textId="77777777" w:rsidR="009563B4" w:rsidRPr="00322A75" w:rsidRDefault="009563B4" w:rsidP="00C53A49">
      <w:pPr>
        <w:numPr>
          <w:ilvl w:val="0"/>
          <w:numId w:val="6"/>
        </w:numPr>
        <w:spacing w:before="120" w:after="120"/>
        <w:jc w:val="both"/>
        <w:rPr>
          <w:rFonts w:asciiTheme="minorHAnsi" w:hAnsiTheme="minorHAnsi" w:cstheme="minorHAnsi"/>
          <w:sz w:val="21"/>
          <w:szCs w:val="21"/>
          <w:lang w:bidi="en-GB"/>
        </w:rPr>
      </w:pPr>
      <w:r w:rsidRPr="00322A75">
        <w:rPr>
          <w:rFonts w:asciiTheme="minorHAnsi" w:hAnsiTheme="minorHAnsi" w:cstheme="minorHAnsi"/>
          <w:bCs/>
          <w:sz w:val="21"/>
          <w:szCs w:val="21"/>
          <w:lang w:bidi="en-GB"/>
        </w:rPr>
        <w:lastRenderedPageBreak/>
        <w:t>Liaising on an ongoing basis, as needed, with the Government (as applicable), other members of the United Nations Country Team, Resource Partner, and other stakeholders;</w:t>
      </w:r>
    </w:p>
    <w:p w14:paraId="650EF5B8" w14:textId="77777777" w:rsidR="009563B4" w:rsidRPr="00322A75" w:rsidRDefault="009563B4" w:rsidP="00C53A49">
      <w:pPr>
        <w:numPr>
          <w:ilvl w:val="0"/>
          <w:numId w:val="6"/>
        </w:numPr>
        <w:spacing w:before="120" w:after="120"/>
        <w:jc w:val="both"/>
        <w:rPr>
          <w:rFonts w:asciiTheme="minorHAnsi" w:hAnsiTheme="minorHAnsi" w:cstheme="minorHAnsi"/>
          <w:sz w:val="21"/>
          <w:szCs w:val="21"/>
        </w:rPr>
      </w:pPr>
      <w:r w:rsidRPr="00322A75">
        <w:rPr>
          <w:rFonts w:asciiTheme="minorHAnsi" w:hAnsiTheme="minorHAnsi" w:cstheme="minorHAnsi"/>
          <w:bCs/>
          <w:sz w:val="21"/>
          <w:szCs w:val="21"/>
        </w:rPr>
        <w:t>Providing overall guidance, oversight, technical assistance and leadership, as appropriate, for the Project;</w:t>
      </w:r>
      <w:r w:rsidRPr="00322A75">
        <w:rPr>
          <w:rFonts w:asciiTheme="minorHAnsi" w:hAnsiTheme="minorHAnsi" w:cstheme="minorHAnsi"/>
          <w:sz w:val="21"/>
          <w:szCs w:val="21"/>
        </w:rPr>
        <w:t xml:space="preserve"> </w:t>
      </w:r>
    </w:p>
    <w:p w14:paraId="09F588BC" w14:textId="77777777" w:rsidR="009563B4" w:rsidRPr="00322A75" w:rsidRDefault="009563B4" w:rsidP="00C53A49">
      <w:pPr>
        <w:numPr>
          <w:ilvl w:val="0"/>
          <w:numId w:val="6"/>
        </w:numPr>
        <w:jc w:val="both"/>
        <w:rPr>
          <w:rFonts w:asciiTheme="minorHAnsi" w:hAnsiTheme="minorHAnsi" w:cstheme="minorHAnsi"/>
          <w:sz w:val="21"/>
          <w:szCs w:val="21"/>
        </w:rPr>
      </w:pPr>
      <w:r w:rsidRPr="00322A75">
        <w:rPr>
          <w:rFonts w:asciiTheme="minorHAnsi" w:hAnsiTheme="minorHAnsi" w:cstheme="minorHAnsi"/>
          <w:sz w:val="21"/>
          <w:szCs w:val="21"/>
        </w:rPr>
        <w:t>Provide financial and audit services to the project including budget release, budget revisions and administration of funds from GEF in accordance with rules and procedures of FAO;</w:t>
      </w:r>
    </w:p>
    <w:p w14:paraId="2B8B5590" w14:textId="77777777" w:rsidR="009563B4" w:rsidRPr="00322A75" w:rsidRDefault="009563B4" w:rsidP="008B01B1">
      <w:pPr>
        <w:jc w:val="both"/>
        <w:rPr>
          <w:rFonts w:asciiTheme="minorHAnsi" w:hAnsiTheme="minorHAnsi" w:cstheme="minorHAnsi"/>
          <w:sz w:val="21"/>
          <w:szCs w:val="21"/>
        </w:rPr>
      </w:pPr>
    </w:p>
    <w:p w14:paraId="1B5E30CF" w14:textId="77777777" w:rsidR="009563B4" w:rsidRPr="00322A75" w:rsidRDefault="009563B4" w:rsidP="00C53A49">
      <w:pPr>
        <w:numPr>
          <w:ilvl w:val="0"/>
          <w:numId w:val="6"/>
        </w:numPr>
        <w:jc w:val="both"/>
        <w:rPr>
          <w:rFonts w:asciiTheme="minorHAnsi" w:hAnsiTheme="minorHAnsi" w:cstheme="minorHAnsi"/>
          <w:sz w:val="21"/>
          <w:szCs w:val="21"/>
        </w:rPr>
      </w:pPr>
      <w:r w:rsidRPr="00322A75">
        <w:rPr>
          <w:rFonts w:asciiTheme="minorHAnsi" w:hAnsiTheme="minorHAnsi" w:cstheme="minorHAnsi"/>
          <w:sz w:val="21"/>
          <w:szCs w:val="21"/>
        </w:rPr>
        <w:t>oversee financial expenditures against project budgets;</w:t>
      </w:r>
    </w:p>
    <w:p w14:paraId="07833138" w14:textId="77777777" w:rsidR="009563B4" w:rsidRPr="00322A75" w:rsidRDefault="009563B4" w:rsidP="008B01B1">
      <w:pPr>
        <w:jc w:val="both"/>
        <w:rPr>
          <w:rFonts w:asciiTheme="minorHAnsi" w:hAnsiTheme="minorHAnsi" w:cstheme="minorHAnsi"/>
          <w:sz w:val="21"/>
          <w:szCs w:val="21"/>
        </w:rPr>
      </w:pPr>
    </w:p>
    <w:p w14:paraId="4F03F7C7" w14:textId="77777777" w:rsidR="009563B4" w:rsidRPr="00322A75" w:rsidRDefault="009563B4" w:rsidP="00C53A49">
      <w:pPr>
        <w:numPr>
          <w:ilvl w:val="0"/>
          <w:numId w:val="6"/>
        </w:numPr>
        <w:jc w:val="both"/>
        <w:rPr>
          <w:rFonts w:asciiTheme="minorHAnsi" w:hAnsiTheme="minorHAnsi" w:cstheme="minorHAnsi"/>
          <w:sz w:val="21"/>
          <w:szCs w:val="21"/>
        </w:rPr>
      </w:pPr>
      <w:r w:rsidRPr="00322A75">
        <w:rPr>
          <w:rFonts w:asciiTheme="minorHAnsi" w:hAnsiTheme="minorHAnsi" w:cstheme="minorHAnsi"/>
          <w:sz w:val="21"/>
          <w:szCs w:val="21"/>
        </w:rPr>
        <w:t>ensure that all activities, including procurement and financial services are carried out in strict compliance with FAO and GEF relevant procedures and agreements;</w:t>
      </w:r>
    </w:p>
    <w:p w14:paraId="66455D3D" w14:textId="77777777" w:rsidR="009563B4" w:rsidRPr="00322A75" w:rsidRDefault="009563B4" w:rsidP="00C53A49">
      <w:pPr>
        <w:numPr>
          <w:ilvl w:val="0"/>
          <w:numId w:val="6"/>
        </w:numPr>
        <w:spacing w:before="120" w:after="120"/>
        <w:jc w:val="both"/>
        <w:rPr>
          <w:rFonts w:asciiTheme="minorHAnsi" w:hAnsiTheme="minorHAnsi" w:cstheme="minorHAnsi"/>
          <w:sz w:val="21"/>
          <w:szCs w:val="21"/>
          <w:lang w:bidi="en-GB"/>
        </w:rPr>
      </w:pPr>
      <w:r w:rsidRPr="00322A75">
        <w:rPr>
          <w:rFonts w:asciiTheme="minorHAnsi" w:hAnsiTheme="minorHAnsi" w:cstheme="minorHAnsi"/>
          <w:sz w:val="21"/>
          <w:szCs w:val="21"/>
          <w:lang w:bidi="en-GB"/>
        </w:rPr>
        <w:t>Initiating joint review meetings with the OP to agree on the resolution of findings and to document the lessons learned;</w:t>
      </w:r>
    </w:p>
    <w:p w14:paraId="0E16E619" w14:textId="77777777" w:rsidR="009563B4" w:rsidRPr="00322A75" w:rsidRDefault="009563B4" w:rsidP="00C53A49">
      <w:pPr>
        <w:numPr>
          <w:ilvl w:val="0"/>
          <w:numId w:val="6"/>
        </w:numPr>
        <w:spacing w:before="120" w:after="120"/>
        <w:jc w:val="both"/>
        <w:rPr>
          <w:rFonts w:asciiTheme="minorHAnsi" w:hAnsiTheme="minorHAnsi" w:cstheme="minorHAnsi"/>
          <w:sz w:val="21"/>
          <w:szCs w:val="21"/>
          <w:lang w:bidi="en-GB"/>
        </w:rPr>
      </w:pPr>
      <w:r w:rsidRPr="00322A75">
        <w:rPr>
          <w:rFonts w:asciiTheme="minorHAnsi" w:hAnsiTheme="minorHAnsi" w:cstheme="minorHAnsi"/>
          <w:sz w:val="21"/>
          <w:szCs w:val="21"/>
          <w:lang w:bidi="en-GB"/>
        </w:rPr>
        <w:t>Report to the GEF Secretariat and Evaluation Office, through the annual Project Implementation Review, on project progress and provide consolidated financial reports to the GEF Trustee;</w:t>
      </w:r>
    </w:p>
    <w:p w14:paraId="1F860701" w14:textId="77777777" w:rsidR="009563B4" w:rsidRPr="00322A75" w:rsidRDefault="009563B4" w:rsidP="00C53A49">
      <w:pPr>
        <w:numPr>
          <w:ilvl w:val="0"/>
          <w:numId w:val="6"/>
        </w:numPr>
        <w:spacing w:before="120" w:after="120"/>
        <w:jc w:val="both"/>
        <w:rPr>
          <w:rFonts w:asciiTheme="minorHAnsi" w:hAnsiTheme="minorHAnsi" w:cstheme="minorHAnsi"/>
          <w:sz w:val="21"/>
          <w:szCs w:val="21"/>
        </w:rPr>
      </w:pPr>
      <w:r w:rsidRPr="00322A75">
        <w:rPr>
          <w:rFonts w:asciiTheme="minorHAnsi" w:hAnsiTheme="minorHAnsi" w:cstheme="minorHAnsi"/>
          <w:sz w:val="21"/>
          <w:szCs w:val="21"/>
          <w:lang w:bidi="en-GB"/>
        </w:rPr>
        <w:t>Conduct at least one supervision mission per year</w:t>
      </w:r>
    </w:p>
    <w:p w14:paraId="73C7747F" w14:textId="77777777" w:rsidR="009563B4" w:rsidRPr="00322A75" w:rsidRDefault="009563B4" w:rsidP="00C53A49">
      <w:pPr>
        <w:numPr>
          <w:ilvl w:val="0"/>
          <w:numId w:val="6"/>
        </w:numPr>
        <w:spacing w:before="120" w:after="120"/>
        <w:jc w:val="both"/>
        <w:rPr>
          <w:rFonts w:asciiTheme="minorHAnsi" w:hAnsiTheme="minorHAnsi" w:cstheme="minorHAnsi"/>
          <w:sz w:val="21"/>
          <w:szCs w:val="21"/>
        </w:rPr>
      </w:pPr>
      <w:r w:rsidRPr="00322A75">
        <w:rPr>
          <w:rFonts w:asciiTheme="minorHAnsi" w:hAnsiTheme="minorHAnsi" w:cstheme="minorHAnsi"/>
          <w:sz w:val="21"/>
          <w:szCs w:val="21"/>
          <w:lang w:bidi="en-GB"/>
        </w:rPr>
        <w:t>Lead the Mid-Term Review and Final Evaluation;</w:t>
      </w:r>
    </w:p>
    <w:p w14:paraId="45CD22C0" w14:textId="77777777" w:rsidR="009563B4" w:rsidRPr="00322A75" w:rsidRDefault="009563B4" w:rsidP="00C53A49">
      <w:pPr>
        <w:numPr>
          <w:ilvl w:val="0"/>
          <w:numId w:val="6"/>
        </w:numPr>
        <w:spacing w:before="120" w:after="120"/>
        <w:jc w:val="both"/>
        <w:rPr>
          <w:rFonts w:asciiTheme="minorHAnsi" w:hAnsiTheme="minorHAnsi" w:cstheme="minorHAnsi"/>
          <w:sz w:val="21"/>
          <w:szCs w:val="21"/>
          <w:lang w:bidi="en-GB"/>
        </w:rPr>
      </w:pPr>
      <w:r w:rsidRPr="00322A75">
        <w:rPr>
          <w:rFonts w:asciiTheme="minorHAnsi" w:hAnsiTheme="minorHAnsi" w:cstheme="minorHAnsi"/>
          <w:sz w:val="21"/>
          <w:szCs w:val="21"/>
          <w:lang w:bidi="en-GB"/>
        </w:rPr>
        <w:t>Monitor implementation of the plan for social and environmental safeguards, in accordance with the FAO Environmental and Social Safeguards.</w:t>
      </w:r>
    </w:p>
    <w:p w14:paraId="69BAE7E7" w14:textId="77777777" w:rsidR="009563B4" w:rsidRPr="00322A75" w:rsidRDefault="009563B4" w:rsidP="00C53A49">
      <w:pPr>
        <w:numPr>
          <w:ilvl w:val="0"/>
          <w:numId w:val="6"/>
        </w:numPr>
        <w:jc w:val="both"/>
        <w:rPr>
          <w:rFonts w:asciiTheme="minorHAnsi" w:hAnsiTheme="minorHAnsi" w:cstheme="minorHAnsi"/>
          <w:sz w:val="21"/>
          <w:szCs w:val="21"/>
        </w:rPr>
      </w:pPr>
      <w:r w:rsidRPr="00322A75">
        <w:rPr>
          <w:rFonts w:asciiTheme="minorHAnsi" w:hAnsiTheme="minorHAnsi" w:cstheme="minorHAnsi"/>
          <w:sz w:val="21"/>
          <w:szCs w:val="21"/>
        </w:rPr>
        <w:t>trigger additional reviews, audits and/or evaluations, as necessary;</w:t>
      </w:r>
    </w:p>
    <w:p w14:paraId="425F860C" w14:textId="77777777" w:rsidR="009563B4" w:rsidRPr="00322A75" w:rsidRDefault="009563B4" w:rsidP="008B01B1">
      <w:pPr>
        <w:jc w:val="both"/>
        <w:rPr>
          <w:rFonts w:asciiTheme="minorHAnsi" w:hAnsiTheme="minorHAnsi" w:cstheme="minorHAnsi"/>
          <w:sz w:val="21"/>
          <w:szCs w:val="21"/>
        </w:rPr>
      </w:pPr>
    </w:p>
    <w:p w14:paraId="65A6613C" w14:textId="77777777" w:rsidR="009563B4" w:rsidRPr="00322A75" w:rsidRDefault="009563B4" w:rsidP="008B01B1">
      <w:pPr>
        <w:jc w:val="both"/>
        <w:rPr>
          <w:rFonts w:asciiTheme="minorHAnsi" w:hAnsiTheme="minorHAnsi" w:cstheme="minorHAnsi"/>
          <w:sz w:val="21"/>
          <w:szCs w:val="21"/>
          <w:lang w:bidi="en-GB"/>
        </w:rPr>
      </w:pPr>
      <w:r w:rsidRPr="00322A75">
        <w:rPr>
          <w:rFonts w:asciiTheme="minorHAnsi" w:hAnsiTheme="minorHAnsi" w:cstheme="minorHAnsi"/>
          <w:sz w:val="21"/>
          <w:szCs w:val="21"/>
          <w:lang w:bidi="en-GB"/>
        </w:rPr>
        <w:t>In collaboration with the Project Management Unit (PMU) and under the overall guidance of the the Project Steering Committee, FAO will participate in the planning of contracting and technical selection processes. FAO will process fund transfers to the OP as per provisions, terms and conditions of the signed OPA.</w:t>
      </w:r>
    </w:p>
    <w:p w14:paraId="3AED23B2" w14:textId="77777777" w:rsidR="009563B4" w:rsidRPr="00322A75" w:rsidRDefault="009563B4" w:rsidP="008B01B1">
      <w:pPr>
        <w:jc w:val="both"/>
        <w:rPr>
          <w:rFonts w:asciiTheme="minorHAnsi" w:hAnsiTheme="minorHAnsi" w:cstheme="minorHAnsi"/>
          <w:sz w:val="21"/>
          <w:szCs w:val="21"/>
          <w:lang w:bidi="en-GB"/>
        </w:rPr>
      </w:pPr>
    </w:p>
    <w:p w14:paraId="367F48E5" w14:textId="331CC179" w:rsidR="009563B4" w:rsidRPr="00322A75" w:rsidRDefault="009563B4" w:rsidP="008B01B1">
      <w:pPr>
        <w:jc w:val="both"/>
        <w:rPr>
          <w:rFonts w:asciiTheme="minorHAnsi" w:hAnsiTheme="minorHAnsi" w:cstheme="minorHAnsi"/>
          <w:sz w:val="21"/>
          <w:szCs w:val="21"/>
          <w:lang w:bidi="en-GB"/>
        </w:rPr>
      </w:pPr>
      <w:r w:rsidRPr="00322A75">
        <w:rPr>
          <w:rFonts w:asciiTheme="minorHAnsi" w:hAnsiTheme="minorHAnsi" w:cstheme="minorHAnsi"/>
          <w:sz w:val="21"/>
          <w:szCs w:val="21"/>
          <w:lang w:bidi="en-GB"/>
        </w:rPr>
        <w:t>The F</w:t>
      </w:r>
      <w:r w:rsidR="009E3E53" w:rsidRPr="00322A75">
        <w:rPr>
          <w:rFonts w:asciiTheme="minorHAnsi" w:hAnsiTheme="minorHAnsi" w:cstheme="minorHAnsi"/>
          <w:sz w:val="21"/>
          <w:szCs w:val="21"/>
          <w:lang w:bidi="en-GB"/>
        </w:rPr>
        <w:t>AO Representative in Angola</w:t>
      </w:r>
      <w:r w:rsidRPr="00322A75">
        <w:rPr>
          <w:rFonts w:asciiTheme="minorHAnsi" w:hAnsiTheme="minorHAnsi" w:cstheme="minorHAnsi"/>
          <w:sz w:val="21"/>
          <w:szCs w:val="21"/>
          <w:lang w:bidi="en-GB"/>
        </w:rPr>
        <w:t xml:space="preserve"> will be the Budget Holder (BH) and will be responsible for timely operational, and financial management of GEF resources implemented -. The budget holder will be also responsible for i) managing OPIM for results, including monitoring of risks and overall compliance with the OPA provisions; ii)review and clear financial and progress reports received from the OP and certify request for funds iii) review and clear budget revisions and annual work plan and budgets; iv) ensure implementation of the Risk Mitigation and Assurance Plan v) follow up and ensure that the OP implements all actions and recommendations agreed upon during Assurance Activities.</w:t>
      </w:r>
    </w:p>
    <w:p w14:paraId="4C1C3BE1" w14:textId="77777777" w:rsidR="009563B4" w:rsidRPr="00322A75" w:rsidRDefault="009563B4" w:rsidP="008B01B1">
      <w:pPr>
        <w:jc w:val="both"/>
        <w:rPr>
          <w:rFonts w:asciiTheme="minorHAnsi" w:hAnsiTheme="minorHAnsi" w:cstheme="minorHAnsi"/>
          <w:sz w:val="21"/>
          <w:szCs w:val="21"/>
          <w:lang w:bidi="en-GB"/>
        </w:rPr>
      </w:pPr>
    </w:p>
    <w:p w14:paraId="7231F389" w14:textId="77777777" w:rsidR="009563B4" w:rsidRPr="00322A75" w:rsidRDefault="009563B4" w:rsidP="008B01B1">
      <w:pPr>
        <w:jc w:val="both"/>
        <w:rPr>
          <w:rFonts w:asciiTheme="minorHAnsi" w:hAnsiTheme="minorHAnsi" w:cstheme="minorHAnsi"/>
          <w:sz w:val="21"/>
          <w:szCs w:val="21"/>
          <w:lang w:bidi="en-GB"/>
        </w:rPr>
      </w:pPr>
      <w:r w:rsidRPr="00322A75">
        <w:rPr>
          <w:rFonts w:asciiTheme="minorHAnsi" w:hAnsiTheme="minorHAnsi" w:cstheme="minorHAnsi"/>
          <w:sz w:val="21"/>
          <w:szCs w:val="21"/>
          <w:lang w:bidi="en-GB"/>
        </w:rPr>
        <w:t xml:space="preserve">As a first step in the implementation of the project, the FAO Representation will establish an interdisciplinary Project Task Force (PTF) within FAO, to guide the implementation of the project. The PTF is a management and consultative body that integrate the necessary technical qualifications from the FAO relevant units to support the project. The PTF is composed of a Budget Holder, a Lead Technical Officer (LTO), the Funding Liaison Officer (FLO) and one or more technical officers based on FAO Headquarters (HQ Technical Officer). </w:t>
      </w:r>
    </w:p>
    <w:p w14:paraId="0158D5F2" w14:textId="77777777" w:rsidR="009563B4" w:rsidRPr="00322A75" w:rsidRDefault="009563B4" w:rsidP="008B01B1">
      <w:pPr>
        <w:jc w:val="both"/>
        <w:rPr>
          <w:rFonts w:asciiTheme="minorHAnsi" w:hAnsiTheme="minorHAnsi" w:cstheme="minorHAnsi"/>
          <w:sz w:val="21"/>
          <w:szCs w:val="21"/>
          <w:lang w:bidi="en-GB"/>
        </w:rPr>
      </w:pPr>
    </w:p>
    <w:p w14:paraId="48144C1A" w14:textId="77777777" w:rsidR="009563B4" w:rsidRPr="00322A75" w:rsidRDefault="009563B4" w:rsidP="008B01B1">
      <w:pPr>
        <w:jc w:val="both"/>
        <w:rPr>
          <w:rFonts w:asciiTheme="minorHAnsi" w:hAnsiTheme="minorHAnsi" w:cstheme="minorHAnsi"/>
          <w:sz w:val="21"/>
          <w:szCs w:val="21"/>
          <w:lang w:bidi="en-GB"/>
        </w:rPr>
      </w:pPr>
      <w:r w:rsidRPr="00322A75">
        <w:rPr>
          <w:rFonts w:asciiTheme="minorHAnsi" w:hAnsiTheme="minorHAnsi" w:cstheme="minorHAnsi"/>
          <w:sz w:val="21"/>
          <w:szCs w:val="21"/>
          <w:lang w:bidi="en-GB"/>
        </w:rPr>
        <w:t>The FAO Representative, in accordance with the PTF, will give its non-objection to the AWP/Bs submitted by the PCU as well as the Project Progress Reports (PPRs). PPRs may be commented by the PTF and should be approved by the LTO before being uploaded by the BH in FPMIS.</w:t>
      </w:r>
    </w:p>
    <w:p w14:paraId="4DB85B36" w14:textId="77777777" w:rsidR="009563B4" w:rsidRPr="00322A75" w:rsidRDefault="009563B4" w:rsidP="008B01B1">
      <w:pPr>
        <w:jc w:val="both"/>
        <w:rPr>
          <w:rFonts w:asciiTheme="minorHAnsi" w:hAnsiTheme="minorHAnsi" w:cstheme="minorHAnsi"/>
          <w:sz w:val="21"/>
          <w:szCs w:val="21"/>
          <w:lang w:bidi="en-GB"/>
        </w:rPr>
      </w:pPr>
    </w:p>
    <w:p w14:paraId="348FFCC9" w14:textId="77777777" w:rsidR="009563B4" w:rsidRPr="00322A75" w:rsidRDefault="009563B4" w:rsidP="008B01B1">
      <w:pPr>
        <w:jc w:val="both"/>
        <w:rPr>
          <w:rFonts w:asciiTheme="minorHAnsi" w:hAnsiTheme="minorHAnsi" w:cstheme="minorHAnsi"/>
          <w:sz w:val="21"/>
          <w:szCs w:val="21"/>
          <w:lang w:bidi="en-GB"/>
        </w:rPr>
      </w:pPr>
      <w:r w:rsidRPr="00322A75">
        <w:rPr>
          <w:rFonts w:asciiTheme="minorHAnsi" w:hAnsiTheme="minorHAnsi" w:cstheme="minorHAnsi"/>
          <w:sz w:val="21"/>
          <w:szCs w:val="21"/>
          <w:lang w:bidi="en-GB"/>
        </w:rPr>
        <w:t xml:space="preserve">The Lead Technical Officer (LTO) for the project will be (insert officer and division). The role of the LTO is central to FAO’s comparative advantage for projects. The LTO will oversee and carry out technical backstopping to the project implementation. The LTO will support the BH in the implementation and monitoring of the AWP/Bs, </w:t>
      </w:r>
      <w:r w:rsidRPr="00322A75">
        <w:rPr>
          <w:rFonts w:asciiTheme="minorHAnsi" w:hAnsiTheme="minorHAnsi" w:cstheme="minorHAnsi"/>
          <w:sz w:val="21"/>
          <w:szCs w:val="21"/>
          <w:lang w:bidi="en-GB"/>
        </w:rPr>
        <w:lastRenderedPageBreak/>
        <w:t xml:space="preserve">including work plan and budget revisions. The LTO is responsible and accountable for providing or obtaining technical clearance of technical inputs and services procured by the Organization. </w:t>
      </w:r>
    </w:p>
    <w:p w14:paraId="12E18084" w14:textId="77777777" w:rsidR="009563B4" w:rsidRPr="00322A75" w:rsidRDefault="009563B4" w:rsidP="008B01B1">
      <w:pPr>
        <w:jc w:val="both"/>
        <w:rPr>
          <w:rFonts w:asciiTheme="minorHAnsi" w:hAnsiTheme="minorHAnsi" w:cstheme="minorHAnsi"/>
          <w:sz w:val="21"/>
          <w:szCs w:val="21"/>
          <w:lang w:bidi="en-GB"/>
        </w:rPr>
      </w:pPr>
    </w:p>
    <w:p w14:paraId="700C0518" w14:textId="77777777" w:rsidR="009563B4" w:rsidRPr="00322A75" w:rsidRDefault="009563B4" w:rsidP="008B01B1">
      <w:pPr>
        <w:jc w:val="both"/>
        <w:rPr>
          <w:rFonts w:asciiTheme="minorHAnsi" w:hAnsiTheme="minorHAnsi" w:cstheme="minorHAnsi"/>
          <w:sz w:val="21"/>
          <w:szCs w:val="21"/>
          <w:lang w:bidi="en-GB"/>
        </w:rPr>
      </w:pPr>
      <w:r w:rsidRPr="00322A75">
        <w:rPr>
          <w:rFonts w:asciiTheme="minorHAnsi" w:hAnsiTheme="minorHAnsi" w:cstheme="minorHAnsi"/>
          <w:sz w:val="21"/>
          <w:szCs w:val="21"/>
          <w:lang w:bidi="en-GB"/>
        </w:rPr>
        <w:t>In addition, the LTO will provide technical backstopping to the PMU to ensure the delivery of quality technical outputs. The LTO will coordinate the provision of appropriate technical support from PTF to respond to requests from the PSC. The LTO will be responsible for:</w:t>
      </w:r>
    </w:p>
    <w:p w14:paraId="182C4BF4" w14:textId="77777777" w:rsidR="009563B4" w:rsidRPr="00322A75" w:rsidRDefault="009563B4" w:rsidP="00C53A49">
      <w:pPr>
        <w:numPr>
          <w:ilvl w:val="0"/>
          <w:numId w:val="7"/>
        </w:numPr>
        <w:spacing w:before="120" w:after="120"/>
        <w:jc w:val="both"/>
        <w:rPr>
          <w:rFonts w:asciiTheme="minorHAnsi" w:hAnsiTheme="minorHAnsi" w:cstheme="minorHAnsi"/>
          <w:sz w:val="21"/>
          <w:szCs w:val="21"/>
          <w:lang w:bidi="en-GB"/>
        </w:rPr>
      </w:pPr>
      <w:r w:rsidRPr="00322A75">
        <w:rPr>
          <w:rFonts w:asciiTheme="minorHAnsi" w:hAnsiTheme="minorHAnsi" w:cstheme="minorHAnsi"/>
          <w:sz w:val="21"/>
          <w:szCs w:val="21"/>
          <w:lang w:bidi="en-GB"/>
        </w:rPr>
        <w:t>Assess the technical expertise required for project implementation and identify the need for technical support and capacity development of the OP.</w:t>
      </w:r>
    </w:p>
    <w:p w14:paraId="766A8835" w14:textId="77777777" w:rsidR="009563B4" w:rsidRPr="00322A75" w:rsidRDefault="009563B4" w:rsidP="00C53A49">
      <w:pPr>
        <w:numPr>
          <w:ilvl w:val="0"/>
          <w:numId w:val="7"/>
        </w:numPr>
        <w:spacing w:before="120" w:after="120"/>
        <w:jc w:val="both"/>
        <w:rPr>
          <w:rFonts w:asciiTheme="minorHAnsi" w:hAnsiTheme="minorHAnsi" w:cstheme="minorHAnsi"/>
          <w:sz w:val="21"/>
          <w:szCs w:val="21"/>
          <w:lang w:bidi="en-GB"/>
        </w:rPr>
      </w:pPr>
      <w:r w:rsidRPr="00322A75">
        <w:rPr>
          <w:rFonts w:asciiTheme="minorHAnsi" w:hAnsiTheme="minorHAnsi" w:cstheme="minorHAnsi"/>
          <w:sz w:val="21"/>
          <w:szCs w:val="21"/>
          <w:lang w:bidi="en-GB"/>
        </w:rPr>
        <w:t>Provide technical guidance to the OP on technical aspects and implementation.</w:t>
      </w:r>
    </w:p>
    <w:p w14:paraId="6FF85EC6" w14:textId="77777777" w:rsidR="009563B4" w:rsidRPr="00322A75" w:rsidRDefault="009563B4" w:rsidP="00C53A49">
      <w:pPr>
        <w:numPr>
          <w:ilvl w:val="0"/>
          <w:numId w:val="7"/>
        </w:numPr>
        <w:spacing w:before="120" w:after="120"/>
        <w:jc w:val="both"/>
        <w:rPr>
          <w:rFonts w:asciiTheme="minorHAnsi" w:hAnsiTheme="minorHAnsi" w:cstheme="minorHAnsi"/>
          <w:sz w:val="21"/>
          <w:szCs w:val="21"/>
          <w:lang w:bidi="en-GB"/>
        </w:rPr>
      </w:pPr>
      <w:r w:rsidRPr="00322A75">
        <w:rPr>
          <w:rFonts w:asciiTheme="minorHAnsi" w:hAnsiTheme="minorHAnsi" w:cstheme="minorHAnsi"/>
          <w:sz w:val="21"/>
          <w:szCs w:val="21"/>
          <w:lang w:bidi="en-GB"/>
        </w:rPr>
        <w:t>Review and give no-objection to TORs for consultancies and contracts to be performed under the project, and to CVs and technical proposals short-listed by the PCU for key project positions and services to be financed by GEF resources;</w:t>
      </w:r>
    </w:p>
    <w:p w14:paraId="2658C625" w14:textId="77777777" w:rsidR="009563B4" w:rsidRPr="00322A75" w:rsidRDefault="009563B4" w:rsidP="00C53A49">
      <w:pPr>
        <w:numPr>
          <w:ilvl w:val="0"/>
          <w:numId w:val="7"/>
        </w:numPr>
        <w:spacing w:before="120" w:after="120"/>
        <w:jc w:val="both"/>
        <w:rPr>
          <w:rFonts w:asciiTheme="minorHAnsi" w:hAnsiTheme="minorHAnsi" w:cstheme="minorHAnsi"/>
          <w:sz w:val="21"/>
          <w:szCs w:val="21"/>
          <w:lang w:bidi="en-GB"/>
        </w:rPr>
      </w:pPr>
      <w:r w:rsidRPr="00322A75">
        <w:rPr>
          <w:rFonts w:asciiTheme="minorHAnsi" w:hAnsiTheme="minorHAnsi" w:cstheme="minorHAnsi"/>
          <w:sz w:val="21"/>
          <w:szCs w:val="21"/>
          <w:lang w:bidi="en-GB"/>
        </w:rPr>
        <w:t>Review and give clearance for the OP’s procurement plans;</w:t>
      </w:r>
    </w:p>
    <w:p w14:paraId="36B648CB" w14:textId="77777777" w:rsidR="009563B4" w:rsidRPr="00322A75" w:rsidRDefault="009563B4" w:rsidP="00C53A49">
      <w:pPr>
        <w:numPr>
          <w:ilvl w:val="0"/>
          <w:numId w:val="7"/>
        </w:numPr>
        <w:spacing w:before="120" w:after="120"/>
        <w:jc w:val="both"/>
        <w:rPr>
          <w:rFonts w:asciiTheme="minorHAnsi" w:hAnsiTheme="minorHAnsi" w:cstheme="minorHAnsi"/>
          <w:sz w:val="21"/>
          <w:szCs w:val="21"/>
          <w:lang w:bidi="en-GB"/>
        </w:rPr>
      </w:pPr>
      <w:r w:rsidRPr="00322A75">
        <w:rPr>
          <w:rFonts w:asciiTheme="minorHAnsi" w:hAnsiTheme="minorHAnsi" w:cstheme="minorHAnsi"/>
          <w:sz w:val="21"/>
          <w:szCs w:val="21"/>
          <w:lang w:bidi="en-GB"/>
        </w:rPr>
        <w:t>Supported by the FAO Representation, review and clear final technical products delivered by consultants and contract holders financed by GEF resources;</w:t>
      </w:r>
    </w:p>
    <w:p w14:paraId="0A1354F0" w14:textId="77777777" w:rsidR="009563B4" w:rsidRPr="00322A75" w:rsidRDefault="009563B4" w:rsidP="00C53A49">
      <w:pPr>
        <w:numPr>
          <w:ilvl w:val="0"/>
          <w:numId w:val="7"/>
        </w:numPr>
        <w:spacing w:before="120" w:after="120"/>
        <w:jc w:val="both"/>
        <w:rPr>
          <w:rFonts w:asciiTheme="minorHAnsi" w:hAnsiTheme="minorHAnsi" w:cstheme="minorHAnsi"/>
          <w:sz w:val="21"/>
          <w:szCs w:val="21"/>
          <w:lang w:bidi="en-GB"/>
        </w:rPr>
      </w:pPr>
      <w:r w:rsidRPr="00322A75">
        <w:rPr>
          <w:rFonts w:asciiTheme="minorHAnsi" w:hAnsiTheme="minorHAnsi" w:cstheme="minorHAnsi"/>
          <w:sz w:val="21"/>
          <w:szCs w:val="21"/>
          <w:lang w:bidi="en-GB"/>
        </w:rPr>
        <w:t>Assist with review and provision of technical comments to draft technical products/reports during project implementation;</w:t>
      </w:r>
    </w:p>
    <w:p w14:paraId="22AE2FB7" w14:textId="77777777" w:rsidR="009563B4" w:rsidRPr="00322A75" w:rsidRDefault="009563B4" w:rsidP="00C53A49">
      <w:pPr>
        <w:numPr>
          <w:ilvl w:val="0"/>
          <w:numId w:val="7"/>
        </w:numPr>
        <w:spacing w:before="120" w:after="120"/>
        <w:jc w:val="both"/>
        <w:rPr>
          <w:rFonts w:asciiTheme="minorHAnsi" w:hAnsiTheme="minorHAnsi" w:cstheme="minorHAnsi"/>
          <w:sz w:val="21"/>
          <w:szCs w:val="21"/>
          <w:lang w:bidi="en-GB"/>
        </w:rPr>
      </w:pPr>
      <w:r w:rsidRPr="00322A75">
        <w:rPr>
          <w:rFonts w:asciiTheme="minorHAnsi" w:hAnsiTheme="minorHAnsi" w:cstheme="minorHAnsi"/>
          <w:sz w:val="21"/>
          <w:szCs w:val="21"/>
          <w:lang w:bidi="en-GB"/>
        </w:rPr>
        <w:t>Review and approve project progress reports submitted by the National Program Director (NPD), in cooperation with the BH;</w:t>
      </w:r>
    </w:p>
    <w:p w14:paraId="0F693F9F" w14:textId="77777777" w:rsidR="009563B4" w:rsidRPr="00322A75" w:rsidRDefault="009563B4" w:rsidP="00C53A49">
      <w:pPr>
        <w:numPr>
          <w:ilvl w:val="0"/>
          <w:numId w:val="7"/>
        </w:numPr>
        <w:spacing w:before="120" w:after="120"/>
        <w:jc w:val="both"/>
        <w:rPr>
          <w:rFonts w:asciiTheme="minorHAnsi" w:hAnsiTheme="minorHAnsi" w:cstheme="minorHAnsi"/>
          <w:sz w:val="21"/>
          <w:szCs w:val="21"/>
          <w:lang w:bidi="en-GB"/>
        </w:rPr>
      </w:pPr>
      <w:r w:rsidRPr="00322A75">
        <w:rPr>
          <w:rFonts w:asciiTheme="minorHAnsi" w:hAnsiTheme="minorHAnsi" w:cstheme="minorHAnsi"/>
          <w:sz w:val="21"/>
          <w:szCs w:val="21"/>
          <w:lang w:bidi="en-GB"/>
        </w:rPr>
        <w:t>Support the FAO Representative in examining, reviewing and giving no-objection to AWP/B submitted by the NPD, for their approval by the Project Steering Committee;</w:t>
      </w:r>
    </w:p>
    <w:p w14:paraId="53BA7CD2" w14:textId="77777777" w:rsidR="009563B4" w:rsidRPr="00322A75" w:rsidRDefault="009563B4" w:rsidP="00C53A49">
      <w:pPr>
        <w:numPr>
          <w:ilvl w:val="0"/>
          <w:numId w:val="7"/>
        </w:numPr>
        <w:spacing w:before="120" w:after="120"/>
        <w:jc w:val="both"/>
        <w:rPr>
          <w:rFonts w:asciiTheme="minorHAnsi" w:hAnsiTheme="minorHAnsi" w:cstheme="minorHAnsi"/>
          <w:sz w:val="21"/>
          <w:szCs w:val="21"/>
          <w:lang w:bidi="en-GB"/>
        </w:rPr>
      </w:pPr>
      <w:r w:rsidRPr="00322A75">
        <w:rPr>
          <w:rFonts w:asciiTheme="minorHAnsi" w:hAnsiTheme="minorHAnsi" w:cstheme="minorHAnsi"/>
          <w:sz w:val="21"/>
          <w:szCs w:val="21"/>
          <w:lang w:bidi="en-GB"/>
        </w:rPr>
        <w:t xml:space="preserve">Ensure the technical quality of the six-monthly Project Progress Reports (PPRs). The PPRs will be prepared by the NPD, with inputs from the PCU. The BH will submit the PPR to the FAO/GEF Coordination Unit for comments, and the LTO for technical clearance. The PPRs will be submitted to the PSC for approval twice a year. The FLO will upload the approved PPR to FPMIS. </w:t>
      </w:r>
    </w:p>
    <w:p w14:paraId="345357C3" w14:textId="77777777" w:rsidR="009563B4" w:rsidRPr="00322A75" w:rsidRDefault="009563B4" w:rsidP="00C53A49">
      <w:pPr>
        <w:numPr>
          <w:ilvl w:val="0"/>
          <w:numId w:val="7"/>
        </w:numPr>
        <w:spacing w:before="120" w:after="120"/>
        <w:jc w:val="both"/>
        <w:rPr>
          <w:rFonts w:asciiTheme="minorHAnsi" w:hAnsiTheme="minorHAnsi" w:cstheme="minorHAnsi"/>
          <w:sz w:val="21"/>
          <w:szCs w:val="21"/>
          <w:lang w:bidi="en-GB"/>
        </w:rPr>
      </w:pPr>
      <w:r w:rsidRPr="00322A75">
        <w:rPr>
          <w:rFonts w:asciiTheme="minorHAnsi" w:hAnsiTheme="minorHAnsi" w:cstheme="minorHAnsi"/>
          <w:sz w:val="21"/>
          <w:szCs w:val="21"/>
          <w:lang w:bidi="en-GB"/>
        </w:rPr>
        <w:t>Supervise the preparation and ensure the technical quality of the annual PIR. The PIR will be drafted by the NPD, with inputs from the PT. The PIR will be submitted to the BH and the FAO-GEF Coordination Unit for approval and finalization. The FAO/GEF Coordination Unit will submit the PIRs to the GEF Secretariat and the GEF Evaluation Office, as part of the Annual Monitoring Review report of the FAO-GEF portfolio. The LTO must ensure that the NPD and the PCU have provided information on the co-financing provided during the year for inclusion in the PIR;</w:t>
      </w:r>
    </w:p>
    <w:p w14:paraId="7C5A94A6" w14:textId="77777777" w:rsidR="009563B4" w:rsidRPr="00322A75" w:rsidRDefault="009563B4" w:rsidP="00C53A49">
      <w:pPr>
        <w:numPr>
          <w:ilvl w:val="0"/>
          <w:numId w:val="7"/>
        </w:numPr>
        <w:spacing w:before="120" w:after="120"/>
        <w:jc w:val="both"/>
        <w:rPr>
          <w:rFonts w:asciiTheme="minorHAnsi" w:hAnsiTheme="minorHAnsi" w:cstheme="minorHAnsi"/>
          <w:sz w:val="21"/>
          <w:szCs w:val="21"/>
          <w:lang w:bidi="en-GB"/>
        </w:rPr>
      </w:pPr>
      <w:r w:rsidRPr="00322A75">
        <w:rPr>
          <w:rFonts w:asciiTheme="minorHAnsi" w:hAnsiTheme="minorHAnsi" w:cstheme="minorHAnsi"/>
          <w:sz w:val="21"/>
          <w:szCs w:val="21"/>
          <w:lang w:bidi="en-GB"/>
        </w:rPr>
        <w:t>Conduct annual supervision missions;</w:t>
      </w:r>
    </w:p>
    <w:p w14:paraId="3A05A914" w14:textId="77777777" w:rsidR="009563B4" w:rsidRPr="00322A75" w:rsidRDefault="009563B4" w:rsidP="00C53A49">
      <w:pPr>
        <w:numPr>
          <w:ilvl w:val="0"/>
          <w:numId w:val="7"/>
        </w:numPr>
        <w:spacing w:before="120" w:after="120"/>
        <w:jc w:val="both"/>
        <w:rPr>
          <w:rFonts w:asciiTheme="minorHAnsi" w:hAnsiTheme="minorHAnsi" w:cstheme="minorHAnsi"/>
          <w:sz w:val="21"/>
          <w:szCs w:val="21"/>
          <w:lang w:bidi="en-GB"/>
        </w:rPr>
      </w:pPr>
      <w:r w:rsidRPr="00322A75">
        <w:rPr>
          <w:rFonts w:asciiTheme="minorHAnsi" w:hAnsiTheme="minorHAnsi" w:cstheme="minorHAnsi"/>
          <w:sz w:val="21"/>
          <w:szCs w:val="21"/>
        </w:rPr>
        <w:t xml:space="preserve">Provide comments to the TORs for the mid-term and final evaluation; provide information and share all relevant background documentation with the evaluation team; </w:t>
      </w:r>
      <w:r w:rsidRPr="00322A75">
        <w:rPr>
          <w:rFonts w:asciiTheme="minorHAnsi" w:hAnsiTheme="minorHAnsi" w:cstheme="minorHAnsi"/>
          <w:sz w:val="21"/>
          <w:szCs w:val="21"/>
          <w:lang w:bidi="en-GB"/>
        </w:rPr>
        <w:t xml:space="preserve">participate in the mid-term workshop with all key project stakeholders, development of an eventual agreed adjustment plan in project execution approach, and supervise its implementation; </w:t>
      </w:r>
      <w:r w:rsidRPr="00322A75">
        <w:rPr>
          <w:rFonts w:asciiTheme="minorHAnsi" w:hAnsiTheme="minorHAnsi" w:cstheme="minorHAnsi"/>
          <w:sz w:val="21"/>
          <w:szCs w:val="21"/>
        </w:rPr>
        <w:t>participate in the final workshop with all key project stakeholders, as relevant. Contribute to the follow-up to recommendations on how to insure sustainability of project outputs and results after the end of the project.</w:t>
      </w:r>
    </w:p>
    <w:p w14:paraId="06343903" w14:textId="77777777" w:rsidR="009563B4" w:rsidRPr="00322A75" w:rsidRDefault="009563B4" w:rsidP="00C53A49">
      <w:pPr>
        <w:numPr>
          <w:ilvl w:val="0"/>
          <w:numId w:val="7"/>
        </w:numPr>
        <w:spacing w:before="120" w:after="120"/>
        <w:jc w:val="both"/>
        <w:rPr>
          <w:rFonts w:asciiTheme="minorHAnsi" w:hAnsiTheme="minorHAnsi" w:cstheme="minorHAnsi"/>
          <w:sz w:val="21"/>
          <w:szCs w:val="21"/>
          <w:lang w:bidi="en-GB"/>
        </w:rPr>
      </w:pPr>
      <w:r w:rsidRPr="00322A75">
        <w:rPr>
          <w:rFonts w:asciiTheme="minorHAnsi" w:hAnsiTheme="minorHAnsi" w:cstheme="minorHAnsi"/>
          <w:sz w:val="21"/>
          <w:szCs w:val="21"/>
          <w:lang w:bidi="en-GB"/>
        </w:rPr>
        <w:t>Monitor implementation of the Risk Mitigation Plan, in accordance with the FAO Environmental and Social Safeguards.</w:t>
      </w:r>
    </w:p>
    <w:p w14:paraId="1C7BEC47" w14:textId="77777777" w:rsidR="009563B4" w:rsidRPr="00322A75" w:rsidRDefault="009563B4" w:rsidP="008B01B1">
      <w:pPr>
        <w:jc w:val="both"/>
        <w:rPr>
          <w:rFonts w:asciiTheme="minorHAnsi" w:hAnsiTheme="minorHAnsi" w:cstheme="minorHAnsi"/>
          <w:sz w:val="21"/>
          <w:szCs w:val="21"/>
          <w:lang w:bidi="en-GB"/>
        </w:rPr>
      </w:pPr>
      <w:r w:rsidRPr="00322A75">
        <w:rPr>
          <w:rFonts w:asciiTheme="minorHAnsi" w:hAnsiTheme="minorHAnsi" w:cstheme="minorHAnsi"/>
          <w:sz w:val="21"/>
          <w:szCs w:val="21"/>
          <w:lang w:bidi="en-GB"/>
        </w:rPr>
        <w:t xml:space="preserve">The HQ Technical Officer is a member of the PTF, as a mandatory requirement of the FAO Guide to the Project Cycle. The HQ Technical Officer has most relevant technical expertise - within FAO technical departments - related to the thematic of the project. The HQ Technical Officer will provide effective functional advice to the LTO to ensure adherence to FAO corporate technical standards during project implementation, in particular: </w:t>
      </w:r>
    </w:p>
    <w:p w14:paraId="59241E82" w14:textId="77777777" w:rsidR="009563B4" w:rsidRPr="00322A75" w:rsidRDefault="009563B4" w:rsidP="00C53A49">
      <w:pPr>
        <w:numPr>
          <w:ilvl w:val="0"/>
          <w:numId w:val="8"/>
        </w:numPr>
        <w:spacing w:before="120" w:after="120"/>
        <w:jc w:val="both"/>
        <w:rPr>
          <w:rFonts w:asciiTheme="minorHAnsi" w:hAnsiTheme="minorHAnsi" w:cstheme="minorHAnsi"/>
          <w:sz w:val="21"/>
          <w:szCs w:val="21"/>
          <w:lang w:bidi="en-GB"/>
        </w:rPr>
      </w:pPr>
      <w:r w:rsidRPr="00322A75">
        <w:rPr>
          <w:rFonts w:asciiTheme="minorHAnsi" w:hAnsiTheme="minorHAnsi" w:cstheme="minorHAnsi"/>
          <w:sz w:val="21"/>
          <w:szCs w:val="21"/>
          <w:lang w:bidi="en-GB"/>
        </w:rPr>
        <w:lastRenderedPageBreak/>
        <w:t>Supports the LTO in monitoring and reporting on implementation of environmental and social commitment plans for moderate risk projects. In this project, the HQ officer will support the LTO in monitoring and reporting the identified risks and mitigation measures (Appendix H2) in close coordination with the OP.</w:t>
      </w:r>
    </w:p>
    <w:p w14:paraId="59B33C57" w14:textId="77777777" w:rsidR="009563B4" w:rsidRPr="00322A75" w:rsidRDefault="009563B4" w:rsidP="00C53A49">
      <w:pPr>
        <w:numPr>
          <w:ilvl w:val="0"/>
          <w:numId w:val="8"/>
        </w:numPr>
        <w:spacing w:before="120" w:after="120"/>
        <w:jc w:val="both"/>
        <w:rPr>
          <w:rFonts w:asciiTheme="minorHAnsi" w:hAnsiTheme="minorHAnsi" w:cstheme="minorHAnsi"/>
          <w:sz w:val="21"/>
          <w:szCs w:val="21"/>
          <w:lang w:bidi="en-GB"/>
        </w:rPr>
      </w:pPr>
      <w:r w:rsidRPr="00322A75">
        <w:rPr>
          <w:rFonts w:asciiTheme="minorHAnsi" w:hAnsiTheme="minorHAnsi" w:cstheme="minorHAnsi"/>
          <w:sz w:val="21"/>
          <w:szCs w:val="21"/>
          <w:lang w:bidi="en-GB"/>
        </w:rPr>
        <w:t>Provides technical backstopping for the project work plan.</w:t>
      </w:r>
    </w:p>
    <w:p w14:paraId="4C1EAAA6" w14:textId="77777777" w:rsidR="009563B4" w:rsidRPr="00322A75" w:rsidRDefault="009563B4" w:rsidP="00C53A49">
      <w:pPr>
        <w:numPr>
          <w:ilvl w:val="0"/>
          <w:numId w:val="8"/>
        </w:numPr>
        <w:spacing w:before="120" w:after="120"/>
        <w:jc w:val="both"/>
        <w:rPr>
          <w:rFonts w:asciiTheme="minorHAnsi" w:hAnsiTheme="minorHAnsi" w:cstheme="minorHAnsi"/>
          <w:sz w:val="21"/>
          <w:szCs w:val="21"/>
          <w:lang w:bidi="en-GB"/>
        </w:rPr>
      </w:pPr>
      <w:r w:rsidRPr="00322A75">
        <w:rPr>
          <w:rFonts w:asciiTheme="minorHAnsi" w:hAnsiTheme="minorHAnsi" w:cstheme="minorHAnsi"/>
          <w:sz w:val="21"/>
          <w:szCs w:val="21"/>
          <w:lang w:bidi="en-GB"/>
        </w:rPr>
        <w:t xml:space="preserve">Clears technical reports, contributes to and oversees the quality of Project Progress Report(s). </w:t>
      </w:r>
    </w:p>
    <w:p w14:paraId="4F85825D" w14:textId="77777777" w:rsidR="009563B4" w:rsidRPr="00322A75" w:rsidRDefault="009563B4" w:rsidP="00C53A49">
      <w:pPr>
        <w:numPr>
          <w:ilvl w:val="0"/>
          <w:numId w:val="8"/>
        </w:numPr>
        <w:spacing w:before="120" w:after="120"/>
        <w:jc w:val="both"/>
        <w:rPr>
          <w:rFonts w:asciiTheme="minorHAnsi" w:hAnsiTheme="minorHAnsi" w:cstheme="minorHAnsi"/>
          <w:sz w:val="21"/>
          <w:szCs w:val="21"/>
          <w:lang w:bidi="en-GB"/>
        </w:rPr>
      </w:pPr>
      <w:r w:rsidRPr="00322A75">
        <w:rPr>
          <w:rFonts w:asciiTheme="minorHAnsi" w:hAnsiTheme="minorHAnsi" w:cstheme="minorHAnsi"/>
          <w:sz w:val="21"/>
          <w:szCs w:val="21"/>
          <w:lang w:bidi="en-GB"/>
        </w:rPr>
        <w:t>May be requested to support the LTO and PTF for implementation and monitoring.</w:t>
      </w:r>
    </w:p>
    <w:p w14:paraId="4FE6FE61" w14:textId="77777777" w:rsidR="009563B4" w:rsidRPr="00322A75" w:rsidRDefault="009563B4" w:rsidP="00C53A49">
      <w:pPr>
        <w:numPr>
          <w:ilvl w:val="0"/>
          <w:numId w:val="8"/>
        </w:numPr>
        <w:spacing w:before="120" w:after="120"/>
        <w:jc w:val="both"/>
        <w:rPr>
          <w:rFonts w:asciiTheme="minorHAnsi" w:hAnsiTheme="minorHAnsi" w:cstheme="minorHAnsi"/>
          <w:sz w:val="21"/>
          <w:szCs w:val="21"/>
          <w:lang w:bidi="en-GB"/>
        </w:rPr>
      </w:pPr>
      <w:r w:rsidRPr="00322A75">
        <w:rPr>
          <w:rFonts w:asciiTheme="minorHAnsi" w:hAnsiTheme="minorHAnsi" w:cstheme="minorHAnsi"/>
          <w:sz w:val="21"/>
          <w:szCs w:val="21"/>
          <w:lang w:bidi="en-GB"/>
        </w:rPr>
        <w:t>Contribute to the overall ToR of the Mid-term and Final Evaluation, review</w:t>
      </w:r>
      <w:r w:rsidRPr="00322A75">
        <w:rPr>
          <w:rFonts w:asciiTheme="minorHAnsi" w:hAnsiTheme="minorHAnsi" w:cstheme="minorHAnsi"/>
          <w:sz w:val="21"/>
          <w:szCs w:val="21"/>
        </w:rPr>
        <w:t xml:space="preserve"> the composition of the evaluation team and support the evaluation function</w:t>
      </w:r>
      <w:r w:rsidRPr="00322A75">
        <w:rPr>
          <w:rFonts w:asciiTheme="minorHAnsi" w:hAnsiTheme="minorHAnsi" w:cstheme="minorHAnsi"/>
          <w:sz w:val="21"/>
          <w:szCs w:val="21"/>
          <w:lang w:bidi="en-GB"/>
        </w:rPr>
        <w:t>.</w:t>
      </w:r>
    </w:p>
    <w:p w14:paraId="6BB9ABD9" w14:textId="77777777" w:rsidR="009563B4" w:rsidRPr="00322A75" w:rsidRDefault="009563B4" w:rsidP="008B01B1">
      <w:pPr>
        <w:jc w:val="both"/>
        <w:rPr>
          <w:rFonts w:asciiTheme="minorHAnsi" w:hAnsiTheme="minorHAnsi" w:cstheme="minorHAnsi"/>
          <w:sz w:val="21"/>
          <w:szCs w:val="21"/>
          <w:lang w:bidi="en-GB"/>
        </w:rPr>
      </w:pPr>
      <w:r w:rsidRPr="00322A75">
        <w:rPr>
          <w:rFonts w:asciiTheme="minorHAnsi" w:hAnsiTheme="minorHAnsi" w:cstheme="minorHAnsi"/>
          <w:sz w:val="21"/>
          <w:szCs w:val="21"/>
          <w:lang w:bidi="en-GB"/>
        </w:rPr>
        <w:t xml:space="preserve">The </w:t>
      </w:r>
      <w:r w:rsidRPr="00322A75">
        <w:rPr>
          <w:rFonts w:asciiTheme="minorHAnsi" w:hAnsiTheme="minorHAnsi" w:cstheme="minorHAnsi"/>
          <w:sz w:val="21"/>
          <w:szCs w:val="21"/>
          <w:u w:val="single"/>
          <w:lang w:bidi="en-GB"/>
        </w:rPr>
        <w:t>FAO-GEF Coordination Unit</w:t>
      </w:r>
      <w:r w:rsidRPr="00322A75">
        <w:rPr>
          <w:rFonts w:asciiTheme="minorHAnsi" w:hAnsiTheme="minorHAnsi" w:cstheme="minorHAnsi"/>
          <w:sz w:val="21"/>
          <w:szCs w:val="21"/>
          <w:lang w:bidi="en-GB"/>
        </w:rPr>
        <w:t xml:space="preserve"> will provide Funding Liaison Officer (FLO) functions. This FAO/GEF Coordination Unit will review and provide a rating in the annual PIR(s) and will undertake supervision missions as necessary. The PIRs will be included in the FAO GEF Annual Monitoring Review submitted to GEF by the FAO GEF Coordination Unit. The FAO GEF Coordination Unit may also participate or lead  the mid-term evaluation, and in the development of corrective actions in the project implementation strategy if needed to mitigate eventual risks affecting the timely and effective implementation of the project. The FAO GEF Coordination Unit will in collaboration with the FAO Finance Division to request transfer of project funds from the GEF Trustee based on six-monthly projections of funds needed.</w:t>
      </w:r>
    </w:p>
    <w:p w14:paraId="4D029127" w14:textId="77777777" w:rsidR="009563B4" w:rsidRPr="00322A75" w:rsidRDefault="009563B4" w:rsidP="008B01B1">
      <w:pPr>
        <w:jc w:val="both"/>
        <w:rPr>
          <w:rFonts w:asciiTheme="minorHAnsi" w:hAnsiTheme="minorHAnsi" w:cstheme="minorHAnsi"/>
          <w:sz w:val="21"/>
          <w:szCs w:val="21"/>
          <w:lang w:bidi="en-GB"/>
        </w:rPr>
      </w:pPr>
    </w:p>
    <w:p w14:paraId="76875F9A" w14:textId="77777777" w:rsidR="009563B4" w:rsidRPr="00322A75" w:rsidRDefault="009563B4" w:rsidP="008B01B1">
      <w:pPr>
        <w:jc w:val="both"/>
        <w:rPr>
          <w:rFonts w:asciiTheme="minorHAnsi" w:hAnsiTheme="minorHAnsi" w:cstheme="minorHAnsi"/>
          <w:sz w:val="21"/>
          <w:szCs w:val="21"/>
        </w:rPr>
      </w:pPr>
      <w:r w:rsidRPr="00322A75">
        <w:rPr>
          <w:rFonts w:asciiTheme="minorHAnsi" w:hAnsiTheme="minorHAnsi" w:cstheme="minorHAnsi"/>
          <w:sz w:val="21"/>
          <w:szCs w:val="21"/>
          <w:u w:val="single"/>
          <w:lang w:bidi="en-GB"/>
        </w:rPr>
        <w:t>The FAO Financial Division</w:t>
      </w:r>
      <w:r w:rsidRPr="00322A75">
        <w:rPr>
          <w:rFonts w:asciiTheme="minorHAnsi" w:hAnsiTheme="minorHAnsi" w:cstheme="minorHAnsi"/>
          <w:sz w:val="21"/>
          <w:szCs w:val="21"/>
          <w:lang w:bidi="en-GB"/>
        </w:rPr>
        <w:t xml:space="preserve"> will provide annual Financial Reports to the GEF Trustee and, in collaboration with the FAO-GEF Coordination Unit, request project funds on a six-monthly basis to the GEF Trustee.</w:t>
      </w:r>
    </w:p>
    <w:p w14:paraId="426BA05D" w14:textId="77777777" w:rsidR="009563B4" w:rsidRPr="00322A75" w:rsidRDefault="009563B4" w:rsidP="008B01B1">
      <w:pPr>
        <w:pStyle w:val="Heading4"/>
        <w:jc w:val="both"/>
        <w:rPr>
          <w:rStyle w:val="Strong"/>
          <w:rFonts w:asciiTheme="minorHAnsi" w:hAnsiTheme="minorHAnsi" w:cstheme="minorHAnsi"/>
          <w:sz w:val="21"/>
          <w:szCs w:val="21"/>
        </w:rPr>
      </w:pPr>
      <w:bookmarkStart w:id="467" w:name="_Toc518290103"/>
      <w:bookmarkStart w:id="468" w:name="_Toc42027179"/>
      <w:bookmarkStart w:id="469" w:name="_Toc42262687"/>
      <w:r w:rsidRPr="00322A75">
        <w:rPr>
          <w:rStyle w:val="Strong"/>
          <w:rFonts w:asciiTheme="minorHAnsi" w:hAnsiTheme="minorHAnsi" w:cstheme="minorHAnsi"/>
          <w:sz w:val="21"/>
          <w:szCs w:val="21"/>
        </w:rPr>
        <w:t>Financial management</w:t>
      </w:r>
      <w:bookmarkEnd w:id="467"/>
      <w:bookmarkEnd w:id="468"/>
      <w:bookmarkEnd w:id="469"/>
    </w:p>
    <w:p w14:paraId="35F3EEB8" w14:textId="77777777" w:rsidR="009563B4" w:rsidRPr="00322A75" w:rsidRDefault="009563B4" w:rsidP="008B01B1">
      <w:pPr>
        <w:jc w:val="both"/>
        <w:rPr>
          <w:rFonts w:asciiTheme="minorHAnsi" w:hAnsiTheme="minorHAnsi" w:cstheme="minorHAnsi"/>
          <w:sz w:val="21"/>
          <w:szCs w:val="21"/>
          <w:lang w:bidi="en-GB"/>
        </w:rPr>
      </w:pPr>
      <w:r w:rsidRPr="00322A75">
        <w:rPr>
          <w:rFonts w:asciiTheme="minorHAnsi" w:hAnsiTheme="minorHAnsi" w:cstheme="minorHAnsi"/>
          <w:b/>
          <w:bCs/>
          <w:sz w:val="21"/>
          <w:szCs w:val="21"/>
          <w:lang w:bidi="en-GB"/>
        </w:rPr>
        <w:t xml:space="preserve">Financial management </w:t>
      </w:r>
      <w:r w:rsidRPr="00322A75">
        <w:rPr>
          <w:rFonts w:asciiTheme="minorHAnsi" w:hAnsiTheme="minorHAnsi" w:cstheme="minorHAnsi"/>
          <w:sz w:val="21"/>
          <w:szCs w:val="21"/>
          <w:lang w:bidi="en-GB"/>
        </w:rPr>
        <w:t>in relation to the GEF resources directly managed by FAO will be carried out in accordance with FAO’s rules and procedures as outlined below. The OP is accountable to FAO for achieving the agreed project results and for the effective use of resources made available by FAO. Financial management and reporting for the funds transferred to the OP will be done by the OP in accordance with terms, conditions, formats and requirements of FAO and the provisions of the signed Operational Partners Agreement (OPA). The administration by the OP of the funds received from FAO shall be carried out under its own financial regulations, rules and procedures, which shall provide adequate controls to ensure that the funds received, are properly administered and expended. The Operational Partner shall maintain the account in accordance with generally accepted accounting standards.</w:t>
      </w:r>
    </w:p>
    <w:p w14:paraId="6A19E800" w14:textId="77777777" w:rsidR="009563B4" w:rsidRPr="00322A75" w:rsidRDefault="009563B4" w:rsidP="008B01B1">
      <w:pPr>
        <w:jc w:val="both"/>
        <w:rPr>
          <w:rFonts w:asciiTheme="minorHAnsi" w:hAnsiTheme="minorHAnsi" w:cstheme="minorHAnsi"/>
          <w:sz w:val="21"/>
          <w:szCs w:val="21"/>
          <w:lang w:bidi="en-GB"/>
        </w:rPr>
      </w:pPr>
    </w:p>
    <w:p w14:paraId="7EE63C0F" w14:textId="77777777" w:rsidR="009563B4" w:rsidRPr="00322A75" w:rsidRDefault="009563B4" w:rsidP="008B01B1">
      <w:pPr>
        <w:jc w:val="both"/>
        <w:rPr>
          <w:rFonts w:asciiTheme="minorHAnsi" w:hAnsiTheme="minorHAnsi" w:cstheme="minorHAnsi"/>
          <w:sz w:val="21"/>
          <w:szCs w:val="21"/>
          <w:lang w:bidi="en-GB"/>
        </w:rPr>
      </w:pPr>
      <w:r w:rsidRPr="00322A75">
        <w:rPr>
          <w:rFonts w:asciiTheme="minorHAnsi" w:hAnsiTheme="minorHAnsi" w:cstheme="minorHAnsi"/>
          <w:b/>
          <w:sz w:val="21"/>
          <w:szCs w:val="21"/>
          <w:lang w:bidi="en-GB"/>
        </w:rPr>
        <w:t>Financial Records.</w:t>
      </w:r>
      <w:r w:rsidRPr="00322A75">
        <w:rPr>
          <w:rFonts w:asciiTheme="minorHAnsi" w:hAnsiTheme="minorHAnsi" w:cstheme="minorHAnsi"/>
          <w:sz w:val="21"/>
          <w:szCs w:val="21"/>
          <w:lang w:bidi="en-GB"/>
        </w:rPr>
        <w:t xml:space="preserve"> FAO shall maintain a separate account in United States dollars for the project’s GEF resources showing all income and expenditures. FAO shall administer the project in accordance with its regulations, rules and directives. The OP shall maintain books and records that are accurate, complete and up-to-date. The OP’s books and records will clearly identify all Fund Transfers received by the OP as well as disbursements made by the OP under the OPA, including the amount of any unspent funds and interest accrued. </w:t>
      </w:r>
    </w:p>
    <w:p w14:paraId="619B1983" w14:textId="77777777" w:rsidR="009563B4" w:rsidRPr="00322A75" w:rsidRDefault="009563B4" w:rsidP="008B01B1">
      <w:pPr>
        <w:jc w:val="both"/>
        <w:rPr>
          <w:rFonts w:asciiTheme="minorHAnsi" w:hAnsiTheme="minorHAnsi" w:cstheme="minorHAnsi"/>
          <w:sz w:val="21"/>
          <w:szCs w:val="21"/>
          <w:lang w:bidi="en-GB"/>
        </w:rPr>
      </w:pPr>
    </w:p>
    <w:p w14:paraId="162E9F6B" w14:textId="77777777" w:rsidR="009563B4" w:rsidRPr="00322A75" w:rsidRDefault="009563B4" w:rsidP="008B01B1">
      <w:pPr>
        <w:jc w:val="both"/>
        <w:rPr>
          <w:rFonts w:asciiTheme="minorHAnsi" w:hAnsiTheme="minorHAnsi" w:cstheme="minorHAnsi"/>
          <w:sz w:val="21"/>
          <w:szCs w:val="21"/>
          <w:lang w:bidi="en-GB"/>
        </w:rPr>
      </w:pPr>
      <w:r w:rsidRPr="00322A75">
        <w:rPr>
          <w:rFonts w:asciiTheme="minorHAnsi" w:hAnsiTheme="minorHAnsi" w:cstheme="minorHAnsi"/>
          <w:b/>
          <w:sz w:val="21"/>
          <w:szCs w:val="21"/>
          <w:lang w:bidi="en-GB"/>
        </w:rPr>
        <w:t>Financial Reports.</w:t>
      </w:r>
      <w:r w:rsidRPr="00322A75">
        <w:rPr>
          <w:rFonts w:asciiTheme="minorHAnsi" w:hAnsiTheme="minorHAnsi" w:cstheme="minorHAnsi"/>
          <w:sz w:val="21"/>
          <w:szCs w:val="21"/>
          <w:lang w:bidi="en-GB"/>
        </w:rPr>
        <w:t xml:space="preserve"> The BH shall prepare quarterly project expenditure accounts and final accounts for the project, showing amount budgeted for the year, amount expended since the beginning of the year, and separately, the un-liquidated obligations as follows: i) Details of project expenditures on outcome-by-outcome basis, reported in line with Project Budget as at 30 June and 31 December each year; ii) Final accounts on completion of the Project on a component-by-component and outcome-by-outcome basis, reported in line with the Project Budget; iii) A final statement of account in line with FAO Oracle Project budget codes, reflecting actual final expenditures under the Project, when all obligations have been liquidated. </w:t>
      </w:r>
    </w:p>
    <w:p w14:paraId="15A683C5" w14:textId="77777777" w:rsidR="009563B4" w:rsidRPr="00322A75" w:rsidRDefault="009563B4" w:rsidP="008B01B1">
      <w:pPr>
        <w:jc w:val="both"/>
        <w:rPr>
          <w:rFonts w:asciiTheme="minorHAnsi" w:hAnsiTheme="minorHAnsi" w:cstheme="minorHAnsi"/>
          <w:sz w:val="21"/>
          <w:szCs w:val="21"/>
          <w:lang w:bidi="en-GB"/>
        </w:rPr>
      </w:pPr>
    </w:p>
    <w:p w14:paraId="3019E360" w14:textId="77777777" w:rsidR="009563B4" w:rsidRPr="00322A75" w:rsidRDefault="009563B4" w:rsidP="008B01B1">
      <w:pPr>
        <w:jc w:val="both"/>
        <w:rPr>
          <w:rFonts w:asciiTheme="minorHAnsi" w:hAnsiTheme="minorHAnsi" w:cstheme="minorHAnsi"/>
          <w:sz w:val="21"/>
          <w:szCs w:val="21"/>
          <w:lang w:bidi="en-GB"/>
        </w:rPr>
      </w:pPr>
      <w:r w:rsidRPr="00322A75">
        <w:rPr>
          <w:rFonts w:asciiTheme="minorHAnsi" w:hAnsiTheme="minorHAnsi" w:cstheme="minorHAnsi"/>
          <w:sz w:val="21"/>
          <w:szCs w:val="21"/>
          <w:lang w:bidi="en-GB"/>
        </w:rPr>
        <w:t xml:space="preserve">The OP will prepare the financial reports in accordance with terms, conditions, formats and requirements of FAO and the provisions of the signed OPA. The BH will review and approve request for funds and financial reports of the OP. The subsequent instalments can be released only based on the BH confirmation that all expenditures are eligible and all OPA requirements are fulfilled to the satisfaction of FAO.  The BH will withhold any payment due to the OP in case of non-compliance with the reporting obligations detailed in the OPA. </w:t>
      </w:r>
    </w:p>
    <w:p w14:paraId="6C34A64D" w14:textId="77777777" w:rsidR="009563B4" w:rsidRPr="00322A75" w:rsidRDefault="009563B4" w:rsidP="008B01B1">
      <w:pPr>
        <w:jc w:val="both"/>
        <w:rPr>
          <w:rFonts w:asciiTheme="minorHAnsi" w:hAnsiTheme="minorHAnsi" w:cstheme="minorHAnsi"/>
          <w:sz w:val="21"/>
          <w:szCs w:val="21"/>
          <w:lang w:bidi="en-GB"/>
        </w:rPr>
      </w:pPr>
    </w:p>
    <w:p w14:paraId="3ADCBC4D" w14:textId="77777777" w:rsidR="009563B4" w:rsidRPr="00322A75" w:rsidRDefault="009563B4" w:rsidP="008B01B1">
      <w:pPr>
        <w:jc w:val="both"/>
        <w:rPr>
          <w:rFonts w:asciiTheme="minorHAnsi" w:hAnsiTheme="minorHAnsi" w:cstheme="minorHAnsi"/>
          <w:sz w:val="21"/>
          <w:szCs w:val="21"/>
          <w:lang w:bidi="en-GB"/>
        </w:rPr>
      </w:pPr>
      <w:r w:rsidRPr="00322A75">
        <w:rPr>
          <w:rFonts w:asciiTheme="minorHAnsi" w:hAnsiTheme="minorHAnsi" w:cstheme="minorHAnsi"/>
          <w:sz w:val="21"/>
          <w:szCs w:val="21"/>
          <w:lang w:bidi="en-GB"/>
        </w:rPr>
        <w:t xml:space="preserve">Financial reports for submission to the donor (GEF) will include both FAO- and OP-managed resources, will be prepared in accordance with the provisions in the GEF Financial Procedures Agreement and submitted by the FAO Finance Division. </w:t>
      </w:r>
    </w:p>
    <w:p w14:paraId="4130B834" w14:textId="77777777" w:rsidR="009563B4" w:rsidRPr="00322A75" w:rsidRDefault="009563B4" w:rsidP="008B01B1">
      <w:pPr>
        <w:jc w:val="both"/>
        <w:rPr>
          <w:rFonts w:asciiTheme="minorHAnsi" w:hAnsiTheme="minorHAnsi" w:cstheme="minorHAnsi"/>
          <w:sz w:val="21"/>
          <w:szCs w:val="21"/>
          <w:lang w:bidi="en-GB"/>
        </w:rPr>
      </w:pPr>
    </w:p>
    <w:p w14:paraId="051781C1" w14:textId="77777777" w:rsidR="009563B4" w:rsidRPr="00322A75" w:rsidRDefault="009563B4" w:rsidP="008B01B1">
      <w:pPr>
        <w:jc w:val="both"/>
        <w:rPr>
          <w:rFonts w:asciiTheme="minorHAnsi" w:hAnsiTheme="minorHAnsi" w:cstheme="minorHAnsi"/>
          <w:sz w:val="21"/>
          <w:szCs w:val="21"/>
          <w:lang w:bidi="en-GB"/>
        </w:rPr>
      </w:pPr>
      <w:r w:rsidRPr="00322A75">
        <w:rPr>
          <w:rFonts w:asciiTheme="minorHAnsi" w:hAnsiTheme="minorHAnsi" w:cstheme="minorHAnsi"/>
          <w:b/>
          <w:sz w:val="21"/>
          <w:szCs w:val="21"/>
          <w:lang w:bidi="en-GB"/>
        </w:rPr>
        <w:t>Responsibility for Cost Overruns.</w:t>
      </w:r>
      <w:r w:rsidRPr="00322A75">
        <w:rPr>
          <w:rFonts w:asciiTheme="minorHAnsi" w:hAnsiTheme="minorHAnsi" w:cstheme="minorHAnsi"/>
          <w:sz w:val="21"/>
          <w:szCs w:val="21"/>
          <w:lang w:bidi="en-GB"/>
        </w:rPr>
        <w:t xml:space="preserve"> As regards resources directly managed by FAO, the BH shall utilize the GEF project funds in strict compliance with the Project Budget (Appendix A2) and the approved AWP/Bs. The BH can make variations provided that the total allocated for each budgeted project component is not exceeded and the reallocation of funds does not impact the achievement of any project output as per the project Results Framework (Appendix A1). At least once a year, the BH will submit a budget revision for approval of the LTO and the FAO/GEF Coordination Unit through FPMIS. Cost overruns shall be the sole responsibility of the BH.</w:t>
      </w:r>
    </w:p>
    <w:p w14:paraId="71D97AF0" w14:textId="77777777" w:rsidR="009563B4" w:rsidRPr="00322A75" w:rsidRDefault="009563B4" w:rsidP="008B01B1">
      <w:pPr>
        <w:jc w:val="both"/>
        <w:rPr>
          <w:rFonts w:asciiTheme="minorHAnsi" w:hAnsiTheme="minorHAnsi" w:cstheme="minorHAnsi"/>
          <w:sz w:val="21"/>
          <w:szCs w:val="21"/>
          <w:lang w:bidi="en-GB"/>
        </w:rPr>
      </w:pPr>
    </w:p>
    <w:p w14:paraId="3F4E415F" w14:textId="77777777" w:rsidR="009563B4" w:rsidRPr="00322A75" w:rsidRDefault="009563B4" w:rsidP="008B01B1">
      <w:pPr>
        <w:jc w:val="both"/>
        <w:rPr>
          <w:rFonts w:asciiTheme="minorHAnsi" w:hAnsiTheme="minorHAnsi" w:cstheme="minorHAnsi"/>
          <w:sz w:val="21"/>
          <w:szCs w:val="21"/>
          <w:lang w:bidi="en-GB"/>
        </w:rPr>
      </w:pPr>
      <w:r w:rsidRPr="00322A75">
        <w:rPr>
          <w:rFonts w:asciiTheme="minorHAnsi" w:hAnsiTheme="minorHAnsi" w:cstheme="minorHAnsi"/>
          <w:sz w:val="21"/>
          <w:szCs w:val="21"/>
          <w:lang w:bidi="en-GB"/>
        </w:rPr>
        <w:t>As regards resources managed by the OP, the OP shall utilize the funds received from FAO in strict compliance with provisions of the signed OPA and its Annexes, including approved work plan and budget. The OP can make variations not exceeding 10 percent on any budget heading. Any variations above 10 percent on any budget heading that may be necessary will be subject to prior consultations with and approval by FAO.</w:t>
      </w:r>
    </w:p>
    <w:p w14:paraId="382EC0D7" w14:textId="77777777" w:rsidR="009563B4" w:rsidRPr="00322A75" w:rsidRDefault="009563B4" w:rsidP="008B01B1">
      <w:pPr>
        <w:jc w:val="both"/>
        <w:rPr>
          <w:rFonts w:asciiTheme="minorHAnsi" w:hAnsiTheme="minorHAnsi" w:cstheme="minorHAnsi"/>
          <w:sz w:val="21"/>
          <w:szCs w:val="21"/>
          <w:lang w:bidi="en-GB"/>
        </w:rPr>
      </w:pPr>
    </w:p>
    <w:p w14:paraId="74A8BE16" w14:textId="77777777" w:rsidR="009563B4" w:rsidRPr="00322A75" w:rsidRDefault="009563B4" w:rsidP="008B01B1">
      <w:pPr>
        <w:jc w:val="both"/>
        <w:rPr>
          <w:rFonts w:asciiTheme="minorHAnsi" w:hAnsiTheme="minorHAnsi" w:cstheme="minorHAnsi"/>
          <w:sz w:val="21"/>
          <w:szCs w:val="21"/>
          <w:lang w:bidi="en-GB"/>
        </w:rPr>
      </w:pPr>
      <w:r w:rsidRPr="00322A75">
        <w:rPr>
          <w:rFonts w:asciiTheme="minorHAnsi" w:hAnsiTheme="minorHAnsi" w:cstheme="minorHAnsi"/>
          <w:sz w:val="21"/>
          <w:szCs w:val="21"/>
          <w:lang w:bidi="en-GB"/>
        </w:rPr>
        <w:t>Under no circumstances can expenditures exceed the approved total project budget or be approved beyond the NTE date of the OPA and/or the project. Any over-expenditure is the responsibility of the BH.</w:t>
      </w:r>
    </w:p>
    <w:p w14:paraId="089144DC" w14:textId="77777777" w:rsidR="009563B4" w:rsidRPr="00322A75" w:rsidRDefault="009563B4" w:rsidP="008B01B1">
      <w:pPr>
        <w:jc w:val="both"/>
        <w:rPr>
          <w:rFonts w:asciiTheme="minorHAnsi" w:hAnsiTheme="minorHAnsi" w:cstheme="minorHAnsi"/>
          <w:sz w:val="21"/>
          <w:szCs w:val="21"/>
          <w:lang w:bidi="en-GB"/>
        </w:rPr>
      </w:pPr>
      <w:r w:rsidRPr="00322A75">
        <w:rPr>
          <w:rFonts w:asciiTheme="minorHAnsi" w:hAnsiTheme="minorHAnsi" w:cstheme="minorHAnsi"/>
          <w:sz w:val="21"/>
          <w:szCs w:val="21"/>
          <w:lang w:bidi="en-GB"/>
        </w:rPr>
        <w:t xml:space="preserve">Audit. The project shall be subject to the internal and external auditing procedures provided for in FAO financial regulations, rules and directives and in keeping with the Financial Procedures Agreement between the GEF Trustee and FAO. </w:t>
      </w:r>
    </w:p>
    <w:p w14:paraId="480B70EE" w14:textId="77777777" w:rsidR="009563B4" w:rsidRPr="00322A75" w:rsidRDefault="009563B4" w:rsidP="008B01B1">
      <w:pPr>
        <w:jc w:val="both"/>
        <w:rPr>
          <w:rFonts w:asciiTheme="minorHAnsi" w:hAnsiTheme="minorHAnsi" w:cstheme="minorHAnsi"/>
          <w:sz w:val="21"/>
          <w:szCs w:val="21"/>
          <w:lang w:bidi="en-GB"/>
        </w:rPr>
      </w:pPr>
    </w:p>
    <w:p w14:paraId="79F83F76" w14:textId="77777777" w:rsidR="009563B4" w:rsidRPr="00322A75" w:rsidRDefault="009563B4" w:rsidP="008B01B1">
      <w:pPr>
        <w:jc w:val="both"/>
        <w:rPr>
          <w:rFonts w:asciiTheme="minorHAnsi" w:hAnsiTheme="minorHAnsi" w:cstheme="minorHAnsi"/>
          <w:sz w:val="21"/>
          <w:szCs w:val="21"/>
          <w:lang w:bidi="en-GB"/>
        </w:rPr>
      </w:pPr>
      <w:r w:rsidRPr="00322A75">
        <w:rPr>
          <w:rFonts w:asciiTheme="minorHAnsi" w:hAnsiTheme="minorHAnsi" w:cstheme="minorHAnsi"/>
          <w:b/>
          <w:sz w:val="21"/>
          <w:szCs w:val="21"/>
          <w:lang w:bidi="en-GB"/>
        </w:rPr>
        <w:t>The audit regime at FAO</w:t>
      </w:r>
      <w:r w:rsidRPr="00322A75">
        <w:rPr>
          <w:rFonts w:asciiTheme="minorHAnsi" w:hAnsiTheme="minorHAnsi" w:cstheme="minorHAnsi"/>
          <w:sz w:val="21"/>
          <w:szCs w:val="21"/>
          <w:lang w:bidi="en-GB"/>
        </w:rPr>
        <w:t xml:space="preserve"> consists of an external audit provided by the Auditor-General (or persons exercising an equivalent function) of a member nation appointed by the Governing Bodies of the Organization and reporting directly to them, and an internal audit function headed by the FAO Inspector-General who reports directly to the Director-General. This function operates as an integral part of the Organization under policies established by senior management, and furthermore has a reporting line to the governing bodies. Both functions are required under the Basic Texts of FAO which establish a framework for the terms of reference of each. Internal audits of imprest accounts, records, bank reconciliation and asset verification take place at FAO field and liaison offices on a cyclical basis. Specific provision for auditing the OP managed funds are included in the signed Operational Partners Agreement (OPA). During implementation, assurance activities are organized by FAO to determine whether the progress has been made and whether funds transferred to Operational Partners were used for their intended purpose, in accordance with the work plan and relevant rules and regulations. This may include, but is not limited to, monitoring missions, spot checks, quarterly progress and annual implementation reviews, and audits on the resources received from FAO.</w:t>
      </w:r>
    </w:p>
    <w:p w14:paraId="43A78C60" w14:textId="77777777" w:rsidR="009563B4" w:rsidRPr="00CE1EA7" w:rsidRDefault="009563B4" w:rsidP="009563B4">
      <w:pPr>
        <w:rPr>
          <w:lang w:bidi="en-GB"/>
        </w:rPr>
      </w:pPr>
    </w:p>
    <w:p w14:paraId="0DC1181E" w14:textId="72485AB8" w:rsidR="009563B4" w:rsidRPr="00322A75" w:rsidRDefault="009563B4" w:rsidP="00322A75">
      <w:pPr>
        <w:jc w:val="both"/>
        <w:rPr>
          <w:rFonts w:asciiTheme="minorHAnsi" w:hAnsiTheme="minorHAnsi" w:cstheme="minorHAnsi"/>
          <w:sz w:val="21"/>
          <w:szCs w:val="21"/>
          <w:lang w:bidi="en-GB"/>
        </w:rPr>
      </w:pPr>
      <w:r w:rsidRPr="00322A75">
        <w:rPr>
          <w:rFonts w:asciiTheme="minorHAnsi" w:hAnsiTheme="minorHAnsi" w:cstheme="minorHAnsi"/>
          <w:b/>
          <w:sz w:val="21"/>
          <w:szCs w:val="21"/>
          <w:lang w:bidi="en-GB"/>
        </w:rPr>
        <w:t>Procurement</w:t>
      </w:r>
      <w:r w:rsidRPr="00322A75">
        <w:rPr>
          <w:rFonts w:asciiTheme="minorHAnsi" w:hAnsiTheme="minorHAnsi" w:cstheme="minorHAnsi"/>
          <w:sz w:val="21"/>
          <w:szCs w:val="21"/>
          <w:lang w:bidi="en-GB"/>
        </w:rPr>
        <w:t>. Careful procurement planning is necessary for securing goods, services and works in a timely manner, on a “Best Value for Money” basis. It requires analysis of needs and constraints, including forecast of the reasonable timeframe required to e</w:t>
      </w:r>
      <w:r w:rsidR="009E3E53" w:rsidRPr="00322A75">
        <w:rPr>
          <w:rFonts w:asciiTheme="minorHAnsi" w:hAnsiTheme="minorHAnsi" w:cstheme="minorHAnsi"/>
          <w:sz w:val="21"/>
          <w:szCs w:val="21"/>
          <w:lang w:bidi="en-GB"/>
        </w:rPr>
        <w:t>xecute the procurement process.</w:t>
      </w:r>
      <w:r w:rsidRPr="00322A75">
        <w:rPr>
          <w:rFonts w:asciiTheme="minorHAnsi" w:hAnsiTheme="minorHAnsi" w:cstheme="minorHAnsi"/>
          <w:sz w:val="21"/>
          <w:szCs w:val="21"/>
          <w:lang w:bidi="en-GB"/>
        </w:rPr>
        <w:t xml:space="preserve"> Procurement and delivery of inputs in technical cooperation projects will follow FAO’s rules and regulations for the procurement of supplies, equipment and services (i.e. Manual Sections 502 and 507). Manual Section 502: “Procurement of Goods, Works and Services” establishes the principles and procedures that apply to procurement of all goods, works and services on behalf of the Organization, in all offices and in all locations, with the exception of the </w:t>
      </w:r>
      <w:r w:rsidRPr="00322A75">
        <w:rPr>
          <w:rFonts w:asciiTheme="minorHAnsi" w:hAnsiTheme="minorHAnsi" w:cstheme="minorHAnsi"/>
          <w:sz w:val="21"/>
          <w:szCs w:val="21"/>
          <w:lang w:bidi="en-GB"/>
        </w:rPr>
        <w:lastRenderedPageBreak/>
        <w:t>procurement actions described in Procurement Not Governed by Manual Section 502. Manual Section 507 establishes the principles and rules that govern the use of Letters of Agreement (LoA) by FAO for the timely acquisition of services from eligible entities in a transparent and impartial manner, taking into consideration economy and efficiency to achieve an optimum combination of expected whole life costs and benefits. As per the guidance in FAO’s Project Cycle Guide, the BH will draw up an annual procurement plan for major items, which will be the basis of requests for procurement actions during implementation. The first procurement plan will be prepared at the time of project start-up, if not sooner, in close consultation with the NPC and LTO. The plan will include a description of the goods, works, or services to be procured, estimated budget and source of funding, schedule of procurement activities and proposed method of procurement. In situations where exact information is not yet available, the procurement plan should at least contain reasonable projections that will be corrected as information becomes available.</w:t>
      </w:r>
    </w:p>
    <w:p w14:paraId="15452B08" w14:textId="77777777" w:rsidR="009E3E53" w:rsidRPr="00322A75" w:rsidRDefault="009E3E53" w:rsidP="00322A75">
      <w:pPr>
        <w:jc w:val="both"/>
        <w:rPr>
          <w:rFonts w:asciiTheme="minorHAnsi" w:hAnsiTheme="minorHAnsi" w:cstheme="minorHAnsi"/>
          <w:sz w:val="21"/>
          <w:szCs w:val="21"/>
          <w:lang w:bidi="en-GB"/>
        </w:rPr>
      </w:pPr>
    </w:p>
    <w:p w14:paraId="4305C06F" w14:textId="48070A35" w:rsidR="009563B4" w:rsidRPr="00322A75" w:rsidRDefault="009563B4" w:rsidP="00322A75">
      <w:pPr>
        <w:jc w:val="both"/>
        <w:rPr>
          <w:rFonts w:asciiTheme="minorHAnsi" w:hAnsiTheme="minorHAnsi" w:cstheme="minorHAnsi"/>
          <w:sz w:val="21"/>
          <w:szCs w:val="21"/>
          <w:lang w:bidi="en-GB"/>
        </w:rPr>
      </w:pPr>
      <w:r w:rsidRPr="00322A75">
        <w:rPr>
          <w:rFonts w:asciiTheme="minorHAnsi" w:hAnsiTheme="minorHAnsi" w:cstheme="minorHAnsi"/>
          <w:sz w:val="21"/>
          <w:szCs w:val="21"/>
          <w:lang w:bidi="en-GB"/>
        </w:rPr>
        <w:t>Procurement will follow OP rules and regulations for the procurement of supplies, equipment and services. The OP will draw up a procurement plan as part of the supporting documentation to each request for funds submitted to FAO. The plan will include a description of the goods, works, or services to be procured, estimated budget and source of funding, schedule of procurement activities and proposed method of procurement. In situations where exact information is not yet available, the procurement plan should at least contain reasonable projections that will be corrected as information becomes available.</w:t>
      </w:r>
    </w:p>
    <w:p w14:paraId="4EB42D8D" w14:textId="77777777" w:rsidR="009563B4" w:rsidRPr="00322A75" w:rsidRDefault="009563B4" w:rsidP="00322A75">
      <w:pPr>
        <w:jc w:val="both"/>
        <w:rPr>
          <w:rFonts w:asciiTheme="minorHAnsi" w:hAnsiTheme="minorHAnsi" w:cstheme="minorHAnsi"/>
          <w:sz w:val="21"/>
          <w:szCs w:val="21"/>
          <w:lang w:bidi="en-GB"/>
        </w:rPr>
      </w:pPr>
    </w:p>
    <w:p w14:paraId="71446225" w14:textId="77777777" w:rsidR="009563B4" w:rsidRPr="00322A75" w:rsidRDefault="009563B4" w:rsidP="00322A75">
      <w:pPr>
        <w:jc w:val="both"/>
        <w:rPr>
          <w:rFonts w:asciiTheme="minorHAnsi" w:hAnsiTheme="minorHAnsi" w:cstheme="minorHAnsi"/>
          <w:sz w:val="21"/>
          <w:szCs w:val="21"/>
          <w:lang w:bidi="en-GB"/>
        </w:rPr>
      </w:pPr>
      <w:r w:rsidRPr="00322A75">
        <w:rPr>
          <w:rFonts w:asciiTheme="minorHAnsi" w:hAnsiTheme="minorHAnsi" w:cstheme="minorHAnsi"/>
          <w:sz w:val="21"/>
          <w:szCs w:val="21"/>
          <w:lang w:bidi="en-GB"/>
        </w:rPr>
        <w:t>The procurement plan shall be updated every quarter and submitted to FAO BH and LTO for clearance.</w:t>
      </w:r>
    </w:p>
    <w:p w14:paraId="6776232B" w14:textId="77777777" w:rsidR="009563B4" w:rsidRPr="00322A75" w:rsidRDefault="009563B4" w:rsidP="00322A75">
      <w:pPr>
        <w:spacing w:after="160" w:line="259" w:lineRule="auto"/>
        <w:jc w:val="both"/>
        <w:rPr>
          <w:rFonts w:asciiTheme="minorHAnsi" w:hAnsiTheme="minorHAnsi" w:cstheme="minorHAnsi"/>
          <w:sz w:val="21"/>
          <w:szCs w:val="21"/>
          <w:lang w:bidi="en-GB"/>
        </w:rPr>
      </w:pPr>
      <w:r w:rsidRPr="00322A75">
        <w:rPr>
          <w:rFonts w:asciiTheme="minorHAnsi" w:hAnsiTheme="minorHAnsi" w:cstheme="minorHAnsi"/>
          <w:sz w:val="21"/>
          <w:szCs w:val="21"/>
          <w:lang w:bidi="en-GB"/>
        </w:rPr>
        <w:br w:type="page"/>
      </w:r>
    </w:p>
    <w:p w14:paraId="637005C6" w14:textId="77777777" w:rsidR="009563B4" w:rsidRPr="008B01B1" w:rsidRDefault="009563B4" w:rsidP="008B01B1">
      <w:pPr>
        <w:pStyle w:val="Heading2"/>
        <w:rPr>
          <w:rStyle w:val="Strong"/>
          <w:rFonts w:eastAsia="SimSun"/>
          <w:b/>
          <w:lang w:val="en-US"/>
        </w:rPr>
      </w:pPr>
      <w:bookmarkStart w:id="470" w:name="_Toc10550574"/>
      <w:bookmarkStart w:id="471" w:name="_Toc10550662"/>
      <w:bookmarkStart w:id="472" w:name="_Toc10553005"/>
      <w:bookmarkStart w:id="473" w:name="_Toc10554552"/>
      <w:bookmarkStart w:id="474" w:name="_Toc10554620"/>
      <w:bookmarkStart w:id="475" w:name="_Toc12612970"/>
      <w:bookmarkStart w:id="476" w:name="_Ref20760148"/>
      <w:bookmarkStart w:id="477" w:name="_Toc42027180"/>
      <w:bookmarkStart w:id="478" w:name="_Toc42262688"/>
      <w:bookmarkStart w:id="479" w:name="_Toc58398617"/>
      <w:r w:rsidRPr="00D4185B">
        <w:rPr>
          <w:rStyle w:val="Strong"/>
          <w:b/>
          <w:bCs/>
          <w:lang w:val="en-US"/>
        </w:rPr>
        <w:lastRenderedPageBreak/>
        <w:t>Annex L:</w:t>
      </w:r>
      <w:r w:rsidRPr="00D4185B">
        <w:rPr>
          <w:rStyle w:val="Strong"/>
          <w:lang w:val="en-US"/>
        </w:rPr>
        <w:t xml:space="preserve"> </w:t>
      </w:r>
      <w:r w:rsidRPr="008B01B1">
        <w:rPr>
          <w:rStyle w:val="Strong"/>
          <w:b/>
          <w:bCs/>
          <w:lang w:val="en-US"/>
        </w:rPr>
        <w:t>FAO and Government Obligations</w:t>
      </w:r>
      <w:bookmarkEnd w:id="470"/>
      <w:bookmarkEnd w:id="471"/>
      <w:bookmarkEnd w:id="472"/>
      <w:bookmarkEnd w:id="473"/>
      <w:bookmarkEnd w:id="474"/>
      <w:bookmarkEnd w:id="475"/>
      <w:bookmarkEnd w:id="476"/>
      <w:bookmarkEnd w:id="477"/>
      <w:bookmarkEnd w:id="478"/>
      <w:bookmarkEnd w:id="479"/>
    </w:p>
    <w:p w14:paraId="4A555582" w14:textId="77777777" w:rsidR="009563B4" w:rsidRPr="00E9131D" w:rsidRDefault="009563B4" w:rsidP="00E9131D">
      <w:pPr>
        <w:pStyle w:val="Heading4"/>
        <w:jc w:val="both"/>
        <w:rPr>
          <w:rFonts w:asciiTheme="minorHAnsi" w:hAnsiTheme="minorHAnsi" w:cstheme="minorHAnsi"/>
          <w:sz w:val="21"/>
          <w:szCs w:val="21"/>
        </w:rPr>
      </w:pPr>
      <w:bookmarkStart w:id="480" w:name="_Toc42027181"/>
      <w:bookmarkStart w:id="481" w:name="_Toc42262689"/>
      <w:r w:rsidRPr="00E9131D">
        <w:rPr>
          <w:rFonts w:asciiTheme="minorHAnsi" w:hAnsiTheme="minorHAnsi" w:cstheme="minorHAnsi"/>
          <w:sz w:val="21"/>
          <w:szCs w:val="21"/>
        </w:rPr>
        <w:t>FAO Obligations</w:t>
      </w:r>
      <w:bookmarkEnd w:id="480"/>
      <w:bookmarkEnd w:id="481"/>
    </w:p>
    <w:p w14:paraId="46BE2847" w14:textId="77777777" w:rsidR="009563B4" w:rsidRPr="00E9131D" w:rsidRDefault="009563B4" w:rsidP="00E9131D">
      <w:pPr>
        <w:jc w:val="both"/>
        <w:rPr>
          <w:rFonts w:asciiTheme="minorHAnsi" w:hAnsiTheme="minorHAnsi" w:cstheme="minorHAnsi"/>
          <w:sz w:val="21"/>
          <w:szCs w:val="21"/>
        </w:rPr>
      </w:pPr>
      <w:r w:rsidRPr="00E9131D">
        <w:rPr>
          <w:rFonts w:asciiTheme="minorHAnsi" w:hAnsiTheme="minorHAnsi" w:cstheme="minorHAnsi"/>
          <w:sz w:val="21"/>
          <w:szCs w:val="21"/>
        </w:rPr>
        <w:t>FAO will be responsible for the provision, with due diligence and efficiency, of assistance as provided in the Project Document. FAO and the Government will consult closely with respect to all aspects of the Project.</w:t>
      </w:r>
    </w:p>
    <w:p w14:paraId="081C13A6" w14:textId="77777777" w:rsidR="009563B4" w:rsidRPr="00E9131D" w:rsidRDefault="009563B4" w:rsidP="00E9131D">
      <w:pPr>
        <w:jc w:val="both"/>
        <w:rPr>
          <w:rFonts w:asciiTheme="minorHAnsi" w:hAnsiTheme="minorHAnsi" w:cstheme="minorHAnsi"/>
          <w:sz w:val="21"/>
          <w:szCs w:val="21"/>
        </w:rPr>
      </w:pPr>
    </w:p>
    <w:p w14:paraId="382A7157" w14:textId="77777777" w:rsidR="009563B4" w:rsidRPr="00E9131D" w:rsidRDefault="009563B4" w:rsidP="00E9131D">
      <w:pPr>
        <w:jc w:val="both"/>
        <w:rPr>
          <w:rFonts w:asciiTheme="minorHAnsi" w:hAnsiTheme="minorHAnsi" w:cstheme="minorHAnsi"/>
          <w:sz w:val="21"/>
          <w:szCs w:val="21"/>
        </w:rPr>
      </w:pPr>
      <w:r w:rsidRPr="00E9131D">
        <w:rPr>
          <w:rFonts w:asciiTheme="minorHAnsi" w:hAnsiTheme="minorHAnsi" w:cstheme="minorHAnsi"/>
          <w:sz w:val="21"/>
          <w:szCs w:val="21"/>
        </w:rPr>
        <w:t>Assistance under the Project will be made available to the Government, or to such entity as provided in the Project, and will be furnished and received (i) in accordance with relevant decisions of the Governing Bodies of FAO, and with its constitutional and budgetary provisions, and (ii) subject to the receipt by FAO of the necessary contribution from the Resource Partner. FAO will disburse the funds received from the Resource Partner in accordance with its regulations, rules and policies. All financial accounts and statements will be expressed in United States Dollars and will be subject exclusively to the internal and external auditing procedures laid down in the financial regulations, rules and directives of FAO.</w:t>
      </w:r>
    </w:p>
    <w:p w14:paraId="4F4AEC9F" w14:textId="77777777" w:rsidR="009563B4" w:rsidRPr="00E9131D" w:rsidRDefault="009563B4" w:rsidP="00E9131D">
      <w:pPr>
        <w:jc w:val="both"/>
        <w:rPr>
          <w:rFonts w:asciiTheme="minorHAnsi" w:hAnsiTheme="minorHAnsi" w:cstheme="minorHAnsi"/>
          <w:sz w:val="21"/>
          <w:szCs w:val="21"/>
        </w:rPr>
      </w:pPr>
    </w:p>
    <w:p w14:paraId="08647DAF" w14:textId="77777777" w:rsidR="009563B4" w:rsidRPr="00E9131D" w:rsidRDefault="009563B4" w:rsidP="00E9131D">
      <w:pPr>
        <w:jc w:val="both"/>
        <w:rPr>
          <w:rFonts w:asciiTheme="minorHAnsi" w:hAnsiTheme="minorHAnsi" w:cstheme="minorHAnsi"/>
          <w:sz w:val="21"/>
          <w:szCs w:val="21"/>
        </w:rPr>
      </w:pPr>
      <w:r w:rsidRPr="00E9131D">
        <w:rPr>
          <w:rFonts w:asciiTheme="minorHAnsi" w:hAnsiTheme="minorHAnsi" w:cstheme="minorHAnsi"/>
          <w:sz w:val="21"/>
          <w:szCs w:val="21"/>
        </w:rPr>
        <w:t>FAO’s responsibilities regarding financial management and execution of the Project will be as stipulated in the Project Document. FAO may, in consultation with the Government, implement Project components through partners identified in accordance with FAO procedures. Such partners will have primary responsibility for delivering specific project outputs and activities to the Project in accordance with the partner’s rules and regulations, and subject to monitoring and oversight, including audit, by FAO.</w:t>
      </w:r>
    </w:p>
    <w:p w14:paraId="123667F6" w14:textId="77777777" w:rsidR="009563B4" w:rsidRPr="00E9131D" w:rsidRDefault="009563B4" w:rsidP="00E9131D">
      <w:pPr>
        <w:jc w:val="both"/>
        <w:rPr>
          <w:rFonts w:asciiTheme="minorHAnsi" w:hAnsiTheme="minorHAnsi" w:cstheme="minorHAnsi"/>
          <w:sz w:val="21"/>
          <w:szCs w:val="21"/>
        </w:rPr>
      </w:pPr>
    </w:p>
    <w:p w14:paraId="4C3F037C" w14:textId="77777777" w:rsidR="009563B4" w:rsidRPr="00E9131D" w:rsidRDefault="009563B4" w:rsidP="00E9131D">
      <w:pPr>
        <w:jc w:val="both"/>
        <w:rPr>
          <w:rFonts w:asciiTheme="minorHAnsi" w:hAnsiTheme="minorHAnsi" w:cstheme="minorHAnsi"/>
          <w:sz w:val="21"/>
          <w:szCs w:val="21"/>
        </w:rPr>
      </w:pPr>
      <w:r w:rsidRPr="00E9131D">
        <w:rPr>
          <w:rFonts w:asciiTheme="minorHAnsi" w:hAnsiTheme="minorHAnsi" w:cstheme="minorHAnsi"/>
          <w:sz w:val="21"/>
          <w:szCs w:val="21"/>
        </w:rPr>
        <w:t xml:space="preserve">Assistance under the Project provided directly by FAO, including technical assistance services and/or oversight and monitoring services, will be carried out in accordance with FAO regulations, rules and policies, including on recruitment, travel, salaries, and emoluments of national and international personnel recruited by FAO, procurement of services, supplies and equipment, and subcontracting. The candidacies of senior international technical staff for recruitment by FAO will be submitted to the Government for clearance following FAO procedures. </w:t>
      </w:r>
    </w:p>
    <w:p w14:paraId="287591F3" w14:textId="77777777" w:rsidR="009563B4" w:rsidRPr="00E9131D" w:rsidRDefault="009563B4" w:rsidP="00E9131D">
      <w:pPr>
        <w:jc w:val="both"/>
        <w:rPr>
          <w:rFonts w:asciiTheme="minorHAnsi" w:hAnsiTheme="minorHAnsi" w:cstheme="minorHAnsi"/>
          <w:sz w:val="21"/>
          <w:szCs w:val="21"/>
        </w:rPr>
      </w:pPr>
    </w:p>
    <w:p w14:paraId="416CF251" w14:textId="77777777" w:rsidR="009563B4" w:rsidRPr="00E9131D" w:rsidRDefault="009563B4" w:rsidP="00E9131D">
      <w:pPr>
        <w:jc w:val="both"/>
        <w:rPr>
          <w:rFonts w:asciiTheme="minorHAnsi" w:hAnsiTheme="minorHAnsi" w:cstheme="minorHAnsi"/>
          <w:sz w:val="21"/>
          <w:szCs w:val="21"/>
        </w:rPr>
      </w:pPr>
      <w:r w:rsidRPr="00E9131D">
        <w:rPr>
          <w:rFonts w:asciiTheme="minorHAnsi" w:hAnsiTheme="minorHAnsi" w:cstheme="minorHAnsi"/>
          <w:sz w:val="21"/>
          <w:szCs w:val="21"/>
        </w:rPr>
        <w:t xml:space="preserve">Equipment procured by FAO will remain the property of FAO for the duration of the Project. The Government will provide safe custody of such equipment, which is entrusted to it prior to the end of the Project. The ultimate destination of equipment procured under this Project will be decided by FAO in consultation with the Government and the Resource Partner.  </w:t>
      </w:r>
    </w:p>
    <w:p w14:paraId="0B98DB81" w14:textId="77777777" w:rsidR="009563B4" w:rsidRPr="00E9131D" w:rsidRDefault="009563B4" w:rsidP="00E9131D">
      <w:pPr>
        <w:pStyle w:val="Heading4"/>
        <w:jc w:val="both"/>
        <w:rPr>
          <w:rFonts w:asciiTheme="minorHAnsi" w:hAnsiTheme="minorHAnsi" w:cstheme="minorHAnsi"/>
          <w:sz w:val="21"/>
          <w:szCs w:val="21"/>
        </w:rPr>
      </w:pPr>
      <w:bookmarkStart w:id="482" w:name="_Toc42027182"/>
      <w:bookmarkStart w:id="483" w:name="_Toc42262690"/>
      <w:r w:rsidRPr="00E9131D">
        <w:rPr>
          <w:rFonts w:asciiTheme="minorHAnsi" w:hAnsiTheme="minorHAnsi" w:cstheme="minorHAnsi"/>
          <w:sz w:val="21"/>
          <w:szCs w:val="21"/>
        </w:rPr>
        <w:t>Government Obligations</w:t>
      </w:r>
      <w:bookmarkEnd w:id="482"/>
      <w:bookmarkEnd w:id="483"/>
    </w:p>
    <w:p w14:paraId="0229A1AF" w14:textId="77777777" w:rsidR="009563B4" w:rsidRPr="00E9131D" w:rsidRDefault="009563B4" w:rsidP="00E9131D">
      <w:pPr>
        <w:jc w:val="both"/>
        <w:rPr>
          <w:rFonts w:asciiTheme="minorHAnsi" w:hAnsiTheme="minorHAnsi" w:cstheme="minorHAnsi"/>
          <w:sz w:val="21"/>
          <w:szCs w:val="21"/>
        </w:rPr>
      </w:pPr>
      <w:r w:rsidRPr="00E9131D">
        <w:rPr>
          <w:rFonts w:asciiTheme="minorHAnsi" w:hAnsiTheme="minorHAnsi" w:cstheme="minorHAnsi"/>
          <w:sz w:val="21"/>
          <w:szCs w:val="21"/>
        </w:rPr>
        <w:t>With a view to the rapid and efficient execution of the Project, the Government shall grant to FAO, its staff, and all other persons performing services on behalf of FAO, the necessary facilities including:</w:t>
      </w:r>
    </w:p>
    <w:p w14:paraId="122C646F" w14:textId="77777777" w:rsidR="009563B4" w:rsidRPr="00E9131D" w:rsidRDefault="009563B4" w:rsidP="00E9131D">
      <w:pPr>
        <w:tabs>
          <w:tab w:val="left" w:pos="851"/>
          <w:tab w:val="left" w:pos="1440"/>
          <w:tab w:val="left" w:pos="1638"/>
          <w:tab w:val="left" w:pos="2160"/>
          <w:tab w:val="left" w:pos="6480"/>
          <w:tab w:val="left" w:pos="9360"/>
        </w:tabs>
        <w:spacing w:after="60"/>
        <w:ind w:left="850" w:hanging="562"/>
        <w:jc w:val="both"/>
        <w:rPr>
          <w:rFonts w:asciiTheme="minorHAnsi" w:hAnsiTheme="minorHAnsi" w:cstheme="minorHAnsi"/>
          <w:sz w:val="21"/>
          <w:szCs w:val="21"/>
        </w:rPr>
      </w:pPr>
      <w:r w:rsidRPr="00E9131D">
        <w:rPr>
          <w:rFonts w:asciiTheme="minorHAnsi" w:hAnsiTheme="minorHAnsi" w:cstheme="minorHAnsi"/>
          <w:sz w:val="21"/>
          <w:szCs w:val="21"/>
        </w:rPr>
        <w:t>i)</w:t>
      </w:r>
      <w:r w:rsidRPr="00E9131D">
        <w:rPr>
          <w:rFonts w:asciiTheme="minorHAnsi" w:hAnsiTheme="minorHAnsi" w:cstheme="minorHAnsi"/>
          <w:sz w:val="21"/>
          <w:szCs w:val="21"/>
        </w:rPr>
        <w:tab/>
        <w:t>the prompt issuance, free of charge, of any visas or permits required;</w:t>
      </w:r>
    </w:p>
    <w:p w14:paraId="4C15B019" w14:textId="77777777" w:rsidR="009563B4" w:rsidRPr="00E9131D" w:rsidRDefault="009563B4" w:rsidP="00E9131D">
      <w:pPr>
        <w:tabs>
          <w:tab w:val="left" w:pos="851"/>
          <w:tab w:val="left" w:pos="1440"/>
          <w:tab w:val="left" w:pos="1638"/>
          <w:tab w:val="left" w:pos="2160"/>
          <w:tab w:val="left" w:pos="6480"/>
          <w:tab w:val="left" w:pos="9360"/>
        </w:tabs>
        <w:spacing w:after="60"/>
        <w:ind w:left="850" w:hanging="562"/>
        <w:jc w:val="both"/>
        <w:rPr>
          <w:rFonts w:asciiTheme="minorHAnsi" w:hAnsiTheme="minorHAnsi" w:cstheme="minorHAnsi"/>
          <w:sz w:val="21"/>
          <w:szCs w:val="21"/>
        </w:rPr>
      </w:pPr>
      <w:r w:rsidRPr="00E9131D">
        <w:rPr>
          <w:rFonts w:asciiTheme="minorHAnsi" w:hAnsiTheme="minorHAnsi" w:cstheme="minorHAnsi"/>
          <w:sz w:val="21"/>
          <w:szCs w:val="21"/>
        </w:rPr>
        <w:t>ii)</w:t>
      </w:r>
      <w:r w:rsidRPr="00E9131D">
        <w:rPr>
          <w:rFonts w:asciiTheme="minorHAnsi" w:hAnsiTheme="minorHAnsi" w:cstheme="minorHAnsi"/>
          <w:sz w:val="21"/>
          <w:szCs w:val="21"/>
        </w:rPr>
        <w:tab/>
        <w:t>any permits necessary for the importation and, where appropriate, the subsequent exportation, of equipment, materials and supplies required for use in connection with the Project and exemption from the payment of all customs duties or other levies or charges relating to such importation or exportation;</w:t>
      </w:r>
    </w:p>
    <w:p w14:paraId="77117B48" w14:textId="77777777" w:rsidR="009563B4" w:rsidRPr="00E9131D" w:rsidRDefault="009563B4" w:rsidP="00E9131D">
      <w:pPr>
        <w:tabs>
          <w:tab w:val="left" w:pos="851"/>
          <w:tab w:val="left" w:pos="1440"/>
          <w:tab w:val="left" w:pos="1638"/>
          <w:tab w:val="left" w:pos="2160"/>
          <w:tab w:val="left" w:pos="6480"/>
          <w:tab w:val="left" w:pos="9360"/>
        </w:tabs>
        <w:spacing w:after="60"/>
        <w:ind w:left="850" w:hanging="562"/>
        <w:jc w:val="both"/>
        <w:rPr>
          <w:rFonts w:asciiTheme="minorHAnsi" w:hAnsiTheme="minorHAnsi" w:cstheme="minorHAnsi"/>
          <w:sz w:val="21"/>
          <w:szCs w:val="21"/>
        </w:rPr>
      </w:pPr>
      <w:r w:rsidRPr="00E9131D">
        <w:rPr>
          <w:rFonts w:asciiTheme="minorHAnsi" w:hAnsiTheme="minorHAnsi" w:cstheme="minorHAnsi"/>
          <w:sz w:val="21"/>
          <w:szCs w:val="21"/>
        </w:rPr>
        <w:t>iii)</w:t>
      </w:r>
      <w:r w:rsidRPr="00E9131D">
        <w:rPr>
          <w:rFonts w:asciiTheme="minorHAnsi" w:hAnsiTheme="minorHAnsi" w:cstheme="minorHAnsi"/>
          <w:sz w:val="21"/>
          <w:szCs w:val="21"/>
        </w:rPr>
        <w:tab/>
        <w:t>exemption from the payment of any sales or other tax on local purchases of equipment, materials and supplies for use in connection with the project;</w:t>
      </w:r>
    </w:p>
    <w:p w14:paraId="74B36EF1" w14:textId="77777777" w:rsidR="009563B4" w:rsidRPr="00E9131D" w:rsidRDefault="009563B4" w:rsidP="00E9131D">
      <w:pPr>
        <w:tabs>
          <w:tab w:val="left" w:pos="851"/>
          <w:tab w:val="left" w:pos="1440"/>
          <w:tab w:val="left" w:pos="1638"/>
          <w:tab w:val="left" w:pos="2160"/>
          <w:tab w:val="left" w:pos="6480"/>
          <w:tab w:val="left" w:pos="9360"/>
        </w:tabs>
        <w:spacing w:after="60"/>
        <w:ind w:left="850" w:hanging="562"/>
        <w:jc w:val="both"/>
        <w:rPr>
          <w:rFonts w:asciiTheme="minorHAnsi" w:hAnsiTheme="minorHAnsi" w:cstheme="minorHAnsi"/>
          <w:sz w:val="21"/>
          <w:szCs w:val="21"/>
        </w:rPr>
      </w:pPr>
      <w:r w:rsidRPr="00E9131D">
        <w:rPr>
          <w:rFonts w:asciiTheme="minorHAnsi" w:hAnsiTheme="minorHAnsi" w:cstheme="minorHAnsi"/>
          <w:sz w:val="21"/>
          <w:szCs w:val="21"/>
        </w:rPr>
        <w:t>iv)</w:t>
      </w:r>
      <w:r w:rsidRPr="00E9131D">
        <w:rPr>
          <w:rFonts w:asciiTheme="minorHAnsi" w:hAnsiTheme="minorHAnsi" w:cstheme="minorHAnsi"/>
          <w:sz w:val="21"/>
          <w:szCs w:val="21"/>
        </w:rPr>
        <w:tab/>
        <w:t>any permits necessary for the importation of property belonging to and intended for the personal use of FAO staff or of other persons performing services on behalf of FAO, and for the subsequent exportation of such property;</w:t>
      </w:r>
    </w:p>
    <w:p w14:paraId="22B40212" w14:textId="77777777" w:rsidR="009563B4" w:rsidRPr="00E9131D" w:rsidRDefault="009563B4" w:rsidP="00E9131D">
      <w:pPr>
        <w:spacing w:after="60"/>
        <w:ind w:left="850" w:hanging="562"/>
        <w:jc w:val="both"/>
        <w:rPr>
          <w:rFonts w:asciiTheme="minorHAnsi" w:hAnsiTheme="minorHAnsi" w:cstheme="minorHAnsi"/>
          <w:sz w:val="21"/>
          <w:szCs w:val="21"/>
        </w:rPr>
      </w:pPr>
      <w:r w:rsidRPr="00E9131D">
        <w:rPr>
          <w:rFonts w:asciiTheme="minorHAnsi" w:hAnsiTheme="minorHAnsi" w:cstheme="minorHAnsi"/>
          <w:sz w:val="21"/>
          <w:szCs w:val="21"/>
        </w:rPr>
        <w:t>v)</w:t>
      </w:r>
      <w:r w:rsidRPr="00E9131D">
        <w:rPr>
          <w:rFonts w:asciiTheme="minorHAnsi" w:hAnsiTheme="minorHAnsi" w:cstheme="minorHAnsi"/>
          <w:sz w:val="21"/>
          <w:szCs w:val="21"/>
        </w:rPr>
        <w:tab/>
        <w:t>prompt customs clearance of the equipment, materials, supplies and property referred to in subparagraphs (ii) and (iv) above.</w:t>
      </w:r>
    </w:p>
    <w:p w14:paraId="6EC04361" w14:textId="77777777" w:rsidR="009563B4" w:rsidRPr="00E9131D" w:rsidRDefault="009563B4" w:rsidP="00E9131D">
      <w:pPr>
        <w:jc w:val="both"/>
        <w:rPr>
          <w:rFonts w:asciiTheme="minorHAnsi" w:hAnsiTheme="minorHAnsi" w:cstheme="minorHAnsi"/>
          <w:sz w:val="21"/>
          <w:szCs w:val="21"/>
        </w:rPr>
      </w:pPr>
    </w:p>
    <w:p w14:paraId="60E5CE15" w14:textId="77777777" w:rsidR="009563B4" w:rsidRPr="00E9131D" w:rsidRDefault="009563B4" w:rsidP="00E9131D">
      <w:pPr>
        <w:jc w:val="both"/>
        <w:rPr>
          <w:rFonts w:asciiTheme="minorHAnsi" w:hAnsiTheme="minorHAnsi" w:cstheme="minorHAnsi"/>
          <w:sz w:val="21"/>
          <w:szCs w:val="21"/>
        </w:rPr>
      </w:pPr>
      <w:r w:rsidRPr="00E9131D">
        <w:rPr>
          <w:rFonts w:asciiTheme="minorHAnsi" w:hAnsiTheme="minorHAnsi" w:cstheme="minorHAnsi"/>
          <w:sz w:val="21"/>
          <w:szCs w:val="21"/>
        </w:rPr>
        <w:t>The Government will apply to FAO, its property, funds and assets, its officials and all the persons performing services on its behalf in connection with the Project: (i) the provisions of the Convention on Privileges and Immunities of the Specialized Agencies; and (ii) the United Nations currency exchange rate. The persons performing services on behalf of FAO will include any organization, firm or other entity, which FAO may designate to take part in the execution of the Project.</w:t>
      </w:r>
    </w:p>
    <w:p w14:paraId="6B1FE08E" w14:textId="77777777" w:rsidR="009563B4" w:rsidRPr="00E9131D" w:rsidRDefault="009563B4" w:rsidP="00E9131D">
      <w:pPr>
        <w:jc w:val="both"/>
        <w:rPr>
          <w:rFonts w:asciiTheme="minorHAnsi" w:hAnsiTheme="minorHAnsi" w:cstheme="minorHAnsi"/>
          <w:sz w:val="21"/>
          <w:szCs w:val="21"/>
        </w:rPr>
      </w:pPr>
    </w:p>
    <w:p w14:paraId="40F69B20" w14:textId="77777777" w:rsidR="009563B4" w:rsidRPr="00E9131D" w:rsidRDefault="009563B4" w:rsidP="00E9131D">
      <w:pPr>
        <w:jc w:val="both"/>
        <w:rPr>
          <w:rFonts w:asciiTheme="minorHAnsi" w:hAnsiTheme="minorHAnsi" w:cstheme="minorHAnsi"/>
          <w:sz w:val="21"/>
          <w:szCs w:val="21"/>
        </w:rPr>
      </w:pPr>
      <w:r w:rsidRPr="00E9131D">
        <w:rPr>
          <w:rFonts w:asciiTheme="minorHAnsi" w:hAnsiTheme="minorHAnsi" w:cstheme="minorHAnsi"/>
          <w:sz w:val="21"/>
          <w:szCs w:val="21"/>
        </w:rPr>
        <w:t xml:space="preserve">The Government will be responsible for dealing with any claims which may be brought by third parties against FAO, its personnel or other persons performing services on its behalf, in connection with the Project, and will hold them harmless in respect to any claim or liability arising in connection with the Project, except when it is agreed by FAO and the Government that such claims arise from gross negligence or wilful misconduct of such persons.  </w:t>
      </w:r>
    </w:p>
    <w:p w14:paraId="4FA9F80F" w14:textId="77777777" w:rsidR="009563B4" w:rsidRPr="00E9131D" w:rsidRDefault="009563B4" w:rsidP="00E9131D">
      <w:pPr>
        <w:jc w:val="both"/>
        <w:rPr>
          <w:rFonts w:asciiTheme="minorHAnsi" w:hAnsiTheme="minorHAnsi" w:cstheme="minorHAnsi"/>
          <w:sz w:val="21"/>
          <w:szCs w:val="21"/>
        </w:rPr>
      </w:pPr>
    </w:p>
    <w:p w14:paraId="469E44B2" w14:textId="77777777" w:rsidR="009563B4" w:rsidRPr="00E9131D" w:rsidRDefault="009563B4" w:rsidP="00E9131D">
      <w:pPr>
        <w:jc w:val="both"/>
        <w:rPr>
          <w:rFonts w:asciiTheme="minorHAnsi" w:hAnsiTheme="minorHAnsi" w:cstheme="minorHAnsi"/>
          <w:sz w:val="21"/>
          <w:szCs w:val="21"/>
        </w:rPr>
      </w:pPr>
      <w:r w:rsidRPr="00E9131D">
        <w:rPr>
          <w:rFonts w:asciiTheme="minorHAnsi" w:hAnsiTheme="minorHAnsi" w:cstheme="minorHAnsi"/>
          <w:sz w:val="21"/>
          <w:szCs w:val="21"/>
        </w:rPr>
        <w:t>The Government will be responsible for the recruitment, salaries, emoluments and social security measures of its own national staff assigned to the project. The Government will also provide, as and when required for the Project, the facilities and supplies indicated in the Project Document. The Government will grant FAO staff, the Resource Partner and persons acting on their behalf, access to the Project offices and sites and to any material or documentation relating to the Project, and will provide any relevant information to such staff or persons.</w:t>
      </w:r>
    </w:p>
    <w:p w14:paraId="40BE340F" w14:textId="77777777" w:rsidR="009563B4" w:rsidRPr="00E9131D" w:rsidRDefault="009563B4" w:rsidP="00E9131D">
      <w:pPr>
        <w:pStyle w:val="Heading4"/>
        <w:jc w:val="both"/>
        <w:rPr>
          <w:rFonts w:asciiTheme="minorHAnsi" w:hAnsiTheme="minorHAnsi" w:cstheme="minorHAnsi"/>
          <w:sz w:val="21"/>
          <w:szCs w:val="21"/>
        </w:rPr>
      </w:pPr>
      <w:bookmarkStart w:id="484" w:name="_Toc42027183"/>
      <w:bookmarkStart w:id="485" w:name="_Toc42262691"/>
      <w:r w:rsidRPr="00E9131D">
        <w:rPr>
          <w:rFonts w:asciiTheme="minorHAnsi" w:hAnsiTheme="minorHAnsi" w:cstheme="minorHAnsi"/>
          <w:sz w:val="21"/>
          <w:szCs w:val="21"/>
        </w:rPr>
        <w:t>Reporting And Evaluation</w:t>
      </w:r>
      <w:bookmarkEnd w:id="484"/>
      <w:bookmarkEnd w:id="485"/>
    </w:p>
    <w:p w14:paraId="5BE003A8" w14:textId="77777777" w:rsidR="009563B4" w:rsidRPr="00E9131D" w:rsidRDefault="009563B4" w:rsidP="00E9131D">
      <w:pPr>
        <w:jc w:val="both"/>
        <w:rPr>
          <w:rFonts w:asciiTheme="minorHAnsi" w:hAnsiTheme="minorHAnsi" w:cstheme="minorHAnsi"/>
          <w:sz w:val="21"/>
          <w:szCs w:val="21"/>
        </w:rPr>
      </w:pPr>
      <w:r w:rsidRPr="00E9131D">
        <w:rPr>
          <w:rFonts w:asciiTheme="minorHAnsi" w:hAnsiTheme="minorHAnsi" w:cstheme="minorHAnsi"/>
          <w:sz w:val="21"/>
          <w:szCs w:val="21"/>
        </w:rPr>
        <w:t xml:space="preserve">FAO will report to the Government (and to the Resource Partner) as scheduled in the Project Document. </w:t>
      </w:r>
    </w:p>
    <w:p w14:paraId="3BF92690" w14:textId="77777777" w:rsidR="009563B4" w:rsidRPr="00E9131D" w:rsidRDefault="009563B4" w:rsidP="00E9131D">
      <w:pPr>
        <w:jc w:val="both"/>
        <w:rPr>
          <w:rFonts w:asciiTheme="minorHAnsi" w:hAnsiTheme="minorHAnsi" w:cstheme="minorHAnsi"/>
          <w:sz w:val="21"/>
          <w:szCs w:val="21"/>
        </w:rPr>
      </w:pPr>
    </w:p>
    <w:p w14:paraId="604936AE" w14:textId="77777777" w:rsidR="009563B4" w:rsidRPr="00E9131D" w:rsidRDefault="009563B4" w:rsidP="00E9131D">
      <w:pPr>
        <w:jc w:val="both"/>
        <w:rPr>
          <w:rFonts w:asciiTheme="minorHAnsi" w:hAnsiTheme="minorHAnsi" w:cstheme="minorHAnsi"/>
          <w:sz w:val="21"/>
          <w:szCs w:val="21"/>
        </w:rPr>
      </w:pPr>
      <w:r w:rsidRPr="00E9131D">
        <w:rPr>
          <w:rFonts w:asciiTheme="minorHAnsi" w:hAnsiTheme="minorHAnsi" w:cstheme="minorHAnsi"/>
          <w:sz w:val="21"/>
          <w:szCs w:val="21"/>
        </w:rPr>
        <w:t>The Government will agree to the dissemination by FAO of information such as Project descriptions and objectives and results, for the purpose of informing or educating the public. Patent rights, copyright, and any other intellectual property rights over any material or discoveries resulting from FAO assistance under this Project will belong to FAO. FAO hereby grants to the Government a non-exclusive royalty-free license to use, publish, translate and distribute, privately or publicly, any such material or discoveries within the country for non-commercial purposes. In accordance with requirements of some Resource Partners, FAO reserves the right to place information and reports in the public domain.</w:t>
      </w:r>
    </w:p>
    <w:p w14:paraId="73C39F47" w14:textId="77777777" w:rsidR="009563B4" w:rsidRPr="00E9131D" w:rsidRDefault="009563B4" w:rsidP="00E9131D">
      <w:pPr>
        <w:jc w:val="both"/>
        <w:rPr>
          <w:rFonts w:asciiTheme="minorHAnsi" w:hAnsiTheme="minorHAnsi" w:cstheme="minorHAnsi"/>
          <w:sz w:val="21"/>
          <w:szCs w:val="21"/>
        </w:rPr>
      </w:pPr>
    </w:p>
    <w:p w14:paraId="32C2607A" w14:textId="77777777" w:rsidR="009563B4" w:rsidRPr="00E9131D" w:rsidRDefault="009563B4" w:rsidP="00E9131D">
      <w:pPr>
        <w:jc w:val="both"/>
        <w:rPr>
          <w:rFonts w:asciiTheme="minorHAnsi" w:hAnsiTheme="minorHAnsi" w:cstheme="minorHAnsi"/>
          <w:sz w:val="21"/>
          <w:szCs w:val="21"/>
        </w:rPr>
      </w:pPr>
      <w:r w:rsidRPr="00E9131D">
        <w:rPr>
          <w:rFonts w:asciiTheme="minorHAnsi" w:hAnsiTheme="minorHAnsi" w:cstheme="minorHAnsi"/>
          <w:sz w:val="21"/>
          <w:szCs w:val="21"/>
        </w:rPr>
        <w:t>The Project will be subject to independent evaluation according to the arrangements agreed between the Government, the Resource Partner and FAO. The evaluation report will be publicly accessible,</w:t>
      </w:r>
      <w:r w:rsidRPr="00E9131D">
        <w:rPr>
          <w:rFonts w:asciiTheme="minorHAnsi" w:hAnsiTheme="minorHAnsi" w:cstheme="minorHAnsi"/>
          <w:iCs/>
          <w:sz w:val="21"/>
          <w:szCs w:val="21"/>
        </w:rPr>
        <w:t xml:space="preserve"> </w:t>
      </w:r>
      <w:r w:rsidRPr="00E9131D">
        <w:rPr>
          <w:rFonts w:asciiTheme="minorHAnsi" w:hAnsiTheme="minorHAnsi" w:cstheme="minorHAnsi"/>
          <w:sz w:val="21"/>
          <w:szCs w:val="21"/>
        </w:rPr>
        <w:t>in accordance with the applicable policies,</w:t>
      </w:r>
      <w:r w:rsidRPr="00E9131D">
        <w:rPr>
          <w:rFonts w:asciiTheme="minorHAnsi" w:hAnsiTheme="minorHAnsi" w:cstheme="minorHAnsi"/>
          <w:iCs/>
          <w:sz w:val="21"/>
          <w:szCs w:val="21"/>
        </w:rPr>
        <w:t xml:space="preserve"> along with the Management Response.</w:t>
      </w:r>
      <w:r w:rsidRPr="00E9131D">
        <w:rPr>
          <w:rFonts w:asciiTheme="minorHAnsi" w:hAnsiTheme="minorHAnsi" w:cstheme="minorHAnsi"/>
          <w:sz w:val="21"/>
          <w:szCs w:val="21"/>
        </w:rPr>
        <w:t xml:space="preserve"> FAO is authorized to prepare a brief summary of the report for the purpose of broad dissemination of its main findings, issues, lessons and recommendations as well as to make judicious use of the report as an input to evaluation synthesis studies.</w:t>
      </w:r>
    </w:p>
    <w:p w14:paraId="65FC018F" w14:textId="77777777" w:rsidR="009563B4" w:rsidRPr="00E9131D" w:rsidRDefault="009563B4" w:rsidP="00E9131D">
      <w:pPr>
        <w:pStyle w:val="Heading4"/>
        <w:jc w:val="both"/>
        <w:rPr>
          <w:rFonts w:asciiTheme="minorHAnsi" w:hAnsiTheme="minorHAnsi" w:cstheme="minorHAnsi"/>
          <w:sz w:val="21"/>
          <w:szCs w:val="21"/>
        </w:rPr>
      </w:pPr>
      <w:bookmarkStart w:id="486" w:name="_Toc42027184"/>
      <w:bookmarkStart w:id="487" w:name="_Toc42262692"/>
      <w:r w:rsidRPr="00E9131D">
        <w:rPr>
          <w:rFonts w:asciiTheme="minorHAnsi" w:hAnsiTheme="minorHAnsi" w:cstheme="minorHAnsi"/>
          <w:sz w:val="21"/>
          <w:szCs w:val="21"/>
        </w:rPr>
        <w:t>Final Provisions</w:t>
      </w:r>
      <w:bookmarkEnd w:id="486"/>
      <w:bookmarkEnd w:id="487"/>
    </w:p>
    <w:p w14:paraId="0FD4B19B" w14:textId="77777777" w:rsidR="009563B4" w:rsidRPr="00E9131D" w:rsidRDefault="009563B4" w:rsidP="00E9131D">
      <w:pPr>
        <w:jc w:val="both"/>
        <w:rPr>
          <w:rFonts w:asciiTheme="minorHAnsi" w:hAnsiTheme="minorHAnsi" w:cstheme="minorHAnsi"/>
          <w:sz w:val="21"/>
          <w:szCs w:val="21"/>
        </w:rPr>
      </w:pPr>
      <w:r w:rsidRPr="00E9131D">
        <w:rPr>
          <w:rFonts w:asciiTheme="minorHAnsi" w:hAnsiTheme="minorHAnsi" w:cstheme="minorHAnsi"/>
          <w:sz w:val="21"/>
          <w:szCs w:val="21"/>
        </w:rPr>
        <w:t xml:space="preserve">Any dispute or controversy arising out of or in connection with the Project or this Agreement will be amicably settled through consultations, or through such other means as agreed between the Government and FAO. </w:t>
      </w:r>
    </w:p>
    <w:p w14:paraId="6DAE34F0" w14:textId="77777777" w:rsidR="009563B4" w:rsidRPr="00E9131D" w:rsidRDefault="009563B4" w:rsidP="00E9131D">
      <w:pPr>
        <w:jc w:val="both"/>
        <w:rPr>
          <w:rFonts w:asciiTheme="minorHAnsi" w:hAnsiTheme="minorHAnsi" w:cstheme="minorHAnsi"/>
          <w:sz w:val="21"/>
          <w:szCs w:val="21"/>
        </w:rPr>
      </w:pPr>
    </w:p>
    <w:p w14:paraId="4F31CCC7" w14:textId="77777777" w:rsidR="009563B4" w:rsidRPr="00E9131D" w:rsidRDefault="009563B4" w:rsidP="00E9131D">
      <w:pPr>
        <w:jc w:val="both"/>
        <w:rPr>
          <w:rFonts w:asciiTheme="minorHAnsi" w:hAnsiTheme="minorHAnsi" w:cstheme="minorHAnsi"/>
          <w:sz w:val="21"/>
          <w:szCs w:val="21"/>
        </w:rPr>
      </w:pPr>
      <w:r w:rsidRPr="00E9131D">
        <w:rPr>
          <w:rFonts w:asciiTheme="minorHAnsi" w:hAnsiTheme="minorHAnsi" w:cstheme="minorHAnsi"/>
          <w:sz w:val="21"/>
          <w:szCs w:val="21"/>
        </w:rPr>
        <w:t>Nothing in or related to any provision in this Agreement or document or activity of the Project shall be deemed (i) a waiver of the privileges and immunities of FAO; (ii) the acceptance by FAO of the applicability of the laws of any country to FAO, and: (iii) the acceptance by FAO of the jurisdiction of the courts of any country over disputes arising from assistance activities under the Project.</w:t>
      </w:r>
    </w:p>
    <w:p w14:paraId="4489D638" w14:textId="77777777" w:rsidR="009563B4" w:rsidRPr="00E9131D" w:rsidRDefault="009563B4" w:rsidP="00E9131D">
      <w:pPr>
        <w:jc w:val="both"/>
        <w:rPr>
          <w:rFonts w:asciiTheme="minorHAnsi" w:hAnsiTheme="minorHAnsi" w:cstheme="minorHAnsi"/>
          <w:sz w:val="21"/>
          <w:szCs w:val="21"/>
        </w:rPr>
      </w:pPr>
    </w:p>
    <w:p w14:paraId="76EBF9B5" w14:textId="77777777" w:rsidR="009563B4" w:rsidRPr="00E9131D" w:rsidRDefault="009563B4" w:rsidP="00E9131D">
      <w:pPr>
        <w:jc w:val="both"/>
        <w:rPr>
          <w:rFonts w:asciiTheme="minorHAnsi" w:hAnsiTheme="minorHAnsi" w:cstheme="minorHAnsi"/>
          <w:spacing w:val="-3"/>
          <w:sz w:val="21"/>
          <w:szCs w:val="21"/>
        </w:rPr>
      </w:pPr>
      <w:r w:rsidRPr="00E9131D">
        <w:rPr>
          <w:rFonts w:asciiTheme="minorHAnsi" w:hAnsiTheme="minorHAnsi" w:cstheme="minorHAnsi"/>
          <w:sz w:val="21"/>
          <w:szCs w:val="21"/>
        </w:rPr>
        <w:t>This Agreement may be amended or terminated by mutual written consent. Termination will take effect sixty days after receipt by either party of written notice from the other party. In the event of termination, t</w:t>
      </w:r>
      <w:r w:rsidRPr="00E9131D">
        <w:rPr>
          <w:rFonts w:asciiTheme="minorHAnsi" w:hAnsiTheme="minorHAnsi" w:cstheme="minorHAnsi"/>
          <w:spacing w:val="-3"/>
          <w:sz w:val="21"/>
          <w:szCs w:val="21"/>
        </w:rPr>
        <w:t xml:space="preserve">he </w:t>
      </w:r>
      <w:r w:rsidRPr="00E9131D">
        <w:rPr>
          <w:rFonts w:asciiTheme="minorHAnsi" w:hAnsiTheme="minorHAnsi" w:cstheme="minorHAnsi"/>
          <w:spacing w:val="-3"/>
          <w:sz w:val="21"/>
          <w:szCs w:val="21"/>
        </w:rPr>
        <w:lastRenderedPageBreak/>
        <w:t>obligations assumed by the parties under this Agreement will survive its termination to the extent necessary to permit the orderly conclusion of activities, and the withdrawal of personnel, funds and property of FAO.</w:t>
      </w:r>
    </w:p>
    <w:p w14:paraId="55D78D03" w14:textId="77777777" w:rsidR="009563B4" w:rsidRPr="00E9131D" w:rsidRDefault="009563B4" w:rsidP="00E9131D">
      <w:pPr>
        <w:jc w:val="both"/>
        <w:rPr>
          <w:rFonts w:asciiTheme="minorHAnsi" w:hAnsiTheme="minorHAnsi" w:cstheme="minorHAnsi"/>
          <w:sz w:val="21"/>
          <w:szCs w:val="21"/>
        </w:rPr>
      </w:pPr>
    </w:p>
    <w:p w14:paraId="49499A75" w14:textId="77777777" w:rsidR="009563B4" w:rsidRPr="00E9131D" w:rsidRDefault="009563B4" w:rsidP="00E9131D">
      <w:pPr>
        <w:jc w:val="both"/>
        <w:rPr>
          <w:rFonts w:asciiTheme="minorHAnsi" w:hAnsiTheme="minorHAnsi" w:cstheme="minorHAnsi"/>
          <w:sz w:val="21"/>
          <w:szCs w:val="21"/>
        </w:rPr>
      </w:pPr>
      <w:r w:rsidRPr="00E9131D">
        <w:rPr>
          <w:rFonts w:asciiTheme="minorHAnsi" w:hAnsiTheme="minorHAnsi" w:cstheme="minorHAnsi"/>
          <w:sz w:val="21"/>
          <w:szCs w:val="21"/>
        </w:rPr>
        <w:t>This Agreement will enter into force upon signature by the duly authorized representatives of both parties.</w:t>
      </w:r>
    </w:p>
    <w:p w14:paraId="599214C4" w14:textId="77777777" w:rsidR="0010196F" w:rsidRDefault="0010196F" w:rsidP="0010196F">
      <w:pPr>
        <w:rPr>
          <w:lang w:val="en-US"/>
        </w:rPr>
      </w:pPr>
      <w:bookmarkStart w:id="488" w:name="_Toc42027185"/>
      <w:bookmarkStart w:id="489" w:name="_Toc42262693"/>
    </w:p>
    <w:p w14:paraId="52517148" w14:textId="725344D3" w:rsidR="007402A1" w:rsidRPr="008B01B1" w:rsidRDefault="007402A1" w:rsidP="007402A1">
      <w:pPr>
        <w:pStyle w:val="Heading2"/>
        <w:rPr>
          <w:rStyle w:val="Strong"/>
          <w:rFonts w:eastAsia="SimSun"/>
          <w:b/>
          <w:lang w:val="en-US"/>
        </w:rPr>
      </w:pPr>
      <w:bookmarkStart w:id="490" w:name="_Toc58398618"/>
      <w:r w:rsidRPr="00D4185B">
        <w:rPr>
          <w:rStyle w:val="Strong"/>
          <w:b/>
          <w:bCs/>
          <w:lang w:val="en-US"/>
        </w:rPr>
        <w:t xml:space="preserve">Annex </w:t>
      </w:r>
      <w:r>
        <w:rPr>
          <w:rStyle w:val="Strong"/>
          <w:b/>
          <w:bCs/>
          <w:lang w:val="en-US"/>
        </w:rPr>
        <w:t>M</w:t>
      </w:r>
      <w:r w:rsidRPr="00D4185B">
        <w:rPr>
          <w:rStyle w:val="Strong"/>
          <w:b/>
          <w:bCs/>
          <w:lang w:val="en-US"/>
        </w:rPr>
        <w:t>:</w:t>
      </w:r>
      <w:r w:rsidRPr="00D4185B">
        <w:rPr>
          <w:rStyle w:val="Strong"/>
          <w:lang w:val="en-US"/>
        </w:rPr>
        <w:t xml:space="preserve"> </w:t>
      </w:r>
      <w:r w:rsidR="00A53005">
        <w:rPr>
          <w:rStyle w:val="Strong"/>
          <w:b/>
          <w:bCs/>
          <w:lang w:val="en-US"/>
        </w:rPr>
        <w:t>TORs</w:t>
      </w:r>
      <w:bookmarkEnd w:id="490"/>
    </w:p>
    <w:p w14:paraId="54A37468" w14:textId="7AD12CC2" w:rsidR="007402A1" w:rsidRDefault="000C73F8" w:rsidP="00812C74">
      <w:pPr>
        <w:jc w:val="center"/>
      </w:pPr>
      <w:hyperlink r:id="rId120" w:history="1">
        <w:r w:rsidR="00812C74" w:rsidRPr="00812C74">
          <w:rPr>
            <w:rStyle w:val="Hyperlink"/>
            <w:rFonts w:asciiTheme="minorHAnsi" w:hAnsiTheme="minorHAnsi" w:cstheme="minorHAnsi"/>
            <w:b/>
            <w:bCs/>
            <w:sz w:val="21"/>
            <w:szCs w:val="21"/>
          </w:rPr>
          <w:t>https://drive.google.com/file/d/1_8DmKLMwatMV2_YY-glz_7hRhj83n5Nt/view?usp=sharing</w:t>
        </w:r>
      </w:hyperlink>
    </w:p>
    <w:p w14:paraId="16BC5A98" w14:textId="1B5E2B23" w:rsidR="00926C5C" w:rsidRPr="002E7072" w:rsidRDefault="00926C5C" w:rsidP="002E7072">
      <w:pPr>
        <w:pStyle w:val="Heading2"/>
        <w:rPr>
          <w:rStyle w:val="Strong"/>
          <w:lang w:val="en-US"/>
        </w:rPr>
      </w:pPr>
      <w:bookmarkStart w:id="491" w:name="_Toc58398619"/>
      <w:bookmarkEnd w:id="488"/>
      <w:bookmarkEnd w:id="489"/>
      <w:r w:rsidRPr="002E7072">
        <w:rPr>
          <w:rStyle w:val="Strong"/>
          <w:b/>
          <w:bCs/>
          <w:lang w:val="en-US"/>
        </w:rPr>
        <w:t>Ann</w:t>
      </w:r>
      <w:r w:rsidR="005647B2" w:rsidRPr="002E7072">
        <w:rPr>
          <w:rStyle w:val="Strong"/>
          <w:b/>
          <w:bCs/>
          <w:lang w:val="en-US"/>
        </w:rPr>
        <w:t xml:space="preserve">ex N: </w:t>
      </w:r>
      <w:r w:rsidR="002E7072" w:rsidRPr="002E7072">
        <w:rPr>
          <w:rStyle w:val="Strong"/>
          <w:b/>
          <w:bCs/>
          <w:lang w:val="en-US"/>
        </w:rPr>
        <w:t>Integrated Landscape Assessment Methodology</w:t>
      </w:r>
      <w:bookmarkEnd w:id="491"/>
    </w:p>
    <w:p w14:paraId="4A0E13BD" w14:textId="77777777" w:rsidR="00926C5C" w:rsidRDefault="00926C5C" w:rsidP="009563B4">
      <w:pPr>
        <w:rPr>
          <w:szCs w:val="20"/>
        </w:rPr>
      </w:pPr>
    </w:p>
    <w:p w14:paraId="784046AD" w14:textId="77777777" w:rsidR="00926C5C" w:rsidRPr="002E7072" w:rsidRDefault="005647B2" w:rsidP="002E7072">
      <w:pPr>
        <w:jc w:val="center"/>
        <w:rPr>
          <w:rStyle w:val="Hyperlink"/>
          <w:rFonts w:asciiTheme="minorHAnsi" w:hAnsiTheme="minorHAnsi" w:cstheme="minorHAnsi"/>
          <w:b/>
          <w:bCs/>
          <w:sz w:val="21"/>
          <w:szCs w:val="21"/>
        </w:rPr>
      </w:pPr>
      <w:r w:rsidRPr="002E7072">
        <w:rPr>
          <w:rStyle w:val="Hyperlink"/>
          <w:rFonts w:asciiTheme="minorHAnsi" w:hAnsiTheme="minorHAnsi" w:cstheme="minorHAnsi"/>
          <w:b/>
          <w:bCs/>
          <w:sz w:val="21"/>
          <w:szCs w:val="21"/>
        </w:rPr>
        <w:t>https://drive.google.com/file/d/1rVXgVypEJr4ZGCJV8IbsgNGnH1H1XADX/view?usp=sharing</w:t>
      </w:r>
    </w:p>
    <w:p w14:paraId="4E9F256B" w14:textId="77777777" w:rsidR="005647B2" w:rsidRDefault="005647B2" w:rsidP="009563B4">
      <w:pPr>
        <w:rPr>
          <w:szCs w:val="20"/>
        </w:rPr>
      </w:pPr>
    </w:p>
    <w:p w14:paraId="5B914B98" w14:textId="77777777" w:rsidR="005647B2" w:rsidRDefault="005647B2" w:rsidP="009563B4">
      <w:pPr>
        <w:rPr>
          <w:szCs w:val="20"/>
        </w:rPr>
      </w:pPr>
    </w:p>
    <w:p w14:paraId="700DE5C0" w14:textId="13E2A60E" w:rsidR="002E7072" w:rsidRPr="0010196F" w:rsidRDefault="002E7072" w:rsidP="002E7072">
      <w:pPr>
        <w:rPr>
          <w:rFonts w:asciiTheme="minorHAnsi" w:hAnsiTheme="minorHAnsi" w:cstheme="minorHAnsi"/>
          <w:b/>
          <w:bCs/>
          <w:sz w:val="22"/>
          <w:szCs w:val="22"/>
          <w:lang w:val="en-US"/>
        </w:rPr>
      </w:pPr>
      <w:r w:rsidRPr="0010196F">
        <w:rPr>
          <w:rFonts w:asciiTheme="minorHAnsi" w:hAnsiTheme="minorHAnsi" w:cstheme="minorHAnsi"/>
          <w:b/>
          <w:bCs/>
          <w:sz w:val="22"/>
          <w:szCs w:val="22"/>
          <w:lang w:val="en-US"/>
        </w:rPr>
        <w:t>END OF STANDARD ANNEXES [A to</w:t>
      </w:r>
      <w:r>
        <w:rPr>
          <w:rFonts w:asciiTheme="minorHAnsi" w:hAnsiTheme="minorHAnsi" w:cstheme="minorHAnsi"/>
          <w:b/>
          <w:bCs/>
          <w:sz w:val="22"/>
          <w:szCs w:val="22"/>
          <w:lang w:val="en-US"/>
        </w:rPr>
        <w:t xml:space="preserve"> N</w:t>
      </w:r>
      <w:r w:rsidRPr="0010196F">
        <w:rPr>
          <w:rFonts w:asciiTheme="minorHAnsi" w:hAnsiTheme="minorHAnsi" w:cstheme="minorHAnsi"/>
          <w:b/>
          <w:bCs/>
          <w:sz w:val="22"/>
          <w:szCs w:val="22"/>
          <w:lang w:val="en-US"/>
        </w:rPr>
        <w:t>]</w:t>
      </w:r>
    </w:p>
    <w:p w14:paraId="2723EB1C" w14:textId="0BE49769" w:rsidR="002E7072" w:rsidRPr="002E7072" w:rsidRDefault="002E7072" w:rsidP="009563B4">
      <w:pPr>
        <w:rPr>
          <w:szCs w:val="20"/>
          <w:lang w:val="en-US"/>
        </w:rPr>
        <w:sectPr w:rsidR="002E7072" w:rsidRPr="002E7072" w:rsidSect="00903274">
          <w:headerReference w:type="even" r:id="rId121"/>
          <w:headerReference w:type="default" r:id="rId122"/>
          <w:headerReference w:type="first" r:id="rId123"/>
          <w:pgSz w:w="12240" w:h="15840" w:code="1"/>
          <w:pgMar w:top="1440" w:right="1440" w:bottom="1440" w:left="1440" w:header="720" w:footer="720" w:gutter="0"/>
          <w:cols w:space="720"/>
          <w:docGrid w:linePitch="360"/>
        </w:sectPr>
      </w:pPr>
    </w:p>
    <w:p w14:paraId="27FF56B5" w14:textId="77777777" w:rsidR="009563B4" w:rsidRPr="00CE1EA7" w:rsidRDefault="009563B4" w:rsidP="009563B4">
      <w:pPr>
        <w:pStyle w:val="Heading1"/>
        <w:rPr>
          <w:noProof w:val="0"/>
        </w:rPr>
      </w:pPr>
      <w:bookmarkStart w:id="492" w:name="_Toc42027186"/>
      <w:bookmarkStart w:id="493" w:name="_Toc42262694"/>
      <w:bookmarkStart w:id="494" w:name="_Toc58398620"/>
      <w:r w:rsidRPr="00C21B8C">
        <w:rPr>
          <w:noProof w:val="0"/>
        </w:rPr>
        <w:lastRenderedPageBreak/>
        <w:t>PART IV: CO-FINANCING &amp; PROJECT SPECIFIC ANNEXURES (W &amp; X)</w:t>
      </w:r>
      <w:bookmarkEnd w:id="492"/>
      <w:bookmarkEnd w:id="493"/>
      <w:bookmarkEnd w:id="494"/>
    </w:p>
    <w:p w14:paraId="09AE26D0" w14:textId="14C8BD90" w:rsidR="009563B4" w:rsidRPr="005443A4" w:rsidRDefault="00DB0B9C" w:rsidP="009563B4">
      <w:pPr>
        <w:pStyle w:val="Heading2"/>
        <w:rPr>
          <w:lang w:val="en-US"/>
        </w:rPr>
      </w:pPr>
      <w:bookmarkStart w:id="495" w:name="_Toc42262695"/>
      <w:bookmarkStart w:id="496" w:name="_Toc58398621"/>
      <w:r w:rsidRPr="005443A4">
        <w:rPr>
          <w:lang w:val="en-US"/>
        </w:rPr>
        <w:t>P</w:t>
      </w:r>
      <w:r w:rsidR="005443A4" w:rsidRPr="005443A4">
        <w:rPr>
          <w:lang w:val="en-US"/>
        </w:rPr>
        <w:t>ART</w:t>
      </w:r>
      <w:r w:rsidR="00FC2B00" w:rsidRPr="005443A4">
        <w:rPr>
          <w:lang w:val="en-US"/>
        </w:rPr>
        <w:t xml:space="preserve"> IV-1: </w:t>
      </w:r>
      <w:r w:rsidR="009563B4" w:rsidRPr="005443A4">
        <w:rPr>
          <w:lang w:val="en-US"/>
        </w:rPr>
        <w:t>Co-financing Letters</w:t>
      </w:r>
      <w:bookmarkEnd w:id="495"/>
      <w:bookmarkEnd w:id="496"/>
      <w:r w:rsidR="009563B4" w:rsidRPr="005443A4">
        <w:rPr>
          <w:lang w:val="en-US"/>
        </w:rPr>
        <w:t xml:space="preserve"> </w:t>
      </w:r>
    </w:p>
    <w:tbl>
      <w:tblPr>
        <w:tblStyle w:val="TableGrid"/>
        <w:tblW w:w="0" w:type="auto"/>
        <w:jc w:val="center"/>
        <w:tblLook w:val="04A0" w:firstRow="1" w:lastRow="0" w:firstColumn="1" w:lastColumn="0" w:noHBand="0" w:noVBand="1"/>
      </w:tblPr>
      <w:tblGrid>
        <w:gridCol w:w="9350"/>
      </w:tblGrid>
      <w:tr w:rsidR="009563B4" w:rsidRPr="00CE1EA7" w14:paraId="0374C3B7" w14:textId="77777777" w:rsidTr="00481CA4">
        <w:trPr>
          <w:jc w:val="center"/>
        </w:trPr>
        <w:tc>
          <w:tcPr>
            <w:tcW w:w="10610" w:type="dxa"/>
            <w:shd w:val="clear" w:color="auto" w:fill="D9D9D9" w:themeFill="background1" w:themeFillShade="D9"/>
          </w:tcPr>
          <w:p w14:paraId="361882C1" w14:textId="6B2CE506" w:rsidR="0089315F" w:rsidRPr="000F0B12" w:rsidRDefault="0089315F" w:rsidP="001667C6">
            <w:pPr>
              <w:pStyle w:val="ListParagraph"/>
              <w:numPr>
                <w:ilvl w:val="0"/>
                <w:numId w:val="97"/>
              </w:numPr>
              <w:spacing w:after="0"/>
              <w:rPr>
                <w:rFonts w:asciiTheme="minorHAnsi" w:hAnsiTheme="minorHAnsi" w:cstheme="minorHAnsi"/>
                <w:sz w:val="20"/>
                <w:szCs w:val="20"/>
              </w:rPr>
            </w:pPr>
            <w:r w:rsidRPr="000F0B12">
              <w:rPr>
                <w:rFonts w:asciiTheme="minorHAnsi" w:hAnsiTheme="minorHAnsi" w:cstheme="minorHAnsi"/>
                <w:sz w:val="20"/>
                <w:szCs w:val="20"/>
              </w:rPr>
              <w:t>Cofinancing letter MCTA and MINAGRIP</w:t>
            </w:r>
          </w:p>
          <w:p w14:paraId="655CEBDF" w14:textId="77777777" w:rsidR="0089315F" w:rsidRPr="000F0B12" w:rsidRDefault="000C73F8" w:rsidP="0089315F">
            <w:pPr>
              <w:rPr>
                <w:rFonts w:asciiTheme="minorHAnsi" w:hAnsiTheme="minorHAnsi" w:cstheme="minorHAnsi"/>
                <w:sz w:val="20"/>
                <w:szCs w:val="20"/>
              </w:rPr>
            </w:pPr>
            <w:hyperlink r:id="rId124" w:history="1">
              <w:r w:rsidR="0089315F" w:rsidRPr="000F0B12">
                <w:rPr>
                  <w:rStyle w:val="Hyperlink"/>
                  <w:rFonts w:asciiTheme="minorHAnsi" w:hAnsiTheme="minorHAnsi" w:cstheme="minorHAnsi"/>
                  <w:sz w:val="20"/>
                  <w:szCs w:val="20"/>
                </w:rPr>
                <w:t>https://drive.google.com/file/d/1RN_MC0NV3N3Oqu06GteCSqfkWBJDfKk1/view?usp=sharing</w:t>
              </w:r>
            </w:hyperlink>
          </w:p>
          <w:p w14:paraId="2F5D5B43" w14:textId="77777777" w:rsidR="009563B4" w:rsidRPr="000F0B12" w:rsidRDefault="009563B4" w:rsidP="00481CA4">
            <w:pPr>
              <w:rPr>
                <w:rFonts w:asciiTheme="minorHAnsi" w:hAnsiTheme="minorHAnsi" w:cstheme="minorHAnsi"/>
                <w:sz w:val="20"/>
                <w:szCs w:val="20"/>
              </w:rPr>
            </w:pPr>
          </w:p>
          <w:p w14:paraId="0645EF62" w14:textId="77777777" w:rsidR="00F712B3" w:rsidRPr="000F0B12" w:rsidRDefault="00F712B3" w:rsidP="001667C6">
            <w:pPr>
              <w:pStyle w:val="ListParagraph"/>
              <w:numPr>
                <w:ilvl w:val="0"/>
                <w:numId w:val="97"/>
              </w:numPr>
              <w:spacing w:after="0"/>
              <w:rPr>
                <w:rFonts w:asciiTheme="minorHAnsi" w:hAnsiTheme="minorHAnsi" w:cstheme="minorHAnsi"/>
                <w:sz w:val="20"/>
                <w:szCs w:val="20"/>
              </w:rPr>
            </w:pPr>
            <w:r w:rsidRPr="000F0B12">
              <w:rPr>
                <w:rFonts w:asciiTheme="minorHAnsi" w:hAnsiTheme="minorHAnsi" w:cstheme="minorHAnsi"/>
                <w:sz w:val="20"/>
                <w:szCs w:val="20"/>
              </w:rPr>
              <w:t>Cofinancing letter FAO</w:t>
            </w:r>
          </w:p>
          <w:p w14:paraId="0C8BB3CC" w14:textId="71272867" w:rsidR="00F712B3" w:rsidRPr="000F0B12" w:rsidRDefault="000C73F8" w:rsidP="00F712B3">
            <w:pPr>
              <w:rPr>
                <w:rFonts w:asciiTheme="minorHAnsi" w:hAnsiTheme="minorHAnsi" w:cstheme="minorHAnsi"/>
                <w:sz w:val="20"/>
                <w:szCs w:val="20"/>
              </w:rPr>
            </w:pPr>
            <w:hyperlink r:id="rId125" w:history="1">
              <w:r w:rsidR="00F712B3" w:rsidRPr="000F0B12">
                <w:rPr>
                  <w:rStyle w:val="Hyperlink"/>
                  <w:rFonts w:asciiTheme="minorHAnsi" w:hAnsiTheme="minorHAnsi" w:cstheme="minorHAnsi"/>
                  <w:sz w:val="20"/>
                  <w:szCs w:val="20"/>
                </w:rPr>
                <w:t>https://drive.google.com/file/d/1Q7wSvtPEGk55ZW_bqJVspf6nozzqGGfA/view?usp=sharing</w:t>
              </w:r>
            </w:hyperlink>
          </w:p>
          <w:p w14:paraId="7913B0DB" w14:textId="2B82F6C7" w:rsidR="009563B4" w:rsidRPr="00CE1EA7" w:rsidRDefault="009563B4" w:rsidP="00481CA4">
            <w:pPr>
              <w:rPr>
                <w:rFonts w:ascii="Arial Narrow" w:hAnsi="Arial Narrow"/>
              </w:rPr>
            </w:pPr>
          </w:p>
        </w:tc>
      </w:tr>
    </w:tbl>
    <w:p w14:paraId="49410982" w14:textId="77777777" w:rsidR="00786093" w:rsidRDefault="00786093" w:rsidP="009563B4">
      <w:pPr>
        <w:sectPr w:rsidR="00786093" w:rsidSect="00903274">
          <w:headerReference w:type="even" r:id="rId126"/>
          <w:headerReference w:type="default" r:id="rId127"/>
          <w:headerReference w:type="first" r:id="rId128"/>
          <w:pgSz w:w="12240" w:h="15840" w:code="1"/>
          <w:pgMar w:top="1440" w:right="1440" w:bottom="1440" w:left="1440" w:header="706" w:footer="706" w:gutter="0"/>
          <w:cols w:space="708"/>
          <w:docGrid w:linePitch="360"/>
        </w:sectPr>
      </w:pPr>
      <w:bookmarkStart w:id="497" w:name="_Annex_X-2:_Overview"/>
      <w:bookmarkEnd w:id="497"/>
    </w:p>
    <w:p w14:paraId="6492AECE" w14:textId="19E612FD" w:rsidR="00786093" w:rsidRPr="005E5BDB" w:rsidRDefault="005443A4" w:rsidP="00786093">
      <w:pPr>
        <w:pStyle w:val="Heading2"/>
        <w:rPr>
          <w:lang w:val="en-US"/>
        </w:rPr>
      </w:pPr>
      <w:bookmarkStart w:id="498" w:name="_Toc58398622"/>
      <w:r>
        <w:rPr>
          <w:sz w:val="28"/>
          <w:szCs w:val="28"/>
          <w:lang w:val="en-US"/>
        </w:rPr>
        <w:lastRenderedPageBreak/>
        <w:t>PART</w:t>
      </w:r>
      <w:r w:rsidR="00FC2B00">
        <w:rPr>
          <w:sz w:val="28"/>
          <w:szCs w:val="28"/>
          <w:lang w:val="en-US"/>
        </w:rPr>
        <w:t xml:space="preserve"> IV-2: </w:t>
      </w:r>
      <w:r w:rsidR="00786093" w:rsidRPr="00881A64">
        <w:rPr>
          <w:sz w:val="28"/>
          <w:szCs w:val="28"/>
          <w:lang w:val="en-US"/>
        </w:rPr>
        <w:t>Miombo</w:t>
      </w:r>
      <w:r w:rsidR="00786093">
        <w:rPr>
          <w:sz w:val="28"/>
          <w:szCs w:val="28"/>
          <w:lang w:val="en-US"/>
        </w:rPr>
        <w:t>-</w:t>
      </w:r>
      <w:r w:rsidR="00786093" w:rsidRPr="00881A64">
        <w:rPr>
          <w:sz w:val="28"/>
          <w:szCs w:val="28"/>
          <w:lang w:val="en-US"/>
        </w:rPr>
        <w:t>Mopane REM Strategy</w:t>
      </w:r>
      <w:bookmarkEnd w:id="498"/>
    </w:p>
    <w:p w14:paraId="24B45267" w14:textId="77777777" w:rsidR="00834BB1" w:rsidRPr="00DF3A7A" w:rsidRDefault="00834BB1" w:rsidP="00834BB1">
      <w:pPr>
        <w:spacing w:before="160" w:after="160"/>
        <w:rPr>
          <w:rFonts w:ascii="Calibri" w:hAnsi="Calibri"/>
          <w:i/>
          <w:iCs/>
          <w:sz w:val="21"/>
          <w:szCs w:val="21"/>
          <w:highlight w:val="lightGray"/>
        </w:rPr>
      </w:pPr>
      <w:bookmarkStart w:id="499" w:name="_Toc45712180"/>
      <w:r w:rsidRPr="00DF3A7A">
        <w:rPr>
          <w:rFonts w:ascii="Calibri" w:hAnsi="Calibri"/>
          <w:i/>
          <w:iCs/>
          <w:sz w:val="21"/>
          <w:szCs w:val="21"/>
          <w:highlight w:val="lightGray"/>
        </w:rPr>
        <w:t>Need for a Regional</w:t>
      </w:r>
      <w:r>
        <w:rPr>
          <w:rFonts w:ascii="Calibri" w:hAnsi="Calibri"/>
          <w:i/>
          <w:iCs/>
          <w:sz w:val="21"/>
          <w:szCs w:val="21"/>
          <w:highlight w:val="lightGray"/>
        </w:rPr>
        <w:t xml:space="preserve"> </w:t>
      </w:r>
      <w:r w:rsidRPr="00DF3A7A">
        <w:rPr>
          <w:rFonts w:ascii="Calibri" w:hAnsi="Calibri"/>
          <w:i/>
          <w:iCs/>
          <w:sz w:val="21"/>
          <w:szCs w:val="21"/>
          <w:highlight w:val="lightGray"/>
        </w:rPr>
        <w:t>Global</w:t>
      </w:r>
      <w:r>
        <w:rPr>
          <w:rFonts w:ascii="Calibri" w:hAnsi="Calibri"/>
          <w:i/>
          <w:iCs/>
          <w:sz w:val="21"/>
          <w:szCs w:val="21"/>
          <w:highlight w:val="lightGray"/>
        </w:rPr>
        <w:t>-</w:t>
      </w:r>
      <w:r w:rsidRPr="00DF3A7A">
        <w:rPr>
          <w:rFonts w:ascii="Calibri" w:hAnsi="Calibri"/>
          <w:i/>
          <w:iCs/>
          <w:sz w:val="21"/>
          <w:szCs w:val="21"/>
          <w:highlight w:val="lightGray"/>
        </w:rPr>
        <w:t>Exchange Mechanism</w:t>
      </w:r>
      <w:bookmarkEnd w:id="499"/>
    </w:p>
    <w:p w14:paraId="34C9F18A" w14:textId="77777777" w:rsidR="00834BB1" w:rsidRPr="00CE1EA7" w:rsidRDefault="00834BB1" w:rsidP="00EC734D">
      <w:pPr>
        <w:pStyle w:val="ParagraphOED"/>
        <w:numPr>
          <w:ilvl w:val="0"/>
          <w:numId w:val="0"/>
        </w:numPr>
        <w:spacing w:after="160"/>
      </w:pPr>
      <w:r>
        <w:t xml:space="preserve">The need for support services benefiting the DSL IP’s stakeholders is primarily linked to the programmatic requirements of “delivering scale, cost-effectiveness and sustainability”, as well as to program-level Outcome 3.3, which is concerned with ‘. . . </w:t>
      </w:r>
      <w:r w:rsidRPr="4D10DE74">
        <w:rPr>
          <w:i/>
          <w:iCs/>
        </w:rPr>
        <w:t>improved regional and global opportunities for collaboration, exchange and learning lessons’</w:t>
      </w:r>
      <w:r>
        <w:t xml:space="preserve">. </w:t>
      </w:r>
    </w:p>
    <w:p w14:paraId="424416D8" w14:textId="77777777" w:rsidR="00834BB1" w:rsidRPr="00CE1EA7" w:rsidRDefault="00834BB1" w:rsidP="00EC734D">
      <w:pPr>
        <w:pStyle w:val="ParagraphOED"/>
        <w:numPr>
          <w:ilvl w:val="0"/>
          <w:numId w:val="0"/>
        </w:numPr>
        <w:spacing w:after="160"/>
      </w:pPr>
      <w:r>
        <w:t xml:space="preserve">Iit is important to consider any exchange mechanism from the point of view of the client, which in this case would potentially be the entire group of stakeholders in the DSL IP. Such a representative group of 200 stakeholders from governments, GEF agencies, global NGOs, GEF Secretariat and the UNCCD Secretariat came together at FAO’s Headquarters in Rome in January 2020 to mark the inception of the DSL GSP and exchange on progress and lessons from implementation of the respective PPGs in the 11 DSL IP countries. When the theme of support services was discussed, there was almost full consensus on the need for support services to be </w:t>
      </w:r>
      <w:r w:rsidRPr="4D10DE74">
        <w:rPr>
          <w:b/>
          <w:bCs/>
        </w:rPr>
        <w:t>‘demand-driven’</w:t>
      </w:r>
      <w:r>
        <w:t xml:space="preserve">. </w:t>
      </w:r>
    </w:p>
    <w:p w14:paraId="492D42E5" w14:textId="77777777" w:rsidR="00834BB1" w:rsidRPr="00CE1EA7" w:rsidRDefault="00834BB1" w:rsidP="00EC734D">
      <w:pPr>
        <w:pStyle w:val="ParagraphOED"/>
        <w:numPr>
          <w:ilvl w:val="0"/>
          <w:numId w:val="0"/>
        </w:numPr>
        <w:spacing w:after="160"/>
      </w:pPr>
      <w:r>
        <w:t>Currently, several 'policy platforms’ and ‘knowledge hubs’ that cover themes relevant to the DSL IP are available. A brief analysis of these platforms and hubs shows that what they can offer is insufficient for reaching the IP’s goals under Outcome 3.3. There are gaps in the coverage of themes such as markets, finance, knowledge transfer, and climate, particularly with respect to drylands, LDN and SLM/SFM. Moreover, the dissemination of innovative science-based solutions applied to the management of dryland landscape is an important gap not covered by existing platforms and hubs.</w:t>
      </w:r>
    </w:p>
    <w:p w14:paraId="686C30A4" w14:textId="77777777" w:rsidR="00834BB1" w:rsidRPr="00CE1EA7" w:rsidRDefault="00834BB1" w:rsidP="00EC734D">
      <w:pPr>
        <w:pStyle w:val="ParagraphOED"/>
        <w:numPr>
          <w:ilvl w:val="0"/>
          <w:numId w:val="0"/>
        </w:numPr>
        <w:spacing w:after="160"/>
      </w:pPr>
      <w:r>
        <w:t xml:space="preserve">During the above Inception Workshop, stakeholders gave preference to a ‘mechanism’ at the regional level, which would not just complement and enhance global level support to the DSL IP Child Projects but also specifically service Miombo-Mopane countries. Specific services were identified by the participants in a post workshop survey, the results of which are unequivocal in what should be top priorities for any Regional Exchange Mechanism (REM), summarized in </w:t>
      </w:r>
      <w:r w:rsidRPr="4D10DE74">
        <w:rPr>
          <w:highlight w:val="lightGray"/>
        </w:rPr>
        <w:t>Box 8</w:t>
      </w:r>
      <w:r>
        <w:t xml:space="preserve">. </w:t>
      </w:r>
    </w:p>
    <w:p w14:paraId="19930189" w14:textId="7F1F9D94" w:rsidR="00834BB1" w:rsidRPr="004506E4" w:rsidRDefault="00834BB1" w:rsidP="00834BB1">
      <w:pPr>
        <w:pStyle w:val="Caption"/>
        <w:spacing w:before="160" w:after="80"/>
        <w:rPr>
          <w:rFonts w:ascii="Calibri" w:hAnsi="Calibri" w:cs="Calibri"/>
          <w:sz w:val="22"/>
          <w:szCs w:val="22"/>
        </w:rPr>
      </w:pPr>
      <w:bookmarkStart w:id="500" w:name="_Toc45712124"/>
      <w:bookmarkStart w:id="501" w:name="_Toc58398666"/>
      <w:r w:rsidRPr="004506E4">
        <w:rPr>
          <w:rFonts w:ascii="Calibri" w:hAnsi="Calibri" w:cs="Calibri"/>
          <w:sz w:val="22"/>
          <w:szCs w:val="22"/>
        </w:rPr>
        <w:t xml:space="preserve">Box </w:t>
      </w:r>
      <w:r w:rsidRPr="004506E4">
        <w:rPr>
          <w:rFonts w:ascii="Calibri" w:hAnsi="Calibri" w:cs="Calibri"/>
          <w:sz w:val="22"/>
          <w:szCs w:val="22"/>
        </w:rPr>
        <w:fldChar w:fldCharType="begin"/>
      </w:r>
      <w:r w:rsidRPr="004506E4">
        <w:rPr>
          <w:rFonts w:ascii="Calibri" w:hAnsi="Calibri" w:cs="Calibri"/>
          <w:sz w:val="22"/>
          <w:szCs w:val="22"/>
        </w:rPr>
        <w:instrText>SEQ Box \* ARABIC</w:instrText>
      </w:r>
      <w:r w:rsidRPr="004506E4">
        <w:rPr>
          <w:rFonts w:ascii="Calibri" w:hAnsi="Calibri" w:cs="Calibri"/>
          <w:sz w:val="22"/>
          <w:szCs w:val="22"/>
        </w:rPr>
        <w:fldChar w:fldCharType="separate"/>
      </w:r>
      <w:r w:rsidR="00A64193">
        <w:rPr>
          <w:rFonts w:ascii="Calibri" w:hAnsi="Calibri" w:cs="Calibri"/>
          <w:noProof/>
          <w:sz w:val="22"/>
          <w:szCs w:val="22"/>
        </w:rPr>
        <w:t>11</w:t>
      </w:r>
      <w:r w:rsidRPr="004506E4">
        <w:rPr>
          <w:rFonts w:ascii="Calibri" w:hAnsi="Calibri" w:cs="Calibri"/>
          <w:sz w:val="22"/>
          <w:szCs w:val="22"/>
        </w:rPr>
        <w:fldChar w:fldCharType="end"/>
      </w:r>
      <w:r w:rsidRPr="004506E4">
        <w:rPr>
          <w:rFonts w:ascii="Calibri" w:hAnsi="Calibri" w:cs="Calibri"/>
          <w:sz w:val="22"/>
          <w:szCs w:val="22"/>
        </w:rPr>
        <w:t>. Results from survey on the REM among the DSL IP global stakeholders</w:t>
      </w:r>
      <w:bookmarkEnd w:id="500"/>
      <w:bookmarkEnd w:id="501"/>
    </w:p>
    <w:tbl>
      <w:tblPr>
        <w:tblW w:w="9072"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72"/>
      </w:tblGrid>
      <w:tr w:rsidR="00834BB1" w:rsidRPr="004506E4" w14:paraId="3C55F745" w14:textId="77777777" w:rsidTr="78C544BE">
        <w:trPr>
          <w:trHeight w:val="1124"/>
        </w:trPr>
        <w:tc>
          <w:tcPr>
            <w:tcW w:w="9072" w:type="dxa"/>
            <w:shd w:val="clear" w:color="auto" w:fill="auto"/>
          </w:tcPr>
          <w:p w14:paraId="37AEA535" w14:textId="77777777" w:rsidR="00834BB1" w:rsidRPr="004506E4" w:rsidRDefault="00834BB1" w:rsidP="009D6968">
            <w:pPr>
              <w:spacing w:before="80"/>
              <w:rPr>
                <w:rFonts w:ascii="Calibri" w:hAnsi="Calibri" w:cs="Calibri"/>
                <w:sz w:val="20"/>
                <w:szCs w:val="20"/>
              </w:rPr>
            </w:pPr>
            <w:r w:rsidRPr="004506E4">
              <w:rPr>
                <w:rFonts w:ascii="Calibri" w:hAnsi="Calibri" w:cs="Calibri"/>
                <w:noProof/>
                <w:sz w:val="20"/>
                <w:szCs w:val="20"/>
                <w:lang w:val="en-US" w:eastAsia="en-US"/>
              </w:rPr>
              <w:drawing>
                <wp:anchor distT="0" distB="0" distL="114300" distR="114300" simplePos="0" relativeHeight="251658242" behindDoc="0" locked="0" layoutInCell="1" allowOverlap="1" wp14:anchorId="25287075" wp14:editId="1B6EEEC1">
                  <wp:simplePos x="0" y="0"/>
                  <wp:positionH relativeFrom="column">
                    <wp:posOffset>3404235</wp:posOffset>
                  </wp:positionH>
                  <wp:positionV relativeFrom="paragraph">
                    <wp:posOffset>343535</wp:posOffset>
                  </wp:positionV>
                  <wp:extent cx="2240280" cy="1209040"/>
                  <wp:effectExtent l="0" t="0" r="0" b="0"/>
                  <wp:wrapSquare wrapText="bothSides"/>
                  <wp:docPr id="237" name="Picture 2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9">
                            <a:extLst>
                              <a:ext uri="{28A0092B-C50C-407E-A947-70E740481C1C}">
                                <a14:useLocalDpi xmlns:a14="http://schemas.microsoft.com/office/drawing/2010/main"/>
                              </a:ext>
                            </a:extLst>
                          </a:blip>
                          <a:stretch>
                            <a:fillRect/>
                          </a:stretch>
                        </pic:blipFill>
                        <pic:spPr>
                          <a:xfrm>
                            <a:off x="0" y="0"/>
                            <a:ext cx="2240280" cy="1209040"/>
                          </a:xfrm>
                          <a:prstGeom prst="rect">
                            <a:avLst/>
                          </a:prstGeom>
                        </pic:spPr>
                      </pic:pic>
                    </a:graphicData>
                  </a:graphic>
                  <wp14:sizeRelH relativeFrom="page">
                    <wp14:pctWidth>0</wp14:pctWidth>
                  </wp14:sizeRelH>
                  <wp14:sizeRelV relativeFrom="page">
                    <wp14:pctHeight>0</wp14:pctHeight>
                  </wp14:sizeRelV>
                </wp:anchor>
              </w:drawing>
            </w:r>
            <w:r w:rsidR="125C2284" w:rsidRPr="004506E4">
              <w:rPr>
                <w:rFonts w:ascii="Calibri" w:hAnsi="Calibri" w:cs="Calibri"/>
                <w:sz w:val="20"/>
                <w:szCs w:val="20"/>
              </w:rPr>
              <w:t xml:space="preserve">In the aftermath of the </w:t>
            </w:r>
            <w:r w:rsidR="125C2284" w:rsidRPr="004506E4">
              <w:rPr>
                <w:rFonts w:ascii="Calibri" w:hAnsi="Calibri" w:cs="Calibri"/>
                <w:b/>
                <w:bCs/>
                <w:sz w:val="20"/>
                <w:szCs w:val="20"/>
              </w:rPr>
              <w:t>Inception Workshop for Global Child Project</w:t>
            </w:r>
            <w:r w:rsidR="125C2284">
              <w:rPr>
                <w:rFonts w:ascii="Calibri" w:hAnsi="Calibri" w:cs="Calibri"/>
                <w:b/>
                <w:bCs/>
                <w:sz w:val="20"/>
                <w:szCs w:val="20"/>
              </w:rPr>
              <w:t>s</w:t>
            </w:r>
            <w:r w:rsidR="125C2284" w:rsidRPr="004506E4">
              <w:rPr>
                <w:rFonts w:ascii="Calibri" w:hAnsi="Calibri" w:cs="Calibri"/>
                <w:b/>
                <w:bCs/>
                <w:sz w:val="20"/>
                <w:szCs w:val="20"/>
              </w:rPr>
              <w:t xml:space="preserve"> (GCP</w:t>
            </w:r>
            <w:r w:rsidR="125C2284">
              <w:rPr>
                <w:rFonts w:ascii="Calibri" w:hAnsi="Calibri" w:cs="Calibri"/>
                <w:b/>
                <w:bCs/>
                <w:sz w:val="20"/>
                <w:szCs w:val="20"/>
              </w:rPr>
              <w:t>s</w:t>
            </w:r>
            <w:r w:rsidR="125C2284" w:rsidRPr="004506E4">
              <w:rPr>
                <w:rFonts w:ascii="Calibri" w:hAnsi="Calibri" w:cs="Calibri"/>
                <w:b/>
                <w:bCs/>
                <w:sz w:val="20"/>
                <w:szCs w:val="20"/>
              </w:rPr>
              <w:t xml:space="preserve">) under DSL IP </w:t>
            </w:r>
            <w:r w:rsidR="125C2284" w:rsidRPr="004506E4">
              <w:rPr>
                <w:rFonts w:ascii="Calibri" w:hAnsi="Calibri" w:cs="Calibri"/>
                <w:sz w:val="20"/>
                <w:szCs w:val="20"/>
              </w:rPr>
              <w:t>(Rome</w:t>
            </w:r>
            <w:r w:rsidR="125C2284">
              <w:rPr>
                <w:rFonts w:ascii="Calibri" w:hAnsi="Calibri" w:cs="Calibri"/>
                <w:sz w:val="20"/>
                <w:szCs w:val="20"/>
              </w:rPr>
              <w:t>,</w:t>
            </w:r>
            <w:r w:rsidR="125C2284" w:rsidRPr="004506E4">
              <w:rPr>
                <w:rFonts w:ascii="Calibri" w:hAnsi="Calibri" w:cs="Calibri"/>
                <w:sz w:val="20"/>
                <w:szCs w:val="20"/>
              </w:rPr>
              <w:t xml:space="preserve"> Jan 2020), an </w:t>
            </w:r>
            <w:r w:rsidR="125C2284" w:rsidRPr="004506E4">
              <w:rPr>
                <w:rFonts w:ascii="Calibri" w:hAnsi="Calibri" w:cs="Calibri"/>
                <w:b/>
                <w:bCs/>
                <w:sz w:val="20"/>
                <w:szCs w:val="20"/>
              </w:rPr>
              <w:t xml:space="preserve">e-survey </w:t>
            </w:r>
            <w:r w:rsidR="125C2284">
              <w:rPr>
                <w:rFonts w:ascii="Calibri" w:hAnsi="Calibri" w:cs="Calibri"/>
                <w:b/>
                <w:bCs/>
                <w:sz w:val="20"/>
                <w:szCs w:val="20"/>
              </w:rPr>
              <w:t>of</w:t>
            </w:r>
            <w:r w:rsidR="125C2284" w:rsidRPr="004506E4">
              <w:rPr>
                <w:rFonts w:ascii="Calibri" w:hAnsi="Calibri" w:cs="Calibri"/>
                <w:b/>
                <w:bCs/>
                <w:sz w:val="20"/>
                <w:szCs w:val="20"/>
              </w:rPr>
              <w:t xml:space="preserve"> participants</w:t>
            </w:r>
            <w:r w:rsidR="125C2284" w:rsidRPr="004506E4">
              <w:rPr>
                <w:rFonts w:ascii="Calibri" w:hAnsi="Calibri" w:cs="Calibri"/>
                <w:sz w:val="20"/>
                <w:szCs w:val="20"/>
              </w:rPr>
              <w:t xml:space="preserve"> was carried out to collect views and opinions on </w:t>
            </w:r>
            <w:r w:rsidR="125C2284" w:rsidRPr="78C544BE">
              <w:rPr>
                <w:rFonts w:ascii="Calibri" w:hAnsi="Calibri" w:cs="Calibri"/>
                <w:i/>
                <w:iCs/>
                <w:sz w:val="20"/>
                <w:szCs w:val="20"/>
              </w:rPr>
              <w:t>‘the need for global and regional exchange mechanism under the IP”.</w:t>
            </w:r>
          </w:p>
          <w:p w14:paraId="4204C42F" w14:textId="77777777" w:rsidR="00834BB1" w:rsidRPr="004506E4" w:rsidRDefault="00834BB1" w:rsidP="009D6968">
            <w:pPr>
              <w:rPr>
                <w:rFonts w:ascii="Calibri" w:hAnsi="Calibri" w:cs="Calibri"/>
                <w:sz w:val="20"/>
                <w:szCs w:val="20"/>
              </w:rPr>
            </w:pPr>
          </w:p>
          <w:p w14:paraId="4BE7286C" w14:textId="77777777" w:rsidR="00834BB1" w:rsidRPr="004506E4" w:rsidRDefault="00834BB1" w:rsidP="009D6968">
            <w:pPr>
              <w:rPr>
                <w:rFonts w:ascii="Calibri" w:hAnsi="Calibri" w:cs="Calibri"/>
                <w:b/>
                <w:bCs/>
                <w:sz w:val="20"/>
                <w:szCs w:val="20"/>
              </w:rPr>
            </w:pPr>
            <w:r>
              <w:rPr>
                <w:rFonts w:ascii="Calibri" w:hAnsi="Calibri" w:cs="Calibri"/>
                <w:b/>
                <w:bCs/>
                <w:sz w:val="20"/>
                <w:szCs w:val="20"/>
              </w:rPr>
              <w:t>Survey Results</w:t>
            </w:r>
          </w:p>
          <w:p w14:paraId="7E069FE8" w14:textId="77777777" w:rsidR="00834BB1" w:rsidRPr="00033A1E" w:rsidRDefault="00834BB1" w:rsidP="001667C6">
            <w:pPr>
              <w:pStyle w:val="ListParagraph"/>
              <w:numPr>
                <w:ilvl w:val="0"/>
                <w:numId w:val="46"/>
              </w:numPr>
              <w:ind w:left="458" w:hanging="283"/>
              <w:jc w:val="left"/>
              <w:rPr>
                <w:rFonts w:cs="Calibri"/>
                <w:color w:val="auto"/>
                <w:sz w:val="20"/>
                <w:szCs w:val="20"/>
              </w:rPr>
            </w:pPr>
            <w:r w:rsidRPr="00033A1E">
              <w:rPr>
                <w:rFonts w:cs="Calibri"/>
                <w:color w:val="auto"/>
                <w:sz w:val="20"/>
                <w:szCs w:val="20"/>
              </w:rPr>
              <w:t xml:space="preserve">A significant majority (76%) of participants expressed the opinion that the </w:t>
            </w:r>
            <w:r w:rsidRPr="00033A1E">
              <w:rPr>
                <w:rFonts w:cs="Calibri"/>
                <w:b/>
                <w:bCs/>
                <w:color w:val="auto"/>
                <w:sz w:val="20"/>
                <w:szCs w:val="20"/>
              </w:rPr>
              <w:t>regional platform</w:t>
            </w:r>
            <w:r w:rsidRPr="00033A1E">
              <w:rPr>
                <w:rFonts w:cs="Calibri"/>
                <w:color w:val="auto"/>
                <w:sz w:val="20"/>
                <w:szCs w:val="20"/>
              </w:rPr>
              <w:t xml:space="preserve"> to help meet the needs and/or to assist in country coordination or technical inputs </w:t>
            </w:r>
            <w:r w:rsidRPr="005440F7">
              <w:rPr>
                <w:rFonts w:cs="Calibri"/>
                <w:b/>
                <w:bCs/>
                <w:color w:val="auto"/>
                <w:sz w:val="20"/>
                <w:szCs w:val="20"/>
              </w:rPr>
              <w:t>is needed</w:t>
            </w:r>
            <w:r w:rsidRPr="00033A1E">
              <w:rPr>
                <w:rFonts w:cs="Calibri"/>
                <w:color w:val="auto"/>
                <w:sz w:val="20"/>
                <w:szCs w:val="20"/>
              </w:rPr>
              <w:t xml:space="preserve"> and should be co-hosted within an existing institution with a similar mandate (87%)</w:t>
            </w:r>
            <w:r>
              <w:rPr>
                <w:rFonts w:cs="Calibri"/>
                <w:color w:val="auto"/>
                <w:sz w:val="20"/>
                <w:szCs w:val="20"/>
              </w:rPr>
              <w:t>.</w:t>
            </w:r>
          </w:p>
          <w:p w14:paraId="5F317DF7" w14:textId="77777777" w:rsidR="00834BB1" w:rsidRPr="00033A1E" w:rsidRDefault="00834BB1" w:rsidP="001667C6">
            <w:pPr>
              <w:pStyle w:val="ListParagraph"/>
              <w:numPr>
                <w:ilvl w:val="0"/>
                <w:numId w:val="46"/>
              </w:numPr>
              <w:ind w:left="458" w:hanging="283"/>
              <w:jc w:val="left"/>
              <w:rPr>
                <w:rFonts w:cs="Calibri"/>
                <w:color w:val="auto"/>
                <w:sz w:val="20"/>
                <w:szCs w:val="20"/>
              </w:rPr>
            </w:pPr>
            <w:r w:rsidRPr="00033A1E">
              <w:rPr>
                <w:rFonts w:cs="Calibri"/>
                <w:color w:val="auto"/>
                <w:sz w:val="20"/>
                <w:szCs w:val="20"/>
              </w:rPr>
              <w:t xml:space="preserve">In terms of knowledge management, </w:t>
            </w:r>
            <w:r w:rsidRPr="00033A1E">
              <w:rPr>
                <w:rFonts w:cs="Calibri"/>
                <w:b/>
                <w:bCs/>
                <w:color w:val="auto"/>
                <w:sz w:val="20"/>
                <w:szCs w:val="20"/>
              </w:rPr>
              <w:t xml:space="preserve">facilitating engagement between countries </w:t>
            </w:r>
            <w:r w:rsidRPr="00033A1E">
              <w:rPr>
                <w:rFonts w:cs="Calibri"/>
                <w:color w:val="auto"/>
                <w:sz w:val="20"/>
                <w:szCs w:val="20"/>
              </w:rPr>
              <w:t>to identify common challenges among dryland countries where collaboration might yield benefits and</w:t>
            </w:r>
            <w:r>
              <w:rPr>
                <w:rFonts w:cs="Calibri"/>
                <w:color w:val="auto"/>
                <w:sz w:val="20"/>
                <w:szCs w:val="20"/>
              </w:rPr>
              <w:t xml:space="preserve"> the</w:t>
            </w:r>
            <w:r w:rsidRPr="00033A1E">
              <w:rPr>
                <w:rFonts w:cs="Calibri"/>
                <w:color w:val="auto"/>
                <w:sz w:val="20"/>
                <w:szCs w:val="20"/>
              </w:rPr>
              <w:t xml:space="preserve"> </w:t>
            </w:r>
            <w:r w:rsidRPr="00033A1E">
              <w:rPr>
                <w:rFonts w:cs="Calibri"/>
                <w:b/>
                <w:bCs/>
                <w:color w:val="auto"/>
                <w:sz w:val="20"/>
                <w:szCs w:val="20"/>
              </w:rPr>
              <w:t>establishment of mechanism for sharing knowledge</w:t>
            </w:r>
            <w:r w:rsidRPr="00033A1E">
              <w:rPr>
                <w:rFonts w:cs="Calibri"/>
                <w:color w:val="auto"/>
                <w:sz w:val="20"/>
                <w:szCs w:val="20"/>
              </w:rPr>
              <w:t xml:space="preserve"> were identified as the most urgent priorities.</w:t>
            </w:r>
          </w:p>
          <w:p w14:paraId="08BA6226" w14:textId="77777777" w:rsidR="00834BB1" w:rsidRPr="00033A1E" w:rsidRDefault="00834BB1" w:rsidP="001667C6">
            <w:pPr>
              <w:pStyle w:val="ListParagraph"/>
              <w:numPr>
                <w:ilvl w:val="0"/>
                <w:numId w:val="46"/>
              </w:numPr>
              <w:ind w:left="458" w:hanging="283"/>
              <w:jc w:val="left"/>
              <w:rPr>
                <w:rFonts w:cs="Calibri"/>
                <w:color w:val="auto"/>
                <w:sz w:val="20"/>
                <w:szCs w:val="20"/>
              </w:rPr>
            </w:pPr>
            <w:r w:rsidRPr="00033A1E">
              <w:rPr>
                <w:rFonts w:cs="Calibri"/>
                <w:color w:val="auto"/>
                <w:sz w:val="20"/>
                <w:szCs w:val="20"/>
              </w:rPr>
              <w:t xml:space="preserve">Regarding private sector engagement, the priority is </w:t>
            </w:r>
            <w:r w:rsidRPr="005440F7">
              <w:rPr>
                <w:rFonts w:cs="Calibri"/>
                <w:b/>
                <w:bCs/>
                <w:color w:val="auto"/>
                <w:sz w:val="20"/>
                <w:szCs w:val="20"/>
              </w:rPr>
              <w:t>sharing information on regional and global market opportunities for dryland products</w:t>
            </w:r>
            <w:r>
              <w:rPr>
                <w:rFonts w:cs="Calibri"/>
                <w:color w:val="auto"/>
                <w:sz w:val="20"/>
                <w:szCs w:val="20"/>
              </w:rPr>
              <w:t>.</w:t>
            </w:r>
          </w:p>
          <w:p w14:paraId="7153F11E" w14:textId="77777777" w:rsidR="00834BB1" w:rsidRPr="004506E4" w:rsidRDefault="00834BB1" w:rsidP="001667C6">
            <w:pPr>
              <w:pStyle w:val="ListParagraph"/>
              <w:numPr>
                <w:ilvl w:val="0"/>
                <w:numId w:val="46"/>
              </w:numPr>
              <w:spacing w:after="80"/>
              <w:ind w:left="460" w:hanging="284"/>
              <w:jc w:val="left"/>
              <w:rPr>
                <w:rFonts w:cs="Calibri"/>
                <w:color w:val="auto"/>
                <w:sz w:val="20"/>
                <w:szCs w:val="20"/>
              </w:rPr>
            </w:pPr>
            <w:r w:rsidRPr="00033A1E">
              <w:rPr>
                <w:rFonts w:cs="Calibri"/>
                <w:color w:val="auto"/>
                <w:sz w:val="20"/>
                <w:szCs w:val="20"/>
              </w:rPr>
              <w:t xml:space="preserve">Countries and the global coordination project should make </w:t>
            </w:r>
            <w:r w:rsidRPr="005440F7">
              <w:rPr>
                <w:rFonts w:cs="Calibri"/>
                <w:b/>
                <w:bCs/>
                <w:color w:val="auto"/>
                <w:sz w:val="20"/>
                <w:szCs w:val="20"/>
              </w:rPr>
              <w:t>financial contributions to the regional platforms</w:t>
            </w:r>
            <w:r w:rsidRPr="00033A1E">
              <w:rPr>
                <w:rFonts w:cs="Calibri"/>
                <w:color w:val="auto"/>
                <w:sz w:val="20"/>
                <w:szCs w:val="20"/>
              </w:rPr>
              <w:t>.</w:t>
            </w:r>
          </w:p>
        </w:tc>
      </w:tr>
    </w:tbl>
    <w:p w14:paraId="48FBF725" w14:textId="77777777" w:rsidR="00834BB1" w:rsidRDefault="00834BB1" w:rsidP="00834BB1">
      <w:pPr>
        <w:pStyle w:val="Default"/>
        <w:rPr>
          <w:b/>
          <w:bCs/>
          <w:sz w:val="21"/>
          <w:szCs w:val="21"/>
        </w:rPr>
      </w:pPr>
    </w:p>
    <w:p w14:paraId="0545218F" w14:textId="77777777" w:rsidR="00834BB1" w:rsidRDefault="00834BB1" w:rsidP="00EC734D">
      <w:pPr>
        <w:pStyle w:val="ParagraphOED"/>
        <w:numPr>
          <w:ilvl w:val="0"/>
          <w:numId w:val="0"/>
        </w:numPr>
        <w:spacing w:after="160"/>
      </w:pPr>
      <w:r>
        <w:lastRenderedPageBreak/>
        <w:t xml:space="preserve">The call for a Regional Exchange Mechanism from IP stakeholders has been followed up since the January 2020 Inception Workshop, full details of which are given in </w:t>
      </w:r>
      <w:r w:rsidRPr="4D10DE74">
        <w:rPr>
          <w:highlight w:val="lightGray"/>
        </w:rPr>
        <w:t>Annex IV-2</w:t>
      </w:r>
      <w:r>
        <w:t xml:space="preserve"> and a summary in </w:t>
      </w:r>
      <w:r w:rsidRPr="4D10DE74">
        <w:rPr>
          <w:highlight w:val="lightGray"/>
        </w:rPr>
        <w:t>Box 11</w:t>
      </w:r>
      <w:r>
        <w:t>.</w:t>
      </w:r>
    </w:p>
    <w:p w14:paraId="482519A1" w14:textId="77777777" w:rsidR="00834BB1" w:rsidRPr="00CE1EA7" w:rsidRDefault="00834BB1" w:rsidP="00EC734D">
      <w:pPr>
        <w:pStyle w:val="ParagraphOED"/>
        <w:numPr>
          <w:ilvl w:val="0"/>
          <w:numId w:val="0"/>
        </w:numPr>
        <w:spacing w:after="160"/>
      </w:pPr>
      <w:r>
        <w:t>In terms of ‘</w:t>
      </w:r>
      <w:r w:rsidRPr="4D10DE74">
        <w:rPr>
          <w:b/>
          <w:bCs/>
          <w:i/>
          <w:iCs/>
        </w:rPr>
        <w:t xml:space="preserve">hubs’ </w:t>
      </w:r>
      <w:r w:rsidRPr="4D10DE74">
        <w:rPr>
          <w:i/>
          <w:iCs/>
        </w:rPr>
        <w:t>and</w:t>
      </w:r>
      <w:r w:rsidRPr="4D10DE74">
        <w:rPr>
          <w:b/>
          <w:bCs/>
          <w:i/>
          <w:iCs/>
        </w:rPr>
        <w:t xml:space="preserve"> ‘mechanism’</w:t>
      </w:r>
      <w:r>
        <w:t>, there are a suite of global level initiatives. They include the World Overview of Conservation Approaches and Technologies (</w:t>
      </w:r>
      <w:r w:rsidRPr="4D10DE74">
        <w:rPr>
          <w:b/>
          <w:bCs/>
        </w:rPr>
        <w:t>WOCAT</w:t>
      </w:r>
      <w:r>
        <w:t>), Farmer Field Schools (FFSs) and Forest Farm Facility (</w:t>
      </w:r>
      <w:r w:rsidRPr="4D10DE74">
        <w:rPr>
          <w:b/>
          <w:bCs/>
        </w:rPr>
        <w:t>FFF</w:t>
      </w:r>
      <w:r>
        <w:t xml:space="preserve">), </w:t>
      </w:r>
      <w:r w:rsidRPr="4D10DE74">
        <w:rPr>
          <w:b/>
          <w:bCs/>
        </w:rPr>
        <w:t>Pastoralist Knowledge Hub,</w:t>
      </w:r>
      <w:r>
        <w:t xml:space="preserve"> </w:t>
      </w:r>
      <w:r w:rsidRPr="4D10DE74">
        <w:rPr>
          <w:b/>
          <w:bCs/>
        </w:rPr>
        <w:t>Agroecology Hub</w:t>
      </w:r>
      <w:r>
        <w:t xml:space="preserve"> and the </w:t>
      </w:r>
      <w:r w:rsidRPr="4D10DE74">
        <w:rPr>
          <w:b/>
          <w:bCs/>
        </w:rPr>
        <w:t>NBSAP Forum</w:t>
      </w:r>
      <w:r>
        <w:t xml:space="preserve"> – to name a few. They cover a number of relevant ‘practices and themes’ that support different agendas and processes under the DSL IP. However, there is a difference between accessing platforms online for looking up knowledge/information about different ‘practices’ and actually acquiring knowledge and developing skills to implement such practices. DSL IP countries’ needs for networking, capacity building for accessing facilitated technical assistance and market opportunities for drylands’ products will not be met through these other hubs and mechanisms only. </w:t>
      </w:r>
    </w:p>
    <w:p w14:paraId="5255158C" w14:textId="42B975CA" w:rsidR="00834BB1" w:rsidRPr="00CE1EA7" w:rsidRDefault="00834BB1" w:rsidP="00EC734D">
      <w:pPr>
        <w:pStyle w:val="ParagraphOED"/>
        <w:numPr>
          <w:ilvl w:val="0"/>
          <w:numId w:val="0"/>
        </w:numPr>
        <w:spacing w:after="160"/>
      </w:pPr>
      <w:r>
        <w:t>Regarding ‘</w:t>
      </w:r>
      <w:r w:rsidRPr="4D10DE74">
        <w:rPr>
          <w:b/>
          <w:bCs/>
          <w:i/>
          <w:iCs/>
        </w:rPr>
        <w:t>platforms’</w:t>
      </w:r>
      <w:r>
        <w:t xml:space="preserve">, the most central one in terms of networking include the Working Group on Dryland Forest and Agrosylvopastoral Systems (or the </w:t>
      </w:r>
      <w:r w:rsidR="00DD10D6">
        <w:rPr>
          <w:b/>
          <w:bCs/>
        </w:rPr>
        <w:t>WG</w:t>
      </w:r>
      <w:r>
        <w:t xml:space="preserve">), which </w:t>
      </w:r>
      <w:r w:rsidR="00DD10D6">
        <w:t xml:space="preserve">will coordinate with the </w:t>
      </w:r>
      <w:r>
        <w:t xml:space="preserve">regional </w:t>
      </w:r>
      <w:r w:rsidR="00DD10D6">
        <w:t>mechanism</w:t>
      </w:r>
      <w:r>
        <w:t xml:space="preserve"> at SADC level and a rather narrow mandate with respect to exchange on policies. The </w:t>
      </w:r>
      <w:r w:rsidR="000135D7">
        <w:t>Working Group</w:t>
      </w:r>
      <w:r>
        <w:t xml:space="preserve"> could likely be the founding members of the </w:t>
      </w:r>
      <w:r w:rsidRPr="006B4F62">
        <w:t>future Southern Africa DSL Regional Exchange Mechanism proposed herein. It is also</w:t>
      </w:r>
      <w:r>
        <w:t xml:space="preserve"> worth mentioning that, historically, SADC countries have been implementing the Sub-Regional Action Program on Drought and Desertification (</w:t>
      </w:r>
      <w:r w:rsidRPr="4D10DE74">
        <w:rPr>
          <w:b/>
          <w:bCs/>
        </w:rPr>
        <w:t>SRAP</w:t>
      </w:r>
      <w:r>
        <w:t xml:space="preserve">) since the early 2000’s, which transitioned into being a lasting policy support platform maintained by IUCN. </w:t>
      </w:r>
    </w:p>
    <w:p w14:paraId="52344702" w14:textId="38B1B698" w:rsidR="009563B4" w:rsidRPr="0030440A" w:rsidRDefault="00187D77" w:rsidP="0030440A">
      <w:pPr>
        <w:pStyle w:val="ParagraphOED"/>
        <w:numPr>
          <w:ilvl w:val="0"/>
          <w:numId w:val="0"/>
        </w:numPr>
        <w:spacing w:after="160"/>
      </w:pPr>
      <w:r w:rsidRPr="0030440A">
        <w:t>A detailed document with the description of the REM can be found here:</w:t>
      </w:r>
    </w:p>
    <w:p w14:paraId="4094E1EE" w14:textId="2E6D5F62" w:rsidR="00C85F8D" w:rsidRPr="005276A8" w:rsidRDefault="000C73F8" w:rsidP="005276A8">
      <w:pPr>
        <w:spacing w:after="160" w:line="259" w:lineRule="auto"/>
        <w:jc w:val="center"/>
        <w:rPr>
          <w:rFonts w:asciiTheme="minorHAnsi" w:hAnsiTheme="minorHAnsi"/>
          <w:b/>
          <w:bCs/>
          <w:sz w:val="21"/>
          <w:szCs w:val="21"/>
        </w:rPr>
      </w:pPr>
      <w:hyperlink r:id="rId130" w:history="1">
        <w:r w:rsidR="005276A8" w:rsidRPr="005276A8">
          <w:rPr>
            <w:rStyle w:val="Hyperlink"/>
            <w:rFonts w:asciiTheme="minorHAnsi" w:hAnsiTheme="minorHAnsi"/>
            <w:b/>
            <w:bCs/>
            <w:sz w:val="21"/>
            <w:szCs w:val="21"/>
          </w:rPr>
          <w:t>https://drive.google.com/file/d/1tT8LF45ccBXlnVc3t5ZG9lscQQcClPY9/view?usp=sharing</w:t>
        </w:r>
      </w:hyperlink>
    </w:p>
    <w:p w14:paraId="495B4A38" w14:textId="77777777" w:rsidR="005276A8" w:rsidRPr="00CE1EA7" w:rsidRDefault="005276A8" w:rsidP="009563B4">
      <w:pPr>
        <w:spacing w:after="160" w:line="259" w:lineRule="auto"/>
        <w:rPr>
          <w:sz w:val="19"/>
          <w:szCs w:val="19"/>
        </w:rPr>
      </w:pPr>
    </w:p>
    <w:p w14:paraId="3A94EB92" w14:textId="6CB3431B" w:rsidR="009563B4" w:rsidRDefault="009563B4" w:rsidP="009563B4">
      <w:pPr>
        <w:rPr>
          <w:sz w:val="19"/>
          <w:szCs w:val="19"/>
        </w:rPr>
      </w:pPr>
    </w:p>
    <w:p w14:paraId="34225CCB" w14:textId="254EA67F" w:rsidR="0030440A" w:rsidRDefault="0030440A" w:rsidP="009563B4">
      <w:pPr>
        <w:rPr>
          <w:sz w:val="19"/>
          <w:szCs w:val="19"/>
        </w:rPr>
      </w:pPr>
    </w:p>
    <w:p w14:paraId="55562C4E" w14:textId="77CA218B" w:rsidR="0030440A" w:rsidRDefault="0030440A" w:rsidP="009563B4">
      <w:pPr>
        <w:rPr>
          <w:sz w:val="19"/>
          <w:szCs w:val="19"/>
        </w:rPr>
      </w:pPr>
    </w:p>
    <w:p w14:paraId="2075D6B9" w14:textId="785CFD76" w:rsidR="0030440A" w:rsidRDefault="0030440A" w:rsidP="009563B4">
      <w:pPr>
        <w:rPr>
          <w:sz w:val="19"/>
          <w:szCs w:val="19"/>
        </w:rPr>
      </w:pPr>
    </w:p>
    <w:p w14:paraId="227484F7" w14:textId="7F146065" w:rsidR="0030440A" w:rsidRDefault="0030440A" w:rsidP="009563B4">
      <w:pPr>
        <w:rPr>
          <w:sz w:val="19"/>
          <w:szCs w:val="19"/>
        </w:rPr>
      </w:pPr>
    </w:p>
    <w:p w14:paraId="4BC2EC1D" w14:textId="4DA55E52" w:rsidR="0030440A" w:rsidRDefault="0030440A" w:rsidP="009563B4">
      <w:pPr>
        <w:rPr>
          <w:sz w:val="19"/>
          <w:szCs w:val="19"/>
        </w:rPr>
      </w:pPr>
    </w:p>
    <w:p w14:paraId="5C205EC2" w14:textId="3A17CCED" w:rsidR="0030440A" w:rsidRDefault="0030440A" w:rsidP="009563B4">
      <w:pPr>
        <w:rPr>
          <w:sz w:val="19"/>
          <w:szCs w:val="19"/>
        </w:rPr>
      </w:pPr>
    </w:p>
    <w:p w14:paraId="3E1D7032" w14:textId="281362EE" w:rsidR="0030440A" w:rsidRDefault="0030440A" w:rsidP="009563B4">
      <w:pPr>
        <w:rPr>
          <w:sz w:val="19"/>
          <w:szCs w:val="19"/>
        </w:rPr>
      </w:pPr>
    </w:p>
    <w:p w14:paraId="0AC70DAB" w14:textId="55066E17" w:rsidR="0030440A" w:rsidRDefault="0030440A" w:rsidP="009563B4">
      <w:pPr>
        <w:rPr>
          <w:sz w:val="19"/>
          <w:szCs w:val="19"/>
        </w:rPr>
      </w:pPr>
    </w:p>
    <w:p w14:paraId="72BA42A4" w14:textId="128777DF" w:rsidR="0030440A" w:rsidRDefault="0030440A" w:rsidP="009563B4">
      <w:pPr>
        <w:rPr>
          <w:sz w:val="19"/>
          <w:szCs w:val="19"/>
        </w:rPr>
      </w:pPr>
    </w:p>
    <w:p w14:paraId="720E639A" w14:textId="21A6CE4A" w:rsidR="0030440A" w:rsidRDefault="0030440A" w:rsidP="009563B4">
      <w:pPr>
        <w:rPr>
          <w:sz w:val="19"/>
          <w:szCs w:val="19"/>
        </w:rPr>
      </w:pPr>
    </w:p>
    <w:p w14:paraId="1744A575" w14:textId="43E58B2F" w:rsidR="0030440A" w:rsidRDefault="0030440A" w:rsidP="009563B4">
      <w:pPr>
        <w:rPr>
          <w:sz w:val="19"/>
          <w:szCs w:val="19"/>
        </w:rPr>
      </w:pPr>
    </w:p>
    <w:p w14:paraId="581972E6" w14:textId="324CF0FF" w:rsidR="0030440A" w:rsidRDefault="0030440A" w:rsidP="009563B4">
      <w:pPr>
        <w:rPr>
          <w:sz w:val="19"/>
          <w:szCs w:val="19"/>
        </w:rPr>
      </w:pPr>
    </w:p>
    <w:p w14:paraId="4CC6378F" w14:textId="0C808602" w:rsidR="0030440A" w:rsidRDefault="0030440A" w:rsidP="009563B4">
      <w:pPr>
        <w:rPr>
          <w:sz w:val="19"/>
          <w:szCs w:val="19"/>
        </w:rPr>
      </w:pPr>
    </w:p>
    <w:p w14:paraId="39A1AB22" w14:textId="44116A4D" w:rsidR="0030440A" w:rsidRDefault="0030440A" w:rsidP="009563B4">
      <w:pPr>
        <w:rPr>
          <w:sz w:val="19"/>
          <w:szCs w:val="19"/>
        </w:rPr>
      </w:pPr>
    </w:p>
    <w:p w14:paraId="6B27F505" w14:textId="6175B1C5" w:rsidR="0030440A" w:rsidRDefault="0030440A" w:rsidP="009563B4">
      <w:pPr>
        <w:rPr>
          <w:sz w:val="19"/>
          <w:szCs w:val="19"/>
        </w:rPr>
      </w:pPr>
    </w:p>
    <w:p w14:paraId="7B31AF2D" w14:textId="00995102" w:rsidR="0030440A" w:rsidRDefault="0030440A" w:rsidP="009563B4">
      <w:pPr>
        <w:rPr>
          <w:sz w:val="19"/>
          <w:szCs w:val="19"/>
        </w:rPr>
      </w:pPr>
    </w:p>
    <w:p w14:paraId="14C57227" w14:textId="489AE742" w:rsidR="0030440A" w:rsidRDefault="0030440A" w:rsidP="009563B4">
      <w:pPr>
        <w:rPr>
          <w:sz w:val="19"/>
          <w:szCs w:val="19"/>
        </w:rPr>
      </w:pPr>
    </w:p>
    <w:p w14:paraId="79A6B686" w14:textId="362504A9" w:rsidR="0030440A" w:rsidRDefault="0030440A" w:rsidP="009563B4">
      <w:pPr>
        <w:rPr>
          <w:sz w:val="19"/>
          <w:szCs w:val="19"/>
        </w:rPr>
      </w:pPr>
    </w:p>
    <w:p w14:paraId="453096BE" w14:textId="14CF6576" w:rsidR="0030440A" w:rsidRDefault="0030440A" w:rsidP="009563B4">
      <w:pPr>
        <w:rPr>
          <w:sz w:val="19"/>
          <w:szCs w:val="19"/>
        </w:rPr>
      </w:pPr>
    </w:p>
    <w:p w14:paraId="73742CE4" w14:textId="3CC01155" w:rsidR="0030440A" w:rsidRDefault="0030440A" w:rsidP="009563B4">
      <w:pPr>
        <w:rPr>
          <w:sz w:val="19"/>
          <w:szCs w:val="19"/>
        </w:rPr>
      </w:pPr>
    </w:p>
    <w:p w14:paraId="2F65CC43" w14:textId="2CB58563" w:rsidR="0030440A" w:rsidRDefault="0030440A" w:rsidP="009563B4">
      <w:pPr>
        <w:rPr>
          <w:sz w:val="19"/>
          <w:szCs w:val="19"/>
        </w:rPr>
      </w:pPr>
    </w:p>
    <w:p w14:paraId="4ACAE7DA" w14:textId="6C4ADC1A" w:rsidR="0030440A" w:rsidRDefault="0030440A" w:rsidP="009563B4">
      <w:pPr>
        <w:rPr>
          <w:sz w:val="19"/>
          <w:szCs w:val="19"/>
        </w:rPr>
      </w:pPr>
    </w:p>
    <w:p w14:paraId="0EEAB301" w14:textId="3FFFB4B1" w:rsidR="0030440A" w:rsidRDefault="0030440A" w:rsidP="009563B4">
      <w:pPr>
        <w:rPr>
          <w:sz w:val="19"/>
          <w:szCs w:val="19"/>
        </w:rPr>
      </w:pPr>
    </w:p>
    <w:p w14:paraId="4FC3CBB5" w14:textId="7D03D4C7" w:rsidR="0030440A" w:rsidRDefault="0030440A" w:rsidP="009563B4">
      <w:pPr>
        <w:rPr>
          <w:sz w:val="19"/>
          <w:szCs w:val="19"/>
        </w:rPr>
      </w:pPr>
    </w:p>
    <w:p w14:paraId="1706E45C" w14:textId="41B599BE" w:rsidR="0030440A" w:rsidRDefault="0030440A" w:rsidP="009563B4">
      <w:pPr>
        <w:rPr>
          <w:sz w:val="19"/>
          <w:szCs w:val="19"/>
        </w:rPr>
      </w:pPr>
    </w:p>
    <w:p w14:paraId="2B6531F4" w14:textId="0BC87B6A" w:rsidR="005A60A4" w:rsidRPr="00BB797F" w:rsidRDefault="005A60A4" w:rsidP="00FB7044">
      <w:pPr>
        <w:pStyle w:val="Heading2"/>
        <w:rPr>
          <w:lang w:val="en-US"/>
        </w:rPr>
      </w:pPr>
      <w:bookmarkStart w:id="502" w:name="_Toc58398623"/>
      <w:bookmarkStart w:id="503" w:name="_Ref42259464"/>
      <w:bookmarkStart w:id="504" w:name="_Toc42262697"/>
      <w:r w:rsidRPr="00BB797F">
        <w:rPr>
          <w:lang w:val="en-US"/>
        </w:rPr>
        <w:lastRenderedPageBreak/>
        <w:t>ANNEX W-1 LAND-USE PLANNING, SLM and SFM AND THE LDN CHECKLIST</w:t>
      </w:r>
      <w:bookmarkEnd w:id="502"/>
    </w:p>
    <w:p w14:paraId="48B849D2" w14:textId="20CF430E" w:rsidR="001B49BA" w:rsidRPr="005A60A4" w:rsidRDefault="001B49BA" w:rsidP="005A60A4">
      <w:pPr>
        <w:spacing w:after="160" w:line="259" w:lineRule="auto"/>
        <w:jc w:val="center"/>
        <w:rPr>
          <w:rStyle w:val="Hyperlink"/>
          <w:rFonts w:asciiTheme="minorHAnsi" w:hAnsiTheme="minorHAnsi"/>
          <w:b/>
          <w:bCs/>
          <w:sz w:val="21"/>
          <w:szCs w:val="21"/>
        </w:rPr>
      </w:pPr>
      <w:bookmarkStart w:id="505" w:name="_Annex_W-1:_Land"/>
      <w:bookmarkStart w:id="506" w:name="_Annex_W-2:_Socio-Economic_1"/>
      <w:bookmarkStart w:id="507" w:name="_Ref42259482"/>
      <w:bookmarkStart w:id="508" w:name="_Toc42262698"/>
      <w:bookmarkEnd w:id="503"/>
      <w:bookmarkEnd w:id="504"/>
      <w:bookmarkEnd w:id="505"/>
      <w:bookmarkEnd w:id="506"/>
      <w:r w:rsidRPr="005A60A4">
        <w:rPr>
          <w:rStyle w:val="Hyperlink"/>
          <w:rFonts w:asciiTheme="minorHAnsi" w:hAnsiTheme="minorHAnsi"/>
          <w:b/>
          <w:bCs/>
          <w:sz w:val="21"/>
          <w:szCs w:val="21"/>
        </w:rPr>
        <w:t>https://drive.google.com/file/d/19SNt98vVuJItnFz-AiIJXA5SHEWAzOyT/view?usp=sharing</w:t>
      </w:r>
    </w:p>
    <w:p w14:paraId="711017FE" w14:textId="7D308055" w:rsidR="009563B4" w:rsidRPr="00CE3A55" w:rsidRDefault="009563B4" w:rsidP="009563B4">
      <w:pPr>
        <w:pStyle w:val="Heading2"/>
        <w:rPr>
          <w:lang w:val="it-IT"/>
        </w:rPr>
      </w:pPr>
      <w:bookmarkStart w:id="509" w:name="_Toc58398624"/>
      <w:r w:rsidRPr="00CE3A55">
        <w:rPr>
          <w:lang w:val="it-IT"/>
        </w:rPr>
        <w:t>Annex W-2: Socio-Economic context</w:t>
      </w:r>
      <w:bookmarkEnd w:id="507"/>
      <w:bookmarkEnd w:id="508"/>
      <w:bookmarkEnd w:id="509"/>
    </w:p>
    <w:p w14:paraId="41CF1EF2" w14:textId="3C44DE19" w:rsidR="00B36C63" w:rsidRPr="00CE3A55" w:rsidRDefault="00B36C63" w:rsidP="00B36C63">
      <w:pPr>
        <w:spacing w:after="160" w:line="259" w:lineRule="auto"/>
        <w:jc w:val="center"/>
        <w:rPr>
          <w:rStyle w:val="Hyperlink"/>
          <w:rFonts w:asciiTheme="minorHAnsi" w:hAnsiTheme="minorHAnsi"/>
          <w:b/>
          <w:bCs/>
          <w:sz w:val="21"/>
          <w:szCs w:val="21"/>
          <w:lang w:val="it-IT"/>
        </w:rPr>
      </w:pPr>
      <w:r w:rsidRPr="00CE3A55">
        <w:rPr>
          <w:rStyle w:val="Hyperlink"/>
          <w:rFonts w:asciiTheme="minorHAnsi" w:hAnsiTheme="minorHAnsi"/>
          <w:b/>
          <w:bCs/>
          <w:sz w:val="21"/>
          <w:szCs w:val="21"/>
          <w:lang w:val="it-IT"/>
        </w:rPr>
        <w:t>https://drive.google.com/file/d/1Av0tauBl-3aJI7WboSCw8EAha6q7Qqi5/view?usp=sharing</w:t>
      </w:r>
    </w:p>
    <w:p w14:paraId="7B728CFC" w14:textId="77777777" w:rsidR="00BB7F21" w:rsidRPr="001B1C60" w:rsidRDefault="00BB7F21" w:rsidP="00BB7F21">
      <w:pPr>
        <w:pStyle w:val="Heading2"/>
        <w:rPr>
          <w:lang w:val="en-US"/>
        </w:rPr>
      </w:pPr>
      <w:bookmarkStart w:id="510" w:name="_Annex_W-3:_The"/>
      <w:bookmarkStart w:id="511" w:name="_Ref42259484"/>
      <w:bookmarkStart w:id="512" w:name="_Toc42262699"/>
      <w:bookmarkStart w:id="513" w:name="_Toc58398625"/>
      <w:bookmarkEnd w:id="510"/>
      <w:r w:rsidRPr="001B1C60">
        <w:rPr>
          <w:lang w:val="en-US"/>
        </w:rPr>
        <w:t>Annex W-3: The Agrarian Sector of Angola</w:t>
      </w:r>
      <w:bookmarkEnd w:id="511"/>
      <w:bookmarkEnd w:id="512"/>
      <w:bookmarkEnd w:id="513"/>
    </w:p>
    <w:p w14:paraId="5C4ADE67" w14:textId="5B24DF20" w:rsidR="009563B4" w:rsidRPr="00527248" w:rsidRDefault="0031284A" w:rsidP="00527248">
      <w:pPr>
        <w:spacing w:after="160" w:line="259" w:lineRule="auto"/>
        <w:jc w:val="center"/>
        <w:rPr>
          <w:rStyle w:val="Hyperlink"/>
          <w:rFonts w:asciiTheme="minorHAnsi" w:hAnsiTheme="minorHAnsi"/>
          <w:b/>
          <w:bCs/>
          <w:sz w:val="21"/>
          <w:szCs w:val="21"/>
        </w:rPr>
      </w:pPr>
      <w:r w:rsidRPr="00527248">
        <w:rPr>
          <w:rStyle w:val="Hyperlink"/>
          <w:rFonts w:asciiTheme="minorHAnsi" w:hAnsiTheme="minorHAnsi"/>
          <w:b/>
          <w:bCs/>
          <w:sz w:val="21"/>
          <w:szCs w:val="21"/>
        </w:rPr>
        <w:t>https://drive.google.com/file/d/1GGNA-AhBQ2yCqKUkFxkGNEiOfLe_31Bn/view?usp=sharing</w:t>
      </w:r>
      <w:r w:rsidR="009563B4" w:rsidRPr="00527248">
        <w:rPr>
          <w:rStyle w:val="Hyperlink"/>
          <w:rFonts w:asciiTheme="minorHAnsi" w:hAnsiTheme="minorHAnsi"/>
          <w:b/>
          <w:bCs/>
          <w:sz w:val="21"/>
          <w:szCs w:val="21"/>
        </w:rPr>
        <w:t xml:space="preserve"> </w:t>
      </w:r>
    </w:p>
    <w:p w14:paraId="3C524593" w14:textId="2D5D9888" w:rsidR="009563B4" w:rsidRPr="000E6BB5" w:rsidRDefault="000E6BB5" w:rsidP="000E6BB5">
      <w:pPr>
        <w:pStyle w:val="Heading2"/>
        <w:rPr>
          <w:lang w:val="en-US"/>
        </w:rPr>
      </w:pPr>
      <w:bookmarkStart w:id="514" w:name="_Annex_W-4:_Detailed"/>
      <w:bookmarkStart w:id="515" w:name="_Toc58398626"/>
      <w:bookmarkStart w:id="516" w:name="_Toc42262702"/>
      <w:bookmarkStart w:id="517" w:name="_Toc37778944"/>
      <w:bookmarkEnd w:id="514"/>
      <w:r w:rsidRPr="000E6BB5">
        <w:rPr>
          <w:lang w:val="en-US"/>
        </w:rPr>
        <w:t>Annex W-4: Detailed Multi-Scale Threat Analysis</w:t>
      </w:r>
      <w:bookmarkEnd w:id="515"/>
    </w:p>
    <w:p w14:paraId="39605E4F" w14:textId="77777777" w:rsidR="00752A5A" w:rsidRDefault="00752A5A" w:rsidP="00752A5A">
      <w:pPr>
        <w:rPr>
          <w:lang w:val="en-US" w:eastAsia="en-US"/>
        </w:rPr>
      </w:pPr>
    </w:p>
    <w:p w14:paraId="7955F95F" w14:textId="0AC5B703" w:rsidR="00F6263F" w:rsidRDefault="000C73F8" w:rsidP="00717597">
      <w:pPr>
        <w:spacing w:after="160" w:line="259" w:lineRule="auto"/>
        <w:jc w:val="center"/>
        <w:rPr>
          <w:rStyle w:val="Hyperlink"/>
          <w:rFonts w:asciiTheme="minorHAnsi" w:hAnsiTheme="minorHAnsi"/>
          <w:b/>
          <w:bCs/>
          <w:sz w:val="21"/>
          <w:szCs w:val="21"/>
        </w:rPr>
      </w:pPr>
      <w:hyperlink r:id="rId131" w:history="1">
        <w:r w:rsidR="00F6263F" w:rsidRPr="004B7F89">
          <w:rPr>
            <w:rStyle w:val="Hyperlink"/>
            <w:rFonts w:asciiTheme="minorHAnsi" w:hAnsiTheme="minorHAnsi"/>
            <w:b/>
            <w:bCs/>
            <w:sz w:val="21"/>
            <w:szCs w:val="21"/>
          </w:rPr>
          <w:t>https://drive.google.com/file/d/1LbvcSGXrJCCx10AmRdk8J8wwqklL7Kfe/view?usp=sharing</w:t>
        </w:r>
      </w:hyperlink>
    </w:p>
    <w:p w14:paraId="72DBC367" w14:textId="77777777" w:rsidR="00F6263F" w:rsidRDefault="00F6263F" w:rsidP="00717597">
      <w:pPr>
        <w:spacing w:after="160" w:line="259" w:lineRule="auto"/>
        <w:jc w:val="center"/>
        <w:rPr>
          <w:rStyle w:val="Hyperlink"/>
          <w:rFonts w:asciiTheme="minorHAnsi" w:hAnsiTheme="minorHAnsi"/>
          <w:b/>
          <w:bCs/>
          <w:sz w:val="21"/>
          <w:szCs w:val="21"/>
        </w:rPr>
      </w:pPr>
    </w:p>
    <w:p w14:paraId="3A1E68AB" w14:textId="0F094D00" w:rsidR="009563B4" w:rsidRPr="00734F4D" w:rsidRDefault="009563B4" w:rsidP="00717597">
      <w:pPr>
        <w:spacing w:after="160" w:line="259" w:lineRule="auto"/>
        <w:jc w:val="center"/>
        <w:rPr>
          <w:lang w:val="en-US"/>
        </w:rPr>
      </w:pPr>
      <w:r w:rsidRPr="00734F4D">
        <w:rPr>
          <w:lang w:val="en-US"/>
        </w:rPr>
        <w:t>ANNEXURES [X] Gender Strategy, PPG Reports &amp; Climate Considerations</w:t>
      </w:r>
    </w:p>
    <w:p w14:paraId="446B2CFD" w14:textId="77777777" w:rsidR="00592E4B" w:rsidRPr="00734F4D" w:rsidRDefault="00592E4B" w:rsidP="00592E4B">
      <w:pPr>
        <w:pStyle w:val="Heading2"/>
        <w:rPr>
          <w:lang w:val="en-US"/>
        </w:rPr>
      </w:pPr>
      <w:bookmarkStart w:id="518" w:name="_Annex_X-1:_A_1"/>
      <w:bookmarkStart w:id="519" w:name="_Toc58398627"/>
      <w:bookmarkEnd w:id="518"/>
      <w:r w:rsidRPr="00734F4D">
        <w:rPr>
          <w:lang w:val="en-US"/>
        </w:rPr>
        <w:t>Annex X-1: A G</w:t>
      </w:r>
      <w:r w:rsidRPr="00734F4D">
        <w:rPr>
          <w:color w:val="auto"/>
          <w:lang w:val="en-US"/>
        </w:rPr>
        <w:t>ender Sensitive Stra</w:t>
      </w:r>
      <w:r w:rsidRPr="00734F4D">
        <w:rPr>
          <w:lang w:val="en-US"/>
        </w:rPr>
        <w:t>tegy for Integrated and gender mainstreaming approach in LDN management</w:t>
      </w:r>
      <w:bookmarkEnd w:id="519"/>
    </w:p>
    <w:p w14:paraId="51EDF3CD" w14:textId="6907996C" w:rsidR="002C5183" w:rsidRDefault="000C73F8" w:rsidP="00E2054F">
      <w:pPr>
        <w:jc w:val="center"/>
        <w:rPr>
          <w:lang w:val="en-US"/>
        </w:rPr>
      </w:pPr>
      <w:hyperlink r:id="rId132" w:history="1">
        <w:r w:rsidR="009F74F2" w:rsidRPr="00E2054F">
          <w:rPr>
            <w:rStyle w:val="Hyperlink"/>
            <w:rFonts w:asciiTheme="minorHAnsi" w:hAnsiTheme="minorHAnsi" w:cstheme="minorHAnsi"/>
            <w:b/>
            <w:bCs/>
            <w:sz w:val="21"/>
            <w:szCs w:val="21"/>
          </w:rPr>
          <w:t>https://drive.google.com/file/d/1ak9P2cWqpCmdr2rxwicN34pIFQVwUePL/view?usp=sharing</w:t>
        </w:r>
      </w:hyperlink>
    </w:p>
    <w:p w14:paraId="5DADF704" w14:textId="77777777" w:rsidR="009563B4" w:rsidRPr="00734F4D" w:rsidRDefault="009563B4" w:rsidP="009563B4">
      <w:pPr>
        <w:pStyle w:val="Heading2"/>
        <w:rPr>
          <w:rStyle w:val="Strong"/>
          <w:rFonts w:eastAsia="SimSun"/>
          <w:b/>
          <w:lang w:val="en-US"/>
        </w:rPr>
      </w:pPr>
      <w:bookmarkStart w:id="520" w:name="_Toc58398628"/>
      <w:r w:rsidRPr="00734F4D">
        <w:rPr>
          <w:lang w:val="en-US"/>
        </w:rPr>
        <w:t xml:space="preserve">Annex X-2: </w:t>
      </w:r>
      <w:r w:rsidRPr="00734F4D">
        <w:rPr>
          <w:rStyle w:val="Strong"/>
          <w:b/>
          <w:bCs/>
          <w:lang w:val="en-US"/>
        </w:rPr>
        <w:t>PPG Reports</w:t>
      </w:r>
      <w:bookmarkEnd w:id="520"/>
    </w:p>
    <w:p w14:paraId="2AB8E948" w14:textId="70AB723A" w:rsidR="00F5301E" w:rsidRPr="00BF2C69" w:rsidRDefault="00F5301E" w:rsidP="009F74F2">
      <w:pPr>
        <w:pStyle w:val="Heading3"/>
        <w:jc w:val="left"/>
        <w:rPr>
          <w:rFonts w:asciiTheme="minorHAnsi" w:hAnsiTheme="minorHAnsi" w:cstheme="minorHAnsi"/>
        </w:rPr>
      </w:pPr>
      <w:bookmarkStart w:id="521" w:name="_Annex_X-2.1:_Results_1"/>
      <w:bookmarkEnd w:id="521"/>
      <w:r w:rsidRPr="00BF2C69">
        <w:rPr>
          <w:rFonts w:asciiTheme="minorHAnsi" w:hAnsiTheme="minorHAnsi" w:cstheme="minorHAnsi"/>
        </w:rPr>
        <w:t>Annex X-2.1: Results from the Remote Sensing (RS) Assessment</w:t>
      </w:r>
    </w:p>
    <w:p w14:paraId="3DD2FA22" w14:textId="77777777" w:rsidR="005E6674" w:rsidRPr="00332966" w:rsidRDefault="00332966" w:rsidP="007273B3">
      <w:pPr>
        <w:jc w:val="center"/>
        <w:rPr>
          <w:rStyle w:val="Hyperlink"/>
          <w:rFonts w:asciiTheme="minorHAnsi" w:hAnsiTheme="minorHAnsi" w:cstheme="minorHAnsi"/>
          <w:b/>
          <w:bCs/>
          <w:sz w:val="21"/>
          <w:szCs w:val="21"/>
        </w:rPr>
      </w:pPr>
      <w:r>
        <w:rPr>
          <w:rFonts w:asciiTheme="minorHAnsi" w:hAnsiTheme="minorHAnsi" w:cstheme="minorHAnsi"/>
          <w:b/>
          <w:bCs/>
          <w:sz w:val="21"/>
          <w:szCs w:val="21"/>
        </w:rPr>
        <w:fldChar w:fldCharType="begin"/>
      </w:r>
      <w:r>
        <w:instrText xml:space="preserve"> HYPERLINK "https://drive.google.com/file/d/1BdAwAOBjxiYPw58QeyMbcaEUIFP1-UW_/view?usp=sharing" </w:instrText>
      </w:r>
      <w:r>
        <w:rPr>
          <w:rFonts w:asciiTheme="minorHAnsi" w:hAnsiTheme="minorHAnsi" w:cstheme="minorHAnsi"/>
          <w:b/>
          <w:bCs/>
          <w:sz w:val="21"/>
          <w:szCs w:val="21"/>
        </w:rPr>
        <w:fldChar w:fldCharType="separate"/>
      </w:r>
      <w:r w:rsidR="00E544D0" w:rsidRPr="00332966">
        <w:rPr>
          <w:rStyle w:val="Hyperlink"/>
          <w:rFonts w:asciiTheme="minorHAnsi" w:hAnsiTheme="minorHAnsi" w:cstheme="minorHAnsi"/>
          <w:b/>
          <w:bCs/>
          <w:sz w:val="21"/>
          <w:szCs w:val="21"/>
        </w:rPr>
        <w:t>https://drive.google.com/file/d/1BdAwAOBjxiYPw58QeyMbcaEUIFP1-UW_/view?usp=sharing</w:t>
      </w:r>
    </w:p>
    <w:bookmarkStart w:id="522" w:name="_Annex_X-2.2:_Value_1"/>
    <w:bookmarkStart w:id="523" w:name="_Ref45445761"/>
    <w:bookmarkStart w:id="524" w:name="_Ref45457459"/>
    <w:bookmarkEnd w:id="522"/>
    <w:p w14:paraId="08C02A30" w14:textId="262EBF19" w:rsidR="009563B4" w:rsidRPr="00BF2C69" w:rsidRDefault="00332966" w:rsidP="009F74F2">
      <w:pPr>
        <w:pStyle w:val="Heading3"/>
        <w:jc w:val="left"/>
        <w:rPr>
          <w:rStyle w:val="Strong"/>
          <w:rFonts w:asciiTheme="minorHAnsi" w:hAnsiTheme="minorHAnsi" w:cstheme="minorHAnsi"/>
          <w:b/>
        </w:rPr>
      </w:pPr>
      <w:r>
        <w:rPr>
          <w:rFonts w:asciiTheme="minorHAnsi" w:hAnsiTheme="minorHAnsi" w:cstheme="minorHAnsi"/>
          <w:bCs/>
          <w:sz w:val="21"/>
          <w:szCs w:val="21"/>
        </w:rPr>
        <w:fldChar w:fldCharType="end"/>
      </w:r>
      <w:r w:rsidR="009563B4" w:rsidRPr="00BF2C69">
        <w:rPr>
          <w:rFonts w:asciiTheme="minorHAnsi" w:hAnsiTheme="minorHAnsi" w:cstheme="minorHAnsi"/>
        </w:rPr>
        <w:t xml:space="preserve">Annex X-2.2: Value Chains </w:t>
      </w:r>
      <w:r w:rsidR="009563B4" w:rsidRPr="00BF2C69">
        <w:rPr>
          <w:rStyle w:val="Strong"/>
          <w:rFonts w:asciiTheme="minorHAnsi" w:hAnsiTheme="minorHAnsi" w:cstheme="minorHAnsi"/>
          <w:b/>
          <w:bCs w:val="0"/>
        </w:rPr>
        <w:t>PPG Report</w:t>
      </w:r>
      <w:bookmarkEnd w:id="523"/>
      <w:bookmarkEnd w:id="524"/>
    </w:p>
    <w:p w14:paraId="17C3C3BE" w14:textId="53184143" w:rsidR="002C5183" w:rsidRPr="002C5183" w:rsidRDefault="000C73F8" w:rsidP="002C5183">
      <w:pPr>
        <w:jc w:val="center"/>
        <w:rPr>
          <w:rStyle w:val="Hyperlink"/>
          <w:b/>
          <w:bCs/>
        </w:rPr>
      </w:pPr>
      <w:hyperlink r:id="rId133" w:history="1">
        <w:r w:rsidR="002C5183" w:rsidRPr="002C5183">
          <w:rPr>
            <w:rStyle w:val="Hyperlink"/>
            <w:rFonts w:asciiTheme="minorHAnsi" w:hAnsiTheme="minorHAnsi" w:cstheme="minorHAnsi"/>
            <w:b/>
            <w:bCs/>
            <w:sz w:val="21"/>
            <w:szCs w:val="21"/>
          </w:rPr>
          <w:t>https://drive.google.com/file/d/1UXIDUiF1U5Cl7437Sq4JfuQtGb5THyp4/view?usp=sharing</w:t>
        </w:r>
      </w:hyperlink>
    </w:p>
    <w:p w14:paraId="23790C23" w14:textId="4DCA6DF4" w:rsidR="009563B4" w:rsidRPr="00CE1EA7" w:rsidRDefault="009563B4" w:rsidP="009F74F2">
      <w:pPr>
        <w:pStyle w:val="Heading3"/>
        <w:jc w:val="left"/>
        <w:rPr>
          <w:rStyle w:val="Strong"/>
          <w:b/>
        </w:rPr>
      </w:pPr>
      <w:bookmarkStart w:id="525" w:name="_Annex_X-2.3:_Capacity_2"/>
      <w:bookmarkStart w:id="526" w:name="_Ref44845044"/>
      <w:bookmarkEnd w:id="525"/>
      <w:r w:rsidRPr="00CE1EA7">
        <w:t>Annex X-2.3: Capacity Needs Assessment (CNA)</w:t>
      </w:r>
      <w:bookmarkEnd w:id="526"/>
    </w:p>
    <w:p w14:paraId="28DD4453" w14:textId="6CCFF6BB" w:rsidR="009563B4" w:rsidRPr="003D29E1" w:rsidRDefault="003D29E1" w:rsidP="003D29E1">
      <w:pPr>
        <w:jc w:val="center"/>
        <w:rPr>
          <w:rStyle w:val="Hyperlink"/>
          <w:rFonts w:asciiTheme="minorHAnsi" w:hAnsiTheme="minorHAnsi" w:cstheme="minorHAnsi"/>
          <w:b/>
          <w:bCs/>
          <w:sz w:val="21"/>
          <w:szCs w:val="21"/>
        </w:rPr>
      </w:pPr>
      <w:r w:rsidRPr="003D29E1">
        <w:rPr>
          <w:rStyle w:val="Hyperlink"/>
          <w:rFonts w:asciiTheme="minorHAnsi" w:hAnsiTheme="minorHAnsi" w:cstheme="minorHAnsi"/>
          <w:b/>
          <w:bCs/>
          <w:sz w:val="21"/>
          <w:szCs w:val="21"/>
        </w:rPr>
        <w:t>https://drive.google.com/file/d/1IKkxdVFulIMM0PhH2uHQZ0uLIekMY0b2/view?usp=sharing</w:t>
      </w:r>
    </w:p>
    <w:p w14:paraId="6FC66946" w14:textId="708141F0" w:rsidR="009563B4" w:rsidRDefault="009563B4" w:rsidP="009F74F2">
      <w:pPr>
        <w:pStyle w:val="Heading3"/>
        <w:jc w:val="left"/>
      </w:pPr>
      <w:bookmarkStart w:id="527" w:name="_Annex_X-2.4:_Results_1"/>
      <w:bookmarkStart w:id="528" w:name="_Ref45445944"/>
      <w:bookmarkEnd w:id="527"/>
      <w:r w:rsidRPr="00CE1EA7">
        <w:t>Annex X-</w:t>
      </w:r>
      <w:r w:rsidRPr="009F74F2">
        <w:t>2.4: Results from the SHARP</w:t>
      </w:r>
      <w:r w:rsidRPr="00CE1EA7">
        <w:t xml:space="preserve"> Survey </w:t>
      </w:r>
      <w:bookmarkEnd w:id="528"/>
    </w:p>
    <w:p w14:paraId="402C5F1F" w14:textId="7C520EFB" w:rsidR="001F73C5" w:rsidRPr="00E6017B" w:rsidRDefault="00E6017B" w:rsidP="00C41649">
      <w:pPr>
        <w:jc w:val="center"/>
        <w:rPr>
          <w:rStyle w:val="Hyperlink"/>
          <w:rFonts w:asciiTheme="minorHAnsi" w:hAnsiTheme="minorHAnsi" w:cstheme="minorHAnsi"/>
          <w:b/>
          <w:bCs/>
          <w:sz w:val="21"/>
          <w:szCs w:val="21"/>
        </w:rPr>
      </w:pPr>
      <w:r w:rsidRPr="00E6017B">
        <w:rPr>
          <w:rStyle w:val="Hyperlink"/>
          <w:rFonts w:asciiTheme="minorHAnsi" w:hAnsiTheme="minorHAnsi" w:cstheme="minorHAnsi"/>
          <w:b/>
          <w:bCs/>
          <w:sz w:val="21"/>
          <w:szCs w:val="21"/>
        </w:rPr>
        <w:t>https://drive.google.com/file/d/1pQ2oN0jZzZzWfP84n-erK4aG6cPN8_2k/view?usp=sharing</w:t>
      </w:r>
    </w:p>
    <w:p w14:paraId="2C2BE378" w14:textId="5947E545" w:rsidR="009563B4" w:rsidRDefault="009563B4" w:rsidP="009F74F2">
      <w:pPr>
        <w:pStyle w:val="Heading3"/>
        <w:jc w:val="left"/>
      </w:pPr>
      <w:bookmarkStart w:id="529" w:name="_Annex_X-2.5:_Results_1"/>
      <w:bookmarkStart w:id="530" w:name="_Ref44844972"/>
      <w:bookmarkEnd w:id="529"/>
      <w:r w:rsidRPr="00CE1EA7">
        <w:lastRenderedPageBreak/>
        <w:t xml:space="preserve">Annex X-2.5: Results from the Land Degradation Assessment </w:t>
      </w:r>
      <w:bookmarkEnd w:id="530"/>
    </w:p>
    <w:p w14:paraId="05DCA116" w14:textId="5FFE0139" w:rsidR="00C41649" w:rsidRPr="00C41649" w:rsidRDefault="000C73F8" w:rsidP="00C41649">
      <w:pPr>
        <w:jc w:val="center"/>
        <w:rPr>
          <w:rFonts w:asciiTheme="minorHAnsi" w:hAnsiTheme="minorHAnsi" w:cstheme="minorHAnsi"/>
          <w:b/>
          <w:bCs/>
          <w:sz w:val="21"/>
          <w:szCs w:val="21"/>
        </w:rPr>
      </w:pPr>
      <w:hyperlink r:id="rId134" w:history="1">
        <w:r w:rsidR="00C41649" w:rsidRPr="000F2AE1">
          <w:rPr>
            <w:rStyle w:val="Hyperlink"/>
            <w:rFonts w:asciiTheme="minorHAnsi" w:hAnsiTheme="minorHAnsi" w:cstheme="minorHAnsi"/>
            <w:b/>
            <w:bCs/>
            <w:sz w:val="21"/>
            <w:szCs w:val="21"/>
          </w:rPr>
          <w:t>https://drive.google.com/file/d/1pG0r8V7UzfMHTpOWREZwTihr6HOZSgw7/view?usp=sharing</w:t>
        </w:r>
      </w:hyperlink>
    </w:p>
    <w:p w14:paraId="34C00335" w14:textId="401FA313" w:rsidR="009563B4" w:rsidRDefault="009563B4" w:rsidP="009563B4">
      <w:pPr>
        <w:pStyle w:val="Heading3"/>
      </w:pPr>
      <w:r w:rsidRPr="00CE1EA7">
        <w:t>Annex X-2.6: Results from the Application of the EXACT Tool</w:t>
      </w:r>
    </w:p>
    <w:p w14:paraId="6C6C10FB" w14:textId="22EB9992" w:rsidR="00C41649" w:rsidRPr="00C41649" w:rsidRDefault="000C73F8" w:rsidP="00C41649">
      <w:pPr>
        <w:jc w:val="center"/>
        <w:rPr>
          <w:rFonts w:asciiTheme="minorHAnsi" w:hAnsiTheme="minorHAnsi" w:cstheme="minorHAnsi"/>
          <w:b/>
          <w:bCs/>
          <w:sz w:val="21"/>
          <w:szCs w:val="21"/>
        </w:rPr>
      </w:pPr>
      <w:hyperlink r:id="rId135" w:history="1">
        <w:r w:rsidR="00C41649" w:rsidRPr="00C41649">
          <w:rPr>
            <w:rStyle w:val="Hyperlink"/>
            <w:rFonts w:asciiTheme="minorHAnsi" w:hAnsiTheme="minorHAnsi" w:cstheme="minorHAnsi"/>
            <w:b/>
            <w:bCs/>
            <w:sz w:val="21"/>
            <w:szCs w:val="21"/>
          </w:rPr>
          <w:t>https://drive.google.com/file/d/1ps5eLY8jNe2s9tDN83WqcWf5-oPQgDDW/view?usp=sharing</w:t>
        </w:r>
      </w:hyperlink>
    </w:p>
    <w:p w14:paraId="3A12DF4E" w14:textId="77777777" w:rsidR="00C41649" w:rsidRDefault="00C41649" w:rsidP="00C41649"/>
    <w:p w14:paraId="14256633" w14:textId="77777777" w:rsidR="00BB4244" w:rsidRPr="00B84862" w:rsidRDefault="00BB4244" w:rsidP="00B84862">
      <w:pPr>
        <w:pStyle w:val="Heading3"/>
      </w:pPr>
      <w:bookmarkStart w:id="531" w:name="_Annex_X-3:_Additional_1"/>
      <w:bookmarkStart w:id="532" w:name="_Toc58398629"/>
      <w:bookmarkEnd w:id="531"/>
      <w:r w:rsidRPr="00B84862">
        <w:t>Annex X-3: Additional Climate Change Considerations</w:t>
      </w:r>
      <w:bookmarkEnd w:id="532"/>
      <w:r w:rsidRPr="00B84862">
        <w:t xml:space="preserve">  </w:t>
      </w:r>
    </w:p>
    <w:p w14:paraId="186CE67E" w14:textId="35CE8CC5" w:rsidR="00FA2FDC" w:rsidRPr="00403009" w:rsidRDefault="000C73F8" w:rsidP="00403009">
      <w:pPr>
        <w:jc w:val="center"/>
        <w:rPr>
          <w:rStyle w:val="Hyperlink"/>
          <w:rFonts w:asciiTheme="minorHAnsi" w:hAnsiTheme="minorHAnsi" w:cstheme="minorHAnsi"/>
          <w:b/>
          <w:bCs/>
          <w:sz w:val="21"/>
          <w:szCs w:val="21"/>
        </w:rPr>
      </w:pPr>
      <w:hyperlink r:id="rId136" w:history="1">
        <w:r w:rsidR="00A00FEE" w:rsidRPr="00403009">
          <w:rPr>
            <w:rStyle w:val="Hyperlink"/>
            <w:rFonts w:asciiTheme="minorHAnsi" w:hAnsiTheme="minorHAnsi" w:cstheme="minorHAnsi"/>
            <w:b/>
            <w:bCs/>
            <w:sz w:val="21"/>
            <w:szCs w:val="21"/>
          </w:rPr>
          <w:t>https://drive.google.com/file/d/1oYZcLA7SDb3Bh_5OqdIodfrGs5cfqLB5/view?usp=sharing</w:t>
        </w:r>
      </w:hyperlink>
    </w:p>
    <w:p w14:paraId="3B874A51" w14:textId="169D5D50" w:rsidR="00A00FEE" w:rsidRPr="001A429C" w:rsidRDefault="00A00FEE" w:rsidP="009563B4">
      <w:pPr>
        <w:rPr>
          <w:highlight w:val="magenta"/>
          <w:lang w:val="en-US"/>
        </w:rPr>
      </w:pPr>
    </w:p>
    <w:p w14:paraId="451469F8" w14:textId="13920DD5" w:rsidR="005B4C17" w:rsidRPr="00B84862" w:rsidRDefault="005B4C17" w:rsidP="00B84862">
      <w:pPr>
        <w:pStyle w:val="Heading3"/>
      </w:pPr>
      <w:r w:rsidRPr="00B84862">
        <w:t>Annex X-4: HCVF Justification</w:t>
      </w:r>
      <w:r w:rsidR="00B84862" w:rsidRPr="00B84862">
        <w:t xml:space="preserve"> </w:t>
      </w:r>
      <w:r w:rsidRPr="00B84862">
        <w:t xml:space="preserve">  </w:t>
      </w:r>
    </w:p>
    <w:p w14:paraId="2DAA7245" w14:textId="50D49905" w:rsidR="005B4C17" w:rsidRPr="00B84862" w:rsidRDefault="005B4C17" w:rsidP="00B84862">
      <w:pPr>
        <w:jc w:val="center"/>
        <w:rPr>
          <w:rStyle w:val="Hyperlink"/>
          <w:rFonts w:asciiTheme="minorHAnsi" w:hAnsiTheme="minorHAnsi" w:cstheme="minorHAnsi"/>
          <w:b/>
          <w:bCs/>
          <w:sz w:val="21"/>
          <w:szCs w:val="21"/>
        </w:rPr>
      </w:pPr>
      <w:r w:rsidRPr="00B84862">
        <w:rPr>
          <w:rStyle w:val="Hyperlink"/>
          <w:rFonts w:asciiTheme="minorHAnsi" w:hAnsiTheme="minorHAnsi" w:cstheme="minorHAnsi"/>
          <w:b/>
          <w:bCs/>
          <w:sz w:val="21"/>
          <w:szCs w:val="21"/>
        </w:rPr>
        <w:t>https://drive.google.com/file/d/1fsokBcruKK1BqeDszvNb_sl-GgFf08Dh/view?usp=sharing</w:t>
      </w:r>
    </w:p>
    <w:p w14:paraId="5A7CD5C5" w14:textId="2006DC6F" w:rsidR="00FF5822" w:rsidRPr="00FA2FDC" w:rsidRDefault="000B45FF" w:rsidP="00A56F4A">
      <w:pPr>
        <w:pStyle w:val="Heading2"/>
        <w:rPr>
          <w:lang w:val="en-US"/>
        </w:rPr>
      </w:pPr>
      <w:bookmarkStart w:id="533" w:name="_Toc58398630"/>
      <w:r w:rsidRPr="00FA2FDC">
        <w:rPr>
          <w:lang w:val="en-US"/>
        </w:rPr>
        <w:t>END OF PRODOC</w:t>
      </w:r>
      <w:bookmarkEnd w:id="516"/>
      <w:bookmarkEnd w:id="517"/>
      <w:bookmarkEnd w:id="533"/>
    </w:p>
    <w:sectPr w:rsidR="00FF5822" w:rsidRPr="00FA2FDC" w:rsidSect="00903274">
      <w:headerReference w:type="even" r:id="rId137"/>
      <w:headerReference w:type="default" r:id="rId138"/>
      <w:footerReference w:type="default" r:id="rId139"/>
      <w:headerReference w:type="first" r:id="rId14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1830146" w14:textId="77777777" w:rsidR="00CA5C49" w:rsidRDefault="00CA5C49" w:rsidP="00591870">
      <w:r>
        <w:separator/>
      </w:r>
    </w:p>
  </w:endnote>
  <w:endnote w:type="continuationSeparator" w:id="0">
    <w:p w14:paraId="18DF1FC5" w14:textId="77777777" w:rsidR="00CA5C49" w:rsidRDefault="00CA5C49" w:rsidP="00591870">
      <w:r>
        <w:continuationSeparator/>
      </w:r>
    </w:p>
  </w:endnote>
  <w:endnote w:type="continuationNotice" w:id="1">
    <w:p w14:paraId="1FA886C6" w14:textId="77777777" w:rsidR="00CA5C49" w:rsidRDefault="00CA5C4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Neue LT 55 Roman">
    <w:altName w:val="Arial"/>
    <w:charset w:val="00"/>
    <w:family w:val="roman"/>
    <w:pitch w:val="default"/>
    <w:sig w:usb0="00000003" w:usb1="00000000" w:usb2="00000000" w:usb3="00000000" w:csb0="00000001" w:csb1="00000000"/>
  </w:font>
  <w:font w:name="Noto Sans Symbols">
    <w:altName w:val="Calibri"/>
    <w:charset w:val="00"/>
    <w:family w:val="auto"/>
    <w:pitch w:val="default"/>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Yu Gothic Light">
    <w:panose1 w:val="020B0300000000000000"/>
    <w:charset w:val="80"/>
    <w:family w:val="swiss"/>
    <w:pitch w:val="variable"/>
    <w:sig w:usb0="E00002FF" w:usb1="2AC7FDFF" w:usb2="00000016" w:usb3="00000000" w:csb0="0002009F" w:csb1="00000000"/>
  </w:font>
  <w:font w:name="Yu Mincho">
    <w:charset w:val="80"/>
    <w:family w:val="roman"/>
    <w:pitch w:val="variable"/>
    <w:sig w:usb0="800002E7" w:usb1="2AC7FCFF" w:usb2="00000012" w:usb3="00000000" w:csb0="0002009F" w:csb1="00000000"/>
  </w:font>
  <w:font w:name="Times">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webkit-standard">
    <w:altName w:val="Cambria"/>
    <w:charset w:val="00"/>
    <w:family w:val="roman"/>
    <w:pitch w:val="default"/>
  </w:font>
  <w:font w:name="+mn-ea">
    <w:altName w:val="Cambria"/>
    <w:panose1 w:val="00000000000000000000"/>
    <w:charset w:val="00"/>
    <w:family w:val="roman"/>
    <w:notTrueType/>
    <w:pitch w:val="default"/>
  </w:font>
  <w:font w:name="Helvetica">
    <w:panose1 w:val="020B0604020202020204"/>
    <w:charset w:val="00"/>
    <w:family w:val="swiss"/>
    <w:pitch w:val="variable"/>
    <w:sig w:usb0="00000003" w:usb1="00000000" w:usb2="00000000" w:usb3="00000000" w:csb0="00000001" w:csb1="00000000"/>
  </w:font>
  <w:font w:name="Calibri (Body)">
    <w:charset w:val="00"/>
    <w:family w:val="roman"/>
    <w:pitch w:val="default"/>
  </w:font>
  <w:font w:name="MS Mincho">
    <w:altName w:val="ＭＳ 明朝"/>
    <w:panose1 w:val="02020609040205080304"/>
    <w:charset w:val="80"/>
    <w:family w:val="modern"/>
    <w:pitch w:val="fixed"/>
    <w:sig w:usb0="E00002FF" w:usb1="6AC7FDFB" w:usb2="08000012" w:usb3="00000000" w:csb0="0002009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8F3CDD" w14:textId="32E6D461" w:rsidR="004D2871" w:rsidRPr="00C95432" w:rsidRDefault="004D2871">
    <w:pPr>
      <w:pStyle w:val="Footer"/>
      <w:jc w:val="right"/>
      <w:rPr>
        <w:sz w:val="20"/>
        <w:szCs w:val="20"/>
      </w:rPr>
    </w:pPr>
    <w:r w:rsidRPr="00C95432">
      <w:rPr>
        <w:sz w:val="20"/>
        <w:szCs w:val="20"/>
      </w:rPr>
      <w:fldChar w:fldCharType="begin"/>
    </w:r>
    <w:r w:rsidRPr="00C95432">
      <w:rPr>
        <w:sz w:val="20"/>
        <w:szCs w:val="20"/>
      </w:rPr>
      <w:instrText xml:space="preserve"> PAGE   \* MERGEFORMAT </w:instrText>
    </w:r>
    <w:r w:rsidRPr="00C95432">
      <w:rPr>
        <w:sz w:val="20"/>
        <w:szCs w:val="20"/>
      </w:rPr>
      <w:fldChar w:fldCharType="separate"/>
    </w:r>
    <w:r>
      <w:rPr>
        <w:noProof/>
        <w:sz w:val="20"/>
        <w:szCs w:val="20"/>
      </w:rPr>
      <w:t>216</w:t>
    </w:r>
    <w:r w:rsidRPr="00C95432">
      <w:rPr>
        <w:sz w:val="20"/>
        <w:szCs w:val="20"/>
      </w:rPr>
      <w:fldChar w:fldCharType="end"/>
    </w:r>
  </w:p>
  <w:p w14:paraId="331EA6D4" w14:textId="77777777" w:rsidR="004D2871" w:rsidRPr="00946611" w:rsidRDefault="004D2871" w:rsidP="00481CA4">
    <w:pPr>
      <w:pStyle w:val="Footer"/>
      <w:tabs>
        <w:tab w:val="clear" w:pos="4320"/>
        <w:tab w:val="clear" w:pos="8640"/>
        <w:tab w:val="center" w:pos="4680"/>
      </w:tabs>
      <w:rPr>
        <w:sz w:val="18"/>
        <w:szCs w:val="18"/>
        <w:lang w:val="en-US"/>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1C6EC0" w14:textId="4BF02DD7" w:rsidR="004D2871" w:rsidRDefault="004D2871">
    <w:pPr>
      <w:pStyle w:val="Footer"/>
      <w:jc w:val="right"/>
    </w:pPr>
    <w:r>
      <w:fldChar w:fldCharType="begin"/>
    </w:r>
    <w:r>
      <w:instrText xml:space="preserve"> PAGE   \* MERGEFORMAT </w:instrText>
    </w:r>
    <w:r>
      <w:fldChar w:fldCharType="separate"/>
    </w:r>
    <w:r>
      <w:rPr>
        <w:noProof/>
      </w:rPr>
      <w:t>69</w:t>
    </w:r>
    <w:r>
      <w:rPr>
        <w:noProof/>
      </w:rPr>
      <w:fldChar w:fldCharType="end"/>
    </w:r>
  </w:p>
  <w:p w14:paraId="7BD190F1" w14:textId="77777777" w:rsidR="004D2871" w:rsidRPr="00946611" w:rsidRDefault="004D2871" w:rsidP="00C26DF3">
    <w:pPr>
      <w:pStyle w:val="Footer"/>
      <w:tabs>
        <w:tab w:val="clear" w:pos="4320"/>
        <w:tab w:val="clear" w:pos="8640"/>
        <w:tab w:val="center" w:pos="4680"/>
      </w:tabs>
      <w:rPr>
        <w:sz w:val="18"/>
        <w:szCs w:val="18"/>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37813CF" w14:textId="77777777" w:rsidR="00CA5C49" w:rsidRDefault="00CA5C49" w:rsidP="00591870">
      <w:r>
        <w:separator/>
      </w:r>
    </w:p>
  </w:footnote>
  <w:footnote w:type="continuationSeparator" w:id="0">
    <w:p w14:paraId="69C23B2A" w14:textId="77777777" w:rsidR="00CA5C49" w:rsidRDefault="00CA5C49" w:rsidP="00591870">
      <w:r>
        <w:continuationSeparator/>
      </w:r>
    </w:p>
  </w:footnote>
  <w:footnote w:type="continuationNotice" w:id="1">
    <w:p w14:paraId="3FBCF049" w14:textId="77777777" w:rsidR="00CA5C49" w:rsidRDefault="00CA5C49"/>
  </w:footnote>
  <w:footnote w:id="2">
    <w:p w14:paraId="24F474F4" w14:textId="196DF6A0" w:rsidR="004D2871" w:rsidRPr="00D45F9E" w:rsidRDefault="004D2871" w:rsidP="00061949">
      <w:pPr>
        <w:pStyle w:val="FootnoteText"/>
        <w:ind w:left="0"/>
        <w:rPr>
          <w:rFonts w:ascii="Calibri" w:hAnsi="Calibri" w:cs="Calibri"/>
          <w:lang w:val="en-GB"/>
        </w:rPr>
      </w:pPr>
      <w:r w:rsidRPr="00D45F9E">
        <w:rPr>
          <w:rStyle w:val="FootnoteReference"/>
          <w:rFonts w:ascii="Calibri" w:hAnsi="Calibri" w:cs="Calibri"/>
        </w:rPr>
        <w:footnoteRef/>
      </w:r>
      <w:r w:rsidRPr="00D45F9E">
        <w:rPr>
          <w:rFonts w:ascii="Calibri" w:hAnsi="Calibri" w:cs="Calibri"/>
        </w:rPr>
        <w:t xml:space="preserve"> </w:t>
      </w:r>
      <w:r w:rsidRPr="00D45F9E">
        <w:rPr>
          <w:rFonts w:ascii="Calibri" w:hAnsi="Calibri" w:cs="Calibri"/>
          <w:lang w:val="en-GB"/>
        </w:rPr>
        <w:t>Given that ILUP refers to the ‘</w:t>
      </w:r>
      <w:r w:rsidRPr="00D45F9E">
        <w:rPr>
          <w:rFonts w:ascii="Calibri" w:hAnsi="Calibri" w:cs="Calibri"/>
          <w:b/>
          <w:bCs/>
          <w:lang w:val="en-GB"/>
        </w:rPr>
        <w:t>planning</w:t>
      </w:r>
      <w:r w:rsidRPr="00D45F9E">
        <w:rPr>
          <w:rFonts w:ascii="Calibri" w:hAnsi="Calibri" w:cs="Calibri"/>
          <w:lang w:val="en-GB"/>
        </w:rPr>
        <w:t xml:space="preserve">’ process and to avoid any ambiguity or confusion with the output of this planning process, which is the Integrated Land Use </w:t>
      </w:r>
      <w:r w:rsidRPr="00D45F9E">
        <w:rPr>
          <w:rFonts w:ascii="Calibri" w:hAnsi="Calibri" w:cs="Calibri"/>
          <w:b/>
          <w:bCs/>
          <w:lang w:val="en-GB"/>
        </w:rPr>
        <w:t>Plan</w:t>
      </w:r>
      <w:r w:rsidRPr="00D45F9E">
        <w:rPr>
          <w:rFonts w:ascii="Calibri" w:hAnsi="Calibri" w:cs="Calibri"/>
          <w:lang w:val="en-GB"/>
        </w:rPr>
        <w:t>, the acronym is used only for the process. When referring to the Plan, it is written in full or as the Plan.</w:t>
      </w:r>
    </w:p>
  </w:footnote>
  <w:footnote w:id="3">
    <w:p w14:paraId="38F94FCF" w14:textId="24BACA60" w:rsidR="004D2871" w:rsidRPr="007E39CA" w:rsidRDefault="004D2871">
      <w:pPr>
        <w:pStyle w:val="FootnoteText"/>
        <w:rPr>
          <w:lang w:val="en-US"/>
        </w:rPr>
      </w:pPr>
      <w:r>
        <w:rPr>
          <w:rStyle w:val="FootnoteReference"/>
        </w:rPr>
        <w:footnoteRef/>
      </w:r>
      <w:r>
        <w:t xml:space="preserve"> </w:t>
      </w:r>
      <w:r>
        <w:rPr>
          <w:lang w:val="en-US"/>
        </w:rPr>
        <w:t>Title different from PIF to improve clarity.</w:t>
      </w:r>
    </w:p>
  </w:footnote>
  <w:footnote w:id="4">
    <w:p w14:paraId="0BD26109" w14:textId="77777777" w:rsidR="004D2871" w:rsidRPr="005F3DB5" w:rsidRDefault="004D2871" w:rsidP="005F3DB5">
      <w:pPr>
        <w:pStyle w:val="FootnoteText"/>
        <w:ind w:left="0"/>
        <w:rPr>
          <w:rStyle w:val="FootnoteReference"/>
          <w:rFonts w:asciiTheme="minorHAnsi" w:hAnsiTheme="minorHAnsi" w:cstheme="minorHAnsi"/>
          <w:sz w:val="15"/>
          <w:szCs w:val="15"/>
        </w:rPr>
      </w:pPr>
      <w:r w:rsidRPr="005F3DB5">
        <w:rPr>
          <w:rStyle w:val="FootnoteReference"/>
          <w:rFonts w:asciiTheme="minorHAnsi" w:hAnsiTheme="minorHAnsi" w:cstheme="minorHAnsi"/>
          <w:sz w:val="15"/>
          <w:szCs w:val="15"/>
        </w:rPr>
        <w:footnoteRef/>
      </w:r>
      <w:r w:rsidRPr="005F3DB5">
        <w:rPr>
          <w:rStyle w:val="FootnoteReference"/>
          <w:rFonts w:asciiTheme="minorHAnsi" w:hAnsiTheme="minorHAnsi" w:cstheme="minorHAnsi"/>
          <w:sz w:val="15"/>
          <w:szCs w:val="15"/>
        </w:rPr>
        <w:t xml:space="preserve"> </w:t>
      </w:r>
      <w:r w:rsidRPr="005F3DB5">
        <w:rPr>
          <w:rStyle w:val="FootnoteReference"/>
          <w:rFonts w:asciiTheme="minorHAnsi" w:hAnsiTheme="minorHAnsi" w:cstheme="minorHAnsi"/>
          <w:sz w:val="15"/>
          <w:szCs w:val="15"/>
          <w:vertAlign w:val="baseline"/>
        </w:rPr>
        <w:t>In addition, Zambia</w:t>
      </w:r>
      <w:r>
        <w:rPr>
          <w:rFonts w:asciiTheme="minorHAnsi" w:hAnsiTheme="minorHAnsi" w:cstheme="minorHAnsi"/>
          <w:sz w:val="15"/>
          <w:szCs w:val="15"/>
        </w:rPr>
        <w:t xml:space="preserve"> </w:t>
      </w:r>
      <w:r w:rsidRPr="005F3DB5">
        <w:rPr>
          <w:rStyle w:val="FootnoteReference"/>
          <w:rFonts w:asciiTheme="minorHAnsi" w:hAnsiTheme="minorHAnsi" w:cstheme="minorHAnsi"/>
          <w:sz w:val="15"/>
          <w:szCs w:val="15"/>
          <w:vertAlign w:val="baseline"/>
        </w:rPr>
        <w:t>joined the Miombo Cluster</w:t>
      </w:r>
      <w:r>
        <w:rPr>
          <w:rFonts w:asciiTheme="minorHAnsi" w:hAnsiTheme="minorHAnsi" w:cstheme="minorHAnsi"/>
          <w:sz w:val="15"/>
          <w:szCs w:val="15"/>
        </w:rPr>
        <w:t xml:space="preserve"> as it</w:t>
      </w:r>
      <w:r w:rsidRPr="005F3DB5">
        <w:rPr>
          <w:rStyle w:val="FootnoteReference"/>
          <w:rFonts w:asciiTheme="minorHAnsi" w:hAnsiTheme="minorHAnsi" w:cstheme="minorHAnsi"/>
          <w:sz w:val="15"/>
          <w:szCs w:val="15"/>
          <w:vertAlign w:val="baseline"/>
        </w:rPr>
        <w:t xml:space="preserve"> is concomitantly developing a LDCF adaptation project with support from FAO</w:t>
      </w:r>
      <w:r>
        <w:rPr>
          <w:rFonts w:asciiTheme="minorHAnsi" w:hAnsiTheme="minorHAnsi" w:cstheme="minorHAnsi"/>
          <w:sz w:val="15"/>
          <w:szCs w:val="15"/>
        </w:rPr>
        <w:t>.</w:t>
      </w:r>
    </w:p>
  </w:footnote>
  <w:footnote w:id="5">
    <w:p w14:paraId="111CB2FB" w14:textId="77777777" w:rsidR="004D2871" w:rsidRPr="00E83A36" w:rsidRDefault="004D2871" w:rsidP="00FC1019">
      <w:pPr>
        <w:pStyle w:val="FootnoteText"/>
        <w:ind w:left="0"/>
        <w:rPr>
          <w:rFonts w:asciiTheme="minorHAnsi" w:hAnsiTheme="minorHAnsi" w:cstheme="minorHAnsi"/>
          <w:sz w:val="15"/>
          <w:szCs w:val="15"/>
        </w:rPr>
      </w:pPr>
      <w:r w:rsidRPr="00E83A36">
        <w:rPr>
          <w:rStyle w:val="FootnoteReference"/>
          <w:rFonts w:asciiTheme="minorHAnsi" w:hAnsiTheme="minorHAnsi" w:cstheme="minorHAnsi"/>
          <w:sz w:val="15"/>
          <w:szCs w:val="15"/>
        </w:rPr>
        <w:footnoteRef/>
      </w:r>
      <w:r w:rsidRPr="00E83A36">
        <w:rPr>
          <w:rFonts w:asciiTheme="minorHAnsi" w:hAnsiTheme="minorHAnsi" w:cstheme="minorHAnsi"/>
          <w:sz w:val="15"/>
          <w:szCs w:val="15"/>
        </w:rPr>
        <w:t xml:space="preserve"> According to UNDESA. See key indicators in: </w:t>
      </w:r>
      <w:hyperlink r:id="rId1" w:history="1">
        <w:r w:rsidRPr="00E83A36">
          <w:rPr>
            <w:rStyle w:val="Hyperlink"/>
            <w:rFonts w:asciiTheme="minorHAnsi" w:hAnsiTheme="minorHAnsi" w:cstheme="minorHAnsi"/>
            <w:sz w:val="15"/>
            <w:szCs w:val="15"/>
          </w:rPr>
          <w:t>https://www.un.org/development/desa/dpad/least-developed-country-category-angola.html</w:t>
        </w:r>
      </w:hyperlink>
      <w:r w:rsidRPr="00E83A36">
        <w:rPr>
          <w:rFonts w:asciiTheme="minorHAnsi" w:hAnsiTheme="minorHAnsi" w:cstheme="minorHAnsi"/>
          <w:sz w:val="15"/>
          <w:szCs w:val="15"/>
        </w:rPr>
        <w:t xml:space="preserve">, accessed on 01/05/2020. </w:t>
      </w:r>
    </w:p>
  </w:footnote>
  <w:footnote w:id="6">
    <w:p w14:paraId="37CABA6F" w14:textId="77777777" w:rsidR="004D2871" w:rsidRPr="00E83A36" w:rsidRDefault="004D2871" w:rsidP="00EB761D">
      <w:pPr>
        <w:pStyle w:val="FootnoteText"/>
        <w:ind w:left="0"/>
        <w:rPr>
          <w:rFonts w:asciiTheme="minorHAnsi" w:hAnsiTheme="minorHAnsi" w:cstheme="minorHAnsi"/>
          <w:sz w:val="15"/>
          <w:szCs w:val="15"/>
        </w:rPr>
      </w:pPr>
      <w:r w:rsidRPr="00E83A36">
        <w:rPr>
          <w:rStyle w:val="FootnoteReference"/>
          <w:rFonts w:asciiTheme="minorHAnsi" w:hAnsiTheme="minorHAnsi" w:cstheme="minorHAnsi"/>
          <w:sz w:val="15"/>
          <w:szCs w:val="15"/>
        </w:rPr>
        <w:footnoteRef/>
      </w:r>
      <w:r w:rsidRPr="00E83A36">
        <w:rPr>
          <w:rFonts w:asciiTheme="minorHAnsi" w:hAnsiTheme="minorHAnsi" w:cstheme="minorHAnsi"/>
          <w:sz w:val="15"/>
          <w:szCs w:val="15"/>
        </w:rPr>
        <w:t xml:space="preserve"> National Institute of Statistics - INE (2014): Population Census from that year.</w:t>
      </w:r>
    </w:p>
  </w:footnote>
  <w:footnote w:id="7">
    <w:p w14:paraId="631C2199" w14:textId="4F3554C8" w:rsidR="004D2871" w:rsidRPr="00F75961" w:rsidRDefault="004D2871" w:rsidP="001B008F">
      <w:pPr>
        <w:pStyle w:val="FootnoteText"/>
        <w:ind w:left="0"/>
        <w:jc w:val="both"/>
        <w:rPr>
          <w:rFonts w:asciiTheme="minorHAnsi" w:hAnsiTheme="minorHAnsi" w:cstheme="minorHAnsi"/>
          <w:sz w:val="15"/>
          <w:szCs w:val="15"/>
        </w:rPr>
      </w:pPr>
      <w:r w:rsidRPr="00F75961">
        <w:rPr>
          <w:rStyle w:val="FootnoteReference"/>
          <w:rFonts w:asciiTheme="minorHAnsi" w:hAnsiTheme="minorHAnsi" w:cstheme="minorHAnsi"/>
          <w:sz w:val="15"/>
          <w:szCs w:val="15"/>
        </w:rPr>
        <w:footnoteRef/>
      </w:r>
      <w:r w:rsidRPr="00F75961">
        <w:rPr>
          <w:rFonts w:asciiTheme="minorHAnsi" w:hAnsiTheme="minorHAnsi" w:cstheme="minorHAnsi"/>
          <w:sz w:val="15"/>
          <w:szCs w:val="15"/>
        </w:rPr>
        <w:t xml:space="preserve"> Refer to </w:t>
      </w:r>
      <w:r>
        <w:rPr>
          <w:rFonts w:asciiTheme="minorHAnsi" w:hAnsiTheme="minorHAnsi" w:cstheme="minorHAnsi"/>
          <w:sz w:val="15"/>
          <w:szCs w:val="15"/>
          <w:lang w:val="en-US"/>
        </w:rPr>
        <w:t>Box 6</w:t>
      </w:r>
      <w:r w:rsidRPr="00F75961">
        <w:rPr>
          <w:rFonts w:asciiTheme="minorHAnsi" w:hAnsiTheme="minorHAnsi" w:cstheme="minorHAnsi"/>
          <w:sz w:val="15"/>
          <w:szCs w:val="15"/>
        </w:rPr>
        <w:t xml:space="preserve"> for additional information on the landscapes targeted. Different authors and sources define the distribution of Miombo-Mopane landscapes in different ways. The vegetation distribution adopted under the DSL IP refers to WWF’s Ecoregions. For a thorough description of Miombo-Mopane landscapes in Angola refer to:  </w:t>
      </w:r>
      <w:hyperlink r:id="rId2" w:history="1">
        <w:r w:rsidRPr="00F75961">
          <w:rPr>
            <w:rStyle w:val="Hyperlink"/>
            <w:rFonts w:asciiTheme="minorHAnsi" w:hAnsiTheme="minorHAnsi" w:cstheme="minorHAnsi"/>
            <w:sz w:val="15"/>
            <w:szCs w:val="15"/>
          </w:rPr>
          <w:t>https://www.worldwildlife.org/ecoregions/at0724</w:t>
        </w:r>
      </w:hyperlink>
      <w:r w:rsidRPr="00F75961">
        <w:rPr>
          <w:rFonts w:asciiTheme="minorHAnsi" w:hAnsiTheme="minorHAnsi" w:cstheme="minorHAnsi"/>
          <w:sz w:val="15"/>
          <w:szCs w:val="15"/>
        </w:rPr>
        <w:t xml:space="preserve">. </w:t>
      </w:r>
    </w:p>
  </w:footnote>
  <w:footnote w:id="8">
    <w:p w14:paraId="0A83D57D" w14:textId="062CDE82" w:rsidR="004D2871" w:rsidRPr="00E83A36" w:rsidRDefault="004D2871" w:rsidP="00BD5751">
      <w:pPr>
        <w:pStyle w:val="FootnoteText"/>
        <w:ind w:left="0"/>
        <w:rPr>
          <w:rFonts w:asciiTheme="minorHAnsi" w:hAnsiTheme="minorHAnsi" w:cstheme="minorHAnsi"/>
          <w:sz w:val="15"/>
          <w:szCs w:val="15"/>
        </w:rPr>
      </w:pPr>
      <w:r w:rsidRPr="00E83A36">
        <w:rPr>
          <w:rStyle w:val="FootnoteReference"/>
          <w:rFonts w:asciiTheme="minorHAnsi" w:hAnsiTheme="minorHAnsi" w:cstheme="minorHAnsi"/>
          <w:sz w:val="15"/>
          <w:szCs w:val="15"/>
        </w:rPr>
        <w:footnoteRef/>
      </w:r>
      <w:r w:rsidRPr="00E83A36">
        <w:rPr>
          <w:rFonts w:asciiTheme="minorHAnsi" w:hAnsiTheme="minorHAnsi" w:cstheme="minorHAnsi"/>
          <w:sz w:val="15"/>
          <w:szCs w:val="15"/>
        </w:rPr>
        <w:t xml:space="preserve"> </w:t>
      </w:r>
      <w:r>
        <w:rPr>
          <w:rFonts w:asciiTheme="minorHAnsi" w:hAnsiTheme="minorHAnsi" w:cstheme="minorHAnsi"/>
          <w:sz w:val="15"/>
          <w:szCs w:val="15"/>
        </w:rPr>
        <w:t xml:space="preserve">MINAGRIF (2017), </w:t>
      </w:r>
      <w:r w:rsidRPr="00A37797">
        <w:rPr>
          <w:rFonts w:asciiTheme="minorHAnsi" w:hAnsiTheme="minorHAnsi" w:cstheme="minorHAnsi"/>
          <w:i/>
          <w:sz w:val="15"/>
          <w:szCs w:val="15"/>
        </w:rPr>
        <w:t>Angola’s Medium-Term Development Plan for the Agrarian Sector (PMPSA</w:t>
      </w:r>
      <w:r w:rsidRPr="00E83A36">
        <w:rPr>
          <w:rFonts w:asciiTheme="minorHAnsi" w:hAnsiTheme="minorHAnsi" w:cstheme="minorHAnsi"/>
          <w:sz w:val="15"/>
          <w:szCs w:val="15"/>
        </w:rPr>
        <w:t>)</w:t>
      </w:r>
      <w:r>
        <w:rPr>
          <w:rFonts w:asciiTheme="minorHAnsi" w:hAnsiTheme="minorHAnsi" w:cstheme="minorHAnsi"/>
          <w:sz w:val="15"/>
          <w:szCs w:val="15"/>
        </w:rPr>
        <w:t xml:space="preserve">, </w:t>
      </w:r>
      <w:r w:rsidRPr="00E83A36">
        <w:rPr>
          <w:rFonts w:asciiTheme="minorHAnsi" w:hAnsiTheme="minorHAnsi" w:cstheme="minorHAnsi"/>
          <w:sz w:val="15"/>
          <w:szCs w:val="15"/>
        </w:rPr>
        <w:t xml:space="preserve">2018-22. </w:t>
      </w:r>
    </w:p>
  </w:footnote>
  <w:footnote w:id="9">
    <w:p w14:paraId="5AD34C42" w14:textId="5A48127B" w:rsidR="004D2871" w:rsidRPr="00E83A36" w:rsidRDefault="004D2871" w:rsidP="009563B4">
      <w:pPr>
        <w:pStyle w:val="FootnoteText"/>
        <w:ind w:left="0"/>
        <w:rPr>
          <w:rFonts w:asciiTheme="minorHAnsi" w:hAnsiTheme="minorHAnsi" w:cstheme="minorHAnsi"/>
          <w:sz w:val="15"/>
          <w:szCs w:val="15"/>
        </w:rPr>
      </w:pPr>
      <w:r w:rsidRPr="00E83A36">
        <w:rPr>
          <w:rStyle w:val="FootnoteReference"/>
          <w:rFonts w:asciiTheme="minorHAnsi" w:hAnsiTheme="minorHAnsi" w:cstheme="minorHAnsi"/>
          <w:sz w:val="15"/>
          <w:szCs w:val="15"/>
        </w:rPr>
        <w:footnoteRef/>
      </w:r>
      <w:r w:rsidRPr="00E83A36">
        <w:rPr>
          <w:rFonts w:asciiTheme="minorHAnsi" w:hAnsiTheme="minorHAnsi" w:cstheme="minorHAnsi"/>
          <w:sz w:val="15"/>
          <w:szCs w:val="15"/>
        </w:rPr>
        <w:t xml:space="preserve"> </w:t>
      </w:r>
      <w:hyperlink r:id="rId3" w:history="1">
        <w:r w:rsidRPr="00E83A36">
          <w:rPr>
            <w:rStyle w:val="Hyperlink"/>
            <w:rFonts w:asciiTheme="minorHAnsi" w:hAnsiTheme="minorHAnsi" w:cstheme="minorHAnsi"/>
            <w:sz w:val="15"/>
            <w:szCs w:val="15"/>
          </w:rPr>
          <w:t>https://dashboards.sdgindex.org/profiles/AGO</w:t>
        </w:r>
      </w:hyperlink>
      <w:r w:rsidRPr="00E83A36">
        <w:rPr>
          <w:rFonts w:asciiTheme="minorHAnsi" w:hAnsiTheme="minorHAnsi" w:cstheme="minorHAnsi"/>
          <w:sz w:val="15"/>
          <w:szCs w:val="15"/>
        </w:rPr>
        <w:t>, accessed on 01/07/20.</w:t>
      </w:r>
    </w:p>
  </w:footnote>
  <w:footnote w:id="10">
    <w:p w14:paraId="1DC0C054" w14:textId="19F9DC0B" w:rsidR="004D2871" w:rsidRPr="00E83A36" w:rsidRDefault="004D2871" w:rsidP="00FE6A33">
      <w:pPr>
        <w:pStyle w:val="FootnoteText"/>
        <w:ind w:left="0"/>
        <w:rPr>
          <w:rFonts w:asciiTheme="minorHAnsi" w:hAnsiTheme="minorHAnsi" w:cstheme="minorHAnsi"/>
          <w:sz w:val="15"/>
          <w:szCs w:val="15"/>
        </w:rPr>
      </w:pPr>
      <w:r w:rsidRPr="00E83A36">
        <w:rPr>
          <w:rStyle w:val="FootnoteReference"/>
          <w:rFonts w:asciiTheme="minorHAnsi" w:hAnsiTheme="minorHAnsi" w:cstheme="minorHAnsi"/>
          <w:sz w:val="15"/>
          <w:szCs w:val="15"/>
        </w:rPr>
        <w:footnoteRef/>
      </w:r>
      <w:r w:rsidRPr="00E83A36">
        <w:rPr>
          <w:rFonts w:asciiTheme="minorHAnsi" w:hAnsiTheme="minorHAnsi" w:cstheme="minorHAnsi"/>
          <w:sz w:val="15"/>
          <w:szCs w:val="15"/>
        </w:rPr>
        <w:t xml:space="preserve"> FAO, IFAD, UNICEF, WFP and WHO. (2018). The State of Food Security and Nutrition in the World 2018. Building climate resilience for food security and nutrition. Rome, FAO. </w:t>
      </w:r>
    </w:p>
  </w:footnote>
  <w:footnote w:id="11">
    <w:p w14:paraId="58BB535A" w14:textId="217B56EF" w:rsidR="004D2871" w:rsidRPr="00E83A36" w:rsidRDefault="004D2871" w:rsidP="009563B4">
      <w:pPr>
        <w:pStyle w:val="FootnoteText"/>
        <w:ind w:left="0"/>
        <w:rPr>
          <w:rFonts w:asciiTheme="minorHAnsi" w:hAnsiTheme="minorHAnsi" w:cstheme="minorHAnsi"/>
          <w:sz w:val="15"/>
          <w:szCs w:val="15"/>
        </w:rPr>
      </w:pPr>
      <w:r w:rsidRPr="00E83A36">
        <w:rPr>
          <w:rStyle w:val="FootnoteReference"/>
          <w:rFonts w:asciiTheme="minorHAnsi" w:hAnsiTheme="minorHAnsi" w:cstheme="minorHAnsi"/>
          <w:sz w:val="15"/>
          <w:szCs w:val="15"/>
        </w:rPr>
        <w:footnoteRef/>
      </w:r>
      <w:r w:rsidRPr="00E83A36">
        <w:rPr>
          <w:rFonts w:asciiTheme="minorHAnsi" w:hAnsiTheme="minorHAnsi" w:cstheme="minorHAnsi"/>
          <w:sz w:val="15"/>
          <w:szCs w:val="15"/>
        </w:rPr>
        <w:t xml:space="preserve"> INE (2014). Population Census. Data on heads of household male/female ratio are only published for the nationally aggregated tier. </w:t>
      </w:r>
    </w:p>
  </w:footnote>
  <w:footnote w:id="12">
    <w:p w14:paraId="25797FA2" w14:textId="13C2C680" w:rsidR="004D2871" w:rsidRPr="00E83A36" w:rsidRDefault="004D2871" w:rsidP="009563B4">
      <w:pPr>
        <w:pStyle w:val="FootnoteText"/>
        <w:ind w:left="0"/>
        <w:rPr>
          <w:rFonts w:asciiTheme="minorHAnsi" w:hAnsiTheme="minorHAnsi" w:cstheme="minorHAnsi"/>
          <w:sz w:val="15"/>
          <w:szCs w:val="15"/>
        </w:rPr>
      </w:pPr>
      <w:r w:rsidRPr="00E83A36">
        <w:rPr>
          <w:rStyle w:val="FootnoteReference"/>
          <w:rFonts w:asciiTheme="minorHAnsi" w:hAnsiTheme="minorHAnsi" w:cstheme="minorHAnsi"/>
          <w:sz w:val="15"/>
          <w:szCs w:val="15"/>
        </w:rPr>
        <w:footnoteRef/>
      </w:r>
      <w:r w:rsidRPr="00E83A36">
        <w:rPr>
          <w:rFonts w:asciiTheme="minorHAnsi" w:hAnsiTheme="minorHAnsi" w:cstheme="minorHAnsi"/>
          <w:sz w:val="15"/>
          <w:szCs w:val="15"/>
        </w:rPr>
        <w:t xml:space="preserve"> Average number of people per household is 4.7 for Cuando Cubango (i.e. within the 4.6 to 4.7 bracket) and 5.3 in Cunene </w:t>
      </w:r>
      <w:r>
        <w:rPr>
          <w:rFonts w:asciiTheme="minorHAnsi" w:hAnsiTheme="minorHAnsi" w:cstheme="minorHAnsi"/>
          <w:sz w:val="15"/>
          <w:szCs w:val="15"/>
        </w:rPr>
        <w:t>P</w:t>
      </w:r>
      <w:r w:rsidRPr="00E83A36">
        <w:rPr>
          <w:rFonts w:asciiTheme="minorHAnsi" w:hAnsiTheme="minorHAnsi" w:cstheme="minorHAnsi"/>
          <w:sz w:val="15"/>
          <w:szCs w:val="15"/>
        </w:rPr>
        <w:t>rovince (among the highest in the country</w:t>
      </w:r>
      <w:r>
        <w:rPr>
          <w:rFonts w:asciiTheme="minorHAnsi" w:hAnsiTheme="minorHAnsi" w:cstheme="minorHAnsi"/>
          <w:sz w:val="15"/>
          <w:szCs w:val="15"/>
        </w:rPr>
        <w:t>)</w:t>
      </w:r>
      <w:r w:rsidRPr="00E83A36">
        <w:rPr>
          <w:rFonts w:asciiTheme="minorHAnsi" w:hAnsiTheme="minorHAnsi" w:cstheme="minorHAnsi"/>
          <w:sz w:val="15"/>
          <w:szCs w:val="15"/>
        </w:rPr>
        <w:t xml:space="preserve">. The national average is 4.6, and 4.4 for rural households only.  </w:t>
      </w:r>
    </w:p>
  </w:footnote>
  <w:footnote w:id="13">
    <w:p w14:paraId="5E4FEE43" w14:textId="77777777" w:rsidR="004D2871" w:rsidRPr="00E83A36" w:rsidRDefault="004D2871" w:rsidP="00805423">
      <w:pPr>
        <w:pStyle w:val="FootnoteText"/>
        <w:ind w:left="0"/>
        <w:rPr>
          <w:rFonts w:asciiTheme="minorHAnsi" w:hAnsiTheme="minorHAnsi" w:cstheme="minorHAnsi"/>
          <w:sz w:val="15"/>
          <w:szCs w:val="15"/>
        </w:rPr>
      </w:pPr>
      <w:r w:rsidRPr="00E83A36">
        <w:rPr>
          <w:rStyle w:val="FootnoteReference"/>
          <w:rFonts w:asciiTheme="minorHAnsi" w:hAnsiTheme="minorHAnsi" w:cstheme="minorHAnsi"/>
          <w:sz w:val="15"/>
          <w:szCs w:val="15"/>
        </w:rPr>
        <w:footnoteRef/>
      </w:r>
      <w:r w:rsidRPr="00E83A36">
        <w:rPr>
          <w:rFonts w:asciiTheme="minorHAnsi" w:hAnsiTheme="minorHAnsi" w:cstheme="minorHAnsi"/>
          <w:sz w:val="15"/>
          <w:szCs w:val="15"/>
        </w:rPr>
        <w:t xml:space="preserve"> Referred to as the ‘LADA-modified assessment'. </w:t>
      </w:r>
    </w:p>
  </w:footnote>
  <w:footnote w:id="14">
    <w:p w14:paraId="59D0D761" w14:textId="263924E8" w:rsidR="004D2871" w:rsidRPr="00E83A36" w:rsidRDefault="004D2871" w:rsidP="009563B4">
      <w:pPr>
        <w:pStyle w:val="FootnoteText"/>
        <w:ind w:left="0"/>
        <w:rPr>
          <w:rFonts w:asciiTheme="minorHAnsi" w:hAnsiTheme="minorHAnsi" w:cstheme="minorHAnsi"/>
          <w:sz w:val="15"/>
          <w:szCs w:val="15"/>
        </w:rPr>
      </w:pPr>
      <w:r w:rsidRPr="00E83A36">
        <w:rPr>
          <w:rStyle w:val="FootnoteReference"/>
          <w:rFonts w:asciiTheme="minorHAnsi" w:hAnsiTheme="minorHAnsi" w:cstheme="minorHAnsi"/>
          <w:sz w:val="15"/>
          <w:szCs w:val="15"/>
        </w:rPr>
        <w:footnoteRef/>
      </w:r>
      <w:r w:rsidRPr="00E83A36">
        <w:rPr>
          <w:rFonts w:asciiTheme="minorHAnsi" w:hAnsiTheme="minorHAnsi" w:cstheme="minorHAnsi"/>
          <w:sz w:val="15"/>
          <w:szCs w:val="15"/>
        </w:rPr>
        <w:t xml:space="preserve"> Timber exploration concessions would require the preparation of forest management plan</w:t>
      </w:r>
      <w:r>
        <w:rPr>
          <w:rFonts w:asciiTheme="minorHAnsi" w:hAnsiTheme="minorHAnsi" w:cstheme="minorHAnsi"/>
          <w:sz w:val="15"/>
          <w:szCs w:val="15"/>
          <w:lang w:val="en-GB"/>
        </w:rPr>
        <w:t>s.</w:t>
      </w:r>
      <w:r w:rsidRPr="00E83A36">
        <w:rPr>
          <w:rFonts w:asciiTheme="minorHAnsi" w:hAnsiTheme="minorHAnsi" w:cstheme="minorHAnsi"/>
          <w:sz w:val="15"/>
          <w:szCs w:val="15"/>
        </w:rPr>
        <w:t xml:space="preserve"> </w:t>
      </w:r>
    </w:p>
  </w:footnote>
  <w:footnote w:id="15">
    <w:p w14:paraId="5634AF68" w14:textId="27800DF9" w:rsidR="004D2871" w:rsidRPr="00E83A36" w:rsidRDefault="004D2871" w:rsidP="003547ED">
      <w:pPr>
        <w:pStyle w:val="FootnoteText"/>
        <w:ind w:left="0"/>
        <w:rPr>
          <w:rFonts w:asciiTheme="minorHAnsi" w:hAnsiTheme="minorHAnsi" w:cstheme="minorHAnsi"/>
          <w:sz w:val="15"/>
          <w:szCs w:val="15"/>
        </w:rPr>
      </w:pPr>
      <w:r w:rsidRPr="00E83A36">
        <w:rPr>
          <w:rStyle w:val="FootnoteReference"/>
          <w:rFonts w:asciiTheme="minorHAnsi" w:hAnsiTheme="minorHAnsi" w:cstheme="minorHAnsi"/>
          <w:sz w:val="15"/>
          <w:szCs w:val="15"/>
        </w:rPr>
        <w:footnoteRef/>
      </w:r>
      <w:r w:rsidRPr="00E83A36">
        <w:rPr>
          <w:rFonts w:asciiTheme="minorHAnsi" w:hAnsiTheme="minorHAnsi" w:cstheme="minorHAnsi"/>
          <w:sz w:val="15"/>
          <w:szCs w:val="15"/>
        </w:rPr>
        <w:t xml:space="preserve"> The tenure model of generalized State property over land, at times leased to community equates to a common property model from </w:t>
      </w:r>
      <w:r>
        <w:rPr>
          <w:rFonts w:asciiTheme="minorHAnsi" w:hAnsiTheme="minorHAnsi" w:cstheme="minorHAnsi"/>
          <w:sz w:val="15"/>
          <w:szCs w:val="15"/>
          <w:lang w:val="en-GB"/>
        </w:rPr>
        <w:t>a</w:t>
      </w:r>
      <w:r w:rsidRPr="00E83A36">
        <w:rPr>
          <w:rFonts w:asciiTheme="minorHAnsi" w:hAnsiTheme="minorHAnsi" w:cstheme="minorHAnsi"/>
          <w:sz w:val="15"/>
          <w:szCs w:val="15"/>
        </w:rPr>
        <w:t xml:space="preserve"> natural resource management</w:t>
      </w:r>
      <w:r>
        <w:rPr>
          <w:rFonts w:asciiTheme="minorHAnsi" w:hAnsiTheme="minorHAnsi" w:cstheme="minorHAnsi"/>
          <w:sz w:val="15"/>
          <w:szCs w:val="15"/>
          <w:lang w:val="en-GB"/>
        </w:rPr>
        <w:t xml:space="preserve"> perspective</w:t>
      </w:r>
      <w:r w:rsidRPr="00E83A36">
        <w:rPr>
          <w:rFonts w:asciiTheme="minorHAnsi" w:hAnsiTheme="minorHAnsi" w:cstheme="minorHAnsi"/>
          <w:sz w:val="15"/>
          <w:szCs w:val="15"/>
        </w:rPr>
        <w:t xml:space="preserve">. </w:t>
      </w:r>
    </w:p>
  </w:footnote>
  <w:footnote w:id="16">
    <w:p w14:paraId="42E736A5" w14:textId="77777777" w:rsidR="004D2871" w:rsidRPr="00E83A36" w:rsidRDefault="004D2871" w:rsidP="00A806E9">
      <w:pPr>
        <w:pStyle w:val="FootnoteText"/>
        <w:ind w:left="0"/>
        <w:rPr>
          <w:rFonts w:asciiTheme="minorHAnsi" w:hAnsiTheme="minorHAnsi" w:cstheme="minorHAnsi"/>
          <w:sz w:val="15"/>
          <w:szCs w:val="15"/>
        </w:rPr>
      </w:pPr>
      <w:r w:rsidRPr="00E83A36">
        <w:rPr>
          <w:rStyle w:val="FootnoteReference"/>
          <w:rFonts w:asciiTheme="minorHAnsi" w:hAnsiTheme="minorHAnsi" w:cstheme="minorHAnsi"/>
          <w:sz w:val="15"/>
          <w:szCs w:val="15"/>
        </w:rPr>
        <w:footnoteRef/>
      </w:r>
      <w:r w:rsidRPr="00E83A36">
        <w:rPr>
          <w:rFonts w:asciiTheme="minorHAnsi" w:hAnsiTheme="minorHAnsi" w:cstheme="minorHAnsi"/>
          <w:sz w:val="15"/>
          <w:szCs w:val="15"/>
        </w:rPr>
        <w:t xml:space="preserve"> UNCCD defines drylands according to an aridity index, calculated as the ratio of mean annual precipitation (P) to mean annual potential evapotranspiration (PET) -- i.e. P/PET would need be less than 0.65. However, it is also considered important to observe specific features of drylands</w:t>
      </w:r>
      <w:r>
        <w:rPr>
          <w:rFonts w:asciiTheme="minorHAnsi" w:hAnsiTheme="minorHAnsi" w:cstheme="minorHAnsi"/>
          <w:sz w:val="15"/>
          <w:szCs w:val="15"/>
          <w:lang w:val="en-GB"/>
        </w:rPr>
        <w:t xml:space="preserve"> such as</w:t>
      </w:r>
      <w:r w:rsidRPr="00E83A36">
        <w:rPr>
          <w:rFonts w:asciiTheme="minorHAnsi" w:hAnsiTheme="minorHAnsi" w:cstheme="minorHAnsi"/>
          <w:sz w:val="15"/>
          <w:szCs w:val="15"/>
        </w:rPr>
        <w:t xml:space="preserve"> </w:t>
      </w:r>
      <w:r>
        <w:rPr>
          <w:rFonts w:asciiTheme="minorHAnsi" w:hAnsiTheme="minorHAnsi" w:cstheme="minorHAnsi"/>
          <w:sz w:val="15"/>
          <w:szCs w:val="15"/>
          <w:lang w:val="en-GB"/>
        </w:rPr>
        <w:t>c</w:t>
      </w:r>
      <w:r w:rsidRPr="00E83A36">
        <w:rPr>
          <w:rFonts w:asciiTheme="minorHAnsi" w:hAnsiTheme="minorHAnsi" w:cstheme="minorHAnsi"/>
          <w:sz w:val="15"/>
          <w:szCs w:val="15"/>
        </w:rPr>
        <w:t>limatic variability and variable interannual NDVI. (</w:t>
      </w:r>
      <w:r>
        <w:rPr>
          <w:rFonts w:asciiTheme="minorHAnsi" w:hAnsiTheme="minorHAnsi" w:cstheme="minorHAnsi"/>
          <w:sz w:val="15"/>
          <w:szCs w:val="15"/>
          <w:lang w:val="en-GB"/>
        </w:rPr>
        <w:t>For example:</w:t>
      </w:r>
      <w:r w:rsidRPr="00E83A36">
        <w:rPr>
          <w:rFonts w:asciiTheme="minorHAnsi" w:hAnsiTheme="minorHAnsi" w:cstheme="minorHAnsi"/>
          <w:sz w:val="15"/>
          <w:szCs w:val="15"/>
        </w:rPr>
        <w:t>. WCMC paper by L Sörensen (2007): A spatial analysis approach to the global delineation of dryland areas of relevance to the CBD Programme of Work on Dry and Subhumid Lands.)</w:t>
      </w:r>
    </w:p>
  </w:footnote>
  <w:footnote w:id="17">
    <w:p w14:paraId="672871EC" w14:textId="2B9F76F3" w:rsidR="004D2871" w:rsidRPr="00E83A36" w:rsidRDefault="004D2871" w:rsidP="009563B4">
      <w:pPr>
        <w:pStyle w:val="FootnoteText"/>
        <w:ind w:left="0"/>
        <w:rPr>
          <w:rFonts w:asciiTheme="minorHAnsi" w:hAnsiTheme="minorHAnsi" w:cstheme="minorHAnsi"/>
          <w:sz w:val="15"/>
          <w:szCs w:val="15"/>
        </w:rPr>
      </w:pPr>
      <w:r w:rsidRPr="00E83A36">
        <w:rPr>
          <w:rStyle w:val="FootnoteReference"/>
          <w:rFonts w:asciiTheme="minorHAnsi" w:hAnsiTheme="minorHAnsi" w:cstheme="minorHAnsi"/>
          <w:sz w:val="15"/>
          <w:szCs w:val="15"/>
        </w:rPr>
        <w:footnoteRef/>
      </w:r>
      <w:r w:rsidRPr="00E83A36">
        <w:rPr>
          <w:rFonts w:asciiTheme="minorHAnsi" w:hAnsiTheme="minorHAnsi" w:cstheme="minorHAnsi"/>
          <w:sz w:val="15"/>
          <w:szCs w:val="15"/>
        </w:rPr>
        <w:t xml:space="preserve"> 2019 Climate Risk Assessment (CRA) o</w:t>
      </w:r>
      <w:r>
        <w:rPr>
          <w:rFonts w:asciiTheme="minorHAnsi" w:hAnsiTheme="minorHAnsi" w:cstheme="minorHAnsi"/>
          <w:sz w:val="15"/>
          <w:szCs w:val="15"/>
          <w:lang w:val="en-GB"/>
        </w:rPr>
        <w:t>f</w:t>
      </w:r>
      <w:r w:rsidRPr="00E83A36">
        <w:rPr>
          <w:rFonts w:asciiTheme="minorHAnsi" w:hAnsiTheme="minorHAnsi" w:cstheme="minorHAnsi"/>
          <w:sz w:val="15"/>
          <w:szCs w:val="15"/>
        </w:rPr>
        <w:t xml:space="preserve"> the </w:t>
      </w:r>
      <w:r>
        <w:rPr>
          <w:rFonts w:asciiTheme="minorHAnsi" w:hAnsiTheme="minorHAnsi" w:cstheme="minorHAnsi"/>
          <w:sz w:val="15"/>
          <w:szCs w:val="15"/>
          <w:lang w:val="en-GB"/>
        </w:rPr>
        <w:t>A</w:t>
      </w:r>
      <w:r w:rsidRPr="00E83A36">
        <w:rPr>
          <w:rFonts w:asciiTheme="minorHAnsi" w:hAnsiTheme="minorHAnsi" w:cstheme="minorHAnsi"/>
          <w:sz w:val="15"/>
          <w:szCs w:val="15"/>
        </w:rPr>
        <w:t>griculture sector of Angola, conducted by IFAD under the project Adaptation for Smallholder Agriculture Program (ASAP), Phase 2.</w:t>
      </w:r>
    </w:p>
  </w:footnote>
  <w:footnote w:id="18">
    <w:p w14:paraId="15A755E2" w14:textId="5C5F7029" w:rsidR="004D2871" w:rsidRPr="00E83A36" w:rsidRDefault="004D2871" w:rsidP="009563B4">
      <w:pPr>
        <w:pStyle w:val="FootnoteText"/>
        <w:ind w:left="0"/>
        <w:rPr>
          <w:rFonts w:asciiTheme="minorHAnsi" w:hAnsiTheme="minorHAnsi" w:cstheme="minorHAnsi"/>
          <w:sz w:val="15"/>
          <w:szCs w:val="15"/>
        </w:rPr>
      </w:pPr>
      <w:r w:rsidRPr="00F75961">
        <w:rPr>
          <w:rStyle w:val="FootnoteReference"/>
          <w:rFonts w:asciiTheme="minorHAnsi" w:hAnsiTheme="minorHAnsi" w:cstheme="minorHAnsi"/>
          <w:sz w:val="15"/>
          <w:szCs w:val="15"/>
        </w:rPr>
        <w:footnoteRef/>
      </w:r>
      <w:r w:rsidRPr="00F75961">
        <w:rPr>
          <w:rFonts w:asciiTheme="minorHAnsi" w:hAnsiTheme="minorHAnsi" w:cstheme="minorHAnsi"/>
          <w:sz w:val="15"/>
          <w:szCs w:val="15"/>
          <w:lang w:val="en-GB"/>
        </w:rPr>
        <w:t>Chemical</w:t>
      </w:r>
      <w:r w:rsidRPr="00F75961">
        <w:rPr>
          <w:rFonts w:asciiTheme="minorHAnsi" w:hAnsiTheme="minorHAnsi" w:cstheme="minorHAnsi"/>
          <w:sz w:val="15"/>
          <w:szCs w:val="15"/>
        </w:rPr>
        <w:t xml:space="preserve"> soil fertiliz</w:t>
      </w:r>
      <w:r w:rsidRPr="00F75961">
        <w:rPr>
          <w:rFonts w:asciiTheme="minorHAnsi" w:hAnsiTheme="minorHAnsi" w:cstheme="minorHAnsi"/>
          <w:sz w:val="15"/>
          <w:szCs w:val="15"/>
          <w:lang w:val="en-GB"/>
        </w:rPr>
        <w:t>ers are</w:t>
      </w:r>
      <w:r w:rsidRPr="00F75961">
        <w:rPr>
          <w:rFonts w:asciiTheme="minorHAnsi" w:hAnsiTheme="minorHAnsi" w:cstheme="minorHAnsi"/>
          <w:sz w:val="15"/>
          <w:szCs w:val="15"/>
        </w:rPr>
        <w:t xml:space="preserve"> rarely used because</w:t>
      </w:r>
      <w:r w:rsidRPr="00F75961">
        <w:rPr>
          <w:rFonts w:asciiTheme="minorHAnsi" w:hAnsiTheme="minorHAnsi" w:cstheme="minorHAnsi"/>
          <w:sz w:val="15"/>
          <w:szCs w:val="15"/>
          <w:lang w:val="en-GB"/>
        </w:rPr>
        <w:t xml:space="preserve"> they are</w:t>
      </w:r>
      <w:r w:rsidRPr="00F75961">
        <w:rPr>
          <w:rFonts w:asciiTheme="minorHAnsi" w:hAnsiTheme="minorHAnsi" w:cstheme="minorHAnsi"/>
          <w:sz w:val="15"/>
          <w:szCs w:val="15"/>
        </w:rPr>
        <w:t xml:space="preserve"> not affordable </w:t>
      </w:r>
      <w:r w:rsidRPr="00F75961">
        <w:rPr>
          <w:rFonts w:asciiTheme="minorHAnsi" w:hAnsiTheme="minorHAnsi" w:cstheme="minorHAnsi"/>
          <w:sz w:val="15"/>
          <w:szCs w:val="15"/>
          <w:lang w:val="en-GB"/>
        </w:rPr>
        <w:t>for</w:t>
      </w:r>
      <w:r w:rsidRPr="00F75961">
        <w:rPr>
          <w:rFonts w:asciiTheme="minorHAnsi" w:hAnsiTheme="minorHAnsi" w:cstheme="minorHAnsi"/>
          <w:sz w:val="15"/>
          <w:szCs w:val="15"/>
        </w:rPr>
        <w:t xml:space="preserve"> smallholders. Active natural fertilization of soils implies complex techniques that are often not mastered.</w:t>
      </w:r>
    </w:p>
  </w:footnote>
  <w:footnote w:id="19">
    <w:p w14:paraId="4F968F33" w14:textId="1B78DBA9" w:rsidR="004D2871" w:rsidRPr="00E83A36" w:rsidRDefault="004D2871" w:rsidP="009563B4">
      <w:pPr>
        <w:pStyle w:val="FootnoteText"/>
        <w:ind w:left="0"/>
        <w:rPr>
          <w:rFonts w:asciiTheme="minorHAnsi" w:hAnsiTheme="minorHAnsi" w:cstheme="minorHAnsi"/>
          <w:sz w:val="15"/>
          <w:szCs w:val="15"/>
        </w:rPr>
      </w:pPr>
      <w:r w:rsidRPr="00E83A36">
        <w:rPr>
          <w:rStyle w:val="FootnoteReference"/>
          <w:rFonts w:asciiTheme="minorHAnsi" w:hAnsiTheme="minorHAnsi" w:cstheme="minorHAnsi"/>
          <w:sz w:val="15"/>
          <w:szCs w:val="15"/>
        </w:rPr>
        <w:footnoteRef/>
      </w:r>
      <w:r w:rsidRPr="00EF659B">
        <w:rPr>
          <w:rFonts w:asciiTheme="minorHAnsi" w:hAnsiTheme="minorHAnsi" w:cstheme="minorHAnsi"/>
          <w:sz w:val="15"/>
          <w:szCs w:val="15"/>
          <w:lang w:val="de-DE"/>
        </w:rPr>
        <w:t xml:space="preserve"> </w:t>
      </w:r>
      <w:r w:rsidRPr="00E83A36">
        <w:rPr>
          <w:rFonts w:asciiTheme="minorHAnsi" w:hAnsiTheme="minorHAnsi" w:cstheme="minorHAnsi"/>
          <w:sz w:val="15"/>
          <w:szCs w:val="15"/>
        </w:rPr>
        <w:t>Mendelsohn J.M. (2019) Landscape Changes in Angola. In: Huntley B., Russo V., Lages F., Ferrand N. (eds) Biodiversity of Angola. Springer, Cham (pp 123-137).</w:t>
      </w:r>
    </w:p>
  </w:footnote>
  <w:footnote w:id="20">
    <w:p w14:paraId="33849E1D" w14:textId="7080EDD6" w:rsidR="004D2871" w:rsidRPr="009170AD" w:rsidRDefault="004D2871" w:rsidP="007D43F8">
      <w:pPr>
        <w:pStyle w:val="FootnoteText"/>
        <w:ind w:left="0"/>
        <w:rPr>
          <w:rFonts w:ascii="Calibri" w:hAnsi="Calibri" w:cs="Calibri"/>
          <w:sz w:val="15"/>
          <w:szCs w:val="15"/>
          <w:lang w:val="en-US"/>
        </w:rPr>
      </w:pPr>
      <w:r w:rsidRPr="009170AD">
        <w:rPr>
          <w:rStyle w:val="FootnoteReference"/>
          <w:rFonts w:ascii="Calibri" w:hAnsi="Calibri" w:cs="Calibri"/>
          <w:sz w:val="15"/>
          <w:szCs w:val="15"/>
        </w:rPr>
        <w:footnoteRef/>
      </w:r>
      <w:r w:rsidRPr="009170AD">
        <w:rPr>
          <w:rFonts w:ascii="Calibri" w:hAnsi="Calibri" w:cs="Calibri"/>
          <w:sz w:val="15"/>
          <w:szCs w:val="15"/>
        </w:rPr>
        <w:t xml:space="preserve"> </w:t>
      </w:r>
      <w:r w:rsidRPr="009170AD">
        <w:rPr>
          <w:rFonts w:ascii="Calibri" w:hAnsi="Calibri" w:cs="Calibri"/>
          <w:sz w:val="15"/>
          <w:szCs w:val="15"/>
          <w:lang w:val="en-US"/>
        </w:rPr>
        <w:t xml:space="preserve">See </w:t>
      </w:r>
      <w:hyperlink w:anchor="_Annex_E:_Project" w:history="1">
        <w:r w:rsidRPr="009170AD">
          <w:rPr>
            <w:rStyle w:val="Hyperlink"/>
            <w:rFonts w:ascii="Calibri" w:hAnsi="Calibri" w:cs="Calibri"/>
            <w:color w:val="auto"/>
            <w:sz w:val="15"/>
            <w:szCs w:val="15"/>
          </w:rPr>
          <w:t>Annex E</w:t>
        </w:r>
      </w:hyperlink>
      <w:r w:rsidRPr="009170AD">
        <w:rPr>
          <w:rFonts w:ascii="Calibri" w:hAnsi="Calibri" w:cs="Calibri"/>
          <w:sz w:val="15"/>
          <w:szCs w:val="15"/>
        </w:rPr>
        <w:t xml:space="preserve"> for the landscape profile summar</w:t>
      </w:r>
      <w:r w:rsidRPr="009170AD">
        <w:rPr>
          <w:rFonts w:ascii="Calibri" w:hAnsi="Calibri" w:cs="Calibri"/>
          <w:sz w:val="15"/>
          <w:szCs w:val="15"/>
          <w:lang w:val="en-GB"/>
        </w:rPr>
        <w:t>ies</w:t>
      </w:r>
      <w:r w:rsidRPr="009170AD">
        <w:rPr>
          <w:rFonts w:ascii="Calibri" w:hAnsi="Calibri" w:cs="Calibri"/>
          <w:sz w:val="15"/>
          <w:szCs w:val="15"/>
          <w:lang w:val="en-US"/>
        </w:rPr>
        <w:t>, including the evolution of the estimated population pressure.</w:t>
      </w:r>
    </w:p>
  </w:footnote>
  <w:footnote w:id="21">
    <w:p w14:paraId="03AA8E4C" w14:textId="77777777" w:rsidR="004D2871" w:rsidRPr="001A164C" w:rsidRDefault="004D2871" w:rsidP="001A164C">
      <w:pPr>
        <w:pStyle w:val="FootnoteText"/>
        <w:ind w:left="0"/>
        <w:rPr>
          <w:rFonts w:ascii="Calibri" w:hAnsi="Calibri" w:cs="Calibri"/>
          <w:lang w:val="en-US"/>
        </w:rPr>
      </w:pPr>
      <w:r w:rsidRPr="001A164C">
        <w:rPr>
          <w:rStyle w:val="FootnoteReference"/>
          <w:rFonts w:ascii="Calibri" w:hAnsi="Calibri" w:cs="Calibri"/>
        </w:rPr>
        <w:footnoteRef/>
      </w:r>
      <w:r w:rsidRPr="001A164C">
        <w:rPr>
          <w:rFonts w:ascii="Calibri" w:hAnsi="Calibri" w:cs="Calibri"/>
        </w:rPr>
        <w:t xml:space="preserve"> </w:t>
      </w:r>
      <w:r w:rsidRPr="001A164C">
        <w:rPr>
          <w:rFonts w:ascii="Calibri" w:hAnsi="Calibri" w:cs="Calibri"/>
          <w:lang w:val="en-US"/>
        </w:rPr>
        <w:t>B</w:t>
      </w:r>
      <w:r w:rsidRPr="001A164C">
        <w:rPr>
          <w:rFonts w:ascii="Calibri" w:hAnsi="Calibri" w:cs="Calibri"/>
        </w:rPr>
        <w:t>y Schneibel, A. et al. (2017), ilustrated by a figure from their article modified</w:t>
      </w:r>
      <w:r w:rsidRPr="001A164C">
        <w:rPr>
          <w:rFonts w:ascii="Calibri" w:hAnsi="Calibri" w:cs="Calibri"/>
          <w:lang w:val="en-US"/>
        </w:rPr>
        <w:t xml:space="preserve">. See link to the article for a a higher resolution image and full conclusions: </w:t>
      </w:r>
      <w:hyperlink r:id="rId4" w:history="1">
        <w:r w:rsidRPr="001A164C">
          <w:rPr>
            <w:rStyle w:val="Hyperlink"/>
            <w:rFonts w:ascii="Calibri" w:hAnsi="Calibri" w:cs="Calibri"/>
            <w:lang w:val="en-US"/>
          </w:rPr>
          <w:t>https://ubt.opus.hbz-nrw.de/opus45-ubtr/frontdoor/deliver/index/docId/808/file/remotesensing_09_00905.pdf</w:t>
        </w:r>
      </w:hyperlink>
      <w:r w:rsidRPr="001A164C">
        <w:rPr>
          <w:rFonts w:ascii="Calibri" w:hAnsi="Calibri" w:cs="Calibri"/>
          <w:lang w:val="en-US"/>
        </w:rPr>
        <w:t xml:space="preserve"> </w:t>
      </w:r>
    </w:p>
  </w:footnote>
  <w:footnote w:id="22">
    <w:p w14:paraId="397CC5F3" w14:textId="7AE5E6F5" w:rsidR="004D2871" w:rsidRPr="004649B6" w:rsidRDefault="004D2871" w:rsidP="005E19CA">
      <w:pPr>
        <w:pStyle w:val="FootnoteText"/>
        <w:ind w:left="0"/>
        <w:jc w:val="both"/>
        <w:rPr>
          <w:rFonts w:asciiTheme="minorHAnsi" w:hAnsiTheme="minorHAnsi" w:cstheme="minorHAnsi"/>
          <w:sz w:val="15"/>
          <w:szCs w:val="15"/>
          <w:lang w:val="en-GB"/>
        </w:rPr>
      </w:pPr>
      <w:r w:rsidRPr="00E83A36">
        <w:rPr>
          <w:rStyle w:val="FootnoteReference"/>
          <w:rFonts w:asciiTheme="minorHAnsi" w:hAnsiTheme="minorHAnsi" w:cstheme="minorHAnsi"/>
          <w:sz w:val="15"/>
          <w:szCs w:val="15"/>
        </w:rPr>
        <w:footnoteRef/>
      </w:r>
      <w:r w:rsidRPr="00E83A36">
        <w:rPr>
          <w:rFonts w:asciiTheme="minorHAnsi" w:hAnsiTheme="minorHAnsi" w:cstheme="minorHAnsi"/>
          <w:sz w:val="15"/>
          <w:szCs w:val="15"/>
        </w:rPr>
        <w:t xml:space="preserve"> Recen</w:t>
      </w:r>
      <w:r>
        <w:rPr>
          <w:rFonts w:asciiTheme="minorHAnsi" w:hAnsiTheme="minorHAnsi" w:cstheme="minorHAnsi"/>
          <w:sz w:val="15"/>
          <w:szCs w:val="15"/>
          <w:lang w:val="en-GB"/>
        </w:rPr>
        <w:t>t,</w:t>
      </w:r>
      <w:r w:rsidRPr="00E83A36">
        <w:rPr>
          <w:rFonts w:asciiTheme="minorHAnsi" w:hAnsiTheme="minorHAnsi" w:cstheme="minorHAnsi"/>
          <w:sz w:val="15"/>
          <w:szCs w:val="15"/>
        </w:rPr>
        <w:t xml:space="preserve"> reliable measures of development indicators at subnational level are scarce </w:t>
      </w:r>
      <w:r>
        <w:rPr>
          <w:rFonts w:asciiTheme="minorHAnsi" w:hAnsiTheme="minorHAnsi" w:cstheme="minorHAnsi"/>
          <w:sz w:val="15"/>
          <w:szCs w:val="15"/>
          <w:lang w:val="en-GB"/>
        </w:rPr>
        <w:t>for</w:t>
      </w:r>
      <w:r w:rsidRPr="00E83A36">
        <w:rPr>
          <w:rFonts w:asciiTheme="minorHAnsi" w:hAnsiTheme="minorHAnsi" w:cstheme="minorHAnsi"/>
          <w:sz w:val="15"/>
          <w:szCs w:val="15"/>
        </w:rPr>
        <w:t xml:space="preserve"> Angola but one author calculated the Human Development Index in 2018 per province. The provinces of Cunene, Huila and Cuando Cubango are ranked respectively 14, 15 and 16 out of Angola’s 18 provinces, with indices as low as 11% below the national average </w:t>
      </w:r>
      <w:r>
        <w:rPr>
          <w:rFonts w:asciiTheme="minorHAnsi" w:hAnsiTheme="minorHAnsi" w:cstheme="minorHAnsi"/>
          <w:sz w:val="15"/>
          <w:szCs w:val="15"/>
          <w:lang w:val="en-GB"/>
        </w:rPr>
        <w:t>(</w:t>
      </w:r>
      <w:r w:rsidRPr="00E83A36">
        <w:rPr>
          <w:rFonts w:asciiTheme="minorHAnsi" w:hAnsiTheme="minorHAnsi" w:cstheme="minorHAnsi"/>
          <w:sz w:val="15"/>
          <w:szCs w:val="15"/>
        </w:rPr>
        <w:t xml:space="preserve">hdi.globaldatalab.org. </w:t>
      </w:r>
      <w:r>
        <w:rPr>
          <w:rFonts w:asciiTheme="minorHAnsi" w:hAnsiTheme="minorHAnsi" w:cstheme="minorHAnsi"/>
          <w:sz w:val="15"/>
          <w:szCs w:val="15"/>
          <w:lang w:val="en-GB"/>
        </w:rPr>
        <w:t>r</w:t>
      </w:r>
      <w:r w:rsidRPr="00E83A36">
        <w:rPr>
          <w:rFonts w:asciiTheme="minorHAnsi" w:hAnsiTheme="minorHAnsi" w:cstheme="minorHAnsi"/>
          <w:sz w:val="15"/>
          <w:szCs w:val="15"/>
        </w:rPr>
        <w:t>etrieved 5 December 2018)</w:t>
      </w:r>
      <w:r>
        <w:rPr>
          <w:rFonts w:asciiTheme="minorHAnsi" w:hAnsiTheme="minorHAnsi" w:cstheme="minorHAnsi"/>
          <w:sz w:val="15"/>
          <w:szCs w:val="15"/>
          <w:lang w:val="en-GB"/>
        </w:rPr>
        <w:t>.</w:t>
      </w:r>
    </w:p>
  </w:footnote>
  <w:footnote w:id="23">
    <w:p w14:paraId="02C2C47D" w14:textId="18A4DB1A" w:rsidR="004D2871" w:rsidRPr="004649B6" w:rsidRDefault="004D2871" w:rsidP="005E19CA">
      <w:pPr>
        <w:pStyle w:val="FootnoteText"/>
        <w:ind w:left="0"/>
        <w:jc w:val="both"/>
        <w:rPr>
          <w:rFonts w:asciiTheme="minorHAnsi" w:hAnsiTheme="minorHAnsi" w:cstheme="minorHAnsi"/>
          <w:sz w:val="15"/>
          <w:szCs w:val="15"/>
          <w:lang w:val="en-GB"/>
        </w:rPr>
      </w:pPr>
      <w:r w:rsidRPr="00E83A36">
        <w:rPr>
          <w:rStyle w:val="FootnoteReference"/>
          <w:rFonts w:asciiTheme="minorHAnsi" w:hAnsiTheme="minorHAnsi" w:cstheme="minorHAnsi"/>
          <w:sz w:val="15"/>
          <w:szCs w:val="15"/>
        </w:rPr>
        <w:footnoteRef/>
      </w:r>
      <w:r w:rsidRPr="00E83A36">
        <w:rPr>
          <w:rFonts w:asciiTheme="minorHAnsi" w:hAnsiTheme="minorHAnsi" w:cstheme="minorHAnsi"/>
          <w:sz w:val="15"/>
          <w:szCs w:val="15"/>
        </w:rPr>
        <w:t xml:space="preserve"> Land tenure conflicts affect</w:t>
      </w:r>
      <w:r>
        <w:rPr>
          <w:rFonts w:asciiTheme="minorHAnsi" w:hAnsiTheme="minorHAnsi" w:cstheme="minorHAnsi"/>
          <w:sz w:val="15"/>
          <w:szCs w:val="15"/>
          <w:lang w:val="en-GB"/>
        </w:rPr>
        <w:t>,</w:t>
      </w:r>
      <w:r w:rsidRPr="00E83A36">
        <w:rPr>
          <w:rFonts w:asciiTheme="minorHAnsi" w:hAnsiTheme="minorHAnsi" w:cstheme="minorHAnsi"/>
          <w:sz w:val="15"/>
          <w:szCs w:val="15"/>
        </w:rPr>
        <w:t xml:space="preserve"> in particular, areas of Gambos </w:t>
      </w:r>
      <w:r>
        <w:rPr>
          <w:rFonts w:asciiTheme="minorHAnsi" w:hAnsiTheme="minorHAnsi" w:cstheme="minorHAnsi"/>
          <w:sz w:val="15"/>
          <w:szCs w:val="15"/>
          <w:lang w:val="en-GB"/>
        </w:rPr>
        <w:t>M</w:t>
      </w:r>
      <w:r w:rsidRPr="00E83A36">
        <w:rPr>
          <w:rFonts w:asciiTheme="minorHAnsi" w:hAnsiTheme="minorHAnsi" w:cstheme="minorHAnsi"/>
          <w:sz w:val="15"/>
          <w:szCs w:val="15"/>
        </w:rPr>
        <w:t>unicipality in Huila, in the northern part of Sub-basin 2</w:t>
      </w:r>
      <w:r>
        <w:rPr>
          <w:rFonts w:asciiTheme="minorHAnsi" w:hAnsiTheme="minorHAnsi" w:cstheme="minorHAnsi"/>
          <w:sz w:val="15"/>
          <w:szCs w:val="15"/>
          <w:lang w:val="en-GB"/>
        </w:rPr>
        <w:t>.</w:t>
      </w:r>
    </w:p>
  </w:footnote>
  <w:footnote w:id="24">
    <w:p w14:paraId="3FF6B8D5" w14:textId="77777777" w:rsidR="004D2871" w:rsidRPr="001E78C2" w:rsidRDefault="004D2871" w:rsidP="005E19CA">
      <w:pPr>
        <w:pStyle w:val="FootnoteText"/>
        <w:tabs>
          <w:tab w:val="left" w:pos="0"/>
        </w:tabs>
        <w:ind w:left="0"/>
        <w:jc w:val="both"/>
        <w:rPr>
          <w:lang w:val="en-GB"/>
        </w:rPr>
      </w:pPr>
      <w:r>
        <w:rPr>
          <w:rStyle w:val="FootnoteReference"/>
        </w:rPr>
        <w:footnoteRef/>
      </w:r>
      <w:r>
        <w:t xml:space="preserve"> </w:t>
      </w:r>
      <w:r>
        <w:rPr>
          <w:lang w:val="en-GB"/>
        </w:rPr>
        <w:t xml:space="preserve">Angola’s INDC to UNFCCC is also aligned with its </w:t>
      </w:r>
      <w:r w:rsidRPr="00E36FD7">
        <w:t>Strategy to Fight Poverty (SFP), National Adaptation Programme of Action (NAPA) and</w:t>
      </w:r>
      <w:r>
        <w:rPr>
          <w:lang w:val="en-GB"/>
        </w:rPr>
        <w:t xml:space="preserve"> the</w:t>
      </w:r>
      <w:r w:rsidRPr="00E36FD7">
        <w:t xml:space="preserve"> Long Term Strategy for Development of Angola (2025)</w:t>
      </w:r>
      <w:r>
        <w:rPr>
          <w:lang w:val="en-GB"/>
        </w:rPr>
        <w:t>.</w:t>
      </w:r>
    </w:p>
  </w:footnote>
  <w:footnote w:id="25">
    <w:p w14:paraId="6D117A58" w14:textId="77777777" w:rsidR="004D2871" w:rsidRPr="00E83A36" w:rsidRDefault="004D2871" w:rsidP="005E19CA">
      <w:pPr>
        <w:pStyle w:val="FootnoteText"/>
        <w:ind w:left="0"/>
        <w:jc w:val="both"/>
        <w:rPr>
          <w:rFonts w:asciiTheme="minorHAnsi" w:hAnsiTheme="minorHAnsi" w:cstheme="minorHAnsi"/>
          <w:sz w:val="15"/>
          <w:szCs w:val="15"/>
          <w:lang w:val="pt-BR"/>
        </w:rPr>
      </w:pPr>
      <w:r w:rsidRPr="00E83A36">
        <w:rPr>
          <w:rStyle w:val="FootnoteReference"/>
          <w:rFonts w:asciiTheme="minorHAnsi" w:hAnsiTheme="minorHAnsi" w:cstheme="minorHAnsi"/>
          <w:sz w:val="15"/>
          <w:szCs w:val="15"/>
        </w:rPr>
        <w:footnoteRef/>
      </w:r>
      <w:r w:rsidRPr="00E83A36">
        <w:rPr>
          <w:rFonts w:asciiTheme="minorHAnsi" w:hAnsiTheme="minorHAnsi" w:cstheme="minorHAnsi"/>
          <w:sz w:val="15"/>
          <w:szCs w:val="15"/>
          <w:lang w:val="pt-BR"/>
        </w:rPr>
        <w:t xml:space="preserve"> Programa de Acção Nacional de Combate à Desertificação (PANCOD).</w:t>
      </w:r>
    </w:p>
  </w:footnote>
  <w:footnote w:id="26">
    <w:p w14:paraId="77F04674" w14:textId="77777777" w:rsidR="004D2871" w:rsidRPr="00E83A36" w:rsidRDefault="004D2871" w:rsidP="007D1DAE">
      <w:pPr>
        <w:pStyle w:val="FootnoteText"/>
        <w:ind w:left="0"/>
        <w:rPr>
          <w:rFonts w:asciiTheme="minorHAnsi" w:hAnsiTheme="minorHAnsi" w:cstheme="minorHAnsi"/>
          <w:sz w:val="15"/>
          <w:szCs w:val="15"/>
        </w:rPr>
      </w:pPr>
      <w:r w:rsidRPr="00E83A36">
        <w:rPr>
          <w:rStyle w:val="FootnoteReference"/>
          <w:rFonts w:asciiTheme="minorHAnsi" w:hAnsiTheme="minorHAnsi" w:cstheme="minorHAnsi"/>
          <w:sz w:val="15"/>
          <w:szCs w:val="15"/>
        </w:rPr>
        <w:footnoteRef/>
      </w:r>
      <w:r w:rsidRPr="00E83A36">
        <w:rPr>
          <w:rFonts w:asciiTheme="minorHAnsi" w:hAnsiTheme="minorHAnsi" w:cstheme="minorHAnsi"/>
          <w:sz w:val="15"/>
          <w:szCs w:val="15"/>
        </w:rPr>
        <w:t xml:space="preserve"> Source: </w:t>
      </w:r>
      <w:hyperlink r:id="rId5" w:history="1">
        <w:r w:rsidRPr="00E83A36">
          <w:rPr>
            <w:rStyle w:val="Hyperlink"/>
            <w:rFonts w:asciiTheme="minorHAnsi" w:hAnsiTheme="minorHAnsi" w:cstheme="minorHAnsi"/>
            <w:sz w:val="15"/>
            <w:szCs w:val="15"/>
          </w:rPr>
          <w:t>https://www.unccd.int/actions/achieving-land-degradation-neutrality</w:t>
        </w:r>
      </w:hyperlink>
      <w:r w:rsidRPr="00E83A36">
        <w:rPr>
          <w:rFonts w:asciiTheme="minorHAnsi" w:hAnsiTheme="minorHAnsi" w:cstheme="minorHAnsi"/>
          <w:sz w:val="15"/>
          <w:szCs w:val="15"/>
        </w:rPr>
        <w:t>, accessed on 20/04/20.</w:t>
      </w:r>
    </w:p>
  </w:footnote>
  <w:footnote w:id="27">
    <w:p w14:paraId="15566B0D" w14:textId="44D73A65" w:rsidR="004D2871" w:rsidRPr="00E83A36" w:rsidRDefault="004D2871" w:rsidP="00FC59EA">
      <w:pPr>
        <w:pStyle w:val="FootnoteText"/>
        <w:ind w:left="0"/>
        <w:rPr>
          <w:rFonts w:asciiTheme="minorHAnsi" w:hAnsiTheme="minorHAnsi" w:cstheme="minorHAnsi"/>
          <w:sz w:val="15"/>
          <w:szCs w:val="15"/>
        </w:rPr>
      </w:pPr>
      <w:r w:rsidRPr="00E83A36">
        <w:rPr>
          <w:rStyle w:val="FootnoteReference"/>
          <w:rFonts w:asciiTheme="minorHAnsi" w:hAnsiTheme="minorHAnsi" w:cstheme="minorHAnsi"/>
          <w:sz w:val="15"/>
          <w:szCs w:val="15"/>
        </w:rPr>
        <w:footnoteRef/>
      </w:r>
      <w:r w:rsidRPr="00E83A36">
        <w:rPr>
          <w:rFonts w:asciiTheme="minorHAnsi" w:hAnsiTheme="minorHAnsi" w:cstheme="minorHAnsi"/>
          <w:sz w:val="15"/>
          <w:szCs w:val="15"/>
        </w:rPr>
        <w:t xml:space="preserve"> Secondary data and existing and on-going studies concerning climate change helped inform the project strategy. Primary data on local climate change vulnerability and resilience were </w:t>
      </w:r>
      <w:r>
        <w:rPr>
          <w:rFonts w:asciiTheme="minorHAnsi" w:hAnsiTheme="minorHAnsi" w:cstheme="minorHAnsi"/>
          <w:sz w:val="15"/>
          <w:szCs w:val="15"/>
          <w:lang w:val="en-GB"/>
        </w:rPr>
        <w:t xml:space="preserve">used during the </w:t>
      </w:r>
      <w:r w:rsidRPr="00E83A36">
        <w:rPr>
          <w:rFonts w:asciiTheme="minorHAnsi" w:hAnsiTheme="minorHAnsi" w:cstheme="minorHAnsi"/>
          <w:sz w:val="15"/>
          <w:szCs w:val="15"/>
        </w:rPr>
        <w:t xml:space="preserve">PPG </w:t>
      </w:r>
      <w:r>
        <w:rPr>
          <w:rFonts w:asciiTheme="minorHAnsi" w:hAnsiTheme="minorHAnsi" w:cstheme="minorHAnsi"/>
          <w:sz w:val="15"/>
          <w:szCs w:val="15"/>
          <w:lang w:val="en-GB"/>
        </w:rPr>
        <w:t>phase as input to</w:t>
      </w:r>
      <w:r w:rsidRPr="00E83A36">
        <w:rPr>
          <w:rFonts w:asciiTheme="minorHAnsi" w:hAnsiTheme="minorHAnsi" w:cstheme="minorHAnsi"/>
          <w:sz w:val="15"/>
          <w:szCs w:val="15"/>
        </w:rPr>
        <w:t xml:space="preserve"> </w:t>
      </w:r>
      <w:r w:rsidRPr="00E83A36">
        <w:rPr>
          <w:rFonts w:asciiTheme="minorHAnsi" w:hAnsiTheme="minorHAnsi" w:cstheme="minorHAnsi"/>
          <w:b/>
          <w:bCs/>
          <w:sz w:val="15"/>
          <w:szCs w:val="15"/>
        </w:rPr>
        <w:t>FAO’s SHARP methodology.</w:t>
      </w:r>
      <w:r w:rsidRPr="00E83A36">
        <w:rPr>
          <w:rFonts w:asciiTheme="minorHAnsi" w:hAnsiTheme="minorHAnsi" w:cstheme="minorHAnsi"/>
          <w:sz w:val="15"/>
          <w:szCs w:val="15"/>
        </w:rPr>
        <w:t xml:space="preserve"> It explored conditions for typical households within the project zone</w:t>
      </w:r>
      <w:r>
        <w:rPr>
          <w:rFonts w:asciiTheme="minorHAnsi" w:hAnsiTheme="minorHAnsi" w:cstheme="minorHAnsi"/>
          <w:sz w:val="15"/>
          <w:szCs w:val="15"/>
          <w:lang w:val="en-GB"/>
        </w:rPr>
        <w:t>,</w:t>
      </w:r>
      <w:r w:rsidRPr="00E83A36">
        <w:rPr>
          <w:rFonts w:asciiTheme="minorHAnsi" w:hAnsiTheme="minorHAnsi" w:cstheme="minorHAnsi"/>
          <w:sz w:val="15"/>
          <w:szCs w:val="15"/>
        </w:rPr>
        <w:t xml:space="preserve"> which helped tailor interventions (see </w:t>
      </w:r>
      <w:r>
        <w:rPr>
          <w:rFonts w:asciiTheme="minorHAnsi" w:hAnsiTheme="minorHAnsi" w:cstheme="minorHAnsi"/>
          <w:sz w:val="15"/>
          <w:szCs w:val="15"/>
          <w:lang w:val="en-GB"/>
        </w:rPr>
        <w:t xml:space="preserve">IFAD study on </w:t>
      </w:r>
      <w:r w:rsidRPr="00D81606">
        <w:rPr>
          <w:rFonts w:asciiTheme="minorHAnsi" w:hAnsiTheme="minorHAnsi" w:cstheme="minorHAnsi"/>
          <w:sz w:val="15"/>
          <w:szCs w:val="15"/>
        </w:rPr>
        <w:t>Climate Risks and Resilience</w:t>
      </w:r>
      <w:r w:rsidRPr="00E83A36">
        <w:rPr>
          <w:rFonts w:asciiTheme="minorHAnsi" w:hAnsiTheme="minorHAnsi" w:cstheme="minorHAnsi"/>
          <w:sz w:val="15"/>
          <w:szCs w:val="15"/>
        </w:rPr>
        <w:t xml:space="preserve"> in </w:t>
      </w:r>
      <w:r w:rsidRPr="00D81606">
        <w:rPr>
          <w:rFonts w:asciiTheme="minorHAnsi" w:hAnsiTheme="minorHAnsi" w:cstheme="minorHAnsi"/>
          <w:sz w:val="15"/>
          <w:szCs w:val="15"/>
          <w:highlight w:val="lightGray"/>
        </w:rPr>
        <w:t>Annex X-3</w:t>
      </w:r>
      <w:r w:rsidRPr="00E83A36">
        <w:rPr>
          <w:rFonts w:asciiTheme="minorHAnsi" w:hAnsiTheme="minorHAnsi" w:cstheme="minorHAnsi"/>
          <w:sz w:val="15"/>
          <w:szCs w:val="15"/>
        </w:rPr>
        <w:t>).</w:t>
      </w:r>
    </w:p>
  </w:footnote>
  <w:footnote w:id="28">
    <w:p w14:paraId="5DB1A910" w14:textId="31DB9DEF" w:rsidR="004D2871" w:rsidRPr="00E83A36" w:rsidRDefault="004D2871" w:rsidP="00BA1C3F">
      <w:pPr>
        <w:pStyle w:val="FootnoteText"/>
        <w:ind w:left="0"/>
        <w:rPr>
          <w:rFonts w:asciiTheme="minorHAnsi" w:hAnsiTheme="minorHAnsi" w:cstheme="minorBidi"/>
          <w:sz w:val="15"/>
          <w:szCs w:val="15"/>
          <w:lang w:val="pt-BR"/>
        </w:rPr>
      </w:pPr>
      <w:r w:rsidRPr="6491AA2D">
        <w:rPr>
          <w:rStyle w:val="FootnoteReference"/>
          <w:rFonts w:asciiTheme="minorHAnsi" w:hAnsiTheme="minorHAnsi" w:cstheme="minorBidi"/>
          <w:sz w:val="15"/>
          <w:szCs w:val="15"/>
        </w:rPr>
        <w:footnoteRef/>
      </w:r>
      <w:r w:rsidRPr="6491AA2D">
        <w:rPr>
          <w:rFonts w:asciiTheme="minorHAnsi" w:hAnsiTheme="minorHAnsi" w:cstheme="minorBidi"/>
          <w:sz w:val="15"/>
          <w:szCs w:val="15"/>
          <w:lang w:val="pt-BR"/>
        </w:rPr>
        <w:t xml:space="preserve"> Ministério da Cultura, torismo e  Ambiente (MCTA), Direcção Nacional do Ambiente e Acção Climática, , Comissão Multisectorial para o Ambiente. </w:t>
      </w:r>
    </w:p>
  </w:footnote>
  <w:footnote w:id="29">
    <w:p w14:paraId="3B7BC1D8" w14:textId="5CAAEED9" w:rsidR="004D2871" w:rsidRPr="00E83A36" w:rsidRDefault="004D2871" w:rsidP="0031480E">
      <w:pPr>
        <w:pStyle w:val="FootnoteText"/>
        <w:ind w:left="0"/>
        <w:jc w:val="both"/>
        <w:rPr>
          <w:rFonts w:asciiTheme="minorHAnsi" w:hAnsiTheme="minorHAnsi" w:cstheme="minorBidi"/>
          <w:sz w:val="15"/>
          <w:szCs w:val="15"/>
          <w:lang w:val="pt-BR"/>
        </w:rPr>
      </w:pPr>
      <w:r w:rsidRPr="77E37E9C">
        <w:rPr>
          <w:rStyle w:val="FootnoteReference"/>
          <w:rFonts w:asciiTheme="minorHAnsi" w:hAnsiTheme="minorHAnsi" w:cstheme="minorBidi"/>
          <w:sz w:val="15"/>
          <w:szCs w:val="15"/>
        </w:rPr>
        <w:footnoteRef/>
      </w:r>
      <w:r w:rsidRPr="77E37E9C">
        <w:rPr>
          <w:rFonts w:asciiTheme="minorHAnsi" w:hAnsiTheme="minorHAnsi" w:cstheme="minorBidi"/>
          <w:sz w:val="15"/>
          <w:szCs w:val="15"/>
          <w:lang w:val="pt-BR"/>
        </w:rPr>
        <w:t xml:space="preserve"> Ministério de Agricultura e Pescas (MINAGRIP), Instituo de Desenvolvimento Florestal (IDF), </w:t>
      </w:r>
      <w:r w:rsidRPr="364656DC">
        <w:rPr>
          <w:rFonts w:asciiTheme="minorHAnsi" w:hAnsiTheme="minorHAnsi" w:cstheme="minorBidi"/>
          <w:sz w:val="15"/>
          <w:szCs w:val="15"/>
          <w:lang w:val="pt-BR"/>
        </w:rPr>
        <w:t xml:space="preserve">Direcção Nacional da Agricultura e Pecuária </w:t>
      </w:r>
    </w:p>
  </w:footnote>
  <w:footnote w:id="30">
    <w:p w14:paraId="11534B74" w14:textId="0CE254DE" w:rsidR="004D2871" w:rsidRPr="00E83A36" w:rsidRDefault="004D2871" w:rsidP="0031480E">
      <w:pPr>
        <w:pStyle w:val="FootnoteText"/>
        <w:ind w:left="0"/>
        <w:jc w:val="both"/>
        <w:rPr>
          <w:rFonts w:asciiTheme="minorHAnsi" w:hAnsiTheme="minorHAnsi" w:cstheme="minorHAnsi"/>
          <w:sz w:val="15"/>
          <w:szCs w:val="15"/>
          <w:lang w:val="pt-BR"/>
        </w:rPr>
      </w:pPr>
      <w:r w:rsidRPr="00E83A36">
        <w:rPr>
          <w:rStyle w:val="FootnoteReference"/>
          <w:rFonts w:asciiTheme="minorHAnsi" w:hAnsiTheme="minorHAnsi" w:cstheme="minorHAnsi"/>
          <w:sz w:val="15"/>
          <w:szCs w:val="15"/>
        </w:rPr>
        <w:footnoteRef/>
      </w:r>
      <w:r w:rsidRPr="00E83A36">
        <w:rPr>
          <w:rFonts w:asciiTheme="minorHAnsi" w:hAnsiTheme="minorHAnsi" w:cstheme="minorHAnsi"/>
          <w:sz w:val="15"/>
          <w:szCs w:val="15"/>
          <w:lang w:val="pt-BR"/>
        </w:rPr>
        <w:t xml:space="preserve"> Instituto Nacional de Recursos Hídricos</w:t>
      </w:r>
      <w:r>
        <w:rPr>
          <w:rFonts w:asciiTheme="minorHAnsi" w:hAnsiTheme="minorHAnsi" w:cstheme="minorHAnsi"/>
          <w:sz w:val="15"/>
          <w:szCs w:val="15"/>
          <w:lang w:val="pt-BR"/>
        </w:rPr>
        <w:t xml:space="preserve"> (INRH), </w:t>
      </w:r>
      <w:r w:rsidRPr="00E83A36">
        <w:rPr>
          <w:rFonts w:asciiTheme="minorHAnsi" w:hAnsiTheme="minorHAnsi" w:cstheme="minorHAnsi"/>
          <w:sz w:val="15"/>
          <w:szCs w:val="15"/>
          <w:lang w:val="pt-BR"/>
        </w:rPr>
        <w:t>Gabinete para a Administração das Bacias Hidrográficas do Cunene, Cubango e Cuvelai (GABHIC</w:t>
      </w:r>
      <w:r>
        <w:rPr>
          <w:rFonts w:asciiTheme="minorHAnsi" w:hAnsiTheme="minorHAnsi" w:cstheme="minorHAnsi"/>
          <w:sz w:val="15"/>
          <w:szCs w:val="15"/>
          <w:lang w:val="pt-BR"/>
        </w:rPr>
        <w:t>)</w:t>
      </w:r>
    </w:p>
  </w:footnote>
  <w:footnote w:id="31">
    <w:p w14:paraId="7D4D9C87" w14:textId="15B581E5" w:rsidR="004D2871" w:rsidRPr="00E83A36" w:rsidRDefault="004D2871" w:rsidP="0031480E">
      <w:pPr>
        <w:pStyle w:val="FootnoteText"/>
        <w:ind w:left="0"/>
        <w:jc w:val="both"/>
        <w:rPr>
          <w:rFonts w:asciiTheme="minorHAnsi" w:hAnsiTheme="minorHAnsi" w:cstheme="minorHAnsi"/>
          <w:sz w:val="15"/>
          <w:szCs w:val="15"/>
        </w:rPr>
      </w:pPr>
      <w:r w:rsidRPr="00E83A36">
        <w:rPr>
          <w:rStyle w:val="FootnoteReference"/>
          <w:rFonts w:asciiTheme="minorHAnsi" w:hAnsiTheme="minorHAnsi" w:cstheme="minorHAnsi"/>
          <w:sz w:val="15"/>
          <w:szCs w:val="15"/>
        </w:rPr>
        <w:footnoteRef/>
      </w:r>
      <w:r w:rsidRPr="00E83A36">
        <w:rPr>
          <w:rFonts w:asciiTheme="minorHAnsi" w:hAnsiTheme="minorHAnsi" w:cstheme="minorHAnsi"/>
          <w:sz w:val="15"/>
          <w:szCs w:val="15"/>
        </w:rPr>
        <w:t xml:space="preserve"> </w:t>
      </w:r>
      <w:r>
        <w:rPr>
          <w:rFonts w:asciiTheme="minorHAnsi" w:hAnsiTheme="minorHAnsi" w:cstheme="minorHAnsi"/>
          <w:sz w:val="15"/>
          <w:szCs w:val="15"/>
          <w:lang w:val="en-GB"/>
        </w:rPr>
        <w:t>The term</w:t>
      </w:r>
      <w:r w:rsidRPr="00E83A36">
        <w:rPr>
          <w:rFonts w:asciiTheme="minorHAnsi" w:hAnsiTheme="minorHAnsi" w:cstheme="minorHAnsi"/>
          <w:sz w:val="15"/>
          <w:szCs w:val="15"/>
        </w:rPr>
        <w:t>‘</w:t>
      </w:r>
      <w:r>
        <w:rPr>
          <w:rFonts w:asciiTheme="minorHAnsi" w:hAnsiTheme="minorHAnsi" w:cstheme="minorHAnsi"/>
          <w:sz w:val="15"/>
          <w:szCs w:val="15"/>
          <w:lang w:val="en-GB"/>
        </w:rPr>
        <w:t>s</w:t>
      </w:r>
      <w:r w:rsidRPr="00E83A36">
        <w:rPr>
          <w:rFonts w:asciiTheme="minorHAnsi" w:hAnsiTheme="minorHAnsi" w:cstheme="minorHAnsi"/>
          <w:sz w:val="15"/>
          <w:szCs w:val="15"/>
        </w:rPr>
        <w:t xml:space="preserve">trategic’ is </w:t>
      </w:r>
      <w:r>
        <w:rPr>
          <w:rFonts w:asciiTheme="minorHAnsi" w:hAnsiTheme="minorHAnsi" w:cstheme="minorHAnsi"/>
          <w:sz w:val="15"/>
          <w:szCs w:val="15"/>
          <w:lang w:val="en-GB"/>
        </w:rPr>
        <w:t xml:space="preserve">used </w:t>
      </w:r>
      <w:r w:rsidRPr="00E83A36">
        <w:rPr>
          <w:rFonts w:asciiTheme="minorHAnsi" w:hAnsiTheme="minorHAnsi" w:cstheme="minorHAnsi"/>
          <w:sz w:val="15"/>
          <w:szCs w:val="15"/>
        </w:rPr>
        <w:t xml:space="preserve">here </w:t>
      </w:r>
      <w:r>
        <w:rPr>
          <w:rFonts w:asciiTheme="minorHAnsi" w:hAnsiTheme="minorHAnsi" w:cstheme="minorHAnsi"/>
          <w:sz w:val="15"/>
          <w:szCs w:val="15"/>
          <w:lang w:val="en-GB"/>
        </w:rPr>
        <w:t>to differentiate INRH’s from the</w:t>
      </w:r>
      <w:r w:rsidRPr="00E83A36">
        <w:rPr>
          <w:rFonts w:asciiTheme="minorHAnsi" w:hAnsiTheme="minorHAnsi" w:cstheme="minorHAnsi"/>
          <w:sz w:val="15"/>
          <w:szCs w:val="15"/>
        </w:rPr>
        <w:t xml:space="preserve"> more ‘operational’ mandate</w:t>
      </w:r>
      <w:r>
        <w:rPr>
          <w:rFonts w:asciiTheme="minorHAnsi" w:hAnsiTheme="minorHAnsi" w:cstheme="minorHAnsi"/>
          <w:sz w:val="15"/>
          <w:szCs w:val="15"/>
          <w:lang w:val="en-GB"/>
        </w:rPr>
        <w:t xml:space="preserve"> of</w:t>
      </w:r>
      <w:r w:rsidRPr="00E83A36">
        <w:rPr>
          <w:rFonts w:asciiTheme="minorHAnsi" w:hAnsiTheme="minorHAnsi" w:cstheme="minorHAnsi"/>
          <w:sz w:val="15"/>
          <w:szCs w:val="15"/>
        </w:rPr>
        <w:t xml:space="preserve"> </w:t>
      </w:r>
      <w:r>
        <w:rPr>
          <w:rFonts w:asciiTheme="minorHAnsi" w:hAnsiTheme="minorHAnsi" w:cstheme="minorHAnsi"/>
          <w:sz w:val="15"/>
          <w:szCs w:val="15"/>
          <w:lang w:val="en-GB"/>
        </w:rPr>
        <w:t>w</w:t>
      </w:r>
      <w:r w:rsidRPr="00E83A36">
        <w:rPr>
          <w:rFonts w:asciiTheme="minorHAnsi" w:hAnsiTheme="minorHAnsi" w:cstheme="minorHAnsi"/>
          <w:sz w:val="15"/>
          <w:szCs w:val="15"/>
        </w:rPr>
        <w:t>ater supply</w:t>
      </w:r>
      <w:r>
        <w:rPr>
          <w:rFonts w:asciiTheme="minorHAnsi" w:hAnsiTheme="minorHAnsi" w:cstheme="minorHAnsi"/>
          <w:sz w:val="15"/>
          <w:szCs w:val="15"/>
          <w:lang w:val="en-GB"/>
        </w:rPr>
        <w:t>,</w:t>
      </w:r>
      <w:r w:rsidRPr="00E83A36">
        <w:rPr>
          <w:rFonts w:asciiTheme="minorHAnsi" w:hAnsiTheme="minorHAnsi" w:cstheme="minorHAnsi"/>
          <w:sz w:val="15"/>
          <w:szCs w:val="15"/>
        </w:rPr>
        <w:t xml:space="preserve"> sanitation and energy</w:t>
      </w:r>
      <w:r>
        <w:rPr>
          <w:rFonts w:asciiTheme="minorHAnsi" w:hAnsiTheme="minorHAnsi" w:cstheme="minorHAnsi"/>
          <w:sz w:val="15"/>
          <w:szCs w:val="15"/>
          <w:lang w:val="en-GB"/>
        </w:rPr>
        <w:t>, which</w:t>
      </w:r>
      <w:r w:rsidRPr="00E83A36">
        <w:rPr>
          <w:rFonts w:asciiTheme="minorHAnsi" w:hAnsiTheme="minorHAnsi" w:cstheme="minorHAnsi"/>
          <w:sz w:val="15"/>
          <w:szCs w:val="15"/>
        </w:rPr>
        <w:t xml:space="preserve"> is a centralized function of the larger Angolan cities handled by their respective local government</w:t>
      </w:r>
      <w:r>
        <w:rPr>
          <w:rFonts w:asciiTheme="minorHAnsi" w:hAnsiTheme="minorHAnsi" w:cstheme="minorHAnsi"/>
          <w:sz w:val="15"/>
          <w:szCs w:val="15"/>
          <w:lang w:val="en-GB"/>
        </w:rPr>
        <w:t xml:space="preserve">s and increasingly taken on by </w:t>
      </w:r>
      <w:r w:rsidRPr="00E83A36">
        <w:rPr>
          <w:rFonts w:asciiTheme="minorHAnsi" w:hAnsiTheme="minorHAnsi" w:cstheme="minorHAnsi"/>
          <w:sz w:val="15"/>
          <w:szCs w:val="15"/>
        </w:rPr>
        <w:t>the private sector</w:t>
      </w:r>
      <w:r>
        <w:rPr>
          <w:rFonts w:asciiTheme="minorHAnsi" w:hAnsiTheme="minorHAnsi" w:cstheme="minorHAnsi"/>
          <w:sz w:val="15"/>
          <w:szCs w:val="15"/>
          <w:lang w:val="en-GB"/>
        </w:rPr>
        <w:t>.</w:t>
      </w:r>
    </w:p>
  </w:footnote>
  <w:footnote w:id="32">
    <w:p w14:paraId="257AE659" w14:textId="406FB058" w:rsidR="004D2871" w:rsidRPr="00E83A36" w:rsidRDefault="004D2871" w:rsidP="0031480E">
      <w:pPr>
        <w:pStyle w:val="FootnoteText"/>
        <w:ind w:left="0"/>
        <w:jc w:val="both"/>
        <w:rPr>
          <w:rFonts w:asciiTheme="minorHAnsi" w:hAnsiTheme="minorHAnsi" w:cstheme="minorHAnsi"/>
          <w:sz w:val="15"/>
          <w:szCs w:val="15"/>
        </w:rPr>
      </w:pPr>
      <w:r w:rsidRPr="00E83A36">
        <w:rPr>
          <w:rStyle w:val="FootnoteReference"/>
          <w:rFonts w:asciiTheme="minorHAnsi" w:hAnsiTheme="minorHAnsi" w:cstheme="minorHAnsi"/>
          <w:sz w:val="15"/>
          <w:szCs w:val="15"/>
        </w:rPr>
        <w:footnoteRef/>
      </w:r>
      <w:r w:rsidRPr="00E83A36">
        <w:rPr>
          <w:rFonts w:asciiTheme="minorHAnsi" w:hAnsiTheme="minorHAnsi" w:cstheme="minorHAnsi"/>
          <w:sz w:val="15"/>
          <w:szCs w:val="15"/>
        </w:rPr>
        <w:t xml:space="preserve"> Angola is also a member of the Zambezi Watercourse Commission (ZAMCOM) and the International Commission for the Congo-Oubangui-Sangha Basin, with national participation </w:t>
      </w:r>
      <w:r>
        <w:rPr>
          <w:rFonts w:asciiTheme="minorHAnsi" w:hAnsiTheme="minorHAnsi" w:cstheme="minorHAnsi"/>
          <w:sz w:val="15"/>
          <w:szCs w:val="15"/>
          <w:lang w:val="en-GB"/>
        </w:rPr>
        <w:t>effected</w:t>
      </w:r>
      <w:r w:rsidRPr="00E83A36">
        <w:rPr>
          <w:rFonts w:asciiTheme="minorHAnsi" w:hAnsiTheme="minorHAnsi" w:cstheme="minorHAnsi"/>
          <w:sz w:val="15"/>
          <w:szCs w:val="15"/>
        </w:rPr>
        <w:t xml:space="preserve"> through INRH. </w:t>
      </w:r>
    </w:p>
  </w:footnote>
  <w:footnote w:id="33">
    <w:p w14:paraId="76E3AF2F" w14:textId="705A7A10" w:rsidR="004D2871" w:rsidRPr="00E83A36" w:rsidRDefault="004D2871" w:rsidP="0031480E">
      <w:pPr>
        <w:pStyle w:val="FootnoteText"/>
        <w:ind w:left="0"/>
        <w:jc w:val="both"/>
        <w:rPr>
          <w:rFonts w:asciiTheme="minorHAnsi" w:hAnsiTheme="minorHAnsi" w:cstheme="minorHAnsi"/>
          <w:sz w:val="15"/>
          <w:szCs w:val="15"/>
        </w:rPr>
      </w:pPr>
      <w:r w:rsidRPr="00E83A36">
        <w:rPr>
          <w:rStyle w:val="FootnoteReference"/>
          <w:rFonts w:asciiTheme="minorHAnsi" w:hAnsiTheme="minorHAnsi" w:cstheme="minorHAnsi"/>
          <w:sz w:val="15"/>
          <w:szCs w:val="15"/>
        </w:rPr>
        <w:footnoteRef/>
      </w:r>
      <w:r w:rsidRPr="00E83A36">
        <w:rPr>
          <w:rFonts w:asciiTheme="minorHAnsi" w:hAnsiTheme="minorHAnsi" w:cstheme="minorHAnsi"/>
          <w:sz w:val="15"/>
          <w:szCs w:val="15"/>
        </w:rPr>
        <w:t xml:space="preserve"> The 2015 decree expand</w:t>
      </w:r>
      <w:r>
        <w:rPr>
          <w:rFonts w:asciiTheme="minorHAnsi" w:hAnsiTheme="minorHAnsi" w:cstheme="minorHAnsi"/>
          <w:sz w:val="15"/>
          <w:szCs w:val="15"/>
          <w:lang w:val="en-GB"/>
        </w:rPr>
        <w:t xml:space="preserve">s GABHIC’s </w:t>
      </w:r>
      <w:r w:rsidRPr="00E83A36">
        <w:rPr>
          <w:rFonts w:asciiTheme="minorHAnsi" w:hAnsiTheme="minorHAnsi" w:cstheme="minorHAnsi"/>
          <w:sz w:val="15"/>
          <w:szCs w:val="15"/>
        </w:rPr>
        <w:t xml:space="preserve">mandate </w:t>
      </w:r>
      <w:r>
        <w:rPr>
          <w:rFonts w:asciiTheme="minorHAnsi" w:hAnsiTheme="minorHAnsi" w:cstheme="minorHAnsi"/>
          <w:sz w:val="15"/>
          <w:szCs w:val="15"/>
          <w:lang w:val="en-GB"/>
        </w:rPr>
        <w:t xml:space="preserve">from </w:t>
      </w:r>
      <w:r w:rsidRPr="00E83A36">
        <w:rPr>
          <w:rFonts w:asciiTheme="minorHAnsi" w:hAnsiTheme="minorHAnsi" w:cstheme="minorHAnsi"/>
          <w:sz w:val="15"/>
          <w:szCs w:val="15"/>
        </w:rPr>
        <w:t xml:space="preserve"> Cunene </w:t>
      </w:r>
      <w:r>
        <w:rPr>
          <w:rFonts w:asciiTheme="minorHAnsi" w:hAnsiTheme="minorHAnsi" w:cstheme="minorHAnsi"/>
          <w:sz w:val="15"/>
          <w:szCs w:val="15"/>
          <w:lang w:val="en-GB"/>
        </w:rPr>
        <w:t>R</w:t>
      </w:r>
      <w:r w:rsidRPr="00E83A36">
        <w:rPr>
          <w:rFonts w:asciiTheme="minorHAnsi" w:hAnsiTheme="minorHAnsi" w:cstheme="minorHAnsi"/>
          <w:sz w:val="15"/>
          <w:szCs w:val="15"/>
        </w:rPr>
        <w:t xml:space="preserve">iver </w:t>
      </w:r>
      <w:r>
        <w:rPr>
          <w:rFonts w:asciiTheme="minorHAnsi" w:hAnsiTheme="minorHAnsi" w:cstheme="minorHAnsi"/>
          <w:sz w:val="15"/>
          <w:szCs w:val="15"/>
          <w:lang w:val="en-GB"/>
        </w:rPr>
        <w:t>B</w:t>
      </w:r>
      <w:r w:rsidRPr="00E83A36">
        <w:rPr>
          <w:rFonts w:asciiTheme="minorHAnsi" w:hAnsiTheme="minorHAnsi" w:cstheme="minorHAnsi"/>
          <w:sz w:val="15"/>
          <w:szCs w:val="15"/>
        </w:rPr>
        <w:t xml:space="preserve">asin </w:t>
      </w:r>
      <w:r>
        <w:rPr>
          <w:rFonts w:asciiTheme="minorHAnsi" w:hAnsiTheme="minorHAnsi" w:cstheme="minorHAnsi"/>
          <w:sz w:val="15"/>
          <w:szCs w:val="15"/>
          <w:lang w:val="en-GB"/>
        </w:rPr>
        <w:t xml:space="preserve">(under the 1991 decree) </w:t>
      </w:r>
      <w:r w:rsidRPr="00E83A36">
        <w:rPr>
          <w:rFonts w:asciiTheme="minorHAnsi" w:hAnsiTheme="minorHAnsi" w:cstheme="minorHAnsi"/>
          <w:sz w:val="15"/>
          <w:szCs w:val="15"/>
        </w:rPr>
        <w:t xml:space="preserve">to the Okavango and Cuvelai river basins. </w:t>
      </w:r>
    </w:p>
  </w:footnote>
  <w:footnote w:id="34">
    <w:p w14:paraId="17C48986" w14:textId="2D6492B2" w:rsidR="004D2871" w:rsidRPr="00E83A36" w:rsidRDefault="004D2871" w:rsidP="0031480E">
      <w:pPr>
        <w:pStyle w:val="FootnoteText"/>
        <w:ind w:left="0"/>
        <w:jc w:val="both"/>
        <w:rPr>
          <w:rFonts w:asciiTheme="minorHAnsi" w:hAnsiTheme="minorHAnsi" w:cstheme="minorHAnsi"/>
          <w:sz w:val="15"/>
          <w:szCs w:val="15"/>
          <w:lang w:val="pt-BR"/>
        </w:rPr>
      </w:pPr>
      <w:r w:rsidRPr="00E83A36">
        <w:rPr>
          <w:rStyle w:val="FootnoteReference"/>
          <w:rFonts w:asciiTheme="minorHAnsi" w:hAnsiTheme="minorHAnsi" w:cstheme="minorHAnsi"/>
          <w:sz w:val="15"/>
          <w:szCs w:val="15"/>
        </w:rPr>
        <w:footnoteRef/>
      </w:r>
      <w:r w:rsidRPr="00E83A36">
        <w:rPr>
          <w:rFonts w:asciiTheme="minorHAnsi" w:hAnsiTheme="minorHAnsi" w:cstheme="minorHAnsi"/>
          <w:sz w:val="15"/>
          <w:szCs w:val="15"/>
          <w:lang w:val="pt-BR"/>
        </w:rPr>
        <w:t xml:space="preserve"> Ministério da Administração Territorial (MAT)</w:t>
      </w:r>
      <w:r>
        <w:rPr>
          <w:rFonts w:asciiTheme="minorHAnsi" w:hAnsiTheme="minorHAnsi" w:cstheme="minorHAnsi"/>
          <w:sz w:val="15"/>
          <w:szCs w:val="15"/>
          <w:lang w:val="pt-BR"/>
        </w:rPr>
        <w:t xml:space="preserve">, </w:t>
      </w:r>
      <w:r w:rsidRPr="00E83A36">
        <w:rPr>
          <w:rFonts w:asciiTheme="minorHAnsi" w:hAnsiTheme="minorHAnsi" w:cstheme="minorHAnsi"/>
          <w:sz w:val="15"/>
          <w:szCs w:val="15"/>
          <w:lang w:val="pt-BR"/>
        </w:rPr>
        <w:t>.</w:t>
      </w:r>
    </w:p>
  </w:footnote>
  <w:footnote w:id="35">
    <w:p w14:paraId="69DC9F70" w14:textId="1E5D7BAA" w:rsidR="004D2871" w:rsidRPr="00E83A36" w:rsidRDefault="004D2871" w:rsidP="0031480E">
      <w:pPr>
        <w:pStyle w:val="FootnoteText"/>
        <w:ind w:left="0"/>
        <w:jc w:val="both"/>
        <w:rPr>
          <w:rFonts w:asciiTheme="minorHAnsi" w:hAnsiTheme="minorHAnsi" w:cstheme="minorBidi"/>
          <w:sz w:val="15"/>
          <w:szCs w:val="15"/>
          <w:lang w:val="pt-BR"/>
        </w:rPr>
      </w:pPr>
      <w:r w:rsidRPr="6491AA2D">
        <w:rPr>
          <w:rStyle w:val="FootnoteReference"/>
          <w:rFonts w:asciiTheme="minorHAnsi" w:hAnsiTheme="minorHAnsi" w:cstheme="minorBidi"/>
          <w:sz w:val="15"/>
          <w:szCs w:val="15"/>
        </w:rPr>
        <w:footnoteRef/>
      </w:r>
      <w:r w:rsidRPr="6491AA2D">
        <w:rPr>
          <w:rFonts w:asciiTheme="minorHAnsi" w:hAnsiTheme="minorHAnsi" w:cstheme="minorBidi"/>
          <w:sz w:val="15"/>
          <w:szCs w:val="15"/>
          <w:lang w:val="pt-BR"/>
        </w:rPr>
        <w:t xml:space="preserve"> Ministério das Obras Públicas e Ordenamento do Território  (MINOPOT), Instituto Nacional de Ordenamento do Território e Desenvolvimento Urbano (INOTU), Instituto de Geodesia e Cartografia de Angola (IGCA)</w:t>
      </w:r>
    </w:p>
  </w:footnote>
  <w:footnote w:id="36">
    <w:p w14:paraId="1277AEDC" w14:textId="427ABF9B" w:rsidR="004D2871" w:rsidRPr="00E83A36" w:rsidRDefault="004D2871" w:rsidP="0031480E">
      <w:pPr>
        <w:pStyle w:val="FootnoteText"/>
        <w:ind w:left="0"/>
        <w:jc w:val="both"/>
        <w:rPr>
          <w:rFonts w:asciiTheme="minorHAnsi" w:hAnsiTheme="minorHAnsi" w:cstheme="minorBidi"/>
          <w:sz w:val="15"/>
          <w:szCs w:val="15"/>
          <w:lang w:val="pt-BR"/>
        </w:rPr>
      </w:pPr>
      <w:r w:rsidRPr="6491AA2D">
        <w:rPr>
          <w:rStyle w:val="FootnoteReference"/>
          <w:rFonts w:asciiTheme="minorHAnsi" w:hAnsiTheme="minorHAnsi" w:cstheme="minorBidi"/>
          <w:sz w:val="15"/>
          <w:szCs w:val="15"/>
        </w:rPr>
        <w:footnoteRef/>
      </w:r>
      <w:r w:rsidRPr="6491AA2D">
        <w:rPr>
          <w:rFonts w:asciiTheme="minorHAnsi" w:hAnsiTheme="minorHAnsi" w:cstheme="minorBidi"/>
          <w:sz w:val="15"/>
          <w:szCs w:val="15"/>
          <w:lang w:val="pt-BR"/>
        </w:rPr>
        <w:t xml:space="preserve"> Direcção Provincial do Obras Públicas e Ordenamento do Território (DPOPOT).</w:t>
      </w:r>
    </w:p>
  </w:footnote>
  <w:footnote w:id="37">
    <w:p w14:paraId="147BEA64" w14:textId="26FB6249" w:rsidR="004D2871" w:rsidRPr="00E83A36" w:rsidRDefault="004D2871" w:rsidP="0031480E">
      <w:pPr>
        <w:pStyle w:val="FootnoteText"/>
        <w:ind w:left="0"/>
        <w:jc w:val="both"/>
        <w:rPr>
          <w:rFonts w:asciiTheme="minorHAnsi" w:hAnsiTheme="minorHAnsi" w:cstheme="minorBidi"/>
          <w:sz w:val="15"/>
          <w:szCs w:val="15"/>
          <w:lang w:val="pt-BR"/>
        </w:rPr>
      </w:pPr>
      <w:r w:rsidRPr="6491AA2D">
        <w:rPr>
          <w:rStyle w:val="FootnoteReference"/>
          <w:rFonts w:asciiTheme="minorHAnsi" w:hAnsiTheme="minorHAnsi" w:cstheme="minorBidi"/>
          <w:sz w:val="15"/>
          <w:szCs w:val="15"/>
        </w:rPr>
        <w:footnoteRef/>
      </w:r>
      <w:r w:rsidRPr="6491AA2D">
        <w:rPr>
          <w:rFonts w:asciiTheme="minorHAnsi" w:hAnsiTheme="minorHAnsi" w:cstheme="minorBidi"/>
          <w:sz w:val="15"/>
          <w:szCs w:val="15"/>
          <w:lang w:val="pt-BR"/>
        </w:rPr>
        <w:t xml:space="preserve"> </w:t>
      </w:r>
      <w:r w:rsidRPr="6491AA2D">
        <w:rPr>
          <w:rFonts w:asciiTheme="minorHAnsi" w:hAnsiTheme="minorHAnsi" w:cstheme="minorBidi"/>
          <w:color w:val="000000"/>
          <w:sz w:val="15"/>
          <w:szCs w:val="15"/>
          <w:lang w:val="pt-BR"/>
        </w:rPr>
        <w:t>Direcção Provincial da Agricultura, Pecuária e Pescas (DPAPP).</w:t>
      </w:r>
    </w:p>
  </w:footnote>
  <w:footnote w:id="38">
    <w:p w14:paraId="5760AEE6" w14:textId="77777777" w:rsidR="004D2871" w:rsidRPr="00E83A36" w:rsidRDefault="004D2871" w:rsidP="008A17C3">
      <w:pPr>
        <w:rPr>
          <w:rFonts w:asciiTheme="minorHAnsi" w:eastAsia="Calibri" w:hAnsiTheme="minorHAnsi" w:cstheme="minorHAnsi"/>
          <w:sz w:val="15"/>
          <w:szCs w:val="15"/>
          <w:lang w:val="pt-BR"/>
        </w:rPr>
      </w:pPr>
      <w:r w:rsidRPr="00E83A36">
        <w:rPr>
          <w:rStyle w:val="FootnoteReference"/>
          <w:rFonts w:asciiTheme="minorHAnsi" w:hAnsiTheme="minorHAnsi" w:cstheme="minorHAnsi"/>
          <w:sz w:val="15"/>
          <w:szCs w:val="15"/>
        </w:rPr>
        <w:footnoteRef/>
      </w:r>
      <w:r w:rsidRPr="00E83A36">
        <w:rPr>
          <w:rFonts w:asciiTheme="minorHAnsi" w:hAnsiTheme="minorHAnsi" w:cstheme="minorHAnsi"/>
          <w:sz w:val="15"/>
          <w:szCs w:val="15"/>
          <w:lang w:val="pt-BR"/>
        </w:rPr>
        <w:t xml:space="preserve"> </w:t>
      </w:r>
      <w:r w:rsidRPr="00E83A36">
        <w:rPr>
          <w:rFonts w:asciiTheme="minorHAnsi" w:eastAsia="Calibri" w:hAnsiTheme="minorHAnsi" w:cstheme="minorHAnsi"/>
          <w:color w:val="000000"/>
          <w:sz w:val="15"/>
          <w:szCs w:val="15"/>
          <w:lang w:val="pt-BR"/>
        </w:rPr>
        <w:t>Conselho de Auscultação e Concertação Social (CACS).</w:t>
      </w:r>
    </w:p>
  </w:footnote>
  <w:footnote w:id="39">
    <w:p w14:paraId="6C6571A8" w14:textId="77777777" w:rsidR="004D2871" w:rsidRPr="00E83A36" w:rsidRDefault="004D2871" w:rsidP="009563B4">
      <w:pPr>
        <w:pStyle w:val="FootnoteText"/>
        <w:ind w:left="0"/>
        <w:rPr>
          <w:rFonts w:asciiTheme="minorHAnsi" w:hAnsiTheme="minorHAnsi" w:cstheme="minorHAnsi"/>
          <w:color w:val="0000FF"/>
          <w:sz w:val="15"/>
          <w:szCs w:val="15"/>
          <w:u w:val="single"/>
        </w:rPr>
      </w:pPr>
      <w:r w:rsidRPr="00E83A36">
        <w:rPr>
          <w:rStyle w:val="FootnoteReference"/>
          <w:rFonts w:asciiTheme="minorHAnsi" w:hAnsiTheme="minorHAnsi" w:cstheme="minorHAnsi"/>
          <w:sz w:val="15"/>
          <w:szCs w:val="15"/>
        </w:rPr>
        <w:footnoteRef/>
      </w:r>
      <w:r w:rsidRPr="00E83A36">
        <w:rPr>
          <w:rFonts w:asciiTheme="minorHAnsi" w:hAnsiTheme="minorHAnsi" w:cstheme="minorHAnsi"/>
          <w:sz w:val="15"/>
          <w:szCs w:val="15"/>
        </w:rPr>
        <w:t xml:space="preserve"> See </w:t>
      </w:r>
      <w:hyperlink r:id="rId6" w:history="1">
        <w:r w:rsidRPr="00E83A36">
          <w:rPr>
            <w:rStyle w:val="Hyperlink"/>
            <w:rFonts w:asciiTheme="minorHAnsi" w:hAnsiTheme="minorHAnsi" w:cstheme="minorHAnsi"/>
            <w:sz w:val="15"/>
            <w:szCs w:val="15"/>
          </w:rPr>
          <w:t>https://reliefweb.int/sites/reliefweb.int/files/resources/2018_USAID-CCIS-Project_Climate-Risk-Profile-Angola.pdf</w:t>
        </w:r>
      </w:hyperlink>
      <w:r w:rsidRPr="00E83A36">
        <w:rPr>
          <w:rFonts w:asciiTheme="minorHAnsi" w:hAnsiTheme="minorHAnsi" w:cstheme="minorHAnsi"/>
          <w:sz w:val="15"/>
          <w:szCs w:val="15"/>
        </w:rPr>
        <w:t>, a</w:t>
      </w:r>
      <w:r w:rsidRPr="00E83A36">
        <w:rPr>
          <w:rStyle w:val="Hyperlink"/>
          <w:rFonts w:asciiTheme="minorHAnsi" w:hAnsiTheme="minorHAnsi" w:cstheme="minorHAnsi"/>
          <w:sz w:val="15"/>
          <w:szCs w:val="15"/>
        </w:rPr>
        <w:t xml:space="preserve">ccessed on 01/05/20. </w:t>
      </w:r>
    </w:p>
  </w:footnote>
  <w:footnote w:id="40">
    <w:p w14:paraId="0AC63777" w14:textId="77777777" w:rsidR="004D2871" w:rsidRPr="00E83A36" w:rsidRDefault="004D2871" w:rsidP="009563B4">
      <w:pPr>
        <w:pStyle w:val="FootnoteText"/>
        <w:ind w:left="0"/>
        <w:rPr>
          <w:rFonts w:asciiTheme="minorHAnsi" w:hAnsiTheme="minorHAnsi" w:cstheme="minorHAnsi"/>
          <w:sz w:val="15"/>
          <w:szCs w:val="15"/>
        </w:rPr>
      </w:pPr>
      <w:r w:rsidRPr="00E83A36">
        <w:rPr>
          <w:rStyle w:val="FootnoteReference"/>
          <w:rFonts w:asciiTheme="minorHAnsi" w:hAnsiTheme="minorHAnsi" w:cstheme="minorHAnsi"/>
          <w:sz w:val="15"/>
          <w:szCs w:val="15"/>
        </w:rPr>
        <w:footnoteRef/>
      </w:r>
      <w:r w:rsidRPr="00E83A36">
        <w:rPr>
          <w:rFonts w:asciiTheme="minorHAnsi" w:hAnsiTheme="minorHAnsi" w:cstheme="minorHAnsi"/>
          <w:sz w:val="15"/>
          <w:szCs w:val="15"/>
        </w:rPr>
        <w:t xml:space="preserve"> With reference to the Köppen climate classification. Note: The project will </w:t>
      </w:r>
      <w:r w:rsidRPr="00E83A36">
        <w:rPr>
          <w:rFonts w:asciiTheme="minorHAnsi" w:hAnsiTheme="minorHAnsi" w:cstheme="minorHAnsi"/>
          <w:sz w:val="15"/>
          <w:szCs w:val="15"/>
          <w:u w:val="single"/>
        </w:rPr>
        <w:t>not</w:t>
      </w:r>
      <w:r w:rsidRPr="00E83A36">
        <w:rPr>
          <w:rFonts w:asciiTheme="minorHAnsi" w:hAnsiTheme="minorHAnsi" w:cstheme="minorHAnsi"/>
          <w:sz w:val="15"/>
          <w:szCs w:val="15"/>
        </w:rPr>
        <w:t xml:space="preserve"> focus on the drier part of southern Angola where ‘hot desert (BWh) climate’ predominates and the vegetation cover is </w:t>
      </w:r>
      <w:r w:rsidRPr="00E83A36">
        <w:rPr>
          <w:rFonts w:asciiTheme="minorHAnsi" w:hAnsiTheme="minorHAnsi" w:cstheme="minorHAnsi"/>
          <w:sz w:val="15"/>
          <w:szCs w:val="15"/>
          <w:u w:val="single"/>
        </w:rPr>
        <w:t>not</w:t>
      </w:r>
      <w:r w:rsidRPr="00E83A36">
        <w:rPr>
          <w:rFonts w:asciiTheme="minorHAnsi" w:hAnsiTheme="minorHAnsi" w:cstheme="minorHAnsi"/>
          <w:sz w:val="15"/>
          <w:szCs w:val="15"/>
        </w:rPr>
        <w:t xml:space="preserve"> Miombo-Mopane, i.e. the southwestern of the country, in and around Iona National Park. </w:t>
      </w:r>
    </w:p>
  </w:footnote>
  <w:footnote w:id="41">
    <w:p w14:paraId="714A8667" w14:textId="77777777" w:rsidR="004D2871" w:rsidRPr="00E83A36" w:rsidRDefault="004D2871" w:rsidP="009563B4">
      <w:pPr>
        <w:pStyle w:val="FootnoteText"/>
        <w:ind w:left="0"/>
        <w:rPr>
          <w:rFonts w:asciiTheme="minorHAnsi" w:hAnsiTheme="minorHAnsi" w:cstheme="minorHAnsi"/>
          <w:sz w:val="15"/>
          <w:szCs w:val="15"/>
        </w:rPr>
      </w:pPr>
      <w:r w:rsidRPr="00E83A36">
        <w:rPr>
          <w:rStyle w:val="FootnoteReference"/>
          <w:rFonts w:asciiTheme="minorHAnsi" w:hAnsiTheme="minorHAnsi" w:cstheme="minorHAnsi"/>
          <w:sz w:val="15"/>
          <w:szCs w:val="15"/>
        </w:rPr>
        <w:footnoteRef/>
      </w:r>
      <w:r w:rsidRPr="00E83A36">
        <w:rPr>
          <w:rFonts w:asciiTheme="minorHAnsi" w:hAnsiTheme="minorHAnsi" w:cstheme="minorHAnsi"/>
          <w:sz w:val="15"/>
          <w:szCs w:val="15"/>
        </w:rPr>
        <w:t xml:space="preserve"> The household dietary diversity score (HDDS) is a core food security indicator widely used by FAO and WFP for this purpose. HDDS is meant to reflect, in a snapshot form, the economic ability of a household to access a variety of foods. A low score means 1 to 3 food items consumed in the last 24h. See e.g.: </w:t>
      </w:r>
      <w:hyperlink r:id="rId7" w:history="1">
        <w:r w:rsidRPr="00E83A36">
          <w:rPr>
            <w:rStyle w:val="Hyperlink"/>
            <w:rFonts w:asciiTheme="minorHAnsi" w:hAnsiTheme="minorHAnsi" w:cstheme="minorHAnsi"/>
            <w:sz w:val="15"/>
            <w:szCs w:val="15"/>
          </w:rPr>
          <w:t>http://www.fao.org/nutrition/assessment/tools/household-dietary-diversity/en/</w:t>
        </w:r>
      </w:hyperlink>
      <w:r w:rsidRPr="00E83A36">
        <w:rPr>
          <w:rFonts w:asciiTheme="minorHAnsi" w:hAnsiTheme="minorHAnsi" w:cstheme="minorHAnsi"/>
          <w:sz w:val="15"/>
          <w:szCs w:val="15"/>
        </w:rPr>
        <w:t>, accessed on 01/05/2020.</w:t>
      </w:r>
    </w:p>
  </w:footnote>
  <w:footnote w:id="42">
    <w:p w14:paraId="531303C5" w14:textId="77777777" w:rsidR="004D2871" w:rsidRPr="00E83A36" w:rsidRDefault="004D2871" w:rsidP="009563B4">
      <w:pPr>
        <w:pStyle w:val="FootnoteText"/>
        <w:ind w:left="0"/>
        <w:rPr>
          <w:rFonts w:asciiTheme="minorHAnsi" w:hAnsiTheme="minorHAnsi" w:cstheme="minorHAnsi"/>
          <w:sz w:val="15"/>
          <w:szCs w:val="15"/>
        </w:rPr>
      </w:pPr>
      <w:r w:rsidRPr="00E83A36">
        <w:rPr>
          <w:rStyle w:val="FootnoteReference"/>
          <w:rFonts w:asciiTheme="minorHAnsi" w:hAnsiTheme="minorHAnsi" w:cstheme="minorHAnsi"/>
          <w:sz w:val="15"/>
          <w:szCs w:val="15"/>
        </w:rPr>
        <w:footnoteRef/>
      </w:r>
      <w:r w:rsidRPr="00E83A36">
        <w:rPr>
          <w:rFonts w:asciiTheme="minorHAnsi" w:hAnsiTheme="minorHAnsi" w:cstheme="minorHAnsi"/>
          <w:sz w:val="15"/>
          <w:szCs w:val="15"/>
        </w:rPr>
        <w:t xml:space="preserve"> The Angolan economy has been in recession since 2017. (https://data.worldbank.org/country/angola, accessed on 10/03/20).</w:t>
      </w:r>
    </w:p>
  </w:footnote>
  <w:footnote w:id="43">
    <w:p w14:paraId="6CF6717D" w14:textId="77777777" w:rsidR="004D2871" w:rsidRPr="00D52A4D" w:rsidRDefault="004D2871" w:rsidP="00992C7C">
      <w:pPr>
        <w:pStyle w:val="FootnoteText"/>
        <w:ind w:left="0"/>
        <w:rPr>
          <w:rFonts w:asciiTheme="minorHAnsi" w:hAnsiTheme="minorHAnsi" w:cstheme="minorHAnsi"/>
          <w:sz w:val="15"/>
          <w:szCs w:val="15"/>
          <w:lang w:val="en-US"/>
        </w:rPr>
      </w:pPr>
      <w:r w:rsidRPr="00D52A4D">
        <w:rPr>
          <w:rStyle w:val="FootnoteReference"/>
          <w:rFonts w:asciiTheme="minorHAnsi" w:hAnsiTheme="minorHAnsi" w:cstheme="minorHAnsi"/>
          <w:sz w:val="15"/>
          <w:szCs w:val="15"/>
        </w:rPr>
        <w:footnoteRef/>
      </w:r>
      <w:r w:rsidRPr="00D52A4D">
        <w:rPr>
          <w:rFonts w:asciiTheme="minorHAnsi" w:hAnsiTheme="minorHAnsi" w:cstheme="minorHAnsi"/>
          <w:sz w:val="15"/>
          <w:szCs w:val="15"/>
        </w:rPr>
        <w:t xml:space="preserve"> </w:t>
      </w:r>
      <w:r w:rsidRPr="00D52A4D">
        <w:rPr>
          <w:rFonts w:asciiTheme="minorHAnsi" w:hAnsiTheme="minorHAnsi" w:cstheme="minorHAnsi"/>
          <w:sz w:val="15"/>
          <w:szCs w:val="15"/>
          <w:lang w:val="en-US"/>
        </w:rPr>
        <w:t xml:space="preserve">Refer to </w:t>
      </w:r>
      <w:hyperlink w:anchor="_Annex_E:_Project" w:history="1">
        <w:r w:rsidRPr="00D52A4D">
          <w:rPr>
            <w:rStyle w:val="Hyperlink"/>
            <w:rFonts w:asciiTheme="minorHAnsi" w:hAnsiTheme="minorHAnsi" w:cstheme="minorHAnsi"/>
            <w:sz w:val="15"/>
            <w:szCs w:val="15"/>
            <w:lang w:val="en-US"/>
          </w:rPr>
          <w:t>Annex E</w:t>
        </w:r>
      </w:hyperlink>
      <w:r w:rsidRPr="00D52A4D">
        <w:rPr>
          <w:rFonts w:asciiTheme="minorHAnsi" w:hAnsiTheme="minorHAnsi" w:cstheme="minorHAnsi"/>
          <w:sz w:val="15"/>
          <w:szCs w:val="15"/>
          <w:lang w:val="en-US"/>
        </w:rPr>
        <w:t xml:space="preserve"> for maps and links to relevant external files containing high resolution maps. </w:t>
      </w:r>
    </w:p>
  </w:footnote>
  <w:footnote w:id="44">
    <w:p w14:paraId="456CBC06" w14:textId="0E06782A" w:rsidR="004D2871" w:rsidRPr="001208A1" w:rsidRDefault="004D2871" w:rsidP="00CB3BEC">
      <w:pPr>
        <w:pStyle w:val="FootnoteText"/>
        <w:ind w:left="0"/>
        <w:jc w:val="both"/>
        <w:rPr>
          <w:lang w:val="en-GB"/>
        </w:rPr>
      </w:pPr>
      <w:r w:rsidRPr="00D52A4D">
        <w:rPr>
          <w:rStyle w:val="FootnoteReference"/>
          <w:rFonts w:asciiTheme="minorHAnsi" w:hAnsiTheme="minorHAnsi" w:cstheme="minorHAnsi"/>
          <w:sz w:val="15"/>
          <w:szCs w:val="15"/>
        </w:rPr>
        <w:footnoteRef/>
      </w:r>
      <w:r w:rsidRPr="00D52A4D">
        <w:rPr>
          <w:rFonts w:asciiTheme="minorHAnsi" w:hAnsiTheme="minorHAnsi" w:cstheme="minorHAnsi"/>
          <w:sz w:val="15"/>
          <w:szCs w:val="15"/>
        </w:rPr>
        <w:t xml:space="preserve"> </w:t>
      </w:r>
      <w:r w:rsidRPr="00D52A4D">
        <w:rPr>
          <w:rFonts w:asciiTheme="minorHAnsi" w:hAnsiTheme="minorHAnsi" w:cstheme="minorHAnsi"/>
          <w:sz w:val="15"/>
          <w:szCs w:val="15"/>
          <w:lang w:val="en-GB"/>
        </w:rPr>
        <w:t>Note that during PPG the SHARP questionnaire presented an error that lead to thing indigenous peoples were present in the areas. However, it has been verified and this is not the case.</w:t>
      </w:r>
    </w:p>
  </w:footnote>
  <w:footnote w:id="45">
    <w:p w14:paraId="2D181D90" w14:textId="7C8AAE86" w:rsidR="004D2871" w:rsidRPr="00E83A36" w:rsidRDefault="004D2871" w:rsidP="00F114D2">
      <w:pPr>
        <w:pStyle w:val="FootnoteText"/>
        <w:ind w:left="0"/>
        <w:rPr>
          <w:rFonts w:asciiTheme="minorHAnsi" w:hAnsiTheme="minorHAnsi" w:cstheme="minorHAnsi"/>
          <w:sz w:val="15"/>
          <w:szCs w:val="15"/>
        </w:rPr>
      </w:pPr>
      <w:r w:rsidRPr="00E83A36">
        <w:rPr>
          <w:rStyle w:val="FootnoteReference"/>
          <w:rFonts w:asciiTheme="minorHAnsi" w:hAnsiTheme="minorHAnsi" w:cstheme="minorHAnsi"/>
          <w:sz w:val="15"/>
          <w:szCs w:val="15"/>
        </w:rPr>
        <w:footnoteRef/>
      </w:r>
      <w:r w:rsidRPr="00E83A36">
        <w:rPr>
          <w:rFonts w:asciiTheme="minorHAnsi" w:hAnsiTheme="minorHAnsi" w:cstheme="minorHAnsi"/>
          <w:sz w:val="15"/>
          <w:szCs w:val="15"/>
        </w:rPr>
        <w:t xml:space="preserve"> Earth Map is a FAO-Google free </w:t>
      </w:r>
      <w:r>
        <w:rPr>
          <w:rFonts w:asciiTheme="minorHAnsi" w:hAnsiTheme="minorHAnsi" w:cstheme="minorHAnsi"/>
          <w:sz w:val="15"/>
          <w:szCs w:val="15"/>
          <w:lang w:val="en-GB"/>
        </w:rPr>
        <w:t xml:space="preserve">web-based </w:t>
      </w:r>
      <w:r w:rsidRPr="00E83A36">
        <w:rPr>
          <w:rFonts w:asciiTheme="minorHAnsi" w:hAnsiTheme="minorHAnsi" w:cstheme="minorHAnsi"/>
          <w:sz w:val="15"/>
          <w:szCs w:val="15"/>
        </w:rPr>
        <w:t xml:space="preserve">tool for quick historical analysis of environmental and climate data. It </w:t>
      </w:r>
      <w:r>
        <w:rPr>
          <w:rFonts w:asciiTheme="minorHAnsi" w:hAnsiTheme="minorHAnsi" w:cstheme="minorHAnsi"/>
          <w:sz w:val="15"/>
          <w:szCs w:val="15"/>
          <w:lang w:val="en-GB"/>
        </w:rPr>
        <w:t>is able to</w:t>
      </w:r>
      <w:r w:rsidRPr="00E83A36">
        <w:rPr>
          <w:rFonts w:asciiTheme="minorHAnsi" w:hAnsiTheme="minorHAnsi" w:cstheme="minorHAnsi"/>
          <w:sz w:val="15"/>
          <w:szCs w:val="15"/>
        </w:rPr>
        <w:t xml:space="preserve"> </w:t>
      </w:r>
      <w:r>
        <w:rPr>
          <w:rFonts w:asciiTheme="minorHAnsi" w:hAnsiTheme="minorHAnsi" w:cstheme="minorHAnsi"/>
          <w:sz w:val="15"/>
          <w:szCs w:val="15"/>
          <w:lang w:val="en-GB"/>
        </w:rPr>
        <w:t xml:space="preserve">combine, </w:t>
      </w:r>
      <w:r w:rsidRPr="00E83A36">
        <w:rPr>
          <w:rFonts w:asciiTheme="minorHAnsi" w:hAnsiTheme="minorHAnsi" w:cstheme="minorHAnsi"/>
          <w:sz w:val="15"/>
          <w:szCs w:val="15"/>
        </w:rPr>
        <w:t xml:space="preserve">analyze and display data that are </w:t>
      </w:r>
      <w:r>
        <w:rPr>
          <w:rFonts w:asciiTheme="minorHAnsi" w:hAnsiTheme="minorHAnsi" w:cstheme="minorHAnsi"/>
          <w:sz w:val="15"/>
          <w:szCs w:val="15"/>
          <w:lang w:val="en-GB"/>
        </w:rPr>
        <w:t>held</w:t>
      </w:r>
      <w:r w:rsidRPr="00E83A36">
        <w:rPr>
          <w:rFonts w:asciiTheme="minorHAnsi" w:hAnsiTheme="minorHAnsi" w:cstheme="minorHAnsi"/>
          <w:sz w:val="15"/>
          <w:szCs w:val="15"/>
        </w:rPr>
        <w:t xml:space="preserve"> in the Google Earth Engine platform </w:t>
      </w:r>
      <w:r>
        <w:rPr>
          <w:rFonts w:asciiTheme="minorHAnsi" w:hAnsiTheme="minorHAnsi" w:cstheme="minorHAnsi"/>
          <w:sz w:val="15"/>
          <w:szCs w:val="15"/>
          <w:lang w:val="en-GB"/>
        </w:rPr>
        <w:t>with</w:t>
      </w:r>
      <w:r w:rsidRPr="00E83A36">
        <w:rPr>
          <w:rFonts w:asciiTheme="minorHAnsi" w:hAnsiTheme="minorHAnsi" w:cstheme="minorHAnsi"/>
          <w:sz w:val="15"/>
          <w:szCs w:val="15"/>
        </w:rPr>
        <w:t xml:space="preserve"> other data that have been uploaded to the system. Earth Map is being developed by </w:t>
      </w:r>
      <w:r>
        <w:rPr>
          <w:rFonts w:asciiTheme="minorHAnsi" w:hAnsiTheme="minorHAnsi" w:cstheme="minorHAnsi"/>
          <w:sz w:val="15"/>
          <w:szCs w:val="15"/>
          <w:lang w:val="en-GB"/>
        </w:rPr>
        <w:t xml:space="preserve">the </w:t>
      </w:r>
      <w:r w:rsidRPr="00E83A36">
        <w:rPr>
          <w:rFonts w:asciiTheme="minorHAnsi" w:hAnsiTheme="minorHAnsi" w:cstheme="minorHAnsi"/>
          <w:sz w:val="15"/>
          <w:szCs w:val="15"/>
        </w:rPr>
        <w:t>Climate and Environment Division of FAO and it is in its beta phase.</w:t>
      </w:r>
    </w:p>
  </w:footnote>
  <w:footnote w:id="46">
    <w:p w14:paraId="10C4663D" w14:textId="362763E3" w:rsidR="004D2871" w:rsidRPr="006168BD" w:rsidRDefault="004D2871">
      <w:pPr>
        <w:pStyle w:val="FootnoteText"/>
        <w:rPr>
          <w:lang w:val="en-US"/>
        </w:rPr>
      </w:pPr>
      <w:r>
        <w:rPr>
          <w:rStyle w:val="FootnoteReference"/>
        </w:rPr>
        <w:footnoteRef/>
      </w:r>
      <w:r>
        <w:t xml:space="preserve"> </w:t>
      </w:r>
      <w:r>
        <w:rPr>
          <w:lang w:val="en-US"/>
        </w:rPr>
        <w:t>The assessment in the Cuchi (sub-basin 1) only cover 10% of the expected households, due to COVID restrictions. This means the box results are strongly representing the Cahama-</w:t>
      </w:r>
      <w:r w:rsidRPr="00323FDB">
        <w:rPr>
          <w:lang w:val="en-US"/>
        </w:rPr>
        <w:t xml:space="preserve">Tchipelongo </w:t>
      </w:r>
      <w:r>
        <w:rPr>
          <w:lang w:val="en-US"/>
        </w:rPr>
        <w:t>(sub-basin 2).</w:t>
      </w:r>
    </w:p>
  </w:footnote>
  <w:footnote w:id="47">
    <w:p w14:paraId="5EC16B17" w14:textId="5FD22200" w:rsidR="004D2871" w:rsidRPr="004758E3" w:rsidRDefault="004D2871" w:rsidP="00F73023">
      <w:pPr>
        <w:pStyle w:val="FootnoteText"/>
        <w:ind w:left="0"/>
        <w:rPr>
          <w:rFonts w:asciiTheme="minorHAnsi" w:hAnsiTheme="minorHAnsi" w:cstheme="minorHAnsi"/>
          <w:sz w:val="15"/>
          <w:szCs w:val="15"/>
        </w:rPr>
      </w:pPr>
      <w:r w:rsidRPr="004758E3">
        <w:rPr>
          <w:rStyle w:val="FootnoteReference"/>
          <w:rFonts w:asciiTheme="minorHAnsi" w:hAnsiTheme="minorHAnsi" w:cstheme="minorHAnsi"/>
          <w:sz w:val="15"/>
          <w:szCs w:val="15"/>
        </w:rPr>
        <w:footnoteRef/>
      </w:r>
      <w:r w:rsidRPr="004758E3">
        <w:rPr>
          <w:rFonts w:asciiTheme="minorHAnsi" w:hAnsiTheme="minorHAnsi" w:cstheme="minorHAnsi"/>
          <w:sz w:val="15"/>
          <w:szCs w:val="15"/>
        </w:rPr>
        <w:t xml:space="preserve"> </w:t>
      </w:r>
      <w:r w:rsidRPr="004758E3">
        <w:rPr>
          <w:rFonts w:asciiTheme="minorHAnsi" w:hAnsiTheme="minorHAnsi" w:cstheme="minorHAnsi"/>
          <w:sz w:val="15"/>
          <w:szCs w:val="15"/>
          <w:lang w:val="en-US"/>
        </w:rPr>
        <w:t>More specifically,</w:t>
      </w:r>
      <w:r w:rsidRPr="004758E3">
        <w:rPr>
          <w:rFonts w:asciiTheme="minorHAnsi" w:hAnsiTheme="minorHAnsi" w:cstheme="minorHAnsi"/>
          <w:sz w:val="15"/>
          <w:szCs w:val="15"/>
        </w:rPr>
        <w:t xml:space="preserve"> the </w:t>
      </w:r>
      <w:r w:rsidRPr="004758E3">
        <w:rPr>
          <w:rFonts w:asciiTheme="minorHAnsi" w:hAnsiTheme="minorHAnsi" w:cstheme="minorHAnsi"/>
          <w:b/>
          <w:bCs/>
          <w:sz w:val="15"/>
          <w:szCs w:val="15"/>
        </w:rPr>
        <w:t>LND Checklist</w:t>
      </w:r>
      <w:r w:rsidRPr="004758E3">
        <w:rPr>
          <w:rFonts w:asciiTheme="minorHAnsi" w:hAnsiTheme="minorHAnsi" w:cstheme="minorHAnsi"/>
          <w:sz w:val="15"/>
          <w:szCs w:val="15"/>
        </w:rPr>
        <w:t xml:space="preserve"> </w:t>
      </w:r>
      <w:r w:rsidRPr="004758E3">
        <w:rPr>
          <w:rFonts w:asciiTheme="minorHAnsi" w:hAnsiTheme="minorHAnsi" w:cstheme="minorHAnsi"/>
          <w:sz w:val="15"/>
          <w:szCs w:val="15"/>
          <w:lang w:val="en-US"/>
        </w:rPr>
        <w:t xml:space="preserve">as a scorecard at </w:t>
      </w:r>
      <w:r w:rsidRPr="004758E3">
        <w:rPr>
          <w:rFonts w:asciiTheme="minorHAnsi" w:hAnsiTheme="minorHAnsi" w:cstheme="minorHAnsi"/>
          <w:sz w:val="15"/>
          <w:szCs w:val="15"/>
        </w:rPr>
        <w:t>the baseline</w:t>
      </w:r>
      <w:r w:rsidRPr="004758E3">
        <w:rPr>
          <w:rFonts w:asciiTheme="minorHAnsi" w:hAnsiTheme="minorHAnsi" w:cstheme="minorHAnsi"/>
          <w:sz w:val="15"/>
          <w:szCs w:val="15"/>
          <w:lang w:val="en-US"/>
        </w:rPr>
        <w:t xml:space="preserve"> is shown in</w:t>
      </w:r>
      <w:r w:rsidRPr="004758E3">
        <w:rPr>
          <w:rFonts w:asciiTheme="minorHAnsi" w:hAnsiTheme="minorHAnsi" w:cstheme="minorHAnsi"/>
          <w:sz w:val="15"/>
          <w:szCs w:val="15"/>
        </w:rPr>
        <w:t xml:space="preserve"> </w:t>
      </w:r>
      <w:r w:rsidRPr="004758E3">
        <w:rPr>
          <w:rFonts w:asciiTheme="minorHAnsi" w:hAnsiTheme="minorHAnsi" w:cstheme="minorHAnsi"/>
          <w:sz w:val="15"/>
          <w:szCs w:val="15"/>
        </w:rPr>
        <w:fldChar w:fldCharType="begin"/>
      </w:r>
      <w:r w:rsidRPr="004758E3">
        <w:rPr>
          <w:rFonts w:asciiTheme="minorHAnsi" w:hAnsiTheme="minorHAnsi" w:cstheme="minorHAnsi"/>
          <w:sz w:val="15"/>
          <w:szCs w:val="15"/>
        </w:rPr>
        <w:instrText xml:space="preserve"> REF _Ref45470316 \h  \* MERGEFORMAT </w:instrText>
      </w:r>
      <w:r w:rsidRPr="004758E3">
        <w:rPr>
          <w:rFonts w:asciiTheme="minorHAnsi" w:hAnsiTheme="minorHAnsi" w:cstheme="minorHAnsi"/>
          <w:sz w:val="15"/>
          <w:szCs w:val="15"/>
        </w:rPr>
      </w:r>
      <w:r w:rsidRPr="004758E3">
        <w:rPr>
          <w:rFonts w:asciiTheme="minorHAnsi" w:hAnsiTheme="minorHAnsi" w:cstheme="minorHAnsi"/>
          <w:sz w:val="15"/>
          <w:szCs w:val="15"/>
        </w:rPr>
        <w:fldChar w:fldCharType="separate"/>
      </w:r>
      <w:r w:rsidRPr="00A64193">
        <w:rPr>
          <w:rFonts w:asciiTheme="minorHAnsi" w:hAnsiTheme="minorHAnsi" w:cstheme="minorHAnsi"/>
          <w:sz w:val="15"/>
          <w:szCs w:val="15"/>
          <w:u w:val="single"/>
        </w:rPr>
        <w:t>Table 12</w:t>
      </w:r>
      <w:r w:rsidRPr="004758E3">
        <w:rPr>
          <w:rFonts w:asciiTheme="minorHAnsi" w:hAnsiTheme="minorHAnsi" w:cstheme="minorHAnsi"/>
          <w:sz w:val="15"/>
          <w:szCs w:val="15"/>
        </w:rPr>
        <w:fldChar w:fldCharType="end"/>
      </w:r>
      <w:r w:rsidRPr="004758E3">
        <w:rPr>
          <w:rFonts w:asciiTheme="minorHAnsi" w:hAnsiTheme="minorHAnsi" w:cstheme="minorHAnsi"/>
          <w:sz w:val="15"/>
          <w:szCs w:val="15"/>
        </w:rPr>
        <w:t xml:space="preserve"> </w:t>
      </w:r>
      <w:r>
        <w:rPr>
          <w:rFonts w:asciiTheme="minorHAnsi" w:hAnsiTheme="minorHAnsi" w:cstheme="minorHAnsi"/>
          <w:sz w:val="15"/>
          <w:szCs w:val="15"/>
          <w:lang w:val="en-GB"/>
        </w:rPr>
        <w:t>(</w:t>
      </w:r>
      <w:hyperlink w:anchor="_The_LDN_Checklist_1" w:history="1">
        <w:r w:rsidRPr="004758E3">
          <w:rPr>
            <w:rStyle w:val="Hyperlink"/>
            <w:rFonts w:asciiTheme="minorHAnsi" w:hAnsiTheme="minorHAnsi" w:cstheme="minorHAnsi"/>
            <w:color w:val="auto"/>
            <w:sz w:val="15"/>
            <w:szCs w:val="15"/>
          </w:rPr>
          <w:t>Annex W-1</w:t>
        </w:r>
      </w:hyperlink>
      <w:r>
        <w:rPr>
          <w:rStyle w:val="Hyperlink"/>
          <w:rFonts w:asciiTheme="minorHAnsi" w:hAnsiTheme="minorHAnsi" w:cstheme="minorHAnsi"/>
          <w:color w:val="auto"/>
          <w:sz w:val="15"/>
          <w:szCs w:val="15"/>
          <w:lang w:val="en-GB"/>
        </w:rPr>
        <w:t>)</w:t>
      </w:r>
      <w:r w:rsidRPr="004758E3">
        <w:rPr>
          <w:rFonts w:asciiTheme="minorHAnsi" w:hAnsiTheme="minorHAnsi" w:cstheme="minorHAnsi"/>
          <w:sz w:val="15"/>
          <w:szCs w:val="15"/>
        </w:rPr>
        <w:t>.</w:t>
      </w:r>
    </w:p>
  </w:footnote>
  <w:footnote w:id="48">
    <w:p w14:paraId="3D362CD8" w14:textId="77777777" w:rsidR="004D2871" w:rsidRPr="00D516C1" w:rsidRDefault="004D2871" w:rsidP="00F73023">
      <w:pPr>
        <w:pStyle w:val="FootnoteText"/>
        <w:ind w:left="0"/>
        <w:rPr>
          <w:lang w:val="en-US"/>
        </w:rPr>
      </w:pPr>
      <w:r w:rsidRPr="00335129">
        <w:rPr>
          <w:rStyle w:val="FootnoteReference"/>
        </w:rPr>
        <w:footnoteRef/>
      </w:r>
      <w:r w:rsidRPr="00335129">
        <w:t xml:space="preserve"> </w:t>
      </w:r>
      <w:r w:rsidRPr="00335129">
        <w:rPr>
          <w:lang w:val="en-US"/>
        </w:rPr>
        <w:t>The leveraging of financial resources is also a gap, but covered elsewhere in this analysis.</w:t>
      </w:r>
      <w:r>
        <w:rPr>
          <w:lang w:val="en-US"/>
        </w:rPr>
        <w:t xml:space="preserve"> </w:t>
      </w:r>
    </w:p>
  </w:footnote>
  <w:footnote w:id="49">
    <w:p w14:paraId="6911E36B" w14:textId="743903A2" w:rsidR="005D189A" w:rsidRPr="005D189A" w:rsidRDefault="005D189A">
      <w:pPr>
        <w:pStyle w:val="FootnoteText"/>
      </w:pPr>
      <w:r>
        <w:rPr>
          <w:rStyle w:val="FootnoteReference"/>
        </w:rPr>
        <w:footnoteRef/>
      </w:r>
      <w:r>
        <w:t xml:space="preserve"> </w:t>
      </w:r>
      <w:hyperlink r:id="rId8" w:history="1">
        <w:r>
          <w:rPr>
            <w:rStyle w:val="Hyperlink"/>
          </w:rPr>
          <w:t>Spatial planning in Angola: A work in progress and a future challange (2016)</w:t>
        </w:r>
      </w:hyperlink>
    </w:p>
  </w:footnote>
  <w:footnote w:id="50">
    <w:p w14:paraId="4C52A938" w14:textId="194E7708" w:rsidR="004D2871" w:rsidRPr="00E83A36" w:rsidRDefault="004D2871" w:rsidP="006734B0">
      <w:pPr>
        <w:pStyle w:val="FootnoteText"/>
        <w:ind w:left="0"/>
        <w:jc w:val="both"/>
        <w:rPr>
          <w:rFonts w:asciiTheme="minorHAnsi" w:hAnsiTheme="minorHAnsi" w:cstheme="minorHAnsi"/>
          <w:sz w:val="15"/>
          <w:szCs w:val="15"/>
        </w:rPr>
      </w:pPr>
      <w:r w:rsidRPr="00E83A36">
        <w:rPr>
          <w:rStyle w:val="FootnoteReference"/>
          <w:rFonts w:asciiTheme="minorHAnsi" w:hAnsiTheme="minorHAnsi" w:cstheme="minorHAnsi"/>
          <w:sz w:val="15"/>
          <w:szCs w:val="15"/>
        </w:rPr>
        <w:footnoteRef/>
      </w:r>
      <w:r w:rsidRPr="00E83A36">
        <w:rPr>
          <w:rFonts w:asciiTheme="minorHAnsi" w:hAnsiTheme="minorHAnsi" w:cstheme="minorHAnsi"/>
          <w:sz w:val="15"/>
          <w:szCs w:val="15"/>
        </w:rPr>
        <w:t xml:space="preserve"> SHARP results confirm that, within the project zone, LUS tend to be technologically low, production is not diversified and access to market</w:t>
      </w:r>
      <w:r>
        <w:rPr>
          <w:rFonts w:asciiTheme="minorHAnsi" w:hAnsiTheme="minorHAnsi" w:cstheme="minorHAnsi"/>
          <w:sz w:val="15"/>
          <w:szCs w:val="15"/>
          <w:lang w:val="en-GB"/>
        </w:rPr>
        <w:t>s</w:t>
      </w:r>
      <w:r w:rsidRPr="00E83A36">
        <w:rPr>
          <w:rFonts w:asciiTheme="minorHAnsi" w:hAnsiTheme="minorHAnsi" w:cstheme="minorHAnsi"/>
          <w:sz w:val="15"/>
          <w:szCs w:val="15"/>
        </w:rPr>
        <w:t xml:space="preserve"> is very limited. Also, stakeholder consultations during the PPG showed that it is not easy for farmers within the project zone to obtain commercial seeds for planting the next harvest</w:t>
      </w:r>
      <w:r>
        <w:rPr>
          <w:rFonts w:asciiTheme="minorHAnsi" w:hAnsiTheme="minorHAnsi" w:cstheme="minorHAnsi"/>
          <w:sz w:val="15"/>
          <w:szCs w:val="15"/>
          <w:lang w:val="en-GB"/>
        </w:rPr>
        <w:t>,</w:t>
      </w:r>
      <w:r w:rsidRPr="00E83A36">
        <w:rPr>
          <w:rFonts w:asciiTheme="minorHAnsi" w:hAnsiTheme="minorHAnsi" w:cstheme="minorHAnsi"/>
          <w:sz w:val="15"/>
          <w:szCs w:val="15"/>
        </w:rPr>
        <w:t xml:space="preserve"> let alone improved (resilient) seeds, even if they are willing to invest</w:t>
      </w:r>
      <w:r>
        <w:rPr>
          <w:rFonts w:asciiTheme="minorHAnsi" w:hAnsiTheme="minorHAnsi" w:cstheme="minorHAnsi"/>
          <w:sz w:val="15"/>
          <w:szCs w:val="15"/>
          <w:lang w:val="en-GB"/>
        </w:rPr>
        <w:t xml:space="preserve"> in </w:t>
      </w:r>
      <w:r w:rsidRPr="00E83A36">
        <w:rPr>
          <w:rFonts w:asciiTheme="minorHAnsi" w:hAnsiTheme="minorHAnsi" w:cstheme="minorHAnsi"/>
          <w:sz w:val="15"/>
          <w:szCs w:val="15"/>
        </w:rPr>
        <w:t>new varieties. Several farmers reported to use self-collected seeds from the previous harvest. Yet, this is not always is an option (e.g. if they experience hunger). At the same time, there were issues with raw data collect</w:t>
      </w:r>
      <w:r>
        <w:rPr>
          <w:rFonts w:asciiTheme="minorHAnsi" w:hAnsiTheme="minorHAnsi" w:cstheme="minorHAnsi"/>
          <w:sz w:val="15"/>
          <w:szCs w:val="15"/>
          <w:lang w:val="en-GB"/>
        </w:rPr>
        <w:t xml:space="preserve">ed from </w:t>
      </w:r>
      <w:r w:rsidRPr="00E83A36">
        <w:rPr>
          <w:rFonts w:asciiTheme="minorHAnsi" w:hAnsiTheme="minorHAnsi" w:cstheme="minorHAnsi"/>
          <w:sz w:val="15"/>
          <w:szCs w:val="15"/>
        </w:rPr>
        <w:t>one of the sites. Concerning the use of seeds, it is difficult to infer with reasonable certaintly if the conditions depicted by the SHARP actually apply throughout the landscapes or if it is limited to a highly vulnerable group that was interviewed.</w:t>
      </w:r>
    </w:p>
  </w:footnote>
  <w:footnote w:id="51">
    <w:p w14:paraId="1A32AD4D" w14:textId="77777777" w:rsidR="004D2871" w:rsidRPr="00E83A36" w:rsidRDefault="004D2871" w:rsidP="009563B4">
      <w:pPr>
        <w:pStyle w:val="FootnoteText"/>
        <w:ind w:left="0"/>
        <w:rPr>
          <w:rFonts w:asciiTheme="minorHAnsi" w:hAnsiTheme="minorHAnsi" w:cstheme="minorHAnsi"/>
          <w:sz w:val="15"/>
          <w:szCs w:val="15"/>
        </w:rPr>
      </w:pPr>
      <w:r w:rsidRPr="00E83A36">
        <w:rPr>
          <w:rStyle w:val="FootnoteReference"/>
          <w:rFonts w:asciiTheme="minorHAnsi" w:hAnsiTheme="minorHAnsi" w:cstheme="minorHAnsi"/>
          <w:sz w:val="15"/>
          <w:szCs w:val="15"/>
        </w:rPr>
        <w:footnoteRef/>
      </w:r>
      <w:r w:rsidRPr="00E83A36">
        <w:rPr>
          <w:rStyle w:val="FootnoteReference"/>
          <w:rFonts w:asciiTheme="minorHAnsi" w:hAnsiTheme="minorHAnsi" w:cstheme="minorHAnsi"/>
          <w:sz w:val="15"/>
          <w:szCs w:val="15"/>
        </w:rPr>
        <w:footnoteRef/>
      </w:r>
      <w:r w:rsidRPr="00E83A36">
        <w:rPr>
          <w:rFonts w:asciiTheme="minorHAnsi" w:hAnsiTheme="minorHAnsi" w:cstheme="minorHAnsi"/>
          <w:sz w:val="15"/>
          <w:szCs w:val="15"/>
        </w:rPr>
        <w:t xml:space="preserve"> See Annex W-, section </w:t>
      </w:r>
      <w:hyperlink w:anchor="_Crop_production_and" w:history="1">
        <w:r w:rsidRPr="00E83A36">
          <w:rPr>
            <w:rStyle w:val="Hyperlink"/>
            <w:rFonts w:asciiTheme="minorHAnsi" w:hAnsiTheme="minorHAnsi" w:cstheme="minorHAnsi"/>
            <w:sz w:val="15"/>
            <w:szCs w:val="15"/>
          </w:rPr>
          <w:t>‘Challenges for the development of inclusive dryland value chains’</w:t>
        </w:r>
      </w:hyperlink>
      <w:r w:rsidRPr="00E83A36">
        <w:rPr>
          <w:rFonts w:asciiTheme="minorHAnsi" w:hAnsiTheme="minorHAnsi" w:cstheme="minorHAnsi"/>
          <w:sz w:val="15"/>
          <w:szCs w:val="15"/>
        </w:rPr>
        <w:t>.</w:t>
      </w:r>
    </w:p>
  </w:footnote>
  <w:footnote w:id="52">
    <w:p w14:paraId="252F224A" w14:textId="72393024" w:rsidR="004D2871" w:rsidRPr="00E83A36" w:rsidRDefault="004D2871" w:rsidP="009563B4">
      <w:pPr>
        <w:pStyle w:val="FootnoteText"/>
        <w:ind w:left="0"/>
        <w:rPr>
          <w:rFonts w:asciiTheme="minorHAnsi" w:hAnsiTheme="minorHAnsi" w:cstheme="minorHAnsi"/>
          <w:sz w:val="15"/>
          <w:szCs w:val="15"/>
        </w:rPr>
      </w:pPr>
      <w:r w:rsidRPr="00E83A36">
        <w:rPr>
          <w:rStyle w:val="FootnoteReference"/>
          <w:rFonts w:asciiTheme="minorHAnsi" w:hAnsiTheme="minorHAnsi" w:cstheme="minorHAnsi"/>
          <w:sz w:val="15"/>
          <w:szCs w:val="15"/>
        </w:rPr>
        <w:footnoteRef/>
      </w:r>
      <w:r w:rsidRPr="00E83A36">
        <w:rPr>
          <w:rFonts w:asciiTheme="minorHAnsi" w:hAnsiTheme="minorHAnsi" w:cstheme="minorHAnsi"/>
          <w:sz w:val="15"/>
          <w:szCs w:val="15"/>
        </w:rPr>
        <w:t xml:space="preserve"> See</w:t>
      </w:r>
      <w:r>
        <w:rPr>
          <w:rFonts w:asciiTheme="minorHAnsi" w:hAnsiTheme="minorHAnsi" w:cstheme="minorHAnsi"/>
          <w:sz w:val="15"/>
          <w:szCs w:val="15"/>
          <w:lang w:val="en-GB"/>
        </w:rPr>
        <w:t>:</w:t>
      </w:r>
      <w:r w:rsidRPr="00E83A36">
        <w:rPr>
          <w:rFonts w:asciiTheme="minorHAnsi" w:hAnsiTheme="minorHAnsi" w:cstheme="minorHAnsi"/>
          <w:sz w:val="15"/>
          <w:szCs w:val="15"/>
        </w:rPr>
        <w:t xml:space="preserve"> </w:t>
      </w:r>
      <w:hyperlink r:id="rId9" w:history="1">
        <w:r w:rsidRPr="00E83A36">
          <w:rPr>
            <w:rStyle w:val="Hyperlink"/>
            <w:rFonts w:asciiTheme="minorHAnsi" w:hAnsiTheme="minorHAnsi" w:cstheme="minorHAnsi"/>
            <w:sz w:val="15"/>
            <w:szCs w:val="15"/>
          </w:rPr>
          <w:t>http://datatopics.worldbank.org/gender/country/angola</w:t>
        </w:r>
      </w:hyperlink>
      <w:r w:rsidRPr="00E83A36">
        <w:rPr>
          <w:rFonts w:asciiTheme="minorHAnsi" w:hAnsiTheme="minorHAnsi" w:cstheme="minorHAnsi"/>
          <w:sz w:val="15"/>
          <w:szCs w:val="15"/>
        </w:rPr>
        <w:t>, accessed on 15/05/20.</w:t>
      </w:r>
    </w:p>
  </w:footnote>
  <w:footnote w:id="53">
    <w:p w14:paraId="2FBAB120" w14:textId="6481003B" w:rsidR="004D2871" w:rsidRPr="003C6554" w:rsidRDefault="004D2871">
      <w:pPr>
        <w:pStyle w:val="FootnoteText"/>
        <w:rPr>
          <w:rFonts w:asciiTheme="minorHAnsi" w:hAnsiTheme="minorHAnsi" w:cstheme="minorHAnsi"/>
          <w:lang w:val="en-US"/>
        </w:rPr>
      </w:pPr>
      <w:r w:rsidRPr="003C6554">
        <w:rPr>
          <w:rStyle w:val="FootnoteReference"/>
          <w:rFonts w:asciiTheme="minorHAnsi" w:hAnsiTheme="minorHAnsi"/>
        </w:rPr>
        <w:footnoteRef/>
      </w:r>
      <w:r w:rsidRPr="003C6554">
        <w:rPr>
          <w:rFonts w:asciiTheme="minorHAnsi" w:hAnsiTheme="minorHAnsi"/>
        </w:rPr>
        <w:t xml:space="preserve"> </w:t>
      </w:r>
      <w:r w:rsidRPr="003C6554">
        <w:rPr>
          <w:rFonts w:asciiTheme="minorHAnsi" w:hAnsiTheme="minorHAnsi" w:cstheme="minorHAnsi"/>
          <w:lang w:val="en-US"/>
        </w:rPr>
        <w:t xml:space="preserve">Link: </w:t>
      </w:r>
      <w:hyperlink r:id="rId10" w:history="1">
        <w:r w:rsidRPr="003C6554">
          <w:rPr>
            <w:rStyle w:val="Hyperlink"/>
            <w:rFonts w:asciiTheme="minorHAnsi" w:hAnsiTheme="minorHAnsi" w:cstheme="minorHAnsi"/>
            <w:lang w:val="en-US"/>
          </w:rPr>
          <w:t>https://drive.google.com/file/d/1eEtl8Ffm3Y3UTDSJ51sF1pRTIJ1eMr3H/view?usp=sharing</w:t>
        </w:r>
      </w:hyperlink>
      <w:r w:rsidRPr="003C6554">
        <w:rPr>
          <w:rFonts w:asciiTheme="minorHAnsi" w:hAnsiTheme="minorHAnsi" w:cstheme="minorHAnsi"/>
          <w:lang w:val="en-US"/>
        </w:rPr>
        <w:t xml:space="preserve"> </w:t>
      </w:r>
    </w:p>
    <w:p w14:paraId="6E514F24" w14:textId="77777777" w:rsidR="004D2871" w:rsidRPr="003C6554" w:rsidRDefault="004D2871" w:rsidP="00062136">
      <w:pPr>
        <w:pStyle w:val="FootnoteText"/>
        <w:ind w:left="0"/>
        <w:rPr>
          <w:rFonts w:asciiTheme="minorHAnsi" w:hAnsiTheme="minorHAnsi" w:cstheme="minorHAnsi"/>
          <w:lang w:val="en-US"/>
        </w:rPr>
      </w:pPr>
    </w:p>
  </w:footnote>
  <w:footnote w:id="54">
    <w:p w14:paraId="5E3B8ED6" w14:textId="77777777" w:rsidR="004D2871" w:rsidRPr="003C6554" w:rsidRDefault="004D2871" w:rsidP="003C6554">
      <w:pPr>
        <w:pStyle w:val="FootnoteText"/>
        <w:rPr>
          <w:rFonts w:asciiTheme="minorHAnsi" w:hAnsiTheme="minorHAnsi"/>
          <w:lang w:val="en-US"/>
        </w:rPr>
      </w:pPr>
      <w:r w:rsidRPr="003C6554">
        <w:rPr>
          <w:rStyle w:val="FootnoteReference"/>
          <w:rFonts w:asciiTheme="minorHAnsi" w:hAnsiTheme="minorHAnsi"/>
        </w:rPr>
        <w:footnoteRef/>
      </w:r>
      <w:r w:rsidRPr="003C6554">
        <w:rPr>
          <w:rFonts w:asciiTheme="minorHAnsi" w:hAnsiTheme="minorHAnsi"/>
        </w:rPr>
        <w:t xml:space="preserve"> Land Rehabilitation and Rangelands Management in Small Holders Agropastoral Production Systems in Soutwestern Angola (RETESA)</w:t>
      </w:r>
      <w:r>
        <w:rPr>
          <w:rFonts w:asciiTheme="minorHAnsi" w:hAnsiTheme="minorHAnsi"/>
          <w:lang w:val="en-US"/>
        </w:rPr>
        <w:t xml:space="preserve"> and </w:t>
      </w:r>
      <w:r w:rsidRPr="003C6554">
        <w:rPr>
          <w:rFonts w:asciiTheme="minorHAnsi" w:hAnsiTheme="minorHAnsi"/>
          <w:lang w:val="en-US"/>
        </w:rPr>
        <w:t>Integrating climate resilience into agricultural and agro-pastoral production systems through</w:t>
      </w:r>
    </w:p>
    <w:p w14:paraId="797851E7" w14:textId="77777777" w:rsidR="004D2871" w:rsidRPr="003C6554" w:rsidRDefault="004D2871" w:rsidP="003C6554">
      <w:pPr>
        <w:pStyle w:val="FootnoteText"/>
        <w:rPr>
          <w:rFonts w:asciiTheme="minorHAnsi" w:hAnsiTheme="minorHAnsi"/>
          <w:lang w:val="en-US"/>
        </w:rPr>
      </w:pPr>
      <w:r w:rsidRPr="003C6554">
        <w:rPr>
          <w:rFonts w:asciiTheme="minorHAnsi" w:hAnsiTheme="minorHAnsi"/>
          <w:lang w:val="en-US"/>
        </w:rPr>
        <w:t>soil fertility management in key productive and vulnerable areas using the Farmer Field School</w:t>
      </w:r>
    </w:p>
    <w:p w14:paraId="76A174A2" w14:textId="2DE39763" w:rsidR="004D2871" w:rsidRPr="003C6554" w:rsidRDefault="004D2871" w:rsidP="003C6554">
      <w:pPr>
        <w:pStyle w:val="FootnoteText"/>
        <w:rPr>
          <w:lang w:val="en-US"/>
        </w:rPr>
      </w:pPr>
      <w:r w:rsidRPr="003C6554">
        <w:rPr>
          <w:rFonts w:asciiTheme="minorHAnsi" w:hAnsiTheme="minorHAnsi"/>
          <w:lang w:val="en-US"/>
        </w:rPr>
        <w:t>approach” (IRCEA)</w:t>
      </w:r>
    </w:p>
  </w:footnote>
  <w:footnote w:id="55">
    <w:p w14:paraId="6834C5E4" w14:textId="5B92E27D" w:rsidR="004D2871" w:rsidRPr="0045683F" w:rsidRDefault="004D2871" w:rsidP="00D87F5F">
      <w:pPr>
        <w:pStyle w:val="FootnoteText"/>
        <w:ind w:left="0"/>
        <w:rPr>
          <w:lang w:val="en-US"/>
        </w:rPr>
      </w:pPr>
      <w:r>
        <w:rPr>
          <w:rStyle w:val="FootnoteReference"/>
        </w:rPr>
        <w:footnoteRef/>
      </w:r>
      <w:r>
        <w:t xml:space="preserve"> The Project Zone comprises t</w:t>
      </w:r>
      <w:r w:rsidRPr="00806AE4">
        <w:t>wo landscapes</w:t>
      </w:r>
      <w:r w:rsidRPr="005412D3">
        <w:t xml:space="preserve"> </w:t>
      </w:r>
      <w:r w:rsidRPr="00806AE4">
        <w:t>in southern Angola</w:t>
      </w:r>
      <w:r>
        <w:t xml:space="preserve"> (</w:t>
      </w:r>
      <w:r w:rsidRPr="00806AE4">
        <w:t>Sub-basin 1</w:t>
      </w:r>
      <w:r>
        <w:t>:</w:t>
      </w:r>
      <w:r w:rsidRPr="00806AE4">
        <w:t xml:space="preserve"> Cuchi-Okavango</w:t>
      </w:r>
      <w:r>
        <w:t xml:space="preserve"> and</w:t>
      </w:r>
      <w:r w:rsidRPr="00806AE4">
        <w:t xml:space="preserve"> Sub-basin 2</w:t>
      </w:r>
      <w:r>
        <w:t>:</w:t>
      </w:r>
      <w:r w:rsidRPr="00806AE4">
        <w:t xml:space="preserve"> Cahama-Cunene</w:t>
      </w:r>
      <w:r>
        <w:t>,</w:t>
      </w:r>
      <w:r w:rsidRPr="00806AE4">
        <w:t xml:space="preserve"> </w:t>
      </w:r>
      <w:r>
        <w:t>c</w:t>
      </w:r>
      <w:r w:rsidRPr="00806AE4">
        <w:t>over</w:t>
      </w:r>
      <w:r>
        <w:t>ing</w:t>
      </w:r>
      <w:r w:rsidRPr="00806AE4">
        <w:t xml:space="preserve"> 1.3 million hectares of Miombo</w:t>
      </w:r>
      <w:r>
        <w:t>-</w:t>
      </w:r>
      <w:r w:rsidRPr="00806AE4">
        <w:t>Mopane Woodlands</w:t>
      </w:r>
      <w:r>
        <w:t>):</w:t>
      </w:r>
      <w:r w:rsidRPr="00806AE4">
        <w:t xml:space="preserve"> production systems within them</w:t>
      </w:r>
      <w:r>
        <w:t xml:space="preserve"> </w:t>
      </w:r>
      <w:r w:rsidRPr="00806AE4">
        <w:t xml:space="preserve">will be targeted for </w:t>
      </w:r>
      <w:r>
        <w:t>ILM,</w:t>
      </w:r>
    </w:p>
  </w:footnote>
  <w:footnote w:id="56">
    <w:p w14:paraId="2A32289F" w14:textId="77777777" w:rsidR="004D2871" w:rsidRDefault="004D2871" w:rsidP="3B8109EE">
      <w:pPr>
        <w:pStyle w:val="FootnoteText"/>
        <w:rPr>
          <w:lang w:val="en-GB"/>
        </w:rPr>
      </w:pPr>
      <w:r w:rsidRPr="3B8109EE">
        <w:rPr>
          <w:rStyle w:val="FootnoteReference"/>
        </w:rPr>
        <w:footnoteRef/>
      </w:r>
      <w:r>
        <w:t xml:space="preserve"> </w:t>
      </w:r>
      <w:r w:rsidRPr="3B8109EE">
        <w:rPr>
          <w:lang w:val="en-GB"/>
        </w:rPr>
        <w:t>This is i</w:t>
      </w:r>
      <w:r>
        <w:t>ndicated by the dashed boxes and enlarged two-way arrow in the ToC diagram</w:t>
      </w:r>
      <w:r w:rsidRPr="3B8109EE">
        <w:rPr>
          <w:lang w:val="en-GB"/>
        </w:rPr>
        <w:t>.</w:t>
      </w:r>
    </w:p>
  </w:footnote>
  <w:footnote w:id="57">
    <w:p w14:paraId="05224872" w14:textId="77777777" w:rsidR="004D2871" w:rsidRPr="005228B0" w:rsidRDefault="004D2871" w:rsidP="00821642">
      <w:pPr>
        <w:pStyle w:val="FootnoteText"/>
        <w:ind w:left="57" w:hanging="57"/>
        <w:rPr>
          <w:rStyle w:val="FootnoteReference"/>
          <w:lang w:val="en-GB"/>
        </w:rPr>
      </w:pPr>
      <w:r>
        <w:rPr>
          <w:rStyle w:val="FootnoteReference"/>
        </w:rPr>
        <w:footnoteRef/>
      </w:r>
      <w:r w:rsidRPr="005228B0">
        <w:rPr>
          <w:rStyle w:val="FootnoteReference"/>
          <w:vertAlign w:val="baseline"/>
        </w:rPr>
        <w:t xml:space="preserve"> </w:t>
      </w:r>
      <w:r>
        <w:rPr>
          <w:lang w:val="en-GB"/>
        </w:rPr>
        <w:t xml:space="preserve">This is </w:t>
      </w:r>
      <w:r w:rsidRPr="005228B0">
        <w:rPr>
          <w:rStyle w:val="FootnoteReference"/>
          <w:vertAlign w:val="baseline"/>
        </w:rPr>
        <w:t>represented by a separate causal pathway in the</w:t>
      </w:r>
      <w:r>
        <w:rPr>
          <w:rStyle w:val="FootnoteReference"/>
          <w:vertAlign w:val="baseline"/>
          <w:lang w:val="en-GB"/>
        </w:rPr>
        <w:t xml:space="preserve"> </w:t>
      </w:r>
      <w:r>
        <w:rPr>
          <w:lang w:val="en-GB"/>
        </w:rPr>
        <w:t>ToC</w:t>
      </w:r>
      <w:r w:rsidRPr="005228B0">
        <w:rPr>
          <w:rStyle w:val="FootnoteReference"/>
          <w:vertAlign w:val="baseline"/>
        </w:rPr>
        <w:t xml:space="preserve"> diagram</w:t>
      </w:r>
      <w:r>
        <w:rPr>
          <w:lang w:val="en-GB"/>
        </w:rPr>
        <w:t>.</w:t>
      </w:r>
    </w:p>
  </w:footnote>
  <w:footnote w:id="58">
    <w:p w14:paraId="478503E2" w14:textId="5AEFBA75" w:rsidR="004D2871" w:rsidRPr="00C435D4" w:rsidRDefault="004D2871" w:rsidP="009563B4">
      <w:pPr>
        <w:pStyle w:val="FootnoteText"/>
        <w:ind w:left="0"/>
        <w:rPr>
          <w:rFonts w:asciiTheme="minorHAnsi" w:hAnsiTheme="minorHAnsi" w:cstheme="minorHAnsi"/>
          <w:szCs w:val="16"/>
        </w:rPr>
      </w:pPr>
      <w:r w:rsidRPr="00C435D4">
        <w:rPr>
          <w:rStyle w:val="FootnoteReference"/>
          <w:rFonts w:asciiTheme="minorHAnsi" w:hAnsiTheme="minorHAnsi" w:cstheme="minorHAnsi"/>
          <w:szCs w:val="16"/>
        </w:rPr>
        <w:footnoteRef/>
      </w:r>
      <w:r w:rsidRPr="00C435D4">
        <w:rPr>
          <w:rFonts w:asciiTheme="minorHAnsi" w:hAnsiTheme="minorHAnsi" w:cstheme="minorHAnsi"/>
          <w:szCs w:val="16"/>
        </w:rPr>
        <w:t xml:space="preserve"> </w:t>
      </w:r>
      <w:r>
        <w:rPr>
          <w:rFonts w:asciiTheme="minorHAnsi" w:hAnsiTheme="minorHAnsi" w:cstheme="minorHAnsi"/>
          <w:szCs w:val="16"/>
          <w:lang w:val="en-GB"/>
        </w:rPr>
        <w:t>See:</w:t>
      </w:r>
      <w:r w:rsidRPr="00C435D4">
        <w:rPr>
          <w:rFonts w:asciiTheme="minorHAnsi" w:hAnsiTheme="minorHAnsi" w:cstheme="minorHAnsi"/>
          <w:szCs w:val="16"/>
        </w:rPr>
        <w:t xml:space="preserve"> GEF-7 Programme Framework Document </w:t>
      </w:r>
      <w:r>
        <w:rPr>
          <w:rFonts w:asciiTheme="minorHAnsi" w:hAnsiTheme="minorHAnsi" w:cstheme="minorHAnsi"/>
          <w:szCs w:val="16"/>
          <w:lang w:val="en-GB"/>
        </w:rPr>
        <w:t>of</w:t>
      </w:r>
      <w:r w:rsidRPr="00C435D4">
        <w:rPr>
          <w:rFonts w:asciiTheme="minorHAnsi" w:hAnsiTheme="minorHAnsi" w:cstheme="minorHAnsi"/>
          <w:szCs w:val="16"/>
        </w:rPr>
        <w:t xml:space="preserve"> Sustainable Forest Management Impact Program on Dryland Sustainable Landscapes.</w:t>
      </w:r>
    </w:p>
  </w:footnote>
  <w:footnote w:id="59">
    <w:p w14:paraId="4D2FF3E9" w14:textId="6F1272C0" w:rsidR="004D2871" w:rsidRPr="009155FA" w:rsidRDefault="004D2871" w:rsidP="00821642">
      <w:pPr>
        <w:pStyle w:val="FootnoteText"/>
        <w:ind w:left="0"/>
        <w:rPr>
          <w:rFonts w:cs="Calibri"/>
        </w:rPr>
      </w:pPr>
      <w:r w:rsidRPr="00C03627">
        <w:rPr>
          <w:rStyle w:val="FootnoteReference"/>
        </w:rPr>
        <w:footnoteRef/>
      </w:r>
      <w:r w:rsidRPr="00C03627">
        <w:t xml:space="preserve"> </w:t>
      </w:r>
      <w:r w:rsidRPr="00C03627">
        <w:rPr>
          <w:rFonts w:cs="Calibri"/>
          <w:i/>
        </w:rPr>
        <w:t>Impact drivers</w:t>
      </w:r>
      <w:r w:rsidRPr="00C03627">
        <w:rPr>
          <w:rFonts w:cs="Calibri"/>
        </w:rPr>
        <w:t xml:space="preserve"> </w:t>
      </w:r>
      <w:r w:rsidRPr="00C03627">
        <w:rPr>
          <w:rFonts w:cs="Helvetica"/>
        </w:rPr>
        <w:t>are significant external factors that</w:t>
      </w:r>
      <w:r w:rsidRPr="00C03627">
        <w:rPr>
          <w:rFonts w:cs="Calibri"/>
        </w:rPr>
        <w:t xml:space="preserve"> can </w:t>
      </w:r>
      <w:r w:rsidRPr="00562CE2">
        <w:rPr>
          <w:rFonts w:cs="Calibri"/>
          <w:u w:val="single"/>
        </w:rPr>
        <w:t>positively</w:t>
      </w:r>
      <w:r w:rsidRPr="00C03627">
        <w:rPr>
          <w:rFonts w:cs="Calibri"/>
        </w:rPr>
        <w:t xml:space="preserve"> influence th</w:t>
      </w:r>
      <w:r>
        <w:rPr>
          <w:rFonts w:cs="Calibri"/>
        </w:rPr>
        <w:t xml:space="preserve">e direction of change </w:t>
      </w:r>
      <w:r w:rsidRPr="00C03627">
        <w:rPr>
          <w:rFonts w:cs="Calibri"/>
        </w:rPr>
        <w:t>along the project’s causal pathways from outputs to outcomes to impacts</w:t>
      </w:r>
      <w:r>
        <w:rPr>
          <w:rFonts w:cs="Calibri"/>
          <w:lang w:val="en-GB"/>
        </w:rPr>
        <w:t>;</w:t>
      </w:r>
      <w:r w:rsidRPr="00C03627">
        <w:rPr>
          <w:rFonts w:cs="Calibri"/>
        </w:rPr>
        <w:t xml:space="preserve"> and </w:t>
      </w:r>
      <w:r w:rsidRPr="00C03627">
        <w:rPr>
          <w:rFonts w:cs="Helvetica"/>
        </w:rPr>
        <w:t xml:space="preserve">over which the project </w:t>
      </w:r>
      <w:r>
        <w:rPr>
          <w:rFonts w:cs="Helvetica"/>
          <w:lang w:val="en-GB"/>
        </w:rPr>
        <w:t>and/</w:t>
      </w:r>
      <w:r w:rsidRPr="00C03627">
        <w:rPr>
          <w:rFonts w:cs="Helvetica"/>
        </w:rPr>
        <w:t>or its partners</w:t>
      </w:r>
      <w:r>
        <w:rPr>
          <w:rFonts w:cs="Helvetica"/>
          <w:lang w:val="en-GB"/>
        </w:rPr>
        <w:t xml:space="preserve"> and</w:t>
      </w:r>
      <w:r w:rsidRPr="00C03627">
        <w:rPr>
          <w:rFonts w:cs="Helvetica"/>
        </w:rPr>
        <w:t xml:space="preserve"> </w:t>
      </w:r>
      <w:r>
        <w:rPr>
          <w:rFonts w:cs="Helvetica"/>
          <w:lang w:val="en-GB"/>
        </w:rPr>
        <w:t xml:space="preserve">other stakeholders </w:t>
      </w:r>
      <w:r w:rsidRPr="00C03627">
        <w:rPr>
          <w:rFonts w:cs="Helvetica"/>
        </w:rPr>
        <w:t>ha</w:t>
      </w:r>
      <w:r>
        <w:rPr>
          <w:rFonts w:cs="Helvetica"/>
          <w:lang w:val="en-GB"/>
        </w:rPr>
        <w:t>ve</w:t>
      </w:r>
      <w:r w:rsidRPr="00C03627">
        <w:rPr>
          <w:rFonts w:cs="Helvetica"/>
        </w:rPr>
        <w:t xml:space="preserve"> some degree of control or influence</w:t>
      </w:r>
      <w:r>
        <w:rPr>
          <w:rFonts w:cs="Helvetica"/>
          <w:lang w:val="en-GB"/>
        </w:rPr>
        <w:t xml:space="preserve"> (</w:t>
      </w:r>
      <w:r w:rsidRPr="00C03627">
        <w:rPr>
          <w:rFonts w:cs="Helvetica"/>
        </w:rPr>
        <w:t>e.g. public pressure on decision-makers</w:t>
      </w:r>
      <w:r>
        <w:rPr>
          <w:rFonts w:cs="Helvetica"/>
          <w:lang w:val="en-GB"/>
        </w:rPr>
        <w:t>)</w:t>
      </w:r>
      <w:r>
        <w:rPr>
          <w:rFonts w:cs="Calibri"/>
        </w:rPr>
        <w:t>.</w:t>
      </w:r>
    </w:p>
  </w:footnote>
  <w:footnote w:id="60">
    <w:p w14:paraId="54F2D3E3" w14:textId="230F050D" w:rsidR="004D2871" w:rsidRPr="00E83A36" w:rsidRDefault="004D2871" w:rsidP="009563B4">
      <w:pPr>
        <w:pStyle w:val="FootnoteText"/>
        <w:ind w:left="0"/>
        <w:rPr>
          <w:rFonts w:asciiTheme="minorHAnsi" w:hAnsiTheme="minorHAnsi" w:cstheme="minorHAnsi"/>
          <w:sz w:val="15"/>
          <w:szCs w:val="15"/>
        </w:rPr>
      </w:pPr>
      <w:r w:rsidRPr="00E83A36">
        <w:rPr>
          <w:rStyle w:val="FootnoteReference"/>
          <w:rFonts w:asciiTheme="minorHAnsi" w:hAnsiTheme="minorHAnsi" w:cstheme="minorHAnsi"/>
          <w:sz w:val="15"/>
          <w:szCs w:val="15"/>
        </w:rPr>
        <w:footnoteRef/>
      </w:r>
      <w:r w:rsidRPr="00E83A36">
        <w:rPr>
          <w:rFonts w:asciiTheme="minorHAnsi" w:hAnsiTheme="minorHAnsi" w:cstheme="minorHAnsi"/>
          <w:sz w:val="15"/>
          <w:szCs w:val="15"/>
        </w:rPr>
        <w:t xml:space="preserve"> </w:t>
      </w:r>
      <w:r w:rsidRPr="00A34F0D">
        <w:rPr>
          <w:rFonts w:asciiTheme="minorHAnsi" w:hAnsiTheme="minorHAnsi" w:cstheme="minorHAnsi"/>
          <w:i/>
          <w:iCs/>
          <w:sz w:val="15"/>
          <w:szCs w:val="15"/>
        </w:rPr>
        <w:t>GEF-7 Programming Directions</w:t>
      </w:r>
      <w:r>
        <w:rPr>
          <w:rFonts w:asciiTheme="minorHAnsi" w:hAnsiTheme="minorHAnsi" w:cstheme="minorHAnsi"/>
          <w:sz w:val="15"/>
          <w:szCs w:val="15"/>
          <w:lang w:val="en-GB"/>
        </w:rPr>
        <w:t xml:space="preserve"> [</w:t>
      </w:r>
      <w:r w:rsidRPr="00E83A36">
        <w:rPr>
          <w:rFonts w:asciiTheme="minorHAnsi" w:hAnsiTheme="minorHAnsi" w:cstheme="minorHAnsi"/>
          <w:sz w:val="15"/>
          <w:szCs w:val="15"/>
        </w:rPr>
        <w:t xml:space="preserve"> </w:t>
      </w:r>
      <w:hyperlink r:id="rId11" w:history="1">
        <w:r w:rsidRPr="00E83A36">
          <w:rPr>
            <w:rStyle w:val="Hyperlink"/>
            <w:rFonts w:asciiTheme="minorHAnsi" w:hAnsiTheme="minorHAnsi" w:cstheme="minorHAnsi"/>
            <w:sz w:val="15"/>
            <w:szCs w:val="15"/>
          </w:rPr>
          <w:t>https://www.thegef.org/documents/gef-7-programming-directions</w:t>
        </w:r>
      </w:hyperlink>
      <w:r>
        <w:rPr>
          <w:rFonts w:asciiTheme="minorHAnsi" w:hAnsiTheme="minorHAnsi" w:cstheme="minorHAnsi"/>
          <w:sz w:val="15"/>
          <w:szCs w:val="15"/>
          <w:lang w:val="en-GB"/>
        </w:rPr>
        <w:t>]</w:t>
      </w:r>
    </w:p>
  </w:footnote>
  <w:footnote w:id="61">
    <w:p w14:paraId="02B77CB1" w14:textId="638F3387" w:rsidR="004D2871" w:rsidRPr="00E83A36" w:rsidRDefault="004D2871" w:rsidP="009563B4">
      <w:pPr>
        <w:pStyle w:val="FootnoteText"/>
        <w:ind w:left="0"/>
        <w:rPr>
          <w:rFonts w:asciiTheme="minorHAnsi" w:hAnsiTheme="minorHAnsi" w:cstheme="minorHAnsi"/>
          <w:sz w:val="15"/>
          <w:szCs w:val="15"/>
        </w:rPr>
      </w:pPr>
      <w:r w:rsidRPr="00E83A36">
        <w:rPr>
          <w:rStyle w:val="FootnoteReference"/>
          <w:rFonts w:asciiTheme="minorHAnsi" w:hAnsiTheme="minorHAnsi" w:cstheme="minorHAnsi"/>
          <w:sz w:val="15"/>
          <w:szCs w:val="15"/>
        </w:rPr>
        <w:footnoteRef/>
      </w:r>
      <w:r w:rsidRPr="00E83A36">
        <w:rPr>
          <w:rFonts w:asciiTheme="minorHAnsi" w:hAnsiTheme="minorHAnsi" w:cstheme="minorHAnsi"/>
          <w:sz w:val="15"/>
          <w:szCs w:val="15"/>
        </w:rPr>
        <w:t xml:space="preserve"> P.H. Verburg, G. Metternicht, C. Allen, N. Debonne, M. Akhtar-Schuster, M. Inácio da Cunha, Z. Karim, A. Pilon, O. Raja, M. Sánchez Santivañez, and A. Şenyaz</w:t>
      </w:r>
      <w:r w:rsidRPr="00EF659B">
        <w:rPr>
          <w:rFonts w:asciiTheme="minorHAnsi" w:hAnsiTheme="minorHAnsi" w:cstheme="minorHAnsi"/>
          <w:sz w:val="15"/>
          <w:szCs w:val="15"/>
          <w:lang w:val="de-DE"/>
        </w:rPr>
        <w:t>,</w:t>
      </w:r>
      <w:r w:rsidRPr="00E83A36">
        <w:rPr>
          <w:rFonts w:asciiTheme="minorHAnsi" w:hAnsiTheme="minorHAnsi" w:cstheme="minorHAnsi"/>
          <w:sz w:val="15"/>
          <w:szCs w:val="15"/>
        </w:rPr>
        <w:t xml:space="preserve"> 2019. </w:t>
      </w:r>
      <w:r w:rsidRPr="00B8519E">
        <w:rPr>
          <w:rFonts w:asciiTheme="minorHAnsi" w:hAnsiTheme="minorHAnsi" w:cstheme="minorHAnsi"/>
          <w:i/>
          <w:iCs/>
          <w:sz w:val="15"/>
          <w:szCs w:val="15"/>
        </w:rPr>
        <w:t>Creating an Enabling Environment for Land Degradation Neutrality and its Potential Contribution to Enhancing Well-being, Livelihoods and the Environment. A Report of the Science-Policy Interface.</w:t>
      </w:r>
      <w:r w:rsidRPr="00E83A36">
        <w:rPr>
          <w:rFonts w:asciiTheme="minorHAnsi" w:hAnsiTheme="minorHAnsi" w:cstheme="minorHAnsi"/>
          <w:sz w:val="15"/>
          <w:szCs w:val="15"/>
        </w:rPr>
        <w:t xml:space="preserve"> United Nations Convention to Combat Desertification (UNCCD), Bonn, Germany. </w:t>
      </w:r>
      <w:r>
        <w:rPr>
          <w:rFonts w:asciiTheme="minorHAnsi" w:hAnsiTheme="minorHAnsi" w:cstheme="minorHAnsi"/>
          <w:sz w:val="15"/>
          <w:szCs w:val="15"/>
          <w:lang w:val="en-GB"/>
        </w:rPr>
        <w:t>[</w:t>
      </w:r>
      <w:hyperlink r:id="rId12" w:history="1">
        <w:r w:rsidRPr="00E83A36">
          <w:rPr>
            <w:rStyle w:val="Hyperlink"/>
            <w:rFonts w:asciiTheme="minorHAnsi" w:hAnsiTheme="minorHAnsi" w:cstheme="minorHAnsi"/>
            <w:sz w:val="15"/>
            <w:szCs w:val="15"/>
          </w:rPr>
          <w:t>https://knowledge.unccd.int/publication/creating-enabling-environment-land-degradation-neutrality-and-its-potential</w:t>
        </w:r>
      </w:hyperlink>
      <w:r>
        <w:rPr>
          <w:rFonts w:asciiTheme="minorHAnsi" w:hAnsiTheme="minorHAnsi" w:cstheme="minorHAnsi"/>
          <w:sz w:val="15"/>
          <w:szCs w:val="15"/>
          <w:lang w:val="en-GB"/>
        </w:rPr>
        <w:t>]</w:t>
      </w:r>
      <w:r w:rsidRPr="00E83A36">
        <w:rPr>
          <w:rFonts w:asciiTheme="minorHAnsi" w:hAnsiTheme="minorHAnsi" w:cstheme="minorHAnsi"/>
          <w:sz w:val="15"/>
          <w:szCs w:val="15"/>
        </w:rPr>
        <w:t xml:space="preserve"> </w:t>
      </w:r>
    </w:p>
  </w:footnote>
  <w:footnote w:id="62">
    <w:p w14:paraId="5996C7C1" w14:textId="77777777" w:rsidR="004D2871" w:rsidRPr="00F30975" w:rsidRDefault="004D2871" w:rsidP="009C39D0">
      <w:pPr>
        <w:pStyle w:val="FootnoteText"/>
        <w:ind w:left="0"/>
        <w:rPr>
          <w:lang w:val="en-GB"/>
        </w:rPr>
      </w:pPr>
      <w:r>
        <w:rPr>
          <w:rStyle w:val="FootnoteReference"/>
        </w:rPr>
        <w:footnoteRef/>
      </w:r>
      <w:r>
        <w:t xml:space="preserve"> </w:t>
      </w:r>
      <w:r>
        <w:rPr>
          <w:lang w:val="en-GB"/>
        </w:rPr>
        <w:t xml:space="preserve">Note that gender inequality is an issue that needs to be addressed, as revealed by the SHARP baseline surveys of Cahama and Cuchi: inequality patterns in economic and political opportunities were note in 31% of households interviewed. (Refer to Section 3 for more details.) </w:t>
      </w:r>
    </w:p>
  </w:footnote>
  <w:footnote w:id="63">
    <w:p w14:paraId="43123BA1" w14:textId="77777777" w:rsidR="004D2871" w:rsidRPr="00E83A36" w:rsidRDefault="004D2871" w:rsidP="00A94129">
      <w:pPr>
        <w:pStyle w:val="FootnoteText"/>
        <w:ind w:left="0"/>
        <w:rPr>
          <w:rFonts w:asciiTheme="minorHAnsi" w:hAnsiTheme="minorHAnsi" w:cstheme="minorHAnsi"/>
          <w:sz w:val="15"/>
          <w:szCs w:val="15"/>
        </w:rPr>
      </w:pPr>
      <w:r w:rsidRPr="00E83A36">
        <w:rPr>
          <w:rStyle w:val="FootnoteReference"/>
          <w:rFonts w:asciiTheme="minorHAnsi" w:hAnsiTheme="minorHAnsi" w:cstheme="minorHAnsi"/>
          <w:sz w:val="15"/>
          <w:szCs w:val="15"/>
        </w:rPr>
        <w:footnoteRef/>
      </w:r>
      <w:r w:rsidRPr="00E83A36">
        <w:rPr>
          <w:rFonts w:asciiTheme="minorHAnsi" w:hAnsiTheme="minorHAnsi" w:cstheme="minorHAnsi"/>
          <w:sz w:val="15"/>
          <w:szCs w:val="15"/>
        </w:rPr>
        <w:t xml:space="preserve"> </w:t>
      </w:r>
      <w:r>
        <w:rPr>
          <w:rFonts w:asciiTheme="minorHAnsi" w:hAnsiTheme="minorHAnsi" w:cstheme="minorHAnsi"/>
          <w:sz w:val="15"/>
          <w:szCs w:val="15"/>
          <w:lang w:val="en-GB"/>
        </w:rPr>
        <w:t>Additional or related Issues</w:t>
      </w:r>
      <w:r w:rsidRPr="00E83A36">
        <w:rPr>
          <w:rFonts w:asciiTheme="minorHAnsi" w:hAnsiTheme="minorHAnsi" w:cstheme="minorHAnsi"/>
          <w:sz w:val="15"/>
          <w:szCs w:val="15"/>
        </w:rPr>
        <w:t xml:space="preserve"> include insecure tenure</w:t>
      </w:r>
      <w:r>
        <w:rPr>
          <w:rFonts w:asciiTheme="minorHAnsi" w:hAnsiTheme="minorHAnsi" w:cstheme="minorHAnsi"/>
          <w:sz w:val="15"/>
          <w:szCs w:val="15"/>
          <w:lang w:val="en-GB"/>
        </w:rPr>
        <w:t>,</w:t>
      </w:r>
      <w:r w:rsidRPr="00E83A36">
        <w:rPr>
          <w:rFonts w:asciiTheme="minorHAnsi" w:hAnsiTheme="minorHAnsi" w:cstheme="minorHAnsi"/>
          <w:sz w:val="15"/>
          <w:szCs w:val="15"/>
        </w:rPr>
        <w:t xml:space="preserve"> right</w:t>
      </w:r>
      <w:r>
        <w:rPr>
          <w:rFonts w:asciiTheme="minorHAnsi" w:hAnsiTheme="minorHAnsi" w:cstheme="minorHAnsi"/>
          <w:sz w:val="15"/>
          <w:szCs w:val="15"/>
          <w:lang w:val="en-GB"/>
        </w:rPr>
        <w:t>s</w:t>
      </w:r>
      <w:r w:rsidRPr="00E83A36">
        <w:rPr>
          <w:rFonts w:asciiTheme="minorHAnsi" w:hAnsiTheme="minorHAnsi" w:cstheme="minorHAnsi"/>
          <w:sz w:val="15"/>
          <w:szCs w:val="15"/>
        </w:rPr>
        <w:t xml:space="preserve"> to ecosystem services, weak common property regimes and </w:t>
      </w:r>
      <w:r>
        <w:rPr>
          <w:rFonts w:asciiTheme="minorHAnsi" w:hAnsiTheme="minorHAnsi" w:cstheme="minorHAnsi"/>
          <w:sz w:val="15"/>
          <w:szCs w:val="15"/>
          <w:lang w:val="en-GB"/>
        </w:rPr>
        <w:t xml:space="preserve">limitations of </w:t>
      </w:r>
      <w:r w:rsidRPr="00E83A36">
        <w:rPr>
          <w:rFonts w:asciiTheme="minorHAnsi" w:hAnsiTheme="minorHAnsi" w:cstheme="minorHAnsi"/>
          <w:sz w:val="15"/>
          <w:szCs w:val="15"/>
        </w:rPr>
        <w:t>natural resources management institutions.</w:t>
      </w:r>
    </w:p>
  </w:footnote>
  <w:footnote w:id="64">
    <w:p w14:paraId="0AFC624C" w14:textId="622A2E74" w:rsidR="004D2871" w:rsidRPr="00F32786" w:rsidRDefault="004D2871" w:rsidP="003B4A28">
      <w:r w:rsidRPr="00F32786">
        <w:rPr>
          <w:rFonts w:asciiTheme="minorHAnsi" w:hAnsiTheme="minorHAnsi" w:cs="Calibri (Body)"/>
          <w:sz w:val="15"/>
          <w:szCs w:val="15"/>
          <w:vertAlign w:val="superscript"/>
          <w:lang w:val="x-none" w:eastAsia="x-none"/>
        </w:rPr>
        <w:footnoteRef/>
      </w:r>
      <w:r>
        <w:rPr>
          <w:rFonts w:asciiTheme="minorHAnsi" w:hAnsiTheme="minorHAnsi" w:cstheme="minorHAnsi"/>
          <w:sz w:val="15"/>
          <w:szCs w:val="15"/>
          <w:lang w:eastAsia="x-none"/>
        </w:rPr>
        <w:t xml:space="preserve">Following on from the </w:t>
      </w:r>
      <w:r w:rsidRPr="00F32786">
        <w:rPr>
          <w:rFonts w:asciiTheme="minorHAnsi" w:hAnsiTheme="minorHAnsi" w:cstheme="minorHAnsi"/>
          <w:sz w:val="15"/>
          <w:szCs w:val="15"/>
          <w:lang w:val="x-none" w:eastAsia="x-none"/>
        </w:rPr>
        <w:t xml:space="preserve"> Great Green Wall (GGW) of Africa launched around 2010 by the African Union as a flagship initiative for the Sahara and Sahel to combat the effects of climatic change and desertification</w:t>
      </w:r>
      <w:r>
        <w:rPr>
          <w:rFonts w:asciiTheme="minorHAnsi" w:hAnsiTheme="minorHAnsi" w:cstheme="minorHAnsi"/>
          <w:sz w:val="15"/>
          <w:szCs w:val="15"/>
          <w:lang w:eastAsia="x-none"/>
        </w:rPr>
        <w:t>,</w:t>
      </w:r>
      <w:r w:rsidRPr="00F32786">
        <w:rPr>
          <w:rFonts w:asciiTheme="minorHAnsi" w:hAnsiTheme="minorHAnsi" w:cstheme="minorHAnsi"/>
          <w:sz w:val="15"/>
          <w:szCs w:val="15"/>
          <w:lang w:val="x-none" w:eastAsia="x-none"/>
        </w:rPr>
        <w:t xml:space="preserve"> SADC announced the inception of a similar initiative</w:t>
      </w:r>
      <w:r>
        <w:rPr>
          <w:rFonts w:asciiTheme="minorHAnsi" w:hAnsiTheme="minorHAnsi" w:cstheme="minorHAnsi"/>
          <w:sz w:val="15"/>
          <w:szCs w:val="15"/>
          <w:lang w:eastAsia="x-none"/>
        </w:rPr>
        <w:t xml:space="preserve"> (GGG!-S)</w:t>
      </w:r>
      <w:r w:rsidRPr="00F32786">
        <w:rPr>
          <w:rFonts w:asciiTheme="minorHAnsi" w:hAnsiTheme="minorHAnsi" w:cstheme="minorHAnsi"/>
          <w:sz w:val="15"/>
          <w:szCs w:val="15"/>
          <w:lang w:val="x-none" w:eastAsia="x-none"/>
        </w:rPr>
        <w:t xml:space="preserve"> </w:t>
      </w:r>
      <w:r>
        <w:rPr>
          <w:rFonts w:asciiTheme="minorHAnsi" w:hAnsiTheme="minorHAnsi" w:cstheme="minorHAnsi"/>
          <w:sz w:val="15"/>
          <w:szCs w:val="15"/>
          <w:lang w:eastAsia="x-none"/>
        </w:rPr>
        <w:t>for</w:t>
      </w:r>
      <w:r w:rsidRPr="00F32786">
        <w:rPr>
          <w:rFonts w:asciiTheme="minorHAnsi" w:hAnsiTheme="minorHAnsi" w:cstheme="minorHAnsi"/>
          <w:sz w:val="15"/>
          <w:szCs w:val="15"/>
          <w:lang w:val="x-none" w:eastAsia="x-none"/>
        </w:rPr>
        <w:t xml:space="preserve"> the Southern Africa sub-region</w:t>
      </w:r>
      <w:r>
        <w:rPr>
          <w:rFonts w:asciiTheme="minorHAnsi" w:hAnsiTheme="minorHAnsi" w:cstheme="minorHAnsi"/>
          <w:sz w:val="15"/>
          <w:szCs w:val="15"/>
          <w:lang w:eastAsia="x-none"/>
        </w:rPr>
        <w:t xml:space="preserve"> in 2018</w:t>
      </w:r>
      <w:r w:rsidRPr="00F32786">
        <w:rPr>
          <w:rFonts w:asciiTheme="minorHAnsi" w:hAnsiTheme="minorHAnsi" w:cstheme="minorHAnsi"/>
          <w:sz w:val="15"/>
          <w:szCs w:val="15"/>
          <w:lang w:val="x-none" w:eastAsia="x-none"/>
        </w:rPr>
        <w:t xml:space="preserve">. </w:t>
      </w:r>
    </w:p>
  </w:footnote>
  <w:footnote w:id="65">
    <w:p w14:paraId="55A46807" w14:textId="77777777" w:rsidR="004D2871" w:rsidRPr="00D2322A" w:rsidRDefault="004D2871" w:rsidP="009E4F82">
      <w:pPr>
        <w:pStyle w:val="FootnoteText"/>
        <w:ind w:left="0"/>
        <w:rPr>
          <w:rFonts w:asciiTheme="minorHAnsi" w:hAnsiTheme="minorHAnsi" w:cstheme="minorHAnsi"/>
          <w:sz w:val="15"/>
          <w:szCs w:val="15"/>
          <w:lang w:val="en-GB"/>
        </w:rPr>
      </w:pPr>
      <w:r w:rsidRPr="00E83A36">
        <w:rPr>
          <w:rStyle w:val="FootnoteReference"/>
          <w:rFonts w:asciiTheme="minorHAnsi" w:hAnsiTheme="minorHAnsi" w:cstheme="minorHAnsi"/>
          <w:sz w:val="15"/>
          <w:szCs w:val="15"/>
        </w:rPr>
        <w:footnoteRef/>
      </w:r>
      <w:r w:rsidRPr="00E83A36">
        <w:rPr>
          <w:rFonts w:asciiTheme="minorHAnsi" w:hAnsiTheme="minorHAnsi" w:cstheme="minorHAnsi"/>
          <w:sz w:val="15"/>
          <w:szCs w:val="15"/>
        </w:rPr>
        <w:t xml:space="preserve"> Examples from within the region include the long-established model of Community-Based Natural Resource Management (CBNRM), which gave rise to the establish</w:t>
      </w:r>
      <w:r>
        <w:rPr>
          <w:rFonts w:asciiTheme="minorHAnsi" w:hAnsiTheme="minorHAnsi" w:cstheme="minorHAnsi"/>
          <w:sz w:val="15"/>
          <w:szCs w:val="15"/>
          <w:lang w:val="en-GB"/>
        </w:rPr>
        <w:t>ment</w:t>
      </w:r>
      <w:r w:rsidRPr="00E83A36">
        <w:rPr>
          <w:rFonts w:asciiTheme="minorHAnsi" w:hAnsiTheme="minorHAnsi" w:cstheme="minorHAnsi"/>
          <w:sz w:val="15"/>
          <w:szCs w:val="15"/>
        </w:rPr>
        <w:t xml:space="preserve"> of partially self-governed Conservancies (Community Conservancies</w:t>
      </w:r>
      <w:r>
        <w:rPr>
          <w:rFonts w:asciiTheme="minorHAnsi" w:hAnsiTheme="minorHAnsi" w:cstheme="minorHAnsi"/>
          <w:sz w:val="15"/>
          <w:szCs w:val="15"/>
          <w:lang w:val="en-GB"/>
        </w:rPr>
        <w:t>, which</w:t>
      </w:r>
      <w:r w:rsidRPr="00E83A36">
        <w:rPr>
          <w:rFonts w:asciiTheme="minorHAnsi" w:hAnsiTheme="minorHAnsi" w:cstheme="minorHAnsi"/>
          <w:sz w:val="15"/>
          <w:szCs w:val="15"/>
        </w:rPr>
        <w:t xml:space="preserve"> focus on wildlife</w:t>
      </w:r>
      <w:r>
        <w:rPr>
          <w:rFonts w:asciiTheme="minorHAnsi" w:hAnsiTheme="minorHAnsi" w:cstheme="minorHAnsi"/>
          <w:sz w:val="15"/>
          <w:szCs w:val="15"/>
          <w:lang w:val="en-GB"/>
        </w:rPr>
        <w:t xml:space="preserve"> and</w:t>
      </w:r>
      <w:r w:rsidRPr="00E83A36">
        <w:rPr>
          <w:rFonts w:asciiTheme="minorHAnsi" w:hAnsiTheme="minorHAnsi" w:cstheme="minorHAnsi"/>
          <w:sz w:val="15"/>
          <w:szCs w:val="15"/>
        </w:rPr>
        <w:t xml:space="preserve"> Forest Conservancies). In Tanzania, forest and grazing management arrangement</w:t>
      </w:r>
      <w:r>
        <w:rPr>
          <w:rFonts w:asciiTheme="minorHAnsi" w:hAnsiTheme="minorHAnsi" w:cstheme="minorHAnsi"/>
          <w:sz w:val="15"/>
          <w:szCs w:val="15"/>
          <w:lang w:val="en-GB"/>
        </w:rPr>
        <w:t>s</w:t>
      </w:r>
      <w:r w:rsidRPr="00E83A36">
        <w:rPr>
          <w:rFonts w:asciiTheme="minorHAnsi" w:hAnsiTheme="minorHAnsi" w:cstheme="minorHAnsi"/>
          <w:sz w:val="15"/>
          <w:szCs w:val="15"/>
        </w:rPr>
        <w:t xml:space="preserve"> ensure an equitable approach to land stewardship and access to resources through clearly defined usufruct right</w:t>
      </w:r>
      <w:r>
        <w:rPr>
          <w:rFonts w:asciiTheme="minorHAnsi" w:hAnsiTheme="minorHAnsi" w:cstheme="minorHAnsi"/>
          <w:sz w:val="15"/>
          <w:szCs w:val="15"/>
          <w:lang w:val="en-GB"/>
        </w:rPr>
        <w:t>s, thereby avoiding</w:t>
      </w:r>
      <w:r w:rsidRPr="00E83A36">
        <w:rPr>
          <w:rFonts w:asciiTheme="minorHAnsi" w:hAnsiTheme="minorHAnsi" w:cstheme="minorHAnsi"/>
          <w:sz w:val="15"/>
          <w:szCs w:val="15"/>
        </w:rPr>
        <w:t xml:space="preserve"> ownership conflicts. Not all models apply to Angola, </w:t>
      </w:r>
      <w:r>
        <w:rPr>
          <w:rFonts w:asciiTheme="minorHAnsi" w:hAnsiTheme="minorHAnsi" w:cstheme="minorHAnsi"/>
          <w:sz w:val="15"/>
          <w:szCs w:val="15"/>
          <w:lang w:val="en-GB"/>
        </w:rPr>
        <w:t xml:space="preserve">with its </w:t>
      </w:r>
      <w:r w:rsidRPr="00E83A36">
        <w:rPr>
          <w:rFonts w:asciiTheme="minorHAnsi" w:hAnsiTheme="minorHAnsi" w:cstheme="minorHAnsi"/>
          <w:sz w:val="15"/>
          <w:szCs w:val="15"/>
        </w:rPr>
        <w:t xml:space="preserve">a somewhat unique </w:t>
      </w:r>
      <w:r>
        <w:rPr>
          <w:rFonts w:asciiTheme="minorHAnsi" w:hAnsiTheme="minorHAnsi" w:cstheme="minorHAnsi"/>
          <w:sz w:val="15"/>
          <w:szCs w:val="15"/>
          <w:lang w:val="en-GB"/>
        </w:rPr>
        <w:t>governance of</w:t>
      </w:r>
      <w:r w:rsidRPr="00E83A36">
        <w:rPr>
          <w:rFonts w:asciiTheme="minorHAnsi" w:hAnsiTheme="minorHAnsi" w:cstheme="minorHAnsi"/>
          <w:sz w:val="15"/>
          <w:szCs w:val="15"/>
        </w:rPr>
        <w:t xml:space="preserve"> land tenure but DSL IP </w:t>
      </w:r>
      <w:r>
        <w:rPr>
          <w:rFonts w:asciiTheme="minorHAnsi" w:hAnsiTheme="minorHAnsi" w:cstheme="minorHAnsi"/>
          <w:sz w:val="15"/>
          <w:szCs w:val="15"/>
          <w:lang w:val="en-GB"/>
        </w:rPr>
        <w:t xml:space="preserve">provides ample scope for </w:t>
      </w:r>
      <w:r w:rsidRPr="00E83A36">
        <w:rPr>
          <w:rFonts w:asciiTheme="minorHAnsi" w:hAnsiTheme="minorHAnsi" w:cstheme="minorHAnsi"/>
          <w:sz w:val="15"/>
          <w:szCs w:val="15"/>
        </w:rPr>
        <w:t xml:space="preserve">learning </w:t>
      </w:r>
      <w:r>
        <w:rPr>
          <w:rFonts w:asciiTheme="minorHAnsi" w:hAnsiTheme="minorHAnsi" w:cstheme="minorHAnsi"/>
          <w:sz w:val="15"/>
          <w:szCs w:val="15"/>
          <w:lang w:val="en-GB"/>
        </w:rPr>
        <w:t xml:space="preserve">from </w:t>
      </w:r>
      <w:r w:rsidRPr="00E83A36">
        <w:rPr>
          <w:rFonts w:asciiTheme="minorHAnsi" w:hAnsiTheme="minorHAnsi" w:cstheme="minorHAnsi"/>
          <w:sz w:val="15"/>
          <w:szCs w:val="15"/>
        </w:rPr>
        <w:t>other models</w:t>
      </w:r>
      <w:r>
        <w:rPr>
          <w:rFonts w:asciiTheme="minorHAnsi" w:hAnsiTheme="minorHAnsi" w:cstheme="minorHAnsi"/>
          <w:sz w:val="15"/>
          <w:szCs w:val="15"/>
          <w:lang w:val="en-GB"/>
        </w:rPr>
        <w:t>and engaging with those who have piloted and manged them.</w:t>
      </w:r>
    </w:p>
  </w:footnote>
  <w:footnote w:id="66">
    <w:p w14:paraId="6CF9F45A" w14:textId="625A1097" w:rsidR="004D2871" w:rsidRPr="00E73B5A" w:rsidRDefault="004D2871" w:rsidP="00A66182">
      <w:pPr>
        <w:pStyle w:val="FootnoteText"/>
        <w:ind w:left="0"/>
        <w:rPr>
          <w:lang w:val="en-GB"/>
        </w:rPr>
      </w:pPr>
      <w:r>
        <w:rPr>
          <w:rStyle w:val="FootnoteReference"/>
        </w:rPr>
        <w:footnoteRef/>
      </w:r>
      <w:r>
        <w:t xml:space="preserve"> </w:t>
      </w:r>
      <w:r>
        <w:rPr>
          <w:lang w:val="en-GB"/>
        </w:rPr>
        <w:t>Adaptive measures are likely to apply in many cases where lessons can be learned from the initial interventions in the MPUs.</w:t>
      </w:r>
    </w:p>
  </w:footnote>
  <w:footnote w:id="67">
    <w:p w14:paraId="2A7C7C00" w14:textId="1458DECD" w:rsidR="004D2871" w:rsidRPr="00E40C5C" w:rsidRDefault="004D2871" w:rsidP="00691A97">
      <w:pPr>
        <w:pStyle w:val="FootnoteText"/>
        <w:ind w:left="0"/>
        <w:rPr>
          <w:rFonts w:asciiTheme="minorHAnsi" w:hAnsiTheme="minorHAnsi" w:cstheme="minorHAnsi"/>
          <w:sz w:val="15"/>
          <w:szCs w:val="15"/>
          <w:lang w:val="en-GB"/>
        </w:rPr>
      </w:pPr>
      <w:r w:rsidRPr="00E83A36">
        <w:rPr>
          <w:rStyle w:val="FootnoteReference"/>
          <w:rFonts w:asciiTheme="minorHAnsi" w:hAnsiTheme="minorHAnsi" w:cstheme="minorHAnsi"/>
          <w:sz w:val="15"/>
          <w:szCs w:val="15"/>
        </w:rPr>
        <w:footnoteRef/>
      </w:r>
      <w:r w:rsidRPr="00E83A36">
        <w:rPr>
          <w:rFonts w:asciiTheme="minorHAnsi" w:hAnsiTheme="minorHAnsi" w:cstheme="minorHAnsi"/>
          <w:sz w:val="15"/>
          <w:szCs w:val="15"/>
        </w:rPr>
        <w:t xml:space="preserve"> Orr, B.J., A.L. Cowie, V.M. Castillo Sanchez, P. Chasek, N.D. Crossman, A. Erlewein, G. Louwagie, M. Maron, G.I. Metternicht, S. Minelli, A.E. Tengberg, S. Walter, and S. Welton. 2017. Scientific Conceptual Framework for </w:t>
      </w:r>
      <w:r w:rsidR="005C65E3">
        <w:rPr>
          <w:rFonts w:asciiTheme="minorHAnsi" w:hAnsiTheme="minorHAnsi" w:cstheme="minorHAnsi"/>
          <w:sz w:val="15"/>
          <w:szCs w:val="15"/>
          <w:lang w:val="en-GB"/>
        </w:rPr>
        <w:t>Cu</w:t>
      </w:r>
      <w:r w:rsidRPr="00E83A36">
        <w:rPr>
          <w:rFonts w:asciiTheme="minorHAnsi" w:hAnsiTheme="minorHAnsi" w:cstheme="minorHAnsi"/>
          <w:sz w:val="15"/>
          <w:szCs w:val="15"/>
        </w:rPr>
        <w:t xml:space="preserve"> Neutrality. A Report of the Science-Policy Interface. United Nations Convention to Combat Desertification (UNCCD), Bonn, Germany.</w:t>
      </w:r>
      <w:r>
        <w:rPr>
          <w:rFonts w:asciiTheme="minorHAnsi" w:hAnsiTheme="minorHAnsi" w:cstheme="minorHAnsi"/>
          <w:sz w:val="15"/>
          <w:szCs w:val="15"/>
          <w:lang w:val="en-GB"/>
        </w:rPr>
        <w:t xml:space="preserve"> This Framework was </w:t>
      </w:r>
      <w:r w:rsidRPr="00E40C5C">
        <w:rPr>
          <w:rFonts w:asciiTheme="minorHAnsi" w:hAnsiTheme="minorHAnsi" w:cstheme="minorHAnsi"/>
          <w:sz w:val="15"/>
          <w:szCs w:val="15"/>
        </w:rPr>
        <w:t>subsequently complemented by 2019 guidance on the enabling environment for LDN</w:t>
      </w:r>
      <w:r>
        <w:rPr>
          <w:rFonts w:asciiTheme="minorHAnsi" w:hAnsiTheme="minorHAnsi" w:cstheme="minorHAnsi"/>
          <w:sz w:val="15"/>
          <w:szCs w:val="15"/>
          <w:lang w:val="en-GB"/>
        </w:rPr>
        <w:t xml:space="preserve">, described in </w:t>
      </w:r>
      <w:r w:rsidRPr="00E40C5C">
        <w:rPr>
          <w:rFonts w:asciiTheme="minorHAnsi" w:hAnsiTheme="minorHAnsi" w:cstheme="minorHAnsi"/>
          <w:sz w:val="15"/>
          <w:szCs w:val="15"/>
          <w:highlight w:val="lightGray"/>
          <w:lang w:val="en-GB"/>
        </w:rPr>
        <w:fldChar w:fldCharType="begin"/>
      </w:r>
      <w:r w:rsidRPr="00E40C5C">
        <w:rPr>
          <w:rFonts w:asciiTheme="minorHAnsi" w:hAnsiTheme="minorHAnsi" w:cstheme="minorHAnsi"/>
          <w:sz w:val="15"/>
          <w:szCs w:val="15"/>
          <w:highlight w:val="lightGray"/>
          <w:lang w:val="en-GB"/>
        </w:rPr>
        <w:instrText xml:space="preserve"> REF _Ref41252555 \h  \* MERGEFORMAT </w:instrText>
      </w:r>
      <w:r w:rsidRPr="00E40C5C">
        <w:rPr>
          <w:rFonts w:asciiTheme="minorHAnsi" w:hAnsiTheme="minorHAnsi" w:cstheme="minorHAnsi"/>
          <w:sz w:val="15"/>
          <w:szCs w:val="15"/>
          <w:highlight w:val="lightGray"/>
          <w:lang w:val="en-GB"/>
        </w:rPr>
      </w:r>
      <w:r w:rsidRPr="00E40C5C">
        <w:rPr>
          <w:rFonts w:asciiTheme="minorHAnsi" w:hAnsiTheme="minorHAnsi" w:cstheme="minorHAnsi"/>
          <w:sz w:val="15"/>
          <w:szCs w:val="15"/>
          <w:highlight w:val="lightGray"/>
          <w:lang w:val="en-GB"/>
        </w:rPr>
        <w:fldChar w:fldCharType="separate"/>
      </w:r>
      <w:r w:rsidRPr="00A64193">
        <w:rPr>
          <w:highlight w:val="lightGray"/>
        </w:rPr>
        <w:t xml:space="preserve">Table </w:t>
      </w:r>
      <w:r w:rsidRPr="00A64193">
        <w:rPr>
          <w:noProof/>
          <w:highlight w:val="lightGray"/>
        </w:rPr>
        <w:t>2</w:t>
      </w:r>
      <w:r w:rsidRPr="00E40C5C">
        <w:rPr>
          <w:rFonts w:asciiTheme="minorHAnsi" w:hAnsiTheme="minorHAnsi" w:cstheme="minorHAnsi"/>
          <w:sz w:val="15"/>
          <w:szCs w:val="15"/>
          <w:highlight w:val="lightGray"/>
          <w:lang w:val="en-GB"/>
        </w:rPr>
        <w:fldChar w:fldCharType="end"/>
      </w:r>
      <w:r w:rsidRPr="00E40C5C">
        <w:rPr>
          <w:rFonts w:asciiTheme="minorHAnsi" w:hAnsiTheme="minorHAnsi" w:cstheme="minorHAnsi"/>
          <w:sz w:val="15"/>
          <w:szCs w:val="15"/>
          <w:highlight w:val="lightGray"/>
          <w:lang w:val="en-GB"/>
        </w:rPr>
        <w:t>.</w:t>
      </w:r>
    </w:p>
  </w:footnote>
  <w:footnote w:id="68">
    <w:p w14:paraId="2EBFF365" w14:textId="77777777" w:rsidR="004D2871" w:rsidRPr="00591030" w:rsidRDefault="004D2871" w:rsidP="00FF5C2A">
      <w:pPr>
        <w:rPr>
          <w:rFonts w:asciiTheme="minorHAnsi" w:hAnsiTheme="minorHAnsi" w:cstheme="minorHAnsi"/>
          <w:sz w:val="15"/>
          <w:szCs w:val="15"/>
          <w:lang w:val="x-none" w:eastAsia="x-none"/>
        </w:rPr>
      </w:pPr>
      <w:r w:rsidRPr="00796C42">
        <w:rPr>
          <w:rFonts w:asciiTheme="minorHAnsi" w:hAnsiTheme="minorHAnsi" w:cstheme="minorHAnsi"/>
          <w:sz w:val="15"/>
          <w:szCs w:val="15"/>
          <w:lang w:val="x-none" w:eastAsia="x-none"/>
        </w:rPr>
        <w:footnoteRef/>
      </w:r>
      <w:r w:rsidRPr="00796C42">
        <w:rPr>
          <w:rFonts w:asciiTheme="minorHAnsi" w:hAnsiTheme="minorHAnsi" w:cstheme="minorHAnsi"/>
          <w:sz w:val="15"/>
          <w:szCs w:val="15"/>
          <w:lang w:val="x-none" w:eastAsia="x-none"/>
        </w:rPr>
        <w:t xml:space="preserve"> Criteria include: watershjed within Miombo-Mapane, ongoing degradation, diverse landscape with interaction between a range of land uses (forest, cropland and grassland), accessible road infrastructure, existing nstitutions and value chains, and representative area with potential to scale up and out</w:t>
      </w:r>
      <w:r>
        <w:rPr>
          <w:rFonts w:asciiTheme="minorHAnsi" w:hAnsiTheme="minorHAnsi" w:cstheme="minorHAnsi"/>
          <w:sz w:val="15"/>
          <w:szCs w:val="15"/>
          <w:lang w:eastAsia="x-none"/>
        </w:rPr>
        <w:t xml:space="preserve">. </w:t>
      </w:r>
      <w:r w:rsidRPr="00796C42">
        <w:rPr>
          <w:rFonts w:asciiTheme="minorHAnsi" w:hAnsiTheme="minorHAnsi" w:cstheme="minorHAnsi"/>
          <w:b/>
          <w:bCs/>
          <w:sz w:val="15"/>
          <w:szCs w:val="15"/>
          <w:lang w:eastAsia="x-none"/>
        </w:rPr>
        <w:t>Note</w:t>
      </w:r>
      <w:r>
        <w:rPr>
          <w:rFonts w:asciiTheme="minorHAnsi" w:hAnsiTheme="minorHAnsi" w:cstheme="minorHAnsi"/>
          <w:sz w:val="15"/>
          <w:szCs w:val="15"/>
          <w:lang w:eastAsia="x-none"/>
        </w:rPr>
        <w:t xml:space="preserve"> that the</w:t>
      </w:r>
      <w:r w:rsidRPr="00796C42">
        <w:rPr>
          <w:rFonts w:asciiTheme="minorHAnsi" w:hAnsiTheme="minorHAnsi" w:cstheme="minorHAnsi"/>
          <w:sz w:val="15"/>
          <w:szCs w:val="15"/>
          <w:lang w:val="x-none" w:eastAsia="x-none"/>
        </w:rPr>
        <w:t xml:space="preserve"> Cunene and Cubango watersheds are transboundary hydro basins </w:t>
      </w:r>
      <w:r>
        <w:rPr>
          <w:rFonts w:asciiTheme="minorHAnsi" w:hAnsiTheme="minorHAnsi" w:cstheme="minorHAnsi"/>
          <w:sz w:val="15"/>
          <w:szCs w:val="15"/>
          <w:lang w:eastAsia="x-none"/>
        </w:rPr>
        <w:t>of</w:t>
      </w:r>
      <w:r w:rsidRPr="00796C42">
        <w:rPr>
          <w:rFonts w:asciiTheme="minorHAnsi" w:hAnsiTheme="minorHAnsi" w:cstheme="minorHAnsi"/>
          <w:sz w:val="15"/>
          <w:szCs w:val="15"/>
          <w:lang w:val="x-none" w:eastAsia="x-none"/>
        </w:rPr>
        <w:t xml:space="preserve"> extreme importance </w:t>
      </w:r>
      <w:r>
        <w:rPr>
          <w:rFonts w:asciiTheme="minorHAnsi" w:hAnsiTheme="minorHAnsi" w:cstheme="minorHAnsi"/>
          <w:sz w:val="15"/>
          <w:szCs w:val="15"/>
          <w:lang w:eastAsia="x-none"/>
        </w:rPr>
        <w:t>for</w:t>
      </w:r>
      <w:r w:rsidRPr="00796C42">
        <w:rPr>
          <w:rFonts w:asciiTheme="minorHAnsi" w:hAnsiTheme="minorHAnsi" w:cstheme="minorHAnsi"/>
          <w:sz w:val="15"/>
          <w:szCs w:val="15"/>
          <w:lang w:val="x-none" w:eastAsia="x-none"/>
        </w:rPr>
        <w:t xml:space="preserve"> </w:t>
      </w:r>
      <w:r>
        <w:rPr>
          <w:rFonts w:asciiTheme="minorHAnsi" w:hAnsiTheme="minorHAnsi" w:cstheme="minorHAnsi"/>
          <w:sz w:val="15"/>
          <w:szCs w:val="15"/>
          <w:lang w:eastAsia="x-none"/>
        </w:rPr>
        <w:t xml:space="preserve">maintaining </w:t>
      </w:r>
      <w:r w:rsidRPr="00796C42">
        <w:rPr>
          <w:rFonts w:asciiTheme="minorHAnsi" w:hAnsiTheme="minorHAnsi" w:cstheme="minorHAnsi"/>
          <w:sz w:val="15"/>
          <w:szCs w:val="15"/>
          <w:lang w:val="x-none" w:eastAsia="x-none"/>
        </w:rPr>
        <w:t>Miombo/Mopane ecosystem functions  and</w:t>
      </w:r>
      <w:r>
        <w:rPr>
          <w:rFonts w:asciiTheme="minorHAnsi" w:hAnsiTheme="minorHAnsi" w:cstheme="minorHAnsi"/>
          <w:sz w:val="15"/>
          <w:szCs w:val="15"/>
          <w:lang w:eastAsia="x-none"/>
        </w:rPr>
        <w:t xml:space="preserve"> local</w:t>
      </w:r>
      <w:r w:rsidRPr="00796C42">
        <w:rPr>
          <w:rFonts w:asciiTheme="minorHAnsi" w:hAnsiTheme="minorHAnsi" w:cstheme="minorHAnsi"/>
          <w:sz w:val="15"/>
          <w:szCs w:val="15"/>
          <w:lang w:val="x-none" w:eastAsia="x-none"/>
        </w:rPr>
        <w:t> livelihoods</w:t>
      </w:r>
      <w:r>
        <w:rPr>
          <w:rFonts w:asciiTheme="minorHAnsi" w:hAnsiTheme="minorHAnsi" w:cstheme="minorHAnsi"/>
          <w:sz w:val="15"/>
          <w:szCs w:val="15"/>
          <w:lang w:eastAsia="x-none"/>
        </w:rPr>
        <w:t>.</w:t>
      </w:r>
      <w:r w:rsidRPr="00796C42">
        <w:rPr>
          <w:rFonts w:asciiTheme="minorHAnsi" w:hAnsiTheme="minorHAnsi" w:cstheme="minorHAnsi"/>
          <w:sz w:val="15"/>
          <w:szCs w:val="15"/>
          <w:lang w:val="x-none" w:eastAsia="x-none"/>
        </w:rPr>
        <w:t xml:space="preserve"> </w:t>
      </w:r>
    </w:p>
  </w:footnote>
  <w:footnote w:id="69">
    <w:p w14:paraId="14E9312D" w14:textId="77777777" w:rsidR="004D2871" w:rsidRPr="00E83A36" w:rsidRDefault="004D2871" w:rsidP="00FF5C2A">
      <w:pPr>
        <w:pStyle w:val="FootnoteText"/>
        <w:ind w:left="0"/>
        <w:rPr>
          <w:rFonts w:asciiTheme="minorHAnsi" w:hAnsiTheme="minorHAnsi" w:cstheme="minorHAnsi"/>
          <w:sz w:val="15"/>
          <w:szCs w:val="15"/>
        </w:rPr>
      </w:pPr>
      <w:r w:rsidRPr="00E83A36">
        <w:rPr>
          <w:rStyle w:val="FootnoteReference"/>
          <w:rFonts w:asciiTheme="minorHAnsi" w:hAnsiTheme="minorHAnsi" w:cstheme="minorHAnsi"/>
          <w:sz w:val="15"/>
          <w:szCs w:val="15"/>
        </w:rPr>
        <w:footnoteRef/>
      </w:r>
      <w:r w:rsidRPr="00E83A36">
        <w:rPr>
          <w:rFonts w:asciiTheme="minorHAnsi" w:hAnsiTheme="minorHAnsi" w:cstheme="minorHAnsi"/>
          <w:sz w:val="15"/>
          <w:szCs w:val="15"/>
        </w:rPr>
        <w:t xml:space="preserve"> Land Degradation Assessment in Dryland Areas (LADA) – World Overview of Conservation Approaches and Technologies (WOCAT). LADA-WOCAT tools </w:t>
      </w:r>
      <w:r>
        <w:rPr>
          <w:rFonts w:asciiTheme="minorHAnsi" w:hAnsiTheme="minorHAnsi" w:cstheme="minorHAnsi"/>
          <w:sz w:val="15"/>
          <w:szCs w:val="15"/>
          <w:lang w:val="en-GB"/>
        </w:rPr>
        <w:t>were</w:t>
      </w:r>
      <w:r w:rsidRPr="00E83A36">
        <w:rPr>
          <w:rFonts w:asciiTheme="minorHAnsi" w:hAnsiTheme="minorHAnsi" w:cstheme="minorHAnsi"/>
          <w:sz w:val="15"/>
          <w:szCs w:val="15"/>
        </w:rPr>
        <w:t xml:space="preserve"> used to assess land use/land degradation, as well as current management responses, </w:t>
      </w:r>
      <w:r>
        <w:rPr>
          <w:rFonts w:asciiTheme="minorHAnsi" w:hAnsiTheme="minorHAnsi" w:cstheme="minorHAnsi"/>
          <w:sz w:val="15"/>
          <w:szCs w:val="15"/>
          <w:lang w:val="en-GB"/>
        </w:rPr>
        <w:t>using</w:t>
      </w:r>
      <w:r w:rsidRPr="00E83A36">
        <w:rPr>
          <w:rFonts w:asciiTheme="minorHAnsi" w:hAnsiTheme="minorHAnsi" w:cstheme="minorHAnsi"/>
          <w:sz w:val="15"/>
          <w:szCs w:val="15"/>
        </w:rPr>
        <w:t xml:space="preserve"> an integrated biophysical and socioeconomic approach. They build on nationally available data such as climate, land cover/land use, soil data, natural resources, etc.</w:t>
      </w:r>
    </w:p>
  </w:footnote>
  <w:footnote w:id="70">
    <w:p w14:paraId="39D38215" w14:textId="3CCC4E36" w:rsidR="004D2871" w:rsidRPr="00C92C38" w:rsidRDefault="004D2871" w:rsidP="004775BA">
      <w:pPr>
        <w:pStyle w:val="FootnoteText"/>
        <w:ind w:left="0"/>
        <w:rPr>
          <w:lang w:val="en-GB"/>
        </w:rPr>
      </w:pPr>
      <w:r>
        <w:rPr>
          <w:rStyle w:val="FootnoteReference"/>
        </w:rPr>
        <w:footnoteRef/>
      </w:r>
      <w:r>
        <w:t xml:space="preserve"> </w:t>
      </w:r>
      <w:r w:rsidRPr="00B9006A">
        <w:rPr>
          <w:rFonts w:asciiTheme="minorHAnsi" w:hAnsiTheme="minorHAnsi" w:cstheme="minorHAnsi"/>
          <w:sz w:val="15"/>
          <w:szCs w:val="15"/>
        </w:rPr>
        <w:t>The total area of these 18 LMUs is 693,978 ha as in the legend of Figures 11-12 but three of the LMUs are nested within others, hence the  actual area is 633,278 ha. Refer to polygons in Annex E.for further details.</w:t>
      </w:r>
    </w:p>
  </w:footnote>
  <w:footnote w:id="71">
    <w:p w14:paraId="45E284ED" w14:textId="218D6B43" w:rsidR="00902A50" w:rsidRPr="00902A50" w:rsidRDefault="00902A50">
      <w:pPr>
        <w:pStyle w:val="FootnoteText"/>
      </w:pPr>
      <w:r>
        <w:rPr>
          <w:rStyle w:val="FootnoteReference"/>
        </w:rPr>
        <w:footnoteRef/>
      </w:r>
      <w:r>
        <w:t xml:space="preserve"> </w:t>
      </w:r>
      <w:hyperlink r:id="rId13" w:anchor="viewer.action=download" w:history="1">
        <w:r w:rsidR="001424A9">
          <w:rPr>
            <w:rStyle w:val="Hyperlink"/>
          </w:rPr>
          <w:t>FSC Principles and Criteria for Forest Stewardship</w:t>
        </w:r>
      </w:hyperlink>
    </w:p>
  </w:footnote>
  <w:footnote w:id="72">
    <w:p w14:paraId="5DE78EB1" w14:textId="77777777" w:rsidR="004D2871" w:rsidRPr="00E83A36" w:rsidRDefault="004D2871" w:rsidP="00AE3C87">
      <w:pPr>
        <w:pStyle w:val="FootnoteText"/>
        <w:ind w:left="0"/>
        <w:rPr>
          <w:rStyle w:val="Hyperlink"/>
          <w:rFonts w:asciiTheme="minorHAnsi" w:eastAsia="SimSun" w:hAnsiTheme="minorHAnsi" w:cstheme="minorHAnsi"/>
          <w:sz w:val="15"/>
          <w:szCs w:val="15"/>
        </w:rPr>
      </w:pPr>
      <w:r w:rsidRPr="00E83A36">
        <w:rPr>
          <w:rStyle w:val="FootnoteReference"/>
          <w:rFonts w:asciiTheme="minorHAnsi" w:hAnsiTheme="minorHAnsi" w:cstheme="minorHAnsi"/>
          <w:sz w:val="15"/>
          <w:szCs w:val="15"/>
        </w:rPr>
        <w:footnoteRef/>
      </w:r>
      <w:r w:rsidRPr="00E83A36">
        <w:rPr>
          <w:rFonts w:asciiTheme="minorHAnsi" w:hAnsiTheme="minorHAnsi" w:cstheme="minorHAnsi"/>
          <w:sz w:val="15"/>
          <w:szCs w:val="15"/>
        </w:rPr>
        <w:t xml:space="preserve"> </w:t>
      </w:r>
      <w:r>
        <w:rPr>
          <w:rFonts w:asciiTheme="minorHAnsi" w:hAnsiTheme="minorHAnsi" w:cstheme="minorHAnsi"/>
          <w:sz w:val="15"/>
          <w:szCs w:val="15"/>
          <w:lang w:val="en-GB"/>
        </w:rPr>
        <w:t>In other words:</w:t>
      </w:r>
      <w:r w:rsidRPr="00E83A36">
        <w:rPr>
          <w:rFonts w:asciiTheme="minorHAnsi" w:eastAsia="Calibri" w:hAnsiTheme="minorHAnsi" w:cstheme="minorHAnsi"/>
          <w:sz w:val="15"/>
          <w:szCs w:val="15"/>
        </w:rPr>
        <w:t xml:space="preserve"> ICRAF’s sustainable intensification case studies </w:t>
      </w:r>
      <w:r w:rsidRPr="00E83A36">
        <w:rPr>
          <w:rFonts w:asciiTheme="minorHAnsi" w:hAnsiTheme="minorHAnsi" w:cstheme="minorHAnsi"/>
          <w:sz w:val="15"/>
          <w:szCs w:val="15"/>
        </w:rPr>
        <w:fldChar w:fldCharType="begin"/>
      </w:r>
      <w:r w:rsidRPr="00E83A36">
        <w:rPr>
          <w:rFonts w:ascii="Arial" w:hAnsi="Arial" w:cs="Arial"/>
          <w:sz w:val="15"/>
          <w:szCs w:val="15"/>
        </w:rPr>
        <w:instrText>￼￼</w:instrText>
      </w:r>
      <w:r w:rsidRPr="00E83A36">
        <w:rPr>
          <w:rStyle w:val="Hyperlink"/>
          <w:rFonts w:asciiTheme="minorHAnsi" w:eastAsia="Calibri" w:hAnsiTheme="minorHAnsi" w:cstheme="minorHAnsi"/>
          <w:sz w:val="15"/>
          <w:szCs w:val="15"/>
        </w:rPr>
        <w:instrText>http://apps.worldagroforestry.org/news/case-studies-show-results-sustainable-intensification</w:instrText>
      </w:r>
      <w:r w:rsidRPr="00E83A36">
        <w:rPr>
          <w:rFonts w:asciiTheme="minorHAnsi" w:hAnsiTheme="minorHAnsi" w:cstheme="minorHAnsi"/>
          <w:sz w:val="15"/>
          <w:szCs w:val="15"/>
        </w:rPr>
        <w:fldChar w:fldCharType="end"/>
      </w:r>
      <w:r w:rsidRPr="00E83A36">
        <w:rPr>
          <w:rFonts w:asciiTheme="minorHAnsi" w:hAnsiTheme="minorHAnsi" w:cstheme="minorHAnsi"/>
          <w:sz w:val="15"/>
          <w:szCs w:val="15"/>
        </w:rPr>
        <w:t xml:space="preserve">and the codification of numerous Climate Smart Agriculture practices, tailored to countries’ conditions. Such studies have not been carried out for Angola. However, a Climate Risk Assessment on the agricultural sector </w:t>
      </w:r>
      <w:r>
        <w:rPr>
          <w:rFonts w:asciiTheme="minorHAnsi" w:hAnsiTheme="minorHAnsi" w:cstheme="minorHAnsi"/>
          <w:sz w:val="15"/>
          <w:szCs w:val="15"/>
          <w:lang w:val="en-GB"/>
        </w:rPr>
        <w:t>was</w:t>
      </w:r>
      <w:r w:rsidRPr="00E83A36">
        <w:rPr>
          <w:rFonts w:asciiTheme="minorHAnsi" w:hAnsiTheme="minorHAnsi" w:cstheme="minorHAnsi"/>
          <w:sz w:val="15"/>
          <w:szCs w:val="15"/>
        </w:rPr>
        <w:t xml:space="preserve"> carried out by IFAD in 2019 (refer to </w:t>
      </w:r>
      <w:hyperlink w:anchor="_Annex_X-3:_Additional" w:history="1">
        <w:r w:rsidRPr="00E83A36">
          <w:rPr>
            <w:rStyle w:val="Hyperlink"/>
            <w:rFonts w:asciiTheme="minorHAnsi" w:hAnsiTheme="minorHAnsi" w:cstheme="minorHAnsi"/>
            <w:sz w:val="15"/>
            <w:szCs w:val="15"/>
          </w:rPr>
          <w:t>Annex X-3</w:t>
        </w:r>
      </w:hyperlink>
      <w:r w:rsidRPr="00E83A36">
        <w:rPr>
          <w:rFonts w:asciiTheme="minorHAnsi" w:hAnsiTheme="minorHAnsi" w:cstheme="minorHAnsi"/>
          <w:sz w:val="15"/>
          <w:szCs w:val="15"/>
        </w:rPr>
        <w:t xml:space="preserve"> for </w:t>
      </w:r>
      <w:r>
        <w:rPr>
          <w:rFonts w:asciiTheme="minorHAnsi" w:hAnsiTheme="minorHAnsi" w:cstheme="minorHAnsi"/>
          <w:sz w:val="15"/>
          <w:szCs w:val="15"/>
          <w:lang w:val="en-GB"/>
        </w:rPr>
        <w:t>details</w:t>
      </w:r>
      <w:r w:rsidRPr="00E83A36">
        <w:rPr>
          <w:rFonts w:asciiTheme="minorHAnsi" w:hAnsiTheme="minorHAnsi" w:cstheme="minorHAnsi"/>
          <w:sz w:val="15"/>
          <w:szCs w:val="15"/>
        </w:rPr>
        <w:t xml:space="preserve"> and sources). </w:t>
      </w:r>
    </w:p>
  </w:footnote>
  <w:footnote w:id="73">
    <w:p w14:paraId="13C1385B" w14:textId="77777777" w:rsidR="004D2871" w:rsidRPr="0021253B" w:rsidRDefault="004D2871" w:rsidP="0043408B">
      <w:pPr>
        <w:pStyle w:val="FootnoteText"/>
        <w:ind w:left="0"/>
        <w:rPr>
          <w:lang w:val="en-GB"/>
        </w:rPr>
      </w:pPr>
      <w:r>
        <w:rPr>
          <w:rStyle w:val="FootnoteReference"/>
        </w:rPr>
        <w:footnoteRef/>
      </w:r>
      <w:r>
        <w:t xml:space="preserve"> Th</w:t>
      </w:r>
      <w:r>
        <w:rPr>
          <w:lang w:val="en-GB"/>
        </w:rPr>
        <w:t xml:space="preserve">is preliminary study </w:t>
      </w:r>
      <w:r>
        <w:t>undertaken during the PPG reflect</w:t>
      </w:r>
      <w:r>
        <w:rPr>
          <w:lang w:val="en-GB"/>
        </w:rPr>
        <w:t>s</w:t>
      </w:r>
      <w:r>
        <w:t xml:space="preserve"> the project’s focus on </w:t>
      </w:r>
      <w:r w:rsidRPr="00B0681F">
        <w:t>developing national capacity in</w:t>
      </w:r>
      <w:r>
        <w:t>:</w:t>
      </w:r>
      <w:r w:rsidRPr="00B0681F">
        <w:t xml:space="preserve"> (</w:t>
      </w:r>
      <w:r w:rsidRPr="003C33B1">
        <w:t xml:space="preserve">i) </w:t>
      </w:r>
      <w:r>
        <w:rPr>
          <w:lang w:val="en-GB"/>
        </w:rPr>
        <w:t>a</w:t>
      </w:r>
      <w:r w:rsidRPr="003C33B1">
        <w:t xml:space="preserve">groecological </w:t>
      </w:r>
      <w:r>
        <w:rPr>
          <w:lang w:val="en-GB"/>
        </w:rPr>
        <w:t>z</w:t>
      </w:r>
      <w:r w:rsidRPr="003C33B1">
        <w:t>oning</w:t>
      </w:r>
      <w:r>
        <w:rPr>
          <w:lang w:val="en-GB"/>
        </w:rPr>
        <w:t>,</w:t>
      </w:r>
      <w:r w:rsidRPr="003C33B1">
        <w:t xml:space="preserve"> (</w:t>
      </w:r>
      <w:r>
        <w:t>ii</w:t>
      </w:r>
      <w:r w:rsidRPr="003C33B1">
        <w:t xml:space="preserve">) </w:t>
      </w:r>
      <w:r>
        <w:rPr>
          <w:lang w:val="en-GB"/>
        </w:rPr>
        <w:t>s</w:t>
      </w:r>
      <w:r w:rsidRPr="003C33B1">
        <w:t xml:space="preserve">ustainable </w:t>
      </w:r>
      <w:r>
        <w:rPr>
          <w:lang w:val="en-GB"/>
        </w:rPr>
        <w:t>l</w:t>
      </w:r>
      <w:r w:rsidRPr="003C33B1">
        <w:t xml:space="preserve">and </w:t>
      </w:r>
      <w:r>
        <w:rPr>
          <w:lang w:val="en-GB"/>
        </w:rPr>
        <w:t>m</w:t>
      </w:r>
      <w:r w:rsidRPr="003C33B1">
        <w:t>anagement and (</w:t>
      </w:r>
      <w:r>
        <w:rPr>
          <w:lang w:val="en-GB"/>
        </w:rPr>
        <w:t>iii</w:t>
      </w:r>
      <w:r w:rsidRPr="003C33B1">
        <w:t>) financial mechanisms for supporting SLM</w:t>
      </w:r>
      <w:r>
        <w:t>.</w:t>
      </w:r>
      <w:r w:rsidRPr="003C33B1" w:rsidDel="005732F5">
        <w:t xml:space="preserve"> </w:t>
      </w:r>
      <w:r>
        <w:t xml:space="preserve">Emphasis </w:t>
      </w:r>
      <w:r>
        <w:rPr>
          <w:lang w:val="en-GB"/>
        </w:rPr>
        <w:t xml:space="preserve">for capacity building </w:t>
      </w:r>
      <w:r>
        <w:t xml:space="preserve">was placed on the enabling environment, organizations and individuals. The assessment </w:t>
      </w:r>
      <w:r>
        <w:rPr>
          <w:lang w:val="en-GB"/>
        </w:rPr>
        <w:t>provides some useful information on other ongoing capacity development work, such as setting up and training a GIS unit in the Faculty of Agrarian Science (FCA) by Wageningen</w:t>
      </w:r>
      <w:r w:rsidRPr="003F7AC6">
        <w:rPr>
          <w:lang w:val="en-GB"/>
        </w:rPr>
        <w:t xml:space="preserve"> </w:t>
      </w:r>
      <w:r>
        <w:rPr>
          <w:lang w:val="en-GB"/>
        </w:rPr>
        <w:t>University, promoting and training municipalities and farmers in SLM and the National Environment Fund as a potential funding source (US$ 260,000 budget in 2018).</w:t>
      </w:r>
      <w:r>
        <w:t xml:space="preserve"> </w:t>
      </w:r>
      <w:r>
        <w:rPr>
          <w:lang w:val="en-GB"/>
        </w:rPr>
        <w:t xml:space="preserve">For further details refer to </w:t>
      </w:r>
      <w:r w:rsidRPr="003B02F4">
        <w:rPr>
          <w:b/>
          <w:bCs/>
          <w:lang w:val="en-GB"/>
        </w:rPr>
        <w:t>Additional Annex W</w:t>
      </w:r>
      <w:r w:rsidRPr="0021253B">
        <w:rPr>
          <w:lang w:val="en-GB"/>
        </w:rPr>
        <w:t>:</w:t>
      </w:r>
      <w:r w:rsidRPr="0021253B">
        <w:rPr>
          <w:i/>
          <w:iCs/>
          <w:lang w:val="en-GB"/>
        </w:rPr>
        <w:t xml:space="preserve"> Capacity Needs Assessment</w:t>
      </w:r>
      <w:r>
        <w:rPr>
          <w:lang w:val="en-GB"/>
        </w:rPr>
        <w:t>.</w:t>
      </w:r>
    </w:p>
  </w:footnote>
  <w:footnote w:id="74">
    <w:p w14:paraId="357EDB27" w14:textId="5CE3E566" w:rsidR="004D2871" w:rsidRPr="00C443B1" w:rsidRDefault="004D2871" w:rsidP="00C443B1">
      <w:pPr>
        <w:pStyle w:val="FootnoteText"/>
        <w:ind w:left="0"/>
        <w:rPr>
          <w:lang w:val="en-GB"/>
        </w:rPr>
      </w:pPr>
      <w:r>
        <w:rPr>
          <w:rStyle w:val="FootnoteReference"/>
        </w:rPr>
        <w:footnoteRef/>
      </w:r>
      <w:r>
        <w:t xml:space="preserve"> </w:t>
      </w:r>
      <w:r>
        <w:rPr>
          <w:lang w:val="en-GB"/>
        </w:rPr>
        <w:t xml:space="preserve">It is anticpated that such training will enable the </w:t>
      </w:r>
      <w:r w:rsidRPr="008176BC">
        <w:t xml:space="preserve">LDN </w:t>
      </w:r>
      <w:r>
        <w:rPr>
          <w:lang w:val="en-GB"/>
        </w:rPr>
        <w:t xml:space="preserve">Task Force </w:t>
      </w:r>
      <w:r w:rsidRPr="008176BC">
        <w:t xml:space="preserve">Committee to </w:t>
      </w:r>
      <w:r>
        <w:rPr>
          <w:lang w:val="en-GB"/>
        </w:rPr>
        <w:t xml:space="preserve">report to government on the </w:t>
      </w:r>
      <w:r w:rsidRPr="008176BC">
        <w:t xml:space="preserve">LDN </w:t>
      </w:r>
      <w:r>
        <w:rPr>
          <w:lang w:val="en-GB"/>
        </w:rPr>
        <w:t xml:space="preserve">status of the </w:t>
      </w:r>
      <w:r w:rsidRPr="008176BC">
        <w:t>entire country</w:t>
      </w:r>
      <w:r>
        <w:rPr>
          <w:lang w:val="en-GB"/>
        </w:rPr>
        <w:t>, having been trained to</w:t>
      </w:r>
      <w:r w:rsidRPr="008176BC">
        <w:t xml:space="preserve"> us</w:t>
      </w:r>
      <w:r>
        <w:rPr>
          <w:lang w:val="en-GB"/>
        </w:rPr>
        <w:t>e</w:t>
      </w:r>
      <w:r w:rsidRPr="008176BC">
        <w:t xml:space="preserve"> </w:t>
      </w:r>
      <w:r>
        <w:rPr>
          <w:lang w:val="en-GB"/>
        </w:rPr>
        <w:t xml:space="preserve">the relevant tools, such as </w:t>
      </w:r>
      <w:r w:rsidRPr="008176BC">
        <w:t>TrendEarth/QGIS (for NDVI)</w:t>
      </w:r>
      <w:r>
        <w:rPr>
          <w:lang w:val="en-GB"/>
        </w:rPr>
        <w:t>;</w:t>
      </w:r>
      <w:r w:rsidRPr="008176BC">
        <w:t xml:space="preserve"> </w:t>
      </w:r>
      <w:r>
        <w:rPr>
          <w:lang w:val="en-GB"/>
        </w:rPr>
        <w:t>l</w:t>
      </w:r>
      <w:r w:rsidRPr="008176BC">
        <w:t>ocal</w:t>
      </w:r>
      <w:r>
        <w:rPr>
          <w:lang w:val="en-GB"/>
        </w:rPr>
        <w:t>ly</w:t>
      </w:r>
      <w:r w:rsidRPr="008176BC">
        <w:t xml:space="preserve"> developed R codes for Soil </w:t>
      </w:r>
      <w:r>
        <w:rPr>
          <w:lang w:val="en-GB"/>
        </w:rPr>
        <w:t>O</w:t>
      </w:r>
      <w:r w:rsidRPr="008176BC">
        <w:t xml:space="preserve">rganic Carbon </w:t>
      </w:r>
      <w:r>
        <w:rPr>
          <w:lang w:val="en-GB"/>
        </w:rPr>
        <w:t>and</w:t>
      </w:r>
      <w:r w:rsidRPr="008176BC">
        <w:t xml:space="preserve"> </w:t>
      </w:r>
      <w:r>
        <w:rPr>
          <w:lang w:val="en-GB"/>
        </w:rPr>
        <w:t>l</w:t>
      </w:r>
      <w:r w:rsidRPr="008176BC">
        <w:t xml:space="preserve">and cover change; Collect Earth software; </w:t>
      </w:r>
      <w:r>
        <w:rPr>
          <w:lang w:val="en-GB"/>
        </w:rPr>
        <w:t xml:space="preserve">and </w:t>
      </w:r>
      <w:r w:rsidRPr="008176BC">
        <w:t>Google Earth</w:t>
      </w:r>
      <w:r>
        <w:rPr>
          <w:lang w:val="en-GB"/>
        </w:rPr>
        <w:t>.</w:t>
      </w:r>
    </w:p>
  </w:footnote>
  <w:footnote w:id="75">
    <w:p w14:paraId="60A6514E" w14:textId="3F2744DF" w:rsidR="004D2871" w:rsidRPr="00E83A36" w:rsidRDefault="004D2871" w:rsidP="007061BD">
      <w:pPr>
        <w:pStyle w:val="FootnoteText"/>
        <w:ind w:left="0"/>
        <w:rPr>
          <w:rFonts w:asciiTheme="minorHAnsi" w:hAnsiTheme="minorHAnsi" w:cstheme="minorHAnsi"/>
          <w:sz w:val="15"/>
          <w:szCs w:val="15"/>
        </w:rPr>
      </w:pPr>
      <w:r w:rsidRPr="00E83A36">
        <w:rPr>
          <w:rStyle w:val="FootnoteReference"/>
          <w:rFonts w:asciiTheme="minorHAnsi" w:hAnsiTheme="minorHAnsi" w:cstheme="minorHAnsi"/>
          <w:sz w:val="15"/>
          <w:szCs w:val="15"/>
        </w:rPr>
        <w:footnoteRef/>
      </w:r>
      <w:r w:rsidRPr="00E83A36">
        <w:rPr>
          <w:rFonts w:asciiTheme="minorHAnsi" w:hAnsiTheme="minorHAnsi" w:cstheme="minorHAnsi"/>
          <w:sz w:val="15"/>
          <w:szCs w:val="15"/>
        </w:rPr>
        <w:t xml:space="preserve"> Refer to SHARP </w:t>
      </w:r>
      <w:r>
        <w:t>(</w:t>
      </w:r>
      <w:r w:rsidRPr="00455A38">
        <w:rPr>
          <w:rFonts w:cs="Calibri"/>
          <w:color w:val="000000"/>
          <w:sz w:val="18"/>
          <w:szCs w:val="18"/>
          <w:shd w:val="clear" w:color="auto" w:fill="FFFFFF"/>
        </w:rPr>
        <w:t xml:space="preserve">Self-evaluation and holistic assessment of </w:t>
      </w:r>
      <w:r>
        <w:rPr>
          <w:rFonts w:cs="Calibri"/>
          <w:color w:val="000000"/>
          <w:sz w:val="18"/>
          <w:szCs w:val="18"/>
          <w:shd w:val="clear" w:color="auto" w:fill="FFFFFF"/>
        </w:rPr>
        <w:t>c</w:t>
      </w:r>
      <w:r w:rsidRPr="00455A38">
        <w:rPr>
          <w:rFonts w:cs="Calibri"/>
          <w:color w:val="000000"/>
          <w:sz w:val="18"/>
          <w:szCs w:val="18"/>
          <w:shd w:val="clear" w:color="auto" w:fill="FFFFFF"/>
        </w:rPr>
        <w:t>limate resilience of farmers and pastoralists</w:t>
      </w:r>
      <w:r>
        <w:rPr>
          <w:rFonts w:cs="Calibri"/>
          <w:color w:val="000000"/>
          <w:sz w:val="18"/>
          <w:szCs w:val="18"/>
          <w:shd w:val="clear" w:color="auto" w:fill="FFFFFF"/>
        </w:rPr>
        <w:t>)</w:t>
      </w:r>
      <w:r>
        <w:rPr>
          <w:rFonts w:cs="Calibri"/>
          <w:color w:val="000000"/>
          <w:sz w:val="18"/>
          <w:szCs w:val="18"/>
          <w:shd w:val="clear" w:color="auto" w:fill="FFFFFF"/>
          <w:lang w:val="en-GB"/>
        </w:rPr>
        <w:t xml:space="preserve"> </w:t>
      </w:r>
      <w:r w:rsidRPr="00E83A36">
        <w:rPr>
          <w:rFonts w:asciiTheme="minorHAnsi" w:hAnsiTheme="minorHAnsi" w:cstheme="minorHAnsi"/>
          <w:sz w:val="15"/>
          <w:szCs w:val="15"/>
        </w:rPr>
        <w:t xml:space="preserve">results in </w:t>
      </w:r>
      <w:hyperlink w:anchor="_Annex_X-2.3:_Results" w:history="1">
        <w:r w:rsidRPr="00E83A36">
          <w:rPr>
            <w:rStyle w:val="Hyperlink"/>
            <w:rFonts w:asciiTheme="minorHAnsi" w:hAnsiTheme="minorHAnsi" w:cstheme="minorHAnsi"/>
            <w:sz w:val="15"/>
            <w:szCs w:val="15"/>
          </w:rPr>
          <w:t>Annex X-2.4</w:t>
        </w:r>
      </w:hyperlink>
      <w:r w:rsidRPr="00E83A36">
        <w:rPr>
          <w:rFonts w:asciiTheme="minorHAnsi" w:hAnsiTheme="minorHAnsi" w:cstheme="minorHAnsi"/>
          <w:sz w:val="15"/>
          <w:szCs w:val="15"/>
        </w:rPr>
        <w:t>.</w:t>
      </w:r>
    </w:p>
  </w:footnote>
  <w:footnote w:id="76">
    <w:p w14:paraId="678A0B1B" w14:textId="77777777" w:rsidR="004D2871" w:rsidRPr="00E83A36" w:rsidRDefault="004D2871" w:rsidP="007061BD">
      <w:pPr>
        <w:pStyle w:val="FootnoteText"/>
        <w:ind w:left="0"/>
        <w:rPr>
          <w:rFonts w:asciiTheme="minorHAnsi" w:hAnsiTheme="minorHAnsi" w:cstheme="minorHAnsi"/>
          <w:sz w:val="15"/>
          <w:szCs w:val="15"/>
        </w:rPr>
      </w:pPr>
      <w:r w:rsidRPr="00E83A36">
        <w:rPr>
          <w:rStyle w:val="FootnoteReference"/>
          <w:rFonts w:asciiTheme="minorHAnsi" w:hAnsiTheme="minorHAnsi" w:cstheme="minorHAnsi"/>
          <w:sz w:val="15"/>
          <w:szCs w:val="15"/>
        </w:rPr>
        <w:footnoteRef/>
      </w:r>
      <w:r w:rsidRPr="00E83A36">
        <w:rPr>
          <w:rFonts w:asciiTheme="minorHAnsi" w:hAnsiTheme="minorHAnsi" w:cstheme="minorHAnsi"/>
          <w:sz w:val="15"/>
          <w:szCs w:val="15"/>
        </w:rPr>
        <w:t xml:space="preserve"> </w:t>
      </w:r>
      <w:r>
        <w:rPr>
          <w:rFonts w:asciiTheme="minorHAnsi" w:hAnsiTheme="minorHAnsi" w:cstheme="minorHAnsi"/>
          <w:sz w:val="15"/>
          <w:szCs w:val="15"/>
          <w:lang w:val="en-GB"/>
        </w:rPr>
        <w:t>For example, refer to:</w:t>
      </w:r>
      <w:r w:rsidRPr="00E83A36" w:rsidDel="00D9662C">
        <w:rPr>
          <w:rFonts w:asciiTheme="minorHAnsi" w:hAnsiTheme="minorHAnsi" w:cstheme="minorHAnsi"/>
          <w:sz w:val="15"/>
          <w:szCs w:val="15"/>
        </w:rPr>
        <w:t xml:space="preserve"> </w:t>
      </w:r>
      <w:r w:rsidRPr="00E83A36">
        <w:rPr>
          <w:rFonts w:asciiTheme="minorHAnsi" w:hAnsiTheme="minorHAnsi" w:cstheme="minorHAnsi"/>
          <w:sz w:val="15"/>
          <w:szCs w:val="15"/>
        </w:rPr>
        <w:t xml:space="preserve"> </w:t>
      </w:r>
      <w:hyperlink r:id="rId14" w:history="1">
        <w:r w:rsidRPr="00E83A36">
          <w:rPr>
            <w:rStyle w:val="Hyperlink"/>
            <w:rFonts w:asciiTheme="minorHAnsi" w:hAnsiTheme="minorHAnsi" w:cstheme="minorHAnsi"/>
            <w:sz w:val="15"/>
            <w:szCs w:val="15"/>
          </w:rPr>
          <w:t>http://www.fao.org/farmer-field-schools/home/en/</w:t>
        </w:r>
      </w:hyperlink>
      <w:r w:rsidRPr="00E83A36">
        <w:rPr>
          <w:rFonts w:asciiTheme="minorHAnsi" w:hAnsiTheme="minorHAnsi" w:cstheme="minorHAnsi"/>
          <w:sz w:val="15"/>
          <w:szCs w:val="15"/>
        </w:rPr>
        <w:t>, accessed on 01/05/20.</w:t>
      </w:r>
    </w:p>
  </w:footnote>
  <w:footnote w:id="77">
    <w:p w14:paraId="35D8E89F" w14:textId="77777777" w:rsidR="004D2871" w:rsidRPr="00E83A36" w:rsidRDefault="004D2871" w:rsidP="007061BD">
      <w:pPr>
        <w:pStyle w:val="FootnoteText"/>
        <w:ind w:left="0"/>
        <w:rPr>
          <w:rFonts w:asciiTheme="minorHAnsi" w:hAnsiTheme="minorHAnsi" w:cstheme="minorHAnsi"/>
          <w:sz w:val="15"/>
          <w:szCs w:val="15"/>
        </w:rPr>
      </w:pPr>
      <w:r w:rsidRPr="00E83A36">
        <w:rPr>
          <w:rStyle w:val="FootnoteReference"/>
          <w:rFonts w:asciiTheme="minorHAnsi" w:hAnsiTheme="minorHAnsi" w:cstheme="minorHAnsi"/>
          <w:sz w:val="15"/>
          <w:szCs w:val="15"/>
        </w:rPr>
        <w:footnoteRef/>
      </w:r>
      <w:r w:rsidRPr="00E83A36">
        <w:rPr>
          <w:rFonts w:asciiTheme="minorHAnsi" w:hAnsiTheme="minorHAnsi" w:cstheme="minorHAnsi"/>
          <w:sz w:val="15"/>
          <w:szCs w:val="15"/>
        </w:rPr>
        <w:t xml:space="preserve"> </w:t>
      </w:r>
      <w:r>
        <w:rPr>
          <w:rFonts w:asciiTheme="minorHAnsi" w:hAnsiTheme="minorHAnsi" w:cstheme="minorHAnsi"/>
          <w:sz w:val="15"/>
          <w:szCs w:val="15"/>
          <w:lang w:val="en-GB"/>
        </w:rPr>
        <w:t>For example, refer to:</w:t>
      </w:r>
      <w:r w:rsidRPr="00E83A36" w:rsidDel="00D9662C">
        <w:rPr>
          <w:rFonts w:asciiTheme="minorHAnsi" w:hAnsiTheme="minorHAnsi" w:cstheme="minorHAnsi"/>
          <w:sz w:val="15"/>
          <w:szCs w:val="15"/>
        </w:rPr>
        <w:t xml:space="preserve"> </w:t>
      </w:r>
      <w:r w:rsidRPr="00E83A36">
        <w:rPr>
          <w:rFonts w:asciiTheme="minorHAnsi" w:hAnsiTheme="minorHAnsi" w:cstheme="minorHAnsi"/>
          <w:sz w:val="15"/>
          <w:szCs w:val="15"/>
        </w:rPr>
        <w:t xml:space="preserve"> </w:t>
      </w:r>
      <w:hyperlink r:id="rId15" w:history="1">
        <w:r w:rsidRPr="00E83A36">
          <w:rPr>
            <w:rStyle w:val="Hyperlink"/>
            <w:rFonts w:asciiTheme="minorHAnsi" w:hAnsiTheme="minorHAnsi" w:cstheme="minorHAnsi"/>
            <w:sz w:val="15"/>
            <w:szCs w:val="15"/>
          </w:rPr>
          <w:t>http://www.fao.org/forest-farm-facility/en/</w:t>
        </w:r>
      </w:hyperlink>
      <w:r w:rsidRPr="00E83A36">
        <w:rPr>
          <w:rFonts w:asciiTheme="minorHAnsi" w:hAnsiTheme="minorHAnsi" w:cstheme="minorHAnsi"/>
          <w:sz w:val="15"/>
          <w:szCs w:val="15"/>
        </w:rPr>
        <w:t>, accessed on 01/05/20.</w:t>
      </w:r>
    </w:p>
  </w:footnote>
  <w:footnote w:id="78">
    <w:p w14:paraId="6A4FE50A" w14:textId="21FE69D7" w:rsidR="004D2871" w:rsidRPr="00A450F1" w:rsidRDefault="004D2871" w:rsidP="007061BD">
      <w:pPr>
        <w:pStyle w:val="FootnoteText"/>
        <w:ind w:left="0"/>
        <w:rPr>
          <w:rFonts w:asciiTheme="minorHAnsi" w:hAnsiTheme="minorHAnsi" w:cstheme="minorHAnsi"/>
          <w:sz w:val="15"/>
          <w:szCs w:val="15"/>
          <w:lang w:val="en-GB"/>
        </w:rPr>
      </w:pPr>
      <w:r>
        <w:rPr>
          <w:rStyle w:val="FootnoteReference"/>
        </w:rPr>
        <w:footnoteRef/>
      </w:r>
      <w:r>
        <w:t xml:space="preserve"> </w:t>
      </w:r>
      <w:r>
        <w:rPr>
          <w:rFonts w:asciiTheme="minorHAnsi" w:hAnsiTheme="minorHAnsi" w:cstheme="minorHAnsi"/>
          <w:sz w:val="15"/>
          <w:szCs w:val="15"/>
          <w:lang w:val="en-GB"/>
        </w:rPr>
        <w:t>For example, refer to</w:t>
      </w:r>
      <w:r w:rsidRPr="00A450F1">
        <w:t xml:space="preserve"> </w:t>
      </w:r>
      <w:hyperlink r:id="rId16" w:history="1">
        <w:r w:rsidRPr="00B372A0">
          <w:rPr>
            <w:rStyle w:val="Hyperlink"/>
            <w:rFonts w:asciiTheme="minorHAnsi" w:hAnsiTheme="minorHAnsi" w:cstheme="minorHAnsi"/>
            <w:sz w:val="15"/>
            <w:szCs w:val="15"/>
            <w:lang w:val="en-GB"/>
          </w:rPr>
          <w:t>http://www.fao.org/3/a-i3987e.pdf</w:t>
        </w:r>
      </w:hyperlink>
      <w:r>
        <w:rPr>
          <w:rFonts w:asciiTheme="minorHAnsi" w:hAnsiTheme="minorHAnsi" w:cstheme="minorHAnsi"/>
          <w:sz w:val="15"/>
          <w:szCs w:val="15"/>
          <w:lang w:val="en-GB"/>
        </w:rPr>
        <w:t xml:space="preserve"> </w:t>
      </w:r>
    </w:p>
  </w:footnote>
  <w:footnote w:id="79">
    <w:p w14:paraId="63322DBD" w14:textId="6C465EF7" w:rsidR="004D2871" w:rsidRDefault="004D2871">
      <w:r>
        <w:footnoteRef/>
      </w:r>
      <w:r>
        <w:t xml:space="preserve"> http://www.fao.org/3/i2137e/i2137e00.htm</w:t>
      </w:r>
    </w:p>
  </w:footnote>
  <w:footnote w:id="80">
    <w:p w14:paraId="7CDB85EE" w14:textId="58E09A44" w:rsidR="004D2871" w:rsidRPr="00D54CC9" w:rsidRDefault="004D2871" w:rsidP="00D54CC9">
      <w:pPr>
        <w:pStyle w:val="FootnoteText"/>
        <w:ind w:left="0"/>
        <w:rPr>
          <w:rFonts w:asciiTheme="minorHAnsi" w:hAnsiTheme="minorHAnsi" w:cstheme="minorHAnsi"/>
          <w:sz w:val="15"/>
          <w:szCs w:val="15"/>
          <w:lang w:val="en-GB"/>
        </w:rPr>
      </w:pPr>
      <w:r w:rsidRPr="00E83A36">
        <w:rPr>
          <w:rStyle w:val="FootnoteReference"/>
          <w:rFonts w:asciiTheme="minorHAnsi" w:hAnsiTheme="minorHAnsi" w:cstheme="minorHAnsi"/>
          <w:sz w:val="15"/>
          <w:szCs w:val="15"/>
        </w:rPr>
        <w:footnoteRef/>
      </w:r>
      <w:r w:rsidRPr="00E83A36">
        <w:rPr>
          <w:rFonts w:asciiTheme="minorHAnsi" w:hAnsiTheme="minorHAnsi" w:cstheme="minorHAnsi"/>
          <w:sz w:val="15"/>
          <w:szCs w:val="15"/>
        </w:rPr>
        <w:t xml:space="preserve"> The content is </w:t>
      </w:r>
      <w:r>
        <w:rPr>
          <w:rFonts w:asciiTheme="minorHAnsi" w:hAnsiTheme="minorHAnsi" w:cstheme="minorHAnsi"/>
          <w:sz w:val="15"/>
          <w:szCs w:val="15"/>
          <w:lang w:val="en-GB"/>
        </w:rPr>
        <w:t xml:space="preserve">taken and adapted </w:t>
      </w:r>
      <w:r w:rsidRPr="00E83A36">
        <w:rPr>
          <w:rFonts w:asciiTheme="minorHAnsi" w:hAnsiTheme="minorHAnsi" w:cstheme="minorHAnsi"/>
          <w:sz w:val="15"/>
          <w:szCs w:val="15"/>
        </w:rPr>
        <w:t xml:space="preserve">from </w:t>
      </w:r>
      <w:r w:rsidRPr="00140C1B">
        <w:rPr>
          <w:rFonts w:asciiTheme="minorHAnsi" w:hAnsiTheme="minorHAnsi" w:cstheme="minorHAnsi"/>
          <w:sz w:val="15"/>
          <w:szCs w:val="15"/>
        </w:rPr>
        <w:t>the CSB Review and Technical Assistance Package, CBD Result 2</w:t>
      </w:r>
      <w:r w:rsidRPr="00E83A36">
        <w:rPr>
          <w:rFonts w:asciiTheme="minorHAnsi" w:hAnsiTheme="minorHAnsi" w:cstheme="minorHAnsi"/>
          <w:sz w:val="15"/>
          <w:szCs w:val="15"/>
        </w:rPr>
        <w:t>.1, Activities</w:t>
      </w:r>
      <w:r>
        <w:rPr>
          <w:rFonts w:asciiTheme="minorHAnsi" w:hAnsiTheme="minorHAnsi" w:cstheme="minorHAnsi"/>
          <w:sz w:val="15"/>
          <w:szCs w:val="15"/>
          <w:lang w:val="en-GB"/>
        </w:rPr>
        <w:t>.</w:t>
      </w:r>
    </w:p>
  </w:footnote>
  <w:footnote w:id="81">
    <w:p w14:paraId="36E9B867" w14:textId="77777777" w:rsidR="004D2871" w:rsidRPr="00E83A36" w:rsidRDefault="004D2871" w:rsidP="009563B4">
      <w:pPr>
        <w:pStyle w:val="FootnoteText"/>
        <w:ind w:left="0"/>
        <w:rPr>
          <w:rFonts w:asciiTheme="minorHAnsi" w:hAnsiTheme="minorHAnsi" w:cstheme="minorHAnsi"/>
          <w:sz w:val="15"/>
          <w:szCs w:val="15"/>
        </w:rPr>
      </w:pPr>
      <w:r w:rsidRPr="00E83A36">
        <w:rPr>
          <w:rStyle w:val="FootnoteReference"/>
          <w:rFonts w:asciiTheme="minorHAnsi" w:hAnsiTheme="minorHAnsi" w:cstheme="minorHAnsi"/>
          <w:sz w:val="15"/>
          <w:szCs w:val="15"/>
        </w:rPr>
        <w:footnoteRef/>
      </w:r>
      <w:r w:rsidRPr="00E83A36">
        <w:rPr>
          <w:rFonts w:asciiTheme="minorHAnsi" w:hAnsiTheme="minorHAnsi" w:cstheme="minorHAnsi"/>
          <w:sz w:val="15"/>
          <w:szCs w:val="15"/>
        </w:rPr>
        <w:t xml:space="preserve"> Under the Division AGPMG and the International Plant Treaty.</w:t>
      </w:r>
    </w:p>
  </w:footnote>
  <w:footnote w:id="82">
    <w:p w14:paraId="3BF2CA70" w14:textId="77777777" w:rsidR="004D2871" w:rsidRPr="00E94A18" w:rsidRDefault="004D2871" w:rsidP="00982553">
      <w:pPr>
        <w:pStyle w:val="FootnoteText"/>
        <w:rPr>
          <w:lang w:val="en-US"/>
        </w:rPr>
      </w:pPr>
      <w:r>
        <w:rPr>
          <w:rStyle w:val="FootnoteReference"/>
        </w:rPr>
        <w:footnoteRef/>
      </w:r>
      <w:r>
        <w:t xml:space="preserve"> </w:t>
      </w:r>
      <w:r w:rsidRPr="00E94A18">
        <w:rPr>
          <w:lang w:val="en-US"/>
        </w:rPr>
        <w:t>PRODESI: Program to Support Production, Diversification of Exports, and Import Substitution</w:t>
      </w:r>
      <w:r>
        <w:rPr>
          <w:lang w:val="en-US"/>
        </w:rPr>
        <w:t xml:space="preserve"> is a Ministry of Economy and Commerce  leaded program. </w:t>
      </w:r>
      <w:r w:rsidRPr="0090174A">
        <w:rPr>
          <w:lang w:val="en-US"/>
        </w:rPr>
        <w:t>https://prodesi.ao/</w:t>
      </w:r>
    </w:p>
  </w:footnote>
  <w:footnote w:id="83">
    <w:p w14:paraId="357A70F4" w14:textId="77777777" w:rsidR="004D2871" w:rsidRPr="00E6597E" w:rsidRDefault="004D2871" w:rsidP="00C93C69">
      <w:pPr>
        <w:pStyle w:val="FootnoteText"/>
        <w:ind w:left="0"/>
        <w:rPr>
          <w:sz w:val="15"/>
          <w:szCs w:val="15"/>
          <w:lang w:val="en-GB"/>
        </w:rPr>
      </w:pPr>
      <w:r w:rsidRPr="00E6597E">
        <w:rPr>
          <w:rStyle w:val="FootnoteReference"/>
          <w:sz w:val="15"/>
          <w:szCs w:val="15"/>
        </w:rPr>
        <w:footnoteRef/>
      </w:r>
      <w:r w:rsidRPr="00E6597E">
        <w:rPr>
          <w:sz w:val="15"/>
          <w:szCs w:val="15"/>
        </w:rPr>
        <w:t xml:space="preserve"> </w:t>
      </w:r>
      <w:r w:rsidRPr="00E6597E">
        <w:rPr>
          <w:sz w:val="15"/>
          <w:szCs w:val="15"/>
          <w:lang w:val="en-GB"/>
        </w:rPr>
        <w:t xml:space="preserve">Another potential product is wax: Angola was one of the best wax-producing countries in Africa until Indepence, when the commercial honey and wax industry collapsed. [Source: </w:t>
      </w:r>
      <w:hyperlink r:id="rId17" w:history="1">
        <w:r w:rsidRPr="00E6597E">
          <w:rPr>
            <w:rStyle w:val="Hyperlink"/>
            <w:sz w:val="15"/>
            <w:szCs w:val="15"/>
            <w:lang w:val="en-GB"/>
          </w:rPr>
          <w:t>http://www.fao.org/3/ae214e/ae214e05.htm</w:t>
        </w:r>
      </w:hyperlink>
      <w:r w:rsidRPr="00E6597E">
        <w:rPr>
          <w:sz w:val="15"/>
          <w:szCs w:val="15"/>
          <w:lang w:val="en-GB"/>
        </w:rPr>
        <w:t xml:space="preserve"> accessed on 6 August 2020]</w:t>
      </w:r>
    </w:p>
  </w:footnote>
  <w:footnote w:id="84">
    <w:p w14:paraId="4031E91C" w14:textId="77777777" w:rsidR="004D2871" w:rsidRPr="00E83A36" w:rsidRDefault="004D2871" w:rsidP="003B6C65">
      <w:pPr>
        <w:pStyle w:val="FootnoteText"/>
        <w:ind w:left="0"/>
        <w:rPr>
          <w:rFonts w:asciiTheme="minorHAnsi" w:hAnsiTheme="minorHAnsi" w:cstheme="minorHAnsi"/>
          <w:sz w:val="15"/>
          <w:szCs w:val="15"/>
          <w:lang w:val="en-US"/>
        </w:rPr>
      </w:pPr>
      <w:r w:rsidRPr="00E83A36">
        <w:rPr>
          <w:rStyle w:val="FootnoteReference"/>
          <w:rFonts w:asciiTheme="minorHAnsi" w:hAnsiTheme="minorHAnsi" w:cstheme="minorHAnsi"/>
          <w:sz w:val="15"/>
          <w:szCs w:val="15"/>
        </w:rPr>
        <w:footnoteRef/>
      </w:r>
      <w:r w:rsidRPr="00E83A36">
        <w:rPr>
          <w:rFonts w:asciiTheme="minorHAnsi" w:hAnsiTheme="minorHAnsi" w:cstheme="minorHAnsi"/>
          <w:sz w:val="15"/>
          <w:szCs w:val="15"/>
        </w:rPr>
        <w:t xml:space="preserve"> </w:t>
      </w:r>
      <w:r w:rsidRPr="00E83A36">
        <w:rPr>
          <w:rFonts w:asciiTheme="minorHAnsi" w:hAnsiTheme="minorHAnsi" w:cstheme="minorHAnsi"/>
          <w:sz w:val="15"/>
          <w:szCs w:val="15"/>
          <w:lang w:val="en-US"/>
        </w:rPr>
        <w:t>Input prepared by VC specialist at FAO Regional</w:t>
      </w:r>
      <w:r>
        <w:rPr>
          <w:rFonts w:asciiTheme="minorHAnsi" w:hAnsiTheme="minorHAnsi" w:cstheme="minorHAnsi"/>
          <w:sz w:val="15"/>
          <w:szCs w:val="15"/>
          <w:lang w:val="en-US"/>
        </w:rPr>
        <w:t xml:space="preserve"> Office</w:t>
      </w:r>
      <w:r w:rsidRPr="00E83A36">
        <w:rPr>
          <w:rFonts w:asciiTheme="minorHAnsi" w:hAnsiTheme="minorHAnsi" w:cstheme="minorHAnsi"/>
          <w:sz w:val="15"/>
          <w:szCs w:val="15"/>
          <w:lang w:val="en-US"/>
        </w:rPr>
        <w:t xml:space="preserve">. </w:t>
      </w:r>
    </w:p>
  </w:footnote>
  <w:footnote w:id="85">
    <w:p w14:paraId="6E707904" w14:textId="77777777" w:rsidR="004D2871" w:rsidRPr="00912B2D" w:rsidRDefault="004D2871" w:rsidP="003550FA">
      <w:pPr>
        <w:rPr>
          <w:rFonts w:cstheme="minorHAnsi"/>
          <w:szCs w:val="16"/>
        </w:rPr>
      </w:pPr>
      <w:r w:rsidRPr="003550FA">
        <w:rPr>
          <w:rStyle w:val="FootnoteReference"/>
          <w:sz w:val="16"/>
          <w:szCs w:val="16"/>
        </w:rPr>
        <w:footnoteRef/>
      </w:r>
      <w:r w:rsidRPr="003550FA">
        <w:rPr>
          <w:sz w:val="16"/>
          <w:szCs w:val="16"/>
        </w:rPr>
        <w:t xml:space="preserve"> </w:t>
      </w:r>
      <w:r w:rsidRPr="003550FA">
        <w:rPr>
          <w:rFonts w:cstheme="minorHAnsi"/>
          <w:sz w:val="16"/>
          <w:szCs w:val="16"/>
        </w:rPr>
        <w:t>Several African countries, including those in the Southern Africa region, embraced the 2017 Bonn Challenge on ecosystem restoration and embarked in different initiatives to address the challenge. The African Forest Landscape Restoration Initiative (</w:t>
      </w:r>
      <w:r w:rsidRPr="003550FA">
        <w:rPr>
          <w:rFonts w:cstheme="minorHAnsi"/>
          <w:b/>
          <w:bCs/>
          <w:sz w:val="16"/>
          <w:szCs w:val="16"/>
        </w:rPr>
        <w:t>AFR100</w:t>
      </w:r>
      <w:r w:rsidRPr="003550FA">
        <w:rPr>
          <w:rFonts w:cstheme="minorHAnsi"/>
          <w:sz w:val="16"/>
          <w:szCs w:val="16"/>
        </w:rPr>
        <w:t xml:space="preserve">) is one of these initiatives, supported by 8 member countries of SADC to restore degraded land. </w:t>
      </w:r>
    </w:p>
  </w:footnote>
  <w:footnote w:id="86">
    <w:p w14:paraId="6BDF6E95" w14:textId="77777777" w:rsidR="004D2871" w:rsidRPr="00474623" w:rsidRDefault="004D2871" w:rsidP="00C9574E">
      <w:pPr>
        <w:pStyle w:val="FootnoteText"/>
        <w:ind w:left="0"/>
      </w:pPr>
      <w:r w:rsidRPr="00474623">
        <w:rPr>
          <w:rStyle w:val="FootnoteReference"/>
        </w:rPr>
        <w:footnoteRef/>
      </w:r>
      <w:r w:rsidRPr="00474623">
        <w:t xml:space="preserve"> Trends.Earth is an online platform that monitors land degradation, using satellite imagery and global data, including basic data for reporting on the three key UNCCD indicators. See http://trends.earth/</w:t>
      </w:r>
    </w:p>
  </w:footnote>
  <w:footnote w:id="87">
    <w:p w14:paraId="206B0642" w14:textId="77777777" w:rsidR="004D2871" w:rsidRPr="00DA6BCE" w:rsidRDefault="004D2871" w:rsidP="00B9677B">
      <w:pPr>
        <w:pStyle w:val="FootnoteText"/>
      </w:pPr>
      <w:r w:rsidRPr="00DA6BCE">
        <w:rPr>
          <w:rStyle w:val="FootnoteReference"/>
        </w:rPr>
        <w:footnoteRef/>
      </w:r>
      <w:r w:rsidRPr="00DA6BCE">
        <w:t xml:space="preserve"> Knowledge generation, distribution and management are fundamental to the </w:t>
      </w:r>
      <w:r>
        <w:t xml:space="preserve">success of the </w:t>
      </w:r>
      <w:r w:rsidRPr="00DA6BCE">
        <w:t>FFS approach.</w:t>
      </w:r>
    </w:p>
  </w:footnote>
  <w:footnote w:id="88">
    <w:p w14:paraId="3B53FF3A" w14:textId="77777777" w:rsidR="004D2871" w:rsidRPr="00755FB2" w:rsidRDefault="004D2871" w:rsidP="00CA180B">
      <w:pPr>
        <w:pStyle w:val="FootnoteText"/>
        <w:ind w:hanging="284"/>
        <w:rPr>
          <w:szCs w:val="16"/>
        </w:rPr>
      </w:pPr>
      <w:r w:rsidRPr="00755FB2">
        <w:rPr>
          <w:rStyle w:val="FootnoteReference"/>
          <w:szCs w:val="16"/>
        </w:rPr>
        <w:footnoteRef/>
      </w:r>
      <w:r w:rsidRPr="00755FB2">
        <w:rPr>
          <w:szCs w:val="16"/>
        </w:rPr>
        <w:t xml:space="preserve"> </w:t>
      </w:r>
      <w:r w:rsidRPr="00755FB2">
        <w:rPr>
          <w:rFonts w:cs="Segoe UI"/>
          <w:b/>
          <w:szCs w:val="16"/>
        </w:rPr>
        <w:t>S</w:t>
      </w:r>
      <w:r w:rsidRPr="00755FB2">
        <w:rPr>
          <w:rFonts w:cs="Segoe UI"/>
          <w:szCs w:val="16"/>
        </w:rPr>
        <w:t xml:space="preserve">pecific, </w:t>
      </w:r>
      <w:r w:rsidRPr="00755FB2">
        <w:rPr>
          <w:rFonts w:cs="Segoe UI"/>
          <w:b/>
          <w:szCs w:val="16"/>
        </w:rPr>
        <w:t>M</w:t>
      </w:r>
      <w:r w:rsidRPr="00755FB2">
        <w:rPr>
          <w:rFonts w:cs="Segoe UI"/>
          <w:szCs w:val="16"/>
        </w:rPr>
        <w:t xml:space="preserve">easurable, </w:t>
      </w:r>
      <w:r w:rsidRPr="00755FB2">
        <w:rPr>
          <w:rFonts w:cs="Segoe UI"/>
          <w:b/>
          <w:bCs/>
          <w:szCs w:val="16"/>
        </w:rPr>
        <w:t>A</w:t>
      </w:r>
      <w:r w:rsidRPr="00755FB2">
        <w:rPr>
          <w:rFonts w:cs="Segoe UI"/>
          <w:szCs w:val="16"/>
        </w:rPr>
        <w:t xml:space="preserve">chievable, </w:t>
      </w:r>
      <w:r w:rsidRPr="00755FB2">
        <w:rPr>
          <w:rFonts w:cs="Segoe UI"/>
          <w:b/>
          <w:bCs/>
          <w:szCs w:val="16"/>
        </w:rPr>
        <w:t>R</w:t>
      </w:r>
      <w:r w:rsidRPr="00755FB2">
        <w:rPr>
          <w:rFonts w:cs="Segoe UI"/>
          <w:szCs w:val="16"/>
        </w:rPr>
        <w:t xml:space="preserve">elevant, and </w:t>
      </w:r>
      <w:r w:rsidRPr="00755FB2">
        <w:rPr>
          <w:rFonts w:cs="Segoe UI"/>
          <w:b/>
          <w:bCs/>
          <w:szCs w:val="16"/>
        </w:rPr>
        <w:t>T</w:t>
      </w:r>
      <w:r w:rsidRPr="00755FB2">
        <w:rPr>
          <w:rFonts w:cs="Segoe UI"/>
          <w:szCs w:val="16"/>
        </w:rPr>
        <w:t>ime-Bound (indicators)</w:t>
      </w:r>
    </w:p>
  </w:footnote>
  <w:footnote w:id="89">
    <w:p w14:paraId="2073304F" w14:textId="77777777" w:rsidR="004D2871" w:rsidRPr="00A34F39" w:rsidRDefault="004D2871" w:rsidP="000C5DB8">
      <w:pPr>
        <w:rPr>
          <w:bCs/>
          <w:sz w:val="16"/>
          <w:szCs w:val="18"/>
        </w:rPr>
      </w:pPr>
      <w:r w:rsidRPr="00A34F39">
        <w:rPr>
          <w:rStyle w:val="FootnoteReference"/>
          <w:sz w:val="16"/>
        </w:rPr>
        <w:footnoteRef/>
      </w:r>
      <w:r w:rsidRPr="00A34F39">
        <w:rPr>
          <w:sz w:val="16"/>
        </w:rPr>
        <w:t xml:space="preserve"> </w:t>
      </w:r>
      <w:r w:rsidRPr="00A34F39">
        <w:rPr>
          <w:bCs/>
          <w:iCs/>
          <w:sz w:val="16"/>
        </w:rPr>
        <w:t>Best practices will also aim to cover “effective learning practices” to document the transfer of skills and knowledge into practice</w:t>
      </w:r>
      <w:r w:rsidRPr="00A34F39">
        <w:rPr>
          <w:bCs/>
          <w:sz w:val="16"/>
        </w:rPr>
        <w:t xml:space="preserve">. See </w:t>
      </w:r>
      <w:hyperlink r:id="rId18" w:history="1">
        <w:r w:rsidRPr="00A34F39">
          <w:rPr>
            <w:rStyle w:val="Hyperlink"/>
            <w:bCs/>
            <w:iCs/>
            <w:sz w:val="16"/>
            <w:szCs w:val="18"/>
          </w:rPr>
          <w:t>http://www.fao.org/3/a-be975e.pdf</w:t>
        </w:r>
      </w:hyperlink>
      <w:r w:rsidRPr="00A34F39">
        <w:rPr>
          <w:bCs/>
          <w:sz w:val="16"/>
          <w:szCs w:val="18"/>
        </w:rPr>
        <w:t>.</w:t>
      </w:r>
    </w:p>
  </w:footnote>
  <w:footnote w:id="90">
    <w:p w14:paraId="3D668DCF" w14:textId="7EF0FFAC" w:rsidR="004D2871" w:rsidRPr="001700E6" w:rsidRDefault="004D2871" w:rsidP="002F3829">
      <w:pPr>
        <w:rPr>
          <w:sz w:val="16"/>
        </w:rPr>
      </w:pPr>
      <w:r w:rsidRPr="00211AD1">
        <w:rPr>
          <w:rStyle w:val="FootnoteReference"/>
          <w:sz w:val="16"/>
          <w:szCs w:val="16"/>
        </w:rPr>
        <w:footnoteRef/>
      </w:r>
      <w:r w:rsidRPr="00211AD1">
        <w:rPr>
          <w:sz w:val="16"/>
          <w:szCs w:val="16"/>
        </w:rPr>
        <w:t xml:space="preserve"> </w:t>
      </w:r>
      <w:r w:rsidRPr="0069019E">
        <w:rPr>
          <w:sz w:val="16"/>
        </w:rPr>
        <w:t xml:space="preserve">For </w:t>
      </w:r>
      <w:r>
        <w:rPr>
          <w:sz w:val="16"/>
        </w:rPr>
        <w:t>example</w:t>
      </w:r>
      <w:r w:rsidRPr="0069019E">
        <w:rPr>
          <w:sz w:val="16"/>
        </w:rPr>
        <w:t>, regional discussions and knowledge sharing on sustainable charcoal value chains in the Miombo-Mopane ecoregion will build on the February 2020 regional wood</w:t>
      </w:r>
      <w:r>
        <w:rPr>
          <w:sz w:val="16"/>
        </w:rPr>
        <w:t xml:space="preserve"> </w:t>
      </w:r>
      <w:r w:rsidRPr="0069019E">
        <w:rPr>
          <w:sz w:val="16"/>
        </w:rPr>
        <w:t>fuel workshop</w:t>
      </w:r>
      <w:r>
        <w:rPr>
          <w:sz w:val="16"/>
        </w:rPr>
        <w:t>,</w:t>
      </w:r>
      <w:r w:rsidRPr="0069019E">
        <w:rPr>
          <w:sz w:val="16"/>
        </w:rPr>
        <w:t xml:space="preserve"> hosted by FAO and Centre for International Forestry Research (CIFOR)</w:t>
      </w:r>
      <w:r>
        <w:rPr>
          <w:sz w:val="16"/>
        </w:rPr>
        <w:t>,</w:t>
      </w:r>
      <w:r w:rsidRPr="0069019E">
        <w:rPr>
          <w:sz w:val="16"/>
        </w:rPr>
        <w:t xml:space="preserve"> where eight Southern and Central Africa</w:t>
      </w:r>
      <w:r>
        <w:rPr>
          <w:sz w:val="16"/>
        </w:rPr>
        <w:t xml:space="preserve"> c</w:t>
      </w:r>
      <w:r w:rsidRPr="0069019E">
        <w:rPr>
          <w:sz w:val="16"/>
        </w:rPr>
        <w:t>ountries shared and discussed lessons on regional charcoal trade and movements, tenure and institutional arrangements for charcoal sourcing/production systems, sustainable wood sources and promotion of efficient charcoal production practices.</w:t>
      </w:r>
    </w:p>
  </w:footnote>
  <w:footnote w:id="91">
    <w:p w14:paraId="576EFFF0" w14:textId="71742769" w:rsidR="004D2871" w:rsidRPr="00533B65" w:rsidRDefault="004D2871" w:rsidP="00533B65">
      <w:pPr>
        <w:pStyle w:val="FootnoteText"/>
        <w:ind w:left="0"/>
        <w:rPr>
          <w:lang w:val="en-US"/>
        </w:rPr>
      </w:pPr>
      <w:r>
        <w:rPr>
          <w:rStyle w:val="FootnoteReference"/>
        </w:rPr>
        <w:footnoteRef/>
      </w:r>
      <w:r>
        <w:t xml:space="preserve"> www.fao.org/family-farming/detail/en/c/1128101/ </w:t>
      </w:r>
    </w:p>
  </w:footnote>
  <w:footnote w:id="92">
    <w:p w14:paraId="1B94BCCE" w14:textId="77777777" w:rsidR="004D2871" w:rsidRDefault="004D2871"/>
    <w:p w14:paraId="17480CC6" w14:textId="4F86FD91" w:rsidR="004D2871" w:rsidRPr="00E83A36" w:rsidRDefault="004D2871" w:rsidP="009563B4">
      <w:pPr>
        <w:pStyle w:val="FootnoteText"/>
        <w:ind w:left="0"/>
        <w:rPr>
          <w:rFonts w:asciiTheme="minorHAnsi" w:hAnsiTheme="minorHAnsi" w:cstheme="minorHAnsi"/>
          <w:sz w:val="15"/>
          <w:szCs w:val="15"/>
        </w:rPr>
      </w:pPr>
    </w:p>
  </w:footnote>
  <w:footnote w:id="93">
    <w:p w14:paraId="04FC78F4" w14:textId="30137270" w:rsidR="004D2871" w:rsidRPr="00A47A75" w:rsidRDefault="004D2871" w:rsidP="006D0D82">
      <w:pPr>
        <w:pStyle w:val="FootnoteText"/>
        <w:rPr>
          <w:lang w:val="cs-CZ"/>
        </w:rPr>
      </w:pPr>
      <w:r>
        <w:rPr>
          <w:rStyle w:val="FootnoteReference"/>
        </w:rPr>
        <w:footnoteRef/>
      </w:r>
      <w:r w:rsidR="006D0D82">
        <w:t xml:space="preserve"> </w:t>
      </w:r>
      <w:r w:rsidR="006D0D82">
        <w:rPr>
          <w:lang w:val="cs-CZ"/>
        </w:rPr>
        <w:t xml:space="preserve">See </w:t>
      </w:r>
      <w:hyperlink r:id="rId19" w:history="1">
        <w:r w:rsidR="004F1240" w:rsidRPr="00EE18CD">
          <w:rPr>
            <w:rStyle w:val="Hyperlink"/>
          </w:rPr>
          <w:t>https://mcconnellfoundation.ca/wp-content/uploads/2017/08/ScalingOut_Nov27A_AV_BrandedBleed.pdf</w:t>
        </w:r>
      </w:hyperlink>
      <w:r w:rsidR="004F1240">
        <w:rPr>
          <w:lang w:val="cs-CZ"/>
        </w:rPr>
        <w:t xml:space="preserve"> </w:t>
      </w:r>
    </w:p>
  </w:footnote>
  <w:footnote w:id="94">
    <w:p w14:paraId="449FEE04" w14:textId="53BD6D3E" w:rsidR="004D2871" w:rsidRPr="003F31F1" w:rsidRDefault="004D2871">
      <w:pPr>
        <w:pStyle w:val="FootnoteText"/>
        <w:rPr>
          <w:lang w:val="cs-CZ"/>
        </w:rPr>
      </w:pPr>
      <w:r>
        <w:rPr>
          <w:rStyle w:val="FootnoteReference"/>
        </w:rPr>
        <w:footnoteRef/>
      </w:r>
      <w:r>
        <w:t xml:space="preserve"> </w:t>
      </w:r>
      <w:r>
        <w:rPr>
          <w:lang w:val="cs-CZ"/>
        </w:rPr>
        <w:t xml:space="preserve">See „System-wide capacity development for country-driven transformations“, page 38 in „Feeding People Protecting the Planet – FAO-GEF Partners in Action </w:t>
      </w:r>
      <w:hyperlink r:id="rId20" w:history="1">
        <w:r w:rsidRPr="00B24601">
          <w:rPr>
            <w:rStyle w:val="Hyperlink"/>
            <w:lang w:val="cs-CZ"/>
          </w:rPr>
          <w:t>http://www.fao.org/3/CA0130EN/ca0130en.pdf</w:t>
        </w:r>
      </w:hyperlink>
    </w:p>
  </w:footnote>
  <w:footnote w:id="95">
    <w:p w14:paraId="43FB82D6" w14:textId="7546D0A4" w:rsidR="004D2871" w:rsidRPr="00AC4EE7" w:rsidRDefault="004D2871">
      <w:pPr>
        <w:pStyle w:val="FootnoteText"/>
        <w:rPr>
          <w:lang w:val="cs-CZ"/>
        </w:rPr>
      </w:pPr>
      <w:r>
        <w:rPr>
          <w:rStyle w:val="FootnoteReference"/>
        </w:rPr>
        <w:footnoteRef/>
      </w:r>
      <w:r>
        <w:t xml:space="preserve"> </w:t>
      </w:r>
      <w:r>
        <w:rPr>
          <w:lang w:val="cs-CZ"/>
        </w:rPr>
        <w:t xml:space="preserve">See “Strenghtening civic spaces in spatial planning processes- A technical guide on regulated spatial planning and tenure to balance societal priorities in the use of land, fisheries and forests“. </w:t>
      </w:r>
      <w:hyperlink r:id="rId21" w:history="1">
        <w:r w:rsidRPr="00EE18CD">
          <w:rPr>
            <w:rStyle w:val="Hyperlink"/>
            <w:lang w:val="cs-CZ"/>
          </w:rPr>
          <w:t>http://www.fao.org/documents/card/en/c/cb0422en/</w:t>
        </w:r>
      </w:hyperlink>
      <w:r>
        <w:rPr>
          <w:lang w:val="cs-CZ"/>
        </w:rPr>
        <w:t xml:space="preserve"> </w:t>
      </w:r>
    </w:p>
  </w:footnote>
  <w:footnote w:id="96">
    <w:p w14:paraId="539E3708" w14:textId="04AC12E1" w:rsidR="004D2871" w:rsidRPr="00486B69" w:rsidRDefault="004D2871" w:rsidP="00486B69">
      <w:pPr>
        <w:pStyle w:val="FootnoteText"/>
        <w:ind w:hanging="284"/>
        <w:rPr>
          <w:rFonts w:asciiTheme="minorHAnsi" w:hAnsiTheme="minorHAnsi" w:cstheme="minorHAnsi"/>
          <w:sz w:val="15"/>
          <w:szCs w:val="15"/>
          <w:lang w:val="en-US"/>
        </w:rPr>
      </w:pPr>
      <w:r w:rsidRPr="00E83A36">
        <w:rPr>
          <w:rStyle w:val="FootnoteReference"/>
          <w:rFonts w:asciiTheme="minorHAnsi" w:hAnsiTheme="minorHAnsi" w:cstheme="minorHAnsi"/>
          <w:sz w:val="15"/>
          <w:szCs w:val="15"/>
        </w:rPr>
        <w:footnoteRef/>
      </w:r>
      <w:r w:rsidRPr="00E83A36">
        <w:rPr>
          <w:rFonts w:asciiTheme="minorHAnsi" w:hAnsiTheme="minorHAnsi" w:cstheme="minorHAnsi"/>
          <w:sz w:val="15"/>
          <w:szCs w:val="15"/>
        </w:rPr>
        <w:t xml:space="preserve"> </w:t>
      </w:r>
      <w:r w:rsidRPr="00E83A36">
        <w:rPr>
          <w:rFonts w:asciiTheme="minorHAnsi" w:hAnsiTheme="minorHAnsi" w:cstheme="minorHAnsi"/>
          <w:sz w:val="15"/>
          <w:szCs w:val="15"/>
          <w:lang w:val="en-US"/>
        </w:rPr>
        <w:t>Source</w:t>
      </w:r>
      <w:r>
        <w:rPr>
          <w:rFonts w:asciiTheme="minorHAnsi" w:hAnsiTheme="minorHAnsi" w:cstheme="minorHAnsi"/>
          <w:sz w:val="15"/>
          <w:szCs w:val="15"/>
          <w:lang w:val="en-US"/>
        </w:rPr>
        <w:t>s</w:t>
      </w:r>
      <w:r w:rsidRPr="00E83A36">
        <w:rPr>
          <w:rFonts w:asciiTheme="minorHAnsi" w:hAnsiTheme="minorHAnsi" w:cstheme="minorHAnsi"/>
          <w:sz w:val="15"/>
          <w:szCs w:val="15"/>
          <w:lang w:val="en-US"/>
        </w:rPr>
        <w:t>:</w:t>
      </w:r>
      <w:r w:rsidRPr="00486B69">
        <w:t xml:space="preserve"> </w:t>
      </w:r>
      <w:r w:rsidRPr="00486B69">
        <w:rPr>
          <w:rFonts w:asciiTheme="minorHAnsi" w:hAnsiTheme="minorHAnsi" w:cstheme="minorHAnsi"/>
          <w:sz w:val="15"/>
          <w:szCs w:val="15"/>
          <w:lang w:val="en-US"/>
        </w:rPr>
        <w:t>GEF Gender Equality Guidelines,  Guide to mainstreaming gender in FAO's project cycle,  GEF Gender Guidelines.</w:t>
      </w:r>
    </w:p>
    <w:p w14:paraId="5F206C76" w14:textId="15FA7058" w:rsidR="004D2871" w:rsidRPr="00E83A36" w:rsidRDefault="004D2871" w:rsidP="00486B69">
      <w:pPr>
        <w:pStyle w:val="FootnoteText"/>
        <w:ind w:left="0"/>
        <w:rPr>
          <w:rFonts w:asciiTheme="minorHAnsi" w:hAnsiTheme="minorHAnsi" w:cstheme="minorHAnsi"/>
          <w:sz w:val="15"/>
          <w:szCs w:val="15"/>
          <w:lang w:val="en-US"/>
        </w:rPr>
      </w:pPr>
      <w:r w:rsidRPr="00486B69">
        <w:rPr>
          <w:rFonts w:asciiTheme="minorHAnsi" w:hAnsiTheme="minorHAnsi" w:cstheme="minorHAnsi"/>
          <w:sz w:val="15"/>
          <w:szCs w:val="15"/>
          <w:lang w:val="en-US"/>
        </w:rPr>
        <w:t>Mor, Tzili (2019). A Manual for Gender-Responsive Land Degradation Neutrality Transformative Projects and Programmes, UN Women, The Global Mechanism of the UNCCD</w:t>
      </w:r>
      <w:r>
        <w:rPr>
          <w:rFonts w:asciiTheme="minorHAnsi" w:hAnsiTheme="minorHAnsi" w:cstheme="minorHAnsi"/>
          <w:sz w:val="15"/>
          <w:szCs w:val="15"/>
          <w:lang w:val="en-US"/>
        </w:rPr>
        <w:t xml:space="preserve">, and </w:t>
      </w:r>
      <w:hyperlink r:id="rId22" w:history="1">
        <w:r w:rsidRPr="00EE0E94">
          <w:rPr>
            <w:rStyle w:val="Hyperlink"/>
            <w:rFonts w:asciiTheme="minorHAnsi" w:hAnsiTheme="minorHAnsi" w:cstheme="minorHAnsi"/>
            <w:sz w:val="15"/>
            <w:szCs w:val="15"/>
          </w:rPr>
          <w:t>http://catalogue.unccd.int/1223_Gender_Manual.pdf</w:t>
        </w:r>
      </w:hyperlink>
      <w:r w:rsidRPr="00E83A36">
        <w:rPr>
          <w:rFonts w:asciiTheme="minorHAnsi" w:hAnsiTheme="minorHAnsi" w:cstheme="minorHAnsi"/>
          <w:sz w:val="15"/>
          <w:szCs w:val="15"/>
          <w:lang w:val="en-US"/>
        </w:rPr>
        <w:t xml:space="preserve">, accessed </w:t>
      </w:r>
      <w:r>
        <w:rPr>
          <w:rFonts w:asciiTheme="minorHAnsi" w:hAnsiTheme="minorHAnsi" w:cstheme="minorHAnsi"/>
          <w:sz w:val="15"/>
          <w:szCs w:val="15"/>
          <w:lang w:val="en-US"/>
        </w:rPr>
        <w:t>on 01/04/2020.</w:t>
      </w:r>
    </w:p>
  </w:footnote>
  <w:footnote w:id="97">
    <w:p w14:paraId="33FC28EE" w14:textId="72C9BD83" w:rsidR="004D2871" w:rsidRPr="00E83A36" w:rsidRDefault="004D2871" w:rsidP="006F28EB">
      <w:pPr>
        <w:rPr>
          <w:rFonts w:asciiTheme="minorHAnsi" w:hAnsiTheme="minorHAnsi" w:cstheme="minorHAnsi"/>
          <w:sz w:val="15"/>
          <w:szCs w:val="15"/>
        </w:rPr>
      </w:pPr>
      <w:r w:rsidRPr="00E83A36">
        <w:rPr>
          <w:rStyle w:val="FootnoteReference"/>
          <w:rFonts w:asciiTheme="minorHAnsi" w:hAnsiTheme="minorHAnsi" w:cstheme="minorHAnsi"/>
          <w:sz w:val="15"/>
          <w:szCs w:val="15"/>
        </w:rPr>
        <w:footnoteRef/>
      </w:r>
      <w:r w:rsidRPr="00E83A36">
        <w:rPr>
          <w:rFonts w:asciiTheme="minorHAnsi" w:hAnsiTheme="minorHAnsi" w:cstheme="minorHAnsi"/>
          <w:sz w:val="15"/>
          <w:szCs w:val="15"/>
        </w:rPr>
        <w:t xml:space="preserve"> AfDB, 2008, Angola -Country Gender Profile. African Development Bank/Fund; World Bank Group, 2019, Angola: Systematic Country Diagnostic Creating Assets for The Poor, </w:t>
      </w:r>
      <w:hyperlink r:id="rId23" w:history="1">
        <w:r w:rsidRPr="00E83A36">
          <w:rPr>
            <w:rFonts w:asciiTheme="minorHAnsi" w:hAnsiTheme="minorHAnsi" w:cstheme="minorHAnsi"/>
            <w:color w:val="0000FF"/>
            <w:sz w:val="15"/>
            <w:szCs w:val="15"/>
            <w:u w:val="single"/>
          </w:rPr>
          <w:t>http://documents.worldbank.org/curated/en/337691552357946557/pdf/angola-scd-03072019-636877656084587895.pdf</w:t>
        </w:r>
      </w:hyperlink>
      <w:r w:rsidRPr="00E83A36">
        <w:rPr>
          <w:rFonts w:asciiTheme="minorHAnsi" w:hAnsiTheme="minorHAnsi" w:cstheme="minorHAnsi"/>
          <w:color w:val="0000FF"/>
          <w:sz w:val="15"/>
          <w:szCs w:val="15"/>
          <w:u w:val="single"/>
        </w:rPr>
        <w:t xml:space="preserve"> </w:t>
      </w:r>
    </w:p>
  </w:footnote>
  <w:footnote w:id="98">
    <w:p w14:paraId="6BBB130B" w14:textId="77777777" w:rsidR="004D2871" w:rsidRPr="00E83A36" w:rsidRDefault="004D2871" w:rsidP="009563B4">
      <w:pPr>
        <w:rPr>
          <w:rFonts w:asciiTheme="minorHAnsi" w:hAnsiTheme="minorHAnsi" w:cstheme="minorHAnsi"/>
          <w:sz w:val="15"/>
          <w:szCs w:val="15"/>
        </w:rPr>
      </w:pPr>
      <w:r w:rsidRPr="00E83A36">
        <w:rPr>
          <w:rStyle w:val="FootnoteReference"/>
          <w:rFonts w:asciiTheme="minorHAnsi" w:hAnsiTheme="minorHAnsi" w:cstheme="minorHAnsi"/>
          <w:sz w:val="15"/>
          <w:szCs w:val="15"/>
        </w:rPr>
        <w:footnoteRef/>
      </w:r>
      <w:r w:rsidRPr="00E83A36">
        <w:rPr>
          <w:rFonts w:asciiTheme="minorHAnsi" w:hAnsiTheme="minorHAnsi" w:cstheme="minorHAnsi"/>
          <w:sz w:val="15"/>
          <w:szCs w:val="15"/>
        </w:rPr>
        <w:t xml:space="preserve"> CEDAW, Committee on the Elimination of Discrimination against Women considers Angola's report, January2019,  </w:t>
      </w:r>
      <w:hyperlink r:id="rId24" w:history="1">
        <w:r w:rsidRPr="00E83A36">
          <w:rPr>
            <w:rStyle w:val="Hyperlink"/>
            <w:rFonts w:asciiTheme="minorHAnsi" w:hAnsiTheme="minorHAnsi" w:cstheme="minorHAnsi"/>
            <w:sz w:val="15"/>
            <w:szCs w:val="15"/>
          </w:rPr>
          <w:t>https://www.ohchr.org/en/NewsEvents/Pages/DisplayNews.aspx?NewsID=24225&amp;LangID=E</w:t>
        </w:r>
      </w:hyperlink>
      <w:r w:rsidRPr="00E83A36">
        <w:rPr>
          <w:rStyle w:val="Hyperlink"/>
          <w:rFonts w:asciiTheme="minorHAnsi" w:hAnsiTheme="minorHAnsi" w:cstheme="minorHAnsi"/>
          <w:sz w:val="15"/>
          <w:szCs w:val="15"/>
        </w:rPr>
        <w:t>.</w:t>
      </w:r>
    </w:p>
    <w:p w14:paraId="02D66C02" w14:textId="77777777" w:rsidR="004D2871" w:rsidRPr="00E83A36" w:rsidRDefault="004D2871" w:rsidP="009563B4">
      <w:pPr>
        <w:pStyle w:val="FootnoteText"/>
        <w:ind w:left="0"/>
        <w:rPr>
          <w:rFonts w:asciiTheme="minorHAnsi" w:hAnsiTheme="minorHAnsi" w:cstheme="minorHAnsi"/>
          <w:sz w:val="15"/>
          <w:szCs w:val="15"/>
        </w:rPr>
      </w:pPr>
    </w:p>
  </w:footnote>
  <w:footnote w:id="99">
    <w:p w14:paraId="2582F55B" w14:textId="5AFF714F" w:rsidR="004D2871" w:rsidRPr="00E83A36" w:rsidRDefault="004D2871" w:rsidP="00C83FE3">
      <w:pPr>
        <w:rPr>
          <w:rFonts w:asciiTheme="minorHAnsi" w:hAnsiTheme="minorHAnsi" w:cstheme="minorHAnsi"/>
          <w:sz w:val="15"/>
          <w:szCs w:val="15"/>
        </w:rPr>
      </w:pPr>
      <w:r w:rsidRPr="00E83A36">
        <w:rPr>
          <w:rStyle w:val="FootnoteReference"/>
          <w:rFonts w:asciiTheme="minorHAnsi" w:hAnsiTheme="minorHAnsi" w:cstheme="minorHAnsi"/>
          <w:sz w:val="15"/>
          <w:szCs w:val="15"/>
        </w:rPr>
        <w:footnoteRef/>
      </w:r>
      <w:r w:rsidRPr="00E83A36">
        <w:rPr>
          <w:rFonts w:asciiTheme="minorHAnsi" w:hAnsiTheme="minorHAnsi" w:cstheme="minorHAnsi"/>
          <w:sz w:val="15"/>
          <w:szCs w:val="15"/>
        </w:rPr>
        <w:t xml:space="preserve"> FAO Angola, GEF, Baseline Household and Resilience Assessment Report, Draft Report January 2020, with the </w:t>
      </w:r>
      <w:r w:rsidRPr="00D53D81">
        <w:rPr>
          <w:rFonts w:asciiTheme="minorHAnsi" w:hAnsiTheme="minorHAnsi" w:cstheme="minorHAnsi"/>
          <w:i/>
          <w:iCs/>
          <w:sz w:val="15"/>
          <w:szCs w:val="15"/>
        </w:rPr>
        <w:t>Self-Evaluation and Holistic Assessment of Climate Resilience of Farmers and Pastoralists</w:t>
      </w:r>
      <w:r w:rsidRPr="00E83A36">
        <w:rPr>
          <w:rFonts w:asciiTheme="minorHAnsi" w:hAnsiTheme="minorHAnsi" w:cstheme="minorHAnsi"/>
          <w:sz w:val="15"/>
          <w:szCs w:val="15"/>
        </w:rPr>
        <w:t xml:space="preserve"> (SHARP), conducted in the two project intervention areas of Cunene and Cuchi.</w:t>
      </w:r>
    </w:p>
  </w:footnote>
  <w:footnote w:id="100">
    <w:p w14:paraId="228CD24B" w14:textId="77777777" w:rsidR="004D2871" w:rsidRPr="00E83A36" w:rsidRDefault="004D2871" w:rsidP="008D675A">
      <w:pPr>
        <w:pStyle w:val="FootnoteText"/>
        <w:ind w:left="0"/>
        <w:rPr>
          <w:rFonts w:asciiTheme="minorHAnsi" w:hAnsiTheme="minorHAnsi" w:cstheme="minorHAnsi"/>
          <w:sz w:val="15"/>
          <w:szCs w:val="15"/>
        </w:rPr>
      </w:pPr>
      <w:r w:rsidRPr="00E83A36">
        <w:rPr>
          <w:rStyle w:val="FootnoteReference"/>
          <w:rFonts w:asciiTheme="minorHAnsi" w:hAnsiTheme="minorHAnsi" w:cstheme="minorHAnsi"/>
          <w:sz w:val="15"/>
          <w:szCs w:val="15"/>
        </w:rPr>
        <w:footnoteRef/>
      </w:r>
      <w:r w:rsidRPr="00E83A36">
        <w:rPr>
          <w:rFonts w:asciiTheme="minorHAnsi" w:hAnsiTheme="minorHAnsi" w:cstheme="minorHAnsi"/>
          <w:sz w:val="15"/>
          <w:szCs w:val="15"/>
        </w:rPr>
        <w:t xml:space="preserve"> With reference to FAO’s </w:t>
      </w:r>
      <w:r w:rsidRPr="00E83A36">
        <w:rPr>
          <w:rFonts w:asciiTheme="minorHAnsi" w:hAnsiTheme="minorHAnsi" w:cstheme="minorHAnsi"/>
          <w:sz w:val="15"/>
          <w:szCs w:val="15"/>
          <w:u w:val="single"/>
        </w:rPr>
        <w:t>Guidance Note on Gender Mainstreaming</w:t>
      </w:r>
      <w:r w:rsidRPr="00E83A36">
        <w:rPr>
          <w:rFonts w:asciiTheme="minorHAnsi" w:hAnsiTheme="minorHAnsi" w:cstheme="minorHAnsi"/>
          <w:sz w:val="15"/>
          <w:szCs w:val="15"/>
        </w:rPr>
        <w:t xml:space="preserve"> in project identification and formulation.</w:t>
      </w:r>
    </w:p>
  </w:footnote>
  <w:footnote w:id="101">
    <w:p w14:paraId="748154BD" w14:textId="3972DDBE" w:rsidR="004D2871" w:rsidRPr="00802F4E" w:rsidRDefault="004D2871">
      <w:pPr>
        <w:pStyle w:val="FootnoteText"/>
        <w:rPr>
          <w:lang w:val="en-US"/>
        </w:rPr>
      </w:pPr>
      <w:r>
        <w:rPr>
          <w:rStyle w:val="FootnoteReference"/>
        </w:rPr>
        <w:footnoteRef/>
      </w:r>
      <w:r>
        <w:t xml:space="preserve"> Report of Multiple Indicators and Health (IIMS 2015-2016)</w:t>
      </w:r>
    </w:p>
  </w:footnote>
  <w:footnote w:id="102">
    <w:p w14:paraId="2E2DA625" w14:textId="24AB2E7F" w:rsidR="004D2871" w:rsidRPr="00DB68FC" w:rsidRDefault="004D2871" w:rsidP="00DB68FC">
      <w:pPr>
        <w:pStyle w:val="FootnoteText"/>
        <w:ind w:left="0" w:right="-755"/>
        <w:rPr>
          <w:rFonts w:asciiTheme="minorHAnsi" w:hAnsiTheme="minorHAnsi" w:cstheme="minorHAnsi"/>
          <w:sz w:val="15"/>
          <w:szCs w:val="15"/>
          <w:lang w:val="en-GB"/>
        </w:rPr>
      </w:pPr>
      <w:r w:rsidRPr="00E83A36">
        <w:rPr>
          <w:rStyle w:val="FootnoteReference"/>
          <w:rFonts w:asciiTheme="minorHAnsi" w:hAnsiTheme="minorHAnsi" w:cstheme="minorHAnsi"/>
          <w:sz w:val="15"/>
          <w:szCs w:val="15"/>
        </w:rPr>
        <w:footnoteRef/>
      </w:r>
      <w:r w:rsidRPr="00E83A36">
        <w:rPr>
          <w:rFonts w:asciiTheme="minorHAnsi" w:hAnsiTheme="minorHAnsi" w:cstheme="minorHAnsi"/>
          <w:sz w:val="15"/>
          <w:szCs w:val="15"/>
        </w:rPr>
        <w:t xml:space="preserve"> </w:t>
      </w:r>
      <w:hyperlink r:id="rId25" w:history="1">
        <w:r w:rsidRPr="00175494">
          <w:rPr>
            <w:rStyle w:val="Hyperlink"/>
            <w:rFonts w:asciiTheme="minorHAnsi" w:hAnsiTheme="minorHAnsi" w:cstheme="minorHAnsi"/>
            <w:sz w:val="15"/>
            <w:szCs w:val="15"/>
          </w:rPr>
          <w:t>https://www.thegef.org/sites/default/files/council-meeting-documents/EN_GEF_C.57_06_GEF’s%20Private%20Sector%20Engagement%20Strategy_1.pdf</w:t>
        </w:r>
      </w:hyperlink>
      <w:r>
        <w:rPr>
          <w:rFonts w:asciiTheme="minorHAnsi" w:hAnsiTheme="minorHAnsi" w:cstheme="minorHAnsi"/>
          <w:sz w:val="15"/>
          <w:szCs w:val="15"/>
          <w:lang w:val="en-GB"/>
        </w:rPr>
        <w:t xml:space="preserve"> </w:t>
      </w:r>
    </w:p>
  </w:footnote>
  <w:footnote w:id="103">
    <w:p w14:paraId="180FE10B" w14:textId="56FA92EE" w:rsidR="004D2871" w:rsidRPr="00B264CD" w:rsidRDefault="004D2871" w:rsidP="00B264CD">
      <w:pPr>
        <w:pStyle w:val="FootnoteText"/>
        <w:ind w:left="0"/>
        <w:rPr>
          <w:rFonts w:ascii="Calibri" w:hAnsi="Calibri" w:cs="Calibri"/>
          <w:sz w:val="15"/>
          <w:szCs w:val="15"/>
          <w:lang w:val="en-GB"/>
        </w:rPr>
      </w:pPr>
      <w:r w:rsidRPr="00B264CD">
        <w:rPr>
          <w:rStyle w:val="FootnoteReference"/>
          <w:rFonts w:ascii="Calibri" w:hAnsi="Calibri" w:cs="Calibri"/>
          <w:sz w:val="15"/>
          <w:szCs w:val="15"/>
        </w:rPr>
        <w:footnoteRef/>
      </w:r>
      <w:r w:rsidRPr="00B264CD">
        <w:rPr>
          <w:rFonts w:ascii="Calibri" w:hAnsi="Calibri" w:cs="Calibri"/>
          <w:sz w:val="15"/>
          <w:szCs w:val="15"/>
        </w:rPr>
        <w:t xml:space="preserve"> Baseline </w:t>
      </w:r>
      <w:r>
        <w:rPr>
          <w:rFonts w:ascii="Calibri" w:hAnsi="Calibri" w:cs="Calibri"/>
          <w:sz w:val="15"/>
          <w:szCs w:val="15"/>
          <w:lang w:val="en-GB"/>
        </w:rPr>
        <w:t>and</w:t>
      </w:r>
      <w:r w:rsidRPr="00B264CD">
        <w:rPr>
          <w:rFonts w:ascii="Calibri" w:hAnsi="Calibri" w:cs="Calibri"/>
          <w:sz w:val="15"/>
          <w:szCs w:val="15"/>
        </w:rPr>
        <w:t xml:space="preserve"> Feasibility Report on Value Chains, Baseline Content</w:t>
      </w:r>
      <w:r>
        <w:rPr>
          <w:rFonts w:ascii="Calibri" w:hAnsi="Calibri" w:cs="Calibri"/>
          <w:sz w:val="15"/>
          <w:szCs w:val="15"/>
          <w:lang w:val="en-GB"/>
        </w:rPr>
        <w:t>, FAO 2020.</w:t>
      </w:r>
      <w:r w:rsidRPr="00B264CD">
        <w:rPr>
          <w:rFonts w:asciiTheme="minorHAnsi" w:hAnsiTheme="minorHAnsi" w:cstheme="minorHAnsi"/>
          <w:sz w:val="15"/>
          <w:szCs w:val="15"/>
        </w:rPr>
        <w:t xml:space="preserve"> </w:t>
      </w:r>
      <w:r w:rsidRPr="00E83A36">
        <w:rPr>
          <w:rFonts w:asciiTheme="minorHAnsi" w:hAnsiTheme="minorHAnsi" w:cstheme="minorHAnsi"/>
          <w:sz w:val="15"/>
          <w:szCs w:val="15"/>
        </w:rPr>
        <w:t>Refer to</w:t>
      </w:r>
      <w:r>
        <w:rPr>
          <w:rFonts w:asciiTheme="minorHAnsi" w:hAnsiTheme="minorHAnsi" w:cstheme="minorHAnsi"/>
          <w:sz w:val="15"/>
          <w:szCs w:val="15"/>
          <w:lang w:val="en-GB"/>
        </w:rPr>
        <w:t xml:space="preserve"> extract in Annex X-2.2 in Project Document.</w:t>
      </w:r>
    </w:p>
  </w:footnote>
  <w:footnote w:id="104">
    <w:p w14:paraId="530483D3" w14:textId="6A1B4080" w:rsidR="004D2871" w:rsidRPr="00E83A36" w:rsidRDefault="004D2871" w:rsidP="009563B4">
      <w:pPr>
        <w:pStyle w:val="FootnoteText"/>
        <w:ind w:left="0"/>
        <w:rPr>
          <w:rFonts w:asciiTheme="minorHAnsi" w:hAnsiTheme="minorHAnsi" w:cstheme="minorHAnsi"/>
          <w:sz w:val="15"/>
          <w:szCs w:val="15"/>
        </w:rPr>
      </w:pPr>
      <w:r w:rsidRPr="00E83A36">
        <w:rPr>
          <w:rStyle w:val="FootnoteReference"/>
          <w:rFonts w:asciiTheme="minorHAnsi" w:hAnsiTheme="minorHAnsi" w:cstheme="minorHAnsi"/>
          <w:sz w:val="15"/>
          <w:szCs w:val="15"/>
        </w:rPr>
        <w:footnoteRef/>
      </w:r>
      <w:r w:rsidRPr="00E83A36">
        <w:rPr>
          <w:rFonts w:asciiTheme="minorHAnsi" w:hAnsiTheme="minorHAnsi" w:cstheme="minorHAnsi"/>
          <w:sz w:val="15"/>
          <w:szCs w:val="15"/>
        </w:rPr>
        <w:t xml:space="preserve"> This global program is implemented in cooperation with numerous partners, including  the Global Environment Facility (GEF), International Union for Conservation of Nature (IUCN), Food and Agriculture Organization of the United Nations (FAO), United Nations Development Program (UNDP), United Nations Environment Program (UNEP), European Space Agency, International Soil Reference and Information Centre, Joint Research Centre of the European Commission, World Resources Institute (WRI), Soil Leadership Academy (SLA).</w:t>
      </w:r>
    </w:p>
  </w:footnote>
  <w:footnote w:id="105">
    <w:p w14:paraId="6F422345" w14:textId="77777777" w:rsidR="004D2871" w:rsidRPr="00E83A36" w:rsidRDefault="004D2871" w:rsidP="009563B4">
      <w:pPr>
        <w:pStyle w:val="FootnoteText"/>
        <w:ind w:left="0"/>
        <w:rPr>
          <w:rFonts w:asciiTheme="minorHAnsi" w:hAnsiTheme="minorHAnsi" w:cstheme="minorHAnsi"/>
          <w:sz w:val="15"/>
          <w:szCs w:val="15"/>
        </w:rPr>
      </w:pPr>
      <w:r w:rsidRPr="00E83A36">
        <w:rPr>
          <w:rStyle w:val="FootnoteReference"/>
          <w:rFonts w:asciiTheme="minorHAnsi" w:hAnsiTheme="minorHAnsi" w:cstheme="minorHAnsi"/>
          <w:sz w:val="15"/>
          <w:szCs w:val="15"/>
        </w:rPr>
        <w:footnoteRef/>
      </w:r>
      <w:r w:rsidRPr="00E83A36">
        <w:rPr>
          <w:rFonts w:asciiTheme="minorHAnsi" w:hAnsiTheme="minorHAnsi" w:cstheme="minorHAnsi"/>
          <w:sz w:val="15"/>
          <w:szCs w:val="15"/>
        </w:rPr>
        <w:t xml:space="preserve"> This overview is based on different UNCCD publications. More details and various resources are available at: https://knowledge.unccd.int/knowledge-products-and-pillars/ldn-target-setting-building-blocks/land-degradation-neutrality-ldn-0.</w:t>
      </w:r>
    </w:p>
  </w:footnote>
  <w:footnote w:id="106">
    <w:p w14:paraId="0154F13C" w14:textId="77777777" w:rsidR="004D2871" w:rsidRPr="00E83A36" w:rsidRDefault="004D2871" w:rsidP="00097E4C">
      <w:pPr>
        <w:pStyle w:val="FootnoteText"/>
        <w:ind w:left="0"/>
        <w:rPr>
          <w:rFonts w:asciiTheme="minorHAnsi" w:hAnsiTheme="minorHAnsi" w:cstheme="minorHAnsi"/>
          <w:sz w:val="15"/>
          <w:szCs w:val="15"/>
          <w:lang w:val="pt-BR"/>
        </w:rPr>
      </w:pPr>
      <w:r w:rsidRPr="00E83A36">
        <w:rPr>
          <w:rStyle w:val="FootnoteReference"/>
          <w:rFonts w:asciiTheme="minorHAnsi" w:hAnsiTheme="minorHAnsi" w:cstheme="minorHAnsi"/>
          <w:sz w:val="15"/>
          <w:szCs w:val="15"/>
        </w:rPr>
        <w:footnoteRef/>
      </w:r>
      <w:r w:rsidRPr="00E83A36">
        <w:rPr>
          <w:rFonts w:asciiTheme="minorHAnsi" w:hAnsiTheme="minorHAnsi" w:cstheme="minorHAnsi"/>
          <w:sz w:val="15"/>
          <w:szCs w:val="15"/>
          <w:lang w:val="pt-BR"/>
        </w:rPr>
        <w:t xml:space="preserve"> Plano Médio Prazo do Sector Agrário (PMPSA).</w:t>
      </w:r>
    </w:p>
  </w:footnote>
  <w:footnote w:id="107">
    <w:p w14:paraId="12111710" w14:textId="77777777" w:rsidR="004D2871" w:rsidRPr="00A32353" w:rsidRDefault="004D2871" w:rsidP="009D2B9D">
      <w:pPr>
        <w:pStyle w:val="FootnoteText"/>
        <w:rPr>
          <w:rFonts w:asciiTheme="minorHAnsi" w:hAnsiTheme="minorHAnsi" w:cstheme="minorHAnsi"/>
          <w:lang w:val="cs-CZ"/>
        </w:rPr>
      </w:pPr>
      <w:r w:rsidRPr="00A32353">
        <w:rPr>
          <w:rStyle w:val="FootnoteReference"/>
          <w:rFonts w:asciiTheme="minorHAnsi" w:hAnsiTheme="minorHAnsi" w:cstheme="minorHAnsi"/>
          <w:sz w:val="14"/>
          <w:szCs w:val="18"/>
        </w:rPr>
        <w:footnoteRef/>
      </w:r>
      <w:r w:rsidRPr="00A32353">
        <w:rPr>
          <w:rFonts w:asciiTheme="minorHAnsi" w:hAnsiTheme="minorHAnsi" w:cstheme="minorHAnsi"/>
          <w:sz w:val="14"/>
          <w:szCs w:val="18"/>
        </w:rPr>
        <w:t xml:space="preserve"> </w:t>
      </w:r>
      <w:r w:rsidRPr="00A32353">
        <w:rPr>
          <w:rFonts w:asciiTheme="minorHAnsi" w:hAnsiTheme="minorHAnsi" w:cstheme="minorHAnsi"/>
          <w:sz w:val="14"/>
          <w:szCs w:val="18"/>
          <w:lang w:val="cs-CZ"/>
        </w:rPr>
        <w:t>See GEF Approach on Knowledge Management https://www.thegef.org/sites/default/files/council-meeting-documents/EN_GEF.C.48.07.Rev_.01_KM_Approach_Paper.pdf</w:t>
      </w:r>
    </w:p>
  </w:footnote>
  <w:footnote w:id="108">
    <w:p w14:paraId="7E3837C6" w14:textId="77777777" w:rsidR="004D2871" w:rsidRPr="005340DB" w:rsidRDefault="004D2871" w:rsidP="00E65228">
      <w:pPr>
        <w:jc w:val="both"/>
        <w:rPr>
          <w:sz w:val="15"/>
          <w:szCs w:val="15"/>
        </w:rPr>
      </w:pPr>
      <w:r w:rsidRPr="005340DB">
        <w:rPr>
          <w:rStyle w:val="FootnoteReference"/>
          <w:sz w:val="15"/>
          <w:szCs w:val="15"/>
        </w:rPr>
        <w:footnoteRef/>
      </w:r>
      <w:r w:rsidRPr="005340DB">
        <w:rPr>
          <w:sz w:val="15"/>
          <w:szCs w:val="15"/>
        </w:rPr>
        <w:t xml:space="preserve"> </w:t>
      </w:r>
      <w:r w:rsidRPr="005340DB">
        <w:rPr>
          <w:rFonts w:cs="Helvetica"/>
          <w:sz w:val="15"/>
          <w:szCs w:val="15"/>
          <w:lang w:val="en-US"/>
        </w:rPr>
        <w:t xml:space="preserve">Interventions geared towards avoiding land degradation should focus on drivers and prevent adverse changes in the quality of non-degraded lands and typically include appropriate regulation and planning, e.g. protected areas, sustainable land use plans, policy and regulations aimed at sustainable natural resources management. Reducing land degradation may be achieved though application of sustainable management practices, e.g. SLM/SFM practices. Action aimed at reversing land degradation typically focus on measures to restore the productive and ecological potential through actively assisting the recovery of ecosystem functions, e.g. reforestation, erosion control infrastructure, rewetting of wetlands. </w:t>
      </w:r>
    </w:p>
  </w:footnote>
  <w:footnote w:id="109">
    <w:p w14:paraId="50B72AF7" w14:textId="55246FE9" w:rsidR="004D2871" w:rsidRPr="005340DB" w:rsidRDefault="004D2871" w:rsidP="005340DB">
      <w:pPr>
        <w:jc w:val="both"/>
        <w:rPr>
          <w:sz w:val="15"/>
          <w:szCs w:val="15"/>
        </w:rPr>
      </w:pPr>
      <w:r w:rsidRPr="005340DB">
        <w:rPr>
          <w:rStyle w:val="FootnoteReference"/>
          <w:sz w:val="15"/>
          <w:szCs w:val="15"/>
        </w:rPr>
        <w:footnoteRef/>
      </w:r>
      <w:r w:rsidRPr="005340DB">
        <w:rPr>
          <w:sz w:val="15"/>
          <w:szCs w:val="15"/>
        </w:rPr>
        <w:t xml:space="preserve"> However, one precondition for success that applies across all the project’s activities that should be stressed is that future Covid-19 impacts will not irreversibly affect the project’s institutional and financial support, as well as projected partnerships and interactions with other stakeholders. In face of Covid-19 pandemic restrictions (e.g. full lockdown), it is assumed that the project and GCP will be able to apply rapid effective response strategy, including virtual assistance, meeting and training tools accessible to all stakeholders</w:t>
      </w:r>
    </w:p>
  </w:footnote>
  <w:footnote w:id="110">
    <w:p w14:paraId="4DC09047" w14:textId="07ED69E6" w:rsidR="004D2871" w:rsidRPr="00E83A36" w:rsidRDefault="004D2871" w:rsidP="005340DB">
      <w:pPr>
        <w:pStyle w:val="FootnoteText"/>
        <w:ind w:left="0"/>
        <w:jc w:val="both"/>
        <w:rPr>
          <w:rFonts w:asciiTheme="minorHAnsi" w:hAnsiTheme="minorHAnsi" w:cstheme="minorHAnsi"/>
          <w:sz w:val="15"/>
          <w:szCs w:val="15"/>
        </w:rPr>
      </w:pPr>
      <w:r w:rsidRPr="005340DB">
        <w:rPr>
          <w:rStyle w:val="FootnoteReference"/>
          <w:sz w:val="15"/>
          <w:szCs w:val="15"/>
        </w:rPr>
        <w:footnoteRef/>
      </w:r>
      <w:r w:rsidRPr="005340DB">
        <w:rPr>
          <w:sz w:val="15"/>
          <w:szCs w:val="15"/>
        </w:rPr>
        <w:t xml:space="preserve"> Carbon benefit directly attributed to the project’s interventions, measured with the ExACT Tool (tCO2e) sequestered over 20 years. Refer to PROOC Annex X-2.6.</w:t>
      </w:r>
    </w:p>
  </w:footnote>
  <w:footnote w:id="111">
    <w:p w14:paraId="6F6BDC9D" w14:textId="26ED420A" w:rsidR="004D2871" w:rsidRPr="00E83A36" w:rsidRDefault="004D2871" w:rsidP="00E65228">
      <w:pPr>
        <w:pStyle w:val="FootnoteText"/>
        <w:ind w:left="0"/>
        <w:rPr>
          <w:rFonts w:asciiTheme="minorHAnsi" w:hAnsiTheme="minorHAnsi" w:cstheme="minorHAnsi"/>
          <w:sz w:val="15"/>
          <w:szCs w:val="15"/>
        </w:rPr>
      </w:pPr>
      <w:r w:rsidRPr="00E83A36">
        <w:rPr>
          <w:rStyle w:val="FootnoteReference"/>
          <w:rFonts w:asciiTheme="minorHAnsi" w:hAnsiTheme="minorHAnsi" w:cstheme="minorHAnsi"/>
          <w:sz w:val="15"/>
          <w:szCs w:val="15"/>
        </w:rPr>
        <w:footnoteRef/>
      </w:r>
      <w:r>
        <w:rPr>
          <w:rFonts w:asciiTheme="minorHAnsi" w:hAnsiTheme="minorHAnsi" w:cstheme="minorHAnsi"/>
          <w:sz w:val="15"/>
          <w:szCs w:val="15"/>
        </w:rPr>
        <w:t xml:space="preserve"> </w:t>
      </w:r>
      <w:r w:rsidRPr="00176CCF">
        <w:rPr>
          <w:rFonts w:asciiTheme="minorHAnsi" w:hAnsiTheme="minorHAnsi" w:cstheme="minorHAnsi"/>
          <w:sz w:val="15"/>
          <w:szCs w:val="15"/>
        </w:rPr>
        <w:t xml:space="preserve">Direct beneficiaries include people directly benefiting from </w:t>
      </w:r>
      <w:r>
        <w:rPr>
          <w:rFonts w:asciiTheme="minorHAnsi" w:hAnsiTheme="minorHAnsi" w:cstheme="minorHAnsi"/>
          <w:sz w:val="15"/>
          <w:szCs w:val="15"/>
        </w:rPr>
        <w:t>involvement with the project, including those involved in training courses for government agencies at national or landscape level (under Output 1.1.1 and 1.1.2) or participants in the integrated landscape planning process (Outputs 2.1.1-2.1.4), members of FFS or FFF members who receive training, tools or guidance on SLM/SFM practices (Outputs 2.2.1 and 2.2.2), land users, entrepreneurs, and private businesses involved with developing green value chains (Outcome 2.3) and other recipients of the project’s capacity building efforts by the project</w:t>
      </w:r>
      <w:r w:rsidR="00014B16">
        <w:rPr>
          <w:rFonts w:asciiTheme="minorHAnsi" w:hAnsiTheme="minorHAnsi" w:cstheme="minorHAnsi"/>
          <w:sz w:val="15"/>
          <w:szCs w:val="15"/>
          <w:lang w:val="en-US"/>
        </w:rPr>
        <w:t>.</w:t>
      </w:r>
      <w:r>
        <w:rPr>
          <w:rFonts w:asciiTheme="minorHAnsi" w:hAnsiTheme="minorHAnsi" w:cstheme="minorHAnsi"/>
          <w:sz w:val="15"/>
          <w:szCs w:val="15"/>
        </w:rPr>
        <w:t xml:space="preserve"> </w:t>
      </w:r>
    </w:p>
  </w:footnote>
  <w:footnote w:id="112">
    <w:p w14:paraId="17FB77A9" w14:textId="77777777" w:rsidR="004D2871" w:rsidRPr="00E83A36" w:rsidRDefault="004D2871" w:rsidP="00E65228">
      <w:pPr>
        <w:pStyle w:val="FootnoteText"/>
        <w:ind w:left="0"/>
        <w:rPr>
          <w:rFonts w:asciiTheme="minorHAnsi" w:hAnsiTheme="minorHAnsi" w:cstheme="minorHAnsi"/>
          <w:sz w:val="15"/>
          <w:szCs w:val="15"/>
        </w:rPr>
      </w:pPr>
      <w:r w:rsidRPr="00E83A36">
        <w:rPr>
          <w:rStyle w:val="FootnoteReference"/>
          <w:rFonts w:asciiTheme="minorHAnsi" w:hAnsiTheme="minorHAnsi" w:cstheme="minorHAnsi"/>
          <w:sz w:val="15"/>
          <w:szCs w:val="15"/>
        </w:rPr>
        <w:footnoteRef/>
      </w:r>
      <w:r w:rsidRPr="00E83A36">
        <w:rPr>
          <w:rFonts w:asciiTheme="minorHAnsi" w:hAnsiTheme="minorHAnsi" w:cstheme="minorHAnsi"/>
          <w:sz w:val="15"/>
          <w:szCs w:val="15"/>
        </w:rPr>
        <w:t xml:space="preserve"> Target and processes for the policy and regulatory and planning frameworks review to be refined during project inception. The mid-term and end-of-process targets can proposed herein are proposed on an interim basis. </w:t>
      </w:r>
    </w:p>
  </w:footnote>
  <w:footnote w:id="113">
    <w:p w14:paraId="077BE525" w14:textId="77777777" w:rsidR="004D2871" w:rsidRPr="00E83A36" w:rsidRDefault="004D2871" w:rsidP="009563B4">
      <w:pPr>
        <w:pStyle w:val="FootnoteText"/>
        <w:ind w:left="0"/>
        <w:rPr>
          <w:rFonts w:asciiTheme="minorHAnsi" w:hAnsiTheme="minorHAnsi" w:cstheme="minorHAnsi"/>
          <w:sz w:val="15"/>
          <w:szCs w:val="15"/>
        </w:rPr>
      </w:pPr>
      <w:r w:rsidRPr="00E83A36">
        <w:rPr>
          <w:rStyle w:val="FootnoteReference"/>
          <w:rFonts w:asciiTheme="minorHAnsi" w:hAnsiTheme="minorHAnsi" w:cstheme="minorHAnsi"/>
          <w:sz w:val="15"/>
          <w:szCs w:val="15"/>
        </w:rPr>
        <w:footnoteRef/>
      </w:r>
      <w:r w:rsidRPr="00E83A36">
        <w:rPr>
          <w:rFonts w:asciiTheme="minorHAnsi" w:hAnsiTheme="minorHAnsi" w:cstheme="minorHAnsi"/>
          <w:sz w:val="15"/>
          <w:szCs w:val="15"/>
        </w:rPr>
        <w:t xml:space="preserve">  See  </w:t>
      </w:r>
      <w:hyperlink r:id="rId26" w:history="1">
        <w:r w:rsidRPr="00E83A36">
          <w:rPr>
            <w:rStyle w:val="Hyperlink"/>
            <w:rFonts w:asciiTheme="minorHAnsi" w:hAnsiTheme="minorHAnsi" w:cstheme="minorHAnsi"/>
            <w:sz w:val="15"/>
            <w:szCs w:val="15"/>
          </w:rPr>
          <w:t>FAO Operational Guidelines for Stakeholder Engagement</w:t>
        </w:r>
      </w:hyperlink>
      <w:r w:rsidRPr="00E83A36">
        <w:rPr>
          <w:rStyle w:val="Hyperlink"/>
          <w:rFonts w:asciiTheme="minorHAnsi" w:hAnsiTheme="minorHAnsi" w:cstheme="minorHAnsi"/>
          <w:sz w:val="15"/>
          <w:szCs w:val="15"/>
        </w:rPr>
        <w:t xml:space="preserve">. </w:t>
      </w:r>
    </w:p>
  </w:footnote>
  <w:footnote w:id="114">
    <w:p w14:paraId="56DB58E2" w14:textId="77777777" w:rsidR="004D2871" w:rsidRPr="00E83A36" w:rsidRDefault="004D2871" w:rsidP="009563B4">
      <w:pPr>
        <w:pStyle w:val="FootnoteText"/>
        <w:ind w:left="0"/>
        <w:rPr>
          <w:rFonts w:asciiTheme="minorHAnsi" w:hAnsiTheme="minorHAnsi" w:cstheme="minorHAnsi"/>
          <w:sz w:val="15"/>
          <w:szCs w:val="15"/>
        </w:rPr>
      </w:pPr>
      <w:r w:rsidRPr="00E83A36">
        <w:rPr>
          <w:rStyle w:val="FootnoteReference"/>
          <w:rFonts w:asciiTheme="minorHAnsi" w:hAnsiTheme="minorHAnsi" w:cstheme="minorHAnsi"/>
          <w:sz w:val="15"/>
          <w:szCs w:val="15"/>
        </w:rPr>
        <w:footnoteRef/>
      </w:r>
      <w:r w:rsidRPr="00E83A36">
        <w:rPr>
          <w:rFonts w:asciiTheme="minorHAnsi" w:hAnsiTheme="minorHAnsi" w:cstheme="minorHAnsi"/>
          <w:sz w:val="15"/>
          <w:szCs w:val="15"/>
        </w:rPr>
        <w:t xml:space="preserve"> Compliance Reviews following complaints related to the Organization’s environmental and social standards: </w:t>
      </w:r>
      <w:hyperlink r:id="rId27" w:history="1">
        <w:r w:rsidRPr="00E83A36">
          <w:rPr>
            <w:rStyle w:val="Hyperlink"/>
            <w:rFonts w:asciiTheme="minorHAnsi" w:hAnsiTheme="minorHAnsi" w:cstheme="minorHAnsi"/>
            <w:sz w:val="15"/>
            <w:szCs w:val="15"/>
          </w:rPr>
          <w:t>http://www.fao.org/aud/42564-03173af392b352dc16b6cec72fa7ab27f.pdf</w:t>
        </w:r>
      </w:hyperlink>
      <w:r w:rsidRPr="00E83A36">
        <w:rPr>
          <w:rFonts w:asciiTheme="minorHAnsi" w:hAnsiTheme="minorHAnsi" w:cstheme="minorHAnsi"/>
          <w:sz w:val="15"/>
          <w:szCs w:val="15"/>
        </w:rPr>
        <w:t xml:space="preserve"> </w:t>
      </w:r>
      <w:r w:rsidRPr="00E83A36" w:rsidDel="005A3AD4">
        <w:rPr>
          <w:rFonts w:asciiTheme="minorHAnsi" w:hAnsiTheme="minorHAnsi" w:cstheme="minorHAnsi"/>
          <w:sz w:val="15"/>
          <w:szCs w:val="15"/>
        </w:rPr>
        <w:t xml:space="preserve"> </w:t>
      </w:r>
    </w:p>
  </w:footnote>
  <w:footnote w:id="115">
    <w:p w14:paraId="463CB306" w14:textId="102C3DE3" w:rsidR="004D2871" w:rsidRPr="00DB73AE" w:rsidRDefault="004D2871">
      <w:pPr>
        <w:pStyle w:val="FootnoteText"/>
        <w:rPr>
          <w:lang w:val="en-US"/>
        </w:rPr>
      </w:pPr>
      <w:r>
        <w:rPr>
          <w:rStyle w:val="FootnoteReference"/>
        </w:rPr>
        <w:footnoteRef/>
      </w:r>
      <w:r>
        <w:t xml:space="preserve"> </w:t>
      </w:r>
      <w:r>
        <w:rPr>
          <w:lang w:val="en-US"/>
        </w:rPr>
        <w:t>During the household assessment (SHARP) an error in the forms lead to record a few farmers as a group belonging to indigenous people, which lately was identified and corrected.</w:t>
      </w:r>
    </w:p>
  </w:footnote>
  <w:footnote w:id="116">
    <w:p w14:paraId="37EDADC5" w14:textId="77777777" w:rsidR="004D2871" w:rsidRPr="00E83A36" w:rsidRDefault="004D2871" w:rsidP="009563B4">
      <w:pPr>
        <w:pStyle w:val="FootnoteText"/>
        <w:ind w:left="0"/>
        <w:rPr>
          <w:rFonts w:asciiTheme="minorHAnsi" w:hAnsiTheme="minorHAnsi" w:cstheme="minorHAnsi"/>
          <w:iCs/>
          <w:sz w:val="15"/>
          <w:szCs w:val="15"/>
        </w:rPr>
      </w:pPr>
      <w:r w:rsidRPr="00E83A36">
        <w:rPr>
          <w:rStyle w:val="FootnoteReference"/>
          <w:rFonts w:asciiTheme="minorHAnsi" w:hAnsiTheme="minorHAnsi" w:cstheme="minorHAnsi"/>
          <w:sz w:val="15"/>
          <w:szCs w:val="15"/>
        </w:rPr>
        <w:footnoteRef/>
      </w:r>
      <w:r w:rsidRPr="00E83A36">
        <w:rPr>
          <w:rFonts w:asciiTheme="minorHAnsi" w:hAnsiTheme="minorHAnsi" w:cstheme="minorHAnsi"/>
          <w:sz w:val="15"/>
          <w:szCs w:val="15"/>
        </w:rPr>
        <w:t xml:space="preserve"> Home site: https://www.iwgia.org/en/</w:t>
      </w:r>
    </w:p>
  </w:footnote>
  <w:footnote w:id="117">
    <w:p w14:paraId="343025F9" w14:textId="77777777" w:rsidR="004D2871" w:rsidRPr="00E83A36" w:rsidRDefault="004D2871" w:rsidP="009563B4">
      <w:pPr>
        <w:pStyle w:val="FootnoteText"/>
        <w:ind w:left="0"/>
        <w:rPr>
          <w:rFonts w:asciiTheme="minorHAnsi" w:hAnsiTheme="minorHAnsi" w:cstheme="minorHAnsi"/>
          <w:sz w:val="15"/>
          <w:szCs w:val="15"/>
        </w:rPr>
      </w:pPr>
      <w:r w:rsidRPr="00E83A36">
        <w:rPr>
          <w:rStyle w:val="FootnoteReference"/>
          <w:rFonts w:asciiTheme="minorHAnsi" w:hAnsiTheme="minorHAnsi" w:cstheme="minorHAnsi"/>
          <w:sz w:val="15"/>
          <w:szCs w:val="15"/>
        </w:rPr>
        <w:footnoteRef/>
      </w:r>
      <w:r w:rsidRPr="00E83A36">
        <w:rPr>
          <w:rFonts w:asciiTheme="minorHAnsi" w:hAnsiTheme="minorHAnsi" w:cstheme="minorHAnsi"/>
          <w:sz w:val="15"/>
          <w:szCs w:val="15"/>
        </w:rPr>
        <w:t xml:space="preserve"> </w:t>
      </w:r>
      <w:r w:rsidRPr="00E83A36">
        <w:rPr>
          <w:rStyle w:val="Hyperlink"/>
          <w:rFonts w:asciiTheme="minorHAnsi" w:hAnsiTheme="minorHAnsi" w:cstheme="minorHAnsi"/>
          <w:sz w:val="15"/>
          <w:szCs w:val="15"/>
        </w:rPr>
        <w:t>Including ILO Convention 169 (Indigenous and Tribal Peoples Convention, 1989), the UN Declaration on the Rights of Indigenous Peoples (2007), UNDG Guidelines on Indigenous Peoples’ Issues, the UN Permanent Forum on Indigenous Issues and the Inter-Agency Support Group on Indigenous Issues</w:t>
      </w:r>
      <w:r w:rsidRPr="00E83A36">
        <w:rPr>
          <w:rFonts w:asciiTheme="minorHAnsi" w:hAnsiTheme="minorHAnsi" w:cstheme="minorHAnsi"/>
          <w:sz w:val="15"/>
          <w:szCs w:val="15"/>
        </w:rPr>
        <w:t>.</w:t>
      </w:r>
    </w:p>
  </w:footnote>
  <w:footnote w:id="118">
    <w:p w14:paraId="362D9F45" w14:textId="77777777" w:rsidR="004D2871" w:rsidRPr="00E83A36" w:rsidRDefault="004D2871" w:rsidP="009563B4">
      <w:pPr>
        <w:pStyle w:val="FootnoteText"/>
        <w:ind w:left="0"/>
        <w:rPr>
          <w:rFonts w:asciiTheme="minorHAnsi" w:hAnsiTheme="minorHAnsi" w:cstheme="minorHAnsi"/>
          <w:sz w:val="15"/>
          <w:szCs w:val="15"/>
        </w:rPr>
      </w:pPr>
      <w:r w:rsidRPr="00E83A36">
        <w:rPr>
          <w:rStyle w:val="FootnoteReference"/>
          <w:rFonts w:asciiTheme="minorHAnsi" w:hAnsiTheme="minorHAnsi" w:cstheme="minorHAnsi"/>
          <w:sz w:val="15"/>
          <w:szCs w:val="15"/>
        </w:rPr>
        <w:footnoteRef/>
      </w:r>
      <w:r w:rsidRPr="00E83A36">
        <w:rPr>
          <w:rFonts w:asciiTheme="minorHAnsi" w:hAnsiTheme="minorHAnsi" w:cstheme="minorHAnsi"/>
          <w:sz w:val="15"/>
          <w:szCs w:val="15"/>
        </w:rPr>
        <w:t xml:space="preserve"> Source: IWGIA – The indigenous world – 2015. See also IWGIA’s (Interactive) Yearbook for 2018: (https://www.iwgia.org/en/resources/yearbook)</w:t>
      </w:r>
    </w:p>
  </w:footnote>
  <w:footnote w:id="119">
    <w:p w14:paraId="0F43DD6E" w14:textId="77777777" w:rsidR="004D2871" w:rsidRPr="00E83A36" w:rsidRDefault="004D2871" w:rsidP="009563B4">
      <w:pPr>
        <w:pStyle w:val="FootnoteText"/>
        <w:ind w:left="0"/>
        <w:rPr>
          <w:rFonts w:asciiTheme="minorHAnsi" w:hAnsiTheme="minorHAnsi" w:cstheme="minorHAnsi"/>
          <w:sz w:val="15"/>
          <w:szCs w:val="15"/>
          <w:lang w:val="pt-BR"/>
        </w:rPr>
      </w:pPr>
      <w:r w:rsidRPr="00E83A36">
        <w:rPr>
          <w:rStyle w:val="FootnoteReference"/>
          <w:rFonts w:asciiTheme="minorHAnsi" w:hAnsiTheme="minorHAnsi" w:cstheme="minorHAnsi"/>
          <w:sz w:val="15"/>
          <w:szCs w:val="15"/>
        </w:rPr>
        <w:footnoteRef/>
      </w:r>
      <w:r w:rsidRPr="00E83A36">
        <w:rPr>
          <w:rFonts w:asciiTheme="minorHAnsi" w:hAnsiTheme="minorHAnsi" w:cstheme="minorHAnsi"/>
          <w:sz w:val="15"/>
          <w:szCs w:val="15"/>
        </w:rPr>
        <w:t xml:space="preserve"> Other groups are mentioned in IWGIA (2015): the Kwisi and Kwepe, which are Khoe-San, but also the Himba (including Kuvale and Zemba). </w:t>
      </w:r>
      <w:r w:rsidRPr="00E83A36">
        <w:rPr>
          <w:rFonts w:asciiTheme="minorHAnsi" w:hAnsiTheme="minorHAnsi" w:cstheme="minorHAnsi"/>
          <w:sz w:val="15"/>
          <w:szCs w:val="15"/>
          <w:lang w:val="pt-BR"/>
        </w:rPr>
        <w:t xml:space="preserve">The latter are Herero-speaking minority groups. </w:t>
      </w:r>
    </w:p>
  </w:footnote>
  <w:footnote w:id="120">
    <w:p w14:paraId="399283C0" w14:textId="77777777" w:rsidR="004D2871" w:rsidRPr="00E83A36" w:rsidRDefault="004D2871" w:rsidP="009563B4">
      <w:pPr>
        <w:pStyle w:val="Default"/>
        <w:rPr>
          <w:rFonts w:asciiTheme="minorHAnsi" w:hAnsiTheme="minorHAnsi" w:cstheme="minorHAnsi"/>
          <w:color w:val="auto"/>
          <w:sz w:val="15"/>
          <w:szCs w:val="15"/>
        </w:rPr>
      </w:pPr>
      <w:r w:rsidRPr="00E83A36">
        <w:rPr>
          <w:rStyle w:val="FootnoteReference"/>
          <w:rFonts w:asciiTheme="minorHAnsi" w:hAnsiTheme="minorHAnsi" w:cstheme="minorHAnsi"/>
          <w:color w:val="auto"/>
          <w:sz w:val="15"/>
          <w:szCs w:val="15"/>
        </w:rPr>
        <w:footnoteRef/>
      </w:r>
      <w:r w:rsidRPr="00E83A36">
        <w:rPr>
          <w:rFonts w:asciiTheme="minorHAnsi" w:hAnsiTheme="minorHAnsi" w:cstheme="minorHAnsi"/>
          <w:color w:val="auto"/>
          <w:sz w:val="15"/>
          <w:szCs w:val="15"/>
          <w:lang w:val="pt-BR"/>
        </w:rPr>
        <w:t xml:space="preserve"> </w:t>
      </w:r>
      <w:r w:rsidRPr="00E83A36">
        <w:rPr>
          <w:rFonts w:asciiTheme="minorHAnsi" w:eastAsiaTheme="minorHAnsi" w:hAnsiTheme="minorHAnsi" w:cstheme="minorHAnsi"/>
          <w:bCs/>
          <w:color w:val="auto"/>
          <w:sz w:val="15"/>
          <w:szCs w:val="15"/>
          <w:lang w:val="pt-BR"/>
        </w:rPr>
        <w:t xml:space="preserve">Resultados definitivos - </w:t>
      </w:r>
      <w:r w:rsidRPr="00E83A36">
        <w:rPr>
          <w:rFonts w:asciiTheme="minorHAnsi" w:hAnsiTheme="minorHAnsi" w:cstheme="minorHAnsi"/>
          <w:bCs/>
          <w:color w:val="auto"/>
          <w:sz w:val="15"/>
          <w:szCs w:val="15"/>
          <w:lang w:val="pt-BR"/>
        </w:rPr>
        <w:t xml:space="preserve">recenseamento geral da população e habitação – 2014. </w:t>
      </w:r>
      <w:r w:rsidRPr="00E83A36">
        <w:rPr>
          <w:rFonts w:asciiTheme="minorHAnsi" w:eastAsiaTheme="minorHAnsi" w:hAnsiTheme="minorHAnsi" w:cstheme="minorHAnsi"/>
          <w:bCs/>
          <w:color w:val="auto"/>
          <w:sz w:val="15"/>
          <w:szCs w:val="15"/>
        </w:rPr>
        <w:t xml:space="preserve">Província do Cuando Cubango, </w:t>
      </w:r>
      <w:hyperlink r:id="rId28" w:history="1">
        <w:r w:rsidRPr="00E83A36">
          <w:rPr>
            <w:rStyle w:val="Hyperlink"/>
            <w:rFonts w:asciiTheme="minorHAnsi" w:eastAsiaTheme="minorHAnsi" w:hAnsiTheme="minorHAnsi" w:cstheme="minorHAnsi"/>
            <w:bCs/>
            <w:color w:val="auto"/>
            <w:sz w:val="15"/>
            <w:szCs w:val="15"/>
          </w:rPr>
          <w:t>www.ine.gov.ao</w:t>
        </w:r>
      </w:hyperlink>
      <w:r w:rsidRPr="00E83A36">
        <w:rPr>
          <w:rFonts w:asciiTheme="minorHAnsi" w:eastAsiaTheme="minorHAnsi" w:hAnsiTheme="minorHAnsi" w:cstheme="minorHAnsi"/>
          <w:bCs/>
          <w:color w:val="auto"/>
          <w:sz w:val="15"/>
          <w:szCs w:val="15"/>
        </w:rPr>
        <w:t>, p. 9.</w:t>
      </w:r>
    </w:p>
  </w:footnote>
  <w:footnote w:id="121">
    <w:p w14:paraId="44D53ED5" w14:textId="77777777" w:rsidR="004D2871" w:rsidRPr="00E83A36" w:rsidRDefault="004D2871" w:rsidP="009563B4">
      <w:pPr>
        <w:pStyle w:val="FootnoteText"/>
        <w:ind w:left="0"/>
        <w:rPr>
          <w:rFonts w:asciiTheme="minorHAnsi" w:hAnsiTheme="minorHAnsi" w:cstheme="minorHAnsi"/>
          <w:sz w:val="15"/>
          <w:szCs w:val="15"/>
        </w:rPr>
      </w:pPr>
      <w:r w:rsidRPr="00E83A36">
        <w:rPr>
          <w:rStyle w:val="FootnoteReference"/>
          <w:rFonts w:asciiTheme="minorHAnsi" w:hAnsiTheme="minorHAnsi" w:cstheme="minorHAnsi"/>
          <w:sz w:val="15"/>
          <w:szCs w:val="15"/>
        </w:rPr>
        <w:footnoteRef/>
      </w:r>
      <w:r w:rsidRPr="00E83A36">
        <w:rPr>
          <w:rFonts w:asciiTheme="minorHAnsi" w:hAnsiTheme="minorHAnsi" w:cstheme="minorHAnsi"/>
          <w:sz w:val="15"/>
          <w:szCs w:val="15"/>
        </w:rPr>
        <w:t xml:space="preserve"> See e.g. Wikipedia entry “</w:t>
      </w:r>
      <w:hyperlink r:id="rId29" w:history="1">
        <w:r w:rsidRPr="00E83A36">
          <w:rPr>
            <w:rStyle w:val="Hyperlink"/>
            <w:rFonts w:asciiTheme="minorHAnsi" w:hAnsiTheme="minorHAnsi" w:cstheme="minorHAnsi"/>
            <w:i/>
            <w:sz w:val="15"/>
            <w:szCs w:val="15"/>
          </w:rPr>
          <w:t>Línguas de Angola</w:t>
        </w:r>
      </w:hyperlink>
      <w:r w:rsidRPr="00E83A36">
        <w:rPr>
          <w:rFonts w:asciiTheme="minorHAnsi" w:hAnsiTheme="minorHAnsi" w:cstheme="minorHAnsi"/>
          <w:sz w:val="15"/>
          <w:szCs w:val="15"/>
        </w:rPr>
        <w:t xml:space="preserve">” (accessed in Oct 2018) and other information iteratively derived from it. </w:t>
      </w:r>
    </w:p>
  </w:footnote>
  <w:footnote w:id="122">
    <w:p w14:paraId="43D8424D" w14:textId="77777777" w:rsidR="004D2871" w:rsidRPr="00E83A36" w:rsidRDefault="004D2871" w:rsidP="009563B4">
      <w:pPr>
        <w:pStyle w:val="FootnoteText"/>
        <w:ind w:left="0"/>
        <w:rPr>
          <w:rFonts w:asciiTheme="minorHAnsi" w:hAnsiTheme="minorHAnsi" w:cstheme="minorHAnsi"/>
          <w:sz w:val="15"/>
          <w:szCs w:val="15"/>
          <w:lang w:val="pt-BR"/>
        </w:rPr>
      </w:pPr>
      <w:r w:rsidRPr="00E83A36">
        <w:rPr>
          <w:rStyle w:val="FootnoteReference"/>
          <w:rFonts w:asciiTheme="minorHAnsi" w:hAnsiTheme="minorHAnsi" w:cstheme="minorHAnsi"/>
          <w:sz w:val="15"/>
          <w:szCs w:val="15"/>
        </w:rPr>
        <w:footnoteRef/>
      </w:r>
      <w:r w:rsidRPr="00E83A36">
        <w:rPr>
          <w:rFonts w:asciiTheme="minorHAnsi" w:hAnsiTheme="minorHAnsi" w:cstheme="minorHAnsi"/>
          <w:sz w:val="15"/>
          <w:szCs w:val="15"/>
          <w:lang w:val="pt-BR"/>
        </w:rPr>
        <w:t xml:space="preserve"> IWGIA (2015).</w:t>
      </w:r>
    </w:p>
  </w:footnote>
  <w:footnote w:id="123">
    <w:p w14:paraId="5A746467" w14:textId="77777777" w:rsidR="004D2871" w:rsidRPr="00E83A36" w:rsidRDefault="004D2871" w:rsidP="009563B4">
      <w:pPr>
        <w:rPr>
          <w:rFonts w:asciiTheme="minorHAnsi" w:hAnsiTheme="minorHAnsi" w:cstheme="minorHAnsi"/>
          <w:sz w:val="15"/>
          <w:szCs w:val="15"/>
          <w:lang w:val="pt-BR"/>
        </w:rPr>
      </w:pPr>
      <w:r w:rsidRPr="00E83A36">
        <w:rPr>
          <w:rStyle w:val="FootnoteReference"/>
          <w:rFonts w:asciiTheme="minorHAnsi" w:hAnsiTheme="minorHAnsi" w:cstheme="minorHAnsi"/>
          <w:sz w:val="15"/>
          <w:szCs w:val="15"/>
        </w:rPr>
        <w:footnoteRef/>
      </w:r>
      <w:r w:rsidRPr="00E83A36">
        <w:rPr>
          <w:rFonts w:asciiTheme="minorHAnsi" w:hAnsiTheme="minorHAnsi" w:cstheme="minorHAnsi"/>
          <w:sz w:val="15"/>
          <w:szCs w:val="15"/>
          <w:lang w:val="pt-BR"/>
        </w:rPr>
        <w:t xml:space="preserve"> </w:t>
      </w:r>
      <w:hyperlink r:id="rId30" w:history="1">
        <w:r w:rsidRPr="00E83A36">
          <w:rPr>
            <w:rStyle w:val="Hyperlink"/>
            <w:rFonts w:asciiTheme="minorHAnsi" w:hAnsiTheme="minorHAnsi" w:cstheme="minorHAnsi"/>
            <w:sz w:val="15"/>
            <w:szCs w:val="15"/>
            <w:lang w:val="pt-BR"/>
          </w:rPr>
          <w:t>https://www.makaangola.org/2019/10/estao-a-queimar-angola/</w:t>
        </w:r>
      </w:hyperlink>
      <w:r w:rsidRPr="00E83A36">
        <w:rPr>
          <w:rFonts w:asciiTheme="minorHAnsi" w:hAnsiTheme="minorHAnsi" w:cstheme="minorHAnsi"/>
          <w:sz w:val="15"/>
          <w:szCs w:val="15"/>
          <w:lang w:val="pt-BR"/>
        </w:rPr>
        <w:t>, “ESTÃO A QUEIMAR ANGOLA”, 10 de Outubro de 2019,  </w:t>
      </w:r>
      <w:hyperlink r:id="rId31" w:tooltip="View all posts by Rafael Marques de Morais" w:history="1">
        <w:r w:rsidRPr="00E83A36">
          <w:rPr>
            <w:rStyle w:val="Hyperlink"/>
            <w:rFonts w:asciiTheme="minorHAnsi" w:hAnsiTheme="minorHAnsi" w:cstheme="minorHAnsi"/>
            <w:sz w:val="15"/>
            <w:szCs w:val="15"/>
            <w:lang w:val="pt-BR"/>
          </w:rPr>
          <w:t>Rafael Marques de Morais</w:t>
        </w:r>
      </w:hyperlink>
      <w:r w:rsidRPr="00E83A36">
        <w:rPr>
          <w:rFonts w:asciiTheme="minorHAnsi" w:hAnsiTheme="minorHAnsi" w:cstheme="minorHAnsi"/>
          <w:sz w:val="15"/>
          <w:szCs w:val="15"/>
          <w:lang w:val="pt-BR"/>
        </w:rPr>
        <w:t>.</w:t>
      </w:r>
    </w:p>
  </w:footnote>
  <w:footnote w:id="124">
    <w:p w14:paraId="3E3CBADB" w14:textId="77777777" w:rsidR="004D2871" w:rsidRPr="00E83A36" w:rsidRDefault="004D2871" w:rsidP="009563B4">
      <w:pPr>
        <w:pStyle w:val="FootnoteText"/>
        <w:ind w:left="0"/>
        <w:rPr>
          <w:rFonts w:asciiTheme="minorHAnsi" w:hAnsiTheme="minorHAnsi" w:cstheme="minorHAnsi"/>
          <w:sz w:val="15"/>
          <w:szCs w:val="15"/>
        </w:rPr>
      </w:pPr>
      <w:r w:rsidRPr="00E83A36">
        <w:rPr>
          <w:rStyle w:val="FootnoteReference"/>
          <w:rFonts w:asciiTheme="minorHAnsi" w:hAnsiTheme="minorHAnsi" w:cstheme="minorHAnsi"/>
          <w:sz w:val="15"/>
          <w:szCs w:val="15"/>
        </w:rPr>
        <w:footnoteRef/>
      </w:r>
      <w:r w:rsidRPr="00E83A36">
        <w:rPr>
          <w:rFonts w:asciiTheme="minorHAnsi" w:hAnsiTheme="minorHAnsi" w:cstheme="minorHAnsi"/>
          <w:sz w:val="15"/>
          <w:szCs w:val="15"/>
        </w:rPr>
        <w:t xml:space="preserve">  Ibid. The same NGO, back in 2014, was reported by IWGIA to be active in different provinces, implementing community programs on human rights, food security, preventive health care and education, information and communication.</w:t>
      </w:r>
    </w:p>
  </w:footnote>
  <w:footnote w:id="125">
    <w:p w14:paraId="3AD92B91" w14:textId="77777777" w:rsidR="004D2871" w:rsidRPr="00E83A36" w:rsidRDefault="004D2871" w:rsidP="009563B4">
      <w:pPr>
        <w:pStyle w:val="FootnoteText"/>
        <w:ind w:left="0"/>
        <w:rPr>
          <w:rFonts w:asciiTheme="minorHAnsi" w:hAnsiTheme="minorHAnsi" w:cstheme="minorHAnsi"/>
          <w:sz w:val="15"/>
          <w:szCs w:val="15"/>
        </w:rPr>
      </w:pPr>
      <w:r w:rsidRPr="00E83A36">
        <w:rPr>
          <w:rStyle w:val="FootnoteReference"/>
          <w:rFonts w:asciiTheme="minorHAnsi" w:hAnsiTheme="minorHAnsi" w:cstheme="minorHAnsi"/>
          <w:sz w:val="15"/>
          <w:szCs w:val="15"/>
        </w:rPr>
        <w:footnoteRef/>
      </w:r>
      <w:r w:rsidRPr="00E83A36">
        <w:rPr>
          <w:rFonts w:asciiTheme="minorHAnsi" w:hAnsiTheme="minorHAnsi" w:cstheme="minorHAnsi"/>
          <w:sz w:val="15"/>
          <w:szCs w:val="15"/>
        </w:rPr>
        <w:t xml:space="preserve"> </w:t>
      </w:r>
      <w:r w:rsidRPr="00E83A36">
        <w:rPr>
          <w:rFonts w:asciiTheme="minorHAnsi" w:hAnsiTheme="minorHAnsi" w:cstheme="minorHAnsi"/>
          <w:i/>
          <w:sz w:val="15"/>
          <w:szCs w:val="15"/>
        </w:rPr>
        <w:t>The Indigenous World 2019</w:t>
      </w:r>
      <w:r w:rsidRPr="00E83A36">
        <w:rPr>
          <w:rFonts w:asciiTheme="minorHAnsi" w:hAnsiTheme="minorHAnsi" w:cstheme="minorHAnsi"/>
          <w:sz w:val="15"/>
          <w:szCs w:val="15"/>
        </w:rPr>
        <w:t xml:space="preserve">, p. 534, </w:t>
      </w:r>
      <w:hyperlink r:id="rId32" w:history="1">
        <w:r w:rsidRPr="00E83A36">
          <w:rPr>
            <w:rStyle w:val="Hyperlink"/>
            <w:rFonts w:asciiTheme="minorHAnsi" w:hAnsiTheme="minorHAnsi" w:cstheme="minorHAnsi"/>
            <w:sz w:val="15"/>
            <w:szCs w:val="15"/>
          </w:rPr>
          <w:t>https://www.iwgia.org/images/documents/indigenous-world/IndigenousWorld2019_UK.pdf</w:t>
        </w:r>
      </w:hyperlink>
    </w:p>
  </w:footnote>
  <w:footnote w:id="126">
    <w:p w14:paraId="38692282" w14:textId="77777777" w:rsidR="004D2871" w:rsidRPr="00E83A36" w:rsidRDefault="004D2871" w:rsidP="009563B4">
      <w:pPr>
        <w:pStyle w:val="FootnoteText"/>
        <w:ind w:left="0"/>
        <w:rPr>
          <w:rFonts w:asciiTheme="minorHAnsi" w:hAnsiTheme="minorHAnsi" w:cstheme="minorHAnsi"/>
          <w:sz w:val="15"/>
          <w:szCs w:val="15"/>
        </w:rPr>
      </w:pPr>
      <w:r w:rsidRPr="00E83A36">
        <w:rPr>
          <w:rStyle w:val="FootnoteReference"/>
          <w:rFonts w:asciiTheme="minorHAnsi" w:hAnsiTheme="minorHAnsi" w:cstheme="minorHAnsi"/>
          <w:sz w:val="15"/>
          <w:szCs w:val="15"/>
        </w:rPr>
        <w:footnoteRef/>
      </w:r>
      <w:r w:rsidRPr="00E83A36">
        <w:rPr>
          <w:rFonts w:asciiTheme="minorHAnsi" w:hAnsiTheme="minorHAnsi" w:cstheme="minorHAnsi"/>
          <w:sz w:val="15"/>
          <w:szCs w:val="15"/>
        </w:rPr>
        <w:t xml:space="preserve"> José Redinha’s map is displayed in Wikipedia under “</w:t>
      </w:r>
      <w:r w:rsidRPr="00E83A36">
        <w:rPr>
          <w:rFonts w:asciiTheme="minorHAnsi" w:hAnsiTheme="minorHAnsi" w:cstheme="minorHAnsi"/>
          <w:i/>
          <w:sz w:val="15"/>
          <w:szCs w:val="15"/>
        </w:rPr>
        <w:t>Línguas de Angola</w:t>
      </w:r>
      <w:r w:rsidRPr="00E83A36">
        <w:rPr>
          <w:rFonts w:asciiTheme="minorHAnsi" w:hAnsiTheme="minorHAnsi" w:cstheme="minorHAnsi"/>
          <w:sz w:val="15"/>
          <w:szCs w:val="15"/>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009"/>
      <w:gridCol w:w="3009"/>
      <w:gridCol w:w="3009"/>
    </w:tblGrid>
    <w:tr w:rsidR="004D2871" w14:paraId="2111FAB1" w14:textId="77777777" w:rsidTr="00D427F8">
      <w:tc>
        <w:tcPr>
          <w:tcW w:w="3009" w:type="dxa"/>
        </w:tcPr>
        <w:p w14:paraId="181A1FE8" w14:textId="0EF967FC" w:rsidR="004D2871" w:rsidRDefault="004D2871" w:rsidP="00D427F8">
          <w:pPr>
            <w:pStyle w:val="Header"/>
            <w:ind w:left="-115"/>
          </w:pPr>
        </w:p>
      </w:tc>
      <w:tc>
        <w:tcPr>
          <w:tcW w:w="3009" w:type="dxa"/>
        </w:tcPr>
        <w:p w14:paraId="541CF9EC" w14:textId="47C9915A" w:rsidR="004D2871" w:rsidRDefault="004D2871" w:rsidP="00D427F8">
          <w:pPr>
            <w:pStyle w:val="Header"/>
            <w:jc w:val="center"/>
          </w:pPr>
        </w:p>
      </w:tc>
      <w:tc>
        <w:tcPr>
          <w:tcW w:w="3009" w:type="dxa"/>
        </w:tcPr>
        <w:p w14:paraId="494622CE" w14:textId="23E43FB0" w:rsidR="004D2871" w:rsidRDefault="004D2871" w:rsidP="00D427F8">
          <w:pPr>
            <w:pStyle w:val="Header"/>
            <w:ind w:right="-115"/>
            <w:jc w:val="right"/>
          </w:pPr>
        </w:p>
      </w:tc>
    </w:tr>
  </w:tbl>
  <w:p w14:paraId="3FAA6694" w14:textId="38A4B47C" w:rsidR="004D2871" w:rsidRDefault="004D287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BD9FC3" w14:textId="7B040416" w:rsidR="004D2871" w:rsidRDefault="004D287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249"/>
      <w:gridCol w:w="3249"/>
      <w:gridCol w:w="3249"/>
    </w:tblGrid>
    <w:tr w:rsidR="004D2871" w14:paraId="40B17A26" w14:textId="77777777" w:rsidTr="00D01E88">
      <w:tc>
        <w:tcPr>
          <w:tcW w:w="3249" w:type="dxa"/>
        </w:tcPr>
        <w:p w14:paraId="176B0D6C" w14:textId="5B6A3E08" w:rsidR="004D2871" w:rsidRDefault="004D2871" w:rsidP="00F710E2">
          <w:pPr>
            <w:pStyle w:val="Header"/>
            <w:ind w:left="-115"/>
          </w:pPr>
        </w:p>
      </w:tc>
      <w:tc>
        <w:tcPr>
          <w:tcW w:w="3249" w:type="dxa"/>
        </w:tcPr>
        <w:p w14:paraId="5462DDB7" w14:textId="186913E1" w:rsidR="004D2871" w:rsidRDefault="004D2871" w:rsidP="00E95928">
          <w:pPr>
            <w:pStyle w:val="Header"/>
            <w:jc w:val="center"/>
          </w:pPr>
        </w:p>
      </w:tc>
      <w:tc>
        <w:tcPr>
          <w:tcW w:w="3249" w:type="dxa"/>
        </w:tcPr>
        <w:p w14:paraId="395B1D45" w14:textId="4623A436" w:rsidR="004D2871" w:rsidRDefault="004D2871" w:rsidP="00931F7E">
          <w:pPr>
            <w:pStyle w:val="Header"/>
            <w:ind w:right="-115"/>
            <w:jc w:val="right"/>
          </w:pPr>
        </w:p>
      </w:tc>
    </w:tr>
  </w:tbl>
  <w:p w14:paraId="10E5E50D" w14:textId="641DBA80" w:rsidR="004D2871" w:rsidRDefault="004D2871">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6EF8E2" w14:textId="21ACBE0F" w:rsidR="004D2871" w:rsidRDefault="004D2871">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7ABA09" w14:textId="0A7ECE51" w:rsidR="004D2871" w:rsidRDefault="004D2871">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009"/>
      <w:gridCol w:w="3009"/>
      <w:gridCol w:w="3009"/>
    </w:tblGrid>
    <w:tr w:rsidR="004D2871" w14:paraId="32EA4E9F" w14:textId="77777777" w:rsidTr="00AA350D">
      <w:tc>
        <w:tcPr>
          <w:tcW w:w="3009" w:type="dxa"/>
        </w:tcPr>
        <w:p w14:paraId="221D3274" w14:textId="3F7AAA5D" w:rsidR="004D2871" w:rsidRDefault="004D2871" w:rsidP="00AA350D">
          <w:pPr>
            <w:pStyle w:val="Header"/>
            <w:ind w:left="-115"/>
          </w:pPr>
        </w:p>
      </w:tc>
      <w:tc>
        <w:tcPr>
          <w:tcW w:w="3009" w:type="dxa"/>
        </w:tcPr>
        <w:p w14:paraId="7D4B0373" w14:textId="55E62D25" w:rsidR="004D2871" w:rsidRDefault="004D2871" w:rsidP="00AA350D">
          <w:pPr>
            <w:pStyle w:val="Header"/>
            <w:jc w:val="center"/>
          </w:pPr>
        </w:p>
      </w:tc>
      <w:tc>
        <w:tcPr>
          <w:tcW w:w="3009" w:type="dxa"/>
        </w:tcPr>
        <w:p w14:paraId="40D91390" w14:textId="3E816F4D" w:rsidR="004D2871" w:rsidRDefault="004D2871" w:rsidP="00AA350D">
          <w:pPr>
            <w:pStyle w:val="Header"/>
            <w:ind w:right="-115"/>
            <w:jc w:val="right"/>
          </w:pPr>
        </w:p>
      </w:tc>
    </w:tr>
  </w:tbl>
  <w:p w14:paraId="5ECE8A0E" w14:textId="3DBDA70F" w:rsidR="004D2871" w:rsidRDefault="004D2871">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76540D" w14:textId="638899BD" w:rsidR="004D2871" w:rsidRDefault="004D2871">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DEBC6A" w14:textId="424C95C6" w:rsidR="004D2871" w:rsidRDefault="004D2871">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009"/>
      <w:gridCol w:w="3009"/>
      <w:gridCol w:w="3009"/>
    </w:tblGrid>
    <w:tr w:rsidR="004D2871" w14:paraId="72C6D7C9" w14:textId="77777777" w:rsidTr="00D01E88">
      <w:tc>
        <w:tcPr>
          <w:tcW w:w="3009" w:type="dxa"/>
        </w:tcPr>
        <w:p w14:paraId="12154E68" w14:textId="142F3CB6" w:rsidR="004D2871" w:rsidRDefault="004D2871" w:rsidP="00F710E2">
          <w:pPr>
            <w:pStyle w:val="Header"/>
            <w:ind w:left="-115"/>
          </w:pPr>
        </w:p>
      </w:tc>
      <w:tc>
        <w:tcPr>
          <w:tcW w:w="3009" w:type="dxa"/>
        </w:tcPr>
        <w:p w14:paraId="47744DC6" w14:textId="474E049A" w:rsidR="004D2871" w:rsidRDefault="004D2871" w:rsidP="00E95928">
          <w:pPr>
            <w:pStyle w:val="Header"/>
            <w:jc w:val="center"/>
          </w:pPr>
        </w:p>
      </w:tc>
      <w:tc>
        <w:tcPr>
          <w:tcW w:w="3009" w:type="dxa"/>
        </w:tcPr>
        <w:p w14:paraId="10C1861A" w14:textId="7BF94602" w:rsidR="004D2871" w:rsidRDefault="004D2871" w:rsidP="00931F7E">
          <w:pPr>
            <w:pStyle w:val="Header"/>
            <w:ind w:right="-115"/>
            <w:jc w:val="right"/>
          </w:pPr>
        </w:p>
      </w:tc>
    </w:tr>
  </w:tbl>
  <w:p w14:paraId="22D74365" w14:textId="0F1AA44D" w:rsidR="004D2871" w:rsidRDefault="004D2871" w:rsidP="00572460">
    <w:pPr>
      <w:pStyle w:val="Header"/>
      <w:tabs>
        <w:tab w:val="clear" w:pos="4320"/>
        <w:tab w:val="clear" w:pos="8640"/>
        <w:tab w:val="left" w:pos="1302"/>
      </w:tabs>
    </w:pPr>
    <w:r>
      <w:tab/>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DB09A6" w14:textId="2FBEB5AE" w:rsidR="004D2871" w:rsidRDefault="004D2871">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C9A649" w14:textId="6DC84828" w:rsidR="004D2871" w:rsidRDefault="004D2871">
    <w:pPr>
      <w:pStyle w:val="Heade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009"/>
      <w:gridCol w:w="3009"/>
      <w:gridCol w:w="3009"/>
    </w:tblGrid>
    <w:tr w:rsidR="004D2871" w14:paraId="7B7907B8" w14:textId="77777777" w:rsidTr="001E73AF">
      <w:tc>
        <w:tcPr>
          <w:tcW w:w="3009" w:type="dxa"/>
        </w:tcPr>
        <w:p w14:paraId="7E377F02" w14:textId="37346914" w:rsidR="004D2871" w:rsidRDefault="004D2871" w:rsidP="001E73AF">
          <w:pPr>
            <w:pStyle w:val="Header"/>
            <w:ind w:left="-115"/>
          </w:pPr>
        </w:p>
      </w:tc>
      <w:tc>
        <w:tcPr>
          <w:tcW w:w="3009" w:type="dxa"/>
        </w:tcPr>
        <w:p w14:paraId="46D17B36" w14:textId="1B790389" w:rsidR="004D2871" w:rsidRDefault="004D2871" w:rsidP="001E73AF">
          <w:pPr>
            <w:pStyle w:val="Header"/>
            <w:jc w:val="center"/>
          </w:pPr>
        </w:p>
      </w:tc>
      <w:tc>
        <w:tcPr>
          <w:tcW w:w="3009" w:type="dxa"/>
        </w:tcPr>
        <w:p w14:paraId="3FEAEE07" w14:textId="3834DC71" w:rsidR="004D2871" w:rsidRDefault="004D2871" w:rsidP="001E73AF">
          <w:pPr>
            <w:pStyle w:val="Header"/>
            <w:ind w:right="-115"/>
            <w:jc w:val="right"/>
          </w:pPr>
        </w:p>
      </w:tc>
    </w:tr>
  </w:tbl>
  <w:p w14:paraId="1FAF234C" w14:textId="37850EC2" w:rsidR="004D2871" w:rsidRDefault="004D2871" w:rsidP="00AD0BF5">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3583DF" w14:textId="0C1DC982" w:rsidR="004D2871" w:rsidRDefault="004D2871">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455202" w14:textId="753B4557" w:rsidR="004D2871" w:rsidRDefault="004D2871">
    <w:pPr>
      <w:pStyle w:val="Heade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23669" w:type="dxa"/>
      <w:tblLayout w:type="fixed"/>
      <w:tblLook w:val="06A0" w:firstRow="1" w:lastRow="0" w:firstColumn="1" w:lastColumn="0" w:noHBand="1" w:noVBand="1"/>
    </w:tblPr>
    <w:tblGrid>
      <w:gridCol w:w="8755"/>
      <w:gridCol w:w="7457"/>
      <w:gridCol w:w="7457"/>
    </w:tblGrid>
    <w:tr w:rsidR="004D2871" w14:paraId="6BFBE239" w14:textId="77777777" w:rsidTr="00D01E88">
      <w:tc>
        <w:tcPr>
          <w:tcW w:w="8755" w:type="dxa"/>
        </w:tcPr>
        <w:p w14:paraId="3D7DAE16" w14:textId="30AB1FBF" w:rsidR="004D2871" w:rsidRPr="00A004C6" w:rsidRDefault="004D2871" w:rsidP="00B81D0B">
          <w:pPr>
            <w:pStyle w:val="Header"/>
            <w:ind w:left="-115"/>
            <w:rPr>
              <w:b/>
              <w:bCs/>
              <w:lang w:val="en-GB"/>
            </w:rPr>
          </w:pPr>
          <w:r>
            <w:rPr>
              <w:b/>
              <w:bCs/>
              <w:lang w:val="en-GB"/>
            </w:rPr>
            <w:t>Diagramatic Summary of the</w:t>
          </w:r>
          <w:r w:rsidRPr="00A004C6">
            <w:rPr>
              <w:b/>
              <w:bCs/>
              <w:lang w:val="en-GB"/>
            </w:rPr>
            <w:t xml:space="preserve"> Theory of Change</w:t>
          </w:r>
          <w:r>
            <w:rPr>
              <w:b/>
              <w:bCs/>
              <w:lang w:val="en-GB"/>
            </w:rPr>
            <w:t xml:space="preserve"> for the Child Project in Angola </w:t>
          </w:r>
        </w:p>
      </w:tc>
      <w:tc>
        <w:tcPr>
          <w:tcW w:w="7457" w:type="dxa"/>
        </w:tcPr>
        <w:p w14:paraId="01AAE075" w14:textId="6ADE4A08" w:rsidR="004D2871" w:rsidRDefault="004D2871" w:rsidP="00E95928">
          <w:pPr>
            <w:pStyle w:val="Header"/>
            <w:jc w:val="center"/>
          </w:pPr>
        </w:p>
      </w:tc>
      <w:tc>
        <w:tcPr>
          <w:tcW w:w="7457" w:type="dxa"/>
        </w:tcPr>
        <w:p w14:paraId="58E11399" w14:textId="63A5AE0E" w:rsidR="004D2871" w:rsidRDefault="004D2871" w:rsidP="00931F7E">
          <w:pPr>
            <w:pStyle w:val="Header"/>
            <w:ind w:right="-115"/>
            <w:jc w:val="right"/>
          </w:pPr>
        </w:p>
      </w:tc>
    </w:tr>
  </w:tbl>
  <w:p w14:paraId="2284AB5C" w14:textId="7DE00646" w:rsidR="004D2871" w:rsidRDefault="004D2871">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3A9EE5" w14:textId="0693F56F" w:rsidR="004D2871" w:rsidRDefault="004D2871">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BAD04D" w14:textId="22AAF64F" w:rsidR="004D2871" w:rsidRDefault="004D2871">
    <w:pPr>
      <w:pStyle w:val="Heade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5133"/>
      <w:gridCol w:w="5133"/>
      <w:gridCol w:w="5133"/>
    </w:tblGrid>
    <w:tr w:rsidR="004D2871" w14:paraId="33E92BB1" w14:textId="77777777" w:rsidTr="0097221D">
      <w:tc>
        <w:tcPr>
          <w:tcW w:w="5133" w:type="dxa"/>
        </w:tcPr>
        <w:p w14:paraId="33048DA8" w14:textId="1658E5C0" w:rsidR="004D2871" w:rsidRDefault="004D2871" w:rsidP="0097221D">
          <w:pPr>
            <w:pStyle w:val="Header"/>
            <w:ind w:left="-115"/>
          </w:pPr>
        </w:p>
      </w:tc>
      <w:tc>
        <w:tcPr>
          <w:tcW w:w="5133" w:type="dxa"/>
        </w:tcPr>
        <w:p w14:paraId="3AC78871" w14:textId="2FA2A78E" w:rsidR="004D2871" w:rsidRDefault="004D2871" w:rsidP="0097221D">
          <w:pPr>
            <w:pStyle w:val="Header"/>
            <w:jc w:val="center"/>
          </w:pPr>
        </w:p>
      </w:tc>
      <w:tc>
        <w:tcPr>
          <w:tcW w:w="5133" w:type="dxa"/>
        </w:tcPr>
        <w:p w14:paraId="57BBC0B0" w14:textId="67829C9C" w:rsidR="004D2871" w:rsidRDefault="004D2871" w:rsidP="0097221D">
          <w:pPr>
            <w:pStyle w:val="Header"/>
            <w:ind w:right="-115"/>
            <w:jc w:val="right"/>
          </w:pPr>
        </w:p>
      </w:tc>
    </w:tr>
  </w:tbl>
  <w:p w14:paraId="1ECEE6D3" w14:textId="13B7EBD9" w:rsidR="004D2871" w:rsidRDefault="004D2871">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11063C" w14:textId="165DAC62" w:rsidR="004D2871" w:rsidRDefault="004D2871">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D1A27C" w14:textId="4DB055D9" w:rsidR="004D2871" w:rsidRDefault="004D2871">
    <w:pPr>
      <w:pStyle w:val="Heade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5133"/>
      <w:gridCol w:w="5133"/>
      <w:gridCol w:w="5133"/>
    </w:tblGrid>
    <w:tr w:rsidR="004D2871" w14:paraId="181D1FFF" w14:textId="77777777" w:rsidTr="0097221D">
      <w:tc>
        <w:tcPr>
          <w:tcW w:w="5133" w:type="dxa"/>
        </w:tcPr>
        <w:p w14:paraId="0EC13078" w14:textId="19306194" w:rsidR="004D2871" w:rsidRDefault="004D2871" w:rsidP="0097221D">
          <w:pPr>
            <w:pStyle w:val="Header"/>
            <w:ind w:left="-115"/>
          </w:pPr>
        </w:p>
      </w:tc>
      <w:tc>
        <w:tcPr>
          <w:tcW w:w="5133" w:type="dxa"/>
        </w:tcPr>
        <w:p w14:paraId="4C82D917" w14:textId="6C81BF2E" w:rsidR="004D2871" w:rsidRDefault="004D2871" w:rsidP="0097221D">
          <w:pPr>
            <w:pStyle w:val="Header"/>
            <w:jc w:val="center"/>
          </w:pPr>
        </w:p>
      </w:tc>
      <w:tc>
        <w:tcPr>
          <w:tcW w:w="5133" w:type="dxa"/>
        </w:tcPr>
        <w:p w14:paraId="7FAC636E" w14:textId="1F226FF8" w:rsidR="004D2871" w:rsidRDefault="004D2871" w:rsidP="0097221D">
          <w:pPr>
            <w:pStyle w:val="Header"/>
            <w:ind w:right="-115"/>
            <w:jc w:val="right"/>
          </w:pPr>
        </w:p>
      </w:tc>
    </w:tr>
  </w:tbl>
  <w:p w14:paraId="4366EFE0" w14:textId="00DA466B" w:rsidR="004D2871" w:rsidRDefault="004D2871">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B1CFF3" w14:textId="11DFB1B0" w:rsidR="004D2871" w:rsidRDefault="004D2871">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BA03A8" w14:textId="6998B629" w:rsidR="004D2871" w:rsidRDefault="004D2871">
    <w:pPr>
      <w:pStyle w:val="Heade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009"/>
      <w:gridCol w:w="3009"/>
      <w:gridCol w:w="3009"/>
    </w:tblGrid>
    <w:tr w:rsidR="004D2871" w14:paraId="66359031" w14:textId="77777777" w:rsidTr="0097221D">
      <w:tc>
        <w:tcPr>
          <w:tcW w:w="3009" w:type="dxa"/>
        </w:tcPr>
        <w:p w14:paraId="313847ED" w14:textId="55AE8879" w:rsidR="004D2871" w:rsidRDefault="004D2871" w:rsidP="0097221D">
          <w:pPr>
            <w:pStyle w:val="Header"/>
            <w:ind w:left="-115"/>
          </w:pPr>
        </w:p>
      </w:tc>
      <w:tc>
        <w:tcPr>
          <w:tcW w:w="3009" w:type="dxa"/>
        </w:tcPr>
        <w:p w14:paraId="48120E64" w14:textId="2A177404" w:rsidR="004D2871" w:rsidRDefault="004D2871" w:rsidP="0097221D">
          <w:pPr>
            <w:pStyle w:val="Header"/>
            <w:jc w:val="center"/>
          </w:pPr>
        </w:p>
      </w:tc>
      <w:tc>
        <w:tcPr>
          <w:tcW w:w="3009" w:type="dxa"/>
        </w:tcPr>
        <w:p w14:paraId="1828CC1B" w14:textId="44454CB7" w:rsidR="004D2871" w:rsidRDefault="004D2871" w:rsidP="0097221D">
          <w:pPr>
            <w:pStyle w:val="Header"/>
            <w:ind w:right="-115"/>
            <w:jc w:val="right"/>
          </w:pPr>
        </w:p>
      </w:tc>
    </w:tr>
  </w:tbl>
  <w:p w14:paraId="0EC2AD25" w14:textId="229125F4" w:rsidR="004D2871" w:rsidRDefault="004D2871">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A4B91B" w14:textId="0120FD0E" w:rsidR="004D2871" w:rsidRDefault="004D2871">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18B782" w14:textId="35CB9540" w:rsidR="004D2871" w:rsidRDefault="004D2871">
    <w:pPr>
      <w:pStyle w:val="Header"/>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4653"/>
      <w:gridCol w:w="4653"/>
      <w:gridCol w:w="4653"/>
    </w:tblGrid>
    <w:tr w:rsidR="004D2871" w14:paraId="1387B1A8" w14:textId="77777777" w:rsidTr="0097221D">
      <w:tc>
        <w:tcPr>
          <w:tcW w:w="4653" w:type="dxa"/>
        </w:tcPr>
        <w:p w14:paraId="03FF1AAD" w14:textId="093652F2" w:rsidR="004D2871" w:rsidRDefault="004D2871" w:rsidP="0097221D">
          <w:pPr>
            <w:pStyle w:val="Header"/>
            <w:ind w:left="-115"/>
          </w:pPr>
        </w:p>
      </w:tc>
      <w:tc>
        <w:tcPr>
          <w:tcW w:w="4653" w:type="dxa"/>
        </w:tcPr>
        <w:p w14:paraId="69DEF05C" w14:textId="0C4CB8B6" w:rsidR="004D2871" w:rsidRDefault="004D2871" w:rsidP="0097221D">
          <w:pPr>
            <w:pStyle w:val="Header"/>
            <w:jc w:val="center"/>
          </w:pPr>
        </w:p>
      </w:tc>
      <w:tc>
        <w:tcPr>
          <w:tcW w:w="4653" w:type="dxa"/>
        </w:tcPr>
        <w:p w14:paraId="55A78309" w14:textId="5C31A2AF" w:rsidR="004D2871" w:rsidRDefault="004D2871" w:rsidP="0097221D">
          <w:pPr>
            <w:pStyle w:val="Header"/>
            <w:ind w:right="-115"/>
            <w:jc w:val="right"/>
          </w:pPr>
        </w:p>
      </w:tc>
    </w:tr>
  </w:tbl>
  <w:p w14:paraId="7FB527D4" w14:textId="5E297D7B" w:rsidR="004D2871" w:rsidRDefault="004D2871">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3E3421" w14:textId="3569C587" w:rsidR="004D2871" w:rsidRDefault="004D2871">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F08781" w14:textId="71D87BFF" w:rsidR="004D2871" w:rsidRDefault="004D2871">
    <w:pPr>
      <w:pStyle w:val="Header"/>
    </w:pP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009"/>
      <w:gridCol w:w="3009"/>
      <w:gridCol w:w="3009"/>
    </w:tblGrid>
    <w:tr w:rsidR="004D2871" w14:paraId="4E69791A" w14:textId="77777777" w:rsidTr="0097221D">
      <w:tc>
        <w:tcPr>
          <w:tcW w:w="3009" w:type="dxa"/>
        </w:tcPr>
        <w:p w14:paraId="35362CA5" w14:textId="07B63D08" w:rsidR="004D2871" w:rsidRDefault="004D2871" w:rsidP="0097221D">
          <w:pPr>
            <w:pStyle w:val="Header"/>
            <w:ind w:left="-115"/>
          </w:pPr>
        </w:p>
      </w:tc>
      <w:tc>
        <w:tcPr>
          <w:tcW w:w="3009" w:type="dxa"/>
        </w:tcPr>
        <w:p w14:paraId="7A9C3952" w14:textId="6FC5CF59" w:rsidR="004D2871" w:rsidRDefault="004D2871" w:rsidP="0097221D">
          <w:pPr>
            <w:pStyle w:val="Header"/>
            <w:jc w:val="center"/>
          </w:pPr>
        </w:p>
      </w:tc>
      <w:tc>
        <w:tcPr>
          <w:tcW w:w="3009" w:type="dxa"/>
        </w:tcPr>
        <w:p w14:paraId="078DD215" w14:textId="7CE465B4" w:rsidR="004D2871" w:rsidRDefault="004D2871" w:rsidP="0097221D">
          <w:pPr>
            <w:pStyle w:val="Header"/>
            <w:ind w:right="-115"/>
            <w:jc w:val="right"/>
          </w:pPr>
        </w:p>
      </w:tc>
    </w:tr>
  </w:tbl>
  <w:p w14:paraId="1B48645A" w14:textId="1919E671" w:rsidR="004D2871" w:rsidRDefault="004D2871">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B234F1" w14:textId="78BFD197" w:rsidR="004D2871" w:rsidRDefault="004D2871">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21F048" w14:textId="38148FAB" w:rsidR="004D2871" w:rsidRDefault="004D2871">
    <w:pPr>
      <w:pStyle w:val="Header"/>
    </w:pP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009"/>
      <w:gridCol w:w="3009"/>
      <w:gridCol w:w="3009"/>
    </w:tblGrid>
    <w:tr w:rsidR="004D2871" w14:paraId="611544FA" w14:textId="77777777" w:rsidTr="00D01E88">
      <w:tc>
        <w:tcPr>
          <w:tcW w:w="3009" w:type="dxa"/>
        </w:tcPr>
        <w:p w14:paraId="4FB8B29B" w14:textId="6B453B59" w:rsidR="004D2871" w:rsidRDefault="004D2871" w:rsidP="00D01E88">
          <w:pPr>
            <w:pStyle w:val="Header"/>
            <w:ind w:left="-115"/>
          </w:pPr>
        </w:p>
      </w:tc>
      <w:tc>
        <w:tcPr>
          <w:tcW w:w="3009" w:type="dxa"/>
        </w:tcPr>
        <w:p w14:paraId="278D92CA" w14:textId="0B865E29" w:rsidR="004D2871" w:rsidRDefault="004D2871" w:rsidP="00D01E88">
          <w:pPr>
            <w:pStyle w:val="Header"/>
            <w:jc w:val="center"/>
          </w:pPr>
        </w:p>
      </w:tc>
      <w:tc>
        <w:tcPr>
          <w:tcW w:w="3009" w:type="dxa"/>
        </w:tcPr>
        <w:p w14:paraId="6649BD20" w14:textId="44FED9CC" w:rsidR="004D2871" w:rsidRDefault="004D2871" w:rsidP="00D01E88">
          <w:pPr>
            <w:pStyle w:val="Header"/>
            <w:ind w:right="-115"/>
            <w:jc w:val="right"/>
          </w:pPr>
        </w:p>
      </w:tc>
    </w:tr>
  </w:tbl>
  <w:p w14:paraId="66E52F44" w14:textId="07D86E63" w:rsidR="004D2871" w:rsidRDefault="004D2871">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D5E5CF" w14:textId="10A57F62" w:rsidR="004D2871" w:rsidRDefault="004D2871">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08F946" w14:textId="0FF793F3" w:rsidR="004D2871" w:rsidRDefault="004D2871">
    <w:pPr>
      <w:pStyle w:val="Header"/>
    </w:pP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5133"/>
      <w:gridCol w:w="5133"/>
      <w:gridCol w:w="5133"/>
    </w:tblGrid>
    <w:tr w:rsidR="004D2871" w14:paraId="356A366B" w14:textId="77777777" w:rsidTr="00D01E88">
      <w:tc>
        <w:tcPr>
          <w:tcW w:w="5133" w:type="dxa"/>
        </w:tcPr>
        <w:p w14:paraId="32841B2C" w14:textId="098FC62D" w:rsidR="004D2871" w:rsidRDefault="004D2871" w:rsidP="00D01E88">
          <w:pPr>
            <w:pStyle w:val="Header"/>
            <w:ind w:left="-115"/>
          </w:pPr>
        </w:p>
      </w:tc>
      <w:tc>
        <w:tcPr>
          <w:tcW w:w="5133" w:type="dxa"/>
        </w:tcPr>
        <w:p w14:paraId="7BAC307D" w14:textId="10B0156C" w:rsidR="004D2871" w:rsidRDefault="004D2871" w:rsidP="00D01E88">
          <w:pPr>
            <w:pStyle w:val="Header"/>
            <w:jc w:val="center"/>
          </w:pPr>
        </w:p>
      </w:tc>
      <w:tc>
        <w:tcPr>
          <w:tcW w:w="5133" w:type="dxa"/>
        </w:tcPr>
        <w:p w14:paraId="5C71E3A1" w14:textId="0D17ACC3" w:rsidR="004D2871" w:rsidRDefault="004D2871" w:rsidP="00D01E88">
          <w:pPr>
            <w:pStyle w:val="Header"/>
            <w:ind w:right="-115"/>
            <w:jc w:val="right"/>
          </w:pPr>
        </w:p>
      </w:tc>
    </w:tr>
  </w:tbl>
  <w:p w14:paraId="769D9021" w14:textId="27F38042" w:rsidR="004D2871" w:rsidRDefault="004D2871">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B3A29E" w14:textId="150F8896" w:rsidR="004D2871" w:rsidRDefault="004D2871">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3E2803" w14:textId="758873F7" w:rsidR="004D2871" w:rsidRDefault="004D2871">
    <w:pPr>
      <w:pStyle w:val="Header"/>
    </w:pP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4653"/>
      <w:gridCol w:w="4653"/>
      <w:gridCol w:w="4653"/>
    </w:tblGrid>
    <w:tr w:rsidR="004D2871" w14:paraId="17C6CE9A" w14:textId="77777777" w:rsidTr="00D01E88">
      <w:tc>
        <w:tcPr>
          <w:tcW w:w="4653" w:type="dxa"/>
        </w:tcPr>
        <w:p w14:paraId="4D88D70F" w14:textId="39AC6DD5" w:rsidR="004D2871" w:rsidRDefault="004D2871" w:rsidP="00D01E88">
          <w:pPr>
            <w:pStyle w:val="Header"/>
            <w:ind w:left="-115"/>
          </w:pPr>
        </w:p>
      </w:tc>
      <w:tc>
        <w:tcPr>
          <w:tcW w:w="4653" w:type="dxa"/>
        </w:tcPr>
        <w:p w14:paraId="11597AD9" w14:textId="57B5C4F7" w:rsidR="004D2871" w:rsidRDefault="004D2871" w:rsidP="00D01E88">
          <w:pPr>
            <w:pStyle w:val="Header"/>
            <w:jc w:val="center"/>
          </w:pPr>
        </w:p>
      </w:tc>
      <w:tc>
        <w:tcPr>
          <w:tcW w:w="4653" w:type="dxa"/>
        </w:tcPr>
        <w:p w14:paraId="562DDA94" w14:textId="0E7160DC" w:rsidR="004D2871" w:rsidRDefault="004D2871" w:rsidP="00D01E88">
          <w:pPr>
            <w:pStyle w:val="Header"/>
            <w:ind w:right="-115"/>
            <w:jc w:val="right"/>
          </w:pPr>
        </w:p>
      </w:tc>
    </w:tr>
  </w:tbl>
  <w:p w14:paraId="0B64E36D" w14:textId="0ED5CF35" w:rsidR="004D2871" w:rsidRDefault="004D2871">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D60188" w14:textId="438C398B" w:rsidR="004D2871" w:rsidRDefault="004D2871">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033BBA" w14:textId="7381E94B" w:rsidR="004D2871" w:rsidRDefault="004D2871">
    <w:pPr>
      <w:pStyle w:val="Header"/>
    </w:pP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009"/>
      <w:gridCol w:w="3009"/>
      <w:gridCol w:w="3009"/>
    </w:tblGrid>
    <w:tr w:rsidR="004D2871" w14:paraId="0B7023F1" w14:textId="77777777" w:rsidTr="00D01E88">
      <w:tc>
        <w:tcPr>
          <w:tcW w:w="3009" w:type="dxa"/>
        </w:tcPr>
        <w:p w14:paraId="2A38C2CA" w14:textId="17152157" w:rsidR="004D2871" w:rsidRDefault="004D2871" w:rsidP="00D01E88">
          <w:pPr>
            <w:pStyle w:val="Header"/>
            <w:ind w:left="-115"/>
          </w:pPr>
        </w:p>
      </w:tc>
      <w:tc>
        <w:tcPr>
          <w:tcW w:w="3009" w:type="dxa"/>
        </w:tcPr>
        <w:p w14:paraId="5B3FAAEF" w14:textId="7312D4BF" w:rsidR="004D2871" w:rsidRDefault="004D2871" w:rsidP="00D01E88">
          <w:pPr>
            <w:pStyle w:val="Header"/>
            <w:jc w:val="center"/>
          </w:pPr>
        </w:p>
      </w:tc>
      <w:tc>
        <w:tcPr>
          <w:tcW w:w="3009" w:type="dxa"/>
        </w:tcPr>
        <w:p w14:paraId="2D06F2E1" w14:textId="5F817538" w:rsidR="004D2871" w:rsidRDefault="004D2871" w:rsidP="00D01E88">
          <w:pPr>
            <w:pStyle w:val="Header"/>
            <w:ind w:right="-115"/>
            <w:jc w:val="right"/>
          </w:pPr>
        </w:p>
      </w:tc>
    </w:tr>
  </w:tbl>
  <w:p w14:paraId="18CED8FD" w14:textId="59DFC5D3" w:rsidR="004D2871" w:rsidRDefault="004D2871">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83C797" w14:textId="3B7ADD20" w:rsidR="004D2871" w:rsidRDefault="004D2871">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EBEA2E" w14:textId="7254FCE6" w:rsidR="004D2871" w:rsidRDefault="004D2871">
    <w:pPr>
      <w:pStyle w:val="Header"/>
    </w:pP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4320"/>
      <w:gridCol w:w="4320"/>
      <w:gridCol w:w="4320"/>
    </w:tblGrid>
    <w:tr w:rsidR="004D2871" w14:paraId="7A82024D" w14:textId="77777777" w:rsidTr="00D01E88">
      <w:tc>
        <w:tcPr>
          <w:tcW w:w="4320" w:type="dxa"/>
        </w:tcPr>
        <w:p w14:paraId="7D7FF44A" w14:textId="2BA899E7" w:rsidR="004D2871" w:rsidRDefault="004D2871" w:rsidP="00D01E88">
          <w:pPr>
            <w:pStyle w:val="Header"/>
            <w:ind w:left="-115"/>
          </w:pPr>
        </w:p>
      </w:tc>
      <w:tc>
        <w:tcPr>
          <w:tcW w:w="4320" w:type="dxa"/>
        </w:tcPr>
        <w:p w14:paraId="144515E2" w14:textId="1BE6D574" w:rsidR="004D2871" w:rsidRDefault="004D2871" w:rsidP="00D01E88">
          <w:pPr>
            <w:pStyle w:val="Header"/>
            <w:jc w:val="center"/>
          </w:pPr>
        </w:p>
      </w:tc>
      <w:tc>
        <w:tcPr>
          <w:tcW w:w="4320" w:type="dxa"/>
        </w:tcPr>
        <w:p w14:paraId="3F1DDB26" w14:textId="538919CC" w:rsidR="004D2871" w:rsidRDefault="004D2871" w:rsidP="00D01E88">
          <w:pPr>
            <w:pStyle w:val="Header"/>
            <w:ind w:right="-115"/>
            <w:jc w:val="right"/>
          </w:pPr>
        </w:p>
      </w:tc>
    </w:tr>
  </w:tbl>
  <w:p w14:paraId="6DA6CC58" w14:textId="4176F72B" w:rsidR="004D2871" w:rsidRDefault="004D2871">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CFC03A" w14:textId="6E5FF55E" w:rsidR="004D2871" w:rsidRDefault="004D2871">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6D80D8" w14:textId="53981C6F" w:rsidR="004D2871" w:rsidRDefault="004D2871">
    <w:pPr>
      <w:pStyle w:val="Header"/>
    </w:pP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120"/>
      <w:gridCol w:w="3120"/>
      <w:gridCol w:w="3120"/>
    </w:tblGrid>
    <w:tr w:rsidR="004D2871" w14:paraId="612B542F" w14:textId="77777777" w:rsidTr="00D01E88">
      <w:tc>
        <w:tcPr>
          <w:tcW w:w="3120" w:type="dxa"/>
        </w:tcPr>
        <w:p w14:paraId="4F98F3C7" w14:textId="57D1348A" w:rsidR="004D2871" w:rsidRDefault="004D2871" w:rsidP="00D01E88">
          <w:pPr>
            <w:pStyle w:val="Header"/>
            <w:ind w:left="-115"/>
          </w:pPr>
        </w:p>
      </w:tc>
      <w:tc>
        <w:tcPr>
          <w:tcW w:w="3120" w:type="dxa"/>
        </w:tcPr>
        <w:p w14:paraId="4A117AA2" w14:textId="45258393" w:rsidR="004D2871" w:rsidRDefault="004D2871" w:rsidP="00D01E88">
          <w:pPr>
            <w:pStyle w:val="Header"/>
            <w:jc w:val="center"/>
          </w:pPr>
        </w:p>
      </w:tc>
      <w:tc>
        <w:tcPr>
          <w:tcW w:w="3120" w:type="dxa"/>
        </w:tcPr>
        <w:p w14:paraId="3F65E2F7" w14:textId="53027741" w:rsidR="004D2871" w:rsidRDefault="004D2871" w:rsidP="00D01E88">
          <w:pPr>
            <w:pStyle w:val="Header"/>
            <w:ind w:right="-115"/>
            <w:jc w:val="right"/>
          </w:pPr>
        </w:p>
      </w:tc>
    </w:tr>
  </w:tbl>
  <w:p w14:paraId="02B842C3" w14:textId="0D87A638" w:rsidR="004D2871" w:rsidRDefault="004D2871">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AB474E" w14:textId="0BF510F4" w:rsidR="004D2871" w:rsidRDefault="004D2871">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5464FA" w14:textId="32ADD6B2" w:rsidR="004D2871" w:rsidRDefault="004D2871">
    <w:pPr>
      <w:pStyle w:val="Header"/>
    </w:pP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120"/>
      <w:gridCol w:w="3120"/>
      <w:gridCol w:w="3120"/>
    </w:tblGrid>
    <w:tr w:rsidR="004D2871" w14:paraId="09456C46" w14:textId="77777777" w:rsidTr="00D01E88">
      <w:tc>
        <w:tcPr>
          <w:tcW w:w="3120" w:type="dxa"/>
        </w:tcPr>
        <w:p w14:paraId="1260A5B5" w14:textId="6F3DE701" w:rsidR="004D2871" w:rsidRDefault="004D2871" w:rsidP="00D01E88">
          <w:pPr>
            <w:pStyle w:val="Header"/>
            <w:ind w:left="-115"/>
          </w:pPr>
        </w:p>
      </w:tc>
      <w:tc>
        <w:tcPr>
          <w:tcW w:w="3120" w:type="dxa"/>
        </w:tcPr>
        <w:p w14:paraId="5D893C6E" w14:textId="1767B249" w:rsidR="004D2871" w:rsidRDefault="004D2871" w:rsidP="00D01E88">
          <w:pPr>
            <w:pStyle w:val="Header"/>
            <w:jc w:val="center"/>
          </w:pPr>
        </w:p>
      </w:tc>
      <w:tc>
        <w:tcPr>
          <w:tcW w:w="3120" w:type="dxa"/>
        </w:tcPr>
        <w:p w14:paraId="38565807" w14:textId="4D361E02" w:rsidR="004D2871" w:rsidRDefault="004D2871" w:rsidP="00D01E88">
          <w:pPr>
            <w:pStyle w:val="Header"/>
            <w:ind w:right="-115"/>
            <w:jc w:val="right"/>
          </w:pPr>
        </w:p>
      </w:tc>
    </w:tr>
  </w:tbl>
  <w:p w14:paraId="104EA4A2" w14:textId="52122F26" w:rsidR="004D2871" w:rsidRDefault="004D2871">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861935" w14:textId="2800684B" w:rsidR="004D2871" w:rsidRDefault="004D2871">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FA0EF7" w14:textId="46DA8960" w:rsidR="004D2871" w:rsidRDefault="004D2871">
    <w:pPr>
      <w:pStyle w:val="Header"/>
    </w:pP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120"/>
      <w:gridCol w:w="3120"/>
      <w:gridCol w:w="3120"/>
    </w:tblGrid>
    <w:tr w:rsidR="004D2871" w14:paraId="054590D5" w14:textId="77777777" w:rsidTr="00D01E88">
      <w:tc>
        <w:tcPr>
          <w:tcW w:w="3120" w:type="dxa"/>
        </w:tcPr>
        <w:p w14:paraId="053AE76F" w14:textId="17F886BE" w:rsidR="004D2871" w:rsidRDefault="004D2871" w:rsidP="00D01E88">
          <w:pPr>
            <w:pStyle w:val="Header"/>
            <w:ind w:left="-115"/>
          </w:pPr>
        </w:p>
      </w:tc>
      <w:tc>
        <w:tcPr>
          <w:tcW w:w="3120" w:type="dxa"/>
        </w:tcPr>
        <w:p w14:paraId="4A047ACF" w14:textId="2C30D762" w:rsidR="004D2871" w:rsidRDefault="004D2871" w:rsidP="00D01E88">
          <w:pPr>
            <w:pStyle w:val="Header"/>
            <w:jc w:val="center"/>
          </w:pPr>
        </w:p>
      </w:tc>
      <w:tc>
        <w:tcPr>
          <w:tcW w:w="3120" w:type="dxa"/>
        </w:tcPr>
        <w:p w14:paraId="3B38ACBE" w14:textId="0B751BE3" w:rsidR="004D2871" w:rsidRDefault="004D2871" w:rsidP="00D01E88">
          <w:pPr>
            <w:pStyle w:val="Header"/>
            <w:ind w:right="-115"/>
            <w:jc w:val="right"/>
          </w:pPr>
        </w:p>
      </w:tc>
    </w:tr>
  </w:tbl>
  <w:p w14:paraId="4A0A6198" w14:textId="48D50C0E" w:rsidR="004D2871" w:rsidRDefault="004D2871">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924A85" w14:textId="7918C8C1" w:rsidR="004D2871" w:rsidRDefault="004D287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E924AA"/>
    <w:multiLevelType w:val="hybridMultilevel"/>
    <w:tmpl w:val="AF3AF508"/>
    <w:lvl w:ilvl="0" w:tplc="C7D6FC4E">
      <w:start w:val="1"/>
      <w:numFmt w:val="bullet"/>
      <w:lvlText w:val=""/>
      <w:lvlJc w:val="left"/>
      <w:pPr>
        <w:ind w:left="720" w:hanging="360"/>
      </w:pPr>
      <w:rPr>
        <w:rFonts w:ascii="Symbol" w:hAnsi="Symbol" w:hint="default"/>
      </w:rPr>
    </w:lvl>
    <w:lvl w:ilvl="1" w:tplc="C1FC6C00">
      <w:start w:val="1"/>
      <w:numFmt w:val="bullet"/>
      <w:lvlText w:val="o"/>
      <w:lvlJc w:val="left"/>
      <w:pPr>
        <w:ind w:left="1440" w:hanging="360"/>
      </w:pPr>
      <w:rPr>
        <w:rFonts w:ascii="Courier New" w:hAnsi="Courier New" w:hint="default"/>
      </w:rPr>
    </w:lvl>
    <w:lvl w:ilvl="2" w:tplc="AA6A1B9A">
      <w:start w:val="1"/>
      <w:numFmt w:val="bullet"/>
      <w:lvlText w:val=""/>
      <w:lvlJc w:val="left"/>
      <w:pPr>
        <w:ind w:left="2160" w:hanging="360"/>
      </w:pPr>
      <w:rPr>
        <w:rFonts w:ascii="Wingdings" w:hAnsi="Wingdings" w:hint="default"/>
      </w:rPr>
    </w:lvl>
    <w:lvl w:ilvl="3" w:tplc="568A42CC">
      <w:start w:val="1"/>
      <w:numFmt w:val="bullet"/>
      <w:lvlText w:val=""/>
      <w:lvlJc w:val="left"/>
      <w:pPr>
        <w:ind w:left="2880" w:hanging="360"/>
      </w:pPr>
      <w:rPr>
        <w:rFonts w:ascii="Symbol" w:hAnsi="Symbol" w:hint="default"/>
      </w:rPr>
    </w:lvl>
    <w:lvl w:ilvl="4" w:tplc="0ACC92FC">
      <w:start w:val="1"/>
      <w:numFmt w:val="bullet"/>
      <w:lvlText w:val="o"/>
      <w:lvlJc w:val="left"/>
      <w:pPr>
        <w:ind w:left="3600" w:hanging="360"/>
      </w:pPr>
      <w:rPr>
        <w:rFonts w:ascii="Courier New" w:hAnsi="Courier New" w:hint="default"/>
      </w:rPr>
    </w:lvl>
    <w:lvl w:ilvl="5" w:tplc="3188A690">
      <w:start w:val="1"/>
      <w:numFmt w:val="bullet"/>
      <w:lvlText w:val=""/>
      <w:lvlJc w:val="left"/>
      <w:pPr>
        <w:ind w:left="4320" w:hanging="360"/>
      </w:pPr>
      <w:rPr>
        <w:rFonts w:ascii="Wingdings" w:hAnsi="Wingdings" w:hint="default"/>
      </w:rPr>
    </w:lvl>
    <w:lvl w:ilvl="6" w:tplc="76E00158">
      <w:start w:val="1"/>
      <w:numFmt w:val="bullet"/>
      <w:lvlText w:val=""/>
      <w:lvlJc w:val="left"/>
      <w:pPr>
        <w:ind w:left="5040" w:hanging="360"/>
      </w:pPr>
      <w:rPr>
        <w:rFonts w:ascii="Symbol" w:hAnsi="Symbol" w:hint="default"/>
      </w:rPr>
    </w:lvl>
    <w:lvl w:ilvl="7" w:tplc="CF7C52E4">
      <w:start w:val="1"/>
      <w:numFmt w:val="bullet"/>
      <w:lvlText w:val="o"/>
      <w:lvlJc w:val="left"/>
      <w:pPr>
        <w:ind w:left="5760" w:hanging="360"/>
      </w:pPr>
      <w:rPr>
        <w:rFonts w:ascii="Courier New" w:hAnsi="Courier New" w:hint="default"/>
      </w:rPr>
    </w:lvl>
    <w:lvl w:ilvl="8" w:tplc="4F5E230E">
      <w:start w:val="1"/>
      <w:numFmt w:val="bullet"/>
      <w:lvlText w:val=""/>
      <w:lvlJc w:val="left"/>
      <w:pPr>
        <w:ind w:left="6480" w:hanging="360"/>
      </w:pPr>
      <w:rPr>
        <w:rFonts w:ascii="Wingdings" w:hAnsi="Wingdings" w:hint="default"/>
      </w:rPr>
    </w:lvl>
  </w:abstractNum>
  <w:abstractNum w:abstractNumId="1" w15:restartNumberingAfterBreak="0">
    <w:nsid w:val="04EB5359"/>
    <w:multiLevelType w:val="hybridMultilevel"/>
    <w:tmpl w:val="6C52DE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7840452"/>
    <w:multiLevelType w:val="hybridMultilevel"/>
    <w:tmpl w:val="8F88F25C"/>
    <w:lvl w:ilvl="0" w:tplc="54A6FDCC">
      <w:start w:val="1"/>
      <w:numFmt w:val="lowerLetter"/>
      <w:lvlText w:val="%1)"/>
      <w:lvlJc w:val="left"/>
      <w:pPr>
        <w:ind w:left="360" w:hanging="360"/>
      </w:pPr>
      <w:rPr>
        <w:rFonts w:hint="default"/>
        <w:b w:val="0"/>
        <w:bCs w:val="0"/>
      </w:rPr>
    </w:lvl>
    <w:lvl w:ilvl="1" w:tplc="08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B003417"/>
    <w:multiLevelType w:val="hybridMultilevel"/>
    <w:tmpl w:val="18388D3C"/>
    <w:lvl w:ilvl="0" w:tplc="54A6FDCC">
      <w:start w:val="1"/>
      <w:numFmt w:val="lowerLetter"/>
      <w:lvlText w:val="%1)"/>
      <w:lvlJc w:val="left"/>
      <w:pPr>
        <w:ind w:left="1080" w:hanging="360"/>
      </w:pPr>
      <w:rPr>
        <w:rFonts w:hint="default"/>
        <w:b w:val="0"/>
        <w:bCs w:val="0"/>
      </w:rPr>
    </w:lvl>
    <w:lvl w:ilvl="1" w:tplc="08090001">
      <w:start w:val="1"/>
      <w:numFmt w:val="bullet"/>
      <w:lvlText w:val=""/>
      <w:lvlJc w:val="left"/>
      <w:pPr>
        <w:ind w:left="2160" w:hanging="360"/>
      </w:pPr>
      <w:rPr>
        <w:rFonts w:ascii="Symbol" w:hAnsi="Symbol" w:hint="default"/>
      </w:r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15:restartNumberingAfterBreak="0">
    <w:nsid w:val="0C6C3A95"/>
    <w:multiLevelType w:val="hybridMultilevel"/>
    <w:tmpl w:val="A8DECFDA"/>
    <w:lvl w:ilvl="0" w:tplc="D28A95F4">
      <w:start w:val="1"/>
      <w:numFmt w:val="decimal"/>
      <w:lvlText w:val="D.%1"/>
      <w:lvlJc w:val="left"/>
      <w:pPr>
        <w:ind w:left="360" w:hanging="360"/>
      </w:pPr>
      <w:rPr>
        <w:rFonts w:hint="default"/>
      </w:rPr>
    </w:lvl>
    <w:lvl w:ilvl="1" w:tplc="04160003" w:tentative="1">
      <w:start w:val="1"/>
      <w:numFmt w:val="bullet"/>
      <w:lvlText w:val="o"/>
      <w:lvlJc w:val="left"/>
      <w:pPr>
        <w:ind w:left="360" w:hanging="360"/>
      </w:pPr>
      <w:rPr>
        <w:rFonts w:ascii="Courier New" w:hAnsi="Courier New" w:cs="Courier New" w:hint="default"/>
      </w:rPr>
    </w:lvl>
    <w:lvl w:ilvl="2" w:tplc="04160005" w:tentative="1">
      <w:start w:val="1"/>
      <w:numFmt w:val="bullet"/>
      <w:lvlText w:val=""/>
      <w:lvlJc w:val="left"/>
      <w:pPr>
        <w:ind w:left="1080" w:hanging="360"/>
      </w:pPr>
      <w:rPr>
        <w:rFonts w:ascii="Wingdings" w:hAnsi="Wingdings" w:hint="default"/>
      </w:rPr>
    </w:lvl>
    <w:lvl w:ilvl="3" w:tplc="04160001" w:tentative="1">
      <w:start w:val="1"/>
      <w:numFmt w:val="bullet"/>
      <w:lvlText w:val=""/>
      <w:lvlJc w:val="left"/>
      <w:pPr>
        <w:ind w:left="1800" w:hanging="360"/>
      </w:pPr>
      <w:rPr>
        <w:rFonts w:ascii="Symbol" w:hAnsi="Symbol" w:hint="default"/>
      </w:rPr>
    </w:lvl>
    <w:lvl w:ilvl="4" w:tplc="04160003" w:tentative="1">
      <w:start w:val="1"/>
      <w:numFmt w:val="bullet"/>
      <w:lvlText w:val="o"/>
      <w:lvlJc w:val="left"/>
      <w:pPr>
        <w:ind w:left="2520" w:hanging="360"/>
      </w:pPr>
      <w:rPr>
        <w:rFonts w:ascii="Courier New" w:hAnsi="Courier New" w:cs="Courier New" w:hint="default"/>
      </w:rPr>
    </w:lvl>
    <w:lvl w:ilvl="5" w:tplc="04160005" w:tentative="1">
      <w:start w:val="1"/>
      <w:numFmt w:val="bullet"/>
      <w:lvlText w:val=""/>
      <w:lvlJc w:val="left"/>
      <w:pPr>
        <w:ind w:left="3240" w:hanging="360"/>
      </w:pPr>
      <w:rPr>
        <w:rFonts w:ascii="Wingdings" w:hAnsi="Wingdings" w:hint="default"/>
      </w:rPr>
    </w:lvl>
    <w:lvl w:ilvl="6" w:tplc="04160001" w:tentative="1">
      <w:start w:val="1"/>
      <w:numFmt w:val="bullet"/>
      <w:lvlText w:val=""/>
      <w:lvlJc w:val="left"/>
      <w:pPr>
        <w:ind w:left="3960" w:hanging="360"/>
      </w:pPr>
      <w:rPr>
        <w:rFonts w:ascii="Symbol" w:hAnsi="Symbol" w:hint="default"/>
      </w:rPr>
    </w:lvl>
    <w:lvl w:ilvl="7" w:tplc="04160003" w:tentative="1">
      <w:start w:val="1"/>
      <w:numFmt w:val="bullet"/>
      <w:lvlText w:val="o"/>
      <w:lvlJc w:val="left"/>
      <w:pPr>
        <w:ind w:left="4680" w:hanging="360"/>
      </w:pPr>
      <w:rPr>
        <w:rFonts w:ascii="Courier New" w:hAnsi="Courier New" w:cs="Courier New" w:hint="default"/>
      </w:rPr>
    </w:lvl>
    <w:lvl w:ilvl="8" w:tplc="04160005" w:tentative="1">
      <w:start w:val="1"/>
      <w:numFmt w:val="bullet"/>
      <w:lvlText w:val=""/>
      <w:lvlJc w:val="left"/>
      <w:pPr>
        <w:ind w:left="5400" w:hanging="360"/>
      </w:pPr>
      <w:rPr>
        <w:rFonts w:ascii="Wingdings" w:hAnsi="Wingdings" w:hint="default"/>
      </w:rPr>
    </w:lvl>
  </w:abstractNum>
  <w:abstractNum w:abstractNumId="5" w15:restartNumberingAfterBreak="0">
    <w:nsid w:val="0EF61758"/>
    <w:multiLevelType w:val="hybridMultilevel"/>
    <w:tmpl w:val="8B00E8AA"/>
    <w:lvl w:ilvl="0" w:tplc="0D8AE9D0">
      <w:numFmt w:val="bullet"/>
      <w:lvlText w:val="-"/>
      <w:lvlJc w:val="left"/>
      <w:pPr>
        <w:ind w:left="720" w:hanging="360"/>
      </w:pPr>
      <w:rPr>
        <w:rFonts w:ascii="Calibri" w:eastAsia="Calibri" w:hAnsi="Calibri" w:cs="Calibr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EF63AD"/>
    <w:multiLevelType w:val="hybridMultilevel"/>
    <w:tmpl w:val="632298AE"/>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1232E8A"/>
    <w:multiLevelType w:val="hybridMultilevel"/>
    <w:tmpl w:val="64DA7FF2"/>
    <w:lvl w:ilvl="0" w:tplc="08090017">
      <w:start w:val="1"/>
      <w:numFmt w:val="lowerLetter"/>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1594015"/>
    <w:multiLevelType w:val="hybridMultilevel"/>
    <w:tmpl w:val="870AF88C"/>
    <w:lvl w:ilvl="0" w:tplc="787EEC02">
      <w:start w:val="1"/>
      <w:numFmt w:val="lowerLetter"/>
      <w:lvlText w:val="%1)"/>
      <w:lvlJc w:val="left"/>
      <w:pPr>
        <w:ind w:left="841" w:hanging="360"/>
      </w:pPr>
      <w:rPr>
        <w:rFonts w:hint="default"/>
        <w:b w:val="0"/>
        <w:bCs w:val="0"/>
      </w:rPr>
    </w:lvl>
    <w:lvl w:ilvl="1" w:tplc="04090019">
      <w:start w:val="1"/>
      <w:numFmt w:val="lowerLetter"/>
      <w:lvlText w:val="%2."/>
      <w:lvlJc w:val="left"/>
      <w:pPr>
        <w:ind w:left="1921" w:hanging="360"/>
      </w:pPr>
    </w:lvl>
    <w:lvl w:ilvl="2" w:tplc="0409001B">
      <w:start w:val="1"/>
      <w:numFmt w:val="lowerRoman"/>
      <w:lvlText w:val="%3."/>
      <w:lvlJc w:val="right"/>
      <w:pPr>
        <w:ind w:left="2641" w:hanging="180"/>
      </w:pPr>
    </w:lvl>
    <w:lvl w:ilvl="3" w:tplc="0409000F">
      <w:start w:val="1"/>
      <w:numFmt w:val="decimal"/>
      <w:lvlText w:val="%4."/>
      <w:lvlJc w:val="left"/>
      <w:pPr>
        <w:ind w:left="3361" w:hanging="360"/>
      </w:pPr>
    </w:lvl>
    <w:lvl w:ilvl="4" w:tplc="04090019" w:tentative="1">
      <w:start w:val="1"/>
      <w:numFmt w:val="lowerLetter"/>
      <w:lvlText w:val="%5."/>
      <w:lvlJc w:val="left"/>
      <w:pPr>
        <w:ind w:left="4081" w:hanging="360"/>
      </w:pPr>
    </w:lvl>
    <w:lvl w:ilvl="5" w:tplc="0409001B" w:tentative="1">
      <w:start w:val="1"/>
      <w:numFmt w:val="lowerRoman"/>
      <w:lvlText w:val="%6."/>
      <w:lvlJc w:val="right"/>
      <w:pPr>
        <w:ind w:left="4801" w:hanging="180"/>
      </w:pPr>
    </w:lvl>
    <w:lvl w:ilvl="6" w:tplc="0409000F" w:tentative="1">
      <w:start w:val="1"/>
      <w:numFmt w:val="decimal"/>
      <w:lvlText w:val="%7."/>
      <w:lvlJc w:val="left"/>
      <w:pPr>
        <w:ind w:left="5521" w:hanging="360"/>
      </w:pPr>
    </w:lvl>
    <w:lvl w:ilvl="7" w:tplc="04090019" w:tentative="1">
      <w:start w:val="1"/>
      <w:numFmt w:val="lowerLetter"/>
      <w:lvlText w:val="%8."/>
      <w:lvlJc w:val="left"/>
      <w:pPr>
        <w:ind w:left="6241" w:hanging="360"/>
      </w:pPr>
    </w:lvl>
    <w:lvl w:ilvl="8" w:tplc="0409001B" w:tentative="1">
      <w:start w:val="1"/>
      <w:numFmt w:val="lowerRoman"/>
      <w:lvlText w:val="%9."/>
      <w:lvlJc w:val="right"/>
      <w:pPr>
        <w:ind w:left="6961" w:hanging="180"/>
      </w:pPr>
    </w:lvl>
  </w:abstractNum>
  <w:abstractNum w:abstractNumId="9" w15:restartNumberingAfterBreak="0">
    <w:nsid w:val="12190B45"/>
    <w:multiLevelType w:val="hybridMultilevel"/>
    <w:tmpl w:val="C1D6E540"/>
    <w:lvl w:ilvl="0" w:tplc="1ADCD782">
      <w:start w:val="1"/>
      <w:numFmt w:val="bullet"/>
      <w:lvlText w:val=""/>
      <w:lvlJc w:val="left"/>
      <w:pPr>
        <w:tabs>
          <w:tab w:val="num" w:pos="720"/>
        </w:tabs>
        <w:ind w:left="720" w:hanging="360"/>
      </w:pPr>
      <w:rPr>
        <w:rFonts w:ascii="Symbol" w:hAnsi="Symbol" w:hint="default"/>
        <w:sz w:val="20"/>
      </w:rPr>
    </w:lvl>
    <w:lvl w:ilvl="1" w:tplc="45A2D9EA">
      <w:start w:val="2"/>
      <w:numFmt w:val="bullet"/>
      <w:lvlText w:val="-"/>
      <w:lvlJc w:val="left"/>
      <w:pPr>
        <w:ind w:left="1440" w:hanging="360"/>
      </w:pPr>
      <w:rPr>
        <w:rFonts w:ascii="Calibri" w:eastAsia="Times New Roman" w:hAnsi="Calibri" w:cs="Calibri" w:hint="default"/>
      </w:rPr>
    </w:lvl>
    <w:lvl w:ilvl="2" w:tplc="98C65030">
      <w:start w:val="1"/>
      <w:numFmt w:val="upperLetter"/>
      <w:lvlText w:val="%3."/>
      <w:lvlJc w:val="left"/>
      <w:pPr>
        <w:ind w:left="2160" w:hanging="360"/>
      </w:pPr>
      <w:rPr>
        <w:rFonts w:hint="default"/>
      </w:rPr>
    </w:lvl>
    <w:lvl w:ilvl="3" w:tplc="C906A22E" w:tentative="1">
      <w:start w:val="1"/>
      <w:numFmt w:val="bullet"/>
      <w:lvlText w:val=""/>
      <w:lvlJc w:val="left"/>
      <w:pPr>
        <w:tabs>
          <w:tab w:val="num" w:pos="2880"/>
        </w:tabs>
        <w:ind w:left="2880" w:hanging="360"/>
      </w:pPr>
      <w:rPr>
        <w:rFonts w:ascii="Wingdings" w:hAnsi="Wingdings" w:hint="default"/>
        <w:sz w:val="20"/>
      </w:rPr>
    </w:lvl>
    <w:lvl w:ilvl="4" w:tplc="2B0E1066" w:tentative="1">
      <w:start w:val="1"/>
      <w:numFmt w:val="bullet"/>
      <w:lvlText w:val=""/>
      <w:lvlJc w:val="left"/>
      <w:pPr>
        <w:tabs>
          <w:tab w:val="num" w:pos="3600"/>
        </w:tabs>
        <w:ind w:left="3600" w:hanging="360"/>
      </w:pPr>
      <w:rPr>
        <w:rFonts w:ascii="Wingdings" w:hAnsi="Wingdings" w:hint="default"/>
        <w:sz w:val="20"/>
      </w:rPr>
    </w:lvl>
    <w:lvl w:ilvl="5" w:tplc="5956CE42" w:tentative="1">
      <w:start w:val="1"/>
      <w:numFmt w:val="bullet"/>
      <w:lvlText w:val=""/>
      <w:lvlJc w:val="left"/>
      <w:pPr>
        <w:tabs>
          <w:tab w:val="num" w:pos="4320"/>
        </w:tabs>
        <w:ind w:left="4320" w:hanging="360"/>
      </w:pPr>
      <w:rPr>
        <w:rFonts w:ascii="Wingdings" w:hAnsi="Wingdings" w:hint="default"/>
        <w:sz w:val="20"/>
      </w:rPr>
    </w:lvl>
    <w:lvl w:ilvl="6" w:tplc="451A4BAA" w:tentative="1">
      <w:start w:val="1"/>
      <w:numFmt w:val="bullet"/>
      <w:lvlText w:val=""/>
      <w:lvlJc w:val="left"/>
      <w:pPr>
        <w:tabs>
          <w:tab w:val="num" w:pos="5040"/>
        </w:tabs>
        <w:ind w:left="5040" w:hanging="360"/>
      </w:pPr>
      <w:rPr>
        <w:rFonts w:ascii="Wingdings" w:hAnsi="Wingdings" w:hint="default"/>
        <w:sz w:val="20"/>
      </w:rPr>
    </w:lvl>
    <w:lvl w:ilvl="7" w:tplc="511C3630" w:tentative="1">
      <w:start w:val="1"/>
      <w:numFmt w:val="bullet"/>
      <w:lvlText w:val=""/>
      <w:lvlJc w:val="left"/>
      <w:pPr>
        <w:tabs>
          <w:tab w:val="num" w:pos="5760"/>
        </w:tabs>
        <w:ind w:left="5760" w:hanging="360"/>
      </w:pPr>
      <w:rPr>
        <w:rFonts w:ascii="Wingdings" w:hAnsi="Wingdings" w:hint="default"/>
        <w:sz w:val="20"/>
      </w:rPr>
    </w:lvl>
    <w:lvl w:ilvl="8" w:tplc="27569B14"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5883308"/>
    <w:multiLevelType w:val="hybridMultilevel"/>
    <w:tmpl w:val="E514BB80"/>
    <w:lvl w:ilvl="0" w:tplc="08090001">
      <w:start w:val="1"/>
      <w:numFmt w:val="bullet"/>
      <w:lvlText w:val=""/>
      <w:lvlJc w:val="left"/>
      <w:pPr>
        <w:ind w:left="1069" w:hanging="360"/>
      </w:pPr>
      <w:rPr>
        <w:rFonts w:ascii="Symbol" w:hAnsi="Symbol" w:hint="default"/>
      </w:rPr>
    </w:lvl>
    <w:lvl w:ilvl="1" w:tplc="08090003" w:tentative="1">
      <w:start w:val="1"/>
      <w:numFmt w:val="bullet"/>
      <w:lvlText w:val="o"/>
      <w:lvlJc w:val="left"/>
      <w:pPr>
        <w:ind w:left="1789" w:hanging="360"/>
      </w:pPr>
      <w:rPr>
        <w:rFonts w:ascii="Courier New" w:hAnsi="Courier New" w:cs="Courier New" w:hint="default"/>
      </w:rPr>
    </w:lvl>
    <w:lvl w:ilvl="2" w:tplc="08090005" w:tentative="1">
      <w:start w:val="1"/>
      <w:numFmt w:val="bullet"/>
      <w:lvlText w:val=""/>
      <w:lvlJc w:val="left"/>
      <w:pPr>
        <w:ind w:left="2509" w:hanging="360"/>
      </w:pPr>
      <w:rPr>
        <w:rFonts w:ascii="Wingdings" w:hAnsi="Wingdings" w:hint="default"/>
      </w:rPr>
    </w:lvl>
    <w:lvl w:ilvl="3" w:tplc="08090001" w:tentative="1">
      <w:start w:val="1"/>
      <w:numFmt w:val="bullet"/>
      <w:lvlText w:val=""/>
      <w:lvlJc w:val="left"/>
      <w:pPr>
        <w:ind w:left="3229" w:hanging="360"/>
      </w:pPr>
      <w:rPr>
        <w:rFonts w:ascii="Symbol" w:hAnsi="Symbol" w:hint="default"/>
      </w:rPr>
    </w:lvl>
    <w:lvl w:ilvl="4" w:tplc="08090003" w:tentative="1">
      <w:start w:val="1"/>
      <w:numFmt w:val="bullet"/>
      <w:lvlText w:val="o"/>
      <w:lvlJc w:val="left"/>
      <w:pPr>
        <w:ind w:left="3949" w:hanging="360"/>
      </w:pPr>
      <w:rPr>
        <w:rFonts w:ascii="Courier New" w:hAnsi="Courier New" w:cs="Courier New" w:hint="default"/>
      </w:rPr>
    </w:lvl>
    <w:lvl w:ilvl="5" w:tplc="08090005" w:tentative="1">
      <w:start w:val="1"/>
      <w:numFmt w:val="bullet"/>
      <w:lvlText w:val=""/>
      <w:lvlJc w:val="left"/>
      <w:pPr>
        <w:ind w:left="4669" w:hanging="360"/>
      </w:pPr>
      <w:rPr>
        <w:rFonts w:ascii="Wingdings" w:hAnsi="Wingdings" w:hint="default"/>
      </w:rPr>
    </w:lvl>
    <w:lvl w:ilvl="6" w:tplc="08090001" w:tentative="1">
      <w:start w:val="1"/>
      <w:numFmt w:val="bullet"/>
      <w:lvlText w:val=""/>
      <w:lvlJc w:val="left"/>
      <w:pPr>
        <w:ind w:left="5389" w:hanging="360"/>
      </w:pPr>
      <w:rPr>
        <w:rFonts w:ascii="Symbol" w:hAnsi="Symbol" w:hint="default"/>
      </w:rPr>
    </w:lvl>
    <w:lvl w:ilvl="7" w:tplc="08090003" w:tentative="1">
      <w:start w:val="1"/>
      <w:numFmt w:val="bullet"/>
      <w:lvlText w:val="o"/>
      <w:lvlJc w:val="left"/>
      <w:pPr>
        <w:ind w:left="6109" w:hanging="360"/>
      </w:pPr>
      <w:rPr>
        <w:rFonts w:ascii="Courier New" w:hAnsi="Courier New" w:cs="Courier New" w:hint="default"/>
      </w:rPr>
    </w:lvl>
    <w:lvl w:ilvl="8" w:tplc="08090005" w:tentative="1">
      <w:start w:val="1"/>
      <w:numFmt w:val="bullet"/>
      <w:lvlText w:val=""/>
      <w:lvlJc w:val="left"/>
      <w:pPr>
        <w:ind w:left="6829" w:hanging="360"/>
      </w:pPr>
      <w:rPr>
        <w:rFonts w:ascii="Wingdings" w:hAnsi="Wingdings" w:hint="default"/>
      </w:rPr>
    </w:lvl>
  </w:abstractNum>
  <w:abstractNum w:abstractNumId="11" w15:restartNumberingAfterBreak="0">
    <w:nsid w:val="16D92FA3"/>
    <w:multiLevelType w:val="hybridMultilevel"/>
    <w:tmpl w:val="6E1C8B72"/>
    <w:lvl w:ilvl="0" w:tplc="04090019">
      <w:start w:val="1"/>
      <w:numFmt w:val="lowerLetter"/>
      <w:lvlText w:val="%1."/>
      <w:lvlJc w:val="left"/>
      <w:pPr>
        <w:ind w:left="981" w:hanging="360"/>
      </w:pPr>
      <w:rPr>
        <w:rFonts w:hint="default"/>
      </w:rPr>
    </w:lvl>
    <w:lvl w:ilvl="1" w:tplc="04090003" w:tentative="1">
      <w:start w:val="1"/>
      <w:numFmt w:val="bullet"/>
      <w:lvlText w:val="o"/>
      <w:lvlJc w:val="left"/>
      <w:pPr>
        <w:ind w:left="1701" w:hanging="360"/>
      </w:pPr>
      <w:rPr>
        <w:rFonts w:ascii="Courier New" w:hAnsi="Courier New" w:cs="Arial" w:hint="default"/>
      </w:rPr>
    </w:lvl>
    <w:lvl w:ilvl="2" w:tplc="04090005" w:tentative="1">
      <w:start w:val="1"/>
      <w:numFmt w:val="bullet"/>
      <w:lvlText w:val=""/>
      <w:lvlJc w:val="left"/>
      <w:pPr>
        <w:ind w:left="2421" w:hanging="360"/>
      </w:pPr>
      <w:rPr>
        <w:rFonts w:ascii="Wingdings" w:hAnsi="Wingdings" w:hint="default"/>
      </w:rPr>
    </w:lvl>
    <w:lvl w:ilvl="3" w:tplc="04090001" w:tentative="1">
      <w:start w:val="1"/>
      <w:numFmt w:val="bullet"/>
      <w:lvlText w:val=""/>
      <w:lvlJc w:val="left"/>
      <w:pPr>
        <w:ind w:left="3141" w:hanging="360"/>
      </w:pPr>
      <w:rPr>
        <w:rFonts w:ascii="Symbol" w:hAnsi="Symbol" w:hint="default"/>
      </w:rPr>
    </w:lvl>
    <w:lvl w:ilvl="4" w:tplc="04090003" w:tentative="1">
      <w:start w:val="1"/>
      <w:numFmt w:val="bullet"/>
      <w:lvlText w:val="o"/>
      <w:lvlJc w:val="left"/>
      <w:pPr>
        <w:ind w:left="3861" w:hanging="360"/>
      </w:pPr>
      <w:rPr>
        <w:rFonts w:ascii="Courier New" w:hAnsi="Courier New" w:cs="Arial" w:hint="default"/>
      </w:rPr>
    </w:lvl>
    <w:lvl w:ilvl="5" w:tplc="04090005" w:tentative="1">
      <w:start w:val="1"/>
      <w:numFmt w:val="bullet"/>
      <w:lvlText w:val=""/>
      <w:lvlJc w:val="left"/>
      <w:pPr>
        <w:ind w:left="4581" w:hanging="360"/>
      </w:pPr>
      <w:rPr>
        <w:rFonts w:ascii="Wingdings" w:hAnsi="Wingdings" w:hint="default"/>
      </w:rPr>
    </w:lvl>
    <w:lvl w:ilvl="6" w:tplc="04090001" w:tentative="1">
      <w:start w:val="1"/>
      <w:numFmt w:val="bullet"/>
      <w:lvlText w:val=""/>
      <w:lvlJc w:val="left"/>
      <w:pPr>
        <w:ind w:left="5301" w:hanging="360"/>
      </w:pPr>
      <w:rPr>
        <w:rFonts w:ascii="Symbol" w:hAnsi="Symbol" w:hint="default"/>
      </w:rPr>
    </w:lvl>
    <w:lvl w:ilvl="7" w:tplc="04090003" w:tentative="1">
      <w:start w:val="1"/>
      <w:numFmt w:val="bullet"/>
      <w:lvlText w:val="o"/>
      <w:lvlJc w:val="left"/>
      <w:pPr>
        <w:ind w:left="6021" w:hanging="360"/>
      </w:pPr>
      <w:rPr>
        <w:rFonts w:ascii="Courier New" w:hAnsi="Courier New" w:cs="Arial" w:hint="default"/>
      </w:rPr>
    </w:lvl>
    <w:lvl w:ilvl="8" w:tplc="04090005" w:tentative="1">
      <w:start w:val="1"/>
      <w:numFmt w:val="bullet"/>
      <w:lvlText w:val=""/>
      <w:lvlJc w:val="left"/>
      <w:pPr>
        <w:ind w:left="6741" w:hanging="360"/>
      </w:pPr>
      <w:rPr>
        <w:rFonts w:ascii="Wingdings" w:hAnsi="Wingdings" w:hint="default"/>
      </w:rPr>
    </w:lvl>
  </w:abstractNum>
  <w:abstractNum w:abstractNumId="12" w15:restartNumberingAfterBreak="0">
    <w:nsid w:val="17CF0755"/>
    <w:multiLevelType w:val="hybridMultilevel"/>
    <w:tmpl w:val="28AE2820"/>
    <w:lvl w:ilvl="0" w:tplc="85DA6BAC">
      <w:start w:val="1"/>
      <w:numFmt w:val="lowerRoman"/>
      <w:lvlText w:val="(%1)"/>
      <w:lvlJc w:val="righ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82045EC"/>
    <w:multiLevelType w:val="hybridMultilevel"/>
    <w:tmpl w:val="14DECE50"/>
    <w:lvl w:ilvl="0" w:tplc="54A6FDCC">
      <w:start w:val="1"/>
      <w:numFmt w:val="lowerLetter"/>
      <w:lvlText w:val="%1)"/>
      <w:lvlJc w:val="left"/>
      <w:pPr>
        <w:ind w:left="720" w:hanging="360"/>
      </w:pPr>
      <w:rPr>
        <w:rFonts w:hint="default"/>
        <w:b w:val="0"/>
        <w:bCs w:val="0"/>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1B4D15BF"/>
    <w:multiLevelType w:val="hybridMultilevel"/>
    <w:tmpl w:val="1BCE36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1E17225A"/>
    <w:multiLevelType w:val="hybridMultilevel"/>
    <w:tmpl w:val="34C6014E"/>
    <w:lvl w:ilvl="0" w:tplc="E0802F06">
      <w:start w:val="1"/>
      <w:numFmt w:val="bullet"/>
      <w:lvlText w:val=""/>
      <w:lvlJc w:val="left"/>
      <w:pPr>
        <w:tabs>
          <w:tab w:val="num" w:pos="720"/>
        </w:tabs>
        <w:ind w:left="720" w:hanging="360"/>
      </w:pPr>
      <w:rPr>
        <w:rFonts w:ascii="Symbol" w:hAnsi="Symbol" w:hint="default"/>
        <w:sz w:val="20"/>
      </w:rPr>
    </w:lvl>
    <w:lvl w:ilvl="1" w:tplc="8A10FC42" w:tentative="1">
      <w:start w:val="1"/>
      <w:numFmt w:val="bullet"/>
      <w:lvlText w:val=""/>
      <w:lvlJc w:val="left"/>
      <w:pPr>
        <w:tabs>
          <w:tab w:val="num" w:pos="1440"/>
        </w:tabs>
        <w:ind w:left="1440" w:hanging="360"/>
      </w:pPr>
      <w:rPr>
        <w:rFonts w:ascii="Symbol" w:hAnsi="Symbol" w:hint="default"/>
        <w:sz w:val="20"/>
      </w:rPr>
    </w:lvl>
    <w:lvl w:ilvl="2" w:tplc="11149352" w:tentative="1">
      <w:start w:val="1"/>
      <w:numFmt w:val="bullet"/>
      <w:lvlText w:val=""/>
      <w:lvlJc w:val="left"/>
      <w:pPr>
        <w:tabs>
          <w:tab w:val="num" w:pos="2160"/>
        </w:tabs>
        <w:ind w:left="2160" w:hanging="360"/>
      </w:pPr>
      <w:rPr>
        <w:rFonts w:ascii="Symbol" w:hAnsi="Symbol" w:hint="default"/>
        <w:sz w:val="20"/>
      </w:rPr>
    </w:lvl>
    <w:lvl w:ilvl="3" w:tplc="491645CA" w:tentative="1">
      <w:start w:val="1"/>
      <w:numFmt w:val="bullet"/>
      <w:lvlText w:val=""/>
      <w:lvlJc w:val="left"/>
      <w:pPr>
        <w:tabs>
          <w:tab w:val="num" w:pos="2880"/>
        </w:tabs>
        <w:ind w:left="2880" w:hanging="360"/>
      </w:pPr>
      <w:rPr>
        <w:rFonts w:ascii="Symbol" w:hAnsi="Symbol" w:hint="default"/>
        <w:sz w:val="20"/>
      </w:rPr>
    </w:lvl>
    <w:lvl w:ilvl="4" w:tplc="A2E833F8" w:tentative="1">
      <w:start w:val="1"/>
      <w:numFmt w:val="bullet"/>
      <w:lvlText w:val=""/>
      <w:lvlJc w:val="left"/>
      <w:pPr>
        <w:tabs>
          <w:tab w:val="num" w:pos="3600"/>
        </w:tabs>
        <w:ind w:left="3600" w:hanging="360"/>
      </w:pPr>
      <w:rPr>
        <w:rFonts w:ascii="Symbol" w:hAnsi="Symbol" w:hint="default"/>
        <w:sz w:val="20"/>
      </w:rPr>
    </w:lvl>
    <w:lvl w:ilvl="5" w:tplc="1F4633CC" w:tentative="1">
      <w:start w:val="1"/>
      <w:numFmt w:val="bullet"/>
      <w:lvlText w:val=""/>
      <w:lvlJc w:val="left"/>
      <w:pPr>
        <w:tabs>
          <w:tab w:val="num" w:pos="4320"/>
        </w:tabs>
        <w:ind w:left="4320" w:hanging="360"/>
      </w:pPr>
      <w:rPr>
        <w:rFonts w:ascii="Symbol" w:hAnsi="Symbol" w:hint="default"/>
        <w:sz w:val="20"/>
      </w:rPr>
    </w:lvl>
    <w:lvl w:ilvl="6" w:tplc="823E043E" w:tentative="1">
      <w:start w:val="1"/>
      <w:numFmt w:val="bullet"/>
      <w:lvlText w:val=""/>
      <w:lvlJc w:val="left"/>
      <w:pPr>
        <w:tabs>
          <w:tab w:val="num" w:pos="5040"/>
        </w:tabs>
        <w:ind w:left="5040" w:hanging="360"/>
      </w:pPr>
      <w:rPr>
        <w:rFonts w:ascii="Symbol" w:hAnsi="Symbol" w:hint="default"/>
        <w:sz w:val="20"/>
      </w:rPr>
    </w:lvl>
    <w:lvl w:ilvl="7" w:tplc="FE9EB634" w:tentative="1">
      <w:start w:val="1"/>
      <w:numFmt w:val="bullet"/>
      <w:lvlText w:val=""/>
      <w:lvlJc w:val="left"/>
      <w:pPr>
        <w:tabs>
          <w:tab w:val="num" w:pos="5760"/>
        </w:tabs>
        <w:ind w:left="5760" w:hanging="360"/>
      </w:pPr>
      <w:rPr>
        <w:rFonts w:ascii="Symbol" w:hAnsi="Symbol" w:hint="default"/>
        <w:sz w:val="20"/>
      </w:rPr>
    </w:lvl>
    <w:lvl w:ilvl="8" w:tplc="6D98E3B6"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1E5268A7"/>
    <w:multiLevelType w:val="hybridMultilevel"/>
    <w:tmpl w:val="4BDCB99A"/>
    <w:lvl w:ilvl="0" w:tplc="29784692">
      <w:start w:val="1"/>
      <w:numFmt w:val="bullet"/>
      <w:lvlText w:val=""/>
      <w:lvlJc w:val="left"/>
      <w:pPr>
        <w:tabs>
          <w:tab w:val="num" w:pos="720"/>
        </w:tabs>
        <w:ind w:left="720" w:hanging="360"/>
      </w:pPr>
      <w:rPr>
        <w:rFonts w:ascii="Symbol" w:hAnsi="Symbol" w:hint="default"/>
        <w:sz w:val="20"/>
      </w:rPr>
    </w:lvl>
    <w:lvl w:ilvl="1" w:tplc="E3F00A66">
      <w:start w:val="1"/>
      <w:numFmt w:val="bullet"/>
      <w:lvlText w:val=""/>
      <w:lvlJc w:val="left"/>
      <w:pPr>
        <w:tabs>
          <w:tab w:val="num" w:pos="1440"/>
        </w:tabs>
        <w:ind w:left="1440" w:hanging="360"/>
      </w:pPr>
      <w:rPr>
        <w:rFonts w:ascii="Symbol" w:hAnsi="Symbol" w:hint="default"/>
        <w:sz w:val="20"/>
      </w:rPr>
    </w:lvl>
    <w:lvl w:ilvl="2" w:tplc="44BAF42E">
      <w:start w:val="1"/>
      <w:numFmt w:val="bullet"/>
      <w:lvlText w:val=""/>
      <w:lvlJc w:val="left"/>
      <w:pPr>
        <w:tabs>
          <w:tab w:val="num" w:pos="2160"/>
        </w:tabs>
        <w:ind w:left="2160" w:hanging="360"/>
      </w:pPr>
      <w:rPr>
        <w:rFonts w:ascii="Symbol" w:hAnsi="Symbol" w:hint="default"/>
        <w:sz w:val="20"/>
      </w:rPr>
    </w:lvl>
    <w:lvl w:ilvl="3" w:tplc="1ADCEEC6">
      <w:start w:val="1"/>
      <w:numFmt w:val="bullet"/>
      <w:lvlText w:val=""/>
      <w:lvlJc w:val="left"/>
      <w:pPr>
        <w:tabs>
          <w:tab w:val="num" w:pos="2880"/>
        </w:tabs>
        <w:ind w:left="2880" w:hanging="360"/>
      </w:pPr>
      <w:rPr>
        <w:rFonts w:ascii="Symbol" w:hAnsi="Symbol" w:hint="default"/>
        <w:sz w:val="20"/>
      </w:rPr>
    </w:lvl>
    <w:lvl w:ilvl="4" w:tplc="EAEABE28">
      <w:start w:val="1"/>
      <w:numFmt w:val="bullet"/>
      <w:lvlText w:val=""/>
      <w:lvlJc w:val="left"/>
      <w:pPr>
        <w:tabs>
          <w:tab w:val="num" w:pos="3600"/>
        </w:tabs>
        <w:ind w:left="3600" w:hanging="360"/>
      </w:pPr>
      <w:rPr>
        <w:rFonts w:ascii="Symbol" w:hAnsi="Symbol" w:hint="default"/>
        <w:sz w:val="20"/>
      </w:rPr>
    </w:lvl>
    <w:lvl w:ilvl="5" w:tplc="A7528F1A">
      <w:start w:val="1"/>
      <w:numFmt w:val="bullet"/>
      <w:lvlText w:val=""/>
      <w:lvlJc w:val="left"/>
      <w:pPr>
        <w:tabs>
          <w:tab w:val="num" w:pos="4320"/>
        </w:tabs>
        <w:ind w:left="4320" w:hanging="360"/>
      </w:pPr>
      <w:rPr>
        <w:rFonts w:ascii="Symbol" w:hAnsi="Symbol" w:hint="default"/>
        <w:sz w:val="20"/>
      </w:rPr>
    </w:lvl>
    <w:lvl w:ilvl="6" w:tplc="4CD04A02">
      <w:start w:val="1"/>
      <w:numFmt w:val="bullet"/>
      <w:lvlText w:val=""/>
      <w:lvlJc w:val="left"/>
      <w:pPr>
        <w:tabs>
          <w:tab w:val="num" w:pos="5040"/>
        </w:tabs>
        <w:ind w:left="5040" w:hanging="360"/>
      </w:pPr>
      <w:rPr>
        <w:rFonts w:ascii="Symbol" w:hAnsi="Symbol" w:hint="default"/>
        <w:sz w:val="20"/>
      </w:rPr>
    </w:lvl>
    <w:lvl w:ilvl="7" w:tplc="AEAEEABA">
      <w:start w:val="1"/>
      <w:numFmt w:val="bullet"/>
      <w:lvlText w:val=""/>
      <w:lvlJc w:val="left"/>
      <w:pPr>
        <w:tabs>
          <w:tab w:val="num" w:pos="5760"/>
        </w:tabs>
        <w:ind w:left="5760" w:hanging="360"/>
      </w:pPr>
      <w:rPr>
        <w:rFonts w:ascii="Symbol" w:hAnsi="Symbol" w:hint="default"/>
        <w:sz w:val="20"/>
      </w:rPr>
    </w:lvl>
    <w:lvl w:ilvl="8" w:tplc="803627FA">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1F28727A"/>
    <w:multiLevelType w:val="hybridMultilevel"/>
    <w:tmpl w:val="F0325652"/>
    <w:lvl w:ilvl="0" w:tplc="08090017">
      <w:start w:val="1"/>
      <w:numFmt w:val="lowerLetter"/>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148086B"/>
    <w:multiLevelType w:val="hybridMultilevel"/>
    <w:tmpl w:val="389AF3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1C40F8D"/>
    <w:multiLevelType w:val="hybridMultilevel"/>
    <w:tmpl w:val="A43059EC"/>
    <w:lvl w:ilvl="0" w:tplc="C21EB0B0">
      <w:start w:val="1"/>
      <w:numFmt w:val="bullet"/>
      <w:lvlText w:val=""/>
      <w:lvlJc w:val="left"/>
      <w:pPr>
        <w:ind w:left="720" w:hanging="360"/>
      </w:pPr>
      <w:rPr>
        <w:rFonts w:ascii="Symbol" w:hAnsi="Symbol" w:cs="Symbol" w:hint="default"/>
        <w:b/>
        <w:bCs/>
        <w:sz w:val="22"/>
        <w:szCs w:val="22"/>
      </w:rPr>
    </w:lvl>
    <w:lvl w:ilvl="1" w:tplc="04090003" w:tentative="1">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cs="HelveticaNeue LT 55 Roman" w:hint="default"/>
      </w:rPr>
    </w:lvl>
    <w:lvl w:ilvl="3" w:tplc="04090001" w:tentative="1">
      <w:start w:val="1"/>
      <w:numFmt w:val="bullet"/>
      <w:lvlText w:val=""/>
      <w:lvlJc w:val="left"/>
      <w:pPr>
        <w:ind w:left="2880" w:hanging="360"/>
      </w:pPr>
      <w:rPr>
        <w:rFonts w:ascii="Symbol" w:hAnsi="Symbol" w:cs="Courier New"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cs="HelveticaNeue LT 55 Roman" w:hint="default"/>
      </w:rPr>
    </w:lvl>
    <w:lvl w:ilvl="6" w:tplc="04090001" w:tentative="1">
      <w:start w:val="1"/>
      <w:numFmt w:val="bullet"/>
      <w:lvlText w:val=""/>
      <w:lvlJc w:val="left"/>
      <w:pPr>
        <w:ind w:left="5040" w:hanging="360"/>
      </w:pPr>
      <w:rPr>
        <w:rFonts w:ascii="Symbol" w:hAnsi="Symbol" w:cs="Courier New"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cs="HelveticaNeue LT 55 Roman" w:hint="default"/>
      </w:rPr>
    </w:lvl>
  </w:abstractNum>
  <w:abstractNum w:abstractNumId="20" w15:restartNumberingAfterBreak="0">
    <w:nsid w:val="21D101AB"/>
    <w:multiLevelType w:val="hybridMultilevel"/>
    <w:tmpl w:val="6ECE34D6"/>
    <w:lvl w:ilvl="0" w:tplc="BBE01898">
      <w:start w:val="1"/>
      <w:numFmt w:val="bullet"/>
      <w:lvlText w:val="&gt;"/>
      <w:lvlJc w:val="left"/>
      <w:pPr>
        <w:ind w:left="502" w:hanging="360"/>
      </w:pPr>
      <w:rPr>
        <w:rFonts w:ascii="Calibri" w:hAnsi="Calibri" w:cs="Times New Roman" w:hint="default"/>
        <w:b/>
        <w:bCs/>
        <w:sz w:val="28"/>
        <w:szCs w:val="26"/>
      </w:rPr>
    </w:lvl>
    <w:lvl w:ilvl="1" w:tplc="2010552E">
      <w:start w:val="1"/>
      <w:numFmt w:val="bullet"/>
      <w:lvlText w:val=""/>
      <w:lvlJc w:val="left"/>
      <w:pPr>
        <w:ind w:left="1080" w:hanging="360"/>
      </w:pPr>
      <w:rPr>
        <w:rFonts w:ascii="Symbol" w:hAnsi="Symbol" w:hint="default"/>
      </w:rPr>
    </w:lvl>
    <w:lvl w:ilvl="2" w:tplc="04090005" w:tentative="1">
      <w:start w:val="1"/>
      <w:numFmt w:val="bullet"/>
      <w:lvlText w:val=""/>
      <w:lvlJc w:val="left"/>
      <w:pPr>
        <w:ind w:left="1942" w:hanging="360"/>
      </w:pPr>
      <w:rPr>
        <w:rFonts w:ascii="Wingdings" w:hAnsi="Wingdings" w:hint="default"/>
      </w:rPr>
    </w:lvl>
    <w:lvl w:ilvl="3" w:tplc="04090001" w:tentative="1">
      <w:start w:val="1"/>
      <w:numFmt w:val="bullet"/>
      <w:lvlText w:val=""/>
      <w:lvlJc w:val="left"/>
      <w:pPr>
        <w:ind w:left="2662" w:hanging="360"/>
      </w:pPr>
      <w:rPr>
        <w:rFonts w:ascii="Symbol" w:hAnsi="Symbol" w:hint="default"/>
      </w:rPr>
    </w:lvl>
    <w:lvl w:ilvl="4" w:tplc="04090003" w:tentative="1">
      <w:start w:val="1"/>
      <w:numFmt w:val="bullet"/>
      <w:lvlText w:val="o"/>
      <w:lvlJc w:val="left"/>
      <w:pPr>
        <w:ind w:left="3382" w:hanging="360"/>
      </w:pPr>
      <w:rPr>
        <w:rFonts w:ascii="Courier New" w:hAnsi="Courier New" w:cs="Arial" w:hint="default"/>
      </w:rPr>
    </w:lvl>
    <w:lvl w:ilvl="5" w:tplc="04090005" w:tentative="1">
      <w:start w:val="1"/>
      <w:numFmt w:val="bullet"/>
      <w:lvlText w:val=""/>
      <w:lvlJc w:val="left"/>
      <w:pPr>
        <w:ind w:left="4102" w:hanging="360"/>
      </w:pPr>
      <w:rPr>
        <w:rFonts w:ascii="Wingdings" w:hAnsi="Wingdings" w:hint="default"/>
      </w:rPr>
    </w:lvl>
    <w:lvl w:ilvl="6" w:tplc="04090001" w:tentative="1">
      <w:start w:val="1"/>
      <w:numFmt w:val="bullet"/>
      <w:lvlText w:val=""/>
      <w:lvlJc w:val="left"/>
      <w:pPr>
        <w:ind w:left="4822" w:hanging="360"/>
      </w:pPr>
      <w:rPr>
        <w:rFonts w:ascii="Symbol" w:hAnsi="Symbol" w:hint="default"/>
      </w:rPr>
    </w:lvl>
    <w:lvl w:ilvl="7" w:tplc="04090003" w:tentative="1">
      <w:start w:val="1"/>
      <w:numFmt w:val="bullet"/>
      <w:lvlText w:val="o"/>
      <w:lvlJc w:val="left"/>
      <w:pPr>
        <w:ind w:left="5542" w:hanging="360"/>
      </w:pPr>
      <w:rPr>
        <w:rFonts w:ascii="Courier New" w:hAnsi="Courier New" w:cs="Arial" w:hint="default"/>
      </w:rPr>
    </w:lvl>
    <w:lvl w:ilvl="8" w:tplc="04090005" w:tentative="1">
      <w:start w:val="1"/>
      <w:numFmt w:val="bullet"/>
      <w:lvlText w:val=""/>
      <w:lvlJc w:val="left"/>
      <w:pPr>
        <w:ind w:left="6262" w:hanging="360"/>
      </w:pPr>
      <w:rPr>
        <w:rFonts w:ascii="Wingdings" w:hAnsi="Wingdings" w:hint="default"/>
      </w:rPr>
    </w:lvl>
  </w:abstractNum>
  <w:abstractNum w:abstractNumId="21" w15:restartNumberingAfterBreak="0">
    <w:nsid w:val="221C512B"/>
    <w:multiLevelType w:val="hybridMultilevel"/>
    <w:tmpl w:val="A1F80F6C"/>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22B1166D"/>
    <w:multiLevelType w:val="hybridMultilevel"/>
    <w:tmpl w:val="F06A99DE"/>
    <w:lvl w:ilvl="0" w:tplc="9E98A8D6">
      <w:numFmt w:val="bullet"/>
      <w:lvlText w:val="•"/>
      <w:lvlJc w:val="left"/>
      <w:pPr>
        <w:ind w:left="825" w:hanging="465"/>
      </w:pPr>
      <w:rPr>
        <w:rFonts w:ascii="Calibri" w:eastAsia="Times New Roman" w:hAnsi="Calibri" w:cs="HelveticaNeue LT 55 Roman" w:hint="default"/>
      </w:rPr>
    </w:lvl>
    <w:lvl w:ilvl="1" w:tplc="04090003" w:tentative="1">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23CB63F6"/>
    <w:multiLevelType w:val="hybridMultilevel"/>
    <w:tmpl w:val="341C5D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26577F8D"/>
    <w:multiLevelType w:val="hybridMultilevel"/>
    <w:tmpl w:val="30382AAE"/>
    <w:lvl w:ilvl="0" w:tplc="04090001">
      <w:start w:val="1"/>
      <w:numFmt w:val="bullet"/>
      <w:lvlText w:val=""/>
      <w:lvlJc w:val="left"/>
      <w:pPr>
        <w:ind w:left="720" w:hanging="360"/>
      </w:pPr>
      <w:rPr>
        <w:rFonts w:ascii="Symbol" w:hAnsi="Symbol" w:cs="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25" w15:restartNumberingAfterBreak="0">
    <w:nsid w:val="26AF35B8"/>
    <w:multiLevelType w:val="hybridMultilevel"/>
    <w:tmpl w:val="08587D48"/>
    <w:lvl w:ilvl="0" w:tplc="2010552E">
      <w:start w:val="1"/>
      <w:numFmt w:val="bullet"/>
      <w:lvlText w:val=""/>
      <w:lvlJc w:val="left"/>
      <w:pPr>
        <w:ind w:left="1080" w:hanging="360"/>
      </w:pPr>
      <w:rPr>
        <w:rFonts w:ascii="Symbol" w:hAnsi="Symbol" w:hint="default"/>
      </w:rPr>
    </w:lvl>
    <w:lvl w:ilvl="1" w:tplc="2010552E">
      <w:start w:val="1"/>
      <w:numFmt w:val="bullet"/>
      <w:lvlText w:val=""/>
      <w:lvlJc w:val="left"/>
      <w:pPr>
        <w:ind w:left="1800" w:hanging="360"/>
      </w:pPr>
      <w:rPr>
        <w:rFonts w:ascii="Symbol" w:hAnsi="Symbol"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 w15:restartNumberingAfterBreak="0">
    <w:nsid w:val="289B0896"/>
    <w:multiLevelType w:val="hybridMultilevel"/>
    <w:tmpl w:val="30CEA4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28BB35C7"/>
    <w:multiLevelType w:val="hybridMultilevel"/>
    <w:tmpl w:val="C204A582"/>
    <w:lvl w:ilvl="0" w:tplc="C2303BA2">
      <w:start w:val="1"/>
      <w:numFmt w:val="bullet"/>
      <w:lvlText w:val="●"/>
      <w:lvlJc w:val="left"/>
      <w:pPr>
        <w:ind w:left="360" w:hanging="360"/>
      </w:pPr>
      <w:rPr>
        <w:rFonts w:ascii="Noto Sans Symbols" w:eastAsia="Noto Sans Symbols" w:hAnsi="Noto Sans Symbols" w:cs="Noto Sans Symbols"/>
      </w:rPr>
    </w:lvl>
    <w:lvl w:ilvl="1" w:tplc="24648CA4">
      <w:start w:val="1"/>
      <w:numFmt w:val="bullet"/>
      <w:lvlText w:val="●"/>
      <w:lvlJc w:val="left"/>
      <w:pPr>
        <w:ind w:left="1080" w:hanging="360"/>
      </w:pPr>
      <w:rPr>
        <w:rFonts w:ascii="Noto Sans Symbols" w:eastAsia="Noto Sans Symbols" w:hAnsi="Noto Sans Symbols" w:cs="Noto Sans Symbols"/>
      </w:rPr>
    </w:lvl>
    <w:lvl w:ilvl="2" w:tplc="E4727A1C">
      <w:start w:val="1"/>
      <w:numFmt w:val="bullet"/>
      <w:lvlText w:val="●"/>
      <w:lvlJc w:val="left"/>
      <w:pPr>
        <w:ind w:left="1800" w:hanging="360"/>
      </w:pPr>
      <w:rPr>
        <w:rFonts w:ascii="Noto Sans Symbols" w:eastAsia="Noto Sans Symbols" w:hAnsi="Noto Sans Symbols" w:cs="Noto Sans Symbols"/>
      </w:rPr>
    </w:lvl>
    <w:lvl w:ilvl="3" w:tplc="0B18ECC2">
      <w:start w:val="1"/>
      <w:numFmt w:val="bullet"/>
      <w:lvlText w:val="●"/>
      <w:lvlJc w:val="left"/>
      <w:pPr>
        <w:ind w:left="2520" w:hanging="360"/>
      </w:pPr>
      <w:rPr>
        <w:rFonts w:ascii="Noto Sans Symbols" w:eastAsia="Noto Sans Symbols" w:hAnsi="Noto Sans Symbols" w:cs="Noto Sans Symbols"/>
      </w:rPr>
    </w:lvl>
    <w:lvl w:ilvl="4" w:tplc="641C011E">
      <w:start w:val="1"/>
      <w:numFmt w:val="bullet"/>
      <w:lvlText w:val="●"/>
      <w:lvlJc w:val="left"/>
      <w:pPr>
        <w:ind w:left="3240" w:hanging="360"/>
      </w:pPr>
      <w:rPr>
        <w:rFonts w:ascii="Noto Sans Symbols" w:eastAsia="Noto Sans Symbols" w:hAnsi="Noto Sans Symbols" w:cs="Noto Sans Symbols"/>
      </w:rPr>
    </w:lvl>
    <w:lvl w:ilvl="5" w:tplc="1930C7BE">
      <w:start w:val="1"/>
      <w:numFmt w:val="bullet"/>
      <w:lvlText w:val="●"/>
      <w:lvlJc w:val="left"/>
      <w:pPr>
        <w:ind w:left="3960" w:hanging="360"/>
      </w:pPr>
      <w:rPr>
        <w:rFonts w:ascii="Noto Sans Symbols" w:eastAsia="Noto Sans Symbols" w:hAnsi="Noto Sans Symbols" w:cs="Noto Sans Symbols"/>
      </w:rPr>
    </w:lvl>
    <w:lvl w:ilvl="6" w:tplc="77324882">
      <w:start w:val="1"/>
      <w:numFmt w:val="bullet"/>
      <w:lvlText w:val="●"/>
      <w:lvlJc w:val="left"/>
      <w:pPr>
        <w:ind w:left="4680" w:hanging="360"/>
      </w:pPr>
      <w:rPr>
        <w:rFonts w:ascii="Noto Sans Symbols" w:eastAsia="Noto Sans Symbols" w:hAnsi="Noto Sans Symbols" w:cs="Noto Sans Symbols"/>
      </w:rPr>
    </w:lvl>
    <w:lvl w:ilvl="7" w:tplc="194828CC">
      <w:start w:val="1"/>
      <w:numFmt w:val="bullet"/>
      <w:lvlText w:val="●"/>
      <w:lvlJc w:val="left"/>
      <w:pPr>
        <w:ind w:left="5400" w:hanging="360"/>
      </w:pPr>
      <w:rPr>
        <w:rFonts w:ascii="Noto Sans Symbols" w:eastAsia="Noto Sans Symbols" w:hAnsi="Noto Sans Symbols" w:cs="Noto Sans Symbols"/>
      </w:rPr>
    </w:lvl>
    <w:lvl w:ilvl="8" w:tplc="70DC2DBC">
      <w:start w:val="1"/>
      <w:numFmt w:val="bullet"/>
      <w:lvlText w:val="●"/>
      <w:lvlJc w:val="left"/>
      <w:pPr>
        <w:ind w:left="6120" w:hanging="360"/>
      </w:pPr>
      <w:rPr>
        <w:rFonts w:ascii="Noto Sans Symbols" w:eastAsia="Noto Sans Symbols" w:hAnsi="Noto Sans Symbols" w:cs="Noto Sans Symbols"/>
      </w:rPr>
    </w:lvl>
  </w:abstractNum>
  <w:abstractNum w:abstractNumId="28" w15:restartNumberingAfterBreak="0">
    <w:nsid w:val="2926637B"/>
    <w:multiLevelType w:val="hybridMultilevel"/>
    <w:tmpl w:val="4A6C8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2941588D"/>
    <w:multiLevelType w:val="hybridMultilevel"/>
    <w:tmpl w:val="CA8633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29E61080"/>
    <w:multiLevelType w:val="hybridMultilevel"/>
    <w:tmpl w:val="3D88EF4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2A500282"/>
    <w:multiLevelType w:val="hybridMultilevel"/>
    <w:tmpl w:val="E26AAE3A"/>
    <w:lvl w:ilvl="0" w:tplc="AC14F54A">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2C7C135A">
      <w:start w:val="1"/>
      <w:numFmt w:val="lowerRoman"/>
      <w:lvlText w:val="%4."/>
      <w:lvlJc w:val="right"/>
      <w:pPr>
        <w:ind w:left="454" w:hanging="170"/>
      </w:pPr>
      <w:rPr>
        <w:rFonts w:hint="default"/>
        <w:b w:val="0"/>
        <w:i w:val="0"/>
        <w:iCs/>
      </w:r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2" w15:restartNumberingAfterBreak="0">
    <w:nsid w:val="2D9C6658"/>
    <w:multiLevelType w:val="hybridMultilevel"/>
    <w:tmpl w:val="206ADDB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2EE705F1"/>
    <w:multiLevelType w:val="hybridMultilevel"/>
    <w:tmpl w:val="7A48ABDE"/>
    <w:lvl w:ilvl="0" w:tplc="0AB4F95C">
      <w:start w:val="1"/>
      <w:numFmt w:val="bullet"/>
      <w:pStyle w:val="SubheadingsTommaso"/>
      <w:lvlText w:val=""/>
      <w:lvlJc w:val="left"/>
      <w:pPr>
        <w:ind w:left="360" w:hanging="360"/>
      </w:pPr>
      <w:rPr>
        <w:rFonts w:ascii="Symbol" w:hAnsi="Symbol" w:cs="Symbol" w:hint="default"/>
        <w:sz w:val="20"/>
        <w:szCs w:val="20"/>
      </w:rPr>
    </w:lvl>
    <w:lvl w:ilvl="1" w:tplc="ECD0AFA0">
      <w:start w:val="1"/>
      <w:numFmt w:val="bullet"/>
      <w:lvlText w:val=""/>
      <w:lvlJc w:val="left"/>
      <w:pPr>
        <w:ind w:left="1080" w:hanging="360"/>
      </w:pPr>
      <w:rPr>
        <w:rFonts w:ascii="Wingdings" w:hAnsi="Wingdings" w:hint="default"/>
      </w:rPr>
    </w:lvl>
    <w:lvl w:ilvl="2" w:tplc="3A7AC30E">
      <w:start w:val="1"/>
      <w:numFmt w:val="bullet"/>
      <w:lvlText w:val=""/>
      <w:lvlJc w:val="left"/>
      <w:pPr>
        <w:tabs>
          <w:tab w:val="num" w:pos="2160"/>
        </w:tabs>
        <w:ind w:left="2160" w:hanging="720"/>
      </w:pPr>
      <w:rPr>
        <w:rFonts w:ascii="Symbol" w:hAnsi="Symbol" w:hint="default"/>
      </w:rPr>
    </w:lvl>
    <w:lvl w:ilvl="3" w:tplc="69CC16BC">
      <w:start w:val="1"/>
      <w:numFmt w:val="decimal"/>
      <w:lvlText w:val="%4."/>
      <w:lvlJc w:val="left"/>
      <w:pPr>
        <w:tabs>
          <w:tab w:val="num" w:pos="2880"/>
        </w:tabs>
        <w:ind w:left="2880" w:hanging="720"/>
      </w:pPr>
    </w:lvl>
    <w:lvl w:ilvl="4" w:tplc="936E732E">
      <w:start w:val="1"/>
      <w:numFmt w:val="decimal"/>
      <w:lvlText w:val="%5."/>
      <w:lvlJc w:val="left"/>
      <w:pPr>
        <w:tabs>
          <w:tab w:val="num" w:pos="3600"/>
        </w:tabs>
        <w:ind w:left="3600" w:hanging="720"/>
      </w:pPr>
    </w:lvl>
    <w:lvl w:ilvl="5" w:tplc="25A47C58">
      <w:start w:val="1"/>
      <w:numFmt w:val="decimal"/>
      <w:lvlText w:val="%6."/>
      <w:lvlJc w:val="left"/>
      <w:pPr>
        <w:tabs>
          <w:tab w:val="num" w:pos="4320"/>
        </w:tabs>
        <w:ind w:left="4320" w:hanging="720"/>
      </w:pPr>
    </w:lvl>
    <w:lvl w:ilvl="6" w:tplc="D55CC176">
      <w:start w:val="1"/>
      <w:numFmt w:val="decimal"/>
      <w:lvlText w:val="%7."/>
      <w:lvlJc w:val="left"/>
      <w:pPr>
        <w:tabs>
          <w:tab w:val="num" w:pos="5040"/>
        </w:tabs>
        <w:ind w:left="5040" w:hanging="720"/>
      </w:pPr>
    </w:lvl>
    <w:lvl w:ilvl="7" w:tplc="3C18D6AE">
      <w:start w:val="1"/>
      <w:numFmt w:val="decimal"/>
      <w:lvlText w:val="%8."/>
      <w:lvlJc w:val="left"/>
      <w:pPr>
        <w:tabs>
          <w:tab w:val="num" w:pos="5760"/>
        </w:tabs>
        <w:ind w:left="5760" w:hanging="720"/>
      </w:pPr>
    </w:lvl>
    <w:lvl w:ilvl="8" w:tplc="82E864D2">
      <w:start w:val="1"/>
      <w:numFmt w:val="decimal"/>
      <w:lvlText w:val="%9."/>
      <w:lvlJc w:val="left"/>
      <w:pPr>
        <w:tabs>
          <w:tab w:val="num" w:pos="6480"/>
        </w:tabs>
        <w:ind w:left="6480" w:hanging="720"/>
      </w:pPr>
    </w:lvl>
  </w:abstractNum>
  <w:abstractNum w:abstractNumId="34" w15:restartNumberingAfterBreak="0">
    <w:nsid w:val="2FD70324"/>
    <w:multiLevelType w:val="hybridMultilevel"/>
    <w:tmpl w:val="BD3674E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1540856C">
      <w:start w:val="1"/>
      <w:numFmt w:val="lowerRoman"/>
      <w:lvlText w:val="(%3)"/>
      <w:lvlJc w:val="left"/>
      <w:pPr>
        <w:ind w:left="2700" w:hanging="72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30927FF0"/>
    <w:multiLevelType w:val="hybridMultilevel"/>
    <w:tmpl w:val="C5C25852"/>
    <w:lvl w:ilvl="0" w:tplc="04090001">
      <w:start w:val="1"/>
      <w:numFmt w:val="bullet"/>
      <w:lvlText w:val=""/>
      <w:lvlJc w:val="left"/>
      <w:pPr>
        <w:ind w:left="360" w:hanging="360"/>
      </w:pPr>
      <w:rPr>
        <w:rFonts w:ascii="Symbol" w:hAnsi="Symbol" w:hint="default"/>
        <w:b w:val="0"/>
        <w:i w:val="0"/>
        <w:color w:val="auto"/>
        <w:sz w:val="21"/>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315E0F25"/>
    <w:multiLevelType w:val="hybridMultilevel"/>
    <w:tmpl w:val="59C06D78"/>
    <w:lvl w:ilvl="0" w:tplc="4206750A">
      <w:start w:val="1"/>
      <w:numFmt w:val="bullet"/>
      <w:lvlText w:val="-"/>
      <w:lvlJc w:val="left"/>
      <w:pPr>
        <w:ind w:left="360" w:hanging="360"/>
      </w:pPr>
      <w:rPr>
        <w:rFonts w:ascii="Calibri" w:eastAsia="Times New Roman" w:hAnsi="Calibri" w:cs="HelveticaNeue LT 55 Roman" w:hint="default"/>
      </w:rPr>
    </w:lvl>
    <w:lvl w:ilvl="1" w:tplc="04090003" w:tentative="1">
      <w:start w:val="1"/>
      <w:numFmt w:val="bullet"/>
      <w:lvlText w:val="o"/>
      <w:lvlJc w:val="left"/>
      <w:pPr>
        <w:ind w:left="1080" w:hanging="360"/>
      </w:pPr>
      <w:rPr>
        <w:rFonts w:ascii="Courier New" w:hAnsi="Courier New" w:cs="Arial"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Arial"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Arial" w:hint="default"/>
      </w:rPr>
    </w:lvl>
    <w:lvl w:ilvl="8" w:tplc="04090005" w:tentative="1">
      <w:start w:val="1"/>
      <w:numFmt w:val="bullet"/>
      <w:lvlText w:val=""/>
      <w:lvlJc w:val="left"/>
      <w:pPr>
        <w:ind w:left="6120" w:hanging="360"/>
      </w:pPr>
      <w:rPr>
        <w:rFonts w:ascii="Wingdings" w:hAnsi="Wingdings" w:hint="default"/>
      </w:rPr>
    </w:lvl>
  </w:abstractNum>
  <w:abstractNum w:abstractNumId="37" w15:restartNumberingAfterBreak="0">
    <w:nsid w:val="324C4F02"/>
    <w:multiLevelType w:val="hybridMultilevel"/>
    <w:tmpl w:val="CCFED2D4"/>
    <w:lvl w:ilvl="0" w:tplc="54A6FDCC">
      <w:start w:val="1"/>
      <w:numFmt w:val="lowerLetter"/>
      <w:lvlText w:val="%1)"/>
      <w:lvlJc w:val="left"/>
      <w:pPr>
        <w:ind w:left="360" w:hanging="360"/>
      </w:pPr>
      <w:rPr>
        <w:rFonts w:hint="default"/>
        <w:b w:val="0"/>
        <w:bCs w:val="0"/>
      </w:rPr>
    </w:lvl>
    <w:lvl w:ilvl="1" w:tplc="08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33895F55"/>
    <w:multiLevelType w:val="hybridMultilevel"/>
    <w:tmpl w:val="D6A86EFA"/>
    <w:lvl w:ilvl="0" w:tplc="08090017">
      <w:start w:val="1"/>
      <w:numFmt w:val="lowerLetter"/>
      <w:lvlText w:val="%1)"/>
      <w:lvlJc w:val="left"/>
      <w:pPr>
        <w:ind w:left="1080" w:hanging="360"/>
      </w:pPr>
      <w:rPr>
        <w:rFonts w:hint="default"/>
        <w:b/>
        <w:sz w:val="22"/>
      </w:rPr>
    </w:lvl>
    <w:lvl w:ilvl="1" w:tplc="04090003">
      <w:start w:val="1"/>
      <w:numFmt w:val="bullet"/>
      <w:lvlText w:val="o"/>
      <w:lvlJc w:val="left"/>
      <w:pPr>
        <w:ind w:left="1800" w:hanging="360"/>
      </w:pPr>
      <w:rPr>
        <w:rFonts w:ascii="Courier New" w:hAnsi="Courier New" w:cs="Arial"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Arial"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Arial"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33AC04F4"/>
    <w:multiLevelType w:val="hybridMultilevel"/>
    <w:tmpl w:val="79066D5A"/>
    <w:lvl w:ilvl="0" w:tplc="08160001">
      <w:start w:val="1"/>
      <w:numFmt w:val="bullet"/>
      <w:lvlText w:val=""/>
      <w:lvlJc w:val="left"/>
      <w:pPr>
        <w:ind w:left="720" w:hanging="360"/>
      </w:pPr>
      <w:rPr>
        <w:rFonts w:ascii="Symbol" w:hAnsi="Symbol"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40" w15:restartNumberingAfterBreak="0">
    <w:nsid w:val="344610AA"/>
    <w:multiLevelType w:val="hybridMultilevel"/>
    <w:tmpl w:val="DEB095D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34AB4ADE"/>
    <w:multiLevelType w:val="hybridMultilevel"/>
    <w:tmpl w:val="EC9A7A16"/>
    <w:lvl w:ilvl="0" w:tplc="AC14F54A">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2C7C135A">
      <w:start w:val="1"/>
      <w:numFmt w:val="lowerRoman"/>
      <w:lvlText w:val="%4."/>
      <w:lvlJc w:val="right"/>
      <w:pPr>
        <w:ind w:left="454" w:hanging="170"/>
      </w:pPr>
      <w:rPr>
        <w:rFonts w:hint="default"/>
        <w:b w:val="0"/>
        <w:i w:val="0"/>
        <w:iCs/>
      </w:r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2" w15:restartNumberingAfterBreak="0">
    <w:nsid w:val="34B0767D"/>
    <w:multiLevelType w:val="hybridMultilevel"/>
    <w:tmpl w:val="2ABCCAD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351F1D9C"/>
    <w:multiLevelType w:val="hybridMultilevel"/>
    <w:tmpl w:val="5854DF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4" w15:restartNumberingAfterBreak="0">
    <w:nsid w:val="354004CF"/>
    <w:multiLevelType w:val="hybridMultilevel"/>
    <w:tmpl w:val="70783210"/>
    <w:lvl w:ilvl="0" w:tplc="ED940F24">
      <w:start w:val="1"/>
      <w:numFmt w:val="bullet"/>
      <w:lvlText w:val=""/>
      <w:lvlJc w:val="left"/>
      <w:pPr>
        <w:ind w:left="360" w:hanging="360"/>
      </w:pPr>
      <w:rPr>
        <w:rFonts w:ascii="Symbol" w:hAnsi="Symbol" w:cs="Times New Roman" w:hint="default"/>
        <w:b w:val="0"/>
        <w:bCs w:val="0"/>
        <w:i w:val="0"/>
        <w:iCs w:val="0"/>
        <w:caps w:val="0"/>
        <w:smallCaps w:val="0"/>
        <w:strike w:val="0"/>
        <w:dstrike w:val="0"/>
        <w:noProof w:val="0"/>
        <w:vanish w:val="0"/>
        <w:webHidden w:val="0"/>
        <w:color w:val="auto"/>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090003">
      <w:start w:val="1"/>
      <w:numFmt w:val="bullet"/>
      <w:lvlText w:val="o"/>
      <w:lvlJc w:val="left"/>
      <w:pPr>
        <w:ind w:left="1440" w:hanging="360"/>
      </w:pPr>
      <w:rPr>
        <w:rFonts w:ascii="Courier New" w:hAnsi="Courier New" w:cs="Times New Roman"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Times New Roman"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Times New Roman"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3598535C"/>
    <w:multiLevelType w:val="hybridMultilevel"/>
    <w:tmpl w:val="49DE3870"/>
    <w:lvl w:ilvl="0" w:tplc="0BBEE4C8">
      <w:start w:val="1"/>
      <w:numFmt w:val="lowerRoman"/>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37377E1D"/>
    <w:multiLevelType w:val="hybridMultilevel"/>
    <w:tmpl w:val="E91670F8"/>
    <w:lvl w:ilvl="0" w:tplc="FFFFFFFF">
      <w:start w:val="1"/>
      <w:numFmt w:val="decimal"/>
      <w:pStyle w:val="ListParagraph"/>
      <w:lvlText w:val="%1."/>
      <w:lvlJc w:val="left"/>
      <w:pPr>
        <w:ind w:left="360" w:hanging="360"/>
      </w:pPr>
      <w:rPr>
        <w:b w:val="0"/>
        <w:i w:val="0"/>
        <w:color w:val="auto"/>
        <w:sz w:val="22"/>
        <w:u w:val="none" w:color="FFFFFF" w:themeColor="background1"/>
      </w:rPr>
    </w:lvl>
    <w:lvl w:ilvl="1" w:tplc="2010552E">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391B02B1"/>
    <w:multiLevelType w:val="hybridMultilevel"/>
    <w:tmpl w:val="F0D272E8"/>
    <w:lvl w:ilvl="0" w:tplc="AED6D03C">
      <w:start w:val="1"/>
      <w:numFmt w:val="decimal"/>
      <w:lvlText w:val="%1."/>
      <w:lvlJc w:val="left"/>
      <w:pPr>
        <w:ind w:left="360" w:hanging="360"/>
      </w:pPr>
      <w:rPr>
        <w:rFonts w:ascii="Calibri" w:eastAsia="Calibri" w:hAnsi="Calibri" w:cs="Calibri"/>
        <w:b w:val="0"/>
        <w:i w:val="0"/>
        <w:color w:val="000000"/>
        <w:sz w:val="21"/>
        <w:szCs w:val="21"/>
      </w:rPr>
    </w:lvl>
    <w:lvl w:ilvl="1" w:tplc="02667B26">
      <w:start w:val="1"/>
      <w:numFmt w:val="lowerLetter"/>
      <w:lvlText w:val="%2."/>
      <w:lvlJc w:val="left"/>
      <w:pPr>
        <w:ind w:left="-180" w:hanging="360"/>
      </w:pPr>
    </w:lvl>
    <w:lvl w:ilvl="2" w:tplc="D390E5B2">
      <w:start w:val="1"/>
      <w:numFmt w:val="lowerRoman"/>
      <w:lvlText w:val="%3."/>
      <w:lvlJc w:val="right"/>
      <w:pPr>
        <w:ind w:left="540" w:hanging="180"/>
      </w:pPr>
    </w:lvl>
    <w:lvl w:ilvl="3" w:tplc="9D04338A">
      <w:start w:val="1"/>
      <w:numFmt w:val="lowerRoman"/>
      <w:lvlText w:val="%4)"/>
      <w:lvlJc w:val="left"/>
      <w:pPr>
        <w:ind w:left="1620" w:hanging="720"/>
      </w:pPr>
    </w:lvl>
    <w:lvl w:ilvl="4" w:tplc="A71EC596">
      <w:start w:val="1"/>
      <w:numFmt w:val="lowerLetter"/>
      <w:lvlText w:val="%5."/>
      <w:lvlJc w:val="left"/>
      <w:pPr>
        <w:ind w:left="1980" w:hanging="360"/>
      </w:pPr>
    </w:lvl>
    <w:lvl w:ilvl="5" w:tplc="9D88FAD6">
      <w:start w:val="1"/>
      <w:numFmt w:val="lowerRoman"/>
      <w:lvlText w:val="%6."/>
      <w:lvlJc w:val="right"/>
      <w:pPr>
        <w:ind w:left="2700" w:hanging="180"/>
      </w:pPr>
    </w:lvl>
    <w:lvl w:ilvl="6" w:tplc="888A7F3C">
      <w:start w:val="1"/>
      <w:numFmt w:val="decimal"/>
      <w:lvlText w:val="%7."/>
      <w:lvlJc w:val="left"/>
      <w:pPr>
        <w:ind w:left="3420" w:hanging="360"/>
      </w:pPr>
    </w:lvl>
    <w:lvl w:ilvl="7" w:tplc="A0D0B3BA">
      <w:start w:val="1"/>
      <w:numFmt w:val="lowerLetter"/>
      <w:lvlText w:val="%8."/>
      <w:lvlJc w:val="left"/>
      <w:pPr>
        <w:ind w:left="4140" w:hanging="360"/>
      </w:pPr>
    </w:lvl>
    <w:lvl w:ilvl="8" w:tplc="8D706982">
      <w:start w:val="1"/>
      <w:numFmt w:val="lowerRoman"/>
      <w:lvlText w:val="%9."/>
      <w:lvlJc w:val="right"/>
      <w:pPr>
        <w:ind w:left="4860" w:hanging="180"/>
      </w:pPr>
    </w:lvl>
  </w:abstractNum>
  <w:abstractNum w:abstractNumId="48" w15:restartNumberingAfterBreak="0">
    <w:nsid w:val="3A324A8C"/>
    <w:multiLevelType w:val="hybridMultilevel"/>
    <w:tmpl w:val="5F5EED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3B514A90"/>
    <w:multiLevelType w:val="hybridMultilevel"/>
    <w:tmpl w:val="5C5A82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3D4C58B9"/>
    <w:multiLevelType w:val="hybridMultilevel"/>
    <w:tmpl w:val="FBC667A0"/>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1" w15:restartNumberingAfterBreak="0">
    <w:nsid w:val="3D78595A"/>
    <w:multiLevelType w:val="hybridMultilevel"/>
    <w:tmpl w:val="30268A6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2" w15:restartNumberingAfterBreak="0">
    <w:nsid w:val="3EA73C95"/>
    <w:multiLevelType w:val="hybridMultilevel"/>
    <w:tmpl w:val="D6F64FF2"/>
    <w:lvl w:ilvl="0" w:tplc="5D8E9496">
      <w:start w:val="1"/>
      <w:numFmt w:val="lowerLetter"/>
      <w:lvlText w:val="%1)"/>
      <w:lvlJc w:val="left"/>
      <w:pPr>
        <w:ind w:left="841" w:hanging="360"/>
      </w:pPr>
      <w:rPr>
        <w:rFonts w:hint="default"/>
        <w:b w:val="0"/>
        <w:bCs w:val="0"/>
      </w:rPr>
    </w:lvl>
    <w:lvl w:ilvl="1" w:tplc="04090019">
      <w:start w:val="1"/>
      <w:numFmt w:val="lowerLetter"/>
      <w:lvlText w:val="%2."/>
      <w:lvlJc w:val="left"/>
      <w:pPr>
        <w:ind w:left="1921" w:hanging="360"/>
      </w:pPr>
    </w:lvl>
    <w:lvl w:ilvl="2" w:tplc="0409001B">
      <w:start w:val="1"/>
      <w:numFmt w:val="lowerRoman"/>
      <w:lvlText w:val="%3."/>
      <w:lvlJc w:val="right"/>
      <w:pPr>
        <w:ind w:left="2641" w:hanging="180"/>
      </w:pPr>
    </w:lvl>
    <w:lvl w:ilvl="3" w:tplc="0409000F">
      <w:start w:val="1"/>
      <w:numFmt w:val="decimal"/>
      <w:lvlText w:val="%4."/>
      <w:lvlJc w:val="left"/>
      <w:pPr>
        <w:ind w:left="3361" w:hanging="360"/>
      </w:pPr>
    </w:lvl>
    <w:lvl w:ilvl="4" w:tplc="04090019" w:tentative="1">
      <w:start w:val="1"/>
      <w:numFmt w:val="lowerLetter"/>
      <w:lvlText w:val="%5."/>
      <w:lvlJc w:val="left"/>
      <w:pPr>
        <w:ind w:left="4081" w:hanging="360"/>
      </w:pPr>
    </w:lvl>
    <w:lvl w:ilvl="5" w:tplc="0409001B" w:tentative="1">
      <w:start w:val="1"/>
      <w:numFmt w:val="lowerRoman"/>
      <w:lvlText w:val="%6."/>
      <w:lvlJc w:val="right"/>
      <w:pPr>
        <w:ind w:left="4801" w:hanging="180"/>
      </w:pPr>
    </w:lvl>
    <w:lvl w:ilvl="6" w:tplc="0409000F" w:tentative="1">
      <w:start w:val="1"/>
      <w:numFmt w:val="decimal"/>
      <w:lvlText w:val="%7."/>
      <w:lvlJc w:val="left"/>
      <w:pPr>
        <w:ind w:left="5521" w:hanging="360"/>
      </w:pPr>
    </w:lvl>
    <w:lvl w:ilvl="7" w:tplc="04090019" w:tentative="1">
      <w:start w:val="1"/>
      <w:numFmt w:val="lowerLetter"/>
      <w:lvlText w:val="%8."/>
      <w:lvlJc w:val="left"/>
      <w:pPr>
        <w:ind w:left="6241" w:hanging="360"/>
      </w:pPr>
    </w:lvl>
    <w:lvl w:ilvl="8" w:tplc="0409001B" w:tentative="1">
      <w:start w:val="1"/>
      <w:numFmt w:val="lowerRoman"/>
      <w:lvlText w:val="%9."/>
      <w:lvlJc w:val="right"/>
      <w:pPr>
        <w:ind w:left="6961" w:hanging="180"/>
      </w:pPr>
    </w:lvl>
  </w:abstractNum>
  <w:abstractNum w:abstractNumId="53" w15:restartNumberingAfterBreak="0">
    <w:nsid w:val="3FDC2F30"/>
    <w:multiLevelType w:val="hybridMultilevel"/>
    <w:tmpl w:val="F1027FC0"/>
    <w:lvl w:ilvl="0" w:tplc="08090001">
      <w:start w:val="1"/>
      <w:numFmt w:val="bullet"/>
      <w:lvlText w:val=""/>
      <w:lvlJc w:val="left"/>
      <w:pPr>
        <w:ind w:left="1069" w:hanging="360"/>
      </w:pPr>
      <w:rPr>
        <w:rFonts w:ascii="Symbol" w:hAnsi="Symbol" w:hint="default"/>
        <w:b w:val="0"/>
        <w:i w:val="0"/>
        <w:color w:val="auto"/>
        <w:sz w:val="22"/>
      </w:rPr>
    </w:lvl>
    <w:lvl w:ilvl="1" w:tplc="04090019">
      <w:start w:val="1"/>
      <w:numFmt w:val="lowerLetter"/>
      <w:lvlText w:val="%2."/>
      <w:lvlJc w:val="left"/>
      <w:pPr>
        <w:ind w:left="2149" w:hanging="360"/>
      </w:pPr>
    </w:lvl>
    <w:lvl w:ilvl="2" w:tplc="0409001B">
      <w:start w:val="1"/>
      <w:numFmt w:val="lowerRoman"/>
      <w:lvlText w:val="%3."/>
      <w:lvlJc w:val="right"/>
      <w:pPr>
        <w:ind w:left="2869" w:hanging="180"/>
      </w:pPr>
    </w:lvl>
    <w:lvl w:ilvl="3" w:tplc="0409000F" w:tentative="1">
      <w:start w:val="1"/>
      <w:numFmt w:val="decimal"/>
      <w:lvlText w:val="%4."/>
      <w:lvlJc w:val="left"/>
      <w:pPr>
        <w:ind w:left="3589" w:hanging="360"/>
      </w:pPr>
    </w:lvl>
    <w:lvl w:ilvl="4" w:tplc="04090019" w:tentative="1">
      <w:start w:val="1"/>
      <w:numFmt w:val="lowerLetter"/>
      <w:lvlText w:val="%5."/>
      <w:lvlJc w:val="left"/>
      <w:pPr>
        <w:ind w:left="4309" w:hanging="360"/>
      </w:pPr>
    </w:lvl>
    <w:lvl w:ilvl="5" w:tplc="0409001B" w:tentative="1">
      <w:start w:val="1"/>
      <w:numFmt w:val="lowerRoman"/>
      <w:lvlText w:val="%6."/>
      <w:lvlJc w:val="right"/>
      <w:pPr>
        <w:ind w:left="5029" w:hanging="180"/>
      </w:pPr>
    </w:lvl>
    <w:lvl w:ilvl="6" w:tplc="0409000F" w:tentative="1">
      <w:start w:val="1"/>
      <w:numFmt w:val="decimal"/>
      <w:lvlText w:val="%7."/>
      <w:lvlJc w:val="left"/>
      <w:pPr>
        <w:ind w:left="5749" w:hanging="360"/>
      </w:pPr>
    </w:lvl>
    <w:lvl w:ilvl="7" w:tplc="04090019" w:tentative="1">
      <w:start w:val="1"/>
      <w:numFmt w:val="lowerLetter"/>
      <w:lvlText w:val="%8."/>
      <w:lvlJc w:val="left"/>
      <w:pPr>
        <w:ind w:left="6469" w:hanging="360"/>
      </w:pPr>
    </w:lvl>
    <w:lvl w:ilvl="8" w:tplc="0409001B" w:tentative="1">
      <w:start w:val="1"/>
      <w:numFmt w:val="lowerRoman"/>
      <w:lvlText w:val="%9."/>
      <w:lvlJc w:val="right"/>
      <w:pPr>
        <w:ind w:left="7189" w:hanging="180"/>
      </w:pPr>
    </w:lvl>
  </w:abstractNum>
  <w:abstractNum w:abstractNumId="54" w15:restartNumberingAfterBreak="0">
    <w:nsid w:val="4034586F"/>
    <w:multiLevelType w:val="hybridMultilevel"/>
    <w:tmpl w:val="C41CFD18"/>
    <w:lvl w:ilvl="0" w:tplc="2AECF3A4">
      <w:start w:val="1"/>
      <w:numFmt w:val="bullet"/>
      <w:lvlText w:val=""/>
      <w:lvlJc w:val="left"/>
      <w:pPr>
        <w:ind w:left="1080" w:hanging="360"/>
      </w:pPr>
      <w:rPr>
        <w:rFonts w:ascii="Symbol" w:hAnsi="Symbol" w:hint="default"/>
      </w:rPr>
    </w:lvl>
    <w:lvl w:ilvl="1" w:tplc="8BB2CEF4">
      <w:start w:val="1"/>
      <w:numFmt w:val="bullet"/>
      <w:lvlText w:val="o"/>
      <w:lvlJc w:val="left"/>
      <w:pPr>
        <w:ind w:left="1800" w:hanging="360"/>
      </w:pPr>
      <w:rPr>
        <w:rFonts w:ascii="Courier New" w:hAnsi="Courier New" w:hint="default"/>
      </w:rPr>
    </w:lvl>
    <w:lvl w:ilvl="2" w:tplc="10888DAC">
      <w:start w:val="1"/>
      <w:numFmt w:val="bullet"/>
      <w:lvlText w:val=""/>
      <w:lvlJc w:val="left"/>
      <w:pPr>
        <w:ind w:left="2520" w:hanging="360"/>
      </w:pPr>
      <w:rPr>
        <w:rFonts w:ascii="Wingdings" w:hAnsi="Wingdings" w:hint="default"/>
      </w:rPr>
    </w:lvl>
    <w:lvl w:ilvl="3" w:tplc="A130542C">
      <w:start w:val="1"/>
      <w:numFmt w:val="bullet"/>
      <w:lvlText w:val=""/>
      <w:lvlJc w:val="left"/>
      <w:pPr>
        <w:ind w:left="3240" w:hanging="360"/>
      </w:pPr>
      <w:rPr>
        <w:rFonts w:ascii="Symbol" w:hAnsi="Symbol" w:hint="default"/>
      </w:rPr>
    </w:lvl>
    <w:lvl w:ilvl="4" w:tplc="6C68433C">
      <w:start w:val="1"/>
      <w:numFmt w:val="bullet"/>
      <w:lvlText w:val="o"/>
      <w:lvlJc w:val="left"/>
      <w:pPr>
        <w:ind w:left="3960" w:hanging="360"/>
      </w:pPr>
      <w:rPr>
        <w:rFonts w:ascii="Courier New" w:hAnsi="Courier New" w:hint="default"/>
      </w:rPr>
    </w:lvl>
    <w:lvl w:ilvl="5" w:tplc="B3208148">
      <w:start w:val="1"/>
      <w:numFmt w:val="bullet"/>
      <w:lvlText w:val=""/>
      <w:lvlJc w:val="left"/>
      <w:pPr>
        <w:ind w:left="4680" w:hanging="360"/>
      </w:pPr>
      <w:rPr>
        <w:rFonts w:ascii="Wingdings" w:hAnsi="Wingdings" w:hint="default"/>
      </w:rPr>
    </w:lvl>
    <w:lvl w:ilvl="6" w:tplc="0D48EEDC">
      <w:start w:val="1"/>
      <w:numFmt w:val="bullet"/>
      <w:lvlText w:val=""/>
      <w:lvlJc w:val="left"/>
      <w:pPr>
        <w:ind w:left="5400" w:hanging="360"/>
      </w:pPr>
      <w:rPr>
        <w:rFonts w:ascii="Symbol" w:hAnsi="Symbol" w:hint="default"/>
      </w:rPr>
    </w:lvl>
    <w:lvl w:ilvl="7" w:tplc="0ABA0448">
      <w:start w:val="1"/>
      <w:numFmt w:val="bullet"/>
      <w:lvlText w:val="o"/>
      <w:lvlJc w:val="left"/>
      <w:pPr>
        <w:ind w:left="6120" w:hanging="360"/>
      </w:pPr>
      <w:rPr>
        <w:rFonts w:ascii="Courier New" w:hAnsi="Courier New" w:hint="default"/>
      </w:rPr>
    </w:lvl>
    <w:lvl w:ilvl="8" w:tplc="8D92BE18">
      <w:start w:val="1"/>
      <w:numFmt w:val="bullet"/>
      <w:lvlText w:val=""/>
      <w:lvlJc w:val="left"/>
      <w:pPr>
        <w:ind w:left="6840" w:hanging="360"/>
      </w:pPr>
      <w:rPr>
        <w:rFonts w:ascii="Wingdings" w:hAnsi="Wingdings" w:hint="default"/>
      </w:rPr>
    </w:lvl>
  </w:abstractNum>
  <w:abstractNum w:abstractNumId="55" w15:restartNumberingAfterBreak="0">
    <w:nsid w:val="419B1CEB"/>
    <w:multiLevelType w:val="hybridMultilevel"/>
    <w:tmpl w:val="2BD630A0"/>
    <w:lvl w:ilvl="0" w:tplc="08090017">
      <w:start w:val="1"/>
      <w:numFmt w:val="lowerLetter"/>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15:restartNumberingAfterBreak="0">
    <w:nsid w:val="425C7ED4"/>
    <w:multiLevelType w:val="hybridMultilevel"/>
    <w:tmpl w:val="42FE825E"/>
    <w:lvl w:ilvl="0" w:tplc="54A6FDCC">
      <w:start w:val="1"/>
      <w:numFmt w:val="lowerLetter"/>
      <w:lvlText w:val="%1)"/>
      <w:lvlJc w:val="left"/>
      <w:pPr>
        <w:ind w:left="720" w:hanging="360"/>
      </w:pPr>
      <w:rPr>
        <w:rFonts w:hint="default"/>
        <w:b w:val="0"/>
        <w:bCs w:val="0"/>
      </w:rPr>
    </w:lvl>
    <w:lvl w:ilvl="1" w:tplc="08090001">
      <w:start w:val="1"/>
      <w:numFmt w:val="bullet"/>
      <w:lvlText w:val=""/>
      <w:lvlJc w:val="left"/>
      <w:pPr>
        <w:ind w:left="1440" w:hanging="360"/>
      </w:pPr>
      <w:rPr>
        <w:rFonts w:ascii="Symbol" w:hAnsi="Symbol"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7" w15:restartNumberingAfterBreak="0">
    <w:nsid w:val="428B01AB"/>
    <w:multiLevelType w:val="hybridMultilevel"/>
    <w:tmpl w:val="7982020C"/>
    <w:lvl w:ilvl="0" w:tplc="54A6FDCC">
      <w:start w:val="1"/>
      <w:numFmt w:val="lowerLetter"/>
      <w:lvlText w:val="%1)"/>
      <w:lvlJc w:val="left"/>
      <w:pPr>
        <w:ind w:left="720" w:hanging="360"/>
      </w:pPr>
      <w:rPr>
        <w:rFonts w:hint="default"/>
        <w:b w:val="0"/>
        <w:bCs w:val="0"/>
      </w:rPr>
    </w:lvl>
    <w:lvl w:ilvl="1" w:tplc="08090001">
      <w:start w:val="1"/>
      <w:numFmt w:val="bullet"/>
      <w:lvlText w:val=""/>
      <w:lvlJc w:val="left"/>
      <w:pPr>
        <w:ind w:left="1440" w:hanging="360"/>
      </w:pPr>
      <w:rPr>
        <w:rFonts w:ascii="Symbol" w:hAnsi="Symbol"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8" w15:restartNumberingAfterBreak="0">
    <w:nsid w:val="44F36562"/>
    <w:multiLevelType w:val="hybridMultilevel"/>
    <w:tmpl w:val="F1FE37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59" w15:restartNumberingAfterBreak="0">
    <w:nsid w:val="474306CF"/>
    <w:multiLevelType w:val="hybridMultilevel"/>
    <w:tmpl w:val="A69081F8"/>
    <w:lvl w:ilvl="0" w:tplc="7298C7CC">
      <w:start w:val="1"/>
      <w:numFmt w:val="decimal"/>
      <w:lvlText w:val="A.%1"/>
      <w:lvlJc w:val="left"/>
      <w:pPr>
        <w:ind w:left="1440" w:hanging="360"/>
      </w:pPr>
      <w:rPr>
        <w:rFonts w:hint="default"/>
      </w:rPr>
    </w:lvl>
    <w:lvl w:ilvl="1" w:tplc="04160003">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60" w15:restartNumberingAfterBreak="0">
    <w:nsid w:val="4D2E34ED"/>
    <w:multiLevelType w:val="hybridMultilevel"/>
    <w:tmpl w:val="793C7E4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15:restartNumberingAfterBreak="0">
    <w:nsid w:val="4E0E2D14"/>
    <w:multiLevelType w:val="hybridMultilevel"/>
    <w:tmpl w:val="490CB716"/>
    <w:lvl w:ilvl="0" w:tplc="EECA3BF0">
      <w:start w:val="1"/>
      <w:numFmt w:val="lowerLetter"/>
      <w:lvlText w:val="%1)"/>
      <w:lvlJc w:val="left"/>
      <w:pPr>
        <w:tabs>
          <w:tab w:val="num" w:pos="720"/>
        </w:tabs>
        <w:ind w:left="720" w:hanging="720"/>
      </w:pPr>
    </w:lvl>
    <w:lvl w:ilvl="1" w:tplc="B936EA76">
      <w:start w:val="1"/>
      <w:numFmt w:val="decimal"/>
      <w:lvlText w:val="%2."/>
      <w:lvlJc w:val="left"/>
      <w:pPr>
        <w:tabs>
          <w:tab w:val="num" w:pos="1440"/>
        </w:tabs>
        <w:ind w:left="1440" w:hanging="720"/>
      </w:pPr>
    </w:lvl>
    <w:lvl w:ilvl="2" w:tplc="651EABAC">
      <w:start w:val="1"/>
      <w:numFmt w:val="decimal"/>
      <w:lvlText w:val="%3."/>
      <w:lvlJc w:val="left"/>
      <w:pPr>
        <w:tabs>
          <w:tab w:val="num" w:pos="2160"/>
        </w:tabs>
        <w:ind w:left="2160" w:hanging="720"/>
      </w:pPr>
    </w:lvl>
    <w:lvl w:ilvl="3" w:tplc="73C47F0C">
      <w:start w:val="1"/>
      <w:numFmt w:val="decimal"/>
      <w:lvlText w:val="%4."/>
      <w:lvlJc w:val="left"/>
      <w:pPr>
        <w:tabs>
          <w:tab w:val="num" w:pos="2880"/>
        </w:tabs>
        <w:ind w:left="2880" w:hanging="720"/>
      </w:pPr>
    </w:lvl>
    <w:lvl w:ilvl="4" w:tplc="90A44F6C">
      <w:start w:val="1"/>
      <w:numFmt w:val="decimal"/>
      <w:lvlText w:val="%5."/>
      <w:lvlJc w:val="left"/>
      <w:pPr>
        <w:tabs>
          <w:tab w:val="num" w:pos="3600"/>
        </w:tabs>
        <w:ind w:left="3600" w:hanging="720"/>
      </w:pPr>
    </w:lvl>
    <w:lvl w:ilvl="5" w:tplc="6CA6B98A">
      <w:start w:val="1"/>
      <w:numFmt w:val="decimal"/>
      <w:lvlText w:val="%6."/>
      <w:lvlJc w:val="left"/>
      <w:pPr>
        <w:tabs>
          <w:tab w:val="num" w:pos="4320"/>
        </w:tabs>
        <w:ind w:left="4320" w:hanging="720"/>
      </w:pPr>
    </w:lvl>
    <w:lvl w:ilvl="6" w:tplc="50F42318">
      <w:start w:val="1"/>
      <w:numFmt w:val="decimal"/>
      <w:lvlText w:val="%7."/>
      <w:lvlJc w:val="left"/>
      <w:pPr>
        <w:tabs>
          <w:tab w:val="num" w:pos="5040"/>
        </w:tabs>
        <w:ind w:left="5040" w:hanging="720"/>
      </w:pPr>
    </w:lvl>
    <w:lvl w:ilvl="7" w:tplc="96D29246">
      <w:start w:val="1"/>
      <w:numFmt w:val="decimal"/>
      <w:lvlText w:val="%8."/>
      <w:lvlJc w:val="left"/>
      <w:pPr>
        <w:tabs>
          <w:tab w:val="num" w:pos="5760"/>
        </w:tabs>
        <w:ind w:left="5760" w:hanging="720"/>
      </w:pPr>
    </w:lvl>
    <w:lvl w:ilvl="8" w:tplc="2B3E4160">
      <w:start w:val="1"/>
      <w:numFmt w:val="decimal"/>
      <w:lvlText w:val="%9."/>
      <w:lvlJc w:val="left"/>
      <w:pPr>
        <w:tabs>
          <w:tab w:val="num" w:pos="6480"/>
        </w:tabs>
        <w:ind w:left="6480" w:hanging="720"/>
      </w:pPr>
    </w:lvl>
  </w:abstractNum>
  <w:abstractNum w:abstractNumId="62" w15:restartNumberingAfterBreak="0">
    <w:nsid w:val="4F2216B1"/>
    <w:multiLevelType w:val="hybridMultilevel"/>
    <w:tmpl w:val="60E4A52E"/>
    <w:lvl w:ilvl="0" w:tplc="54A6FDCC">
      <w:start w:val="1"/>
      <w:numFmt w:val="lowerLetter"/>
      <w:lvlText w:val="%1)"/>
      <w:lvlJc w:val="left"/>
      <w:pPr>
        <w:ind w:left="1080" w:hanging="360"/>
      </w:pPr>
      <w:rPr>
        <w:rFonts w:hint="default"/>
        <w:b w:val="0"/>
        <w:bCs w:val="0"/>
      </w:rPr>
    </w:lvl>
    <w:lvl w:ilvl="1" w:tplc="08090001">
      <w:start w:val="1"/>
      <w:numFmt w:val="bullet"/>
      <w:lvlText w:val=""/>
      <w:lvlJc w:val="left"/>
      <w:pPr>
        <w:ind w:left="2160" w:hanging="360"/>
      </w:pPr>
      <w:rPr>
        <w:rFonts w:ascii="Symbol" w:hAnsi="Symbol" w:hint="default"/>
      </w:r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3" w15:restartNumberingAfterBreak="0">
    <w:nsid w:val="501D3F02"/>
    <w:multiLevelType w:val="hybridMultilevel"/>
    <w:tmpl w:val="9E8E52A2"/>
    <w:lvl w:ilvl="0" w:tplc="4F68D0B2">
      <w:start w:val="1"/>
      <w:numFmt w:val="decimal"/>
      <w:lvlText w:val="%1."/>
      <w:lvlJc w:val="left"/>
      <w:pPr>
        <w:ind w:left="360" w:hanging="360"/>
      </w:pPr>
      <w:rPr>
        <w:rFonts w:ascii="Calibri" w:hAnsi="Calibri" w:cs="Times New Roman" w:hint="default"/>
        <w:b w:val="0"/>
        <w:i w:val="0"/>
        <w:color w:val="auto"/>
        <w:sz w:val="22"/>
      </w:rPr>
    </w:lvl>
    <w:lvl w:ilvl="1" w:tplc="7ECCEDE0">
      <w:start w:val="1"/>
      <w:numFmt w:val="decimal"/>
      <w:lvlText w:val="P.%2"/>
      <w:lvlJc w:val="left"/>
      <w:pPr>
        <w:ind w:left="644" w:hanging="360"/>
      </w:pPr>
      <w:rPr>
        <w:rFonts w:hint="default"/>
        <w:color w:val="000000" w:themeColor="text1"/>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 w15:restartNumberingAfterBreak="0">
    <w:nsid w:val="503A777F"/>
    <w:multiLevelType w:val="hybridMultilevel"/>
    <w:tmpl w:val="244A8758"/>
    <w:lvl w:ilvl="0" w:tplc="2632A164">
      <w:start w:val="1"/>
      <w:numFmt w:val="bullet"/>
      <w:lvlText w:val=""/>
      <w:lvlJc w:val="left"/>
      <w:pPr>
        <w:tabs>
          <w:tab w:val="num" w:pos="720"/>
        </w:tabs>
        <w:ind w:left="720" w:hanging="360"/>
      </w:pPr>
      <w:rPr>
        <w:rFonts w:ascii="Symbol" w:hAnsi="Symbol" w:hint="default"/>
        <w:sz w:val="20"/>
      </w:rPr>
    </w:lvl>
    <w:lvl w:ilvl="1" w:tplc="15888170" w:tentative="1">
      <w:start w:val="1"/>
      <w:numFmt w:val="bullet"/>
      <w:lvlText w:val=""/>
      <w:lvlJc w:val="left"/>
      <w:pPr>
        <w:tabs>
          <w:tab w:val="num" w:pos="1440"/>
        </w:tabs>
        <w:ind w:left="1440" w:hanging="360"/>
      </w:pPr>
      <w:rPr>
        <w:rFonts w:ascii="Symbol" w:hAnsi="Symbol" w:hint="default"/>
        <w:sz w:val="20"/>
      </w:rPr>
    </w:lvl>
    <w:lvl w:ilvl="2" w:tplc="07186AE0" w:tentative="1">
      <w:start w:val="1"/>
      <w:numFmt w:val="bullet"/>
      <w:lvlText w:val=""/>
      <w:lvlJc w:val="left"/>
      <w:pPr>
        <w:tabs>
          <w:tab w:val="num" w:pos="2160"/>
        </w:tabs>
        <w:ind w:left="2160" w:hanging="360"/>
      </w:pPr>
      <w:rPr>
        <w:rFonts w:ascii="Symbol" w:hAnsi="Symbol" w:hint="default"/>
        <w:sz w:val="20"/>
      </w:rPr>
    </w:lvl>
    <w:lvl w:ilvl="3" w:tplc="B5CE1578" w:tentative="1">
      <w:start w:val="1"/>
      <w:numFmt w:val="bullet"/>
      <w:lvlText w:val=""/>
      <w:lvlJc w:val="left"/>
      <w:pPr>
        <w:tabs>
          <w:tab w:val="num" w:pos="2880"/>
        </w:tabs>
        <w:ind w:left="2880" w:hanging="360"/>
      </w:pPr>
      <w:rPr>
        <w:rFonts w:ascii="Symbol" w:hAnsi="Symbol" w:hint="default"/>
        <w:sz w:val="20"/>
      </w:rPr>
    </w:lvl>
    <w:lvl w:ilvl="4" w:tplc="0524B3D6" w:tentative="1">
      <w:start w:val="1"/>
      <w:numFmt w:val="bullet"/>
      <w:lvlText w:val=""/>
      <w:lvlJc w:val="left"/>
      <w:pPr>
        <w:tabs>
          <w:tab w:val="num" w:pos="3600"/>
        </w:tabs>
        <w:ind w:left="3600" w:hanging="360"/>
      </w:pPr>
      <w:rPr>
        <w:rFonts w:ascii="Symbol" w:hAnsi="Symbol" w:hint="default"/>
        <w:sz w:val="20"/>
      </w:rPr>
    </w:lvl>
    <w:lvl w:ilvl="5" w:tplc="A514671A" w:tentative="1">
      <w:start w:val="1"/>
      <w:numFmt w:val="bullet"/>
      <w:lvlText w:val=""/>
      <w:lvlJc w:val="left"/>
      <w:pPr>
        <w:tabs>
          <w:tab w:val="num" w:pos="4320"/>
        </w:tabs>
        <w:ind w:left="4320" w:hanging="360"/>
      </w:pPr>
      <w:rPr>
        <w:rFonts w:ascii="Symbol" w:hAnsi="Symbol" w:hint="default"/>
        <w:sz w:val="20"/>
      </w:rPr>
    </w:lvl>
    <w:lvl w:ilvl="6" w:tplc="ECF86F8E" w:tentative="1">
      <w:start w:val="1"/>
      <w:numFmt w:val="bullet"/>
      <w:lvlText w:val=""/>
      <w:lvlJc w:val="left"/>
      <w:pPr>
        <w:tabs>
          <w:tab w:val="num" w:pos="5040"/>
        </w:tabs>
        <w:ind w:left="5040" w:hanging="360"/>
      </w:pPr>
      <w:rPr>
        <w:rFonts w:ascii="Symbol" w:hAnsi="Symbol" w:hint="default"/>
        <w:sz w:val="20"/>
      </w:rPr>
    </w:lvl>
    <w:lvl w:ilvl="7" w:tplc="F25C651A" w:tentative="1">
      <w:start w:val="1"/>
      <w:numFmt w:val="bullet"/>
      <w:lvlText w:val=""/>
      <w:lvlJc w:val="left"/>
      <w:pPr>
        <w:tabs>
          <w:tab w:val="num" w:pos="5760"/>
        </w:tabs>
        <w:ind w:left="5760" w:hanging="360"/>
      </w:pPr>
      <w:rPr>
        <w:rFonts w:ascii="Symbol" w:hAnsi="Symbol" w:hint="default"/>
        <w:sz w:val="20"/>
      </w:rPr>
    </w:lvl>
    <w:lvl w:ilvl="8" w:tplc="09647D3E" w:tentative="1">
      <w:start w:val="1"/>
      <w:numFmt w:val="bullet"/>
      <w:lvlText w:val=""/>
      <w:lvlJc w:val="left"/>
      <w:pPr>
        <w:tabs>
          <w:tab w:val="num" w:pos="6480"/>
        </w:tabs>
        <w:ind w:left="6480" w:hanging="360"/>
      </w:pPr>
      <w:rPr>
        <w:rFonts w:ascii="Symbol" w:hAnsi="Symbol" w:hint="default"/>
        <w:sz w:val="20"/>
      </w:rPr>
    </w:lvl>
  </w:abstractNum>
  <w:abstractNum w:abstractNumId="65" w15:restartNumberingAfterBreak="0">
    <w:nsid w:val="50631FCE"/>
    <w:multiLevelType w:val="hybridMultilevel"/>
    <w:tmpl w:val="B1DAAF4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66" w15:restartNumberingAfterBreak="0">
    <w:nsid w:val="515B5136"/>
    <w:multiLevelType w:val="hybridMultilevel"/>
    <w:tmpl w:val="AC78E170"/>
    <w:lvl w:ilvl="0" w:tplc="0D8AE9D0">
      <w:numFmt w:val="bullet"/>
      <w:lvlText w:val="-"/>
      <w:lvlJc w:val="left"/>
      <w:pPr>
        <w:ind w:left="720" w:hanging="360"/>
      </w:pPr>
      <w:rPr>
        <w:rFonts w:ascii="Calibri" w:eastAsia="Calibri" w:hAnsi="Calibri" w:cs="HelveticaNeue LT 55 Roman" w:hint="default"/>
      </w:rPr>
    </w:lvl>
    <w:lvl w:ilvl="1" w:tplc="04090003" w:tentative="1">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67" w15:restartNumberingAfterBreak="0">
    <w:nsid w:val="52AC5DBB"/>
    <w:multiLevelType w:val="hybridMultilevel"/>
    <w:tmpl w:val="50DC6534"/>
    <w:lvl w:ilvl="0" w:tplc="2D5A5AD6">
      <w:start w:val="1"/>
      <w:numFmt w:val="decimal"/>
      <w:lvlText w:val="%1."/>
      <w:lvlJc w:val="left"/>
      <w:pPr>
        <w:ind w:left="360" w:hanging="360"/>
      </w:pPr>
      <w:rPr>
        <w:rFonts w:ascii="Times New Roman" w:hAnsi="Times New Roman" w:cs="Times New Roman" w:hint="default"/>
        <w:b w:val="0"/>
        <w:i w:val="0"/>
        <w:color w:val="auto"/>
        <w:sz w:val="22"/>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8" w15:restartNumberingAfterBreak="0">
    <w:nsid w:val="53233F1D"/>
    <w:multiLevelType w:val="hybridMultilevel"/>
    <w:tmpl w:val="08DAD7C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Arial"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Arial"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Arial" w:hint="default"/>
      </w:rPr>
    </w:lvl>
    <w:lvl w:ilvl="8" w:tplc="04090005">
      <w:start w:val="1"/>
      <w:numFmt w:val="bullet"/>
      <w:lvlText w:val=""/>
      <w:lvlJc w:val="left"/>
      <w:pPr>
        <w:ind w:left="6480" w:hanging="360"/>
      </w:pPr>
      <w:rPr>
        <w:rFonts w:ascii="Wingdings" w:hAnsi="Wingdings" w:hint="default"/>
      </w:rPr>
    </w:lvl>
  </w:abstractNum>
  <w:abstractNum w:abstractNumId="69" w15:restartNumberingAfterBreak="0">
    <w:nsid w:val="543254EA"/>
    <w:multiLevelType w:val="hybridMultilevel"/>
    <w:tmpl w:val="9B6645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cs="HelveticaNeue LT 55 Roman" w:hint="default"/>
      </w:rPr>
    </w:lvl>
    <w:lvl w:ilvl="3" w:tplc="04090001" w:tentative="1">
      <w:start w:val="1"/>
      <w:numFmt w:val="bullet"/>
      <w:lvlText w:val=""/>
      <w:lvlJc w:val="left"/>
      <w:pPr>
        <w:ind w:left="2880" w:hanging="360"/>
      </w:pPr>
      <w:rPr>
        <w:rFonts w:ascii="Symbol" w:hAnsi="Symbol" w:cs="Courier New"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cs="HelveticaNeue LT 55 Roman" w:hint="default"/>
      </w:rPr>
    </w:lvl>
    <w:lvl w:ilvl="6" w:tplc="04090001" w:tentative="1">
      <w:start w:val="1"/>
      <w:numFmt w:val="bullet"/>
      <w:lvlText w:val=""/>
      <w:lvlJc w:val="left"/>
      <w:pPr>
        <w:ind w:left="5040" w:hanging="360"/>
      </w:pPr>
      <w:rPr>
        <w:rFonts w:ascii="Symbol" w:hAnsi="Symbol" w:cs="Courier New"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cs="HelveticaNeue LT 55 Roman" w:hint="default"/>
      </w:rPr>
    </w:lvl>
  </w:abstractNum>
  <w:abstractNum w:abstractNumId="70" w15:restartNumberingAfterBreak="0">
    <w:nsid w:val="556C5EBF"/>
    <w:multiLevelType w:val="hybridMultilevel"/>
    <w:tmpl w:val="36A0173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1" w15:restartNumberingAfterBreak="0">
    <w:nsid w:val="570A535A"/>
    <w:multiLevelType w:val="hybridMultilevel"/>
    <w:tmpl w:val="C216798C"/>
    <w:lvl w:ilvl="0" w:tplc="08090017">
      <w:start w:val="1"/>
      <w:numFmt w:val="lowerLetter"/>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15:restartNumberingAfterBreak="0">
    <w:nsid w:val="571D2D54"/>
    <w:multiLevelType w:val="hybridMultilevel"/>
    <w:tmpl w:val="56E06944"/>
    <w:lvl w:ilvl="0" w:tplc="04090017">
      <w:start w:val="1"/>
      <w:numFmt w:val="lowerLetter"/>
      <w:lvlText w:val="%1)"/>
      <w:lvlJc w:val="left"/>
      <w:pPr>
        <w:ind w:left="720" w:hanging="360"/>
      </w:pPr>
      <w:rPr>
        <w:rFonts w:hint="default"/>
        <w:b w:val="0"/>
        <w:i w:val="0"/>
        <w:color w:val="auto"/>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3" w15:restartNumberingAfterBreak="0">
    <w:nsid w:val="579075DB"/>
    <w:multiLevelType w:val="hybridMultilevel"/>
    <w:tmpl w:val="D30AA08A"/>
    <w:lvl w:ilvl="0" w:tplc="0809000F">
      <w:start w:val="1"/>
      <w:numFmt w:val="decimal"/>
      <w:pStyle w:val="ParagraphOED"/>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4" w15:restartNumberingAfterBreak="0">
    <w:nsid w:val="58BD1240"/>
    <w:multiLevelType w:val="hybridMultilevel"/>
    <w:tmpl w:val="8E18CAE6"/>
    <w:lvl w:ilvl="0" w:tplc="08090001">
      <w:start w:val="1"/>
      <w:numFmt w:val="bullet"/>
      <w:pStyle w:val="Bullet10"/>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5" w15:restartNumberingAfterBreak="0">
    <w:nsid w:val="5D4A25C3"/>
    <w:multiLevelType w:val="hybridMultilevel"/>
    <w:tmpl w:val="ABCE8CE8"/>
    <w:lvl w:ilvl="0" w:tplc="2010552E">
      <w:start w:val="1"/>
      <w:numFmt w:val="bullet"/>
      <w:lvlText w:val=""/>
      <w:lvlJc w:val="left"/>
      <w:pPr>
        <w:ind w:left="1080" w:hanging="360"/>
      </w:pPr>
      <w:rPr>
        <w:rFonts w:ascii="Symbol" w:hAnsi="Symbol"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6" w15:restartNumberingAfterBreak="0">
    <w:nsid w:val="604F00BD"/>
    <w:multiLevelType w:val="hybridMultilevel"/>
    <w:tmpl w:val="20FE06FE"/>
    <w:lvl w:ilvl="0" w:tplc="72AEF97A">
      <w:start w:val="364"/>
      <w:numFmt w:val="decimal"/>
      <w:lvlText w:val="%1."/>
      <w:lvlJc w:val="left"/>
      <w:pPr>
        <w:tabs>
          <w:tab w:val="num" w:pos="720"/>
        </w:tabs>
        <w:ind w:left="720" w:hanging="360"/>
      </w:pPr>
    </w:lvl>
    <w:lvl w:ilvl="1" w:tplc="624ED340" w:tentative="1">
      <w:start w:val="1"/>
      <w:numFmt w:val="decimal"/>
      <w:lvlText w:val="%2."/>
      <w:lvlJc w:val="left"/>
      <w:pPr>
        <w:tabs>
          <w:tab w:val="num" w:pos="1440"/>
        </w:tabs>
        <w:ind w:left="1440" w:hanging="360"/>
      </w:pPr>
    </w:lvl>
    <w:lvl w:ilvl="2" w:tplc="BD2004E6" w:tentative="1">
      <w:start w:val="1"/>
      <w:numFmt w:val="decimal"/>
      <w:lvlText w:val="%3."/>
      <w:lvlJc w:val="left"/>
      <w:pPr>
        <w:tabs>
          <w:tab w:val="num" w:pos="2160"/>
        </w:tabs>
        <w:ind w:left="2160" w:hanging="360"/>
      </w:pPr>
    </w:lvl>
    <w:lvl w:ilvl="3" w:tplc="39AABBEA" w:tentative="1">
      <w:start w:val="1"/>
      <w:numFmt w:val="decimal"/>
      <w:lvlText w:val="%4."/>
      <w:lvlJc w:val="left"/>
      <w:pPr>
        <w:tabs>
          <w:tab w:val="num" w:pos="2880"/>
        </w:tabs>
        <w:ind w:left="2880" w:hanging="360"/>
      </w:pPr>
    </w:lvl>
    <w:lvl w:ilvl="4" w:tplc="732A86C2" w:tentative="1">
      <w:start w:val="1"/>
      <w:numFmt w:val="decimal"/>
      <w:lvlText w:val="%5."/>
      <w:lvlJc w:val="left"/>
      <w:pPr>
        <w:tabs>
          <w:tab w:val="num" w:pos="3600"/>
        </w:tabs>
        <w:ind w:left="3600" w:hanging="360"/>
      </w:pPr>
    </w:lvl>
    <w:lvl w:ilvl="5" w:tplc="47920028" w:tentative="1">
      <w:start w:val="1"/>
      <w:numFmt w:val="decimal"/>
      <w:lvlText w:val="%6."/>
      <w:lvlJc w:val="left"/>
      <w:pPr>
        <w:tabs>
          <w:tab w:val="num" w:pos="4320"/>
        </w:tabs>
        <w:ind w:left="4320" w:hanging="360"/>
      </w:pPr>
    </w:lvl>
    <w:lvl w:ilvl="6" w:tplc="718ECB62" w:tentative="1">
      <w:start w:val="1"/>
      <w:numFmt w:val="decimal"/>
      <w:lvlText w:val="%7."/>
      <w:lvlJc w:val="left"/>
      <w:pPr>
        <w:tabs>
          <w:tab w:val="num" w:pos="5040"/>
        </w:tabs>
        <w:ind w:left="5040" w:hanging="360"/>
      </w:pPr>
    </w:lvl>
    <w:lvl w:ilvl="7" w:tplc="E598BD52" w:tentative="1">
      <w:start w:val="1"/>
      <w:numFmt w:val="decimal"/>
      <w:lvlText w:val="%8."/>
      <w:lvlJc w:val="left"/>
      <w:pPr>
        <w:tabs>
          <w:tab w:val="num" w:pos="5760"/>
        </w:tabs>
        <w:ind w:left="5760" w:hanging="360"/>
      </w:pPr>
    </w:lvl>
    <w:lvl w:ilvl="8" w:tplc="8AFED4CA" w:tentative="1">
      <w:start w:val="1"/>
      <w:numFmt w:val="decimal"/>
      <w:lvlText w:val="%9."/>
      <w:lvlJc w:val="left"/>
      <w:pPr>
        <w:tabs>
          <w:tab w:val="num" w:pos="6480"/>
        </w:tabs>
        <w:ind w:left="6480" w:hanging="360"/>
      </w:pPr>
    </w:lvl>
  </w:abstractNum>
  <w:abstractNum w:abstractNumId="77" w15:restartNumberingAfterBreak="0">
    <w:nsid w:val="6A200A5F"/>
    <w:multiLevelType w:val="hybridMultilevel"/>
    <w:tmpl w:val="36C23F3E"/>
    <w:lvl w:ilvl="0" w:tplc="2010552E">
      <w:start w:val="1"/>
      <w:numFmt w:val="bullet"/>
      <w:lvlText w:val=""/>
      <w:lvlJc w:val="left"/>
      <w:pPr>
        <w:ind w:left="108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15:restartNumberingAfterBreak="0">
    <w:nsid w:val="6AB853E1"/>
    <w:multiLevelType w:val="hybridMultilevel"/>
    <w:tmpl w:val="38CC79DA"/>
    <w:lvl w:ilvl="0" w:tplc="0290A4C4">
      <w:start w:val="1"/>
      <w:numFmt w:val="upperLetter"/>
      <w:lvlText w:val="%1."/>
      <w:lvlJc w:val="left"/>
      <w:pPr>
        <w:tabs>
          <w:tab w:val="num" w:pos="360"/>
        </w:tabs>
        <w:ind w:left="360" w:hanging="360"/>
      </w:pPr>
      <w:rPr>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9" w15:restartNumberingAfterBreak="0">
    <w:nsid w:val="6C664272"/>
    <w:multiLevelType w:val="hybridMultilevel"/>
    <w:tmpl w:val="AF88A542"/>
    <w:lvl w:ilvl="0" w:tplc="69BA88F0">
      <w:start w:val="1"/>
      <w:numFmt w:val="bullet"/>
      <w:lvlText w:val="•"/>
      <w:lvlJc w:val="left"/>
      <w:pPr>
        <w:tabs>
          <w:tab w:val="num" w:pos="360"/>
        </w:tabs>
        <w:ind w:left="360" w:hanging="360"/>
      </w:pPr>
      <w:rPr>
        <w:rFonts w:ascii="Arial" w:hAnsi="Arial" w:hint="default"/>
      </w:rPr>
    </w:lvl>
    <w:lvl w:ilvl="1" w:tplc="DBC81486">
      <w:numFmt w:val="bullet"/>
      <w:lvlText w:val="•"/>
      <w:lvlJc w:val="left"/>
      <w:pPr>
        <w:tabs>
          <w:tab w:val="num" w:pos="1080"/>
        </w:tabs>
        <w:ind w:left="1080" w:hanging="360"/>
      </w:pPr>
      <w:rPr>
        <w:rFonts w:ascii="Arial" w:hAnsi="Arial" w:hint="default"/>
      </w:rPr>
    </w:lvl>
    <w:lvl w:ilvl="2" w:tplc="A25C313E">
      <w:start w:val="1"/>
      <w:numFmt w:val="bullet"/>
      <w:lvlText w:val="•"/>
      <w:lvlJc w:val="left"/>
      <w:pPr>
        <w:tabs>
          <w:tab w:val="num" w:pos="1800"/>
        </w:tabs>
        <w:ind w:left="1800" w:hanging="360"/>
      </w:pPr>
      <w:rPr>
        <w:rFonts w:ascii="Arial" w:hAnsi="Arial" w:hint="default"/>
      </w:rPr>
    </w:lvl>
    <w:lvl w:ilvl="3" w:tplc="644667A6" w:tentative="1">
      <w:start w:val="1"/>
      <w:numFmt w:val="bullet"/>
      <w:lvlText w:val="•"/>
      <w:lvlJc w:val="left"/>
      <w:pPr>
        <w:tabs>
          <w:tab w:val="num" w:pos="2520"/>
        </w:tabs>
        <w:ind w:left="2520" w:hanging="360"/>
      </w:pPr>
      <w:rPr>
        <w:rFonts w:ascii="Arial" w:hAnsi="Arial" w:hint="default"/>
      </w:rPr>
    </w:lvl>
    <w:lvl w:ilvl="4" w:tplc="AAD8ADA8" w:tentative="1">
      <w:start w:val="1"/>
      <w:numFmt w:val="bullet"/>
      <w:lvlText w:val="•"/>
      <w:lvlJc w:val="left"/>
      <w:pPr>
        <w:tabs>
          <w:tab w:val="num" w:pos="3240"/>
        </w:tabs>
        <w:ind w:left="3240" w:hanging="360"/>
      </w:pPr>
      <w:rPr>
        <w:rFonts w:ascii="Arial" w:hAnsi="Arial" w:hint="default"/>
      </w:rPr>
    </w:lvl>
    <w:lvl w:ilvl="5" w:tplc="AD401B38" w:tentative="1">
      <w:start w:val="1"/>
      <w:numFmt w:val="bullet"/>
      <w:lvlText w:val="•"/>
      <w:lvlJc w:val="left"/>
      <w:pPr>
        <w:tabs>
          <w:tab w:val="num" w:pos="3960"/>
        </w:tabs>
        <w:ind w:left="3960" w:hanging="360"/>
      </w:pPr>
      <w:rPr>
        <w:rFonts w:ascii="Arial" w:hAnsi="Arial" w:hint="default"/>
      </w:rPr>
    </w:lvl>
    <w:lvl w:ilvl="6" w:tplc="93746906" w:tentative="1">
      <w:start w:val="1"/>
      <w:numFmt w:val="bullet"/>
      <w:lvlText w:val="•"/>
      <w:lvlJc w:val="left"/>
      <w:pPr>
        <w:tabs>
          <w:tab w:val="num" w:pos="4680"/>
        </w:tabs>
        <w:ind w:left="4680" w:hanging="360"/>
      </w:pPr>
      <w:rPr>
        <w:rFonts w:ascii="Arial" w:hAnsi="Arial" w:hint="default"/>
      </w:rPr>
    </w:lvl>
    <w:lvl w:ilvl="7" w:tplc="6BF65648" w:tentative="1">
      <w:start w:val="1"/>
      <w:numFmt w:val="bullet"/>
      <w:lvlText w:val="•"/>
      <w:lvlJc w:val="left"/>
      <w:pPr>
        <w:tabs>
          <w:tab w:val="num" w:pos="5400"/>
        </w:tabs>
        <w:ind w:left="5400" w:hanging="360"/>
      </w:pPr>
      <w:rPr>
        <w:rFonts w:ascii="Arial" w:hAnsi="Arial" w:hint="default"/>
      </w:rPr>
    </w:lvl>
    <w:lvl w:ilvl="8" w:tplc="8B5CC66A" w:tentative="1">
      <w:start w:val="1"/>
      <w:numFmt w:val="bullet"/>
      <w:lvlText w:val="•"/>
      <w:lvlJc w:val="left"/>
      <w:pPr>
        <w:tabs>
          <w:tab w:val="num" w:pos="6120"/>
        </w:tabs>
        <w:ind w:left="6120" w:hanging="360"/>
      </w:pPr>
      <w:rPr>
        <w:rFonts w:ascii="Arial" w:hAnsi="Arial" w:hint="default"/>
      </w:rPr>
    </w:lvl>
  </w:abstractNum>
  <w:abstractNum w:abstractNumId="80" w15:restartNumberingAfterBreak="0">
    <w:nsid w:val="6C860D39"/>
    <w:multiLevelType w:val="hybridMultilevel"/>
    <w:tmpl w:val="09B60B44"/>
    <w:lvl w:ilvl="0" w:tplc="08090017">
      <w:start w:val="1"/>
      <w:numFmt w:val="lowerLetter"/>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1" w15:restartNumberingAfterBreak="0">
    <w:nsid w:val="6CCD32C0"/>
    <w:multiLevelType w:val="hybridMultilevel"/>
    <w:tmpl w:val="42FAD2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2" w15:restartNumberingAfterBreak="0">
    <w:nsid w:val="6CE13C02"/>
    <w:multiLevelType w:val="hybridMultilevel"/>
    <w:tmpl w:val="FFFFFFFF"/>
    <w:lvl w:ilvl="0" w:tplc="C4906022">
      <w:start w:val="1"/>
      <w:numFmt w:val="bullet"/>
      <w:lvlText w:val=""/>
      <w:lvlJc w:val="left"/>
      <w:pPr>
        <w:ind w:left="720" w:hanging="360"/>
      </w:pPr>
      <w:rPr>
        <w:rFonts w:ascii="Symbol" w:hAnsi="Symbol" w:hint="default"/>
      </w:rPr>
    </w:lvl>
    <w:lvl w:ilvl="1" w:tplc="503C7BC8">
      <w:start w:val="1"/>
      <w:numFmt w:val="bullet"/>
      <w:lvlText w:val="o"/>
      <w:lvlJc w:val="left"/>
      <w:pPr>
        <w:ind w:left="1440" w:hanging="360"/>
      </w:pPr>
      <w:rPr>
        <w:rFonts w:ascii="Courier New" w:hAnsi="Courier New" w:hint="default"/>
      </w:rPr>
    </w:lvl>
    <w:lvl w:ilvl="2" w:tplc="22F43E6A">
      <w:start w:val="1"/>
      <w:numFmt w:val="bullet"/>
      <w:lvlText w:val=""/>
      <w:lvlJc w:val="left"/>
      <w:pPr>
        <w:ind w:left="2160" w:hanging="360"/>
      </w:pPr>
      <w:rPr>
        <w:rFonts w:ascii="Wingdings" w:hAnsi="Wingdings" w:hint="default"/>
      </w:rPr>
    </w:lvl>
    <w:lvl w:ilvl="3" w:tplc="B5FE4B02">
      <w:start w:val="1"/>
      <w:numFmt w:val="bullet"/>
      <w:lvlText w:val=""/>
      <w:lvlJc w:val="left"/>
      <w:pPr>
        <w:ind w:left="2880" w:hanging="360"/>
      </w:pPr>
      <w:rPr>
        <w:rFonts w:ascii="Symbol" w:hAnsi="Symbol" w:hint="default"/>
      </w:rPr>
    </w:lvl>
    <w:lvl w:ilvl="4" w:tplc="E360996C">
      <w:start w:val="1"/>
      <w:numFmt w:val="bullet"/>
      <w:lvlText w:val="o"/>
      <w:lvlJc w:val="left"/>
      <w:pPr>
        <w:ind w:left="3600" w:hanging="360"/>
      </w:pPr>
      <w:rPr>
        <w:rFonts w:ascii="Courier New" w:hAnsi="Courier New" w:hint="default"/>
      </w:rPr>
    </w:lvl>
    <w:lvl w:ilvl="5" w:tplc="4E7EB3A8">
      <w:start w:val="1"/>
      <w:numFmt w:val="bullet"/>
      <w:lvlText w:val=""/>
      <w:lvlJc w:val="left"/>
      <w:pPr>
        <w:ind w:left="4320" w:hanging="360"/>
      </w:pPr>
      <w:rPr>
        <w:rFonts w:ascii="Wingdings" w:hAnsi="Wingdings" w:hint="default"/>
      </w:rPr>
    </w:lvl>
    <w:lvl w:ilvl="6" w:tplc="C02A9E5C">
      <w:start w:val="1"/>
      <w:numFmt w:val="bullet"/>
      <w:lvlText w:val=""/>
      <w:lvlJc w:val="left"/>
      <w:pPr>
        <w:ind w:left="5040" w:hanging="360"/>
      </w:pPr>
      <w:rPr>
        <w:rFonts w:ascii="Symbol" w:hAnsi="Symbol" w:hint="default"/>
      </w:rPr>
    </w:lvl>
    <w:lvl w:ilvl="7" w:tplc="BAB2DA4C">
      <w:start w:val="1"/>
      <w:numFmt w:val="bullet"/>
      <w:lvlText w:val="o"/>
      <w:lvlJc w:val="left"/>
      <w:pPr>
        <w:ind w:left="5760" w:hanging="360"/>
      </w:pPr>
      <w:rPr>
        <w:rFonts w:ascii="Courier New" w:hAnsi="Courier New" w:hint="default"/>
      </w:rPr>
    </w:lvl>
    <w:lvl w:ilvl="8" w:tplc="40ECFF40">
      <w:start w:val="1"/>
      <w:numFmt w:val="bullet"/>
      <w:lvlText w:val=""/>
      <w:lvlJc w:val="left"/>
      <w:pPr>
        <w:ind w:left="6480" w:hanging="360"/>
      </w:pPr>
      <w:rPr>
        <w:rFonts w:ascii="Wingdings" w:hAnsi="Wingdings" w:hint="default"/>
      </w:rPr>
    </w:lvl>
  </w:abstractNum>
  <w:abstractNum w:abstractNumId="83" w15:restartNumberingAfterBreak="0">
    <w:nsid w:val="6E77178E"/>
    <w:multiLevelType w:val="hybridMultilevel"/>
    <w:tmpl w:val="07906B6A"/>
    <w:lvl w:ilvl="0" w:tplc="04090001">
      <w:start w:val="1"/>
      <w:numFmt w:val="bullet"/>
      <w:lvlText w:val=""/>
      <w:lvlJc w:val="left"/>
      <w:pPr>
        <w:ind w:left="11" w:hanging="360"/>
      </w:pPr>
      <w:rPr>
        <w:rFonts w:ascii="Symbol" w:hAnsi="Symbol" w:hint="default"/>
      </w:rPr>
    </w:lvl>
    <w:lvl w:ilvl="1" w:tplc="04090003" w:tentative="1">
      <w:start w:val="1"/>
      <w:numFmt w:val="bullet"/>
      <w:lvlText w:val="o"/>
      <w:lvlJc w:val="left"/>
      <w:pPr>
        <w:ind w:left="731" w:hanging="360"/>
      </w:pPr>
      <w:rPr>
        <w:rFonts w:ascii="Courier New" w:hAnsi="Courier New" w:cs="Arial" w:hint="default"/>
      </w:rPr>
    </w:lvl>
    <w:lvl w:ilvl="2" w:tplc="04090005" w:tentative="1">
      <w:start w:val="1"/>
      <w:numFmt w:val="bullet"/>
      <w:lvlText w:val=""/>
      <w:lvlJc w:val="left"/>
      <w:pPr>
        <w:ind w:left="1451" w:hanging="360"/>
      </w:pPr>
      <w:rPr>
        <w:rFonts w:ascii="Wingdings" w:hAnsi="Wingdings" w:hint="default"/>
      </w:rPr>
    </w:lvl>
    <w:lvl w:ilvl="3" w:tplc="04090001" w:tentative="1">
      <w:start w:val="1"/>
      <w:numFmt w:val="bullet"/>
      <w:lvlText w:val=""/>
      <w:lvlJc w:val="left"/>
      <w:pPr>
        <w:ind w:left="2171" w:hanging="360"/>
      </w:pPr>
      <w:rPr>
        <w:rFonts w:ascii="Symbol" w:hAnsi="Symbol" w:hint="default"/>
      </w:rPr>
    </w:lvl>
    <w:lvl w:ilvl="4" w:tplc="04090003" w:tentative="1">
      <w:start w:val="1"/>
      <w:numFmt w:val="bullet"/>
      <w:lvlText w:val="o"/>
      <w:lvlJc w:val="left"/>
      <w:pPr>
        <w:ind w:left="2891" w:hanging="360"/>
      </w:pPr>
      <w:rPr>
        <w:rFonts w:ascii="Courier New" w:hAnsi="Courier New" w:cs="Arial" w:hint="default"/>
      </w:rPr>
    </w:lvl>
    <w:lvl w:ilvl="5" w:tplc="04090005" w:tentative="1">
      <w:start w:val="1"/>
      <w:numFmt w:val="bullet"/>
      <w:lvlText w:val=""/>
      <w:lvlJc w:val="left"/>
      <w:pPr>
        <w:ind w:left="3611" w:hanging="360"/>
      </w:pPr>
      <w:rPr>
        <w:rFonts w:ascii="Wingdings" w:hAnsi="Wingdings" w:hint="default"/>
      </w:rPr>
    </w:lvl>
    <w:lvl w:ilvl="6" w:tplc="04090001" w:tentative="1">
      <w:start w:val="1"/>
      <w:numFmt w:val="bullet"/>
      <w:lvlText w:val=""/>
      <w:lvlJc w:val="left"/>
      <w:pPr>
        <w:ind w:left="4331" w:hanging="360"/>
      </w:pPr>
      <w:rPr>
        <w:rFonts w:ascii="Symbol" w:hAnsi="Symbol" w:hint="default"/>
      </w:rPr>
    </w:lvl>
    <w:lvl w:ilvl="7" w:tplc="04090003" w:tentative="1">
      <w:start w:val="1"/>
      <w:numFmt w:val="bullet"/>
      <w:lvlText w:val="o"/>
      <w:lvlJc w:val="left"/>
      <w:pPr>
        <w:ind w:left="5051" w:hanging="360"/>
      </w:pPr>
      <w:rPr>
        <w:rFonts w:ascii="Courier New" w:hAnsi="Courier New" w:cs="Arial" w:hint="default"/>
      </w:rPr>
    </w:lvl>
    <w:lvl w:ilvl="8" w:tplc="04090005" w:tentative="1">
      <w:start w:val="1"/>
      <w:numFmt w:val="bullet"/>
      <w:lvlText w:val=""/>
      <w:lvlJc w:val="left"/>
      <w:pPr>
        <w:ind w:left="5771" w:hanging="360"/>
      </w:pPr>
      <w:rPr>
        <w:rFonts w:ascii="Wingdings" w:hAnsi="Wingdings" w:hint="default"/>
      </w:rPr>
    </w:lvl>
  </w:abstractNum>
  <w:abstractNum w:abstractNumId="84" w15:restartNumberingAfterBreak="0">
    <w:nsid w:val="6FE035B5"/>
    <w:multiLevelType w:val="hybridMultilevel"/>
    <w:tmpl w:val="3314D6C8"/>
    <w:lvl w:ilvl="0" w:tplc="04090001">
      <w:start w:val="1"/>
      <w:numFmt w:val="bullet"/>
      <w:pStyle w:val="AAActivities"/>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70F94A12"/>
    <w:multiLevelType w:val="hybridMultilevel"/>
    <w:tmpl w:val="FDE27D78"/>
    <w:lvl w:ilvl="0" w:tplc="E76A7E62">
      <w:start w:val="1"/>
      <w:numFmt w:val="lowerRoman"/>
      <w:lvlText w:val="%1."/>
      <w:lvlJc w:val="right"/>
      <w:pPr>
        <w:ind w:left="720" w:hanging="432"/>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6" w15:restartNumberingAfterBreak="0">
    <w:nsid w:val="70FD6164"/>
    <w:multiLevelType w:val="hybridMultilevel"/>
    <w:tmpl w:val="8984FAC8"/>
    <w:lvl w:ilvl="0" w:tplc="0A801C5E">
      <w:start w:val="1"/>
      <w:numFmt w:val="decimal"/>
      <w:pStyle w:val="CitaviBibliographySubheading8"/>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7" w15:restartNumberingAfterBreak="0">
    <w:nsid w:val="71897601"/>
    <w:multiLevelType w:val="hybridMultilevel"/>
    <w:tmpl w:val="BA5CD4E0"/>
    <w:lvl w:ilvl="0" w:tplc="A638380E">
      <w:start w:val="1"/>
      <w:numFmt w:val="decimal"/>
      <w:lvlText w:val="%1."/>
      <w:lvlJc w:val="left"/>
      <w:pPr>
        <w:ind w:left="360" w:hanging="360"/>
      </w:pPr>
      <w:rPr>
        <w:rFonts w:ascii="Calibri" w:hAnsi="Calibri" w:cs="Times New Roman" w:hint="default"/>
        <w:b w:val="0"/>
        <w:i w:val="0"/>
        <w:color w:val="auto"/>
        <w:sz w:val="18"/>
        <w:szCs w:val="18"/>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809001B">
      <w:start w:val="1"/>
      <w:numFmt w:val="lowerRoman"/>
      <w:lvlText w:val="%4."/>
      <w:lvlJc w:val="righ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8" w15:restartNumberingAfterBreak="0">
    <w:nsid w:val="7352513A"/>
    <w:multiLevelType w:val="hybridMultilevel"/>
    <w:tmpl w:val="D8BE8B52"/>
    <w:lvl w:ilvl="0" w:tplc="04090001">
      <w:start w:val="1"/>
      <w:numFmt w:val="bullet"/>
      <w:lvlText w:val=""/>
      <w:lvlJc w:val="left"/>
      <w:pPr>
        <w:ind w:left="882" w:hanging="360"/>
      </w:pPr>
      <w:rPr>
        <w:rFonts w:ascii="Symbol" w:hAnsi="Symbol" w:hint="default"/>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89" w15:restartNumberingAfterBreak="0">
    <w:nsid w:val="73931886"/>
    <w:multiLevelType w:val="hybridMultilevel"/>
    <w:tmpl w:val="FA3EB4F6"/>
    <w:lvl w:ilvl="0" w:tplc="4F68D0B2">
      <w:start w:val="1"/>
      <w:numFmt w:val="decimal"/>
      <w:lvlText w:val="%1."/>
      <w:lvlJc w:val="left"/>
      <w:pPr>
        <w:ind w:left="360" w:hanging="360"/>
      </w:pPr>
      <w:rPr>
        <w:rFonts w:ascii="Calibri" w:hAnsi="Calibri" w:cs="Times New Roman" w:hint="default"/>
        <w:b w:val="0"/>
        <w:i w:val="0"/>
        <w:color w:val="auto"/>
        <w:sz w:val="22"/>
      </w:rPr>
    </w:lvl>
    <w:lvl w:ilvl="1" w:tplc="08090001">
      <w:start w:val="1"/>
      <w:numFmt w:val="bullet"/>
      <w:lvlText w:val=""/>
      <w:lvlJc w:val="left"/>
      <w:pPr>
        <w:ind w:left="720" w:hanging="360"/>
      </w:pPr>
      <w:rPr>
        <w:rFonts w:ascii="Symbol" w:hAnsi="Symbol" w:hint="default"/>
      </w:r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0" w15:restartNumberingAfterBreak="0">
    <w:nsid w:val="73AC5A54"/>
    <w:multiLevelType w:val="hybridMultilevel"/>
    <w:tmpl w:val="1256DF82"/>
    <w:lvl w:ilvl="0" w:tplc="0D8AE9D0">
      <w:numFmt w:val="bullet"/>
      <w:lvlText w:val="-"/>
      <w:lvlJc w:val="left"/>
      <w:pPr>
        <w:ind w:left="720" w:hanging="360"/>
      </w:pPr>
      <w:rPr>
        <w:rFonts w:ascii="Calibri" w:eastAsia="Calibr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74FB02CE"/>
    <w:multiLevelType w:val="hybridMultilevel"/>
    <w:tmpl w:val="829636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2" w15:restartNumberingAfterBreak="0">
    <w:nsid w:val="74FE1056"/>
    <w:multiLevelType w:val="hybridMultilevel"/>
    <w:tmpl w:val="C3FE6910"/>
    <w:lvl w:ilvl="0" w:tplc="08090017">
      <w:start w:val="1"/>
      <w:numFmt w:val="lowerLetter"/>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3" w15:restartNumberingAfterBreak="0">
    <w:nsid w:val="7505140C"/>
    <w:multiLevelType w:val="hybridMultilevel"/>
    <w:tmpl w:val="62F48CE4"/>
    <w:lvl w:ilvl="0" w:tplc="4206750A">
      <w:start w:val="1"/>
      <w:numFmt w:val="bullet"/>
      <w:lvlText w:val="-"/>
      <w:lvlJc w:val="left"/>
      <w:pPr>
        <w:ind w:left="360" w:hanging="360"/>
      </w:pPr>
      <w:rPr>
        <w:rFonts w:ascii="Calibri" w:eastAsia="Times New Roman" w:hAnsi="Calibri" w:cs="HelveticaNeue LT 55 Roman" w:hint="default"/>
      </w:rPr>
    </w:lvl>
    <w:lvl w:ilvl="1" w:tplc="04090003" w:tentative="1">
      <w:start w:val="1"/>
      <w:numFmt w:val="bullet"/>
      <w:lvlText w:val="o"/>
      <w:lvlJc w:val="left"/>
      <w:pPr>
        <w:ind w:left="1080" w:hanging="360"/>
      </w:pPr>
      <w:rPr>
        <w:rFonts w:ascii="Courier New" w:hAnsi="Courier New" w:cs="Arial"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Arial"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Arial" w:hint="default"/>
      </w:rPr>
    </w:lvl>
    <w:lvl w:ilvl="8" w:tplc="04090005" w:tentative="1">
      <w:start w:val="1"/>
      <w:numFmt w:val="bullet"/>
      <w:lvlText w:val=""/>
      <w:lvlJc w:val="left"/>
      <w:pPr>
        <w:ind w:left="6120" w:hanging="360"/>
      </w:pPr>
      <w:rPr>
        <w:rFonts w:ascii="Wingdings" w:hAnsi="Wingdings" w:hint="default"/>
      </w:rPr>
    </w:lvl>
  </w:abstractNum>
  <w:abstractNum w:abstractNumId="94" w15:restartNumberingAfterBreak="0">
    <w:nsid w:val="7648059C"/>
    <w:multiLevelType w:val="hybridMultilevel"/>
    <w:tmpl w:val="BAA4D6FE"/>
    <w:lvl w:ilvl="0" w:tplc="AC14F54A">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98D846BC">
      <w:start w:val="1"/>
      <w:numFmt w:val="lowerRoman"/>
      <w:lvlText w:val="%4."/>
      <w:lvlJc w:val="right"/>
      <w:pPr>
        <w:ind w:left="454" w:hanging="170"/>
      </w:pPr>
      <w:rPr>
        <w:rFonts w:hint="default"/>
        <w:b w:val="0"/>
        <w:i w:val="0"/>
        <w:iCs/>
      </w:r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95" w15:restartNumberingAfterBreak="0">
    <w:nsid w:val="764B5B42"/>
    <w:multiLevelType w:val="hybridMultilevel"/>
    <w:tmpl w:val="7E2AA0A0"/>
    <w:lvl w:ilvl="0" w:tplc="2010552E">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6" w15:restartNumberingAfterBreak="0">
    <w:nsid w:val="7A5723F4"/>
    <w:multiLevelType w:val="multilevel"/>
    <w:tmpl w:val="F66C0F8E"/>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7" w15:restartNumberingAfterBreak="0">
    <w:nsid w:val="7B5F351F"/>
    <w:multiLevelType w:val="hybridMultilevel"/>
    <w:tmpl w:val="2A64C74E"/>
    <w:lvl w:ilvl="0" w:tplc="04090001">
      <w:start w:val="1"/>
      <w:numFmt w:val="bullet"/>
      <w:lvlText w:val=""/>
      <w:lvlJc w:val="left"/>
      <w:pPr>
        <w:ind w:left="720" w:hanging="360"/>
      </w:pPr>
      <w:rPr>
        <w:rFonts w:ascii="Symbol" w:hAnsi="Symbol" w:hint="default"/>
      </w:rPr>
    </w:lvl>
    <w:lvl w:ilvl="1" w:tplc="14E04C1E">
      <w:start w:val="1"/>
      <w:numFmt w:val="bullet"/>
      <w:lvlText w:val=""/>
      <w:lvlJc w:val="left"/>
      <w:pPr>
        <w:ind w:left="1440" w:hanging="360"/>
      </w:pPr>
      <w:rPr>
        <w:rFonts w:ascii="Symbol" w:hAnsi="Symbol" w:hint="default"/>
        <w:sz w:val="20"/>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98" w15:restartNumberingAfterBreak="0">
    <w:nsid w:val="7C3311DC"/>
    <w:multiLevelType w:val="hybridMultilevel"/>
    <w:tmpl w:val="B484CD86"/>
    <w:lvl w:ilvl="0" w:tplc="54A6FDCC">
      <w:start w:val="1"/>
      <w:numFmt w:val="lowerLetter"/>
      <w:lvlText w:val="%1)"/>
      <w:lvlJc w:val="left"/>
      <w:pPr>
        <w:ind w:left="720" w:hanging="360"/>
      </w:pPr>
      <w:rPr>
        <w:rFonts w:hint="default"/>
        <w:b w:val="0"/>
        <w:bCs w:val="0"/>
      </w:rPr>
    </w:lvl>
    <w:lvl w:ilvl="1" w:tplc="08090001">
      <w:start w:val="1"/>
      <w:numFmt w:val="bullet"/>
      <w:lvlText w:val=""/>
      <w:lvlJc w:val="left"/>
      <w:pPr>
        <w:ind w:left="1440" w:hanging="360"/>
      </w:pPr>
      <w:rPr>
        <w:rFonts w:ascii="Symbol" w:hAnsi="Symbol"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9" w15:restartNumberingAfterBreak="0">
    <w:nsid w:val="7E956EEA"/>
    <w:multiLevelType w:val="hybridMultilevel"/>
    <w:tmpl w:val="EAC2CCB8"/>
    <w:lvl w:ilvl="0" w:tplc="03763140">
      <w:start w:val="1"/>
      <w:numFmt w:val="decimal"/>
      <w:lvlText w:val="%1."/>
      <w:lvlJc w:val="left"/>
      <w:pPr>
        <w:ind w:left="1080" w:hanging="720"/>
      </w:pPr>
      <w:rPr>
        <w:rFonts w:hint="default"/>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0" w15:restartNumberingAfterBreak="0">
    <w:nsid w:val="7EDD3793"/>
    <w:multiLevelType w:val="hybridMultilevel"/>
    <w:tmpl w:val="E04C7714"/>
    <w:lvl w:ilvl="0" w:tplc="EF902136">
      <w:start w:val="1"/>
      <w:numFmt w:val="lowerLetter"/>
      <w:lvlText w:val="%1)"/>
      <w:lvlJc w:val="left"/>
      <w:pPr>
        <w:ind w:left="360" w:hanging="360"/>
      </w:pPr>
      <w:rPr>
        <w:rFonts w:hint="default"/>
        <w:b w:val="0"/>
        <w:bCs w:val="0"/>
      </w:rPr>
    </w:lvl>
    <w:lvl w:ilvl="1" w:tplc="08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1" w15:restartNumberingAfterBreak="0">
    <w:nsid w:val="7FB21294"/>
    <w:multiLevelType w:val="hybridMultilevel"/>
    <w:tmpl w:val="794CC5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num w:numId="1">
    <w:abstractNumId w:val="54"/>
  </w:num>
  <w:num w:numId="2">
    <w:abstractNumId w:val="0"/>
  </w:num>
  <w:num w:numId="3">
    <w:abstractNumId w:val="78"/>
  </w:num>
  <w:num w:numId="4">
    <w:abstractNumId w:val="33"/>
  </w:num>
  <w:num w:numId="5">
    <w:abstractNumId w:val="21"/>
  </w:num>
  <w:num w:numId="6">
    <w:abstractNumId w:val="6"/>
  </w:num>
  <w:num w:numId="7">
    <w:abstractNumId w:val="61"/>
  </w:num>
  <w:num w:numId="8">
    <w:abstractNumId w:val="23"/>
  </w:num>
  <w:num w:numId="9">
    <w:abstractNumId w:val="34"/>
  </w:num>
  <w:num w:numId="10">
    <w:abstractNumId w:val="67"/>
  </w:num>
  <w:num w:numId="11">
    <w:abstractNumId w:val="46"/>
  </w:num>
  <w:num w:numId="12">
    <w:abstractNumId w:val="73"/>
  </w:num>
  <w:num w:numId="13">
    <w:abstractNumId w:val="35"/>
  </w:num>
  <w:num w:numId="14">
    <w:abstractNumId w:val="9"/>
  </w:num>
  <w:num w:numId="15">
    <w:abstractNumId w:val="70"/>
  </w:num>
  <w:num w:numId="16">
    <w:abstractNumId w:val="24"/>
  </w:num>
  <w:num w:numId="17">
    <w:abstractNumId w:val="26"/>
  </w:num>
  <w:num w:numId="18">
    <w:abstractNumId w:val="27"/>
  </w:num>
  <w:num w:numId="19">
    <w:abstractNumId w:val="18"/>
  </w:num>
  <w:num w:numId="20">
    <w:abstractNumId w:val="86"/>
  </w:num>
  <w:num w:numId="21">
    <w:abstractNumId w:val="79"/>
  </w:num>
  <w:num w:numId="22">
    <w:abstractNumId w:val="28"/>
  </w:num>
  <w:num w:numId="23">
    <w:abstractNumId w:val="66"/>
  </w:num>
  <w:num w:numId="24">
    <w:abstractNumId w:val="22"/>
  </w:num>
  <w:num w:numId="25">
    <w:abstractNumId w:val="58"/>
  </w:num>
  <w:num w:numId="26">
    <w:abstractNumId w:val="68"/>
  </w:num>
  <w:num w:numId="27">
    <w:abstractNumId w:val="93"/>
  </w:num>
  <w:num w:numId="28">
    <w:abstractNumId w:val="36"/>
  </w:num>
  <w:num w:numId="29">
    <w:abstractNumId w:val="69"/>
  </w:num>
  <w:num w:numId="30">
    <w:abstractNumId w:val="48"/>
  </w:num>
  <w:num w:numId="31">
    <w:abstractNumId w:val="30"/>
  </w:num>
  <w:num w:numId="32">
    <w:abstractNumId w:val="101"/>
  </w:num>
  <w:num w:numId="33">
    <w:abstractNumId w:val="49"/>
  </w:num>
  <w:num w:numId="34">
    <w:abstractNumId w:val="83"/>
  </w:num>
  <w:num w:numId="35">
    <w:abstractNumId w:val="1"/>
  </w:num>
  <w:num w:numId="36">
    <w:abstractNumId w:val="84"/>
  </w:num>
  <w:num w:numId="37">
    <w:abstractNumId w:val="11"/>
  </w:num>
  <w:num w:numId="38">
    <w:abstractNumId w:val="5"/>
  </w:num>
  <w:num w:numId="39">
    <w:abstractNumId w:val="43"/>
  </w:num>
  <w:num w:numId="40">
    <w:abstractNumId w:val="32"/>
  </w:num>
  <w:num w:numId="41">
    <w:abstractNumId w:val="45"/>
  </w:num>
  <w:num w:numId="42">
    <w:abstractNumId w:val="90"/>
  </w:num>
  <w:num w:numId="43">
    <w:abstractNumId w:val="63"/>
  </w:num>
  <w:num w:numId="44">
    <w:abstractNumId w:val="59"/>
  </w:num>
  <w:num w:numId="45">
    <w:abstractNumId w:val="4"/>
  </w:num>
  <w:num w:numId="46">
    <w:abstractNumId w:val="94"/>
  </w:num>
  <w:num w:numId="47">
    <w:abstractNumId w:val="41"/>
  </w:num>
  <w:num w:numId="48">
    <w:abstractNumId w:val="2"/>
  </w:num>
  <w:num w:numId="49">
    <w:abstractNumId w:val="8"/>
  </w:num>
  <w:num w:numId="50">
    <w:abstractNumId w:val="100"/>
  </w:num>
  <w:num w:numId="51">
    <w:abstractNumId w:val="52"/>
  </w:num>
  <w:num w:numId="52">
    <w:abstractNumId w:val="85"/>
  </w:num>
  <w:num w:numId="53">
    <w:abstractNumId w:val="53"/>
  </w:num>
  <w:num w:numId="54">
    <w:abstractNumId w:val="31"/>
  </w:num>
  <w:num w:numId="55">
    <w:abstractNumId w:val="37"/>
  </w:num>
  <w:num w:numId="56">
    <w:abstractNumId w:val="62"/>
  </w:num>
  <w:num w:numId="57">
    <w:abstractNumId w:val="3"/>
  </w:num>
  <w:num w:numId="58">
    <w:abstractNumId w:val="56"/>
  </w:num>
  <w:num w:numId="59">
    <w:abstractNumId w:val="98"/>
  </w:num>
  <w:num w:numId="60">
    <w:abstractNumId w:val="97"/>
  </w:num>
  <w:num w:numId="61">
    <w:abstractNumId w:val="57"/>
  </w:num>
  <w:num w:numId="62">
    <w:abstractNumId w:val="13"/>
  </w:num>
  <w:num w:numId="63">
    <w:abstractNumId w:val="47"/>
  </w:num>
  <w:num w:numId="64">
    <w:abstractNumId w:val="87"/>
  </w:num>
  <w:num w:numId="65">
    <w:abstractNumId w:val="80"/>
  </w:num>
  <w:num w:numId="66">
    <w:abstractNumId w:val="71"/>
  </w:num>
  <w:num w:numId="67">
    <w:abstractNumId w:val="55"/>
  </w:num>
  <w:num w:numId="68">
    <w:abstractNumId w:val="92"/>
  </w:num>
  <w:num w:numId="69">
    <w:abstractNumId w:val="17"/>
  </w:num>
  <w:num w:numId="70">
    <w:abstractNumId w:val="7"/>
  </w:num>
  <w:num w:numId="71">
    <w:abstractNumId w:val="29"/>
  </w:num>
  <w:num w:numId="72">
    <w:abstractNumId w:val="25"/>
  </w:num>
  <w:num w:numId="73">
    <w:abstractNumId w:val="75"/>
  </w:num>
  <w:num w:numId="74">
    <w:abstractNumId w:val="20"/>
  </w:num>
  <w:num w:numId="75">
    <w:abstractNumId w:val="77"/>
  </w:num>
  <w:num w:numId="76">
    <w:abstractNumId w:val="65"/>
  </w:num>
  <w:num w:numId="77">
    <w:abstractNumId w:val="14"/>
  </w:num>
  <w:num w:numId="78">
    <w:abstractNumId w:val="89"/>
  </w:num>
  <w:num w:numId="79">
    <w:abstractNumId w:val="38"/>
  </w:num>
  <w:num w:numId="80">
    <w:abstractNumId w:val="19"/>
  </w:num>
  <w:num w:numId="81">
    <w:abstractNumId w:val="95"/>
  </w:num>
  <w:num w:numId="82">
    <w:abstractNumId w:val="39"/>
  </w:num>
  <w:num w:numId="83">
    <w:abstractNumId w:val="40"/>
  </w:num>
  <w:num w:numId="84">
    <w:abstractNumId w:val="42"/>
  </w:num>
  <w:num w:numId="85">
    <w:abstractNumId w:val="60"/>
  </w:num>
  <w:num w:numId="86">
    <w:abstractNumId w:val="81"/>
  </w:num>
  <w:num w:numId="87">
    <w:abstractNumId w:val="64"/>
  </w:num>
  <w:num w:numId="88">
    <w:abstractNumId w:val="15"/>
  </w:num>
  <w:num w:numId="89">
    <w:abstractNumId w:val="76"/>
  </w:num>
  <w:num w:numId="90">
    <w:abstractNumId w:val="50"/>
  </w:num>
  <w:num w:numId="91">
    <w:abstractNumId w:val="72"/>
  </w:num>
  <w:num w:numId="92">
    <w:abstractNumId w:val="51"/>
  </w:num>
  <w:num w:numId="93">
    <w:abstractNumId w:val="44"/>
  </w:num>
  <w:num w:numId="94">
    <w:abstractNumId w:val="74"/>
  </w:num>
  <w:num w:numId="95">
    <w:abstractNumId w:val="12"/>
  </w:num>
  <w:num w:numId="96">
    <w:abstractNumId w:val="91"/>
  </w:num>
  <w:num w:numId="97">
    <w:abstractNumId w:val="16"/>
  </w:num>
  <w:num w:numId="98">
    <w:abstractNumId w:val="10"/>
  </w:num>
  <w:num w:numId="99">
    <w:abstractNumId w:val="99"/>
  </w:num>
  <w:num w:numId="100">
    <w:abstractNumId w:val="88"/>
  </w:num>
  <w:num w:numId="101">
    <w:abstractNumId w:val="82"/>
  </w:num>
  <w:num w:numId="102">
    <w:abstractNumId w:val="96"/>
  </w:num>
  <w:numIdMacAtCleanup w:val="10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hideSpellingErrors/>
  <w:hideGrammaticalErrors/>
  <w:activeWritingStyle w:appName="MSWord" w:lang="fr-FR" w:vendorID="64" w:dllVersion="0" w:nlCheck="1" w:checkStyle="0"/>
  <w:attachedTemplate r:id="rId1"/>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stylePaneSortMethod w:val="0000"/>
  <w:doNotTrackFormatting/>
  <w:defaultTabStop w:val="720"/>
  <w:hyphenationZone w:val="425"/>
  <w:characterSpacingControl w:val="doNotCompress"/>
  <w:hdrShapeDefaults>
    <o:shapedefaults v:ext="edit" spidmax="4097"/>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563B4"/>
    <w:rsid w:val="00000AC5"/>
    <w:rsid w:val="00000D8F"/>
    <w:rsid w:val="00000DA6"/>
    <w:rsid w:val="00001217"/>
    <w:rsid w:val="0000134B"/>
    <w:rsid w:val="0000159D"/>
    <w:rsid w:val="0000175D"/>
    <w:rsid w:val="00001F16"/>
    <w:rsid w:val="0000203E"/>
    <w:rsid w:val="0000247F"/>
    <w:rsid w:val="00002485"/>
    <w:rsid w:val="0000274C"/>
    <w:rsid w:val="00002B82"/>
    <w:rsid w:val="00002EE7"/>
    <w:rsid w:val="000033EC"/>
    <w:rsid w:val="000034F7"/>
    <w:rsid w:val="000036EC"/>
    <w:rsid w:val="00003713"/>
    <w:rsid w:val="0000380C"/>
    <w:rsid w:val="00003A92"/>
    <w:rsid w:val="00003BBE"/>
    <w:rsid w:val="0000420B"/>
    <w:rsid w:val="0000458A"/>
    <w:rsid w:val="000045EC"/>
    <w:rsid w:val="000046AC"/>
    <w:rsid w:val="000049BA"/>
    <w:rsid w:val="00004C03"/>
    <w:rsid w:val="00004E48"/>
    <w:rsid w:val="00005159"/>
    <w:rsid w:val="00005359"/>
    <w:rsid w:val="0000539A"/>
    <w:rsid w:val="000056E4"/>
    <w:rsid w:val="00005772"/>
    <w:rsid w:val="000058E5"/>
    <w:rsid w:val="00005939"/>
    <w:rsid w:val="00005C9B"/>
    <w:rsid w:val="000060C6"/>
    <w:rsid w:val="000063FE"/>
    <w:rsid w:val="000065EC"/>
    <w:rsid w:val="000067B6"/>
    <w:rsid w:val="000068B7"/>
    <w:rsid w:val="00006AB4"/>
    <w:rsid w:val="00007171"/>
    <w:rsid w:val="0000721D"/>
    <w:rsid w:val="0000731E"/>
    <w:rsid w:val="0000747F"/>
    <w:rsid w:val="000074BD"/>
    <w:rsid w:val="000075A6"/>
    <w:rsid w:val="0000766C"/>
    <w:rsid w:val="00007ACC"/>
    <w:rsid w:val="00007AFC"/>
    <w:rsid w:val="00007B56"/>
    <w:rsid w:val="0001041C"/>
    <w:rsid w:val="000106E2"/>
    <w:rsid w:val="00010912"/>
    <w:rsid w:val="0001092D"/>
    <w:rsid w:val="00010D44"/>
    <w:rsid w:val="000114F9"/>
    <w:rsid w:val="000118EA"/>
    <w:rsid w:val="00011D8D"/>
    <w:rsid w:val="00011F1E"/>
    <w:rsid w:val="0001229C"/>
    <w:rsid w:val="0001234D"/>
    <w:rsid w:val="000125F2"/>
    <w:rsid w:val="00012CFB"/>
    <w:rsid w:val="00012D37"/>
    <w:rsid w:val="00012F87"/>
    <w:rsid w:val="00013221"/>
    <w:rsid w:val="0001346A"/>
    <w:rsid w:val="000135D7"/>
    <w:rsid w:val="0001401C"/>
    <w:rsid w:val="00014182"/>
    <w:rsid w:val="00014B16"/>
    <w:rsid w:val="00014B82"/>
    <w:rsid w:val="00014C54"/>
    <w:rsid w:val="00014CE1"/>
    <w:rsid w:val="000153AD"/>
    <w:rsid w:val="000155B1"/>
    <w:rsid w:val="000155BB"/>
    <w:rsid w:val="0001569A"/>
    <w:rsid w:val="0001575F"/>
    <w:rsid w:val="00015775"/>
    <w:rsid w:val="000157A2"/>
    <w:rsid w:val="00015A6B"/>
    <w:rsid w:val="00015BD3"/>
    <w:rsid w:val="000162B6"/>
    <w:rsid w:val="0001635D"/>
    <w:rsid w:val="0001646B"/>
    <w:rsid w:val="0001654B"/>
    <w:rsid w:val="00016A0C"/>
    <w:rsid w:val="00016F1C"/>
    <w:rsid w:val="00016FAF"/>
    <w:rsid w:val="00017046"/>
    <w:rsid w:val="00017505"/>
    <w:rsid w:val="000178DA"/>
    <w:rsid w:val="00020503"/>
    <w:rsid w:val="00020539"/>
    <w:rsid w:val="0002063B"/>
    <w:rsid w:val="00020AB8"/>
    <w:rsid w:val="00020E2A"/>
    <w:rsid w:val="00021314"/>
    <w:rsid w:val="00021409"/>
    <w:rsid w:val="00021736"/>
    <w:rsid w:val="000217DD"/>
    <w:rsid w:val="000219AD"/>
    <w:rsid w:val="00021B1A"/>
    <w:rsid w:val="00021F91"/>
    <w:rsid w:val="000223F3"/>
    <w:rsid w:val="00022733"/>
    <w:rsid w:val="0002278F"/>
    <w:rsid w:val="0002299F"/>
    <w:rsid w:val="00022BB5"/>
    <w:rsid w:val="00022ED5"/>
    <w:rsid w:val="00023D43"/>
    <w:rsid w:val="00023FBA"/>
    <w:rsid w:val="00024021"/>
    <w:rsid w:val="000241D0"/>
    <w:rsid w:val="000242F9"/>
    <w:rsid w:val="000246B7"/>
    <w:rsid w:val="00024864"/>
    <w:rsid w:val="00024BCD"/>
    <w:rsid w:val="00024F92"/>
    <w:rsid w:val="0002529C"/>
    <w:rsid w:val="00025476"/>
    <w:rsid w:val="00025C85"/>
    <w:rsid w:val="00025E12"/>
    <w:rsid w:val="0002632D"/>
    <w:rsid w:val="000263CC"/>
    <w:rsid w:val="000266FC"/>
    <w:rsid w:val="00026F2C"/>
    <w:rsid w:val="0002744C"/>
    <w:rsid w:val="00027EFE"/>
    <w:rsid w:val="0003021C"/>
    <w:rsid w:val="0003034F"/>
    <w:rsid w:val="000304AE"/>
    <w:rsid w:val="0003053D"/>
    <w:rsid w:val="0003086A"/>
    <w:rsid w:val="00030C20"/>
    <w:rsid w:val="00030DAF"/>
    <w:rsid w:val="00030FD0"/>
    <w:rsid w:val="0003108B"/>
    <w:rsid w:val="00031141"/>
    <w:rsid w:val="00031201"/>
    <w:rsid w:val="000312A9"/>
    <w:rsid w:val="000312E2"/>
    <w:rsid w:val="00031700"/>
    <w:rsid w:val="00031885"/>
    <w:rsid w:val="0003188A"/>
    <w:rsid w:val="00031BB4"/>
    <w:rsid w:val="00031C1F"/>
    <w:rsid w:val="00031D1C"/>
    <w:rsid w:val="00031E0F"/>
    <w:rsid w:val="00031F0B"/>
    <w:rsid w:val="00031FDB"/>
    <w:rsid w:val="00032AF9"/>
    <w:rsid w:val="00032B04"/>
    <w:rsid w:val="00032C04"/>
    <w:rsid w:val="00033077"/>
    <w:rsid w:val="000333DF"/>
    <w:rsid w:val="00033489"/>
    <w:rsid w:val="000334C5"/>
    <w:rsid w:val="00033620"/>
    <w:rsid w:val="0003392F"/>
    <w:rsid w:val="00033A1E"/>
    <w:rsid w:val="00033A63"/>
    <w:rsid w:val="00034248"/>
    <w:rsid w:val="00034765"/>
    <w:rsid w:val="0003493A"/>
    <w:rsid w:val="0003559C"/>
    <w:rsid w:val="00035B8D"/>
    <w:rsid w:val="00035CD2"/>
    <w:rsid w:val="00036027"/>
    <w:rsid w:val="0003603E"/>
    <w:rsid w:val="0003654D"/>
    <w:rsid w:val="0003659C"/>
    <w:rsid w:val="000368FC"/>
    <w:rsid w:val="00036AA4"/>
    <w:rsid w:val="00036C78"/>
    <w:rsid w:val="00036D6B"/>
    <w:rsid w:val="00036E67"/>
    <w:rsid w:val="000370AA"/>
    <w:rsid w:val="00037112"/>
    <w:rsid w:val="000375E6"/>
    <w:rsid w:val="0003761B"/>
    <w:rsid w:val="00037792"/>
    <w:rsid w:val="000378C0"/>
    <w:rsid w:val="00037E66"/>
    <w:rsid w:val="00037EF1"/>
    <w:rsid w:val="000402BD"/>
    <w:rsid w:val="000406D7"/>
    <w:rsid w:val="00040A88"/>
    <w:rsid w:val="00040F12"/>
    <w:rsid w:val="000413A6"/>
    <w:rsid w:val="00041551"/>
    <w:rsid w:val="00041989"/>
    <w:rsid w:val="00041CC3"/>
    <w:rsid w:val="00042076"/>
    <w:rsid w:val="0004212A"/>
    <w:rsid w:val="000423FC"/>
    <w:rsid w:val="000424D7"/>
    <w:rsid w:val="000426E9"/>
    <w:rsid w:val="000428B7"/>
    <w:rsid w:val="00043783"/>
    <w:rsid w:val="00043D15"/>
    <w:rsid w:val="00043EC0"/>
    <w:rsid w:val="000447BD"/>
    <w:rsid w:val="00044C81"/>
    <w:rsid w:val="00044D1D"/>
    <w:rsid w:val="00044F5C"/>
    <w:rsid w:val="00045128"/>
    <w:rsid w:val="000453AA"/>
    <w:rsid w:val="000455B1"/>
    <w:rsid w:val="00045732"/>
    <w:rsid w:val="0004578C"/>
    <w:rsid w:val="00045EAD"/>
    <w:rsid w:val="00046B45"/>
    <w:rsid w:val="00046CDA"/>
    <w:rsid w:val="00046DFF"/>
    <w:rsid w:val="00046ED6"/>
    <w:rsid w:val="00046FE0"/>
    <w:rsid w:val="000473CA"/>
    <w:rsid w:val="000474BB"/>
    <w:rsid w:val="00047734"/>
    <w:rsid w:val="000477B7"/>
    <w:rsid w:val="00047A1C"/>
    <w:rsid w:val="00047FCA"/>
    <w:rsid w:val="00047FF5"/>
    <w:rsid w:val="000500A1"/>
    <w:rsid w:val="000503B6"/>
    <w:rsid w:val="00051082"/>
    <w:rsid w:val="00051BC9"/>
    <w:rsid w:val="0005207F"/>
    <w:rsid w:val="0005234F"/>
    <w:rsid w:val="000528ED"/>
    <w:rsid w:val="000529F9"/>
    <w:rsid w:val="00052C32"/>
    <w:rsid w:val="00052DC7"/>
    <w:rsid w:val="00053095"/>
    <w:rsid w:val="0005335C"/>
    <w:rsid w:val="00053564"/>
    <w:rsid w:val="00053B72"/>
    <w:rsid w:val="00053DCB"/>
    <w:rsid w:val="0005412B"/>
    <w:rsid w:val="00054AD6"/>
    <w:rsid w:val="00054D9B"/>
    <w:rsid w:val="00054E37"/>
    <w:rsid w:val="000554FE"/>
    <w:rsid w:val="000555B6"/>
    <w:rsid w:val="000557A1"/>
    <w:rsid w:val="0005606D"/>
    <w:rsid w:val="000567AE"/>
    <w:rsid w:val="00056CCE"/>
    <w:rsid w:val="00056F14"/>
    <w:rsid w:val="00056FA0"/>
    <w:rsid w:val="00057423"/>
    <w:rsid w:val="0005757C"/>
    <w:rsid w:val="0005773D"/>
    <w:rsid w:val="00057AEA"/>
    <w:rsid w:val="00057CE6"/>
    <w:rsid w:val="00060054"/>
    <w:rsid w:val="000603FE"/>
    <w:rsid w:val="000604D5"/>
    <w:rsid w:val="0006053A"/>
    <w:rsid w:val="00060A40"/>
    <w:rsid w:val="00060DFE"/>
    <w:rsid w:val="00060E69"/>
    <w:rsid w:val="000610BF"/>
    <w:rsid w:val="000610C2"/>
    <w:rsid w:val="00061136"/>
    <w:rsid w:val="000611A2"/>
    <w:rsid w:val="000613B4"/>
    <w:rsid w:val="00061949"/>
    <w:rsid w:val="00062136"/>
    <w:rsid w:val="000625FA"/>
    <w:rsid w:val="0006282E"/>
    <w:rsid w:val="000635EC"/>
    <w:rsid w:val="000639B7"/>
    <w:rsid w:val="00063AA5"/>
    <w:rsid w:val="00063C71"/>
    <w:rsid w:val="00063E39"/>
    <w:rsid w:val="00064100"/>
    <w:rsid w:val="0006412A"/>
    <w:rsid w:val="00064504"/>
    <w:rsid w:val="0006493F"/>
    <w:rsid w:val="00064A51"/>
    <w:rsid w:val="00064BD7"/>
    <w:rsid w:val="00064DB5"/>
    <w:rsid w:val="00064F36"/>
    <w:rsid w:val="000652D7"/>
    <w:rsid w:val="0006548A"/>
    <w:rsid w:val="0006551A"/>
    <w:rsid w:val="000659E2"/>
    <w:rsid w:val="00065AA0"/>
    <w:rsid w:val="00065C78"/>
    <w:rsid w:val="00066332"/>
    <w:rsid w:val="0006652B"/>
    <w:rsid w:val="000665BF"/>
    <w:rsid w:val="000667D8"/>
    <w:rsid w:val="00066C93"/>
    <w:rsid w:val="00067338"/>
    <w:rsid w:val="000673C7"/>
    <w:rsid w:val="00067F2E"/>
    <w:rsid w:val="000700A6"/>
    <w:rsid w:val="00070168"/>
    <w:rsid w:val="0007034B"/>
    <w:rsid w:val="00070742"/>
    <w:rsid w:val="000707A7"/>
    <w:rsid w:val="00070831"/>
    <w:rsid w:val="000708BD"/>
    <w:rsid w:val="00070A1F"/>
    <w:rsid w:val="00070D8A"/>
    <w:rsid w:val="000712F4"/>
    <w:rsid w:val="0007130D"/>
    <w:rsid w:val="000716EA"/>
    <w:rsid w:val="00071F9D"/>
    <w:rsid w:val="000722C2"/>
    <w:rsid w:val="000724E1"/>
    <w:rsid w:val="00072596"/>
    <w:rsid w:val="00072A0C"/>
    <w:rsid w:val="00072E10"/>
    <w:rsid w:val="0007324D"/>
    <w:rsid w:val="00073BA4"/>
    <w:rsid w:val="00073DA4"/>
    <w:rsid w:val="00073FE4"/>
    <w:rsid w:val="000740B5"/>
    <w:rsid w:val="0007462E"/>
    <w:rsid w:val="00074660"/>
    <w:rsid w:val="00074889"/>
    <w:rsid w:val="00074AF5"/>
    <w:rsid w:val="0007506E"/>
    <w:rsid w:val="000751ED"/>
    <w:rsid w:val="000753A6"/>
    <w:rsid w:val="00075507"/>
    <w:rsid w:val="00075781"/>
    <w:rsid w:val="000757F8"/>
    <w:rsid w:val="000759A6"/>
    <w:rsid w:val="00075DCC"/>
    <w:rsid w:val="000769C1"/>
    <w:rsid w:val="00076FC7"/>
    <w:rsid w:val="0007705C"/>
    <w:rsid w:val="00077419"/>
    <w:rsid w:val="00077C13"/>
    <w:rsid w:val="00077C72"/>
    <w:rsid w:val="00077FA3"/>
    <w:rsid w:val="00080274"/>
    <w:rsid w:val="000806F8"/>
    <w:rsid w:val="00080833"/>
    <w:rsid w:val="000808DC"/>
    <w:rsid w:val="00080951"/>
    <w:rsid w:val="00080BAD"/>
    <w:rsid w:val="00080D8C"/>
    <w:rsid w:val="00080EDF"/>
    <w:rsid w:val="00080F0D"/>
    <w:rsid w:val="00080FEA"/>
    <w:rsid w:val="0008121A"/>
    <w:rsid w:val="00081390"/>
    <w:rsid w:val="000813C7"/>
    <w:rsid w:val="000813E5"/>
    <w:rsid w:val="00081710"/>
    <w:rsid w:val="00081A2A"/>
    <w:rsid w:val="00081B0A"/>
    <w:rsid w:val="00081C3F"/>
    <w:rsid w:val="0008201C"/>
    <w:rsid w:val="00082299"/>
    <w:rsid w:val="0008266E"/>
    <w:rsid w:val="00082737"/>
    <w:rsid w:val="00082B04"/>
    <w:rsid w:val="00082BB7"/>
    <w:rsid w:val="000832FD"/>
    <w:rsid w:val="000833B4"/>
    <w:rsid w:val="00083627"/>
    <w:rsid w:val="00084581"/>
    <w:rsid w:val="0008490B"/>
    <w:rsid w:val="00084A30"/>
    <w:rsid w:val="00084CB7"/>
    <w:rsid w:val="0008522B"/>
    <w:rsid w:val="0008555F"/>
    <w:rsid w:val="00085674"/>
    <w:rsid w:val="0008578F"/>
    <w:rsid w:val="00085942"/>
    <w:rsid w:val="00085964"/>
    <w:rsid w:val="00085D2A"/>
    <w:rsid w:val="0008644B"/>
    <w:rsid w:val="000867F7"/>
    <w:rsid w:val="00086B93"/>
    <w:rsid w:val="00086E00"/>
    <w:rsid w:val="0008737B"/>
    <w:rsid w:val="00087B37"/>
    <w:rsid w:val="00090675"/>
    <w:rsid w:val="000907D0"/>
    <w:rsid w:val="000908F4"/>
    <w:rsid w:val="000909B1"/>
    <w:rsid w:val="00090AF7"/>
    <w:rsid w:val="00090FF3"/>
    <w:rsid w:val="000911D0"/>
    <w:rsid w:val="00091AB6"/>
    <w:rsid w:val="00091C61"/>
    <w:rsid w:val="000920E0"/>
    <w:rsid w:val="0009224A"/>
    <w:rsid w:val="00092381"/>
    <w:rsid w:val="000927C2"/>
    <w:rsid w:val="00092877"/>
    <w:rsid w:val="00092DF2"/>
    <w:rsid w:val="00092F72"/>
    <w:rsid w:val="000935CD"/>
    <w:rsid w:val="00093923"/>
    <w:rsid w:val="0009446C"/>
    <w:rsid w:val="00094A05"/>
    <w:rsid w:val="00095450"/>
    <w:rsid w:val="00095980"/>
    <w:rsid w:val="000959E2"/>
    <w:rsid w:val="00096326"/>
    <w:rsid w:val="00096AF9"/>
    <w:rsid w:val="00096F3C"/>
    <w:rsid w:val="00097598"/>
    <w:rsid w:val="000977AF"/>
    <w:rsid w:val="000977C0"/>
    <w:rsid w:val="00097E4C"/>
    <w:rsid w:val="000A05A0"/>
    <w:rsid w:val="000A096A"/>
    <w:rsid w:val="000A0B13"/>
    <w:rsid w:val="000A0F97"/>
    <w:rsid w:val="000A161C"/>
    <w:rsid w:val="000A1789"/>
    <w:rsid w:val="000A1967"/>
    <w:rsid w:val="000A1AE6"/>
    <w:rsid w:val="000A1BE0"/>
    <w:rsid w:val="000A20A1"/>
    <w:rsid w:val="000A2339"/>
    <w:rsid w:val="000A2425"/>
    <w:rsid w:val="000A290D"/>
    <w:rsid w:val="000A292C"/>
    <w:rsid w:val="000A2E15"/>
    <w:rsid w:val="000A325F"/>
    <w:rsid w:val="000A3388"/>
    <w:rsid w:val="000A36C3"/>
    <w:rsid w:val="000A3C3B"/>
    <w:rsid w:val="000A3F02"/>
    <w:rsid w:val="000A401B"/>
    <w:rsid w:val="000A4716"/>
    <w:rsid w:val="000A4E07"/>
    <w:rsid w:val="000A4E52"/>
    <w:rsid w:val="000A55B8"/>
    <w:rsid w:val="000A5834"/>
    <w:rsid w:val="000A601A"/>
    <w:rsid w:val="000A689A"/>
    <w:rsid w:val="000A6FCF"/>
    <w:rsid w:val="000A7139"/>
    <w:rsid w:val="000A7436"/>
    <w:rsid w:val="000A7BBA"/>
    <w:rsid w:val="000B0181"/>
    <w:rsid w:val="000B06BA"/>
    <w:rsid w:val="000B0A71"/>
    <w:rsid w:val="000B13C3"/>
    <w:rsid w:val="000B13FF"/>
    <w:rsid w:val="000B1A63"/>
    <w:rsid w:val="000B1B6D"/>
    <w:rsid w:val="000B1D64"/>
    <w:rsid w:val="000B1EB0"/>
    <w:rsid w:val="000B2046"/>
    <w:rsid w:val="000B22B9"/>
    <w:rsid w:val="000B2845"/>
    <w:rsid w:val="000B2D5E"/>
    <w:rsid w:val="000B322E"/>
    <w:rsid w:val="000B3379"/>
    <w:rsid w:val="000B3450"/>
    <w:rsid w:val="000B38E3"/>
    <w:rsid w:val="000B3DB2"/>
    <w:rsid w:val="000B3DB3"/>
    <w:rsid w:val="000B4048"/>
    <w:rsid w:val="000B4099"/>
    <w:rsid w:val="000B45FF"/>
    <w:rsid w:val="000B48E3"/>
    <w:rsid w:val="000B499A"/>
    <w:rsid w:val="000B4A60"/>
    <w:rsid w:val="000B4B06"/>
    <w:rsid w:val="000B4F7A"/>
    <w:rsid w:val="000B4FC9"/>
    <w:rsid w:val="000B5172"/>
    <w:rsid w:val="000B5520"/>
    <w:rsid w:val="000B5722"/>
    <w:rsid w:val="000B5D8B"/>
    <w:rsid w:val="000B5E3A"/>
    <w:rsid w:val="000B6056"/>
    <w:rsid w:val="000B61D7"/>
    <w:rsid w:val="000B647E"/>
    <w:rsid w:val="000B65B6"/>
    <w:rsid w:val="000B660D"/>
    <w:rsid w:val="000B6915"/>
    <w:rsid w:val="000B6928"/>
    <w:rsid w:val="000B692F"/>
    <w:rsid w:val="000B73C5"/>
    <w:rsid w:val="000B754B"/>
    <w:rsid w:val="000B78D6"/>
    <w:rsid w:val="000B7B60"/>
    <w:rsid w:val="000B7C21"/>
    <w:rsid w:val="000B9C25"/>
    <w:rsid w:val="000C0045"/>
    <w:rsid w:val="000C084E"/>
    <w:rsid w:val="000C0D91"/>
    <w:rsid w:val="000C10FA"/>
    <w:rsid w:val="000C1108"/>
    <w:rsid w:val="000C178B"/>
    <w:rsid w:val="000C17FA"/>
    <w:rsid w:val="000C188F"/>
    <w:rsid w:val="000C1908"/>
    <w:rsid w:val="000C1EEC"/>
    <w:rsid w:val="000C22E7"/>
    <w:rsid w:val="000C2351"/>
    <w:rsid w:val="000C235F"/>
    <w:rsid w:val="000C2F9D"/>
    <w:rsid w:val="000C343A"/>
    <w:rsid w:val="000C383E"/>
    <w:rsid w:val="000C3A7D"/>
    <w:rsid w:val="000C3EAF"/>
    <w:rsid w:val="000C4125"/>
    <w:rsid w:val="000C438C"/>
    <w:rsid w:val="000C49B7"/>
    <w:rsid w:val="000C4AE0"/>
    <w:rsid w:val="000C4B0C"/>
    <w:rsid w:val="000C4F12"/>
    <w:rsid w:val="000C5689"/>
    <w:rsid w:val="000C56DB"/>
    <w:rsid w:val="000C59BB"/>
    <w:rsid w:val="000C5DB8"/>
    <w:rsid w:val="000C5ECC"/>
    <w:rsid w:val="000C60FC"/>
    <w:rsid w:val="000C69DD"/>
    <w:rsid w:val="000C6C17"/>
    <w:rsid w:val="000C73F8"/>
    <w:rsid w:val="000C74BE"/>
    <w:rsid w:val="000C79E3"/>
    <w:rsid w:val="000C7BEC"/>
    <w:rsid w:val="000C7DD9"/>
    <w:rsid w:val="000D03A7"/>
    <w:rsid w:val="000D0805"/>
    <w:rsid w:val="000D0A11"/>
    <w:rsid w:val="000D0D06"/>
    <w:rsid w:val="000D0DB8"/>
    <w:rsid w:val="000D11C6"/>
    <w:rsid w:val="000D15ED"/>
    <w:rsid w:val="000D1C61"/>
    <w:rsid w:val="000D24F0"/>
    <w:rsid w:val="000D2B52"/>
    <w:rsid w:val="000D3391"/>
    <w:rsid w:val="000D344D"/>
    <w:rsid w:val="000D3509"/>
    <w:rsid w:val="000D3732"/>
    <w:rsid w:val="000D3EFC"/>
    <w:rsid w:val="000D4516"/>
    <w:rsid w:val="000D4887"/>
    <w:rsid w:val="000D4D03"/>
    <w:rsid w:val="000D4D3F"/>
    <w:rsid w:val="000D4DA6"/>
    <w:rsid w:val="000D4DF2"/>
    <w:rsid w:val="000D4E1B"/>
    <w:rsid w:val="000D59C6"/>
    <w:rsid w:val="000D5D9B"/>
    <w:rsid w:val="000D5EC0"/>
    <w:rsid w:val="000D5F90"/>
    <w:rsid w:val="000D61DF"/>
    <w:rsid w:val="000D62EB"/>
    <w:rsid w:val="000D6489"/>
    <w:rsid w:val="000D67D9"/>
    <w:rsid w:val="000D693A"/>
    <w:rsid w:val="000D69B0"/>
    <w:rsid w:val="000D6D6E"/>
    <w:rsid w:val="000D6E2D"/>
    <w:rsid w:val="000D73C5"/>
    <w:rsid w:val="000D7904"/>
    <w:rsid w:val="000D7BD6"/>
    <w:rsid w:val="000D7C84"/>
    <w:rsid w:val="000D7EA0"/>
    <w:rsid w:val="000E0B74"/>
    <w:rsid w:val="000E0EBB"/>
    <w:rsid w:val="000E1311"/>
    <w:rsid w:val="000E14DB"/>
    <w:rsid w:val="000E224F"/>
    <w:rsid w:val="000E23C7"/>
    <w:rsid w:val="000E2AC9"/>
    <w:rsid w:val="000E2F17"/>
    <w:rsid w:val="000E30A7"/>
    <w:rsid w:val="000E3680"/>
    <w:rsid w:val="000E3913"/>
    <w:rsid w:val="000E396E"/>
    <w:rsid w:val="000E3B2A"/>
    <w:rsid w:val="000E3DEC"/>
    <w:rsid w:val="000E3EDF"/>
    <w:rsid w:val="000E4627"/>
    <w:rsid w:val="000E488F"/>
    <w:rsid w:val="000E4DA7"/>
    <w:rsid w:val="000E5028"/>
    <w:rsid w:val="000E5093"/>
    <w:rsid w:val="000E514B"/>
    <w:rsid w:val="000E5266"/>
    <w:rsid w:val="000E532D"/>
    <w:rsid w:val="000E5AC2"/>
    <w:rsid w:val="000E650A"/>
    <w:rsid w:val="000E6540"/>
    <w:rsid w:val="000E679F"/>
    <w:rsid w:val="000E6939"/>
    <w:rsid w:val="000E6BB5"/>
    <w:rsid w:val="000E6C18"/>
    <w:rsid w:val="000E6EAD"/>
    <w:rsid w:val="000E6F8A"/>
    <w:rsid w:val="000E7295"/>
    <w:rsid w:val="000E72A9"/>
    <w:rsid w:val="000EBDF1"/>
    <w:rsid w:val="000F004D"/>
    <w:rsid w:val="000F02B3"/>
    <w:rsid w:val="000F037E"/>
    <w:rsid w:val="000F0B12"/>
    <w:rsid w:val="000F1078"/>
    <w:rsid w:val="000F1973"/>
    <w:rsid w:val="000F1AF4"/>
    <w:rsid w:val="000F1E33"/>
    <w:rsid w:val="000F1FB1"/>
    <w:rsid w:val="000F2058"/>
    <w:rsid w:val="000F2592"/>
    <w:rsid w:val="000F26C7"/>
    <w:rsid w:val="000F2855"/>
    <w:rsid w:val="000F28D5"/>
    <w:rsid w:val="000F2AE8"/>
    <w:rsid w:val="000F3886"/>
    <w:rsid w:val="000F3AD2"/>
    <w:rsid w:val="000F3CDC"/>
    <w:rsid w:val="000F3DE2"/>
    <w:rsid w:val="000F3E0C"/>
    <w:rsid w:val="000F3F78"/>
    <w:rsid w:val="000F40CB"/>
    <w:rsid w:val="000F4363"/>
    <w:rsid w:val="000F4455"/>
    <w:rsid w:val="000F4588"/>
    <w:rsid w:val="000F47CB"/>
    <w:rsid w:val="000F4CFC"/>
    <w:rsid w:val="000F4DCA"/>
    <w:rsid w:val="000F4F0E"/>
    <w:rsid w:val="000F51B6"/>
    <w:rsid w:val="000F57C1"/>
    <w:rsid w:val="000F5F91"/>
    <w:rsid w:val="000F689A"/>
    <w:rsid w:val="000F6B11"/>
    <w:rsid w:val="000F6FF4"/>
    <w:rsid w:val="000F71C7"/>
    <w:rsid w:val="000F9FAB"/>
    <w:rsid w:val="00100021"/>
    <w:rsid w:val="0010128B"/>
    <w:rsid w:val="0010155B"/>
    <w:rsid w:val="0010155C"/>
    <w:rsid w:val="00101739"/>
    <w:rsid w:val="0010196F"/>
    <w:rsid w:val="00101EF7"/>
    <w:rsid w:val="00101F8E"/>
    <w:rsid w:val="00101F8F"/>
    <w:rsid w:val="00102231"/>
    <w:rsid w:val="00102369"/>
    <w:rsid w:val="0010237E"/>
    <w:rsid w:val="0010243C"/>
    <w:rsid w:val="001029E5"/>
    <w:rsid w:val="00102B00"/>
    <w:rsid w:val="00102E4A"/>
    <w:rsid w:val="0010369F"/>
    <w:rsid w:val="00103B25"/>
    <w:rsid w:val="00103E39"/>
    <w:rsid w:val="001041D3"/>
    <w:rsid w:val="00104960"/>
    <w:rsid w:val="00104FE6"/>
    <w:rsid w:val="00105E51"/>
    <w:rsid w:val="00106141"/>
    <w:rsid w:val="00106526"/>
    <w:rsid w:val="00106A44"/>
    <w:rsid w:val="00106ABA"/>
    <w:rsid w:val="00106ABE"/>
    <w:rsid w:val="00106C90"/>
    <w:rsid w:val="00106DEA"/>
    <w:rsid w:val="0010746D"/>
    <w:rsid w:val="001076D3"/>
    <w:rsid w:val="00107B13"/>
    <w:rsid w:val="00110433"/>
    <w:rsid w:val="00110911"/>
    <w:rsid w:val="00111194"/>
    <w:rsid w:val="00111945"/>
    <w:rsid w:val="00111ECD"/>
    <w:rsid w:val="00112071"/>
    <w:rsid w:val="001123CA"/>
    <w:rsid w:val="0011257A"/>
    <w:rsid w:val="0011299B"/>
    <w:rsid w:val="00112C15"/>
    <w:rsid w:val="00112C86"/>
    <w:rsid w:val="00112E6C"/>
    <w:rsid w:val="001131A0"/>
    <w:rsid w:val="00113266"/>
    <w:rsid w:val="0011367C"/>
    <w:rsid w:val="001137E9"/>
    <w:rsid w:val="001139FD"/>
    <w:rsid w:val="00113B62"/>
    <w:rsid w:val="00114025"/>
    <w:rsid w:val="00114137"/>
    <w:rsid w:val="0011487B"/>
    <w:rsid w:val="00114BEF"/>
    <w:rsid w:val="00114C3B"/>
    <w:rsid w:val="00114C63"/>
    <w:rsid w:val="00114ECE"/>
    <w:rsid w:val="00114F8F"/>
    <w:rsid w:val="00115023"/>
    <w:rsid w:val="001155EE"/>
    <w:rsid w:val="001157BF"/>
    <w:rsid w:val="001158C1"/>
    <w:rsid w:val="00115D54"/>
    <w:rsid w:val="00115E82"/>
    <w:rsid w:val="00116328"/>
    <w:rsid w:val="00116332"/>
    <w:rsid w:val="00116401"/>
    <w:rsid w:val="001167CB"/>
    <w:rsid w:val="00116ED6"/>
    <w:rsid w:val="0011709C"/>
    <w:rsid w:val="001171A1"/>
    <w:rsid w:val="0011720B"/>
    <w:rsid w:val="001172D3"/>
    <w:rsid w:val="001172E4"/>
    <w:rsid w:val="001173A1"/>
    <w:rsid w:val="00117923"/>
    <w:rsid w:val="00117ADE"/>
    <w:rsid w:val="00117AF2"/>
    <w:rsid w:val="00120455"/>
    <w:rsid w:val="001205B7"/>
    <w:rsid w:val="001206F0"/>
    <w:rsid w:val="00120726"/>
    <w:rsid w:val="001208A1"/>
    <w:rsid w:val="00120A12"/>
    <w:rsid w:val="00121659"/>
    <w:rsid w:val="00121B65"/>
    <w:rsid w:val="00122271"/>
    <w:rsid w:val="00122756"/>
    <w:rsid w:val="00123109"/>
    <w:rsid w:val="001231E5"/>
    <w:rsid w:val="00123357"/>
    <w:rsid w:val="001238BA"/>
    <w:rsid w:val="0012399B"/>
    <w:rsid w:val="00123CE5"/>
    <w:rsid w:val="00124204"/>
    <w:rsid w:val="001244C8"/>
    <w:rsid w:val="0012459A"/>
    <w:rsid w:val="001248FF"/>
    <w:rsid w:val="001249CA"/>
    <w:rsid w:val="00124A13"/>
    <w:rsid w:val="00124BAB"/>
    <w:rsid w:val="001250C1"/>
    <w:rsid w:val="001250F9"/>
    <w:rsid w:val="0012513C"/>
    <w:rsid w:val="0012532F"/>
    <w:rsid w:val="001257A9"/>
    <w:rsid w:val="00125939"/>
    <w:rsid w:val="0012595A"/>
    <w:rsid w:val="00126219"/>
    <w:rsid w:val="001266C8"/>
    <w:rsid w:val="00126939"/>
    <w:rsid w:val="001278E0"/>
    <w:rsid w:val="001278FB"/>
    <w:rsid w:val="00127EFE"/>
    <w:rsid w:val="0013029A"/>
    <w:rsid w:val="001303DD"/>
    <w:rsid w:val="0013084D"/>
    <w:rsid w:val="00130ADA"/>
    <w:rsid w:val="00130CBA"/>
    <w:rsid w:val="00130D4C"/>
    <w:rsid w:val="00130EA2"/>
    <w:rsid w:val="001312B6"/>
    <w:rsid w:val="0013154A"/>
    <w:rsid w:val="00131594"/>
    <w:rsid w:val="0013199D"/>
    <w:rsid w:val="00131F82"/>
    <w:rsid w:val="00132281"/>
    <w:rsid w:val="00132CEF"/>
    <w:rsid w:val="00133084"/>
    <w:rsid w:val="00133102"/>
    <w:rsid w:val="0013375B"/>
    <w:rsid w:val="0013386A"/>
    <w:rsid w:val="00133B3B"/>
    <w:rsid w:val="00133FDA"/>
    <w:rsid w:val="0013418F"/>
    <w:rsid w:val="00134204"/>
    <w:rsid w:val="001345AD"/>
    <w:rsid w:val="0013477B"/>
    <w:rsid w:val="00134948"/>
    <w:rsid w:val="00134FAF"/>
    <w:rsid w:val="001353CC"/>
    <w:rsid w:val="00135555"/>
    <w:rsid w:val="001357D5"/>
    <w:rsid w:val="00135B94"/>
    <w:rsid w:val="00135C5E"/>
    <w:rsid w:val="00135DA2"/>
    <w:rsid w:val="00136AE2"/>
    <w:rsid w:val="00137268"/>
    <w:rsid w:val="001377D8"/>
    <w:rsid w:val="001378B0"/>
    <w:rsid w:val="00137A74"/>
    <w:rsid w:val="00137CE8"/>
    <w:rsid w:val="00137D75"/>
    <w:rsid w:val="00137D90"/>
    <w:rsid w:val="00137EDA"/>
    <w:rsid w:val="00140281"/>
    <w:rsid w:val="00140800"/>
    <w:rsid w:val="00140C1B"/>
    <w:rsid w:val="00140D66"/>
    <w:rsid w:val="00140EAD"/>
    <w:rsid w:val="00140F5A"/>
    <w:rsid w:val="00141041"/>
    <w:rsid w:val="001414B0"/>
    <w:rsid w:val="00141865"/>
    <w:rsid w:val="00141886"/>
    <w:rsid w:val="00141E12"/>
    <w:rsid w:val="001423FD"/>
    <w:rsid w:val="001424A9"/>
    <w:rsid w:val="0014262D"/>
    <w:rsid w:val="0014309A"/>
    <w:rsid w:val="0014311B"/>
    <w:rsid w:val="0014358F"/>
    <w:rsid w:val="00143703"/>
    <w:rsid w:val="00143E4F"/>
    <w:rsid w:val="00143F70"/>
    <w:rsid w:val="001440F1"/>
    <w:rsid w:val="001444CB"/>
    <w:rsid w:val="00144678"/>
    <w:rsid w:val="00144861"/>
    <w:rsid w:val="00144E48"/>
    <w:rsid w:val="00144F97"/>
    <w:rsid w:val="0014581B"/>
    <w:rsid w:val="001462B8"/>
    <w:rsid w:val="001467F2"/>
    <w:rsid w:val="00146914"/>
    <w:rsid w:val="00146A28"/>
    <w:rsid w:val="00146B8E"/>
    <w:rsid w:val="00146C9C"/>
    <w:rsid w:val="00146E5E"/>
    <w:rsid w:val="00146F21"/>
    <w:rsid w:val="0014707D"/>
    <w:rsid w:val="0014719B"/>
    <w:rsid w:val="00147569"/>
    <w:rsid w:val="00147AF2"/>
    <w:rsid w:val="00147B9A"/>
    <w:rsid w:val="00147CDC"/>
    <w:rsid w:val="00150081"/>
    <w:rsid w:val="00150294"/>
    <w:rsid w:val="001502F2"/>
    <w:rsid w:val="00150756"/>
    <w:rsid w:val="0015167E"/>
    <w:rsid w:val="0015169C"/>
    <w:rsid w:val="00151835"/>
    <w:rsid w:val="0015185B"/>
    <w:rsid w:val="00151EC1"/>
    <w:rsid w:val="001526B8"/>
    <w:rsid w:val="00152F90"/>
    <w:rsid w:val="00153757"/>
    <w:rsid w:val="001538D7"/>
    <w:rsid w:val="00153BE2"/>
    <w:rsid w:val="00153D23"/>
    <w:rsid w:val="00153D6D"/>
    <w:rsid w:val="00153DB6"/>
    <w:rsid w:val="00154240"/>
    <w:rsid w:val="001543C3"/>
    <w:rsid w:val="00154520"/>
    <w:rsid w:val="001546D2"/>
    <w:rsid w:val="0015476E"/>
    <w:rsid w:val="00154871"/>
    <w:rsid w:val="0015497A"/>
    <w:rsid w:val="00154991"/>
    <w:rsid w:val="00154B33"/>
    <w:rsid w:val="0015545C"/>
    <w:rsid w:val="001555D6"/>
    <w:rsid w:val="00155647"/>
    <w:rsid w:val="00155677"/>
    <w:rsid w:val="00155763"/>
    <w:rsid w:val="00155977"/>
    <w:rsid w:val="00155DD5"/>
    <w:rsid w:val="0015644B"/>
    <w:rsid w:val="00156791"/>
    <w:rsid w:val="0015691B"/>
    <w:rsid w:val="00156A95"/>
    <w:rsid w:val="00156D79"/>
    <w:rsid w:val="0015719C"/>
    <w:rsid w:val="001571CF"/>
    <w:rsid w:val="0015768E"/>
    <w:rsid w:val="0015795C"/>
    <w:rsid w:val="00160030"/>
    <w:rsid w:val="00160318"/>
    <w:rsid w:val="0016081A"/>
    <w:rsid w:val="00161116"/>
    <w:rsid w:val="001611C6"/>
    <w:rsid w:val="00161D96"/>
    <w:rsid w:val="0016219C"/>
    <w:rsid w:val="001621CF"/>
    <w:rsid w:val="001626C4"/>
    <w:rsid w:val="001628F3"/>
    <w:rsid w:val="00162A40"/>
    <w:rsid w:val="00162B1B"/>
    <w:rsid w:val="001632F5"/>
    <w:rsid w:val="00163352"/>
    <w:rsid w:val="00163692"/>
    <w:rsid w:val="00163A91"/>
    <w:rsid w:val="00163EF2"/>
    <w:rsid w:val="0016472F"/>
    <w:rsid w:val="001655BF"/>
    <w:rsid w:val="00165668"/>
    <w:rsid w:val="00165675"/>
    <w:rsid w:val="00165AB5"/>
    <w:rsid w:val="00166386"/>
    <w:rsid w:val="0016665F"/>
    <w:rsid w:val="001667C6"/>
    <w:rsid w:val="0016697D"/>
    <w:rsid w:val="00166A58"/>
    <w:rsid w:val="00166A94"/>
    <w:rsid w:val="00166AB5"/>
    <w:rsid w:val="00166CC0"/>
    <w:rsid w:val="00167224"/>
    <w:rsid w:val="001676E5"/>
    <w:rsid w:val="00167A34"/>
    <w:rsid w:val="00167FF9"/>
    <w:rsid w:val="001701E1"/>
    <w:rsid w:val="0017082A"/>
    <w:rsid w:val="00170840"/>
    <w:rsid w:val="0017093C"/>
    <w:rsid w:val="00170D01"/>
    <w:rsid w:val="00170F86"/>
    <w:rsid w:val="00171648"/>
    <w:rsid w:val="00171961"/>
    <w:rsid w:val="00171F5C"/>
    <w:rsid w:val="0017210F"/>
    <w:rsid w:val="001722B4"/>
    <w:rsid w:val="0017249D"/>
    <w:rsid w:val="00172855"/>
    <w:rsid w:val="00172BEB"/>
    <w:rsid w:val="00172C27"/>
    <w:rsid w:val="00172C9D"/>
    <w:rsid w:val="00172DA3"/>
    <w:rsid w:val="00172EAD"/>
    <w:rsid w:val="001738D2"/>
    <w:rsid w:val="001742D0"/>
    <w:rsid w:val="001743FF"/>
    <w:rsid w:val="00174465"/>
    <w:rsid w:val="001745A9"/>
    <w:rsid w:val="00174B85"/>
    <w:rsid w:val="00175331"/>
    <w:rsid w:val="0017608F"/>
    <w:rsid w:val="001762FD"/>
    <w:rsid w:val="0017668C"/>
    <w:rsid w:val="00176D9E"/>
    <w:rsid w:val="00176FC2"/>
    <w:rsid w:val="00177466"/>
    <w:rsid w:val="001778A9"/>
    <w:rsid w:val="00177ADB"/>
    <w:rsid w:val="00177DA7"/>
    <w:rsid w:val="00180029"/>
    <w:rsid w:val="001806B4"/>
    <w:rsid w:val="00180E52"/>
    <w:rsid w:val="0018126F"/>
    <w:rsid w:val="00181347"/>
    <w:rsid w:val="001816D7"/>
    <w:rsid w:val="001816ED"/>
    <w:rsid w:val="00181830"/>
    <w:rsid w:val="00181973"/>
    <w:rsid w:val="00181AD1"/>
    <w:rsid w:val="00181BA1"/>
    <w:rsid w:val="00181D4F"/>
    <w:rsid w:val="00181EF4"/>
    <w:rsid w:val="0018225D"/>
    <w:rsid w:val="001822BF"/>
    <w:rsid w:val="0018232E"/>
    <w:rsid w:val="00182338"/>
    <w:rsid w:val="001828A0"/>
    <w:rsid w:val="00182A43"/>
    <w:rsid w:val="00182C6E"/>
    <w:rsid w:val="00182DDB"/>
    <w:rsid w:val="001837F1"/>
    <w:rsid w:val="00183ADB"/>
    <w:rsid w:val="001840A5"/>
    <w:rsid w:val="0018449F"/>
    <w:rsid w:val="00184735"/>
    <w:rsid w:val="0018484D"/>
    <w:rsid w:val="00184908"/>
    <w:rsid w:val="00184BE0"/>
    <w:rsid w:val="00184DDD"/>
    <w:rsid w:val="0018504D"/>
    <w:rsid w:val="0018580B"/>
    <w:rsid w:val="00185AE2"/>
    <w:rsid w:val="00185FDA"/>
    <w:rsid w:val="00185FF1"/>
    <w:rsid w:val="00185FF2"/>
    <w:rsid w:val="00186210"/>
    <w:rsid w:val="00186407"/>
    <w:rsid w:val="001865D0"/>
    <w:rsid w:val="00186D6D"/>
    <w:rsid w:val="00186FD3"/>
    <w:rsid w:val="001872DD"/>
    <w:rsid w:val="00187457"/>
    <w:rsid w:val="00187830"/>
    <w:rsid w:val="00187C84"/>
    <w:rsid w:val="00187D77"/>
    <w:rsid w:val="00187E3F"/>
    <w:rsid w:val="00190BCA"/>
    <w:rsid w:val="00190DEF"/>
    <w:rsid w:val="00190F1B"/>
    <w:rsid w:val="0019165E"/>
    <w:rsid w:val="00191CDA"/>
    <w:rsid w:val="00191D32"/>
    <w:rsid w:val="00191F4F"/>
    <w:rsid w:val="0019234E"/>
    <w:rsid w:val="00192589"/>
    <w:rsid w:val="00192F48"/>
    <w:rsid w:val="00193829"/>
    <w:rsid w:val="00193C76"/>
    <w:rsid w:val="00193D0B"/>
    <w:rsid w:val="00193F2D"/>
    <w:rsid w:val="00194024"/>
    <w:rsid w:val="00194085"/>
    <w:rsid w:val="00194716"/>
    <w:rsid w:val="00194BD7"/>
    <w:rsid w:val="0019522F"/>
    <w:rsid w:val="001953FD"/>
    <w:rsid w:val="0019540C"/>
    <w:rsid w:val="001954ED"/>
    <w:rsid w:val="001955BE"/>
    <w:rsid w:val="001956B4"/>
    <w:rsid w:val="00195958"/>
    <w:rsid w:val="0019596C"/>
    <w:rsid w:val="00195C76"/>
    <w:rsid w:val="00196AF8"/>
    <w:rsid w:val="00197094"/>
    <w:rsid w:val="001971A0"/>
    <w:rsid w:val="00197B87"/>
    <w:rsid w:val="00197DEB"/>
    <w:rsid w:val="001A014A"/>
    <w:rsid w:val="001A0180"/>
    <w:rsid w:val="001A04F6"/>
    <w:rsid w:val="001A0C00"/>
    <w:rsid w:val="001A0D32"/>
    <w:rsid w:val="001A164C"/>
    <w:rsid w:val="001A1AF4"/>
    <w:rsid w:val="001A1CD9"/>
    <w:rsid w:val="001A1DCF"/>
    <w:rsid w:val="001A1E91"/>
    <w:rsid w:val="001A1FC8"/>
    <w:rsid w:val="001A211A"/>
    <w:rsid w:val="001A21CE"/>
    <w:rsid w:val="001A233D"/>
    <w:rsid w:val="001A29C0"/>
    <w:rsid w:val="001A2B06"/>
    <w:rsid w:val="001A3450"/>
    <w:rsid w:val="001A3562"/>
    <w:rsid w:val="001A3D2C"/>
    <w:rsid w:val="001A3F41"/>
    <w:rsid w:val="001A429C"/>
    <w:rsid w:val="001A4362"/>
    <w:rsid w:val="001A43C5"/>
    <w:rsid w:val="001A44F5"/>
    <w:rsid w:val="001A456D"/>
    <w:rsid w:val="001A4738"/>
    <w:rsid w:val="001A4B37"/>
    <w:rsid w:val="001A4FA3"/>
    <w:rsid w:val="001A5461"/>
    <w:rsid w:val="001A6467"/>
    <w:rsid w:val="001A666F"/>
    <w:rsid w:val="001A6D3A"/>
    <w:rsid w:val="001A7093"/>
    <w:rsid w:val="001A74C0"/>
    <w:rsid w:val="001A7907"/>
    <w:rsid w:val="001A7D67"/>
    <w:rsid w:val="001B008F"/>
    <w:rsid w:val="001B01C7"/>
    <w:rsid w:val="001B01D2"/>
    <w:rsid w:val="001B0279"/>
    <w:rsid w:val="001B0356"/>
    <w:rsid w:val="001B0486"/>
    <w:rsid w:val="001B0886"/>
    <w:rsid w:val="001B09F9"/>
    <w:rsid w:val="001B0FF0"/>
    <w:rsid w:val="001B11BE"/>
    <w:rsid w:val="001B1391"/>
    <w:rsid w:val="001B1887"/>
    <w:rsid w:val="001B1C60"/>
    <w:rsid w:val="001B1CF9"/>
    <w:rsid w:val="001B248C"/>
    <w:rsid w:val="001B2869"/>
    <w:rsid w:val="001B2B05"/>
    <w:rsid w:val="001B2F28"/>
    <w:rsid w:val="001B317A"/>
    <w:rsid w:val="001B3FE7"/>
    <w:rsid w:val="001B4291"/>
    <w:rsid w:val="001B4884"/>
    <w:rsid w:val="001B48F2"/>
    <w:rsid w:val="001B49BA"/>
    <w:rsid w:val="001B4A1A"/>
    <w:rsid w:val="001B4A63"/>
    <w:rsid w:val="001B4A89"/>
    <w:rsid w:val="001B4B10"/>
    <w:rsid w:val="001B4B41"/>
    <w:rsid w:val="001B4B57"/>
    <w:rsid w:val="001B50A7"/>
    <w:rsid w:val="001B54B5"/>
    <w:rsid w:val="001B5D0C"/>
    <w:rsid w:val="001B5D87"/>
    <w:rsid w:val="001B5E89"/>
    <w:rsid w:val="001B60E4"/>
    <w:rsid w:val="001B615F"/>
    <w:rsid w:val="001B6170"/>
    <w:rsid w:val="001B6222"/>
    <w:rsid w:val="001B645C"/>
    <w:rsid w:val="001B705C"/>
    <w:rsid w:val="001B7123"/>
    <w:rsid w:val="001B74CF"/>
    <w:rsid w:val="001B74DC"/>
    <w:rsid w:val="001C0708"/>
    <w:rsid w:val="001C0DCA"/>
    <w:rsid w:val="001C10BC"/>
    <w:rsid w:val="001C12DA"/>
    <w:rsid w:val="001C15CB"/>
    <w:rsid w:val="001C18DD"/>
    <w:rsid w:val="001C1958"/>
    <w:rsid w:val="001C1F43"/>
    <w:rsid w:val="001C1F4A"/>
    <w:rsid w:val="001C211F"/>
    <w:rsid w:val="001C2603"/>
    <w:rsid w:val="001C262B"/>
    <w:rsid w:val="001C2723"/>
    <w:rsid w:val="001C276B"/>
    <w:rsid w:val="001C28C9"/>
    <w:rsid w:val="001C29A4"/>
    <w:rsid w:val="001C2A3E"/>
    <w:rsid w:val="001C2BFB"/>
    <w:rsid w:val="001C2C16"/>
    <w:rsid w:val="001C2CF5"/>
    <w:rsid w:val="001C2D6B"/>
    <w:rsid w:val="001C2DA9"/>
    <w:rsid w:val="001C2E90"/>
    <w:rsid w:val="001C2F46"/>
    <w:rsid w:val="001C37D4"/>
    <w:rsid w:val="001C38F0"/>
    <w:rsid w:val="001C4187"/>
    <w:rsid w:val="001C466A"/>
    <w:rsid w:val="001C4CAD"/>
    <w:rsid w:val="001C4E69"/>
    <w:rsid w:val="001C50C1"/>
    <w:rsid w:val="001C510A"/>
    <w:rsid w:val="001C5722"/>
    <w:rsid w:val="001C5B9B"/>
    <w:rsid w:val="001C5E9A"/>
    <w:rsid w:val="001C6647"/>
    <w:rsid w:val="001C66A1"/>
    <w:rsid w:val="001C6B62"/>
    <w:rsid w:val="001C6C77"/>
    <w:rsid w:val="001C6E6A"/>
    <w:rsid w:val="001C7118"/>
    <w:rsid w:val="001C7384"/>
    <w:rsid w:val="001C7749"/>
    <w:rsid w:val="001C77EF"/>
    <w:rsid w:val="001C7891"/>
    <w:rsid w:val="001C79C8"/>
    <w:rsid w:val="001C7E9F"/>
    <w:rsid w:val="001C7F69"/>
    <w:rsid w:val="001C7FE7"/>
    <w:rsid w:val="001D0144"/>
    <w:rsid w:val="001D01ED"/>
    <w:rsid w:val="001D0354"/>
    <w:rsid w:val="001D0637"/>
    <w:rsid w:val="001D0887"/>
    <w:rsid w:val="001D0B81"/>
    <w:rsid w:val="001D1070"/>
    <w:rsid w:val="001D121D"/>
    <w:rsid w:val="001D1326"/>
    <w:rsid w:val="001D14E8"/>
    <w:rsid w:val="001D154F"/>
    <w:rsid w:val="001D1551"/>
    <w:rsid w:val="001D16ED"/>
    <w:rsid w:val="001D178C"/>
    <w:rsid w:val="001D1D6F"/>
    <w:rsid w:val="001D289D"/>
    <w:rsid w:val="001D2A6D"/>
    <w:rsid w:val="001D309F"/>
    <w:rsid w:val="001D3593"/>
    <w:rsid w:val="001D3C2B"/>
    <w:rsid w:val="001D3D01"/>
    <w:rsid w:val="001D4030"/>
    <w:rsid w:val="001D474D"/>
    <w:rsid w:val="001D4A1C"/>
    <w:rsid w:val="001D5153"/>
    <w:rsid w:val="001D5778"/>
    <w:rsid w:val="001D5896"/>
    <w:rsid w:val="001D58C7"/>
    <w:rsid w:val="001D5902"/>
    <w:rsid w:val="001D5A59"/>
    <w:rsid w:val="001D5D7A"/>
    <w:rsid w:val="001D5DE1"/>
    <w:rsid w:val="001D677D"/>
    <w:rsid w:val="001D6B6F"/>
    <w:rsid w:val="001D6BEA"/>
    <w:rsid w:val="001D72A3"/>
    <w:rsid w:val="001D7605"/>
    <w:rsid w:val="001D7A9E"/>
    <w:rsid w:val="001D7D9F"/>
    <w:rsid w:val="001D7ECE"/>
    <w:rsid w:val="001D7FC6"/>
    <w:rsid w:val="001E0109"/>
    <w:rsid w:val="001E042F"/>
    <w:rsid w:val="001E0562"/>
    <w:rsid w:val="001E0580"/>
    <w:rsid w:val="001E0886"/>
    <w:rsid w:val="001E0AFF"/>
    <w:rsid w:val="001E0BD4"/>
    <w:rsid w:val="001E1446"/>
    <w:rsid w:val="001E1665"/>
    <w:rsid w:val="001E171F"/>
    <w:rsid w:val="001E1A7D"/>
    <w:rsid w:val="001E1AFB"/>
    <w:rsid w:val="001E1C14"/>
    <w:rsid w:val="001E2337"/>
    <w:rsid w:val="001E27AB"/>
    <w:rsid w:val="001E2983"/>
    <w:rsid w:val="001E2A3D"/>
    <w:rsid w:val="001E2AC3"/>
    <w:rsid w:val="001E2D61"/>
    <w:rsid w:val="001E2D8B"/>
    <w:rsid w:val="001E2EBE"/>
    <w:rsid w:val="001E304D"/>
    <w:rsid w:val="001E387A"/>
    <w:rsid w:val="001E4242"/>
    <w:rsid w:val="001E4767"/>
    <w:rsid w:val="001E4F9B"/>
    <w:rsid w:val="001E5514"/>
    <w:rsid w:val="001E55DD"/>
    <w:rsid w:val="001E570B"/>
    <w:rsid w:val="001E58E9"/>
    <w:rsid w:val="001E591F"/>
    <w:rsid w:val="001E5974"/>
    <w:rsid w:val="001E5CA8"/>
    <w:rsid w:val="001E5D38"/>
    <w:rsid w:val="001E61EF"/>
    <w:rsid w:val="001E62AC"/>
    <w:rsid w:val="001E6715"/>
    <w:rsid w:val="001E6A26"/>
    <w:rsid w:val="001E6A77"/>
    <w:rsid w:val="001E6A84"/>
    <w:rsid w:val="001E6A9B"/>
    <w:rsid w:val="001E6AE4"/>
    <w:rsid w:val="001E6FDC"/>
    <w:rsid w:val="001E7361"/>
    <w:rsid w:val="001E73AF"/>
    <w:rsid w:val="001E78C2"/>
    <w:rsid w:val="001E7DA7"/>
    <w:rsid w:val="001F0032"/>
    <w:rsid w:val="001F0357"/>
    <w:rsid w:val="001F03DD"/>
    <w:rsid w:val="001F086A"/>
    <w:rsid w:val="001F0BF4"/>
    <w:rsid w:val="001F0C69"/>
    <w:rsid w:val="001F0E6F"/>
    <w:rsid w:val="001F1248"/>
    <w:rsid w:val="001F149C"/>
    <w:rsid w:val="001F14F0"/>
    <w:rsid w:val="001F1860"/>
    <w:rsid w:val="001F18B7"/>
    <w:rsid w:val="001F2058"/>
    <w:rsid w:val="001F2C64"/>
    <w:rsid w:val="001F3684"/>
    <w:rsid w:val="001F3DA4"/>
    <w:rsid w:val="001F3FDB"/>
    <w:rsid w:val="001F400D"/>
    <w:rsid w:val="001F4163"/>
    <w:rsid w:val="001F420B"/>
    <w:rsid w:val="001F4258"/>
    <w:rsid w:val="001F436A"/>
    <w:rsid w:val="001F44B0"/>
    <w:rsid w:val="001F4662"/>
    <w:rsid w:val="001F4719"/>
    <w:rsid w:val="001F4788"/>
    <w:rsid w:val="001F4C0E"/>
    <w:rsid w:val="001F4C77"/>
    <w:rsid w:val="001F4EB1"/>
    <w:rsid w:val="001F4EB4"/>
    <w:rsid w:val="001F5160"/>
    <w:rsid w:val="001F55F0"/>
    <w:rsid w:val="001F5804"/>
    <w:rsid w:val="001F5A68"/>
    <w:rsid w:val="001F5E6D"/>
    <w:rsid w:val="001F5F79"/>
    <w:rsid w:val="001F619D"/>
    <w:rsid w:val="001F6720"/>
    <w:rsid w:val="001F6AB9"/>
    <w:rsid w:val="001F6E3A"/>
    <w:rsid w:val="001F6FCD"/>
    <w:rsid w:val="001F7198"/>
    <w:rsid w:val="001F73C5"/>
    <w:rsid w:val="001F793C"/>
    <w:rsid w:val="001FF17B"/>
    <w:rsid w:val="00200111"/>
    <w:rsid w:val="0020035D"/>
    <w:rsid w:val="0020060F"/>
    <w:rsid w:val="002008E9"/>
    <w:rsid w:val="0020107B"/>
    <w:rsid w:val="00201442"/>
    <w:rsid w:val="00201567"/>
    <w:rsid w:val="002017C6"/>
    <w:rsid w:val="002018C5"/>
    <w:rsid w:val="00201EFF"/>
    <w:rsid w:val="0020258C"/>
    <w:rsid w:val="00202729"/>
    <w:rsid w:val="00202798"/>
    <w:rsid w:val="002027FD"/>
    <w:rsid w:val="002028DA"/>
    <w:rsid w:val="0020295D"/>
    <w:rsid w:val="002029CE"/>
    <w:rsid w:val="00202DC4"/>
    <w:rsid w:val="00202FD6"/>
    <w:rsid w:val="002031B1"/>
    <w:rsid w:val="00203329"/>
    <w:rsid w:val="00203567"/>
    <w:rsid w:val="0020363F"/>
    <w:rsid w:val="00203973"/>
    <w:rsid w:val="002039A4"/>
    <w:rsid w:val="00203E27"/>
    <w:rsid w:val="00204388"/>
    <w:rsid w:val="002045CB"/>
    <w:rsid w:val="002053EB"/>
    <w:rsid w:val="00205640"/>
    <w:rsid w:val="00205832"/>
    <w:rsid w:val="00206035"/>
    <w:rsid w:val="0020613E"/>
    <w:rsid w:val="0020684B"/>
    <w:rsid w:val="00206F9B"/>
    <w:rsid w:val="0020715B"/>
    <w:rsid w:val="002072BA"/>
    <w:rsid w:val="002075A9"/>
    <w:rsid w:val="00207B7D"/>
    <w:rsid w:val="00207C06"/>
    <w:rsid w:val="00207EB9"/>
    <w:rsid w:val="00207FA7"/>
    <w:rsid w:val="002102D6"/>
    <w:rsid w:val="002105BC"/>
    <w:rsid w:val="00210C32"/>
    <w:rsid w:val="00210D79"/>
    <w:rsid w:val="00211000"/>
    <w:rsid w:val="00211504"/>
    <w:rsid w:val="00211614"/>
    <w:rsid w:val="002116D8"/>
    <w:rsid w:val="00211AD1"/>
    <w:rsid w:val="0021253B"/>
    <w:rsid w:val="002129A3"/>
    <w:rsid w:val="00212C66"/>
    <w:rsid w:val="00212D0D"/>
    <w:rsid w:val="002130EC"/>
    <w:rsid w:val="002130F0"/>
    <w:rsid w:val="0021329F"/>
    <w:rsid w:val="0021332B"/>
    <w:rsid w:val="00213487"/>
    <w:rsid w:val="002134BC"/>
    <w:rsid w:val="00213784"/>
    <w:rsid w:val="00213AF5"/>
    <w:rsid w:val="00213B3B"/>
    <w:rsid w:val="00213EBA"/>
    <w:rsid w:val="002140E0"/>
    <w:rsid w:val="0021430C"/>
    <w:rsid w:val="002143B1"/>
    <w:rsid w:val="002144EF"/>
    <w:rsid w:val="0021497E"/>
    <w:rsid w:val="00214995"/>
    <w:rsid w:val="00214AD8"/>
    <w:rsid w:val="002150A1"/>
    <w:rsid w:val="00215106"/>
    <w:rsid w:val="002155A4"/>
    <w:rsid w:val="00215706"/>
    <w:rsid w:val="002157D0"/>
    <w:rsid w:val="002160AB"/>
    <w:rsid w:val="00216102"/>
    <w:rsid w:val="0021667E"/>
    <w:rsid w:val="0021690F"/>
    <w:rsid w:val="00216B4E"/>
    <w:rsid w:val="00216B89"/>
    <w:rsid w:val="00216C22"/>
    <w:rsid w:val="002172B2"/>
    <w:rsid w:val="00217F05"/>
    <w:rsid w:val="0022088C"/>
    <w:rsid w:val="00220FFB"/>
    <w:rsid w:val="002210F0"/>
    <w:rsid w:val="002218C3"/>
    <w:rsid w:val="00221BC8"/>
    <w:rsid w:val="00222318"/>
    <w:rsid w:val="002228A2"/>
    <w:rsid w:val="00222AA9"/>
    <w:rsid w:val="00222ACF"/>
    <w:rsid w:val="00222B8A"/>
    <w:rsid w:val="0022321E"/>
    <w:rsid w:val="0022329A"/>
    <w:rsid w:val="0022366A"/>
    <w:rsid w:val="00223AEE"/>
    <w:rsid w:val="00223B8E"/>
    <w:rsid w:val="00223BF3"/>
    <w:rsid w:val="00223D1B"/>
    <w:rsid w:val="00223DCC"/>
    <w:rsid w:val="00223FFE"/>
    <w:rsid w:val="00224EB6"/>
    <w:rsid w:val="00225057"/>
    <w:rsid w:val="0022532C"/>
    <w:rsid w:val="0022551C"/>
    <w:rsid w:val="00225939"/>
    <w:rsid w:val="002264B1"/>
    <w:rsid w:val="002270C8"/>
    <w:rsid w:val="00227293"/>
    <w:rsid w:val="0022761E"/>
    <w:rsid w:val="00227A2A"/>
    <w:rsid w:val="00227C1C"/>
    <w:rsid w:val="002302BC"/>
    <w:rsid w:val="002303D2"/>
    <w:rsid w:val="002304B3"/>
    <w:rsid w:val="002305D6"/>
    <w:rsid w:val="002305DA"/>
    <w:rsid w:val="0023061A"/>
    <w:rsid w:val="0023061E"/>
    <w:rsid w:val="00230679"/>
    <w:rsid w:val="002309EF"/>
    <w:rsid w:val="00230B4A"/>
    <w:rsid w:val="002311D8"/>
    <w:rsid w:val="00231283"/>
    <w:rsid w:val="0023175D"/>
    <w:rsid w:val="0023182B"/>
    <w:rsid w:val="00231988"/>
    <w:rsid w:val="00231B70"/>
    <w:rsid w:val="00231CDE"/>
    <w:rsid w:val="00231CEA"/>
    <w:rsid w:val="00232004"/>
    <w:rsid w:val="002325F8"/>
    <w:rsid w:val="00232830"/>
    <w:rsid w:val="002332F1"/>
    <w:rsid w:val="0023354A"/>
    <w:rsid w:val="00233CFA"/>
    <w:rsid w:val="00233ED2"/>
    <w:rsid w:val="00234127"/>
    <w:rsid w:val="0023420F"/>
    <w:rsid w:val="00234BD6"/>
    <w:rsid w:val="00234C3B"/>
    <w:rsid w:val="00234DF8"/>
    <w:rsid w:val="00234FE1"/>
    <w:rsid w:val="002351DF"/>
    <w:rsid w:val="002353C9"/>
    <w:rsid w:val="002355D4"/>
    <w:rsid w:val="00235CFB"/>
    <w:rsid w:val="002362B7"/>
    <w:rsid w:val="00236500"/>
    <w:rsid w:val="0023654E"/>
    <w:rsid w:val="00236839"/>
    <w:rsid w:val="00236D8A"/>
    <w:rsid w:val="00237018"/>
    <w:rsid w:val="00237220"/>
    <w:rsid w:val="0023725D"/>
    <w:rsid w:val="002374A2"/>
    <w:rsid w:val="002375C9"/>
    <w:rsid w:val="002375FC"/>
    <w:rsid w:val="00237876"/>
    <w:rsid w:val="00237C14"/>
    <w:rsid w:val="00237F15"/>
    <w:rsid w:val="00240142"/>
    <w:rsid w:val="0024028A"/>
    <w:rsid w:val="00240373"/>
    <w:rsid w:val="0024105E"/>
    <w:rsid w:val="002413AC"/>
    <w:rsid w:val="00241474"/>
    <w:rsid w:val="00241509"/>
    <w:rsid w:val="002417E0"/>
    <w:rsid w:val="00242079"/>
    <w:rsid w:val="00242091"/>
    <w:rsid w:val="00242D85"/>
    <w:rsid w:val="002433A6"/>
    <w:rsid w:val="00243788"/>
    <w:rsid w:val="00243BD7"/>
    <w:rsid w:val="00243F51"/>
    <w:rsid w:val="00244348"/>
    <w:rsid w:val="00244363"/>
    <w:rsid w:val="00244497"/>
    <w:rsid w:val="00244524"/>
    <w:rsid w:val="0024496C"/>
    <w:rsid w:val="00244CE2"/>
    <w:rsid w:val="00244D72"/>
    <w:rsid w:val="002452CC"/>
    <w:rsid w:val="00245724"/>
    <w:rsid w:val="002459C4"/>
    <w:rsid w:val="00245CFF"/>
    <w:rsid w:val="00246443"/>
    <w:rsid w:val="00246595"/>
    <w:rsid w:val="00246927"/>
    <w:rsid w:val="002469F3"/>
    <w:rsid w:val="00246A21"/>
    <w:rsid w:val="00246A68"/>
    <w:rsid w:val="00246C1F"/>
    <w:rsid w:val="0024707B"/>
    <w:rsid w:val="0024774F"/>
    <w:rsid w:val="00247C7A"/>
    <w:rsid w:val="00250197"/>
    <w:rsid w:val="00250370"/>
    <w:rsid w:val="00250466"/>
    <w:rsid w:val="00251043"/>
    <w:rsid w:val="00251538"/>
    <w:rsid w:val="002516FB"/>
    <w:rsid w:val="00251CB2"/>
    <w:rsid w:val="0025224C"/>
    <w:rsid w:val="00252584"/>
    <w:rsid w:val="00252A69"/>
    <w:rsid w:val="00252A8F"/>
    <w:rsid w:val="00252EF6"/>
    <w:rsid w:val="00253500"/>
    <w:rsid w:val="0025424C"/>
    <w:rsid w:val="002543A2"/>
    <w:rsid w:val="002543EB"/>
    <w:rsid w:val="002547F7"/>
    <w:rsid w:val="00254818"/>
    <w:rsid w:val="00254888"/>
    <w:rsid w:val="0025489B"/>
    <w:rsid w:val="00254947"/>
    <w:rsid w:val="0025498E"/>
    <w:rsid w:val="00255200"/>
    <w:rsid w:val="00255294"/>
    <w:rsid w:val="00255460"/>
    <w:rsid w:val="002555DD"/>
    <w:rsid w:val="00255924"/>
    <w:rsid w:val="00255A7A"/>
    <w:rsid w:val="00255AE9"/>
    <w:rsid w:val="00255AFB"/>
    <w:rsid w:val="00255F61"/>
    <w:rsid w:val="00256167"/>
    <w:rsid w:val="0025639D"/>
    <w:rsid w:val="002566C8"/>
    <w:rsid w:val="00256BAF"/>
    <w:rsid w:val="00256C49"/>
    <w:rsid w:val="00256F15"/>
    <w:rsid w:val="002571DC"/>
    <w:rsid w:val="00257421"/>
    <w:rsid w:val="00257542"/>
    <w:rsid w:val="002579D0"/>
    <w:rsid w:val="00257AF3"/>
    <w:rsid w:val="00257BD3"/>
    <w:rsid w:val="00257BEA"/>
    <w:rsid w:val="00257FAA"/>
    <w:rsid w:val="002602C7"/>
    <w:rsid w:val="00260B7B"/>
    <w:rsid w:val="00260E37"/>
    <w:rsid w:val="00260FF3"/>
    <w:rsid w:val="00260FFF"/>
    <w:rsid w:val="0026104E"/>
    <w:rsid w:val="00261300"/>
    <w:rsid w:val="002617F0"/>
    <w:rsid w:val="002622A5"/>
    <w:rsid w:val="002623D5"/>
    <w:rsid w:val="00262410"/>
    <w:rsid w:val="002625B5"/>
    <w:rsid w:val="00262699"/>
    <w:rsid w:val="0026271B"/>
    <w:rsid w:val="002627FF"/>
    <w:rsid w:val="00262B75"/>
    <w:rsid w:val="00262F57"/>
    <w:rsid w:val="00263426"/>
    <w:rsid w:val="0026370A"/>
    <w:rsid w:val="00263928"/>
    <w:rsid w:val="0026399E"/>
    <w:rsid w:val="00263B4B"/>
    <w:rsid w:val="00264136"/>
    <w:rsid w:val="00264317"/>
    <w:rsid w:val="00264626"/>
    <w:rsid w:val="00264B2C"/>
    <w:rsid w:val="00264FF3"/>
    <w:rsid w:val="00265054"/>
    <w:rsid w:val="00265283"/>
    <w:rsid w:val="002656DB"/>
    <w:rsid w:val="00265724"/>
    <w:rsid w:val="00265CCF"/>
    <w:rsid w:val="002660F4"/>
    <w:rsid w:val="0026621B"/>
    <w:rsid w:val="0026635A"/>
    <w:rsid w:val="002668D0"/>
    <w:rsid w:val="00266AAE"/>
    <w:rsid w:val="00266D70"/>
    <w:rsid w:val="0026729A"/>
    <w:rsid w:val="00267524"/>
    <w:rsid w:val="002676CB"/>
    <w:rsid w:val="002679C5"/>
    <w:rsid w:val="00267A88"/>
    <w:rsid w:val="00267C80"/>
    <w:rsid w:val="00267D66"/>
    <w:rsid w:val="00267EDD"/>
    <w:rsid w:val="0027018E"/>
    <w:rsid w:val="00270675"/>
    <w:rsid w:val="00270E01"/>
    <w:rsid w:val="00271001"/>
    <w:rsid w:val="0027176A"/>
    <w:rsid w:val="00271806"/>
    <w:rsid w:val="00271DE2"/>
    <w:rsid w:val="00272203"/>
    <w:rsid w:val="002722C6"/>
    <w:rsid w:val="00272411"/>
    <w:rsid w:val="00272617"/>
    <w:rsid w:val="00272731"/>
    <w:rsid w:val="00272732"/>
    <w:rsid w:val="00272F6F"/>
    <w:rsid w:val="002738B2"/>
    <w:rsid w:val="00273983"/>
    <w:rsid w:val="00274022"/>
    <w:rsid w:val="002740D6"/>
    <w:rsid w:val="00274189"/>
    <w:rsid w:val="002745A1"/>
    <w:rsid w:val="002745D1"/>
    <w:rsid w:val="0027460D"/>
    <w:rsid w:val="002747D4"/>
    <w:rsid w:val="002749F9"/>
    <w:rsid w:val="00274EA9"/>
    <w:rsid w:val="00274F47"/>
    <w:rsid w:val="002751FA"/>
    <w:rsid w:val="00275ADC"/>
    <w:rsid w:val="00275B29"/>
    <w:rsid w:val="00275ED4"/>
    <w:rsid w:val="0027662E"/>
    <w:rsid w:val="00276D13"/>
    <w:rsid w:val="00277D6B"/>
    <w:rsid w:val="00277DDD"/>
    <w:rsid w:val="00280626"/>
    <w:rsid w:val="00280867"/>
    <w:rsid w:val="00280F99"/>
    <w:rsid w:val="00280FDA"/>
    <w:rsid w:val="00281095"/>
    <w:rsid w:val="002813B4"/>
    <w:rsid w:val="0028146F"/>
    <w:rsid w:val="00281748"/>
    <w:rsid w:val="00281809"/>
    <w:rsid w:val="00281AF6"/>
    <w:rsid w:val="00282129"/>
    <w:rsid w:val="00282B95"/>
    <w:rsid w:val="00282F05"/>
    <w:rsid w:val="00282FF9"/>
    <w:rsid w:val="00283421"/>
    <w:rsid w:val="00283453"/>
    <w:rsid w:val="002835B9"/>
    <w:rsid w:val="0028397C"/>
    <w:rsid w:val="00283AC8"/>
    <w:rsid w:val="00283B60"/>
    <w:rsid w:val="00283BE4"/>
    <w:rsid w:val="00283DB8"/>
    <w:rsid w:val="00283EB6"/>
    <w:rsid w:val="00284783"/>
    <w:rsid w:val="00284D4F"/>
    <w:rsid w:val="0028541C"/>
    <w:rsid w:val="00285C42"/>
    <w:rsid w:val="00285D9E"/>
    <w:rsid w:val="002861FB"/>
    <w:rsid w:val="002862F1"/>
    <w:rsid w:val="0028635E"/>
    <w:rsid w:val="00286E89"/>
    <w:rsid w:val="00286F06"/>
    <w:rsid w:val="002871D2"/>
    <w:rsid w:val="00287561"/>
    <w:rsid w:val="002876E6"/>
    <w:rsid w:val="0028778E"/>
    <w:rsid w:val="0028B875"/>
    <w:rsid w:val="0029006B"/>
    <w:rsid w:val="002901C4"/>
    <w:rsid w:val="002901FE"/>
    <w:rsid w:val="00290361"/>
    <w:rsid w:val="002907AB"/>
    <w:rsid w:val="00290BD8"/>
    <w:rsid w:val="002912B1"/>
    <w:rsid w:val="00291646"/>
    <w:rsid w:val="0029185C"/>
    <w:rsid w:val="00291935"/>
    <w:rsid w:val="00291A27"/>
    <w:rsid w:val="00291A97"/>
    <w:rsid w:val="00291AA8"/>
    <w:rsid w:val="00291C41"/>
    <w:rsid w:val="00291ECC"/>
    <w:rsid w:val="0029239F"/>
    <w:rsid w:val="002923B0"/>
    <w:rsid w:val="00292F15"/>
    <w:rsid w:val="002931BF"/>
    <w:rsid w:val="00293F24"/>
    <w:rsid w:val="00293FA2"/>
    <w:rsid w:val="002943A1"/>
    <w:rsid w:val="002943B5"/>
    <w:rsid w:val="00294432"/>
    <w:rsid w:val="00294641"/>
    <w:rsid w:val="0029475D"/>
    <w:rsid w:val="002951D4"/>
    <w:rsid w:val="002955DF"/>
    <w:rsid w:val="0029576D"/>
    <w:rsid w:val="00295829"/>
    <w:rsid w:val="00295929"/>
    <w:rsid w:val="00296149"/>
    <w:rsid w:val="00296F64"/>
    <w:rsid w:val="00297106"/>
    <w:rsid w:val="00297497"/>
    <w:rsid w:val="00297743"/>
    <w:rsid w:val="00297884"/>
    <w:rsid w:val="00297A38"/>
    <w:rsid w:val="00297AF6"/>
    <w:rsid w:val="0029C257"/>
    <w:rsid w:val="002A01B2"/>
    <w:rsid w:val="002A0250"/>
    <w:rsid w:val="002A0331"/>
    <w:rsid w:val="002A05C8"/>
    <w:rsid w:val="002A062B"/>
    <w:rsid w:val="002A09BA"/>
    <w:rsid w:val="002A144D"/>
    <w:rsid w:val="002A1678"/>
    <w:rsid w:val="002A16A7"/>
    <w:rsid w:val="002A1EB1"/>
    <w:rsid w:val="002A214E"/>
    <w:rsid w:val="002A235D"/>
    <w:rsid w:val="002A26C6"/>
    <w:rsid w:val="002A273F"/>
    <w:rsid w:val="002A2C8F"/>
    <w:rsid w:val="002A2CFC"/>
    <w:rsid w:val="002A30AA"/>
    <w:rsid w:val="002A3148"/>
    <w:rsid w:val="002A333D"/>
    <w:rsid w:val="002A346F"/>
    <w:rsid w:val="002A3586"/>
    <w:rsid w:val="002A35D6"/>
    <w:rsid w:val="002A3673"/>
    <w:rsid w:val="002A38D5"/>
    <w:rsid w:val="002A3E96"/>
    <w:rsid w:val="002A42CA"/>
    <w:rsid w:val="002A452F"/>
    <w:rsid w:val="002A4E44"/>
    <w:rsid w:val="002A500F"/>
    <w:rsid w:val="002A5323"/>
    <w:rsid w:val="002A57E8"/>
    <w:rsid w:val="002A68F7"/>
    <w:rsid w:val="002A6A40"/>
    <w:rsid w:val="002A7011"/>
    <w:rsid w:val="002A7A59"/>
    <w:rsid w:val="002B027C"/>
    <w:rsid w:val="002B04CE"/>
    <w:rsid w:val="002B09E5"/>
    <w:rsid w:val="002B0B83"/>
    <w:rsid w:val="002B0E95"/>
    <w:rsid w:val="002B0EE7"/>
    <w:rsid w:val="002B0FDD"/>
    <w:rsid w:val="002B11DD"/>
    <w:rsid w:val="002B1346"/>
    <w:rsid w:val="002B1C0C"/>
    <w:rsid w:val="002B1D5C"/>
    <w:rsid w:val="002B2465"/>
    <w:rsid w:val="002B265E"/>
    <w:rsid w:val="002B2BBE"/>
    <w:rsid w:val="002B2D7D"/>
    <w:rsid w:val="002B31D6"/>
    <w:rsid w:val="002B3286"/>
    <w:rsid w:val="002B3296"/>
    <w:rsid w:val="002B3597"/>
    <w:rsid w:val="002B3598"/>
    <w:rsid w:val="002B37AF"/>
    <w:rsid w:val="002B3825"/>
    <w:rsid w:val="002B3912"/>
    <w:rsid w:val="002B3CB5"/>
    <w:rsid w:val="002B4303"/>
    <w:rsid w:val="002B46D5"/>
    <w:rsid w:val="002B4D2A"/>
    <w:rsid w:val="002B55B2"/>
    <w:rsid w:val="002B56D1"/>
    <w:rsid w:val="002B5A0C"/>
    <w:rsid w:val="002B5FBB"/>
    <w:rsid w:val="002B612F"/>
    <w:rsid w:val="002B6300"/>
    <w:rsid w:val="002B69E4"/>
    <w:rsid w:val="002B6A3A"/>
    <w:rsid w:val="002B7141"/>
    <w:rsid w:val="002B788B"/>
    <w:rsid w:val="002B7AA2"/>
    <w:rsid w:val="002B7B91"/>
    <w:rsid w:val="002B7F5A"/>
    <w:rsid w:val="002B9313"/>
    <w:rsid w:val="002C0983"/>
    <w:rsid w:val="002C0EBA"/>
    <w:rsid w:val="002C1395"/>
    <w:rsid w:val="002C1424"/>
    <w:rsid w:val="002C18FC"/>
    <w:rsid w:val="002C1F86"/>
    <w:rsid w:val="002C225A"/>
    <w:rsid w:val="002C22CB"/>
    <w:rsid w:val="002C24FC"/>
    <w:rsid w:val="002C2DB0"/>
    <w:rsid w:val="002C2FAE"/>
    <w:rsid w:val="002C35D8"/>
    <w:rsid w:val="002C3713"/>
    <w:rsid w:val="002C3947"/>
    <w:rsid w:val="002C3E44"/>
    <w:rsid w:val="002C3EA6"/>
    <w:rsid w:val="002C42E9"/>
    <w:rsid w:val="002C467F"/>
    <w:rsid w:val="002C4A06"/>
    <w:rsid w:val="002C4C37"/>
    <w:rsid w:val="002C4C5F"/>
    <w:rsid w:val="002C4D2E"/>
    <w:rsid w:val="002C50C7"/>
    <w:rsid w:val="002C5183"/>
    <w:rsid w:val="002C5576"/>
    <w:rsid w:val="002C5E4C"/>
    <w:rsid w:val="002C6343"/>
    <w:rsid w:val="002C638C"/>
    <w:rsid w:val="002C6DF4"/>
    <w:rsid w:val="002C6F75"/>
    <w:rsid w:val="002C715D"/>
    <w:rsid w:val="002C716C"/>
    <w:rsid w:val="002C730D"/>
    <w:rsid w:val="002C7483"/>
    <w:rsid w:val="002C794F"/>
    <w:rsid w:val="002D01F6"/>
    <w:rsid w:val="002D151F"/>
    <w:rsid w:val="002D1694"/>
    <w:rsid w:val="002D1719"/>
    <w:rsid w:val="002D1C38"/>
    <w:rsid w:val="002D1CF2"/>
    <w:rsid w:val="002D1CFE"/>
    <w:rsid w:val="002D2216"/>
    <w:rsid w:val="002D287A"/>
    <w:rsid w:val="002D28BB"/>
    <w:rsid w:val="002D2FC9"/>
    <w:rsid w:val="002D33F1"/>
    <w:rsid w:val="002D36A7"/>
    <w:rsid w:val="002D3AC8"/>
    <w:rsid w:val="002D3FDB"/>
    <w:rsid w:val="002D40C8"/>
    <w:rsid w:val="002D4388"/>
    <w:rsid w:val="002D4676"/>
    <w:rsid w:val="002D473C"/>
    <w:rsid w:val="002D48EC"/>
    <w:rsid w:val="002D55DF"/>
    <w:rsid w:val="002D561E"/>
    <w:rsid w:val="002D5763"/>
    <w:rsid w:val="002D5961"/>
    <w:rsid w:val="002D5ADA"/>
    <w:rsid w:val="002D5B24"/>
    <w:rsid w:val="002D5FBC"/>
    <w:rsid w:val="002D6190"/>
    <w:rsid w:val="002D61AB"/>
    <w:rsid w:val="002D6A39"/>
    <w:rsid w:val="002D7299"/>
    <w:rsid w:val="002D75B6"/>
    <w:rsid w:val="002E0118"/>
    <w:rsid w:val="002E0B9F"/>
    <w:rsid w:val="002E0C73"/>
    <w:rsid w:val="002E0C79"/>
    <w:rsid w:val="002E0D05"/>
    <w:rsid w:val="002E0F86"/>
    <w:rsid w:val="002E10A9"/>
    <w:rsid w:val="002E1156"/>
    <w:rsid w:val="002E119A"/>
    <w:rsid w:val="002E1419"/>
    <w:rsid w:val="002E15F2"/>
    <w:rsid w:val="002E194C"/>
    <w:rsid w:val="002E1D93"/>
    <w:rsid w:val="002E1E5A"/>
    <w:rsid w:val="002E1F9F"/>
    <w:rsid w:val="002E2216"/>
    <w:rsid w:val="002E27A0"/>
    <w:rsid w:val="002E291F"/>
    <w:rsid w:val="002E2992"/>
    <w:rsid w:val="002E2A37"/>
    <w:rsid w:val="002E2C1E"/>
    <w:rsid w:val="002E2D5F"/>
    <w:rsid w:val="002E2EC4"/>
    <w:rsid w:val="002E3456"/>
    <w:rsid w:val="002E3477"/>
    <w:rsid w:val="002E37FA"/>
    <w:rsid w:val="002E3D8E"/>
    <w:rsid w:val="002E3E91"/>
    <w:rsid w:val="002E4327"/>
    <w:rsid w:val="002E45A4"/>
    <w:rsid w:val="002E4625"/>
    <w:rsid w:val="002E4834"/>
    <w:rsid w:val="002E4883"/>
    <w:rsid w:val="002E4CB9"/>
    <w:rsid w:val="002E51A5"/>
    <w:rsid w:val="002E554D"/>
    <w:rsid w:val="002E5743"/>
    <w:rsid w:val="002E5B1C"/>
    <w:rsid w:val="002E5B87"/>
    <w:rsid w:val="002E60B7"/>
    <w:rsid w:val="002E6405"/>
    <w:rsid w:val="002E6514"/>
    <w:rsid w:val="002E657D"/>
    <w:rsid w:val="002E6790"/>
    <w:rsid w:val="002E680C"/>
    <w:rsid w:val="002E681A"/>
    <w:rsid w:val="002E6D22"/>
    <w:rsid w:val="002E6F03"/>
    <w:rsid w:val="002E7072"/>
    <w:rsid w:val="002E70BD"/>
    <w:rsid w:val="002E7520"/>
    <w:rsid w:val="002E76AF"/>
    <w:rsid w:val="002E79DC"/>
    <w:rsid w:val="002F02DC"/>
    <w:rsid w:val="002F085E"/>
    <w:rsid w:val="002F0C0C"/>
    <w:rsid w:val="002F0C56"/>
    <w:rsid w:val="002F1A1E"/>
    <w:rsid w:val="002F1DCB"/>
    <w:rsid w:val="002F1DF8"/>
    <w:rsid w:val="002F2014"/>
    <w:rsid w:val="002F27A3"/>
    <w:rsid w:val="002F3596"/>
    <w:rsid w:val="002F35CB"/>
    <w:rsid w:val="002F36AE"/>
    <w:rsid w:val="002F3829"/>
    <w:rsid w:val="002F38C9"/>
    <w:rsid w:val="002F3921"/>
    <w:rsid w:val="002F399E"/>
    <w:rsid w:val="002F3A42"/>
    <w:rsid w:val="002F400B"/>
    <w:rsid w:val="002F432A"/>
    <w:rsid w:val="002F436E"/>
    <w:rsid w:val="002F48EC"/>
    <w:rsid w:val="002F495E"/>
    <w:rsid w:val="002F5019"/>
    <w:rsid w:val="002F502B"/>
    <w:rsid w:val="002F5109"/>
    <w:rsid w:val="002F5604"/>
    <w:rsid w:val="002F5BCB"/>
    <w:rsid w:val="002F5D57"/>
    <w:rsid w:val="002F6620"/>
    <w:rsid w:val="002F6B7A"/>
    <w:rsid w:val="002F6D11"/>
    <w:rsid w:val="002F7513"/>
    <w:rsid w:val="002F776C"/>
    <w:rsid w:val="002F7AC7"/>
    <w:rsid w:val="00300371"/>
    <w:rsid w:val="0030065F"/>
    <w:rsid w:val="003007F7"/>
    <w:rsid w:val="0030091F"/>
    <w:rsid w:val="00300E6E"/>
    <w:rsid w:val="0030138F"/>
    <w:rsid w:val="003014ED"/>
    <w:rsid w:val="00301981"/>
    <w:rsid w:val="00302C23"/>
    <w:rsid w:val="00302E56"/>
    <w:rsid w:val="00302F6D"/>
    <w:rsid w:val="00303014"/>
    <w:rsid w:val="00303037"/>
    <w:rsid w:val="0030309E"/>
    <w:rsid w:val="00303394"/>
    <w:rsid w:val="00303514"/>
    <w:rsid w:val="0030387B"/>
    <w:rsid w:val="00303996"/>
    <w:rsid w:val="00303CDF"/>
    <w:rsid w:val="0030440A"/>
    <w:rsid w:val="003044D7"/>
    <w:rsid w:val="00304507"/>
    <w:rsid w:val="0030463F"/>
    <w:rsid w:val="00304651"/>
    <w:rsid w:val="0030481E"/>
    <w:rsid w:val="00304E05"/>
    <w:rsid w:val="00304F91"/>
    <w:rsid w:val="0030528C"/>
    <w:rsid w:val="003052AA"/>
    <w:rsid w:val="00305345"/>
    <w:rsid w:val="003053A1"/>
    <w:rsid w:val="003056BC"/>
    <w:rsid w:val="00305C52"/>
    <w:rsid w:val="00306157"/>
    <w:rsid w:val="0030623B"/>
    <w:rsid w:val="00306360"/>
    <w:rsid w:val="003063D0"/>
    <w:rsid w:val="00306646"/>
    <w:rsid w:val="00306D9D"/>
    <w:rsid w:val="00307146"/>
    <w:rsid w:val="00307241"/>
    <w:rsid w:val="003072D4"/>
    <w:rsid w:val="00307505"/>
    <w:rsid w:val="0030764C"/>
    <w:rsid w:val="00307ADD"/>
    <w:rsid w:val="00307D08"/>
    <w:rsid w:val="003101DD"/>
    <w:rsid w:val="00310702"/>
    <w:rsid w:val="00310A15"/>
    <w:rsid w:val="00310EE7"/>
    <w:rsid w:val="00311042"/>
    <w:rsid w:val="00311098"/>
    <w:rsid w:val="003110BA"/>
    <w:rsid w:val="003119A4"/>
    <w:rsid w:val="00311AB5"/>
    <w:rsid w:val="0031256A"/>
    <w:rsid w:val="00312653"/>
    <w:rsid w:val="0031284A"/>
    <w:rsid w:val="00312A6F"/>
    <w:rsid w:val="00312CD0"/>
    <w:rsid w:val="00312EAE"/>
    <w:rsid w:val="00313127"/>
    <w:rsid w:val="0031326D"/>
    <w:rsid w:val="003133E7"/>
    <w:rsid w:val="00313999"/>
    <w:rsid w:val="00313CA0"/>
    <w:rsid w:val="00313D1C"/>
    <w:rsid w:val="003140BB"/>
    <w:rsid w:val="003140D2"/>
    <w:rsid w:val="003140EF"/>
    <w:rsid w:val="00314464"/>
    <w:rsid w:val="0031480E"/>
    <w:rsid w:val="00315162"/>
    <w:rsid w:val="0031560F"/>
    <w:rsid w:val="00315640"/>
    <w:rsid w:val="00315669"/>
    <w:rsid w:val="0031573C"/>
    <w:rsid w:val="00315825"/>
    <w:rsid w:val="003158EC"/>
    <w:rsid w:val="0031629F"/>
    <w:rsid w:val="0031672B"/>
    <w:rsid w:val="00316737"/>
    <w:rsid w:val="00316DA8"/>
    <w:rsid w:val="003170D4"/>
    <w:rsid w:val="0031732C"/>
    <w:rsid w:val="003200B2"/>
    <w:rsid w:val="003208BD"/>
    <w:rsid w:val="00320957"/>
    <w:rsid w:val="00320A93"/>
    <w:rsid w:val="00320C56"/>
    <w:rsid w:val="00321172"/>
    <w:rsid w:val="0032122A"/>
    <w:rsid w:val="00321393"/>
    <w:rsid w:val="0032151B"/>
    <w:rsid w:val="00321679"/>
    <w:rsid w:val="003216F1"/>
    <w:rsid w:val="00321E48"/>
    <w:rsid w:val="00321F5D"/>
    <w:rsid w:val="003220BF"/>
    <w:rsid w:val="00322511"/>
    <w:rsid w:val="003226EB"/>
    <w:rsid w:val="003227D1"/>
    <w:rsid w:val="003228B0"/>
    <w:rsid w:val="0032293C"/>
    <w:rsid w:val="00322A75"/>
    <w:rsid w:val="00322F7A"/>
    <w:rsid w:val="00323060"/>
    <w:rsid w:val="003232FD"/>
    <w:rsid w:val="003235C5"/>
    <w:rsid w:val="003239F3"/>
    <w:rsid w:val="00323FDB"/>
    <w:rsid w:val="003245FD"/>
    <w:rsid w:val="00324683"/>
    <w:rsid w:val="00324BB9"/>
    <w:rsid w:val="0032504B"/>
    <w:rsid w:val="003250F2"/>
    <w:rsid w:val="0032526C"/>
    <w:rsid w:val="00325332"/>
    <w:rsid w:val="0032548E"/>
    <w:rsid w:val="00325B31"/>
    <w:rsid w:val="00325BF6"/>
    <w:rsid w:val="00325D7C"/>
    <w:rsid w:val="003265FB"/>
    <w:rsid w:val="00326A6B"/>
    <w:rsid w:val="00326FD4"/>
    <w:rsid w:val="003272EC"/>
    <w:rsid w:val="00327452"/>
    <w:rsid w:val="003275C7"/>
    <w:rsid w:val="0032781A"/>
    <w:rsid w:val="00327B7B"/>
    <w:rsid w:val="0033031F"/>
    <w:rsid w:val="003308C5"/>
    <w:rsid w:val="003309E5"/>
    <w:rsid w:val="00330B88"/>
    <w:rsid w:val="0033116A"/>
    <w:rsid w:val="003317B5"/>
    <w:rsid w:val="00331890"/>
    <w:rsid w:val="00331A05"/>
    <w:rsid w:val="00331B52"/>
    <w:rsid w:val="0033226F"/>
    <w:rsid w:val="00332272"/>
    <w:rsid w:val="00332765"/>
    <w:rsid w:val="00332966"/>
    <w:rsid w:val="00332CD2"/>
    <w:rsid w:val="00332DD1"/>
    <w:rsid w:val="00333028"/>
    <w:rsid w:val="003335A5"/>
    <w:rsid w:val="00333DEE"/>
    <w:rsid w:val="00334833"/>
    <w:rsid w:val="003348C4"/>
    <w:rsid w:val="00334A3F"/>
    <w:rsid w:val="00334ADD"/>
    <w:rsid w:val="00334CF7"/>
    <w:rsid w:val="00334DE4"/>
    <w:rsid w:val="0033506F"/>
    <w:rsid w:val="00335129"/>
    <w:rsid w:val="0033538C"/>
    <w:rsid w:val="003353F9"/>
    <w:rsid w:val="00335448"/>
    <w:rsid w:val="003356A7"/>
    <w:rsid w:val="003357CA"/>
    <w:rsid w:val="00335B43"/>
    <w:rsid w:val="00335D60"/>
    <w:rsid w:val="003360B8"/>
    <w:rsid w:val="0033697C"/>
    <w:rsid w:val="00336A44"/>
    <w:rsid w:val="00336D12"/>
    <w:rsid w:val="003374F0"/>
    <w:rsid w:val="00337A58"/>
    <w:rsid w:val="00337C09"/>
    <w:rsid w:val="00337EDD"/>
    <w:rsid w:val="00340022"/>
    <w:rsid w:val="00340549"/>
    <w:rsid w:val="00340AF2"/>
    <w:rsid w:val="00340FA5"/>
    <w:rsid w:val="00340FD3"/>
    <w:rsid w:val="0034137C"/>
    <w:rsid w:val="0034164C"/>
    <w:rsid w:val="00341A09"/>
    <w:rsid w:val="003420F9"/>
    <w:rsid w:val="0034241B"/>
    <w:rsid w:val="00343517"/>
    <w:rsid w:val="00343CCF"/>
    <w:rsid w:val="00343FB4"/>
    <w:rsid w:val="0034404D"/>
    <w:rsid w:val="0034445F"/>
    <w:rsid w:val="0034460D"/>
    <w:rsid w:val="00344B63"/>
    <w:rsid w:val="003452F0"/>
    <w:rsid w:val="00345736"/>
    <w:rsid w:val="00345ACC"/>
    <w:rsid w:val="00345AEF"/>
    <w:rsid w:val="003460F5"/>
    <w:rsid w:val="003462D5"/>
    <w:rsid w:val="0034637D"/>
    <w:rsid w:val="00347144"/>
    <w:rsid w:val="0034717F"/>
    <w:rsid w:val="00347281"/>
    <w:rsid w:val="003473D3"/>
    <w:rsid w:val="00347B2F"/>
    <w:rsid w:val="00347FE3"/>
    <w:rsid w:val="0035017D"/>
    <w:rsid w:val="003501B8"/>
    <w:rsid w:val="003505A5"/>
    <w:rsid w:val="0035071F"/>
    <w:rsid w:val="00350829"/>
    <w:rsid w:val="003508C6"/>
    <w:rsid w:val="00350E62"/>
    <w:rsid w:val="00350FAB"/>
    <w:rsid w:val="0035107A"/>
    <w:rsid w:val="003511D6"/>
    <w:rsid w:val="0035125F"/>
    <w:rsid w:val="003515C3"/>
    <w:rsid w:val="003516EB"/>
    <w:rsid w:val="00351F2F"/>
    <w:rsid w:val="00351FBE"/>
    <w:rsid w:val="003521F0"/>
    <w:rsid w:val="00352412"/>
    <w:rsid w:val="00352819"/>
    <w:rsid w:val="00352AE5"/>
    <w:rsid w:val="00352D1F"/>
    <w:rsid w:val="00352DDA"/>
    <w:rsid w:val="0035315A"/>
    <w:rsid w:val="0035331D"/>
    <w:rsid w:val="0035347A"/>
    <w:rsid w:val="0035358B"/>
    <w:rsid w:val="0035368C"/>
    <w:rsid w:val="00353985"/>
    <w:rsid w:val="0035411A"/>
    <w:rsid w:val="0035426D"/>
    <w:rsid w:val="00354363"/>
    <w:rsid w:val="00354636"/>
    <w:rsid w:val="00354644"/>
    <w:rsid w:val="003547ED"/>
    <w:rsid w:val="00354BB9"/>
    <w:rsid w:val="003550FA"/>
    <w:rsid w:val="003555F9"/>
    <w:rsid w:val="00355BA5"/>
    <w:rsid w:val="00355C9A"/>
    <w:rsid w:val="00355CB6"/>
    <w:rsid w:val="003560A0"/>
    <w:rsid w:val="003561F5"/>
    <w:rsid w:val="00356306"/>
    <w:rsid w:val="0035655F"/>
    <w:rsid w:val="0035660D"/>
    <w:rsid w:val="003566D4"/>
    <w:rsid w:val="00357558"/>
    <w:rsid w:val="00357755"/>
    <w:rsid w:val="00357760"/>
    <w:rsid w:val="00357968"/>
    <w:rsid w:val="00357EEC"/>
    <w:rsid w:val="00358914"/>
    <w:rsid w:val="00360018"/>
    <w:rsid w:val="00360325"/>
    <w:rsid w:val="00360611"/>
    <w:rsid w:val="00360744"/>
    <w:rsid w:val="00360FBA"/>
    <w:rsid w:val="003612D4"/>
    <w:rsid w:val="00361810"/>
    <w:rsid w:val="003619D3"/>
    <w:rsid w:val="00361CBF"/>
    <w:rsid w:val="00361D1C"/>
    <w:rsid w:val="00362212"/>
    <w:rsid w:val="003624FB"/>
    <w:rsid w:val="003628FD"/>
    <w:rsid w:val="00362C45"/>
    <w:rsid w:val="0036301E"/>
    <w:rsid w:val="003639CE"/>
    <w:rsid w:val="00363EFE"/>
    <w:rsid w:val="00363F3C"/>
    <w:rsid w:val="00364000"/>
    <w:rsid w:val="0036408F"/>
    <w:rsid w:val="0036432B"/>
    <w:rsid w:val="00364585"/>
    <w:rsid w:val="00364B3D"/>
    <w:rsid w:val="00364E48"/>
    <w:rsid w:val="003655F8"/>
    <w:rsid w:val="003658F0"/>
    <w:rsid w:val="00365B25"/>
    <w:rsid w:val="00365E32"/>
    <w:rsid w:val="00366765"/>
    <w:rsid w:val="003668C8"/>
    <w:rsid w:val="00366C72"/>
    <w:rsid w:val="00366DEE"/>
    <w:rsid w:val="003670A8"/>
    <w:rsid w:val="00367281"/>
    <w:rsid w:val="003672EA"/>
    <w:rsid w:val="00367485"/>
    <w:rsid w:val="00367844"/>
    <w:rsid w:val="003679D2"/>
    <w:rsid w:val="00367EAB"/>
    <w:rsid w:val="003703CC"/>
    <w:rsid w:val="00370A54"/>
    <w:rsid w:val="00370AE5"/>
    <w:rsid w:val="00370D73"/>
    <w:rsid w:val="003713E7"/>
    <w:rsid w:val="00371471"/>
    <w:rsid w:val="003719E8"/>
    <w:rsid w:val="00371C31"/>
    <w:rsid w:val="00371FA8"/>
    <w:rsid w:val="003720BA"/>
    <w:rsid w:val="00372627"/>
    <w:rsid w:val="003728CC"/>
    <w:rsid w:val="003728CE"/>
    <w:rsid w:val="00372B78"/>
    <w:rsid w:val="00372D1F"/>
    <w:rsid w:val="00372E88"/>
    <w:rsid w:val="00372F19"/>
    <w:rsid w:val="0037304E"/>
    <w:rsid w:val="00373425"/>
    <w:rsid w:val="0037377A"/>
    <w:rsid w:val="0037384F"/>
    <w:rsid w:val="0037393F"/>
    <w:rsid w:val="003739FF"/>
    <w:rsid w:val="00373AD0"/>
    <w:rsid w:val="00373F14"/>
    <w:rsid w:val="00374374"/>
    <w:rsid w:val="00374574"/>
    <w:rsid w:val="003746D1"/>
    <w:rsid w:val="00374849"/>
    <w:rsid w:val="00374AD1"/>
    <w:rsid w:val="00374AF3"/>
    <w:rsid w:val="00374ED1"/>
    <w:rsid w:val="003750EC"/>
    <w:rsid w:val="00375153"/>
    <w:rsid w:val="00375154"/>
    <w:rsid w:val="00375C60"/>
    <w:rsid w:val="00375D19"/>
    <w:rsid w:val="0037602C"/>
    <w:rsid w:val="0037658F"/>
    <w:rsid w:val="00376C9A"/>
    <w:rsid w:val="00376DF2"/>
    <w:rsid w:val="00376FD5"/>
    <w:rsid w:val="003773FB"/>
    <w:rsid w:val="00377A11"/>
    <w:rsid w:val="00377CB8"/>
    <w:rsid w:val="00377CD4"/>
    <w:rsid w:val="0037C7A2"/>
    <w:rsid w:val="00380191"/>
    <w:rsid w:val="003801B8"/>
    <w:rsid w:val="003804C5"/>
    <w:rsid w:val="00380814"/>
    <w:rsid w:val="00380BBC"/>
    <w:rsid w:val="0038121E"/>
    <w:rsid w:val="0038130C"/>
    <w:rsid w:val="00381311"/>
    <w:rsid w:val="003816C1"/>
    <w:rsid w:val="00381713"/>
    <w:rsid w:val="00381B46"/>
    <w:rsid w:val="00381CDD"/>
    <w:rsid w:val="00381D63"/>
    <w:rsid w:val="00381EAC"/>
    <w:rsid w:val="00382064"/>
    <w:rsid w:val="003829DF"/>
    <w:rsid w:val="00382B95"/>
    <w:rsid w:val="00382D62"/>
    <w:rsid w:val="00382FE8"/>
    <w:rsid w:val="00383164"/>
    <w:rsid w:val="00383353"/>
    <w:rsid w:val="00383F86"/>
    <w:rsid w:val="00384026"/>
    <w:rsid w:val="00384216"/>
    <w:rsid w:val="003842EE"/>
    <w:rsid w:val="003848DA"/>
    <w:rsid w:val="00384C6D"/>
    <w:rsid w:val="00385B17"/>
    <w:rsid w:val="00385DD0"/>
    <w:rsid w:val="00385F75"/>
    <w:rsid w:val="003862C7"/>
    <w:rsid w:val="00386576"/>
    <w:rsid w:val="00387117"/>
    <w:rsid w:val="003875F0"/>
    <w:rsid w:val="00387934"/>
    <w:rsid w:val="00387A22"/>
    <w:rsid w:val="00387E08"/>
    <w:rsid w:val="00387EAF"/>
    <w:rsid w:val="0039089B"/>
    <w:rsid w:val="00390A4F"/>
    <w:rsid w:val="00390C58"/>
    <w:rsid w:val="00390CF2"/>
    <w:rsid w:val="0039139B"/>
    <w:rsid w:val="00391680"/>
    <w:rsid w:val="003926C0"/>
    <w:rsid w:val="003928D2"/>
    <w:rsid w:val="00392B39"/>
    <w:rsid w:val="003932F8"/>
    <w:rsid w:val="0039347A"/>
    <w:rsid w:val="003938B8"/>
    <w:rsid w:val="00393D53"/>
    <w:rsid w:val="00394914"/>
    <w:rsid w:val="00394999"/>
    <w:rsid w:val="00394B7E"/>
    <w:rsid w:val="00394C86"/>
    <w:rsid w:val="00394F9E"/>
    <w:rsid w:val="00395226"/>
    <w:rsid w:val="003952E3"/>
    <w:rsid w:val="0039565B"/>
    <w:rsid w:val="0039574D"/>
    <w:rsid w:val="00395822"/>
    <w:rsid w:val="00395C8A"/>
    <w:rsid w:val="00395EB3"/>
    <w:rsid w:val="0039626D"/>
    <w:rsid w:val="00396A1B"/>
    <w:rsid w:val="00396B5E"/>
    <w:rsid w:val="0039785C"/>
    <w:rsid w:val="003978C2"/>
    <w:rsid w:val="00397DCD"/>
    <w:rsid w:val="00397F6A"/>
    <w:rsid w:val="003A00BE"/>
    <w:rsid w:val="003A0261"/>
    <w:rsid w:val="003A0724"/>
    <w:rsid w:val="003A0DBC"/>
    <w:rsid w:val="003A1AF8"/>
    <w:rsid w:val="003A1CAA"/>
    <w:rsid w:val="003A1D43"/>
    <w:rsid w:val="003A1D88"/>
    <w:rsid w:val="003A1FCE"/>
    <w:rsid w:val="003A2019"/>
    <w:rsid w:val="003A2601"/>
    <w:rsid w:val="003A280B"/>
    <w:rsid w:val="003A331E"/>
    <w:rsid w:val="003A3585"/>
    <w:rsid w:val="003A3B60"/>
    <w:rsid w:val="003A3D69"/>
    <w:rsid w:val="003A42A7"/>
    <w:rsid w:val="003A4622"/>
    <w:rsid w:val="003A465D"/>
    <w:rsid w:val="003A495F"/>
    <w:rsid w:val="003A49F1"/>
    <w:rsid w:val="003A4DA3"/>
    <w:rsid w:val="003A4E81"/>
    <w:rsid w:val="003A4F83"/>
    <w:rsid w:val="003A5038"/>
    <w:rsid w:val="003A522C"/>
    <w:rsid w:val="003A5564"/>
    <w:rsid w:val="003A5A44"/>
    <w:rsid w:val="003A5A9B"/>
    <w:rsid w:val="003A62C2"/>
    <w:rsid w:val="003A66F1"/>
    <w:rsid w:val="003A6D07"/>
    <w:rsid w:val="003A7193"/>
    <w:rsid w:val="003A73CF"/>
    <w:rsid w:val="003A7DA0"/>
    <w:rsid w:val="003A7FC5"/>
    <w:rsid w:val="003AA939"/>
    <w:rsid w:val="003B02F4"/>
    <w:rsid w:val="003B0610"/>
    <w:rsid w:val="003B06AD"/>
    <w:rsid w:val="003B0884"/>
    <w:rsid w:val="003B0DBF"/>
    <w:rsid w:val="003B0DC5"/>
    <w:rsid w:val="003B0DF0"/>
    <w:rsid w:val="003B1494"/>
    <w:rsid w:val="003B14F3"/>
    <w:rsid w:val="003B15E1"/>
    <w:rsid w:val="003B19D6"/>
    <w:rsid w:val="003B1AA4"/>
    <w:rsid w:val="003B1D10"/>
    <w:rsid w:val="003B23A0"/>
    <w:rsid w:val="003B2415"/>
    <w:rsid w:val="003B28D3"/>
    <w:rsid w:val="003B2B4A"/>
    <w:rsid w:val="003B2B54"/>
    <w:rsid w:val="003B2E1A"/>
    <w:rsid w:val="003B3270"/>
    <w:rsid w:val="003B34AA"/>
    <w:rsid w:val="003B39C8"/>
    <w:rsid w:val="003B3E61"/>
    <w:rsid w:val="003B3E74"/>
    <w:rsid w:val="003B3E93"/>
    <w:rsid w:val="003B3FF7"/>
    <w:rsid w:val="003B42EA"/>
    <w:rsid w:val="003B4367"/>
    <w:rsid w:val="003B45BE"/>
    <w:rsid w:val="003B4A28"/>
    <w:rsid w:val="003B4B7E"/>
    <w:rsid w:val="003B4C8A"/>
    <w:rsid w:val="003B52E8"/>
    <w:rsid w:val="003B53EB"/>
    <w:rsid w:val="003B58F6"/>
    <w:rsid w:val="003B5C69"/>
    <w:rsid w:val="003B6C65"/>
    <w:rsid w:val="003B6E27"/>
    <w:rsid w:val="003B7257"/>
    <w:rsid w:val="003B7267"/>
    <w:rsid w:val="003B742B"/>
    <w:rsid w:val="003B76FC"/>
    <w:rsid w:val="003B7B0F"/>
    <w:rsid w:val="003B7BBB"/>
    <w:rsid w:val="003C03AB"/>
    <w:rsid w:val="003C07C0"/>
    <w:rsid w:val="003C0C70"/>
    <w:rsid w:val="003C1455"/>
    <w:rsid w:val="003C1A69"/>
    <w:rsid w:val="003C1BDF"/>
    <w:rsid w:val="003C1FED"/>
    <w:rsid w:val="003C2468"/>
    <w:rsid w:val="003C2699"/>
    <w:rsid w:val="003C279F"/>
    <w:rsid w:val="003C2BB1"/>
    <w:rsid w:val="003C2F3B"/>
    <w:rsid w:val="003C3308"/>
    <w:rsid w:val="003C33B1"/>
    <w:rsid w:val="003C3470"/>
    <w:rsid w:val="003C36EE"/>
    <w:rsid w:val="003C3E33"/>
    <w:rsid w:val="003C490E"/>
    <w:rsid w:val="003C49A5"/>
    <w:rsid w:val="003C4BF6"/>
    <w:rsid w:val="003C4CAA"/>
    <w:rsid w:val="003C5569"/>
    <w:rsid w:val="003C588D"/>
    <w:rsid w:val="003C5C1D"/>
    <w:rsid w:val="003C6554"/>
    <w:rsid w:val="003C6C9E"/>
    <w:rsid w:val="003C6DAF"/>
    <w:rsid w:val="003C725E"/>
    <w:rsid w:val="003C7413"/>
    <w:rsid w:val="003C7C37"/>
    <w:rsid w:val="003C7F5F"/>
    <w:rsid w:val="003C7F8D"/>
    <w:rsid w:val="003D0198"/>
    <w:rsid w:val="003D034F"/>
    <w:rsid w:val="003D0428"/>
    <w:rsid w:val="003D0577"/>
    <w:rsid w:val="003D06EA"/>
    <w:rsid w:val="003D0AF4"/>
    <w:rsid w:val="003D0B7B"/>
    <w:rsid w:val="003D0F29"/>
    <w:rsid w:val="003D1266"/>
    <w:rsid w:val="003D1457"/>
    <w:rsid w:val="003D1641"/>
    <w:rsid w:val="003D1AC7"/>
    <w:rsid w:val="003D1C6D"/>
    <w:rsid w:val="003D1F5E"/>
    <w:rsid w:val="003D20CD"/>
    <w:rsid w:val="003D215F"/>
    <w:rsid w:val="003D2288"/>
    <w:rsid w:val="003D261F"/>
    <w:rsid w:val="003D288A"/>
    <w:rsid w:val="003D29E1"/>
    <w:rsid w:val="003D32B7"/>
    <w:rsid w:val="003D33E1"/>
    <w:rsid w:val="003D36A0"/>
    <w:rsid w:val="003D39BE"/>
    <w:rsid w:val="003D3BDE"/>
    <w:rsid w:val="003D3FD5"/>
    <w:rsid w:val="003D41F5"/>
    <w:rsid w:val="003D4682"/>
    <w:rsid w:val="003D468C"/>
    <w:rsid w:val="003D4EF4"/>
    <w:rsid w:val="003D4F4C"/>
    <w:rsid w:val="003D4F88"/>
    <w:rsid w:val="003D564F"/>
    <w:rsid w:val="003D5924"/>
    <w:rsid w:val="003D62DD"/>
    <w:rsid w:val="003D63D3"/>
    <w:rsid w:val="003D686E"/>
    <w:rsid w:val="003D6B10"/>
    <w:rsid w:val="003D6D74"/>
    <w:rsid w:val="003D6F1B"/>
    <w:rsid w:val="003D73F2"/>
    <w:rsid w:val="003E00D4"/>
    <w:rsid w:val="003E041B"/>
    <w:rsid w:val="003E0678"/>
    <w:rsid w:val="003E06E5"/>
    <w:rsid w:val="003E08BD"/>
    <w:rsid w:val="003E08D9"/>
    <w:rsid w:val="003E0DB8"/>
    <w:rsid w:val="003E0ECB"/>
    <w:rsid w:val="003E1153"/>
    <w:rsid w:val="003E1626"/>
    <w:rsid w:val="003E1696"/>
    <w:rsid w:val="003E1ABB"/>
    <w:rsid w:val="003E1C34"/>
    <w:rsid w:val="003E1EEA"/>
    <w:rsid w:val="003E2049"/>
    <w:rsid w:val="003E2754"/>
    <w:rsid w:val="003E2F71"/>
    <w:rsid w:val="003E308D"/>
    <w:rsid w:val="003E31C9"/>
    <w:rsid w:val="003E3283"/>
    <w:rsid w:val="003E3987"/>
    <w:rsid w:val="003E3EF9"/>
    <w:rsid w:val="003E4532"/>
    <w:rsid w:val="003E4534"/>
    <w:rsid w:val="003E4B9D"/>
    <w:rsid w:val="003E57F0"/>
    <w:rsid w:val="003E59C5"/>
    <w:rsid w:val="003E5CB7"/>
    <w:rsid w:val="003E5DC1"/>
    <w:rsid w:val="003E60E0"/>
    <w:rsid w:val="003E621C"/>
    <w:rsid w:val="003E6823"/>
    <w:rsid w:val="003E704D"/>
    <w:rsid w:val="003E71B1"/>
    <w:rsid w:val="003E7245"/>
    <w:rsid w:val="003E7314"/>
    <w:rsid w:val="003E75E5"/>
    <w:rsid w:val="003E7653"/>
    <w:rsid w:val="003E7A96"/>
    <w:rsid w:val="003E7DFB"/>
    <w:rsid w:val="003E7E7C"/>
    <w:rsid w:val="003F0415"/>
    <w:rsid w:val="003F04B3"/>
    <w:rsid w:val="003F06C9"/>
    <w:rsid w:val="003F0703"/>
    <w:rsid w:val="003F08B8"/>
    <w:rsid w:val="003F0A41"/>
    <w:rsid w:val="003F0F91"/>
    <w:rsid w:val="003F0FD8"/>
    <w:rsid w:val="003F1134"/>
    <w:rsid w:val="003F1650"/>
    <w:rsid w:val="003F1772"/>
    <w:rsid w:val="003F1ED1"/>
    <w:rsid w:val="003F1F8A"/>
    <w:rsid w:val="003F20DD"/>
    <w:rsid w:val="003F2727"/>
    <w:rsid w:val="003F3105"/>
    <w:rsid w:val="003F3188"/>
    <w:rsid w:val="003F31F1"/>
    <w:rsid w:val="003F36B8"/>
    <w:rsid w:val="003F372F"/>
    <w:rsid w:val="003F37E3"/>
    <w:rsid w:val="003F3A06"/>
    <w:rsid w:val="003F3B0F"/>
    <w:rsid w:val="003F3CEF"/>
    <w:rsid w:val="003F448B"/>
    <w:rsid w:val="003F482A"/>
    <w:rsid w:val="003F483A"/>
    <w:rsid w:val="003F4849"/>
    <w:rsid w:val="003F4B0C"/>
    <w:rsid w:val="003F506C"/>
    <w:rsid w:val="003F5231"/>
    <w:rsid w:val="003F5381"/>
    <w:rsid w:val="003F538E"/>
    <w:rsid w:val="003F5BA8"/>
    <w:rsid w:val="003F5C9C"/>
    <w:rsid w:val="003F5E63"/>
    <w:rsid w:val="003F625D"/>
    <w:rsid w:val="003F62DA"/>
    <w:rsid w:val="003F6406"/>
    <w:rsid w:val="003F661C"/>
    <w:rsid w:val="003F6E8C"/>
    <w:rsid w:val="003F6E9F"/>
    <w:rsid w:val="003F6F6A"/>
    <w:rsid w:val="003F6F6E"/>
    <w:rsid w:val="003F6F9A"/>
    <w:rsid w:val="003F70EC"/>
    <w:rsid w:val="003F7AC6"/>
    <w:rsid w:val="00400216"/>
    <w:rsid w:val="00400B4F"/>
    <w:rsid w:val="00400ED4"/>
    <w:rsid w:val="004010FE"/>
    <w:rsid w:val="0040111B"/>
    <w:rsid w:val="004013CE"/>
    <w:rsid w:val="0040145C"/>
    <w:rsid w:val="00401850"/>
    <w:rsid w:val="004018FC"/>
    <w:rsid w:val="00401965"/>
    <w:rsid w:val="00401E51"/>
    <w:rsid w:val="0040210B"/>
    <w:rsid w:val="0040232B"/>
    <w:rsid w:val="0040257A"/>
    <w:rsid w:val="004027CB"/>
    <w:rsid w:val="004028E7"/>
    <w:rsid w:val="00402D6D"/>
    <w:rsid w:val="00403009"/>
    <w:rsid w:val="004034AA"/>
    <w:rsid w:val="004039F5"/>
    <w:rsid w:val="00403A0E"/>
    <w:rsid w:val="00403B18"/>
    <w:rsid w:val="00404282"/>
    <w:rsid w:val="00404BFD"/>
    <w:rsid w:val="00405087"/>
    <w:rsid w:val="004050FE"/>
    <w:rsid w:val="004051C9"/>
    <w:rsid w:val="0040554E"/>
    <w:rsid w:val="00405671"/>
    <w:rsid w:val="00405F4B"/>
    <w:rsid w:val="004060E2"/>
    <w:rsid w:val="0040644B"/>
    <w:rsid w:val="00406534"/>
    <w:rsid w:val="00406892"/>
    <w:rsid w:val="00406C75"/>
    <w:rsid w:val="00406E2D"/>
    <w:rsid w:val="00406F26"/>
    <w:rsid w:val="00407313"/>
    <w:rsid w:val="00407EDA"/>
    <w:rsid w:val="00411254"/>
    <w:rsid w:val="004116B7"/>
    <w:rsid w:val="00411817"/>
    <w:rsid w:val="00412419"/>
    <w:rsid w:val="00412FD9"/>
    <w:rsid w:val="004130DB"/>
    <w:rsid w:val="004136FD"/>
    <w:rsid w:val="00413D28"/>
    <w:rsid w:val="00414174"/>
    <w:rsid w:val="00414235"/>
    <w:rsid w:val="00414466"/>
    <w:rsid w:val="00414E43"/>
    <w:rsid w:val="004155D3"/>
    <w:rsid w:val="00415654"/>
    <w:rsid w:val="0041586C"/>
    <w:rsid w:val="0041587F"/>
    <w:rsid w:val="00415ACC"/>
    <w:rsid w:val="00415B27"/>
    <w:rsid w:val="00416010"/>
    <w:rsid w:val="00416102"/>
    <w:rsid w:val="0041626F"/>
    <w:rsid w:val="00416BCE"/>
    <w:rsid w:val="00416DF6"/>
    <w:rsid w:val="00416E37"/>
    <w:rsid w:val="00416E52"/>
    <w:rsid w:val="00416FED"/>
    <w:rsid w:val="0041726F"/>
    <w:rsid w:val="0041738E"/>
    <w:rsid w:val="00417A56"/>
    <w:rsid w:val="00417AC6"/>
    <w:rsid w:val="00420B95"/>
    <w:rsid w:val="00420D5B"/>
    <w:rsid w:val="00420E37"/>
    <w:rsid w:val="00421040"/>
    <w:rsid w:val="00421075"/>
    <w:rsid w:val="0042138D"/>
    <w:rsid w:val="00421429"/>
    <w:rsid w:val="004218F2"/>
    <w:rsid w:val="00421D6B"/>
    <w:rsid w:val="00421F33"/>
    <w:rsid w:val="0042251E"/>
    <w:rsid w:val="0042298D"/>
    <w:rsid w:val="00422C65"/>
    <w:rsid w:val="004233EB"/>
    <w:rsid w:val="00423CDD"/>
    <w:rsid w:val="00424534"/>
    <w:rsid w:val="00424B69"/>
    <w:rsid w:val="00424BB6"/>
    <w:rsid w:val="00424E09"/>
    <w:rsid w:val="004253C8"/>
    <w:rsid w:val="004254AB"/>
    <w:rsid w:val="00425541"/>
    <w:rsid w:val="00425B20"/>
    <w:rsid w:val="00425C35"/>
    <w:rsid w:val="00425D48"/>
    <w:rsid w:val="00425D7D"/>
    <w:rsid w:val="00425EC5"/>
    <w:rsid w:val="00425F14"/>
    <w:rsid w:val="00426782"/>
    <w:rsid w:val="00426C33"/>
    <w:rsid w:val="00426F45"/>
    <w:rsid w:val="00427548"/>
    <w:rsid w:val="00427591"/>
    <w:rsid w:val="00427720"/>
    <w:rsid w:val="004277AC"/>
    <w:rsid w:val="004305C5"/>
    <w:rsid w:val="00430881"/>
    <w:rsid w:val="00430C7E"/>
    <w:rsid w:val="00431195"/>
    <w:rsid w:val="00431283"/>
    <w:rsid w:val="004313EB"/>
    <w:rsid w:val="004318D9"/>
    <w:rsid w:val="004319DF"/>
    <w:rsid w:val="00431CD5"/>
    <w:rsid w:val="00431E85"/>
    <w:rsid w:val="00432217"/>
    <w:rsid w:val="00432268"/>
    <w:rsid w:val="004324BC"/>
    <w:rsid w:val="00432A2A"/>
    <w:rsid w:val="00433571"/>
    <w:rsid w:val="00433581"/>
    <w:rsid w:val="0043408B"/>
    <w:rsid w:val="00434440"/>
    <w:rsid w:val="004345CC"/>
    <w:rsid w:val="0043477F"/>
    <w:rsid w:val="00434788"/>
    <w:rsid w:val="00434792"/>
    <w:rsid w:val="004348C2"/>
    <w:rsid w:val="00434961"/>
    <w:rsid w:val="00435051"/>
    <w:rsid w:val="004353A5"/>
    <w:rsid w:val="004355AD"/>
    <w:rsid w:val="00435723"/>
    <w:rsid w:val="0043589B"/>
    <w:rsid w:val="00435AEB"/>
    <w:rsid w:val="00435B56"/>
    <w:rsid w:val="00436549"/>
    <w:rsid w:val="00436842"/>
    <w:rsid w:val="00436A58"/>
    <w:rsid w:val="00436B29"/>
    <w:rsid w:val="00437B41"/>
    <w:rsid w:val="00437B6F"/>
    <w:rsid w:val="00440479"/>
    <w:rsid w:val="00440727"/>
    <w:rsid w:val="004407A4"/>
    <w:rsid w:val="004407C9"/>
    <w:rsid w:val="0044101D"/>
    <w:rsid w:val="00441571"/>
    <w:rsid w:val="00441774"/>
    <w:rsid w:val="00441A9E"/>
    <w:rsid w:val="00441CE9"/>
    <w:rsid w:val="004422F7"/>
    <w:rsid w:val="004426DE"/>
    <w:rsid w:val="0044288D"/>
    <w:rsid w:val="00442890"/>
    <w:rsid w:val="004429D6"/>
    <w:rsid w:val="00442AC1"/>
    <w:rsid w:val="00442B9A"/>
    <w:rsid w:val="00442F3E"/>
    <w:rsid w:val="00443177"/>
    <w:rsid w:val="00443454"/>
    <w:rsid w:val="00443475"/>
    <w:rsid w:val="00443520"/>
    <w:rsid w:val="00443890"/>
    <w:rsid w:val="00443A66"/>
    <w:rsid w:val="00443EEE"/>
    <w:rsid w:val="00444215"/>
    <w:rsid w:val="004443F9"/>
    <w:rsid w:val="004447BE"/>
    <w:rsid w:val="00444AE2"/>
    <w:rsid w:val="00444BEB"/>
    <w:rsid w:val="00444D62"/>
    <w:rsid w:val="0044509B"/>
    <w:rsid w:val="00445322"/>
    <w:rsid w:val="00445FF9"/>
    <w:rsid w:val="0044677A"/>
    <w:rsid w:val="004468FE"/>
    <w:rsid w:val="00446947"/>
    <w:rsid w:val="00446A97"/>
    <w:rsid w:val="00446C4E"/>
    <w:rsid w:val="00447295"/>
    <w:rsid w:val="00447586"/>
    <w:rsid w:val="004475EB"/>
    <w:rsid w:val="00447872"/>
    <w:rsid w:val="0044787F"/>
    <w:rsid w:val="00447969"/>
    <w:rsid w:val="00447A69"/>
    <w:rsid w:val="00447E0C"/>
    <w:rsid w:val="004501DA"/>
    <w:rsid w:val="00450322"/>
    <w:rsid w:val="004506E4"/>
    <w:rsid w:val="00450A9C"/>
    <w:rsid w:val="00450B18"/>
    <w:rsid w:val="00450C71"/>
    <w:rsid w:val="00450D0D"/>
    <w:rsid w:val="00450D45"/>
    <w:rsid w:val="00450EF4"/>
    <w:rsid w:val="004512B6"/>
    <w:rsid w:val="00451567"/>
    <w:rsid w:val="00451792"/>
    <w:rsid w:val="00451822"/>
    <w:rsid w:val="0045182C"/>
    <w:rsid w:val="00451FB4"/>
    <w:rsid w:val="004527AA"/>
    <w:rsid w:val="004529CE"/>
    <w:rsid w:val="00452A24"/>
    <w:rsid w:val="00452AF0"/>
    <w:rsid w:val="00452AFD"/>
    <w:rsid w:val="00452C81"/>
    <w:rsid w:val="00452C85"/>
    <w:rsid w:val="00452D9C"/>
    <w:rsid w:val="00452E04"/>
    <w:rsid w:val="004532E1"/>
    <w:rsid w:val="0045334F"/>
    <w:rsid w:val="0045368E"/>
    <w:rsid w:val="0045379D"/>
    <w:rsid w:val="00453849"/>
    <w:rsid w:val="00453866"/>
    <w:rsid w:val="004539C2"/>
    <w:rsid w:val="00453B55"/>
    <w:rsid w:val="00453E6F"/>
    <w:rsid w:val="00454B7E"/>
    <w:rsid w:val="00454DDA"/>
    <w:rsid w:val="00455221"/>
    <w:rsid w:val="00455DD3"/>
    <w:rsid w:val="00455FCF"/>
    <w:rsid w:val="004560E1"/>
    <w:rsid w:val="0045625A"/>
    <w:rsid w:val="0045640A"/>
    <w:rsid w:val="0045683F"/>
    <w:rsid w:val="00456B28"/>
    <w:rsid w:val="00456C44"/>
    <w:rsid w:val="004570F7"/>
    <w:rsid w:val="00457282"/>
    <w:rsid w:val="00457350"/>
    <w:rsid w:val="00457792"/>
    <w:rsid w:val="00457AF5"/>
    <w:rsid w:val="00460332"/>
    <w:rsid w:val="004604D4"/>
    <w:rsid w:val="00460A37"/>
    <w:rsid w:val="00460BD0"/>
    <w:rsid w:val="00460C13"/>
    <w:rsid w:val="00461172"/>
    <w:rsid w:val="004612B7"/>
    <w:rsid w:val="004615C3"/>
    <w:rsid w:val="0046195E"/>
    <w:rsid w:val="00461CB2"/>
    <w:rsid w:val="00461CE8"/>
    <w:rsid w:val="00461E16"/>
    <w:rsid w:val="00462354"/>
    <w:rsid w:val="004629A8"/>
    <w:rsid w:val="00462B65"/>
    <w:rsid w:val="00462EF8"/>
    <w:rsid w:val="0046324B"/>
    <w:rsid w:val="004636E7"/>
    <w:rsid w:val="00463B28"/>
    <w:rsid w:val="00463B4D"/>
    <w:rsid w:val="00463D5B"/>
    <w:rsid w:val="00463F77"/>
    <w:rsid w:val="0046422C"/>
    <w:rsid w:val="0046475A"/>
    <w:rsid w:val="00464879"/>
    <w:rsid w:val="004649B6"/>
    <w:rsid w:val="00464A96"/>
    <w:rsid w:val="00464B48"/>
    <w:rsid w:val="00464BE7"/>
    <w:rsid w:val="00465888"/>
    <w:rsid w:val="00465FB8"/>
    <w:rsid w:val="00466013"/>
    <w:rsid w:val="00466582"/>
    <w:rsid w:val="00466DF2"/>
    <w:rsid w:val="00467097"/>
    <w:rsid w:val="004674AD"/>
    <w:rsid w:val="0046784A"/>
    <w:rsid w:val="00470695"/>
    <w:rsid w:val="00470E18"/>
    <w:rsid w:val="004713D3"/>
    <w:rsid w:val="00471416"/>
    <w:rsid w:val="004715BA"/>
    <w:rsid w:val="004720DA"/>
    <w:rsid w:val="00472581"/>
    <w:rsid w:val="004726E8"/>
    <w:rsid w:val="004728F4"/>
    <w:rsid w:val="00472A29"/>
    <w:rsid w:val="00472AA6"/>
    <w:rsid w:val="00472CA7"/>
    <w:rsid w:val="00472F5C"/>
    <w:rsid w:val="00473500"/>
    <w:rsid w:val="0047361C"/>
    <w:rsid w:val="00473796"/>
    <w:rsid w:val="00473940"/>
    <w:rsid w:val="00473DD4"/>
    <w:rsid w:val="00474079"/>
    <w:rsid w:val="0047426E"/>
    <w:rsid w:val="0047451C"/>
    <w:rsid w:val="00475200"/>
    <w:rsid w:val="00475284"/>
    <w:rsid w:val="00475477"/>
    <w:rsid w:val="00475570"/>
    <w:rsid w:val="00475589"/>
    <w:rsid w:val="00475795"/>
    <w:rsid w:val="004758E3"/>
    <w:rsid w:val="00475C64"/>
    <w:rsid w:val="00475CD5"/>
    <w:rsid w:val="00475D6B"/>
    <w:rsid w:val="0047618B"/>
    <w:rsid w:val="004764ED"/>
    <w:rsid w:val="00476650"/>
    <w:rsid w:val="004769E6"/>
    <w:rsid w:val="00476C0C"/>
    <w:rsid w:val="00476EB3"/>
    <w:rsid w:val="0047723B"/>
    <w:rsid w:val="00477358"/>
    <w:rsid w:val="004775BA"/>
    <w:rsid w:val="004775FC"/>
    <w:rsid w:val="00477A4F"/>
    <w:rsid w:val="00477A6D"/>
    <w:rsid w:val="00477C3C"/>
    <w:rsid w:val="00477C96"/>
    <w:rsid w:val="00477DCD"/>
    <w:rsid w:val="0048024D"/>
    <w:rsid w:val="004802DB"/>
    <w:rsid w:val="0048049F"/>
    <w:rsid w:val="004807BB"/>
    <w:rsid w:val="00480ACB"/>
    <w:rsid w:val="00480C12"/>
    <w:rsid w:val="00481631"/>
    <w:rsid w:val="00481CA4"/>
    <w:rsid w:val="00481D84"/>
    <w:rsid w:val="00481FB6"/>
    <w:rsid w:val="004820BD"/>
    <w:rsid w:val="00482604"/>
    <w:rsid w:val="00482B10"/>
    <w:rsid w:val="00482E51"/>
    <w:rsid w:val="00483380"/>
    <w:rsid w:val="00483588"/>
    <w:rsid w:val="00483B05"/>
    <w:rsid w:val="00483E34"/>
    <w:rsid w:val="00483EA3"/>
    <w:rsid w:val="00484556"/>
    <w:rsid w:val="0048496E"/>
    <w:rsid w:val="00484FF1"/>
    <w:rsid w:val="004854DE"/>
    <w:rsid w:val="0048576D"/>
    <w:rsid w:val="004858C5"/>
    <w:rsid w:val="00485B6A"/>
    <w:rsid w:val="0048623E"/>
    <w:rsid w:val="00486B69"/>
    <w:rsid w:val="00487179"/>
    <w:rsid w:val="004879E6"/>
    <w:rsid w:val="00487F5A"/>
    <w:rsid w:val="00490278"/>
    <w:rsid w:val="0049032C"/>
    <w:rsid w:val="00490734"/>
    <w:rsid w:val="00490D47"/>
    <w:rsid w:val="00490F50"/>
    <w:rsid w:val="00490F60"/>
    <w:rsid w:val="004910E4"/>
    <w:rsid w:val="004911E9"/>
    <w:rsid w:val="00491397"/>
    <w:rsid w:val="00491447"/>
    <w:rsid w:val="00491587"/>
    <w:rsid w:val="00491A73"/>
    <w:rsid w:val="00491E68"/>
    <w:rsid w:val="00491F4D"/>
    <w:rsid w:val="0049237F"/>
    <w:rsid w:val="004923EB"/>
    <w:rsid w:val="00493287"/>
    <w:rsid w:val="00493985"/>
    <w:rsid w:val="00493F32"/>
    <w:rsid w:val="00493F8B"/>
    <w:rsid w:val="00494475"/>
    <w:rsid w:val="004947E6"/>
    <w:rsid w:val="00494A73"/>
    <w:rsid w:val="00494D50"/>
    <w:rsid w:val="004951EB"/>
    <w:rsid w:val="004952BA"/>
    <w:rsid w:val="00495D24"/>
    <w:rsid w:val="004960B3"/>
    <w:rsid w:val="00496A95"/>
    <w:rsid w:val="00496EDE"/>
    <w:rsid w:val="00497406"/>
    <w:rsid w:val="0049747D"/>
    <w:rsid w:val="00497590"/>
    <w:rsid w:val="004979C9"/>
    <w:rsid w:val="00497B01"/>
    <w:rsid w:val="0049F176"/>
    <w:rsid w:val="004A017D"/>
    <w:rsid w:val="004A028F"/>
    <w:rsid w:val="004A0560"/>
    <w:rsid w:val="004A05F6"/>
    <w:rsid w:val="004A0DE4"/>
    <w:rsid w:val="004A17F2"/>
    <w:rsid w:val="004A189F"/>
    <w:rsid w:val="004A192E"/>
    <w:rsid w:val="004A1C16"/>
    <w:rsid w:val="004A207A"/>
    <w:rsid w:val="004A266D"/>
    <w:rsid w:val="004A26DF"/>
    <w:rsid w:val="004A284E"/>
    <w:rsid w:val="004A3071"/>
    <w:rsid w:val="004A31CC"/>
    <w:rsid w:val="004A3963"/>
    <w:rsid w:val="004A4A93"/>
    <w:rsid w:val="004A4BDC"/>
    <w:rsid w:val="004A4BF8"/>
    <w:rsid w:val="004A5008"/>
    <w:rsid w:val="004A539B"/>
    <w:rsid w:val="004A53E8"/>
    <w:rsid w:val="004A55D8"/>
    <w:rsid w:val="004A583F"/>
    <w:rsid w:val="004A6125"/>
    <w:rsid w:val="004A61B3"/>
    <w:rsid w:val="004A61BA"/>
    <w:rsid w:val="004A7509"/>
    <w:rsid w:val="004A7DC6"/>
    <w:rsid w:val="004A7FC2"/>
    <w:rsid w:val="004B071C"/>
    <w:rsid w:val="004B089F"/>
    <w:rsid w:val="004B09A6"/>
    <w:rsid w:val="004B0A7D"/>
    <w:rsid w:val="004B0F40"/>
    <w:rsid w:val="004B0FFB"/>
    <w:rsid w:val="004B12C1"/>
    <w:rsid w:val="004B1374"/>
    <w:rsid w:val="004B1496"/>
    <w:rsid w:val="004B1A37"/>
    <w:rsid w:val="004B1B13"/>
    <w:rsid w:val="004B203A"/>
    <w:rsid w:val="004B21F2"/>
    <w:rsid w:val="004B2251"/>
    <w:rsid w:val="004B25ED"/>
    <w:rsid w:val="004B299A"/>
    <w:rsid w:val="004B29D9"/>
    <w:rsid w:val="004B2DE9"/>
    <w:rsid w:val="004B3076"/>
    <w:rsid w:val="004B3492"/>
    <w:rsid w:val="004B37AD"/>
    <w:rsid w:val="004B3F45"/>
    <w:rsid w:val="004B3F52"/>
    <w:rsid w:val="004B40C5"/>
    <w:rsid w:val="004B4100"/>
    <w:rsid w:val="004B423E"/>
    <w:rsid w:val="004B4283"/>
    <w:rsid w:val="004B468D"/>
    <w:rsid w:val="004B490B"/>
    <w:rsid w:val="004B4A04"/>
    <w:rsid w:val="004B4D17"/>
    <w:rsid w:val="004B4F9A"/>
    <w:rsid w:val="004B5155"/>
    <w:rsid w:val="004B5526"/>
    <w:rsid w:val="004B55AC"/>
    <w:rsid w:val="004B59C0"/>
    <w:rsid w:val="004B5A04"/>
    <w:rsid w:val="004B5C32"/>
    <w:rsid w:val="004B656A"/>
    <w:rsid w:val="004B681F"/>
    <w:rsid w:val="004B694C"/>
    <w:rsid w:val="004B6E08"/>
    <w:rsid w:val="004B72EA"/>
    <w:rsid w:val="004B747C"/>
    <w:rsid w:val="004B77F1"/>
    <w:rsid w:val="004B7971"/>
    <w:rsid w:val="004B7D7F"/>
    <w:rsid w:val="004C0173"/>
    <w:rsid w:val="004C023F"/>
    <w:rsid w:val="004C037D"/>
    <w:rsid w:val="004C0524"/>
    <w:rsid w:val="004C13FF"/>
    <w:rsid w:val="004C17DE"/>
    <w:rsid w:val="004C1DFC"/>
    <w:rsid w:val="004C1E3F"/>
    <w:rsid w:val="004C1F95"/>
    <w:rsid w:val="004C3043"/>
    <w:rsid w:val="004C31E6"/>
    <w:rsid w:val="004C3327"/>
    <w:rsid w:val="004C3795"/>
    <w:rsid w:val="004C3F6E"/>
    <w:rsid w:val="004C4131"/>
    <w:rsid w:val="004C4437"/>
    <w:rsid w:val="004C4C98"/>
    <w:rsid w:val="004C4FD4"/>
    <w:rsid w:val="004C50C3"/>
    <w:rsid w:val="004C51E7"/>
    <w:rsid w:val="004C51F9"/>
    <w:rsid w:val="004C58E1"/>
    <w:rsid w:val="004C5B2B"/>
    <w:rsid w:val="004C5C80"/>
    <w:rsid w:val="004C5F0E"/>
    <w:rsid w:val="004C610F"/>
    <w:rsid w:val="004C64AB"/>
    <w:rsid w:val="004C6721"/>
    <w:rsid w:val="004C6D2A"/>
    <w:rsid w:val="004C794B"/>
    <w:rsid w:val="004C7E98"/>
    <w:rsid w:val="004C7F75"/>
    <w:rsid w:val="004D0164"/>
    <w:rsid w:val="004D03A8"/>
    <w:rsid w:val="004D0611"/>
    <w:rsid w:val="004D0846"/>
    <w:rsid w:val="004D13F7"/>
    <w:rsid w:val="004D1753"/>
    <w:rsid w:val="004D1A9C"/>
    <w:rsid w:val="004D1CFD"/>
    <w:rsid w:val="004D1F39"/>
    <w:rsid w:val="004D1F90"/>
    <w:rsid w:val="004D1FDA"/>
    <w:rsid w:val="004D232C"/>
    <w:rsid w:val="004D2337"/>
    <w:rsid w:val="004D23FA"/>
    <w:rsid w:val="004D2871"/>
    <w:rsid w:val="004D2A50"/>
    <w:rsid w:val="004D2CD4"/>
    <w:rsid w:val="004D2F16"/>
    <w:rsid w:val="004D2FAD"/>
    <w:rsid w:val="004D3316"/>
    <w:rsid w:val="004D348B"/>
    <w:rsid w:val="004D3559"/>
    <w:rsid w:val="004D35E2"/>
    <w:rsid w:val="004D37AC"/>
    <w:rsid w:val="004D38BC"/>
    <w:rsid w:val="004D38D8"/>
    <w:rsid w:val="004D3D5B"/>
    <w:rsid w:val="004D3DDC"/>
    <w:rsid w:val="004D419B"/>
    <w:rsid w:val="004D4348"/>
    <w:rsid w:val="004D4E3A"/>
    <w:rsid w:val="004D56F3"/>
    <w:rsid w:val="004D58FB"/>
    <w:rsid w:val="004D5ECD"/>
    <w:rsid w:val="004D63A5"/>
    <w:rsid w:val="004D6A07"/>
    <w:rsid w:val="004D6AEC"/>
    <w:rsid w:val="004D7417"/>
    <w:rsid w:val="004E0365"/>
    <w:rsid w:val="004E086B"/>
    <w:rsid w:val="004E098B"/>
    <w:rsid w:val="004E0BFE"/>
    <w:rsid w:val="004E0C7C"/>
    <w:rsid w:val="004E0E04"/>
    <w:rsid w:val="004E13F3"/>
    <w:rsid w:val="004E1401"/>
    <w:rsid w:val="004E19B7"/>
    <w:rsid w:val="004E1F00"/>
    <w:rsid w:val="004E1F65"/>
    <w:rsid w:val="004E1FD2"/>
    <w:rsid w:val="004E2BA3"/>
    <w:rsid w:val="004E2FBB"/>
    <w:rsid w:val="004E2FF4"/>
    <w:rsid w:val="004E2FFA"/>
    <w:rsid w:val="004E3735"/>
    <w:rsid w:val="004E37CB"/>
    <w:rsid w:val="004E4003"/>
    <w:rsid w:val="004E4947"/>
    <w:rsid w:val="004E502E"/>
    <w:rsid w:val="004E5172"/>
    <w:rsid w:val="004E54F8"/>
    <w:rsid w:val="004E550D"/>
    <w:rsid w:val="004E559A"/>
    <w:rsid w:val="004E6371"/>
    <w:rsid w:val="004E63D1"/>
    <w:rsid w:val="004E648A"/>
    <w:rsid w:val="004E6982"/>
    <w:rsid w:val="004E6BED"/>
    <w:rsid w:val="004E7114"/>
    <w:rsid w:val="004E7196"/>
    <w:rsid w:val="004E7298"/>
    <w:rsid w:val="004E7401"/>
    <w:rsid w:val="004E7590"/>
    <w:rsid w:val="004E772A"/>
    <w:rsid w:val="004E78A5"/>
    <w:rsid w:val="004E7BFE"/>
    <w:rsid w:val="004F05B0"/>
    <w:rsid w:val="004F06BF"/>
    <w:rsid w:val="004F08A2"/>
    <w:rsid w:val="004F0DF8"/>
    <w:rsid w:val="004F11D3"/>
    <w:rsid w:val="004F1240"/>
    <w:rsid w:val="004F12AD"/>
    <w:rsid w:val="004F1553"/>
    <w:rsid w:val="004F194B"/>
    <w:rsid w:val="004F1E22"/>
    <w:rsid w:val="004F2505"/>
    <w:rsid w:val="004F2531"/>
    <w:rsid w:val="004F3ACB"/>
    <w:rsid w:val="004F3ACE"/>
    <w:rsid w:val="004F3DB4"/>
    <w:rsid w:val="004F3DF5"/>
    <w:rsid w:val="004F41A4"/>
    <w:rsid w:val="004F4689"/>
    <w:rsid w:val="004F4937"/>
    <w:rsid w:val="004F4A1F"/>
    <w:rsid w:val="004F4B05"/>
    <w:rsid w:val="004F4DA9"/>
    <w:rsid w:val="004F57DA"/>
    <w:rsid w:val="004F59C0"/>
    <w:rsid w:val="004F6298"/>
    <w:rsid w:val="004F69BD"/>
    <w:rsid w:val="004F762F"/>
    <w:rsid w:val="004F78D6"/>
    <w:rsid w:val="004F7D50"/>
    <w:rsid w:val="004F7E23"/>
    <w:rsid w:val="00500263"/>
    <w:rsid w:val="005007A0"/>
    <w:rsid w:val="0050088D"/>
    <w:rsid w:val="00501006"/>
    <w:rsid w:val="00501358"/>
    <w:rsid w:val="005013D7"/>
    <w:rsid w:val="00502409"/>
    <w:rsid w:val="00502501"/>
    <w:rsid w:val="005025B5"/>
    <w:rsid w:val="0050268B"/>
    <w:rsid w:val="00502DDA"/>
    <w:rsid w:val="0050304C"/>
    <w:rsid w:val="0050373F"/>
    <w:rsid w:val="00503A0F"/>
    <w:rsid w:val="00503DE4"/>
    <w:rsid w:val="00503EF7"/>
    <w:rsid w:val="00504117"/>
    <w:rsid w:val="005056BA"/>
    <w:rsid w:val="005057E2"/>
    <w:rsid w:val="0050593B"/>
    <w:rsid w:val="00505C69"/>
    <w:rsid w:val="0050627E"/>
    <w:rsid w:val="00506624"/>
    <w:rsid w:val="0050679A"/>
    <w:rsid w:val="005067E2"/>
    <w:rsid w:val="0050714A"/>
    <w:rsid w:val="00507150"/>
    <w:rsid w:val="005076A1"/>
    <w:rsid w:val="00507A91"/>
    <w:rsid w:val="00507D17"/>
    <w:rsid w:val="00507D81"/>
    <w:rsid w:val="00507D8B"/>
    <w:rsid w:val="0051121A"/>
    <w:rsid w:val="005114EA"/>
    <w:rsid w:val="00511AF1"/>
    <w:rsid w:val="00511B49"/>
    <w:rsid w:val="00511D36"/>
    <w:rsid w:val="00511EAF"/>
    <w:rsid w:val="0051233E"/>
    <w:rsid w:val="00512B7C"/>
    <w:rsid w:val="0051305C"/>
    <w:rsid w:val="0051309C"/>
    <w:rsid w:val="005131EF"/>
    <w:rsid w:val="00513B17"/>
    <w:rsid w:val="00513B8C"/>
    <w:rsid w:val="00513CC0"/>
    <w:rsid w:val="00513EB3"/>
    <w:rsid w:val="00513F87"/>
    <w:rsid w:val="00514103"/>
    <w:rsid w:val="00514340"/>
    <w:rsid w:val="0051435F"/>
    <w:rsid w:val="00514763"/>
    <w:rsid w:val="00515084"/>
    <w:rsid w:val="00515402"/>
    <w:rsid w:val="005154CF"/>
    <w:rsid w:val="0051568B"/>
    <w:rsid w:val="00515744"/>
    <w:rsid w:val="00515849"/>
    <w:rsid w:val="0051599D"/>
    <w:rsid w:val="005164D0"/>
    <w:rsid w:val="0051656B"/>
    <w:rsid w:val="005168A6"/>
    <w:rsid w:val="00517054"/>
    <w:rsid w:val="0051714E"/>
    <w:rsid w:val="00517A43"/>
    <w:rsid w:val="00517AB2"/>
    <w:rsid w:val="00517B20"/>
    <w:rsid w:val="00520D5C"/>
    <w:rsid w:val="005210C7"/>
    <w:rsid w:val="005211F2"/>
    <w:rsid w:val="0052162B"/>
    <w:rsid w:val="005219C9"/>
    <w:rsid w:val="00521B6B"/>
    <w:rsid w:val="00521F9E"/>
    <w:rsid w:val="00522577"/>
    <w:rsid w:val="00522803"/>
    <w:rsid w:val="005228B0"/>
    <w:rsid w:val="00522A36"/>
    <w:rsid w:val="00522E4B"/>
    <w:rsid w:val="005232F4"/>
    <w:rsid w:val="0052338E"/>
    <w:rsid w:val="005233E4"/>
    <w:rsid w:val="00523467"/>
    <w:rsid w:val="005238EF"/>
    <w:rsid w:val="0052401C"/>
    <w:rsid w:val="00524321"/>
    <w:rsid w:val="005244A4"/>
    <w:rsid w:val="0052459E"/>
    <w:rsid w:val="00525972"/>
    <w:rsid w:val="00525A5A"/>
    <w:rsid w:val="00525C10"/>
    <w:rsid w:val="00525ED4"/>
    <w:rsid w:val="00525FD9"/>
    <w:rsid w:val="0052653F"/>
    <w:rsid w:val="00526897"/>
    <w:rsid w:val="00526A70"/>
    <w:rsid w:val="00526CE0"/>
    <w:rsid w:val="00526DA1"/>
    <w:rsid w:val="00526E36"/>
    <w:rsid w:val="00527147"/>
    <w:rsid w:val="00527248"/>
    <w:rsid w:val="005276A8"/>
    <w:rsid w:val="0052782E"/>
    <w:rsid w:val="00527B8E"/>
    <w:rsid w:val="00530224"/>
    <w:rsid w:val="005306D0"/>
    <w:rsid w:val="005308D2"/>
    <w:rsid w:val="00530C28"/>
    <w:rsid w:val="00530D53"/>
    <w:rsid w:val="00530F88"/>
    <w:rsid w:val="005311F3"/>
    <w:rsid w:val="005319C0"/>
    <w:rsid w:val="00531BEA"/>
    <w:rsid w:val="00531C92"/>
    <w:rsid w:val="00531E54"/>
    <w:rsid w:val="0053237B"/>
    <w:rsid w:val="00532417"/>
    <w:rsid w:val="0053249C"/>
    <w:rsid w:val="005325A1"/>
    <w:rsid w:val="00532670"/>
    <w:rsid w:val="00532752"/>
    <w:rsid w:val="00532AFD"/>
    <w:rsid w:val="0053311C"/>
    <w:rsid w:val="0053351D"/>
    <w:rsid w:val="00533730"/>
    <w:rsid w:val="00533B65"/>
    <w:rsid w:val="0053408E"/>
    <w:rsid w:val="005340DB"/>
    <w:rsid w:val="005341BD"/>
    <w:rsid w:val="00534201"/>
    <w:rsid w:val="00534392"/>
    <w:rsid w:val="00534641"/>
    <w:rsid w:val="00534AB6"/>
    <w:rsid w:val="00534AB8"/>
    <w:rsid w:val="00534FA8"/>
    <w:rsid w:val="00535438"/>
    <w:rsid w:val="00535647"/>
    <w:rsid w:val="0053565F"/>
    <w:rsid w:val="00535EC0"/>
    <w:rsid w:val="00535F25"/>
    <w:rsid w:val="00535FE9"/>
    <w:rsid w:val="00536039"/>
    <w:rsid w:val="005360E4"/>
    <w:rsid w:val="00536220"/>
    <w:rsid w:val="0053661A"/>
    <w:rsid w:val="0053690B"/>
    <w:rsid w:val="00536A26"/>
    <w:rsid w:val="00536B50"/>
    <w:rsid w:val="00536C96"/>
    <w:rsid w:val="00536F8B"/>
    <w:rsid w:val="00537546"/>
    <w:rsid w:val="00537A48"/>
    <w:rsid w:val="00537E15"/>
    <w:rsid w:val="00537E1E"/>
    <w:rsid w:val="00540161"/>
    <w:rsid w:val="005404DE"/>
    <w:rsid w:val="00540770"/>
    <w:rsid w:val="00540B27"/>
    <w:rsid w:val="00540C3B"/>
    <w:rsid w:val="00540D42"/>
    <w:rsid w:val="00540F04"/>
    <w:rsid w:val="00541126"/>
    <w:rsid w:val="00541221"/>
    <w:rsid w:val="005412D3"/>
    <w:rsid w:val="00541406"/>
    <w:rsid w:val="00541544"/>
    <w:rsid w:val="0054164D"/>
    <w:rsid w:val="00541DCB"/>
    <w:rsid w:val="00542325"/>
    <w:rsid w:val="005423B0"/>
    <w:rsid w:val="00542529"/>
    <w:rsid w:val="00542803"/>
    <w:rsid w:val="00542F52"/>
    <w:rsid w:val="00542FF7"/>
    <w:rsid w:val="00543221"/>
    <w:rsid w:val="00543393"/>
    <w:rsid w:val="005438F1"/>
    <w:rsid w:val="00543B19"/>
    <w:rsid w:val="005440CC"/>
    <w:rsid w:val="005440F7"/>
    <w:rsid w:val="00544246"/>
    <w:rsid w:val="005443A4"/>
    <w:rsid w:val="00544952"/>
    <w:rsid w:val="00544CA4"/>
    <w:rsid w:val="00544E9F"/>
    <w:rsid w:val="0054522F"/>
    <w:rsid w:val="005453A9"/>
    <w:rsid w:val="005463B9"/>
    <w:rsid w:val="00546643"/>
    <w:rsid w:val="005469A8"/>
    <w:rsid w:val="00546E05"/>
    <w:rsid w:val="00546F21"/>
    <w:rsid w:val="00547151"/>
    <w:rsid w:val="00547165"/>
    <w:rsid w:val="005477CF"/>
    <w:rsid w:val="00547969"/>
    <w:rsid w:val="00547EEF"/>
    <w:rsid w:val="0055004E"/>
    <w:rsid w:val="00550098"/>
    <w:rsid w:val="005500F0"/>
    <w:rsid w:val="005502C6"/>
    <w:rsid w:val="00551516"/>
    <w:rsid w:val="00551AD2"/>
    <w:rsid w:val="00551D18"/>
    <w:rsid w:val="00551EE7"/>
    <w:rsid w:val="005522AE"/>
    <w:rsid w:val="0055292B"/>
    <w:rsid w:val="00552B2F"/>
    <w:rsid w:val="00552BDD"/>
    <w:rsid w:val="00552F73"/>
    <w:rsid w:val="00552F80"/>
    <w:rsid w:val="00553011"/>
    <w:rsid w:val="00553320"/>
    <w:rsid w:val="00553604"/>
    <w:rsid w:val="005536B0"/>
    <w:rsid w:val="00553750"/>
    <w:rsid w:val="00553792"/>
    <w:rsid w:val="00553CB9"/>
    <w:rsid w:val="00553E86"/>
    <w:rsid w:val="00554118"/>
    <w:rsid w:val="00554854"/>
    <w:rsid w:val="00554939"/>
    <w:rsid w:val="005549B4"/>
    <w:rsid w:val="00554A3C"/>
    <w:rsid w:val="00555104"/>
    <w:rsid w:val="005552EF"/>
    <w:rsid w:val="005556CE"/>
    <w:rsid w:val="00555849"/>
    <w:rsid w:val="00555AA3"/>
    <w:rsid w:val="0055677E"/>
    <w:rsid w:val="00556830"/>
    <w:rsid w:val="00556D88"/>
    <w:rsid w:val="00557006"/>
    <w:rsid w:val="0055764C"/>
    <w:rsid w:val="0055786E"/>
    <w:rsid w:val="005579A4"/>
    <w:rsid w:val="00557A69"/>
    <w:rsid w:val="0056006C"/>
    <w:rsid w:val="005601F8"/>
    <w:rsid w:val="00560C0C"/>
    <w:rsid w:val="00560F6E"/>
    <w:rsid w:val="0056124E"/>
    <w:rsid w:val="00561462"/>
    <w:rsid w:val="005617C6"/>
    <w:rsid w:val="00561D3B"/>
    <w:rsid w:val="00561D53"/>
    <w:rsid w:val="00562804"/>
    <w:rsid w:val="00562D3B"/>
    <w:rsid w:val="00562FFB"/>
    <w:rsid w:val="0056366E"/>
    <w:rsid w:val="00563E65"/>
    <w:rsid w:val="005640AC"/>
    <w:rsid w:val="005640FF"/>
    <w:rsid w:val="00564410"/>
    <w:rsid w:val="00564548"/>
    <w:rsid w:val="005647B2"/>
    <w:rsid w:val="00565299"/>
    <w:rsid w:val="00565AE7"/>
    <w:rsid w:val="00565DA7"/>
    <w:rsid w:val="0056610A"/>
    <w:rsid w:val="0056636F"/>
    <w:rsid w:val="00566B0D"/>
    <w:rsid w:val="00566CD3"/>
    <w:rsid w:val="00567379"/>
    <w:rsid w:val="00570347"/>
    <w:rsid w:val="00570759"/>
    <w:rsid w:val="00570AC5"/>
    <w:rsid w:val="00570B4F"/>
    <w:rsid w:val="00570CA4"/>
    <w:rsid w:val="00570EA9"/>
    <w:rsid w:val="00571092"/>
    <w:rsid w:val="00571203"/>
    <w:rsid w:val="005714BA"/>
    <w:rsid w:val="0057156A"/>
    <w:rsid w:val="005715D7"/>
    <w:rsid w:val="005719E1"/>
    <w:rsid w:val="00571B07"/>
    <w:rsid w:val="00572148"/>
    <w:rsid w:val="00572243"/>
    <w:rsid w:val="00572460"/>
    <w:rsid w:val="005724C4"/>
    <w:rsid w:val="00572714"/>
    <w:rsid w:val="005732F5"/>
    <w:rsid w:val="0057330E"/>
    <w:rsid w:val="00573444"/>
    <w:rsid w:val="00573542"/>
    <w:rsid w:val="00573B58"/>
    <w:rsid w:val="00574447"/>
    <w:rsid w:val="00574747"/>
    <w:rsid w:val="00574AEA"/>
    <w:rsid w:val="00574D02"/>
    <w:rsid w:val="005759E9"/>
    <w:rsid w:val="00575C7B"/>
    <w:rsid w:val="0057604A"/>
    <w:rsid w:val="005765DE"/>
    <w:rsid w:val="005765EB"/>
    <w:rsid w:val="0057668B"/>
    <w:rsid w:val="0057674E"/>
    <w:rsid w:val="005769CB"/>
    <w:rsid w:val="005773CA"/>
    <w:rsid w:val="0057749D"/>
    <w:rsid w:val="005800B0"/>
    <w:rsid w:val="00580312"/>
    <w:rsid w:val="005803D7"/>
    <w:rsid w:val="005804A2"/>
    <w:rsid w:val="005806CA"/>
    <w:rsid w:val="00580893"/>
    <w:rsid w:val="005810DD"/>
    <w:rsid w:val="00581117"/>
    <w:rsid w:val="00581FC3"/>
    <w:rsid w:val="00582534"/>
    <w:rsid w:val="0058271C"/>
    <w:rsid w:val="00582CC1"/>
    <w:rsid w:val="00582E0E"/>
    <w:rsid w:val="00582EA7"/>
    <w:rsid w:val="00583091"/>
    <w:rsid w:val="0058360B"/>
    <w:rsid w:val="00583725"/>
    <w:rsid w:val="00583842"/>
    <w:rsid w:val="00583E83"/>
    <w:rsid w:val="005842ED"/>
    <w:rsid w:val="00584DF7"/>
    <w:rsid w:val="00585C7E"/>
    <w:rsid w:val="00585DAC"/>
    <w:rsid w:val="00585F90"/>
    <w:rsid w:val="00586231"/>
    <w:rsid w:val="005863A8"/>
    <w:rsid w:val="005864DB"/>
    <w:rsid w:val="005865A7"/>
    <w:rsid w:val="005865C3"/>
    <w:rsid w:val="00586834"/>
    <w:rsid w:val="0058724B"/>
    <w:rsid w:val="00587453"/>
    <w:rsid w:val="00587D6F"/>
    <w:rsid w:val="005901B0"/>
    <w:rsid w:val="00590227"/>
    <w:rsid w:val="0059071A"/>
    <w:rsid w:val="0059078C"/>
    <w:rsid w:val="005907E3"/>
    <w:rsid w:val="00590EB8"/>
    <w:rsid w:val="00591030"/>
    <w:rsid w:val="005912DA"/>
    <w:rsid w:val="00591870"/>
    <w:rsid w:val="00591917"/>
    <w:rsid w:val="00592882"/>
    <w:rsid w:val="005929E4"/>
    <w:rsid w:val="00592E4B"/>
    <w:rsid w:val="00592F46"/>
    <w:rsid w:val="005930B3"/>
    <w:rsid w:val="005930C1"/>
    <w:rsid w:val="00593115"/>
    <w:rsid w:val="00593471"/>
    <w:rsid w:val="005935E6"/>
    <w:rsid w:val="00593920"/>
    <w:rsid w:val="005939AB"/>
    <w:rsid w:val="00593A88"/>
    <w:rsid w:val="00593D13"/>
    <w:rsid w:val="0059403D"/>
    <w:rsid w:val="005945AE"/>
    <w:rsid w:val="005947CD"/>
    <w:rsid w:val="005949B7"/>
    <w:rsid w:val="00594C12"/>
    <w:rsid w:val="00594CCB"/>
    <w:rsid w:val="00594D8B"/>
    <w:rsid w:val="00594DA3"/>
    <w:rsid w:val="005953AC"/>
    <w:rsid w:val="00595F4A"/>
    <w:rsid w:val="0059631F"/>
    <w:rsid w:val="005963CF"/>
    <w:rsid w:val="005968C2"/>
    <w:rsid w:val="00596938"/>
    <w:rsid w:val="00596C4F"/>
    <w:rsid w:val="00597120"/>
    <w:rsid w:val="005975A9"/>
    <w:rsid w:val="005978D2"/>
    <w:rsid w:val="0059799F"/>
    <w:rsid w:val="0059E39E"/>
    <w:rsid w:val="005A01F6"/>
    <w:rsid w:val="005A06AA"/>
    <w:rsid w:val="005A0CEC"/>
    <w:rsid w:val="005A0F87"/>
    <w:rsid w:val="005A18D2"/>
    <w:rsid w:val="005A1A0A"/>
    <w:rsid w:val="005A1DAD"/>
    <w:rsid w:val="005A2498"/>
    <w:rsid w:val="005A25A4"/>
    <w:rsid w:val="005A26F0"/>
    <w:rsid w:val="005A2734"/>
    <w:rsid w:val="005A33F9"/>
    <w:rsid w:val="005A3481"/>
    <w:rsid w:val="005A36EB"/>
    <w:rsid w:val="005A3957"/>
    <w:rsid w:val="005A3A3B"/>
    <w:rsid w:val="005A3DB4"/>
    <w:rsid w:val="005A4065"/>
    <w:rsid w:val="005A44C6"/>
    <w:rsid w:val="005A44FD"/>
    <w:rsid w:val="005A4BAE"/>
    <w:rsid w:val="005A4FFA"/>
    <w:rsid w:val="005A51D4"/>
    <w:rsid w:val="005A5298"/>
    <w:rsid w:val="005A55FC"/>
    <w:rsid w:val="005A5631"/>
    <w:rsid w:val="005A588C"/>
    <w:rsid w:val="005A60A4"/>
    <w:rsid w:val="005A62CE"/>
    <w:rsid w:val="005A641A"/>
    <w:rsid w:val="005A6B17"/>
    <w:rsid w:val="005A6B61"/>
    <w:rsid w:val="005A766D"/>
    <w:rsid w:val="005A7A08"/>
    <w:rsid w:val="005A7C54"/>
    <w:rsid w:val="005A7D3B"/>
    <w:rsid w:val="005B0567"/>
    <w:rsid w:val="005B09E3"/>
    <w:rsid w:val="005B11D2"/>
    <w:rsid w:val="005B16B4"/>
    <w:rsid w:val="005B2440"/>
    <w:rsid w:val="005B2840"/>
    <w:rsid w:val="005B2E80"/>
    <w:rsid w:val="005B2E9C"/>
    <w:rsid w:val="005B2F71"/>
    <w:rsid w:val="005B3260"/>
    <w:rsid w:val="005B329E"/>
    <w:rsid w:val="005B33A9"/>
    <w:rsid w:val="005B3486"/>
    <w:rsid w:val="005B365C"/>
    <w:rsid w:val="005B42E7"/>
    <w:rsid w:val="005B43DA"/>
    <w:rsid w:val="005B44FC"/>
    <w:rsid w:val="005B460D"/>
    <w:rsid w:val="005B4759"/>
    <w:rsid w:val="005B4929"/>
    <w:rsid w:val="005B4A8D"/>
    <w:rsid w:val="005B4C17"/>
    <w:rsid w:val="005B4DCD"/>
    <w:rsid w:val="005B4DE3"/>
    <w:rsid w:val="005B591B"/>
    <w:rsid w:val="005B59A5"/>
    <w:rsid w:val="005B59D2"/>
    <w:rsid w:val="005B5B3B"/>
    <w:rsid w:val="005B5DF1"/>
    <w:rsid w:val="005B5EDC"/>
    <w:rsid w:val="005B6278"/>
    <w:rsid w:val="005B6582"/>
    <w:rsid w:val="005B6704"/>
    <w:rsid w:val="005B6C07"/>
    <w:rsid w:val="005B6FD4"/>
    <w:rsid w:val="005B7213"/>
    <w:rsid w:val="005B74C3"/>
    <w:rsid w:val="005B75FD"/>
    <w:rsid w:val="005B77E4"/>
    <w:rsid w:val="005B7D51"/>
    <w:rsid w:val="005C03D7"/>
    <w:rsid w:val="005C04F6"/>
    <w:rsid w:val="005C0610"/>
    <w:rsid w:val="005C0B56"/>
    <w:rsid w:val="005C1016"/>
    <w:rsid w:val="005C24C4"/>
    <w:rsid w:val="005C2568"/>
    <w:rsid w:val="005C2637"/>
    <w:rsid w:val="005C2828"/>
    <w:rsid w:val="005C28B6"/>
    <w:rsid w:val="005C29AC"/>
    <w:rsid w:val="005C2E29"/>
    <w:rsid w:val="005C2F4F"/>
    <w:rsid w:val="005C3480"/>
    <w:rsid w:val="005C3541"/>
    <w:rsid w:val="005C3CE8"/>
    <w:rsid w:val="005C3EDE"/>
    <w:rsid w:val="005C4A5D"/>
    <w:rsid w:val="005C5123"/>
    <w:rsid w:val="005C5125"/>
    <w:rsid w:val="005C55F0"/>
    <w:rsid w:val="005C5ACA"/>
    <w:rsid w:val="005C5EFC"/>
    <w:rsid w:val="005C62CC"/>
    <w:rsid w:val="005C6319"/>
    <w:rsid w:val="005C64E4"/>
    <w:rsid w:val="005C6569"/>
    <w:rsid w:val="005C65E3"/>
    <w:rsid w:val="005C6D5B"/>
    <w:rsid w:val="005C6E56"/>
    <w:rsid w:val="005C6EFC"/>
    <w:rsid w:val="005C6F7A"/>
    <w:rsid w:val="005C790C"/>
    <w:rsid w:val="005C7ECA"/>
    <w:rsid w:val="005C7F0C"/>
    <w:rsid w:val="005D0BCF"/>
    <w:rsid w:val="005D0D5A"/>
    <w:rsid w:val="005D1094"/>
    <w:rsid w:val="005D1199"/>
    <w:rsid w:val="005D13E0"/>
    <w:rsid w:val="005D143E"/>
    <w:rsid w:val="005D15F1"/>
    <w:rsid w:val="005D1719"/>
    <w:rsid w:val="005D173E"/>
    <w:rsid w:val="005D189A"/>
    <w:rsid w:val="005D18DB"/>
    <w:rsid w:val="005D1B32"/>
    <w:rsid w:val="005D1C02"/>
    <w:rsid w:val="005D1CCF"/>
    <w:rsid w:val="005D27AD"/>
    <w:rsid w:val="005D290B"/>
    <w:rsid w:val="005D29BC"/>
    <w:rsid w:val="005D29E9"/>
    <w:rsid w:val="005D2E86"/>
    <w:rsid w:val="005D2ECC"/>
    <w:rsid w:val="005D2F2C"/>
    <w:rsid w:val="005D3136"/>
    <w:rsid w:val="005D339C"/>
    <w:rsid w:val="005D3672"/>
    <w:rsid w:val="005D4063"/>
    <w:rsid w:val="005D42B6"/>
    <w:rsid w:val="005D4923"/>
    <w:rsid w:val="005D49AF"/>
    <w:rsid w:val="005D4A96"/>
    <w:rsid w:val="005D4F12"/>
    <w:rsid w:val="005D51CF"/>
    <w:rsid w:val="005D54C6"/>
    <w:rsid w:val="005D5784"/>
    <w:rsid w:val="005D599E"/>
    <w:rsid w:val="005D5E73"/>
    <w:rsid w:val="005D6724"/>
    <w:rsid w:val="005D6E2E"/>
    <w:rsid w:val="005D7694"/>
    <w:rsid w:val="005D77F3"/>
    <w:rsid w:val="005D780F"/>
    <w:rsid w:val="005D7851"/>
    <w:rsid w:val="005D7DC7"/>
    <w:rsid w:val="005DB820"/>
    <w:rsid w:val="005E03E4"/>
    <w:rsid w:val="005E0723"/>
    <w:rsid w:val="005E0A85"/>
    <w:rsid w:val="005E1346"/>
    <w:rsid w:val="005E17A2"/>
    <w:rsid w:val="005E192D"/>
    <w:rsid w:val="005E19CA"/>
    <w:rsid w:val="005E1E3A"/>
    <w:rsid w:val="005E1E69"/>
    <w:rsid w:val="005E228A"/>
    <w:rsid w:val="005E2839"/>
    <w:rsid w:val="005E297B"/>
    <w:rsid w:val="005E2D88"/>
    <w:rsid w:val="005E2FBE"/>
    <w:rsid w:val="005E341B"/>
    <w:rsid w:val="005E3CDE"/>
    <w:rsid w:val="005E431A"/>
    <w:rsid w:val="005E4B0A"/>
    <w:rsid w:val="005E4D22"/>
    <w:rsid w:val="005E4D70"/>
    <w:rsid w:val="005E50C8"/>
    <w:rsid w:val="005E5370"/>
    <w:rsid w:val="005E5478"/>
    <w:rsid w:val="005E5763"/>
    <w:rsid w:val="005E5BDB"/>
    <w:rsid w:val="005E5C4D"/>
    <w:rsid w:val="005E5CFB"/>
    <w:rsid w:val="005E5E0F"/>
    <w:rsid w:val="005E5F50"/>
    <w:rsid w:val="005E6219"/>
    <w:rsid w:val="005E6230"/>
    <w:rsid w:val="005E6448"/>
    <w:rsid w:val="005E6674"/>
    <w:rsid w:val="005E69F0"/>
    <w:rsid w:val="005E72B2"/>
    <w:rsid w:val="005F02D3"/>
    <w:rsid w:val="005F0546"/>
    <w:rsid w:val="005F057E"/>
    <w:rsid w:val="005F0847"/>
    <w:rsid w:val="005F0859"/>
    <w:rsid w:val="005F09D2"/>
    <w:rsid w:val="005F132B"/>
    <w:rsid w:val="005F15D5"/>
    <w:rsid w:val="005F1A03"/>
    <w:rsid w:val="005F2AD6"/>
    <w:rsid w:val="005F2C17"/>
    <w:rsid w:val="005F2C40"/>
    <w:rsid w:val="005F2FA4"/>
    <w:rsid w:val="005F3043"/>
    <w:rsid w:val="005F324C"/>
    <w:rsid w:val="005F3B17"/>
    <w:rsid w:val="005F3DB5"/>
    <w:rsid w:val="005F4098"/>
    <w:rsid w:val="005F4113"/>
    <w:rsid w:val="005F41D9"/>
    <w:rsid w:val="005F42B2"/>
    <w:rsid w:val="005F4310"/>
    <w:rsid w:val="005F43BF"/>
    <w:rsid w:val="005F4B68"/>
    <w:rsid w:val="005F50C5"/>
    <w:rsid w:val="005F52A7"/>
    <w:rsid w:val="005F52F4"/>
    <w:rsid w:val="005F53FB"/>
    <w:rsid w:val="005F55E2"/>
    <w:rsid w:val="005F59F8"/>
    <w:rsid w:val="005F5B61"/>
    <w:rsid w:val="005F5C5A"/>
    <w:rsid w:val="005F6984"/>
    <w:rsid w:val="005F6AF4"/>
    <w:rsid w:val="005F6C19"/>
    <w:rsid w:val="005F6F79"/>
    <w:rsid w:val="005F7164"/>
    <w:rsid w:val="005F727A"/>
    <w:rsid w:val="005F7375"/>
    <w:rsid w:val="005F73E0"/>
    <w:rsid w:val="005F7479"/>
    <w:rsid w:val="005F74D1"/>
    <w:rsid w:val="00600463"/>
    <w:rsid w:val="0060141A"/>
    <w:rsid w:val="0060166B"/>
    <w:rsid w:val="00601ABC"/>
    <w:rsid w:val="00602113"/>
    <w:rsid w:val="0060217E"/>
    <w:rsid w:val="0060228B"/>
    <w:rsid w:val="00602765"/>
    <w:rsid w:val="00602778"/>
    <w:rsid w:val="0060291B"/>
    <w:rsid w:val="00602A6B"/>
    <w:rsid w:val="00602AB2"/>
    <w:rsid w:val="00602D1F"/>
    <w:rsid w:val="00602D76"/>
    <w:rsid w:val="00602E00"/>
    <w:rsid w:val="00602FF1"/>
    <w:rsid w:val="006030CC"/>
    <w:rsid w:val="006031D8"/>
    <w:rsid w:val="00603346"/>
    <w:rsid w:val="006034EA"/>
    <w:rsid w:val="00603712"/>
    <w:rsid w:val="00603E2E"/>
    <w:rsid w:val="00603E9C"/>
    <w:rsid w:val="006040BB"/>
    <w:rsid w:val="00604613"/>
    <w:rsid w:val="00604B19"/>
    <w:rsid w:val="00604F43"/>
    <w:rsid w:val="006054A5"/>
    <w:rsid w:val="00605B99"/>
    <w:rsid w:val="00605C1D"/>
    <w:rsid w:val="00605CA4"/>
    <w:rsid w:val="00606091"/>
    <w:rsid w:val="006062B9"/>
    <w:rsid w:val="006066DF"/>
    <w:rsid w:val="0060678A"/>
    <w:rsid w:val="00606961"/>
    <w:rsid w:val="0060697B"/>
    <w:rsid w:val="006069E3"/>
    <w:rsid w:val="00606D4A"/>
    <w:rsid w:val="00607041"/>
    <w:rsid w:val="00607325"/>
    <w:rsid w:val="006075E7"/>
    <w:rsid w:val="006078A1"/>
    <w:rsid w:val="00607A77"/>
    <w:rsid w:val="00610292"/>
    <w:rsid w:val="00610578"/>
    <w:rsid w:val="00610685"/>
    <w:rsid w:val="00610D5D"/>
    <w:rsid w:val="00610E6D"/>
    <w:rsid w:val="006111AE"/>
    <w:rsid w:val="0061166E"/>
    <w:rsid w:val="00611762"/>
    <w:rsid w:val="00611B00"/>
    <w:rsid w:val="00611D5F"/>
    <w:rsid w:val="00611E2C"/>
    <w:rsid w:val="00611E7A"/>
    <w:rsid w:val="00611E8E"/>
    <w:rsid w:val="006128E9"/>
    <w:rsid w:val="00613159"/>
    <w:rsid w:val="006131D0"/>
    <w:rsid w:val="00613498"/>
    <w:rsid w:val="0061366A"/>
    <w:rsid w:val="0061374C"/>
    <w:rsid w:val="006138BA"/>
    <w:rsid w:val="00613A2E"/>
    <w:rsid w:val="00613DD9"/>
    <w:rsid w:val="00613E43"/>
    <w:rsid w:val="00613E48"/>
    <w:rsid w:val="0061404F"/>
    <w:rsid w:val="0061498D"/>
    <w:rsid w:val="00614A4F"/>
    <w:rsid w:val="00614A64"/>
    <w:rsid w:val="00614BF8"/>
    <w:rsid w:val="00614C50"/>
    <w:rsid w:val="006151E7"/>
    <w:rsid w:val="0061523F"/>
    <w:rsid w:val="006153B0"/>
    <w:rsid w:val="0061549E"/>
    <w:rsid w:val="00615723"/>
    <w:rsid w:val="00615798"/>
    <w:rsid w:val="00615B43"/>
    <w:rsid w:val="0061604E"/>
    <w:rsid w:val="006160C7"/>
    <w:rsid w:val="00616172"/>
    <w:rsid w:val="0061620C"/>
    <w:rsid w:val="0061626F"/>
    <w:rsid w:val="00616844"/>
    <w:rsid w:val="006168BD"/>
    <w:rsid w:val="00616E41"/>
    <w:rsid w:val="00617387"/>
    <w:rsid w:val="006178AB"/>
    <w:rsid w:val="00617FA9"/>
    <w:rsid w:val="006203D7"/>
    <w:rsid w:val="006206A4"/>
    <w:rsid w:val="00620C5E"/>
    <w:rsid w:val="00620CAA"/>
    <w:rsid w:val="00620D98"/>
    <w:rsid w:val="00621333"/>
    <w:rsid w:val="006221E5"/>
    <w:rsid w:val="00622358"/>
    <w:rsid w:val="00622801"/>
    <w:rsid w:val="00622D3B"/>
    <w:rsid w:val="0062302D"/>
    <w:rsid w:val="006233F4"/>
    <w:rsid w:val="00623495"/>
    <w:rsid w:val="006237AD"/>
    <w:rsid w:val="006242F8"/>
    <w:rsid w:val="006244BA"/>
    <w:rsid w:val="006254B3"/>
    <w:rsid w:val="00625692"/>
    <w:rsid w:val="0062579D"/>
    <w:rsid w:val="00625954"/>
    <w:rsid w:val="00625A28"/>
    <w:rsid w:val="0062620B"/>
    <w:rsid w:val="0062623C"/>
    <w:rsid w:val="00627713"/>
    <w:rsid w:val="006277EA"/>
    <w:rsid w:val="00627AA8"/>
    <w:rsid w:val="00627F0B"/>
    <w:rsid w:val="00627F3E"/>
    <w:rsid w:val="006306BA"/>
    <w:rsid w:val="00630844"/>
    <w:rsid w:val="00630943"/>
    <w:rsid w:val="00630E36"/>
    <w:rsid w:val="00631052"/>
    <w:rsid w:val="006317B3"/>
    <w:rsid w:val="0063200B"/>
    <w:rsid w:val="00632BE6"/>
    <w:rsid w:val="006334C4"/>
    <w:rsid w:val="006335D6"/>
    <w:rsid w:val="006336BC"/>
    <w:rsid w:val="00633A98"/>
    <w:rsid w:val="00633AA7"/>
    <w:rsid w:val="00633AF9"/>
    <w:rsid w:val="00633E70"/>
    <w:rsid w:val="0063469B"/>
    <w:rsid w:val="00634C11"/>
    <w:rsid w:val="00634F0C"/>
    <w:rsid w:val="0063536B"/>
    <w:rsid w:val="006356C8"/>
    <w:rsid w:val="0063574E"/>
    <w:rsid w:val="00635958"/>
    <w:rsid w:val="006359EE"/>
    <w:rsid w:val="00636112"/>
    <w:rsid w:val="006361B9"/>
    <w:rsid w:val="0063676C"/>
    <w:rsid w:val="00636BC0"/>
    <w:rsid w:val="006378B7"/>
    <w:rsid w:val="00637A49"/>
    <w:rsid w:val="00640233"/>
    <w:rsid w:val="00640671"/>
    <w:rsid w:val="00640AAE"/>
    <w:rsid w:val="00640C80"/>
    <w:rsid w:val="00640E76"/>
    <w:rsid w:val="00640E88"/>
    <w:rsid w:val="00640EC6"/>
    <w:rsid w:val="00640F40"/>
    <w:rsid w:val="0064165A"/>
    <w:rsid w:val="0064236B"/>
    <w:rsid w:val="006424AC"/>
    <w:rsid w:val="006424F3"/>
    <w:rsid w:val="006429B2"/>
    <w:rsid w:val="00643449"/>
    <w:rsid w:val="006434AE"/>
    <w:rsid w:val="00643905"/>
    <w:rsid w:val="00643D79"/>
    <w:rsid w:val="006442E1"/>
    <w:rsid w:val="0064439B"/>
    <w:rsid w:val="006446A1"/>
    <w:rsid w:val="006447B0"/>
    <w:rsid w:val="00644B90"/>
    <w:rsid w:val="00645183"/>
    <w:rsid w:val="00645222"/>
    <w:rsid w:val="0064573C"/>
    <w:rsid w:val="00645A3F"/>
    <w:rsid w:val="00645B1F"/>
    <w:rsid w:val="00645FF7"/>
    <w:rsid w:val="006460BB"/>
    <w:rsid w:val="006461EB"/>
    <w:rsid w:val="00646E0A"/>
    <w:rsid w:val="00646EA9"/>
    <w:rsid w:val="0064703E"/>
    <w:rsid w:val="006470EB"/>
    <w:rsid w:val="00647207"/>
    <w:rsid w:val="00647391"/>
    <w:rsid w:val="006477CE"/>
    <w:rsid w:val="00647A70"/>
    <w:rsid w:val="00650077"/>
    <w:rsid w:val="006505FC"/>
    <w:rsid w:val="006507DA"/>
    <w:rsid w:val="00650A12"/>
    <w:rsid w:val="00650B58"/>
    <w:rsid w:val="00650CAA"/>
    <w:rsid w:val="00650D94"/>
    <w:rsid w:val="00650F36"/>
    <w:rsid w:val="006510D5"/>
    <w:rsid w:val="006512F9"/>
    <w:rsid w:val="006515C4"/>
    <w:rsid w:val="00651709"/>
    <w:rsid w:val="00651987"/>
    <w:rsid w:val="00651EB4"/>
    <w:rsid w:val="00652047"/>
    <w:rsid w:val="00652117"/>
    <w:rsid w:val="0065246C"/>
    <w:rsid w:val="006528F0"/>
    <w:rsid w:val="0065294A"/>
    <w:rsid w:val="00652CF3"/>
    <w:rsid w:val="00652E53"/>
    <w:rsid w:val="00653645"/>
    <w:rsid w:val="0065364C"/>
    <w:rsid w:val="00653949"/>
    <w:rsid w:val="00653FA2"/>
    <w:rsid w:val="00654162"/>
    <w:rsid w:val="0065416F"/>
    <w:rsid w:val="0065422E"/>
    <w:rsid w:val="006542C7"/>
    <w:rsid w:val="00654307"/>
    <w:rsid w:val="00654BAB"/>
    <w:rsid w:val="00654DC9"/>
    <w:rsid w:val="00654EF6"/>
    <w:rsid w:val="00654F31"/>
    <w:rsid w:val="006551D9"/>
    <w:rsid w:val="00655936"/>
    <w:rsid w:val="00655A49"/>
    <w:rsid w:val="0065650A"/>
    <w:rsid w:val="006568B0"/>
    <w:rsid w:val="00656A98"/>
    <w:rsid w:val="00656BC1"/>
    <w:rsid w:val="00656C6F"/>
    <w:rsid w:val="00656D9A"/>
    <w:rsid w:val="00656F14"/>
    <w:rsid w:val="006570B5"/>
    <w:rsid w:val="006570C1"/>
    <w:rsid w:val="006571C7"/>
    <w:rsid w:val="006574BC"/>
    <w:rsid w:val="00657935"/>
    <w:rsid w:val="0065795E"/>
    <w:rsid w:val="0065874B"/>
    <w:rsid w:val="006605BA"/>
    <w:rsid w:val="006606DD"/>
    <w:rsid w:val="00660DDE"/>
    <w:rsid w:val="00660DE8"/>
    <w:rsid w:val="00661401"/>
    <w:rsid w:val="0066147B"/>
    <w:rsid w:val="0066194B"/>
    <w:rsid w:val="00662E4E"/>
    <w:rsid w:val="00663CBE"/>
    <w:rsid w:val="00663E16"/>
    <w:rsid w:val="00663E91"/>
    <w:rsid w:val="00663EFD"/>
    <w:rsid w:val="00664BD0"/>
    <w:rsid w:val="00664EA1"/>
    <w:rsid w:val="0066524C"/>
    <w:rsid w:val="00665A2B"/>
    <w:rsid w:val="00665A90"/>
    <w:rsid w:val="0066610D"/>
    <w:rsid w:val="0066638D"/>
    <w:rsid w:val="00666767"/>
    <w:rsid w:val="006669BC"/>
    <w:rsid w:val="00666D9A"/>
    <w:rsid w:val="00666FBB"/>
    <w:rsid w:val="006672F0"/>
    <w:rsid w:val="00667B33"/>
    <w:rsid w:val="00667DD8"/>
    <w:rsid w:val="00667FAB"/>
    <w:rsid w:val="006700F2"/>
    <w:rsid w:val="0067012B"/>
    <w:rsid w:val="0067015C"/>
    <w:rsid w:val="00670321"/>
    <w:rsid w:val="0067088F"/>
    <w:rsid w:val="00671016"/>
    <w:rsid w:val="0067199C"/>
    <w:rsid w:val="00671EBC"/>
    <w:rsid w:val="006720E3"/>
    <w:rsid w:val="00672340"/>
    <w:rsid w:val="006725A4"/>
    <w:rsid w:val="00672789"/>
    <w:rsid w:val="0067282B"/>
    <w:rsid w:val="00672B44"/>
    <w:rsid w:val="006730A7"/>
    <w:rsid w:val="006734B0"/>
    <w:rsid w:val="006734BA"/>
    <w:rsid w:val="0067362D"/>
    <w:rsid w:val="00673834"/>
    <w:rsid w:val="0067397E"/>
    <w:rsid w:val="00673BE6"/>
    <w:rsid w:val="00673C32"/>
    <w:rsid w:val="00673E31"/>
    <w:rsid w:val="00674623"/>
    <w:rsid w:val="00674EDC"/>
    <w:rsid w:val="00674EFC"/>
    <w:rsid w:val="0067510F"/>
    <w:rsid w:val="0067512A"/>
    <w:rsid w:val="00676423"/>
    <w:rsid w:val="006764A7"/>
    <w:rsid w:val="006765AF"/>
    <w:rsid w:val="00676BBD"/>
    <w:rsid w:val="00676BBE"/>
    <w:rsid w:val="00676CA7"/>
    <w:rsid w:val="00676EE2"/>
    <w:rsid w:val="006771A5"/>
    <w:rsid w:val="006771C4"/>
    <w:rsid w:val="00677210"/>
    <w:rsid w:val="00677522"/>
    <w:rsid w:val="006776E7"/>
    <w:rsid w:val="006779E1"/>
    <w:rsid w:val="00677DB4"/>
    <w:rsid w:val="00677DE9"/>
    <w:rsid w:val="00677E2A"/>
    <w:rsid w:val="006802D5"/>
    <w:rsid w:val="006802E1"/>
    <w:rsid w:val="006802F7"/>
    <w:rsid w:val="006803C4"/>
    <w:rsid w:val="0068047A"/>
    <w:rsid w:val="006806E6"/>
    <w:rsid w:val="0068101D"/>
    <w:rsid w:val="006810AB"/>
    <w:rsid w:val="006810DC"/>
    <w:rsid w:val="00681AD7"/>
    <w:rsid w:val="00681D2F"/>
    <w:rsid w:val="00681DC3"/>
    <w:rsid w:val="006827CA"/>
    <w:rsid w:val="006827E7"/>
    <w:rsid w:val="006829C4"/>
    <w:rsid w:val="00682B51"/>
    <w:rsid w:val="00682C90"/>
    <w:rsid w:val="00682DC5"/>
    <w:rsid w:val="00683003"/>
    <w:rsid w:val="00683237"/>
    <w:rsid w:val="00683779"/>
    <w:rsid w:val="00683CE1"/>
    <w:rsid w:val="00684472"/>
    <w:rsid w:val="00684A64"/>
    <w:rsid w:val="00684B43"/>
    <w:rsid w:val="0068589E"/>
    <w:rsid w:val="00685D60"/>
    <w:rsid w:val="0068648D"/>
    <w:rsid w:val="006865F5"/>
    <w:rsid w:val="006866A6"/>
    <w:rsid w:val="00686B7C"/>
    <w:rsid w:val="00687B30"/>
    <w:rsid w:val="00687F93"/>
    <w:rsid w:val="00690960"/>
    <w:rsid w:val="00690A7E"/>
    <w:rsid w:val="006912B7"/>
    <w:rsid w:val="006918AC"/>
    <w:rsid w:val="00691A97"/>
    <w:rsid w:val="00692216"/>
    <w:rsid w:val="00692303"/>
    <w:rsid w:val="006926D5"/>
    <w:rsid w:val="00692DF9"/>
    <w:rsid w:val="006938E4"/>
    <w:rsid w:val="00693D93"/>
    <w:rsid w:val="00694608"/>
    <w:rsid w:val="006948EF"/>
    <w:rsid w:val="00694CBC"/>
    <w:rsid w:val="00694F04"/>
    <w:rsid w:val="0069553A"/>
    <w:rsid w:val="006957A0"/>
    <w:rsid w:val="00695C46"/>
    <w:rsid w:val="006964C1"/>
    <w:rsid w:val="006965D9"/>
    <w:rsid w:val="006968DA"/>
    <w:rsid w:val="00696BD5"/>
    <w:rsid w:val="00696C5F"/>
    <w:rsid w:val="00696D11"/>
    <w:rsid w:val="0069715C"/>
    <w:rsid w:val="006976F3"/>
    <w:rsid w:val="006A01E3"/>
    <w:rsid w:val="006A0904"/>
    <w:rsid w:val="006A102A"/>
    <w:rsid w:val="006A1D8F"/>
    <w:rsid w:val="006A22C8"/>
    <w:rsid w:val="006A2A42"/>
    <w:rsid w:val="006A32CD"/>
    <w:rsid w:val="006A3334"/>
    <w:rsid w:val="006A3784"/>
    <w:rsid w:val="006A3F16"/>
    <w:rsid w:val="006A40ED"/>
    <w:rsid w:val="006A44BA"/>
    <w:rsid w:val="006A4807"/>
    <w:rsid w:val="006A4869"/>
    <w:rsid w:val="006A519E"/>
    <w:rsid w:val="006A51D7"/>
    <w:rsid w:val="006A5A49"/>
    <w:rsid w:val="006A5DA1"/>
    <w:rsid w:val="006A5F29"/>
    <w:rsid w:val="006A615C"/>
    <w:rsid w:val="006A6535"/>
    <w:rsid w:val="006A6C43"/>
    <w:rsid w:val="006A6FB6"/>
    <w:rsid w:val="006A70F7"/>
    <w:rsid w:val="006A7153"/>
    <w:rsid w:val="006A795F"/>
    <w:rsid w:val="006B023D"/>
    <w:rsid w:val="006B055E"/>
    <w:rsid w:val="006B06B8"/>
    <w:rsid w:val="006B0BC3"/>
    <w:rsid w:val="006B1177"/>
    <w:rsid w:val="006B1618"/>
    <w:rsid w:val="006B1955"/>
    <w:rsid w:val="006B1A4C"/>
    <w:rsid w:val="006B1B29"/>
    <w:rsid w:val="006B1E10"/>
    <w:rsid w:val="006B1EEF"/>
    <w:rsid w:val="006B2054"/>
    <w:rsid w:val="006B2301"/>
    <w:rsid w:val="006B2394"/>
    <w:rsid w:val="006B257C"/>
    <w:rsid w:val="006B2662"/>
    <w:rsid w:val="006B2C50"/>
    <w:rsid w:val="006B2D3F"/>
    <w:rsid w:val="006B326F"/>
    <w:rsid w:val="006B385F"/>
    <w:rsid w:val="006B396A"/>
    <w:rsid w:val="006B3BE7"/>
    <w:rsid w:val="006B3F7B"/>
    <w:rsid w:val="006B3FAA"/>
    <w:rsid w:val="006B4014"/>
    <w:rsid w:val="006B404A"/>
    <w:rsid w:val="006B41DE"/>
    <w:rsid w:val="006B45B7"/>
    <w:rsid w:val="006B48E5"/>
    <w:rsid w:val="006B4B17"/>
    <w:rsid w:val="006B4DF7"/>
    <w:rsid w:val="006B4F62"/>
    <w:rsid w:val="006B51EB"/>
    <w:rsid w:val="006B5415"/>
    <w:rsid w:val="006B54FA"/>
    <w:rsid w:val="006B57B7"/>
    <w:rsid w:val="006B5A0A"/>
    <w:rsid w:val="006B5B06"/>
    <w:rsid w:val="006B5F09"/>
    <w:rsid w:val="006B606B"/>
    <w:rsid w:val="006B6166"/>
    <w:rsid w:val="006B630D"/>
    <w:rsid w:val="006B6B59"/>
    <w:rsid w:val="006B6EF6"/>
    <w:rsid w:val="006B6F97"/>
    <w:rsid w:val="006B7132"/>
    <w:rsid w:val="006B74A9"/>
    <w:rsid w:val="006B7553"/>
    <w:rsid w:val="006B7ECF"/>
    <w:rsid w:val="006C02C8"/>
    <w:rsid w:val="006C0398"/>
    <w:rsid w:val="006C0E8D"/>
    <w:rsid w:val="006C1A32"/>
    <w:rsid w:val="006C1A8D"/>
    <w:rsid w:val="006C278A"/>
    <w:rsid w:val="006C2D91"/>
    <w:rsid w:val="006C35C4"/>
    <w:rsid w:val="006C36A9"/>
    <w:rsid w:val="006C37FC"/>
    <w:rsid w:val="006C381F"/>
    <w:rsid w:val="006C3A0F"/>
    <w:rsid w:val="006C3D51"/>
    <w:rsid w:val="006C3FEB"/>
    <w:rsid w:val="006C4091"/>
    <w:rsid w:val="006C4284"/>
    <w:rsid w:val="006C4405"/>
    <w:rsid w:val="006C4D2F"/>
    <w:rsid w:val="006C4E15"/>
    <w:rsid w:val="006C5648"/>
    <w:rsid w:val="006C5A40"/>
    <w:rsid w:val="006C5F69"/>
    <w:rsid w:val="006C6085"/>
    <w:rsid w:val="006C6161"/>
    <w:rsid w:val="006C6187"/>
    <w:rsid w:val="006C63C5"/>
    <w:rsid w:val="006C6445"/>
    <w:rsid w:val="006C658A"/>
    <w:rsid w:val="006C6769"/>
    <w:rsid w:val="006C6D84"/>
    <w:rsid w:val="006C6E4A"/>
    <w:rsid w:val="006C6E91"/>
    <w:rsid w:val="006C6F46"/>
    <w:rsid w:val="006C719B"/>
    <w:rsid w:val="006C752D"/>
    <w:rsid w:val="006C7609"/>
    <w:rsid w:val="006C7A98"/>
    <w:rsid w:val="006C7E30"/>
    <w:rsid w:val="006C7F64"/>
    <w:rsid w:val="006D0192"/>
    <w:rsid w:val="006D0198"/>
    <w:rsid w:val="006D030B"/>
    <w:rsid w:val="006D038F"/>
    <w:rsid w:val="006D06A4"/>
    <w:rsid w:val="006D0D43"/>
    <w:rsid w:val="006D0D82"/>
    <w:rsid w:val="006D10F1"/>
    <w:rsid w:val="006D1346"/>
    <w:rsid w:val="006D15A8"/>
    <w:rsid w:val="006D17F4"/>
    <w:rsid w:val="006D18ED"/>
    <w:rsid w:val="006D1B96"/>
    <w:rsid w:val="006D222C"/>
    <w:rsid w:val="006D244D"/>
    <w:rsid w:val="006D2469"/>
    <w:rsid w:val="006D2683"/>
    <w:rsid w:val="006D2C0C"/>
    <w:rsid w:val="006D2C90"/>
    <w:rsid w:val="006D3113"/>
    <w:rsid w:val="006D357B"/>
    <w:rsid w:val="006D368B"/>
    <w:rsid w:val="006D36AF"/>
    <w:rsid w:val="006D4125"/>
    <w:rsid w:val="006D41D0"/>
    <w:rsid w:val="006D43CC"/>
    <w:rsid w:val="006D43CD"/>
    <w:rsid w:val="006D4470"/>
    <w:rsid w:val="006D453C"/>
    <w:rsid w:val="006D4557"/>
    <w:rsid w:val="006D4B2F"/>
    <w:rsid w:val="006D4C5E"/>
    <w:rsid w:val="006D4C80"/>
    <w:rsid w:val="006D4D1D"/>
    <w:rsid w:val="006D4E36"/>
    <w:rsid w:val="006D508E"/>
    <w:rsid w:val="006D53E4"/>
    <w:rsid w:val="006D5F9E"/>
    <w:rsid w:val="006D6206"/>
    <w:rsid w:val="006D62E3"/>
    <w:rsid w:val="006D6433"/>
    <w:rsid w:val="006D680E"/>
    <w:rsid w:val="006D6ADF"/>
    <w:rsid w:val="006D6AF9"/>
    <w:rsid w:val="006D7009"/>
    <w:rsid w:val="006D7047"/>
    <w:rsid w:val="006D72A0"/>
    <w:rsid w:val="006D76EF"/>
    <w:rsid w:val="006D7B91"/>
    <w:rsid w:val="006D7CA3"/>
    <w:rsid w:val="006D7E11"/>
    <w:rsid w:val="006E0132"/>
    <w:rsid w:val="006E02DE"/>
    <w:rsid w:val="006E039C"/>
    <w:rsid w:val="006E0664"/>
    <w:rsid w:val="006E089C"/>
    <w:rsid w:val="006E0A30"/>
    <w:rsid w:val="006E0FC5"/>
    <w:rsid w:val="006E115B"/>
    <w:rsid w:val="006E13B2"/>
    <w:rsid w:val="006E152F"/>
    <w:rsid w:val="006E1561"/>
    <w:rsid w:val="006E15B2"/>
    <w:rsid w:val="006E1992"/>
    <w:rsid w:val="006E1F37"/>
    <w:rsid w:val="006E2138"/>
    <w:rsid w:val="006E231B"/>
    <w:rsid w:val="006E28F5"/>
    <w:rsid w:val="006E2DF9"/>
    <w:rsid w:val="006E2F4D"/>
    <w:rsid w:val="006E3409"/>
    <w:rsid w:val="006E3474"/>
    <w:rsid w:val="006E3B58"/>
    <w:rsid w:val="006E3BE9"/>
    <w:rsid w:val="006E4658"/>
    <w:rsid w:val="006E4A72"/>
    <w:rsid w:val="006E4E19"/>
    <w:rsid w:val="006E4EF0"/>
    <w:rsid w:val="006E50ED"/>
    <w:rsid w:val="006E50FA"/>
    <w:rsid w:val="006E5581"/>
    <w:rsid w:val="006E5720"/>
    <w:rsid w:val="006E5D03"/>
    <w:rsid w:val="006E5F7E"/>
    <w:rsid w:val="006E6412"/>
    <w:rsid w:val="006E6483"/>
    <w:rsid w:val="006E670F"/>
    <w:rsid w:val="006E6931"/>
    <w:rsid w:val="006E6A50"/>
    <w:rsid w:val="006E6F02"/>
    <w:rsid w:val="006E6F29"/>
    <w:rsid w:val="006E7595"/>
    <w:rsid w:val="006E767F"/>
    <w:rsid w:val="006E7A00"/>
    <w:rsid w:val="006F016C"/>
    <w:rsid w:val="006F0982"/>
    <w:rsid w:val="006F0B0C"/>
    <w:rsid w:val="006F1006"/>
    <w:rsid w:val="006F10E9"/>
    <w:rsid w:val="006F13F2"/>
    <w:rsid w:val="006F1451"/>
    <w:rsid w:val="006F1528"/>
    <w:rsid w:val="006F15EC"/>
    <w:rsid w:val="006F190B"/>
    <w:rsid w:val="006F1CDC"/>
    <w:rsid w:val="006F1EF7"/>
    <w:rsid w:val="006F28EB"/>
    <w:rsid w:val="006F2CC5"/>
    <w:rsid w:val="006F2D38"/>
    <w:rsid w:val="006F2EDC"/>
    <w:rsid w:val="006F2EE9"/>
    <w:rsid w:val="006F30ED"/>
    <w:rsid w:val="006F3389"/>
    <w:rsid w:val="006F33D2"/>
    <w:rsid w:val="006F33ED"/>
    <w:rsid w:val="006F3BCE"/>
    <w:rsid w:val="006F3BE8"/>
    <w:rsid w:val="006F4890"/>
    <w:rsid w:val="006F4B0E"/>
    <w:rsid w:val="006F4F18"/>
    <w:rsid w:val="006F502F"/>
    <w:rsid w:val="006F5094"/>
    <w:rsid w:val="006F553A"/>
    <w:rsid w:val="006F701C"/>
    <w:rsid w:val="006F7803"/>
    <w:rsid w:val="006F7B73"/>
    <w:rsid w:val="006F7E7E"/>
    <w:rsid w:val="007000E4"/>
    <w:rsid w:val="007002AB"/>
    <w:rsid w:val="00700301"/>
    <w:rsid w:val="007004E7"/>
    <w:rsid w:val="00700994"/>
    <w:rsid w:val="00700B85"/>
    <w:rsid w:val="00700BDA"/>
    <w:rsid w:val="00700C17"/>
    <w:rsid w:val="00700F5B"/>
    <w:rsid w:val="00701508"/>
    <w:rsid w:val="007016BC"/>
    <w:rsid w:val="007016C6"/>
    <w:rsid w:val="007018D7"/>
    <w:rsid w:val="00701C8A"/>
    <w:rsid w:val="00701CFE"/>
    <w:rsid w:val="00701DC4"/>
    <w:rsid w:val="00701DF2"/>
    <w:rsid w:val="007022F4"/>
    <w:rsid w:val="0070287F"/>
    <w:rsid w:val="00702BDE"/>
    <w:rsid w:val="00702C7F"/>
    <w:rsid w:val="0070305B"/>
    <w:rsid w:val="007031F0"/>
    <w:rsid w:val="0070355A"/>
    <w:rsid w:val="00703753"/>
    <w:rsid w:val="00703761"/>
    <w:rsid w:val="007038BF"/>
    <w:rsid w:val="00703A76"/>
    <w:rsid w:val="00703B46"/>
    <w:rsid w:val="00703B80"/>
    <w:rsid w:val="00703F7B"/>
    <w:rsid w:val="0070461C"/>
    <w:rsid w:val="00704820"/>
    <w:rsid w:val="00704C44"/>
    <w:rsid w:val="00704C5E"/>
    <w:rsid w:val="00704DD3"/>
    <w:rsid w:val="00705052"/>
    <w:rsid w:val="007051DF"/>
    <w:rsid w:val="007052A2"/>
    <w:rsid w:val="00705590"/>
    <w:rsid w:val="00705E0F"/>
    <w:rsid w:val="00706023"/>
    <w:rsid w:val="007061BD"/>
    <w:rsid w:val="007062B9"/>
    <w:rsid w:val="00707281"/>
    <w:rsid w:val="007075A6"/>
    <w:rsid w:val="0070786F"/>
    <w:rsid w:val="0071031C"/>
    <w:rsid w:val="007109FC"/>
    <w:rsid w:val="00710A92"/>
    <w:rsid w:val="00710FAD"/>
    <w:rsid w:val="0071113D"/>
    <w:rsid w:val="007114BC"/>
    <w:rsid w:val="00711B0D"/>
    <w:rsid w:val="007124E8"/>
    <w:rsid w:val="007126B4"/>
    <w:rsid w:val="00712B9F"/>
    <w:rsid w:val="007136AA"/>
    <w:rsid w:val="00713837"/>
    <w:rsid w:val="00713A4F"/>
    <w:rsid w:val="00713A91"/>
    <w:rsid w:val="00713EF2"/>
    <w:rsid w:val="007141AC"/>
    <w:rsid w:val="007141BA"/>
    <w:rsid w:val="007143E3"/>
    <w:rsid w:val="0071453E"/>
    <w:rsid w:val="0071485F"/>
    <w:rsid w:val="00714A32"/>
    <w:rsid w:val="00714F83"/>
    <w:rsid w:val="0071598B"/>
    <w:rsid w:val="00715B7C"/>
    <w:rsid w:val="00715BB8"/>
    <w:rsid w:val="007163B1"/>
    <w:rsid w:val="007166F2"/>
    <w:rsid w:val="00716E55"/>
    <w:rsid w:val="00716F3B"/>
    <w:rsid w:val="00717382"/>
    <w:rsid w:val="00717597"/>
    <w:rsid w:val="00717B50"/>
    <w:rsid w:val="00720349"/>
    <w:rsid w:val="00720442"/>
    <w:rsid w:val="00720E3A"/>
    <w:rsid w:val="00720E63"/>
    <w:rsid w:val="00720EA7"/>
    <w:rsid w:val="00721654"/>
    <w:rsid w:val="00721918"/>
    <w:rsid w:val="00721BB5"/>
    <w:rsid w:val="00721BFD"/>
    <w:rsid w:val="00721D95"/>
    <w:rsid w:val="007221FD"/>
    <w:rsid w:val="00722CFA"/>
    <w:rsid w:val="00722DED"/>
    <w:rsid w:val="007238B6"/>
    <w:rsid w:val="00724981"/>
    <w:rsid w:val="00724DBA"/>
    <w:rsid w:val="00725095"/>
    <w:rsid w:val="007252AC"/>
    <w:rsid w:val="00725325"/>
    <w:rsid w:val="00725CA7"/>
    <w:rsid w:val="00726992"/>
    <w:rsid w:val="00726B80"/>
    <w:rsid w:val="00726F1D"/>
    <w:rsid w:val="007271CA"/>
    <w:rsid w:val="007273B3"/>
    <w:rsid w:val="00727553"/>
    <w:rsid w:val="00727E7E"/>
    <w:rsid w:val="007302D3"/>
    <w:rsid w:val="007302E5"/>
    <w:rsid w:val="00730718"/>
    <w:rsid w:val="00730A36"/>
    <w:rsid w:val="00731017"/>
    <w:rsid w:val="00731226"/>
    <w:rsid w:val="00731502"/>
    <w:rsid w:val="00731644"/>
    <w:rsid w:val="00731673"/>
    <w:rsid w:val="00731C5D"/>
    <w:rsid w:val="00731DC4"/>
    <w:rsid w:val="00732646"/>
    <w:rsid w:val="0073267C"/>
    <w:rsid w:val="007326F0"/>
    <w:rsid w:val="007328E9"/>
    <w:rsid w:val="007333C4"/>
    <w:rsid w:val="00733EA6"/>
    <w:rsid w:val="00734B21"/>
    <w:rsid w:val="00734C33"/>
    <w:rsid w:val="00734F4D"/>
    <w:rsid w:val="00735742"/>
    <w:rsid w:val="007357BC"/>
    <w:rsid w:val="0073583E"/>
    <w:rsid w:val="00736288"/>
    <w:rsid w:val="0073631A"/>
    <w:rsid w:val="007368A1"/>
    <w:rsid w:val="00736AC8"/>
    <w:rsid w:val="00736EE6"/>
    <w:rsid w:val="007373CD"/>
    <w:rsid w:val="00737657"/>
    <w:rsid w:val="0073785B"/>
    <w:rsid w:val="00737AA2"/>
    <w:rsid w:val="00737FE9"/>
    <w:rsid w:val="007402A1"/>
    <w:rsid w:val="0074046A"/>
    <w:rsid w:val="00740995"/>
    <w:rsid w:val="007412A7"/>
    <w:rsid w:val="007412F6"/>
    <w:rsid w:val="00741344"/>
    <w:rsid w:val="00741AB5"/>
    <w:rsid w:val="00741C8E"/>
    <w:rsid w:val="00741D6B"/>
    <w:rsid w:val="00741F51"/>
    <w:rsid w:val="00742383"/>
    <w:rsid w:val="007423A4"/>
    <w:rsid w:val="00742459"/>
    <w:rsid w:val="0074273F"/>
    <w:rsid w:val="007429DB"/>
    <w:rsid w:val="00742B83"/>
    <w:rsid w:val="00743019"/>
    <w:rsid w:val="00743818"/>
    <w:rsid w:val="0074399E"/>
    <w:rsid w:val="00743A10"/>
    <w:rsid w:val="00743A1C"/>
    <w:rsid w:val="00743AA6"/>
    <w:rsid w:val="00743D23"/>
    <w:rsid w:val="007445E6"/>
    <w:rsid w:val="007447B8"/>
    <w:rsid w:val="007447D2"/>
    <w:rsid w:val="00744BFF"/>
    <w:rsid w:val="00744EA0"/>
    <w:rsid w:val="00744FE7"/>
    <w:rsid w:val="00745996"/>
    <w:rsid w:val="007459E2"/>
    <w:rsid w:val="00745BBA"/>
    <w:rsid w:val="00745C36"/>
    <w:rsid w:val="00745D17"/>
    <w:rsid w:val="00745F08"/>
    <w:rsid w:val="0074653F"/>
    <w:rsid w:val="0074693C"/>
    <w:rsid w:val="00746B99"/>
    <w:rsid w:val="00746C36"/>
    <w:rsid w:val="0074701F"/>
    <w:rsid w:val="007472D2"/>
    <w:rsid w:val="007475F2"/>
    <w:rsid w:val="00747907"/>
    <w:rsid w:val="00747D4D"/>
    <w:rsid w:val="00747E82"/>
    <w:rsid w:val="007501AB"/>
    <w:rsid w:val="007501E5"/>
    <w:rsid w:val="0075025A"/>
    <w:rsid w:val="007504F3"/>
    <w:rsid w:val="00750557"/>
    <w:rsid w:val="007507E8"/>
    <w:rsid w:val="00750B08"/>
    <w:rsid w:val="00750D39"/>
    <w:rsid w:val="00750F10"/>
    <w:rsid w:val="00751A66"/>
    <w:rsid w:val="00751D13"/>
    <w:rsid w:val="00751FD4"/>
    <w:rsid w:val="007520C1"/>
    <w:rsid w:val="00752261"/>
    <w:rsid w:val="00752375"/>
    <w:rsid w:val="0075249A"/>
    <w:rsid w:val="00752658"/>
    <w:rsid w:val="00752A5A"/>
    <w:rsid w:val="00752F47"/>
    <w:rsid w:val="00753600"/>
    <w:rsid w:val="00754297"/>
    <w:rsid w:val="007545E1"/>
    <w:rsid w:val="0075484C"/>
    <w:rsid w:val="00754AA8"/>
    <w:rsid w:val="00754BC8"/>
    <w:rsid w:val="007550D1"/>
    <w:rsid w:val="00755E9D"/>
    <w:rsid w:val="00755EBB"/>
    <w:rsid w:val="0075628F"/>
    <w:rsid w:val="00756422"/>
    <w:rsid w:val="0075690B"/>
    <w:rsid w:val="00756C3A"/>
    <w:rsid w:val="00756C84"/>
    <w:rsid w:val="00756DDA"/>
    <w:rsid w:val="00756EC8"/>
    <w:rsid w:val="0075712F"/>
    <w:rsid w:val="0075713F"/>
    <w:rsid w:val="00757427"/>
    <w:rsid w:val="0075756E"/>
    <w:rsid w:val="00760378"/>
    <w:rsid w:val="00760C20"/>
    <w:rsid w:val="00760DEF"/>
    <w:rsid w:val="007611BD"/>
    <w:rsid w:val="007616C2"/>
    <w:rsid w:val="00761719"/>
    <w:rsid w:val="007620EE"/>
    <w:rsid w:val="00762138"/>
    <w:rsid w:val="0076268C"/>
    <w:rsid w:val="00762D2F"/>
    <w:rsid w:val="0076301C"/>
    <w:rsid w:val="007631B0"/>
    <w:rsid w:val="007632C0"/>
    <w:rsid w:val="00763316"/>
    <w:rsid w:val="0076397D"/>
    <w:rsid w:val="00763A33"/>
    <w:rsid w:val="00763F63"/>
    <w:rsid w:val="00764232"/>
    <w:rsid w:val="0076449A"/>
    <w:rsid w:val="00764933"/>
    <w:rsid w:val="007649AE"/>
    <w:rsid w:val="00764D92"/>
    <w:rsid w:val="00764E51"/>
    <w:rsid w:val="00764EAB"/>
    <w:rsid w:val="0076520A"/>
    <w:rsid w:val="00765240"/>
    <w:rsid w:val="00765634"/>
    <w:rsid w:val="0076595D"/>
    <w:rsid w:val="00765D8A"/>
    <w:rsid w:val="00766273"/>
    <w:rsid w:val="007668E9"/>
    <w:rsid w:val="00766C5D"/>
    <w:rsid w:val="00766D2D"/>
    <w:rsid w:val="00766DD0"/>
    <w:rsid w:val="00766EE7"/>
    <w:rsid w:val="00766FC7"/>
    <w:rsid w:val="0076708D"/>
    <w:rsid w:val="007670BB"/>
    <w:rsid w:val="007676AE"/>
    <w:rsid w:val="007676C1"/>
    <w:rsid w:val="0076794B"/>
    <w:rsid w:val="007679FF"/>
    <w:rsid w:val="00767FEF"/>
    <w:rsid w:val="007703AC"/>
    <w:rsid w:val="00770677"/>
    <w:rsid w:val="007708EF"/>
    <w:rsid w:val="00770C44"/>
    <w:rsid w:val="00770E50"/>
    <w:rsid w:val="00770F6A"/>
    <w:rsid w:val="00771791"/>
    <w:rsid w:val="0077287C"/>
    <w:rsid w:val="00772B62"/>
    <w:rsid w:val="00773661"/>
    <w:rsid w:val="007738C7"/>
    <w:rsid w:val="0077431D"/>
    <w:rsid w:val="00774692"/>
    <w:rsid w:val="00774DC0"/>
    <w:rsid w:val="007752DE"/>
    <w:rsid w:val="0077531B"/>
    <w:rsid w:val="0077562A"/>
    <w:rsid w:val="00775A4F"/>
    <w:rsid w:val="00775C32"/>
    <w:rsid w:val="0077640D"/>
    <w:rsid w:val="007766C4"/>
    <w:rsid w:val="00776959"/>
    <w:rsid w:val="00776A21"/>
    <w:rsid w:val="00776AC0"/>
    <w:rsid w:val="00776B73"/>
    <w:rsid w:val="00776C1E"/>
    <w:rsid w:val="00776C3D"/>
    <w:rsid w:val="00776CA7"/>
    <w:rsid w:val="007772AC"/>
    <w:rsid w:val="00777621"/>
    <w:rsid w:val="00777CB1"/>
    <w:rsid w:val="0077A97F"/>
    <w:rsid w:val="007803E1"/>
    <w:rsid w:val="00780499"/>
    <w:rsid w:val="0078072B"/>
    <w:rsid w:val="0078117D"/>
    <w:rsid w:val="007814E9"/>
    <w:rsid w:val="00781966"/>
    <w:rsid w:val="007819B8"/>
    <w:rsid w:val="007819E0"/>
    <w:rsid w:val="00781A70"/>
    <w:rsid w:val="00782015"/>
    <w:rsid w:val="00782390"/>
    <w:rsid w:val="007823FD"/>
    <w:rsid w:val="00782764"/>
    <w:rsid w:val="0078288B"/>
    <w:rsid w:val="0078289D"/>
    <w:rsid w:val="00782B16"/>
    <w:rsid w:val="00782E21"/>
    <w:rsid w:val="0078302A"/>
    <w:rsid w:val="007834C4"/>
    <w:rsid w:val="00783537"/>
    <w:rsid w:val="00783858"/>
    <w:rsid w:val="00783874"/>
    <w:rsid w:val="007838AD"/>
    <w:rsid w:val="00784475"/>
    <w:rsid w:val="007844A2"/>
    <w:rsid w:val="007846F9"/>
    <w:rsid w:val="00784789"/>
    <w:rsid w:val="00784B25"/>
    <w:rsid w:val="00784F7C"/>
    <w:rsid w:val="007851C5"/>
    <w:rsid w:val="00785337"/>
    <w:rsid w:val="00785590"/>
    <w:rsid w:val="007856D8"/>
    <w:rsid w:val="00785787"/>
    <w:rsid w:val="00785AF6"/>
    <w:rsid w:val="00785C50"/>
    <w:rsid w:val="00785CCE"/>
    <w:rsid w:val="00785E67"/>
    <w:rsid w:val="00785FAE"/>
    <w:rsid w:val="00786093"/>
    <w:rsid w:val="007860D1"/>
    <w:rsid w:val="00786571"/>
    <w:rsid w:val="007865B1"/>
    <w:rsid w:val="00786723"/>
    <w:rsid w:val="00786B54"/>
    <w:rsid w:val="00786C17"/>
    <w:rsid w:val="007872AA"/>
    <w:rsid w:val="00787359"/>
    <w:rsid w:val="00787459"/>
    <w:rsid w:val="00787711"/>
    <w:rsid w:val="00787902"/>
    <w:rsid w:val="00787BA1"/>
    <w:rsid w:val="00787CFA"/>
    <w:rsid w:val="00787D32"/>
    <w:rsid w:val="00787DCB"/>
    <w:rsid w:val="00787F72"/>
    <w:rsid w:val="00787FF0"/>
    <w:rsid w:val="007901AB"/>
    <w:rsid w:val="007903AF"/>
    <w:rsid w:val="0079060F"/>
    <w:rsid w:val="00790611"/>
    <w:rsid w:val="007906E7"/>
    <w:rsid w:val="0079070E"/>
    <w:rsid w:val="00790D41"/>
    <w:rsid w:val="0079122D"/>
    <w:rsid w:val="00791402"/>
    <w:rsid w:val="00791ADE"/>
    <w:rsid w:val="007920C2"/>
    <w:rsid w:val="007921B3"/>
    <w:rsid w:val="007921E1"/>
    <w:rsid w:val="0079232B"/>
    <w:rsid w:val="007923E1"/>
    <w:rsid w:val="00792756"/>
    <w:rsid w:val="00792EE4"/>
    <w:rsid w:val="00793475"/>
    <w:rsid w:val="0079391D"/>
    <w:rsid w:val="00794808"/>
    <w:rsid w:val="00794E93"/>
    <w:rsid w:val="00794F35"/>
    <w:rsid w:val="00795433"/>
    <w:rsid w:val="007955F3"/>
    <w:rsid w:val="00795926"/>
    <w:rsid w:val="00795A13"/>
    <w:rsid w:val="00795B9C"/>
    <w:rsid w:val="00795FBA"/>
    <w:rsid w:val="007962B3"/>
    <w:rsid w:val="00796420"/>
    <w:rsid w:val="00796548"/>
    <w:rsid w:val="007965E5"/>
    <w:rsid w:val="007966D0"/>
    <w:rsid w:val="00796C42"/>
    <w:rsid w:val="00796D9D"/>
    <w:rsid w:val="007973D1"/>
    <w:rsid w:val="0079750A"/>
    <w:rsid w:val="007A0408"/>
    <w:rsid w:val="007A0E16"/>
    <w:rsid w:val="007A0E49"/>
    <w:rsid w:val="007A127D"/>
    <w:rsid w:val="007A1528"/>
    <w:rsid w:val="007A15B9"/>
    <w:rsid w:val="007A17E9"/>
    <w:rsid w:val="007A17EA"/>
    <w:rsid w:val="007A1E7B"/>
    <w:rsid w:val="007A2510"/>
    <w:rsid w:val="007A2805"/>
    <w:rsid w:val="007A2BD0"/>
    <w:rsid w:val="007A2CA7"/>
    <w:rsid w:val="007A2E85"/>
    <w:rsid w:val="007A3035"/>
    <w:rsid w:val="007A310E"/>
    <w:rsid w:val="007A344E"/>
    <w:rsid w:val="007A3569"/>
    <w:rsid w:val="007A385D"/>
    <w:rsid w:val="007A3E92"/>
    <w:rsid w:val="007A4286"/>
    <w:rsid w:val="007A4804"/>
    <w:rsid w:val="007A4833"/>
    <w:rsid w:val="007A49C4"/>
    <w:rsid w:val="007A4A54"/>
    <w:rsid w:val="007A4E9E"/>
    <w:rsid w:val="007A536C"/>
    <w:rsid w:val="007A5A3F"/>
    <w:rsid w:val="007A5BDD"/>
    <w:rsid w:val="007A5CC4"/>
    <w:rsid w:val="007A5DA6"/>
    <w:rsid w:val="007A60B8"/>
    <w:rsid w:val="007A65B4"/>
    <w:rsid w:val="007A679A"/>
    <w:rsid w:val="007A68EC"/>
    <w:rsid w:val="007A6AA2"/>
    <w:rsid w:val="007A70AF"/>
    <w:rsid w:val="007A75A2"/>
    <w:rsid w:val="007A76E5"/>
    <w:rsid w:val="007A7852"/>
    <w:rsid w:val="007B002B"/>
    <w:rsid w:val="007B02FE"/>
    <w:rsid w:val="007B0422"/>
    <w:rsid w:val="007B0476"/>
    <w:rsid w:val="007B073C"/>
    <w:rsid w:val="007B074C"/>
    <w:rsid w:val="007B099E"/>
    <w:rsid w:val="007B0B90"/>
    <w:rsid w:val="007B0C94"/>
    <w:rsid w:val="007B1256"/>
    <w:rsid w:val="007B1689"/>
    <w:rsid w:val="007B1CC4"/>
    <w:rsid w:val="007B1F3C"/>
    <w:rsid w:val="007B28CB"/>
    <w:rsid w:val="007B2BEA"/>
    <w:rsid w:val="007B2E0D"/>
    <w:rsid w:val="007B30C8"/>
    <w:rsid w:val="007B35B0"/>
    <w:rsid w:val="007B39E9"/>
    <w:rsid w:val="007B43A1"/>
    <w:rsid w:val="007B44C9"/>
    <w:rsid w:val="007B4ABE"/>
    <w:rsid w:val="007B4C7D"/>
    <w:rsid w:val="007B4ED1"/>
    <w:rsid w:val="007B5483"/>
    <w:rsid w:val="007B587D"/>
    <w:rsid w:val="007B59B2"/>
    <w:rsid w:val="007B5C0B"/>
    <w:rsid w:val="007B60A4"/>
    <w:rsid w:val="007B64AE"/>
    <w:rsid w:val="007B6599"/>
    <w:rsid w:val="007B7915"/>
    <w:rsid w:val="007B79FB"/>
    <w:rsid w:val="007B7FC3"/>
    <w:rsid w:val="007C0222"/>
    <w:rsid w:val="007C09C6"/>
    <w:rsid w:val="007C0A48"/>
    <w:rsid w:val="007C0C2E"/>
    <w:rsid w:val="007C1745"/>
    <w:rsid w:val="007C1888"/>
    <w:rsid w:val="007C1CA1"/>
    <w:rsid w:val="007C1F16"/>
    <w:rsid w:val="007C1F9B"/>
    <w:rsid w:val="007C21A6"/>
    <w:rsid w:val="007C21F4"/>
    <w:rsid w:val="007C23EB"/>
    <w:rsid w:val="007C27B9"/>
    <w:rsid w:val="007C2CFB"/>
    <w:rsid w:val="007C2EDC"/>
    <w:rsid w:val="007C310B"/>
    <w:rsid w:val="007C34CC"/>
    <w:rsid w:val="007C354B"/>
    <w:rsid w:val="007C370B"/>
    <w:rsid w:val="007C3D72"/>
    <w:rsid w:val="007C3E3A"/>
    <w:rsid w:val="007C4241"/>
    <w:rsid w:val="007C4514"/>
    <w:rsid w:val="007C4705"/>
    <w:rsid w:val="007C4861"/>
    <w:rsid w:val="007C5228"/>
    <w:rsid w:val="007C530D"/>
    <w:rsid w:val="007C537F"/>
    <w:rsid w:val="007C5412"/>
    <w:rsid w:val="007C560A"/>
    <w:rsid w:val="007C5CE0"/>
    <w:rsid w:val="007C6005"/>
    <w:rsid w:val="007C615C"/>
    <w:rsid w:val="007C62EB"/>
    <w:rsid w:val="007C6731"/>
    <w:rsid w:val="007C6AEE"/>
    <w:rsid w:val="007C71D7"/>
    <w:rsid w:val="007C79CA"/>
    <w:rsid w:val="007C7D70"/>
    <w:rsid w:val="007C7FAF"/>
    <w:rsid w:val="007D021A"/>
    <w:rsid w:val="007D08C0"/>
    <w:rsid w:val="007D08D4"/>
    <w:rsid w:val="007D08EF"/>
    <w:rsid w:val="007D0D7C"/>
    <w:rsid w:val="007D0D7F"/>
    <w:rsid w:val="007D0F7B"/>
    <w:rsid w:val="007D120E"/>
    <w:rsid w:val="007D1731"/>
    <w:rsid w:val="007D1B66"/>
    <w:rsid w:val="007D1C2C"/>
    <w:rsid w:val="007D1DAE"/>
    <w:rsid w:val="007D26EB"/>
    <w:rsid w:val="007D2A83"/>
    <w:rsid w:val="007D2D0E"/>
    <w:rsid w:val="007D2F69"/>
    <w:rsid w:val="007D3608"/>
    <w:rsid w:val="007D38F7"/>
    <w:rsid w:val="007D38FA"/>
    <w:rsid w:val="007D439B"/>
    <w:rsid w:val="007D43F8"/>
    <w:rsid w:val="007D4A26"/>
    <w:rsid w:val="007D4B60"/>
    <w:rsid w:val="007D52E6"/>
    <w:rsid w:val="007D533F"/>
    <w:rsid w:val="007D5862"/>
    <w:rsid w:val="007D58E6"/>
    <w:rsid w:val="007D6576"/>
    <w:rsid w:val="007D6987"/>
    <w:rsid w:val="007D69EC"/>
    <w:rsid w:val="007D6D79"/>
    <w:rsid w:val="007D741E"/>
    <w:rsid w:val="007D741F"/>
    <w:rsid w:val="007D7494"/>
    <w:rsid w:val="007D76FA"/>
    <w:rsid w:val="007D7877"/>
    <w:rsid w:val="007D7E7A"/>
    <w:rsid w:val="007E0199"/>
    <w:rsid w:val="007E10AA"/>
    <w:rsid w:val="007E127D"/>
    <w:rsid w:val="007E16AE"/>
    <w:rsid w:val="007E1831"/>
    <w:rsid w:val="007E230A"/>
    <w:rsid w:val="007E2875"/>
    <w:rsid w:val="007E2C30"/>
    <w:rsid w:val="007E2D8E"/>
    <w:rsid w:val="007E2F60"/>
    <w:rsid w:val="007E318E"/>
    <w:rsid w:val="007E35B5"/>
    <w:rsid w:val="007E3758"/>
    <w:rsid w:val="007E39CA"/>
    <w:rsid w:val="007E3EBE"/>
    <w:rsid w:val="007E41D2"/>
    <w:rsid w:val="007E45F8"/>
    <w:rsid w:val="007E5652"/>
    <w:rsid w:val="007E5793"/>
    <w:rsid w:val="007E57A9"/>
    <w:rsid w:val="007E5AFE"/>
    <w:rsid w:val="007E5B35"/>
    <w:rsid w:val="007E5D70"/>
    <w:rsid w:val="007E5FF4"/>
    <w:rsid w:val="007E64ED"/>
    <w:rsid w:val="007E6902"/>
    <w:rsid w:val="007E704B"/>
    <w:rsid w:val="007E71BE"/>
    <w:rsid w:val="007E7A6E"/>
    <w:rsid w:val="007E7D39"/>
    <w:rsid w:val="007E7EAD"/>
    <w:rsid w:val="007F0B13"/>
    <w:rsid w:val="007F11B1"/>
    <w:rsid w:val="007F11EB"/>
    <w:rsid w:val="007F1372"/>
    <w:rsid w:val="007F13A1"/>
    <w:rsid w:val="007F1421"/>
    <w:rsid w:val="007F1809"/>
    <w:rsid w:val="007F1DF1"/>
    <w:rsid w:val="007F1E2F"/>
    <w:rsid w:val="007F227E"/>
    <w:rsid w:val="007F2425"/>
    <w:rsid w:val="007F2613"/>
    <w:rsid w:val="007F275D"/>
    <w:rsid w:val="007F2847"/>
    <w:rsid w:val="007F2A5A"/>
    <w:rsid w:val="007F2C45"/>
    <w:rsid w:val="007F2F29"/>
    <w:rsid w:val="007F3061"/>
    <w:rsid w:val="007F3457"/>
    <w:rsid w:val="007F36EA"/>
    <w:rsid w:val="007F3788"/>
    <w:rsid w:val="007F3D56"/>
    <w:rsid w:val="007F3D91"/>
    <w:rsid w:val="007F41DB"/>
    <w:rsid w:val="007F4A9A"/>
    <w:rsid w:val="007F4C5C"/>
    <w:rsid w:val="007F4CDC"/>
    <w:rsid w:val="007F51D5"/>
    <w:rsid w:val="007F5FF8"/>
    <w:rsid w:val="007F61E4"/>
    <w:rsid w:val="007F634A"/>
    <w:rsid w:val="007F6536"/>
    <w:rsid w:val="007F65F8"/>
    <w:rsid w:val="007F67AC"/>
    <w:rsid w:val="007F69B6"/>
    <w:rsid w:val="007F6A7A"/>
    <w:rsid w:val="007F6D93"/>
    <w:rsid w:val="007F73CC"/>
    <w:rsid w:val="007F77BB"/>
    <w:rsid w:val="007F7B86"/>
    <w:rsid w:val="007F7CA5"/>
    <w:rsid w:val="00800040"/>
    <w:rsid w:val="008003B9"/>
    <w:rsid w:val="00800830"/>
    <w:rsid w:val="008009A6"/>
    <w:rsid w:val="00800AFF"/>
    <w:rsid w:val="00800B48"/>
    <w:rsid w:val="00800C8A"/>
    <w:rsid w:val="00801546"/>
    <w:rsid w:val="0080166E"/>
    <w:rsid w:val="008018D5"/>
    <w:rsid w:val="008019BC"/>
    <w:rsid w:val="00801B61"/>
    <w:rsid w:val="00801BE2"/>
    <w:rsid w:val="00801FD7"/>
    <w:rsid w:val="00801FEE"/>
    <w:rsid w:val="00802001"/>
    <w:rsid w:val="008028EE"/>
    <w:rsid w:val="00802D15"/>
    <w:rsid w:val="00802F4E"/>
    <w:rsid w:val="00803C51"/>
    <w:rsid w:val="00803E5E"/>
    <w:rsid w:val="00803F47"/>
    <w:rsid w:val="00804357"/>
    <w:rsid w:val="00804817"/>
    <w:rsid w:val="0080528D"/>
    <w:rsid w:val="00805423"/>
    <w:rsid w:val="00805424"/>
    <w:rsid w:val="00805662"/>
    <w:rsid w:val="00805BAE"/>
    <w:rsid w:val="00805D26"/>
    <w:rsid w:val="00805F8A"/>
    <w:rsid w:val="00806126"/>
    <w:rsid w:val="00806234"/>
    <w:rsid w:val="008062A6"/>
    <w:rsid w:val="00806476"/>
    <w:rsid w:val="00806497"/>
    <w:rsid w:val="00806805"/>
    <w:rsid w:val="008068C7"/>
    <w:rsid w:val="00806D15"/>
    <w:rsid w:val="00806E91"/>
    <w:rsid w:val="00806EC3"/>
    <w:rsid w:val="008071B7"/>
    <w:rsid w:val="0080735B"/>
    <w:rsid w:val="00807445"/>
    <w:rsid w:val="00807506"/>
    <w:rsid w:val="008075EA"/>
    <w:rsid w:val="0080764C"/>
    <w:rsid w:val="008079CF"/>
    <w:rsid w:val="00807E77"/>
    <w:rsid w:val="00811606"/>
    <w:rsid w:val="008117FB"/>
    <w:rsid w:val="00811DE6"/>
    <w:rsid w:val="00811E28"/>
    <w:rsid w:val="00811F67"/>
    <w:rsid w:val="00812203"/>
    <w:rsid w:val="008122A0"/>
    <w:rsid w:val="00812336"/>
    <w:rsid w:val="00812565"/>
    <w:rsid w:val="0081292A"/>
    <w:rsid w:val="00812BF9"/>
    <w:rsid w:val="00812C74"/>
    <w:rsid w:val="00813279"/>
    <w:rsid w:val="0081334C"/>
    <w:rsid w:val="008137CC"/>
    <w:rsid w:val="008138EB"/>
    <w:rsid w:val="00813A3C"/>
    <w:rsid w:val="00813D0F"/>
    <w:rsid w:val="00813E34"/>
    <w:rsid w:val="0081425B"/>
    <w:rsid w:val="00814317"/>
    <w:rsid w:val="008145F0"/>
    <w:rsid w:val="00814812"/>
    <w:rsid w:val="00814977"/>
    <w:rsid w:val="00814A14"/>
    <w:rsid w:val="00814D75"/>
    <w:rsid w:val="00814D97"/>
    <w:rsid w:val="00815085"/>
    <w:rsid w:val="008152AB"/>
    <w:rsid w:val="008153D8"/>
    <w:rsid w:val="00815516"/>
    <w:rsid w:val="00815BFE"/>
    <w:rsid w:val="00815C03"/>
    <w:rsid w:val="008160ED"/>
    <w:rsid w:val="0081680A"/>
    <w:rsid w:val="0081690D"/>
    <w:rsid w:val="00816A0F"/>
    <w:rsid w:val="00816B30"/>
    <w:rsid w:val="0081715E"/>
    <w:rsid w:val="008176BC"/>
    <w:rsid w:val="008176E2"/>
    <w:rsid w:val="00817890"/>
    <w:rsid w:val="00817901"/>
    <w:rsid w:val="00817B10"/>
    <w:rsid w:val="00817EC9"/>
    <w:rsid w:val="0082004C"/>
    <w:rsid w:val="008200E2"/>
    <w:rsid w:val="00820228"/>
    <w:rsid w:val="008204D6"/>
    <w:rsid w:val="00820BD2"/>
    <w:rsid w:val="00821124"/>
    <w:rsid w:val="00821529"/>
    <w:rsid w:val="00821642"/>
    <w:rsid w:val="00821719"/>
    <w:rsid w:val="00821779"/>
    <w:rsid w:val="008217D4"/>
    <w:rsid w:val="008217FB"/>
    <w:rsid w:val="0082208F"/>
    <w:rsid w:val="0082242D"/>
    <w:rsid w:val="00822AB9"/>
    <w:rsid w:val="00822C55"/>
    <w:rsid w:val="00822D11"/>
    <w:rsid w:val="0082305A"/>
    <w:rsid w:val="0082317E"/>
    <w:rsid w:val="00823201"/>
    <w:rsid w:val="00823605"/>
    <w:rsid w:val="008239F7"/>
    <w:rsid w:val="00823E3D"/>
    <w:rsid w:val="00824ABD"/>
    <w:rsid w:val="00824AF5"/>
    <w:rsid w:val="00824D19"/>
    <w:rsid w:val="00825428"/>
    <w:rsid w:val="008254F9"/>
    <w:rsid w:val="0082580F"/>
    <w:rsid w:val="00825849"/>
    <w:rsid w:val="00825D97"/>
    <w:rsid w:val="00826029"/>
    <w:rsid w:val="00826C2C"/>
    <w:rsid w:val="00826D06"/>
    <w:rsid w:val="008270C2"/>
    <w:rsid w:val="00827541"/>
    <w:rsid w:val="008276EA"/>
    <w:rsid w:val="00827B86"/>
    <w:rsid w:val="00827F0E"/>
    <w:rsid w:val="0083000A"/>
    <w:rsid w:val="00830323"/>
    <w:rsid w:val="00830743"/>
    <w:rsid w:val="00830EBD"/>
    <w:rsid w:val="00831597"/>
    <w:rsid w:val="00831619"/>
    <w:rsid w:val="008319F6"/>
    <w:rsid w:val="00831B01"/>
    <w:rsid w:val="00831B28"/>
    <w:rsid w:val="00831DE5"/>
    <w:rsid w:val="00831F44"/>
    <w:rsid w:val="00832299"/>
    <w:rsid w:val="008326A3"/>
    <w:rsid w:val="008326D2"/>
    <w:rsid w:val="0083295F"/>
    <w:rsid w:val="00832E32"/>
    <w:rsid w:val="00832F8C"/>
    <w:rsid w:val="008332CD"/>
    <w:rsid w:val="00833A2E"/>
    <w:rsid w:val="00834002"/>
    <w:rsid w:val="0083409D"/>
    <w:rsid w:val="0083433D"/>
    <w:rsid w:val="008345CC"/>
    <w:rsid w:val="008347BF"/>
    <w:rsid w:val="00834BB1"/>
    <w:rsid w:val="00835111"/>
    <w:rsid w:val="00835233"/>
    <w:rsid w:val="008354CA"/>
    <w:rsid w:val="008354CF"/>
    <w:rsid w:val="00835586"/>
    <w:rsid w:val="00835863"/>
    <w:rsid w:val="00835C06"/>
    <w:rsid w:val="008360C6"/>
    <w:rsid w:val="00836125"/>
    <w:rsid w:val="008369D1"/>
    <w:rsid w:val="00836ACD"/>
    <w:rsid w:val="00836C18"/>
    <w:rsid w:val="00836CA9"/>
    <w:rsid w:val="00836F30"/>
    <w:rsid w:val="008375FA"/>
    <w:rsid w:val="00837D79"/>
    <w:rsid w:val="00838F6B"/>
    <w:rsid w:val="008400D1"/>
    <w:rsid w:val="00840732"/>
    <w:rsid w:val="00840753"/>
    <w:rsid w:val="008408AD"/>
    <w:rsid w:val="00840998"/>
    <w:rsid w:val="00840A38"/>
    <w:rsid w:val="00840B3F"/>
    <w:rsid w:val="00840F9C"/>
    <w:rsid w:val="00840FC3"/>
    <w:rsid w:val="00841C67"/>
    <w:rsid w:val="00842187"/>
    <w:rsid w:val="0084219E"/>
    <w:rsid w:val="00842266"/>
    <w:rsid w:val="0084237A"/>
    <w:rsid w:val="008423E7"/>
    <w:rsid w:val="0084249B"/>
    <w:rsid w:val="008429E9"/>
    <w:rsid w:val="00842A6C"/>
    <w:rsid w:val="00842FA8"/>
    <w:rsid w:val="00843026"/>
    <w:rsid w:val="008430D0"/>
    <w:rsid w:val="0084312A"/>
    <w:rsid w:val="008433AD"/>
    <w:rsid w:val="00843A76"/>
    <w:rsid w:val="00843ED1"/>
    <w:rsid w:val="00843F79"/>
    <w:rsid w:val="00843FAF"/>
    <w:rsid w:val="00844289"/>
    <w:rsid w:val="00844453"/>
    <w:rsid w:val="0084449A"/>
    <w:rsid w:val="008446D2"/>
    <w:rsid w:val="008447E8"/>
    <w:rsid w:val="00844C7D"/>
    <w:rsid w:val="00844D7E"/>
    <w:rsid w:val="00845B72"/>
    <w:rsid w:val="00845C27"/>
    <w:rsid w:val="00845CE7"/>
    <w:rsid w:val="0084636D"/>
    <w:rsid w:val="0084643E"/>
    <w:rsid w:val="0084644E"/>
    <w:rsid w:val="00846A5A"/>
    <w:rsid w:val="00846C84"/>
    <w:rsid w:val="0084770E"/>
    <w:rsid w:val="00847A43"/>
    <w:rsid w:val="00847B0D"/>
    <w:rsid w:val="00847D11"/>
    <w:rsid w:val="00847D39"/>
    <w:rsid w:val="00847F59"/>
    <w:rsid w:val="008500FD"/>
    <w:rsid w:val="0085044E"/>
    <w:rsid w:val="00850CCF"/>
    <w:rsid w:val="00851E2A"/>
    <w:rsid w:val="008520A3"/>
    <w:rsid w:val="008521A2"/>
    <w:rsid w:val="00852297"/>
    <w:rsid w:val="00852C91"/>
    <w:rsid w:val="00852FA4"/>
    <w:rsid w:val="0085389E"/>
    <w:rsid w:val="00853A0B"/>
    <w:rsid w:val="00853B20"/>
    <w:rsid w:val="00853D04"/>
    <w:rsid w:val="00853D3D"/>
    <w:rsid w:val="008543FA"/>
    <w:rsid w:val="008545E4"/>
    <w:rsid w:val="008545F2"/>
    <w:rsid w:val="00854739"/>
    <w:rsid w:val="0085488C"/>
    <w:rsid w:val="00854BD2"/>
    <w:rsid w:val="00854D05"/>
    <w:rsid w:val="00855AB8"/>
    <w:rsid w:val="00855C56"/>
    <w:rsid w:val="00855D24"/>
    <w:rsid w:val="00856017"/>
    <w:rsid w:val="0085606E"/>
    <w:rsid w:val="00856103"/>
    <w:rsid w:val="00856378"/>
    <w:rsid w:val="00856402"/>
    <w:rsid w:val="00856474"/>
    <w:rsid w:val="0085659F"/>
    <w:rsid w:val="008566E9"/>
    <w:rsid w:val="00856849"/>
    <w:rsid w:val="008569C7"/>
    <w:rsid w:val="00856EC5"/>
    <w:rsid w:val="00856F36"/>
    <w:rsid w:val="00856FAC"/>
    <w:rsid w:val="00857222"/>
    <w:rsid w:val="0085757F"/>
    <w:rsid w:val="00857A83"/>
    <w:rsid w:val="00857BBF"/>
    <w:rsid w:val="0086000C"/>
    <w:rsid w:val="008602DB"/>
    <w:rsid w:val="00860383"/>
    <w:rsid w:val="008605BE"/>
    <w:rsid w:val="00860956"/>
    <w:rsid w:val="00860AD3"/>
    <w:rsid w:val="00860AFA"/>
    <w:rsid w:val="008612AA"/>
    <w:rsid w:val="0086162D"/>
    <w:rsid w:val="00861729"/>
    <w:rsid w:val="008618B9"/>
    <w:rsid w:val="00861AEC"/>
    <w:rsid w:val="00861B03"/>
    <w:rsid w:val="00861E8F"/>
    <w:rsid w:val="0086222A"/>
    <w:rsid w:val="008628D8"/>
    <w:rsid w:val="00862CE8"/>
    <w:rsid w:val="00862E2D"/>
    <w:rsid w:val="00863159"/>
    <w:rsid w:val="00863D5C"/>
    <w:rsid w:val="008640B7"/>
    <w:rsid w:val="00864453"/>
    <w:rsid w:val="00864E75"/>
    <w:rsid w:val="008650FD"/>
    <w:rsid w:val="008652ED"/>
    <w:rsid w:val="008653C8"/>
    <w:rsid w:val="008659CC"/>
    <w:rsid w:val="0086602F"/>
    <w:rsid w:val="00866152"/>
    <w:rsid w:val="008662AB"/>
    <w:rsid w:val="0086636E"/>
    <w:rsid w:val="008668F2"/>
    <w:rsid w:val="00866D84"/>
    <w:rsid w:val="00866F0D"/>
    <w:rsid w:val="00867C0C"/>
    <w:rsid w:val="00867C79"/>
    <w:rsid w:val="0086C259"/>
    <w:rsid w:val="00870845"/>
    <w:rsid w:val="008708AD"/>
    <w:rsid w:val="00870FC8"/>
    <w:rsid w:val="00871080"/>
    <w:rsid w:val="008710FE"/>
    <w:rsid w:val="00871459"/>
    <w:rsid w:val="00871633"/>
    <w:rsid w:val="00871AA1"/>
    <w:rsid w:val="00871B8E"/>
    <w:rsid w:val="00872019"/>
    <w:rsid w:val="0087210A"/>
    <w:rsid w:val="008724E3"/>
    <w:rsid w:val="00872AA2"/>
    <w:rsid w:val="00872C88"/>
    <w:rsid w:val="00872DFD"/>
    <w:rsid w:val="00873674"/>
    <w:rsid w:val="00873743"/>
    <w:rsid w:val="00873A0C"/>
    <w:rsid w:val="00873BAC"/>
    <w:rsid w:val="00873DC5"/>
    <w:rsid w:val="008743F4"/>
    <w:rsid w:val="00874827"/>
    <w:rsid w:val="00874D90"/>
    <w:rsid w:val="00874E67"/>
    <w:rsid w:val="00874EC6"/>
    <w:rsid w:val="008754C4"/>
    <w:rsid w:val="008755AF"/>
    <w:rsid w:val="00875630"/>
    <w:rsid w:val="00875A8A"/>
    <w:rsid w:val="00875ABF"/>
    <w:rsid w:val="00875C2B"/>
    <w:rsid w:val="00876340"/>
    <w:rsid w:val="0087650C"/>
    <w:rsid w:val="0087663B"/>
    <w:rsid w:val="00876771"/>
    <w:rsid w:val="008770D8"/>
    <w:rsid w:val="0087792D"/>
    <w:rsid w:val="00877A1D"/>
    <w:rsid w:val="00877EE7"/>
    <w:rsid w:val="008804BF"/>
    <w:rsid w:val="0088067E"/>
    <w:rsid w:val="00880715"/>
    <w:rsid w:val="00880A05"/>
    <w:rsid w:val="00880A27"/>
    <w:rsid w:val="00880CFF"/>
    <w:rsid w:val="00880D1E"/>
    <w:rsid w:val="00880E58"/>
    <w:rsid w:val="00881276"/>
    <w:rsid w:val="008818A4"/>
    <w:rsid w:val="008818C2"/>
    <w:rsid w:val="008818FD"/>
    <w:rsid w:val="00881B2F"/>
    <w:rsid w:val="00881B36"/>
    <w:rsid w:val="00881BBB"/>
    <w:rsid w:val="0088201A"/>
    <w:rsid w:val="00882126"/>
    <w:rsid w:val="0088273B"/>
    <w:rsid w:val="00882A0B"/>
    <w:rsid w:val="008839E7"/>
    <w:rsid w:val="00883A68"/>
    <w:rsid w:val="008843F3"/>
    <w:rsid w:val="0088467A"/>
    <w:rsid w:val="00884EC0"/>
    <w:rsid w:val="0088539B"/>
    <w:rsid w:val="00885BAC"/>
    <w:rsid w:val="0088697F"/>
    <w:rsid w:val="00886EB6"/>
    <w:rsid w:val="00886FFA"/>
    <w:rsid w:val="00887081"/>
    <w:rsid w:val="00887280"/>
    <w:rsid w:val="008874EC"/>
    <w:rsid w:val="00887554"/>
    <w:rsid w:val="00887742"/>
    <w:rsid w:val="008878E6"/>
    <w:rsid w:val="0088DE91"/>
    <w:rsid w:val="008900EE"/>
    <w:rsid w:val="008901FC"/>
    <w:rsid w:val="00890226"/>
    <w:rsid w:val="00890391"/>
    <w:rsid w:val="008903C1"/>
    <w:rsid w:val="00890535"/>
    <w:rsid w:val="00890CC0"/>
    <w:rsid w:val="00890FBF"/>
    <w:rsid w:val="00891101"/>
    <w:rsid w:val="0089157D"/>
    <w:rsid w:val="00891640"/>
    <w:rsid w:val="00891E6C"/>
    <w:rsid w:val="00892132"/>
    <w:rsid w:val="00892147"/>
    <w:rsid w:val="008929A5"/>
    <w:rsid w:val="00892F85"/>
    <w:rsid w:val="00893099"/>
    <w:rsid w:val="0089315F"/>
    <w:rsid w:val="00893285"/>
    <w:rsid w:val="008934D3"/>
    <w:rsid w:val="00893DA0"/>
    <w:rsid w:val="00893E1B"/>
    <w:rsid w:val="008943E1"/>
    <w:rsid w:val="00894856"/>
    <w:rsid w:val="00895197"/>
    <w:rsid w:val="0089541F"/>
    <w:rsid w:val="00895444"/>
    <w:rsid w:val="00895A59"/>
    <w:rsid w:val="00895E66"/>
    <w:rsid w:val="0089657A"/>
    <w:rsid w:val="00896712"/>
    <w:rsid w:val="00896817"/>
    <w:rsid w:val="00896A42"/>
    <w:rsid w:val="00896A8F"/>
    <w:rsid w:val="00896AB5"/>
    <w:rsid w:val="00896DF7"/>
    <w:rsid w:val="00896F2D"/>
    <w:rsid w:val="00897094"/>
    <w:rsid w:val="008970E9"/>
    <w:rsid w:val="00897652"/>
    <w:rsid w:val="008977FF"/>
    <w:rsid w:val="00897867"/>
    <w:rsid w:val="008A0339"/>
    <w:rsid w:val="008A0540"/>
    <w:rsid w:val="008A0850"/>
    <w:rsid w:val="008A0B1E"/>
    <w:rsid w:val="008A0B7D"/>
    <w:rsid w:val="008A15AA"/>
    <w:rsid w:val="008A17C3"/>
    <w:rsid w:val="008A23B0"/>
    <w:rsid w:val="008A23DD"/>
    <w:rsid w:val="008A25E4"/>
    <w:rsid w:val="008A2964"/>
    <w:rsid w:val="008A2DDB"/>
    <w:rsid w:val="008A326E"/>
    <w:rsid w:val="008A3435"/>
    <w:rsid w:val="008A36DA"/>
    <w:rsid w:val="008A36E7"/>
    <w:rsid w:val="008A39E1"/>
    <w:rsid w:val="008A3A46"/>
    <w:rsid w:val="008A3B5A"/>
    <w:rsid w:val="008A3B62"/>
    <w:rsid w:val="008A44A7"/>
    <w:rsid w:val="008A4F90"/>
    <w:rsid w:val="008A5108"/>
    <w:rsid w:val="008A5195"/>
    <w:rsid w:val="008A534A"/>
    <w:rsid w:val="008A55AD"/>
    <w:rsid w:val="008A585A"/>
    <w:rsid w:val="008A5A14"/>
    <w:rsid w:val="008A5FBE"/>
    <w:rsid w:val="008A6234"/>
    <w:rsid w:val="008A66B6"/>
    <w:rsid w:val="008A6980"/>
    <w:rsid w:val="008A6D4D"/>
    <w:rsid w:val="008A7450"/>
    <w:rsid w:val="008A74E2"/>
    <w:rsid w:val="008A78CA"/>
    <w:rsid w:val="008A7C7A"/>
    <w:rsid w:val="008A7E2F"/>
    <w:rsid w:val="008AB328"/>
    <w:rsid w:val="008B00EA"/>
    <w:rsid w:val="008B01B1"/>
    <w:rsid w:val="008B03B7"/>
    <w:rsid w:val="008B0B38"/>
    <w:rsid w:val="008B0DD6"/>
    <w:rsid w:val="008B0E18"/>
    <w:rsid w:val="008B0FC6"/>
    <w:rsid w:val="008B1418"/>
    <w:rsid w:val="008B1771"/>
    <w:rsid w:val="008B186A"/>
    <w:rsid w:val="008B1991"/>
    <w:rsid w:val="008B1EB9"/>
    <w:rsid w:val="008B2424"/>
    <w:rsid w:val="008B247B"/>
    <w:rsid w:val="008B25E5"/>
    <w:rsid w:val="008B2837"/>
    <w:rsid w:val="008B3031"/>
    <w:rsid w:val="008B360D"/>
    <w:rsid w:val="008B371C"/>
    <w:rsid w:val="008B386F"/>
    <w:rsid w:val="008B3B0C"/>
    <w:rsid w:val="008B3DF1"/>
    <w:rsid w:val="008B3FDD"/>
    <w:rsid w:val="008B40D1"/>
    <w:rsid w:val="008B4269"/>
    <w:rsid w:val="008B4B07"/>
    <w:rsid w:val="008B4FC6"/>
    <w:rsid w:val="008B54EE"/>
    <w:rsid w:val="008B5545"/>
    <w:rsid w:val="008B554D"/>
    <w:rsid w:val="008B5676"/>
    <w:rsid w:val="008B5D7B"/>
    <w:rsid w:val="008B62B1"/>
    <w:rsid w:val="008B65AA"/>
    <w:rsid w:val="008B67CB"/>
    <w:rsid w:val="008B6827"/>
    <w:rsid w:val="008B68CE"/>
    <w:rsid w:val="008B69B4"/>
    <w:rsid w:val="008B6BC0"/>
    <w:rsid w:val="008B6F39"/>
    <w:rsid w:val="008B740E"/>
    <w:rsid w:val="008B7EAF"/>
    <w:rsid w:val="008B7FC0"/>
    <w:rsid w:val="008C0851"/>
    <w:rsid w:val="008C0A66"/>
    <w:rsid w:val="008C0DF7"/>
    <w:rsid w:val="008C1335"/>
    <w:rsid w:val="008C17FE"/>
    <w:rsid w:val="008C1B5A"/>
    <w:rsid w:val="008C1BE4"/>
    <w:rsid w:val="008C20F3"/>
    <w:rsid w:val="008C228E"/>
    <w:rsid w:val="008C23B6"/>
    <w:rsid w:val="008C24F7"/>
    <w:rsid w:val="008C2521"/>
    <w:rsid w:val="008C27E4"/>
    <w:rsid w:val="008C2BCF"/>
    <w:rsid w:val="008C31B9"/>
    <w:rsid w:val="008C4895"/>
    <w:rsid w:val="008C4BB0"/>
    <w:rsid w:val="008C4C1F"/>
    <w:rsid w:val="008C5907"/>
    <w:rsid w:val="008C5FB9"/>
    <w:rsid w:val="008C653C"/>
    <w:rsid w:val="008C7237"/>
    <w:rsid w:val="008C7464"/>
    <w:rsid w:val="008C74FF"/>
    <w:rsid w:val="008C76EC"/>
    <w:rsid w:val="008C7933"/>
    <w:rsid w:val="008C799B"/>
    <w:rsid w:val="008C7CEC"/>
    <w:rsid w:val="008C7DA2"/>
    <w:rsid w:val="008C7E65"/>
    <w:rsid w:val="008C7F8F"/>
    <w:rsid w:val="008D098B"/>
    <w:rsid w:val="008D0FCC"/>
    <w:rsid w:val="008D10C5"/>
    <w:rsid w:val="008D1241"/>
    <w:rsid w:val="008D1328"/>
    <w:rsid w:val="008D1373"/>
    <w:rsid w:val="008D146E"/>
    <w:rsid w:val="008D14F9"/>
    <w:rsid w:val="008D168B"/>
    <w:rsid w:val="008D19A2"/>
    <w:rsid w:val="008D2085"/>
    <w:rsid w:val="008D259E"/>
    <w:rsid w:val="008D2615"/>
    <w:rsid w:val="008D2BD5"/>
    <w:rsid w:val="008D2CE3"/>
    <w:rsid w:val="008D3219"/>
    <w:rsid w:val="008D3345"/>
    <w:rsid w:val="008D372E"/>
    <w:rsid w:val="008D3C1E"/>
    <w:rsid w:val="008D3CDC"/>
    <w:rsid w:val="008D4237"/>
    <w:rsid w:val="008D4526"/>
    <w:rsid w:val="008D476E"/>
    <w:rsid w:val="008D4B5E"/>
    <w:rsid w:val="008D4CFE"/>
    <w:rsid w:val="008D4DDC"/>
    <w:rsid w:val="008D5279"/>
    <w:rsid w:val="008D556C"/>
    <w:rsid w:val="008D5864"/>
    <w:rsid w:val="008D5BD2"/>
    <w:rsid w:val="008D639A"/>
    <w:rsid w:val="008D675A"/>
    <w:rsid w:val="008D6A47"/>
    <w:rsid w:val="008D6DF4"/>
    <w:rsid w:val="008D6F5C"/>
    <w:rsid w:val="008D738E"/>
    <w:rsid w:val="008D7765"/>
    <w:rsid w:val="008D7C3E"/>
    <w:rsid w:val="008E0128"/>
    <w:rsid w:val="008E012F"/>
    <w:rsid w:val="008E0703"/>
    <w:rsid w:val="008E0A75"/>
    <w:rsid w:val="008E10C5"/>
    <w:rsid w:val="008E1464"/>
    <w:rsid w:val="008E15A5"/>
    <w:rsid w:val="008E16EA"/>
    <w:rsid w:val="008E1A39"/>
    <w:rsid w:val="008E1ABA"/>
    <w:rsid w:val="008E251A"/>
    <w:rsid w:val="008E25D4"/>
    <w:rsid w:val="008E2BFC"/>
    <w:rsid w:val="008E2E09"/>
    <w:rsid w:val="008E2F02"/>
    <w:rsid w:val="008E37F9"/>
    <w:rsid w:val="008E3BE1"/>
    <w:rsid w:val="008E4306"/>
    <w:rsid w:val="008E4E56"/>
    <w:rsid w:val="008E50F7"/>
    <w:rsid w:val="008E5B96"/>
    <w:rsid w:val="008E5BDA"/>
    <w:rsid w:val="008E5CE2"/>
    <w:rsid w:val="008E6322"/>
    <w:rsid w:val="008E6D58"/>
    <w:rsid w:val="008E7373"/>
    <w:rsid w:val="008E7E07"/>
    <w:rsid w:val="008F0670"/>
    <w:rsid w:val="008F0964"/>
    <w:rsid w:val="008F09F9"/>
    <w:rsid w:val="008F0C59"/>
    <w:rsid w:val="008F0FE0"/>
    <w:rsid w:val="008F1F1B"/>
    <w:rsid w:val="008F219D"/>
    <w:rsid w:val="008F2929"/>
    <w:rsid w:val="008F2A4C"/>
    <w:rsid w:val="008F353C"/>
    <w:rsid w:val="008F3B14"/>
    <w:rsid w:val="008F3BC5"/>
    <w:rsid w:val="008F45C3"/>
    <w:rsid w:val="008F4966"/>
    <w:rsid w:val="008F4C67"/>
    <w:rsid w:val="008F4C84"/>
    <w:rsid w:val="008F4DB1"/>
    <w:rsid w:val="008F503B"/>
    <w:rsid w:val="008F53C0"/>
    <w:rsid w:val="008F561D"/>
    <w:rsid w:val="008F5D1A"/>
    <w:rsid w:val="008F68B6"/>
    <w:rsid w:val="008F69DB"/>
    <w:rsid w:val="008F69ED"/>
    <w:rsid w:val="008F6BF2"/>
    <w:rsid w:val="008F6C0D"/>
    <w:rsid w:val="008F73C5"/>
    <w:rsid w:val="008F8093"/>
    <w:rsid w:val="0090046D"/>
    <w:rsid w:val="00900597"/>
    <w:rsid w:val="009005B3"/>
    <w:rsid w:val="00900956"/>
    <w:rsid w:val="00900ABC"/>
    <w:rsid w:val="0090146B"/>
    <w:rsid w:val="009016CD"/>
    <w:rsid w:val="0090198A"/>
    <w:rsid w:val="00901A57"/>
    <w:rsid w:val="00901CED"/>
    <w:rsid w:val="0090200C"/>
    <w:rsid w:val="0090209B"/>
    <w:rsid w:val="009020E7"/>
    <w:rsid w:val="0090241F"/>
    <w:rsid w:val="00902948"/>
    <w:rsid w:val="00902A50"/>
    <w:rsid w:val="0090320F"/>
    <w:rsid w:val="00903274"/>
    <w:rsid w:val="009032EA"/>
    <w:rsid w:val="0090342A"/>
    <w:rsid w:val="00903829"/>
    <w:rsid w:val="009039D7"/>
    <w:rsid w:val="00903D94"/>
    <w:rsid w:val="00903EC6"/>
    <w:rsid w:val="00903F24"/>
    <w:rsid w:val="00903F41"/>
    <w:rsid w:val="00903F9D"/>
    <w:rsid w:val="0090410C"/>
    <w:rsid w:val="009049EA"/>
    <w:rsid w:val="00904C90"/>
    <w:rsid w:val="00905231"/>
    <w:rsid w:val="00905B1A"/>
    <w:rsid w:val="0090645D"/>
    <w:rsid w:val="00906740"/>
    <w:rsid w:val="009067F8"/>
    <w:rsid w:val="00906DC4"/>
    <w:rsid w:val="00906EFC"/>
    <w:rsid w:val="00907840"/>
    <w:rsid w:val="00907CE7"/>
    <w:rsid w:val="00907D0D"/>
    <w:rsid w:val="00910A16"/>
    <w:rsid w:val="009112AD"/>
    <w:rsid w:val="0091167C"/>
    <w:rsid w:val="00911922"/>
    <w:rsid w:val="00911A46"/>
    <w:rsid w:val="00911AA7"/>
    <w:rsid w:val="00911B2B"/>
    <w:rsid w:val="009120A3"/>
    <w:rsid w:val="00912560"/>
    <w:rsid w:val="00912636"/>
    <w:rsid w:val="00912729"/>
    <w:rsid w:val="00912876"/>
    <w:rsid w:val="00912B2D"/>
    <w:rsid w:val="00912BC2"/>
    <w:rsid w:val="00912C0D"/>
    <w:rsid w:val="00912C61"/>
    <w:rsid w:val="00912CB6"/>
    <w:rsid w:val="00912DF2"/>
    <w:rsid w:val="0091342F"/>
    <w:rsid w:val="00913D7C"/>
    <w:rsid w:val="00913E78"/>
    <w:rsid w:val="00914865"/>
    <w:rsid w:val="009148E1"/>
    <w:rsid w:val="00914C43"/>
    <w:rsid w:val="00915869"/>
    <w:rsid w:val="0091596A"/>
    <w:rsid w:val="00915A49"/>
    <w:rsid w:val="009163E6"/>
    <w:rsid w:val="00916D97"/>
    <w:rsid w:val="009170AD"/>
    <w:rsid w:val="009178FB"/>
    <w:rsid w:val="00917DC4"/>
    <w:rsid w:val="009202C7"/>
    <w:rsid w:val="009208F2"/>
    <w:rsid w:val="00921035"/>
    <w:rsid w:val="009210C7"/>
    <w:rsid w:val="0092123D"/>
    <w:rsid w:val="00921513"/>
    <w:rsid w:val="00921BC0"/>
    <w:rsid w:val="00921C90"/>
    <w:rsid w:val="00921F04"/>
    <w:rsid w:val="00921F73"/>
    <w:rsid w:val="0092223C"/>
    <w:rsid w:val="009223E0"/>
    <w:rsid w:val="009225BC"/>
    <w:rsid w:val="00922802"/>
    <w:rsid w:val="00922D73"/>
    <w:rsid w:val="00922EDB"/>
    <w:rsid w:val="009232BE"/>
    <w:rsid w:val="00923CAE"/>
    <w:rsid w:val="00923CB1"/>
    <w:rsid w:val="00924206"/>
    <w:rsid w:val="009252CA"/>
    <w:rsid w:val="00925384"/>
    <w:rsid w:val="0092560B"/>
    <w:rsid w:val="00925BD5"/>
    <w:rsid w:val="00925F3C"/>
    <w:rsid w:val="00925FE8"/>
    <w:rsid w:val="00926A13"/>
    <w:rsid w:val="00926C5C"/>
    <w:rsid w:val="00926ED4"/>
    <w:rsid w:val="0092738F"/>
    <w:rsid w:val="00927759"/>
    <w:rsid w:val="00927E51"/>
    <w:rsid w:val="009303ED"/>
    <w:rsid w:val="009310A1"/>
    <w:rsid w:val="0093115D"/>
    <w:rsid w:val="009314C5"/>
    <w:rsid w:val="00931621"/>
    <w:rsid w:val="00931B6E"/>
    <w:rsid w:val="00931C25"/>
    <w:rsid w:val="00931ED0"/>
    <w:rsid w:val="00931F7E"/>
    <w:rsid w:val="00932D98"/>
    <w:rsid w:val="0093307B"/>
    <w:rsid w:val="009336F6"/>
    <w:rsid w:val="009340DE"/>
    <w:rsid w:val="0093492A"/>
    <w:rsid w:val="00934E00"/>
    <w:rsid w:val="00935374"/>
    <w:rsid w:val="009358FE"/>
    <w:rsid w:val="00935906"/>
    <w:rsid w:val="00935938"/>
    <w:rsid w:val="009359FD"/>
    <w:rsid w:val="00935DEE"/>
    <w:rsid w:val="00936374"/>
    <w:rsid w:val="009364AC"/>
    <w:rsid w:val="009366C2"/>
    <w:rsid w:val="00936822"/>
    <w:rsid w:val="00936903"/>
    <w:rsid w:val="00936DC2"/>
    <w:rsid w:val="0093721E"/>
    <w:rsid w:val="00937600"/>
    <w:rsid w:val="00937C86"/>
    <w:rsid w:val="00937CA1"/>
    <w:rsid w:val="00937F46"/>
    <w:rsid w:val="00937F8F"/>
    <w:rsid w:val="009407E4"/>
    <w:rsid w:val="00940A51"/>
    <w:rsid w:val="00940B7E"/>
    <w:rsid w:val="00940B95"/>
    <w:rsid w:val="00940F40"/>
    <w:rsid w:val="009415F1"/>
    <w:rsid w:val="00941791"/>
    <w:rsid w:val="00941E60"/>
    <w:rsid w:val="00941FA7"/>
    <w:rsid w:val="0094242B"/>
    <w:rsid w:val="00942810"/>
    <w:rsid w:val="00942CD0"/>
    <w:rsid w:val="00943955"/>
    <w:rsid w:val="009439BF"/>
    <w:rsid w:val="00943AC0"/>
    <w:rsid w:val="00943CC1"/>
    <w:rsid w:val="00943EDD"/>
    <w:rsid w:val="00944086"/>
    <w:rsid w:val="009441C3"/>
    <w:rsid w:val="009441DD"/>
    <w:rsid w:val="00944547"/>
    <w:rsid w:val="00944B66"/>
    <w:rsid w:val="00945131"/>
    <w:rsid w:val="0094525D"/>
    <w:rsid w:val="00945765"/>
    <w:rsid w:val="009457F3"/>
    <w:rsid w:val="00945D32"/>
    <w:rsid w:val="00945F2F"/>
    <w:rsid w:val="00945F5F"/>
    <w:rsid w:val="009462D7"/>
    <w:rsid w:val="00946611"/>
    <w:rsid w:val="009467D1"/>
    <w:rsid w:val="00946A80"/>
    <w:rsid w:val="00946AB2"/>
    <w:rsid w:val="00946CC3"/>
    <w:rsid w:val="00947062"/>
    <w:rsid w:val="0094708D"/>
    <w:rsid w:val="0094773D"/>
    <w:rsid w:val="00947A22"/>
    <w:rsid w:val="00947FEC"/>
    <w:rsid w:val="009500EC"/>
    <w:rsid w:val="00950228"/>
    <w:rsid w:val="009505FA"/>
    <w:rsid w:val="0095061B"/>
    <w:rsid w:val="00950936"/>
    <w:rsid w:val="00950F6E"/>
    <w:rsid w:val="0095156C"/>
    <w:rsid w:val="00951699"/>
    <w:rsid w:val="00951AE2"/>
    <w:rsid w:val="00951E2F"/>
    <w:rsid w:val="009520D8"/>
    <w:rsid w:val="00952592"/>
    <w:rsid w:val="00952A16"/>
    <w:rsid w:val="00952D45"/>
    <w:rsid w:val="009533C2"/>
    <w:rsid w:val="009534BA"/>
    <w:rsid w:val="009534BF"/>
    <w:rsid w:val="009535D3"/>
    <w:rsid w:val="009537F0"/>
    <w:rsid w:val="009543FB"/>
    <w:rsid w:val="00954472"/>
    <w:rsid w:val="00954B3B"/>
    <w:rsid w:val="00954ED6"/>
    <w:rsid w:val="00955063"/>
    <w:rsid w:val="009551D7"/>
    <w:rsid w:val="009559FC"/>
    <w:rsid w:val="009563B4"/>
    <w:rsid w:val="00956526"/>
    <w:rsid w:val="00956BFA"/>
    <w:rsid w:val="00956D0F"/>
    <w:rsid w:val="00956E93"/>
    <w:rsid w:val="0095711B"/>
    <w:rsid w:val="0095743F"/>
    <w:rsid w:val="00957565"/>
    <w:rsid w:val="00957796"/>
    <w:rsid w:val="00957933"/>
    <w:rsid w:val="00957AEE"/>
    <w:rsid w:val="00957F0D"/>
    <w:rsid w:val="009602BB"/>
    <w:rsid w:val="0096034C"/>
    <w:rsid w:val="00960903"/>
    <w:rsid w:val="00960BC5"/>
    <w:rsid w:val="00960D41"/>
    <w:rsid w:val="0096106F"/>
    <w:rsid w:val="00961698"/>
    <w:rsid w:val="00961BDC"/>
    <w:rsid w:val="00961D91"/>
    <w:rsid w:val="00961FBA"/>
    <w:rsid w:val="009620AF"/>
    <w:rsid w:val="00962540"/>
    <w:rsid w:val="00962886"/>
    <w:rsid w:val="00962A47"/>
    <w:rsid w:val="00962AD2"/>
    <w:rsid w:val="00962B78"/>
    <w:rsid w:val="00963566"/>
    <w:rsid w:val="0096385D"/>
    <w:rsid w:val="0096451D"/>
    <w:rsid w:val="009646F5"/>
    <w:rsid w:val="009647D6"/>
    <w:rsid w:val="00964B94"/>
    <w:rsid w:val="00964C2C"/>
    <w:rsid w:val="00964D5A"/>
    <w:rsid w:val="00964FB1"/>
    <w:rsid w:val="00965183"/>
    <w:rsid w:val="0096577C"/>
    <w:rsid w:val="00965C8C"/>
    <w:rsid w:val="0096606B"/>
    <w:rsid w:val="00966175"/>
    <w:rsid w:val="00966801"/>
    <w:rsid w:val="00966B17"/>
    <w:rsid w:val="00967399"/>
    <w:rsid w:val="009674B4"/>
    <w:rsid w:val="00967603"/>
    <w:rsid w:val="00967CA1"/>
    <w:rsid w:val="0096AE12"/>
    <w:rsid w:val="0097008E"/>
    <w:rsid w:val="00970263"/>
    <w:rsid w:val="0097048E"/>
    <w:rsid w:val="009706D0"/>
    <w:rsid w:val="00970969"/>
    <w:rsid w:val="00970981"/>
    <w:rsid w:val="00970990"/>
    <w:rsid w:val="00970D2B"/>
    <w:rsid w:val="00970E50"/>
    <w:rsid w:val="00971621"/>
    <w:rsid w:val="0097221D"/>
    <w:rsid w:val="0097260F"/>
    <w:rsid w:val="009726AB"/>
    <w:rsid w:val="00972722"/>
    <w:rsid w:val="00972CF2"/>
    <w:rsid w:val="00972E4E"/>
    <w:rsid w:val="00972EE2"/>
    <w:rsid w:val="009730D6"/>
    <w:rsid w:val="009734AF"/>
    <w:rsid w:val="0097386F"/>
    <w:rsid w:val="00973EBD"/>
    <w:rsid w:val="0097480D"/>
    <w:rsid w:val="00974A99"/>
    <w:rsid w:val="00974CA4"/>
    <w:rsid w:val="00974D32"/>
    <w:rsid w:val="00975309"/>
    <w:rsid w:val="0097551E"/>
    <w:rsid w:val="0097554D"/>
    <w:rsid w:val="00975899"/>
    <w:rsid w:val="00975941"/>
    <w:rsid w:val="00975A63"/>
    <w:rsid w:val="00975B52"/>
    <w:rsid w:val="00975EEF"/>
    <w:rsid w:val="0097654F"/>
    <w:rsid w:val="00976641"/>
    <w:rsid w:val="0097697D"/>
    <w:rsid w:val="00976A17"/>
    <w:rsid w:val="00976B56"/>
    <w:rsid w:val="00977094"/>
    <w:rsid w:val="00977305"/>
    <w:rsid w:val="009776B8"/>
    <w:rsid w:val="00977A68"/>
    <w:rsid w:val="00977DCC"/>
    <w:rsid w:val="0098006E"/>
    <w:rsid w:val="009801CF"/>
    <w:rsid w:val="00980204"/>
    <w:rsid w:val="009804F5"/>
    <w:rsid w:val="00980CBC"/>
    <w:rsid w:val="00981060"/>
    <w:rsid w:val="0098172D"/>
    <w:rsid w:val="009818B0"/>
    <w:rsid w:val="00981A53"/>
    <w:rsid w:val="00981C8A"/>
    <w:rsid w:val="009824CD"/>
    <w:rsid w:val="00982553"/>
    <w:rsid w:val="0098264F"/>
    <w:rsid w:val="00983023"/>
    <w:rsid w:val="009832A2"/>
    <w:rsid w:val="0098335D"/>
    <w:rsid w:val="009836E0"/>
    <w:rsid w:val="0098395B"/>
    <w:rsid w:val="00983DC2"/>
    <w:rsid w:val="00983F57"/>
    <w:rsid w:val="009841EF"/>
    <w:rsid w:val="00984692"/>
    <w:rsid w:val="009848A9"/>
    <w:rsid w:val="00984926"/>
    <w:rsid w:val="00984D76"/>
    <w:rsid w:val="00984E9E"/>
    <w:rsid w:val="009851DE"/>
    <w:rsid w:val="00985233"/>
    <w:rsid w:val="00985AD8"/>
    <w:rsid w:val="00985EA3"/>
    <w:rsid w:val="0098600C"/>
    <w:rsid w:val="00986516"/>
    <w:rsid w:val="009866B4"/>
    <w:rsid w:val="009866E1"/>
    <w:rsid w:val="00986867"/>
    <w:rsid w:val="00986A6E"/>
    <w:rsid w:val="00987555"/>
    <w:rsid w:val="00987B2F"/>
    <w:rsid w:val="00987DEC"/>
    <w:rsid w:val="00987FF9"/>
    <w:rsid w:val="00990260"/>
    <w:rsid w:val="0099074E"/>
    <w:rsid w:val="00990AD8"/>
    <w:rsid w:val="00990BEC"/>
    <w:rsid w:val="00990CEA"/>
    <w:rsid w:val="00990DDD"/>
    <w:rsid w:val="0099161F"/>
    <w:rsid w:val="00991BC3"/>
    <w:rsid w:val="00991EC6"/>
    <w:rsid w:val="009922E7"/>
    <w:rsid w:val="0099232C"/>
    <w:rsid w:val="00992869"/>
    <w:rsid w:val="00992B5C"/>
    <w:rsid w:val="00992C7C"/>
    <w:rsid w:val="009938B5"/>
    <w:rsid w:val="00993B91"/>
    <w:rsid w:val="00993C0C"/>
    <w:rsid w:val="0099409C"/>
    <w:rsid w:val="00994358"/>
    <w:rsid w:val="009943C6"/>
    <w:rsid w:val="009946D9"/>
    <w:rsid w:val="009947EA"/>
    <w:rsid w:val="009951E0"/>
    <w:rsid w:val="009952F1"/>
    <w:rsid w:val="00995B0A"/>
    <w:rsid w:val="00995F6F"/>
    <w:rsid w:val="00996151"/>
    <w:rsid w:val="0099625D"/>
    <w:rsid w:val="00996399"/>
    <w:rsid w:val="009964E4"/>
    <w:rsid w:val="0099663B"/>
    <w:rsid w:val="0099676D"/>
    <w:rsid w:val="00997AE6"/>
    <w:rsid w:val="00997C82"/>
    <w:rsid w:val="00997D21"/>
    <w:rsid w:val="00997E42"/>
    <w:rsid w:val="00997FC5"/>
    <w:rsid w:val="009A00C1"/>
    <w:rsid w:val="009A0199"/>
    <w:rsid w:val="009A0EC6"/>
    <w:rsid w:val="009A0FB7"/>
    <w:rsid w:val="009A106D"/>
    <w:rsid w:val="009A1481"/>
    <w:rsid w:val="009A1624"/>
    <w:rsid w:val="009A1F09"/>
    <w:rsid w:val="009A1F3B"/>
    <w:rsid w:val="009A360B"/>
    <w:rsid w:val="009A38E3"/>
    <w:rsid w:val="009A396D"/>
    <w:rsid w:val="009A4129"/>
    <w:rsid w:val="009A42C4"/>
    <w:rsid w:val="009A457D"/>
    <w:rsid w:val="009A46BC"/>
    <w:rsid w:val="009A5054"/>
    <w:rsid w:val="009A5D81"/>
    <w:rsid w:val="009A5E5C"/>
    <w:rsid w:val="009A5E68"/>
    <w:rsid w:val="009A5EC1"/>
    <w:rsid w:val="009A5F10"/>
    <w:rsid w:val="009A6038"/>
    <w:rsid w:val="009A64FA"/>
    <w:rsid w:val="009A6A2B"/>
    <w:rsid w:val="009A6F48"/>
    <w:rsid w:val="009A7B91"/>
    <w:rsid w:val="009A7DC1"/>
    <w:rsid w:val="009B00BD"/>
    <w:rsid w:val="009B04C9"/>
    <w:rsid w:val="009B0A47"/>
    <w:rsid w:val="009B0AFF"/>
    <w:rsid w:val="009B0C84"/>
    <w:rsid w:val="009B10C3"/>
    <w:rsid w:val="009B1585"/>
    <w:rsid w:val="009B161D"/>
    <w:rsid w:val="009B1640"/>
    <w:rsid w:val="009B16B8"/>
    <w:rsid w:val="009B1F7B"/>
    <w:rsid w:val="009B2243"/>
    <w:rsid w:val="009B2278"/>
    <w:rsid w:val="009B2375"/>
    <w:rsid w:val="009B2843"/>
    <w:rsid w:val="009B2989"/>
    <w:rsid w:val="009B326D"/>
    <w:rsid w:val="009B39A3"/>
    <w:rsid w:val="009B3ADF"/>
    <w:rsid w:val="009B3CD9"/>
    <w:rsid w:val="009B3D27"/>
    <w:rsid w:val="009B402B"/>
    <w:rsid w:val="009B4352"/>
    <w:rsid w:val="009B4389"/>
    <w:rsid w:val="009B43C9"/>
    <w:rsid w:val="009B44E7"/>
    <w:rsid w:val="009B4909"/>
    <w:rsid w:val="009B4DCA"/>
    <w:rsid w:val="009B51B9"/>
    <w:rsid w:val="009B526E"/>
    <w:rsid w:val="009B52F0"/>
    <w:rsid w:val="009B5C19"/>
    <w:rsid w:val="009B5E40"/>
    <w:rsid w:val="009B5E68"/>
    <w:rsid w:val="009B650A"/>
    <w:rsid w:val="009B6691"/>
    <w:rsid w:val="009B692C"/>
    <w:rsid w:val="009B6DAA"/>
    <w:rsid w:val="009B7606"/>
    <w:rsid w:val="009B796B"/>
    <w:rsid w:val="009B7B21"/>
    <w:rsid w:val="009B7D1D"/>
    <w:rsid w:val="009B7F2E"/>
    <w:rsid w:val="009B87CF"/>
    <w:rsid w:val="009C006F"/>
    <w:rsid w:val="009C0163"/>
    <w:rsid w:val="009C03CB"/>
    <w:rsid w:val="009C0571"/>
    <w:rsid w:val="009C0DAC"/>
    <w:rsid w:val="009C1004"/>
    <w:rsid w:val="009C137A"/>
    <w:rsid w:val="009C1AF1"/>
    <w:rsid w:val="009C22DC"/>
    <w:rsid w:val="009C2329"/>
    <w:rsid w:val="009C2513"/>
    <w:rsid w:val="009C2659"/>
    <w:rsid w:val="009C2DDC"/>
    <w:rsid w:val="009C2E50"/>
    <w:rsid w:val="009C2EAD"/>
    <w:rsid w:val="009C3092"/>
    <w:rsid w:val="009C3133"/>
    <w:rsid w:val="009C37A5"/>
    <w:rsid w:val="009C39D0"/>
    <w:rsid w:val="009C3DA1"/>
    <w:rsid w:val="009C3DEE"/>
    <w:rsid w:val="009C4025"/>
    <w:rsid w:val="009C41EF"/>
    <w:rsid w:val="009C42BA"/>
    <w:rsid w:val="009C45E2"/>
    <w:rsid w:val="009C4942"/>
    <w:rsid w:val="009C4A93"/>
    <w:rsid w:val="009C4FAD"/>
    <w:rsid w:val="009C547F"/>
    <w:rsid w:val="009C550D"/>
    <w:rsid w:val="009C5926"/>
    <w:rsid w:val="009C5A96"/>
    <w:rsid w:val="009C5B09"/>
    <w:rsid w:val="009C5CFF"/>
    <w:rsid w:val="009C5E55"/>
    <w:rsid w:val="009C5E86"/>
    <w:rsid w:val="009C6978"/>
    <w:rsid w:val="009C6FE8"/>
    <w:rsid w:val="009C70B2"/>
    <w:rsid w:val="009C71D3"/>
    <w:rsid w:val="009C72E5"/>
    <w:rsid w:val="009C7695"/>
    <w:rsid w:val="009C7794"/>
    <w:rsid w:val="009C78AB"/>
    <w:rsid w:val="009C7B0D"/>
    <w:rsid w:val="009C7CBA"/>
    <w:rsid w:val="009C7DFC"/>
    <w:rsid w:val="009D06C3"/>
    <w:rsid w:val="009D071E"/>
    <w:rsid w:val="009D0CF1"/>
    <w:rsid w:val="009D0E36"/>
    <w:rsid w:val="009D11B6"/>
    <w:rsid w:val="009D1562"/>
    <w:rsid w:val="009D1AA0"/>
    <w:rsid w:val="009D1ADC"/>
    <w:rsid w:val="009D1B9F"/>
    <w:rsid w:val="009D1E5B"/>
    <w:rsid w:val="009D2052"/>
    <w:rsid w:val="009D22C4"/>
    <w:rsid w:val="009D2AC0"/>
    <w:rsid w:val="009D2B9D"/>
    <w:rsid w:val="009D2C4B"/>
    <w:rsid w:val="009D3015"/>
    <w:rsid w:val="009D34AC"/>
    <w:rsid w:val="009D3B0F"/>
    <w:rsid w:val="009D3C27"/>
    <w:rsid w:val="009D3D29"/>
    <w:rsid w:val="009D3E2F"/>
    <w:rsid w:val="009D3F5D"/>
    <w:rsid w:val="009D411F"/>
    <w:rsid w:val="009D4267"/>
    <w:rsid w:val="009D42C4"/>
    <w:rsid w:val="009D47BF"/>
    <w:rsid w:val="009D48ED"/>
    <w:rsid w:val="009D4C76"/>
    <w:rsid w:val="009D4E3F"/>
    <w:rsid w:val="009D4F6B"/>
    <w:rsid w:val="009D572D"/>
    <w:rsid w:val="009D6167"/>
    <w:rsid w:val="009D652A"/>
    <w:rsid w:val="009D6844"/>
    <w:rsid w:val="009D688B"/>
    <w:rsid w:val="009D6968"/>
    <w:rsid w:val="009D6E9E"/>
    <w:rsid w:val="009D709D"/>
    <w:rsid w:val="009D71C4"/>
    <w:rsid w:val="009D72E4"/>
    <w:rsid w:val="009D76D4"/>
    <w:rsid w:val="009D775B"/>
    <w:rsid w:val="009D778C"/>
    <w:rsid w:val="009D7A5F"/>
    <w:rsid w:val="009D7FE4"/>
    <w:rsid w:val="009E0325"/>
    <w:rsid w:val="009E0745"/>
    <w:rsid w:val="009E08F9"/>
    <w:rsid w:val="009E13E8"/>
    <w:rsid w:val="009E1442"/>
    <w:rsid w:val="009E1900"/>
    <w:rsid w:val="009E19E9"/>
    <w:rsid w:val="009E1B75"/>
    <w:rsid w:val="009E1C2B"/>
    <w:rsid w:val="009E1EAE"/>
    <w:rsid w:val="009E20F7"/>
    <w:rsid w:val="009E2E9B"/>
    <w:rsid w:val="009E2F3D"/>
    <w:rsid w:val="009E305A"/>
    <w:rsid w:val="009E3110"/>
    <w:rsid w:val="009E3120"/>
    <w:rsid w:val="009E3313"/>
    <w:rsid w:val="009E38B0"/>
    <w:rsid w:val="009E3933"/>
    <w:rsid w:val="009E3AA6"/>
    <w:rsid w:val="009E3DAC"/>
    <w:rsid w:val="009E3E53"/>
    <w:rsid w:val="009E41F6"/>
    <w:rsid w:val="009E4505"/>
    <w:rsid w:val="009E46A0"/>
    <w:rsid w:val="009E4891"/>
    <w:rsid w:val="009E4B35"/>
    <w:rsid w:val="009E4CC4"/>
    <w:rsid w:val="009E4F82"/>
    <w:rsid w:val="009E5AE0"/>
    <w:rsid w:val="009E5DD7"/>
    <w:rsid w:val="009E6187"/>
    <w:rsid w:val="009E62E9"/>
    <w:rsid w:val="009E6459"/>
    <w:rsid w:val="009E656E"/>
    <w:rsid w:val="009E65C1"/>
    <w:rsid w:val="009E694C"/>
    <w:rsid w:val="009E6B1A"/>
    <w:rsid w:val="009E6B1D"/>
    <w:rsid w:val="009E6DC3"/>
    <w:rsid w:val="009E70FA"/>
    <w:rsid w:val="009E7230"/>
    <w:rsid w:val="009E7295"/>
    <w:rsid w:val="009E7801"/>
    <w:rsid w:val="009E7C7D"/>
    <w:rsid w:val="009E7ECC"/>
    <w:rsid w:val="009F04E8"/>
    <w:rsid w:val="009F0716"/>
    <w:rsid w:val="009F0990"/>
    <w:rsid w:val="009F0ADB"/>
    <w:rsid w:val="009F0B23"/>
    <w:rsid w:val="009F0B91"/>
    <w:rsid w:val="009F0CD6"/>
    <w:rsid w:val="009F137A"/>
    <w:rsid w:val="009F1EBB"/>
    <w:rsid w:val="009F209A"/>
    <w:rsid w:val="009F2100"/>
    <w:rsid w:val="009F21B6"/>
    <w:rsid w:val="009F231D"/>
    <w:rsid w:val="009F2351"/>
    <w:rsid w:val="009F2495"/>
    <w:rsid w:val="009F2D56"/>
    <w:rsid w:val="009F3082"/>
    <w:rsid w:val="009F38DB"/>
    <w:rsid w:val="009F397F"/>
    <w:rsid w:val="009F3B81"/>
    <w:rsid w:val="009F3C24"/>
    <w:rsid w:val="009F3C4A"/>
    <w:rsid w:val="009F3F17"/>
    <w:rsid w:val="009F443D"/>
    <w:rsid w:val="009F4544"/>
    <w:rsid w:val="009F48ED"/>
    <w:rsid w:val="009F4F04"/>
    <w:rsid w:val="009F51E1"/>
    <w:rsid w:val="009F52B2"/>
    <w:rsid w:val="009F551C"/>
    <w:rsid w:val="009F58F7"/>
    <w:rsid w:val="009F599A"/>
    <w:rsid w:val="009F5BFD"/>
    <w:rsid w:val="009F5CEC"/>
    <w:rsid w:val="009F633C"/>
    <w:rsid w:val="009F666B"/>
    <w:rsid w:val="009F6785"/>
    <w:rsid w:val="009F678C"/>
    <w:rsid w:val="009F6E43"/>
    <w:rsid w:val="009F74F2"/>
    <w:rsid w:val="009F7AE0"/>
    <w:rsid w:val="009F7CA0"/>
    <w:rsid w:val="009F7E1E"/>
    <w:rsid w:val="009F7E8E"/>
    <w:rsid w:val="009F7F60"/>
    <w:rsid w:val="00A000DD"/>
    <w:rsid w:val="00A004C6"/>
    <w:rsid w:val="00A004C7"/>
    <w:rsid w:val="00A00847"/>
    <w:rsid w:val="00A00C85"/>
    <w:rsid w:val="00A00D85"/>
    <w:rsid w:val="00A00F27"/>
    <w:rsid w:val="00A00F2B"/>
    <w:rsid w:val="00A00FEE"/>
    <w:rsid w:val="00A01390"/>
    <w:rsid w:val="00A0189E"/>
    <w:rsid w:val="00A01903"/>
    <w:rsid w:val="00A01A18"/>
    <w:rsid w:val="00A01AD0"/>
    <w:rsid w:val="00A01F74"/>
    <w:rsid w:val="00A02498"/>
    <w:rsid w:val="00A02EDC"/>
    <w:rsid w:val="00A02FE4"/>
    <w:rsid w:val="00A033AC"/>
    <w:rsid w:val="00A035D6"/>
    <w:rsid w:val="00A03751"/>
    <w:rsid w:val="00A03A90"/>
    <w:rsid w:val="00A03C7E"/>
    <w:rsid w:val="00A041EA"/>
    <w:rsid w:val="00A04276"/>
    <w:rsid w:val="00A045AF"/>
    <w:rsid w:val="00A04822"/>
    <w:rsid w:val="00A0574D"/>
    <w:rsid w:val="00A05A87"/>
    <w:rsid w:val="00A05AE2"/>
    <w:rsid w:val="00A05CD2"/>
    <w:rsid w:val="00A061D4"/>
    <w:rsid w:val="00A064C7"/>
    <w:rsid w:val="00A067D5"/>
    <w:rsid w:val="00A06873"/>
    <w:rsid w:val="00A068B2"/>
    <w:rsid w:val="00A06B3A"/>
    <w:rsid w:val="00A06BA0"/>
    <w:rsid w:val="00A06DC3"/>
    <w:rsid w:val="00A0702D"/>
    <w:rsid w:val="00A07380"/>
    <w:rsid w:val="00A0789F"/>
    <w:rsid w:val="00A078D4"/>
    <w:rsid w:val="00A07EE4"/>
    <w:rsid w:val="00A10046"/>
    <w:rsid w:val="00A10050"/>
    <w:rsid w:val="00A10090"/>
    <w:rsid w:val="00A105E5"/>
    <w:rsid w:val="00A10619"/>
    <w:rsid w:val="00A10AF4"/>
    <w:rsid w:val="00A10C4E"/>
    <w:rsid w:val="00A11006"/>
    <w:rsid w:val="00A121CA"/>
    <w:rsid w:val="00A12206"/>
    <w:rsid w:val="00A12292"/>
    <w:rsid w:val="00A12B39"/>
    <w:rsid w:val="00A12F03"/>
    <w:rsid w:val="00A13643"/>
    <w:rsid w:val="00A13C68"/>
    <w:rsid w:val="00A13C81"/>
    <w:rsid w:val="00A13E38"/>
    <w:rsid w:val="00A14317"/>
    <w:rsid w:val="00A143E9"/>
    <w:rsid w:val="00A1456C"/>
    <w:rsid w:val="00A1468E"/>
    <w:rsid w:val="00A14737"/>
    <w:rsid w:val="00A14C69"/>
    <w:rsid w:val="00A15300"/>
    <w:rsid w:val="00A154CD"/>
    <w:rsid w:val="00A162CD"/>
    <w:rsid w:val="00A1634D"/>
    <w:rsid w:val="00A16650"/>
    <w:rsid w:val="00A16A75"/>
    <w:rsid w:val="00A16E05"/>
    <w:rsid w:val="00A16E70"/>
    <w:rsid w:val="00A16F78"/>
    <w:rsid w:val="00A1794D"/>
    <w:rsid w:val="00A179C7"/>
    <w:rsid w:val="00A20005"/>
    <w:rsid w:val="00A2030F"/>
    <w:rsid w:val="00A203E1"/>
    <w:rsid w:val="00A209B6"/>
    <w:rsid w:val="00A211AA"/>
    <w:rsid w:val="00A212D6"/>
    <w:rsid w:val="00A214FE"/>
    <w:rsid w:val="00A21558"/>
    <w:rsid w:val="00A21689"/>
    <w:rsid w:val="00A2184D"/>
    <w:rsid w:val="00A21929"/>
    <w:rsid w:val="00A21A6D"/>
    <w:rsid w:val="00A21D7E"/>
    <w:rsid w:val="00A229C8"/>
    <w:rsid w:val="00A22B67"/>
    <w:rsid w:val="00A22B8D"/>
    <w:rsid w:val="00A22FA5"/>
    <w:rsid w:val="00A2321A"/>
    <w:rsid w:val="00A2349B"/>
    <w:rsid w:val="00A23DCB"/>
    <w:rsid w:val="00A2416F"/>
    <w:rsid w:val="00A24514"/>
    <w:rsid w:val="00A2468E"/>
    <w:rsid w:val="00A24742"/>
    <w:rsid w:val="00A24ABD"/>
    <w:rsid w:val="00A24ACB"/>
    <w:rsid w:val="00A24FD6"/>
    <w:rsid w:val="00A2555F"/>
    <w:rsid w:val="00A25D61"/>
    <w:rsid w:val="00A25DB9"/>
    <w:rsid w:val="00A25F07"/>
    <w:rsid w:val="00A25F5D"/>
    <w:rsid w:val="00A2603B"/>
    <w:rsid w:val="00A26128"/>
    <w:rsid w:val="00A263D5"/>
    <w:rsid w:val="00A2653D"/>
    <w:rsid w:val="00A2655D"/>
    <w:rsid w:val="00A26D61"/>
    <w:rsid w:val="00A272C4"/>
    <w:rsid w:val="00A27343"/>
    <w:rsid w:val="00A27485"/>
    <w:rsid w:val="00A27574"/>
    <w:rsid w:val="00A276A0"/>
    <w:rsid w:val="00A30151"/>
    <w:rsid w:val="00A301F3"/>
    <w:rsid w:val="00A3020A"/>
    <w:rsid w:val="00A30213"/>
    <w:rsid w:val="00A30263"/>
    <w:rsid w:val="00A30357"/>
    <w:rsid w:val="00A3085E"/>
    <w:rsid w:val="00A3086A"/>
    <w:rsid w:val="00A30A21"/>
    <w:rsid w:val="00A30C98"/>
    <w:rsid w:val="00A31207"/>
    <w:rsid w:val="00A315D1"/>
    <w:rsid w:val="00A31640"/>
    <w:rsid w:val="00A31A56"/>
    <w:rsid w:val="00A31DD5"/>
    <w:rsid w:val="00A31EA8"/>
    <w:rsid w:val="00A32353"/>
    <w:rsid w:val="00A32471"/>
    <w:rsid w:val="00A32A2A"/>
    <w:rsid w:val="00A32BF3"/>
    <w:rsid w:val="00A32F77"/>
    <w:rsid w:val="00A33089"/>
    <w:rsid w:val="00A331D7"/>
    <w:rsid w:val="00A33427"/>
    <w:rsid w:val="00A337C6"/>
    <w:rsid w:val="00A339C7"/>
    <w:rsid w:val="00A33C74"/>
    <w:rsid w:val="00A33CA9"/>
    <w:rsid w:val="00A33F5C"/>
    <w:rsid w:val="00A3427B"/>
    <w:rsid w:val="00A34842"/>
    <w:rsid w:val="00A34C51"/>
    <w:rsid w:val="00A34CFE"/>
    <w:rsid w:val="00A34DFC"/>
    <w:rsid w:val="00A34F0D"/>
    <w:rsid w:val="00A353C1"/>
    <w:rsid w:val="00A35665"/>
    <w:rsid w:val="00A35C2D"/>
    <w:rsid w:val="00A36036"/>
    <w:rsid w:val="00A3644F"/>
    <w:rsid w:val="00A364E0"/>
    <w:rsid w:val="00A36FE2"/>
    <w:rsid w:val="00A374E3"/>
    <w:rsid w:val="00A37797"/>
    <w:rsid w:val="00A37919"/>
    <w:rsid w:val="00A37A8D"/>
    <w:rsid w:val="00A37EDE"/>
    <w:rsid w:val="00A37F68"/>
    <w:rsid w:val="00A40735"/>
    <w:rsid w:val="00A40810"/>
    <w:rsid w:val="00A40DE9"/>
    <w:rsid w:val="00A41239"/>
    <w:rsid w:val="00A41284"/>
    <w:rsid w:val="00A41424"/>
    <w:rsid w:val="00A415D1"/>
    <w:rsid w:val="00A41E0F"/>
    <w:rsid w:val="00A41E11"/>
    <w:rsid w:val="00A41EF2"/>
    <w:rsid w:val="00A41FDC"/>
    <w:rsid w:val="00A42364"/>
    <w:rsid w:val="00A42647"/>
    <w:rsid w:val="00A42889"/>
    <w:rsid w:val="00A42AC4"/>
    <w:rsid w:val="00A42AE5"/>
    <w:rsid w:val="00A42C90"/>
    <w:rsid w:val="00A434E9"/>
    <w:rsid w:val="00A43905"/>
    <w:rsid w:val="00A44F17"/>
    <w:rsid w:val="00A450F1"/>
    <w:rsid w:val="00A451EF"/>
    <w:rsid w:val="00A45200"/>
    <w:rsid w:val="00A45427"/>
    <w:rsid w:val="00A4547E"/>
    <w:rsid w:val="00A45B4B"/>
    <w:rsid w:val="00A4643C"/>
    <w:rsid w:val="00A4653F"/>
    <w:rsid w:val="00A466B6"/>
    <w:rsid w:val="00A46C44"/>
    <w:rsid w:val="00A46F60"/>
    <w:rsid w:val="00A471BB"/>
    <w:rsid w:val="00A473E2"/>
    <w:rsid w:val="00A47465"/>
    <w:rsid w:val="00A47551"/>
    <w:rsid w:val="00A47815"/>
    <w:rsid w:val="00A47B50"/>
    <w:rsid w:val="00A47FA6"/>
    <w:rsid w:val="00A4FEB3"/>
    <w:rsid w:val="00A5069E"/>
    <w:rsid w:val="00A50D2F"/>
    <w:rsid w:val="00A513C6"/>
    <w:rsid w:val="00A51C71"/>
    <w:rsid w:val="00A51D16"/>
    <w:rsid w:val="00A51ED0"/>
    <w:rsid w:val="00A5201F"/>
    <w:rsid w:val="00A521BF"/>
    <w:rsid w:val="00A52216"/>
    <w:rsid w:val="00A52A3E"/>
    <w:rsid w:val="00A52CBF"/>
    <w:rsid w:val="00A52D51"/>
    <w:rsid w:val="00A53005"/>
    <w:rsid w:val="00A538FA"/>
    <w:rsid w:val="00A540C1"/>
    <w:rsid w:val="00A547DF"/>
    <w:rsid w:val="00A54AA2"/>
    <w:rsid w:val="00A54BD9"/>
    <w:rsid w:val="00A54D67"/>
    <w:rsid w:val="00A55613"/>
    <w:rsid w:val="00A559C7"/>
    <w:rsid w:val="00A55AC0"/>
    <w:rsid w:val="00A55C4D"/>
    <w:rsid w:val="00A55CDC"/>
    <w:rsid w:val="00A55D9B"/>
    <w:rsid w:val="00A55F31"/>
    <w:rsid w:val="00A56043"/>
    <w:rsid w:val="00A561A6"/>
    <w:rsid w:val="00A565F6"/>
    <w:rsid w:val="00A56D20"/>
    <w:rsid w:val="00A56F4A"/>
    <w:rsid w:val="00A5749F"/>
    <w:rsid w:val="00A578F9"/>
    <w:rsid w:val="00A57AEC"/>
    <w:rsid w:val="00A601DF"/>
    <w:rsid w:val="00A60440"/>
    <w:rsid w:val="00A605F1"/>
    <w:rsid w:val="00A60BD7"/>
    <w:rsid w:val="00A617BB"/>
    <w:rsid w:val="00A61BCE"/>
    <w:rsid w:val="00A61D69"/>
    <w:rsid w:val="00A62080"/>
    <w:rsid w:val="00A6217E"/>
    <w:rsid w:val="00A6246A"/>
    <w:rsid w:val="00A6298B"/>
    <w:rsid w:val="00A63661"/>
    <w:rsid w:val="00A63BCF"/>
    <w:rsid w:val="00A64193"/>
    <w:rsid w:val="00A64242"/>
    <w:rsid w:val="00A64282"/>
    <w:rsid w:val="00A6432B"/>
    <w:rsid w:val="00A6443F"/>
    <w:rsid w:val="00A6447A"/>
    <w:rsid w:val="00A64889"/>
    <w:rsid w:val="00A64A6E"/>
    <w:rsid w:val="00A65451"/>
    <w:rsid w:val="00A65C2B"/>
    <w:rsid w:val="00A66182"/>
    <w:rsid w:val="00A665D1"/>
    <w:rsid w:val="00A667F1"/>
    <w:rsid w:val="00A6681F"/>
    <w:rsid w:val="00A66BD9"/>
    <w:rsid w:val="00A674E5"/>
    <w:rsid w:val="00A678D9"/>
    <w:rsid w:val="00A67A60"/>
    <w:rsid w:val="00A67EA9"/>
    <w:rsid w:val="00A70CAD"/>
    <w:rsid w:val="00A711B4"/>
    <w:rsid w:val="00A717AE"/>
    <w:rsid w:val="00A71926"/>
    <w:rsid w:val="00A71BF9"/>
    <w:rsid w:val="00A71D35"/>
    <w:rsid w:val="00A71D81"/>
    <w:rsid w:val="00A724B1"/>
    <w:rsid w:val="00A7264C"/>
    <w:rsid w:val="00A731AE"/>
    <w:rsid w:val="00A732C9"/>
    <w:rsid w:val="00A73B27"/>
    <w:rsid w:val="00A73BA7"/>
    <w:rsid w:val="00A73CA2"/>
    <w:rsid w:val="00A74B79"/>
    <w:rsid w:val="00A74DFB"/>
    <w:rsid w:val="00A75918"/>
    <w:rsid w:val="00A75D5E"/>
    <w:rsid w:val="00A75FB5"/>
    <w:rsid w:val="00A760F8"/>
    <w:rsid w:val="00A76334"/>
    <w:rsid w:val="00A76436"/>
    <w:rsid w:val="00A76A0B"/>
    <w:rsid w:val="00A76EF6"/>
    <w:rsid w:val="00A770B7"/>
    <w:rsid w:val="00A775F3"/>
    <w:rsid w:val="00A779EE"/>
    <w:rsid w:val="00A77C68"/>
    <w:rsid w:val="00A806E9"/>
    <w:rsid w:val="00A8100C"/>
    <w:rsid w:val="00A810EA"/>
    <w:rsid w:val="00A8137D"/>
    <w:rsid w:val="00A81605"/>
    <w:rsid w:val="00A81C05"/>
    <w:rsid w:val="00A81E31"/>
    <w:rsid w:val="00A81E4A"/>
    <w:rsid w:val="00A81EB5"/>
    <w:rsid w:val="00A82064"/>
    <w:rsid w:val="00A824A9"/>
    <w:rsid w:val="00A8253F"/>
    <w:rsid w:val="00A82737"/>
    <w:rsid w:val="00A82740"/>
    <w:rsid w:val="00A8287A"/>
    <w:rsid w:val="00A82B47"/>
    <w:rsid w:val="00A8325A"/>
    <w:rsid w:val="00A83455"/>
    <w:rsid w:val="00A83533"/>
    <w:rsid w:val="00A83553"/>
    <w:rsid w:val="00A83803"/>
    <w:rsid w:val="00A84019"/>
    <w:rsid w:val="00A84177"/>
    <w:rsid w:val="00A84326"/>
    <w:rsid w:val="00A84557"/>
    <w:rsid w:val="00A84858"/>
    <w:rsid w:val="00A8485A"/>
    <w:rsid w:val="00A848CE"/>
    <w:rsid w:val="00A84CDD"/>
    <w:rsid w:val="00A8541F"/>
    <w:rsid w:val="00A8560C"/>
    <w:rsid w:val="00A8586F"/>
    <w:rsid w:val="00A85B55"/>
    <w:rsid w:val="00A85C5D"/>
    <w:rsid w:val="00A85DEA"/>
    <w:rsid w:val="00A866F7"/>
    <w:rsid w:val="00A86F4D"/>
    <w:rsid w:val="00A8700D"/>
    <w:rsid w:val="00A873A5"/>
    <w:rsid w:val="00A87771"/>
    <w:rsid w:val="00A87DE6"/>
    <w:rsid w:val="00A9034A"/>
    <w:rsid w:val="00A90672"/>
    <w:rsid w:val="00A90832"/>
    <w:rsid w:val="00A90A0F"/>
    <w:rsid w:val="00A90CA8"/>
    <w:rsid w:val="00A91561"/>
    <w:rsid w:val="00A918B5"/>
    <w:rsid w:val="00A920A5"/>
    <w:rsid w:val="00A922A6"/>
    <w:rsid w:val="00A9234A"/>
    <w:rsid w:val="00A929FF"/>
    <w:rsid w:val="00A92DEB"/>
    <w:rsid w:val="00A92FCD"/>
    <w:rsid w:val="00A93778"/>
    <w:rsid w:val="00A93798"/>
    <w:rsid w:val="00A93B41"/>
    <w:rsid w:val="00A93F69"/>
    <w:rsid w:val="00A94129"/>
    <w:rsid w:val="00A94370"/>
    <w:rsid w:val="00A94478"/>
    <w:rsid w:val="00A94885"/>
    <w:rsid w:val="00A94950"/>
    <w:rsid w:val="00A94E17"/>
    <w:rsid w:val="00A94F02"/>
    <w:rsid w:val="00A950AD"/>
    <w:rsid w:val="00A95122"/>
    <w:rsid w:val="00A95498"/>
    <w:rsid w:val="00A958DF"/>
    <w:rsid w:val="00A959CD"/>
    <w:rsid w:val="00A95A6E"/>
    <w:rsid w:val="00A95BC5"/>
    <w:rsid w:val="00A95BD2"/>
    <w:rsid w:val="00A95DAE"/>
    <w:rsid w:val="00A9648F"/>
    <w:rsid w:val="00A9657B"/>
    <w:rsid w:val="00A96699"/>
    <w:rsid w:val="00A9678E"/>
    <w:rsid w:val="00A96792"/>
    <w:rsid w:val="00A96F1F"/>
    <w:rsid w:val="00A97058"/>
    <w:rsid w:val="00A973B1"/>
    <w:rsid w:val="00A9744E"/>
    <w:rsid w:val="00A97813"/>
    <w:rsid w:val="00A9792C"/>
    <w:rsid w:val="00A97DF8"/>
    <w:rsid w:val="00A9AA00"/>
    <w:rsid w:val="00AA023E"/>
    <w:rsid w:val="00AA0378"/>
    <w:rsid w:val="00AA03A2"/>
    <w:rsid w:val="00AA0A59"/>
    <w:rsid w:val="00AA0BB1"/>
    <w:rsid w:val="00AA0F96"/>
    <w:rsid w:val="00AA1042"/>
    <w:rsid w:val="00AA105B"/>
    <w:rsid w:val="00AA11A5"/>
    <w:rsid w:val="00AA160F"/>
    <w:rsid w:val="00AA186C"/>
    <w:rsid w:val="00AA18AE"/>
    <w:rsid w:val="00AA1C45"/>
    <w:rsid w:val="00AA2599"/>
    <w:rsid w:val="00AA2895"/>
    <w:rsid w:val="00AA29F4"/>
    <w:rsid w:val="00AA2B87"/>
    <w:rsid w:val="00AA2E0B"/>
    <w:rsid w:val="00AA30A4"/>
    <w:rsid w:val="00AA350D"/>
    <w:rsid w:val="00AA36D0"/>
    <w:rsid w:val="00AA372D"/>
    <w:rsid w:val="00AA37CA"/>
    <w:rsid w:val="00AA3CAE"/>
    <w:rsid w:val="00AA3ED8"/>
    <w:rsid w:val="00AA42F5"/>
    <w:rsid w:val="00AA453B"/>
    <w:rsid w:val="00AA4787"/>
    <w:rsid w:val="00AA47C9"/>
    <w:rsid w:val="00AA4E8C"/>
    <w:rsid w:val="00AA5E2F"/>
    <w:rsid w:val="00AA5F85"/>
    <w:rsid w:val="00AA6381"/>
    <w:rsid w:val="00AA6945"/>
    <w:rsid w:val="00AA6FA6"/>
    <w:rsid w:val="00AA74E9"/>
    <w:rsid w:val="00AA74EF"/>
    <w:rsid w:val="00AA75C3"/>
    <w:rsid w:val="00AA7A37"/>
    <w:rsid w:val="00AB01BC"/>
    <w:rsid w:val="00AB02FB"/>
    <w:rsid w:val="00AB0461"/>
    <w:rsid w:val="00AB081F"/>
    <w:rsid w:val="00AB0BAC"/>
    <w:rsid w:val="00AB1B98"/>
    <w:rsid w:val="00AB1CB3"/>
    <w:rsid w:val="00AB1D65"/>
    <w:rsid w:val="00AB1F7B"/>
    <w:rsid w:val="00AB20D4"/>
    <w:rsid w:val="00AB28C5"/>
    <w:rsid w:val="00AB2FA8"/>
    <w:rsid w:val="00AB33BF"/>
    <w:rsid w:val="00AB3645"/>
    <w:rsid w:val="00AB36A8"/>
    <w:rsid w:val="00AB40CA"/>
    <w:rsid w:val="00AB4A52"/>
    <w:rsid w:val="00AB4BC5"/>
    <w:rsid w:val="00AB5167"/>
    <w:rsid w:val="00AB51FB"/>
    <w:rsid w:val="00AB552C"/>
    <w:rsid w:val="00AB5C2A"/>
    <w:rsid w:val="00AB6E2C"/>
    <w:rsid w:val="00AB777C"/>
    <w:rsid w:val="00AB7DD3"/>
    <w:rsid w:val="00AB7FE3"/>
    <w:rsid w:val="00AC02AA"/>
    <w:rsid w:val="00AC0436"/>
    <w:rsid w:val="00AC076E"/>
    <w:rsid w:val="00AC1047"/>
    <w:rsid w:val="00AC11F6"/>
    <w:rsid w:val="00AC131E"/>
    <w:rsid w:val="00AC1352"/>
    <w:rsid w:val="00AC16CE"/>
    <w:rsid w:val="00AC1B6E"/>
    <w:rsid w:val="00AC1C7C"/>
    <w:rsid w:val="00AC1D46"/>
    <w:rsid w:val="00AC2075"/>
    <w:rsid w:val="00AC2342"/>
    <w:rsid w:val="00AC26AC"/>
    <w:rsid w:val="00AC2E30"/>
    <w:rsid w:val="00AC338F"/>
    <w:rsid w:val="00AC36DB"/>
    <w:rsid w:val="00AC3BBF"/>
    <w:rsid w:val="00AC41FA"/>
    <w:rsid w:val="00AC434F"/>
    <w:rsid w:val="00AC497F"/>
    <w:rsid w:val="00AC4EE7"/>
    <w:rsid w:val="00AC581B"/>
    <w:rsid w:val="00AC59E6"/>
    <w:rsid w:val="00AC5BDB"/>
    <w:rsid w:val="00AC5D76"/>
    <w:rsid w:val="00AC5D79"/>
    <w:rsid w:val="00AC5DA3"/>
    <w:rsid w:val="00AC608A"/>
    <w:rsid w:val="00AC6346"/>
    <w:rsid w:val="00AC664D"/>
    <w:rsid w:val="00AC679D"/>
    <w:rsid w:val="00AC6983"/>
    <w:rsid w:val="00AC6FE5"/>
    <w:rsid w:val="00AC7177"/>
    <w:rsid w:val="00AC7179"/>
    <w:rsid w:val="00AC7B72"/>
    <w:rsid w:val="00AC7C34"/>
    <w:rsid w:val="00AD01E4"/>
    <w:rsid w:val="00AD08C5"/>
    <w:rsid w:val="00AD0BF5"/>
    <w:rsid w:val="00AD1520"/>
    <w:rsid w:val="00AD17BC"/>
    <w:rsid w:val="00AD18B2"/>
    <w:rsid w:val="00AD1E45"/>
    <w:rsid w:val="00AD1E50"/>
    <w:rsid w:val="00AD1E5F"/>
    <w:rsid w:val="00AD1F76"/>
    <w:rsid w:val="00AD24E7"/>
    <w:rsid w:val="00AD27B1"/>
    <w:rsid w:val="00AD28FD"/>
    <w:rsid w:val="00AD2946"/>
    <w:rsid w:val="00AD2A28"/>
    <w:rsid w:val="00AD3281"/>
    <w:rsid w:val="00AD38FF"/>
    <w:rsid w:val="00AD3B08"/>
    <w:rsid w:val="00AD3E46"/>
    <w:rsid w:val="00AD4188"/>
    <w:rsid w:val="00AD4AD3"/>
    <w:rsid w:val="00AD4BE5"/>
    <w:rsid w:val="00AD547F"/>
    <w:rsid w:val="00AD5593"/>
    <w:rsid w:val="00AD55F9"/>
    <w:rsid w:val="00AD5642"/>
    <w:rsid w:val="00AD57F5"/>
    <w:rsid w:val="00AD581B"/>
    <w:rsid w:val="00AD58C9"/>
    <w:rsid w:val="00AD6400"/>
    <w:rsid w:val="00AD6D1E"/>
    <w:rsid w:val="00AD6D51"/>
    <w:rsid w:val="00AD6DA9"/>
    <w:rsid w:val="00AD75DF"/>
    <w:rsid w:val="00AD7D0E"/>
    <w:rsid w:val="00AD7DEA"/>
    <w:rsid w:val="00AD7F08"/>
    <w:rsid w:val="00AE04C8"/>
    <w:rsid w:val="00AE0958"/>
    <w:rsid w:val="00AE16FF"/>
    <w:rsid w:val="00AE19A9"/>
    <w:rsid w:val="00AE19BB"/>
    <w:rsid w:val="00AE1A50"/>
    <w:rsid w:val="00AE1C1A"/>
    <w:rsid w:val="00AE1C60"/>
    <w:rsid w:val="00AE2287"/>
    <w:rsid w:val="00AE2A85"/>
    <w:rsid w:val="00AE3380"/>
    <w:rsid w:val="00AE3410"/>
    <w:rsid w:val="00AE37C2"/>
    <w:rsid w:val="00AE3C87"/>
    <w:rsid w:val="00AE3E8B"/>
    <w:rsid w:val="00AE4695"/>
    <w:rsid w:val="00AE49CC"/>
    <w:rsid w:val="00AE4B4E"/>
    <w:rsid w:val="00AE4CD0"/>
    <w:rsid w:val="00AE5439"/>
    <w:rsid w:val="00AE587B"/>
    <w:rsid w:val="00AE5935"/>
    <w:rsid w:val="00AE5BCB"/>
    <w:rsid w:val="00AE62E8"/>
    <w:rsid w:val="00AE660F"/>
    <w:rsid w:val="00AE6A80"/>
    <w:rsid w:val="00AE6ADC"/>
    <w:rsid w:val="00AE6F5B"/>
    <w:rsid w:val="00AE73E7"/>
    <w:rsid w:val="00AE765E"/>
    <w:rsid w:val="00AE78AB"/>
    <w:rsid w:val="00AE7D57"/>
    <w:rsid w:val="00AE7EC2"/>
    <w:rsid w:val="00AF0006"/>
    <w:rsid w:val="00AF0490"/>
    <w:rsid w:val="00AF0A0E"/>
    <w:rsid w:val="00AF0C46"/>
    <w:rsid w:val="00AF11A9"/>
    <w:rsid w:val="00AF1429"/>
    <w:rsid w:val="00AF14F8"/>
    <w:rsid w:val="00AF1AA2"/>
    <w:rsid w:val="00AF1D3E"/>
    <w:rsid w:val="00AF21D8"/>
    <w:rsid w:val="00AF2556"/>
    <w:rsid w:val="00AF2935"/>
    <w:rsid w:val="00AF2B84"/>
    <w:rsid w:val="00AF2FE3"/>
    <w:rsid w:val="00AF3DE0"/>
    <w:rsid w:val="00AF413D"/>
    <w:rsid w:val="00AF441C"/>
    <w:rsid w:val="00AF45D2"/>
    <w:rsid w:val="00AF4A0E"/>
    <w:rsid w:val="00AF55E0"/>
    <w:rsid w:val="00AF56A1"/>
    <w:rsid w:val="00AF6568"/>
    <w:rsid w:val="00AF6709"/>
    <w:rsid w:val="00AF6ADE"/>
    <w:rsid w:val="00AF70AA"/>
    <w:rsid w:val="00AF7126"/>
    <w:rsid w:val="00AF7408"/>
    <w:rsid w:val="00AF754F"/>
    <w:rsid w:val="00AF7FCE"/>
    <w:rsid w:val="00B001DF"/>
    <w:rsid w:val="00B00232"/>
    <w:rsid w:val="00B002FF"/>
    <w:rsid w:val="00B0055B"/>
    <w:rsid w:val="00B00E0F"/>
    <w:rsid w:val="00B00EB1"/>
    <w:rsid w:val="00B0129C"/>
    <w:rsid w:val="00B01754"/>
    <w:rsid w:val="00B0268D"/>
    <w:rsid w:val="00B0283C"/>
    <w:rsid w:val="00B02B8F"/>
    <w:rsid w:val="00B02C45"/>
    <w:rsid w:val="00B03166"/>
    <w:rsid w:val="00B031E3"/>
    <w:rsid w:val="00B037BD"/>
    <w:rsid w:val="00B03AE0"/>
    <w:rsid w:val="00B03BDC"/>
    <w:rsid w:val="00B03F15"/>
    <w:rsid w:val="00B04504"/>
    <w:rsid w:val="00B045E2"/>
    <w:rsid w:val="00B04A1D"/>
    <w:rsid w:val="00B04D38"/>
    <w:rsid w:val="00B05164"/>
    <w:rsid w:val="00B05521"/>
    <w:rsid w:val="00B05735"/>
    <w:rsid w:val="00B05D62"/>
    <w:rsid w:val="00B0631C"/>
    <w:rsid w:val="00B06ACA"/>
    <w:rsid w:val="00B06C8E"/>
    <w:rsid w:val="00B06ECA"/>
    <w:rsid w:val="00B07552"/>
    <w:rsid w:val="00B075B9"/>
    <w:rsid w:val="00B07F7A"/>
    <w:rsid w:val="00B10531"/>
    <w:rsid w:val="00B10633"/>
    <w:rsid w:val="00B10E59"/>
    <w:rsid w:val="00B1167D"/>
    <w:rsid w:val="00B11E36"/>
    <w:rsid w:val="00B11F05"/>
    <w:rsid w:val="00B1224B"/>
    <w:rsid w:val="00B1244D"/>
    <w:rsid w:val="00B12512"/>
    <w:rsid w:val="00B126EA"/>
    <w:rsid w:val="00B12C12"/>
    <w:rsid w:val="00B130AE"/>
    <w:rsid w:val="00B134AF"/>
    <w:rsid w:val="00B1385C"/>
    <w:rsid w:val="00B13A5F"/>
    <w:rsid w:val="00B13D0F"/>
    <w:rsid w:val="00B14CAA"/>
    <w:rsid w:val="00B15326"/>
    <w:rsid w:val="00B15E5D"/>
    <w:rsid w:val="00B15F96"/>
    <w:rsid w:val="00B15FEC"/>
    <w:rsid w:val="00B1649F"/>
    <w:rsid w:val="00B16525"/>
    <w:rsid w:val="00B169FF"/>
    <w:rsid w:val="00B16C28"/>
    <w:rsid w:val="00B16F97"/>
    <w:rsid w:val="00B1724B"/>
    <w:rsid w:val="00B172FB"/>
    <w:rsid w:val="00B176ED"/>
    <w:rsid w:val="00B17BBB"/>
    <w:rsid w:val="00B17D11"/>
    <w:rsid w:val="00B17E2C"/>
    <w:rsid w:val="00B20286"/>
    <w:rsid w:val="00B20826"/>
    <w:rsid w:val="00B20C6D"/>
    <w:rsid w:val="00B20D6D"/>
    <w:rsid w:val="00B21286"/>
    <w:rsid w:val="00B216B2"/>
    <w:rsid w:val="00B21737"/>
    <w:rsid w:val="00B2255A"/>
    <w:rsid w:val="00B22C76"/>
    <w:rsid w:val="00B22FF3"/>
    <w:rsid w:val="00B2354C"/>
    <w:rsid w:val="00B2375D"/>
    <w:rsid w:val="00B238A4"/>
    <w:rsid w:val="00B23C7A"/>
    <w:rsid w:val="00B24475"/>
    <w:rsid w:val="00B24B53"/>
    <w:rsid w:val="00B24DA4"/>
    <w:rsid w:val="00B251A8"/>
    <w:rsid w:val="00B2524B"/>
    <w:rsid w:val="00B25561"/>
    <w:rsid w:val="00B2577E"/>
    <w:rsid w:val="00B25A35"/>
    <w:rsid w:val="00B25A85"/>
    <w:rsid w:val="00B25FAC"/>
    <w:rsid w:val="00B260D5"/>
    <w:rsid w:val="00B264CD"/>
    <w:rsid w:val="00B269C6"/>
    <w:rsid w:val="00B26A51"/>
    <w:rsid w:val="00B26E5F"/>
    <w:rsid w:val="00B26E7E"/>
    <w:rsid w:val="00B275E4"/>
    <w:rsid w:val="00B277E8"/>
    <w:rsid w:val="00B27A92"/>
    <w:rsid w:val="00B27B02"/>
    <w:rsid w:val="00B27C44"/>
    <w:rsid w:val="00B3019F"/>
    <w:rsid w:val="00B302EC"/>
    <w:rsid w:val="00B30AF5"/>
    <w:rsid w:val="00B30CA5"/>
    <w:rsid w:val="00B30DC3"/>
    <w:rsid w:val="00B30F1E"/>
    <w:rsid w:val="00B31D04"/>
    <w:rsid w:val="00B32A9D"/>
    <w:rsid w:val="00B32E71"/>
    <w:rsid w:val="00B33376"/>
    <w:rsid w:val="00B3339D"/>
    <w:rsid w:val="00B34050"/>
    <w:rsid w:val="00B34463"/>
    <w:rsid w:val="00B346EB"/>
    <w:rsid w:val="00B349B5"/>
    <w:rsid w:val="00B34F4B"/>
    <w:rsid w:val="00B35205"/>
    <w:rsid w:val="00B3552D"/>
    <w:rsid w:val="00B3579C"/>
    <w:rsid w:val="00B357B5"/>
    <w:rsid w:val="00B35CEA"/>
    <w:rsid w:val="00B35CF4"/>
    <w:rsid w:val="00B36053"/>
    <w:rsid w:val="00B36084"/>
    <w:rsid w:val="00B3657E"/>
    <w:rsid w:val="00B3657F"/>
    <w:rsid w:val="00B368A8"/>
    <w:rsid w:val="00B36C63"/>
    <w:rsid w:val="00B37471"/>
    <w:rsid w:val="00B377F4"/>
    <w:rsid w:val="00B379C6"/>
    <w:rsid w:val="00B37AAE"/>
    <w:rsid w:val="00B37AE2"/>
    <w:rsid w:val="00B37D5C"/>
    <w:rsid w:val="00B400CB"/>
    <w:rsid w:val="00B401BB"/>
    <w:rsid w:val="00B404BC"/>
    <w:rsid w:val="00B4057E"/>
    <w:rsid w:val="00B40946"/>
    <w:rsid w:val="00B40CC1"/>
    <w:rsid w:val="00B40E69"/>
    <w:rsid w:val="00B40F5F"/>
    <w:rsid w:val="00B41492"/>
    <w:rsid w:val="00B4158D"/>
    <w:rsid w:val="00B41780"/>
    <w:rsid w:val="00B417DC"/>
    <w:rsid w:val="00B41903"/>
    <w:rsid w:val="00B41AB8"/>
    <w:rsid w:val="00B41D6B"/>
    <w:rsid w:val="00B420CB"/>
    <w:rsid w:val="00B42866"/>
    <w:rsid w:val="00B43974"/>
    <w:rsid w:val="00B43B9B"/>
    <w:rsid w:val="00B43BB9"/>
    <w:rsid w:val="00B43BDD"/>
    <w:rsid w:val="00B44318"/>
    <w:rsid w:val="00B44B91"/>
    <w:rsid w:val="00B44E90"/>
    <w:rsid w:val="00B45185"/>
    <w:rsid w:val="00B45307"/>
    <w:rsid w:val="00B45323"/>
    <w:rsid w:val="00B45519"/>
    <w:rsid w:val="00B45786"/>
    <w:rsid w:val="00B457EE"/>
    <w:rsid w:val="00B458EB"/>
    <w:rsid w:val="00B45F28"/>
    <w:rsid w:val="00B460F5"/>
    <w:rsid w:val="00B46929"/>
    <w:rsid w:val="00B47C3C"/>
    <w:rsid w:val="00B47C64"/>
    <w:rsid w:val="00B47D22"/>
    <w:rsid w:val="00B50DC0"/>
    <w:rsid w:val="00B51A68"/>
    <w:rsid w:val="00B51AB2"/>
    <w:rsid w:val="00B51CFD"/>
    <w:rsid w:val="00B51E0E"/>
    <w:rsid w:val="00B5258F"/>
    <w:rsid w:val="00B52618"/>
    <w:rsid w:val="00B52FCB"/>
    <w:rsid w:val="00B5312D"/>
    <w:rsid w:val="00B5350D"/>
    <w:rsid w:val="00B53E65"/>
    <w:rsid w:val="00B541D6"/>
    <w:rsid w:val="00B54242"/>
    <w:rsid w:val="00B54710"/>
    <w:rsid w:val="00B548EC"/>
    <w:rsid w:val="00B5494F"/>
    <w:rsid w:val="00B54BD4"/>
    <w:rsid w:val="00B5565F"/>
    <w:rsid w:val="00B556B5"/>
    <w:rsid w:val="00B55702"/>
    <w:rsid w:val="00B55E8B"/>
    <w:rsid w:val="00B55F1C"/>
    <w:rsid w:val="00B56324"/>
    <w:rsid w:val="00B5639B"/>
    <w:rsid w:val="00B564E0"/>
    <w:rsid w:val="00B564E7"/>
    <w:rsid w:val="00B5696F"/>
    <w:rsid w:val="00B56BB3"/>
    <w:rsid w:val="00B56BB8"/>
    <w:rsid w:val="00B56F2E"/>
    <w:rsid w:val="00B57031"/>
    <w:rsid w:val="00B57037"/>
    <w:rsid w:val="00B5733D"/>
    <w:rsid w:val="00B6017C"/>
    <w:rsid w:val="00B60369"/>
    <w:rsid w:val="00B60990"/>
    <w:rsid w:val="00B609FB"/>
    <w:rsid w:val="00B60B22"/>
    <w:rsid w:val="00B60E88"/>
    <w:rsid w:val="00B60EDC"/>
    <w:rsid w:val="00B60F00"/>
    <w:rsid w:val="00B61640"/>
    <w:rsid w:val="00B61C96"/>
    <w:rsid w:val="00B61D14"/>
    <w:rsid w:val="00B61DE3"/>
    <w:rsid w:val="00B61F5C"/>
    <w:rsid w:val="00B61FCF"/>
    <w:rsid w:val="00B62D07"/>
    <w:rsid w:val="00B62D12"/>
    <w:rsid w:val="00B62FEB"/>
    <w:rsid w:val="00B6380B"/>
    <w:rsid w:val="00B63CB5"/>
    <w:rsid w:val="00B63F45"/>
    <w:rsid w:val="00B6406B"/>
    <w:rsid w:val="00B642B4"/>
    <w:rsid w:val="00B64E2F"/>
    <w:rsid w:val="00B64E6E"/>
    <w:rsid w:val="00B65123"/>
    <w:rsid w:val="00B6547C"/>
    <w:rsid w:val="00B654C2"/>
    <w:rsid w:val="00B6576C"/>
    <w:rsid w:val="00B65A4B"/>
    <w:rsid w:val="00B65EBB"/>
    <w:rsid w:val="00B65EE8"/>
    <w:rsid w:val="00B65FE0"/>
    <w:rsid w:val="00B66031"/>
    <w:rsid w:val="00B6706D"/>
    <w:rsid w:val="00B67324"/>
    <w:rsid w:val="00B6736D"/>
    <w:rsid w:val="00B674EB"/>
    <w:rsid w:val="00B6767D"/>
    <w:rsid w:val="00B678A0"/>
    <w:rsid w:val="00B67E2B"/>
    <w:rsid w:val="00B700A4"/>
    <w:rsid w:val="00B7036C"/>
    <w:rsid w:val="00B706A0"/>
    <w:rsid w:val="00B70731"/>
    <w:rsid w:val="00B708F7"/>
    <w:rsid w:val="00B70FDC"/>
    <w:rsid w:val="00B71264"/>
    <w:rsid w:val="00B71414"/>
    <w:rsid w:val="00B71E42"/>
    <w:rsid w:val="00B72276"/>
    <w:rsid w:val="00B722D8"/>
    <w:rsid w:val="00B73011"/>
    <w:rsid w:val="00B7315E"/>
    <w:rsid w:val="00B73869"/>
    <w:rsid w:val="00B73A72"/>
    <w:rsid w:val="00B745C5"/>
    <w:rsid w:val="00B74628"/>
    <w:rsid w:val="00B746B7"/>
    <w:rsid w:val="00B748FA"/>
    <w:rsid w:val="00B74E69"/>
    <w:rsid w:val="00B75343"/>
    <w:rsid w:val="00B756A8"/>
    <w:rsid w:val="00B75D1A"/>
    <w:rsid w:val="00B764B4"/>
    <w:rsid w:val="00B7659D"/>
    <w:rsid w:val="00B766DB"/>
    <w:rsid w:val="00B7677B"/>
    <w:rsid w:val="00B76A6A"/>
    <w:rsid w:val="00B76AAD"/>
    <w:rsid w:val="00B76B8A"/>
    <w:rsid w:val="00B76E5F"/>
    <w:rsid w:val="00B77513"/>
    <w:rsid w:val="00B77668"/>
    <w:rsid w:val="00B77AAE"/>
    <w:rsid w:val="00B77DAD"/>
    <w:rsid w:val="00B805EC"/>
    <w:rsid w:val="00B81068"/>
    <w:rsid w:val="00B81111"/>
    <w:rsid w:val="00B811BA"/>
    <w:rsid w:val="00B81423"/>
    <w:rsid w:val="00B81425"/>
    <w:rsid w:val="00B8168B"/>
    <w:rsid w:val="00B816F6"/>
    <w:rsid w:val="00B817FC"/>
    <w:rsid w:val="00B81B63"/>
    <w:rsid w:val="00B81D0B"/>
    <w:rsid w:val="00B81D16"/>
    <w:rsid w:val="00B81D1B"/>
    <w:rsid w:val="00B81DD8"/>
    <w:rsid w:val="00B8251E"/>
    <w:rsid w:val="00B825A6"/>
    <w:rsid w:val="00B829BF"/>
    <w:rsid w:val="00B82B1B"/>
    <w:rsid w:val="00B83192"/>
    <w:rsid w:val="00B831EF"/>
    <w:rsid w:val="00B83440"/>
    <w:rsid w:val="00B835E6"/>
    <w:rsid w:val="00B83645"/>
    <w:rsid w:val="00B83838"/>
    <w:rsid w:val="00B83A02"/>
    <w:rsid w:val="00B83DED"/>
    <w:rsid w:val="00B83ED8"/>
    <w:rsid w:val="00B83FD4"/>
    <w:rsid w:val="00B8404A"/>
    <w:rsid w:val="00B840DF"/>
    <w:rsid w:val="00B84184"/>
    <w:rsid w:val="00B84862"/>
    <w:rsid w:val="00B84899"/>
    <w:rsid w:val="00B84D4D"/>
    <w:rsid w:val="00B85087"/>
    <w:rsid w:val="00B8519E"/>
    <w:rsid w:val="00B8554C"/>
    <w:rsid w:val="00B855E1"/>
    <w:rsid w:val="00B85608"/>
    <w:rsid w:val="00B858FE"/>
    <w:rsid w:val="00B85D50"/>
    <w:rsid w:val="00B85D80"/>
    <w:rsid w:val="00B86118"/>
    <w:rsid w:val="00B8613E"/>
    <w:rsid w:val="00B861DD"/>
    <w:rsid w:val="00B86405"/>
    <w:rsid w:val="00B86540"/>
    <w:rsid w:val="00B86620"/>
    <w:rsid w:val="00B86B84"/>
    <w:rsid w:val="00B9006A"/>
    <w:rsid w:val="00B9013D"/>
    <w:rsid w:val="00B9025F"/>
    <w:rsid w:val="00B9042E"/>
    <w:rsid w:val="00B90775"/>
    <w:rsid w:val="00B90ADF"/>
    <w:rsid w:val="00B90EE5"/>
    <w:rsid w:val="00B90EFB"/>
    <w:rsid w:val="00B914CB"/>
    <w:rsid w:val="00B917E1"/>
    <w:rsid w:val="00B91A1F"/>
    <w:rsid w:val="00B9262C"/>
    <w:rsid w:val="00B92742"/>
    <w:rsid w:val="00B929A8"/>
    <w:rsid w:val="00B92CB4"/>
    <w:rsid w:val="00B92CD6"/>
    <w:rsid w:val="00B93163"/>
    <w:rsid w:val="00B93194"/>
    <w:rsid w:val="00B93332"/>
    <w:rsid w:val="00B9334F"/>
    <w:rsid w:val="00B93449"/>
    <w:rsid w:val="00B93726"/>
    <w:rsid w:val="00B93A66"/>
    <w:rsid w:val="00B94362"/>
    <w:rsid w:val="00B94398"/>
    <w:rsid w:val="00B94632"/>
    <w:rsid w:val="00B94D41"/>
    <w:rsid w:val="00B94D8A"/>
    <w:rsid w:val="00B95092"/>
    <w:rsid w:val="00B950FB"/>
    <w:rsid w:val="00B958C5"/>
    <w:rsid w:val="00B95E9C"/>
    <w:rsid w:val="00B96557"/>
    <w:rsid w:val="00B9677B"/>
    <w:rsid w:val="00B96A5D"/>
    <w:rsid w:val="00B96D7D"/>
    <w:rsid w:val="00B96E45"/>
    <w:rsid w:val="00B97091"/>
    <w:rsid w:val="00B973AC"/>
    <w:rsid w:val="00B97A01"/>
    <w:rsid w:val="00B97A90"/>
    <w:rsid w:val="00B97B5B"/>
    <w:rsid w:val="00BA0A67"/>
    <w:rsid w:val="00BA0CC1"/>
    <w:rsid w:val="00BA1681"/>
    <w:rsid w:val="00BA1733"/>
    <w:rsid w:val="00BA181F"/>
    <w:rsid w:val="00BA194A"/>
    <w:rsid w:val="00BA1C3F"/>
    <w:rsid w:val="00BA1DED"/>
    <w:rsid w:val="00BA2014"/>
    <w:rsid w:val="00BA2133"/>
    <w:rsid w:val="00BA299F"/>
    <w:rsid w:val="00BA2B49"/>
    <w:rsid w:val="00BA30F7"/>
    <w:rsid w:val="00BA32B2"/>
    <w:rsid w:val="00BA367C"/>
    <w:rsid w:val="00BA3D9C"/>
    <w:rsid w:val="00BA3DAA"/>
    <w:rsid w:val="00BA3EFA"/>
    <w:rsid w:val="00BA3F47"/>
    <w:rsid w:val="00BA43C2"/>
    <w:rsid w:val="00BA443F"/>
    <w:rsid w:val="00BA458A"/>
    <w:rsid w:val="00BA46A7"/>
    <w:rsid w:val="00BA4F10"/>
    <w:rsid w:val="00BA54DF"/>
    <w:rsid w:val="00BA661B"/>
    <w:rsid w:val="00BA670A"/>
    <w:rsid w:val="00BA69C1"/>
    <w:rsid w:val="00BA69EE"/>
    <w:rsid w:val="00BA6F0F"/>
    <w:rsid w:val="00BA71FF"/>
    <w:rsid w:val="00BA72F5"/>
    <w:rsid w:val="00BA762F"/>
    <w:rsid w:val="00BA772F"/>
    <w:rsid w:val="00BB006F"/>
    <w:rsid w:val="00BB0241"/>
    <w:rsid w:val="00BB03A4"/>
    <w:rsid w:val="00BB03BE"/>
    <w:rsid w:val="00BB058B"/>
    <w:rsid w:val="00BB06CE"/>
    <w:rsid w:val="00BB07A8"/>
    <w:rsid w:val="00BB0CB1"/>
    <w:rsid w:val="00BB0DDD"/>
    <w:rsid w:val="00BB1521"/>
    <w:rsid w:val="00BB1925"/>
    <w:rsid w:val="00BB1937"/>
    <w:rsid w:val="00BB19FF"/>
    <w:rsid w:val="00BB1A27"/>
    <w:rsid w:val="00BB1DC6"/>
    <w:rsid w:val="00BB20A5"/>
    <w:rsid w:val="00BB2697"/>
    <w:rsid w:val="00BB2FE9"/>
    <w:rsid w:val="00BB34FB"/>
    <w:rsid w:val="00BB4244"/>
    <w:rsid w:val="00BB44B5"/>
    <w:rsid w:val="00BB4AE4"/>
    <w:rsid w:val="00BB4BAF"/>
    <w:rsid w:val="00BB4C31"/>
    <w:rsid w:val="00BB4CDC"/>
    <w:rsid w:val="00BB513C"/>
    <w:rsid w:val="00BB5621"/>
    <w:rsid w:val="00BB583D"/>
    <w:rsid w:val="00BB5978"/>
    <w:rsid w:val="00BB63CF"/>
    <w:rsid w:val="00BB6692"/>
    <w:rsid w:val="00BB66F7"/>
    <w:rsid w:val="00BB6BEE"/>
    <w:rsid w:val="00BB7308"/>
    <w:rsid w:val="00BB756C"/>
    <w:rsid w:val="00BB75CA"/>
    <w:rsid w:val="00BB78B1"/>
    <w:rsid w:val="00BB797F"/>
    <w:rsid w:val="00BB7F21"/>
    <w:rsid w:val="00BC0029"/>
    <w:rsid w:val="00BC0157"/>
    <w:rsid w:val="00BC0397"/>
    <w:rsid w:val="00BC076D"/>
    <w:rsid w:val="00BC0864"/>
    <w:rsid w:val="00BC1285"/>
    <w:rsid w:val="00BC1677"/>
    <w:rsid w:val="00BC16DD"/>
    <w:rsid w:val="00BC17AD"/>
    <w:rsid w:val="00BC18D4"/>
    <w:rsid w:val="00BC1A65"/>
    <w:rsid w:val="00BC2172"/>
    <w:rsid w:val="00BC21C4"/>
    <w:rsid w:val="00BC23EE"/>
    <w:rsid w:val="00BC2502"/>
    <w:rsid w:val="00BC2642"/>
    <w:rsid w:val="00BC32BB"/>
    <w:rsid w:val="00BC33AB"/>
    <w:rsid w:val="00BC3707"/>
    <w:rsid w:val="00BC43F6"/>
    <w:rsid w:val="00BC4986"/>
    <w:rsid w:val="00BC4AF1"/>
    <w:rsid w:val="00BC4E92"/>
    <w:rsid w:val="00BC4FBD"/>
    <w:rsid w:val="00BC5031"/>
    <w:rsid w:val="00BC54CD"/>
    <w:rsid w:val="00BC5697"/>
    <w:rsid w:val="00BC5818"/>
    <w:rsid w:val="00BC5FBF"/>
    <w:rsid w:val="00BC637E"/>
    <w:rsid w:val="00BC693C"/>
    <w:rsid w:val="00BC6B59"/>
    <w:rsid w:val="00BC6D16"/>
    <w:rsid w:val="00BC6E6B"/>
    <w:rsid w:val="00BC7925"/>
    <w:rsid w:val="00BC7A06"/>
    <w:rsid w:val="00BC7A9E"/>
    <w:rsid w:val="00BC7C89"/>
    <w:rsid w:val="00BC7F27"/>
    <w:rsid w:val="00BC7FFD"/>
    <w:rsid w:val="00BD00EE"/>
    <w:rsid w:val="00BD0328"/>
    <w:rsid w:val="00BD0B3B"/>
    <w:rsid w:val="00BD0F04"/>
    <w:rsid w:val="00BD157F"/>
    <w:rsid w:val="00BD1584"/>
    <w:rsid w:val="00BD17EC"/>
    <w:rsid w:val="00BD1954"/>
    <w:rsid w:val="00BD1D54"/>
    <w:rsid w:val="00BD1E9B"/>
    <w:rsid w:val="00BD1ED3"/>
    <w:rsid w:val="00BD1FC6"/>
    <w:rsid w:val="00BD2712"/>
    <w:rsid w:val="00BD289D"/>
    <w:rsid w:val="00BD28C6"/>
    <w:rsid w:val="00BD29CA"/>
    <w:rsid w:val="00BD2C66"/>
    <w:rsid w:val="00BD2ED0"/>
    <w:rsid w:val="00BD2F0D"/>
    <w:rsid w:val="00BD3432"/>
    <w:rsid w:val="00BD388C"/>
    <w:rsid w:val="00BD3DC5"/>
    <w:rsid w:val="00BD3E5B"/>
    <w:rsid w:val="00BD3EA6"/>
    <w:rsid w:val="00BD4549"/>
    <w:rsid w:val="00BD493B"/>
    <w:rsid w:val="00BD4A45"/>
    <w:rsid w:val="00BD4C4B"/>
    <w:rsid w:val="00BD5751"/>
    <w:rsid w:val="00BD5807"/>
    <w:rsid w:val="00BD5C81"/>
    <w:rsid w:val="00BD64C8"/>
    <w:rsid w:val="00BD69C8"/>
    <w:rsid w:val="00BD6A4D"/>
    <w:rsid w:val="00BD6BB1"/>
    <w:rsid w:val="00BD6F9D"/>
    <w:rsid w:val="00BD7443"/>
    <w:rsid w:val="00BD7FBE"/>
    <w:rsid w:val="00BE0406"/>
    <w:rsid w:val="00BE0479"/>
    <w:rsid w:val="00BE05AC"/>
    <w:rsid w:val="00BE065B"/>
    <w:rsid w:val="00BE0CB0"/>
    <w:rsid w:val="00BE10D9"/>
    <w:rsid w:val="00BE1150"/>
    <w:rsid w:val="00BE13F1"/>
    <w:rsid w:val="00BE1410"/>
    <w:rsid w:val="00BE14A7"/>
    <w:rsid w:val="00BE1563"/>
    <w:rsid w:val="00BE16AD"/>
    <w:rsid w:val="00BE1999"/>
    <w:rsid w:val="00BE1F20"/>
    <w:rsid w:val="00BE1F6C"/>
    <w:rsid w:val="00BE1FCB"/>
    <w:rsid w:val="00BE21C7"/>
    <w:rsid w:val="00BE21CE"/>
    <w:rsid w:val="00BE22A3"/>
    <w:rsid w:val="00BE2575"/>
    <w:rsid w:val="00BE2C2B"/>
    <w:rsid w:val="00BE2C60"/>
    <w:rsid w:val="00BE38C4"/>
    <w:rsid w:val="00BE3BF5"/>
    <w:rsid w:val="00BE3CE4"/>
    <w:rsid w:val="00BE3DDA"/>
    <w:rsid w:val="00BE4315"/>
    <w:rsid w:val="00BE4569"/>
    <w:rsid w:val="00BE4AC6"/>
    <w:rsid w:val="00BE4F51"/>
    <w:rsid w:val="00BE57B5"/>
    <w:rsid w:val="00BE5C3D"/>
    <w:rsid w:val="00BE6495"/>
    <w:rsid w:val="00BE66E5"/>
    <w:rsid w:val="00BE6794"/>
    <w:rsid w:val="00BE67F5"/>
    <w:rsid w:val="00BE68D5"/>
    <w:rsid w:val="00BE6956"/>
    <w:rsid w:val="00BE6FCC"/>
    <w:rsid w:val="00BE75B4"/>
    <w:rsid w:val="00BE795B"/>
    <w:rsid w:val="00BE7C53"/>
    <w:rsid w:val="00BE7D5C"/>
    <w:rsid w:val="00BF01F1"/>
    <w:rsid w:val="00BF0411"/>
    <w:rsid w:val="00BF0CCF"/>
    <w:rsid w:val="00BF0F72"/>
    <w:rsid w:val="00BF1537"/>
    <w:rsid w:val="00BF19B3"/>
    <w:rsid w:val="00BF1B50"/>
    <w:rsid w:val="00BF1BD3"/>
    <w:rsid w:val="00BF1C57"/>
    <w:rsid w:val="00BF1CF6"/>
    <w:rsid w:val="00BF1F0B"/>
    <w:rsid w:val="00BF248C"/>
    <w:rsid w:val="00BF2950"/>
    <w:rsid w:val="00BF2A05"/>
    <w:rsid w:val="00BF2C69"/>
    <w:rsid w:val="00BF2CAF"/>
    <w:rsid w:val="00BF2D7B"/>
    <w:rsid w:val="00BF3749"/>
    <w:rsid w:val="00BF3794"/>
    <w:rsid w:val="00BF3916"/>
    <w:rsid w:val="00BF3A1E"/>
    <w:rsid w:val="00BF3DD9"/>
    <w:rsid w:val="00BF3F12"/>
    <w:rsid w:val="00BF3F79"/>
    <w:rsid w:val="00BF4278"/>
    <w:rsid w:val="00BF47EE"/>
    <w:rsid w:val="00BF485A"/>
    <w:rsid w:val="00BF496D"/>
    <w:rsid w:val="00BF4BEC"/>
    <w:rsid w:val="00BF4C3B"/>
    <w:rsid w:val="00BF4D6B"/>
    <w:rsid w:val="00BF4DB8"/>
    <w:rsid w:val="00BF4F4A"/>
    <w:rsid w:val="00BF54D7"/>
    <w:rsid w:val="00BF5653"/>
    <w:rsid w:val="00BF57F0"/>
    <w:rsid w:val="00BF5FA2"/>
    <w:rsid w:val="00BF5FDA"/>
    <w:rsid w:val="00BF61FC"/>
    <w:rsid w:val="00BF65B0"/>
    <w:rsid w:val="00BF69F8"/>
    <w:rsid w:val="00BF6C90"/>
    <w:rsid w:val="00BF6CF3"/>
    <w:rsid w:val="00BF6DD9"/>
    <w:rsid w:val="00BF6EF9"/>
    <w:rsid w:val="00BF77A4"/>
    <w:rsid w:val="00BF7B79"/>
    <w:rsid w:val="00BF7BF8"/>
    <w:rsid w:val="00BF7E25"/>
    <w:rsid w:val="00C0015E"/>
    <w:rsid w:val="00C001B7"/>
    <w:rsid w:val="00C006DE"/>
    <w:rsid w:val="00C0073E"/>
    <w:rsid w:val="00C00857"/>
    <w:rsid w:val="00C0095F"/>
    <w:rsid w:val="00C00D06"/>
    <w:rsid w:val="00C00D5E"/>
    <w:rsid w:val="00C0108A"/>
    <w:rsid w:val="00C016D8"/>
    <w:rsid w:val="00C0178A"/>
    <w:rsid w:val="00C0191D"/>
    <w:rsid w:val="00C01A74"/>
    <w:rsid w:val="00C01C4C"/>
    <w:rsid w:val="00C02AC6"/>
    <w:rsid w:val="00C02C75"/>
    <w:rsid w:val="00C02F9F"/>
    <w:rsid w:val="00C03AFD"/>
    <w:rsid w:val="00C03B3C"/>
    <w:rsid w:val="00C03B71"/>
    <w:rsid w:val="00C03CCA"/>
    <w:rsid w:val="00C03DBD"/>
    <w:rsid w:val="00C04381"/>
    <w:rsid w:val="00C046D4"/>
    <w:rsid w:val="00C047CF"/>
    <w:rsid w:val="00C0481F"/>
    <w:rsid w:val="00C0496B"/>
    <w:rsid w:val="00C04AA1"/>
    <w:rsid w:val="00C04D81"/>
    <w:rsid w:val="00C04FDE"/>
    <w:rsid w:val="00C0522E"/>
    <w:rsid w:val="00C054C8"/>
    <w:rsid w:val="00C055CF"/>
    <w:rsid w:val="00C0564A"/>
    <w:rsid w:val="00C05896"/>
    <w:rsid w:val="00C05D25"/>
    <w:rsid w:val="00C06218"/>
    <w:rsid w:val="00C063CE"/>
    <w:rsid w:val="00C064CD"/>
    <w:rsid w:val="00C06504"/>
    <w:rsid w:val="00C06566"/>
    <w:rsid w:val="00C066ED"/>
    <w:rsid w:val="00C067D2"/>
    <w:rsid w:val="00C06EF3"/>
    <w:rsid w:val="00C06F9E"/>
    <w:rsid w:val="00C07060"/>
    <w:rsid w:val="00C070C5"/>
    <w:rsid w:val="00C07148"/>
    <w:rsid w:val="00C0777D"/>
    <w:rsid w:val="00C079D6"/>
    <w:rsid w:val="00C07C5C"/>
    <w:rsid w:val="00C07F25"/>
    <w:rsid w:val="00C100AB"/>
    <w:rsid w:val="00C101C7"/>
    <w:rsid w:val="00C10A92"/>
    <w:rsid w:val="00C11246"/>
    <w:rsid w:val="00C11255"/>
    <w:rsid w:val="00C114AD"/>
    <w:rsid w:val="00C1151C"/>
    <w:rsid w:val="00C11B9E"/>
    <w:rsid w:val="00C11D7F"/>
    <w:rsid w:val="00C11F5B"/>
    <w:rsid w:val="00C124A1"/>
    <w:rsid w:val="00C124D6"/>
    <w:rsid w:val="00C1275D"/>
    <w:rsid w:val="00C1292F"/>
    <w:rsid w:val="00C12AFD"/>
    <w:rsid w:val="00C12BB1"/>
    <w:rsid w:val="00C12D83"/>
    <w:rsid w:val="00C12FA6"/>
    <w:rsid w:val="00C1329A"/>
    <w:rsid w:val="00C13332"/>
    <w:rsid w:val="00C133CA"/>
    <w:rsid w:val="00C13412"/>
    <w:rsid w:val="00C135B1"/>
    <w:rsid w:val="00C13953"/>
    <w:rsid w:val="00C13CA1"/>
    <w:rsid w:val="00C13D09"/>
    <w:rsid w:val="00C13F23"/>
    <w:rsid w:val="00C14004"/>
    <w:rsid w:val="00C141B3"/>
    <w:rsid w:val="00C141F0"/>
    <w:rsid w:val="00C14254"/>
    <w:rsid w:val="00C14697"/>
    <w:rsid w:val="00C146BB"/>
    <w:rsid w:val="00C146E1"/>
    <w:rsid w:val="00C14D59"/>
    <w:rsid w:val="00C15012"/>
    <w:rsid w:val="00C150CA"/>
    <w:rsid w:val="00C155F7"/>
    <w:rsid w:val="00C1563E"/>
    <w:rsid w:val="00C1568F"/>
    <w:rsid w:val="00C15947"/>
    <w:rsid w:val="00C1599E"/>
    <w:rsid w:val="00C15AA2"/>
    <w:rsid w:val="00C15F88"/>
    <w:rsid w:val="00C1629E"/>
    <w:rsid w:val="00C16381"/>
    <w:rsid w:val="00C16415"/>
    <w:rsid w:val="00C16578"/>
    <w:rsid w:val="00C1662E"/>
    <w:rsid w:val="00C16872"/>
    <w:rsid w:val="00C16C74"/>
    <w:rsid w:val="00C172D1"/>
    <w:rsid w:val="00C17446"/>
    <w:rsid w:val="00C17519"/>
    <w:rsid w:val="00C17694"/>
    <w:rsid w:val="00C17747"/>
    <w:rsid w:val="00C177E7"/>
    <w:rsid w:val="00C1785A"/>
    <w:rsid w:val="00C17C9B"/>
    <w:rsid w:val="00C201C9"/>
    <w:rsid w:val="00C209A8"/>
    <w:rsid w:val="00C209BB"/>
    <w:rsid w:val="00C20AF2"/>
    <w:rsid w:val="00C20D6B"/>
    <w:rsid w:val="00C20FBC"/>
    <w:rsid w:val="00C2102D"/>
    <w:rsid w:val="00C21031"/>
    <w:rsid w:val="00C21270"/>
    <w:rsid w:val="00C21975"/>
    <w:rsid w:val="00C219CF"/>
    <w:rsid w:val="00C21B8C"/>
    <w:rsid w:val="00C21BC1"/>
    <w:rsid w:val="00C2233B"/>
    <w:rsid w:val="00C223C7"/>
    <w:rsid w:val="00C224B4"/>
    <w:rsid w:val="00C22610"/>
    <w:rsid w:val="00C22842"/>
    <w:rsid w:val="00C22948"/>
    <w:rsid w:val="00C22C28"/>
    <w:rsid w:val="00C22DA7"/>
    <w:rsid w:val="00C22FBD"/>
    <w:rsid w:val="00C22FE0"/>
    <w:rsid w:val="00C2357C"/>
    <w:rsid w:val="00C23A30"/>
    <w:rsid w:val="00C23ADC"/>
    <w:rsid w:val="00C24421"/>
    <w:rsid w:val="00C249E0"/>
    <w:rsid w:val="00C25338"/>
    <w:rsid w:val="00C259E7"/>
    <w:rsid w:val="00C25B6F"/>
    <w:rsid w:val="00C25E5D"/>
    <w:rsid w:val="00C26338"/>
    <w:rsid w:val="00C265EF"/>
    <w:rsid w:val="00C26944"/>
    <w:rsid w:val="00C26B04"/>
    <w:rsid w:val="00C26DF3"/>
    <w:rsid w:val="00C27022"/>
    <w:rsid w:val="00C27238"/>
    <w:rsid w:val="00C27253"/>
    <w:rsid w:val="00C27755"/>
    <w:rsid w:val="00C27850"/>
    <w:rsid w:val="00C27C3F"/>
    <w:rsid w:val="00C27D85"/>
    <w:rsid w:val="00C27E47"/>
    <w:rsid w:val="00C30CB2"/>
    <w:rsid w:val="00C30E0E"/>
    <w:rsid w:val="00C30F09"/>
    <w:rsid w:val="00C31343"/>
    <w:rsid w:val="00C31617"/>
    <w:rsid w:val="00C317F2"/>
    <w:rsid w:val="00C31B23"/>
    <w:rsid w:val="00C31B65"/>
    <w:rsid w:val="00C31DB6"/>
    <w:rsid w:val="00C32396"/>
    <w:rsid w:val="00C32D10"/>
    <w:rsid w:val="00C32E90"/>
    <w:rsid w:val="00C32EBC"/>
    <w:rsid w:val="00C3307C"/>
    <w:rsid w:val="00C33125"/>
    <w:rsid w:val="00C33359"/>
    <w:rsid w:val="00C33416"/>
    <w:rsid w:val="00C3369B"/>
    <w:rsid w:val="00C33F76"/>
    <w:rsid w:val="00C34D67"/>
    <w:rsid w:val="00C34F56"/>
    <w:rsid w:val="00C34FC5"/>
    <w:rsid w:val="00C352B6"/>
    <w:rsid w:val="00C354E8"/>
    <w:rsid w:val="00C35822"/>
    <w:rsid w:val="00C358CE"/>
    <w:rsid w:val="00C35900"/>
    <w:rsid w:val="00C35AB2"/>
    <w:rsid w:val="00C35BFB"/>
    <w:rsid w:val="00C36452"/>
    <w:rsid w:val="00C365A5"/>
    <w:rsid w:val="00C37301"/>
    <w:rsid w:val="00C3774F"/>
    <w:rsid w:val="00C37CC2"/>
    <w:rsid w:val="00C37ECD"/>
    <w:rsid w:val="00C37FE5"/>
    <w:rsid w:val="00C402AD"/>
    <w:rsid w:val="00C404EF"/>
    <w:rsid w:val="00C40A1E"/>
    <w:rsid w:val="00C40A65"/>
    <w:rsid w:val="00C40D20"/>
    <w:rsid w:val="00C410FB"/>
    <w:rsid w:val="00C4122D"/>
    <w:rsid w:val="00C41649"/>
    <w:rsid w:val="00C417A4"/>
    <w:rsid w:val="00C41BF2"/>
    <w:rsid w:val="00C41E76"/>
    <w:rsid w:val="00C41F06"/>
    <w:rsid w:val="00C42029"/>
    <w:rsid w:val="00C420FC"/>
    <w:rsid w:val="00C4215C"/>
    <w:rsid w:val="00C42838"/>
    <w:rsid w:val="00C42A4D"/>
    <w:rsid w:val="00C42F1F"/>
    <w:rsid w:val="00C432CB"/>
    <w:rsid w:val="00C435D4"/>
    <w:rsid w:val="00C437A5"/>
    <w:rsid w:val="00C43810"/>
    <w:rsid w:val="00C43833"/>
    <w:rsid w:val="00C43CF6"/>
    <w:rsid w:val="00C43DA1"/>
    <w:rsid w:val="00C44063"/>
    <w:rsid w:val="00C443B1"/>
    <w:rsid w:val="00C443CA"/>
    <w:rsid w:val="00C449B3"/>
    <w:rsid w:val="00C44BC4"/>
    <w:rsid w:val="00C44D37"/>
    <w:rsid w:val="00C44F55"/>
    <w:rsid w:val="00C451CF"/>
    <w:rsid w:val="00C457A1"/>
    <w:rsid w:val="00C459A1"/>
    <w:rsid w:val="00C45B12"/>
    <w:rsid w:val="00C46665"/>
    <w:rsid w:val="00C46F47"/>
    <w:rsid w:val="00C46FDE"/>
    <w:rsid w:val="00C472C4"/>
    <w:rsid w:val="00C47465"/>
    <w:rsid w:val="00C475DC"/>
    <w:rsid w:val="00C47B0B"/>
    <w:rsid w:val="00C47F3F"/>
    <w:rsid w:val="00C501A1"/>
    <w:rsid w:val="00C50298"/>
    <w:rsid w:val="00C504A3"/>
    <w:rsid w:val="00C50611"/>
    <w:rsid w:val="00C50725"/>
    <w:rsid w:val="00C50B98"/>
    <w:rsid w:val="00C50D54"/>
    <w:rsid w:val="00C51212"/>
    <w:rsid w:val="00C512C1"/>
    <w:rsid w:val="00C51424"/>
    <w:rsid w:val="00C515F3"/>
    <w:rsid w:val="00C51968"/>
    <w:rsid w:val="00C52442"/>
    <w:rsid w:val="00C5253E"/>
    <w:rsid w:val="00C529A5"/>
    <w:rsid w:val="00C52FB3"/>
    <w:rsid w:val="00C533DE"/>
    <w:rsid w:val="00C536A4"/>
    <w:rsid w:val="00C536B0"/>
    <w:rsid w:val="00C53A49"/>
    <w:rsid w:val="00C53C3B"/>
    <w:rsid w:val="00C54AEC"/>
    <w:rsid w:val="00C551D2"/>
    <w:rsid w:val="00C55A21"/>
    <w:rsid w:val="00C566A8"/>
    <w:rsid w:val="00C5680D"/>
    <w:rsid w:val="00C568DC"/>
    <w:rsid w:val="00C56AD9"/>
    <w:rsid w:val="00C56C9B"/>
    <w:rsid w:val="00C5768A"/>
    <w:rsid w:val="00C5775B"/>
    <w:rsid w:val="00C57A22"/>
    <w:rsid w:val="00C57B40"/>
    <w:rsid w:val="00C605F0"/>
    <w:rsid w:val="00C607F4"/>
    <w:rsid w:val="00C60D86"/>
    <w:rsid w:val="00C60EA9"/>
    <w:rsid w:val="00C60F4F"/>
    <w:rsid w:val="00C6107E"/>
    <w:rsid w:val="00C615B3"/>
    <w:rsid w:val="00C6169A"/>
    <w:rsid w:val="00C61D80"/>
    <w:rsid w:val="00C62142"/>
    <w:rsid w:val="00C6218A"/>
    <w:rsid w:val="00C62AE2"/>
    <w:rsid w:val="00C62BB4"/>
    <w:rsid w:val="00C62E79"/>
    <w:rsid w:val="00C63AA3"/>
    <w:rsid w:val="00C63B83"/>
    <w:rsid w:val="00C63D27"/>
    <w:rsid w:val="00C64144"/>
    <w:rsid w:val="00C6439C"/>
    <w:rsid w:val="00C64419"/>
    <w:rsid w:val="00C64868"/>
    <w:rsid w:val="00C64AC5"/>
    <w:rsid w:val="00C64CBB"/>
    <w:rsid w:val="00C65062"/>
    <w:rsid w:val="00C65223"/>
    <w:rsid w:val="00C65370"/>
    <w:rsid w:val="00C65B1A"/>
    <w:rsid w:val="00C661BD"/>
    <w:rsid w:val="00C66207"/>
    <w:rsid w:val="00C667AE"/>
    <w:rsid w:val="00C6693E"/>
    <w:rsid w:val="00C66FDD"/>
    <w:rsid w:val="00C675B2"/>
    <w:rsid w:val="00C67B1F"/>
    <w:rsid w:val="00C67B43"/>
    <w:rsid w:val="00C70066"/>
    <w:rsid w:val="00C704DD"/>
    <w:rsid w:val="00C705BB"/>
    <w:rsid w:val="00C70782"/>
    <w:rsid w:val="00C7098F"/>
    <w:rsid w:val="00C70DBB"/>
    <w:rsid w:val="00C70DED"/>
    <w:rsid w:val="00C71225"/>
    <w:rsid w:val="00C712A9"/>
    <w:rsid w:val="00C712FA"/>
    <w:rsid w:val="00C713FC"/>
    <w:rsid w:val="00C71423"/>
    <w:rsid w:val="00C719C7"/>
    <w:rsid w:val="00C71AC9"/>
    <w:rsid w:val="00C71F95"/>
    <w:rsid w:val="00C72113"/>
    <w:rsid w:val="00C72133"/>
    <w:rsid w:val="00C72553"/>
    <w:rsid w:val="00C7256F"/>
    <w:rsid w:val="00C72A82"/>
    <w:rsid w:val="00C72D69"/>
    <w:rsid w:val="00C72DAF"/>
    <w:rsid w:val="00C72E43"/>
    <w:rsid w:val="00C72F2A"/>
    <w:rsid w:val="00C730E8"/>
    <w:rsid w:val="00C73D30"/>
    <w:rsid w:val="00C73DD5"/>
    <w:rsid w:val="00C7409D"/>
    <w:rsid w:val="00C74312"/>
    <w:rsid w:val="00C74E47"/>
    <w:rsid w:val="00C74F19"/>
    <w:rsid w:val="00C750B2"/>
    <w:rsid w:val="00C75126"/>
    <w:rsid w:val="00C7519E"/>
    <w:rsid w:val="00C752CF"/>
    <w:rsid w:val="00C75F49"/>
    <w:rsid w:val="00C76564"/>
    <w:rsid w:val="00C769D1"/>
    <w:rsid w:val="00C7706C"/>
    <w:rsid w:val="00C7715D"/>
    <w:rsid w:val="00C77251"/>
    <w:rsid w:val="00C77C73"/>
    <w:rsid w:val="00C80214"/>
    <w:rsid w:val="00C803D6"/>
    <w:rsid w:val="00C80549"/>
    <w:rsid w:val="00C80E1D"/>
    <w:rsid w:val="00C80FFB"/>
    <w:rsid w:val="00C81092"/>
    <w:rsid w:val="00C81175"/>
    <w:rsid w:val="00C8142C"/>
    <w:rsid w:val="00C815B9"/>
    <w:rsid w:val="00C81F3F"/>
    <w:rsid w:val="00C82071"/>
    <w:rsid w:val="00C82361"/>
    <w:rsid w:val="00C82386"/>
    <w:rsid w:val="00C828CF"/>
    <w:rsid w:val="00C828E3"/>
    <w:rsid w:val="00C82A9F"/>
    <w:rsid w:val="00C82C0D"/>
    <w:rsid w:val="00C82CCE"/>
    <w:rsid w:val="00C82D01"/>
    <w:rsid w:val="00C82DCD"/>
    <w:rsid w:val="00C82DF2"/>
    <w:rsid w:val="00C82E45"/>
    <w:rsid w:val="00C82F14"/>
    <w:rsid w:val="00C83F6A"/>
    <w:rsid w:val="00C83FE3"/>
    <w:rsid w:val="00C84054"/>
    <w:rsid w:val="00C84532"/>
    <w:rsid w:val="00C84FBB"/>
    <w:rsid w:val="00C8511D"/>
    <w:rsid w:val="00C8519E"/>
    <w:rsid w:val="00C853FC"/>
    <w:rsid w:val="00C8562D"/>
    <w:rsid w:val="00C85797"/>
    <w:rsid w:val="00C85DE0"/>
    <w:rsid w:val="00C85F68"/>
    <w:rsid w:val="00C85F8D"/>
    <w:rsid w:val="00C86064"/>
    <w:rsid w:val="00C8655B"/>
    <w:rsid w:val="00C86BD5"/>
    <w:rsid w:val="00C86C11"/>
    <w:rsid w:val="00C86C2F"/>
    <w:rsid w:val="00C872C9"/>
    <w:rsid w:val="00C87330"/>
    <w:rsid w:val="00C8735A"/>
    <w:rsid w:val="00C876F5"/>
    <w:rsid w:val="00C87774"/>
    <w:rsid w:val="00C87777"/>
    <w:rsid w:val="00C87847"/>
    <w:rsid w:val="00C87ACA"/>
    <w:rsid w:val="00C87EE8"/>
    <w:rsid w:val="00C90206"/>
    <w:rsid w:val="00C903ED"/>
    <w:rsid w:val="00C90494"/>
    <w:rsid w:val="00C90510"/>
    <w:rsid w:val="00C90ACF"/>
    <w:rsid w:val="00C90B5D"/>
    <w:rsid w:val="00C90C8E"/>
    <w:rsid w:val="00C9107F"/>
    <w:rsid w:val="00C91922"/>
    <w:rsid w:val="00C91D2B"/>
    <w:rsid w:val="00C91D38"/>
    <w:rsid w:val="00C91DAF"/>
    <w:rsid w:val="00C91E62"/>
    <w:rsid w:val="00C91F88"/>
    <w:rsid w:val="00C92177"/>
    <w:rsid w:val="00C92525"/>
    <w:rsid w:val="00C9286F"/>
    <w:rsid w:val="00C92A57"/>
    <w:rsid w:val="00C92A5A"/>
    <w:rsid w:val="00C92C38"/>
    <w:rsid w:val="00C92CC3"/>
    <w:rsid w:val="00C92E56"/>
    <w:rsid w:val="00C930A8"/>
    <w:rsid w:val="00C93A2E"/>
    <w:rsid w:val="00C93B79"/>
    <w:rsid w:val="00C93C69"/>
    <w:rsid w:val="00C93D46"/>
    <w:rsid w:val="00C93E07"/>
    <w:rsid w:val="00C94137"/>
    <w:rsid w:val="00C94549"/>
    <w:rsid w:val="00C94AA7"/>
    <w:rsid w:val="00C94FA7"/>
    <w:rsid w:val="00C94FF2"/>
    <w:rsid w:val="00C95271"/>
    <w:rsid w:val="00C953DA"/>
    <w:rsid w:val="00C9574E"/>
    <w:rsid w:val="00C95A44"/>
    <w:rsid w:val="00C95C6F"/>
    <w:rsid w:val="00C96242"/>
    <w:rsid w:val="00C96BEC"/>
    <w:rsid w:val="00C96D4B"/>
    <w:rsid w:val="00C971B0"/>
    <w:rsid w:val="00C97519"/>
    <w:rsid w:val="00C979F1"/>
    <w:rsid w:val="00C97B65"/>
    <w:rsid w:val="00C97F54"/>
    <w:rsid w:val="00CA024F"/>
    <w:rsid w:val="00CA02E6"/>
    <w:rsid w:val="00CA093A"/>
    <w:rsid w:val="00CA0C88"/>
    <w:rsid w:val="00CA0CD7"/>
    <w:rsid w:val="00CA0E1D"/>
    <w:rsid w:val="00CA1337"/>
    <w:rsid w:val="00CA17E7"/>
    <w:rsid w:val="00CA180B"/>
    <w:rsid w:val="00CA19C4"/>
    <w:rsid w:val="00CA20D5"/>
    <w:rsid w:val="00CA218C"/>
    <w:rsid w:val="00CA234D"/>
    <w:rsid w:val="00CA2905"/>
    <w:rsid w:val="00CA2B1D"/>
    <w:rsid w:val="00CA31E2"/>
    <w:rsid w:val="00CA388A"/>
    <w:rsid w:val="00CA3937"/>
    <w:rsid w:val="00CA3A07"/>
    <w:rsid w:val="00CA3D1F"/>
    <w:rsid w:val="00CA3E36"/>
    <w:rsid w:val="00CA3EED"/>
    <w:rsid w:val="00CA4449"/>
    <w:rsid w:val="00CA44A1"/>
    <w:rsid w:val="00CA4AC3"/>
    <w:rsid w:val="00CA4CBA"/>
    <w:rsid w:val="00CA504D"/>
    <w:rsid w:val="00CA5141"/>
    <w:rsid w:val="00CA5180"/>
    <w:rsid w:val="00CA5218"/>
    <w:rsid w:val="00CA523B"/>
    <w:rsid w:val="00CA533A"/>
    <w:rsid w:val="00CA5506"/>
    <w:rsid w:val="00CA5B95"/>
    <w:rsid w:val="00CA5C49"/>
    <w:rsid w:val="00CA603C"/>
    <w:rsid w:val="00CA633D"/>
    <w:rsid w:val="00CA64DB"/>
    <w:rsid w:val="00CA64F2"/>
    <w:rsid w:val="00CA673F"/>
    <w:rsid w:val="00CA69DD"/>
    <w:rsid w:val="00CA6A21"/>
    <w:rsid w:val="00CA70C6"/>
    <w:rsid w:val="00CA7812"/>
    <w:rsid w:val="00CA7BC8"/>
    <w:rsid w:val="00CA7EB7"/>
    <w:rsid w:val="00CA7F25"/>
    <w:rsid w:val="00CA7FA1"/>
    <w:rsid w:val="00CB000C"/>
    <w:rsid w:val="00CB02CE"/>
    <w:rsid w:val="00CB05C8"/>
    <w:rsid w:val="00CB0769"/>
    <w:rsid w:val="00CB08E2"/>
    <w:rsid w:val="00CB1502"/>
    <w:rsid w:val="00CB1C29"/>
    <w:rsid w:val="00CB1CC5"/>
    <w:rsid w:val="00CB210E"/>
    <w:rsid w:val="00CB21DB"/>
    <w:rsid w:val="00CB28B5"/>
    <w:rsid w:val="00CB2958"/>
    <w:rsid w:val="00CB2AC1"/>
    <w:rsid w:val="00CB2C7D"/>
    <w:rsid w:val="00CB2DF9"/>
    <w:rsid w:val="00CB2F37"/>
    <w:rsid w:val="00CB2FAB"/>
    <w:rsid w:val="00CB349D"/>
    <w:rsid w:val="00CB3886"/>
    <w:rsid w:val="00CB38B0"/>
    <w:rsid w:val="00CB3BEC"/>
    <w:rsid w:val="00CB3D0E"/>
    <w:rsid w:val="00CB3FA4"/>
    <w:rsid w:val="00CB4A0E"/>
    <w:rsid w:val="00CB60C1"/>
    <w:rsid w:val="00CB6AFC"/>
    <w:rsid w:val="00CB707E"/>
    <w:rsid w:val="00CB7A8D"/>
    <w:rsid w:val="00CB7B17"/>
    <w:rsid w:val="00CB7C04"/>
    <w:rsid w:val="00CB7ED8"/>
    <w:rsid w:val="00CC08D8"/>
    <w:rsid w:val="00CC112F"/>
    <w:rsid w:val="00CC185F"/>
    <w:rsid w:val="00CC1B9B"/>
    <w:rsid w:val="00CC1CA2"/>
    <w:rsid w:val="00CC1F4D"/>
    <w:rsid w:val="00CC1FF0"/>
    <w:rsid w:val="00CC209B"/>
    <w:rsid w:val="00CC2B72"/>
    <w:rsid w:val="00CC2BDC"/>
    <w:rsid w:val="00CC2DC4"/>
    <w:rsid w:val="00CC3C96"/>
    <w:rsid w:val="00CC3D00"/>
    <w:rsid w:val="00CC48E1"/>
    <w:rsid w:val="00CC4E8A"/>
    <w:rsid w:val="00CC53F2"/>
    <w:rsid w:val="00CC53F4"/>
    <w:rsid w:val="00CC55ED"/>
    <w:rsid w:val="00CC5896"/>
    <w:rsid w:val="00CC5A7F"/>
    <w:rsid w:val="00CC5B11"/>
    <w:rsid w:val="00CC5F4C"/>
    <w:rsid w:val="00CC5F6E"/>
    <w:rsid w:val="00CC5F94"/>
    <w:rsid w:val="00CC60DD"/>
    <w:rsid w:val="00CC6433"/>
    <w:rsid w:val="00CC6AAE"/>
    <w:rsid w:val="00CC77F3"/>
    <w:rsid w:val="00CD09A0"/>
    <w:rsid w:val="00CD0B77"/>
    <w:rsid w:val="00CD0D01"/>
    <w:rsid w:val="00CD1058"/>
    <w:rsid w:val="00CD1122"/>
    <w:rsid w:val="00CD125C"/>
    <w:rsid w:val="00CD12C5"/>
    <w:rsid w:val="00CD15DA"/>
    <w:rsid w:val="00CD162D"/>
    <w:rsid w:val="00CD198E"/>
    <w:rsid w:val="00CD1AEE"/>
    <w:rsid w:val="00CD1D4E"/>
    <w:rsid w:val="00CD2102"/>
    <w:rsid w:val="00CD24FE"/>
    <w:rsid w:val="00CD2AA2"/>
    <w:rsid w:val="00CD2B5B"/>
    <w:rsid w:val="00CD390B"/>
    <w:rsid w:val="00CD3B28"/>
    <w:rsid w:val="00CD3E3E"/>
    <w:rsid w:val="00CD3E88"/>
    <w:rsid w:val="00CD3EF6"/>
    <w:rsid w:val="00CD40A8"/>
    <w:rsid w:val="00CD40F8"/>
    <w:rsid w:val="00CD41F2"/>
    <w:rsid w:val="00CD454A"/>
    <w:rsid w:val="00CD4A6C"/>
    <w:rsid w:val="00CD534B"/>
    <w:rsid w:val="00CD55D9"/>
    <w:rsid w:val="00CD5608"/>
    <w:rsid w:val="00CD57B8"/>
    <w:rsid w:val="00CD64A6"/>
    <w:rsid w:val="00CD675D"/>
    <w:rsid w:val="00CD6B62"/>
    <w:rsid w:val="00CD6C2B"/>
    <w:rsid w:val="00CD6D55"/>
    <w:rsid w:val="00CD7119"/>
    <w:rsid w:val="00CD71E0"/>
    <w:rsid w:val="00CD7267"/>
    <w:rsid w:val="00CD731F"/>
    <w:rsid w:val="00CD738E"/>
    <w:rsid w:val="00CD73B0"/>
    <w:rsid w:val="00CD7410"/>
    <w:rsid w:val="00CD75C6"/>
    <w:rsid w:val="00CD788C"/>
    <w:rsid w:val="00CD7B59"/>
    <w:rsid w:val="00CD7C45"/>
    <w:rsid w:val="00CD7C62"/>
    <w:rsid w:val="00CD7D5A"/>
    <w:rsid w:val="00CD8E31"/>
    <w:rsid w:val="00CDCFFD"/>
    <w:rsid w:val="00CE0152"/>
    <w:rsid w:val="00CE01E7"/>
    <w:rsid w:val="00CE02DC"/>
    <w:rsid w:val="00CE03E8"/>
    <w:rsid w:val="00CE094A"/>
    <w:rsid w:val="00CE0BBF"/>
    <w:rsid w:val="00CE1755"/>
    <w:rsid w:val="00CE1E7D"/>
    <w:rsid w:val="00CE1F44"/>
    <w:rsid w:val="00CE21C5"/>
    <w:rsid w:val="00CE21C7"/>
    <w:rsid w:val="00CE2842"/>
    <w:rsid w:val="00CE2A38"/>
    <w:rsid w:val="00CE2ECC"/>
    <w:rsid w:val="00CE3149"/>
    <w:rsid w:val="00CE3523"/>
    <w:rsid w:val="00CE38C0"/>
    <w:rsid w:val="00CE3A55"/>
    <w:rsid w:val="00CE3C27"/>
    <w:rsid w:val="00CE3E02"/>
    <w:rsid w:val="00CE3EC7"/>
    <w:rsid w:val="00CE4263"/>
    <w:rsid w:val="00CE42E7"/>
    <w:rsid w:val="00CE457D"/>
    <w:rsid w:val="00CE4C29"/>
    <w:rsid w:val="00CE4EFB"/>
    <w:rsid w:val="00CE5A3E"/>
    <w:rsid w:val="00CE5CD4"/>
    <w:rsid w:val="00CE625D"/>
    <w:rsid w:val="00CE6592"/>
    <w:rsid w:val="00CE69C0"/>
    <w:rsid w:val="00CE6E45"/>
    <w:rsid w:val="00CE73D8"/>
    <w:rsid w:val="00CE73FF"/>
    <w:rsid w:val="00CE740D"/>
    <w:rsid w:val="00CE7492"/>
    <w:rsid w:val="00CE7943"/>
    <w:rsid w:val="00CE7FCE"/>
    <w:rsid w:val="00CF0069"/>
    <w:rsid w:val="00CF0161"/>
    <w:rsid w:val="00CF01DA"/>
    <w:rsid w:val="00CF0301"/>
    <w:rsid w:val="00CF044C"/>
    <w:rsid w:val="00CF0DCD"/>
    <w:rsid w:val="00CF17A0"/>
    <w:rsid w:val="00CF1DA3"/>
    <w:rsid w:val="00CF1E13"/>
    <w:rsid w:val="00CF1F7C"/>
    <w:rsid w:val="00CF22AA"/>
    <w:rsid w:val="00CF244C"/>
    <w:rsid w:val="00CF24ED"/>
    <w:rsid w:val="00CF25B0"/>
    <w:rsid w:val="00CF270E"/>
    <w:rsid w:val="00CF2918"/>
    <w:rsid w:val="00CF2955"/>
    <w:rsid w:val="00CF2BC6"/>
    <w:rsid w:val="00CF3116"/>
    <w:rsid w:val="00CF36E8"/>
    <w:rsid w:val="00CF3992"/>
    <w:rsid w:val="00CF3AF4"/>
    <w:rsid w:val="00CF423F"/>
    <w:rsid w:val="00CF42A3"/>
    <w:rsid w:val="00CF4487"/>
    <w:rsid w:val="00CF456F"/>
    <w:rsid w:val="00CF45AE"/>
    <w:rsid w:val="00CF47F1"/>
    <w:rsid w:val="00CF485F"/>
    <w:rsid w:val="00CF4958"/>
    <w:rsid w:val="00CF5E15"/>
    <w:rsid w:val="00CF62C4"/>
    <w:rsid w:val="00CF6B51"/>
    <w:rsid w:val="00CF788D"/>
    <w:rsid w:val="00CF7D89"/>
    <w:rsid w:val="00CF7F8A"/>
    <w:rsid w:val="00D004BE"/>
    <w:rsid w:val="00D00D87"/>
    <w:rsid w:val="00D00F11"/>
    <w:rsid w:val="00D01015"/>
    <w:rsid w:val="00D012AB"/>
    <w:rsid w:val="00D01734"/>
    <w:rsid w:val="00D0184C"/>
    <w:rsid w:val="00D01AD7"/>
    <w:rsid w:val="00D01E88"/>
    <w:rsid w:val="00D022CB"/>
    <w:rsid w:val="00D023CB"/>
    <w:rsid w:val="00D02467"/>
    <w:rsid w:val="00D02C46"/>
    <w:rsid w:val="00D02DFA"/>
    <w:rsid w:val="00D033B0"/>
    <w:rsid w:val="00D035DB"/>
    <w:rsid w:val="00D03B9B"/>
    <w:rsid w:val="00D03BCD"/>
    <w:rsid w:val="00D04091"/>
    <w:rsid w:val="00D041E7"/>
    <w:rsid w:val="00D04D54"/>
    <w:rsid w:val="00D05235"/>
    <w:rsid w:val="00D052E8"/>
    <w:rsid w:val="00D05458"/>
    <w:rsid w:val="00D056E1"/>
    <w:rsid w:val="00D057E5"/>
    <w:rsid w:val="00D05E33"/>
    <w:rsid w:val="00D06136"/>
    <w:rsid w:val="00D0619F"/>
    <w:rsid w:val="00D06640"/>
    <w:rsid w:val="00D06976"/>
    <w:rsid w:val="00D06A0A"/>
    <w:rsid w:val="00D07369"/>
    <w:rsid w:val="00D07581"/>
    <w:rsid w:val="00D10181"/>
    <w:rsid w:val="00D10207"/>
    <w:rsid w:val="00D102F0"/>
    <w:rsid w:val="00D10496"/>
    <w:rsid w:val="00D10983"/>
    <w:rsid w:val="00D10A40"/>
    <w:rsid w:val="00D10AEA"/>
    <w:rsid w:val="00D10B3F"/>
    <w:rsid w:val="00D10D52"/>
    <w:rsid w:val="00D11CA5"/>
    <w:rsid w:val="00D11EC4"/>
    <w:rsid w:val="00D11EEF"/>
    <w:rsid w:val="00D12595"/>
    <w:rsid w:val="00D125AA"/>
    <w:rsid w:val="00D12B14"/>
    <w:rsid w:val="00D12B6D"/>
    <w:rsid w:val="00D12D82"/>
    <w:rsid w:val="00D12E38"/>
    <w:rsid w:val="00D12E92"/>
    <w:rsid w:val="00D13056"/>
    <w:rsid w:val="00D13D1C"/>
    <w:rsid w:val="00D13F15"/>
    <w:rsid w:val="00D14448"/>
    <w:rsid w:val="00D1474A"/>
    <w:rsid w:val="00D14793"/>
    <w:rsid w:val="00D14846"/>
    <w:rsid w:val="00D148B6"/>
    <w:rsid w:val="00D14FEB"/>
    <w:rsid w:val="00D161A7"/>
    <w:rsid w:val="00D16511"/>
    <w:rsid w:val="00D16C18"/>
    <w:rsid w:val="00D16DB4"/>
    <w:rsid w:val="00D16E20"/>
    <w:rsid w:val="00D17425"/>
    <w:rsid w:val="00D174CA"/>
    <w:rsid w:val="00D17620"/>
    <w:rsid w:val="00D1775F"/>
    <w:rsid w:val="00D179D0"/>
    <w:rsid w:val="00D17C66"/>
    <w:rsid w:val="00D17CAA"/>
    <w:rsid w:val="00D17DB4"/>
    <w:rsid w:val="00D17E32"/>
    <w:rsid w:val="00D20110"/>
    <w:rsid w:val="00D208A5"/>
    <w:rsid w:val="00D20D4D"/>
    <w:rsid w:val="00D20DAE"/>
    <w:rsid w:val="00D212DD"/>
    <w:rsid w:val="00D2145D"/>
    <w:rsid w:val="00D214DB"/>
    <w:rsid w:val="00D217F5"/>
    <w:rsid w:val="00D218F9"/>
    <w:rsid w:val="00D219A6"/>
    <w:rsid w:val="00D219D7"/>
    <w:rsid w:val="00D21A7A"/>
    <w:rsid w:val="00D21C77"/>
    <w:rsid w:val="00D21E2D"/>
    <w:rsid w:val="00D21F5D"/>
    <w:rsid w:val="00D226F7"/>
    <w:rsid w:val="00D2289C"/>
    <w:rsid w:val="00D23053"/>
    <w:rsid w:val="00D2322A"/>
    <w:rsid w:val="00D234D3"/>
    <w:rsid w:val="00D243A7"/>
    <w:rsid w:val="00D246ED"/>
    <w:rsid w:val="00D24FA9"/>
    <w:rsid w:val="00D25175"/>
    <w:rsid w:val="00D254B0"/>
    <w:rsid w:val="00D257E1"/>
    <w:rsid w:val="00D259BC"/>
    <w:rsid w:val="00D25C1D"/>
    <w:rsid w:val="00D25F7C"/>
    <w:rsid w:val="00D25FFD"/>
    <w:rsid w:val="00D263BC"/>
    <w:rsid w:val="00D266C6"/>
    <w:rsid w:val="00D2782A"/>
    <w:rsid w:val="00D27A9E"/>
    <w:rsid w:val="00D27AC7"/>
    <w:rsid w:val="00D2F480"/>
    <w:rsid w:val="00D3089F"/>
    <w:rsid w:val="00D30FAF"/>
    <w:rsid w:val="00D312EE"/>
    <w:rsid w:val="00D315C8"/>
    <w:rsid w:val="00D318A9"/>
    <w:rsid w:val="00D31AD4"/>
    <w:rsid w:val="00D31D37"/>
    <w:rsid w:val="00D321AA"/>
    <w:rsid w:val="00D324F5"/>
    <w:rsid w:val="00D326DF"/>
    <w:rsid w:val="00D32727"/>
    <w:rsid w:val="00D327BE"/>
    <w:rsid w:val="00D32914"/>
    <w:rsid w:val="00D32AA9"/>
    <w:rsid w:val="00D330B3"/>
    <w:rsid w:val="00D33145"/>
    <w:rsid w:val="00D33440"/>
    <w:rsid w:val="00D33482"/>
    <w:rsid w:val="00D336A9"/>
    <w:rsid w:val="00D337D1"/>
    <w:rsid w:val="00D339E7"/>
    <w:rsid w:val="00D33A1C"/>
    <w:rsid w:val="00D33F80"/>
    <w:rsid w:val="00D3420F"/>
    <w:rsid w:val="00D34413"/>
    <w:rsid w:val="00D34451"/>
    <w:rsid w:val="00D345F3"/>
    <w:rsid w:val="00D349B6"/>
    <w:rsid w:val="00D357D9"/>
    <w:rsid w:val="00D35931"/>
    <w:rsid w:val="00D35E04"/>
    <w:rsid w:val="00D3665E"/>
    <w:rsid w:val="00D36A1D"/>
    <w:rsid w:val="00D36B42"/>
    <w:rsid w:val="00D36C93"/>
    <w:rsid w:val="00D36D01"/>
    <w:rsid w:val="00D36DDA"/>
    <w:rsid w:val="00D37485"/>
    <w:rsid w:val="00D377B0"/>
    <w:rsid w:val="00D37803"/>
    <w:rsid w:val="00D37B7B"/>
    <w:rsid w:val="00D37C4B"/>
    <w:rsid w:val="00D40000"/>
    <w:rsid w:val="00D401CE"/>
    <w:rsid w:val="00D405CE"/>
    <w:rsid w:val="00D4087E"/>
    <w:rsid w:val="00D41099"/>
    <w:rsid w:val="00D4117E"/>
    <w:rsid w:val="00D411BA"/>
    <w:rsid w:val="00D412F5"/>
    <w:rsid w:val="00D41383"/>
    <w:rsid w:val="00D4185B"/>
    <w:rsid w:val="00D41873"/>
    <w:rsid w:val="00D41AAB"/>
    <w:rsid w:val="00D4224B"/>
    <w:rsid w:val="00D42453"/>
    <w:rsid w:val="00D427F8"/>
    <w:rsid w:val="00D42894"/>
    <w:rsid w:val="00D42B41"/>
    <w:rsid w:val="00D42C99"/>
    <w:rsid w:val="00D42E4D"/>
    <w:rsid w:val="00D42F9D"/>
    <w:rsid w:val="00D4335D"/>
    <w:rsid w:val="00D437E8"/>
    <w:rsid w:val="00D43CCC"/>
    <w:rsid w:val="00D43D5B"/>
    <w:rsid w:val="00D44304"/>
    <w:rsid w:val="00D448DF"/>
    <w:rsid w:val="00D44925"/>
    <w:rsid w:val="00D44CF9"/>
    <w:rsid w:val="00D44D8B"/>
    <w:rsid w:val="00D4562B"/>
    <w:rsid w:val="00D458A0"/>
    <w:rsid w:val="00D45A2E"/>
    <w:rsid w:val="00D45B25"/>
    <w:rsid w:val="00D45B4C"/>
    <w:rsid w:val="00D45D3B"/>
    <w:rsid w:val="00D45F9E"/>
    <w:rsid w:val="00D46711"/>
    <w:rsid w:val="00D4698B"/>
    <w:rsid w:val="00D4755A"/>
    <w:rsid w:val="00D479A0"/>
    <w:rsid w:val="00D479C4"/>
    <w:rsid w:val="00D47BE7"/>
    <w:rsid w:val="00D47DE5"/>
    <w:rsid w:val="00D500B4"/>
    <w:rsid w:val="00D50335"/>
    <w:rsid w:val="00D50ED7"/>
    <w:rsid w:val="00D516C1"/>
    <w:rsid w:val="00D5177F"/>
    <w:rsid w:val="00D51945"/>
    <w:rsid w:val="00D51BAD"/>
    <w:rsid w:val="00D51EBB"/>
    <w:rsid w:val="00D51FCC"/>
    <w:rsid w:val="00D52249"/>
    <w:rsid w:val="00D5245A"/>
    <w:rsid w:val="00D5275A"/>
    <w:rsid w:val="00D52A4D"/>
    <w:rsid w:val="00D52F37"/>
    <w:rsid w:val="00D536CD"/>
    <w:rsid w:val="00D538E3"/>
    <w:rsid w:val="00D53988"/>
    <w:rsid w:val="00D53AD3"/>
    <w:rsid w:val="00D53D34"/>
    <w:rsid w:val="00D53D81"/>
    <w:rsid w:val="00D53F05"/>
    <w:rsid w:val="00D548C5"/>
    <w:rsid w:val="00D549F1"/>
    <w:rsid w:val="00D54CC9"/>
    <w:rsid w:val="00D54E54"/>
    <w:rsid w:val="00D54EF3"/>
    <w:rsid w:val="00D5589B"/>
    <w:rsid w:val="00D558E0"/>
    <w:rsid w:val="00D55937"/>
    <w:rsid w:val="00D55B0E"/>
    <w:rsid w:val="00D562A1"/>
    <w:rsid w:val="00D562A5"/>
    <w:rsid w:val="00D5639E"/>
    <w:rsid w:val="00D565C9"/>
    <w:rsid w:val="00D56689"/>
    <w:rsid w:val="00D56946"/>
    <w:rsid w:val="00D57A19"/>
    <w:rsid w:val="00D57F4C"/>
    <w:rsid w:val="00D57F89"/>
    <w:rsid w:val="00D601DB"/>
    <w:rsid w:val="00D6025A"/>
    <w:rsid w:val="00D602CF"/>
    <w:rsid w:val="00D60BCD"/>
    <w:rsid w:val="00D60C8F"/>
    <w:rsid w:val="00D60F13"/>
    <w:rsid w:val="00D61225"/>
    <w:rsid w:val="00D61605"/>
    <w:rsid w:val="00D61D94"/>
    <w:rsid w:val="00D61E25"/>
    <w:rsid w:val="00D625FD"/>
    <w:rsid w:val="00D62C74"/>
    <w:rsid w:val="00D62CC1"/>
    <w:rsid w:val="00D62EEE"/>
    <w:rsid w:val="00D62FBF"/>
    <w:rsid w:val="00D631B8"/>
    <w:rsid w:val="00D63573"/>
    <w:rsid w:val="00D635E9"/>
    <w:rsid w:val="00D638E2"/>
    <w:rsid w:val="00D63C2A"/>
    <w:rsid w:val="00D63F6E"/>
    <w:rsid w:val="00D64365"/>
    <w:rsid w:val="00D64D1E"/>
    <w:rsid w:val="00D64DB4"/>
    <w:rsid w:val="00D65193"/>
    <w:rsid w:val="00D65210"/>
    <w:rsid w:val="00D6556C"/>
    <w:rsid w:val="00D659FA"/>
    <w:rsid w:val="00D65A77"/>
    <w:rsid w:val="00D65EAB"/>
    <w:rsid w:val="00D65F91"/>
    <w:rsid w:val="00D65FF4"/>
    <w:rsid w:val="00D66450"/>
    <w:rsid w:val="00D6656D"/>
    <w:rsid w:val="00D665C0"/>
    <w:rsid w:val="00D66865"/>
    <w:rsid w:val="00D66C2A"/>
    <w:rsid w:val="00D66CFF"/>
    <w:rsid w:val="00D66DE4"/>
    <w:rsid w:val="00D67A00"/>
    <w:rsid w:val="00D67CE7"/>
    <w:rsid w:val="00D67D00"/>
    <w:rsid w:val="00D67F1B"/>
    <w:rsid w:val="00D67F66"/>
    <w:rsid w:val="00D696F0"/>
    <w:rsid w:val="00D70EFE"/>
    <w:rsid w:val="00D712C0"/>
    <w:rsid w:val="00D71528"/>
    <w:rsid w:val="00D71CEA"/>
    <w:rsid w:val="00D71E89"/>
    <w:rsid w:val="00D7257A"/>
    <w:rsid w:val="00D725A2"/>
    <w:rsid w:val="00D727C9"/>
    <w:rsid w:val="00D73B01"/>
    <w:rsid w:val="00D73BAE"/>
    <w:rsid w:val="00D742ED"/>
    <w:rsid w:val="00D7465D"/>
    <w:rsid w:val="00D749B7"/>
    <w:rsid w:val="00D74A1E"/>
    <w:rsid w:val="00D74D79"/>
    <w:rsid w:val="00D74E29"/>
    <w:rsid w:val="00D750D8"/>
    <w:rsid w:val="00D75352"/>
    <w:rsid w:val="00D75569"/>
    <w:rsid w:val="00D76000"/>
    <w:rsid w:val="00D76860"/>
    <w:rsid w:val="00D76E7B"/>
    <w:rsid w:val="00D76FDA"/>
    <w:rsid w:val="00D77240"/>
    <w:rsid w:val="00D7771A"/>
    <w:rsid w:val="00D77C77"/>
    <w:rsid w:val="00D77F5B"/>
    <w:rsid w:val="00D7A247"/>
    <w:rsid w:val="00D7B83C"/>
    <w:rsid w:val="00D806C8"/>
    <w:rsid w:val="00D814B1"/>
    <w:rsid w:val="00D815B5"/>
    <w:rsid w:val="00D81606"/>
    <w:rsid w:val="00D81784"/>
    <w:rsid w:val="00D81E30"/>
    <w:rsid w:val="00D8218F"/>
    <w:rsid w:val="00D829FD"/>
    <w:rsid w:val="00D8344F"/>
    <w:rsid w:val="00D83569"/>
    <w:rsid w:val="00D837A2"/>
    <w:rsid w:val="00D83A43"/>
    <w:rsid w:val="00D841F3"/>
    <w:rsid w:val="00D844F2"/>
    <w:rsid w:val="00D84614"/>
    <w:rsid w:val="00D846A8"/>
    <w:rsid w:val="00D84744"/>
    <w:rsid w:val="00D84DED"/>
    <w:rsid w:val="00D852FA"/>
    <w:rsid w:val="00D85539"/>
    <w:rsid w:val="00D85B20"/>
    <w:rsid w:val="00D861A9"/>
    <w:rsid w:val="00D861C8"/>
    <w:rsid w:val="00D86283"/>
    <w:rsid w:val="00D86326"/>
    <w:rsid w:val="00D86808"/>
    <w:rsid w:val="00D8680D"/>
    <w:rsid w:val="00D86895"/>
    <w:rsid w:val="00D86AEC"/>
    <w:rsid w:val="00D86C7E"/>
    <w:rsid w:val="00D86F0D"/>
    <w:rsid w:val="00D872C9"/>
    <w:rsid w:val="00D87454"/>
    <w:rsid w:val="00D87F5F"/>
    <w:rsid w:val="00D904C9"/>
    <w:rsid w:val="00D907C9"/>
    <w:rsid w:val="00D90983"/>
    <w:rsid w:val="00D91722"/>
    <w:rsid w:val="00D91974"/>
    <w:rsid w:val="00D922FD"/>
    <w:rsid w:val="00D92781"/>
    <w:rsid w:val="00D92948"/>
    <w:rsid w:val="00D92A35"/>
    <w:rsid w:val="00D92FFD"/>
    <w:rsid w:val="00D932D5"/>
    <w:rsid w:val="00D933FE"/>
    <w:rsid w:val="00D9356A"/>
    <w:rsid w:val="00D936BC"/>
    <w:rsid w:val="00D93D38"/>
    <w:rsid w:val="00D93E58"/>
    <w:rsid w:val="00D9400A"/>
    <w:rsid w:val="00D9427D"/>
    <w:rsid w:val="00D943E6"/>
    <w:rsid w:val="00D9454E"/>
    <w:rsid w:val="00D9558D"/>
    <w:rsid w:val="00D95E7A"/>
    <w:rsid w:val="00D9650E"/>
    <w:rsid w:val="00D9662C"/>
    <w:rsid w:val="00D9720E"/>
    <w:rsid w:val="00D976BE"/>
    <w:rsid w:val="00D97765"/>
    <w:rsid w:val="00D977B5"/>
    <w:rsid w:val="00D97916"/>
    <w:rsid w:val="00D97C10"/>
    <w:rsid w:val="00D97C3B"/>
    <w:rsid w:val="00DA006D"/>
    <w:rsid w:val="00DA032A"/>
    <w:rsid w:val="00DA056E"/>
    <w:rsid w:val="00DA08C1"/>
    <w:rsid w:val="00DA0917"/>
    <w:rsid w:val="00DA096B"/>
    <w:rsid w:val="00DA0BAA"/>
    <w:rsid w:val="00DA12A3"/>
    <w:rsid w:val="00DA12C4"/>
    <w:rsid w:val="00DA12CE"/>
    <w:rsid w:val="00DA12D3"/>
    <w:rsid w:val="00DA1338"/>
    <w:rsid w:val="00DA1E55"/>
    <w:rsid w:val="00DA1E58"/>
    <w:rsid w:val="00DA1FFF"/>
    <w:rsid w:val="00DA231C"/>
    <w:rsid w:val="00DA26B9"/>
    <w:rsid w:val="00DA26BC"/>
    <w:rsid w:val="00DA2AA7"/>
    <w:rsid w:val="00DA2C47"/>
    <w:rsid w:val="00DA2E80"/>
    <w:rsid w:val="00DA3291"/>
    <w:rsid w:val="00DA32A2"/>
    <w:rsid w:val="00DA3378"/>
    <w:rsid w:val="00DA34DD"/>
    <w:rsid w:val="00DA39F1"/>
    <w:rsid w:val="00DA3BE1"/>
    <w:rsid w:val="00DA3FB3"/>
    <w:rsid w:val="00DA42D8"/>
    <w:rsid w:val="00DA42EB"/>
    <w:rsid w:val="00DA4440"/>
    <w:rsid w:val="00DA4542"/>
    <w:rsid w:val="00DA4614"/>
    <w:rsid w:val="00DA4A60"/>
    <w:rsid w:val="00DA4C38"/>
    <w:rsid w:val="00DA4C7F"/>
    <w:rsid w:val="00DA4DF1"/>
    <w:rsid w:val="00DA54AA"/>
    <w:rsid w:val="00DA5746"/>
    <w:rsid w:val="00DA58C1"/>
    <w:rsid w:val="00DA6414"/>
    <w:rsid w:val="00DA6CBE"/>
    <w:rsid w:val="00DA6F0D"/>
    <w:rsid w:val="00DA7540"/>
    <w:rsid w:val="00DA77B1"/>
    <w:rsid w:val="00DA7A61"/>
    <w:rsid w:val="00DA7D17"/>
    <w:rsid w:val="00DB02C4"/>
    <w:rsid w:val="00DB04B1"/>
    <w:rsid w:val="00DB04CD"/>
    <w:rsid w:val="00DB0B9C"/>
    <w:rsid w:val="00DB0FC9"/>
    <w:rsid w:val="00DB10BF"/>
    <w:rsid w:val="00DB1304"/>
    <w:rsid w:val="00DB144E"/>
    <w:rsid w:val="00DB14F8"/>
    <w:rsid w:val="00DB1D27"/>
    <w:rsid w:val="00DB205A"/>
    <w:rsid w:val="00DB21DC"/>
    <w:rsid w:val="00DB2500"/>
    <w:rsid w:val="00DB26BB"/>
    <w:rsid w:val="00DB2DB8"/>
    <w:rsid w:val="00DB2E5C"/>
    <w:rsid w:val="00DB2FBB"/>
    <w:rsid w:val="00DB337D"/>
    <w:rsid w:val="00DB343B"/>
    <w:rsid w:val="00DB3658"/>
    <w:rsid w:val="00DB36F2"/>
    <w:rsid w:val="00DB3F33"/>
    <w:rsid w:val="00DB41DC"/>
    <w:rsid w:val="00DB46C6"/>
    <w:rsid w:val="00DB51DD"/>
    <w:rsid w:val="00DB52EF"/>
    <w:rsid w:val="00DB569F"/>
    <w:rsid w:val="00DB5854"/>
    <w:rsid w:val="00DB61A2"/>
    <w:rsid w:val="00DB61DA"/>
    <w:rsid w:val="00DB635E"/>
    <w:rsid w:val="00DB66A9"/>
    <w:rsid w:val="00DB68FC"/>
    <w:rsid w:val="00DB6AD0"/>
    <w:rsid w:val="00DB6E29"/>
    <w:rsid w:val="00DB73AE"/>
    <w:rsid w:val="00DB74F9"/>
    <w:rsid w:val="00DB7808"/>
    <w:rsid w:val="00DB7B0C"/>
    <w:rsid w:val="00DC00D9"/>
    <w:rsid w:val="00DC00E2"/>
    <w:rsid w:val="00DC0391"/>
    <w:rsid w:val="00DC048D"/>
    <w:rsid w:val="00DC0535"/>
    <w:rsid w:val="00DC06BD"/>
    <w:rsid w:val="00DC075E"/>
    <w:rsid w:val="00DC07E4"/>
    <w:rsid w:val="00DC0CD1"/>
    <w:rsid w:val="00DC0FCA"/>
    <w:rsid w:val="00DC16BC"/>
    <w:rsid w:val="00DC190D"/>
    <w:rsid w:val="00DC1ACE"/>
    <w:rsid w:val="00DC2144"/>
    <w:rsid w:val="00DC219A"/>
    <w:rsid w:val="00DC25B1"/>
    <w:rsid w:val="00DC26AF"/>
    <w:rsid w:val="00DC27E8"/>
    <w:rsid w:val="00DC2987"/>
    <w:rsid w:val="00DC2ADE"/>
    <w:rsid w:val="00DC2CBB"/>
    <w:rsid w:val="00DC38A9"/>
    <w:rsid w:val="00DC3C82"/>
    <w:rsid w:val="00DC4493"/>
    <w:rsid w:val="00DC44BD"/>
    <w:rsid w:val="00DC46F8"/>
    <w:rsid w:val="00DC47CF"/>
    <w:rsid w:val="00DC48EA"/>
    <w:rsid w:val="00DC4AD2"/>
    <w:rsid w:val="00DC5538"/>
    <w:rsid w:val="00DC5E24"/>
    <w:rsid w:val="00DC614A"/>
    <w:rsid w:val="00DC619B"/>
    <w:rsid w:val="00DC6826"/>
    <w:rsid w:val="00DC68F0"/>
    <w:rsid w:val="00DC6A8E"/>
    <w:rsid w:val="00DC766F"/>
    <w:rsid w:val="00DC78FA"/>
    <w:rsid w:val="00DC7D5D"/>
    <w:rsid w:val="00DD04E1"/>
    <w:rsid w:val="00DD0ACA"/>
    <w:rsid w:val="00DD0B54"/>
    <w:rsid w:val="00DD0C00"/>
    <w:rsid w:val="00DD0D51"/>
    <w:rsid w:val="00DD10D6"/>
    <w:rsid w:val="00DD128F"/>
    <w:rsid w:val="00DD1EAB"/>
    <w:rsid w:val="00DD22CC"/>
    <w:rsid w:val="00DD23D3"/>
    <w:rsid w:val="00DD24A1"/>
    <w:rsid w:val="00DD2E8F"/>
    <w:rsid w:val="00DD301D"/>
    <w:rsid w:val="00DD34D4"/>
    <w:rsid w:val="00DD391D"/>
    <w:rsid w:val="00DD3A24"/>
    <w:rsid w:val="00DD3AD9"/>
    <w:rsid w:val="00DD3BD4"/>
    <w:rsid w:val="00DD3DFA"/>
    <w:rsid w:val="00DD4251"/>
    <w:rsid w:val="00DD4728"/>
    <w:rsid w:val="00DD49B2"/>
    <w:rsid w:val="00DD4A97"/>
    <w:rsid w:val="00DD50B2"/>
    <w:rsid w:val="00DD55AE"/>
    <w:rsid w:val="00DD5B7A"/>
    <w:rsid w:val="00DD5D25"/>
    <w:rsid w:val="00DD6350"/>
    <w:rsid w:val="00DD6594"/>
    <w:rsid w:val="00DD68DD"/>
    <w:rsid w:val="00DD6910"/>
    <w:rsid w:val="00DD693C"/>
    <w:rsid w:val="00DD6965"/>
    <w:rsid w:val="00DD6FD7"/>
    <w:rsid w:val="00DD72E0"/>
    <w:rsid w:val="00DD73F1"/>
    <w:rsid w:val="00DD74A8"/>
    <w:rsid w:val="00DD7552"/>
    <w:rsid w:val="00DD7CCB"/>
    <w:rsid w:val="00DD930E"/>
    <w:rsid w:val="00DE0155"/>
    <w:rsid w:val="00DE0C49"/>
    <w:rsid w:val="00DE0CF5"/>
    <w:rsid w:val="00DE11B4"/>
    <w:rsid w:val="00DE163B"/>
    <w:rsid w:val="00DE1867"/>
    <w:rsid w:val="00DE1EE9"/>
    <w:rsid w:val="00DE20B4"/>
    <w:rsid w:val="00DE28B6"/>
    <w:rsid w:val="00DE2B02"/>
    <w:rsid w:val="00DE2BAB"/>
    <w:rsid w:val="00DE32F7"/>
    <w:rsid w:val="00DE3940"/>
    <w:rsid w:val="00DE3961"/>
    <w:rsid w:val="00DE3CE4"/>
    <w:rsid w:val="00DE3F8B"/>
    <w:rsid w:val="00DE420F"/>
    <w:rsid w:val="00DE51EA"/>
    <w:rsid w:val="00DE5465"/>
    <w:rsid w:val="00DE573A"/>
    <w:rsid w:val="00DE58F5"/>
    <w:rsid w:val="00DE5BEF"/>
    <w:rsid w:val="00DE5F62"/>
    <w:rsid w:val="00DE606F"/>
    <w:rsid w:val="00DE6234"/>
    <w:rsid w:val="00DE6276"/>
    <w:rsid w:val="00DE62F1"/>
    <w:rsid w:val="00DE67FE"/>
    <w:rsid w:val="00DE71D2"/>
    <w:rsid w:val="00DE733D"/>
    <w:rsid w:val="00DE7B59"/>
    <w:rsid w:val="00DE7E77"/>
    <w:rsid w:val="00DF0009"/>
    <w:rsid w:val="00DF0722"/>
    <w:rsid w:val="00DF0886"/>
    <w:rsid w:val="00DF0DB7"/>
    <w:rsid w:val="00DF14E3"/>
    <w:rsid w:val="00DF1A43"/>
    <w:rsid w:val="00DF221C"/>
    <w:rsid w:val="00DF230A"/>
    <w:rsid w:val="00DF287E"/>
    <w:rsid w:val="00DF3164"/>
    <w:rsid w:val="00DF33E4"/>
    <w:rsid w:val="00DF3A7A"/>
    <w:rsid w:val="00DF3D12"/>
    <w:rsid w:val="00DF3FEB"/>
    <w:rsid w:val="00DF48A1"/>
    <w:rsid w:val="00DF5482"/>
    <w:rsid w:val="00DF55F3"/>
    <w:rsid w:val="00DF56B9"/>
    <w:rsid w:val="00DF57FC"/>
    <w:rsid w:val="00DF5CFE"/>
    <w:rsid w:val="00DF6050"/>
    <w:rsid w:val="00DF61F6"/>
    <w:rsid w:val="00DF649D"/>
    <w:rsid w:val="00DF6722"/>
    <w:rsid w:val="00DF6887"/>
    <w:rsid w:val="00DF6979"/>
    <w:rsid w:val="00DF6BC7"/>
    <w:rsid w:val="00DF732C"/>
    <w:rsid w:val="00DF7677"/>
    <w:rsid w:val="00DF7B90"/>
    <w:rsid w:val="00DF7CD0"/>
    <w:rsid w:val="00DF7F55"/>
    <w:rsid w:val="00E001F4"/>
    <w:rsid w:val="00E002E9"/>
    <w:rsid w:val="00E00912"/>
    <w:rsid w:val="00E00D7E"/>
    <w:rsid w:val="00E013FB"/>
    <w:rsid w:val="00E01585"/>
    <w:rsid w:val="00E01AA3"/>
    <w:rsid w:val="00E02417"/>
    <w:rsid w:val="00E02651"/>
    <w:rsid w:val="00E02936"/>
    <w:rsid w:val="00E029B0"/>
    <w:rsid w:val="00E02B70"/>
    <w:rsid w:val="00E02D63"/>
    <w:rsid w:val="00E0336E"/>
    <w:rsid w:val="00E0344D"/>
    <w:rsid w:val="00E036F6"/>
    <w:rsid w:val="00E03F08"/>
    <w:rsid w:val="00E046B7"/>
    <w:rsid w:val="00E04772"/>
    <w:rsid w:val="00E04800"/>
    <w:rsid w:val="00E049B1"/>
    <w:rsid w:val="00E049DB"/>
    <w:rsid w:val="00E04B98"/>
    <w:rsid w:val="00E04D43"/>
    <w:rsid w:val="00E04F81"/>
    <w:rsid w:val="00E054A9"/>
    <w:rsid w:val="00E059CA"/>
    <w:rsid w:val="00E05B94"/>
    <w:rsid w:val="00E05C70"/>
    <w:rsid w:val="00E05D1C"/>
    <w:rsid w:val="00E05ED5"/>
    <w:rsid w:val="00E06772"/>
    <w:rsid w:val="00E069AC"/>
    <w:rsid w:val="00E06E9A"/>
    <w:rsid w:val="00E076D7"/>
    <w:rsid w:val="00E0777E"/>
    <w:rsid w:val="00E07869"/>
    <w:rsid w:val="00E07CFB"/>
    <w:rsid w:val="00E10889"/>
    <w:rsid w:val="00E11108"/>
    <w:rsid w:val="00E1119F"/>
    <w:rsid w:val="00E11A84"/>
    <w:rsid w:val="00E11CBA"/>
    <w:rsid w:val="00E120E2"/>
    <w:rsid w:val="00E12823"/>
    <w:rsid w:val="00E12955"/>
    <w:rsid w:val="00E12B61"/>
    <w:rsid w:val="00E12E0A"/>
    <w:rsid w:val="00E13A29"/>
    <w:rsid w:val="00E13FD5"/>
    <w:rsid w:val="00E14571"/>
    <w:rsid w:val="00E14DB2"/>
    <w:rsid w:val="00E14F7E"/>
    <w:rsid w:val="00E152FB"/>
    <w:rsid w:val="00E15565"/>
    <w:rsid w:val="00E1559F"/>
    <w:rsid w:val="00E1575F"/>
    <w:rsid w:val="00E157B8"/>
    <w:rsid w:val="00E1619C"/>
    <w:rsid w:val="00E16543"/>
    <w:rsid w:val="00E16C83"/>
    <w:rsid w:val="00E171C1"/>
    <w:rsid w:val="00E17696"/>
    <w:rsid w:val="00E176AD"/>
    <w:rsid w:val="00E17901"/>
    <w:rsid w:val="00E17A3D"/>
    <w:rsid w:val="00E17D95"/>
    <w:rsid w:val="00E17F92"/>
    <w:rsid w:val="00E17FB3"/>
    <w:rsid w:val="00E2010D"/>
    <w:rsid w:val="00E2054F"/>
    <w:rsid w:val="00E20821"/>
    <w:rsid w:val="00E2089F"/>
    <w:rsid w:val="00E20C00"/>
    <w:rsid w:val="00E20C6B"/>
    <w:rsid w:val="00E20FA9"/>
    <w:rsid w:val="00E21057"/>
    <w:rsid w:val="00E2105D"/>
    <w:rsid w:val="00E2114F"/>
    <w:rsid w:val="00E21258"/>
    <w:rsid w:val="00E21315"/>
    <w:rsid w:val="00E21722"/>
    <w:rsid w:val="00E21F26"/>
    <w:rsid w:val="00E21F35"/>
    <w:rsid w:val="00E220D7"/>
    <w:rsid w:val="00E2211F"/>
    <w:rsid w:val="00E221DB"/>
    <w:rsid w:val="00E2278D"/>
    <w:rsid w:val="00E22DB3"/>
    <w:rsid w:val="00E22DFE"/>
    <w:rsid w:val="00E233E6"/>
    <w:rsid w:val="00E2394E"/>
    <w:rsid w:val="00E239D3"/>
    <w:rsid w:val="00E23B80"/>
    <w:rsid w:val="00E23F2C"/>
    <w:rsid w:val="00E24123"/>
    <w:rsid w:val="00E24249"/>
    <w:rsid w:val="00E2570C"/>
    <w:rsid w:val="00E2586F"/>
    <w:rsid w:val="00E25DEB"/>
    <w:rsid w:val="00E25F46"/>
    <w:rsid w:val="00E2608A"/>
    <w:rsid w:val="00E261D9"/>
    <w:rsid w:val="00E26282"/>
    <w:rsid w:val="00E262D5"/>
    <w:rsid w:val="00E2665C"/>
    <w:rsid w:val="00E26F76"/>
    <w:rsid w:val="00E26F86"/>
    <w:rsid w:val="00E27561"/>
    <w:rsid w:val="00E2759D"/>
    <w:rsid w:val="00E277E3"/>
    <w:rsid w:val="00E27AD9"/>
    <w:rsid w:val="00E27C26"/>
    <w:rsid w:val="00E27C50"/>
    <w:rsid w:val="00E2EAA6"/>
    <w:rsid w:val="00E30119"/>
    <w:rsid w:val="00E3018A"/>
    <w:rsid w:val="00E30417"/>
    <w:rsid w:val="00E3057E"/>
    <w:rsid w:val="00E308AD"/>
    <w:rsid w:val="00E309B5"/>
    <w:rsid w:val="00E309E5"/>
    <w:rsid w:val="00E30B5B"/>
    <w:rsid w:val="00E3102B"/>
    <w:rsid w:val="00E31030"/>
    <w:rsid w:val="00E31B86"/>
    <w:rsid w:val="00E31CD1"/>
    <w:rsid w:val="00E322B2"/>
    <w:rsid w:val="00E325E5"/>
    <w:rsid w:val="00E328DC"/>
    <w:rsid w:val="00E32B8B"/>
    <w:rsid w:val="00E32C8F"/>
    <w:rsid w:val="00E32ECC"/>
    <w:rsid w:val="00E3305D"/>
    <w:rsid w:val="00E3332E"/>
    <w:rsid w:val="00E33464"/>
    <w:rsid w:val="00E34439"/>
    <w:rsid w:val="00E34983"/>
    <w:rsid w:val="00E34D37"/>
    <w:rsid w:val="00E35688"/>
    <w:rsid w:val="00E35BE4"/>
    <w:rsid w:val="00E365C4"/>
    <w:rsid w:val="00E36764"/>
    <w:rsid w:val="00E36A6B"/>
    <w:rsid w:val="00E36ED2"/>
    <w:rsid w:val="00E36EEF"/>
    <w:rsid w:val="00E36FD7"/>
    <w:rsid w:val="00E370D8"/>
    <w:rsid w:val="00E37466"/>
    <w:rsid w:val="00E37671"/>
    <w:rsid w:val="00E376FB"/>
    <w:rsid w:val="00E37DD0"/>
    <w:rsid w:val="00E37EF7"/>
    <w:rsid w:val="00E401DF"/>
    <w:rsid w:val="00E4048E"/>
    <w:rsid w:val="00E40817"/>
    <w:rsid w:val="00E40C5C"/>
    <w:rsid w:val="00E40D2F"/>
    <w:rsid w:val="00E40D60"/>
    <w:rsid w:val="00E40F9D"/>
    <w:rsid w:val="00E41422"/>
    <w:rsid w:val="00E4190E"/>
    <w:rsid w:val="00E41D99"/>
    <w:rsid w:val="00E41DD6"/>
    <w:rsid w:val="00E42001"/>
    <w:rsid w:val="00E42310"/>
    <w:rsid w:val="00E4236D"/>
    <w:rsid w:val="00E43334"/>
    <w:rsid w:val="00E440EB"/>
    <w:rsid w:val="00E445E1"/>
    <w:rsid w:val="00E44638"/>
    <w:rsid w:val="00E44A06"/>
    <w:rsid w:val="00E44BCE"/>
    <w:rsid w:val="00E44BFC"/>
    <w:rsid w:val="00E44C0D"/>
    <w:rsid w:val="00E45063"/>
    <w:rsid w:val="00E4572E"/>
    <w:rsid w:val="00E45845"/>
    <w:rsid w:val="00E45CEA"/>
    <w:rsid w:val="00E46051"/>
    <w:rsid w:val="00E460A9"/>
    <w:rsid w:val="00E462A0"/>
    <w:rsid w:val="00E4646D"/>
    <w:rsid w:val="00E46893"/>
    <w:rsid w:val="00E46FF7"/>
    <w:rsid w:val="00E47244"/>
    <w:rsid w:val="00E474B3"/>
    <w:rsid w:val="00E475BF"/>
    <w:rsid w:val="00E47667"/>
    <w:rsid w:val="00E501DC"/>
    <w:rsid w:val="00E5070D"/>
    <w:rsid w:val="00E50C72"/>
    <w:rsid w:val="00E510CA"/>
    <w:rsid w:val="00E5130C"/>
    <w:rsid w:val="00E51455"/>
    <w:rsid w:val="00E5168F"/>
    <w:rsid w:val="00E519E9"/>
    <w:rsid w:val="00E5210C"/>
    <w:rsid w:val="00E52134"/>
    <w:rsid w:val="00E526DD"/>
    <w:rsid w:val="00E52B0F"/>
    <w:rsid w:val="00E52B12"/>
    <w:rsid w:val="00E52EB4"/>
    <w:rsid w:val="00E5322E"/>
    <w:rsid w:val="00E5334F"/>
    <w:rsid w:val="00E53942"/>
    <w:rsid w:val="00E53EC6"/>
    <w:rsid w:val="00E54175"/>
    <w:rsid w:val="00E544D0"/>
    <w:rsid w:val="00E5472D"/>
    <w:rsid w:val="00E548E9"/>
    <w:rsid w:val="00E54B09"/>
    <w:rsid w:val="00E54C86"/>
    <w:rsid w:val="00E54DC3"/>
    <w:rsid w:val="00E54F73"/>
    <w:rsid w:val="00E552B1"/>
    <w:rsid w:val="00E5547E"/>
    <w:rsid w:val="00E55703"/>
    <w:rsid w:val="00E55C43"/>
    <w:rsid w:val="00E55F9C"/>
    <w:rsid w:val="00E5644B"/>
    <w:rsid w:val="00E5647E"/>
    <w:rsid w:val="00E56644"/>
    <w:rsid w:val="00E56711"/>
    <w:rsid w:val="00E5692A"/>
    <w:rsid w:val="00E56DB9"/>
    <w:rsid w:val="00E56E37"/>
    <w:rsid w:val="00E575DA"/>
    <w:rsid w:val="00E5782B"/>
    <w:rsid w:val="00E57896"/>
    <w:rsid w:val="00E57D0B"/>
    <w:rsid w:val="00E57DAD"/>
    <w:rsid w:val="00E57F3C"/>
    <w:rsid w:val="00E5BD3A"/>
    <w:rsid w:val="00E6017B"/>
    <w:rsid w:val="00E6031B"/>
    <w:rsid w:val="00E60329"/>
    <w:rsid w:val="00E60513"/>
    <w:rsid w:val="00E6059B"/>
    <w:rsid w:val="00E60619"/>
    <w:rsid w:val="00E608BC"/>
    <w:rsid w:val="00E60B5D"/>
    <w:rsid w:val="00E61245"/>
    <w:rsid w:val="00E61CEA"/>
    <w:rsid w:val="00E620FF"/>
    <w:rsid w:val="00E62269"/>
    <w:rsid w:val="00E62570"/>
    <w:rsid w:val="00E625BB"/>
    <w:rsid w:val="00E626CC"/>
    <w:rsid w:val="00E629F2"/>
    <w:rsid w:val="00E62C3D"/>
    <w:rsid w:val="00E62D2D"/>
    <w:rsid w:val="00E62FFA"/>
    <w:rsid w:val="00E63095"/>
    <w:rsid w:val="00E63190"/>
    <w:rsid w:val="00E633CF"/>
    <w:rsid w:val="00E6369E"/>
    <w:rsid w:val="00E639F7"/>
    <w:rsid w:val="00E63A9D"/>
    <w:rsid w:val="00E63A9E"/>
    <w:rsid w:val="00E641A8"/>
    <w:rsid w:val="00E643DA"/>
    <w:rsid w:val="00E64655"/>
    <w:rsid w:val="00E64CEA"/>
    <w:rsid w:val="00E64D8C"/>
    <w:rsid w:val="00E650B2"/>
    <w:rsid w:val="00E6516A"/>
    <w:rsid w:val="00E65228"/>
    <w:rsid w:val="00E6597E"/>
    <w:rsid w:val="00E65CFF"/>
    <w:rsid w:val="00E65DB0"/>
    <w:rsid w:val="00E6628C"/>
    <w:rsid w:val="00E66554"/>
    <w:rsid w:val="00E667AB"/>
    <w:rsid w:val="00E669CA"/>
    <w:rsid w:val="00E66D33"/>
    <w:rsid w:val="00E66E40"/>
    <w:rsid w:val="00E66FAC"/>
    <w:rsid w:val="00E6722B"/>
    <w:rsid w:val="00E675A8"/>
    <w:rsid w:val="00E67A46"/>
    <w:rsid w:val="00E67B9C"/>
    <w:rsid w:val="00E700B0"/>
    <w:rsid w:val="00E70391"/>
    <w:rsid w:val="00E703DA"/>
    <w:rsid w:val="00E70420"/>
    <w:rsid w:val="00E719E7"/>
    <w:rsid w:val="00E71A09"/>
    <w:rsid w:val="00E71C79"/>
    <w:rsid w:val="00E71C85"/>
    <w:rsid w:val="00E720F9"/>
    <w:rsid w:val="00E722F2"/>
    <w:rsid w:val="00E7260F"/>
    <w:rsid w:val="00E726F2"/>
    <w:rsid w:val="00E727E5"/>
    <w:rsid w:val="00E72C67"/>
    <w:rsid w:val="00E72CD9"/>
    <w:rsid w:val="00E72E5D"/>
    <w:rsid w:val="00E72F1B"/>
    <w:rsid w:val="00E738C8"/>
    <w:rsid w:val="00E7397B"/>
    <w:rsid w:val="00E73AA0"/>
    <w:rsid w:val="00E73B5A"/>
    <w:rsid w:val="00E73B90"/>
    <w:rsid w:val="00E73BC2"/>
    <w:rsid w:val="00E73CCD"/>
    <w:rsid w:val="00E73F8F"/>
    <w:rsid w:val="00E74273"/>
    <w:rsid w:val="00E749A2"/>
    <w:rsid w:val="00E74D4A"/>
    <w:rsid w:val="00E74ED0"/>
    <w:rsid w:val="00E74F00"/>
    <w:rsid w:val="00E75190"/>
    <w:rsid w:val="00E751E0"/>
    <w:rsid w:val="00E7539B"/>
    <w:rsid w:val="00E75A15"/>
    <w:rsid w:val="00E75F02"/>
    <w:rsid w:val="00E75F97"/>
    <w:rsid w:val="00E7643C"/>
    <w:rsid w:val="00E76590"/>
    <w:rsid w:val="00E766AF"/>
    <w:rsid w:val="00E76C5B"/>
    <w:rsid w:val="00E76CB1"/>
    <w:rsid w:val="00E76E0A"/>
    <w:rsid w:val="00E77B5A"/>
    <w:rsid w:val="00E804E9"/>
    <w:rsid w:val="00E8068F"/>
    <w:rsid w:val="00E809DB"/>
    <w:rsid w:val="00E80F4B"/>
    <w:rsid w:val="00E8102E"/>
    <w:rsid w:val="00E811D7"/>
    <w:rsid w:val="00E81831"/>
    <w:rsid w:val="00E81FC8"/>
    <w:rsid w:val="00E8207A"/>
    <w:rsid w:val="00E83403"/>
    <w:rsid w:val="00E835C3"/>
    <w:rsid w:val="00E836F2"/>
    <w:rsid w:val="00E837AD"/>
    <w:rsid w:val="00E8393D"/>
    <w:rsid w:val="00E83A36"/>
    <w:rsid w:val="00E83A60"/>
    <w:rsid w:val="00E83AA0"/>
    <w:rsid w:val="00E83E3C"/>
    <w:rsid w:val="00E846EB"/>
    <w:rsid w:val="00E8496D"/>
    <w:rsid w:val="00E84DB2"/>
    <w:rsid w:val="00E85063"/>
    <w:rsid w:val="00E857B1"/>
    <w:rsid w:val="00E858FB"/>
    <w:rsid w:val="00E859AF"/>
    <w:rsid w:val="00E85AC3"/>
    <w:rsid w:val="00E85DE7"/>
    <w:rsid w:val="00E85FCC"/>
    <w:rsid w:val="00E86145"/>
    <w:rsid w:val="00E86F03"/>
    <w:rsid w:val="00E87021"/>
    <w:rsid w:val="00E87464"/>
    <w:rsid w:val="00E87775"/>
    <w:rsid w:val="00E877F5"/>
    <w:rsid w:val="00E900E0"/>
    <w:rsid w:val="00E904A6"/>
    <w:rsid w:val="00E90500"/>
    <w:rsid w:val="00E9131D"/>
    <w:rsid w:val="00E917DB"/>
    <w:rsid w:val="00E9180F"/>
    <w:rsid w:val="00E919D4"/>
    <w:rsid w:val="00E92145"/>
    <w:rsid w:val="00E92255"/>
    <w:rsid w:val="00E933CD"/>
    <w:rsid w:val="00E93479"/>
    <w:rsid w:val="00E937FC"/>
    <w:rsid w:val="00E938FA"/>
    <w:rsid w:val="00E939A7"/>
    <w:rsid w:val="00E93E07"/>
    <w:rsid w:val="00E94020"/>
    <w:rsid w:val="00E945C5"/>
    <w:rsid w:val="00E94686"/>
    <w:rsid w:val="00E94697"/>
    <w:rsid w:val="00E94CA2"/>
    <w:rsid w:val="00E94E20"/>
    <w:rsid w:val="00E94F6F"/>
    <w:rsid w:val="00E9561C"/>
    <w:rsid w:val="00E95928"/>
    <w:rsid w:val="00E95DC9"/>
    <w:rsid w:val="00E96193"/>
    <w:rsid w:val="00E96B30"/>
    <w:rsid w:val="00E96BC0"/>
    <w:rsid w:val="00E97100"/>
    <w:rsid w:val="00E97148"/>
    <w:rsid w:val="00E97178"/>
    <w:rsid w:val="00E97945"/>
    <w:rsid w:val="00EA0091"/>
    <w:rsid w:val="00EA021D"/>
    <w:rsid w:val="00EA045F"/>
    <w:rsid w:val="00EA04BD"/>
    <w:rsid w:val="00EA0692"/>
    <w:rsid w:val="00EA0C8C"/>
    <w:rsid w:val="00EA1942"/>
    <w:rsid w:val="00EA1BEF"/>
    <w:rsid w:val="00EA1D2A"/>
    <w:rsid w:val="00EA2170"/>
    <w:rsid w:val="00EA23C5"/>
    <w:rsid w:val="00EA257F"/>
    <w:rsid w:val="00EA25EE"/>
    <w:rsid w:val="00EA2785"/>
    <w:rsid w:val="00EA2A48"/>
    <w:rsid w:val="00EA2DFE"/>
    <w:rsid w:val="00EA2FF4"/>
    <w:rsid w:val="00EA30D9"/>
    <w:rsid w:val="00EA322D"/>
    <w:rsid w:val="00EA3260"/>
    <w:rsid w:val="00EA36A0"/>
    <w:rsid w:val="00EA36ED"/>
    <w:rsid w:val="00EA37B3"/>
    <w:rsid w:val="00EA3D84"/>
    <w:rsid w:val="00EA4048"/>
    <w:rsid w:val="00EA4232"/>
    <w:rsid w:val="00EA4371"/>
    <w:rsid w:val="00EA4414"/>
    <w:rsid w:val="00EA4BDE"/>
    <w:rsid w:val="00EA4F8F"/>
    <w:rsid w:val="00EA4F92"/>
    <w:rsid w:val="00EA5455"/>
    <w:rsid w:val="00EA5790"/>
    <w:rsid w:val="00EA59BC"/>
    <w:rsid w:val="00EA5A0B"/>
    <w:rsid w:val="00EA5A17"/>
    <w:rsid w:val="00EA6AF8"/>
    <w:rsid w:val="00EA6C05"/>
    <w:rsid w:val="00EA6E07"/>
    <w:rsid w:val="00EA70D2"/>
    <w:rsid w:val="00EA7180"/>
    <w:rsid w:val="00EA77B3"/>
    <w:rsid w:val="00EA7817"/>
    <w:rsid w:val="00EA7C3E"/>
    <w:rsid w:val="00EA7C6C"/>
    <w:rsid w:val="00EA7E82"/>
    <w:rsid w:val="00EB0B3A"/>
    <w:rsid w:val="00EB0DA5"/>
    <w:rsid w:val="00EB0DFC"/>
    <w:rsid w:val="00EB0E55"/>
    <w:rsid w:val="00EB0F7C"/>
    <w:rsid w:val="00EB1128"/>
    <w:rsid w:val="00EB1723"/>
    <w:rsid w:val="00EB175E"/>
    <w:rsid w:val="00EB19A0"/>
    <w:rsid w:val="00EB22C5"/>
    <w:rsid w:val="00EB22CD"/>
    <w:rsid w:val="00EB24CA"/>
    <w:rsid w:val="00EB2C11"/>
    <w:rsid w:val="00EB2CCA"/>
    <w:rsid w:val="00EB3DAC"/>
    <w:rsid w:val="00EB3F82"/>
    <w:rsid w:val="00EB42C2"/>
    <w:rsid w:val="00EB45AD"/>
    <w:rsid w:val="00EB5232"/>
    <w:rsid w:val="00EB56E9"/>
    <w:rsid w:val="00EB59DD"/>
    <w:rsid w:val="00EB5F42"/>
    <w:rsid w:val="00EB6058"/>
    <w:rsid w:val="00EB65C0"/>
    <w:rsid w:val="00EB65D2"/>
    <w:rsid w:val="00EB67E7"/>
    <w:rsid w:val="00EB7008"/>
    <w:rsid w:val="00EB72B4"/>
    <w:rsid w:val="00EB761D"/>
    <w:rsid w:val="00EB77D0"/>
    <w:rsid w:val="00EB7804"/>
    <w:rsid w:val="00EB7E69"/>
    <w:rsid w:val="00EB7F88"/>
    <w:rsid w:val="00EC0946"/>
    <w:rsid w:val="00EC0E15"/>
    <w:rsid w:val="00EC1506"/>
    <w:rsid w:val="00EC155D"/>
    <w:rsid w:val="00EC1B6E"/>
    <w:rsid w:val="00EC1B8E"/>
    <w:rsid w:val="00EC1EBC"/>
    <w:rsid w:val="00EC1F50"/>
    <w:rsid w:val="00EC21E3"/>
    <w:rsid w:val="00EC22D0"/>
    <w:rsid w:val="00EC230B"/>
    <w:rsid w:val="00EC2662"/>
    <w:rsid w:val="00EC28E0"/>
    <w:rsid w:val="00EC2AA8"/>
    <w:rsid w:val="00EC2D65"/>
    <w:rsid w:val="00EC2FB3"/>
    <w:rsid w:val="00EC3770"/>
    <w:rsid w:val="00EC3C87"/>
    <w:rsid w:val="00EC4169"/>
    <w:rsid w:val="00EC422C"/>
    <w:rsid w:val="00EC4487"/>
    <w:rsid w:val="00EC4500"/>
    <w:rsid w:val="00EC454A"/>
    <w:rsid w:val="00EC4A0A"/>
    <w:rsid w:val="00EC4F42"/>
    <w:rsid w:val="00EC4FE1"/>
    <w:rsid w:val="00EC5035"/>
    <w:rsid w:val="00EC5096"/>
    <w:rsid w:val="00EC558C"/>
    <w:rsid w:val="00EC5E73"/>
    <w:rsid w:val="00EC62AA"/>
    <w:rsid w:val="00EC693B"/>
    <w:rsid w:val="00EC734D"/>
    <w:rsid w:val="00EC74B9"/>
    <w:rsid w:val="00EC764F"/>
    <w:rsid w:val="00EC7782"/>
    <w:rsid w:val="00EC7941"/>
    <w:rsid w:val="00EC7EAB"/>
    <w:rsid w:val="00EC7EF7"/>
    <w:rsid w:val="00EC7F8A"/>
    <w:rsid w:val="00ED0023"/>
    <w:rsid w:val="00ED02E6"/>
    <w:rsid w:val="00ED04CF"/>
    <w:rsid w:val="00ED0A3C"/>
    <w:rsid w:val="00ED0B35"/>
    <w:rsid w:val="00ED0D65"/>
    <w:rsid w:val="00ED0EBA"/>
    <w:rsid w:val="00ED241C"/>
    <w:rsid w:val="00ED2A9F"/>
    <w:rsid w:val="00ED2B2A"/>
    <w:rsid w:val="00ED2D8E"/>
    <w:rsid w:val="00ED2DE8"/>
    <w:rsid w:val="00ED2E13"/>
    <w:rsid w:val="00ED2E72"/>
    <w:rsid w:val="00ED3A42"/>
    <w:rsid w:val="00ED3C34"/>
    <w:rsid w:val="00ED42C7"/>
    <w:rsid w:val="00ED46B8"/>
    <w:rsid w:val="00ED4C9F"/>
    <w:rsid w:val="00ED51F2"/>
    <w:rsid w:val="00ED52A5"/>
    <w:rsid w:val="00ED53F6"/>
    <w:rsid w:val="00ED56EC"/>
    <w:rsid w:val="00ED5909"/>
    <w:rsid w:val="00ED5A3F"/>
    <w:rsid w:val="00ED5AE6"/>
    <w:rsid w:val="00ED623F"/>
    <w:rsid w:val="00ED6683"/>
    <w:rsid w:val="00ED6E9C"/>
    <w:rsid w:val="00ED6EDC"/>
    <w:rsid w:val="00ED6F85"/>
    <w:rsid w:val="00ED7651"/>
    <w:rsid w:val="00ED7D52"/>
    <w:rsid w:val="00EE0298"/>
    <w:rsid w:val="00EE03AD"/>
    <w:rsid w:val="00EE0563"/>
    <w:rsid w:val="00EE08B1"/>
    <w:rsid w:val="00EE0BD2"/>
    <w:rsid w:val="00EE0EF8"/>
    <w:rsid w:val="00EE1302"/>
    <w:rsid w:val="00EE135C"/>
    <w:rsid w:val="00EE1655"/>
    <w:rsid w:val="00EE1879"/>
    <w:rsid w:val="00EE18CC"/>
    <w:rsid w:val="00EE1F0E"/>
    <w:rsid w:val="00EE2015"/>
    <w:rsid w:val="00EE216C"/>
    <w:rsid w:val="00EE265B"/>
    <w:rsid w:val="00EE2746"/>
    <w:rsid w:val="00EE276A"/>
    <w:rsid w:val="00EE2A87"/>
    <w:rsid w:val="00EE3032"/>
    <w:rsid w:val="00EE32F0"/>
    <w:rsid w:val="00EE3800"/>
    <w:rsid w:val="00EE381A"/>
    <w:rsid w:val="00EE3EB3"/>
    <w:rsid w:val="00EE40E1"/>
    <w:rsid w:val="00EE4295"/>
    <w:rsid w:val="00EE4361"/>
    <w:rsid w:val="00EE48E2"/>
    <w:rsid w:val="00EE4CD9"/>
    <w:rsid w:val="00EE503E"/>
    <w:rsid w:val="00EE5100"/>
    <w:rsid w:val="00EE530F"/>
    <w:rsid w:val="00EE5454"/>
    <w:rsid w:val="00EE576E"/>
    <w:rsid w:val="00EE5784"/>
    <w:rsid w:val="00EE58DA"/>
    <w:rsid w:val="00EE5AD3"/>
    <w:rsid w:val="00EE5B20"/>
    <w:rsid w:val="00EE5B34"/>
    <w:rsid w:val="00EE5C6B"/>
    <w:rsid w:val="00EE5F3D"/>
    <w:rsid w:val="00EE6257"/>
    <w:rsid w:val="00EE63D4"/>
    <w:rsid w:val="00EE65C0"/>
    <w:rsid w:val="00EE679B"/>
    <w:rsid w:val="00EE67FD"/>
    <w:rsid w:val="00EE6947"/>
    <w:rsid w:val="00EE7304"/>
    <w:rsid w:val="00EE74AE"/>
    <w:rsid w:val="00EE7773"/>
    <w:rsid w:val="00EE794B"/>
    <w:rsid w:val="00EECE2C"/>
    <w:rsid w:val="00EF0073"/>
    <w:rsid w:val="00EF0268"/>
    <w:rsid w:val="00EF05D4"/>
    <w:rsid w:val="00EF07A3"/>
    <w:rsid w:val="00EF0A1C"/>
    <w:rsid w:val="00EF0D80"/>
    <w:rsid w:val="00EF0DBD"/>
    <w:rsid w:val="00EF11EE"/>
    <w:rsid w:val="00EF13A8"/>
    <w:rsid w:val="00EF1755"/>
    <w:rsid w:val="00EF1930"/>
    <w:rsid w:val="00EF1C88"/>
    <w:rsid w:val="00EF1F54"/>
    <w:rsid w:val="00EF279D"/>
    <w:rsid w:val="00EF2DFB"/>
    <w:rsid w:val="00EF2E57"/>
    <w:rsid w:val="00EF35C9"/>
    <w:rsid w:val="00EF35F7"/>
    <w:rsid w:val="00EF36F2"/>
    <w:rsid w:val="00EF3B47"/>
    <w:rsid w:val="00EF3FD3"/>
    <w:rsid w:val="00EF40BA"/>
    <w:rsid w:val="00EF45EF"/>
    <w:rsid w:val="00EF4C37"/>
    <w:rsid w:val="00EF4E69"/>
    <w:rsid w:val="00EF4FD5"/>
    <w:rsid w:val="00EF59C1"/>
    <w:rsid w:val="00EF5E3E"/>
    <w:rsid w:val="00EF659B"/>
    <w:rsid w:val="00EF664D"/>
    <w:rsid w:val="00EF6725"/>
    <w:rsid w:val="00EF6A54"/>
    <w:rsid w:val="00EF6F36"/>
    <w:rsid w:val="00EF6FBC"/>
    <w:rsid w:val="00EF732D"/>
    <w:rsid w:val="00EF733A"/>
    <w:rsid w:val="00EF73E0"/>
    <w:rsid w:val="00EF75BA"/>
    <w:rsid w:val="00EF779D"/>
    <w:rsid w:val="00EF77A1"/>
    <w:rsid w:val="00EF794B"/>
    <w:rsid w:val="00EF7E94"/>
    <w:rsid w:val="00F004E7"/>
    <w:rsid w:val="00F0056B"/>
    <w:rsid w:val="00F0076F"/>
    <w:rsid w:val="00F00E97"/>
    <w:rsid w:val="00F00EBA"/>
    <w:rsid w:val="00F0133F"/>
    <w:rsid w:val="00F016A8"/>
    <w:rsid w:val="00F01A45"/>
    <w:rsid w:val="00F01C74"/>
    <w:rsid w:val="00F01E41"/>
    <w:rsid w:val="00F01E49"/>
    <w:rsid w:val="00F01F81"/>
    <w:rsid w:val="00F01FC8"/>
    <w:rsid w:val="00F02475"/>
    <w:rsid w:val="00F024A7"/>
    <w:rsid w:val="00F0253B"/>
    <w:rsid w:val="00F026B5"/>
    <w:rsid w:val="00F02AF1"/>
    <w:rsid w:val="00F02DDC"/>
    <w:rsid w:val="00F02EB1"/>
    <w:rsid w:val="00F030B4"/>
    <w:rsid w:val="00F03566"/>
    <w:rsid w:val="00F036DD"/>
    <w:rsid w:val="00F0389B"/>
    <w:rsid w:val="00F03AFE"/>
    <w:rsid w:val="00F03D1A"/>
    <w:rsid w:val="00F03F11"/>
    <w:rsid w:val="00F03F39"/>
    <w:rsid w:val="00F044C6"/>
    <w:rsid w:val="00F04614"/>
    <w:rsid w:val="00F04629"/>
    <w:rsid w:val="00F04A3D"/>
    <w:rsid w:val="00F04B89"/>
    <w:rsid w:val="00F04B95"/>
    <w:rsid w:val="00F04C63"/>
    <w:rsid w:val="00F04EAA"/>
    <w:rsid w:val="00F052F4"/>
    <w:rsid w:val="00F057DF"/>
    <w:rsid w:val="00F05E9B"/>
    <w:rsid w:val="00F0646E"/>
    <w:rsid w:val="00F064BE"/>
    <w:rsid w:val="00F06BCB"/>
    <w:rsid w:val="00F0749D"/>
    <w:rsid w:val="00F076AB"/>
    <w:rsid w:val="00F07978"/>
    <w:rsid w:val="00F1015F"/>
    <w:rsid w:val="00F1062B"/>
    <w:rsid w:val="00F10999"/>
    <w:rsid w:val="00F10A64"/>
    <w:rsid w:val="00F10CCA"/>
    <w:rsid w:val="00F10DE0"/>
    <w:rsid w:val="00F10DE7"/>
    <w:rsid w:val="00F10E6D"/>
    <w:rsid w:val="00F114D2"/>
    <w:rsid w:val="00F118A0"/>
    <w:rsid w:val="00F11A8B"/>
    <w:rsid w:val="00F11E3F"/>
    <w:rsid w:val="00F1251F"/>
    <w:rsid w:val="00F12642"/>
    <w:rsid w:val="00F127FC"/>
    <w:rsid w:val="00F129D8"/>
    <w:rsid w:val="00F12AAA"/>
    <w:rsid w:val="00F13505"/>
    <w:rsid w:val="00F13593"/>
    <w:rsid w:val="00F13837"/>
    <w:rsid w:val="00F13A1A"/>
    <w:rsid w:val="00F13D6A"/>
    <w:rsid w:val="00F13DA8"/>
    <w:rsid w:val="00F13EE9"/>
    <w:rsid w:val="00F142F2"/>
    <w:rsid w:val="00F14382"/>
    <w:rsid w:val="00F14538"/>
    <w:rsid w:val="00F1473D"/>
    <w:rsid w:val="00F14776"/>
    <w:rsid w:val="00F147EA"/>
    <w:rsid w:val="00F14A06"/>
    <w:rsid w:val="00F14D40"/>
    <w:rsid w:val="00F14E73"/>
    <w:rsid w:val="00F150E1"/>
    <w:rsid w:val="00F15111"/>
    <w:rsid w:val="00F15595"/>
    <w:rsid w:val="00F155EC"/>
    <w:rsid w:val="00F15B02"/>
    <w:rsid w:val="00F15E9B"/>
    <w:rsid w:val="00F16677"/>
    <w:rsid w:val="00F166CA"/>
    <w:rsid w:val="00F16CF0"/>
    <w:rsid w:val="00F171EA"/>
    <w:rsid w:val="00F17459"/>
    <w:rsid w:val="00F174C2"/>
    <w:rsid w:val="00F176A3"/>
    <w:rsid w:val="00F17711"/>
    <w:rsid w:val="00F17727"/>
    <w:rsid w:val="00F178F8"/>
    <w:rsid w:val="00F17A75"/>
    <w:rsid w:val="00F17E0C"/>
    <w:rsid w:val="00F17E11"/>
    <w:rsid w:val="00F2046F"/>
    <w:rsid w:val="00F204C4"/>
    <w:rsid w:val="00F206BC"/>
    <w:rsid w:val="00F20E1F"/>
    <w:rsid w:val="00F20EE6"/>
    <w:rsid w:val="00F21553"/>
    <w:rsid w:val="00F21A40"/>
    <w:rsid w:val="00F21A92"/>
    <w:rsid w:val="00F21D1E"/>
    <w:rsid w:val="00F21EFF"/>
    <w:rsid w:val="00F22085"/>
    <w:rsid w:val="00F222A0"/>
    <w:rsid w:val="00F22346"/>
    <w:rsid w:val="00F22370"/>
    <w:rsid w:val="00F2269E"/>
    <w:rsid w:val="00F22A38"/>
    <w:rsid w:val="00F22C01"/>
    <w:rsid w:val="00F233A1"/>
    <w:rsid w:val="00F2366B"/>
    <w:rsid w:val="00F23882"/>
    <w:rsid w:val="00F239B8"/>
    <w:rsid w:val="00F23DA3"/>
    <w:rsid w:val="00F24285"/>
    <w:rsid w:val="00F243DF"/>
    <w:rsid w:val="00F243F6"/>
    <w:rsid w:val="00F2456A"/>
    <w:rsid w:val="00F248F7"/>
    <w:rsid w:val="00F24971"/>
    <w:rsid w:val="00F24A03"/>
    <w:rsid w:val="00F24C7B"/>
    <w:rsid w:val="00F24FEB"/>
    <w:rsid w:val="00F25104"/>
    <w:rsid w:val="00F2542D"/>
    <w:rsid w:val="00F25541"/>
    <w:rsid w:val="00F25BFD"/>
    <w:rsid w:val="00F25EA5"/>
    <w:rsid w:val="00F26653"/>
    <w:rsid w:val="00F26CA6"/>
    <w:rsid w:val="00F26DBD"/>
    <w:rsid w:val="00F2740B"/>
    <w:rsid w:val="00F274BE"/>
    <w:rsid w:val="00F275C1"/>
    <w:rsid w:val="00F27822"/>
    <w:rsid w:val="00F301D9"/>
    <w:rsid w:val="00F306BD"/>
    <w:rsid w:val="00F30975"/>
    <w:rsid w:val="00F30EA4"/>
    <w:rsid w:val="00F31281"/>
    <w:rsid w:val="00F32228"/>
    <w:rsid w:val="00F32360"/>
    <w:rsid w:val="00F32786"/>
    <w:rsid w:val="00F327B3"/>
    <w:rsid w:val="00F327DA"/>
    <w:rsid w:val="00F32B76"/>
    <w:rsid w:val="00F33093"/>
    <w:rsid w:val="00F332D7"/>
    <w:rsid w:val="00F335E1"/>
    <w:rsid w:val="00F33DBE"/>
    <w:rsid w:val="00F33EDB"/>
    <w:rsid w:val="00F34058"/>
    <w:rsid w:val="00F341A8"/>
    <w:rsid w:val="00F34CB4"/>
    <w:rsid w:val="00F354EF"/>
    <w:rsid w:val="00F357B8"/>
    <w:rsid w:val="00F36084"/>
    <w:rsid w:val="00F368BC"/>
    <w:rsid w:val="00F36B31"/>
    <w:rsid w:val="00F36C31"/>
    <w:rsid w:val="00F3766F"/>
    <w:rsid w:val="00F37793"/>
    <w:rsid w:val="00F3798A"/>
    <w:rsid w:val="00F379AE"/>
    <w:rsid w:val="00F37BA6"/>
    <w:rsid w:val="00F37D3A"/>
    <w:rsid w:val="00F3AD28"/>
    <w:rsid w:val="00F4025E"/>
    <w:rsid w:val="00F4031B"/>
    <w:rsid w:val="00F404D0"/>
    <w:rsid w:val="00F40570"/>
    <w:rsid w:val="00F40840"/>
    <w:rsid w:val="00F41631"/>
    <w:rsid w:val="00F41A93"/>
    <w:rsid w:val="00F41D85"/>
    <w:rsid w:val="00F41DBA"/>
    <w:rsid w:val="00F42140"/>
    <w:rsid w:val="00F42293"/>
    <w:rsid w:val="00F42431"/>
    <w:rsid w:val="00F427F7"/>
    <w:rsid w:val="00F42BCC"/>
    <w:rsid w:val="00F42C5C"/>
    <w:rsid w:val="00F430C2"/>
    <w:rsid w:val="00F433CC"/>
    <w:rsid w:val="00F436EA"/>
    <w:rsid w:val="00F43CD5"/>
    <w:rsid w:val="00F43E3D"/>
    <w:rsid w:val="00F441A9"/>
    <w:rsid w:val="00F4455A"/>
    <w:rsid w:val="00F44708"/>
    <w:rsid w:val="00F447B7"/>
    <w:rsid w:val="00F44D56"/>
    <w:rsid w:val="00F456A5"/>
    <w:rsid w:val="00F459BA"/>
    <w:rsid w:val="00F45A4A"/>
    <w:rsid w:val="00F45AA8"/>
    <w:rsid w:val="00F45EE7"/>
    <w:rsid w:val="00F46091"/>
    <w:rsid w:val="00F46163"/>
    <w:rsid w:val="00F46232"/>
    <w:rsid w:val="00F4627D"/>
    <w:rsid w:val="00F4688F"/>
    <w:rsid w:val="00F472A6"/>
    <w:rsid w:val="00F4759C"/>
    <w:rsid w:val="00F476C8"/>
    <w:rsid w:val="00F47789"/>
    <w:rsid w:val="00F47B31"/>
    <w:rsid w:val="00F47B74"/>
    <w:rsid w:val="00F47E2F"/>
    <w:rsid w:val="00F47EF1"/>
    <w:rsid w:val="00F5069D"/>
    <w:rsid w:val="00F507D6"/>
    <w:rsid w:val="00F5095C"/>
    <w:rsid w:val="00F5118B"/>
    <w:rsid w:val="00F5119C"/>
    <w:rsid w:val="00F5165C"/>
    <w:rsid w:val="00F518B9"/>
    <w:rsid w:val="00F51985"/>
    <w:rsid w:val="00F51D4C"/>
    <w:rsid w:val="00F51D9A"/>
    <w:rsid w:val="00F51DEB"/>
    <w:rsid w:val="00F52173"/>
    <w:rsid w:val="00F5246A"/>
    <w:rsid w:val="00F52643"/>
    <w:rsid w:val="00F52739"/>
    <w:rsid w:val="00F52841"/>
    <w:rsid w:val="00F52DAC"/>
    <w:rsid w:val="00F52E9A"/>
    <w:rsid w:val="00F52EAD"/>
    <w:rsid w:val="00F52F12"/>
    <w:rsid w:val="00F5301E"/>
    <w:rsid w:val="00F5361E"/>
    <w:rsid w:val="00F53626"/>
    <w:rsid w:val="00F53AC1"/>
    <w:rsid w:val="00F53B2A"/>
    <w:rsid w:val="00F53E22"/>
    <w:rsid w:val="00F5494A"/>
    <w:rsid w:val="00F54A3C"/>
    <w:rsid w:val="00F54CFD"/>
    <w:rsid w:val="00F54ED2"/>
    <w:rsid w:val="00F54F15"/>
    <w:rsid w:val="00F5514F"/>
    <w:rsid w:val="00F55473"/>
    <w:rsid w:val="00F554D9"/>
    <w:rsid w:val="00F559C8"/>
    <w:rsid w:val="00F55D2F"/>
    <w:rsid w:val="00F561D2"/>
    <w:rsid w:val="00F5637E"/>
    <w:rsid w:val="00F565F9"/>
    <w:rsid w:val="00F569AE"/>
    <w:rsid w:val="00F56AC6"/>
    <w:rsid w:val="00F56FCB"/>
    <w:rsid w:val="00F57397"/>
    <w:rsid w:val="00F574F1"/>
    <w:rsid w:val="00F5779B"/>
    <w:rsid w:val="00F579DB"/>
    <w:rsid w:val="00F57B83"/>
    <w:rsid w:val="00F57C7B"/>
    <w:rsid w:val="00F600E6"/>
    <w:rsid w:val="00F60155"/>
    <w:rsid w:val="00F605A7"/>
    <w:rsid w:val="00F60673"/>
    <w:rsid w:val="00F6075E"/>
    <w:rsid w:val="00F60B76"/>
    <w:rsid w:val="00F60CDA"/>
    <w:rsid w:val="00F61696"/>
    <w:rsid w:val="00F616C1"/>
    <w:rsid w:val="00F61EDE"/>
    <w:rsid w:val="00F620CE"/>
    <w:rsid w:val="00F62202"/>
    <w:rsid w:val="00F62411"/>
    <w:rsid w:val="00F62533"/>
    <w:rsid w:val="00F62613"/>
    <w:rsid w:val="00F6263F"/>
    <w:rsid w:val="00F62741"/>
    <w:rsid w:val="00F628C0"/>
    <w:rsid w:val="00F62AA8"/>
    <w:rsid w:val="00F636F9"/>
    <w:rsid w:val="00F63741"/>
    <w:rsid w:val="00F63CAC"/>
    <w:rsid w:val="00F63E9E"/>
    <w:rsid w:val="00F64BC7"/>
    <w:rsid w:val="00F64BCC"/>
    <w:rsid w:val="00F64DC5"/>
    <w:rsid w:val="00F64FB2"/>
    <w:rsid w:val="00F65374"/>
    <w:rsid w:val="00F65A01"/>
    <w:rsid w:val="00F65E59"/>
    <w:rsid w:val="00F66397"/>
    <w:rsid w:val="00F66588"/>
    <w:rsid w:val="00F667F4"/>
    <w:rsid w:val="00F669D2"/>
    <w:rsid w:val="00F66A2C"/>
    <w:rsid w:val="00F6704B"/>
    <w:rsid w:val="00F671D7"/>
    <w:rsid w:val="00F67204"/>
    <w:rsid w:val="00F673D8"/>
    <w:rsid w:val="00F67408"/>
    <w:rsid w:val="00F67492"/>
    <w:rsid w:val="00F677F8"/>
    <w:rsid w:val="00F67A33"/>
    <w:rsid w:val="00F67CD3"/>
    <w:rsid w:val="00F67E94"/>
    <w:rsid w:val="00F7061B"/>
    <w:rsid w:val="00F706B7"/>
    <w:rsid w:val="00F7104B"/>
    <w:rsid w:val="00F710E2"/>
    <w:rsid w:val="00F711FB"/>
    <w:rsid w:val="00F71263"/>
    <w:rsid w:val="00F712B3"/>
    <w:rsid w:val="00F71BA9"/>
    <w:rsid w:val="00F71F1A"/>
    <w:rsid w:val="00F720DB"/>
    <w:rsid w:val="00F7261A"/>
    <w:rsid w:val="00F72AAE"/>
    <w:rsid w:val="00F72D63"/>
    <w:rsid w:val="00F73023"/>
    <w:rsid w:val="00F731AE"/>
    <w:rsid w:val="00F73357"/>
    <w:rsid w:val="00F73958"/>
    <w:rsid w:val="00F73B71"/>
    <w:rsid w:val="00F73C9D"/>
    <w:rsid w:val="00F73D45"/>
    <w:rsid w:val="00F73D58"/>
    <w:rsid w:val="00F73D64"/>
    <w:rsid w:val="00F73E43"/>
    <w:rsid w:val="00F73F99"/>
    <w:rsid w:val="00F74128"/>
    <w:rsid w:val="00F74300"/>
    <w:rsid w:val="00F74310"/>
    <w:rsid w:val="00F743D1"/>
    <w:rsid w:val="00F74C2F"/>
    <w:rsid w:val="00F74D1E"/>
    <w:rsid w:val="00F751D1"/>
    <w:rsid w:val="00F75535"/>
    <w:rsid w:val="00F757A2"/>
    <w:rsid w:val="00F75961"/>
    <w:rsid w:val="00F75BC2"/>
    <w:rsid w:val="00F75D75"/>
    <w:rsid w:val="00F75F0D"/>
    <w:rsid w:val="00F76851"/>
    <w:rsid w:val="00F76938"/>
    <w:rsid w:val="00F77354"/>
    <w:rsid w:val="00F77612"/>
    <w:rsid w:val="00F7773C"/>
    <w:rsid w:val="00F77A6F"/>
    <w:rsid w:val="00F77DF5"/>
    <w:rsid w:val="00F77E29"/>
    <w:rsid w:val="00F80590"/>
    <w:rsid w:val="00F805BE"/>
    <w:rsid w:val="00F8097A"/>
    <w:rsid w:val="00F80A5D"/>
    <w:rsid w:val="00F80E73"/>
    <w:rsid w:val="00F81610"/>
    <w:rsid w:val="00F81A2E"/>
    <w:rsid w:val="00F81AE9"/>
    <w:rsid w:val="00F82149"/>
    <w:rsid w:val="00F822DC"/>
    <w:rsid w:val="00F826AA"/>
    <w:rsid w:val="00F826C8"/>
    <w:rsid w:val="00F8281E"/>
    <w:rsid w:val="00F8288B"/>
    <w:rsid w:val="00F82AE1"/>
    <w:rsid w:val="00F82C3C"/>
    <w:rsid w:val="00F82DB5"/>
    <w:rsid w:val="00F82F2C"/>
    <w:rsid w:val="00F82FAC"/>
    <w:rsid w:val="00F83255"/>
    <w:rsid w:val="00F83540"/>
    <w:rsid w:val="00F8381F"/>
    <w:rsid w:val="00F83C21"/>
    <w:rsid w:val="00F84F04"/>
    <w:rsid w:val="00F85175"/>
    <w:rsid w:val="00F8532A"/>
    <w:rsid w:val="00F854CD"/>
    <w:rsid w:val="00F860F2"/>
    <w:rsid w:val="00F86179"/>
    <w:rsid w:val="00F86794"/>
    <w:rsid w:val="00F86B28"/>
    <w:rsid w:val="00F86C79"/>
    <w:rsid w:val="00F86F3F"/>
    <w:rsid w:val="00F86FBF"/>
    <w:rsid w:val="00F87442"/>
    <w:rsid w:val="00F879C2"/>
    <w:rsid w:val="00F87B5D"/>
    <w:rsid w:val="00F9038E"/>
    <w:rsid w:val="00F903F4"/>
    <w:rsid w:val="00F90836"/>
    <w:rsid w:val="00F909D1"/>
    <w:rsid w:val="00F90B31"/>
    <w:rsid w:val="00F915A2"/>
    <w:rsid w:val="00F915D6"/>
    <w:rsid w:val="00F91AB6"/>
    <w:rsid w:val="00F91AC2"/>
    <w:rsid w:val="00F91B4E"/>
    <w:rsid w:val="00F92539"/>
    <w:rsid w:val="00F92789"/>
    <w:rsid w:val="00F927CF"/>
    <w:rsid w:val="00F9289C"/>
    <w:rsid w:val="00F929F0"/>
    <w:rsid w:val="00F92DF7"/>
    <w:rsid w:val="00F93F66"/>
    <w:rsid w:val="00F9480C"/>
    <w:rsid w:val="00F94EFC"/>
    <w:rsid w:val="00F951B7"/>
    <w:rsid w:val="00F95238"/>
    <w:rsid w:val="00F95266"/>
    <w:rsid w:val="00F953A5"/>
    <w:rsid w:val="00F9556C"/>
    <w:rsid w:val="00F95637"/>
    <w:rsid w:val="00F95DB1"/>
    <w:rsid w:val="00F95F6F"/>
    <w:rsid w:val="00F96067"/>
    <w:rsid w:val="00F962B9"/>
    <w:rsid w:val="00F96399"/>
    <w:rsid w:val="00F966D4"/>
    <w:rsid w:val="00F96C75"/>
    <w:rsid w:val="00F96D23"/>
    <w:rsid w:val="00FA00BB"/>
    <w:rsid w:val="00FA02A9"/>
    <w:rsid w:val="00FA085C"/>
    <w:rsid w:val="00FA08D4"/>
    <w:rsid w:val="00FA0FFC"/>
    <w:rsid w:val="00FA1030"/>
    <w:rsid w:val="00FA123D"/>
    <w:rsid w:val="00FA1288"/>
    <w:rsid w:val="00FA150B"/>
    <w:rsid w:val="00FA203E"/>
    <w:rsid w:val="00FA24DB"/>
    <w:rsid w:val="00FA24FD"/>
    <w:rsid w:val="00FA2845"/>
    <w:rsid w:val="00FA2A52"/>
    <w:rsid w:val="00FA2E09"/>
    <w:rsid w:val="00FA2FDC"/>
    <w:rsid w:val="00FA3307"/>
    <w:rsid w:val="00FA330A"/>
    <w:rsid w:val="00FA3686"/>
    <w:rsid w:val="00FA3D3F"/>
    <w:rsid w:val="00FA3E33"/>
    <w:rsid w:val="00FA3E7B"/>
    <w:rsid w:val="00FA4127"/>
    <w:rsid w:val="00FA412C"/>
    <w:rsid w:val="00FA42BB"/>
    <w:rsid w:val="00FA4E6E"/>
    <w:rsid w:val="00FA4F55"/>
    <w:rsid w:val="00FA5155"/>
    <w:rsid w:val="00FA548F"/>
    <w:rsid w:val="00FA5CE1"/>
    <w:rsid w:val="00FA6008"/>
    <w:rsid w:val="00FA64E2"/>
    <w:rsid w:val="00FA6607"/>
    <w:rsid w:val="00FA670C"/>
    <w:rsid w:val="00FA6C6F"/>
    <w:rsid w:val="00FA6D27"/>
    <w:rsid w:val="00FA6E1F"/>
    <w:rsid w:val="00FA777B"/>
    <w:rsid w:val="00FA7788"/>
    <w:rsid w:val="00FA7A83"/>
    <w:rsid w:val="00FA7F9C"/>
    <w:rsid w:val="00FB0139"/>
    <w:rsid w:val="00FB0226"/>
    <w:rsid w:val="00FB0317"/>
    <w:rsid w:val="00FB099D"/>
    <w:rsid w:val="00FB0AD0"/>
    <w:rsid w:val="00FB163B"/>
    <w:rsid w:val="00FB2453"/>
    <w:rsid w:val="00FB2802"/>
    <w:rsid w:val="00FB2960"/>
    <w:rsid w:val="00FB29F7"/>
    <w:rsid w:val="00FB2BE1"/>
    <w:rsid w:val="00FB3448"/>
    <w:rsid w:val="00FB3A2B"/>
    <w:rsid w:val="00FB3E01"/>
    <w:rsid w:val="00FB3E27"/>
    <w:rsid w:val="00FB43E0"/>
    <w:rsid w:val="00FB442A"/>
    <w:rsid w:val="00FB460D"/>
    <w:rsid w:val="00FB482E"/>
    <w:rsid w:val="00FB49BB"/>
    <w:rsid w:val="00FB4A9B"/>
    <w:rsid w:val="00FB4DB5"/>
    <w:rsid w:val="00FB4DD1"/>
    <w:rsid w:val="00FB507E"/>
    <w:rsid w:val="00FB52B9"/>
    <w:rsid w:val="00FB52CE"/>
    <w:rsid w:val="00FB5D74"/>
    <w:rsid w:val="00FB63DE"/>
    <w:rsid w:val="00FB661D"/>
    <w:rsid w:val="00FB6BC4"/>
    <w:rsid w:val="00FB6EDC"/>
    <w:rsid w:val="00FB7044"/>
    <w:rsid w:val="00FB7787"/>
    <w:rsid w:val="00FB7985"/>
    <w:rsid w:val="00FB79B0"/>
    <w:rsid w:val="00FB7A10"/>
    <w:rsid w:val="00FB7AD4"/>
    <w:rsid w:val="00FB7E57"/>
    <w:rsid w:val="00FB7F95"/>
    <w:rsid w:val="00FBD738"/>
    <w:rsid w:val="00FC0303"/>
    <w:rsid w:val="00FC0380"/>
    <w:rsid w:val="00FC0484"/>
    <w:rsid w:val="00FC05C9"/>
    <w:rsid w:val="00FC0676"/>
    <w:rsid w:val="00FC0B8B"/>
    <w:rsid w:val="00FC0BF6"/>
    <w:rsid w:val="00FC1019"/>
    <w:rsid w:val="00FC1060"/>
    <w:rsid w:val="00FC10C8"/>
    <w:rsid w:val="00FC130A"/>
    <w:rsid w:val="00FC153C"/>
    <w:rsid w:val="00FC1AD9"/>
    <w:rsid w:val="00FC220F"/>
    <w:rsid w:val="00FC2276"/>
    <w:rsid w:val="00FC243F"/>
    <w:rsid w:val="00FC26DE"/>
    <w:rsid w:val="00FC2730"/>
    <w:rsid w:val="00FC281F"/>
    <w:rsid w:val="00FC2A16"/>
    <w:rsid w:val="00FC2A52"/>
    <w:rsid w:val="00FC2B00"/>
    <w:rsid w:val="00FC2B0B"/>
    <w:rsid w:val="00FC2E8C"/>
    <w:rsid w:val="00FC3248"/>
    <w:rsid w:val="00FC3A7D"/>
    <w:rsid w:val="00FC4010"/>
    <w:rsid w:val="00FC4139"/>
    <w:rsid w:val="00FC4159"/>
    <w:rsid w:val="00FC4557"/>
    <w:rsid w:val="00FC4BF1"/>
    <w:rsid w:val="00FC4C37"/>
    <w:rsid w:val="00FC4FA3"/>
    <w:rsid w:val="00FC55F2"/>
    <w:rsid w:val="00FC59EA"/>
    <w:rsid w:val="00FC5BA0"/>
    <w:rsid w:val="00FC63C8"/>
    <w:rsid w:val="00FC655A"/>
    <w:rsid w:val="00FC6689"/>
    <w:rsid w:val="00FC6A6F"/>
    <w:rsid w:val="00FC6F52"/>
    <w:rsid w:val="00FC6FCF"/>
    <w:rsid w:val="00FC705D"/>
    <w:rsid w:val="00FC754E"/>
    <w:rsid w:val="00FC7773"/>
    <w:rsid w:val="00FC77E0"/>
    <w:rsid w:val="00FD0165"/>
    <w:rsid w:val="00FD06FC"/>
    <w:rsid w:val="00FD09EF"/>
    <w:rsid w:val="00FD0EF8"/>
    <w:rsid w:val="00FD0F70"/>
    <w:rsid w:val="00FD0F80"/>
    <w:rsid w:val="00FD141D"/>
    <w:rsid w:val="00FD1950"/>
    <w:rsid w:val="00FD1989"/>
    <w:rsid w:val="00FD1B65"/>
    <w:rsid w:val="00FD1CF6"/>
    <w:rsid w:val="00FD1E54"/>
    <w:rsid w:val="00FD1EB3"/>
    <w:rsid w:val="00FD2B90"/>
    <w:rsid w:val="00FD2BFE"/>
    <w:rsid w:val="00FD2C77"/>
    <w:rsid w:val="00FD387A"/>
    <w:rsid w:val="00FD3AAB"/>
    <w:rsid w:val="00FD3CA6"/>
    <w:rsid w:val="00FD40E6"/>
    <w:rsid w:val="00FD412A"/>
    <w:rsid w:val="00FD4160"/>
    <w:rsid w:val="00FD4576"/>
    <w:rsid w:val="00FD4638"/>
    <w:rsid w:val="00FD4708"/>
    <w:rsid w:val="00FD4A14"/>
    <w:rsid w:val="00FD5453"/>
    <w:rsid w:val="00FD5467"/>
    <w:rsid w:val="00FD562A"/>
    <w:rsid w:val="00FD5650"/>
    <w:rsid w:val="00FD5724"/>
    <w:rsid w:val="00FD59BA"/>
    <w:rsid w:val="00FD6504"/>
    <w:rsid w:val="00FD66EF"/>
    <w:rsid w:val="00FD686B"/>
    <w:rsid w:val="00FD69A3"/>
    <w:rsid w:val="00FD6C49"/>
    <w:rsid w:val="00FD6E34"/>
    <w:rsid w:val="00FD6F89"/>
    <w:rsid w:val="00FD7171"/>
    <w:rsid w:val="00FD76EF"/>
    <w:rsid w:val="00FD7984"/>
    <w:rsid w:val="00FD7BCA"/>
    <w:rsid w:val="00FD7D7A"/>
    <w:rsid w:val="00FE046B"/>
    <w:rsid w:val="00FE0C31"/>
    <w:rsid w:val="00FE0D05"/>
    <w:rsid w:val="00FE0ECF"/>
    <w:rsid w:val="00FE13D1"/>
    <w:rsid w:val="00FE1763"/>
    <w:rsid w:val="00FE19DC"/>
    <w:rsid w:val="00FE1AEB"/>
    <w:rsid w:val="00FE1AF2"/>
    <w:rsid w:val="00FE1C68"/>
    <w:rsid w:val="00FE1E51"/>
    <w:rsid w:val="00FE1FBF"/>
    <w:rsid w:val="00FE20D4"/>
    <w:rsid w:val="00FE2515"/>
    <w:rsid w:val="00FE2C49"/>
    <w:rsid w:val="00FE2C56"/>
    <w:rsid w:val="00FE2C79"/>
    <w:rsid w:val="00FE2C9F"/>
    <w:rsid w:val="00FE2D3A"/>
    <w:rsid w:val="00FE2D6D"/>
    <w:rsid w:val="00FE32F9"/>
    <w:rsid w:val="00FE3337"/>
    <w:rsid w:val="00FE3397"/>
    <w:rsid w:val="00FE34C0"/>
    <w:rsid w:val="00FE389A"/>
    <w:rsid w:val="00FE3EAD"/>
    <w:rsid w:val="00FE4033"/>
    <w:rsid w:val="00FE528B"/>
    <w:rsid w:val="00FE546C"/>
    <w:rsid w:val="00FE5E24"/>
    <w:rsid w:val="00FE6897"/>
    <w:rsid w:val="00FE6A33"/>
    <w:rsid w:val="00FE6A44"/>
    <w:rsid w:val="00FE6CD4"/>
    <w:rsid w:val="00FE6E48"/>
    <w:rsid w:val="00FE75F6"/>
    <w:rsid w:val="00FE77AE"/>
    <w:rsid w:val="00FE781B"/>
    <w:rsid w:val="00FE78E6"/>
    <w:rsid w:val="00FE7C5F"/>
    <w:rsid w:val="00FF0AD9"/>
    <w:rsid w:val="00FF1340"/>
    <w:rsid w:val="00FF13A4"/>
    <w:rsid w:val="00FF1627"/>
    <w:rsid w:val="00FF17C4"/>
    <w:rsid w:val="00FF1865"/>
    <w:rsid w:val="00FF18AC"/>
    <w:rsid w:val="00FF1AEC"/>
    <w:rsid w:val="00FF2128"/>
    <w:rsid w:val="00FF2643"/>
    <w:rsid w:val="00FF28CD"/>
    <w:rsid w:val="00FF2B0A"/>
    <w:rsid w:val="00FF3B8D"/>
    <w:rsid w:val="00FF3C00"/>
    <w:rsid w:val="00FF3CC9"/>
    <w:rsid w:val="00FF3CCA"/>
    <w:rsid w:val="00FF4162"/>
    <w:rsid w:val="00FF4391"/>
    <w:rsid w:val="00FF4438"/>
    <w:rsid w:val="00FF4F88"/>
    <w:rsid w:val="00FF50B3"/>
    <w:rsid w:val="00FF55BB"/>
    <w:rsid w:val="00FF5601"/>
    <w:rsid w:val="00FF5754"/>
    <w:rsid w:val="00FF5822"/>
    <w:rsid w:val="00FF5BB3"/>
    <w:rsid w:val="00FF5C2A"/>
    <w:rsid w:val="00FF5CF3"/>
    <w:rsid w:val="00FF624F"/>
    <w:rsid w:val="00FF6F62"/>
    <w:rsid w:val="00FF78C1"/>
    <w:rsid w:val="00FF7B7F"/>
    <w:rsid w:val="0100FF5B"/>
    <w:rsid w:val="0103D175"/>
    <w:rsid w:val="010591F0"/>
    <w:rsid w:val="0105963A"/>
    <w:rsid w:val="010C6CD3"/>
    <w:rsid w:val="0113C1D4"/>
    <w:rsid w:val="01152199"/>
    <w:rsid w:val="011C2927"/>
    <w:rsid w:val="01266D0C"/>
    <w:rsid w:val="01277460"/>
    <w:rsid w:val="013570E0"/>
    <w:rsid w:val="01366877"/>
    <w:rsid w:val="01457937"/>
    <w:rsid w:val="014E97BC"/>
    <w:rsid w:val="014FF423"/>
    <w:rsid w:val="0160607A"/>
    <w:rsid w:val="0160F4CF"/>
    <w:rsid w:val="0168A6B3"/>
    <w:rsid w:val="016CCA26"/>
    <w:rsid w:val="0171385D"/>
    <w:rsid w:val="017E6B76"/>
    <w:rsid w:val="01844B18"/>
    <w:rsid w:val="01899A3C"/>
    <w:rsid w:val="018F39B4"/>
    <w:rsid w:val="019400CE"/>
    <w:rsid w:val="0198B65B"/>
    <w:rsid w:val="019DB178"/>
    <w:rsid w:val="01A2E502"/>
    <w:rsid w:val="01AB6C0C"/>
    <w:rsid w:val="01AFBB13"/>
    <w:rsid w:val="01B2C030"/>
    <w:rsid w:val="01B4AB65"/>
    <w:rsid w:val="01B6467E"/>
    <w:rsid w:val="01BA6C75"/>
    <w:rsid w:val="01BABB81"/>
    <w:rsid w:val="01BC4817"/>
    <w:rsid w:val="01BD3EEA"/>
    <w:rsid w:val="01C2BA17"/>
    <w:rsid w:val="01C5DE0B"/>
    <w:rsid w:val="01C856B0"/>
    <w:rsid w:val="01CBD0DF"/>
    <w:rsid w:val="01D6DA65"/>
    <w:rsid w:val="01D8B55D"/>
    <w:rsid w:val="01D9A871"/>
    <w:rsid w:val="01DF2BEA"/>
    <w:rsid w:val="01E02D4C"/>
    <w:rsid w:val="01E57512"/>
    <w:rsid w:val="01E89DB1"/>
    <w:rsid w:val="01E904CB"/>
    <w:rsid w:val="01EADDFA"/>
    <w:rsid w:val="01EBB152"/>
    <w:rsid w:val="01EC249D"/>
    <w:rsid w:val="01EC78BD"/>
    <w:rsid w:val="01EEB7D6"/>
    <w:rsid w:val="01EEC2F1"/>
    <w:rsid w:val="01F00A79"/>
    <w:rsid w:val="01FCADFE"/>
    <w:rsid w:val="01FEE8B6"/>
    <w:rsid w:val="02007581"/>
    <w:rsid w:val="0200AC32"/>
    <w:rsid w:val="02138F63"/>
    <w:rsid w:val="02149F6D"/>
    <w:rsid w:val="02186EB0"/>
    <w:rsid w:val="021B0A72"/>
    <w:rsid w:val="0221CFAE"/>
    <w:rsid w:val="02271766"/>
    <w:rsid w:val="02291597"/>
    <w:rsid w:val="022A8DF4"/>
    <w:rsid w:val="022C0B3C"/>
    <w:rsid w:val="022C7867"/>
    <w:rsid w:val="02320D1B"/>
    <w:rsid w:val="02345DCB"/>
    <w:rsid w:val="0234E185"/>
    <w:rsid w:val="02382C75"/>
    <w:rsid w:val="023E9ED7"/>
    <w:rsid w:val="02414716"/>
    <w:rsid w:val="02436259"/>
    <w:rsid w:val="02598DAA"/>
    <w:rsid w:val="025E806C"/>
    <w:rsid w:val="02642EA2"/>
    <w:rsid w:val="02661828"/>
    <w:rsid w:val="026CD5DE"/>
    <w:rsid w:val="027688F0"/>
    <w:rsid w:val="02784351"/>
    <w:rsid w:val="027B309A"/>
    <w:rsid w:val="027FF498"/>
    <w:rsid w:val="02890F64"/>
    <w:rsid w:val="028D11D7"/>
    <w:rsid w:val="028FB4DC"/>
    <w:rsid w:val="02910C7B"/>
    <w:rsid w:val="02922B29"/>
    <w:rsid w:val="0295576B"/>
    <w:rsid w:val="02965209"/>
    <w:rsid w:val="02A0D58B"/>
    <w:rsid w:val="02A1E1B8"/>
    <w:rsid w:val="02AD4175"/>
    <w:rsid w:val="02B013A4"/>
    <w:rsid w:val="02C23256"/>
    <w:rsid w:val="02C6BC30"/>
    <w:rsid w:val="02C8543F"/>
    <w:rsid w:val="02CA089D"/>
    <w:rsid w:val="02CCF00D"/>
    <w:rsid w:val="02D01036"/>
    <w:rsid w:val="02D18A28"/>
    <w:rsid w:val="02D412B3"/>
    <w:rsid w:val="02D64693"/>
    <w:rsid w:val="02D80DB4"/>
    <w:rsid w:val="02D8CB66"/>
    <w:rsid w:val="02DACADA"/>
    <w:rsid w:val="02DD7C20"/>
    <w:rsid w:val="02E03BED"/>
    <w:rsid w:val="02E18661"/>
    <w:rsid w:val="02E22F58"/>
    <w:rsid w:val="02E4D873"/>
    <w:rsid w:val="02E51074"/>
    <w:rsid w:val="02EB7B8A"/>
    <w:rsid w:val="02F5E65E"/>
    <w:rsid w:val="02F768E8"/>
    <w:rsid w:val="02FC4C5A"/>
    <w:rsid w:val="02FF8752"/>
    <w:rsid w:val="03115DA1"/>
    <w:rsid w:val="0315B58C"/>
    <w:rsid w:val="0319E3A6"/>
    <w:rsid w:val="031AEDB8"/>
    <w:rsid w:val="031DA01C"/>
    <w:rsid w:val="03204A45"/>
    <w:rsid w:val="0323C626"/>
    <w:rsid w:val="03285352"/>
    <w:rsid w:val="032A5A4B"/>
    <w:rsid w:val="0332CB7A"/>
    <w:rsid w:val="033AA9F9"/>
    <w:rsid w:val="03458DC0"/>
    <w:rsid w:val="034A11F2"/>
    <w:rsid w:val="03513013"/>
    <w:rsid w:val="03553DD0"/>
    <w:rsid w:val="0359B932"/>
    <w:rsid w:val="036C2C25"/>
    <w:rsid w:val="036C6316"/>
    <w:rsid w:val="0372F92D"/>
    <w:rsid w:val="038456A5"/>
    <w:rsid w:val="0384D6BC"/>
    <w:rsid w:val="0390222F"/>
    <w:rsid w:val="03938368"/>
    <w:rsid w:val="0397B347"/>
    <w:rsid w:val="0399EBD3"/>
    <w:rsid w:val="03A83B80"/>
    <w:rsid w:val="03AC9601"/>
    <w:rsid w:val="03B5B43A"/>
    <w:rsid w:val="03B7FD49"/>
    <w:rsid w:val="03C77ECA"/>
    <w:rsid w:val="03CF4F95"/>
    <w:rsid w:val="03D4BB08"/>
    <w:rsid w:val="03D5872D"/>
    <w:rsid w:val="03D7BF0E"/>
    <w:rsid w:val="03DA10BC"/>
    <w:rsid w:val="03E2143B"/>
    <w:rsid w:val="03E469B4"/>
    <w:rsid w:val="03E8CC55"/>
    <w:rsid w:val="03EA50D4"/>
    <w:rsid w:val="03EE45A1"/>
    <w:rsid w:val="03F7206F"/>
    <w:rsid w:val="03FBA7B2"/>
    <w:rsid w:val="03FD81ED"/>
    <w:rsid w:val="0401BED5"/>
    <w:rsid w:val="0408CEF7"/>
    <w:rsid w:val="040B4861"/>
    <w:rsid w:val="040F3837"/>
    <w:rsid w:val="04155C4C"/>
    <w:rsid w:val="041D0198"/>
    <w:rsid w:val="0430B184"/>
    <w:rsid w:val="04330584"/>
    <w:rsid w:val="04341D0D"/>
    <w:rsid w:val="0439EFE2"/>
    <w:rsid w:val="04414429"/>
    <w:rsid w:val="044486BF"/>
    <w:rsid w:val="0448EA6E"/>
    <w:rsid w:val="0449C16A"/>
    <w:rsid w:val="04500034"/>
    <w:rsid w:val="0454A1E8"/>
    <w:rsid w:val="0454FC00"/>
    <w:rsid w:val="04573D42"/>
    <w:rsid w:val="045A1A19"/>
    <w:rsid w:val="045B4F17"/>
    <w:rsid w:val="045B7FF4"/>
    <w:rsid w:val="045F49EF"/>
    <w:rsid w:val="04624826"/>
    <w:rsid w:val="0468EC77"/>
    <w:rsid w:val="046E12CC"/>
    <w:rsid w:val="04746110"/>
    <w:rsid w:val="04759190"/>
    <w:rsid w:val="0479939D"/>
    <w:rsid w:val="047A1FCA"/>
    <w:rsid w:val="048468D8"/>
    <w:rsid w:val="048A2D75"/>
    <w:rsid w:val="048A48DE"/>
    <w:rsid w:val="048DC5D3"/>
    <w:rsid w:val="048DDE94"/>
    <w:rsid w:val="0491853A"/>
    <w:rsid w:val="0492EE1F"/>
    <w:rsid w:val="0493DB7D"/>
    <w:rsid w:val="04955929"/>
    <w:rsid w:val="0498CDE3"/>
    <w:rsid w:val="04A859CF"/>
    <w:rsid w:val="04B0363D"/>
    <w:rsid w:val="04B039F3"/>
    <w:rsid w:val="04B5088F"/>
    <w:rsid w:val="04BADC2C"/>
    <w:rsid w:val="04BB76D4"/>
    <w:rsid w:val="04BD91AD"/>
    <w:rsid w:val="04C0DFFD"/>
    <w:rsid w:val="04C2EB4C"/>
    <w:rsid w:val="04C3DA28"/>
    <w:rsid w:val="04C3F4B3"/>
    <w:rsid w:val="04C428FB"/>
    <w:rsid w:val="04C5B34C"/>
    <w:rsid w:val="04CDEA65"/>
    <w:rsid w:val="04D03F99"/>
    <w:rsid w:val="04D05CBD"/>
    <w:rsid w:val="04D0FBB9"/>
    <w:rsid w:val="04D13CDA"/>
    <w:rsid w:val="04DC5E14"/>
    <w:rsid w:val="04E94F87"/>
    <w:rsid w:val="04F092E2"/>
    <w:rsid w:val="04F21288"/>
    <w:rsid w:val="04F498DB"/>
    <w:rsid w:val="04FF84B9"/>
    <w:rsid w:val="05096396"/>
    <w:rsid w:val="050AAF66"/>
    <w:rsid w:val="0516685C"/>
    <w:rsid w:val="051C2906"/>
    <w:rsid w:val="051D4B8D"/>
    <w:rsid w:val="051E8573"/>
    <w:rsid w:val="05253EFD"/>
    <w:rsid w:val="05326E10"/>
    <w:rsid w:val="05338F7A"/>
    <w:rsid w:val="0535F201"/>
    <w:rsid w:val="0537266B"/>
    <w:rsid w:val="053A1FA2"/>
    <w:rsid w:val="053AD3FC"/>
    <w:rsid w:val="053FBBCE"/>
    <w:rsid w:val="0543E4A2"/>
    <w:rsid w:val="0545B491"/>
    <w:rsid w:val="05500754"/>
    <w:rsid w:val="0551B817"/>
    <w:rsid w:val="055504E1"/>
    <w:rsid w:val="05556AB0"/>
    <w:rsid w:val="0557B402"/>
    <w:rsid w:val="055929E7"/>
    <w:rsid w:val="055F073A"/>
    <w:rsid w:val="05656F8D"/>
    <w:rsid w:val="05663433"/>
    <w:rsid w:val="0568930D"/>
    <w:rsid w:val="05698B4E"/>
    <w:rsid w:val="056DB436"/>
    <w:rsid w:val="0583882A"/>
    <w:rsid w:val="0583BD51"/>
    <w:rsid w:val="05859A19"/>
    <w:rsid w:val="0586D4F7"/>
    <w:rsid w:val="058FCF65"/>
    <w:rsid w:val="0594BD37"/>
    <w:rsid w:val="059557B1"/>
    <w:rsid w:val="059C8ECF"/>
    <w:rsid w:val="05A5D101"/>
    <w:rsid w:val="05A6C72E"/>
    <w:rsid w:val="05AC33E0"/>
    <w:rsid w:val="05AD13B5"/>
    <w:rsid w:val="05AF6A1E"/>
    <w:rsid w:val="05B456BF"/>
    <w:rsid w:val="05C3D9D8"/>
    <w:rsid w:val="05C9CBEB"/>
    <w:rsid w:val="05DBA38D"/>
    <w:rsid w:val="05E37F46"/>
    <w:rsid w:val="05E683A0"/>
    <w:rsid w:val="05EBB3F2"/>
    <w:rsid w:val="05F3CD9E"/>
    <w:rsid w:val="05F61D66"/>
    <w:rsid w:val="05F68B17"/>
    <w:rsid w:val="05F901FC"/>
    <w:rsid w:val="0602C268"/>
    <w:rsid w:val="0605C48C"/>
    <w:rsid w:val="0608D8A7"/>
    <w:rsid w:val="060B1869"/>
    <w:rsid w:val="060D9292"/>
    <w:rsid w:val="060FC4D5"/>
    <w:rsid w:val="061187BB"/>
    <w:rsid w:val="0613B384"/>
    <w:rsid w:val="0615FD5E"/>
    <w:rsid w:val="0620EC98"/>
    <w:rsid w:val="062701C5"/>
    <w:rsid w:val="06472AA3"/>
    <w:rsid w:val="06554861"/>
    <w:rsid w:val="0655AAC1"/>
    <w:rsid w:val="065D7648"/>
    <w:rsid w:val="06674AF3"/>
    <w:rsid w:val="06712C6B"/>
    <w:rsid w:val="06761899"/>
    <w:rsid w:val="067E06D2"/>
    <w:rsid w:val="067FE15E"/>
    <w:rsid w:val="068641A2"/>
    <w:rsid w:val="0690E7A2"/>
    <w:rsid w:val="069E2CAA"/>
    <w:rsid w:val="06A1AB00"/>
    <w:rsid w:val="06A56997"/>
    <w:rsid w:val="06A8B0FB"/>
    <w:rsid w:val="06AD5356"/>
    <w:rsid w:val="06B2B23E"/>
    <w:rsid w:val="06B303A3"/>
    <w:rsid w:val="06B3F527"/>
    <w:rsid w:val="06C1EA1F"/>
    <w:rsid w:val="06C2B504"/>
    <w:rsid w:val="06C332D7"/>
    <w:rsid w:val="06C71576"/>
    <w:rsid w:val="06CB1502"/>
    <w:rsid w:val="06CF631E"/>
    <w:rsid w:val="06D3A9B8"/>
    <w:rsid w:val="06DE2F0F"/>
    <w:rsid w:val="06E1113B"/>
    <w:rsid w:val="06F04A25"/>
    <w:rsid w:val="06F43112"/>
    <w:rsid w:val="06F85F18"/>
    <w:rsid w:val="0702D4E5"/>
    <w:rsid w:val="07058781"/>
    <w:rsid w:val="070753E7"/>
    <w:rsid w:val="07080CAA"/>
    <w:rsid w:val="070C8645"/>
    <w:rsid w:val="0715D9AA"/>
    <w:rsid w:val="071D8250"/>
    <w:rsid w:val="07224CC9"/>
    <w:rsid w:val="07288C53"/>
    <w:rsid w:val="073040F9"/>
    <w:rsid w:val="07340440"/>
    <w:rsid w:val="073F6D72"/>
    <w:rsid w:val="0743E55B"/>
    <w:rsid w:val="0744D5CF"/>
    <w:rsid w:val="074512AF"/>
    <w:rsid w:val="074ADCC0"/>
    <w:rsid w:val="07524C9E"/>
    <w:rsid w:val="075533B5"/>
    <w:rsid w:val="0758290D"/>
    <w:rsid w:val="075BFF9D"/>
    <w:rsid w:val="0762B79C"/>
    <w:rsid w:val="0762FD59"/>
    <w:rsid w:val="0766E49C"/>
    <w:rsid w:val="07684EA7"/>
    <w:rsid w:val="076F2BC1"/>
    <w:rsid w:val="07723E47"/>
    <w:rsid w:val="07752761"/>
    <w:rsid w:val="077FB1B1"/>
    <w:rsid w:val="07841BF4"/>
    <w:rsid w:val="078602DE"/>
    <w:rsid w:val="078B3C6F"/>
    <w:rsid w:val="078DF9CA"/>
    <w:rsid w:val="078FD1AF"/>
    <w:rsid w:val="07912B8A"/>
    <w:rsid w:val="0793A948"/>
    <w:rsid w:val="0794BC2A"/>
    <w:rsid w:val="07992C55"/>
    <w:rsid w:val="079FB590"/>
    <w:rsid w:val="07AB6552"/>
    <w:rsid w:val="07AFA3DE"/>
    <w:rsid w:val="07B85404"/>
    <w:rsid w:val="07BD57F0"/>
    <w:rsid w:val="07C2471A"/>
    <w:rsid w:val="07CB466D"/>
    <w:rsid w:val="07CBBB3E"/>
    <w:rsid w:val="07CEAAB4"/>
    <w:rsid w:val="07D3D058"/>
    <w:rsid w:val="07DFFEA4"/>
    <w:rsid w:val="07E12306"/>
    <w:rsid w:val="07E8719B"/>
    <w:rsid w:val="07EA95BC"/>
    <w:rsid w:val="07EAAEA9"/>
    <w:rsid w:val="07ED2046"/>
    <w:rsid w:val="07EE5362"/>
    <w:rsid w:val="07EF412E"/>
    <w:rsid w:val="07F268FA"/>
    <w:rsid w:val="07F7A853"/>
    <w:rsid w:val="07F81667"/>
    <w:rsid w:val="07F94B45"/>
    <w:rsid w:val="07FAE947"/>
    <w:rsid w:val="07FBE971"/>
    <w:rsid w:val="07FC60AA"/>
    <w:rsid w:val="080541ED"/>
    <w:rsid w:val="0809E753"/>
    <w:rsid w:val="08107790"/>
    <w:rsid w:val="081222C3"/>
    <w:rsid w:val="08159740"/>
    <w:rsid w:val="08160263"/>
    <w:rsid w:val="0818D593"/>
    <w:rsid w:val="0822B945"/>
    <w:rsid w:val="082465BF"/>
    <w:rsid w:val="08380827"/>
    <w:rsid w:val="08387B18"/>
    <w:rsid w:val="083D0CE6"/>
    <w:rsid w:val="084016E4"/>
    <w:rsid w:val="0847142F"/>
    <w:rsid w:val="084CCCAC"/>
    <w:rsid w:val="0853497C"/>
    <w:rsid w:val="0863C329"/>
    <w:rsid w:val="08678AB4"/>
    <w:rsid w:val="08694D3A"/>
    <w:rsid w:val="086B1927"/>
    <w:rsid w:val="0872B160"/>
    <w:rsid w:val="08766B52"/>
    <w:rsid w:val="08853C2C"/>
    <w:rsid w:val="089300DD"/>
    <w:rsid w:val="0895DDCA"/>
    <w:rsid w:val="0896152D"/>
    <w:rsid w:val="089BB7A5"/>
    <w:rsid w:val="089D6284"/>
    <w:rsid w:val="08A4E8D4"/>
    <w:rsid w:val="08ABCA4C"/>
    <w:rsid w:val="08ABCB1A"/>
    <w:rsid w:val="08AE24F4"/>
    <w:rsid w:val="08B64CA1"/>
    <w:rsid w:val="08B6B53E"/>
    <w:rsid w:val="08BFD75D"/>
    <w:rsid w:val="08D5AC51"/>
    <w:rsid w:val="08D71684"/>
    <w:rsid w:val="08D93636"/>
    <w:rsid w:val="08D9DF46"/>
    <w:rsid w:val="08DD0FD7"/>
    <w:rsid w:val="08DF4855"/>
    <w:rsid w:val="08E1BE4C"/>
    <w:rsid w:val="08E50916"/>
    <w:rsid w:val="08E9447B"/>
    <w:rsid w:val="08ED5E68"/>
    <w:rsid w:val="08EEEE99"/>
    <w:rsid w:val="08F17E5F"/>
    <w:rsid w:val="08F55E7D"/>
    <w:rsid w:val="08F6BFE5"/>
    <w:rsid w:val="08F8D69B"/>
    <w:rsid w:val="08FA0CFF"/>
    <w:rsid w:val="08FA7EFB"/>
    <w:rsid w:val="08FF2BEA"/>
    <w:rsid w:val="0909300E"/>
    <w:rsid w:val="090994E1"/>
    <w:rsid w:val="090D9409"/>
    <w:rsid w:val="09100500"/>
    <w:rsid w:val="0915951A"/>
    <w:rsid w:val="0916BCB8"/>
    <w:rsid w:val="091F7D76"/>
    <w:rsid w:val="09201898"/>
    <w:rsid w:val="09237BBA"/>
    <w:rsid w:val="09239474"/>
    <w:rsid w:val="092768AD"/>
    <w:rsid w:val="092CA8A4"/>
    <w:rsid w:val="092D0A66"/>
    <w:rsid w:val="092F3E04"/>
    <w:rsid w:val="093C9227"/>
    <w:rsid w:val="093DB4F1"/>
    <w:rsid w:val="093FED29"/>
    <w:rsid w:val="0948D246"/>
    <w:rsid w:val="094D3F46"/>
    <w:rsid w:val="094DACB8"/>
    <w:rsid w:val="095292A6"/>
    <w:rsid w:val="09567875"/>
    <w:rsid w:val="095A44B7"/>
    <w:rsid w:val="095B3126"/>
    <w:rsid w:val="095D5ADD"/>
    <w:rsid w:val="09619CA7"/>
    <w:rsid w:val="096612BF"/>
    <w:rsid w:val="096E83F9"/>
    <w:rsid w:val="096E9CBB"/>
    <w:rsid w:val="0970F5EE"/>
    <w:rsid w:val="09721A52"/>
    <w:rsid w:val="09739A94"/>
    <w:rsid w:val="09769C7D"/>
    <w:rsid w:val="09785929"/>
    <w:rsid w:val="097A0146"/>
    <w:rsid w:val="0982777A"/>
    <w:rsid w:val="0987D1AC"/>
    <w:rsid w:val="098D2884"/>
    <w:rsid w:val="0990CA49"/>
    <w:rsid w:val="099A47A9"/>
    <w:rsid w:val="099C28FB"/>
    <w:rsid w:val="099EF7C8"/>
    <w:rsid w:val="09A1DB0A"/>
    <w:rsid w:val="09A537FC"/>
    <w:rsid w:val="09AC4D74"/>
    <w:rsid w:val="09ADC5EC"/>
    <w:rsid w:val="09AEA517"/>
    <w:rsid w:val="09B11711"/>
    <w:rsid w:val="09B24EBB"/>
    <w:rsid w:val="09BB28D9"/>
    <w:rsid w:val="09C30A0A"/>
    <w:rsid w:val="09C467D3"/>
    <w:rsid w:val="09C4892B"/>
    <w:rsid w:val="09C4F139"/>
    <w:rsid w:val="09C5E798"/>
    <w:rsid w:val="09C8552B"/>
    <w:rsid w:val="09D6DAEE"/>
    <w:rsid w:val="09DD7964"/>
    <w:rsid w:val="09E4565B"/>
    <w:rsid w:val="09E594E7"/>
    <w:rsid w:val="09ED35D7"/>
    <w:rsid w:val="09EF7816"/>
    <w:rsid w:val="09F2A56F"/>
    <w:rsid w:val="09F6C589"/>
    <w:rsid w:val="09F9610E"/>
    <w:rsid w:val="09F97BD7"/>
    <w:rsid w:val="09FBEF88"/>
    <w:rsid w:val="0A039A65"/>
    <w:rsid w:val="0A10189A"/>
    <w:rsid w:val="0A149658"/>
    <w:rsid w:val="0A1E0D1E"/>
    <w:rsid w:val="0A216C6C"/>
    <w:rsid w:val="0A219FC8"/>
    <w:rsid w:val="0A22E558"/>
    <w:rsid w:val="0A24A22A"/>
    <w:rsid w:val="0A24C81A"/>
    <w:rsid w:val="0A2F1C4A"/>
    <w:rsid w:val="0A3DC0C4"/>
    <w:rsid w:val="0A42F970"/>
    <w:rsid w:val="0A460385"/>
    <w:rsid w:val="0A47AB43"/>
    <w:rsid w:val="0A50E686"/>
    <w:rsid w:val="0A545FF6"/>
    <w:rsid w:val="0A5C280C"/>
    <w:rsid w:val="0A5E72C2"/>
    <w:rsid w:val="0A606F60"/>
    <w:rsid w:val="0A60AE0D"/>
    <w:rsid w:val="0A649F0C"/>
    <w:rsid w:val="0A6AF15B"/>
    <w:rsid w:val="0A7C4103"/>
    <w:rsid w:val="0A848705"/>
    <w:rsid w:val="0A85D2CC"/>
    <w:rsid w:val="0A872F85"/>
    <w:rsid w:val="0A87E803"/>
    <w:rsid w:val="0A92A2FA"/>
    <w:rsid w:val="0A95473F"/>
    <w:rsid w:val="0AA1E2A0"/>
    <w:rsid w:val="0AA49534"/>
    <w:rsid w:val="0AA5410E"/>
    <w:rsid w:val="0AA8627E"/>
    <w:rsid w:val="0AAB2F67"/>
    <w:rsid w:val="0AACB7BA"/>
    <w:rsid w:val="0AB3D95C"/>
    <w:rsid w:val="0AB5F4CF"/>
    <w:rsid w:val="0AB82A76"/>
    <w:rsid w:val="0ABE2B86"/>
    <w:rsid w:val="0AC63634"/>
    <w:rsid w:val="0AC8BA61"/>
    <w:rsid w:val="0AD0E3F3"/>
    <w:rsid w:val="0AD827DB"/>
    <w:rsid w:val="0AE4FC7D"/>
    <w:rsid w:val="0AE5BA63"/>
    <w:rsid w:val="0AEB3512"/>
    <w:rsid w:val="0AF10D33"/>
    <w:rsid w:val="0AF5C316"/>
    <w:rsid w:val="0AF858D6"/>
    <w:rsid w:val="0AFDE942"/>
    <w:rsid w:val="0AFDFAD1"/>
    <w:rsid w:val="0AFF1832"/>
    <w:rsid w:val="0B0076AD"/>
    <w:rsid w:val="0B038AEF"/>
    <w:rsid w:val="0B042E44"/>
    <w:rsid w:val="0B048934"/>
    <w:rsid w:val="0B088241"/>
    <w:rsid w:val="0B0CAF9E"/>
    <w:rsid w:val="0B0E5986"/>
    <w:rsid w:val="0B14231C"/>
    <w:rsid w:val="0B15423E"/>
    <w:rsid w:val="0B1DEB3C"/>
    <w:rsid w:val="0B21EE81"/>
    <w:rsid w:val="0B2417B3"/>
    <w:rsid w:val="0B2FF6AF"/>
    <w:rsid w:val="0B30096A"/>
    <w:rsid w:val="0B380CA4"/>
    <w:rsid w:val="0B3B97EA"/>
    <w:rsid w:val="0B3F783B"/>
    <w:rsid w:val="0B434224"/>
    <w:rsid w:val="0B44CAE0"/>
    <w:rsid w:val="0B452EDB"/>
    <w:rsid w:val="0B4685F5"/>
    <w:rsid w:val="0B47585D"/>
    <w:rsid w:val="0B48178A"/>
    <w:rsid w:val="0B4C82D4"/>
    <w:rsid w:val="0B4D93DA"/>
    <w:rsid w:val="0B4DD862"/>
    <w:rsid w:val="0B51B020"/>
    <w:rsid w:val="0B536201"/>
    <w:rsid w:val="0B551F1F"/>
    <w:rsid w:val="0B59CB17"/>
    <w:rsid w:val="0B5B1470"/>
    <w:rsid w:val="0B5B4C8E"/>
    <w:rsid w:val="0B5CDB47"/>
    <w:rsid w:val="0B5E683E"/>
    <w:rsid w:val="0B5F43B4"/>
    <w:rsid w:val="0B65D3FB"/>
    <w:rsid w:val="0B6D3541"/>
    <w:rsid w:val="0B75E1A2"/>
    <w:rsid w:val="0B7803AC"/>
    <w:rsid w:val="0B792ECA"/>
    <w:rsid w:val="0B807737"/>
    <w:rsid w:val="0B86904E"/>
    <w:rsid w:val="0B86F871"/>
    <w:rsid w:val="0B884E9F"/>
    <w:rsid w:val="0B8F125F"/>
    <w:rsid w:val="0B9110F0"/>
    <w:rsid w:val="0B93D29A"/>
    <w:rsid w:val="0B962AFD"/>
    <w:rsid w:val="0B966317"/>
    <w:rsid w:val="0B9764AE"/>
    <w:rsid w:val="0B9A0D17"/>
    <w:rsid w:val="0B9D018C"/>
    <w:rsid w:val="0BA44463"/>
    <w:rsid w:val="0BA819AB"/>
    <w:rsid w:val="0BADA27E"/>
    <w:rsid w:val="0BAFA28D"/>
    <w:rsid w:val="0BB3B713"/>
    <w:rsid w:val="0BB97C23"/>
    <w:rsid w:val="0BBE36DF"/>
    <w:rsid w:val="0BC54632"/>
    <w:rsid w:val="0BD07876"/>
    <w:rsid w:val="0BD47E21"/>
    <w:rsid w:val="0BE04A54"/>
    <w:rsid w:val="0BE2720B"/>
    <w:rsid w:val="0BE33002"/>
    <w:rsid w:val="0BE4151F"/>
    <w:rsid w:val="0BF1EEA5"/>
    <w:rsid w:val="0BF21503"/>
    <w:rsid w:val="0BF4C464"/>
    <w:rsid w:val="0BF8A8F5"/>
    <w:rsid w:val="0C07E704"/>
    <w:rsid w:val="0C0C3890"/>
    <w:rsid w:val="0C152794"/>
    <w:rsid w:val="0C1AFF0B"/>
    <w:rsid w:val="0C1BA576"/>
    <w:rsid w:val="0C225381"/>
    <w:rsid w:val="0C24240F"/>
    <w:rsid w:val="0C26329F"/>
    <w:rsid w:val="0C2A752D"/>
    <w:rsid w:val="0C332C16"/>
    <w:rsid w:val="0C3411A0"/>
    <w:rsid w:val="0C36091F"/>
    <w:rsid w:val="0C38B318"/>
    <w:rsid w:val="0C3F82FC"/>
    <w:rsid w:val="0C401D23"/>
    <w:rsid w:val="0C42FC83"/>
    <w:rsid w:val="0C4363BC"/>
    <w:rsid w:val="0C437455"/>
    <w:rsid w:val="0C4AABCA"/>
    <w:rsid w:val="0C4BEF67"/>
    <w:rsid w:val="0C520D7D"/>
    <w:rsid w:val="0C5EB346"/>
    <w:rsid w:val="0C5F2947"/>
    <w:rsid w:val="0C5F77E4"/>
    <w:rsid w:val="0C62AE00"/>
    <w:rsid w:val="0C647B21"/>
    <w:rsid w:val="0C648A57"/>
    <w:rsid w:val="0C65DA0E"/>
    <w:rsid w:val="0C67E448"/>
    <w:rsid w:val="0C694E26"/>
    <w:rsid w:val="0C7142BF"/>
    <w:rsid w:val="0C71BCF9"/>
    <w:rsid w:val="0C72B979"/>
    <w:rsid w:val="0C74250C"/>
    <w:rsid w:val="0C756132"/>
    <w:rsid w:val="0C779BD0"/>
    <w:rsid w:val="0C7C0BAA"/>
    <w:rsid w:val="0C7C45CC"/>
    <w:rsid w:val="0C845533"/>
    <w:rsid w:val="0C88652D"/>
    <w:rsid w:val="0C89A4A2"/>
    <w:rsid w:val="0C906E7E"/>
    <w:rsid w:val="0C95EA9E"/>
    <w:rsid w:val="0C991885"/>
    <w:rsid w:val="0C9C0616"/>
    <w:rsid w:val="0C9F566C"/>
    <w:rsid w:val="0CA159F7"/>
    <w:rsid w:val="0CA213FE"/>
    <w:rsid w:val="0CA2215C"/>
    <w:rsid w:val="0CA38033"/>
    <w:rsid w:val="0CA65A67"/>
    <w:rsid w:val="0CB29974"/>
    <w:rsid w:val="0CB6666C"/>
    <w:rsid w:val="0CBD0242"/>
    <w:rsid w:val="0CC4643C"/>
    <w:rsid w:val="0CD3F77C"/>
    <w:rsid w:val="0CD4242F"/>
    <w:rsid w:val="0CD597E2"/>
    <w:rsid w:val="0CD8580D"/>
    <w:rsid w:val="0CE19DAF"/>
    <w:rsid w:val="0CE346E7"/>
    <w:rsid w:val="0CE78327"/>
    <w:rsid w:val="0CE97705"/>
    <w:rsid w:val="0CE9E4EE"/>
    <w:rsid w:val="0CEE9C3F"/>
    <w:rsid w:val="0CF58AD3"/>
    <w:rsid w:val="0CFF878C"/>
    <w:rsid w:val="0D0CE077"/>
    <w:rsid w:val="0D14E9C0"/>
    <w:rsid w:val="0D155F85"/>
    <w:rsid w:val="0D212A30"/>
    <w:rsid w:val="0D24E5B0"/>
    <w:rsid w:val="0D290E49"/>
    <w:rsid w:val="0D2B6184"/>
    <w:rsid w:val="0D2BB2C4"/>
    <w:rsid w:val="0D2E1561"/>
    <w:rsid w:val="0D2F1BCF"/>
    <w:rsid w:val="0D3A2DC1"/>
    <w:rsid w:val="0D40FD67"/>
    <w:rsid w:val="0D43ABD0"/>
    <w:rsid w:val="0D45CF11"/>
    <w:rsid w:val="0D4AB038"/>
    <w:rsid w:val="0D4BB65B"/>
    <w:rsid w:val="0D4CC9B7"/>
    <w:rsid w:val="0D4D4230"/>
    <w:rsid w:val="0D507231"/>
    <w:rsid w:val="0D5584A8"/>
    <w:rsid w:val="0D5AD9CA"/>
    <w:rsid w:val="0D616BBC"/>
    <w:rsid w:val="0D632A8B"/>
    <w:rsid w:val="0D6B01BC"/>
    <w:rsid w:val="0D71225A"/>
    <w:rsid w:val="0D74D851"/>
    <w:rsid w:val="0D7A45B9"/>
    <w:rsid w:val="0D823EB6"/>
    <w:rsid w:val="0D847AAE"/>
    <w:rsid w:val="0D87C46D"/>
    <w:rsid w:val="0D94603D"/>
    <w:rsid w:val="0D974330"/>
    <w:rsid w:val="0D982E52"/>
    <w:rsid w:val="0D9D02CA"/>
    <w:rsid w:val="0DA48B73"/>
    <w:rsid w:val="0DAD9205"/>
    <w:rsid w:val="0DAF24D8"/>
    <w:rsid w:val="0DB4D021"/>
    <w:rsid w:val="0DB537FD"/>
    <w:rsid w:val="0DB6F10E"/>
    <w:rsid w:val="0DB86FDD"/>
    <w:rsid w:val="0DB9388F"/>
    <w:rsid w:val="0DBBB876"/>
    <w:rsid w:val="0DCEB351"/>
    <w:rsid w:val="0DDF9900"/>
    <w:rsid w:val="0DEB0154"/>
    <w:rsid w:val="0DEF1169"/>
    <w:rsid w:val="0DF1FCC5"/>
    <w:rsid w:val="0DF2C6EB"/>
    <w:rsid w:val="0DF44A06"/>
    <w:rsid w:val="0DF8AC7F"/>
    <w:rsid w:val="0DFA4339"/>
    <w:rsid w:val="0DFFF4D2"/>
    <w:rsid w:val="0E08831C"/>
    <w:rsid w:val="0E0D9B02"/>
    <w:rsid w:val="0E10508A"/>
    <w:rsid w:val="0E11FD4C"/>
    <w:rsid w:val="0E122117"/>
    <w:rsid w:val="0E129BEA"/>
    <w:rsid w:val="0E1D36E4"/>
    <w:rsid w:val="0E23AEC4"/>
    <w:rsid w:val="0E2830AE"/>
    <w:rsid w:val="0E2C9BE6"/>
    <w:rsid w:val="0E355986"/>
    <w:rsid w:val="0E398BB3"/>
    <w:rsid w:val="0E3D8B2C"/>
    <w:rsid w:val="0E3EEC31"/>
    <w:rsid w:val="0E404150"/>
    <w:rsid w:val="0E40B77C"/>
    <w:rsid w:val="0E40DB1D"/>
    <w:rsid w:val="0E448DF3"/>
    <w:rsid w:val="0E4646E1"/>
    <w:rsid w:val="0E503DD6"/>
    <w:rsid w:val="0E523214"/>
    <w:rsid w:val="0E5EAD6D"/>
    <w:rsid w:val="0E681E73"/>
    <w:rsid w:val="0E68405E"/>
    <w:rsid w:val="0E786735"/>
    <w:rsid w:val="0E7BE2C7"/>
    <w:rsid w:val="0E7D977D"/>
    <w:rsid w:val="0E7E17E9"/>
    <w:rsid w:val="0E81682D"/>
    <w:rsid w:val="0E8461F6"/>
    <w:rsid w:val="0E8640AD"/>
    <w:rsid w:val="0E8758E6"/>
    <w:rsid w:val="0E8859A0"/>
    <w:rsid w:val="0E8EFAF7"/>
    <w:rsid w:val="0E91E287"/>
    <w:rsid w:val="0E93857B"/>
    <w:rsid w:val="0E96BF80"/>
    <w:rsid w:val="0E9E33A4"/>
    <w:rsid w:val="0E9EDCDF"/>
    <w:rsid w:val="0EA09D2E"/>
    <w:rsid w:val="0EA29F7F"/>
    <w:rsid w:val="0EAE32D0"/>
    <w:rsid w:val="0EB04DE2"/>
    <w:rsid w:val="0EB2D7FE"/>
    <w:rsid w:val="0EB2F96E"/>
    <w:rsid w:val="0EB52377"/>
    <w:rsid w:val="0EB80FBD"/>
    <w:rsid w:val="0EC06924"/>
    <w:rsid w:val="0EC45CB0"/>
    <w:rsid w:val="0EC95199"/>
    <w:rsid w:val="0ED32306"/>
    <w:rsid w:val="0ED9A82C"/>
    <w:rsid w:val="0ED9B3B5"/>
    <w:rsid w:val="0EDE2E8E"/>
    <w:rsid w:val="0EDE53CE"/>
    <w:rsid w:val="0EE31C88"/>
    <w:rsid w:val="0EE4F1CD"/>
    <w:rsid w:val="0EE807DD"/>
    <w:rsid w:val="0EEF1107"/>
    <w:rsid w:val="0F030602"/>
    <w:rsid w:val="0F04EBF7"/>
    <w:rsid w:val="0F1308CA"/>
    <w:rsid w:val="0F1D62FA"/>
    <w:rsid w:val="0F1F16C9"/>
    <w:rsid w:val="0F2A5C6D"/>
    <w:rsid w:val="0F2B1560"/>
    <w:rsid w:val="0F30D6FD"/>
    <w:rsid w:val="0F34CEA8"/>
    <w:rsid w:val="0F3BF272"/>
    <w:rsid w:val="0F3D2BD7"/>
    <w:rsid w:val="0F41694B"/>
    <w:rsid w:val="0F4251FC"/>
    <w:rsid w:val="0F4970E8"/>
    <w:rsid w:val="0F4B1629"/>
    <w:rsid w:val="0F50813D"/>
    <w:rsid w:val="0F52377D"/>
    <w:rsid w:val="0F592584"/>
    <w:rsid w:val="0F5A7075"/>
    <w:rsid w:val="0F5C7D17"/>
    <w:rsid w:val="0F5DF944"/>
    <w:rsid w:val="0F5E321A"/>
    <w:rsid w:val="0F650E30"/>
    <w:rsid w:val="0F658141"/>
    <w:rsid w:val="0F6A919A"/>
    <w:rsid w:val="0F6D2E76"/>
    <w:rsid w:val="0F6EDAB3"/>
    <w:rsid w:val="0F71BEB0"/>
    <w:rsid w:val="0F7CCC56"/>
    <w:rsid w:val="0F7E403C"/>
    <w:rsid w:val="0F7FBD3A"/>
    <w:rsid w:val="0F8D0CF4"/>
    <w:rsid w:val="0F96D401"/>
    <w:rsid w:val="0F972498"/>
    <w:rsid w:val="0F9EF398"/>
    <w:rsid w:val="0FA0A849"/>
    <w:rsid w:val="0FAA0E49"/>
    <w:rsid w:val="0FACA12C"/>
    <w:rsid w:val="0FBDE30D"/>
    <w:rsid w:val="0FC16326"/>
    <w:rsid w:val="0FC52765"/>
    <w:rsid w:val="0FD09EC3"/>
    <w:rsid w:val="0FD3D5AD"/>
    <w:rsid w:val="0FD90138"/>
    <w:rsid w:val="0FDBB9E4"/>
    <w:rsid w:val="0FE0617B"/>
    <w:rsid w:val="0FE2350D"/>
    <w:rsid w:val="0FEC34EB"/>
    <w:rsid w:val="0FF63D67"/>
    <w:rsid w:val="100D5888"/>
    <w:rsid w:val="1012C7D4"/>
    <w:rsid w:val="10181236"/>
    <w:rsid w:val="101A4AF2"/>
    <w:rsid w:val="1026A175"/>
    <w:rsid w:val="102AA79C"/>
    <w:rsid w:val="10332861"/>
    <w:rsid w:val="1039906B"/>
    <w:rsid w:val="103F3E99"/>
    <w:rsid w:val="1046D94D"/>
    <w:rsid w:val="10474738"/>
    <w:rsid w:val="104A6BC5"/>
    <w:rsid w:val="10510490"/>
    <w:rsid w:val="1055515C"/>
    <w:rsid w:val="105551C5"/>
    <w:rsid w:val="10561431"/>
    <w:rsid w:val="10561ADF"/>
    <w:rsid w:val="1063C7E3"/>
    <w:rsid w:val="1069F3FE"/>
    <w:rsid w:val="106C0E6F"/>
    <w:rsid w:val="106F2024"/>
    <w:rsid w:val="107549A7"/>
    <w:rsid w:val="1079F99E"/>
    <w:rsid w:val="107E4841"/>
    <w:rsid w:val="10816910"/>
    <w:rsid w:val="1081A4D7"/>
    <w:rsid w:val="1082DA2E"/>
    <w:rsid w:val="10830AD2"/>
    <w:rsid w:val="108586EC"/>
    <w:rsid w:val="108AC44D"/>
    <w:rsid w:val="108B27FD"/>
    <w:rsid w:val="108F4A0D"/>
    <w:rsid w:val="109E0D9D"/>
    <w:rsid w:val="109E0E7F"/>
    <w:rsid w:val="10A0D659"/>
    <w:rsid w:val="10A36412"/>
    <w:rsid w:val="10A4573B"/>
    <w:rsid w:val="10A62FDC"/>
    <w:rsid w:val="10AD1C68"/>
    <w:rsid w:val="10CF06E3"/>
    <w:rsid w:val="10D48703"/>
    <w:rsid w:val="10D4D1BD"/>
    <w:rsid w:val="10DB5EF6"/>
    <w:rsid w:val="10DC6AFB"/>
    <w:rsid w:val="10E06CB2"/>
    <w:rsid w:val="10EABBE8"/>
    <w:rsid w:val="10EC5691"/>
    <w:rsid w:val="10EF5680"/>
    <w:rsid w:val="10F48FF5"/>
    <w:rsid w:val="10F65B7A"/>
    <w:rsid w:val="10FA2AFE"/>
    <w:rsid w:val="11048F3B"/>
    <w:rsid w:val="110F14CC"/>
    <w:rsid w:val="11105239"/>
    <w:rsid w:val="1111DA15"/>
    <w:rsid w:val="11179DB4"/>
    <w:rsid w:val="11183604"/>
    <w:rsid w:val="111C87EB"/>
    <w:rsid w:val="11219223"/>
    <w:rsid w:val="1124FE4D"/>
    <w:rsid w:val="112597DE"/>
    <w:rsid w:val="112AB06A"/>
    <w:rsid w:val="112C0A50"/>
    <w:rsid w:val="1137CFBD"/>
    <w:rsid w:val="114FCFC8"/>
    <w:rsid w:val="1151C08A"/>
    <w:rsid w:val="11570E78"/>
    <w:rsid w:val="1157973A"/>
    <w:rsid w:val="1158E014"/>
    <w:rsid w:val="115DAE45"/>
    <w:rsid w:val="115F528A"/>
    <w:rsid w:val="1160864F"/>
    <w:rsid w:val="11655567"/>
    <w:rsid w:val="11688982"/>
    <w:rsid w:val="1168B34F"/>
    <w:rsid w:val="116A5086"/>
    <w:rsid w:val="116AC361"/>
    <w:rsid w:val="116B2E45"/>
    <w:rsid w:val="116BB4DF"/>
    <w:rsid w:val="116F5A3B"/>
    <w:rsid w:val="117682B6"/>
    <w:rsid w:val="117BF787"/>
    <w:rsid w:val="1182C620"/>
    <w:rsid w:val="118475EA"/>
    <w:rsid w:val="1184D731"/>
    <w:rsid w:val="1188D310"/>
    <w:rsid w:val="1189DBB5"/>
    <w:rsid w:val="1189F4E1"/>
    <w:rsid w:val="118AC458"/>
    <w:rsid w:val="118BF012"/>
    <w:rsid w:val="118C751F"/>
    <w:rsid w:val="118CB71C"/>
    <w:rsid w:val="11904E24"/>
    <w:rsid w:val="1191AFEC"/>
    <w:rsid w:val="11924AE4"/>
    <w:rsid w:val="1194A72C"/>
    <w:rsid w:val="11A3817E"/>
    <w:rsid w:val="11B7727E"/>
    <w:rsid w:val="11B9C857"/>
    <w:rsid w:val="11BDCD4C"/>
    <w:rsid w:val="11BEA492"/>
    <w:rsid w:val="11BF1B56"/>
    <w:rsid w:val="11C3143C"/>
    <w:rsid w:val="11C8F687"/>
    <w:rsid w:val="11D2A21C"/>
    <w:rsid w:val="11D63A0B"/>
    <w:rsid w:val="11D6DCAA"/>
    <w:rsid w:val="11D8707A"/>
    <w:rsid w:val="11E483D1"/>
    <w:rsid w:val="11EBC485"/>
    <w:rsid w:val="11F919C0"/>
    <w:rsid w:val="11FAD279"/>
    <w:rsid w:val="11FE513E"/>
    <w:rsid w:val="12038D45"/>
    <w:rsid w:val="1205C262"/>
    <w:rsid w:val="1207202F"/>
    <w:rsid w:val="120C0558"/>
    <w:rsid w:val="120C2C55"/>
    <w:rsid w:val="120DD5C5"/>
    <w:rsid w:val="120ECA3D"/>
    <w:rsid w:val="1210F5DD"/>
    <w:rsid w:val="12140533"/>
    <w:rsid w:val="12191DDB"/>
    <w:rsid w:val="12227431"/>
    <w:rsid w:val="1224EAC3"/>
    <w:rsid w:val="12359473"/>
    <w:rsid w:val="1246D612"/>
    <w:rsid w:val="124A46C7"/>
    <w:rsid w:val="124AED32"/>
    <w:rsid w:val="124BC58C"/>
    <w:rsid w:val="124C3983"/>
    <w:rsid w:val="1250C14A"/>
    <w:rsid w:val="1257D885"/>
    <w:rsid w:val="1258B723"/>
    <w:rsid w:val="125C2284"/>
    <w:rsid w:val="125F0E6E"/>
    <w:rsid w:val="125F760D"/>
    <w:rsid w:val="1260550D"/>
    <w:rsid w:val="12675043"/>
    <w:rsid w:val="12675FAE"/>
    <w:rsid w:val="126CB226"/>
    <w:rsid w:val="1276D5A7"/>
    <w:rsid w:val="12774CD7"/>
    <w:rsid w:val="127B3286"/>
    <w:rsid w:val="127CB9BB"/>
    <w:rsid w:val="127D915D"/>
    <w:rsid w:val="128243ED"/>
    <w:rsid w:val="1284FBAD"/>
    <w:rsid w:val="1290D111"/>
    <w:rsid w:val="1292447B"/>
    <w:rsid w:val="12942CE0"/>
    <w:rsid w:val="129862FF"/>
    <w:rsid w:val="12989AD6"/>
    <w:rsid w:val="129B44BB"/>
    <w:rsid w:val="129BD658"/>
    <w:rsid w:val="12A5EB85"/>
    <w:rsid w:val="12AB4F33"/>
    <w:rsid w:val="12ACF3FA"/>
    <w:rsid w:val="12AF0E26"/>
    <w:rsid w:val="12C6B26C"/>
    <w:rsid w:val="12C76A47"/>
    <w:rsid w:val="12C96A7F"/>
    <w:rsid w:val="12D45CE7"/>
    <w:rsid w:val="12D8A13A"/>
    <w:rsid w:val="12DDFC9A"/>
    <w:rsid w:val="12DEFF64"/>
    <w:rsid w:val="12E692B9"/>
    <w:rsid w:val="12E842DC"/>
    <w:rsid w:val="12EDE5B2"/>
    <w:rsid w:val="12F0265D"/>
    <w:rsid w:val="12F2ED18"/>
    <w:rsid w:val="12F37ABD"/>
    <w:rsid w:val="12F5808E"/>
    <w:rsid w:val="1301AFE5"/>
    <w:rsid w:val="13091C77"/>
    <w:rsid w:val="13132D36"/>
    <w:rsid w:val="131A092F"/>
    <w:rsid w:val="1320619A"/>
    <w:rsid w:val="13252267"/>
    <w:rsid w:val="1328B217"/>
    <w:rsid w:val="132D0B0A"/>
    <w:rsid w:val="1331F520"/>
    <w:rsid w:val="13337716"/>
    <w:rsid w:val="1336A1D5"/>
    <w:rsid w:val="133A84FB"/>
    <w:rsid w:val="133AB8B2"/>
    <w:rsid w:val="133DAE51"/>
    <w:rsid w:val="133E435B"/>
    <w:rsid w:val="133F789E"/>
    <w:rsid w:val="1342E128"/>
    <w:rsid w:val="1352B7E3"/>
    <w:rsid w:val="1353F652"/>
    <w:rsid w:val="1354BDEE"/>
    <w:rsid w:val="135F2B82"/>
    <w:rsid w:val="136453FD"/>
    <w:rsid w:val="13747615"/>
    <w:rsid w:val="137536C6"/>
    <w:rsid w:val="137D88F7"/>
    <w:rsid w:val="1380F8E5"/>
    <w:rsid w:val="13828CF6"/>
    <w:rsid w:val="1386E623"/>
    <w:rsid w:val="1388863E"/>
    <w:rsid w:val="1388C8A3"/>
    <w:rsid w:val="138D3763"/>
    <w:rsid w:val="138EA095"/>
    <w:rsid w:val="139C32C7"/>
    <w:rsid w:val="139CE553"/>
    <w:rsid w:val="13A0F062"/>
    <w:rsid w:val="13A1A946"/>
    <w:rsid w:val="13A96D34"/>
    <w:rsid w:val="13AAB704"/>
    <w:rsid w:val="13AAE152"/>
    <w:rsid w:val="13ACDC9D"/>
    <w:rsid w:val="13BB19B7"/>
    <w:rsid w:val="13C17ED0"/>
    <w:rsid w:val="13C1B556"/>
    <w:rsid w:val="13C44E67"/>
    <w:rsid w:val="13CED947"/>
    <w:rsid w:val="13D136ED"/>
    <w:rsid w:val="13D6CE19"/>
    <w:rsid w:val="13D7171C"/>
    <w:rsid w:val="13D9C5D8"/>
    <w:rsid w:val="13DA463B"/>
    <w:rsid w:val="13DB8166"/>
    <w:rsid w:val="13DD07F6"/>
    <w:rsid w:val="13DE4A84"/>
    <w:rsid w:val="13EAC12B"/>
    <w:rsid w:val="13F1755F"/>
    <w:rsid w:val="13F7363D"/>
    <w:rsid w:val="13FB51EE"/>
    <w:rsid w:val="1400CDDD"/>
    <w:rsid w:val="140209A9"/>
    <w:rsid w:val="1404413C"/>
    <w:rsid w:val="140537C1"/>
    <w:rsid w:val="14069BCF"/>
    <w:rsid w:val="141055C3"/>
    <w:rsid w:val="14149D7A"/>
    <w:rsid w:val="1414F08E"/>
    <w:rsid w:val="1416AE29"/>
    <w:rsid w:val="141A95F4"/>
    <w:rsid w:val="1420B7D1"/>
    <w:rsid w:val="1423A8A0"/>
    <w:rsid w:val="1425357B"/>
    <w:rsid w:val="143464C3"/>
    <w:rsid w:val="143EE9EA"/>
    <w:rsid w:val="14445458"/>
    <w:rsid w:val="144DB6DB"/>
    <w:rsid w:val="144F20EF"/>
    <w:rsid w:val="1456CBF0"/>
    <w:rsid w:val="1457513D"/>
    <w:rsid w:val="145DDB0D"/>
    <w:rsid w:val="1462920B"/>
    <w:rsid w:val="14630359"/>
    <w:rsid w:val="14678614"/>
    <w:rsid w:val="146FAA3B"/>
    <w:rsid w:val="1472BAF4"/>
    <w:rsid w:val="147654E4"/>
    <w:rsid w:val="1498650A"/>
    <w:rsid w:val="149E7B25"/>
    <w:rsid w:val="14A54E51"/>
    <w:rsid w:val="14AA841E"/>
    <w:rsid w:val="14AC9F4F"/>
    <w:rsid w:val="14B79DA8"/>
    <w:rsid w:val="14C33B1D"/>
    <w:rsid w:val="14C4624F"/>
    <w:rsid w:val="14C58473"/>
    <w:rsid w:val="14C58979"/>
    <w:rsid w:val="14C6395A"/>
    <w:rsid w:val="14C67214"/>
    <w:rsid w:val="14C89EEA"/>
    <w:rsid w:val="14CCD4A6"/>
    <w:rsid w:val="14CCE21F"/>
    <w:rsid w:val="14CF401D"/>
    <w:rsid w:val="14D7B683"/>
    <w:rsid w:val="14DF0779"/>
    <w:rsid w:val="14E3863D"/>
    <w:rsid w:val="14EECF77"/>
    <w:rsid w:val="14F5E875"/>
    <w:rsid w:val="15000B15"/>
    <w:rsid w:val="1500341B"/>
    <w:rsid w:val="1504E8D7"/>
    <w:rsid w:val="15065D57"/>
    <w:rsid w:val="151B2A11"/>
    <w:rsid w:val="151DEA32"/>
    <w:rsid w:val="1524B63E"/>
    <w:rsid w:val="152BAA75"/>
    <w:rsid w:val="152DF127"/>
    <w:rsid w:val="1533DAD4"/>
    <w:rsid w:val="15394DEA"/>
    <w:rsid w:val="153C94F9"/>
    <w:rsid w:val="153ED464"/>
    <w:rsid w:val="15443FB5"/>
    <w:rsid w:val="15457D0C"/>
    <w:rsid w:val="155B71A3"/>
    <w:rsid w:val="155EA42D"/>
    <w:rsid w:val="155EB006"/>
    <w:rsid w:val="15614831"/>
    <w:rsid w:val="1561C3D1"/>
    <w:rsid w:val="1561C80B"/>
    <w:rsid w:val="1563CC0D"/>
    <w:rsid w:val="1568A680"/>
    <w:rsid w:val="156CDD6C"/>
    <w:rsid w:val="1570CF7B"/>
    <w:rsid w:val="157393A4"/>
    <w:rsid w:val="15765819"/>
    <w:rsid w:val="157989FE"/>
    <w:rsid w:val="157DC8C6"/>
    <w:rsid w:val="1588E38F"/>
    <w:rsid w:val="1593F4D7"/>
    <w:rsid w:val="15967DE9"/>
    <w:rsid w:val="1598CEAF"/>
    <w:rsid w:val="15B2BF60"/>
    <w:rsid w:val="15C1C43F"/>
    <w:rsid w:val="15C44213"/>
    <w:rsid w:val="15C71C13"/>
    <w:rsid w:val="15CA029A"/>
    <w:rsid w:val="15D7F4B9"/>
    <w:rsid w:val="15D9C4D6"/>
    <w:rsid w:val="15DF0AEF"/>
    <w:rsid w:val="15E3024D"/>
    <w:rsid w:val="15E36513"/>
    <w:rsid w:val="15E3C7A4"/>
    <w:rsid w:val="15E76D28"/>
    <w:rsid w:val="15EF185E"/>
    <w:rsid w:val="15EFB74B"/>
    <w:rsid w:val="15F059B7"/>
    <w:rsid w:val="15FBF50E"/>
    <w:rsid w:val="15FCC4AD"/>
    <w:rsid w:val="1601577E"/>
    <w:rsid w:val="1605D4D7"/>
    <w:rsid w:val="160D19F1"/>
    <w:rsid w:val="160F012A"/>
    <w:rsid w:val="16159F6C"/>
    <w:rsid w:val="1616B117"/>
    <w:rsid w:val="1618AA0B"/>
    <w:rsid w:val="161FB041"/>
    <w:rsid w:val="16257AAF"/>
    <w:rsid w:val="16293A49"/>
    <w:rsid w:val="162E5FB6"/>
    <w:rsid w:val="162F0667"/>
    <w:rsid w:val="16346EFB"/>
    <w:rsid w:val="1635027E"/>
    <w:rsid w:val="163A0188"/>
    <w:rsid w:val="163C27FB"/>
    <w:rsid w:val="1645F70A"/>
    <w:rsid w:val="16499031"/>
    <w:rsid w:val="164E7DFC"/>
    <w:rsid w:val="164EF513"/>
    <w:rsid w:val="165C76C5"/>
    <w:rsid w:val="1664D73C"/>
    <w:rsid w:val="166BBDB3"/>
    <w:rsid w:val="1670DB4B"/>
    <w:rsid w:val="167307F5"/>
    <w:rsid w:val="16781A9C"/>
    <w:rsid w:val="167C9A0C"/>
    <w:rsid w:val="168ECE30"/>
    <w:rsid w:val="168EE652"/>
    <w:rsid w:val="16901AB1"/>
    <w:rsid w:val="16979C42"/>
    <w:rsid w:val="16979E5A"/>
    <w:rsid w:val="169E2797"/>
    <w:rsid w:val="16A7D6CF"/>
    <w:rsid w:val="16A80CFF"/>
    <w:rsid w:val="16A84D42"/>
    <w:rsid w:val="16B067A1"/>
    <w:rsid w:val="16BAF543"/>
    <w:rsid w:val="16BFBFFF"/>
    <w:rsid w:val="16C17FDB"/>
    <w:rsid w:val="16D23D33"/>
    <w:rsid w:val="16DAE4F3"/>
    <w:rsid w:val="16E3E421"/>
    <w:rsid w:val="16F225E5"/>
    <w:rsid w:val="16F97503"/>
    <w:rsid w:val="16FB403F"/>
    <w:rsid w:val="17051122"/>
    <w:rsid w:val="170517A6"/>
    <w:rsid w:val="1708AE04"/>
    <w:rsid w:val="1708F0E8"/>
    <w:rsid w:val="170D9164"/>
    <w:rsid w:val="170E2115"/>
    <w:rsid w:val="170F8B94"/>
    <w:rsid w:val="1712BAA0"/>
    <w:rsid w:val="1719123D"/>
    <w:rsid w:val="171A0473"/>
    <w:rsid w:val="172E1E85"/>
    <w:rsid w:val="173CAFB5"/>
    <w:rsid w:val="173F7F48"/>
    <w:rsid w:val="17405E27"/>
    <w:rsid w:val="1741F17B"/>
    <w:rsid w:val="1748AAB9"/>
    <w:rsid w:val="174AFAE4"/>
    <w:rsid w:val="174B0F90"/>
    <w:rsid w:val="174D1994"/>
    <w:rsid w:val="17516AFF"/>
    <w:rsid w:val="175B4C12"/>
    <w:rsid w:val="175BAA07"/>
    <w:rsid w:val="176744F1"/>
    <w:rsid w:val="176A692C"/>
    <w:rsid w:val="1774DF04"/>
    <w:rsid w:val="1777F086"/>
    <w:rsid w:val="1779F618"/>
    <w:rsid w:val="177B860F"/>
    <w:rsid w:val="177B8E0D"/>
    <w:rsid w:val="177BB8A8"/>
    <w:rsid w:val="177E061B"/>
    <w:rsid w:val="1780B478"/>
    <w:rsid w:val="178A9E83"/>
    <w:rsid w:val="178D60C4"/>
    <w:rsid w:val="178EEE71"/>
    <w:rsid w:val="17930EFA"/>
    <w:rsid w:val="17963F78"/>
    <w:rsid w:val="179D0405"/>
    <w:rsid w:val="179E014D"/>
    <w:rsid w:val="17A3DDDF"/>
    <w:rsid w:val="17A75168"/>
    <w:rsid w:val="17AC8A05"/>
    <w:rsid w:val="17B51FF2"/>
    <w:rsid w:val="17BB9BDF"/>
    <w:rsid w:val="17BC0C5D"/>
    <w:rsid w:val="17BD5DFE"/>
    <w:rsid w:val="17BFAF82"/>
    <w:rsid w:val="17C77AF5"/>
    <w:rsid w:val="17CB705F"/>
    <w:rsid w:val="17CBD5D0"/>
    <w:rsid w:val="17D36F40"/>
    <w:rsid w:val="17D86E31"/>
    <w:rsid w:val="17DF52FE"/>
    <w:rsid w:val="17E15563"/>
    <w:rsid w:val="17E27991"/>
    <w:rsid w:val="17E89331"/>
    <w:rsid w:val="17E8B827"/>
    <w:rsid w:val="17ECD1FD"/>
    <w:rsid w:val="17F57515"/>
    <w:rsid w:val="17F9E63D"/>
    <w:rsid w:val="17FAB9E7"/>
    <w:rsid w:val="17FBD2A0"/>
    <w:rsid w:val="1802AB76"/>
    <w:rsid w:val="1807CBCC"/>
    <w:rsid w:val="180AEECD"/>
    <w:rsid w:val="1810BFC0"/>
    <w:rsid w:val="181BFE98"/>
    <w:rsid w:val="1821E672"/>
    <w:rsid w:val="18247B27"/>
    <w:rsid w:val="18282F32"/>
    <w:rsid w:val="1830C57C"/>
    <w:rsid w:val="183120E2"/>
    <w:rsid w:val="18391782"/>
    <w:rsid w:val="183AD418"/>
    <w:rsid w:val="1846CAB0"/>
    <w:rsid w:val="1859B4E0"/>
    <w:rsid w:val="18649146"/>
    <w:rsid w:val="18649F5F"/>
    <w:rsid w:val="186C3C0E"/>
    <w:rsid w:val="18702B49"/>
    <w:rsid w:val="1875208D"/>
    <w:rsid w:val="18870AAE"/>
    <w:rsid w:val="18896352"/>
    <w:rsid w:val="188E04D1"/>
    <w:rsid w:val="189A480F"/>
    <w:rsid w:val="189C8230"/>
    <w:rsid w:val="18A3D313"/>
    <w:rsid w:val="18A80629"/>
    <w:rsid w:val="18AB7617"/>
    <w:rsid w:val="18AC0882"/>
    <w:rsid w:val="18B2CB77"/>
    <w:rsid w:val="18C0F929"/>
    <w:rsid w:val="18C27918"/>
    <w:rsid w:val="18C7B8EF"/>
    <w:rsid w:val="18CDB690"/>
    <w:rsid w:val="18D100F4"/>
    <w:rsid w:val="18D3E4B9"/>
    <w:rsid w:val="18DC1101"/>
    <w:rsid w:val="18E33A63"/>
    <w:rsid w:val="18E84148"/>
    <w:rsid w:val="18E9C948"/>
    <w:rsid w:val="18EA0B9E"/>
    <w:rsid w:val="18EDCCA2"/>
    <w:rsid w:val="18F11302"/>
    <w:rsid w:val="18F5C8C1"/>
    <w:rsid w:val="18F61CB7"/>
    <w:rsid w:val="18F745D5"/>
    <w:rsid w:val="18F8B10C"/>
    <w:rsid w:val="18F95C21"/>
    <w:rsid w:val="19113422"/>
    <w:rsid w:val="1915C869"/>
    <w:rsid w:val="1919952A"/>
    <w:rsid w:val="191D7ED0"/>
    <w:rsid w:val="192017CB"/>
    <w:rsid w:val="19247D3F"/>
    <w:rsid w:val="192C7915"/>
    <w:rsid w:val="192CB62C"/>
    <w:rsid w:val="19338FEE"/>
    <w:rsid w:val="19366D08"/>
    <w:rsid w:val="1937B3C5"/>
    <w:rsid w:val="1938F792"/>
    <w:rsid w:val="1940165E"/>
    <w:rsid w:val="19409777"/>
    <w:rsid w:val="1944A1BD"/>
    <w:rsid w:val="19455C03"/>
    <w:rsid w:val="1947B42E"/>
    <w:rsid w:val="194CB44F"/>
    <w:rsid w:val="19558500"/>
    <w:rsid w:val="19559086"/>
    <w:rsid w:val="19582B8A"/>
    <w:rsid w:val="195C53BC"/>
    <w:rsid w:val="195EFD8E"/>
    <w:rsid w:val="19628126"/>
    <w:rsid w:val="1962C4E1"/>
    <w:rsid w:val="1967A92B"/>
    <w:rsid w:val="1970882D"/>
    <w:rsid w:val="1971BC97"/>
    <w:rsid w:val="1974C303"/>
    <w:rsid w:val="198787EE"/>
    <w:rsid w:val="1989735D"/>
    <w:rsid w:val="1989CD4F"/>
    <w:rsid w:val="198E8538"/>
    <w:rsid w:val="199316D5"/>
    <w:rsid w:val="1999CD95"/>
    <w:rsid w:val="19A2EA25"/>
    <w:rsid w:val="19A780FD"/>
    <w:rsid w:val="19A91F04"/>
    <w:rsid w:val="19A99DF1"/>
    <w:rsid w:val="19AA08F6"/>
    <w:rsid w:val="19B1E90A"/>
    <w:rsid w:val="19BAD779"/>
    <w:rsid w:val="19BE0950"/>
    <w:rsid w:val="19BEABCB"/>
    <w:rsid w:val="19BF4932"/>
    <w:rsid w:val="19C37352"/>
    <w:rsid w:val="19C72C07"/>
    <w:rsid w:val="19C9C97B"/>
    <w:rsid w:val="19D24A0B"/>
    <w:rsid w:val="19D41EEB"/>
    <w:rsid w:val="19E54EB4"/>
    <w:rsid w:val="19E62BD5"/>
    <w:rsid w:val="19E6D5E7"/>
    <w:rsid w:val="19E970FA"/>
    <w:rsid w:val="19EADC45"/>
    <w:rsid w:val="19EEFEE2"/>
    <w:rsid w:val="19F0D164"/>
    <w:rsid w:val="19F8F491"/>
    <w:rsid w:val="19F9CF0C"/>
    <w:rsid w:val="1A03D7C7"/>
    <w:rsid w:val="1A0414D7"/>
    <w:rsid w:val="1A1193F5"/>
    <w:rsid w:val="1A148E5E"/>
    <w:rsid w:val="1A1D935D"/>
    <w:rsid w:val="1A1E37D2"/>
    <w:rsid w:val="1A1EA3BC"/>
    <w:rsid w:val="1A27CF0A"/>
    <w:rsid w:val="1A285FEA"/>
    <w:rsid w:val="1A2ED6D8"/>
    <w:rsid w:val="1A2EE17B"/>
    <w:rsid w:val="1A368DDD"/>
    <w:rsid w:val="1A377628"/>
    <w:rsid w:val="1A409C15"/>
    <w:rsid w:val="1A41A3B1"/>
    <w:rsid w:val="1A430193"/>
    <w:rsid w:val="1A4B4687"/>
    <w:rsid w:val="1A4DEC68"/>
    <w:rsid w:val="1A52E78D"/>
    <w:rsid w:val="1A541701"/>
    <w:rsid w:val="1A558F63"/>
    <w:rsid w:val="1A59D29B"/>
    <w:rsid w:val="1A5BC612"/>
    <w:rsid w:val="1A5E4005"/>
    <w:rsid w:val="1A623F0F"/>
    <w:rsid w:val="1A63863B"/>
    <w:rsid w:val="1A656FE0"/>
    <w:rsid w:val="1A6AD758"/>
    <w:rsid w:val="1A6C774C"/>
    <w:rsid w:val="1A703E30"/>
    <w:rsid w:val="1A73345B"/>
    <w:rsid w:val="1A7BF376"/>
    <w:rsid w:val="1A7FA966"/>
    <w:rsid w:val="1A81B920"/>
    <w:rsid w:val="1A8202AD"/>
    <w:rsid w:val="1A82C4C3"/>
    <w:rsid w:val="1A837AC4"/>
    <w:rsid w:val="1A87A220"/>
    <w:rsid w:val="1A8B5D99"/>
    <w:rsid w:val="1A8F6677"/>
    <w:rsid w:val="1A940D9C"/>
    <w:rsid w:val="1A96C750"/>
    <w:rsid w:val="1AA0A31B"/>
    <w:rsid w:val="1AA2FC2A"/>
    <w:rsid w:val="1AA93342"/>
    <w:rsid w:val="1AAC1305"/>
    <w:rsid w:val="1AADCDF2"/>
    <w:rsid w:val="1AB2BF63"/>
    <w:rsid w:val="1AB5C663"/>
    <w:rsid w:val="1AB7860F"/>
    <w:rsid w:val="1AC1FC4B"/>
    <w:rsid w:val="1AC3496F"/>
    <w:rsid w:val="1ACB4341"/>
    <w:rsid w:val="1ACB6CC0"/>
    <w:rsid w:val="1ACBB451"/>
    <w:rsid w:val="1ACF8628"/>
    <w:rsid w:val="1AD1E04A"/>
    <w:rsid w:val="1AD7FBD6"/>
    <w:rsid w:val="1ADDF1DE"/>
    <w:rsid w:val="1ADEFCB1"/>
    <w:rsid w:val="1AE00404"/>
    <w:rsid w:val="1AE0F9DE"/>
    <w:rsid w:val="1AF14367"/>
    <w:rsid w:val="1AF192E5"/>
    <w:rsid w:val="1AF20E40"/>
    <w:rsid w:val="1AF50598"/>
    <w:rsid w:val="1B020721"/>
    <w:rsid w:val="1B051BD6"/>
    <w:rsid w:val="1B0B70D9"/>
    <w:rsid w:val="1B1DC6CC"/>
    <w:rsid w:val="1B2AA621"/>
    <w:rsid w:val="1B2BEE98"/>
    <w:rsid w:val="1B2DA52F"/>
    <w:rsid w:val="1B30F7BA"/>
    <w:rsid w:val="1B31AD1A"/>
    <w:rsid w:val="1B355072"/>
    <w:rsid w:val="1B3C2B13"/>
    <w:rsid w:val="1B3ED05F"/>
    <w:rsid w:val="1B40D776"/>
    <w:rsid w:val="1B445D8F"/>
    <w:rsid w:val="1B48FAE4"/>
    <w:rsid w:val="1B4AA59A"/>
    <w:rsid w:val="1B4C4C5F"/>
    <w:rsid w:val="1B4F81A8"/>
    <w:rsid w:val="1B58303D"/>
    <w:rsid w:val="1B5E0BB7"/>
    <w:rsid w:val="1B5EA365"/>
    <w:rsid w:val="1B64BF61"/>
    <w:rsid w:val="1B6AF418"/>
    <w:rsid w:val="1B6C2899"/>
    <w:rsid w:val="1B7469E9"/>
    <w:rsid w:val="1B77A88C"/>
    <w:rsid w:val="1B7AD64A"/>
    <w:rsid w:val="1B7BED35"/>
    <w:rsid w:val="1B7DE2ED"/>
    <w:rsid w:val="1B867E1F"/>
    <w:rsid w:val="1B87D2C9"/>
    <w:rsid w:val="1B888FD5"/>
    <w:rsid w:val="1B8F047A"/>
    <w:rsid w:val="1B90DBF8"/>
    <w:rsid w:val="1B94A1B6"/>
    <w:rsid w:val="1B9D7171"/>
    <w:rsid w:val="1B9FDE97"/>
    <w:rsid w:val="1BA0B79C"/>
    <w:rsid w:val="1BA0F8EC"/>
    <w:rsid w:val="1BAAA606"/>
    <w:rsid w:val="1BAB6719"/>
    <w:rsid w:val="1BAB7159"/>
    <w:rsid w:val="1BAD8AB0"/>
    <w:rsid w:val="1BAE38AA"/>
    <w:rsid w:val="1BB13429"/>
    <w:rsid w:val="1BB20832"/>
    <w:rsid w:val="1BB336F9"/>
    <w:rsid w:val="1BB6337B"/>
    <w:rsid w:val="1BBFE417"/>
    <w:rsid w:val="1BC2869D"/>
    <w:rsid w:val="1BC47AEC"/>
    <w:rsid w:val="1BCA95F4"/>
    <w:rsid w:val="1BD149E2"/>
    <w:rsid w:val="1BD96DEE"/>
    <w:rsid w:val="1BDEEBED"/>
    <w:rsid w:val="1BE17FCB"/>
    <w:rsid w:val="1BE254A3"/>
    <w:rsid w:val="1BE31642"/>
    <w:rsid w:val="1BE96DFC"/>
    <w:rsid w:val="1BEB833F"/>
    <w:rsid w:val="1BF76B83"/>
    <w:rsid w:val="1BFA663E"/>
    <w:rsid w:val="1BFE5E0A"/>
    <w:rsid w:val="1C037665"/>
    <w:rsid w:val="1C08BD41"/>
    <w:rsid w:val="1C1088BF"/>
    <w:rsid w:val="1C17CA0B"/>
    <w:rsid w:val="1C183CF6"/>
    <w:rsid w:val="1C1A01F6"/>
    <w:rsid w:val="1C22020B"/>
    <w:rsid w:val="1C238FFA"/>
    <w:rsid w:val="1C23AEF5"/>
    <w:rsid w:val="1C250BF3"/>
    <w:rsid w:val="1C28883B"/>
    <w:rsid w:val="1C34F12F"/>
    <w:rsid w:val="1C36407F"/>
    <w:rsid w:val="1C393999"/>
    <w:rsid w:val="1C40B8AA"/>
    <w:rsid w:val="1C4D1025"/>
    <w:rsid w:val="1C524F4B"/>
    <w:rsid w:val="1C5A2AB1"/>
    <w:rsid w:val="1C64D7E2"/>
    <w:rsid w:val="1C65A6B7"/>
    <w:rsid w:val="1C6F8C1F"/>
    <w:rsid w:val="1C7782B4"/>
    <w:rsid w:val="1C7B1347"/>
    <w:rsid w:val="1C7F2FCA"/>
    <w:rsid w:val="1C8A0376"/>
    <w:rsid w:val="1C8BD171"/>
    <w:rsid w:val="1C8DCC93"/>
    <w:rsid w:val="1C9DC9EF"/>
    <w:rsid w:val="1CA0DE07"/>
    <w:rsid w:val="1CA1066B"/>
    <w:rsid w:val="1CAD1DE7"/>
    <w:rsid w:val="1CB13444"/>
    <w:rsid w:val="1CBCF2E6"/>
    <w:rsid w:val="1CC70A10"/>
    <w:rsid w:val="1CCC1998"/>
    <w:rsid w:val="1CCC34D5"/>
    <w:rsid w:val="1CCCD214"/>
    <w:rsid w:val="1CD47633"/>
    <w:rsid w:val="1CD5F2A6"/>
    <w:rsid w:val="1CD67F04"/>
    <w:rsid w:val="1CD8C4F3"/>
    <w:rsid w:val="1CE16B04"/>
    <w:rsid w:val="1CE61809"/>
    <w:rsid w:val="1CE8E34D"/>
    <w:rsid w:val="1CEB1E94"/>
    <w:rsid w:val="1CEC341C"/>
    <w:rsid w:val="1CF06DD4"/>
    <w:rsid w:val="1CF1395A"/>
    <w:rsid w:val="1CF7AC40"/>
    <w:rsid w:val="1CFC3DDA"/>
    <w:rsid w:val="1D065AE5"/>
    <w:rsid w:val="1D0CDB1D"/>
    <w:rsid w:val="1D10E914"/>
    <w:rsid w:val="1D169117"/>
    <w:rsid w:val="1D18D644"/>
    <w:rsid w:val="1D1C4CA6"/>
    <w:rsid w:val="1D205390"/>
    <w:rsid w:val="1D294DD3"/>
    <w:rsid w:val="1D2EC86F"/>
    <w:rsid w:val="1D300541"/>
    <w:rsid w:val="1D32B4E5"/>
    <w:rsid w:val="1D348DBB"/>
    <w:rsid w:val="1D37E0A3"/>
    <w:rsid w:val="1D3B4454"/>
    <w:rsid w:val="1D3E794B"/>
    <w:rsid w:val="1D4AC671"/>
    <w:rsid w:val="1D58BF9A"/>
    <w:rsid w:val="1D649AC3"/>
    <w:rsid w:val="1D656660"/>
    <w:rsid w:val="1D657019"/>
    <w:rsid w:val="1D65DA4B"/>
    <w:rsid w:val="1D6E7692"/>
    <w:rsid w:val="1D76EBF8"/>
    <w:rsid w:val="1D797D1D"/>
    <w:rsid w:val="1D7C76CC"/>
    <w:rsid w:val="1D8831FC"/>
    <w:rsid w:val="1D8CE2B0"/>
    <w:rsid w:val="1D921E56"/>
    <w:rsid w:val="1D939973"/>
    <w:rsid w:val="1DA2E1BB"/>
    <w:rsid w:val="1DA3E07C"/>
    <w:rsid w:val="1DA5C363"/>
    <w:rsid w:val="1DB7B37E"/>
    <w:rsid w:val="1DBD37E5"/>
    <w:rsid w:val="1DC13576"/>
    <w:rsid w:val="1DC25CA8"/>
    <w:rsid w:val="1DC43531"/>
    <w:rsid w:val="1DCF7C17"/>
    <w:rsid w:val="1DD3B100"/>
    <w:rsid w:val="1DD73128"/>
    <w:rsid w:val="1DE18242"/>
    <w:rsid w:val="1DE9E172"/>
    <w:rsid w:val="1DF45A6D"/>
    <w:rsid w:val="1DF49209"/>
    <w:rsid w:val="1DFBAABD"/>
    <w:rsid w:val="1DFCBB4F"/>
    <w:rsid w:val="1DFFEBC0"/>
    <w:rsid w:val="1E06B76E"/>
    <w:rsid w:val="1E06EF49"/>
    <w:rsid w:val="1E166149"/>
    <w:rsid w:val="1E1892B4"/>
    <w:rsid w:val="1E189387"/>
    <w:rsid w:val="1E204A48"/>
    <w:rsid w:val="1E2DF4B2"/>
    <w:rsid w:val="1E2EE589"/>
    <w:rsid w:val="1E2FAEC9"/>
    <w:rsid w:val="1E3954D3"/>
    <w:rsid w:val="1E3C8B2C"/>
    <w:rsid w:val="1E46AFB5"/>
    <w:rsid w:val="1E4EEDDB"/>
    <w:rsid w:val="1E510833"/>
    <w:rsid w:val="1E5EED9D"/>
    <w:rsid w:val="1E5F686B"/>
    <w:rsid w:val="1E603511"/>
    <w:rsid w:val="1E633C26"/>
    <w:rsid w:val="1E65A490"/>
    <w:rsid w:val="1E65A5F7"/>
    <w:rsid w:val="1E7C3483"/>
    <w:rsid w:val="1E853E86"/>
    <w:rsid w:val="1E8DEEA7"/>
    <w:rsid w:val="1E93EA6C"/>
    <w:rsid w:val="1E9670FE"/>
    <w:rsid w:val="1E9D4D02"/>
    <w:rsid w:val="1EA761A2"/>
    <w:rsid w:val="1EA786D5"/>
    <w:rsid w:val="1EA81EFB"/>
    <w:rsid w:val="1EA93D7D"/>
    <w:rsid w:val="1EAACA53"/>
    <w:rsid w:val="1EAD15A9"/>
    <w:rsid w:val="1EAE8561"/>
    <w:rsid w:val="1EB6B716"/>
    <w:rsid w:val="1EB797F7"/>
    <w:rsid w:val="1EBA26F0"/>
    <w:rsid w:val="1EC72804"/>
    <w:rsid w:val="1EC9F372"/>
    <w:rsid w:val="1ECC1A46"/>
    <w:rsid w:val="1ED162D5"/>
    <w:rsid w:val="1ED2EB22"/>
    <w:rsid w:val="1EE06519"/>
    <w:rsid w:val="1EE47769"/>
    <w:rsid w:val="1EEC6069"/>
    <w:rsid w:val="1EF118AC"/>
    <w:rsid w:val="1EF4A258"/>
    <w:rsid w:val="1EF8DD50"/>
    <w:rsid w:val="1EFB1E7C"/>
    <w:rsid w:val="1EFCE62D"/>
    <w:rsid w:val="1F052296"/>
    <w:rsid w:val="1F0C9044"/>
    <w:rsid w:val="1F0E95D4"/>
    <w:rsid w:val="1F0F0FA2"/>
    <w:rsid w:val="1F12FE96"/>
    <w:rsid w:val="1F14B15C"/>
    <w:rsid w:val="1F1F9A74"/>
    <w:rsid w:val="1F2053BD"/>
    <w:rsid w:val="1F23308C"/>
    <w:rsid w:val="1F246B23"/>
    <w:rsid w:val="1F26107D"/>
    <w:rsid w:val="1F272AED"/>
    <w:rsid w:val="1F27DB6D"/>
    <w:rsid w:val="1F284D03"/>
    <w:rsid w:val="1F370670"/>
    <w:rsid w:val="1F388D1C"/>
    <w:rsid w:val="1F38BF1F"/>
    <w:rsid w:val="1F39567B"/>
    <w:rsid w:val="1F473BF8"/>
    <w:rsid w:val="1F4769A6"/>
    <w:rsid w:val="1F4B8DEE"/>
    <w:rsid w:val="1F539AC9"/>
    <w:rsid w:val="1F61FCC7"/>
    <w:rsid w:val="1F6665E6"/>
    <w:rsid w:val="1F724AF9"/>
    <w:rsid w:val="1F738876"/>
    <w:rsid w:val="1F74DF5F"/>
    <w:rsid w:val="1F78024E"/>
    <w:rsid w:val="1F78CBE5"/>
    <w:rsid w:val="1F8ECAC6"/>
    <w:rsid w:val="1F8F51BA"/>
    <w:rsid w:val="1F9B0A21"/>
    <w:rsid w:val="1FA53DAD"/>
    <w:rsid w:val="1FA60AE3"/>
    <w:rsid w:val="1FA66205"/>
    <w:rsid w:val="1FAB7E4B"/>
    <w:rsid w:val="1FAFEF7A"/>
    <w:rsid w:val="1FB63583"/>
    <w:rsid w:val="1FC758DA"/>
    <w:rsid w:val="1FCDE358"/>
    <w:rsid w:val="1FCE4A74"/>
    <w:rsid w:val="1FDA4A7F"/>
    <w:rsid w:val="1FE7D51A"/>
    <w:rsid w:val="1FEC5786"/>
    <w:rsid w:val="1FFD4C84"/>
    <w:rsid w:val="1FFF0C34"/>
    <w:rsid w:val="20008297"/>
    <w:rsid w:val="20018A35"/>
    <w:rsid w:val="20022964"/>
    <w:rsid w:val="2004F7B6"/>
    <w:rsid w:val="200BC129"/>
    <w:rsid w:val="201FA393"/>
    <w:rsid w:val="2020279A"/>
    <w:rsid w:val="2027E29E"/>
    <w:rsid w:val="20346A63"/>
    <w:rsid w:val="2038A668"/>
    <w:rsid w:val="2038D980"/>
    <w:rsid w:val="2038EAF7"/>
    <w:rsid w:val="20394BCE"/>
    <w:rsid w:val="203A07A9"/>
    <w:rsid w:val="203DC3BC"/>
    <w:rsid w:val="204A0131"/>
    <w:rsid w:val="204C2CFF"/>
    <w:rsid w:val="204D77A4"/>
    <w:rsid w:val="204F4E32"/>
    <w:rsid w:val="2053DF77"/>
    <w:rsid w:val="20595AE5"/>
    <w:rsid w:val="20599F3E"/>
    <w:rsid w:val="205AB7C9"/>
    <w:rsid w:val="205EB37B"/>
    <w:rsid w:val="205F2355"/>
    <w:rsid w:val="20600A02"/>
    <w:rsid w:val="20601CF3"/>
    <w:rsid w:val="2066BACA"/>
    <w:rsid w:val="206827C4"/>
    <w:rsid w:val="206C2853"/>
    <w:rsid w:val="20713EBC"/>
    <w:rsid w:val="2072574F"/>
    <w:rsid w:val="207C9B42"/>
    <w:rsid w:val="207EF770"/>
    <w:rsid w:val="20819B42"/>
    <w:rsid w:val="208B763C"/>
    <w:rsid w:val="20980546"/>
    <w:rsid w:val="2099E300"/>
    <w:rsid w:val="209B8F89"/>
    <w:rsid w:val="209C1527"/>
    <w:rsid w:val="20A25D52"/>
    <w:rsid w:val="20A391E4"/>
    <w:rsid w:val="20A5E2DE"/>
    <w:rsid w:val="20A75064"/>
    <w:rsid w:val="20AEF98D"/>
    <w:rsid w:val="20B43914"/>
    <w:rsid w:val="20B8320E"/>
    <w:rsid w:val="20BBBEF3"/>
    <w:rsid w:val="20BE3666"/>
    <w:rsid w:val="20C00801"/>
    <w:rsid w:val="20C4A135"/>
    <w:rsid w:val="20C639E8"/>
    <w:rsid w:val="20C77253"/>
    <w:rsid w:val="20C96379"/>
    <w:rsid w:val="20CB0F8D"/>
    <w:rsid w:val="20D42853"/>
    <w:rsid w:val="20DA76B8"/>
    <w:rsid w:val="20DAB6E3"/>
    <w:rsid w:val="20E1CF16"/>
    <w:rsid w:val="20E326ED"/>
    <w:rsid w:val="20E9958E"/>
    <w:rsid w:val="20EEE96C"/>
    <w:rsid w:val="20EF3100"/>
    <w:rsid w:val="20F19DB4"/>
    <w:rsid w:val="20F79D43"/>
    <w:rsid w:val="20FCD943"/>
    <w:rsid w:val="20FEBF43"/>
    <w:rsid w:val="2104E29C"/>
    <w:rsid w:val="210CBC14"/>
    <w:rsid w:val="21187A98"/>
    <w:rsid w:val="2119350E"/>
    <w:rsid w:val="211DF3E5"/>
    <w:rsid w:val="2121A47A"/>
    <w:rsid w:val="2126885A"/>
    <w:rsid w:val="212CDE12"/>
    <w:rsid w:val="212DD832"/>
    <w:rsid w:val="212EFBC5"/>
    <w:rsid w:val="2134B283"/>
    <w:rsid w:val="21354DC8"/>
    <w:rsid w:val="213729CA"/>
    <w:rsid w:val="213BC8CE"/>
    <w:rsid w:val="213FF6A3"/>
    <w:rsid w:val="2143CFF9"/>
    <w:rsid w:val="21443B5C"/>
    <w:rsid w:val="214BB1C0"/>
    <w:rsid w:val="2155C601"/>
    <w:rsid w:val="21568FC4"/>
    <w:rsid w:val="215D564E"/>
    <w:rsid w:val="2169AEA8"/>
    <w:rsid w:val="2169B38F"/>
    <w:rsid w:val="217198A9"/>
    <w:rsid w:val="217B1DFF"/>
    <w:rsid w:val="21873890"/>
    <w:rsid w:val="218C5328"/>
    <w:rsid w:val="218F7304"/>
    <w:rsid w:val="2196EDA3"/>
    <w:rsid w:val="219CA560"/>
    <w:rsid w:val="219FC2D5"/>
    <w:rsid w:val="21B197C8"/>
    <w:rsid w:val="21B41EF5"/>
    <w:rsid w:val="21B4202E"/>
    <w:rsid w:val="21B45158"/>
    <w:rsid w:val="21BFF464"/>
    <w:rsid w:val="21C11B12"/>
    <w:rsid w:val="21CD96F4"/>
    <w:rsid w:val="21D1C41D"/>
    <w:rsid w:val="21D1FE99"/>
    <w:rsid w:val="21D64732"/>
    <w:rsid w:val="21DB64B8"/>
    <w:rsid w:val="21DCEFAA"/>
    <w:rsid w:val="21EC222C"/>
    <w:rsid w:val="21F38096"/>
    <w:rsid w:val="21FF3445"/>
    <w:rsid w:val="2203C221"/>
    <w:rsid w:val="220A58C3"/>
    <w:rsid w:val="220CD596"/>
    <w:rsid w:val="220F3F52"/>
    <w:rsid w:val="220F89F0"/>
    <w:rsid w:val="220FCAAE"/>
    <w:rsid w:val="221DED30"/>
    <w:rsid w:val="221E0CCF"/>
    <w:rsid w:val="221EE470"/>
    <w:rsid w:val="222178F4"/>
    <w:rsid w:val="2225EB19"/>
    <w:rsid w:val="222C667B"/>
    <w:rsid w:val="2235D842"/>
    <w:rsid w:val="2236422B"/>
    <w:rsid w:val="22367F59"/>
    <w:rsid w:val="223AA059"/>
    <w:rsid w:val="223CD709"/>
    <w:rsid w:val="224374CD"/>
    <w:rsid w:val="2246F2E1"/>
    <w:rsid w:val="224D2A70"/>
    <w:rsid w:val="22568666"/>
    <w:rsid w:val="22581C3E"/>
    <w:rsid w:val="225BD862"/>
    <w:rsid w:val="225F2337"/>
    <w:rsid w:val="225F79A0"/>
    <w:rsid w:val="225F9D24"/>
    <w:rsid w:val="2262934A"/>
    <w:rsid w:val="2264234C"/>
    <w:rsid w:val="22681FA4"/>
    <w:rsid w:val="2269A4BC"/>
    <w:rsid w:val="227DFE97"/>
    <w:rsid w:val="227EF62F"/>
    <w:rsid w:val="2281A063"/>
    <w:rsid w:val="228A89AF"/>
    <w:rsid w:val="228CA2DD"/>
    <w:rsid w:val="229E94EE"/>
    <w:rsid w:val="22A52CDD"/>
    <w:rsid w:val="22A87EE8"/>
    <w:rsid w:val="22A98B4B"/>
    <w:rsid w:val="22A992DF"/>
    <w:rsid w:val="22AA9C10"/>
    <w:rsid w:val="22C6361D"/>
    <w:rsid w:val="22CBEEDD"/>
    <w:rsid w:val="22D51148"/>
    <w:rsid w:val="22D63F9A"/>
    <w:rsid w:val="22DBE16A"/>
    <w:rsid w:val="22DFF8A5"/>
    <w:rsid w:val="22E66BFA"/>
    <w:rsid w:val="22EA4CAE"/>
    <w:rsid w:val="22F036CD"/>
    <w:rsid w:val="22F41DCF"/>
    <w:rsid w:val="22F5D69D"/>
    <w:rsid w:val="22F6D467"/>
    <w:rsid w:val="22F92A06"/>
    <w:rsid w:val="2300F002"/>
    <w:rsid w:val="230E228C"/>
    <w:rsid w:val="232175C4"/>
    <w:rsid w:val="2322D3C1"/>
    <w:rsid w:val="232487F6"/>
    <w:rsid w:val="232529AD"/>
    <w:rsid w:val="232B7CAE"/>
    <w:rsid w:val="232CDD22"/>
    <w:rsid w:val="232D819F"/>
    <w:rsid w:val="232EB60D"/>
    <w:rsid w:val="23356FAB"/>
    <w:rsid w:val="2339071C"/>
    <w:rsid w:val="233E4955"/>
    <w:rsid w:val="233EAFA9"/>
    <w:rsid w:val="233F966F"/>
    <w:rsid w:val="23460EF3"/>
    <w:rsid w:val="23465B19"/>
    <w:rsid w:val="234AA5C5"/>
    <w:rsid w:val="23529F1E"/>
    <w:rsid w:val="2355858C"/>
    <w:rsid w:val="2357D7D7"/>
    <w:rsid w:val="235BB3AC"/>
    <w:rsid w:val="23601028"/>
    <w:rsid w:val="236140AB"/>
    <w:rsid w:val="23623D83"/>
    <w:rsid w:val="23648F34"/>
    <w:rsid w:val="2366C064"/>
    <w:rsid w:val="236E1D87"/>
    <w:rsid w:val="237592E4"/>
    <w:rsid w:val="237E28AB"/>
    <w:rsid w:val="23841BD2"/>
    <w:rsid w:val="238926EC"/>
    <w:rsid w:val="238C8980"/>
    <w:rsid w:val="2391B38A"/>
    <w:rsid w:val="2392646D"/>
    <w:rsid w:val="23934BD7"/>
    <w:rsid w:val="2393C5C8"/>
    <w:rsid w:val="239F4BA8"/>
    <w:rsid w:val="23A123EF"/>
    <w:rsid w:val="23A2E2A6"/>
    <w:rsid w:val="23A3C4E7"/>
    <w:rsid w:val="23AAC795"/>
    <w:rsid w:val="23B031FE"/>
    <w:rsid w:val="23B0B844"/>
    <w:rsid w:val="23B18DE7"/>
    <w:rsid w:val="23B29293"/>
    <w:rsid w:val="23B8169C"/>
    <w:rsid w:val="23BD3611"/>
    <w:rsid w:val="23C1159B"/>
    <w:rsid w:val="23C1AAA0"/>
    <w:rsid w:val="23C42FF4"/>
    <w:rsid w:val="23C50A90"/>
    <w:rsid w:val="23D836AD"/>
    <w:rsid w:val="23D838A9"/>
    <w:rsid w:val="23D923A4"/>
    <w:rsid w:val="23DA178B"/>
    <w:rsid w:val="23E1A942"/>
    <w:rsid w:val="23E2AE2D"/>
    <w:rsid w:val="23E656C0"/>
    <w:rsid w:val="23ED64E6"/>
    <w:rsid w:val="23F14F47"/>
    <w:rsid w:val="23F2ADB9"/>
    <w:rsid w:val="23F55E5A"/>
    <w:rsid w:val="23F56ACD"/>
    <w:rsid w:val="23F61DFE"/>
    <w:rsid w:val="23FA0EA4"/>
    <w:rsid w:val="23FC2CE8"/>
    <w:rsid w:val="23FCB932"/>
    <w:rsid w:val="24005E77"/>
    <w:rsid w:val="2400BAB4"/>
    <w:rsid w:val="24023874"/>
    <w:rsid w:val="2404C71E"/>
    <w:rsid w:val="2410D99A"/>
    <w:rsid w:val="2419D8FD"/>
    <w:rsid w:val="24204E41"/>
    <w:rsid w:val="24261CD0"/>
    <w:rsid w:val="2429A0B7"/>
    <w:rsid w:val="242B1B85"/>
    <w:rsid w:val="2430C3BF"/>
    <w:rsid w:val="243542CC"/>
    <w:rsid w:val="243D3ABE"/>
    <w:rsid w:val="2441409F"/>
    <w:rsid w:val="244F9EA6"/>
    <w:rsid w:val="2454AF69"/>
    <w:rsid w:val="245FF95E"/>
    <w:rsid w:val="24623BD4"/>
    <w:rsid w:val="2466E5B4"/>
    <w:rsid w:val="2469A2D4"/>
    <w:rsid w:val="246E1B90"/>
    <w:rsid w:val="246E7470"/>
    <w:rsid w:val="24743439"/>
    <w:rsid w:val="247457B8"/>
    <w:rsid w:val="247BD09D"/>
    <w:rsid w:val="247C602A"/>
    <w:rsid w:val="2485AD13"/>
    <w:rsid w:val="2487E2DF"/>
    <w:rsid w:val="248BA7BF"/>
    <w:rsid w:val="248D9BC3"/>
    <w:rsid w:val="249291D7"/>
    <w:rsid w:val="24954D93"/>
    <w:rsid w:val="2498155F"/>
    <w:rsid w:val="249B820B"/>
    <w:rsid w:val="249F4626"/>
    <w:rsid w:val="24A52021"/>
    <w:rsid w:val="24A77282"/>
    <w:rsid w:val="24A77C57"/>
    <w:rsid w:val="24AC0147"/>
    <w:rsid w:val="24B8883B"/>
    <w:rsid w:val="24B8D204"/>
    <w:rsid w:val="24B93560"/>
    <w:rsid w:val="24BC453A"/>
    <w:rsid w:val="24C65F35"/>
    <w:rsid w:val="24C7BC71"/>
    <w:rsid w:val="24C8FA4C"/>
    <w:rsid w:val="24CB8521"/>
    <w:rsid w:val="24CCBD12"/>
    <w:rsid w:val="24D0FFA6"/>
    <w:rsid w:val="24D4C8E4"/>
    <w:rsid w:val="24D602F1"/>
    <w:rsid w:val="24D6EDD1"/>
    <w:rsid w:val="24E2C2AC"/>
    <w:rsid w:val="24E40090"/>
    <w:rsid w:val="24E789AF"/>
    <w:rsid w:val="24F3B90D"/>
    <w:rsid w:val="250E506E"/>
    <w:rsid w:val="25315873"/>
    <w:rsid w:val="2534BBDA"/>
    <w:rsid w:val="25389908"/>
    <w:rsid w:val="25402D58"/>
    <w:rsid w:val="25447658"/>
    <w:rsid w:val="25452D04"/>
    <w:rsid w:val="254ABF85"/>
    <w:rsid w:val="254E0E90"/>
    <w:rsid w:val="2550C3FC"/>
    <w:rsid w:val="2552C7E2"/>
    <w:rsid w:val="2552CA6A"/>
    <w:rsid w:val="255A8C58"/>
    <w:rsid w:val="255ACBD3"/>
    <w:rsid w:val="2562F088"/>
    <w:rsid w:val="25637DD5"/>
    <w:rsid w:val="25648E27"/>
    <w:rsid w:val="256B9F8C"/>
    <w:rsid w:val="2572A6A1"/>
    <w:rsid w:val="2574742E"/>
    <w:rsid w:val="2576C1E1"/>
    <w:rsid w:val="257C0FB0"/>
    <w:rsid w:val="257C211A"/>
    <w:rsid w:val="257D9D9D"/>
    <w:rsid w:val="2583ECBA"/>
    <w:rsid w:val="2587FE45"/>
    <w:rsid w:val="2588A37F"/>
    <w:rsid w:val="2588D857"/>
    <w:rsid w:val="2589CB17"/>
    <w:rsid w:val="2589D2B8"/>
    <w:rsid w:val="258ABE6E"/>
    <w:rsid w:val="258F344F"/>
    <w:rsid w:val="2593B5E5"/>
    <w:rsid w:val="2596A82F"/>
    <w:rsid w:val="259BC18A"/>
    <w:rsid w:val="259DB4DB"/>
    <w:rsid w:val="25A33B15"/>
    <w:rsid w:val="25B375DF"/>
    <w:rsid w:val="25B394E4"/>
    <w:rsid w:val="25B849A5"/>
    <w:rsid w:val="25C62F4E"/>
    <w:rsid w:val="25D0C398"/>
    <w:rsid w:val="25D244D2"/>
    <w:rsid w:val="25D26446"/>
    <w:rsid w:val="25D4852A"/>
    <w:rsid w:val="25DF9A72"/>
    <w:rsid w:val="25E0362F"/>
    <w:rsid w:val="25E299E5"/>
    <w:rsid w:val="25E30858"/>
    <w:rsid w:val="25E344AD"/>
    <w:rsid w:val="25E38977"/>
    <w:rsid w:val="25E92EC3"/>
    <w:rsid w:val="25EF692D"/>
    <w:rsid w:val="25EFEC58"/>
    <w:rsid w:val="25F648AF"/>
    <w:rsid w:val="25F9457A"/>
    <w:rsid w:val="2601A321"/>
    <w:rsid w:val="2603685E"/>
    <w:rsid w:val="2604B6F7"/>
    <w:rsid w:val="2609D05F"/>
    <w:rsid w:val="260BDD90"/>
    <w:rsid w:val="260F3A29"/>
    <w:rsid w:val="261D0A09"/>
    <w:rsid w:val="2627D8DB"/>
    <w:rsid w:val="2629EA01"/>
    <w:rsid w:val="262C20A7"/>
    <w:rsid w:val="262DEF92"/>
    <w:rsid w:val="26332F0C"/>
    <w:rsid w:val="263FED45"/>
    <w:rsid w:val="265897D7"/>
    <w:rsid w:val="2658D5A8"/>
    <w:rsid w:val="2661C3C2"/>
    <w:rsid w:val="266445E7"/>
    <w:rsid w:val="266668C4"/>
    <w:rsid w:val="266EF834"/>
    <w:rsid w:val="266FDA70"/>
    <w:rsid w:val="26713D04"/>
    <w:rsid w:val="26724648"/>
    <w:rsid w:val="2680E684"/>
    <w:rsid w:val="2689334F"/>
    <w:rsid w:val="268F8933"/>
    <w:rsid w:val="2693C2CE"/>
    <w:rsid w:val="269450DA"/>
    <w:rsid w:val="269E6E62"/>
    <w:rsid w:val="269EAB6F"/>
    <w:rsid w:val="26A42861"/>
    <w:rsid w:val="26A6DA7B"/>
    <w:rsid w:val="26A83AFA"/>
    <w:rsid w:val="26AA855B"/>
    <w:rsid w:val="26B0F034"/>
    <w:rsid w:val="26B2EA20"/>
    <w:rsid w:val="26B64C41"/>
    <w:rsid w:val="26B81B5D"/>
    <w:rsid w:val="26B9657A"/>
    <w:rsid w:val="26BC31DF"/>
    <w:rsid w:val="26BCFCD6"/>
    <w:rsid w:val="26BD3474"/>
    <w:rsid w:val="26C7941B"/>
    <w:rsid w:val="26C900B4"/>
    <w:rsid w:val="26CAEFBE"/>
    <w:rsid w:val="26CB94D5"/>
    <w:rsid w:val="26CE04B4"/>
    <w:rsid w:val="26D25392"/>
    <w:rsid w:val="26D4A77B"/>
    <w:rsid w:val="26D54815"/>
    <w:rsid w:val="26DD2BB8"/>
    <w:rsid w:val="26DEB2FA"/>
    <w:rsid w:val="26DF2905"/>
    <w:rsid w:val="26E03894"/>
    <w:rsid w:val="26E63756"/>
    <w:rsid w:val="26ED2062"/>
    <w:rsid w:val="26F37B9E"/>
    <w:rsid w:val="26FE7F6A"/>
    <w:rsid w:val="27047AE9"/>
    <w:rsid w:val="2705AFC8"/>
    <w:rsid w:val="27087DDF"/>
    <w:rsid w:val="27091AF9"/>
    <w:rsid w:val="270973EE"/>
    <w:rsid w:val="270B8CEA"/>
    <w:rsid w:val="270CCDDD"/>
    <w:rsid w:val="270EFE9D"/>
    <w:rsid w:val="2714C5F6"/>
    <w:rsid w:val="271F6E8D"/>
    <w:rsid w:val="27233B44"/>
    <w:rsid w:val="2724CCDD"/>
    <w:rsid w:val="2728EF35"/>
    <w:rsid w:val="2729DBA3"/>
    <w:rsid w:val="272A142A"/>
    <w:rsid w:val="27300660"/>
    <w:rsid w:val="27335438"/>
    <w:rsid w:val="27336ED4"/>
    <w:rsid w:val="273438F2"/>
    <w:rsid w:val="273E7E9C"/>
    <w:rsid w:val="2754AAE4"/>
    <w:rsid w:val="275ADC71"/>
    <w:rsid w:val="2760CC73"/>
    <w:rsid w:val="2763D5A2"/>
    <w:rsid w:val="27737394"/>
    <w:rsid w:val="2776C20B"/>
    <w:rsid w:val="277EC90F"/>
    <w:rsid w:val="27815EFB"/>
    <w:rsid w:val="2781D146"/>
    <w:rsid w:val="2785226C"/>
    <w:rsid w:val="27890C06"/>
    <w:rsid w:val="278B4DB4"/>
    <w:rsid w:val="2791DCF5"/>
    <w:rsid w:val="2792B3F1"/>
    <w:rsid w:val="27941E13"/>
    <w:rsid w:val="2795615F"/>
    <w:rsid w:val="279B6199"/>
    <w:rsid w:val="27A0FC83"/>
    <w:rsid w:val="27A15894"/>
    <w:rsid w:val="27A1F2FA"/>
    <w:rsid w:val="27A4960D"/>
    <w:rsid w:val="27A5BB2B"/>
    <w:rsid w:val="27AA7592"/>
    <w:rsid w:val="27AB4EEA"/>
    <w:rsid w:val="27AD1DCC"/>
    <w:rsid w:val="27B54A9D"/>
    <w:rsid w:val="27BE80DA"/>
    <w:rsid w:val="27CA2CA3"/>
    <w:rsid w:val="27D042D8"/>
    <w:rsid w:val="27D674C6"/>
    <w:rsid w:val="27D9572D"/>
    <w:rsid w:val="27D973FD"/>
    <w:rsid w:val="27DDA9AF"/>
    <w:rsid w:val="27E06578"/>
    <w:rsid w:val="27EB5AEB"/>
    <w:rsid w:val="27EFD49C"/>
    <w:rsid w:val="27F18BB6"/>
    <w:rsid w:val="27F369B6"/>
    <w:rsid w:val="27F79E38"/>
    <w:rsid w:val="27F82531"/>
    <w:rsid w:val="27F884D1"/>
    <w:rsid w:val="27F9BAFB"/>
    <w:rsid w:val="27FF07DE"/>
    <w:rsid w:val="28000BDF"/>
    <w:rsid w:val="280B2710"/>
    <w:rsid w:val="2810D983"/>
    <w:rsid w:val="281C4096"/>
    <w:rsid w:val="28245BAF"/>
    <w:rsid w:val="2824901D"/>
    <w:rsid w:val="28275A9D"/>
    <w:rsid w:val="282A1718"/>
    <w:rsid w:val="282ED69E"/>
    <w:rsid w:val="2833B8F3"/>
    <w:rsid w:val="28391406"/>
    <w:rsid w:val="28404AEF"/>
    <w:rsid w:val="2844D38D"/>
    <w:rsid w:val="2845869C"/>
    <w:rsid w:val="2853036C"/>
    <w:rsid w:val="2853477D"/>
    <w:rsid w:val="28645127"/>
    <w:rsid w:val="2867843B"/>
    <w:rsid w:val="286811C4"/>
    <w:rsid w:val="2868B966"/>
    <w:rsid w:val="2868CB8B"/>
    <w:rsid w:val="286CC42D"/>
    <w:rsid w:val="28783BCA"/>
    <w:rsid w:val="287A8E8F"/>
    <w:rsid w:val="287ED865"/>
    <w:rsid w:val="287EF6DC"/>
    <w:rsid w:val="2889DBFC"/>
    <w:rsid w:val="289126E1"/>
    <w:rsid w:val="2895BFB8"/>
    <w:rsid w:val="28A3CB2B"/>
    <w:rsid w:val="28A784FD"/>
    <w:rsid w:val="28AC654D"/>
    <w:rsid w:val="28BBA7E6"/>
    <w:rsid w:val="28BBD51A"/>
    <w:rsid w:val="28BE5451"/>
    <w:rsid w:val="28C34792"/>
    <w:rsid w:val="28C9374F"/>
    <w:rsid w:val="28C9A746"/>
    <w:rsid w:val="28CDDE99"/>
    <w:rsid w:val="28D02D51"/>
    <w:rsid w:val="28DE5836"/>
    <w:rsid w:val="28E1D376"/>
    <w:rsid w:val="28E1F828"/>
    <w:rsid w:val="28E367DB"/>
    <w:rsid w:val="28E5AE89"/>
    <w:rsid w:val="28EFD585"/>
    <w:rsid w:val="28F12DFA"/>
    <w:rsid w:val="28F3BA3D"/>
    <w:rsid w:val="28FA8429"/>
    <w:rsid w:val="28FC46A0"/>
    <w:rsid w:val="28FD26F2"/>
    <w:rsid w:val="28FDCF30"/>
    <w:rsid w:val="2906D1E7"/>
    <w:rsid w:val="2910F662"/>
    <w:rsid w:val="2911BBC7"/>
    <w:rsid w:val="2911C0F3"/>
    <w:rsid w:val="292000A0"/>
    <w:rsid w:val="292111B5"/>
    <w:rsid w:val="29221D3F"/>
    <w:rsid w:val="2926872F"/>
    <w:rsid w:val="292B534A"/>
    <w:rsid w:val="292B67F5"/>
    <w:rsid w:val="292EE6AD"/>
    <w:rsid w:val="2931EA69"/>
    <w:rsid w:val="293B9C02"/>
    <w:rsid w:val="2940064C"/>
    <w:rsid w:val="29432F96"/>
    <w:rsid w:val="29464EB3"/>
    <w:rsid w:val="294C95C7"/>
    <w:rsid w:val="294FA7C3"/>
    <w:rsid w:val="295017B2"/>
    <w:rsid w:val="29518E02"/>
    <w:rsid w:val="2954BCDA"/>
    <w:rsid w:val="29564F88"/>
    <w:rsid w:val="2959338B"/>
    <w:rsid w:val="2960C431"/>
    <w:rsid w:val="2962F514"/>
    <w:rsid w:val="2965FEAF"/>
    <w:rsid w:val="29666884"/>
    <w:rsid w:val="2966B0B4"/>
    <w:rsid w:val="2969AD2E"/>
    <w:rsid w:val="296B1088"/>
    <w:rsid w:val="297F82DF"/>
    <w:rsid w:val="29807F6D"/>
    <w:rsid w:val="298616F6"/>
    <w:rsid w:val="2995E824"/>
    <w:rsid w:val="299ADB82"/>
    <w:rsid w:val="299DC842"/>
    <w:rsid w:val="29AA3230"/>
    <w:rsid w:val="29AE7775"/>
    <w:rsid w:val="29B7ECCE"/>
    <w:rsid w:val="29B9E4FA"/>
    <w:rsid w:val="29BEC9D5"/>
    <w:rsid w:val="29C5505C"/>
    <w:rsid w:val="29CBBC61"/>
    <w:rsid w:val="29CC4A36"/>
    <w:rsid w:val="29CE1650"/>
    <w:rsid w:val="29CF2D2A"/>
    <w:rsid w:val="29D36C94"/>
    <w:rsid w:val="29E155C6"/>
    <w:rsid w:val="29E48504"/>
    <w:rsid w:val="29E597DF"/>
    <w:rsid w:val="29F2BF2F"/>
    <w:rsid w:val="29F4B5D1"/>
    <w:rsid w:val="29FD5549"/>
    <w:rsid w:val="2A08F682"/>
    <w:rsid w:val="2A118AE9"/>
    <w:rsid w:val="2A131A6A"/>
    <w:rsid w:val="2A171815"/>
    <w:rsid w:val="2A171FD3"/>
    <w:rsid w:val="2A1BBBDC"/>
    <w:rsid w:val="2A20A988"/>
    <w:rsid w:val="2A2336AF"/>
    <w:rsid w:val="2A238355"/>
    <w:rsid w:val="2A265A86"/>
    <w:rsid w:val="2A2E23BE"/>
    <w:rsid w:val="2A2F8247"/>
    <w:rsid w:val="2A3A65C8"/>
    <w:rsid w:val="2A3E1BEF"/>
    <w:rsid w:val="2A3E7080"/>
    <w:rsid w:val="2A4187A3"/>
    <w:rsid w:val="2A54F587"/>
    <w:rsid w:val="2A570921"/>
    <w:rsid w:val="2A5744C6"/>
    <w:rsid w:val="2A5A2C00"/>
    <w:rsid w:val="2A5E23A4"/>
    <w:rsid w:val="2A5E419B"/>
    <w:rsid w:val="2A60F65B"/>
    <w:rsid w:val="2A6E125A"/>
    <w:rsid w:val="2A70AA6C"/>
    <w:rsid w:val="2A7192C8"/>
    <w:rsid w:val="2A71ACB2"/>
    <w:rsid w:val="2A742663"/>
    <w:rsid w:val="2A77AFA0"/>
    <w:rsid w:val="2A782D21"/>
    <w:rsid w:val="2A7D422C"/>
    <w:rsid w:val="2A864F5F"/>
    <w:rsid w:val="2A89C086"/>
    <w:rsid w:val="2A8C794C"/>
    <w:rsid w:val="2A90FD6E"/>
    <w:rsid w:val="2AA2DF78"/>
    <w:rsid w:val="2AA49C57"/>
    <w:rsid w:val="2AA63329"/>
    <w:rsid w:val="2AA8D8C4"/>
    <w:rsid w:val="2AAAC568"/>
    <w:rsid w:val="2AAF7075"/>
    <w:rsid w:val="2AC8E2F7"/>
    <w:rsid w:val="2ACFEFB8"/>
    <w:rsid w:val="2AD14EAB"/>
    <w:rsid w:val="2AD9735F"/>
    <w:rsid w:val="2ADAC280"/>
    <w:rsid w:val="2AE3442F"/>
    <w:rsid w:val="2AECA9E7"/>
    <w:rsid w:val="2AED82B5"/>
    <w:rsid w:val="2AEE9C2D"/>
    <w:rsid w:val="2AF3C2D6"/>
    <w:rsid w:val="2AFD444B"/>
    <w:rsid w:val="2AFE976E"/>
    <w:rsid w:val="2AFF1B40"/>
    <w:rsid w:val="2B0453F7"/>
    <w:rsid w:val="2B05271B"/>
    <w:rsid w:val="2B05C605"/>
    <w:rsid w:val="2B05D299"/>
    <w:rsid w:val="2B0ADE16"/>
    <w:rsid w:val="2B0C57F8"/>
    <w:rsid w:val="2B0F2844"/>
    <w:rsid w:val="2B13356F"/>
    <w:rsid w:val="2B14EFA5"/>
    <w:rsid w:val="2B18A17A"/>
    <w:rsid w:val="2B1EFDFD"/>
    <w:rsid w:val="2B26115D"/>
    <w:rsid w:val="2B280A40"/>
    <w:rsid w:val="2B30B3C5"/>
    <w:rsid w:val="2B3322A0"/>
    <w:rsid w:val="2B3626C9"/>
    <w:rsid w:val="2B3F1078"/>
    <w:rsid w:val="2B403B1A"/>
    <w:rsid w:val="2B45DF89"/>
    <w:rsid w:val="2B49D5C7"/>
    <w:rsid w:val="2B4F0EE3"/>
    <w:rsid w:val="2B510FA3"/>
    <w:rsid w:val="2B57B87B"/>
    <w:rsid w:val="2B5A6243"/>
    <w:rsid w:val="2B5CE5D4"/>
    <w:rsid w:val="2B5DF48C"/>
    <w:rsid w:val="2B63DF4B"/>
    <w:rsid w:val="2B668DF8"/>
    <w:rsid w:val="2B66CE3B"/>
    <w:rsid w:val="2B6EC888"/>
    <w:rsid w:val="2B6F8633"/>
    <w:rsid w:val="2B6F8709"/>
    <w:rsid w:val="2B70B3A2"/>
    <w:rsid w:val="2B713BD2"/>
    <w:rsid w:val="2B761E74"/>
    <w:rsid w:val="2B76A099"/>
    <w:rsid w:val="2B7C1C56"/>
    <w:rsid w:val="2B7C688F"/>
    <w:rsid w:val="2B7CD992"/>
    <w:rsid w:val="2B7EAA92"/>
    <w:rsid w:val="2B836CE5"/>
    <w:rsid w:val="2B86D440"/>
    <w:rsid w:val="2B87F1BD"/>
    <w:rsid w:val="2B8810B2"/>
    <w:rsid w:val="2B8A822A"/>
    <w:rsid w:val="2B8C74D2"/>
    <w:rsid w:val="2B97D2E0"/>
    <w:rsid w:val="2B9E1B50"/>
    <w:rsid w:val="2BA48EC8"/>
    <w:rsid w:val="2BA4E97E"/>
    <w:rsid w:val="2BA794BC"/>
    <w:rsid w:val="2BAE91CA"/>
    <w:rsid w:val="2BB96D42"/>
    <w:rsid w:val="2BC1AA66"/>
    <w:rsid w:val="2BC737D1"/>
    <w:rsid w:val="2BCBE982"/>
    <w:rsid w:val="2BCFAA8C"/>
    <w:rsid w:val="2BCFFED5"/>
    <w:rsid w:val="2BD58B02"/>
    <w:rsid w:val="2BD58DBF"/>
    <w:rsid w:val="2BD8C6E6"/>
    <w:rsid w:val="2BDB4C34"/>
    <w:rsid w:val="2BDBC4CC"/>
    <w:rsid w:val="2BDC743F"/>
    <w:rsid w:val="2BDD9A71"/>
    <w:rsid w:val="2BE0715E"/>
    <w:rsid w:val="2BE103F4"/>
    <w:rsid w:val="2BE307D7"/>
    <w:rsid w:val="2BE5B1AB"/>
    <w:rsid w:val="2BE86496"/>
    <w:rsid w:val="2BEB18A0"/>
    <w:rsid w:val="2BF180C5"/>
    <w:rsid w:val="2BF58B9E"/>
    <w:rsid w:val="2BF63F84"/>
    <w:rsid w:val="2BF96506"/>
    <w:rsid w:val="2BFCEF3B"/>
    <w:rsid w:val="2C00F8FE"/>
    <w:rsid w:val="2C011857"/>
    <w:rsid w:val="2C050BFF"/>
    <w:rsid w:val="2C0592A8"/>
    <w:rsid w:val="2C13FDA9"/>
    <w:rsid w:val="2C148E26"/>
    <w:rsid w:val="2C179F6F"/>
    <w:rsid w:val="2C197588"/>
    <w:rsid w:val="2C219097"/>
    <w:rsid w:val="2C24029E"/>
    <w:rsid w:val="2C26CC63"/>
    <w:rsid w:val="2C35E107"/>
    <w:rsid w:val="2C387ABB"/>
    <w:rsid w:val="2C39FFBB"/>
    <w:rsid w:val="2C459CDF"/>
    <w:rsid w:val="2C4F08DB"/>
    <w:rsid w:val="2C505DE2"/>
    <w:rsid w:val="2C54A709"/>
    <w:rsid w:val="2C555F8D"/>
    <w:rsid w:val="2C5692AF"/>
    <w:rsid w:val="2C56EE70"/>
    <w:rsid w:val="2C59FB21"/>
    <w:rsid w:val="2C5B37F2"/>
    <w:rsid w:val="2C5C244E"/>
    <w:rsid w:val="2C5E16F8"/>
    <w:rsid w:val="2C5FA2F3"/>
    <w:rsid w:val="2C6070F1"/>
    <w:rsid w:val="2C60CF3A"/>
    <w:rsid w:val="2C63A615"/>
    <w:rsid w:val="2C6549D7"/>
    <w:rsid w:val="2C65668D"/>
    <w:rsid w:val="2C657674"/>
    <w:rsid w:val="2C67762A"/>
    <w:rsid w:val="2C6AF39C"/>
    <w:rsid w:val="2C6BCD59"/>
    <w:rsid w:val="2C6D2DCD"/>
    <w:rsid w:val="2C703D37"/>
    <w:rsid w:val="2C74E2A9"/>
    <w:rsid w:val="2C770B48"/>
    <w:rsid w:val="2C77BBE8"/>
    <w:rsid w:val="2C7827FE"/>
    <w:rsid w:val="2C856FA2"/>
    <w:rsid w:val="2C8B4484"/>
    <w:rsid w:val="2C904EE6"/>
    <w:rsid w:val="2C997525"/>
    <w:rsid w:val="2C9FABBD"/>
    <w:rsid w:val="2CA32296"/>
    <w:rsid w:val="2CA44160"/>
    <w:rsid w:val="2CAA9EFF"/>
    <w:rsid w:val="2CB14D14"/>
    <w:rsid w:val="2CBC2A5A"/>
    <w:rsid w:val="2CC187DB"/>
    <w:rsid w:val="2CCC2CB8"/>
    <w:rsid w:val="2CD0F6EA"/>
    <w:rsid w:val="2CD1623A"/>
    <w:rsid w:val="2CD7B851"/>
    <w:rsid w:val="2CD97D75"/>
    <w:rsid w:val="2CD9DAF0"/>
    <w:rsid w:val="2CD9E4BA"/>
    <w:rsid w:val="2CDA9452"/>
    <w:rsid w:val="2CDAE917"/>
    <w:rsid w:val="2CE0188E"/>
    <w:rsid w:val="2CED7BDC"/>
    <w:rsid w:val="2CF2C675"/>
    <w:rsid w:val="2CFB53B1"/>
    <w:rsid w:val="2CFCE4CB"/>
    <w:rsid w:val="2D04375F"/>
    <w:rsid w:val="2D060FAA"/>
    <w:rsid w:val="2D0EC6A4"/>
    <w:rsid w:val="2D105316"/>
    <w:rsid w:val="2D11C31D"/>
    <w:rsid w:val="2D131F52"/>
    <w:rsid w:val="2D134AB5"/>
    <w:rsid w:val="2D1CC910"/>
    <w:rsid w:val="2D1E0B59"/>
    <w:rsid w:val="2D211E6C"/>
    <w:rsid w:val="2D2BC9A2"/>
    <w:rsid w:val="2D2D9F71"/>
    <w:rsid w:val="2D2DCB56"/>
    <w:rsid w:val="2D37DC56"/>
    <w:rsid w:val="2D394ABF"/>
    <w:rsid w:val="2D3A9B17"/>
    <w:rsid w:val="2D3E33A4"/>
    <w:rsid w:val="2D3E8B0A"/>
    <w:rsid w:val="2D4F3D4C"/>
    <w:rsid w:val="2D507264"/>
    <w:rsid w:val="2D5359D0"/>
    <w:rsid w:val="2D5A4D06"/>
    <w:rsid w:val="2D62039C"/>
    <w:rsid w:val="2D6CC89F"/>
    <w:rsid w:val="2D71A3B1"/>
    <w:rsid w:val="2D71D9A5"/>
    <w:rsid w:val="2D7F1AA1"/>
    <w:rsid w:val="2D7F9ADF"/>
    <w:rsid w:val="2D802128"/>
    <w:rsid w:val="2D81F499"/>
    <w:rsid w:val="2D8F8FF0"/>
    <w:rsid w:val="2D9C9B45"/>
    <w:rsid w:val="2D9F171D"/>
    <w:rsid w:val="2DA79205"/>
    <w:rsid w:val="2DACFA34"/>
    <w:rsid w:val="2DAD2B11"/>
    <w:rsid w:val="2DADC916"/>
    <w:rsid w:val="2DAE0902"/>
    <w:rsid w:val="2DB189A4"/>
    <w:rsid w:val="2DB3A51D"/>
    <w:rsid w:val="2DB4CE7A"/>
    <w:rsid w:val="2DB7E3C0"/>
    <w:rsid w:val="2DC4F208"/>
    <w:rsid w:val="2DCF92B5"/>
    <w:rsid w:val="2DDF574B"/>
    <w:rsid w:val="2DE262B8"/>
    <w:rsid w:val="2DEB13F8"/>
    <w:rsid w:val="2DEBAE92"/>
    <w:rsid w:val="2DFEBAF1"/>
    <w:rsid w:val="2E0B10E9"/>
    <w:rsid w:val="2E1C7EAC"/>
    <w:rsid w:val="2E1EB7F4"/>
    <w:rsid w:val="2E2189B1"/>
    <w:rsid w:val="2E28D838"/>
    <w:rsid w:val="2E2D1F7F"/>
    <w:rsid w:val="2E2D7929"/>
    <w:rsid w:val="2E31091A"/>
    <w:rsid w:val="2E320090"/>
    <w:rsid w:val="2E43B9D3"/>
    <w:rsid w:val="2E4EDD5A"/>
    <w:rsid w:val="2E51A989"/>
    <w:rsid w:val="2E52DA92"/>
    <w:rsid w:val="2E5D6DB8"/>
    <w:rsid w:val="2E5DA1A1"/>
    <w:rsid w:val="2E6012B1"/>
    <w:rsid w:val="2E65C537"/>
    <w:rsid w:val="2E665B1E"/>
    <w:rsid w:val="2E683941"/>
    <w:rsid w:val="2E699F7D"/>
    <w:rsid w:val="2E747F6C"/>
    <w:rsid w:val="2E7A2478"/>
    <w:rsid w:val="2E7AF4B3"/>
    <w:rsid w:val="2E833488"/>
    <w:rsid w:val="2E8A57AC"/>
    <w:rsid w:val="2E8C08BC"/>
    <w:rsid w:val="2E99E9FE"/>
    <w:rsid w:val="2E9B03C5"/>
    <w:rsid w:val="2E9B03CF"/>
    <w:rsid w:val="2E9CCC9A"/>
    <w:rsid w:val="2EA7C057"/>
    <w:rsid w:val="2EB67C90"/>
    <w:rsid w:val="2EB8693B"/>
    <w:rsid w:val="2EC26D4C"/>
    <w:rsid w:val="2EC344F1"/>
    <w:rsid w:val="2EC429CE"/>
    <w:rsid w:val="2ECADB71"/>
    <w:rsid w:val="2ED0529B"/>
    <w:rsid w:val="2ED7BD6E"/>
    <w:rsid w:val="2EDBBF67"/>
    <w:rsid w:val="2EDC90B7"/>
    <w:rsid w:val="2EF173FD"/>
    <w:rsid w:val="2F02EC94"/>
    <w:rsid w:val="2F03B664"/>
    <w:rsid w:val="2F03D612"/>
    <w:rsid w:val="2F0433E2"/>
    <w:rsid w:val="2F043EBD"/>
    <w:rsid w:val="2F04DC56"/>
    <w:rsid w:val="2F08C2BB"/>
    <w:rsid w:val="2F0939BA"/>
    <w:rsid w:val="2F127C72"/>
    <w:rsid w:val="2F15F493"/>
    <w:rsid w:val="2F16AD49"/>
    <w:rsid w:val="2F2311D1"/>
    <w:rsid w:val="2F2AECD5"/>
    <w:rsid w:val="2F2EE1F8"/>
    <w:rsid w:val="2F31B446"/>
    <w:rsid w:val="2F3C2B9C"/>
    <w:rsid w:val="2F3E9731"/>
    <w:rsid w:val="2F4120A2"/>
    <w:rsid w:val="2F49D7B9"/>
    <w:rsid w:val="2F4E12C3"/>
    <w:rsid w:val="2F4E2EB0"/>
    <w:rsid w:val="2F5119EF"/>
    <w:rsid w:val="2F59BE3D"/>
    <w:rsid w:val="2F5F3485"/>
    <w:rsid w:val="2F6220AE"/>
    <w:rsid w:val="2F63C30F"/>
    <w:rsid w:val="2F63F34E"/>
    <w:rsid w:val="2F66946B"/>
    <w:rsid w:val="2F7F1430"/>
    <w:rsid w:val="2F7F2F92"/>
    <w:rsid w:val="2F88967A"/>
    <w:rsid w:val="2F920947"/>
    <w:rsid w:val="2F9765D0"/>
    <w:rsid w:val="2F9CE892"/>
    <w:rsid w:val="2FA209CD"/>
    <w:rsid w:val="2FA27220"/>
    <w:rsid w:val="2FAE5756"/>
    <w:rsid w:val="2FB165FE"/>
    <w:rsid w:val="2FB1F6FC"/>
    <w:rsid w:val="2FBDA157"/>
    <w:rsid w:val="2FBECBCB"/>
    <w:rsid w:val="2FC5CCA7"/>
    <w:rsid w:val="2FC8089A"/>
    <w:rsid w:val="2FCCBEC0"/>
    <w:rsid w:val="2FCCD606"/>
    <w:rsid w:val="2FCE5C5C"/>
    <w:rsid w:val="2FD1EE08"/>
    <w:rsid w:val="2FD34087"/>
    <w:rsid w:val="2FD4C646"/>
    <w:rsid w:val="2FD65976"/>
    <w:rsid w:val="2FDB38A5"/>
    <w:rsid w:val="2FDB9114"/>
    <w:rsid w:val="2FDBA112"/>
    <w:rsid w:val="2FE4075E"/>
    <w:rsid w:val="2FE8D896"/>
    <w:rsid w:val="2FEBF6D4"/>
    <w:rsid w:val="2FEFDDFF"/>
    <w:rsid w:val="2FF60456"/>
    <w:rsid w:val="2FF83A10"/>
    <w:rsid w:val="2FF930B0"/>
    <w:rsid w:val="2FFEDFB3"/>
    <w:rsid w:val="2FFFBA2F"/>
    <w:rsid w:val="300502CC"/>
    <w:rsid w:val="3012771C"/>
    <w:rsid w:val="301CA6D2"/>
    <w:rsid w:val="301F9BDC"/>
    <w:rsid w:val="302145C4"/>
    <w:rsid w:val="3021EF0B"/>
    <w:rsid w:val="3025E30B"/>
    <w:rsid w:val="30286C85"/>
    <w:rsid w:val="302C34D4"/>
    <w:rsid w:val="302FFF1B"/>
    <w:rsid w:val="303427DA"/>
    <w:rsid w:val="3036D3AC"/>
    <w:rsid w:val="3039A96D"/>
    <w:rsid w:val="3039E879"/>
    <w:rsid w:val="303A1150"/>
    <w:rsid w:val="3040F84F"/>
    <w:rsid w:val="30497E01"/>
    <w:rsid w:val="304D192F"/>
    <w:rsid w:val="30532E25"/>
    <w:rsid w:val="3056101E"/>
    <w:rsid w:val="30564891"/>
    <w:rsid w:val="305810CE"/>
    <w:rsid w:val="305963A5"/>
    <w:rsid w:val="306019D6"/>
    <w:rsid w:val="3065798B"/>
    <w:rsid w:val="306F8E31"/>
    <w:rsid w:val="3070B7CC"/>
    <w:rsid w:val="3076300B"/>
    <w:rsid w:val="307E9D1A"/>
    <w:rsid w:val="3086114D"/>
    <w:rsid w:val="30893E06"/>
    <w:rsid w:val="3089CC0E"/>
    <w:rsid w:val="308B6EA1"/>
    <w:rsid w:val="308D6D5A"/>
    <w:rsid w:val="308DBFFE"/>
    <w:rsid w:val="3096486B"/>
    <w:rsid w:val="309E6C33"/>
    <w:rsid w:val="30A2C764"/>
    <w:rsid w:val="30A6A2DD"/>
    <w:rsid w:val="30A8B218"/>
    <w:rsid w:val="30A92FA3"/>
    <w:rsid w:val="30B0EF46"/>
    <w:rsid w:val="30B16B2B"/>
    <w:rsid w:val="30B40A73"/>
    <w:rsid w:val="30B52D7B"/>
    <w:rsid w:val="30B66AB8"/>
    <w:rsid w:val="30C7767F"/>
    <w:rsid w:val="30D2BD1E"/>
    <w:rsid w:val="30D31A2F"/>
    <w:rsid w:val="30D581F7"/>
    <w:rsid w:val="30DB7771"/>
    <w:rsid w:val="30E23C11"/>
    <w:rsid w:val="30E39364"/>
    <w:rsid w:val="30E402FB"/>
    <w:rsid w:val="30EABF76"/>
    <w:rsid w:val="30EBE1A3"/>
    <w:rsid w:val="30ECE823"/>
    <w:rsid w:val="30F1BB9B"/>
    <w:rsid w:val="30F5084A"/>
    <w:rsid w:val="30F8D0CF"/>
    <w:rsid w:val="30F91796"/>
    <w:rsid w:val="30FA03CF"/>
    <w:rsid w:val="3107F92A"/>
    <w:rsid w:val="310D3974"/>
    <w:rsid w:val="3114E925"/>
    <w:rsid w:val="311742AF"/>
    <w:rsid w:val="31218F28"/>
    <w:rsid w:val="3124CDD5"/>
    <w:rsid w:val="312BE318"/>
    <w:rsid w:val="3139235D"/>
    <w:rsid w:val="31413EDF"/>
    <w:rsid w:val="3147BDEB"/>
    <w:rsid w:val="315406EC"/>
    <w:rsid w:val="315D5A46"/>
    <w:rsid w:val="31628717"/>
    <w:rsid w:val="31662429"/>
    <w:rsid w:val="316ACEC6"/>
    <w:rsid w:val="316D3F14"/>
    <w:rsid w:val="3178A37B"/>
    <w:rsid w:val="3179F096"/>
    <w:rsid w:val="31833431"/>
    <w:rsid w:val="31890666"/>
    <w:rsid w:val="3189894E"/>
    <w:rsid w:val="318AF7D2"/>
    <w:rsid w:val="318B508A"/>
    <w:rsid w:val="318C64E2"/>
    <w:rsid w:val="318D7F21"/>
    <w:rsid w:val="318EDF36"/>
    <w:rsid w:val="318FE87C"/>
    <w:rsid w:val="319404C9"/>
    <w:rsid w:val="3194FDE6"/>
    <w:rsid w:val="3195864F"/>
    <w:rsid w:val="3196C605"/>
    <w:rsid w:val="319779BD"/>
    <w:rsid w:val="3198831D"/>
    <w:rsid w:val="31A4AFF2"/>
    <w:rsid w:val="31A953B3"/>
    <w:rsid w:val="31AB2681"/>
    <w:rsid w:val="31AB33FB"/>
    <w:rsid w:val="31AD5935"/>
    <w:rsid w:val="31ADEBEE"/>
    <w:rsid w:val="31B2362B"/>
    <w:rsid w:val="31B4EF27"/>
    <w:rsid w:val="31B64177"/>
    <w:rsid w:val="31BE81E2"/>
    <w:rsid w:val="31BF19DA"/>
    <w:rsid w:val="31C6B48C"/>
    <w:rsid w:val="31C76A88"/>
    <w:rsid w:val="31D9777A"/>
    <w:rsid w:val="31DBC583"/>
    <w:rsid w:val="31DF8B9E"/>
    <w:rsid w:val="31E26E85"/>
    <w:rsid w:val="31E533AD"/>
    <w:rsid w:val="31EA3EA0"/>
    <w:rsid w:val="31EE892A"/>
    <w:rsid w:val="31F8A818"/>
    <w:rsid w:val="31FD5F77"/>
    <w:rsid w:val="31FEC179"/>
    <w:rsid w:val="3200D095"/>
    <w:rsid w:val="320131A9"/>
    <w:rsid w:val="320200D6"/>
    <w:rsid w:val="320F0792"/>
    <w:rsid w:val="3210140A"/>
    <w:rsid w:val="3213B927"/>
    <w:rsid w:val="32161479"/>
    <w:rsid w:val="3217ACFA"/>
    <w:rsid w:val="3217BDA7"/>
    <w:rsid w:val="321F18FE"/>
    <w:rsid w:val="3225971D"/>
    <w:rsid w:val="322AAB75"/>
    <w:rsid w:val="322B405D"/>
    <w:rsid w:val="322C3635"/>
    <w:rsid w:val="3234A2F4"/>
    <w:rsid w:val="323C1CA5"/>
    <w:rsid w:val="3241FC61"/>
    <w:rsid w:val="3244754C"/>
    <w:rsid w:val="3248E09B"/>
    <w:rsid w:val="324F013B"/>
    <w:rsid w:val="324FDC6A"/>
    <w:rsid w:val="32550AA7"/>
    <w:rsid w:val="32567EE2"/>
    <w:rsid w:val="32577599"/>
    <w:rsid w:val="325F0BFB"/>
    <w:rsid w:val="325F1641"/>
    <w:rsid w:val="3260A9D8"/>
    <w:rsid w:val="326B9494"/>
    <w:rsid w:val="326BEFDE"/>
    <w:rsid w:val="326E8F04"/>
    <w:rsid w:val="327A7FA7"/>
    <w:rsid w:val="327B7742"/>
    <w:rsid w:val="32802733"/>
    <w:rsid w:val="3284449C"/>
    <w:rsid w:val="32853225"/>
    <w:rsid w:val="328786D0"/>
    <w:rsid w:val="328A1027"/>
    <w:rsid w:val="3291400A"/>
    <w:rsid w:val="32969899"/>
    <w:rsid w:val="32A0C344"/>
    <w:rsid w:val="32A71BEB"/>
    <w:rsid w:val="32A8AD5B"/>
    <w:rsid w:val="32A98DBF"/>
    <w:rsid w:val="32AA0098"/>
    <w:rsid w:val="32ABDAA3"/>
    <w:rsid w:val="32B7B232"/>
    <w:rsid w:val="32BB77DA"/>
    <w:rsid w:val="32C62E96"/>
    <w:rsid w:val="32CB0ECA"/>
    <w:rsid w:val="32CE8C38"/>
    <w:rsid w:val="32D4DCE1"/>
    <w:rsid w:val="32D67509"/>
    <w:rsid w:val="32DE0103"/>
    <w:rsid w:val="32EFC5E7"/>
    <w:rsid w:val="32F8DFFE"/>
    <w:rsid w:val="3303AD09"/>
    <w:rsid w:val="3306A6D4"/>
    <w:rsid w:val="330DAEC9"/>
    <w:rsid w:val="3316F931"/>
    <w:rsid w:val="331F6FA0"/>
    <w:rsid w:val="3320441B"/>
    <w:rsid w:val="33226175"/>
    <w:rsid w:val="33264B39"/>
    <w:rsid w:val="332E76EE"/>
    <w:rsid w:val="33363A77"/>
    <w:rsid w:val="333D7611"/>
    <w:rsid w:val="3340C8A0"/>
    <w:rsid w:val="334EF58B"/>
    <w:rsid w:val="3352E774"/>
    <w:rsid w:val="33547919"/>
    <w:rsid w:val="335A9F47"/>
    <w:rsid w:val="335E5EE6"/>
    <w:rsid w:val="335FCE4D"/>
    <w:rsid w:val="336D9367"/>
    <w:rsid w:val="3376C54F"/>
    <w:rsid w:val="33788F3E"/>
    <w:rsid w:val="33793B88"/>
    <w:rsid w:val="337B04BA"/>
    <w:rsid w:val="337C906C"/>
    <w:rsid w:val="337E8903"/>
    <w:rsid w:val="33816A0A"/>
    <w:rsid w:val="33844625"/>
    <w:rsid w:val="338B6D7C"/>
    <w:rsid w:val="3392EC7B"/>
    <w:rsid w:val="33935567"/>
    <w:rsid w:val="3397BEC9"/>
    <w:rsid w:val="339CF870"/>
    <w:rsid w:val="33A8883D"/>
    <w:rsid w:val="33A9312C"/>
    <w:rsid w:val="33AEC8C1"/>
    <w:rsid w:val="33B5C823"/>
    <w:rsid w:val="33BD8DEB"/>
    <w:rsid w:val="33C8069E"/>
    <w:rsid w:val="33C8D6A7"/>
    <w:rsid w:val="33CB8476"/>
    <w:rsid w:val="33CBF131"/>
    <w:rsid w:val="33CD9A16"/>
    <w:rsid w:val="33D55EB9"/>
    <w:rsid w:val="33D85C25"/>
    <w:rsid w:val="33E24988"/>
    <w:rsid w:val="33E89C0D"/>
    <w:rsid w:val="33EA3052"/>
    <w:rsid w:val="33F048B5"/>
    <w:rsid w:val="33F37AD5"/>
    <w:rsid w:val="33FA9A83"/>
    <w:rsid w:val="33FDA471"/>
    <w:rsid w:val="34019740"/>
    <w:rsid w:val="3402005E"/>
    <w:rsid w:val="3406468D"/>
    <w:rsid w:val="340E3567"/>
    <w:rsid w:val="340E89EE"/>
    <w:rsid w:val="34169DD4"/>
    <w:rsid w:val="3417271A"/>
    <w:rsid w:val="34196B35"/>
    <w:rsid w:val="341F6B3F"/>
    <w:rsid w:val="34211EBA"/>
    <w:rsid w:val="342430B0"/>
    <w:rsid w:val="34252558"/>
    <w:rsid w:val="3427FC40"/>
    <w:rsid w:val="342BEF2B"/>
    <w:rsid w:val="342F5C71"/>
    <w:rsid w:val="34330010"/>
    <w:rsid w:val="343321E1"/>
    <w:rsid w:val="34332AD5"/>
    <w:rsid w:val="3438999D"/>
    <w:rsid w:val="343AFFF0"/>
    <w:rsid w:val="34491195"/>
    <w:rsid w:val="344BD0D6"/>
    <w:rsid w:val="3450C5D1"/>
    <w:rsid w:val="3451C14D"/>
    <w:rsid w:val="3456172A"/>
    <w:rsid w:val="3459497D"/>
    <w:rsid w:val="345B9536"/>
    <w:rsid w:val="345C7884"/>
    <w:rsid w:val="34651E3C"/>
    <w:rsid w:val="3467261D"/>
    <w:rsid w:val="34703E65"/>
    <w:rsid w:val="34714858"/>
    <w:rsid w:val="34759B73"/>
    <w:rsid w:val="3476A447"/>
    <w:rsid w:val="347C6279"/>
    <w:rsid w:val="347DA195"/>
    <w:rsid w:val="34808ED8"/>
    <w:rsid w:val="3481BB17"/>
    <w:rsid w:val="34840B2F"/>
    <w:rsid w:val="348E4AD9"/>
    <w:rsid w:val="348ECC1F"/>
    <w:rsid w:val="34930976"/>
    <w:rsid w:val="349ACA1C"/>
    <w:rsid w:val="34A08E42"/>
    <w:rsid w:val="34A29ED6"/>
    <w:rsid w:val="34A3DD16"/>
    <w:rsid w:val="34A7ECDE"/>
    <w:rsid w:val="34ACA317"/>
    <w:rsid w:val="34ACCDD9"/>
    <w:rsid w:val="34B28A99"/>
    <w:rsid w:val="34B52773"/>
    <w:rsid w:val="34B5B47C"/>
    <w:rsid w:val="34B8395C"/>
    <w:rsid w:val="34BAEF0D"/>
    <w:rsid w:val="34C0B1DD"/>
    <w:rsid w:val="34C0C7A2"/>
    <w:rsid w:val="34C5EA6B"/>
    <w:rsid w:val="34CBD2AA"/>
    <w:rsid w:val="34D068A1"/>
    <w:rsid w:val="34D0B97C"/>
    <w:rsid w:val="34D21774"/>
    <w:rsid w:val="34D57EE8"/>
    <w:rsid w:val="34E50A32"/>
    <w:rsid w:val="34E82400"/>
    <w:rsid w:val="34E8A589"/>
    <w:rsid w:val="34E98C6E"/>
    <w:rsid w:val="34EF2B0D"/>
    <w:rsid w:val="34F000C8"/>
    <w:rsid w:val="34FA7EE2"/>
    <w:rsid w:val="3509C13C"/>
    <w:rsid w:val="3509E5D5"/>
    <w:rsid w:val="350FFBB4"/>
    <w:rsid w:val="3517BD3F"/>
    <w:rsid w:val="3525ACBC"/>
    <w:rsid w:val="352993D0"/>
    <w:rsid w:val="352EDE8C"/>
    <w:rsid w:val="35333DC4"/>
    <w:rsid w:val="353B0FF2"/>
    <w:rsid w:val="35414442"/>
    <w:rsid w:val="3541AAB4"/>
    <w:rsid w:val="35446C18"/>
    <w:rsid w:val="3553763E"/>
    <w:rsid w:val="35567EE3"/>
    <w:rsid w:val="3559D683"/>
    <w:rsid w:val="355A6EC5"/>
    <w:rsid w:val="3565F1B9"/>
    <w:rsid w:val="35749DA3"/>
    <w:rsid w:val="357638A2"/>
    <w:rsid w:val="3576DA48"/>
    <w:rsid w:val="3579A6F5"/>
    <w:rsid w:val="35817B1E"/>
    <w:rsid w:val="35863F5B"/>
    <w:rsid w:val="35972190"/>
    <w:rsid w:val="359F4D32"/>
    <w:rsid w:val="35A5B61C"/>
    <w:rsid w:val="35ACF4B9"/>
    <w:rsid w:val="35AFB49F"/>
    <w:rsid w:val="35B39398"/>
    <w:rsid w:val="35BC90AB"/>
    <w:rsid w:val="35C3C205"/>
    <w:rsid w:val="35C4D76D"/>
    <w:rsid w:val="35CF1702"/>
    <w:rsid w:val="35D16C39"/>
    <w:rsid w:val="35D8A726"/>
    <w:rsid w:val="35DBCB3C"/>
    <w:rsid w:val="35E09F3A"/>
    <w:rsid w:val="35E2FD85"/>
    <w:rsid w:val="35E7C147"/>
    <w:rsid w:val="35EF561D"/>
    <w:rsid w:val="35F0CF69"/>
    <w:rsid w:val="35F21BE0"/>
    <w:rsid w:val="35FEF7A1"/>
    <w:rsid w:val="360209C7"/>
    <w:rsid w:val="360239BE"/>
    <w:rsid w:val="3603CD6A"/>
    <w:rsid w:val="361441E2"/>
    <w:rsid w:val="3615EA4A"/>
    <w:rsid w:val="36241B83"/>
    <w:rsid w:val="3627BF3B"/>
    <w:rsid w:val="362A0A8E"/>
    <w:rsid w:val="3639627C"/>
    <w:rsid w:val="363C6DC0"/>
    <w:rsid w:val="36405437"/>
    <w:rsid w:val="364656DC"/>
    <w:rsid w:val="364A31CB"/>
    <w:rsid w:val="36505865"/>
    <w:rsid w:val="3653DECA"/>
    <w:rsid w:val="365927CE"/>
    <w:rsid w:val="365AFBF8"/>
    <w:rsid w:val="365D7222"/>
    <w:rsid w:val="3666E840"/>
    <w:rsid w:val="3667A92D"/>
    <w:rsid w:val="3669612D"/>
    <w:rsid w:val="366B65D7"/>
    <w:rsid w:val="366FC060"/>
    <w:rsid w:val="366FECFC"/>
    <w:rsid w:val="367425E5"/>
    <w:rsid w:val="3678C5EB"/>
    <w:rsid w:val="367EFC5D"/>
    <w:rsid w:val="36822015"/>
    <w:rsid w:val="368326D8"/>
    <w:rsid w:val="3685488B"/>
    <w:rsid w:val="36878F0E"/>
    <w:rsid w:val="368D51D4"/>
    <w:rsid w:val="36923263"/>
    <w:rsid w:val="3694DBD9"/>
    <w:rsid w:val="36986A41"/>
    <w:rsid w:val="369DC92B"/>
    <w:rsid w:val="369EBB7B"/>
    <w:rsid w:val="369EF61B"/>
    <w:rsid w:val="36A3225C"/>
    <w:rsid w:val="36A8ACC3"/>
    <w:rsid w:val="36AB69B4"/>
    <w:rsid w:val="36ABD9A7"/>
    <w:rsid w:val="36B9DDFE"/>
    <w:rsid w:val="36BC70AB"/>
    <w:rsid w:val="36C07884"/>
    <w:rsid w:val="36C3ADF4"/>
    <w:rsid w:val="36C87DD8"/>
    <w:rsid w:val="36D18477"/>
    <w:rsid w:val="36D3483B"/>
    <w:rsid w:val="36DDD339"/>
    <w:rsid w:val="36DE0E04"/>
    <w:rsid w:val="36E414E7"/>
    <w:rsid w:val="36EEEACC"/>
    <w:rsid w:val="36F1F01F"/>
    <w:rsid w:val="36F986EB"/>
    <w:rsid w:val="36FDA8E6"/>
    <w:rsid w:val="370B7100"/>
    <w:rsid w:val="370D2593"/>
    <w:rsid w:val="37101FFD"/>
    <w:rsid w:val="37230589"/>
    <w:rsid w:val="37237217"/>
    <w:rsid w:val="3725B9CE"/>
    <w:rsid w:val="3727979D"/>
    <w:rsid w:val="3729837B"/>
    <w:rsid w:val="37383415"/>
    <w:rsid w:val="373D5AA2"/>
    <w:rsid w:val="373F059D"/>
    <w:rsid w:val="373F9164"/>
    <w:rsid w:val="3740F0B1"/>
    <w:rsid w:val="3748E832"/>
    <w:rsid w:val="3748F6C3"/>
    <w:rsid w:val="374C33E6"/>
    <w:rsid w:val="374E6940"/>
    <w:rsid w:val="3750FAE4"/>
    <w:rsid w:val="37525452"/>
    <w:rsid w:val="37571A24"/>
    <w:rsid w:val="3757FB7B"/>
    <w:rsid w:val="375BEA48"/>
    <w:rsid w:val="376184FF"/>
    <w:rsid w:val="37626E58"/>
    <w:rsid w:val="3764D022"/>
    <w:rsid w:val="376A787B"/>
    <w:rsid w:val="376A7E5F"/>
    <w:rsid w:val="376ACB52"/>
    <w:rsid w:val="376E1A0B"/>
    <w:rsid w:val="376ED2F1"/>
    <w:rsid w:val="377782ED"/>
    <w:rsid w:val="377F10C0"/>
    <w:rsid w:val="3780CCDD"/>
    <w:rsid w:val="37818B28"/>
    <w:rsid w:val="37818B63"/>
    <w:rsid w:val="37828656"/>
    <w:rsid w:val="37840528"/>
    <w:rsid w:val="378F07D2"/>
    <w:rsid w:val="37915F42"/>
    <w:rsid w:val="37955FC1"/>
    <w:rsid w:val="3795FE00"/>
    <w:rsid w:val="379A7BE2"/>
    <w:rsid w:val="37AA9632"/>
    <w:rsid w:val="37AC8364"/>
    <w:rsid w:val="37ADED02"/>
    <w:rsid w:val="37AEF537"/>
    <w:rsid w:val="37C1676E"/>
    <w:rsid w:val="37C19F3B"/>
    <w:rsid w:val="37C1A679"/>
    <w:rsid w:val="37DC6E75"/>
    <w:rsid w:val="37DE4A53"/>
    <w:rsid w:val="37E1C59F"/>
    <w:rsid w:val="37E28904"/>
    <w:rsid w:val="37E55935"/>
    <w:rsid w:val="37E6E0F4"/>
    <w:rsid w:val="37EBDB81"/>
    <w:rsid w:val="37EC2AB0"/>
    <w:rsid w:val="37FB3AE2"/>
    <w:rsid w:val="37FF418D"/>
    <w:rsid w:val="3804CB87"/>
    <w:rsid w:val="380630F7"/>
    <w:rsid w:val="380AA590"/>
    <w:rsid w:val="380D26F4"/>
    <w:rsid w:val="380DC790"/>
    <w:rsid w:val="380E86CC"/>
    <w:rsid w:val="38125D59"/>
    <w:rsid w:val="38149BFA"/>
    <w:rsid w:val="3815866C"/>
    <w:rsid w:val="38168453"/>
    <w:rsid w:val="3817C478"/>
    <w:rsid w:val="38195753"/>
    <w:rsid w:val="381A9EE0"/>
    <w:rsid w:val="381B0860"/>
    <w:rsid w:val="381B9718"/>
    <w:rsid w:val="381C8F2D"/>
    <w:rsid w:val="381E21C6"/>
    <w:rsid w:val="3824D7FE"/>
    <w:rsid w:val="3825A67C"/>
    <w:rsid w:val="382BBAD0"/>
    <w:rsid w:val="38388895"/>
    <w:rsid w:val="38396CE0"/>
    <w:rsid w:val="3839A991"/>
    <w:rsid w:val="383A054A"/>
    <w:rsid w:val="383BC8CE"/>
    <w:rsid w:val="3841BA49"/>
    <w:rsid w:val="3841CEFA"/>
    <w:rsid w:val="38422F70"/>
    <w:rsid w:val="384F7AE1"/>
    <w:rsid w:val="3852BD06"/>
    <w:rsid w:val="3857F6BE"/>
    <w:rsid w:val="385F50DB"/>
    <w:rsid w:val="38625995"/>
    <w:rsid w:val="386D1F5B"/>
    <w:rsid w:val="386D30BE"/>
    <w:rsid w:val="387A6887"/>
    <w:rsid w:val="387A9240"/>
    <w:rsid w:val="387CD9DC"/>
    <w:rsid w:val="388008E8"/>
    <w:rsid w:val="38836588"/>
    <w:rsid w:val="388578B2"/>
    <w:rsid w:val="388675D2"/>
    <w:rsid w:val="38982DE3"/>
    <w:rsid w:val="38A0024F"/>
    <w:rsid w:val="38A063C1"/>
    <w:rsid w:val="38A164D4"/>
    <w:rsid w:val="38A32576"/>
    <w:rsid w:val="38A6DFD1"/>
    <w:rsid w:val="38B000C9"/>
    <w:rsid w:val="38B0722B"/>
    <w:rsid w:val="38C605D2"/>
    <w:rsid w:val="38C66047"/>
    <w:rsid w:val="38D04584"/>
    <w:rsid w:val="38DBC6B7"/>
    <w:rsid w:val="38DC1F87"/>
    <w:rsid w:val="38DF94A8"/>
    <w:rsid w:val="38E479F0"/>
    <w:rsid w:val="38F94DB5"/>
    <w:rsid w:val="38FE2F14"/>
    <w:rsid w:val="39035D8A"/>
    <w:rsid w:val="3903B944"/>
    <w:rsid w:val="3904B165"/>
    <w:rsid w:val="3908783C"/>
    <w:rsid w:val="3911B795"/>
    <w:rsid w:val="391372FA"/>
    <w:rsid w:val="39153658"/>
    <w:rsid w:val="3918A9EB"/>
    <w:rsid w:val="391AF6E5"/>
    <w:rsid w:val="39247FA3"/>
    <w:rsid w:val="392592FC"/>
    <w:rsid w:val="392658DB"/>
    <w:rsid w:val="3928833C"/>
    <w:rsid w:val="392BD75D"/>
    <w:rsid w:val="392D64C2"/>
    <w:rsid w:val="392DA692"/>
    <w:rsid w:val="393F6F88"/>
    <w:rsid w:val="3941E472"/>
    <w:rsid w:val="39480B36"/>
    <w:rsid w:val="39493333"/>
    <w:rsid w:val="394B22B5"/>
    <w:rsid w:val="394B94CE"/>
    <w:rsid w:val="394DEBA1"/>
    <w:rsid w:val="39521C1A"/>
    <w:rsid w:val="39523B1B"/>
    <w:rsid w:val="395561E7"/>
    <w:rsid w:val="3959F9D4"/>
    <w:rsid w:val="395CDDE6"/>
    <w:rsid w:val="395FF9F3"/>
    <w:rsid w:val="3960C3AD"/>
    <w:rsid w:val="39657B2E"/>
    <w:rsid w:val="39703A54"/>
    <w:rsid w:val="398BDC61"/>
    <w:rsid w:val="399E6DBC"/>
    <w:rsid w:val="399F1DC5"/>
    <w:rsid w:val="39A10808"/>
    <w:rsid w:val="39A195F7"/>
    <w:rsid w:val="39A9D71B"/>
    <w:rsid w:val="39B20265"/>
    <w:rsid w:val="39B8FB8D"/>
    <w:rsid w:val="39BE19CF"/>
    <w:rsid w:val="39C92DBB"/>
    <w:rsid w:val="39CCCF88"/>
    <w:rsid w:val="39CD2AB0"/>
    <w:rsid w:val="39CE2984"/>
    <w:rsid w:val="39D4AD1D"/>
    <w:rsid w:val="39D6087F"/>
    <w:rsid w:val="39DA9B2F"/>
    <w:rsid w:val="39DAB8F1"/>
    <w:rsid w:val="39DC5870"/>
    <w:rsid w:val="39DC79FC"/>
    <w:rsid w:val="39DD9EE6"/>
    <w:rsid w:val="39E2A954"/>
    <w:rsid w:val="39E50751"/>
    <w:rsid w:val="39E6CF00"/>
    <w:rsid w:val="39EFCA3B"/>
    <w:rsid w:val="39F182EB"/>
    <w:rsid w:val="39F3326B"/>
    <w:rsid w:val="39F6199B"/>
    <w:rsid w:val="39F993C5"/>
    <w:rsid w:val="39FB9849"/>
    <w:rsid w:val="39FC4B9E"/>
    <w:rsid w:val="39FC7EC7"/>
    <w:rsid w:val="3A01D3AE"/>
    <w:rsid w:val="3A0629FC"/>
    <w:rsid w:val="3A07C374"/>
    <w:rsid w:val="3A0E4FD9"/>
    <w:rsid w:val="3A0F87B9"/>
    <w:rsid w:val="3A13EFE5"/>
    <w:rsid w:val="3A14CDB9"/>
    <w:rsid w:val="3A1A37CA"/>
    <w:rsid w:val="3A1BD880"/>
    <w:rsid w:val="3A2EE9CF"/>
    <w:rsid w:val="3A309C70"/>
    <w:rsid w:val="3A30E514"/>
    <w:rsid w:val="3A36416B"/>
    <w:rsid w:val="3A37EBBC"/>
    <w:rsid w:val="3A39CA48"/>
    <w:rsid w:val="3A3C0764"/>
    <w:rsid w:val="3A408A7E"/>
    <w:rsid w:val="3A4199CD"/>
    <w:rsid w:val="3A43A03B"/>
    <w:rsid w:val="3A44B56A"/>
    <w:rsid w:val="3A4B8B59"/>
    <w:rsid w:val="3A4CD130"/>
    <w:rsid w:val="3A4E4A80"/>
    <w:rsid w:val="3A541824"/>
    <w:rsid w:val="3A56838F"/>
    <w:rsid w:val="3A596CD5"/>
    <w:rsid w:val="3A5D7268"/>
    <w:rsid w:val="3A5E1894"/>
    <w:rsid w:val="3A5EBA4E"/>
    <w:rsid w:val="3A689C59"/>
    <w:rsid w:val="3A75393F"/>
    <w:rsid w:val="3A765CE2"/>
    <w:rsid w:val="3A76E9FE"/>
    <w:rsid w:val="3A7C8313"/>
    <w:rsid w:val="3A8F23A7"/>
    <w:rsid w:val="3A9004C4"/>
    <w:rsid w:val="3A950078"/>
    <w:rsid w:val="3A96DB21"/>
    <w:rsid w:val="3A9C4BC2"/>
    <w:rsid w:val="3A9EF838"/>
    <w:rsid w:val="3AA27EB6"/>
    <w:rsid w:val="3AA6C53C"/>
    <w:rsid w:val="3AA9202D"/>
    <w:rsid w:val="3AA9B1EA"/>
    <w:rsid w:val="3AA9FE9D"/>
    <w:rsid w:val="3AAA6425"/>
    <w:rsid w:val="3AAF8957"/>
    <w:rsid w:val="3AB46088"/>
    <w:rsid w:val="3AB59334"/>
    <w:rsid w:val="3ABF2B06"/>
    <w:rsid w:val="3AC394A4"/>
    <w:rsid w:val="3AC54856"/>
    <w:rsid w:val="3ACB3581"/>
    <w:rsid w:val="3AD2AC36"/>
    <w:rsid w:val="3AD9448F"/>
    <w:rsid w:val="3ADD6BD5"/>
    <w:rsid w:val="3ADDFFF1"/>
    <w:rsid w:val="3ADE22A6"/>
    <w:rsid w:val="3ADEDDC4"/>
    <w:rsid w:val="3ADF430F"/>
    <w:rsid w:val="3AE07CCB"/>
    <w:rsid w:val="3AE52F1F"/>
    <w:rsid w:val="3AF00261"/>
    <w:rsid w:val="3B0684F4"/>
    <w:rsid w:val="3B0941D6"/>
    <w:rsid w:val="3B0D30B6"/>
    <w:rsid w:val="3B10563D"/>
    <w:rsid w:val="3B168C7D"/>
    <w:rsid w:val="3B1C845C"/>
    <w:rsid w:val="3B21FD2A"/>
    <w:rsid w:val="3B2315BF"/>
    <w:rsid w:val="3B24E73F"/>
    <w:rsid w:val="3B2B043D"/>
    <w:rsid w:val="3B2E1FB0"/>
    <w:rsid w:val="3B382CAE"/>
    <w:rsid w:val="3B3F2D7F"/>
    <w:rsid w:val="3B45E361"/>
    <w:rsid w:val="3B46B489"/>
    <w:rsid w:val="3B49D707"/>
    <w:rsid w:val="3B5F5A94"/>
    <w:rsid w:val="3B6251A8"/>
    <w:rsid w:val="3B67CAB7"/>
    <w:rsid w:val="3B67F90E"/>
    <w:rsid w:val="3B69D21A"/>
    <w:rsid w:val="3B706EDD"/>
    <w:rsid w:val="3B726DA8"/>
    <w:rsid w:val="3B781024"/>
    <w:rsid w:val="3B792F84"/>
    <w:rsid w:val="3B7CAF95"/>
    <w:rsid w:val="3B80AFAC"/>
    <w:rsid w:val="3B8109EE"/>
    <w:rsid w:val="3B8585B8"/>
    <w:rsid w:val="3B86A028"/>
    <w:rsid w:val="3B86E78D"/>
    <w:rsid w:val="3B8E8E48"/>
    <w:rsid w:val="3B97978C"/>
    <w:rsid w:val="3BA05D6D"/>
    <w:rsid w:val="3BADEE81"/>
    <w:rsid w:val="3BB6CD1E"/>
    <w:rsid w:val="3BB8D547"/>
    <w:rsid w:val="3BBF2927"/>
    <w:rsid w:val="3BCABD7D"/>
    <w:rsid w:val="3BD40F88"/>
    <w:rsid w:val="3BD71079"/>
    <w:rsid w:val="3BDBAB34"/>
    <w:rsid w:val="3BDDA739"/>
    <w:rsid w:val="3BE2AAF6"/>
    <w:rsid w:val="3BEC93BA"/>
    <w:rsid w:val="3C01BE79"/>
    <w:rsid w:val="3C0A944E"/>
    <w:rsid w:val="3C0AE14C"/>
    <w:rsid w:val="3C0C2D05"/>
    <w:rsid w:val="3C0D99A2"/>
    <w:rsid w:val="3C0DCF8B"/>
    <w:rsid w:val="3C1106D2"/>
    <w:rsid w:val="3C1D25CA"/>
    <w:rsid w:val="3C20E936"/>
    <w:rsid w:val="3C251460"/>
    <w:rsid w:val="3C2699C6"/>
    <w:rsid w:val="3C26C9CE"/>
    <w:rsid w:val="3C27BFE6"/>
    <w:rsid w:val="3C2DFA42"/>
    <w:rsid w:val="3C313AE8"/>
    <w:rsid w:val="3C32A1FF"/>
    <w:rsid w:val="3C3A0827"/>
    <w:rsid w:val="3C3ADE90"/>
    <w:rsid w:val="3C403110"/>
    <w:rsid w:val="3C4339D9"/>
    <w:rsid w:val="3C46B33A"/>
    <w:rsid w:val="3C48D742"/>
    <w:rsid w:val="3C4E843D"/>
    <w:rsid w:val="3C5093B6"/>
    <w:rsid w:val="3C55F775"/>
    <w:rsid w:val="3C5615FC"/>
    <w:rsid w:val="3C5E70DA"/>
    <w:rsid w:val="3C5F1003"/>
    <w:rsid w:val="3C6142FF"/>
    <w:rsid w:val="3C615980"/>
    <w:rsid w:val="3C639F56"/>
    <w:rsid w:val="3C642EAE"/>
    <w:rsid w:val="3C776888"/>
    <w:rsid w:val="3C88CEA8"/>
    <w:rsid w:val="3C8C6444"/>
    <w:rsid w:val="3C8EB2B9"/>
    <w:rsid w:val="3C98F1E5"/>
    <w:rsid w:val="3C9BDE1F"/>
    <w:rsid w:val="3C9D12D0"/>
    <w:rsid w:val="3C9E3C33"/>
    <w:rsid w:val="3C9EB63B"/>
    <w:rsid w:val="3CA10F47"/>
    <w:rsid w:val="3CA69B0F"/>
    <w:rsid w:val="3CA6F523"/>
    <w:rsid w:val="3CB7B035"/>
    <w:rsid w:val="3CB9EE90"/>
    <w:rsid w:val="3CBAEB05"/>
    <w:rsid w:val="3CC37C6B"/>
    <w:rsid w:val="3CC8409C"/>
    <w:rsid w:val="3CC8CFEC"/>
    <w:rsid w:val="3CCA2567"/>
    <w:rsid w:val="3CD8CC5A"/>
    <w:rsid w:val="3CDAA845"/>
    <w:rsid w:val="3CDFEF8E"/>
    <w:rsid w:val="3CE5D4CD"/>
    <w:rsid w:val="3CE7898A"/>
    <w:rsid w:val="3CE97833"/>
    <w:rsid w:val="3CF00C4C"/>
    <w:rsid w:val="3CF4FA47"/>
    <w:rsid w:val="3CFD0E17"/>
    <w:rsid w:val="3D01026E"/>
    <w:rsid w:val="3D02ECFD"/>
    <w:rsid w:val="3D0853E9"/>
    <w:rsid w:val="3D0B67CA"/>
    <w:rsid w:val="3D1E6D20"/>
    <w:rsid w:val="3D28D190"/>
    <w:rsid w:val="3D2A6275"/>
    <w:rsid w:val="3D330E2A"/>
    <w:rsid w:val="3D36013B"/>
    <w:rsid w:val="3D365681"/>
    <w:rsid w:val="3D3DD4F6"/>
    <w:rsid w:val="3D47B3AE"/>
    <w:rsid w:val="3D4B576B"/>
    <w:rsid w:val="3D532198"/>
    <w:rsid w:val="3D55D470"/>
    <w:rsid w:val="3D58FA47"/>
    <w:rsid w:val="3D60CBD5"/>
    <w:rsid w:val="3D61FBD1"/>
    <w:rsid w:val="3D656FFA"/>
    <w:rsid w:val="3D684AB5"/>
    <w:rsid w:val="3D6BE855"/>
    <w:rsid w:val="3D6E9676"/>
    <w:rsid w:val="3D70B4E7"/>
    <w:rsid w:val="3D736DF6"/>
    <w:rsid w:val="3D779154"/>
    <w:rsid w:val="3D82AA95"/>
    <w:rsid w:val="3D82D98A"/>
    <w:rsid w:val="3D8726D9"/>
    <w:rsid w:val="3D9226D0"/>
    <w:rsid w:val="3D939166"/>
    <w:rsid w:val="3D9B20BF"/>
    <w:rsid w:val="3D9F4F05"/>
    <w:rsid w:val="3D9F8D66"/>
    <w:rsid w:val="3DA67550"/>
    <w:rsid w:val="3DA71D50"/>
    <w:rsid w:val="3DA8A4A4"/>
    <w:rsid w:val="3DB0A6DA"/>
    <w:rsid w:val="3DB7513E"/>
    <w:rsid w:val="3DB9F7E2"/>
    <w:rsid w:val="3DBB6E0D"/>
    <w:rsid w:val="3DBE5A96"/>
    <w:rsid w:val="3DBFF665"/>
    <w:rsid w:val="3DC21D82"/>
    <w:rsid w:val="3DC3F8F5"/>
    <w:rsid w:val="3DC50254"/>
    <w:rsid w:val="3DD0AD3F"/>
    <w:rsid w:val="3DD2921C"/>
    <w:rsid w:val="3DD3C6E4"/>
    <w:rsid w:val="3DD4B846"/>
    <w:rsid w:val="3DDA00AD"/>
    <w:rsid w:val="3DDB0370"/>
    <w:rsid w:val="3DE13AC4"/>
    <w:rsid w:val="3DE66218"/>
    <w:rsid w:val="3DEB58E7"/>
    <w:rsid w:val="3DF0981C"/>
    <w:rsid w:val="3DF30FE9"/>
    <w:rsid w:val="3E056A17"/>
    <w:rsid w:val="3E05AF97"/>
    <w:rsid w:val="3E06E9A9"/>
    <w:rsid w:val="3E0735C0"/>
    <w:rsid w:val="3E0E7F7B"/>
    <w:rsid w:val="3E10A55E"/>
    <w:rsid w:val="3E14BEAF"/>
    <w:rsid w:val="3E15B535"/>
    <w:rsid w:val="3E1973D5"/>
    <w:rsid w:val="3E1A10C3"/>
    <w:rsid w:val="3E1CFABF"/>
    <w:rsid w:val="3E25438A"/>
    <w:rsid w:val="3E258821"/>
    <w:rsid w:val="3E26DE5B"/>
    <w:rsid w:val="3E2D9396"/>
    <w:rsid w:val="3E3D7BE8"/>
    <w:rsid w:val="3E45AE1D"/>
    <w:rsid w:val="3E47CC3B"/>
    <w:rsid w:val="3E495039"/>
    <w:rsid w:val="3E498CEC"/>
    <w:rsid w:val="3E49AD76"/>
    <w:rsid w:val="3E4D32C9"/>
    <w:rsid w:val="3E51664A"/>
    <w:rsid w:val="3E546903"/>
    <w:rsid w:val="3E56406C"/>
    <w:rsid w:val="3E5D3FCF"/>
    <w:rsid w:val="3E5F7579"/>
    <w:rsid w:val="3E628508"/>
    <w:rsid w:val="3E631F98"/>
    <w:rsid w:val="3E654488"/>
    <w:rsid w:val="3E6D462F"/>
    <w:rsid w:val="3E6E46B9"/>
    <w:rsid w:val="3E71E1C8"/>
    <w:rsid w:val="3E77A64A"/>
    <w:rsid w:val="3E791D3B"/>
    <w:rsid w:val="3E796863"/>
    <w:rsid w:val="3E79A100"/>
    <w:rsid w:val="3E7C14BF"/>
    <w:rsid w:val="3E872397"/>
    <w:rsid w:val="3E8EA1BC"/>
    <w:rsid w:val="3E9701C0"/>
    <w:rsid w:val="3E9A563C"/>
    <w:rsid w:val="3E9FD7BF"/>
    <w:rsid w:val="3EA085EA"/>
    <w:rsid w:val="3EA4F595"/>
    <w:rsid w:val="3EA5DE44"/>
    <w:rsid w:val="3EA6CC37"/>
    <w:rsid w:val="3EAFB0A3"/>
    <w:rsid w:val="3EB8AC77"/>
    <w:rsid w:val="3EC10B37"/>
    <w:rsid w:val="3EC23934"/>
    <w:rsid w:val="3ECD4B74"/>
    <w:rsid w:val="3ECE92EC"/>
    <w:rsid w:val="3ED538AA"/>
    <w:rsid w:val="3ED94ECE"/>
    <w:rsid w:val="3EDEC79B"/>
    <w:rsid w:val="3EE2CEF9"/>
    <w:rsid w:val="3EF02932"/>
    <w:rsid w:val="3EF175A6"/>
    <w:rsid w:val="3EF4AC34"/>
    <w:rsid w:val="3EF81972"/>
    <w:rsid w:val="3EF95405"/>
    <w:rsid w:val="3EFFB203"/>
    <w:rsid w:val="3F0199A8"/>
    <w:rsid w:val="3F06EF4F"/>
    <w:rsid w:val="3F0CDEAC"/>
    <w:rsid w:val="3F0CE7FD"/>
    <w:rsid w:val="3F0F29F4"/>
    <w:rsid w:val="3F11083E"/>
    <w:rsid w:val="3F1F1572"/>
    <w:rsid w:val="3F22967D"/>
    <w:rsid w:val="3F22A0E4"/>
    <w:rsid w:val="3F242A96"/>
    <w:rsid w:val="3F254B73"/>
    <w:rsid w:val="3F2C62BC"/>
    <w:rsid w:val="3F3001C4"/>
    <w:rsid w:val="3F3495CF"/>
    <w:rsid w:val="3F358B21"/>
    <w:rsid w:val="3F36D3F1"/>
    <w:rsid w:val="3F395711"/>
    <w:rsid w:val="3F3CD151"/>
    <w:rsid w:val="3F3FBDFB"/>
    <w:rsid w:val="3F44FE6B"/>
    <w:rsid w:val="3F474E8C"/>
    <w:rsid w:val="3F487CAB"/>
    <w:rsid w:val="3F493E7D"/>
    <w:rsid w:val="3F4F0B6A"/>
    <w:rsid w:val="3F530614"/>
    <w:rsid w:val="3F559036"/>
    <w:rsid w:val="3F59819A"/>
    <w:rsid w:val="3F61FFC6"/>
    <w:rsid w:val="3F6338C6"/>
    <w:rsid w:val="3F68B302"/>
    <w:rsid w:val="3F6ECB6B"/>
    <w:rsid w:val="3F707A86"/>
    <w:rsid w:val="3F721AB8"/>
    <w:rsid w:val="3F768522"/>
    <w:rsid w:val="3F78D469"/>
    <w:rsid w:val="3F7CC60D"/>
    <w:rsid w:val="3F83C6E9"/>
    <w:rsid w:val="3F86E290"/>
    <w:rsid w:val="3F8B687C"/>
    <w:rsid w:val="3F8CA031"/>
    <w:rsid w:val="3F9B2028"/>
    <w:rsid w:val="3F9CEF7C"/>
    <w:rsid w:val="3FAC50F2"/>
    <w:rsid w:val="3FAECC7D"/>
    <w:rsid w:val="3FB2FF95"/>
    <w:rsid w:val="3FC8C4AE"/>
    <w:rsid w:val="3FC9688E"/>
    <w:rsid w:val="3FC9E58E"/>
    <w:rsid w:val="3FCA8EB8"/>
    <w:rsid w:val="3FD56795"/>
    <w:rsid w:val="3FD905FB"/>
    <w:rsid w:val="3FE29719"/>
    <w:rsid w:val="3FE2D914"/>
    <w:rsid w:val="3FE3736E"/>
    <w:rsid w:val="3FE408A9"/>
    <w:rsid w:val="3FE4A2D9"/>
    <w:rsid w:val="3FE5E982"/>
    <w:rsid w:val="3FE5FD0D"/>
    <w:rsid w:val="3FE7D1C3"/>
    <w:rsid w:val="3FED0585"/>
    <w:rsid w:val="3FEE2EF4"/>
    <w:rsid w:val="3FEFFD04"/>
    <w:rsid w:val="3FF4C3E7"/>
    <w:rsid w:val="3FF6DB7E"/>
    <w:rsid w:val="3FF71F94"/>
    <w:rsid w:val="40007ECB"/>
    <w:rsid w:val="4002F5F5"/>
    <w:rsid w:val="4009F863"/>
    <w:rsid w:val="400A30D2"/>
    <w:rsid w:val="40164584"/>
    <w:rsid w:val="40187025"/>
    <w:rsid w:val="401A037C"/>
    <w:rsid w:val="401A33C4"/>
    <w:rsid w:val="401F97EF"/>
    <w:rsid w:val="402BF09A"/>
    <w:rsid w:val="402E12EF"/>
    <w:rsid w:val="4031B846"/>
    <w:rsid w:val="4032D357"/>
    <w:rsid w:val="40401601"/>
    <w:rsid w:val="4042DF2E"/>
    <w:rsid w:val="4043B443"/>
    <w:rsid w:val="4045FF6D"/>
    <w:rsid w:val="4048DC20"/>
    <w:rsid w:val="40495C37"/>
    <w:rsid w:val="4052383F"/>
    <w:rsid w:val="40596AF2"/>
    <w:rsid w:val="4060CEED"/>
    <w:rsid w:val="4061407B"/>
    <w:rsid w:val="4064A786"/>
    <w:rsid w:val="4064B56C"/>
    <w:rsid w:val="40663F82"/>
    <w:rsid w:val="406A00B1"/>
    <w:rsid w:val="406D07B2"/>
    <w:rsid w:val="406F03B1"/>
    <w:rsid w:val="4084B050"/>
    <w:rsid w:val="4085349B"/>
    <w:rsid w:val="408EF37F"/>
    <w:rsid w:val="4093D34B"/>
    <w:rsid w:val="409D8D99"/>
    <w:rsid w:val="40A1BB3D"/>
    <w:rsid w:val="40A6929E"/>
    <w:rsid w:val="40A8CAB0"/>
    <w:rsid w:val="40B0CD80"/>
    <w:rsid w:val="40B15F2A"/>
    <w:rsid w:val="40B2A466"/>
    <w:rsid w:val="40B4E8E4"/>
    <w:rsid w:val="40B69086"/>
    <w:rsid w:val="40B72222"/>
    <w:rsid w:val="40B9D0F7"/>
    <w:rsid w:val="40BE500B"/>
    <w:rsid w:val="40BF5889"/>
    <w:rsid w:val="40BFB5D3"/>
    <w:rsid w:val="40C41A39"/>
    <w:rsid w:val="40C7C588"/>
    <w:rsid w:val="40C8E7F1"/>
    <w:rsid w:val="40CE0778"/>
    <w:rsid w:val="40D01799"/>
    <w:rsid w:val="40D527DF"/>
    <w:rsid w:val="40E90A60"/>
    <w:rsid w:val="40ED005B"/>
    <w:rsid w:val="40EE47DF"/>
    <w:rsid w:val="40F15B4D"/>
    <w:rsid w:val="40F29336"/>
    <w:rsid w:val="40F4672E"/>
    <w:rsid w:val="40FAACDE"/>
    <w:rsid w:val="41025C40"/>
    <w:rsid w:val="4103AC10"/>
    <w:rsid w:val="410CB16C"/>
    <w:rsid w:val="4111F5A6"/>
    <w:rsid w:val="41159404"/>
    <w:rsid w:val="412032B3"/>
    <w:rsid w:val="41250832"/>
    <w:rsid w:val="412626E0"/>
    <w:rsid w:val="41268100"/>
    <w:rsid w:val="41363673"/>
    <w:rsid w:val="4140DD28"/>
    <w:rsid w:val="41452596"/>
    <w:rsid w:val="4147DCB3"/>
    <w:rsid w:val="414C1CCE"/>
    <w:rsid w:val="414CD6E4"/>
    <w:rsid w:val="414F6E68"/>
    <w:rsid w:val="41503843"/>
    <w:rsid w:val="41561728"/>
    <w:rsid w:val="415EBD00"/>
    <w:rsid w:val="4160E8FA"/>
    <w:rsid w:val="4164B5D8"/>
    <w:rsid w:val="4164E474"/>
    <w:rsid w:val="416C18ED"/>
    <w:rsid w:val="416C67D0"/>
    <w:rsid w:val="416D2FC1"/>
    <w:rsid w:val="416E4FD8"/>
    <w:rsid w:val="4173CE21"/>
    <w:rsid w:val="417DB097"/>
    <w:rsid w:val="4182D51A"/>
    <w:rsid w:val="419136E7"/>
    <w:rsid w:val="41940CB0"/>
    <w:rsid w:val="41958868"/>
    <w:rsid w:val="4198ACB7"/>
    <w:rsid w:val="419EC142"/>
    <w:rsid w:val="41A8DC25"/>
    <w:rsid w:val="41ABBCCC"/>
    <w:rsid w:val="41AC609F"/>
    <w:rsid w:val="41AD2688"/>
    <w:rsid w:val="41C0CB6E"/>
    <w:rsid w:val="41C5B4B8"/>
    <w:rsid w:val="41C87B66"/>
    <w:rsid w:val="41CCAF27"/>
    <w:rsid w:val="41CD4783"/>
    <w:rsid w:val="41D5428E"/>
    <w:rsid w:val="41DA2150"/>
    <w:rsid w:val="41DA9690"/>
    <w:rsid w:val="41DBDA5C"/>
    <w:rsid w:val="41DC3DC9"/>
    <w:rsid w:val="41E1C36B"/>
    <w:rsid w:val="41E25422"/>
    <w:rsid w:val="41E41ACC"/>
    <w:rsid w:val="41E5B271"/>
    <w:rsid w:val="41E78CEA"/>
    <w:rsid w:val="41EE0144"/>
    <w:rsid w:val="41EE2E47"/>
    <w:rsid w:val="41EF287F"/>
    <w:rsid w:val="41F0A69B"/>
    <w:rsid w:val="41F27B1E"/>
    <w:rsid w:val="41FBA398"/>
    <w:rsid w:val="41FC9C98"/>
    <w:rsid w:val="42062F8B"/>
    <w:rsid w:val="42064749"/>
    <w:rsid w:val="420FB091"/>
    <w:rsid w:val="421883D0"/>
    <w:rsid w:val="421BEE95"/>
    <w:rsid w:val="422629D5"/>
    <w:rsid w:val="42283FEC"/>
    <w:rsid w:val="4229C15F"/>
    <w:rsid w:val="422B66D6"/>
    <w:rsid w:val="42349310"/>
    <w:rsid w:val="4235EC14"/>
    <w:rsid w:val="42363FBB"/>
    <w:rsid w:val="4238AF22"/>
    <w:rsid w:val="4239EBB2"/>
    <w:rsid w:val="423E345F"/>
    <w:rsid w:val="42481DA5"/>
    <w:rsid w:val="424D1AD5"/>
    <w:rsid w:val="424E3A35"/>
    <w:rsid w:val="4254395E"/>
    <w:rsid w:val="4254A61B"/>
    <w:rsid w:val="425EAE6C"/>
    <w:rsid w:val="425EDE66"/>
    <w:rsid w:val="425FABEF"/>
    <w:rsid w:val="42626D85"/>
    <w:rsid w:val="427128D8"/>
    <w:rsid w:val="42715DB3"/>
    <w:rsid w:val="4271FCE1"/>
    <w:rsid w:val="42786035"/>
    <w:rsid w:val="427F4F6D"/>
    <w:rsid w:val="42811813"/>
    <w:rsid w:val="4285A5A6"/>
    <w:rsid w:val="4289405B"/>
    <w:rsid w:val="4293C643"/>
    <w:rsid w:val="42962B1F"/>
    <w:rsid w:val="429C7AFF"/>
    <w:rsid w:val="429DBD4A"/>
    <w:rsid w:val="429FFDA2"/>
    <w:rsid w:val="42AE0447"/>
    <w:rsid w:val="42B61A4C"/>
    <w:rsid w:val="42B9A763"/>
    <w:rsid w:val="42B9F083"/>
    <w:rsid w:val="42C2F326"/>
    <w:rsid w:val="42C3015E"/>
    <w:rsid w:val="42C49DA7"/>
    <w:rsid w:val="42C73256"/>
    <w:rsid w:val="42C878F0"/>
    <w:rsid w:val="42C98744"/>
    <w:rsid w:val="42CA6319"/>
    <w:rsid w:val="42D0B89D"/>
    <w:rsid w:val="42D10A25"/>
    <w:rsid w:val="42D1B5CD"/>
    <w:rsid w:val="42D817B3"/>
    <w:rsid w:val="42D99E2B"/>
    <w:rsid w:val="42DA616A"/>
    <w:rsid w:val="42E20B3D"/>
    <w:rsid w:val="42E26CF7"/>
    <w:rsid w:val="42E71F57"/>
    <w:rsid w:val="42EFEEAC"/>
    <w:rsid w:val="42F0E881"/>
    <w:rsid w:val="42F1A524"/>
    <w:rsid w:val="42F2A26B"/>
    <w:rsid w:val="42F8943F"/>
    <w:rsid w:val="42FB89D5"/>
    <w:rsid w:val="42FB9023"/>
    <w:rsid w:val="4300B17F"/>
    <w:rsid w:val="4308409F"/>
    <w:rsid w:val="430849B5"/>
    <w:rsid w:val="4309E087"/>
    <w:rsid w:val="430B9297"/>
    <w:rsid w:val="4318FFF6"/>
    <w:rsid w:val="4320B5DD"/>
    <w:rsid w:val="43238C85"/>
    <w:rsid w:val="432D5FDE"/>
    <w:rsid w:val="43341587"/>
    <w:rsid w:val="43445DB0"/>
    <w:rsid w:val="43537AAD"/>
    <w:rsid w:val="43627E9A"/>
    <w:rsid w:val="4362A8BD"/>
    <w:rsid w:val="436BFBE2"/>
    <w:rsid w:val="436D5935"/>
    <w:rsid w:val="4372BF9A"/>
    <w:rsid w:val="437415E4"/>
    <w:rsid w:val="43779200"/>
    <w:rsid w:val="437FC0F1"/>
    <w:rsid w:val="4383FA85"/>
    <w:rsid w:val="4385F0D3"/>
    <w:rsid w:val="438A2CA8"/>
    <w:rsid w:val="4390EE2B"/>
    <w:rsid w:val="43966373"/>
    <w:rsid w:val="43970188"/>
    <w:rsid w:val="439863AB"/>
    <w:rsid w:val="439D37A3"/>
    <w:rsid w:val="43A507FC"/>
    <w:rsid w:val="43A8412B"/>
    <w:rsid w:val="43A868FE"/>
    <w:rsid w:val="43A91453"/>
    <w:rsid w:val="43B37320"/>
    <w:rsid w:val="43BA2732"/>
    <w:rsid w:val="43BF12C9"/>
    <w:rsid w:val="43CC408A"/>
    <w:rsid w:val="43D1B277"/>
    <w:rsid w:val="43D28AFA"/>
    <w:rsid w:val="43DAC978"/>
    <w:rsid w:val="43DC9632"/>
    <w:rsid w:val="43E1381C"/>
    <w:rsid w:val="43E31BA9"/>
    <w:rsid w:val="43F13447"/>
    <w:rsid w:val="43F3948D"/>
    <w:rsid w:val="43F8AF12"/>
    <w:rsid w:val="43FA619B"/>
    <w:rsid w:val="43FB96B9"/>
    <w:rsid w:val="43FCCBAB"/>
    <w:rsid w:val="43FF85FF"/>
    <w:rsid w:val="44048054"/>
    <w:rsid w:val="440923EB"/>
    <w:rsid w:val="440C4241"/>
    <w:rsid w:val="441074B7"/>
    <w:rsid w:val="4415DA04"/>
    <w:rsid w:val="44162C63"/>
    <w:rsid w:val="4418DAF0"/>
    <w:rsid w:val="44191984"/>
    <w:rsid w:val="441DC18E"/>
    <w:rsid w:val="4425A93D"/>
    <w:rsid w:val="44283D04"/>
    <w:rsid w:val="442D81CA"/>
    <w:rsid w:val="44317683"/>
    <w:rsid w:val="44325F47"/>
    <w:rsid w:val="44333B5B"/>
    <w:rsid w:val="44335BD9"/>
    <w:rsid w:val="44366035"/>
    <w:rsid w:val="443A88DC"/>
    <w:rsid w:val="443B4807"/>
    <w:rsid w:val="443C2C37"/>
    <w:rsid w:val="444BAF66"/>
    <w:rsid w:val="444C0613"/>
    <w:rsid w:val="444E22AF"/>
    <w:rsid w:val="4455AA03"/>
    <w:rsid w:val="4459DBC3"/>
    <w:rsid w:val="445B164B"/>
    <w:rsid w:val="445C235A"/>
    <w:rsid w:val="4460E376"/>
    <w:rsid w:val="44611F35"/>
    <w:rsid w:val="446575B9"/>
    <w:rsid w:val="446C0BEC"/>
    <w:rsid w:val="447439C1"/>
    <w:rsid w:val="447951C1"/>
    <w:rsid w:val="4479ED99"/>
    <w:rsid w:val="447A5237"/>
    <w:rsid w:val="447CD784"/>
    <w:rsid w:val="447FD2B0"/>
    <w:rsid w:val="44810472"/>
    <w:rsid w:val="44956CE3"/>
    <w:rsid w:val="4495C9A1"/>
    <w:rsid w:val="449C9C16"/>
    <w:rsid w:val="44A448AB"/>
    <w:rsid w:val="44A69D92"/>
    <w:rsid w:val="44ABA3D8"/>
    <w:rsid w:val="44B3D463"/>
    <w:rsid w:val="44B7F19F"/>
    <w:rsid w:val="44BB07BD"/>
    <w:rsid w:val="44BBB4E2"/>
    <w:rsid w:val="44BD084F"/>
    <w:rsid w:val="44C1D14C"/>
    <w:rsid w:val="44C1E079"/>
    <w:rsid w:val="44C3D1FC"/>
    <w:rsid w:val="44D0B4A3"/>
    <w:rsid w:val="44D3F45F"/>
    <w:rsid w:val="44D414A4"/>
    <w:rsid w:val="44D43551"/>
    <w:rsid w:val="44D93EA5"/>
    <w:rsid w:val="44DD337B"/>
    <w:rsid w:val="44DDE52B"/>
    <w:rsid w:val="44F03F1D"/>
    <w:rsid w:val="44F236D1"/>
    <w:rsid w:val="44F27A79"/>
    <w:rsid w:val="44F4EF6F"/>
    <w:rsid w:val="45059152"/>
    <w:rsid w:val="450E6E8F"/>
    <w:rsid w:val="4515EBFB"/>
    <w:rsid w:val="451BBAD8"/>
    <w:rsid w:val="451DDCD7"/>
    <w:rsid w:val="4522D113"/>
    <w:rsid w:val="452483EC"/>
    <w:rsid w:val="452C616D"/>
    <w:rsid w:val="452DF5E8"/>
    <w:rsid w:val="45315530"/>
    <w:rsid w:val="4531C6BD"/>
    <w:rsid w:val="45345E2E"/>
    <w:rsid w:val="453A4E93"/>
    <w:rsid w:val="453BC456"/>
    <w:rsid w:val="45416CDB"/>
    <w:rsid w:val="4545C63D"/>
    <w:rsid w:val="45553DB8"/>
    <w:rsid w:val="455A00EC"/>
    <w:rsid w:val="455C5CA3"/>
    <w:rsid w:val="4566742A"/>
    <w:rsid w:val="45747205"/>
    <w:rsid w:val="4579877E"/>
    <w:rsid w:val="457A50CC"/>
    <w:rsid w:val="457A62D3"/>
    <w:rsid w:val="457ADA55"/>
    <w:rsid w:val="458CF858"/>
    <w:rsid w:val="4596A90D"/>
    <w:rsid w:val="459F383B"/>
    <w:rsid w:val="45A774A4"/>
    <w:rsid w:val="45A7CA42"/>
    <w:rsid w:val="45AE4216"/>
    <w:rsid w:val="45AEFC02"/>
    <w:rsid w:val="45B4C058"/>
    <w:rsid w:val="45B71531"/>
    <w:rsid w:val="45B87A9A"/>
    <w:rsid w:val="45B901BB"/>
    <w:rsid w:val="45BEB935"/>
    <w:rsid w:val="45C415C7"/>
    <w:rsid w:val="45C56C65"/>
    <w:rsid w:val="45CC84C4"/>
    <w:rsid w:val="45D5B865"/>
    <w:rsid w:val="45D961A0"/>
    <w:rsid w:val="45E036D5"/>
    <w:rsid w:val="45E4C5DF"/>
    <w:rsid w:val="45E6CD18"/>
    <w:rsid w:val="45EA1505"/>
    <w:rsid w:val="45EF9A6B"/>
    <w:rsid w:val="45F06A3F"/>
    <w:rsid w:val="45F8AFE6"/>
    <w:rsid w:val="45FA94CB"/>
    <w:rsid w:val="45FF7AF5"/>
    <w:rsid w:val="46046538"/>
    <w:rsid w:val="46061D39"/>
    <w:rsid w:val="46074C92"/>
    <w:rsid w:val="460B28C2"/>
    <w:rsid w:val="460C6265"/>
    <w:rsid w:val="460CF6FC"/>
    <w:rsid w:val="461B01A0"/>
    <w:rsid w:val="46231DF6"/>
    <w:rsid w:val="46254132"/>
    <w:rsid w:val="4627CBCE"/>
    <w:rsid w:val="462C6734"/>
    <w:rsid w:val="463A0BA9"/>
    <w:rsid w:val="463FD16D"/>
    <w:rsid w:val="46424202"/>
    <w:rsid w:val="464BA9DE"/>
    <w:rsid w:val="4651695E"/>
    <w:rsid w:val="4655607C"/>
    <w:rsid w:val="46568A30"/>
    <w:rsid w:val="465B4092"/>
    <w:rsid w:val="465ED800"/>
    <w:rsid w:val="4667BCCA"/>
    <w:rsid w:val="467017E8"/>
    <w:rsid w:val="46757F47"/>
    <w:rsid w:val="467694C8"/>
    <w:rsid w:val="467A0170"/>
    <w:rsid w:val="467F69FA"/>
    <w:rsid w:val="4688050B"/>
    <w:rsid w:val="468A952F"/>
    <w:rsid w:val="468D66AB"/>
    <w:rsid w:val="4692F281"/>
    <w:rsid w:val="469617CD"/>
    <w:rsid w:val="4699DDA3"/>
    <w:rsid w:val="469E5EFD"/>
    <w:rsid w:val="46A0312F"/>
    <w:rsid w:val="46A09C01"/>
    <w:rsid w:val="46A341DB"/>
    <w:rsid w:val="46A7D658"/>
    <w:rsid w:val="46A8112B"/>
    <w:rsid w:val="46AF8165"/>
    <w:rsid w:val="46BBB4AE"/>
    <w:rsid w:val="46C027E7"/>
    <w:rsid w:val="46C24FFC"/>
    <w:rsid w:val="46C3FE98"/>
    <w:rsid w:val="46C42EC8"/>
    <w:rsid w:val="46C5A7A9"/>
    <w:rsid w:val="46C67B88"/>
    <w:rsid w:val="46C73D4F"/>
    <w:rsid w:val="46C7424B"/>
    <w:rsid w:val="46C9E0AF"/>
    <w:rsid w:val="46CAE0C5"/>
    <w:rsid w:val="46CBE447"/>
    <w:rsid w:val="46D6BC9D"/>
    <w:rsid w:val="46DD68F9"/>
    <w:rsid w:val="46E7D28F"/>
    <w:rsid w:val="46F11928"/>
    <w:rsid w:val="46F2B148"/>
    <w:rsid w:val="46F69B44"/>
    <w:rsid w:val="47036C81"/>
    <w:rsid w:val="470862B7"/>
    <w:rsid w:val="4712B6B7"/>
    <w:rsid w:val="4718504F"/>
    <w:rsid w:val="471E0483"/>
    <w:rsid w:val="471F00A9"/>
    <w:rsid w:val="472974E8"/>
    <w:rsid w:val="472D8E30"/>
    <w:rsid w:val="472F0B0D"/>
    <w:rsid w:val="4730A0BC"/>
    <w:rsid w:val="4731061B"/>
    <w:rsid w:val="473908D2"/>
    <w:rsid w:val="47397A84"/>
    <w:rsid w:val="474D80D7"/>
    <w:rsid w:val="4753AB8F"/>
    <w:rsid w:val="47591234"/>
    <w:rsid w:val="4763C3F8"/>
    <w:rsid w:val="476568ED"/>
    <w:rsid w:val="4765C853"/>
    <w:rsid w:val="4765D533"/>
    <w:rsid w:val="476DAD11"/>
    <w:rsid w:val="47725025"/>
    <w:rsid w:val="47789046"/>
    <w:rsid w:val="477B5AD4"/>
    <w:rsid w:val="478594AD"/>
    <w:rsid w:val="4789F742"/>
    <w:rsid w:val="4794D1E7"/>
    <w:rsid w:val="4797738E"/>
    <w:rsid w:val="479C5739"/>
    <w:rsid w:val="479C8517"/>
    <w:rsid w:val="47A9225A"/>
    <w:rsid w:val="47A9AB01"/>
    <w:rsid w:val="47AD48D7"/>
    <w:rsid w:val="47B7314E"/>
    <w:rsid w:val="47BCC691"/>
    <w:rsid w:val="47C408A0"/>
    <w:rsid w:val="47CB7764"/>
    <w:rsid w:val="47D61F60"/>
    <w:rsid w:val="47E3408F"/>
    <w:rsid w:val="47E4E209"/>
    <w:rsid w:val="47E59346"/>
    <w:rsid w:val="47E79044"/>
    <w:rsid w:val="47EAF18E"/>
    <w:rsid w:val="47FD9E4D"/>
    <w:rsid w:val="4802F1F4"/>
    <w:rsid w:val="48070069"/>
    <w:rsid w:val="480AD5E7"/>
    <w:rsid w:val="48118BCE"/>
    <w:rsid w:val="4812C2E5"/>
    <w:rsid w:val="48171FBE"/>
    <w:rsid w:val="48181DEA"/>
    <w:rsid w:val="4819467C"/>
    <w:rsid w:val="482378E9"/>
    <w:rsid w:val="482537A5"/>
    <w:rsid w:val="482710D4"/>
    <w:rsid w:val="4832B482"/>
    <w:rsid w:val="48384A70"/>
    <w:rsid w:val="483BED08"/>
    <w:rsid w:val="483DF6D0"/>
    <w:rsid w:val="483FC7C4"/>
    <w:rsid w:val="4842CF6E"/>
    <w:rsid w:val="484525E0"/>
    <w:rsid w:val="4850BD62"/>
    <w:rsid w:val="4852B4B0"/>
    <w:rsid w:val="48563E27"/>
    <w:rsid w:val="48580380"/>
    <w:rsid w:val="4859A95D"/>
    <w:rsid w:val="485A37AE"/>
    <w:rsid w:val="485A536F"/>
    <w:rsid w:val="485E4D44"/>
    <w:rsid w:val="48685E9D"/>
    <w:rsid w:val="4869047C"/>
    <w:rsid w:val="486F2B17"/>
    <w:rsid w:val="487BAF3A"/>
    <w:rsid w:val="4880ECFB"/>
    <w:rsid w:val="48852C4D"/>
    <w:rsid w:val="4885508D"/>
    <w:rsid w:val="48927287"/>
    <w:rsid w:val="48956520"/>
    <w:rsid w:val="489B2145"/>
    <w:rsid w:val="48A1B6A7"/>
    <w:rsid w:val="48A521F7"/>
    <w:rsid w:val="48AB435B"/>
    <w:rsid w:val="48B05720"/>
    <w:rsid w:val="48B3BAAB"/>
    <w:rsid w:val="48B3CDC2"/>
    <w:rsid w:val="48B3DE00"/>
    <w:rsid w:val="48B4E161"/>
    <w:rsid w:val="48B544EF"/>
    <w:rsid w:val="48B65B25"/>
    <w:rsid w:val="48B7F5F1"/>
    <w:rsid w:val="48B81EAF"/>
    <w:rsid w:val="48C8A55F"/>
    <w:rsid w:val="48C9D7FE"/>
    <w:rsid w:val="48D55F08"/>
    <w:rsid w:val="48DDB43F"/>
    <w:rsid w:val="48E03E19"/>
    <w:rsid w:val="48E0B9F1"/>
    <w:rsid w:val="48E69A22"/>
    <w:rsid w:val="48EA1610"/>
    <w:rsid w:val="48EB3B01"/>
    <w:rsid w:val="48F03A73"/>
    <w:rsid w:val="48F422CC"/>
    <w:rsid w:val="48F89E68"/>
    <w:rsid w:val="48FDCB60"/>
    <w:rsid w:val="48FF0BB1"/>
    <w:rsid w:val="4901DF9D"/>
    <w:rsid w:val="49036D67"/>
    <w:rsid w:val="491523DD"/>
    <w:rsid w:val="491C8FB5"/>
    <w:rsid w:val="49260C85"/>
    <w:rsid w:val="492998B0"/>
    <w:rsid w:val="492FBCDA"/>
    <w:rsid w:val="49358A6A"/>
    <w:rsid w:val="4938D008"/>
    <w:rsid w:val="493CE3F4"/>
    <w:rsid w:val="493F3A46"/>
    <w:rsid w:val="493FBC5E"/>
    <w:rsid w:val="4942A7D4"/>
    <w:rsid w:val="49438359"/>
    <w:rsid w:val="4950C870"/>
    <w:rsid w:val="49563525"/>
    <w:rsid w:val="4965D2A6"/>
    <w:rsid w:val="496AAAC4"/>
    <w:rsid w:val="4975FD69"/>
    <w:rsid w:val="49765221"/>
    <w:rsid w:val="497F5C52"/>
    <w:rsid w:val="497FC24B"/>
    <w:rsid w:val="4984ECA9"/>
    <w:rsid w:val="498B1E96"/>
    <w:rsid w:val="499B7AA7"/>
    <w:rsid w:val="499DD2D1"/>
    <w:rsid w:val="499EEBEA"/>
    <w:rsid w:val="499F8A79"/>
    <w:rsid w:val="49A0F413"/>
    <w:rsid w:val="49A4AF0B"/>
    <w:rsid w:val="49A512AD"/>
    <w:rsid w:val="49AA8E1D"/>
    <w:rsid w:val="49AAAFB9"/>
    <w:rsid w:val="49AC630E"/>
    <w:rsid w:val="49B6CD48"/>
    <w:rsid w:val="49BD29AB"/>
    <w:rsid w:val="49BEC562"/>
    <w:rsid w:val="49C40D33"/>
    <w:rsid w:val="49C8A92E"/>
    <w:rsid w:val="49CA156F"/>
    <w:rsid w:val="49D17EBB"/>
    <w:rsid w:val="49D4FC09"/>
    <w:rsid w:val="49D6DB5F"/>
    <w:rsid w:val="49E111D0"/>
    <w:rsid w:val="49E475C7"/>
    <w:rsid w:val="49E564E8"/>
    <w:rsid w:val="49E603C0"/>
    <w:rsid w:val="49EE3854"/>
    <w:rsid w:val="49F314CF"/>
    <w:rsid w:val="49F8C4E7"/>
    <w:rsid w:val="4A003ED7"/>
    <w:rsid w:val="4A0A4011"/>
    <w:rsid w:val="4A10C831"/>
    <w:rsid w:val="4A21E752"/>
    <w:rsid w:val="4A21E954"/>
    <w:rsid w:val="4A229B72"/>
    <w:rsid w:val="4A287D04"/>
    <w:rsid w:val="4A291370"/>
    <w:rsid w:val="4A341DCD"/>
    <w:rsid w:val="4A3B824D"/>
    <w:rsid w:val="4A3EE23E"/>
    <w:rsid w:val="4A4202C0"/>
    <w:rsid w:val="4A45FD2A"/>
    <w:rsid w:val="4A4B10A5"/>
    <w:rsid w:val="4A4B2F2D"/>
    <w:rsid w:val="4A4CDCC6"/>
    <w:rsid w:val="4A514A2F"/>
    <w:rsid w:val="4A61E0D9"/>
    <w:rsid w:val="4A62D5CC"/>
    <w:rsid w:val="4A6431DE"/>
    <w:rsid w:val="4A67B858"/>
    <w:rsid w:val="4A6D5D62"/>
    <w:rsid w:val="4A6F3FE8"/>
    <w:rsid w:val="4A70C792"/>
    <w:rsid w:val="4A758B50"/>
    <w:rsid w:val="4A773709"/>
    <w:rsid w:val="4A7FE88B"/>
    <w:rsid w:val="4A88A31E"/>
    <w:rsid w:val="4A8A46BA"/>
    <w:rsid w:val="4A8B2358"/>
    <w:rsid w:val="4A8D0922"/>
    <w:rsid w:val="4A90ADE2"/>
    <w:rsid w:val="4A920A3F"/>
    <w:rsid w:val="4A925F94"/>
    <w:rsid w:val="4A96533E"/>
    <w:rsid w:val="4AA67D19"/>
    <w:rsid w:val="4AA9FC33"/>
    <w:rsid w:val="4AADDCB7"/>
    <w:rsid w:val="4AB53DD0"/>
    <w:rsid w:val="4ABC1283"/>
    <w:rsid w:val="4ACEFA2E"/>
    <w:rsid w:val="4ACF14BD"/>
    <w:rsid w:val="4AD25770"/>
    <w:rsid w:val="4AD27656"/>
    <w:rsid w:val="4AD4D9BF"/>
    <w:rsid w:val="4AD9E3B6"/>
    <w:rsid w:val="4ADDA6A8"/>
    <w:rsid w:val="4ADF6BD4"/>
    <w:rsid w:val="4AE35EE0"/>
    <w:rsid w:val="4AE4104A"/>
    <w:rsid w:val="4AE6328B"/>
    <w:rsid w:val="4AEBA7B5"/>
    <w:rsid w:val="4AEC7D39"/>
    <w:rsid w:val="4AF10A9F"/>
    <w:rsid w:val="4AF6D81E"/>
    <w:rsid w:val="4B0AD850"/>
    <w:rsid w:val="4B0FF68A"/>
    <w:rsid w:val="4B14B41F"/>
    <w:rsid w:val="4B16E012"/>
    <w:rsid w:val="4B186DB4"/>
    <w:rsid w:val="4B249B86"/>
    <w:rsid w:val="4B26DC00"/>
    <w:rsid w:val="4B29498C"/>
    <w:rsid w:val="4B2BA435"/>
    <w:rsid w:val="4B2DD12E"/>
    <w:rsid w:val="4B332A74"/>
    <w:rsid w:val="4B3754C9"/>
    <w:rsid w:val="4B377CD3"/>
    <w:rsid w:val="4B414C65"/>
    <w:rsid w:val="4B4D27B5"/>
    <w:rsid w:val="4B4D86FD"/>
    <w:rsid w:val="4B4F2FED"/>
    <w:rsid w:val="4B59D2AA"/>
    <w:rsid w:val="4B5A6B8F"/>
    <w:rsid w:val="4B5B4036"/>
    <w:rsid w:val="4B5C8365"/>
    <w:rsid w:val="4B667F4F"/>
    <w:rsid w:val="4B6A2046"/>
    <w:rsid w:val="4B756DE2"/>
    <w:rsid w:val="4B78A2F0"/>
    <w:rsid w:val="4B79DF8D"/>
    <w:rsid w:val="4B7B6691"/>
    <w:rsid w:val="4B8544FE"/>
    <w:rsid w:val="4B8ED25C"/>
    <w:rsid w:val="4B8F4EEF"/>
    <w:rsid w:val="4B90B59C"/>
    <w:rsid w:val="4B9652B4"/>
    <w:rsid w:val="4B99DDC8"/>
    <w:rsid w:val="4BA2970F"/>
    <w:rsid w:val="4BA44B2C"/>
    <w:rsid w:val="4BA92221"/>
    <w:rsid w:val="4BAB2524"/>
    <w:rsid w:val="4BB1D235"/>
    <w:rsid w:val="4BB34D59"/>
    <w:rsid w:val="4BB53B88"/>
    <w:rsid w:val="4BBE08F1"/>
    <w:rsid w:val="4BC5E157"/>
    <w:rsid w:val="4BCA4491"/>
    <w:rsid w:val="4BCBE752"/>
    <w:rsid w:val="4BCFBD04"/>
    <w:rsid w:val="4BDDA08A"/>
    <w:rsid w:val="4BE0C847"/>
    <w:rsid w:val="4BE97A19"/>
    <w:rsid w:val="4BEFDC79"/>
    <w:rsid w:val="4BF0ED8A"/>
    <w:rsid w:val="4BF17479"/>
    <w:rsid w:val="4BF47EFD"/>
    <w:rsid w:val="4C033C86"/>
    <w:rsid w:val="4C06B1B7"/>
    <w:rsid w:val="4C097DED"/>
    <w:rsid w:val="4C0F8E58"/>
    <w:rsid w:val="4C143F44"/>
    <w:rsid w:val="4C16B256"/>
    <w:rsid w:val="4C1792F9"/>
    <w:rsid w:val="4C1B76EB"/>
    <w:rsid w:val="4C1C4624"/>
    <w:rsid w:val="4C1D9C3D"/>
    <w:rsid w:val="4C1FEC6F"/>
    <w:rsid w:val="4C207546"/>
    <w:rsid w:val="4C22F77B"/>
    <w:rsid w:val="4C25D50F"/>
    <w:rsid w:val="4C2C18B9"/>
    <w:rsid w:val="4C2DAB62"/>
    <w:rsid w:val="4C323004"/>
    <w:rsid w:val="4C33D749"/>
    <w:rsid w:val="4C3D2A38"/>
    <w:rsid w:val="4C3E15BC"/>
    <w:rsid w:val="4C44380C"/>
    <w:rsid w:val="4C446AAB"/>
    <w:rsid w:val="4C490839"/>
    <w:rsid w:val="4C5C0D40"/>
    <w:rsid w:val="4C5C0F46"/>
    <w:rsid w:val="4C5D1109"/>
    <w:rsid w:val="4C5F66E9"/>
    <w:rsid w:val="4C666677"/>
    <w:rsid w:val="4C7535C1"/>
    <w:rsid w:val="4C8B0D12"/>
    <w:rsid w:val="4C8BBC30"/>
    <w:rsid w:val="4C8C8FC1"/>
    <w:rsid w:val="4C8F3727"/>
    <w:rsid w:val="4C94A579"/>
    <w:rsid w:val="4C97EBEB"/>
    <w:rsid w:val="4CA24CA9"/>
    <w:rsid w:val="4CA2EB33"/>
    <w:rsid w:val="4CA7B310"/>
    <w:rsid w:val="4CA84AB3"/>
    <w:rsid w:val="4CA980B8"/>
    <w:rsid w:val="4CAC3000"/>
    <w:rsid w:val="4CBBE3AB"/>
    <w:rsid w:val="4CCEC16C"/>
    <w:rsid w:val="4CD6FFAC"/>
    <w:rsid w:val="4CD917DA"/>
    <w:rsid w:val="4CDB2E36"/>
    <w:rsid w:val="4CDCB2D4"/>
    <w:rsid w:val="4CE268AF"/>
    <w:rsid w:val="4CEB40A8"/>
    <w:rsid w:val="4CEF1C38"/>
    <w:rsid w:val="4CF66762"/>
    <w:rsid w:val="4CF8D6CB"/>
    <w:rsid w:val="4D03AF16"/>
    <w:rsid w:val="4D03C4B5"/>
    <w:rsid w:val="4D047BDE"/>
    <w:rsid w:val="4D08DC30"/>
    <w:rsid w:val="4D0E1DC6"/>
    <w:rsid w:val="4D10DE74"/>
    <w:rsid w:val="4D11F7CD"/>
    <w:rsid w:val="4D1CE5D8"/>
    <w:rsid w:val="4D1EC342"/>
    <w:rsid w:val="4D208937"/>
    <w:rsid w:val="4D23DD55"/>
    <w:rsid w:val="4D26A290"/>
    <w:rsid w:val="4D28AC75"/>
    <w:rsid w:val="4D29079E"/>
    <w:rsid w:val="4D41F077"/>
    <w:rsid w:val="4D43D54F"/>
    <w:rsid w:val="4D4B429B"/>
    <w:rsid w:val="4D52B7B3"/>
    <w:rsid w:val="4D5EA145"/>
    <w:rsid w:val="4D650848"/>
    <w:rsid w:val="4D66C399"/>
    <w:rsid w:val="4D6889E2"/>
    <w:rsid w:val="4D695624"/>
    <w:rsid w:val="4D6ED7ED"/>
    <w:rsid w:val="4D743ADC"/>
    <w:rsid w:val="4D77CC7B"/>
    <w:rsid w:val="4D7C5E47"/>
    <w:rsid w:val="4D7DFE6A"/>
    <w:rsid w:val="4D7E2FDC"/>
    <w:rsid w:val="4D8066DB"/>
    <w:rsid w:val="4D8232F1"/>
    <w:rsid w:val="4D833F22"/>
    <w:rsid w:val="4D841D4A"/>
    <w:rsid w:val="4D889248"/>
    <w:rsid w:val="4D91CE45"/>
    <w:rsid w:val="4D9DAE5F"/>
    <w:rsid w:val="4D9DC50F"/>
    <w:rsid w:val="4D9DE7AA"/>
    <w:rsid w:val="4DA7740C"/>
    <w:rsid w:val="4DA7E95F"/>
    <w:rsid w:val="4DA94031"/>
    <w:rsid w:val="4DB6C37C"/>
    <w:rsid w:val="4DB70351"/>
    <w:rsid w:val="4DBA4872"/>
    <w:rsid w:val="4DBBE8BE"/>
    <w:rsid w:val="4DC8B83B"/>
    <w:rsid w:val="4DCA93A2"/>
    <w:rsid w:val="4DDA2933"/>
    <w:rsid w:val="4DDC2AF9"/>
    <w:rsid w:val="4DDDA965"/>
    <w:rsid w:val="4DE57B3B"/>
    <w:rsid w:val="4DE9DA9E"/>
    <w:rsid w:val="4DECE372"/>
    <w:rsid w:val="4DEDDB9C"/>
    <w:rsid w:val="4DFA01CD"/>
    <w:rsid w:val="4DFA54FB"/>
    <w:rsid w:val="4DFE549F"/>
    <w:rsid w:val="4E0EBEE2"/>
    <w:rsid w:val="4E13C474"/>
    <w:rsid w:val="4E15F7AB"/>
    <w:rsid w:val="4E160181"/>
    <w:rsid w:val="4E1647D3"/>
    <w:rsid w:val="4E1686B6"/>
    <w:rsid w:val="4E17FDB2"/>
    <w:rsid w:val="4E1C907C"/>
    <w:rsid w:val="4E1CC9F2"/>
    <w:rsid w:val="4E2657DB"/>
    <w:rsid w:val="4E2AE800"/>
    <w:rsid w:val="4E31A5C1"/>
    <w:rsid w:val="4E33D3E9"/>
    <w:rsid w:val="4E3928ED"/>
    <w:rsid w:val="4E3A5D30"/>
    <w:rsid w:val="4E43D570"/>
    <w:rsid w:val="4E4A9C3C"/>
    <w:rsid w:val="4E4D47E0"/>
    <w:rsid w:val="4E5396C9"/>
    <w:rsid w:val="4E5747E2"/>
    <w:rsid w:val="4E5BC2D4"/>
    <w:rsid w:val="4E61C1BE"/>
    <w:rsid w:val="4E69683F"/>
    <w:rsid w:val="4E6E548D"/>
    <w:rsid w:val="4E74AF66"/>
    <w:rsid w:val="4E75C203"/>
    <w:rsid w:val="4E789855"/>
    <w:rsid w:val="4E82E8C0"/>
    <w:rsid w:val="4E835AEC"/>
    <w:rsid w:val="4E867C0B"/>
    <w:rsid w:val="4E86DDD1"/>
    <w:rsid w:val="4E8CFD70"/>
    <w:rsid w:val="4E8F491A"/>
    <w:rsid w:val="4E96020E"/>
    <w:rsid w:val="4E98E8C7"/>
    <w:rsid w:val="4E9AEA91"/>
    <w:rsid w:val="4E9B16C0"/>
    <w:rsid w:val="4EA508D7"/>
    <w:rsid w:val="4EAB2D76"/>
    <w:rsid w:val="4EAD5CC4"/>
    <w:rsid w:val="4EAFC84E"/>
    <w:rsid w:val="4EB28574"/>
    <w:rsid w:val="4EB5F65D"/>
    <w:rsid w:val="4EB6A3EE"/>
    <w:rsid w:val="4EB905F0"/>
    <w:rsid w:val="4EC7C234"/>
    <w:rsid w:val="4EC83375"/>
    <w:rsid w:val="4ECD97B2"/>
    <w:rsid w:val="4ED13D0F"/>
    <w:rsid w:val="4ED5C2A8"/>
    <w:rsid w:val="4ED5F91F"/>
    <w:rsid w:val="4ED6D6B2"/>
    <w:rsid w:val="4EDEC985"/>
    <w:rsid w:val="4EE0CB59"/>
    <w:rsid w:val="4EE1DB7B"/>
    <w:rsid w:val="4EE9750E"/>
    <w:rsid w:val="4EEF6787"/>
    <w:rsid w:val="4EF66738"/>
    <w:rsid w:val="4EFB6971"/>
    <w:rsid w:val="4EFE1D0A"/>
    <w:rsid w:val="4F00B87A"/>
    <w:rsid w:val="4F00E3D6"/>
    <w:rsid w:val="4F03628E"/>
    <w:rsid w:val="4F0A1E3A"/>
    <w:rsid w:val="4F0F7D84"/>
    <w:rsid w:val="4F164BB1"/>
    <w:rsid w:val="4F1872F8"/>
    <w:rsid w:val="4F1B5535"/>
    <w:rsid w:val="4F1B75E4"/>
    <w:rsid w:val="4F1DC9BC"/>
    <w:rsid w:val="4F20300F"/>
    <w:rsid w:val="4F262092"/>
    <w:rsid w:val="4F278DB2"/>
    <w:rsid w:val="4F2B41FB"/>
    <w:rsid w:val="4F2E3D5F"/>
    <w:rsid w:val="4F322C63"/>
    <w:rsid w:val="4F32C9E0"/>
    <w:rsid w:val="4F37300E"/>
    <w:rsid w:val="4F3F4CC6"/>
    <w:rsid w:val="4F42F34C"/>
    <w:rsid w:val="4F47CFBD"/>
    <w:rsid w:val="4F48A0E9"/>
    <w:rsid w:val="4F493E31"/>
    <w:rsid w:val="4F4E7EFC"/>
    <w:rsid w:val="4F4F446C"/>
    <w:rsid w:val="4F5F2B95"/>
    <w:rsid w:val="4F63DC92"/>
    <w:rsid w:val="4F6638A6"/>
    <w:rsid w:val="4F6CD1C7"/>
    <w:rsid w:val="4F6D875D"/>
    <w:rsid w:val="4F72971E"/>
    <w:rsid w:val="4F7BAF1D"/>
    <w:rsid w:val="4F9B3EB9"/>
    <w:rsid w:val="4F9C5FD6"/>
    <w:rsid w:val="4F9E5A7A"/>
    <w:rsid w:val="4FA0C442"/>
    <w:rsid w:val="4FA0C9CA"/>
    <w:rsid w:val="4FA5C607"/>
    <w:rsid w:val="4FA9ED77"/>
    <w:rsid w:val="4FAE7D8D"/>
    <w:rsid w:val="4FB16CBF"/>
    <w:rsid w:val="4FB1FEB7"/>
    <w:rsid w:val="4FB25060"/>
    <w:rsid w:val="4FBBA4BB"/>
    <w:rsid w:val="4FC10AA5"/>
    <w:rsid w:val="4FC3D941"/>
    <w:rsid w:val="4FDAB588"/>
    <w:rsid w:val="4FDE1494"/>
    <w:rsid w:val="4FE70A69"/>
    <w:rsid w:val="4FEAE4CA"/>
    <w:rsid w:val="4FEB1578"/>
    <w:rsid w:val="4FEB951B"/>
    <w:rsid w:val="4FEE8F81"/>
    <w:rsid w:val="4FEFFEFF"/>
    <w:rsid w:val="4FF3C9C3"/>
    <w:rsid w:val="4FF4CED2"/>
    <w:rsid w:val="4FFD64A0"/>
    <w:rsid w:val="4FFF6B45"/>
    <w:rsid w:val="50051AC5"/>
    <w:rsid w:val="500F5111"/>
    <w:rsid w:val="5010BEB2"/>
    <w:rsid w:val="50160865"/>
    <w:rsid w:val="501EB8AF"/>
    <w:rsid w:val="50232B23"/>
    <w:rsid w:val="50237515"/>
    <w:rsid w:val="502803F3"/>
    <w:rsid w:val="50292E79"/>
    <w:rsid w:val="502A2925"/>
    <w:rsid w:val="502B29C4"/>
    <w:rsid w:val="502E8F4F"/>
    <w:rsid w:val="50338E24"/>
    <w:rsid w:val="5033A2FF"/>
    <w:rsid w:val="503C7A08"/>
    <w:rsid w:val="503D71C3"/>
    <w:rsid w:val="503DD7EE"/>
    <w:rsid w:val="503ECA4B"/>
    <w:rsid w:val="50438EB1"/>
    <w:rsid w:val="50454E86"/>
    <w:rsid w:val="504C766C"/>
    <w:rsid w:val="50564796"/>
    <w:rsid w:val="50581291"/>
    <w:rsid w:val="505BDCE1"/>
    <w:rsid w:val="505F0655"/>
    <w:rsid w:val="505F822E"/>
    <w:rsid w:val="5063E1F3"/>
    <w:rsid w:val="5068318A"/>
    <w:rsid w:val="5077407C"/>
    <w:rsid w:val="50831D20"/>
    <w:rsid w:val="5085FC28"/>
    <w:rsid w:val="508D9027"/>
    <w:rsid w:val="508DB996"/>
    <w:rsid w:val="5094154A"/>
    <w:rsid w:val="50965DAC"/>
    <w:rsid w:val="5097A9A9"/>
    <w:rsid w:val="5097C6C6"/>
    <w:rsid w:val="50985A56"/>
    <w:rsid w:val="509B63F8"/>
    <w:rsid w:val="509DF3DD"/>
    <w:rsid w:val="50A0E419"/>
    <w:rsid w:val="50AAC5EC"/>
    <w:rsid w:val="50ABD202"/>
    <w:rsid w:val="50B4717A"/>
    <w:rsid w:val="50B567D2"/>
    <w:rsid w:val="50B88322"/>
    <w:rsid w:val="50C0D2D1"/>
    <w:rsid w:val="50C4BC09"/>
    <w:rsid w:val="50C4DF12"/>
    <w:rsid w:val="50C6FDDC"/>
    <w:rsid w:val="50CB87A1"/>
    <w:rsid w:val="50CF3EEF"/>
    <w:rsid w:val="50D0C69E"/>
    <w:rsid w:val="50D312F7"/>
    <w:rsid w:val="50D4FEAA"/>
    <w:rsid w:val="50DB5DA1"/>
    <w:rsid w:val="50DCBB05"/>
    <w:rsid w:val="50DF7E15"/>
    <w:rsid w:val="50E11567"/>
    <w:rsid w:val="50E644C7"/>
    <w:rsid w:val="50E8FF9B"/>
    <w:rsid w:val="50EB980F"/>
    <w:rsid w:val="50F239AC"/>
    <w:rsid w:val="50F5E5CB"/>
    <w:rsid w:val="50F5F809"/>
    <w:rsid w:val="50F69908"/>
    <w:rsid w:val="50FFAD14"/>
    <w:rsid w:val="510458DC"/>
    <w:rsid w:val="510CFBDB"/>
    <w:rsid w:val="5111F6CD"/>
    <w:rsid w:val="51148336"/>
    <w:rsid w:val="512281FD"/>
    <w:rsid w:val="5122D277"/>
    <w:rsid w:val="51255679"/>
    <w:rsid w:val="51295DE9"/>
    <w:rsid w:val="5129D54E"/>
    <w:rsid w:val="512C7514"/>
    <w:rsid w:val="512D740B"/>
    <w:rsid w:val="51354D14"/>
    <w:rsid w:val="513831C8"/>
    <w:rsid w:val="513C9951"/>
    <w:rsid w:val="5142B6B9"/>
    <w:rsid w:val="51456C6B"/>
    <w:rsid w:val="51592198"/>
    <w:rsid w:val="515946F1"/>
    <w:rsid w:val="51630968"/>
    <w:rsid w:val="5164F8A4"/>
    <w:rsid w:val="5166A71E"/>
    <w:rsid w:val="5168FC1C"/>
    <w:rsid w:val="516BFDEE"/>
    <w:rsid w:val="5174102C"/>
    <w:rsid w:val="517495E5"/>
    <w:rsid w:val="517A747C"/>
    <w:rsid w:val="517B040E"/>
    <w:rsid w:val="517B5CB2"/>
    <w:rsid w:val="517E0B06"/>
    <w:rsid w:val="5180011C"/>
    <w:rsid w:val="5184319F"/>
    <w:rsid w:val="5185EB71"/>
    <w:rsid w:val="51888A0E"/>
    <w:rsid w:val="5188AE29"/>
    <w:rsid w:val="51894A84"/>
    <w:rsid w:val="518A90FA"/>
    <w:rsid w:val="518D1389"/>
    <w:rsid w:val="5191A4CB"/>
    <w:rsid w:val="51968D54"/>
    <w:rsid w:val="519A7943"/>
    <w:rsid w:val="51A8D8F8"/>
    <w:rsid w:val="51B028C1"/>
    <w:rsid w:val="51B6BC77"/>
    <w:rsid w:val="51C166AC"/>
    <w:rsid w:val="51CFDC91"/>
    <w:rsid w:val="51D1B36F"/>
    <w:rsid w:val="51D2158D"/>
    <w:rsid w:val="51D8EF50"/>
    <w:rsid w:val="51DC6521"/>
    <w:rsid w:val="51E4C6B7"/>
    <w:rsid w:val="51E71E05"/>
    <w:rsid w:val="51EC3404"/>
    <w:rsid w:val="51EFC22C"/>
    <w:rsid w:val="51F0AF97"/>
    <w:rsid w:val="51F25A79"/>
    <w:rsid w:val="51F425FC"/>
    <w:rsid w:val="52057EC9"/>
    <w:rsid w:val="5209125D"/>
    <w:rsid w:val="520FADDC"/>
    <w:rsid w:val="521694F0"/>
    <w:rsid w:val="52231BF3"/>
    <w:rsid w:val="52247AAB"/>
    <w:rsid w:val="52308442"/>
    <w:rsid w:val="523288E9"/>
    <w:rsid w:val="523C5752"/>
    <w:rsid w:val="523E2D1C"/>
    <w:rsid w:val="5243B008"/>
    <w:rsid w:val="5247F562"/>
    <w:rsid w:val="524B6369"/>
    <w:rsid w:val="52500E1E"/>
    <w:rsid w:val="5251F385"/>
    <w:rsid w:val="52532A85"/>
    <w:rsid w:val="5253949C"/>
    <w:rsid w:val="5253B229"/>
    <w:rsid w:val="525A1D7D"/>
    <w:rsid w:val="525BFE6F"/>
    <w:rsid w:val="52658E28"/>
    <w:rsid w:val="5268A5BF"/>
    <w:rsid w:val="527454C3"/>
    <w:rsid w:val="52753B8D"/>
    <w:rsid w:val="52793583"/>
    <w:rsid w:val="528069C6"/>
    <w:rsid w:val="5282BB25"/>
    <w:rsid w:val="5284FF3D"/>
    <w:rsid w:val="528B6F84"/>
    <w:rsid w:val="528C559F"/>
    <w:rsid w:val="528D9D90"/>
    <w:rsid w:val="528EBD59"/>
    <w:rsid w:val="52920153"/>
    <w:rsid w:val="5292E9A0"/>
    <w:rsid w:val="52957046"/>
    <w:rsid w:val="5295B132"/>
    <w:rsid w:val="529AABFD"/>
    <w:rsid w:val="529D65B9"/>
    <w:rsid w:val="529D7F1C"/>
    <w:rsid w:val="529F5892"/>
    <w:rsid w:val="52A047D7"/>
    <w:rsid w:val="52A1565F"/>
    <w:rsid w:val="52A4E52C"/>
    <w:rsid w:val="52A6D949"/>
    <w:rsid w:val="52A72321"/>
    <w:rsid w:val="52A8EC5E"/>
    <w:rsid w:val="52AD7283"/>
    <w:rsid w:val="52AF570B"/>
    <w:rsid w:val="52B7A60E"/>
    <w:rsid w:val="52BB568B"/>
    <w:rsid w:val="52BD3280"/>
    <w:rsid w:val="52BDAAAD"/>
    <w:rsid w:val="52BDC8E8"/>
    <w:rsid w:val="52BFDCA4"/>
    <w:rsid w:val="52C986DD"/>
    <w:rsid w:val="52E74A50"/>
    <w:rsid w:val="52E8B02D"/>
    <w:rsid w:val="52E9CA4B"/>
    <w:rsid w:val="52EBF5F9"/>
    <w:rsid w:val="52EECBF4"/>
    <w:rsid w:val="52FB03C7"/>
    <w:rsid w:val="52FBF915"/>
    <w:rsid w:val="52FF62BB"/>
    <w:rsid w:val="531267B6"/>
    <w:rsid w:val="5312C90F"/>
    <w:rsid w:val="53167502"/>
    <w:rsid w:val="5316AE24"/>
    <w:rsid w:val="532645B7"/>
    <w:rsid w:val="5326CBF5"/>
    <w:rsid w:val="53277FD8"/>
    <w:rsid w:val="53291A9B"/>
    <w:rsid w:val="532FADC5"/>
    <w:rsid w:val="533223B9"/>
    <w:rsid w:val="53356C73"/>
    <w:rsid w:val="5338CE72"/>
    <w:rsid w:val="53394743"/>
    <w:rsid w:val="534161A8"/>
    <w:rsid w:val="53488B51"/>
    <w:rsid w:val="534F593D"/>
    <w:rsid w:val="534F6ADE"/>
    <w:rsid w:val="53508D0E"/>
    <w:rsid w:val="535291CF"/>
    <w:rsid w:val="535734A0"/>
    <w:rsid w:val="5360CE64"/>
    <w:rsid w:val="5360F66E"/>
    <w:rsid w:val="53613561"/>
    <w:rsid w:val="536B85A9"/>
    <w:rsid w:val="537A5B68"/>
    <w:rsid w:val="5380023B"/>
    <w:rsid w:val="5381266C"/>
    <w:rsid w:val="53897241"/>
    <w:rsid w:val="5399E03A"/>
    <w:rsid w:val="539C4F8B"/>
    <w:rsid w:val="539CB4F9"/>
    <w:rsid w:val="53A3D135"/>
    <w:rsid w:val="53A703F0"/>
    <w:rsid w:val="53A94E79"/>
    <w:rsid w:val="53B79975"/>
    <w:rsid w:val="53B91EC5"/>
    <w:rsid w:val="53BB8C5C"/>
    <w:rsid w:val="53BCAB11"/>
    <w:rsid w:val="53BE808E"/>
    <w:rsid w:val="53C579DB"/>
    <w:rsid w:val="53C6022E"/>
    <w:rsid w:val="53C9D505"/>
    <w:rsid w:val="53CB6C2D"/>
    <w:rsid w:val="53D85F8D"/>
    <w:rsid w:val="53DEECCA"/>
    <w:rsid w:val="53E4E251"/>
    <w:rsid w:val="53E83A32"/>
    <w:rsid w:val="53EB7480"/>
    <w:rsid w:val="53F3441F"/>
    <w:rsid w:val="53FA191B"/>
    <w:rsid w:val="53FABD04"/>
    <w:rsid w:val="53FC07B4"/>
    <w:rsid w:val="5400E9FD"/>
    <w:rsid w:val="5403DEC3"/>
    <w:rsid w:val="540B3916"/>
    <w:rsid w:val="540B5019"/>
    <w:rsid w:val="540C72C7"/>
    <w:rsid w:val="5415F35F"/>
    <w:rsid w:val="541A61E9"/>
    <w:rsid w:val="5426D176"/>
    <w:rsid w:val="5433593F"/>
    <w:rsid w:val="5435DAC7"/>
    <w:rsid w:val="54364A3C"/>
    <w:rsid w:val="5436F514"/>
    <w:rsid w:val="5438CA53"/>
    <w:rsid w:val="5439224E"/>
    <w:rsid w:val="543D654B"/>
    <w:rsid w:val="545185C5"/>
    <w:rsid w:val="5458CBCD"/>
    <w:rsid w:val="545FAC61"/>
    <w:rsid w:val="546416BB"/>
    <w:rsid w:val="546624EB"/>
    <w:rsid w:val="546D085D"/>
    <w:rsid w:val="546F309A"/>
    <w:rsid w:val="54702AD8"/>
    <w:rsid w:val="547D9BE9"/>
    <w:rsid w:val="5482F114"/>
    <w:rsid w:val="548352C2"/>
    <w:rsid w:val="54839D26"/>
    <w:rsid w:val="5483C357"/>
    <w:rsid w:val="548B45AC"/>
    <w:rsid w:val="54995FA6"/>
    <w:rsid w:val="54A100E7"/>
    <w:rsid w:val="54A9ACC6"/>
    <w:rsid w:val="54AA5636"/>
    <w:rsid w:val="54ADD17F"/>
    <w:rsid w:val="54BF763F"/>
    <w:rsid w:val="54C628BC"/>
    <w:rsid w:val="54C652F7"/>
    <w:rsid w:val="54C7829D"/>
    <w:rsid w:val="54CAB35D"/>
    <w:rsid w:val="54D094D9"/>
    <w:rsid w:val="54D248EF"/>
    <w:rsid w:val="54DCEC32"/>
    <w:rsid w:val="54DEA2F3"/>
    <w:rsid w:val="54DFD1DB"/>
    <w:rsid w:val="54DFEC55"/>
    <w:rsid w:val="54E67396"/>
    <w:rsid w:val="54E7372C"/>
    <w:rsid w:val="54EA925E"/>
    <w:rsid w:val="54F29D09"/>
    <w:rsid w:val="54FCD277"/>
    <w:rsid w:val="54FF54F0"/>
    <w:rsid w:val="55055641"/>
    <w:rsid w:val="55074A59"/>
    <w:rsid w:val="550A2ED8"/>
    <w:rsid w:val="55123DC2"/>
    <w:rsid w:val="551296BF"/>
    <w:rsid w:val="551779CE"/>
    <w:rsid w:val="551B6E83"/>
    <w:rsid w:val="551EC4AB"/>
    <w:rsid w:val="5522F228"/>
    <w:rsid w:val="5527FB34"/>
    <w:rsid w:val="552F0656"/>
    <w:rsid w:val="55301570"/>
    <w:rsid w:val="55341B9E"/>
    <w:rsid w:val="55362CBC"/>
    <w:rsid w:val="5538E430"/>
    <w:rsid w:val="55419057"/>
    <w:rsid w:val="5543A45C"/>
    <w:rsid w:val="554599BD"/>
    <w:rsid w:val="5547F9DB"/>
    <w:rsid w:val="55485041"/>
    <w:rsid w:val="554D7E4E"/>
    <w:rsid w:val="554F0C87"/>
    <w:rsid w:val="554F1490"/>
    <w:rsid w:val="5552A844"/>
    <w:rsid w:val="55552CEA"/>
    <w:rsid w:val="555743BF"/>
    <w:rsid w:val="555CB12B"/>
    <w:rsid w:val="5566A0B6"/>
    <w:rsid w:val="55724A41"/>
    <w:rsid w:val="557A3007"/>
    <w:rsid w:val="557A3EA8"/>
    <w:rsid w:val="557B1A0F"/>
    <w:rsid w:val="557BE08F"/>
    <w:rsid w:val="557E1A0F"/>
    <w:rsid w:val="55842BF8"/>
    <w:rsid w:val="55859A17"/>
    <w:rsid w:val="5585CEEA"/>
    <w:rsid w:val="558DCFB6"/>
    <w:rsid w:val="559017A8"/>
    <w:rsid w:val="55918EF5"/>
    <w:rsid w:val="55939F31"/>
    <w:rsid w:val="5598F3C9"/>
    <w:rsid w:val="559B8A24"/>
    <w:rsid w:val="559E060B"/>
    <w:rsid w:val="55AB2BB2"/>
    <w:rsid w:val="55AB6690"/>
    <w:rsid w:val="55AF03F4"/>
    <w:rsid w:val="55B11C4E"/>
    <w:rsid w:val="55BF4FB3"/>
    <w:rsid w:val="55C1FF8E"/>
    <w:rsid w:val="55C30248"/>
    <w:rsid w:val="55C607C9"/>
    <w:rsid w:val="55CA885D"/>
    <w:rsid w:val="55CC84F9"/>
    <w:rsid w:val="55CFDB57"/>
    <w:rsid w:val="55D092B2"/>
    <w:rsid w:val="55D1BBFB"/>
    <w:rsid w:val="55DF07FA"/>
    <w:rsid w:val="55E4E967"/>
    <w:rsid w:val="55ED0BA1"/>
    <w:rsid w:val="55F113FD"/>
    <w:rsid w:val="55F4DD92"/>
    <w:rsid w:val="55F75E6B"/>
    <w:rsid w:val="55FCCA37"/>
    <w:rsid w:val="55FF1949"/>
    <w:rsid w:val="5600019E"/>
    <w:rsid w:val="5605296F"/>
    <w:rsid w:val="5607D0B4"/>
    <w:rsid w:val="560C24AC"/>
    <w:rsid w:val="56107CAE"/>
    <w:rsid w:val="56133C36"/>
    <w:rsid w:val="56152924"/>
    <w:rsid w:val="56179019"/>
    <w:rsid w:val="56230F41"/>
    <w:rsid w:val="5629ED62"/>
    <w:rsid w:val="562F1510"/>
    <w:rsid w:val="56326574"/>
    <w:rsid w:val="5633E924"/>
    <w:rsid w:val="56375B7D"/>
    <w:rsid w:val="563A8B0B"/>
    <w:rsid w:val="5640B2A5"/>
    <w:rsid w:val="56451360"/>
    <w:rsid w:val="564722F9"/>
    <w:rsid w:val="564F963D"/>
    <w:rsid w:val="56508E49"/>
    <w:rsid w:val="5652130A"/>
    <w:rsid w:val="56532EE2"/>
    <w:rsid w:val="56558FDB"/>
    <w:rsid w:val="56577DE1"/>
    <w:rsid w:val="56595CE8"/>
    <w:rsid w:val="56601E7E"/>
    <w:rsid w:val="5662350D"/>
    <w:rsid w:val="56631866"/>
    <w:rsid w:val="566499CD"/>
    <w:rsid w:val="56715BC8"/>
    <w:rsid w:val="567369CA"/>
    <w:rsid w:val="5677FB19"/>
    <w:rsid w:val="5680F13B"/>
    <w:rsid w:val="5687B3A2"/>
    <w:rsid w:val="568B3813"/>
    <w:rsid w:val="56902390"/>
    <w:rsid w:val="5692B168"/>
    <w:rsid w:val="569777DF"/>
    <w:rsid w:val="569F35A4"/>
    <w:rsid w:val="56A1E7D6"/>
    <w:rsid w:val="56B28F2C"/>
    <w:rsid w:val="56B44557"/>
    <w:rsid w:val="56B86240"/>
    <w:rsid w:val="56D32228"/>
    <w:rsid w:val="56D824C1"/>
    <w:rsid w:val="56D95FED"/>
    <w:rsid w:val="56DA73A7"/>
    <w:rsid w:val="56DFADCA"/>
    <w:rsid w:val="56E458DA"/>
    <w:rsid w:val="56E5FA49"/>
    <w:rsid w:val="56F921E1"/>
    <w:rsid w:val="57019834"/>
    <w:rsid w:val="57127EE5"/>
    <w:rsid w:val="5712DDD1"/>
    <w:rsid w:val="57144765"/>
    <w:rsid w:val="5723B07D"/>
    <w:rsid w:val="572616D1"/>
    <w:rsid w:val="5726B5ED"/>
    <w:rsid w:val="572B17F1"/>
    <w:rsid w:val="573C72A4"/>
    <w:rsid w:val="573F6C25"/>
    <w:rsid w:val="57431C2D"/>
    <w:rsid w:val="5743EF1E"/>
    <w:rsid w:val="5744125A"/>
    <w:rsid w:val="5744874A"/>
    <w:rsid w:val="57473C48"/>
    <w:rsid w:val="5748E3EF"/>
    <w:rsid w:val="57575C48"/>
    <w:rsid w:val="57582E91"/>
    <w:rsid w:val="575FDDFC"/>
    <w:rsid w:val="5760DF3D"/>
    <w:rsid w:val="576419FB"/>
    <w:rsid w:val="576A3615"/>
    <w:rsid w:val="576F3FE2"/>
    <w:rsid w:val="57716CE8"/>
    <w:rsid w:val="5772C056"/>
    <w:rsid w:val="577897CD"/>
    <w:rsid w:val="578014E7"/>
    <w:rsid w:val="5788C94F"/>
    <w:rsid w:val="578DE920"/>
    <w:rsid w:val="5791388E"/>
    <w:rsid w:val="5792E791"/>
    <w:rsid w:val="579A4324"/>
    <w:rsid w:val="579B54A8"/>
    <w:rsid w:val="57A06742"/>
    <w:rsid w:val="57A2280A"/>
    <w:rsid w:val="57A4463D"/>
    <w:rsid w:val="57A91CD9"/>
    <w:rsid w:val="57AA3004"/>
    <w:rsid w:val="57AAC16B"/>
    <w:rsid w:val="57AC28FE"/>
    <w:rsid w:val="57AEA372"/>
    <w:rsid w:val="57AF3529"/>
    <w:rsid w:val="57B12154"/>
    <w:rsid w:val="57B7CC28"/>
    <w:rsid w:val="57BDD45C"/>
    <w:rsid w:val="57C644CA"/>
    <w:rsid w:val="57D29FE5"/>
    <w:rsid w:val="57DE0CEA"/>
    <w:rsid w:val="57E50802"/>
    <w:rsid w:val="57ED0AFD"/>
    <w:rsid w:val="57F43283"/>
    <w:rsid w:val="57F9E0CF"/>
    <w:rsid w:val="57FA1A53"/>
    <w:rsid w:val="57FD8D7D"/>
    <w:rsid w:val="57FEB69D"/>
    <w:rsid w:val="5801982B"/>
    <w:rsid w:val="58039410"/>
    <w:rsid w:val="5807A6AC"/>
    <w:rsid w:val="580A52AE"/>
    <w:rsid w:val="580BA53B"/>
    <w:rsid w:val="580D74D5"/>
    <w:rsid w:val="580DC12A"/>
    <w:rsid w:val="5814CF94"/>
    <w:rsid w:val="5816191B"/>
    <w:rsid w:val="581937B2"/>
    <w:rsid w:val="581DDAB1"/>
    <w:rsid w:val="58205E73"/>
    <w:rsid w:val="5823F1F5"/>
    <w:rsid w:val="5831647A"/>
    <w:rsid w:val="5835B891"/>
    <w:rsid w:val="5839B157"/>
    <w:rsid w:val="584495DE"/>
    <w:rsid w:val="5848CD36"/>
    <w:rsid w:val="5859C943"/>
    <w:rsid w:val="585E45F2"/>
    <w:rsid w:val="586251DE"/>
    <w:rsid w:val="586464A4"/>
    <w:rsid w:val="58654517"/>
    <w:rsid w:val="5865F56F"/>
    <w:rsid w:val="5866CCF0"/>
    <w:rsid w:val="586778E3"/>
    <w:rsid w:val="587126A7"/>
    <w:rsid w:val="587AC85F"/>
    <w:rsid w:val="5884E454"/>
    <w:rsid w:val="58865E63"/>
    <w:rsid w:val="5889C277"/>
    <w:rsid w:val="588DB61E"/>
    <w:rsid w:val="588F6316"/>
    <w:rsid w:val="5890D5D0"/>
    <w:rsid w:val="5898B678"/>
    <w:rsid w:val="589D2D67"/>
    <w:rsid w:val="58A2D7E8"/>
    <w:rsid w:val="58A5BA52"/>
    <w:rsid w:val="58A62937"/>
    <w:rsid w:val="58AEED0C"/>
    <w:rsid w:val="58B75774"/>
    <w:rsid w:val="58B88F4C"/>
    <w:rsid w:val="58BACEAD"/>
    <w:rsid w:val="58BE4D49"/>
    <w:rsid w:val="58C4E604"/>
    <w:rsid w:val="58C85087"/>
    <w:rsid w:val="58C8815F"/>
    <w:rsid w:val="58CC4B56"/>
    <w:rsid w:val="58D0A86C"/>
    <w:rsid w:val="58DE4C0D"/>
    <w:rsid w:val="58DF82F8"/>
    <w:rsid w:val="58E3CF4A"/>
    <w:rsid w:val="58E5A587"/>
    <w:rsid w:val="58F2A0D1"/>
    <w:rsid w:val="58F31570"/>
    <w:rsid w:val="58F51554"/>
    <w:rsid w:val="58FE3CF6"/>
    <w:rsid w:val="590284E3"/>
    <w:rsid w:val="5903C8FC"/>
    <w:rsid w:val="59070501"/>
    <w:rsid w:val="590FEFDB"/>
    <w:rsid w:val="5910183F"/>
    <w:rsid w:val="591B6486"/>
    <w:rsid w:val="59212E7A"/>
    <w:rsid w:val="59255B31"/>
    <w:rsid w:val="593111B8"/>
    <w:rsid w:val="5933A1D8"/>
    <w:rsid w:val="59342E19"/>
    <w:rsid w:val="5935ABFA"/>
    <w:rsid w:val="5940DD1F"/>
    <w:rsid w:val="5943CC00"/>
    <w:rsid w:val="59462D0B"/>
    <w:rsid w:val="594A9DB5"/>
    <w:rsid w:val="59580986"/>
    <w:rsid w:val="595DE1DA"/>
    <w:rsid w:val="595EB0E9"/>
    <w:rsid w:val="59615CE4"/>
    <w:rsid w:val="59644CE6"/>
    <w:rsid w:val="596B2B37"/>
    <w:rsid w:val="597367BF"/>
    <w:rsid w:val="597674EC"/>
    <w:rsid w:val="597F4C8F"/>
    <w:rsid w:val="598097BC"/>
    <w:rsid w:val="59813A6A"/>
    <w:rsid w:val="59847491"/>
    <w:rsid w:val="59856FBF"/>
    <w:rsid w:val="59896E42"/>
    <w:rsid w:val="5989E313"/>
    <w:rsid w:val="5997F274"/>
    <w:rsid w:val="59993943"/>
    <w:rsid w:val="599BFB68"/>
    <w:rsid w:val="599D9015"/>
    <w:rsid w:val="599D998F"/>
    <w:rsid w:val="59A155CF"/>
    <w:rsid w:val="59A7A139"/>
    <w:rsid w:val="59A9489D"/>
    <w:rsid w:val="59AA62CF"/>
    <w:rsid w:val="59AC7315"/>
    <w:rsid w:val="59AF9A69"/>
    <w:rsid w:val="59B4999A"/>
    <w:rsid w:val="59B4A51A"/>
    <w:rsid w:val="59B832F7"/>
    <w:rsid w:val="59B9C44C"/>
    <w:rsid w:val="59BDB408"/>
    <w:rsid w:val="59BDE097"/>
    <w:rsid w:val="59C1E508"/>
    <w:rsid w:val="59C396A7"/>
    <w:rsid w:val="59C57598"/>
    <w:rsid w:val="59C8A54B"/>
    <w:rsid w:val="59D0F7D2"/>
    <w:rsid w:val="59D4FC2B"/>
    <w:rsid w:val="59DB355B"/>
    <w:rsid w:val="59DBE040"/>
    <w:rsid w:val="59E70599"/>
    <w:rsid w:val="59FAC575"/>
    <w:rsid w:val="59FCB6A6"/>
    <w:rsid w:val="5A024D9B"/>
    <w:rsid w:val="5A038069"/>
    <w:rsid w:val="5A054DE5"/>
    <w:rsid w:val="5A0AF9DF"/>
    <w:rsid w:val="5A0E8F24"/>
    <w:rsid w:val="5A15F65A"/>
    <w:rsid w:val="5A16C1FD"/>
    <w:rsid w:val="5A1EE2FC"/>
    <w:rsid w:val="5A20AC33"/>
    <w:rsid w:val="5A25D89E"/>
    <w:rsid w:val="5A2AC542"/>
    <w:rsid w:val="5A2CD083"/>
    <w:rsid w:val="5A389A25"/>
    <w:rsid w:val="5A3A1006"/>
    <w:rsid w:val="5A4140C5"/>
    <w:rsid w:val="5A4D4467"/>
    <w:rsid w:val="5A514452"/>
    <w:rsid w:val="5A52A2FF"/>
    <w:rsid w:val="5A5702EC"/>
    <w:rsid w:val="5A57E29A"/>
    <w:rsid w:val="5A5B8C86"/>
    <w:rsid w:val="5A653480"/>
    <w:rsid w:val="5A69EB8B"/>
    <w:rsid w:val="5A6D4CC0"/>
    <w:rsid w:val="5A8377BF"/>
    <w:rsid w:val="5A8E6550"/>
    <w:rsid w:val="5A936986"/>
    <w:rsid w:val="5A937F5A"/>
    <w:rsid w:val="5A9BB90D"/>
    <w:rsid w:val="5A9C3706"/>
    <w:rsid w:val="5AAAB944"/>
    <w:rsid w:val="5AAB8B97"/>
    <w:rsid w:val="5AB82B28"/>
    <w:rsid w:val="5AC0893F"/>
    <w:rsid w:val="5AC2495F"/>
    <w:rsid w:val="5AC29257"/>
    <w:rsid w:val="5AC6D28B"/>
    <w:rsid w:val="5AC94B56"/>
    <w:rsid w:val="5AD0D412"/>
    <w:rsid w:val="5AD1608F"/>
    <w:rsid w:val="5AD18534"/>
    <w:rsid w:val="5AD4E209"/>
    <w:rsid w:val="5AD571A9"/>
    <w:rsid w:val="5AD866B6"/>
    <w:rsid w:val="5AD9341D"/>
    <w:rsid w:val="5AD9BF86"/>
    <w:rsid w:val="5ADEF9C3"/>
    <w:rsid w:val="5AEA766E"/>
    <w:rsid w:val="5AECE15F"/>
    <w:rsid w:val="5AEE0336"/>
    <w:rsid w:val="5AF33EF4"/>
    <w:rsid w:val="5AF94814"/>
    <w:rsid w:val="5AFBAD38"/>
    <w:rsid w:val="5B147CC8"/>
    <w:rsid w:val="5B1508F3"/>
    <w:rsid w:val="5B199090"/>
    <w:rsid w:val="5B1FA7FB"/>
    <w:rsid w:val="5B223F7F"/>
    <w:rsid w:val="5B24BAF9"/>
    <w:rsid w:val="5B28EB7E"/>
    <w:rsid w:val="5B36B237"/>
    <w:rsid w:val="5B383D56"/>
    <w:rsid w:val="5B3842B2"/>
    <w:rsid w:val="5B38BD28"/>
    <w:rsid w:val="5B3A6195"/>
    <w:rsid w:val="5B439CE8"/>
    <w:rsid w:val="5B43BAAA"/>
    <w:rsid w:val="5B49C588"/>
    <w:rsid w:val="5B4B1566"/>
    <w:rsid w:val="5B4C88AB"/>
    <w:rsid w:val="5B5109AE"/>
    <w:rsid w:val="5B5136D0"/>
    <w:rsid w:val="5B57804A"/>
    <w:rsid w:val="5B580563"/>
    <w:rsid w:val="5B5A9ED7"/>
    <w:rsid w:val="5B5B3A66"/>
    <w:rsid w:val="5B731380"/>
    <w:rsid w:val="5B7E0E26"/>
    <w:rsid w:val="5B7EC889"/>
    <w:rsid w:val="5B7ED067"/>
    <w:rsid w:val="5B7FF1A1"/>
    <w:rsid w:val="5B80B288"/>
    <w:rsid w:val="5B84F0AC"/>
    <w:rsid w:val="5B85CC3D"/>
    <w:rsid w:val="5B874741"/>
    <w:rsid w:val="5B8BCF97"/>
    <w:rsid w:val="5B8D4DAD"/>
    <w:rsid w:val="5B9271BA"/>
    <w:rsid w:val="5B9E4BFA"/>
    <w:rsid w:val="5BA4D1BD"/>
    <w:rsid w:val="5BABFD2C"/>
    <w:rsid w:val="5BB1C7B0"/>
    <w:rsid w:val="5BB5AE02"/>
    <w:rsid w:val="5BBE9AA7"/>
    <w:rsid w:val="5BD4B02C"/>
    <w:rsid w:val="5BD73E3B"/>
    <w:rsid w:val="5BDD2A7B"/>
    <w:rsid w:val="5BE329AF"/>
    <w:rsid w:val="5BE34BFE"/>
    <w:rsid w:val="5BE6763A"/>
    <w:rsid w:val="5BE875CD"/>
    <w:rsid w:val="5BED7BFA"/>
    <w:rsid w:val="5BEE9F0C"/>
    <w:rsid w:val="5BF3EF0C"/>
    <w:rsid w:val="5BFC9D7A"/>
    <w:rsid w:val="5C03A8DA"/>
    <w:rsid w:val="5C0B365F"/>
    <w:rsid w:val="5C0CC76A"/>
    <w:rsid w:val="5C10DE51"/>
    <w:rsid w:val="5C1248F9"/>
    <w:rsid w:val="5C1732F9"/>
    <w:rsid w:val="5C18DD2B"/>
    <w:rsid w:val="5C1D63E3"/>
    <w:rsid w:val="5C222FB1"/>
    <w:rsid w:val="5C269C41"/>
    <w:rsid w:val="5C382F0F"/>
    <w:rsid w:val="5C3CC2F0"/>
    <w:rsid w:val="5C42E307"/>
    <w:rsid w:val="5C462A75"/>
    <w:rsid w:val="5C4658D5"/>
    <w:rsid w:val="5C484C06"/>
    <w:rsid w:val="5C52B052"/>
    <w:rsid w:val="5C5A05D5"/>
    <w:rsid w:val="5C5CADBF"/>
    <w:rsid w:val="5C5D306F"/>
    <w:rsid w:val="5C5DBCEA"/>
    <w:rsid w:val="5C5F2485"/>
    <w:rsid w:val="5C5F7FC8"/>
    <w:rsid w:val="5C5FEA74"/>
    <w:rsid w:val="5C614BCE"/>
    <w:rsid w:val="5C632776"/>
    <w:rsid w:val="5C6AE714"/>
    <w:rsid w:val="5C700DFD"/>
    <w:rsid w:val="5C7BA053"/>
    <w:rsid w:val="5C7F2E1C"/>
    <w:rsid w:val="5C8351D6"/>
    <w:rsid w:val="5C83DC33"/>
    <w:rsid w:val="5C846279"/>
    <w:rsid w:val="5C89A53D"/>
    <w:rsid w:val="5C8F1149"/>
    <w:rsid w:val="5C8FE7FC"/>
    <w:rsid w:val="5C95223B"/>
    <w:rsid w:val="5C975CBB"/>
    <w:rsid w:val="5C9C5FA8"/>
    <w:rsid w:val="5CA3A92D"/>
    <w:rsid w:val="5CA5D382"/>
    <w:rsid w:val="5CAC44E1"/>
    <w:rsid w:val="5CBBE66A"/>
    <w:rsid w:val="5CC0CF3B"/>
    <w:rsid w:val="5CC9BB67"/>
    <w:rsid w:val="5CCAC69D"/>
    <w:rsid w:val="5CD2CD69"/>
    <w:rsid w:val="5CD4B851"/>
    <w:rsid w:val="5CDFAF4B"/>
    <w:rsid w:val="5CE2E663"/>
    <w:rsid w:val="5CE44B07"/>
    <w:rsid w:val="5CE5B35F"/>
    <w:rsid w:val="5CE99466"/>
    <w:rsid w:val="5CEC0A0B"/>
    <w:rsid w:val="5CF32418"/>
    <w:rsid w:val="5CF9F373"/>
    <w:rsid w:val="5CFEDFBB"/>
    <w:rsid w:val="5D02660E"/>
    <w:rsid w:val="5D033F4B"/>
    <w:rsid w:val="5D09FB53"/>
    <w:rsid w:val="5D15F9D8"/>
    <w:rsid w:val="5D1DB7C7"/>
    <w:rsid w:val="5D1E5C6A"/>
    <w:rsid w:val="5D1EB72B"/>
    <w:rsid w:val="5D227B22"/>
    <w:rsid w:val="5D286A7A"/>
    <w:rsid w:val="5D3512D3"/>
    <w:rsid w:val="5D355677"/>
    <w:rsid w:val="5D38DECE"/>
    <w:rsid w:val="5D41FAEB"/>
    <w:rsid w:val="5D4F129C"/>
    <w:rsid w:val="5D57509D"/>
    <w:rsid w:val="5D5AB75B"/>
    <w:rsid w:val="5D61EC89"/>
    <w:rsid w:val="5D62A7CD"/>
    <w:rsid w:val="5D6417E6"/>
    <w:rsid w:val="5D64802D"/>
    <w:rsid w:val="5D654C50"/>
    <w:rsid w:val="5D760488"/>
    <w:rsid w:val="5D78C67C"/>
    <w:rsid w:val="5D7A5587"/>
    <w:rsid w:val="5D7FB59A"/>
    <w:rsid w:val="5D85B236"/>
    <w:rsid w:val="5D9BB8F7"/>
    <w:rsid w:val="5D9D42FE"/>
    <w:rsid w:val="5D9F6DE1"/>
    <w:rsid w:val="5DBE51D1"/>
    <w:rsid w:val="5DC98733"/>
    <w:rsid w:val="5DCB5EBE"/>
    <w:rsid w:val="5DD0C1C0"/>
    <w:rsid w:val="5DD37E7D"/>
    <w:rsid w:val="5DD5F606"/>
    <w:rsid w:val="5DDBA15E"/>
    <w:rsid w:val="5DDE12F0"/>
    <w:rsid w:val="5DE49294"/>
    <w:rsid w:val="5DE874BF"/>
    <w:rsid w:val="5DE9C708"/>
    <w:rsid w:val="5DED8AC6"/>
    <w:rsid w:val="5DF0DA4C"/>
    <w:rsid w:val="5DF2CD3D"/>
    <w:rsid w:val="5DF319C3"/>
    <w:rsid w:val="5E0B3DAC"/>
    <w:rsid w:val="5E137B5C"/>
    <w:rsid w:val="5E147421"/>
    <w:rsid w:val="5E165780"/>
    <w:rsid w:val="5E169F38"/>
    <w:rsid w:val="5E171D9E"/>
    <w:rsid w:val="5E1BF990"/>
    <w:rsid w:val="5E1C0087"/>
    <w:rsid w:val="5E1C69CF"/>
    <w:rsid w:val="5E20953A"/>
    <w:rsid w:val="5E29F17C"/>
    <w:rsid w:val="5E2A9719"/>
    <w:rsid w:val="5E2BC38C"/>
    <w:rsid w:val="5E2CCC26"/>
    <w:rsid w:val="5E2DAAED"/>
    <w:rsid w:val="5E2F6596"/>
    <w:rsid w:val="5E32A23B"/>
    <w:rsid w:val="5E38B4B0"/>
    <w:rsid w:val="5E453E47"/>
    <w:rsid w:val="5E461E60"/>
    <w:rsid w:val="5E4A7315"/>
    <w:rsid w:val="5E4FF9F6"/>
    <w:rsid w:val="5E5015EC"/>
    <w:rsid w:val="5E50D04F"/>
    <w:rsid w:val="5E5103C9"/>
    <w:rsid w:val="5E609E51"/>
    <w:rsid w:val="5E69AD42"/>
    <w:rsid w:val="5E6B1013"/>
    <w:rsid w:val="5E6DABEA"/>
    <w:rsid w:val="5E71966E"/>
    <w:rsid w:val="5E76D466"/>
    <w:rsid w:val="5E77269F"/>
    <w:rsid w:val="5E78D1CA"/>
    <w:rsid w:val="5E7C096F"/>
    <w:rsid w:val="5E7C83EC"/>
    <w:rsid w:val="5E7FA2C6"/>
    <w:rsid w:val="5E84E013"/>
    <w:rsid w:val="5E89D8C8"/>
    <w:rsid w:val="5E8D1E19"/>
    <w:rsid w:val="5E8DB09E"/>
    <w:rsid w:val="5E923DE3"/>
    <w:rsid w:val="5E92A446"/>
    <w:rsid w:val="5E958945"/>
    <w:rsid w:val="5E982986"/>
    <w:rsid w:val="5EA974FA"/>
    <w:rsid w:val="5EAAFC89"/>
    <w:rsid w:val="5ECA3EE4"/>
    <w:rsid w:val="5ED6FE3E"/>
    <w:rsid w:val="5EDC9C84"/>
    <w:rsid w:val="5EE19949"/>
    <w:rsid w:val="5EEFB68E"/>
    <w:rsid w:val="5EF1BBAC"/>
    <w:rsid w:val="5EF64BC6"/>
    <w:rsid w:val="5F03ED9B"/>
    <w:rsid w:val="5F0AC97E"/>
    <w:rsid w:val="5F1175C0"/>
    <w:rsid w:val="5F12BA3C"/>
    <w:rsid w:val="5F1A65DB"/>
    <w:rsid w:val="5F1DD910"/>
    <w:rsid w:val="5F27BFB1"/>
    <w:rsid w:val="5F28BD12"/>
    <w:rsid w:val="5F3ACCCD"/>
    <w:rsid w:val="5F3D6837"/>
    <w:rsid w:val="5F3EA9C0"/>
    <w:rsid w:val="5F407568"/>
    <w:rsid w:val="5F42EFF1"/>
    <w:rsid w:val="5F486C4A"/>
    <w:rsid w:val="5F4B9AAB"/>
    <w:rsid w:val="5F532EB3"/>
    <w:rsid w:val="5F545FC2"/>
    <w:rsid w:val="5F57148A"/>
    <w:rsid w:val="5F57611A"/>
    <w:rsid w:val="5F64D3FD"/>
    <w:rsid w:val="5F738443"/>
    <w:rsid w:val="5F77D4E7"/>
    <w:rsid w:val="5F7C78FA"/>
    <w:rsid w:val="5F8220A9"/>
    <w:rsid w:val="5F829426"/>
    <w:rsid w:val="5F83B262"/>
    <w:rsid w:val="5F889A89"/>
    <w:rsid w:val="5F8BAEE1"/>
    <w:rsid w:val="5F929948"/>
    <w:rsid w:val="5F95283B"/>
    <w:rsid w:val="5F9589E4"/>
    <w:rsid w:val="5F9DEBC3"/>
    <w:rsid w:val="5F9F9BFD"/>
    <w:rsid w:val="5FA26A24"/>
    <w:rsid w:val="5FA83D39"/>
    <w:rsid w:val="5FA88D7C"/>
    <w:rsid w:val="5FAA7F0D"/>
    <w:rsid w:val="5FADFBE9"/>
    <w:rsid w:val="5FAEB25F"/>
    <w:rsid w:val="5FBD08FC"/>
    <w:rsid w:val="5FBF6B24"/>
    <w:rsid w:val="5FC04422"/>
    <w:rsid w:val="5FC0970F"/>
    <w:rsid w:val="5FCCB753"/>
    <w:rsid w:val="5FD0567C"/>
    <w:rsid w:val="5FD381C0"/>
    <w:rsid w:val="5FDC1204"/>
    <w:rsid w:val="5FDC4F6D"/>
    <w:rsid w:val="5FDD0B1F"/>
    <w:rsid w:val="5FE28CFE"/>
    <w:rsid w:val="5FEC37A3"/>
    <w:rsid w:val="5FEE75A2"/>
    <w:rsid w:val="5FF20EE7"/>
    <w:rsid w:val="5FF958EB"/>
    <w:rsid w:val="5FFA9651"/>
    <w:rsid w:val="5FFB3953"/>
    <w:rsid w:val="5FFCFDA2"/>
    <w:rsid w:val="60002709"/>
    <w:rsid w:val="6008A0FA"/>
    <w:rsid w:val="60102053"/>
    <w:rsid w:val="60130418"/>
    <w:rsid w:val="6014F44C"/>
    <w:rsid w:val="601B62E4"/>
    <w:rsid w:val="6029A133"/>
    <w:rsid w:val="602DFFC9"/>
    <w:rsid w:val="603158B8"/>
    <w:rsid w:val="60375EA3"/>
    <w:rsid w:val="6043C33E"/>
    <w:rsid w:val="6045DD78"/>
    <w:rsid w:val="60461002"/>
    <w:rsid w:val="60572ED8"/>
    <w:rsid w:val="605AC047"/>
    <w:rsid w:val="6064F09C"/>
    <w:rsid w:val="606CBC8A"/>
    <w:rsid w:val="6070105F"/>
    <w:rsid w:val="60744502"/>
    <w:rsid w:val="60763740"/>
    <w:rsid w:val="607847EB"/>
    <w:rsid w:val="607BEF03"/>
    <w:rsid w:val="60802405"/>
    <w:rsid w:val="60802435"/>
    <w:rsid w:val="608061CE"/>
    <w:rsid w:val="60815303"/>
    <w:rsid w:val="6081F255"/>
    <w:rsid w:val="60840C13"/>
    <w:rsid w:val="60863171"/>
    <w:rsid w:val="608870BE"/>
    <w:rsid w:val="608A2909"/>
    <w:rsid w:val="6091F519"/>
    <w:rsid w:val="6093EE92"/>
    <w:rsid w:val="6096ABE4"/>
    <w:rsid w:val="6098B4BF"/>
    <w:rsid w:val="609AC498"/>
    <w:rsid w:val="609C0DD5"/>
    <w:rsid w:val="609D9E18"/>
    <w:rsid w:val="609EE2B4"/>
    <w:rsid w:val="60A2FCFD"/>
    <w:rsid w:val="60A62511"/>
    <w:rsid w:val="60A75ED7"/>
    <w:rsid w:val="60A89703"/>
    <w:rsid w:val="60AA45CD"/>
    <w:rsid w:val="60AC804A"/>
    <w:rsid w:val="60B371E3"/>
    <w:rsid w:val="60B6ADE9"/>
    <w:rsid w:val="60B72B8A"/>
    <w:rsid w:val="60B92DE4"/>
    <w:rsid w:val="60BBE710"/>
    <w:rsid w:val="60C46064"/>
    <w:rsid w:val="60C7FE62"/>
    <w:rsid w:val="60C9860D"/>
    <w:rsid w:val="60CF6336"/>
    <w:rsid w:val="60D2470E"/>
    <w:rsid w:val="60E00586"/>
    <w:rsid w:val="60EF4E5A"/>
    <w:rsid w:val="60F164E3"/>
    <w:rsid w:val="60F31DBA"/>
    <w:rsid w:val="60F80861"/>
    <w:rsid w:val="60FEFCB6"/>
    <w:rsid w:val="61002857"/>
    <w:rsid w:val="6107751C"/>
    <w:rsid w:val="610BF3FC"/>
    <w:rsid w:val="61135DB3"/>
    <w:rsid w:val="611E288E"/>
    <w:rsid w:val="612AAD38"/>
    <w:rsid w:val="612C6D21"/>
    <w:rsid w:val="613337B8"/>
    <w:rsid w:val="613603C0"/>
    <w:rsid w:val="61372BB0"/>
    <w:rsid w:val="613D0E12"/>
    <w:rsid w:val="6141FDC7"/>
    <w:rsid w:val="6145A73C"/>
    <w:rsid w:val="614ACCB1"/>
    <w:rsid w:val="614E2D49"/>
    <w:rsid w:val="614F44E3"/>
    <w:rsid w:val="61512658"/>
    <w:rsid w:val="6151DC10"/>
    <w:rsid w:val="6156B1A1"/>
    <w:rsid w:val="6157B413"/>
    <w:rsid w:val="615865D3"/>
    <w:rsid w:val="6158C13D"/>
    <w:rsid w:val="615A5E11"/>
    <w:rsid w:val="615C0275"/>
    <w:rsid w:val="6164C9C7"/>
    <w:rsid w:val="61666DFF"/>
    <w:rsid w:val="616BB1B1"/>
    <w:rsid w:val="6172C663"/>
    <w:rsid w:val="6172CAE0"/>
    <w:rsid w:val="6174A4A2"/>
    <w:rsid w:val="6175DE92"/>
    <w:rsid w:val="6177186B"/>
    <w:rsid w:val="6178DDD5"/>
    <w:rsid w:val="6180DD1D"/>
    <w:rsid w:val="618A98A5"/>
    <w:rsid w:val="61916085"/>
    <w:rsid w:val="6192C068"/>
    <w:rsid w:val="6199AFF0"/>
    <w:rsid w:val="619CA689"/>
    <w:rsid w:val="61A402E3"/>
    <w:rsid w:val="61A7B535"/>
    <w:rsid w:val="61AF15D2"/>
    <w:rsid w:val="61B10E0B"/>
    <w:rsid w:val="61B450FF"/>
    <w:rsid w:val="61B50DA0"/>
    <w:rsid w:val="61B534D9"/>
    <w:rsid w:val="61B860F5"/>
    <w:rsid w:val="61BBF4DB"/>
    <w:rsid w:val="61C55D45"/>
    <w:rsid w:val="61CF3D9C"/>
    <w:rsid w:val="61D49826"/>
    <w:rsid w:val="61D699D8"/>
    <w:rsid w:val="61DB3A06"/>
    <w:rsid w:val="61E70E17"/>
    <w:rsid w:val="61E92AB5"/>
    <w:rsid w:val="61E9E54B"/>
    <w:rsid w:val="61EA3296"/>
    <w:rsid w:val="61F0D2B2"/>
    <w:rsid w:val="61F49DBF"/>
    <w:rsid w:val="61F6E9A4"/>
    <w:rsid w:val="61FDDC78"/>
    <w:rsid w:val="6209E394"/>
    <w:rsid w:val="620EF28F"/>
    <w:rsid w:val="621C0506"/>
    <w:rsid w:val="621EC158"/>
    <w:rsid w:val="62280735"/>
    <w:rsid w:val="622B70FB"/>
    <w:rsid w:val="622D5CC2"/>
    <w:rsid w:val="622DAD69"/>
    <w:rsid w:val="6233A715"/>
    <w:rsid w:val="6233E16F"/>
    <w:rsid w:val="6246C767"/>
    <w:rsid w:val="62491EF2"/>
    <w:rsid w:val="62499451"/>
    <w:rsid w:val="624B4B52"/>
    <w:rsid w:val="624BCF91"/>
    <w:rsid w:val="6250C028"/>
    <w:rsid w:val="6260A93D"/>
    <w:rsid w:val="62618D4C"/>
    <w:rsid w:val="6262375C"/>
    <w:rsid w:val="62679541"/>
    <w:rsid w:val="626CA08E"/>
    <w:rsid w:val="62700A04"/>
    <w:rsid w:val="62747982"/>
    <w:rsid w:val="6278D53C"/>
    <w:rsid w:val="627EBF27"/>
    <w:rsid w:val="6280E148"/>
    <w:rsid w:val="6280E39E"/>
    <w:rsid w:val="62869DE8"/>
    <w:rsid w:val="6286EE50"/>
    <w:rsid w:val="62953876"/>
    <w:rsid w:val="6299A88F"/>
    <w:rsid w:val="629B50B2"/>
    <w:rsid w:val="629C72BB"/>
    <w:rsid w:val="62A10AB5"/>
    <w:rsid w:val="62AFD06C"/>
    <w:rsid w:val="62B03332"/>
    <w:rsid w:val="62B11CA2"/>
    <w:rsid w:val="62BA1A25"/>
    <w:rsid w:val="62C1208E"/>
    <w:rsid w:val="62C292BE"/>
    <w:rsid w:val="62C2AB98"/>
    <w:rsid w:val="62C56A67"/>
    <w:rsid w:val="62C967F9"/>
    <w:rsid w:val="62CE8D0B"/>
    <w:rsid w:val="62CF7086"/>
    <w:rsid w:val="62D416AC"/>
    <w:rsid w:val="62D6DDB6"/>
    <w:rsid w:val="62DABB32"/>
    <w:rsid w:val="62DFA31A"/>
    <w:rsid w:val="62DFBCFA"/>
    <w:rsid w:val="62E01C66"/>
    <w:rsid w:val="62E11496"/>
    <w:rsid w:val="62E54931"/>
    <w:rsid w:val="62EFDCA9"/>
    <w:rsid w:val="62F22610"/>
    <w:rsid w:val="62F23682"/>
    <w:rsid w:val="62F39A37"/>
    <w:rsid w:val="62FD8839"/>
    <w:rsid w:val="630071E3"/>
    <w:rsid w:val="6300EC87"/>
    <w:rsid w:val="630C4AE9"/>
    <w:rsid w:val="631225E8"/>
    <w:rsid w:val="631E2CD4"/>
    <w:rsid w:val="63222A23"/>
    <w:rsid w:val="63282D3B"/>
    <w:rsid w:val="6330FF58"/>
    <w:rsid w:val="63363527"/>
    <w:rsid w:val="63386C35"/>
    <w:rsid w:val="6342FFD2"/>
    <w:rsid w:val="63439517"/>
    <w:rsid w:val="6349EA98"/>
    <w:rsid w:val="6353F5D0"/>
    <w:rsid w:val="6356A78F"/>
    <w:rsid w:val="6356B2A3"/>
    <w:rsid w:val="63632D0E"/>
    <w:rsid w:val="6367EBD4"/>
    <w:rsid w:val="636DD61C"/>
    <w:rsid w:val="63799411"/>
    <w:rsid w:val="637E9B90"/>
    <w:rsid w:val="63853695"/>
    <w:rsid w:val="638584DE"/>
    <w:rsid w:val="638A23A3"/>
    <w:rsid w:val="638BE072"/>
    <w:rsid w:val="638D88BD"/>
    <w:rsid w:val="639CDF83"/>
    <w:rsid w:val="639D9C12"/>
    <w:rsid w:val="63A0F4CE"/>
    <w:rsid w:val="63A15116"/>
    <w:rsid w:val="63A577D0"/>
    <w:rsid w:val="63AE6B41"/>
    <w:rsid w:val="63AF4C02"/>
    <w:rsid w:val="63AFECC4"/>
    <w:rsid w:val="63B0FF01"/>
    <w:rsid w:val="63B300CD"/>
    <w:rsid w:val="63B30AB4"/>
    <w:rsid w:val="63C9D36D"/>
    <w:rsid w:val="63CC2AD6"/>
    <w:rsid w:val="63D652B6"/>
    <w:rsid w:val="63DD8438"/>
    <w:rsid w:val="63DDB2C9"/>
    <w:rsid w:val="63DF64C8"/>
    <w:rsid w:val="63E9C957"/>
    <w:rsid w:val="63F20413"/>
    <w:rsid w:val="63F24FEB"/>
    <w:rsid w:val="63F6CC27"/>
    <w:rsid w:val="63F8E96D"/>
    <w:rsid w:val="63FB9726"/>
    <w:rsid w:val="640353D9"/>
    <w:rsid w:val="64112648"/>
    <w:rsid w:val="641D1EFE"/>
    <w:rsid w:val="641D52DF"/>
    <w:rsid w:val="641DE2AA"/>
    <w:rsid w:val="64210623"/>
    <w:rsid w:val="6436B37A"/>
    <w:rsid w:val="643C5E7B"/>
    <w:rsid w:val="64475FDA"/>
    <w:rsid w:val="64484D28"/>
    <w:rsid w:val="6448EE76"/>
    <w:rsid w:val="6449B8C6"/>
    <w:rsid w:val="6451F561"/>
    <w:rsid w:val="64571E2C"/>
    <w:rsid w:val="645763D8"/>
    <w:rsid w:val="645BF90E"/>
    <w:rsid w:val="645DA8F8"/>
    <w:rsid w:val="64656E4A"/>
    <w:rsid w:val="6469B449"/>
    <w:rsid w:val="646B9198"/>
    <w:rsid w:val="646C328D"/>
    <w:rsid w:val="647AA9A5"/>
    <w:rsid w:val="647B3B81"/>
    <w:rsid w:val="647C9324"/>
    <w:rsid w:val="64915C30"/>
    <w:rsid w:val="6491AA2D"/>
    <w:rsid w:val="64929B7D"/>
    <w:rsid w:val="64A5D730"/>
    <w:rsid w:val="64A78B64"/>
    <w:rsid w:val="64B99E31"/>
    <w:rsid w:val="64BC30B1"/>
    <w:rsid w:val="64BF7AFF"/>
    <w:rsid w:val="64C03111"/>
    <w:rsid w:val="64C0BFFF"/>
    <w:rsid w:val="64C3A2AB"/>
    <w:rsid w:val="64C9012A"/>
    <w:rsid w:val="64CBAC26"/>
    <w:rsid w:val="64CDE073"/>
    <w:rsid w:val="64D4E7DF"/>
    <w:rsid w:val="64D95EEA"/>
    <w:rsid w:val="64DC2349"/>
    <w:rsid w:val="64EA9291"/>
    <w:rsid w:val="64ED3E66"/>
    <w:rsid w:val="64EE64E1"/>
    <w:rsid w:val="64EFDEC4"/>
    <w:rsid w:val="64F1B3F1"/>
    <w:rsid w:val="64F30E92"/>
    <w:rsid w:val="64F593B0"/>
    <w:rsid w:val="64F902BD"/>
    <w:rsid w:val="64FFBE88"/>
    <w:rsid w:val="650353A3"/>
    <w:rsid w:val="65084556"/>
    <w:rsid w:val="6510BEBE"/>
    <w:rsid w:val="65155701"/>
    <w:rsid w:val="651568AC"/>
    <w:rsid w:val="651819E2"/>
    <w:rsid w:val="651BE268"/>
    <w:rsid w:val="65219F36"/>
    <w:rsid w:val="6526A91D"/>
    <w:rsid w:val="65271795"/>
    <w:rsid w:val="6529BDD9"/>
    <w:rsid w:val="652D8F7D"/>
    <w:rsid w:val="652E035D"/>
    <w:rsid w:val="6536B4F9"/>
    <w:rsid w:val="653F9139"/>
    <w:rsid w:val="65418572"/>
    <w:rsid w:val="654A559F"/>
    <w:rsid w:val="654A6BB9"/>
    <w:rsid w:val="654A951D"/>
    <w:rsid w:val="654BD100"/>
    <w:rsid w:val="65521AAE"/>
    <w:rsid w:val="65561002"/>
    <w:rsid w:val="655B59E9"/>
    <w:rsid w:val="6561FA00"/>
    <w:rsid w:val="6569F58F"/>
    <w:rsid w:val="656EB303"/>
    <w:rsid w:val="657998E6"/>
    <w:rsid w:val="6579F0D0"/>
    <w:rsid w:val="657AD384"/>
    <w:rsid w:val="6581063F"/>
    <w:rsid w:val="65846CDD"/>
    <w:rsid w:val="65AB9AB9"/>
    <w:rsid w:val="65B5C80D"/>
    <w:rsid w:val="65B6CB5D"/>
    <w:rsid w:val="65BEBA54"/>
    <w:rsid w:val="65C0DAF4"/>
    <w:rsid w:val="65C3BAB6"/>
    <w:rsid w:val="65C4278F"/>
    <w:rsid w:val="65CB750A"/>
    <w:rsid w:val="65D17619"/>
    <w:rsid w:val="65D1C606"/>
    <w:rsid w:val="65D3D161"/>
    <w:rsid w:val="65D8054D"/>
    <w:rsid w:val="65D9F548"/>
    <w:rsid w:val="65DC8F43"/>
    <w:rsid w:val="65DDE21C"/>
    <w:rsid w:val="65E23E38"/>
    <w:rsid w:val="65EA172C"/>
    <w:rsid w:val="65EFFAF4"/>
    <w:rsid w:val="65F28F8A"/>
    <w:rsid w:val="65F2B0C1"/>
    <w:rsid w:val="65F474A5"/>
    <w:rsid w:val="65F4C2D2"/>
    <w:rsid w:val="65F64CEC"/>
    <w:rsid w:val="65FA4A4D"/>
    <w:rsid w:val="6608C239"/>
    <w:rsid w:val="660BE743"/>
    <w:rsid w:val="660CF61D"/>
    <w:rsid w:val="66116093"/>
    <w:rsid w:val="66189C25"/>
    <w:rsid w:val="661D6ED1"/>
    <w:rsid w:val="66204D94"/>
    <w:rsid w:val="6627BB4B"/>
    <w:rsid w:val="6629511E"/>
    <w:rsid w:val="662D8D74"/>
    <w:rsid w:val="66332E32"/>
    <w:rsid w:val="66378812"/>
    <w:rsid w:val="6638B944"/>
    <w:rsid w:val="663A3801"/>
    <w:rsid w:val="663A394C"/>
    <w:rsid w:val="663D2707"/>
    <w:rsid w:val="66449C7C"/>
    <w:rsid w:val="664524D1"/>
    <w:rsid w:val="6645F267"/>
    <w:rsid w:val="6648D134"/>
    <w:rsid w:val="6649FB5F"/>
    <w:rsid w:val="664A9A1A"/>
    <w:rsid w:val="664F8817"/>
    <w:rsid w:val="66521091"/>
    <w:rsid w:val="6657AD3D"/>
    <w:rsid w:val="665A8363"/>
    <w:rsid w:val="665ABB87"/>
    <w:rsid w:val="665E683E"/>
    <w:rsid w:val="665F0C96"/>
    <w:rsid w:val="666C8DF4"/>
    <w:rsid w:val="66733401"/>
    <w:rsid w:val="66759541"/>
    <w:rsid w:val="6675ADC2"/>
    <w:rsid w:val="6678B26C"/>
    <w:rsid w:val="667B0A90"/>
    <w:rsid w:val="668788FD"/>
    <w:rsid w:val="668B83AA"/>
    <w:rsid w:val="669B6866"/>
    <w:rsid w:val="669D4814"/>
    <w:rsid w:val="669DF30C"/>
    <w:rsid w:val="66A6C054"/>
    <w:rsid w:val="66AA7EE1"/>
    <w:rsid w:val="66AD130D"/>
    <w:rsid w:val="66AE5424"/>
    <w:rsid w:val="66B341FE"/>
    <w:rsid w:val="66BEE05B"/>
    <w:rsid w:val="66BF4D96"/>
    <w:rsid w:val="66C2A027"/>
    <w:rsid w:val="66CE8F22"/>
    <w:rsid w:val="66CF5DE6"/>
    <w:rsid w:val="66D929B1"/>
    <w:rsid w:val="66E124E8"/>
    <w:rsid w:val="66E7D682"/>
    <w:rsid w:val="66E9F8B2"/>
    <w:rsid w:val="66EA032C"/>
    <w:rsid w:val="66F18DA3"/>
    <w:rsid w:val="66F3D221"/>
    <w:rsid w:val="66FCA804"/>
    <w:rsid w:val="67006FB5"/>
    <w:rsid w:val="670D3DF4"/>
    <w:rsid w:val="67157FAC"/>
    <w:rsid w:val="67171882"/>
    <w:rsid w:val="671787F1"/>
    <w:rsid w:val="671943A8"/>
    <w:rsid w:val="6721EB20"/>
    <w:rsid w:val="67228991"/>
    <w:rsid w:val="67263F17"/>
    <w:rsid w:val="672D4B8D"/>
    <w:rsid w:val="673338C1"/>
    <w:rsid w:val="673732B5"/>
    <w:rsid w:val="673D02FA"/>
    <w:rsid w:val="6742250B"/>
    <w:rsid w:val="67444960"/>
    <w:rsid w:val="67469379"/>
    <w:rsid w:val="6746FE64"/>
    <w:rsid w:val="674B0226"/>
    <w:rsid w:val="6750257B"/>
    <w:rsid w:val="67571957"/>
    <w:rsid w:val="67581D8A"/>
    <w:rsid w:val="675D2B2C"/>
    <w:rsid w:val="6769E532"/>
    <w:rsid w:val="6771A8B8"/>
    <w:rsid w:val="67757F9F"/>
    <w:rsid w:val="6775F1C8"/>
    <w:rsid w:val="6776F34F"/>
    <w:rsid w:val="6776F865"/>
    <w:rsid w:val="677AA734"/>
    <w:rsid w:val="677BBCC2"/>
    <w:rsid w:val="67842AC0"/>
    <w:rsid w:val="678D39D9"/>
    <w:rsid w:val="6795B5A4"/>
    <w:rsid w:val="679C58B3"/>
    <w:rsid w:val="679E1E4C"/>
    <w:rsid w:val="67A01860"/>
    <w:rsid w:val="67A14EEC"/>
    <w:rsid w:val="67A38E82"/>
    <w:rsid w:val="67A49DE3"/>
    <w:rsid w:val="67A5A44A"/>
    <w:rsid w:val="67A71A3D"/>
    <w:rsid w:val="67B0451A"/>
    <w:rsid w:val="67B090B7"/>
    <w:rsid w:val="67B1BFBA"/>
    <w:rsid w:val="67B4DCF3"/>
    <w:rsid w:val="67BAD814"/>
    <w:rsid w:val="67BE43FA"/>
    <w:rsid w:val="67C9C601"/>
    <w:rsid w:val="67D10076"/>
    <w:rsid w:val="67D3E174"/>
    <w:rsid w:val="67D9180A"/>
    <w:rsid w:val="67DA3249"/>
    <w:rsid w:val="67DBE1B0"/>
    <w:rsid w:val="67DF10F4"/>
    <w:rsid w:val="67EDF001"/>
    <w:rsid w:val="67F11BFC"/>
    <w:rsid w:val="67F1B8A1"/>
    <w:rsid w:val="67F31638"/>
    <w:rsid w:val="67F65BFE"/>
    <w:rsid w:val="67FE187D"/>
    <w:rsid w:val="67FFB0C1"/>
    <w:rsid w:val="6802C198"/>
    <w:rsid w:val="68074715"/>
    <w:rsid w:val="680A6986"/>
    <w:rsid w:val="680D0BF7"/>
    <w:rsid w:val="68110173"/>
    <w:rsid w:val="68136233"/>
    <w:rsid w:val="681436EF"/>
    <w:rsid w:val="681CEC92"/>
    <w:rsid w:val="68258E07"/>
    <w:rsid w:val="6826A106"/>
    <w:rsid w:val="6827BEF7"/>
    <w:rsid w:val="68291BE9"/>
    <w:rsid w:val="682A1FFD"/>
    <w:rsid w:val="682F5D20"/>
    <w:rsid w:val="6833A41F"/>
    <w:rsid w:val="6835DEDE"/>
    <w:rsid w:val="683B970B"/>
    <w:rsid w:val="683D8A3F"/>
    <w:rsid w:val="68476868"/>
    <w:rsid w:val="684C6CD3"/>
    <w:rsid w:val="6852BCC3"/>
    <w:rsid w:val="6855C83A"/>
    <w:rsid w:val="68597E7F"/>
    <w:rsid w:val="685D3761"/>
    <w:rsid w:val="685F95C1"/>
    <w:rsid w:val="685FC16B"/>
    <w:rsid w:val="68651ABF"/>
    <w:rsid w:val="68659502"/>
    <w:rsid w:val="686BA505"/>
    <w:rsid w:val="68723193"/>
    <w:rsid w:val="6873D86B"/>
    <w:rsid w:val="687B9BCD"/>
    <w:rsid w:val="6880C757"/>
    <w:rsid w:val="68939379"/>
    <w:rsid w:val="6893AC1D"/>
    <w:rsid w:val="6899413B"/>
    <w:rsid w:val="68A3A028"/>
    <w:rsid w:val="68A3CFE4"/>
    <w:rsid w:val="68A67794"/>
    <w:rsid w:val="68A84B0F"/>
    <w:rsid w:val="68AAB844"/>
    <w:rsid w:val="68AF8F3A"/>
    <w:rsid w:val="68B09B96"/>
    <w:rsid w:val="68B350F4"/>
    <w:rsid w:val="68B41C50"/>
    <w:rsid w:val="68C14409"/>
    <w:rsid w:val="68C5C367"/>
    <w:rsid w:val="68CA5D36"/>
    <w:rsid w:val="68CB3802"/>
    <w:rsid w:val="68D1F7CB"/>
    <w:rsid w:val="68DB6F58"/>
    <w:rsid w:val="68DC184F"/>
    <w:rsid w:val="68E039C9"/>
    <w:rsid w:val="68E31D12"/>
    <w:rsid w:val="68E473D9"/>
    <w:rsid w:val="68EBB5BE"/>
    <w:rsid w:val="68EC0C68"/>
    <w:rsid w:val="68F5BF02"/>
    <w:rsid w:val="68F92DC0"/>
    <w:rsid w:val="68FA26CC"/>
    <w:rsid w:val="68FA2A77"/>
    <w:rsid w:val="691217F5"/>
    <w:rsid w:val="69179072"/>
    <w:rsid w:val="69224CF3"/>
    <w:rsid w:val="6925288F"/>
    <w:rsid w:val="692AFB38"/>
    <w:rsid w:val="693171CC"/>
    <w:rsid w:val="6935D20B"/>
    <w:rsid w:val="69375A6E"/>
    <w:rsid w:val="6937B957"/>
    <w:rsid w:val="6937FC83"/>
    <w:rsid w:val="6939B345"/>
    <w:rsid w:val="693DDFF8"/>
    <w:rsid w:val="6943BA58"/>
    <w:rsid w:val="6945E670"/>
    <w:rsid w:val="695C2876"/>
    <w:rsid w:val="695F3347"/>
    <w:rsid w:val="695F8F0E"/>
    <w:rsid w:val="69643940"/>
    <w:rsid w:val="6966B8BD"/>
    <w:rsid w:val="696E1DD6"/>
    <w:rsid w:val="6972FF16"/>
    <w:rsid w:val="697FAAF4"/>
    <w:rsid w:val="697FDD21"/>
    <w:rsid w:val="6981E0A2"/>
    <w:rsid w:val="69830722"/>
    <w:rsid w:val="6983AEC2"/>
    <w:rsid w:val="698719EF"/>
    <w:rsid w:val="698B1FA7"/>
    <w:rsid w:val="698BF275"/>
    <w:rsid w:val="698C7703"/>
    <w:rsid w:val="698D98D8"/>
    <w:rsid w:val="699A1D27"/>
    <w:rsid w:val="699C1184"/>
    <w:rsid w:val="699E86CC"/>
    <w:rsid w:val="699FDCB1"/>
    <w:rsid w:val="699FFCBC"/>
    <w:rsid w:val="69A14A93"/>
    <w:rsid w:val="69A728D9"/>
    <w:rsid w:val="69A73923"/>
    <w:rsid w:val="69A9A875"/>
    <w:rsid w:val="69A9B4D1"/>
    <w:rsid w:val="69AAA5E7"/>
    <w:rsid w:val="69AB03F9"/>
    <w:rsid w:val="69AC077E"/>
    <w:rsid w:val="69AC2F09"/>
    <w:rsid w:val="69B2789A"/>
    <w:rsid w:val="69B4C68F"/>
    <w:rsid w:val="69C14558"/>
    <w:rsid w:val="69C467B5"/>
    <w:rsid w:val="69C62D53"/>
    <w:rsid w:val="69D15866"/>
    <w:rsid w:val="69D8CE6E"/>
    <w:rsid w:val="69DA4818"/>
    <w:rsid w:val="69EED48C"/>
    <w:rsid w:val="69F3ACC5"/>
    <w:rsid w:val="69F3E005"/>
    <w:rsid w:val="69FAF48B"/>
    <w:rsid w:val="6A002F9C"/>
    <w:rsid w:val="6A00A0C8"/>
    <w:rsid w:val="6A01D8A5"/>
    <w:rsid w:val="6A02A886"/>
    <w:rsid w:val="6A02B7CD"/>
    <w:rsid w:val="6A094DE3"/>
    <w:rsid w:val="6A0C6E84"/>
    <w:rsid w:val="6A0E09E5"/>
    <w:rsid w:val="6A11207D"/>
    <w:rsid w:val="6A12621E"/>
    <w:rsid w:val="6A15A537"/>
    <w:rsid w:val="6A1BFD6A"/>
    <w:rsid w:val="6A1E9B95"/>
    <w:rsid w:val="6A20B7E4"/>
    <w:rsid w:val="6A21E19B"/>
    <w:rsid w:val="6A2A486E"/>
    <w:rsid w:val="6A2A85D8"/>
    <w:rsid w:val="6A2C76CD"/>
    <w:rsid w:val="6A30AA32"/>
    <w:rsid w:val="6A35536A"/>
    <w:rsid w:val="6A3A8445"/>
    <w:rsid w:val="6A3D79DA"/>
    <w:rsid w:val="6A41A183"/>
    <w:rsid w:val="6A492C55"/>
    <w:rsid w:val="6A498D0C"/>
    <w:rsid w:val="6A4B60B9"/>
    <w:rsid w:val="6A4FF459"/>
    <w:rsid w:val="6A58EC55"/>
    <w:rsid w:val="6A64DAB7"/>
    <w:rsid w:val="6A66EB9E"/>
    <w:rsid w:val="6A67F33A"/>
    <w:rsid w:val="6A6E979C"/>
    <w:rsid w:val="6A78AB61"/>
    <w:rsid w:val="6A78B608"/>
    <w:rsid w:val="6A7B6AAA"/>
    <w:rsid w:val="6A7B9E15"/>
    <w:rsid w:val="6A7C058F"/>
    <w:rsid w:val="6A7C57F3"/>
    <w:rsid w:val="6A895C1D"/>
    <w:rsid w:val="6A924D92"/>
    <w:rsid w:val="6A96C6DC"/>
    <w:rsid w:val="6AA1DA5C"/>
    <w:rsid w:val="6AA80BD6"/>
    <w:rsid w:val="6AA8D22D"/>
    <w:rsid w:val="6AAD6454"/>
    <w:rsid w:val="6ABAE26A"/>
    <w:rsid w:val="6ABDEFF9"/>
    <w:rsid w:val="6AE43623"/>
    <w:rsid w:val="6AEC5C25"/>
    <w:rsid w:val="6AEC63EB"/>
    <w:rsid w:val="6AED250C"/>
    <w:rsid w:val="6AED799E"/>
    <w:rsid w:val="6AEEC979"/>
    <w:rsid w:val="6AF0AA51"/>
    <w:rsid w:val="6AF41644"/>
    <w:rsid w:val="6AF73E75"/>
    <w:rsid w:val="6AF7FAB9"/>
    <w:rsid w:val="6AFD2A7E"/>
    <w:rsid w:val="6B019BC8"/>
    <w:rsid w:val="6B029462"/>
    <w:rsid w:val="6B035CC4"/>
    <w:rsid w:val="6B06761D"/>
    <w:rsid w:val="6B10689A"/>
    <w:rsid w:val="6B18A2D8"/>
    <w:rsid w:val="6B19638A"/>
    <w:rsid w:val="6B1E234B"/>
    <w:rsid w:val="6B2535B3"/>
    <w:rsid w:val="6B2C3269"/>
    <w:rsid w:val="6B312640"/>
    <w:rsid w:val="6B317299"/>
    <w:rsid w:val="6B413D50"/>
    <w:rsid w:val="6B4238AB"/>
    <w:rsid w:val="6B432548"/>
    <w:rsid w:val="6B4E507A"/>
    <w:rsid w:val="6B561FA3"/>
    <w:rsid w:val="6B562FFA"/>
    <w:rsid w:val="6B5968D4"/>
    <w:rsid w:val="6B5A1A13"/>
    <w:rsid w:val="6B5FC2F8"/>
    <w:rsid w:val="6B616501"/>
    <w:rsid w:val="6B6224EC"/>
    <w:rsid w:val="6B63BE08"/>
    <w:rsid w:val="6B6DB256"/>
    <w:rsid w:val="6B752C42"/>
    <w:rsid w:val="6B786234"/>
    <w:rsid w:val="6B79C315"/>
    <w:rsid w:val="6B83970E"/>
    <w:rsid w:val="6B88523F"/>
    <w:rsid w:val="6B88B6FA"/>
    <w:rsid w:val="6B8E16CC"/>
    <w:rsid w:val="6B917D8F"/>
    <w:rsid w:val="6B980574"/>
    <w:rsid w:val="6B9AAFF3"/>
    <w:rsid w:val="6BA46392"/>
    <w:rsid w:val="6BA7568A"/>
    <w:rsid w:val="6BA9854F"/>
    <w:rsid w:val="6BBDA7BA"/>
    <w:rsid w:val="6BBF1FF7"/>
    <w:rsid w:val="6BBF5F88"/>
    <w:rsid w:val="6BC4E65B"/>
    <w:rsid w:val="6BD3FCCA"/>
    <w:rsid w:val="6BD6129B"/>
    <w:rsid w:val="6BD6C51D"/>
    <w:rsid w:val="6BDA3C9C"/>
    <w:rsid w:val="6BDB9BC2"/>
    <w:rsid w:val="6BE00402"/>
    <w:rsid w:val="6BE04722"/>
    <w:rsid w:val="6BE4E713"/>
    <w:rsid w:val="6BE6CDB8"/>
    <w:rsid w:val="6BE98C77"/>
    <w:rsid w:val="6BEC0073"/>
    <w:rsid w:val="6BED5766"/>
    <w:rsid w:val="6BF16281"/>
    <w:rsid w:val="6C00A33E"/>
    <w:rsid w:val="6C032C1B"/>
    <w:rsid w:val="6C035132"/>
    <w:rsid w:val="6C0476FF"/>
    <w:rsid w:val="6C0DDCF1"/>
    <w:rsid w:val="6C171811"/>
    <w:rsid w:val="6C1A9783"/>
    <w:rsid w:val="6C1AE771"/>
    <w:rsid w:val="6C2208CB"/>
    <w:rsid w:val="6C23E73C"/>
    <w:rsid w:val="6C273A14"/>
    <w:rsid w:val="6C29BC3B"/>
    <w:rsid w:val="6C29D891"/>
    <w:rsid w:val="6C2ADD44"/>
    <w:rsid w:val="6C349C5C"/>
    <w:rsid w:val="6C3C7B7D"/>
    <w:rsid w:val="6C3E7504"/>
    <w:rsid w:val="6C42296F"/>
    <w:rsid w:val="6C46203C"/>
    <w:rsid w:val="6C470516"/>
    <w:rsid w:val="6C4E7DC7"/>
    <w:rsid w:val="6C521F66"/>
    <w:rsid w:val="6C537070"/>
    <w:rsid w:val="6C5573FE"/>
    <w:rsid w:val="6C58A109"/>
    <w:rsid w:val="6C65CD48"/>
    <w:rsid w:val="6C698935"/>
    <w:rsid w:val="6C6A4CD0"/>
    <w:rsid w:val="6C6CE459"/>
    <w:rsid w:val="6C72FDD7"/>
    <w:rsid w:val="6C79094C"/>
    <w:rsid w:val="6C794165"/>
    <w:rsid w:val="6C796D9F"/>
    <w:rsid w:val="6C7AB023"/>
    <w:rsid w:val="6C7B1C6D"/>
    <w:rsid w:val="6C7CBC70"/>
    <w:rsid w:val="6C889F03"/>
    <w:rsid w:val="6C88CDC2"/>
    <w:rsid w:val="6C8AB2B8"/>
    <w:rsid w:val="6C8AF7B4"/>
    <w:rsid w:val="6C926FF7"/>
    <w:rsid w:val="6C92E133"/>
    <w:rsid w:val="6C9553A2"/>
    <w:rsid w:val="6C9810E1"/>
    <w:rsid w:val="6CA0FFDA"/>
    <w:rsid w:val="6CA61331"/>
    <w:rsid w:val="6CA684C3"/>
    <w:rsid w:val="6CAB7989"/>
    <w:rsid w:val="6CB83812"/>
    <w:rsid w:val="6CB962CB"/>
    <w:rsid w:val="6CB9E6E2"/>
    <w:rsid w:val="6CBBDA47"/>
    <w:rsid w:val="6CC76B80"/>
    <w:rsid w:val="6CCB3B76"/>
    <w:rsid w:val="6CD471DE"/>
    <w:rsid w:val="6CE5804D"/>
    <w:rsid w:val="6CE91C3D"/>
    <w:rsid w:val="6CE9E738"/>
    <w:rsid w:val="6CF1D440"/>
    <w:rsid w:val="6CF47030"/>
    <w:rsid w:val="6CF4FEC5"/>
    <w:rsid w:val="6CFC3E6A"/>
    <w:rsid w:val="6CFFAC1F"/>
    <w:rsid w:val="6D0ABFCE"/>
    <w:rsid w:val="6D0ED6FA"/>
    <w:rsid w:val="6D0FD3CF"/>
    <w:rsid w:val="6D12449A"/>
    <w:rsid w:val="6D133874"/>
    <w:rsid w:val="6D14731E"/>
    <w:rsid w:val="6D14CBC7"/>
    <w:rsid w:val="6D14D98F"/>
    <w:rsid w:val="6D14E4AF"/>
    <w:rsid w:val="6D150191"/>
    <w:rsid w:val="6D150652"/>
    <w:rsid w:val="6D177426"/>
    <w:rsid w:val="6D1AB809"/>
    <w:rsid w:val="6D1B85F4"/>
    <w:rsid w:val="6D1D6D33"/>
    <w:rsid w:val="6D1FA9B0"/>
    <w:rsid w:val="6D20CED4"/>
    <w:rsid w:val="6D2566B0"/>
    <w:rsid w:val="6D25D248"/>
    <w:rsid w:val="6D2931CD"/>
    <w:rsid w:val="6D2AAA1C"/>
    <w:rsid w:val="6D2C1E75"/>
    <w:rsid w:val="6D2CDFC2"/>
    <w:rsid w:val="6D2FC54A"/>
    <w:rsid w:val="6D305314"/>
    <w:rsid w:val="6D316722"/>
    <w:rsid w:val="6D322A79"/>
    <w:rsid w:val="6D380AB6"/>
    <w:rsid w:val="6D3AC26A"/>
    <w:rsid w:val="6D3E8204"/>
    <w:rsid w:val="6D43B8D4"/>
    <w:rsid w:val="6D440C62"/>
    <w:rsid w:val="6D446EB6"/>
    <w:rsid w:val="6D45C24E"/>
    <w:rsid w:val="6D50AB91"/>
    <w:rsid w:val="6D51DB5B"/>
    <w:rsid w:val="6D520755"/>
    <w:rsid w:val="6D53B0D8"/>
    <w:rsid w:val="6D54BB92"/>
    <w:rsid w:val="6D594E73"/>
    <w:rsid w:val="6D5D5C92"/>
    <w:rsid w:val="6D6A6C94"/>
    <w:rsid w:val="6D773C57"/>
    <w:rsid w:val="6D821289"/>
    <w:rsid w:val="6D841DB7"/>
    <w:rsid w:val="6D85C82C"/>
    <w:rsid w:val="6D865ACF"/>
    <w:rsid w:val="6D895DB6"/>
    <w:rsid w:val="6D8AB4C6"/>
    <w:rsid w:val="6D8E7479"/>
    <w:rsid w:val="6D8F8F48"/>
    <w:rsid w:val="6D8FC20E"/>
    <w:rsid w:val="6D956A0A"/>
    <w:rsid w:val="6D974D56"/>
    <w:rsid w:val="6DA38336"/>
    <w:rsid w:val="6DA5B8BC"/>
    <w:rsid w:val="6DA7CB1C"/>
    <w:rsid w:val="6DA85511"/>
    <w:rsid w:val="6DAB1210"/>
    <w:rsid w:val="6DB0AEAC"/>
    <w:rsid w:val="6DB5AD2B"/>
    <w:rsid w:val="6DBC5BC2"/>
    <w:rsid w:val="6DBE5540"/>
    <w:rsid w:val="6DBEFCB6"/>
    <w:rsid w:val="6DBF371A"/>
    <w:rsid w:val="6DC07675"/>
    <w:rsid w:val="6DC1E3C5"/>
    <w:rsid w:val="6DC5AE82"/>
    <w:rsid w:val="6DC68077"/>
    <w:rsid w:val="6DC9E488"/>
    <w:rsid w:val="6DCFB266"/>
    <w:rsid w:val="6DD1721B"/>
    <w:rsid w:val="6DD41E77"/>
    <w:rsid w:val="6DD55C27"/>
    <w:rsid w:val="6DD55D48"/>
    <w:rsid w:val="6DD91FC4"/>
    <w:rsid w:val="6DDCCEC8"/>
    <w:rsid w:val="6DEB0B2E"/>
    <w:rsid w:val="6DF162E7"/>
    <w:rsid w:val="6DF77A4C"/>
    <w:rsid w:val="6DF7E5B5"/>
    <w:rsid w:val="6E01CB02"/>
    <w:rsid w:val="6E056F2C"/>
    <w:rsid w:val="6E066DB4"/>
    <w:rsid w:val="6E0712C5"/>
    <w:rsid w:val="6E0C5773"/>
    <w:rsid w:val="6E114BC8"/>
    <w:rsid w:val="6E137A8F"/>
    <w:rsid w:val="6E1DCB6B"/>
    <w:rsid w:val="6E20C517"/>
    <w:rsid w:val="6E2498BD"/>
    <w:rsid w:val="6E2741AC"/>
    <w:rsid w:val="6E274B69"/>
    <w:rsid w:val="6E2844BB"/>
    <w:rsid w:val="6E3605E4"/>
    <w:rsid w:val="6E3A1C35"/>
    <w:rsid w:val="6E3D3FDD"/>
    <w:rsid w:val="6E3E9C58"/>
    <w:rsid w:val="6E44FFF0"/>
    <w:rsid w:val="6E498655"/>
    <w:rsid w:val="6E49A17D"/>
    <w:rsid w:val="6E4D6D59"/>
    <w:rsid w:val="6E4DD9EC"/>
    <w:rsid w:val="6E505894"/>
    <w:rsid w:val="6E51B698"/>
    <w:rsid w:val="6E54990D"/>
    <w:rsid w:val="6E54CE49"/>
    <w:rsid w:val="6E550371"/>
    <w:rsid w:val="6E5A2C49"/>
    <w:rsid w:val="6E5C564C"/>
    <w:rsid w:val="6E5E7EDD"/>
    <w:rsid w:val="6E677678"/>
    <w:rsid w:val="6E6CDF48"/>
    <w:rsid w:val="6E71D3C1"/>
    <w:rsid w:val="6E766F2E"/>
    <w:rsid w:val="6E77AD05"/>
    <w:rsid w:val="6E7BF14F"/>
    <w:rsid w:val="6E85C4C7"/>
    <w:rsid w:val="6E8740C8"/>
    <w:rsid w:val="6E8840FA"/>
    <w:rsid w:val="6E8A8D38"/>
    <w:rsid w:val="6E8A94BD"/>
    <w:rsid w:val="6E908DBE"/>
    <w:rsid w:val="6E9165F2"/>
    <w:rsid w:val="6E936972"/>
    <w:rsid w:val="6E9413BE"/>
    <w:rsid w:val="6EA149FE"/>
    <w:rsid w:val="6EA460AC"/>
    <w:rsid w:val="6EA7D10A"/>
    <w:rsid w:val="6EB00198"/>
    <w:rsid w:val="6EBB198F"/>
    <w:rsid w:val="6EBEB13B"/>
    <w:rsid w:val="6EC006DE"/>
    <w:rsid w:val="6ECAB3B9"/>
    <w:rsid w:val="6ECCAA31"/>
    <w:rsid w:val="6ED39026"/>
    <w:rsid w:val="6ED57148"/>
    <w:rsid w:val="6ED686A9"/>
    <w:rsid w:val="6ED8C3C2"/>
    <w:rsid w:val="6EDB1AA4"/>
    <w:rsid w:val="6EDE904D"/>
    <w:rsid w:val="6EE117FC"/>
    <w:rsid w:val="6EF85304"/>
    <w:rsid w:val="6EF8A27B"/>
    <w:rsid w:val="6F001C44"/>
    <w:rsid w:val="6F06CBC4"/>
    <w:rsid w:val="6F077B72"/>
    <w:rsid w:val="6F07B8BB"/>
    <w:rsid w:val="6F085422"/>
    <w:rsid w:val="6F09CEC6"/>
    <w:rsid w:val="6F0BAF46"/>
    <w:rsid w:val="6F161BAD"/>
    <w:rsid w:val="6F1630DF"/>
    <w:rsid w:val="6F1BB821"/>
    <w:rsid w:val="6F1E432E"/>
    <w:rsid w:val="6F22A527"/>
    <w:rsid w:val="6F282A62"/>
    <w:rsid w:val="6F28D6DB"/>
    <w:rsid w:val="6F2D0E8F"/>
    <w:rsid w:val="6F2EE85F"/>
    <w:rsid w:val="6F3234A6"/>
    <w:rsid w:val="6F323EFA"/>
    <w:rsid w:val="6F3283D9"/>
    <w:rsid w:val="6F349ABC"/>
    <w:rsid w:val="6F3704D0"/>
    <w:rsid w:val="6F38E97A"/>
    <w:rsid w:val="6F3C04AD"/>
    <w:rsid w:val="6F3C5E5B"/>
    <w:rsid w:val="6F3D0754"/>
    <w:rsid w:val="6F3F5A83"/>
    <w:rsid w:val="6F409FA6"/>
    <w:rsid w:val="6F46261D"/>
    <w:rsid w:val="6F47B600"/>
    <w:rsid w:val="6F4BED1E"/>
    <w:rsid w:val="6F562051"/>
    <w:rsid w:val="6F565C6C"/>
    <w:rsid w:val="6F5F4BFE"/>
    <w:rsid w:val="6F5F91A6"/>
    <w:rsid w:val="6F6D2122"/>
    <w:rsid w:val="6F6D90CE"/>
    <w:rsid w:val="6F73B8B9"/>
    <w:rsid w:val="6F74D028"/>
    <w:rsid w:val="6F7F9F4D"/>
    <w:rsid w:val="6F84AB83"/>
    <w:rsid w:val="6F859C66"/>
    <w:rsid w:val="6F8B9AAC"/>
    <w:rsid w:val="6F8C8459"/>
    <w:rsid w:val="6F92944C"/>
    <w:rsid w:val="6F9DA864"/>
    <w:rsid w:val="6F9DE945"/>
    <w:rsid w:val="6FA46267"/>
    <w:rsid w:val="6FA467F8"/>
    <w:rsid w:val="6FAF72E3"/>
    <w:rsid w:val="6FB69A1D"/>
    <w:rsid w:val="6FB9C519"/>
    <w:rsid w:val="6FBB9026"/>
    <w:rsid w:val="6FC463F1"/>
    <w:rsid w:val="6FDD05B6"/>
    <w:rsid w:val="6FE59CFA"/>
    <w:rsid w:val="6FEA8779"/>
    <w:rsid w:val="6FF53A4C"/>
    <w:rsid w:val="6FFEAE92"/>
    <w:rsid w:val="6FFFF9F4"/>
    <w:rsid w:val="70085390"/>
    <w:rsid w:val="701B6DF3"/>
    <w:rsid w:val="701E218C"/>
    <w:rsid w:val="702877B4"/>
    <w:rsid w:val="7031BECD"/>
    <w:rsid w:val="7032B8A7"/>
    <w:rsid w:val="7034725C"/>
    <w:rsid w:val="703C1D8B"/>
    <w:rsid w:val="703C3D7A"/>
    <w:rsid w:val="704134ED"/>
    <w:rsid w:val="704157A7"/>
    <w:rsid w:val="704333EF"/>
    <w:rsid w:val="704D0B38"/>
    <w:rsid w:val="704E12EC"/>
    <w:rsid w:val="7052B970"/>
    <w:rsid w:val="70557A46"/>
    <w:rsid w:val="7055D9B3"/>
    <w:rsid w:val="70580038"/>
    <w:rsid w:val="705816A2"/>
    <w:rsid w:val="7059FF9D"/>
    <w:rsid w:val="705F6A78"/>
    <w:rsid w:val="7063771F"/>
    <w:rsid w:val="7067C9F5"/>
    <w:rsid w:val="7072853D"/>
    <w:rsid w:val="707D6B60"/>
    <w:rsid w:val="707EDFCF"/>
    <w:rsid w:val="7080D913"/>
    <w:rsid w:val="7083930F"/>
    <w:rsid w:val="70870186"/>
    <w:rsid w:val="708A8135"/>
    <w:rsid w:val="708C705B"/>
    <w:rsid w:val="709457C8"/>
    <w:rsid w:val="7094725F"/>
    <w:rsid w:val="70967744"/>
    <w:rsid w:val="709EB5AA"/>
    <w:rsid w:val="709EDC80"/>
    <w:rsid w:val="70A46A07"/>
    <w:rsid w:val="70AC2DD9"/>
    <w:rsid w:val="70B78ADD"/>
    <w:rsid w:val="70C199CE"/>
    <w:rsid w:val="70C320E3"/>
    <w:rsid w:val="70C505B5"/>
    <w:rsid w:val="70C59E43"/>
    <w:rsid w:val="70CBB6A8"/>
    <w:rsid w:val="70D3F051"/>
    <w:rsid w:val="70D67F88"/>
    <w:rsid w:val="70D6E743"/>
    <w:rsid w:val="70D72155"/>
    <w:rsid w:val="70DF04A3"/>
    <w:rsid w:val="70E183A2"/>
    <w:rsid w:val="70EA070C"/>
    <w:rsid w:val="70F418CF"/>
    <w:rsid w:val="70FDA0B8"/>
    <w:rsid w:val="71054D8E"/>
    <w:rsid w:val="71065897"/>
    <w:rsid w:val="7106BC73"/>
    <w:rsid w:val="7112FC95"/>
    <w:rsid w:val="711369FA"/>
    <w:rsid w:val="7113C39A"/>
    <w:rsid w:val="7113C559"/>
    <w:rsid w:val="7118650B"/>
    <w:rsid w:val="711ED604"/>
    <w:rsid w:val="711F95FE"/>
    <w:rsid w:val="7121B545"/>
    <w:rsid w:val="712953EC"/>
    <w:rsid w:val="7129E08B"/>
    <w:rsid w:val="712BA818"/>
    <w:rsid w:val="712CC40B"/>
    <w:rsid w:val="712DAE4D"/>
    <w:rsid w:val="7131FE95"/>
    <w:rsid w:val="713C393A"/>
    <w:rsid w:val="71413C03"/>
    <w:rsid w:val="714B2E97"/>
    <w:rsid w:val="714EF634"/>
    <w:rsid w:val="71541510"/>
    <w:rsid w:val="71573F76"/>
    <w:rsid w:val="71585AB4"/>
    <w:rsid w:val="715B67DD"/>
    <w:rsid w:val="715DE335"/>
    <w:rsid w:val="71698E2C"/>
    <w:rsid w:val="71752528"/>
    <w:rsid w:val="71785D64"/>
    <w:rsid w:val="717A9490"/>
    <w:rsid w:val="718A5373"/>
    <w:rsid w:val="71961AD1"/>
    <w:rsid w:val="71992C4B"/>
    <w:rsid w:val="71A0F721"/>
    <w:rsid w:val="71A33F0C"/>
    <w:rsid w:val="71A60508"/>
    <w:rsid w:val="71A609A7"/>
    <w:rsid w:val="71AAC77C"/>
    <w:rsid w:val="71AE68B8"/>
    <w:rsid w:val="71B40801"/>
    <w:rsid w:val="71B920B8"/>
    <w:rsid w:val="71B9FED0"/>
    <w:rsid w:val="71BEF37A"/>
    <w:rsid w:val="71C55543"/>
    <w:rsid w:val="71C866E8"/>
    <w:rsid w:val="71CC2BEC"/>
    <w:rsid w:val="71CD3329"/>
    <w:rsid w:val="71D62CD5"/>
    <w:rsid w:val="71D6A1A6"/>
    <w:rsid w:val="71D7E27B"/>
    <w:rsid w:val="71DB98F1"/>
    <w:rsid w:val="71E6A43D"/>
    <w:rsid w:val="71FA523C"/>
    <w:rsid w:val="71FCF89A"/>
    <w:rsid w:val="71FF0AB5"/>
    <w:rsid w:val="720048D8"/>
    <w:rsid w:val="72038E9E"/>
    <w:rsid w:val="72072EAD"/>
    <w:rsid w:val="72088305"/>
    <w:rsid w:val="720CAA88"/>
    <w:rsid w:val="72100436"/>
    <w:rsid w:val="721315B4"/>
    <w:rsid w:val="721A9245"/>
    <w:rsid w:val="721C5D9C"/>
    <w:rsid w:val="721DEACC"/>
    <w:rsid w:val="721F30E4"/>
    <w:rsid w:val="721FB0F7"/>
    <w:rsid w:val="72215C48"/>
    <w:rsid w:val="72242C6C"/>
    <w:rsid w:val="72246E3D"/>
    <w:rsid w:val="722DD37E"/>
    <w:rsid w:val="723022D9"/>
    <w:rsid w:val="7236C434"/>
    <w:rsid w:val="723A2756"/>
    <w:rsid w:val="723ED814"/>
    <w:rsid w:val="72409255"/>
    <w:rsid w:val="724528FB"/>
    <w:rsid w:val="7248EC20"/>
    <w:rsid w:val="724D5689"/>
    <w:rsid w:val="72541725"/>
    <w:rsid w:val="72541B3E"/>
    <w:rsid w:val="72566D24"/>
    <w:rsid w:val="7260492C"/>
    <w:rsid w:val="72606863"/>
    <w:rsid w:val="7262922E"/>
    <w:rsid w:val="7264AF1E"/>
    <w:rsid w:val="72681A86"/>
    <w:rsid w:val="726C8854"/>
    <w:rsid w:val="726CF793"/>
    <w:rsid w:val="72739566"/>
    <w:rsid w:val="727B9D7E"/>
    <w:rsid w:val="727BCAED"/>
    <w:rsid w:val="72842D4E"/>
    <w:rsid w:val="728576AB"/>
    <w:rsid w:val="7286E9AA"/>
    <w:rsid w:val="728AA0C7"/>
    <w:rsid w:val="728B1176"/>
    <w:rsid w:val="728B83CC"/>
    <w:rsid w:val="728CEA0E"/>
    <w:rsid w:val="7291A0DF"/>
    <w:rsid w:val="72A515EC"/>
    <w:rsid w:val="72ACC9B0"/>
    <w:rsid w:val="72AFFDBB"/>
    <w:rsid w:val="72B003DD"/>
    <w:rsid w:val="72B0BD6C"/>
    <w:rsid w:val="72B1FC15"/>
    <w:rsid w:val="72B27299"/>
    <w:rsid w:val="72BCC8E1"/>
    <w:rsid w:val="72C07A7F"/>
    <w:rsid w:val="72C3A3F1"/>
    <w:rsid w:val="72C49A42"/>
    <w:rsid w:val="72C6476E"/>
    <w:rsid w:val="72C7FE8A"/>
    <w:rsid w:val="72CB16E2"/>
    <w:rsid w:val="72D22935"/>
    <w:rsid w:val="72D75CE5"/>
    <w:rsid w:val="72DC9713"/>
    <w:rsid w:val="72E117F8"/>
    <w:rsid w:val="72E458E6"/>
    <w:rsid w:val="72E6EAFC"/>
    <w:rsid w:val="72EF62BF"/>
    <w:rsid w:val="72F6C04E"/>
    <w:rsid w:val="72F88F56"/>
    <w:rsid w:val="72FA0624"/>
    <w:rsid w:val="72FE4CEA"/>
    <w:rsid w:val="73033D35"/>
    <w:rsid w:val="7305E898"/>
    <w:rsid w:val="731918B1"/>
    <w:rsid w:val="731E4DCB"/>
    <w:rsid w:val="7320E8AC"/>
    <w:rsid w:val="73228C90"/>
    <w:rsid w:val="732423AF"/>
    <w:rsid w:val="7326E040"/>
    <w:rsid w:val="7327DF8B"/>
    <w:rsid w:val="732A5020"/>
    <w:rsid w:val="73305727"/>
    <w:rsid w:val="733E57A0"/>
    <w:rsid w:val="7342BEA4"/>
    <w:rsid w:val="7346A352"/>
    <w:rsid w:val="73483DF7"/>
    <w:rsid w:val="73507CDF"/>
    <w:rsid w:val="73522332"/>
    <w:rsid w:val="735A87BE"/>
    <w:rsid w:val="735AF79D"/>
    <w:rsid w:val="735D8D20"/>
    <w:rsid w:val="73628C74"/>
    <w:rsid w:val="736FC1BC"/>
    <w:rsid w:val="7372F64E"/>
    <w:rsid w:val="7379BD6F"/>
    <w:rsid w:val="737EFEE9"/>
    <w:rsid w:val="7382FB20"/>
    <w:rsid w:val="73905F7B"/>
    <w:rsid w:val="73921B36"/>
    <w:rsid w:val="73991538"/>
    <w:rsid w:val="739E206A"/>
    <w:rsid w:val="739F45C4"/>
    <w:rsid w:val="73A9814A"/>
    <w:rsid w:val="73ABA42D"/>
    <w:rsid w:val="73B79B6E"/>
    <w:rsid w:val="73BC01D3"/>
    <w:rsid w:val="73BCC4C2"/>
    <w:rsid w:val="73C2061F"/>
    <w:rsid w:val="73C67303"/>
    <w:rsid w:val="73C6C7CC"/>
    <w:rsid w:val="73C97E55"/>
    <w:rsid w:val="73CF4F57"/>
    <w:rsid w:val="73D01BDA"/>
    <w:rsid w:val="73D8C073"/>
    <w:rsid w:val="73D8E0AD"/>
    <w:rsid w:val="73DA0B61"/>
    <w:rsid w:val="73DA1103"/>
    <w:rsid w:val="73DBBE2F"/>
    <w:rsid w:val="73DEF5BA"/>
    <w:rsid w:val="73DFD85B"/>
    <w:rsid w:val="73E2309E"/>
    <w:rsid w:val="73E39165"/>
    <w:rsid w:val="73E5EA12"/>
    <w:rsid w:val="73EAF04D"/>
    <w:rsid w:val="73F199F2"/>
    <w:rsid w:val="73F8FAE7"/>
    <w:rsid w:val="73FAD9C8"/>
    <w:rsid w:val="73FE8EF0"/>
    <w:rsid w:val="74130182"/>
    <w:rsid w:val="7416DC01"/>
    <w:rsid w:val="7418A983"/>
    <w:rsid w:val="741AE195"/>
    <w:rsid w:val="741EC99D"/>
    <w:rsid w:val="7424E53F"/>
    <w:rsid w:val="7425859E"/>
    <w:rsid w:val="742AAF50"/>
    <w:rsid w:val="742E06FE"/>
    <w:rsid w:val="742F95A9"/>
    <w:rsid w:val="743E2371"/>
    <w:rsid w:val="7440E1DE"/>
    <w:rsid w:val="7441FB8B"/>
    <w:rsid w:val="74449183"/>
    <w:rsid w:val="7446FBFC"/>
    <w:rsid w:val="744C29B7"/>
    <w:rsid w:val="744E3DA9"/>
    <w:rsid w:val="74523E1A"/>
    <w:rsid w:val="7454A3B0"/>
    <w:rsid w:val="746789C4"/>
    <w:rsid w:val="7467DFCD"/>
    <w:rsid w:val="7468BDD8"/>
    <w:rsid w:val="746EB586"/>
    <w:rsid w:val="74710B90"/>
    <w:rsid w:val="74784BDD"/>
    <w:rsid w:val="747A488B"/>
    <w:rsid w:val="7480763A"/>
    <w:rsid w:val="74828E08"/>
    <w:rsid w:val="7483BE17"/>
    <w:rsid w:val="7483F7EE"/>
    <w:rsid w:val="74875C8C"/>
    <w:rsid w:val="7489FFA0"/>
    <w:rsid w:val="748A8D9A"/>
    <w:rsid w:val="748B31CE"/>
    <w:rsid w:val="748B3846"/>
    <w:rsid w:val="7492034E"/>
    <w:rsid w:val="74A2D2BB"/>
    <w:rsid w:val="74A36994"/>
    <w:rsid w:val="74A8CC4D"/>
    <w:rsid w:val="74B010C0"/>
    <w:rsid w:val="74B78078"/>
    <w:rsid w:val="74BD4743"/>
    <w:rsid w:val="74BFB3FD"/>
    <w:rsid w:val="74C1BD04"/>
    <w:rsid w:val="74C4E3DB"/>
    <w:rsid w:val="74C944D4"/>
    <w:rsid w:val="74C95554"/>
    <w:rsid w:val="74CD28AB"/>
    <w:rsid w:val="74D17FEA"/>
    <w:rsid w:val="74E05320"/>
    <w:rsid w:val="74E388F3"/>
    <w:rsid w:val="74E5C365"/>
    <w:rsid w:val="74E75243"/>
    <w:rsid w:val="74E9EFE8"/>
    <w:rsid w:val="74EA6B74"/>
    <w:rsid w:val="74F520BD"/>
    <w:rsid w:val="74F54310"/>
    <w:rsid w:val="74FDA1DB"/>
    <w:rsid w:val="74FE1982"/>
    <w:rsid w:val="7502ED5C"/>
    <w:rsid w:val="7507D7B0"/>
    <w:rsid w:val="75088F72"/>
    <w:rsid w:val="75092008"/>
    <w:rsid w:val="7517A541"/>
    <w:rsid w:val="751ECCCD"/>
    <w:rsid w:val="751FF51C"/>
    <w:rsid w:val="752157D6"/>
    <w:rsid w:val="75255DCB"/>
    <w:rsid w:val="7526EC5D"/>
    <w:rsid w:val="752AD7C4"/>
    <w:rsid w:val="752F1236"/>
    <w:rsid w:val="75347D56"/>
    <w:rsid w:val="7534E3C6"/>
    <w:rsid w:val="7535529F"/>
    <w:rsid w:val="75367A4A"/>
    <w:rsid w:val="753CF634"/>
    <w:rsid w:val="754EF36F"/>
    <w:rsid w:val="754FE207"/>
    <w:rsid w:val="755638F6"/>
    <w:rsid w:val="75579C92"/>
    <w:rsid w:val="755A5401"/>
    <w:rsid w:val="755C5BEF"/>
    <w:rsid w:val="75635E0D"/>
    <w:rsid w:val="75659A29"/>
    <w:rsid w:val="756829CC"/>
    <w:rsid w:val="756BEF23"/>
    <w:rsid w:val="756F41E4"/>
    <w:rsid w:val="7572C90B"/>
    <w:rsid w:val="757A4004"/>
    <w:rsid w:val="757E97CB"/>
    <w:rsid w:val="7583D9D2"/>
    <w:rsid w:val="7587E62C"/>
    <w:rsid w:val="7588882A"/>
    <w:rsid w:val="7588A3D4"/>
    <w:rsid w:val="7589F79B"/>
    <w:rsid w:val="758A6A19"/>
    <w:rsid w:val="7590453D"/>
    <w:rsid w:val="75954EC8"/>
    <w:rsid w:val="7596ECBD"/>
    <w:rsid w:val="75A9005D"/>
    <w:rsid w:val="75AFA555"/>
    <w:rsid w:val="75B27627"/>
    <w:rsid w:val="75B2F92B"/>
    <w:rsid w:val="75B66C31"/>
    <w:rsid w:val="75BFF590"/>
    <w:rsid w:val="75C0C41F"/>
    <w:rsid w:val="75C19079"/>
    <w:rsid w:val="75C26881"/>
    <w:rsid w:val="75CBE501"/>
    <w:rsid w:val="75CD6F63"/>
    <w:rsid w:val="75D5D438"/>
    <w:rsid w:val="75D6AE39"/>
    <w:rsid w:val="75D93C9A"/>
    <w:rsid w:val="75DA4BEA"/>
    <w:rsid w:val="75E5884C"/>
    <w:rsid w:val="75E782B6"/>
    <w:rsid w:val="75ED41ED"/>
    <w:rsid w:val="75EE5E48"/>
    <w:rsid w:val="75F10DD3"/>
    <w:rsid w:val="75F395B1"/>
    <w:rsid w:val="75FC4935"/>
    <w:rsid w:val="76028D20"/>
    <w:rsid w:val="760CD451"/>
    <w:rsid w:val="761EE5AC"/>
    <w:rsid w:val="76231AB1"/>
    <w:rsid w:val="76274154"/>
    <w:rsid w:val="7629E818"/>
    <w:rsid w:val="762A067C"/>
    <w:rsid w:val="762FD461"/>
    <w:rsid w:val="7633E8D3"/>
    <w:rsid w:val="7635552C"/>
    <w:rsid w:val="7651C882"/>
    <w:rsid w:val="7677FAFF"/>
    <w:rsid w:val="767B5C49"/>
    <w:rsid w:val="767C5124"/>
    <w:rsid w:val="76815E09"/>
    <w:rsid w:val="76817AB1"/>
    <w:rsid w:val="7683C0C2"/>
    <w:rsid w:val="76867E61"/>
    <w:rsid w:val="7689CCF0"/>
    <w:rsid w:val="7689E272"/>
    <w:rsid w:val="768C49B3"/>
    <w:rsid w:val="768FFB0F"/>
    <w:rsid w:val="76913F88"/>
    <w:rsid w:val="76916115"/>
    <w:rsid w:val="76980430"/>
    <w:rsid w:val="769BA116"/>
    <w:rsid w:val="769D4A5F"/>
    <w:rsid w:val="76A25D89"/>
    <w:rsid w:val="76A94580"/>
    <w:rsid w:val="76AA923E"/>
    <w:rsid w:val="76BDCF54"/>
    <w:rsid w:val="76C95309"/>
    <w:rsid w:val="76CAE7A8"/>
    <w:rsid w:val="76CB68CC"/>
    <w:rsid w:val="76D17F2F"/>
    <w:rsid w:val="76DE1EA5"/>
    <w:rsid w:val="76E03C15"/>
    <w:rsid w:val="76E22E49"/>
    <w:rsid w:val="76E7AD86"/>
    <w:rsid w:val="76E7F25E"/>
    <w:rsid w:val="76E819D7"/>
    <w:rsid w:val="76E8D81D"/>
    <w:rsid w:val="76ECB045"/>
    <w:rsid w:val="76EE0B97"/>
    <w:rsid w:val="76F351D1"/>
    <w:rsid w:val="770618EC"/>
    <w:rsid w:val="77099370"/>
    <w:rsid w:val="770D8D73"/>
    <w:rsid w:val="77112E2A"/>
    <w:rsid w:val="77177742"/>
    <w:rsid w:val="7717B946"/>
    <w:rsid w:val="772064FC"/>
    <w:rsid w:val="772186C3"/>
    <w:rsid w:val="77224DD1"/>
    <w:rsid w:val="7726A80F"/>
    <w:rsid w:val="77325C30"/>
    <w:rsid w:val="7736399A"/>
    <w:rsid w:val="773B8A4A"/>
    <w:rsid w:val="773E4017"/>
    <w:rsid w:val="773F6EB2"/>
    <w:rsid w:val="7744815E"/>
    <w:rsid w:val="7744D7BD"/>
    <w:rsid w:val="7746C077"/>
    <w:rsid w:val="774BDD17"/>
    <w:rsid w:val="77578F2E"/>
    <w:rsid w:val="7758AABD"/>
    <w:rsid w:val="775B3BA6"/>
    <w:rsid w:val="775EC859"/>
    <w:rsid w:val="7776941E"/>
    <w:rsid w:val="77789234"/>
    <w:rsid w:val="777D8F9B"/>
    <w:rsid w:val="77871A7A"/>
    <w:rsid w:val="77982141"/>
    <w:rsid w:val="779893B5"/>
    <w:rsid w:val="77A1FDC8"/>
    <w:rsid w:val="77A39E14"/>
    <w:rsid w:val="77B0A206"/>
    <w:rsid w:val="77B17F2D"/>
    <w:rsid w:val="77B74E8E"/>
    <w:rsid w:val="77BD49AB"/>
    <w:rsid w:val="77C15630"/>
    <w:rsid w:val="77C4B2DE"/>
    <w:rsid w:val="77C96AE4"/>
    <w:rsid w:val="77CC77E8"/>
    <w:rsid w:val="77CCA335"/>
    <w:rsid w:val="77CCE660"/>
    <w:rsid w:val="77D1152A"/>
    <w:rsid w:val="77D84F18"/>
    <w:rsid w:val="77DD8090"/>
    <w:rsid w:val="77DE225D"/>
    <w:rsid w:val="77DFF79B"/>
    <w:rsid w:val="77E37A0D"/>
    <w:rsid w:val="77E37E9C"/>
    <w:rsid w:val="77EC84F4"/>
    <w:rsid w:val="77EF0E67"/>
    <w:rsid w:val="77F301BF"/>
    <w:rsid w:val="77F8EBBA"/>
    <w:rsid w:val="77F96B19"/>
    <w:rsid w:val="77FF46E1"/>
    <w:rsid w:val="77FFD862"/>
    <w:rsid w:val="780CA43B"/>
    <w:rsid w:val="78138A05"/>
    <w:rsid w:val="7813AC4D"/>
    <w:rsid w:val="7813DBA3"/>
    <w:rsid w:val="7816E00E"/>
    <w:rsid w:val="7817DEF8"/>
    <w:rsid w:val="781F942D"/>
    <w:rsid w:val="78206196"/>
    <w:rsid w:val="7825ABDA"/>
    <w:rsid w:val="782AA308"/>
    <w:rsid w:val="782DD334"/>
    <w:rsid w:val="78320DAE"/>
    <w:rsid w:val="78330151"/>
    <w:rsid w:val="783982ED"/>
    <w:rsid w:val="783C5C12"/>
    <w:rsid w:val="783CA598"/>
    <w:rsid w:val="78428EC9"/>
    <w:rsid w:val="785247C3"/>
    <w:rsid w:val="78527297"/>
    <w:rsid w:val="78591C07"/>
    <w:rsid w:val="7867810A"/>
    <w:rsid w:val="786862E1"/>
    <w:rsid w:val="78688686"/>
    <w:rsid w:val="787496DE"/>
    <w:rsid w:val="787575FC"/>
    <w:rsid w:val="787CACC0"/>
    <w:rsid w:val="788011E5"/>
    <w:rsid w:val="78806EC3"/>
    <w:rsid w:val="78826360"/>
    <w:rsid w:val="788448F5"/>
    <w:rsid w:val="78863736"/>
    <w:rsid w:val="7886C922"/>
    <w:rsid w:val="78947BDF"/>
    <w:rsid w:val="789C3102"/>
    <w:rsid w:val="789D5178"/>
    <w:rsid w:val="78A0F986"/>
    <w:rsid w:val="78A34549"/>
    <w:rsid w:val="78A3CCCD"/>
    <w:rsid w:val="78A8287B"/>
    <w:rsid w:val="78AAC6C2"/>
    <w:rsid w:val="78AB279C"/>
    <w:rsid w:val="78ACB44C"/>
    <w:rsid w:val="78AEFF80"/>
    <w:rsid w:val="78B26624"/>
    <w:rsid w:val="78B9094F"/>
    <w:rsid w:val="78C3D231"/>
    <w:rsid w:val="78C48936"/>
    <w:rsid w:val="78C4939B"/>
    <w:rsid w:val="78C544BE"/>
    <w:rsid w:val="78CA98ED"/>
    <w:rsid w:val="78CB01EA"/>
    <w:rsid w:val="78D6729F"/>
    <w:rsid w:val="78D6A518"/>
    <w:rsid w:val="78D7A500"/>
    <w:rsid w:val="78DB1B47"/>
    <w:rsid w:val="78E2ECD8"/>
    <w:rsid w:val="78E72E09"/>
    <w:rsid w:val="78FC11FB"/>
    <w:rsid w:val="79001BA7"/>
    <w:rsid w:val="7903CC91"/>
    <w:rsid w:val="7903E620"/>
    <w:rsid w:val="79063CB8"/>
    <w:rsid w:val="790872E7"/>
    <w:rsid w:val="7908A1DE"/>
    <w:rsid w:val="7915DD04"/>
    <w:rsid w:val="7918EA9C"/>
    <w:rsid w:val="791C5A14"/>
    <w:rsid w:val="7927868E"/>
    <w:rsid w:val="792B8553"/>
    <w:rsid w:val="793171AD"/>
    <w:rsid w:val="7935B8AC"/>
    <w:rsid w:val="7938B837"/>
    <w:rsid w:val="793F2A4D"/>
    <w:rsid w:val="7943E214"/>
    <w:rsid w:val="794670CE"/>
    <w:rsid w:val="794AF9AC"/>
    <w:rsid w:val="794E252B"/>
    <w:rsid w:val="794FDBE1"/>
    <w:rsid w:val="7951BA1D"/>
    <w:rsid w:val="7957CAF0"/>
    <w:rsid w:val="795FA53A"/>
    <w:rsid w:val="79609889"/>
    <w:rsid w:val="797559A6"/>
    <w:rsid w:val="797F9AD2"/>
    <w:rsid w:val="79880CBA"/>
    <w:rsid w:val="798B44FD"/>
    <w:rsid w:val="798D88B5"/>
    <w:rsid w:val="798DD4B4"/>
    <w:rsid w:val="79954003"/>
    <w:rsid w:val="7995596B"/>
    <w:rsid w:val="7996FC12"/>
    <w:rsid w:val="7997D717"/>
    <w:rsid w:val="7997F3EB"/>
    <w:rsid w:val="799828D1"/>
    <w:rsid w:val="799A5067"/>
    <w:rsid w:val="799D1D42"/>
    <w:rsid w:val="79A4AD79"/>
    <w:rsid w:val="79B0BDED"/>
    <w:rsid w:val="79BA77AF"/>
    <w:rsid w:val="79C591F5"/>
    <w:rsid w:val="79CA649A"/>
    <w:rsid w:val="79CCE6A3"/>
    <w:rsid w:val="79D9D67F"/>
    <w:rsid w:val="79E04A93"/>
    <w:rsid w:val="79E46A78"/>
    <w:rsid w:val="79E48338"/>
    <w:rsid w:val="79E55D09"/>
    <w:rsid w:val="79EF8839"/>
    <w:rsid w:val="79F46A70"/>
    <w:rsid w:val="79F51EA3"/>
    <w:rsid w:val="79FAF474"/>
    <w:rsid w:val="79FDDC74"/>
    <w:rsid w:val="7A03DF26"/>
    <w:rsid w:val="7A0A0F63"/>
    <w:rsid w:val="7A172539"/>
    <w:rsid w:val="7A17F3B2"/>
    <w:rsid w:val="7A1D5FB3"/>
    <w:rsid w:val="7A25999C"/>
    <w:rsid w:val="7A26B75D"/>
    <w:rsid w:val="7A29EC44"/>
    <w:rsid w:val="7A2A8540"/>
    <w:rsid w:val="7A301D21"/>
    <w:rsid w:val="7A3479FD"/>
    <w:rsid w:val="7A35078F"/>
    <w:rsid w:val="7A384E1B"/>
    <w:rsid w:val="7A38A110"/>
    <w:rsid w:val="7A39F85D"/>
    <w:rsid w:val="7A3B52E3"/>
    <w:rsid w:val="7A3BE771"/>
    <w:rsid w:val="7A3CB5A9"/>
    <w:rsid w:val="7A3D4F35"/>
    <w:rsid w:val="7A579497"/>
    <w:rsid w:val="7A62BC2D"/>
    <w:rsid w:val="7A647B62"/>
    <w:rsid w:val="7A68BACA"/>
    <w:rsid w:val="7A6A92B6"/>
    <w:rsid w:val="7A6C0869"/>
    <w:rsid w:val="7A744EAF"/>
    <w:rsid w:val="7A746FFB"/>
    <w:rsid w:val="7A74BF3A"/>
    <w:rsid w:val="7A76695D"/>
    <w:rsid w:val="7A778778"/>
    <w:rsid w:val="7A85E692"/>
    <w:rsid w:val="7A8EE34C"/>
    <w:rsid w:val="7A8F0ABA"/>
    <w:rsid w:val="7A916927"/>
    <w:rsid w:val="7A918365"/>
    <w:rsid w:val="7A9197A7"/>
    <w:rsid w:val="7A95CD41"/>
    <w:rsid w:val="7A99E6DE"/>
    <w:rsid w:val="7A9EA39E"/>
    <w:rsid w:val="7AA15F73"/>
    <w:rsid w:val="7AA1FC72"/>
    <w:rsid w:val="7AB1C609"/>
    <w:rsid w:val="7ABAB231"/>
    <w:rsid w:val="7ABC6290"/>
    <w:rsid w:val="7AC1DEC5"/>
    <w:rsid w:val="7AC44CBB"/>
    <w:rsid w:val="7AC92ED9"/>
    <w:rsid w:val="7AD40F78"/>
    <w:rsid w:val="7AD41465"/>
    <w:rsid w:val="7AD44499"/>
    <w:rsid w:val="7AD5F13A"/>
    <w:rsid w:val="7AEE6984"/>
    <w:rsid w:val="7AEF6D9F"/>
    <w:rsid w:val="7AFCEE51"/>
    <w:rsid w:val="7AFD2C6A"/>
    <w:rsid w:val="7B059CFE"/>
    <w:rsid w:val="7B05FE6F"/>
    <w:rsid w:val="7B06038D"/>
    <w:rsid w:val="7B0AB350"/>
    <w:rsid w:val="7B143D06"/>
    <w:rsid w:val="7B14805D"/>
    <w:rsid w:val="7B17E4E2"/>
    <w:rsid w:val="7B26E2BE"/>
    <w:rsid w:val="7B2894D7"/>
    <w:rsid w:val="7B2BD058"/>
    <w:rsid w:val="7B2D1AFF"/>
    <w:rsid w:val="7B3268F2"/>
    <w:rsid w:val="7B352EE4"/>
    <w:rsid w:val="7B405C53"/>
    <w:rsid w:val="7B40D457"/>
    <w:rsid w:val="7B451480"/>
    <w:rsid w:val="7B45B87A"/>
    <w:rsid w:val="7B4709CD"/>
    <w:rsid w:val="7B4A0CE7"/>
    <w:rsid w:val="7B58C1B7"/>
    <w:rsid w:val="7B5C3BDA"/>
    <w:rsid w:val="7B5E5428"/>
    <w:rsid w:val="7B5FAC8A"/>
    <w:rsid w:val="7B639D7B"/>
    <w:rsid w:val="7B6457CF"/>
    <w:rsid w:val="7B6771D7"/>
    <w:rsid w:val="7B6C5B36"/>
    <w:rsid w:val="7B701176"/>
    <w:rsid w:val="7B746563"/>
    <w:rsid w:val="7B76B854"/>
    <w:rsid w:val="7B779958"/>
    <w:rsid w:val="7B7AA36E"/>
    <w:rsid w:val="7B7C61CB"/>
    <w:rsid w:val="7B7D66F0"/>
    <w:rsid w:val="7B7E5607"/>
    <w:rsid w:val="7B7EAC7F"/>
    <w:rsid w:val="7B8202C0"/>
    <w:rsid w:val="7B831230"/>
    <w:rsid w:val="7B83270D"/>
    <w:rsid w:val="7B84B19D"/>
    <w:rsid w:val="7B858B45"/>
    <w:rsid w:val="7B894CC8"/>
    <w:rsid w:val="7B8CDF27"/>
    <w:rsid w:val="7B9374B1"/>
    <w:rsid w:val="7B9837AB"/>
    <w:rsid w:val="7B9A023B"/>
    <w:rsid w:val="7B9A3564"/>
    <w:rsid w:val="7B9E38FF"/>
    <w:rsid w:val="7B9ED042"/>
    <w:rsid w:val="7BA30974"/>
    <w:rsid w:val="7BA54275"/>
    <w:rsid w:val="7BAB1FDE"/>
    <w:rsid w:val="7BB2641A"/>
    <w:rsid w:val="7BB3C0AC"/>
    <w:rsid w:val="7BB9B03D"/>
    <w:rsid w:val="7BBA5864"/>
    <w:rsid w:val="7BBA7610"/>
    <w:rsid w:val="7BBD8392"/>
    <w:rsid w:val="7BBFA39E"/>
    <w:rsid w:val="7BC3D5C8"/>
    <w:rsid w:val="7BC4C697"/>
    <w:rsid w:val="7BC958E5"/>
    <w:rsid w:val="7BC982D5"/>
    <w:rsid w:val="7BC9F24D"/>
    <w:rsid w:val="7BCDB706"/>
    <w:rsid w:val="7BCEBABE"/>
    <w:rsid w:val="7BCF0393"/>
    <w:rsid w:val="7BD6E561"/>
    <w:rsid w:val="7BDA42A7"/>
    <w:rsid w:val="7BDB9064"/>
    <w:rsid w:val="7BE079A9"/>
    <w:rsid w:val="7BE19C0C"/>
    <w:rsid w:val="7BE4CF05"/>
    <w:rsid w:val="7BE537AD"/>
    <w:rsid w:val="7BE68249"/>
    <w:rsid w:val="7BE6C996"/>
    <w:rsid w:val="7BEA8AA0"/>
    <w:rsid w:val="7BF58A7F"/>
    <w:rsid w:val="7C00E170"/>
    <w:rsid w:val="7C050D9A"/>
    <w:rsid w:val="7C0C0821"/>
    <w:rsid w:val="7C0E89CD"/>
    <w:rsid w:val="7C101A8E"/>
    <w:rsid w:val="7C117D59"/>
    <w:rsid w:val="7C1E2F74"/>
    <w:rsid w:val="7C213737"/>
    <w:rsid w:val="7C2E01C5"/>
    <w:rsid w:val="7C31054F"/>
    <w:rsid w:val="7C31E707"/>
    <w:rsid w:val="7C3821AA"/>
    <w:rsid w:val="7C387338"/>
    <w:rsid w:val="7C41C91D"/>
    <w:rsid w:val="7C431532"/>
    <w:rsid w:val="7C4A8F34"/>
    <w:rsid w:val="7C4C7059"/>
    <w:rsid w:val="7C54688E"/>
    <w:rsid w:val="7C57D80E"/>
    <w:rsid w:val="7C5874B3"/>
    <w:rsid w:val="7C5F842A"/>
    <w:rsid w:val="7C62FEF4"/>
    <w:rsid w:val="7C7340CF"/>
    <w:rsid w:val="7C7D5821"/>
    <w:rsid w:val="7C7E7A34"/>
    <w:rsid w:val="7C895AE8"/>
    <w:rsid w:val="7C9410A1"/>
    <w:rsid w:val="7C9701BC"/>
    <w:rsid w:val="7C9E99F2"/>
    <w:rsid w:val="7C9EB9A5"/>
    <w:rsid w:val="7CA0E6DE"/>
    <w:rsid w:val="7CA43FCB"/>
    <w:rsid w:val="7CB25DD4"/>
    <w:rsid w:val="7CB3B25F"/>
    <w:rsid w:val="7CB4B146"/>
    <w:rsid w:val="7CBB2BEE"/>
    <w:rsid w:val="7CBB7826"/>
    <w:rsid w:val="7CBE2E27"/>
    <w:rsid w:val="7CC07D9E"/>
    <w:rsid w:val="7CC3B6DD"/>
    <w:rsid w:val="7CC4E12D"/>
    <w:rsid w:val="7CD86D05"/>
    <w:rsid w:val="7CDAFD36"/>
    <w:rsid w:val="7CEA904A"/>
    <w:rsid w:val="7CEEEAA8"/>
    <w:rsid w:val="7CF451BC"/>
    <w:rsid w:val="7CF8FFF3"/>
    <w:rsid w:val="7CFC5B9C"/>
    <w:rsid w:val="7CFF6A7F"/>
    <w:rsid w:val="7D05BE30"/>
    <w:rsid w:val="7D075DB6"/>
    <w:rsid w:val="7D0C1FDF"/>
    <w:rsid w:val="7D0E613D"/>
    <w:rsid w:val="7D1CDD12"/>
    <w:rsid w:val="7D1D0750"/>
    <w:rsid w:val="7D2C5652"/>
    <w:rsid w:val="7D2CC465"/>
    <w:rsid w:val="7D394204"/>
    <w:rsid w:val="7D3995D0"/>
    <w:rsid w:val="7D3A589D"/>
    <w:rsid w:val="7D428547"/>
    <w:rsid w:val="7D47F252"/>
    <w:rsid w:val="7D4CB935"/>
    <w:rsid w:val="7D4DD8A2"/>
    <w:rsid w:val="7D4E8D74"/>
    <w:rsid w:val="7D502A13"/>
    <w:rsid w:val="7D55FC0F"/>
    <w:rsid w:val="7D5617C9"/>
    <w:rsid w:val="7D577EAA"/>
    <w:rsid w:val="7D598E9A"/>
    <w:rsid w:val="7D5F5CAC"/>
    <w:rsid w:val="7D63D39E"/>
    <w:rsid w:val="7D662F4D"/>
    <w:rsid w:val="7D689940"/>
    <w:rsid w:val="7D72C962"/>
    <w:rsid w:val="7D74288B"/>
    <w:rsid w:val="7D7D4AC5"/>
    <w:rsid w:val="7D8AA8B0"/>
    <w:rsid w:val="7D907B3A"/>
    <w:rsid w:val="7D93D92E"/>
    <w:rsid w:val="7D9FCDEB"/>
    <w:rsid w:val="7DA1A5C7"/>
    <w:rsid w:val="7DA6EC9E"/>
    <w:rsid w:val="7DA78E92"/>
    <w:rsid w:val="7DAE3105"/>
    <w:rsid w:val="7DB1998E"/>
    <w:rsid w:val="7DB1AE65"/>
    <w:rsid w:val="7DB1DB4F"/>
    <w:rsid w:val="7DC49F38"/>
    <w:rsid w:val="7DC70F9C"/>
    <w:rsid w:val="7DCA3796"/>
    <w:rsid w:val="7DCC6904"/>
    <w:rsid w:val="7DCFA401"/>
    <w:rsid w:val="7DD8B56B"/>
    <w:rsid w:val="7DDA0449"/>
    <w:rsid w:val="7DDF9288"/>
    <w:rsid w:val="7DE3D296"/>
    <w:rsid w:val="7DEED3DF"/>
    <w:rsid w:val="7DF2B8AF"/>
    <w:rsid w:val="7DF597F5"/>
    <w:rsid w:val="7DF82CA7"/>
    <w:rsid w:val="7E015F31"/>
    <w:rsid w:val="7E03F94E"/>
    <w:rsid w:val="7E06CDCA"/>
    <w:rsid w:val="7E0AA7F4"/>
    <w:rsid w:val="7E0B29B3"/>
    <w:rsid w:val="7E0FA04E"/>
    <w:rsid w:val="7E1D34A7"/>
    <w:rsid w:val="7E1DA193"/>
    <w:rsid w:val="7E1F09B2"/>
    <w:rsid w:val="7E21672B"/>
    <w:rsid w:val="7E2202AB"/>
    <w:rsid w:val="7E240EB8"/>
    <w:rsid w:val="7E26B083"/>
    <w:rsid w:val="7E2DCA65"/>
    <w:rsid w:val="7E317F56"/>
    <w:rsid w:val="7E35DF54"/>
    <w:rsid w:val="7E385290"/>
    <w:rsid w:val="7E3A8EC4"/>
    <w:rsid w:val="7E3AE94A"/>
    <w:rsid w:val="7E3BD38A"/>
    <w:rsid w:val="7E3C084E"/>
    <w:rsid w:val="7E3E7429"/>
    <w:rsid w:val="7E429FFE"/>
    <w:rsid w:val="7E49A47E"/>
    <w:rsid w:val="7E4AF03D"/>
    <w:rsid w:val="7E537878"/>
    <w:rsid w:val="7E569608"/>
    <w:rsid w:val="7E5C0195"/>
    <w:rsid w:val="7E5D5B58"/>
    <w:rsid w:val="7E6981AF"/>
    <w:rsid w:val="7E6C2865"/>
    <w:rsid w:val="7E6D0B3E"/>
    <w:rsid w:val="7E6D99EF"/>
    <w:rsid w:val="7E750BC8"/>
    <w:rsid w:val="7E7583B2"/>
    <w:rsid w:val="7E77A217"/>
    <w:rsid w:val="7E7FD882"/>
    <w:rsid w:val="7E863DAA"/>
    <w:rsid w:val="7E92C043"/>
    <w:rsid w:val="7E94E891"/>
    <w:rsid w:val="7E94F5CF"/>
    <w:rsid w:val="7E97F453"/>
    <w:rsid w:val="7E9BDEE1"/>
    <w:rsid w:val="7EA33462"/>
    <w:rsid w:val="7EAA80D6"/>
    <w:rsid w:val="7EAEA065"/>
    <w:rsid w:val="7EB08C15"/>
    <w:rsid w:val="7EB3F110"/>
    <w:rsid w:val="7EB981D7"/>
    <w:rsid w:val="7EBE4738"/>
    <w:rsid w:val="7EBF5B09"/>
    <w:rsid w:val="7EC0AC7B"/>
    <w:rsid w:val="7EC1F8F9"/>
    <w:rsid w:val="7EC747C8"/>
    <w:rsid w:val="7EC862E7"/>
    <w:rsid w:val="7EC92BB3"/>
    <w:rsid w:val="7ECEE64D"/>
    <w:rsid w:val="7ECEFF77"/>
    <w:rsid w:val="7ECF4AAA"/>
    <w:rsid w:val="7ED3004F"/>
    <w:rsid w:val="7EDEFC13"/>
    <w:rsid w:val="7EE85DF0"/>
    <w:rsid w:val="7EED7827"/>
    <w:rsid w:val="7EEE512D"/>
    <w:rsid w:val="7EF6B093"/>
    <w:rsid w:val="7EFDCBDB"/>
    <w:rsid w:val="7F057CF5"/>
    <w:rsid w:val="7F06F304"/>
    <w:rsid w:val="7F0BEDE2"/>
    <w:rsid w:val="7F17ACD3"/>
    <w:rsid w:val="7F1956BD"/>
    <w:rsid w:val="7F1AC0A1"/>
    <w:rsid w:val="7F1E23ED"/>
    <w:rsid w:val="7F241F27"/>
    <w:rsid w:val="7F2459FE"/>
    <w:rsid w:val="7F2FC697"/>
    <w:rsid w:val="7F365974"/>
    <w:rsid w:val="7F3777D0"/>
    <w:rsid w:val="7F378477"/>
    <w:rsid w:val="7F3C005D"/>
    <w:rsid w:val="7F491C62"/>
    <w:rsid w:val="7F4D7136"/>
    <w:rsid w:val="7F4E81D2"/>
    <w:rsid w:val="7F554BB3"/>
    <w:rsid w:val="7F5C7BBB"/>
    <w:rsid w:val="7F60B425"/>
    <w:rsid w:val="7F640992"/>
    <w:rsid w:val="7F674381"/>
    <w:rsid w:val="7F6C399A"/>
    <w:rsid w:val="7F6D382D"/>
    <w:rsid w:val="7F71AE3F"/>
    <w:rsid w:val="7F731958"/>
    <w:rsid w:val="7F733512"/>
    <w:rsid w:val="7F746296"/>
    <w:rsid w:val="7F7F8DAF"/>
    <w:rsid w:val="7F80C179"/>
    <w:rsid w:val="7F8166F7"/>
    <w:rsid w:val="7F82A77A"/>
    <w:rsid w:val="7F850EA0"/>
    <w:rsid w:val="7F9637B9"/>
    <w:rsid w:val="7F98DA61"/>
    <w:rsid w:val="7F9DFAAD"/>
    <w:rsid w:val="7F9F02FC"/>
    <w:rsid w:val="7F9F07D2"/>
    <w:rsid w:val="7FA068F6"/>
    <w:rsid w:val="7FA7A2EC"/>
    <w:rsid w:val="7FAD3599"/>
    <w:rsid w:val="7FB02C85"/>
    <w:rsid w:val="7FB90F88"/>
    <w:rsid w:val="7FBB716A"/>
    <w:rsid w:val="7FBE2B13"/>
    <w:rsid w:val="7FE94AF3"/>
    <w:rsid w:val="7FED3008"/>
    <w:rsid w:val="7FF0334C"/>
    <w:rsid w:val="7FF2E39D"/>
    <w:rsid w:val="7FF90E44"/>
    <w:rsid w:val="7FFA47C5"/>
    <w:rsid w:val="7FFB79D7"/>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097"/>
    <o:shapelayout v:ext="edit">
      <o:idmap v:ext="edit" data="1"/>
    </o:shapelayout>
  </w:shapeDefaults>
  <w:decimalSymbol w:val="."/>
  <w:listSeparator w:val=","/>
  <w14:docId w14:val="227D0E0C"/>
  <w15:docId w15:val="{F766E342-8A94-49C3-8063-5A8FCF7B9A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SimSun" w:hAnsi="Calibri" w:cs="Times New Roman"/>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iPriority="0" w:unhideWhenUsed="1"/>
    <w:lsdException w:name="HTML Bottom of Form" w:semiHidden="1" w:uiPriority="0"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B73C5"/>
    <w:rPr>
      <w:rFonts w:ascii="Times New Roman" w:eastAsia="Times New Roman" w:hAnsi="Times New Roman"/>
      <w:lang w:val="en-GB" w:eastAsia="en-GB"/>
    </w:rPr>
  </w:style>
  <w:style w:type="paragraph" w:styleId="Heading1">
    <w:name w:val="heading 1"/>
    <w:basedOn w:val="GEFPartHeading"/>
    <w:next w:val="Normal"/>
    <w:link w:val="Heading1Char"/>
    <w:uiPriority w:val="9"/>
    <w:qFormat/>
    <w:rsid w:val="00106526"/>
    <w:pPr>
      <w:ind w:left="0" w:firstLine="0"/>
    </w:pPr>
    <w:rPr>
      <w:rFonts w:asciiTheme="majorHAnsi" w:hAnsiTheme="majorHAnsi"/>
      <w:sz w:val="28"/>
      <w:szCs w:val="28"/>
    </w:rPr>
  </w:style>
  <w:style w:type="paragraph" w:styleId="Heading2">
    <w:name w:val="heading 2"/>
    <w:basedOn w:val="Normal"/>
    <w:next w:val="Normal"/>
    <w:link w:val="Heading2Char"/>
    <w:uiPriority w:val="9"/>
    <w:qFormat/>
    <w:rsid w:val="00255AFB"/>
    <w:pPr>
      <w:keepNext/>
      <w:spacing w:before="360" w:after="240"/>
      <w:outlineLvl w:val="1"/>
    </w:pPr>
    <w:rPr>
      <w:b/>
      <w:bCs/>
      <w:iCs/>
      <w:smallCaps/>
      <w:color w:val="000000"/>
      <w:sz w:val="26"/>
      <w:szCs w:val="26"/>
      <w:lang w:val="pt-BR" w:eastAsia="x-none"/>
    </w:rPr>
  </w:style>
  <w:style w:type="paragraph" w:styleId="Heading3">
    <w:name w:val="heading 3"/>
    <w:basedOn w:val="Normal"/>
    <w:next w:val="Normal"/>
    <w:link w:val="Heading3Char"/>
    <w:uiPriority w:val="9"/>
    <w:qFormat/>
    <w:rsid w:val="00431283"/>
    <w:pPr>
      <w:keepNext/>
      <w:shd w:val="clear" w:color="auto" w:fill="000000" w:themeFill="text1"/>
      <w:spacing w:before="360" w:after="200"/>
      <w:jc w:val="center"/>
      <w:outlineLvl w:val="2"/>
    </w:pPr>
    <w:rPr>
      <w:b/>
    </w:rPr>
  </w:style>
  <w:style w:type="paragraph" w:styleId="Heading4">
    <w:name w:val="heading 4"/>
    <w:basedOn w:val="Normal"/>
    <w:next w:val="Normal"/>
    <w:link w:val="Heading4Char"/>
    <w:uiPriority w:val="9"/>
    <w:qFormat/>
    <w:rsid w:val="00842187"/>
    <w:pPr>
      <w:keepNext/>
      <w:spacing w:before="320" w:after="200"/>
      <w:ind w:left="425"/>
      <w:outlineLvl w:val="3"/>
    </w:pPr>
    <w:rPr>
      <w:b/>
      <w:bCs/>
      <w:i/>
      <w:u w:val="single"/>
    </w:rPr>
  </w:style>
  <w:style w:type="paragraph" w:styleId="Heading5">
    <w:name w:val="heading 5"/>
    <w:basedOn w:val="Normal"/>
    <w:next w:val="Normal"/>
    <w:link w:val="Heading5Char"/>
    <w:uiPriority w:val="9"/>
    <w:qFormat/>
    <w:rsid w:val="00AB1B98"/>
    <w:pPr>
      <w:keepNext/>
      <w:spacing w:before="200" w:after="120"/>
      <w:ind w:left="720"/>
      <w:outlineLvl w:val="4"/>
    </w:pPr>
    <w:rPr>
      <w:b/>
      <w:bCs/>
      <w:lang w:val="x-none" w:eastAsia="x-none"/>
    </w:rPr>
  </w:style>
  <w:style w:type="paragraph" w:styleId="Heading6">
    <w:name w:val="heading 6"/>
    <w:basedOn w:val="Normal"/>
    <w:next w:val="Normal"/>
    <w:link w:val="Heading6Char"/>
    <w:uiPriority w:val="9"/>
    <w:qFormat/>
    <w:rsid w:val="00FF3CCA"/>
    <w:pPr>
      <w:keepNext/>
      <w:spacing w:before="200" w:after="100"/>
      <w:ind w:left="720" w:firstLine="357"/>
      <w:outlineLvl w:val="5"/>
    </w:pPr>
    <w:rPr>
      <w:i/>
      <w:iCs/>
      <w:lang w:eastAsia="x-none"/>
    </w:rPr>
  </w:style>
  <w:style w:type="paragraph" w:styleId="Heading7">
    <w:name w:val="heading 7"/>
    <w:basedOn w:val="Normal"/>
    <w:next w:val="Normal"/>
    <w:link w:val="Heading7Char"/>
    <w:uiPriority w:val="9"/>
    <w:qFormat/>
    <w:rsid w:val="00767FEF"/>
    <w:pPr>
      <w:keepNext/>
      <w:pBdr>
        <w:bottom w:val="single" w:sz="4" w:space="1" w:color="auto"/>
      </w:pBdr>
      <w:outlineLvl w:val="6"/>
    </w:pPr>
    <w:rPr>
      <w:b/>
      <w:bCs/>
      <w:lang w:eastAsia="x-none"/>
    </w:rPr>
  </w:style>
  <w:style w:type="paragraph" w:styleId="Heading8">
    <w:name w:val="heading 8"/>
    <w:basedOn w:val="Normal"/>
    <w:next w:val="Normal"/>
    <w:link w:val="Heading8Char"/>
    <w:uiPriority w:val="9"/>
    <w:qFormat/>
    <w:rsid w:val="00591870"/>
    <w:pPr>
      <w:keepNext/>
      <w:jc w:val="center"/>
      <w:outlineLvl w:val="7"/>
    </w:pPr>
    <w:rPr>
      <w:b/>
      <w:bCs/>
      <w:lang w:val="x-none" w:eastAsia="x-none"/>
    </w:rPr>
  </w:style>
  <w:style w:type="paragraph" w:styleId="Heading9">
    <w:name w:val="heading 9"/>
    <w:basedOn w:val="Normal"/>
    <w:next w:val="Normal"/>
    <w:link w:val="Heading9Char"/>
    <w:uiPriority w:val="9"/>
    <w:qFormat/>
    <w:rsid w:val="00591870"/>
    <w:pPr>
      <w:keepNext/>
      <w:framePr w:w="3801" w:h="4681" w:hSpace="180" w:wrap="around" w:vAnchor="text" w:hAnchor="page" w:x="7141" w:y="1441"/>
      <w:outlineLvl w:val="8"/>
    </w:pPr>
    <w:rPr>
      <w:b/>
      <w:bCs/>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106526"/>
    <w:rPr>
      <w:rFonts w:asciiTheme="majorHAnsi" w:eastAsia="Times New Roman" w:hAnsiTheme="majorHAnsi"/>
      <w:b/>
      <w:caps/>
      <w:noProof/>
      <w:color w:val="000000"/>
      <w:sz w:val="28"/>
      <w:szCs w:val="28"/>
      <w:u w:val="single"/>
      <w:lang w:eastAsia="en-GB"/>
    </w:rPr>
  </w:style>
  <w:style w:type="character" w:customStyle="1" w:styleId="Heading2Char">
    <w:name w:val="Heading 2 Char"/>
    <w:link w:val="Heading2"/>
    <w:uiPriority w:val="9"/>
    <w:rsid w:val="00255AFB"/>
    <w:rPr>
      <w:rFonts w:ascii="Times New Roman" w:eastAsia="Times New Roman" w:hAnsi="Times New Roman"/>
      <w:b/>
      <w:bCs/>
      <w:iCs/>
      <w:smallCaps/>
      <w:color w:val="000000"/>
      <w:sz w:val="26"/>
      <w:szCs w:val="26"/>
      <w:lang w:val="pt-BR" w:eastAsia="x-none"/>
    </w:rPr>
  </w:style>
  <w:style w:type="character" w:customStyle="1" w:styleId="Heading3Char">
    <w:name w:val="Heading 3 Char"/>
    <w:link w:val="Heading3"/>
    <w:uiPriority w:val="9"/>
    <w:rsid w:val="00431283"/>
    <w:rPr>
      <w:rFonts w:ascii="Times New Roman" w:hAnsi="Times New Roman"/>
      <w:b/>
      <w:sz w:val="24"/>
      <w:szCs w:val="24"/>
      <w:shd w:val="clear" w:color="auto" w:fill="000000" w:themeFill="text1"/>
    </w:rPr>
  </w:style>
  <w:style w:type="character" w:customStyle="1" w:styleId="Heading4Char">
    <w:name w:val="Heading 4 Char"/>
    <w:link w:val="Heading4"/>
    <w:uiPriority w:val="9"/>
    <w:rsid w:val="00842187"/>
    <w:rPr>
      <w:rFonts w:ascii="Times New Roman" w:hAnsi="Times New Roman"/>
      <w:b/>
      <w:bCs/>
      <w:i/>
      <w:sz w:val="24"/>
      <w:szCs w:val="22"/>
      <w:u w:val="single"/>
    </w:rPr>
  </w:style>
  <w:style w:type="character" w:customStyle="1" w:styleId="Heading5Char">
    <w:name w:val="Heading 5 Char"/>
    <w:link w:val="Heading5"/>
    <w:uiPriority w:val="9"/>
    <w:rsid w:val="00AB1B98"/>
    <w:rPr>
      <w:rFonts w:ascii="Times New Roman" w:eastAsia="Times New Roman" w:hAnsi="Times New Roman"/>
      <w:b/>
      <w:bCs/>
      <w:sz w:val="24"/>
      <w:szCs w:val="24"/>
      <w:lang w:val="x-none" w:eastAsia="x-none"/>
    </w:rPr>
  </w:style>
  <w:style w:type="character" w:customStyle="1" w:styleId="Heading6Char">
    <w:name w:val="Heading 6 Char"/>
    <w:link w:val="Heading6"/>
    <w:uiPriority w:val="9"/>
    <w:rsid w:val="00FF3CCA"/>
    <w:rPr>
      <w:rFonts w:ascii="Times New Roman" w:eastAsia="Times New Roman" w:hAnsi="Times New Roman"/>
      <w:i/>
      <w:iCs/>
      <w:sz w:val="24"/>
      <w:szCs w:val="24"/>
      <w:lang w:eastAsia="x-none"/>
    </w:rPr>
  </w:style>
  <w:style w:type="character" w:customStyle="1" w:styleId="Heading7Char">
    <w:name w:val="Heading 7 Char"/>
    <w:link w:val="Heading7"/>
    <w:uiPriority w:val="9"/>
    <w:rsid w:val="00767FEF"/>
    <w:rPr>
      <w:rFonts w:eastAsia="Times New Roman"/>
      <w:b/>
      <w:bCs/>
      <w:sz w:val="21"/>
      <w:szCs w:val="24"/>
      <w:lang w:eastAsia="x-none"/>
    </w:rPr>
  </w:style>
  <w:style w:type="character" w:customStyle="1" w:styleId="Heading8Char">
    <w:name w:val="Heading 8 Char"/>
    <w:link w:val="Heading8"/>
    <w:uiPriority w:val="9"/>
    <w:rsid w:val="00591870"/>
    <w:rPr>
      <w:rFonts w:ascii="Times New Roman" w:eastAsia="Times New Roman" w:hAnsi="Times New Roman" w:cs="Times New Roman"/>
      <w:b/>
      <w:bCs/>
      <w:sz w:val="20"/>
      <w:szCs w:val="24"/>
    </w:rPr>
  </w:style>
  <w:style w:type="character" w:customStyle="1" w:styleId="Heading9Char">
    <w:name w:val="Heading 9 Char"/>
    <w:link w:val="Heading9"/>
    <w:uiPriority w:val="9"/>
    <w:rsid w:val="00591870"/>
    <w:rPr>
      <w:rFonts w:ascii="Times New Roman" w:eastAsia="Times New Roman" w:hAnsi="Times New Roman" w:cs="Times New Roman"/>
      <w:b/>
      <w:bCs/>
      <w:sz w:val="24"/>
      <w:szCs w:val="24"/>
    </w:rPr>
  </w:style>
  <w:style w:type="numbering" w:customStyle="1" w:styleId="NoList1">
    <w:name w:val="No List1"/>
    <w:next w:val="NoList"/>
    <w:semiHidden/>
    <w:rsid w:val="00591870"/>
  </w:style>
  <w:style w:type="paragraph" w:styleId="Footer">
    <w:name w:val="footer"/>
    <w:basedOn w:val="Normal"/>
    <w:link w:val="FooterChar"/>
    <w:uiPriority w:val="99"/>
    <w:rsid w:val="00591870"/>
    <w:pPr>
      <w:tabs>
        <w:tab w:val="center" w:pos="4320"/>
        <w:tab w:val="right" w:pos="8640"/>
      </w:tabs>
    </w:pPr>
    <w:rPr>
      <w:lang w:val="x-none" w:eastAsia="x-none"/>
    </w:rPr>
  </w:style>
  <w:style w:type="character" w:customStyle="1" w:styleId="FooterChar">
    <w:name w:val="Footer Char"/>
    <w:link w:val="Footer"/>
    <w:uiPriority w:val="99"/>
    <w:rsid w:val="00591870"/>
    <w:rPr>
      <w:rFonts w:ascii="Times New Roman" w:eastAsia="Times New Roman" w:hAnsi="Times New Roman" w:cs="Times New Roman"/>
      <w:sz w:val="24"/>
      <w:szCs w:val="24"/>
      <w:lang w:val="x-none" w:eastAsia="x-none"/>
    </w:rPr>
  </w:style>
  <w:style w:type="character" w:styleId="PageNumber">
    <w:name w:val="page number"/>
    <w:basedOn w:val="DefaultParagraphFont"/>
    <w:uiPriority w:val="99"/>
    <w:rsid w:val="00591870"/>
  </w:style>
  <w:style w:type="paragraph" w:styleId="Header">
    <w:name w:val="header"/>
    <w:basedOn w:val="Normal"/>
    <w:link w:val="HeaderChar"/>
    <w:uiPriority w:val="99"/>
    <w:rsid w:val="00591870"/>
    <w:pPr>
      <w:tabs>
        <w:tab w:val="center" w:pos="4320"/>
        <w:tab w:val="right" w:pos="8640"/>
      </w:tabs>
    </w:pPr>
    <w:rPr>
      <w:lang w:val="x-none" w:eastAsia="x-none"/>
    </w:rPr>
  </w:style>
  <w:style w:type="character" w:customStyle="1" w:styleId="HeaderChar">
    <w:name w:val="Header Char"/>
    <w:link w:val="Header"/>
    <w:uiPriority w:val="99"/>
    <w:rsid w:val="00591870"/>
    <w:rPr>
      <w:rFonts w:ascii="Times New Roman" w:eastAsia="Times New Roman" w:hAnsi="Times New Roman" w:cs="Times New Roman"/>
      <w:sz w:val="24"/>
      <w:szCs w:val="24"/>
      <w:lang w:val="x-none" w:eastAsia="x-none"/>
    </w:rPr>
  </w:style>
  <w:style w:type="paragraph" w:styleId="BodyText">
    <w:name w:val="Body Text"/>
    <w:basedOn w:val="Normal"/>
    <w:link w:val="BodyTextChar"/>
    <w:rsid w:val="00591870"/>
    <w:pPr>
      <w:framePr w:w="3801" w:h="5761" w:hSpace="180" w:wrap="around" w:vAnchor="text" w:hAnchor="page" w:x="6961" w:y="1165"/>
    </w:pPr>
    <w:rPr>
      <w:lang w:val="x-none" w:eastAsia="x-none"/>
    </w:rPr>
  </w:style>
  <w:style w:type="character" w:customStyle="1" w:styleId="BodyTextChar">
    <w:name w:val="Body Text Char"/>
    <w:link w:val="BodyText"/>
    <w:rsid w:val="00591870"/>
    <w:rPr>
      <w:rFonts w:ascii="Times New Roman" w:eastAsia="Times New Roman" w:hAnsi="Times New Roman" w:cs="Times New Roman"/>
      <w:sz w:val="20"/>
      <w:szCs w:val="24"/>
    </w:rPr>
  </w:style>
  <w:style w:type="paragraph" w:styleId="Caption">
    <w:name w:val="caption"/>
    <w:basedOn w:val="Normal"/>
    <w:next w:val="Normal"/>
    <w:link w:val="CaptionChar"/>
    <w:uiPriority w:val="35"/>
    <w:qFormat/>
    <w:rsid w:val="00537A48"/>
    <w:pPr>
      <w:keepNext/>
      <w:spacing w:before="240" w:after="200"/>
      <w:jc w:val="center"/>
    </w:pPr>
    <w:rPr>
      <w:b/>
      <w:bCs/>
      <w:i/>
      <w:szCs w:val="20"/>
    </w:rPr>
  </w:style>
  <w:style w:type="paragraph" w:styleId="BodyText2">
    <w:name w:val="Body Text 2"/>
    <w:basedOn w:val="Normal"/>
    <w:link w:val="BodyText2Char"/>
    <w:rsid w:val="00591870"/>
    <w:rPr>
      <w:b/>
      <w:bCs/>
      <w:smallCaps/>
      <w:lang w:val="x-none" w:eastAsia="x-none"/>
    </w:rPr>
  </w:style>
  <w:style w:type="character" w:customStyle="1" w:styleId="BodyText2Char">
    <w:name w:val="Body Text 2 Char"/>
    <w:link w:val="BodyText2"/>
    <w:rsid w:val="00591870"/>
    <w:rPr>
      <w:rFonts w:ascii="Times New Roman" w:eastAsia="Times New Roman" w:hAnsi="Times New Roman" w:cs="Times New Roman"/>
      <w:b/>
      <w:bCs/>
      <w:smallCaps/>
      <w:sz w:val="24"/>
      <w:szCs w:val="24"/>
    </w:rPr>
  </w:style>
  <w:style w:type="paragraph" w:customStyle="1" w:styleId="Outline">
    <w:name w:val="Outline"/>
    <w:basedOn w:val="Normal"/>
    <w:rsid w:val="00591870"/>
    <w:pPr>
      <w:spacing w:before="240"/>
    </w:pPr>
    <w:rPr>
      <w:kern w:val="28"/>
      <w:szCs w:val="20"/>
    </w:rPr>
  </w:style>
  <w:style w:type="paragraph" w:styleId="BodyTextIndent2">
    <w:name w:val="Body Text Indent 2"/>
    <w:basedOn w:val="Normal"/>
    <w:link w:val="BodyTextIndent2Char"/>
    <w:rsid w:val="00591870"/>
    <w:pPr>
      <w:ind w:left="360"/>
    </w:pPr>
    <w:rPr>
      <w:i/>
      <w:iCs/>
      <w:lang w:val="x-none" w:eastAsia="x-none"/>
    </w:rPr>
  </w:style>
  <w:style w:type="character" w:customStyle="1" w:styleId="BodyTextIndent2Char">
    <w:name w:val="Body Text Indent 2 Char"/>
    <w:link w:val="BodyTextIndent2"/>
    <w:rsid w:val="00591870"/>
    <w:rPr>
      <w:rFonts w:ascii="Times New Roman" w:eastAsia="Times New Roman" w:hAnsi="Times New Roman" w:cs="Times New Roman"/>
      <w:i/>
      <w:iCs/>
      <w:szCs w:val="24"/>
    </w:rPr>
  </w:style>
  <w:style w:type="character" w:styleId="Hyperlink">
    <w:name w:val="Hyperlink"/>
    <w:uiPriority w:val="99"/>
    <w:rsid w:val="00591870"/>
    <w:rPr>
      <w:color w:val="0000FF"/>
      <w:u w:val="single"/>
    </w:rPr>
  </w:style>
  <w:style w:type="paragraph" w:styleId="BodyTextIndent">
    <w:name w:val="Body Text Indent"/>
    <w:basedOn w:val="Normal"/>
    <w:link w:val="BodyTextIndentChar"/>
    <w:rsid w:val="00591870"/>
    <w:pPr>
      <w:spacing w:after="80"/>
      <w:ind w:left="1080"/>
    </w:pPr>
    <w:rPr>
      <w:lang w:val="x-none" w:eastAsia="x-none"/>
    </w:rPr>
  </w:style>
  <w:style w:type="character" w:customStyle="1" w:styleId="BodyTextIndentChar">
    <w:name w:val="Body Text Indent Char"/>
    <w:link w:val="BodyTextIndent"/>
    <w:rsid w:val="00591870"/>
    <w:rPr>
      <w:rFonts w:ascii="Times New Roman" w:eastAsia="Times New Roman" w:hAnsi="Times New Roman" w:cs="Times New Roman"/>
      <w:sz w:val="24"/>
      <w:szCs w:val="24"/>
    </w:rPr>
  </w:style>
  <w:style w:type="paragraph" w:styleId="BodyTextIndent3">
    <w:name w:val="Body Text Indent 3"/>
    <w:basedOn w:val="Normal"/>
    <w:link w:val="BodyTextIndent3Char"/>
    <w:rsid w:val="00591870"/>
    <w:pPr>
      <w:ind w:left="540"/>
    </w:pPr>
    <w:rPr>
      <w:lang w:val="x-none" w:eastAsia="x-none"/>
    </w:rPr>
  </w:style>
  <w:style w:type="character" w:customStyle="1" w:styleId="BodyTextIndent3Char">
    <w:name w:val="Body Text Indent 3 Char"/>
    <w:link w:val="BodyTextIndent3"/>
    <w:rsid w:val="00591870"/>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rsid w:val="00591870"/>
    <w:rPr>
      <w:rFonts w:ascii="Tahoma" w:hAnsi="Tahoma"/>
      <w:sz w:val="16"/>
      <w:szCs w:val="16"/>
      <w:lang w:val="x-none" w:eastAsia="x-none"/>
    </w:rPr>
  </w:style>
  <w:style w:type="character" w:customStyle="1" w:styleId="BalloonTextChar">
    <w:name w:val="Balloon Text Char"/>
    <w:link w:val="BalloonText"/>
    <w:uiPriority w:val="99"/>
    <w:semiHidden/>
    <w:rsid w:val="00591870"/>
    <w:rPr>
      <w:rFonts w:ascii="Tahoma" w:eastAsia="Times New Roman" w:hAnsi="Tahoma" w:cs="Tahoma"/>
      <w:sz w:val="16"/>
      <w:szCs w:val="16"/>
    </w:rPr>
  </w:style>
  <w:style w:type="table" w:styleId="TableGrid">
    <w:name w:val="Table Grid"/>
    <w:basedOn w:val="TableNormal"/>
    <w:uiPriority w:val="39"/>
    <w:rsid w:val="00591870"/>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aliases w:val="Geneva 9,Font: Geneva 9,Boston 10,f,FOOTNOTES,fn,single space,Footnote Text Char1,Footnote Text Char Char,Char,Char Char,Char Char Char Char,Char Char Char Char Char Char,Char Char21,Char Char211,ft,A,Footnote Text Char Char Char Char Char"/>
    <w:basedOn w:val="Normal"/>
    <w:link w:val="FootnoteTextChar"/>
    <w:uiPriority w:val="99"/>
    <w:qFormat/>
    <w:rsid w:val="00E45CEA"/>
    <w:pPr>
      <w:ind w:left="284"/>
    </w:pPr>
    <w:rPr>
      <w:sz w:val="16"/>
      <w:szCs w:val="20"/>
      <w:lang w:val="x-none" w:eastAsia="x-none"/>
    </w:rPr>
  </w:style>
  <w:style w:type="character" w:customStyle="1" w:styleId="FootnoteTextChar">
    <w:name w:val="Footnote Text Char"/>
    <w:aliases w:val="Geneva 9 Char,Font: Geneva 9 Char,Boston 10 Char,f Char,FOOTNOTES Char,fn Char,single space Char,Footnote Text Char1 Char,Footnote Text Char Char Char,Char Char1,Char Char Char,Char Char Char Char Char,Char Char21 Char,ft Char,A Char"/>
    <w:link w:val="FootnoteText"/>
    <w:uiPriority w:val="99"/>
    <w:qFormat/>
    <w:rsid w:val="00E45CEA"/>
    <w:rPr>
      <w:rFonts w:ascii="Times New Roman" w:eastAsia="Times New Roman" w:hAnsi="Times New Roman"/>
      <w:sz w:val="16"/>
      <w:lang w:val="x-none" w:eastAsia="x-none"/>
    </w:rPr>
  </w:style>
  <w:style w:type="character" w:styleId="FootnoteReference">
    <w:name w:val="footnote reference"/>
    <w:aliases w:val="BVI fnr Carattere Char Char Char Carattere Char Char Char Char Char Char1 Char Char Char Carattere Char Char, BVI fnr Carattere Char Char Char Carattere Char Char Char Char Char Char1 Char Char Char Char Char Char Char,16 Point,ftref"/>
    <w:basedOn w:val="DefaultParagraphFont"/>
    <w:link w:val="BVIfnrCarattereCharCharCharCarattereCharCharCharCharCharChar1CharCharCharCarattereChar"/>
    <w:uiPriority w:val="99"/>
    <w:unhideWhenUsed/>
    <w:qFormat/>
    <w:rsid w:val="00EA021D"/>
    <w:rPr>
      <w:vertAlign w:val="superscript"/>
    </w:rPr>
  </w:style>
  <w:style w:type="character" w:styleId="FollowedHyperlink">
    <w:name w:val="FollowedHyperlink"/>
    <w:uiPriority w:val="99"/>
    <w:rsid w:val="00591870"/>
    <w:rPr>
      <w:color w:val="606420"/>
      <w:u w:val="single"/>
    </w:rPr>
  </w:style>
  <w:style w:type="paragraph" w:styleId="DocumentMap">
    <w:name w:val="Document Map"/>
    <w:basedOn w:val="Normal"/>
    <w:link w:val="DocumentMapChar"/>
    <w:semiHidden/>
    <w:rsid w:val="00591870"/>
    <w:pPr>
      <w:shd w:val="clear" w:color="auto" w:fill="000080"/>
    </w:pPr>
    <w:rPr>
      <w:rFonts w:ascii="Tahoma" w:hAnsi="Tahoma"/>
      <w:szCs w:val="20"/>
      <w:lang w:val="x-none" w:eastAsia="x-none"/>
    </w:rPr>
  </w:style>
  <w:style w:type="character" w:customStyle="1" w:styleId="DocumentMapChar">
    <w:name w:val="Document Map Char"/>
    <w:link w:val="DocumentMap"/>
    <w:semiHidden/>
    <w:rsid w:val="00591870"/>
    <w:rPr>
      <w:rFonts w:ascii="Tahoma" w:eastAsia="Times New Roman" w:hAnsi="Tahoma" w:cs="Tahoma"/>
      <w:sz w:val="20"/>
      <w:szCs w:val="20"/>
      <w:shd w:val="clear" w:color="auto" w:fill="000080"/>
    </w:rPr>
  </w:style>
  <w:style w:type="paragraph" w:styleId="ListParagraph">
    <w:name w:val="List Paragraph"/>
    <w:aliases w:val="PRODOC_Num_Paragraphs,List Paragraph1,Colorful List - Accent 12,List Paragraph (numbered (a)),Numbered List Paragraph,References,ReferencesCxSpLast,List Paragraph nowy,Liste 1,List Bullet Mary,Akapit z listą BS,Bullet1,Bullets,Para,Ha"/>
    <w:basedOn w:val="Default"/>
    <w:next w:val="Default"/>
    <w:link w:val="ListParagraphChar"/>
    <w:uiPriority w:val="34"/>
    <w:qFormat/>
    <w:rsid w:val="00106526"/>
    <w:pPr>
      <w:numPr>
        <w:numId w:val="11"/>
      </w:numPr>
      <w:spacing w:after="200"/>
      <w:contextualSpacing/>
      <w:jc w:val="both"/>
    </w:pPr>
    <w:rPr>
      <w:rFonts w:ascii="Calibri" w:hAnsi="Calibri"/>
      <w:sz w:val="22"/>
      <w:szCs w:val="22"/>
    </w:rPr>
  </w:style>
  <w:style w:type="paragraph" w:styleId="TOC1">
    <w:name w:val="toc 1"/>
    <w:basedOn w:val="Normal"/>
    <w:next w:val="Normal"/>
    <w:autoRedefine/>
    <w:uiPriority w:val="39"/>
    <w:rsid w:val="00BE0479"/>
    <w:pPr>
      <w:spacing w:before="120" w:after="120"/>
    </w:pPr>
    <w:rPr>
      <w:rFonts w:asciiTheme="minorHAnsi" w:hAnsiTheme="minorHAnsi" w:cstheme="minorHAnsi"/>
      <w:b/>
      <w:bCs/>
      <w:caps/>
      <w:sz w:val="20"/>
      <w:szCs w:val="20"/>
    </w:rPr>
  </w:style>
  <w:style w:type="paragraph" w:styleId="NoSpacing">
    <w:name w:val="No Spacing"/>
    <w:uiPriority w:val="1"/>
    <w:qFormat/>
    <w:rsid w:val="00591870"/>
    <w:rPr>
      <w:rFonts w:eastAsia="Times New Roman"/>
      <w:sz w:val="22"/>
      <w:szCs w:val="22"/>
    </w:rPr>
  </w:style>
  <w:style w:type="paragraph" w:styleId="z-TopofForm">
    <w:name w:val="HTML Top of Form"/>
    <w:basedOn w:val="Normal"/>
    <w:next w:val="Normal"/>
    <w:link w:val="z-TopofFormChar"/>
    <w:hidden/>
    <w:rsid w:val="00591870"/>
    <w:pPr>
      <w:pBdr>
        <w:bottom w:val="single" w:sz="6" w:space="1" w:color="auto"/>
      </w:pBdr>
      <w:jc w:val="center"/>
    </w:pPr>
    <w:rPr>
      <w:rFonts w:ascii="Arial" w:hAnsi="Arial"/>
      <w:vanish/>
      <w:sz w:val="16"/>
      <w:szCs w:val="16"/>
      <w:lang w:val="x-none" w:eastAsia="x-none"/>
    </w:rPr>
  </w:style>
  <w:style w:type="character" w:customStyle="1" w:styleId="z-TopofFormChar">
    <w:name w:val="z-Top of Form Char"/>
    <w:link w:val="z-TopofForm"/>
    <w:rsid w:val="00591870"/>
    <w:rPr>
      <w:rFonts w:ascii="Arial" w:eastAsia="Times New Roman" w:hAnsi="Arial" w:cs="Times New Roman"/>
      <w:vanish/>
      <w:sz w:val="16"/>
      <w:szCs w:val="16"/>
      <w:lang w:val="x-none" w:eastAsia="x-none"/>
    </w:rPr>
  </w:style>
  <w:style w:type="paragraph" w:styleId="z-BottomofForm">
    <w:name w:val="HTML Bottom of Form"/>
    <w:basedOn w:val="Normal"/>
    <w:next w:val="Normal"/>
    <w:link w:val="z-BottomofFormChar"/>
    <w:hidden/>
    <w:rsid w:val="00591870"/>
    <w:pPr>
      <w:pBdr>
        <w:top w:val="single" w:sz="6" w:space="1" w:color="auto"/>
      </w:pBdr>
      <w:jc w:val="center"/>
    </w:pPr>
    <w:rPr>
      <w:rFonts w:ascii="Arial" w:hAnsi="Arial"/>
      <w:vanish/>
      <w:sz w:val="16"/>
      <w:szCs w:val="16"/>
      <w:lang w:val="x-none" w:eastAsia="x-none"/>
    </w:rPr>
  </w:style>
  <w:style w:type="character" w:customStyle="1" w:styleId="z-BottomofFormChar">
    <w:name w:val="z-Bottom of Form Char"/>
    <w:link w:val="z-BottomofForm"/>
    <w:rsid w:val="00591870"/>
    <w:rPr>
      <w:rFonts w:ascii="Arial" w:eastAsia="Times New Roman" w:hAnsi="Arial" w:cs="Times New Roman"/>
      <w:vanish/>
      <w:sz w:val="16"/>
      <w:szCs w:val="16"/>
      <w:lang w:val="x-none" w:eastAsia="x-none"/>
    </w:rPr>
  </w:style>
  <w:style w:type="character" w:styleId="CommentReference">
    <w:name w:val="annotation reference"/>
    <w:rsid w:val="00591870"/>
    <w:rPr>
      <w:sz w:val="16"/>
      <w:szCs w:val="16"/>
    </w:rPr>
  </w:style>
  <w:style w:type="paragraph" w:styleId="CommentText">
    <w:name w:val="annotation text"/>
    <w:basedOn w:val="Normal"/>
    <w:link w:val="CommentTextChar"/>
    <w:rsid w:val="00591870"/>
    <w:rPr>
      <w:szCs w:val="20"/>
      <w:lang w:val="x-none" w:eastAsia="x-none"/>
    </w:rPr>
  </w:style>
  <w:style w:type="character" w:customStyle="1" w:styleId="CommentTextChar">
    <w:name w:val="Comment Text Char"/>
    <w:link w:val="CommentText"/>
    <w:rsid w:val="00591870"/>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rsid w:val="00591870"/>
    <w:rPr>
      <w:b/>
      <w:bCs/>
    </w:rPr>
  </w:style>
  <w:style w:type="character" w:customStyle="1" w:styleId="CommentSubjectChar">
    <w:name w:val="Comment Subject Char"/>
    <w:link w:val="CommentSubject"/>
    <w:uiPriority w:val="99"/>
    <w:rsid w:val="00591870"/>
    <w:rPr>
      <w:rFonts w:ascii="Times New Roman" w:eastAsia="Times New Roman" w:hAnsi="Times New Roman" w:cs="Times New Roman"/>
      <w:b/>
      <w:bCs/>
      <w:sz w:val="20"/>
      <w:szCs w:val="20"/>
      <w:lang w:val="x-none" w:eastAsia="x-none"/>
    </w:rPr>
  </w:style>
  <w:style w:type="numbering" w:customStyle="1" w:styleId="NoList2">
    <w:name w:val="No List2"/>
    <w:next w:val="NoList"/>
    <w:uiPriority w:val="99"/>
    <w:semiHidden/>
    <w:unhideWhenUsed/>
    <w:rsid w:val="00591870"/>
  </w:style>
  <w:style w:type="numbering" w:customStyle="1" w:styleId="NoList11">
    <w:name w:val="No List11"/>
    <w:next w:val="NoList"/>
    <w:semiHidden/>
    <w:rsid w:val="00591870"/>
  </w:style>
  <w:style w:type="table" w:customStyle="1" w:styleId="TableGrid1">
    <w:name w:val="Table Grid1"/>
    <w:basedOn w:val="TableNormal"/>
    <w:next w:val="TableGrid"/>
    <w:rsid w:val="00591870"/>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GEFFieldtoFillout">
    <w:name w:val="GEF Field to Fill out"/>
    <w:basedOn w:val="Normal"/>
    <w:link w:val="GEFFieldtoFilloutChar"/>
    <w:qFormat/>
    <w:rsid w:val="007F7CA5"/>
    <w:pPr>
      <w:ind w:left="-720"/>
    </w:pPr>
    <w:rPr>
      <w:color w:val="000000"/>
    </w:rPr>
  </w:style>
  <w:style w:type="paragraph" w:customStyle="1" w:styleId="GEFPartHeading">
    <w:name w:val="GEF Part Heading"/>
    <w:basedOn w:val="Normal"/>
    <w:qFormat/>
    <w:rsid w:val="00106526"/>
    <w:pPr>
      <w:snapToGrid w:val="0"/>
      <w:spacing w:before="120" w:after="120"/>
      <w:ind w:left="-720" w:hanging="360"/>
      <w:textAlignment w:val="baseline"/>
      <w:outlineLvl w:val="0"/>
    </w:pPr>
    <w:rPr>
      <w:b/>
      <w:caps/>
      <w:noProof/>
      <w:color w:val="000000"/>
      <w:u w:val="single"/>
    </w:rPr>
  </w:style>
  <w:style w:type="paragraph" w:customStyle="1" w:styleId="GEFQuestion">
    <w:name w:val="GEF Question"/>
    <w:basedOn w:val="Normal"/>
    <w:next w:val="Normal"/>
    <w:qFormat/>
    <w:rsid w:val="007F7CA5"/>
    <w:pPr>
      <w:ind w:left="-720"/>
    </w:pPr>
  </w:style>
  <w:style w:type="character" w:customStyle="1" w:styleId="GEFFieldtoFilloutChar">
    <w:name w:val="GEF Field to Fill out Char"/>
    <w:link w:val="GEFFieldtoFillout"/>
    <w:rsid w:val="007F7CA5"/>
    <w:rPr>
      <w:rFonts w:ascii="Times New Roman" w:eastAsia="Times New Roman" w:hAnsi="Times New Roman"/>
      <w:color w:val="000000"/>
      <w:sz w:val="22"/>
      <w:szCs w:val="22"/>
    </w:rPr>
  </w:style>
  <w:style w:type="paragraph" w:styleId="Revision">
    <w:name w:val="Revision"/>
    <w:hidden/>
    <w:uiPriority w:val="99"/>
    <w:semiHidden/>
    <w:rsid w:val="00E45063"/>
    <w:rPr>
      <w:sz w:val="22"/>
      <w:szCs w:val="22"/>
    </w:rPr>
  </w:style>
  <w:style w:type="paragraph" w:customStyle="1" w:styleId="GEFInstruction">
    <w:name w:val="GEF Instruction"/>
    <w:basedOn w:val="Normal"/>
    <w:next w:val="Normal"/>
    <w:qFormat/>
    <w:rsid w:val="002A2C8F"/>
    <w:pPr>
      <w:ind w:left="-540"/>
    </w:pPr>
  </w:style>
  <w:style w:type="character" w:customStyle="1" w:styleId="UnresolvedMention1">
    <w:name w:val="Unresolved Mention1"/>
    <w:uiPriority w:val="99"/>
    <w:semiHidden/>
    <w:unhideWhenUsed/>
    <w:rsid w:val="00BA3DAA"/>
    <w:rPr>
      <w:color w:val="808080"/>
      <w:shd w:val="clear" w:color="auto" w:fill="E6E6E6"/>
    </w:rPr>
  </w:style>
  <w:style w:type="paragraph" w:customStyle="1" w:styleId="GEFTableHeading">
    <w:name w:val="GEF Table Heading"/>
    <w:basedOn w:val="Normal"/>
    <w:next w:val="Normal"/>
    <w:qFormat/>
    <w:rsid w:val="00106526"/>
    <w:pPr>
      <w:ind w:left="-720"/>
    </w:pPr>
    <w:rPr>
      <w:b/>
      <w:bCs/>
      <w:smallCaps/>
      <w:color w:val="000000"/>
    </w:rPr>
  </w:style>
  <w:style w:type="paragraph" w:customStyle="1" w:styleId="Annexnumber">
    <w:name w:val="Annex number"/>
    <w:basedOn w:val="GEFQuestion"/>
    <w:next w:val="Normal"/>
    <w:link w:val="AnnexnumberChar"/>
    <w:qFormat/>
    <w:rsid w:val="00106526"/>
    <w:pPr>
      <w:spacing w:after="160" w:line="259" w:lineRule="auto"/>
      <w:ind w:left="0"/>
      <w:outlineLvl w:val="1"/>
    </w:pPr>
    <w:rPr>
      <w:b/>
      <w:caps/>
    </w:rPr>
  </w:style>
  <w:style w:type="character" w:customStyle="1" w:styleId="AnnexnumberChar">
    <w:name w:val="Annex number Char"/>
    <w:link w:val="Annexnumber"/>
    <w:rsid w:val="00106526"/>
    <w:rPr>
      <w:rFonts w:eastAsia="Times New Roman"/>
      <w:b/>
      <w:caps/>
      <w:sz w:val="24"/>
      <w:szCs w:val="24"/>
    </w:rPr>
  </w:style>
  <w:style w:type="paragraph" w:customStyle="1" w:styleId="ParagraphOED">
    <w:name w:val="Paragraph  OED"/>
    <w:basedOn w:val="ListParagraph"/>
    <w:next w:val="Normal"/>
    <w:link w:val="ParagraphOEDChar"/>
    <w:qFormat/>
    <w:rsid w:val="00537A48"/>
    <w:pPr>
      <w:numPr>
        <w:numId w:val="12"/>
      </w:numPr>
      <w:autoSpaceDE/>
      <w:autoSpaceDN/>
      <w:adjustRightInd/>
      <w:spacing w:after="180"/>
      <w:contextualSpacing w:val="0"/>
    </w:pPr>
    <w:rPr>
      <w:rFonts w:eastAsia="Calibri" w:cs="Calibri"/>
      <w:color w:val="auto"/>
      <w:sz w:val="21"/>
      <w:szCs w:val="20"/>
      <w:shd w:val="clear" w:color="auto" w:fill="FFFFFF"/>
    </w:rPr>
  </w:style>
  <w:style w:type="paragraph" w:customStyle="1" w:styleId="Default">
    <w:name w:val="Default"/>
    <w:rsid w:val="009020E7"/>
    <w:pPr>
      <w:autoSpaceDE w:val="0"/>
      <w:autoSpaceDN w:val="0"/>
      <w:adjustRightInd w:val="0"/>
    </w:pPr>
    <w:rPr>
      <w:rFonts w:ascii="Arial" w:eastAsia="Times New Roman" w:hAnsi="Arial" w:cs="Arial"/>
      <w:color w:val="000000"/>
    </w:rPr>
  </w:style>
  <w:style w:type="character" w:styleId="PlaceholderText">
    <w:name w:val="Placeholder Text"/>
    <w:uiPriority w:val="99"/>
    <w:rsid w:val="00310EE7"/>
    <w:rPr>
      <w:color w:val="808080"/>
    </w:rPr>
  </w:style>
  <w:style w:type="character" w:styleId="Strong">
    <w:name w:val="Strong"/>
    <w:uiPriority w:val="22"/>
    <w:qFormat/>
    <w:rsid w:val="006F016C"/>
    <w:rPr>
      <w:b/>
      <w:bCs/>
    </w:rPr>
  </w:style>
  <w:style w:type="paragraph" w:styleId="TOCHeading">
    <w:name w:val="TOC Heading"/>
    <w:basedOn w:val="Heading1"/>
    <w:next w:val="Normal"/>
    <w:uiPriority w:val="39"/>
    <w:unhideWhenUsed/>
    <w:qFormat/>
    <w:rsid w:val="00106526"/>
    <w:pPr>
      <w:keepNext/>
      <w:keepLines/>
      <w:spacing w:before="240" w:line="259" w:lineRule="auto"/>
      <w:jc w:val="center"/>
      <w:outlineLvl w:val="9"/>
    </w:pPr>
    <w:rPr>
      <w:rFonts w:cstheme="majorHAnsi"/>
      <w:b w:val="0"/>
      <w:bCs/>
      <w:color w:val="auto"/>
      <w:spacing w:val="40"/>
      <w:szCs w:val="24"/>
      <w:u w:val="none"/>
      <w:lang w:eastAsia="en-US"/>
    </w:rPr>
  </w:style>
  <w:style w:type="paragraph" w:styleId="TOC2">
    <w:name w:val="toc 2"/>
    <w:basedOn w:val="Normal"/>
    <w:next w:val="Normal"/>
    <w:autoRedefine/>
    <w:uiPriority w:val="39"/>
    <w:unhideWhenUsed/>
    <w:rsid w:val="0076397D"/>
    <w:pPr>
      <w:ind w:left="240"/>
    </w:pPr>
    <w:rPr>
      <w:rFonts w:asciiTheme="minorHAnsi" w:hAnsiTheme="minorHAnsi" w:cstheme="minorHAnsi"/>
      <w:smallCaps/>
      <w:sz w:val="20"/>
      <w:szCs w:val="20"/>
    </w:rPr>
  </w:style>
  <w:style w:type="paragraph" w:styleId="TOC3">
    <w:name w:val="toc 3"/>
    <w:basedOn w:val="Normal"/>
    <w:next w:val="Normal"/>
    <w:autoRedefine/>
    <w:uiPriority w:val="39"/>
    <w:unhideWhenUsed/>
    <w:rsid w:val="00700BDA"/>
    <w:pPr>
      <w:ind w:left="480"/>
    </w:pPr>
    <w:rPr>
      <w:rFonts w:asciiTheme="minorHAnsi" w:hAnsiTheme="minorHAnsi" w:cstheme="minorHAnsi"/>
      <w:i/>
      <w:iCs/>
      <w:sz w:val="20"/>
      <w:szCs w:val="20"/>
    </w:rPr>
  </w:style>
  <w:style w:type="paragraph" w:customStyle="1" w:styleId="SubheadingsTommaso">
    <w:name w:val="Subheadings Tommaso"/>
    <w:basedOn w:val="Heading2"/>
    <w:link w:val="SubheadingsTommasoChar"/>
    <w:qFormat/>
    <w:rsid w:val="00A667F1"/>
    <w:pPr>
      <w:numPr>
        <w:numId w:val="4"/>
      </w:numPr>
      <w:tabs>
        <w:tab w:val="left" w:pos="360"/>
      </w:tabs>
    </w:pPr>
    <w:rPr>
      <w:b w:val="0"/>
      <w:i/>
      <w:smallCaps w:val="0"/>
    </w:rPr>
  </w:style>
  <w:style w:type="paragraph" w:customStyle="1" w:styleId="SubheadingsPartII">
    <w:name w:val="Subheadings Part II"/>
    <w:basedOn w:val="SubheadingsTommaso"/>
    <w:link w:val="SubheadingsPartIIChar"/>
    <w:qFormat/>
    <w:rsid w:val="005D15F1"/>
    <w:pPr>
      <w:numPr>
        <w:numId w:val="0"/>
      </w:numPr>
      <w:ind w:left="360" w:hanging="360"/>
    </w:pPr>
  </w:style>
  <w:style w:type="character" w:customStyle="1" w:styleId="SubheadingsTommasoChar">
    <w:name w:val="Subheadings Tommaso Char"/>
    <w:link w:val="SubheadingsTommaso"/>
    <w:rsid w:val="00A667F1"/>
    <w:rPr>
      <w:rFonts w:ascii="Times New Roman" w:eastAsia="Times New Roman" w:hAnsi="Times New Roman"/>
      <w:bCs/>
      <w:i/>
      <w:iCs/>
      <w:color w:val="000000"/>
      <w:sz w:val="26"/>
      <w:szCs w:val="26"/>
      <w:lang w:val="pt-BR" w:eastAsia="x-none"/>
    </w:rPr>
  </w:style>
  <w:style w:type="paragraph" w:styleId="TOC4">
    <w:name w:val="toc 4"/>
    <w:basedOn w:val="Normal"/>
    <w:next w:val="Normal"/>
    <w:autoRedefine/>
    <w:uiPriority w:val="39"/>
    <w:unhideWhenUsed/>
    <w:rsid w:val="0076397D"/>
    <w:pPr>
      <w:ind w:left="720"/>
    </w:pPr>
    <w:rPr>
      <w:rFonts w:asciiTheme="minorHAnsi" w:hAnsiTheme="minorHAnsi" w:cstheme="minorHAnsi"/>
      <w:sz w:val="18"/>
      <w:szCs w:val="18"/>
    </w:rPr>
  </w:style>
  <w:style w:type="character" w:customStyle="1" w:styleId="SubheadingsPartIIChar">
    <w:name w:val="Subheadings Part II Char"/>
    <w:link w:val="SubheadingsPartII"/>
    <w:rsid w:val="005D15F1"/>
    <w:rPr>
      <w:rFonts w:ascii="Times New Roman" w:eastAsia="Times New Roman" w:hAnsi="Times New Roman"/>
      <w:bCs/>
      <w:i/>
      <w:iCs/>
      <w:color w:val="000000"/>
      <w:sz w:val="26"/>
      <w:szCs w:val="26"/>
      <w:lang w:val="pt-BR" w:eastAsia="x-none"/>
    </w:rPr>
  </w:style>
  <w:style w:type="paragraph" w:styleId="TOC5">
    <w:name w:val="toc 5"/>
    <w:basedOn w:val="Normal"/>
    <w:next w:val="Normal"/>
    <w:autoRedefine/>
    <w:uiPriority w:val="39"/>
    <w:unhideWhenUsed/>
    <w:rsid w:val="002E4625"/>
    <w:pPr>
      <w:ind w:left="960"/>
    </w:pPr>
    <w:rPr>
      <w:rFonts w:asciiTheme="minorHAnsi" w:hAnsiTheme="minorHAnsi" w:cstheme="minorHAnsi"/>
      <w:sz w:val="18"/>
      <w:szCs w:val="18"/>
    </w:rPr>
  </w:style>
  <w:style w:type="paragraph" w:styleId="TOC6">
    <w:name w:val="toc 6"/>
    <w:basedOn w:val="Normal"/>
    <w:next w:val="Normal"/>
    <w:autoRedefine/>
    <w:uiPriority w:val="39"/>
    <w:unhideWhenUsed/>
    <w:rsid w:val="002E4625"/>
    <w:pPr>
      <w:ind w:left="1200"/>
    </w:pPr>
    <w:rPr>
      <w:rFonts w:asciiTheme="minorHAnsi" w:hAnsiTheme="minorHAnsi" w:cstheme="minorHAnsi"/>
      <w:sz w:val="18"/>
      <w:szCs w:val="18"/>
    </w:rPr>
  </w:style>
  <w:style w:type="paragraph" w:styleId="TOC7">
    <w:name w:val="toc 7"/>
    <w:basedOn w:val="Normal"/>
    <w:next w:val="Normal"/>
    <w:autoRedefine/>
    <w:uiPriority w:val="39"/>
    <w:unhideWhenUsed/>
    <w:rsid w:val="002E4625"/>
    <w:pPr>
      <w:ind w:left="1440"/>
    </w:pPr>
    <w:rPr>
      <w:rFonts w:asciiTheme="minorHAnsi" w:hAnsiTheme="minorHAnsi" w:cstheme="minorHAnsi"/>
      <w:sz w:val="18"/>
      <w:szCs w:val="18"/>
    </w:rPr>
  </w:style>
  <w:style w:type="paragraph" w:styleId="TOC8">
    <w:name w:val="toc 8"/>
    <w:basedOn w:val="Normal"/>
    <w:next w:val="Normal"/>
    <w:autoRedefine/>
    <w:uiPriority w:val="39"/>
    <w:unhideWhenUsed/>
    <w:rsid w:val="002E4625"/>
    <w:pPr>
      <w:ind w:left="1680"/>
    </w:pPr>
    <w:rPr>
      <w:rFonts w:asciiTheme="minorHAnsi" w:hAnsiTheme="minorHAnsi" w:cstheme="minorHAnsi"/>
      <w:sz w:val="18"/>
      <w:szCs w:val="18"/>
    </w:rPr>
  </w:style>
  <w:style w:type="paragraph" w:styleId="TOC9">
    <w:name w:val="toc 9"/>
    <w:basedOn w:val="Normal"/>
    <w:next w:val="Normal"/>
    <w:autoRedefine/>
    <w:uiPriority w:val="39"/>
    <w:unhideWhenUsed/>
    <w:rsid w:val="002E4625"/>
    <w:pPr>
      <w:ind w:left="1920"/>
    </w:pPr>
    <w:rPr>
      <w:rFonts w:asciiTheme="minorHAnsi" w:hAnsiTheme="minorHAnsi" w:cstheme="minorHAnsi"/>
      <w:sz w:val="18"/>
      <w:szCs w:val="18"/>
    </w:rPr>
  </w:style>
  <w:style w:type="paragraph" w:customStyle="1" w:styleId="Guidance">
    <w:name w:val="Guidance"/>
    <w:basedOn w:val="Normal"/>
    <w:link w:val="GuidanceChar"/>
    <w:qFormat/>
    <w:rsid w:val="00154520"/>
    <w:rPr>
      <w:color w:val="D0CECE"/>
      <w:sz w:val="18"/>
      <w:szCs w:val="18"/>
    </w:rPr>
  </w:style>
  <w:style w:type="character" w:customStyle="1" w:styleId="GuidanceChar">
    <w:name w:val="Guidance Char"/>
    <w:link w:val="Guidance"/>
    <w:rsid w:val="00154520"/>
    <w:rPr>
      <w:rFonts w:ascii="Times New Roman" w:eastAsia="Times New Roman" w:hAnsi="Times New Roman"/>
      <w:color w:val="D0CECE"/>
      <w:sz w:val="18"/>
      <w:szCs w:val="18"/>
    </w:rPr>
  </w:style>
  <w:style w:type="paragraph" w:customStyle="1" w:styleId="TableParagraph">
    <w:name w:val="Table Paragraph"/>
    <w:basedOn w:val="Normal"/>
    <w:uiPriority w:val="1"/>
    <w:qFormat/>
    <w:rsid w:val="00F2542D"/>
    <w:pPr>
      <w:widowControl w:val="0"/>
      <w:autoSpaceDE w:val="0"/>
      <w:autoSpaceDN w:val="0"/>
    </w:pPr>
    <w:rPr>
      <w:rFonts w:eastAsia="Calibri" w:cs="Calibri"/>
    </w:rPr>
  </w:style>
  <w:style w:type="character" w:customStyle="1" w:styleId="ParagraphOEDChar">
    <w:name w:val="Paragraph  OED Char"/>
    <w:link w:val="ParagraphOED"/>
    <w:rsid w:val="00537A48"/>
    <w:rPr>
      <w:rFonts w:eastAsia="Calibri" w:cs="Calibri"/>
      <w:sz w:val="21"/>
      <w:szCs w:val="20"/>
    </w:rPr>
  </w:style>
  <w:style w:type="paragraph" w:customStyle="1" w:styleId="BVIfnrCarattereCharCharCharCarattereCharCharCharCharCharChar1CharCharCharCarattereChar">
    <w:name w:val="BVI fnr Carattere Char Char Char Carattere Char Char Char Char Char Char1 Char Char Char Carattere Char"/>
    <w:aliases w:val="BVI fnr Carattere Char Char Char Carattere Char Char Char Char Char Char1 Char Char Char Carattere Carattere Char"/>
    <w:basedOn w:val="Normal"/>
    <w:link w:val="FootnoteReference"/>
    <w:uiPriority w:val="99"/>
    <w:qFormat/>
    <w:rsid w:val="000806F8"/>
    <w:pPr>
      <w:spacing w:after="160" w:line="240" w:lineRule="exact"/>
    </w:pPr>
    <w:rPr>
      <w:szCs w:val="20"/>
      <w:vertAlign w:val="superscript"/>
    </w:rPr>
  </w:style>
  <w:style w:type="character" w:customStyle="1" w:styleId="ListParagraphChar">
    <w:name w:val="List Paragraph Char"/>
    <w:aliases w:val="PRODOC_Num_Paragraphs Char,List Paragraph1 Char,Colorful List - Accent 12 Char,List Paragraph (numbered (a)) Char,Numbered List Paragraph Char,References Char,ReferencesCxSpLast Char,List Paragraph nowy Char,Liste 1 Char,Bullet1 Char"/>
    <w:link w:val="ListParagraph"/>
    <w:uiPriority w:val="34"/>
    <w:qFormat/>
    <w:rsid w:val="00106526"/>
    <w:rPr>
      <w:rFonts w:eastAsia="Times New Roman" w:cs="Arial"/>
      <w:color w:val="000000"/>
      <w:sz w:val="22"/>
      <w:szCs w:val="22"/>
    </w:rPr>
  </w:style>
  <w:style w:type="paragraph" w:customStyle="1" w:styleId="Boxtext">
    <w:name w:val="Box text"/>
    <w:basedOn w:val="Normal"/>
    <w:qFormat/>
    <w:rsid w:val="000806F8"/>
    <w:pPr>
      <w:pBdr>
        <w:top w:val="single" w:sz="4" w:space="1" w:color="auto" w:shadow="1"/>
        <w:left w:val="single" w:sz="4" w:space="4" w:color="auto" w:shadow="1"/>
        <w:bottom w:val="single" w:sz="4" w:space="1" w:color="auto" w:shadow="1"/>
        <w:right w:val="single" w:sz="4" w:space="4" w:color="auto" w:shadow="1"/>
      </w:pBdr>
      <w:tabs>
        <w:tab w:val="left" w:pos="709"/>
      </w:tabs>
      <w:spacing w:before="160" w:after="20"/>
    </w:pPr>
    <w:rPr>
      <w:rFonts w:asciiTheme="minorHAnsi" w:hAnsiTheme="minorHAnsi" w:cstheme="minorHAnsi"/>
      <w:noProof/>
      <w:szCs w:val="20"/>
    </w:rPr>
  </w:style>
  <w:style w:type="character" w:customStyle="1" w:styleId="CaptionChar">
    <w:name w:val="Caption Char"/>
    <w:basedOn w:val="DefaultParagraphFont"/>
    <w:link w:val="Caption"/>
    <w:uiPriority w:val="35"/>
    <w:rsid w:val="00537A48"/>
    <w:rPr>
      <w:rFonts w:eastAsia="Times New Roman"/>
      <w:b/>
      <w:bCs/>
      <w:i/>
      <w:sz w:val="21"/>
    </w:rPr>
  </w:style>
  <w:style w:type="paragraph" w:customStyle="1" w:styleId="Char2">
    <w:name w:val="Char2"/>
    <w:basedOn w:val="Normal"/>
    <w:uiPriority w:val="99"/>
    <w:rsid w:val="00AC0436"/>
    <w:pPr>
      <w:spacing w:after="160" w:line="240" w:lineRule="exact"/>
    </w:pPr>
    <w:rPr>
      <w:szCs w:val="20"/>
      <w:vertAlign w:val="superscript"/>
    </w:rPr>
  </w:style>
  <w:style w:type="character" w:customStyle="1" w:styleId="UnresolvedMention2">
    <w:name w:val="Unresolved Mention2"/>
    <w:basedOn w:val="DefaultParagraphFont"/>
    <w:uiPriority w:val="99"/>
    <w:unhideWhenUsed/>
    <w:rsid w:val="00B95092"/>
    <w:rPr>
      <w:color w:val="605E5C"/>
      <w:shd w:val="clear" w:color="auto" w:fill="E1DFDD"/>
    </w:rPr>
  </w:style>
  <w:style w:type="paragraph" w:styleId="TableofFigures">
    <w:name w:val="table of figures"/>
    <w:basedOn w:val="Normal"/>
    <w:next w:val="Normal"/>
    <w:uiPriority w:val="99"/>
    <w:unhideWhenUsed/>
    <w:rsid w:val="00F77612"/>
  </w:style>
  <w:style w:type="paragraph" w:styleId="NormalWeb">
    <w:name w:val="Normal (Web)"/>
    <w:basedOn w:val="Normal"/>
    <w:uiPriority w:val="99"/>
    <w:unhideWhenUsed/>
    <w:rsid w:val="00106526"/>
  </w:style>
  <w:style w:type="character" w:customStyle="1" w:styleId="UnresolvedMention21">
    <w:name w:val="Unresolved Mention21"/>
    <w:basedOn w:val="DefaultParagraphFont"/>
    <w:uiPriority w:val="99"/>
    <w:semiHidden/>
    <w:unhideWhenUsed/>
    <w:rsid w:val="009563B4"/>
    <w:rPr>
      <w:color w:val="605E5C"/>
      <w:shd w:val="clear" w:color="auto" w:fill="E1DFDD"/>
    </w:rPr>
  </w:style>
  <w:style w:type="paragraph" w:customStyle="1" w:styleId="X-Ref">
    <w:name w:val="X-Ref"/>
    <w:basedOn w:val="Normal"/>
    <w:link w:val="X-RefChar"/>
    <w:qFormat/>
    <w:rsid w:val="009563B4"/>
    <w:rPr>
      <w:rFonts w:asciiTheme="minorHAnsi" w:hAnsiTheme="minorHAnsi" w:cstheme="minorHAnsi"/>
      <w:b/>
      <w:color w:val="0070C0"/>
      <w:u w:val="single"/>
    </w:rPr>
  </w:style>
  <w:style w:type="character" w:customStyle="1" w:styleId="X-RefChar">
    <w:name w:val="X-Ref Char"/>
    <w:basedOn w:val="DefaultParagraphFont"/>
    <w:link w:val="X-Ref"/>
    <w:rsid w:val="009563B4"/>
    <w:rPr>
      <w:rFonts w:asciiTheme="minorHAnsi" w:hAnsiTheme="minorHAnsi" w:cstheme="minorHAnsi"/>
      <w:b/>
      <w:color w:val="0070C0"/>
      <w:szCs w:val="22"/>
      <w:u w:val="single"/>
    </w:rPr>
  </w:style>
  <w:style w:type="paragraph" w:styleId="BodyText3">
    <w:name w:val="Body Text 3"/>
    <w:basedOn w:val="Normal"/>
    <w:link w:val="BodyText3Char"/>
    <w:uiPriority w:val="99"/>
    <w:unhideWhenUsed/>
    <w:rsid w:val="009563B4"/>
    <w:pPr>
      <w:spacing w:after="120"/>
    </w:pPr>
    <w:rPr>
      <w:sz w:val="16"/>
      <w:szCs w:val="16"/>
    </w:rPr>
  </w:style>
  <w:style w:type="character" w:customStyle="1" w:styleId="BodyText3Char">
    <w:name w:val="Body Text 3 Char"/>
    <w:basedOn w:val="DefaultParagraphFont"/>
    <w:link w:val="BodyText3"/>
    <w:uiPriority w:val="99"/>
    <w:rsid w:val="009563B4"/>
    <w:rPr>
      <w:sz w:val="16"/>
      <w:szCs w:val="16"/>
    </w:rPr>
  </w:style>
  <w:style w:type="character" w:customStyle="1" w:styleId="UnresolvedMention3">
    <w:name w:val="Unresolved Mention3"/>
    <w:basedOn w:val="DefaultParagraphFont"/>
    <w:uiPriority w:val="99"/>
    <w:semiHidden/>
    <w:unhideWhenUsed/>
    <w:rsid w:val="009563B4"/>
    <w:rPr>
      <w:color w:val="605E5C"/>
      <w:shd w:val="clear" w:color="auto" w:fill="E1DFDD"/>
    </w:rPr>
  </w:style>
  <w:style w:type="character" w:styleId="Emphasis">
    <w:name w:val="Emphasis"/>
    <w:basedOn w:val="DefaultParagraphFont"/>
    <w:uiPriority w:val="20"/>
    <w:qFormat/>
    <w:rsid w:val="009563B4"/>
    <w:rPr>
      <w:i/>
      <w:iCs/>
    </w:rPr>
  </w:style>
  <w:style w:type="character" w:customStyle="1" w:styleId="eop">
    <w:name w:val="eop"/>
    <w:basedOn w:val="DefaultParagraphFont"/>
    <w:rsid w:val="009563B4"/>
  </w:style>
  <w:style w:type="character" w:customStyle="1" w:styleId="UnresolvedMention4">
    <w:name w:val="Unresolved Mention4"/>
    <w:basedOn w:val="DefaultParagraphFont"/>
    <w:uiPriority w:val="99"/>
    <w:semiHidden/>
    <w:unhideWhenUsed/>
    <w:rsid w:val="009563B4"/>
    <w:rPr>
      <w:color w:val="605E5C"/>
      <w:shd w:val="clear" w:color="auto" w:fill="E1DFDD"/>
    </w:rPr>
  </w:style>
  <w:style w:type="table" w:customStyle="1" w:styleId="ListTable31">
    <w:name w:val="List Table 31"/>
    <w:basedOn w:val="TableNormal"/>
    <w:uiPriority w:val="48"/>
    <w:rsid w:val="009563B4"/>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PlainTable51">
    <w:name w:val="Plain Table 51"/>
    <w:basedOn w:val="TableNormal"/>
    <w:uiPriority w:val="45"/>
    <w:rsid w:val="009563B4"/>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EndnoteText">
    <w:name w:val="endnote text"/>
    <w:basedOn w:val="Normal"/>
    <w:link w:val="EndnoteTextChar"/>
    <w:uiPriority w:val="99"/>
    <w:semiHidden/>
    <w:unhideWhenUsed/>
    <w:rsid w:val="009563B4"/>
    <w:rPr>
      <w:szCs w:val="20"/>
    </w:rPr>
  </w:style>
  <w:style w:type="character" w:customStyle="1" w:styleId="EndnoteTextChar">
    <w:name w:val="Endnote Text Char"/>
    <w:basedOn w:val="DefaultParagraphFont"/>
    <w:link w:val="EndnoteText"/>
    <w:uiPriority w:val="99"/>
    <w:semiHidden/>
    <w:rsid w:val="009563B4"/>
  </w:style>
  <w:style w:type="character" w:styleId="EndnoteReference">
    <w:name w:val="endnote reference"/>
    <w:basedOn w:val="DefaultParagraphFont"/>
    <w:uiPriority w:val="99"/>
    <w:semiHidden/>
    <w:unhideWhenUsed/>
    <w:rsid w:val="009563B4"/>
    <w:rPr>
      <w:vertAlign w:val="superscript"/>
    </w:rPr>
  </w:style>
  <w:style w:type="table" w:customStyle="1" w:styleId="GridTable1Light-Accent21">
    <w:name w:val="Grid Table 1 Light - Accent 21"/>
    <w:basedOn w:val="TableNormal"/>
    <w:uiPriority w:val="46"/>
    <w:rsid w:val="009563B4"/>
    <w:rPr>
      <w:rFonts w:asciiTheme="minorHAnsi" w:eastAsiaTheme="minorHAnsi" w:hAnsiTheme="minorHAnsi" w:cstheme="minorBidi"/>
      <w:sz w:val="22"/>
      <w:szCs w:val="22"/>
    </w:rPr>
    <w:tblPr>
      <w:tblStyleRowBandSize w:val="1"/>
      <w:tblStyleColBandSize w:val="1"/>
      <w:tblBorders>
        <w:top w:val="single" w:sz="4" w:space="0" w:color="F7CAAC" w:themeColor="accent2" w:themeTint="66"/>
        <w:left w:val="single" w:sz="4" w:space="0" w:color="F7CAAC" w:themeColor="accent2" w:themeTint="66"/>
        <w:bottom w:val="single" w:sz="4" w:space="0" w:color="F7CAAC" w:themeColor="accent2" w:themeTint="66"/>
        <w:right w:val="single" w:sz="4" w:space="0" w:color="F7CAAC" w:themeColor="accent2" w:themeTint="66"/>
        <w:insideH w:val="single" w:sz="4" w:space="0" w:color="F7CAAC" w:themeColor="accent2" w:themeTint="66"/>
        <w:insideV w:val="single" w:sz="4" w:space="0" w:color="F7CAAC" w:themeColor="accent2" w:themeTint="66"/>
      </w:tblBorders>
    </w:tblPr>
    <w:tblStylePr w:type="firstRow">
      <w:rPr>
        <w:b/>
        <w:bCs/>
      </w:rPr>
      <w:tblPr/>
      <w:tcPr>
        <w:tcBorders>
          <w:bottom w:val="single" w:sz="12" w:space="0" w:color="F4B083" w:themeColor="accent2" w:themeTint="99"/>
        </w:tcBorders>
      </w:tcPr>
    </w:tblStylePr>
    <w:tblStylePr w:type="lastRow">
      <w:rPr>
        <w:b/>
        <w:bCs/>
      </w:rPr>
      <w:tblPr/>
      <w:tcPr>
        <w:tcBorders>
          <w:top w:val="double" w:sz="2" w:space="0" w:color="F4B083" w:themeColor="accent2" w:themeTint="99"/>
        </w:tcBorders>
      </w:tcPr>
    </w:tblStylePr>
    <w:tblStylePr w:type="firstCol">
      <w:rPr>
        <w:b/>
        <w:bCs/>
      </w:rPr>
    </w:tblStylePr>
    <w:tblStylePr w:type="lastCol">
      <w:rPr>
        <w:b/>
        <w:bCs/>
      </w:rPr>
    </w:tblStylePr>
  </w:style>
  <w:style w:type="table" w:customStyle="1" w:styleId="GridTable1Light-Accent11">
    <w:name w:val="Grid Table 1 Light - Accent 11"/>
    <w:basedOn w:val="TableNormal"/>
    <w:uiPriority w:val="46"/>
    <w:rsid w:val="009563B4"/>
    <w:rPr>
      <w:rFonts w:asciiTheme="minorHAnsi" w:eastAsiaTheme="minorHAnsi" w:hAnsiTheme="minorHAnsi" w:cstheme="minorBidi"/>
      <w:sz w:val="22"/>
      <w:szCs w:val="22"/>
    </w:rPr>
    <w:tblPr>
      <w:tblStyleRowBandSize w:val="1"/>
      <w:tblStyleColBandSize w:val="1"/>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tblPr>
    <w:tblStylePr w:type="firstRow">
      <w:rPr>
        <w:b/>
        <w:bCs/>
      </w:rPr>
      <w:tblPr/>
      <w:tcPr>
        <w:tcBorders>
          <w:bottom w:val="single" w:sz="12" w:space="0" w:color="9CC2E5" w:themeColor="accent1" w:themeTint="99"/>
        </w:tcBorders>
      </w:tcPr>
    </w:tblStylePr>
    <w:tblStylePr w:type="lastRow">
      <w:rPr>
        <w:b/>
        <w:bCs/>
      </w:rPr>
      <w:tblPr/>
      <w:tcPr>
        <w:tcBorders>
          <w:top w:val="double" w:sz="2" w:space="0" w:color="9CC2E5" w:themeColor="accent1" w:themeTint="99"/>
        </w:tcBorders>
      </w:tcPr>
    </w:tblStylePr>
    <w:tblStylePr w:type="firstCol">
      <w:rPr>
        <w:b/>
        <w:bCs/>
      </w:rPr>
    </w:tblStylePr>
    <w:tblStylePr w:type="lastCol">
      <w:rPr>
        <w:b/>
        <w:bCs/>
      </w:rPr>
    </w:tblStylePr>
  </w:style>
  <w:style w:type="table" w:customStyle="1" w:styleId="GridTable1Light-Accent41">
    <w:name w:val="Grid Table 1 Light - Accent 41"/>
    <w:basedOn w:val="TableNormal"/>
    <w:uiPriority w:val="46"/>
    <w:rsid w:val="009563B4"/>
    <w:rPr>
      <w:rFonts w:asciiTheme="minorHAnsi" w:eastAsiaTheme="minorHAnsi" w:hAnsiTheme="minorHAnsi" w:cstheme="minorBidi"/>
      <w:sz w:val="22"/>
      <w:szCs w:val="22"/>
    </w:rPr>
    <w:tblPr>
      <w:tblStyleRowBandSize w:val="1"/>
      <w:tblStyleColBandSize w:val="1"/>
      <w:tblBorders>
        <w:top w:val="single" w:sz="4" w:space="0" w:color="FFE599" w:themeColor="accent4" w:themeTint="66"/>
        <w:left w:val="single" w:sz="4" w:space="0" w:color="FFE599" w:themeColor="accent4" w:themeTint="66"/>
        <w:bottom w:val="single" w:sz="4" w:space="0" w:color="FFE599" w:themeColor="accent4" w:themeTint="66"/>
        <w:right w:val="single" w:sz="4" w:space="0" w:color="FFE599" w:themeColor="accent4" w:themeTint="66"/>
        <w:insideH w:val="single" w:sz="4" w:space="0" w:color="FFE599" w:themeColor="accent4" w:themeTint="66"/>
        <w:insideV w:val="single" w:sz="4" w:space="0" w:color="FFE599" w:themeColor="accent4" w:themeTint="66"/>
      </w:tblBorders>
    </w:tblPr>
    <w:tblStylePr w:type="firstRow">
      <w:rPr>
        <w:b/>
        <w:bCs/>
      </w:rPr>
      <w:tblPr/>
      <w:tcPr>
        <w:tcBorders>
          <w:bottom w:val="single" w:sz="12" w:space="0" w:color="FFD966" w:themeColor="accent4" w:themeTint="99"/>
        </w:tcBorders>
      </w:tcPr>
    </w:tblStylePr>
    <w:tblStylePr w:type="lastRow">
      <w:rPr>
        <w:b/>
        <w:bCs/>
      </w:rPr>
      <w:tblPr/>
      <w:tcPr>
        <w:tcBorders>
          <w:top w:val="double" w:sz="2" w:space="0" w:color="FFD966" w:themeColor="accent4" w:themeTint="99"/>
        </w:tcBorders>
      </w:tcPr>
    </w:tblStylePr>
    <w:tblStylePr w:type="firstCol">
      <w:rPr>
        <w:b/>
        <w:bCs/>
      </w:rPr>
    </w:tblStylePr>
    <w:tblStylePr w:type="lastCol">
      <w:rPr>
        <w:b/>
        <w:bCs/>
      </w:rPr>
    </w:tblStylePr>
  </w:style>
  <w:style w:type="paragraph" w:customStyle="1" w:styleId="NewPara">
    <w:name w:val="NewPara"/>
    <w:basedOn w:val="Normal"/>
    <w:next w:val="Normal"/>
    <w:rsid w:val="009563B4"/>
    <w:pPr>
      <w:tabs>
        <w:tab w:val="left" w:pos="709"/>
      </w:tabs>
      <w:spacing w:before="160" w:after="20"/>
    </w:pPr>
    <w:rPr>
      <w:rFonts w:asciiTheme="minorHAnsi" w:hAnsiTheme="minorHAnsi" w:cstheme="minorHAnsi"/>
      <w:noProof/>
      <w:szCs w:val="20"/>
    </w:rPr>
  </w:style>
  <w:style w:type="character" w:customStyle="1" w:styleId="A6">
    <w:name w:val="A6"/>
    <w:uiPriority w:val="99"/>
    <w:rsid w:val="009563B4"/>
    <w:rPr>
      <w:rFonts w:cs="HelveticaNeue LT 55 Roman"/>
      <w:color w:val="000000"/>
      <w:sz w:val="20"/>
      <w:szCs w:val="20"/>
    </w:rPr>
  </w:style>
  <w:style w:type="table" w:customStyle="1" w:styleId="ListTable2-Accent61">
    <w:name w:val="List Table 2 - Accent 61"/>
    <w:basedOn w:val="TableNormal"/>
    <w:uiPriority w:val="47"/>
    <w:rsid w:val="009563B4"/>
    <w:rPr>
      <w:rFonts w:asciiTheme="minorHAnsi" w:eastAsiaTheme="minorHAnsi" w:hAnsiTheme="minorHAnsi" w:cstheme="minorBidi"/>
      <w:sz w:val="22"/>
      <w:szCs w:val="22"/>
    </w:rPr>
    <w:tblPr>
      <w:tblStyleRowBandSize w:val="1"/>
      <w:tblStyleColBandSize w:val="1"/>
      <w:tblBorders>
        <w:top w:val="single" w:sz="4" w:space="0" w:color="A8D08D" w:themeColor="accent6" w:themeTint="99"/>
        <w:bottom w:val="single" w:sz="4" w:space="0" w:color="A8D08D" w:themeColor="accent6" w:themeTint="99"/>
        <w:insideH w:val="single" w:sz="4" w:space="0" w:color="A8D08D"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customStyle="1" w:styleId="TableGridLight1">
    <w:name w:val="Table Grid Light1"/>
    <w:basedOn w:val="TableNormal"/>
    <w:uiPriority w:val="40"/>
    <w:rsid w:val="009563B4"/>
    <w:rPr>
      <w:rFonts w:asciiTheme="minorHAnsi" w:eastAsiaTheme="minorHAnsi" w:hAnsiTheme="minorHAnsi" w:cstheme="minorBidi"/>
      <w:sz w:val="22"/>
      <w:szCs w:val="22"/>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ListTable32">
    <w:name w:val="List Table 32"/>
    <w:basedOn w:val="TableNormal"/>
    <w:uiPriority w:val="48"/>
    <w:rsid w:val="009563B4"/>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PlainTable52">
    <w:name w:val="Plain Table 52"/>
    <w:basedOn w:val="TableNormal"/>
    <w:uiPriority w:val="45"/>
    <w:rsid w:val="009563B4"/>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GridTable1Light-Accent22">
    <w:name w:val="Grid Table 1 Light - Accent 22"/>
    <w:basedOn w:val="TableNormal"/>
    <w:uiPriority w:val="46"/>
    <w:rsid w:val="009563B4"/>
    <w:rPr>
      <w:rFonts w:asciiTheme="minorHAnsi" w:eastAsiaTheme="minorHAnsi" w:hAnsiTheme="minorHAnsi" w:cstheme="minorBidi"/>
      <w:sz w:val="22"/>
      <w:szCs w:val="22"/>
    </w:rPr>
    <w:tblPr>
      <w:tblStyleRowBandSize w:val="1"/>
      <w:tblStyleColBandSize w:val="1"/>
      <w:tblBorders>
        <w:top w:val="single" w:sz="4" w:space="0" w:color="F7CAAC" w:themeColor="accent2" w:themeTint="66"/>
        <w:left w:val="single" w:sz="4" w:space="0" w:color="F7CAAC" w:themeColor="accent2" w:themeTint="66"/>
        <w:bottom w:val="single" w:sz="4" w:space="0" w:color="F7CAAC" w:themeColor="accent2" w:themeTint="66"/>
        <w:right w:val="single" w:sz="4" w:space="0" w:color="F7CAAC" w:themeColor="accent2" w:themeTint="66"/>
        <w:insideH w:val="single" w:sz="4" w:space="0" w:color="F7CAAC" w:themeColor="accent2" w:themeTint="66"/>
        <w:insideV w:val="single" w:sz="4" w:space="0" w:color="F7CAAC" w:themeColor="accent2" w:themeTint="66"/>
      </w:tblBorders>
    </w:tblPr>
    <w:tblStylePr w:type="firstRow">
      <w:rPr>
        <w:b/>
        <w:bCs/>
      </w:rPr>
      <w:tblPr/>
      <w:tcPr>
        <w:tcBorders>
          <w:bottom w:val="single" w:sz="12" w:space="0" w:color="F4B083" w:themeColor="accent2" w:themeTint="99"/>
        </w:tcBorders>
      </w:tcPr>
    </w:tblStylePr>
    <w:tblStylePr w:type="lastRow">
      <w:rPr>
        <w:b/>
        <w:bCs/>
      </w:rPr>
      <w:tblPr/>
      <w:tcPr>
        <w:tcBorders>
          <w:top w:val="double" w:sz="2" w:space="0" w:color="F4B083" w:themeColor="accent2" w:themeTint="99"/>
        </w:tcBorders>
      </w:tcPr>
    </w:tblStylePr>
    <w:tblStylePr w:type="firstCol">
      <w:rPr>
        <w:b/>
        <w:bCs/>
      </w:rPr>
    </w:tblStylePr>
    <w:tblStylePr w:type="lastCol">
      <w:rPr>
        <w:b/>
        <w:bCs/>
      </w:rPr>
    </w:tblStylePr>
  </w:style>
  <w:style w:type="table" w:customStyle="1" w:styleId="GridTable1Light-Accent12">
    <w:name w:val="Grid Table 1 Light - Accent 12"/>
    <w:basedOn w:val="TableNormal"/>
    <w:uiPriority w:val="46"/>
    <w:rsid w:val="009563B4"/>
    <w:rPr>
      <w:rFonts w:asciiTheme="minorHAnsi" w:eastAsiaTheme="minorHAnsi" w:hAnsiTheme="minorHAnsi" w:cstheme="minorBidi"/>
      <w:sz w:val="22"/>
      <w:szCs w:val="22"/>
    </w:rPr>
    <w:tblPr>
      <w:tblStyleRowBandSize w:val="1"/>
      <w:tblStyleColBandSize w:val="1"/>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tblPr>
    <w:tblStylePr w:type="firstRow">
      <w:rPr>
        <w:b/>
        <w:bCs/>
      </w:rPr>
      <w:tblPr/>
      <w:tcPr>
        <w:tcBorders>
          <w:bottom w:val="single" w:sz="12" w:space="0" w:color="9CC2E5" w:themeColor="accent1" w:themeTint="99"/>
        </w:tcBorders>
      </w:tcPr>
    </w:tblStylePr>
    <w:tblStylePr w:type="lastRow">
      <w:rPr>
        <w:b/>
        <w:bCs/>
      </w:rPr>
      <w:tblPr/>
      <w:tcPr>
        <w:tcBorders>
          <w:top w:val="double" w:sz="2" w:space="0" w:color="9CC2E5" w:themeColor="accent1" w:themeTint="99"/>
        </w:tcBorders>
      </w:tcPr>
    </w:tblStylePr>
    <w:tblStylePr w:type="firstCol">
      <w:rPr>
        <w:b/>
        <w:bCs/>
      </w:rPr>
    </w:tblStylePr>
    <w:tblStylePr w:type="lastCol">
      <w:rPr>
        <w:b/>
        <w:bCs/>
      </w:rPr>
    </w:tblStylePr>
  </w:style>
  <w:style w:type="table" w:customStyle="1" w:styleId="GridTable1Light-Accent42">
    <w:name w:val="Grid Table 1 Light - Accent 42"/>
    <w:basedOn w:val="TableNormal"/>
    <w:uiPriority w:val="46"/>
    <w:rsid w:val="009563B4"/>
    <w:rPr>
      <w:rFonts w:asciiTheme="minorHAnsi" w:eastAsiaTheme="minorHAnsi" w:hAnsiTheme="minorHAnsi" w:cstheme="minorBidi"/>
      <w:sz w:val="22"/>
      <w:szCs w:val="22"/>
    </w:rPr>
    <w:tblPr>
      <w:tblStyleRowBandSize w:val="1"/>
      <w:tblStyleColBandSize w:val="1"/>
      <w:tblBorders>
        <w:top w:val="single" w:sz="4" w:space="0" w:color="FFE599" w:themeColor="accent4" w:themeTint="66"/>
        <w:left w:val="single" w:sz="4" w:space="0" w:color="FFE599" w:themeColor="accent4" w:themeTint="66"/>
        <w:bottom w:val="single" w:sz="4" w:space="0" w:color="FFE599" w:themeColor="accent4" w:themeTint="66"/>
        <w:right w:val="single" w:sz="4" w:space="0" w:color="FFE599" w:themeColor="accent4" w:themeTint="66"/>
        <w:insideH w:val="single" w:sz="4" w:space="0" w:color="FFE599" w:themeColor="accent4" w:themeTint="66"/>
        <w:insideV w:val="single" w:sz="4" w:space="0" w:color="FFE599" w:themeColor="accent4" w:themeTint="66"/>
      </w:tblBorders>
    </w:tblPr>
    <w:tblStylePr w:type="firstRow">
      <w:rPr>
        <w:b/>
        <w:bCs/>
      </w:rPr>
      <w:tblPr/>
      <w:tcPr>
        <w:tcBorders>
          <w:bottom w:val="single" w:sz="12" w:space="0" w:color="FFD966" w:themeColor="accent4" w:themeTint="99"/>
        </w:tcBorders>
      </w:tcPr>
    </w:tblStylePr>
    <w:tblStylePr w:type="lastRow">
      <w:rPr>
        <w:b/>
        <w:bCs/>
      </w:rPr>
      <w:tblPr/>
      <w:tcPr>
        <w:tcBorders>
          <w:top w:val="double" w:sz="2" w:space="0" w:color="FFD966" w:themeColor="accent4" w:themeTint="99"/>
        </w:tcBorders>
      </w:tcPr>
    </w:tblStylePr>
    <w:tblStylePr w:type="firstCol">
      <w:rPr>
        <w:b/>
        <w:bCs/>
      </w:rPr>
    </w:tblStylePr>
    <w:tblStylePr w:type="lastCol">
      <w:rPr>
        <w:b/>
        <w:bCs/>
      </w:rPr>
    </w:tblStylePr>
  </w:style>
  <w:style w:type="table" w:customStyle="1" w:styleId="ListTable2-Accent62">
    <w:name w:val="List Table 2 - Accent 62"/>
    <w:basedOn w:val="TableNormal"/>
    <w:uiPriority w:val="47"/>
    <w:rsid w:val="009563B4"/>
    <w:rPr>
      <w:rFonts w:asciiTheme="minorHAnsi" w:eastAsiaTheme="minorHAnsi" w:hAnsiTheme="minorHAnsi" w:cstheme="minorBidi"/>
      <w:sz w:val="22"/>
      <w:szCs w:val="22"/>
    </w:rPr>
    <w:tblPr>
      <w:tblStyleRowBandSize w:val="1"/>
      <w:tblStyleColBandSize w:val="1"/>
      <w:tblBorders>
        <w:top w:val="single" w:sz="4" w:space="0" w:color="A8D08D" w:themeColor="accent6" w:themeTint="99"/>
        <w:bottom w:val="single" w:sz="4" w:space="0" w:color="A8D08D" w:themeColor="accent6" w:themeTint="99"/>
        <w:insideH w:val="single" w:sz="4" w:space="0" w:color="A8D08D"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customStyle="1" w:styleId="TableGridLight2">
    <w:name w:val="Table Grid Light2"/>
    <w:basedOn w:val="TableNormal"/>
    <w:uiPriority w:val="40"/>
    <w:rsid w:val="009563B4"/>
    <w:rPr>
      <w:rFonts w:asciiTheme="minorHAnsi" w:eastAsiaTheme="minorHAnsi" w:hAnsiTheme="minorHAnsi" w:cstheme="minorBidi"/>
      <w:sz w:val="22"/>
      <w:szCs w:val="22"/>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AAActivities">
    <w:name w:val="AA_Activities"/>
    <w:basedOn w:val="ListParagraph"/>
    <w:link w:val="AAActivitiesChar"/>
    <w:qFormat/>
    <w:rsid w:val="009563B4"/>
    <w:pPr>
      <w:numPr>
        <w:numId w:val="36"/>
      </w:numPr>
    </w:pPr>
  </w:style>
  <w:style w:type="character" w:customStyle="1" w:styleId="AAActivitiesChar">
    <w:name w:val="AA_Activities Char"/>
    <w:basedOn w:val="ListParagraphChar"/>
    <w:link w:val="AAActivities"/>
    <w:rsid w:val="009563B4"/>
    <w:rPr>
      <w:rFonts w:eastAsia="Times New Roman" w:cs="Arial"/>
      <w:color w:val="000000"/>
      <w:sz w:val="22"/>
      <w:szCs w:val="22"/>
    </w:rPr>
  </w:style>
  <w:style w:type="character" w:customStyle="1" w:styleId="UnresolvedMention5">
    <w:name w:val="Unresolved Mention5"/>
    <w:basedOn w:val="DefaultParagraphFont"/>
    <w:uiPriority w:val="99"/>
    <w:semiHidden/>
    <w:unhideWhenUsed/>
    <w:rsid w:val="0099663B"/>
    <w:rPr>
      <w:color w:val="605E5C"/>
      <w:shd w:val="clear" w:color="auto" w:fill="E1DFDD"/>
    </w:rPr>
  </w:style>
  <w:style w:type="paragraph" w:customStyle="1" w:styleId="paragraph">
    <w:name w:val="paragraph"/>
    <w:basedOn w:val="Normal"/>
    <w:rsid w:val="00983F57"/>
    <w:pPr>
      <w:spacing w:before="100" w:beforeAutospacing="1" w:after="100" w:afterAutospacing="1"/>
    </w:pPr>
  </w:style>
  <w:style w:type="character" w:customStyle="1" w:styleId="normaltextrun">
    <w:name w:val="normaltextrun"/>
    <w:basedOn w:val="DefaultParagraphFont"/>
    <w:rsid w:val="00983F57"/>
  </w:style>
  <w:style w:type="character" w:customStyle="1" w:styleId="apple-converted-space">
    <w:name w:val="apple-converted-space"/>
    <w:basedOn w:val="DefaultParagraphFont"/>
    <w:rsid w:val="00983F57"/>
  </w:style>
  <w:style w:type="character" w:customStyle="1" w:styleId="UnresolvedMention6">
    <w:name w:val="Unresolved Mention6"/>
    <w:basedOn w:val="DefaultParagraphFont"/>
    <w:uiPriority w:val="99"/>
    <w:semiHidden/>
    <w:unhideWhenUsed/>
    <w:rsid w:val="00B52FCB"/>
    <w:rPr>
      <w:color w:val="605E5C"/>
      <w:shd w:val="clear" w:color="auto" w:fill="E1DFDD"/>
    </w:rPr>
  </w:style>
  <w:style w:type="character" w:customStyle="1" w:styleId="spellingerror">
    <w:name w:val="spellingerror"/>
    <w:basedOn w:val="DefaultParagraphFont"/>
    <w:rsid w:val="00796C42"/>
  </w:style>
  <w:style w:type="paragraph" w:customStyle="1" w:styleId="MainParanoChapter">
    <w:name w:val="Main Para no Chapter #"/>
    <w:basedOn w:val="Normal"/>
    <w:link w:val="MainParanoChapterChar"/>
    <w:autoRedefine/>
    <w:uiPriority w:val="99"/>
    <w:qFormat/>
    <w:rsid w:val="00F433CC"/>
    <w:pPr>
      <w:spacing w:before="80"/>
    </w:pPr>
    <w:rPr>
      <w:sz w:val="22"/>
      <w:shd w:val="clear" w:color="auto" w:fill="FFFFFF"/>
      <w:lang w:val="en-ZA"/>
    </w:rPr>
  </w:style>
  <w:style w:type="character" w:customStyle="1" w:styleId="MainParanoChapterChar">
    <w:name w:val="Main Para no Chapter # Char"/>
    <w:link w:val="MainParanoChapter"/>
    <w:uiPriority w:val="99"/>
    <w:locked/>
    <w:rsid w:val="00F433CC"/>
    <w:rPr>
      <w:rFonts w:ascii="Times New Roman" w:eastAsia="Times New Roman" w:hAnsi="Times New Roman"/>
      <w:sz w:val="22"/>
      <w:szCs w:val="22"/>
      <w:lang w:val="en-ZA" w:eastAsia="en-GB"/>
    </w:rPr>
  </w:style>
  <w:style w:type="paragraph" w:customStyle="1" w:styleId="CitaviBibliographySubheading8">
    <w:name w:val="Citavi Bibliography Subheading 8"/>
    <w:basedOn w:val="Heading9"/>
    <w:uiPriority w:val="99"/>
    <w:rsid w:val="00F433CC"/>
    <w:pPr>
      <w:framePr w:wrap="around"/>
      <w:numPr>
        <w:numId w:val="20"/>
      </w:numPr>
      <w:outlineLvl w:val="9"/>
    </w:pPr>
    <w:rPr>
      <w:rFonts w:cs="Calibri"/>
      <w:sz w:val="22"/>
      <w:szCs w:val="18"/>
    </w:rPr>
  </w:style>
  <w:style w:type="paragraph" w:customStyle="1" w:styleId="fl">
    <w:name w:val="fl"/>
    <w:basedOn w:val="Normal"/>
    <w:rsid w:val="00E14571"/>
    <w:pPr>
      <w:spacing w:before="100" w:beforeAutospacing="1" w:after="100" w:afterAutospacing="1"/>
    </w:pPr>
  </w:style>
  <w:style w:type="character" w:customStyle="1" w:styleId="red">
    <w:name w:val="red"/>
    <w:basedOn w:val="DefaultParagraphFont"/>
    <w:rsid w:val="00E14571"/>
  </w:style>
  <w:style w:type="paragraph" w:customStyle="1" w:styleId="Styleheading">
    <w:name w:val="Style heading"/>
    <w:basedOn w:val="Normal"/>
    <w:qFormat/>
    <w:rsid w:val="00786093"/>
    <w:pPr>
      <w:spacing w:after="160" w:line="259" w:lineRule="auto"/>
    </w:pPr>
    <w:rPr>
      <w:rFonts w:asciiTheme="minorHAnsi" w:eastAsiaTheme="minorHAnsi" w:hAnsiTheme="minorHAnsi" w:cstheme="minorBidi"/>
      <w:b/>
      <w:sz w:val="22"/>
      <w:szCs w:val="22"/>
      <w:lang w:val="en-US" w:eastAsia="en-US"/>
    </w:rPr>
  </w:style>
  <w:style w:type="character" w:customStyle="1" w:styleId="Mention1">
    <w:name w:val="Mention1"/>
    <w:basedOn w:val="DefaultParagraphFont"/>
    <w:uiPriority w:val="99"/>
    <w:unhideWhenUsed/>
    <w:rsid w:val="00786093"/>
    <w:rPr>
      <w:color w:val="2B579A"/>
      <w:shd w:val="clear" w:color="auto" w:fill="E1DFDD"/>
    </w:rPr>
  </w:style>
  <w:style w:type="table" w:customStyle="1" w:styleId="TableGrid2">
    <w:name w:val="Table Grid2"/>
    <w:basedOn w:val="TableNormal"/>
    <w:next w:val="TableGrid"/>
    <w:uiPriority w:val="39"/>
    <w:rsid w:val="00DC2987"/>
    <w:rPr>
      <w:rFonts w:asciiTheme="minorHAnsi" w:eastAsiaTheme="minorHAnsi" w:hAnsiTheme="minorHAnsi" w:cstheme="minorBidi"/>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39"/>
    <w:rsid w:val="00A42AC4"/>
    <w:rPr>
      <w:rFonts w:ascii="Times New Roman" w:eastAsia="Times New Roman" w:hAnsi="Times New Roman"/>
      <w:sz w:val="20"/>
      <w:szCs w:val="20"/>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ullet10">
    <w:name w:val="Bullet 10"/>
    <w:basedOn w:val="Normal"/>
    <w:rsid w:val="00064F36"/>
    <w:pPr>
      <w:numPr>
        <w:numId w:val="94"/>
      </w:numPr>
      <w:contextualSpacing/>
    </w:pPr>
    <w:rPr>
      <w:rFonts w:eastAsiaTheme="minorHAnsi"/>
      <w:sz w:val="20"/>
      <w:szCs w:val="20"/>
      <w:lang w:val="en-US"/>
    </w:rPr>
  </w:style>
  <w:style w:type="paragraph" w:customStyle="1" w:styleId="xmsonormal">
    <w:name w:val="x_msonormal"/>
    <w:basedOn w:val="Normal"/>
    <w:rsid w:val="00FF55BB"/>
    <w:rPr>
      <w:rFonts w:ascii="Calibri" w:eastAsiaTheme="minorHAnsi" w:hAnsi="Calibri" w:cs="Calibri"/>
      <w:sz w:val="22"/>
      <w:szCs w:val="22"/>
      <w:lang w:val="en-US" w:eastAsia="en-US"/>
    </w:rPr>
  </w:style>
  <w:style w:type="character" w:customStyle="1" w:styleId="UnresolvedMention7">
    <w:name w:val="Unresolved Mention7"/>
    <w:basedOn w:val="DefaultParagraphFont"/>
    <w:uiPriority w:val="99"/>
    <w:unhideWhenUsed/>
    <w:rsid w:val="00B74628"/>
    <w:rPr>
      <w:color w:val="605E5C"/>
      <w:shd w:val="clear" w:color="auto" w:fill="E1DFDD"/>
    </w:rPr>
  </w:style>
  <w:style w:type="character" w:customStyle="1" w:styleId="Mention2">
    <w:name w:val="Mention2"/>
    <w:basedOn w:val="DefaultParagraphFont"/>
    <w:uiPriority w:val="99"/>
    <w:unhideWhenUsed/>
    <w:rsid w:val="00B74628"/>
    <w:rPr>
      <w:color w:val="2B579A"/>
      <w:shd w:val="clear" w:color="auto" w:fill="E1DFDD"/>
    </w:rPr>
  </w:style>
  <w:style w:type="character" w:styleId="UnresolvedMention">
    <w:name w:val="Unresolved Mention"/>
    <w:basedOn w:val="DefaultParagraphFont"/>
    <w:uiPriority w:val="99"/>
    <w:unhideWhenUsed/>
    <w:rsid w:val="004B299A"/>
    <w:rPr>
      <w:color w:val="605E5C"/>
      <w:shd w:val="clear" w:color="auto" w:fill="E1DFDD"/>
    </w:rPr>
  </w:style>
  <w:style w:type="character" w:styleId="Mention">
    <w:name w:val="Mention"/>
    <w:basedOn w:val="DefaultParagraphFont"/>
    <w:uiPriority w:val="99"/>
    <w:unhideWhenUsed/>
    <w:rsid w:val="00166CC0"/>
    <w:rPr>
      <w:color w:val="2B579A"/>
      <w:shd w:val="clear" w:color="auto" w:fill="E1DFDD"/>
    </w:rPr>
  </w:style>
  <w:style w:type="paragraph" w:customStyle="1" w:styleId="xparagraphoed">
    <w:name w:val="x_paragraphoed"/>
    <w:basedOn w:val="Normal"/>
    <w:rsid w:val="00066C93"/>
    <w:rPr>
      <w:rFonts w:ascii="Calibri" w:eastAsiaTheme="minorHAnsi" w:hAnsi="Calibri" w:cs="Calibri"/>
      <w:sz w:val="22"/>
      <w:szCs w:val="22"/>
    </w:rPr>
  </w:style>
  <w:style w:type="character" w:customStyle="1" w:styleId="superscript">
    <w:name w:val="superscript"/>
    <w:basedOn w:val="DefaultParagraphFont"/>
    <w:rsid w:val="00066C93"/>
  </w:style>
  <w:style w:type="character" w:customStyle="1" w:styleId="scxw91214950">
    <w:name w:val="scxw91214950"/>
    <w:basedOn w:val="DefaultParagraphFont"/>
    <w:rsid w:val="00066C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6466168">
      <w:bodyDiv w:val="1"/>
      <w:marLeft w:val="0"/>
      <w:marRight w:val="0"/>
      <w:marTop w:val="0"/>
      <w:marBottom w:val="0"/>
      <w:divBdr>
        <w:top w:val="none" w:sz="0" w:space="0" w:color="auto"/>
        <w:left w:val="none" w:sz="0" w:space="0" w:color="auto"/>
        <w:bottom w:val="none" w:sz="0" w:space="0" w:color="auto"/>
        <w:right w:val="none" w:sz="0" w:space="0" w:color="auto"/>
      </w:divBdr>
    </w:div>
    <w:div w:id="82654937">
      <w:bodyDiv w:val="1"/>
      <w:marLeft w:val="0"/>
      <w:marRight w:val="0"/>
      <w:marTop w:val="0"/>
      <w:marBottom w:val="0"/>
      <w:divBdr>
        <w:top w:val="none" w:sz="0" w:space="0" w:color="auto"/>
        <w:left w:val="none" w:sz="0" w:space="0" w:color="auto"/>
        <w:bottom w:val="none" w:sz="0" w:space="0" w:color="auto"/>
        <w:right w:val="none" w:sz="0" w:space="0" w:color="auto"/>
      </w:divBdr>
    </w:div>
    <w:div w:id="89855322">
      <w:bodyDiv w:val="1"/>
      <w:marLeft w:val="0"/>
      <w:marRight w:val="0"/>
      <w:marTop w:val="0"/>
      <w:marBottom w:val="0"/>
      <w:divBdr>
        <w:top w:val="none" w:sz="0" w:space="0" w:color="auto"/>
        <w:left w:val="none" w:sz="0" w:space="0" w:color="auto"/>
        <w:bottom w:val="none" w:sz="0" w:space="0" w:color="auto"/>
        <w:right w:val="none" w:sz="0" w:space="0" w:color="auto"/>
      </w:divBdr>
    </w:div>
    <w:div w:id="111554388">
      <w:bodyDiv w:val="1"/>
      <w:marLeft w:val="0"/>
      <w:marRight w:val="0"/>
      <w:marTop w:val="0"/>
      <w:marBottom w:val="0"/>
      <w:divBdr>
        <w:top w:val="none" w:sz="0" w:space="0" w:color="auto"/>
        <w:left w:val="none" w:sz="0" w:space="0" w:color="auto"/>
        <w:bottom w:val="none" w:sz="0" w:space="0" w:color="auto"/>
        <w:right w:val="none" w:sz="0" w:space="0" w:color="auto"/>
      </w:divBdr>
      <w:divsChild>
        <w:div w:id="1038355867">
          <w:marLeft w:val="0"/>
          <w:marRight w:val="0"/>
          <w:marTop w:val="0"/>
          <w:marBottom w:val="0"/>
          <w:divBdr>
            <w:top w:val="none" w:sz="0" w:space="0" w:color="auto"/>
            <w:left w:val="none" w:sz="0" w:space="0" w:color="auto"/>
            <w:bottom w:val="none" w:sz="0" w:space="0" w:color="auto"/>
            <w:right w:val="none" w:sz="0" w:space="0" w:color="auto"/>
          </w:divBdr>
          <w:divsChild>
            <w:div w:id="312880476">
              <w:marLeft w:val="0"/>
              <w:marRight w:val="0"/>
              <w:marTop w:val="0"/>
              <w:marBottom w:val="0"/>
              <w:divBdr>
                <w:top w:val="none" w:sz="0" w:space="0" w:color="auto"/>
                <w:left w:val="none" w:sz="0" w:space="0" w:color="auto"/>
                <w:bottom w:val="none" w:sz="0" w:space="0" w:color="auto"/>
                <w:right w:val="none" w:sz="0" w:space="0" w:color="auto"/>
              </w:divBdr>
              <w:divsChild>
                <w:div w:id="534537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523257">
      <w:bodyDiv w:val="1"/>
      <w:marLeft w:val="0"/>
      <w:marRight w:val="0"/>
      <w:marTop w:val="0"/>
      <w:marBottom w:val="0"/>
      <w:divBdr>
        <w:top w:val="none" w:sz="0" w:space="0" w:color="auto"/>
        <w:left w:val="none" w:sz="0" w:space="0" w:color="auto"/>
        <w:bottom w:val="none" w:sz="0" w:space="0" w:color="auto"/>
        <w:right w:val="none" w:sz="0" w:space="0" w:color="auto"/>
      </w:divBdr>
    </w:div>
    <w:div w:id="139202254">
      <w:bodyDiv w:val="1"/>
      <w:marLeft w:val="0"/>
      <w:marRight w:val="0"/>
      <w:marTop w:val="0"/>
      <w:marBottom w:val="0"/>
      <w:divBdr>
        <w:top w:val="none" w:sz="0" w:space="0" w:color="auto"/>
        <w:left w:val="none" w:sz="0" w:space="0" w:color="auto"/>
        <w:bottom w:val="none" w:sz="0" w:space="0" w:color="auto"/>
        <w:right w:val="none" w:sz="0" w:space="0" w:color="auto"/>
      </w:divBdr>
    </w:div>
    <w:div w:id="160856976">
      <w:bodyDiv w:val="1"/>
      <w:marLeft w:val="0"/>
      <w:marRight w:val="0"/>
      <w:marTop w:val="0"/>
      <w:marBottom w:val="0"/>
      <w:divBdr>
        <w:top w:val="none" w:sz="0" w:space="0" w:color="auto"/>
        <w:left w:val="none" w:sz="0" w:space="0" w:color="auto"/>
        <w:bottom w:val="none" w:sz="0" w:space="0" w:color="auto"/>
        <w:right w:val="none" w:sz="0" w:space="0" w:color="auto"/>
      </w:divBdr>
    </w:div>
    <w:div w:id="228611838">
      <w:bodyDiv w:val="1"/>
      <w:marLeft w:val="0"/>
      <w:marRight w:val="0"/>
      <w:marTop w:val="0"/>
      <w:marBottom w:val="0"/>
      <w:divBdr>
        <w:top w:val="none" w:sz="0" w:space="0" w:color="auto"/>
        <w:left w:val="none" w:sz="0" w:space="0" w:color="auto"/>
        <w:bottom w:val="none" w:sz="0" w:space="0" w:color="auto"/>
        <w:right w:val="none" w:sz="0" w:space="0" w:color="auto"/>
      </w:divBdr>
      <w:divsChild>
        <w:div w:id="773787529">
          <w:marLeft w:val="0"/>
          <w:marRight w:val="0"/>
          <w:marTop w:val="0"/>
          <w:marBottom w:val="0"/>
          <w:divBdr>
            <w:top w:val="none" w:sz="0" w:space="0" w:color="auto"/>
            <w:left w:val="none" w:sz="0" w:space="0" w:color="auto"/>
            <w:bottom w:val="none" w:sz="0" w:space="0" w:color="auto"/>
            <w:right w:val="none" w:sz="0" w:space="0" w:color="auto"/>
          </w:divBdr>
          <w:divsChild>
            <w:div w:id="235894553">
              <w:marLeft w:val="0"/>
              <w:marRight w:val="0"/>
              <w:marTop w:val="0"/>
              <w:marBottom w:val="0"/>
              <w:divBdr>
                <w:top w:val="none" w:sz="0" w:space="0" w:color="auto"/>
                <w:left w:val="none" w:sz="0" w:space="0" w:color="auto"/>
                <w:bottom w:val="none" w:sz="0" w:space="0" w:color="auto"/>
                <w:right w:val="none" w:sz="0" w:space="0" w:color="auto"/>
              </w:divBdr>
              <w:divsChild>
                <w:div w:id="1841191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6064946">
      <w:bodyDiv w:val="1"/>
      <w:marLeft w:val="0"/>
      <w:marRight w:val="0"/>
      <w:marTop w:val="0"/>
      <w:marBottom w:val="0"/>
      <w:divBdr>
        <w:top w:val="none" w:sz="0" w:space="0" w:color="auto"/>
        <w:left w:val="none" w:sz="0" w:space="0" w:color="auto"/>
        <w:bottom w:val="none" w:sz="0" w:space="0" w:color="auto"/>
        <w:right w:val="none" w:sz="0" w:space="0" w:color="auto"/>
      </w:divBdr>
    </w:div>
    <w:div w:id="300768992">
      <w:bodyDiv w:val="1"/>
      <w:marLeft w:val="0"/>
      <w:marRight w:val="0"/>
      <w:marTop w:val="0"/>
      <w:marBottom w:val="0"/>
      <w:divBdr>
        <w:top w:val="none" w:sz="0" w:space="0" w:color="auto"/>
        <w:left w:val="none" w:sz="0" w:space="0" w:color="auto"/>
        <w:bottom w:val="none" w:sz="0" w:space="0" w:color="auto"/>
        <w:right w:val="none" w:sz="0" w:space="0" w:color="auto"/>
      </w:divBdr>
      <w:divsChild>
        <w:div w:id="160396444">
          <w:marLeft w:val="806"/>
          <w:marRight w:val="0"/>
          <w:marTop w:val="200"/>
          <w:marBottom w:val="0"/>
          <w:divBdr>
            <w:top w:val="none" w:sz="0" w:space="0" w:color="auto"/>
            <w:left w:val="none" w:sz="0" w:space="0" w:color="auto"/>
            <w:bottom w:val="none" w:sz="0" w:space="0" w:color="auto"/>
            <w:right w:val="none" w:sz="0" w:space="0" w:color="auto"/>
          </w:divBdr>
        </w:div>
        <w:div w:id="655568360">
          <w:marLeft w:val="806"/>
          <w:marRight w:val="0"/>
          <w:marTop w:val="200"/>
          <w:marBottom w:val="0"/>
          <w:divBdr>
            <w:top w:val="none" w:sz="0" w:space="0" w:color="auto"/>
            <w:left w:val="none" w:sz="0" w:space="0" w:color="auto"/>
            <w:bottom w:val="none" w:sz="0" w:space="0" w:color="auto"/>
            <w:right w:val="none" w:sz="0" w:space="0" w:color="auto"/>
          </w:divBdr>
        </w:div>
        <w:div w:id="766656629">
          <w:marLeft w:val="806"/>
          <w:marRight w:val="0"/>
          <w:marTop w:val="200"/>
          <w:marBottom w:val="0"/>
          <w:divBdr>
            <w:top w:val="none" w:sz="0" w:space="0" w:color="auto"/>
            <w:left w:val="none" w:sz="0" w:space="0" w:color="auto"/>
            <w:bottom w:val="none" w:sz="0" w:space="0" w:color="auto"/>
            <w:right w:val="none" w:sz="0" w:space="0" w:color="auto"/>
          </w:divBdr>
        </w:div>
        <w:div w:id="829449006">
          <w:marLeft w:val="806"/>
          <w:marRight w:val="0"/>
          <w:marTop w:val="200"/>
          <w:marBottom w:val="0"/>
          <w:divBdr>
            <w:top w:val="none" w:sz="0" w:space="0" w:color="auto"/>
            <w:left w:val="none" w:sz="0" w:space="0" w:color="auto"/>
            <w:bottom w:val="none" w:sz="0" w:space="0" w:color="auto"/>
            <w:right w:val="none" w:sz="0" w:space="0" w:color="auto"/>
          </w:divBdr>
        </w:div>
        <w:div w:id="1407992594">
          <w:marLeft w:val="806"/>
          <w:marRight w:val="0"/>
          <w:marTop w:val="200"/>
          <w:marBottom w:val="0"/>
          <w:divBdr>
            <w:top w:val="none" w:sz="0" w:space="0" w:color="auto"/>
            <w:left w:val="none" w:sz="0" w:space="0" w:color="auto"/>
            <w:bottom w:val="none" w:sz="0" w:space="0" w:color="auto"/>
            <w:right w:val="none" w:sz="0" w:space="0" w:color="auto"/>
          </w:divBdr>
        </w:div>
      </w:divsChild>
    </w:div>
    <w:div w:id="374693162">
      <w:bodyDiv w:val="1"/>
      <w:marLeft w:val="0"/>
      <w:marRight w:val="0"/>
      <w:marTop w:val="0"/>
      <w:marBottom w:val="0"/>
      <w:divBdr>
        <w:top w:val="none" w:sz="0" w:space="0" w:color="auto"/>
        <w:left w:val="none" w:sz="0" w:space="0" w:color="auto"/>
        <w:bottom w:val="none" w:sz="0" w:space="0" w:color="auto"/>
        <w:right w:val="none" w:sz="0" w:space="0" w:color="auto"/>
      </w:divBdr>
      <w:divsChild>
        <w:div w:id="225653490">
          <w:marLeft w:val="0"/>
          <w:marRight w:val="0"/>
          <w:marTop w:val="0"/>
          <w:marBottom w:val="0"/>
          <w:divBdr>
            <w:top w:val="none" w:sz="0" w:space="0" w:color="auto"/>
            <w:left w:val="none" w:sz="0" w:space="0" w:color="auto"/>
            <w:bottom w:val="none" w:sz="0" w:space="0" w:color="auto"/>
            <w:right w:val="none" w:sz="0" w:space="0" w:color="auto"/>
          </w:divBdr>
        </w:div>
        <w:div w:id="682174300">
          <w:marLeft w:val="0"/>
          <w:marRight w:val="0"/>
          <w:marTop w:val="0"/>
          <w:marBottom w:val="0"/>
          <w:divBdr>
            <w:top w:val="none" w:sz="0" w:space="0" w:color="auto"/>
            <w:left w:val="none" w:sz="0" w:space="0" w:color="auto"/>
            <w:bottom w:val="none" w:sz="0" w:space="0" w:color="auto"/>
            <w:right w:val="none" w:sz="0" w:space="0" w:color="auto"/>
          </w:divBdr>
        </w:div>
      </w:divsChild>
    </w:div>
    <w:div w:id="382410455">
      <w:bodyDiv w:val="1"/>
      <w:marLeft w:val="0"/>
      <w:marRight w:val="0"/>
      <w:marTop w:val="0"/>
      <w:marBottom w:val="0"/>
      <w:divBdr>
        <w:top w:val="none" w:sz="0" w:space="0" w:color="auto"/>
        <w:left w:val="none" w:sz="0" w:space="0" w:color="auto"/>
        <w:bottom w:val="none" w:sz="0" w:space="0" w:color="auto"/>
        <w:right w:val="none" w:sz="0" w:space="0" w:color="auto"/>
      </w:divBdr>
    </w:div>
    <w:div w:id="412044771">
      <w:bodyDiv w:val="1"/>
      <w:marLeft w:val="0"/>
      <w:marRight w:val="0"/>
      <w:marTop w:val="0"/>
      <w:marBottom w:val="0"/>
      <w:divBdr>
        <w:top w:val="none" w:sz="0" w:space="0" w:color="auto"/>
        <w:left w:val="none" w:sz="0" w:space="0" w:color="auto"/>
        <w:bottom w:val="none" w:sz="0" w:space="0" w:color="auto"/>
        <w:right w:val="none" w:sz="0" w:space="0" w:color="auto"/>
      </w:divBdr>
    </w:div>
    <w:div w:id="441850935">
      <w:bodyDiv w:val="1"/>
      <w:marLeft w:val="0"/>
      <w:marRight w:val="0"/>
      <w:marTop w:val="0"/>
      <w:marBottom w:val="0"/>
      <w:divBdr>
        <w:top w:val="none" w:sz="0" w:space="0" w:color="auto"/>
        <w:left w:val="none" w:sz="0" w:space="0" w:color="auto"/>
        <w:bottom w:val="none" w:sz="0" w:space="0" w:color="auto"/>
        <w:right w:val="none" w:sz="0" w:space="0" w:color="auto"/>
      </w:divBdr>
      <w:divsChild>
        <w:div w:id="40330697">
          <w:marLeft w:val="360"/>
          <w:marRight w:val="0"/>
          <w:marTop w:val="200"/>
          <w:marBottom w:val="0"/>
          <w:divBdr>
            <w:top w:val="none" w:sz="0" w:space="0" w:color="auto"/>
            <w:left w:val="none" w:sz="0" w:space="0" w:color="auto"/>
            <w:bottom w:val="none" w:sz="0" w:space="0" w:color="auto"/>
            <w:right w:val="none" w:sz="0" w:space="0" w:color="auto"/>
          </w:divBdr>
        </w:div>
        <w:div w:id="153690876">
          <w:marLeft w:val="360"/>
          <w:marRight w:val="0"/>
          <w:marTop w:val="200"/>
          <w:marBottom w:val="0"/>
          <w:divBdr>
            <w:top w:val="none" w:sz="0" w:space="0" w:color="auto"/>
            <w:left w:val="none" w:sz="0" w:space="0" w:color="auto"/>
            <w:bottom w:val="none" w:sz="0" w:space="0" w:color="auto"/>
            <w:right w:val="none" w:sz="0" w:space="0" w:color="auto"/>
          </w:divBdr>
        </w:div>
        <w:div w:id="270548635">
          <w:marLeft w:val="360"/>
          <w:marRight w:val="0"/>
          <w:marTop w:val="200"/>
          <w:marBottom w:val="0"/>
          <w:divBdr>
            <w:top w:val="none" w:sz="0" w:space="0" w:color="auto"/>
            <w:left w:val="none" w:sz="0" w:space="0" w:color="auto"/>
            <w:bottom w:val="none" w:sz="0" w:space="0" w:color="auto"/>
            <w:right w:val="none" w:sz="0" w:space="0" w:color="auto"/>
          </w:divBdr>
        </w:div>
        <w:div w:id="600643175">
          <w:marLeft w:val="360"/>
          <w:marRight w:val="0"/>
          <w:marTop w:val="200"/>
          <w:marBottom w:val="0"/>
          <w:divBdr>
            <w:top w:val="none" w:sz="0" w:space="0" w:color="auto"/>
            <w:left w:val="none" w:sz="0" w:space="0" w:color="auto"/>
            <w:bottom w:val="none" w:sz="0" w:space="0" w:color="auto"/>
            <w:right w:val="none" w:sz="0" w:space="0" w:color="auto"/>
          </w:divBdr>
        </w:div>
        <w:div w:id="907037698">
          <w:marLeft w:val="360"/>
          <w:marRight w:val="0"/>
          <w:marTop w:val="200"/>
          <w:marBottom w:val="0"/>
          <w:divBdr>
            <w:top w:val="none" w:sz="0" w:space="0" w:color="auto"/>
            <w:left w:val="none" w:sz="0" w:space="0" w:color="auto"/>
            <w:bottom w:val="none" w:sz="0" w:space="0" w:color="auto"/>
            <w:right w:val="none" w:sz="0" w:space="0" w:color="auto"/>
          </w:divBdr>
        </w:div>
        <w:div w:id="1926064107">
          <w:marLeft w:val="360"/>
          <w:marRight w:val="0"/>
          <w:marTop w:val="200"/>
          <w:marBottom w:val="0"/>
          <w:divBdr>
            <w:top w:val="none" w:sz="0" w:space="0" w:color="auto"/>
            <w:left w:val="none" w:sz="0" w:space="0" w:color="auto"/>
            <w:bottom w:val="none" w:sz="0" w:space="0" w:color="auto"/>
            <w:right w:val="none" w:sz="0" w:space="0" w:color="auto"/>
          </w:divBdr>
        </w:div>
      </w:divsChild>
    </w:div>
    <w:div w:id="455803498">
      <w:bodyDiv w:val="1"/>
      <w:marLeft w:val="0"/>
      <w:marRight w:val="0"/>
      <w:marTop w:val="0"/>
      <w:marBottom w:val="0"/>
      <w:divBdr>
        <w:top w:val="none" w:sz="0" w:space="0" w:color="auto"/>
        <w:left w:val="none" w:sz="0" w:space="0" w:color="auto"/>
        <w:bottom w:val="none" w:sz="0" w:space="0" w:color="auto"/>
        <w:right w:val="none" w:sz="0" w:space="0" w:color="auto"/>
      </w:divBdr>
      <w:divsChild>
        <w:div w:id="928003492">
          <w:marLeft w:val="0"/>
          <w:marRight w:val="0"/>
          <w:marTop w:val="0"/>
          <w:marBottom w:val="0"/>
          <w:divBdr>
            <w:top w:val="none" w:sz="0" w:space="0" w:color="auto"/>
            <w:left w:val="none" w:sz="0" w:space="0" w:color="auto"/>
            <w:bottom w:val="none" w:sz="0" w:space="0" w:color="auto"/>
            <w:right w:val="none" w:sz="0" w:space="0" w:color="auto"/>
          </w:divBdr>
        </w:div>
        <w:div w:id="1817186336">
          <w:marLeft w:val="0"/>
          <w:marRight w:val="0"/>
          <w:marTop w:val="0"/>
          <w:marBottom w:val="0"/>
          <w:divBdr>
            <w:top w:val="none" w:sz="0" w:space="0" w:color="auto"/>
            <w:left w:val="none" w:sz="0" w:space="0" w:color="auto"/>
            <w:bottom w:val="none" w:sz="0" w:space="0" w:color="auto"/>
            <w:right w:val="none" w:sz="0" w:space="0" w:color="auto"/>
          </w:divBdr>
        </w:div>
      </w:divsChild>
    </w:div>
    <w:div w:id="482966342">
      <w:bodyDiv w:val="1"/>
      <w:marLeft w:val="0"/>
      <w:marRight w:val="0"/>
      <w:marTop w:val="0"/>
      <w:marBottom w:val="0"/>
      <w:divBdr>
        <w:top w:val="none" w:sz="0" w:space="0" w:color="auto"/>
        <w:left w:val="none" w:sz="0" w:space="0" w:color="auto"/>
        <w:bottom w:val="none" w:sz="0" w:space="0" w:color="auto"/>
        <w:right w:val="none" w:sz="0" w:space="0" w:color="auto"/>
      </w:divBdr>
      <w:divsChild>
        <w:div w:id="933975716">
          <w:marLeft w:val="0"/>
          <w:marRight w:val="0"/>
          <w:marTop w:val="0"/>
          <w:marBottom w:val="0"/>
          <w:divBdr>
            <w:top w:val="single" w:sz="8" w:space="3" w:color="B5C4DF"/>
            <w:left w:val="none" w:sz="0" w:space="0" w:color="auto"/>
            <w:bottom w:val="none" w:sz="0" w:space="0" w:color="auto"/>
            <w:right w:val="none" w:sz="0" w:space="0" w:color="auto"/>
          </w:divBdr>
        </w:div>
        <w:div w:id="1743215780">
          <w:marLeft w:val="0"/>
          <w:marRight w:val="0"/>
          <w:marTop w:val="0"/>
          <w:marBottom w:val="0"/>
          <w:divBdr>
            <w:top w:val="none" w:sz="0" w:space="0" w:color="auto"/>
            <w:left w:val="none" w:sz="0" w:space="0" w:color="auto"/>
            <w:bottom w:val="none" w:sz="0" w:space="0" w:color="auto"/>
            <w:right w:val="none" w:sz="0" w:space="0" w:color="auto"/>
          </w:divBdr>
        </w:div>
        <w:div w:id="2129857881">
          <w:marLeft w:val="0"/>
          <w:marRight w:val="0"/>
          <w:marTop w:val="0"/>
          <w:marBottom w:val="0"/>
          <w:divBdr>
            <w:top w:val="none" w:sz="0" w:space="0" w:color="auto"/>
            <w:left w:val="none" w:sz="0" w:space="0" w:color="auto"/>
            <w:bottom w:val="none" w:sz="0" w:space="0" w:color="auto"/>
            <w:right w:val="none" w:sz="0" w:space="0" w:color="auto"/>
          </w:divBdr>
          <w:divsChild>
            <w:div w:id="297145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5267472">
      <w:bodyDiv w:val="1"/>
      <w:marLeft w:val="0"/>
      <w:marRight w:val="0"/>
      <w:marTop w:val="0"/>
      <w:marBottom w:val="0"/>
      <w:divBdr>
        <w:top w:val="none" w:sz="0" w:space="0" w:color="auto"/>
        <w:left w:val="none" w:sz="0" w:space="0" w:color="auto"/>
        <w:bottom w:val="none" w:sz="0" w:space="0" w:color="auto"/>
        <w:right w:val="none" w:sz="0" w:space="0" w:color="auto"/>
      </w:divBdr>
    </w:div>
    <w:div w:id="524945537">
      <w:bodyDiv w:val="1"/>
      <w:marLeft w:val="0"/>
      <w:marRight w:val="0"/>
      <w:marTop w:val="0"/>
      <w:marBottom w:val="0"/>
      <w:divBdr>
        <w:top w:val="none" w:sz="0" w:space="0" w:color="auto"/>
        <w:left w:val="none" w:sz="0" w:space="0" w:color="auto"/>
        <w:bottom w:val="none" w:sz="0" w:space="0" w:color="auto"/>
        <w:right w:val="none" w:sz="0" w:space="0" w:color="auto"/>
      </w:divBdr>
    </w:div>
    <w:div w:id="567881909">
      <w:bodyDiv w:val="1"/>
      <w:marLeft w:val="0"/>
      <w:marRight w:val="0"/>
      <w:marTop w:val="0"/>
      <w:marBottom w:val="0"/>
      <w:divBdr>
        <w:top w:val="none" w:sz="0" w:space="0" w:color="auto"/>
        <w:left w:val="none" w:sz="0" w:space="0" w:color="auto"/>
        <w:bottom w:val="none" w:sz="0" w:space="0" w:color="auto"/>
        <w:right w:val="none" w:sz="0" w:space="0" w:color="auto"/>
      </w:divBdr>
    </w:div>
    <w:div w:id="630474355">
      <w:bodyDiv w:val="1"/>
      <w:marLeft w:val="0"/>
      <w:marRight w:val="0"/>
      <w:marTop w:val="0"/>
      <w:marBottom w:val="0"/>
      <w:divBdr>
        <w:top w:val="none" w:sz="0" w:space="0" w:color="auto"/>
        <w:left w:val="none" w:sz="0" w:space="0" w:color="auto"/>
        <w:bottom w:val="none" w:sz="0" w:space="0" w:color="auto"/>
        <w:right w:val="none" w:sz="0" w:space="0" w:color="auto"/>
      </w:divBdr>
    </w:div>
    <w:div w:id="634145669">
      <w:bodyDiv w:val="1"/>
      <w:marLeft w:val="0"/>
      <w:marRight w:val="0"/>
      <w:marTop w:val="0"/>
      <w:marBottom w:val="0"/>
      <w:divBdr>
        <w:top w:val="none" w:sz="0" w:space="0" w:color="auto"/>
        <w:left w:val="none" w:sz="0" w:space="0" w:color="auto"/>
        <w:bottom w:val="none" w:sz="0" w:space="0" w:color="auto"/>
        <w:right w:val="none" w:sz="0" w:space="0" w:color="auto"/>
      </w:divBdr>
    </w:div>
    <w:div w:id="645546585">
      <w:bodyDiv w:val="1"/>
      <w:marLeft w:val="0"/>
      <w:marRight w:val="0"/>
      <w:marTop w:val="0"/>
      <w:marBottom w:val="0"/>
      <w:divBdr>
        <w:top w:val="none" w:sz="0" w:space="0" w:color="auto"/>
        <w:left w:val="none" w:sz="0" w:space="0" w:color="auto"/>
        <w:bottom w:val="none" w:sz="0" w:space="0" w:color="auto"/>
        <w:right w:val="none" w:sz="0" w:space="0" w:color="auto"/>
      </w:divBdr>
    </w:div>
    <w:div w:id="669332143">
      <w:bodyDiv w:val="1"/>
      <w:marLeft w:val="0"/>
      <w:marRight w:val="0"/>
      <w:marTop w:val="0"/>
      <w:marBottom w:val="0"/>
      <w:divBdr>
        <w:top w:val="none" w:sz="0" w:space="0" w:color="auto"/>
        <w:left w:val="none" w:sz="0" w:space="0" w:color="auto"/>
        <w:bottom w:val="none" w:sz="0" w:space="0" w:color="auto"/>
        <w:right w:val="none" w:sz="0" w:space="0" w:color="auto"/>
      </w:divBdr>
    </w:div>
    <w:div w:id="687218759">
      <w:bodyDiv w:val="1"/>
      <w:marLeft w:val="0"/>
      <w:marRight w:val="0"/>
      <w:marTop w:val="0"/>
      <w:marBottom w:val="0"/>
      <w:divBdr>
        <w:top w:val="none" w:sz="0" w:space="0" w:color="auto"/>
        <w:left w:val="none" w:sz="0" w:space="0" w:color="auto"/>
        <w:bottom w:val="none" w:sz="0" w:space="0" w:color="auto"/>
        <w:right w:val="none" w:sz="0" w:space="0" w:color="auto"/>
      </w:divBdr>
    </w:div>
    <w:div w:id="696585857">
      <w:bodyDiv w:val="1"/>
      <w:marLeft w:val="0"/>
      <w:marRight w:val="0"/>
      <w:marTop w:val="0"/>
      <w:marBottom w:val="0"/>
      <w:divBdr>
        <w:top w:val="none" w:sz="0" w:space="0" w:color="auto"/>
        <w:left w:val="none" w:sz="0" w:space="0" w:color="auto"/>
        <w:bottom w:val="none" w:sz="0" w:space="0" w:color="auto"/>
        <w:right w:val="none" w:sz="0" w:space="0" w:color="auto"/>
      </w:divBdr>
    </w:div>
    <w:div w:id="721442505">
      <w:bodyDiv w:val="1"/>
      <w:marLeft w:val="0"/>
      <w:marRight w:val="0"/>
      <w:marTop w:val="0"/>
      <w:marBottom w:val="0"/>
      <w:divBdr>
        <w:top w:val="none" w:sz="0" w:space="0" w:color="auto"/>
        <w:left w:val="none" w:sz="0" w:space="0" w:color="auto"/>
        <w:bottom w:val="none" w:sz="0" w:space="0" w:color="auto"/>
        <w:right w:val="none" w:sz="0" w:space="0" w:color="auto"/>
      </w:divBdr>
    </w:div>
    <w:div w:id="735781229">
      <w:bodyDiv w:val="1"/>
      <w:marLeft w:val="0"/>
      <w:marRight w:val="0"/>
      <w:marTop w:val="0"/>
      <w:marBottom w:val="0"/>
      <w:divBdr>
        <w:top w:val="none" w:sz="0" w:space="0" w:color="auto"/>
        <w:left w:val="none" w:sz="0" w:space="0" w:color="auto"/>
        <w:bottom w:val="none" w:sz="0" w:space="0" w:color="auto"/>
        <w:right w:val="none" w:sz="0" w:space="0" w:color="auto"/>
      </w:divBdr>
    </w:div>
    <w:div w:id="777066618">
      <w:bodyDiv w:val="1"/>
      <w:marLeft w:val="0"/>
      <w:marRight w:val="0"/>
      <w:marTop w:val="0"/>
      <w:marBottom w:val="0"/>
      <w:divBdr>
        <w:top w:val="none" w:sz="0" w:space="0" w:color="auto"/>
        <w:left w:val="none" w:sz="0" w:space="0" w:color="auto"/>
        <w:bottom w:val="none" w:sz="0" w:space="0" w:color="auto"/>
        <w:right w:val="none" w:sz="0" w:space="0" w:color="auto"/>
      </w:divBdr>
      <w:divsChild>
        <w:div w:id="1220553562">
          <w:marLeft w:val="0"/>
          <w:marRight w:val="0"/>
          <w:marTop w:val="0"/>
          <w:marBottom w:val="0"/>
          <w:divBdr>
            <w:top w:val="none" w:sz="0" w:space="0" w:color="auto"/>
            <w:left w:val="none" w:sz="0" w:space="0" w:color="auto"/>
            <w:bottom w:val="none" w:sz="0" w:space="0" w:color="auto"/>
            <w:right w:val="none" w:sz="0" w:space="0" w:color="auto"/>
          </w:divBdr>
          <w:divsChild>
            <w:div w:id="560679740">
              <w:marLeft w:val="0"/>
              <w:marRight w:val="0"/>
              <w:marTop w:val="0"/>
              <w:marBottom w:val="0"/>
              <w:divBdr>
                <w:top w:val="none" w:sz="0" w:space="0" w:color="auto"/>
                <w:left w:val="none" w:sz="0" w:space="0" w:color="auto"/>
                <w:bottom w:val="none" w:sz="0" w:space="0" w:color="auto"/>
                <w:right w:val="none" w:sz="0" w:space="0" w:color="auto"/>
              </w:divBdr>
              <w:divsChild>
                <w:div w:id="15910834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7476170">
      <w:bodyDiv w:val="1"/>
      <w:marLeft w:val="0"/>
      <w:marRight w:val="0"/>
      <w:marTop w:val="0"/>
      <w:marBottom w:val="0"/>
      <w:divBdr>
        <w:top w:val="none" w:sz="0" w:space="0" w:color="auto"/>
        <w:left w:val="none" w:sz="0" w:space="0" w:color="auto"/>
        <w:bottom w:val="none" w:sz="0" w:space="0" w:color="auto"/>
        <w:right w:val="none" w:sz="0" w:space="0" w:color="auto"/>
      </w:divBdr>
    </w:div>
    <w:div w:id="844051486">
      <w:bodyDiv w:val="1"/>
      <w:marLeft w:val="0"/>
      <w:marRight w:val="0"/>
      <w:marTop w:val="0"/>
      <w:marBottom w:val="0"/>
      <w:divBdr>
        <w:top w:val="none" w:sz="0" w:space="0" w:color="auto"/>
        <w:left w:val="none" w:sz="0" w:space="0" w:color="auto"/>
        <w:bottom w:val="none" w:sz="0" w:space="0" w:color="auto"/>
        <w:right w:val="none" w:sz="0" w:space="0" w:color="auto"/>
      </w:divBdr>
    </w:div>
    <w:div w:id="863906668">
      <w:bodyDiv w:val="1"/>
      <w:marLeft w:val="0"/>
      <w:marRight w:val="0"/>
      <w:marTop w:val="0"/>
      <w:marBottom w:val="0"/>
      <w:divBdr>
        <w:top w:val="none" w:sz="0" w:space="0" w:color="auto"/>
        <w:left w:val="none" w:sz="0" w:space="0" w:color="auto"/>
        <w:bottom w:val="none" w:sz="0" w:space="0" w:color="auto"/>
        <w:right w:val="none" w:sz="0" w:space="0" w:color="auto"/>
      </w:divBdr>
    </w:div>
    <w:div w:id="895047478">
      <w:bodyDiv w:val="1"/>
      <w:marLeft w:val="0"/>
      <w:marRight w:val="0"/>
      <w:marTop w:val="0"/>
      <w:marBottom w:val="0"/>
      <w:divBdr>
        <w:top w:val="none" w:sz="0" w:space="0" w:color="auto"/>
        <w:left w:val="none" w:sz="0" w:space="0" w:color="auto"/>
        <w:bottom w:val="none" w:sz="0" w:space="0" w:color="auto"/>
        <w:right w:val="none" w:sz="0" w:space="0" w:color="auto"/>
      </w:divBdr>
    </w:div>
    <w:div w:id="957223441">
      <w:bodyDiv w:val="1"/>
      <w:marLeft w:val="0"/>
      <w:marRight w:val="0"/>
      <w:marTop w:val="0"/>
      <w:marBottom w:val="0"/>
      <w:divBdr>
        <w:top w:val="none" w:sz="0" w:space="0" w:color="auto"/>
        <w:left w:val="none" w:sz="0" w:space="0" w:color="auto"/>
        <w:bottom w:val="none" w:sz="0" w:space="0" w:color="auto"/>
        <w:right w:val="none" w:sz="0" w:space="0" w:color="auto"/>
      </w:divBdr>
    </w:div>
    <w:div w:id="978148870">
      <w:bodyDiv w:val="1"/>
      <w:marLeft w:val="0"/>
      <w:marRight w:val="0"/>
      <w:marTop w:val="0"/>
      <w:marBottom w:val="0"/>
      <w:divBdr>
        <w:top w:val="none" w:sz="0" w:space="0" w:color="auto"/>
        <w:left w:val="none" w:sz="0" w:space="0" w:color="auto"/>
        <w:bottom w:val="none" w:sz="0" w:space="0" w:color="auto"/>
        <w:right w:val="none" w:sz="0" w:space="0" w:color="auto"/>
      </w:divBdr>
    </w:div>
    <w:div w:id="1067920011">
      <w:bodyDiv w:val="1"/>
      <w:marLeft w:val="0"/>
      <w:marRight w:val="0"/>
      <w:marTop w:val="0"/>
      <w:marBottom w:val="0"/>
      <w:divBdr>
        <w:top w:val="none" w:sz="0" w:space="0" w:color="auto"/>
        <w:left w:val="none" w:sz="0" w:space="0" w:color="auto"/>
        <w:bottom w:val="none" w:sz="0" w:space="0" w:color="auto"/>
        <w:right w:val="none" w:sz="0" w:space="0" w:color="auto"/>
      </w:divBdr>
      <w:divsChild>
        <w:div w:id="1123035304">
          <w:marLeft w:val="0"/>
          <w:marRight w:val="0"/>
          <w:marTop w:val="0"/>
          <w:marBottom w:val="0"/>
          <w:divBdr>
            <w:top w:val="none" w:sz="0" w:space="0" w:color="auto"/>
            <w:left w:val="none" w:sz="0" w:space="0" w:color="auto"/>
            <w:bottom w:val="none" w:sz="0" w:space="0" w:color="auto"/>
            <w:right w:val="none" w:sz="0" w:space="0" w:color="auto"/>
          </w:divBdr>
          <w:divsChild>
            <w:div w:id="1178732830">
              <w:marLeft w:val="0"/>
              <w:marRight w:val="0"/>
              <w:marTop w:val="0"/>
              <w:marBottom w:val="0"/>
              <w:divBdr>
                <w:top w:val="none" w:sz="0" w:space="0" w:color="auto"/>
                <w:left w:val="none" w:sz="0" w:space="0" w:color="auto"/>
                <w:bottom w:val="none" w:sz="0" w:space="0" w:color="auto"/>
                <w:right w:val="none" w:sz="0" w:space="0" w:color="auto"/>
              </w:divBdr>
              <w:divsChild>
                <w:div w:id="1624996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5783657">
      <w:bodyDiv w:val="1"/>
      <w:marLeft w:val="0"/>
      <w:marRight w:val="0"/>
      <w:marTop w:val="0"/>
      <w:marBottom w:val="0"/>
      <w:divBdr>
        <w:top w:val="none" w:sz="0" w:space="0" w:color="auto"/>
        <w:left w:val="none" w:sz="0" w:space="0" w:color="auto"/>
        <w:bottom w:val="none" w:sz="0" w:space="0" w:color="auto"/>
        <w:right w:val="none" w:sz="0" w:space="0" w:color="auto"/>
      </w:divBdr>
    </w:div>
    <w:div w:id="1089543079">
      <w:bodyDiv w:val="1"/>
      <w:marLeft w:val="0"/>
      <w:marRight w:val="0"/>
      <w:marTop w:val="0"/>
      <w:marBottom w:val="0"/>
      <w:divBdr>
        <w:top w:val="none" w:sz="0" w:space="0" w:color="auto"/>
        <w:left w:val="none" w:sz="0" w:space="0" w:color="auto"/>
        <w:bottom w:val="none" w:sz="0" w:space="0" w:color="auto"/>
        <w:right w:val="none" w:sz="0" w:space="0" w:color="auto"/>
      </w:divBdr>
    </w:div>
    <w:div w:id="1105230437">
      <w:bodyDiv w:val="1"/>
      <w:marLeft w:val="0"/>
      <w:marRight w:val="0"/>
      <w:marTop w:val="0"/>
      <w:marBottom w:val="0"/>
      <w:divBdr>
        <w:top w:val="none" w:sz="0" w:space="0" w:color="auto"/>
        <w:left w:val="none" w:sz="0" w:space="0" w:color="auto"/>
        <w:bottom w:val="none" w:sz="0" w:space="0" w:color="auto"/>
        <w:right w:val="none" w:sz="0" w:space="0" w:color="auto"/>
      </w:divBdr>
    </w:div>
    <w:div w:id="1116952018">
      <w:bodyDiv w:val="1"/>
      <w:marLeft w:val="0"/>
      <w:marRight w:val="0"/>
      <w:marTop w:val="0"/>
      <w:marBottom w:val="0"/>
      <w:divBdr>
        <w:top w:val="none" w:sz="0" w:space="0" w:color="auto"/>
        <w:left w:val="none" w:sz="0" w:space="0" w:color="auto"/>
        <w:bottom w:val="none" w:sz="0" w:space="0" w:color="auto"/>
        <w:right w:val="none" w:sz="0" w:space="0" w:color="auto"/>
      </w:divBdr>
    </w:div>
    <w:div w:id="1123496833">
      <w:bodyDiv w:val="1"/>
      <w:marLeft w:val="0"/>
      <w:marRight w:val="0"/>
      <w:marTop w:val="0"/>
      <w:marBottom w:val="0"/>
      <w:divBdr>
        <w:top w:val="none" w:sz="0" w:space="0" w:color="auto"/>
        <w:left w:val="none" w:sz="0" w:space="0" w:color="auto"/>
        <w:bottom w:val="none" w:sz="0" w:space="0" w:color="auto"/>
        <w:right w:val="none" w:sz="0" w:space="0" w:color="auto"/>
      </w:divBdr>
    </w:div>
    <w:div w:id="1123964679">
      <w:bodyDiv w:val="1"/>
      <w:marLeft w:val="0"/>
      <w:marRight w:val="0"/>
      <w:marTop w:val="0"/>
      <w:marBottom w:val="0"/>
      <w:divBdr>
        <w:top w:val="none" w:sz="0" w:space="0" w:color="auto"/>
        <w:left w:val="none" w:sz="0" w:space="0" w:color="auto"/>
        <w:bottom w:val="none" w:sz="0" w:space="0" w:color="auto"/>
        <w:right w:val="none" w:sz="0" w:space="0" w:color="auto"/>
      </w:divBdr>
    </w:div>
    <w:div w:id="1129200648">
      <w:bodyDiv w:val="1"/>
      <w:marLeft w:val="0"/>
      <w:marRight w:val="0"/>
      <w:marTop w:val="0"/>
      <w:marBottom w:val="0"/>
      <w:divBdr>
        <w:top w:val="none" w:sz="0" w:space="0" w:color="auto"/>
        <w:left w:val="none" w:sz="0" w:space="0" w:color="auto"/>
        <w:bottom w:val="none" w:sz="0" w:space="0" w:color="auto"/>
        <w:right w:val="none" w:sz="0" w:space="0" w:color="auto"/>
      </w:divBdr>
      <w:divsChild>
        <w:div w:id="1610509488">
          <w:marLeft w:val="0"/>
          <w:marRight w:val="0"/>
          <w:marTop w:val="0"/>
          <w:marBottom w:val="0"/>
          <w:divBdr>
            <w:top w:val="none" w:sz="0" w:space="0" w:color="auto"/>
            <w:left w:val="none" w:sz="0" w:space="0" w:color="auto"/>
            <w:bottom w:val="none" w:sz="0" w:space="0" w:color="auto"/>
            <w:right w:val="none" w:sz="0" w:space="0" w:color="auto"/>
          </w:divBdr>
        </w:div>
        <w:div w:id="1878739976">
          <w:marLeft w:val="0"/>
          <w:marRight w:val="0"/>
          <w:marTop w:val="0"/>
          <w:marBottom w:val="0"/>
          <w:divBdr>
            <w:top w:val="none" w:sz="0" w:space="0" w:color="auto"/>
            <w:left w:val="none" w:sz="0" w:space="0" w:color="auto"/>
            <w:bottom w:val="none" w:sz="0" w:space="0" w:color="auto"/>
            <w:right w:val="none" w:sz="0" w:space="0" w:color="auto"/>
          </w:divBdr>
        </w:div>
      </w:divsChild>
    </w:div>
    <w:div w:id="1174370385">
      <w:bodyDiv w:val="1"/>
      <w:marLeft w:val="0"/>
      <w:marRight w:val="0"/>
      <w:marTop w:val="0"/>
      <w:marBottom w:val="0"/>
      <w:divBdr>
        <w:top w:val="none" w:sz="0" w:space="0" w:color="auto"/>
        <w:left w:val="none" w:sz="0" w:space="0" w:color="auto"/>
        <w:bottom w:val="none" w:sz="0" w:space="0" w:color="auto"/>
        <w:right w:val="none" w:sz="0" w:space="0" w:color="auto"/>
      </w:divBdr>
    </w:div>
    <w:div w:id="1189562928">
      <w:bodyDiv w:val="1"/>
      <w:marLeft w:val="0"/>
      <w:marRight w:val="0"/>
      <w:marTop w:val="0"/>
      <w:marBottom w:val="0"/>
      <w:divBdr>
        <w:top w:val="none" w:sz="0" w:space="0" w:color="auto"/>
        <w:left w:val="none" w:sz="0" w:space="0" w:color="auto"/>
        <w:bottom w:val="none" w:sz="0" w:space="0" w:color="auto"/>
        <w:right w:val="none" w:sz="0" w:space="0" w:color="auto"/>
      </w:divBdr>
    </w:div>
    <w:div w:id="1239368125">
      <w:bodyDiv w:val="1"/>
      <w:marLeft w:val="0"/>
      <w:marRight w:val="0"/>
      <w:marTop w:val="0"/>
      <w:marBottom w:val="0"/>
      <w:divBdr>
        <w:top w:val="none" w:sz="0" w:space="0" w:color="auto"/>
        <w:left w:val="none" w:sz="0" w:space="0" w:color="auto"/>
        <w:bottom w:val="none" w:sz="0" w:space="0" w:color="auto"/>
        <w:right w:val="none" w:sz="0" w:space="0" w:color="auto"/>
      </w:divBdr>
      <w:divsChild>
        <w:div w:id="1149397749">
          <w:marLeft w:val="0"/>
          <w:marRight w:val="0"/>
          <w:marTop w:val="0"/>
          <w:marBottom w:val="0"/>
          <w:divBdr>
            <w:top w:val="none" w:sz="0" w:space="0" w:color="auto"/>
            <w:left w:val="none" w:sz="0" w:space="0" w:color="auto"/>
            <w:bottom w:val="none" w:sz="0" w:space="0" w:color="auto"/>
            <w:right w:val="none" w:sz="0" w:space="0" w:color="auto"/>
          </w:divBdr>
        </w:div>
        <w:div w:id="1796364473">
          <w:marLeft w:val="0"/>
          <w:marRight w:val="0"/>
          <w:marTop w:val="0"/>
          <w:marBottom w:val="0"/>
          <w:divBdr>
            <w:top w:val="none" w:sz="0" w:space="0" w:color="auto"/>
            <w:left w:val="none" w:sz="0" w:space="0" w:color="auto"/>
            <w:bottom w:val="none" w:sz="0" w:space="0" w:color="auto"/>
            <w:right w:val="none" w:sz="0" w:space="0" w:color="auto"/>
          </w:divBdr>
        </w:div>
      </w:divsChild>
    </w:div>
    <w:div w:id="1249459107">
      <w:bodyDiv w:val="1"/>
      <w:marLeft w:val="0"/>
      <w:marRight w:val="0"/>
      <w:marTop w:val="0"/>
      <w:marBottom w:val="0"/>
      <w:divBdr>
        <w:top w:val="none" w:sz="0" w:space="0" w:color="auto"/>
        <w:left w:val="none" w:sz="0" w:space="0" w:color="auto"/>
        <w:bottom w:val="none" w:sz="0" w:space="0" w:color="auto"/>
        <w:right w:val="none" w:sz="0" w:space="0" w:color="auto"/>
      </w:divBdr>
    </w:div>
    <w:div w:id="1265578520">
      <w:bodyDiv w:val="1"/>
      <w:marLeft w:val="0"/>
      <w:marRight w:val="0"/>
      <w:marTop w:val="0"/>
      <w:marBottom w:val="0"/>
      <w:divBdr>
        <w:top w:val="none" w:sz="0" w:space="0" w:color="auto"/>
        <w:left w:val="none" w:sz="0" w:space="0" w:color="auto"/>
        <w:bottom w:val="none" w:sz="0" w:space="0" w:color="auto"/>
        <w:right w:val="none" w:sz="0" w:space="0" w:color="auto"/>
      </w:divBdr>
      <w:divsChild>
        <w:div w:id="165633968">
          <w:marLeft w:val="547"/>
          <w:marRight w:val="0"/>
          <w:marTop w:val="0"/>
          <w:marBottom w:val="0"/>
          <w:divBdr>
            <w:top w:val="none" w:sz="0" w:space="0" w:color="auto"/>
            <w:left w:val="none" w:sz="0" w:space="0" w:color="auto"/>
            <w:bottom w:val="none" w:sz="0" w:space="0" w:color="auto"/>
            <w:right w:val="none" w:sz="0" w:space="0" w:color="auto"/>
          </w:divBdr>
        </w:div>
        <w:div w:id="221061469">
          <w:marLeft w:val="547"/>
          <w:marRight w:val="0"/>
          <w:marTop w:val="0"/>
          <w:marBottom w:val="0"/>
          <w:divBdr>
            <w:top w:val="none" w:sz="0" w:space="0" w:color="auto"/>
            <w:left w:val="none" w:sz="0" w:space="0" w:color="auto"/>
            <w:bottom w:val="none" w:sz="0" w:space="0" w:color="auto"/>
            <w:right w:val="none" w:sz="0" w:space="0" w:color="auto"/>
          </w:divBdr>
        </w:div>
        <w:div w:id="442771667">
          <w:marLeft w:val="547"/>
          <w:marRight w:val="0"/>
          <w:marTop w:val="0"/>
          <w:marBottom w:val="0"/>
          <w:divBdr>
            <w:top w:val="none" w:sz="0" w:space="0" w:color="auto"/>
            <w:left w:val="none" w:sz="0" w:space="0" w:color="auto"/>
            <w:bottom w:val="none" w:sz="0" w:space="0" w:color="auto"/>
            <w:right w:val="none" w:sz="0" w:space="0" w:color="auto"/>
          </w:divBdr>
        </w:div>
        <w:div w:id="616647375">
          <w:marLeft w:val="547"/>
          <w:marRight w:val="0"/>
          <w:marTop w:val="0"/>
          <w:marBottom w:val="0"/>
          <w:divBdr>
            <w:top w:val="none" w:sz="0" w:space="0" w:color="auto"/>
            <w:left w:val="none" w:sz="0" w:space="0" w:color="auto"/>
            <w:bottom w:val="none" w:sz="0" w:space="0" w:color="auto"/>
            <w:right w:val="none" w:sz="0" w:space="0" w:color="auto"/>
          </w:divBdr>
        </w:div>
        <w:div w:id="762802732">
          <w:marLeft w:val="547"/>
          <w:marRight w:val="0"/>
          <w:marTop w:val="0"/>
          <w:marBottom w:val="0"/>
          <w:divBdr>
            <w:top w:val="none" w:sz="0" w:space="0" w:color="auto"/>
            <w:left w:val="none" w:sz="0" w:space="0" w:color="auto"/>
            <w:bottom w:val="none" w:sz="0" w:space="0" w:color="auto"/>
            <w:right w:val="none" w:sz="0" w:space="0" w:color="auto"/>
          </w:divBdr>
        </w:div>
        <w:div w:id="766468111">
          <w:marLeft w:val="547"/>
          <w:marRight w:val="0"/>
          <w:marTop w:val="0"/>
          <w:marBottom w:val="0"/>
          <w:divBdr>
            <w:top w:val="none" w:sz="0" w:space="0" w:color="auto"/>
            <w:left w:val="none" w:sz="0" w:space="0" w:color="auto"/>
            <w:bottom w:val="none" w:sz="0" w:space="0" w:color="auto"/>
            <w:right w:val="none" w:sz="0" w:space="0" w:color="auto"/>
          </w:divBdr>
        </w:div>
        <w:div w:id="1147362412">
          <w:marLeft w:val="547"/>
          <w:marRight w:val="0"/>
          <w:marTop w:val="0"/>
          <w:marBottom w:val="0"/>
          <w:divBdr>
            <w:top w:val="none" w:sz="0" w:space="0" w:color="auto"/>
            <w:left w:val="none" w:sz="0" w:space="0" w:color="auto"/>
            <w:bottom w:val="none" w:sz="0" w:space="0" w:color="auto"/>
            <w:right w:val="none" w:sz="0" w:space="0" w:color="auto"/>
          </w:divBdr>
        </w:div>
        <w:div w:id="1488983448">
          <w:marLeft w:val="547"/>
          <w:marRight w:val="0"/>
          <w:marTop w:val="0"/>
          <w:marBottom w:val="0"/>
          <w:divBdr>
            <w:top w:val="none" w:sz="0" w:space="0" w:color="auto"/>
            <w:left w:val="none" w:sz="0" w:space="0" w:color="auto"/>
            <w:bottom w:val="none" w:sz="0" w:space="0" w:color="auto"/>
            <w:right w:val="none" w:sz="0" w:space="0" w:color="auto"/>
          </w:divBdr>
        </w:div>
      </w:divsChild>
    </w:div>
    <w:div w:id="1313556867">
      <w:bodyDiv w:val="1"/>
      <w:marLeft w:val="0"/>
      <w:marRight w:val="0"/>
      <w:marTop w:val="0"/>
      <w:marBottom w:val="0"/>
      <w:divBdr>
        <w:top w:val="none" w:sz="0" w:space="0" w:color="auto"/>
        <w:left w:val="none" w:sz="0" w:space="0" w:color="auto"/>
        <w:bottom w:val="none" w:sz="0" w:space="0" w:color="auto"/>
        <w:right w:val="none" w:sz="0" w:space="0" w:color="auto"/>
      </w:divBdr>
    </w:div>
    <w:div w:id="1325475233">
      <w:bodyDiv w:val="1"/>
      <w:marLeft w:val="0"/>
      <w:marRight w:val="0"/>
      <w:marTop w:val="0"/>
      <w:marBottom w:val="0"/>
      <w:divBdr>
        <w:top w:val="none" w:sz="0" w:space="0" w:color="auto"/>
        <w:left w:val="none" w:sz="0" w:space="0" w:color="auto"/>
        <w:bottom w:val="none" w:sz="0" w:space="0" w:color="auto"/>
        <w:right w:val="none" w:sz="0" w:space="0" w:color="auto"/>
      </w:divBdr>
    </w:div>
    <w:div w:id="1328555244">
      <w:bodyDiv w:val="1"/>
      <w:marLeft w:val="0"/>
      <w:marRight w:val="0"/>
      <w:marTop w:val="0"/>
      <w:marBottom w:val="0"/>
      <w:divBdr>
        <w:top w:val="none" w:sz="0" w:space="0" w:color="auto"/>
        <w:left w:val="none" w:sz="0" w:space="0" w:color="auto"/>
        <w:bottom w:val="none" w:sz="0" w:space="0" w:color="auto"/>
        <w:right w:val="none" w:sz="0" w:space="0" w:color="auto"/>
      </w:divBdr>
    </w:div>
    <w:div w:id="1353920163">
      <w:bodyDiv w:val="1"/>
      <w:marLeft w:val="0"/>
      <w:marRight w:val="0"/>
      <w:marTop w:val="0"/>
      <w:marBottom w:val="0"/>
      <w:divBdr>
        <w:top w:val="none" w:sz="0" w:space="0" w:color="auto"/>
        <w:left w:val="none" w:sz="0" w:space="0" w:color="auto"/>
        <w:bottom w:val="none" w:sz="0" w:space="0" w:color="auto"/>
        <w:right w:val="none" w:sz="0" w:space="0" w:color="auto"/>
      </w:divBdr>
    </w:div>
    <w:div w:id="1354377710">
      <w:bodyDiv w:val="1"/>
      <w:marLeft w:val="0"/>
      <w:marRight w:val="0"/>
      <w:marTop w:val="0"/>
      <w:marBottom w:val="0"/>
      <w:divBdr>
        <w:top w:val="none" w:sz="0" w:space="0" w:color="auto"/>
        <w:left w:val="none" w:sz="0" w:space="0" w:color="auto"/>
        <w:bottom w:val="none" w:sz="0" w:space="0" w:color="auto"/>
        <w:right w:val="none" w:sz="0" w:space="0" w:color="auto"/>
      </w:divBdr>
    </w:div>
    <w:div w:id="1476949882">
      <w:bodyDiv w:val="1"/>
      <w:marLeft w:val="0"/>
      <w:marRight w:val="0"/>
      <w:marTop w:val="0"/>
      <w:marBottom w:val="0"/>
      <w:divBdr>
        <w:top w:val="none" w:sz="0" w:space="0" w:color="auto"/>
        <w:left w:val="none" w:sz="0" w:space="0" w:color="auto"/>
        <w:bottom w:val="none" w:sz="0" w:space="0" w:color="auto"/>
        <w:right w:val="none" w:sz="0" w:space="0" w:color="auto"/>
      </w:divBdr>
    </w:div>
    <w:div w:id="1485733721">
      <w:bodyDiv w:val="1"/>
      <w:marLeft w:val="0"/>
      <w:marRight w:val="0"/>
      <w:marTop w:val="0"/>
      <w:marBottom w:val="0"/>
      <w:divBdr>
        <w:top w:val="none" w:sz="0" w:space="0" w:color="auto"/>
        <w:left w:val="none" w:sz="0" w:space="0" w:color="auto"/>
        <w:bottom w:val="none" w:sz="0" w:space="0" w:color="auto"/>
        <w:right w:val="none" w:sz="0" w:space="0" w:color="auto"/>
      </w:divBdr>
    </w:div>
    <w:div w:id="1487163553">
      <w:bodyDiv w:val="1"/>
      <w:marLeft w:val="0"/>
      <w:marRight w:val="0"/>
      <w:marTop w:val="0"/>
      <w:marBottom w:val="0"/>
      <w:divBdr>
        <w:top w:val="none" w:sz="0" w:space="0" w:color="auto"/>
        <w:left w:val="none" w:sz="0" w:space="0" w:color="auto"/>
        <w:bottom w:val="none" w:sz="0" w:space="0" w:color="auto"/>
        <w:right w:val="none" w:sz="0" w:space="0" w:color="auto"/>
      </w:divBdr>
    </w:div>
    <w:div w:id="1537817818">
      <w:bodyDiv w:val="1"/>
      <w:marLeft w:val="0"/>
      <w:marRight w:val="0"/>
      <w:marTop w:val="0"/>
      <w:marBottom w:val="0"/>
      <w:divBdr>
        <w:top w:val="none" w:sz="0" w:space="0" w:color="auto"/>
        <w:left w:val="none" w:sz="0" w:space="0" w:color="auto"/>
        <w:bottom w:val="none" w:sz="0" w:space="0" w:color="auto"/>
        <w:right w:val="none" w:sz="0" w:space="0" w:color="auto"/>
      </w:divBdr>
    </w:div>
    <w:div w:id="1553231777">
      <w:bodyDiv w:val="1"/>
      <w:marLeft w:val="0"/>
      <w:marRight w:val="0"/>
      <w:marTop w:val="0"/>
      <w:marBottom w:val="0"/>
      <w:divBdr>
        <w:top w:val="none" w:sz="0" w:space="0" w:color="auto"/>
        <w:left w:val="none" w:sz="0" w:space="0" w:color="auto"/>
        <w:bottom w:val="none" w:sz="0" w:space="0" w:color="auto"/>
        <w:right w:val="none" w:sz="0" w:space="0" w:color="auto"/>
      </w:divBdr>
      <w:divsChild>
        <w:div w:id="474835597">
          <w:marLeft w:val="360"/>
          <w:marRight w:val="0"/>
          <w:marTop w:val="200"/>
          <w:marBottom w:val="0"/>
          <w:divBdr>
            <w:top w:val="none" w:sz="0" w:space="0" w:color="auto"/>
            <w:left w:val="none" w:sz="0" w:space="0" w:color="auto"/>
            <w:bottom w:val="none" w:sz="0" w:space="0" w:color="auto"/>
            <w:right w:val="none" w:sz="0" w:space="0" w:color="auto"/>
          </w:divBdr>
        </w:div>
        <w:div w:id="496771222">
          <w:marLeft w:val="360"/>
          <w:marRight w:val="0"/>
          <w:marTop w:val="200"/>
          <w:marBottom w:val="0"/>
          <w:divBdr>
            <w:top w:val="none" w:sz="0" w:space="0" w:color="auto"/>
            <w:left w:val="none" w:sz="0" w:space="0" w:color="auto"/>
            <w:bottom w:val="none" w:sz="0" w:space="0" w:color="auto"/>
            <w:right w:val="none" w:sz="0" w:space="0" w:color="auto"/>
          </w:divBdr>
        </w:div>
        <w:div w:id="591088340">
          <w:marLeft w:val="360"/>
          <w:marRight w:val="0"/>
          <w:marTop w:val="200"/>
          <w:marBottom w:val="0"/>
          <w:divBdr>
            <w:top w:val="none" w:sz="0" w:space="0" w:color="auto"/>
            <w:left w:val="none" w:sz="0" w:space="0" w:color="auto"/>
            <w:bottom w:val="none" w:sz="0" w:space="0" w:color="auto"/>
            <w:right w:val="none" w:sz="0" w:space="0" w:color="auto"/>
          </w:divBdr>
        </w:div>
        <w:div w:id="618881376">
          <w:marLeft w:val="360"/>
          <w:marRight w:val="0"/>
          <w:marTop w:val="200"/>
          <w:marBottom w:val="0"/>
          <w:divBdr>
            <w:top w:val="none" w:sz="0" w:space="0" w:color="auto"/>
            <w:left w:val="none" w:sz="0" w:space="0" w:color="auto"/>
            <w:bottom w:val="none" w:sz="0" w:space="0" w:color="auto"/>
            <w:right w:val="none" w:sz="0" w:space="0" w:color="auto"/>
          </w:divBdr>
        </w:div>
        <w:div w:id="1242374909">
          <w:marLeft w:val="360"/>
          <w:marRight w:val="0"/>
          <w:marTop w:val="200"/>
          <w:marBottom w:val="0"/>
          <w:divBdr>
            <w:top w:val="none" w:sz="0" w:space="0" w:color="auto"/>
            <w:left w:val="none" w:sz="0" w:space="0" w:color="auto"/>
            <w:bottom w:val="none" w:sz="0" w:space="0" w:color="auto"/>
            <w:right w:val="none" w:sz="0" w:space="0" w:color="auto"/>
          </w:divBdr>
        </w:div>
        <w:div w:id="1457018171">
          <w:marLeft w:val="360"/>
          <w:marRight w:val="0"/>
          <w:marTop w:val="200"/>
          <w:marBottom w:val="0"/>
          <w:divBdr>
            <w:top w:val="none" w:sz="0" w:space="0" w:color="auto"/>
            <w:left w:val="none" w:sz="0" w:space="0" w:color="auto"/>
            <w:bottom w:val="none" w:sz="0" w:space="0" w:color="auto"/>
            <w:right w:val="none" w:sz="0" w:space="0" w:color="auto"/>
          </w:divBdr>
        </w:div>
      </w:divsChild>
    </w:div>
    <w:div w:id="1637636800">
      <w:bodyDiv w:val="1"/>
      <w:marLeft w:val="0"/>
      <w:marRight w:val="0"/>
      <w:marTop w:val="0"/>
      <w:marBottom w:val="0"/>
      <w:divBdr>
        <w:top w:val="none" w:sz="0" w:space="0" w:color="auto"/>
        <w:left w:val="none" w:sz="0" w:space="0" w:color="auto"/>
        <w:bottom w:val="none" w:sz="0" w:space="0" w:color="auto"/>
        <w:right w:val="none" w:sz="0" w:space="0" w:color="auto"/>
      </w:divBdr>
    </w:div>
    <w:div w:id="1661887556">
      <w:bodyDiv w:val="1"/>
      <w:marLeft w:val="0"/>
      <w:marRight w:val="0"/>
      <w:marTop w:val="0"/>
      <w:marBottom w:val="0"/>
      <w:divBdr>
        <w:top w:val="none" w:sz="0" w:space="0" w:color="auto"/>
        <w:left w:val="none" w:sz="0" w:space="0" w:color="auto"/>
        <w:bottom w:val="none" w:sz="0" w:space="0" w:color="auto"/>
        <w:right w:val="none" w:sz="0" w:space="0" w:color="auto"/>
      </w:divBdr>
    </w:div>
    <w:div w:id="1718359904">
      <w:bodyDiv w:val="1"/>
      <w:marLeft w:val="0"/>
      <w:marRight w:val="0"/>
      <w:marTop w:val="0"/>
      <w:marBottom w:val="0"/>
      <w:divBdr>
        <w:top w:val="none" w:sz="0" w:space="0" w:color="auto"/>
        <w:left w:val="none" w:sz="0" w:space="0" w:color="auto"/>
        <w:bottom w:val="none" w:sz="0" w:space="0" w:color="auto"/>
        <w:right w:val="none" w:sz="0" w:space="0" w:color="auto"/>
      </w:divBdr>
    </w:div>
    <w:div w:id="1748569846">
      <w:bodyDiv w:val="1"/>
      <w:marLeft w:val="0"/>
      <w:marRight w:val="0"/>
      <w:marTop w:val="0"/>
      <w:marBottom w:val="0"/>
      <w:divBdr>
        <w:top w:val="none" w:sz="0" w:space="0" w:color="auto"/>
        <w:left w:val="none" w:sz="0" w:space="0" w:color="auto"/>
        <w:bottom w:val="none" w:sz="0" w:space="0" w:color="auto"/>
        <w:right w:val="none" w:sz="0" w:space="0" w:color="auto"/>
      </w:divBdr>
    </w:div>
    <w:div w:id="1753432401">
      <w:bodyDiv w:val="1"/>
      <w:marLeft w:val="0"/>
      <w:marRight w:val="0"/>
      <w:marTop w:val="0"/>
      <w:marBottom w:val="0"/>
      <w:divBdr>
        <w:top w:val="none" w:sz="0" w:space="0" w:color="auto"/>
        <w:left w:val="none" w:sz="0" w:space="0" w:color="auto"/>
        <w:bottom w:val="none" w:sz="0" w:space="0" w:color="auto"/>
        <w:right w:val="none" w:sz="0" w:space="0" w:color="auto"/>
      </w:divBdr>
    </w:div>
    <w:div w:id="1756900629">
      <w:bodyDiv w:val="1"/>
      <w:marLeft w:val="0"/>
      <w:marRight w:val="0"/>
      <w:marTop w:val="0"/>
      <w:marBottom w:val="0"/>
      <w:divBdr>
        <w:top w:val="none" w:sz="0" w:space="0" w:color="auto"/>
        <w:left w:val="none" w:sz="0" w:space="0" w:color="auto"/>
        <w:bottom w:val="none" w:sz="0" w:space="0" w:color="auto"/>
        <w:right w:val="none" w:sz="0" w:space="0" w:color="auto"/>
      </w:divBdr>
    </w:div>
    <w:div w:id="1782531891">
      <w:bodyDiv w:val="1"/>
      <w:marLeft w:val="0"/>
      <w:marRight w:val="0"/>
      <w:marTop w:val="0"/>
      <w:marBottom w:val="0"/>
      <w:divBdr>
        <w:top w:val="none" w:sz="0" w:space="0" w:color="auto"/>
        <w:left w:val="none" w:sz="0" w:space="0" w:color="auto"/>
        <w:bottom w:val="none" w:sz="0" w:space="0" w:color="auto"/>
        <w:right w:val="none" w:sz="0" w:space="0" w:color="auto"/>
      </w:divBdr>
    </w:div>
    <w:div w:id="1865945007">
      <w:bodyDiv w:val="1"/>
      <w:marLeft w:val="0"/>
      <w:marRight w:val="0"/>
      <w:marTop w:val="0"/>
      <w:marBottom w:val="0"/>
      <w:divBdr>
        <w:top w:val="none" w:sz="0" w:space="0" w:color="auto"/>
        <w:left w:val="none" w:sz="0" w:space="0" w:color="auto"/>
        <w:bottom w:val="none" w:sz="0" w:space="0" w:color="auto"/>
        <w:right w:val="none" w:sz="0" w:space="0" w:color="auto"/>
      </w:divBdr>
    </w:div>
    <w:div w:id="1988853455">
      <w:bodyDiv w:val="1"/>
      <w:marLeft w:val="0"/>
      <w:marRight w:val="0"/>
      <w:marTop w:val="0"/>
      <w:marBottom w:val="0"/>
      <w:divBdr>
        <w:top w:val="none" w:sz="0" w:space="0" w:color="auto"/>
        <w:left w:val="none" w:sz="0" w:space="0" w:color="auto"/>
        <w:bottom w:val="none" w:sz="0" w:space="0" w:color="auto"/>
        <w:right w:val="none" w:sz="0" w:space="0" w:color="auto"/>
      </w:divBdr>
    </w:div>
    <w:div w:id="2004896905">
      <w:bodyDiv w:val="1"/>
      <w:marLeft w:val="0"/>
      <w:marRight w:val="0"/>
      <w:marTop w:val="0"/>
      <w:marBottom w:val="0"/>
      <w:divBdr>
        <w:top w:val="none" w:sz="0" w:space="0" w:color="auto"/>
        <w:left w:val="none" w:sz="0" w:space="0" w:color="auto"/>
        <w:bottom w:val="none" w:sz="0" w:space="0" w:color="auto"/>
        <w:right w:val="none" w:sz="0" w:space="0" w:color="auto"/>
      </w:divBdr>
    </w:div>
    <w:div w:id="2049403373">
      <w:bodyDiv w:val="1"/>
      <w:marLeft w:val="0"/>
      <w:marRight w:val="0"/>
      <w:marTop w:val="0"/>
      <w:marBottom w:val="0"/>
      <w:divBdr>
        <w:top w:val="none" w:sz="0" w:space="0" w:color="auto"/>
        <w:left w:val="none" w:sz="0" w:space="0" w:color="auto"/>
        <w:bottom w:val="none" w:sz="0" w:space="0" w:color="auto"/>
        <w:right w:val="none" w:sz="0" w:space="0" w:color="auto"/>
      </w:divBdr>
    </w:div>
    <w:div w:id="2065980532">
      <w:bodyDiv w:val="1"/>
      <w:marLeft w:val="0"/>
      <w:marRight w:val="0"/>
      <w:marTop w:val="0"/>
      <w:marBottom w:val="0"/>
      <w:divBdr>
        <w:top w:val="none" w:sz="0" w:space="0" w:color="auto"/>
        <w:left w:val="none" w:sz="0" w:space="0" w:color="auto"/>
        <w:bottom w:val="none" w:sz="0" w:space="0" w:color="auto"/>
        <w:right w:val="none" w:sz="0" w:space="0" w:color="auto"/>
      </w:divBdr>
    </w:div>
    <w:div w:id="2071031823">
      <w:bodyDiv w:val="1"/>
      <w:marLeft w:val="0"/>
      <w:marRight w:val="0"/>
      <w:marTop w:val="0"/>
      <w:marBottom w:val="0"/>
      <w:divBdr>
        <w:top w:val="none" w:sz="0" w:space="0" w:color="auto"/>
        <w:left w:val="none" w:sz="0" w:space="0" w:color="auto"/>
        <w:bottom w:val="none" w:sz="0" w:space="0" w:color="auto"/>
        <w:right w:val="none" w:sz="0" w:space="0" w:color="auto"/>
      </w:divBdr>
    </w:div>
    <w:div w:id="2084984648">
      <w:bodyDiv w:val="1"/>
      <w:marLeft w:val="0"/>
      <w:marRight w:val="0"/>
      <w:marTop w:val="0"/>
      <w:marBottom w:val="0"/>
      <w:divBdr>
        <w:top w:val="none" w:sz="0" w:space="0" w:color="auto"/>
        <w:left w:val="none" w:sz="0" w:space="0" w:color="auto"/>
        <w:bottom w:val="none" w:sz="0" w:space="0" w:color="auto"/>
        <w:right w:val="none" w:sz="0" w:space="0" w:color="auto"/>
      </w:divBdr>
    </w:div>
    <w:div w:id="2120029352">
      <w:bodyDiv w:val="1"/>
      <w:marLeft w:val="0"/>
      <w:marRight w:val="0"/>
      <w:marTop w:val="0"/>
      <w:marBottom w:val="0"/>
      <w:divBdr>
        <w:top w:val="none" w:sz="0" w:space="0" w:color="auto"/>
        <w:left w:val="none" w:sz="0" w:space="0" w:color="auto"/>
        <w:bottom w:val="none" w:sz="0" w:space="0" w:color="auto"/>
        <w:right w:val="none" w:sz="0" w:space="0" w:color="auto"/>
      </w:divBdr>
    </w:div>
  </w:divs>
  <w:encoding w:val="macintosh"/>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eader" Target="header45.xml"/><Relationship Id="rId21" Type="http://schemas.openxmlformats.org/officeDocument/2006/relationships/header" Target="header8.xml"/><Relationship Id="rId42" Type="http://schemas.openxmlformats.org/officeDocument/2006/relationships/hyperlink" Target="https://eg.uc.pt/bitstream/10316/43567/1/filipa%20final%20.pdf" TargetMode="External"/><Relationship Id="rId63" Type="http://schemas.openxmlformats.org/officeDocument/2006/relationships/hyperlink" Target="https://www2.unccd.int/sites/default/files/documents/2017-08/LDN_CF_report_web-english.pdf" TargetMode="External"/><Relationship Id="rId84" Type="http://schemas.openxmlformats.org/officeDocument/2006/relationships/hyperlink" Target="https://www.google.com/maps/d/drive?state=%7B%22ids%22%3A%5B%221OXvhAkyjHRwmldxM0Nw9i-YMlJg971ro%22%5D%2C%22action%22%3A%22open%22%2C%22userId%22%3A%22106738669738003159890%22%7D&amp;usp=sharing" TargetMode="External"/><Relationship Id="rId138" Type="http://schemas.openxmlformats.org/officeDocument/2006/relationships/header" Target="header54.xml"/><Relationship Id="rId107" Type="http://schemas.openxmlformats.org/officeDocument/2006/relationships/header" Target="header36.xml"/><Relationship Id="rId11" Type="http://schemas.openxmlformats.org/officeDocument/2006/relationships/image" Target="media/image1.jpg"/><Relationship Id="rId32" Type="http://schemas.openxmlformats.org/officeDocument/2006/relationships/image" Target="media/image10.JPG"/><Relationship Id="rId37" Type="http://schemas.openxmlformats.org/officeDocument/2006/relationships/image" Target="media/image14.png"/><Relationship Id="rId53" Type="http://schemas.openxmlformats.org/officeDocument/2006/relationships/header" Target="header12.xml"/><Relationship Id="rId58" Type="http://schemas.openxmlformats.org/officeDocument/2006/relationships/image" Target="media/image23.png"/><Relationship Id="rId74" Type="http://schemas.openxmlformats.org/officeDocument/2006/relationships/header" Target="header22.xml"/><Relationship Id="rId79" Type="http://schemas.openxmlformats.org/officeDocument/2006/relationships/image" Target="media/image30.png"/><Relationship Id="rId102" Type="http://schemas.openxmlformats.org/officeDocument/2006/relationships/header" Target="header32.xml"/><Relationship Id="rId123" Type="http://schemas.openxmlformats.org/officeDocument/2006/relationships/header" Target="header49.xml"/><Relationship Id="rId128" Type="http://schemas.openxmlformats.org/officeDocument/2006/relationships/header" Target="header52.xml"/><Relationship Id="rId5" Type="http://schemas.openxmlformats.org/officeDocument/2006/relationships/numbering" Target="numbering.xml"/><Relationship Id="rId90" Type="http://schemas.openxmlformats.org/officeDocument/2006/relationships/header" Target="header23.xml"/><Relationship Id="rId95" Type="http://schemas.openxmlformats.org/officeDocument/2006/relationships/header" Target="header28.xml"/><Relationship Id="rId22" Type="http://schemas.openxmlformats.org/officeDocument/2006/relationships/header" Target="header9.xml"/><Relationship Id="rId27" Type="http://schemas.openxmlformats.org/officeDocument/2006/relationships/image" Target="media/image5.JPG"/><Relationship Id="rId43" Type="http://schemas.openxmlformats.org/officeDocument/2006/relationships/hyperlink" Target="https://www.afdb.org/fileadmin/uploads/afdb/Documents/Project-and-Operations/ADB-BD-IF-2008-210-EN-ANGOLA-COUNTRY-GENDER-PROFILE.PDF" TargetMode="External"/><Relationship Id="rId48" Type="http://schemas.openxmlformats.org/officeDocument/2006/relationships/image" Target="media/image19.jpg"/><Relationship Id="rId64" Type="http://schemas.openxmlformats.org/officeDocument/2006/relationships/hyperlink" Target="https://www.thegef.org/sites/default/files/council-meeting-documents/EN_GEF.STAP_.C.57.Inf_.03_Guidelines%20for%20the%20application%20of%20the%20Scientific%20Conceptual%20Framework%20for%20LDN.pdf" TargetMode="External"/><Relationship Id="rId69" Type="http://schemas.openxmlformats.org/officeDocument/2006/relationships/header" Target="header17.xml"/><Relationship Id="rId113" Type="http://schemas.openxmlformats.org/officeDocument/2006/relationships/header" Target="header41.xml"/><Relationship Id="rId118" Type="http://schemas.openxmlformats.org/officeDocument/2006/relationships/header" Target="header46.xml"/><Relationship Id="rId134" Type="http://schemas.openxmlformats.org/officeDocument/2006/relationships/hyperlink" Target="https://drive.google.com/file/d/1pG0r8V7UzfMHTpOWREZwTihr6HOZSgw7/view?usp=sharing" TargetMode="External"/><Relationship Id="rId139" Type="http://schemas.openxmlformats.org/officeDocument/2006/relationships/footer" Target="footer2.xml"/><Relationship Id="rId80" Type="http://schemas.openxmlformats.org/officeDocument/2006/relationships/hyperlink" Target="http://www.fao.org/3/ca9064en/ca9064en.pdf" TargetMode="External"/><Relationship Id="rId85" Type="http://schemas.openxmlformats.org/officeDocument/2006/relationships/image" Target="media/image34.jpeg"/><Relationship Id="rId12" Type="http://schemas.openxmlformats.org/officeDocument/2006/relationships/image" Target="media/image2.jpg"/><Relationship Id="rId17" Type="http://schemas.openxmlformats.org/officeDocument/2006/relationships/header" Target="header4.xml"/><Relationship Id="rId33" Type="http://schemas.openxmlformats.org/officeDocument/2006/relationships/image" Target="media/image11.JPG"/><Relationship Id="rId38" Type="http://schemas.openxmlformats.org/officeDocument/2006/relationships/image" Target="media/image15.jpeg"/><Relationship Id="rId59" Type="http://schemas.openxmlformats.org/officeDocument/2006/relationships/hyperlink" Target="https://outlook.live.com/mail/0/inbox/id/AQMkADAwATExAGRjNy00YzMyLTI0ZjgtMDACLTAwCgBGAAADoo2qoR28DEqS%2FhhDhqy1oQcAKeUHnGjnS0sAlf%2FD6jE7%2BFEAAAIBDAAAACnlB5xo50tLAJX%2Fw%2BoxO%2FhRAARja5NMAAAA" TargetMode="External"/><Relationship Id="rId103" Type="http://schemas.openxmlformats.org/officeDocument/2006/relationships/header" Target="header33.xml"/><Relationship Id="rId108" Type="http://schemas.openxmlformats.org/officeDocument/2006/relationships/header" Target="header37.xml"/><Relationship Id="rId124" Type="http://schemas.openxmlformats.org/officeDocument/2006/relationships/hyperlink" Target="https://drive.google.com/file/d/1RN_MC0NV3N3Oqu06GteCSqfkWBJDfKk1/view?usp=sharing" TargetMode="External"/><Relationship Id="rId129" Type="http://schemas.openxmlformats.org/officeDocument/2006/relationships/image" Target="media/image41.png"/><Relationship Id="rId54" Type="http://schemas.openxmlformats.org/officeDocument/2006/relationships/header" Target="header13.xml"/><Relationship Id="rId70" Type="http://schemas.openxmlformats.org/officeDocument/2006/relationships/header" Target="header18.xml"/><Relationship Id="rId75" Type="http://schemas.openxmlformats.org/officeDocument/2006/relationships/image" Target="media/image26.jpg"/><Relationship Id="rId91" Type="http://schemas.openxmlformats.org/officeDocument/2006/relationships/header" Target="header24.xml"/><Relationship Id="rId96" Type="http://schemas.openxmlformats.org/officeDocument/2006/relationships/header" Target="header29.xml"/><Relationship Id="rId140" Type="http://schemas.openxmlformats.org/officeDocument/2006/relationships/header" Target="header55.xml"/><Relationship Id="rId1" Type="http://schemas.openxmlformats.org/officeDocument/2006/relationships/customXml" Target="../customXml/item1.xml"/><Relationship Id="rId6" Type="http://schemas.openxmlformats.org/officeDocument/2006/relationships/styles" Target="styles.xml"/><Relationship Id="rId23" Type="http://schemas.openxmlformats.org/officeDocument/2006/relationships/header" Target="header10.xml"/><Relationship Id="rId28" Type="http://schemas.openxmlformats.org/officeDocument/2006/relationships/image" Target="media/image6.png"/><Relationship Id="rId49" Type="http://schemas.openxmlformats.org/officeDocument/2006/relationships/image" Target="media/image20.jpg"/><Relationship Id="rId114" Type="http://schemas.openxmlformats.org/officeDocument/2006/relationships/header" Target="header42.xml"/><Relationship Id="rId119" Type="http://schemas.openxmlformats.org/officeDocument/2006/relationships/hyperlink" Target="mailto:FAO-AO@fao.org" TargetMode="External"/><Relationship Id="rId44" Type="http://schemas.openxmlformats.org/officeDocument/2006/relationships/hyperlink" Target="http://www.fao.org/gender-landrights-database/country-profiles/countries-list/civilsocietyorganizations/pt/?country_iso3=AGO" TargetMode="External"/><Relationship Id="rId60" Type="http://schemas.openxmlformats.org/officeDocument/2006/relationships/hyperlink" Target="http://www.fao.org/3/ca9064en/ca9064en.pdf" TargetMode="External"/><Relationship Id="rId65" Type="http://schemas.openxmlformats.org/officeDocument/2006/relationships/hyperlink" Target="https://archive.ipcc.ch/ipccreports/sres/land_use/index.php?idp=98" TargetMode="External"/><Relationship Id="rId81" Type="http://schemas.openxmlformats.org/officeDocument/2006/relationships/image" Target="media/image31.jpg"/><Relationship Id="rId86" Type="http://schemas.openxmlformats.org/officeDocument/2006/relationships/image" Target="media/image35.jpeg"/><Relationship Id="rId130" Type="http://schemas.openxmlformats.org/officeDocument/2006/relationships/hyperlink" Target="https://drive.google.com/file/d/1tT8LF45ccBXlnVc3t5ZG9lscQQcClPY9/view?usp=sharing" TargetMode="External"/><Relationship Id="rId135" Type="http://schemas.openxmlformats.org/officeDocument/2006/relationships/hyperlink" Target="https://drive.google.com/file/d/1ps5eLY8jNe2s9tDN83WqcWf5-oPQgDDW/view?usp=sharing" TargetMode="External"/><Relationship Id="rId13" Type="http://schemas.openxmlformats.org/officeDocument/2006/relationships/header" Target="header1.xml"/><Relationship Id="rId18" Type="http://schemas.openxmlformats.org/officeDocument/2006/relationships/header" Target="header5.xml"/><Relationship Id="rId39" Type="http://schemas.openxmlformats.org/officeDocument/2006/relationships/hyperlink" Target="https://knowledge.unccd.int/home/country-information/countries-having-set-voluntary-ldn-targets/angola" TargetMode="External"/><Relationship Id="rId109" Type="http://schemas.openxmlformats.org/officeDocument/2006/relationships/header" Target="header38.xml"/><Relationship Id="rId34" Type="http://schemas.openxmlformats.org/officeDocument/2006/relationships/hyperlink" Target="https://earthmap.org/" TargetMode="External"/><Relationship Id="rId50" Type="http://schemas.openxmlformats.org/officeDocument/2006/relationships/image" Target="media/image21.png"/><Relationship Id="rId55" Type="http://schemas.openxmlformats.org/officeDocument/2006/relationships/header" Target="header14.xml"/><Relationship Id="rId76" Type="http://schemas.openxmlformats.org/officeDocument/2006/relationships/image" Target="media/image27.png"/><Relationship Id="rId97" Type="http://schemas.openxmlformats.org/officeDocument/2006/relationships/header" Target="header30.xml"/><Relationship Id="rId104" Type="http://schemas.openxmlformats.org/officeDocument/2006/relationships/header" Target="header34.xml"/><Relationship Id="rId120" Type="http://schemas.openxmlformats.org/officeDocument/2006/relationships/hyperlink" Target="https://drive.google.com/file/d/1_8DmKLMwatMV2_YY-glz_7hRhj83n5Nt/view?usp=sharing" TargetMode="External"/><Relationship Id="rId125" Type="http://schemas.openxmlformats.org/officeDocument/2006/relationships/hyperlink" Target="https://drive.google.com/file/d/1Q7wSvtPEGk55ZW_bqJVspf6nozzqGGfA/view?usp=sharing" TargetMode="External"/><Relationship Id="rId141" Type="http://schemas.openxmlformats.org/officeDocument/2006/relationships/fontTable" Target="fontTable.xml"/><Relationship Id="rId7" Type="http://schemas.openxmlformats.org/officeDocument/2006/relationships/settings" Target="settings.xml"/><Relationship Id="rId71" Type="http://schemas.openxmlformats.org/officeDocument/2006/relationships/header" Target="header19.xml"/><Relationship Id="rId92" Type="http://schemas.openxmlformats.org/officeDocument/2006/relationships/header" Target="header25.xml"/><Relationship Id="rId2" Type="http://schemas.openxmlformats.org/officeDocument/2006/relationships/customXml" Target="../customXml/item2.xml"/><Relationship Id="rId29" Type="http://schemas.openxmlformats.org/officeDocument/2006/relationships/image" Target="media/image7.jpg"/><Relationship Id="rId24" Type="http://schemas.openxmlformats.org/officeDocument/2006/relationships/image" Target="media/image3.jpeg"/><Relationship Id="rId40" Type="http://schemas.openxmlformats.org/officeDocument/2006/relationships/hyperlink" Target="https://knowledge.unccd.int/sites/default/files/ldn_targets/2019-11/Republic%20of%20Angola%20LDN%20Country%20Commitments.pdf" TargetMode="External"/><Relationship Id="rId45" Type="http://schemas.openxmlformats.org/officeDocument/2006/relationships/hyperlink" Target="http://www.unfcc.int" TargetMode="External"/><Relationship Id="rId66" Type="http://schemas.openxmlformats.org/officeDocument/2006/relationships/hyperlink" Target="https://archive.ipcc.ch/ipccreports/sres/land_use/index.php?idp=163" TargetMode="External"/><Relationship Id="rId87" Type="http://schemas.openxmlformats.org/officeDocument/2006/relationships/image" Target="media/image36.png"/><Relationship Id="rId110" Type="http://schemas.openxmlformats.org/officeDocument/2006/relationships/header" Target="header39.xml"/><Relationship Id="rId115" Type="http://schemas.openxmlformats.org/officeDocument/2006/relationships/header" Target="header43.xml"/><Relationship Id="rId131" Type="http://schemas.openxmlformats.org/officeDocument/2006/relationships/hyperlink" Target="https://drive.google.com/file/d/1LbvcSGXrJCCx10AmRdk8J8wwqklL7Kfe/view?usp=sharing" TargetMode="External"/><Relationship Id="rId136" Type="http://schemas.openxmlformats.org/officeDocument/2006/relationships/hyperlink" Target="https://drive.google.com/file/d/1oYZcLA7SDb3Bh_5OqdIodfrGs5cfqLB5/view?usp=sharing" TargetMode="External"/><Relationship Id="rId61" Type="http://schemas.openxmlformats.org/officeDocument/2006/relationships/hyperlink" Target="https://info.undp.org/docs/pdc/Documents/AGO/ENAC%202018-2030_14082017.pdf" TargetMode="External"/><Relationship Id="rId82" Type="http://schemas.openxmlformats.org/officeDocument/2006/relationships/image" Target="media/image32.jpeg"/><Relationship Id="rId19" Type="http://schemas.openxmlformats.org/officeDocument/2006/relationships/header" Target="header6.xml"/><Relationship Id="rId14" Type="http://schemas.openxmlformats.org/officeDocument/2006/relationships/footer" Target="footer1.xml"/><Relationship Id="rId30" Type="http://schemas.openxmlformats.org/officeDocument/2006/relationships/image" Target="media/image8.jpeg"/><Relationship Id="rId35" Type="http://schemas.openxmlformats.org/officeDocument/2006/relationships/image" Target="media/image12.jpg"/><Relationship Id="rId56" Type="http://schemas.openxmlformats.org/officeDocument/2006/relationships/header" Target="header15.xml"/><Relationship Id="rId77" Type="http://schemas.openxmlformats.org/officeDocument/2006/relationships/image" Target="media/image28.jpg"/><Relationship Id="rId100" Type="http://schemas.openxmlformats.org/officeDocument/2006/relationships/hyperlink" Target="https://drive.google.com/file/d/1Ng-VWBnviBbLVHTxccbN4msvHWUSnrOy/view?usp=sharing" TargetMode="External"/><Relationship Id="rId105" Type="http://schemas.openxmlformats.org/officeDocument/2006/relationships/hyperlink" Target="https://drive.google.com/file/d/1Eg9O7L3nq9fRqbIA5mx9Gdf0sJreAVmm/view?usp=sharing" TargetMode="External"/><Relationship Id="rId126" Type="http://schemas.openxmlformats.org/officeDocument/2006/relationships/header" Target="header50.xml"/><Relationship Id="rId8" Type="http://schemas.openxmlformats.org/officeDocument/2006/relationships/webSettings" Target="webSettings.xml"/><Relationship Id="rId51" Type="http://schemas.openxmlformats.org/officeDocument/2006/relationships/image" Target="media/image22.jpg"/><Relationship Id="rId72" Type="http://schemas.openxmlformats.org/officeDocument/2006/relationships/header" Target="header20.xml"/><Relationship Id="rId93" Type="http://schemas.openxmlformats.org/officeDocument/2006/relationships/header" Target="header26.xml"/><Relationship Id="rId98" Type="http://schemas.openxmlformats.org/officeDocument/2006/relationships/header" Target="header31.xml"/><Relationship Id="rId121" Type="http://schemas.openxmlformats.org/officeDocument/2006/relationships/header" Target="header47.xml"/><Relationship Id="rId142" Type="http://schemas.openxmlformats.org/officeDocument/2006/relationships/theme" Target="theme/theme1.xml"/><Relationship Id="rId3" Type="http://schemas.openxmlformats.org/officeDocument/2006/relationships/customXml" Target="../customXml/item3.xml"/><Relationship Id="rId25" Type="http://schemas.openxmlformats.org/officeDocument/2006/relationships/image" Target="media/image4.jpeg"/><Relationship Id="rId46" Type="http://schemas.openxmlformats.org/officeDocument/2006/relationships/image" Target="media/image17.png"/><Relationship Id="rId67" Type="http://schemas.openxmlformats.org/officeDocument/2006/relationships/hyperlink" Target="https://drive.google.com/file/d/1rVXgVypEJr4ZGCJV8IbsgNGnH1H1XADX/view?usp=sharing" TargetMode="External"/><Relationship Id="rId116" Type="http://schemas.openxmlformats.org/officeDocument/2006/relationships/header" Target="header44.xml"/><Relationship Id="rId137" Type="http://schemas.openxmlformats.org/officeDocument/2006/relationships/header" Target="header53.xml"/><Relationship Id="rId20" Type="http://schemas.openxmlformats.org/officeDocument/2006/relationships/header" Target="header7.xml"/><Relationship Id="rId41" Type="http://schemas.openxmlformats.org/officeDocument/2006/relationships/image" Target="media/image16.png"/><Relationship Id="rId62" Type="http://schemas.openxmlformats.org/officeDocument/2006/relationships/image" Target="media/image24.jpg"/><Relationship Id="rId83" Type="http://schemas.openxmlformats.org/officeDocument/2006/relationships/image" Target="media/image33.jpg"/><Relationship Id="rId88" Type="http://schemas.openxmlformats.org/officeDocument/2006/relationships/hyperlink" Target="http://www.fao.org/docrep/017/i3205e/i3205e.pdf" TargetMode="External"/><Relationship Id="rId111" Type="http://schemas.openxmlformats.org/officeDocument/2006/relationships/header" Target="header40.xml"/><Relationship Id="rId132" Type="http://schemas.openxmlformats.org/officeDocument/2006/relationships/hyperlink" Target="https://drive.google.com/file/d/1ak9P2cWqpCmdr2rxwicN34pIFQVwUePL/view?usp=sharing" TargetMode="External"/><Relationship Id="rId15" Type="http://schemas.openxmlformats.org/officeDocument/2006/relationships/header" Target="header2.xml"/><Relationship Id="rId36" Type="http://schemas.openxmlformats.org/officeDocument/2006/relationships/image" Target="media/image13.JPG"/><Relationship Id="rId57" Type="http://schemas.openxmlformats.org/officeDocument/2006/relationships/header" Target="header16.xml"/><Relationship Id="rId106" Type="http://schemas.openxmlformats.org/officeDocument/2006/relationships/header" Target="header35.xml"/><Relationship Id="rId127" Type="http://schemas.openxmlformats.org/officeDocument/2006/relationships/header" Target="header51.xml"/><Relationship Id="rId10" Type="http://schemas.openxmlformats.org/officeDocument/2006/relationships/endnotes" Target="endnotes.xml"/><Relationship Id="rId31" Type="http://schemas.openxmlformats.org/officeDocument/2006/relationships/image" Target="media/image9.png"/><Relationship Id="rId52" Type="http://schemas.openxmlformats.org/officeDocument/2006/relationships/header" Target="header11.xml"/><Relationship Id="rId73" Type="http://schemas.openxmlformats.org/officeDocument/2006/relationships/header" Target="header21.xml"/><Relationship Id="rId78" Type="http://schemas.openxmlformats.org/officeDocument/2006/relationships/image" Target="media/image29.png"/><Relationship Id="rId94" Type="http://schemas.openxmlformats.org/officeDocument/2006/relationships/header" Target="header27.xml"/><Relationship Id="rId99" Type="http://schemas.openxmlformats.org/officeDocument/2006/relationships/image" Target="media/image38.png"/><Relationship Id="rId101" Type="http://schemas.openxmlformats.org/officeDocument/2006/relationships/image" Target="media/image39.png"/><Relationship Id="rId122" Type="http://schemas.openxmlformats.org/officeDocument/2006/relationships/header" Target="header48.xml"/><Relationship Id="rId143" Type="http://schemas.microsoft.com/office/2019/05/relationships/documenttasks" Target="documenttasks/documenttasks1.xml"/><Relationship Id="rId4" Type="http://schemas.openxmlformats.org/officeDocument/2006/relationships/customXml" Target="../customXml/item4.xml"/><Relationship Id="rId9" Type="http://schemas.openxmlformats.org/officeDocument/2006/relationships/footnotes" Target="footnotes.xml"/><Relationship Id="rId26" Type="http://schemas.openxmlformats.org/officeDocument/2006/relationships/hyperlink" Target="https://www.worldwildlife.org/ecoregions/at0724" TargetMode="External"/><Relationship Id="rId47" Type="http://schemas.openxmlformats.org/officeDocument/2006/relationships/image" Target="media/image18.jpg"/><Relationship Id="rId68" Type="http://schemas.openxmlformats.org/officeDocument/2006/relationships/image" Target="media/image25.png"/><Relationship Id="rId89" Type="http://schemas.openxmlformats.org/officeDocument/2006/relationships/image" Target="media/image37.jpg"/><Relationship Id="rId112" Type="http://schemas.openxmlformats.org/officeDocument/2006/relationships/image" Target="media/image40.png"/><Relationship Id="rId133" Type="http://schemas.openxmlformats.org/officeDocument/2006/relationships/hyperlink" Target="https://drive.google.com/file/d/1UXIDUiF1U5Cl7437Sq4JfuQtGb5THyp4/view?usp=sharing" TargetMode="External"/><Relationship Id="rId16" Type="http://schemas.openxmlformats.org/officeDocument/2006/relationships/header" Target="header3.xml"/></Relationships>
</file>

<file path=word/_rels/footnotes.xml.rels><?xml version="1.0" encoding="UTF-8" standalone="yes"?>
<Relationships xmlns="http://schemas.openxmlformats.org/package/2006/relationships"><Relationship Id="rId8" Type="http://schemas.openxmlformats.org/officeDocument/2006/relationships/hyperlink" Target="https://eg.uc.pt/bitstream/10316/43567/1/filipa%20final%20.pdf" TargetMode="External"/><Relationship Id="rId13" Type="http://schemas.openxmlformats.org/officeDocument/2006/relationships/hyperlink" Target="https://fsc.org/en/document-centre/documents/retrieve/16c5cce0-cccf-434d-953e-a27c6750fbad?mode=view" TargetMode="External"/><Relationship Id="rId18" Type="http://schemas.openxmlformats.org/officeDocument/2006/relationships/hyperlink" Target="http://www.fao.org/3/a-be975e.pdf" TargetMode="External"/><Relationship Id="rId26" Type="http://schemas.openxmlformats.org/officeDocument/2006/relationships/hyperlink" Target="http://intranet.fao.org/fileadmin/templates/faomanual/Projects_NEW/OPERATIONAL_GUIDELINES_AND_RESOURCES/Stakeholder_Engagement/Operational_Guidelines_Stakeholder_Engagement_01.pdf" TargetMode="External"/><Relationship Id="rId3" Type="http://schemas.openxmlformats.org/officeDocument/2006/relationships/hyperlink" Target="https://dashboards.sdgindex.org/profiles/AGO" TargetMode="External"/><Relationship Id="rId21" Type="http://schemas.openxmlformats.org/officeDocument/2006/relationships/hyperlink" Target="http://www.fao.org/documents/card/en/c/cb0422en/" TargetMode="External"/><Relationship Id="rId7" Type="http://schemas.openxmlformats.org/officeDocument/2006/relationships/hyperlink" Target="http://www.fao.org/nutrition/assessment/tools/household-dietary-diversity/en/" TargetMode="External"/><Relationship Id="rId12" Type="http://schemas.openxmlformats.org/officeDocument/2006/relationships/hyperlink" Target="https://knowledge.unccd.int/publication/creating-enabling-environment-land-degradation-neutrality-and-its-potential" TargetMode="External"/><Relationship Id="rId17" Type="http://schemas.openxmlformats.org/officeDocument/2006/relationships/hyperlink" Target="http://www.fao.org/3/ae214e/ae214e05.htm" TargetMode="External"/><Relationship Id="rId25" Type="http://schemas.openxmlformats.org/officeDocument/2006/relationships/hyperlink" Target="https://www.thegef.org/sites/default/files/council-meeting-documents/EN_GEF_C.57_06_GEF&#8217;s%20Private%20Sector%20Engagement%20Strategy_1.pdf" TargetMode="External"/><Relationship Id="rId2" Type="http://schemas.openxmlformats.org/officeDocument/2006/relationships/hyperlink" Target="https://www.worldwildlife.org/ecoregions/at0724" TargetMode="External"/><Relationship Id="rId16" Type="http://schemas.openxmlformats.org/officeDocument/2006/relationships/hyperlink" Target="http://www.fao.org/3/a-i3987e.pdf" TargetMode="External"/><Relationship Id="rId20" Type="http://schemas.openxmlformats.org/officeDocument/2006/relationships/hyperlink" Target="http://www.fao.org/3/CA0130EN/ca0130en.pdf" TargetMode="External"/><Relationship Id="rId29" Type="http://schemas.openxmlformats.org/officeDocument/2006/relationships/hyperlink" Target="https://pt.wikipedia.org/wiki/L%C3%ADnguas_de_Angola" TargetMode="External"/><Relationship Id="rId1" Type="http://schemas.openxmlformats.org/officeDocument/2006/relationships/hyperlink" Target="https://www.un.org/development/desa/dpad/least-developed-country-category-angola.html" TargetMode="External"/><Relationship Id="rId6" Type="http://schemas.openxmlformats.org/officeDocument/2006/relationships/hyperlink" Target="https://reliefweb.int/sites/reliefweb.int/files/resources/2018_USAID-CCIS-Project_Climate-Risk-Profile-Angola.pdf" TargetMode="External"/><Relationship Id="rId11" Type="http://schemas.openxmlformats.org/officeDocument/2006/relationships/hyperlink" Target="https://www.thegef.org/documents/gef-7-programming-directions" TargetMode="External"/><Relationship Id="rId24" Type="http://schemas.openxmlformats.org/officeDocument/2006/relationships/hyperlink" Target="https://www.ohchr.org/en/NewsEvents/Pages/DisplayNews.aspx?NewsID=24225&amp;LangID=E" TargetMode="External"/><Relationship Id="rId32" Type="http://schemas.openxmlformats.org/officeDocument/2006/relationships/hyperlink" Target="https://www.iwgia.org/images/documents/indigenous-world/IndigenousWorld2019_UK.pdf" TargetMode="External"/><Relationship Id="rId5" Type="http://schemas.openxmlformats.org/officeDocument/2006/relationships/hyperlink" Target="https://www.unccd.int/actions/achieving-land-degradation-neutrality" TargetMode="External"/><Relationship Id="rId15" Type="http://schemas.openxmlformats.org/officeDocument/2006/relationships/hyperlink" Target="http://www.fao.org/forest-farm-facility/en/" TargetMode="External"/><Relationship Id="rId23" Type="http://schemas.openxmlformats.org/officeDocument/2006/relationships/hyperlink" Target="http://documents.worldbank.org/curated/en/337691552357946557/pdf/angola-scd-03072019-636877656084587895.pdf" TargetMode="External"/><Relationship Id="rId28" Type="http://schemas.openxmlformats.org/officeDocument/2006/relationships/hyperlink" Target="http://www.ine.gov.ao" TargetMode="External"/><Relationship Id="rId10" Type="http://schemas.openxmlformats.org/officeDocument/2006/relationships/hyperlink" Target="https://drive.google.com/file/d/1eEtl8Ffm3Y3UTDSJ51sF1pRTIJ1eMr3H/view?usp=sharing" TargetMode="External"/><Relationship Id="rId19" Type="http://schemas.openxmlformats.org/officeDocument/2006/relationships/hyperlink" Target="https://mcconnellfoundation.ca/wp-content/uploads/2017/08/ScalingOut_Nov27A_AV_BrandedBleed.pdf" TargetMode="External"/><Relationship Id="rId31" Type="http://schemas.openxmlformats.org/officeDocument/2006/relationships/hyperlink" Target="https://www.makaangola.org/author/rafael-morais/" TargetMode="External"/><Relationship Id="rId4" Type="http://schemas.openxmlformats.org/officeDocument/2006/relationships/hyperlink" Target="https://ubt.opus.hbz-nrw.de/opus45-ubtr/frontdoor/deliver/index/docId/808/file/remotesensing_09_00905.pdf" TargetMode="External"/><Relationship Id="rId9" Type="http://schemas.openxmlformats.org/officeDocument/2006/relationships/hyperlink" Target="http://datatopics.worldbank.org/gender/country/angola" TargetMode="External"/><Relationship Id="rId14" Type="http://schemas.openxmlformats.org/officeDocument/2006/relationships/hyperlink" Target="http://www.fao.org/farmer-field-schools/home/en/" TargetMode="External"/><Relationship Id="rId22" Type="http://schemas.openxmlformats.org/officeDocument/2006/relationships/hyperlink" Target="http://catalogue.unccd.int/1223_Gender_Manual.pdf" TargetMode="External"/><Relationship Id="rId27" Type="http://schemas.openxmlformats.org/officeDocument/2006/relationships/hyperlink" Target="http://www.fao.org/aud/42564-03173af392b352dc16b6cec72fa7ab27f.pdf" TargetMode="External"/><Relationship Id="rId30" Type="http://schemas.openxmlformats.org/officeDocument/2006/relationships/hyperlink" Target="https://www.makaangola.org/2019/10/estao-a-queimar-angola/"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Fabi\Dropbox\055_FAO%20Drylands_Africa_IP_ANG_BIRGIT_SHARE\000_PRODOC%20for%20CEO%20End\AA_Fix%20the%20template\FAO%20GEF%20DSL_IP_Prodoc_FIXED%20TEMPLATE_EMPTY.dotx" TargetMode="External"/></Relationships>
</file>

<file path=word/documenttasks/documenttasks1.xml><?xml version="1.0" encoding="utf-8"?>
<t:Tasks xmlns:t="http://schemas.microsoft.com/office/tasks/2019/documenttasks" xmlns:oel="http://schemas.microsoft.com/office/2019/extlst">
  <t:Task id="{C7CDEA4C-BDE4-4DB4-AF44-B4D21B1EBC7E}">
    <t:Anchor>
      <t:Comment id="605073083"/>
    </t:Anchor>
    <t:History>
      <t:Event id="{068A9F07-E22C-496A-954F-C003374939B8}" time="2021-04-01T19:00:02Z">
        <t:Attribution userId="S::txaran.basterrechea@fao.org::5c4c2bc7-670e-4303-9398-db68402ec4a4" userProvider="AD" userName="Basterrechea, Txaran (FAOAO)"/>
        <t:Anchor>
          <t:Comment id="1271879827"/>
        </t:Anchor>
        <t:Create/>
      </t:Event>
      <t:Event id="{25541104-B207-444F-A7B8-5C61308D4E59}" time="2021-04-01T19:00:02Z">
        <t:Attribution userId="S::txaran.basterrechea@fao.org::5c4c2bc7-670e-4303-9398-db68402ec4a4" userProvider="AD" userName="Basterrechea, Txaran (FAOAO)"/>
        <t:Anchor>
          <t:Comment id="1271879827"/>
        </t:Anchor>
        <t:Assign userId="S::Fritjof.Boerstler@fao.org::462497db-3953-4bed-9c29-563de6def35f" userProvider="AD" userName="Boerstler, Fritjof (OCB)"/>
      </t:Event>
      <t:Event id="{E3324EF2-E048-4CC1-B868-522605FEA3D6}" time="2021-04-01T19:00:02Z">
        <t:Attribution userId="S::txaran.basterrechea@fao.org::5c4c2bc7-670e-4303-9398-db68402ec4a4" userProvider="AD" userName="Basterrechea, Txaran (FAOAO)"/>
        <t:Anchor>
          <t:Comment id="1271879827"/>
        </t:Anchor>
        <t:SetTitle title="@Boerstler, Fritjof (OCB) IT is updated now. I have updated the tables for the three components"/>
      </t:Event>
    </t:History>
  </t:Task>
  <t:Task id="{F55213A6-9B9F-467A-BF2E-BE6D92325227}">
    <t:Anchor>
      <t:Comment id="605073762"/>
    </t:Anchor>
    <t:History>
      <t:Event id="{9F7E9A5A-3AD8-4254-9A57-2930AC857E87}" time="2021-04-01T19:00:38Z">
        <t:Attribution userId="S::txaran.basterrechea@fao.org::5c4c2bc7-670e-4303-9398-db68402ec4a4" userProvider="AD" userName="Basterrechea, Txaran (FAOAO)"/>
        <t:Anchor>
          <t:Comment id="1233282980"/>
        </t:Anchor>
        <t:Create/>
      </t:Event>
      <t:Event id="{37E94832-D38A-48E4-87A3-F32B478DA44C}" time="2021-04-01T19:00:38Z">
        <t:Attribution userId="S::txaran.basterrechea@fao.org::5c4c2bc7-670e-4303-9398-db68402ec4a4" userProvider="AD" userName="Basterrechea, Txaran (FAOAO)"/>
        <t:Anchor>
          <t:Comment id="1233282980"/>
        </t:Anchor>
        <t:Assign userId="S::Fritjof.Boerstler@fao.org::462497db-3953-4bed-9c29-563de6def35f" userProvider="AD" userName="Boerstler, Fritjof (OCB)"/>
      </t:Event>
      <t:Event id="{628E7242-D665-47A5-B7A9-E61F2D8A17D7}" time="2021-04-01T19:00:38Z">
        <t:Attribution userId="S::txaran.basterrechea@fao.org::5c4c2bc7-670e-4303-9398-db68402ec4a4" userProvider="AD" userName="Basterrechea, Txaran (FAOAO)"/>
        <t:Anchor>
          <t:Comment id="1233282980"/>
        </t:Anchor>
        <t:SetTitle title="@Boerstler, Fritjof (OCB) done"/>
      </t:Event>
    </t:History>
  </t:Task>
</t:Tasks>
</file>

<file path=word/theme/theme1.xml><?xml version="1.0" encoding="utf-8"?>
<a:theme xmlns:a="http://schemas.openxmlformats.org/drawingml/2006/main" name="Office Theme">
  <a:themeElements>
    <a:clrScheme name="FAO_DSL_Program">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SharedWithUsers xmlns="b8caa731-411c-4ce8-a2a6-5b517e250d33">
      <UserInfo>
        <DisplayName>Basterrechea, Txaran (FAOAO)</DisplayName>
        <AccountId>45</AccountId>
        <AccountType/>
      </UserInfo>
    </SharedWithUsers>
    <GEFCountry xmlns="ceb00776-aa5c-4fc8-b6fe-5f035152e4b6">Angola</GEFCountry>
    <Classification xmlns="ceb00776-aa5c-4fc8-b6fe-5f035152e4b6" xsi:nil="true"/>
    <Country1 xmlns="ceb00776-aa5c-4fc8-b6fe-5f035152e4b6" xsi:nil="true"/>
    <DocPrefix xmlns="ceb00776-aa5c-4fc8-b6fe-5f035152e4b6">Child FSP CEO Endorsement document</DocPrefix>
    <GEFID xmlns="ceb00776-aa5c-4fc8-b6fe-5f035152e4b6">10256</GEFID>
    <ProjectType xmlns="ceb00776-aa5c-4fc8-b6fe-5f035152e4b6">FSP</ProjectType>
    <GEFProjectID xmlns="ceb00776-aa5c-4fc8-b6fe-5f035152e4b6">60219c77-db90-e911-a82b-000d3a365662</GEFProjectID>
    <DocActive xmlns="ceb00776-aa5c-4fc8-b6fe-5f035152e4b6">No</DocActive>
    <DocCategory xmlns="ceb00776-aa5c-4fc8-b6fe-5f035152e4b6" xsi:nil="true"/>
    <FocalArea xmlns="ceb00776-aa5c-4fc8-b6fe-5f035152e4b6">Multi Focal Area</FocalArea>
    <DocType xmlns="ceb00776-aa5c-4fc8-b6fe-5f035152e4b6">Roadmap</DocType>
    <ProjectTitle xmlns="ceb00776-aa5c-4fc8-b6fe-5f035152e4b6">Land and natural resource degradation neutrality and community vulnerability reduction in selected Miombo and Mopane Ecoregions of Angola (Okavango and Cunene river basin)</ProjectTitle>
    <TrustFundType xmlns="ceb00776-aa5c-4fc8-b6fe-5f035152e4b6">GET</TrustFundType>
    <TaxCatchAll xmlns="3e02667f-0271-471b-bd6e-11a2e16def1d" xsi:nil="true"/>
    <DocumentTitle xmlns="ceb00776-aa5c-4fc8-b6fe-5f035152e4b6">REVISED ProDoc DSL IP Angola 26.04.2021</DocumentTitle>
  </documentManagement>
</p:properti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CF10B69-0FA5-4FDF-BF0D-4C0846D4BDD1}">
  <ds:schemaRefs>
    <ds:schemaRef ds:uri="http://purl.org/dc/dcmitype/"/>
    <ds:schemaRef ds:uri="http://schemas.microsoft.com/office/2006/documentManagement/types"/>
    <ds:schemaRef ds:uri="http://www.w3.org/XML/1998/namespace"/>
    <ds:schemaRef ds:uri="6c30f3ca-50f9-4980-896e-351f90903128"/>
    <ds:schemaRef ds:uri="http://purl.org/dc/elements/1.1/"/>
    <ds:schemaRef ds:uri="http://schemas.microsoft.com/office/2006/metadata/properties"/>
    <ds:schemaRef ds:uri="8ee1b74e-7669-4501-94fc-6efbadb3f685"/>
    <ds:schemaRef ds:uri="http://schemas.microsoft.com/office/infopath/2007/PartnerControls"/>
    <ds:schemaRef ds:uri="http://schemas.openxmlformats.org/package/2006/metadata/core-properties"/>
    <ds:schemaRef ds:uri="http://purl.org/dc/terms/"/>
  </ds:schemaRefs>
</ds:datastoreItem>
</file>

<file path=customXml/itemProps2.xml><?xml version="1.0" encoding="utf-8"?>
<ds:datastoreItem xmlns:ds="http://schemas.openxmlformats.org/officeDocument/2006/customXml" ds:itemID="{F21E541E-CFE6-482D-BA88-A93B12152DCA}">
  <ds:schemaRefs>
    <ds:schemaRef ds:uri="http://schemas.openxmlformats.org/officeDocument/2006/bibliography"/>
  </ds:schemaRefs>
</ds:datastoreItem>
</file>

<file path=customXml/itemProps3.xml><?xml version="1.0" encoding="utf-8"?>
<ds:datastoreItem xmlns:ds="http://schemas.openxmlformats.org/officeDocument/2006/customXml" ds:itemID="{2A0786BD-A0FD-4A5F-8D95-EAEF154889E5}"/>
</file>

<file path=customXml/itemProps4.xml><?xml version="1.0" encoding="utf-8"?>
<ds:datastoreItem xmlns:ds="http://schemas.openxmlformats.org/officeDocument/2006/customXml" ds:itemID="{B18D24E0-9BF1-47C4-80C8-D88B17093C95}">
  <ds:schemaRefs>
    <ds:schemaRef ds:uri="http://schemas.microsoft.com/sharepoint/v3/contenttype/forms"/>
  </ds:schemaRefs>
</ds:datastoreItem>
</file>

<file path=docMetadata/LabelInfo.xml><?xml version="1.0" encoding="utf-8"?>
<clbl:labelList xmlns:clbl="http://schemas.microsoft.com/office/2020/mipLabelMetadata"/>
</file>

<file path=docProps/app.xml><?xml version="1.0" encoding="utf-8"?>
<Properties xmlns="http://schemas.openxmlformats.org/officeDocument/2006/extended-properties" xmlns:vt="http://schemas.openxmlformats.org/officeDocument/2006/docPropsVTypes">
  <Template>FAO%20GEF%20DSL_IP_Prodoc_FIXED%20TEMPLATE_EMPTY</Template>
  <TotalTime>29</TotalTime>
  <Pages>198</Pages>
  <Words>97723</Words>
  <Characters>557024</Characters>
  <Application>Microsoft Office Word</Application>
  <DocSecurity>0</DocSecurity>
  <Lines>4641</Lines>
  <Paragraphs>1306</Paragraphs>
  <ScaleCrop>false</ScaleCrop>
  <Company>The World Bank Group</Company>
  <LinksUpToDate>false</LinksUpToDate>
  <CharactersWithSpaces>653441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Fabi</dc:creator>
  <cp:keywords/>
  <dc:description/>
  <cp:lastModifiedBy>Stolyarskaya, Anna (OCBD)</cp:lastModifiedBy>
  <cp:revision>2</cp:revision>
  <cp:lastPrinted>2020-10-06T00:17:00Z</cp:lastPrinted>
  <dcterms:created xsi:type="dcterms:W3CDTF">2021-04-26T17:58:00Z</dcterms:created>
  <dcterms:modified xsi:type="dcterms:W3CDTF">2021-04-26T17:58:00Z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